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86.xml" ContentType="application/vnd.openxmlformats-officedocument.wordprocessingml.footer+xml"/>
  <Override PartName="/word/footer187.xml" ContentType="application/vnd.openxmlformats-officedocument.wordprocessingml.footer+xml"/>
  <Override PartName="/word/footer188.xml" ContentType="application/vnd.openxmlformats-officedocument.wordprocessingml.footer+xml"/>
  <Override PartName="/word/footer189.xml" ContentType="application/vnd.openxmlformats-officedocument.wordprocessingml.footer+xml"/>
  <Override PartName="/word/footer19.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footer192.xml" ContentType="application/vnd.openxmlformats-officedocument.wordprocessingml.footer+xml"/>
  <Override PartName="/word/footer193.xml" ContentType="application/vnd.openxmlformats-officedocument.wordprocessingml.footer+xml"/>
  <Override PartName="/word/footer194.xml" ContentType="application/vnd.openxmlformats-officedocument.wordprocessingml.footer+xml"/>
  <Override PartName="/word/footer195.xml" ContentType="application/vnd.openxmlformats-officedocument.wordprocessingml.footer+xml"/>
  <Override PartName="/word/footer196.xml" ContentType="application/vnd.openxmlformats-officedocument.wordprocessingml.footer+xml"/>
  <Override PartName="/word/footer197.xml" ContentType="application/vnd.openxmlformats-officedocument.wordprocessingml.footer+xml"/>
  <Override PartName="/word/footer198.xml" ContentType="application/vnd.openxmlformats-officedocument.wordprocessingml.footer+xml"/>
  <Override PartName="/word/footer19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00.xml" ContentType="application/vnd.openxmlformats-officedocument.wordprocessingml.footer+xml"/>
  <Override PartName="/word/footer201.xml" ContentType="application/vnd.openxmlformats-officedocument.wordprocessingml.footer+xml"/>
  <Override PartName="/word/footer202.xml" ContentType="application/vnd.openxmlformats-officedocument.wordprocessingml.footer+xml"/>
  <Override PartName="/word/footer203.xml" ContentType="application/vnd.openxmlformats-officedocument.wordprocessingml.footer+xml"/>
  <Override PartName="/word/footer204.xml" ContentType="application/vnd.openxmlformats-officedocument.wordprocessingml.footer+xml"/>
  <Override PartName="/word/footer205.xml" ContentType="application/vnd.openxmlformats-officedocument.wordprocessingml.footer+xml"/>
  <Override PartName="/word/footer206.xml" ContentType="application/vnd.openxmlformats-officedocument.wordprocessingml.footer+xml"/>
  <Override PartName="/word/footer207.xml" ContentType="application/vnd.openxmlformats-officedocument.wordprocessingml.footer+xml"/>
  <Override PartName="/word/footer208.xml" ContentType="application/vnd.openxmlformats-officedocument.wordprocessingml.footer+xml"/>
  <Override PartName="/word/footer209.xml" ContentType="application/vnd.openxmlformats-officedocument.wordprocessingml.footer+xml"/>
  <Override PartName="/word/footer21.xml" ContentType="application/vnd.openxmlformats-officedocument.wordprocessingml.footer+xml"/>
  <Override PartName="/word/footer210.xml" ContentType="application/vnd.openxmlformats-officedocument.wordprocessingml.footer+xml"/>
  <Override PartName="/word/footer211.xml" ContentType="application/vnd.openxmlformats-officedocument.wordprocessingml.footer+xml"/>
  <Override PartName="/word/footer212.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3EE526">
      <w:pPr>
        <w:spacing w:line="258" w:lineRule="auto"/>
        <w:rPr>
          <w:rFonts w:ascii="Arial"/>
          <w:sz w:val="21"/>
        </w:rPr>
      </w:pPr>
      <w:r>
        <w:pict>
          <v:shape id="_x0000_s1026" o:spid="_x0000_s1026" style="position:absolute;left:0pt;margin-left:90pt;margin-top:57.35pt;height:0.75pt;width:415.3pt;mso-position-horizontal-relative:page;mso-position-vertical-relative:page;z-index:251660288;mso-width-relative:page;mso-height-relative:page;" fillcolor="#000000" filled="t" stroked="f" coordsize="8305,15" o:allowincell="f" path="m0,0l8305,0,8305,14,0,14,0,0xe">
            <v:path/>
            <v:fill on="t" focussize="0,0"/>
            <v:stroke on="f"/>
            <v:imagedata o:title=""/>
            <o:lock v:ext="edit"/>
          </v:shape>
        </w:pict>
      </w:r>
    </w:p>
    <w:sdt>
      <w:sdtPr>
        <w:rPr>
          <w:rFonts w:ascii="宋体" w:hAnsi="宋体" w:eastAsia="宋体" w:cs="宋体"/>
          <w:sz w:val="43"/>
          <w:szCs w:val="43"/>
        </w:rPr>
        <w:id w:val="1"/>
        <w:docPartObj>
          <w:docPartGallery w:val="Table of Contents"/>
          <w:docPartUnique/>
        </w:docPartObj>
      </w:sdtPr>
      <w:sdtEndPr>
        <w:rPr>
          <w:rFonts w:ascii="Times New Roman" w:hAnsi="Times New Roman" w:eastAsia="Times New Roman" w:cs="Times New Roman"/>
          <w:sz w:val="23"/>
          <w:szCs w:val="23"/>
        </w:rPr>
      </w:sdtEndPr>
      <w:sdtContent>
        <w:p w14:paraId="508754C7">
          <w:pPr>
            <w:spacing w:before="140" w:line="225" w:lineRule="auto"/>
            <w:ind w:left="3607"/>
            <w:rPr>
              <w:rFonts w:ascii="宋体" w:hAnsi="宋体" w:eastAsia="宋体" w:cs="宋体"/>
              <w:sz w:val="43"/>
              <w:szCs w:val="43"/>
            </w:rPr>
          </w:pPr>
          <w:r>
            <w:rPr>
              <w:rFonts w:ascii="宋体" w:hAnsi="宋体" w:eastAsia="宋体" w:cs="宋体"/>
              <w:spacing w:val="-17"/>
              <w:sz w:val="43"/>
              <w:szCs w:val="43"/>
              <w14:textOutline w14:w="7972" w14:cap="sq" w14:cmpd="sng">
                <w14:solidFill>
                  <w14:srgbClr w14:val="000000"/>
                </w14:solidFill>
                <w14:prstDash w14:val="solid"/>
                <w14:bevel/>
              </w14:textOutline>
            </w:rPr>
            <w:t>目</w:t>
          </w:r>
          <w:r>
            <w:rPr>
              <w:rFonts w:ascii="宋体" w:hAnsi="宋体" w:eastAsia="宋体" w:cs="宋体"/>
              <w:spacing w:val="-15"/>
              <w:sz w:val="43"/>
              <w:szCs w:val="43"/>
            </w:rPr>
            <w:t xml:space="preserve">  </w:t>
          </w:r>
          <w:r>
            <w:rPr>
              <w:rFonts w:ascii="宋体" w:hAnsi="宋体" w:eastAsia="宋体" w:cs="宋体"/>
              <w:spacing w:val="-15"/>
              <w:sz w:val="43"/>
              <w:szCs w:val="43"/>
              <w14:textOutline w14:w="7972" w14:cap="sq" w14:cmpd="sng">
                <w14:solidFill>
                  <w14:srgbClr w14:val="000000"/>
                </w14:solidFill>
                <w14:prstDash w14:val="solid"/>
                <w14:bevel/>
              </w14:textOutline>
            </w:rPr>
            <w:t>录</w:t>
          </w:r>
        </w:p>
        <w:p w14:paraId="7763BE89">
          <w:pPr>
            <w:tabs>
              <w:tab w:val="right" w:leader="dot" w:pos="8320"/>
            </w:tabs>
            <w:spacing w:before="155" w:line="227" w:lineRule="auto"/>
            <w:ind w:left="29"/>
            <w:rPr>
              <w:rFonts w:ascii="Times New Roman" w:hAnsi="Times New Roman" w:eastAsia="Times New Roman" w:cs="Times New Roman"/>
              <w:sz w:val="23"/>
              <w:szCs w:val="23"/>
            </w:rPr>
          </w:pPr>
          <w:r>
            <w:fldChar w:fldCharType="begin"/>
          </w:r>
          <w:r>
            <w:instrText xml:space="preserve"> HYPERLINK \l "_bookmark1" </w:instrText>
          </w:r>
          <w:r>
            <w:fldChar w:fldCharType="separate"/>
          </w:r>
          <w:r>
            <w:rPr>
              <w:rFonts w:ascii="Times New Roman" w:hAnsi="Times New Roman" w:eastAsia="Times New Roman" w:cs="Times New Roman"/>
              <w:b/>
              <w:bCs/>
              <w:spacing w:val="10"/>
              <w:sz w:val="23"/>
              <w:szCs w:val="23"/>
            </w:rPr>
            <w:t>1</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14:textOutline w14:w="4358" w14:cap="sq" w14:cmpd="sng">
                <w14:solidFill>
                  <w14:srgbClr w14:val="000000"/>
                </w14:solidFill>
                <w14:prstDash w14:val="solid"/>
                <w14:bevel/>
              </w14:textOutline>
            </w:rPr>
            <w:t>概述</w:t>
          </w:r>
          <w:r>
            <w:rPr>
              <w:rFonts w:ascii="Times New Roman" w:hAnsi="Times New Roman" w:eastAsia="Times New Roman" w:cs="Times New Roman"/>
              <w:b/>
              <w:bCs/>
              <w:sz w:val="23"/>
              <w:szCs w:val="23"/>
            </w:rPr>
            <w:tab/>
          </w:r>
          <w:r>
            <w:rPr>
              <w:rFonts w:ascii="Times New Roman" w:hAnsi="Times New Roman" w:eastAsia="Times New Roman" w:cs="Times New Roman"/>
              <w:b/>
              <w:bCs/>
              <w:spacing w:val="7"/>
              <w:sz w:val="23"/>
              <w:szCs w:val="23"/>
            </w:rPr>
            <w:t>1</w:t>
          </w:r>
          <w:r>
            <w:rPr>
              <w:rFonts w:ascii="Times New Roman" w:hAnsi="Times New Roman" w:eastAsia="Times New Roman" w:cs="Times New Roman"/>
              <w:b/>
              <w:bCs/>
              <w:spacing w:val="7"/>
              <w:sz w:val="23"/>
              <w:szCs w:val="23"/>
            </w:rPr>
            <w:fldChar w:fldCharType="end"/>
          </w:r>
        </w:p>
        <w:p w14:paraId="0DBF0D13">
          <w:pPr>
            <w:tabs>
              <w:tab w:val="right" w:leader="dot" w:pos="8320"/>
            </w:tabs>
            <w:spacing w:before="156" w:line="227" w:lineRule="auto"/>
            <w:ind w:left="462"/>
            <w:rPr>
              <w:rFonts w:ascii="Times New Roman" w:hAnsi="Times New Roman" w:eastAsia="Times New Roman" w:cs="Times New Roman"/>
              <w:sz w:val="23"/>
              <w:szCs w:val="23"/>
            </w:rPr>
          </w:pPr>
          <w:r>
            <w:fldChar w:fldCharType="begin"/>
          </w:r>
          <w:r>
            <w:instrText xml:space="preserve"> HYPERLINK \l "_bookmark2" </w:instrText>
          </w:r>
          <w:r>
            <w:fldChar w:fldCharType="separate"/>
          </w:r>
          <w:r>
            <w:rPr>
              <w:rFonts w:ascii="Times New Roman" w:hAnsi="Times New Roman" w:eastAsia="Times New Roman" w:cs="Times New Roman"/>
              <w:spacing w:val="12"/>
              <w:sz w:val="23"/>
              <w:szCs w:val="23"/>
            </w:rPr>
            <w:t>1</w:t>
          </w:r>
          <w:r>
            <w:rPr>
              <w:rFonts w:ascii="Times New Roman" w:hAnsi="Times New Roman" w:eastAsia="Times New Roman" w:cs="Times New Roman"/>
              <w:spacing w:val="8"/>
              <w:sz w:val="23"/>
              <w:szCs w:val="23"/>
            </w:rPr>
            <w:t>.</w:t>
          </w:r>
          <w:r>
            <w:rPr>
              <w:rFonts w:ascii="Times New Roman" w:hAnsi="Times New Roman" w:eastAsia="Times New Roman" w:cs="Times New Roman"/>
              <w:spacing w:val="6"/>
              <w:sz w:val="23"/>
              <w:szCs w:val="23"/>
            </w:rPr>
            <w:t xml:space="preserve">1  </w:t>
          </w:r>
          <w:r>
            <w:rPr>
              <w:rFonts w:ascii="宋体" w:hAnsi="宋体" w:eastAsia="宋体" w:cs="宋体"/>
              <w:spacing w:val="6"/>
              <w:sz w:val="23"/>
              <w:szCs w:val="23"/>
            </w:rPr>
            <w:t>建设项目特点</w:t>
          </w:r>
          <w:r>
            <w:rPr>
              <w:rFonts w:ascii="Times New Roman" w:hAnsi="Times New Roman" w:eastAsia="Times New Roman" w:cs="Times New Roman"/>
              <w:sz w:val="23"/>
              <w:szCs w:val="23"/>
            </w:rPr>
            <w:tab/>
          </w:r>
          <w:r>
            <w:rPr>
              <w:rFonts w:ascii="Times New Roman" w:hAnsi="Times New Roman" w:eastAsia="Times New Roman" w:cs="Times New Roman"/>
              <w:spacing w:val="6"/>
              <w:sz w:val="23"/>
              <w:szCs w:val="23"/>
            </w:rPr>
            <w:t>1</w:t>
          </w:r>
          <w:r>
            <w:rPr>
              <w:rFonts w:ascii="Times New Roman" w:hAnsi="Times New Roman" w:eastAsia="Times New Roman" w:cs="Times New Roman"/>
              <w:spacing w:val="6"/>
              <w:sz w:val="23"/>
              <w:szCs w:val="23"/>
            </w:rPr>
            <w:fldChar w:fldCharType="end"/>
          </w:r>
        </w:p>
        <w:p w14:paraId="3287F6AD">
          <w:pPr>
            <w:tabs>
              <w:tab w:val="right" w:leader="dot" w:pos="8320"/>
            </w:tabs>
            <w:spacing w:before="156" w:line="228" w:lineRule="auto"/>
            <w:ind w:left="462"/>
            <w:rPr>
              <w:rFonts w:ascii="Times New Roman" w:hAnsi="Times New Roman" w:eastAsia="Times New Roman" w:cs="Times New Roman"/>
              <w:sz w:val="23"/>
              <w:szCs w:val="23"/>
            </w:rPr>
          </w:pPr>
          <w:r>
            <w:fldChar w:fldCharType="begin"/>
          </w:r>
          <w:r>
            <w:instrText xml:space="preserve"> HYPERLINK \l "_bookmark3" </w:instrText>
          </w:r>
          <w:r>
            <w:fldChar w:fldCharType="separate"/>
          </w:r>
          <w:r>
            <w:rPr>
              <w:rFonts w:ascii="Times New Roman" w:hAnsi="Times New Roman" w:eastAsia="Times New Roman" w:cs="Times New Roman"/>
              <w:spacing w:val="12"/>
              <w:sz w:val="23"/>
              <w:szCs w:val="23"/>
            </w:rPr>
            <w:t>1</w:t>
          </w:r>
          <w:r>
            <w:rPr>
              <w:rFonts w:ascii="Times New Roman" w:hAnsi="Times New Roman" w:eastAsia="Times New Roman" w:cs="Times New Roman"/>
              <w:spacing w:val="8"/>
              <w:sz w:val="23"/>
              <w:szCs w:val="23"/>
            </w:rPr>
            <w:t>.</w:t>
          </w:r>
          <w:r>
            <w:rPr>
              <w:rFonts w:ascii="Times New Roman" w:hAnsi="Times New Roman" w:eastAsia="Times New Roman" w:cs="Times New Roman"/>
              <w:spacing w:val="6"/>
              <w:sz w:val="23"/>
              <w:szCs w:val="23"/>
            </w:rPr>
            <w:t xml:space="preserve">2  </w:t>
          </w:r>
          <w:r>
            <w:rPr>
              <w:rFonts w:ascii="宋体" w:hAnsi="宋体" w:eastAsia="宋体" w:cs="宋体"/>
              <w:spacing w:val="6"/>
              <w:sz w:val="23"/>
              <w:szCs w:val="23"/>
            </w:rPr>
            <w:t>环评工作过程</w:t>
          </w:r>
          <w:r>
            <w:rPr>
              <w:rFonts w:ascii="Times New Roman" w:hAnsi="Times New Roman" w:eastAsia="Times New Roman" w:cs="Times New Roman"/>
              <w:sz w:val="23"/>
              <w:szCs w:val="23"/>
            </w:rPr>
            <w:tab/>
          </w:r>
          <w:r>
            <w:rPr>
              <w:rFonts w:ascii="Times New Roman" w:hAnsi="Times New Roman" w:eastAsia="Times New Roman" w:cs="Times New Roman"/>
              <w:spacing w:val="6"/>
              <w:sz w:val="23"/>
              <w:szCs w:val="23"/>
            </w:rPr>
            <w:t>2</w:t>
          </w:r>
          <w:r>
            <w:rPr>
              <w:rFonts w:ascii="Times New Roman" w:hAnsi="Times New Roman" w:eastAsia="Times New Roman" w:cs="Times New Roman"/>
              <w:spacing w:val="6"/>
              <w:sz w:val="23"/>
              <w:szCs w:val="23"/>
            </w:rPr>
            <w:fldChar w:fldCharType="end"/>
          </w:r>
        </w:p>
        <w:p w14:paraId="551FF892">
          <w:pPr>
            <w:tabs>
              <w:tab w:val="right" w:leader="dot" w:pos="8320"/>
            </w:tabs>
            <w:spacing w:before="157" w:line="228" w:lineRule="auto"/>
            <w:ind w:left="462"/>
            <w:rPr>
              <w:rFonts w:ascii="Times New Roman" w:hAnsi="Times New Roman" w:eastAsia="Times New Roman" w:cs="Times New Roman"/>
              <w:sz w:val="23"/>
              <w:szCs w:val="23"/>
            </w:rPr>
          </w:pPr>
          <w:r>
            <w:fldChar w:fldCharType="begin"/>
          </w:r>
          <w:r>
            <w:instrText xml:space="preserve"> HYPERLINK \l "_bookmark4" </w:instrText>
          </w:r>
          <w:r>
            <w:fldChar w:fldCharType="separate"/>
          </w:r>
          <w:r>
            <w:rPr>
              <w:rFonts w:ascii="Times New Roman" w:hAnsi="Times New Roman" w:eastAsia="Times New Roman" w:cs="Times New Roman"/>
              <w:spacing w:val="12"/>
              <w:sz w:val="23"/>
              <w:szCs w:val="23"/>
            </w:rPr>
            <w:t>1</w:t>
          </w:r>
          <w:r>
            <w:rPr>
              <w:rFonts w:ascii="Times New Roman" w:hAnsi="Times New Roman" w:eastAsia="Times New Roman" w:cs="Times New Roman"/>
              <w:spacing w:val="8"/>
              <w:sz w:val="23"/>
              <w:szCs w:val="23"/>
            </w:rPr>
            <w:t>.</w:t>
          </w:r>
          <w:r>
            <w:rPr>
              <w:rFonts w:ascii="Times New Roman" w:hAnsi="Times New Roman" w:eastAsia="Times New Roman" w:cs="Times New Roman"/>
              <w:spacing w:val="6"/>
              <w:sz w:val="23"/>
              <w:szCs w:val="23"/>
            </w:rPr>
            <w:t xml:space="preserve">3  </w:t>
          </w:r>
          <w:r>
            <w:rPr>
              <w:rFonts w:ascii="宋体" w:hAnsi="宋体" w:eastAsia="宋体" w:cs="宋体"/>
              <w:spacing w:val="6"/>
              <w:sz w:val="23"/>
              <w:szCs w:val="23"/>
            </w:rPr>
            <w:t>主要环境问题</w:t>
          </w:r>
          <w:r>
            <w:rPr>
              <w:rFonts w:ascii="Times New Roman" w:hAnsi="Times New Roman" w:eastAsia="Times New Roman" w:cs="Times New Roman"/>
              <w:sz w:val="23"/>
              <w:szCs w:val="23"/>
            </w:rPr>
            <w:tab/>
          </w:r>
          <w:r>
            <w:rPr>
              <w:rFonts w:ascii="Times New Roman" w:hAnsi="Times New Roman" w:eastAsia="Times New Roman" w:cs="Times New Roman"/>
              <w:spacing w:val="6"/>
              <w:sz w:val="23"/>
              <w:szCs w:val="23"/>
            </w:rPr>
            <w:t>3</w:t>
          </w:r>
          <w:r>
            <w:rPr>
              <w:rFonts w:ascii="Times New Roman" w:hAnsi="Times New Roman" w:eastAsia="Times New Roman" w:cs="Times New Roman"/>
              <w:spacing w:val="6"/>
              <w:sz w:val="23"/>
              <w:szCs w:val="23"/>
            </w:rPr>
            <w:fldChar w:fldCharType="end"/>
          </w:r>
        </w:p>
        <w:p w14:paraId="09FD230B">
          <w:pPr>
            <w:tabs>
              <w:tab w:val="right" w:leader="dot" w:pos="8320"/>
            </w:tabs>
            <w:spacing w:before="155" w:line="228" w:lineRule="auto"/>
            <w:ind w:left="462"/>
            <w:rPr>
              <w:rFonts w:ascii="Times New Roman" w:hAnsi="Times New Roman" w:eastAsia="Times New Roman" w:cs="Times New Roman"/>
              <w:sz w:val="23"/>
              <w:szCs w:val="23"/>
            </w:rPr>
          </w:pPr>
          <w:r>
            <w:fldChar w:fldCharType="begin"/>
          </w:r>
          <w:r>
            <w:instrText xml:space="preserve"> HYPERLINK \l "_bookmark5" </w:instrText>
          </w:r>
          <w:r>
            <w:fldChar w:fldCharType="separate"/>
          </w:r>
          <w:r>
            <w:rPr>
              <w:rFonts w:ascii="Times New Roman" w:hAnsi="Times New Roman" w:eastAsia="Times New Roman" w:cs="Times New Roman"/>
              <w:spacing w:val="9"/>
              <w:sz w:val="23"/>
              <w:szCs w:val="23"/>
            </w:rPr>
            <w:t>1</w:t>
          </w:r>
          <w:r>
            <w:rPr>
              <w:rFonts w:ascii="Times New Roman" w:hAnsi="Times New Roman" w:eastAsia="Times New Roman" w:cs="Times New Roman"/>
              <w:spacing w:val="7"/>
              <w:sz w:val="23"/>
              <w:szCs w:val="23"/>
            </w:rPr>
            <w:t xml:space="preserve">.4  </w:t>
          </w:r>
          <w:r>
            <w:rPr>
              <w:rFonts w:ascii="宋体" w:hAnsi="宋体" w:eastAsia="宋体" w:cs="宋体"/>
              <w:spacing w:val="7"/>
              <w:sz w:val="23"/>
              <w:szCs w:val="23"/>
            </w:rPr>
            <w:t>分析判定相关情况</w:t>
          </w:r>
          <w:r>
            <w:rPr>
              <w:rFonts w:ascii="Times New Roman" w:hAnsi="Times New Roman" w:eastAsia="Times New Roman" w:cs="Times New Roman"/>
              <w:sz w:val="23"/>
              <w:szCs w:val="23"/>
            </w:rPr>
            <w:tab/>
          </w:r>
          <w:r>
            <w:rPr>
              <w:rFonts w:ascii="Times New Roman" w:hAnsi="Times New Roman" w:eastAsia="Times New Roman" w:cs="Times New Roman"/>
              <w:spacing w:val="7"/>
              <w:sz w:val="23"/>
              <w:szCs w:val="23"/>
            </w:rPr>
            <w:t>4</w:t>
          </w:r>
          <w:r>
            <w:rPr>
              <w:rFonts w:ascii="Times New Roman" w:hAnsi="Times New Roman" w:eastAsia="Times New Roman" w:cs="Times New Roman"/>
              <w:spacing w:val="7"/>
              <w:sz w:val="23"/>
              <w:szCs w:val="23"/>
            </w:rPr>
            <w:fldChar w:fldCharType="end"/>
          </w:r>
        </w:p>
        <w:p w14:paraId="08AF0A1B">
          <w:pPr>
            <w:tabs>
              <w:tab w:val="right" w:leader="dot" w:pos="8320"/>
            </w:tabs>
            <w:spacing w:before="154" w:line="226" w:lineRule="auto"/>
            <w:ind w:left="462"/>
            <w:rPr>
              <w:rFonts w:ascii="Times New Roman" w:hAnsi="Times New Roman" w:eastAsia="Times New Roman" w:cs="Times New Roman"/>
              <w:sz w:val="23"/>
              <w:szCs w:val="23"/>
            </w:rPr>
          </w:pPr>
          <w:r>
            <w:fldChar w:fldCharType="begin"/>
          </w:r>
          <w:r>
            <w:instrText xml:space="preserve"> HYPERLINK \l "_bookmark6" </w:instrText>
          </w:r>
          <w:r>
            <w:fldChar w:fldCharType="separate"/>
          </w:r>
          <w:r>
            <w:rPr>
              <w:rFonts w:ascii="Times New Roman" w:hAnsi="Times New Roman" w:eastAsia="Times New Roman" w:cs="Times New Roman"/>
              <w:spacing w:val="7"/>
              <w:sz w:val="23"/>
              <w:szCs w:val="23"/>
            </w:rPr>
            <w:t xml:space="preserve">1.5  </w:t>
          </w:r>
          <w:r>
            <w:rPr>
              <w:rFonts w:ascii="宋体" w:hAnsi="宋体" w:eastAsia="宋体" w:cs="宋体"/>
              <w:spacing w:val="7"/>
              <w:sz w:val="23"/>
              <w:szCs w:val="23"/>
            </w:rPr>
            <w:t>环境影响评价结论</w:t>
          </w:r>
          <w:r>
            <w:rPr>
              <w:rFonts w:ascii="Times New Roman" w:hAnsi="Times New Roman" w:eastAsia="Times New Roman" w:cs="Times New Roman"/>
              <w:sz w:val="23"/>
              <w:szCs w:val="23"/>
            </w:rPr>
            <w:tab/>
          </w:r>
          <w:r>
            <w:rPr>
              <w:rFonts w:ascii="Times New Roman" w:hAnsi="Times New Roman" w:eastAsia="Times New Roman" w:cs="Times New Roman"/>
              <w:spacing w:val="7"/>
              <w:sz w:val="23"/>
              <w:szCs w:val="23"/>
            </w:rPr>
            <w:t>16</w:t>
          </w:r>
          <w:r>
            <w:rPr>
              <w:rFonts w:ascii="Times New Roman" w:hAnsi="Times New Roman" w:eastAsia="Times New Roman" w:cs="Times New Roman"/>
              <w:spacing w:val="7"/>
              <w:sz w:val="23"/>
              <w:szCs w:val="23"/>
            </w:rPr>
            <w:fldChar w:fldCharType="end"/>
          </w:r>
        </w:p>
        <w:p w14:paraId="27A0B535">
          <w:pPr>
            <w:tabs>
              <w:tab w:val="right" w:leader="dot" w:pos="8320"/>
            </w:tabs>
            <w:spacing w:before="160" w:line="228" w:lineRule="auto"/>
            <w:ind w:left="19"/>
            <w:rPr>
              <w:rFonts w:ascii="Times New Roman" w:hAnsi="Times New Roman" w:eastAsia="Times New Roman" w:cs="Times New Roman"/>
              <w:sz w:val="23"/>
              <w:szCs w:val="23"/>
            </w:rPr>
          </w:pPr>
          <w:r>
            <w:fldChar w:fldCharType="begin"/>
          </w:r>
          <w:r>
            <w:instrText xml:space="preserve"> HYPERLINK \l "_bookmark7" </w:instrText>
          </w:r>
          <w:r>
            <w:fldChar w:fldCharType="separate"/>
          </w:r>
          <w:r>
            <w:rPr>
              <w:rFonts w:ascii="Times New Roman" w:hAnsi="Times New Roman" w:eastAsia="Times New Roman" w:cs="Times New Roman"/>
              <w:b/>
              <w:bCs/>
              <w:spacing w:val="12"/>
              <w:sz w:val="23"/>
              <w:szCs w:val="23"/>
            </w:rPr>
            <w:t>2</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14:textOutline w14:w="4358" w14:cap="sq" w14:cmpd="sng">
                <w14:solidFill>
                  <w14:srgbClr w14:val="000000"/>
                </w14:solidFill>
                <w14:prstDash w14:val="solid"/>
                <w14:bevel/>
              </w14:textOutline>
            </w:rPr>
            <w:t>总则</w:t>
          </w:r>
          <w:r>
            <w:rPr>
              <w:rFonts w:ascii="Times New Roman" w:hAnsi="Times New Roman" w:eastAsia="Times New Roman" w:cs="Times New Roman"/>
              <w:b/>
              <w:bCs/>
              <w:sz w:val="23"/>
              <w:szCs w:val="23"/>
            </w:rPr>
            <w:tab/>
          </w:r>
          <w:r>
            <w:rPr>
              <w:rFonts w:ascii="Times New Roman" w:hAnsi="Times New Roman" w:eastAsia="Times New Roman" w:cs="Times New Roman"/>
              <w:b/>
              <w:bCs/>
              <w:spacing w:val="8"/>
              <w:sz w:val="23"/>
              <w:szCs w:val="23"/>
            </w:rPr>
            <w:t>18</w:t>
          </w:r>
          <w:r>
            <w:rPr>
              <w:rFonts w:ascii="Times New Roman" w:hAnsi="Times New Roman" w:eastAsia="Times New Roman" w:cs="Times New Roman"/>
              <w:b/>
              <w:bCs/>
              <w:spacing w:val="8"/>
              <w:sz w:val="23"/>
              <w:szCs w:val="23"/>
            </w:rPr>
            <w:fldChar w:fldCharType="end"/>
          </w:r>
        </w:p>
        <w:p w14:paraId="64A3112E">
          <w:pPr>
            <w:tabs>
              <w:tab w:val="right" w:leader="dot" w:pos="8320"/>
            </w:tabs>
            <w:spacing w:before="155" w:line="226" w:lineRule="auto"/>
            <w:ind w:left="439"/>
            <w:rPr>
              <w:rFonts w:ascii="Times New Roman" w:hAnsi="Times New Roman" w:eastAsia="Times New Roman" w:cs="Times New Roman"/>
              <w:sz w:val="23"/>
              <w:szCs w:val="23"/>
            </w:rPr>
          </w:pPr>
          <w:r>
            <w:fldChar w:fldCharType="begin"/>
          </w:r>
          <w:r>
            <w:instrText xml:space="preserve"> HYPERLINK \l "_bookmark8" </w:instrText>
          </w:r>
          <w:r>
            <w:fldChar w:fldCharType="separate"/>
          </w:r>
          <w:r>
            <w:rPr>
              <w:rFonts w:ascii="Times New Roman" w:hAnsi="Times New Roman" w:eastAsia="Times New Roman" w:cs="Times New Roman"/>
              <w:spacing w:val="14"/>
              <w:sz w:val="23"/>
              <w:szCs w:val="23"/>
            </w:rPr>
            <w:t>2</w:t>
          </w:r>
          <w:r>
            <w:rPr>
              <w:rFonts w:ascii="Times New Roman" w:hAnsi="Times New Roman" w:eastAsia="Times New Roman" w:cs="Times New Roman"/>
              <w:spacing w:val="8"/>
              <w:sz w:val="23"/>
              <w:szCs w:val="23"/>
            </w:rPr>
            <w:t xml:space="preserve">.1  </w:t>
          </w:r>
          <w:r>
            <w:rPr>
              <w:rFonts w:ascii="宋体" w:hAnsi="宋体" w:eastAsia="宋体" w:cs="宋体"/>
              <w:spacing w:val="8"/>
              <w:sz w:val="23"/>
              <w:szCs w:val="23"/>
            </w:rPr>
            <w:t>评价目的与原则</w:t>
          </w:r>
          <w:r>
            <w:rPr>
              <w:rFonts w:ascii="Times New Roman" w:hAnsi="Times New Roman" w:eastAsia="Times New Roman" w:cs="Times New Roman"/>
              <w:sz w:val="23"/>
              <w:szCs w:val="23"/>
            </w:rPr>
            <w:tab/>
          </w:r>
          <w:r>
            <w:rPr>
              <w:rFonts w:ascii="Times New Roman" w:hAnsi="Times New Roman" w:eastAsia="Times New Roman" w:cs="Times New Roman"/>
              <w:spacing w:val="8"/>
              <w:sz w:val="23"/>
              <w:szCs w:val="23"/>
            </w:rPr>
            <w:t>18</w:t>
          </w:r>
          <w:r>
            <w:rPr>
              <w:rFonts w:ascii="Times New Roman" w:hAnsi="Times New Roman" w:eastAsia="Times New Roman" w:cs="Times New Roman"/>
              <w:spacing w:val="8"/>
              <w:sz w:val="23"/>
              <w:szCs w:val="23"/>
            </w:rPr>
            <w:fldChar w:fldCharType="end"/>
          </w:r>
        </w:p>
        <w:p w14:paraId="7E796CDA">
          <w:pPr>
            <w:tabs>
              <w:tab w:val="right" w:leader="dot" w:pos="8320"/>
            </w:tabs>
            <w:spacing w:before="158" w:line="227" w:lineRule="auto"/>
            <w:ind w:left="439"/>
            <w:rPr>
              <w:rFonts w:ascii="Times New Roman" w:hAnsi="Times New Roman" w:eastAsia="Times New Roman" w:cs="Times New Roman"/>
              <w:sz w:val="23"/>
              <w:szCs w:val="23"/>
            </w:rPr>
          </w:pPr>
          <w:r>
            <w:fldChar w:fldCharType="begin"/>
          </w:r>
          <w:r>
            <w:instrText xml:space="preserve"> HYPERLINK \l "_bookmark9" </w:instrText>
          </w:r>
          <w:r>
            <w:fldChar w:fldCharType="separate"/>
          </w:r>
          <w:r>
            <w:rPr>
              <w:rFonts w:ascii="Times New Roman" w:hAnsi="Times New Roman" w:eastAsia="Times New Roman" w:cs="Times New Roman"/>
              <w:spacing w:val="8"/>
              <w:sz w:val="23"/>
              <w:szCs w:val="23"/>
            </w:rPr>
            <w:t xml:space="preserve">2.2  </w:t>
          </w:r>
          <w:r>
            <w:rPr>
              <w:rFonts w:ascii="宋体" w:hAnsi="宋体" w:eastAsia="宋体" w:cs="宋体"/>
              <w:spacing w:val="8"/>
              <w:sz w:val="23"/>
              <w:szCs w:val="23"/>
            </w:rPr>
            <w:t>编制依据</w:t>
          </w:r>
          <w:r>
            <w:rPr>
              <w:rFonts w:ascii="Times New Roman" w:hAnsi="Times New Roman" w:eastAsia="Times New Roman" w:cs="Times New Roman"/>
              <w:sz w:val="23"/>
              <w:szCs w:val="23"/>
            </w:rPr>
            <w:tab/>
          </w:r>
          <w:r>
            <w:rPr>
              <w:rFonts w:ascii="Times New Roman" w:hAnsi="Times New Roman" w:eastAsia="Times New Roman" w:cs="Times New Roman"/>
              <w:spacing w:val="8"/>
              <w:sz w:val="23"/>
              <w:szCs w:val="23"/>
            </w:rPr>
            <w:t>19</w:t>
          </w:r>
          <w:r>
            <w:rPr>
              <w:rFonts w:ascii="Times New Roman" w:hAnsi="Times New Roman" w:eastAsia="Times New Roman" w:cs="Times New Roman"/>
              <w:spacing w:val="8"/>
              <w:sz w:val="23"/>
              <w:szCs w:val="23"/>
            </w:rPr>
            <w:fldChar w:fldCharType="end"/>
          </w:r>
        </w:p>
        <w:p w14:paraId="345ABC3E">
          <w:pPr>
            <w:tabs>
              <w:tab w:val="right" w:leader="dot" w:pos="8320"/>
            </w:tabs>
            <w:spacing w:before="159" w:line="226" w:lineRule="auto"/>
            <w:ind w:left="439"/>
            <w:rPr>
              <w:rFonts w:ascii="Times New Roman" w:hAnsi="Times New Roman" w:eastAsia="Times New Roman" w:cs="Times New Roman"/>
              <w:sz w:val="23"/>
              <w:szCs w:val="23"/>
            </w:rPr>
          </w:pPr>
          <w:r>
            <w:fldChar w:fldCharType="begin"/>
          </w:r>
          <w:r>
            <w:instrText xml:space="preserve"> HYPERLINK \l "_bookmark10" </w:instrText>
          </w:r>
          <w:r>
            <w:fldChar w:fldCharType="separate"/>
          </w:r>
          <w:r>
            <w:rPr>
              <w:rFonts w:ascii="Times New Roman" w:hAnsi="Times New Roman" w:eastAsia="Times New Roman" w:cs="Times New Roman"/>
              <w:spacing w:val="16"/>
              <w:sz w:val="23"/>
              <w:szCs w:val="23"/>
            </w:rPr>
            <w:t>2</w:t>
          </w:r>
          <w:r>
            <w:rPr>
              <w:rFonts w:ascii="Times New Roman" w:hAnsi="Times New Roman" w:eastAsia="Times New Roman" w:cs="Times New Roman"/>
              <w:spacing w:val="10"/>
              <w:sz w:val="23"/>
              <w:szCs w:val="23"/>
            </w:rPr>
            <w:t>.</w:t>
          </w:r>
          <w:r>
            <w:rPr>
              <w:rFonts w:ascii="Times New Roman" w:hAnsi="Times New Roman" w:eastAsia="Times New Roman" w:cs="Times New Roman"/>
              <w:spacing w:val="8"/>
              <w:sz w:val="23"/>
              <w:szCs w:val="23"/>
            </w:rPr>
            <w:t xml:space="preserve">3  </w:t>
          </w:r>
          <w:r>
            <w:rPr>
              <w:rFonts w:ascii="宋体" w:hAnsi="宋体" w:eastAsia="宋体" w:cs="宋体"/>
              <w:spacing w:val="8"/>
              <w:sz w:val="23"/>
              <w:szCs w:val="23"/>
            </w:rPr>
            <w:t>评价内容及评价重点</w:t>
          </w:r>
          <w:r>
            <w:rPr>
              <w:rFonts w:ascii="Times New Roman" w:hAnsi="Times New Roman" w:eastAsia="Times New Roman" w:cs="Times New Roman"/>
              <w:sz w:val="23"/>
              <w:szCs w:val="23"/>
            </w:rPr>
            <w:tab/>
          </w:r>
          <w:r>
            <w:rPr>
              <w:rFonts w:ascii="Times New Roman" w:hAnsi="Times New Roman" w:eastAsia="Times New Roman" w:cs="Times New Roman"/>
              <w:spacing w:val="8"/>
              <w:sz w:val="23"/>
              <w:szCs w:val="23"/>
            </w:rPr>
            <w:t>23</w:t>
          </w:r>
          <w:r>
            <w:rPr>
              <w:rFonts w:ascii="Times New Roman" w:hAnsi="Times New Roman" w:eastAsia="Times New Roman" w:cs="Times New Roman"/>
              <w:spacing w:val="8"/>
              <w:sz w:val="23"/>
              <w:szCs w:val="23"/>
            </w:rPr>
            <w:fldChar w:fldCharType="end"/>
          </w:r>
        </w:p>
        <w:p w14:paraId="14048E78">
          <w:pPr>
            <w:tabs>
              <w:tab w:val="right" w:leader="dot" w:pos="8320"/>
            </w:tabs>
            <w:spacing w:before="158" w:line="228" w:lineRule="auto"/>
            <w:ind w:left="439"/>
            <w:rPr>
              <w:rFonts w:ascii="Times New Roman" w:hAnsi="Times New Roman" w:eastAsia="Times New Roman" w:cs="Times New Roman"/>
              <w:sz w:val="23"/>
              <w:szCs w:val="23"/>
            </w:rPr>
          </w:pPr>
          <w:r>
            <w:fldChar w:fldCharType="begin"/>
          </w:r>
          <w:r>
            <w:instrText xml:space="preserve"> HYPERLINK \l "_bookmark11" </w:instrText>
          </w:r>
          <w:r>
            <w:fldChar w:fldCharType="separate"/>
          </w:r>
          <w:r>
            <w:rPr>
              <w:rFonts w:ascii="Times New Roman" w:hAnsi="Times New Roman" w:eastAsia="Times New Roman" w:cs="Times New Roman"/>
              <w:spacing w:val="12"/>
              <w:sz w:val="23"/>
              <w:szCs w:val="23"/>
            </w:rPr>
            <w:t>2</w:t>
          </w:r>
          <w:r>
            <w:rPr>
              <w:rFonts w:ascii="Times New Roman" w:hAnsi="Times New Roman" w:eastAsia="Times New Roman" w:cs="Times New Roman"/>
              <w:spacing w:val="8"/>
              <w:sz w:val="23"/>
              <w:szCs w:val="23"/>
            </w:rPr>
            <w:t xml:space="preserve">.4  </w:t>
          </w:r>
          <w:r>
            <w:rPr>
              <w:rFonts w:ascii="宋体" w:hAnsi="宋体" w:eastAsia="宋体" w:cs="宋体"/>
              <w:spacing w:val="8"/>
              <w:sz w:val="23"/>
              <w:szCs w:val="23"/>
            </w:rPr>
            <w:t>环境功能区划</w:t>
          </w:r>
          <w:r>
            <w:rPr>
              <w:rFonts w:ascii="Times New Roman" w:hAnsi="Times New Roman" w:eastAsia="Times New Roman" w:cs="Times New Roman"/>
              <w:sz w:val="23"/>
              <w:szCs w:val="23"/>
            </w:rPr>
            <w:tab/>
          </w:r>
          <w:r>
            <w:rPr>
              <w:rFonts w:ascii="Times New Roman" w:hAnsi="Times New Roman" w:eastAsia="Times New Roman" w:cs="Times New Roman"/>
              <w:spacing w:val="8"/>
              <w:sz w:val="23"/>
              <w:szCs w:val="23"/>
            </w:rPr>
            <w:t>23</w:t>
          </w:r>
          <w:r>
            <w:rPr>
              <w:rFonts w:ascii="Times New Roman" w:hAnsi="Times New Roman" w:eastAsia="Times New Roman" w:cs="Times New Roman"/>
              <w:spacing w:val="8"/>
              <w:sz w:val="23"/>
              <w:szCs w:val="23"/>
            </w:rPr>
            <w:fldChar w:fldCharType="end"/>
          </w:r>
        </w:p>
        <w:p w14:paraId="1F088F78">
          <w:pPr>
            <w:tabs>
              <w:tab w:val="right" w:leader="dot" w:pos="8320"/>
            </w:tabs>
            <w:spacing w:before="155" w:line="226" w:lineRule="auto"/>
            <w:ind w:left="439"/>
            <w:rPr>
              <w:rFonts w:ascii="Times New Roman" w:hAnsi="Times New Roman" w:eastAsia="Times New Roman" w:cs="Times New Roman"/>
              <w:sz w:val="23"/>
              <w:szCs w:val="23"/>
            </w:rPr>
          </w:pPr>
          <w:r>
            <w:fldChar w:fldCharType="begin"/>
          </w:r>
          <w:r>
            <w:instrText xml:space="preserve"> HYPERLINK \l "_bookmark12" </w:instrText>
          </w:r>
          <w:r>
            <w:fldChar w:fldCharType="separate"/>
          </w:r>
          <w:r>
            <w:rPr>
              <w:rFonts w:ascii="Times New Roman" w:hAnsi="Times New Roman" w:eastAsia="Times New Roman" w:cs="Times New Roman"/>
              <w:spacing w:val="16"/>
              <w:sz w:val="23"/>
              <w:szCs w:val="23"/>
            </w:rPr>
            <w:t>2</w:t>
          </w:r>
          <w:r>
            <w:rPr>
              <w:rFonts w:ascii="Times New Roman" w:hAnsi="Times New Roman" w:eastAsia="Times New Roman" w:cs="Times New Roman"/>
              <w:spacing w:val="10"/>
              <w:sz w:val="23"/>
              <w:szCs w:val="23"/>
            </w:rPr>
            <w:t>.</w:t>
          </w:r>
          <w:r>
            <w:rPr>
              <w:rFonts w:ascii="Times New Roman" w:hAnsi="Times New Roman" w:eastAsia="Times New Roman" w:cs="Times New Roman"/>
              <w:spacing w:val="8"/>
              <w:sz w:val="23"/>
              <w:szCs w:val="23"/>
            </w:rPr>
            <w:t xml:space="preserve">5  </w:t>
          </w:r>
          <w:r>
            <w:rPr>
              <w:rFonts w:ascii="宋体" w:hAnsi="宋体" w:eastAsia="宋体" w:cs="宋体"/>
              <w:spacing w:val="8"/>
              <w:sz w:val="23"/>
              <w:szCs w:val="23"/>
            </w:rPr>
            <w:t>评价因子与评价标准</w:t>
          </w:r>
          <w:r>
            <w:rPr>
              <w:rFonts w:ascii="Times New Roman" w:hAnsi="Times New Roman" w:eastAsia="Times New Roman" w:cs="Times New Roman"/>
              <w:sz w:val="23"/>
              <w:szCs w:val="23"/>
            </w:rPr>
            <w:tab/>
          </w:r>
          <w:r>
            <w:rPr>
              <w:rFonts w:ascii="Times New Roman" w:hAnsi="Times New Roman" w:eastAsia="Times New Roman" w:cs="Times New Roman"/>
              <w:spacing w:val="8"/>
              <w:sz w:val="23"/>
              <w:szCs w:val="23"/>
            </w:rPr>
            <w:t>24</w:t>
          </w:r>
          <w:r>
            <w:rPr>
              <w:rFonts w:ascii="Times New Roman" w:hAnsi="Times New Roman" w:eastAsia="Times New Roman" w:cs="Times New Roman"/>
              <w:spacing w:val="8"/>
              <w:sz w:val="23"/>
              <w:szCs w:val="23"/>
            </w:rPr>
            <w:fldChar w:fldCharType="end"/>
          </w:r>
        </w:p>
        <w:p w14:paraId="2A3854BF">
          <w:pPr>
            <w:tabs>
              <w:tab w:val="right" w:leader="dot" w:pos="8320"/>
            </w:tabs>
            <w:spacing w:before="160" w:line="226" w:lineRule="auto"/>
            <w:ind w:left="439"/>
            <w:rPr>
              <w:rFonts w:ascii="Times New Roman" w:hAnsi="Times New Roman" w:eastAsia="Times New Roman" w:cs="Times New Roman"/>
              <w:sz w:val="23"/>
              <w:szCs w:val="23"/>
            </w:rPr>
          </w:pPr>
          <w:r>
            <w:fldChar w:fldCharType="begin"/>
          </w:r>
          <w:r>
            <w:instrText xml:space="preserve"> HYPERLINK \l "_bookmark13" </w:instrText>
          </w:r>
          <w:r>
            <w:fldChar w:fldCharType="separate"/>
          </w:r>
          <w:r>
            <w:rPr>
              <w:rFonts w:ascii="Times New Roman" w:hAnsi="Times New Roman" w:eastAsia="Times New Roman" w:cs="Times New Roman"/>
              <w:spacing w:val="9"/>
              <w:sz w:val="23"/>
              <w:szCs w:val="23"/>
            </w:rPr>
            <w:t xml:space="preserve">2.6  </w:t>
          </w:r>
          <w:r>
            <w:rPr>
              <w:rFonts w:ascii="宋体" w:hAnsi="宋体" w:eastAsia="宋体" w:cs="宋体"/>
              <w:spacing w:val="9"/>
              <w:sz w:val="23"/>
              <w:szCs w:val="23"/>
            </w:rPr>
            <w:t>评价工作等级与评价范围</w:t>
          </w:r>
          <w:r>
            <w:rPr>
              <w:rFonts w:ascii="Times New Roman" w:hAnsi="Times New Roman" w:eastAsia="Times New Roman" w:cs="Times New Roman"/>
              <w:sz w:val="23"/>
              <w:szCs w:val="23"/>
            </w:rPr>
            <w:tab/>
          </w:r>
          <w:r>
            <w:rPr>
              <w:rFonts w:ascii="Times New Roman" w:hAnsi="Times New Roman" w:eastAsia="Times New Roman" w:cs="Times New Roman"/>
              <w:spacing w:val="9"/>
              <w:sz w:val="23"/>
              <w:szCs w:val="23"/>
            </w:rPr>
            <w:t>3</w:t>
          </w:r>
          <w:r>
            <w:rPr>
              <w:rFonts w:ascii="Times New Roman" w:hAnsi="Times New Roman" w:eastAsia="Times New Roman" w:cs="Times New Roman"/>
              <w:spacing w:val="5"/>
              <w:sz w:val="23"/>
              <w:szCs w:val="23"/>
            </w:rPr>
            <w:t>0</w:t>
          </w:r>
          <w:r>
            <w:rPr>
              <w:rFonts w:ascii="Times New Roman" w:hAnsi="Times New Roman" w:eastAsia="Times New Roman" w:cs="Times New Roman"/>
              <w:spacing w:val="5"/>
              <w:sz w:val="23"/>
              <w:szCs w:val="23"/>
            </w:rPr>
            <w:fldChar w:fldCharType="end"/>
          </w:r>
        </w:p>
        <w:p w14:paraId="12CEE396">
          <w:pPr>
            <w:tabs>
              <w:tab w:val="right" w:leader="dot" w:pos="8320"/>
            </w:tabs>
            <w:spacing w:before="158" w:line="228" w:lineRule="auto"/>
            <w:ind w:left="439"/>
            <w:rPr>
              <w:rFonts w:ascii="Times New Roman" w:hAnsi="Times New Roman" w:eastAsia="Times New Roman" w:cs="Times New Roman"/>
              <w:sz w:val="23"/>
              <w:szCs w:val="23"/>
            </w:rPr>
          </w:pPr>
          <w:r>
            <w:fldChar w:fldCharType="begin"/>
          </w:r>
          <w:r>
            <w:instrText xml:space="preserve"> HYPERLINK \l "_bookmark14" </w:instrText>
          </w:r>
          <w:r>
            <w:fldChar w:fldCharType="separate"/>
          </w:r>
          <w:r>
            <w:rPr>
              <w:rFonts w:ascii="Times New Roman" w:hAnsi="Times New Roman" w:eastAsia="Times New Roman" w:cs="Times New Roman"/>
              <w:spacing w:val="12"/>
              <w:sz w:val="23"/>
              <w:szCs w:val="23"/>
            </w:rPr>
            <w:t>2</w:t>
          </w:r>
          <w:r>
            <w:rPr>
              <w:rFonts w:ascii="Times New Roman" w:hAnsi="Times New Roman" w:eastAsia="Times New Roman" w:cs="Times New Roman"/>
              <w:spacing w:val="8"/>
              <w:sz w:val="23"/>
              <w:szCs w:val="23"/>
            </w:rPr>
            <w:t xml:space="preserve">.7  </w:t>
          </w:r>
          <w:r>
            <w:rPr>
              <w:rFonts w:ascii="宋体" w:hAnsi="宋体" w:eastAsia="宋体" w:cs="宋体"/>
              <w:spacing w:val="8"/>
              <w:sz w:val="23"/>
              <w:szCs w:val="23"/>
            </w:rPr>
            <w:t>环境保护目标</w:t>
          </w:r>
          <w:r>
            <w:rPr>
              <w:rFonts w:ascii="Times New Roman" w:hAnsi="Times New Roman" w:eastAsia="Times New Roman" w:cs="Times New Roman"/>
              <w:sz w:val="23"/>
              <w:szCs w:val="23"/>
            </w:rPr>
            <w:tab/>
          </w:r>
          <w:r>
            <w:rPr>
              <w:rFonts w:ascii="Times New Roman" w:hAnsi="Times New Roman" w:eastAsia="Times New Roman" w:cs="Times New Roman"/>
              <w:spacing w:val="8"/>
              <w:sz w:val="23"/>
              <w:szCs w:val="23"/>
            </w:rPr>
            <w:t>38</w:t>
          </w:r>
          <w:r>
            <w:rPr>
              <w:rFonts w:ascii="Times New Roman" w:hAnsi="Times New Roman" w:eastAsia="Times New Roman" w:cs="Times New Roman"/>
              <w:spacing w:val="8"/>
              <w:sz w:val="23"/>
              <w:szCs w:val="23"/>
            </w:rPr>
            <w:fldChar w:fldCharType="end"/>
          </w:r>
        </w:p>
        <w:p w14:paraId="12FC1CE6">
          <w:pPr>
            <w:tabs>
              <w:tab w:val="right" w:leader="dot" w:pos="8320"/>
            </w:tabs>
            <w:spacing w:before="155" w:line="228" w:lineRule="auto"/>
            <w:ind w:left="17"/>
            <w:rPr>
              <w:rFonts w:ascii="Times New Roman" w:hAnsi="Times New Roman" w:eastAsia="Times New Roman" w:cs="Times New Roman"/>
              <w:sz w:val="23"/>
              <w:szCs w:val="23"/>
            </w:rPr>
          </w:pPr>
          <w:r>
            <w:fldChar w:fldCharType="begin"/>
          </w:r>
          <w:r>
            <w:instrText xml:space="preserve"> HYPERLINK \l "_bookmark15" </w:instrText>
          </w:r>
          <w:r>
            <w:fldChar w:fldCharType="separate"/>
          </w:r>
          <w:r>
            <w:rPr>
              <w:rFonts w:ascii="Times New Roman" w:hAnsi="Times New Roman" w:eastAsia="Times New Roman" w:cs="Times New Roman"/>
              <w:b/>
              <w:bCs/>
              <w:spacing w:val="14"/>
              <w:sz w:val="23"/>
              <w:szCs w:val="23"/>
            </w:rPr>
            <w:t>3</w:t>
          </w:r>
          <w:r>
            <w:rPr>
              <w:rFonts w:ascii="Times New Roman" w:hAnsi="Times New Roman" w:eastAsia="Times New Roman" w:cs="Times New Roman"/>
              <w:spacing w:val="9"/>
              <w:sz w:val="23"/>
              <w:szCs w:val="23"/>
            </w:rPr>
            <w:t xml:space="preserve">  </w:t>
          </w:r>
          <w:r>
            <w:rPr>
              <w:rFonts w:ascii="宋体" w:hAnsi="宋体" w:eastAsia="宋体" w:cs="宋体"/>
              <w:spacing w:val="9"/>
              <w:sz w:val="23"/>
              <w:szCs w:val="23"/>
              <w14:textOutline w14:w="4358" w14:cap="sq" w14:cmpd="sng">
                <w14:solidFill>
                  <w14:srgbClr w14:val="000000"/>
                </w14:solidFill>
                <w14:prstDash w14:val="solid"/>
                <w14:bevel/>
              </w14:textOutline>
            </w:rPr>
            <w:t>建设项目工程分析</w:t>
          </w:r>
          <w:r>
            <w:rPr>
              <w:rFonts w:ascii="Times New Roman" w:hAnsi="Times New Roman" w:eastAsia="Times New Roman" w:cs="Times New Roman"/>
              <w:b/>
              <w:bCs/>
              <w:sz w:val="23"/>
              <w:szCs w:val="23"/>
            </w:rPr>
            <w:tab/>
          </w:r>
          <w:r>
            <w:rPr>
              <w:rFonts w:ascii="Times New Roman" w:hAnsi="Times New Roman" w:eastAsia="Times New Roman" w:cs="Times New Roman"/>
              <w:b/>
              <w:bCs/>
              <w:spacing w:val="9"/>
              <w:sz w:val="23"/>
              <w:szCs w:val="23"/>
            </w:rPr>
            <w:t>41</w:t>
          </w:r>
          <w:r>
            <w:rPr>
              <w:rFonts w:ascii="Times New Roman" w:hAnsi="Times New Roman" w:eastAsia="Times New Roman" w:cs="Times New Roman"/>
              <w:b/>
              <w:bCs/>
              <w:spacing w:val="9"/>
              <w:sz w:val="23"/>
              <w:szCs w:val="23"/>
            </w:rPr>
            <w:fldChar w:fldCharType="end"/>
          </w:r>
        </w:p>
        <w:p w14:paraId="08C717FB">
          <w:pPr>
            <w:tabs>
              <w:tab w:val="right" w:leader="dot" w:pos="8320"/>
            </w:tabs>
            <w:spacing w:before="158" w:line="227" w:lineRule="auto"/>
            <w:ind w:left="443"/>
            <w:rPr>
              <w:rFonts w:ascii="Times New Roman" w:hAnsi="Times New Roman" w:eastAsia="Times New Roman" w:cs="Times New Roman"/>
              <w:sz w:val="23"/>
              <w:szCs w:val="23"/>
            </w:rPr>
          </w:pPr>
          <w:r>
            <w:fldChar w:fldCharType="begin"/>
          </w:r>
          <w:r>
            <w:instrText xml:space="preserve"> HYPERLINK \l "_bookmark16" </w:instrText>
          </w:r>
          <w:r>
            <w:fldChar w:fldCharType="separate"/>
          </w:r>
          <w:r>
            <w:rPr>
              <w:rFonts w:ascii="Times New Roman" w:hAnsi="Times New Roman" w:eastAsia="Times New Roman" w:cs="Times New Roman"/>
              <w:spacing w:val="14"/>
              <w:sz w:val="23"/>
              <w:szCs w:val="23"/>
            </w:rPr>
            <w:t>3</w:t>
          </w:r>
          <w:r>
            <w:rPr>
              <w:rFonts w:ascii="Times New Roman" w:hAnsi="Times New Roman" w:eastAsia="Times New Roman" w:cs="Times New Roman"/>
              <w:spacing w:val="7"/>
              <w:sz w:val="23"/>
              <w:szCs w:val="23"/>
            </w:rPr>
            <w:t xml:space="preserve">.1  </w:t>
          </w:r>
          <w:r>
            <w:rPr>
              <w:rFonts w:ascii="宋体" w:hAnsi="宋体" w:eastAsia="宋体" w:cs="宋体"/>
              <w:spacing w:val="7"/>
              <w:sz w:val="23"/>
              <w:szCs w:val="23"/>
            </w:rPr>
            <w:t>项目概况</w:t>
          </w:r>
          <w:r>
            <w:rPr>
              <w:rFonts w:ascii="Times New Roman" w:hAnsi="Times New Roman" w:eastAsia="Times New Roman" w:cs="Times New Roman"/>
              <w:sz w:val="23"/>
              <w:szCs w:val="23"/>
            </w:rPr>
            <w:tab/>
          </w:r>
          <w:r>
            <w:rPr>
              <w:rFonts w:ascii="Times New Roman" w:hAnsi="Times New Roman" w:eastAsia="Times New Roman" w:cs="Times New Roman"/>
              <w:spacing w:val="7"/>
              <w:sz w:val="23"/>
              <w:szCs w:val="23"/>
            </w:rPr>
            <w:t>41</w:t>
          </w:r>
          <w:r>
            <w:rPr>
              <w:rFonts w:ascii="Times New Roman" w:hAnsi="Times New Roman" w:eastAsia="Times New Roman" w:cs="Times New Roman"/>
              <w:spacing w:val="7"/>
              <w:sz w:val="23"/>
              <w:szCs w:val="23"/>
            </w:rPr>
            <w:fldChar w:fldCharType="end"/>
          </w:r>
        </w:p>
        <w:p w14:paraId="3BC8D8A7">
          <w:pPr>
            <w:tabs>
              <w:tab w:val="right" w:leader="dot" w:pos="8320"/>
            </w:tabs>
            <w:spacing w:before="156" w:line="228" w:lineRule="auto"/>
            <w:ind w:left="443"/>
            <w:rPr>
              <w:rFonts w:ascii="Times New Roman" w:hAnsi="Times New Roman" w:eastAsia="Times New Roman" w:cs="Times New Roman"/>
              <w:sz w:val="23"/>
              <w:szCs w:val="23"/>
            </w:rPr>
          </w:pPr>
          <w:r>
            <w:fldChar w:fldCharType="begin"/>
          </w:r>
          <w:r>
            <w:instrText xml:space="preserve"> HYPERLINK \l "_bookmark17" </w:instrText>
          </w:r>
          <w:r>
            <w:fldChar w:fldCharType="separate"/>
          </w:r>
          <w:r>
            <w:rPr>
              <w:rFonts w:ascii="Times New Roman" w:hAnsi="Times New Roman" w:eastAsia="Times New Roman" w:cs="Times New Roman"/>
              <w:spacing w:val="14"/>
              <w:sz w:val="23"/>
              <w:szCs w:val="23"/>
            </w:rPr>
            <w:t>3</w:t>
          </w:r>
          <w:r>
            <w:rPr>
              <w:rFonts w:ascii="Times New Roman" w:hAnsi="Times New Roman" w:eastAsia="Times New Roman" w:cs="Times New Roman"/>
              <w:spacing w:val="7"/>
              <w:sz w:val="23"/>
              <w:szCs w:val="23"/>
            </w:rPr>
            <w:t xml:space="preserve">.2  </w:t>
          </w:r>
          <w:r>
            <w:rPr>
              <w:rFonts w:ascii="宋体" w:hAnsi="宋体" w:eastAsia="宋体" w:cs="宋体"/>
              <w:spacing w:val="7"/>
              <w:sz w:val="23"/>
              <w:szCs w:val="23"/>
            </w:rPr>
            <w:t>工程分析</w:t>
          </w:r>
          <w:r>
            <w:rPr>
              <w:rFonts w:ascii="Times New Roman" w:hAnsi="Times New Roman" w:eastAsia="Times New Roman" w:cs="Times New Roman"/>
              <w:sz w:val="23"/>
              <w:szCs w:val="23"/>
            </w:rPr>
            <w:tab/>
          </w:r>
          <w:r>
            <w:rPr>
              <w:rFonts w:ascii="Times New Roman" w:hAnsi="Times New Roman" w:eastAsia="Times New Roman" w:cs="Times New Roman"/>
              <w:spacing w:val="7"/>
              <w:sz w:val="23"/>
              <w:szCs w:val="23"/>
            </w:rPr>
            <w:t>51</w:t>
          </w:r>
          <w:r>
            <w:rPr>
              <w:rFonts w:ascii="Times New Roman" w:hAnsi="Times New Roman" w:eastAsia="Times New Roman" w:cs="Times New Roman"/>
              <w:spacing w:val="7"/>
              <w:sz w:val="23"/>
              <w:szCs w:val="23"/>
            </w:rPr>
            <w:fldChar w:fldCharType="end"/>
          </w:r>
        </w:p>
        <w:p w14:paraId="61561C40">
          <w:pPr>
            <w:tabs>
              <w:tab w:val="right" w:leader="dot" w:pos="8320"/>
            </w:tabs>
            <w:spacing w:before="155" w:line="228" w:lineRule="auto"/>
            <w:ind w:left="443"/>
            <w:rPr>
              <w:rFonts w:ascii="Times New Roman" w:hAnsi="Times New Roman" w:eastAsia="Times New Roman" w:cs="Times New Roman"/>
              <w:sz w:val="23"/>
              <w:szCs w:val="23"/>
            </w:rPr>
          </w:pPr>
          <w:r>
            <w:fldChar w:fldCharType="begin"/>
          </w:r>
          <w:r>
            <w:instrText xml:space="preserve"> HYPERLINK \l "_bookmark18" </w:instrText>
          </w:r>
          <w:r>
            <w:fldChar w:fldCharType="separate"/>
          </w:r>
          <w:r>
            <w:rPr>
              <w:rFonts w:ascii="Times New Roman" w:hAnsi="Times New Roman" w:eastAsia="Times New Roman" w:cs="Times New Roman"/>
              <w:spacing w:val="14"/>
              <w:sz w:val="23"/>
              <w:szCs w:val="23"/>
            </w:rPr>
            <w:t>3</w:t>
          </w:r>
          <w:r>
            <w:rPr>
              <w:rFonts w:ascii="Times New Roman" w:hAnsi="Times New Roman" w:eastAsia="Times New Roman" w:cs="Times New Roman"/>
              <w:spacing w:val="8"/>
              <w:sz w:val="23"/>
              <w:szCs w:val="23"/>
            </w:rPr>
            <w:t xml:space="preserve">.3  </w:t>
          </w:r>
          <w:r>
            <w:rPr>
              <w:rFonts w:ascii="宋体" w:hAnsi="宋体" w:eastAsia="宋体" w:cs="宋体"/>
              <w:spacing w:val="8"/>
              <w:sz w:val="23"/>
              <w:szCs w:val="23"/>
            </w:rPr>
            <w:t>污染物排放总量控制</w:t>
          </w:r>
          <w:r>
            <w:rPr>
              <w:rFonts w:ascii="Times New Roman" w:hAnsi="Times New Roman" w:eastAsia="Times New Roman" w:cs="Times New Roman"/>
              <w:sz w:val="23"/>
              <w:szCs w:val="23"/>
            </w:rPr>
            <w:tab/>
          </w:r>
          <w:r>
            <w:rPr>
              <w:rFonts w:ascii="Times New Roman" w:hAnsi="Times New Roman" w:eastAsia="Times New Roman" w:cs="Times New Roman"/>
              <w:spacing w:val="8"/>
              <w:sz w:val="23"/>
              <w:szCs w:val="23"/>
            </w:rPr>
            <w:t>73</w:t>
          </w:r>
          <w:r>
            <w:rPr>
              <w:rFonts w:ascii="Times New Roman" w:hAnsi="Times New Roman" w:eastAsia="Times New Roman" w:cs="Times New Roman"/>
              <w:spacing w:val="8"/>
              <w:sz w:val="23"/>
              <w:szCs w:val="23"/>
            </w:rPr>
            <w:fldChar w:fldCharType="end"/>
          </w:r>
        </w:p>
        <w:p w14:paraId="08753054">
          <w:pPr>
            <w:tabs>
              <w:tab w:val="right" w:leader="dot" w:pos="8320"/>
            </w:tabs>
            <w:spacing w:before="157" w:line="226" w:lineRule="auto"/>
            <w:ind w:left="20"/>
            <w:rPr>
              <w:rFonts w:ascii="Times New Roman" w:hAnsi="Times New Roman" w:eastAsia="Times New Roman" w:cs="Times New Roman"/>
              <w:sz w:val="23"/>
              <w:szCs w:val="23"/>
            </w:rPr>
          </w:pPr>
          <w:r>
            <w:fldChar w:fldCharType="begin"/>
          </w:r>
          <w:r>
            <w:instrText xml:space="preserve"> HYPERLINK \l "_bookmark19" </w:instrText>
          </w:r>
          <w:r>
            <w:fldChar w:fldCharType="separate"/>
          </w:r>
          <w:r>
            <w:rPr>
              <w:rFonts w:ascii="Times New Roman" w:hAnsi="Times New Roman" w:eastAsia="Times New Roman" w:cs="Times New Roman"/>
              <w:b/>
              <w:bCs/>
              <w:spacing w:val="13"/>
              <w:sz w:val="23"/>
              <w:szCs w:val="23"/>
            </w:rPr>
            <w:t>4</w:t>
          </w:r>
          <w:r>
            <w:rPr>
              <w:rFonts w:ascii="Times New Roman" w:hAnsi="Times New Roman" w:eastAsia="Times New Roman" w:cs="Times New Roman"/>
              <w:spacing w:val="9"/>
              <w:sz w:val="23"/>
              <w:szCs w:val="23"/>
            </w:rPr>
            <w:t xml:space="preserve">  </w:t>
          </w:r>
          <w:r>
            <w:rPr>
              <w:rFonts w:ascii="宋体" w:hAnsi="宋体" w:eastAsia="宋体" w:cs="宋体"/>
              <w:spacing w:val="9"/>
              <w:sz w:val="23"/>
              <w:szCs w:val="23"/>
              <w14:textOutline w14:w="4358" w14:cap="sq" w14:cmpd="sng">
                <w14:solidFill>
                  <w14:srgbClr w14:val="000000"/>
                </w14:solidFill>
                <w14:prstDash w14:val="solid"/>
                <w14:bevel/>
              </w14:textOutline>
            </w:rPr>
            <w:t>环境现状调查与评价</w:t>
          </w:r>
          <w:r>
            <w:rPr>
              <w:rFonts w:ascii="Times New Roman" w:hAnsi="Times New Roman" w:eastAsia="Times New Roman" w:cs="Times New Roman"/>
              <w:b/>
              <w:bCs/>
              <w:sz w:val="23"/>
              <w:szCs w:val="23"/>
            </w:rPr>
            <w:tab/>
          </w:r>
          <w:r>
            <w:rPr>
              <w:rFonts w:ascii="Times New Roman" w:hAnsi="Times New Roman" w:eastAsia="Times New Roman" w:cs="Times New Roman"/>
              <w:b/>
              <w:bCs/>
              <w:spacing w:val="9"/>
              <w:sz w:val="23"/>
              <w:szCs w:val="23"/>
            </w:rPr>
            <w:t>75</w:t>
          </w:r>
          <w:r>
            <w:rPr>
              <w:rFonts w:ascii="Times New Roman" w:hAnsi="Times New Roman" w:eastAsia="Times New Roman" w:cs="Times New Roman"/>
              <w:b/>
              <w:bCs/>
              <w:spacing w:val="9"/>
              <w:sz w:val="23"/>
              <w:szCs w:val="23"/>
            </w:rPr>
            <w:fldChar w:fldCharType="end"/>
          </w:r>
        </w:p>
        <w:p w14:paraId="787E509C">
          <w:pPr>
            <w:tabs>
              <w:tab w:val="right" w:leader="dot" w:pos="8320"/>
            </w:tabs>
            <w:spacing w:before="158" w:line="227" w:lineRule="auto"/>
            <w:ind w:left="437"/>
            <w:rPr>
              <w:rFonts w:ascii="Times New Roman" w:hAnsi="Times New Roman" w:eastAsia="Times New Roman" w:cs="Times New Roman"/>
              <w:sz w:val="23"/>
              <w:szCs w:val="23"/>
            </w:rPr>
          </w:pPr>
          <w:r>
            <w:fldChar w:fldCharType="begin"/>
          </w:r>
          <w:r>
            <w:instrText xml:space="preserve"> HYPERLINK \l "_bookmark20" </w:instrText>
          </w:r>
          <w:r>
            <w:fldChar w:fldCharType="separate"/>
          </w:r>
          <w:r>
            <w:rPr>
              <w:rFonts w:ascii="Times New Roman" w:hAnsi="Times New Roman" w:eastAsia="Times New Roman" w:cs="Times New Roman"/>
              <w:spacing w:val="14"/>
              <w:sz w:val="23"/>
              <w:szCs w:val="23"/>
            </w:rPr>
            <w:t>4</w:t>
          </w:r>
          <w:r>
            <w:rPr>
              <w:rFonts w:ascii="Times New Roman" w:hAnsi="Times New Roman" w:eastAsia="Times New Roman" w:cs="Times New Roman"/>
              <w:spacing w:val="8"/>
              <w:sz w:val="23"/>
              <w:szCs w:val="23"/>
            </w:rPr>
            <w:t xml:space="preserve">.1  </w:t>
          </w:r>
          <w:r>
            <w:rPr>
              <w:rFonts w:ascii="宋体" w:hAnsi="宋体" w:eastAsia="宋体" w:cs="宋体"/>
              <w:spacing w:val="8"/>
              <w:sz w:val="23"/>
              <w:szCs w:val="23"/>
            </w:rPr>
            <w:t>自然环境概况</w:t>
          </w:r>
          <w:r>
            <w:rPr>
              <w:rFonts w:ascii="Times New Roman" w:hAnsi="Times New Roman" w:eastAsia="Times New Roman" w:cs="Times New Roman"/>
              <w:sz w:val="23"/>
              <w:szCs w:val="23"/>
            </w:rPr>
            <w:tab/>
          </w:r>
          <w:r>
            <w:rPr>
              <w:rFonts w:ascii="Times New Roman" w:hAnsi="Times New Roman" w:eastAsia="Times New Roman" w:cs="Times New Roman"/>
              <w:spacing w:val="8"/>
              <w:sz w:val="23"/>
              <w:szCs w:val="23"/>
            </w:rPr>
            <w:t>75</w:t>
          </w:r>
          <w:r>
            <w:rPr>
              <w:rFonts w:ascii="Times New Roman" w:hAnsi="Times New Roman" w:eastAsia="Times New Roman" w:cs="Times New Roman"/>
              <w:spacing w:val="8"/>
              <w:sz w:val="23"/>
              <w:szCs w:val="23"/>
            </w:rPr>
            <w:fldChar w:fldCharType="end"/>
          </w:r>
        </w:p>
        <w:p w14:paraId="7B001552">
          <w:pPr>
            <w:tabs>
              <w:tab w:val="right" w:leader="dot" w:pos="8320"/>
            </w:tabs>
            <w:spacing w:before="156" w:line="227" w:lineRule="auto"/>
            <w:ind w:left="437"/>
            <w:rPr>
              <w:rFonts w:ascii="Times New Roman" w:hAnsi="Times New Roman" w:eastAsia="Times New Roman" w:cs="Times New Roman"/>
              <w:sz w:val="23"/>
              <w:szCs w:val="23"/>
            </w:rPr>
          </w:pPr>
          <w:r>
            <w:fldChar w:fldCharType="begin"/>
          </w:r>
          <w:r>
            <w:instrText xml:space="preserve"> HYPERLINK \l "_bookmark21" </w:instrText>
          </w:r>
          <w:r>
            <w:fldChar w:fldCharType="separate"/>
          </w:r>
          <w:r>
            <w:rPr>
              <w:rFonts w:ascii="Times New Roman" w:hAnsi="Times New Roman" w:eastAsia="Times New Roman" w:cs="Times New Roman"/>
              <w:spacing w:val="14"/>
              <w:sz w:val="23"/>
              <w:szCs w:val="23"/>
            </w:rPr>
            <w:t>4</w:t>
          </w:r>
          <w:r>
            <w:rPr>
              <w:rFonts w:ascii="Times New Roman" w:hAnsi="Times New Roman" w:eastAsia="Times New Roman" w:cs="Times New Roman"/>
              <w:spacing w:val="8"/>
              <w:sz w:val="23"/>
              <w:szCs w:val="23"/>
            </w:rPr>
            <w:t xml:space="preserve">.2  </w:t>
          </w:r>
          <w:r>
            <w:rPr>
              <w:rFonts w:ascii="宋体" w:hAnsi="宋体" w:eastAsia="宋体" w:cs="宋体"/>
              <w:spacing w:val="8"/>
              <w:sz w:val="23"/>
              <w:szCs w:val="23"/>
            </w:rPr>
            <w:t>社会环境概况</w:t>
          </w:r>
          <w:r>
            <w:rPr>
              <w:rFonts w:ascii="Times New Roman" w:hAnsi="Times New Roman" w:eastAsia="Times New Roman" w:cs="Times New Roman"/>
              <w:sz w:val="23"/>
              <w:szCs w:val="23"/>
            </w:rPr>
            <w:tab/>
          </w:r>
          <w:r>
            <w:rPr>
              <w:rFonts w:ascii="Times New Roman" w:hAnsi="Times New Roman" w:eastAsia="Times New Roman" w:cs="Times New Roman"/>
              <w:spacing w:val="8"/>
              <w:sz w:val="23"/>
              <w:szCs w:val="23"/>
            </w:rPr>
            <w:t>77</w:t>
          </w:r>
          <w:r>
            <w:rPr>
              <w:rFonts w:ascii="Times New Roman" w:hAnsi="Times New Roman" w:eastAsia="Times New Roman" w:cs="Times New Roman"/>
              <w:spacing w:val="8"/>
              <w:sz w:val="23"/>
              <w:szCs w:val="23"/>
            </w:rPr>
            <w:fldChar w:fldCharType="end"/>
          </w:r>
        </w:p>
        <w:p w14:paraId="6DBD1224">
          <w:pPr>
            <w:tabs>
              <w:tab w:val="right" w:leader="dot" w:pos="8320"/>
            </w:tabs>
            <w:spacing w:before="159" w:line="226" w:lineRule="auto"/>
            <w:ind w:left="437"/>
            <w:rPr>
              <w:rFonts w:ascii="Times New Roman" w:hAnsi="Times New Roman" w:eastAsia="Times New Roman" w:cs="Times New Roman"/>
              <w:sz w:val="23"/>
              <w:szCs w:val="23"/>
            </w:rPr>
          </w:pPr>
          <w:r>
            <w:fldChar w:fldCharType="begin"/>
          </w:r>
          <w:r>
            <w:instrText xml:space="preserve"> HYPERLINK \l "_bookmark22" </w:instrText>
          </w:r>
          <w:r>
            <w:fldChar w:fldCharType="separate"/>
          </w:r>
          <w:r>
            <w:rPr>
              <w:rFonts w:ascii="Times New Roman" w:hAnsi="Times New Roman" w:eastAsia="Times New Roman" w:cs="Times New Roman"/>
              <w:spacing w:val="9"/>
              <w:sz w:val="23"/>
              <w:szCs w:val="23"/>
            </w:rPr>
            <w:t xml:space="preserve">4.3  </w:t>
          </w:r>
          <w:r>
            <w:rPr>
              <w:rFonts w:ascii="宋体" w:hAnsi="宋体" w:eastAsia="宋体" w:cs="宋体"/>
              <w:spacing w:val="9"/>
              <w:sz w:val="23"/>
              <w:szCs w:val="23"/>
            </w:rPr>
            <w:t>环境质量现状调查与评价</w:t>
          </w:r>
          <w:r>
            <w:rPr>
              <w:rFonts w:ascii="Times New Roman" w:hAnsi="Times New Roman" w:eastAsia="Times New Roman" w:cs="Times New Roman"/>
              <w:sz w:val="23"/>
              <w:szCs w:val="23"/>
            </w:rPr>
            <w:tab/>
          </w:r>
          <w:r>
            <w:rPr>
              <w:rFonts w:ascii="Times New Roman" w:hAnsi="Times New Roman" w:eastAsia="Times New Roman" w:cs="Times New Roman"/>
              <w:spacing w:val="9"/>
              <w:sz w:val="23"/>
              <w:szCs w:val="23"/>
            </w:rPr>
            <w:t>7</w:t>
          </w:r>
          <w:r>
            <w:rPr>
              <w:rFonts w:ascii="Times New Roman" w:hAnsi="Times New Roman" w:eastAsia="Times New Roman" w:cs="Times New Roman"/>
              <w:spacing w:val="7"/>
              <w:sz w:val="23"/>
              <w:szCs w:val="23"/>
            </w:rPr>
            <w:t>8</w:t>
          </w:r>
          <w:r>
            <w:rPr>
              <w:rFonts w:ascii="Times New Roman" w:hAnsi="Times New Roman" w:eastAsia="Times New Roman" w:cs="Times New Roman"/>
              <w:spacing w:val="7"/>
              <w:sz w:val="23"/>
              <w:szCs w:val="23"/>
            </w:rPr>
            <w:fldChar w:fldCharType="end"/>
          </w:r>
        </w:p>
        <w:p w14:paraId="6876C8D3">
          <w:pPr>
            <w:tabs>
              <w:tab w:val="right" w:leader="dot" w:pos="8320"/>
            </w:tabs>
            <w:spacing w:before="158" w:line="226" w:lineRule="auto"/>
            <w:ind w:left="22"/>
            <w:rPr>
              <w:rFonts w:ascii="Times New Roman" w:hAnsi="Times New Roman" w:eastAsia="Times New Roman" w:cs="Times New Roman"/>
              <w:sz w:val="23"/>
              <w:szCs w:val="23"/>
            </w:rPr>
          </w:pPr>
          <w:r>
            <w:fldChar w:fldCharType="begin"/>
          </w:r>
          <w:r>
            <w:instrText xml:space="preserve"> HYPERLINK \l "_bookmark23" </w:instrText>
          </w:r>
          <w:r>
            <w:fldChar w:fldCharType="separate"/>
          </w:r>
          <w:r>
            <w:rPr>
              <w:rFonts w:ascii="Times New Roman" w:hAnsi="Times New Roman" w:eastAsia="Times New Roman" w:cs="Times New Roman"/>
              <w:b/>
              <w:bCs/>
              <w:spacing w:val="9"/>
              <w:sz w:val="23"/>
              <w:szCs w:val="23"/>
            </w:rPr>
            <w:t>5</w:t>
          </w:r>
          <w:r>
            <w:rPr>
              <w:rFonts w:ascii="Times New Roman" w:hAnsi="Times New Roman" w:eastAsia="Times New Roman" w:cs="Times New Roman"/>
              <w:spacing w:val="9"/>
              <w:sz w:val="23"/>
              <w:szCs w:val="23"/>
            </w:rPr>
            <w:t xml:space="preserve">  </w:t>
          </w:r>
          <w:r>
            <w:rPr>
              <w:rFonts w:ascii="宋体" w:hAnsi="宋体" w:eastAsia="宋体" w:cs="宋体"/>
              <w:spacing w:val="9"/>
              <w:sz w:val="23"/>
              <w:szCs w:val="23"/>
              <w14:textOutline w14:w="4358" w14:cap="sq" w14:cmpd="sng">
                <w14:solidFill>
                  <w14:srgbClr w14:val="000000"/>
                </w14:solidFill>
                <w14:prstDash w14:val="solid"/>
                <w14:bevel/>
              </w14:textOutline>
            </w:rPr>
            <w:t>环境影响预测与评价</w:t>
          </w:r>
          <w:r>
            <w:rPr>
              <w:rFonts w:ascii="Times New Roman" w:hAnsi="Times New Roman" w:eastAsia="Times New Roman" w:cs="Times New Roman"/>
              <w:b/>
              <w:bCs/>
              <w:sz w:val="23"/>
              <w:szCs w:val="23"/>
            </w:rPr>
            <w:tab/>
          </w:r>
          <w:r>
            <w:rPr>
              <w:rFonts w:ascii="Times New Roman" w:hAnsi="Times New Roman" w:eastAsia="Times New Roman" w:cs="Times New Roman"/>
              <w:b/>
              <w:bCs/>
              <w:spacing w:val="9"/>
              <w:sz w:val="23"/>
              <w:szCs w:val="23"/>
            </w:rPr>
            <w:t>10</w:t>
          </w:r>
          <w:r>
            <w:rPr>
              <w:rFonts w:ascii="Times New Roman" w:hAnsi="Times New Roman" w:eastAsia="Times New Roman" w:cs="Times New Roman"/>
              <w:b/>
              <w:bCs/>
              <w:spacing w:val="7"/>
              <w:sz w:val="23"/>
              <w:szCs w:val="23"/>
            </w:rPr>
            <w:t>0</w:t>
          </w:r>
          <w:r>
            <w:rPr>
              <w:rFonts w:ascii="Times New Roman" w:hAnsi="Times New Roman" w:eastAsia="Times New Roman" w:cs="Times New Roman"/>
              <w:b/>
              <w:bCs/>
              <w:spacing w:val="7"/>
              <w:sz w:val="23"/>
              <w:szCs w:val="23"/>
            </w:rPr>
            <w:fldChar w:fldCharType="end"/>
          </w:r>
        </w:p>
        <w:p w14:paraId="57D67C73">
          <w:pPr>
            <w:tabs>
              <w:tab w:val="right" w:leader="dot" w:pos="8320"/>
            </w:tabs>
            <w:spacing w:before="157" w:line="226" w:lineRule="auto"/>
            <w:ind w:left="445"/>
            <w:rPr>
              <w:rFonts w:ascii="Times New Roman" w:hAnsi="Times New Roman" w:eastAsia="Times New Roman" w:cs="Times New Roman"/>
              <w:sz w:val="23"/>
              <w:szCs w:val="23"/>
            </w:rPr>
          </w:pPr>
          <w:r>
            <w:fldChar w:fldCharType="begin"/>
          </w:r>
          <w:r>
            <w:instrText xml:space="preserve"> HYPERLINK \l "_bookmark24" </w:instrText>
          </w:r>
          <w:r>
            <w:fldChar w:fldCharType="separate"/>
          </w:r>
          <w:r>
            <w:rPr>
              <w:rFonts w:ascii="Times New Roman" w:hAnsi="Times New Roman" w:eastAsia="Times New Roman" w:cs="Times New Roman"/>
              <w:spacing w:val="14"/>
              <w:sz w:val="23"/>
              <w:szCs w:val="23"/>
            </w:rPr>
            <w:t>5</w:t>
          </w:r>
          <w:r>
            <w:rPr>
              <w:rFonts w:ascii="Times New Roman" w:hAnsi="Times New Roman" w:eastAsia="Times New Roman" w:cs="Times New Roman"/>
              <w:spacing w:val="8"/>
              <w:sz w:val="23"/>
              <w:szCs w:val="23"/>
            </w:rPr>
            <w:t xml:space="preserve">.1 </w:t>
          </w:r>
          <w:r>
            <w:rPr>
              <w:rFonts w:ascii="宋体" w:hAnsi="宋体" w:eastAsia="宋体" w:cs="宋体"/>
              <w:spacing w:val="8"/>
              <w:sz w:val="23"/>
              <w:szCs w:val="23"/>
            </w:rPr>
            <w:t>施工期环境影响评价</w:t>
          </w:r>
          <w:r>
            <w:rPr>
              <w:rFonts w:ascii="Times New Roman" w:hAnsi="Times New Roman" w:eastAsia="Times New Roman" w:cs="Times New Roman"/>
              <w:sz w:val="23"/>
              <w:szCs w:val="23"/>
            </w:rPr>
            <w:tab/>
          </w:r>
          <w:r>
            <w:rPr>
              <w:rFonts w:ascii="Times New Roman" w:hAnsi="Times New Roman" w:eastAsia="Times New Roman" w:cs="Times New Roman"/>
              <w:spacing w:val="8"/>
              <w:sz w:val="23"/>
              <w:szCs w:val="23"/>
            </w:rPr>
            <w:t>100</w:t>
          </w:r>
          <w:r>
            <w:rPr>
              <w:rFonts w:ascii="Times New Roman" w:hAnsi="Times New Roman" w:eastAsia="Times New Roman" w:cs="Times New Roman"/>
              <w:spacing w:val="8"/>
              <w:sz w:val="23"/>
              <w:szCs w:val="23"/>
            </w:rPr>
            <w:fldChar w:fldCharType="end"/>
          </w:r>
        </w:p>
        <w:p w14:paraId="68EF07B1">
          <w:pPr>
            <w:tabs>
              <w:tab w:val="right" w:leader="dot" w:pos="8320"/>
            </w:tabs>
            <w:spacing w:before="160" w:line="226" w:lineRule="auto"/>
            <w:ind w:left="445"/>
            <w:rPr>
              <w:rFonts w:ascii="Times New Roman" w:hAnsi="Times New Roman" w:eastAsia="Times New Roman" w:cs="Times New Roman"/>
              <w:sz w:val="23"/>
              <w:szCs w:val="23"/>
            </w:rPr>
          </w:pPr>
          <w:r>
            <w:fldChar w:fldCharType="begin"/>
          </w:r>
          <w:r>
            <w:instrText xml:space="preserve"> HYPERLINK \l "_bookmark25" </w:instrText>
          </w:r>
          <w:r>
            <w:fldChar w:fldCharType="separate"/>
          </w:r>
          <w:r>
            <w:rPr>
              <w:rFonts w:ascii="Times New Roman" w:hAnsi="Times New Roman" w:eastAsia="Times New Roman" w:cs="Times New Roman"/>
              <w:spacing w:val="14"/>
              <w:sz w:val="23"/>
              <w:szCs w:val="23"/>
            </w:rPr>
            <w:t>5</w:t>
          </w:r>
          <w:r>
            <w:rPr>
              <w:rFonts w:ascii="Times New Roman" w:hAnsi="Times New Roman" w:eastAsia="Times New Roman" w:cs="Times New Roman"/>
              <w:spacing w:val="8"/>
              <w:sz w:val="23"/>
              <w:szCs w:val="23"/>
            </w:rPr>
            <w:t xml:space="preserve">.2 </w:t>
          </w:r>
          <w:r>
            <w:rPr>
              <w:rFonts w:ascii="宋体" w:hAnsi="宋体" w:eastAsia="宋体" w:cs="宋体"/>
              <w:spacing w:val="8"/>
              <w:sz w:val="23"/>
              <w:szCs w:val="23"/>
            </w:rPr>
            <w:t>营运期环境影响评价</w:t>
          </w:r>
          <w:r>
            <w:rPr>
              <w:rFonts w:ascii="Times New Roman" w:hAnsi="Times New Roman" w:eastAsia="Times New Roman" w:cs="Times New Roman"/>
              <w:sz w:val="23"/>
              <w:szCs w:val="23"/>
            </w:rPr>
            <w:tab/>
          </w:r>
          <w:r>
            <w:rPr>
              <w:rFonts w:ascii="Times New Roman" w:hAnsi="Times New Roman" w:eastAsia="Times New Roman" w:cs="Times New Roman"/>
              <w:spacing w:val="8"/>
              <w:sz w:val="23"/>
              <w:szCs w:val="23"/>
            </w:rPr>
            <w:t>104</w:t>
          </w:r>
          <w:r>
            <w:rPr>
              <w:rFonts w:ascii="Times New Roman" w:hAnsi="Times New Roman" w:eastAsia="Times New Roman" w:cs="Times New Roman"/>
              <w:spacing w:val="8"/>
              <w:sz w:val="23"/>
              <w:szCs w:val="23"/>
            </w:rPr>
            <w:fldChar w:fldCharType="end"/>
          </w:r>
        </w:p>
        <w:p w14:paraId="03ED5B7A">
          <w:pPr>
            <w:tabs>
              <w:tab w:val="right" w:leader="dot" w:pos="8320"/>
            </w:tabs>
            <w:spacing w:before="158" w:line="228" w:lineRule="auto"/>
            <w:ind w:left="22"/>
            <w:rPr>
              <w:rFonts w:ascii="Times New Roman" w:hAnsi="Times New Roman" w:eastAsia="Times New Roman" w:cs="Times New Roman"/>
              <w:sz w:val="23"/>
              <w:szCs w:val="23"/>
            </w:rPr>
          </w:pPr>
          <w:r>
            <w:fldChar w:fldCharType="begin"/>
          </w:r>
          <w:r>
            <w:instrText xml:space="preserve"> HYPERLINK \l "_bookmark26" </w:instrText>
          </w:r>
          <w:r>
            <w:fldChar w:fldCharType="separate"/>
          </w:r>
          <w:r>
            <w:rPr>
              <w:rFonts w:ascii="Times New Roman" w:hAnsi="Times New Roman" w:eastAsia="Times New Roman" w:cs="Times New Roman"/>
              <w:b/>
              <w:bCs/>
              <w:spacing w:val="10"/>
              <w:sz w:val="23"/>
              <w:szCs w:val="23"/>
            </w:rPr>
            <w:t>6</w:t>
          </w:r>
          <w:r>
            <w:rPr>
              <w:rFonts w:ascii="Times New Roman" w:hAnsi="Times New Roman" w:eastAsia="Times New Roman" w:cs="Times New Roman"/>
              <w:spacing w:val="9"/>
              <w:sz w:val="23"/>
              <w:szCs w:val="23"/>
            </w:rPr>
            <w:t xml:space="preserve">  </w:t>
          </w:r>
          <w:r>
            <w:rPr>
              <w:rFonts w:ascii="宋体" w:hAnsi="宋体" w:eastAsia="宋体" w:cs="宋体"/>
              <w:spacing w:val="9"/>
              <w:sz w:val="23"/>
              <w:szCs w:val="23"/>
              <w14:textOutline w14:w="4358" w14:cap="sq" w14:cmpd="sng">
                <w14:solidFill>
                  <w14:srgbClr w14:val="000000"/>
                </w14:solidFill>
                <w14:prstDash w14:val="solid"/>
                <w14:bevel/>
              </w14:textOutline>
            </w:rPr>
            <w:t>污染防治措施及其可行性论证</w:t>
          </w:r>
          <w:r>
            <w:rPr>
              <w:rFonts w:ascii="Times New Roman" w:hAnsi="Times New Roman" w:eastAsia="Times New Roman" w:cs="Times New Roman"/>
              <w:b/>
              <w:bCs/>
              <w:sz w:val="23"/>
              <w:szCs w:val="23"/>
            </w:rPr>
            <w:tab/>
          </w:r>
          <w:r>
            <w:rPr>
              <w:rFonts w:ascii="Times New Roman" w:hAnsi="Times New Roman" w:eastAsia="Times New Roman" w:cs="Times New Roman"/>
              <w:b/>
              <w:bCs/>
              <w:spacing w:val="9"/>
              <w:sz w:val="23"/>
              <w:szCs w:val="23"/>
            </w:rPr>
            <w:t>132</w:t>
          </w:r>
          <w:r>
            <w:rPr>
              <w:rFonts w:ascii="Times New Roman" w:hAnsi="Times New Roman" w:eastAsia="Times New Roman" w:cs="Times New Roman"/>
              <w:b/>
              <w:bCs/>
              <w:spacing w:val="9"/>
              <w:sz w:val="23"/>
              <w:szCs w:val="23"/>
            </w:rPr>
            <w:fldChar w:fldCharType="end"/>
          </w:r>
        </w:p>
        <w:p w14:paraId="1D1A7919">
          <w:pPr>
            <w:tabs>
              <w:tab w:val="right" w:leader="dot" w:pos="8320"/>
            </w:tabs>
            <w:spacing w:before="155" w:line="228" w:lineRule="auto"/>
            <w:ind w:left="444"/>
            <w:rPr>
              <w:rFonts w:ascii="Times New Roman" w:hAnsi="Times New Roman" w:eastAsia="Times New Roman" w:cs="Times New Roman"/>
              <w:sz w:val="23"/>
              <w:szCs w:val="23"/>
            </w:rPr>
          </w:pPr>
          <w:r>
            <w:fldChar w:fldCharType="begin"/>
          </w:r>
          <w:r>
            <w:instrText xml:space="preserve"> HYPERLINK \l "_bookmark27" </w:instrText>
          </w:r>
          <w:r>
            <w:fldChar w:fldCharType="separate"/>
          </w:r>
          <w:r>
            <w:rPr>
              <w:rFonts w:ascii="Times New Roman" w:hAnsi="Times New Roman" w:eastAsia="Times New Roman" w:cs="Times New Roman"/>
              <w:spacing w:val="16"/>
              <w:sz w:val="23"/>
              <w:szCs w:val="23"/>
            </w:rPr>
            <w:t>6</w:t>
          </w:r>
          <w:r>
            <w:rPr>
              <w:rFonts w:ascii="Times New Roman" w:hAnsi="Times New Roman" w:eastAsia="Times New Roman" w:cs="Times New Roman"/>
              <w:spacing w:val="8"/>
              <w:sz w:val="23"/>
              <w:szCs w:val="23"/>
            </w:rPr>
            <w:t xml:space="preserve">.1 </w:t>
          </w:r>
          <w:r>
            <w:rPr>
              <w:rFonts w:ascii="宋体" w:hAnsi="宋体" w:eastAsia="宋体" w:cs="宋体"/>
              <w:spacing w:val="8"/>
              <w:sz w:val="23"/>
              <w:szCs w:val="23"/>
            </w:rPr>
            <w:t>施工期污染防治措施</w:t>
          </w:r>
          <w:r>
            <w:rPr>
              <w:rFonts w:ascii="Times New Roman" w:hAnsi="Times New Roman" w:eastAsia="Times New Roman" w:cs="Times New Roman"/>
              <w:sz w:val="23"/>
              <w:szCs w:val="23"/>
            </w:rPr>
            <w:tab/>
          </w:r>
          <w:r>
            <w:rPr>
              <w:rFonts w:ascii="Times New Roman" w:hAnsi="Times New Roman" w:eastAsia="Times New Roman" w:cs="Times New Roman"/>
              <w:spacing w:val="8"/>
              <w:sz w:val="23"/>
              <w:szCs w:val="23"/>
            </w:rPr>
            <w:t>132</w:t>
          </w:r>
          <w:r>
            <w:rPr>
              <w:rFonts w:ascii="Times New Roman" w:hAnsi="Times New Roman" w:eastAsia="Times New Roman" w:cs="Times New Roman"/>
              <w:spacing w:val="8"/>
              <w:sz w:val="23"/>
              <w:szCs w:val="23"/>
            </w:rPr>
            <w:fldChar w:fldCharType="end"/>
          </w:r>
        </w:p>
        <w:p w14:paraId="4330A5B7">
          <w:pPr>
            <w:tabs>
              <w:tab w:val="right" w:leader="dot" w:pos="8320"/>
            </w:tabs>
            <w:spacing w:before="158" w:line="228" w:lineRule="auto"/>
            <w:ind w:left="444"/>
            <w:rPr>
              <w:rFonts w:ascii="Times New Roman" w:hAnsi="Times New Roman" w:eastAsia="Times New Roman" w:cs="Times New Roman"/>
              <w:sz w:val="23"/>
              <w:szCs w:val="23"/>
            </w:rPr>
          </w:pPr>
          <w:r>
            <w:fldChar w:fldCharType="begin"/>
          </w:r>
          <w:r>
            <w:instrText xml:space="preserve"> HYPERLINK \l "_bookmark28" </w:instrText>
          </w:r>
          <w:r>
            <w:fldChar w:fldCharType="separate"/>
          </w:r>
          <w:r>
            <w:rPr>
              <w:rFonts w:ascii="Times New Roman" w:hAnsi="Times New Roman" w:eastAsia="Times New Roman" w:cs="Times New Roman"/>
              <w:spacing w:val="16"/>
              <w:sz w:val="23"/>
              <w:szCs w:val="23"/>
            </w:rPr>
            <w:t>6</w:t>
          </w:r>
          <w:r>
            <w:rPr>
              <w:rFonts w:ascii="Times New Roman" w:hAnsi="Times New Roman" w:eastAsia="Times New Roman" w:cs="Times New Roman"/>
              <w:spacing w:val="8"/>
              <w:sz w:val="23"/>
              <w:szCs w:val="23"/>
            </w:rPr>
            <w:t xml:space="preserve">.2 </w:t>
          </w:r>
          <w:r>
            <w:rPr>
              <w:rFonts w:ascii="宋体" w:hAnsi="宋体" w:eastAsia="宋体" w:cs="宋体"/>
              <w:spacing w:val="8"/>
              <w:sz w:val="23"/>
              <w:szCs w:val="23"/>
            </w:rPr>
            <w:t>运营期污染防治措施</w:t>
          </w:r>
          <w:r>
            <w:rPr>
              <w:rFonts w:ascii="Times New Roman" w:hAnsi="Times New Roman" w:eastAsia="Times New Roman" w:cs="Times New Roman"/>
              <w:sz w:val="23"/>
              <w:szCs w:val="23"/>
            </w:rPr>
            <w:tab/>
          </w:r>
          <w:r>
            <w:rPr>
              <w:rFonts w:ascii="Times New Roman" w:hAnsi="Times New Roman" w:eastAsia="Times New Roman" w:cs="Times New Roman"/>
              <w:spacing w:val="8"/>
              <w:sz w:val="23"/>
              <w:szCs w:val="23"/>
            </w:rPr>
            <w:t>137</w:t>
          </w:r>
          <w:r>
            <w:rPr>
              <w:rFonts w:ascii="Times New Roman" w:hAnsi="Times New Roman" w:eastAsia="Times New Roman" w:cs="Times New Roman"/>
              <w:spacing w:val="8"/>
              <w:sz w:val="23"/>
              <w:szCs w:val="23"/>
            </w:rPr>
            <w:fldChar w:fldCharType="end"/>
          </w:r>
        </w:p>
        <w:p w14:paraId="10BCC603">
          <w:pPr>
            <w:tabs>
              <w:tab w:val="right" w:leader="dot" w:pos="8320"/>
            </w:tabs>
            <w:spacing w:before="155" w:line="226" w:lineRule="auto"/>
            <w:ind w:left="22"/>
            <w:rPr>
              <w:rFonts w:ascii="Times New Roman" w:hAnsi="Times New Roman" w:eastAsia="Times New Roman" w:cs="Times New Roman"/>
              <w:sz w:val="23"/>
              <w:szCs w:val="23"/>
            </w:rPr>
          </w:pPr>
          <w:r>
            <w:fldChar w:fldCharType="begin"/>
          </w:r>
          <w:r>
            <w:instrText xml:space="preserve"> HYPERLINK \l "_bookmark29" </w:instrText>
          </w:r>
          <w:r>
            <w:fldChar w:fldCharType="separate"/>
          </w:r>
          <w:r>
            <w:rPr>
              <w:rFonts w:ascii="Times New Roman" w:hAnsi="Times New Roman" w:eastAsia="Times New Roman" w:cs="Times New Roman"/>
              <w:b/>
              <w:bCs/>
              <w:spacing w:val="16"/>
              <w:sz w:val="23"/>
              <w:szCs w:val="23"/>
            </w:rPr>
            <w:t>7</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14:textOutline w14:w="4358" w14:cap="sq" w14:cmpd="sng">
                <w14:solidFill>
                  <w14:srgbClr w14:val="000000"/>
                </w14:solidFill>
                <w14:prstDash w14:val="solid"/>
                <w14:bevel/>
              </w14:textOutline>
            </w:rPr>
            <w:t>环境风险评价</w:t>
          </w:r>
          <w:r>
            <w:rPr>
              <w:rFonts w:ascii="Times New Roman" w:hAnsi="Times New Roman" w:eastAsia="Times New Roman" w:cs="Times New Roman"/>
              <w:b/>
              <w:bCs/>
              <w:sz w:val="23"/>
              <w:szCs w:val="23"/>
            </w:rPr>
            <w:tab/>
          </w:r>
          <w:r>
            <w:rPr>
              <w:rFonts w:ascii="Times New Roman" w:hAnsi="Times New Roman" w:eastAsia="Times New Roman" w:cs="Times New Roman"/>
              <w:b/>
              <w:bCs/>
              <w:spacing w:val="8"/>
              <w:sz w:val="23"/>
              <w:szCs w:val="23"/>
            </w:rPr>
            <w:t>149</w:t>
          </w:r>
          <w:r>
            <w:rPr>
              <w:rFonts w:ascii="Times New Roman" w:hAnsi="Times New Roman" w:eastAsia="Times New Roman" w:cs="Times New Roman"/>
              <w:b/>
              <w:bCs/>
              <w:spacing w:val="8"/>
              <w:sz w:val="23"/>
              <w:szCs w:val="23"/>
            </w:rPr>
            <w:fldChar w:fldCharType="end"/>
          </w:r>
        </w:p>
        <w:p w14:paraId="1DCE16E5">
          <w:pPr>
            <w:tabs>
              <w:tab w:val="right" w:leader="dot" w:pos="8320"/>
            </w:tabs>
            <w:spacing w:before="157" w:line="226" w:lineRule="auto"/>
            <w:ind w:left="442"/>
            <w:rPr>
              <w:rFonts w:ascii="Times New Roman" w:hAnsi="Times New Roman" w:eastAsia="Times New Roman" w:cs="Times New Roman"/>
              <w:sz w:val="23"/>
              <w:szCs w:val="23"/>
            </w:rPr>
          </w:pPr>
          <w:r>
            <w:fldChar w:fldCharType="begin"/>
          </w:r>
          <w:r>
            <w:instrText xml:space="preserve"> HYPERLINK \l "_bookmark30" </w:instrText>
          </w:r>
          <w:r>
            <w:fldChar w:fldCharType="separate"/>
          </w:r>
          <w:r>
            <w:rPr>
              <w:rFonts w:ascii="Times New Roman" w:hAnsi="Times New Roman" w:eastAsia="Times New Roman" w:cs="Times New Roman"/>
              <w:spacing w:val="10"/>
              <w:sz w:val="23"/>
              <w:szCs w:val="23"/>
            </w:rPr>
            <w:t>7</w:t>
          </w:r>
          <w:r>
            <w:rPr>
              <w:rFonts w:ascii="Times New Roman" w:hAnsi="Times New Roman" w:eastAsia="Times New Roman" w:cs="Times New Roman"/>
              <w:spacing w:val="8"/>
              <w:sz w:val="23"/>
              <w:szCs w:val="23"/>
            </w:rPr>
            <w:t xml:space="preserve">.1  </w:t>
          </w:r>
          <w:r>
            <w:rPr>
              <w:rFonts w:ascii="宋体" w:hAnsi="宋体" w:eastAsia="宋体" w:cs="宋体"/>
              <w:spacing w:val="8"/>
              <w:sz w:val="23"/>
              <w:szCs w:val="23"/>
            </w:rPr>
            <w:t>环境风险评价依据</w:t>
          </w:r>
          <w:r>
            <w:rPr>
              <w:rFonts w:ascii="Times New Roman" w:hAnsi="Times New Roman" w:eastAsia="Times New Roman" w:cs="Times New Roman"/>
              <w:sz w:val="23"/>
              <w:szCs w:val="23"/>
            </w:rPr>
            <w:tab/>
          </w:r>
          <w:r>
            <w:rPr>
              <w:rFonts w:ascii="Times New Roman" w:hAnsi="Times New Roman" w:eastAsia="Times New Roman" w:cs="Times New Roman"/>
              <w:spacing w:val="8"/>
              <w:sz w:val="23"/>
              <w:szCs w:val="23"/>
            </w:rPr>
            <w:t>149</w:t>
          </w:r>
          <w:r>
            <w:rPr>
              <w:rFonts w:ascii="Times New Roman" w:hAnsi="Times New Roman" w:eastAsia="Times New Roman" w:cs="Times New Roman"/>
              <w:spacing w:val="8"/>
              <w:sz w:val="23"/>
              <w:szCs w:val="23"/>
            </w:rPr>
            <w:fldChar w:fldCharType="end"/>
          </w:r>
        </w:p>
      </w:sdtContent>
    </w:sdt>
    <w:p w14:paraId="5BE3F796">
      <w:pPr>
        <w:sectPr>
          <w:headerReference r:id="rId5" w:type="default"/>
          <w:footerReference r:id="rId6" w:type="default"/>
          <w:pgSz w:w="11906" w:h="16839"/>
          <w:pgMar w:top="1132" w:right="1785" w:bottom="897" w:left="1785" w:header="878" w:footer="739" w:gutter="0"/>
          <w:cols w:space="720" w:num="1"/>
        </w:sectPr>
      </w:pPr>
    </w:p>
    <w:p w14:paraId="3FA29038">
      <w:pPr>
        <w:spacing w:line="378" w:lineRule="auto"/>
        <w:rPr>
          <w:rFonts w:ascii="Arial"/>
          <w:sz w:val="21"/>
        </w:rPr>
      </w:pPr>
      <w:r>
        <w:pict>
          <v:shape id="_x0000_s1027" o:spid="_x0000_s1027" style="position:absolute;left:0pt;margin-left:90pt;margin-top:57.35pt;height:0.75pt;width:415.3pt;mso-position-horizontal-relative:page;mso-position-vertical-relative:page;z-index:251661312;mso-width-relative:page;mso-height-relative:page;" fillcolor="#000000" filled="t" stroked="f" coordsize="8305,15" o:allowincell="f" path="m0,0l8305,0,8305,14,0,14,0,0xe">
            <v:path/>
            <v:fill on="t" focussize="0,0"/>
            <v:stroke on="f"/>
            <v:imagedata o:title=""/>
            <o:lock v:ext="edit"/>
          </v:shape>
        </w:pict>
      </w:r>
    </w:p>
    <w:sdt>
      <w:sdtPr>
        <w:rPr>
          <w:rFonts w:ascii="Times New Roman" w:hAnsi="Times New Roman" w:eastAsia="Times New Roman" w:cs="Times New Roman"/>
          <w:sz w:val="23"/>
          <w:szCs w:val="23"/>
        </w:rPr>
        <w:id w:val="2"/>
        <w:docPartObj>
          <w:docPartGallery w:val="Table of Contents"/>
          <w:docPartUnique/>
        </w:docPartObj>
      </w:sdtPr>
      <w:sdtEndPr>
        <w:rPr>
          <w:rFonts w:ascii="Times New Roman" w:hAnsi="Times New Roman" w:eastAsia="Times New Roman" w:cs="Times New Roman"/>
          <w:sz w:val="23"/>
          <w:szCs w:val="23"/>
        </w:rPr>
      </w:sdtEndPr>
      <w:sdtContent>
        <w:p w14:paraId="21D27B06">
          <w:pPr>
            <w:tabs>
              <w:tab w:val="right" w:leader="dot" w:pos="8320"/>
            </w:tabs>
            <w:spacing w:before="74" w:line="227" w:lineRule="auto"/>
            <w:ind w:left="442"/>
            <w:rPr>
              <w:rFonts w:ascii="Times New Roman" w:hAnsi="Times New Roman" w:eastAsia="Times New Roman" w:cs="Times New Roman"/>
              <w:sz w:val="23"/>
              <w:szCs w:val="23"/>
            </w:rPr>
          </w:pPr>
          <w:r>
            <w:fldChar w:fldCharType="begin"/>
          </w:r>
          <w:r>
            <w:instrText xml:space="preserve"> HYPERLINK \l "_bookmark31" </w:instrText>
          </w:r>
          <w:r>
            <w:fldChar w:fldCharType="separate"/>
          </w:r>
          <w:r>
            <w:rPr>
              <w:rFonts w:ascii="Times New Roman" w:hAnsi="Times New Roman" w:eastAsia="Times New Roman" w:cs="Times New Roman"/>
              <w:spacing w:val="10"/>
              <w:sz w:val="23"/>
              <w:szCs w:val="23"/>
            </w:rPr>
            <w:t>7</w:t>
          </w:r>
          <w:r>
            <w:rPr>
              <w:rFonts w:ascii="Times New Roman" w:hAnsi="Times New Roman" w:eastAsia="Times New Roman" w:cs="Times New Roman"/>
              <w:spacing w:val="8"/>
              <w:sz w:val="23"/>
              <w:szCs w:val="23"/>
            </w:rPr>
            <w:t xml:space="preserve">.2  </w:t>
          </w:r>
          <w:r>
            <w:rPr>
              <w:rFonts w:ascii="宋体" w:hAnsi="宋体" w:eastAsia="宋体" w:cs="宋体"/>
              <w:spacing w:val="8"/>
              <w:sz w:val="23"/>
              <w:szCs w:val="23"/>
            </w:rPr>
            <w:t>环境敏感目标概况</w:t>
          </w:r>
          <w:r>
            <w:rPr>
              <w:rFonts w:ascii="Times New Roman" w:hAnsi="Times New Roman" w:eastAsia="Times New Roman" w:cs="Times New Roman"/>
              <w:sz w:val="23"/>
              <w:szCs w:val="23"/>
            </w:rPr>
            <w:tab/>
          </w:r>
          <w:r>
            <w:rPr>
              <w:rFonts w:ascii="Times New Roman" w:hAnsi="Times New Roman" w:eastAsia="Times New Roman" w:cs="Times New Roman"/>
              <w:spacing w:val="8"/>
              <w:sz w:val="23"/>
              <w:szCs w:val="23"/>
            </w:rPr>
            <w:t>151</w:t>
          </w:r>
          <w:r>
            <w:rPr>
              <w:rFonts w:ascii="Times New Roman" w:hAnsi="Times New Roman" w:eastAsia="Times New Roman" w:cs="Times New Roman"/>
              <w:spacing w:val="8"/>
              <w:sz w:val="23"/>
              <w:szCs w:val="23"/>
            </w:rPr>
            <w:fldChar w:fldCharType="end"/>
          </w:r>
        </w:p>
        <w:p w14:paraId="7F69E5CE">
          <w:pPr>
            <w:tabs>
              <w:tab w:val="right" w:leader="dot" w:pos="8320"/>
            </w:tabs>
            <w:spacing w:before="156" w:line="228" w:lineRule="auto"/>
            <w:ind w:left="442"/>
            <w:rPr>
              <w:rFonts w:ascii="Times New Roman" w:hAnsi="Times New Roman" w:eastAsia="Times New Roman" w:cs="Times New Roman"/>
              <w:sz w:val="23"/>
              <w:szCs w:val="23"/>
            </w:rPr>
          </w:pPr>
          <w:r>
            <w:fldChar w:fldCharType="begin"/>
          </w:r>
          <w:r>
            <w:instrText xml:space="preserve"> HYPERLINK \l "_bookmark32" </w:instrText>
          </w:r>
          <w:r>
            <w:fldChar w:fldCharType="separate"/>
          </w:r>
          <w:r>
            <w:rPr>
              <w:rFonts w:ascii="Times New Roman" w:hAnsi="Times New Roman" w:eastAsia="Times New Roman" w:cs="Times New Roman"/>
              <w:spacing w:val="8"/>
              <w:sz w:val="23"/>
              <w:szCs w:val="23"/>
            </w:rPr>
            <w:t xml:space="preserve">7.3  </w:t>
          </w:r>
          <w:r>
            <w:rPr>
              <w:rFonts w:ascii="宋体" w:hAnsi="宋体" w:eastAsia="宋体" w:cs="宋体"/>
              <w:spacing w:val="8"/>
              <w:sz w:val="23"/>
              <w:szCs w:val="23"/>
            </w:rPr>
            <w:t>环境风险识别</w:t>
          </w:r>
          <w:r>
            <w:rPr>
              <w:rFonts w:ascii="Times New Roman" w:hAnsi="Times New Roman" w:eastAsia="Times New Roman" w:cs="Times New Roman"/>
              <w:sz w:val="23"/>
              <w:szCs w:val="23"/>
            </w:rPr>
            <w:tab/>
          </w:r>
          <w:r>
            <w:rPr>
              <w:rFonts w:ascii="Times New Roman" w:hAnsi="Times New Roman" w:eastAsia="Times New Roman" w:cs="Times New Roman"/>
              <w:spacing w:val="8"/>
              <w:sz w:val="23"/>
              <w:szCs w:val="23"/>
            </w:rPr>
            <w:t>15</w:t>
          </w:r>
          <w:r>
            <w:rPr>
              <w:rFonts w:ascii="Times New Roman" w:hAnsi="Times New Roman" w:eastAsia="Times New Roman" w:cs="Times New Roman"/>
              <w:spacing w:val="6"/>
              <w:sz w:val="23"/>
              <w:szCs w:val="23"/>
            </w:rPr>
            <w:t>2</w:t>
          </w:r>
          <w:r>
            <w:rPr>
              <w:rFonts w:ascii="Times New Roman" w:hAnsi="Times New Roman" w:eastAsia="Times New Roman" w:cs="Times New Roman"/>
              <w:spacing w:val="6"/>
              <w:sz w:val="23"/>
              <w:szCs w:val="23"/>
            </w:rPr>
            <w:fldChar w:fldCharType="end"/>
          </w:r>
        </w:p>
        <w:p w14:paraId="59E420AE">
          <w:pPr>
            <w:tabs>
              <w:tab w:val="right" w:leader="dot" w:pos="8320"/>
            </w:tabs>
            <w:spacing w:before="155" w:line="227" w:lineRule="auto"/>
            <w:ind w:left="442"/>
            <w:rPr>
              <w:rFonts w:ascii="Times New Roman" w:hAnsi="Times New Roman" w:eastAsia="Times New Roman" w:cs="Times New Roman"/>
              <w:sz w:val="23"/>
              <w:szCs w:val="23"/>
            </w:rPr>
          </w:pPr>
          <w:r>
            <w:fldChar w:fldCharType="begin"/>
          </w:r>
          <w:r>
            <w:instrText xml:space="preserve"> HYPERLINK \l "_bookmark33" </w:instrText>
          </w:r>
          <w:r>
            <w:fldChar w:fldCharType="separate"/>
          </w:r>
          <w:r>
            <w:rPr>
              <w:rFonts w:ascii="Times New Roman" w:hAnsi="Times New Roman" w:eastAsia="Times New Roman" w:cs="Times New Roman"/>
              <w:spacing w:val="16"/>
              <w:sz w:val="23"/>
              <w:szCs w:val="23"/>
            </w:rPr>
            <w:t>7</w:t>
          </w:r>
          <w:r>
            <w:rPr>
              <w:rFonts w:ascii="Times New Roman" w:hAnsi="Times New Roman" w:eastAsia="Times New Roman" w:cs="Times New Roman"/>
              <w:spacing w:val="14"/>
              <w:sz w:val="23"/>
              <w:szCs w:val="23"/>
            </w:rPr>
            <w:t>.</w:t>
          </w:r>
          <w:r>
            <w:rPr>
              <w:rFonts w:ascii="Times New Roman" w:hAnsi="Times New Roman" w:eastAsia="Times New Roman" w:cs="Times New Roman"/>
              <w:spacing w:val="8"/>
              <w:sz w:val="23"/>
              <w:szCs w:val="23"/>
            </w:rPr>
            <w:t xml:space="preserve">4  </w:t>
          </w:r>
          <w:r>
            <w:rPr>
              <w:rFonts w:ascii="宋体" w:hAnsi="宋体" w:eastAsia="宋体" w:cs="宋体"/>
              <w:spacing w:val="8"/>
              <w:sz w:val="23"/>
              <w:szCs w:val="23"/>
            </w:rPr>
            <w:t>事故风险类型及危害方式、途径</w:t>
          </w:r>
          <w:r>
            <w:rPr>
              <w:rFonts w:ascii="Times New Roman" w:hAnsi="Times New Roman" w:eastAsia="Times New Roman" w:cs="Times New Roman"/>
              <w:sz w:val="23"/>
              <w:szCs w:val="23"/>
            </w:rPr>
            <w:tab/>
          </w:r>
          <w:r>
            <w:rPr>
              <w:rFonts w:ascii="Times New Roman" w:hAnsi="Times New Roman" w:eastAsia="Times New Roman" w:cs="Times New Roman"/>
              <w:spacing w:val="8"/>
              <w:sz w:val="23"/>
              <w:szCs w:val="23"/>
            </w:rPr>
            <w:t>153</w:t>
          </w:r>
          <w:r>
            <w:rPr>
              <w:rFonts w:ascii="Times New Roman" w:hAnsi="Times New Roman" w:eastAsia="Times New Roman" w:cs="Times New Roman"/>
              <w:spacing w:val="8"/>
              <w:sz w:val="23"/>
              <w:szCs w:val="23"/>
            </w:rPr>
            <w:fldChar w:fldCharType="end"/>
          </w:r>
        </w:p>
        <w:p w14:paraId="69128005">
          <w:pPr>
            <w:tabs>
              <w:tab w:val="right" w:leader="dot" w:pos="8320"/>
            </w:tabs>
            <w:spacing w:before="158" w:line="228" w:lineRule="auto"/>
            <w:ind w:left="442"/>
            <w:rPr>
              <w:rFonts w:ascii="Times New Roman" w:hAnsi="Times New Roman" w:eastAsia="Times New Roman" w:cs="Times New Roman"/>
              <w:sz w:val="23"/>
              <w:szCs w:val="23"/>
            </w:rPr>
          </w:pPr>
          <w:r>
            <w:fldChar w:fldCharType="begin"/>
          </w:r>
          <w:r>
            <w:instrText xml:space="preserve"> HYPERLINK \l "_bookmark34" </w:instrText>
          </w:r>
          <w:r>
            <w:fldChar w:fldCharType="separate"/>
          </w:r>
          <w:r>
            <w:rPr>
              <w:rFonts w:ascii="Times New Roman" w:hAnsi="Times New Roman" w:eastAsia="Times New Roman" w:cs="Times New Roman"/>
              <w:spacing w:val="8"/>
              <w:sz w:val="23"/>
              <w:szCs w:val="23"/>
            </w:rPr>
            <w:t xml:space="preserve">7.5  </w:t>
          </w:r>
          <w:r>
            <w:rPr>
              <w:rFonts w:ascii="宋体" w:hAnsi="宋体" w:eastAsia="宋体" w:cs="宋体"/>
              <w:spacing w:val="8"/>
              <w:sz w:val="23"/>
              <w:szCs w:val="23"/>
            </w:rPr>
            <w:t>环境风险分析</w:t>
          </w:r>
          <w:r>
            <w:rPr>
              <w:rFonts w:ascii="Times New Roman" w:hAnsi="Times New Roman" w:eastAsia="Times New Roman" w:cs="Times New Roman"/>
              <w:sz w:val="23"/>
              <w:szCs w:val="23"/>
            </w:rPr>
            <w:tab/>
          </w:r>
          <w:r>
            <w:rPr>
              <w:rFonts w:ascii="Times New Roman" w:hAnsi="Times New Roman" w:eastAsia="Times New Roman" w:cs="Times New Roman"/>
              <w:spacing w:val="8"/>
              <w:sz w:val="23"/>
              <w:szCs w:val="23"/>
            </w:rPr>
            <w:t>15</w:t>
          </w:r>
          <w:r>
            <w:rPr>
              <w:rFonts w:ascii="Times New Roman" w:hAnsi="Times New Roman" w:eastAsia="Times New Roman" w:cs="Times New Roman"/>
              <w:spacing w:val="6"/>
              <w:sz w:val="23"/>
              <w:szCs w:val="23"/>
            </w:rPr>
            <w:t>4</w:t>
          </w:r>
          <w:r>
            <w:rPr>
              <w:rFonts w:ascii="Times New Roman" w:hAnsi="Times New Roman" w:eastAsia="Times New Roman" w:cs="Times New Roman"/>
              <w:spacing w:val="6"/>
              <w:sz w:val="23"/>
              <w:szCs w:val="23"/>
            </w:rPr>
            <w:fldChar w:fldCharType="end"/>
          </w:r>
        </w:p>
        <w:p w14:paraId="5138C3ED">
          <w:pPr>
            <w:tabs>
              <w:tab w:val="right" w:leader="dot" w:pos="8320"/>
            </w:tabs>
            <w:spacing w:before="155" w:line="228" w:lineRule="auto"/>
            <w:ind w:left="442"/>
            <w:rPr>
              <w:rFonts w:ascii="Times New Roman" w:hAnsi="Times New Roman" w:eastAsia="Times New Roman" w:cs="Times New Roman"/>
              <w:sz w:val="23"/>
              <w:szCs w:val="23"/>
            </w:rPr>
          </w:pPr>
          <w:r>
            <w:fldChar w:fldCharType="begin"/>
          </w:r>
          <w:r>
            <w:instrText xml:space="preserve"> HYPERLINK \l "_bookmark35" </w:instrText>
          </w:r>
          <w:r>
            <w:fldChar w:fldCharType="separate"/>
          </w:r>
          <w:r>
            <w:rPr>
              <w:rFonts w:ascii="Times New Roman" w:hAnsi="Times New Roman" w:eastAsia="Times New Roman" w:cs="Times New Roman"/>
              <w:spacing w:val="16"/>
              <w:sz w:val="23"/>
              <w:szCs w:val="23"/>
            </w:rPr>
            <w:t>7</w:t>
          </w:r>
          <w:r>
            <w:rPr>
              <w:rFonts w:ascii="Times New Roman" w:hAnsi="Times New Roman" w:eastAsia="Times New Roman" w:cs="Times New Roman"/>
              <w:spacing w:val="12"/>
              <w:sz w:val="23"/>
              <w:szCs w:val="23"/>
            </w:rPr>
            <w:t>.</w:t>
          </w:r>
          <w:r>
            <w:rPr>
              <w:rFonts w:ascii="Times New Roman" w:hAnsi="Times New Roman" w:eastAsia="Times New Roman" w:cs="Times New Roman"/>
              <w:spacing w:val="8"/>
              <w:sz w:val="23"/>
              <w:szCs w:val="23"/>
            </w:rPr>
            <w:t xml:space="preserve">6  </w:t>
          </w:r>
          <w:r>
            <w:rPr>
              <w:rFonts w:ascii="宋体" w:hAnsi="宋体" w:eastAsia="宋体" w:cs="宋体"/>
              <w:spacing w:val="8"/>
              <w:sz w:val="23"/>
              <w:szCs w:val="23"/>
            </w:rPr>
            <w:t>环境风险防范措施及应急要求</w:t>
          </w:r>
          <w:r>
            <w:rPr>
              <w:rFonts w:ascii="Times New Roman" w:hAnsi="Times New Roman" w:eastAsia="Times New Roman" w:cs="Times New Roman"/>
              <w:sz w:val="23"/>
              <w:szCs w:val="23"/>
            </w:rPr>
            <w:tab/>
          </w:r>
          <w:r>
            <w:rPr>
              <w:rFonts w:ascii="Times New Roman" w:hAnsi="Times New Roman" w:eastAsia="Times New Roman" w:cs="Times New Roman"/>
              <w:spacing w:val="8"/>
              <w:sz w:val="23"/>
              <w:szCs w:val="23"/>
            </w:rPr>
            <w:t>157</w:t>
          </w:r>
          <w:r>
            <w:rPr>
              <w:rFonts w:ascii="Times New Roman" w:hAnsi="Times New Roman" w:eastAsia="Times New Roman" w:cs="Times New Roman"/>
              <w:spacing w:val="8"/>
              <w:sz w:val="23"/>
              <w:szCs w:val="23"/>
            </w:rPr>
            <w:fldChar w:fldCharType="end"/>
          </w:r>
        </w:p>
        <w:p w14:paraId="3BE5DE01">
          <w:pPr>
            <w:tabs>
              <w:tab w:val="right" w:leader="dot" w:pos="8320"/>
            </w:tabs>
            <w:spacing w:before="155" w:line="228" w:lineRule="auto"/>
            <w:ind w:left="442"/>
            <w:rPr>
              <w:rFonts w:ascii="Times New Roman" w:hAnsi="Times New Roman" w:eastAsia="Times New Roman" w:cs="Times New Roman"/>
              <w:sz w:val="23"/>
              <w:szCs w:val="23"/>
            </w:rPr>
          </w:pPr>
          <w:r>
            <w:fldChar w:fldCharType="begin"/>
          </w:r>
          <w:r>
            <w:instrText xml:space="preserve"> HYPERLINK \l "_bookmark36" </w:instrText>
          </w:r>
          <w:r>
            <w:fldChar w:fldCharType="separate"/>
          </w:r>
          <w:r>
            <w:rPr>
              <w:rFonts w:ascii="Times New Roman" w:hAnsi="Times New Roman" w:eastAsia="Times New Roman" w:cs="Times New Roman"/>
              <w:spacing w:val="8"/>
              <w:sz w:val="23"/>
              <w:szCs w:val="23"/>
            </w:rPr>
            <w:t xml:space="preserve">7.7  </w:t>
          </w:r>
          <w:r>
            <w:rPr>
              <w:rFonts w:ascii="宋体" w:hAnsi="宋体" w:eastAsia="宋体" w:cs="宋体"/>
              <w:spacing w:val="8"/>
              <w:sz w:val="23"/>
              <w:szCs w:val="23"/>
            </w:rPr>
            <w:t>风险分析结论</w:t>
          </w:r>
          <w:r>
            <w:rPr>
              <w:rFonts w:ascii="Times New Roman" w:hAnsi="Times New Roman" w:eastAsia="Times New Roman" w:cs="Times New Roman"/>
              <w:sz w:val="23"/>
              <w:szCs w:val="23"/>
            </w:rPr>
            <w:tab/>
          </w:r>
          <w:r>
            <w:rPr>
              <w:rFonts w:ascii="Times New Roman" w:hAnsi="Times New Roman" w:eastAsia="Times New Roman" w:cs="Times New Roman"/>
              <w:spacing w:val="8"/>
              <w:sz w:val="23"/>
              <w:szCs w:val="23"/>
            </w:rPr>
            <w:t>15</w:t>
          </w:r>
          <w:r>
            <w:rPr>
              <w:rFonts w:ascii="Times New Roman" w:hAnsi="Times New Roman" w:eastAsia="Times New Roman" w:cs="Times New Roman"/>
              <w:spacing w:val="6"/>
              <w:sz w:val="23"/>
              <w:szCs w:val="23"/>
            </w:rPr>
            <w:t>8</w:t>
          </w:r>
          <w:r>
            <w:rPr>
              <w:rFonts w:ascii="Times New Roman" w:hAnsi="Times New Roman" w:eastAsia="Times New Roman" w:cs="Times New Roman"/>
              <w:spacing w:val="6"/>
              <w:sz w:val="23"/>
              <w:szCs w:val="23"/>
            </w:rPr>
            <w:fldChar w:fldCharType="end"/>
          </w:r>
        </w:p>
        <w:p w14:paraId="1BD32056">
          <w:pPr>
            <w:tabs>
              <w:tab w:val="right" w:leader="dot" w:pos="8320"/>
            </w:tabs>
            <w:spacing w:before="157" w:line="228" w:lineRule="auto"/>
            <w:ind w:left="22"/>
            <w:rPr>
              <w:rFonts w:ascii="Times New Roman" w:hAnsi="Times New Roman" w:eastAsia="Times New Roman" w:cs="Times New Roman"/>
              <w:sz w:val="23"/>
              <w:szCs w:val="23"/>
            </w:rPr>
          </w:pPr>
          <w:r>
            <w:fldChar w:fldCharType="begin"/>
          </w:r>
          <w:r>
            <w:instrText xml:space="preserve"> HYPERLINK \l "_bookmark37" </w:instrText>
          </w:r>
          <w:r>
            <w:fldChar w:fldCharType="separate"/>
          </w:r>
          <w:r>
            <w:rPr>
              <w:rFonts w:ascii="Times New Roman" w:hAnsi="Times New Roman" w:eastAsia="Times New Roman" w:cs="Times New Roman"/>
              <w:b/>
              <w:bCs/>
              <w:spacing w:val="9"/>
              <w:sz w:val="23"/>
              <w:szCs w:val="23"/>
            </w:rPr>
            <w:t>8</w:t>
          </w:r>
          <w:r>
            <w:rPr>
              <w:rFonts w:ascii="Times New Roman" w:hAnsi="Times New Roman" w:eastAsia="Times New Roman" w:cs="Times New Roman"/>
              <w:spacing w:val="9"/>
              <w:sz w:val="23"/>
              <w:szCs w:val="23"/>
            </w:rPr>
            <w:t xml:space="preserve">  </w:t>
          </w:r>
          <w:r>
            <w:rPr>
              <w:rFonts w:ascii="宋体" w:hAnsi="宋体" w:eastAsia="宋体" w:cs="宋体"/>
              <w:spacing w:val="9"/>
              <w:sz w:val="23"/>
              <w:szCs w:val="23"/>
              <w14:textOutline w14:w="4358" w14:cap="sq" w14:cmpd="sng">
                <w14:solidFill>
                  <w14:srgbClr w14:val="000000"/>
                </w14:solidFill>
                <w14:prstDash w14:val="solid"/>
                <w14:bevel/>
              </w14:textOutline>
            </w:rPr>
            <w:t>环境影响经济损益分析</w:t>
          </w:r>
          <w:r>
            <w:rPr>
              <w:rFonts w:ascii="Times New Roman" w:hAnsi="Times New Roman" w:eastAsia="Times New Roman" w:cs="Times New Roman"/>
              <w:b/>
              <w:bCs/>
              <w:sz w:val="23"/>
              <w:szCs w:val="23"/>
            </w:rPr>
            <w:tab/>
          </w:r>
          <w:r>
            <w:rPr>
              <w:rFonts w:ascii="Times New Roman" w:hAnsi="Times New Roman" w:eastAsia="Times New Roman" w:cs="Times New Roman"/>
              <w:b/>
              <w:bCs/>
              <w:spacing w:val="9"/>
              <w:sz w:val="23"/>
              <w:szCs w:val="23"/>
            </w:rPr>
            <w:t>16</w:t>
          </w:r>
          <w:r>
            <w:rPr>
              <w:rFonts w:ascii="Times New Roman" w:hAnsi="Times New Roman" w:eastAsia="Times New Roman" w:cs="Times New Roman"/>
              <w:b/>
              <w:bCs/>
              <w:spacing w:val="8"/>
              <w:sz w:val="23"/>
              <w:szCs w:val="23"/>
            </w:rPr>
            <w:t>1</w:t>
          </w:r>
          <w:r>
            <w:rPr>
              <w:rFonts w:ascii="Times New Roman" w:hAnsi="Times New Roman" w:eastAsia="Times New Roman" w:cs="Times New Roman"/>
              <w:b/>
              <w:bCs/>
              <w:spacing w:val="8"/>
              <w:sz w:val="23"/>
              <w:szCs w:val="23"/>
            </w:rPr>
            <w:fldChar w:fldCharType="end"/>
          </w:r>
        </w:p>
        <w:p w14:paraId="52F19FDF">
          <w:pPr>
            <w:tabs>
              <w:tab w:val="right" w:leader="dot" w:pos="8320"/>
            </w:tabs>
            <w:spacing w:before="155" w:line="226" w:lineRule="auto"/>
            <w:ind w:left="448"/>
            <w:rPr>
              <w:rFonts w:ascii="Times New Roman" w:hAnsi="Times New Roman" w:eastAsia="Times New Roman" w:cs="Times New Roman"/>
              <w:sz w:val="23"/>
              <w:szCs w:val="23"/>
            </w:rPr>
          </w:pPr>
          <w:r>
            <w:fldChar w:fldCharType="begin"/>
          </w:r>
          <w:r>
            <w:instrText xml:space="preserve"> HYPERLINK \l "_bookmark38" </w:instrText>
          </w:r>
          <w:r>
            <w:fldChar w:fldCharType="separate"/>
          </w:r>
          <w:r>
            <w:rPr>
              <w:rFonts w:ascii="Times New Roman" w:hAnsi="Times New Roman" w:eastAsia="Times New Roman" w:cs="Times New Roman"/>
              <w:spacing w:val="7"/>
              <w:sz w:val="23"/>
              <w:szCs w:val="23"/>
            </w:rPr>
            <w:t xml:space="preserve">8.1  </w:t>
          </w:r>
          <w:r>
            <w:rPr>
              <w:rFonts w:ascii="宋体" w:hAnsi="宋体" w:eastAsia="宋体" w:cs="宋体"/>
              <w:spacing w:val="7"/>
              <w:sz w:val="23"/>
              <w:szCs w:val="23"/>
            </w:rPr>
            <w:t>评价目的</w:t>
          </w:r>
          <w:r>
            <w:rPr>
              <w:rFonts w:ascii="Times New Roman" w:hAnsi="Times New Roman" w:eastAsia="Times New Roman" w:cs="Times New Roman"/>
              <w:sz w:val="23"/>
              <w:szCs w:val="23"/>
            </w:rPr>
            <w:tab/>
          </w:r>
          <w:r>
            <w:rPr>
              <w:rFonts w:ascii="Times New Roman" w:hAnsi="Times New Roman" w:eastAsia="Times New Roman" w:cs="Times New Roman"/>
              <w:spacing w:val="7"/>
              <w:sz w:val="23"/>
              <w:szCs w:val="23"/>
            </w:rPr>
            <w:t>161</w:t>
          </w:r>
          <w:r>
            <w:rPr>
              <w:rFonts w:ascii="Times New Roman" w:hAnsi="Times New Roman" w:eastAsia="Times New Roman" w:cs="Times New Roman"/>
              <w:spacing w:val="7"/>
              <w:sz w:val="23"/>
              <w:szCs w:val="23"/>
            </w:rPr>
            <w:fldChar w:fldCharType="end"/>
          </w:r>
        </w:p>
        <w:p w14:paraId="2642C8BE">
          <w:pPr>
            <w:tabs>
              <w:tab w:val="right" w:leader="dot" w:pos="8320"/>
            </w:tabs>
            <w:spacing w:before="158" w:line="227" w:lineRule="auto"/>
            <w:ind w:left="448"/>
            <w:rPr>
              <w:rFonts w:ascii="Times New Roman" w:hAnsi="Times New Roman" w:eastAsia="Times New Roman" w:cs="Times New Roman"/>
              <w:sz w:val="23"/>
              <w:szCs w:val="23"/>
            </w:rPr>
          </w:pPr>
          <w:r>
            <w:fldChar w:fldCharType="begin"/>
          </w:r>
          <w:r>
            <w:instrText xml:space="preserve"> HYPERLINK \l "_bookmark39" </w:instrText>
          </w:r>
          <w:r>
            <w:fldChar w:fldCharType="separate"/>
          </w:r>
          <w:r>
            <w:rPr>
              <w:rFonts w:ascii="Times New Roman" w:hAnsi="Times New Roman" w:eastAsia="Times New Roman" w:cs="Times New Roman"/>
              <w:spacing w:val="14"/>
              <w:sz w:val="23"/>
              <w:szCs w:val="23"/>
            </w:rPr>
            <w:t>8</w:t>
          </w:r>
          <w:r>
            <w:rPr>
              <w:rFonts w:ascii="Times New Roman" w:hAnsi="Times New Roman" w:eastAsia="Times New Roman" w:cs="Times New Roman"/>
              <w:spacing w:val="12"/>
              <w:sz w:val="23"/>
              <w:szCs w:val="23"/>
            </w:rPr>
            <w:t>.</w:t>
          </w:r>
          <w:r>
            <w:rPr>
              <w:rFonts w:ascii="Times New Roman" w:hAnsi="Times New Roman" w:eastAsia="Times New Roman" w:cs="Times New Roman"/>
              <w:spacing w:val="7"/>
              <w:sz w:val="23"/>
              <w:szCs w:val="23"/>
            </w:rPr>
            <w:t xml:space="preserve">2  </w:t>
          </w:r>
          <w:r>
            <w:rPr>
              <w:rFonts w:ascii="宋体" w:hAnsi="宋体" w:eastAsia="宋体" w:cs="宋体"/>
              <w:spacing w:val="7"/>
              <w:sz w:val="23"/>
              <w:szCs w:val="23"/>
            </w:rPr>
            <w:t>项目社会效益情况</w:t>
          </w:r>
          <w:r>
            <w:rPr>
              <w:rFonts w:ascii="Times New Roman" w:hAnsi="Times New Roman" w:eastAsia="Times New Roman" w:cs="Times New Roman"/>
              <w:sz w:val="23"/>
              <w:szCs w:val="23"/>
            </w:rPr>
            <w:tab/>
          </w:r>
          <w:r>
            <w:rPr>
              <w:rFonts w:ascii="Times New Roman" w:hAnsi="Times New Roman" w:eastAsia="Times New Roman" w:cs="Times New Roman"/>
              <w:spacing w:val="7"/>
              <w:sz w:val="23"/>
              <w:szCs w:val="23"/>
            </w:rPr>
            <w:t>161</w:t>
          </w:r>
          <w:r>
            <w:rPr>
              <w:rFonts w:ascii="Times New Roman" w:hAnsi="Times New Roman" w:eastAsia="Times New Roman" w:cs="Times New Roman"/>
              <w:spacing w:val="7"/>
              <w:sz w:val="23"/>
              <w:szCs w:val="23"/>
            </w:rPr>
            <w:fldChar w:fldCharType="end"/>
          </w:r>
        </w:p>
        <w:p w14:paraId="0024E742">
          <w:pPr>
            <w:tabs>
              <w:tab w:val="right" w:leader="dot" w:pos="8320"/>
            </w:tabs>
            <w:spacing w:before="159" w:line="228" w:lineRule="auto"/>
            <w:ind w:left="448"/>
            <w:rPr>
              <w:rFonts w:ascii="Times New Roman" w:hAnsi="Times New Roman" w:eastAsia="Times New Roman" w:cs="Times New Roman"/>
              <w:sz w:val="23"/>
              <w:szCs w:val="23"/>
            </w:rPr>
          </w:pPr>
          <w:r>
            <w:fldChar w:fldCharType="begin"/>
          </w:r>
          <w:r>
            <w:instrText xml:space="preserve"> HYPERLINK \l "_bookmark40" </w:instrText>
          </w:r>
          <w:r>
            <w:fldChar w:fldCharType="separate"/>
          </w:r>
          <w:r>
            <w:rPr>
              <w:rFonts w:ascii="Times New Roman" w:hAnsi="Times New Roman" w:eastAsia="Times New Roman" w:cs="Times New Roman"/>
              <w:spacing w:val="14"/>
              <w:sz w:val="23"/>
              <w:szCs w:val="23"/>
            </w:rPr>
            <w:t>8</w:t>
          </w:r>
          <w:r>
            <w:rPr>
              <w:rFonts w:ascii="Times New Roman" w:hAnsi="Times New Roman" w:eastAsia="Times New Roman" w:cs="Times New Roman"/>
              <w:spacing w:val="12"/>
              <w:sz w:val="23"/>
              <w:szCs w:val="23"/>
            </w:rPr>
            <w:t>.</w:t>
          </w:r>
          <w:r>
            <w:rPr>
              <w:rFonts w:ascii="Times New Roman" w:hAnsi="Times New Roman" w:eastAsia="Times New Roman" w:cs="Times New Roman"/>
              <w:spacing w:val="7"/>
              <w:sz w:val="23"/>
              <w:szCs w:val="23"/>
            </w:rPr>
            <w:t xml:space="preserve">3  </w:t>
          </w:r>
          <w:r>
            <w:rPr>
              <w:rFonts w:ascii="宋体" w:hAnsi="宋体" w:eastAsia="宋体" w:cs="宋体"/>
              <w:spacing w:val="7"/>
              <w:sz w:val="23"/>
              <w:szCs w:val="23"/>
            </w:rPr>
            <w:t>项目经济效益情况</w:t>
          </w:r>
          <w:r>
            <w:rPr>
              <w:rFonts w:ascii="Times New Roman" w:hAnsi="Times New Roman" w:eastAsia="Times New Roman" w:cs="Times New Roman"/>
              <w:sz w:val="23"/>
              <w:szCs w:val="23"/>
            </w:rPr>
            <w:tab/>
          </w:r>
          <w:r>
            <w:rPr>
              <w:rFonts w:ascii="Times New Roman" w:hAnsi="Times New Roman" w:eastAsia="Times New Roman" w:cs="Times New Roman"/>
              <w:spacing w:val="7"/>
              <w:sz w:val="23"/>
              <w:szCs w:val="23"/>
            </w:rPr>
            <w:t>162</w:t>
          </w:r>
          <w:r>
            <w:rPr>
              <w:rFonts w:ascii="Times New Roman" w:hAnsi="Times New Roman" w:eastAsia="Times New Roman" w:cs="Times New Roman"/>
              <w:spacing w:val="7"/>
              <w:sz w:val="23"/>
              <w:szCs w:val="23"/>
            </w:rPr>
            <w:fldChar w:fldCharType="end"/>
          </w:r>
        </w:p>
        <w:p w14:paraId="52719EF0">
          <w:pPr>
            <w:tabs>
              <w:tab w:val="right" w:leader="dot" w:pos="8320"/>
            </w:tabs>
            <w:spacing w:before="155" w:line="228" w:lineRule="auto"/>
            <w:ind w:left="448"/>
            <w:rPr>
              <w:rFonts w:ascii="Times New Roman" w:hAnsi="Times New Roman" w:eastAsia="Times New Roman" w:cs="Times New Roman"/>
              <w:sz w:val="23"/>
              <w:szCs w:val="23"/>
            </w:rPr>
          </w:pPr>
          <w:r>
            <w:fldChar w:fldCharType="begin"/>
          </w:r>
          <w:r>
            <w:instrText xml:space="preserve"> HYPERLINK \l "_bookmark41" </w:instrText>
          </w:r>
          <w:r>
            <w:fldChar w:fldCharType="separate"/>
          </w:r>
          <w:r>
            <w:rPr>
              <w:rFonts w:ascii="Times New Roman" w:hAnsi="Times New Roman" w:eastAsia="Times New Roman" w:cs="Times New Roman"/>
              <w:spacing w:val="14"/>
              <w:sz w:val="23"/>
              <w:szCs w:val="23"/>
            </w:rPr>
            <w:t>8</w:t>
          </w:r>
          <w:r>
            <w:rPr>
              <w:rFonts w:ascii="Times New Roman" w:hAnsi="Times New Roman" w:eastAsia="Times New Roman" w:cs="Times New Roman"/>
              <w:spacing w:val="12"/>
              <w:sz w:val="23"/>
              <w:szCs w:val="23"/>
            </w:rPr>
            <w:t>.</w:t>
          </w:r>
          <w:r>
            <w:rPr>
              <w:rFonts w:ascii="Times New Roman" w:hAnsi="Times New Roman" w:eastAsia="Times New Roman" w:cs="Times New Roman"/>
              <w:spacing w:val="7"/>
              <w:sz w:val="23"/>
              <w:szCs w:val="23"/>
            </w:rPr>
            <w:t xml:space="preserve">4  </w:t>
          </w:r>
          <w:r>
            <w:rPr>
              <w:rFonts w:ascii="宋体" w:hAnsi="宋体" w:eastAsia="宋体" w:cs="宋体"/>
              <w:spacing w:val="7"/>
              <w:sz w:val="23"/>
              <w:szCs w:val="23"/>
            </w:rPr>
            <w:t>项目环境效益分析</w:t>
          </w:r>
          <w:r>
            <w:rPr>
              <w:rFonts w:ascii="Times New Roman" w:hAnsi="Times New Roman" w:eastAsia="Times New Roman" w:cs="Times New Roman"/>
              <w:sz w:val="23"/>
              <w:szCs w:val="23"/>
            </w:rPr>
            <w:tab/>
          </w:r>
          <w:r>
            <w:rPr>
              <w:rFonts w:ascii="Times New Roman" w:hAnsi="Times New Roman" w:eastAsia="Times New Roman" w:cs="Times New Roman"/>
              <w:spacing w:val="7"/>
              <w:sz w:val="23"/>
              <w:szCs w:val="23"/>
            </w:rPr>
            <w:t>162</w:t>
          </w:r>
          <w:r>
            <w:rPr>
              <w:rFonts w:ascii="Times New Roman" w:hAnsi="Times New Roman" w:eastAsia="Times New Roman" w:cs="Times New Roman"/>
              <w:spacing w:val="7"/>
              <w:sz w:val="23"/>
              <w:szCs w:val="23"/>
            </w:rPr>
            <w:fldChar w:fldCharType="end"/>
          </w:r>
        </w:p>
        <w:p w14:paraId="6E238E54">
          <w:pPr>
            <w:tabs>
              <w:tab w:val="right" w:leader="dot" w:pos="8320"/>
            </w:tabs>
            <w:spacing w:before="155" w:line="228" w:lineRule="auto"/>
            <w:ind w:left="448"/>
            <w:rPr>
              <w:rFonts w:ascii="Times New Roman" w:hAnsi="Times New Roman" w:eastAsia="Times New Roman" w:cs="Times New Roman"/>
              <w:sz w:val="23"/>
              <w:szCs w:val="23"/>
            </w:rPr>
          </w:pPr>
          <w:r>
            <w:fldChar w:fldCharType="begin"/>
          </w:r>
          <w:r>
            <w:instrText xml:space="preserve"> HYPERLINK \l "_bookmark42" </w:instrText>
          </w:r>
          <w:r>
            <w:fldChar w:fldCharType="separate"/>
          </w:r>
          <w:r>
            <w:rPr>
              <w:rFonts w:ascii="Times New Roman" w:hAnsi="Times New Roman" w:eastAsia="Times New Roman" w:cs="Times New Roman"/>
              <w:spacing w:val="8"/>
              <w:sz w:val="23"/>
              <w:szCs w:val="23"/>
            </w:rPr>
            <w:t xml:space="preserve">8.5  </w:t>
          </w:r>
          <w:r>
            <w:rPr>
              <w:rFonts w:ascii="宋体" w:hAnsi="宋体" w:eastAsia="宋体" w:cs="宋体"/>
              <w:spacing w:val="8"/>
              <w:sz w:val="23"/>
              <w:szCs w:val="23"/>
            </w:rPr>
            <w:t>环境经济损益分析结论</w:t>
          </w:r>
          <w:r>
            <w:rPr>
              <w:rFonts w:ascii="Times New Roman" w:hAnsi="Times New Roman" w:eastAsia="Times New Roman" w:cs="Times New Roman"/>
              <w:sz w:val="23"/>
              <w:szCs w:val="23"/>
            </w:rPr>
            <w:tab/>
          </w:r>
          <w:r>
            <w:rPr>
              <w:rFonts w:ascii="Times New Roman" w:hAnsi="Times New Roman" w:eastAsia="Times New Roman" w:cs="Times New Roman"/>
              <w:spacing w:val="8"/>
              <w:sz w:val="23"/>
              <w:szCs w:val="23"/>
            </w:rPr>
            <w:t>163</w:t>
          </w:r>
          <w:r>
            <w:rPr>
              <w:rFonts w:ascii="Times New Roman" w:hAnsi="Times New Roman" w:eastAsia="Times New Roman" w:cs="Times New Roman"/>
              <w:spacing w:val="8"/>
              <w:sz w:val="23"/>
              <w:szCs w:val="23"/>
            </w:rPr>
            <w:fldChar w:fldCharType="end"/>
          </w:r>
        </w:p>
        <w:p w14:paraId="3B856C4C">
          <w:pPr>
            <w:tabs>
              <w:tab w:val="right" w:leader="dot" w:pos="8320"/>
            </w:tabs>
            <w:spacing w:before="158" w:line="227" w:lineRule="auto"/>
            <w:ind w:left="21"/>
            <w:rPr>
              <w:rFonts w:ascii="Times New Roman" w:hAnsi="Times New Roman" w:eastAsia="Times New Roman" w:cs="Times New Roman"/>
              <w:sz w:val="23"/>
              <w:szCs w:val="23"/>
            </w:rPr>
          </w:pPr>
          <w:r>
            <w:fldChar w:fldCharType="begin"/>
          </w:r>
          <w:r>
            <w:instrText xml:space="preserve"> HYPERLINK \l "_bookmark43" </w:instrText>
          </w:r>
          <w:r>
            <w:fldChar w:fldCharType="separate"/>
          </w:r>
          <w:r>
            <w:rPr>
              <w:rFonts w:ascii="Times New Roman" w:hAnsi="Times New Roman" w:eastAsia="Times New Roman" w:cs="Times New Roman"/>
              <w:b/>
              <w:bCs/>
              <w:spacing w:val="9"/>
              <w:sz w:val="23"/>
              <w:szCs w:val="23"/>
            </w:rPr>
            <w:t>9</w:t>
          </w:r>
          <w:r>
            <w:rPr>
              <w:rFonts w:ascii="Times New Roman" w:hAnsi="Times New Roman" w:eastAsia="Times New Roman" w:cs="Times New Roman"/>
              <w:spacing w:val="9"/>
              <w:sz w:val="23"/>
              <w:szCs w:val="23"/>
            </w:rPr>
            <w:t xml:space="preserve">  </w:t>
          </w:r>
          <w:r>
            <w:rPr>
              <w:rFonts w:ascii="宋体" w:hAnsi="宋体" w:eastAsia="宋体" w:cs="宋体"/>
              <w:spacing w:val="9"/>
              <w:sz w:val="23"/>
              <w:szCs w:val="23"/>
              <w14:textOutline w14:w="4358" w14:cap="sq" w14:cmpd="sng">
                <w14:solidFill>
                  <w14:srgbClr w14:val="000000"/>
                </w14:solidFill>
                <w14:prstDash w14:val="solid"/>
                <w14:bevel/>
              </w14:textOutline>
            </w:rPr>
            <w:t>环境管理与监测计划</w:t>
          </w:r>
          <w:r>
            <w:rPr>
              <w:rFonts w:ascii="Times New Roman" w:hAnsi="Times New Roman" w:eastAsia="Times New Roman" w:cs="Times New Roman"/>
              <w:b/>
              <w:bCs/>
              <w:sz w:val="23"/>
              <w:szCs w:val="23"/>
            </w:rPr>
            <w:tab/>
          </w:r>
          <w:r>
            <w:rPr>
              <w:rFonts w:ascii="Times New Roman" w:hAnsi="Times New Roman" w:eastAsia="Times New Roman" w:cs="Times New Roman"/>
              <w:b/>
              <w:bCs/>
              <w:spacing w:val="9"/>
              <w:sz w:val="23"/>
              <w:szCs w:val="23"/>
            </w:rPr>
            <w:t>16</w:t>
          </w:r>
          <w:r>
            <w:rPr>
              <w:rFonts w:ascii="Times New Roman" w:hAnsi="Times New Roman" w:eastAsia="Times New Roman" w:cs="Times New Roman"/>
              <w:b/>
              <w:bCs/>
              <w:spacing w:val="8"/>
              <w:sz w:val="23"/>
              <w:szCs w:val="23"/>
            </w:rPr>
            <w:t>4</w:t>
          </w:r>
          <w:r>
            <w:rPr>
              <w:rFonts w:ascii="Times New Roman" w:hAnsi="Times New Roman" w:eastAsia="Times New Roman" w:cs="Times New Roman"/>
              <w:b/>
              <w:bCs/>
              <w:spacing w:val="8"/>
              <w:sz w:val="23"/>
              <w:szCs w:val="23"/>
            </w:rPr>
            <w:fldChar w:fldCharType="end"/>
          </w:r>
        </w:p>
        <w:p w14:paraId="32B41483">
          <w:pPr>
            <w:tabs>
              <w:tab w:val="right" w:leader="dot" w:pos="8320"/>
            </w:tabs>
            <w:spacing w:before="156" w:line="227" w:lineRule="auto"/>
            <w:ind w:left="443"/>
            <w:rPr>
              <w:rFonts w:ascii="Times New Roman" w:hAnsi="Times New Roman" w:eastAsia="Times New Roman" w:cs="Times New Roman"/>
              <w:sz w:val="23"/>
              <w:szCs w:val="23"/>
            </w:rPr>
          </w:pPr>
          <w:r>
            <w:fldChar w:fldCharType="begin"/>
          </w:r>
          <w:r>
            <w:instrText xml:space="preserve"> HYPERLINK \l "_bookmark44" </w:instrText>
          </w:r>
          <w:r>
            <w:fldChar w:fldCharType="separate"/>
          </w:r>
          <w:r>
            <w:rPr>
              <w:rFonts w:ascii="Times New Roman" w:hAnsi="Times New Roman" w:eastAsia="Times New Roman" w:cs="Times New Roman"/>
              <w:spacing w:val="12"/>
              <w:sz w:val="23"/>
              <w:szCs w:val="23"/>
            </w:rPr>
            <w:t>9</w:t>
          </w:r>
          <w:r>
            <w:rPr>
              <w:rFonts w:ascii="Times New Roman" w:hAnsi="Times New Roman" w:eastAsia="Times New Roman" w:cs="Times New Roman"/>
              <w:spacing w:val="7"/>
              <w:sz w:val="23"/>
              <w:szCs w:val="23"/>
            </w:rPr>
            <w:t xml:space="preserve">.1  </w:t>
          </w:r>
          <w:r>
            <w:rPr>
              <w:rFonts w:ascii="宋体" w:hAnsi="宋体" w:eastAsia="宋体" w:cs="宋体"/>
              <w:spacing w:val="7"/>
              <w:sz w:val="23"/>
              <w:szCs w:val="23"/>
            </w:rPr>
            <w:t>环境管理</w:t>
          </w:r>
          <w:r>
            <w:rPr>
              <w:rFonts w:ascii="Times New Roman" w:hAnsi="Times New Roman" w:eastAsia="Times New Roman" w:cs="Times New Roman"/>
              <w:sz w:val="23"/>
              <w:szCs w:val="23"/>
            </w:rPr>
            <w:tab/>
          </w:r>
          <w:r>
            <w:rPr>
              <w:rFonts w:ascii="Times New Roman" w:hAnsi="Times New Roman" w:eastAsia="Times New Roman" w:cs="Times New Roman"/>
              <w:spacing w:val="7"/>
              <w:sz w:val="23"/>
              <w:szCs w:val="23"/>
            </w:rPr>
            <w:t>164</w:t>
          </w:r>
          <w:r>
            <w:rPr>
              <w:rFonts w:ascii="Times New Roman" w:hAnsi="Times New Roman" w:eastAsia="Times New Roman" w:cs="Times New Roman"/>
              <w:spacing w:val="7"/>
              <w:sz w:val="23"/>
              <w:szCs w:val="23"/>
            </w:rPr>
            <w:fldChar w:fldCharType="end"/>
          </w:r>
        </w:p>
        <w:p w14:paraId="5BC10004">
          <w:pPr>
            <w:tabs>
              <w:tab w:val="right" w:leader="dot" w:pos="8320"/>
            </w:tabs>
            <w:spacing w:before="157" w:line="228" w:lineRule="auto"/>
            <w:ind w:left="443"/>
            <w:rPr>
              <w:rFonts w:ascii="Times New Roman" w:hAnsi="Times New Roman" w:eastAsia="Times New Roman" w:cs="Times New Roman"/>
              <w:sz w:val="23"/>
              <w:szCs w:val="23"/>
            </w:rPr>
          </w:pPr>
          <w:r>
            <w:fldChar w:fldCharType="begin"/>
          </w:r>
          <w:r>
            <w:instrText xml:space="preserve"> HYPERLINK \l "_bookmark45" </w:instrText>
          </w:r>
          <w:r>
            <w:fldChar w:fldCharType="separate"/>
          </w:r>
          <w:r>
            <w:rPr>
              <w:rFonts w:ascii="Times New Roman" w:hAnsi="Times New Roman" w:eastAsia="Times New Roman" w:cs="Times New Roman"/>
              <w:spacing w:val="12"/>
              <w:sz w:val="23"/>
              <w:szCs w:val="23"/>
            </w:rPr>
            <w:t>9</w:t>
          </w:r>
          <w:r>
            <w:rPr>
              <w:rFonts w:ascii="Times New Roman" w:hAnsi="Times New Roman" w:eastAsia="Times New Roman" w:cs="Times New Roman"/>
              <w:spacing w:val="7"/>
              <w:sz w:val="23"/>
              <w:szCs w:val="23"/>
            </w:rPr>
            <w:t xml:space="preserve">.2  </w:t>
          </w:r>
          <w:r>
            <w:rPr>
              <w:rFonts w:ascii="宋体" w:hAnsi="宋体" w:eastAsia="宋体" w:cs="宋体"/>
              <w:spacing w:val="7"/>
              <w:sz w:val="23"/>
              <w:szCs w:val="23"/>
            </w:rPr>
            <w:t>环境监测</w:t>
          </w:r>
          <w:r>
            <w:rPr>
              <w:rFonts w:ascii="Times New Roman" w:hAnsi="Times New Roman" w:eastAsia="Times New Roman" w:cs="Times New Roman"/>
              <w:sz w:val="23"/>
              <w:szCs w:val="23"/>
            </w:rPr>
            <w:tab/>
          </w:r>
          <w:r>
            <w:rPr>
              <w:rFonts w:ascii="Times New Roman" w:hAnsi="Times New Roman" w:eastAsia="Times New Roman" w:cs="Times New Roman"/>
              <w:spacing w:val="7"/>
              <w:sz w:val="23"/>
              <w:szCs w:val="23"/>
            </w:rPr>
            <w:t>168</w:t>
          </w:r>
          <w:r>
            <w:rPr>
              <w:rFonts w:ascii="Times New Roman" w:hAnsi="Times New Roman" w:eastAsia="Times New Roman" w:cs="Times New Roman"/>
              <w:spacing w:val="7"/>
              <w:sz w:val="23"/>
              <w:szCs w:val="23"/>
            </w:rPr>
            <w:fldChar w:fldCharType="end"/>
          </w:r>
        </w:p>
        <w:p w14:paraId="27403E1A">
          <w:pPr>
            <w:tabs>
              <w:tab w:val="right" w:leader="dot" w:pos="8320"/>
            </w:tabs>
            <w:spacing w:before="157" w:line="227" w:lineRule="auto"/>
            <w:ind w:left="443"/>
            <w:rPr>
              <w:rFonts w:ascii="Times New Roman" w:hAnsi="Times New Roman" w:eastAsia="Times New Roman" w:cs="Times New Roman"/>
              <w:sz w:val="23"/>
              <w:szCs w:val="23"/>
            </w:rPr>
          </w:pPr>
          <w:r>
            <w:fldChar w:fldCharType="begin"/>
          </w:r>
          <w:r>
            <w:instrText xml:space="preserve"> HYPERLINK \l "_bookmark46" </w:instrText>
          </w:r>
          <w:r>
            <w:fldChar w:fldCharType="separate"/>
          </w:r>
          <w:r>
            <w:rPr>
              <w:rFonts w:ascii="Times New Roman" w:hAnsi="Times New Roman" w:eastAsia="Times New Roman" w:cs="Times New Roman"/>
              <w:spacing w:val="8"/>
              <w:sz w:val="23"/>
              <w:szCs w:val="23"/>
            </w:rPr>
            <w:t xml:space="preserve">9.3  </w:t>
          </w:r>
          <w:r>
            <w:rPr>
              <w:rFonts w:ascii="宋体" w:hAnsi="宋体" w:eastAsia="宋体" w:cs="宋体"/>
              <w:spacing w:val="8"/>
              <w:sz w:val="23"/>
              <w:szCs w:val="23"/>
            </w:rPr>
            <w:t>环境保护验收</w:t>
          </w:r>
          <w:r>
            <w:rPr>
              <w:rFonts w:ascii="Times New Roman" w:hAnsi="Times New Roman" w:eastAsia="Times New Roman" w:cs="Times New Roman"/>
              <w:sz w:val="23"/>
              <w:szCs w:val="23"/>
            </w:rPr>
            <w:tab/>
          </w:r>
          <w:r>
            <w:rPr>
              <w:rFonts w:ascii="Times New Roman" w:hAnsi="Times New Roman" w:eastAsia="Times New Roman" w:cs="Times New Roman"/>
              <w:spacing w:val="8"/>
              <w:sz w:val="23"/>
              <w:szCs w:val="23"/>
            </w:rPr>
            <w:t>17</w:t>
          </w:r>
          <w:r>
            <w:rPr>
              <w:rFonts w:ascii="Times New Roman" w:hAnsi="Times New Roman" w:eastAsia="Times New Roman" w:cs="Times New Roman"/>
              <w:spacing w:val="5"/>
              <w:sz w:val="23"/>
              <w:szCs w:val="23"/>
            </w:rPr>
            <w:t>0</w:t>
          </w:r>
          <w:r>
            <w:rPr>
              <w:rFonts w:ascii="Times New Roman" w:hAnsi="Times New Roman" w:eastAsia="Times New Roman" w:cs="Times New Roman"/>
              <w:spacing w:val="5"/>
              <w:sz w:val="23"/>
              <w:szCs w:val="23"/>
            </w:rPr>
            <w:fldChar w:fldCharType="end"/>
          </w:r>
        </w:p>
        <w:p w14:paraId="2A108984">
          <w:pPr>
            <w:tabs>
              <w:tab w:val="right" w:leader="dot" w:pos="8320"/>
            </w:tabs>
            <w:spacing w:before="156" w:line="226" w:lineRule="auto"/>
            <w:ind w:left="29"/>
            <w:rPr>
              <w:rFonts w:ascii="Times New Roman" w:hAnsi="Times New Roman" w:eastAsia="Times New Roman" w:cs="Times New Roman"/>
              <w:sz w:val="23"/>
              <w:szCs w:val="23"/>
            </w:rPr>
          </w:pPr>
          <w:r>
            <w:fldChar w:fldCharType="begin"/>
          </w:r>
          <w:r>
            <w:instrText xml:space="preserve"> HYPERLINK \l "_bookmark47" </w:instrText>
          </w:r>
          <w:r>
            <w:fldChar w:fldCharType="separate"/>
          </w:r>
          <w:r>
            <w:rPr>
              <w:rFonts w:ascii="Times New Roman" w:hAnsi="Times New Roman" w:eastAsia="Times New Roman" w:cs="Times New Roman"/>
              <w:b/>
              <w:bCs/>
              <w:spacing w:val="15"/>
              <w:sz w:val="23"/>
              <w:szCs w:val="23"/>
            </w:rPr>
            <w:t>1</w:t>
          </w:r>
          <w:r>
            <w:rPr>
              <w:rFonts w:ascii="Times New Roman" w:hAnsi="Times New Roman" w:eastAsia="Times New Roman" w:cs="Times New Roman"/>
              <w:b/>
              <w:bCs/>
              <w:spacing w:val="8"/>
              <w:sz w:val="23"/>
              <w:szCs w:val="23"/>
            </w:rPr>
            <w:t>0</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14:textOutline w14:w="4358" w14:cap="sq" w14:cmpd="sng">
                <w14:solidFill>
                  <w14:srgbClr w14:val="000000"/>
                </w14:solidFill>
                <w14:prstDash w14:val="solid"/>
                <w14:bevel/>
              </w14:textOutline>
            </w:rPr>
            <w:t>环境影响评价结论与建议</w:t>
          </w:r>
          <w:r>
            <w:rPr>
              <w:rFonts w:ascii="Times New Roman" w:hAnsi="Times New Roman" w:eastAsia="Times New Roman" w:cs="Times New Roman"/>
              <w:b/>
              <w:bCs/>
              <w:sz w:val="23"/>
              <w:szCs w:val="23"/>
            </w:rPr>
            <w:tab/>
          </w:r>
          <w:r>
            <w:rPr>
              <w:rFonts w:ascii="Times New Roman" w:hAnsi="Times New Roman" w:eastAsia="Times New Roman" w:cs="Times New Roman"/>
              <w:b/>
              <w:bCs/>
              <w:spacing w:val="8"/>
              <w:sz w:val="23"/>
              <w:szCs w:val="23"/>
            </w:rPr>
            <w:t>172</w:t>
          </w:r>
          <w:r>
            <w:rPr>
              <w:rFonts w:ascii="Times New Roman" w:hAnsi="Times New Roman" w:eastAsia="Times New Roman" w:cs="Times New Roman"/>
              <w:b/>
              <w:bCs/>
              <w:spacing w:val="8"/>
              <w:sz w:val="23"/>
              <w:szCs w:val="23"/>
            </w:rPr>
            <w:fldChar w:fldCharType="end"/>
          </w:r>
        </w:p>
        <w:p w14:paraId="6B3E3E57">
          <w:pPr>
            <w:tabs>
              <w:tab w:val="right" w:leader="dot" w:pos="8320"/>
            </w:tabs>
            <w:spacing w:before="158" w:line="229" w:lineRule="auto"/>
            <w:ind w:left="462"/>
            <w:rPr>
              <w:rFonts w:ascii="Times New Roman" w:hAnsi="Times New Roman" w:eastAsia="Times New Roman" w:cs="Times New Roman"/>
              <w:sz w:val="23"/>
              <w:szCs w:val="23"/>
            </w:rPr>
          </w:pPr>
          <w:r>
            <w:fldChar w:fldCharType="begin"/>
          </w:r>
          <w:r>
            <w:instrText xml:space="preserve"> HYPERLINK \l "_bookmark48" </w:instrText>
          </w:r>
          <w:r>
            <w:fldChar w:fldCharType="separate"/>
          </w:r>
          <w:r>
            <w:rPr>
              <w:rFonts w:ascii="Times New Roman" w:hAnsi="Times New Roman" w:eastAsia="Times New Roman" w:cs="Times New Roman"/>
              <w:spacing w:val="5"/>
              <w:sz w:val="23"/>
              <w:szCs w:val="23"/>
            </w:rPr>
            <w:t xml:space="preserve">10.1  </w:t>
          </w:r>
          <w:r>
            <w:rPr>
              <w:rFonts w:ascii="宋体" w:hAnsi="宋体" w:eastAsia="宋体" w:cs="宋体"/>
              <w:spacing w:val="5"/>
              <w:sz w:val="23"/>
              <w:szCs w:val="23"/>
            </w:rPr>
            <w:t>结论</w:t>
          </w:r>
          <w:r>
            <w:rPr>
              <w:rFonts w:ascii="Times New Roman" w:hAnsi="Times New Roman" w:eastAsia="Times New Roman" w:cs="Times New Roman"/>
              <w:sz w:val="23"/>
              <w:szCs w:val="23"/>
            </w:rPr>
            <w:tab/>
          </w:r>
          <w:r>
            <w:rPr>
              <w:rFonts w:ascii="Times New Roman" w:hAnsi="Times New Roman" w:eastAsia="Times New Roman" w:cs="Times New Roman"/>
              <w:spacing w:val="5"/>
              <w:sz w:val="23"/>
              <w:szCs w:val="23"/>
            </w:rPr>
            <w:t>172</w:t>
          </w:r>
          <w:r>
            <w:rPr>
              <w:rFonts w:ascii="Times New Roman" w:hAnsi="Times New Roman" w:eastAsia="Times New Roman" w:cs="Times New Roman"/>
              <w:spacing w:val="5"/>
              <w:sz w:val="23"/>
              <w:szCs w:val="23"/>
            </w:rPr>
            <w:fldChar w:fldCharType="end"/>
          </w:r>
        </w:p>
        <w:p w14:paraId="788F4538">
          <w:pPr>
            <w:tabs>
              <w:tab w:val="right" w:leader="dot" w:pos="8320"/>
            </w:tabs>
            <w:spacing w:before="156" w:line="228" w:lineRule="auto"/>
            <w:ind w:left="462"/>
            <w:rPr>
              <w:rFonts w:ascii="Times New Roman" w:hAnsi="Times New Roman" w:eastAsia="Times New Roman" w:cs="Times New Roman"/>
              <w:sz w:val="23"/>
              <w:szCs w:val="23"/>
            </w:rPr>
          </w:pPr>
          <w:r>
            <w:fldChar w:fldCharType="begin"/>
          </w:r>
          <w:r>
            <w:instrText xml:space="preserve"> HYPERLINK \l "_bookmark49" </w:instrText>
          </w:r>
          <w:r>
            <w:fldChar w:fldCharType="separate"/>
          </w:r>
          <w:r>
            <w:rPr>
              <w:rFonts w:ascii="Times New Roman" w:hAnsi="Times New Roman" w:eastAsia="Times New Roman" w:cs="Times New Roman"/>
              <w:spacing w:val="5"/>
              <w:sz w:val="23"/>
              <w:szCs w:val="23"/>
            </w:rPr>
            <w:t xml:space="preserve">10.2  </w:t>
          </w:r>
          <w:r>
            <w:rPr>
              <w:rFonts w:ascii="宋体" w:hAnsi="宋体" w:eastAsia="宋体" w:cs="宋体"/>
              <w:spacing w:val="5"/>
              <w:sz w:val="23"/>
              <w:szCs w:val="23"/>
            </w:rPr>
            <w:t>建议</w:t>
          </w:r>
          <w:r>
            <w:rPr>
              <w:rFonts w:ascii="Times New Roman" w:hAnsi="Times New Roman" w:eastAsia="Times New Roman" w:cs="Times New Roman"/>
              <w:sz w:val="23"/>
              <w:szCs w:val="23"/>
            </w:rPr>
            <w:tab/>
          </w:r>
          <w:r>
            <w:rPr>
              <w:rFonts w:ascii="Times New Roman" w:hAnsi="Times New Roman" w:eastAsia="Times New Roman" w:cs="Times New Roman"/>
              <w:spacing w:val="5"/>
              <w:sz w:val="23"/>
              <w:szCs w:val="23"/>
            </w:rPr>
            <w:t>177</w:t>
          </w:r>
          <w:r>
            <w:rPr>
              <w:rFonts w:ascii="Times New Roman" w:hAnsi="Times New Roman" w:eastAsia="Times New Roman" w:cs="Times New Roman"/>
              <w:spacing w:val="5"/>
              <w:sz w:val="23"/>
              <w:szCs w:val="23"/>
            </w:rPr>
            <w:fldChar w:fldCharType="end"/>
          </w:r>
        </w:p>
        <w:p w14:paraId="57F0101D">
          <w:pPr>
            <w:tabs>
              <w:tab w:val="right" w:leader="dot" w:pos="8320"/>
            </w:tabs>
            <w:spacing w:before="155" w:line="227" w:lineRule="auto"/>
            <w:ind w:left="29"/>
            <w:rPr>
              <w:rFonts w:ascii="Times New Roman" w:hAnsi="Times New Roman" w:eastAsia="Times New Roman" w:cs="Times New Roman"/>
              <w:sz w:val="23"/>
              <w:szCs w:val="23"/>
            </w:rPr>
          </w:pPr>
          <w:r>
            <w:fldChar w:fldCharType="begin"/>
          </w:r>
          <w:r>
            <w:instrText xml:space="preserve"> HYPERLINK \l "_bookmark50" </w:instrText>
          </w:r>
          <w:r>
            <w:fldChar w:fldCharType="separate"/>
          </w:r>
          <w:r>
            <w:rPr>
              <w:rFonts w:ascii="Times New Roman" w:hAnsi="Times New Roman" w:eastAsia="Times New Roman" w:cs="Times New Roman"/>
              <w:b/>
              <w:bCs/>
              <w:spacing w:val="9"/>
              <w:sz w:val="23"/>
              <w:szCs w:val="23"/>
            </w:rPr>
            <w:t>1</w:t>
          </w:r>
          <w:r>
            <w:rPr>
              <w:rFonts w:ascii="Times New Roman" w:hAnsi="Times New Roman" w:eastAsia="Times New Roman" w:cs="Times New Roman"/>
              <w:b/>
              <w:bCs/>
              <w:spacing w:val="7"/>
              <w:sz w:val="23"/>
              <w:szCs w:val="23"/>
            </w:rPr>
            <w:t>1</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14:textOutline w14:w="4358" w14:cap="sq" w14:cmpd="sng">
                <w14:solidFill>
                  <w14:srgbClr w14:val="000000"/>
                </w14:solidFill>
                <w14:prstDash w14:val="solid"/>
                <w14:bevel/>
              </w14:textOutline>
            </w:rPr>
            <w:t>附件</w:t>
          </w:r>
          <w:r>
            <w:rPr>
              <w:rFonts w:ascii="Times New Roman" w:hAnsi="Times New Roman" w:eastAsia="Times New Roman" w:cs="Times New Roman"/>
              <w:b/>
              <w:bCs/>
              <w:sz w:val="23"/>
              <w:szCs w:val="23"/>
            </w:rPr>
            <w:tab/>
          </w:r>
          <w:r>
            <w:rPr>
              <w:rFonts w:ascii="Times New Roman" w:hAnsi="Times New Roman" w:eastAsia="Times New Roman" w:cs="Times New Roman"/>
              <w:b/>
              <w:bCs/>
              <w:spacing w:val="7"/>
              <w:sz w:val="23"/>
              <w:szCs w:val="23"/>
            </w:rPr>
            <w:t>178</w:t>
          </w:r>
          <w:r>
            <w:rPr>
              <w:rFonts w:ascii="Times New Roman" w:hAnsi="Times New Roman" w:eastAsia="Times New Roman" w:cs="Times New Roman"/>
              <w:b/>
              <w:bCs/>
              <w:spacing w:val="7"/>
              <w:sz w:val="23"/>
              <w:szCs w:val="23"/>
            </w:rPr>
            <w:fldChar w:fldCharType="end"/>
          </w:r>
        </w:p>
      </w:sdtContent>
    </w:sdt>
    <w:p w14:paraId="0C5BE664">
      <w:pPr>
        <w:sectPr>
          <w:footerReference r:id="rId7" w:type="default"/>
          <w:pgSz w:w="11906" w:h="16839"/>
          <w:pgMar w:top="1132" w:right="1785" w:bottom="897" w:left="1785" w:header="878" w:footer="739" w:gutter="0"/>
          <w:cols w:space="720" w:num="1"/>
        </w:sectPr>
      </w:pPr>
    </w:p>
    <w:p w14:paraId="7C1F029F">
      <w:pPr>
        <w:spacing w:line="436" w:lineRule="auto"/>
        <w:rPr>
          <w:rFonts w:ascii="Arial"/>
          <w:sz w:val="21"/>
        </w:rPr>
      </w:pPr>
      <w:r>
        <w:pict>
          <v:shape id="_x0000_s1028" o:spid="_x0000_s1028" style="position:absolute;left:0pt;margin-left:90pt;margin-top:57.35pt;height:0.75pt;width:415.3pt;mso-position-horizontal-relative:page;mso-position-vertical-relative:page;z-index:251662336;mso-width-relative:page;mso-height-relative:page;" fillcolor="#000000" filled="t" stroked="f" coordsize="8305,15" o:allowincell="f" path="m0,0l8305,0,8305,14,0,14,0,0xe">
            <v:path/>
            <v:fill on="t" focussize="0,0"/>
            <v:stroke on="f"/>
            <v:imagedata o:title=""/>
            <o:lock v:ext="edit"/>
          </v:shape>
        </w:pict>
      </w:r>
    </w:p>
    <w:p w14:paraId="5B28509D">
      <w:pPr>
        <w:spacing w:before="113" w:line="225" w:lineRule="auto"/>
        <w:ind w:left="37"/>
        <w:outlineLvl w:val="0"/>
        <w:rPr>
          <w:rFonts w:ascii="宋体" w:hAnsi="宋体" w:eastAsia="宋体" w:cs="宋体"/>
          <w:sz w:val="35"/>
          <w:szCs w:val="35"/>
        </w:rPr>
      </w:pPr>
      <w:bookmarkStart w:id="0" w:name="_bookmark1"/>
      <w:bookmarkEnd w:id="0"/>
      <w:r>
        <w:rPr>
          <w:rFonts w:ascii="Times New Roman" w:hAnsi="Times New Roman" w:eastAsia="Times New Roman" w:cs="Times New Roman"/>
          <w:b/>
          <w:bCs/>
          <w:spacing w:val="2"/>
          <w:sz w:val="35"/>
          <w:szCs w:val="35"/>
        </w:rPr>
        <w:t>1</w:t>
      </w:r>
      <w:r>
        <w:rPr>
          <w:rFonts w:ascii="Times New Roman" w:hAnsi="Times New Roman" w:eastAsia="Times New Roman" w:cs="Times New Roman"/>
          <w:spacing w:val="2"/>
          <w:sz w:val="35"/>
          <w:szCs w:val="35"/>
        </w:rPr>
        <w:t xml:space="preserve">  </w:t>
      </w:r>
      <w:r>
        <w:rPr>
          <w:rFonts w:ascii="宋体" w:hAnsi="宋体" w:eastAsia="宋体" w:cs="宋体"/>
          <w:spacing w:val="1"/>
          <w:sz w:val="35"/>
          <w:szCs w:val="35"/>
          <w14:textOutline w14:w="6537" w14:cap="sq" w14:cmpd="sng">
            <w14:solidFill>
              <w14:srgbClr w14:val="000000"/>
            </w14:solidFill>
            <w14:prstDash w14:val="solid"/>
            <w14:bevel/>
          </w14:textOutline>
        </w:rPr>
        <w:t>概述</w:t>
      </w:r>
    </w:p>
    <w:p w14:paraId="7AE71F87">
      <w:pPr>
        <w:spacing w:before="266" w:line="225" w:lineRule="auto"/>
        <w:ind w:left="35"/>
        <w:outlineLvl w:val="1"/>
        <w:rPr>
          <w:rFonts w:ascii="宋体" w:hAnsi="宋体" w:eastAsia="宋体" w:cs="宋体"/>
          <w:sz w:val="31"/>
          <w:szCs w:val="31"/>
        </w:rPr>
      </w:pPr>
      <w:bookmarkStart w:id="1" w:name="_bookmark2"/>
      <w:bookmarkEnd w:id="1"/>
      <w:r>
        <w:rPr>
          <w:rFonts w:ascii="Times New Roman" w:hAnsi="Times New Roman" w:eastAsia="Times New Roman" w:cs="Times New Roman"/>
          <w:b/>
          <w:bCs/>
          <w:spacing w:val="10"/>
          <w:sz w:val="31"/>
          <w:szCs w:val="31"/>
        </w:rPr>
        <w:t>1</w:t>
      </w:r>
      <w:r>
        <w:rPr>
          <w:rFonts w:ascii="Times New Roman" w:hAnsi="Times New Roman" w:eastAsia="Times New Roman" w:cs="Times New Roman"/>
          <w:b/>
          <w:bCs/>
          <w:spacing w:val="5"/>
          <w:sz w:val="31"/>
          <w:szCs w:val="31"/>
        </w:rPr>
        <w:t>.1</w:t>
      </w:r>
      <w:r>
        <w:rPr>
          <w:rFonts w:ascii="Times New Roman" w:hAnsi="Times New Roman" w:eastAsia="Times New Roman" w:cs="Times New Roman"/>
          <w:spacing w:val="5"/>
          <w:sz w:val="31"/>
          <w:szCs w:val="31"/>
        </w:rPr>
        <w:t xml:space="preserve">  </w:t>
      </w:r>
      <w:r>
        <w:rPr>
          <w:rFonts w:ascii="宋体" w:hAnsi="宋体" w:eastAsia="宋体" w:cs="宋体"/>
          <w:spacing w:val="5"/>
          <w:sz w:val="31"/>
          <w:szCs w:val="31"/>
          <w14:textOutline w14:w="5793" w14:cap="sq" w14:cmpd="sng">
            <w14:solidFill>
              <w14:srgbClr w14:val="000000"/>
            </w14:solidFill>
            <w14:prstDash w14:val="solid"/>
            <w14:bevel/>
          </w14:textOutline>
        </w:rPr>
        <w:t>建设项目特点</w:t>
      </w:r>
    </w:p>
    <w:p w14:paraId="351881CA">
      <w:pPr>
        <w:spacing w:line="269" w:lineRule="auto"/>
        <w:rPr>
          <w:rFonts w:ascii="Arial"/>
          <w:sz w:val="21"/>
        </w:rPr>
      </w:pPr>
    </w:p>
    <w:p w14:paraId="187F33AB">
      <w:pPr>
        <w:spacing w:before="75" w:line="405" w:lineRule="auto"/>
        <w:ind w:left="22" w:right="113" w:firstLine="492"/>
        <w:rPr>
          <w:rFonts w:ascii="宋体" w:hAnsi="宋体" w:eastAsia="宋体" w:cs="宋体"/>
          <w:sz w:val="23"/>
          <w:szCs w:val="23"/>
        </w:rPr>
      </w:pPr>
      <w:r>
        <w:rPr>
          <w:rFonts w:ascii="宋体" w:hAnsi="宋体" w:eastAsia="宋体" w:cs="宋体"/>
          <w:spacing w:val="12"/>
          <w:sz w:val="23"/>
          <w:szCs w:val="23"/>
        </w:rPr>
        <w:t>塑料</w:t>
      </w:r>
      <w:r>
        <w:rPr>
          <w:rFonts w:ascii="宋体" w:hAnsi="宋体" w:eastAsia="宋体" w:cs="宋体"/>
          <w:spacing w:val="11"/>
          <w:sz w:val="23"/>
          <w:szCs w:val="23"/>
        </w:rPr>
        <w:t>具</w:t>
      </w:r>
      <w:r>
        <w:rPr>
          <w:rFonts w:ascii="宋体" w:hAnsi="宋体" w:eastAsia="宋体" w:cs="宋体"/>
          <w:spacing w:val="6"/>
          <w:sz w:val="23"/>
          <w:szCs w:val="23"/>
        </w:rPr>
        <w:t>有材料综合性能优异、加工方便、生产和使用中可以显著节约能源等</w:t>
      </w:r>
      <w:r>
        <w:rPr>
          <w:rFonts w:ascii="宋体" w:hAnsi="宋体" w:eastAsia="宋体" w:cs="宋体"/>
          <w:sz w:val="23"/>
          <w:szCs w:val="23"/>
        </w:rPr>
        <w:t xml:space="preserve"> </w:t>
      </w:r>
      <w:r>
        <w:rPr>
          <w:rFonts w:ascii="宋体" w:hAnsi="宋体" w:eastAsia="宋体" w:cs="宋体"/>
          <w:spacing w:val="9"/>
          <w:sz w:val="23"/>
          <w:szCs w:val="23"/>
        </w:rPr>
        <w:t>优</w:t>
      </w:r>
      <w:r>
        <w:rPr>
          <w:rFonts w:ascii="宋体" w:hAnsi="宋体" w:eastAsia="宋体" w:cs="宋体"/>
          <w:spacing w:val="7"/>
          <w:sz w:val="23"/>
          <w:szCs w:val="23"/>
        </w:rPr>
        <w:t>点，与钢铁、木材、水泥一起共同构成了现代工业四大基础材料，被广泛应用</w:t>
      </w:r>
      <w:r>
        <w:rPr>
          <w:rFonts w:ascii="宋体" w:hAnsi="宋体" w:eastAsia="宋体" w:cs="宋体"/>
          <w:sz w:val="23"/>
          <w:szCs w:val="23"/>
        </w:rPr>
        <w:t xml:space="preserve"> </w:t>
      </w:r>
      <w:r>
        <w:rPr>
          <w:rFonts w:ascii="宋体" w:hAnsi="宋体" w:eastAsia="宋体" w:cs="宋体"/>
          <w:spacing w:val="9"/>
          <w:sz w:val="23"/>
          <w:szCs w:val="23"/>
        </w:rPr>
        <w:t>于</w:t>
      </w:r>
      <w:r>
        <w:rPr>
          <w:rFonts w:ascii="宋体" w:hAnsi="宋体" w:eastAsia="宋体" w:cs="宋体"/>
          <w:spacing w:val="7"/>
          <w:sz w:val="23"/>
          <w:szCs w:val="23"/>
        </w:rPr>
        <w:t>工农业及人民的日常生活之中，给人类带来巨大好处，同时也留下无穷的后患</w:t>
      </w:r>
      <w:r>
        <w:rPr>
          <w:rFonts w:ascii="宋体" w:hAnsi="宋体" w:eastAsia="宋体" w:cs="宋体"/>
          <w:sz w:val="23"/>
          <w:szCs w:val="23"/>
        </w:rPr>
        <w:t xml:space="preserve"> </w:t>
      </w:r>
      <w:r>
        <w:rPr>
          <w:rFonts w:ascii="Times New Roman" w:hAnsi="Times New Roman" w:eastAsia="Times New Roman" w:cs="Times New Roman"/>
          <w:spacing w:val="-4"/>
          <w:sz w:val="23"/>
          <w:szCs w:val="23"/>
        </w:rPr>
        <w:t>--</w:t>
      </w:r>
      <w:r>
        <w:rPr>
          <w:rFonts w:ascii="Times New Roman" w:hAnsi="Times New Roman" w:eastAsia="Times New Roman" w:cs="Times New Roman"/>
          <w:spacing w:val="-3"/>
          <w:sz w:val="23"/>
          <w:szCs w:val="23"/>
        </w:rPr>
        <w:t xml:space="preserve"> </w:t>
      </w:r>
      <w:r>
        <w:rPr>
          <w:rFonts w:ascii="宋体" w:hAnsi="宋体" w:eastAsia="宋体" w:cs="宋体"/>
          <w:spacing w:val="-2"/>
          <w:sz w:val="23"/>
          <w:szCs w:val="23"/>
        </w:rPr>
        <w:t>白色污染。</w:t>
      </w:r>
    </w:p>
    <w:p w14:paraId="1BCA613A">
      <w:pPr>
        <w:spacing w:before="140" w:line="405" w:lineRule="auto"/>
        <w:ind w:left="24" w:right="113" w:firstLine="525"/>
        <w:rPr>
          <w:rFonts w:ascii="宋体" w:hAnsi="宋体" w:eastAsia="宋体" w:cs="宋体"/>
          <w:sz w:val="23"/>
          <w:szCs w:val="23"/>
        </w:rPr>
      </w:pPr>
      <w:r>
        <w:rPr>
          <w:rFonts w:ascii="宋体" w:hAnsi="宋体" w:eastAsia="宋体" w:cs="宋体"/>
          <w:spacing w:val="10"/>
          <w:sz w:val="23"/>
          <w:szCs w:val="23"/>
        </w:rPr>
        <w:t>自从有</w:t>
      </w:r>
      <w:r>
        <w:rPr>
          <w:rFonts w:ascii="宋体" w:hAnsi="宋体" w:eastAsia="宋体" w:cs="宋体"/>
          <w:spacing w:val="5"/>
          <w:sz w:val="23"/>
          <w:szCs w:val="23"/>
        </w:rPr>
        <w:t>了塑料制品，就不可避免的产生废旧塑料，并且随着时间推移，更多</w:t>
      </w:r>
      <w:r>
        <w:rPr>
          <w:rFonts w:ascii="宋体" w:hAnsi="宋体" w:eastAsia="宋体" w:cs="宋体"/>
          <w:sz w:val="23"/>
          <w:szCs w:val="23"/>
        </w:rPr>
        <w:t xml:space="preserve"> </w:t>
      </w:r>
      <w:r>
        <w:rPr>
          <w:rFonts w:ascii="宋体" w:hAnsi="宋体" w:eastAsia="宋体" w:cs="宋体"/>
          <w:spacing w:val="8"/>
          <w:sz w:val="23"/>
          <w:szCs w:val="23"/>
        </w:rPr>
        <w:t>新</w:t>
      </w:r>
      <w:r>
        <w:rPr>
          <w:rFonts w:ascii="宋体" w:hAnsi="宋体" w:eastAsia="宋体" w:cs="宋体"/>
          <w:spacing w:val="7"/>
          <w:sz w:val="23"/>
          <w:szCs w:val="23"/>
        </w:rPr>
        <w:t>原料投入使用，使得废旧塑料呈大幅度上升，由于废旧塑料体积庞大，在常温</w:t>
      </w:r>
      <w:r>
        <w:rPr>
          <w:rFonts w:ascii="宋体" w:hAnsi="宋体" w:eastAsia="宋体" w:cs="宋体"/>
          <w:sz w:val="23"/>
          <w:szCs w:val="23"/>
        </w:rPr>
        <w:t xml:space="preserve"> </w:t>
      </w:r>
      <w:r>
        <w:rPr>
          <w:rFonts w:ascii="宋体" w:hAnsi="宋体" w:eastAsia="宋体" w:cs="宋体"/>
          <w:spacing w:val="18"/>
          <w:sz w:val="23"/>
          <w:szCs w:val="23"/>
        </w:rPr>
        <w:t>下</w:t>
      </w:r>
      <w:r>
        <w:rPr>
          <w:rFonts w:ascii="宋体" w:hAnsi="宋体" w:eastAsia="宋体" w:cs="宋体"/>
          <w:spacing w:val="13"/>
          <w:sz w:val="23"/>
          <w:szCs w:val="23"/>
        </w:rPr>
        <w:t>不</w:t>
      </w:r>
      <w:r>
        <w:rPr>
          <w:rFonts w:ascii="宋体" w:hAnsi="宋体" w:eastAsia="宋体" w:cs="宋体"/>
          <w:spacing w:val="9"/>
          <w:sz w:val="23"/>
          <w:szCs w:val="23"/>
        </w:rPr>
        <w:t>易老化降解，从而形成与日俱增的白色污染，使生态环境遭受严重破坏。</w:t>
      </w:r>
    </w:p>
    <w:p w14:paraId="2D982634">
      <w:pPr>
        <w:spacing w:before="140" w:line="404" w:lineRule="auto"/>
        <w:ind w:left="22" w:right="52" w:firstLine="488"/>
        <w:rPr>
          <w:rFonts w:ascii="宋体" w:hAnsi="宋体" w:eastAsia="宋体" w:cs="宋体"/>
          <w:sz w:val="23"/>
          <w:szCs w:val="23"/>
        </w:rPr>
      </w:pPr>
      <w:r>
        <w:rPr>
          <w:rFonts w:ascii="宋体" w:hAnsi="宋体" w:eastAsia="宋体" w:cs="宋体"/>
          <w:spacing w:val="16"/>
          <w:sz w:val="23"/>
          <w:szCs w:val="23"/>
        </w:rPr>
        <w:t>事实</w:t>
      </w:r>
      <w:r>
        <w:rPr>
          <w:rFonts w:ascii="宋体" w:hAnsi="宋体" w:eastAsia="宋体" w:cs="宋体"/>
          <w:spacing w:val="8"/>
          <w:sz w:val="23"/>
          <w:szCs w:val="23"/>
        </w:rPr>
        <w:t>上，废旧塑料仍具有良好的综合材料性能，可满足吹膜、拉丝、拉管、</w:t>
      </w:r>
      <w:r>
        <w:rPr>
          <w:rFonts w:ascii="宋体" w:hAnsi="宋体" w:eastAsia="宋体" w:cs="宋体"/>
          <w:sz w:val="23"/>
          <w:szCs w:val="23"/>
        </w:rPr>
        <w:t xml:space="preserve"> </w:t>
      </w:r>
      <w:r>
        <w:rPr>
          <w:rFonts w:ascii="宋体" w:hAnsi="宋体" w:eastAsia="宋体" w:cs="宋体"/>
          <w:spacing w:val="9"/>
          <w:sz w:val="23"/>
          <w:szCs w:val="23"/>
        </w:rPr>
        <w:t>注</w:t>
      </w:r>
      <w:r>
        <w:rPr>
          <w:rFonts w:ascii="宋体" w:hAnsi="宋体" w:eastAsia="宋体" w:cs="宋体"/>
          <w:spacing w:val="7"/>
          <w:sz w:val="23"/>
          <w:szCs w:val="23"/>
        </w:rPr>
        <w:t>塑、挤出型材等技术要求。为了消除或减少废旧塑料造成的污染，该项目将废</w:t>
      </w:r>
      <w:r>
        <w:rPr>
          <w:rFonts w:ascii="宋体" w:hAnsi="宋体" w:eastAsia="宋体" w:cs="宋体"/>
          <w:sz w:val="23"/>
          <w:szCs w:val="23"/>
        </w:rPr>
        <w:t xml:space="preserve"> </w:t>
      </w:r>
      <w:r>
        <w:rPr>
          <w:rFonts w:ascii="宋体" w:hAnsi="宋体" w:eastAsia="宋体" w:cs="宋体"/>
          <w:spacing w:val="9"/>
          <w:sz w:val="23"/>
          <w:szCs w:val="23"/>
        </w:rPr>
        <w:t>旧</w:t>
      </w:r>
      <w:r>
        <w:rPr>
          <w:rFonts w:ascii="宋体" w:hAnsi="宋体" w:eastAsia="宋体" w:cs="宋体"/>
          <w:spacing w:val="7"/>
          <w:sz w:val="23"/>
          <w:szCs w:val="23"/>
        </w:rPr>
        <w:t>塑料加工成塑料颗粒，用于生产非食品类包装袋、塑料玩具、模型、电动车塑</w:t>
      </w:r>
      <w:r>
        <w:rPr>
          <w:rFonts w:ascii="宋体" w:hAnsi="宋体" w:eastAsia="宋体" w:cs="宋体"/>
          <w:sz w:val="23"/>
          <w:szCs w:val="23"/>
        </w:rPr>
        <w:t xml:space="preserve"> </w:t>
      </w:r>
      <w:r>
        <w:rPr>
          <w:rFonts w:ascii="宋体" w:hAnsi="宋体" w:eastAsia="宋体" w:cs="宋体"/>
          <w:spacing w:val="9"/>
          <w:sz w:val="23"/>
          <w:szCs w:val="23"/>
        </w:rPr>
        <w:t>料</w:t>
      </w:r>
      <w:r>
        <w:rPr>
          <w:rFonts w:ascii="宋体" w:hAnsi="宋体" w:eastAsia="宋体" w:cs="宋体"/>
          <w:spacing w:val="7"/>
          <w:sz w:val="23"/>
          <w:szCs w:val="23"/>
        </w:rPr>
        <w:t>零件，不仅解决塑料垃圾，保护环境，又可以节约能源，变废为宝，还可以创</w:t>
      </w:r>
      <w:r>
        <w:rPr>
          <w:rFonts w:ascii="宋体" w:hAnsi="宋体" w:eastAsia="宋体" w:cs="宋体"/>
          <w:sz w:val="23"/>
          <w:szCs w:val="23"/>
        </w:rPr>
        <w:t xml:space="preserve"> </w:t>
      </w:r>
      <w:r>
        <w:rPr>
          <w:rFonts w:ascii="宋体" w:hAnsi="宋体" w:eastAsia="宋体" w:cs="宋体"/>
          <w:spacing w:val="15"/>
          <w:sz w:val="23"/>
          <w:szCs w:val="23"/>
        </w:rPr>
        <w:t>造</w:t>
      </w:r>
      <w:r>
        <w:rPr>
          <w:rFonts w:ascii="宋体" w:hAnsi="宋体" w:eastAsia="宋体" w:cs="宋体"/>
          <w:spacing w:val="8"/>
          <w:sz w:val="23"/>
          <w:szCs w:val="23"/>
        </w:rPr>
        <w:t>巨大经济效益和社会效益。</w:t>
      </w:r>
    </w:p>
    <w:p w14:paraId="25E4768B">
      <w:pPr>
        <w:spacing w:before="140" w:line="402" w:lineRule="auto"/>
        <w:ind w:left="19" w:firstLine="423"/>
        <w:rPr>
          <w:rFonts w:ascii="宋体" w:hAnsi="宋体" w:eastAsia="宋体" w:cs="宋体"/>
          <w:sz w:val="23"/>
          <w:szCs w:val="23"/>
        </w:rPr>
      </w:pPr>
      <w:r>
        <w:rPr>
          <w:rFonts w:ascii="宋体" w:hAnsi="宋体" w:eastAsia="宋体" w:cs="宋体"/>
          <w:spacing w:val="18"/>
          <w:sz w:val="23"/>
          <w:szCs w:val="23"/>
        </w:rPr>
        <w:t>在此</w:t>
      </w:r>
      <w:r>
        <w:rPr>
          <w:rFonts w:ascii="宋体" w:hAnsi="宋体" w:eastAsia="宋体" w:cs="宋体"/>
          <w:spacing w:val="10"/>
          <w:sz w:val="23"/>
          <w:szCs w:val="23"/>
        </w:rPr>
        <w:t>背</w:t>
      </w:r>
      <w:r>
        <w:rPr>
          <w:rFonts w:ascii="宋体" w:hAnsi="宋体" w:eastAsia="宋体" w:cs="宋体"/>
          <w:spacing w:val="9"/>
          <w:sz w:val="23"/>
          <w:szCs w:val="23"/>
        </w:rPr>
        <w:t xml:space="preserve">景下，本溪弘福塑业有限公司拟投资 </w:t>
      </w:r>
      <w:r>
        <w:rPr>
          <w:rFonts w:ascii="Times New Roman" w:hAnsi="Times New Roman" w:eastAsia="Times New Roman" w:cs="Times New Roman"/>
          <w:spacing w:val="9"/>
          <w:sz w:val="23"/>
          <w:szCs w:val="23"/>
        </w:rPr>
        <w:t xml:space="preserve">4300 </w:t>
      </w:r>
      <w:r>
        <w:rPr>
          <w:rFonts w:ascii="宋体" w:hAnsi="宋体" w:eastAsia="宋体" w:cs="宋体"/>
          <w:spacing w:val="9"/>
          <w:sz w:val="23"/>
          <w:szCs w:val="23"/>
        </w:rPr>
        <w:t>万元在辽宁省本溪市溪湖</w:t>
      </w:r>
      <w:r>
        <w:rPr>
          <w:rFonts w:ascii="宋体" w:hAnsi="宋体" w:eastAsia="宋体" w:cs="宋体"/>
          <w:sz w:val="23"/>
          <w:szCs w:val="23"/>
        </w:rPr>
        <w:t xml:space="preserve"> </w:t>
      </w:r>
      <w:r>
        <w:rPr>
          <w:rFonts w:ascii="宋体" w:hAnsi="宋体" w:eastAsia="宋体" w:cs="宋体"/>
          <w:spacing w:val="6"/>
          <w:sz w:val="23"/>
          <w:szCs w:val="23"/>
        </w:rPr>
        <w:t>区火连寨镇火</w:t>
      </w:r>
      <w:r>
        <w:rPr>
          <w:rFonts w:ascii="宋体" w:hAnsi="宋体" w:eastAsia="宋体" w:cs="宋体"/>
          <w:spacing w:val="3"/>
          <w:sz w:val="23"/>
          <w:szCs w:val="23"/>
        </w:rPr>
        <w:t xml:space="preserve">连寨村建设本溪弘福塑业有限公司新建项目 (租地协议见附件 </w:t>
      </w:r>
      <w:r>
        <w:rPr>
          <w:rFonts w:ascii="Times New Roman" w:hAnsi="Times New Roman" w:eastAsia="Times New Roman" w:cs="Times New Roman"/>
          <w:spacing w:val="3"/>
          <w:sz w:val="23"/>
          <w:szCs w:val="23"/>
        </w:rPr>
        <w:t>2</w:t>
      </w:r>
      <w:r>
        <w:rPr>
          <w:rFonts w:ascii="宋体" w:hAnsi="宋体" w:eastAsia="宋体" w:cs="宋体"/>
          <w:spacing w:val="3"/>
          <w:sz w:val="23"/>
          <w:szCs w:val="23"/>
        </w:rPr>
        <w:t>) 。</w:t>
      </w:r>
      <w:r>
        <w:rPr>
          <w:rFonts w:ascii="宋体" w:hAnsi="宋体" w:eastAsia="宋体" w:cs="宋体"/>
          <w:sz w:val="23"/>
          <w:szCs w:val="23"/>
        </w:rPr>
        <w:t xml:space="preserve"> </w:t>
      </w:r>
      <w:r>
        <w:rPr>
          <w:rFonts w:ascii="宋体" w:hAnsi="宋体" w:eastAsia="宋体" w:cs="宋体"/>
          <w:spacing w:val="12"/>
          <w:sz w:val="23"/>
          <w:szCs w:val="23"/>
        </w:rPr>
        <w:t>该</w:t>
      </w:r>
      <w:r>
        <w:rPr>
          <w:rFonts w:ascii="宋体" w:hAnsi="宋体" w:eastAsia="宋体" w:cs="宋体"/>
          <w:spacing w:val="8"/>
          <w:sz w:val="23"/>
          <w:szCs w:val="23"/>
        </w:rPr>
        <w:t xml:space="preserve">项目地块原为辽宁公路水泥厂劳动服务公司，该地块从 </w:t>
      </w:r>
      <w:r>
        <w:rPr>
          <w:rFonts w:ascii="Times New Roman" w:hAnsi="Times New Roman" w:eastAsia="Times New Roman" w:cs="Times New Roman"/>
          <w:spacing w:val="8"/>
          <w:sz w:val="23"/>
          <w:szCs w:val="23"/>
        </w:rPr>
        <w:t xml:space="preserve">2000 </w:t>
      </w:r>
      <w:r>
        <w:rPr>
          <w:rFonts w:ascii="宋体" w:hAnsi="宋体" w:eastAsia="宋体" w:cs="宋体"/>
          <w:spacing w:val="8"/>
          <w:sz w:val="23"/>
          <w:szCs w:val="23"/>
        </w:rPr>
        <w:t>年闲置至今，总</w:t>
      </w:r>
      <w:r>
        <w:rPr>
          <w:rFonts w:ascii="宋体" w:hAnsi="宋体" w:eastAsia="宋体" w:cs="宋体"/>
          <w:sz w:val="23"/>
          <w:szCs w:val="23"/>
        </w:rPr>
        <w:t xml:space="preserve"> </w:t>
      </w:r>
      <w:r>
        <w:rPr>
          <w:rFonts w:ascii="宋体" w:hAnsi="宋体" w:eastAsia="宋体" w:cs="宋体"/>
          <w:spacing w:val="8"/>
          <w:sz w:val="23"/>
          <w:szCs w:val="23"/>
        </w:rPr>
        <w:t xml:space="preserve">占地面积为 </w:t>
      </w:r>
      <w:r>
        <w:rPr>
          <w:rFonts w:ascii="Times New Roman" w:hAnsi="Times New Roman" w:eastAsia="Times New Roman" w:cs="Times New Roman"/>
          <w:spacing w:val="8"/>
          <w:sz w:val="23"/>
          <w:szCs w:val="23"/>
        </w:rPr>
        <w:t>7000</w:t>
      </w:r>
      <w:r>
        <w:rPr>
          <w:rFonts w:ascii="Times New Roman" w:hAnsi="Times New Roman" w:eastAsia="Times New Roman" w:cs="Times New Roman"/>
          <w:sz w:val="23"/>
          <w:szCs w:val="23"/>
        </w:rPr>
        <w:t>m</w:t>
      </w:r>
      <w:r>
        <w:rPr>
          <w:rFonts w:ascii="Times New Roman" w:hAnsi="Times New Roman" w:eastAsia="Times New Roman" w:cs="Times New Roman"/>
          <w:spacing w:val="8"/>
          <w:position w:val="7"/>
          <w:sz w:val="15"/>
          <w:szCs w:val="15"/>
        </w:rPr>
        <w:t xml:space="preserve">2 </w:t>
      </w:r>
      <w:r>
        <w:rPr>
          <w:rFonts w:ascii="宋体" w:hAnsi="宋体" w:eastAsia="宋体" w:cs="宋体"/>
          <w:spacing w:val="8"/>
          <w:sz w:val="23"/>
          <w:szCs w:val="23"/>
        </w:rPr>
        <w:t>。该项目利用厂区内原有闲置辅助用房作为办公用房及成品</w:t>
      </w:r>
      <w:r>
        <w:rPr>
          <w:rFonts w:ascii="宋体" w:hAnsi="宋体" w:eastAsia="宋体" w:cs="宋体"/>
          <w:sz w:val="23"/>
          <w:szCs w:val="23"/>
        </w:rPr>
        <w:t xml:space="preserve"> </w:t>
      </w:r>
      <w:r>
        <w:rPr>
          <w:rFonts w:ascii="宋体" w:hAnsi="宋体" w:eastAsia="宋体" w:cs="宋体"/>
          <w:spacing w:val="11"/>
          <w:sz w:val="23"/>
          <w:szCs w:val="23"/>
        </w:rPr>
        <w:t>库</w:t>
      </w:r>
      <w:r>
        <w:rPr>
          <w:rFonts w:ascii="宋体" w:hAnsi="宋体" w:eastAsia="宋体" w:cs="宋体"/>
          <w:spacing w:val="8"/>
          <w:sz w:val="23"/>
          <w:szCs w:val="23"/>
        </w:rPr>
        <w:t xml:space="preserve">，并将原有生产厂房扩大作为该项目生产用房，总建筑面积为 </w:t>
      </w:r>
      <w:r>
        <w:rPr>
          <w:rFonts w:ascii="Times New Roman" w:hAnsi="Times New Roman" w:eastAsia="Times New Roman" w:cs="Times New Roman"/>
          <w:spacing w:val="8"/>
          <w:sz w:val="23"/>
          <w:szCs w:val="23"/>
        </w:rPr>
        <w:t>1600</w:t>
      </w:r>
      <w:r>
        <w:rPr>
          <w:rFonts w:ascii="Times New Roman" w:hAnsi="Times New Roman" w:eastAsia="Times New Roman" w:cs="Times New Roman"/>
          <w:sz w:val="23"/>
          <w:szCs w:val="23"/>
        </w:rPr>
        <w:t>m</w:t>
      </w:r>
      <w:r>
        <w:rPr>
          <w:rFonts w:ascii="Times New Roman" w:hAnsi="Times New Roman" w:eastAsia="Times New Roman" w:cs="Times New Roman"/>
          <w:spacing w:val="8"/>
          <w:position w:val="8"/>
          <w:sz w:val="15"/>
          <w:szCs w:val="15"/>
        </w:rPr>
        <w:t xml:space="preserve">2 </w:t>
      </w:r>
      <w:r>
        <w:rPr>
          <w:rFonts w:ascii="宋体" w:hAnsi="宋体" w:eastAsia="宋体" w:cs="宋体"/>
          <w:spacing w:val="8"/>
          <w:sz w:val="23"/>
          <w:szCs w:val="23"/>
        </w:rPr>
        <w:t>，主要</w:t>
      </w:r>
      <w:r>
        <w:rPr>
          <w:rFonts w:ascii="宋体" w:hAnsi="宋体" w:eastAsia="宋体" w:cs="宋体"/>
          <w:sz w:val="23"/>
          <w:szCs w:val="23"/>
        </w:rPr>
        <w:t xml:space="preserve"> </w:t>
      </w:r>
      <w:r>
        <w:rPr>
          <w:rFonts w:ascii="宋体" w:hAnsi="宋体" w:eastAsia="宋体" w:cs="宋体"/>
          <w:spacing w:val="-2"/>
          <w:sz w:val="23"/>
          <w:szCs w:val="23"/>
        </w:rPr>
        <w:t xml:space="preserve">建筑物为：生产厂房 </w:t>
      </w:r>
      <w:r>
        <w:rPr>
          <w:rFonts w:ascii="Times New Roman" w:hAnsi="Times New Roman" w:eastAsia="Times New Roman" w:cs="Times New Roman"/>
          <w:spacing w:val="-2"/>
          <w:sz w:val="23"/>
          <w:szCs w:val="23"/>
        </w:rPr>
        <w:t xml:space="preserve">1 </w:t>
      </w:r>
      <w:r>
        <w:rPr>
          <w:rFonts w:ascii="宋体" w:hAnsi="宋体" w:eastAsia="宋体" w:cs="宋体"/>
          <w:spacing w:val="-2"/>
          <w:sz w:val="23"/>
          <w:szCs w:val="23"/>
        </w:rPr>
        <w:t>栋，建筑面积为</w:t>
      </w:r>
      <w:r>
        <w:rPr>
          <w:rFonts w:ascii="宋体" w:hAnsi="宋体" w:eastAsia="宋体" w:cs="宋体"/>
          <w:spacing w:val="-1"/>
          <w:sz w:val="23"/>
          <w:szCs w:val="23"/>
        </w:rPr>
        <w:t xml:space="preserve"> </w:t>
      </w:r>
      <w:r>
        <w:rPr>
          <w:rFonts w:ascii="Times New Roman" w:hAnsi="Times New Roman" w:eastAsia="Times New Roman" w:cs="Times New Roman"/>
          <w:spacing w:val="-1"/>
          <w:sz w:val="23"/>
          <w:szCs w:val="23"/>
        </w:rPr>
        <w:t>600m</w:t>
      </w:r>
      <w:r>
        <w:rPr>
          <w:rFonts w:ascii="Times New Roman" w:hAnsi="Times New Roman" w:eastAsia="Times New Roman" w:cs="Times New Roman"/>
          <w:spacing w:val="-1"/>
          <w:position w:val="8"/>
          <w:sz w:val="15"/>
          <w:szCs w:val="15"/>
        </w:rPr>
        <w:t>2</w:t>
      </w:r>
      <w:r>
        <w:rPr>
          <w:rFonts w:ascii="宋体" w:hAnsi="宋体" w:eastAsia="宋体" w:cs="宋体"/>
          <w:spacing w:val="-1"/>
          <w:sz w:val="23"/>
          <w:szCs w:val="23"/>
        </w:rPr>
        <w:t xml:space="preserve">；成品库 </w:t>
      </w:r>
      <w:r>
        <w:rPr>
          <w:rFonts w:ascii="Times New Roman" w:hAnsi="Times New Roman" w:eastAsia="Times New Roman" w:cs="Times New Roman"/>
          <w:spacing w:val="-1"/>
          <w:sz w:val="23"/>
          <w:szCs w:val="23"/>
        </w:rPr>
        <w:t xml:space="preserve">1 </w:t>
      </w:r>
      <w:r>
        <w:rPr>
          <w:rFonts w:ascii="宋体" w:hAnsi="宋体" w:eastAsia="宋体" w:cs="宋体"/>
          <w:spacing w:val="-1"/>
          <w:sz w:val="23"/>
          <w:szCs w:val="23"/>
        </w:rPr>
        <w:t xml:space="preserve">栋，建筑面积为 </w:t>
      </w:r>
      <w:r>
        <w:rPr>
          <w:rFonts w:ascii="Times New Roman" w:hAnsi="Times New Roman" w:eastAsia="Times New Roman" w:cs="Times New Roman"/>
          <w:spacing w:val="-1"/>
          <w:sz w:val="23"/>
          <w:szCs w:val="23"/>
        </w:rPr>
        <w:t>200m</w:t>
      </w:r>
      <w:r>
        <w:rPr>
          <w:rFonts w:ascii="Times New Roman" w:hAnsi="Times New Roman" w:eastAsia="Times New Roman" w:cs="Times New Roman"/>
          <w:spacing w:val="-1"/>
          <w:position w:val="8"/>
          <w:sz w:val="15"/>
          <w:szCs w:val="15"/>
        </w:rPr>
        <w:t xml:space="preserve">2 </w:t>
      </w:r>
      <w:r>
        <w:rPr>
          <w:rFonts w:ascii="宋体" w:hAnsi="宋体" w:eastAsia="宋体" w:cs="宋体"/>
          <w:spacing w:val="-1"/>
          <w:sz w:val="23"/>
          <w:szCs w:val="23"/>
        </w:rPr>
        <w:t>；</w:t>
      </w:r>
      <w:r>
        <w:rPr>
          <w:rFonts w:ascii="宋体" w:hAnsi="宋体" w:eastAsia="宋体" w:cs="宋体"/>
          <w:sz w:val="23"/>
          <w:szCs w:val="23"/>
        </w:rPr>
        <w:t xml:space="preserve"> </w:t>
      </w:r>
      <w:r>
        <w:rPr>
          <w:rFonts w:ascii="宋体" w:hAnsi="宋体" w:eastAsia="宋体" w:cs="宋体"/>
          <w:spacing w:val="1"/>
          <w:sz w:val="23"/>
          <w:szCs w:val="23"/>
        </w:rPr>
        <w:t xml:space="preserve">原料库 </w:t>
      </w:r>
      <w:r>
        <w:rPr>
          <w:rFonts w:ascii="Times New Roman" w:hAnsi="Times New Roman" w:eastAsia="Times New Roman" w:cs="Times New Roman"/>
          <w:spacing w:val="1"/>
          <w:sz w:val="23"/>
          <w:szCs w:val="23"/>
        </w:rPr>
        <w:t xml:space="preserve">1 </w:t>
      </w:r>
      <w:r>
        <w:rPr>
          <w:rFonts w:ascii="宋体" w:hAnsi="宋体" w:eastAsia="宋体" w:cs="宋体"/>
          <w:spacing w:val="1"/>
          <w:sz w:val="23"/>
          <w:szCs w:val="23"/>
        </w:rPr>
        <w:t xml:space="preserve">栋，建筑面积为 </w:t>
      </w:r>
      <w:r>
        <w:rPr>
          <w:rFonts w:ascii="Times New Roman" w:hAnsi="Times New Roman" w:eastAsia="Times New Roman" w:cs="Times New Roman"/>
          <w:spacing w:val="1"/>
          <w:sz w:val="23"/>
          <w:szCs w:val="23"/>
        </w:rPr>
        <w:t>2</w:t>
      </w:r>
      <w:r>
        <w:rPr>
          <w:rFonts w:ascii="Times New Roman" w:hAnsi="Times New Roman" w:eastAsia="Times New Roman" w:cs="Times New Roman"/>
          <w:sz w:val="23"/>
          <w:szCs w:val="23"/>
        </w:rPr>
        <w:t>00m</w:t>
      </w:r>
      <w:r>
        <w:rPr>
          <w:rFonts w:ascii="Times New Roman" w:hAnsi="Times New Roman" w:eastAsia="Times New Roman" w:cs="Times New Roman"/>
          <w:position w:val="7"/>
          <w:sz w:val="15"/>
          <w:szCs w:val="15"/>
        </w:rPr>
        <w:t xml:space="preserve">2 </w:t>
      </w:r>
      <w:r>
        <w:rPr>
          <w:rFonts w:ascii="宋体" w:hAnsi="宋体" w:eastAsia="宋体" w:cs="宋体"/>
          <w:sz w:val="23"/>
          <w:szCs w:val="23"/>
        </w:rPr>
        <w:t xml:space="preserve">；办公室 </w:t>
      </w:r>
      <w:r>
        <w:rPr>
          <w:rFonts w:ascii="Times New Roman" w:hAnsi="Times New Roman" w:eastAsia="Times New Roman" w:cs="Times New Roman"/>
          <w:sz w:val="23"/>
          <w:szCs w:val="23"/>
        </w:rPr>
        <w:t xml:space="preserve">1 </w:t>
      </w:r>
      <w:r>
        <w:rPr>
          <w:rFonts w:ascii="宋体" w:hAnsi="宋体" w:eastAsia="宋体" w:cs="宋体"/>
          <w:sz w:val="23"/>
          <w:szCs w:val="23"/>
        </w:rPr>
        <w:t xml:space="preserve">栋，建筑面积为 </w:t>
      </w:r>
      <w:r>
        <w:rPr>
          <w:rFonts w:ascii="Times New Roman" w:hAnsi="Times New Roman" w:eastAsia="Times New Roman" w:cs="Times New Roman"/>
          <w:sz w:val="23"/>
          <w:szCs w:val="23"/>
        </w:rPr>
        <w:t>245m</w:t>
      </w:r>
      <w:r>
        <w:rPr>
          <w:rFonts w:ascii="Times New Roman" w:hAnsi="Times New Roman" w:eastAsia="Times New Roman" w:cs="Times New Roman"/>
          <w:position w:val="7"/>
          <w:sz w:val="15"/>
          <w:szCs w:val="15"/>
        </w:rPr>
        <w:t xml:space="preserve">2 </w:t>
      </w:r>
      <w:r>
        <w:rPr>
          <w:rFonts w:ascii="宋体" w:hAnsi="宋体" w:eastAsia="宋体" w:cs="宋体"/>
          <w:sz w:val="23"/>
          <w:szCs w:val="23"/>
        </w:rPr>
        <w:t xml:space="preserve">；员工休息室 </w:t>
      </w:r>
      <w:r>
        <w:rPr>
          <w:rFonts w:ascii="Times New Roman" w:hAnsi="Times New Roman" w:eastAsia="Times New Roman" w:cs="Times New Roman"/>
          <w:spacing w:val="4"/>
          <w:sz w:val="23"/>
          <w:szCs w:val="23"/>
        </w:rPr>
        <w:t xml:space="preserve">2 </w:t>
      </w:r>
      <w:r>
        <w:rPr>
          <w:rFonts w:ascii="宋体" w:hAnsi="宋体" w:eastAsia="宋体" w:cs="宋体"/>
          <w:spacing w:val="4"/>
          <w:sz w:val="23"/>
          <w:szCs w:val="23"/>
        </w:rPr>
        <w:t xml:space="preserve">栋，其中 </w:t>
      </w:r>
      <w:r>
        <w:rPr>
          <w:rFonts w:ascii="Times New Roman" w:hAnsi="Times New Roman" w:eastAsia="Times New Roman" w:cs="Times New Roman"/>
          <w:spacing w:val="4"/>
          <w:sz w:val="23"/>
          <w:szCs w:val="23"/>
        </w:rPr>
        <w:t>1#</w:t>
      </w:r>
      <w:r>
        <w:rPr>
          <w:rFonts w:ascii="宋体" w:hAnsi="宋体" w:eastAsia="宋体" w:cs="宋体"/>
          <w:spacing w:val="4"/>
          <w:sz w:val="23"/>
          <w:szCs w:val="23"/>
        </w:rPr>
        <w:t>员工休</w:t>
      </w:r>
      <w:r>
        <w:rPr>
          <w:rFonts w:ascii="宋体" w:hAnsi="宋体" w:eastAsia="宋体" w:cs="宋体"/>
          <w:spacing w:val="3"/>
          <w:sz w:val="23"/>
          <w:szCs w:val="23"/>
        </w:rPr>
        <w:t>息</w:t>
      </w:r>
      <w:r>
        <w:rPr>
          <w:rFonts w:ascii="宋体" w:hAnsi="宋体" w:eastAsia="宋体" w:cs="宋体"/>
          <w:spacing w:val="2"/>
          <w:sz w:val="23"/>
          <w:szCs w:val="23"/>
        </w:rPr>
        <w:t xml:space="preserve">室建筑面积为 </w:t>
      </w:r>
      <w:r>
        <w:rPr>
          <w:rFonts w:ascii="Times New Roman" w:hAnsi="Times New Roman" w:eastAsia="Times New Roman" w:cs="Times New Roman"/>
          <w:spacing w:val="2"/>
          <w:sz w:val="23"/>
          <w:szCs w:val="23"/>
        </w:rPr>
        <w:t>150</w:t>
      </w:r>
      <w:r>
        <w:rPr>
          <w:rFonts w:ascii="Times New Roman" w:hAnsi="Times New Roman" w:eastAsia="Times New Roman" w:cs="Times New Roman"/>
          <w:sz w:val="23"/>
          <w:szCs w:val="23"/>
        </w:rPr>
        <w:t>m</w:t>
      </w:r>
      <w:r>
        <w:rPr>
          <w:rFonts w:ascii="Times New Roman" w:hAnsi="Times New Roman" w:eastAsia="Times New Roman" w:cs="Times New Roman"/>
          <w:spacing w:val="2"/>
          <w:position w:val="8"/>
          <w:sz w:val="15"/>
          <w:szCs w:val="15"/>
        </w:rPr>
        <w:t xml:space="preserve">2 </w:t>
      </w:r>
      <w:r>
        <w:rPr>
          <w:rFonts w:ascii="宋体" w:hAnsi="宋体" w:eastAsia="宋体" w:cs="宋体"/>
          <w:spacing w:val="2"/>
          <w:sz w:val="23"/>
          <w:szCs w:val="23"/>
        </w:rPr>
        <w:t>，</w:t>
      </w:r>
      <w:r>
        <w:rPr>
          <w:rFonts w:ascii="Times New Roman" w:hAnsi="Times New Roman" w:eastAsia="Times New Roman" w:cs="Times New Roman"/>
          <w:spacing w:val="2"/>
          <w:sz w:val="23"/>
          <w:szCs w:val="23"/>
        </w:rPr>
        <w:t>2#</w:t>
      </w:r>
      <w:r>
        <w:rPr>
          <w:rFonts w:ascii="宋体" w:hAnsi="宋体" w:eastAsia="宋体" w:cs="宋体"/>
          <w:spacing w:val="2"/>
          <w:sz w:val="23"/>
          <w:szCs w:val="23"/>
        </w:rPr>
        <w:t xml:space="preserve">员工休息室建筑面积为 </w:t>
      </w:r>
      <w:r>
        <w:rPr>
          <w:rFonts w:ascii="Times New Roman" w:hAnsi="Times New Roman" w:eastAsia="Times New Roman" w:cs="Times New Roman"/>
          <w:spacing w:val="2"/>
          <w:sz w:val="23"/>
          <w:szCs w:val="23"/>
        </w:rPr>
        <w:t>175</w:t>
      </w:r>
      <w:r>
        <w:rPr>
          <w:rFonts w:ascii="Times New Roman" w:hAnsi="Times New Roman" w:eastAsia="Times New Roman" w:cs="Times New Roman"/>
          <w:sz w:val="23"/>
          <w:szCs w:val="23"/>
        </w:rPr>
        <w:t>m</w:t>
      </w:r>
      <w:r>
        <w:rPr>
          <w:rFonts w:ascii="Times New Roman" w:hAnsi="Times New Roman" w:eastAsia="Times New Roman" w:cs="Times New Roman"/>
          <w:spacing w:val="2"/>
          <w:position w:val="8"/>
          <w:sz w:val="15"/>
          <w:szCs w:val="15"/>
        </w:rPr>
        <w:t xml:space="preserve">2 </w:t>
      </w:r>
      <w:r>
        <w:rPr>
          <w:rFonts w:ascii="宋体" w:hAnsi="宋体" w:eastAsia="宋体" w:cs="宋体"/>
          <w:spacing w:val="2"/>
          <w:sz w:val="23"/>
          <w:szCs w:val="23"/>
        </w:rPr>
        <w:t>；</w:t>
      </w:r>
      <w:r>
        <w:rPr>
          <w:rFonts w:ascii="宋体" w:hAnsi="宋体" w:eastAsia="宋体" w:cs="宋体"/>
          <w:sz w:val="23"/>
          <w:szCs w:val="23"/>
        </w:rPr>
        <w:t xml:space="preserve"> </w:t>
      </w:r>
      <w:r>
        <w:rPr>
          <w:rFonts w:ascii="宋体" w:hAnsi="宋体" w:eastAsia="宋体" w:cs="宋体"/>
          <w:spacing w:val="8"/>
          <w:sz w:val="23"/>
          <w:szCs w:val="23"/>
        </w:rPr>
        <w:t xml:space="preserve">备品备件库 </w:t>
      </w:r>
      <w:r>
        <w:rPr>
          <w:rFonts w:ascii="Times New Roman" w:hAnsi="Times New Roman" w:eastAsia="Times New Roman" w:cs="Times New Roman"/>
          <w:spacing w:val="5"/>
          <w:sz w:val="23"/>
          <w:szCs w:val="23"/>
        </w:rPr>
        <w:t>1</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 xml:space="preserve">栋，建筑面积为 </w:t>
      </w:r>
      <w:r>
        <w:rPr>
          <w:rFonts w:ascii="Times New Roman" w:hAnsi="Times New Roman" w:eastAsia="Times New Roman" w:cs="Times New Roman"/>
          <w:spacing w:val="4"/>
          <w:sz w:val="23"/>
          <w:szCs w:val="23"/>
        </w:rPr>
        <w:t>30</w:t>
      </w:r>
      <w:r>
        <w:rPr>
          <w:rFonts w:ascii="Times New Roman" w:hAnsi="Times New Roman" w:eastAsia="Times New Roman" w:cs="Times New Roman"/>
          <w:sz w:val="23"/>
          <w:szCs w:val="23"/>
        </w:rPr>
        <w:t>m</w:t>
      </w:r>
      <w:r>
        <w:rPr>
          <w:rFonts w:ascii="Times New Roman" w:hAnsi="Times New Roman" w:eastAsia="Times New Roman" w:cs="Times New Roman"/>
          <w:spacing w:val="4"/>
          <w:position w:val="8"/>
          <w:sz w:val="15"/>
          <w:szCs w:val="15"/>
        </w:rPr>
        <w:t xml:space="preserve">2 </w:t>
      </w:r>
      <w:r>
        <w:rPr>
          <w:rFonts w:ascii="宋体" w:hAnsi="宋体" w:eastAsia="宋体" w:cs="宋体"/>
          <w:spacing w:val="4"/>
          <w:sz w:val="23"/>
          <w:szCs w:val="23"/>
        </w:rPr>
        <w:t xml:space="preserve">；主要构筑物包括 </w:t>
      </w:r>
      <w:r>
        <w:rPr>
          <w:rFonts w:ascii="Times New Roman" w:hAnsi="Times New Roman" w:eastAsia="Times New Roman" w:cs="Times New Roman"/>
          <w:spacing w:val="4"/>
          <w:sz w:val="23"/>
          <w:szCs w:val="23"/>
        </w:rPr>
        <w:t xml:space="preserve">1 </w:t>
      </w:r>
      <w:r>
        <w:rPr>
          <w:rFonts w:ascii="宋体" w:hAnsi="宋体" w:eastAsia="宋体" w:cs="宋体"/>
          <w:spacing w:val="4"/>
          <w:sz w:val="23"/>
          <w:szCs w:val="23"/>
        </w:rPr>
        <w:t>个用于处理该项目生产</w:t>
      </w:r>
      <w:r>
        <w:rPr>
          <w:rFonts w:ascii="宋体" w:hAnsi="宋体" w:eastAsia="宋体" w:cs="宋体"/>
          <w:sz w:val="23"/>
          <w:szCs w:val="23"/>
        </w:rPr>
        <w:t xml:space="preserve"> </w:t>
      </w:r>
      <w:r>
        <w:rPr>
          <w:rFonts w:ascii="宋体" w:hAnsi="宋体" w:eastAsia="宋体" w:cs="宋体"/>
          <w:spacing w:val="18"/>
          <w:sz w:val="23"/>
          <w:szCs w:val="23"/>
        </w:rPr>
        <w:t>废</w:t>
      </w:r>
      <w:r>
        <w:rPr>
          <w:rFonts w:ascii="宋体" w:hAnsi="宋体" w:eastAsia="宋体" w:cs="宋体"/>
          <w:spacing w:val="17"/>
          <w:sz w:val="23"/>
          <w:szCs w:val="23"/>
        </w:rPr>
        <w:t>水</w:t>
      </w:r>
      <w:r>
        <w:rPr>
          <w:rFonts w:ascii="宋体" w:hAnsi="宋体" w:eastAsia="宋体" w:cs="宋体"/>
          <w:spacing w:val="9"/>
          <w:sz w:val="23"/>
          <w:szCs w:val="23"/>
        </w:rPr>
        <w:t>的三级沉淀池 (</w:t>
      </w:r>
      <w:r>
        <w:rPr>
          <w:rFonts w:ascii="Times New Roman" w:hAnsi="Times New Roman" w:eastAsia="Times New Roman" w:cs="Times New Roman"/>
          <w:spacing w:val="9"/>
          <w:sz w:val="23"/>
          <w:szCs w:val="23"/>
        </w:rPr>
        <w:t>12</w:t>
      </w:r>
      <w:r>
        <w:rPr>
          <w:rFonts w:ascii="Times New Roman" w:hAnsi="Times New Roman" w:eastAsia="Times New Roman" w:cs="Times New Roman"/>
          <w:sz w:val="23"/>
          <w:szCs w:val="23"/>
        </w:rPr>
        <w:t>m</w:t>
      </w:r>
      <w:r>
        <w:rPr>
          <w:rFonts w:ascii="Times New Roman" w:hAnsi="Times New Roman" w:eastAsia="Times New Roman" w:cs="Times New Roman"/>
          <w:spacing w:val="9"/>
          <w:sz w:val="23"/>
          <w:szCs w:val="23"/>
        </w:rPr>
        <w:t>×6</w:t>
      </w:r>
      <w:r>
        <w:rPr>
          <w:rFonts w:ascii="Times New Roman" w:hAnsi="Times New Roman" w:eastAsia="Times New Roman" w:cs="Times New Roman"/>
          <w:sz w:val="23"/>
          <w:szCs w:val="23"/>
        </w:rPr>
        <w:t>m</w:t>
      </w:r>
      <w:r>
        <w:rPr>
          <w:rFonts w:ascii="Times New Roman" w:hAnsi="Times New Roman" w:eastAsia="Times New Roman" w:cs="Times New Roman"/>
          <w:spacing w:val="9"/>
          <w:sz w:val="23"/>
          <w:szCs w:val="23"/>
        </w:rPr>
        <w:t>×4.5</w:t>
      </w:r>
      <w:r>
        <w:rPr>
          <w:rFonts w:ascii="Times New Roman" w:hAnsi="Times New Roman" w:eastAsia="Times New Roman" w:cs="Times New Roman"/>
          <w:sz w:val="23"/>
          <w:szCs w:val="23"/>
        </w:rPr>
        <w:t>m</w:t>
      </w:r>
      <w:r>
        <w:rPr>
          <w:rFonts w:ascii="宋体" w:hAnsi="宋体" w:eastAsia="宋体" w:cs="宋体"/>
          <w:spacing w:val="9"/>
          <w:sz w:val="23"/>
          <w:szCs w:val="23"/>
        </w:rPr>
        <w:t xml:space="preserve">) ，同时配套设有 </w:t>
      </w:r>
      <w:r>
        <w:rPr>
          <w:rFonts w:ascii="Times New Roman" w:hAnsi="Times New Roman" w:eastAsia="Times New Roman" w:cs="Times New Roman"/>
          <w:spacing w:val="9"/>
          <w:sz w:val="23"/>
          <w:szCs w:val="23"/>
        </w:rPr>
        <w:t xml:space="preserve">1 </w:t>
      </w:r>
      <w:r>
        <w:rPr>
          <w:rFonts w:ascii="宋体" w:hAnsi="宋体" w:eastAsia="宋体" w:cs="宋体"/>
          <w:spacing w:val="9"/>
          <w:sz w:val="23"/>
          <w:szCs w:val="23"/>
        </w:rPr>
        <w:t>台一体化污水预处理设</w:t>
      </w:r>
      <w:r>
        <w:rPr>
          <w:rFonts w:ascii="宋体" w:hAnsi="宋体" w:eastAsia="宋体" w:cs="宋体"/>
          <w:sz w:val="23"/>
          <w:szCs w:val="23"/>
        </w:rPr>
        <w:t xml:space="preserve"> </w:t>
      </w:r>
      <w:r>
        <w:rPr>
          <w:rFonts w:ascii="宋体" w:hAnsi="宋体" w:eastAsia="宋体" w:cs="宋体"/>
          <w:spacing w:val="9"/>
          <w:sz w:val="23"/>
          <w:szCs w:val="23"/>
        </w:rPr>
        <w:t xml:space="preserve">备。该项目主要建设废旧塑料加工生产线 </w:t>
      </w:r>
      <w:r>
        <w:rPr>
          <w:rFonts w:ascii="Times New Roman" w:hAnsi="Times New Roman" w:eastAsia="Times New Roman" w:cs="Times New Roman"/>
          <w:spacing w:val="9"/>
          <w:sz w:val="23"/>
          <w:szCs w:val="23"/>
        </w:rPr>
        <w:t xml:space="preserve">10 </w:t>
      </w:r>
      <w:r>
        <w:rPr>
          <w:rFonts w:ascii="宋体" w:hAnsi="宋体" w:eastAsia="宋体" w:cs="宋体"/>
          <w:spacing w:val="9"/>
          <w:sz w:val="23"/>
          <w:szCs w:val="23"/>
        </w:rPr>
        <w:t>条，用于生产废旧塑料再生颗粒</w:t>
      </w:r>
      <w:r>
        <w:rPr>
          <w:rFonts w:ascii="宋体" w:hAnsi="宋体" w:eastAsia="宋体" w:cs="宋体"/>
          <w:spacing w:val="7"/>
          <w:sz w:val="23"/>
          <w:szCs w:val="23"/>
        </w:rPr>
        <w:t>。</w:t>
      </w:r>
      <w:r>
        <w:rPr>
          <w:rFonts w:ascii="宋体" w:hAnsi="宋体" w:eastAsia="宋体" w:cs="宋体"/>
          <w:sz w:val="23"/>
          <w:szCs w:val="23"/>
        </w:rPr>
        <w:t xml:space="preserve"> </w:t>
      </w:r>
      <w:r>
        <w:rPr>
          <w:rFonts w:ascii="宋体" w:hAnsi="宋体" w:eastAsia="宋体" w:cs="宋体"/>
          <w:spacing w:val="6"/>
          <w:sz w:val="23"/>
          <w:szCs w:val="23"/>
        </w:rPr>
        <w:t xml:space="preserve">该项目建成后预计年产废旧塑料再生颗粒 </w:t>
      </w:r>
      <w:r>
        <w:rPr>
          <w:rFonts w:ascii="Times New Roman" w:hAnsi="Times New Roman" w:eastAsia="Times New Roman" w:cs="Times New Roman"/>
          <w:spacing w:val="6"/>
          <w:sz w:val="23"/>
          <w:szCs w:val="23"/>
        </w:rPr>
        <w:t xml:space="preserve">50000 </w:t>
      </w:r>
      <w:r>
        <w:rPr>
          <w:rFonts w:ascii="宋体" w:hAnsi="宋体" w:eastAsia="宋体" w:cs="宋体"/>
          <w:spacing w:val="6"/>
          <w:sz w:val="23"/>
          <w:szCs w:val="23"/>
        </w:rPr>
        <w:t>吨</w:t>
      </w:r>
      <w:r>
        <w:rPr>
          <w:rFonts w:ascii="宋体" w:hAnsi="宋体" w:eastAsia="宋体" w:cs="宋体"/>
          <w:spacing w:val="1"/>
          <w:sz w:val="23"/>
          <w:szCs w:val="23"/>
        </w:rPr>
        <w:t>。</w:t>
      </w:r>
    </w:p>
    <w:p w14:paraId="548F2FAF">
      <w:pPr>
        <w:sectPr>
          <w:headerReference r:id="rId8" w:type="default"/>
          <w:footerReference r:id="rId9" w:type="default"/>
          <w:pgSz w:w="11906" w:h="16839"/>
          <w:pgMar w:top="1132" w:right="1685" w:bottom="899" w:left="1785" w:header="878" w:footer="739" w:gutter="0"/>
          <w:cols w:space="720" w:num="1"/>
        </w:sectPr>
      </w:pPr>
    </w:p>
    <w:p w14:paraId="6049F1EB">
      <w:pPr>
        <w:spacing w:line="425" w:lineRule="auto"/>
        <w:rPr>
          <w:rFonts w:ascii="Arial"/>
          <w:sz w:val="21"/>
        </w:rPr>
      </w:pPr>
      <w:r>
        <w:pict>
          <v:shape id="_x0000_s1029" o:spid="_x0000_s1029" style="position:absolute;left:0pt;margin-left:90pt;margin-top:57.35pt;height:0.75pt;width:415.3pt;mso-position-horizontal-relative:page;mso-position-vertical-relative:page;z-index:251663360;mso-width-relative:page;mso-height-relative:page;" fillcolor="#000000" filled="t" stroked="f" coordsize="8305,15" o:allowincell="f" path="m0,0l8305,0,8305,14,0,14,0,0xe">
            <v:path/>
            <v:fill on="t" focussize="0,0"/>
            <v:stroke on="f"/>
            <v:imagedata o:title=""/>
            <o:lock v:ext="edit"/>
          </v:shape>
        </w:pict>
      </w:r>
    </w:p>
    <w:p w14:paraId="4BAE5211">
      <w:pPr>
        <w:spacing w:before="75" w:line="403" w:lineRule="auto"/>
        <w:ind w:left="22" w:right="11" w:firstLine="510"/>
        <w:rPr>
          <w:rFonts w:ascii="宋体" w:hAnsi="宋体" w:eastAsia="宋体" w:cs="宋体"/>
          <w:sz w:val="23"/>
          <w:szCs w:val="23"/>
        </w:rPr>
      </w:pPr>
      <w:r>
        <w:rPr>
          <w:rFonts w:ascii="宋体" w:hAnsi="宋体" w:eastAsia="宋体" w:cs="宋体"/>
          <w:spacing w:val="6"/>
          <w:sz w:val="23"/>
          <w:szCs w:val="23"/>
        </w:rPr>
        <w:t>由于项目施工期及运营期将产生废气、废水、噪声及固体废物等环境污染</w:t>
      </w:r>
      <w:r>
        <w:rPr>
          <w:rFonts w:ascii="宋体" w:hAnsi="宋体" w:eastAsia="宋体" w:cs="宋体"/>
          <w:spacing w:val="5"/>
          <w:sz w:val="23"/>
          <w:szCs w:val="23"/>
        </w:rPr>
        <w:t>因</w:t>
      </w:r>
      <w:r>
        <w:rPr>
          <w:rFonts w:ascii="宋体" w:hAnsi="宋体" w:eastAsia="宋体" w:cs="宋体"/>
          <w:sz w:val="23"/>
          <w:szCs w:val="23"/>
        </w:rPr>
        <w:t xml:space="preserve"> </w:t>
      </w:r>
      <w:r>
        <w:rPr>
          <w:rFonts w:ascii="宋体" w:hAnsi="宋体" w:eastAsia="宋体" w:cs="宋体"/>
          <w:spacing w:val="9"/>
          <w:sz w:val="23"/>
          <w:szCs w:val="23"/>
        </w:rPr>
        <w:t>素</w:t>
      </w:r>
      <w:r>
        <w:rPr>
          <w:rFonts w:ascii="宋体" w:hAnsi="宋体" w:eastAsia="宋体" w:cs="宋体"/>
          <w:spacing w:val="7"/>
          <w:sz w:val="23"/>
          <w:szCs w:val="23"/>
        </w:rPr>
        <w:t>，为使项目建成后及建设过程中可能产生的污染尽可能避免和削减对周围环境</w:t>
      </w:r>
      <w:r>
        <w:rPr>
          <w:rFonts w:ascii="宋体" w:hAnsi="宋体" w:eastAsia="宋体" w:cs="宋体"/>
          <w:sz w:val="23"/>
          <w:szCs w:val="23"/>
        </w:rPr>
        <w:t xml:space="preserve"> </w:t>
      </w:r>
      <w:r>
        <w:rPr>
          <w:rFonts w:ascii="宋体" w:hAnsi="宋体" w:eastAsia="宋体" w:cs="宋体"/>
          <w:spacing w:val="1"/>
          <w:sz w:val="23"/>
          <w:szCs w:val="23"/>
        </w:rPr>
        <w:t>造成的影响，同时减缓和防范周围环境</w:t>
      </w:r>
      <w:r>
        <w:rPr>
          <w:rFonts w:ascii="宋体" w:hAnsi="宋体" w:eastAsia="宋体" w:cs="宋体"/>
          <w:sz w:val="23"/>
          <w:szCs w:val="23"/>
        </w:rPr>
        <w:t xml:space="preserve">可能对建设项目造成的环境影响，根据《中 </w:t>
      </w:r>
      <w:r>
        <w:rPr>
          <w:rFonts w:ascii="宋体" w:hAnsi="宋体" w:eastAsia="宋体" w:cs="宋体"/>
          <w:spacing w:val="9"/>
          <w:sz w:val="23"/>
          <w:szCs w:val="23"/>
        </w:rPr>
        <w:t>华</w:t>
      </w:r>
      <w:r>
        <w:rPr>
          <w:rFonts w:ascii="宋体" w:hAnsi="宋体" w:eastAsia="宋体" w:cs="宋体"/>
          <w:spacing w:val="7"/>
          <w:sz w:val="23"/>
          <w:szCs w:val="23"/>
        </w:rPr>
        <w:t>人民共和国环境保护法》、《中华人民共和国环境影响评价法》、《建设项目</w:t>
      </w:r>
      <w:r>
        <w:rPr>
          <w:rFonts w:ascii="宋体" w:hAnsi="宋体" w:eastAsia="宋体" w:cs="宋体"/>
          <w:sz w:val="23"/>
          <w:szCs w:val="23"/>
        </w:rPr>
        <w:t xml:space="preserve"> </w:t>
      </w:r>
      <w:r>
        <w:rPr>
          <w:rFonts w:ascii="宋体" w:hAnsi="宋体" w:eastAsia="宋体" w:cs="宋体"/>
          <w:spacing w:val="9"/>
          <w:sz w:val="23"/>
          <w:szCs w:val="23"/>
        </w:rPr>
        <w:t>环</w:t>
      </w:r>
      <w:r>
        <w:rPr>
          <w:rFonts w:ascii="宋体" w:hAnsi="宋体" w:eastAsia="宋体" w:cs="宋体"/>
          <w:spacing w:val="7"/>
          <w:sz w:val="23"/>
          <w:szCs w:val="23"/>
        </w:rPr>
        <w:t>境影响评价分类管理目录》等有关规定及环保主管部门的要求，该项目建成后</w:t>
      </w:r>
      <w:r>
        <w:rPr>
          <w:rFonts w:ascii="宋体" w:hAnsi="宋体" w:eastAsia="宋体" w:cs="宋体"/>
          <w:sz w:val="23"/>
          <w:szCs w:val="23"/>
        </w:rPr>
        <w:t xml:space="preserve"> </w:t>
      </w:r>
      <w:r>
        <w:rPr>
          <w:rFonts w:ascii="宋体" w:hAnsi="宋体" w:eastAsia="宋体" w:cs="宋体"/>
          <w:spacing w:val="5"/>
          <w:sz w:val="23"/>
          <w:szCs w:val="23"/>
        </w:rPr>
        <w:t xml:space="preserve">预计年产废旧塑料再生颗粒 </w:t>
      </w:r>
      <w:r>
        <w:rPr>
          <w:rFonts w:ascii="Times New Roman" w:hAnsi="Times New Roman" w:eastAsia="Times New Roman" w:cs="Times New Roman"/>
          <w:spacing w:val="5"/>
          <w:sz w:val="23"/>
          <w:szCs w:val="23"/>
        </w:rPr>
        <w:t xml:space="preserve">50000 </w:t>
      </w:r>
      <w:r>
        <w:rPr>
          <w:rFonts w:ascii="宋体" w:hAnsi="宋体" w:eastAsia="宋体" w:cs="宋体"/>
          <w:spacing w:val="5"/>
          <w:sz w:val="23"/>
          <w:szCs w:val="23"/>
        </w:rPr>
        <w:t>吨，属于《建设项目环境影响评价分类管理</w:t>
      </w:r>
      <w:r>
        <w:rPr>
          <w:rFonts w:ascii="宋体" w:hAnsi="宋体" w:eastAsia="宋体" w:cs="宋体"/>
          <w:sz w:val="23"/>
          <w:szCs w:val="23"/>
        </w:rPr>
        <w:t xml:space="preserve">目 </w:t>
      </w:r>
      <w:r>
        <w:rPr>
          <w:rFonts w:ascii="宋体" w:hAnsi="宋体" w:eastAsia="宋体" w:cs="宋体"/>
          <w:spacing w:val="6"/>
          <w:sz w:val="23"/>
          <w:szCs w:val="23"/>
        </w:rPr>
        <w:t>录》中</w:t>
      </w:r>
      <w:r>
        <w:rPr>
          <w:rFonts w:ascii="Times New Roman" w:hAnsi="Times New Roman" w:eastAsia="Times New Roman" w:cs="Times New Roman"/>
          <w:spacing w:val="6"/>
          <w:sz w:val="23"/>
          <w:szCs w:val="23"/>
        </w:rPr>
        <w:t>“</w:t>
      </w:r>
      <w:r>
        <w:rPr>
          <w:rFonts w:ascii="宋体" w:hAnsi="宋体" w:eastAsia="宋体" w:cs="宋体"/>
          <w:spacing w:val="6"/>
          <w:sz w:val="23"/>
          <w:szCs w:val="23"/>
        </w:rPr>
        <w:t>三十、废</w:t>
      </w:r>
      <w:r>
        <w:rPr>
          <w:rFonts w:ascii="宋体" w:hAnsi="宋体" w:eastAsia="宋体" w:cs="宋体"/>
          <w:spacing w:val="4"/>
          <w:sz w:val="23"/>
          <w:szCs w:val="23"/>
        </w:rPr>
        <w:t>弃</w:t>
      </w:r>
      <w:r>
        <w:rPr>
          <w:rFonts w:ascii="宋体" w:hAnsi="宋体" w:eastAsia="宋体" w:cs="宋体"/>
          <w:spacing w:val="3"/>
          <w:sz w:val="23"/>
          <w:szCs w:val="23"/>
        </w:rPr>
        <w:t xml:space="preserve">资源综合利用类 </w:t>
      </w:r>
      <w:r>
        <w:rPr>
          <w:rFonts w:ascii="Times New Roman" w:hAnsi="Times New Roman" w:eastAsia="Times New Roman" w:cs="Times New Roman"/>
          <w:spacing w:val="3"/>
          <w:sz w:val="23"/>
          <w:szCs w:val="23"/>
        </w:rPr>
        <w:t xml:space="preserve">86  </w:t>
      </w:r>
      <w:r>
        <w:rPr>
          <w:rFonts w:ascii="宋体" w:hAnsi="宋体" w:eastAsia="宋体" w:cs="宋体"/>
          <w:spacing w:val="3"/>
          <w:sz w:val="23"/>
          <w:szCs w:val="23"/>
        </w:rPr>
        <w:t>废旧资源(含生物质) 加工、再生利用 废</w:t>
      </w:r>
      <w:r>
        <w:rPr>
          <w:rFonts w:ascii="宋体" w:hAnsi="宋体" w:eastAsia="宋体" w:cs="宋体"/>
          <w:sz w:val="23"/>
          <w:szCs w:val="23"/>
        </w:rPr>
        <w:t xml:space="preserve"> </w:t>
      </w:r>
      <w:r>
        <w:rPr>
          <w:rFonts w:ascii="宋体" w:hAnsi="宋体" w:eastAsia="宋体" w:cs="宋体"/>
          <w:spacing w:val="12"/>
          <w:sz w:val="23"/>
          <w:szCs w:val="23"/>
        </w:rPr>
        <w:t>塑料 (</w:t>
      </w:r>
      <w:r>
        <w:rPr>
          <w:rFonts w:ascii="宋体" w:hAnsi="宋体" w:eastAsia="宋体" w:cs="宋体"/>
          <w:spacing w:val="9"/>
          <w:sz w:val="23"/>
          <w:szCs w:val="23"/>
        </w:rPr>
        <w:t>除</w:t>
      </w:r>
      <w:r>
        <w:rPr>
          <w:rFonts w:ascii="宋体" w:hAnsi="宋体" w:eastAsia="宋体" w:cs="宋体"/>
          <w:spacing w:val="6"/>
          <w:sz w:val="23"/>
          <w:szCs w:val="23"/>
        </w:rPr>
        <w:t>分拣清洗工艺的) 加工、再生利用</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，应编制环境影响报告书。</w:t>
      </w:r>
    </w:p>
    <w:p w14:paraId="7A9FA768">
      <w:pPr>
        <w:spacing w:before="70" w:line="225" w:lineRule="auto"/>
        <w:ind w:left="35"/>
        <w:outlineLvl w:val="1"/>
        <w:rPr>
          <w:rFonts w:ascii="宋体" w:hAnsi="宋体" w:eastAsia="宋体" w:cs="宋体"/>
          <w:sz w:val="31"/>
          <w:szCs w:val="31"/>
        </w:rPr>
      </w:pPr>
      <w:bookmarkStart w:id="2" w:name="_bookmark3"/>
      <w:bookmarkEnd w:id="2"/>
      <w:r>
        <w:rPr>
          <w:rFonts w:ascii="Times New Roman" w:hAnsi="Times New Roman" w:eastAsia="Times New Roman" w:cs="Times New Roman"/>
          <w:b/>
          <w:bCs/>
          <w:spacing w:val="10"/>
          <w:sz w:val="31"/>
          <w:szCs w:val="31"/>
        </w:rPr>
        <w:t>1</w:t>
      </w:r>
      <w:r>
        <w:rPr>
          <w:rFonts w:ascii="Times New Roman" w:hAnsi="Times New Roman" w:eastAsia="Times New Roman" w:cs="Times New Roman"/>
          <w:b/>
          <w:bCs/>
          <w:spacing w:val="5"/>
          <w:sz w:val="31"/>
          <w:szCs w:val="31"/>
        </w:rPr>
        <w:t>.2</w:t>
      </w:r>
      <w:r>
        <w:rPr>
          <w:rFonts w:ascii="Times New Roman" w:hAnsi="Times New Roman" w:eastAsia="Times New Roman" w:cs="Times New Roman"/>
          <w:spacing w:val="5"/>
          <w:sz w:val="31"/>
          <w:szCs w:val="31"/>
        </w:rPr>
        <w:t xml:space="preserve">  </w:t>
      </w:r>
      <w:r>
        <w:rPr>
          <w:rFonts w:ascii="宋体" w:hAnsi="宋体" w:eastAsia="宋体" w:cs="宋体"/>
          <w:spacing w:val="5"/>
          <w:sz w:val="31"/>
          <w:szCs w:val="31"/>
          <w14:textOutline w14:w="5793" w14:cap="sq" w14:cmpd="sng">
            <w14:solidFill>
              <w14:srgbClr w14:val="000000"/>
            </w14:solidFill>
            <w14:prstDash w14:val="solid"/>
            <w14:bevel/>
          </w14:textOutline>
        </w:rPr>
        <w:t>环评工作过程</w:t>
      </w:r>
    </w:p>
    <w:p w14:paraId="17661C1F">
      <w:pPr>
        <w:spacing w:line="276" w:lineRule="auto"/>
        <w:rPr>
          <w:rFonts w:ascii="Arial"/>
          <w:sz w:val="21"/>
        </w:rPr>
      </w:pPr>
    </w:p>
    <w:p w14:paraId="19D9B173">
      <w:pPr>
        <w:spacing w:before="74" w:line="402" w:lineRule="auto"/>
        <w:ind w:left="22" w:right="13" w:firstLine="481"/>
        <w:rPr>
          <w:rFonts w:ascii="宋体" w:hAnsi="宋体" w:eastAsia="宋体" w:cs="宋体"/>
          <w:sz w:val="23"/>
          <w:szCs w:val="23"/>
        </w:rPr>
      </w:pPr>
      <w:r>
        <w:rPr>
          <w:rFonts w:ascii="宋体" w:hAnsi="宋体" w:eastAsia="宋体" w:cs="宋体"/>
          <w:spacing w:val="7"/>
          <w:sz w:val="23"/>
          <w:szCs w:val="23"/>
        </w:rPr>
        <w:t>本溪弘福塑业有限公司根据环境保护有关法律、法规和条例，委托我公司</w:t>
      </w:r>
      <w:r>
        <w:rPr>
          <w:rFonts w:ascii="宋体" w:hAnsi="宋体" w:eastAsia="宋体" w:cs="宋体"/>
          <w:spacing w:val="2"/>
          <w:sz w:val="23"/>
          <w:szCs w:val="23"/>
        </w:rPr>
        <w:t>对</w:t>
      </w:r>
      <w:r>
        <w:rPr>
          <w:rFonts w:ascii="宋体" w:hAnsi="宋体" w:eastAsia="宋体" w:cs="宋体"/>
          <w:sz w:val="23"/>
          <w:szCs w:val="23"/>
        </w:rPr>
        <w:t xml:space="preserve"> </w:t>
      </w:r>
      <w:r>
        <w:rPr>
          <w:rFonts w:ascii="宋体" w:hAnsi="宋体" w:eastAsia="宋体" w:cs="宋体"/>
          <w:spacing w:val="10"/>
          <w:sz w:val="23"/>
          <w:szCs w:val="23"/>
        </w:rPr>
        <w:t>该项目进行环境影响评价工作 (委托书见附件</w:t>
      </w:r>
      <w:r>
        <w:rPr>
          <w:rFonts w:ascii="Times New Roman" w:hAnsi="Times New Roman" w:eastAsia="Times New Roman" w:cs="Times New Roman"/>
          <w:spacing w:val="10"/>
          <w:sz w:val="23"/>
          <w:szCs w:val="23"/>
        </w:rPr>
        <w:t>3</w:t>
      </w:r>
      <w:r>
        <w:rPr>
          <w:rFonts w:ascii="宋体" w:hAnsi="宋体" w:eastAsia="宋体" w:cs="宋体"/>
          <w:spacing w:val="10"/>
          <w:sz w:val="23"/>
          <w:szCs w:val="23"/>
        </w:rPr>
        <w:t>) 。接受委托后，我公司有关</w:t>
      </w:r>
      <w:r>
        <w:rPr>
          <w:rFonts w:ascii="宋体" w:hAnsi="宋体" w:eastAsia="宋体" w:cs="宋体"/>
          <w:spacing w:val="2"/>
          <w:sz w:val="23"/>
          <w:szCs w:val="23"/>
        </w:rPr>
        <w:t>环</w:t>
      </w:r>
      <w:r>
        <w:rPr>
          <w:rFonts w:ascii="宋体" w:hAnsi="宋体" w:eastAsia="宋体" w:cs="宋体"/>
          <w:sz w:val="23"/>
          <w:szCs w:val="23"/>
        </w:rPr>
        <w:t xml:space="preserve"> </w:t>
      </w:r>
      <w:r>
        <w:rPr>
          <w:rFonts w:ascii="宋体" w:hAnsi="宋体" w:eastAsia="宋体" w:cs="宋体"/>
          <w:spacing w:val="9"/>
          <w:sz w:val="23"/>
          <w:szCs w:val="23"/>
        </w:rPr>
        <w:t>评</w:t>
      </w:r>
      <w:r>
        <w:rPr>
          <w:rFonts w:ascii="宋体" w:hAnsi="宋体" w:eastAsia="宋体" w:cs="宋体"/>
          <w:spacing w:val="7"/>
          <w:sz w:val="23"/>
          <w:szCs w:val="23"/>
        </w:rPr>
        <w:t>工作人员积极开展现场调查，收集有关资料，了解厂区附近的自然社会环境概</w:t>
      </w:r>
      <w:r>
        <w:rPr>
          <w:rFonts w:ascii="宋体" w:hAnsi="宋体" w:eastAsia="宋体" w:cs="宋体"/>
          <w:sz w:val="23"/>
          <w:szCs w:val="23"/>
        </w:rPr>
        <w:t xml:space="preserve"> </w:t>
      </w:r>
      <w:r>
        <w:rPr>
          <w:rFonts w:ascii="宋体" w:hAnsi="宋体" w:eastAsia="宋体" w:cs="宋体"/>
          <w:spacing w:val="12"/>
          <w:sz w:val="23"/>
          <w:szCs w:val="23"/>
        </w:rPr>
        <w:t>况。根</w:t>
      </w:r>
      <w:r>
        <w:rPr>
          <w:rFonts w:ascii="宋体" w:hAnsi="宋体" w:eastAsia="宋体" w:cs="宋体"/>
          <w:spacing w:val="7"/>
          <w:sz w:val="23"/>
          <w:szCs w:val="23"/>
        </w:rPr>
        <w:t>据</w:t>
      </w:r>
      <w:r>
        <w:rPr>
          <w:rFonts w:ascii="宋体" w:hAnsi="宋体" w:eastAsia="宋体" w:cs="宋体"/>
          <w:spacing w:val="6"/>
          <w:sz w:val="23"/>
          <w:szCs w:val="23"/>
        </w:rPr>
        <w:t xml:space="preserve">调查结果，该项目距离最近居民点为项目厂区西北侧 </w:t>
      </w:r>
      <w:r>
        <w:rPr>
          <w:rFonts w:ascii="Times New Roman" w:hAnsi="Times New Roman" w:eastAsia="Times New Roman" w:cs="Times New Roman"/>
          <w:spacing w:val="6"/>
          <w:sz w:val="23"/>
          <w:szCs w:val="23"/>
        </w:rPr>
        <w:t>330</w:t>
      </w:r>
      <w:r>
        <w:rPr>
          <w:rFonts w:ascii="Times New Roman" w:hAnsi="Times New Roman" w:eastAsia="Times New Roman" w:cs="Times New Roman"/>
          <w:sz w:val="23"/>
          <w:szCs w:val="23"/>
        </w:rPr>
        <w:t>m</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处的榆树底</w:t>
      </w:r>
      <w:r>
        <w:rPr>
          <w:rFonts w:ascii="宋体" w:hAnsi="宋体" w:eastAsia="宋体" w:cs="宋体"/>
          <w:sz w:val="23"/>
          <w:szCs w:val="23"/>
        </w:rPr>
        <w:t xml:space="preserve"> </w:t>
      </w:r>
      <w:r>
        <w:rPr>
          <w:rFonts w:ascii="宋体" w:hAnsi="宋体" w:eastAsia="宋体" w:cs="宋体"/>
          <w:spacing w:val="9"/>
          <w:sz w:val="23"/>
          <w:szCs w:val="23"/>
        </w:rPr>
        <w:t>村</w:t>
      </w:r>
      <w:r>
        <w:rPr>
          <w:rFonts w:ascii="宋体" w:hAnsi="宋体" w:eastAsia="宋体" w:cs="宋体"/>
          <w:spacing w:val="7"/>
          <w:sz w:val="23"/>
          <w:szCs w:val="23"/>
        </w:rPr>
        <w:t>，项目用地不占用基本农田，不干扰周边农田的耕种和作业，所在区域范围内</w:t>
      </w:r>
      <w:r>
        <w:rPr>
          <w:rFonts w:ascii="宋体" w:hAnsi="宋体" w:eastAsia="宋体" w:cs="宋体"/>
          <w:sz w:val="23"/>
          <w:szCs w:val="23"/>
        </w:rPr>
        <w:t xml:space="preserve"> </w:t>
      </w:r>
      <w:r>
        <w:rPr>
          <w:rFonts w:ascii="宋体" w:hAnsi="宋体" w:eastAsia="宋体" w:cs="宋体"/>
          <w:spacing w:val="9"/>
          <w:sz w:val="23"/>
          <w:szCs w:val="23"/>
        </w:rPr>
        <w:t>无</w:t>
      </w:r>
      <w:r>
        <w:rPr>
          <w:rFonts w:ascii="宋体" w:hAnsi="宋体" w:eastAsia="宋体" w:cs="宋体"/>
          <w:spacing w:val="7"/>
          <w:sz w:val="23"/>
          <w:szCs w:val="23"/>
        </w:rPr>
        <w:t>自然保护区、风景名胜区、重要水源地和其他需要特殊保护的区域，从区域土</w:t>
      </w:r>
      <w:r>
        <w:rPr>
          <w:rFonts w:ascii="宋体" w:hAnsi="宋体" w:eastAsia="宋体" w:cs="宋体"/>
          <w:sz w:val="23"/>
          <w:szCs w:val="23"/>
        </w:rPr>
        <w:t xml:space="preserve"> </w:t>
      </w:r>
      <w:r>
        <w:rPr>
          <w:rFonts w:ascii="宋体" w:hAnsi="宋体" w:eastAsia="宋体" w:cs="宋体"/>
          <w:spacing w:val="9"/>
          <w:sz w:val="23"/>
          <w:szCs w:val="23"/>
        </w:rPr>
        <w:t>地</w:t>
      </w:r>
      <w:r>
        <w:rPr>
          <w:rFonts w:ascii="宋体" w:hAnsi="宋体" w:eastAsia="宋体" w:cs="宋体"/>
          <w:spacing w:val="7"/>
          <w:sz w:val="23"/>
          <w:szCs w:val="23"/>
        </w:rPr>
        <w:t>利用方面分析，选址可以满足规划要求。在此基础上，进一步对环境特征和工</w:t>
      </w:r>
      <w:r>
        <w:rPr>
          <w:rFonts w:ascii="宋体" w:hAnsi="宋体" w:eastAsia="宋体" w:cs="宋体"/>
          <w:sz w:val="23"/>
          <w:szCs w:val="23"/>
        </w:rPr>
        <w:t xml:space="preserve"> </w:t>
      </w:r>
      <w:r>
        <w:rPr>
          <w:rFonts w:ascii="宋体" w:hAnsi="宋体" w:eastAsia="宋体" w:cs="宋体"/>
          <w:spacing w:val="9"/>
          <w:sz w:val="23"/>
          <w:szCs w:val="23"/>
        </w:rPr>
        <w:t>程</w:t>
      </w:r>
      <w:r>
        <w:rPr>
          <w:rFonts w:ascii="宋体" w:hAnsi="宋体" w:eastAsia="宋体" w:cs="宋体"/>
          <w:spacing w:val="7"/>
          <w:sz w:val="23"/>
          <w:szCs w:val="23"/>
        </w:rPr>
        <w:t>特征进行分析；对环境影响因子和评价因子进行了识别和筛选；根据环境影响</w:t>
      </w:r>
      <w:r>
        <w:rPr>
          <w:rFonts w:ascii="宋体" w:hAnsi="宋体" w:eastAsia="宋体" w:cs="宋体"/>
          <w:sz w:val="23"/>
          <w:szCs w:val="23"/>
        </w:rPr>
        <w:t xml:space="preserve"> </w:t>
      </w:r>
      <w:r>
        <w:rPr>
          <w:rFonts w:ascii="宋体" w:hAnsi="宋体" w:eastAsia="宋体" w:cs="宋体"/>
          <w:spacing w:val="9"/>
          <w:sz w:val="23"/>
          <w:szCs w:val="23"/>
        </w:rPr>
        <w:t>评</w:t>
      </w:r>
      <w:r>
        <w:rPr>
          <w:rFonts w:ascii="宋体" w:hAnsi="宋体" w:eastAsia="宋体" w:cs="宋体"/>
          <w:spacing w:val="7"/>
          <w:sz w:val="23"/>
          <w:szCs w:val="23"/>
        </w:rPr>
        <w:t>价技术导则进行了评价等级确定；结合有关环境保护法规和地方实际情况，确</w:t>
      </w:r>
      <w:r>
        <w:rPr>
          <w:rFonts w:ascii="宋体" w:hAnsi="宋体" w:eastAsia="宋体" w:cs="宋体"/>
          <w:sz w:val="23"/>
          <w:szCs w:val="23"/>
        </w:rPr>
        <w:t xml:space="preserve"> </w:t>
      </w:r>
      <w:r>
        <w:rPr>
          <w:rFonts w:ascii="宋体" w:hAnsi="宋体" w:eastAsia="宋体" w:cs="宋体"/>
          <w:spacing w:val="9"/>
          <w:sz w:val="23"/>
          <w:szCs w:val="23"/>
        </w:rPr>
        <w:t>定</w:t>
      </w:r>
      <w:r>
        <w:rPr>
          <w:rFonts w:ascii="宋体" w:hAnsi="宋体" w:eastAsia="宋体" w:cs="宋体"/>
          <w:spacing w:val="7"/>
          <w:sz w:val="23"/>
          <w:szCs w:val="23"/>
        </w:rPr>
        <w:t>了本次评价的评价标准、评价范围和深度，编制完成了《本溪弘福塑业有限公</w:t>
      </w:r>
      <w:r>
        <w:rPr>
          <w:rFonts w:ascii="宋体" w:hAnsi="宋体" w:eastAsia="宋体" w:cs="宋体"/>
          <w:sz w:val="23"/>
          <w:szCs w:val="23"/>
        </w:rPr>
        <w:t xml:space="preserve"> </w:t>
      </w:r>
      <w:r>
        <w:rPr>
          <w:rFonts w:ascii="宋体" w:hAnsi="宋体" w:eastAsia="宋体" w:cs="宋体"/>
          <w:spacing w:val="8"/>
          <w:sz w:val="23"/>
          <w:szCs w:val="23"/>
        </w:rPr>
        <w:t>司新建项目环境影响报告书》</w:t>
      </w:r>
      <w:r>
        <w:rPr>
          <w:rFonts w:ascii="宋体" w:hAnsi="宋体" w:eastAsia="宋体" w:cs="宋体"/>
          <w:spacing w:val="7"/>
          <w:sz w:val="23"/>
          <w:szCs w:val="23"/>
        </w:rPr>
        <w:t>。</w:t>
      </w:r>
    </w:p>
    <w:p w14:paraId="4501FC64">
      <w:pPr>
        <w:spacing w:before="139" w:line="226" w:lineRule="auto"/>
        <w:ind w:left="504"/>
        <w:rPr>
          <w:rFonts w:ascii="宋体" w:hAnsi="宋体" w:eastAsia="宋体" w:cs="宋体"/>
          <w:sz w:val="23"/>
          <w:szCs w:val="23"/>
        </w:rPr>
      </w:pPr>
      <w:r>
        <w:rPr>
          <w:rFonts w:ascii="宋体" w:hAnsi="宋体" w:eastAsia="宋体" w:cs="宋体"/>
          <w:spacing w:val="-24"/>
          <w:sz w:val="23"/>
          <w:szCs w:val="23"/>
        </w:rPr>
        <w:t>本</w:t>
      </w:r>
      <w:r>
        <w:rPr>
          <w:rFonts w:ascii="宋体" w:hAnsi="宋体" w:eastAsia="宋体" w:cs="宋体"/>
          <w:spacing w:val="-16"/>
          <w:sz w:val="23"/>
          <w:szCs w:val="23"/>
        </w:rPr>
        <w:t>次</w:t>
      </w:r>
      <w:r>
        <w:rPr>
          <w:rFonts w:ascii="宋体" w:hAnsi="宋体" w:eastAsia="宋体" w:cs="宋体"/>
          <w:spacing w:val="-12"/>
          <w:sz w:val="23"/>
          <w:szCs w:val="23"/>
        </w:rPr>
        <w:t xml:space="preserve">环评报告的环境影响评价工作大致分为三个阶段，具体工作程序图见图 </w:t>
      </w:r>
      <w:r>
        <w:rPr>
          <w:rFonts w:ascii="Times New Roman" w:hAnsi="Times New Roman" w:eastAsia="Times New Roman" w:cs="Times New Roman"/>
          <w:spacing w:val="-12"/>
          <w:sz w:val="23"/>
          <w:szCs w:val="23"/>
        </w:rPr>
        <w:t>1-1</w:t>
      </w:r>
      <w:r>
        <w:rPr>
          <w:rFonts w:ascii="宋体" w:hAnsi="宋体" w:eastAsia="宋体" w:cs="宋体"/>
          <w:spacing w:val="-12"/>
          <w:sz w:val="23"/>
          <w:szCs w:val="23"/>
        </w:rPr>
        <w:t>。</w:t>
      </w:r>
    </w:p>
    <w:p w14:paraId="224AB560">
      <w:pPr>
        <w:sectPr>
          <w:headerReference r:id="rId10" w:type="default"/>
          <w:footerReference r:id="rId11" w:type="default"/>
          <w:pgSz w:w="11906" w:h="16839"/>
          <w:pgMar w:top="1132" w:right="1785" w:bottom="899" w:left="1785" w:header="878" w:footer="739" w:gutter="0"/>
          <w:cols w:space="720" w:num="1"/>
        </w:sectPr>
      </w:pPr>
    </w:p>
    <w:p w14:paraId="1DC86324">
      <w:pPr>
        <w:spacing w:line="153" w:lineRule="exact"/>
      </w:pPr>
      <w:r>
        <w:pict>
          <v:rect id="_x0000_s1030" o:spid="_x0000_s1030" o:spt="1" style="position:absolute;left:0pt;margin-left:200.95pt;margin-top:288.3pt;height:0.85pt;width:181.4pt;mso-position-horizontal-relative:page;mso-position-vertical-relative:page;z-index:251669504;mso-width-relative:page;mso-height-relative:page;" fillcolor="#000000" filled="t" stroked="f" coordsize="21600,21600" o:allowincell="f">
            <v:path/>
            <v:fill on="t" focussize="0,0"/>
            <v:stroke on="f"/>
            <v:imagedata o:title=""/>
            <o:lock v:ext="edit"/>
          </v:rect>
        </w:pict>
      </w:r>
      <w:r>
        <w:pict>
          <v:shape id="_x0000_s1031" o:spid="_x0000_s1031" style="position:absolute;left:0pt;margin-left:90pt;margin-top:57.35pt;height:0.75pt;width:415.3pt;mso-position-horizontal-relative:page;mso-position-vertical-relative:page;z-index:251667456;mso-width-relative:page;mso-height-relative:page;" fillcolor="#000000" filled="t" stroked="f" coordsize="8305,15" o:allowincell="f" path="m0,0l8305,0,8305,14,0,14,0,0xe">
            <v:path/>
            <v:fill on="t" focussize="0,0"/>
            <v:stroke on="f"/>
            <v:imagedata o:title=""/>
            <o:lock v:ext="edit"/>
          </v:shape>
        </w:pict>
      </w:r>
      <w:r>
        <w:pict>
          <v:shape id="_x0000_s1032" o:spid="_x0000_s1032" o:spt="202" type="#_x0000_t202" style="position:absolute;left:0pt;margin-left:157.45pt;margin-top:304.05pt;height:40.35pt;width:87.85pt;mso-position-horizontal-relative:page;mso-position-vertical-relative:page;z-index:251666432;mso-width-relative:page;mso-height-relative:page;" filled="f" stroked="f" coordsize="21600,21600" o:allowincell="f">
            <v:path/>
            <v:fill on="f" focussize="0,0"/>
            <v:stroke on="f"/>
            <v:imagedata o:title=""/>
            <o:lock v:ext="edit" aspectratio="f"/>
            <v:textbox inset="0mm,0mm,0mm,0mm">
              <w:txbxContent>
                <w:p w14:paraId="43090E48">
                  <w:pPr>
                    <w:spacing w:line="20" w:lineRule="exact"/>
                  </w:pPr>
                </w:p>
                <w:tbl>
                  <w:tblPr>
                    <w:tblStyle w:val="4"/>
                    <w:tblW w:w="1691" w:type="dxa"/>
                    <w:tblInd w:w="32" w:type="dxa"/>
                    <w:tblBorders>
                      <w:top w:val="single" w:color="000000" w:sz="8" w:space="0"/>
                      <w:left w:val="single" w:color="000000" w:sz="10" w:space="0"/>
                      <w:bottom w:val="single" w:color="000000" w:sz="8"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1691"/>
                  </w:tblGrid>
                  <w:tr w14:paraId="75ABD4CF">
                    <w:tblPrEx>
                      <w:tblBorders>
                        <w:top w:val="single" w:color="000000" w:sz="8" w:space="0"/>
                        <w:left w:val="single" w:color="000000" w:sz="10" w:space="0"/>
                        <w:bottom w:val="single" w:color="000000" w:sz="8" w:space="0"/>
                        <w:right w:val="single" w:color="000000" w:sz="10" w:space="0"/>
                        <w:insideH w:val="none" w:color="auto" w:sz="0" w:space="0"/>
                        <w:insideV w:val="none" w:color="auto" w:sz="0" w:space="0"/>
                      </w:tblBorders>
                      <w:tblCellMar>
                        <w:top w:w="0" w:type="dxa"/>
                        <w:left w:w="0" w:type="dxa"/>
                        <w:bottom w:w="0" w:type="dxa"/>
                        <w:right w:w="0" w:type="dxa"/>
                      </w:tblCellMar>
                    </w:tblPrEx>
                    <w:trPr>
                      <w:trHeight w:val="726" w:hRule="atLeast"/>
                    </w:trPr>
                    <w:tc>
                      <w:tcPr>
                        <w:tcW w:w="1691" w:type="dxa"/>
                        <w:vAlign w:val="top"/>
                      </w:tcPr>
                      <w:p w14:paraId="42963B64">
                        <w:pPr>
                          <w:spacing w:before="120" w:line="257" w:lineRule="auto"/>
                          <w:ind w:left="315" w:right="206" w:hanging="106"/>
                          <w:rPr>
                            <w:rFonts w:ascii="宋体" w:hAnsi="宋体" w:eastAsia="宋体" w:cs="宋体"/>
                            <w:sz w:val="20"/>
                            <w:szCs w:val="20"/>
                          </w:rPr>
                        </w:pPr>
                        <w:r>
                          <w:rPr>
                            <w:rFonts w:ascii="宋体" w:hAnsi="宋体" w:eastAsia="宋体" w:cs="宋体"/>
                            <w:spacing w:val="9"/>
                            <w:sz w:val="20"/>
                            <w:szCs w:val="20"/>
                          </w:rPr>
                          <w:t>环</w:t>
                        </w:r>
                        <w:r>
                          <w:rPr>
                            <w:rFonts w:ascii="宋体" w:hAnsi="宋体" w:eastAsia="宋体" w:cs="宋体"/>
                            <w:spacing w:val="8"/>
                            <w:sz w:val="20"/>
                            <w:szCs w:val="20"/>
                          </w:rPr>
                          <w:t>境现状调查</w:t>
                        </w:r>
                        <w:r>
                          <w:rPr>
                            <w:rFonts w:ascii="宋体" w:hAnsi="宋体" w:eastAsia="宋体" w:cs="宋体"/>
                            <w:sz w:val="20"/>
                            <w:szCs w:val="20"/>
                          </w:rPr>
                          <w:t xml:space="preserve"> </w:t>
                        </w:r>
                        <w:r>
                          <w:rPr>
                            <w:rFonts w:ascii="宋体" w:hAnsi="宋体" w:eastAsia="宋体" w:cs="宋体"/>
                            <w:spacing w:val="8"/>
                            <w:sz w:val="20"/>
                            <w:szCs w:val="20"/>
                          </w:rPr>
                          <w:t>监测与评</w:t>
                        </w:r>
                        <w:r>
                          <w:rPr>
                            <w:rFonts w:ascii="宋体" w:hAnsi="宋体" w:eastAsia="宋体" w:cs="宋体"/>
                            <w:spacing w:val="7"/>
                            <w:sz w:val="20"/>
                            <w:szCs w:val="20"/>
                          </w:rPr>
                          <w:t>价</w:t>
                        </w:r>
                      </w:p>
                    </w:tc>
                  </w:tr>
                </w:tbl>
                <w:p w14:paraId="430A6B2C">
                  <w:pPr>
                    <w:rPr>
                      <w:rFonts w:ascii="Arial"/>
                      <w:sz w:val="21"/>
                    </w:rPr>
                  </w:pPr>
                </w:p>
              </w:txbxContent>
            </v:textbox>
          </v:shape>
        </w:pict>
      </w:r>
      <w:r>
        <w:drawing>
          <wp:anchor distT="0" distB="0" distL="0" distR="0" simplePos="0" relativeHeight="251664384" behindDoc="1" locked="0" layoutInCell="0" allowOverlap="1">
            <wp:simplePos x="0" y="0"/>
            <wp:positionH relativeFrom="page">
              <wp:posOffset>2506980</wp:posOffset>
            </wp:positionH>
            <wp:positionV relativeFrom="page">
              <wp:posOffset>4310380</wp:posOffset>
            </wp:positionV>
            <wp:extent cx="2305050" cy="147320"/>
            <wp:effectExtent l="0" t="0" r="0" b="0"/>
            <wp:wrapNone/>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381"/>
                    <a:stretch>
                      <a:fillRect/>
                    </a:stretch>
                  </pic:blipFill>
                  <pic:spPr>
                    <a:xfrm>
                      <a:off x="0" y="0"/>
                      <a:ext cx="2305049" cy="147637"/>
                    </a:xfrm>
                    <a:prstGeom prst="rect">
                      <a:avLst/>
                    </a:prstGeom>
                  </pic:spPr>
                </pic:pic>
              </a:graphicData>
            </a:graphic>
          </wp:anchor>
        </w:drawing>
      </w:r>
      <w:r>
        <w:drawing>
          <wp:anchor distT="0" distB="0" distL="0" distR="0" simplePos="0" relativeHeight="251668480" behindDoc="0" locked="0" layoutInCell="0" allowOverlap="1">
            <wp:simplePos x="0" y="0"/>
            <wp:positionH relativeFrom="page">
              <wp:posOffset>4814570</wp:posOffset>
            </wp:positionH>
            <wp:positionV relativeFrom="page">
              <wp:posOffset>3675380</wp:posOffset>
            </wp:positionV>
            <wp:extent cx="76200" cy="21590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382"/>
                    <a:stretch>
                      <a:fillRect/>
                    </a:stretch>
                  </pic:blipFill>
                  <pic:spPr>
                    <a:xfrm>
                      <a:off x="0" y="0"/>
                      <a:ext cx="76200" cy="215912"/>
                    </a:xfrm>
                    <a:prstGeom prst="rect">
                      <a:avLst/>
                    </a:prstGeom>
                  </pic:spPr>
                </pic:pic>
              </a:graphicData>
            </a:graphic>
          </wp:anchor>
        </w:drawing>
      </w:r>
      <w:r>
        <w:drawing>
          <wp:anchor distT="0" distB="0" distL="0" distR="0" simplePos="0" relativeHeight="251670528" behindDoc="0" locked="0" layoutInCell="0" allowOverlap="1">
            <wp:simplePos x="0" y="0"/>
            <wp:positionH relativeFrom="page">
              <wp:posOffset>2519045</wp:posOffset>
            </wp:positionH>
            <wp:positionV relativeFrom="page">
              <wp:posOffset>3665855</wp:posOffset>
            </wp:positionV>
            <wp:extent cx="76200" cy="215900"/>
            <wp:effectExtent l="0" t="0" r="0" b="0"/>
            <wp:wrapNone/>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r:embed="rId382"/>
                    <a:stretch>
                      <a:fillRect/>
                    </a:stretch>
                  </pic:blipFill>
                  <pic:spPr>
                    <a:xfrm>
                      <a:off x="0" y="0"/>
                      <a:ext cx="76200" cy="215913"/>
                    </a:xfrm>
                    <a:prstGeom prst="rect">
                      <a:avLst/>
                    </a:prstGeom>
                  </pic:spPr>
                </pic:pic>
              </a:graphicData>
            </a:graphic>
          </wp:anchor>
        </w:drawing>
      </w:r>
    </w:p>
    <w:tbl>
      <w:tblPr>
        <w:tblStyle w:val="4"/>
        <w:tblW w:w="4350" w:type="dxa"/>
        <w:tblInd w:w="1871"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4350"/>
      </w:tblGrid>
      <w:tr w14:paraId="3AE38A7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4350" w:type="dxa"/>
            <w:vAlign w:val="top"/>
          </w:tcPr>
          <w:p w14:paraId="0E03D3FC">
            <w:pPr>
              <w:spacing w:before="123" w:line="226" w:lineRule="auto"/>
              <w:ind w:left="286"/>
              <w:rPr>
                <w:rFonts w:ascii="宋体" w:hAnsi="宋体" w:eastAsia="宋体" w:cs="宋体"/>
                <w:sz w:val="20"/>
                <w:szCs w:val="20"/>
              </w:rPr>
            </w:pPr>
            <w:r>
              <w:rPr>
                <w:rFonts w:ascii="宋体" w:hAnsi="宋体" w:eastAsia="宋体" w:cs="宋体"/>
                <w:spacing w:val="14"/>
                <w:sz w:val="20"/>
                <w:szCs w:val="20"/>
              </w:rPr>
              <w:t>依</w:t>
            </w:r>
            <w:r>
              <w:rPr>
                <w:rFonts w:ascii="宋体" w:hAnsi="宋体" w:eastAsia="宋体" w:cs="宋体"/>
                <w:spacing w:val="9"/>
                <w:sz w:val="20"/>
                <w:szCs w:val="20"/>
              </w:rPr>
              <w:t>据相关规定确定环境影响评价文件类型</w:t>
            </w:r>
          </w:p>
        </w:tc>
      </w:tr>
    </w:tbl>
    <w:p w14:paraId="1C9D89FA">
      <w:pPr>
        <w:spacing w:line="327" w:lineRule="exact"/>
        <w:ind w:firstLine="3986"/>
        <w:textAlignment w:val="center"/>
      </w:pPr>
      <w:r>
        <w:drawing>
          <wp:inline distT="0" distB="0" distL="0" distR="0">
            <wp:extent cx="76200" cy="20764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383"/>
                    <a:stretch>
                      <a:fillRect/>
                    </a:stretch>
                  </pic:blipFill>
                  <pic:spPr>
                    <a:xfrm>
                      <a:off x="0" y="0"/>
                      <a:ext cx="76200" cy="207969"/>
                    </a:xfrm>
                    <a:prstGeom prst="rect">
                      <a:avLst/>
                    </a:prstGeom>
                  </pic:spPr>
                </pic:pic>
              </a:graphicData>
            </a:graphic>
          </wp:inline>
        </w:drawing>
      </w:r>
    </w:p>
    <w:tbl>
      <w:tblPr>
        <w:tblStyle w:val="4"/>
        <w:tblW w:w="4345" w:type="dxa"/>
        <w:tblInd w:w="1873"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4345"/>
      </w:tblGrid>
      <w:tr w14:paraId="48EA89E4">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1042" w:hRule="atLeast"/>
        </w:trPr>
        <w:tc>
          <w:tcPr>
            <w:tcW w:w="4345" w:type="dxa"/>
            <w:vAlign w:val="top"/>
          </w:tcPr>
          <w:p w14:paraId="65D60B83">
            <w:pPr>
              <w:spacing w:before="113" w:line="227" w:lineRule="auto"/>
              <w:ind w:left="480"/>
              <w:rPr>
                <w:rFonts w:ascii="宋体" w:hAnsi="宋体" w:eastAsia="宋体" w:cs="宋体"/>
                <w:sz w:val="20"/>
                <w:szCs w:val="20"/>
              </w:rPr>
            </w:pPr>
            <w:r>
              <w:rPr>
                <w:rFonts w:ascii="Times New Roman" w:hAnsi="Times New Roman" w:eastAsia="Times New Roman" w:cs="Times New Roman"/>
                <w:spacing w:val="14"/>
                <w:sz w:val="20"/>
                <w:szCs w:val="20"/>
              </w:rPr>
              <w:t>1</w:t>
            </w:r>
            <w:r>
              <w:rPr>
                <w:rFonts w:ascii="Times New Roman" w:hAnsi="Times New Roman" w:eastAsia="Times New Roman" w:cs="Times New Roman"/>
                <w:spacing w:val="10"/>
                <w:sz w:val="20"/>
                <w:szCs w:val="20"/>
              </w:rPr>
              <w:t>.</w:t>
            </w:r>
            <w:r>
              <w:rPr>
                <w:rFonts w:ascii="宋体" w:hAnsi="宋体" w:eastAsia="宋体" w:cs="宋体"/>
                <w:spacing w:val="7"/>
                <w:sz w:val="20"/>
                <w:szCs w:val="20"/>
              </w:rPr>
              <w:t>研究相关技术文件 和其他有关文件</w:t>
            </w:r>
          </w:p>
          <w:p w14:paraId="0E16A5EB">
            <w:pPr>
              <w:spacing w:before="65" w:line="228" w:lineRule="auto"/>
              <w:ind w:left="1247"/>
              <w:rPr>
                <w:rFonts w:ascii="宋体" w:hAnsi="宋体" w:eastAsia="宋体" w:cs="宋体"/>
                <w:sz w:val="20"/>
                <w:szCs w:val="20"/>
              </w:rPr>
            </w:pPr>
            <w:r>
              <w:rPr>
                <w:rFonts w:ascii="Times New Roman" w:hAnsi="Times New Roman" w:eastAsia="Times New Roman" w:cs="Times New Roman"/>
                <w:spacing w:val="8"/>
                <w:sz w:val="20"/>
                <w:szCs w:val="20"/>
              </w:rPr>
              <w:t>2.</w:t>
            </w:r>
            <w:r>
              <w:rPr>
                <w:rFonts w:ascii="宋体" w:hAnsi="宋体" w:eastAsia="宋体" w:cs="宋体"/>
                <w:spacing w:val="8"/>
                <w:sz w:val="20"/>
                <w:szCs w:val="20"/>
              </w:rPr>
              <w:t>进行初步工程分</w:t>
            </w:r>
            <w:r>
              <w:rPr>
                <w:rFonts w:ascii="宋体" w:hAnsi="宋体" w:eastAsia="宋体" w:cs="宋体"/>
                <w:spacing w:val="7"/>
                <w:sz w:val="20"/>
                <w:szCs w:val="20"/>
              </w:rPr>
              <w:t>析</w:t>
            </w:r>
          </w:p>
          <w:p w14:paraId="3F42789C">
            <w:pPr>
              <w:spacing w:before="64" w:line="228" w:lineRule="auto"/>
              <w:ind w:left="937"/>
              <w:rPr>
                <w:rFonts w:ascii="宋体" w:hAnsi="宋体" w:eastAsia="宋体" w:cs="宋体"/>
                <w:sz w:val="20"/>
                <w:szCs w:val="20"/>
              </w:rPr>
            </w:pPr>
            <w:r>
              <w:rPr>
                <w:rFonts w:ascii="Times New Roman" w:hAnsi="Times New Roman" w:eastAsia="Times New Roman" w:cs="Times New Roman"/>
                <w:spacing w:val="10"/>
                <w:sz w:val="20"/>
                <w:szCs w:val="20"/>
              </w:rPr>
              <w:t>3</w:t>
            </w:r>
            <w:r>
              <w:rPr>
                <w:rFonts w:ascii="Times New Roman" w:hAnsi="Times New Roman" w:eastAsia="Times New Roman" w:cs="Times New Roman"/>
                <w:spacing w:val="8"/>
                <w:sz w:val="20"/>
                <w:szCs w:val="20"/>
              </w:rPr>
              <w:t>.</w:t>
            </w:r>
            <w:r>
              <w:rPr>
                <w:rFonts w:ascii="宋体" w:hAnsi="宋体" w:eastAsia="宋体" w:cs="宋体"/>
                <w:spacing w:val="8"/>
                <w:sz w:val="20"/>
                <w:szCs w:val="20"/>
              </w:rPr>
              <w:t>开展初步的环境现状调查</w:t>
            </w:r>
          </w:p>
        </w:tc>
      </w:tr>
    </w:tbl>
    <w:p w14:paraId="11AAF670">
      <w:pPr>
        <w:spacing w:line="327" w:lineRule="exact"/>
        <w:ind w:firstLine="3986"/>
        <w:textAlignment w:val="center"/>
      </w:pPr>
      <w:r>
        <w:drawing>
          <wp:inline distT="0" distB="0" distL="0" distR="0">
            <wp:extent cx="76200" cy="207645"/>
            <wp:effectExtent l="0" t="0" r="0" b="0"/>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r:embed="rId383"/>
                    <a:stretch>
                      <a:fillRect/>
                    </a:stretch>
                  </pic:blipFill>
                  <pic:spPr>
                    <a:xfrm>
                      <a:off x="0" y="0"/>
                      <a:ext cx="76200" cy="207969"/>
                    </a:xfrm>
                    <a:prstGeom prst="rect">
                      <a:avLst/>
                    </a:prstGeom>
                  </pic:spPr>
                </pic:pic>
              </a:graphicData>
            </a:graphic>
          </wp:inline>
        </w:drawing>
      </w:r>
    </w:p>
    <w:tbl>
      <w:tblPr>
        <w:tblStyle w:val="4"/>
        <w:tblW w:w="4345" w:type="dxa"/>
        <w:tblInd w:w="1873"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4345"/>
      </w:tblGrid>
      <w:tr w14:paraId="43D99382">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1048" w:hRule="atLeast"/>
        </w:trPr>
        <w:tc>
          <w:tcPr>
            <w:tcW w:w="4345" w:type="dxa"/>
            <w:vAlign w:val="top"/>
          </w:tcPr>
          <w:p w14:paraId="2A941702">
            <w:pPr>
              <w:spacing w:before="112" w:line="226" w:lineRule="auto"/>
              <w:ind w:left="742"/>
              <w:rPr>
                <w:rFonts w:ascii="宋体" w:hAnsi="宋体" w:eastAsia="宋体" w:cs="宋体"/>
                <w:sz w:val="20"/>
                <w:szCs w:val="20"/>
              </w:rPr>
            </w:pPr>
            <w:r>
              <w:rPr>
                <w:rFonts w:ascii="Times New Roman" w:hAnsi="Times New Roman" w:eastAsia="Times New Roman" w:cs="Times New Roman"/>
                <w:spacing w:val="14"/>
                <w:sz w:val="20"/>
                <w:szCs w:val="20"/>
              </w:rPr>
              <w:t>1</w:t>
            </w:r>
            <w:r>
              <w:rPr>
                <w:rFonts w:ascii="Times New Roman" w:hAnsi="Times New Roman" w:eastAsia="Times New Roman" w:cs="Times New Roman"/>
                <w:spacing w:val="7"/>
                <w:sz w:val="20"/>
                <w:szCs w:val="20"/>
              </w:rPr>
              <w:t>.</w:t>
            </w:r>
            <w:r>
              <w:rPr>
                <w:rFonts w:ascii="宋体" w:hAnsi="宋体" w:eastAsia="宋体" w:cs="宋体"/>
                <w:spacing w:val="7"/>
                <w:sz w:val="20"/>
                <w:szCs w:val="20"/>
              </w:rPr>
              <w:t>环境影响识别和评价因子筛选</w:t>
            </w:r>
          </w:p>
          <w:p w14:paraId="3FB466BE">
            <w:pPr>
              <w:spacing w:before="67" w:line="226" w:lineRule="auto"/>
              <w:ind w:left="722"/>
              <w:rPr>
                <w:rFonts w:ascii="宋体" w:hAnsi="宋体" w:eastAsia="宋体" w:cs="宋体"/>
                <w:sz w:val="20"/>
                <w:szCs w:val="20"/>
              </w:rPr>
            </w:pPr>
            <w:r>
              <w:rPr>
                <w:rFonts w:ascii="Times New Roman" w:hAnsi="Times New Roman" w:eastAsia="Times New Roman" w:cs="Times New Roman"/>
                <w:spacing w:val="7"/>
                <w:sz w:val="20"/>
                <w:szCs w:val="20"/>
              </w:rPr>
              <w:t>2</w:t>
            </w:r>
            <w:r>
              <w:rPr>
                <w:rFonts w:ascii="Times New Roman" w:hAnsi="Times New Roman" w:eastAsia="Times New Roman" w:cs="Times New Roman"/>
                <w:spacing w:val="5"/>
                <w:sz w:val="20"/>
                <w:szCs w:val="20"/>
              </w:rPr>
              <w:t xml:space="preserve">. </w:t>
            </w:r>
            <w:r>
              <w:rPr>
                <w:rFonts w:ascii="宋体" w:hAnsi="宋体" w:eastAsia="宋体" w:cs="宋体"/>
                <w:spacing w:val="5"/>
                <w:sz w:val="20"/>
                <w:szCs w:val="20"/>
              </w:rPr>
              <w:t>明确评价重点和环境保护目标</w:t>
            </w:r>
          </w:p>
          <w:p w14:paraId="51E6D36E">
            <w:pPr>
              <w:spacing w:before="66" w:line="228" w:lineRule="auto"/>
              <w:ind w:left="411"/>
              <w:rPr>
                <w:rFonts w:ascii="宋体" w:hAnsi="宋体" w:eastAsia="宋体" w:cs="宋体"/>
                <w:sz w:val="20"/>
                <w:szCs w:val="20"/>
              </w:rPr>
            </w:pPr>
            <w:r>
              <w:rPr>
                <w:rFonts w:ascii="Times New Roman" w:hAnsi="Times New Roman" w:eastAsia="Times New Roman" w:cs="Times New Roman"/>
                <w:spacing w:val="16"/>
                <w:sz w:val="20"/>
                <w:szCs w:val="20"/>
              </w:rPr>
              <w:t>3</w:t>
            </w:r>
            <w:r>
              <w:rPr>
                <w:rFonts w:ascii="Times New Roman" w:hAnsi="Times New Roman" w:eastAsia="Times New Roman" w:cs="Times New Roman"/>
                <w:spacing w:val="11"/>
                <w:sz w:val="20"/>
                <w:szCs w:val="20"/>
              </w:rPr>
              <w:t>.</w:t>
            </w:r>
            <w:r>
              <w:rPr>
                <w:rFonts w:ascii="宋体" w:hAnsi="宋体" w:eastAsia="宋体" w:cs="宋体"/>
                <w:spacing w:val="8"/>
                <w:sz w:val="20"/>
                <w:szCs w:val="20"/>
              </w:rPr>
              <w:t>确定工作等级、评价范围和评价标准</w:t>
            </w:r>
          </w:p>
        </w:tc>
      </w:tr>
    </w:tbl>
    <w:p w14:paraId="50755FCB">
      <w:pPr>
        <w:spacing w:before="17" w:line="334" w:lineRule="exact"/>
        <w:ind w:firstLine="3986"/>
        <w:textAlignment w:val="center"/>
      </w:pPr>
      <w:r>
        <w:drawing>
          <wp:inline distT="0" distB="0" distL="0" distR="0">
            <wp:extent cx="76200" cy="21145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383"/>
                    <a:stretch>
                      <a:fillRect/>
                    </a:stretch>
                  </pic:blipFill>
                  <pic:spPr>
                    <a:xfrm>
                      <a:off x="0" y="0"/>
                      <a:ext cx="76200" cy="211944"/>
                    </a:xfrm>
                    <a:prstGeom prst="rect">
                      <a:avLst/>
                    </a:prstGeom>
                  </pic:spPr>
                </pic:pic>
              </a:graphicData>
            </a:graphic>
          </wp:inline>
        </w:drawing>
      </w:r>
    </w:p>
    <w:tbl>
      <w:tblPr>
        <w:tblStyle w:val="4"/>
        <w:tblW w:w="4340" w:type="dxa"/>
        <w:tblInd w:w="1876" w:type="dxa"/>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4340"/>
      </w:tblGrid>
      <w:tr w14:paraId="2BAED189">
        <w:tblPrEx>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PrEx>
        <w:trPr>
          <w:trHeight w:val="438" w:hRule="atLeast"/>
        </w:trPr>
        <w:tc>
          <w:tcPr>
            <w:tcW w:w="4340" w:type="dxa"/>
            <w:vAlign w:val="top"/>
          </w:tcPr>
          <w:p w14:paraId="73D3787E">
            <w:pPr>
              <w:spacing w:before="107" w:line="228" w:lineRule="auto"/>
              <w:ind w:left="1535"/>
              <w:rPr>
                <w:rFonts w:ascii="宋体" w:hAnsi="宋体" w:eastAsia="宋体" w:cs="宋体"/>
                <w:sz w:val="20"/>
                <w:szCs w:val="20"/>
              </w:rPr>
            </w:pPr>
            <w:r>
              <w:rPr>
                <w:rFonts w:ascii="宋体" w:hAnsi="宋体" w:eastAsia="宋体" w:cs="宋体"/>
                <w:spacing w:val="8"/>
                <w:sz w:val="20"/>
                <w:szCs w:val="20"/>
              </w:rPr>
              <w:t>制定工作方案</w:t>
            </w:r>
          </w:p>
        </w:tc>
      </w:tr>
    </w:tbl>
    <w:p w14:paraId="4B56EF1E">
      <w:pPr>
        <w:spacing w:before="2" w:line="340" w:lineRule="exact"/>
        <w:ind w:firstLine="3986"/>
        <w:textAlignment w:val="center"/>
      </w:pPr>
      <w:r>
        <w:drawing>
          <wp:inline distT="0" distB="0" distL="0" distR="0">
            <wp:extent cx="76200" cy="215900"/>
            <wp:effectExtent l="0" t="0" r="0" b="0"/>
            <wp:docPr id="7" name="IM 7"/>
            <wp:cNvGraphicFramePr/>
            <a:graphic xmlns:a="http://schemas.openxmlformats.org/drawingml/2006/main">
              <a:graphicData uri="http://schemas.openxmlformats.org/drawingml/2006/picture">
                <pic:pic xmlns:pic="http://schemas.openxmlformats.org/drawingml/2006/picture">
                  <pic:nvPicPr>
                    <pic:cNvPr id="7" name="IM 7"/>
                    <pic:cNvPicPr/>
                  </pic:nvPicPr>
                  <pic:blipFill>
                    <a:blip r:embed="rId383"/>
                    <a:stretch>
                      <a:fillRect/>
                    </a:stretch>
                  </pic:blipFill>
                  <pic:spPr>
                    <a:xfrm>
                      <a:off x="0" y="0"/>
                      <a:ext cx="76200" cy="215913"/>
                    </a:xfrm>
                    <a:prstGeom prst="rect">
                      <a:avLst/>
                    </a:prstGeom>
                  </pic:spPr>
                </pic:pic>
              </a:graphicData>
            </a:graphic>
          </wp:inline>
        </w:drawing>
      </w:r>
    </w:p>
    <w:p w14:paraId="7A34B576"/>
    <w:p w14:paraId="15AC42F9">
      <w:pPr>
        <w:spacing w:line="91" w:lineRule="exact"/>
      </w:pPr>
    </w:p>
    <w:tbl>
      <w:tblPr>
        <w:tblStyle w:val="4"/>
        <w:tblW w:w="1693" w:type="dxa"/>
        <w:tblInd w:w="5011" w:type="dxa"/>
        <w:tblBorders>
          <w:top w:val="single" w:color="000000" w:sz="10" w:space="0"/>
          <w:left w:val="single" w:color="000000" w:sz="10" w:space="0"/>
          <w:bottom w:val="single" w:color="000000" w:sz="10"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1693"/>
      </w:tblGrid>
      <w:tr w14:paraId="6DD50368">
        <w:tblPrEx>
          <w:tblBorders>
            <w:top w:val="single" w:color="000000" w:sz="10" w:space="0"/>
            <w:left w:val="single" w:color="000000" w:sz="10" w:space="0"/>
            <w:bottom w:val="single" w:color="000000" w:sz="10"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717" w:hRule="atLeast"/>
        </w:trPr>
        <w:tc>
          <w:tcPr>
            <w:tcW w:w="1693" w:type="dxa"/>
            <w:vAlign w:val="top"/>
          </w:tcPr>
          <w:p w14:paraId="6B1157BF">
            <w:pPr>
              <w:spacing w:before="114" w:line="312" w:lineRule="exact"/>
              <w:ind w:left="422"/>
              <w:rPr>
                <w:rFonts w:ascii="宋体" w:hAnsi="宋体" w:eastAsia="宋体" w:cs="宋体"/>
                <w:sz w:val="20"/>
                <w:szCs w:val="20"/>
              </w:rPr>
            </w:pPr>
            <w:r>
              <w:rPr>
                <w:rFonts w:ascii="宋体" w:hAnsi="宋体" w:eastAsia="宋体" w:cs="宋体"/>
                <w:spacing w:val="9"/>
                <w:position w:val="7"/>
                <w:sz w:val="20"/>
                <w:szCs w:val="20"/>
              </w:rPr>
              <w:t>建</w:t>
            </w:r>
            <w:r>
              <w:rPr>
                <w:rFonts w:ascii="宋体" w:hAnsi="宋体" w:eastAsia="宋体" w:cs="宋体"/>
                <w:spacing w:val="6"/>
                <w:position w:val="7"/>
                <w:sz w:val="20"/>
                <w:szCs w:val="20"/>
              </w:rPr>
              <w:t>设项目</w:t>
            </w:r>
          </w:p>
          <w:p w14:paraId="04015264">
            <w:pPr>
              <w:spacing w:line="228" w:lineRule="auto"/>
              <w:ind w:left="422"/>
              <w:rPr>
                <w:rFonts w:ascii="宋体" w:hAnsi="宋体" w:eastAsia="宋体" w:cs="宋体"/>
                <w:sz w:val="20"/>
                <w:szCs w:val="20"/>
              </w:rPr>
            </w:pPr>
            <w:r>
              <w:rPr>
                <w:rFonts w:ascii="宋体" w:hAnsi="宋体" w:eastAsia="宋体" w:cs="宋体"/>
                <w:spacing w:val="9"/>
                <w:sz w:val="20"/>
                <w:szCs w:val="20"/>
              </w:rPr>
              <w:t>工</w:t>
            </w:r>
            <w:r>
              <w:rPr>
                <w:rFonts w:ascii="宋体" w:hAnsi="宋体" w:eastAsia="宋体" w:cs="宋体"/>
                <w:spacing w:val="6"/>
                <w:sz w:val="20"/>
                <w:szCs w:val="20"/>
              </w:rPr>
              <w:t>程分析</w:t>
            </w:r>
          </w:p>
        </w:tc>
      </w:tr>
    </w:tbl>
    <w:p w14:paraId="3139FE6A">
      <w:pPr>
        <w:spacing w:line="304" w:lineRule="auto"/>
        <w:rPr>
          <w:rFonts w:ascii="Arial"/>
          <w:sz w:val="21"/>
        </w:rPr>
      </w:pPr>
    </w:p>
    <w:p w14:paraId="3CA164D0">
      <w:pPr>
        <w:spacing w:line="305" w:lineRule="auto"/>
        <w:rPr>
          <w:rFonts w:ascii="Arial"/>
          <w:sz w:val="21"/>
        </w:rPr>
      </w:pPr>
    </w:p>
    <w:p w14:paraId="47A92A50">
      <w:pPr>
        <w:spacing w:before="65" w:line="312" w:lineRule="exact"/>
        <w:ind w:left="2522"/>
        <w:rPr>
          <w:rFonts w:ascii="宋体" w:hAnsi="宋体" w:eastAsia="宋体" w:cs="宋体"/>
          <w:sz w:val="20"/>
          <w:szCs w:val="20"/>
        </w:rPr>
      </w:pPr>
      <w:r>
        <w:drawing>
          <wp:anchor distT="0" distB="0" distL="0" distR="0" simplePos="0" relativeHeight="251665408" behindDoc="1" locked="0" layoutInCell="1" allowOverlap="1">
            <wp:simplePos x="0" y="0"/>
            <wp:positionH relativeFrom="column">
              <wp:posOffset>1183005</wp:posOffset>
            </wp:positionH>
            <wp:positionV relativeFrom="paragraph">
              <wp:posOffset>-255270</wp:posOffset>
            </wp:positionV>
            <wp:extent cx="2771775" cy="696595"/>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384"/>
                    <a:stretch>
                      <a:fillRect/>
                    </a:stretch>
                  </pic:blipFill>
                  <pic:spPr>
                    <a:xfrm>
                      <a:off x="0" y="0"/>
                      <a:ext cx="2771775" cy="696290"/>
                    </a:xfrm>
                    <a:prstGeom prst="rect">
                      <a:avLst/>
                    </a:prstGeom>
                  </pic:spPr>
                </pic:pic>
              </a:graphicData>
            </a:graphic>
          </wp:anchor>
        </w:drawing>
      </w:r>
      <w:r>
        <w:rPr>
          <w:rFonts w:ascii="Times New Roman" w:hAnsi="Times New Roman" w:eastAsia="Times New Roman" w:cs="Times New Roman"/>
          <w:spacing w:val="14"/>
          <w:position w:val="7"/>
          <w:sz w:val="20"/>
          <w:szCs w:val="20"/>
        </w:rPr>
        <w:t>1</w:t>
      </w:r>
      <w:r>
        <w:rPr>
          <w:rFonts w:ascii="Times New Roman" w:hAnsi="Times New Roman" w:eastAsia="Times New Roman" w:cs="Times New Roman"/>
          <w:spacing w:val="7"/>
          <w:position w:val="7"/>
          <w:sz w:val="20"/>
          <w:szCs w:val="20"/>
        </w:rPr>
        <w:t>.</w:t>
      </w:r>
      <w:r>
        <w:rPr>
          <w:rFonts w:ascii="宋体" w:hAnsi="宋体" w:eastAsia="宋体" w:cs="宋体"/>
          <w:spacing w:val="7"/>
          <w:position w:val="7"/>
          <w:sz w:val="20"/>
          <w:szCs w:val="20"/>
        </w:rPr>
        <w:t>各环境要素环境影响预测与评价</w:t>
      </w:r>
    </w:p>
    <w:p w14:paraId="7A635B21">
      <w:pPr>
        <w:spacing w:line="226" w:lineRule="auto"/>
        <w:ind w:left="2711"/>
        <w:rPr>
          <w:rFonts w:ascii="宋体" w:hAnsi="宋体" w:eastAsia="宋体" w:cs="宋体"/>
          <w:sz w:val="20"/>
          <w:szCs w:val="20"/>
        </w:rPr>
      </w:pPr>
      <w:r>
        <w:rPr>
          <w:rFonts w:ascii="Times New Roman" w:hAnsi="Times New Roman" w:eastAsia="Times New Roman" w:cs="Times New Roman"/>
          <w:spacing w:val="15"/>
          <w:sz w:val="20"/>
          <w:szCs w:val="20"/>
        </w:rPr>
        <w:t>2</w:t>
      </w:r>
      <w:r>
        <w:rPr>
          <w:rFonts w:ascii="Times New Roman" w:hAnsi="Times New Roman" w:eastAsia="Times New Roman" w:cs="Times New Roman"/>
          <w:spacing w:val="8"/>
          <w:sz w:val="20"/>
          <w:szCs w:val="20"/>
        </w:rPr>
        <w:t>.</w:t>
      </w:r>
      <w:r>
        <w:rPr>
          <w:rFonts w:ascii="宋体" w:hAnsi="宋体" w:eastAsia="宋体" w:cs="宋体"/>
          <w:spacing w:val="8"/>
          <w:sz w:val="20"/>
          <w:szCs w:val="20"/>
        </w:rPr>
        <w:t>各专题环境影响分析与评价</w:t>
      </w:r>
    </w:p>
    <w:p w14:paraId="72F69C07">
      <w:pPr>
        <w:spacing w:before="86" w:line="340" w:lineRule="exact"/>
        <w:ind w:firstLine="3986"/>
        <w:textAlignment w:val="center"/>
      </w:pPr>
      <w:r>
        <w:drawing>
          <wp:inline distT="0" distB="0" distL="0" distR="0">
            <wp:extent cx="76200" cy="215900"/>
            <wp:effectExtent l="0" t="0" r="0" b="0"/>
            <wp:docPr id="9" name="IM 9"/>
            <wp:cNvGraphicFramePr/>
            <a:graphic xmlns:a="http://schemas.openxmlformats.org/drawingml/2006/main">
              <a:graphicData uri="http://schemas.openxmlformats.org/drawingml/2006/picture">
                <pic:pic xmlns:pic="http://schemas.openxmlformats.org/drawingml/2006/picture">
                  <pic:nvPicPr>
                    <pic:cNvPr id="9" name="IM 9"/>
                    <pic:cNvPicPr/>
                  </pic:nvPicPr>
                  <pic:blipFill>
                    <a:blip r:embed="rId383"/>
                    <a:stretch>
                      <a:fillRect/>
                    </a:stretch>
                  </pic:blipFill>
                  <pic:spPr>
                    <a:xfrm>
                      <a:off x="0" y="0"/>
                      <a:ext cx="76200" cy="215912"/>
                    </a:xfrm>
                    <a:prstGeom prst="rect">
                      <a:avLst/>
                    </a:prstGeom>
                  </pic:spPr>
                </pic:pic>
              </a:graphicData>
            </a:graphic>
          </wp:inline>
        </w:drawing>
      </w:r>
    </w:p>
    <w:p w14:paraId="0BF0870C">
      <w:pPr>
        <w:spacing w:line="30" w:lineRule="auto"/>
        <w:rPr>
          <w:rFonts w:ascii="Arial"/>
          <w:sz w:val="2"/>
        </w:rPr>
      </w:pPr>
    </w:p>
    <w:tbl>
      <w:tblPr>
        <w:tblStyle w:val="4"/>
        <w:tblW w:w="4345" w:type="dxa"/>
        <w:tblInd w:w="1873"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4345"/>
      </w:tblGrid>
      <w:tr w14:paraId="6780E960">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1055" w:hRule="atLeast"/>
        </w:trPr>
        <w:tc>
          <w:tcPr>
            <w:tcW w:w="4345" w:type="dxa"/>
            <w:vAlign w:val="top"/>
          </w:tcPr>
          <w:p w14:paraId="6446B937">
            <w:pPr>
              <w:spacing w:before="118" w:line="228" w:lineRule="auto"/>
              <w:ind w:left="322"/>
              <w:rPr>
                <w:rFonts w:ascii="宋体" w:hAnsi="宋体" w:eastAsia="宋体" w:cs="宋体"/>
                <w:sz w:val="20"/>
                <w:szCs w:val="20"/>
              </w:rPr>
            </w:pPr>
            <w:r>
              <w:rPr>
                <w:rFonts w:ascii="Times New Roman" w:hAnsi="Times New Roman" w:eastAsia="Times New Roman" w:cs="Times New Roman"/>
                <w:spacing w:val="8"/>
                <w:sz w:val="20"/>
                <w:szCs w:val="20"/>
              </w:rPr>
              <w:t>1.</w:t>
            </w:r>
            <w:r>
              <w:rPr>
                <w:rFonts w:ascii="宋体" w:hAnsi="宋体" w:eastAsia="宋体" w:cs="宋体"/>
                <w:spacing w:val="8"/>
                <w:sz w:val="20"/>
                <w:szCs w:val="20"/>
              </w:rPr>
              <w:t>提出环境保护措施，进行技术经济论证</w:t>
            </w:r>
          </w:p>
          <w:p w14:paraId="3C28A113">
            <w:pPr>
              <w:spacing w:before="64" w:line="228" w:lineRule="auto"/>
              <w:ind w:left="1142"/>
              <w:rPr>
                <w:rFonts w:ascii="宋体" w:hAnsi="宋体" w:eastAsia="宋体" w:cs="宋体"/>
                <w:sz w:val="20"/>
                <w:szCs w:val="20"/>
              </w:rPr>
            </w:pPr>
            <w:r>
              <w:rPr>
                <w:rFonts w:ascii="Times New Roman" w:hAnsi="Times New Roman" w:eastAsia="Times New Roman" w:cs="Times New Roman"/>
                <w:spacing w:val="12"/>
                <w:sz w:val="20"/>
                <w:szCs w:val="20"/>
              </w:rPr>
              <w:t>2</w:t>
            </w:r>
            <w:r>
              <w:rPr>
                <w:rFonts w:ascii="Times New Roman" w:hAnsi="Times New Roman" w:eastAsia="Times New Roman" w:cs="Times New Roman"/>
                <w:spacing w:val="8"/>
                <w:sz w:val="20"/>
                <w:szCs w:val="20"/>
              </w:rPr>
              <w:t>.</w:t>
            </w:r>
            <w:r>
              <w:rPr>
                <w:rFonts w:ascii="宋体" w:hAnsi="宋体" w:eastAsia="宋体" w:cs="宋体"/>
                <w:spacing w:val="8"/>
                <w:sz w:val="20"/>
                <w:szCs w:val="20"/>
              </w:rPr>
              <w:t>给出污染物排放清单</w:t>
            </w:r>
          </w:p>
          <w:p w14:paraId="4725D426">
            <w:pPr>
              <w:spacing w:before="64" w:line="226" w:lineRule="auto"/>
              <w:ind w:left="623"/>
              <w:rPr>
                <w:rFonts w:ascii="宋体" w:hAnsi="宋体" w:eastAsia="宋体" w:cs="宋体"/>
                <w:sz w:val="20"/>
                <w:szCs w:val="20"/>
              </w:rPr>
            </w:pPr>
            <w:r>
              <w:rPr>
                <w:rFonts w:ascii="Times New Roman" w:hAnsi="Times New Roman" w:eastAsia="Times New Roman" w:cs="Times New Roman"/>
                <w:spacing w:val="15"/>
                <w:sz w:val="20"/>
                <w:szCs w:val="20"/>
              </w:rPr>
              <w:t>3</w:t>
            </w:r>
            <w:r>
              <w:rPr>
                <w:rFonts w:ascii="Times New Roman" w:hAnsi="Times New Roman" w:eastAsia="Times New Roman" w:cs="Times New Roman"/>
                <w:spacing w:val="8"/>
                <w:sz w:val="20"/>
                <w:szCs w:val="20"/>
              </w:rPr>
              <w:t>.</w:t>
            </w:r>
            <w:r>
              <w:rPr>
                <w:rFonts w:ascii="宋体" w:hAnsi="宋体" w:eastAsia="宋体" w:cs="宋体"/>
                <w:spacing w:val="8"/>
                <w:sz w:val="20"/>
                <w:szCs w:val="20"/>
              </w:rPr>
              <w:t>给出建设项目环境影响评价结论</w:t>
            </w:r>
          </w:p>
        </w:tc>
      </w:tr>
    </w:tbl>
    <w:p w14:paraId="59B4286F">
      <w:pPr>
        <w:spacing w:before="2" w:line="340" w:lineRule="exact"/>
        <w:ind w:firstLine="3986"/>
        <w:textAlignment w:val="center"/>
      </w:pPr>
      <w:r>
        <w:drawing>
          <wp:inline distT="0" distB="0" distL="0" distR="0">
            <wp:extent cx="76200" cy="21590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383"/>
                    <a:stretch>
                      <a:fillRect/>
                    </a:stretch>
                  </pic:blipFill>
                  <pic:spPr>
                    <a:xfrm>
                      <a:off x="0" y="0"/>
                      <a:ext cx="76200" cy="215912"/>
                    </a:xfrm>
                    <a:prstGeom prst="rect">
                      <a:avLst/>
                    </a:prstGeom>
                  </pic:spPr>
                </pic:pic>
              </a:graphicData>
            </a:graphic>
          </wp:inline>
        </w:drawing>
      </w:r>
    </w:p>
    <w:p w14:paraId="52CBDA17">
      <w:pPr>
        <w:spacing w:line="31" w:lineRule="auto"/>
        <w:rPr>
          <w:rFonts w:ascii="Arial"/>
          <w:sz w:val="2"/>
        </w:rPr>
      </w:pPr>
    </w:p>
    <w:tbl>
      <w:tblPr>
        <w:tblStyle w:val="4"/>
        <w:tblW w:w="4340" w:type="dxa"/>
        <w:tblInd w:w="1876" w:type="dxa"/>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4340"/>
      </w:tblGrid>
      <w:tr w14:paraId="7D3E050B">
        <w:tblPrEx>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CellMar>
            <w:top w:w="0" w:type="dxa"/>
            <w:left w:w="0" w:type="dxa"/>
            <w:bottom w:w="0" w:type="dxa"/>
            <w:right w:w="0" w:type="dxa"/>
          </w:tblCellMar>
        </w:tblPrEx>
        <w:trPr>
          <w:trHeight w:val="445" w:hRule="atLeast"/>
        </w:trPr>
        <w:tc>
          <w:tcPr>
            <w:tcW w:w="4340" w:type="dxa"/>
            <w:vAlign w:val="top"/>
          </w:tcPr>
          <w:p w14:paraId="5519F8E6">
            <w:pPr>
              <w:spacing w:before="113" w:line="226" w:lineRule="auto"/>
              <w:ind w:left="1221"/>
              <w:rPr>
                <w:rFonts w:ascii="宋体" w:hAnsi="宋体" w:eastAsia="宋体" w:cs="宋体"/>
                <w:sz w:val="20"/>
                <w:szCs w:val="20"/>
              </w:rPr>
            </w:pPr>
            <w:r>
              <w:rPr>
                <w:rFonts w:ascii="宋体" w:hAnsi="宋体" w:eastAsia="宋体" w:cs="宋体"/>
                <w:spacing w:val="15"/>
                <w:sz w:val="20"/>
                <w:szCs w:val="20"/>
              </w:rPr>
              <w:t>编</w:t>
            </w:r>
            <w:r>
              <w:rPr>
                <w:rFonts w:ascii="宋体" w:hAnsi="宋体" w:eastAsia="宋体" w:cs="宋体"/>
                <w:spacing w:val="8"/>
                <w:sz w:val="20"/>
                <w:szCs w:val="20"/>
              </w:rPr>
              <w:t>制环境影响报告书</w:t>
            </w:r>
          </w:p>
        </w:tc>
      </w:tr>
    </w:tbl>
    <w:p w14:paraId="5B0BA87A">
      <w:pPr>
        <w:spacing w:before="185" w:line="226" w:lineRule="auto"/>
        <w:ind w:left="1849"/>
        <w:rPr>
          <w:rFonts w:ascii="宋体" w:hAnsi="宋体" w:eastAsia="宋体" w:cs="宋体"/>
          <w:sz w:val="23"/>
          <w:szCs w:val="23"/>
        </w:rPr>
      </w:pPr>
      <w:r>
        <w:rPr>
          <w:rFonts w:ascii="宋体" w:hAnsi="宋体" w:eastAsia="宋体" w:cs="宋体"/>
          <w:spacing w:val="8"/>
          <w:sz w:val="23"/>
          <w:szCs w:val="23"/>
          <w14:textOutline w14:w="4358" w14:cap="sq" w14:cmpd="sng">
            <w14:solidFill>
              <w14:srgbClr w14:val="000000"/>
            </w14:solidFill>
            <w14:prstDash w14:val="solid"/>
            <w14:bevel/>
          </w14:textOutline>
        </w:rPr>
        <w:t>图</w:t>
      </w:r>
      <w:r>
        <w:rPr>
          <w:rFonts w:ascii="宋体" w:hAnsi="宋体" w:eastAsia="宋体" w:cs="宋体"/>
          <w:spacing w:val="7"/>
          <w:sz w:val="23"/>
          <w:szCs w:val="23"/>
        </w:rPr>
        <w:t xml:space="preserve"> </w:t>
      </w:r>
      <w:r>
        <w:rPr>
          <w:rFonts w:ascii="Times New Roman" w:hAnsi="Times New Roman" w:eastAsia="Times New Roman" w:cs="Times New Roman"/>
          <w:b/>
          <w:bCs/>
          <w:spacing w:val="4"/>
          <w:sz w:val="23"/>
          <w:szCs w:val="23"/>
        </w:rPr>
        <w:t>1-1</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建设项目环境影响评价工作程序图</w:t>
      </w:r>
    </w:p>
    <w:p w14:paraId="0E8A76D7">
      <w:pPr>
        <w:spacing w:before="268" w:line="225" w:lineRule="auto"/>
        <w:ind w:left="35"/>
        <w:outlineLvl w:val="1"/>
        <w:rPr>
          <w:rFonts w:ascii="宋体" w:hAnsi="宋体" w:eastAsia="宋体" w:cs="宋体"/>
          <w:sz w:val="31"/>
          <w:szCs w:val="31"/>
        </w:rPr>
      </w:pPr>
      <w:bookmarkStart w:id="3" w:name="_bookmark4"/>
      <w:bookmarkEnd w:id="3"/>
      <w:r>
        <w:rPr>
          <w:rFonts w:ascii="Times New Roman" w:hAnsi="Times New Roman" w:eastAsia="Times New Roman" w:cs="Times New Roman"/>
          <w:b/>
          <w:bCs/>
          <w:spacing w:val="10"/>
          <w:sz w:val="31"/>
          <w:szCs w:val="31"/>
        </w:rPr>
        <w:t>1</w:t>
      </w:r>
      <w:r>
        <w:rPr>
          <w:rFonts w:ascii="Times New Roman" w:hAnsi="Times New Roman" w:eastAsia="Times New Roman" w:cs="Times New Roman"/>
          <w:b/>
          <w:bCs/>
          <w:spacing w:val="5"/>
          <w:sz w:val="31"/>
          <w:szCs w:val="31"/>
        </w:rPr>
        <w:t>.3</w:t>
      </w:r>
      <w:r>
        <w:rPr>
          <w:rFonts w:ascii="Times New Roman" w:hAnsi="Times New Roman" w:eastAsia="Times New Roman" w:cs="Times New Roman"/>
          <w:spacing w:val="5"/>
          <w:sz w:val="31"/>
          <w:szCs w:val="31"/>
        </w:rPr>
        <w:t xml:space="preserve">  </w:t>
      </w:r>
      <w:r>
        <w:rPr>
          <w:rFonts w:ascii="宋体" w:hAnsi="宋体" w:eastAsia="宋体" w:cs="宋体"/>
          <w:spacing w:val="5"/>
          <w:sz w:val="31"/>
          <w:szCs w:val="31"/>
          <w14:textOutline w14:w="5793" w14:cap="sq" w14:cmpd="sng">
            <w14:solidFill>
              <w14:srgbClr w14:val="000000"/>
            </w14:solidFill>
            <w14:prstDash w14:val="solid"/>
            <w14:bevel/>
          </w14:textOutline>
        </w:rPr>
        <w:t>主要环境问题</w:t>
      </w:r>
    </w:p>
    <w:p w14:paraId="7140105B">
      <w:pPr>
        <w:spacing w:line="245" w:lineRule="auto"/>
        <w:rPr>
          <w:rFonts w:ascii="Arial"/>
          <w:sz w:val="21"/>
        </w:rPr>
      </w:pPr>
    </w:p>
    <w:p w14:paraId="0A63B538">
      <w:pPr>
        <w:spacing w:before="75" w:line="386" w:lineRule="auto"/>
        <w:ind w:left="22" w:firstLine="484"/>
        <w:rPr>
          <w:rFonts w:ascii="宋体" w:hAnsi="宋体" w:eastAsia="宋体" w:cs="宋体"/>
          <w:sz w:val="23"/>
          <w:szCs w:val="23"/>
        </w:rPr>
      </w:pPr>
      <w:r>
        <w:rPr>
          <w:rFonts w:ascii="宋体" w:hAnsi="宋体" w:eastAsia="宋体" w:cs="宋体"/>
          <w:spacing w:val="2"/>
          <w:sz w:val="23"/>
          <w:szCs w:val="23"/>
        </w:rPr>
        <w:t>项目施工期主要产生施工扬尘、施工噪声、施</w:t>
      </w:r>
      <w:r>
        <w:rPr>
          <w:rFonts w:ascii="宋体" w:hAnsi="宋体" w:eastAsia="宋体" w:cs="宋体"/>
          <w:spacing w:val="1"/>
          <w:sz w:val="23"/>
          <w:szCs w:val="23"/>
        </w:rPr>
        <w:t>工尾气、施工废水等污染因素，</w:t>
      </w:r>
      <w:r>
        <w:rPr>
          <w:rFonts w:ascii="宋体" w:hAnsi="宋体" w:eastAsia="宋体" w:cs="宋体"/>
          <w:sz w:val="23"/>
          <w:szCs w:val="23"/>
        </w:rPr>
        <w:t xml:space="preserve"> </w:t>
      </w:r>
      <w:r>
        <w:rPr>
          <w:rFonts w:ascii="宋体" w:hAnsi="宋体" w:eastAsia="宋体" w:cs="宋体"/>
          <w:spacing w:val="9"/>
          <w:sz w:val="23"/>
          <w:szCs w:val="23"/>
        </w:rPr>
        <w:t>施</w:t>
      </w:r>
      <w:r>
        <w:rPr>
          <w:rFonts w:ascii="宋体" w:hAnsi="宋体" w:eastAsia="宋体" w:cs="宋体"/>
          <w:spacing w:val="7"/>
          <w:sz w:val="23"/>
          <w:szCs w:val="23"/>
        </w:rPr>
        <w:t>工车辆和施工机械等将不可避免的对区域水环境、大气环境、声环境、社会环</w:t>
      </w:r>
      <w:r>
        <w:rPr>
          <w:rFonts w:ascii="宋体" w:hAnsi="宋体" w:eastAsia="宋体" w:cs="宋体"/>
          <w:sz w:val="23"/>
          <w:szCs w:val="23"/>
        </w:rPr>
        <w:t xml:space="preserve"> </w:t>
      </w:r>
      <w:r>
        <w:rPr>
          <w:rFonts w:ascii="宋体" w:hAnsi="宋体" w:eastAsia="宋体" w:cs="宋体"/>
          <w:spacing w:val="9"/>
          <w:sz w:val="23"/>
          <w:szCs w:val="23"/>
        </w:rPr>
        <w:t>境</w:t>
      </w:r>
      <w:r>
        <w:rPr>
          <w:rFonts w:ascii="宋体" w:hAnsi="宋体" w:eastAsia="宋体" w:cs="宋体"/>
          <w:spacing w:val="7"/>
          <w:sz w:val="23"/>
          <w:szCs w:val="23"/>
        </w:rPr>
        <w:t>产生影响，在施工单位严格落实了相关规定和相应环保措施后，施工环境影响</w:t>
      </w:r>
      <w:r>
        <w:rPr>
          <w:rFonts w:ascii="宋体" w:hAnsi="宋体" w:eastAsia="宋体" w:cs="宋体"/>
          <w:sz w:val="23"/>
          <w:szCs w:val="23"/>
        </w:rPr>
        <w:t xml:space="preserve"> </w:t>
      </w:r>
      <w:r>
        <w:rPr>
          <w:rFonts w:ascii="宋体" w:hAnsi="宋体" w:eastAsia="宋体" w:cs="宋体"/>
          <w:spacing w:val="7"/>
          <w:sz w:val="23"/>
          <w:szCs w:val="23"/>
        </w:rPr>
        <w:t>总</w:t>
      </w:r>
      <w:r>
        <w:rPr>
          <w:rFonts w:ascii="宋体" w:hAnsi="宋体" w:eastAsia="宋体" w:cs="宋体"/>
          <w:spacing w:val="6"/>
          <w:sz w:val="23"/>
          <w:szCs w:val="23"/>
        </w:rPr>
        <w:t>体可控。</w:t>
      </w:r>
    </w:p>
    <w:p w14:paraId="5BC1839F">
      <w:pPr>
        <w:spacing w:before="134" w:line="227" w:lineRule="auto"/>
        <w:ind w:left="507"/>
        <w:rPr>
          <w:rFonts w:ascii="宋体" w:hAnsi="宋体" w:eastAsia="宋体" w:cs="宋体"/>
          <w:sz w:val="23"/>
          <w:szCs w:val="23"/>
        </w:rPr>
      </w:pPr>
      <w:r>
        <w:rPr>
          <w:rFonts w:ascii="宋体" w:hAnsi="宋体" w:eastAsia="宋体" w:cs="宋体"/>
          <w:spacing w:val="17"/>
          <w:sz w:val="23"/>
          <w:szCs w:val="23"/>
        </w:rPr>
        <w:t>该</w:t>
      </w:r>
      <w:r>
        <w:rPr>
          <w:rFonts w:ascii="宋体" w:hAnsi="宋体" w:eastAsia="宋体" w:cs="宋体"/>
          <w:spacing w:val="9"/>
          <w:sz w:val="23"/>
          <w:szCs w:val="23"/>
        </w:rPr>
        <w:t>项目营运期对周围环境会产生一定的影响，主要表现为以下几个方面：</w:t>
      </w:r>
    </w:p>
    <w:p w14:paraId="70A19D6C">
      <w:pPr>
        <w:spacing w:line="275" w:lineRule="auto"/>
        <w:rPr>
          <w:rFonts w:ascii="Arial"/>
          <w:sz w:val="21"/>
        </w:rPr>
      </w:pPr>
    </w:p>
    <w:p w14:paraId="7AFC2F8F">
      <w:pPr>
        <w:spacing w:before="76" w:line="389" w:lineRule="auto"/>
        <w:ind w:left="23" w:right="61" w:firstLine="479"/>
        <w:rPr>
          <w:rFonts w:ascii="宋体" w:hAnsi="宋体" w:eastAsia="宋体" w:cs="宋体"/>
          <w:sz w:val="23"/>
          <w:szCs w:val="23"/>
        </w:rPr>
      </w:pPr>
      <w:r>
        <w:rPr>
          <w:rFonts w:ascii="宋体" w:hAnsi="宋体" w:eastAsia="宋体" w:cs="宋体"/>
          <w:spacing w:val="7"/>
          <w:sz w:val="23"/>
          <w:szCs w:val="23"/>
        </w:rPr>
        <w:t>废气：该项目运营期大气污染物主要有洗字工序所用热风炉产生的烟气、</w:t>
      </w:r>
      <w:r>
        <w:rPr>
          <w:rFonts w:ascii="宋体" w:hAnsi="宋体" w:eastAsia="宋体" w:cs="宋体"/>
          <w:spacing w:val="3"/>
          <w:sz w:val="23"/>
          <w:szCs w:val="23"/>
        </w:rPr>
        <w:t>分</w:t>
      </w:r>
      <w:r>
        <w:rPr>
          <w:rFonts w:ascii="宋体" w:hAnsi="宋体" w:eastAsia="宋体" w:cs="宋体"/>
          <w:sz w:val="23"/>
          <w:szCs w:val="23"/>
        </w:rPr>
        <w:t xml:space="preserve"> </w:t>
      </w:r>
      <w:r>
        <w:rPr>
          <w:rFonts w:ascii="宋体" w:hAnsi="宋体" w:eastAsia="宋体" w:cs="宋体"/>
          <w:spacing w:val="9"/>
          <w:sz w:val="23"/>
          <w:szCs w:val="23"/>
        </w:rPr>
        <w:t xml:space="preserve">拣工序产生粉尘以及热熔、造粒工序产生挥发性有机物 (以非甲烷总烃计) </w:t>
      </w:r>
      <w:r>
        <w:rPr>
          <w:rFonts w:ascii="宋体" w:hAnsi="宋体" w:eastAsia="宋体" w:cs="宋体"/>
          <w:spacing w:val="7"/>
          <w:sz w:val="23"/>
          <w:szCs w:val="23"/>
        </w:rPr>
        <w:t>。</w:t>
      </w:r>
    </w:p>
    <w:p w14:paraId="54EBD16E">
      <w:pPr>
        <w:sectPr>
          <w:headerReference r:id="rId12" w:type="default"/>
          <w:footerReference r:id="rId13" w:type="default"/>
          <w:pgSz w:w="11906" w:h="16839"/>
          <w:pgMar w:top="1132" w:right="1738" w:bottom="899" w:left="1785" w:header="878" w:footer="739" w:gutter="0"/>
          <w:cols w:space="720" w:num="1"/>
        </w:sectPr>
      </w:pPr>
    </w:p>
    <w:p w14:paraId="75912523">
      <w:pPr>
        <w:spacing w:line="402" w:lineRule="auto"/>
        <w:rPr>
          <w:rFonts w:ascii="Arial"/>
          <w:sz w:val="21"/>
        </w:rPr>
      </w:pPr>
      <w:r>
        <w:pict>
          <v:shape id="_x0000_s1033" o:spid="_x0000_s1033" style="position:absolute;left:0pt;margin-left:90pt;margin-top:57.35pt;height:0.75pt;width:415.3pt;mso-position-horizontal-relative:page;mso-position-vertical-relative:page;z-index:251671552;mso-width-relative:page;mso-height-relative:page;" fillcolor="#000000" filled="t" stroked="f" coordsize="8305,15" o:allowincell="f" path="m0,0l8305,0,8305,14,0,14,0,0xe">
            <v:path/>
            <v:fill on="t" focussize="0,0"/>
            <v:stroke on="f"/>
            <v:imagedata o:title=""/>
            <o:lock v:ext="edit"/>
          </v:shape>
        </w:pict>
      </w:r>
    </w:p>
    <w:p w14:paraId="0CA1AF10">
      <w:pPr>
        <w:spacing w:before="75" w:line="388" w:lineRule="auto"/>
        <w:ind w:left="51" w:right="26" w:firstLine="480"/>
        <w:rPr>
          <w:rFonts w:ascii="宋体" w:hAnsi="宋体" w:eastAsia="宋体" w:cs="宋体"/>
          <w:sz w:val="23"/>
          <w:szCs w:val="23"/>
        </w:rPr>
      </w:pPr>
      <w:r>
        <w:rPr>
          <w:rFonts w:ascii="宋体" w:hAnsi="宋体" w:eastAsia="宋体" w:cs="宋体"/>
          <w:spacing w:val="7"/>
          <w:sz w:val="23"/>
          <w:szCs w:val="23"/>
        </w:rPr>
        <w:t>废水：该项目废水主要为生活污水以及生产废水，其中生产废水主要包括</w:t>
      </w:r>
      <w:r>
        <w:rPr>
          <w:rFonts w:ascii="宋体" w:hAnsi="宋体" w:eastAsia="宋体" w:cs="宋体"/>
          <w:spacing w:val="3"/>
          <w:sz w:val="23"/>
          <w:szCs w:val="23"/>
        </w:rPr>
        <w:t>破</w:t>
      </w:r>
      <w:r>
        <w:rPr>
          <w:rFonts w:ascii="宋体" w:hAnsi="宋体" w:eastAsia="宋体" w:cs="宋体"/>
          <w:sz w:val="23"/>
          <w:szCs w:val="23"/>
        </w:rPr>
        <w:t xml:space="preserve"> </w:t>
      </w:r>
      <w:r>
        <w:rPr>
          <w:rFonts w:ascii="宋体" w:hAnsi="宋体" w:eastAsia="宋体" w:cs="宋体"/>
          <w:spacing w:val="16"/>
          <w:sz w:val="23"/>
          <w:szCs w:val="23"/>
        </w:rPr>
        <w:t>碎工</w:t>
      </w:r>
      <w:r>
        <w:rPr>
          <w:rFonts w:ascii="宋体" w:hAnsi="宋体" w:eastAsia="宋体" w:cs="宋体"/>
          <w:spacing w:val="13"/>
          <w:sz w:val="23"/>
          <w:szCs w:val="23"/>
        </w:rPr>
        <w:t>序</w:t>
      </w:r>
      <w:r>
        <w:rPr>
          <w:rFonts w:ascii="宋体" w:hAnsi="宋体" w:eastAsia="宋体" w:cs="宋体"/>
          <w:spacing w:val="8"/>
          <w:sz w:val="23"/>
          <w:szCs w:val="23"/>
        </w:rPr>
        <w:t>产生的废水，原料初洗工序、洗字工序、二次清洗工序产生的清洗废水、</w:t>
      </w:r>
      <w:r>
        <w:rPr>
          <w:rFonts w:ascii="宋体" w:hAnsi="宋体" w:eastAsia="宋体" w:cs="宋体"/>
          <w:sz w:val="23"/>
          <w:szCs w:val="23"/>
        </w:rPr>
        <w:t xml:space="preserve"> </w:t>
      </w:r>
      <w:r>
        <w:rPr>
          <w:rFonts w:ascii="宋体" w:hAnsi="宋体" w:eastAsia="宋体" w:cs="宋体"/>
          <w:spacing w:val="9"/>
          <w:sz w:val="23"/>
          <w:szCs w:val="23"/>
        </w:rPr>
        <w:t>脱水工序产生的废水以及循环冷却废水</w:t>
      </w:r>
      <w:r>
        <w:rPr>
          <w:rFonts w:ascii="宋体" w:hAnsi="宋体" w:eastAsia="宋体" w:cs="宋体"/>
          <w:spacing w:val="8"/>
          <w:sz w:val="23"/>
          <w:szCs w:val="23"/>
        </w:rPr>
        <w:t>。</w:t>
      </w:r>
    </w:p>
    <w:p w14:paraId="3D8100F9">
      <w:pPr>
        <w:spacing w:before="135" w:line="228" w:lineRule="auto"/>
        <w:ind w:left="543"/>
        <w:rPr>
          <w:rFonts w:ascii="宋体" w:hAnsi="宋体" w:eastAsia="宋体" w:cs="宋体"/>
          <w:sz w:val="23"/>
          <w:szCs w:val="23"/>
        </w:rPr>
      </w:pPr>
      <w:r>
        <w:rPr>
          <w:rFonts w:ascii="宋体" w:hAnsi="宋体" w:eastAsia="宋体" w:cs="宋体"/>
          <w:spacing w:val="16"/>
          <w:sz w:val="23"/>
          <w:szCs w:val="23"/>
        </w:rPr>
        <w:t>噪</w:t>
      </w:r>
      <w:r>
        <w:rPr>
          <w:rFonts w:ascii="宋体" w:hAnsi="宋体" w:eastAsia="宋体" w:cs="宋体"/>
          <w:spacing w:val="11"/>
          <w:sz w:val="23"/>
          <w:szCs w:val="23"/>
        </w:rPr>
        <w:t>声</w:t>
      </w:r>
      <w:r>
        <w:rPr>
          <w:rFonts w:ascii="宋体" w:hAnsi="宋体" w:eastAsia="宋体" w:cs="宋体"/>
          <w:spacing w:val="8"/>
          <w:sz w:val="23"/>
          <w:szCs w:val="23"/>
        </w:rPr>
        <w:t>：主要为生产过程中各种设备产生的噪声。</w:t>
      </w:r>
    </w:p>
    <w:p w14:paraId="1CA899C3">
      <w:pPr>
        <w:spacing w:line="272" w:lineRule="auto"/>
        <w:rPr>
          <w:rFonts w:ascii="Arial"/>
          <w:sz w:val="21"/>
        </w:rPr>
      </w:pPr>
    </w:p>
    <w:p w14:paraId="3DA6FC89">
      <w:pPr>
        <w:spacing w:before="74" w:line="387" w:lineRule="auto"/>
        <w:ind w:left="52" w:right="80" w:firstLine="500"/>
        <w:rPr>
          <w:rFonts w:ascii="宋体" w:hAnsi="宋体" w:eastAsia="宋体" w:cs="宋体"/>
          <w:sz w:val="23"/>
          <w:szCs w:val="23"/>
        </w:rPr>
      </w:pPr>
      <w:r>
        <w:rPr>
          <w:rFonts w:ascii="宋体" w:hAnsi="宋体" w:eastAsia="宋体" w:cs="宋体"/>
          <w:spacing w:val="12"/>
          <w:sz w:val="23"/>
          <w:szCs w:val="23"/>
        </w:rPr>
        <w:t>固</w:t>
      </w:r>
      <w:r>
        <w:rPr>
          <w:rFonts w:ascii="宋体" w:hAnsi="宋体" w:eastAsia="宋体" w:cs="宋体"/>
          <w:spacing w:val="8"/>
          <w:sz w:val="23"/>
          <w:szCs w:val="23"/>
        </w:rPr>
        <w:t>废</w:t>
      </w:r>
      <w:r>
        <w:rPr>
          <w:rFonts w:ascii="宋体" w:hAnsi="宋体" w:eastAsia="宋体" w:cs="宋体"/>
          <w:spacing w:val="6"/>
          <w:sz w:val="23"/>
          <w:szCs w:val="23"/>
        </w:rPr>
        <w:t>：该项目固体废物主要为员工产生的生活垃圾、危险废物以及一般工业</w:t>
      </w:r>
      <w:r>
        <w:rPr>
          <w:rFonts w:ascii="宋体" w:hAnsi="宋体" w:eastAsia="宋体" w:cs="宋体"/>
          <w:sz w:val="23"/>
          <w:szCs w:val="23"/>
        </w:rPr>
        <w:t xml:space="preserve"> </w:t>
      </w:r>
      <w:r>
        <w:rPr>
          <w:rFonts w:ascii="宋体" w:hAnsi="宋体" w:eastAsia="宋体" w:cs="宋体"/>
          <w:spacing w:val="26"/>
          <w:sz w:val="23"/>
          <w:szCs w:val="23"/>
        </w:rPr>
        <w:t>固</w:t>
      </w:r>
      <w:r>
        <w:rPr>
          <w:rFonts w:ascii="宋体" w:hAnsi="宋体" w:eastAsia="宋体" w:cs="宋体"/>
          <w:spacing w:val="23"/>
          <w:sz w:val="23"/>
          <w:szCs w:val="23"/>
        </w:rPr>
        <w:t>体</w:t>
      </w:r>
      <w:r>
        <w:rPr>
          <w:rFonts w:ascii="宋体" w:hAnsi="宋体" w:eastAsia="宋体" w:cs="宋体"/>
          <w:spacing w:val="13"/>
          <w:sz w:val="23"/>
          <w:szCs w:val="23"/>
        </w:rPr>
        <w:t>废物，其中一般工业固体废物包括杂质、沉淀池污泥、废滤网、热风炉炉</w:t>
      </w:r>
      <w:r>
        <w:rPr>
          <w:rFonts w:ascii="宋体" w:hAnsi="宋体" w:eastAsia="宋体" w:cs="宋体"/>
          <w:sz w:val="23"/>
          <w:szCs w:val="23"/>
        </w:rPr>
        <w:t xml:space="preserve"> </w:t>
      </w:r>
      <w:r>
        <w:rPr>
          <w:rFonts w:ascii="宋体" w:hAnsi="宋体" w:eastAsia="宋体" w:cs="宋体"/>
          <w:spacing w:val="22"/>
          <w:sz w:val="23"/>
          <w:szCs w:val="23"/>
        </w:rPr>
        <w:t>渣</w:t>
      </w:r>
      <w:r>
        <w:rPr>
          <w:rFonts w:ascii="宋体" w:hAnsi="宋体" w:eastAsia="宋体" w:cs="宋体"/>
          <w:spacing w:val="18"/>
          <w:sz w:val="23"/>
          <w:szCs w:val="23"/>
        </w:rPr>
        <w:t>以</w:t>
      </w:r>
      <w:r>
        <w:rPr>
          <w:rFonts w:ascii="宋体" w:hAnsi="宋体" w:eastAsia="宋体" w:cs="宋体"/>
          <w:spacing w:val="11"/>
          <w:sz w:val="23"/>
          <w:szCs w:val="23"/>
        </w:rPr>
        <w:t xml:space="preserve">及除尘器收集的粉尘，危险废物主要为废活性炭、废 </w:t>
      </w:r>
      <w:r>
        <w:rPr>
          <w:rFonts w:ascii="Times New Roman" w:hAnsi="Times New Roman" w:eastAsia="Times New Roman" w:cs="Times New Roman"/>
          <w:sz w:val="23"/>
          <w:szCs w:val="23"/>
        </w:rPr>
        <w:t>uv</w:t>
      </w:r>
      <w:r>
        <w:rPr>
          <w:rFonts w:ascii="Times New Roman" w:hAnsi="Times New Roman" w:eastAsia="Times New Roman" w:cs="Times New Roman"/>
          <w:spacing w:val="11"/>
          <w:sz w:val="23"/>
          <w:szCs w:val="23"/>
        </w:rPr>
        <w:t xml:space="preserve"> </w:t>
      </w:r>
      <w:r>
        <w:rPr>
          <w:rFonts w:ascii="宋体" w:hAnsi="宋体" w:eastAsia="宋体" w:cs="宋体"/>
          <w:spacing w:val="11"/>
          <w:sz w:val="23"/>
          <w:szCs w:val="23"/>
        </w:rPr>
        <w:t>光解灯管。</w:t>
      </w:r>
    </w:p>
    <w:p w14:paraId="63730D60">
      <w:pPr>
        <w:spacing w:before="94" w:line="394" w:lineRule="auto"/>
        <w:ind w:left="53" w:right="80" w:firstLine="479"/>
        <w:rPr>
          <w:rFonts w:ascii="宋体" w:hAnsi="宋体" w:eastAsia="宋体" w:cs="宋体"/>
          <w:sz w:val="23"/>
          <w:szCs w:val="23"/>
        </w:rPr>
      </w:pPr>
      <w:r>
        <w:rPr>
          <w:rFonts w:ascii="宋体" w:hAnsi="宋体" w:eastAsia="宋体" w:cs="宋体"/>
          <w:spacing w:val="16"/>
          <w:sz w:val="23"/>
          <w:szCs w:val="23"/>
        </w:rPr>
        <w:t>通过</w:t>
      </w:r>
      <w:r>
        <w:rPr>
          <w:rFonts w:ascii="宋体" w:hAnsi="宋体" w:eastAsia="宋体" w:cs="宋体"/>
          <w:spacing w:val="8"/>
          <w:sz w:val="23"/>
          <w:szCs w:val="23"/>
        </w:rPr>
        <w:t xml:space="preserve">加强绿化、设置 </w:t>
      </w:r>
      <w:r>
        <w:rPr>
          <w:rFonts w:ascii="Times New Roman" w:hAnsi="Times New Roman" w:eastAsia="Times New Roman" w:cs="Times New Roman"/>
          <w:sz w:val="23"/>
          <w:szCs w:val="23"/>
        </w:rPr>
        <w:t>UV</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光氧催化废气处理装置</w:t>
      </w:r>
      <w:r>
        <w:rPr>
          <w:rFonts w:ascii="Times New Roman" w:hAnsi="Times New Roman" w:eastAsia="Times New Roman" w:cs="Times New Roman"/>
          <w:spacing w:val="8"/>
          <w:sz w:val="23"/>
          <w:szCs w:val="23"/>
        </w:rPr>
        <w:t>+</w:t>
      </w:r>
      <w:r>
        <w:rPr>
          <w:rFonts w:ascii="宋体" w:hAnsi="宋体" w:eastAsia="宋体" w:cs="宋体"/>
          <w:spacing w:val="8"/>
          <w:sz w:val="23"/>
          <w:szCs w:val="23"/>
        </w:rPr>
        <w:t>活性炭吸附装置、布袋除</w:t>
      </w:r>
      <w:r>
        <w:rPr>
          <w:rFonts w:ascii="宋体" w:hAnsi="宋体" w:eastAsia="宋体" w:cs="宋体"/>
          <w:sz w:val="23"/>
          <w:szCs w:val="23"/>
        </w:rPr>
        <w:t xml:space="preserve"> </w:t>
      </w:r>
      <w:r>
        <w:rPr>
          <w:rFonts w:ascii="宋体" w:hAnsi="宋体" w:eastAsia="宋体" w:cs="宋体"/>
          <w:spacing w:val="8"/>
          <w:sz w:val="23"/>
          <w:szCs w:val="23"/>
        </w:rPr>
        <w:t>尘</w:t>
      </w:r>
      <w:r>
        <w:rPr>
          <w:rFonts w:ascii="宋体" w:hAnsi="宋体" w:eastAsia="宋体" w:cs="宋体"/>
          <w:spacing w:val="7"/>
          <w:sz w:val="23"/>
          <w:szCs w:val="23"/>
        </w:rPr>
        <w:t>器、排气筒、一体化污水预处理设备、三级沉淀池、隔声等措施后，运营期环</w:t>
      </w:r>
      <w:r>
        <w:rPr>
          <w:rFonts w:ascii="宋体" w:hAnsi="宋体" w:eastAsia="宋体" w:cs="宋体"/>
          <w:sz w:val="23"/>
          <w:szCs w:val="23"/>
        </w:rPr>
        <w:t xml:space="preserve"> </w:t>
      </w:r>
      <w:r>
        <w:rPr>
          <w:rFonts w:ascii="宋体" w:hAnsi="宋体" w:eastAsia="宋体" w:cs="宋体"/>
          <w:spacing w:val="15"/>
          <w:sz w:val="23"/>
          <w:szCs w:val="23"/>
        </w:rPr>
        <w:t>境</w:t>
      </w:r>
      <w:r>
        <w:rPr>
          <w:rFonts w:ascii="宋体" w:hAnsi="宋体" w:eastAsia="宋体" w:cs="宋体"/>
          <w:spacing w:val="8"/>
          <w:sz w:val="23"/>
          <w:szCs w:val="23"/>
        </w:rPr>
        <w:t>影响可得到有效控制和减缓。</w:t>
      </w:r>
    </w:p>
    <w:p w14:paraId="38AD2A7C">
      <w:pPr>
        <w:spacing w:before="88" w:line="225" w:lineRule="auto"/>
        <w:ind w:left="64"/>
        <w:outlineLvl w:val="1"/>
        <w:rPr>
          <w:rFonts w:ascii="宋体" w:hAnsi="宋体" w:eastAsia="宋体" w:cs="宋体"/>
          <w:sz w:val="31"/>
          <w:szCs w:val="31"/>
        </w:rPr>
      </w:pPr>
      <w:bookmarkStart w:id="4" w:name="_bookmark5"/>
      <w:bookmarkEnd w:id="4"/>
      <w:r>
        <w:rPr>
          <w:rFonts w:ascii="Times New Roman" w:hAnsi="Times New Roman" w:eastAsia="Times New Roman" w:cs="Times New Roman"/>
          <w:b/>
          <w:bCs/>
          <w:spacing w:val="11"/>
          <w:sz w:val="31"/>
          <w:szCs w:val="31"/>
        </w:rPr>
        <w:t>1</w:t>
      </w:r>
      <w:r>
        <w:rPr>
          <w:rFonts w:ascii="Times New Roman" w:hAnsi="Times New Roman" w:eastAsia="Times New Roman" w:cs="Times New Roman"/>
          <w:b/>
          <w:bCs/>
          <w:spacing w:val="6"/>
          <w:sz w:val="31"/>
          <w:szCs w:val="31"/>
        </w:rPr>
        <w:t>.4</w:t>
      </w:r>
      <w:r>
        <w:rPr>
          <w:rFonts w:ascii="Times New Roman" w:hAnsi="Times New Roman" w:eastAsia="Times New Roman" w:cs="Times New Roman"/>
          <w:spacing w:val="6"/>
          <w:sz w:val="31"/>
          <w:szCs w:val="31"/>
        </w:rPr>
        <w:t xml:space="preserve">  </w:t>
      </w:r>
      <w:r>
        <w:rPr>
          <w:rFonts w:ascii="宋体" w:hAnsi="宋体" w:eastAsia="宋体" w:cs="宋体"/>
          <w:spacing w:val="6"/>
          <w:sz w:val="31"/>
          <w:szCs w:val="31"/>
          <w14:textOutline w14:w="5793" w14:cap="sq" w14:cmpd="sng">
            <w14:solidFill>
              <w14:srgbClr w14:val="000000"/>
            </w14:solidFill>
            <w14:prstDash w14:val="solid"/>
            <w14:bevel/>
          </w14:textOutline>
        </w:rPr>
        <w:t>分析判定相关情况</w:t>
      </w:r>
    </w:p>
    <w:p w14:paraId="6660D9D1">
      <w:pPr>
        <w:spacing w:before="268" w:line="226" w:lineRule="auto"/>
        <w:ind w:left="62"/>
        <w:outlineLvl w:val="2"/>
        <w:rPr>
          <w:rFonts w:ascii="宋体" w:hAnsi="宋体" w:eastAsia="宋体" w:cs="宋体"/>
          <w:sz w:val="29"/>
          <w:szCs w:val="29"/>
        </w:rPr>
      </w:pPr>
      <w:r>
        <w:rPr>
          <w:rFonts w:ascii="Times New Roman" w:hAnsi="Times New Roman" w:eastAsia="Times New Roman" w:cs="Times New Roman"/>
          <w:b/>
          <w:bCs/>
          <w:spacing w:val="12"/>
          <w:sz w:val="29"/>
          <w:szCs w:val="29"/>
        </w:rPr>
        <w:t>1</w:t>
      </w:r>
      <w:r>
        <w:rPr>
          <w:rFonts w:ascii="Times New Roman" w:hAnsi="Times New Roman" w:eastAsia="Times New Roman" w:cs="Times New Roman"/>
          <w:b/>
          <w:bCs/>
          <w:spacing w:val="7"/>
          <w:sz w:val="29"/>
          <w:szCs w:val="29"/>
        </w:rPr>
        <w:t>.</w:t>
      </w:r>
      <w:r>
        <w:rPr>
          <w:rFonts w:ascii="Times New Roman" w:hAnsi="Times New Roman" w:eastAsia="Times New Roman" w:cs="Times New Roman"/>
          <w:b/>
          <w:bCs/>
          <w:spacing w:val="6"/>
          <w:sz w:val="29"/>
          <w:szCs w:val="29"/>
        </w:rPr>
        <w:t>4.1</w:t>
      </w:r>
      <w:r>
        <w:rPr>
          <w:rFonts w:ascii="Times New Roman" w:hAnsi="Times New Roman" w:eastAsia="Times New Roman" w:cs="Times New Roman"/>
          <w:spacing w:val="6"/>
          <w:sz w:val="29"/>
          <w:szCs w:val="29"/>
        </w:rPr>
        <w:t xml:space="preserve">  </w:t>
      </w:r>
      <w:r>
        <w:rPr>
          <w:rFonts w:ascii="宋体" w:hAnsi="宋体" w:eastAsia="宋体" w:cs="宋体"/>
          <w:spacing w:val="6"/>
          <w:sz w:val="29"/>
          <w:szCs w:val="29"/>
          <w14:textOutline w14:w="5448" w14:cap="sq" w14:cmpd="sng">
            <w14:solidFill>
              <w14:srgbClr w14:val="000000"/>
            </w14:solidFill>
            <w14:prstDash w14:val="solid"/>
            <w14:bevel/>
          </w14:textOutline>
        </w:rPr>
        <w:t>产业政策符合性分析</w:t>
      </w:r>
    </w:p>
    <w:p w14:paraId="39C855BF">
      <w:pPr>
        <w:spacing w:line="249" w:lineRule="auto"/>
        <w:rPr>
          <w:rFonts w:ascii="Arial"/>
          <w:sz w:val="21"/>
        </w:rPr>
      </w:pPr>
    </w:p>
    <w:p w14:paraId="44D75898">
      <w:pPr>
        <w:spacing w:before="75" w:line="386" w:lineRule="auto"/>
        <w:ind w:left="53" w:right="77" w:firstLine="479"/>
        <w:rPr>
          <w:rFonts w:ascii="宋体" w:hAnsi="宋体" w:eastAsia="宋体" w:cs="宋体"/>
          <w:sz w:val="23"/>
          <w:szCs w:val="23"/>
        </w:rPr>
      </w:pPr>
      <w:r>
        <w:rPr>
          <w:rFonts w:ascii="宋体" w:hAnsi="宋体" w:eastAsia="宋体" w:cs="宋体"/>
          <w:spacing w:val="10"/>
          <w:sz w:val="23"/>
          <w:szCs w:val="23"/>
        </w:rPr>
        <w:t>根据《</w:t>
      </w:r>
      <w:r>
        <w:rPr>
          <w:rFonts w:ascii="宋体" w:hAnsi="宋体" w:eastAsia="宋体" w:cs="宋体"/>
          <w:spacing w:val="7"/>
          <w:sz w:val="23"/>
          <w:szCs w:val="23"/>
        </w:rPr>
        <w:t>产</w:t>
      </w:r>
      <w:r>
        <w:rPr>
          <w:rFonts w:ascii="宋体" w:hAnsi="宋体" w:eastAsia="宋体" w:cs="宋体"/>
          <w:spacing w:val="5"/>
          <w:sz w:val="23"/>
          <w:szCs w:val="23"/>
        </w:rPr>
        <w:t>业结构调整指导目录 (</w:t>
      </w:r>
      <w:r>
        <w:rPr>
          <w:rFonts w:ascii="Times New Roman" w:hAnsi="Times New Roman" w:eastAsia="Times New Roman" w:cs="Times New Roman"/>
          <w:spacing w:val="5"/>
          <w:sz w:val="23"/>
          <w:szCs w:val="23"/>
        </w:rPr>
        <w:t xml:space="preserve">2011 </w:t>
      </w:r>
      <w:r>
        <w:rPr>
          <w:rFonts w:ascii="宋体" w:hAnsi="宋体" w:eastAsia="宋体" w:cs="宋体"/>
          <w:spacing w:val="5"/>
          <w:sz w:val="23"/>
          <w:szCs w:val="23"/>
        </w:rPr>
        <w:t>年本，</w:t>
      </w:r>
      <w:r>
        <w:rPr>
          <w:rFonts w:ascii="Times New Roman" w:hAnsi="Times New Roman" w:eastAsia="Times New Roman" w:cs="Times New Roman"/>
          <w:spacing w:val="5"/>
          <w:sz w:val="23"/>
          <w:szCs w:val="23"/>
        </w:rPr>
        <w:t xml:space="preserve">2016 </w:t>
      </w:r>
      <w:r>
        <w:rPr>
          <w:rFonts w:ascii="宋体" w:hAnsi="宋体" w:eastAsia="宋体" w:cs="宋体"/>
          <w:spacing w:val="5"/>
          <w:sz w:val="23"/>
          <w:szCs w:val="23"/>
        </w:rPr>
        <w:t>年修订) 》  (中华人民共</w:t>
      </w:r>
      <w:r>
        <w:rPr>
          <w:rFonts w:ascii="宋体" w:hAnsi="宋体" w:eastAsia="宋体" w:cs="宋体"/>
          <w:sz w:val="23"/>
          <w:szCs w:val="23"/>
        </w:rPr>
        <w:t xml:space="preserve"> </w:t>
      </w:r>
      <w:r>
        <w:rPr>
          <w:rFonts w:ascii="宋体" w:hAnsi="宋体" w:eastAsia="宋体" w:cs="宋体"/>
          <w:spacing w:val="10"/>
          <w:sz w:val="23"/>
          <w:szCs w:val="23"/>
        </w:rPr>
        <w:t>和国国</w:t>
      </w:r>
      <w:r>
        <w:rPr>
          <w:rFonts w:ascii="宋体" w:hAnsi="宋体" w:eastAsia="宋体" w:cs="宋体"/>
          <w:spacing w:val="8"/>
          <w:sz w:val="23"/>
          <w:szCs w:val="23"/>
        </w:rPr>
        <w:t>家</w:t>
      </w:r>
      <w:r>
        <w:rPr>
          <w:rFonts w:ascii="宋体" w:hAnsi="宋体" w:eastAsia="宋体" w:cs="宋体"/>
          <w:spacing w:val="5"/>
          <w:sz w:val="23"/>
          <w:szCs w:val="23"/>
        </w:rPr>
        <w:t xml:space="preserve">发展和改革委员会第 </w:t>
      </w:r>
      <w:r>
        <w:rPr>
          <w:rFonts w:ascii="Times New Roman" w:hAnsi="Times New Roman" w:eastAsia="Times New Roman" w:cs="Times New Roman"/>
          <w:spacing w:val="5"/>
          <w:sz w:val="23"/>
          <w:szCs w:val="23"/>
        </w:rPr>
        <w:t xml:space="preserve">36 </w:t>
      </w:r>
      <w:r>
        <w:rPr>
          <w:rFonts w:ascii="宋体" w:hAnsi="宋体" w:eastAsia="宋体" w:cs="宋体"/>
          <w:spacing w:val="5"/>
          <w:sz w:val="23"/>
          <w:szCs w:val="23"/>
        </w:rPr>
        <w:t>号令，</w:t>
      </w:r>
      <w:r>
        <w:rPr>
          <w:rFonts w:ascii="Times New Roman" w:hAnsi="Times New Roman" w:eastAsia="Times New Roman" w:cs="Times New Roman"/>
          <w:spacing w:val="5"/>
          <w:sz w:val="23"/>
          <w:szCs w:val="23"/>
        </w:rPr>
        <w:t xml:space="preserve">2016 </w:t>
      </w:r>
      <w:r>
        <w:rPr>
          <w:rFonts w:ascii="宋体" w:hAnsi="宋体" w:eastAsia="宋体" w:cs="宋体"/>
          <w:spacing w:val="5"/>
          <w:sz w:val="23"/>
          <w:szCs w:val="23"/>
        </w:rPr>
        <w:t xml:space="preserve">年 </w:t>
      </w:r>
      <w:r>
        <w:rPr>
          <w:rFonts w:ascii="Times New Roman" w:hAnsi="Times New Roman" w:eastAsia="Times New Roman" w:cs="Times New Roman"/>
          <w:spacing w:val="5"/>
          <w:sz w:val="23"/>
          <w:szCs w:val="23"/>
        </w:rPr>
        <w:t xml:space="preserve">3 </w:t>
      </w:r>
      <w:r>
        <w:rPr>
          <w:rFonts w:ascii="宋体" w:hAnsi="宋体" w:eastAsia="宋体" w:cs="宋体"/>
          <w:spacing w:val="5"/>
          <w:sz w:val="23"/>
          <w:szCs w:val="23"/>
        </w:rPr>
        <w:t xml:space="preserve">月 </w:t>
      </w:r>
      <w:r>
        <w:rPr>
          <w:rFonts w:ascii="Times New Roman" w:hAnsi="Times New Roman" w:eastAsia="Times New Roman" w:cs="Times New Roman"/>
          <w:spacing w:val="5"/>
          <w:sz w:val="23"/>
          <w:szCs w:val="23"/>
        </w:rPr>
        <w:t xml:space="preserve">25 </w:t>
      </w:r>
      <w:r>
        <w:rPr>
          <w:rFonts w:ascii="宋体" w:hAnsi="宋体" w:eastAsia="宋体" w:cs="宋体"/>
          <w:spacing w:val="5"/>
          <w:sz w:val="23"/>
          <w:szCs w:val="23"/>
        </w:rPr>
        <w:t>日) 中相关内容，该项</w:t>
      </w:r>
      <w:r>
        <w:rPr>
          <w:rFonts w:ascii="宋体" w:hAnsi="宋体" w:eastAsia="宋体" w:cs="宋体"/>
          <w:sz w:val="23"/>
          <w:szCs w:val="23"/>
        </w:rPr>
        <w:t xml:space="preserve"> </w:t>
      </w:r>
      <w:r>
        <w:rPr>
          <w:rFonts w:ascii="宋体" w:hAnsi="宋体" w:eastAsia="宋体" w:cs="宋体"/>
          <w:spacing w:val="9"/>
          <w:sz w:val="23"/>
          <w:szCs w:val="23"/>
        </w:rPr>
        <w:t>目属于</w:t>
      </w:r>
      <w:r>
        <w:rPr>
          <w:rFonts w:ascii="Times New Roman" w:hAnsi="Times New Roman" w:eastAsia="Times New Roman" w:cs="Times New Roman"/>
          <w:spacing w:val="9"/>
          <w:sz w:val="23"/>
          <w:szCs w:val="23"/>
        </w:rPr>
        <w:t>“</w:t>
      </w:r>
      <w:r>
        <w:rPr>
          <w:rFonts w:ascii="宋体" w:hAnsi="宋体" w:eastAsia="宋体" w:cs="宋体"/>
          <w:spacing w:val="9"/>
          <w:sz w:val="23"/>
          <w:szCs w:val="23"/>
        </w:rPr>
        <w:t>三十八、环境保护与资源节约综合利用产业</w:t>
      </w:r>
      <w:r>
        <w:rPr>
          <w:rFonts w:ascii="Times New Roman" w:hAnsi="Times New Roman" w:eastAsia="Times New Roman" w:cs="Times New Roman"/>
          <w:spacing w:val="9"/>
          <w:sz w:val="23"/>
          <w:szCs w:val="23"/>
        </w:rPr>
        <w:t>”</w:t>
      </w:r>
      <w:r>
        <w:rPr>
          <w:rFonts w:ascii="宋体" w:hAnsi="宋体" w:eastAsia="宋体" w:cs="宋体"/>
          <w:spacing w:val="9"/>
          <w:sz w:val="23"/>
          <w:szCs w:val="23"/>
        </w:rPr>
        <w:t>中的</w:t>
      </w:r>
      <w:r>
        <w:rPr>
          <w:rFonts w:ascii="Times New Roman" w:hAnsi="Times New Roman" w:eastAsia="Times New Roman" w:cs="Times New Roman"/>
          <w:spacing w:val="9"/>
          <w:sz w:val="23"/>
          <w:szCs w:val="23"/>
        </w:rPr>
        <w:t xml:space="preserve">“29 </w:t>
      </w:r>
      <w:r>
        <w:rPr>
          <w:rFonts w:ascii="宋体" w:hAnsi="宋体" w:eastAsia="宋体" w:cs="宋体"/>
          <w:spacing w:val="9"/>
          <w:sz w:val="23"/>
          <w:szCs w:val="23"/>
        </w:rPr>
        <w:t>、废旧电器电子产</w:t>
      </w:r>
      <w:r>
        <w:rPr>
          <w:rFonts w:ascii="宋体" w:hAnsi="宋体" w:eastAsia="宋体" w:cs="宋体"/>
          <w:sz w:val="23"/>
          <w:szCs w:val="23"/>
        </w:rPr>
        <w:t xml:space="preserve"> </w:t>
      </w:r>
      <w:r>
        <w:rPr>
          <w:rFonts w:ascii="宋体" w:hAnsi="宋体" w:eastAsia="宋体" w:cs="宋体"/>
          <w:spacing w:val="10"/>
          <w:sz w:val="23"/>
          <w:szCs w:val="23"/>
        </w:rPr>
        <w:t>品</w:t>
      </w:r>
      <w:r>
        <w:rPr>
          <w:rFonts w:ascii="宋体" w:hAnsi="宋体" w:eastAsia="宋体" w:cs="宋体"/>
          <w:spacing w:val="7"/>
          <w:sz w:val="23"/>
          <w:szCs w:val="23"/>
        </w:rPr>
        <w:t>、废印刷电路板、废旧电池、废旧船舶、废旧农机、废塑料、废橡胶、废弃油</w:t>
      </w:r>
      <w:r>
        <w:rPr>
          <w:rFonts w:ascii="宋体" w:hAnsi="宋体" w:eastAsia="宋体" w:cs="宋体"/>
          <w:sz w:val="23"/>
          <w:szCs w:val="23"/>
        </w:rPr>
        <w:t xml:space="preserve"> </w:t>
      </w:r>
      <w:r>
        <w:rPr>
          <w:rFonts w:ascii="宋体" w:hAnsi="宋体" w:eastAsia="宋体" w:cs="宋体"/>
          <w:spacing w:val="15"/>
          <w:sz w:val="23"/>
          <w:szCs w:val="23"/>
        </w:rPr>
        <w:t>脂</w:t>
      </w:r>
      <w:r>
        <w:rPr>
          <w:rFonts w:ascii="宋体" w:hAnsi="宋体" w:eastAsia="宋体" w:cs="宋体"/>
          <w:spacing w:val="9"/>
          <w:sz w:val="23"/>
          <w:szCs w:val="23"/>
        </w:rPr>
        <w:t>等再生资源循环利用</w:t>
      </w:r>
      <w:r>
        <w:rPr>
          <w:rFonts w:ascii="Times New Roman" w:hAnsi="Times New Roman" w:eastAsia="Times New Roman" w:cs="Times New Roman"/>
          <w:spacing w:val="9"/>
          <w:sz w:val="23"/>
          <w:szCs w:val="23"/>
        </w:rPr>
        <w:t>”</w:t>
      </w:r>
      <w:r>
        <w:rPr>
          <w:rFonts w:ascii="宋体" w:hAnsi="宋体" w:eastAsia="宋体" w:cs="宋体"/>
          <w:spacing w:val="9"/>
          <w:sz w:val="23"/>
          <w:szCs w:val="23"/>
        </w:rPr>
        <w:t>项目，为鼓励类项目，符合国家的相关产业政策。</w:t>
      </w:r>
    </w:p>
    <w:p w14:paraId="4456B1BA">
      <w:pPr>
        <w:spacing w:before="135" w:line="388" w:lineRule="auto"/>
        <w:ind w:firstLine="532"/>
        <w:rPr>
          <w:rFonts w:ascii="宋体" w:hAnsi="宋体" w:eastAsia="宋体" w:cs="宋体"/>
          <w:sz w:val="23"/>
          <w:szCs w:val="23"/>
        </w:rPr>
      </w:pPr>
      <w:r>
        <w:rPr>
          <w:rFonts w:ascii="宋体" w:hAnsi="宋体" w:eastAsia="宋体" w:cs="宋体"/>
          <w:spacing w:val="8"/>
          <w:sz w:val="23"/>
          <w:szCs w:val="23"/>
        </w:rPr>
        <w:t>根</w:t>
      </w:r>
      <w:r>
        <w:rPr>
          <w:rFonts w:ascii="宋体" w:hAnsi="宋体" w:eastAsia="宋体" w:cs="宋体"/>
          <w:spacing w:val="7"/>
          <w:sz w:val="23"/>
          <w:szCs w:val="23"/>
        </w:rPr>
        <w:t>据</w:t>
      </w:r>
      <w:r>
        <w:rPr>
          <w:rFonts w:ascii="宋体" w:hAnsi="宋体" w:eastAsia="宋体" w:cs="宋体"/>
          <w:spacing w:val="4"/>
          <w:sz w:val="23"/>
          <w:szCs w:val="23"/>
        </w:rPr>
        <w:t>《辽宁省产业发展指导目录 (</w:t>
      </w:r>
      <w:r>
        <w:rPr>
          <w:rFonts w:ascii="Times New Roman" w:hAnsi="Times New Roman" w:eastAsia="Times New Roman" w:cs="Times New Roman"/>
          <w:spacing w:val="4"/>
          <w:sz w:val="23"/>
          <w:szCs w:val="23"/>
        </w:rPr>
        <w:t xml:space="preserve">2008 </w:t>
      </w:r>
      <w:r>
        <w:rPr>
          <w:rFonts w:ascii="宋体" w:hAnsi="宋体" w:eastAsia="宋体" w:cs="宋体"/>
          <w:spacing w:val="4"/>
          <w:sz w:val="23"/>
          <w:szCs w:val="23"/>
        </w:rPr>
        <w:t>年本) 》 (辽宁省经济委员会，</w:t>
      </w:r>
      <w:r>
        <w:rPr>
          <w:rFonts w:ascii="Times New Roman" w:hAnsi="Times New Roman" w:eastAsia="Times New Roman" w:cs="Times New Roman"/>
          <w:spacing w:val="4"/>
          <w:sz w:val="23"/>
          <w:szCs w:val="23"/>
        </w:rPr>
        <w:t>2008</w:t>
      </w:r>
      <w:r>
        <w:rPr>
          <w:rFonts w:ascii="Times New Roman" w:hAnsi="Times New Roman" w:eastAsia="Times New Roman" w:cs="Times New Roman"/>
          <w:sz w:val="23"/>
          <w:szCs w:val="23"/>
        </w:rPr>
        <w:t xml:space="preserve"> </w:t>
      </w:r>
      <w:r>
        <w:rPr>
          <w:rFonts w:ascii="宋体" w:hAnsi="宋体" w:eastAsia="宋体" w:cs="宋体"/>
          <w:spacing w:val="8"/>
          <w:sz w:val="23"/>
          <w:szCs w:val="23"/>
        </w:rPr>
        <w:t xml:space="preserve">年 </w:t>
      </w:r>
      <w:r>
        <w:rPr>
          <w:rFonts w:ascii="Times New Roman" w:hAnsi="Times New Roman" w:eastAsia="Times New Roman" w:cs="Times New Roman"/>
          <w:spacing w:val="8"/>
          <w:sz w:val="23"/>
          <w:szCs w:val="23"/>
        </w:rPr>
        <w:t>1</w:t>
      </w:r>
      <w:r>
        <w:rPr>
          <w:rFonts w:ascii="Times New Roman" w:hAnsi="Times New Roman" w:eastAsia="Times New Roman" w:cs="Times New Roman"/>
          <w:spacing w:val="4"/>
          <w:sz w:val="23"/>
          <w:szCs w:val="23"/>
        </w:rPr>
        <w:t xml:space="preserve">2 </w:t>
      </w:r>
      <w:r>
        <w:rPr>
          <w:rFonts w:ascii="宋体" w:hAnsi="宋体" w:eastAsia="宋体" w:cs="宋体"/>
          <w:spacing w:val="4"/>
          <w:sz w:val="23"/>
          <w:szCs w:val="23"/>
        </w:rPr>
        <w:t xml:space="preserve">月 </w:t>
      </w:r>
      <w:r>
        <w:rPr>
          <w:rFonts w:ascii="Times New Roman" w:hAnsi="Times New Roman" w:eastAsia="Times New Roman" w:cs="Times New Roman"/>
          <w:spacing w:val="4"/>
          <w:sz w:val="23"/>
          <w:szCs w:val="23"/>
        </w:rPr>
        <w:t xml:space="preserve">18 </w:t>
      </w:r>
      <w:r>
        <w:rPr>
          <w:rFonts w:ascii="宋体" w:hAnsi="宋体" w:eastAsia="宋体" w:cs="宋体"/>
          <w:spacing w:val="4"/>
          <w:sz w:val="23"/>
          <w:szCs w:val="23"/>
        </w:rPr>
        <w:t>日) ，该项目属于</w:t>
      </w:r>
      <w:r>
        <w:rPr>
          <w:rFonts w:ascii="Times New Roman" w:hAnsi="Times New Roman" w:eastAsia="Times New Roman" w:cs="Times New Roman"/>
          <w:spacing w:val="4"/>
          <w:sz w:val="23"/>
          <w:szCs w:val="23"/>
        </w:rPr>
        <w:t>“</w:t>
      </w:r>
      <w:r>
        <w:rPr>
          <w:rFonts w:ascii="宋体" w:hAnsi="宋体" w:eastAsia="宋体" w:cs="宋体"/>
          <w:spacing w:val="4"/>
          <w:sz w:val="23"/>
          <w:szCs w:val="23"/>
        </w:rPr>
        <w:t>第十二类环境保护与资源节约综合利用</w:t>
      </w:r>
      <w:r>
        <w:rPr>
          <w:rFonts w:ascii="Times New Roman" w:hAnsi="Times New Roman" w:eastAsia="Times New Roman" w:cs="Times New Roman"/>
          <w:spacing w:val="4"/>
          <w:sz w:val="23"/>
          <w:szCs w:val="23"/>
        </w:rPr>
        <w:t>”</w:t>
      </w:r>
      <w:r>
        <w:rPr>
          <w:rFonts w:ascii="宋体" w:hAnsi="宋体" w:eastAsia="宋体" w:cs="宋体"/>
          <w:spacing w:val="4"/>
          <w:sz w:val="23"/>
          <w:szCs w:val="23"/>
        </w:rPr>
        <w:t>中的</w:t>
      </w:r>
      <w:r>
        <w:rPr>
          <w:rFonts w:ascii="Times New Roman" w:hAnsi="Times New Roman" w:eastAsia="Times New Roman" w:cs="Times New Roman"/>
          <w:spacing w:val="4"/>
          <w:sz w:val="23"/>
          <w:szCs w:val="23"/>
        </w:rPr>
        <w:t>“32</w:t>
      </w:r>
      <w:r>
        <w:rPr>
          <w:rFonts w:ascii="宋体" w:hAnsi="宋体" w:eastAsia="宋体" w:cs="宋体"/>
          <w:spacing w:val="4"/>
          <w:sz w:val="23"/>
          <w:szCs w:val="23"/>
        </w:rPr>
        <w:t>、</w:t>
      </w:r>
      <w:r>
        <w:rPr>
          <w:rFonts w:ascii="宋体" w:hAnsi="宋体" w:eastAsia="宋体" w:cs="宋体"/>
          <w:sz w:val="23"/>
          <w:szCs w:val="23"/>
        </w:rPr>
        <w:t xml:space="preserve"> </w:t>
      </w:r>
      <w:r>
        <w:rPr>
          <w:rFonts w:ascii="Times New Roman" w:hAnsi="Times New Roman" w:eastAsia="Times New Roman" w:cs="Times New Roman"/>
          <w:spacing w:val="20"/>
          <w:sz w:val="23"/>
          <w:szCs w:val="23"/>
        </w:rPr>
        <w:t>“</w:t>
      </w:r>
      <w:r>
        <w:rPr>
          <w:rFonts w:ascii="宋体" w:hAnsi="宋体" w:eastAsia="宋体" w:cs="宋体"/>
          <w:spacing w:val="16"/>
          <w:sz w:val="23"/>
          <w:szCs w:val="23"/>
        </w:rPr>
        <w:t>三</w:t>
      </w:r>
      <w:r>
        <w:rPr>
          <w:rFonts w:ascii="宋体" w:hAnsi="宋体" w:eastAsia="宋体" w:cs="宋体"/>
          <w:spacing w:val="10"/>
          <w:sz w:val="23"/>
          <w:szCs w:val="23"/>
        </w:rPr>
        <w:t>废</w:t>
      </w:r>
      <w:r>
        <w:rPr>
          <w:rFonts w:ascii="Times New Roman" w:hAnsi="Times New Roman" w:eastAsia="Times New Roman" w:cs="Times New Roman"/>
          <w:spacing w:val="10"/>
          <w:sz w:val="23"/>
          <w:szCs w:val="23"/>
        </w:rPr>
        <w:t>”</w:t>
      </w:r>
      <w:r>
        <w:rPr>
          <w:rFonts w:ascii="宋体" w:hAnsi="宋体" w:eastAsia="宋体" w:cs="宋体"/>
          <w:spacing w:val="10"/>
          <w:sz w:val="23"/>
          <w:szCs w:val="23"/>
        </w:rPr>
        <w:t>综合利用及治理工程</w:t>
      </w:r>
      <w:r>
        <w:rPr>
          <w:rFonts w:ascii="Times New Roman" w:hAnsi="Times New Roman" w:eastAsia="Times New Roman" w:cs="Times New Roman"/>
          <w:spacing w:val="10"/>
          <w:sz w:val="23"/>
          <w:szCs w:val="23"/>
        </w:rPr>
        <w:t>”</w:t>
      </w:r>
      <w:r>
        <w:rPr>
          <w:rFonts w:ascii="宋体" w:hAnsi="宋体" w:eastAsia="宋体" w:cs="宋体"/>
          <w:spacing w:val="10"/>
          <w:sz w:val="23"/>
          <w:szCs w:val="23"/>
        </w:rPr>
        <w:t>项目，为鼓励类项目，符合辽宁省产业政策。</w:t>
      </w:r>
    </w:p>
    <w:p w14:paraId="0CCF5AE9">
      <w:pPr>
        <w:spacing w:before="138" w:line="393" w:lineRule="auto"/>
        <w:ind w:left="50" w:right="80" w:firstLine="482"/>
        <w:rPr>
          <w:rFonts w:ascii="宋体" w:hAnsi="宋体" w:eastAsia="宋体" w:cs="宋体"/>
          <w:sz w:val="23"/>
          <w:szCs w:val="23"/>
        </w:rPr>
      </w:pPr>
      <w:r>
        <w:rPr>
          <w:rFonts w:ascii="宋体" w:hAnsi="宋体" w:eastAsia="宋体" w:cs="宋体"/>
          <w:spacing w:val="13"/>
          <w:sz w:val="23"/>
          <w:szCs w:val="23"/>
        </w:rPr>
        <w:t>本</w:t>
      </w:r>
      <w:r>
        <w:rPr>
          <w:rFonts w:ascii="宋体" w:hAnsi="宋体" w:eastAsia="宋体" w:cs="宋体"/>
          <w:spacing w:val="11"/>
          <w:sz w:val="23"/>
          <w:szCs w:val="23"/>
        </w:rPr>
        <w:t>溪市溪湖区发展和改革局以溪发改备【</w:t>
      </w:r>
      <w:r>
        <w:rPr>
          <w:rFonts w:ascii="Times New Roman" w:hAnsi="Times New Roman" w:eastAsia="Times New Roman" w:cs="Times New Roman"/>
          <w:spacing w:val="11"/>
          <w:sz w:val="23"/>
          <w:szCs w:val="23"/>
        </w:rPr>
        <w:t>2019</w:t>
      </w:r>
      <w:r>
        <w:rPr>
          <w:rFonts w:ascii="宋体" w:hAnsi="宋体" w:eastAsia="宋体" w:cs="宋体"/>
          <w:spacing w:val="11"/>
          <w:sz w:val="23"/>
          <w:szCs w:val="23"/>
        </w:rPr>
        <w:t>】</w:t>
      </w:r>
      <w:r>
        <w:rPr>
          <w:rFonts w:ascii="Times New Roman" w:hAnsi="Times New Roman" w:eastAsia="Times New Roman" w:cs="Times New Roman"/>
          <w:spacing w:val="11"/>
          <w:sz w:val="23"/>
          <w:szCs w:val="23"/>
        </w:rPr>
        <w:t xml:space="preserve">42 </w:t>
      </w:r>
      <w:r>
        <w:rPr>
          <w:rFonts w:ascii="宋体" w:hAnsi="宋体" w:eastAsia="宋体" w:cs="宋体"/>
          <w:spacing w:val="11"/>
          <w:sz w:val="23"/>
          <w:szCs w:val="23"/>
        </w:rPr>
        <w:t>号文件对该项目的建设</w:t>
      </w:r>
      <w:r>
        <w:rPr>
          <w:rFonts w:ascii="宋体" w:hAnsi="宋体" w:eastAsia="宋体" w:cs="宋体"/>
          <w:sz w:val="23"/>
          <w:szCs w:val="23"/>
        </w:rPr>
        <w:t xml:space="preserve"> </w:t>
      </w:r>
      <w:r>
        <w:rPr>
          <w:rFonts w:ascii="宋体" w:hAnsi="宋体" w:eastAsia="宋体" w:cs="宋体"/>
          <w:spacing w:val="8"/>
          <w:sz w:val="23"/>
          <w:szCs w:val="23"/>
        </w:rPr>
        <w:t>进</w:t>
      </w:r>
      <w:r>
        <w:rPr>
          <w:rFonts w:ascii="宋体" w:hAnsi="宋体" w:eastAsia="宋体" w:cs="宋体"/>
          <w:spacing w:val="7"/>
          <w:sz w:val="23"/>
          <w:szCs w:val="23"/>
        </w:rPr>
        <w:t>行</w:t>
      </w:r>
      <w:r>
        <w:rPr>
          <w:rFonts w:ascii="宋体" w:hAnsi="宋体" w:eastAsia="宋体" w:cs="宋体"/>
          <w:spacing w:val="4"/>
          <w:sz w:val="23"/>
          <w:szCs w:val="23"/>
        </w:rPr>
        <w:t xml:space="preserve">了备案确认 (文件见附件 </w:t>
      </w:r>
      <w:r>
        <w:rPr>
          <w:rFonts w:ascii="Times New Roman" w:hAnsi="Times New Roman" w:eastAsia="Times New Roman" w:cs="Times New Roman"/>
          <w:spacing w:val="4"/>
          <w:sz w:val="23"/>
          <w:szCs w:val="23"/>
        </w:rPr>
        <w:t>4</w:t>
      </w:r>
      <w:r>
        <w:rPr>
          <w:rFonts w:ascii="宋体" w:hAnsi="宋体" w:eastAsia="宋体" w:cs="宋体"/>
          <w:spacing w:val="4"/>
          <w:sz w:val="23"/>
          <w:szCs w:val="23"/>
        </w:rPr>
        <w:t>) 。</w:t>
      </w:r>
    </w:p>
    <w:p w14:paraId="7C511D4A">
      <w:pPr>
        <w:spacing w:before="81" w:line="226" w:lineRule="auto"/>
        <w:ind w:left="62"/>
        <w:outlineLvl w:val="2"/>
        <w:rPr>
          <w:rFonts w:ascii="宋体" w:hAnsi="宋体" w:eastAsia="宋体" w:cs="宋体"/>
          <w:sz w:val="29"/>
          <w:szCs w:val="29"/>
        </w:rPr>
      </w:pPr>
      <w:r>
        <w:rPr>
          <w:rFonts w:ascii="Times New Roman" w:hAnsi="Times New Roman" w:eastAsia="Times New Roman" w:cs="Times New Roman"/>
          <w:b/>
          <w:bCs/>
          <w:spacing w:val="12"/>
          <w:sz w:val="29"/>
          <w:szCs w:val="29"/>
        </w:rPr>
        <w:t>1</w:t>
      </w:r>
      <w:r>
        <w:rPr>
          <w:rFonts w:ascii="Times New Roman" w:hAnsi="Times New Roman" w:eastAsia="Times New Roman" w:cs="Times New Roman"/>
          <w:b/>
          <w:bCs/>
          <w:spacing w:val="7"/>
          <w:sz w:val="29"/>
          <w:szCs w:val="29"/>
        </w:rPr>
        <w:t>.</w:t>
      </w:r>
      <w:r>
        <w:rPr>
          <w:rFonts w:ascii="Times New Roman" w:hAnsi="Times New Roman" w:eastAsia="Times New Roman" w:cs="Times New Roman"/>
          <w:b/>
          <w:bCs/>
          <w:spacing w:val="6"/>
          <w:sz w:val="29"/>
          <w:szCs w:val="29"/>
        </w:rPr>
        <w:t>4.2</w:t>
      </w:r>
      <w:r>
        <w:rPr>
          <w:rFonts w:ascii="Times New Roman" w:hAnsi="Times New Roman" w:eastAsia="Times New Roman" w:cs="Times New Roman"/>
          <w:spacing w:val="6"/>
          <w:sz w:val="29"/>
          <w:szCs w:val="29"/>
        </w:rPr>
        <w:t xml:space="preserve">  </w:t>
      </w:r>
      <w:r>
        <w:rPr>
          <w:rFonts w:ascii="宋体" w:hAnsi="宋体" w:eastAsia="宋体" w:cs="宋体"/>
          <w:spacing w:val="6"/>
          <w:sz w:val="29"/>
          <w:szCs w:val="29"/>
          <w14:textOutline w14:w="5448" w14:cap="sq" w14:cmpd="sng">
            <w14:solidFill>
              <w14:srgbClr w14:val="000000"/>
            </w14:solidFill>
            <w14:prstDash w14:val="solid"/>
            <w14:bevel/>
          </w14:textOutline>
        </w:rPr>
        <w:t>行业规范相符性分析</w:t>
      </w:r>
    </w:p>
    <w:p w14:paraId="7310312B">
      <w:pPr>
        <w:spacing w:before="293" w:line="222" w:lineRule="auto"/>
        <w:ind w:left="61"/>
        <w:outlineLvl w:val="3"/>
        <w:rPr>
          <w:rFonts w:ascii="宋体" w:hAnsi="宋体" w:eastAsia="宋体" w:cs="宋体"/>
          <w:sz w:val="28"/>
          <w:szCs w:val="28"/>
        </w:rPr>
      </w:pPr>
      <w:r>
        <w:rPr>
          <w:rFonts w:ascii="Times New Roman" w:hAnsi="Times New Roman" w:eastAsia="Times New Roman" w:cs="Times New Roman"/>
          <w:b/>
          <w:bCs/>
          <w:spacing w:val="10"/>
          <w:sz w:val="28"/>
          <w:szCs w:val="28"/>
        </w:rPr>
        <w:t>1.4.2.1</w:t>
      </w:r>
      <w:r>
        <w:rPr>
          <w:rFonts w:ascii="Times New Roman" w:hAnsi="Times New Roman" w:eastAsia="Times New Roman" w:cs="Times New Roman"/>
          <w:spacing w:val="10"/>
          <w:sz w:val="28"/>
          <w:szCs w:val="28"/>
        </w:rPr>
        <w:t xml:space="preserve"> </w:t>
      </w:r>
      <w:r>
        <w:rPr>
          <w:rFonts w:ascii="宋体" w:hAnsi="宋体" w:eastAsia="宋体" w:cs="宋体"/>
          <w:spacing w:val="10"/>
          <w:sz w:val="28"/>
          <w:szCs w:val="28"/>
          <w14:textOutline w14:w="5103" w14:cap="sq" w14:cmpd="sng">
            <w14:solidFill>
              <w14:srgbClr w14:val="000000"/>
            </w14:solidFill>
            <w14:prstDash w14:val="solid"/>
            <w14:bevel/>
          </w14:textOutline>
        </w:rPr>
        <w:t>与《废塑料综合利用行业规范条件》相符性分</w:t>
      </w:r>
      <w:r>
        <w:rPr>
          <w:rFonts w:ascii="宋体" w:hAnsi="宋体" w:eastAsia="宋体" w:cs="宋体"/>
          <w:spacing w:val="8"/>
          <w:sz w:val="28"/>
          <w:szCs w:val="28"/>
          <w14:textOutline w14:w="5103" w14:cap="sq" w14:cmpd="sng">
            <w14:solidFill>
              <w14:srgbClr w14:val="000000"/>
            </w14:solidFill>
            <w14:prstDash w14:val="solid"/>
            <w14:bevel/>
          </w14:textOutline>
        </w:rPr>
        <w:t>析</w:t>
      </w:r>
    </w:p>
    <w:p w14:paraId="57C43F03">
      <w:pPr>
        <w:spacing w:line="256" w:lineRule="auto"/>
        <w:rPr>
          <w:rFonts w:ascii="Arial"/>
          <w:sz w:val="21"/>
        </w:rPr>
      </w:pPr>
    </w:p>
    <w:p w14:paraId="52C394BB">
      <w:pPr>
        <w:spacing w:before="75" w:line="227" w:lineRule="auto"/>
        <w:ind w:left="535"/>
        <w:rPr>
          <w:rFonts w:ascii="宋体" w:hAnsi="宋体" w:eastAsia="宋体" w:cs="宋体"/>
          <w:sz w:val="23"/>
          <w:szCs w:val="23"/>
        </w:rPr>
      </w:pPr>
      <w:r>
        <w:rPr>
          <w:rFonts w:ascii="宋体" w:hAnsi="宋体" w:eastAsia="宋体" w:cs="宋体"/>
          <w:spacing w:val="8"/>
          <w:sz w:val="23"/>
          <w:szCs w:val="23"/>
        </w:rPr>
        <w:t>为贯彻落实《循环经济促进法》，规范废塑料资源综合利用行业发展秩序</w:t>
      </w:r>
      <w:r>
        <w:rPr>
          <w:rFonts w:ascii="宋体" w:hAnsi="宋体" w:eastAsia="宋体" w:cs="宋体"/>
          <w:spacing w:val="3"/>
          <w:sz w:val="23"/>
          <w:szCs w:val="23"/>
        </w:rPr>
        <w:t>，</w:t>
      </w:r>
    </w:p>
    <w:p w14:paraId="1315183C">
      <w:pPr>
        <w:sectPr>
          <w:headerReference r:id="rId14" w:type="default"/>
          <w:footerReference r:id="rId15" w:type="default"/>
          <w:pgSz w:w="11906" w:h="16839"/>
          <w:pgMar w:top="1132" w:right="1719" w:bottom="899" w:left="1756" w:header="878" w:footer="739" w:gutter="0"/>
          <w:cols w:space="720" w:num="1"/>
        </w:sectPr>
      </w:pPr>
    </w:p>
    <w:p w14:paraId="57C3FEB7">
      <w:pPr>
        <w:spacing w:line="404" w:lineRule="auto"/>
        <w:rPr>
          <w:rFonts w:ascii="Arial"/>
          <w:sz w:val="21"/>
        </w:rPr>
      </w:pPr>
      <w:r>
        <w:pict>
          <v:shape id="_x0000_s1034" o:spid="_x0000_s1034" style="position:absolute;left:0pt;margin-left:90pt;margin-top:57.35pt;height:0.75pt;width:415.3pt;mso-position-horizontal-relative:page;mso-position-vertical-relative:page;z-index:251672576;mso-width-relative:page;mso-height-relative:page;" fillcolor="#000000" filled="t" stroked="f" coordsize="8305,15" o:allowincell="f" path="m0,0l8305,0,8305,14,0,14,0,0xe">
            <v:path/>
            <v:fill on="t" focussize="0,0"/>
            <v:stroke on="f"/>
            <v:imagedata o:title=""/>
            <o:lock v:ext="edit"/>
          </v:shape>
        </w:pict>
      </w:r>
    </w:p>
    <w:p w14:paraId="1BF81BEA">
      <w:pPr>
        <w:spacing w:before="75" w:line="391" w:lineRule="auto"/>
        <w:ind w:left="116" w:right="107" w:firstLine="1"/>
        <w:rPr>
          <w:rFonts w:ascii="宋体" w:hAnsi="宋体" w:eastAsia="宋体" w:cs="宋体"/>
          <w:sz w:val="23"/>
          <w:szCs w:val="23"/>
        </w:rPr>
      </w:pPr>
      <w:r>
        <w:rPr>
          <w:rFonts w:ascii="宋体" w:hAnsi="宋体" w:eastAsia="宋体" w:cs="宋体"/>
          <w:spacing w:val="8"/>
          <w:sz w:val="23"/>
          <w:szCs w:val="23"/>
        </w:rPr>
        <w:t>促</w:t>
      </w:r>
      <w:r>
        <w:rPr>
          <w:rFonts w:ascii="宋体" w:hAnsi="宋体" w:eastAsia="宋体" w:cs="宋体"/>
          <w:spacing w:val="7"/>
          <w:sz w:val="23"/>
          <w:szCs w:val="23"/>
        </w:rPr>
        <w:t>进企业优化升级，加强环境保护，提高资源综合利用技术和管理水平，引导行</w:t>
      </w:r>
      <w:r>
        <w:rPr>
          <w:rFonts w:ascii="宋体" w:hAnsi="宋体" w:eastAsia="宋体" w:cs="宋体"/>
          <w:sz w:val="23"/>
          <w:szCs w:val="23"/>
        </w:rPr>
        <w:t xml:space="preserve"> </w:t>
      </w:r>
      <w:r>
        <w:rPr>
          <w:rFonts w:ascii="宋体" w:hAnsi="宋体" w:eastAsia="宋体" w:cs="宋体"/>
          <w:spacing w:val="14"/>
          <w:sz w:val="23"/>
          <w:szCs w:val="23"/>
        </w:rPr>
        <w:t>业</w:t>
      </w:r>
      <w:r>
        <w:rPr>
          <w:rFonts w:ascii="宋体" w:hAnsi="宋体" w:eastAsia="宋体" w:cs="宋体"/>
          <w:spacing w:val="9"/>
          <w:sz w:val="23"/>
          <w:szCs w:val="23"/>
        </w:rPr>
        <w:t>健康持续发展，工业和信息化部制定了《废塑料综合利用行业规范条件》。</w:t>
      </w:r>
    </w:p>
    <w:p w14:paraId="66E6EC91">
      <w:pPr>
        <w:spacing w:before="133" w:line="389" w:lineRule="auto"/>
        <w:ind w:left="124" w:right="107" w:firstLine="473"/>
        <w:rPr>
          <w:rFonts w:ascii="宋体" w:hAnsi="宋体" w:eastAsia="宋体" w:cs="宋体"/>
          <w:sz w:val="23"/>
          <w:szCs w:val="23"/>
        </w:rPr>
      </w:pPr>
      <w:r>
        <w:rPr>
          <w:rFonts w:ascii="宋体" w:hAnsi="宋体" w:eastAsia="宋体" w:cs="宋体"/>
          <w:spacing w:val="12"/>
          <w:sz w:val="23"/>
          <w:szCs w:val="23"/>
        </w:rPr>
        <w:t>本项目</w:t>
      </w:r>
      <w:r>
        <w:rPr>
          <w:rFonts w:ascii="宋体" w:hAnsi="宋体" w:eastAsia="宋体" w:cs="宋体"/>
          <w:spacing w:val="10"/>
          <w:sz w:val="23"/>
          <w:szCs w:val="23"/>
        </w:rPr>
        <w:t>与</w:t>
      </w:r>
      <w:r>
        <w:rPr>
          <w:rFonts w:ascii="宋体" w:hAnsi="宋体" w:eastAsia="宋体" w:cs="宋体"/>
          <w:spacing w:val="6"/>
          <w:sz w:val="23"/>
          <w:szCs w:val="23"/>
        </w:rPr>
        <w:t>《废塑料综合利用行业规范条件》 (中华人民共和国工业和信息</w:t>
      </w:r>
      <w:r>
        <w:rPr>
          <w:rFonts w:hint="eastAsia" w:ascii="宋体" w:hAnsi="宋体" w:eastAsia="宋体" w:cs="宋体"/>
          <w:spacing w:val="6"/>
          <w:sz w:val="23"/>
          <w:szCs w:val="23"/>
          <w:lang w:val="en-US" w:eastAsia="zh-CN"/>
        </w:rPr>
        <w:t>化</w:t>
      </w:r>
      <w:r>
        <w:rPr>
          <w:rFonts w:ascii="宋体" w:hAnsi="宋体" w:eastAsia="宋体" w:cs="宋体"/>
          <w:spacing w:val="6"/>
          <w:sz w:val="23"/>
          <w:szCs w:val="23"/>
        </w:rPr>
        <w:t>部</w:t>
      </w:r>
      <w:r>
        <w:rPr>
          <w:rFonts w:ascii="宋体" w:hAnsi="宋体" w:eastAsia="宋体" w:cs="宋体"/>
          <w:sz w:val="23"/>
          <w:szCs w:val="23"/>
        </w:rPr>
        <w:t xml:space="preserve"> </w:t>
      </w:r>
      <w:r>
        <w:rPr>
          <w:rFonts w:ascii="宋体" w:hAnsi="宋体" w:eastAsia="宋体" w:cs="宋体"/>
          <w:spacing w:val="2"/>
          <w:sz w:val="23"/>
          <w:szCs w:val="23"/>
        </w:rPr>
        <w:t xml:space="preserve">公告 </w:t>
      </w:r>
      <w:r>
        <w:rPr>
          <w:rFonts w:ascii="Times New Roman" w:hAnsi="Times New Roman" w:eastAsia="Times New Roman" w:cs="Times New Roman"/>
          <w:spacing w:val="2"/>
          <w:sz w:val="23"/>
          <w:szCs w:val="23"/>
        </w:rPr>
        <w:t>2</w:t>
      </w:r>
      <w:r>
        <w:rPr>
          <w:rFonts w:ascii="Times New Roman" w:hAnsi="Times New Roman" w:eastAsia="Times New Roman" w:cs="Times New Roman"/>
          <w:spacing w:val="1"/>
          <w:sz w:val="23"/>
          <w:szCs w:val="23"/>
        </w:rPr>
        <w:t xml:space="preserve">015 </w:t>
      </w:r>
      <w:r>
        <w:rPr>
          <w:rFonts w:ascii="宋体" w:hAnsi="宋体" w:eastAsia="宋体" w:cs="宋体"/>
          <w:spacing w:val="1"/>
          <w:sz w:val="23"/>
          <w:szCs w:val="23"/>
        </w:rPr>
        <w:t xml:space="preserve">年第 </w:t>
      </w:r>
      <w:r>
        <w:rPr>
          <w:rFonts w:ascii="Times New Roman" w:hAnsi="Times New Roman" w:eastAsia="Times New Roman" w:cs="Times New Roman"/>
          <w:spacing w:val="1"/>
          <w:sz w:val="23"/>
          <w:szCs w:val="23"/>
        </w:rPr>
        <w:t xml:space="preserve">81 </w:t>
      </w:r>
      <w:r>
        <w:rPr>
          <w:rFonts w:ascii="宋体" w:hAnsi="宋体" w:eastAsia="宋体" w:cs="宋体"/>
          <w:spacing w:val="1"/>
          <w:sz w:val="23"/>
          <w:szCs w:val="23"/>
        </w:rPr>
        <w:t>号) 符合性见下表。</w:t>
      </w:r>
    </w:p>
    <w:p w14:paraId="0989DDAA">
      <w:pPr>
        <w:spacing w:before="142" w:line="228" w:lineRule="auto"/>
        <w:ind w:left="1198"/>
        <w:rPr>
          <w:rFonts w:ascii="宋体" w:hAnsi="宋体" w:eastAsia="宋体" w:cs="宋体"/>
          <w:sz w:val="23"/>
          <w:szCs w:val="23"/>
        </w:rPr>
      </w:pPr>
      <w:r>
        <w:rPr>
          <w:rFonts w:ascii="宋体" w:hAnsi="宋体" w:eastAsia="宋体" w:cs="宋体"/>
          <w:spacing w:val="12"/>
          <w:sz w:val="23"/>
          <w:szCs w:val="23"/>
          <w14:textOutline w14:w="4358" w14:cap="sq" w14:cmpd="sng">
            <w14:solidFill>
              <w14:srgbClr w14:val="000000"/>
            </w14:solidFill>
            <w14:prstDash w14:val="solid"/>
            <w14:bevel/>
          </w14:textOutline>
        </w:rPr>
        <w:t>表</w:t>
      </w:r>
      <w:r>
        <w:rPr>
          <w:rFonts w:ascii="宋体" w:hAnsi="宋体" w:eastAsia="宋体" w:cs="宋体"/>
          <w:spacing w:val="6"/>
          <w:sz w:val="23"/>
          <w:szCs w:val="23"/>
        </w:rPr>
        <w:t xml:space="preserve"> </w:t>
      </w:r>
      <w:r>
        <w:rPr>
          <w:rFonts w:ascii="Times New Roman" w:hAnsi="Times New Roman" w:eastAsia="Times New Roman" w:cs="Times New Roman"/>
          <w:b/>
          <w:bCs/>
          <w:spacing w:val="6"/>
          <w:sz w:val="23"/>
          <w:szCs w:val="23"/>
        </w:rPr>
        <w:t>1-1</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14:textOutline w14:w="4358" w14:cap="sq" w14:cmpd="sng">
            <w14:solidFill>
              <w14:srgbClr w14:val="000000"/>
            </w14:solidFill>
            <w14:prstDash w14:val="solid"/>
            <w14:bevel/>
          </w14:textOutline>
        </w:rPr>
        <w:t>项目与《废塑料综合利用行业规范条件》符合性</w:t>
      </w:r>
    </w:p>
    <w:p w14:paraId="4DEE024E">
      <w:pPr>
        <w:spacing w:line="17"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0"/>
        <w:gridCol w:w="4268"/>
        <w:gridCol w:w="2943"/>
        <w:gridCol w:w="751"/>
      </w:tblGrid>
      <w:tr w14:paraId="13CF99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34" w:hRule="atLeast"/>
        </w:trPr>
        <w:tc>
          <w:tcPr>
            <w:tcW w:w="560" w:type="dxa"/>
            <w:tcBorders>
              <w:left w:val="nil"/>
            </w:tcBorders>
            <w:vAlign w:val="top"/>
          </w:tcPr>
          <w:p w14:paraId="7545CD00">
            <w:pPr>
              <w:spacing w:before="139" w:line="228" w:lineRule="auto"/>
              <w:ind w:left="77"/>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类别</w:t>
            </w:r>
          </w:p>
        </w:tc>
        <w:tc>
          <w:tcPr>
            <w:tcW w:w="4268" w:type="dxa"/>
            <w:vAlign w:val="top"/>
          </w:tcPr>
          <w:p w14:paraId="74EB3966">
            <w:pPr>
              <w:spacing w:before="139" w:line="229" w:lineRule="auto"/>
              <w:ind w:left="1719"/>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规</w:t>
            </w:r>
            <w:r>
              <w:rPr>
                <w:rFonts w:ascii="宋体" w:hAnsi="宋体" w:eastAsia="宋体" w:cs="宋体"/>
                <w:spacing w:val="8"/>
                <w:sz w:val="20"/>
                <w:szCs w:val="20"/>
                <w14:textOutline w14:w="3795" w14:cap="sq" w14:cmpd="sng">
                  <w14:solidFill>
                    <w14:srgbClr w14:val="000000"/>
                  </w14:solidFill>
                  <w14:prstDash w14:val="solid"/>
                  <w14:bevel/>
                </w14:textOutline>
              </w:rPr>
              <w:t>范要求</w:t>
            </w:r>
          </w:p>
        </w:tc>
        <w:tc>
          <w:tcPr>
            <w:tcW w:w="2943" w:type="dxa"/>
            <w:vAlign w:val="top"/>
          </w:tcPr>
          <w:p w14:paraId="57C28408">
            <w:pPr>
              <w:spacing w:before="139" w:line="227" w:lineRule="auto"/>
              <w:ind w:left="952"/>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本</w:t>
            </w:r>
            <w:r>
              <w:rPr>
                <w:rFonts w:ascii="宋体" w:hAnsi="宋体" w:eastAsia="宋体" w:cs="宋体"/>
                <w:spacing w:val="8"/>
                <w:sz w:val="20"/>
                <w:szCs w:val="20"/>
                <w14:textOutline w14:w="3795" w14:cap="sq" w14:cmpd="sng">
                  <w14:solidFill>
                    <w14:srgbClr w14:val="000000"/>
                  </w14:solidFill>
                  <w14:prstDash w14:val="solid"/>
                  <w14:bevel/>
                </w14:textOutline>
              </w:rPr>
              <w:t>项目情况</w:t>
            </w:r>
          </w:p>
        </w:tc>
        <w:tc>
          <w:tcPr>
            <w:tcW w:w="751" w:type="dxa"/>
            <w:tcBorders>
              <w:right w:val="nil"/>
            </w:tcBorders>
            <w:vAlign w:val="top"/>
          </w:tcPr>
          <w:p w14:paraId="0C40F39A">
            <w:pPr>
              <w:spacing w:before="139" w:line="228" w:lineRule="auto"/>
              <w:ind w:left="67"/>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符合性</w:t>
            </w:r>
          </w:p>
        </w:tc>
      </w:tr>
      <w:tr w14:paraId="4D1771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2" w:hRule="atLeast"/>
        </w:trPr>
        <w:tc>
          <w:tcPr>
            <w:tcW w:w="560" w:type="dxa"/>
            <w:tcBorders>
              <w:left w:val="nil"/>
            </w:tcBorders>
            <w:vAlign w:val="top"/>
          </w:tcPr>
          <w:p w14:paraId="5B50484A">
            <w:pPr>
              <w:spacing w:line="262" w:lineRule="auto"/>
              <w:rPr>
                <w:rFonts w:ascii="Arial"/>
                <w:sz w:val="21"/>
              </w:rPr>
            </w:pPr>
          </w:p>
          <w:p w14:paraId="6BE64847">
            <w:pPr>
              <w:spacing w:line="262" w:lineRule="auto"/>
              <w:rPr>
                <w:rFonts w:ascii="Arial"/>
                <w:sz w:val="21"/>
              </w:rPr>
            </w:pPr>
          </w:p>
          <w:p w14:paraId="21219EEE">
            <w:pPr>
              <w:spacing w:line="262" w:lineRule="auto"/>
              <w:rPr>
                <w:rFonts w:ascii="Arial"/>
                <w:sz w:val="21"/>
              </w:rPr>
            </w:pPr>
          </w:p>
          <w:p w14:paraId="726D47D7">
            <w:pPr>
              <w:spacing w:line="262" w:lineRule="auto"/>
              <w:rPr>
                <w:rFonts w:ascii="Arial"/>
                <w:sz w:val="21"/>
              </w:rPr>
            </w:pPr>
          </w:p>
          <w:p w14:paraId="6ED08A41">
            <w:pPr>
              <w:spacing w:line="262" w:lineRule="auto"/>
              <w:rPr>
                <w:rFonts w:ascii="Arial"/>
                <w:sz w:val="21"/>
              </w:rPr>
            </w:pPr>
          </w:p>
          <w:p w14:paraId="40FE02CD">
            <w:pPr>
              <w:spacing w:line="262" w:lineRule="auto"/>
              <w:rPr>
                <w:rFonts w:ascii="Arial"/>
                <w:sz w:val="21"/>
              </w:rPr>
            </w:pPr>
          </w:p>
          <w:p w14:paraId="032E1A0E">
            <w:pPr>
              <w:spacing w:line="263" w:lineRule="auto"/>
              <w:rPr>
                <w:rFonts w:ascii="Arial"/>
                <w:sz w:val="21"/>
              </w:rPr>
            </w:pPr>
          </w:p>
          <w:p w14:paraId="375821EF">
            <w:pPr>
              <w:spacing w:line="263" w:lineRule="auto"/>
              <w:rPr>
                <w:rFonts w:ascii="Arial"/>
                <w:sz w:val="21"/>
              </w:rPr>
            </w:pPr>
          </w:p>
          <w:p w14:paraId="4010FA69">
            <w:pPr>
              <w:spacing w:line="263" w:lineRule="auto"/>
              <w:rPr>
                <w:rFonts w:ascii="Arial"/>
                <w:sz w:val="21"/>
              </w:rPr>
            </w:pPr>
          </w:p>
          <w:p w14:paraId="41F5DCB0">
            <w:pPr>
              <w:spacing w:line="263" w:lineRule="auto"/>
              <w:rPr>
                <w:rFonts w:ascii="Arial"/>
                <w:sz w:val="21"/>
              </w:rPr>
            </w:pPr>
          </w:p>
          <w:p w14:paraId="0195096F">
            <w:pPr>
              <w:spacing w:before="65" w:line="292" w:lineRule="auto"/>
              <w:ind w:left="77" w:right="70" w:firstLine="3"/>
              <w:rPr>
                <w:rFonts w:ascii="宋体" w:hAnsi="宋体" w:eastAsia="宋体" w:cs="宋体"/>
                <w:sz w:val="20"/>
                <w:szCs w:val="20"/>
              </w:rPr>
            </w:pPr>
            <w:r>
              <w:rPr>
                <w:rFonts w:ascii="宋体" w:hAnsi="宋体" w:eastAsia="宋体" w:cs="宋体"/>
                <w:spacing w:val="3"/>
                <w:sz w:val="20"/>
                <w:szCs w:val="20"/>
              </w:rPr>
              <w:t>企业</w:t>
            </w:r>
            <w:r>
              <w:rPr>
                <w:rFonts w:ascii="宋体" w:hAnsi="宋体" w:eastAsia="宋体" w:cs="宋体"/>
                <w:sz w:val="20"/>
                <w:szCs w:val="20"/>
              </w:rPr>
              <w:t xml:space="preserve"> </w:t>
            </w:r>
            <w:r>
              <w:rPr>
                <w:rFonts w:ascii="宋体" w:hAnsi="宋体" w:eastAsia="宋体" w:cs="宋体"/>
                <w:spacing w:val="5"/>
                <w:sz w:val="20"/>
                <w:szCs w:val="20"/>
              </w:rPr>
              <w:t>的</w:t>
            </w:r>
            <w:r>
              <w:rPr>
                <w:rFonts w:ascii="宋体" w:hAnsi="宋体" w:eastAsia="宋体" w:cs="宋体"/>
                <w:spacing w:val="4"/>
                <w:sz w:val="20"/>
                <w:szCs w:val="20"/>
              </w:rPr>
              <w:t>设</w:t>
            </w:r>
            <w:r>
              <w:rPr>
                <w:rFonts w:ascii="宋体" w:hAnsi="宋体" w:eastAsia="宋体" w:cs="宋体"/>
                <w:sz w:val="20"/>
                <w:szCs w:val="20"/>
              </w:rPr>
              <w:t xml:space="preserve"> </w:t>
            </w:r>
            <w:r>
              <w:rPr>
                <w:rFonts w:ascii="宋体" w:hAnsi="宋体" w:eastAsia="宋体" w:cs="宋体"/>
                <w:spacing w:val="5"/>
                <w:sz w:val="20"/>
                <w:szCs w:val="20"/>
              </w:rPr>
              <w:t>立</w:t>
            </w:r>
            <w:r>
              <w:rPr>
                <w:rFonts w:ascii="宋体" w:hAnsi="宋体" w:eastAsia="宋体" w:cs="宋体"/>
                <w:spacing w:val="4"/>
                <w:sz w:val="20"/>
                <w:szCs w:val="20"/>
              </w:rPr>
              <w:t>和</w:t>
            </w:r>
            <w:r>
              <w:rPr>
                <w:rFonts w:ascii="宋体" w:hAnsi="宋体" w:eastAsia="宋体" w:cs="宋体"/>
                <w:sz w:val="20"/>
                <w:szCs w:val="20"/>
              </w:rPr>
              <w:t xml:space="preserve"> </w:t>
            </w:r>
            <w:r>
              <w:rPr>
                <w:rFonts w:ascii="宋体" w:hAnsi="宋体" w:eastAsia="宋体" w:cs="宋体"/>
                <w:spacing w:val="5"/>
                <w:sz w:val="20"/>
                <w:szCs w:val="20"/>
              </w:rPr>
              <w:t>布</w:t>
            </w:r>
            <w:r>
              <w:rPr>
                <w:rFonts w:ascii="宋体" w:hAnsi="宋体" w:eastAsia="宋体" w:cs="宋体"/>
                <w:spacing w:val="4"/>
                <w:sz w:val="20"/>
                <w:szCs w:val="20"/>
              </w:rPr>
              <w:t>局</w:t>
            </w:r>
          </w:p>
        </w:tc>
        <w:tc>
          <w:tcPr>
            <w:tcW w:w="4268" w:type="dxa"/>
            <w:vAlign w:val="top"/>
          </w:tcPr>
          <w:p w14:paraId="414B0CDE">
            <w:pPr>
              <w:spacing w:before="232" w:line="287" w:lineRule="auto"/>
              <w:ind w:left="24" w:firstLine="20"/>
              <w:rPr>
                <w:rFonts w:ascii="宋体" w:hAnsi="宋体" w:eastAsia="宋体" w:cs="宋体"/>
                <w:sz w:val="20"/>
                <w:szCs w:val="20"/>
              </w:rPr>
            </w:pPr>
            <w:r>
              <w:rPr>
                <w:rFonts w:ascii="Times New Roman" w:hAnsi="Times New Roman" w:eastAsia="Times New Roman" w:cs="Times New Roman"/>
                <w:spacing w:val="-6"/>
                <w:sz w:val="20"/>
                <w:szCs w:val="20"/>
              </w:rPr>
              <w:t>1</w:t>
            </w:r>
            <w:r>
              <w:rPr>
                <w:rFonts w:ascii="宋体" w:hAnsi="宋体" w:eastAsia="宋体" w:cs="宋体"/>
                <w:spacing w:val="-6"/>
                <w:sz w:val="20"/>
                <w:szCs w:val="20"/>
              </w:rPr>
              <w:t>、废塑料综合利用企业是指采用物理机械法对</w:t>
            </w:r>
            <w:r>
              <w:rPr>
                <w:rFonts w:ascii="宋体" w:hAnsi="宋体" w:eastAsia="宋体" w:cs="宋体"/>
                <w:spacing w:val="-4"/>
                <w:sz w:val="20"/>
                <w:szCs w:val="20"/>
              </w:rPr>
              <w:t>热</w:t>
            </w:r>
            <w:r>
              <w:rPr>
                <w:rFonts w:ascii="宋体" w:hAnsi="宋体" w:eastAsia="宋体" w:cs="宋体"/>
                <w:sz w:val="20"/>
                <w:szCs w:val="20"/>
              </w:rPr>
              <w:t xml:space="preserve"> </w:t>
            </w:r>
            <w:r>
              <w:rPr>
                <w:rFonts w:ascii="宋体" w:hAnsi="宋体" w:eastAsia="宋体" w:cs="宋体"/>
                <w:spacing w:val="-1"/>
                <w:sz w:val="20"/>
                <w:szCs w:val="20"/>
              </w:rPr>
              <w:t>塑性废塑料进</w:t>
            </w:r>
            <w:r>
              <w:rPr>
                <w:rFonts w:ascii="宋体" w:hAnsi="宋体" w:eastAsia="宋体" w:cs="宋体"/>
                <w:sz w:val="20"/>
                <w:szCs w:val="20"/>
              </w:rPr>
              <w:t xml:space="preserve">行再生加工的企业，企业类型主要 </w:t>
            </w:r>
            <w:r>
              <w:rPr>
                <w:rFonts w:ascii="宋体" w:hAnsi="宋体" w:eastAsia="宋体" w:cs="宋体"/>
                <w:spacing w:val="-8"/>
                <w:sz w:val="20"/>
                <w:szCs w:val="20"/>
              </w:rPr>
              <w:t xml:space="preserve">包括 </w:t>
            </w:r>
            <w:r>
              <w:rPr>
                <w:rFonts w:ascii="Times New Roman" w:hAnsi="Times New Roman" w:eastAsia="Times New Roman" w:cs="Times New Roman"/>
                <w:spacing w:val="-4"/>
                <w:sz w:val="20"/>
                <w:szCs w:val="20"/>
              </w:rPr>
              <w:t>PET</w:t>
            </w:r>
            <w:r>
              <w:rPr>
                <w:rFonts w:ascii="Times New Roman" w:hAnsi="Times New Roman" w:eastAsia="Times New Roman" w:cs="Times New Roman"/>
                <w:spacing w:val="-8"/>
                <w:sz w:val="20"/>
                <w:szCs w:val="20"/>
              </w:rPr>
              <w:t xml:space="preserve"> </w:t>
            </w:r>
            <w:r>
              <w:rPr>
                <w:rFonts w:ascii="宋体" w:hAnsi="宋体" w:eastAsia="宋体" w:cs="宋体"/>
                <w:spacing w:val="-4"/>
                <w:sz w:val="20"/>
                <w:szCs w:val="20"/>
              </w:rPr>
              <w:t>再生瓶片类企业、废塑料破碎清洗分选</w:t>
            </w:r>
            <w:r>
              <w:rPr>
                <w:rFonts w:ascii="宋体" w:hAnsi="宋体" w:eastAsia="宋体" w:cs="宋体"/>
                <w:sz w:val="20"/>
                <w:szCs w:val="20"/>
              </w:rPr>
              <w:t xml:space="preserve"> </w:t>
            </w:r>
            <w:r>
              <w:rPr>
                <w:rFonts w:ascii="宋体" w:hAnsi="宋体" w:eastAsia="宋体" w:cs="宋体"/>
                <w:spacing w:val="-2"/>
                <w:sz w:val="20"/>
                <w:szCs w:val="20"/>
              </w:rPr>
              <w:t>类企业以及塑料再生造粒类</w:t>
            </w:r>
            <w:r>
              <w:rPr>
                <w:rFonts w:ascii="宋体" w:hAnsi="宋体" w:eastAsia="宋体" w:cs="宋体"/>
                <w:spacing w:val="-1"/>
                <w:sz w:val="20"/>
                <w:szCs w:val="20"/>
              </w:rPr>
              <w:t>企业。</w:t>
            </w:r>
            <w:r>
              <w:rPr>
                <w:rFonts w:ascii="宋体" w:hAnsi="宋体" w:eastAsia="宋体" w:cs="宋体"/>
                <w:sz w:val="20"/>
                <w:szCs w:val="20"/>
              </w:rPr>
              <w:t xml:space="preserve">             </w:t>
            </w:r>
            <w:r>
              <w:rPr>
                <w:rFonts w:ascii="Times New Roman" w:hAnsi="Times New Roman" w:eastAsia="Times New Roman" w:cs="Times New Roman"/>
                <w:spacing w:val="-5"/>
                <w:sz w:val="20"/>
                <w:szCs w:val="20"/>
              </w:rPr>
              <w:t>2</w:t>
            </w:r>
            <w:r>
              <w:rPr>
                <w:rFonts w:ascii="宋体" w:hAnsi="宋体" w:eastAsia="宋体" w:cs="宋体"/>
                <w:spacing w:val="-5"/>
                <w:sz w:val="20"/>
                <w:szCs w:val="20"/>
              </w:rPr>
              <w:t>、废塑料综合利用企业所涉及的热塑性废塑料</w:t>
            </w:r>
            <w:r>
              <w:rPr>
                <w:rFonts w:ascii="宋体" w:hAnsi="宋体" w:eastAsia="宋体" w:cs="宋体"/>
                <w:spacing w:val="-4"/>
                <w:sz w:val="20"/>
                <w:szCs w:val="20"/>
              </w:rPr>
              <w:t>原</w:t>
            </w:r>
            <w:r>
              <w:rPr>
                <w:rFonts w:ascii="宋体" w:hAnsi="宋体" w:eastAsia="宋体" w:cs="宋体"/>
                <w:sz w:val="20"/>
                <w:szCs w:val="20"/>
              </w:rPr>
              <w:t xml:space="preserve"> </w:t>
            </w:r>
            <w:r>
              <w:rPr>
                <w:rFonts w:ascii="宋体" w:hAnsi="宋体" w:eastAsia="宋体" w:cs="宋体"/>
                <w:spacing w:val="-1"/>
                <w:sz w:val="20"/>
                <w:szCs w:val="20"/>
              </w:rPr>
              <w:t>料，不包括受</w:t>
            </w:r>
            <w:r>
              <w:rPr>
                <w:rFonts w:ascii="宋体" w:hAnsi="宋体" w:eastAsia="宋体" w:cs="宋体"/>
                <w:sz w:val="20"/>
                <w:szCs w:val="20"/>
              </w:rPr>
              <w:t xml:space="preserve">到危险化学品、农药等污染的废弃 </w:t>
            </w:r>
            <w:r>
              <w:rPr>
                <w:rFonts w:ascii="宋体" w:hAnsi="宋体" w:eastAsia="宋体" w:cs="宋体"/>
                <w:spacing w:val="-1"/>
                <w:sz w:val="20"/>
                <w:szCs w:val="20"/>
              </w:rPr>
              <w:t>塑料包装物、</w:t>
            </w:r>
            <w:r>
              <w:rPr>
                <w:rFonts w:ascii="宋体" w:hAnsi="宋体" w:eastAsia="宋体" w:cs="宋体"/>
                <w:sz w:val="20"/>
                <w:szCs w:val="20"/>
              </w:rPr>
              <w:t xml:space="preserve">废弃一次性医疗用塑料制品等塑料 </w:t>
            </w:r>
            <w:r>
              <w:rPr>
                <w:rFonts w:ascii="宋体" w:hAnsi="宋体" w:eastAsia="宋体" w:cs="宋体"/>
                <w:spacing w:val="-4"/>
                <w:sz w:val="20"/>
                <w:szCs w:val="20"/>
              </w:rPr>
              <w:t>类危</w:t>
            </w:r>
            <w:r>
              <w:rPr>
                <w:rFonts w:ascii="宋体" w:hAnsi="宋体" w:eastAsia="宋体" w:cs="宋体"/>
                <w:spacing w:val="-2"/>
                <w:sz w:val="20"/>
                <w:szCs w:val="20"/>
              </w:rPr>
              <w:t>险废物，以及氟塑料等特种工程塑料。</w:t>
            </w:r>
            <w:r>
              <w:rPr>
                <w:rFonts w:ascii="宋体" w:hAnsi="宋体" w:eastAsia="宋体" w:cs="宋体"/>
                <w:sz w:val="20"/>
                <w:szCs w:val="20"/>
              </w:rPr>
              <w:t xml:space="preserve">     </w:t>
            </w:r>
            <w:r>
              <w:rPr>
                <w:rFonts w:ascii="Times New Roman" w:hAnsi="Times New Roman" w:eastAsia="Times New Roman" w:cs="Times New Roman"/>
                <w:spacing w:val="-5"/>
                <w:sz w:val="20"/>
                <w:szCs w:val="20"/>
              </w:rPr>
              <w:t>3</w:t>
            </w:r>
            <w:r>
              <w:rPr>
                <w:rFonts w:ascii="宋体" w:hAnsi="宋体" w:eastAsia="宋体" w:cs="宋体"/>
                <w:spacing w:val="-5"/>
                <w:sz w:val="20"/>
                <w:szCs w:val="20"/>
              </w:rPr>
              <w:t>、新建及改造、扩建废塑料加工企业应符合国</w:t>
            </w:r>
            <w:r>
              <w:rPr>
                <w:rFonts w:ascii="宋体" w:hAnsi="宋体" w:eastAsia="宋体" w:cs="宋体"/>
                <w:spacing w:val="-1"/>
                <w:sz w:val="20"/>
                <w:szCs w:val="20"/>
              </w:rPr>
              <w:t>家</w:t>
            </w:r>
            <w:r>
              <w:rPr>
                <w:rFonts w:ascii="宋体" w:hAnsi="宋体" w:eastAsia="宋体" w:cs="宋体"/>
                <w:sz w:val="20"/>
                <w:szCs w:val="20"/>
              </w:rPr>
              <w:t xml:space="preserve"> </w:t>
            </w:r>
            <w:r>
              <w:rPr>
                <w:rFonts w:ascii="宋体" w:hAnsi="宋体" w:eastAsia="宋体" w:cs="宋体"/>
                <w:spacing w:val="-1"/>
                <w:sz w:val="20"/>
                <w:szCs w:val="20"/>
              </w:rPr>
              <w:t>产业政策及所</w:t>
            </w:r>
            <w:r>
              <w:rPr>
                <w:rFonts w:ascii="宋体" w:hAnsi="宋体" w:eastAsia="宋体" w:cs="宋体"/>
                <w:sz w:val="20"/>
                <w:szCs w:val="20"/>
              </w:rPr>
              <w:t xml:space="preserve">在地区土地利用总体规划、城乡建 </w:t>
            </w:r>
            <w:r>
              <w:rPr>
                <w:rFonts w:ascii="宋体" w:hAnsi="宋体" w:eastAsia="宋体" w:cs="宋体"/>
                <w:spacing w:val="-1"/>
                <w:sz w:val="20"/>
                <w:szCs w:val="20"/>
              </w:rPr>
              <w:t>设规划、环境</w:t>
            </w:r>
            <w:r>
              <w:rPr>
                <w:rFonts w:ascii="宋体" w:hAnsi="宋体" w:eastAsia="宋体" w:cs="宋体"/>
                <w:sz w:val="20"/>
                <w:szCs w:val="20"/>
              </w:rPr>
              <w:t xml:space="preserve">保护、污染防治规划。企业建设应 </w:t>
            </w:r>
            <w:r>
              <w:rPr>
                <w:rFonts w:ascii="宋体" w:hAnsi="宋体" w:eastAsia="宋体" w:cs="宋体"/>
                <w:spacing w:val="-1"/>
                <w:sz w:val="20"/>
                <w:szCs w:val="20"/>
              </w:rPr>
              <w:t>有规范化设计</w:t>
            </w:r>
            <w:r>
              <w:rPr>
                <w:rFonts w:ascii="宋体" w:hAnsi="宋体" w:eastAsia="宋体" w:cs="宋体"/>
                <w:sz w:val="20"/>
                <w:szCs w:val="20"/>
              </w:rPr>
              <w:t xml:space="preserve">要求，采用节能环保技术及生产装 </w:t>
            </w:r>
            <w:r>
              <w:rPr>
                <w:rFonts w:ascii="宋体" w:hAnsi="宋体" w:eastAsia="宋体" w:cs="宋体"/>
                <w:spacing w:val="10"/>
                <w:sz w:val="20"/>
                <w:szCs w:val="20"/>
              </w:rPr>
              <w:t>备。</w:t>
            </w:r>
            <w:r>
              <w:rPr>
                <w:rFonts w:ascii="宋体" w:hAnsi="宋体" w:eastAsia="宋体" w:cs="宋体"/>
                <w:sz w:val="20"/>
                <w:szCs w:val="20"/>
              </w:rPr>
              <w:t xml:space="preserve">                                      </w:t>
            </w:r>
            <w:r>
              <w:rPr>
                <w:rFonts w:ascii="Times New Roman" w:hAnsi="Times New Roman" w:eastAsia="Times New Roman" w:cs="Times New Roman"/>
                <w:spacing w:val="-5"/>
                <w:sz w:val="20"/>
                <w:szCs w:val="20"/>
              </w:rPr>
              <w:t>4</w:t>
            </w:r>
            <w:r>
              <w:rPr>
                <w:rFonts w:ascii="宋体" w:hAnsi="宋体" w:eastAsia="宋体" w:cs="宋体"/>
                <w:spacing w:val="-5"/>
                <w:sz w:val="20"/>
                <w:szCs w:val="20"/>
              </w:rPr>
              <w:t>、在国家法律、法规、规章和规划确定或县级</w:t>
            </w:r>
            <w:r>
              <w:rPr>
                <w:rFonts w:ascii="宋体" w:hAnsi="宋体" w:eastAsia="宋体" w:cs="宋体"/>
                <w:spacing w:val="-1"/>
                <w:sz w:val="20"/>
                <w:szCs w:val="20"/>
              </w:rPr>
              <w:t>及</w:t>
            </w:r>
            <w:r>
              <w:rPr>
                <w:rFonts w:ascii="宋体" w:hAnsi="宋体" w:eastAsia="宋体" w:cs="宋体"/>
                <w:sz w:val="20"/>
                <w:szCs w:val="20"/>
              </w:rPr>
              <w:t xml:space="preserve"> </w:t>
            </w:r>
            <w:r>
              <w:rPr>
                <w:rFonts w:ascii="宋体" w:hAnsi="宋体" w:eastAsia="宋体" w:cs="宋体"/>
                <w:spacing w:val="1"/>
                <w:sz w:val="20"/>
                <w:szCs w:val="20"/>
              </w:rPr>
              <w:t>以上人民政府规定的</w:t>
            </w:r>
            <w:r>
              <w:rPr>
                <w:rFonts w:ascii="宋体" w:hAnsi="宋体" w:eastAsia="宋体" w:cs="宋体"/>
                <w:sz w:val="20"/>
                <w:szCs w:val="20"/>
              </w:rPr>
              <w:t xml:space="preserve">自然保护区、风景名胜区、 </w:t>
            </w:r>
            <w:r>
              <w:rPr>
                <w:rFonts w:ascii="宋体" w:hAnsi="宋体" w:eastAsia="宋体" w:cs="宋体"/>
                <w:spacing w:val="-1"/>
                <w:sz w:val="20"/>
                <w:szCs w:val="20"/>
              </w:rPr>
              <w:t>饮用水源保护</w:t>
            </w:r>
            <w:r>
              <w:rPr>
                <w:rFonts w:ascii="宋体" w:hAnsi="宋体" w:eastAsia="宋体" w:cs="宋体"/>
                <w:sz w:val="20"/>
                <w:szCs w:val="20"/>
              </w:rPr>
              <w:t xml:space="preserve">区、基本农田保护区和其他需要特 </w:t>
            </w:r>
            <w:r>
              <w:rPr>
                <w:rFonts w:ascii="宋体" w:hAnsi="宋体" w:eastAsia="宋体" w:cs="宋体"/>
                <w:spacing w:val="-14"/>
                <w:sz w:val="20"/>
                <w:szCs w:val="20"/>
              </w:rPr>
              <w:t>别</w:t>
            </w:r>
            <w:r>
              <w:rPr>
                <w:rFonts w:ascii="宋体" w:hAnsi="宋体" w:eastAsia="宋体" w:cs="宋体"/>
                <w:spacing w:val="-8"/>
                <w:sz w:val="20"/>
                <w:szCs w:val="20"/>
              </w:rPr>
              <w:t>保</w:t>
            </w:r>
            <w:r>
              <w:rPr>
                <w:rFonts w:ascii="宋体" w:hAnsi="宋体" w:eastAsia="宋体" w:cs="宋体"/>
                <w:spacing w:val="-7"/>
                <w:sz w:val="20"/>
                <w:szCs w:val="20"/>
              </w:rPr>
              <w:t>护的区域内，不得新建废塑料综合利用企业；</w:t>
            </w:r>
            <w:r>
              <w:rPr>
                <w:rFonts w:ascii="宋体" w:hAnsi="宋体" w:eastAsia="宋体" w:cs="宋体"/>
                <w:sz w:val="20"/>
                <w:szCs w:val="20"/>
              </w:rPr>
              <w:t xml:space="preserve"> </w:t>
            </w:r>
            <w:r>
              <w:rPr>
                <w:rFonts w:ascii="宋体" w:hAnsi="宋体" w:eastAsia="宋体" w:cs="宋体"/>
                <w:spacing w:val="1"/>
                <w:sz w:val="20"/>
                <w:szCs w:val="20"/>
              </w:rPr>
              <w:t>已在上述区域投产运营的废</w:t>
            </w:r>
            <w:r>
              <w:rPr>
                <w:rFonts w:ascii="宋体" w:hAnsi="宋体" w:eastAsia="宋体" w:cs="宋体"/>
                <w:sz w:val="20"/>
                <w:szCs w:val="20"/>
              </w:rPr>
              <w:t xml:space="preserve">塑料综合利用企业， </w:t>
            </w:r>
            <w:r>
              <w:rPr>
                <w:rFonts w:ascii="宋体" w:hAnsi="宋体" w:eastAsia="宋体" w:cs="宋体"/>
                <w:spacing w:val="-1"/>
                <w:sz w:val="20"/>
                <w:szCs w:val="20"/>
              </w:rPr>
              <w:t>要根据该区域</w:t>
            </w:r>
            <w:r>
              <w:rPr>
                <w:rFonts w:ascii="宋体" w:hAnsi="宋体" w:eastAsia="宋体" w:cs="宋体"/>
                <w:sz w:val="20"/>
                <w:szCs w:val="20"/>
              </w:rPr>
              <w:t xml:space="preserve">规划要求，依法通过搬迁、转产等 </w:t>
            </w:r>
            <w:r>
              <w:rPr>
                <w:rFonts w:ascii="宋体" w:hAnsi="宋体" w:eastAsia="宋体" w:cs="宋体"/>
                <w:spacing w:val="-4"/>
                <w:sz w:val="20"/>
                <w:szCs w:val="20"/>
              </w:rPr>
              <w:t>方</w:t>
            </w:r>
            <w:r>
              <w:rPr>
                <w:rFonts w:ascii="宋体" w:hAnsi="宋体" w:eastAsia="宋体" w:cs="宋体"/>
                <w:spacing w:val="-2"/>
                <w:sz w:val="20"/>
                <w:szCs w:val="20"/>
              </w:rPr>
              <w:t>式逐步退出。</w:t>
            </w:r>
          </w:p>
        </w:tc>
        <w:tc>
          <w:tcPr>
            <w:tcW w:w="2943" w:type="dxa"/>
            <w:vAlign w:val="top"/>
          </w:tcPr>
          <w:p w14:paraId="4B7F2B35">
            <w:pPr>
              <w:spacing w:before="73" w:line="283" w:lineRule="auto"/>
              <w:ind w:left="27" w:right="21" w:firstLine="4"/>
              <w:rPr>
                <w:rFonts w:ascii="宋体" w:hAnsi="宋体" w:eastAsia="宋体" w:cs="宋体"/>
                <w:sz w:val="20"/>
                <w:szCs w:val="20"/>
              </w:rPr>
            </w:pPr>
            <w:r>
              <w:rPr>
                <w:rFonts w:ascii="宋体" w:hAnsi="宋体" w:eastAsia="宋体" w:cs="宋体"/>
                <w:spacing w:val="30"/>
                <w:sz w:val="20"/>
                <w:szCs w:val="20"/>
              </w:rPr>
              <w:t>该</w:t>
            </w:r>
            <w:r>
              <w:rPr>
                <w:rFonts w:ascii="宋体" w:hAnsi="宋体" w:eastAsia="宋体" w:cs="宋体"/>
                <w:spacing w:val="21"/>
                <w:sz w:val="20"/>
                <w:szCs w:val="20"/>
              </w:rPr>
              <w:t>项目属于塑料再生造粒类企</w:t>
            </w:r>
            <w:r>
              <w:rPr>
                <w:rFonts w:ascii="宋体" w:hAnsi="宋体" w:eastAsia="宋体" w:cs="宋体"/>
                <w:sz w:val="20"/>
                <w:szCs w:val="20"/>
              </w:rPr>
              <w:t xml:space="preserve"> </w:t>
            </w:r>
            <w:r>
              <w:rPr>
                <w:rFonts w:ascii="宋体" w:hAnsi="宋体" w:eastAsia="宋体" w:cs="宋体"/>
                <w:spacing w:val="11"/>
                <w:sz w:val="20"/>
                <w:szCs w:val="20"/>
              </w:rPr>
              <w:t>业</w:t>
            </w:r>
            <w:r>
              <w:rPr>
                <w:rFonts w:ascii="宋体" w:hAnsi="宋体" w:eastAsia="宋体" w:cs="宋体"/>
                <w:spacing w:val="6"/>
                <w:sz w:val="20"/>
                <w:szCs w:val="20"/>
              </w:rPr>
              <w:t>，所用原料为废塑料编织袋，</w:t>
            </w:r>
            <w:r>
              <w:rPr>
                <w:rFonts w:ascii="宋体" w:hAnsi="宋体" w:eastAsia="宋体" w:cs="宋体"/>
                <w:sz w:val="20"/>
                <w:szCs w:val="20"/>
              </w:rPr>
              <w:t xml:space="preserve"> </w:t>
            </w:r>
            <w:r>
              <w:rPr>
                <w:rFonts w:ascii="宋体" w:hAnsi="宋体" w:eastAsia="宋体" w:cs="宋体"/>
                <w:spacing w:val="25"/>
                <w:sz w:val="20"/>
                <w:szCs w:val="20"/>
              </w:rPr>
              <w:t>均</w:t>
            </w:r>
            <w:r>
              <w:rPr>
                <w:rFonts w:ascii="宋体" w:hAnsi="宋体" w:eastAsia="宋体" w:cs="宋体"/>
                <w:spacing w:val="22"/>
                <w:sz w:val="20"/>
                <w:szCs w:val="20"/>
              </w:rPr>
              <w:t>外购于本溪宏远集团北台再</w:t>
            </w:r>
            <w:r>
              <w:rPr>
                <w:rFonts w:ascii="宋体" w:hAnsi="宋体" w:eastAsia="宋体" w:cs="宋体"/>
                <w:sz w:val="20"/>
                <w:szCs w:val="20"/>
              </w:rPr>
              <w:t xml:space="preserve"> </w:t>
            </w:r>
            <w:r>
              <w:rPr>
                <w:rFonts w:ascii="宋体" w:hAnsi="宋体" w:eastAsia="宋体" w:cs="宋体"/>
                <w:spacing w:val="25"/>
                <w:sz w:val="20"/>
                <w:szCs w:val="20"/>
              </w:rPr>
              <w:t>生</w:t>
            </w:r>
            <w:r>
              <w:rPr>
                <w:rFonts w:ascii="宋体" w:hAnsi="宋体" w:eastAsia="宋体" w:cs="宋体"/>
                <w:spacing w:val="22"/>
                <w:sz w:val="20"/>
                <w:szCs w:val="20"/>
              </w:rPr>
              <w:t>资源有限责任公司及平山区</w:t>
            </w:r>
            <w:r>
              <w:rPr>
                <w:rFonts w:ascii="宋体" w:hAnsi="宋体" w:eastAsia="宋体" w:cs="宋体"/>
                <w:sz w:val="20"/>
                <w:szCs w:val="20"/>
              </w:rPr>
              <w:t xml:space="preserve"> </w:t>
            </w:r>
            <w:r>
              <w:rPr>
                <w:rFonts w:ascii="宋体" w:hAnsi="宋体" w:eastAsia="宋体" w:cs="宋体"/>
                <w:spacing w:val="9"/>
                <w:sz w:val="20"/>
                <w:szCs w:val="20"/>
              </w:rPr>
              <w:t>利</w:t>
            </w:r>
            <w:r>
              <w:rPr>
                <w:rFonts w:ascii="宋体" w:hAnsi="宋体" w:eastAsia="宋体" w:cs="宋体"/>
                <w:spacing w:val="6"/>
                <w:sz w:val="20"/>
                <w:szCs w:val="20"/>
              </w:rPr>
              <w:t>安建材城，为本溪宏远集团北</w:t>
            </w:r>
            <w:r>
              <w:rPr>
                <w:rFonts w:ascii="宋体" w:hAnsi="宋体" w:eastAsia="宋体" w:cs="宋体"/>
                <w:sz w:val="20"/>
                <w:szCs w:val="20"/>
              </w:rPr>
              <w:t xml:space="preserve"> </w:t>
            </w:r>
            <w:r>
              <w:rPr>
                <w:rFonts w:ascii="宋体" w:hAnsi="宋体" w:eastAsia="宋体" w:cs="宋体"/>
                <w:spacing w:val="25"/>
                <w:sz w:val="20"/>
                <w:szCs w:val="20"/>
              </w:rPr>
              <w:t>台</w:t>
            </w:r>
            <w:r>
              <w:rPr>
                <w:rFonts w:ascii="宋体" w:hAnsi="宋体" w:eastAsia="宋体" w:cs="宋体"/>
                <w:spacing w:val="22"/>
                <w:sz w:val="20"/>
                <w:szCs w:val="20"/>
              </w:rPr>
              <w:t>再生资源有限责任公司收购</w:t>
            </w:r>
            <w:r>
              <w:rPr>
                <w:rFonts w:ascii="宋体" w:hAnsi="宋体" w:eastAsia="宋体" w:cs="宋体"/>
                <w:sz w:val="20"/>
                <w:szCs w:val="20"/>
              </w:rPr>
              <w:t xml:space="preserve"> </w:t>
            </w:r>
            <w:r>
              <w:rPr>
                <w:rFonts w:ascii="宋体" w:hAnsi="宋体" w:eastAsia="宋体" w:cs="宋体"/>
                <w:spacing w:val="10"/>
                <w:sz w:val="20"/>
                <w:szCs w:val="20"/>
              </w:rPr>
              <w:t>北</w:t>
            </w:r>
            <w:r>
              <w:rPr>
                <w:rFonts w:ascii="宋体" w:hAnsi="宋体" w:eastAsia="宋体" w:cs="宋体"/>
                <w:spacing w:val="9"/>
                <w:sz w:val="20"/>
                <w:szCs w:val="20"/>
              </w:rPr>
              <w:t>台</w:t>
            </w:r>
            <w:r>
              <w:rPr>
                <w:rFonts w:ascii="宋体" w:hAnsi="宋体" w:eastAsia="宋体" w:cs="宋体"/>
                <w:spacing w:val="5"/>
                <w:sz w:val="20"/>
                <w:szCs w:val="20"/>
              </w:rPr>
              <w:t>钢铁 (集团) 有限责任公司</w:t>
            </w:r>
            <w:r>
              <w:rPr>
                <w:rFonts w:ascii="宋体" w:hAnsi="宋体" w:eastAsia="宋体" w:cs="宋体"/>
                <w:sz w:val="20"/>
                <w:szCs w:val="20"/>
              </w:rPr>
              <w:t xml:space="preserve"> </w:t>
            </w:r>
            <w:r>
              <w:rPr>
                <w:rFonts w:ascii="宋体" w:hAnsi="宋体" w:eastAsia="宋体" w:cs="宋体"/>
                <w:spacing w:val="25"/>
                <w:sz w:val="20"/>
                <w:szCs w:val="20"/>
              </w:rPr>
              <w:t>所</w:t>
            </w:r>
            <w:r>
              <w:rPr>
                <w:rFonts w:ascii="宋体" w:hAnsi="宋体" w:eastAsia="宋体" w:cs="宋体"/>
                <w:spacing w:val="22"/>
                <w:sz w:val="20"/>
                <w:szCs w:val="20"/>
              </w:rPr>
              <w:t>用原料合金铁及铝锭的废包</w:t>
            </w:r>
            <w:r>
              <w:rPr>
                <w:rFonts w:ascii="宋体" w:hAnsi="宋体" w:eastAsia="宋体" w:cs="宋体"/>
                <w:sz w:val="20"/>
                <w:szCs w:val="20"/>
              </w:rPr>
              <w:t xml:space="preserve"> </w:t>
            </w:r>
            <w:r>
              <w:rPr>
                <w:rFonts w:ascii="宋体" w:hAnsi="宋体" w:eastAsia="宋体" w:cs="宋体"/>
                <w:spacing w:val="25"/>
                <w:sz w:val="20"/>
                <w:szCs w:val="20"/>
              </w:rPr>
              <w:t>装</w:t>
            </w:r>
            <w:r>
              <w:rPr>
                <w:rFonts w:ascii="宋体" w:hAnsi="宋体" w:eastAsia="宋体" w:cs="宋体"/>
                <w:spacing w:val="22"/>
                <w:sz w:val="20"/>
                <w:szCs w:val="20"/>
              </w:rPr>
              <w:t>袋及平山区利安建材城所销</w:t>
            </w:r>
            <w:r>
              <w:rPr>
                <w:rFonts w:ascii="宋体" w:hAnsi="宋体" w:eastAsia="宋体" w:cs="宋体"/>
                <w:sz w:val="20"/>
                <w:szCs w:val="20"/>
              </w:rPr>
              <w:t xml:space="preserve"> </w:t>
            </w:r>
            <w:r>
              <w:rPr>
                <w:rFonts w:ascii="宋体" w:hAnsi="宋体" w:eastAsia="宋体" w:cs="宋体"/>
                <w:spacing w:val="11"/>
                <w:sz w:val="20"/>
                <w:szCs w:val="20"/>
              </w:rPr>
              <w:t>售</w:t>
            </w:r>
            <w:r>
              <w:rPr>
                <w:rFonts w:ascii="宋体" w:hAnsi="宋体" w:eastAsia="宋体" w:cs="宋体"/>
                <w:spacing w:val="6"/>
                <w:sz w:val="20"/>
                <w:szCs w:val="20"/>
              </w:rPr>
              <w:t>砂子的废包装袋，主要成分为</w:t>
            </w:r>
            <w:r>
              <w:rPr>
                <w:rFonts w:ascii="宋体" w:hAnsi="宋体" w:eastAsia="宋体" w:cs="宋体"/>
                <w:sz w:val="20"/>
                <w:szCs w:val="20"/>
              </w:rPr>
              <w:t xml:space="preserve"> </w:t>
            </w:r>
            <w:r>
              <w:rPr>
                <w:rFonts w:ascii="宋体" w:hAnsi="宋体" w:eastAsia="宋体" w:cs="宋体"/>
                <w:spacing w:val="11"/>
                <w:sz w:val="20"/>
                <w:szCs w:val="20"/>
              </w:rPr>
              <w:t>聚</w:t>
            </w:r>
            <w:r>
              <w:rPr>
                <w:rFonts w:ascii="宋体" w:hAnsi="宋体" w:eastAsia="宋体" w:cs="宋体"/>
                <w:spacing w:val="6"/>
                <w:sz w:val="20"/>
                <w:szCs w:val="20"/>
              </w:rPr>
              <w:t>乙烯、聚丙烯。该项目所用原</w:t>
            </w:r>
            <w:r>
              <w:rPr>
                <w:rFonts w:ascii="宋体" w:hAnsi="宋体" w:eastAsia="宋体" w:cs="宋体"/>
                <w:sz w:val="20"/>
                <w:szCs w:val="20"/>
              </w:rPr>
              <w:t xml:space="preserve"> </w:t>
            </w:r>
            <w:r>
              <w:rPr>
                <w:rFonts w:ascii="宋体" w:hAnsi="宋体" w:eastAsia="宋体" w:cs="宋体"/>
                <w:spacing w:val="9"/>
                <w:sz w:val="20"/>
                <w:szCs w:val="20"/>
              </w:rPr>
              <w:t>料</w:t>
            </w:r>
            <w:r>
              <w:rPr>
                <w:rFonts w:ascii="宋体" w:hAnsi="宋体" w:eastAsia="宋体" w:cs="宋体"/>
                <w:spacing w:val="6"/>
                <w:sz w:val="20"/>
                <w:szCs w:val="20"/>
              </w:rPr>
              <w:t>不包括受到危险化学品、农药</w:t>
            </w:r>
            <w:r>
              <w:rPr>
                <w:rFonts w:ascii="宋体" w:hAnsi="宋体" w:eastAsia="宋体" w:cs="宋体"/>
                <w:sz w:val="20"/>
                <w:szCs w:val="20"/>
              </w:rPr>
              <w:t xml:space="preserve"> </w:t>
            </w:r>
            <w:r>
              <w:rPr>
                <w:rFonts w:ascii="宋体" w:hAnsi="宋体" w:eastAsia="宋体" w:cs="宋体"/>
                <w:spacing w:val="9"/>
                <w:sz w:val="20"/>
                <w:szCs w:val="20"/>
              </w:rPr>
              <w:t>等</w:t>
            </w:r>
            <w:r>
              <w:rPr>
                <w:rFonts w:ascii="宋体" w:hAnsi="宋体" w:eastAsia="宋体" w:cs="宋体"/>
                <w:spacing w:val="6"/>
                <w:sz w:val="20"/>
                <w:szCs w:val="20"/>
              </w:rPr>
              <w:t>污染的废弃塑料包装物、废弃</w:t>
            </w:r>
            <w:r>
              <w:rPr>
                <w:rFonts w:ascii="宋体" w:hAnsi="宋体" w:eastAsia="宋体" w:cs="宋体"/>
                <w:sz w:val="20"/>
                <w:szCs w:val="20"/>
              </w:rPr>
              <w:t xml:space="preserve"> </w:t>
            </w:r>
            <w:r>
              <w:rPr>
                <w:rFonts w:ascii="宋体" w:hAnsi="宋体" w:eastAsia="宋体" w:cs="宋体"/>
                <w:spacing w:val="25"/>
                <w:sz w:val="20"/>
                <w:szCs w:val="20"/>
              </w:rPr>
              <w:t>一</w:t>
            </w:r>
            <w:r>
              <w:rPr>
                <w:rFonts w:ascii="宋体" w:hAnsi="宋体" w:eastAsia="宋体" w:cs="宋体"/>
                <w:spacing w:val="22"/>
                <w:sz w:val="20"/>
                <w:szCs w:val="20"/>
              </w:rPr>
              <w:t>次性医疗用塑料制品等塑料</w:t>
            </w:r>
            <w:r>
              <w:rPr>
                <w:rFonts w:ascii="宋体" w:hAnsi="宋体" w:eastAsia="宋体" w:cs="宋体"/>
                <w:sz w:val="20"/>
                <w:szCs w:val="20"/>
              </w:rPr>
              <w:t xml:space="preserve"> </w:t>
            </w:r>
            <w:r>
              <w:rPr>
                <w:rFonts w:ascii="宋体" w:hAnsi="宋体" w:eastAsia="宋体" w:cs="宋体"/>
                <w:spacing w:val="9"/>
                <w:sz w:val="20"/>
                <w:szCs w:val="20"/>
              </w:rPr>
              <w:t>类</w:t>
            </w:r>
            <w:r>
              <w:rPr>
                <w:rFonts w:ascii="宋体" w:hAnsi="宋体" w:eastAsia="宋体" w:cs="宋体"/>
                <w:spacing w:val="6"/>
                <w:sz w:val="20"/>
                <w:szCs w:val="20"/>
              </w:rPr>
              <w:t>危险废物，以及氟塑料等特种</w:t>
            </w:r>
            <w:r>
              <w:rPr>
                <w:rFonts w:ascii="宋体" w:hAnsi="宋体" w:eastAsia="宋体" w:cs="宋体"/>
                <w:sz w:val="20"/>
                <w:szCs w:val="20"/>
              </w:rPr>
              <w:t xml:space="preserve"> </w:t>
            </w:r>
            <w:r>
              <w:rPr>
                <w:rFonts w:ascii="宋体" w:hAnsi="宋体" w:eastAsia="宋体" w:cs="宋体"/>
                <w:spacing w:val="11"/>
                <w:sz w:val="20"/>
                <w:szCs w:val="20"/>
              </w:rPr>
              <w:t>工</w:t>
            </w:r>
            <w:r>
              <w:rPr>
                <w:rFonts w:ascii="宋体" w:hAnsi="宋体" w:eastAsia="宋体" w:cs="宋体"/>
                <w:spacing w:val="6"/>
                <w:sz w:val="20"/>
                <w:szCs w:val="20"/>
              </w:rPr>
              <w:t>程塑料。项目位于本溪市溪湖</w:t>
            </w:r>
            <w:r>
              <w:rPr>
                <w:rFonts w:ascii="宋体" w:hAnsi="宋体" w:eastAsia="宋体" w:cs="宋体"/>
                <w:sz w:val="20"/>
                <w:szCs w:val="20"/>
              </w:rPr>
              <w:t xml:space="preserve"> </w:t>
            </w:r>
            <w:r>
              <w:rPr>
                <w:rFonts w:ascii="宋体" w:hAnsi="宋体" w:eastAsia="宋体" w:cs="宋体"/>
                <w:spacing w:val="9"/>
                <w:sz w:val="20"/>
                <w:szCs w:val="20"/>
              </w:rPr>
              <w:t>区</w:t>
            </w:r>
            <w:r>
              <w:rPr>
                <w:rFonts w:ascii="宋体" w:hAnsi="宋体" w:eastAsia="宋体" w:cs="宋体"/>
                <w:spacing w:val="6"/>
                <w:sz w:val="20"/>
                <w:szCs w:val="20"/>
              </w:rPr>
              <w:t>火连寨镇火连寨村，根据本溪</w:t>
            </w:r>
            <w:r>
              <w:rPr>
                <w:rFonts w:ascii="宋体" w:hAnsi="宋体" w:eastAsia="宋体" w:cs="宋体"/>
                <w:sz w:val="20"/>
                <w:szCs w:val="20"/>
              </w:rPr>
              <w:t xml:space="preserve"> </w:t>
            </w:r>
            <w:r>
              <w:rPr>
                <w:rFonts w:ascii="宋体" w:hAnsi="宋体" w:eastAsia="宋体" w:cs="宋体"/>
                <w:spacing w:val="25"/>
                <w:sz w:val="20"/>
                <w:szCs w:val="20"/>
              </w:rPr>
              <w:t>市</w:t>
            </w:r>
            <w:r>
              <w:rPr>
                <w:rFonts w:ascii="宋体" w:hAnsi="宋体" w:eastAsia="宋体" w:cs="宋体"/>
                <w:spacing w:val="22"/>
                <w:sz w:val="20"/>
                <w:szCs w:val="20"/>
              </w:rPr>
              <w:t>溪湖区火连寨镇火连寨村村</w:t>
            </w:r>
            <w:r>
              <w:rPr>
                <w:rFonts w:ascii="宋体" w:hAnsi="宋体" w:eastAsia="宋体" w:cs="宋体"/>
                <w:sz w:val="20"/>
                <w:szCs w:val="20"/>
              </w:rPr>
              <w:t xml:space="preserve"> </w:t>
            </w:r>
            <w:r>
              <w:rPr>
                <w:rFonts w:ascii="宋体" w:hAnsi="宋体" w:eastAsia="宋体" w:cs="宋体"/>
                <w:spacing w:val="9"/>
                <w:sz w:val="20"/>
                <w:szCs w:val="20"/>
              </w:rPr>
              <w:t>委</w:t>
            </w:r>
            <w:r>
              <w:rPr>
                <w:rFonts w:ascii="宋体" w:hAnsi="宋体" w:eastAsia="宋体" w:cs="宋体"/>
                <w:spacing w:val="6"/>
                <w:sz w:val="20"/>
                <w:szCs w:val="20"/>
              </w:rPr>
              <w:t>会出具的证明，该地块现用地</w:t>
            </w:r>
            <w:r>
              <w:rPr>
                <w:rFonts w:ascii="宋体" w:hAnsi="宋体" w:eastAsia="宋体" w:cs="宋体"/>
                <w:sz w:val="20"/>
                <w:szCs w:val="20"/>
              </w:rPr>
              <w:t xml:space="preserve"> </w:t>
            </w:r>
            <w:r>
              <w:rPr>
                <w:rFonts w:ascii="宋体" w:hAnsi="宋体" w:eastAsia="宋体" w:cs="宋体"/>
                <w:spacing w:val="11"/>
                <w:sz w:val="20"/>
                <w:szCs w:val="20"/>
              </w:rPr>
              <w:t>性</w:t>
            </w:r>
            <w:r>
              <w:rPr>
                <w:rFonts w:ascii="宋体" w:hAnsi="宋体" w:eastAsia="宋体" w:cs="宋体"/>
                <w:spacing w:val="6"/>
                <w:sz w:val="20"/>
                <w:szCs w:val="20"/>
              </w:rPr>
              <w:t>质属于工业用地，不涉及环境</w:t>
            </w:r>
            <w:r>
              <w:rPr>
                <w:rFonts w:ascii="宋体" w:hAnsi="宋体" w:eastAsia="宋体" w:cs="宋体"/>
                <w:sz w:val="20"/>
                <w:szCs w:val="20"/>
              </w:rPr>
              <w:t xml:space="preserve"> </w:t>
            </w:r>
            <w:r>
              <w:rPr>
                <w:rFonts w:ascii="宋体" w:hAnsi="宋体" w:eastAsia="宋体" w:cs="宋体"/>
                <w:spacing w:val="6"/>
                <w:sz w:val="20"/>
                <w:szCs w:val="20"/>
              </w:rPr>
              <w:t>敏</w:t>
            </w:r>
            <w:r>
              <w:rPr>
                <w:rFonts w:ascii="宋体" w:hAnsi="宋体" w:eastAsia="宋体" w:cs="宋体"/>
                <w:spacing w:val="5"/>
                <w:sz w:val="20"/>
                <w:szCs w:val="20"/>
              </w:rPr>
              <w:t>感区。</w:t>
            </w:r>
          </w:p>
        </w:tc>
        <w:tc>
          <w:tcPr>
            <w:tcW w:w="751" w:type="dxa"/>
            <w:tcBorders>
              <w:right w:val="nil"/>
            </w:tcBorders>
            <w:vAlign w:val="top"/>
          </w:tcPr>
          <w:p w14:paraId="04D7671F">
            <w:pPr>
              <w:spacing w:line="257" w:lineRule="auto"/>
              <w:rPr>
                <w:rFonts w:ascii="Arial"/>
                <w:sz w:val="21"/>
              </w:rPr>
            </w:pPr>
          </w:p>
          <w:p w14:paraId="6CE86A02">
            <w:pPr>
              <w:spacing w:line="257" w:lineRule="auto"/>
              <w:rPr>
                <w:rFonts w:ascii="Arial"/>
                <w:sz w:val="21"/>
              </w:rPr>
            </w:pPr>
          </w:p>
          <w:p w14:paraId="54EADC67">
            <w:pPr>
              <w:spacing w:line="257" w:lineRule="auto"/>
              <w:rPr>
                <w:rFonts w:ascii="Arial"/>
                <w:sz w:val="21"/>
              </w:rPr>
            </w:pPr>
          </w:p>
          <w:p w14:paraId="38CE8C3F">
            <w:pPr>
              <w:spacing w:line="257" w:lineRule="auto"/>
              <w:rPr>
                <w:rFonts w:ascii="Arial"/>
                <w:sz w:val="21"/>
              </w:rPr>
            </w:pPr>
          </w:p>
          <w:p w14:paraId="572C7B1E">
            <w:pPr>
              <w:spacing w:line="257" w:lineRule="auto"/>
              <w:rPr>
                <w:rFonts w:ascii="Arial"/>
                <w:sz w:val="21"/>
              </w:rPr>
            </w:pPr>
          </w:p>
          <w:p w14:paraId="2D9DC7D4">
            <w:pPr>
              <w:spacing w:line="257" w:lineRule="auto"/>
              <w:rPr>
                <w:rFonts w:ascii="Arial"/>
                <w:sz w:val="21"/>
              </w:rPr>
            </w:pPr>
          </w:p>
          <w:p w14:paraId="2CFB2324">
            <w:pPr>
              <w:spacing w:line="257" w:lineRule="auto"/>
              <w:rPr>
                <w:rFonts w:ascii="Arial"/>
                <w:sz w:val="21"/>
              </w:rPr>
            </w:pPr>
          </w:p>
          <w:p w14:paraId="0B107E8D">
            <w:pPr>
              <w:spacing w:line="257" w:lineRule="auto"/>
              <w:rPr>
                <w:rFonts w:ascii="Arial"/>
                <w:sz w:val="21"/>
              </w:rPr>
            </w:pPr>
          </w:p>
          <w:p w14:paraId="79D46CD1">
            <w:pPr>
              <w:spacing w:line="257" w:lineRule="auto"/>
              <w:rPr>
                <w:rFonts w:ascii="Arial"/>
                <w:sz w:val="21"/>
              </w:rPr>
            </w:pPr>
          </w:p>
          <w:p w14:paraId="5F2677E7">
            <w:pPr>
              <w:spacing w:line="257" w:lineRule="auto"/>
              <w:rPr>
                <w:rFonts w:ascii="Arial"/>
                <w:sz w:val="21"/>
              </w:rPr>
            </w:pPr>
          </w:p>
          <w:p w14:paraId="25F13667">
            <w:pPr>
              <w:spacing w:line="257" w:lineRule="auto"/>
              <w:rPr>
                <w:rFonts w:ascii="Arial"/>
                <w:sz w:val="21"/>
              </w:rPr>
            </w:pPr>
          </w:p>
          <w:p w14:paraId="70A4F495">
            <w:pPr>
              <w:spacing w:line="257" w:lineRule="auto"/>
              <w:rPr>
                <w:rFonts w:ascii="Arial"/>
                <w:sz w:val="21"/>
              </w:rPr>
            </w:pPr>
          </w:p>
          <w:p w14:paraId="2BB38813">
            <w:pPr>
              <w:spacing w:before="65" w:line="228" w:lineRule="auto"/>
              <w:ind w:left="173"/>
              <w:rPr>
                <w:rFonts w:ascii="宋体" w:hAnsi="宋体" w:eastAsia="宋体" w:cs="宋体"/>
                <w:sz w:val="20"/>
                <w:szCs w:val="20"/>
              </w:rPr>
            </w:pPr>
            <w:r>
              <w:rPr>
                <w:rFonts w:ascii="宋体" w:hAnsi="宋体" w:eastAsia="宋体" w:cs="宋体"/>
                <w:spacing w:val="4"/>
                <w:sz w:val="20"/>
                <w:szCs w:val="20"/>
              </w:rPr>
              <w:t>符</w:t>
            </w:r>
            <w:r>
              <w:rPr>
                <w:rFonts w:ascii="宋体" w:hAnsi="宋体" w:eastAsia="宋体" w:cs="宋体"/>
                <w:spacing w:val="3"/>
                <w:sz w:val="20"/>
                <w:szCs w:val="20"/>
              </w:rPr>
              <w:t>合</w:t>
            </w:r>
          </w:p>
        </w:tc>
      </w:tr>
      <w:tr w14:paraId="7EF22E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4" w:hRule="atLeast"/>
        </w:trPr>
        <w:tc>
          <w:tcPr>
            <w:tcW w:w="560" w:type="dxa"/>
            <w:tcBorders>
              <w:left w:val="nil"/>
            </w:tcBorders>
            <w:vAlign w:val="top"/>
          </w:tcPr>
          <w:p w14:paraId="46B319E3">
            <w:pPr>
              <w:spacing w:line="470" w:lineRule="auto"/>
              <w:rPr>
                <w:rFonts w:ascii="Arial"/>
                <w:sz w:val="21"/>
              </w:rPr>
            </w:pPr>
          </w:p>
          <w:p w14:paraId="1107858B">
            <w:pPr>
              <w:spacing w:before="65" w:line="294" w:lineRule="auto"/>
              <w:ind w:left="78" w:right="70"/>
              <w:rPr>
                <w:rFonts w:ascii="宋体" w:hAnsi="宋体" w:eastAsia="宋体" w:cs="宋体"/>
                <w:sz w:val="20"/>
                <w:szCs w:val="20"/>
              </w:rPr>
            </w:pPr>
            <w:r>
              <w:rPr>
                <w:rFonts w:ascii="宋体" w:hAnsi="宋体" w:eastAsia="宋体" w:cs="宋体"/>
                <w:spacing w:val="4"/>
                <w:sz w:val="20"/>
                <w:szCs w:val="20"/>
              </w:rPr>
              <w:t>生</w:t>
            </w:r>
            <w:r>
              <w:rPr>
                <w:rFonts w:ascii="宋体" w:hAnsi="宋体" w:eastAsia="宋体" w:cs="宋体"/>
                <w:spacing w:val="3"/>
                <w:sz w:val="20"/>
                <w:szCs w:val="20"/>
              </w:rPr>
              <w:t>产</w:t>
            </w:r>
            <w:r>
              <w:rPr>
                <w:rFonts w:ascii="宋体" w:hAnsi="宋体" w:eastAsia="宋体" w:cs="宋体"/>
                <w:sz w:val="20"/>
                <w:szCs w:val="20"/>
              </w:rPr>
              <w:t xml:space="preserve"> </w:t>
            </w:r>
            <w:r>
              <w:rPr>
                <w:rFonts w:ascii="宋体" w:hAnsi="宋体" w:eastAsia="宋体" w:cs="宋体"/>
                <w:spacing w:val="4"/>
                <w:sz w:val="20"/>
                <w:szCs w:val="20"/>
              </w:rPr>
              <w:t>经营</w:t>
            </w:r>
            <w:r>
              <w:rPr>
                <w:rFonts w:ascii="宋体" w:hAnsi="宋体" w:eastAsia="宋体" w:cs="宋体"/>
                <w:sz w:val="20"/>
                <w:szCs w:val="20"/>
              </w:rPr>
              <w:t xml:space="preserve"> </w:t>
            </w:r>
            <w:r>
              <w:rPr>
                <w:rFonts w:ascii="宋体" w:hAnsi="宋体" w:eastAsia="宋体" w:cs="宋体"/>
                <w:spacing w:val="4"/>
                <w:sz w:val="20"/>
                <w:szCs w:val="20"/>
              </w:rPr>
              <w:t>规模</w:t>
            </w:r>
          </w:p>
        </w:tc>
        <w:tc>
          <w:tcPr>
            <w:tcW w:w="4268" w:type="dxa"/>
            <w:vAlign w:val="top"/>
          </w:tcPr>
          <w:p w14:paraId="2FB5ED45">
            <w:pPr>
              <w:spacing w:before="69" w:line="276" w:lineRule="auto"/>
              <w:ind w:left="25" w:right="8" w:firstLine="20"/>
              <w:rPr>
                <w:rFonts w:ascii="宋体" w:hAnsi="宋体" w:eastAsia="宋体" w:cs="宋体"/>
                <w:sz w:val="20"/>
                <w:szCs w:val="20"/>
              </w:rPr>
            </w:pPr>
            <w:r>
              <w:rPr>
                <w:rFonts w:ascii="Times New Roman" w:hAnsi="Times New Roman" w:eastAsia="Times New Roman" w:cs="Times New Roman"/>
                <w:spacing w:val="-7"/>
                <w:sz w:val="20"/>
                <w:szCs w:val="20"/>
              </w:rPr>
              <w:t>1</w:t>
            </w:r>
            <w:r>
              <w:rPr>
                <w:rFonts w:ascii="宋体" w:hAnsi="宋体" w:eastAsia="宋体" w:cs="宋体"/>
                <w:spacing w:val="-4"/>
                <w:sz w:val="20"/>
                <w:szCs w:val="20"/>
              </w:rPr>
              <w:t>、废塑料破碎、清洗、分选类企业：新建企业年</w:t>
            </w:r>
            <w:r>
              <w:rPr>
                <w:rFonts w:ascii="宋体" w:hAnsi="宋体" w:eastAsia="宋体" w:cs="宋体"/>
                <w:sz w:val="20"/>
                <w:szCs w:val="20"/>
              </w:rPr>
              <w:t xml:space="preserve"> </w:t>
            </w:r>
            <w:r>
              <w:rPr>
                <w:rFonts w:ascii="宋体" w:hAnsi="宋体" w:eastAsia="宋体" w:cs="宋体"/>
                <w:spacing w:val="-1"/>
                <w:sz w:val="20"/>
                <w:szCs w:val="20"/>
              </w:rPr>
              <w:t xml:space="preserve">废塑料处理能力不低于 </w:t>
            </w:r>
            <w:r>
              <w:rPr>
                <w:rFonts w:ascii="Times New Roman" w:hAnsi="Times New Roman" w:eastAsia="Times New Roman" w:cs="Times New Roman"/>
                <w:spacing w:val="-1"/>
                <w:sz w:val="20"/>
                <w:szCs w:val="20"/>
              </w:rPr>
              <w:t xml:space="preserve">30000 </w:t>
            </w:r>
            <w:r>
              <w:rPr>
                <w:rFonts w:ascii="宋体" w:hAnsi="宋体" w:eastAsia="宋体" w:cs="宋体"/>
                <w:spacing w:val="-1"/>
                <w:sz w:val="20"/>
                <w:szCs w:val="20"/>
              </w:rPr>
              <w:t>吨；已建</w:t>
            </w:r>
            <w:r>
              <w:rPr>
                <w:rFonts w:ascii="宋体" w:hAnsi="宋体" w:eastAsia="宋体" w:cs="宋体"/>
                <w:sz w:val="20"/>
                <w:szCs w:val="20"/>
              </w:rPr>
              <w:t xml:space="preserve">企业年废 </w:t>
            </w:r>
            <w:r>
              <w:rPr>
                <w:rFonts w:ascii="宋体" w:hAnsi="宋体" w:eastAsia="宋体" w:cs="宋体"/>
                <w:spacing w:val="-3"/>
                <w:sz w:val="20"/>
                <w:szCs w:val="20"/>
              </w:rPr>
              <w:t xml:space="preserve">塑料处理能力不低于 </w:t>
            </w:r>
            <w:r>
              <w:rPr>
                <w:rFonts w:ascii="Times New Roman" w:hAnsi="Times New Roman" w:eastAsia="Times New Roman" w:cs="Times New Roman"/>
                <w:spacing w:val="-3"/>
                <w:sz w:val="20"/>
                <w:szCs w:val="20"/>
              </w:rPr>
              <w:t xml:space="preserve">20000 </w:t>
            </w:r>
            <w:r>
              <w:rPr>
                <w:rFonts w:ascii="宋体" w:hAnsi="宋体" w:eastAsia="宋体" w:cs="宋体"/>
                <w:spacing w:val="-3"/>
                <w:sz w:val="20"/>
                <w:szCs w:val="20"/>
              </w:rPr>
              <w:t>吨</w:t>
            </w:r>
            <w:r>
              <w:rPr>
                <w:rFonts w:ascii="宋体" w:hAnsi="宋体" w:eastAsia="宋体" w:cs="宋体"/>
                <w:spacing w:val="-2"/>
                <w:sz w:val="20"/>
                <w:szCs w:val="20"/>
              </w:rPr>
              <w:t>。</w:t>
            </w:r>
            <w:r>
              <w:rPr>
                <w:rFonts w:ascii="宋体" w:hAnsi="宋体" w:eastAsia="宋体" w:cs="宋体"/>
                <w:sz w:val="20"/>
                <w:szCs w:val="20"/>
              </w:rPr>
              <w:t xml:space="preserve">               </w:t>
            </w:r>
            <w:r>
              <w:rPr>
                <w:rFonts w:ascii="Times New Roman" w:hAnsi="Times New Roman" w:eastAsia="Times New Roman" w:cs="Times New Roman"/>
                <w:spacing w:val="-6"/>
                <w:sz w:val="20"/>
                <w:szCs w:val="20"/>
              </w:rPr>
              <w:t>2</w:t>
            </w:r>
            <w:r>
              <w:rPr>
                <w:rFonts w:ascii="宋体" w:hAnsi="宋体" w:eastAsia="宋体" w:cs="宋体"/>
                <w:spacing w:val="-6"/>
                <w:sz w:val="20"/>
                <w:szCs w:val="20"/>
              </w:rPr>
              <w:t>、</w:t>
            </w:r>
            <w:r>
              <w:rPr>
                <w:rFonts w:ascii="宋体" w:hAnsi="宋体" w:eastAsia="宋体" w:cs="宋体"/>
                <w:spacing w:val="-5"/>
                <w:sz w:val="20"/>
                <w:szCs w:val="20"/>
              </w:rPr>
              <w:t>塑</w:t>
            </w:r>
            <w:r>
              <w:rPr>
                <w:rFonts w:ascii="宋体" w:hAnsi="宋体" w:eastAsia="宋体" w:cs="宋体"/>
                <w:spacing w:val="-3"/>
                <w:sz w:val="20"/>
                <w:szCs w:val="20"/>
              </w:rPr>
              <w:t>料再生造粒类企业：新建企业年废塑料处理</w:t>
            </w:r>
            <w:r>
              <w:rPr>
                <w:rFonts w:ascii="宋体" w:hAnsi="宋体" w:eastAsia="宋体" w:cs="宋体"/>
                <w:sz w:val="20"/>
                <w:szCs w:val="20"/>
              </w:rPr>
              <w:t xml:space="preserve"> </w:t>
            </w:r>
            <w:r>
              <w:rPr>
                <w:rFonts w:ascii="宋体" w:hAnsi="宋体" w:eastAsia="宋体" w:cs="宋体"/>
                <w:spacing w:val="-5"/>
                <w:sz w:val="20"/>
                <w:szCs w:val="20"/>
              </w:rPr>
              <w:t xml:space="preserve">能力不低于 </w:t>
            </w:r>
            <w:r>
              <w:rPr>
                <w:rFonts w:ascii="Times New Roman" w:hAnsi="Times New Roman" w:eastAsia="Times New Roman" w:cs="Times New Roman"/>
                <w:spacing w:val="-5"/>
                <w:sz w:val="20"/>
                <w:szCs w:val="20"/>
              </w:rPr>
              <w:t xml:space="preserve">5000 </w:t>
            </w:r>
            <w:r>
              <w:rPr>
                <w:rFonts w:ascii="宋体" w:hAnsi="宋体" w:eastAsia="宋体" w:cs="宋体"/>
                <w:spacing w:val="-5"/>
                <w:sz w:val="20"/>
                <w:szCs w:val="20"/>
              </w:rPr>
              <w:t>吨；已建企业年废塑料处理能</w:t>
            </w:r>
            <w:r>
              <w:rPr>
                <w:rFonts w:ascii="宋体" w:hAnsi="宋体" w:eastAsia="宋体" w:cs="宋体"/>
                <w:spacing w:val="-1"/>
                <w:sz w:val="20"/>
                <w:szCs w:val="20"/>
              </w:rPr>
              <w:t>力</w:t>
            </w:r>
            <w:r>
              <w:rPr>
                <w:rFonts w:ascii="宋体" w:hAnsi="宋体" w:eastAsia="宋体" w:cs="宋体"/>
                <w:sz w:val="20"/>
                <w:szCs w:val="20"/>
              </w:rPr>
              <w:t xml:space="preserve"> </w:t>
            </w:r>
            <w:r>
              <w:rPr>
                <w:rFonts w:ascii="宋体" w:hAnsi="宋体" w:eastAsia="宋体" w:cs="宋体"/>
                <w:spacing w:val="-6"/>
                <w:sz w:val="20"/>
                <w:szCs w:val="20"/>
              </w:rPr>
              <w:t>不</w:t>
            </w:r>
            <w:r>
              <w:rPr>
                <w:rFonts w:ascii="宋体" w:hAnsi="宋体" w:eastAsia="宋体" w:cs="宋体"/>
                <w:spacing w:val="-5"/>
                <w:sz w:val="20"/>
                <w:szCs w:val="20"/>
              </w:rPr>
              <w:t xml:space="preserve">低于 </w:t>
            </w:r>
            <w:r>
              <w:rPr>
                <w:rFonts w:ascii="Times New Roman" w:hAnsi="Times New Roman" w:eastAsia="Times New Roman" w:cs="Times New Roman"/>
                <w:spacing w:val="-5"/>
                <w:sz w:val="20"/>
                <w:szCs w:val="20"/>
              </w:rPr>
              <w:t xml:space="preserve">3000 </w:t>
            </w:r>
            <w:r>
              <w:rPr>
                <w:rFonts w:ascii="宋体" w:hAnsi="宋体" w:eastAsia="宋体" w:cs="宋体"/>
                <w:spacing w:val="-5"/>
                <w:sz w:val="20"/>
                <w:szCs w:val="20"/>
              </w:rPr>
              <w:t>吨。</w:t>
            </w:r>
          </w:p>
        </w:tc>
        <w:tc>
          <w:tcPr>
            <w:tcW w:w="2943" w:type="dxa"/>
            <w:vAlign w:val="top"/>
          </w:tcPr>
          <w:p w14:paraId="396411A4">
            <w:pPr>
              <w:spacing w:line="312" w:lineRule="auto"/>
              <w:rPr>
                <w:rFonts w:ascii="Arial"/>
                <w:sz w:val="21"/>
              </w:rPr>
            </w:pPr>
          </w:p>
          <w:p w14:paraId="5959FCD6">
            <w:pPr>
              <w:spacing w:line="312" w:lineRule="auto"/>
              <w:rPr>
                <w:rFonts w:ascii="Arial"/>
                <w:sz w:val="21"/>
              </w:rPr>
            </w:pPr>
          </w:p>
          <w:p w14:paraId="63EBF132">
            <w:pPr>
              <w:spacing w:before="65" w:line="299" w:lineRule="auto"/>
              <w:ind w:left="29" w:firstLine="1"/>
              <w:rPr>
                <w:rFonts w:ascii="宋体" w:hAnsi="宋体" w:eastAsia="宋体" w:cs="宋体"/>
                <w:sz w:val="20"/>
                <w:szCs w:val="20"/>
              </w:rPr>
            </w:pPr>
            <w:r>
              <w:rPr>
                <w:rFonts w:ascii="宋体" w:hAnsi="宋体" w:eastAsia="宋体" w:cs="宋体"/>
                <w:spacing w:val="-10"/>
                <w:sz w:val="20"/>
                <w:szCs w:val="20"/>
              </w:rPr>
              <w:t>该</w:t>
            </w:r>
            <w:r>
              <w:rPr>
                <w:rFonts w:ascii="宋体" w:hAnsi="宋体" w:eastAsia="宋体" w:cs="宋体"/>
                <w:spacing w:val="-6"/>
                <w:sz w:val="20"/>
                <w:szCs w:val="20"/>
              </w:rPr>
              <w:t>项目为新建项目，破碎、清洗、</w:t>
            </w:r>
            <w:r>
              <w:rPr>
                <w:rFonts w:ascii="宋体" w:hAnsi="宋体" w:eastAsia="宋体" w:cs="宋体"/>
                <w:sz w:val="20"/>
                <w:szCs w:val="20"/>
              </w:rPr>
              <w:t xml:space="preserve"> </w:t>
            </w:r>
            <w:r>
              <w:rPr>
                <w:rFonts w:ascii="宋体" w:hAnsi="宋体" w:eastAsia="宋体" w:cs="宋体"/>
                <w:spacing w:val="1"/>
                <w:sz w:val="20"/>
                <w:szCs w:val="20"/>
              </w:rPr>
              <w:t xml:space="preserve">再生造粒生产能力 </w:t>
            </w:r>
            <w:r>
              <w:rPr>
                <w:rFonts w:ascii="Times New Roman" w:hAnsi="Times New Roman" w:eastAsia="Times New Roman" w:cs="Times New Roman"/>
                <w:spacing w:val="1"/>
                <w:sz w:val="20"/>
                <w:szCs w:val="20"/>
              </w:rPr>
              <w:t>50000</w:t>
            </w:r>
            <w:r>
              <w:rPr>
                <w:rFonts w:ascii="Times New Roman" w:hAnsi="Times New Roman" w:eastAsia="Times New Roman" w:cs="Times New Roman"/>
                <w:sz w:val="20"/>
                <w:szCs w:val="20"/>
              </w:rPr>
              <w:t>t</w:t>
            </w:r>
            <w:r>
              <w:rPr>
                <w:rFonts w:ascii="Times New Roman" w:hAnsi="Times New Roman" w:eastAsia="Times New Roman" w:cs="Times New Roman"/>
                <w:spacing w:val="1"/>
                <w:sz w:val="20"/>
                <w:szCs w:val="20"/>
              </w:rPr>
              <w:t>/</w:t>
            </w:r>
            <w:r>
              <w:rPr>
                <w:rFonts w:ascii="Times New Roman" w:hAnsi="Times New Roman" w:eastAsia="Times New Roman" w:cs="Times New Roman"/>
                <w:sz w:val="20"/>
                <w:szCs w:val="20"/>
              </w:rPr>
              <w:t>a</w:t>
            </w:r>
            <w:r>
              <w:rPr>
                <w:rFonts w:ascii="宋体" w:hAnsi="宋体" w:eastAsia="宋体" w:cs="宋体"/>
                <w:sz w:val="20"/>
                <w:szCs w:val="20"/>
              </w:rPr>
              <w:t>。</w:t>
            </w:r>
          </w:p>
        </w:tc>
        <w:tc>
          <w:tcPr>
            <w:tcW w:w="751" w:type="dxa"/>
            <w:tcBorders>
              <w:right w:val="nil"/>
            </w:tcBorders>
            <w:vAlign w:val="top"/>
          </w:tcPr>
          <w:p w14:paraId="112BB494">
            <w:pPr>
              <w:spacing w:line="258" w:lineRule="auto"/>
              <w:rPr>
                <w:rFonts w:ascii="Arial"/>
                <w:sz w:val="21"/>
              </w:rPr>
            </w:pPr>
          </w:p>
          <w:p w14:paraId="36173871">
            <w:pPr>
              <w:spacing w:line="259" w:lineRule="auto"/>
              <w:rPr>
                <w:rFonts w:ascii="Arial"/>
                <w:sz w:val="21"/>
              </w:rPr>
            </w:pPr>
          </w:p>
          <w:p w14:paraId="25EAF441">
            <w:pPr>
              <w:spacing w:line="259" w:lineRule="auto"/>
              <w:rPr>
                <w:rFonts w:ascii="Arial"/>
                <w:sz w:val="21"/>
              </w:rPr>
            </w:pPr>
          </w:p>
          <w:p w14:paraId="2E7CB53A">
            <w:pPr>
              <w:spacing w:before="65" w:line="228" w:lineRule="auto"/>
              <w:ind w:left="173"/>
              <w:rPr>
                <w:rFonts w:ascii="宋体" w:hAnsi="宋体" w:eastAsia="宋体" w:cs="宋体"/>
                <w:sz w:val="20"/>
                <w:szCs w:val="20"/>
              </w:rPr>
            </w:pPr>
            <w:r>
              <w:rPr>
                <w:rFonts w:ascii="宋体" w:hAnsi="宋体" w:eastAsia="宋体" w:cs="宋体"/>
                <w:spacing w:val="4"/>
                <w:sz w:val="20"/>
                <w:szCs w:val="20"/>
              </w:rPr>
              <w:t>符</w:t>
            </w:r>
            <w:r>
              <w:rPr>
                <w:rFonts w:ascii="宋体" w:hAnsi="宋体" w:eastAsia="宋体" w:cs="宋体"/>
                <w:spacing w:val="3"/>
                <w:sz w:val="20"/>
                <w:szCs w:val="20"/>
              </w:rPr>
              <w:t>合</w:t>
            </w:r>
          </w:p>
        </w:tc>
      </w:tr>
      <w:tr w14:paraId="0D968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6" w:hRule="atLeast"/>
        </w:trPr>
        <w:tc>
          <w:tcPr>
            <w:tcW w:w="560" w:type="dxa"/>
            <w:tcBorders>
              <w:left w:val="nil"/>
            </w:tcBorders>
            <w:vAlign w:val="top"/>
          </w:tcPr>
          <w:p w14:paraId="05069908">
            <w:pPr>
              <w:spacing w:line="317" w:lineRule="auto"/>
              <w:rPr>
                <w:rFonts w:ascii="Arial"/>
                <w:sz w:val="21"/>
              </w:rPr>
            </w:pPr>
          </w:p>
          <w:p w14:paraId="1338123F">
            <w:pPr>
              <w:spacing w:before="65" w:line="229" w:lineRule="auto"/>
              <w:ind w:left="86"/>
              <w:rPr>
                <w:rFonts w:ascii="宋体" w:hAnsi="宋体" w:eastAsia="宋体" w:cs="宋体"/>
                <w:sz w:val="20"/>
                <w:szCs w:val="20"/>
              </w:rPr>
            </w:pPr>
            <w:r>
              <w:rPr>
                <w:rFonts w:ascii="宋体" w:hAnsi="宋体" w:eastAsia="宋体" w:cs="宋体"/>
                <w:sz w:val="20"/>
                <w:szCs w:val="20"/>
              </w:rPr>
              <w:t>资源</w:t>
            </w:r>
          </w:p>
          <w:p w14:paraId="5785A597">
            <w:pPr>
              <w:spacing w:before="61" w:line="228" w:lineRule="auto"/>
              <w:ind w:left="80"/>
              <w:rPr>
                <w:rFonts w:ascii="宋体" w:hAnsi="宋体" w:eastAsia="宋体" w:cs="宋体"/>
                <w:sz w:val="20"/>
                <w:szCs w:val="20"/>
              </w:rPr>
            </w:pPr>
            <w:r>
              <w:rPr>
                <w:rFonts w:ascii="宋体" w:hAnsi="宋体" w:eastAsia="宋体" w:cs="宋体"/>
                <w:spacing w:val="4"/>
                <w:sz w:val="20"/>
                <w:szCs w:val="20"/>
              </w:rPr>
              <w:t>综</w:t>
            </w:r>
            <w:r>
              <w:rPr>
                <w:rFonts w:ascii="宋体" w:hAnsi="宋体" w:eastAsia="宋体" w:cs="宋体"/>
                <w:spacing w:val="3"/>
                <w:sz w:val="20"/>
                <w:szCs w:val="20"/>
              </w:rPr>
              <w:t>合</w:t>
            </w:r>
          </w:p>
          <w:p w14:paraId="36907215">
            <w:pPr>
              <w:spacing w:before="62" w:line="229" w:lineRule="auto"/>
              <w:ind w:left="78"/>
              <w:rPr>
                <w:rFonts w:ascii="宋体" w:hAnsi="宋体" w:eastAsia="宋体" w:cs="宋体"/>
                <w:sz w:val="20"/>
                <w:szCs w:val="20"/>
              </w:rPr>
            </w:pPr>
            <w:r>
              <w:rPr>
                <w:rFonts w:ascii="宋体" w:hAnsi="宋体" w:eastAsia="宋体" w:cs="宋体"/>
                <w:spacing w:val="4"/>
                <w:sz w:val="20"/>
                <w:szCs w:val="20"/>
              </w:rPr>
              <w:t>利用</w:t>
            </w:r>
          </w:p>
          <w:p w14:paraId="251993F0">
            <w:pPr>
              <w:spacing w:before="61" w:line="229" w:lineRule="auto"/>
              <w:ind w:left="76"/>
              <w:rPr>
                <w:rFonts w:ascii="宋体" w:hAnsi="宋体" w:eastAsia="宋体" w:cs="宋体"/>
                <w:sz w:val="20"/>
                <w:szCs w:val="20"/>
              </w:rPr>
            </w:pPr>
            <w:r>
              <w:rPr>
                <w:rFonts w:ascii="宋体" w:hAnsi="宋体" w:eastAsia="宋体" w:cs="宋体"/>
                <w:spacing w:val="5"/>
                <w:sz w:val="20"/>
                <w:szCs w:val="20"/>
              </w:rPr>
              <w:t>及能</w:t>
            </w:r>
          </w:p>
          <w:p w14:paraId="14498C0D">
            <w:pPr>
              <w:spacing w:before="61" w:line="228" w:lineRule="auto"/>
              <w:ind w:left="184"/>
              <w:rPr>
                <w:rFonts w:ascii="宋体" w:hAnsi="宋体" w:eastAsia="宋体" w:cs="宋体"/>
                <w:sz w:val="20"/>
                <w:szCs w:val="20"/>
              </w:rPr>
            </w:pPr>
            <w:r>
              <w:rPr>
                <w:rFonts w:ascii="宋体" w:hAnsi="宋体" w:eastAsia="宋体" w:cs="宋体"/>
                <w:sz w:val="20"/>
                <w:szCs w:val="20"/>
              </w:rPr>
              <w:t>耗</w:t>
            </w:r>
          </w:p>
        </w:tc>
        <w:tc>
          <w:tcPr>
            <w:tcW w:w="4268" w:type="dxa"/>
            <w:vAlign w:val="top"/>
          </w:tcPr>
          <w:p w14:paraId="783C0372">
            <w:pPr>
              <w:spacing w:before="71" w:line="258" w:lineRule="auto"/>
              <w:ind w:left="27" w:right="8" w:firstLine="17"/>
              <w:rPr>
                <w:rFonts w:ascii="宋体" w:hAnsi="宋体" w:eastAsia="宋体" w:cs="宋体"/>
                <w:sz w:val="20"/>
                <w:szCs w:val="20"/>
              </w:rPr>
            </w:pPr>
            <w:r>
              <w:rPr>
                <w:rFonts w:ascii="Times New Roman" w:hAnsi="Times New Roman" w:eastAsia="Times New Roman" w:cs="Times New Roman"/>
                <w:spacing w:val="-7"/>
                <w:sz w:val="20"/>
                <w:szCs w:val="20"/>
              </w:rPr>
              <w:t>1</w:t>
            </w:r>
            <w:r>
              <w:rPr>
                <w:rFonts w:ascii="宋体" w:hAnsi="宋体" w:eastAsia="宋体" w:cs="宋体"/>
                <w:spacing w:val="-4"/>
                <w:sz w:val="20"/>
                <w:szCs w:val="20"/>
              </w:rPr>
              <w:t>、企业应对收集的废塑料进行充分利用，提高资</w:t>
            </w:r>
            <w:r>
              <w:rPr>
                <w:rFonts w:ascii="宋体" w:hAnsi="宋体" w:eastAsia="宋体" w:cs="宋体"/>
                <w:sz w:val="20"/>
                <w:szCs w:val="20"/>
              </w:rPr>
              <w:t xml:space="preserve"> </w:t>
            </w:r>
            <w:r>
              <w:rPr>
                <w:rFonts w:ascii="宋体" w:hAnsi="宋体" w:eastAsia="宋体" w:cs="宋体"/>
                <w:spacing w:val="-2"/>
                <w:sz w:val="20"/>
                <w:szCs w:val="20"/>
              </w:rPr>
              <w:t>源回收利用效率，不得倾倒、焚烧</w:t>
            </w:r>
            <w:r>
              <w:rPr>
                <w:rFonts w:ascii="宋体" w:hAnsi="宋体" w:eastAsia="宋体" w:cs="宋体"/>
                <w:spacing w:val="-1"/>
                <w:sz w:val="20"/>
                <w:szCs w:val="20"/>
              </w:rPr>
              <w:t>与填埋。</w:t>
            </w:r>
          </w:p>
          <w:p w14:paraId="1AA78464">
            <w:pPr>
              <w:spacing w:before="62" w:line="264" w:lineRule="exact"/>
              <w:ind w:left="25"/>
              <w:rPr>
                <w:rFonts w:ascii="宋体" w:hAnsi="宋体" w:eastAsia="宋体" w:cs="宋体"/>
                <w:sz w:val="20"/>
                <w:szCs w:val="20"/>
              </w:rPr>
            </w:pPr>
            <w:r>
              <w:rPr>
                <w:rFonts w:ascii="Times New Roman" w:hAnsi="Times New Roman" w:eastAsia="Times New Roman" w:cs="Times New Roman"/>
                <w:spacing w:val="6"/>
                <w:position w:val="1"/>
                <w:sz w:val="20"/>
                <w:szCs w:val="20"/>
              </w:rPr>
              <w:t xml:space="preserve">2 </w:t>
            </w:r>
            <w:r>
              <w:rPr>
                <w:rFonts w:ascii="宋体" w:hAnsi="宋体" w:eastAsia="宋体" w:cs="宋体"/>
                <w:spacing w:val="6"/>
                <w:position w:val="1"/>
                <w:sz w:val="20"/>
                <w:szCs w:val="20"/>
              </w:rPr>
              <w:t>、</w:t>
            </w:r>
            <w:r>
              <w:rPr>
                <w:rFonts w:ascii="宋体" w:hAnsi="宋体" w:eastAsia="宋体" w:cs="宋体"/>
                <w:spacing w:val="5"/>
                <w:position w:val="1"/>
                <w:sz w:val="20"/>
                <w:szCs w:val="20"/>
              </w:rPr>
              <w:t>塑</w:t>
            </w:r>
            <w:r>
              <w:rPr>
                <w:rFonts w:ascii="宋体" w:hAnsi="宋体" w:eastAsia="宋体" w:cs="宋体"/>
                <w:spacing w:val="3"/>
                <w:position w:val="1"/>
                <w:sz w:val="20"/>
                <w:szCs w:val="20"/>
              </w:rPr>
              <w:t>料再生加工相关生产环节的综合电耗低于</w:t>
            </w:r>
          </w:p>
          <w:p w14:paraId="635E09D2">
            <w:pPr>
              <w:spacing w:before="8" w:line="281" w:lineRule="exact"/>
              <w:ind w:left="30"/>
              <w:rPr>
                <w:rFonts w:ascii="宋体" w:hAnsi="宋体" w:eastAsia="宋体" w:cs="宋体"/>
                <w:sz w:val="20"/>
                <w:szCs w:val="20"/>
              </w:rPr>
            </w:pPr>
            <w:r>
              <w:rPr>
                <w:rFonts w:ascii="Times New Roman" w:hAnsi="Times New Roman" w:eastAsia="Times New Roman" w:cs="Times New Roman"/>
                <w:spacing w:val="-2"/>
                <w:position w:val="1"/>
                <w:sz w:val="20"/>
                <w:szCs w:val="20"/>
              </w:rPr>
              <w:t xml:space="preserve">500 </w:t>
            </w:r>
            <w:r>
              <w:rPr>
                <w:rFonts w:ascii="宋体" w:hAnsi="宋体" w:eastAsia="宋体" w:cs="宋体"/>
                <w:spacing w:val="-2"/>
                <w:position w:val="1"/>
                <w:sz w:val="20"/>
                <w:szCs w:val="20"/>
              </w:rPr>
              <w:t>千瓦时</w:t>
            </w:r>
            <w:r>
              <w:rPr>
                <w:rFonts w:ascii="Times New Roman" w:hAnsi="Times New Roman" w:eastAsia="Times New Roman" w:cs="Times New Roman"/>
                <w:spacing w:val="-2"/>
                <w:position w:val="1"/>
                <w:sz w:val="20"/>
                <w:szCs w:val="20"/>
              </w:rPr>
              <w:t>/</w:t>
            </w:r>
            <w:r>
              <w:rPr>
                <w:rFonts w:ascii="宋体" w:hAnsi="宋体" w:eastAsia="宋体" w:cs="宋体"/>
                <w:spacing w:val="-2"/>
                <w:position w:val="1"/>
                <w:sz w:val="20"/>
                <w:szCs w:val="20"/>
              </w:rPr>
              <w:t>吨废</w:t>
            </w:r>
            <w:r>
              <w:rPr>
                <w:rFonts w:ascii="宋体" w:hAnsi="宋体" w:eastAsia="宋体" w:cs="宋体"/>
                <w:spacing w:val="-1"/>
                <w:position w:val="1"/>
                <w:sz w:val="20"/>
                <w:szCs w:val="20"/>
              </w:rPr>
              <w:t>塑料。</w:t>
            </w:r>
          </w:p>
          <w:p w14:paraId="6B361F15">
            <w:pPr>
              <w:spacing w:before="66" w:line="273" w:lineRule="auto"/>
              <w:ind w:left="38" w:right="14" w:hanging="9"/>
              <w:rPr>
                <w:rFonts w:ascii="宋体" w:hAnsi="宋体" w:eastAsia="宋体" w:cs="宋体"/>
                <w:sz w:val="20"/>
                <w:szCs w:val="20"/>
              </w:rPr>
            </w:pPr>
            <w:r>
              <w:rPr>
                <w:rFonts w:ascii="Times New Roman" w:hAnsi="Times New Roman" w:eastAsia="Times New Roman" w:cs="Times New Roman"/>
                <w:spacing w:val="-2"/>
                <w:sz w:val="20"/>
                <w:szCs w:val="20"/>
              </w:rPr>
              <w:t>3</w:t>
            </w:r>
            <w:r>
              <w:rPr>
                <w:rFonts w:ascii="宋体" w:hAnsi="宋体" w:eastAsia="宋体" w:cs="宋体"/>
                <w:spacing w:val="-2"/>
                <w:sz w:val="20"/>
                <w:szCs w:val="20"/>
              </w:rPr>
              <w:t>、塑料再生造</w:t>
            </w:r>
            <w:r>
              <w:rPr>
                <w:rFonts w:ascii="宋体" w:hAnsi="宋体" w:eastAsia="宋体" w:cs="宋体"/>
                <w:spacing w:val="-1"/>
                <w:sz w:val="20"/>
                <w:szCs w:val="20"/>
              </w:rPr>
              <w:t xml:space="preserve">粒类企业的综合新水消耗低于 </w:t>
            </w:r>
            <w:r>
              <w:rPr>
                <w:rFonts w:ascii="Times New Roman" w:hAnsi="Times New Roman" w:eastAsia="Times New Roman" w:cs="Times New Roman"/>
                <w:spacing w:val="-1"/>
                <w:sz w:val="20"/>
                <w:szCs w:val="20"/>
              </w:rPr>
              <w:t>0.2</w:t>
            </w:r>
            <w:r>
              <w:rPr>
                <w:rFonts w:ascii="Times New Roman" w:hAnsi="Times New Roman" w:eastAsia="Times New Roman" w:cs="Times New Roman"/>
                <w:sz w:val="20"/>
                <w:szCs w:val="20"/>
              </w:rPr>
              <w:t xml:space="preserve"> </w:t>
            </w:r>
            <w:r>
              <w:rPr>
                <w:rFonts w:ascii="宋体" w:hAnsi="宋体" w:eastAsia="宋体" w:cs="宋体"/>
                <w:spacing w:val="-5"/>
                <w:sz w:val="20"/>
                <w:szCs w:val="20"/>
              </w:rPr>
              <w:t>吨</w:t>
            </w:r>
            <w:r>
              <w:rPr>
                <w:rFonts w:ascii="Times New Roman" w:hAnsi="Times New Roman" w:eastAsia="Times New Roman" w:cs="Times New Roman"/>
                <w:spacing w:val="-3"/>
                <w:sz w:val="20"/>
                <w:szCs w:val="20"/>
              </w:rPr>
              <w:t>/</w:t>
            </w:r>
            <w:r>
              <w:rPr>
                <w:rFonts w:ascii="宋体" w:hAnsi="宋体" w:eastAsia="宋体" w:cs="宋体"/>
                <w:spacing w:val="-3"/>
                <w:sz w:val="20"/>
                <w:szCs w:val="20"/>
              </w:rPr>
              <w:t>吨废塑料。</w:t>
            </w:r>
          </w:p>
          <w:p w14:paraId="3C92B2C9">
            <w:pPr>
              <w:spacing w:before="27" w:line="264" w:lineRule="exact"/>
              <w:ind w:left="24"/>
              <w:rPr>
                <w:rFonts w:ascii="宋体" w:hAnsi="宋体" w:eastAsia="宋体" w:cs="宋体"/>
                <w:sz w:val="20"/>
                <w:szCs w:val="20"/>
              </w:rPr>
            </w:pPr>
            <w:r>
              <w:rPr>
                <w:rFonts w:ascii="Times New Roman" w:hAnsi="Times New Roman" w:eastAsia="Times New Roman" w:cs="Times New Roman"/>
                <w:spacing w:val="-2"/>
                <w:position w:val="1"/>
                <w:sz w:val="20"/>
                <w:szCs w:val="20"/>
              </w:rPr>
              <w:t>4</w:t>
            </w:r>
            <w:r>
              <w:rPr>
                <w:rFonts w:ascii="宋体" w:hAnsi="宋体" w:eastAsia="宋体" w:cs="宋体"/>
                <w:spacing w:val="-2"/>
                <w:position w:val="1"/>
                <w:sz w:val="20"/>
                <w:szCs w:val="20"/>
              </w:rPr>
              <w:t>、其他生产单耗需满</w:t>
            </w:r>
            <w:r>
              <w:rPr>
                <w:rFonts w:ascii="宋体" w:hAnsi="宋体" w:eastAsia="宋体" w:cs="宋体"/>
                <w:spacing w:val="-1"/>
                <w:position w:val="1"/>
                <w:sz w:val="20"/>
                <w:szCs w:val="20"/>
              </w:rPr>
              <w:t>足国家相关标准。</w:t>
            </w:r>
          </w:p>
        </w:tc>
        <w:tc>
          <w:tcPr>
            <w:tcW w:w="2943" w:type="dxa"/>
            <w:vAlign w:val="top"/>
          </w:tcPr>
          <w:p w14:paraId="1251746D">
            <w:pPr>
              <w:spacing w:line="315" w:lineRule="auto"/>
              <w:rPr>
                <w:rFonts w:ascii="Arial"/>
                <w:sz w:val="21"/>
              </w:rPr>
            </w:pPr>
          </w:p>
          <w:p w14:paraId="40602497">
            <w:pPr>
              <w:spacing w:before="65" w:line="293" w:lineRule="auto"/>
              <w:ind w:left="29" w:right="21" w:firstLine="1"/>
              <w:rPr>
                <w:rFonts w:ascii="宋体" w:hAnsi="宋体" w:eastAsia="宋体" w:cs="宋体"/>
                <w:sz w:val="20"/>
                <w:szCs w:val="20"/>
              </w:rPr>
            </w:pPr>
            <w:r>
              <w:rPr>
                <w:rFonts w:ascii="宋体" w:hAnsi="宋体" w:eastAsia="宋体" w:cs="宋体"/>
                <w:spacing w:val="22"/>
                <w:sz w:val="20"/>
                <w:szCs w:val="20"/>
              </w:rPr>
              <w:t>该项目原料中的杂质由环卫</w:t>
            </w:r>
            <w:r>
              <w:rPr>
                <w:rFonts w:ascii="宋体" w:hAnsi="宋体" w:eastAsia="宋体" w:cs="宋体"/>
                <w:spacing w:val="21"/>
                <w:sz w:val="20"/>
                <w:szCs w:val="20"/>
              </w:rPr>
              <w:t>部</w:t>
            </w:r>
            <w:r>
              <w:rPr>
                <w:rFonts w:ascii="宋体" w:hAnsi="宋体" w:eastAsia="宋体" w:cs="宋体"/>
                <w:sz w:val="20"/>
                <w:szCs w:val="20"/>
              </w:rPr>
              <w:t xml:space="preserve"> </w:t>
            </w:r>
            <w:r>
              <w:rPr>
                <w:rFonts w:ascii="宋体" w:hAnsi="宋体" w:eastAsia="宋体" w:cs="宋体"/>
                <w:spacing w:val="6"/>
                <w:sz w:val="20"/>
                <w:szCs w:val="20"/>
              </w:rPr>
              <w:t>门统一处理，废旧塑料全部用于</w:t>
            </w:r>
            <w:r>
              <w:rPr>
                <w:rFonts w:ascii="宋体" w:hAnsi="宋体" w:eastAsia="宋体" w:cs="宋体"/>
                <w:sz w:val="20"/>
                <w:szCs w:val="20"/>
              </w:rPr>
              <w:t xml:space="preserve"> </w:t>
            </w:r>
            <w:r>
              <w:rPr>
                <w:rFonts w:ascii="宋体" w:hAnsi="宋体" w:eastAsia="宋体" w:cs="宋体"/>
                <w:spacing w:val="4"/>
                <w:sz w:val="20"/>
                <w:szCs w:val="20"/>
              </w:rPr>
              <w:t>再</w:t>
            </w:r>
            <w:r>
              <w:rPr>
                <w:rFonts w:ascii="宋体" w:hAnsi="宋体" w:eastAsia="宋体" w:cs="宋体"/>
                <w:spacing w:val="3"/>
                <w:sz w:val="20"/>
                <w:szCs w:val="20"/>
              </w:rPr>
              <w:t>生</w:t>
            </w:r>
            <w:r>
              <w:rPr>
                <w:rFonts w:ascii="宋体" w:hAnsi="宋体" w:eastAsia="宋体" w:cs="宋体"/>
                <w:spacing w:val="2"/>
                <w:sz w:val="20"/>
                <w:szCs w:val="20"/>
              </w:rPr>
              <w:t xml:space="preserve">造粒，综合电耗为 </w:t>
            </w:r>
            <w:r>
              <w:rPr>
                <w:rFonts w:ascii="Times New Roman" w:hAnsi="Times New Roman" w:eastAsia="Times New Roman" w:cs="Times New Roman"/>
                <w:spacing w:val="2"/>
                <w:sz w:val="20"/>
                <w:szCs w:val="20"/>
              </w:rPr>
              <w:t xml:space="preserve">260 </w:t>
            </w:r>
            <w:r>
              <w:rPr>
                <w:rFonts w:ascii="宋体" w:hAnsi="宋体" w:eastAsia="宋体" w:cs="宋体"/>
                <w:spacing w:val="2"/>
                <w:sz w:val="20"/>
                <w:szCs w:val="20"/>
              </w:rPr>
              <w:t>千瓦</w:t>
            </w:r>
            <w:r>
              <w:rPr>
                <w:rFonts w:ascii="宋体" w:hAnsi="宋体" w:eastAsia="宋体" w:cs="宋体"/>
                <w:sz w:val="20"/>
                <w:szCs w:val="20"/>
              </w:rPr>
              <w:t xml:space="preserve"> </w:t>
            </w:r>
            <w:r>
              <w:rPr>
                <w:rFonts w:ascii="宋体" w:hAnsi="宋体" w:eastAsia="宋体" w:cs="宋体"/>
                <w:spacing w:val="3"/>
                <w:sz w:val="20"/>
                <w:szCs w:val="20"/>
              </w:rPr>
              <w:t>时</w:t>
            </w:r>
            <w:r>
              <w:rPr>
                <w:rFonts w:ascii="Times New Roman" w:hAnsi="Times New Roman" w:eastAsia="Times New Roman" w:cs="Times New Roman"/>
                <w:spacing w:val="2"/>
                <w:sz w:val="20"/>
                <w:szCs w:val="20"/>
              </w:rPr>
              <w:t>/</w:t>
            </w:r>
            <w:r>
              <w:rPr>
                <w:rFonts w:ascii="宋体" w:hAnsi="宋体" w:eastAsia="宋体" w:cs="宋体"/>
                <w:spacing w:val="2"/>
                <w:sz w:val="20"/>
                <w:szCs w:val="20"/>
              </w:rPr>
              <w:t>吨废塑料，项目生产过程新水</w:t>
            </w:r>
            <w:r>
              <w:rPr>
                <w:rFonts w:ascii="宋体" w:hAnsi="宋体" w:eastAsia="宋体" w:cs="宋体"/>
                <w:sz w:val="20"/>
                <w:szCs w:val="20"/>
              </w:rPr>
              <w:t xml:space="preserve"> </w:t>
            </w:r>
            <w:r>
              <w:rPr>
                <w:rFonts w:ascii="宋体" w:hAnsi="宋体" w:eastAsia="宋体" w:cs="宋体"/>
                <w:spacing w:val="-2"/>
                <w:sz w:val="20"/>
                <w:szCs w:val="20"/>
              </w:rPr>
              <w:t xml:space="preserve">消耗 </w:t>
            </w:r>
            <w:r>
              <w:rPr>
                <w:rFonts w:ascii="Times New Roman" w:hAnsi="Times New Roman" w:eastAsia="Times New Roman" w:cs="Times New Roman"/>
                <w:spacing w:val="-2"/>
                <w:sz w:val="20"/>
                <w:szCs w:val="20"/>
              </w:rPr>
              <w:t>0. 1</w:t>
            </w:r>
            <w:r>
              <w:rPr>
                <w:rFonts w:ascii="Times New Roman" w:hAnsi="Times New Roman" w:eastAsia="Times New Roman" w:cs="Times New Roman"/>
                <w:spacing w:val="-1"/>
                <w:sz w:val="20"/>
                <w:szCs w:val="20"/>
              </w:rPr>
              <w:t xml:space="preserve"> </w:t>
            </w:r>
            <w:r>
              <w:rPr>
                <w:rFonts w:ascii="宋体" w:hAnsi="宋体" w:eastAsia="宋体" w:cs="宋体"/>
                <w:spacing w:val="-1"/>
                <w:sz w:val="20"/>
                <w:szCs w:val="20"/>
              </w:rPr>
              <w:t>吨</w:t>
            </w:r>
            <w:r>
              <w:rPr>
                <w:rFonts w:ascii="Times New Roman" w:hAnsi="Times New Roman" w:eastAsia="Times New Roman" w:cs="Times New Roman"/>
                <w:spacing w:val="-1"/>
                <w:sz w:val="20"/>
                <w:szCs w:val="20"/>
              </w:rPr>
              <w:t>/</w:t>
            </w:r>
            <w:r>
              <w:rPr>
                <w:rFonts w:ascii="宋体" w:hAnsi="宋体" w:eastAsia="宋体" w:cs="宋体"/>
                <w:spacing w:val="-1"/>
                <w:sz w:val="20"/>
                <w:szCs w:val="20"/>
              </w:rPr>
              <w:t>吨废塑料。</w:t>
            </w:r>
          </w:p>
        </w:tc>
        <w:tc>
          <w:tcPr>
            <w:tcW w:w="751" w:type="dxa"/>
            <w:tcBorders>
              <w:right w:val="nil"/>
            </w:tcBorders>
            <w:vAlign w:val="top"/>
          </w:tcPr>
          <w:p w14:paraId="1B67FDD3">
            <w:pPr>
              <w:spacing w:line="310" w:lineRule="auto"/>
              <w:rPr>
                <w:rFonts w:ascii="Arial"/>
                <w:sz w:val="21"/>
              </w:rPr>
            </w:pPr>
          </w:p>
          <w:p w14:paraId="1C62F458">
            <w:pPr>
              <w:spacing w:line="311" w:lineRule="auto"/>
              <w:rPr>
                <w:rFonts w:ascii="Arial"/>
                <w:sz w:val="21"/>
              </w:rPr>
            </w:pPr>
          </w:p>
          <w:p w14:paraId="32ABD14E">
            <w:pPr>
              <w:spacing w:line="311" w:lineRule="auto"/>
              <w:rPr>
                <w:rFonts w:ascii="Arial"/>
                <w:sz w:val="21"/>
              </w:rPr>
            </w:pPr>
          </w:p>
          <w:p w14:paraId="57D411D5">
            <w:pPr>
              <w:spacing w:before="65" w:line="228" w:lineRule="auto"/>
              <w:ind w:left="173"/>
              <w:rPr>
                <w:rFonts w:ascii="宋体" w:hAnsi="宋体" w:eastAsia="宋体" w:cs="宋体"/>
                <w:sz w:val="20"/>
                <w:szCs w:val="20"/>
              </w:rPr>
            </w:pPr>
            <w:r>
              <w:rPr>
                <w:rFonts w:ascii="宋体" w:hAnsi="宋体" w:eastAsia="宋体" w:cs="宋体"/>
                <w:spacing w:val="4"/>
                <w:sz w:val="20"/>
                <w:szCs w:val="20"/>
              </w:rPr>
              <w:t>符</w:t>
            </w:r>
            <w:r>
              <w:rPr>
                <w:rFonts w:ascii="宋体" w:hAnsi="宋体" w:eastAsia="宋体" w:cs="宋体"/>
                <w:spacing w:val="3"/>
                <w:sz w:val="20"/>
                <w:szCs w:val="20"/>
              </w:rPr>
              <w:t>合</w:t>
            </w:r>
          </w:p>
        </w:tc>
      </w:tr>
    </w:tbl>
    <w:p w14:paraId="1F8CA92D">
      <w:pPr>
        <w:rPr>
          <w:rFonts w:ascii="Arial"/>
          <w:sz w:val="21"/>
        </w:rPr>
      </w:pPr>
    </w:p>
    <w:p w14:paraId="719FB8CE">
      <w:pPr>
        <w:sectPr>
          <w:headerReference r:id="rId16" w:type="default"/>
          <w:footerReference r:id="rId17" w:type="default"/>
          <w:pgSz w:w="11906" w:h="16839"/>
          <w:pgMar w:top="1132" w:right="1691" w:bottom="897" w:left="1691" w:header="878" w:footer="739" w:gutter="0"/>
          <w:cols w:space="720" w:num="1"/>
        </w:sectPr>
      </w:pPr>
    </w:p>
    <w:p w14:paraId="54849F5D">
      <w:r>
        <w:pict>
          <v:rect id="_x0000_s1035" o:spid="_x0000_s1035" o:spt="1" style="position:absolute;left:0pt;margin-left:90pt;margin-top:57.35pt;height:0.75pt;width:415.3pt;mso-position-horizontal-relative:page;mso-position-vertical-relative:page;z-index:251673600;mso-width-relative:page;mso-height-relative:page;" fillcolor="#000000" filled="t" stroked="f" coordsize="21600,21600" o:allowincell="f">
            <v:path/>
            <v:fill on="t" focussize="0,0"/>
            <v:stroke on="f"/>
            <v:imagedata o:title=""/>
            <o:lock v:ext="edit"/>
          </v:rect>
        </w:pict>
      </w:r>
    </w:p>
    <w:p w14:paraId="6C52F7AB">
      <w:pPr>
        <w:spacing w:line="65"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0"/>
        <w:gridCol w:w="4268"/>
        <w:gridCol w:w="2943"/>
        <w:gridCol w:w="751"/>
      </w:tblGrid>
      <w:tr w14:paraId="307DC6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198" w:hRule="atLeast"/>
        </w:trPr>
        <w:tc>
          <w:tcPr>
            <w:tcW w:w="560" w:type="dxa"/>
            <w:tcBorders>
              <w:left w:val="nil"/>
            </w:tcBorders>
            <w:vAlign w:val="top"/>
          </w:tcPr>
          <w:p w14:paraId="32540511">
            <w:pPr>
              <w:spacing w:line="322" w:lineRule="auto"/>
              <w:rPr>
                <w:rFonts w:ascii="Arial"/>
                <w:sz w:val="21"/>
              </w:rPr>
            </w:pPr>
          </w:p>
          <w:p w14:paraId="69ED6613">
            <w:pPr>
              <w:spacing w:line="322" w:lineRule="auto"/>
              <w:rPr>
                <w:rFonts w:ascii="Arial"/>
                <w:sz w:val="21"/>
              </w:rPr>
            </w:pPr>
          </w:p>
          <w:p w14:paraId="3C5A8A8C">
            <w:pPr>
              <w:spacing w:before="65" w:line="238" w:lineRule="auto"/>
              <w:ind w:left="80"/>
              <w:rPr>
                <w:rFonts w:ascii="宋体" w:hAnsi="宋体" w:eastAsia="宋体" w:cs="宋体"/>
                <w:sz w:val="20"/>
                <w:szCs w:val="20"/>
              </w:rPr>
            </w:pPr>
            <w:r>
              <w:rPr>
                <w:rFonts w:ascii="宋体" w:hAnsi="宋体" w:eastAsia="宋体" w:cs="宋体"/>
                <w:spacing w:val="4"/>
                <w:sz w:val="20"/>
                <w:szCs w:val="20"/>
              </w:rPr>
              <w:t>工</w:t>
            </w:r>
            <w:r>
              <w:rPr>
                <w:rFonts w:ascii="宋体" w:hAnsi="宋体" w:eastAsia="宋体" w:cs="宋体"/>
                <w:spacing w:val="3"/>
                <w:sz w:val="20"/>
                <w:szCs w:val="20"/>
              </w:rPr>
              <w:t>艺</w:t>
            </w:r>
          </w:p>
          <w:p w14:paraId="42D38B45">
            <w:pPr>
              <w:spacing w:before="52" w:line="228" w:lineRule="auto"/>
              <w:ind w:left="81"/>
              <w:rPr>
                <w:rFonts w:ascii="宋体" w:hAnsi="宋体" w:eastAsia="宋体" w:cs="宋体"/>
                <w:sz w:val="20"/>
                <w:szCs w:val="20"/>
              </w:rPr>
            </w:pPr>
            <w:r>
              <w:rPr>
                <w:rFonts w:ascii="宋体" w:hAnsi="宋体" w:eastAsia="宋体" w:cs="宋体"/>
                <w:spacing w:val="3"/>
                <w:sz w:val="20"/>
                <w:szCs w:val="20"/>
              </w:rPr>
              <w:t>与</w:t>
            </w:r>
            <w:r>
              <w:rPr>
                <w:rFonts w:ascii="宋体" w:hAnsi="宋体" w:eastAsia="宋体" w:cs="宋体"/>
                <w:spacing w:val="2"/>
                <w:sz w:val="20"/>
                <w:szCs w:val="20"/>
              </w:rPr>
              <w:t>装</w:t>
            </w:r>
          </w:p>
          <w:p w14:paraId="2CDE9620">
            <w:pPr>
              <w:spacing w:before="62" w:line="229" w:lineRule="auto"/>
              <w:ind w:left="185"/>
              <w:rPr>
                <w:rFonts w:ascii="宋体" w:hAnsi="宋体" w:eastAsia="宋体" w:cs="宋体"/>
                <w:sz w:val="20"/>
                <w:szCs w:val="20"/>
              </w:rPr>
            </w:pPr>
            <w:r>
              <w:rPr>
                <w:rFonts w:ascii="宋体" w:hAnsi="宋体" w:eastAsia="宋体" w:cs="宋体"/>
                <w:sz w:val="20"/>
                <w:szCs w:val="20"/>
              </w:rPr>
              <w:t>备</w:t>
            </w:r>
          </w:p>
        </w:tc>
        <w:tc>
          <w:tcPr>
            <w:tcW w:w="4268" w:type="dxa"/>
            <w:vAlign w:val="top"/>
          </w:tcPr>
          <w:p w14:paraId="1010AE0E">
            <w:pPr>
              <w:spacing w:line="337" w:lineRule="auto"/>
              <w:rPr>
                <w:rFonts w:ascii="Arial"/>
                <w:sz w:val="21"/>
              </w:rPr>
            </w:pPr>
          </w:p>
          <w:p w14:paraId="392A02C2">
            <w:pPr>
              <w:spacing w:before="65" w:line="291" w:lineRule="auto"/>
              <w:ind w:left="28" w:right="8" w:firstLine="4"/>
              <w:rPr>
                <w:rFonts w:ascii="宋体" w:hAnsi="宋体" w:eastAsia="宋体" w:cs="宋体"/>
                <w:sz w:val="20"/>
                <w:szCs w:val="20"/>
              </w:rPr>
            </w:pPr>
            <w:r>
              <w:rPr>
                <w:rFonts w:ascii="宋体" w:hAnsi="宋体" w:eastAsia="宋体" w:cs="宋体"/>
                <w:spacing w:val="1"/>
                <w:sz w:val="20"/>
                <w:szCs w:val="20"/>
              </w:rPr>
              <w:t>塑料再生造粒类企业：应具有与加工利用能力相</w:t>
            </w:r>
            <w:r>
              <w:rPr>
                <w:rFonts w:ascii="宋体" w:hAnsi="宋体" w:eastAsia="宋体" w:cs="宋体"/>
                <w:sz w:val="20"/>
                <w:szCs w:val="20"/>
              </w:rPr>
              <w:t xml:space="preserve"> </w:t>
            </w:r>
            <w:r>
              <w:rPr>
                <w:rFonts w:ascii="宋体" w:hAnsi="宋体" w:eastAsia="宋体" w:cs="宋体"/>
                <w:spacing w:val="2"/>
                <w:sz w:val="20"/>
                <w:szCs w:val="20"/>
              </w:rPr>
              <w:t>适应的预</w:t>
            </w:r>
            <w:r>
              <w:rPr>
                <w:rFonts w:ascii="宋体" w:hAnsi="宋体" w:eastAsia="宋体" w:cs="宋体"/>
                <w:spacing w:val="1"/>
                <w:sz w:val="20"/>
                <w:szCs w:val="20"/>
              </w:rPr>
              <w:t>处理设备和造粒设备。其中，造粒设备</w:t>
            </w:r>
            <w:r>
              <w:rPr>
                <w:rFonts w:ascii="宋体" w:hAnsi="宋体" w:eastAsia="宋体" w:cs="宋体"/>
                <w:sz w:val="20"/>
                <w:szCs w:val="20"/>
              </w:rPr>
              <w:t xml:space="preserve"> </w:t>
            </w:r>
            <w:r>
              <w:rPr>
                <w:rFonts w:ascii="宋体" w:hAnsi="宋体" w:eastAsia="宋体" w:cs="宋体"/>
                <w:spacing w:val="2"/>
                <w:sz w:val="20"/>
                <w:szCs w:val="20"/>
              </w:rPr>
              <w:t>应具有强</w:t>
            </w:r>
            <w:r>
              <w:rPr>
                <w:rFonts w:ascii="宋体" w:hAnsi="宋体" w:eastAsia="宋体" w:cs="宋体"/>
                <w:spacing w:val="1"/>
                <w:sz w:val="20"/>
                <w:szCs w:val="20"/>
              </w:rPr>
              <w:t>制排气系统，通过集气装置实现废气的</w:t>
            </w:r>
            <w:r>
              <w:rPr>
                <w:rFonts w:ascii="宋体" w:hAnsi="宋体" w:eastAsia="宋体" w:cs="宋体"/>
                <w:sz w:val="20"/>
                <w:szCs w:val="20"/>
              </w:rPr>
              <w:t xml:space="preserve"> </w:t>
            </w:r>
            <w:r>
              <w:rPr>
                <w:rFonts w:ascii="宋体" w:hAnsi="宋体" w:eastAsia="宋体" w:cs="宋体"/>
                <w:spacing w:val="2"/>
                <w:sz w:val="20"/>
                <w:szCs w:val="20"/>
              </w:rPr>
              <w:t>集中处理</w:t>
            </w:r>
            <w:r>
              <w:rPr>
                <w:rFonts w:ascii="宋体" w:hAnsi="宋体" w:eastAsia="宋体" w:cs="宋体"/>
                <w:spacing w:val="1"/>
                <w:sz w:val="20"/>
                <w:szCs w:val="20"/>
              </w:rPr>
              <w:t>；过滤装置的废弃过滤网应按照环境保</w:t>
            </w:r>
            <w:r>
              <w:rPr>
                <w:rFonts w:ascii="宋体" w:hAnsi="宋体" w:eastAsia="宋体" w:cs="宋体"/>
                <w:sz w:val="20"/>
                <w:szCs w:val="20"/>
              </w:rPr>
              <w:t xml:space="preserve"> </w:t>
            </w:r>
            <w:r>
              <w:rPr>
                <w:rFonts w:ascii="宋体" w:hAnsi="宋体" w:eastAsia="宋体" w:cs="宋体"/>
                <w:spacing w:val="-2"/>
                <w:sz w:val="20"/>
                <w:szCs w:val="20"/>
              </w:rPr>
              <w:t>护有关规定处理，禁止露天</w:t>
            </w:r>
            <w:r>
              <w:rPr>
                <w:rFonts w:ascii="宋体" w:hAnsi="宋体" w:eastAsia="宋体" w:cs="宋体"/>
                <w:spacing w:val="-1"/>
                <w:sz w:val="20"/>
                <w:szCs w:val="20"/>
              </w:rPr>
              <w:t>焚烧。</w:t>
            </w:r>
          </w:p>
        </w:tc>
        <w:tc>
          <w:tcPr>
            <w:tcW w:w="2943" w:type="dxa"/>
            <w:vAlign w:val="top"/>
          </w:tcPr>
          <w:p w14:paraId="141D2BF1">
            <w:pPr>
              <w:spacing w:before="89" w:line="278" w:lineRule="auto"/>
              <w:ind w:left="28" w:right="18" w:firstLine="3"/>
              <w:rPr>
                <w:rFonts w:ascii="宋体" w:hAnsi="宋体" w:eastAsia="宋体" w:cs="宋体"/>
                <w:sz w:val="20"/>
                <w:szCs w:val="20"/>
              </w:rPr>
            </w:pPr>
            <w:r>
              <w:rPr>
                <w:rFonts w:ascii="宋体" w:hAnsi="宋体" w:eastAsia="宋体" w:cs="宋体"/>
                <w:spacing w:val="31"/>
                <w:sz w:val="20"/>
                <w:szCs w:val="20"/>
              </w:rPr>
              <w:t>该</w:t>
            </w:r>
            <w:r>
              <w:rPr>
                <w:rFonts w:ascii="宋体" w:hAnsi="宋体" w:eastAsia="宋体" w:cs="宋体"/>
                <w:spacing w:val="21"/>
                <w:sz w:val="20"/>
                <w:szCs w:val="20"/>
              </w:rPr>
              <w:t>项目有机废气经集气罩收集</w:t>
            </w:r>
            <w:r>
              <w:rPr>
                <w:rFonts w:ascii="宋体" w:hAnsi="宋体" w:eastAsia="宋体" w:cs="宋体"/>
                <w:sz w:val="20"/>
                <w:szCs w:val="20"/>
              </w:rPr>
              <w:t xml:space="preserve"> </w:t>
            </w:r>
            <w:r>
              <w:rPr>
                <w:rFonts w:ascii="宋体" w:hAnsi="宋体" w:eastAsia="宋体" w:cs="宋体"/>
                <w:spacing w:val="24"/>
                <w:sz w:val="20"/>
                <w:szCs w:val="20"/>
              </w:rPr>
              <w:t>后</w:t>
            </w:r>
            <w:r>
              <w:rPr>
                <w:rFonts w:ascii="宋体" w:hAnsi="宋体" w:eastAsia="宋体" w:cs="宋体"/>
                <w:spacing w:val="22"/>
                <w:sz w:val="20"/>
                <w:szCs w:val="20"/>
              </w:rPr>
              <w:t>由引风机抽入废气治理装置</w:t>
            </w:r>
            <w:r>
              <w:rPr>
                <w:rFonts w:ascii="宋体" w:hAnsi="宋体" w:eastAsia="宋体" w:cs="宋体"/>
                <w:sz w:val="20"/>
                <w:szCs w:val="20"/>
              </w:rPr>
              <w:t xml:space="preserve"> </w:t>
            </w:r>
            <w:r>
              <w:rPr>
                <w:rFonts w:ascii="宋体" w:hAnsi="宋体" w:eastAsia="宋体" w:cs="宋体"/>
                <w:spacing w:val="6"/>
                <w:sz w:val="20"/>
                <w:szCs w:val="20"/>
              </w:rPr>
              <w:t>中，</w:t>
            </w:r>
            <w:r>
              <w:rPr>
                <w:rFonts w:ascii="宋体" w:hAnsi="宋体" w:eastAsia="宋体" w:cs="宋体"/>
                <w:spacing w:val="4"/>
                <w:sz w:val="20"/>
                <w:szCs w:val="20"/>
              </w:rPr>
              <w:t>经</w:t>
            </w:r>
            <w:r>
              <w:rPr>
                <w:rFonts w:ascii="宋体" w:hAnsi="宋体" w:eastAsia="宋体" w:cs="宋体"/>
                <w:spacing w:val="3"/>
                <w:sz w:val="20"/>
                <w:szCs w:val="20"/>
              </w:rPr>
              <w:t xml:space="preserve">过 </w:t>
            </w:r>
            <w:r>
              <w:rPr>
                <w:rFonts w:ascii="Times New Roman" w:hAnsi="Times New Roman" w:eastAsia="Times New Roman" w:cs="Times New Roman"/>
                <w:sz w:val="20"/>
                <w:szCs w:val="20"/>
              </w:rPr>
              <w:t>UV</w:t>
            </w:r>
            <w:r>
              <w:rPr>
                <w:rFonts w:ascii="Times New Roman" w:hAnsi="Times New Roman" w:eastAsia="Times New Roman" w:cs="Times New Roman"/>
                <w:spacing w:val="3"/>
                <w:sz w:val="20"/>
                <w:szCs w:val="20"/>
              </w:rPr>
              <w:t xml:space="preserve"> </w:t>
            </w:r>
            <w:r>
              <w:rPr>
                <w:rFonts w:ascii="宋体" w:hAnsi="宋体" w:eastAsia="宋体" w:cs="宋体"/>
                <w:spacing w:val="3"/>
                <w:sz w:val="20"/>
                <w:szCs w:val="20"/>
              </w:rPr>
              <w:t>光氧催化废气处理</w:t>
            </w:r>
            <w:r>
              <w:rPr>
                <w:rFonts w:ascii="宋体" w:hAnsi="宋体" w:eastAsia="宋体" w:cs="宋体"/>
                <w:sz w:val="20"/>
                <w:szCs w:val="20"/>
              </w:rPr>
              <w:t xml:space="preserve"> </w:t>
            </w:r>
            <w:r>
              <w:rPr>
                <w:rFonts w:ascii="宋体" w:hAnsi="宋体" w:eastAsia="宋体" w:cs="宋体"/>
                <w:spacing w:val="20"/>
                <w:sz w:val="20"/>
                <w:szCs w:val="20"/>
              </w:rPr>
              <w:t>装</w:t>
            </w:r>
            <w:r>
              <w:rPr>
                <w:rFonts w:ascii="宋体" w:hAnsi="宋体" w:eastAsia="宋体" w:cs="宋体"/>
                <w:spacing w:val="12"/>
                <w:sz w:val="20"/>
                <w:szCs w:val="20"/>
              </w:rPr>
              <w:t>置</w:t>
            </w:r>
            <w:r>
              <w:rPr>
                <w:rFonts w:ascii="Times New Roman" w:hAnsi="Times New Roman" w:eastAsia="Times New Roman" w:cs="Times New Roman"/>
                <w:spacing w:val="12"/>
                <w:sz w:val="20"/>
                <w:szCs w:val="20"/>
              </w:rPr>
              <w:t>+</w:t>
            </w:r>
            <w:r>
              <w:rPr>
                <w:rFonts w:ascii="宋体" w:hAnsi="宋体" w:eastAsia="宋体" w:cs="宋体"/>
                <w:spacing w:val="12"/>
                <w:sz w:val="20"/>
                <w:szCs w:val="20"/>
              </w:rPr>
              <w:t>活性炭吸附装置处理后通</w:t>
            </w:r>
            <w:r>
              <w:rPr>
                <w:rFonts w:ascii="宋体" w:hAnsi="宋体" w:eastAsia="宋体" w:cs="宋体"/>
                <w:sz w:val="20"/>
                <w:szCs w:val="20"/>
              </w:rPr>
              <w:t xml:space="preserve"> </w:t>
            </w:r>
            <w:r>
              <w:rPr>
                <w:rFonts w:ascii="宋体" w:hAnsi="宋体" w:eastAsia="宋体" w:cs="宋体"/>
                <w:spacing w:val="-1"/>
                <w:sz w:val="20"/>
                <w:szCs w:val="20"/>
              </w:rPr>
              <w:t xml:space="preserve">过 </w:t>
            </w:r>
            <w:r>
              <w:rPr>
                <w:rFonts w:ascii="Times New Roman" w:hAnsi="Times New Roman" w:eastAsia="Times New Roman" w:cs="Times New Roman"/>
                <w:spacing w:val="-1"/>
                <w:sz w:val="20"/>
                <w:szCs w:val="20"/>
              </w:rPr>
              <w:t>15</w:t>
            </w:r>
            <w:r>
              <w:rPr>
                <w:rFonts w:ascii="Times New Roman" w:hAnsi="Times New Roman" w:eastAsia="Times New Roman" w:cs="Times New Roman"/>
                <w:sz w:val="20"/>
                <w:szCs w:val="20"/>
              </w:rPr>
              <w:t>m</w:t>
            </w:r>
            <w:r>
              <w:rPr>
                <w:rFonts w:ascii="Times New Roman" w:hAnsi="Times New Roman" w:eastAsia="Times New Roman" w:cs="Times New Roman"/>
                <w:spacing w:val="-1"/>
                <w:sz w:val="20"/>
                <w:szCs w:val="20"/>
              </w:rPr>
              <w:t xml:space="preserve"> </w:t>
            </w:r>
            <w:r>
              <w:rPr>
                <w:rFonts w:ascii="宋体" w:hAnsi="宋体" w:eastAsia="宋体" w:cs="宋体"/>
                <w:spacing w:val="-1"/>
                <w:sz w:val="20"/>
                <w:szCs w:val="20"/>
              </w:rPr>
              <w:t>高排气筒有组织排放。</w:t>
            </w:r>
            <w:r>
              <w:rPr>
                <w:rFonts w:ascii="宋体" w:hAnsi="宋体" w:eastAsia="宋体" w:cs="宋体"/>
                <w:sz w:val="20"/>
                <w:szCs w:val="20"/>
              </w:rPr>
              <w:t xml:space="preserve">废 </w:t>
            </w:r>
            <w:r>
              <w:rPr>
                <w:rFonts w:ascii="宋体" w:hAnsi="宋体" w:eastAsia="宋体" w:cs="宋体"/>
                <w:spacing w:val="8"/>
                <w:sz w:val="20"/>
                <w:szCs w:val="20"/>
              </w:rPr>
              <w:t>弃</w:t>
            </w:r>
            <w:r>
              <w:rPr>
                <w:rFonts w:ascii="宋体" w:hAnsi="宋体" w:eastAsia="宋体" w:cs="宋体"/>
                <w:spacing w:val="6"/>
                <w:sz w:val="20"/>
                <w:szCs w:val="20"/>
              </w:rPr>
              <w:t>过滤网定期由厂家回收，不自</w:t>
            </w:r>
            <w:r>
              <w:rPr>
                <w:rFonts w:ascii="宋体" w:hAnsi="宋体" w:eastAsia="宋体" w:cs="宋体"/>
                <w:sz w:val="20"/>
                <w:szCs w:val="20"/>
              </w:rPr>
              <w:t xml:space="preserve"> </w:t>
            </w:r>
            <w:r>
              <w:rPr>
                <w:rFonts w:ascii="宋体" w:hAnsi="宋体" w:eastAsia="宋体" w:cs="宋体"/>
                <w:spacing w:val="5"/>
                <w:sz w:val="20"/>
                <w:szCs w:val="20"/>
              </w:rPr>
              <w:t>行处置。</w:t>
            </w:r>
          </w:p>
        </w:tc>
        <w:tc>
          <w:tcPr>
            <w:tcW w:w="751" w:type="dxa"/>
            <w:tcBorders>
              <w:right w:val="nil"/>
            </w:tcBorders>
            <w:vAlign w:val="top"/>
          </w:tcPr>
          <w:p w14:paraId="1C46B04C">
            <w:pPr>
              <w:spacing w:line="317" w:lineRule="auto"/>
              <w:rPr>
                <w:rFonts w:ascii="Arial"/>
                <w:sz w:val="21"/>
              </w:rPr>
            </w:pPr>
          </w:p>
          <w:p w14:paraId="74E1E84E">
            <w:pPr>
              <w:spacing w:line="317" w:lineRule="auto"/>
              <w:rPr>
                <w:rFonts w:ascii="Arial"/>
                <w:sz w:val="21"/>
              </w:rPr>
            </w:pPr>
          </w:p>
          <w:p w14:paraId="5ECADE9D">
            <w:pPr>
              <w:spacing w:line="318" w:lineRule="auto"/>
              <w:rPr>
                <w:rFonts w:ascii="Arial"/>
                <w:sz w:val="21"/>
              </w:rPr>
            </w:pPr>
          </w:p>
          <w:p w14:paraId="0AAB5810">
            <w:pPr>
              <w:spacing w:before="65" w:line="228" w:lineRule="auto"/>
              <w:ind w:left="173"/>
              <w:rPr>
                <w:rFonts w:ascii="宋体" w:hAnsi="宋体" w:eastAsia="宋体" w:cs="宋体"/>
                <w:sz w:val="20"/>
                <w:szCs w:val="20"/>
              </w:rPr>
            </w:pPr>
            <w:r>
              <w:rPr>
                <w:rFonts w:ascii="宋体" w:hAnsi="宋体" w:eastAsia="宋体" w:cs="宋体"/>
                <w:spacing w:val="4"/>
                <w:sz w:val="20"/>
                <w:szCs w:val="20"/>
              </w:rPr>
              <w:t>符</w:t>
            </w:r>
            <w:r>
              <w:rPr>
                <w:rFonts w:ascii="宋体" w:hAnsi="宋体" w:eastAsia="宋体" w:cs="宋体"/>
                <w:spacing w:val="3"/>
                <w:sz w:val="20"/>
                <w:szCs w:val="20"/>
              </w:rPr>
              <w:t>合</w:t>
            </w:r>
          </w:p>
        </w:tc>
      </w:tr>
      <w:tr w14:paraId="35C326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3" w:hRule="atLeast"/>
        </w:trPr>
        <w:tc>
          <w:tcPr>
            <w:tcW w:w="560" w:type="dxa"/>
            <w:tcBorders>
              <w:left w:val="nil"/>
            </w:tcBorders>
            <w:vAlign w:val="top"/>
          </w:tcPr>
          <w:p w14:paraId="4B39BFC2">
            <w:pPr>
              <w:spacing w:line="309" w:lineRule="auto"/>
              <w:rPr>
                <w:rFonts w:ascii="Arial"/>
                <w:sz w:val="21"/>
              </w:rPr>
            </w:pPr>
          </w:p>
          <w:p w14:paraId="51B489AD">
            <w:pPr>
              <w:spacing w:line="310" w:lineRule="auto"/>
              <w:rPr>
                <w:rFonts w:ascii="Arial"/>
                <w:sz w:val="21"/>
              </w:rPr>
            </w:pPr>
          </w:p>
          <w:p w14:paraId="22CD19BD">
            <w:pPr>
              <w:spacing w:line="310" w:lineRule="auto"/>
              <w:rPr>
                <w:rFonts w:ascii="Arial"/>
                <w:sz w:val="21"/>
              </w:rPr>
            </w:pPr>
          </w:p>
          <w:p w14:paraId="1D466F7B">
            <w:pPr>
              <w:spacing w:before="65" w:line="299" w:lineRule="auto"/>
              <w:ind w:left="77" w:right="70"/>
              <w:rPr>
                <w:rFonts w:ascii="宋体" w:hAnsi="宋体" w:eastAsia="宋体" w:cs="宋体"/>
                <w:sz w:val="20"/>
                <w:szCs w:val="20"/>
              </w:rPr>
            </w:pPr>
            <w:r>
              <w:rPr>
                <w:rFonts w:ascii="宋体" w:hAnsi="宋体" w:eastAsia="宋体" w:cs="宋体"/>
                <w:spacing w:val="5"/>
                <w:sz w:val="20"/>
                <w:szCs w:val="20"/>
              </w:rPr>
              <w:t>环</w:t>
            </w:r>
            <w:r>
              <w:rPr>
                <w:rFonts w:ascii="宋体" w:hAnsi="宋体" w:eastAsia="宋体" w:cs="宋体"/>
                <w:spacing w:val="4"/>
                <w:sz w:val="20"/>
                <w:szCs w:val="20"/>
              </w:rPr>
              <w:t>境</w:t>
            </w:r>
            <w:r>
              <w:rPr>
                <w:rFonts w:ascii="宋体" w:hAnsi="宋体" w:eastAsia="宋体" w:cs="宋体"/>
                <w:sz w:val="20"/>
                <w:szCs w:val="20"/>
              </w:rPr>
              <w:t xml:space="preserve"> </w:t>
            </w:r>
            <w:r>
              <w:rPr>
                <w:rFonts w:ascii="宋体" w:hAnsi="宋体" w:eastAsia="宋体" w:cs="宋体"/>
                <w:spacing w:val="4"/>
                <w:sz w:val="20"/>
                <w:szCs w:val="20"/>
              </w:rPr>
              <w:t>保护</w:t>
            </w:r>
          </w:p>
        </w:tc>
        <w:tc>
          <w:tcPr>
            <w:tcW w:w="4268" w:type="dxa"/>
            <w:vAlign w:val="top"/>
          </w:tcPr>
          <w:p w14:paraId="6C7BCF41">
            <w:pPr>
              <w:spacing w:before="73" w:line="278" w:lineRule="auto"/>
              <w:ind w:left="25" w:right="8" w:firstLine="20"/>
              <w:rPr>
                <w:rFonts w:ascii="宋体" w:hAnsi="宋体" w:eastAsia="宋体" w:cs="宋体"/>
                <w:sz w:val="20"/>
                <w:szCs w:val="20"/>
              </w:rPr>
            </w:pPr>
            <w:r>
              <w:rPr>
                <w:rFonts w:ascii="Times New Roman" w:hAnsi="Times New Roman" w:eastAsia="Times New Roman" w:cs="Times New Roman"/>
                <w:spacing w:val="-7"/>
                <w:sz w:val="20"/>
                <w:szCs w:val="20"/>
              </w:rPr>
              <w:t>1</w:t>
            </w:r>
            <w:r>
              <w:rPr>
                <w:rFonts w:ascii="宋体" w:hAnsi="宋体" w:eastAsia="宋体" w:cs="宋体"/>
                <w:spacing w:val="-4"/>
                <w:sz w:val="20"/>
                <w:szCs w:val="20"/>
              </w:rPr>
              <w:t>、企业加工存储场地应建有围墙，在园区内的企</w:t>
            </w:r>
            <w:r>
              <w:rPr>
                <w:rFonts w:ascii="宋体" w:hAnsi="宋体" w:eastAsia="宋体" w:cs="宋体"/>
                <w:sz w:val="20"/>
                <w:szCs w:val="20"/>
              </w:rPr>
              <w:t xml:space="preserve"> </w:t>
            </w:r>
            <w:r>
              <w:rPr>
                <w:rFonts w:ascii="宋体" w:hAnsi="宋体" w:eastAsia="宋体" w:cs="宋体"/>
                <w:spacing w:val="2"/>
                <w:sz w:val="20"/>
                <w:szCs w:val="20"/>
              </w:rPr>
              <w:t>业可为单独厂房，</w:t>
            </w:r>
            <w:r>
              <w:rPr>
                <w:rFonts w:ascii="宋体" w:hAnsi="宋体" w:eastAsia="宋体" w:cs="宋体"/>
                <w:spacing w:val="1"/>
                <w:sz w:val="20"/>
                <w:szCs w:val="20"/>
              </w:rPr>
              <w:t>地面全部硬化且无明显破损现</w:t>
            </w:r>
            <w:r>
              <w:rPr>
                <w:rFonts w:ascii="宋体" w:hAnsi="宋体" w:eastAsia="宋体" w:cs="宋体"/>
                <w:sz w:val="20"/>
                <w:szCs w:val="20"/>
              </w:rPr>
              <w:t xml:space="preserve"> </w:t>
            </w:r>
            <w:r>
              <w:rPr>
                <w:rFonts w:ascii="宋体" w:hAnsi="宋体" w:eastAsia="宋体" w:cs="宋体"/>
                <w:spacing w:val="11"/>
                <w:sz w:val="20"/>
                <w:szCs w:val="20"/>
              </w:rPr>
              <w:t>象</w:t>
            </w:r>
            <w:r>
              <w:rPr>
                <w:rFonts w:ascii="宋体" w:hAnsi="宋体" w:eastAsia="宋体" w:cs="宋体"/>
                <w:spacing w:val="10"/>
                <w:sz w:val="20"/>
                <w:szCs w:val="20"/>
              </w:rPr>
              <w:t>。</w:t>
            </w:r>
            <w:r>
              <w:rPr>
                <w:rFonts w:ascii="宋体" w:hAnsi="宋体" w:eastAsia="宋体" w:cs="宋体"/>
                <w:sz w:val="20"/>
                <w:szCs w:val="20"/>
              </w:rPr>
              <w:t xml:space="preserve">                                      </w:t>
            </w:r>
            <w:r>
              <w:rPr>
                <w:rFonts w:ascii="Times New Roman" w:hAnsi="Times New Roman" w:eastAsia="Times New Roman" w:cs="Times New Roman"/>
                <w:spacing w:val="-6"/>
                <w:sz w:val="20"/>
                <w:szCs w:val="20"/>
              </w:rPr>
              <w:t>2</w:t>
            </w:r>
            <w:r>
              <w:rPr>
                <w:rFonts w:ascii="宋体" w:hAnsi="宋体" w:eastAsia="宋体" w:cs="宋体"/>
                <w:spacing w:val="-5"/>
                <w:sz w:val="20"/>
                <w:szCs w:val="20"/>
              </w:rPr>
              <w:t>、</w:t>
            </w:r>
            <w:r>
              <w:rPr>
                <w:rFonts w:ascii="宋体" w:hAnsi="宋体" w:eastAsia="宋体" w:cs="宋体"/>
                <w:spacing w:val="-3"/>
                <w:sz w:val="20"/>
                <w:szCs w:val="20"/>
              </w:rPr>
              <w:t>企业必须配备废塑料分类存放场所。原料、产</w:t>
            </w:r>
            <w:r>
              <w:rPr>
                <w:rFonts w:ascii="宋体" w:hAnsi="宋体" w:eastAsia="宋体" w:cs="宋体"/>
                <w:sz w:val="20"/>
                <w:szCs w:val="20"/>
              </w:rPr>
              <w:t xml:space="preserve"> </w:t>
            </w:r>
            <w:r>
              <w:rPr>
                <w:rFonts w:ascii="宋体" w:hAnsi="宋体" w:eastAsia="宋体" w:cs="宋体"/>
                <w:spacing w:val="2"/>
                <w:sz w:val="20"/>
                <w:szCs w:val="20"/>
              </w:rPr>
              <w:t>品、本企业不能利</w:t>
            </w:r>
            <w:r>
              <w:rPr>
                <w:rFonts w:ascii="宋体" w:hAnsi="宋体" w:eastAsia="宋体" w:cs="宋体"/>
                <w:spacing w:val="1"/>
                <w:sz w:val="20"/>
                <w:szCs w:val="20"/>
              </w:rPr>
              <w:t>用废塑料及不可利用废物贮存</w:t>
            </w:r>
            <w:r>
              <w:rPr>
                <w:rFonts w:ascii="宋体" w:hAnsi="宋体" w:eastAsia="宋体" w:cs="宋体"/>
                <w:sz w:val="20"/>
                <w:szCs w:val="20"/>
              </w:rPr>
              <w:t xml:space="preserve"> </w:t>
            </w:r>
            <w:r>
              <w:rPr>
                <w:rFonts w:ascii="宋体" w:hAnsi="宋体" w:eastAsia="宋体" w:cs="宋体"/>
                <w:spacing w:val="2"/>
                <w:sz w:val="20"/>
                <w:szCs w:val="20"/>
              </w:rPr>
              <w:t>在具有防雨、防风</w:t>
            </w:r>
            <w:r>
              <w:rPr>
                <w:rFonts w:ascii="宋体" w:hAnsi="宋体" w:eastAsia="宋体" w:cs="宋体"/>
                <w:spacing w:val="1"/>
                <w:sz w:val="20"/>
                <w:szCs w:val="20"/>
              </w:rPr>
              <w:t>、防渗等功能的厂房或加盖雨</w:t>
            </w:r>
            <w:r>
              <w:rPr>
                <w:rFonts w:ascii="宋体" w:hAnsi="宋体" w:eastAsia="宋体" w:cs="宋体"/>
                <w:sz w:val="20"/>
                <w:szCs w:val="20"/>
              </w:rPr>
              <w:t xml:space="preserve"> </w:t>
            </w:r>
            <w:r>
              <w:rPr>
                <w:rFonts w:ascii="宋体" w:hAnsi="宋体" w:eastAsia="宋体" w:cs="宋体"/>
                <w:spacing w:val="2"/>
                <w:sz w:val="20"/>
                <w:szCs w:val="20"/>
              </w:rPr>
              <w:t>棚的专门贮存场地</w:t>
            </w:r>
            <w:r>
              <w:rPr>
                <w:rFonts w:ascii="宋体" w:hAnsi="宋体" w:eastAsia="宋体" w:cs="宋体"/>
                <w:spacing w:val="1"/>
                <w:sz w:val="20"/>
                <w:szCs w:val="20"/>
              </w:rPr>
              <w:t>内，无露天堆放现象。企业厂</w:t>
            </w:r>
            <w:r>
              <w:rPr>
                <w:rFonts w:ascii="宋体" w:hAnsi="宋体" w:eastAsia="宋体" w:cs="宋体"/>
                <w:sz w:val="20"/>
                <w:szCs w:val="20"/>
              </w:rPr>
              <w:t xml:space="preserve"> </w:t>
            </w:r>
            <w:r>
              <w:rPr>
                <w:rFonts w:ascii="宋体" w:hAnsi="宋体" w:eastAsia="宋体" w:cs="宋体"/>
                <w:spacing w:val="-2"/>
                <w:sz w:val="20"/>
                <w:szCs w:val="20"/>
              </w:rPr>
              <w:t>区管网建设应达到</w:t>
            </w:r>
            <w:r>
              <w:rPr>
                <w:rFonts w:ascii="Times New Roman" w:hAnsi="Times New Roman" w:eastAsia="Times New Roman" w:cs="Times New Roman"/>
                <w:spacing w:val="-2"/>
                <w:sz w:val="20"/>
                <w:szCs w:val="20"/>
              </w:rPr>
              <w:t>“</w:t>
            </w:r>
            <w:r>
              <w:rPr>
                <w:rFonts w:ascii="宋体" w:hAnsi="宋体" w:eastAsia="宋体" w:cs="宋体"/>
                <w:spacing w:val="-2"/>
                <w:sz w:val="20"/>
                <w:szCs w:val="20"/>
              </w:rPr>
              <w:t>雨污</w:t>
            </w:r>
            <w:r>
              <w:rPr>
                <w:rFonts w:ascii="宋体" w:hAnsi="宋体" w:eastAsia="宋体" w:cs="宋体"/>
                <w:spacing w:val="-1"/>
                <w:sz w:val="20"/>
                <w:szCs w:val="20"/>
              </w:rPr>
              <w:t>分流</w:t>
            </w:r>
            <w:r>
              <w:rPr>
                <w:rFonts w:ascii="Times New Roman" w:hAnsi="Times New Roman" w:eastAsia="Times New Roman" w:cs="Times New Roman"/>
                <w:spacing w:val="-1"/>
                <w:sz w:val="20"/>
                <w:szCs w:val="20"/>
              </w:rPr>
              <w:t>”</w:t>
            </w:r>
            <w:r>
              <w:rPr>
                <w:rFonts w:ascii="宋体" w:hAnsi="宋体" w:eastAsia="宋体" w:cs="宋体"/>
                <w:spacing w:val="-1"/>
                <w:sz w:val="20"/>
                <w:szCs w:val="20"/>
              </w:rPr>
              <w:t>要求。</w:t>
            </w:r>
          </w:p>
        </w:tc>
        <w:tc>
          <w:tcPr>
            <w:tcW w:w="2943" w:type="dxa"/>
            <w:vAlign w:val="top"/>
          </w:tcPr>
          <w:p w14:paraId="5DBF5682">
            <w:pPr>
              <w:spacing w:before="223" w:line="290" w:lineRule="auto"/>
              <w:ind w:left="28" w:firstLine="3"/>
              <w:rPr>
                <w:rFonts w:ascii="宋体" w:hAnsi="宋体" w:eastAsia="宋体" w:cs="宋体"/>
                <w:sz w:val="20"/>
                <w:szCs w:val="20"/>
              </w:rPr>
            </w:pPr>
            <w:r>
              <w:rPr>
                <w:rFonts w:ascii="宋体" w:hAnsi="宋体" w:eastAsia="宋体" w:cs="宋体"/>
                <w:spacing w:val="20"/>
                <w:sz w:val="20"/>
                <w:szCs w:val="20"/>
              </w:rPr>
              <w:t>该项目位于本溪市溪湖区火</w:t>
            </w:r>
            <w:r>
              <w:rPr>
                <w:rFonts w:ascii="宋体" w:hAnsi="宋体" w:eastAsia="宋体" w:cs="宋体"/>
                <w:spacing w:val="18"/>
                <w:sz w:val="20"/>
                <w:szCs w:val="20"/>
              </w:rPr>
              <w:t>连</w:t>
            </w:r>
            <w:r>
              <w:rPr>
                <w:rFonts w:ascii="宋体" w:hAnsi="宋体" w:eastAsia="宋体" w:cs="宋体"/>
                <w:sz w:val="20"/>
                <w:szCs w:val="20"/>
              </w:rPr>
              <w:t xml:space="preserve"> </w:t>
            </w:r>
            <w:r>
              <w:rPr>
                <w:rFonts w:ascii="宋体" w:hAnsi="宋体" w:eastAsia="宋体" w:cs="宋体"/>
                <w:spacing w:val="8"/>
                <w:sz w:val="20"/>
                <w:szCs w:val="20"/>
              </w:rPr>
              <w:t>寨镇</w:t>
            </w:r>
            <w:r>
              <w:rPr>
                <w:rFonts w:ascii="宋体" w:hAnsi="宋体" w:eastAsia="宋体" w:cs="宋体"/>
                <w:spacing w:val="4"/>
                <w:sz w:val="20"/>
                <w:szCs w:val="20"/>
              </w:rPr>
              <w:t>火连寨村，厂区内设有封闭</w:t>
            </w:r>
            <w:r>
              <w:rPr>
                <w:rFonts w:ascii="宋体" w:hAnsi="宋体" w:eastAsia="宋体" w:cs="宋体"/>
                <w:sz w:val="20"/>
                <w:szCs w:val="20"/>
              </w:rPr>
              <w:t xml:space="preserve"> </w:t>
            </w:r>
            <w:r>
              <w:rPr>
                <w:rFonts w:ascii="宋体" w:hAnsi="宋体" w:eastAsia="宋体" w:cs="宋体"/>
                <w:spacing w:val="8"/>
                <w:sz w:val="20"/>
                <w:szCs w:val="20"/>
              </w:rPr>
              <w:t>式生产厂房、成品库及原料库</w:t>
            </w:r>
            <w:r>
              <w:rPr>
                <w:rFonts w:ascii="宋体" w:hAnsi="宋体" w:eastAsia="宋体" w:cs="宋体"/>
                <w:spacing w:val="5"/>
                <w:sz w:val="20"/>
                <w:szCs w:val="20"/>
              </w:rPr>
              <w:t>，</w:t>
            </w:r>
            <w:r>
              <w:rPr>
                <w:rFonts w:ascii="宋体" w:hAnsi="宋体" w:eastAsia="宋体" w:cs="宋体"/>
                <w:sz w:val="20"/>
                <w:szCs w:val="20"/>
              </w:rPr>
              <w:t xml:space="preserve"> </w:t>
            </w:r>
            <w:r>
              <w:rPr>
                <w:rFonts w:ascii="宋体" w:hAnsi="宋体" w:eastAsia="宋体" w:cs="宋体"/>
                <w:spacing w:val="8"/>
                <w:sz w:val="20"/>
                <w:szCs w:val="20"/>
              </w:rPr>
              <w:t>具有防雨、防风、防渗等功能</w:t>
            </w:r>
            <w:r>
              <w:rPr>
                <w:rFonts w:ascii="宋体" w:hAnsi="宋体" w:eastAsia="宋体" w:cs="宋体"/>
                <w:spacing w:val="5"/>
                <w:sz w:val="20"/>
                <w:szCs w:val="20"/>
              </w:rPr>
              <w:t>，</w:t>
            </w:r>
            <w:r>
              <w:rPr>
                <w:rFonts w:ascii="宋体" w:hAnsi="宋体" w:eastAsia="宋体" w:cs="宋体"/>
                <w:sz w:val="20"/>
                <w:szCs w:val="20"/>
              </w:rPr>
              <w:t xml:space="preserve"> </w:t>
            </w:r>
            <w:r>
              <w:rPr>
                <w:rFonts w:ascii="宋体" w:hAnsi="宋体" w:eastAsia="宋体" w:cs="宋体"/>
                <w:spacing w:val="8"/>
                <w:sz w:val="20"/>
                <w:szCs w:val="20"/>
              </w:rPr>
              <w:t>无</w:t>
            </w:r>
            <w:r>
              <w:rPr>
                <w:rFonts w:ascii="宋体" w:hAnsi="宋体" w:eastAsia="宋体" w:cs="宋体"/>
                <w:spacing w:val="6"/>
                <w:sz w:val="20"/>
                <w:szCs w:val="20"/>
              </w:rPr>
              <w:t>露</w:t>
            </w:r>
            <w:r>
              <w:rPr>
                <w:rFonts w:ascii="宋体" w:hAnsi="宋体" w:eastAsia="宋体" w:cs="宋体"/>
                <w:spacing w:val="4"/>
                <w:sz w:val="20"/>
                <w:szCs w:val="20"/>
              </w:rPr>
              <w:t>天堆放现象。厂区地面均进</w:t>
            </w:r>
            <w:r>
              <w:rPr>
                <w:rFonts w:ascii="宋体" w:hAnsi="宋体" w:eastAsia="宋体" w:cs="宋体"/>
                <w:sz w:val="20"/>
                <w:szCs w:val="20"/>
              </w:rPr>
              <w:t xml:space="preserve"> </w:t>
            </w:r>
            <w:r>
              <w:rPr>
                <w:rFonts w:ascii="宋体" w:hAnsi="宋体" w:eastAsia="宋体" w:cs="宋体"/>
                <w:spacing w:val="33"/>
                <w:sz w:val="20"/>
                <w:szCs w:val="20"/>
              </w:rPr>
              <w:t>行</w:t>
            </w:r>
            <w:r>
              <w:rPr>
                <w:rFonts w:ascii="宋体" w:hAnsi="宋体" w:eastAsia="宋体" w:cs="宋体"/>
                <w:spacing w:val="23"/>
                <w:sz w:val="20"/>
                <w:szCs w:val="20"/>
              </w:rPr>
              <w:t>硬化，排水实施</w:t>
            </w:r>
            <w:r>
              <w:rPr>
                <w:rFonts w:ascii="Times New Roman" w:hAnsi="Times New Roman" w:eastAsia="Times New Roman" w:cs="Times New Roman"/>
                <w:spacing w:val="23"/>
                <w:sz w:val="20"/>
                <w:szCs w:val="20"/>
              </w:rPr>
              <w:t>“</w:t>
            </w:r>
            <w:r>
              <w:rPr>
                <w:rFonts w:ascii="宋体" w:hAnsi="宋体" w:eastAsia="宋体" w:cs="宋体"/>
                <w:spacing w:val="23"/>
                <w:sz w:val="20"/>
                <w:szCs w:val="20"/>
              </w:rPr>
              <w:t>雨污分流</w:t>
            </w:r>
            <w:r>
              <w:rPr>
                <w:rFonts w:ascii="Times New Roman" w:hAnsi="Times New Roman" w:eastAsia="Times New Roman" w:cs="Times New Roman"/>
                <w:spacing w:val="23"/>
                <w:sz w:val="20"/>
                <w:szCs w:val="20"/>
              </w:rPr>
              <w:t>”</w:t>
            </w:r>
            <w:r>
              <w:rPr>
                <w:rFonts w:ascii="Times New Roman" w:hAnsi="Times New Roman" w:eastAsia="Times New Roman" w:cs="Times New Roman"/>
                <w:sz w:val="20"/>
                <w:szCs w:val="20"/>
              </w:rPr>
              <w:t xml:space="preserve"> </w:t>
            </w:r>
            <w:r>
              <w:rPr>
                <w:rFonts w:ascii="宋体" w:hAnsi="宋体" w:eastAsia="宋体" w:cs="宋体"/>
                <w:spacing w:val="7"/>
                <w:sz w:val="20"/>
                <w:szCs w:val="20"/>
              </w:rPr>
              <w:t>制，雨水排口位于厂区东侧</w:t>
            </w:r>
            <w:r>
              <w:rPr>
                <w:rFonts w:ascii="宋体" w:hAnsi="宋体" w:eastAsia="宋体" w:cs="宋体"/>
                <w:spacing w:val="4"/>
                <w:sz w:val="20"/>
                <w:szCs w:val="20"/>
              </w:rPr>
              <w:t>。</w:t>
            </w:r>
          </w:p>
        </w:tc>
        <w:tc>
          <w:tcPr>
            <w:tcW w:w="751" w:type="dxa"/>
            <w:tcBorders>
              <w:right w:val="nil"/>
            </w:tcBorders>
            <w:vAlign w:val="top"/>
          </w:tcPr>
          <w:p w14:paraId="2CE72864">
            <w:pPr>
              <w:spacing w:line="270" w:lineRule="auto"/>
              <w:rPr>
                <w:rFonts w:ascii="Arial"/>
                <w:sz w:val="21"/>
              </w:rPr>
            </w:pPr>
          </w:p>
          <w:p w14:paraId="3F4C05BC">
            <w:pPr>
              <w:spacing w:line="271" w:lineRule="auto"/>
              <w:rPr>
                <w:rFonts w:ascii="Arial"/>
                <w:sz w:val="21"/>
              </w:rPr>
            </w:pPr>
          </w:p>
          <w:p w14:paraId="5DDEF935">
            <w:pPr>
              <w:spacing w:line="271" w:lineRule="auto"/>
              <w:rPr>
                <w:rFonts w:ascii="Arial"/>
                <w:sz w:val="21"/>
              </w:rPr>
            </w:pPr>
          </w:p>
          <w:p w14:paraId="68324607">
            <w:pPr>
              <w:spacing w:line="271" w:lineRule="auto"/>
              <w:rPr>
                <w:rFonts w:ascii="Arial"/>
                <w:sz w:val="21"/>
              </w:rPr>
            </w:pPr>
          </w:p>
          <w:p w14:paraId="413BCFA1">
            <w:pPr>
              <w:spacing w:before="65" w:line="228" w:lineRule="auto"/>
              <w:ind w:left="173"/>
              <w:rPr>
                <w:rFonts w:ascii="宋体" w:hAnsi="宋体" w:eastAsia="宋体" w:cs="宋体"/>
                <w:sz w:val="20"/>
                <w:szCs w:val="20"/>
              </w:rPr>
            </w:pPr>
            <w:r>
              <w:rPr>
                <w:rFonts w:ascii="宋体" w:hAnsi="宋体" w:eastAsia="宋体" w:cs="宋体"/>
                <w:spacing w:val="4"/>
                <w:sz w:val="20"/>
                <w:szCs w:val="20"/>
              </w:rPr>
              <w:t>符</w:t>
            </w:r>
            <w:r>
              <w:rPr>
                <w:rFonts w:ascii="宋体" w:hAnsi="宋体" w:eastAsia="宋体" w:cs="宋体"/>
                <w:spacing w:val="3"/>
                <w:sz w:val="20"/>
                <w:szCs w:val="20"/>
              </w:rPr>
              <w:t>合</w:t>
            </w:r>
          </w:p>
        </w:tc>
      </w:tr>
      <w:tr w14:paraId="52FAE1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7" w:hRule="atLeast"/>
        </w:trPr>
        <w:tc>
          <w:tcPr>
            <w:tcW w:w="560" w:type="dxa"/>
            <w:tcBorders>
              <w:left w:val="nil"/>
            </w:tcBorders>
            <w:vAlign w:val="top"/>
          </w:tcPr>
          <w:p w14:paraId="293B8FC3">
            <w:pPr>
              <w:spacing w:line="470" w:lineRule="auto"/>
              <w:rPr>
                <w:rFonts w:ascii="Arial"/>
                <w:sz w:val="21"/>
              </w:rPr>
            </w:pPr>
          </w:p>
          <w:p w14:paraId="7F7C40C1">
            <w:pPr>
              <w:spacing w:before="65" w:line="299" w:lineRule="auto"/>
              <w:ind w:left="81" w:right="70" w:firstLine="8"/>
              <w:rPr>
                <w:rFonts w:ascii="宋体" w:hAnsi="宋体" w:eastAsia="宋体" w:cs="宋体"/>
                <w:sz w:val="20"/>
                <w:szCs w:val="20"/>
              </w:rPr>
            </w:pPr>
            <w:r>
              <w:rPr>
                <w:rFonts w:ascii="宋体" w:hAnsi="宋体" w:eastAsia="宋体" w:cs="宋体"/>
                <w:spacing w:val="-2"/>
                <w:sz w:val="20"/>
                <w:szCs w:val="20"/>
              </w:rPr>
              <w:t>防火</w:t>
            </w:r>
            <w:r>
              <w:rPr>
                <w:rFonts w:ascii="宋体" w:hAnsi="宋体" w:eastAsia="宋体" w:cs="宋体"/>
                <w:sz w:val="20"/>
                <w:szCs w:val="20"/>
              </w:rPr>
              <w:t xml:space="preserve"> </w:t>
            </w:r>
            <w:r>
              <w:rPr>
                <w:rFonts w:ascii="宋体" w:hAnsi="宋体" w:eastAsia="宋体" w:cs="宋体"/>
                <w:spacing w:val="3"/>
                <w:sz w:val="20"/>
                <w:szCs w:val="20"/>
              </w:rPr>
              <w:t>安</w:t>
            </w:r>
            <w:r>
              <w:rPr>
                <w:rFonts w:ascii="宋体" w:hAnsi="宋体" w:eastAsia="宋体" w:cs="宋体"/>
                <w:spacing w:val="2"/>
                <w:sz w:val="20"/>
                <w:szCs w:val="20"/>
              </w:rPr>
              <w:t>全</w:t>
            </w:r>
          </w:p>
        </w:tc>
        <w:tc>
          <w:tcPr>
            <w:tcW w:w="4268" w:type="dxa"/>
            <w:vAlign w:val="top"/>
          </w:tcPr>
          <w:p w14:paraId="4BE66ABD">
            <w:pPr>
              <w:spacing w:before="227" w:line="270" w:lineRule="auto"/>
              <w:ind w:left="32" w:right="8" w:firstLine="12"/>
              <w:rPr>
                <w:rFonts w:ascii="宋体" w:hAnsi="宋体" w:eastAsia="宋体" w:cs="宋体"/>
                <w:sz w:val="20"/>
                <w:szCs w:val="20"/>
              </w:rPr>
            </w:pPr>
            <w:r>
              <w:rPr>
                <w:rFonts w:ascii="Times New Roman" w:hAnsi="Times New Roman" w:eastAsia="Times New Roman" w:cs="Times New Roman"/>
                <w:spacing w:val="-7"/>
                <w:sz w:val="20"/>
                <w:szCs w:val="20"/>
              </w:rPr>
              <w:t>1</w:t>
            </w:r>
            <w:r>
              <w:rPr>
                <w:rFonts w:ascii="宋体" w:hAnsi="宋体" w:eastAsia="宋体" w:cs="宋体"/>
                <w:spacing w:val="-4"/>
                <w:sz w:val="20"/>
                <w:szCs w:val="20"/>
              </w:rPr>
              <w:t>、生产厂房、仓库、堆场等场所内应严禁烟火，</w:t>
            </w:r>
            <w:r>
              <w:rPr>
                <w:rFonts w:ascii="宋体" w:hAnsi="宋体" w:eastAsia="宋体" w:cs="宋体"/>
                <w:sz w:val="20"/>
                <w:szCs w:val="20"/>
              </w:rPr>
              <w:t xml:space="preserve"> </w:t>
            </w:r>
            <w:r>
              <w:rPr>
                <w:rFonts w:ascii="宋体" w:hAnsi="宋体" w:eastAsia="宋体" w:cs="宋体"/>
                <w:spacing w:val="2"/>
                <w:sz w:val="20"/>
                <w:szCs w:val="20"/>
              </w:rPr>
              <w:t>不</w:t>
            </w:r>
            <w:r>
              <w:rPr>
                <w:rFonts w:ascii="宋体" w:hAnsi="宋体" w:eastAsia="宋体" w:cs="宋体"/>
                <w:spacing w:val="1"/>
                <w:sz w:val="20"/>
                <w:szCs w:val="20"/>
              </w:rPr>
              <w:t>可存放任何易燃性物质，并应设置严禁烟火标</w:t>
            </w:r>
            <w:r>
              <w:rPr>
                <w:rFonts w:ascii="宋体" w:hAnsi="宋体" w:eastAsia="宋体" w:cs="宋体"/>
                <w:sz w:val="20"/>
                <w:szCs w:val="20"/>
              </w:rPr>
              <w:t xml:space="preserve"> </w:t>
            </w:r>
            <w:r>
              <w:rPr>
                <w:rFonts w:ascii="宋体" w:hAnsi="宋体" w:eastAsia="宋体" w:cs="宋体"/>
                <w:spacing w:val="-2"/>
                <w:sz w:val="20"/>
                <w:szCs w:val="20"/>
              </w:rPr>
              <w:t>志</w:t>
            </w:r>
            <w:r>
              <w:rPr>
                <w:rFonts w:ascii="宋体" w:hAnsi="宋体" w:eastAsia="宋体" w:cs="宋体"/>
                <w:spacing w:val="-1"/>
                <w:sz w:val="20"/>
                <w:szCs w:val="20"/>
              </w:rPr>
              <w:t>。</w:t>
            </w:r>
          </w:p>
          <w:p w14:paraId="70238323">
            <w:pPr>
              <w:spacing w:before="52" w:line="263" w:lineRule="exact"/>
              <w:ind w:left="25"/>
              <w:rPr>
                <w:rFonts w:ascii="宋体" w:hAnsi="宋体" w:eastAsia="宋体" w:cs="宋体"/>
                <w:sz w:val="20"/>
                <w:szCs w:val="20"/>
              </w:rPr>
            </w:pPr>
            <w:r>
              <w:rPr>
                <w:rFonts w:ascii="Times New Roman" w:hAnsi="Times New Roman" w:eastAsia="Times New Roman" w:cs="Times New Roman"/>
                <w:spacing w:val="-2"/>
                <w:position w:val="1"/>
                <w:sz w:val="20"/>
                <w:szCs w:val="20"/>
              </w:rPr>
              <w:t>2</w:t>
            </w:r>
            <w:r>
              <w:rPr>
                <w:rFonts w:ascii="宋体" w:hAnsi="宋体" w:eastAsia="宋体" w:cs="宋体"/>
                <w:spacing w:val="-2"/>
                <w:position w:val="1"/>
                <w:sz w:val="20"/>
                <w:szCs w:val="20"/>
              </w:rPr>
              <w:t>、生产区域应符合相关防火</w:t>
            </w:r>
            <w:r>
              <w:rPr>
                <w:rFonts w:ascii="宋体" w:hAnsi="宋体" w:eastAsia="宋体" w:cs="宋体"/>
                <w:spacing w:val="-1"/>
                <w:position w:val="1"/>
                <w:sz w:val="20"/>
                <w:szCs w:val="20"/>
              </w:rPr>
              <w:t>、防爆的要求。</w:t>
            </w:r>
          </w:p>
        </w:tc>
        <w:tc>
          <w:tcPr>
            <w:tcW w:w="2943" w:type="dxa"/>
            <w:vAlign w:val="top"/>
          </w:tcPr>
          <w:p w14:paraId="20618157">
            <w:pPr>
              <w:spacing w:before="73" w:line="274" w:lineRule="auto"/>
              <w:ind w:left="28" w:firstLine="2"/>
              <w:rPr>
                <w:rFonts w:ascii="宋体" w:hAnsi="宋体" w:eastAsia="宋体" w:cs="宋体"/>
                <w:sz w:val="20"/>
                <w:szCs w:val="20"/>
              </w:rPr>
            </w:pPr>
            <w:r>
              <w:rPr>
                <w:rFonts w:ascii="宋体" w:hAnsi="宋体" w:eastAsia="宋体" w:cs="宋体"/>
                <w:spacing w:val="-16"/>
                <w:sz w:val="20"/>
                <w:szCs w:val="20"/>
              </w:rPr>
              <w:t>该</w:t>
            </w:r>
            <w:r>
              <w:rPr>
                <w:rFonts w:ascii="宋体" w:hAnsi="宋体" w:eastAsia="宋体" w:cs="宋体"/>
                <w:spacing w:val="-11"/>
                <w:sz w:val="20"/>
                <w:szCs w:val="20"/>
              </w:rPr>
              <w:t>项</w:t>
            </w:r>
            <w:r>
              <w:rPr>
                <w:rFonts w:ascii="宋体" w:hAnsi="宋体" w:eastAsia="宋体" w:cs="宋体"/>
                <w:spacing w:val="-8"/>
                <w:sz w:val="20"/>
                <w:szCs w:val="20"/>
              </w:rPr>
              <w:t>目生产厂房、原料库、成品库</w:t>
            </w:r>
            <w:r>
              <w:rPr>
                <w:rFonts w:ascii="宋体" w:hAnsi="宋体" w:eastAsia="宋体" w:cs="宋体"/>
                <w:sz w:val="20"/>
                <w:szCs w:val="20"/>
              </w:rPr>
              <w:t xml:space="preserve"> </w:t>
            </w:r>
            <w:r>
              <w:rPr>
                <w:rFonts w:ascii="宋体" w:hAnsi="宋体" w:eastAsia="宋体" w:cs="宋体"/>
                <w:spacing w:val="-16"/>
                <w:sz w:val="20"/>
                <w:szCs w:val="20"/>
              </w:rPr>
              <w:t>等</w:t>
            </w:r>
            <w:r>
              <w:rPr>
                <w:rFonts w:ascii="宋体" w:hAnsi="宋体" w:eastAsia="宋体" w:cs="宋体"/>
                <w:spacing w:val="-8"/>
                <w:sz w:val="20"/>
                <w:szCs w:val="20"/>
              </w:rPr>
              <w:t>场所内应严禁烟火，不可存放任</w:t>
            </w:r>
            <w:r>
              <w:rPr>
                <w:rFonts w:ascii="宋体" w:hAnsi="宋体" w:eastAsia="宋体" w:cs="宋体"/>
                <w:sz w:val="20"/>
                <w:szCs w:val="20"/>
              </w:rPr>
              <w:t xml:space="preserve"> </w:t>
            </w:r>
            <w:r>
              <w:rPr>
                <w:rFonts w:ascii="宋体" w:hAnsi="宋体" w:eastAsia="宋体" w:cs="宋体"/>
                <w:spacing w:val="-16"/>
                <w:sz w:val="20"/>
                <w:szCs w:val="20"/>
              </w:rPr>
              <w:t>何</w:t>
            </w:r>
            <w:r>
              <w:rPr>
                <w:rFonts w:ascii="宋体" w:hAnsi="宋体" w:eastAsia="宋体" w:cs="宋体"/>
                <w:spacing w:val="-11"/>
                <w:sz w:val="20"/>
                <w:szCs w:val="20"/>
              </w:rPr>
              <w:t>易</w:t>
            </w:r>
            <w:r>
              <w:rPr>
                <w:rFonts w:ascii="宋体" w:hAnsi="宋体" w:eastAsia="宋体" w:cs="宋体"/>
                <w:spacing w:val="-8"/>
                <w:sz w:val="20"/>
                <w:szCs w:val="20"/>
              </w:rPr>
              <w:t>燃性物质，并应设置严禁烟火</w:t>
            </w:r>
            <w:r>
              <w:rPr>
                <w:rFonts w:ascii="宋体" w:hAnsi="宋体" w:eastAsia="宋体" w:cs="宋体"/>
                <w:sz w:val="20"/>
                <w:szCs w:val="20"/>
              </w:rPr>
              <w:t xml:space="preserve"> </w:t>
            </w:r>
            <w:r>
              <w:rPr>
                <w:rFonts w:ascii="宋体" w:hAnsi="宋体" w:eastAsia="宋体" w:cs="宋体"/>
                <w:spacing w:val="-7"/>
                <w:sz w:val="20"/>
                <w:szCs w:val="20"/>
              </w:rPr>
              <w:t>标</w:t>
            </w:r>
            <w:r>
              <w:rPr>
                <w:rFonts w:ascii="宋体" w:hAnsi="宋体" w:eastAsia="宋体" w:cs="宋体"/>
                <w:spacing w:val="-6"/>
                <w:sz w:val="20"/>
                <w:szCs w:val="20"/>
              </w:rPr>
              <w:t>志。生产区域应符合相关防火、</w:t>
            </w:r>
            <w:r>
              <w:rPr>
                <w:rFonts w:ascii="宋体" w:hAnsi="宋体" w:eastAsia="宋体" w:cs="宋体"/>
                <w:sz w:val="20"/>
                <w:szCs w:val="20"/>
              </w:rPr>
              <w:t xml:space="preserve"> </w:t>
            </w:r>
            <w:r>
              <w:rPr>
                <w:rFonts w:ascii="宋体" w:hAnsi="宋体" w:eastAsia="宋体" w:cs="宋体"/>
                <w:spacing w:val="-3"/>
                <w:sz w:val="20"/>
                <w:szCs w:val="20"/>
              </w:rPr>
              <w:t>防爆的要求。</w:t>
            </w:r>
          </w:p>
        </w:tc>
        <w:tc>
          <w:tcPr>
            <w:tcW w:w="751" w:type="dxa"/>
            <w:tcBorders>
              <w:right w:val="nil"/>
            </w:tcBorders>
            <w:vAlign w:val="top"/>
          </w:tcPr>
          <w:p w14:paraId="6569B9F4">
            <w:pPr>
              <w:spacing w:line="312" w:lineRule="auto"/>
              <w:rPr>
                <w:rFonts w:ascii="Arial"/>
                <w:sz w:val="21"/>
              </w:rPr>
            </w:pPr>
          </w:p>
          <w:p w14:paraId="74226B2F">
            <w:pPr>
              <w:spacing w:line="312" w:lineRule="auto"/>
              <w:rPr>
                <w:rFonts w:ascii="Arial"/>
                <w:sz w:val="21"/>
              </w:rPr>
            </w:pPr>
          </w:p>
          <w:p w14:paraId="0393251D">
            <w:pPr>
              <w:spacing w:before="65" w:line="228" w:lineRule="auto"/>
              <w:ind w:left="173"/>
              <w:rPr>
                <w:rFonts w:ascii="宋体" w:hAnsi="宋体" w:eastAsia="宋体" w:cs="宋体"/>
                <w:sz w:val="20"/>
                <w:szCs w:val="20"/>
              </w:rPr>
            </w:pPr>
            <w:r>
              <w:rPr>
                <w:rFonts w:ascii="宋体" w:hAnsi="宋体" w:eastAsia="宋体" w:cs="宋体"/>
                <w:spacing w:val="4"/>
                <w:sz w:val="20"/>
                <w:szCs w:val="20"/>
              </w:rPr>
              <w:t>符</w:t>
            </w:r>
            <w:r>
              <w:rPr>
                <w:rFonts w:ascii="宋体" w:hAnsi="宋体" w:eastAsia="宋体" w:cs="宋体"/>
                <w:spacing w:val="3"/>
                <w:sz w:val="20"/>
                <w:szCs w:val="20"/>
              </w:rPr>
              <w:t>合</w:t>
            </w:r>
          </w:p>
        </w:tc>
      </w:tr>
    </w:tbl>
    <w:p w14:paraId="0E8171D2">
      <w:pPr>
        <w:spacing w:line="260" w:lineRule="auto"/>
        <w:rPr>
          <w:rFonts w:ascii="Arial"/>
          <w:sz w:val="21"/>
        </w:rPr>
      </w:pPr>
    </w:p>
    <w:p w14:paraId="562D6D6E">
      <w:pPr>
        <w:spacing w:before="74" w:line="229" w:lineRule="auto"/>
        <w:ind w:left="626"/>
        <w:rPr>
          <w:rFonts w:ascii="宋体" w:hAnsi="宋体" w:eastAsia="宋体" w:cs="宋体"/>
          <w:sz w:val="23"/>
          <w:szCs w:val="23"/>
        </w:rPr>
      </w:pPr>
      <w:r>
        <w:rPr>
          <w:rFonts w:ascii="宋体" w:hAnsi="宋体" w:eastAsia="宋体" w:cs="宋体"/>
          <w:spacing w:val="16"/>
          <w:sz w:val="23"/>
          <w:szCs w:val="23"/>
        </w:rPr>
        <w:t>由</w:t>
      </w:r>
      <w:r>
        <w:rPr>
          <w:rFonts w:ascii="宋体" w:hAnsi="宋体" w:eastAsia="宋体" w:cs="宋体"/>
          <w:spacing w:val="15"/>
          <w:sz w:val="23"/>
          <w:szCs w:val="23"/>
        </w:rPr>
        <w:t>上</w:t>
      </w:r>
      <w:r>
        <w:rPr>
          <w:rFonts w:ascii="宋体" w:hAnsi="宋体" w:eastAsia="宋体" w:cs="宋体"/>
          <w:spacing w:val="8"/>
          <w:sz w:val="23"/>
          <w:szCs w:val="23"/>
        </w:rPr>
        <w:t>表可知，项目符合《废塑料综合利用行业规范条件》中的相关要求。</w:t>
      </w:r>
    </w:p>
    <w:p w14:paraId="5747C37C">
      <w:pPr>
        <w:spacing w:before="315" w:line="220" w:lineRule="auto"/>
        <w:ind w:left="126"/>
        <w:outlineLvl w:val="3"/>
        <w:rPr>
          <w:rFonts w:ascii="宋体" w:hAnsi="宋体" w:eastAsia="宋体" w:cs="宋体"/>
          <w:sz w:val="28"/>
          <w:szCs w:val="28"/>
        </w:rPr>
      </w:pPr>
      <w:r>
        <w:rPr>
          <w:rFonts w:ascii="Times New Roman" w:hAnsi="Times New Roman" w:eastAsia="Times New Roman" w:cs="Times New Roman"/>
          <w:b/>
          <w:bCs/>
          <w:spacing w:val="-46"/>
          <w:sz w:val="28"/>
          <w:szCs w:val="28"/>
        </w:rPr>
        <w:t>1</w:t>
      </w:r>
      <w:r>
        <w:rPr>
          <w:rFonts w:ascii="Times New Roman" w:hAnsi="Times New Roman" w:eastAsia="Times New Roman" w:cs="Times New Roman"/>
          <w:b/>
          <w:bCs/>
          <w:spacing w:val="-25"/>
          <w:sz w:val="28"/>
          <w:szCs w:val="28"/>
        </w:rPr>
        <w:t>.4.2.2</w:t>
      </w:r>
      <w:r>
        <w:rPr>
          <w:rFonts w:ascii="宋体" w:hAnsi="宋体" w:eastAsia="宋体" w:cs="宋体"/>
          <w:spacing w:val="-25"/>
          <w:sz w:val="28"/>
          <w:szCs w:val="28"/>
          <w14:textOutline w14:w="5103" w14:cap="sq" w14:cmpd="sng">
            <w14:solidFill>
              <w14:srgbClr w14:val="000000"/>
            </w14:solidFill>
            <w14:prstDash w14:val="solid"/>
            <w14:bevel/>
          </w14:textOutline>
        </w:rPr>
        <w:t>与《废塑料回收与再生利用污染控制技术规范</w:t>
      </w:r>
      <w:r>
        <w:rPr>
          <w:rFonts w:ascii="宋体" w:hAnsi="宋体" w:eastAsia="宋体" w:cs="宋体"/>
          <w:spacing w:val="-25"/>
          <w:sz w:val="28"/>
          <w:szCs w:val="28"/>
        </w:rPr>
        <w:t xml:space="preserve"> </w:t>
      </w:r>
      <w:r>
        <w:rPr>
          <w:rFonts w:ascii="宋体" w:hAnsi="宋体" w:eastAsia="宋体" w:cs="宋体"/>
          <w:spacing w:val="-25"/>
          <w:sz w:val="28"/>
          <w:szCs w:val="28"/>
          <w14:textOutline w14:w="5103" w14:cap="sq" w14:cmpd="sng">
            <w14:solidFill>
              <w14:srgbClr w14:val="000000"/>
            </w14:solidFill>
            <w14:prstDash w14:val="solid"/>
            <w14:bevel/>
          </w14:textOutline>
        </w:rPr>
        <w:t>(试行)</w:t>
      </w:r>
      <w:r>
        <w:rPr>
          <w:rFonts w:ascii="宋体" w:hAnsi="宋体" w:eastAsia="宋体" w:cs="宋体"/>
          <w:spacing w:val="-25"/>
          <w:sz w:val="28"/>
          <w:szCs w:val="28"/>
        </w:rPr>
        <w:t xml:space="preserve"> </w:t>
      </w:r>
      <w:r>
        <w:rPr>
          <w:rFonts w:ascii="宋体" w:hAnsi="宋体" w:eastAsia="宋体" w:cs="宋体"/>
          <w:spacing w:val="-25"/>
          <w:sz w:val="28"/>
          <w:szCs w:val="28"/>
          <w14:textOutline w14:w="5103" w14:cap="sq" w14:cmpd="sng">
            <w14:solidFill>
              <w14:srgbClr w14:val="000000"/>
            </w14:solidFill>
            <w14:prstDash w14:val="solid"/>
            <w14:bevel/>
          </w14:textOutline>
        </w:rPr>
        <w:t>》相符性分析</w:t>
      </w:r>
    </w:p>
    <w:p w14:paraId="2DC1C5F4">
      <w:pPr>
        <w:spacing w:line="260" w:lineRule="auto"/>
        <w:rPr>
          <w:rFonts w:ascii="Arial"/>
          <w:sz w:val="21"/>
        </w:rPr>
      </w:pPr>
    </w:p>
    <w:p w14:paraId="67150001">
      <w:pPr>
        <w:spacing w:before="75" w:line="392" w:lineRule="auto"/>
        <w:ind w:left="128" w:right="207" w:firstLine="472"/>
        <w:rPr>
          <w:rFonts w:ascii="宋体" w:hAnsi="宋体" w:eastAsia="宋体" w:cs="宋体"/>
          <w:sz w:val="23"/>
          <w:szCs w:val="23"/>
        </w:rPr>
      </w:pPr>
      <w:r>
        <w:rPr>
          <w:rFonts w:ascii="宋体" w:hAnsi="宋体" w:eastAsia="宋体" w:cs="宋体"/>
          <w:spacing w:val="38"/>
          <w:sz w:val="23"/>
          <w:szCs w:val="23"/>
        </w:rPr>
        <w:t>该</w:t>
      </w:r>
      <w:r>
        <w:rPr>
          <w:rFonts w:ascii="宋体" w:hAnsi="宋体" w:eastAsia="宋体" w:cs="宋体"/>
          <w:spacing w:val="22"/>
          <w:sz w:val="23"/>
          <w:szCs w:val="23"/>
        </w:rPr>
        <w:t>项</w:t>
      </w:r>
      <w:r>
        <w:rPr>
          <w:rFonts w:ascii="宋体" w:hAnsi="宋体" w:eastAsia="宋体" w:cs="宋体"/>
          <w:spacing w:val="19"/>
          <w:sz w:val="23"/>
          <w:szCs w:val="23"/>
        </w:rPr>
        <w:t xml:space="preserve"> 目项 目与《废塑料回收与再生利用污染控制技术规范 (试行) 》</w:t>
      </w:r>
      <w:r>
        <w:rPr>
          <w:rFonts w:ascii="宋体" w:hAnsi="宋体" w:eastAsia="宋体" w:cs="宋体"/>
          <w:sz w:val="23"/>
          <w:szCs w:val="23"/>
        </w:rPr>
        <w:t xml:space="preserve"> </w:t>
      </w:r>
      <w:r>
        <w:rPr>
          <w:rFonts w:ascii="宋体" w:hAnsi="宋体" w:eastAsia="宋体" w:cs="宋体"/>
          <w:spacing w:val="12"/>
          <w:sz w:val="23"/>
          <w:szCs w:val="23"/>
        </w:rPr>
        <w:t>(</w:t>
      </w:r>
      <w:r>
        <w:rPr>
          <w:rFonts w:ascii="Times New Roman" w:hAnsi="Times New Roman" w:eastAsia="Times New Roman" w:cs="Times New Roman"/>
          <w:sz w:val="23"/>
          <w:szCs w:val="23"/>
        </w:rPr>
        <w:t>HJ</w:t>
      </w:r>
      <w:r>
        <w:rPr>
          <w:rFonts w:ascii="Times New Roman" w:hAnsi="Times New Roman" w:eastAsia="Times New Roman" w:cs="Times New Roman"/>
          <w:spacing w:val="12"/>
          <w:sz w:val="23"/>
          <w:szCs w:val="23"/>
        </w:rPr>
        <w:t>/364-2007</w:t>
      </w:r>
      <w:r>
        <w:rPr>
          <w:rFonts w:ascii="宋体" w:hAnsi="宋体" w:eastAsia="宋体" w:cs="宋体"/>
          <w:spacing w:val="12"/>
          <w:sz w:val="23"/>
          <w:szCs w:val="23"/>
        </w:rPr>
        <w:t>) 符合性见下表</w:t>
      </w:r>
      <w:r>
        <w:rPr>
          <w:rFonts w:ascii="宋体" w:hAnsi="宋体" w:eastAsia="宋体" w:cs="宋体"/>
          <w:spacing w:val="9"/>
          <w:sz w:val="23"/>
          <w:szCs w:val="23"/>
        </w:rPr>
        <w:t>。</w:t>
      </w:r>
    </w:p>
    <w:p w14:paraId="3279D793">
      <w:pPr>
        <w:spacing w:before="141" w:line="227" w:lineRule="auto"/>
        <w:ind w:left="838"/>
        <w:rPr>
          <w:rFonts w:ascii="宋体" w:hAnsi="宋体" w:eastAsia="宋体" w:cs="宋体"/>
          <w:sz w:val="23"/>
          <w:szCs w:val="23"/>
        </w:rPr>
      </w:pPr>
      <w:r>
        <w:rPr>
          <w:rFonts w:ascii="宋体" w:hAnsi="宋体" w:eastAsia="宋体" w:cs="宋体"/>
          <w:spacing w:val="12"/>
          <w:sz w:val="23"/>
          <w:szCs w:val="23"/>
          <w14:textOutline w14:w="4358" w14:cap="sq" w14:cmpd="sng">
            <w14:solidFill>
              <w14:srgbClr w14:val="000000"/>
            </w14:solidFill>
            <w14:prstDash w14:val="solid"/>
            <w14:bevel/>
          </w14:textOutline>
        </w:rPr>
        <w:t>表</w:t>
      </w:r>
      <w:r>
        <w:rPr>
          <w:rFonts w:ascii="宋体" w:hAnsi="宋体" w:eastAsia="宋体" w:cs="宋体"/>
          <w:spacing w:val="12"/>
          <w:sz w:val="23"/>
          <w:szCs w:val="23"/>
        </w:rPr>
        <w:t xml:space="preserve"> </w:t>
      </w:r>
      <w:r>
        <w:rPr>
          <w:rFonts w:ascii="Times New Roman" w:hAnsi="Times New Roman" w:eastAsia="Times New Roman" w:cs="Times New Roman"/>
          <w:b/>
          <w:bCs/>
          <w:spacing w:val="12"/>
          <w:sz w:val="23"/>
          <w:szCs w:val="23"/>
        </w:rPr>
        <w:t>1</w:t>
      </w:r>
      <w:r>
        <w:rPr>
          <w:rFonts w:ascii="Times New Roman" w:hAnsi="Times New Roman" w:eastAsia="Times New Roman" w:cs="Times New Roman"/>
          <w:b/>
          <w:bCs/>
          <w:spacing w:val="9"/>
          <w:sz w:val="23"/>
          <w:szCs w:val="23"/>
        </w:rPr>
        <w:t>-</w:t>
      </w:r>
      <w:r>
        <w:rPr>
          <w:rFonts w:ascii="Times New Roman" w:hAnsi="Times New Roman" w:eastAsia="Times New Roman" w:cs="Times New Roman"/>
          <w:b/>
          <w:bCs/>
          <w:spacing w:val="6"/>
          <w:sz w:val="23"/>
          <w:szCs w:val="23"/>
        </w:rPr>
        <w:t>2</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14:textOutline w14:w="4358" w14:cap="sq" w14:cmpd="sng">
            <w14:solidFill>
              <w14:srgbClr w14:val="000000"/>
            </w14:solidFill>
            <w14:prstDash w14:val="solid"/>
            <w14:bevel/>
          </w14:textOutline>
        </w:rPr>
        <w:t>项目与废塑料回收与再生利用污染控制技术规范符合性</w:t>
      </w:r>
    </w:p>
    <w:p w14:paraId="369FB8E2">
      <w:pPr>
        <w:spacing w:line="17" w:lineRule="exact"/>
      </w:pPr>
    </w:p>
    <w:tbl>
      <w:tblPr>
        <w:tblStyle w:val="4"/>
        <w:tblW w:w="8521" w:type="dxa"/>
        <w:tblInd w:w="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2"/>
        <w:gridCol w:w="4310"/>
        <w:gridCol w:w="2980"/>
        <w:gridCol w:w="679"/>
      </w:tblGrid>
      <w:tr w14:paraId="63012F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01" w:hRule="atLeast"/>
        </w:trPr>
        <w:tc>
          <w:tcPr>
            <w:tcW w:w="552" w:type="dxa"/>
            <w:tcBorders>
              <w:left w:val="nil"/>
            </w:tcBorders>
            <w:vAlign w:val="top"/>
          </w:tcPr>
          <w:p w14:paraId="4FA84094">
            <w:pPr>
              <w:spacing w:before="57" w:line="225" w:lineRule="auto"/>
              <w:ind w:left="74"/>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类别</w:t>
            </w:r>
          </w:p>
        </w:tc>
        <w:tc>
          <w:tcPr>
            <w:tcW w:w="4310" w:type="dxa"/>
            <w:vAlign w:val="top"/>
          </w:tcPr>
          <w:p w14:paraId="3442DC13">
            <w:pPr>
              <w:spacing w:before="57" w:line="225" w:lineRule="auto"/>
              <w:ind w:left="1743"/>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规</w:t>
            </w:r>
            <w:r>
              <w:rPr>
                <w:rFonts w:ascii="宋体" w:hAnsi="宋体" w:eastAsia="宋体" w:cs="宋体"/>
                <w:spacing w:val="8"/>
                <w:sz w:val="20"/>
                <w:szCs w:val="20"/>
                <w14:textOutline w14:w="3795" w14:cap="sq" w14:cmpd="sng">
                  <w14:solidFill>
                    <w14:srgbClr w14:val="000000"/>
                  </w14:solidFill>
                  <w14:prstDash w14:val="solid"/>
                  <w14:bevel/>
                </w14:textOutline>
              </w:rPr>
              <w:t>范要求</w:t>
            </w:r>
          </w:p>
        </w:tc>
        <w:tc>
          <w:tcPr>
            <w:tcW w:w="2980" w:type="dxa"/>
            <w:vAlign w:val="top"/>
          </w:tcPr>
          <w:p w14:paraId="3DD30D9A">
            <w:pPr>
              <w:spacing w:before="57" w:line="225" w:lineRule="auto"/>
              <w:ind w:left="973"/>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本</w:t>
            </w:r>
            <w:r>
              <w:rPr>
                <w:rFonts w:ascii="宋体" w:hAnsi="宋体" w:eastAsia="宋体" w:cs="宋体"/>
                <w:spacing w:val="8"/>
                <w:sz w:val="20"/>
                <w:szCs w:val="20"/>
                <w14:textOutline w14:w="3795" w14:cap="sq" w14:cmpd="sng">
                  <w14:solidFill>
                    <w14:srgbClr w14:val="000000"/>
                  </w14:solidFill>
                  <w14:prstDash w14:val="solid"/>
                  <w14:bevel/>
                </w14:textOutline>
              </w:rPr>
              <w:t>项目情况</w:t>
            </w:r>
          </w:p>
        </w:tc>
        <w:tc>
          <w:tcPr>
            <w:tcW w:w="679" w:type="dxa"/>
            <w:tcBorders>
              <w:right w:val="nil"/>
            </w:tcBorders>
            <w:vAlign w:val="top"/>
          </w:tcPr>
          <w:p w14:paraId="7A446FD2">
            <w:pPr>
              <w:spacing w:before="57" w:line="225" w:lineRule="auto"/>
              <w:ind w:left="31"/>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符合性</w:t>
            </w:r>
          </w:p>
        </w:tc>
      </w:tr>
      <w:tr w14:paraId="0FEDF2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7" w:hRule="atLeast"/>
        </w:trPr>
        <w:tc>
          <w:tcPr>
            <w:tcW w:w="552" w:type="dxa"/>
            <w:tcBorders>
              <w:left w:val="nil"/>
            </w:tcBorders>
            <w:vAlign w:val="top"/>
          </w:tcPr>
          <w:p w14:paraId="7F0BC61D">
            <w:pPr>
              <w:spacing w:line="263" w:lineRule="auto"/>
              <w:rPr>
                <w:rFonts w:ascii="Arial"/>
                <w:sz w:val="21"/>
              </w:rPr>
            </w:pPr>
          </w:p>
          <w:p w14:paraId="4645E3AC">
            <w:pPr>
              <w:spacing w:line="264" w:lineRule="auto"/>
              <w:rPr>
                <w:rFonts w:ascii="Arial"/>
                <w:sz w:val="21"/>
              </w:rPr>
            </w:pPr>
          </w:p>
          <w:p w14:paraId="23288F1A">
            <w:pPr>
              <w:spacing w:line="264" w:lineRule="auto"/>
              <w:rPr>
                <w:rFonts w:ascii="Arial"/>
                <w:sz w:val="21"/>
              </w:rPr>
            </w:pPr>
          </w:p>
          <w:p w14:paraId="0A3412FC">
            <w:pPr>
              <w:spacing w:line="264" w:lineRule="auto"/>
              <w:rPr>
                <w:rFonts w:ascii="Arial"/>
                <w:sz w:val="21"/>
              </w:rPr>
            </w:pPr>
          </w:p>
          <w:p w14:paraId="23E64C3E">
            <w:pPr>
              <w:spacing w:line="264" w:lineRule="auto"/>
              <w:rPr>
                <w:rFonts w:ascii="Arial"/>
                <w:sz w:val="21"/>
              </w:rPr>
            </w:pPr>
          </w:p>
          <w:p w14:paraId="7734B31E">
            <w:pPr>
              <w:spacing w:before="65" w:line="228" w:lineRule="auto"/>
              <w:ind w:left="94"/>
              <w:rPr>
                <w:rFonts w:ascii="宋体" w:hAnsi="宋体" w:eastAsia="宋体" w:cs="宋体"/>
                <w:sz w:val="20"/>
                <w:szCs w:val="20"/>
              </w:rPr>
            </w:pPr>
            <w:r>
              <w:rPr>
                <w:rFonts w:ascii="宋体" w:hAnsi="宋体" w:eastAsia="宋体" w:cs="宋体"/>
                <w:spacing w:val="-6"/>
                <w:sz w:val="20"/>
                <w:szCs w:val="20"/>
              </w:rPr>
              <w:t>回</w:t>
            </w:r>
            <w:r>
              <w:rPr>
                <w:rFonts w:ascii="宋体" w:hAnsi="宋体" w:eastAsia="宋体" w:cs="宋体"/>
                <w:spacing w:val="-5"/>
                <w:sz w:val="20"/>
                <w:szCs w:val="20"/>
              </w:rPr>
              <w:t>收</w:t>
            </w:r>
          </w:p>
        </w:tc>
        <w:tc>
          <w:tcPr>
            <w:tcW w:w="4310" w:type="dxa"/>
            <w:vAlign w:val="top"/>
          </w:tcPr>
          <w:p w14:paraId="7FC84A01">
            <w:pPr>
              <w:spacing w:line="261" w:lineRule="auto"/>
              <w:rPr>
                <w:rFonts w:ascii="Arial"/>
                <w:sz w:val="21"/>
              </w:rPr>
            </w:pPr>
          </w:p>
          <w:p w14:paraId="356485C7">
            <w:pPr>
              <w:spacing w:line="262" w:lineRule="auto"/>
              <w:rPr>
                <w:rFonts w:ascii="Arial"/>
                <w:sz w:val="21"/>
              </w:rPr>
            </w:pPr>
          </w:p>
          <w:p w14:paraId="60EC3E94">
            <w:pPr>
              <w:spacing w:line="262" w:lineRule="auto"/>
              <w:rPr>
                <w:rFonts w:ascii="Arial"/>
                <w:sz w:val="21"/>
              </w:rPr>
            </w:pPr>
          </w:p>
          <w:p w14:paraId="6688F219">
            <w:pPr>
              <w:spacing w:line="262" w:lineRule="auto"/>
              <w:rPr>
                <w:rFonts w:ascii="Arial"/>
                <w:sz w:val="21"/>
              </w:rPr>
            </w:pPr>
          </w:p>
          <w:p w14:paraId="6E37FD2E">
            <w:pPr>
              <w:spacing w:before="65" w:line="241" w:lineRule="auto"/>
              <w:ind w:left="27" w:right="19" w:firstLine="17"/>
              <w:rPr>
                <w:rFonts w:ascii="宋体" w:hAnsi="宋体" w:eastAsia="宋体" w:cs="宋体"/>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4"/>
                <w:sz w:val="20"/>
                <w:szCs w:val="20"/>
              </w:rPr>
              <w:t xml:space="preserve"> </w:t>
            </w:r>
            <w:r>
              <w:rPr>
                <w:rFonts w:ascii="宋体" w:hAnsi="宋体" w:eastAsia="宋体" w:cs="宋体"/>
                <w:spacing w:val="4"/>
                <w:sz w:val="20"/>
                <w:szCs w:val="20"/>
              </w:rPr>
              <w:t>、按原料树脂种类分类回收，严格区分原料来</w:t>
            </w:r>
            <w:r>
              <w:rPr>
                <w:rFonts w:ascii="宋体" w:hAnsi="宋体" w:eastAsia="宋体" w:cs="宋体"/>
                <w:sz w:val="20"/>
                <w:szCs w:val="20"/>
              </w:rPr>
              <w:t xml:space="preserve"> </w:t>
            </w:r>
            <w:r>
              <w:rPr>
                <w:rFonts w:ascii="宋体" w:hAnsi="宋体" w:eastAsia="宋体" w:cs="宋体"/>
                <w:spacing w:val="7"/>
                <w:sz w:val="20"/>
                <w:szCs w:val="20"/>
              </w:rPr>
              <w:t>源及原用途</w:t>
            </w:r>
            <w:r>
              <w:rPr>
                <w:rFonts w:ascii="宋体" w:hAnsi="宋体" w:eastAsia="宋体" w:cs="宋体"/>
                <w:spacing w:val="6"/>
                <w:sz w:val="20"/>
                <w:szCs w:val="20"/>
              </w:rPr>
              <w:t>。</w:t>
            </w:r>
          </w:p>
          <w:p w14:paraId="180DB38F">
            <w:pPr>
              <w:spacing w:before="23" w:line="263" w:lineRule="exact"/>
              <w:ind w:left="24"/>
              <w:rPr>
                <w:rFonts w:ascii="宋体" w:hAnsi="宋体" w:eastAsia="宋体" w:cs="宋体"/>
                <w:sz w:val="20"/>
                <w:szCs w:val="20"/>
              </w:rPr>
            </w:pPr>
            <w:r>
              <w:rPr>
                <w:rFonts w:ascii="Times New Roman" w:hAnsi="Times New Roman" w:eastAsia="Times New Roman" w:cs="Times New Roman"/>
                <w:spacing w:val="10"/>
                <w:position w:val="1"/>
                <w:sz w:val="20"/>
                <w:szCs w:val="20"/>
              </w:rPr>
              <w:t>2</w:t>
            </w:r>
            <w:r>
              <w:rPr>
                <w:rFonts w:ascii="Times New Roman" w:hAnsi="Times New Roman" w:eastAsia="Times New Roman" w:cs="Times New Roman"/>
                <w:spacing w:val="6"/>
                <w:position w:val="1"/>
                <w:sz w:val="20"/>
                <w:szCs w:val="20"/>
              </w:rPr>
              <w:t xml:space="preserve"> </w:t>
            </w:r>
            <w:r>
              <w:rPr>
                <w:rFonts w:ascii="宋体" w:hAnsi="宋体" w:eastAsia="宋体" w:cs="宋体"/>
                <w:spacing w:val="5"/>
                <w:position w:val="1"/>
                <w:sz w:val="20"/>
                <w:szCs w:val="20"/>
              </w:rPr>
              <w:t>、不得回收医疗废物和危险废物。</w:t>
            </w:r>
          </w:p>
        </w:tc>
        <w:tc>
          <w:tcPr>
            <w:tcW w:w="2980" w:type="dxa"/>
            <w:vAlign w:val="top"/>
          </w:tcPr>
          <w:p w14:paraId="47E13354">
            <w:pPr>
              <w:spacing w:before="29" w:line="249" w:lineRule="auto"/>
              <w:ind w:left="27" w:right="21" w:firstLine="1"/>
              <w:rPr>
                <w:rFonts w:ascii="宋体" w:hAnsi="宋体" w:eastAsia="宋体" w:cs="宋体"/>
                <w:sz w:val="20"/>
                <w:szCs w:val="20"/>
              </w:rPr>
            </w:pPr>
            <w:r>
              <w:rPr>
                <w:rFonts w:ascii="宋体" w:hAnsi="宋体" w:eastAsia="宋体" w:cs="宋体"/>
                <w:spacing w:val="9"/>
                <w:sz w:val="20"/>
                <w:szCs w:val="20"/>
              </w:rPr>
              <w:t>所用原料为废塑料编织袋，均</w:t>
            </w:r>
            <w:r>
              <w:rPr>
                <w:rFonts w:ascii="宋体" w:hAnsi="宋体" w:eastAsia="宋体" w:cs="宋体"/>
                <w:spacing w:val="7"/>
                <w:sz w:val="20"/>
                <w:szCs w:val="20"/>
              </w:rPr>
              <w:t>外</w:t>
            </w:r>
            <w:r>
              <w:rPr>
                <w:rFonts w:ascii="宋体" w:hAnsi="宋体" w:eastAsia="宋体" w:cs="宋体"/>
                <w:sz w:val="20"/>
                <w:szCs w:val="20"/>
              </w:rPr>
              <w:t xml:space="preserve"> </w:t>
            </w:r>
            <w:r>
              <w:rPr>
                <w:rFonts w:ascii="宋体" w:hAnsi="宋体" w:eastAsia="宋体" w:cs="宋体"/>
                <w:spacing w:val="26"/>
                <w:sz w:val="20"/>
                <w:szCs w:val="20"/>
              </w:rPr>
              <w:t>购</w:t>
            </w:r>
            <w:r>
              <w:rPr>
                <w:rFonts w:ascii="宋体" w:hAnsi="宋体" w:eastAsia="宋体" w:cs="宋体"/>
                <w:spacing w:val="25"/>
                <w:sz w:val="20"/>
                <w:szCs w:val="20"/>
              </w:rPr>
              <w:t>于本溪宏远集团北台再生资</w:t>
            </w:r>
            <w:r>
              <w:rPr>
                <w:rFonts w:ascii="宋体" w:hAnsi="宋体" w:eastAsia="宋体" w:cs="宋体"/>
                <w:sz w:val="20"/>
                <w:szCs w:val="20"/>
              </w:rPr>
              <w:t xml:space="preserve"> </w:t>
            </w:r>
            <w:r>
              <w:rPr>
                <w:rFonts w:ascii="宋体" w:hAnsi="宋体" w:eastAsia="宋体" w:cs="宋体"/>
                <w:spacing w:val="26"/>
                <w:sz w:val="20"/>
                <w:szCs w:val="20"/>
              </w:rPr>
              <w:t>源</w:t>
            </w:r>
            <w:r>
              <w:rPr>
                <w:rFonts w:ascii="宋体" w:hAnsi="宋体" w:eastAsia="宋体" w:cs="宋体"/>
                <w:spacing w:val="25"/>
                <w:sz w:val="20"/>
                <w:szCs w:val="20"/>
              </w:rPr>
              <w:t>有限责任公司及平山区利安</w:t>
            </w:r>
            <w:r>
              <w:rPr>
                <w:rFonts w:ascii="宋体" w:hAnsi="宋体" w:eastAsia="宋体" w:cs="宋体"/>
                <w:sz w:val="20"/>
                <w:szCs w:val="20"/>
              </w:rPr>
              <w:t xml:space="preserve"> </w:t>
            </w:r>
            <w:r>
              <w:rPr>
                <w:rFonts w:ascii="宋体" w:hAnsi="宋体" w:eastAsia="宋体" w:cs="宋体"/>
                <w:spacing w:val="9"/>
                <w:sz w:val="20"/>
                <w:szCs w:val="20"/>
              </w:rPr>
              <w:t>建材城，为本溪宏远集团北台再</w:t>
            </w:r>
            <w:r>
              <w:rPr>
                <w:rFonts w:ascii="宋体" w:hAnsi="宋体" w:eastAsia="宋体" w:cs="宋体"/>
                <w:sz w:val="20"/>
                <w:szCs w:val="20"/>
              </w:rPr>
              <w:t xml:space="preserve"> </w:t>
            </w:r>
            <w:r>
              <w:rPr>
                <w:rFonts w:ascii="宋体" w:hAnsi="宋体" w:eastAsia="宋体" w:cs="宋体"/>
                <w:spacing w:val="26"/>
                <w:sz w:val="20"/>
                <w:szCs w:val="20"/>
              </w:rPr>
              <w:t>生</w:t>
            </w:r>
            <w:r>
              <w:rPr>
                <w:rFonts w:ascii="宋体" w:hAnsi="宋体" w:eastAsia="宋体" w:cs="宋体"/>
                <w:spacing w:val="25"/>
                <w:sz w:val="20"/>
                <w:szCs w:val="20"/>
              </w:rPr>
              <w:t>资源有限责任公司收购北台</w:t>
            </w:r>
            <w:r>
              <w:rPr>
                <w:rFonts w:ascii="宋体" w:hAnsi="宋体" w:eastAsia="宋体" w:cs="宋体"/>
                <w:sz w:val="20"/>
                <w:szCs w:val="20"/>
              </w:rPr>
              <w:t xml:space="preserve"> </w:t>
            </w:r>
            <w:r>
              <w:rPr>
                <w:rFonts w:ascii="宋体" w:hAnsi="宋体" w:eastAsia="宋体" w:cs="宋体"/>
                <w:spacing w:val="8"/>
                <w:sz w:val="20"/>
                <w:szCs w:val="20"/>
              </w:rPr>
              <w:t>钢铁 (集团) 有限责任公司所</w:t>
            </w:r>
            <w:r>
              <w:rPr>
                <w:rFonts w:ascii="宋体" w:hAnsi="宋体" w:eastAsia="宋体" w:cs="宋体"/>
                <w:spacing w:val="6"/>
                <w:sz w:val="20"/>
                <w:szCs w:val="20"/>
              </w:rPr>
              <w:t>用</w:t>
            </w:r>
            <w:r>
              <w:rPr>
                <w:rFonts w:ascii="宋体" w:hAnsi="宋体" w:eastAsia="宋体" w:cs="宋体"/>
                <w:sz w:val="20"/>
                <w:szCs w:val="20"/>
              </w:rPr>
              <w:t xml:space="preserve"> </w:t>
            </w:r>
            <w:r>
              <w:rPr>
                <w:rFonts w:ascii="宋体" w:hAnsi="宋体" w:eastAsia="宋体" w:cs="宋体"/>
                <w:spacing w:val="26"/>
                <w:sz w:val="20"/>
                <w:szCs w:val="20"/>
              </w:rPr>
              <w:t>原</w:t>
            </w:r>
            <w:r>
              <w:rPr>
                <w:rFonts w:ascii="宋体" w:hAnsi="宋体" w:eastAsia="宋体" w:cs="宋体"/>
                <w:spacing w:val="25"/>
                <w:sz w:val="20"/>
                <w:szCs w:val="20"/>
              </w:rPr>
              <w:t>料合金铁及铝锭的废包装袋</w:t>
            </w:r>
            <w:r>
              <w:rPr>
                <w:rFonts w:ascii="宋体" w:hAnsi="宋体" w:eastAsia="宋体" w:cs="宋体"/>
                <w:sz w:val="20"/>
                <w:szCs w:val="20"/>
              </w:rPr>
              <w:t xml:space="preserve"> </w:t>
            </w:r>
            <w:r>
              <w:rPr>
                <w:rFonts w:ascii="宋体" w:hAnsi="宋体" w:eastAsia="宋体" w:cs="宋体"/>
                <w:spacing w:val="26"/>
                <w:sz w:val="20"/>
                <w:szCs w:val="20"/>
              </w:rPr>
              <w:t>及</w:t>
            </w:r>
            <w:r>
              <w:rPr>
                <w:rFonts w:ascii="宋体" w:hAnsi="宋体" w:eastAsia="宋体" w:cs="宋体"/>
                <w:spacing w:val="25"/>
                <w:sz w:val="20"/>
                <w:szCs w:val="20"/>
              </w:rPr>
              <w:t>平山区利安建材城所销售砂</w:t>
            </w:r>
            <w:r>
              <w:rPr>
                <w:rFonts w:ascii="宋体" w:hAnsi="宋体" w:eastAsia="宋体" w:cs="宋体"/>
                <w:sz w:val="20"/>
                <w:szCs w:val="20"/>
              </w:rPr>
              <w:t xml:space="preserve"> </w:t>
            </w:r>
            <w:r>
              <w:rPr>
                <w:rFonts w:ascii="宋体" w:hAnsi="宋体" w:eastAsia="宋体" w:cs="宋体"/>
                <w:spacing w:val="9"/>
                <w:sz w:val="20"/>
                <w:szCs w:val="20"/>
              </w:rPr>
              <w:t>子的废包装袋，主要成分为聚乙</w:t>
            </w:r>
            <w:r>
              <w:rPr>
                <w:rFonts w:ascii="宋体" w:hAnsi="宋体" w:eastAsia="宋体" w:cs="宋体"/>
                <w:sz w:val="20"/>
                <w:szCs w:val="20"/>
              </w:rPr>
              <w:t xml:space="preserve"> </w:t>
            </w:r>
            <w:r>
              <w:rPr>
                <w:rFonts w:ascii="宋体" w:hAnsi="宋体" w:eastAsia="宋体" w:cs="宋体"/>
                <w:spacing w:val="9"/>
                <w:sz w:val="20"/>
                <w:szCs w:val="20"/>
              </w:rPr>
              <w:t>烯、聚丙烯，不涉及医疗废物、</w:t>
            </w:r>
            <w:r>
              <w:rPr>
                <w:rFonts w:ascii="宋体" w:hAnsi="宋体" w:eastAsia="宋体" w:cs="宋体"/>
                <w:sz w:val="20"/>
                <w:szCs w:val="20"/>
              </w:rPr>
              <w:t xml:space="preserve"> </w:t>
            </w:r>
            <w:r>
              <w:rPr>
                <w:rFonts w:ascii="宋体" w:hAnsi="宋体" w:eastAsia="宋体" w:cs="宋体"/>
                <w:spacing w:val="7"/>
                <w:sz w:val="20"/>
                <w:szCs w:val="20"/>
              </w:rPr>
              <w:t>危</w:t>
            </w:r>
            <w:r>
              <w:rPr>
                <w:rFonts w:ascii="宋体" w:hAnsi="宋体" w:eastAsia="宋体" w:cs="宋体"/>
                <w:spacing w:val="6"/>
                <w:sz w:val="20"/>
                <w:szCs w:val="20"/>
              </w:rPr>
              <w:t>险废物。</w:t>
            </w:r>
          </w:p>
        </w:tc>
        <w:tc>
          <w:tcPr>
            <w:tcW w:w="679" w:type="dxa"/>
            <w:tcBorders>
              <w:right w:val="nil"/>
            </w:tcBorders>
            <w:vAlign w:val="top"/>
          </w:tcPr>
          <w:p w14:paraId="5E785A7D">
            <w:pPr>
              <w:spacing w:line="263" w:lineRule="auto"/>
              <w:rPr>
                <w:rFonts w:ascii="Arial"/>
                <w:sz w:val="21"/>
              </w:rPr>
            </w:pPr>
          </w:p>
          <w:p w14:paraId="3D1F41CA">
            <w:pPr>
              <w:spacing w:line="264" w:lineRule="auto"/>
              <w:rPr>
                <w:rFonts w:ascii="Arial"/>
                <w:sz w:val="21"/>
              </w:rPr>
            </w:pPr>
          </w:p>
          <w:p w14:paraId="1FD34EF4">
            <w:pPr>
              <w:spacing w:line="264" w:lineRule="auto"/>
              <w:rPr>
                <w:rFonts w:ascii="Arial"/>
                <w:sz w:val="21"/>
              </w:rPr>
            </w:pPr>
          </w:p>
          <w:p w14:paraId="657BEF84">
            <w:pPr>
              <w:spacing w:line="264" w:lineRule="auto"/>
              <w:rPr>
                <w:rFonts w:ascii="Arial"/>
                <w:sz w:val="21"/>
              </w:rPr>
            </w:pPr>
          </w:p>
          <w:p w14:paraId="1A42FD6D">
            <w:pPr>
              <w:spacing w:line="264" w:lineRule="auto"/>
              <w:rPr>
                <w:rFonts w:ascii="Arial"/>
                <w:sz w:val="21"/>
              </w:rPr>
            </w:pPr>
          </w:p>
          <w:p w14:paraId="3EFA7644">
            <w:pPr>
              <w:spacing w:before="65" w:line="228" w:lineRule="auto"/>
              <w:ind w:left="137"/>
              <w:rPr>
                <w:rFonts w:ascii="宋体" w:hAnsi="宋体" w:eastAsia="宋体" w:cs="宋体"/>
                <w:sz w:val="20"/>
                <w:szCs w:val="20"/>
              </w:rPr>
            </w:pPr>
            <w:r>
              <w:rPr>
                <w:rFonts w:ascii="宋体" w:hAnsi="宋体" w:eastAsia="宋体" w:cs="宋体"/>
                <w:spacing w:val="4"/>
                <w:sz w:val="20"/>
                <w:szCs w:val="20"/>
              </w:rPr>
              <w:t>符</w:t>
            </w:r>
            <w:r>
              <w:rPr>
                <w:rFonts w:ascii="宋体" w:hAnsi="宋体" w:eastAsia="宋体" w:cs="宋体"/>
                <w:spacing w:val="3"/>
                <w:sz w:val="20"/>
                <w:szCs w:val="20"/>
              </w:rPr>
              <w:t>合</w:t>
            </w:r>
          </w:p>
        </w:tc>
      </w:tr>
      <w:tr w14:paraId="48C74B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6" w:hRule="atLeast"/>
        </w:trPr>
        <w:tc>
          <w:tcPr>
            <w:tcW w:w="552" w:type="dxa"/>
            <w:tcBorders>
              <w:left w:val="nil"/>
            </w:tcBorders>
            <w:vAlign w:val="top"/>
          </w:tcPr>
          <w:p w14:paraId="362B78A2">
            <w:pPr>
              <w:spacing w:line="377" w:lineRule="auto"/>
              <w:rPr>
                <w:rFonts w:ascii="Arial"/>
                <w:sz w:val="21"/>
              </w:rPr>
            </w:pPr>
          </w:p>
          <w:p w14:paraId="0F22998E">
            <w:pPr>
              <w:spacing w:before="65" w:line="228" w:lineRule="auto"/>
              <w:ind w:left="75"/>
              <w:rPr>
                <w:rFonts w:ascii="宋体" w:hAnsi="宋体" w:eastAsia="宋体" w:cs="宋体"/>
                <w:sz w:val="20"/>
                <w:szCs w:val="20"/>
              </w:rPr>
            </w:pPr>
            <w:r>
              <w:rPr>
                <w:rFonts w:ascii="宋体" w:hAnsi="宋体" w:eastAsia="宋体" w:cs="宋体"/>
                <w:spacing w:val="4"/>
                <w:sz w:val="20"/>
                <w:szCs w:val="20"/>
              </w:rPr>
              <w:t>贮存</w:t>
            </w:r>
          </w:p>
        </w:tc>
        <w:tc>
          <w:tcPr>
            <w:tcW w:w="4310" w:type="dxa"/>
            <w:vAlign w:val="top"/>
          </w:tcPr>
          <w:p w14:paraId="650457F8">
            <w:pPr>
              <w:spacing w:before="37" w:line="264" w:lineRule="exact"/>
              <w:ind w:left="44"/>
              <w:rPr>
                <w:rFonts w:ascii="宋体" w:hAnsi="宋体" w:eastAsia="宋体" w:cs="宋体"/>
                <w:sz w:val="20"/>
                <w:szCs w:val="20"/>
              </w:rPr>
            </w:pPr>
            <w:r>
              <w:rPr>
                <w:rFonts w:ascii="Times New Roman" w:hAnsi="Times New Roman" w:eastAsia="Times New Roman" w:cs="Times New Roman"/>
                <w:spacing w:val="-20"/>
                <w:position w:val="1"/>
                <w:sz w:val="20"/>
                <w:szCs w:val="20"/>
              </w:rPr>
              <w:t>1</w:t>
            </w:r>
            <w:r>
              <w:rPr>
                <w:rFonts w:ascii="宋体" w:hAnsi="宋体" w:eastAsia="宋体" w:cs="宋体"/>
                <w:spacing w:val="-10"/>
                <w:position w:val="1"/>
                <w:sz w:val="20"/>
                <w:szCs w:val="20"/>
              </w:rPr>
              <w:t>、废塑料贮存在通过环保审批的专门贮存场所内。</w:t>
            </w:r>
          </w:p>
          <w:p w14:paraId="42B78FAB">
            <w:pPr>
              <w:spacing w:before="7" w:line="239" w:lineRule="auto"/>
              <w:ind w:left="40" w:hanging="16"/>
              <w:rPr>
                <w:rFonts w:ascii="宋体" w:hAnsi="宋体" w:eastAsia="宋体" w:cs="宋体"/>
                <w:sz w:val="20"/>
                <w:szCs w:val="20"/>
              </w:rPr>
            </w:pPr>
            <w:r>
              <w:rPr>
                <w:rFonts w:ascii="Times New Roman" w:hAnsi="Times New Roman" w:eastAsia="Times New Roman" w:cs="Times New Roman"/>
                <w:spacing w:val="-18"/>
                <w:sz w:val="20"/>
                <w:szCs w:val="20"/>
              </w:rPr>
              <w:t>2</w:t>
            </w:r>
            <w:r>
              <w:rPr>
                <w:rFonts w:ascii="宋体" w:hAnsi="宋体" w:eastAsia="宋体" w:cs="宋体"/>
                <w:spacing w:val="-13"/>
                <w:sz w:val="20"/>
                <w:szCs w:val="20"/>
              </w:rPr>
              <w:t>、</w:t>
            </w:r>
            <w:r>
              <w:rPr>
                <w:rFonts w:ascii="宋体" w:hAnsi="宋体" w:eastAsia="宋体" w:cs="宋体"/>
                <w:spacing w:val="-9"/>
                <w:sz w:val="20"/>
                <w:szCs w:val="20"/>
              </w:rPr>
              <w:t>贮存场所封闭或半封闭，有防雨、防晒、防尘、</w:t>
            </w:r>
            <w:r>
              <w:rPr>
                <w:rFonts w:ascii="宋体" w:hAnsi="宋体" w:eastAsia="宋体" w:cs="宋体"/>
                <w:sz w:val="20"/>
                <w:szCs w:val="20"/>
              </w:rPr>
              <w:t xml:space="preserve"> </w:t>
            </w:r>
            <w:r>
              <w:rPr>
                <w:rFonts w:ascii="宋体" w:hAnsi="宋体" w:eastAsia="宋体" w:cs="宋体"/>
                <w:spacing w:val="-8"/>
                <w:sz w:val="20"/>
                <w:szCs w:val="20"/>
              </w:rPr>
              <w:t>防</w:t>
            </w:r>
            <w:r>
              <w:rPr>
                <w:rFonts w:ascii="宋体" w:hAnsi="宋体" w:eastAsia="宋体" w:cs="宋体"/>
                <w:spacing w:val="-5"/>
                <w:sz w:val="20"/>
                <w:szCs w:val="20"/>
              </w:rPr>
              <w:t>扬散、防火措施。</w:t>
            </w:r>
          </w:p>
          <w:p w14:paraId="0B11BF1A">
            <w:pPr>
              <w:spacing w:before="27" w:line="262" w:lineRule="exact"/>
              <w:ind w:left="29"/>
              <w:rPr>
                <w:rFonts w:ascii="宋体" w:hAnsi="宋体" w:eastAsia="宋体" w:cs="宋体"/>
                <w:sz w:val="20"/>
                <w:szCs w:val="20"/>
              </w:rPr>
            </w:pPr>
            <w:r>
              <w:rPr>
                <w:rFonts w:ascii="Times New Roman" w:hAnsi="Times New Roman" w:eastAsia="Times New Roman" w:cs="Times New Roman"/>
                <w:spacing w:val="-2"/>
                <w:position w:val="1"/>
                <w:sz w:val="20"/>
                <w:szCs w:val="20"/>
              </w:rPr>
              <w:t>3</w:t>
            </w:r>
            <w:r>
              <w:rPr>
                <w:rFonts w:ascii="宋体" w:hAnsi="宋体" w:eastAsia="宋体" w:cs="宋体"/>
                <w:spacing w:val="-2"/>
                <w:position w:val="1"/>
                <w:sz w:val="20"/>
                <w:szCs w:val="20"/>
              </w:rPr>
              <w:t>、废塑料按种类、来源</w:t>
            </w:r>
            <w:r>
              <w:rPr>
                <w:rFonts w:ascii="宋体" w:hAnsi="宋体" w:eastAsia="宋体" w:cs="宋体"/>
                <w:spacing w:val="-1"/>
                <w:position w:val="1"/>
                <w:sz w:val="20"/>
                <w:szCs w:val="20"/>
              </w:rPr>
              <w:t>分开存放。</w:t>
            </w:r>
          </w:p>
        </w:tc>
        <w:tc>
          <w:tcPr>
            <w:tcW w:w="2980" w:type="dxa"/>
            <w:vAlign w:val="top"/>
          </w:tcPr>
          <w:p w14:paraId="7E8781CB">
            <w:pPr>
              <w:spacing w:before="38" w:line="245" w:lineRule="auto"/>
              <w:ind w:left="28" w:right="9" w:firstLine="4"/>
              <w:rPr>
                <w:rFonts w:ascii="宋体" w:hAnsi="宋体" w:eastAsia="宋体" w:cs="宋体"/>
                <w:sz w:val="20"/>
                <w:szCs w:val="20"/>
              </w:rPr>
            </w:pPr>
            <w:r>
              <w:rPr>
                <w:rFonts w:ascii="宋体" w:hAnsi="宋体" w:eastAsia="宋体" w:cs="宋体"/>
                <w:spacing w:val="16"/>
                <w:sz w:val="20"/>
                <w:szCs w:val="20"/>
              </w:rPr>
              <w:t>该</w:t>
            </w:r>
            <w:r>
              <w:rPr>
                <w:rFonts w:ascii="宋体" w:hAnsi="宋体" w:eastAsia="宋体" w:cs="宋体"/>
                <w:spacing w:val="9"/>
                <w:sz w:val="20"/>
                <w:szCs w:val="20"/>
              </w:rPr>
              <w:t>项目设有封闭式原料库、成品</w:t>
            </w:r>
            <w:r>
              <w:rPr>
                <w:rFonts w:ascii="宋体" w:hAnsi="宋体" w:eastAsia="宋体" w:cs="宋体"/>
                <w:sz w:val="20"/>
                <w:szCs w:val="20"/>
              </w:rPr>
              <w:t xml:space="preserve"> </w:t>
            </w:r>
            <w:r>
              <w:rPr>
                <w:rFonts w:ascii="宋体" w:hAnsi="宋体" w:eastAsia="宋体" w:cs="宋体"/>
                <w:spacing w:val="-7"/>
                <w:sz w:val="20"/>
                <w:szCs w:val="20"/>
              </w:rPr>
              <w:t>库</w:t>
            </w:r>
            <w:r>
              <w:rPr>
                <w:rFonts w:ascii="宋体" w:hAnsi="宋体" w:eastAsia="宋体" w:cs="宋体"/>
                <w:spacing w:val="-4"/>
                <w:sz w:val="20"/>
                <w:szCs w:val="20"/>
              </w:rPr>
              <w:t>，具备防雨、防晒、防尘、防扬</w:t>
            </w:r>
            <w:r>
              <w:rPr>
                <w:rFonts w:ascii="宋体" w:hAnsi="宋体" w:eastAsia="宋体" w:cs="宋体"/>
                <w:sz w:val="20"/>
                <w:szCs w:val="20"/>
              </w:rPr>
              <w:t xml:space="preserve"> </w:t>
            </w:r>
            <w:r>
              <w:rPr>
                <w:rFonts w:ascii="宋体" w:hAnsi="宋体" w:eastAsia="宋体" w:cs="宋体"/>
                <w:spacing w:val="-7"/>
                <w:sz w:val="20"/>
                <w:szCs w:val="20"/>
              </w:rPr>
              <w:t>散</w:t>
            </w:r>
            <w:r>
              <w:rPr>
                <w:rFonts w:ascii="宋体" w:hAnsi="宋体" w:eastAsia="宋体" w:cs="宋体"/>
                <w:spacing w:val="-4"/>
                <w:sz w:val="20"/>
                <w:szCs w:val="20"/>
              </w:rPr>
              <w:t>、防火等措施；进场原料按照成</w:t>
            </w:r>
            <w:r>
              <w:rPr>
                <w:rFonts w:ascii="宋体" w:hAnsi="宋体" w:eastAsia="宋体" w:cs="宋体"/>
                <w:sz w:val="20"/>
                <w:szCs w:val="20"/>
              </w:rPr>
              <w:t xml:space="preserve"> </w:t>
            </w:r>
            <w:r>
              <w:rPr>
                <w:rFonts w:ascii="宋体" w:hAnsi="宋体" w:eastAsia="宋体" w:cs="宋体"/>
                <w:spacing w:val="-2"/>
                <w:sz w:val="20"/>
                <w:szCs w:val="20"/>
              </w:rPr>
              <w:t>分、颜色进行分类，</w:t>
            </w:r>
            <w:r>
              <w:rPr>
                <w:rFonts w:ascii="宋体" w:hAnsi="宋体" w:eastAsia="宋体" w:cs="宋体"/>
                <w:spacing w:val="-1"/>
                <w:sz w:val="20"/>
                <w:szCs w:val="20"/>
              </w:rPr>
              <w:t>分开存放。</w:t>
            </w:r>
          </w:p>
        </w:tc>
        <w:tc>
          <w:tcPr>
            <w:tcW w:w="679" w:type="dxa"/>
            <w:tcBorders>
              <w:right w:val="nil"/>
            </w:tcBorders>
            <w:vAlign w:val="top"/>
          </w:tcPr>
          <w:p w14:paraId="0BEF09E3">
            <w:pPr>
              <w:spacing w:line="377" w:lineRule="auto"/>
              <w:rPr>
                <w:rFonts w:ascii="Arial"/>
                <w:sz w:val="21"/>
              </w:rPr>
            </w:pPr>
          </w:p>
          <w:p w14:paraId="04DB55EA">
            <w:pPr>
              <w:spacing w:before="65" w:line="228" w:lineRule="auto"/>
              <w:ind w:left="137"/>
              <w:rPr>
                <w:rFonts w:ascii="宋体" w:hAnsi="宋体" w:eastAsia="宋体" w:cs="宋体"/>
                <w:sz w:val="20"/>
                <w:szCs w:val="20"/>
              </w:rPr>
            </w:pPr>
            <w:r>
              <w:rPr>
                <w:rFonts w:ascii="宋体" w:hAnsi="宋体" w:eastAsia="宋体" w:cs="宋体"/>
                <w:spacing w:val="4"/>
                <w:sz w:val="20"/>
                <w:szCs w:val="20"/>
              </w:rPr>
              <w:t>符</w:t>
            </w:r>
            <w:r>
              <w:rPr>
                <w:rFonts w:ascii="宋体" w:hAnsi="宋体" w:eastAsia="宋体" w:cs="宋体"/>
                <w:spacing w:val="3"/>
                <w:sz w:val="20"/>
                <w:szCs w:val="20"/>
              </w:rPr>
              <w:t>合</w:t>
            </w:r>
          </w:p>
        </w:tc>
      </w:tr>
    </w:tbl>
    <w:p w14:paraId="56721E45">
      <w:pPr>
        <w:rPr>
          <w:rFonts w:ascii="Arial"/>
          <w:sz w:val="21"/>
        </w:rPr>
      </w:pPr>
    </w:p>
    <w:p w14:paraId="228918AD">
      <w:pPr>
        <w:sectPr>
          <w:headerReference r:id="rId18" w:type="default"/>
          <w:footerReference r:id="rId19" w:type="default"/>
          <w:pgSz w:w="11906" w:h="16839"/>
          <w:pgMar w:top="1132" w:right="1606" w:bottom="899" w:left="1691" w:header="878" w:footer="739" w:gutter="0"/>
          <w:cols w:space="720" w:num="1"/>
        </w:sectPr>
      </w:pPr>
    </w:p>
    <w:p w14:paraId="6A40A413">
      <w:r>
        <w:pict>
          <v:shape id="_x0000_s1036" o:spid="_x0000_s1036" style="position:absolute;left:0pt;margin-left:90pt;margin-top:57.35pt;height:0.75pt;width:415.3pt;mso-position-horizontal-relative:page;mso-position-vertical-relative:page;z-index:251674624;mso-width-relative:page;mso-height-relative:page;" fillcolor="#000000" filled="t" stroked="f" coordsize="8305,15" o:allowincell="f" path="m0,0l8305,0,8305,14,0,14,0,0xe">
            <v:path/>
            <v:fill on="t" focussize="0,0"/>
            <v:stroke on="f"/>
            <v:imagedata o:title=""/>
            <o:lock v:ext="edit"/>
          </v:shape>
        </w:pict>
      </w:r>
    </w:p>
    <w:p w14:paraId="16712792">
      <w:pPr>
        <w:spacing w:line="65" w:lineRule="exact"/>
      </w:pPr>
    </w:p>
    <w:tbl>
      <w:tblPr>
        <w:tblStyle w:val="4"/>
        <w:tblW w:w="852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2"/>
        <w:gridCol w:w="4310"/>
        <w:gridCol w:w="2980"/>
        <w:gridCol w:w="679"/>
      </w:tblGrid>
      <w:tr w14:paraId="1982B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024" w:hRule="atLeast"/>
        </w:trPr>
        <w:tc>
          <w:tcPr>
            <w:tcW w:w="552" w:type="dxa"/>
            <w:tcBorders>
              <w:left w:val="nil"/>
            </w:tcBorders>
            <w:textDirection w:val="tbRlV"/>
            <w:vAlign w:val="top"/>
          </w:tcPr>
          <w:p w14:paraId="599036D1">
            <w:pPr>
              <w:spacing w:before="168" w:line="215" w:lineRule="auto"/>
              <w:ind w:left="1143"/>
              <w:rPr>
                <w:rFonts w:ascii="宋体" w:hAnsi="宋体" w:eastAsia="宋体" w:cs="宋体"/>
                <w:sz w:val="20"/>
                <w:szCs w:val="20"/>
              </w:rPr>
            </w:pPr>
            <w:r>
              <w:rPr>
                <w:rFonts w:ascii="宋体" w:hAnsi="宋体" w:eastAsia="宋体" w:cs="宋体"/>
                <w:spacing w:val="-11"/>
                <w:sz w:val="20"/>
                <w:szCs w:val="20"/>
              </w:rPr>
              <w:t>预</w:t>
            </w:r>
            <w:r>
              <w:rPr>
                <w:rFonts w:ascii="宋体" w:hAnsi="宋体" w:eastAsia="宋体" w:cs="宋体"/>
                <w:spacing w:val="-9"/>
                <w:sz w:val="20"/>
                <w:szCs w:val="20"/>
              </w:rPr>
              <w:t xml:space="preserve"> 处 理</w:t>
            </w:r>
          </w:p>
        </w:tc>
        <w:tc>
          <w:tcPr>
            <w:tcW w:w="4310" w:type="dxa"/>
            <w:vAlign w:val="top"/>
          </w:tcPr>
          <w:p w14:paraId="08DB6E6C">
            <w:pPr>
              <w:spacing w:before="57" w:line="243" w:lineRule="auto"/>
              <w:ind w:left="27" w:right="19" w:firstLine="17"/>
              <w:rPr>
                <w:rFonts w:ascii="宋体" w:hAnsi="宋体" w:eastAsia="宋体" w:cs="宋体"/>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4"/>
                <w:sz w:val="20"/>
                <w:szCs w:val="20"/>
              </w:rPr>
              <w:t xml:space="preserve"> </w:t>
            </w:r>
            <w:r>
              <w:rPr>
                <w:rFonts w:ascii="宋体" w:hAnsi="宋体" w:eastAsia="宋体" w:cs="宋体"/>
                <w:spacing w:val="4"/>
                <w:sz w:val="20"/>
                <w:szCs w:val="20"/>
              </w:rPr>
              <w:t>、预处理工艺遵循先进、稳定、无二次污染的</w:t>
            </w:r>
            <w:r>
              <w:rPr>
                <w:rFonts w:ascii="宋体" w:hAnsi="宋体" w:eastAsia="宋体" w:cs="宋体"/>
                <w:sz w:val="20"/>
                <w:szCs w:val="20"/>
              </w:rPr>
              <w:t xml:space="preserve"> </w:t>
            </w:r>
            <w:r>
              <w:rPr>
                <w:rFonts w:ascii="宋体" w:hAnsi="宋体" w:eastAsia="宋体" w:cs="宋体"/>
                <w:spacing w:val="13"/>
                <w:sz w:val="20"/>
                <w:szCs w:val="20"/>
              </w:rPr>
              <w:t>原</w:t>
            </w:r>
            <w:r>
              <w:rPr>
                <w:rFonts w:ascii="宋体" w:hAnsi="宋体" w:eastAsia="宋体" w:cs="宋体"/>
                <w:spacing w:val="12"/>
                <w:sz w:val="20"/>
                <w:szCs w:val="20"/>
              </w:rPr>
              <w:t>则，采用节能、高效、低污染的技术设备；</w:t>
            </w:r>
            <w:r>
              <w:rPr>
                <w:rFonts w:ascii="宋体" w:hAnsi="宋体" w:eastAsia="宋体" w:cs="宋体"/>
                <w:sz w:val="20"/>
                <w:szCs w:val="20"/>
              </w:rPr>
              <w:t xml:space="preserve"> </w:t>
            </w:r>
            <w:r>
              <w:rPr>
                <w:rFonts w:ascii="宋体" w:hAnsi="宋体" w:eastAsia="宋体" w:cs="宋体"/>
                <w:spacing w:val="9"/>
                <w:sz w:val="20"/>
                <w:szCs w:val="20"/>
              </w:rPr>
              <w:t>机械化和自动化作业，减少手工操作</w:t>
            </w:r>
            <w:r>
              <w:rPr>
                <w:rFonts w:ascii="宋体" w:hAnsi="宋体" w:eastAsia="宋体" w:cs="宋体"/>
                <w:spacing w:val="6"/>
                <w:sz w:val="20"/>
                <w:szCs w:val="20"/>
              </w:rPr>
              <w:t>。</w:t>
            </w:r>
          </w:p>
          <w:p w14:paraId="7C5A7016">
            <w:pPr>
              <w:spacing w:before="25" w:line="244" w:lineRule="auto"/>
              <w:ind w:left="27" w:right="22" w:hanging="3"/>
              <w:rPr>
                <w:rFonts w:ascii="宋体" w:hAnsi="宋体" w:eastAsia="宋体" w:cs="宋体"/>
                <w:sz w:val="20"/>
                <w:szCs w:val="20"/>
              </w:rPr>
            </w:pPr>
            <w:r>
              <w:rPr>
                <w:rFonts w:ascii="Times New Roman" w:hAnsi="Times New Roman" w:eastAsia="Times New Roman" w:cs="Times New Roman"/>
                <w:spacing w:val="28"/>
                <w:sz w:val="20"/>
                <w:szCs w:val="20"/>
              </w:rPr>
              <w:t>2</w:t>
            </w:r>
            <w:r>
              <w:rPr>
                <w:rFonts w:ascii="Times New Roman" w:hAnsi="Times New Roman" w:eastAsia="Times New Roman" w:cs="Times New Roman"/>
                <w:spacing w:val="14"/>
                <w:sz w:val="20"/>
                <w:szCs w:val="20"/>
              </w:rPr>
              <w:t xml:space="preserve"> </w:t>
            </w:r>
            <w:r>
              <w:rPr>
                <w:rFonts w:ascii="宋体" w:hAnsi="宋体" w:eastAsia="宋体" w:cs="宋体"/>
                <w:spacing w:val="14"/>
                <w:sz w:val="20"/>
                <w:szCs w:val="20"/>
              </w:rPr>
              <w:t>、废塑料人工分选确保操作人员的健康和安</w:t>
            </w:r>
            <w:r>
              <w:rPr>
                <w:rFonts w:ascii="宋体" w:hAnsi="宋体" w:eastAsia="宋体" w:cs="宋体"/>
                <w:sz w:val="20"/>
                <w:szCs w:val="20"/>
              </w:rPr>
              <w:t xml:space="preserve"> 全。</w:t>
            </w:r>
          </w:p>
          <w:p w14:paraId="0822F21F">
            <w:pPr>
              <w:spacing w:before="15"/>
              <w:ind w:left="32" w:right="19" w:hanging="3"/>
              <w:rPr>
                <w:rFonts w:ascii="宋体" w:hAnsi="宋体" w:eastAsia="宋体" w:cs="宋体"/>
                <w:sz w:val="20"/>
                <w:szCs w:val="20"/>
              </w:rPr>
            </w:pPr>
            <w:r>
              <w:rPr>
                <w:rFonts w:ascii="Times New Roman" w:hAnsi="Times New Roman" w:eastAsia="Times New Roman" w:cs="Times New Roman"/>
                <w:spacing w:val="5"/>
                <w:sz w:val="20"/>
                <w:szCs w:val="20"/>
              </w:rPr>
              <w:t xml:space="preserve">3 </w:t>
            </w:r>
            <w:r>
              <w:rPr>
                <w:rFonts w:ascii="宋体" w:hAnsi="宋体" w:eastAsia="宋体" w:cs="宋体"/>
                <w:spacing w:val="5"/>
                <w:sz w:val="20"/>
                <w:szCs w:val="20"/>
              </w:rPr>
              <w:t>、根据塑料来源和污染情况选择清洗工艺，</w:t>
            </w:r>
            <w:r>
              <w:rPr>
                <w:rFonts w:ascii="宋体" w:hAnsi="宋体" w:eastAsia="宋体" w:cs="宋体"/>
                <w:spacing w:val="1"/>
                <w:sz w:val="20"/>
                <w:szCs w:val="20"/>
              </w:rPr>
              <w:t>化</w:t>
            </w:r>
            <w:r>
              <w:rPr>
                <w:rFonts w:ascii="宋体" w:hAnsi="宋体" w:eastAsia="宋体" w:cs="宋体"/>
                <w:sz w:val="20"/>
                <w:szCs w:val="20"/>
              </w:rPr>
              <w:t xml:space="preserve"> </w:t>
            </w:r>
            <w:r>
              <w:rPr>
                <w:rFonts w:ascii="宋体" w:hAnsi="宋体" w:eastAsia="宋体" w:cs="宋体"/>
                <w:spacing w:val="16"/>
                <w:sz w:val="20"/>
                <w:szCs w:val="20"/>
              </w:rPr>
              <w:t>学</w:t>
            </w:r>
            <w:r>
              <w:rPr>
                <w:rFonts w:ascii="宋体" w:hAnsi="宋体" w:eastAsia="宋体" w:cs="宋体"/>
                <w:spacing w:val="9"/>
                <w:sz w:val="20"/>
                <w:szCs w:val="20"/>
              </w:rPr>
              <w:t>清</w:t>
            </w:r>
            <w:r>
              <w:rPr>
                <w:rFonts w:ascii="宋体" w:hAnsi="宋体" w:eastAsia="宋体" w:cs="宋体"/>
                <w:spacing w:val="8"/>
                <w:sz w:val="20"/>
                <w:szCs w:val="20"/>
              </w:rPr>
              <w:t>洗不得使用有毒有害化学清洗剂。</w:t>
            </w:r>
          </w:p>
          <w:p w14:paraId="3DA13B64">
            <w:pPr>
              <w:spacing w:before="24"/>
              <w:ind w:left="30" w:right="22" w:hanging="7"/>
              <w:rPr>
                <w:rFonts w:ascii="宋体" w:hAnsi="宋体" w:eastAsia="宋体" w:cs="宋体"/>
                <w:sz w:val="20"/>
                <w:szCs w:val="20"/>
              </w:rPr>
            </w:pPr>
            <w:r>
              <w:rPr>
                <w:rFonts w:ascii="Times New Roman" w:hAnsi="Times New Roman" w:eastAsia="Times New Roman" w:cs="Times New Roman"/>
                <w:spacing w:val="28"/>
                <w:sz w:val="20"/>
                <w:szCs w:val="20"/>
              </w:rPr>
              <w:t>4</w:t>
            </w:r>
            <w:r>
              <w:rPr>
                <w:rFonts w:ascii="Times New Roman" w:hAnsi="Times New Roman" w:eastAsia="Times New Roman" w:cs="Times New Roman"/>
                <w:spacing w:val="15"/>
                <w:sz w:val="20"/>
                <w:szCs w:val="20"/>
              </w:rPr>
              <w:t xml:space="preserve"> </w:t>
            </w:r>
            <w:r>
              <w:rPr>
                <w:rFonts w:ascii="宋体" w:hAnsi="宋体" w:eastAsia="宋体" w:cs="宋体"/>
                <w:spacing w:val="14"/>
                <w:sz w:val="20"/>
                <w:szCs w:val="20"/>
              </w:rPr>
              <w:t>、塑料破碎应配有防治粉尘和噪声污染的设</w:t>
            </w:r>
            <w:r>
              <w:rPr>
                <w:rFonts w:ascii="宋体" w:hAnsi="宋体" w:eastAsia="宋体" w:cs="宋体"/>
                <w:sz w:val="20"/>
                <w:szCs w:val="20"/>
              </w:rPr>
              <w:t xml:space="preserve"> </w:t>
            </w:r>
            <w:r>
              <w:rPr>
                <w:rFonts w:ascii="宋体" w:hAnsi="宋体" w:eastAsia="宋体" w:cs="宋体"/>
                <w:spacing w:val="-1"/>
                <w:sz w:val="20"/>
                <w:szCs w:val="20"/>
              </w:rPr>
              <w:t>备。</w:t>
            </w:r>
          </w:p>
          <w:p w14:paraId="30649CF1">
            <w:pPr>
              <w:spacing w:before="24" w:line="239" w:lineRule="auto"/>
              <w:ind w:left="27" w:right="19" w:firstLine="2"/>
              <w:rPr>
                <w:rFonts w:ascii="宋体" w:hAnsi="宋体" w:eastAsia="宋体" w:cs="宋体"/>
                <w:sz w:val="20"/>
                <w:szCs w:val="20"/>
              </w:rPr>
            </w:pPr>
            <w:r>
              <w:rPr>
                <w:rFonts w:ascii="Times New Roman" w:hAnsi="Times New Roman" w:eastAsia="Times New Roman" w:cs="Times New Roman"/>
                <w:spacing w:val="8"/>
                <w:sz w:val="20"/>
                <w:szCs w:val="20"/>
              </w:rPr>
              <w:t xml:space="preserve">5 </w:t>
            </w:r>
            <w:r>
              <w:rPr>
                <w:rFonts w:ascii="宋体" w:hAnsi="宋体" w:eastAsia="宋体" w:cs="宋体"/>
                <w:spacing w:val="8"/>
                <w:sz w:val="20"/>
                <w:szCs w:val="20"/>
              </w:rPr>
              <w:t>、人</w:t>
            </w:r>
            <w:r>
              <w:rPr>
                <w:rFonts w:ascii="宋体" w:hAnsi="宋体" w:eastAsia="宋体" w:cs="宋体"/>
                <w:spacing w:val="4"/>
                <w:sz w:val="20"/>
                <w:szCs w:val="20"/>
              </w:rPr>
              <w:t>工干燥宜采用节能高效技术，自然干燥应</w:t>
            </w:r>
            <w:r>
              <w:rPr>
                <w:rFonts w:ascii="宋体" w:hAnsi="宋体" w:eastAsia="宋体" w:cs="宋体"/>
                <w:sz w:val="20"/>
                <w:szCs w:val="20"/>
              </w:rPr>
              <w:t xml:space="preserve"> </w:t>
            </w:r>
            <w:r>
              <w:rPr>
                <w:rFonts w:ascii="宋体" w:hAnsi="宋体" w:eastAsia="宋体" w:cs="宋体"/>
                <w:spacing w:val="8"/>
                <w:sz w:val="20"/>
                <w:szCs w:val="20"/>
              </w:rPr>
              <w:t>采</w:t>
            </w:r>
            <w:r>
              <w:rPr>
                <w:rFonts w:ascii="宋体" w:hAnsi="宋体" w:eastAsia="宋体" w:cs="宋体"/>
                <w:spacing w:val="7"/>
                <w:sz w:val="20"/>
                <w:szCs w:val="20"/>
              </w:rPr>
              <w:t>取防风措施。</w:t>
            </w:r>
          </w:p>
        </w:tc>
        <w:tc>
          <w:tcPr>
            <w:tcW w:w="2980" w:type="dxa"/>
            <w:vAlign w:val="top"/>
          </w:tcPr>
          <w:p w14:paraId="68129854">
            <w:pPr>
              <w:spacing w:before="192" w:line="254" w:lineRule="auto"/>
              <w:ind w:left="28" w:right="21" w:firstLine="4"/>
              <w:rPr>
                <w:rFonts w:ascii="宋体" w:hAnsi="宋体" w:eastAsia="宋体" w:cs="宋体"/>
                <w:sz w:val="20"/>
                <w:szCs w:val="20"/>
              </w:rPr>
            </w:pPr>
            <w:r>
              <w:rPr>
                <w:rFonts w:ascii="宋体" w:hAnsi="宋体" w:eastAsia="宋体" w:cs="宋体"/>
                <w:spacing w:val="16"/>
                <w:sz w:val="20"/>
                <w:szCs w:val="20"/>
              </w:rPr>
              <w:t>该</w:t>
            </w:r>
            <w:r>
              <w:rPr>
                <w:rFonts w:ascii="宋体" w:hAnsi="宋体" w:eastAsia="宋体" w:cs="宋体"/>
                <w:spacing w:val="9"/>
                <w:sz w:val="20"/>
                <w:szCs w:val="20"/>
              </w:rPr>
              <w:t>项</w:t>
            </w:r>
            <w:r>
              <w:rPr>
                <w:rFonts w:ascii="宋体" w:hAnsi="宋体" w:eastAsia="宋体" w:cs="宋体"/>
                <w:spacing w:val="8"/>
                <w:sz w:val="20"/>
                <w:szCs w:val="20"/>
              </w:rPr>
              <w:t>目破碎、清洗工序均采用自</w:t>
            </w:r>
            <w:r>
              <w:rPr>
                <w:rFonts w:ascii="宋体" w:hAnsi="宋体" w:eastAsia="宋体" w:cs="宋体"/>
                <w:sz w:val="20"/>
                <w:szCs w:val="20"/>
              </w:rPr>
              <w:t xml:space="preserve"> </w:t>
            </w:r>
            <w:r>
              <w:rPr>
                <w:rFonts w:ascii="宋体" w:hAnsi="宋体" w:eastAsia="宋体" w:cs="宋体"/>
                <w:spacing w:val="16"/>
                <w:sz w:val="20"/>
                <w:szCs w:val="20"/>
              </w:rPr>
              <w:t>动</w:t>
            </w:r>
            <w:r>
              <w:rPr>
                <w:rFonts w:ascii="宋体" w:hAnsi="宋体" w:eastAsia="宋体" w:cs="宋体"/>
                <w:spacing w:val="9"/>
                <w:sz w:val="20"/>
                <w:szCs w:val="20"/>
              </w:rPr>
              <w:t>化</w:t>
            </w:r>
            <w:r>
              <w:rPr>
                <w:rFonts w:ascii="宋体" w:hAnsi="宋体" w:eastAsia="宋体" w:cs="宋体"/>
                <w:spacing w:val="8"/>
                <w:sz w:val="20"/>
                <w:szCs w:val="20"/>
              </w:rPr>
              <w:t>机械作业，无需手工操作；</w:t>
            </w:r>
            <w:r>
              <w:rPr>
                <w:rFonts w:ascii="宋体" w:hAnsi="宋体" w:eastAsia="宋体" w:cs="宋体"/>
                <w:sz w:val="20"/>
                <w:szCs w:val="20"/>
              </w:rPr>
              <w:t xml:space="preserve"> </w:t>
            </w:r>
            <w:r>
              <w:rPr>
                <w:rFonts w:ascii="宋体" w:hAnsi="宋体" w:eastAsia="宋体" w:cs="宋体"/>
                <w:spacing w:val="9"/>
                <w:sz w:val="20"/>
                <w:szCs w:val="20"/>
              </w:rPr>
              <w:t>人工分选工序人员佩戴口罩、</w:t>
            </w:r>
            <w:r>
              <w:rPr>
                <w:rFonts w:ascii="宋体" w:hAnsi="宋体" w:eastAsia="宋体" w:cs="宋体"/>
                <w:spacing w:val="8"/>
                <w:sz w:val="20"/>
                <w:szCs w:val="20"/>
              </w:rPr>
              <w:t>手</w:t>
            </w:r>
            <w:r>
              <w:rPr>
                <w:rFonts w:ascii="宋体" w:hAnsi="宋体" w:eastAsia="宋体" w:cs="宋体"/>
                <w:sz w:val="20"/>
                <w:szCs w:val="20"/>
              </w:rPr>
              <w:t xml:space="preserve"> </w:t>
            </w:r>
            <w:r>
              <w:rPr>
                <w:rFonts w:ascii="宋体" w:hAnsi="宋体" w:eastAsia="宋体" w:cs="宋体"/>
                <w:spacing w:val="17"/>
                <w:sz w:val="20"/>
                <w:szCs w:val="20"/>
              </w:rPr>
              <w:t>套</w:t>
            </w:r>
            <w:r>
              <w:rPr>
                <w:rFonts w:ascii="宋体" w:hAnsi="宋体" w:eastAsia="宋体" w:cs="宋体"/>
                <w:spacing w:val="16"/>
                <w:sz w:val="20"/>
                <w:szCs w:val="20"/>
              </w:rPr>
              <w:t>等防护措施 ，确保健康和安</w:t>
            </w:r>
            <w:r>
              <w:rPr>
                <w:rFonts w:ascii="宋体" w:hAnsi="宋体" w:eastAsia="宋体" w:cs="宋体"/>
                <w:sz w:val="20"/>
                <w:szCs w:val="20"/>
              </w:rPr>
              <w:t xml:space="preserve"> </w:t>
            </w:r>
            <w:r>
              <w:rPr>
                <w:rFonts w:ascii="宋体" w:hAnsi="宋体" w:eastAsia="宋体" w:cs="宋体"/>
                <w:spacing w:val="9"/>
                <w:sz w:val="20"/>
                <w:szCs w:val="20"/>
              </w:rPr>
              <w:t>全；清洗工序不使用有毒有害</w:t>
            </w:r>
            <w:r>
              <w:rPr>
                <w:rFonts w:ascii="宋体" w:hAnsi="宋体" w:eastAsia="宋体" w:cs="宋体"/>
                <w:spacing w:val="8"/>
                <w:sz w:val="20"/>
                <w:szCs w:val="20"/>
              </w:rPr>
              <w:t>化</w:t>
            </w:r>
            <w:r>
              <w:rPr>
                <w:rFonts w:ascii="宋体" w:hAnsi="宋体" w:eastAsia="宋体" w:cs="宋体"/>
                <w:sz w:val="20"/>
                <w:szCs w:val="20"/>
              </w:rPr>
              <w:t xml:space="preserve"> </w:t>
            </w:r>
            <w:r>
              <w:rPr>
                <w:rFonts w:ascii="宋体" w:hAnsi="宋体" w:eastAsia="宋体" w:cs="宋体"/>
                <w:spacing w:val="9"/>
                <w:sz w:val="20"/>
                <w:szCs w:val="20"/>
              </w:rPr>
              <w:t>学清洗剂；破碎工艺采用湿式</w:t>
            </w:r>
            <w:r>
              <w:rPr>
                <w:rFonts w:ascii="宋体" w:hAnsi="宋体" w:eastAsia="宋体" w:cs="宋体"/>
                <w:spacing w:val="8"/>
                <w:sz w:val="20"/>
                <w:szCs w:val="20"/>
              </w:rPr>
              <w:t>破</w:t>
            </w:r>
            <w:r>
              <w:rPr>
                <w:rFonts w:ascii="宋体" w:hAnsi="宋体" w:eastAsia="宋体" w:cs="宋体"/>
                <w:sz w:val="20"/>
                <w:szCs w:val="20"/>
              </w:rPr>
              <w:t xml:space="preserve"> </w:t>
            </w:r>
            <w:r>
              <w:rPr>
                <w:rFonts w:ascii="宋体" w:hAnsi="宋体" w:eastAsia="宋体" w:cs="宋体"/>
                <w:spacing w:val="9"/>
                <w:sz w:val="20"/>
                <w:szCs w:val="20"/>
              </w:rPr>
              <w:t>碎，不会产生粉尘，冷却采用</w:t>
            </w:r>
            <w:r>
              <w:rPr>
                <w:rFonts w:ascii="宋体" w:hAnsi="宋体" w:eastAsia="宋体" w:cs="宋体"/>
                <w:spacing w:val="8"/>
                <w:sz w:val="20"/>
                <w:szCs w:val="20"/>
              </w:rPr>
              <w:t>水</w:t>
            </w:r>
            <w:r>
              <w:rPr>
                <w:rFonts w:ascii="宋体" w:hAnsi="宋体" w:eastAsia="宋体" w:cs="宋体"/>
                <w:sz w:val="20"/>
                <w:szCs w:val="20"/>
              </w:rPr>
              <w:t xml:space="preserve"> </w:t>
            </w:r>
            <w:r>
              <w:rPr>
                <w:rFonts w:ascii="宋体" w:hAnsi="宋体" w:eastAsia="宋体" w:cs="宋体"/>
                <w:spacing w:val="13"/>
                <w:sz w:val="20"/>
                <w:szCs w:val="20"/>
              </w:rPr>
              <w:t>冷</w:t>
            </w:r>
            <w:r>
              <w:rPr>
                <w:rFonts w:ascii="宋体" w:hAnsi="宋体" w:eastAsia="宋体" w:cs="宋体"/>
                <w:spacing w:val="8"/>
                <w:sz w:val="20"/>
                <w:szCs w:val="20"/>
              </w:rPr>
              <w:t xml:space="preserve"> 。该项 目各产噪设备采取减</w:t>
            </w:r>
            <w:r>
              <w:rPr>
                <w:rFonts w:ascii="宋体" w:hAnsi="宋体" w:eastAsia="宋体" w:cs="宋体"/>
                <w:sz w:val="20"/>
                <w:szCs w:val="20"/>
              </w:rPr>
              <w:t xml:space="preserve"> </w:t>
            </w:r>
            <w:r>
              <w:rPr>
                <w:rFonts w:ascii="宋体" w:hAnsi="宋体" w:eastAsia="宋体" w:cs="宋体"/>
                <w:spacing w:val="9"/>
                <w:sz w:val="20"/>
                <w:szCs w:val="20"/>
              </w:rPr>
              <w:t>振、隔声措施，干燥采取立式</w:t>
            </w:r>
            <w:r>
              <w:rPr>
                <w:rFonts w:ascii="宋体" w:hAnsi="宋体" w:eastAsia="宋体" w:cs="宋体"/>
                <w:spacing w:val="8"/>
                <w:sz w:val="20"/>
                <w:szCs w:val="20"/>
              </w:rPr>
              <w:t>脱</w:t>
            </w:r>
            <w:r>
              <w:rPr>
                <w:rFonts w:ascii="宋体" w:hAnsi="宋体" w:eastAsia="宋体" w:cs="宋体"/>
                <w:sz w:val="20"/>
                <w:szCs w:val="20"/>
              </w:rPr>
              <w:t xml:space="preserve"> </w:t>
            </w:r>
            <w:r>
              <w:rPr>
                <w:rFonts w:ascii="宋体" w:hAnsi="宋体" w:eastAsia="宋体" w:cs="宋体"/>
                <w:spacing w:val="12"/>
                <w:sz w:val="20"/>
                <w:szCs w:val="20"/>
              </w:rPr>
              <w:t>水</w:t>
            </w:r>
            <w:r>
              <w:rPr>
                <w:rFonts w:ascii="宋体" w:hAnsi="宋体" w:eastAsia="宋体" w:cs="宋体"/>
                <w:spacing w:val="7"/>
                <w:sz w:val="20"/>
                <w:szCs w:val="20"/>
              </w:rPr>
              <w:t>机，高效节能。</w:t>
            </w:r>
          </w:p>
        </w:tc>
        <w:tc>
          <w:tcPr>
            <w:tcW w:w="679" w:type="dxa"/>
            <w:tcBorders>
              <w:right w:val="nil"/>
            </w:tcBorders>
            <w:vAlign w:val="top"/>
          </w:tcPr>
          <w:p w14:paraId="471AABB7">
            <w:pPr>
              <w:spacing w:line="268" w:lineRule="auto"/>
              <w:rPr>
                <w:rFonts w:ascii="Arial"/>
                <w:sz w:val="21"/>
              </w:rPr>
            </w:pPr>
          </w:p>
          <w:p w14:paraId="150853D1">
            <w:pPr>
              <w:spacing w:line="268" w:lineRule="auto"/>
              <w:rPr>
                <w:rFonts w:ascii="Arial"/>
                <w:sz w:val="21"/>
              </w:rPr>
            </w:pPr>
          </w:p>
          <w:p w14:paraId="14946F30">
            <w:pPr>
              <w:spacing w:line="269" w:lineRule="auto"/>
              <w:rPr>
                <w:rFonts w:ascii="Arial"/>
                <w:sz w:val="21"/>
              </w:rPr>
            </w:pPr>
          </w:p>
          <w:p w14:paraId="5255C1CD">
            <w:pPr>
              <w:spacing w:line="269" w:lineRule="auto"/>
              <w:rPr>
                <w:rFonts w:ascii="Arial"/>
                <w:sz w:val="21"/>
              </w:rPr>
            </w:pPr>
          </w:p>
          <w:p w14:paraId="4BE2A676">
            <w:pPr>
              <w:spacing w:line="269" w:lineRule="auto"/>
              <w:rPr>
                <w:rFonts w:ascii="Arial"/>
                <w:sz w:val="21"/>
              </w:rPr>
            </w:pPr>
          </w:p>
          <w:p w14:paraId="3C76E0FF">
            <w:pPr>
              <w:spacing w:before="65" w:line="228" w:lineRule="auto"/>
              <w:ind w:left="137"/>
              <w:rPr>
                <w:rFonts w:ascii="宋体" w:hAnsi="宋体" w:eastAsia="宋体" w:cs="宋体"/>
                <w:sz w:val="20"/>
                <w:szCs w:val="20"/>
              </w:rPr>
            </w:pPr>
            <w:r>
              <w:rPr>
                <w:rFonts w:ascii="宋体" w:hAnsi="宋体" w:eastAsia="宋体" w:cs="宋体"/>
                <w:spacing w:val="4"/>
                <w:sz w:val="20"/>
                <w:szCs w:val="20"/>
              </w:rPr>
              <w:t>符</w:t>
            </w:r>
            <w:r>
              <w:rPr>
                <w:rFonts w:ascii="宋体" w:hAnsi="宋体" w:eastAsia="宋体" w:cs="宋体"/>
                <w:spacing w:val="3"/>
                <w:sz w:val="20"/>
                <w:szCs w:val="20"/>
              </w:rPr>
              <w:t>合</w:t>
            </w:r>
          </w:p>
        </w:tc>
      </w:tr>
      <w:tr w14:paraId="0FDD4C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1" w:hRule="atLeast"/>
        </w:trPr>
        <w:tc>
          <w:tcPr>
            <w:tcW w:w="552" w:type="dxa"/>
            <w:tcBorders>
              <w:left w:val="nil"/>
            </w:tcBorders>
            <w:vAlign w:val="top"/>
          </w:tcPr>
          <w:p w14:paraId="1EB3F85F">
            <w:pPr>
              <w:spacing w:line="296" w:lineRule="auto"/>
              <w:rPr>
                <w:rFonts w:ascii="Arial"/>
                <w:sz w:val="21"/>
              </w:rPr>
            </w:pPr>
          </w:p>
          <w:p w14:paraId="18BEC793">
            <w:pPr>
              <w:spacing w:line="296" w:lineRule="auto"/>
              <w:rPr>
                <w:rFonts w:ascii="Arial"/>
                <w:sz w:val="21"/>
              </w:rPr>
            </w:pPr>
          </w:p>
          <w:p w14:paraId="16A97DBB">
            <w:pPr>
              <w:spacing w:line="296" w:lineRule="auto"/>
              <w:rPr>
                <w:rFonts w:ascii="Arial"/>
                <w:sz w:val="21"/>
              </w:rPr>
            </w:pPr>
          </w:p>
          <w:p w14:paraId="45437CE1">
            <w:pPr>
              <w:spacing w:line="297" w:lineRule="auto"/>
              <w:rPr>
                <w:rFonts w:ascii="Arial"/>
                <w:sz w:val="21"/>
              </w:rPr>
            </w:pPr>
          </w:p>
          <w:p w14:paraId="2EF9DDDA">
            <w:pPr>
              <w:spacing w:before="65" w:line="261" w:lineRule="auto"/>
              <w:ind w:left="74" w:right="65" w:firstLine="2"/>
              <w:rPr>
                <w:rFonts w:ascii="宋体" w:hAnsi="宋体" w:eastAsia="宋体" w:cs="宋体"/>
                <w:sz w:val="20"/>
                <w:szCs w:val="20"/>
              </w:rPr>
            </w:pPr>
            <w:r>
              <w:rPr>
                <w:rFonts w:ascii="宋体" w:hAnsi="宋体" w:eastAsia="宋体" w:cs="宋体"/>
                <w:spacing w:val="4"/>
                <w:sz w:val="20"/>
                <w:szCs w:val="20"/>
              </w:rPr>
              <w:t>建</w:t>
            </w:r>
            <w:r>
              <w:rPr>
                <w:rFonts w:ascii="宋体" w:hAnsi="宋体" w:eastAsia="宋体" w:cs="宋体"/>
                <w:spacing w:val="3"/>
                <w:sz w:val="20"/>
                <w:szCs w:val="20"/>
              </w:rPr>
              <w:t>设</w:t>
            </w:r>
            <w:r>
              <w:rPr>
                <w:rFonts w:ascii="宋体" w:hAnsi="宋体" w:eastAsia="宋体" w:cs="宋体"/>
                <w:sz w:val="20"/>
                <w:szCs w:val="20"/>
              </w:rPr>
              <w:t xml:space="preserve"> </w:t>
            </w:r>
            <w:r>
              <w:rPr>
                <w:rFonts w:ascii="宋体" w:hAnsi="宋体" w:eastAsia="宋体" w:cs="宋体"/>
                <w:spacing w:val="5"/>
                <w:sz w:val="20"/>
                <w:szCs w:val="20"/>
              </w:rPr>
              <w:t>环</w:t>
            </w:r>
            <w:r>
              <w:rPr>
                <w:rFonts w:ascii="宋体" w:hAnsi="宋体" w:eastAsia="宋体" w:cs="宋体"/>
                <w:spacing w:val="4"/>
                <w:sz w:val="20"/>
                <w:szCs w:val="20"/>
              </w:rPr>
              <w:t>境</w:t>
            </w:r>
            <w:r>
              <w:rPr>
                <w:rFonts w:ascii="宋体" w:hAnsi="宋体" w:eastAsia="宋体" w:cs="宋体"/>
                <w:sz w:val="20"/>
                <w:szCs w:val="20"/>
              </w:rPr>
              <w:t xml:space="preserve"> </w:t>
            </w:r>
            <w:r>
              <w:rPr>
                <w:rFonts w:ascii="宋体" w:hAnsi="宋体" w:eastAsia="宋体" w:cs="宋体"/>
                <w:spacing w:val="5"/>
                <w:sz w:val="20"/>
                <w:szCs w:val="20"/>
              </w:rPr>
              <w:t>保</w:t>
            </w:r>
            <w:r>
              <w:rPr>
                <w:rFonts w:ascii="宋体" w:hAnsi="宋体" w:eastAsia="宋体" w:cs="宋体"/>
                <w:spacing w:val="4"/>
                <w:sz w:val="20"/>
                <w:szCs w:val="20"/>
              </w:rPr>
              <w:t>护</w:t>
            </w:r>
          </w:p>
        </w:tc>
        <w:tc>
          <w:tcPr>
            <w:tcW w:w="4310" w:type="dxa"/>
            <w:vAlign w:val="top"/>
          </w:tcPr>
          <w:p w14:paraId="6BB992DB">
            <w:pPr>
              <w:spacing w:before="33" w:line="249" w:lineRule="auto"/>
              <w:ind w:left="23" w:firstLine="20"/>
              <w:rPr>
                <w:rFonts w:ascii="宋体" w:hAnsi="宋体" w:eastAsia="宋体" w:cs="宋体"/>
                <w:sz w:val="20"/>
                <w:szCs w:val="20"/>
              </w:rPr>
            </w:pPr>
            <w:r>
              <w:rPr>
                <w:rFonts w:ascii="Times New Roman" w:hAnsi="Times New Roman" w:eastAsia="Times New Roman" w:cs="Times New Roman"/>
                <w:spacing w:val="8"/>
                <w:sz w:val="20"/>
                <w:szCs w:val="20"/>
              </w:rPr>
              <w:t>1</w:t>
            </w:r>
            <w:r>
              <w:rPr>
                <w:rFonts w:ascii="宋体" w:hAnsi="宋体" w:eastAsia="宋体" w:cs="宋体"/>
                <w:spacing w:val="6"/>
                <w:sz w:val="20"/>
                <w:szCs w:val="20"/>
              </w:rPr>
              <w:t>、</w:t>
            </w:r>
            <w:r>
              <w:rPr>
                <w:rFonts w:ascii="宋体" w:hAnsi="宋体" w:eastAsia="宋体" w:cs="宋体"/>
                <w:spacing w:val="4"/>
                <w:sz w:val="20"/>
                <w:szCs w:val="20"/>
              </w:rPr>
              <w:t>废塑料再生利用项目必须经过县级以上地方</w:t>
            </w:r>
            <w:r>
              <w:rPr>
                <w:rFonts w:ascii="宋体" w:hAnsi="宋体" w:eastAsia="宋体" w:cs="宋体"/>
                <w:sz w:val="20"/>
                <w:szCs w:val="20"/>
              </w:rPr>
              <w:t xml:space="preserve"> </w:t>
            </w:r>
            <w:r>
              <w:rPr>
                <w:rFonts w:ascii="宋体" w:hAnsi="宋体" w:eastAsia="宋体" w:cs="宋体"/>
                <w:spacing w:val="18"/>
                <w:sz w:val="20"/>
                <w:szCs w:val="20"/>
              </w:rPr>
              <w:t>人</w:t>
            </w:r>
            <w:r>
              <w:rPr>
                <w:rFonts w:ascii="宋体" w:hAnsi="宋体" w:eastAsia="宋体" w:cs="宋体"/>
                <w:spacing w:val="10"/>
                <w:sz w:val="20"/>
                <w:szCs w:val="20"/>
              </w:rPr>
              <w:t>民政府环境保护行政主管部门的审批，严格</w:t>
            </w:r>
            <w:r>
              <w:rPr>
                <w:rFonts w:ascii="宋体" w:hAnsi="宋体" w:eastAsia="宋体" w:cs="宋体"/>
                <w:sz w:val="20"/>
                <w:szCs w:val="20"/>
              </w:rPr>
              <w:t xml:space="preserve"> </w:t>
            </w:r>
            <w:r>
              <w:rPr>
                <w:rFonts w:ascii="宋体" w:hAnsi="宋体" w:eastAsia="宋体" w:cs="宋体"/>
                <w:spacing w:val="14"/>
                <w:sz w:val="20"/>
                <w:szCs w:val="20"/>
              </w:rPr>
              <w:t>执</w:t>
            </w:r>
            <w:r>
              <w:rPr>
                <w:rFonts w:ascii="宋体" w:hAnsi="宋体" w:eastAsia="宋体" w:cs="宋体"/>
                <w:spacing w:val="10"/>
                <w:sz w:val="20"/>
                <w:szCs w:val="20"/>
              </w:rPr>
              <w:t>行</w:t>
            </w:r>
            <w:r>
              <w:rPr>
                <w:rFonts w:ascii="宋体" w:hAnsi="宋体" w:eastAsia="宋体" w:cs="宋体"/>
                <w:spacing w:val="7"/>
                <w:sz w:val="20"/>
                <w:szCs w:val="20"/>
              </w:rPr>
              <w:t xml:space="preserve">环境影响评价和 </w:t>
            </w:r>
            <w:r>
              <w:rPr>
                <w:rFonts w:ascii="Times New Roman" w:hAnsi="Times New Roman" w:eastAsia="Times New Roman" w:cs="Times New Roman"/>
                <w:spacing w:val="7"/>
                <w:sz w:val="20"/>
                <w:szCs w:val="20"/>
              </w:rPr>
              <w:t>“</w:t>
            </w:r>
            <w:r>
              <w:rPr>
                <w:rFonts w:ascii="宋体" w:hAnsi="宋体" w:eastAsia="宋体" w:cs="宋体"/>
                <w:spacing w:val="7"/>
                <w:sz w:val="20"/>
                <w:szCs w:val="20"/>
              </w:rPr>
              <w:t xml:space="preserve">三同时 </w:t>
            </w:r>
            <w:r>
              <w:rPr>
                <w:rFonts w:ascii="Times New Roman" w:hAnsi="Times New Roman" w:eastAsia="Times New Roman" w:cs="Times New Roman"/>
                <w:spacing w:val="7"/>
                <w:sz w:val="20"/>
                <w:szCs w:val="20"/>
              </w:rPr>
              <w:t>”</w:t>
            </w:r>
            <w:r>
              <w:rPr>
                <w:rFonts w:ascii="宋体" w:hAnsi="宋体" w:eastAsia="宋体" w:cs="宋体"/>
                <w:spacing w:val="7"/>
                <w:sz w:val="20"/>
                <w:szCs w:val="20"/>
              </w:rPr>
              <w:t>制度。</w:t>
            </w:r>
            <w:r>
              <w:rPr>
                <w:rFonts w:ascii="宋体" w:hAnsi="宋体" w:eastAsia="宋体" w:cs="宋体"/>
                <w:sz w:val="20"/>
                <w:szCs w:val="20"/>
              </w:rPr>
              <w:t xml:space="preserve">        </w:t>
            </w:r>
            <w:r>
              <w:rPr>
                <w:rFonts w:ascii="Times New Roman" w:hAnsi="Times New Roman" w:eastAsia="Times New Roman" w:cs="Times New Roman"/>
                <w:spacing w:val="10"/>
                <w:sz w:val="20"/>
                <w:szCs w:val="20"/>
              </w:rPr>
              <w:t>2</w:t>
            </w:r>
            <w:r>
              <w:rPr>
                <w:rFonts w:ascii="宋体" w:hAnsi="宋体" w:eastAsia="宋体" w:cs="宋体"/>
                <w:spacing w:val="6"/>
                <w:sz w:val="20"/>
                <w:szCs w:val="20"/>
              </w:rPr>
              <w:t>、</w:t>
            </w:r>
            <w:r>
              <w:rPr>
                <w:rFonts w:ascii="宋体" w:hAnsi="宋体" w:eastAsia="宋体" w:cs="宋体"/>
                <w:spacing w:val="5"/>
                <w:sz w:val="20"/>
                <w:szCs w:val="20"/>
              </w:rPr>
              <w:t>进口塑料作为生产原料的企业应具有固体废</w:t>
            </w:r>
            <w:r>
              <w:rPr>
                <w:rFonts w:ascii="宋体" w:hAnsi="宋体" w:eastAsia="宋体" w:cs="宋体"/>
                <w:sz w:val="20"/>
                <w:szCs w:val="20"/>
              </w:rPr>
              <w:t xml:space="preserve"> </w:t>
            </w:r>
            <w:r>
              <w:rPr>
                <w:rFonts w:ascii="宋体" w:hAnsi="宋体" w:eastAsia="宋体" w:cs="宋体"/>
                <w:spacing w:val="10"/>
                <w:sz w:val="20"/>
                <w:szCs w:val="20"/>
              </w:rPr>
              <w:t>物进口许可证。</w:t>
            </w:r>
            <w:r>
              <w:rPr>
                <w:rFonts w:ascii="宋体" w:hAnsi="宋体" w:eastAsia="宋体" w:cs="宋体"/>
                <w:sz w:val="20"/>
                <w:szCs w:val="20"/>
              </w:rPr>
              <w:t xml:space="preserve">                            </w:t>
            </w:r>
            <w:r>
              <w:rPr>
                <w:rFonts w:ascii="Times New Roman" w:hAnsi="Times New Roman" w:eastAsia="Times New Roman" w:cs="Times New Roman"/>
                <w:spacing w:val="4"/>
                <w:sz w:val="20"/>
                <w:szCs w:val="20"/>
              </w:rPr>
              <w:t xml:space="preserve">3 </w:t>
            </w:r>
            <w:r>
              <w:rPr>
                <w:rFonts w:ascii="宋体" w:hAnsi="宋体" w:eastAsia="宋体" w:cs="宋体"/>
                <w:spacing w:val="4"/>
                <w:sz w:val="20"/>
                <w:szCs w:val="20"/>
              </w:rPr>
              <w:t>、新建项目选</w:t>
            </w:r>
            <w:r>
              <w:rPr>
                <w:rFonts w:ascii="宋体" w:hAnsi="宋体" w:eastAsia="宋体" w:cs="宋体"/>
                <w:spacing w:val="3"/>
                <w:sz w:val="20"/>
                <w:szCs w:val="20"/>
              </w:rPr>
              <w:t>址</w:t>
            </w:r>
            <w:r>
              <w:rPr>
                <w:rFonts w:ascii="宋体" w:hAnsi="宋体" w:eastAsia="宋体" w:cs="宋体"/>
                <w:spacing w:val="2"/>
                <w:sz w:val="20"/>
                <w:szCs w:val="20"/>
              </w:rPr>
              <w:t>应符合环境保护要求，不得建</w:t>
            </w:r>
            <w:r>
              <w:rPr>
                <w:rFonts w:ascii="宋体" w:hAnsi="宋体" w:eastAsia="宋体" w:cs="宋体"/>
                <w:sz w:val="20"/>
                <w:szCs w:val="20"/>
              </w:rPr>
              <w:t xml:space="preserve"> </w:t>
            </w:r>
            <w:r>
              <w:rPr>
                <w:rFonts w:ascii="宋体" w:hAnsi="宋体" w:eastAsia="宋体" w:cs="宋体"/>
                <w:spacing w:val="18"/>
                <w:sz w:val="20"/>
                <w:szCs w:val="20"/>
              </w:rPr>
              <w:t>在</w:t>
            </w:r>
            <w:r>
              <w:rPr>
                <w:rFonts w:ascii="宋体" w:hAnsi="宋体" w:eastAsia="宋体" w:cs="宋体"/>
                <w:spacing w:val="11"/>
                <w:sz w:val="20"/>
                <w:szCs w:val="20"/>
              </w:rPr>
              <w:t>城市居民区、商业区及其他环境敏感区内，</w:t>
            </w:r>
            <w:r>
              <w:rPr>
                <w:rFonts w:ascii="宋体" w:hAnsi="宋体" w:eastAsia="宋体" w:cs="宋体"/>
                <w:sz w:val="20"/>
                <w:szCs w:val="20"/>
              </w:rPr>
              <w:t xml:space="preserve"> </w:t>
            </w:r>
            <w:r>
              <w:rPr>
                <w:rFonts w:ascii="宋体" w:hAnsi="宋体" w:eastAsia="宋体" w:cs="宋体"/>
                <w:spacing w:val="13"/>
                <w:sz w:val="20"/>
                <w:szCs w:val="20"/>
              </w:rPr>
              <w:t>若</w:t>
            </w:r>
            <w:r>
              <w:rPr>
                <w:rFonts w:ascii="宋体" w:hAnsi="宋体" w:eastAsia="宋体" w:cs="宋体"/>
                <w:spacing w:val="9"/>
                <w:sz w:val="20"/>
                <w:szCs w:val="20"/>
              </w:rPr>
              <w:t>在，需限期迁址。</w:t>
            </w:r>
            <w:r>
              <w:rPr>
                <w:rFonts w:ascii="宋体" w:hAnsi="宋体" w:eastAsia="宋体" w:cs="宋体"/>
                <w:sz w:val="20"/>
                <w:szCs w:val="20"/>
              </w:rPr>
              <w:t xml:space="preserve">                        </w:t>
            </w:r>
            <w:r>
              <w:rPr>
                <w:rFonts w:ascii="Times New Roman" w:hAnsi="Times New Roman" w:eastAsia="Times New Roman" w:cs="Times New Roman"/>
                <w:spacing w:val="10"/>
                <w:sz w:val="20"/>
                <w:szCs w:val="20"/>
              </w:rPr>
              <w:t>4</w:t>
            </w:r>
            <w:r>
              <w:rPr>
                <w:rFonts w:ascii="宋体" w:hAnsi="宋体" w:eastAsia="宋体" w:cs="宋体"/>
                <w:spacing w:val="6"/>
                <w:sz w:val="20"/>
                <w:szCs w:val="20"/>
              </w:rPr>
              <w:t>、</w:t>
            </w:r>
            <w:r>
              <w:rPr>
                <w:rFonts w:ascii="宋体" w:hAnsi="宋体" w:eastAsia="宋体" w:cs="宋体"/>
                <w:spacing w:val="5"/>
                <w:sz w:val="20"/>
                <w:szCs w:val="20"/>
              </w:rPr>
              <w:t>再生利用项目必须建有围墙并按功能划分厂</w:t>
            </w:r>
            <w:r>
              <w:rPr>
                <w:rFonts w:ascii="宋体" w:hAnsi="宋体" w:eastAsia="宋体" w:cs="宋体"/>
                <w:sz w:val="20"/>
                <w:szCs w:val="20"/>
              </w:rPr>
              <w:t xml:space="preserve"> </w:t>
            </w:r>
            <w:r>
              <w:rPr>
                <w:rFonts w:ascii="宋体" w:hAnsi="宋体" w:eastAsia="宋体" w:cs="宋体"/>
                <w:spacing w:val="16"/>
                <w:sz w:val="20"/>
                <w:szCs w:val="20"/>
              </w:rPr>
              <w:t>区</w:t>
            </w:r>
            <w:r>
              <w:rPr>
                <w:rFonts w:ascii="宋体" w:hAnsi="宋体" w:eastAsia="宋体" w:cs="宋体"/>
                <w:spacing w:val="9"/>
                <w:sz w:val="20"/>
                <w:szCs w:val="20"/>
              </w:rPr>
              <w:t>，</w:t>
            </w:r>
            <w:r>
              <w:rPr>
                <w:rFonts w:ascii="宋体" w:hAnsi="宋体" w:eastAsia="宋体" w:cs="宋体"/>
                <w:spacing w:val="8"/>
                <w:sz w:val="20"/>
                <w:szCs w:val="20"/>
              </w:rPr>
              <w:t>各功能区应有明显的界线和标志。</w:t>
            </w:r>
            <w:r>
              <w:rPr>
                <w:rFonts w:ascii="宋体" w:hAnsi="宋体" w:eastAsia="宋体" w:cs="宋体"/>
                <w:sz w:val="20"/>
                <w:szCs w:val="20"/>
              </w:rPr>
              <w:t xml:space="preserve">        </w:t>
            </w:r>
            <w:r>
              <w:rPr>
                <w:rFonts w:ascii="Times New Roman" w:hAnsi="Times New Roman" w:eastAsia="Times New Roman" w:cs="Times New Roman"/>
                <w:spacing w:val="-1"/>
                <w:sz w:val="20"/>
                <w:szCs w:val="20"/>
              </w:rPr>
              <w:t>5</w:t>
            </w:r>
            <w:r>
              <w:rPr>
                <w:rFonts w:ascii="宋体" w:hAnsi="宋体" w:eastAsia="宋体" w:cs="宋体"/>
                <w:spacing w:val="-1"/>
                <w:sz w:val="20"/>
                <w:szCs w:val="20"/>
              </w:rPr>
              <w:t>、功能区设施封闭或半封闭，采取防风、</w:t>
            </w:r>
            <w:r>
              <w:rPr>
                <w:rFonts w:ascii="宋体" w:hAnsi="宋体" w:eastAsia="宋体" w:cs="宋体"/>
                <w:sz w:val="20"/>
                <w:szCs w:val="20"/>
              </w:rPr>
              <w:t xml:space="preserve">防雨、 </w:t>
            </w:r>
            <w:r>
              <w:rPr>
                <w:rFonts w:ascii="宋体" w:hAnsi="宋体" w:eastAsia="宋体" w:cs="宋体"/>
                <w:spacing w:val="7"/>
                <w:sz w:val="20"/>
                <w:szCs w:val="20"/>
              </w:rPr>
              <w:t>防渗、防火等措施，有足够的疏散通道</w:t>
            </w:r>
            <w:r>
              <w:rPr>
                <w:rFonts w:ascii="宋体" w:hAnsi="宋体" w:eastAsia="宋体" w:cs="宋体"/>
                <w:spacing w:val="4"/>
                <w:sz w:val="20"/>
                <w:szCs w:val="20"/>
              </w:rPr>
              <w:t>。</w:t>
            </w:r>
          </w:p>
        </w:tc>
        <w:tc>
          <w:tcPr>
            <w:tcW w:w="2980" w:type="dxa"/>
            <w:vAlign w:val="top"/>
          </w:tcPr>
          <w:p w14:paraId="6D1E7D64">
            <w:pPr>
              <w:spacing w:before="174" w:line="254" w:lineRule="auto"/>
              <w:ind w:left="28" w:right="18" w:firstLine="1"/>
              <w:rPr>
                <w:rFonts w:ascii="宋体" w:hAnsi="宋体" w:eastAsia="宋体" w:cs="宋体"/>
                <w:sz w:val="20"/>
                <w:szCs w:val="20"/>
              </w:rPr>
            </w:pPr>
            <w:r>
              <w:rPr>
                <w:rFonts w:ascii="宋体" w:hAnsi="宋体" w:eastAsia="宋体" w:cs="宋体"/>
                <w:spacing w:val="25"/>
                <w:sz w:val="20"/>
                <w:szCs w:val="20"/>
              </w:rPr>
              <w:t>本次环评要求企业严格执行</w:t>
            </w:r>
            <w:r>
              <w:rPr>
                <w:rFonts w:ascii="宋体" w:hAnsi="宋体" w:eastAsia="宋体" w:cs="宋体"/>
                <w:spacing w:val="23"/>
                <w:sz w:val="20"/>
                <w:szCs w:val="20"/>
              </w:rPr>
              <w:t>环</w:t>
            </w:r>
            <w:r>
              <w:rPr>
                <w:rFonts w:ascii="宋体" w:hAnsi="宋体" w:eastAsia="宋体" w:cs="宋体"/>
                <w:sz w:val="20"/>
                <w:szCs w:val="20"/>
              </w:rPr>
              <w:t xml:space="preserve"> </w:t>
            </w:r>
            <w:r>
              <w:rPr>
                <w:rFonts w:ascii="宋体" w:hAnsi="宋体" w:eastAsia="宋体" w:cs="宋体"/>
                <w:spacing w:val="10"/>
                <w:sz w:val="20"/>
                <w:szCs w:val="20"/>
              </w:rPr>
              <w:t>境影响评价和</w:t>
            </w:r>
            <w:r>
              <w:rPr>
                <w:rFonts w:ascii="Times New Roman" w:hAnsi="Times New Roman" w:eastAsia="Times New Roman" w:cs="Times New Roman"/>
                <w:spacing w:val="10"/>
                <w:sz w:val="20"/>
                <w:szCs w:val="20"/>
              </w:rPr>
              <w:t>“</w:t>
            </w:r>
            <w:r>
              <w:rPr>
                <w:rFonts w:ascii="宋体" w:hAnsi="宋体" w:eastAsia="宋体" w:cs="宋体"/>
                <w:spacing w:val="10"/>
                <w:sz w:val="20"/>
                <w:szCs w:val="20"/>
              </w:rPr>
              <w:t>三同时</w:t>
            </w:r>
            <w:r>
              <w:rPr>
                <w:rFonts w:ascii="Times New Roman" w:hAnsi="Times New Roman" w:eastAsia="Times New Roman" w:cs="Times New Roman"/>
                <w:spacing w:val="10"/>
                <w:sz w:val="20"/>
                <w:szCs w:val="20"/>
              </w:rPr>
              <w:t>”</w:t>
            </w:r>
            <w:r>
              <w:rPr>
                <w:rFonts w:ascii="宋体" w:hAnsi="宋体" w:eastAsia="宋体" w:cs="宋体"/>
                <w:spacing w:val="10"/>
                <w:sz w:val="20"/>
                <w:szCs w:val="20"/>
              </w:rPr>
              <w:t>制度；</w:t>
            </w:r>
            <w:r>
              <w:rPr>
                <w:rFonts w:ascii="宋体" w:hAnsi="宋体" w:eastAsia="宋体" w:cs="宋体"/>
                <w:spacing w:val="8"/>
                <w:sz w:val="20"/>
                <w:szCs w:val="20"/>
              </w:rPr>
              <w:t>该</w:t>
            </w:r>
            <w:r>
              <w:rPr>
                <w:rFonts w:ascii="宋体" w:hAnsi="宋体" w:eastAsia="宋体" w:cs="宋体"/>
                <w:sz w:val="20"/>
                <w:szCs w:val="20"/>
              </w:rPr>
              <w:t xml:space="preserve"> </w:t>
            </w:r>
            <w:r>
              <w:rPr>
                <w:rFonts w:ascii="宋体" w:hAnsi="宋体" w:eastAsia="宋体" w:cs="宋体"/>
                <w:spacing w:val="9"/>
                <w:sz w:val="20"/>
                <w:szCs w:val="20"/>
              </w:rPr>
              <w:t>项目不使用进口塑料，未建在</w:t>
            </w:r>
            <w:r>
              <w:rPr>
                <w:rFonts w:ascii="宋体" w:hAnsi="宋体" w:eastAsia="宋体" w:cs="宋体"/>
                <w:spacing w:val="8"/>
                <w:sz w:val="20"/>
                <w:szCs w:val="20"/>
              </w:rPr>
              <w:t>城</w:t>
            </w:r>
            <w:r>
              <w:rPr>
                <w:rFonts w:ascii="宋体" w:hAnsi="宋体" w:eastAsia="宋体" w:cs="宋体"/>
                <w:sz w:val="20"/>
                <w:szCs w:val="20"/>
              </w:rPr>
              <w:t xml:space="preserve"> </w:t>
            </w:r>
            <w:r>
              <w:rPr>
                <w:rFonts w:ascii="宋体" w:hAnsi="宋体" w:eastAsia="宋体" w:cs="宋体"/>
                <w:spacing w:val="9"/>
                <w:sz w:val="20"/>
                <w:szCs w:val="20"/>
              </w:rPr>
              <w:t>市居民区、商业区及其他环境</w:t>
            </w:r>
            <w:r>
              <w:rPr>
                <w:rFonts w:ascii="宋体" w:hAnsi="宋体" w:eastAsia="宋体" w:cs="宋体"/>
                <w:spacing w:val="8"/>
                <w:sz w:val="20"/>
                <w:szCs w:val="20"/>
              </w:rPr>
              <w:t>敏</w:t>
            </w:r>
            <w:r>
              <w:rPr>
                <w:rFonts w:ascii="宋体" w:hAnsi="宋体" w:eastAsia="宋体" w:cs="宋体"/>
                <w:sz w:val="20"/>
                <w:szCs w:val="20"/>
              </w:rPr>
              <w:t xml:space="preserve"> </w:t>
            </w:r>
            <w:r>
              <w:rPr>
                <w:rFonts w:ascii="宋体" w:hAnsi="宋体" w:eastAsia="宋体" w:cs="宋体"/>
                <w:spacing w:val="9"/>
                <w:sz w:val="20"/>
                <w:szCs w:val="20"/>
              </w:rPr>
              <w:t>感区内；该项目将生产区、原</w:t>
            </w:r>
            <w:r>
              <w:rPr>
                <w:rFonts w:ascii="宋体" w:hAnsi="宋体" w:eastAsia="宋体" w:cs="宋体"/>
                <w:spacing w:val="8"/>
                <w:sz w:val="20"/>
                <w:szCs w:val="20"/>
              </w:rPr>
              <w:t>料</w:t>
            </w:r>
            <w:r>
              <w:rPr>
                <w:rFonts w:ascii="宋体" w:hAnsi="宋体" w:eastAsia="宋体" w:cs="宋体"/>
                <w:sz w:val="20"/>
                <w:szCs w:val="20"/>
              </w:rPr>
              <w:t xml:space="preserve"> </w:t>
            </w:r>
            <w:r>
              <w:rPr>
                <w:rFonts w:ascii="宋体" w:hAnsi="宋体" w:eastAsia="宋体" w:cs="宋体"/>
                <w:spacing w:val="9"/>
                <w:sz w:val="20"/>
                <w:szCs w:val="20"/>
              </w:rPr>
              <w:t>区、产品区按功能划分区域，</w:t>
            </w:r>
            <w:r>
              <w:rPr>
                <w:rFonts w:ascii="宋体" w:hAnsi="宋体" w:eastAsia="宋体" w:cs="宋体"/>
                <w:spacing w:val="8"/>
                <w:sz w:val="20"/>
                <w:szCs w:val="20"/>
              </w:rPr>
              <w:t>并</w:t>
            </w:r>
            <w:r>
              <w:rPr>
                <w:rFonts w:ascii="宋体" w:hAnsi="宋体" w:eastAsia="宋体" w:cs="宋体"/>
                <w:sz w:val="20"/>
                <w:szCs w:val="20"/>
              </w:rPr>
              <w:t xml:space="preserve"> </w:t>
            </w:r>
            <w:r>
              <w:rPr>
                <w:rFonts w:ascii="宋体" w:hAnsi="宋体" w:eastAsia="宋体" w:cs="宋体"/>
                <w:spacing w:val="9"/>
                <w:sz w:val="20"/>
                <w:szCs w:val="20"/>
              </w:rPr>
              <w:t>配有明显的界线和标志；该项</w:t>
            </w:r>
            <w:r>
              <w:rPr>
                <w:rFonts w:ascii="宋体" w:hAnsi="宋体" w:eastAsia="宋体" w:cs="宋体"/>
                <w:spacing w:val="8"/>
                <w:sz w:val="20"/>
                <w:szCs w:val="20"/>
              </w:rPr>
              <w:t>目</w:t>
            </w:r>
            <w:r>
              <w:rPr>
                <w:rFonts w:ascii="宋体" w:hAnsi="宋体" w:eastAsia="宋体" w:cs="宋体"/>
                <w:sz w:val="20"/>
                <w:szCs w:val="20"/>
              </w:rPr>
              <w:t xml:space="preserve"> </w:t>
            </w:r>
            <w:r>
              <w:rPr>
                <w:rFonts w:ascii="宋体" w:hAnsi="宋体" w:eastAsia="宋体" w:cs="宋体"/>
                <w:spacing w:val="11"/>
                <w:sz w:val="20"/>
                <w:szCs w:val="20"/>
              </w:rPr>
              <w:t>均</w:t>
            </w:r>
            <w:r>
              <w:rPr>
                <w:rFonts w:ascii="宋体" w:hAnsi="宋体" w:eastAsia="宋体" w:cs="宋体"/>
                <w:spacing w:val="9"/>
                <w:sz w:val="20"/>
                <w:szCs w:val="20"/>
              </w:rPr>
              <w:t>为封闭式生产厂房、原料库、</w:t>
            </w:r>
            <w:r>
              <w:rPr>
                <w:rFonts w:ascii="宋体" w:hAnsi="宋体" w:eastAsia="宋体" w:cs="宋体"/>
                <w:sz w:val="20"/>
                <w:szCs w:val="20"/>
              </w:rPr>
              <w:t xml:space="preserve"> </w:t>
            </w:r>
            <w:r>
              <w:rPr>
                <w:rFonts w:ascii="宋体" w:hAnsi="宋体" w:eastAsia="宋体" w:cs="宋体"/>
                <w:spacing w:val="11"/>
                <w:sz w:val="20"/>
                <w:szCs w:val="20"/>
              </w:rPr>
              <w:t>成</w:t>
            </w:r>
            <w:r>
              <w:rPr>
                <w:rFonts w:ascii="宋体" w:hAnsi="宋体" w:eastAsia="宋体" w:cs="宋体"/>
                <w:spacing w:val="9"/>
                <w:sz w:val="20"/>
                <w:szCs w:val="20"/>
              </w:rPr>
              <w:t>品库，防风、防雨、防渗、防</w:t>
            </w:r>
            <w:r>
              <w:rPr>
                <w:rFonts w:ascii="宋体" w:hAnsi="宋体" w:eastAsia="宋体" w:cs="宋体"/>
                <w:sz w:val="20"/>
                <w:szCs w:val="20"/>
              </w:rPr>
              <w:t xml:space="preserve"> </w:t>
            </w:r>
            <w:r>
              <w:rPr>
                <w:rFonts w:ascii="宋体" w:hAnsi="宋体" w:eastAsia="宋体" w:cs="宋体"/>
                <w:spacing w:val="9"/>
                <w:sz w:val="20"/>
                <w:szCs w:val="20"/>
              </w:rPr>
              <w:t>火等措施齐全，有足够的疏散</w:t>
            </w:r>
            <w:r>
              <w:rPr>
                <w:rFonts w:ascii="宋体" w:hAnsi="宋体" w:eastAsia="宋体" w:cs="宋体"/>
                <w:spacing w:val="8"/>
                <w:sz w:val="20"/>
                <w:szCs w:val="20"/>
              </w:rPr>
              <w:t>通</w:t>
            </w:r>
            <w:r>
              <w:rPr>
                <w:rFonts w:ascii="宋体" w:hAnsi="宋体" w:eastAsia="宋体" w:cs="宋体"/>
                <w:sz w:val="20"/>
                <w:szCs w:val="20"/>
              </w:rPr>
              <w:t xml:space="preserve"> </w:t>
            </w:r>
            <w:r>
              <w:rPr>
                <w:rFonts w:ascii="宋体" w:hAnsi="宋体" w:eastAsia="宋体" w:cs="宋体"/>
                <w:spacing w:val="1"/>
                <w:sz w:val="20"/>
                <w:szCs w:val="20"/>
              </w:rPr>
              <w:t>道</w:t>
            </w:r>
            <w:r>
              <w:rPr>
                <w:rFonts w:ascii="宋体" w:hAnsi="宋体" w:eastAsia="宋体" w:cs="宋体"/>
                <w:sz w:val="20"/>
                <w:szCs w:val="20"/>
              </w:rPr>
              <w:t>。</w:t>
            </w:r>
          </w:p>
        </w:tc>
        <w:tc>
          <w:tcPr>
            <w:tcW w:w="679" w:type="dxa"/>
            <w:tcBorders>
              <w:right w:val="nil"/>
            </w:tcBorders>
            <w:vAlign w:val="top"/>
          </w:tcPr>
          <w:p w14:paraId="374E9886">
            <w:pPr>
              <w:spacing w:line="242" w:lineRule="auto"/>
              <w:rPr>
                <w:rFonts w:ascii="Arial"/>
                <w:sz w:val="21"/>
              </w:rPr>
            </w:pPr>
          </w:p>
          <w:p w14:paraId="27A6F40B">
            <w:pPr>
              <w:spacing w:line="242" w:lineRule="auto"/>
              <w:rPr>
                <w:rFonts w:ascii="Arial"/>
                <w:sz w:val="21"/>
              </w:rPr>
            </w:pPr>
          </w:p>
          <w:p w14:paraId="543DB328">
            <w:pPr>
              <w:spacing w:line="242" w:lineRule="auto"/>
              <w:rPr>
                <w:rFonts w:ascii="Arial"/>
                <w:sz w:val="21"/>
              </w:rPr>
            </w:pPr>
          </w:p>
          <w:p w14:paraId="6EDC3268">
            <w:pPr>
              <w:spacing w:line="243" w:lineRule="auto"/>
              <w:rPr>
                <w:rFonts w:ascii="Arial"/>
                <w:sz w:val="21"/>
              </w:rPr>
            </w:pPr>
          </w:p>
          <w:p w14:paraId="158F1962">
            <w:pPr>
              <w:spacing w:line="243" w:lineRule="auto"/>
              <w:rPr>
                <w:rFonts w:ascii="Arial"/>
                <w:sz w:val="21"/>
              </w:rPr>
            </w:pPr>
          </w:p>
          <w:p w14:paraId="4570688D">
            <w:pPr>
              <w:spacing w:line="243" w:lineRule="auto"/>
              <w:rPr>
                <w:rFonts w:ascii="Arial"/>
                <w:sz w:val="21"/>
              </w:rPr>
            </w:pPr>
          </w:p>
          <w:p w14:paraId="034BDACD">
            <w:pPr>
              <w:spacing w:before="65" w:line="228" w:lineRule="auto"/>
              <w:ind w:left="137"/>
              <w:rPr>
                <w:rFonts w:ascii="宋体" w:hAnsi="宋体" w:eastAsia="宋体" w:cs="宋体"/>
                <w:sz w:val="20"/>
                <w:szCs w:val="20"/>
              </w:rPr>
            </w:pPr>
            <w:r>
              <w:rPr>
                <w:rFonts w:ascii="宋体" w:hAnsi="宋体" w:eastAsia="宋体" w:cs="宋体"/>
                <w:spacing w:val="4"/>
                <w:sz w:val="20"/>
                <w:szCs w:val="20"/>
              </w:rPr>
              <w:t>符</w:t>
            </w:r>
            <w:r>
              <w:rPr>
                <w:rFonts w:ascii="宋体" w:hAnsi="宋体" w:eastAsia="宋体" w:cs="宋体"/>
                <w:spacing w:val="3"/>
                <w:sz w:val="20"/>
                <w:szCs w:val="20"/>
              </w:rPr>
              <w:t>合</w:t>
            </w:r>
          </w:p>
        </w:tc>
      </w:tr>
      <w:tr w14:paraId="57197A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2" w:hRule="atLeast"/>
        </w:trPr>
        <w:tc>
          <w:tcPr>
            <w:tcW w:w="552" w:type="dxa"/>
            <w:tcBorders>
              <w:left w:val="nil"/>
            </w:tcBorders>
            <w:vAlign w:val="top"/>
          </w:tcPr>
          <w:p w14:paraId="16A1BC08">
            <w:pPr>
              <w:spacing w:line="264" w:lineRule="auto"/>
              <w:rPr>
                <w:rFonts w:ascii="Arial"/>
                <w:sz w:val="21"/>
              </w:rPr>
            </w:pPr>
          </w:p>
          <w:p w14:paraId="77EBA0DA">
            <w:pPr>
              <w:spacing w:line="264" w:lineRule="auto"/>
              <w:rPr>
                <w:rFonts w:ascii="Arial"/>
                <w:sz w:val="21"/>
              </w:rPr>
            </w:pPr>
          </w:p>
          <w:p w14:paraId="1850C0CC">
            <w:pPr>
              <w:spacing w:line="264" w:lineRule="auto"/>
              <w:rPr>
                <w:rFonts w:ascii="Arial"/>
                <w:sz w:val="21"/>
              </w:rPr>
            </w:pPr>
          </w:p>
          <w:p w14:paraId="394D2C62">
            <w:pPr>
              <w:spacing w:line="265" w:lineRule="auto"/>
              <w:rPr>
                <w:rFonts w:ascii="Arial"/>
                <w:sz w:val="21"/>
              </w:rPr>
            </w:pPr>
          </w:p>
          <w:p w14:paraId="0E9E3C60">
            <w:pPr>
              <w:spacing w:line="265" w:lineRule="auto"/>
              <w:rPr>
                <w:rFonts w:ascii="Arial"/>
                <w:sz w:val="21"/>
              </w:rPr>
            </w:pPr>
          </w:p>
          <w:p w14:paraId="4C8C7E46">
            <w:pPr>
              <w:spacing w:before="65" w:line="265" w:lineRule="auto"/>
              <w:ind w:left="73" w:right="65" w:firstLine="2"/>
              <w:rPr>
                <w:rFonts w:ascii="宋体" w:hAnsi="宋体" w:eastAsia="宋体" w:cs="宋体"/>
                <w:sz w:val="20"/>
                <w:szCs w:val="20"/>
              </w:rPr>
            </w:pPr>
            <w:r>
              <w:rPr>
                <w:rFonts w:ascii="宋体" w:hAnsi="宋体" w:eastAsia="宋体" w:cs="宋体"/>
                <w:spacing w:val="4"/>
                <w:sz w:val="20"/>
                <w:szCs w:val="20"/>
              </w:rPr>
              <w:t>污</w:t>
            </w:r>
            <w:r>
              <w:rPr>
                <w:rFonts w:ascii="宋体" w:hAnsi="宋体" w:eastAsia="宋体" w:cs="宋体"/>
                <w:spacing w:val="3"/>
                <w:sz w:val="20"/>
                <w:szCs w:val="20"/>
              </w:rPr>
              <w:t>染</w:t>
            </w:r>
            <w:r>
              <w:rPr>
                <w:rFonts w:ascii="宋体" w:hAnsi="宋体" w:eastAsia="宋体" w:cs="宋体"/>
                <w:sz w:val="20"/>
                <w:szCs w:val="20"/>
              </w:rPr>
              <w:t xml:space="preserve"> </w:t>
            </w:r>
            <w:r>
              <w:rPr>
                <w:rFonts w:ascii="宋体" w:hAnsi="宋体" w:eastAsia="宋体" w:cs="宋体"/>
                <w:spacing w:val="5"/>
                <w:sz w:val="20"/>
                <w:szCs w:val="20"/>
              </w:rPr>
              <w:t>控制</w:t>
            </w:r>
          </w:p>
        </w:tc>
        <w:tc>
          <w:tcPr>
            <w:tcW w:w="4310" w:type="dxa"/>
            <w:vAlign w:val="top"/>
          </w:tcPr>
          <w:p w14:paraId="547E19C2">
            <w:pPr>
              <w:spacing w:line="255" w:lineRule="auto"/>
              <w:rPr>
                <w:rFonts w:ascii="Arial"/>
                <w:sz w:val="21"/>
              </w:rPr>
            </w:pPr>
          </w:p>
          <w:p w14:paraId="1F122816">
            <w:pPr>
              <w:spacing w:line="256" w:lineRule="auto"/>
              <w:rPr>
                <w:rFonts w:ascii="Arial"/>
                <w:sz w:val="21"/>
              </w:rPr>
            </w:pPr>
          </w:p>
          <w:p w14:paraId="3506717D">
            <w:pPr>
              <w:spacing w:before="65" w:line="239" w:lineRule="auto"/>
              <w:ind w:left="28" w:right="19" w:firstLine="16"/>
              <w:rPr>
                <w:rFonts w:ascii="宋体" w:hAnsi="宋体" w:eastAsia="宋体" w:cs="宋体"/>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4"/>
                <w:sz w:val="20"/>
                <w:szCs w:val="20"/>
              </w:rPr>
              <w:t xml:space="preserve"> </w:t>
            </w:r>
            <w:r>
              <w:rPr>
                <w:rFonts w:ascii="宋体" w:hAnsi="宋体" w:eastAsia="宋体" w:cs="宋体"/>
                <w:spacing w:val="4"/>
                <w:sz w:val="20"/>
                <w:szCs w:val="20"/>
              </w:rPr>
              <w:t>、企业应有废水收集设施，宜在厂区内处理并</w:t>
            </w:r>
            <w:r>
              <w:rPr>
                <w:rFonts w:ascii="宋体" w:hAnsi="宋体" w:eastAsia="宋体" w:cs="宋体"/>
                <w:sz w:val="20"/>
                <w:szCs w:val="20"/>
              </w:rPr>
              <w:t xml:space="preserve"> </w:t>
            </w:r>
            <w:r>
              <w:rPr>
                <w:rFonts w:ascii="宋体" w:hAnsi="宋体" w:eastAsia="宋体" w:cs="宋体"/>
                <w:spacing w:val="6"/>
                <w:sz w:val="20"/>
                <w:szCs w:val="20"/>
              </w:rPr>
              <w:t>循环利用</w:t>
            </w:r>
            <w:r>
              <w:rPr>
                <w:rFonts w:ascii="宋体" w:hAnsi="宋体" w:eastAsia="宋体" w:cs="宋体"/>
                <w:spacing w:val="5"/>
                <w:sz w:val="20"/>
                <w:szCs w:val="20"/>
              </w:rPr>
              <w:t>。</w:t>
            </w:r>
          </w:p>
          <w:p w14:paraId="3EE2EED0">
            <w:pPr>
              <w:spacing w:before="24" w:line="264" w:lineRule="exact"/>
              <w:ind w:left="24"/>
              <w:rPr>
                <w:rFonts w:ascii="宋体" w:hAnsi="宋体" w:eastAsia="宋体" w:cs="宋体"/>
                <w:sz w:val="20"/>
                <w:szCs w:val="20"/>
              </w:rPr>
            </w:pPr>
            <w:r>
              <w:rPr>
                <w:rFonts w:ascii="Times New Roman" w:hAnsi="Times New Roman" w:eastAsia="Times New Roman" w:cs="Times New Roman"/>
                <w:spacing w:val="5"/>
                <w:position w:val="1"/>
                <w:sz w:val="20"/>
                <w:szCs w:val="20"/>
              </w:rPr>
              <w:t xml:space="preserve">2 </w:t>
            </w:r>
            <w:r>
              <w:rPr>
                <w:rFonts w:ascii="宋体" w:hAnsi="宋体" w:eastAsia="宋体" w:cs="宋体"/>
                <w:spacing w:val="5"/>
                <w:position w:val="1"/>
                <w:sz w:val="20"/>
                <w:szCs w:val="20"/>
              </w:rPr>
              <w:t>、企业应有集气装置收集废气。</w:t>
            </w:r>
          </w:p>
          <w:p w14:paraId="679F88F5">
            <w:pPr>
              <w:spacing w:before="10" w:line="239" w:lineRule="auto"/>
              <w:ind w:left="27" w:right="19" w:firstLine="1"/>
              <w:rPr>
                <w:rFonts w:ascii="宋体" w:hAnsi="宋体" w:eastAsia="宋体" w:cs="宋体"/>
                <w:sz w:val="20"/>
                <w:szCs w:val="20"/>
              </w:rPr>
            </w:pPr>
            <w:r>
              <w:rPr>
                <w:rFonts w:ascii="Times New Roman" w:hAnsi="Times New Roman" w:eastAsia="Times New Roman" w:cs="Times New Roman"/>
                <w:spacing w:val="5"/>
                <w:sz w:val="20"/>
                <w:szCs w:val="20"/>
              </w:rPr>
              <w:t xml:space="preserve">3 </w:t>
            </w:r>
            <w:r>
              <w:rPr>
                <w:rFonts w:ascii="宋体" w:hAnsi="宋体" w:eastAsia="宋体" w:cs="宋体"/>
                <w:spacing w:val="5"/>
                <w:sz w:val="20"/>
                <w:szCs w:val="20"/>
              </w:rPr>
              <w:t>、其他气体净化装置收集的固废，应按国际</w:t>
            </w:r>
            <w:r>
              <w:rPr>
                <w:rFonts w:ascii="宋体" w:hAnsi="宋体" w:eastAsia="宋体" w:cs="宋体"/>
                <w:spacing w:val="1"/>
                <w:sz w:val="20"/>
                <w:szCs w:val="20"/>
              </w:rPr>
              <w:t>危</w:t>
            </w:r>
            <w:r>
              <w:rPr>
                <w:rFonts w:ascii="宋体" w:hAnsi="宋体" w:eastAsia="宋体" w:cs="宋体"/>
                <w:sz w:val="20"/>
                <w:szCs w:val="20"/>
              </w:rPr>
              <w:t xml:space="preserve"> </w:t>
            </w:r>
            <w:r>
              <w:rPr>
                <w:rFonts w:ascii="宋体" w:hAnsi="宋体" w:eastAsia="宋体" w:cs="宋体"/>
                <w:spacing w:val="12"/>
                <w:sz w:val="20"/>
                <w:szCs w:val="20"/>
              </w:rPr>
              <w:t>废</w:t>
            </w:r>
            <w:r>
              <w:rPr>
                <w:rFonts w:ascii="宋体" w:hAnsi="宋体" w:eastAsia="宋体" w:cs="宋体"/>
                <w:spacing w:val="7"/>
                <w:sz w:val="20"/>
                <w:szCs w:val="20"/>
              </w:rPr>
              <w:t>鉴别标准鉴别。</w:t>
            </w:r>
          </w:p>
          <w:p w14:paraId="143FCD51">
            <w:pPr>
              <w:spacing w:before="26" w:line="264" w:lineRule="exact"/>
              <w:ind w:left="23"/>
              <w:rPr>
                <w:rFonts w:ascii="宋体" w:hAnsi="宋体" w:eastAsia="宋体" w:cs="宋体"/>
                <w:sz w:val="20"/>
                <w:szCs w:val="20"/>
              </w:rPr>
            </w:pPr>
            <w:r>
              <w:rPr>
                <w:rFonts w:ascii="Times New Roman" w:hAnsi="Times New Roman" w:eastAsia="Times New Roman" w:cs="Times New Roman"/>
                <w:spacing w:val="9"/>
                <w:position w:val="1"/>
                <w:sz w:val="20"/>
                <w:szCs w:val="20"/>
              </w:rPr>
              <w:t>4</w:t>
            </w:r>
            <w:r>
              <w:rPr>
                <w:rFonts w:ascii="Times New Roman" w:hAnsi="Times New Roman" w:eastAsia="Times New Roman" w:cs="Times New Roman"/>
                <w:spacing w:val="6"/>
                <w:position w:val="1"/>
                <w:sz w:val="20"/>
                <w:szCs w:val="20"/>
              </w:rPr>
              <w:t xml:space="preserve"> </w:t>
            </w:r>
            <w:r>
              <w:rPr>
                <w:rFonts w:ascii="宋体" w:hAnsi="宋体" w:eastAsia="宋体" w:cs="宋体"/>
                <w:spacing w:val="6"/>
                <w:position w:val="1"/>
                <w:sz w:val="20"/>
                <w:szCs w:val="20"/>
              </w:rPr>
              <w:t>、预处理和再生利用过程应控制噪声污染。</w:t>
            </w:r>
          </w:p>
          <w:p w14:paraId="4AD45902">
            <w:pPr>
              <w:spacing w:before="8"/>
              <w:ind w:left="30" w:right="19"/>
              <w:rPr>
                <w:rFonts w:ascii="宋体" w:hAnsi="宋体" w:eastAsia="宋体" w:cs="宋体"/>
                <w:sz w:val="20"/>
                <w:szCs w:val="20"/>
              </w:rPr>
            </w:pPr>
            <w:r>
              <w:rPr>
                <w:rFonts w:ascii="Times New Roman" w:hAnsi="Times New Roman" w:eastAsia="Times New Roman" w:cs="Times New Roman"/>
                <w:spacing w:val="8"/>
                <w:sz w:val="20"/>
                <w:szCs w:val="20"/>
              </w:rPr>
              <w:t xml:space="preserve">5 </w:t>
            </w:r>
            <w:r>
              <w:rPr>
                <w:rFonts w:ascii="宋体" w:hAnsi="宋体" w:eastAsia="宋体" w:cs="宋体"/>
                <w:spacing w:val="8"/>
                <w:sz w:val="20"/>
                <w:szCs w:val="20"/>
              </w:rPr>
              <w:t>、废</w:t>
            </w:r>
            <w:r>
              <w:rPr>
                <w:rFonts w:ascii="宋体" w:hAnsi="宋体" w:eastAsia="宋体" w:cs="宋体"/>
                <w:spacing w:val="4"/>
                <w:sz w:val="20"/>
                <w:szCs w:val="20"/>
              </w:rPr>
              <w:t>塑料预处理、再生过程产生的固废，应按</w:t>
            </w:r>
            <w:r>
              <w:rPr>
                <w:rFonts w:ascii="宋体" w:hAnsi="宋体" w:eastAsia="宋体" w:cs="宋体"/>
                <w:sz w:val="20"/>
                <w:szCs w:val="20"/>
              </w:rPr>
              <w:t xml:space="preserve"> </w:t>
            </w:r>
            <w:r>
              <w:rPr>
                <w:rFonts w:ascii="宋体" w:hAnsi="宋体" w:eastAsia="宋体" w:cs="宋体"/>
                <w:spacing w:val="16"/>
                <w:sz w:val="20"/>
                <w:szCs w:val="20"/>
              </w:rPr>
              <w:t>工</w:t>
            </w:r>
            <w:r>
              <w:rPr>
                <w:rFonts w:ascii="宋体" w:hAnsi="宋体" w:eastAsia="宋体" w:cs="宋体"/>
                <w:spacing w:val="11"/>
                <w:sz w:val="20"/>
                <w:szCs w:val="20"/>
              </w:rPr>
              <w:t>业</w:t>
            </w:r>
            <w:r>
              <w:rPr>
                <w:rFonts w:ascii="宋体" w:hAnsi="宋体" w:eastAsia="宋体" w:cs="宋体"/>
                <w:spacing w:val="8"/>
                <w:sz w:val="20"/>
                <w:szCs w:val="20"/>
              </w:rPr>
              <w:t>固废处理，并执行相关环保标准。</w:t>
            </w:r>
          </w:p>
        </w:tc>
        <w:tc>
          <w:tcPr>
            <w:tcW w:w="2980" w:type="dxa"/>
            <w:vAlign w:val="top"/>
          </w:tcPr>
          <w:p w14:paraId="0AE791CB">
            <w:pPr>
              <w:tabs>
                <w:tab w:val="left" w:pos="138"/>
              </w:tabs>
              <w:spacing w:before="35" w:line="249" w:lineRule="auto"/>
              <w:ind w:left="29" w:right="16" w:firstLine="3"/>
              <w:rPr>
                <w:rFonts w:ascii="宋体" w:hAnsi="宋体" w:eastAsia="宋体" w:cs="宋体"/>
                <w:sz w:val="20"/>
                <w:szCs w:val="20"/>
              </w:rPr>
            </w:pPr>
            <w:r>
              <w:rPr>
                <w:rFonts w:ascii="宋体" w:hAnsi="宋体" w:eastAsia="宋体" w:cs="宋体"/>
                <w:spacing w:val="9"/>
                <w:sz w:val="20"/>
                <w:szCs w:val="20"/>
              </w:rPr>
              <w:t>项</w:t>
            </w:r>
            <w:r>
              <w:rPr>
                <w:rFonts w:ascii="宋体" w:hAnsi="宋体" w:eastAsia="宋体" w:cs="宋体"/>
                <w:spacing w:val="8"/>
                <w:sz w:val="20"/>
                <w:szCs w:val="20"/>
              </w:rPr>
              <w:t xml:space="preserve"> 目采用湿式破碎 ，不产生粉</w:t>
            </w:r>
            <w:r>
              <w:rPr>
                <w:rFonts w:ascii="宋体" w:hAnsi="宋体" w:eastAsia="宋体" w:cs="宋体"/>
                <w:sz w:val="20"/>
                <w:szCs w:val="20"/>
              </w:rPr>
              <w:t xml:space="preserve"> </w:t>
            </w:r>
            <w:r>
              <w:rPr>
                <w:rFonts w:ascii="宋体" w:hAnsi="宋体" w:eastAsia="宋体" w:cs="宋体"/>
                <w:spacing w:val="9"/>
                <w:sz w:val="20"/>
                <w:szCs w:val="20"/>
              </w:rPr>
              <w:t>尘，热熔有机废气经集气罩收</w:t>
            </w:r>
            <w:r>
              <w:rPr>
                <w:rFonts w:ascii="宋体" w:hAnsi="宋体" w:eastAsia="宋体" w:cs="宋体"/>
                <w:spacing w:val="7"/>
                <w:sz w:val="20"/>
                <w:szCs w:val="20"/>
              </w:rPr>
              <w:t>集</w:t>
            </w:r>
            <w:r>
              <w:rPr>
                <w:rFonts w:ascii="宋体" w:hAnsi="宋体" w:eastAsia="宋体" w:cs="宋体"/>
                <w:sz w:val="20"/>
                <w:szCs w:val="20"/>
              </w:rPr>
              <w:t xml:space="preserve"> </w:t>
            </w:r>
            <w:r>
              <w:rPr>
                <w:rFonts w:ascii="宋体" w:hAnsi="宋体" w:eastAsia="宋体" w:cs="宋体"/>
                <w:spacing w:val="25"/>
                <w:sz w:val="20"/>
                <w:szCs w:val="20"/>
              </w:rPr>
              <w:t>后由引风机抽入废气治理装</w:t>
            </w:r>
            <w:r>
              <w:rPr>
                <w:rFonts w:ascii="宋体" w:hAnsi="宋体" w:eastAsia="宋体" w:cs="宋体"/>
                <w:spacing w:val="24"/>
                <w:sz w:val="20"/>
                <w:szCs w:val="20"/>
              </w:rPr>
              <w:t>置</w:t>
            </w:r>
            <w:r>
              <w:rPr>
                <w:rFonts w:ascii="宋体" w:hAnsi="宋体" w:eastAsia="宋体" w:cs="宋体"/>
                <w:sz w:val="20"/>
                <w:szCs w:val="20"/>
              </w:rPr>
              <w:t xml:space="preserve"> </w:t>
            </w:r>
            <w:r>
              <w:rPr>
                <w:rFonts w:ascii="宋体" w:hAnsi="宋体" w:eastAsia="宋体" w:cs="宋体"/>
                <w:spacing w:val="7"/>
                <w:sz w:val="20"/>
                <w:szCs w:val="20"/>
              </w:rPr>
              <w:t>中</w:t>
            </w:r>
            <w:r>
              <w:rPr>
                <w:rFonts w:ascii="宋体" w:hAnsi="宋体" w:eastAsia="宋体" w:cs="宋体"/>
                <w:spacing w:val="6"/>
                <w:sz w:val="20"/>
                <w:szCs w:val="20"/>
              </w:rPr>
              <w:t xml:space="preserve">，经过 </w:t>
            </w:r>
            <w:r>
              <w:rPr>
                <w:rFonts w:ascii="Times New Roman" w:hAnsi="Times New Roman" w:eastAsia="Times New Roman" w:cs="Times New Roman"/>
                <w:sz w:val="20"/>
                <w:szCs w:val="20"/>
              </w:rPr>
              <w:t>UV</w:t>
            </w:r>
            <w:r>
              <w:rPr>
                <w:rFonts w:ascii="Times New Roman" w:hAnsi="Times New Roman" w:eastAsia="Times New Roman" w:cs="Times New Roman"/>
                <w:spacing w:val="6"/>
                <w:sz w:val="20"/>
                <w:szCs w:val="20"/>
              </w:rPr>
              <w:t xml:space="preserve"> </w:t>
            </w:r>
            <w:r>
              <w:rPr>
                <w:rFonts w:ascii="宋体" w:hAnsi="宋体" w:eastAsia="宋体" w:cs="宋体"/>
                <w:spacing w:val="6"/>
                <w:sz w:val="20"/>
                <w:szCs w:val="20"/>
              </w:rPr>
              <w:t>光氧催化废气处理</w:t>
            </w:r>
            <w:r>
              <w:rPr>
                <w:rFonts w:ascii="宋体" w:hAnsi="宋体" w:eastAsia="宋体" w:cs="宋体"/>
                <w:sz w:val="20"/>
                <w:szCs w:val="20"/>
              </w:rPr>
              <w:t xml:space="preserve"> </w:t>
            </w:r>
            <w:r>
              <w:rPr>
                <w:rFonts w:ascii="宋体" w:hAnsi="宋体" w:eastAsia="宋体" w:cs="宋体"/>
                <w:spacing w:val="17"/>
                <w:sz w:val="20"/>
                <w:szCs w:val="20"/>
              </w:rPr>
              <w:t>装</w:t>
            </w:r>
            <w:r>
              <w:rPr>
                <w:rFonts w:ascii="宋体" w:hAnsi="宋体" w:eastAsia="宋体" w:cs="宋体"/>
                <w:spacing w:val="15"/>
                <w:sz w:val="20"/>
                <w:szCs w:val="20"/>
              </w:rPr>
              <w:t>置</w:t>
            </w:r>
            <w:r>
              <w:rPr>
                <w:rFonts w:ascii="Times New Roman" w:hAnsi="Times New Roman" w:eastAsia="Times New Roman" w:cs="Times New Roman"/>
                <w:spacing w:val="15"/>
                <w:sz w:val="20"/>
                <w:szCs w:val="20"/>
              </w:rPr>
              <w:t>+</w:t>
            </w:r>
            <w:r>
              <w:rPr>
                <w:rFonts w:ascii="宋体" w:hAnsi="宋体" w:eastAsia="宋体" w:cs="宋体"/>
                <w:spacing w:val="15"/>
                <w:sz w:val="20"/>
                <w:szCs w:val="20"/>
              </w:rPr>
              <w:t>活性炭吸附装置处理后通</w:t>
            </w:r>
            <w:r>
              <w:rPr>
                <w:rFonts w:ascii="宋体" w:hAnsi="宋体" w:eastAsia="宋体" w:cs="宋体"/>
                <w:sz w:val="20"/>
                <w:szCs w:val="20"/>
              </w:rPr>
              <w:t xml:space="preserve"> </w:t>
            </w:r>
            <w:r>
              <w:rPr>
                <w:rFonts w:ascii="宋体" w:hAnsi="宋体" w:eastAsia="宋体" w:cs="宋体"/>
                <w:spacing w:val="2"/>
                <w:sz w:val="20"/>
                <w:szCs w:val="20"/>
              </w:rPr>
              <w:t xml:space="preserve">过 </w:t>
            </w:r>
            <w:r>
              <w:rPr>
                <w:rFonts w:ascii="Times New Roman" w:hAnsi="Times New Roman" w:eastAsia="Times New Roman" w:cs="Times New Roman"/>
                <w:spacing w:val="2"/>
                <w:sz w:val="20"/>
                <w:szCs w:val="20"/>
              </w:rPr>
              <w:t>15</w:t>
            </w:r>
            <w:r>
              <w:rPr>
                <w:rFonts w:ascii="Times New Roman" w:hAnsi="Times New Roman" w:eastAsia="Times New Roman" w:cs="Times New Roman"/>
                <w:sz w:val="20"/>
                <w:szCs w:val="20"/>
              </w:rPr>
              <w:t>m</w:t>
            </w:r>
            <w:r>
              <w:rPr>
                <w:rFonts w:ascii="Times New Roman" w:hAnsi="Times New Roman" w:eastAsia="Times New Roman" w:cs="Times New Roman"/>
                <w:spacing w:val="2"/>
                <w:sz w:val="20"/>
                <w:szCs w:val="20"/>
              </w:rPr>
              <w:t xml:space="preserve"> </w:t>
            </w:r>
            <w:r>
              <w:rPr>
                <w:rFonts w:ascii="宋体" w:hAnsi="宋体" w:eastAsia="宋体" w:cs="宋体"/>
                <w:spacing w:val="1"/>
                <w:sz w:val="20"/>
                <w:szCs w:val="20"/>
              </w:rPr>
              <w:t>高排气筒有组织排放；生</w:t>
            </w:r>
            <w:r>
              <w:rPr>
                <w:rFonts w:ascii="宋体" w:hAnsi="宋体" w:eastAsia="宋体" w:cs="宋体"/>
                <w:sz w:val="20"/>
                <w:szCs w:val="20"/>
              </w:rPr>
              <w:t xml:space="preserve"> </w:t>
            </w:r>
            <w:r>
              <w:rPr>
                <w:rFonts w:ascii="宋体" w:hAnsi="宋体" w:eastAsia="宋体" w:cs="宋体"/>
                <w:spacing w:val="27"/>
                <w:sz w:val="20"/>
                <w:szCs w:val="20"/>
              </w:rPr>
              <w:t>产</w:t>
            </w:r>
            <w:r>
              <w:rPr>
                <w:rFonts w:ascii="宋体" w:hAnsi="宋体" w:eastAsia="宋体" w:cs="宋体"/>
                <w:spacing w:val="25"/>
                <w:sz w:val="20"/>
                <w:szCs w:val="20"/>
              </w:rPr>
              <w:t>废水经一体化污水预处理设</w:t>
            </w:r>
            <w:r>
              <w:rPr>
                <w:rFonts w:ascii="宋体" w:hAnsi="宋体" w:eastAsia="宋体" w:cs="宋体"/>
                <w:sz w:val="20"/>
                <w:szCs w:val="20"/>
              </w:rPr>
              <w:t xml:space="preserve"> </w:t>
            </w:r>
            <w:r>
              <w:rPr>
                <w:rFonts w:ascii="宋体" w:hAnsi="宋体" w:eastAsia="宋体" w:cs="宋体"/>
                <w:spacing w:val="-16"/>
                <w:sz w:val="20"/>
                <w:szCs w:val="20"/>
              </w:rPr>
              <w:t>备</w:t>
            </w:r>
            <w:r>
              <w:rPr>
                <w:rFonts w:ascii="宋体" w:hAnsi="宋体" w:eastAsia="宋体" w:cs="宋体"/>
                <w:spacing w:val="-13"/>
                <w:sz w:val="20"/>
                <w:szCs w:val="20"/>
              </w:rPr>
              <w:t xml:space="preserve"> 处 理 后 排 入 三 级 沉 淀 池</w:t>
            </w:r>
            <w:r>
              <w:rPr>
                <w:rFonts w:ascii="宋体" w:hAnsi="宋体" w:eastAsia="宋体" w:cs="宋体"/>
                <w:sz w:val="20"/>
                <w:szCs w:val="20"/>
              </w:rPr>
              <w:t xml:space="preserve"> </w:t>
            </w:r>
            <w:r>
              <w:rPr>
                <w:rFonts w:ascii="宋体" w:hAnsi="宋体" w:eastAsia="宋体" w:cs="宋体"/>
                <w:sz w:val="20"/>
                <w:szCs w:val="20"/>
              </w:rPr>
              <w:tab/>
            </w:r>
            <w:r>
              <w:rPr>
                <w:rFonts w:ascii="宋体" w:hAnsi="宋体" w:eastAsia="宋体" w:cs="宋体"/>
                <w:spacing w:val="8"/>
                <w:sz w:val="20"/>
                <w:szCs w:val="20"/>
              </w:rPr>
              <w:t>(</w:t>
            </w:r>
            <w:r>
              <w:rPr>
                <w:rFonts w:ascii="Times New Roman" w:hAnsi="Times New Roman" w:eastAsia="Times New Roman" w:cs="Times New Roman"/>
                <w:spacing w:val="8"/>
                <w:sz w:val="20"/>
                <w:szCs w:val="20"/>
              </w:rPr>
              <w:t>1</w:t>
            </w:r>
            <w:r>
              <w:rPr>
                <w:rFonts w:ascii="Times New Roman" w:hAnsi="Times New Roman" w:eastAsia="Times New Roman" w:cs="Times New Roman"/>
                <w:spacing w:val="5"/>
                <w:sz w:val="20"/>
                <w:szCs w:val="20"/>
              </w:rPr>
              <w:t>2</w:t>
            </w:r>
            <w:r>
              <w:rPr>
                <w:rFonts w:ascii="Times New Roman" w:hAnsi="Times New Roman" w:eastAsia="Times New Roman" w:cs="Times New Roman"/>
                <w:sz w:val="20"/>
                <w:szCs w:val="20"/>
              </w:rPr>
              <w:t>m</w:t>
            </w:r>
            <w:r>
              <w:rPr>
                <w:rFonts w:ascii="Times New Roman" w:hAnsi="Times New Roman" w:eastAsia="Times New Roman" w:cs="Times New Roman"/>
                <w:spacing w:val="4"/>
                <w:sz w:val="20"/>
                <w:szCs w:val="20"/>
              </w:rPr>
              <w:t>×6</w:t>
            </w:r>
            <w:r>
              <w:rPr>
                <w:rFonts w:ascii="Times New Roman" w:hAnsi="Times New Roman" w:eastAsia="Times New Roman" w:cs="Times New Roman"/>
                <w:sz w:val="20"/>
                <w:szCs w:val="20"/>
              </w:rPr>
              <w:t>m</w:t>
            </w:r>
            <w:r>
              <w:rPr>
                <w:rFonts w:ascii="Times New Roman" w:hAnsi="Times New Roman" w:eastAsia="Times New Roman" w:cs="Times New Roman"/>
                <w:spacing w:val="4"/>
                <w:sz w:val="20"/>
                <w:szCs w:val="20"/>
              </w:rPr>
              <w:t>×4.5</w:t>
            </w:r>
            <w:r>
              <w:rPr>
                <w:rFonts w:ascii="Times New Roman" w:hAnsi="Times New Roman" w:eastAsia="Times New Roman" w:cs="Times New Roman"/>
                <w:sz w:val="20"/>
                <w:szCs w:val="20"/>
              </w:rPr>
              <w:t>m</w:t>
            </w:r>
            <w:r>
              <w:rPr>
                <w:rFonts w:ascii="宋体" w:hAnsi="宋体" w:eastAsia="宋体" w:cs="宋体"/>
                <w:spacing w:val="4"/>
                <w:sz w:val="20"/>
                <w:szCs w:val="20"/>
              </w:rPr>
              <w:t>) 沉淀处理，随</w:t>
            </w:r>
            <w:r>
              <w:rPr>
                <w:rFonts w:ascii="宋体" w:hAnsi="宋体" w:eastAsia="宋体" w:cs="宋体"/>
                <w:sz w:val="20"/>
                <w:szCs w:val="20"/>
              </w:rPr>
              <w:t xml:space="preserve"> </w:t>
            </w:r>
            <w:r>
              <w:rPr>
                <w:rFonts w:ascii="宋体" w:hAnsi="宋体" w:eastAsia="宋体" w:cs="宋体"/>
                <w:spacing w:val="9"/>
                <w:sz w:val="20"/>
                <w:szCs w:val="20"/>
              </w:rPr>
              <w:t>后循环使用；固废均按要求进</w:t>
            </w:r>
            <w:r>
              <w:rPr>
                <w:rFonts w:ascii="宋体" w:hAnsi="宋体" w:eastAsia="宋体" w:cs="宋体"/>
                <w:spacing w:val="7"/>
                <w:sz w:val="20"/>
                <w:szCs w:val="20"/>
              </w:rPr>
              <w:t>行</w:t>
            </w:r>
            <w:r>
              <w:rPr>
                <w:rFonts w:ascii="宋体" w:hAnsi="宋体" w:eastAsia="宋体" w:cs="宋体"/>
                <w:sz w:val="20"/>
                <w:szCs w:val="20"/>
              </w:rPr>
              <w:t xml:space="preserve"> </w:t>
            </w:r>
            <w:r>
              <w:rPr>
                <w:rFonts w:ascii="宋体" w:hAnsi="宋体" w:eastAsia="宋体" w:cs="宋体"/>
                <w:spacing w:val="9"/>
                <w:sz w:val="20"/>
                <w:szCs w:val="20"/>
              </w:rPr>
              <w:t>相应处理，不外排环境；企业</w:t>
            </w:r>
            <w:r>
              <w:rPr>
                <w:rFonts w:ascii="宋体" w:hAnsi="宋体" w:eastAsia="宋体" w:cs="宋体"/>
                <w:spacing w:val="7"/>
                <w:sz w:val="20"/>
                <w:szCs w:val="20"/>
              </w:rPr>
              <w:t>配</w:t>
            </w:r>
            <w:r>
              <w:rPr>
                <w:rFonts w:ascii="宋体" w:hAnsi="宋体" w:eastAsia="宋体" w:cs="宋体"/>
                <w:sz w:val="20"/>
                <w:szCs w:val="20"/>
              </w:rPr>
              <w:t xml:space="preserve"> </w:t>
            </w:r>
            <w:r>
              <w:rPr>
                <w:rFonts w:ascii="宋体" w:hAnsi="宋体" w:eastAsia="宋体" w:cs="宋体"/>
                <w:spacing w:val="9"/>
                <w:sz w:val="20"/>
                <w:szCs w:val="20"/>
              </w:rPr>
              <w:t>有</w:t>
            </w:r>
            <w:r>
              <w:rPr>
                <w:rFonts w:ascii="宋体" w:hAnsi="宋体" w:eastAsia="宋体" w:cs="宋体"/>
                <w:spacing w:val="8"/>
                <w:sz w:val="20"/>
                <w:szCs w:val="20"/>
              </w:rPr>
              <w:t>相应的噪声防治措施。</w:t>
            </w:r>
          </w:p>
        </w:tc>
        <w:tc>
          <w:tcPr>
            <w:tcW w:w="679" w:type="dxa"/>
            <w:tcBorders>
              <w:right w:val="nil"/>
            </w:tcBorders>
            <w:vAlign w:val="top"/>
          </w:tcPr>
          <w:p w14:paraId="0698AB33">
            <w:pPr>
              <w:spacing w:line="242" w:lineRule="auto"/>
              <w:rPr>
                <w:rFonts w:ascii="Arial"/>
                <w:sz w:val="21"/>
              </w:rPr>
            </w:pPr>
          </w:p>
          <w:p w14:paraId="73CA1E74">
            <w:pPr>
              <w:spacing w:line="243" w:lineRule="auto"/>
              <w:rPr>
                <w:rFonts w:ascii="Arial"/>
                <w:sz w:val="21"/>
              </w:rPr>
            </w:pPr>
          </w:p>
          <w:p w14:paraId="3E1B9CBF">
            <w:pPr>
              <w:spacing w:line="243" w:lineRule="auto"/>
              <w:rPr>
                <w:rFonts w:ascii="Arial"/>
                <w:sz w:val="21"/>
              </w:rPr>
            </w:pPr>
          </w:p>
          <w:p w14:paraId="469CAFE4">
            <w:pPr>
              <w:spacing w:line="243" w:lineRule="auto"/>
              <w:rPr>
                <w:rFonts w:ascii="Arial"/>
                <w:sz w:val="21"/>
              </w:rPr>
            </w:pPr>
          </w:p>
          <w:p w14:paraId="2C0A0502">
            <w:pPr>
              <w:spacing w:line="243" w:lineRule="auto"/>
              <w:rPr>
                <w:rFonts w:ascii="Arial"/>
                <w:sz w:val="21"/>
              </w:rPr>
            </w:pPr>
          </w:p>
          <w:p w14:paraId="39E269FE">
            <w:pPr>
              <w:spacing w:line="243" w:lineRule="auto"/>
              <w:rPr>
                <w:rFonts w:ascii="Arial"/>
                <w:sz w:val="21"/>
              </w:rPr>
            </w:pPr>
          </w:p>
          <w:p w14:paraId="04531164">
            <w:pPr>
              <w:spacing w:before="65" w:line="228" w:lineRule="auto"/>
              <w:ind w:left="137"/>
              <w:rPr>
                <w:rFonts w:ascii="宋体" w:hAnsi="宋体" w:eastAsia="宋体" w:cs="宋体"/>
                <w:sz w:val="20"/>
                <w:szCs w:val="20"/>
              </w:rPr>
            </w:pPr>
            <w:r>
              <w:rPr>
                <w:rFonts w:ascii="宋体" w:hAnsi="宋体" w:eastAsia="宋体" w:cs="宋体"/>
                <w:spacing w:val="4"/>
                <w:sz w:val="20"/>
                <w:szCs w:val="20"/>
              </w:rPr>
              <w:t>符</w:t>
            </w:r>
            <w:r>
              <w:rPr>
                <w:rFonts w:ascii="宋体" w:hAnsi="宋体" w:eastAsia="宋体" w:cs="宋体"/>
                <w:spacing w:val="3"/>
                <w:sz w:val="20"/>
                <w:szCs w:val="20"/>
              </w:rPr>
              <w:t>合</w:t>
            </w:r>
          </w:p>
        </w:tc>
      </w:tr>
      <w:tr w14:paraId="7CFACC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4" w:hRule="atLeast"/>
        </w:trPr>
        <w:tc>
          <w:tcPr>
            <w:tcW w:w="552" w:type="dxa"/>
            <w:tcBorders>
              <w:left w:val="nil"/>
            </w:tcBorders>
            <w:vAlign w:val="top"/>
          </w:tcPr>
          <w:p w14:paraId="2684AE7D">
            <w:pPr>
              <w:spacing w:line="264" w:lineRule="auto"/>
              <w:rPr>
                <w:rFonts w:ascii="Arial"/>
                <w:sz w:val="21"/>
              </w:rPr>
            </w:pPr>
          </w:p>
          <w:p w14:paraId="04B77BC3">
            <w:pPr>
              <w:spacing w:line="264" w:lineRule="auto"/>
              <w:rPr>
                <w:rFonts w:ascii="Arial"/>
                <w:sz w:val="21"/>
              </w:rPr>
            </w:pPr>
          </w:p>
          <w:p w14:paraId="4F527D1C">
            <w:pPr>
              <w:spacing w:line="265" w:lineRule="auto"/>
              <w:rPr>
                <w:rFonts w:ascii="Arial"/>
                <w:sz w:val="21"/>
              </w:rPr>
            </w:pPr>
          </w:p>
          <w:p w14:paraId="7E064879">
            <w:pPr>
              <w:spacing w:line="265" w:lineRule="auto"/>
              <w:rPr>
                <w:rFonts w:ascii="Arial"/>
                <w:sz w:val="21"/>
              </w:rPr>
            </w:pPr>
          </w:p>
          <w:p w14:paraId="583B5BCB">
            <w:pPr>
              <w:spacing w:line="265" w:lineRule="auto"/>
              <w:rPr>
                <w:rFonts w:ascii="Arial"/>
                <w:sz w:val="21"/>
              </w:rPr>
            </w:pPr>
          </w:p>
          <w:p w14:paraId="51F3ACB1">
            <w:pPr>
              <w:spacing w:before="65" w:line="228" w:lineRule="auto"/>
              <w:ind w:left="79"/>
              <w:rPr>
                <w:rFonts w:ascii="宋体" w:hAnsi="宋体" w:eastAsia="宋体" w:cs="宋体"/>
                <w:sz w:val="20"/>
                <w:szCs w:val="20"/>
              </w:rPr>
            </w:pPr>
            <w:r>
              <w:rPr>
                <w:rFonts w:ascii="宋体" w:hAnsi="宋体" w:eastAsia="宋体" w:cs="宋体"/>
                <w:spacing w:val="2"/>
                <w:sz w:val="20"/>
                <w:szCs w:val="20"/>
              </w:rPr>
              <w:t>管理</w:t>
            </w:r>
          </w:p>
        </w:tc>
        <w:tc>
          <w:tcPr>
            <w:tcW w:w="4310" w:type="dxa"/>
            <w:vAlign w:val="top"/>
          </w:tcPr>
          <w:p w14:paraId="4D9AE74D">
            <w:pPr>
              <w:spacing w:before="34" w:line="244" w:lineRule="auto"/>
              <w:ind w:left="30" w:right="19" w:firstLine="14"/>
              <w:rPr>
                <w:rFonts w:ascii="宋体" w:hAnsi="宋体" w:eastAsia="宋体" w:cs="宋体"/>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4"/>
                <w:sz w:val="20"/>
                <w:szCs w:val="20"/>
              </w:rPr>
              <w:t xml:space="preserve"> </w:t>
            </w:r>
            <w:r>
              <w:rPr>
                <w:rFonts w:ascii="宋体" w:hAnsi="宋体" w:eastAsia="宋体" w:cs="宋体"/>
                <w:spacing w:val="4"/>
                <w:sz w:val="20"/>
                <w:szCs w:val="20"/>
              </w:rPr>
              <w:t>、企业应建立、健全环保管理制度，设置环保</w:t>
            </w:r>
            <w:r>
              <w:rPr>
                <w:rFonts w:ascii="宋体" w:hAnsi="宋体" w:eastAsia="宋体" w:cs="宋体"/>
                <w:sz w:val="20"/>
                <w:szCs w:val="20"/>
              </w:rPr>
              <w:t xml:space="preserve"> </w:t>
            </w:r>
            <w:r>
              <w:rPr>
                <w:rFonts w:ascii="宋体" w:hAnsi="宋体" w:eastAsia="宋体" w:cs="宋体"/>
                <w:spacing w:val="24"/>
                <w:sz w:val="20"/>
                <w:szCs w:val="20"/>
              </w:rPr>
              <w:t>部</w:t>
            </w:r>
            <w:r>
              <w:rPr>
                <w:rFonts w:ascii="宋体" w:hAnsi="宋体" w:eastAsia="宋体" w:cs="宋体"/>
                <w:spacing w:val="12"/>
                <w:sz w:val="20"/>
                <w:szCs w:val="20"/>
              </w:rPr>
              <w:t>门或专职人员，负责监督塑料回收与再生利</w:t>
            </w:r>
            <w:r>
              <w:rPr>
                <w:rFonts w:ascii="宋体" w:hAnsi="宋体" w:eastAsia="宋体" w:cs="宋体"/>
                <w:sz w:val="20"/>
                <w:szCs w:val="20"/>
              </w:rPr>
              <w:t xml:space="preserve"> </w:t>
            </w:r>
            <w:r>
              <w:rPr>
                <w:rFonts w:ascii="宋体" w:hAnsi="宋体" w:eastAsia="宋体" w:cs="宋体"/>
                <w:spacing w:val="15"/>
                <w:sz w:val="20"/>
                <w:szCs w:val="20"/>
              </w:rPr>
              <w:t>用</w:t>
            </w:r>
            <w:r>
              <w:rPr>
                <w:rFonts w:ascii="宋体" w:hAnsi="宋体" w:eastAsia="宋体" w:cs="宋体"/>
                <w:spacing w:val="8"/>
                <w:sz w:val="20"/>
                <w:szCs w:val="20"/>
              </w:rPr>
              <w:t>过程中的环境保护和管理工作。</w:t>
            </w:r>
          </w:p>
          <w:p w14:paraId="0976BC27">
            <w:pPr>
              <w:spacing w:before="26" w:line="264" w:lineRule="exact"/>
              <w:ind w:left="24"/>
              <w:rPr>
                <w:rFonts w:ascii="宋体" w:hAnsi="宋体" w:eastAsia="宋体" w:cs="宋体"/>
                <w:sz w:val="20"/>
                <w:szCs w:val="20"/>
              </w:rPr>
            </w:pPr>
            <w:r>
              <w:rPr>
                <w:rFonts w:ascii="Times New Roman" w:hAnsi="Times New Roman" w:eastAsia="Times New Roman" w:cs="Times New Roman"/>
                <w:spacing w:val="6"/>
                <w:position w:val="1"/>
                <w:sz w:val="20"/>
                <w:szCs w:val="20"/>
              </w:rPr>
              <w:t xml:space="preserve">2 </w:t>
            </w:r>
            <w:r>
              <w:rPr>
                <w:rFonts w:ascii="宋体" w:hAnsi="宋体" w:eastAsia="宋体" w:cs="宋体"/>
                <w:spacing w:val="6"/>
                <w:position w:val="1"/>
                <w:sz w:val="20"/>
                <w:szCs w:val="20"/>
              </w:rPr>
              <w:t>、企业应对所有工作人员进行环保培训。</w:t>
            </w:r>
          </w:p>
          <w:p w14:paraId="27B1B1C0">
            <w:pPr>
              <w:spacing w:before="8" w:line="239" w:lineRule="auto"/>
              <w:ind w:left="29" w:right="19"/>
              <w:rPr>
                <w:rFonts w:ascii="宋体" w:hAnsi="宋体" w:eastAsia="宋体" w:cs="宋体"/>
                <w:sz w:val="20"/>
                <w:szCs w:val="20"/>
              </w:rPr>
            </w:pPr>
            <w:r>
              <w:rPr>
                <w:rFonts w:ascii="Times New Roman" w:hAnsi="Times New Roman" w:eastAsia="Times New Roman" w:cs="Times New Roman"/>
                <w:spacing w:val="14"/>
                <w:sz w:val="20"/>
                <w:szCs w:val="20"/>
              </w:rPr>
              <w:t>3</w:t>
            </w:r>
            <w:r>
              <w:rPr>
                <w:rFonts w:ascii="宋体" w:hAnsi="宋体" w:eastAsia="宋体" w:cs="宋体"/>
                <w:spacing w:val="9"/>
                <w:sz w:val="20"/>
                <w:szCs w:val="20"/>
              </w:rPr>
              <w:t>、</w:t>
            </w:r>
            <w:r>
              <w:rPr>
                <w:rFonts w:ascii="宋体" w:hAnsi="宋体" w:eastAsia="宋体" w:cs="宋体"/>
                <w:spacing w:val="7"/>
                <w:sz w:val="20"/>
                <w:szCs w:val="20"/>
              </w:rPr>
              <w:t>企业应建立废塑料回收和再生利用情况记录</w:t>
            </w:r>
            <w:r>
              <w:rPr>
                <w:rFonts w:ascii="宋体" w:hAnsi="宋体" w:eastAsia="宋体" w:cs="宋体"/>
                <w:sz w:val="20"/>
                <w:szCs w:val="20"/>
              </w:rPr>
              <w:t xml:space="preserve"> </w:t>
            </w:r>
            <w:r>
              <w:rPr>
                <w:rFonts w:ascii="宋体" w:hAnsi="宋体" w:eastAsia="宋体" w:cs="宋体"/>
                <w:spacing w:val="3"/>
                <w:sz w:val="20"/>
                <w:szCs w:val="20"/>
              </w:rPr>
              <w:t>制度</w:t>
            </w:r>
            <w:r>
              <w:rPr>
                <w:rFonts w:ascii="宋体" w:hAnsi="宋体" w:eastAsia="宋体" w:cs="宋体"/>
                <w:spacing w:val="2"/>
                <w:sz w:val="20"/>
                <w:szCs w:val="20"/>
              </w:rPr>
              <w:t>。</w:t>
            </w:r>
          </w:p>
          <w:p w14:paraId="74D9D51B">
            <w:pPr>
              <w:spacing w:before="26" w:line="264" w:lineRule="exact"/>
              <w:ind w:left="23"/>
              <w:rPr>
                <w:rFonts w:ascii="宋体" w:hAnsi="宋体" w:eastAsia="宋体" w:cs="宋体"/>
                <w:sz w:val="20"/>
                <w:szCs w:val="20"/>
              </w:rPr>
            </w:pPr>
            <w:r>
              <w:rPr>
                <w:rFonts w:ascii="Times New Roman" w:hAnsi="Times New Roman" w:eastAsia="Times New Roman" w:cs="Times New Roman"/>
                <w:spacing w:val="8"/>
                <w:position w:val="1"/>
                <w:sz w:val="20"/>
                <w:szCs w:val="20"/>
              </w:rPr>
              <w:t xml:space="preserve">4 </w:t>
            </w:r>
            <w:r>
              <w:rPr>
                <w:rFonts w:ascii="宋体" w:hAnsi="宋体" w:eastAsia="宋体" w:cs="宋体"/>
                <w:spacing w:val="5"/>
                <w:position w:val="1"/>
                <w:sz w:val="20"/>
                <w:szCs w:val="20"/>
              </w:rPr>
              <w:t>、</w:t>
            </w:r>
            <w:r>
              <w:rPr>
                <w:rFonts w:ascii="宋体" w:hAnsi="宋体" w:eastAsia="宋体" w:cs="宋体"/>
                <w:spacing w:val="4"/>
                <w:position w:val="1"/>
                <w:sz w:val="20"/>
                <w:szCs w:val="20"/>
              </w:rPr>
              <w:t>企业应建立环保监测制度。</w:t>
            </w:r>
          </w:p>
          <w:p w14:paraId="5FF4F63A">
            <w:pPr>
              <w:spacing w:before="8"/>
              <w:ind w:left="31" w:right="19" w:hanging="1"/>
              <w:rPr>
                <w:rFonts w:ascii="宋体" w:hAnsi="宋体" w:eastAsia="宋体" w:cs="宋体"/>
                <w:sz w:val="20"/>
                <w:szCs w:val="20"/>
              </w:rPr>
            </w:pPr>
            <w:r>
              <w:rPr>
                <w:rFonts w:ascii="Times New Roman" w:hAnsi="Times New Roman" w:eastAsia="Times New Roman" w:cs="Times New Roman"/>
                <w:spacing w:val="14"/>
                <w:sz w:val="20"/>
                <w:szCs w:val="20"/>
              </w:rPr>
              <w:t>5</w:t>
            </w:r>
            <w:r>
              <w:rPr>
                <w:rFonts w:ascii="宋体" w:hAnsi="宋体" w:eastAsia="宋体" w:cs="宋体"/>
                <w:spacing w:val="7"/>
                <w:sz w:val="20"/>
                <w:szCs w:val="20"/>
              </w:rPr>
              <w:t>、企业应建立污染预防机制和处理环境污染事</w:t>
            </w:r>
            <w:r>
              <w:rPr>
                <w:rFonts w:ascii="宋体" w:hAnsi="宋体" w:eastAsia="宋体" w:cs="宋体"/>
                <w:sz w:val="20"/>
                <w:szCs w:val="20"/>
              </w:rPr>
              <w:t xml:space="preserve"> </w:t>
            </w:r>
            <w:r>
              <w:rPr>
                <w:rFonts w:ascii="宋体" w:hAnsi="宋体" w:eastAsia="宋体" w:cs="宋体"/>
                <w:spacing w:val="10"/>
                <w:sz w:val="20"/>
                <w:szCs w:val="20"/>
              </w:rPr>
              <w:t>故</w:t>
            </w:r>
            <w:r>
              <w:rPr>
                <w:rFonts w:ascii="宋体" w:hAnsi="宋体" w:eastAsia="宋体" w:cs="宋体"/>
                <w:spacing w:val="6"/>
                <w:sz w:val="20"/>
                <w:szCs w:val="20"/>
              </w:rPr>
              <w:t>的应急预案。</w:t>
            </w:r>
          </w:p>
          <w:p w14:paraId="33FD7B0F">
            <w:pPr>
              <w:spacing w:before="24"/>
              <w:ind w:left="29" w:right="19"/>
              <w:rPr>
                <w:rFonts w:ascii="宋体" w:hAnsi="宋体" w:eastAsia="宋体" w:cs="宋体"/>
                <w:sz w:val="20"/>
                <w:szCs w:val="20"/>
              </w:rPr>
            </w:pPr>
            <w:r>
              <w:rPr>
                <w:rFonts w:ascii="Times New Roman" w:hAnsi="Times New Roman" w:eastAsia="Times New Roman" w:cs="Times New Roman"/>
                <w:spacing w:val="5"/>
                <w:sz w:val="20"/>
                <w:szCs w:val="20"/>
              </w:rPr>
              <w:t xml:space="preserve">6 </w:t>
            </w:r>
            <w:r>
              <w:rPr>
                <w:rFonts w:ascii="宋体" w:hAnsi="宋体" w:eastAsia="宋体" w:cs="宋体"/>
                <w:spacing w:val="5"/>
                <w:sz w:val="20"/>
                <w:szCs w:val="20"/>
              </w:rPr>
              <w:t>、企业应认真执行排污申报登记，按时缴纳</w:t>
            </w:r>
            <w:r>
              <w:rPr>
                <w:rFonts w:ascii="宋体" w:hAnsi="宋体" w:eastAsia="宋体" w:cs="宋体"/>
                <w:sz w:val="20"/>
                <w:szCs w:val="20"/>
              </w:rPr>
              <w:t xml:space="preserve">排 </w:t>
            </w:r>
            <w:r>
              <w:rPr>
                <w:rFonts w:ascii="宋体" w:hAnsi="宋体" w:eastAsia="宋体" w:cs="宋体"/>
                <w:spacing w:val="3"/>
                <w:sz w:val="20"/>
                <w:szCs w:val="20"/>
              </w:rPr>
              <w:t>污</w:t>
            </w:r>
            <w:r>
              <w:rPr>
                <w:rFonts w:ascii="宋体" w:hAnsi="宋体" w:eastAsia="宋体" w:cs="宋体"/>
                <w:spacing w:val="2"/>
                <w:sz w:val="20"/>
                <w:szCs w:val="20"/>
              </w:rPr>
              <w:t>费。</w:t>
            </w:r>
          </w:p>
        </w:tc>
        <w:tc>
          <w:tcPr>
            <w:tcW w:w="2980" w:type="dxa"/>
            <w:vAlign w:val="top"/>
          </w:tcPr>
          <w:p w14:paraId="302C0D09">
            <w:pPr>
              <w:spacing w:before="175" w:line="254" w:lineRule="auto"/>
              <w:ind w:left="28" w:right="9" w:firstLine="1"/>
              <w:rPr>
                <w:rFonts w:ascii="宋体" w:hAnsi="宋体" w:eastAsia="宋体" w:cs="宋体"/>
                <w:sz w:val="20"/>
                <w:szCs w:val="20"/>
              </w:rPr>
            </w:pPr>
            <w:r>
              <w:rPr>
                <w:rFonts w:ascii="宋体" w:hAnsi="宋体" w:eastAsia="宋体" w:cs="宋体"/>
                <w:spacing w:val="18"/>
                <w:sz w:val="20"/>
                <w:szCs w:val="20"/>
              </w:rPr>
              <w:t>本</w:t>
            </w:r>
            <w:r>
              <w:rPr>
                <w:rFonts w:ascii="宋体" w:hAnsi="宋体" w:eastAsia="宋体" w:cs="宋体"/>
                <w:spacing w:val="9"/>
                <w:sz w:val="20"/>
                <w:szCs w:val="20"/>
              </w:rPr>
              <w:t>次环评要求企业建立健全环保</w:t>
            </w:r>
            <w:r>
              <w:rPr>
                <w:rFonts w:ascii="宋体" w:hAnsi="宋体" w:eastAsia="宋体" w:cs="宋体"/>
                <w:sz w:val="20"/>
                <w:szCs w:val="20"/>
              </w:rPr>
              <w:t xml:space="preserve"> </w:t>
            </w:r>
            <w:r>
              <w:rPr>
                <w:rFonts w:ascii="宋体" w:hAnsi="宋体" w:eastAsia="宋体" w:cs="宋体"/>
                <w:spacing w:val="-7"/>
                <w:sz w:val="20"/>
                <w:szCs w:val="20"/>
              </w:rPr>
              <w:t>管</w:t>
            </w:r>
            <w:r>
              <w:rPr>
                <w:rFonts w:ascii="宋体" w:hAnsi="宋体" w:eastAsia="宋体" w:cs="宋体"/>
                <w:spacing w:val="-4"/>
                <w:sz w:val="20"/>
                <w:szCs w:val="20"/>
              </w:rPr>
              <w:t>理制度，厂区内设置环保专员负</w:t>
            </w:r>
            <w:r>
              <w:rPr>
                <w:rFonts w:ascii="宋体" w:hAnsi="宋体" w:eastAsia="宋体" w:cs="宋体"/>
                <w:sz w:val="20"/>
                <w:szCs w:val="20"/>
              </w:rPr>
              <w:t xml:space="preserve"> </w:t>
            </w:r>
            <w:r>
              <w:rPr>
                <w:rFonts w:ascii="宋体" w:hAnsi="宋体" w:eastAsia="宋体" w:cs="宋体"/>
                <w:spacing w:val="-7"/>
                <w:sz w:val="20"/>
                <w:szCs w:val="20"/>
              </w:rPr>
              <w:t>责</w:t>
            </w:r>
            <w:r>
              <w:rPr>
                <w:rFonts w:ascii="宋体" w:hAnsi="宋体" w:eastAsia="宋体" w:cs="宋体"/>
                <w:spacing w:val="-4"/>
                <w:sz w:val="20"/>
                <w:szCs w:val="20"/>
              </w:rPr>
              <w:t>厂区生产过程的环保工作；招收</w:t>
            </w:r>
            <w:r>
              <w:rPr>
                <w:rFonts w:ascii="宋体" w:hAnsi="宋体" w:eastAsia="宋体" w:cs="宋体"/>
                <w:sz w:val="20"/>
                <w:szCs w:val="20"/>
              </w:rPr>
              <w:t xml:space="preserve"> </w:t>
            </w:r>
            <w:r>
              <w:rPr>
                <w:rFonts w:ascii="宋体" w:hAnsi="宋体" w:eastAsia="宋体" w:cs="宋体"/>
                <w:spacing w:val="-7"/>
                <w:sz w:val="20"/>
                <w:szCs w:val="20"/>
              </w:rPr>
              <w:t>员</w:t>
            </w:r>
            <w:r>
              <w:rPr>
                <w:rFonts w:ascii="宋体" w:hAnsi="宋体" w:eastAsia="宋体" w:cs="宋体"/>
                <w:spacing w:val="-4"/>
                <w:sz w:val="20"/>
                <w:szCs w:val="20"/>
              </w:rPr>
              <w:t>工后对员工进行环保培训；由环</w:t>
            </w:r>
            <w:r>
              <w:rPr>
                <w:rFonts w:ascii="宋体" w:hAnsi="宋体" w:eastAsia="宋体" w:cs="宋体"/>
                <w:sz w:val="20"/>
                <w:szCs w:val="20"/>
              </w:rPr>
              <w:t xml:space="preserve"> </w:t>
            </w:r>
            <w:r>
              <w:rPr>
                <w:rFonts w:ascii="宋体" w:hAnsi="宋体" w:eastAsia="宋体" w:cs="宋体"/>
                <w:spacing w:val="-7"/>
                <w:sz w:val="20"/>
                <w:szCs w:val="20"/>
              </w:rPr>
              <w:t>保</w:t>
            </w:r>
            <w:r>
              <w:rPr>
                <w:rFonts w:ascii="宋体" w:hAnsi="宋体" w:eastAsia="宋体" w:cs="宋体"/>
                <w:spacing w:val="-4"/>
                <w:sz w:val="20"/>
                <w:szCs w:val="20"/>
              </w:rPr>
              <w:t>专员对生产过程进行记录；定期</w:t>
            </w:r>
            <w:r>
              <w:rPr>
                <w:rFonts w:ascii="宋体" w:hAnsi="宋体" w:eastAsia="宋体" w:cs="宋体"/>
                <w:sz w:val="20"/>
                <w:szCs w:val="20"/>
              </w:rPr>
              <w:t xml:space="preserve"> </w:t>
            </w:r>
            <w:r>
              <w:rPr>
                <w:rFonts w:ascii="宋体" w:hAnsi="宋体" w:eastAsia="宋体" w:cs="宋体"/>
                <w:spacing w:val="-7"/>
                <w:sz w:val="20"/>
                <w:szCs w:val="20"/>
              </w:rPr>
              <w:t>委</w:t>
            </w:r>
            <w:r>
              <w:rPr>
                <w:rFonts w:ascii="宋体" w:hAnsi="宋体" w:eastAsia="宋体" w:cs="宋体"/>
                <w:spacing w:val="-4"/>
                <w:sz w:val="20"/>
                <w:szCs w:val="20"/>
              </w:rPr>
              <w:t>托当地环保部门进行环保监测；</w:t>
            </w:r>
            <w:r>
              <w:rPr>
                <w:rFonts w:ascii="宋体" w:hAnsi="宋体" w:eastAsia="宋体" w:cs="宋体"/>
                <w:sz w:val="20"/>
                <w:szCs w:val="20"/>
              </w:rPr>
              <w:t xml:space="preserve"> </w:t>
            </w:r>
            <w:r>
              <w:rPr>
                <w:rFonts w:ascii="宋体" w:hAnsi="宋体" w:eastAsia="宋体" w:cs="宋体"/>
                <w:spacing w:val="10"/>
                <w:sz w:val="20"/>
                <w:szCs w:val="20"/>
              </w:rPr>
              <w:t>委托相关单位进行编制污染预</w:t>
            </w:r>
            <w:r>
              <w:rPr>
                <w:rFonts w:ascii="宋体" w:hAnsi="宋体" w:eastAsia="宋体" w:cs="宋体"/>
                <w:spacing w:val="7"/>
                <w:sz w:val="20"/>
                <w:szCs w:val="20"/>
              </w:rPr>
              <w:t>防</w:t>
            </w:r>
            <w:r>
              <w:rPr>
                <w:rFonts w:ascii="宋体" w:hAnsi="宋体" w:eastAsia="宋体" w:cs="宋体"/>
                <w:sz w:val="20"/>
                <w:szCs w:val="20"/>
              </w:rPr>
              <w:t xml:space="preserve"> </w:t>
            </w:r>
            <w:r>
              <w:rPr>
                <w:rFonts w:ascii="宋体" w:hAnsi="宋体" w:eastAsia="宋体" w:cs="宋体"/>
                <w:spacing w:val="10"/>
                <w:sz w:val="20"/>
                <w:szCs w:val="20"/>
              </w:rPr>
              <w:t>机制和处理环境污染事故的应</w:t>
            </w:r>
            <w:r>
              <w:rPr>
                <w:rFonts w:ascii="宋体" w:hAnsi="宋体" w:eastAsia="宋体" w:cs="宋体"/>
                <w:spacing w:val="7"/>
                <w:sz w:val="20"/>
                <w:szCs w:val="20"/>
              </w:rPr>
              <w:t>急</w:t>
            </w:r>
            <w:r>
              <w:rPr>
                <w:rFonts w:ascii="宋体" w:hAnsi="宋体" w:eastAsia="宋体" w:cs="宋体"/>
                <w:sz w:val="20"/>
                <w:szCs w:val="20"/>
              </w:rPr>
              <w:t xml:space="preserve"> </w:t>
            </w:r>
            <w:r>
              <w:rPr>
                <w:rFonts w:ascii="宋体" w:hAnsi="宋体" w:eastAsia="宋体" w:cs="宋体"/>
                <w:spacing w:val="-7"/>
                <w:sz w:val="20"/>
                <w:szCs w:val="20"/>
              </w:rPr>
              <w:t>预</w:t>
            </w:r>
            <w:r>
              <w:rPr>
                <w:rFonts w:ascii="宋体" w:hAnsi="宋体" w:eastAsia="宋体" w:cs="宋体"/>
                <w:spacing w:val="-4"/>
                <w:sz w:val="20"/>
                <w:szCs w:val="20"/>
              </w:rPr>
              <w:t>案；按当地环保部门要求进行排</w:t>
            </w:r>
            <w:r>
              <w:rPr>
                <w:rFonts w:ascii="宋体" w:hAnsi="宋体" w:eastAsia="宋体" w:cs="宋体"/>
                <w:sz w:val="20"/>
                <w:szCs w:val="20"/>
              </w:rPr>
              <w:t xml:space="preserve"> </w:t>
            </w:r>
            <w:r>
              <w:rPr>
                <w:rFonts w:ascii="宋体" w:hAnsi="宋体" w:eastAsia="宋体" w:cs="宋体"/>
                <w:spacing w:val="-2"/>
                <w:sz w:val="20"/>
                <w:szCs w:val="20"/>
              </w:rPr>
              <w:t>污申报登记，按时缴</w:t>
            </w:r>
            <w:r>
              <w:rPr>
                <w:rFonts w:ascii="宋体" w:hAnsi="宋体" w:eastAsia="宋体" w:cs="宋体"/>
                <w:spacing w:val="-1"/>
                <w:sz w:val="20"/>
                <w:szCs w:val="20"/>
              </w:rPr>
              <w:t>纳排污费。</w:t>
            </w:r>
          </w:p>
        </w:tc>
        <w:tc>
          <w:tcPr>
            <w:tcW w:w="679" w:type="dxa"/>
            <w:tcBorders>
              <w:right w:val="nil"/>
            </w:tcBorders>
            <w:vAlign w:val="top"/>
          </w:tcPr>
          <w:p w14:paraId="3F67CBFD">
            <w:pPr>
              <w:spacing w:line="264" w:lineRule="auto"/>
              <w:rPr>
                <w:rFonts w:ascii="Arial"/>
                <w:sz w:val="21"/>
              </w:rPr>
            </w:pPr>
          </w:p>
          <w:p w14:paraId="2F621B87">
            <w:pPr>
              <w:spacing w:line="264" w:lineRule="auto"/>
              <w:rPr>
                <w:rFonts w:ascii="Arial"/>
                <w:sz w:val="21"/>
              </w:rPr>
            </w:pPr>
          </w:p>
          <w:p w14:paraId="0AE91007">
            <w:pPr>
              <w:spacing w:line="265" w:lineRule="auto"/>
              <w:rPr>
                <w:rFonts w:ascii="Arial"/>
                <w:sz w:val="21"/>
              </w:rPr>
            </w:pPr>
          </w:p>
          <w:p w14:paraId="3C8B86BD">
            <w:pPr>
              <w:spacing w:line="265" w:lineRule="auto"/>
              <w:rPr>
                <w:rFonts w:ascii="Arial"/>
                <w:sz w:val="21"/>
              </w:rPr>
            </w:pPr>
          </w:p>
          <w:p w14:paraId="74D8F8BA">
            <w:pPr>
              <w:spacing w:line="265" w:lineRule="auto"/>
              <w:rPr>
                <w:rFonts w:ascii="Arial"/>
                <w:sz w:val="21"/>
              </w:rPr>
            </w:pPr>
          </w:p>
          <w:p w14:paraId="732EDF4B">
            <w:pPr>
              <w:spacing w:before="65" w:line="228" w:lineRule="auto"/>
              <w:ind w:left="137"/>
              <w:rPr>
                <w:rFonts w:ascii="宋体" w:hAnsi="宋体" w:eastAsia="宋体" w:cs="宋体"/>
                <w:sz w:val="20"/>
                <w:szCs w:val="20"/>
              </w:rPr>
            </w:pPr>
            <w:r>
              <w:rPr>
                <w:rFonts w:ascii="宋体" w:hAnsi="宋体" w:eastAsia="宋体" w:cs="宋体"/>
                <w:spacing w:val="4"/>
                <w:sz w:val="20"/>
                <w:szCs w:val="20"/>
              </w:rPr>
              <w:t>符</w:t>
            </w:r>
            <w:r>
              <w:rPr>
                <w:rFonts w:ascii="宋体" w:hAnsi="宋体" w:eastAsia="宋体" w:cs="宋体"/>
                <w:spacing w:val="3"/>
                <w:sz w:val="20"/>
                <w:szCs w:val="20"/>
              </w:rPr>
              <w:t>合</w:t>
            </w:r>
          </w:p>
        </w:tc>
      </w:tr>
    </w:tbl>
    <w:p w14:paraId="427D080B">
      <w:pPr>
        <w:spacing w:line="258" w:lineRule="auto"/>
        <w:rPr>
          <w:rFonts w:ascii="Arial"/>
          <w:sz w:val="21"/>
        </w:rPr>
      </w:pPr>
    </w:p>
    <w:p w14:paraId="3E1012E3">
      <w:pPr>
        <w:spacing w:before="74" w:line="394" w:lineRule="auto"/>
        <w:ind w:left="43" w:right="86" w:firstLine="497"/>
        <w:rPr>
          <w:rFonts w:ascii="宋体" w:hAnsi="宋体" w:eastAsia="宋体" w:cs="宋体"/>
          <w:sz w:val="23"/>
          <w:szCs w:val="23"/>
        </w:rPr>
      </w:pPr>
      <w:r>
        <w:rPr>
          <w:rFonts w:ascii="宋体" w:hAnsi="宋体" w:eastAsia="宋体" w:cs="宋体"/>
          <w:spacing w:val="4"/>
          <w:sz w:val="23"/>
          <w:szCs w:val="23"/>
        </w:rPr>
        <w:t>由</w:t>
      </w:r>
      <w:r>
        <w:rPr>
          <w:rFonts w:ascii="宋体" w:hAnsi="宋体" w:eastAsia="宋体" w:cs="宋体"/>
          <w:spacing w:val="3"/>
          <w:sz w:val="23"/>
          <w:szCs w:val="23"/>
        </w:rPr>
        <w:t>上</w:t>
      </w:r>
      <w:r>
        <w:rPr>
          <w:rFonts w:ascii="宋体" w:hAnsi="宋体" w:eastAsia="宋体" w:cs="宋体"/>
          <w:spacing w:val="2"/>
          <w:sz w:val="23"/>
          <w:szCs w:val="23"/>
        </w:rPr>
        <w:t>表可知，本项目符合《废塑料回收与再生利用污染控制技术规范(试行)》</w:t>
      </w:r>
      <w:r>
        <w:rPr>
          <w:rFonts w:ascii="宋体" w:hAnsi="宋体" w:eastAsia="宋体" w:cs="宋体"/>
          <w:sz w:val="23"/>
          <w:szCs w:val="23"/>
        </w:rPr>
        <w:t xml:space="preserve"> </w:t>
      </w:r>
      <w:r>
        <w:rPr>
          <w:rFonts w:ascii="宋体" w:hAnsi="宋体" w:eastAsia="宋体" w:cs="宋体"/>
          <w:spacing w:val="12"/>
          <w:sz w:val="23"/>
          <w:szCs w:val="23"/>
        </w:rPr>
        <w:t>(</w:t>
      </w:r>
      <w:r>
        <w:rPr>
          <w:rFonts w:ascii="Times New Roman" w:hAnsi="Times New Roman" w:eastAsia="Times New Roman" w:cs="Times New Roman"/>
          <w:sz w:val="23"/>
          <w:szCs w:val="23"/>
        </w:rPr>
        <w:t>HJ</w:t>
      </w:r>
      <w:r>
        <w:rPr>
          <w:rFonts w:ascii="Times New Roman" w:hAnsi="Times New Roman" w:eastAsia="Times New Roman" w:cs="Times New Roman"/>
          <w:spacing w:val="12"/>
          <w:sz w:val="23"/>
          <w:szCs w:val="23"/>
        </w:rPr>
        <w:t>/364-2007</w:t>
      </w:r>
      <w:r>
        <w:rPr>
          <w:rFonts w:ascii="宋体" w:hAnsi="宋体" w:eastAsia="宋体" w:cs="宋体"/>
          <w:spacing w:val="12"/>
          <w:sz w:val="23"/>
          <w:szCs w:val="23"/>
        </w:rPr>
        <w:t>) 中的相关要求</w:t>
      </w:r>
      <w:r>
        <w:rPr>
          <w:rFonts w:ascii="宋体" w:hAnsi="宋体" w:eastAsia="宋体" w:cs="宋体"/>
          <w:spacing w:val="9"/>
          <w:sz w:val="23"/>
          <w:szCs w:val="23"/>
        </w:rPr>
        <w:t>。</w:t>
      </w:r>
    </w:p>
    <w:p w14:paraId="63A81BFE">
      <w:pPr>
        <w:sectPr>
          <w:headerReference r:id="rId20" w:type="default"/>
          <w:footerReference r:id="rId21" w:type="default"/>
          <w:pgSz w:w="11906" w:h="16839"/>
          <w:pgMar w:top="1132" w:right="1606" w:bottom="897" w:left="1777" w:header="878" w:footer="739" w:gutter="0"/>
          <w:cols w:space="720" w:num="1"/>
        </w:sectPr>
      </w:pPr>
    </w:p>
    <w:p w14:paraId="1F0412E3">
      <w:pPr>
        <w:spacing w:line="357" w:lineRule="auto"/>
        <w:rPr>
          <w:rFonts w:ascii="Arial"/>
          <w:sz w:val="21"/>
        </w:rPr>
      </w:pPr>
      <w:r>
        <w:pict>
          <v:shape id="_x0000_s1037" o:spid="_x0000_s1037" style="position:absolute;left:0pt;margin-left:90pt;margin-top:57.35pt;height:0.75pt;width:415.3pt;mso-position-horizontal-relative:page;mso-position-vertical-relative:page;z-index:251675648;mso-width-relative:page;mso-height-relative:page;" fillcolor="#000000" filled="t" stroked="f" coordsize="8305,15" o:allowincell="f" path="m0,0l8305,0,8305,14,0,14,0,0xe">
            <v:path/>
            <v:fill on="t" focussize="0,0"/>
            <v:stroke on="f"/>
            <v:imagedata o:title=""/>
            <o:lock v:ext="edit"/>
          </v:shape>
        </w:pict>
      </w:r>
    </w:p>
    <w:p w14:paraId="6E3BEAFE">
      <w:pPr>
        <w:spacing w:before="91" w:line="222" w:lineRule="auto"/>
        <w:ind w:left="69"/>
        <w:outlineLvl w:val="3"/>
        <w:rPr>
          <w:rFonts w:ascii="宋体" w:hAnsi="宋体" w:eastAsia="宋体" w:cs="宋体"/>
          <w:sz w:val="28"/>
          <w:szCs w:val="28"/>
        </w:rPr>
      </w:pPr>
      <w:r>
        <w:rPr>
          <w:rFonts w:ascii="Times New Roman" w:hAnsi="Times New Roman" w:eastAsia="Times New Roman" w:cs="Times New Roman"/>
          <w:b/>
          <w:bCs/>
          <w:spacing w:val="16"/>
          <w:sz w:val="28"/>
          <w:szCs w:val="28"/>
        </w:rPr>
        <w:t>1</w:t>
      </w:r>
      <w:r>
        <w:rPr>
          <w:rFonts w:ascii="Times New Roman" w:hAnsi="Times New Roman" w:eastAsia="Times New Roman" w:cs="Times New Roman"/>
          <w:b/>
          <w:bCs/>
          <w:spacing w:val="10"/>
          <w:sz w:val="28"/>
          <w:szCs w:val="28"/>
        </w:rPr>
        <w:t>.4.2.3</w:t>
      </w:r>
      <w:r>
        <w:rPr>
          <w:rFonts w:ascii="Times New Roman" w:hAnsi="Times New Roman" w:eastAsia="Times New Roman" w:cs="Times New Roman"/>
          <w:spacing w:val="10"/>
          <w:sz w:val="28"/>
          <w:szCs w:val="28"/>
        </w:rPr>
        <w:t xml:space="preserve"> </w:t>
      </w:r>
      <w:r>
        <w:rPr>
          <w:rFonts w:ascii="宋体" w:hAnsi="宋体" w:eastAsia="宋体" w:cs="宋体"/>
          <w:spacing w:val="10"/>
          <w:sz w:val="28"/>
          <w:szCs w:val="28"/>
          <w14:textOutline w14:w="5103" w14:cap="sq" w14:cmpd="sng">
            <w14:solidFill>
              <w14:srgbClr w14:val="000000"/>
            </w14:solidFill>
            <w14:prstDash w14:val="solid"/>
            <w14:bevel/>
          </w14:textOutline>
        </w:rPr>
        <w:t>与《废塑料加工利用污染防治管理规定》相符性分析</w:t>
      </w:r>
    </w:p>
    <w:p w14:paraId="0BAD1C89">
      <w:pPr>
        <w:spacing w:line="259" w:lineRule="auto"/>
        <w:rPr>
          <w:rFonts w:ascii="Arial"/>
          <w:sz w:val="21"/>
        </w:rPr>
      </w:pPr>
    </w:p>
    <w:p w14:paraId="17176806">
      <w:pPr>
        <w:spacing w:before="75" w:line="390" w:lineRule="auto"/>
        <w:ind w:left="63" w:right="103" w:firstLine="477"/>
        <w:rPr>
          <w:rFonts w:ascii="宋体" w:hAnsi="宋体" w:eastAsia="宋体" w:cs="宋体"/>
          <w:sz w:val="23"/>
          <w:szCs w:val="23"/>
        </w:rPr>
      </w:pPr>
      <w:r>
        <w:rPr>
          <w:rFonts w:ascii="宋体" w:hAnsi="宋体" w:eastAsia="宋体" w:cs="宋体"/>
          <w:spacing w:val="8"/>
          <w:sz w:val="23"/>
          <w:szCs w:val="23"/>
        </w:rPr>
        <w:t xml:space="preserve">环保部、发改委、商务部 </w:t>
      </w:r>
      <w:r>
        <w:rPr>
          <w:rFonts w:ascii="Times New Roman" w:hAnsi="Times New Roman" w:eastAsia="Times New Roman" w:cs="Times New Roman"/>
          <w:spacing w:val="8"/>
          <w:sz w:val="23"/>
          <w:szCs w:val="23"/>
        </w:rPr>
        <w:t xml:space="preserve">2012 </w:t>
      </w:r>
      <w:r>
        <w:rPr>
          <w:rFonts w:ascii="宋体" w:hAnsi="宋体" w:eastAsia="宋体" w:cs="宋体"/>
          <w:spacing w:val="8"/>
          <w:sz w:val="23"/>
          <w:szCs w:val="23"/>
        </w:rPr>
        <w:t>年联合制定了《废塑料加工利用污染防治</w:t>
      </w:r>
      <w:r>
        <w:rPr>
          <w:rFonts w:ascii="宋体" w:hAnsi="宋体" w:eastAsia="宋体" w:cs="宋体"/>
          <w:spacing w:val="2"/>
          <w:sz w:val="23"/>
          <w:szCs w:val="23"/>
        </w:rPr>
        <w:t>管</w:t>
      </w:r>
      <w:r>
        <w:rPr>
          <w:rFonts w:ascii="宋体" w:hAnsi="宋体" w:eastAsia="宋体" w:cs="宋体"/>
          <w:sz w:val="23"/>
          <w:szCs w:val="23"/>
        </w:rPr>
        <w:t xml:space="preserve"> </w:t>
      </w:r>
      <w:r>
        <w:rPr>
          <w:rFonts w:ascii="宋体" w:hAnsi="宋体" w:eastAsia="宋体" w:cs="宋体"/>
          <w:spacing w:val="2"/>
          <w:sz w:val="23"/>
          <w:szCs w:val="23"/>
        </w:rPr>
        <w:t>理规定》 (</w:t>
      </w:r>
      <w:r>
        <w:rPr>
          <w:rFonts w:ascii="Times New Roman" w:hAnsi="Times New Roman" w:eastAsia="Times New Roman" w:cs="Times New Roman"/>
          <w:spacing w:val="2"/>
          <w:sz w:val="23"/>
          <w:szCs w:val="23"/>
        </w:rPr>
        <w:t xml:space="preserve">2012 </w:t>
      </w:r>
      <w:r>
        <w:rPr>
          <w:rFonts w:ascii="宋体" w:hAnsi="宋体" w:eastAsia="宋体" w:cs="宋体"/>
          <w:spacing w:val="2"/>
          <w:sz w:val="23"/>
          <w:szCs w:val="23"/>
        </w:rPr>
        <w:t xml:space="preserve">年第 </w:t>
      </w:r>
      <w:r>
        <w:rPr>
          <w:rFonts w:ascii="Times New Roman" w:hAnsi="Times New Roman" w:eastAsia="Times New Roman" w:cs="Times New Roman"/>
          <w:spacing w:val="2"/>
          <w:sz w:val="23"/>
          <w:szCs w:val="23"/>
        </w:rPr>
        <w:t xml:space="preserve">55 </w:t>
      </w:r>
      <w:r>
        <w:rPr>
          <w:rFonts w:ascii="宋体" w:hAnsi="宋体" w:eastAsia="宋体" w:cs="宋体"/>
          <w:spacing w:val="2"/>
          <w:sz w:val="23"/>
          <w:szCs w:val="23"/>
        </w:rPr>
        <w:t>号) ，该规定对废旧塑料加工利</w:t>
      </w:r>
      <w:r>
        <w:rPr>
          <w:rFonts w:ascii="宋体" w:hAnsi="宋体" w:eastAsia="宋体" w:cs="宋体"/>
          <w:spacing w:val="1"/>
          <w:sz w:val="23"/>
          <w:szCs w:val="23"/>
        </w:rPr>
        <w:t>用过程进行了相关规定，</w:t>
      </w:r>
      <w:r>
        <w:rPr>
          <w:rFonts w:ascii="宋体" w:hAnsi="宋体" w:eastAsia="宋体" w:cs="宋体"/>
          <w:sz w:val="23"/>
          <w:szCs w:val="23"/>
        </w:rPr>
        <w:t xml:space="preserve"> </w:t>
      </w:r>
      <w:r>
        <w:rPr>
          <w:rFonts w:ascii="宋体" w:hAnsi="宋体" w:eastAsia="宋体" w:cs="宋体"/>
          <w:spacing w:val="13"/>
          <w:sz w:val="23"/>
          <w:szCs w:val="23"/>
        </w:rPr>
        <w:t>该</w:t>
      </w:r>
      <w:r>
        <w:rPr>
          <w:rFonts w:ascii="宋体" w:hAnsi="宋体" w:eastAsia="宋体" w:cs="宋体"/>
          <w:spacing w:val="8"/>
          <w:sz w:val="23"/>
          <w:szCs w:val="23"/>
        </w:rPr>
        <w:t>项目与其符合性分析见下表。</w:t>
      </w:r>
    </w:p>
    <w:p w14:paraId="4AB0E0C2">
      <w:pPr>
        <w:spacing w:before="136" w:line="227" w:lineRule="auto"/>
        <w:ind w:left="1141"/>
        <w:rPr>
          <w:rFonts w:ascii="宋体" w:hAnsi="宋体" w:eastAsia="宋体" w:cs="宋体"/>
          <w:sz w:val="23"/>
          <w:szCs w:val="23"/>
        </w:rPr>
      </w:pPr>
      <w:r>
        <w:rPr>
          <w:rFonts w:ascii="宋体" w:hAnsi="宋体" w:eastAsia="宋体" w:cs="宋体"/>
          <w:spacing w:val="12"/>
          <w:sz w:val="23"/>
          <w:szCs w:val="23"/>
          <w14:textOutline w14:w="4358" w14:cap="sq" w14:cmpd="sng">
            <w14:solidFill>
              <w14:srgbClr w14:val="000000"/>
            </w14:solidFill>
            <w14:prstDash w14:val="solid"/>
            <w14:bevel/>
          </w14:textOutline>
        </w:rPr>
        <w:t>表</w:t>
      </w:r>
      <w:r>
        <w:rPr>
          <w:rFonts w:ascii="宋体" w:hAnsi="宋体" w:eastAsia="宋体" w:cs="宋体"/>
          <w:spacing w:val="6"/>
          <w:sz w:val="23"/>
          <w:szCs w:val="23"/>
        </w:rPr>
        <w:t xml:space="preserve"> </w:t>
      </w:r>
      <w:r>
        <w:rPr>
          <w:rFonts w:ascii="Times New Roman" w:hAnsi="Times New Roman" w:eastAsia="Times New Roman" w:cs="Times New Roman"/>
          <w:b/>
          <w:bCs/>
          <w:spacing w:val="6"/>
          <w:sz w:val="23"/>
          <w:szCs w:val="23"/>
        </w:rPr>
        <w:t>1-3</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14:textOutline w14:w="4358" w14:cap="sq" w14:cmpd="sng">
            <w14:solidFill>
              <w14:srgbClr w14:val="000000"/>
            </w14:solidFill>
            <w14:prstDash w14:val="solid"/>
            <w14:bevel/>
          </w14:textOutline>
        </w:rPr>
        <w:t>项目与废塑料加工利用污染防治管理规定符合性</w:t>
      </w:r>
    </w:p>
    <w:p w14:paraId="3822B3D9">
      <w:pPr>
        <w:spacing w:line="18" w:lineRule="exact"/>
      </w:pPr>
    </w:p>
    <w:tbl>
      <w:tblPr>
        <w:tblStyle w:val="4"/>
        <w:tblW w:w="852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56"/>
        <w:gridCol w:w="3210"/>
        <w:gridCol w:w="755"/>
      </w:tblGrid>
      <w:tr w14:paraId="60FC5A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4556" w:type="dxa"/>
            <w:tcBorders>
              <w:left w:val="nil"/>
            </w:tcBorders>
            <w:vAlign w:val="top"/>
          </w:tcPr>
          <w:p w14:paraId="5A2A2958">
            <w:pPr>
              <w:spacing w:before="92" w:line="228" w:lineRule="auto"/>
              <w:ind w:left="1871"/>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管</w:t>
            </w:r>
            <w:r>
              <w:rPr>
                <w:rFonts w:ascii="宋体" w:hAnsi="宋体" w:eastAsia="宋体" w:cs="宋体"/>
                <w:spacing w:val="7"/>
                <w:sz w:val="20"/>
                <w:szCs w:val="20"/>
                <w14:textOutline w14:w="3795" w14:cap="sq" w14:cmpd="sng">
                  <w14:solidFill>
                    <w14:srgbClr w14:val="000000"/>
                  </w14:solidFill>
                  <w14:prstDash w14:val="solid"/>
                  <w14:bevel/>
                </w14:textOutline>
              </w:rPr>
              <w:t>理规定</w:t>
            </w:r>
          </w:p>
        </w:tc>
        <w:tc>
          <w:tcPr>
            <w:tcW w:w="3210" w:type="dxa"/>
            <w:vAlign w:val="top"/>
          </w:tcPr>
          <w:p w14:paraId="12BADBE9">
            <w:pPr>
              <w:spacing w:before="92" w:line="227" w:lineRule="auto"/>
              <w:ind w:left="1086"/>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本</w:t>
            </w:r>
            <w:r>
              <w:rPr>
                <w:rFonts w:ascii="宋体" w:hAnsi="宋体" w:eastAsia="宋体" w:cs="宋体"/>
                <w:spacing w:val="8"/>
                <w:sz w:val="20"/>
                <w:szCs w:val="20"/>
                <w14:textOutline w14:w="3795" w14:cap="sq" w14:cmpd="sng">
                  <w14:solidFill>
                    <w14:srgbClr w14:val="000000"/>
                  </w14:solidFill>
                  <w14:prstDash w14:val="solid"/>
                  <w14:bevel/>
                </w14:textOutline>
              </w:rPr>
              <w:t>项目情况</w:t>
            </w:r>
          </w:p>
        </w:tc>
        <w:tc>
          <w:tcPr>
            <w:tcW w:w="755" w:type="dxa"/>
            <w:tcBorders>
              <w:right w:val="nil"/>
            </w:tcBorders>
            <w:vAlign w:val="top"/>
          </w:tcPr>
          <w:p w14:paraId="2284EEC6">
            <w:pPr>
              <w:spacing w:before="92" w:line="228" w:lineRule="auto"/>
              <w:ind w:left="70"/>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符合性</w:t>
            </w:r>
          </w:p>
        </w:tc>
      </w:tr>
      <w:tr w14:paraId="13F536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4" w:hRule="atLeast"/>
        </w:trPr>
        <w:tc>
          <w:tcPr>
            <w:tcW w:w="4556" w:type="dxa"/>
            <w:tcBorders>
              <w:left w:val="nil"/>
            </w:tcBorders>
            <w:vAlign w:val="top"/>
          </w:tcPr>
          <w:p w14:paraId="671C998C">
            <w:pPr>
              <w:spacing w:line="311" w:lineRule="auto"/>
              <w:rPr>
                <w:rFonts w:ascii="Arial"/>
                <w:sz w:val="21"/>
              </w:rPr>
            </w:pPr>
          </w:p>
          <w:p w14:paraId="5A5CA291">
            <w:pPr>
              <w:spacing w:before="65" w:line="228" w:lineRule="auto"/>
              <w:ind w:left="59"/>
              <w:rPr>
                <w:rFonts w:ascii="宋体" w:hAnsi="宋体" w:eastAsia="宋体" w:cs="宋体"/>
                <w:sz w:val="20"/>
                <w:szCs w:val="20"/>
              </w:rPr>
            </w:pPr>
            <w:r>
              <w:rPr>
                <w:rFonts w:ascii="宋体" w:hAnsi="宋体" w:eastAsia="宋体" w:cs="宋体"/>
                <w:spacing w:val="16"/>
                <w:sz w:val="20"/>
                <w:szCs w:val="20"/>
              </w:rPr>
              <w:t>禁</w:t>
            </w:r>
            <w:r>
              <w:rPr>
                <w:rFonts w:ascii="宋体" w:hAnsi="宋体" w:eastAsia="宋体" w:cs="宋体"/>
                <w:spacing w:val="8"/>
                <w:sz w:val="20"/>
                <w:szCs w:val="20"/>
              </w:rPr>
              <w:t>止在居民区加工利用废塑料。</w:t>
            </w:r>
          </w:p>
        </w:tc>
        <w:tc>
          <w:tcPr>
            <w:tcW w:w="3210" w:type="dxa"/>
            <w:vAlign w:val="top"/>
          </w:tcPr>
          <w:p w14:paraId="483095AC">
            <w:pPr>
              <w:spacing w:before="69" w:line="266" w:lineRule="auto"/>
              <w:ind w:left="55" w:right="49" w:firstLine="3"/>
              <w:rPr>
                <w:rFonts w:ascii="宋体" w:hAnsi="宋体" w:eastAsia="宋体" w:cs="宋体"/>
                <w:sz w:val="20"/>
                <w:szCs w:val="20"/>
              </w:rPr>
            </w:pPr>
            <w:r>
              <w:rPr>
                <w:rFonts w:ascii="宋体" w:hAnsi="宋体" w:eastAsia="宋体" w:cs="宋体"/>
                <w:spacing w:val="21"/>
                <w:sz w:val="20"/>
                <w:szCs w:val="20"/>
              </w:rPr>
              <w:t>项目选址位于本溪市溪湖区火连</w:t>
            </w:r>
            <w:r>
              <w:rPr>
                <w:rFonts w:ascii="宋体" w:hAnsi="宋体" w:eastAsia="宋体" w:cs="宋体"/>
                <w:sz w:val="20"/>
                <w:szCs w:val="20"/>
              </w:rPr>
              <w:t xml:space="preserve"> </w:t>
            </w:r>
            <w:r>
              <w:rPr>
                <w:rFonts w:ascii="宋体" w:hAnsi="宋体" w:eastAsia="宋体" w:cs="宋体"/>
                <w:spacing w:val="12"/>
                <w:sz w:val="20"/>
                <w:szCs w:val="20"/>
              </w:rPr>
              <w:t>寨</w:t>
            </w:r>
            <w:r>
              <w:rPr>
                <w:rFonts w:ascii="宋体" w:hAnsi="宋体" w:eastAsia="宋体" w:cs="宋体"/>
                <w:spacing w:val="10"/>
                <w:sz w:val="20"/>
                <w:szCs w:val="20"/>
              </w:rPr>
              <w:t>镇</w:t>
            </w:r>
            <w:r>
              <w:rPr>
                <w:rFonts w:ascii="宋体" w:hAnsi="宋体" w:eastAsia="宋体" w:cs="宋体"/>
                <w:spacing w:val="6"/>
                <w:sz w:val="20"/>
                <w:szCs w:val="20"/>
              </w:rPr>
              <w:t>火连寨村内，周边均为工业厂</w:t>
            </w:r>
            <w:r>
              <w:rPr>
                <w:rFonts w:ascii="宋体" w:hAnsi="宋体" w:eastAsia="宋体" w:cs="宋体"/>
                <w:sz w:val="20"/>
                <w:szCs w:val="20"/>
              </w:rPr>
              <w:t xml:space="preserve"> </w:t>
            </w:r>
            <w:r>
              <w:rPr>
                <w:rFonts w:ascii="宋体" w:hAnsi="宋体" w:eastAsia="宋体" w:cs="宋体"/>
                <w:spacing w:val="5"/>
                <w:sz w:val="20"/>
                <w:szCs w:val="20"/>
              </w:rPr>
              <w:t xml:space="preserve">房，最近居民点距离项目 </w:t>
            </w:r>
            <w:r>
              <w:rPr>
                <w:rFonts w:ascii="Times New Roman" w:hAnsi="Times New Roman" w:eastAsia="Times New Roman" w:cs="Times New Roman"/>
                <w:spacing w:val="5"/>
                <w:sz w:val="20"/>
                <w:szCs w:val="20"/>
              </w:rPr>
              <w:t>330</w:t>
            </w:r>
            <w:r>
              <w:rPr>
                <w:rFonts w:ascii="Times New Roman" w:hAnsi="Times New Roman" w:eastAsia="Times New Roman" w:cs="Times New Roman"/>
                <w:sz w:val="20"/>
                <w:szCs w:val="20"/>
              </w:rPr>
              <w:t>m</w:t>
            </w:r>
            <w:r>
              <w:rPr>
                <w:rFonts w:ascii="宋体" w:hAnsi="宋体" w:eastAsia="宋体" w:cs="宋体"/>
                <w:spacing w:val="2"/>
                <w:sz w:val="20"/>
                <w:szCs w:val="20"/>
              </w:rPr>
              <w:t>。</w:t>
            </w:r>
          </w:p>
        </w:tc>
        <w:tc>
          <w:tcPr>
            <w:tcW w:w="755" w:type="dxa"/>
            <w:tcBorders>
              <w:right w:val="nil"/>
            </w:tcBorders>
            <w:vAlign w:val="top"/>
          </w:tcPr>
          <w:p w14:paraId="2C0E4E8C">
            <w:pPr>
              <w:spacing w:line="311" w:lineRule="auto"/>
              <w:rPr>
                <w:rFonts w:ascii="Arial"/>
                <w:sz w:val="21"/>
              </w:rPr>
            </w:pPr>
          </w:p>
          <w:p w14:paraId="55F16B04">
            <w:pPr>
              <w:spacing w:before="65" w:line="228" w:lineRule="auto"/>
              <w:ind w:left="176"/>
              <w:rPr>
                <w:rFonts w:ascii="宋体" w:hAnsi="宋体" w:eastAsia="宋体" w:cs="宋体"/>
                <w:sz w:val="20"/>
                <w:szCs w:val="20"/>
              </w:rPr>
            </w:pPr>
            <w:r>
              <w:rPr>
                <w:rFonts w:ascii="宋体" w:hAnsi="宋体" w:eastAsia="宋体" w:cs="宋体"/>
                <w:spacing w:val="4"/>
                <w:sz w:val="20"/>
                <w:szCs w:val="20"/>
              </w:rPr>
              <w:t>符</w:t>
            </w:r>
            <w:r>
              <w:rPr>
                <w:rFonts w:ascii="宋体" w:hAnsi="宋体" w:eastAsia="宋体" w:cs="宋体"/>
                <w:spacing w:val="3"/>
                <w:sz w:val="20"/>
                <w:szCs w:val="20"/>
              </w:rPr>
              <w:t>合</w:t>
            </w:r>
          </w:p>
        </w:tc>
      </w:tr>
      <w:tr w14:paraId="5EAC0D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4556" w:type="dxa"/>
            <w:tcBorders>
              <w:left w:val="nil"/>
            </w:tcBorders>
            <w:vAlign w:val="top"/>
          </w:tcPr>
          <w:p w14:paraId="56A31C55">
            <w:pPr>
              <w:spacing w:before="224" w:line="228" w:lineRule="auto"/>
              <w:ind w:left="59"/>
              <w:rPr>
                <w:rFonts w:ascii="宋体" w:hAnsi="宋体" w:eastAsia="宋体" w:cs="宋体"/>
                <w:sz w:val="20"/>
                <w:szCs w:val="20"/>
              </w:rPr>
            </w:pPr>
            <w:r>
              <w:rPr>
                <w:rFonts w:ascii="宋体" w:hAnsi="宋体" w:eastAsia="宋体" w:cs="宋体"/>
                <w:spacing w:val="16"/>
                <w:sz w:val="20"/>
                <w:szCs w:val="20"/>
              </w:rPr>
              <w:t>禁</w:t>
            </w:r>
            <w:r>
              <w:rPr>
                <w:rFonts w:ascii="宋体" w:hAnsi="宋体" w:eastAsia="宋体" w:cs="宋体"/>
                <w:spacing w:val="12"/>
                <w:sz w:val="20"/>
                <w:szCs w:val="20"/>
              </w:rPr>
              <w:t>止</w:t>
            </w:r>
            <w:r>
              <w:rPr>
                <w:rFonts w:ascii="宋体" w:hAnsi="宋体" w:eastAsia="宋体" w:cs="宋体"/>
                <w:spacing w:val="8"/>
                <w:sz w:val="20"/>
                <w:szCs w:val="20"/>
              </w:rPr>
              <w:t>利用废旧塑料加工食用塑料袋。</w:t>
            </w:r>
          </w:p>
        </w:tc>
        <w:tc>
          <w:tcPr>
            <w:tcW w:w="3210" w:type="dxa"/>
            <w:vAlign w:val="top"/>
          </w:tcPr>
          <w:p w14:paraId="184C0A3C">
            <w:pPr>
              <w:spacing w:before="69" w:line="256" w:lineRule="auto"/>
              <w:ind w:left="55" w:right="51" w:firstLine="3"/>
              <w:rPr>
                <w:rFonts w:ascii="宋体" w:hAnsi="宋体" w:eastAsia="宋体" w:cs="宋体"/>
                <w:sz w:val="20"/>
                <w:szCs w:val="20"/>
              </w:rPr>
            </w:pPr>
            <w:r>
              <w:rPr>
                <w:rFonts w:ascii="宋体" w:hAnsi="宋体" w:eastAsia="宋体" w:cs="宋体"/>
                <w:spacing w:val="21"/>
                <w:sz w:val="20"/>
                <w:szCs w:val="20"/>
              </w:rPr>
              <w:t>项目利用废塑料加工塑料再生颗</w:t>
            </w:r>
            <w:r>
              <w:rPr>
                <w:rFonts w:ascii="宋体" w:hAnsi="宋体" w:eastAsia="宋体" w:cs="宋体"/>
                <w:sz w:val="20"/>
                <w:szCs w:val="20"/>
              </w:rPr>
              <w:t xml:space="preserve"> </w:t>
            </w:r>
            <w:r>
              <w:rPr>
                <w:rFonts w:ascii="宋体" w:hAnsi="宋体" w:eastAsia="宋体" w:cs="宋体"/>
                <w:spacing w:val="13"/>
                <w:sz w:val="20"/>
                <w:szCs w:val="20"/>
              </w:rPr>
              <w:t>粒</w:t>
            </w:r>
            <w:r>
              <w:rPr>
                <w:rFonts w:ascii="宋体" w:hAnsi="宋体" w:eastAsia="宋体" w:cs="宋体"/>
                <w:spacing w:val="8"/>
                <w:sz w:val="20"/>
                <w:szCs w:val="20"/>
              </w:rPr>
              <w:t>，不用于加工食品塑料袋。</w:t>
            </w:r>
          </w:p>
        </w:tc>
        <w:tc>
          <w:tcPr>
            <w:tcW w:w="755" w:type="dxa"/>
            <w:tcBorders>
              <w:right w:val="nil"/>
            </w:tcBorders>
            <w:vAlign w:val="top"/>
          </w:tcPr>
          <w:p w14:paraId="0914C1D4">
            <w:pPr>
              <w:spacing w:before="224" w:line="228" w:lineRule="auto"/>
              <w:ind w:left="176"/>
              <w:rPr>
                <w:rFonts w:ascii="宋体" w:hAnsi="宋体" w:eastAsia="宋体" w:cs="宋体"/>
                <w:sz w:val="20"/>
                <w:szCs w:val="20"/>
              </w:rPr>
            </w:pPr>
            <w:r>
              <w:rPr>
                <w:rFonts w:ascii="宋体" w:hAnsi="宋体" w:eastAsia="宋体" w:cs="宋体"/>
                <w:spacing w:val="4"/>
                <w:sz w:val="20"/>
                <w:szCs w:val="20"/>
              </w:rPr>
              <w:t>符</w:t>
            </w:r>
            <w:r>
              <w:rPr>
                <w:rFonts w:ascii="宋体" w:hAnsi="宋体" w:eastAsia="宋体" w:cs="宋体"/>
                <w:spacing w:val="3"/>
                <w:sz w:val="20"/>
                <w:szCs w:val="20"/>
              </w:rPr>
              <w:t>合</w:t>
            </w:r>
          </w:p>
        </w:tc>
      </w:tr>
      <w:tr w14:paraId="2DB99C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4" w:hRule="atLeast"/>
        </w:trPr>
        <w:tc>
          <w:tcPr>
            <w:tcW w:w="4556" w:type="dxa"/>
            <w:tcBorders>
              <w:left w:val="nil"/>
            </w:tcBorders>
            <w:vAlign w:val="top"/>
          </w:tcPr>
          <w:p w14:paraId="1FF7DBEF">
            <w:pPr>
              <w:spacing w:before="69" w:line="266" w:lineRule="auto"/>
              <w:ind w:left="76" w:right="38" w:hanging="17"/>
              <w:rPr>
                <w:rFonts w:ascii="宋体" w:hAnsi="宋体" w:eastAsia="宋体" w:cs="宋体"/>
                <w:sz w:val="20"/>
                <w:szCs w:val="20"/>
              </w:rPr>
            </w:pPr>
            <w:r>
              <w:rPr>
                <w:rFonts w:ascii="宋体" w:hAnsi="宋体" w:eastAsia="宋体" w:cs="宋体"/>
                <w:spacing w:val="4"/>
                <w:sz w:val="20"/>
                <w:szCs w:val="20"/>
              </w:rPr>
              <w:t>禁止无危险</w:t>
            </w:r>
            <w:r>
              <w:rPr>
                <w:rFonts w:ascii="宋体" w:hAnsi="宋体" w:eastAsia="宋体" w:cs="宋体"/>
                <w:spacing w:val="3"/>
                <w:sz w:val="20"/>
                <w:szCs w:val="20"/>
              </w:rPr>
              <w:t>废</w:t>
            </w:r>
            <w:r>
              <w:rPr>
                <w:rFonts w:ascii="宋体" w:hAnsi="宋体" w:eastAsia="宋体" w:cs="宋体"/>
                <w:spacing w:val="2"/>
                <w:sz w:val="20"/>
                <w:szCs w:val="20"/>
              </w:rPr>
              <w:t>物经营许可证从事废塑料类维修废物</w:t>
            </w:r>
            <w:r>
              <w:rPr>
                <w:rFonts w:ascii="宋体" w:hAnsi="宋体" w:eastAsia="宋体" w:cs="宋体"/>
                <w:sz w:val="20"/>
                <w:szCs w:val="20"/>
              </w:rPr>
              <w:t xml:space="preserve"> </w:t>
            </w:r>
            <w:r>
              <w:rPr>
                <w:rFonts w:ascii="宋体" w:hAnsi="宋体" w:eastAsia="宋体" w:cs="宋体"/>
                <w:spacing w:val="2"/>
                <w:sz w:val="20"/>
                <w:szCs w:val="20"/>
              </w:rPr>
              <w:t>的回收利用活动，包括被危险化学品</w:t>
            </w:r>
            <w:r>
              <w:rPr>
                <w:rFonts w:ascii="宋体" w:hAnsi="宋体" w:eastAsia="宋体" w:cs="宋体"/>
                <w:spacing w:val="1"/>
                <w:sz w:val="20"/>
                <w:szCs w:val="20"/>
              </w:rPr>
              <w:t>、农药等污染</w:t>
            </w:r>
            <w:r>
              <w:rPr>
                <w:rFonts w:ascii="宋体" w:hAnsi="宋体" w:eastAsia="宋体" w:cs="宋体"/>
                <w:sz w:val="20"/>
                <w:szCs w:val="20"/>
              </w:rPr>
              <w:t xml:space="preserve"> </w:t>
            </w:r>
            <w:r>
              <w:rPr>
                <w:rFonts w:ascii="宋体" w:hAnsi="宋体" w:eastAsia="宋体" w:cs="宋体"/>
                <w:spacing w:val="-4"/>
                <w:sz w:val="20"/>
                <w:szCs w:val="20"/>
              </w:rPr>
              <w:t>的废弃塑料包</w:t>
            </w:r>
            <w:r>
              <w:rPr>
                <w:rFonts w:ascii="宋体" w:hAnsi="宋体" w:eastAsia="宋体" w:cs="宋体"/>
                <w:spacing w:val="-3"/>
                <w:sz w:val="20"/>
                <w:szCs w:val="20"/>
              </w:rPr>
              <w:t>装</w:t>
            </w:r>
            <w:r>
              <w:rPr>
                <w:rFonts w:ascii="宋体" w:hAnsi="宋体" w:eastAsia="宋体" w:cs="宋体"/>
                <w:spacing w:val="-2"/>
                <w:sz w:val="20"/>
                <w:szCs w:val="20"/>
              </w:rPr>
              <w:t>，废弃的一次性医疗用塑料制品。</w:t>
            </w:r>
          </w:p>
        </w:tc>
        <w:tc>
          <w:tcPr>
            <w:tcW w:w="3210" w:type="dxa"/>
            <w:vAlign w:val="top"/>
          </w:tcPr>
          <w:p w14:paraId="76F0DEA9">
            <w:pPr>
              <w:spacing w:before="223" w:line="301" w:lineRule="auto"/>
              <w:ind w:left="62" w:right="49" w:hanging="3"/>
              <w:rPr>
                <w:rFonts w:ascii="宋体" w:hAnsi="宋体" w:eastAsia="宋体" w:cs="宋体"/>
                <w:sz w:val="20"/>
                <w:szCs w:val="20"/>
              </w:rPr>
            </w:pPr>
            <w:r>
              <w:rPr>
                <w:rFonts w:ascii="宋体" w:hAnsi="宋体" w:eastAsia="宋体" w:cs="宋体"/>
                <w:spacing w:val="12"/>
                <w:sz w:val="20"/>
                <w:szCs w:val="20"/>
              </w:rPr>
              <w:t>项</w:t>
            </w:r>
            <w:r>
              <w:rPr>
                <w:rFonts w:ascii="宋体" w:hAnsi="宋体" w:eastAsia="宋体" w:cs="宋体"/>
                <w:spacing w:val="6"/>
                <w:sz w:val="20"/>
                <w:szCs w:val="20"/>
              </w:rPr>
              <w:t>目不涉及医疗废物、危险废物回</w:t>
            </w:r>
            <w:r>
              <w:rPr>
                <w:rFonts w:ascii="宋体" w:hAnsi="宋体" w:eastAsia="宋体" w:cs="宋体"/>
                <w:sz w:val="20"/>
                <w:szCs w:val="20"/>
              </w:rPr>
              <w:t xml:space="preserve"> </w:t>
            </w:r>
            <w:r>
              <w:rPr>
                <w:rFonts w:ascii="宋体" w:hAnsi="宋体" w:eastAsia="宋体" w:cs="宋体"/>
                <w:spacing w:val="4"/>
                <w:sz w:val="20"/>
                <w:szCs w:val="20"/>
              </w:rPr>
              <w:t>收</w:t>
            </w:r>
            <w:r>
              <w:rPr>
                <w:rFonts w:ascii="宋体" w:hAnsi="宋体" w:eastAsia="宋体" w:cs="宋体"/>
                <w:spacing w:val="3"/>
                <w:sz w:val="20"/>
                <w:szCs w:val="20"/>
              </w:rPr>
              <w:t>利用。</w:t>
            </w:r>
          </w:p>
        </w:tc>
        <w:tc>
          <w:tcPr>
            <w:tcW w:w="755" w:type="dxa"/>
            <w:tcBorders>
              <w:right w:val="nil"/>
            </w:tcBorders>
            <w:vAlign w:val="top"/>
          </w:tcPr>
          <w:p w14:paraId="65D080D9">
            <w:pPr>
              <w:spacing w:line="312" w:lineRule="auto"/>
              <w:rPr>
                <w:rFonts w:ascii="Arial"/>
                <w:sz w:val="21"/>
              </w:rPr>
            </w:pPr>
          </w:p>
          <w:p w14:paraId="68AC3701">
            <w:pPr>
              <w:spacing w:before="65" w:line="228" w:lineRule="auto"/>
              <w:ind w:left="176"/>
              <w:rPr>
                <w:rFonts w:ascii="宋体" w:hAnsi="宋体" w:eastAsia="宋体" w:cs="宋体"/>
                <w:sz w:val="20"/>
                <w:szCs w:val="20"/>
              </w:rPr>
            </w:pPr>
            <w:r>
              <w:rPr>
                <w:rFonts w:ascii="宋体" w:hAnsi="宋体" w:eastAsia="宋体" w:cs="宋体"/>
                <w:spacing w:val="4"/>
                <w:sz w:val="20"/>
                <w:szCs w:val="20"/>
              </w:rPr>
              <w:t>符</w:t>
            </w:r>
            <w:r>
              <w:rPr>
                <w:rFonts w:ascii="宋体" w:hAnsi="宋体" w:eastAsia="宋体" w:cs="宋体"/>
                <w:spacing w:val="3"/>
                <w:sz w:val="20"/>
                <w:szCs w:val="20"/>
              </w:rPr>
              <w:t>合</w:t>
            </w:r>
          </w:p>
        </w:tc>
      </w:tr>
      <w:tr w14:paraId="3720B1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4" w:hRule="atLeast"/>
        </w:trPr>
        <w:tc>
          <w:tcPr>
            <w:tcW w:w="4556" w:type="dxa"/>
            <w:tcBorders>
              <w:left w:val="nil"/>
            </w:tcBorders>
            <w:vAlign w:val="top"/>
          </w:tcPr>
          <w:p w14:paraId="75557E82">
            <w:pPr>
              <w:spacing w:before="227" w:line="294" w:lineRule="auto"/>
              <w:ind w:left="60" w:right="50"/>
              <w:rPr>
                <w:rFonts w:ascii="宋体" w:hAnsi="宋体" w:eastAsia="宋体" w:cs="宋体"/>
                <w:sz w:val="20"/>
                <w:szCs w:val="20"/>
              </w:rPr>
            </w:pPr>
            <w:r>
              <w:rPr>
                <w:rFonts w:ascii="宋体" w:hAnsi="宋体" w:eastAsia="宋体" w:cs="宋体"/>
                <w:spacing w:val="22"/>
                <w:sz w:val="20"/>
                <w:szCs w:val="20"/>
              </w:rPr>
              <w:t>无</w:t>
            </w:r>
            <w:r>
              <w:rPr>
                <w:rFonts w:ascii="宋体" w:hAnsi="宋体" w:eastAsia="宋体" w:cs="宋体"/>
                <w:spacing w:val="11"/>
                <w:sz w:val="20"/>
                <w:szCs w:val="20"/>
              </w:rPr>
              <w:t>符合环保要求污水治理设施的，禁止从事废编</w:t>
            </w:r>
            <w:r>
              <w:rPr>
                <w:rFonts w:ascii="宋体" w:hAnsi="宋体" w:eastAsia="宋体" w:cs="宋体"/>
                <w:sz w:val="20"/>
                <w:szCs w:val="20"/>
              </w:rPr>
              <w:t xml:space="preserve"> </w:t>
            </w:r>
            <w:r>
              <w:rPr>
                <w:rFonts w:ascii="宋体" w:hAnsi="宋体" w:eastAsia="宋体" w:cs="宋体"/>
                <w:spacing w:val="22"/>
                <w:sz w:val="20"/>
                <w:szCs w:val="20"/>
              </w:rPr>
              <w:t>织</w:t>
            </w:r>
            <w:r>
              <w:rPr>
                <w:rFonts w:ascii="宋体" w:hAnsi="宋体" w:eastAsia="宋体" w:cs="宋体"/>
                <w:spacing w:val="11"/>
                <w:sz w:val="20"/>
                <w:szCs w:val="20"/>
              </w:rPr>
              <w:t>袋造粒、缸脚料淘洗、废塑料退涂、盐卤分拣</w:t>
            </w:r>
            <w:r>
              <w:rPr>
                <w:rFonts w:ascii="宋体" w:hAnsi="宋体" w:eastAsia="宋体" w:cs="宋体"/>
                <w:sz w:val="20"/>
                <w:szCs w:val="20"/>
              </w:rPr>
              <w:t xml:space="preserve"> </w:t>
            </w:r>
            <w:r>
              <w:rPr>
                <w:rFonts w:ascii="宋体" w:hAnsi="宋体" w:eastAsia="宋体" w:cs="宋体"/>
                <w:spacing w:val="9"/>
                <w:sz w:val="20"/>
                <w:szCs w:val="20"/>
              </w:rPr>
              <w:t>等</w:t>
            </w:r>
            <w:r>
              <w:rPr>
                <w:rFonts w:ascii="宋体" w:hAnsi="宋体" w:eastAsia="宋体" w:cs="宋体"/>
                <w:spacing w:val="6"/>
                <w:sz w:val="20"/>
                <w:szCs w:val="20"/>
              </w:rPr>
              <w:t>加工活动。</w:t>
            </w:r>
          </w:p>
        </w:tc>
        <w:tc>
          <w:tcPr>
            <w:tcW w:w="3210" w:type="dxa"/>
            <w:vAlign w:val="top"/>
          </w:tcPr>
          <w:p w14:paraId="221DB6FB">
            <w:pPr>
              <w:tabs>
                <w:tab w:val="left" w:pos="165"/>
              </w:tabs>
              <w:spacing w:before="74" w:line="270" w:lineRule="auto"/>
              <w:ind w:left="55" w:right="37" w:firstLine="3"/>
              <w:rPr>
                <w:rFonts w:ascii="宋体" w:hAnsi="宋体" w:eastAsia="宋体" w:cs="宋体"/>
                <w:sz w:val="20"/>
                <w:szCs w:val="20"/>
              </w:rPr>
            </w:pPr>
            <w:r>
              <w:rPr>
                <w:rFonts w:ascii="宋体" w:hAnsi="宋体" w:eastAsia="宋体" w:cs="宋体"/>
                <w:spacing w:val="21"/>
                <w:sz w:val="20"/>
                <w:szCs w:val="20"/>
              </w:rPr>
              <w:t>项目生产废水经一体化污水预处</w:t>
            </w:r>
            <w:r>
              <w:rPr>
                <w:rFonts w:ascii="宋体" w:hAnsi="宋体" w:eastAsia="宋体" w:cs="宋体"/>
                <w:sz w:val="20"/>
                <w:szCs w:val="20"/>
              </w:rPr>
              <w:t xml:space="preserve"> </w:t>
            </w:r>
            <w:r>
              <w:rPr>
                <w:rFonts w:ascii="宋体" w:hAnsi="宋体" w:eastAsia="宋体" w:cs="宋体"/>
                <w:spacing w:val="-26"/>
                <w:sz w:val="20"/>
                <w:szCs w:val="20"/>
              </w:rPr>
              <w:t>理</w:t>
            </w:r>
            <w:r>
              <w:rPr>
                <w:rFonts w:ascii="宋体" w:hAnsi="宋体" w:eastAsia="宋体" w:cs="宋体"/>
                <w:spacing w:val="-15"/>
                <w:sz w:val="20"/>
                <w:szCs w:val="20"/>
              </w:rPr>
              <w:t xml:space="preserve"> </w:t>
            </w:r>
            <w:r>
              <w:rPr>
                <w:rFonts w:ascii="宋体" w:hAnsi="宋体" w:eastAsia="宋体" w:cs="宋体"/>
                <w:spacing w:val="-13"/>
                <w:sz w:val="20"/>
                <w:szCs w:val="20"/>
              </w:rPr>
              <w:t>设 备 处 理 后 排 入 三级沉淀池</w:t>
            </w:r>
            <w:r>
              <w:rPr>
                <w:rFonts w:ascii="宋体" w:hAnsi="宋体" w:eastAsia="宋体" w:cs="宋体"/>
                <w:sz w:val="20"/>
                <w:szCs w:val="20"/>
              </w:rPr>
              <w:t xml:space="preserve"> </w:t>
            </w:r>
            <w:r>
              <w:rPr>
                <w:rFonts w:ascii="宋体" w:hAnsi="宋体" w:eastAsia="宋体" w:cs="宋体"/>
                <w:sz w:val="20"/>
                <w:szCs w:val="20"/>
              </w:rPr>
              <w:tab/>
            </w:r>
            <w:r>
              <w:rPr>
                <w:rFonts w:ascii="宋体" w:hAnsi="宋体" w:eastAsia="宋体" w:cs="宋体"/>
                <w:spacing w:val="3"/>
                <w:sz w:val="20"/>
                <w:szCs w:val="20"/>
              </w:rPr>
              <w:t>(</w:t>
            </w:r>
            <w:r>
              <w:rPr>
                <w:rFonts w:ascii="Times New Roman" w:hAnsi="Times New Roman" w:eastAsia="Times New Roman" w:cs="Times New Roman"/>
                <w:spacing w:val="3"/>
                <w:sz w:val="20"/>
                <w:szCs w:val="20"/>
              </w:rPr>
              <w:t>12</w:t>
            </w:r>
            <w:r>
              <w:rPr>
                <w:rFonts w:ascii="Times New Roman" w:hAnsi="Times New Roman" w:eastAsia="Times New Roman" w:cs="Times New Roman"/>
                <w:sz w:val="20"/>
                <w:szCs w:val="20"/>
              </w:rPr>
              <w:t>m</w:t>
            </w:r>
            <w:r>
              <w:rPr>
                <w:rFonts w:ascii="Times New Roman" w:hAnsi="Times New Roman" w:eastAsia="Times New Roman" w:cs="Times New Roman"/>
                <w:spacing w:val="3"/>
                <w:sz w:val="20"/>
                <w:szCs w:val="20"/>
              </w:rPr>
              <w:t>×6</w:t>
            </w:r>
            <w:r>
              <w:rPr>
                <w:rFonts w:ascii="Times New Roman" w:hAnsi="Times New Roman" w:eastAsia="Times New Roman" w:cs="Times New Roman"/>
                <w:sz w:val="20"/>
                <w:szCs w:val="20"/>
              </w:rPr>
              <w:t>m</w:t>
            </w:r>
            <w:r>
              <w:rPr>
                <w:rFonts w:ascii="Times New Roman" w:hAnsi="Times New Roman" w:eastAsia="Times New Roman" w:cs="Times New Roman"/>
                <w:spacing w:val="3"/>
                <w:sz w:val="20"/>
                <w:szCs w:val="20"/>
              </w:rPr>
              <w:t>×4.5</w:t>
            </w:r>
            <w:r>
              <w:rPr>
                <w:rFonts w:ascii="Times New Roman" w:hAnsi="Times New Roman" w:eastAsia="Times New Roman" w:cs="Times New Roman"/>
                <w:sz w:val="20"/>
                <w:szCs w:val="20"/>
              </w:rPr>
              <w:t>m</w:t>
            </w:r>
            <w:r>
              <w:rPr>
                <w:rFonts w:ascii="宋体" w:hAnsi="宋体" w:eastAsia="宋体" w:cs="宋体"/>
                <w:spacing w:val="3"/>
                <w:sz w:val="20"/>
                <w:szCs w:val="20"/>
              </w:rPr>
              <w:t>) 沉淀处理，随</w:t>
            </w:r>
            <w:r>
              <w:rPr>
                <w:rFonts w:ascii="宋体" w:hAnsi="宋体" w:eastAsia="宋体" w:cs="宋体"/>
                <w:spacing w:val="2"/>
                <w:sz w:val="20"/>
                <w:szCs w:val="20"/>
              </w:rPr>
              <w:t>后</w:t>
            </w:r>
            <w:r>
              <w:rPr>
                <w:rFonts w:ascii="宋体" w:hAnsi="宋体" w:eastAsia="宋体" w:cs="宋体"/>
                <w:sz w:val="20"/>
                <w:szCs w:val="20"/>
              </w:rPr>
              <w:t xml:space="preserve"> </w:t>
            </w:r>
            <w:r>
              <w:rPr>
                <w:rFonts w:ascii="宋体" w:hAnsi="宋体" w:eastAsia="宋体" w:cs="宋体"/>
                <w:spacing w:val="-2"/>
                <w:sz w:val="20"/>
                <w:szCs w:val="20"/>
              </w:rPr>
              <w:t>循环</w:t>
            </w:r>
            <w:r>
              <w:rPr>
                <w:rFonts w:ascii="宋体" w:hAnsi="宋体" w:eastAsia="宋体" w:cs="宋体"/>
                <w:spacing w:val="-1"/>
                <w:sz w:val="20"/>
                <w:szCs w:val="20"/>
              </w:rPr>
              <w:t>使用。</w:t>
            </w:r>
          </w:p>
        </w:tc>
        <w:tc>
          <w:tcPr>
            <w:tcW w:w="755" w:type="dxa"/>
            <w:tcBorders>
              <w:right w:val="nil"/>
            </w:tcBorders>
            <w:vAlign w:val="top"/>
          </w:tcPr>
          <w:p w14:paraId="3DD998FE">
            <w:pPr>
              <w:spacing w:line="467" w:lineRule="auto"/>
              <w:rPr>
                <w:rFonts w:ascii="Arial"/>
                <w:sz w:val="21"/>
              </w:rPr>
            </w:pPr>
          </w:p>
          <w:p w14:paraId="6107DFE3">
            <w:pPr>
              <w:spacing w:before="65" w:line="228" w:lineRule="auto"/>
              <w:ind w:left="176"/>
              <w:rPr>
                <w:rFonts w:ascii="宋体" w:hAnsi="宋体" w:eastAsia="宋体" w:cs="宋体"/>
                <w:sz w:val="20"/>
                <w:szCs w:val="20"/>
              </w:rPr>
            </w:pPr>
            <w:r>
              <w:rPr>
                <w:rFonts w:ascii="宋体" w:hAnsi="宋体" w:eastAsia="宋体" w:cs="宋体"/>
                <w:spacing w:val="4"/>
                <w:sz w:val="20"/>
                <w:szCs w:val="20"/>
              </w:rPr>
              <w:t>符</w:t>
            </w:r>
            <w:r>
              <w:rPr>
                <w:rFonts w:ascii="宋体" w:hAnsi="宋体" w:eastAsia="宋体" w:cs="宋体"/>
                <w:spacing w:val="3"/>
                <w:sz w:val="20"/>
                <w:szCs w:val="20"/>
              </w:rPr>
              <w:t>合</w:t>
            </w:r>
          </w:p>
        </w:tc>
      </w:tr>
      <w:tr w14:paraId="4F7336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4556" w:type="dxa"/>
            <w:tcBorders>
              <w:left w:val="nil"/>
            </w:tcBorders>
            <w:vAlign w:val="top"/>
          </w:tcPr>
          <w:p w14:paraId="5E9BB29A">
            <w:pPr>
              <w:spacing w:before="71" w:line="255" w:lineRule="auto"/>
              <w:ind w:left="60" w:right="50" w:hanging="1"/>
              <w:rPr>
                <w:rFonts w:ascii="宋体" w:hAnsi="宋体" w:eastAsia="宋体" w:cs="宋体"/>
                <w:sz w:val="20"/>
                <w:szCs w:val="20"/>
              </w:rPr>
            </w:pPr>
            <w:r>
              <w:rPr>
                <w:rFonts w:ascii="宋体" w:hAnsi="宋体" w:eastAsia="宋体" w:cs="宋体"/>
                <w:spacing w:val="22"/>
                <w:sz w:val="20"/>
                <w:szCs w:val="20"/>
              </w:rPr>
              <w:t>禁</w:t>
            </w:r>
            <w:r>
              <w:rPr>
                <w:rFonts w:ascii="宋体" w:hAnsi="宋体" w:eastAsia="宋体" w:cs="宋体"/>
                <w:spacing w:val="12"/>
                <w:sz w:val="20"/>
                <w:szCs w:val="20"/>
              </w:rPr>
              <w:t>止</w:t>
            </w:r>
            <w:r>
              <w:rPr>
                <w:rFonts w:ascii="宋体" w:hAnsi="宋体" w:eastAsia="宋体" w:cs="宋体"/>
                <w:spacing w:val="11"/>
                <w:sz w:val="20"/>
                <w:szCs w:val="20"/>
              </w:rPr>
              <w:t>露天焚烧废塑料及加工利用过程产生的残余</w:t>
            </w:r>
            <w:r>
              <w:rPr>
                <w:rFonts w:ascii="宋体" w:hAnsi="宋体" w:eastAsia="宋体" w:cs="宋体"/>
                <w:sz w:val="20"/>
                <w:szCs w:val="20"/>
              </w:rPr>
              <w:t xml:space="preserve"> </w:t>
            </w:r>
            <w:r>
              <w:rPr>
                <w:rFonts w:ascii="宋体" w:hAnsi="宋体" w:eastAsia="宋体" w:cs="宋体"/>
                <w:spacing w:val="9"/>
                <w:sz w:val="20"/>
                <w:szCs w:val="20"/>
              </w:rPr>
              <w:t>垃</w:t>
            </w:r>
            <w:r>
              <w:rPr>
                <w:rFonts w:ascii="宋体" w:hAnsi="宋体" w:eastAsia="宋体" w:cs="宋体"/>
                <w:spacing w:val="6"/>
                <w:sz w:val="20"/>
                <w:szCs w:val="20"/>
              </w:rPr>
              <w:t>圾、滤网。</w:t>
            </w:r>
          </w:p>
        </w:tc>
        <w:tc>
          <w:tcPr>
            <w:tcW w:w="3210" w:type="dxa"/>
            <w:vAlign w:val="top"/>
          </w:tcPr>
          <w:p w14:paraId="44FAEEB0">
            <w:pPr>
              <w:spacing w:before="227" w:line="227" w:lineRule="auto"/>
              <w:ind w:left="59"/>
              <w:rPr>
                <w:rFonts w:ascii="宋体" w:hAnsi="宋体" w:eastAsia="宋体" w:cs="宋体"/>
                <w:sz w:val="20"/>
                <w:szCs w:val="20"/>
              </w:rPr>
            </w:pPr>
            <w:r>
              <w:rPr>
                <w:rFonts w:ascii="宋体" w:hAnsi="宋体" w:eastAsia="宋体" w:cs="宋体"/>
                <w:spacing w:val="10"/>
                <w:sz w:val="20"/>
                <w:szCs w:val="20"/>
              </w:rPr>
              <w:t>项</w:t>
            </w:r>
            <w:r>
              <w:rPr>
                <w:rFonts w:ascii="宋体" w:hAnsi="宋体" w:eastAsia="宋体" w:cs="宋体"/>
                <w:spacing w:val="8"/>
                <w:sz w:val="20"/>
                <w:szCs w:val="20"/>
              </w:rPr>
              <w:t>目不对固体废物进行焚烧。</w:t>
            </w:r>
          </w:p>
        </w:tc>
        <w:tc>
          <w:tcPr>
            <w:tcW w:w="755" w:type="dxa"/>
            <w:tcBorders>
              <w:right w:val="nil"/>
            </w:tcBorders>
            <w:vAlign w:val="top"/>
          </w:tcPr>
          <w:p w14:paraId="42573A90">
            <w:pPr>
              <w:spacing w:before="227" w:line="228" w:lineRule="auto"/>
              <w:ind w:left="176"/>
              <w:rPr>
                <w:rFonts w:ascii="宋体" w:hAnsi="宋体" w:eastAsia="宋体" w:cs="宋体"/>
                <w:sz w:val="20"/>
                <w:szCs w:val="20"/>
              </w:rPr>
            </w:pPr>
            <w:r>
              <w:rPr>
                <w:rFonts w:ascii="宋体" w:hAnsi="宋体" w:eastAsia="宋体" w:cs="宋体"/>
                <w:spacing w:val="4"/>
                <w:sz w:val="20"/>
                <w:szCs w:val="20"/>
              </w:rPr>
              <w:t>符</w:t>
            </w:r>
            <w:r>
              <w:rPr>
                <w:rFonts w:ascii="宋体" w:hAnsi="宋体" w:eastAsia="宋体" w:cs="宋体"/>
                <w:spacing w:val="3"/>
                <w:sz w:val="20"/>
                <w:szCs w:val="20"/>
              </w:rPr>
              <w:t>合</w:t>
            </w:r>
          </w:p>
        </w:tc>
      </w:tr>
      <w:tr w14:paraId="799C2F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8" w:hRule="atLeast"/>
        </w:trPr>
        <w:tc>
          <w:tcPr>
            <w:tcW w:w="4556" w:type="dxa"/>
            <w:tcBorders>
              <w:left w:val="nil"/>
            </w:tcBorders>
            <w:vAlign w:val="top"/>
          </w:tcPr>
          <w:p w14:paraId="285311B4">
            <w:pPr>
              <w:spacing w:before="74" w:line="266" w:lineRule="auto"/>
              <w:ind w:left="58" w:right="50" w:hanging="1"/>
              <w:rPr>
                <w:rFonts w:ascii="宋体" w:hAnsi="宋体" w:eastAsia="宋体" w:cs="宋体"/>
                <w:sz w:val="20"/>
                <w:szCs w:val="20"/>
              </w:rPr>
            </w:pPr>
            <w:r>
              <w:rPr>
                <w:rFonts w:ascii="宋体" w:hAnsi="宋体" w:eastAsia="宋体" w:cs="宋体"/>
                <w:spacing w:val="22"/>
                <w:sz w:val="20"/>
                <w:szCs w:val="20"/>
              </w:rPr>
              <w:t>进</w:t>
            </w:r>
            <w:r>
              <w:rPr>
                <w:rFonts w:ascii="宋体" w:hAnsi="宋体" w:eastAsia="宋体" w:cs="宋体"/>
                <w:spacing w:val="14"/>
                <w:sz w:val="20"/>
                <w:szCs w:val="20"/>
              </w:rPr>
              <w:t>口</w:t>
            </w:r>
            <w:r>
              <w:rPr>
                <w:rFonts w:ascii="宋体" w:hAnsi="宋体" w:eastAsia="宋体" w:cs="宋体"/>
                <w:spacing w:val="11"/>
                <w:sz w:val="20"/>
                <w:szCs w:val="20"/>
              </w:rPr>
              <w:t>废塑料应符合《固体废物进口管理办法》及</w:t>
            </w:r>
            <w:r>
              <w:rPr>
                <w:rFonts w:ascii="宋体" w:hAnsi="宋体" w:eastAsia="宋体" w:cs="宋体"/>
                <w:sz w:val="20"/>
                <w:szCs w:val="20"/>
              </w:rPr>
              <w:t xml:space="preserve"> </w:t>
            </w:r>
            <w:r>
              <w:rPr>
                <w:rFonts w:ascii="宋体" w:hAnsi="宋体" w:eastAsia="宋体" w:cs="宋体"/>
                <w:spacing w:val="22"/>
                <w:sz w:val="20"/>
                <w:szCs w:val="20"/>
              </w:rPr>
              <w:t>环</w:t>
            </w:r>
            <w:r>
              <w:rPr>
                <w:rFonts w:ascii="宋体" w:hAnsi="宋体" w:eastAsia="宋体" w:cs="宋体"/>
                <w:spacing w:val="12"/>
                <w:sz w:val="20"/>
                <w:szCs w:val="20"/>
              </w:rPr>
              <w:t>境</w:t>
            </w:r>
            <w:r>
              <w:rPr>
                <w:rFonts w:ascii="宋体" w:hAnsi="宋体" w:eastAsia="宋体" w:cs="宋体"/>
                <w:spacing w:val="11"/>
                <w:sz w:val="20"/>
                <w:szCs w:val="20"/>
              </w:rPr>
              <w:t>保护部关于进口可用作原料的固体废物和废</w:t>
            </w:r>
            <w:r>
              <w:rPr>
                <w:rFonts w:ascii="宋体" w:hAnsi="宋体" w:eastAsia="宋体" w:cs="宋体"/>
                <w:sz w:val="20"/>
                <w:szCs w:val="20"/>
              </w:rPr>
              <w:t xml:space="preserve"> </w:t>
            </w:r>
            <w:r>
              <w:rPr>
                <w:rFonts w:ascii="宋体" w:hAnsi="宋体" w:eastAsia="宋体" w:cs="宋体"/>
                <w:spacing w:val="13"/>
                <w:sz w:val="20"/>
                <w:szCs w:val="20"/>
              </w:rPr>
              <w:t>塑</w:t>
            </w:r>
            <w:r>
              <w:rPr>
                <w:rFonts w:ascii="宋体" w:hAnsi="宋体" w:eastAsia="宋体" w:cs="宋体"/>
                <w:spacing w:val="8"/>
                <w:sz w:val="20"/>
                <w:szCs w:val="20"/>
              </w:rPr>
              <w:t>料环境保护管理相关规定。</w:t>
            </w:r>
          </w:p>
        </w:tc>
        <w:tc>
          <w:tcPr>
            <w:tcW w:w="3210" w:type="dxa"/>
            <w:vAlign w:val="top"/>
          </w:tcPr>
          <w:p w14:paraId="78A39BBC">
            <w:pPr>
              <w:spacing w:line="316" w:lineRule="auto"/>
              <w:rPr>
                <w:rFonts w:ascii="Arial"/>
                <w:sz w:val="21"/>
              </w:rPr>
            </w:pPr>
          </w:p>
          <w:p w14:paraId="4F2B5371">
            <w:pPr>
              <w:spacing w:before="65" w:line="228" w:lineRule="auto"/>
              <w:ind w:left="59"/>
              <w:rPr>
                <w:rFonts w:ascii="宋体" w:hAnsi="宋体" w:eastAsia="宋体" w:cs="宋体"/>
                <w:sz w:val="20"/>
                <w:szCs w:val="20"/>
              </w:rPr>
            </w:pPr>
            <w:r>
              <w:rPr>
                <w:rFonts w:ascii="宋体" w:hAnsi="宋体" w:eastAsia="宋体" w:cs="宋体"/>
                <w:spacing w:val="8"/>
                <w:sz w:val="20"/>
                <w:szCs w:val="20"/>
              </w:rPr>
              <w:t>项目不涉及进口废塑料</w:t>
            </w:r>
            <w:r>
              <w:rPr>
                <w:rFonts w:ascii="宋体" w:hAnsi="宋体" w:eastAsia="宋体" w:cs="宋体"/>
                <w:spacing w:val="6"/>
                <w:sz w:val="20"/>
                <w:szCs w:val="20"/>
              </w:rPr>
              <w:t>。</w:t>
            </w:r>
          </w:p>
        </w:tc>
        <w:tc>
          <w:tcPr>
            <w:tcW w:w="755" w:type="dxa"/>
            <w:tcBorders>
              <w:right w:val="nil"/>
            </w:tcBorders>
            <w:vAlign w:val="top"/>
          </w:tcPr>
          <w:p w14:paraId="53355859">
            <w:pPr>
              <w:spacing w:line="315" w:lineRule="auto"/>
              <w:rPr>
                <w:rFonts w:ascii="Arial"/>
                <w:sz w:val="21"/>
              </w:rPr>
            </w:pPr>
          </w:p>
          <w:p w14:paraId="2003297A">
            <w:pPr>
              <w:spacing w:before="65" w:line="228" w:lineRule="auto"/>
              <w:ind w:left="176"/>
              <w:rPr>
                <w:rFonts w:ascii="宋体" w:hAnsi="宋体" w:eastAsia="宋体" w:cs="宋体"/>
                <w:sz w:val="20"/>
                <w:szCs w:val="20"/>
              </w:rPr>
            </w:pPr>
            <w:r>
              <w:rPr>
                <w:rFonts w:ascii="宋体" w:hAnsi="宋体" w:eastAsia="宋体" w:cs="宋体"/>
                <w:spacing w:val="4"/>
                <w:sz w:val="20"/>
                <w:szCs w:val="20"/>
              </w:rPr>
              <w:t>符</w:t>
            </w:r>
            <w:r>
              <w:rPr>
                <w:rFonts w:ascii="宋体" w:hAnsi="宋体" w:eastAsia="宋体" w:cs="宋体"/>
                <w:spacing w:val="3"/>
                <w:sz w:val="20"/>
                <w:szCs w:val="20"/>
              </w:rPr>
              <w:t>合</w:t>
            </w:r>
          </w:p>
        </w:tc>
      </w:tr>
    </w:tbl>
    <w:p w14:paraId="206ED662">
      <w:pPr>
        <w:spacing w:line="260" w:lineRule="auto"/>
        <w:rPr>
          <w:rFonts w:ascii="Arial"/>
          <w:sz w:val="21"/>
        </w:rPr>
      </w:pPr>
    </w:p>
    <w:p w14:paraId="11D466E1">
      <w:pPr>
        <w:spacing w:before="75" w:line="227" w:lineRule="auto"/>
        <w:ind w:left="569"/>
        <w:rPr>
          <w:rFonts w:ascii="宋体" w:hAnsi="宋体" w:eastAsia="宋体" w:cs="宋体"/>
          <w:sz w:val="23"/>
          <w:szCs w:val="23"/>
        </w:rPr>
      </w:pPr>
      <w:r>
        <w:rPr>
          <w:rFonts w:ascii="宋体" w:hAnsi="宋体" w:eastAsia="宋体" w:cs="宋体"/>
          <w:spacing w:val="7"/>
          <w:sz w:val="23"/>
          <w:szCs w:val="23"/>
        </w:rPr>
        <w:t>由上表可知，该项目符合《废塑料加工利用污染防治管理规定》  (</w:t>
      </w:r>
      <w:r>
        <w:rPr>
          <w:rFonts w:ascii="Times New Roman" w:hAnsi="Times New Roman" w:eastAsia="Times New Roman" w:cs="Times New Roman"/>
          <w:spacing w:val="7"/>
          <w:sz w:val="23"/>
          <w:szCs w:val="23"/>
        </w:rPr>
        <w:t xml:space="preserve">2012 </w:t>
      </w:r>
      <w:r>
        <w:rPr>
          <w:rFonts w:ascii="宋体" w:hAnsi="宋体" w:eastAsia="宋体" w:cs="宋体"/>
          <w:spacing w:val="1"/>
          <w:sz w:val="23"/>
          <w:szCs w:val="23"/>
        </w:rPr>
        <w:t>年</w:t>
      </w:r>
    </w:p>
    <w:p w14:paraId="6BF55F07">
      <w:pPr>
        <w:spacing w:before="197" w:line="227" w:lineRule="auto"/>
        <w:ind w:left="60"/>
        <w:rPr>
          <w:rFonts w:ascii="宋体" w:hAnsi="宋体" w:eastAsia="宋体" w:cs="宋体"/>
          <w:sz w:val="23"/>
          <w:szCs w:val="23"/>
        </w:rPr>
      </w:pPr>
      <w:r>
        <w:rPr>
          <w:rFonts w:ascii="宋体" w:hAnsi="宋体" w:eastAsia="宋体" w:cs="宋体"/>
          <w:spacing w:val="2"/>
          <w:sz w:val="23"/>
          <w:szCs w:val="23"/>
        </w:rPr>
        <w:t xml:space="preserve">第 </w:t>
      </w:r>
      <w:r>
        <w:rPr>
          <w:rFonts w:ascii="Times New Roman" w:hAnsi="Times New Roman" w:eastAsia="Times New Roman" w:cs="Times New Roman"/>
          <w:spacing w:val="2"/>
          <w:sz w:val="23"/>
          <w:szCs w:val="23"/>
        </w:rPr>
        <w:t xml:space="preserve">55 </w:t>
      </w:r>
      <w:r>
        <w:rPr>
          <w:rFonts w:ascii="宋体" w:hAnsi="宋体" w:eastAsia="宋体" w:cs="宋体"/>
          <w:spacing w:val="1"/>
          <w:sz w:val="23"/>
          <w:szCs w:val="23"/>
        </w:rPr>
        <w:t>号) 相关要求。</w:t>
      </w:r>
    </w:p>
    <w:p w14:paraId="4A77EB35">
      <w:pPr>
        <w:spacing w:line="279" w:lineRule="auto"/>
        <w:rPr>
          <w:rFonts w:ascii="Arial"/>
          <w:sz w:val="21"/>
        </w:rPr>
      </w:pPr>
    </w:p>
    <w:p w14:paraId="029EC291">
      <w:pPr>
        <w:spacing w:before="75" w:line="387" w:lineRule="auto"/>
        <w:ind w:left="60" w:right="132" w:firstLine="480"/>
        <w:rPr>
          <w:rFonts w:ascii="宋体" w:hAnsi="宋体" w:eastAsia="宋体" w:cs="宋体"/>
          <w:sz w:val="23"/>
          <w:szCs w:val="23"/>
        </w:rPr>
      </w:pPr>
      <w:r>
        <w:rPr>
          <w:rFonts w:ascii="宋体" w:hAnsi="宋体" w:eastAsia="宋体" w:cs="宋体"/>
          <w:spacing w:val="7"/>
          <w:sz w:val="23"/>
          <w:szCs w:val="23"/>
        </w:rPr>
        <w:t>根据环境保护部、发展改革委、工业和信息化部、公安部、商务部、工商</w:t>
      </w:r>
      <w:r>
        <w:rPr>
          <w:rFonts w:ascii="宋体" w:hAnsi="宋体" w:eastAsia="宋体" w:cs="宋体"/>
          <w:spacing w:val="3"/>
          <w:sz w:val="23"/>
          <w:szCs w:val="23"/>
        </w:rPr>
        <w:t>总</w:t>
      </w:r>
      <w:r>
        <w:rPr>
          <w:rFonts w:ascii="宋体" w:hAnsi="宋体" w:eastAsia="宋体" w:cs="宋体"/>
          <w:sz w:val="23"/>
          <w:szCs w:val="23"/>
        </w:rPr>
        <w:t xml:space="preserve"> </w:t>
      </w:r>
      <w:r>
        <w:rPr>
          <w:rFonts w:ascii="宋体" w:hAnsi="宋体" w:eastAsia="宋体" w:cs="宋体"/>
          <w:spacing w:val="9"/>
          <w:sz w:val="23"/>
          <w:szCs w:val="23"/>
        </w:rPr>
        <w:t>局</w:t>
      </w:r>
      <w:r>
        <w:rPr>
          <w:rFonts w:ascii="宋体" w:hAnsi="宋体" w:eastAsia="宋体" w:cs="宋体"/>
          <w:spacing w:val="7"/>
          <w:sz w:val="23"/>
          <w:szCs w:val="23"/>
        </w:rPr>
        <w:t>《关于联合开展电子废物、废轮胎、废塑料、废旧衣服、废家电拆解等再生利</w:t>
      </w:r>
      <w:r>
        <w:rPr>
          <w:rFonts w:ascii="宋体" w:hAnsi="宋体" w:eastAsia="宋体" w:cs="宋体"/>
          <w:sz w:val="23"/>
          <w:szCs w:val="23"/>
        </w:rPr>
        <w:t xml:space="preserve"> </w:t>
      </w:r>
      <w:r>
        <w:rPr>
          <w:rFonts w:ascii="宋体" w:hAnsi="宋体" w:eastAsia="宋体" w:cs="宋体"/>
          <w:spacing w:val="1"/>
          <w:sz w:val="23"/>
          <w:szCs w:val="23"/>
        </w:rPr>
        <w:t>用行业清理整顿的通知》，重点完成以</w:t>
      </w:r>
      <w:r>
        <w:rPr>
          <w:rFonts w:ascii="宋体" w:hAnsi="宋体" w:eastAsia="宋体" w:cs="宋体"/>
          <w:sz w:val="23"/>
          <w:szCs w:val="23"/>
        </w:rPr>
        <w:t xml:space="preserve">下三个方面任务。  ( 一) 依法取缔一批污 </w:t>
      </w:r>
      <w:r>
        <w:rPr>
          <w:rFonts w:ascii="宋体" w:hAnsi="宋体" w:eastAsia="宋体" w:cs="宋体"/>
          <w:spacing w:val="1"/>
          <w:sz w:val="23"/>
          <w:szCs w:val="23"/>
        </w:rPr>
        <w:t>染严重的非法再生利用企业。  (二</w:t>
      </w:r>
      <w:r>
        <w:rPr>
          <w:rFonts w:ascii="宋体" w:hAnsi="宋体" w:eastAsia="宋体" w:cs="宋体"/>
          <w:sz w:val="23"/>
          <w:szCs w:val="23"/>
        </w:rPr>
        <w:t xml:space="preserve">) 重点整治加工利用集散地。  (三) 规范引导 </w:t>
      </w:r>
      <w:r>
        <w:rPr>
          <w:rFonts w:ascii="宋体" w:hAnsi="宋体" w:eastAsia="宋体" w:cs="宋体"/>
          <w:spacing w:val="14"/>
          <w:sz w:val="23"/>
          <w:szCs w:val="23"/>
        </w:rPr>
        <w:t>一批再</w:t>
      </w:r>
      <w:r>
        <w:rPr>
          <w:rFonts w:ascii="宋体" w:hAnsi="宋体" w:eastAsia="宋体" w:cs="宋体"/>
          <w:spacing w:val="9"/>
          <w:sz w:val="23"/>
          <w:szCs w:val="23"/>
        </w:rPr>
        <w:t>生</w:t>
      </w:r>
      <w:r>
        <w:rPr>
          <w:rFonts w:ascii="宋体" w:hAnsi="宋体" w:eastAsia="宋体" w:cs="宋体"/>
          <w:spacing w:val="7"/>
          <w:sz w:val="23"/>
          <w:szCs w:val="23"/>
        </w:rPr>
        <w:t>利用企业健康发展。发挥</w:t>
      </w:r>
      <w:r>
        <w:rPr>
          <w:rFonts w:ascii="Times New Roman" w:hAnsi="Times New Roman" w:eastAsia="Times New Roman" w:cs="Times New Roman"/>
          <w:spacing w:val="7"/>
          <w:sz w:val="23"/>
          <w:szCs w:val="23"/>
        </w:rPr>
        <w:t>“</w:t>
      </w:r>
      <w:r>
        <w:rPr>
          <w:rFonts w:ascii="宋体" w:hAnsi="宋体" w:eastAsia="宋体" w:cs="宋体"/>
          <w:spacing w:val="7"/>
          <w:sz w:val="23"/>
          <w:szCs w:val="23"/>
        </w:rPr>
        <w:t>城市矿产</w:t>
      </w:r>
      <w:r>
        <w:rPr>
          <w:rFonts w:ascii="Times New Roman" w:hAnsi="Times New Roman" w:eastAsia="Times New Roman" w:cs="Times New Roman"/>
          <w:spacing w:val="7"/>
          <w:sz w:val="23"/>
          <w:szCs w:val="23"/>
        </w:rPr>
        <w:t>”</w:t>
      </w:r>
      <w:r>
        <w:rPr>
          <w:rFonts w:ascii="宋体" w:hAnsi="宋体" w:eastAsia="宋体" w:cs="宋体"/>
          <w:spacing w:val="7"/>
          <w:sz w:val="23"/>
          <w:szCs w:val="23"/>
        </w:rPr>
        <w:t>示范基地、再生资源示范工程、循</w:t>
      </w:r>
      <w:r>
        <w:rPr>
          <w:rFonts w:ascii="宋体" w:hAnsi="宋体" w:eastAsia="宋体" w:cs="宋体"/>
          <w:sz w:val="23"/>
          <w:szCs w:val="23"/>
        </w:rPr>
        <w:t xml:space="preserve"> </w:t>
      </w:r>
      <w:r>
        <w:rPr>
          <w:rFonts w:ascii="宋体" w:hAnsi="宋体" w:eastAsia="宋体" w:cs="宋体"/>
          <w:spacing w:val="9"/>
          <w:sz w:val="23"/>
          <w:szCs w:val="23"/>
        </w:rPr>
        <w:t>环</w:t>
      </w:r>
      <w:r>
        <w:rPr>
          <w:rFonts w:ascii="宋体" w:hAnsi="宋体" w:eastAsia="宋体" w:cs="宋体"/>
          <w:spacing w:val="7"/>
          <w:sz w:val="23"/>
          <w:szCs w:val="23"/>
        </w:rPr>
        <w:t>经济示范园区的引领作用和回收利用骨干企业的带动作用；完善再生资源回收</w:t>
      </w:r>
      <w:r>
        <w:rPr>
          <w:rFonts w:ascii="宋体" w:hAnsi="宋体" w:eastAsia="宋体" w:cs="宋体"/>
          <w:sz w:val="23"/>
          <w:szCs w:val="23"/>
        </w:rPr>
        <w:t xml:space="preserve"> </w:t>
      </w:r>
      <w:r>
        <w:rPr>
          <w:rFonts w:ascii="宋体" w:hAnsi="宋体" w:eastAsia="宋体" w:cs="宋体"/>
          <w:spacing w:val="9"/>
          <w:sz w:val="23"/>
          <w:szCs w:val="23"/>
        </w:rPr>
        <w:t>利</w:t>
      </w:r>
      <w:r>
        <w:rPr>
          <w:rFonts w:ascii="宋体" w:hAnsi="宋体" w:eastAsia="宋体" w:cs="宋体"/>
          <w:spacing w:val="7"/>
          <w:sz w:val="23"/>
          <w:szCs w:val="23"/>
        </w:rPr>
        <w:t>用基础设施，促进有关企业采用先进适用加工工艺，集聚发展，集中建设和运</w:t>
      </w:r>
      <w:r>
        <w:rPr>
          <w:rFonts w:ascii="宋体" w:hAnsi="宋体" w:eastAsia="宋体" w:cs="宋体"/>
          <w:sz w:val="23"/>
          <w:szCs w:val="23"/>
        </w:rPr>
        <w:t xml:space="preserve"> </w:t>
      </w:r>
      <w:r>
        <w:rPr>
          <w:rFonts w:ascii="宋体" w:hAnsi="宋体" w:eastAsia="宋体" w:cs="宋体"/>
          <w:spacing w:val="8"/>
          <w:sz w:val="23"/>
          <w:szCs w:val="23"/>
        </w:rPr>
        <w:t>营污染治理设施；推动国内废物再生利用集散地园区化、规模化和清洁化发展</w:t>
      </w:r>
      <w:r>
        <w:rPr>
          <w:rFonts w:ascii="宋体" w:hAnsi="宋体" w:eastAsia="宋体" w:cs="宋体"/>
          <w:spacing w:val="7"/>
          <w:sz w:val="23"/>
          <w:szCs w:val="23"/>
        </w:rPr>
        <w:t>；</w:t>
      </w:r>
    </w:p>
    <w:p w14:paraId="1018E077">
      <w:pPr>
        <w:sectPr>
          <w:headerReference r:id="rId22" w:type="default"/>
          <w:footerReference r:id="rId23" w:type="default"/>
          <w:pgSz w:w="11906" w:h="16839"/>
          <w:pgMar w:top="1132" w:right="1635" w:bottom="899" w:left="1749" w:header="878" w:footer="739" w:gutter="0"/>
          <w:cols w:space="720" w:num="1"/>
        </w:sectPr>
      </w:pPr>
    </w:p>
    <w:p w14:paraId="65155959">
      <w:pPr>
        <w:spacing w:line="409" w:lineRule="auto"/>
        <w:rPr>
          <w:rFonts w:ascii="Arial"/>
          <w:sz w:val="21"/>
        </w:rPr>
      </w:pPr>
      <w:r>
        <w:pict>
          <v:shape id="_x0000_s1038" o:spid="_x0000_s1038" style="position:absolute;left:0pt;margin-left:90pt;margin-top:57.35pt;height:0.75pt;width:415.3pt;mso-position-horizontal-relative:page;mso-position-vertical-relative:page;z-index:251676672;mso-width-relative:page;mso-height-relative:page;" fillcolor="#000000" filled="t" stroked="f" coordsize="8305,15" o:allowincell="f" path="m0,0l8305,0,8305,14,0,14,0,0xe">
            <v:path/>
            <v:fill on="t" focussize="0,0"/>
            <v:stroke on="f"/>
            <v:imagedata o:title=""/>
            <o:lock v:ext="edit"/>
          </v:shape>
        </w:pict>
      </w:r>
    </w:p>
    <w:p w14:paraId="032317E1">
      <w:pPr>
        <w:spacing w:before="75" w:line="393" w:lineRule="auto"/>
        <w:ind w:left="23" w:right="7" w:firstLine="1"/>
        <w:rPr>
          <w:rFonts w:ascii="宋体" w:hAnsi="宋体" w:eastAsia="宋体" w:cs="宋体"/>
          <w:sz w:val="23"/>
          <w:szCs w:val="23"/>
        </w:rPr>
      </w:pPr>
      <w:r>
        <w:rPr>
          <w:rFonts w:ascii="宋体" w:hAnsi="宋体" w:eastAsia="宋体" w:cs="宋体"/>
          <w:spacing w:val="7"/>
          <w:sz w:val="23"/>
          <w:szCs w:val="23"/>
        </w:rPr>
        <w:t>鼓励合法合规再生利用企业联合、重组，做大做强。该项目为新建再生塑料颗粒</w:t>
      </w:r>
      <w:r>
        <w:rPr>
          <w:rFonts w:ascii="宋体" w:hAnsi="宋体" w:eastAsia="宋体" w:cs="宋体"/>
          <w:sz w:val="23"/>
          <w:szCs w:val="23"/>
        </w:rPr>
        <w:t xml:space="preserve"> </w:t>
      </w:r>
      <w:r>
        <w:rPr>
          <w:rFonts w:ascii="宋体" w:hAnsi="宋体" w:eastAsia="宋体" w:cs="宋体"/>
          <w:spacing w:val="4"/>
          <w:sz w:val="23"/>
          <w:szCs w:val="23"/>
        </w:rPr>
        <w:t>加工项目，厂区所在地为本</w:t>
      </w:r>
      <w:r>
        <w:rPr>
          <w:rFonts w:ascii="宋体" w:hAnsi="宋体" w:eastAsia="宋体" w:cs="宋体"/>
          <w:spacing w:val="3"/>
          <w:sz w:val="23"/>
          <w:szCs w:val="23"/>
        </w:rPr>
        <w:t>溪</w:t>
      </w:r>
      <w:r>
        <w:rPr>
          <w:rFonts w:ascii="宋体" w:hAnsi="宋体" w:eastAsia="宋体" w:cs="宋体"/>
          <w:spacing w:val="2"/>
          <w:sz w:val="23"/>
          <w:szCs w:val="23"/>
        </w:rPr>
        <w:t>市溪湖区火连寨镇火连寨村，不在清理整顿范围内。</w:t>
      </w:r>
    </w:p>
    <w:p w14:paraId="31D0E0B8">
      <w:pPr>
        <w:spacing w:before="83" w:line="226" w:lineRule="auto"/>
        <w:ind w:left="33"/>
        <w:outlineLvl w:val="2"/>
        <w:rPr>
          <w:rFonts w:ascii="宋体" w:hAnsi="宋体" w:eastAsia="宋体" w:cs="宋体"/>
          <w:sz w:val="29"/>
          <w:szCs w:val="29"/>
        </w:rPr>
      </w:pPr>
      <w:r>
        <w:rPr>
          <w:rFonts w:ascii="Times New Roman" w:hAnsi="Times New Roman" w:eastAsia="Times New Roman" w:cs="Times New Roman"/>
          <w:b/>
          <w:bCs/>
          <w:spacing w:val="12"/>
          <w:sz w:val="29"/>
          <w:szCs w:val="29"/>
        </w:rPr>
        <w:t>1.</w:t>
      </w:r>
      <w:r>
        <w:rPr>
          <w:rFonts w:ascii="Times New Roman" w:hAnsi="Times New Roman" w:eastAsia="Times New Roman" w:cs="Times New Roman"/>
          <w:b/>
          <w:bCs/>
          <w:spacing w:val="7"/>
          <w:sz w:val="29"/>
          <w:szCs w:val="29"/>
        </w:rPr>
        <w:t>4</w:t>
      </w:r>
      <w:r>
        <w:rPr>
          <w:rFonts w:ascii="Times New Roman" w:hAnsi="Times New Roman" w:eastAsia="Times New Roman" w:cs="Times New Roman"/>
          <w:b/>
          <w:bCs/>
          <w:spacing w:val="6"/>
          <w:sz w:val="29"/>
          <w:szCs w:val="29"/>
        </w:rPr>
        <w:t>.3</w:t>
      </w:r>
      <w:r>
        <w:rPr>
          <w:rFonts w:ascii="Times New Roman" w:hAnsi="Times New Roman" w:eastAsia="Times New Roman" w:cs="Times New Roman"/>
          <w:spacing w:val="6"/>
          <w:sz w:val="29"/>
          <w:szCs w:val="29"/>
        </w:rPr>
        <w:t xml:space="preserve"> </w:t>
      </w:r>
      <w:r>
        <w:rPr>
          <w:rFonts w:ascii="Times New Roman" w:hAnsi="Times New Roman" w:eastAsia="Times New Roman" w:cs="Times New Roman"/>
          <w:b/>
          <w:bCs/>
          <w:spacing w:val="6"/>
          <w:sz w:val="29"/>
          <w:szCs w:val="29"/>
        </w:rPr>
        <w:t>“</w:t>
      </w:r>
      <w:r>
        <w:rPr>
          <w:rFonts w:ascii="宋体" w:hAnsi="宋体" w:eastAsia="宋体" w:cs="宋体"/>
          <w:spacing w:val="6"/>
          <w:sz w:val="29"/>
          <w:szCs w:val="29"/>
          <w14:textOutline w14:w="5448" w14:cap="sq" w14:cmpd="sng">
            <w14:solidFill>
              <w14:srgbClr w14:val="000000"/>
            </w14:solidFill>
            <w14:prstDash w14:val="solid"/>
            <w14:bevel/>
          </w14:textOutline>
        </w:rPr>
        <w:t>三线一单</w:t>
      </w:r>
      <w:r>
        <w:rPr>
          <w:rFonts w:ascii="Times New Roman" w:hAnsi="Times New Roman" w:eastAsia="Times New Roman" w:cs="Times New Roman"/>
          <w:b/>
          <w:bCs/>
          <w:spacing w:val="6"/>
          <w:sz w:val="29"/>
          <w:szCs w:val="29"/>
        </w:rPr>
        <w:t>”</w:t>
      </w:r>
      <w:r>
        <w:rPr>
          <w:rFonts w:ascii="宋体" w:hAnsi="宋体" w:eastAsia="宋体" w:cs="宋体"/>
          <w:spacing w:val="6"/>
          <w:sz w:val="29"/>
          <w:szCs w:val="29"/>
          <w14:textOutline w14:w="5448" w14:cap="sq" w14:cmpd="sng">
            <w14:solidFill>
              <w14:srgbClr w14:val="000000"/>
            </w14:solidFill>
            <w14:prstDash w14:val="solid"/>
            <w14:bevel/>
          </w14:textOutline>
        </w:rPr>
        <w:t>的符合性分析</w:t>
      </w:r>
    </w:p>
    <w:p w14:paraId="5D828DEB">
      <w:pPr>
        <w:spacing w:line="254" w:lineRule="auto"/>
        <w:rPr>
          <w:rFonts w:ascii="Arial"/>
          <w:sz w:val="21"/>
        </w:rPr>
      </w:pPr>
    </w:p>
    <w:p w14:paraId="73696D5C">
      <w:pPr>
        <w:spacing w:before="75" w:line="390" w:lineRule="auto"/>
        <w:ind w:left="23" w:right="52" w:firstLine="491"/>
        <w:rPr>
          <w:rFonts w:ascii="宋体" w:hAnsi="宋体" w:eastAsia="宋体" w:cs="宋体"/>
          <w:sz w:val="23"/>
          <w:szCs w:val="23"/>
        </w:rPr>
      </w:pPr>
      <w:r>
        <w:rPr>
          <w:rFonts w:ascii="宋体" w:hAnsi="宋体" w:eastAsia="宋体" w:cs="宋体"/>
          <w:spacing w:val="14"/>
          <w:sz w:val="23"/>
          <w:szCs w:val="23"/>
        </w:rPr>
        <w:t>(</w:t>
      </w:r>
      <w:r>
        <w:rPr>
          <w:rFonts w:ascii="Times New Roman" w:hAnsi="Times New Roman" w:eastAsia="Times New Roman" w:cs="Times New Roman"/>
          <w:spacing w:val="13"/>
          <w:sz w:val="23"/>
          <w:szCs w:val="23"/>
        </w:rPr>
        <w:t>1</w:t>
      </w:r>
      <w:r>
        <w:rPr>
          <w:rFonts w:ascii="宋体" w:hAnsi="宋体" w:eastAsia="宋体" w:cs="宋体"/>
          <w:spacing w:val="13"/>
          <w:sz w:val="23"/>
          <w:szCs w:val="23"/>
        </w:rPr>
        <w:t>) 环境质量底线：环境质量底线是国家和地方设置的大气、水和土壤环</w:t>
      </w:r>
      <w:r>
        <w:rPr>
          <w:rFonts w:ascii="宋体" w:hAnsi="宋体" w:eastAsia="宋体" w:cs="宋体"/>
          <w:sz w:val="23"/>
          <w:szCs w:val="23"/>
        </w:rPr>
        <w:t xml:space="preserve"> </w:t>
      </w:r>
      <w:r>
        <w:rPr>
          <w:rFonts w:ascii="宋体" w:hAnsi="宋体" w:eastAsia="宋体" w:cs="宋体"/>
          <w:spacing w:val="10"/>
          <w:sz w:val="23"/>
          <w:szCs w:val="23"/>
        </w:rPr>
        <w:t>境</w:t>
      </w:r>
      <w:r>
        <w:rPr>
          <w:rFonts w:ascii="宋体" w:hAnsi="宋体" w:eastAsia="宋体" w:cs="宋体"/>
          <w:spacing w:val="8"/>
          <w:sz w:val="23"/>
          <w:szCs w:val="23"/>
        </w:rPr>
        <w:t>质量目标，也是改善环境质量的基准线。项目环评应对照区域环境质量目标，</w:t>
      </w:r>
      <w:r>
        <w:rPr>
          <w:rFonts w:ascii="宋体" w:hAnsi="宋体" w:eastAsia="宋体" w:cs="宋体"/>
          <w:sz w:val="23"/>
          <w:szCs w:val="23"/>
        </w:rPr>
        <w:t xml:space="preserve"> </w:t>
      </w:r>
      <w:r>
        <w:rPr>
          <w:rFonts w:ascii="宋体" w:hAnsi="宋体" w:eastAsia="宋体" w:cs="宋体"/>
          <w:spacing w:val="9"/>
          <w:sz w:val="23"/>
          <w:szCs w:val="23"/>
        </w:rPr>
        <w:t>深</w:t>
      </w:r>
      <w:r>
        <w:rPr>
          <w:rFonts w:ascii="宋体" w:hAnsi="宋体" w:eastAsia="宋体" w:cs="宋体"/>
          <w:spacing w:val="7"/>
          <w:sz w:val="23"/>
          <w:szCs w:val="23"/>
        </w:rPr>
        <w:t>入分析预测项目建设对环境质量的影响，强化污染防治措施和污染物排放控制</w:t>
      </w:r>
      <w:r>
        <w:rPr>
          <w:rFonts w:ascii="宋体" w:hAnsi="宋体" w:eastAsia="宋体" w:cs="宋体"/>
          <w:sz w:val="23"/>
          <w:szCs w:val="23"/>
        </w:rPr>
        <w:t xml:space="preserve"> </w:t>
      </w:r>
      <w:r>
        <w:rPr>
          <w:rFonts w:ascii="宋体" w:hAnsi="宋体" w:eastAsia="宋体" w:cs="宋体"/>
          <w:spacing w:val="4"/>
          <w:sz w:val="23"/>
          <w:szCs w:val="23"/>
        </w:rPr>
        <w:t>要</w:t>
      </w:r>
      <w:r>
        <w:rPr>
          <w:rFonts w:ascii="宋体" w:hAnsi="宋体" w:eastAsia="宋体" w:cs="宋体"/>
          <w:spacing w:val="3"/>
          <w:sz w:val="23"/>
          <w:szCs w:val="23"/>
        </w:rPr>
        <w:t>求。</w:t>
      </w:r>
    </w:p>
    <w:p w14:paraId="52DAE604">
      <w:pPr>
        <w:spacing w:before="136" w:line="388" w:lineRule="auto"/>
        <w:ind w:left="22" w:right="75" w:firstLine="480"/>
        <w:rPr>
          <w:rFonts w:ascii="宋体" w:hAnsi="宋体" w:eastAsia="宋体" w:cs="宋体"/>
          <w:sz w:val="23"/>
          <w:szCs w:val="23"/>
        </w:rPr>
      </w:pPr>
      <w:r>
        <w:rPr>
          <w:rFonts w:ascii="宋体" w:hAnsi="宋体" w:eastAsia="宋体" w:cs="宋体"/>
          <w:spacing w:val="7"/>
          <w:sz w:val="23"/>
          <w:szCs w:val="23"/>
        </w:rPr>
        <w:t>①地表水环境质量底线：根据现场调查，该项目地块原为辽宁公路水泥厂</w:t>
      </w:r>
      <w:r>
        <w:rPr>
          <w:rFonts w:ascii="宋体" w:hAnsi="宋体" w:eastAsia="宋体" w:cs="宋体"/>
          <w:spacing w:val="3"/>
          <w:sz w:val="23"/>
          <w:szCs w:val="23"/>
        </w:rPr>
        <w:t>劳</w:t>
      </w:r>
      <w:r>
        <w:rPr>
          <w:rFonts w:ascii="宋体" w:hAnsi="宋体" w:eastAsia="宋体" w:cs="宋体"/>
          <w:sz w:val="23"/>
          <w:szCs w:val="23"/>
        </w:rPr>
        <w:t xml:space="preserve"> </w:t>
      </w:r>
      <w:r>
        <w:rPr>
          <w:rFonts w:ascii="宋体" w:hAnsi="宋体" w:eastAsia="宋体" w:cs="宋体"/>
          <w:spacing w:val="9"/>
          <w:sz w:val="23"/>
          <w:szCs w:val="23"/>
        </w:rPr>
        <w:t>动</w:t>
      </w:r>
      <w:r>
        <w:rPr>
          <w:rFonts w:ascii="宋体" w:hAnsi="宋体" w:eastAsia="宋体" w:cs="宋体"/>
          <w:spacing w:val="8"/>
          <w:sz w:val="23"/>
          <w:szCs w:val="23"/>
        </w:rPr>
        <w:t xml:space="preserve">服务公司，该地块从 </w:t>
      </w:r>
      <w:r>
        <w:rPr>
          <w:rFonts w:ascii="Times New Roman" w:hAnsi="Times New Roman" w:eastAsia="Times New Roman" w:cs="Times New Roman"/>
          <w:spacing w:val="8"/>
          <w:sz w:val="23"/>
          <w:szCs w:val="23"/>
        </w:rPr>
        <w:t xml:space="preserve">2000 </w:t>
      </w:r>
      <w:r>
        <w:rPr>
          <w:rFonts w:ascii="宋体" w:hAnsi="宋体" w:eastAsia="宋体" w:cs="宋体"/>
          <w:spacing w:val="8"/>
          <w:sz w:val="23"/>
          <w:szCs w:val="23"/>
        </w:rPr>
        <w:t>年闲置至今，无废水外排。本项目为新建再生塑料</w:t>
      </w:r>
      <w:r>
        <w:rPr>
          <w:rFonts w:ascii="宋体" w:hAnsi="宋体" w:eastAsia="宋体" w:cs="宋体"/>
          <w:sz w:val="23"/>
          <w:szCs w:val="23"/>
        </w:rPr>
        <w:t xml:space="preserve"> </w:t>
      </w:r>
      <w:r>
        <w:rPr>
          <w:rFonts w:ascii="宋体" w:hAnsi="宋体" w:eastAsia="宋体" w:cs="宋体"/>
          <w:spacing w:val="26"/>
          <w:sz w:val="23"/>
          <w:szCs w:val="23"/>
        </w:rPr>
        <w:t>颗</w:t>
      </w:r>
      <w:r>
        <w:rPr>
          <w:rFonts w:ascii="宋体" w:hAnsi="宋体" w:eastAsia="宋体" w:cs="宋体"/>
          <w:spacing w:val="24"/>
          <w:sz w:val="23"/>
          <w:szCs w:val="23"/>
        </w:rPr>
        <w:t>粒</w:t>
      </w:r>
      <w:r>
        <w:rPr>
          <w:rFonts w:ascii="宋体" w:hAnsi="宋体" w:eastAsia="宋体" w:cs="宋体"/>
          <w:spacing w:val="13"/>
          <w:sz w:val="23"/>
          <w:szCs w:val="23"/>
        </w:rPr>
        <w:t>加工项目，排水主要包括生活污水以及生产废水。该项目在厂区东南侧设</w:t>
      </w:r>
      <w:r>
        <w:rPr>
          <w:rFonts w:ascii="宋体" w:hAnsi="宋体" w:eastAsia="宋体" w:cs="宋体"/>
          <w:sz w:val="23"/>
          <w:szCs w:val="23"/>
        </w:rPr>
        <w:t xml:space="preserve"> </w:t>
      </w:r>
      <w:r>
        <w:rPr>
          <w:rFonts w:ascii="宋体" w:hAnsi="宋体" w:eastAsia="宋体" w:cs="宋体"/>
          <w:spacing w:val="20"/>
          <w:sz w:val="23"/>
          <w:szCs w:val="23"/>
        </w:rPr>
        <w:t>有旱</w:t>
      </w:r>
      <w:r>
        <w:rPr>
          <w:rFonts w:ascii="宋体" w:hAnsi="宋体" w:eastAsia="宋体" w:cs="宋体"/>
          <w:spacing w:val="12"/>
          <w:sz w:val="23"/>
          <w:szCs w:val="23"/>
        </w:rPr>
        <w:t>厕</w:t>
      </w:r>
      <w:r>
        <w:rPr>
          <w:rFonts w:ascii="宋体" w:hAnsi="宋体" w:eastAsia="宋体" w:cs="宋体"/>
          <w:spacing w:val="10"/>
          <w:sz w:val="23"/>
          <w:szCs w:val="23"/>
        </w:rPr>
        <w:t xml:space="preserve">，员工使用防渗旱厕，定期清掏，不外排；项目设有 </w:t>
      </w:r>
      <w:r>
        <w:rPr>
          <w:rFonts w:ascii="Times New Roman" w:hAnsi="Times New Roman" w:eastAsia="Times New Roman" w:cs="Times New Roman"/>
          <w:spacing w:val="10"/>
          <w:sz w:val="23"/>
          <w:szCs w:val="23"/>
        </w:rPr>
        <w:t xml:space="preserve">1 </w:t>
      </w:r>
      <w:r>
        <w:rPr>
          <w:rFonts w:ascii="宋体" w:hAnsi="宋体" w:eastAsia="宋体" w:cs="宋体"/>
          <w:spacing w:val="10"/>
          <w:sz w:val="23"/>
          <w:szCs w:val="23"/>
        </w:rPr>
        <w:t xml:space="preserve">座容积为 </w:t>
      </w:r>
      <w:r>
        <w:rPr>
          <w:rFonts w:ascii="Times New Roman" w:hAnsi="Times New Roman" w:eastAsia="Times New Roman" w:cs="Times New Roman"/>
          <w:spacing w:val="10"/>
          <w:sz w:val="23"/>
          <w:szCs w:val="23"/>
        </w:rPr>
        <w:t>324</w:t>
      </w:r>
      <w:r>
        <w:rPr>
          <w:rFonts w:ascii="Times New Roman" w:hAnsi="Times New Roman" w:eastAsia="Times New Roman" w:cs="Times New Roman"/>
          <w:sz w:val="23"/>
          <w:szCs w:val="23"/>
        </w:rPr>
        <w:t>m</w:t>
      </w:r>
      <w:r>
        <w:rPr>
          <w:rFonts w:ascii="Times New Roman" w:hAnsi="Times New Roman" w:eastAsia="Times New Roman" w:cs="Times New Roman"/>
          <w:spacing w:val="10"/>
          <w:position w:val="8"/>
          <w:sz w:val="15"/>
          <w:szCs w:val="15"/>
        </w:rPr>
        <w:t>3</w:t>
      </w:r>
      <w:r>
        <w:rPr>
          <w:rFonts w:ascii="Times New Roman" w:hAnsi="Times New Roman" w:eastAsia="Times New Roman" w:cs="Times New Roman"/>
          <w:position w:val="8"/>
          <w:sz w:val="15"/>
          <w:szCs w:val="15"/>
        </w:rPr>
        <w:t xml:space="preserve"> </w:t>
      </w:r>
      <w:r>
        <w:rPr>
          <w:rFonts w:ascii="宋体" w:hAnsi="宋体" w:eastAsia="宋体" w:cs="宋体"/>
          <w:spacing w:val="6"/>
          <w:sz w:val="23"/>
          <w:szCs w:val="23"/>
        </w:rPr>
        <w:t xml:space="preserve">的三级沉淀池 </w:t>
      </w:r>
      <w:r>
        <w:rPr>
          <w:rFonts w:ascii="宋体" w:hAnsi="宋体" w:eastAsia="宋体" w:cs="宋体"/>
          <w:spacing w:val="5"/>
          <w:sz w:val="23"/>
          <w:szCs w:val="23"/>
        </w:rPr>
        <w:t>(</w:t>
      </w:r>
      <w:r>
        <w:rPr>
          <w:rFonts w:ascii="Times New Roman" w:hAnsi="Times New Roman" w:eastAsia="Times New Roman" w:cs="Times New Roman"/>
          <w:spacing w:val="3"/>
          <w:sz w:val="23"/>
          <w:szCs w:val="23"/>
        </w:rPr>
        <w:t>12</w:t>
      </w:r>
      <w:r>
        <w:rPr>
          <w:rFonts w:ascii="Times New Roman" w:hAnsi="Times New Roman" w:eastAsia="Times New Roman" w:cs="Times New Roman"/>
          <w:sz w:val="23"/>
          <w:szCs w:val="23"/>
        </w:rPr>
        <w:t>m</w:t>
      </w:r>
      <w:r>
        <w:rPr>
          <w:rFonts w:ascii="Times New Roman" w:hAnsi="Times New Roman" w:eastAsia="Times New Roman" w:cs="Times New Roman"/>
          <w:spacing w:val="3"/>
          <w:sz w:val="23"/>
          <w:szCs w:val="23"/>
        </w:rPr>
        <w:t>×6</w:t>
      </w:r>
      <w:r>
        <w:rPr>
          <w:rFonts w:ascii="Times New Roman" w:hAnsi="Times New Roman" w:eastAsia="Times New Roman" w:cs="Times New Roman"/>
          <w:sz w:val="23"/>
          <w:szCs w:val="23"/>
        </w:rPr>
        <w:t>m</w:t>
      </w:r>
      <w:r>
        <w:rPr>
          <w:rFonts w:ascii="Times New Roman" w:hAnsi="Times New Roman" w:eastAsia="Times New Roman" w:cs="Times New Roman"/>
          <w:spacing w:val="3"/>
          <w:sz w:val="23"/>
          <w:szCs w:val="23"/>
        </w:rPr>
        <w:t>×4.5</w:t>
      </w:r>
      <w:r>
        <w:rPr>
          <w:rFonts w:ascii="Times New Roman" w:hAnsi="Times New Roman" w:eastAsia="Times New Roman" w:cs="Times New Roman"/>
          <w:sz w:val="23"/>
          <w:szCs w:val="23"/>
        </w:rPr>
        <w:t>m</w:t>
      </w:r>
      <w:r>
        <w:rPr>
          <w:rFonts w:ascii="宋体" w:hAnsi="宋体" w:eastAsia="宋体" w:cs="宋体"/>
          <w:spacing w:val="3"/>
          <w:sz w:val="23"/>
          <w:szCs w:val="23"/>
        </w:rPr>
        <w:t xml:space="preserve">) ，同时配套设有 </w:t>
      </w:r>
      <w:r>
        <w:rPr>
          <w:rFonts w:ascii="Times New Roman" w:hAnsi="Times New Roman" w:eastAsia="Times New Roman" w:cs="Times New Roman"/>
          <w:spacing w:val="3"/>
          <w:sz w:val="23"/>
          <w:szCs w:val="23"/>
        </w:rPr>
        <w:t xml:space="preserve">1 </w:t>
      </w:r>
      <w:r>
        <w:rPr>
          <w:rFonts w:ascii="宋体" w:hAnsi="宋体" w:eastAsia="宋体" w:cs="宋体"/>
          <w:spacing w:val="3"/>
          <w:sz w:val="23"/>
          <w:szCs w:val="23"/>
        </w:rPr>
        <w:t>台一体化污水预处理设备，均</w:t>
      </w:r>
      <w:r>
        <w:rPr>
          <w:rFonts w:ascii="宋体" w:hAnsi="宋体" w:eastAsia="宋体" w:cs="宋体"/>
          <w:sz w:val="23"/>
          <w:szCs w:val="23"/>
        </w:rPr>
        <w:t xml:space="preserve"> </w:t>
      </w:r>
      <w:r>
        <w:rPr>
          <w:rFonts w:ascii="宋体" w:hAnsi="宋体" w:eastAsia="宋体" w:cs="宋体"/>
          <w:spacing w:val="14"/>
          <w:sz w:val="23"/>
          <w:szCs w:val="23"/>
        </w:rPr>
        <w:t>位于</w:t>
      </w:r>
      <w:r>
        <w:rPr>
          <w:rFonts w:ascii="宋体" w:hAnsi="宋体" w:eastAsia="宋体" w:cs="宋体"/>
          <w:spacing w:val="7"/>
          <w:sz w:val="23"/>
          <w:szCs w:val="23"/>
        </w:rPr>
        <w:t>生产厂房西南侧，产生的生产废水经一体化污水预处理设备处理后排入三级</w:t>
      </w:r>
      <w:r>
        <w:rPr>
          <w:rFonts w:ascii="宋体" w:hAnsi="宋体" w:eastAsia="宋体" w:cs="宋体"/>
          <w:sz w:val="23"/>
          <w:szCs w:val="23"/>
        </w:rPr>
        <w:t xml:space="preserve"> </w:t>
      </w:r>
      <w:r>
        <w:rPr>
          <w:rFonts w:ascii="宋体" w:hAnsi="宋体" w:eastAsia="宋体" w:cs="宋体"/>
          <w:spacing w:val="8"/>
          <w:sz w:val="23"/>
          <w:szCs w:val="23"/>
        </w:rPr>
        <w:t>沉淀池 (</w:t>
      </w:r>
      <w:r>
        <w:rPr>
          <w:rFonts w:ascii="Times New Roman" w:hAnsi="Times New Roman" w:eastAsia="Times New Roman" w:cs="Times New Roman"/>
          <w:spacing w:val="5"/>
          <w:sz w:val="23"/>
          <w:szCs w:val="23"/>
        </w:rPr>
        <w:t>1</w:t>
      </w:r>
      <w:r>
        <w:rPr>
          <w:rFonts w:ascii="Times New Roman" w:hAnsi="Times New Roman" w:eastAsia="Times New Roman" w:cs="Times New Roman"/>
          <w:spacing w:val="4"/>
          <w:sz w:val="23"/>
          <w:szCs w:val="23"/>
        </w:rPr>
        <w:t>2</w:t>
      </w:r>
      <w:r>
        <w:rPr>
          <w:rFonts w:ascii="Times New Roman" w:hAnsi="Times New Roman" w:eastAsia="Times New Roman" w:cs="Times New Roman"/>
          <w:sz w:val="23"/>
          <w:szCs w:val="23"/>
        </w:rPr>
        <w:t>m</w:t>
      </w:r>
      <w:r>
        <w:rPr>
          <w:rFonts w:ascii="Times New Roman" w:hAnsi="Times New Roman" w:eastAsia="Times New Roman" w:cs="Times New Roman"/>
          <w:spacing w:val="4"/>
          <w:sz w:val="23"/>
          <w:szCs w:val="23"/>
        </w:rPr>
        <w:t>×6</w:t>
      </w:r>
      <w:r>
        <w:rPr>
          <w:rFonts w:ascii="Times New Roman" w:hAnsi="Times New Roman" w:eastAsia="Times New Roman" w:cs="Times New Roman"/>
          <w:sz w:val="23"/>
          <w:szCs w:val="23"/>
        </w:rPr>
        <w:t>m</w:t>
      </w:r>
      <w:r>
        <w:rPr>
          <w:rFonts w:ascii="Times New Roman" w:hAnsi="Times New Roman" w:eastAsia="Times New Roman" w:cs="Times New Roman"/>
          <w:spacing w:val="4"/>
          <w:sz w:val="23"/>
          <w:szCs w:val="23"/>
        </w:rPr>
        <w:t>×4.5</w:t>
      </w:r>
      <w:r>
        <w:rPr>
          <w:rFonts w:ascii="Times New Roman" w:hAnsi="Times New Roman" w:eastAsia="Times New Roman" w:cs="Times New Roman"/>
          <w:sz w:val="23"/>
          <w:szCs w:val="23"/>
        </w:rPr>
        <w:t>m</w:t>
      </w:r>
      <w:r>
        <w:rPr>
          <w:rFonts w:ascii="宋体" w:hAnsi="宋体" w:eastAsia="宋体" w:cs="宋体"/>
          <w:spacing w:val="4"/>
          <w:sz w:val="23"/>
          <w:szCs w:val="23"/>
        </w:rPr>
        <w:t>) 沉淀处理，随后循环使用。污水处理设施废水每月更换</w:t>
      </w:r>
      <w:r>
        <w:rPr>
          <w:rFonts w:ascii="宋体" w:hAnsi="宋体" w:eastAsia="宋体" w:cs="宋体"/>
          <w:sz w:val="23"/>
          <w:szCs w:val="23"/>
        </w:rPr>
        <w:t xml:space="preserve"> </w:t>
      </w:r>
      <w:r>
        <w:rPr>
          <w:rFonts w:ascii="Times New Roman" w:hAnsi="Times New Roman" w:eastAsia="Times New Roman" w:cs="Times New Roman"/>
          <w:spacing w:val="-6"/>
          <w:sz w:val="23"/>
          <w:szCs w:val="23"/>
        </w:rPr>
        <w:t xml:space="preserve">1 </w:t>
      </w:r>
      <w:r>
        <w:rPr>
          <w:rFonts w:ascii="宋体" w:hAnsi="宋体" w:eastAsia="宋体" w:cs="宋体"/>
          <w:spacing w:val="-6"/>
          <w:sz w:val="23"/>
          <w:szCs w:val="23"/>
        </w:rPr>
        <w:t>次，更换过程产</w:t>
      </w:r>
      <w:r>
        <w:rPr>
          <w:rFonts w:ascii="宋体" w:hAnsi="宋体" w:eastAsia="宋体" w:cs="宋体"/>
          <w:spacing w:val="-5"/>
          <w:sz w:val="23"/>
          <w:szCs w:val="23"/>
        </w:rPr>
        <w:t>生</w:t>
      </w:r>
      <w:r>
        <w:rPr>
          <w:rFonts w:ascii="宋体" w:hAnsi="宋体" w:eastAsia="宋体" w:cs="宋体"/>
          <w:spacing w:val="-3"/>
          <w:sz w:val="23"/>
          <w:szCs w:val="23"/>
        </w:rPr>
        <w:t>的废水经吸污车运送至本溪市科态污水处理有限责任公司统一处</w:t>
      </w:r>
      <w:r>
        <w:rPr>
          <w:rFonts w:ascii="宋体" w:hAnsi="宋体" w:eastAsia="宋体" w:cs="宋体"/>
          <w:sz w:val="23"/>
          <w:szCs w:val="23"/>
        </w:rPr>
        <w:t xml:space="preserve"> </w:t>
      </w:r>
      <w:r>
        <w:rPr>
          <w:rFonts w:ascii="宋体" w:hAnsi="宋体" w:eastAsia="宋体" w:cs="宋体"/>
          <w:spacing w:val="11"/>
          <w:sz w:val="23"/>
          <w:szCs w:val="23"/>
        </w:rPr>
        <w:t>理</w:t>
      </w:r>
      <w:r>
        <w:rPr>
          <w:rFonts w:ascii="宋体" w:hAnsi="宋体" w:eastAsia="宋体" w:cs="宋体"/>
          <w:spacing w:val="8"/>
          <w:sz w:val="23"/>
          <w:szCs w:val="23"/>
        </w:rPr>
        <w:t>，对当地地表水环境质量影响不大。</w:t>
      </w:r>
    </w:p>
    <w:p w14:paraId="31BE5268">
      <w:pPr>
        <w:spacing w:before="124" w:line="225" w:lineRule="auto"/>
        <w:ind w:left="477"/>
        <w:rPr>
          <w:rFonts w:ascii="宋体" w:hAnsi="宋体" w:eastAsia="宋体" w:cs="宋体"/>
          <w:sz w:val="23"/>
          <w:szCs w:val="23"/>
        </w:rPr>
      </w:pPr>
      <w:r>
        <w:rPr>
          <w:rFonts w:ascii="宋体" w:hAnsi="宋体" w:eastAsia="宋体" w:cs="宋体"/>
          <w:spacing w:val="10"/>
          <w:sz w:val="23"/>
          <w:szCs w:val="23"/>
        </w:rPr>
        <w:t>②大气环境</w:t>
      </w:r>
      <w:r>
        <w:rPr>
          <w:rFonts w:ascii="宋体" w:hAnsi="宋体" w:eastAsia="宋体" w:cs="宋体"/>
          <w:spacing w:val="9"/>
          <w:sz w:val="23"/>
          <w:szCs w:val="23"/>
        </w:rPr>
        <w:t>质</w:t>
      </w:r>
      <w:r>
        <w:rPr>
          <w:rFonts w:ascii="宋体" w:hAnsi="宋体" w:eastAsia="宋体" w:cs="宋体"/>
          <w:spacing w:val="5"/>
          <w:sz w:val="23"/>
          <w:szCs w:val="23"/>
        </w:rPr>
        <w:t>量底线：本次优先采用《本溪市环境质量简报 (</w:t>
      </w:r>
      <w:r>
        <w:rPr>
          <w:rFonts w:ascii="Times New Roman" w:hAnsi="Times New Roman" w:eastAsia="Times New Roman" w:cs="Times New Roman"/>
          <w:spacing w:val="5"/>
          <w:sz w:val="23"/>
          <w:szCs w:val="23"/>
        </w:rPr>
        <w:t xml:space="preserve">2018 </w:t>
      </w:r>
      <w:r>
        <w:rPr>
          <w:rFonts w:ascii="宋体" w:hAnsi="宋体" w:eastAsia="宋体" w:cs="宋体"/>
          <w:spacing w:val="5"/>
          <w:sz w:val="23"/>
          <w:szCs w:val="23"/>
        </w:rPr>
        <w:t>年) 》中</w:t>
      </w:r>
    </w:p>
    <w:p w14:paraId="0FFE1215">
      <w:pPr>
        <w:spacing w:before="199" w:line="359" w:lineRule="auto"/>
        <w:ind w:left="22" w:hanging="3"/>
        <w:rPr>
          <w:rFonts w:ascii="宋体" w:hAnsi="宋体" w:eastAsia="宋体" w:cs="宋体"/>
          <w:sz w:val="23"/>
          <w:szCs w:val="23"/>
        </w:rPr>
      </w:pPr>
      <w:r>
        <w:rPr>
          <w:rFonts w:ascii="Times New Roman" w:hAnsi="Times New Roman" w:eastAsia="Times New Roman" w:cs="Times New Roman"/>
          <w:spacing w:val="-5"/>
          <w:sz w:val="23"/>
          <w:szCs w:val="23"/>
        </w:rPr>
        <w:t xml:space="preserve">2018 </w:t>
      </w:r>
      <w:r>
        <w:rPr>
          <w:rFonts w:ascii="宋体" w:hAnsi="宋体" w:eastAsia="宋体" w:cs="宋体"/>
          <w:spacing w:val="-5"/>
          <w:sz w:val="23"/>
          <w:szCs w:val="23"/>
        </w:rPr>
        <w:t xml:space="preserve">年本溪市环境质量的相关数据进行评价，监测项目为 </w:t>
      </w:r>
      <w:r>
        <w:rPr>
          <w:rFonts w:ascii="Times New Roman" w:hAnsi="Times New Roman" w:eastAsia="Times New Roman" w:cs="Times New Roman"/>
          <w:spacing w:val="-5"/>
          <w:sz w:val="23"/>
          <w:szCs w:val="23"/>
        </w:rPr>
        <w:t>SO</w:t>
      </w:r>
      <w:r>
        <w:rPr>
          <w:rFonts w:ascii="Times New Roman" w:hAnsi="Times New Roman" w:eastAsia="Times New Roman" w:cs="Times New Roman"/>
          <w:spacing w:val="-5"/>
          <w:position w:val="-1"/>
          <w:sz w:val="15"/>
          <w:szCs w:val="15"/>
        </w:rPr>
        <w:t>2</w:t>
      </w:r>
      <w:r>
        <w:rPr>
          <w:rFonts w:ascii="宋体" w:hAnsi="宋体" w:eastAsia="宋体" w:cs="宋体"/>
          <w:spacing w:val="-5"/>
          <w:sz w:val="23"/>
          <w:szCs w:val="23"/>
        </w:rPr>
        <w:t>、</w:t>
      </w:r>
      <w:r>
        <w:rPr>
          <w:rFonts w:ascii="Times New Roman" w:hAnsi="Times New Roman" w:eastAsia="Times New Roman" w:cs="Times New Roman"/>
          <w:spacing w:val="-5"/>
          <w:sz w:val="23"/>
          <w:szCs w:val="23"/>
        </w:rPr>
        <w:t>NO</w:t>
      </w:r>
      <w:r>
        <w:rPr>
          <w:rFonts w:ascii="Times New Roman" w:hAnsi="Times New Roman" w:eastAsia="Times New Roman" w:cs="Times New Roman"/>
          <w:spacing w:val="-5"/>
          <w:position w:val="-1"/>
          <w:sz w:val="15"/>
          <w:szCs w:val="15"/>
        </w:rPr>
        <w:t>2</w:t>
      </w:r>
      <w:r>
        <w:rPr>
          <w:rFonts w:ascii="宋体" w:hAnsi="宋体" w:eastAsia="宋体" w:cs="宋体"/>
          <w:spacing w:val="-5"/>
          <w:sz w:val="23"/>
          <w:szCs w:val="23"/>
        </w:rPr>
        <w:t>、</w:t>
      </w:r>
      <w:r>
        <w:rPr>
          <w:rFonts w:ascii="Times New Roman" w:hAnsi="Times New Roman" w:eastAsia="Times New Roman" w:cs="Times New Roman"/>
          <w:spacing w:val="-5"/>
          <w:sz w:val="23"/>
          <w:szCs w:val="23"/>
        </w:rPr>
        <w:t>PM</w:t>
      </w:r>
      <w:r>
        <w:rPr>
          <w:rFonts w:ascii="Times New Roman" w:hAnsi="Times New Roman" w:eastAsia="Times New Roman" w:cs="Times New Roman"/>
          <w:spacing w:val="-5"/>
          <w:position w:val="-1"/>
          <w:sz w:val="15"/>
          <w:szCs w:val="15"/>
        </w:rPr>
        <w:t>10</w:t>
      </w:r>
      <w:r>
        <w:rPr>
          <w:rFonts w:ascii="宋体" w:hAnsi="宋体" w:eastAsia="宋体" w:cs="宋体"/>
          <w:spacing w:val="-5"/>
          <w:sz w:val="23"/>
          <w:szCs w:val="23"/>
        </w:rPr>
        <w:t>、</w:t>
      </w:r>
      <w:r>
        <w:rPr>
          <w:rFonts w:ascii="Times New Roman" w:hAnsi="Times New Roman" w:eastAsia="Times New Roman" w:cs="Times New Roman"/>
          <w:spacing w:val="-3"/>
          <w:sz w:val="23"/>
          <w:szCs w:val="23"/>
        </w:rPr>
        <w:t>P</w:t>
      </w:r>
      <w:r>
        <w:rPr>
          <w:rFonts w:ascii="Times New Roman" w:hAnsi="Times New Roman" w:eastAsia="Times New Roman" w:cs="Times New Roman"/>
          <w:sz w:val="23"/>
          <w:szCs w:val="23"/>
        </w:rPr>
        <w:t>M</w:t>
      </w:r>
      <w:r>
        <w:rPr>
          <w:rFonts w:ascii="Times New Roman" w:hAnsi="Times New Roman" w:eastAsia="Times New Roman" w:cs="Times New Roman"/>
          <w:spacing w:val="-5"/>
          <w:position w:val="-1"/>
          <w:sz w:val="15"/>
          <w:szCs w:val="15"/>
        </w:rPr>
        <w:t>2.5</w:t>
      </w:r>
      <w:r>
        <w:rPr>
          <w:rFonts w:ascii="宋体" w:hAnsi="宋体" w:eastAsia="宋体" w:cs="宋体"/>
          <w:spacing w:val="-5"/>
          <w:sz w:val="23"/>
          <w:szCs w:val="23"/>
        </w:rPr>
        <w:t>、</w:t>
      </w:r>
      <w:r>
        <w:rPr>
          <w:rFonts w:ascii="宋体" w:hAnsi="宋体" w:eastAsia="宋体" w:cs="宋体"/>
          <w:sz w:val="23"/>
          <w:szCs w:val="23"/>
        </w:rPr>
        <w:t xml:space="preserve"> </w:t>
      </w:r>
      <w:r>
        <w:rPr>
          <w:rFonts w:ascii="Times New Roman" w:hAnsi="Times New Roman" w:eastAsia="Times New Roman" w:cs="Times New Roman"/>
          <w:sz w:val="23"/>
          <w:szCs w:val="23"/>
        </w:rPr>
        <w:t>CO</w:t>
      </w:r>
      <w:r>
        <w:rPr>
          <w:rFonts w:ascii="Times New Roman" w:hAnsi="Times New Roman" w:eastAsia="Times New Roman" w:cs="Times New Roman"/>
          <w:spacing w:val="10"/>
          <w:sz w:val="23"/>
          <w:szCs w:val="23"/>
        </w:rPr>
        <w:t xml:space="preserve"> </w:t>
      </w:r>
      <w:r>
        <w:rPr>
          <w:rFonts w:ascii="宋体" w:hAnsi="宋体" w:eastAsia="宋体" w:cs="宋体"/>
          <w:spacing w:val="10"/>
          <w:sz w:val="23"/>
          <w:szCs w:val="23"/>
        </w:rPr>
        <w:t>、</w:t>
      </w:r>
      <w:r>
        <w:rPr>
          <w:rFonts w:ascii="Times New Roman" w:hAnsi="Times New Roman" w:eastAsia="Times New Roman" w:cs="Times New Roman"/>
          <w:sz w:val="23"/>
          <w:szCs w:val="23"/>
        </w:rPr>
        <w:t>O</w:t>
      </w:r>
      <w:r>
        <w:rPr>
          <w:rFonts w:ascii="Times New Roman" w:hAnsi="Times New Roman" w:eastAsia="Times New Roman" w:cs="Times New Roman"/>
          <w:spacing w:val="10"/>
          <w:position w:val="-1"/>
          <w:sz w:val="15"/>
          <w:szCs w:val="15"/>
        </w:rPr>
        <w:t xml:space="preserve">3 </w:t>
      </w:r>
      <w:r>
        <w:rPr>
          <w:rFonts w:ascii="宋体" w:hAnsi="宋体" w:eastAsia="宋体" w:cs="宋体"/>
          <w:spacing w:val="10"/>
          <w:sz w:val="23"/>
          <w:szCs w:val="23"/>
        </w:rPr>
        <w:t>。</w:t>
      </w:r>
      <w:r>
        <w:rPr>
          <w:rFonts w:ascii="Times New Roman" w:hAnsi="Times New Roman" w:eastAsia="Times New Roman" w:cs="Times New Roman"/>
          <w:spacing w:val="10"/>
          <w:sz w:val="23"/>
          <w:szCs w:val="23"/>
        </w:rPr>
        <w:t>2</w:t>
      </w:r>
      <w:r>
        <w:rPr>
          <w:rFonts w:ascii="Times New Roman" w:hAnsi="Times New Roman" w:eastAsia="Times New Roman" w:cs="Times New Roman"/>
          <w:spacing w:val="8"/>
          <w:sz w:val="23"/>
          <w:szCs w:val="23"/>
        </w:rPr>
        <w:t>0</w:t>
      </w:r>
      <w:r>
        <w:rPr>
          <w:rFonts w:ascii="Times New Roman" w:hAnsi="Times New Roman" w:eastAsia="Times New Roman" w:cs="Times New Roman"/>
          <w:spacing w:val="5"/>
          <w:sz w:val="23"/>
          <w:szCs w:val="23"/>
        </w:rPr>
        <w:t xml:space="preserve">18 </w:t>
      </w:r>
      <w:r>
        <w:rPr>
          <w:rFonts w:ascii="宋体" w:hAnsi="宋体" w:eastAsia="宋体" w:cs="宋体"/>
          <w:spacing w:val="5"/>
          <w:sz w:val="23"/>
          <w:szCs w:val="23"/>
        </w:rPr>
        <w:t>年本溪市城区环境空气质量达</w:t>
      </w:r>
      <w:r>
        <w:rPr>
          <w:rFonts w:ascii="Times New Roman" w:hAnsi="Times New Roman" w:eastAsia="Times New Roman" w:cs="Times New Roman"/>
          <w:spacing w:val="5"/>
          <w:sz w:val="23"/>
          <w:szCs w:val="23"/>
        </w:rPr>
        <w:t>Ⅱ</w:t>
      </w:r>
      <w:r>
        <w:rPr>
          <w:rFonts w:ascii="宋体" w:hAnsi="宋体" w:eastAsia="宋体" w:cs="宋体"/>
          <w:spacing w:val="5"/>
          <w:sz w:val="23"/>
          <w:szCs w:val="23"/>
        </w:rPr>
        <w:t xml:space="preserve">级 (良) 以上天数为 </w:t>
      </w:r>
      <w:r>
        <w:rPr>
          <w:rFonts w:ascii="Times New Roman" w:hAnsi="Times New Roman" w:eastAsia="Times New Roman" w:cs="Times New Roman"/>
          <w:spacing w:val="5"/>
          <w:sz w:val="23"/>
          <w:szCs w:val="23"/>
        </w:rPr>
        <w:t xml:space="preserve">331 </w:t>
      </w:r>
      <w:r>
        <w:rPr>
          <w:rFonts w:ascii="宋体" w:hAnsi="宋体" w:eastAsia="宋体" w:cs="宋体"/>
          <w:spacing w:val="5"/>
          <w:sz w:val="23"/>
          <w:szCs w:val="23"/>
        </w:rPr>
        <w:t>天，达</w:t>
      </w:r>
      <w:r>
        <w:rPr>
          <w:rFonts w:ascii="宋体" w:hAnsi="宋体" w:eastAsia="宋体" w:cs="宋体"/>
          <w:sz w:val="23"/>
          <w:szCs w:val="23"/>
        </w:rPr>
        <w:t xml:space="preserve"> </w:t>
      </w:r>
      <w:r>
        <w:rPr>
          <w:rFonts w:ascii="宋体" w:hAnsi="宋体" w:eastAsia="宋体" w:cs="宋体"/>
          <w:spacing w:val="1"/>
          <w:sz w:val="23"/>
          <w:szCs w:val="23"/>
        </w:rPr>
        <w:t xml:space="preserve">标率为 </w:t>
      </w:r>
      <w:r>
        <w:rPr>
          <w:rFonts w:ascii="Times New Roman" w:hAnsi="Times New Roman" w:eastAsia="Times New Roman" w:cs="Times New Roman"/>
          <w:spacing w:val="1"/>
          <w:sz w:val="23"/>
          <w:szCs w:val="23"/>
        </w:rPr>
        <w:t xml:space="preserve">90.7% </w:t>
      </w:r>
      <w:r>
        <w:rPr>
          <w:rFonts w:ascii="宋体" w:hAnsi="宋体" w:eastAsia="宋体" w:cs="宋体"/>
          <w:spacing w:val="1"/>
          <w:sz w:val="23"/>
          <w:szCs w:val="23"/>
        </w:rPr>
        <w:t xml:space="preserve">。 自然降尘平均浓度为 </w:t>
      </w:r>
      <w:r>
        <w:rPr>
          <w:rFonts w:ascii="Times New Roman" w:hAnsi="Times New Roman" w:eastAsia="Times New Roman" w:cs="Times New Roman"/>
          <w:spacing w:val="1"/>
          <w:sz w:val="23"/>
          <w:szCs w:val="23"/>
        </w:rPr>
        <w:t xml:space="preserve">10.3 </w:t>
      </w:r>
      <w:r>
        <w:rPr>
          <w:rFonts w:ascii="宋体" w:hAnsi="宋体" w:eastAsia="宋体" w:cs="宋体"/>
          <w:spacing w:val="1"/>
          <w:sz w:val="23"/>
          <w:szCs w:val="23"/>
        </w:rPr>
        <w:t>吨</w:t>
      </w:r>
      <w:r>
        <w:rPr>
          <w:rFonts w:ascii="Times New Roman" w:hAnsi="Times New Roman" w:eastAsia="Times New Roman" w:cs="Times New Roman"/>
          <w:spacing w:val="1"/>
          <w:sz w:val="23"/>
          <w:szCs w:val="23"/>
        </w:rPr>
        <w:t>/</w:t>
      </w:r>
      <w:r>
        <w:rPr>
          <w:rFonts w:ascii="宋体" w:hAnsi="宋体" w:eastAsia="宋体" w:cs="宋体"/>
          <w:spacing w:val="1"/>
          <w:sz w:val="23"/>
          <w:szCs w:val="23"/>
        </w:rPr>
        <w:t>平方公里</w:t>
      </w:r>
      <w:r>
        <w:rPr>
          <w:rFonts w:ascii="Times New Roman" w:hAnsi="Times New Roman" w:eastAsia="Times New Roman" w:cs="Times New Roman"/>
          <w:sz w:val="23"/>
          <w:szCs w:val="23"/>
        </w:rPr>
        <w:t xml:space="preserve">· </w:t>
      </w:r>
      <w:r>
        <w:rPr>
          <w:rFonts w:ascii="宋体" w:hAnsi="宋体" w:eastAsia="宋体" w:cs="宋体"/>
          <w:sz w:val="23"/>
          <w:szCs w:val="23"/>
        </w:rPr>
        <w:t>月，</w:t>
      </w:r>
      <w:r>
        <w:rPr>
          <w:rFonts w:ascii="Times New Roman" w:hAnsi="Times New Roman" w:eastAsia="Times New Roman" w:cs="Times New Roman"/>
          <w:sz w:val="23"/>
          <w:szCs w:val="23"/>
        </w:rPr>
        <w:t xml:space="preserve">6 </w:t>
      </w:r>
      <w:r>
        <w:rPr>
          <w:rFonts w:ascii="宋体" w:hAnsi="宋体" w:eastAsia="宋体" w:cs="宋体"/>
          <w:sz w:val="23"/>
          <w:szCs w:val="23"/>
        </w:rPr>
        <w:t xml:space="preserve">项污染物年均浓度 </w:t>
      </w:r>
      <w:r>
        <w:rPr>
          <w:rFonts w:ascii="宋体" w:hAnsi="宋体" w:eastAsia="宋体" w:cs="宋体"/>
          <w:spacing w:val="6"/>
          <w:sz w:val="23"/>
          <w:szCs w:val="23"/>
        </w:rPr>
        <w:t>全部达标，</w:t>
      </w:r>
      <w:r>
        <w:rPr>
          <w:rFonts w:ascii="Times New Roman" w:hAnsi="Times New Roman" w:eastAsia="Times New Roman" w:cs="Times New Roman"/>
          <w:sz w:val="23"/>
          <w:szCs w:val="23"/>
        </w:rPr>
        <w:t>PM</w:t>
      </w:r>
      <w:r>
        <w:rPr>
          <w:rFonts w:ascii="Times New Roman" w:hAnsi="Times New Roman" w:eastAsia="Times New Roman" w:cs="Times New Roman"/>
          <w:spacing w:val="6"/>
          <w:sz w:val="23"/>
          <w:szCs w:val="23"/>
        </w:rPr>
        <w:t>10</w:t>
      </w:r>
      <w:r>
        <w:rPr>
          <w:rFonts w:ascii="宋体" w:hAnsi="宋体" w:eastAsia="宋体" w:cs="宋体"/>
          <w:spacing w:val="5"/>
          <w:sz w:val="23"/>
          <w:szCs w:val="23"/>
        </w:rPr>
        <w:t>、</w:t>
      </w:r>
      <w:r>
        <w:rPr>
          <w:rFonts w:ascii="Times New Roman" w:hAnsi="Times New Roman" w:eastAsia="Times New Roman" w:cs="Times New Roman"/>
          <w:sz w:val="23"/>
          <w:szCs w:val="23"/>
        </w:rPr>
        <w:t>PM</w:t>
      </w:r>
      <w:r>
        <w:rPr>
          <w:rFonts w:ascii="Times New Roman" w:hAnsi="Times New Roman" w:eastAsia="Times New Roman" w:cs="Times New Roman"/>
          <w:spacing w:val="3"/>
          <w:sz w:val="23"/>
          <w:szCs w:val="23"/>
        </w:rPr>
        <w:t xml:space="preserve">2.5 </w:t>
      </w:r>
      <w:r>
        <w:rPr>
          <w:rFonts w:ascii="宋体" w:hAnsi="宋体" w:eastAsia="宋体" w:cs="宋体"/>
          <w:spacing w:val="3"/>
          <w:sz w:val="23"/>
          <w:szCs w:val="23"/>
        </w:rPr>
        <w:t xml:space="preserve">年均浓度分别为 </w:t>
      </w:r>
      <w:r>
        <w:rPr>
          <w:rFonts w:ascii="Times New Roman" w:hAnsi="Times New Roman" w:eastAsia="Times New Roman" w:cs="Times New Roman"/>
          <w:spacing w:val="3"/>
          <w:sz w:val="23"/>
          <w:szCs w:val="23"/>
        </w:rPr>
        <w:t xml:space="preserve">65 </w:t>
      </w:r>
      <w:r>
        <w:rPr>
          <w:rFonts w:ascii="宋体" w:hAnsi="宋体" w:eastAsia="宋体" w:cs="宋体"/>
          <w:spacing w:val="3"/>
          <w:sz w:val="23"/>
          <w:szCs w:val="23"/>
        </w:rPr>
        <w:t>微克</w:t>
      </w:r>
      <w:r>
        <w:rPr>
          <w:rFonts w:ascii="Times New Roman" w:hAnsi="Times New Roman" w:eastAsia="Times New Roman" w:cs="Times New Roman"/>
          <w:spacing w:val="3"/>
          <w:sz w:val="23"/>
          <w:szCs w:val="23"/>
        </w:rPr>
        <w:t>/</w:t>
      </w:r>
      <w:r>
        <w:rPr>
          <w:rFonts w:ascii="宋体" w:hAnsi="宋体" w:eastAsia="宋体" w:cs="宋体"/>
          <w:spacing w:val="3"/>
          <w:sz w:val="23"/>
          <w:szCs w:val="23"/>
        </w:rPr>
        <w:t xml:space="preserve">立方米和 </w:t>
      </w:r>
      <w:r>
        <w:rPr>
          <w:rFonts w:ascii="Times New Roman" w:hAnsi="Times New Roman" w:eastAsia="Times New Roman" w:cs="Times New Roman"/>
          <w:spacing w:val="3"/>
          <w:sz w:val="23"/>
          <w:szCs w:val="23"/>
        </w:rPr>
        <w:t xml:space="preserve">34 </w:t>
      </w:r>
      <w:r>
        <w:rPr>
          <w:rFonts w:ascii="宋体" w:hAnsi="宋体" w:eastAsia="宋体" w:cs="宋体"/>
          <w:spacing w:val="3"/>
          <w:sz w:val="23"/>
          <w:szCs w:val="23"/>
        </w:rPr>
        <w:t>微克</w:t>
      </w:r>
      <w:r>
        <w:rPr>
          <w:rFonts w:ascii="Times New Roman" w:hAnsi="Times New Roman" w:eastAsia="Times New Roman" w:cs="Times New Roman"/>
          <w:spacing w:val="3"/>
          <w:sz w:val="23"/>
          <w:szCs w:val="23"/>
        </w:rPr>
        <w:t>/</w:t>
      </w:r>
      <w:r>
        <w:rPr>
          <w:rFonts w:ascii="宋体" w:hAnsi="宋体" w:eastAsia="宋体" w:cs="宋体"/>
          <w:spacing w:val="3"/>
          <w:sz w:val="23"/>
          <w:szCs w:val="23"/>
        </w:rPr>
        <w:t>立方米。统</w:t>
      </w:r>
      <w:r>
        <w:rPr>
          <w:rFonts w:ascii="宋体" w:hAnsi="宋体" w:eastAsia="宋体" w:cs="宋体"/>
          <w:sz w:val="23"/>
          <w:szCs w:val="23"/>
        </w:rPr>
        <w:t xml:space="preserve"> </w:t>
      </w:r>
      <w:r>
        <w:rPr>
          <w:rFonts w:ascii="宋体" w:hAnsi="宋体" w:eastAsia="宋体" w:cs="宋体"/>
          <w:spacing w:val="1"/>
          <w:sz w:val="23"/>
          <w:szCs w:val="23"/>
        </w:rPr>
        <w:t>计结果可知，</w:t>
      </w:r>
      <w:r>
        <w:rPr>
          <w:rFonts w:ascii="Times New Roman" w:hAnsi="Times New Roman" w:eastAsia="Times New Roman" w:cs="Times New Roman"/>
          <w:sz w:val="23"/>
          <w:szCs w:val="23"/>
        </w:rPr>
        <w:t>SO</w:t>
      </w:r>
      <w:r>
        <w:rPr>
          <w:rFonts w:ascii="Times New Roman" w:hAnsi="Times New Roman" w:eastAsia="Times New Roman" w:cs="Times New Roman"/>
          <w:spacing w:val="1"/>
          <w:position w:val="-1"/>
          <w:sz w:val="15"/>
          <w:szCs w:val="15"/>
        </w:rPr>
        <w:t>2</w:t>
      </w:r>
      <w:r>
        <w:rPr>
          <w:rFonts w:ascii="宋体" w:hAnsi="宋体" w:eastAsia="宋体" w:cs="宋体"/>
          <w:spacing w:val="1"/>
          <w:sz w:val="23"/>
          <w:szCs w:val="23"/>
        </w:rPr>
        <w:t>、</w:t>
      </w:r>
      <w:r>
        <w:rPr>
          <w:rFonts w:ascii="Times New Roman" w:hAnsi="Times New Roman" w:eastAsia="Times New Roman" w:cs="Times New Roman"/>
          <w:sz w:val="23"/>
          <w:szCs w:val="23"/>
        </w:rPr>
        <w:t>NO</w:t>
      </w:r>
      <w:r>
        <w:rPr>
          <w:rFonts w:ascii="Times New Roman" w:hAnsi="Times New Roman" w:eastAsia="Times New Roman" w:cs="Times New Roman"/>
          <w:spacing w:val="1"/>
          <w:position w:val="-1"/>
          <w:sz w:val="15"/>
          <w:szCs w:val="15"/>
        </w:rPr>
        <w:t xml:space="preserve">2 </w:t>
      </w:r>
      <w:r>
        <w:rPr>
          <w:rFonts w:ascii="宋体" w:hAnsi="宋体" w:eastAsia="宋体" w:cs="宋体"/>
          <w:spacing w:val="1"/>
          <w:sz w:val="23"/>
          <w:szCs w:val="23"/>
        </w:rPr>
        <w:t>、</w:t>
      </w:r>
      <w:r>
        <w:rPr>
          <w:rFonts w:ascii="Times New Roman" w:hAnsi="Times New Roman" w:eastAsia="Times New Roman" w:cs="Times New Roman"/>
          <w:sz w:val="23"/>
          <w:szCs w:val="23"/>
        </w:rPr>
        <w:t>PM</w:t>
      </w:r>
      <w:r>
        <w:rPr>
          <w:rFonts w:ascii="Times New Roman" w:hAnsi="Times New Roman" w:eastAsia="Times New Roman" w:cs="Times New Roman"/>
          <w:spacing w:val="1"/>
          <w:position w:val="-1"/>
          <w:sz w:val="15"/>
          <w:szCs w:val="15"/>
        </w:rPr>
        <w:t xml:space="preserve">10 </w:t>
      </w:r>
      <w:r>
        <w:rPr>
          <w:rFonts w:ascii="宋体" w:hAnsi="宋体" w:eastAsia="宋体" w:cs="宋体"/>
          <w:spacing w:val="1"/>
          <w:sz w:val="23"/>
          <w:szCs w:val="23"/>
        </w:rPr>
        <w:t>、</w:t>
      </w:r>
      <w:r>
        <w:rPr>
          <w:rFonts w:ascii="Times New Roman" w:hAnsi="Times New Roman" w:eastAsia="Times New Roman" w:cs="Times New Roman"/>
          <w:sz w:val="23"/>
          <w:szCs w:val="23"/>
        </w:rPr>
        <w:t>PM</w:t>
      </w:r>
      <w:r>
        <w:rPr>
          <w:rFonts w:ascii="Times New Roman" w:hAnsi="Times New Roman" w:eastAsia="Times New Roman" w:cs="Times New Roman"/>
          <w:spacing w:val="1"/>
          <w:position w:val="-1"/>
          <w:sz w:val="15"/>
          <w:szCs w:val="15"/>
        </w:rPr>
        <w:t xml:space="preserve">2.5 </w:t>
      </w:r>
      <w:r>
        <w:rPr>
          <w:rFonts w:ascii="宋体" w:hAnsi="宋体" w:eastAsia="宋体" w:cs="宋体"/>
          <w:spacing w:val="1"/>
          <w:sz w:val="23"/>
          <w:szCs w:val="23"/>
        </w:rPr>
        <w:t>年均值、</w:t>
      </w:r>
      <w:r>
        <w:rPr>
          <w:rFonts w:ascii="Times New Roman" w:hAnsi="Times New Roman" w:eastAsia="Times New Roman" w:cs="Times New Roman"/>
          <w:sz w:val="23"/>
          <w:szCs w:val="23"/>
        </w:rPr>
        <w:t>CO</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 xml:space="preserve">日均值和 </w:t>
      </w:r>
      <w:r>
        <w:rPr>
          <w:rFonts w:ascii="Times New Roman" w:hAnsi="Times New Roman" w:eastAsia="Times New Roman" w:cs="Times New Roman"/>
          <w:sz w:val="23"/>
          <w:szCs w:val="23"/>
        </w:rPr>
        <w:t>O</w:t>
      </w:r>
      <w:r>
        <w:rPr>
          <w:rFonts w:ascii="Times New Roman" w:hAnsi="Times New Roman" w:eastAsia="Times New Roman" w:cs="Times New Roman"/>
          <w:spacing w:val="1"/>
          <w:position w:val="-1"/>
          <w:sz w:val="15"/>
          <w:szCs w:val="15"/>
        </w:rPr>
        <w:t>3</w:t>
      </w:r>
      <w:r>
        <w:rPr>
          <w:rFonts w:ascii="Times New Roman" w:hAnsi="Times New Roman" w:eastAsia="Times New Roman" w:cs="Times New Roman"/>
          <w:position w:val="-1"/>
          <w:sz w:val="15"/>
          <w:szCs w:val="15"/>
        </w:rPr>
        <w:t xml:space="preserve">  </w:t>
      </w:r>
      <w:r>
        <w:rPr>
          <w:rFonts w:ascii="宋体" w:hAnsi="宋体" w:eastAsia="宋体" w:cs="宋体"/>
          <w:sz w:val="23"/>
          <w:szCs w:val="23"/>
        </w:rPr>
        <w:t xml:space="preserve">日最大 </w:t>
      </w:r>
      <w:r>
        <w:rPr>
          <w:rFonts w:ascii="Times New Roman" w:hAnsi="Times New Roman" w:eastAsia="Times New Roman" w:cs="Times New Roman"/>
          <w:sz w:val="23"/>
          <w:szCs w:val="23"/>
        </w:rPr>
        <w:t xml:space="preserve">8 </w:t>
      </w:r>
      <w:r>
        <w:rPr>
          <w:rFonts w:ascii="宋体" w:hAnsi="宋体" w:eastAsia="宋体" w:cs="宋体"/>
          <w:sz w:val="23"/>
          <w:szCs w:val="23"/>
        </w:rPr>
        <w:t xml:space="preserve">小时均 </w:t>
      </w:r>
      <w:r>
        <w:rPr>
          <w:rFonts w:ascii="宋体" w:hAnsi="宋体" w:eastAsia="宋体" w:cs="宋体"/>
          <w:spacing w:val="8"/>
          <w:sz w:val="23"/>
          <w:szCs w:val="23"/>
        </w:rPr>
        <w:t>值浓度均符合国家</w:t>
      </w:r>
      <w:r>
        <w:rPr>
          <w:rFonts w:ascii="宋体" w:hAnsi="宋体" w:eastAsia="宋体" w:cs="宋体"/>
          <w:spacing w:val="4"/>
          <w:sz w:val="23"/>
          <w:szCs w:val="23"/>
        </w:rPr>
        <w:t>《环境空气质量标准》  (</w:t>
      </w:r>
      <w:r>
        <w:rPr>
          <w:rFonts w:ascii="Times New Roman" w:hAnsi="Times New Roman" w:eastAsia="Times New Roman" w:cs="Times New Roman"/>
          <w:sz w:val="23"/>
          <w:szCs w:val="23"/>
        </w:rPr>
        <w:t>GB</w:t>
      </w:r>
      <w:r>
        <w:rPr>
          <w:rFonts w:ascii="Times New Roman" w:hAnsi="Times New Roman" w:eastAsia="Times New Roman" w:cs="Times New Roman"/>
          <w:spacing w:val="4"/>
          <w:sz w:val="23"/>
          <w:szCs w:val="23"/>
        </w:rPr>
        <w:t>3095-2012</w:t>
      </w:r>
      <w:r>
        <w:rPr>
          <w:rFonts w:ascii="宋体" w:hAnsi="宋体" w:eastAsia="宋体" w:cs="宋体"/>
          <w:spacing w:val="4"/>
          <w:sz w:val="23"/>
          <w:szCs w:val="23"/>
        </w:rPr>
        <w:t>) 修改单中二级浓度限</w:t>
      </w:r>
    </w:p>
    <w:p w14:paraId="071145DB">
      <w:pPr>
        <w:spacing w:before="197" w:line="227" w:lineRule="auto"/>
        <w:ind w:left="23"/>
        <w:rPr>
          <w:rFonts w:ascii="宋体" w:hAnsi="宋体" w:eastAsia="宋体" w:cs="宋体"/>
          <w:sz w:val="23"/>
          <w:szCs w:val="23"/>
        </w:rPr>
      </w:pPr>
      <w:r>
        <w:rPr>
          <w:rFonts w:ascii="宋体" w:hAnsi="宋体" w:eastAsia="宋体" w:cs="宋体"/>
          <w:spacing w:val="5"/>
          <w:sz w:val="23"/>
          <w:szCs w:val="23"/>
        </w:rPr>
        <w:t>值要求。</w:t>
      </w:r>
    </w:p>
    <w:p w14:paraId="001F3951">
      <w:pPr>
        <w:spacing w:line="278" w:lineRule="auto"/>
        <w:rPr>
          <w:rFonts w:ascii="Arial"/>
          <w:sz w:val="21"/>
        </w:rPr>
      </w:pPr>
    </w:p>
    <w:p w14:paraId="277CB135">
      <w:pPr>
        <w:spacing w:before="75" w:line="390" w:lineRule="auto"/>
        <w:ind w:left="25" w:right="82" w:firstLine="478"/>
        <w:rPr>
          <w:rFonts w:ascii="宋体" w:hAnsi="宋体" w:eastAsia="宋体" w:cs="宋体"/>
          <w:sz w:val="23"/>
          <w:szCs w:val="23"/>
        </w:rPr>
      </w:pPr>
      <w:r>
        <w:rPr>
          <w:rFonts w:ascii="宋体" w:hAnsi="宋体" w:eastAsia="宋体" w:cs="宋体"/>
          <w:spacing w:val="8"/>
          <w:sz w:val="23"/>
          <w:szCs w:val="23"/>
        </w:rPr>
        <w:t>根据《环境影响</w:t>
      </w:r>
      <w:r>
        <w:rPr>
          <w:rFonts w:ascii="宋体" w:hAnsi="宋体" w:eastAsia="宋体" w:cs="宋体"/>
          <w:spacing w:val="7"/>
          <w:sz w:val="23"/>
          <w:szCs w:val="23"/>
        </w:rPr>
        <w:t>评</w:t>
      </w:r>
      <w:r>
        <w:rPr>
          <w:rFonts w:ascii="宋体" w:hAnsi="宋体" w:eastAsia="宋体" w:cs="宋体"/>
          <w:spacing w:val="4"/>
          <w:sz w:val="23"/>
          <w:szCs w:val="23"/>
        </w:rPr>
        <w:t>价技术导则</w:t>
      </w:r>
      <w:r>
        <w:rPr>
          <w:rFonts w:ascii="Times New Roman" w:hAnsi="Times New Roman" w:eastAsia="Times New Roman" w:cs="Times New Roman"/>
          <w:spacing w:val="4"/>
          <w:sz w:val="23"/>
          <w:szCs w:val="23"/>
        </w:rPr>
        <w:t>—</w:t>
      </w:r>
      <w:r>
        <w:rPr>
          <w:rFonts w:ascii="宋体" w:hAnsi="宋体" w:eastAsia="宋体" w:cs="宋体"/>
          <w:spacing w:val="4"/>
          <w:sz w:val="23"/>
          <w:szCs w:val="23"/>
        </w:rPr>
        <w:t>大气环境》  (</w:t>
      </w:r>
      <w:r>
        <w:rPr>
          <w:rFonts w:ascii="Times New Roman" w:hAnsi="Times New Roman" w:eastAsia="Times New Roman" w:cs="Times New Roman"/>
          <w:sz w:val="23"/>
          <w:szCs w:val="23"/>
        </w:rPr>
        <w:t>HJ</w:t>
      </w:r>
      <w:r>
        <w:rPr>
          <w:rFonts w:ascii="Times New Roman" w:hAnsi="Times New Roman" w:eastAsia="Times New Roman" w:cs="Times New Roman"/>
          <w:spacing w:val="4"/>
          <w:sz w:val="23"/>
          <w:szCs w:val="23"/>
        </w:rPr>
        <w:t>2.2-2018</w:t>
      </w:r>
      <w:r>
        <w:rPr>
          <w:rFonts w:ascii="宋体" w:hAnsi="宋体" w:eastAsia="宋体" w:cs="宋体"/>
          <w:spacing w:val="4"/>
          <w:sz w:val="23"/>
          <w:szCs w:val="23"/>
        </w:rPr>
        <w:t>) 要求，六项基本</w:t>
      </w:r>
      <w:r>
        <w:rPr>
          <w:rFonts w:ascii="宋体" w:hAnsi="宋体" w:eastAsia="宋体" w:cs="宋体"/>
          <w:sz w:val="23"/>
          <w:szCs w:val="23"/>
        </w:rPr>
        <w:t xml:space="preserve"> </w:t>
      </w:r>
      <w:r>
        <w:rPr>
          <w:rFonts w:ascii="宋体" w:hAnsi="宋体" w:eastAsia="宋体" w:cs="宋体"/>
          <w:spacing w:val="11"/>
          <w:sz w:val="23"/>
          <w:szCs w:val="23"/>
        </w:rPr>
        <w:t>污染物全部达标为区域环境质量达标，从《本溪市环境质量简报 (</w:t>
      </w:r>
      <w:r>
        <w:rPr>
          <w:rFonts w:ascii="Times New Roman" w:hAnsi="Times New Roman" w:eastAsia="Times New Roman" w:cs="Times New Roman"/>
          <w:spacing w:val="11"/>
          <w:sz w:val="23"/>
          <w:szCs w:val="23"/>
        </w:rPr>
        <w:t xml:space="preserve">2018 </w:t>
      </w:r>
      <w:r>
        <w:rPr>
          <w:rFonts w:ascii="宋体" w:hAnsi="宋体" w:eastAsia="宋体" w:cs="宋体"/>
          <w:spacing w:val="11"/>
          <w:sz w:val="23"/>
          <w:szCs w:val="23"/>
        </w:rPr>
        <w:t xml:space="preserve">年) </w:t>
      </w:r>
      <w:r>
        <w:rPr>
          <w:rFonts w:ascii="宋体" w:hAnsi="宋体" w:eastAsia="宋体" w:cs="宋体"/>
          <w:spacing w:val="4"/>
          <w:sz w:val="23"/>
          <w:szCs w:val="23"/>
        </w:rPr>
        <w:t>》</w:t>
      </w:r>
      <w:r>
        <w:rPr>
          <w:rFonts w:ascii="宋体" w:hAnsi="宋体" w:eastAsia="宋体" w:cs="宋体"/>
          <w:sz w:val="23"/>
          <w:szCs w:val="23"/>
        </w:rPr>
        <w:t xml:space="preserve"> </w:t>
      </w:r>
      <w:r>
        <w:rPr>
          <w:rFonts w:ascii="宋体" w:hAnsi="宋体" w:eastAsia="宋体" w:cs="宋体"/>
          <w:spacing w:val="9"/>
          <w:sz w:val="23"/>
          <w:szCs w:val="23"/>
        </w:rPr>
        <w:t>结论可以看出该项目所在区域为达标区</w:t>
      </w:r>
      <w:r>
        <w:rPr>
          <w:rFonts w:ascii="宋体" w:hAnsi="宋体" w:eastAsia="宋体" w:cs="宋体"/>
          <w:spacing w:val="5"/>
          <w:sz w:val="23"/>
          <w:szCs w:val="23"/>
        </w:rPr>
        <w:t>。</w:t>
      </w:r>
    </w:p>
    <w:p w14:paraId="091CCCAE">
      <w:pPr>
        <w:sectPr>
          <w:headerReference r:id="rId24" w:type="default"/>
          <w:footerReference r:id="rId25" w:type="default"/>
          <w:pgSz w:w="11906" w:h="16839"/>
          <w:pgMar w:top="1132" w:right="1712" w:bottom="899" w:left="1785" w:header="878" w:footer="739" w:gutter="0"/>
          <w:cols w:space="720" w:num="1"/>
        </w:sectPr>
      </w:pPr>
    </w:p>
    <w:p w14:paraId="6762D16E">
      <w:pPr>
        <w:spacing w:line="405" w:lineRule="auto"/>
        <w:rPr>
          <w:rFonts w:ascii="Arial"/>
          <w:sz w:val="21"/>
        </w:rPr>
      </w:pPr>
      <w:r>
        <w:pict>
          <v:shape id="_x0000_s1039" o:spid="_x0000_s1039" style="position:absolute;left:0pt;margin-left:90pt;margin-top:57.35pt;height:0.75pt;width:415.3pt;mso-position-horizontal-relative:page;mso-position-vertical-relative:page;z-index:251677696;mso-width-relative:page;mso-height-relative:page;" fillcolor="#000000" filled="t" stroked="f" coordsize="8305,15" o:allowincell="f" path="m0,0l8305,0,8305,14,0,14,0,0xe">
            <v:path/>
            <v:fill on="t" focussize="0,0"/>
            <v:stroke on="f"/>
            <v:imagedata o:title=""/>
            <o:lock v:ext="edit"/>
          </v:shape>
        </w:pict>
      </w:r>
    </w:p>
    <w:p w14:paraId="666F7133">
      <w:pPr>
        <w:spacing w:before="75" w:line="388" w:lineRule="auto"/>
        <w:ind w:left="23" w:right="63" w:firstLine="467"/>
        <w:rPr>
          <w:rFonts w:ascii="宋体" w:hAnsi="宋体" w:eastAsia="宋体" w:cs="宋体"/>
          <w:sz w:val="23"/>
          <w:szCs w:val="23"/>
        </w:rPr>
      </w:pPr>
      <w:r>
        <w:rPr>
          <w:rFonts w:ascii="宋体" w:hAnsi="宋体" w:eastAsia="宋体" w:cs="宋体"/>
          <w:spacing w:val="2"/>
          <w:sz w:val="23"/>
          <w:szCs w:val="23"/>
        </w:rPr>
        <w:t>(</w:t>
      </w:r>
      <w:r>
        <w:rPr>
          <w:rFonts w:ascii="Times New Roman" w:hAnsi="Times New Roman" w:eastAsia="Times New Roman" w:cs="Times New Roman"/>
          <w:spacing w:val="2"/>
          <w:sz w:val="23"/>
          <w:szCs w:val="23"/>
        </w:rPr>
        <w:t>2</w:t>
      </w:r>
      <w:r>
        <w:rPr>
          <w:rFonts w:ascii="宋体" w:hAnsi="宋体" w:eastAsia="宋体" w:cs="宋体"/>
          <w:spacing w:val="2"/>
          <w:sz w:val="23"/>
          <w:szCs w:val="23"/>
        </w:rPr>
        <w:t>) 生态保护红线：根据环评【</w:t>
      </w:r>
      <w:r>
        <w:rPr>
          <w:rFonts w:ascii="Times New Roman" w:hAnsi="Times New Roman" w:eastAsia="Times New Roman" w:cs="Times New Roman"/>
          <w:spacing w:val="2"/>
          <w:sz w:val="23"/>
          <w:szCs w:val="23"/>
        </w:rPr>
        <w:t>2016</w:t>
      </w:r>
      <w:r>
        <w:rPr>
          <w:rFonts w:ascii="宋体" w:hAnsi="宋体" w:eastAsia="宋体" w:cs="宋体"/>
          <w:spacing w:val="2"/>
          <w:sz w:val="23"/>
          <w:szCs w:val="23"/>
        </w:rPr>
        <w:t>】</w:t>
      </w:r>
      <w:r>
        <w:rPr>
          <w:rFonts w:ascii="Times New Roman" w:hAnsi="Times New Roman" w:eastAsia="Times New Roman" w:cs="Times New Roman"/>
          <w:spacing w:val="2"/>
          <w:sz w:val="23"/>
          <w:szCs w:val="23"/>
        </w:rPr>
        <w:t xml:space="preserve">150 </w:t>
      </w:r>
      <w:r>
        <w:rPr>
          <w:rFonts w:ascii="宋体" w:hAnsi="宋体" w:eastAsia="宋体" w:cs="宋体"/>
          <w:spacing w:val="2"/>
          <w:sz w:val="23"/>
          <w:szCs w:val="23"/>
        </w:rPr>
        <w:t>号文，生态保护红线是生态空</w:t>
      </w:r>
      <w:r>
        <w:rPr>
          <w:rFonts w:ascii="宋体" w:hAnsi="宋体" w:eastAsia="宋体" w:cs="宋体"/>
          <w:sz w:val="23"/>
          <w:szCs w:val="23"/>
        </w:rPr>
        <w:t xml:space="preserve">间范 </w:t>
      </w:r>
      <w:r>
        <w:rPr>
          <w:rFonts w:ascii="宋体" w:hAnsi="宋体" w:eastAsia="宋体" w:cs="宋体"/>
          <w:spacing w:val="1"/>
          <w:sz w:val="23"/>
          <w:szCs w:val="23"/>
        </w:rPr>
        <w:t>围内具有特殊重要生态功能必须实行强制性严格保护的区域。除</w:t>
      </w:r>
      <w:r>
        <w:rPr>
          <w:rFonts w:ascii="宋体" w:hAnsi="宋体" w:eastAsia="宋体" w:cs="宋体"/>
          <w:sz w:val="23"/>
          <w:szCs w:val="23"/>
        </w:rPr>
        <w:t xml:space="preserve">受自然条件限制、 </w:t>
      </w:r>
      <w:r>
        <w:rPr>
          <w:rFonts w:ascii="宋体" w:hAnsi="宋体" w:eastAsia="宋体" w:cs="宋体"/>
          <w:spacing w:val="1"/>
          <w:sz w:val="23"/>
          <w:szCs w:val="23"/>
        </w:rPr>
        <w:t>确实无法避让的铁路、公路、航道、防洪、管道、干渠、通讯、</w:t>
      </w:r>
      <w:r>
        <w:rPr>
          <w:rFonts w:ascii="宋体" w:hAnsi="宋体" w:eastAsia="宋体" w:cs="宋体"/>
          <w:sz w:val="23"/>
          <w:szCs w:val="23"/>
        </w:rPr>
        <w:t xml:space="preserve">输变电等重要基础 </w:t>
      </w:r>
      <w:r>
        <w:rPr>
          <w:rFonts w:ascii="宋体" w:hAnsi="宋体" w:eastAsia="宋体" w:cs="宋体"/>
          <w:spacing w:val="1"/>
          <w:sz w:val="23"/>
          <w:szCs w:val="23"/>
        </w:rPr>
        <w:t>设施项目外，在生态保护红线范围内，严控各类开发建设活动，</w:t>
      </w:r>
      <w:r>
        <w:rPr>
          <w:rFonts w:ascii="宋体" w:hAnsi="宋体" w:eastAsia="宋体" w:cs="宋体"/>
          <w:sz w:val="23"/>
          <w:szCs w:val="23"/>
        </w:rPr>
        <w:t xml:space="preserve">依法不予审批新建 </w:t>
      </w:r>
      <w:r>
        <w:rPr>
          <w:rFonts w:ascii="宋体" w:hAnsi="宋体" w:eastAsia="宋体" w:cs="宋体"/>
          <w:spacing w:val="8"/>
          <w:sz w:val="23"/>
          <w:szCs w:val="23"/>
        </w:rPr>
        <w:t>工</w:t>
      </w:r>
      <w:r>
        <w:rPr>
          <w:rFonts w:ascii="宋体" w:hAnsi="宋体" w:eastAsia="宋体" w:cs="宋体"/>
          <w:spacing w:val="7"/>
          <w:sz w:val="23"/>
          <w:szCs w:val="23"/>
        </w:rPr>
        <w:t>业项目和矿产开发项目的环评文件。该项目位于辽宁省本溪市溪湖区火连寨镇</w:t>
      </w:r>
      <w:r>
        <w:rPr>
          <w:rFonts w:ascii="宋体" w:hAnsi="宋体" w:eastAsia="宋体" w:cs="宋体"/>
          <w:sz w:val="23"/>
          <w:szCs w:val="23"/>
        </w:rPr>
        <w:t xml:space="preserve"> </w:t>
      </w:r>
      <w:r>
        <w:rPr>
          <w:rFonts w:ascii="宋体" w:hAnsi="宋体" w:eastAsia="宋体" w:cs="宋体"/>
          <w:spacing w:val="8"/>
          <w:sz w:val="23"/>
          <w:szCs w:val="23"/>
        </w:rPr>
        <w:t>火连寨村，</w:t>
      </w:r>
      <w:r>
        <w:rPr>
          <w:rFonts w:ascii="宋体" w:hAnsi="宋体" w:eastAsia="宋体" w:cs="宋体"/>
          <w:spacing w:val="4"/>
          <w:sz w:val="23"/>
          <w:szCs w:val="23"/>
        </w:rPr>
        <w:t xml:space="preserve">地理位置坐标为 </w:t>
      </w:r>
      <w:r>
        <w:rPr>
          <w:rFonts w:ascii="Times New Roman" w:hAnsi="Times New Roman" w:eastAsia="Times New Roman" w:cs="Times New Roman"/>
          <w:sz w:val="23"/>
          <w:szCs w:val="23"/>
        </w:rPr>
        <w:t>N</w:t>
      </w:r>
      <w:r>
        <w:rPr>
          <w:rFonts w:ascii="Times New Roman" w:hAnsi="Times New Roman" w:eastAsia="Times New Roman" w:cs="Times New Roman"/>
          <w:spacing w:val="4"/>
          <w:sz w:val="23"/>
          <w:szCs w:val="23"/>
        </w:rPr>
        <w:t>41°21′55.05927″</w:t>
      </w:r>
      <w:r>
        <w:rPr>
          <w:rFonts w:ascii="Times New Roman" w:hAnsi="Times New Roman" w:eastAsia="Times New Roman" w:cs="Times New Roman"/>
          <w:sz w:val="23"/>
          <w:szCs w:val="23"/>
        </w:rPr>
        <w:t>E</w:t>
      </w:r>
      <w:r>
        <w:rPr>
          <w:rFonts w:ascii="Times New Roman" w:hAnsi="Times New Roman" w:eastAsia="Times New Roman" w:cs="Times New Roman"/>
          <w:spacing w:val="4"/>
          <w:sz w:val="23"/>
          <w:szCs w:val="23"/>
        </w:rPr>
        <w:t xml:space="preserve">123°42′32.05640″ </w:t>
      </w:r>
      <w:r>
        <w:rPr>
          <w:rFonts w:ascii="宋体" w:hAnsi="宋体" w:eastAsia="宋体" w:cs="宋体"/>
          <w:spacing w:val="4"/>
          <w:sz w:val="23"/>
          <w:szCs w:val="23"/>
        </w:rPr>
        <w:t>，在生态保护红</w:t>
      </w:r>
      <w:r>
        <w:rPr>
          <w:rFonts w:ascii="宋体" w:hAnsi="宋体" w:eastAsia="宋体" w:cs="宋体"/>
          <w:sz w:val="23"/>
          <w:szCs w:val="23"/>
        </w:rPr>
        <w:t xml:space="preserve"> </w:t>
      </w:r>
      <w:r>
        <w:rPr>
          <w:rFonts w:ascii="宋体" w:hAnsi="宋体" w:eastAsia="宋体" w:cs="宋体"/>
          <w:spacing w:val="-2"/>
          <w:sz w:val="23"/>
          <w:szCs w:val="23"/>
        </w:rPr>
        <w:t>线范</w:t>
      </w:r>
      <w:r>
        <w:rPr>
          <w:rFonts w:ascii="宋体" w:hAnsi="宋体" w:eastAsia="宋体" w:cs="宋体"/>
          <w:spacing w:val="-1"/>
          <w:sz w:val="23"/>
          <w:szCs w:val="23"/>
        </w:rPr>
        <w:t>围之外。</w:t>
      </w:r>
    </w:p>
    <w:p w14:paraId="118024FA">
      <w:pPr>
        <w:tabs>
          <w:tab w:val="left" w:pos="148"/>
        </w:tabs>
        <w:spacing w:before="132" w:line="388" w:lineRule="auto"/>
        <w:ind w:left="22" w:firstLine="492"/>
        <w:rPr>
          <w:rFonts w:ascii="宋体" w:hAnsi="宋体" w:eastAsia="宋体" w:cs="宋体"/>
          <w:sz w:val="23"/>
          <w:szCs w:val="23"/>
        </w:rPr>
      </w:pPr>
      <w:r>
        <w:rPr>
          <w:rFonts w:ascii="宋体" w:hAnsi="宋体" w:eastAsia="宋体" w:cs="宋体"/>
          <w:spacing w:val="16"/>
          <w:sz w:val="23"/>
          <w:szCs w:val="23"/>
        </w:rPr>
        <w:t>(</w:t>
      </w:r>
      <w:r>
        <w:rPr>
          <w:rFonts w:ascii="Times New Roman" w:hAnsi="Times New Roman" w:eastAsia="Times New Roman" w:cs="Times New Roman"/>
          <w:spacing w:val="15"/>
          <w:sz w:val="23"/>
          <w:szCs w:val="23"/>
        </w:rPr>
        <w:t>3</w:t>
      </w:r>
      <w:r>
        <w:rPr>
          <w:rFonts w:ascii="宋体" w:hAnsi="宋体" w:eastAsia="宋体" w:cs="宋体"/>
          <w:spacing w:val="8"/>
          <w:sz w:val="23"/>
          <w:szCs w:val="23"/>
        </w:rPr>
        <w:t>) 资源利用上线：资源是环境的载体，资源利用上线是各地区能源、水、</w:t>
      </w:r>
      <w:r>
        <w:rPr>
          <w:rFonts w:ascii="宋体" w:hAnsi="宋体" w:eastAsia="宋体" w:cs="宋体"/>
          <w:sz w:val="23"/>
          <w:szCs w:val="23"/>
        </w:rPr>
        <w:t xml:space="preserve"> </w:t>
      </w:r>
      <w:r>
        <w:rPr>
          <w:rFonts w:ascii="宋体" w:hAnsi="宋体" w:eastAsia="宋体" w:cs="宋体"/>
          <w:spacing w:val="8"/>
          <w:sz w:val="23"/>
          <w:szCs w:val="23"/>
        </w:rPr>
        <w:t>土地等资源消耗不得突破的</w:t>
      </w:r>
      <w:r>
        <w:rPr>
          <w:rFonts w:ascii="Times New Roman" w:hAnsi="Times New Roman" w:eastAsia="Times New Roman" w:cs="Times New Roman"/>
          <w:spacing w:val="8"/>
          <w:sz w:val="23"/>
          <w:szCs w:val="23"/>
        </w:rPr>
        <w:t>“</w:t>
      </w:r>
      <w:r>
        <w:rPr>
          <w:rFonts w:ascii="宋体" w:hAnsi="宋体" w:eastAsia="宋体" w:cs="宋体"/>
          <w:spacing w:val="8"/>
          <w:sz w:val="23"/>
          <w:szCs w:val="23"/>
        </w:rPr>
        <w:t>天花板</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。该项目属于新建再生塑料颗粒加工项目，</w:t>
      </w:r>
      <w:r>
        <w:rPr>
          <w:rFonts w:ascii="宋体" w:hAnsi="宋体" w:eastAsia="宋体" w:cs="宋体"/>
          <w:sz w:val="23"/>
          <w:szCs w:val="23"/>
        </w:rPr>
        <w:t xml:space="preserve"> </w:t>
      </w:r>
      <w:r>
        <w:rPr>
          <w:rFonts w:ascii="宋体" w:hAnsi="宋体" w:eastAsia="宋体" w:cs="宋体"/>
          <w:spacing w:val="9"/>
          <w:sz w:val="23"/>
          <w:szCs w:val="23"/>
        </w:rPr>
        <w:t>所</w:t>
      </w:r>
      <w:r>
        <w:rPr>
          <w:rFonts w:ascii="宋体" w:hAnsi="宋体" w:eastAsia="宋体" w:cs="宋体"/>
          <w:spacing w:val="7"/>
          <w:sz w:val="23"/>
          <w:szCs w:val="23"/>
        </w:rPr>
        <w:t>用原料为废塑料编织袋，均外购于本溪宏远集团北台再生资源有限责任公司及</w:t>
      </w:r>
      <w:r>
        <w:rPr>
          <w:rFonts w:ascii="宋体" w:hAnsi="宋体" w:eastAsia="宋体" w:cs="宋体"/>
          <w:sz w:val="23"/>
          <w:szCs w:val="23"/>
        </w:rPr>
        <w:t xml:space="preserve"> </w:t>
      </w:r>
      <w:r>
        <w:rPr>
          <w:rFonts w:ascii="宋体" w:hAnsi="宋体" w:eastAsia="宋体" w:cs="宋体"/>
          <w:spacing w:val="15"/>
          <w:sz w:val="23"/>
          <w:szCs w:val="23"/>
        </w:rPr>
        <w:t>平</w:t>
      </w:r>
      <w:r>
        <w:rPr>
          <w:rFonts w:ascii="宋体" w:hAnsi="宋体" w:eastAsia="宋体" w:cs="宋体"/>
          <w:spacing w:val="14"/>
          <w:sz w:val="23"/>
          <w:szCs w:val="23"/>
        </w:rPr>
        <w:t>山区利安建材城，为本溪宏远集团北台再生资源有限责任公司收购北台钢铁</w:t>
      </w:r>
      <w:r>
        <w:rPr>
          <w:rFonts w:ascii="宋体" w:hAnsi="宋体" w:eastAsia="宋体" w:cs="宋体"/>
          <w:sz w:val="23"/>
          <w:szCs w:val="23"/>
        </w:rPr>
        <w:t xml:space="preserve"> </w:t>
      </w:r>
      <w:r>
        <w:rPr>
          <w:rFonts w:ascii="宋体" w:hAnsi="宋体" w:eastAsia="宋体" w:cs="宋体"/>
          <w:sz w:val="23"/>
          <w:szCs w:val="23"/>
        </w:rPr>
        <w:tab/>
      </w:r>
      <w:r>
        <w:rPr>
          <w:rFonts w:ascii="宋体" w:hAnsi="宋体" w:eastAsia="宋体" w:cs="宋体"/>
          <w:spacing w:val="11"/>
          <w:sz w:val="23"/>
          <w:szCs w:val="23"/>
        </w:rPr>
        <w:t>(</w:t>
      </w:r>
      <w:r>
        <w:rPr>
          <w:rFonts w:ascii="宋体" w:hAnsi="宋体" w:eastAsia="宋体" w:cs="宋体"/>
          <w:spacing w:val="10"/>
          <w:sz w:val="23"/>
          <w:szCs w:val="23"/>
        </w:rPr>
        <w:t>集团)有限责任公司所用原料合金铁及铝锭的废包装袋及平山区利安建材城所</w:t>
      </w:r>
      <w:r>
        <w:rPr>
          <w:rFonts w:ascii="宋体" w:hAnsi="宋体" w:eastAsia="宋体" w:cs="宋体"/>
          <w:sz w:val="23"/>
          <w:szCs w:val="23"/>
        </w:rPr>
        <w:t xml:space="preserve"> </w:t>
      </w:r>
      <w:r>
        <w:rPr>
          <w:rFonts w:ascii="宋体" w:hAnsi="宋体" w:eastAsia="宋体" w:cs="宋体"/>
          <w:spacing w:val="9"/>
          <w:sz w:val="23"/>
          <w:szCs w:val="23"/>
        </w:rPr>
        <w:t>销</w:t>
      </w:r>
      <w:r>
        <w:rPr>
          <w:rFonts w:ascii="宋体" w:hAnsi="宋体" w:eastAsia="宋体" w:cs="宋体"/>
          <w:spacing w:val="7"/>
          <w:sz w:val="23"/>
          <w:szCs w:val="23"/>
        </w:rPr>
        <w:t>售砂子的废包装袋，主要成分为聚乙烯、聚丙烯，能耗主要为电、水，不直接</w:t>
      </w:r>
      <w:r>
        <w:rPr>
          <w:rFonts w:ascii="宋体" w:hAnsi="宋体" w:eastAsia="宋体" w:cs="宋体"/>
          <w:sz w:val="23"/>
          <w:szCs w:val="23"/>
        </w:rPr>
        <w:t xml:space="preserve"> </w:t>
      </w:r>
      <w:r>
        <w:rPr>
          <w:rFonts w:ascii="宋体" w:hAnsi="宋体" w:eastAsia="宋体" w:cs="宋体"/>
          <w:spacing w:val="18"/>
          <w:sz w:val="23"/>
          <w:szCs w:val="23"/>
        </w:rPr>
        <w:t>利</w:t>
      </w:r>
      <w:r>
        <w:rPr>
          <w:rFonts w:ascii="宋体" w:hAnsi="宋体" w:eastAsia="宋体" w:cs="宋体"/>
          <w:spacing w:val="11"/>
          <w:sz w:val="23"/>
          <w:szCs w:val="23"/>
        </w:rPr>
        <w:t>用</w:t>
      </w:r>
      <w:r>
        <w:rPr>
          <w:rFonts w:ascii="宋体" w:hAnsi="宋体" w:eastAsia="宋体" w:cs="宋体"/>
          <w:spacing w:val="9"/>
          <w:sz w:val="23"/>
          <w:szCs w:val="23"/>
        </w:rPr>
        <w:t>自然资源，不构成自然资源大量损耗，满足资源利用上线要求。</w:t>
      </w:r>
    </w:p>
    <w:p w14:paraId="7205C74C">
      <w:pPr>
        <w:spacing w:before="133" w:line="387" w:lineRule="auto"/>
        <w:ind w:left="22" w:right="13" w:firstLine="492"/>
        <w:rPr>
          <w:rFonts w:ascii="宋体" w:hAnsi="宋体" w:eastAsia="宋体" w:cs="宋体"/>
          <w:sz w:val="23"/>
          <w:szCs w:val="23"/>
        </w:rPr>
      </w:pPr>
      <w:r>
        <w:rPr>
          <w:rFonts w:ascii="宋体" w:hAnsi="宋体" w:eastAsia="宋体" w:cs="宋体"/>
          <w:spacing w:val="16"/>
          <w:sz w:val="23"/>
          <w:szCs w:val="23"/>
        </w:rPr>
        <w:t>(</w:t>
      </w:r>
      <w:r>
        <w:rPr>
          <w:rFonts w:ascii="Times New Roman" w:hAnsi="Times New Roman" w:eastAsia="Times New Roman" w:cs="Times New Roman"/>
          <w:spacing w:val="13"/>
          <w:sz w:val="23"/>
          <w:szCs w:val="23"/>
        </w:rPr>
        <w:t>4</w:t>
      </w:r>
      <w:r>
        <w:rPr>
          <w:rFonts w:ascii="宋体" w:hAnsi="宋体" w:eastAsia="宋体" w:cs="宋体"/>
          <w:spacing w:val="13"/>
          <w:sz w:val="23"/>
          <w:szCs w:val="23"/>
        </w:rPr>
        <w:t>) 环境准入负面清单：环境准入负面清单是基于生态保护红线、环境质</w:t>
      </w:r>
      <w:r>
        <w:rPr>
          <w:rFonts w:ascii="宋体" w:hAnsi="宋体" w:eastAsia="宋体" w:cs="宋体"/>
          <w:sz w:val="23"/>
          <w:szCs w:val="23"/>
        </w:rPr>
        <w:t xml:space="preserve"> </w:t>
      </w:r>
      <w:r>
        <w:rPr>
          <w:rFonts w:ascii="宋体" w:hAnsi="宋体" w:eastAsia="宋体" w:cs="宋体"/>
          <w:spacing w:val="9"/>
          <w:sz w:val="23"/>
          <w:szCs w:val="23"/>
        </w:rPr>
        <w:t>量</w:t>
      </w:r>
      <w:r>
        <w:rPr>
          <w:rFonts w:ascii="宋体" w:hAnsi="宋体" w:eastAsia="宋体" w:cs="宋体"/>
          <w:spacing w:val="7"/>
          <w:sz w:val="23"/>
          <w:szCs w:val="23"/>
        </w:rPr>
        <w:t>底线和资源利用上线，以清单方式列出的禁止、限制等差别化环境准入条件和</w:t>
      </w:r>
      <w:r>
        <w:rPr>
          <w:rFonts w:ascii="宋体" w:hAnsi="宋体" w:eastAsia="宋体" w:cs="宋体"/>
          <w:sz w:val="23"/>
          <w:szCs w:val="23"/>
        </w:rPr>
        <w:t xml:space="preserve"> </w:t>
      </w:r>
      <w:r>
        <w:rPr>
          <w:rFonts w:ascii="宋体" w:hAnsi="宋体" w:eastAsia="宋体" w:cs="宋体"/>
          <w:spacing w:val="9"/>
          <w:sz w:val="23"/>
          <w:szCs w:val="23"/>
        </w:rPr>
        <w:t>要</w:t>
      </w:r>
      <w:r>
        <w:rPr>
          <w:rFonts w:ascii="宋体" w:hAnsi="宋体" w:eastAsia="宋体" w:cs="宋体"/>
          <w:spacing w:val="7"/>
          <w:sz w:val="23"/>
          <w:szCs w:val="23"/>
        </w:rPr>
        <w:t>求。要在规划环评清单式管理试点的基础上，从布局选址、资源利用效率、资</w:t>
      </w:r>
      <w:r>
        <w:rPr>
          <w:rFonts w:ascii="宋体" w:hAnsi="宋体" w:eastAsia="宋体" w:cs="宋体"/>
          <w:sz w:val="23"/>
          <w:szCs w:val="23"/>
        </w:rPr>
        <w:t xml:space="preserve"> </w:t>
      </w:r>
      <w:r>
        <w:rPr>
          <w:rFonts w:ascii="宋体" w:hAnsi="宋体" w:eastAsia="宋体" w:cs="宋体"/>
          <w:spacing w:val="9"/>
          <w:sz w:val="23"/>
          <w:szCs w:val="23"/>
        </w:rPr>
        <w:t>源</w:t>
      </w:r>
      <w:r>
        <w:rPr>
          <w:rFonts w:ascii="宋体" w:hAnsi="宋体" w:eastAsia="宋体" w:cs="宋体"/>
          <w:spacing w:val="7"/>
          <w:sz w:val="23"/>
          <w:szCs w:val="23"/>
        </w:rPr>
        <w:t>配置方式等方面入手，制定环境准入负面清单，充分发挥负面清单对产业发展</w:t>
      </w:r>
      <w:r>
        <w:rPr>
          <w:rFonts w:ascii="宋体" w:hAnsi="宋体" w:eastAsia="宋体" w:cs="宋体"/>
          <w:sz w:val="23"/>
          <w:szCs w:val="23"/>
        </w:rPr>
        <w:t xml:space="preserve"> </w:t>
      </w:r>
      <w:r>
        <w:rPr>
          <w:rFonts w:ascii="宋体" w:hAnsi="宋体" w:eastAsia="宋体" w:cs="宋体"/>
          <w:spacing w:val="1"/>
          <w:sz w:val="23"/>
          <w:szCs w:val="23"/>
        </w:rPr>
        <w:t>和项目准入的指导和约束作用。该项目</w:t>
      </w:r>
      <w:r>
        <w:rPr>
          <w:rFonts w:ascii="宋体" w:hAnsi="宋体" w:eastAsia="宋体" w:cs="宋体"/>
          <w:sz w:val="23"/>
          <w:szCs w:val="23"/>
        </w:rPr>
        <w:t xml:space="preserve">属于新建再生塑料颗粒加工项目，根据《产 </w:t>
      </w:r>
      <w:r>
        <w:rPr>
          <w:rFonts w:ascii="宋体" w:hAnsi="宋体" w:eastAsia="宋体" w:cs="宋体"/>
          <w:spacing w:val="11"/>
          <w:sz w:val="23"/>
          <w:szCs w:val="23"/>
        </w:rPr>
        <w:t>业</w:t>
      </w:r>
      <w:r>
        <w:rPr>
          <w:rFonts w:ascii="宋体" w:hAnsi="宋体" w:eastAsia="宋体" w:cs="宋体"/>
          <w:spacing w:val="7"/>
          <w:sz w:val="23"/>
          <w:szCs w:val="23"/>
        </w:rPr>
        <w:t>结构调整指导目录 (</w:t>
      </w:r>
      <w:r>
        <w:rPr>
          <w:rFonts w:ascii="Times New Roman" w:hAnsi="Times New Roman" w:eastAsia="Times New Roman" w:cs="Times New Roman"/>
          <w:spacing w:val="7"/>
          <w:sz w:val="23"/>
          <w:szCs w:val="23"/>
        </w:rPr>
        <w:t>2011</w:t>
      </w:r>
      <w:r>
        <w:rPr>
          <w:rFonts w:ascii="宋体" w:hAnsi="宋体" w:eastAsia="宋体" w:cs="宋体"/>
          <w:spacing w:val="7"/>
          <w:sz w:val="23"/>
          <w:szCs w:val="23"/>
        </w:rPr>
        <w:t>年本，</w:t>
      </w:r>
      <w:r>
        <w:rPr>
          <w:rFonts w:ascii="Times New Roman" w:hAnsi="Times New Roman" w:eastAsia="Times New Roman" w:cs="Times New Roman"/>
          <w:spacing w:val="7"/>
          <w:sz w:val="23"/>
          <w:szCs w:val="23"/>
        </w:rPr>
        <w:t xml:space="preserve">2016 </w:t>
      </w:r>
      <w:r>
        <w:rPr>
          <w:rFonts w:ascii="宋体" w:hAnsi="宋体" w:eastAsia="宋体" w:cs="宋体"/>
          <w:spacing w:val="7"/>
          <w:sz w:val="23"/>
          <w:szCs w:val="23"/>
        </w:rPr>
        <w:t>年修订) 》  (中华人民共和国国家发展</w:t>
      </w:r>
      <w:r>
        <w:rPr>
          <w:rFonts w:ascii="宋体" w:hAnsi="宋体" w:eastAsia="宋体" w:cs="宋体"/>
          <w:sz w:val="23"/>
          <w:szCs w:val="23"/>
        </w:rPr>
        <w:t xml:space="preserve"> </w:t>
      </w:r>
      <w:r>
        <w:rPr>
          <w:rFonts w:ascii="宋体" w:hAnsi="宋体" w:eastAsia="宋体" w:cs="宋体"/>
          <w:spacing w:val="1"/>
          <w:sz w:val="23"/>
          <w:szCs w:val="23"/>
        </w:rPr>
        <w:t xml:space="preserve">和改革委员会第 </w:t>
      </w:r>
      <w:r>
        <w:rPr>
          <w:rFonts w:ascii="Times New Roman" w:hAnsi="Times New Roman" w:eastAsia="Times New Roman" w:cs="Times New Roman"/>
          <w:spacing w:val="1"/>
          <w:sz w:val="23"/>
          <w:szCs w:val="23"/>
        </w:rPr>
        <w:t xml:space="preserve">36 </w:t>
      </w:r>
      <w:r>
        <w:rPr>
          <w:rFonts w:ascii="宋体" w:hAnsi="宋体" w:eastAsia="宋体" w:cs="宋体"/>
          <w:spacing w:val="1"/>
          <w:sz w:val="23"/>
          <w:szCs w:val="23"/>
        </w:rPr>
        <w:t>号令，</w:t>
      </w:r>
      <w:r>
        <w:rPr>
          <w:rFonts w:ascii="Times New Roman" w:hAnsi="Times New Roman" w:eastAsia="Times New Roman" w:cs="Times New Roman"/>
          <w:spacing w:val="1"/>
          <w:sz w:val="23"/>
          <w:szCs w:val="23"/>
        </w:rPr>
        <w:t xml:space="preserve">2016 </w:t>
      </w:r>
      <w:r>
        <w:rPr>
          <w:rFonts w:ascii="宋体" w:hAnsi="宋体" w:eastAsia="宋体" w:cs="宋体"/>
          <w:spacing w:val="1"/>
          <w:sz w:val="23"/>
          <w:szCs w:val="23"/>
        </w:rPr>
        <w:t>年</w:t>
      </w:r>
      <w:r>
        <w:rPr>
          <w:rFonts w:ascii="宋体" w:hAnsi="宋体" w:eastAsia="宋体" w:cs="宋体"/>
          <w:sz w:val="23"/>
          <w:szCs w:val="23"/>
        </w:rPr>
        <w:t xml:space="preserve"> </w:t>
      </w:r>
      <w:r>
        <w:rPr>
          <w:rFonts w:ascii="Times New Roman" w:hAnsi="Times New Roman" w:eastAsia="Times New Roman" w:cs="Times New Roman"/>
          <w:sz w:val="23"/>
          <w:szCs w:val="23"/>
        </w:rPr>
        <w:t xml:space="preserve">3 </w:t>
      </w:r>
      <w:r>
        <w:rPr>
          <w:rFonts w:ascii="宋体" w:hAnsi="宋体" w:eastAsia="宋体" w:cs="宋体"/>
          <w:sz w:val="23"/>
          <w:szCs w:val="23"/>
        </w:rPr>
        <w:t xml:space="preserve">月 </w:t>
      </w:r>
      <w:r>
        <w:rPr>
          <w:rFonts w:ascii="Times New Roman" w:hAnsi="Times New Roman" w:eastAsia="Times New Roman" w:cs="Times New Roman"/>
          <w:sz w:val="23"/>
          <w:szCs w:val="23"/>
        </w:rPr>
        <w:t xml:space="preserve">25 </w:t>
      </w:r>
      <w:r>
        <w:rPr>
          <w:rFonts w:ascii="宋体" w:hAnsi="宋体" w:eastAsia="宋体" w:cs="宋体"/>
          <w:sz w:val="23"/>
          <w:szCs w:val="23"/>
        </w:rPr>
        <w:t>日)及《辽宁省产业发展指导目录(</w:t>
      </w:r>
      <w:r>
        <w:rPr>
          <w:rFonts w:ascii="Times New Roman" w:hAnsi="Times New Roman" w:eastAsia="Times New Roman" w:cs="Times New Roman"/>
          <w:sz w:val="23"/>
          <w:szCs w:val="23"/>
        </w:rPr>
        <w:t xml:space="preserve">2008 </w:t>
      </w:r>
      <w:r>
        <w:rPr>
          <w:rFonts w:ascii="宋体" w:hAnsi="宋体" w:eastAsia="宋体" w:cs="宋体"/>
          <w:spacing w:val="2"/>
          <w:sz w:val="23"/>
          <w:szCs w:val="23"/>
        </w:rPr>
        <w:t xml:space="preserve">年本) </w:t>
      </w:r>
      <w:r>
        <w:rPr>
          <w:rFonts w:ascii="宋体" w:hAnsi="宋体" w:eastAsia="宋体" w:cs="宋体"/>
          <w:spacing w:val="1"/>
          <w:sz w:val="23"/>
          <w:szCs w:val="23"/>
        </w:rPr>
        <w:t>》  (辽宁省经济委员会，</w:t>
      </w:r>
      <w:r>
        <w:rPr>
          <w:rFonts w:ascii="Times New Roman" w:hAnsi="Times New Roman" w:eastAsia="Times New Roman" w:cs="Times New Roman"/>
          <w:spacing w:val="1"/>
          <w:sz w:val="23"/>
          <w:szCs w:val="23"/>
        </w:rPr>
        <w:t xml:space="preserve">2008 </w:t>
      </w:r>
      <w:r>
        <w:rPr>
          <w:rFonts w:ascii="宋体" w:hAnsi="宋体" w:eastAsia="宋体" w:cs="宋体"/>
          <w:spacing w:val="1"/>
          <w:sz w:val="23"/>
          <w:szCs w:val="23"/>
        </w:rPr>
        <w:t xml:space="preserve">年 </w:t>
      </w:r>
      <w:r>
        <w:rPr>
          <w:rFonts w:ascii="Times New Roman" w:hAnsi="Times New Roman" w:eastAsia="Times New Roman" w:cs="Times New Roman"/>
          <w:spacing w:val="1"/>
          <w:sz w:val="23"/>
          <w:szCs w:val="23"/>
        </w:rPr>
        <w:t xml:space="preserve">12 </w:t>
      </w:r>
      <w:r>
        <w:rPr>
          <w:rFonts w:ascii="宋体" w:hAnsi="宋体" w:eastAsia="宋体" w:cs="宋体"/>
          <w:spacing w:val="1"/>
          <w:sz w:val="23"/>
          <w:szCs w:val="23"/>
        </w:rPr>
        <w:t xml:space="preserve">月 </w:t>
      </w:r>
      <w:r>
        <w:rPr>
          <w:rFonts w:ascii="Times New Roman" w:hAnsi="Times New Roman" w:eastAsia="Times New Roman" w:cs="Times New Roman"/>
          <w:spacing w:val="1"/>
          <w:sz w:val="23"/>
          <w:szCs w:val="23"/>
        </w:rPr>
        <w:t xml:space="preserve">18 </w:t>
      </w:r>
      <w:r>
        <w:rPr>
          <w:rFonts w:ascii="宋体" w:hAnsi="宋体" w:eastAsia="宋体" w:cs="宋体"/>
          <w:spacing w:val="1"/>
          <w:sz w:val="23"/>
          <w:szCs w:val="23"/>
        </w:rPr>
        <w:t>日) ，该项目为</w:t>
      </w:r>
      <w:r>
        <w:rPr>
          <w:rFonts w:ascii="Times New Roman" w:hAnsi="Times New Roman" w:eastAsia="Times New Roman" w:cs="Times New Roman"/>
          <w:spacing w:val="1"/>
          <w:sz w:val="23"/>
          <w:szCs w:val="23"/>
        </w:rPr>
        <w:t>“</w:t>
      </w:r>
      <w:r>
        <w:rPr>
          <w:rFonts w:ascii="宋体" w:hAnsi="宋体" w:eastAsia="宋体" w:cs="宋体"/>
          <w:spacing w:val="1"/>
          <w:sz w:val="23"/>
          <w:szCs w:val="23"/>
        </w:rPr>
        <w:t>鼓励类</w:t>
      </w:r>
      <w:r>
        <w:rPr>
          <w:rFonts w:ascii="Times New Roman" w:hAnsi="Times New Roman" w:eastAsia="Times New Roman" w:cs="Times New Roman"/>
          <w:spacing w:val="1"/>
          <w:sz w:val="23"/>
          <w:szCs w:val="23"/>
        </w:rPr>
        <w:t>”</w:t>
      </w:r>
      <w:r>
        <w:rPr>
          <w:rFonts w:ascii="宋体" w:hAnsi="宋体" w:eastAsia="宋体" w:cs="宋体"/>
          <w:spacing w:val="1"/>
          <w:sz w:val="23"/>
          <w:szCs w:val="23"/>
        </w:rPr>
        <w:t>项目，</w:t>
      </w:r>
      <w:r>
        <w:rPr>
          <w:rFonts w:ascii="宋体" w:hAnsi="宋体" w:eastAsia="宋体" w:cs="宋体"/>
          <w:sz w:val="23"/>
          <w:szCs w:val="23"/>
        </w:rPr>
        <w:t xml:space="preserve"> </w:t>
      </w:r>
      <w:r>
        <w:rPr>
          <w:rFonts w:ascii="宋体" w:hAnsi="宋体" w:eastAsia="宋体" w:cs="宋体"/>
          <w:spacing w:val="9"/>
          <w:sz w:val="23"/>
          <w:szCs w:val="23"/>
        </w:rPr>
        <w:t>符</w:t>
      </w:r>
      <w:r>
        <w:rPr>
          <w:rFonts w:ascii="宋体" w:hAnsi="宋体" w:eastAsia="宋体" w:cs="宋体"/>
          <w:spacing w:val="7"/>
          <w:sz w:val="23"/>
          <w:szCs w:val="23"/>
        </w:rPr>
        <w:t>合国家的相关产业政策及辽宁省产业政策。本溪市溪湖区发展和改革局以溪发</w:t>
      </w:r>
      <w:r>
        <w:rPr>
          <w:rFonts w:ascii="宋体" w:hAnsi="宋体" w:eastAsia="宋体" w:cs="宋体"/>
          <w:sz w:val="23"/>
          <w:szCs w:val="23"/>
        </w:rPr>
        <w:t xml:space="preserve"> </w:t>
      </w:r>
      <w:r>
        <w:rPr>
          <w:rFonts w:ascii="宋体" w:hAnsi="宋体" w:eastAsia="宋体" w:cs="宋体"/>
          <w:spacing w:val="10"/>
          <w:sz w:val="23"/>
          <w:szCs w:val="23"/>
        </w:rPr>
        <w:t>改</w:t>
      </w:r>
      <w:r>
        <w:rPr>
          <w:rFonts w:ascii="宋体" w:hAnsi="宋体" w:eastAsia="宋体" w:cs="宋体"/>
          <w:spacing w:val="8"/>
          <w:sz w:val="23"/>
          <w:szCs w:val="23"/>
        </w:rPr>
        <w:t>备【</w:t>
      </w:r>
      <w:r>
        <w:rPr>
          <w:rFonts w:ascii="Times New Roman" w:hAnsi="Times New Roman" w:eastAsia="Times New Roman" w:cs="Times New Roman"/>
          <w:spacing w:val="8"/>
          <w:sz w:val="23"/>
          <w:szCs w:val="23"/>
        </w:rPr>
        <w:t>2019</w:t>
      </w:r>
      <w:r>
        <w:rPr>
          <w:rFonts w:ascii="宋体" w:hAnsi="宋体" w:eastAsia="宋体" w:cs="宋体"/>
          <w:spacing w:val="8"/>
          <w:sz w:val="23"/>
          <w:szCs w:val="23"/>
        </w:rPr>
        <w:t>】</w:t>
      </w:r>
      <w:r>
        <w:rPr>
          <w:rFonts w:ascii="Times New Roman" w:hAnsi="Times New Roman" w:eastAsia="Times New Roman" w:cs="Times New Roman"/>
          <w:spacing w:val="8"/>
          <w:sz w:val="23"/>
          <w:szCs w:val="23"/>
        </w:rPr>
        <w:t xml:space="preserve">42 </w:t>
      </w:r>
      <w:r>
        <w:rPr>
          <w:rFonts w:ascii="宋体" w:hAnsi="宋体" w:eastAsia="宋体" w:cs="宋体"/>
          <w:spacing w:val="8"/>
          <w:sz w:val="23"/>
          <w:szCs w:val="23"/>
        </w:rPr>
        <w:t>号文件对该项目的建设进行了备案确认。</w:t>
      </w:r>
    </w:p>
    <w:p w14:paraId="6BE9ABAF">
      <w:pPr>
        <w:spacing w:before="136" w:line="228" w:lineRule="auto"/>
        <w:ind w:left="506"/>
        <w:rPr>
          <w:rFonts w:ascii="宋体" w:hAnsi="宋体" w:eastAsia="宋体" w:cs="宋体"/>
          <w:sz w:val="23"/>
          <w:szCs w:val="23"/>
        </w:rPr>
      </w:pPr>
      <w:r>
        <w:rPr>
          <w:rFonts w:ascii="宋体" w:hAnsi="宋体" w:eastAsia="宋体" w:cs="宋体"/>
          <w:spacing w:val="16"/>
          <w:sz w:val="23"/>
          <w:szCs w:val="23"/>
        </w:rPr>
        <w:t>综</w:t>
      </w:r>
      <w:r>
        <w:rPr>
          <w:rFonts w:ascii="宋体" w:hAnsi="宋体" w:eastAsia="宋体" w:cs="宋体"/>
          <w:spacing w:val="11"/>
          <w:sz w:val="23"/>
          <w:szCs w:val="23"/>
        </w:rPr>
        <w:t>上</w:t>
      </w:r>
      <w:r>
        <w:rPr>
          <w:rFonts w:ascii="宋体" w:hAnsi="宋体" w:eastAsia="宋体" w:cs="宋体"/>
          <w:spacing w:val="8"/>
          <w:sz w:val="23"/>
          <w:szCs w:val="23"/>
        </w:rPr>
        <w:t>，该项目满足三线一单规划内容。</w:t>
      </w:r>
    </w:p>
    <w:p w14:paraId="793ED5FD">
      <w:pPr>
        <w:spacing w:before="300" w:line="226" w:lineRule="auto"/>
        <w:ind w:left="33"/>
        <w:outlineLvl w:val="2"/>
        <w:rPr>
          <w:rFonts w:ascii="宋体" w:hAnsi="宋体" w:eastAsia="宋体" w:cs="宋体"/>
          <w:sz w:val="29"/>
          <w:szCs w:val="29"/>
        </w:rPr>
      </w:pPr>
      <w:r>
        <w:rPr>
          <w:rFonts w:ascii="Times New Roman" w:hAnsi="Times New Roman" w:eastAsia="Times New Roman" w:cs="Times New Roman"/>
          <w:b/>
          <w:bCs/>
          <w:spacing w:val="10"/>
          <w:sz w:val="29"/>
          <w:szCs w:val="29"/>
        </w:rPr>
        <w:t>1.</w:t>
      </w:r>
      <w:r>
        <w:rPr>
          <w:rFonts w:ascii="Times New Roman" w:hAnsi="Times New Roman" w:eastAsia="Times New Roman" w:cs="Times New Roman"/>
          <w:b/>
          <w:bCs/>
          <w:spacing w:val="6"/>
          <w:sz w:val="29"/>
          <w:szCs w:val="29"/>
        </w:rPr>
        <w:t>4</w:t>
      </w:r>
      <w:r>
        <w:rPr>
          <w:rFonts w:ascii="Times New Roman" w:hAnsi="Times New Roman" w:eastAsia="Times New Roman" w:cs="Times New Roman"/>
          <w:b/>
          <w:bCs/>
          <w:spacing w:val="5"/>
          <w:sz w:val="29"/>
          <w:szCs w:val="29"/>
        </w:rPr>
        <w:t>.4</w:t>
      </w:r>
      <w:r>
        <w:rPr>
          <w:rFonts w:ascii="Times New Roman" w:hAnsi="Times New Roman" w:eastAsia="Times New Roman" w:cs="Times New Roman"/>
          <w:spacing w:val="5"/>
          <w:sz w:val="29"/>
          <w:szCs w:val="29"/>
        </w:rPr>
        <w:t xml:space="preserve">  </w:t>
      </w:r>
      <w:r>
        <w:rPr>
          <w:rFonts w:ascii="宋体" w:hAnsi="宋体" w:eastAsia="宋体" w:cs="宋体"/>
          <w:spacing w:val="5"/>
          <w:sz w:val="29"/>
          <w:szCs w:val="29"/>
          <w14:textOutline w14:w="5448" w14:cap="sq" w14:cmpd="sng">
            <w14:solidFill>
              <w14:srgbClr w14:val="000000"/>
            </w14:solidFill>
            <w14:prstDash w14:val="solid"/>
            <w14:bevel/>
          </w14:textOutline>
        </w:rPr>
        <w:t>环境可行性分析</w:t>
      </w:r>
    </w:p>
    <w:p w14:paraId="381869EA">
      <w:pPr>
        <w:spacing w:line="255" w:lineRule="auto"/>
        <w:rPr>
          <w:rFonts w:ascii="Arial"/>
          <w:sz w:val="21"/>
        </w:rPr>
      </w:pPr>
    </w:p>
    <w:p w14:paraId="2E7A1D28">
      <w:pPr>
        <w:spacing w:before="76" w:line="228" w:lineRule="auto"/>
        <w:ind w:left="527"/>
        <w:rPr>
          <w:rFonts w:ascii="宋体" w:hAnsi="宋体" w:eastAsia="宋体" w:cs="宋体"/>
          <w:sz w:val="23"/>
          <w:szCs w:val="23"/>
        </w:rPr>
      </w:pPr>
      <w:r>
        <w:rPr>
          <w:rFonts w:ascii="宋体" w:hAnsi="宋体" w:eastAsia="宋体" w:cs="宋体"/>
          <w:spacing w:val="26"/>
          <w:sz w:val="23"/>
          <w:szCs w:val="23"/>
        </w:rPr>
        <w:t>通</w:t>
      </w:r>
      <w:r>
        <w:rPr>
          <w:rFonts w:ascii="宋体" w:hAnsi="宋体" w:eastAsia="宋体" w:cs="宋体"/>
          <w:spacing w:val="17"/>
          <w:sz w:val="23"/>
          <w:szCs w:val="23"/>
        </w:rPr>
        <w:t>过</w:t>
      </w:r>
      <w:r>
        <w:rPr>
          <w:rFonts w:ascii="宋体" w:hAnsi="宋体" w:eastAsia="宋体" w:cs="宋体"/>
          <w:spacing w:val="13"/>
          <w:sz w:val="23"/>
          <w:szCs w:val="23"/>
        </w:rPr>
        <w:t>工程污染分析可知，项目主要污染物是洗字工序所用热风炉产生的烟</w:t>
      </w:r>
    </w:p>
    <w:p w14:paraId="041C5839">
      <w:pPr>
        <w:sectPr>
          <w:headerReference r:id="rId26" w:type="default"/>
          <w:footerReference r:id="rId27" w:type="default"/>
          <w:pgSz w:w="11906" w:h="16839"/>
          <w:pgMar w:top="1132" w:right="1719" w:bottom="899" w:left="1785" w:header="878" w:footer="739" w:gutter="0"/>
          <w:cols w:space="720" w:num="1"/>
        </w:sectPr>
      </w:pPr>
    </w:p>
    <w:p w14:paraId="444942A3">
      <w:pPr>
        <w:spacing w:line="408" w:lineRule="auto"/>
        <w:rPr>
          <w:rFonts w:ascii="Arial"/>
          <w:sz w:val="21"/>
        </w:rPr>
      </w:pPr>
      <w:r>
        <w:pict>
          <v:shape id="_x0000_s1040" o:spid="_x0000_s1040" style="position:absolute;left:0pt;margin-left:90pt;margin-top:57.35pt;height:0.75pt;width:415.3pt;mso-position-horizontal-relative:page;mso-position-vertical-relative:page;z-index:251678720;mso-width-relative:page;mso-height-relative:page;" fillcolor="#000000" filled="t" stroked="f" coordsize="8305,15" o:allowincell="f" path="m0,0l8305,0,8305,14,0,14,0,0xe">
            <v:path/>
            <v:fill on="t" focussize="0,0"/>
            <v:stroke on="f"/>
            <v:imagedata o:title=""/>
            <o:lock v:ext="edit"/>
          </v:shape>
        </w:pict>
      </w:r>
    </w:p>
    <w:p w14:paraId="7F18B2AE">
      <w:pPr>
        <w:spacing w:before="74" w:line="393" w:lineRule="auto"/>
        <w:ind w:left="23" w:right="7"/>
        <w:rPr>
          <w:rFonts w:ascii="宋体" w:hAnsi="宋体" w:eastAsia="宋体" w:cs="宋体"/>
          <w:sz w:val="23"/>
          <w:szCs w:val="23"/>
        </w:rPr>
      </w:pPr>
      <w:r>
        <w:rPr>
          <w:rFonts w:ascii="宋体" w:hAnsi="宋体" w:eastAsia="宋体" w:cs="宋体"/>
          <w:spacing w:val="4"/>
          <w:sz w:val="23"/>
          <w:szCs w:val="23"/>
        </w:rPr>
        <w:t>气、分拣工序产生</w:t>
      </w:r>
      <w:r>
        <w:rPr>
          <w:rFonts w:ascii="宋体" w:hAnsi="宋体" w:eastAsia="宋体" w:cs="宋体"/>
          <w:spacing w:val="3"/>
          <w:sz w:val="23"/>
          <w:szCs w:val="23"/>
        </w:rPr>
        <w:t>粉</w:t>
      </w:r>
      <w:r>
        <w:rPr>
          <w:rFonts w:ascii="宋体" w:hAnsi="宋体" w:eastAsia="宋体" w:cs="宋体"/>
          <w:spacing w:val="2"/>
          <w:sz w:val="23"/>
          <w:szCs w:val="23"/>
        </w:rPr>
        <w:t>尘以及热熔、造粒工序产生挥发性有机物(以非甲烷总烃计)。</w:t>
      </w:r>
      <w:r>
        <w:rPr>
          <w:rFonts w:ascii="宋体" w:hAnsi="宋体" w:eastAsia="宋体" w:cs="宋体"/>
          <w:sz w:val="23"/>
          <w:szCs w:val="23"/>
        </w:rPr>
        <w:t xml:space="preserve"> </w:t>
      </w:r>
      <w:r>
        <w:rPr>
          <w:rFonts w:ascii="宋体" w:hAnsi="宋体" w:eastAsia="宋体" w:cs="宋体"/>
          <w:spacing w:val="18"/>
          <w:sz w:val="23"/>
          <w:szCs w:val="23"/>
        </w:rPr>
        <w:t>拟采取的污染防治措施：</w:t>
      </w:r>
    </w:p>
    <w:p w14:paraId="694F9C33">
      <w:pPr>
        <w:spacing w:before="139" w:line="389" w:lineRule="auto"/>
        <w:ind w:left="22" w:right="82" w:firstLine="492"/>
        <w:rPr>
          <w:rFonts w:ascii="宋体" w:hAnsi="宋体" w:eastAsia="宋体" w:cs="宋体"/>
          <w:sz w:val="23"/>
          <w:szCs w:val="23"/>
        </w:rPr>
      </w:pPr>
      <w:r>
        <w:rPr>
          <w:rFonts w:ascii="宋体" w:hAnsi="宋体" w:eastAsia="宋体" w:cs="宋体"/>
          <w:spacing w:val="16"/>
          <w:sz w:val="23"/>
          <w:szCs w:val="23"/>
        </w:rPr>
        <w:t>(</w:t>
      </w:r>
      <w:r>
        <w:rPr>
          <w:rFonts w:ascii="Times New Roman" w:hAnsi="Times New Roman" w:eastAsia="Times New Roman" w:cs="Times New Roman"/>
          <w:spacing w:val="13"/>
          <w:sz w:val="23"/>
          <w:szCs w:val="23"/>
        </w:rPr>
        <w:t>1</w:t>
      </w:r>
      <w:r>
        <w:rPr>
          <w:rFonts w:ascii="宋体" w:hAnsi="宋体" w:eastAsia="宋体" w:cs="宋体"/>
          <w:spacing w:val="13"/>
          <w:sz w:val="23"/>
          <w:szCs w:val="23"/>
        </w:rPr>
        <w:t>) 该项目项目无组织废气主要是生产过程中未被集气罩收集到而逸散到</w:t>
      </w:r>
      <w:r>
        <w:rPr>
          <w:rFonts w:ascii="宋体" w:hAnsi="宋体" w:eastAsia="宋体" w:cs="宋体"/>
          <w:sz w:val="23"/>
          <w:szCs w:val="23"/>
        </w:rPr>
        <w:t xml:space="preserve"> </w:t>
      </w:r>
      <w:r>
        <w:rPr>
          <w:rFonts w:ascii="宋体" w:hAnsi="宋体" w:eastAsia="宋体" w:cs="宋体"/>
          <w:spacing w:val="9"/>
          <w:sz w:val="23"/>
          <w:szCs w:val="23"/>
        </w:rPr>
        <w:t>空</w:t>
      </w:r>
      <w:r>
        <w:rPr>
          <w:rFonts w:ascii="宋体" w:hAnsi="宋体" w:eastAsia="宋体" w:cs="宋体"/>
          <w:spacing w:val="7"/>
          <w:sz w:val="23"/>
          <w:szCs w:val="23"/>
        </w:rPr>
        <w:t>气中的有机废气和颗粒物，废气以无组织的形式扩散到周围大气中。对于无组</w:t>
      </w:r>
      <w:r>
        <w:rPr>
          <w:rFonts w:ascii="宋体" w:hAnsi="宋体" w:eastAsia="宋体" w:cs="宋体"/>
          <w:sz w:val="23"/>
          <w:szCs w:val="23"/>
        </w:rPr>
        <w:t xml:space="preserve"> </w:t>
      </w:r>
      <w:r>
        <w:rPr>
          <w:rFonts w:ascii="宋体" w:hAnsi="宋体" w:eastAsia="宋体" w:cs="宋体"/>
          <w:spacing w:val="9"/>
          <w:sz w:val="23"/>
          <w:szCs w:val="23"/>
        </w:rPr>
        <w:t>织</w:t>
      </w:r>
      <w:r>
        <w:rPr>
          <w:rFonts w:ascii="宋体" w:hAnsi="宋体" w:eastAsia="宋体" w:cs="宋体"/>
          <w:spacing w:val="7"/>
          <w:sz w:val="23"/>
          <w:szCs w:val="23"/>
        </w:rPr>
        <w:t>废气，要求加强车间通风，所有操作严格按照既定的规程进行，以减少无组织</w:t>
      </w:r>
      <w:r>
        <w:rPr>
          <w:rFonts w:ascii="宋体" w:hAnsi="宋体" w:eastAsia="宋体" w:cs="宋体"/>
          <w:sz w:val="23"/>
          <w:szCs w:val="23"/>
        </w:rPr>
        <w:t xml:space="preserve"> </w:t>
      </w:r>
      <w:r>
        <w:rPr>
          <w:rFonts w:ascii="宋体" w:hAnsi="宋体" w:eastAsia="宋体" w:cs="宋体"/>
          <w:spacing w:val="7"/>
          <w:sz w:val="23"/>
          <w:szCs w:val="23"/>
        </w:rPr>
        <w:t>废</w:t>
      </w:r>
      <w:r>
        <w:rPr>
          <w:rFonts w:ascii="宋体" w:hAnsi="宋体" w:eastAsia="宋体" w:cs="宋体"/>
          <w:spacing w:val="6"/>
          <w:sz w:val="23"/>
          <w:szCs w:val="23"/>
        </w:rPr>
        <w:t>气排放。</w:t>
      </w:r>
    </w:p>
    <w:p w14:paraId="27B99655">
      <w:pPr>
        <w:spacing w:before="135" w:line="380" w:lineRule="auto"/>
        <w:ind w:left="23" w:right="80" w:firstLine="491"/>
        <w:rPr>
          <w:rFonts w:ascii="宋体" w:hAnsi="宋体" w:eastAsia="宋体" w:cs="宋体"/>
          <w:sz w:val="23"/>
          <w:szCs w:val="23"/>
        </w:rPr>
      </w:pPr>
      <w:r>
        <w:rPr>
          <w:rFonts w:ascii="宋体" w:hAnsi="宋体" w:eastAsia="宋体" w:cs="宋体"/>
          <w:spacing w:val="14"/>
          <w:sz w:val="23"/>
          <w:szCs w:val="23"/>
        </w:rPr>
        <w:t>(</w:t>
      </w:r>
      <w:r>
        <w:rPr>
          <w:rFonts w:ascii="Times New Roman" w:hAnsi="Times New Roman" w:eastAsia="Times New Roman" w:cs="Times New Roman"/>
          <w:spacing w:val="13"/>
          <w:sz w:val="23"/>
          <w:szCs w:val="23"/>
        </w:rPr>
        <w:t>2</w:t>
      </w:r>
      <w:r>
        <w:rPr>
          <w:rFonts w:ascii="宋体" w:hAnsi="宋体" w:eastAsia="宋体" w:cs="宋体"/>
          <w:spacing w:val="13"/>
          <w:sz w:val="23"/>
          <w:szCs w:val="23"/>
        </w:rPr>
        <w:t>) 该项目使用的原料均为无毒、无害物质，建设单位在熔融挤出设备上</w:t>
      </w:r>
      <w:r>
        <w:rPr>
          <w:rFonts w:ascii="宋体" w:hAnsi="宋体" w:eastAsia="宋体" w:cs="宋体"/>
          <w:sz w:val="23"/>
          <w:szCs w:val="23"/>
        </w:rPr>
        <w:t xml:space="preserve"> </w:t>
      </w:r>
      <w:r>
        <w:rPr>
          <w:rFonts w:ascii="宋体" w:hAnsi="宋体" w:eastAsia="宋体" w:cs="宋体"/>
          <w:spacing w:val="8"/>
          <w:sz w:val="23"/>
          <w:szCs w:val="23"/>
        </w:rPr>
        <w:t>方设置集气</w:t>
      </w:r>
      <w:r>
        <w:rPr>
          <w:rFonts w:ascii="宋体" w:hAnsi="宋体" w:eastAsia="宋体" w:cs="宋体"/>
          <w:spacing w:val="6"/>
          <w:sz w:val="23"/>
          <w:szCs w:val="23"/>
        </w:rPr>
        <w:t>罩</w:t>
      </w:r>
      <w:r>
        <w:rPr>
          <w:rFonts w:ascii="宋体" w:hAnsi="宋体" w:eastAsia="宋体" w:cs="宋体"/>
          <w:spacing w:val="4"/>
          <w:sz w:val="23"/>
          <w:szCs w:val="23"/>
        </w:rPr>
        <w:t xml:space="preserve">，集气罩捕集效率 </w:t>
      </w:r>
      <w:r>
        <w:rPr>
          <w:rFonts w:ascii="Times New Roman" w:hAnsi="Times New Roman" w:eastAsia="Times New Roman" w:cs="Times New Roman"/>
          <w:spacing w:val="4"/>
          <w:sz w:val="23"/>
          <w:szCs w:val="23"/>
        </w:rPr>
        <w:t>90%</w:t>
      </w:r>
      <w:r>
        <w:rPr>
          <w:rFonts w:ascii="宋体" w:hAnsi="宋体" w:eastAsia="宋体" w:cs="宋体"/>
          <w:spacing w:val="4"/>
          <w:sz w:val="23"/>
          <w:szCs w:val="23"/>
        </w:rPr>
        <w:t>；生产过程中产生的废气污染物经集气罩捕</w:t>
      </w:r>
      <w:r>
        <w:rPr>
          <w:rFonts w:ascii="宋体" w:hAnsi="宋体" w:eastAsia="宋体" w:cs="宋体"/>
          <w:sz w:val="23"/>
          <w:szCs w:val="23"/>
        </w:rPr>
        <w:t xml:space="preserve"> </w:t>
      </w:r>
      <w:r>
        <w:rPr>
          <w:rFonts w:ascii="宋体" w:hAnsi="宋体" w:eastAsia="宋体" w:cs="宋体"/>
          <w:spacing w:val="10"/>
          <w:sz w:val="23"/>
          <w:szCs w:val="23"/>
        </w:rPr>
        <w:t>集，在风机的作用下经烟道送至废气净化设施，废气净化设施采用</w:t>
      </w:r>
      <w:r>
        <w:rPr>
          <w:rFonts w:ascii="Times New Roman" w:hAnsi="Times New Roman" w:eastAsia="Times New Roman" w:cs="Times New Roman"/>
          <w:spacing w:val="10"/>
          <w:sz w:val="23"/>
          <w:szCs w:val="23"/>
        </w:rPr>
        <w:t>“</w:t>
      </w:r>
      <w:r>
        <w:rPr>
          <w:rFonts w:ascii="宋体" w:hAnsi="宋体" w:eastAsia="宋体" w:cs="宋体"/>
          <w:spacing w:val="10"/>
          <w:sz w:val="23"/>
          <w:szCs w:val="23"/>
        </w:rPr>
        <w:t>集气罩</w:t>
      </w:r>
      <w:r>
        <w:rPr>
          <w:rFonts w:ascii="Times New Roman" w:hAnsi="Times New Roman" w:eastAsia="Times New Roman" w:cs="Times New Roman"/>
          <w:spacing w:val="7"/>
          <w:sz w:val="23"/>
          <w:szCs w:val="23"/>
        </w:rPr>
        <w:t>+</w:t>
      </w:r>
      <w:r>
        <w:rPr>
          <w:rFonts w:ascii="Times New Roman" w:hAnsi="Times New Roman" w:eastAsia="Times New Roman" w:cs="Times New Roman"/>
          <w:sz w:val="23"/>
          <w:szCs w:val="23"/>
        </w:rPr>
        <w:t xml:space="preserve">UV </w:t>
      </w:r>
      <w:r>
        <w:rPr>
          <w:rFonts w:ascii="宋体" w:hAnsi="宋体" w:eastAsia="宋体" w:cs="宋体"/>
          <w:spacing w:val="18"/>
          <w:sz w:val="23"/>
          <w:szCs w:val="23"/>
        </w:rPr>
        <w:t>光氧</w:t>
      </w:r>
      <w:r>
        <w:rPr>
          <w:rFonts w:ascii="宋体" w:hAnsi="宋体" w:eastAsia="宋体" w:cs="宋体"/>
          <w:spacing w:val="11"/>
          <w:sz w:val="23"/>
          <w:szCs w:val="23"/>
        </w:rPr>
        <w:t>催</w:t>
      </w:r>
      <w:r>
        <w:rPr>
          <w:rFonts w:ascii="宋体" w:hAnsi="宋体" w:eastAsia="宋体" w:cs="宋体"/>
          <w:spacing w:val="9"/>
          <w:sz w:val="23"/>
          <w:szCs w:val="23"/>
        </w:rPr>
        <w:t>化废气处理装置</w:t>
      </w:r>
      <w:r>
        <w:rPr>
          <w:rFonts w:ascii="Times New Roman" w:hAnsi="Times New Roman" w:eastAsia="Times New Roman" w:cs="Times New Roman"/>
          <w:spacing w:val="9"/>
          <w:sz w:val="23"/>
          <w:szCs w:val="23"/>
        </w:rPr>
        <w:t>+</w:t>
      </w:r>
      <w:r>
        <w:rPr>
          <w:rFonts w:ascii="宋体" w:hAnsi="宋体" w:eastAsia="宋体" w:cs="宋体"/>
          <w:spacing w:val="9"/>
          <w:sz w:val="23"/>
          <w:szCs w:val="23"/>
        </w:rPr>
        <w:t>活性炭吸附装置</w:t>
      </w:r>
      <w:r>
        <w:rPr>
          <w:rFonts w:ascii="Times New Roman" w:hAnsi="Times New Roman" w:eastAsia="Times New Roman" w:cs="Times New Roman"/>
          <w:spacing w:val="9"/>
          <w:sz w:val="23"/>
          <w:szCs w:val="23"/>
        </w:rPr>
        <w:t>”</w:t>
      </w:r>
      <w:r>
        <w:rPr>
          <w:rFonts w:ascii="宋体" w:hAnsi="宋体" w:eastAsia="宋体" w:cs="宋体"/>
          <w:spacing w:val="9"/>
          <w:sz w:val="23"/>
          <w:szCs w:val="23"/>
        </w:rPr>
        <w:t xml:space="preserve">工艺，净化后的废气由 </w:t>
      </w:r>
      <w:r>
        <w:rPr>
          <w:rFonts w:ascii="Times New Roman" w:hAnsi="Times New Roman" w:eastAsia="Times New Roman" w:cs="Times New Roman"/>
          <w:spacing w:val="9"/>
          <w:sz w:val="23"/>
          <w:szCs w:val="23"/>
        </w:rPr>
        <w:t>15</w:t>
      </w:r>
      <w:r>
        <w:rPr>
          <w:rFonts w:ascii="Times New Roman" w:hAnsi="Times New Roman" w:eastAsia="Times New Roman" w:cs="Times New Roman"/>
          <w:sz w:val="23"/>
          <w:szCs w:val="23"/>
        </w:rPr>
        <w:t>m</w:t>
      </w:r>
      <w:r>
        <w:rPr>
          <w:rFonts w:ascii="Times New Roman" w:hAnsi="Times New Roman" w:eastAsia="Times New Roman" w:cs="Times New Roman"/>
          <w:spacing w:val="9"/>
          <w:sz w:val="23"/>
          <w:szCs w:val="23"/>
        </w:rPr>
        <w:t xml:space="preserve"> </w:t>
      </w:r>
      <w:r>
        <w:rPr>
          <w:rFonts w:ascii="宋体" w:hAnsi="宋体" w:eastAsia="宋体" w:cs="宋体"/>
          <w:spacing w:val="9"/>
          <w:sz w:val="23"/>
          <w:szCs w:val="23"/>
        </w:rPr>
        <w:t>高排气筒</w:t>
      </w:r>
      <w:r>
        <w:rPr>
          <w:rFonts w:ascii="宋体" w:hAnsi="宋体" w:eastAsia="宋体" w:cs="宋体"/>
          <w:sz w:val="23"/>
          <w:szCs w:val="23"/>
        </w:rPr>
        <w:t xml:space="preserve"> </w:t>
      </w:r>
      <w:r>
        <w:rPr>
          <w:rFonts w:ascii="宋体" w:hAnsi="宋体" w:eastAsia="宋体" w:cs="宋体"/>
          <w:spacing w:val="8"/>
          <w:sz w:val="23"/>
          <w:szCs w:val="23"/>
        </w:rPr>
        <w:t>排放，设计净</w:t>
      </w:r>
      <w:r>
        <w:rPr>
          <w:rFonts w:ascii="宋体" w:hAnsi="宋体" w:eastAsia="宋体" w:cs="宋体"/>
          <w:spacing w:val="4"/>
          <w:sz w:val="23"/>
          <w:szCs w:val="23"/>
        </w:rPr>
        <w:t xml:space="preserve">化效率 </w:t>
      </w:r>
      <w:r>
        <w:rPr>
          <w:rFonts w:ascii="Times New Roman" w:hAnsi="Times New Roman" w:eastAsia="Times New Roman" w:cs="Times New Roman"/>
          <w:spacing w:val="4"/>
          <w:sz w:val="23"/>
          <w:szCs w:val="23"/>
        </w:rPr>
        <w:t>85%</w:t>
      </w:r>
      <w:r>
        <w:rPr>
          <w:rFonts w:ascii="宋体" w:hAnsi="宋体" w:eastAsia="宋体" w:cs="宋体"/>
          <w:spacing w:val="4"/>
          <w:sz w:val="23"/>
          <w:szCs w:val="23"/>
        </w:rPr>
        <w:t>。废气处理后，非甲烷总烃排放浓度均满足《合成树脂</w:t>
      </w:r>
      <w:r>
        <w:rPr>
          <w:rFonts w:ascii="宋体" w:hAnsi="宋体" w:eastAsia="宋体" w:cs="宋体"/>
          <w:sz w:val="23"/>
          <w:szCs w:val="23"/>
        </w:rPr>
        <w:t xml:space="preserve"> </w:t>
      </w:r>
      <w:r>
        <w:rPr>
          <w:rFonts w:ascii="宋体" w:hAnsi="宋体" w:eastAsia="宋体" w:cs="宋体"/>
          <w:spacing w:val="4"/>
          <w:sz w:val="23"/>
          <w:szCs w:val="23"/>
        </w:rPr>
        <w:t>工业污染物排放标准》  (</w:t>
      </w:r>
      <w:r>
        <w:rPr>
          <w:rFonts w:ascii="Times New Roman" w:hAnsi="Times New Roman" w:eastAsia="Times New Roman" w:cs="Times New Roman"/>
          <w:sz w:val="23"/>
          <w:szCs w:val="23"/>
        </w:rPr>
        <w:t>GB</w:t>
      </w:r>
      <w:r>
        <w:rPr>
          <w:rFonts w:ascii="Times New Roman" w:hAnsi="Times New Roman" w:eastAsia="Times New Roman" w:cs="Times New Roman"/>
          <w:spacing w:val="4"/>
          <w:sz w:val="23"/>
          <w:szCs w:val="23"/>
        </w:rPr>
        <w:t>31572-2015</w:t>
      </w:r>
      <w:r>
        <w:rPr>
          <w:rFonts w:ascii="宋体" w:hAnsi="宋体" w:eastAsia="宋体" w:cs="宋体"/>
          <w:spacing w:val="4"/>
          <w:sz w:val="23"/>
          <w:szCs w:val="23"/>
        </w:rPr>
        <w:t>) 相关标准的要</w:t>
      </w:r>
      <w:r>
        <w:rPr>
          <w:rFonts w:ascii="宋体" w:hAnsi="宋体" w:eastAsia="宋体" w:cs="宋体"/>
          <w:spacing w:val="3"/>
          <w:sz w:val="23"/>
          <w:szCs w:val="23"/>
        </w:rPr>
        <w:t>求</w:t>
      </w:r>
      <w:r>
        <w:rPr>
          <w:rFonts w:ascii="宋体" w:hAnsi="宋体" w:eastAsia="宋体" w:cs="宋体"/>
          <w:sz w:val="23"/>
          <w:szCs w:val="23"/>
        </w:rPr>
        <w:t>。</w:t>
      </w:r>
    </w:p>
    <w:p w14:paraId="3653C891">
      <w:pPr>
        <w:spacing w:before="154" w:line="395" w:lineRule="auto"/>
        <w:ind w:left="24" w:right="80" w:firstLine="490"/>
        <w:rPr>
          <w:rFonts w:ascii="宋体" w:hAnsi="宋体" w:eastAsia="宋体" w:cs="宋体"/>
          <w:sz w:val="23"/>
          <w:szCs w:val="23"/>
        </w:rPr>
      </w:pPr>
      <w:r>
        <w:rPr>
          <w:rFonts w:ascii="宋体" w:hAnsi="宋体" w:eastAsia="宋体" w:cs="宋体"/>
          <w:spacing w:val="12"/>
          <w:sz w:val="23"/>
          <w:szCs w:val="23"/>
        </w:rPr>
        <w:t>(</w:t>
      </w:r>
      <w:r>
        <w:rPr>
          <w:rFonts w:ascii="Times New Roman" w:hAnsi="Times New Roman" w:eastAsia="Times New Roman" w:cs="Times New Roman"/>
          <w:spacing w:val="9"/>
          <w:sz w:val="23"/>
          <w:szCs w:val="23"/>
        </w:rPr>
        <w:t>3</w:t>
      </w:r>
      <w:r>
        <w:rPr>
          <w:rFonts w:ascii="宋体" w:hAnsi="宋体" w:eastAsia="宋体" w:cs="宋体"/>
          <w:spacing w:val="6"/>
          <w:sz w:val="23"/>
          <w:szCs w:val="23"/>
        </w:rPr>
        <w:t xml:space="preserve">) 该项目新建的 </w:t>
      </w:r>
      <w:r>
        <w:rPr>
          <w:rFonts w:ascii="Times New Roman" w:hAnsi="Times New Roman" w:eastAsia="Times New Roman" w:cs="Times New Roman"/>
          <w:spacing w:val="6"/>
          <w:sz w:val="23"/>
          <w:szCs w:val="23"/>
        </w:rPr>
        <w:t>2</w:t>
      </w:r>
      <w:r>
        <w:rPr>
          <w:rFonts w:ascii="Times New Roman" w:hAnsi="Times New Roman" w:eastAsia="Times New Roman" w:cs="Times New Roman"/>
          <w:sz w:val="23"/>
          <w:szCs w:val="23"/>
        </w:rPr>
        <w:t>t</w:t>
      </w:r>
      <w:r>
        <w:rPr>
          <w:rFonts w:ascii="Times New Roman" w:hAnsi="Times New Roman" w:eastAsia="Times New Roman" w:cs="Times New Roman"/>
          <w:spacing w:val="6"/>
          <w:sz w:val="23"/>
          <w:szCs w:val="23"/>
        </w:rPr>
        <w:t>/</w:t>
      </w:r>
      <w:r>
        <w:rPr>
          <w:rFonts w:ascii="Times New Roman" w:hAnsi="Times New Roman" w:eastAsia="Times New Roman" w:cs="Times New Roman"/>
          <w:sz w:val="23"/>
          <w:szCs w:val="23"/>
        </w:rPr>
        <w:t>h</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 xml:space="preserve">的热风炉配备布袋除尘器，除尘效率大于 </w:t>
      </w:r>
      <w:r>
        <w:rPr>
          <w:rFonts w:ascii="Times New Roman" w:hAnsi="Times New Roman" w:eastAsia="Times New Roman" w:cs="Times New Roman"/>
          <w:spacing w:val="6"/>
          <w:sz w:val="23"/>
          <w:szCs w:val="23"/>
        </w:rPr>
        <w:t xml:space="preserve">99% </w:t>
      </w:r>
      <w:r>
        <w:rPr>
          <w:rFonts w:ascii="宋体" w:hAnsi="宋体" w:eastAsia="宋体" w:cs="宋体"/>
          <w:spacing w:val="6"/>
          <w:sz w:val="23"/>
          <w:szCs w:val="23"/>
        </w:rPr>
        <w:t>，热</w:t>
      </w:r>
      <w:r>
        <w:rPr>
          <w:rFonts w:ascii="宋体" w:hAnsi="宋体" w:eastAsia="宋体" w:cs="宋体"/>
          <w:sz w:val="23"/>
          <w:szCs w:val="23"/>
        </w:rPr>
        <w:t xml:space="preserve"> </w:t>
      </w:r>
      <w:r>
        <w:rPr>
          <w:rFonts w:ascii="宋体" w:hAnsi="宋体" w:eastAsia="宋体" w:cs="宋体"/>
          <w:spacing w:val="34"/>
          <w:sz w:val="23"/>
          <w:szCs w:val="23"/>
        </w:rPr>
        <w:t>风</w:t>
      </w:r>
      <w:r>
        <w:rPr>
          <w:rFonts w:ascii="宋体" w:hAnsi="宋体" w:eastAsia="宋体" w:cs="宋体"/>
          <w:spacing w:val="18"/>
          <w:sz w:val="23"/>
          <w:szCs w:val="23"/>
        </w:rPr>
        <w:t xml:space="preserve">炉产生的废气通过布袋除尘器处理后通过 </w:t>
      </w:r>
      <w:r>
        <w:rPr>
          <w:rFonts w:ascii="Times New Roman" w:hAnsi="Times New Roman" w:eastAsia="Times New Roman" w:cs="Times New Roman"/>
          <w:spacing w:val="18"/>
          <w:sz w:val="23"/>
          <w:szCs w:val="23"/>
        </w:rPr>
        <w:t xml:space="preserve">1 </w:t>
      </w:r>
      <w:r>
        <w:rPr>
          <w:rFonts w:ascii="宋体" w:hAnsi="宋体" w:eastAsia="宋体" w:cs="宋体"/>
          <w:spacing w:val="18"/>
          <w:sz w:val="23"/>
          <w:szCs w:val="23"/>
        </w:rPr>
        <w:t>个排气筒进行排放，设计排气</w:t>
      </w:r>
      <w:r>
        <w:rPr>
          <w:rFonts w:ascii="宋体" w:hAnsi="宋体" w:eastAsia="宋体" w:cs="宋体"/>
          <w:sz w:val="23"/>
          <w:szCs w:val="23"/>
        </w:rPr>
        <w:t xml:space="preserve"> </w:t>
      </w:r>
      <w:r>
        <w:rPr>
          <w:rFonts w:ascii="宋体" w:hAnsi="宋体" w:eastAsia="宋体" w:cs="宋体"/>
          <w:spacing w:val="14"/>
          <w:sz w:val="23"/>
          <w:szCs w:val="23"/>
        </w:rPr>
        <w:t>筒高度</w:t>
      </w:r>
      <w:r>
        <w:rPr>
          <w:rFonts w:ascii="宋体" w:hAnsi="宋体" w:eastAsia="宋体" w:cs="宋体"/>
          <w:spacing w:val="10"/>
          <w:sz w:val="23"/>
          <w:szCs w:val="23"/>
        </w:rPr>
        <w:t>为</w:t>
      </w:r>
      <w:r>
        <w:rPr>
          <w:rFonts w:ascii="宋体" w:hAnsi="宋体" w:eastAsia="宋体" w:cs="宋体"/>
          <w:spacing w:val="7"/>
          <w:sz w:val="23"/>
          <w:szCs w:val="23"/>
        </w:rPr>
        <w:t xml:space="preserve"> </w:t>
      </w:r>
      <w:r>
        <w:rPr>
          <w:rFonts w:ascii="Times New Roman" w:hAnsi="Times New Roman" w:eastAsia="Times New Roman" w:cs="Times New Roman"/>
          <w:spacing w:val="7"/>
          <w:sz w:val="23"/>
          <w:szCs w:val="23"/>
        </w:rPr>
        <w:t>30</w:t>
      </w:r>
      <w:r>
        <w:rPr>
          <w:rFonts w:ascii="Times New Roman" w:hAnsi="Times New Roman" w:eastAsia="Times New Roman" w:cs="Times New Roman"/>
          <w:sz w:val="23"/>
          <w:szCs w:val="23"/>
        </w:rPr>
        <w:t>m</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 xml:space="preserve">(新建锅炉房的烟囱周围半径 </w:t>
      </w:r>
      <w:r>
        <w:rPr>
          <w:rFonts w:ascii="Times New Roman" w:hAnsi="Times New Roman" w:eastAsia="Times New Roman" w:cs="Times New Roman"/>
          <w:spacing w:val="7"/>
          <w:sz w:val="23"/>
          <w:szCs w:val="23"/>
        </w:rPr>
        <w:t>200</w:t>
      </w:r>
      <w:r>
        <w:rPr>
          <w:rFonts w:ascii="Times New Roman" w:hAnsi="Times New Roman" w:eastAsia="Times New Roman" w:cs="Times New Roman"/>
          <w:sz w:val="23"/>
          <w:szCs w:val="23"/>
        </w:rPr>
        <w:t>m</w:t>
      </w:r>
      <w:r>
        <w:rPr>
          <w:rFonts w:ascii="宋体" w:hAnsi="宋体" w:eastAsia="宋体" w:cs="宋体"/>
          <w:spacing w:val="7"/>
          <w:sz w:val="23"/>
          <w:szCs w:val="23"/>
        </w:rPr>
        <w:t>距离内有建筑物时，其烟囱应</w:t>
      </w:r>
      <w:r>
        <w:rPr>
          <w:rFonts w:ascii="宋体" w:hAnsi="宋体" w:eastAsia="宋体" w:cs="宋体"/>
          <w:sz w:val="23"/>
          <w:szCs w:val="23"/>
        </w:rPr>
        <w:t xml:space="preserve"> </w:t>
      </w:r>
      <w:r>
        <w:rPr>
          <w:rFonts w:ascii="宋体" w:hAnsi="宋体" w:eastAsia="宋体" w:cs="宋体"/>
          <w:spacing w:val="6"/>
          <w:sz w:val="23"/>
          <w:szCs w:val="23"/>
        </w:rPr>
        <w:t>高</w:t>
      </w:r>
      <w:r>
        <w:rPr>
          <w:rFonts w:ascii="宋体" w:hAnsi="宋体" w:eastAsia="宋体" w:cs="宋体"/>
          <w:spacing w:val="4"/>
          <w:sz w:val="23"/>
          <w:szCs w:val="23"/>
        </w:rPr>
        <w:t>出</w:t>
      </w:r>
      <w:r>
        <w:rPr>
          <w:rFonts w:ascii="宋体" w:hAnsi="宋体" w:eastAsia="宋体" w:cs="宋体"/>
          <w:spacing w:val="3"/>
          <w:sz w:val="23"/>
          <w:szCs w:val="23"/>
        </w:rPr>
        <w:t xml:space="preserve">最高建筑物 </w:t>
      </w:r>
      <w:r>
        <w:rPr>
          <w:rFonts w:ascii="Times New Roman" w:hAnsi="Times New Roman" w:eastAsia="Times New Roman" w:cs="Times New Roman"/>
          <w:spacing w:val="3"/>
          <w:sz w:val="23"/>
          <w:szCs w:val="23"/>
        </w:rPr>
        <w:t>3</w:t>
      </w:r>
      <w:r>
        <w:rPr>
          <w:rFonts w:ascii="Times New Roman" w:hAnsi="Times New Roman" w:eastAsia="Times New Roman" w:cs="Times New Roman"/>
          <w:sz w:val="23"/>
          <w:szCs w:val="23"/>
        </w:rPr>
        <w:t>m</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以上) 。</w:t>
      </w:r>
    </w:p>
    <w:p w14:paraId="5CE39F9C">
      <w:pPr>
        <w:spacing w:before="144" w:line="386" w:lineRule="auto"/>
        <w:ind w:left="22" w:firstLine="492"/>
        <w:rPr>
          <w:rFonts w:ascii="宋体" w:hAnsi="宋体" w:eastAsia="宋体" w:cs="宋体"/>
          <w:sz w:val="23"/>
          <w:szCs w:val="23"/>
        </w:rPr>
      </w:pPr>
      <w:r>
        <w:rPr>
          <w:rFonts w:ascii="宋体" w:hAnsi="宋体" w:eastAsia="宋体" w:cs="宋体"/>
          <w:spacing w:val="14"/>
          <w:sz w:val="23"/>
          <w:szCs w:val="23"/>
        </w:rPr>
        <w:t>(</w:t>
      </w:r>
      <w:r>
        <w:rPr>
          <w:rFonts w:ascii="Times New Roman" w:hAnsi="Times New Roman" w:eastAsia="Times New Roman" w:cs="Times New Roman"/>
          <w:spacing w:val="13"/>
          <w:sz w:val="23"/>
          <w:szCs w:val="23"/>
        </w:rPr>
        <w:t>4</w:t>
      </w:r>
      <w:r>
        <w:rPr>
          <w:rFonts w:ascii="宋体" w:hAnsi="宋体" w:eastAsia="宋体" w:cs="宋体"/>
          <w:spacing w:val="13"/>
          <w:sz w:val="23"/>
          <w:szCs w:val="23"/>
        </w:rPr>
        <w:t>) 该项目排水主要包括生活污水以及生产废水，其中生产废水主要包括</w:t>
      </w:r>
      <w:r>
        <w:rPr>
          <w:rFonts w:ascii="宋体" w:hAnsi="宋体" w:eastAsia="宋体" w:cs="宋体"/>
          <w:sz w:val="23"/>
          <w:szCs w:val="23"/>
        </w:rPr>
        <w:t xml:space="preserve"> </w:t>
      </w:r>
      <w:r>
        <w:rPr>
          <w:rFonts w:ascii="宋体" w:hAnsi="宋体" w:eastAsia="宋体" w:cs="宋体"/>
          <w:spacing w:val="4"/>
          <w:sz w:val="23"/>
          <w:szCs w:val="23"/>
        </w:rPr>
        <w:t>破碎工序产生的废水，原料初洗</w:t>
      </w:r>
      <w:r>
        <w:rPr>
          <w:rFonts w:ascii="宋体" w:hAnsi="宋体" w:eastAsia="宋体" w:cs="宋体"/>
          <w:spacing w:val="2"/>
          <w:sz w:val="23"/>
          <w:szCs w:val="23"/>
        </w:rPr>
        <w:t>工序、洗字工序、二次清洗工序产生的清洗废水、</w:t>
      </w:r>
      <w:r>
        <w:rPr>
          <w:rFonts w:ascii="宋体" w:hAnsi="宋体" w:eastAsia="宋体" w:cs="宋体"/>
          <w:sz w:val="23"/>
          <w:szCs w:val="23"/>
        </w:rPr>
        <w:t xml:space="preserve"> </w:t>
      </w:r>
      <w:r>
        <w:rPr>
          <w:rFonts w:ascii="宋体" w:hAnsi="宋体" w:eastAsia="宋体" w:cs="宋体"/>
          <w:spacing w:val="7"/>
          <w:sz w:val="23"/>
          <w:szCs w:val="23"/>
        </w:rPr>
        <w:t xml:space="preserve">脱水工序产生的废水以及循环冷却废水，总排水量为 </w:t>
      </w:r>
      <w:r>
        <w:rPr>
          <w:rFonts w:ascii="Times New Roman" w:hAnsi="Times New Roman" w:eastAsia="Times New Roman" w:cs="Times New Roman"/>
          <w:spacing w:val="7"/>
          <w:sz w:val="23"/>
          <w:szCs w:val="23"/>
        </w:rPr>
        <w:t>2483.52</w:t>
      </w:r>
      <w:r>
        <w:rPr>
          <w:rFonts w:ascii="Times New Roman" w:hAnsi="Times New Roman" w:eastAsia="Times New Roman" w:cs="Times New Roman"/>
          <w:sz w:val="23"/>
          <w:szCs w:val="23"/>
        </w:rPr>
        <w:t>m</w:t>
      </w:r>
      <w:r>
        <w:rPr>
          <w:rFonts w:ascii="Times New Roman" w:hAnsi="Times New Roman" w:eastAsia="Times New Roman" w:cs="Times New Roman"/>
          <w:spacing w:val="7"/>
          <w:position w:val="8"/>
          <w:sz w:val="15"/>
          <w:szCs w:val="15"/>
        </w:rPr>
        <w:t>3</w:t>
      </w:r>
      <w:r>
        <w:rPr>
          <w:rFonts w:ascii="Times New Roman" w:hAnsi="Times New Roman" w:eastAsia="Times New Roman" w:cs="Times New Roman"/>
          <w:spacing w:val="7"/>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。该项目在</w:t>
      </w:r>
      <w:r>
        <w:rPr>
          <w:rFonts w:ascii="宋体" w:hAnsi="宋体" w:eastAsia="宋体" w:cs="宋体"/>
          <w:spacing w:val="5"/>
          <w:sz w:val="23"/>
          <w:szCs w:val="23"/>
        </w:rPr>
        <w:t>厂</w:t>
      </w:r>
      <w:r>
        <w:rPr>
          <w:rFonts w:ascii="宋体" w:hAnsi="宋体" w:eastAsia="宋体" w:cs="宋体"/>
          <w:sz w:val="23"/>
          <w:szCs w:val="23"/>
        </w:rPr>
        <w:t xml:space="preserve"> </w:t>
      </w:r>
      <w:r>
        <w:rPr>
          <w:rFonts w:ascii="宋体" w:hAnsi="宋体" w:eastAsia="宋体" w:cs="宋体"/>
          <w:spacing w:val="14"/>
          <w:sz w:val="23"/>
          <w:szCs w:val="23"/>
        </w:rPr>
        <w:t>区</w:t>
      </w:r>
      <w:r>
        <w:rPr>
          <w:rFonts w:ascii="宋体" w:hAnsi="宋体" w:eastAsia="宋体" w:cs="宋体"/>
          <w:spacing w:val="12"/>
          <w:sz w:val="23"/>
          <w:szCs w:val="23"/>
        </w:rPr>
        <w:t xml:space="preserve">东南侧设有旱厕，员工使用防渗旱厕，定期清掏，不外排；项目设有 </w:t>
      </w:r>
      <w:r>
        <w:rPr>
          <w:rFonts w:ascii="Times New Roman" w:hAnsi="Times New Roman" w:eastAsia="Times New Roman" w:cs="Times New Roman"/>
          <w:spacing w:val="12"/>
          <w:sz w:val="23"/>
          <w:szCs w:val="23"/>
        </w:rPr>
        <w:t xml:space="preserve">1 </w:t>
      </w:r>
      <w:r>
        <w:rPr>
          <w:rFonts w:ascii="宋体" w:hAnsi="宋体" w:eastAsia="宋体" w:cs="宋体"/>
          <w:spacing w:val="12"/>
          <w:sz w:val="23"/>
          <w:szCs w:val="23"/>
        </w:rPr>
        <w:t>座容</w:t>
      </w:r>
      <w:r>
        <w:rPr>
          <w:rFonts w:ascii="宋体" w:hAnsi="宋体" w:eastAsia="宋体" w:cs="宋体"/>
          <w:sz w:val="23"/>
          <w:szCs w:val="23"/>
        </w:rPr>
        <w:t xml:space="preserve"> </w:t>
      </w:r>
      <w:r>
        <w:rPr>
          <w:rFonts w:ascii="宋体" w:hAnsi="宋体" w:eastAsia="宋体" w:cs="宋体"/>
          <w:spacing w:val="2"/>
          <w:sz w:val="23"/>
          <w:szCs w:val="23"/>
        </w:rPr>
        <w:t xml:space="preserve">积为 </w:t>
      </w:r>
      <w:r>
        <w:rPr>
          <w:rFonts w:ascii="Times New Roman" w:hAnsi="Times New Roman" w:eastAsia="Times New Roman" w:cs="Times New Roman"/>
          <w:spacing w:val="2"/>
          <w:sz w:val="23"/>
          <w:szCs w:val="23"/>
        </w:rPr>
        <w:t>324</w:t>
      </w:r>
      <w:r>
        <w:rPr>
          <w:rFonts w:ascii="Times New Roman" w:hAnsi="Times New Roman" w:eastAsia="Times New Roman" w:cs="Times New Roman"/>
          <w:sz w:val="23"/>
          <w:szCs w:val="23"/>
        </w:rPr>
        <w:t>m</w:t>
      </w:r>
      <w:r>
        <w:rPr>
          <w:rFonts w:ascii="Times New Roman" w:hAnsi="Times New Roman" w:eastAsia="Times New Roman" w:cs="Times New Roman"/>
          <w:spacing w:val="2"/>
          <w:position w:val="8"/>
          <w:sz w:val="15"/>
          <w:szCs w:val="15"/>
        </w:rPr>
        <w:t xml:space="preserve">3 </w:t>
      </w:r>
      <w:r>
        <w:rPr>
          <w:rFonts w:ascii="宋体" w:hAnsi="宋体" w:eastAsia="宋体" w:cs="宋体"/>
          <w:spacing w:val="2"/>
          <w:sz w:val="23"/>
          <w:szCs w:val="23"/>
        </w:rPr>
        <w:t>的三级沉淀池 (</w:t>
      </w:r>
      <w:r>
        <w:rPr>
          <w:rFonts w:ascii="Times New Roman" w:hAnsi="Times New Roman" w:eastAsia="Times New Roman" w:cs="Times New Roman"/>
          <w:spacing w:val="2"/>
          <w:sz w:val="23"/>
          <w:szCs w:val="23"/>
        </w:rPr>
        <w:t>12</w:t>
      </w:r>
      <w:r>
        <w:rPr>
          <w:rFonts w:ascii="Times New Roman" w:hAnsi="Times New Roman" w:eastAsia="Times New Roman" w:cs="Times New Roman"/>
          <w:sz w:val="23"/>
          <w:szCs w:val="23"/>
        </w:rPr>
        <w:t>m</w:t>
      </w:r>
      <w:r>
        <w:rPr>
          <w:rFonts w:ascii="Times New Roman" w:hAnsi="Times New Roman" w:eastAsia="Times New Roman" w:cs="Times New Roman"/>
          <w:spacing w:val="2"/>
          <w:sz w:val="23"/>
          <w:szCs w:val="23"/>
        </w:rPr>
        <w:t>×6</w:t>
      </w:r>
      <w:r>
        <w:rPr>
          <w:rFonts w:ascii="Times New Roman" w:hAnsi="Times New Roman" w:eastAsia="Times New Roman" w:cs="Times New Roman"/>
          <w:sz w:val="23"/>
          <w:szCs w:val="23"/>
        </w:rPr>
        <w:t>m</w:t>
      </w:r>
      <w:r>
        <w:rPr>
          <w:rFonts w:ascii="Times New Roman" w:hAnsi="Times New Roman" w:eastAsia="Times New Roman" w:cs="Times New Roman"/>
          <w:spacing w:val="2"/>
          <w:sz w:val="23"/>
          <w:szCs w:val="23"/>
        </w:rPr>
        <w:t>×4.5</w:t>
      </w:r>
      <w:r>
        <w:rPr>
          <w:rFonts w:ascii="Times New Roman" w:hAnsi="Times New Roman" w:eastAsia="Times New Roman" w:cs="Times New Roman"/>
          <w:sz w:val="23"/>
          <w:szCs w:val="23"/>
        </w:rPr>
        <w:t>m</w:t>
      </w:r>
      <w:r>
        <w:rPr>
          <w:rFonts w:ascii="宋体" w:hAnsi="宋体" w:eastAsia="宋体" w:cs="宋体"/>
          <w:spacing w:val="2"/>
          <w:sz w:val="23"/>
          <w:szCs w:val="23"/>
        </w:rPr>
        <w:t xml:space="preserve">) ，同时配套设有 </w:t>
      </w:r>
      <w:r>
        <w:rPr>
          <w:rFonts w:ascii="Times New Roman" w:hAnsi="Times New Roman" w:eastAsia="Times New Roman" w:cs="Times New Roman"/>
          <w:spacing w:val="2"/>
          <w:sz w:val="23"/>
          <w:szCs w:val="23"/>
        </w:rPr>
        <w:t xml:space="preserve">1 </w:t>
      </w:r>
      <w:r>
        <w:rPr>
          <w:rFonts w:ascii="宋体" w:hAnsi="宋体" w:eastAsia="宋体" w:cs="宋体"/>
          <w:spacing w:val="2"/>
          <w:sz w:val="23"/>
          <w:szCs w:val="23"/>
        </w:rPr>
        <w:t>台一体化污水</w:t>
      </w:r>
      <w:r>
        <w:rPr>
          <w:rFonts w:ascii="宋体" w:hAnsi="宋体" w:eastAsia="宋体" w:cs="宋体"/>
          <w:spacing w:val="1"/>
          <w:sz w:val="23"/>
          <w:szCs w:val="23"/>
        </w:rPr>
        <w:t>预</w:t>
      </w:r>
      <w:r>
        <w:rPr>
          <w:rFonts w:ascii="宋体" w:hAnsi="宋体" w:eastAsia="宋体" w:cs="宋体"/>
          <w:sz w:val="23"/>
          <w:szCs w:val="23"/>
        </w:rPr>
        <w:t xml:space="preserve">处 </w:t>
      </w:r>
      <w:r>
        <w:rPr>
          <w:rFonts w:ascii="宋体" w:hAnsi="宋体" w:eastAsia="宋体" w:cs="宋体"/>
          <w:spacing w:val="9"/>
          <w:sz w:val="23"/>
          <w:szCs w:val="23"/>
        </w:rPr>
        <w:t>理</w:t>
      </w:r>
      <w:r>
        <w:rPr>
          <w:rFonts w:ascii="宋体" w:hAnsi="宋体" w:eastAsia="宋体" w:cs="宋体"/>
          <w:spacing w:val="7"/>
          <w:sz w:val="23"/>
          <w:szCs w:val="23"/>
        </w:rPr>
        <w:t>设备，均位于生产厂房西南侧，产生的生产废水经一体化污水预处理设备处理</w:t>
      </w:r>
      <w:r>
        <w:rPr>
          <w:rFonts w:ascii="宋体" w:hAnsi="宋体" w:eastAsia="宋体" w:cs="宋体"/>
          <w:sz w:val="23"/>
          <w:szCs w:val="23"/>
        </w:rPr>
        <w:t xml:space="preserve"> </w:t>
      </w:r>
      <w:r>
        <w:rPr>
          <w:rFonts w:ascii="宋体" w:hAnsi="宋体" w:eastAsia="宋体" w:cs="宋体"/>
          <w:spacing w:val="10"/>
          <w:sz w:val="23"/>
          <w:szCs w:val="23"/>
        </w:rPr>
        <w:t>后排入三</w:t>
      </w:r>
      <w:r>
        <w:rPr>
          <w:rFonts w:ascii="宋体" w:hAnsi="宋体" w:eastAsia="宋体" w:cs="宋体"/>
          <w:spacing w:val="6"/>
          <w:sz w:val="23"/>
          <w:szCs w:val="23"/>
        </w:rPr>
        <w:t>级</w:t>
      </w:r>
      <w:r>
        <w:rPr>
          <w:rFonts w:ascii="宋体" w:hAnsi="宋体" w:eastAsia="宋体" w:cs="宋体"/>
          <w:spacing w:val="5"/>
          <w:sz w:val="23"/>
          <w:szCs w:val="23"/>
        </w:rPr>
        <w:t>沉淀池 (</w:t>
      </w:r>
      <w:r>
        <w:rPr>
          <w:rFonts w:ascii="Times New Roman" w:hAnsi="Times New Roman" w:eastAsia="Times New Roman" w:cs="Times New Roman"/>
          <w:spacing w:val="5"/>
          <w:sz w:val="23"/>
          <w:szCs w:val="23"/>
        </w:rPr>
        <w:t>12</w:t>
      </w:r>
      <w:r>
        <w:rPr>
          <w:rFonts w:ascii="Times New Roman" w:hAnsi="Times New Roman" w:eastAsia="Times New Roman" w:cs="Times New Roman"/>
          <w:sz w:val="23"/>
          <w:szCs w:val="23"/>
        </w:rPr>
        <w:t>m</w:t>
      </w:r>
      <w:r>
        <w:rPr>
          <w:rFonts w:ascii="Times New Roman" w:hAnsi="Times New Roman" w:eastAsia="Times New Roman" w:cs="Times New Roman"/>
          <w:spacing w:val="5"/>
          <w:sz w:val="23"/>
          <w:szCs w:val="23"/>
        </w:rPr>
        <w:t>×6</w:t>
      </w:r>
      <w:r>
        <w:rPr>
          <w:rFonts w:ascii="Times New Roman" w:hAnsi="Times New Roman" w:eastAsia="Times New Roman" w:cs="Times New Roman"/>
          <w:sz w:val="23"/>
          <w:szCs w:val="23"/>
        </w:rPr>
        <w:t>m</w:t>
      </w:r>
      <w:r>
        <w:rPr>
          <w:rFonts w:ascii="Times New Roman" w:hAnsi="Times New Roman" w:eastAsia="Times New Roman" w:cs="Times New Roman"/>
          <w:spacing w:val="5"/>
          <w:sz w:val="23"/>
          <w:szCs w:val="23"/>
        </w:rPr>
        <w:t>×4.5</w:t>
      </w:r>
      <w:r>
        <w:rPr>
          <w:rFonts w:ascii="Times New Roman" w:hAnsi="Times New Roman" w:eastAsia="Times New Roman" w:cs="Times New Roman"/>
          <w:sz w:val="23"/>
          <w:szCs w:val="23"/>
        </w:rPr>
        <w:t>m</w:t>
      </w:r>
      <w:r>
        <w:rPr>
          <w:rFonts w:ascii="宋体" w:hAnsi="宋体" w:eastAsia="宋体" w:cs="宋体"/>
          <w:spacing w:val="5"/>
          <w:sz w:val="23"/>
          <w:szCs w:val="23"/>
        </w:rPr>
        <w:t>) 沉淀处理，随后循环使用。污水处理设施废</w:t>
      </w:r>
      <w:r>
        <w:rPr>
          <w:rFonts w:ascii="宋体" w:hAnsi="宋体" w:eastAsia="宋体" w:cs="宋体"/>
          <w:sz w:val="23"/>
          <w:szCs w:val="23"/>
        </w:rPr>
        <w:t xml:space="preserve"> </w:t>
      </w:r>
      <w:r>
        <w:rPr>
          <w:rFonts w:ascii="宋体" w:hAnsi="宋体" w:eastAsia="宋体" w:cs="宋体"/>
          <w:spacing w:val="-1"/>
          <w:sz w:val="23"/>
          <w:szCs w:val="23"/>
        </w:rPr>
        <w:t xml:space="preserve">水每月更换 </w:t>
      </w:r>
      <w:r>
        <w:rPr>
          <w:rFonts w:ascii="Times New Roman" w:hAnsi="Times New Roman" w:eastAsia="Times New Roman" w:cs="Times New Roman"/>
          <w:spacing w:val="-1"/>
          <w:sz w:val="23"/>
          <w:szCs w:val="23"/>
        </w:rPr>
        <w:t xml:space="preserve">1 </w:t>
      </w:r>
      <w:r>
        <w:rPr>
          <w:rFonts w:ascii="宋体" w:hAnsi="宋体" w:eastAsia="宋体" w:cs="宋体"/>
          <w:spacing w:val="-1"/>
          <w:sz w:val="23"/>
          <w:szCs w:val="23"/>
        </w:rPr>
        <w:t xml:space="preserve">次，则该项目全年更换废水量为 </w:t>
      </w:r>
      <w:r>
        <w:rPr>
          <w:rFonts w:ascii="Times New Roman" w:hAnsi="Times New Roman" w:eastAsia="Times New Roman" w:cs="Times New Roman"/>
          <w:spacing w:val="-1"/>
          <w:sz w:val="23"/>
          <w:szCs w:val="23"/>
        </w:rPr>
        <w:t>1523.52</w:t>
      </w:r>
      <w:r>
        <w:rPr>
          <w:rFonts w:ascii="Times New Roman" w:hAnsi="Times New Roman" w:eastAsia="Times New Roman" w:cs="Times New Roman"/>
          <w:sz w:val="23"/>
          <w:szCs w:val="23"/>
        </w:rPr>
        <w:t>m</w:t>
      </w:r>
      <w:r>
        <w:rPr>
          <w:rFonts w:ascii="Times New Roman" w:hAnsi="Times New Roman" w:eastAsia="Times New Roman" w:cs="Times New Roman"/>
          <w:spacing w:val="-1"/>
          <w:position w:val="8"/>
          <w:sz w:val="15"/>
          <w:szCs w:val="15"/>
        </w:rPr>
        <w:t xml:space="preserve">3 </w:t>
      </w:r>
      <w:r>
        <w:rPr>
          <w:rFonts w:ascii="宋体" w:hAnsi="宋体" w:eastAsia="宋体" w:cs="宋体"/>
          <w:sz w:val="23"/>
          <w:szCs w:val="23"/>
        </w:rPr>
        <w:t xml:space="preserve">，更换过程产生的废水经 </w:t>
      </w:r>
      <w:r>
        <w:rPr>
          <w:rFonts w:ascii="宋体" w:hAnsi="宋体" w:eastAsia="宋体" w:cs="宋体"/>
          <w:spacing w:val="1"/>
          <w:sz w:val="23"/>
          <w:szCs w:val="23"/>
        </w:rPr>
        <w:t>吸污车运送至本溪市科态污水处理有限</w:t>
      </w:r>
      <w:r>
        <w:rPr>
          <w:rFonts w:ascii="宋体" w:hAnsi="宋体" w:eastAsia="宋体" w:cs="宋体"/>
          <w:sz w:val="23"/>
          <w:szCs w:val="23"/>
        </w:rPr>
        <w:t xml:space="preserve">责任公司统一处理，能够达到《辽宁省污水 </w:t>
      </w:r>
      <w:r>
        <w:rPr>
          <w:rFonts w:ascii="宋体" w:hAnsi="宋体" w:eastAsia="宋体" w:cs="宋体"/>
          <w:spacing w:val="8"/>
          <w:sz w:val="23"/>
          <w:szCs w:val="23"/>
        </w:rPr>
        <w:t>综合排放标</w:t>
      </w:r>
      <w:r>
        <w:rPr>
          <w:rFonts w:ascii="宋体" w:hAnsi="宋体" w:eastAsia="宋体" w:cs="宋体"/>
          <w:spacing w:val="4"/>
          <w:sz w:val="23"/>
          <w:szCs w:val="23"/>
        </w:rPr>
        <w:t>准》 (</w:t>
      </w:r>
      <w:r>
        <w:rPr>
          <w:rFonts w:ascii="Times New Roman" w:hAnsi="Times New Roman" w:eastAsia="Times New Roman" w:cs="Times New Roman"/>
          <w:sz w:val="23"/>
          <w:szCs w:val="23"/>
        </w:rPr>
        <w:t>DB</w:t>
      </w:r>
      <w:r>
        <w:rPr>
          <w:rFonts w:ascii="Times New Roman" w:hAnsi="Times New Roman" w:eastAsia="Times New Roman" w:cs="Times New Roman"/>
          <w:spacing w:val="4"/>
          <w:sz w:val="23"/>
          <w:szCs w:val="23"/>
        </w:rPr>
        <w:t>21/ 1627-2008</w:t>
      </w:r>
      <w:r>
        <w:rPr>
          <w:rFonts w:ascii="宋体" w:hAnsi="宋体" w:eastAsia="宋体" w:cs="宋体"/>
          <w:spacing w:val="4"/>
          <w:sz w:val="23"/>
          <w:szCs w:val="23"/>
        </w:rPr>
        <w:t>) 中排入污水处理厂的水污染物最高允许排放</w:t>
      </w:r>
      <w:r>
        <w:rPr>
          <w:rFonts w:ascii="宋体" w:hAnsi="宋体" w:eastAsia="宋体" w:cs="宋体"/>
          <w:sz w:val="23"/>
          <w:szCs w:val="23"/>
        </w:rPr>
        <w:t xml:space="preserve"> </w:t>
      </w:r>
      <w:r>
        <w:rPr>
          <w:rFonts w:ascii="宋体" w:hAnsi="宋体" w:eastAsia="宋体" w:cs="宋体"/>
          <w:spacing w:val="12"/>
          <w:sz w:val="23"/>
          <w:szCs w:val="23"/>
        </w:rPr>
        <w:t>浓</w:t>
      </w:r>
      <w:r>
        <w:rPr>
          <w:rFonts w:ascii="宋体" w:hAnsi="宋体" w:eastAsia="宋体" w:cs="宋体"/>
          <w:spacing w:val="9"/>
          <w:sz w:val="23"/>
          <w:szCs w:val="23"/>
        </w:rPr>
        <w:t>度限制要求，对当地地表水环境质量影响不大。</w:t>
      </w:r>
    </w:p>
    <w:p w14:paraId="2D4083D7">
      <w:pPr>
        <w:sectPr>
          <w:headerReference r:id="rId28" w:type="default"/>
          <w:footerReference r:id="rId29" w:type="default"/>
          <w:pgSz w:w="11906" w:h="16839"/>
          <w:pgMar w:top="1132" w:right="1716" w:bottom="899" w:left="1785" w:header="878" w:footer="739" w:gutter="0"/>
          <w:cols w:space="720" w:num="1"/>
        </w:sectPr>
      </w:pPr>
    </w:p>
    <w:p w14:paraId="546D942E">
      <w:pPr>
        <w:spacing w:line="410" w:lineRule="auto"/>
        <w:rPr>
          <w:rFonts w:ascii="Arial"/>
          <w:sz w:val="21"/>
        </w:rPr>
      </w:pPr>
      <w:r>
        <w:pict>
          <v:shape id="_x0000_s1041" o:spid="_x0000_s1041" style="position:absolute;left:0pt;margin-left:90pt;margin-top:57.35pt;height:0.75pt;width:415.3pt;mso-position-horizontal-relative:page;mso-position-vertical-relative:page;z-index:251679744;mso-width-relative:page;mso-height-relative:page;" fillcolor="#000000" filled="t" stroked="f" coordsize="8305,15" o:allowincell="f" path="m0,0l8305,0,8305,14,0,14,0,0xe">
            <v:path/>
            <v:fill on="t" focussize="0,0"/>
            <v:stroke on="f"/>
            <v:imagedata o:title=""/>
            <o:lock v:ext="edit"/>
          </v:shape>
        </w:pict>
      </w:r>
    </w:p>
    <w:p w14:paraId="7EE669DD">
      <w:pPr>
        <w:spacing w:before="75" w:line="390" w:lineRule="auto"/>
        <w:ind w:left="24" w:right="44" w:firstLine="490"/>
        <w:rPr>
          <w:rFonts w:ascii="宋体" w:hAnsi="宋体" w:eastAsia="宋体" w:cs="宋体"/>
          <w:sz w:val="23"/>
          <w:szCs w:val="23"/>
        </w:rPr>
      </w:pPr>
      <w:r>
        <w:rPr>
          <w:rFonts w:ascii="宋体" w:hAnsi="宋体" w:eastAsia="宋体" w:cs="宋体"/>
          <w:spacing w:val="16"/>
          <w:sz w:val="23"/>
          <w:szCs w:val="23"/>
        </w:rPr>
        <w:t>(</w:t>
      </w:r>
      <w:r>
        <w:rPr>
          <w:rFonts w:ascii="Times New Roman" w:hAnsi="Times New Roman" w:eastAsia="Times New Roman" w:cs="Times New Roman"/>
          <w:spacing w:val="13"/>
          <w:sz w:val="23"/>
          <w:szCs w:val="23"/>
        </w:rPr>
        <w:t>5</w:t>
      </w:r>
      <w:r>
        <w:rPr>
          <w:rFonts w:ascii="宋体" w:hAnsi="宋体" w:eastAsia="宋体" w:cs="宋体"/>
          <w:spacing w:val="13"/>
          <w:sz w:val="23"/>
          <w:szCs w:val="23"/>
        </w:rPr>
        <w:t>) 项目噪声主要为生产设备运行中辐射噪声，产生较大噪声的噪声源主</w:t>
      </w:r>
      <w:r>
        <w:rPr>
          <w:rFonts w:ascii="宋体" w:hAnsi="宋体" w:eastAsia="宋体" w:cs="宋体"/>
          <w:sz w:val="23"/>
          <w:szCs w:val="23"/>
        </w:rPr>
        <w:t xml:space="preserve"> </w:t>
      </w:r>
      <w:r>
        <w:rPr>
          <w:rFonts w:ascii="宋体" w:hAnsi="宋体" w:eastAsia="宋体" w:cs="宋体"/>
          <w:spacing w:val="16"/>
          <w:sz w:val="23"/>
          <w:szCs w:val="23"/>
        </w:rPr>
        <w:t>要有</w:t>
      </w:r>
      <w:r>
        <w:rPr>
          <w:rFonts w:ascii="宋体" w:hAnsi="宋体" w:eastAsia="宋体" w:cs="宋体"/>
          <w:spacing w:val="14"/>
          <w:sz w:val="23"/>
          <w:szCs w:val="23"/>
        </w:rPr>
        <w:t>各</w:t>
      </w:r>
      <w:r>
        <w:rPr>
          <w:rFonts w:ascii="宋体" w:hAnsi="宋体" w:eastAsia="宋体" w:cs="宋体"/>
          <w:spacing w:val="8"/>
          <w:sz w:val="23"/>
          <w:szCs w:val="23"/>
        </w:rPr>
        <w:t>喂料机、偏心清洗机、粉碎机等设备。项目所有设备噪声源均置于室内，</w:t>
      </w:r>
      <w:r>
        <w:rPr>
          <w:rFonts w:ascii="宋体" w:hAnsi="宋体" w:eastAsia="宋体" w:cs="宋体"/>
          <w:sz w:val="23"/>
          <w:szCs w:val="23"/>
        </w:rPr>
        <w:t xml:space="preserve"> </w:t>
      </w:r>
      <w:r>
        <w:rPr>
          <w:rFonts w:ascii="宋体" w:hAnsi="宋体" w:eastAsia="宋体" w:cs="宋体"/>
          <w:spacing w:val="28"/>
          <w:sz w:val="23"/>
          <w:szCs w:val="23"/>
        </w:rPr>
        <w:t>首</w:t>
      </w:r>
      <w:r>
        <w:rPr>
          <w:rFonts w:ascii="宋体" w:hAnsi="宋体" w:eastAsia="宋体" w:cs="宋体"/>
          <w:spacing w:val="18"/>
          <w:sz w:val="23"/>
          <w:szCs w:val="23"/>
        </w:rPr>
        <w:t>选</w:t>
      </w:r>
      <w:r>
        <w:rPr>
          <w:rFonts w:ascii="宋体" w:hAnsi="宋体" w:eastAsia="宋体" w:cs="宋体"/>
          <w:spacing w:val="14"/>
          <w:sz w:val="23"/>
          <w:szCs w:val="23"/>
        </w:rPr>
        <w:t>低噪声设备，通过减振、隔声， 以达到降噪目的。</w:t>
      </w:r>
    </w:p>
    <w:p w14:paraId="4F4DB127">
      <w:pPr>
        <w:spacing w:before="138" w:line="390" w:lineRule="auto"/>
        <w:ind w:left="23" w:right="101" w:firstLine="491"/>
        <w:rPr>
          <w:rFonts w:ascii="宋体" w:hAnsi="宋体" w:eastAsia="宋体" w:cs="宋体"/>
          <w:sz w:val="23"/>
          <w:szCs w:val="23"/>
        </w:rPr>
      </w:pPr>
      <w:r>
        <w:rPr>
          <w:rFonts w:ascii="宋体" w:hAnsi="宋体" w:eastAsia="宋体" w:cs="宋体"/>
          <w:spacing w:val="16"/>
          <w:sz w:val="23"/>
          <w:szCs w:val="23"/>
        </w:rPr>
        <w:t>(</w:t>
      </w:r>
      <w:r>
        <w:rPr>
          <w:rFonts w:ascii="Times New Roman" w:hAnsi="Times New Roman" w:eastAsia="Times New Roman" w:cs="Times New Roman"/>
          <w:spacing w:val="13"/>
          <w:sz w:val="23"/>
          <w:szCs w:val="23"/>
        </w:rPr>
        <w:t>6</w:t>
      </w:r>
      <w:r>
        <w:rPr>
          <w:rFonts w:ascii="宋体" w:hAnsi="宋体" w:eastAsia="宋体" w:cs="宋体"/>
          <w:spacing w:val="13"/>
          <w:sz w:val="23"/>
          <w:szCs w:val="23"/>
        </w:rPr>
        <w:t>) 该项目固体废物主要为员工产生的生活垃圾、危险废物以及一般工业</w:t>
      </w:r>
      <w:r>
        <w:rPr>
          <w:rFonts w:ascii="宋体" w:hAnsi="宋体" w:eastAsia="宋体" w:cs="宋体"/>
          <w:sz w:val="23"/>
          <w:szCs w:val="23"/>
        </w:rPr>
        <w:t xml:space="preserve"> </w:t>
      </w:r>
      <w:r>
        <w:rPr>
          <w:rFonts w:ascii="宋体" w:hAnsi="宋体" w:eastAsia="宋体" w:cs="宋体"/>
          <w:spacing w:val="26"/>
          <w:sz w:val="23"/>
          <w:szCs w:val="23"/>
        </w:rPr>
        <w:t>固</w:t>
      </w:r>
      <w:r>
        <w:rPr>
          <w:rFonts w:ascii="宋体" w:hAnsi="宋体" w:eastAsia="宋体" w:cs="宋体"/>
          <w:spacing w:val="23"/>
          <w:sz w:val="23"/>
          <w:szCs w:val="23"/>
        </w:rPr>
        <w:t>体</w:t>
      </w:r>
      <w:r>
        <w:rPr>
          <w:rFonts w:ascii="宋体" w:hAnsi="宋体" w:eastAsia="宋体" w:cs="宋体"/>
          <w:spacing w:val="13"/>
          <w:sz w:val="23"/>
          <w:szCs w:val="23"/>
        </w:rPr>
        <w:t>废物，其中一般工业固体废物包括杂质、沉淀池污泥、废滤网、热风炉炉</w:t>
      </w:r>
      <w:r>
        <w:rPr>
          <w:rFonts w:ascii="宋体" w:hAnsi="宋体" w:eastAsia="宋体" w:cs="宋体"/>
          <w:sz w:val="23"/>
          <w:szCs w:val="23"/>
        </w:rPr>
        <w:t xml:space="preserve"> </w:t>
      </w:r>
      <w:r>
        <w:rPr>
          <w:rFonts w:ascii="宋体" w:hAnsi="宋体" w:eastAsia="宋体" w:cs="宋体"/>
          <w:spacing w:val="22"/>
          <w:sz w:val="23"/>
          <w:szCs w:val="23"/>
        </w:rPr>
        <w:t>渣</w:t>
      </w:r>
      <w:r>
        <w:rPr>
          <w:rFonts w:ascii="宋体" w:hAnsi="宋体" w:eastAsia="宋体" w:cs="宋体"/>
          <w:spacing w:val="18"/>
          <w:sz w:val="23"/>
          <w:szCs w:val="23"/>
        </w:rPr>
        <w:t>以</w:t>
      </w:r>
      <w:r>
        <w:rPr>
          <w:rFonts w:ascii="宋体" w:hAnsi="宋体" w:eastAsia="宋体" w:cs="宋体"/>
          <w:spacing w:val="11"/>
          <w:sz w:val="23"/>
          <w:szCs w:val="23"/>
        </w:rPr>
        <w:t xml:space="preserve">及除尘器收集的粉尘，危险废物主要为废活性炭、废 </w:t>
      </w:r>
      <w:r>
        <w:rPr>
          <w:rFonts w:ascii="Times New Roman" w:hAnsi="Times New Roman" w:eastAsia="Times New Roman" w:cs="Times New Roman"/>
          <w:sz w:val="23"/>
          <w:szCs w:val="23"/>
        </w:rPr>
        <w:t>uv</w:t>
      </w:r>
      <w:r>
        <w:rPr>
          <w:rFonts w:ascii="Times New Roman" w:hAnsi="Times New Roman" w:eastAsia="Times New Roman" w:cs="Times New Roman"/>
          <w:spacing w:val="11"/>
          <w:sz w:val="23"/>
          <w:szCs w:val="23"/>
        </w:rPr>
        <w:t xml:space="preserve"> </w:t>
      </w:r>
      <w:r>
        <w:rPr>
          <w:rFonts w:ascii="宋体" w:hAnsi="宋体" w:eastAsia="宋体" w:cs="宋体"/>
          <w:spacing w:val="11"/>
          <w:sz w:val="23"/>
          <w:szCs w:val="23"/>
        </w:rPr>
        <w:t>光解灯管。</w:t>
      </w:r>
    </w:p>
    <w:p w14:paraId="69A77829">
      <w:pPr>
        <w:spacing w:before="131" w:line="387" w:lineRule="auto"/>
        <w:ind w:left="22" w:right="16" w:firstLine="484"/>
        <w:rPr>
          <w:rFonts w:ascii="宋体" w:hAnsi="宋体" w:eastAsia="宋体" w:cs="宋体"/>
          <w:sz w:val="23"/>
          <w:szCs w:val="23"/>
        </w:rPr>
      </w:pPr>
      <w:r>
        <w:rPr>
          <w:rFonts w:ascii="宋体" w:hAnsi="宋体" w:eastAsia="宋体" w:cs="宋体"/>
          <w:spacing w:val="18"/>
          <w:sz w:val="23"/>
          <w:szCs w:val="23"/>
        </w:rPr>
        <w:t>该</w:t>
      </w:r>
      <w:r>
        <w:rPr>
          <w:rFonts w:ascii="宋体" w:hAnsi="宋体" w:eastAsia="宋体" w:cs="宋体"/>
          <w:spacing w:val="11"/>
          <w:sz w:val="23"/>
          <w:szCs w:val="23"/>
        </w:rPr>
        <w:t>项</w:t>
      </w:r>
      <w:r>
        <w:rPr>
          <w:rFonts w:ascii="宋体" w:hAnsi="宋体" w:eastAsia="宋体" w:cs="宋体"/>
          <w:spacing w:val="9"/>
          <w:sz w:val="23"/>
          <w:szCs w:val="23"/>
        </w:rPr>
        <w:t>目在厂区内设置集中收集垃圾箱，员工生活垃圾收集到指定垃圾箱内，</w:t>
      </w:r>
      <w:r>
        <w:rPr>
          <w:rFonts w:ascii="宋体" w:hAnsi="宋体" w:eastAsia="宋体" w:cs="宋体"/>
          <w:sz w:val="23"/>
          <w:szCs w:val="23"/>
        </w:rPr>
        <w:t xml:space="preserve"> </w:t>
      </w:r>
      <w:r>
        <w:rPr>
          <w:rFonts w:ascii="宋体" w:hAnsi="宋体" w:eastAsia="宋体" w:cs="宋体"/>
          <w:spacing w:val="9"/>
          <w:sz w:val="23"/>
          <w:szCs w:val="23"/>
        </w:rPr>
        <w:t>随</w:t>
      </w:r>
      <w:r>
        <w:rPr>
          <w:rFonts w:ascii="宋体" w:hAnsi="宋体" w:eastAsia="宋体" w:cs="宋体"/>
          <w:spacing w:val="7"/>
          <w:sz w:val="23"/>
          <w:szCs w:val="23"/>
        </w:rPr>
        <w:t>后运送至环卫部门指定地点统一处理；产生的杂质集中收集后，与生活垃圾统</w:t>
      </w:r>
      <w:r>
        <w:rPr>
          <w:rFonts w:ascii="宋体" w:hAnsi="宋体" w:eastAsia="宋体" w:cs="宋体"/>
          <w:sz w:val="23"/>
          <w:szCs w:val="23"/>
        </w:rPr>
        <w:t xml:space="preserve"> </w:t>
      </w:r>
      <w:r>
        <w:rPr>
          <w:rFonts w:ascii="宋体" w:hAnsi="宋体" w:eastAsia="宋体" w:cs="宋体"/>
          <w:spacing w:val="9"/>
          <w:sz w:val="23"/>
          <w:szCs w:val="23"/>
        </w:rPr>
        <w:t>一</w:t>
      </w:r>
      <w:r>
        <w:rPr>
          <w:rFonts w:ascii="宋体" w:hAnsi="宋体" w:eastAsia="宋体" w:cs="宋体"/>
          <w:spacing w:val="7"/>
          <w:sz w:val="23"/>
          <w:szCs w:val="23"/>
        </w:rPr>
        <w:t>运送至环卫部门指定地点统一处理；生产废水处理过程中产生的污泥经压滤后</w:t>
      </w:r>
      <w:r>
        <w:rPr>
          <w:rFonts w:ascii="宋体" w:hAnsi="宋体" w:eastAsia="宋体" w:cs="宋体"/>
          <w:sz w:val="23"/>
          <w:szCs w:val="23"/>
        </w:rPr>
        <w:t xml:space="preserve"> </w:t>
      </w:r>
      <w:r>
        <w:rPr>
          <w:rFonts w:ascii="宋体" w:hAnsi="宋体" w:eastAsia="宋体" w:cs="宋体"/>
          <w:spacing w:val="26"/>
          <w:sz w:val="23"/>
          <w:szCs w:val="23"/>
        </w:rPr>
        <w:t>可</w:t>
      </w:r>
      <w:r>
        <w:rPr>
          <w:rFonts w:ascii="宋体" w:hAnsi="宋体" w:eastAsia="宋体" w:cs="宋体"/>
          <w:spacing w:val="23"/>
          <w:sz w:val="23"/>
          <w:szCs w:val="23"/>
        </w:rPr>
        <w:t>与</w:t>
      </w:r>
      <w:r>
        <w:rPr>
          <w:rFonts w:ascii="宋体" w:hAnsi="宋体" w:eastAsia="宋体" w:cs="宋体"/>
          <w:spacing w:val="13"/>
          <w:sz w:val="23"/>
          <w:szCs w:val="23"/>
        </w:rPr>
        <w:t>生活垃圾一起运送至环卫部门指定地点统一处理；热风炉燃烧生物质产生</w:t>
      </w:r>
      <w:r>
        <w:rPr>
          <w:rFonts w:ascii="宋体" w:hAnsi="宋体" w:eastAsia="宋体" w:cs="宋体"/>
          <w:sz w:val="23"/>
          <w:szCs w:val="23"/>
        </w:rPr>
        <w:t xml:space="preserve"> </w:t>
      </w:r>
      <w:r>
        <w:rPr>
          <w:rFonts w:ascii="宋体" w:hAnsi="宋体" w:eastAsia="宋体" w:cs="宋体"/>
          <w:spacing w:val="35"/>
          <w:sz w:val="23"/>
          <w:szCs w:val="23"/>
        </w:rPr>
        <w:t>的</w:t>
      </w:r>
      <w:r>
        <w:rPr>
          <w:rFonts w:ascii="宋体" w:hAnsi="宋体" w:eastAsia="宋体" w:cs="宋体"/>
          <w:spacing w:val="21"/>
          <w:sz w:val="23"/>
          <w:szCs w:val="23"/>
        </w:rPr>
        <w:t>炉渣及及除尘器收集的粉尘定期外卖给农肥厂进行综合利用；产生的废滤</w:t>
      </w:r>
      <w:r>
        <w:rPr>
          <w:rFonts w:ascii="宋体" w:hAnsi="宋体" w:eastAsia="宋体" w:cs="宋体"/>
          <w:sz w:val="23"/>
          <w:szCs w:val="23"/>
        </w:rPr>
        <w:t xml:space="preserve"> </w:t>
      </w:r>
      <w:r>
        <w:rPr>
          <w:rFonts w:ascii="宋体" w:hAnsi="宋体" w:eastAsia="宋体" w:cs="宋体"/>
          <w:spacing w:val="34"/>
          <w:sz w:val="23"/>
          <w:szCs w:val="23"/>
        </w:rPr>
        <w:t>网</w:t>
      </w:r>
      <w:r>
        <w:rPr>
          <w:rFonts w:ascii="宋体" w:hAnsi="宋体" w:eastAsia="宋体" w:cs="宋体"/>
          <w:spacing w:val="26"/>
          <w:sz w:val="23"/>
          <w:szCs w:val="23"/>
        </w:rPr>
        <w:t>均</w:t>
      </w:r>
      <w:r>
        <w:rPr>
          <w:rFonts w:ascii="宋体" w:hAnsi="宋体" w:eastAsia="宋体" w:cs="宋体"/>
          <w:spacing w:val="17"/>
          <w:sz w:val="23"/>
          <w:szCs w:val="23"/>
        </w:rPr>
        <w:t>由厂家定期回收；产生的废活性炭属于</w:t>
      </w:r>
      <w:r>
        <w:rPr>
          <w:rFonts w:ascii="Times New Roman" w:hAnsi="Times New Roman" w:eastAsia="Times New Roman" w:cs="Times New Roman"/>
          <w:spacing w:val="17"/>
          <w:sz w:val="23"/>
          <w:szCs w:val="23"/>
        </w:rPr>
        <w:t>“</w:t>
      </w:r>
      <w:r>
        <w:rPr>
          <w:rFonts w:ascii="Times New Roman" w:hAnsi="Times New Roman" w:eastAsia="Times New Roman" w:cs="Times New Roman"/>
          <w:sz w:val="23"/>
          <w:szCs w:val="23"/>
        </w:rPr>
        <w:t>HW</w:t>
      </w:r>
      <w:r>
        <w:rPr>
          <w:rFonts w:ascii="Times New Roman" w:hAnsi="Times New Roman" w:eastAsia="Times New Roman" w:cs="Times New Roman"/>
          <w:spacing w:val="17"/>
          <w:sz w:val="23"/>
          <w:szCs w:val="23"/>
        </w:rPr>
        <w:t xml:space="preserve">49  </w:t>
      </w:r>
      <w:r>
        <w:rPr>
          <w:rFonts w:ascii="宋体" w:hAnsi="宋体" w:eastAsia="宋体" w:cs="宋体"/>
          <w:spacing w:val="17"/>
          <w:sz w:val="23"/>
          <w:szCs w:val="23"/>
        </w:rPr>
        <w:t>其他废物</w:t>
      </w:r>
      <w:r>
        <w:rPr>
          <w:rFonts w:ascii="Times New Roman" w:hAnsi="Times New Roman" w:eastAsia="Times New Roman" w:cs="Times New Roman"/>
          <w:spacing w:val="17"/>
          <w:sz w:val="23"/>
          <w:szCs w:val="23"/>
        </w:rPr>
        <w:t xml:space="preserve">” </w:t>
      </w:r>
      <w:r>
        <w:rPr>
          <w:rFonts w:ascii="宋体" w:hAnsi="宋体" w:eastAsia="宋体" w:cs="宋体"/>
          <w:spacing w:val="17"/>
          <w:sz w:val="23"/>
          <w:szCs w:val="23"/>
        </w:rPr>
        <w:t>，废物代码为</w:t>
      </w:r>
      <w:r>
        <w:rPr>
          <w:rFonts w:ascii="宋体" w:hAnsi="宋体" w:eastAsia="宋体" w:cs="宋体"/>
          <w:sz w:val="23"/>
          <w:szCs w:val="23"/>
        </w:rPr>
        <w:t xml:space="preserve"> </w:t>
      </w:r>
      <w:r>
        <w:rPr>
          <w:rFonts w:ascii="Times New Roman" w:hAnsi="Times New Roman" w:eastAsia="Times New Roman" w:cs="Times New Roman"/>
          <w:spacing w:val="6"/>
          <w:sz w:val="23"/>
          <w:szCs w:val="23"/>
        </w:rPr>
        <w:t>9</w:t>
      </w:r>
      <w:r>
        <w:rPr>
          <w:rFonts w:ascii="Times New Roman" w:hAnsi="Times New Roman" w:eastAsia="Times New Roman" w:cs="Times New Roman"/>
          <w:spacing w:val="4"/>
          <w:sz w:val="23"/>
          <w:szCs w:val="23"/>
        </w:rPr>
        <w:t xml:space="preserve">00-041-49 </w:t>
      </w:r>
      <w:r>
        <w:rPr>
          <w:rFonts w:ascii="宋体" w:hAnsi="宋体" w:eastAsia="宋体" w:cs="宋体"/>
          <w:spacing w:val="4"/>
          <w:sz w:val="23"/>
          <w:szCs w:val="23"/>
        </w:rPr>
        <w:t>，即</w:t>
      </w:r>
      <w:r>
        <w:rPr>
          <w:rFonts w:ascii="Times New Roman" w:hAnsi="Times New Roman" w:eastAsia="Times New Roman" w:cs="Times New Roman"/>
          <w:spacing w:val="4"/>
          <w:sz w:val="23"/>
          <w:szCs w:val="23"/>
        </w:rPr>
        <w:t>“</w:t>
      </w:r>
      <w:r>
        <w:rPr>
          <w:rFonts w:ascii="宋体" w:hAnsi="宋体" w:eastAsia="宋体" w:cs="宋体"/>
          <w:spacing w:val="4"/>
          <w:sz w:val="23"/>
          <w:szCs w:val="23"/>
        </w:rPr>
        <w:t>含有或沾染毒性、感染性危险废物的废弃包装物、容器、过滤吸</w:t>
      </w:r>
      <w:r>
        <w:rPr>
          <w:rFonts w:ascii="宋体" w:hAnsi="宋体" w:eastAsia="宋体" w:cs="宋体"/>
          <w:sz w:val="23"/>
          <w:szCs w:val="23"/>
        </w:rPr>
        <w:t xml:space="preserve"> </w:t>
      </w:r>
      <w:r>
        <w:rPr>
          <w:rFonts w:ascii="宋体" w:hAnsi="宋体" w:eastAsia="宋体" w:cs="宋体"/>
          <w:spacing w:val="4"/>
          <w:sz w:val="23"/>
          <w:szCs w:val="23"/>
        </w:rPr>
        <w:t>附介质</w:t>
      </w:r>
      <w:r>
        <w:rPr>
          <w:rFonts w:ascii="Times New Roman" w:hAnsi="Times New Roman" w:eastAsia="Times New Roman" w:cs="Times New Roman"/>
          <w:spacing w:val="4"/>
          <w:sz w:val="23"/>
          <w:szCs w:val="23"/>
        </w:rPr>
        <w:t>”</w:t>
      </w:r>
      <w:r>
        <w:rPr>
          <w:rFonts w:ascii="宋体" w:hAnsi="宋体" w:eastAsia="宋体" w:cs="宋体"/>
          <w:spacing w:val="4"/>
          <w:sz w:val="23"/>
          <w:szCs w:val="23"/>
        </w:rPr>
        <w:t>，危险特性为</w:t>
      </w:r>
      <w:r>
        <w:rPr>
          <w:rFonts w:ascii="Times New Roman" w:hAnsi="Times New Roman" w:eastAsia="Times New Roman" w:cs="Times New Roman"/>
          <w:spacing w:val="4"/>
          <w:sz w:val="23"/>
          <w:szCs w:val="23"/>
        </w:rPr>
        <w:t>“</w:t>
      </w:r>
      <w:r>
        <w:rPr>
          <w:rFonts w:ascii="Times New Roman" w:hAnsi="Times New Roman" w:eastAsia="Times New Roman" w:cs="Times New Roman"/>
          <w:sz w:val="23"/>
          <w:szCs w:val="23"/>
        </w:rPr>
        <w:t>T</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(毒性) ，</w:t>
      </w:r>
      <w:r>
        <w:rPr>
          <w:rFonts w:ascii="Times New Roman" w:hAnsi="Times New Roman" w:eastAsia="Times New Roman" w:cs="Times New Roman"/>
          <w:sz w:val="23"/>
          <w:szCs w:val="23"/>
        </w:rPr>
        <w:t>In</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 xml:space="preserve">(感染性) </w:t>
      </w:r>
      <w:r>
        <w:rPr>
          <w:rFonts w:ascii="Times New Roman" w:hAnsi="Times New Roman" w:eastAsia="Times New Roman" w:cs="Times New Roman"/>
          <w:spacing w:val="2"/>
          <w:sz w:val="23"/>
          <w:szCs w:val="23"/>
        </w:rPr>
        <w:t>”</w:t>
      </w:r>
      <w:r>
        <w:rPr>
          <w:rFonts w:ascii="宋体" w:hAnsi="宋体" w:eastAsia="宋体" w:cs="宋体"/>
          <w:spacing w:val="2"/>
          <w:sz w:val="23"/>
          <w:szCs w:val="23"/>
        </w:rPr>
        <w:t xml:space="preserve">，废 </w:t>
      </w:r>
      <w:r>
        <w:rPr>
          <w:rFonts w:ascii="Times New Roman" w:hAnsi="Times New Roman" w:eastAsia="Times New Roman" w:cs="Times New Roman"/>
          <w:sz w:val="23"/>
          <w:szCs w:val="23"/>
        </w:rPr>
        <w:t>uv</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光解灯管属于</w:t>
      </w:r>
      <w:r>
        <w:rPr>
          <w:rFonts w:ascii="Times New Roman" w:hAnsi="Times New Roman" w:eastAsia="Times New Roman" w:cs="Times New Roman"/>
          <w:spacing w:val="2"/>
          <w:sz w:val="23"/>
          <w:szCs w:val="23"/>
        </w:rPr>
        <w:t>“</w:t>
      </w:r>
      <w:r>
        <w:rPr>
          <w:rFonts w:ascii="Times New Roman" w:hAnsi="Times New Roman" w:eastAsia="Times New Roman" w:cs="Times New Roman"/>
          <w:sz w:val="23"/>
          <w:szCs w:val="23"/>
        </w:rPr>
        <w:t>HW</w:t>
      </w:r>
      <w:r>
        <w:rPr>
          <w:rFonts w:ascii="Times New Roman" w:hAnsi="Times New Roman" w:eastAsia="Times New Roman" w:cs="Times New Roman"/>
          <w:spacing w:val="2"/>
          <w:sz w:val="23"/>
          <w:szCs w:val="23"/>
        </w:rPr>
        <w:t xml:space="preserve">29  </w:t>
      </w:r>
      <w:r>
        <w:rPr>
          <w:rFonts w:ascii="宋体" w:hAnsi="宋体" w:eastAsia="宋体" w:cs="宋体"/>
          <w:spacing w:val="2"/>
          <w:sz w:val="23"/>
          <w:szCs w:val="23"/>
        </w:rPr>
        <w:t>含</w:t>
      </w:r>
      <w:r>
        <w:rPr>
          <w:rFonts w:ascii="宋体" w:hAnsi="宋体" w:eastAsia="宋体" w:cs="宋体"/>
          <w:sz w:val="23"/>
          <w:szCs w:val="23"/>
        </w:rPr>
        <w:t xml:space="preserve"> </w:t>
      </w:r>
      <w:r>
        <w:rPr>
          <w:rFonts w:ascii="宋体" w:hAnsi="宋体" w:eastAsia="宋体" w:cs="宋体"/>
          <w:spacing w:val="3"/>
          <w:sz w:val="23"/>
          <w:szCs w:val="23"/>
        </w:rPr>
        <w:t>汞废物</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 xml:space="preserve">，废物代码为 </w:t>
      </w:r>
      <w:r>
        <w:rPr>
          <w:rFonts w:ascii="Times New Roman" w:hAnsi="Times New Roman" w:eastAsia="Times New Roman" w:cs="Times New Roman"/>
          <w:spacing w:val="3"/>
          <w:sz w:val="23"/>
          <w:szCs w:val="23"/>
        </w:rPr>
        <w:t xml:space="preserve">900-023-29 </w:t>
      </w:r>
      <w:r>
        <w:rPr>
          <w:rFonts w:ascii="宋体" w:hAnsi="宋体" w:eastAsia="宋体" w:cs="宋体"/>
          <w:spacing w:val="3"/>
          <w:sz w:val="23"/>
          <w:szCs w:val="23"/>
        </w:rPr>
        <w:t>，即</w:t>
      </w:r>
      <w:r>
        <w:rPr>
          <w:rFonts w:ascii="Times New Roman" w:hAnsi="Times New Roman" w:eastAsia="Times New Roman" w:cs="Times New Roman"/>
          <w:spacing w:val="3"/>
          <w:sz w:val="23"/>
          <w:szCs w:val="23"/>
        </w:rPr>
        <w:t>“</w:t>
      </w:r>
      <w:r>
        <w:rPr>
          <w:rFonts w:ascii="宋体" w:hAnsi="宋体" w:eastAsia="宋体" w:cs="宋体"/>
          <w:spacing w:val="3"/>
          <w:sz w:val="23"/>
          <w:szCs w:val="23"/>
        </w:rPr>
        <w:t>生产、销售及使用过程中产生的废</w:t>
      </w:r>
      <w:r>
        <w:rPr>
          <w:rFonts w:ascii="宋体" w:hAnsi="宋体" w:eastAsia="宋体" w:cs="宋体"/>
          <w:spacing w:val="2"/>
          <w:sz w:val="23"/>
          <w:szCs w:val="23"/>
        </w:rPr>
        <w:t>含</w:t>
      </w:r>
      <w:r>
        <w:rPr>
          <w:rFonts w:ascii="宋体" w:hAnsi="宋体" w:eastAsia="宋体" w:cs="宋体"/>
          <w:sz w:val="23"/>
          <w:szCs w:val="23"/>
        </w:rPr>
        <w:t xml:space="preserve">汞荧 </w:t>
      </w:r>
      <w:r>
        <w:rPr>
          <w:rFonts w:ascii="宋体" w:hAnsi="宋体" w:eastAsia="宋体" w:cs="宋体"/>
          <w:spacing w:val="8"/>
          <w:sz w:val="23"/>
          <w:szCs w:val="23"/>
        </w:rPr>
        <w:t>光灯管及</w:t>
      </w:r>
      <w:r>
        <w:rPr>
          <w:rFonts w:ascii="宋体" w:hAnsi="宋体" w:eastAsia="宋体" w:cs="宋体"/>
          <w:spacing w:val="5"/>
          <w:sz w:val="23"/>
          <w:szCs w:val="23"/>
        </w:rPr>
        <w:t>其</w:t>
      </w:r>
      <w:r>
        <w:rPr>
          <w:rFonts w:ascii="宋体" w:hAnsi="宋体" w:eastAsia="宋体" w:cs="宋体"/>
          <w:spacing w:val="4"/>
          <w:sz w:val="23"/>
          <w:szCs w:val="23"/>
        </w:rPr>
        <w:t>他废含汞电光源</w:t>
      </w:r>
      <w:r>
        <w:rPr>
          <w:rFonts w:ascii="Times New Roman" w:hAnsi="Times New Roman" w:eastAsia="Times New Roman" w:cs="Times New Roman"/>
          <w:spacing w:val="4"/>
          <w:sz w:val="23"/>
          <w:szCs w:val="23"/>
        </w:rPr>
        <w:t>”</w:t>
      </w:r>
      <w:r>
        <w:rPr>
          <w:rFonts w:ascii="宋体" w:hAnsi="宋体" w:eastAsia="宋体" w:cs="宋体"/>
          <w:spacing w:val="4"/>
          <w:sz w:val="23"/>
          <w:szCs w:val="23"/>
        </w:rPr>
        <w:t>，危险特性为</w:t>
      </w:r>
      <w:r>
        <w:rPr>
          <w:rFonts w:ascii="Times New Roman" w:hAnsi="Times New Roman" w:eastAsia="Times New Roman" w:cs="Times New Roman"/>
          <w:spacing w:val="4"/>
          <w:sz w:val="23"/>
          <w:szCs w:val="23"/>
        </w:rPr>
        <w:t>“</w:t>
      </w:r>
      <w:r>
        <w:rPr>
          <w:rFonts w:ascii="Times New Roman" w:hAnsi="Times New Roman" w:eastAsia="Times New Roman" w:cs="Times New Roman"/>
          <w:sz w:val="23"/>
          <w:szCs w:val="23"/>
        </w:rPr>
        <w:t>T</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 xml:space="preserve">(毒性) </w:t>
      </w:r>
      <w:r>
        <w:rPr>
          <w:rFonts w:ascii="Times New Roman" w:hAnsi="Times New Roman" w:eastAsia="Times New Roman" w:cs="Times New Roman"/>
          <w:spacing w:val="4"/>
          <w:sz w:val="23"/>
          <w:szCs w:val="23"/>
        </w:rPr>
        <w:t>”</w:t>
      </w:r>
      <w:r>
        <w:rPr>
          <w:rFonts w:ascii="宋体" w:hAnsi="宋体" w:eastAsia="宋体" w:cs="宋体"/>
          <w:spacing w:val="4"/>
          <w:sz w:val="23"/>
          <w:szCs w:val="23"/>
        </w:rPr>
        <w:t>，建设单位应将废活性炭、</w:t>
      </w:r>
      <w:r>
        <w:rPr>
          <w:rFonts w:ascii="宋体" w:hAnsi="宋体" w:eastAsia="宋体" w:cs="宋体"/>
          <w:sz w:val="23"/>
          <w:szCs w:val="23"/>
        </w:rPr>
        <w:t xml:space="preserve"> </w:t>
      </w:r>
      <w:r>
        <w:rPr>
          <w:rFonts w:ascii="宋体" w:hAnsi="宋体" w:eastAsia="宋体" w:cs="宋体"/>
          <w:spacing w:val="16"/>
          <w:sz w:val="23"/>
          <w:szCs w:val="23"/>
        </w:rPr>
        <w:t xml:space="preserve">废 </w:t>
      </w:r>
      <w:r>
        <w:rPr>
          <w:rFonts w:ascii="Times New Roman" w:hAnsi="Times New Roman" w:eastAsia="Times New Roman" w:cs="Times New Roman"/>
          <w:sz w:val="23"/>
          <w:szCs w:val="23"/>
        </w:rPr>
        <w:t>uv</w:t>
      </w:r>
      <w:r>
        <w:rPr>
          <w:rFonts w:ascii="Times New Roman" w:hAnsi="Times New Roman" w:eastAsia="Times New Roman" w:cs="Times New Roman"/>
          <w:spacing w:val="16"/>
          <w:sz w:val="23"/>
          <w:szCs w:val="23"/>
        </w:rPr>
        <w:t xml:space="preserve"> </w:t>
      </w:r>
      <w:r>
        <w:rPr>
          <w:rFonts w:ascii="宋体" w:hAnsi="宋体" w:eastAsia="宋体" w:cs="宋体"/>
          <w:spacing w:val="9"/>
          <w:sz w:val="23"/>
          <w:szCs w:val="23"/>
        </w:rPr>
        <w:t>光</w:t>
      </w:r>
      <w:r>
        <w:rPr>
          <w:rFonts w:ascii="宋体" w:hAnsi="宋体" w:eastAsia="宋体" w:cs="宋体"/>
          <w:spacing w:val="8"/>
          <w:sz w:val="23"/>
          <w:szCs w:val="23"/>
        </w:rPr>
        <w:t>解灯管集中收集后存放在固定容器中单独存放，积攒到一定数量后交由</w:t>
      </w:r>
      <w:r>
        <w:rPr>
          <w:rFonts w:ascii="宋体" w:hAnsi="宋体" w:eastAsia="宋体" w:cs="宋体"/>
          <w:sz w:val="23"/>
          <w:szCs w:val="23"/>
        </w:rPr>
        <w:t xml:space="preserve"> </w:t>
      </w:r>
      <w:r>
        <w:rPr>
          <w:rFonts w:ascii="宋体" w:hAnsi="宋体" w:eastAsia="宋体" w:cs="宋体"/>
          <w:spacing w:val="15"/>
          <w:sz w:val="23"/>
          <w:szCs w:val="23"/>
        </w:rPr>
        <w:t>有</w:t>
      </w:r>
      <w:r>
        <w:rPr>
          <w:rFonts w:ascii="宋体" w:hAnsi="宋体" w:eastAsia="宋体" w:cs="宋体"/>
          <w:spacing w:val="9"/>
          <w:sz w:val="23"/>
          <w:szCs w:val="23"/>
        </w:rPr>
        <w:t>资质单位处理，禁止作为一般固体废物随意丢弃排放。</w:t>
      </w:r>
    </w:p>
    <w:p w14:paraId="7DFF2D25">
      <w:pPr>
        <w:spacing w:before="138" w:line="385" w:lineRule="auto"/>
        <w:ind w:left="22" w:firstLine="480"/>
        <w:rPr>
          <w:rFonts w:ascii="宋体" w:hAnsi="宋体" w:eastAsia="宋体" w:cs="宋体"/>
          <w:sz w:val="23"/>
          <w:szCs w:val="23"/>
        </w:rPr>
      </w:pPr>
      <w:r>
        <w:rPr>
          <w:rFonts w:ascii="宋体" w:hAnsi="宋体" w:eastAsia="宋体" w:cs="宋体"/>
          <w:spacing w:val="7"/>
          <w:sz w:val="23"/>
          <w:szCs w:val="23"/>
        </w:rPr>
        <w:t>在采取有效的防治措施的基础上，项目运营期间产生的颗粒物和非甲烷总</w:t>
      </w:r>
      <w:r>
        <w:rPr>
          <w:rFonts w:ascii="宋体" w:hAnsi="宋体" w:eastAsia="宋体" w:cs="宋体"/>
          <w:spacing w:val="3"/>
          <w:sz w:val="23"/>
          <w:szCs w:val="23"/>
        </w:rPr>
        <w:t>烃</w:t>
      </w:r>
      <w:r>
        <w:rPr>
          <w:rFonts w:ascii="宋体" w:hAnsi="宋体" w:eastAsia="宋体" w:cs="宋体"/>
          <w:sz w:val="23"/>
          <w:szCs w:val="23"/>
        </w:rPr>
        <w:t xml:space="preserve"> </w:t>
      </w:r>
      <w:r>
        <w:rPr>
          <w:rFonts w:ascii="宋体" w:hAnsi="宋体" w:eastAsia="宋体" w:cs="宋体"/>
          <w:spacing w:val="14"/>
          <w:sz w:val="23"/>
          <w:szCs w:val="23"/>
        </w:rPr>
        <w:t>排放浓</w:t>
      </w:r>
      <w:r>
        <w:rPr>
          <w:rFonts w:ascii="宋体" w:hAnsi="宋体" w:eastAsia="宋体" w:cs="宋体"/>
          <w:spacing w:val="10"/>
          <w:sz w:val="23"/>
          <w:szCs w:val="23"/>
        </w:rPr>
        <w:t>度</w:t>
      </w:r>
      <w:r>
        <w:rPr>
          <w:rFonts w:ascii="宋体" w:hAnsi="宋体" w:eastAsia="宋体" w:cs="宋体"/>
          <w:spacing w:val="7"/>
          <w:sz w:val="23"/>
          <w:szCs w:val="23"/>
        </w:rPr>
        <w:t>均满足《合成树脂工业污染物排放标准》  (</w:t>
      </w:r>
      <w:r>
        <w:rPr>
          <w:rFonts w:ascii="Times New Roman" w:hAnsi="Times New Roman" w:eastAsia="Times New Roman" w:cs="Times New Roman"/>
          <w:sz w:val="23"/>
          <w:szCs w:val="23"/>
        </w:rPr>
        <w:t>GB</w:t>
      </w:r>
      <w:r>
        <w:rPr>
          <w:rFonts w:ascii="Times New Roman" w:hAnsi="Times New Roman" w:eastAsia="Times New Roman" w:cs="Times New Roman"/>
          <w:spacing w:val="7"/>
          <w:sz w:val="23"/>
          <w:szCs w:val="23"/>
        </w:rPr>
        <w:t>31572-2015</w:t>
      </w:r>
      <w:r>
        <w:rPr>
          <w:rFonts w:ascii="宋体" w:hAnsi="宋体" w:eastAsia="宋体" w:cs="宋体"/>
          <w:spacing w:val="7"/>
          <w:sz w:val="23"/>
          <w:szCs w:val="23"/>
        </w:rPr>
        <w:t>) 相关标准</w:t>
      </w:r>
      <w:r>
        <w:rPr>
          <w:rFonts w:ascii="宋体" w:hAnsi="宋体" w:eastAsia="宋体" w:cs="宋体"/>
          <w:sz w:val="23"/>
          <w:szCs w:val="23"/>
        </w:rPr>
        <w:t xml:space="preserve"> </w:t>
      </w:r>
      <w:r>
        <w:rPr>
          <w:rFonts w:ascii="宋体" w:hAnsi="宋体" w:eastAsia="宋体" w:cs="宋体"/>
          <w:spacing w:val="26"/>
          <w:sz w:val="23"/>
          <w:szCs w:val="23"/>
        </w:rPr>
        <w:t>的</w:t>
      </w:r>
      <w:r>
        <w:rPr>
          <w:rFonts w:ascii="宋体" w:hAnsi="宋体" w:eastAsia="宋体" w:cs="宋体"/>
          <w:spacing w:val="23"/>
          <w:sz w:val="23"/>
          <w:szCs w:val="23"/>
        </w:rPr>
        <w:t>要</w:t>
      </w:r>
      <w:r>
        <w:rPr>
          <w:rFonts w:ascii="宋体" w:hAnsi="宋体" w:eastAsia="宋体" w:cs="宋体"/>
          <w:spacing w:val="13"/>
          <w:sz w:val="23"/>
          <w:szCs w:val="23"/>
        </w:rPr>
        <w:t>求，不会对周围环境造成明显影响，不会改变项目所在地的环境空气质量</w:t>
      </w:r>
      <w:r>
        <w:rPr>
          <w:rFonts w:ascii="宋体" w:hAnsi="宋体" w:eastAsia="宋体" w:cs="宋体"/>
          <w:sz w:val="23"/>
          <w:szCs w:val="23"/>
        </w:rPr>
        <w:t xml:space="preserve"> </w:t>
      </w:r>
      <w:r>
        <w:rPr>
          <w:rFonts w:ascii="宋体" w:hAnsi="宋体" w:eastAsia="宋体" w:cs="宋体"/>
          <w:spacing w:val="26"/>
          <w:sz w:val="23"/>
          <w:szCs w:val="23"/>
        </w:rPr>
        <w:t>规</w:t>
      </w:r>
      <w:r>
        <w:rPr>
          <w:rFonts w:ascii="宋体" w:hAnsi="宋体" w:eastAsia="宋体" w:cs="宋体"/>
          <w:spacing w:val="16"/>
          <w:sz w:val="23"/>
          <w:szCs w:val="23"/>
        </w:rPr>
        <w:t>划</w:t>
      </w:r>
      <w:r>
        <w:rPr>
          <w:rFonts w:ascii="宋体" w:hAnsi="宋体" w:eastAsia="宋体" w:cs="宋体"/>
          <w:spacing w:val="13"/>
          <w:sz w:val="23"/>
          <w:szCs w:val="23"/>
        </w:rPr>
        <w:t>类别；热风炉烟气可满足《锅炉大气污染物排放标准》 (</w:t>
      </w:r>
      <w:r>
        <w:rPr>
          <w:rFonts w:ascii="Times New Roman" w:hAnsi="Times New Roman" w:eastAsia="Times New Roman" w:cs="Times New Roman"/>
          <w:sz w:val="23"/>
          <w:szCs w:val="23"/>
        </w:rPr>
        <w:t>GB</w:t>
      </w:r>
      <w:r>
        <w:rPr>
          <w:rFonts w:ascii="Times New Roman" w:hAnsi="Times New Roman" w:eastAsia="Times New Roman" w:cs="Times New Roman"/>
          <w:spacing w:val="13"/>
          <w:sz w:val="23"/>
          <w:szCs w:val="23"/>
        </w:rPr>
        <w:t>13271-2014</w:t>
      </w:r>
      <w:r>
        <w:rPr>
          <w:rFonts w:ascii="宋体" w:hAnsi="宋体" w:eastAsia="宋体" w:cs="宋体"/>
          <w:spacing w:val="13"/>
          <w:sz w:val="23"/>
          <w:szCs w:val="23"/>
        </w:rPr>
        <w:t>)</w:t>
      </w:r>
      <w:r>
        <w:rPr>
          <w:rFonts w:ascii="宋体" w:hAnsi="宋体" w:eastAsia="宋体" w:cs="宋体"/>
          <w:sz w:val="23"/>
          <w:szCs w:val="23"/>
        </w:rPr>
        <w:t xml:space="preserve"> </w:t>
      </w:r>
      <w:r>
        <w:rPr>
          <w:rFonts w:ascii="宋体" w:hAnsi="宋体" w:eastAsia="宋体" w:cs="宋体"/>
          <w:spacing w:val="4"/>
          <w:sz w:val="23"/>
          <w:szCs w:val="23"/>
        </w:rPr>
        <w:t xml:space="preserve">表 </w:t>
      </w:r>
      <w:r>
        <w:rPr>
          <w:rFonts w:ascii="Times New Roman" w:hAnsi="Times New Roman" w:eastAsia="Times New Roman" w:cs="Times New Roman"/>
          <w:spacing w:val="4"/>
          <w:sz w:val="23"/>
          <w:szCs w:val="23"/>
        </w:rPr>
        <w:t xml:space="preserve">3 </w:t>
      </w:r>
      <w:r>
        <w:rPr>
          <w:rFonts w:ascii="宋体" w:hAnsi="宋体" w:eastAsia="宋体" w:cs="宋体"/>
          <w:spacing w:val="4"/>
          <w:sz w:val="23"/>
          <w:szCs w:val="23"/>
        </w:rPr>
        <w:t xml:space="preserve">中标准要求；项目排放的废水中 </w:t>
      </w:r>
      <w:r>
        <w:rPr>
          <w:rFonts w:ascii="Times New Roman" w:hAnsi="Times New Roman" w:eastAsia="Times New Roman" w:cs="Times New Roman"/>
          <w:sz w:val="23"/>
          <w:szCs w:val="23"/>
        </w:rPr>
        <w:t>COD</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w:t>
      </w:r>
      <w:r>
        <w:rPr>
          <w:rFonts w:ascii="Times New Roman" w:hAnsi="Times New Roman" w:eastAsia="Times New Roman" w:cs="Times New Roman"/>
          <w:sz w:val="23"/>
          <w:szCs w:val="23"/>
        </w:rPr>
        <w:t>SS</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、氨氮、石油类可以达到《辽</w:t>
      </w:r>
      <w:r>
        <w:rPr>
          <w:rFonts w:ascii="宋体" w:hAnsi="宋体" w:eastAsia="宋体" w:cs="宋体"/>
          <w:spacing w:val="1"/>
          <w:sz w:val="23"/>
          <w:szCs w:val="23"/>
        </w:rPr>
        <w:t>宁</w:t>
      </w:r>
      <w:r>
        <w:rPr>
          <w:rFonts w:ascii="宋体" w:hAnsi="宋体" w:eastAsia="宋体" w:cs="宋体"/>
          <w:sz w:val="23"/>
          <w:szCs w:val="23"/>
        </w:rPr>
        <w:t xml:space="preserve"> </w:t>
      </w:r>
      <w:r>
        <w:rPr>
          <w:rFonts w:ascii="宋体" w:hAnsi="宋体" w:eastAsia="宋体" w:cs="宋体"/>
          <w:spacing w:val="8"/>
          <w:sz w:val="23"/>
          <w:szCs w:val="23"/>
        </w:rPr>
        <w:t>省污水综合</w:t>
      </w:r>
      <w:r>
        <w:rPr>
          <w:rFonts w:ascii="宋体" w:hAnsi="宋体" w:eastAsia="宋体" w:cs="宋体"/>
          <w:spacing w:val="4"/>
          <w:sz w:val="23"/>
          <w:szCs w:val="23"/>
        </w:rPr>
        <w:t>排放标准》 (</w:t>
      </w:r>
      <w:r>
        <w:rPr>
          <w:rFonts w:ascii="Times New Roman" w:hAnsi="Times New Roman" w:eastAsia="Times New Roman" w:cs="Times New Roman"/>
          <w:sz w:val="23"/>
          <w:szCs w:val="23"/>
        </w:rPr>
        <w:t>DB</w:t>
      </w:r>
      <w:r>
        <w:rPr>
          <w:rFonts w:ascii="Times New Roman" w:hAnsi="Times New Roman" w:eastAsia="Times New Roman" w:cs="Times New Roman"/>
          <w:spacing w:val="4"/>
          <w:sz w:val="23"/>
          <w:szCs w:val="23"/>
        </w:rPr>
        <w:t>21/ 1627-2008</w:t>
      </w:r>
      <w:r>
        <w:rPr>
          <w:rFonts w:ascii="宋体" w:hAnsi="宋体" w:eastAsia="宋体" w:cs="宋体"/>
          <w:spacing w:val="4"/>
          <w:sz w:val="23"/>
          <w:szCs w:val="23"/>
        </w:rPr>
        <w:t>) 中排入污水处理厂的水污染物最高允</w:t>
      </w:r>
      <w:r>
        <w:rPr>
          <w:rFonts w:ascii="宋体" w:hAnsi="宋体" w:eastAsia="宋体" w:cs="宋体"/>
          <w:sz w:val="23"/>
          <w:szCs w:val="23"/>
        </w:rPr>
        <w:t xml:space="preserve"> </w:t>
      </w:r>
      <w:r>
        <w:rPr>
          <w:rFonts w:ascii="宋体" w:hAnsi="宋体" w:eastAsia="宋体" w:cs="宋体"/>
          <w:spacing w:val="9"/>
          <w:sz w:val="23"/>
          <w:szCs w:val="23"/>
        </w:rPr>
        <w:t>许</w:t>
      </w:r>
      <w:r>
        <w:rPr>
          <w:rFonts w:ascii="宋体" w:hAnsi="宋体" w:eastAsia="宋体" w:cs="宋体"/>
          <w:spacing w:val="7"/>
          <w:sz w:val="23"/>
          <w:szCs w:val="23"/>
        </w:rPr>
        <w:t>排放浓度限制要求，可以做到达标排放，对地表水影响较小；项目产生的噪声</w:t>
      </w:r>
      <w:r>
        <w:rPr>
          <w:rFonts w:ascii="宋体" w:hAnsi="宋体" w:eastAsia="宋体" w:cs="宋体"/>
          <w:sz w:val="23"/>
          <w:szCs w:val="23"/>
        </w:rPr>
        <w:t xml:space="preserve"> </w:t>
      </w:r>
      <w:r>
        <w:rPr>
          <w:rFonts w:ascii="宋体" w:hAnsi="宋体" w:eastAsia="宋体" w:cs="宋体"/>
          <w:spacing w:val="8"/>
          <w:sz w:val="23"/>
          <w:szCs w:val="23"/>
        </w:rPr>
        <w:t>经降噪措</w:t>
      </w:r>
      <w:r>
        <w:rPr>
          <w:rFonts w:ascii="宋体" w:hAnsi="宋体" w:eastAsia="宋体" w:cs="宋体"/>
          <w:spacing w:val="7"/>
          <w:sz w:val="23"/>
          <w:szCs w:val="23"/>
        </w:rPr>
        <w:t>施</w:t>
      </w:r>
      <w:r>
        <w:rPr>
          <w:rFonts w:ascii="宋体" w:hAnsi="宋体" w:eastAsia="宋体" w:cs="宋体"/>
          <w:spacing w:val="4"/>
          <w:sz w:val="23"/>
          <w:szCs w:val="23"/>
        </w:rPr>
        <w:t>治理后可达到《工业企业厂界环境噪声排放标准》  (</w:t>
      </w:r>
      <w:r>
        <w:rPr>
          <w:rFonts w:ascii="Times New Roman" w:hAnsi="Times New Roman" w:eastAsia="Times New Roman" w:cs="Times New Roman"/>
          <w:sz w:val="23"/>
          <w:szCs w:val="23"/>
        </w:rPr>
        <w:t>GB</w:t>
      </w:r>
      <w:r>
        <w:rPr>
          <w:rFonts w:ascii="Times New Roman" w:hAnsi="Times New Roman" w:eastAsia="Times New Roman" w:cs="Times New Roman"/>
          <w:spacing w:val="4"/>
          <w:sz w:val="23"/>
          <w:szCs w:val="23"/>
        </w:rPr>
        <w:t>12348-2008</w:t>
      </w:r>
      <w:r>
        <w:rPr>
          <w:rFonts w:ascii="宋体" w:hAnsi="宋体" w:eastAsia="宋体" w:cs="宋体"/>
          <w:spacing w:val="4"/>
          <w:sz w:val="23"/>
          <w:szCs w:val="23"/>
        </w:rPr>
        <w:t>)</w:t>
      </w:r>
    </w:p>
    <w:p w14:paraId="0B5EB60D">
      <w:pPr>
        <w:spacing w:line="227" w:lineRule="auto"/>
        <w:ind w:left="23"/>
        <w:rPr>
          <w:rFonts w:ascii="宋体" w:hAnsi="宋体" w:eastAsia="宋体" w:cs="宋体"/>
          <w:sz w:val="23"/>
          <w:szCs w:val="23"/>
        </w:rPr>
      </w:pPr>
      <w:r>
        <w:rPr>
          <w:rFonts w:ascii="Times New Roman" w:hAnsi="Times New Roman" w:eastAsia="Times New Roman" w:cs="Times New Roman"/>
          <w:spacing w:val="12"/>
          <w:sz w:val="23"/>
          <w:szCs w:val="23"/>
        </w:rPr>
        <w:t>3</w:t>
      </w:r>
      <w:r>
        <w:rPr>
          <w:rFonts w:ascii="Times New Roman" w:hAnsi="Times New Roman" w:eastAsia="Times New Roman" w:cs="Times New Roman"/>
          <w:spacing w:val="9"/>
          <w:sz w:val="23"/>
          <w:szCs w:val="23"/>
        </w:rPr>
        <w:t xml:space="preserve"> </w:t>
      </w:r>
      <w:r>
        <w:rPr>
          <w:rFonts w:ascii="宋体" w:hAnsi="宋体" w:eastAsia="宋体" w:cs="宋体"/>
          <w:spacing w:val="9"/>
          <w:sz w:val="23"/>
          <w:szCs w:val="23"/>
        </w:rPr>
        <w:t>类标准要求，从环境空气质量、声环境质量可受性角度分析，项目选址合理。</w:t>
      </w:r>
    </w:p>
    <w:p w14:paraId="6E49BD7B">
      <w:pPr>
        <w:sectPr>
          <w:headerReference r:id="rId30" w:type="default"/>
          <w:footerReference r:id="rId31" w:type="default"/>
          <w:pgSz w:w="11906" w:h="16839"/>
          <w:pgMar w:top="1132" w:right="1698" w:bottom="899" w:left="1785" w:header="878" w:footer="739" w:gutter="0"/>
          <w:cols w:space="720" w:num="1"/>
        </w:sectPr>
      </w:pPr>
    </w:p>
    <w:p w14:paraId="79294295">
      <w:pPr>
        <w:spacing w:line="338" w:lineRule="auto"/>
        <w:rPr>
          <w:rFonts w:ascii="Arial"/>
          <w:sz w:val="21"/>
        </w:rPr>
      </w:pPr>
      <w:r>
        <w:pict>
          <v:shape id="_x0000_s1042" o:spid="_x0000_s1042" style="position:absolute;left:0pt;margin-left:90pt;margin-top:57.35pt;height:0.75pt;width:415.3pt;mso-position-horizontal-relative:page;mso-position-vertical-relative:page;z-index:251680768;mso-width-relative:page;mso-height-relative:page;" fillcolor="#000000" filled="t" stroked="f" coordsize="8305,15" o:allowincell="f" path="m0,0l8305,0,8305,14,0,14,0,0xe">
            <v:path/>
            <v:fill on="t" focussize="0,0"/>
            <v:stroke on="f"/>
            <v:imagedata o:title=""/>
            <o:lock v:ext="edit"/>
          </v:shape>
        </w:pict>
      </w:r>
    </w:p>
    <w:p w14:paraId="1590BCC1">
      <w:pPr>
        <w:spacing w:before="95" w:line="226" w:lineRule="auto"/>
        <w:ind w:left="33"/>
        <w:outlineLvl w:val="2"/>
        <w:rPr>
          <w:rFonts w:ascii="宋体" w:hAnsi="宋体" w:eastAsia="宋体" w:cs="宋体"/>
          <w:sz w:val="29"/>
          <w:szCs w:val="29"/>
        </w:rPr>
      </w:pPr>
      <w:r>
        <w:rPr>
          <w:rFonts w:ascii="Times New Roman" w:hAnsi="Times New Roman" w:eastAsia="Times New Roman" w:cs="Times New Roman"/>
          <w:b/>
          <w:bCs/>
          <w:spacing w:val="10"/>
          <w:sz w:val="29"/>
          <w:szCs w:val="29"/>
        </w:rPr>
        <w:t>1.</w:t>
      </w:r>
      <w:r>
        <w:rPr>
          <w:rFonts w:ascii="Times New Roman" w:hAnsi="Times New Roman" w:eastAsia="Times New Roman" w:cs="Times New Roman"/>
          <w:b/>
          <w:bCs/>
          <w:spacing w:val="6"/>
          <w:sz w:val="29"/>
          <w:szCs w:val="29"/>
        </w:rPr>
        <w:t>4</w:t>
      </w:r>
      <w:r>
        <w:rPr>
          <w:rFonts w:ascii="Times New Roman" w:hAnsi="Times New Roman" w:eastAsia="Times New Roman" w:cs="Times New Roman"/>
          <w:b/>
          <w:bCs/>
          <w:spacing w:val="5"/>
          <w:sz w:val="29"/>
          <w:szCs w:val="29"/>
        </w:rPr>
        <w:t>.5</w:t>
      </w:r>
      <w:r>
        <w:rPr>
          <w:rFonts w:ascii="Times New Roman" w:hAnsi="Times New Roman" w:eastAsia="Times New Roman" w:cs="Times New Roman"/>
          <w:spacing w:val="5"/>
          <w:sz w:val="29"/>
          <w:szCs w:val="29"/>
        </w:rPr>
        <w:t xml:space="preserve">  </w:t>
      </w:r>
      <w:r>
        <w:rPr>
          <w:rFonts w:ascii="宋体" w:hAnsi="宋体" w:eastAsia="宋体" w:cs="宋体"/>
          <w:spacing w:val="5"/>
          <w:sz w:val="29"/>
          <w:szCs w:val="29"/>
          <w14:textOutline w14:w="5448" w14:cap="sq" w14:cmpd="sng">
            <w14:solidFill>
              <w14:srgbClr w14:val="000000"/>
            </w14:solidFill>
            <w14:prstDash w14:val="solid"/>
            <w14:bevel/>
          </w14:textOutline>
        </w:rPr>
        <w:t>选址合理性分析</w:t>
      </w:r>
    </w:p>
    <w:p w14:paraId="5C8CDBD7">
      <w:pPr>
        <w:spacing w:line="256" w:lineRule="auto"/>
        <w:rPr>
          <w:rFonts w:ascii="Arial"/>
          <w:sz w:val="21"/>
        </w:rPr>
      </w:pPr>
    </w:p>
    <w:p w14:paraId="10CAEF47">
      <w:pPr>
        <w:spacing w:before="75" w:line="390" w:lineRule="auto"/>
        <w:ind w:left="24" w:right="84" w:firstLine="482"/>
        <w:rPr>
          <w:rFonts w:ascii="宋体" w:hAnsi="宋体" w:eastAsia="宋体" w:cs="宋体"/>
          <w:sz w:val="23"/>
          <w:szCs w:val="23"/>
        </w:rPr>
      </w:pPr>
      <w:r>
        <w:rPr>
          <w:rFonts w:ascii="宋体" w:hAnsi="宋体" w:eastAsia="宋体" w:cs="宋体"/>
          <w:spacing w:val="12"/>
          <w:sz w:val="23"/>
          <w:szCs w:val="23"/>
        </w:rPr>
        <w:t>该项目选</w:t>
      </w:r>
      <w:r>
        <w:rPr>
          <w:rFonts w:ascii="宋体" w:hAnsi="宋体" w:eastAsia="宋体" w:cs="宋体"/>
          <w:spacing w:val="7"/>
          <w:sz w:val="23"/>
          <w:szCs w:val="23"/>
        </w:rPr>
        <w:t>址</w:t>
      </w:r>
      <w:r>
        <w:rPr>
          <w:rFonts w:ascii="宋体" w:hAnsi="宋体" w:eastAsia="宋体" w:cs="宋体"/>
          <w:spacing w:val="6"/>
          <w:sz w:val="23"/>
          <w:szCs w:val="23"/>
        </w:rPr>
        <w:t>用地不涉及自然保护区、风景名胜区、饮用水源保护区和其他需</w:t>
      </w:r>
      <w:r>
        <w:rPr>
          <w:rFonts w:ascii="宋体" w:hAnsi="宋体" w:eastAsia="宋体" w:cs="宋体"/>
          <w:sz w:val="23"/>
          <w:szCs w:val="23"/>
        </w:rPr>
        <w:t xml:space="preserve"> </w:t>
      </w:r>
      <w:r>
        <w:rPr>
          <w:rFonts w:ascii="宋体" w:hAnsi="宋体" w:eastAsia="宋体" w:cs="宋体"/>
          <w:spacing w:val="7"/>
          <w:sz w:val="23"/>
          <w:szCs w:val="23"/>
        </w:rPr>
        <w:t>要特殊保护的区域。根据本溪市溪湖区火连寨镇火连寨村村委会出具的证明 (</w:t>
      </w:r>
      <w:r>
        <w:rPr>
          <w:rFonts w:ascii="宋体" w:hAnsi="宋体" w:eastAsia="宋体" w:cs="宋体"/>
          <w:spacing w:val="1"/>
          <w:sz w:val="23"/>
          <w:szCs w:val="23"/>
        </w:rPr>
        <w:t>见</w:t>
      </w:r>
      <w:r>
        <w:rPr>
          <w:rFonts w:ascii="宋体" w:hAnsi="宋体" w:eastAsia="宋体" w:cs="宋体"/>
          <w:sz w:val="23"/>
          <w:szCs w:val="23"/>
        </w:rPr>
        <w:t xml:space="preserve"> </w:t>
      </w:r>
      <w:r>
        <w:rPr>
          <w:rFonts w:ascii="宋体" w:hAnsi="宋体" w:eastAsia="宋体" w:cs="宋体"/>
          <w:spacing w:val="11"/>
          <w:sz w:val="23"/>
          <w:szCs w:val="23"/>
        </w:rPr>
        <w:t>附件</w:t>
      </w:r>
      <w:r>
        <w:rPr>
          <w:rFonts w:ascii="Times New Roman" w:hAnsi="Times New Roman" w:eastAsia="Times New Roman" w:cs="Times New Roman"/>
          <w:spacing w:val="11"/>
          <w:sz w:val="23"/>
          <w:szCs w:val="23"/>
        </w:rPr>
        <w:t>6</w:t>
      </w:r>
      <w:r>
        <w:rPr>
          <w:rFonts w:ascii="宋体" w:hAnsi="宋体" w:eastAsia="宋体" w:cs="宋体"/>
          <w:spacing w:val="11"/>
          <w:sz w:val="23"/>
          <w:szCs w:val="23"/>
        </w:rPr>
        <w:t>) ，该地块现用地性质属于工业用地，符合当地规划要求</w:t>
      </w:r>
      <w:r>
        <w:rPr>
          <w:rFonts w:ascii="宋体" w:hAnsi="宋体" w:eastAsia="宋体" w:cs="宋体"/>
          <w:spacing w:val="5"/>
          <w:sz w:val="23"/>
          <w:szCs w:val="23"/>
        </w:rPr>
        <w:t>。</w:t>
      </w:r>
    </w:p>
    <w:p w14:paraId="7D65C2C6">
      <w:pPr>
        <w:spacing w:before="136" w:line="391" w:lineRule="auto"/>
        <w:ind w:left="27" w:right="31" w:firstLine="480"/>
        <w:rPr>
          <w:rFonts w:ascii="宋体" w:hAnsi="宋体" w:eastAsia="宋体" w:cs="宋体"/>
          <w:sz w:val="23"/>
          <w:szCs w:val="23"/>
        </w:rPr>
      </w:pPr>
      <w:r>
        <w:rPr>
          <w:rFonts w:ascii="宋体" w:hAnsi="宋体" w:eastAsia="宋体" w:cs="宋体"/>
          <w:spacing w:val="16"/>
          <w:sz w:val="23"/>
          <w:szCs w:val="23"/>
        </w:rPr>
        <w:t>项</w:t>
      </w:r>
      <w:r>
        <w:rPr>
          <w:rFonts w:ascii="宋体" w:hAnsi="宋体" w:eastAsia="宋体" w:cs="宋体"/>
          <w:spacing w:val="13"/>
          <w:sz w:val="23"/>
          <w:szCs w:val="23"/>
        </w:rPr>
        <w:t>目</w:t>
      </w:r>
      <w:r>
        <w:rPr>
          <w:rFonts w:ascii="宋体" w:hAnsi="宋体" w:eastAsia="宋体" w:cs="宋体"/>
          <w:spacing w:val="8"/>
          <w:sz w:val="23"/>
          <w:szCs w:val="23"/>
        </w:rPr>
        <w:t>选址综合考虑了场地地形、地势、水源、当地气候条件、原材料供应、</w:t>
      </w:r>
      <w:r>
        <w:rPr>
          <w:rFonts w:ascii="宋体" w:hAnsi="宋体" w:eastAsia="宋体" w:cs="宋体"/>
          <w:sz w:val="23"/>
          <w:szCs w:val="23"/>
        </w:rPr>
        <w:t xml:space="preserve"> </w:t>
      </w:r>
      <w:r>
        <w:rPr>
          <w:rFonts w:ascii="宋体" w:hAnsi="宋体" w:eastAsia="宋体" w:cs="宋体"/>
          <w:spacing w:val="7"/>
          <w:sz w:val="23"/>
          <w:szCs w:val="23"/>
        </w:rPr>
        <w:t>交通运输及与周围居民点的距离，满足卫生防护距离要求，通过以上分析，拟</w:t>
      </w:r>
      <w:r>
        <w:rPr>
          <w:rFonts w:ascii="宋体" w:hAnsi="宋体" w:eastAsia="宋体" w:cs="宋体"/>
          <w:spacing w:val="5"/>
          <w:sz w:val="23"/>
          <w:szCs w:val="23"/>
        </w:rPr>
        <w:t>建</w:t>
      </w:r>
      <w:r>
        <w:rPr>
          <w:rFonts w:ascii="宋体" w:hAnsi="宋体" w:eastAsia="宋体" w:cs="宋体"/>
          <w:sz w:val="23"/>
          <w:szCs w:val="23"/>
        </w:rPr>
        <w:t xml:space="preserve"> </w:t>
      </w:r>
      <w:r>
        <w:rPr>
          <w:rFonts w:ascii="宋体" w:hAnsi="宋体" w:eastAsia="宋体" w:cs="宋体"/>
          <w:spacing w:val="10"/>
          <w:sz w:val="23"/>
          <w:szCs w:val="23"/>
        </w:rPr>
        <w:t>项</w:t>
      </w:r>
      <w:r>
        <w:rPr>
          <w:rFonts w:ascii="宋体" w:hAnsi="宋体" w:eastAsia="宋体" w:cs="宋体"/>
          <w:spacing w:val="7"/>
          <w:sz w:val="23"/>
          <w:szCs w:val="23"/>
        </w:rPr>
        <w:t>目选址是合理的。</w:t>
      </w:r>
    </w:p>
    <w:p w14:paraId="496606A4">
      <w:pPr>
        <w:spacing w:before="84" w:line="225" w:lineRule="auto"/>
        <w:ind w:left="33"/>
        <w:outlineLvl w:val="2"/>
        <w:rPr>
          <w:rFonts w:ascii="宋体" w:hAnsi="宋体" w:eastAsia="宋体" w:cs="宋体"/>
          <w:sz w:val="29"/>
          <w:szCs w:val="29"/>
        </w:rPr>
      </w:pPr>
      <w:r>
        <w:rPr>
          <w:rFonts w:ascii="Times New Roman" w:hAnsi="Times New Roman" w:eastAsia="Times New Roman" w:cs="Times New Roman"/>
          <w:b/>
          <w:bCs/>
          <w:spacing w:val="12"/>
          <w:sz w:val="29"/>
          <w:szCs w:val="29"/>
        </w:rPr>
        <w:t>1</w:t>
      </w:r>
      <w:r>
        <w:rPr>
          <w:rFonts w:ascii="Times New Roman" w:hAnsi="Times New Roman" w:eastAsia="Times New Roman" w:cs="Times New Roman"/>
          <w:b/>
          <w:bCs/>
          <w:spacing w:val="7"/>
          <w:sz w:val="29"/>
          <w:szCs w:val="29"/>
        </w:rPr>
        <w:t>.4.6</w:t>
      </w:r>
      <w:r>
        <w:rPr>
          <w:rFonts w:ascii="Times New Roman" w:hAnsi="Times New Roman" w:eastAsia="Times New Roman" w:cs="Times New Roman"/>
          <w:spacing w:val="7"/>
          <w:sz w:val="29"/>
          <w:szCs w:val="29"/>
        </w:rPr>
        <w:t xml:space="preserve"> </w:t>
      </w:r>
      <w:r>
        <w:rPr>
          <w:rFonts w:ascii="宋体" w:hAnsi="宋体" w:eastAsia="宋体" w:cs="宋体"/>
          <w:spacing w:val="7"/>
          <w:sz w:val="29"/>
          <w:szCs w:val="29"/>
          <w14:textOutline w14:w="5448" w14:cap="sq" w14:cmpd="sng">
            <w14:solidFill>
              <w14:srgbClr w14:val="000000"/>
            </w14:solidFill>
            <w14:prstDash w14:val="solid"/>
            <w14:bevel/>
          </w14:textOutline>
        </w:rPr>
        <w:t>项目平面布局合理性分析</w:t>
      </w:r>
    </w:p>
    <w:p w14:paraId="76D3AD5A">
      <w:pPr>
        <w:spacing w:line="257" w:lineRule="auto"/>
        <w:rPr>
          <w:rFonts w:ascii="Arial"/>
          <w:sz w:val="21"/>
        </w:rPr>
      </w:pPr>
    </w:p>
    <w:p w14:paraId="31C94BA4">
      <w:pPr>
        <w:spacing w:before="75" w:line="228" w:lineRule="auto"/>
        <w:ind w:left="514"/>
        <w:rPr>
          <w:rFonts w:ascii="宋体" w:hAnsi="宋体" w:eastAsia="宋体" w:cs="宋体"/>
          <w:sz w:val="23"/>
          <w:szCs w:val="23"/>
        </w:rPr>
      </w:pPr>
      <w:r>
        <w:rPr>
          <w:rFonts w:ascii="宋体" w:hAnsi="宋体" w:eastAsia="宋体" w:cs="宋体"/>
          <w:spacing w:val="20"/>
          <w:sz w:val="23"/>
          <w:szCs w:val="23"/>
        </w:rPr>
        <w:t>(</w:t>
      </w:r>
      <w:r>
        <w:rPr>
          <w:rFonts w:ascii="Times New Roman" w:hAnsi="Times New Roman" w:eastAsia="Times New Roman" w:cs="Times New Roman"/>
          <w:spacing w:val="20"/>
          <w:sz w:val="23"/>
          <w:szCs w:val="23"/>
        </w:rPr>
        <w:t>1</w:t>
      </w:r>
      <w:r>
        <w:rPr>
          <w:rFonts w:ascii="宋体" w:hAnsi="宋体" w:eastAsia="宋体" w:cs="宋体"/>
          <w:spacing w:val="20"/>
          <w:sz w:val="23"/>
          <w:szCs w:val="23"/>
        </w:rPr>
        <w:t>) 周围环</w:t>
      </w:r>
      <w:r>
        <w:rPr>
          <w:rFonts w:ascii="宋体" w:hAnsi="宋体" w:eastAsia="宋体" w:cs="宋体"/>
          <w:spacing w:val="19"/>
          <w:sz w:val="23"/>
          <w:szCs w:val="23"/>
        </w:rPr>
        <w:t>境</w:t>
      </w:r>
    </w:p>
    <w:p w14:paraId="05ABF70A">
      <w:pPr>
        <w:spacing w:line="277" w:lineRule="auto"/>
        <w:rPr>
          <w:rFonts w:ascii="Arial"/>
          <w:sz w:val="21"/>
        </w:rPr>
      </w:pPr>
    </w:p>
    <w:p w14:paraId="509C7A8B">
      <w:pPr>
        <w:spacing w:before="74" w:line="390" w:lineRule="auto"/>
        <w:ind w:left="11" w:firstLine="496"/>
        <w:rPr>
          <w:rFonts w:ascii="宋体" w:hAnsi="宋体" w:eastAsia="宋体" w:cs="宋体"/>
          <w:sz w:val="23"/>
          <w:szCs w:val="23"/>
        </w:rPr>
      </w:pPr>
      <w:r>
        <w:rPr>
          <w:rFonts w:ascii="宋体" w:hAnsi="宋体" w:eastAsia="宋体" w:cs="宋体"/>
          <w:spacing w:val="32"/>
          <w:sz w:val="23"/>
          <w:szCs w:val="23"/>
        </w:rPr>
        <w:t>该</w:t>
      </w:r>
      <w:r>
        <w:rPr>
          <w:rFonts w:ascii="宋体" w:hAnsi="宋体" w:eastAsia="宋体" w:cs="宋体"/>
          <w:spacing w:val="21"/>
          <w:sz w:val="23"/>
          <w:szCs w:val="23"/>
        </w:rPr>
        <w:t>项 目位于辽宁省本溪市溪湖区火连寨镇火连寨村 ，地理位置坐标为</w:t>
      </w:r>
      <w:r>
        <w:rPr>
          <w:rFonts w:ascii="宋体" w:hAnsi="宋体" w:eastAsia="宋体" w:cs="宋体"/>
          <w:sz w:val="23"/>
          <w:szCs w:val="23"/>
        </w:rPr>
        <w:t xml:space="preserve"> </w:t>
      </w:r>
      <w:r>
        <w:rPr>
          <w:rFonts w:ascii="Times New Roman" w:hAnsi="Times New Roman" w:eastAsia="Times New Roman" w:cs="Times New Roman"/>
          <w:sz w:val="23"/>
          <w:szCs w:val="23"/>
        </w:rPr>
        <w:t>N</w:t>
      </w:r>
      <w:r>
        <w:rPr>
          <w:rFonts w:ascii="Times New Roman" w:hAnsi="Times New Roman" w:eastAsia="Times New Roman" w:cs="Times New Roman"/>
          <w:spacing w:val="5"/>
          <w:sz w:val="23"/>
          <w:szCs w:val="23"/>
        </w:rPr>
        <w:t>41°21′55.05927″</w:t>
      </w:r>
      <w:r>
        <w:rPr>
          <w:rFonts w:ascii="Times New Roman" w:hAnsi="Times New Roman" w:eastAsia="Times New Roman" w:cs="Times New Roman"/>
          <w:sz w:val="23"/>
          <w:szCs w:val="23"/>
        </w:rPr>
        <w:t>E</w:t>
      </w:r>
      <w:r>
        <w:rPr>
          <w:rFonts w:ascii="Times New Roman" w:hAnsi="Times New Roman" w:eastAsia="Times New Roman" w:cs="Times New Roman"/>
          <w:spacing w:val="5"/>
          <w:sz w:val="23"/>
          <w:szCs w:val="23"/>
        </w:rPr>
        <w:t>123°42′32.05640″</w:t>
      </w:r>
      <w:r>
        <w:rPr>
          <w:rFonts w:ascii="宋体" w:hAnsi="宋体" w:eastAsia="宋体" w:cs="宋体"/>
          <w:spacing w:val="5"/>
          <w:sz w:val="23"/>
          <w:szCs w:val="23"/>
        </w:rPr>
        <w:t>。其东侧为辽宁公路水泥厂废旧厂区，西侧</w:t>
      </w:r>
      <w:r>
        <w:rPr>
          <w:rFonts w:ascii="宋体" w:hAnsi="宋体" w:eastAsia="宋体" w:cs="宋体"/>
          <w:spacing w:val="1"/>
          <w:sz w:val="23"/>
          <w:szCs w:val="23"/>
        </w:rPr>
        <w:t>、</w:t>
      </w:r>
      <w:r>
        <w:rPr>
          <w:rFonts w:ascii="宋体" w:hAnsi="宋体" w:eastAsia="宋体" w:cs="宋体"/>
          <w:sz w:val="23"/>
          <w:szCs w:val="23"/>
        </w:rPr>
        <w:t xml:space="preserve"> </w:t>
      </w:r>
      <w:r>
        <w:rPr>
          <w:rFonts w:ascii="宋体" w:hAnsi="宋体" w:eastAsia="宋体" w:cs="宋体"/>
          <w:spacing w:val="11"/>
          <w:sz w:val="23"/>
          <w:szCs w:val="23"/>
        </w:rPr>
        <w:t>南</w:t>
      </w:r>
      <w:r>
        <w:rPr>
          <w:rFonts w:ascii="宋体" w:hAnsi="宋体" w:eastAsia="宋体" w:cs="宋体"/>
          <w:spacing w:val="9"/>
          <w:sz w:val="23"/>
          <w:szCs w:val="23"/>
        </w:rPr>
        <w:t>侧、北侧均为空地。</w:t>
      </w:r>
    </w:p>
    <w:p w14:paraId="6D3371B5">
      <w:pPr>
        <w:spacing w:before="136" w:line="227" w:lineRule="auto"/>
        <w:ind w:left="514"/>
        <w:rPr>
          <w:rFonts w:ascii="宋体" w:hAnsi="宋体" w:eastAsia="宋体" w:cs="宋体"/>
          <w:sz w:val="23"/>
          <w:szCs w:val="23"/>
        </w:rPr>
      </w:pPr>
      <w:r>
        <w:rPr>
          <w:rFonts w:ascii="宋体" w:hAnsi="宋体" w:eastAsia="宋体" w:cs="宋体"/>
          <w:spacing w:val="19"/>
          <w:sz w:val="23"/>
          <w:szCs w:val="23"/>
        </w:rPr>
        <w:t>(</w:t>
      </w:r>
      <w:r>
        <w:rPr>
          <w:rFonts w:ascii="Times New Roman" w:hAnsi="Times New Roman" w:eastAsia="Times New Roman" w:cs="Times New Roman"/>
          <w:spacing w:val="17"/>
          <w:sz w:val="23"/>
          <w:szCs w:val="23"/>
        </w:rPr>
        <w:t>2</w:t>
      </w:r>
      <w:r>
        <w:rPr>
          <w:rFonts w:ascii="宋体" w:hAnsi="宋体" w:eastAsia="宋体" w:cs="宋体"/>
          <w:spacing w:val="17"/>
          <w:sz w:val="23"/>
          <w:szCs w:val="23"/>
        </w:rPr>
        <w:t>) 总平面布置原则</w:t>
      </w:r>
    </w:p>
    <w:p w14:paraId="47D4F056">
      <w:pPr>
        <w:spacing w:line="277" w:lineRule="auto"/>
        <w:rPr>
          <w:rFonts w:ascii="Arial"/>
          <w:sz w:val="21"/>
        </w:rPr>
      </w:pPr>
    </w:p>
    <w:p w14:paraId="18BE4370">
      <w:pPr>
        <w:spacing w:before="75" w:line="225" w:lineRule="auto"/>
        <w:ind w:left="502"/>
        <w:rPr>
          <w:rFonts w:ascii="宋体" w:hAnsi="宋体" w:eastAsia="宋体" w:cs="宋体"/>
          <w:sz w:val="23"/>
          <w:szCs w:val="23"/>
        </w:rPr>
      </w:pPr>
      <w:r>
        <w:rPr>
          <w:rFonts w:ascii="宋体" w:hAnsi="宋体" w:eastAsia="宋体" w:cs="宋体"/>
          <w:spacing w:val="11"/>
          <w:sz w:val="23"/>
          <w:szCs w:val="23"/>
        </w:rPr>
        <w:t>①</w:t>
      </w:r>
      <w:r>
        <w:rPr>
          <w:rFonts w:ascii="宋体" w:hAnsi="宋体" w:eastAsia="宋体" w:cs="宋体"/>
          <w:spacing w:val="9"/>
          <w:sz w:val="23"/>
          <w:szCs w:val="23"/>
        </w:rPr>
        <w:t>严格执行国家颁布的有关规范、规定和标准。</w:t>
      </w:r>
    </w:p>
    <w:p w14:paraId="255A049F">
      <w:pPr>
        <w:spacing w:line="279" w:lineRule="auto"/>
        <w:rPr>
          <w:rFonts w:ascii="Arial"/>
          <w:sz w:val="21"/>
        </w:rPr>
      </w:pPr>
    </w:p>
    <w:p w14:paraId="627E7745">
      <w:pPr>
        <w:spacing w:before="75" w:line="225" w:lineRule="auto"/>
        <w:ind w:left="501"/>
        <w:rPr>
          <w:rFonts w:ascii="宋体" w:hAnsi="宋体" w:eastAsia="宋体" w:cs="宋体"/>
          <w:sz w:val="23"/>
          <w:szCs w:val="23"/>
        </w:rPr>
      </w:pPr>
      <w:r>
        <w:rPr>
          <w:rFonts w:ascii="宋体" w:hAnsi="宋体" w:eastAsia="宋体" w:cs="宋体"/>
          <w:spacing w:val="7"/>
          <w:sz w:val="23"/>
          <w:szCs w:val="23"/>
        </w:rPr>
        <w:t>②根据生产要求，结合场地的地形、地质、气象等自然条件，就建筑物、</w:t>
      </w:r>
      <w:r>
        <w:rPr>
          <w:rFonts w:ascii="宋体" w:hAnsi="宋体" w:eastAsia="宋体" w:cs="宋体"/>
          <w:spacing w:val="4"/>
          <w:sz w:val="23"/>
          <w:szCs w:val="23"/>
        </w:rPr>
        <w:t>运</w:t>
      </w:r>
    </w:p>
    <w:p w14:paraId="673AF70B">
      <w:pPr>
        <w:spacing w:before="200" w:line="227" w:lineRule="auto"/>
        <w:ind w:left="22"/>
        <w:rPr>
          <w:rFonts w:ascii="宋体" w:hAnsi="宋体" w:eastAsia="宋体" w:cs="宋体"/>
          <w:sz w:val="23"/>
          <w:szCs w:val="23"/>
        </w:rPr>
      </w:pPr>
      <w:r>
        <w:rPr>
          <w:rFonts w:ascii="宋体" w:hAnsi="宋体" w:eastAsia="宋体" w:cs="宋体"/>
          <w:spacing w:val="18"/>
          <w:sz w:val="23"/>
          <w:szCs w:val="23"/>
        </w:rPr>
        <w:t>输</w:t>
      </w:r>
      <w:r>
        <w:rPr>
          <w:rFonts w:ascii="宋体" w:hAnsi="宋体" w:eastAsia="宋体" w:cs="宋体"/>
          <w:spacing w:val="14"/>
          <w:sz w:val="23"/>
          <w:szCs w:val="23"/>
        </w:rPr>
        <w:t>路</w:t>
      </w:r>
      <w:r>
        <w:rPr>
          <w:rFonts w:ascii="宋体" w:hAnsi="宋体" w:eastAsia="宋体" w:cs="宋体"/>
          <w:spacing w:val="9"/>
          <w:sz w:val="23"/>
          <w:szCs w:val="23"/>
        </w:rPr>
        <w:t>线，工程管线等因素综合考虑，统筹安排，合理紧凑地进行总图布置。</w:t>
      </w:r>
    </w:p>
    <w:p w14:paraId="3A4F871D">
      <w:pPr>
        <w:spacing w:line="275" w:lineRule="auto"/>
        <w:rPr>
          <w:rFonts w:ascii="Arial"/>
          <w:sz w:val="21"/>
        </w:rPr>
      </w:pPr>
    </w:p>
    <w:p w14:paraId="1C746C66">
      <w:pPr>
        <w:spacing w:before="76" w:line="394" w:lineRule="auto"/>
        <w:ind w:left="43" w:right="84" w:firstLine="458"/>
        <w:rPr>
          <w:rFonts w:ascii="宋体" w:hAnsi="宋体" w:eastAsia="宋体" w:cs="宋体"/>
          <w:sz w:val="23"/>
          <w:szCs w:val="23"/>
        </w:rPr>
      </w:pPr>
      <w:r>
        <w:rPr>
          <w:rFonts w:ascii="宋体" w:hAnsi="宋体" w:eastAsia="宋体" w:cs="宋体"/>
          <w:spacing w:val="7"/>
          <w:sz w:val="23"/>
          <w:szCs w:val="23"/>
        </w:rPr>
        <w:t>③工艺生产流程通畅，物料运输路线短捷方便。避免频繁的物流与主要人</w:t>
      </w:r>
      <w:r>
        <w:rPr>
          <w:rFonts w:ascii="宋体" w:hAnsi="宋体" w:eastAsia="宋体" w:cs="宋体"/>
          <w:spacing w:val="4"/>
          <w:sz w:val="23"/>
          <w:szCs w:val="23"/>
        </w:rPr>
        <w:t>流</w:t>
      </w:r>
      <w:r>
        <w:rPr>
          <w:rFonts w:ascii="宋体" w:hAnsi="宋体" w:eastAsia="宋体" w:cs="宋体"/>
          <w:sz w:val="23"/>
          <w:szCs w:val="23"/>
        </w:rPr>
        <w:t xml:space="preserve"> </w:t>
      </w:r>
      <w:r>
        <w:rPr>
          <w:rFonts w:ascii="宋体" w:hAnsi="宋体" w:eastAsia="宋体" w:cs="宋体"/>
          <w:spacing w:val="9"/>
          <w:sz w:val="23"/>
          <w:szCs w:val="23"/>
        </w:rPr>
        <w:t>的交叉，实行人流和货流分离的原则，使人流和货流互不干扰，合理通畅</w:t>
      </w:r>
      <w:r>
        <w:rPr>
          <w:rFonts w:ascii="宋体" w:hAnsi="宋体" w:eastAsia="宋体" w:cs="宋体"/>
          <w:spacing w:val="2"/>
          <w:sz w:val="23"/>
          <w:szCs w:val="23"/>
        </w:rPr>
        <w:t>。</w:t>
      </w:r>
    </w:p>
    <w:p w14:paraId="0D729271">
      <w:pPr>
        <w:spacing w:before="134" w:line="393" w:lineRule="auto"/>
        <w:ind w:left="26" w:right="134" w:firstLine="451"/>
        <w:rPr>
          <w:rFonts w:ascii="宋体" w:hAnsi="宋体" w:eastAsia="宋体" w:cs="宋体"/>
          <w:sz w:val="23"/>
          <w:szCs w:val="23"/>
        </w:rPr>
      </w:pPr>
      <w:r>
        <w:rPr>
          <w:rFonts w:ascii="宋体" w:hAnsi="宋体" w:eastAsia="宋体" w:cs="宋体"/>
          <w:spacing w:val="-1"/>
          <w:sz w:val="23"/>
          <w:szCs w:val="23"/>
        </w:rPr>
        <w:t>④满足功能分区的要求，各种辅助和附属设施应尽可能地靠近</w:t>
      </w:r>
      <w:r>
        <w:rPr>
          <w:rFonts w:ascii="宋体" w:hAnsi="宋体" w:eastAsia="宋体" w:cs="宋体"/>
          <w:sz w:val="23"/>
          <w:szCs w:val="23"/>
        </w:rPr>
        <w:t xml:space="preserve">所服务的车间， </w:t>
      </w:r>
      <w:r>
        <w:rPr>
          <w:rFonts w:ascii="宋体" w:hAnsi="宋体" w:eastAsia="宋体" w:cs="宋体"/>
          <w:spacing w:val="-2"/>
          <w:sz w:val="23"/>
          <w:szCs w:val="23"/>
        </w:rPr>
        <w:t>各种动力供应设施应尽量布置在负荷中心，且要充分利用现有的资源，节约投资</w:t>
      </w:r>
      <w:r>
        <w:rPr>
          <w:rFonts w:ascii="宋体" w:hAnsi="宋体" w:eastAsia="宋体" w:cs="宋体"/>
          <w:spacing w:val="-1"/>
          <w:sz w:val="23"/>
          <w:szCs w:val="23"/>
        </w:rPr>
        <w:t>。</w:t>
      </w:r>
    </w:p>
    <w:p w14:paraId="1D89FB9F">
      <w:pPr>
        <w:spacing w:before="137" w:line="225" w:lineRule="auto"/>
        <w:ind w:left="501"/>
        <w:rPr>
          <w:rFonts w:ascii="宋体" w:hAnsi="宋体" w:eastAsia="宋体" w:cs="宋体"/>
          <w:sz w:val="23"/>
          <w:szCs w:val="23"/>
        </w:rPr>
      </w:pPr>
      <w:r>
        <w:rPr>
          <w:rFonts w:ascii="宋体" w:hAnsi="宋体" w:eastAsia="宋体" w:cs="宋体"/>
          <w:spacing w:val="10"/>
          <w:sz w:val="23"/>
          <w:szCs w:val="23"/>
        </w:rPr>
        <w:t>⑤</w:t>
      </w:r>
      <w:r>
        <w:rPr>
          <w:rFonts w:ascii="宋体" w:hAnsi="宋体" w:eastAsia="宋体" w:cs="宋体"/>
          <w:spacing w:val="9"/>
          <w:sz w:val="23"/>
          <w:szCs w:val="23"/>
        </w:rPr>
        <w:t>总图布置充分考虑规划厂址的风向因素。</w:t>
      </w:r>
    </w:p>
    <w:p w14:paraId="7C00D9A6">
      <w:pPr>
        <w:spacing w:line="278" w:lineRule="auto"/>
        <w:rPr>
          <w:rFonts w:ascii="Arial"/>
          <w:sz w:val="21"/>
        </w:rPr>
      </w:pPr>
    </w:p>
    <w:p w14:paraId="4F1F36A1">
      <w:pPr>
        <w:spacing w:before="76" w:line="227" w:lineRule="auto"/>
        <w:ind w:left="514"/>
        <w:rPr>
          <w:rFonts w:ascii="宋体" w:hAnsi="宋体" w:eastAsia="宋体" w:cs="宋体"/>
          <w:sz w:val="23"/>
          <w:szCs w:val="23"/>
        </w:rPr>
      </w:pPr>
      <w:r>
        <w:rPr>
          <w:rFonts w:ascii="宋体" w:hAnsi="宋体" w:eastAsia="宋体" w:cs="宋体"/>
          <w:spacing w:val="24"/>
          <w:sz w:val="23"/>
          <w:szCs w:val="23"/>
        </w:rPr>
        <w:t>(</w:t>
      </w:r>
      <w:r>
        <w:rPr>
          <w:rFonts w:ascii="Times New Roman" w:hAnsi="Times New Roman" w:eastAsia="Times New Roman" w:cs="Times New Roman"/>
          <w:spacing w:val="15"/>
          <w:sz w:val="23"/>
          <w:szCs w:val="23"/>
        </w:rPr>
        <w:t>3</w:t>
      </w:r>
      <w:r>
        <w:rPr>
          <w:rFonts w:ascii="宋体" w:hAnsi="宋体" w:eastAsia="宋体" w:cs="宋体"/>
          <w:spacing w:val="15"/>
          <w:sz w:val="23"/>
          <w:szCs w:val="23"/>
        </w:rPr>
        <w:t>) 总平面布置合理性分析</w:t>
      </w:r>
    </w:p>
    <w:p w14:paraId="4538A4FD">
      <w:pPr>
        <w:spacing w:line="277" w:lineRule="auto"/>
        <w:rPr>
          <w:rFonts w:ascii="Arial"/>
          <w:sz w:val="21"/>
        </w:rPr>
      </w:pPr>
    </w:p>
    <w:p w14:paraId="20FE0C00">
      <w:pPr>
        <w:spacing w:before="75" w:line="225" w:lineRule="auto"/>
        <w:ind w:left="502"/>
        <w:rPr>
          <w:rFonts w:ascii="宋体" w:hAnsi="宋体" w:eastAsia="宋体" w:cs="宋体"/>
          <w:sz w:val="23"/>
          <w:szCs w:val="23"/>
        </w:rPr>
      </w:pPr>
      <w:r>
        <w:rPr>
          <w:rFonts w:ascii="宋体" w:hAnsi="宋体" w:eastAsia="宋体" w:cs="宋体"/>
          <w:spacing w:val="25"/>
          <w:sz w:val="23"/>
          <w:szCs w:val="23"/>
        </w:rPr>
        <w:t>①</w:t>
      </w:r>
      <w:r>
        <w:rPr>
          <w:rFonts w:ascii="宋体" w:hAnsi="宋体" w:eastAsia="宋体" w:cs="宋体"/>
          <w:spacing w:val="22"/>
          <w:sz w:val="23"/>
          <w:szCs w:val="23"/>
        </w:rPr>
        <w:t>该项目位于辽宁省本溪市溪湖区火连寨镇火连寨村，地理位置坐标为</w:t>
      </w:r>
    </w:p>
    <w:p w14:paraId="4AD2B942">
      <w:pPr>
        <w:spacing w:before="199" w:line="239" w:lineRule="auto"/>
        <w:ind w:left="11"/>
        <w:rPr>
          <w:rFonts w:ascii="宋体" w:hAnsi="宋体" w:eastAsia="宋体" w:cs="宋体"/>
          <w:sz w:val="23"/>
          <w:szCs w:val="23"/>
        </w:rPr>
      </w:pPr>
      <w:r>
        <w:rPr>
          <w:rFonts w:ascii="Times New Roman" w:hAnsi="Times New Roman" w:eastAsia="Times New Roman" w:cs="Times New Roman"/>
          <w:sz w:val="23"/>
          <w:szCs w:val="23"/>
        </w:rPr>
        <w:t>N</w:t>
      </w:r>
      <w:r>
        <w:rPr>
          <w:rFonts w:ascii="Times New Roman" w:hAnsi="Times New Roman" w:eastAsia="Times New Roman" w:cs="Times New Roman"/>
          <w:spacing w:val="5"/>
          <w:sz w:val="23"/>
          <w:szCs w:val="23"/>
        </w:rPr>
        <w:t>4</w:t>
      </w:r>
      <w:r>
        <w:rPr>
          <w:rFonts w:ascii="Times New Roman" w:hAnsi="Times New Roman" w:eastAsia="Times New Roman" w:cs="Times New Roman"/>
          <w:spacing w:val="3"/>
          <w:sz w:val="23"/>
          <w:szCs w:val="23"/>
        </w:rPr>
        <w:t>1°21′55.05927″</w:t>
      </w:r>
      <w:r>
        <w:rPr>
          <w:rFonts w:ascii="Times New Roman" w:hAnsi="Times New Roman" w:eastAsia="Times New Roman" w:cs="Times New Roman"/>
          <w:sz w:val="23"/>
          <w:szCs w:val="23"/>
        </w:rPr>
        <w:t>E</w:t>
      </w:r>
      <w:r>
        <w:rPr>
          <w:rFonts w:ascii="Times New Roman" w:hAnsi="Times New Roman" w:eastAsia="Times New Roman" w:cs="Times New Roman"/>
          <w:spacing w:val="3"/>
          <w:sz w:val="23"/>
          <w:szCs w:val="23"/>
        </w:rPr>
        <w:t xml:space="preserve">123°42′32.05640″ </w:t>
      </w:r>
      <w:r>
        <w:rPr>
          <w:rFonts w:ascii="宋体" w:hAnsi="宋体" w:eastAsia="宋体" w:cs="宋体"/>
          <w:spacing w:val="3"/>
          <w:sz w:val="23"/>
          <w:szCs w:val="23"/>
        </w:rPr>
        <w:t xml:space="preserve">，总占地面积为 </w:t>
      </w:r>
      <w:r>
        <w:rPr>
          <w:rFonts w:ascii="Times New Roman" w:hAnsi="Times New Roman" w:eastAsia="Times New Roman" w:cs="Times New Roman"/>
          <w:spacing w:val="3"/>
          <w:sz w:val="23"/>
          <w:szCs w:val="23"/>
        </w:rPr>
        <w:t>7000</w:t>
      </w:r>
      <w:r>
        <w:rPr>
          <w:rFonts w:ascii="Times New Roman" w:hAnsi="Times New Roman" w:eastAsia="Times New Roman" w:cs="Times New Roman"/>
          <w:sz w:val="23"/>
          <w:szCs w:val="23"/>
        </w:rPr>
        <w:t>m</w:t>
      </w:r>
      <w:r>
        <w:rPr>
          <w:rFonts w:ascii="Times New Roman" w:hAnsi="Times New Roman" w:eastAsia="Times New Roman" w:cs="Times New Roman"/>
          <w:spacing w:val="3"/>
          <w:position w:val="8"/>
          <w:sz w:val="15"/>
          <w:szCs w:val="15"/>
        </w:rPr>
        <w:t xml:space="preserve">2 </w:t>
      </w:r>
      <w:r>
        <w:rPr>
          <w:rFonts w:ascii="宋体" w:hAnsi="宋体" w:eastAsia="宋体" w:cs="宋体"/>
          <w:spacing w:val="3"/>
          <w:sz w:val="23"/>
          <w:szCs w:val="23"/>
        </w:rPr>
        <w:t>。该项目利用厂区内</w:t>
      </w:r>
    </w:p>
    <w:p w14:paraId="514D0042">
      <w:pPr>
        <w:sectPr>
          <w:headerReference r:id="rId32" w:type="default"/>
          <w:footerReference r:id="rId33" w:type="default"/>
          <w:pgSz w:w="11906" w:h="16839"/>
          <w:pgMar w:top="1132" w:right="1714" w:bottom="899" w:left="1785" w:header="878" w:footer="739" w:gutter="0"/>
          <w:cols w:space="720" w:num="1"/>
        </w:sectPr>
      </w:pPr>
    </w:p>
    <w:p w14:paraId="18072CC0">
      <w:pPr>
        <w:spacing w:line="409" w:lineRule="auto"/>
        <w:rPr>
          <w:rFonts w:ascii="Arial"/>
          <w:sz w:val="21"/>
        </w:rPr>
      </w:pPr>
      <w:r>
        <w:pict>
          <v:shape id="_x0000_s1043" o:spid="_x0000_s1043" style="position:absolute;left:0pt;margin-left:90pt;margin-top:57.35pt;height:0.75pt;width:415.3pt;mso-position-horizontal-relative:page;mso-position-vertical-relative:page;z-index:251681792;mso-width-relative:page;mso-height-relative:page;" fillcolor="#000000" filled="t" stroked="f" coordsize="8305,15" o:allowincell="f" path="m0,0l8305,0,8305,14,0,14,0,0xe">
            <v:path/>
            <v:fill on="t" focussize="0,0"/>
            <v:stroke on="f"/>
            <v:imagedata o:title=""/>
            <o:lock v:ext="edit"/>
          </v:shape>
        </w:pict>
      </w:r>
    </w:p>
    <w:p w14:paraId="6E160EB2">
      <w:pPr>
        <w:spacing w:before="75" w:line="385" w:lineRule="auto"/>
        <w:ind w:left="23" w:right="18" w:firstLine="5"/>
        <w:rPr>
          <w:rFonts w:ascii="宋体" w:hAnsi="宋体" w:eastAsia="宋体" w:cs="宋体"/>
          <w:sz w:val="23"/>
          <w:szCs w:val="23"/>
        </w:rPr>
      </w:pPr>
      <w:r>
        <w:rPr>
          <w:rFonts w:ascii="宋体" w:hAnsi="宋体" w:eastAsia="宋体" w:cs="宋体"/>
          <w:spacing w:val="7"/>
          <w:sz w:val="23"/>
          <w:szCs w:val="23"/>
        </w:rPr>
        <w:t>原有闲置辅助用房作为办公用房及成品库，并将原有生产厂房扩大作为该项目</w:t>
      </w:r>
      <w:r>
        <w:rPr>
          <w:rFonts w:ascii="宋体" w:hAnsi="宋体" w:eastAsia="宋体" w:cs="宋体"/>
          <w:spacing w:val="3"/>
          <w:sz w:val="23"/>
          <w:szCs w:val="23"/>
        </w:rPr>
        <w:t>生</w:t>
      </w:r>
      <w:r>
        <w:rPr>
          <w:rFonts w:ascii="宋体" w:hAnsi="宋体" w:eastAsia="宋体" w:cs="宋体"/>
          <w:sz w:val="23"/>
          <w:szCs w:val="23"/>
        </w:rPr>
        <w:t xml:space="preserve"> </w:t>
      </w:r>
      <w:r>
        <w:rPr>
          <w:rFonts w:ascii="宋体" w:hAnsi="宋体" w:eastAsia="宋体" w:cs="宋体"/>
          <w:spacing w:val="-13"/>
          <w:sz w:val="23"/>
          <w:szCs w:val="23"/>
        </w:rPr>
        <w:t>产</w:t>
      </w:r>
      <w:r>
        <w:rPr>
          <w:rFonts w:ascii="宋体" w:hAnsi="宋体" w:eastAsia="宋体" w:cs="宋体"/>
          <w:spacing w:val="-8"/>
          <w:sz w:val="23"/>
          <w:szCs w:val="23"/>
        </w:rPr>
        <w:t xml:space="preserve">用房，总建筑面积为 </w:t>
      </w:r>
      <w:r>
        <w:rPr>
          <w:rFonts w:ascii="Times New Roman" w:hAnsi="Times New Roman" w:eastAsia="Times New Roman" w:cs="Times New Roman"/>
          <w:spacing w:val="-8"/>
          <w:sz w:val="23"/>
          <w:szCs w:val="23"/>
        </w:rPr>
        <w:t>1600m</w:t>
      </w:r>
      <w:r>
        <w:rPr>
          <w:rFonts w:ascii="Times New Roman" w:hAnsi="Times New Roman" w:eastAsia="Times New Roman" w:cs="Times New Roman"/>
          <w:spacing w:val="-8"/>
          <w:position w:val="8"/>
          <w:sz w:val="15"/>
          <w:szCs w:val="15"/>
        </w:rPr>
        <w:t>2</w:t>
      </w:r>
      <w:r>
        <w:rPr>
          <w:rFonts w:ascii="宋体" w:hAnsi="宋体" w:eastAsia="宋体" w:cs="宋体"/>
          <w:spacing w:val="-8"/>
          <w:sz w:val="23"/>
          <w:szCs w:val="23"/>
        </w:rPr>
        <w:t xml:space="preserve">，主要建筑物为：生产厂房 </w:t>
      </w:r>
      <w:r>
        <w:rPr>
          <w:rFonts w:ascii="Times New Roman" w:hAnsi="Times New Roman" w:eastAsia="Times New Roman" w:cs="Times New Roman"/>
          <w:spacing w:val="-8"/>
          <w:sz w:val="23"/>
          <w:szCs w:val="23"/>
        </w:rPr>
        <w:t xml:space="preserve">1 </w:t>
      </w:r>
      <w:r>
        <w:rPr>
          <w:rFonts w:ascii="宋体" w:hAnsi="宋体" w:eastAsia="宋体" w:cs="宋体"/>
          <w:spacing w:val="-8"/>
          <w:sz w:val="23"/>
          <w:szCs w:val="23"/>
        </w:rPr>
        <w:t xml:space="preserve">栋，建筑面积为 </w:t>
      </w:r>
      <w:r>
        <w:rPr>
          <w:rFonts w:ascii="Times New Roman" w:hAnsi="Times New Roman" w:eastAsia="Times New Roman" w:cs="Times New Roman"/>
          <w:spacing w:val="-8"/>
          <w:sz w:val="23"/>
          <w:szCs w:val="23"/>
        </w:rPr>
        <w:t>600m</w:t>
      </w:r>
      <w:r>
        <w:rPr>
          <w:rFonts w:ascii="Times New Roman" w:hAnsi="Times New Roman" w:eastAsia="Times New Roman" w:cs="Times New Roman"/>
          <w:spacing w:val="-8"/>
          <w:position w:val="8"/>
          <w:sz w:val="15"/>
          <w:szCs w:val="15"/>
        </w:rPr>
        <w:t>2</w:t>
      </w:r>
      <w:r>
        <w:rPr>
          <w:rFonts w:ascii="宋体" w:hAnsi="宋体" w:eastAsia="宋体" w:cs="宋体"/>
          <w:spacing w:val="-8"/>
          <w:sz w:val="23"/>
          <w:szCs w:val="23"/>
        </w:rPr>
        <w:t>；</w:t>
      </w:r>
    </w:p>
    <w:p w14:paraId="18D644CA">
      <w:pPr>
        <w:tabs>
          <w:tab w:val="left" w:pos="148"/>
        </w:tabs>
        <w:spacing w:before="5" w:line="388" w:lineRule="auto"/>
        <w:ind w:left="19" w:firstLine="6"/>
        <w:rPr>
          <w:rFonts w:ascii="宋体" w:hAnsi="宋体" w:eastAsia="宋体" w:cs="宋体"/>
          <w:sz w:val="23"/>
          <w:szCs w:val="23"/>
        </w:rPr>
      </w:pPr>
      <w:r>
        <w:rPr>
          <w:rFonts w:ascii="宋体" w:hAnsi="宋体" w:eastAsia="宋体" w:cs="宋体"/>
          <w:spacing w:val="-4"/>
          <w:sz w:val="23"/>
          <w:szCs w:val="23"/>
        </w:rPr>
        <w:t xml:space="preserve">成品库 </w:t>
      </w:r>
      <w:r>
        <w:rPr>
          <w:rFonts w:ascii="Times New Roman" w:hAnsi="Times New Roman" w:eastAsia="Times New Roman" w:cs="Times New Roman"/>
          <w:spacing w:val="-4"/>
          <w:sz w:val="23"/>
          <w:szCs w:val="23"/>
        </w:rPr>
        <w:t xml:space="preserve">1 </w:t>
      </w:r>
      <w:r>
        <w:rPr>
          <w:rFonts w:ascii="宋体" w:hAnsi="宋体" w:eastAsia="宋体" w:cs="宋体"/>
          <w:spacing w:val="-4"/>
          <w:sz w:val="23"/>
          <w:szCs w:val="23"/>
        </w:rPr>
        <w:t xml:space="preserve">栋，建筑面积为 </w:t>
      </w:r>
      <w:r>
        <w:rPr>
          <w:rFonts w:ascii="Times New Roman" w:hAnsi="Times New Roman" w:eastAsia="Times New Roman" w:cs="Times New Roman"/>
          <w:spacing w:val="-4"/>
          <w:sz w:val="23"/>
          <w:szCs w:val="23"/>
        </w:rPr>
        <w:t>2</w:t>
      </w:r>
      <w:r>
        <w:rPr>
          <w:rFonts w:ascii="Times New Roman" w:hAnsi="Times New Roman" w:eastAsia="Times New Roman" w:cs="Times New Roman"/>
          <w:spacing w:val="-2"/>
          <w:sz w:val="23"/>
          <w:szCs w:val="23"/>
        </w:rPr>
        <w:t>00m</w:t>
      </w:r>
      <w:r>
        <w:rPr>
          <w:rFonts w:ascii="Times New Roman" w:hAnsi="Times New Roman" w:eastAsia="Times New Roman" w:cs="Times New Roman"/>
          <w:spacing w:val="-2"/>
          <w:position w:val="8"/>
          <w:sz w:val="15"/>
          <w:szCs w:val="15"/>
        </w:rPr>
        <w:t>2</w:t>
      </w:r>
      <w:r>
        <w:rPr>
          <w:rFonts w:ascii="宋体" w:hAnsi="宋体" w:eastAsia="宋体" w:cs="宋体"/>
          <w:spacing w:val="-2"/>
          <w:sz w:val="23"/>
          <w:szCs w:val="23"/>
        </w:rPr>
        <w:t xml:space="preserve">；原料库 </w:t>
      </w:r>
      <w:r>
        <w:rPr>
          <w:rFonts w:ascii="Times New Roman" w:hAnsi="Times New Roman" w:eastAsia="Times New Roman" w:cs="Times New Roman"/>
          <w:spacing w:val="-2"/>
          <w:sz w:val="23"/>
          <w:szCs w:val="23"/>
        </w:rPr>
        <w:t xml:space="preserve">1 </w:t>
      </w:r>
      <w:r>
        <w:rPr>
          <w:rFonts w:ascii="宋体" w:hAnsi="宋体" w:eastAsia="宋体" w:cs="宋体"/>
          <w:spacing w:val="-2"/>
          <w:sz w:val="23"/>
          <w:szCs w:val="23"/>
        </w:rPr>
        <w:t xml:space="preserve">栋，建筑面积为 </w:t>
      </w:r>
      <w:r>
        <w:rPr>
          <w:rFonts w:ascii="Times New Roman" w:hAnsi="Times New Roman" w:eastAsia="Times New Roman" w:cs="Times New Roman"/>
          <w:spacing w:val="-2"/>
          <w:sz w:val="23"/>
          <w:szCs w:val="23"/>
        </w:rPr>
        <w:t>200m</w:t>
      </w:r>
      <w:r>
        <w:rPr>
          <w:rFonts w:ascii="Times New Roman" w:hAnsi="Times New Roman" w:eastAsia="Times New Roman" w:cs="Times New Roman"/>
          <w:spacing w:val="-2"/>
          <w:position w:val="8"/>
          <w:sz w:val="15"/>
          <w:szCs w:val="15"/>
        </w:rPr>
        <w:t>2</w:t>
      </w:r>
      <w:r>
        <w:rPr>
          <w:rFonts w:ascii="宋体" w:hAnsi="宋体" w:eastAsia="宋体" w:cs="宋体"/>
          <w:spacing w:val="-2"/>
          <w:sz w:val="23"/>
          <w:szCs w:val="23"/>
        </w:rPr>
        <w:t xml:space="preserve">；办公室 </w:t>
      </w:r>
      <w:r>
        <w:rPr>
          <w:rFonts w:ascii="Times New Roman" w:hAnsi="Times New Roman" w:eastAsia="Times New Roman" w:cs="Times New Roman"/>
          <w:spacing w:val="-2"/>
          <w:sz w:val="23"/>
          <w:szCs w:val="23"/>
        </w:rPr>
        <w:t xml:space="preserve">1 </w:t>
      </w:r>
      <w:r>
        <w:rPr>
          <w:rFonts w:ascii="宋体" w:hAnsi="宋体" w:eastAsia="宋体" w:cs="宋体"/>
          <w:spacing w:val="-2"/>
          <w:sz w:val="23"/>
          <w:szCs w:val="23"/>
        </w:rPr>
        <w:t>栋，</w:t>
      </w:r>
      <w:r>
        <w:rPr>
          <w:rFonts w:ascii="宋体" w:hAnsi="宋体" w:eastAsia="宋体" w:cs="宋体"/>
          <w:sz w:val="23"/>
          <w:szCs w:val="23"/>
        </w:rPr>
        <w:t xml:space="preserve"> </w:t>
      </w:r>
      <w:r>
        <w:rPr>
          <w:rFonts w:ascii="宋体" w:hAnsi="宋体" w:eastAsia="宋体" w:cs="宋体"/>
          <w:spacing w:val="-1"/>
          <w:sz w:val="23"/>
          <w:szCs w:val="23"/>
        </w:rPr>
        <w:t>建筑面积为</w:t>
      </w:r>
      <w:r>
        <w:rPr>
          <w:rFonts w:ascii="宋体" w:hAnsi="宋体" w:eastAsia="宋体" w:cs="宋体"/>
          <w:sz w:val="23"/>
          <w:szCs w:val="23"/>
        </w:rPr>
        <w:t xml:space="preserve"> </w:t>
      </w:r>
      <w:r>
        <w:rPr>
          <w:rFonts w:ascii="Times New Roman" w:hAnsi="Times New Roman" w:eastAsia="Times New Roman" w:cs="Times New Roman"/>
          <w:sz w:val="23"/>
          <w:szCs w:val="23"/>
        </w:rPr>
        <w:t>245m</w:t>
      </w:r>
      <w:r>
        <w:rPr>
          <w:rFonts w:ascii="Times New Roman" w:hAnsi="Times New Roman" w:eastAsia="Times New Roman" w:cs="Times New Roman"/>
          <w:position w:val="8"/>
          <w:sz w:val="15"/>
          <w:szCs w:val="15"/>
        </w:rPr>
        <w:t xml:space="preserve">2 </w:t>
      </w:r>
      <w:r>
        <w:rPr>
          <w:rFonts w:ascii="宋体" w:hAnsi="宋体" w:eastAsia="宋体" w:cs="宋体"/>
          <w:sz w:val="23"/>
          <w:szCs w:val="23"/>
        </w:rPr>
        <w:t xml:space="preserve">；员工休息室 </w:t>
      </w:r>
      <w:r>
        <w:rPr>
          <w:rFonts w:ascii="Times New Roman" w:hAnsi="Times New Roman" w:eastAsia="Times New Roman" w:cs="Times New Roman"/>
          <w:sz w:val="23"/>
          <w:szCs w:val="23"/>
        </w:rPr>
        <w:t xml:space="preserve">2 </w:t>
      </w:r>
      <w:r>
        <w:rPr>
          <w:rFonts w:ascii="宋体" w:hAnsi="宋体" w:eastAsia="宋体" w:cs="宋体"/>
          <w:sz w:val="23"/>
          <w:szCs w:val="23"/>
        </w:rPr>
        <w:t xml:space="preserve">栋，其中 </w:t>
      </w:r>
      <w:r>
        <w:rPr>
          <w:rFonts w:ascii="Times New Roman" w:hAnsi="Times New Roman" w:eastAsia="Times New Roman" w:cs="Times New Roman"/>
          <w:sz w:val="23"/>
          <w:szCs w:val="23"/>
        </w:rPr>
        <w:t>1#</w:t>
      </w:r>
      <w:r>
        <w:rPr>
          <w:rFonts w:ascii="宋体" w:hAnsi="宋体" w:eastAsia="宋体" w:cs="宋体"/>
          <w:sz w:val="23"/>
          <w:szCs w:val="23"/>
        </w:rPr>
        <w:t xml:space="preserve">员工休息室建筑面积为 </w:t>
      </w:r>
      <w:r>
        <w:rPr>
          <w:rFonts w:ascii="Times New Roman" w:hAnsi="Times New Roman" w:eastAsia="Times New Roman" w:cs="Times New Roman"/>
          <w:sz w:val="23"/>
          <w:szCs w:val="23"/>
        </w:rPr>
        <w:t>150m</w:t>
      </w:r>
      <w:r>
        <w:rPr>
          <w:rFonts w:ascii="Times New Roman" w:hAnsi="Times New Roman" w:eastAsia="Times New Roman" w:cs="Times New Roman"/>
          <w:position w:val="8"/>
          <w:sz w:val="15"/>
          <w:szCs w:val="15"/>
        </w:rPr>
        <w:t>2</w:t>
      </w:r>
      <w:r>
        <w:rPr>
          <w:rFonts w:ascii="宋体" w:hAnsi="宋体" w:eastAsia="宋体" w:cs="宋体"/>
          <w:sz w:val="23"/>
          <w:szCs w:val="23"/>
        </w:rPr>
        <w:t>，</w:t>
      </w:r>
      <w:r>
        <w:rPr>
          <w:rFonts w:ascii="Times New Roman" w:hAnsi="Times New Roman" w:eastAsia="Times New Roman" w:cs="Times New Roman"/>
          <w:sz w:val="23"/>
          <w:szCs w:val="23"/>
        </w:rPr>
        <w:t xml:space="preserve">2# </w:t>
      </w:r>
      <w:r>
        <w:rPr>
          <w:rFonts w:ascii="宋体" w:hAnsi="宋体" w:eastAsia="宋体" w:cs="宋体"/>
          <w:spacing w:val="8"/>
          <w:sz w:val="23"/>
          <w:szCs w:val="23"/>
        </w:rPr>
        <w:t>员工休息</w:t>
      </w:r>
      <w:r>
        <w:rPr>
          <w:rFonts w:ascii="宋体" w:hAnsi="宋体" w:eastAsia="宋体" w:cs="宋体"/>
          <w:spacing w:val="6"/>
          <w:sz w:val="23"/>
          <w:szCs w:val="23"/>
        </w:rPr>
        <w:t>室</w:t>
      </w:r>
      <w:r>
        <w:rPr>
          <w:rFonts w:ascii="宋体" w:hAnsi="宋体" w:eastAsia="宋体" w:cs="宋体"/>
          <w:spacing w:val="4"/>
          <w:sz w:val="23"/>
          <w:szCs w:val="23"/>
        </w:rPr>
        <w:t xml:space="preserve">建筑面积为 </w:t>
      </w:r>
      <w:r>
        <w:rPr>
          <w:rFonts w:ascii="Times New Roman" w:hAnsi="Times New Roman" w:eastAsia="Times New Roman" w:cs="Times New Roman"/>
          <w:spacing w:val="4"/>
          <w:sz w:val="23"/>
          <w:szCs w:val="23"/>
        </w:rPr>
        <w:t>175</w:t>
      </w:r>
      <w:r>
        <w:rPr>
          <w:rFonts w:ascii="Times New Roman" w:hAnsi="Times New Roman" w:eastAsia="Times New Roman" w:cs="Times New Roman"/>
          <w:sz w:val="23"/>
          <w:szCs w:val="23"/>
        </w:rPr>
        <w:t>m</w:t>
      </w:r>
      <w:r>
        <w:rPr>
          <w:rFonts w:ascii="Times New Roman" w:hAnsi="Times New Roman" w:eastAsia="Times New Roman" w:cs="Times New Roman"/>
          <w:spacing w:val="4"/>
          <w:position w:val="8"/>
          <w:sz w:val="15"/>
          <w:szCs w:val="15"/>
        </w:rPr>
        <w:t xml:space="preserve">2 </w:t>
      </w:r>
      <w:r>
        <w:rPr>
          <w:rFonts w:ascii="宋体" w:hAnsi="宋体" w:eastAsia="宋体" w:cs="宋体"/>
          <w:spacing w:val="4"/>
          <w:sz w:val="23"/>
          <w:szCs w:val="23"/>
        </w:rPr>
        <w:t xml:space="preserve">；备品备件库 </w:t>
      </w:r>
      <w:r>
        <w:rPr>
          <w:rFonts w:ascii="Times New Roman" w:hAnsi="Times New Roman" w:eastAsia="Times New Roman" w:cs="Times New Roman"/>
          <w:spacing w:val="4"/>
          <w:sz w:val="23"/>
          <w:szCs w:val="23"/>
        </w:rPr>
        <w:t xml:space="preserve">1 </w:t>
      </w:r>
      <w:r>
        <w:rPr>
          <w:rFonts w:ascii="宋体" w:hAnsi="宋体" w:eastAsia="宋体" w:cs="宋体"/>
          <w:spacing w:val="4"/>
          <w:sz w:val="23"/>
          <w:szCs w:val="23"/>
        </w:rPr>
        <w:t xml:space="preserve">栋，建筑面积为 </w:t>
      </w:r>
      <w:r>
        <w:rPr>
          <w:rFonts w:ascii="Times New Roman" w:hAnsi="Times New Roman" w:eastAsia="Times New Roman" w:cs="Times New Roman"/>
          <w:spacing w:val="4"/>
          <w:sz w:val="23"/>
          <w:szCs w:val="23"/>
        </w:rPr>
        <w:t>30</w:t>
      </w:r>
      <w:r>
        <w:rPr>
          <w:rFonts w:ascii="Times New Roman" w:hAnsi="Times New Roman" w:eastAsia="Times New Roman" w:cs="Times New Roman"/>
          <w:sz w:val="23"/>
          <w:szCs w:val="23"/>
        </w:rPr>
        <w:t>m</w:t>
      </w:r>
      <w:r>
        <w:rPr>
          <w:rFonts w:ascii="Times New Roman" w:hAnsi="Times New Roman" w:eastAsia="Times New Roman" w:cs="Times New Roman"/>
          <w:spacing w:val="4"/>
          <w:position w:val="8"/>
          <w:sz w:val="15"/>
          <w:szCs w:val="15"/>
        </w:rPr>
        <w:t xml:space="preserve">2 </w:t>
      </w:r>
      <w:r>
        <w:rPr>
          <w:rFonts w:ascii="宋体" w:hAnsi="宋体" w:eastAsia="宋体" w:cs="宋体"/>
          <w:spacing w:val="4"/>
          <w:sz w:val="23"/>
          <w:szCs w:val="23"/>
        </w:rPr>
        <w:t>。该项目共</w:t>
      </w:r>
      <w:r>
        <w:rPr>
          <w:rFonts w:ascii="宋体" w:hAnsi="宋体" w:eastAsia="宋体" w:cs="宋体"/>
          <w:sz w:val="23"/>
          <w:szCs w:val="23"/>
        </w:rPr>
        <w:t xml:space="preserve"> </w:t>
      </w:r>
      <w:r>
        <w:rPr>
          <w:rFonts w:ascii="宋体" w:hAnsi="宋体" w:eastAsia="宋体" w:cs="宋体"/>
          <w:spacing w:val="16"/>
          <w:sz w:val="23"/>
          <w:szCs w:val="23"/>
        </w:rPr>
        <w:t>计</w:t>
      </w:r>
      <w:r>
        <w:rPr>
          <w:rFonts w:ascii="宋体" w:hAnsi="宋体" w:eastAsia="宋体" w:cs="宋体"/>
          <w:spacing w:val="12"/>
          <w:sz w:val="23"/>
          <w:szCs w:val="23"/>
        </w:rPr>
        <w:t xml:space="preserve"> </w:t>
      </w:r>
      <w:r>
        <w:rPr>
          <w:rFonts w:ascii="Times New Roman" w:hAnsi="Times New Roman" w:eastAsia="Times New Roman" w:cs="Times New Roman"/>
          <w:spacing w:val="8"/>
          <w:sz w:val="23"/>
          <w:szCs w:val="23"/>
        </w:rPr>
        <w:t xml:space="preserve">10 </w:t>
      </w:r>
      <w:r>
        <w:rPr>
          <w:rFonts w:ascii="宋体" w:hAnsi="宋体" w:eastAsia="宋体" w:cs="宋体"/>
          <w:spacing w:val="8"/>
          <w:sz w:val="23"/>
          <w:szCs w:val="23"/>
        </w:rPr>
        <w:t>条废旧塑料再生颗粒生产线，均布置在生产厂房内，生产厂房北侧即为建</w:t>
      </w:r>
      <w:r>
        <w:rPr>
          <w:rFonts w:ascii="宋体" w:hAnsi="宋体" w:eastAsia="宋体" w:cs="宋体"/>
          <w:sz w:val="23"/>
          <w:szCs w:val="23"/>
        </w:rPr>
        <w:t xml:space="preserve"> </w:t>
      </w:r>
      <w:r>
        <w:rPr>
          <w:rFonts w:ascii="宋体" w:hAnsi="宋体" w:eastAsia="宋体" w:cs="宋体"/>
          <w:spacing w:val="6"/>
          <w:sz w:val="23"/>
          <w:szCs w:val="23"/>
        </w:rPr>
        <w:t xml:space="preserve">筑面积 </w:t>
      </w:r>
      <w:r>
        <w:rPr>
          <w:rFonts w:ascii="Times New Roman" w:hAnsi="Times New Roman" w:eastAsia="Times New Roman" w:cs="Times New Roman"/>
          <w:spacing w:val="6"/>
          <w:sz w:val="23"/>
          <w:szCs w:val="23"/>
        </w:rPr>
        <w:t>200</w:t>
      </w:r>
      <w:r>
        <w:rPr>
          <w:rFonts w:ascii="Times New Roman" w:hAnsi="Times New Roman" w:eastAsia="Times New Roman" w:cs="Times New Roman"/>
          <w:sz w:val="23"/>
          <w:szCs w:val="23"/>
        </w:rPr>
        <w:t>m</w:t>
      </w:r>
      <w:r>
        <w:rPr>
          <w:rFonts w:ascii="Times New Roman" w:hAnsi="Times New Roman" w:eastAsia="Times New Roman" w:cs="Times New Roman"/>
          <w:spacing w:val="6"/>
          <w:position w:val="8"/>
          <w:sz w:val="15"/>
          <w:szCs w:val="15"/>
        </w:rPr>
        <w:t xml:space="preserve">2 </w:t>
      </w:r>
      <w:r>
        <w:rPr>
          <w:rFonts w:ascii="宋体" w:hAnsi="宋体" w:eastAsia="宋体" w:cs="宋体"/>
          <w:spacing w:val="6"/>
          <w:sz w:val="23"/>
          <w:szCs w:val="23"/>
        </w:rPr>
        <w:t xml:space="preserve">的成品库，用于存放 </w:t>
      </w:r>
      <w:r>
        <w:rPr>
          <w:rFonts w:ascii="Times New Roman" w:hAnsi="Times New Roman" w:eastAsia="Times New Roman" w:cs="Times New Roman"/>
          <w:spacing w:val="6"/>
          <w:sz w:val="23"/>
          <w:szCs w:val="23"/>
        </w:rPr>
        <w:t xml:space="preserve">10 </w:t>
      </w:r>
      <w:r>
        <w:rPr>
          <w:rFonts w:ascii="宋体" w:hAnsi="宋体" w:eastAsia="宋体" w:cs="宋体"/>
          <w:spacing w:val="6"/>
          <w:sz w:val="23"/>
          <w:szCs w:val="23"/>
        </w:rPr>
        <w:t>条生产线生产的成品废旧塑料再生颗粒</w:t>
      </w:r>
      <w:r>
        <w:rPr>
          <w:rFonts w:ascii="宋体" w:hAnsi="宋体" w:eastAsia="宋体" w:cs="宋体"/>
          <w:spacing w:val="1"/>
          <w:sz w:val="23"/>
          <w:szCs w:val="23"/>
        </w:rPr>
        <w:t>；</w:t>
      </w:r>
      <w:r>
        <w:rPr>
          <w:rFonts w:ascii="宋体" w:hAnsi="宋体" w:eastAsia="宋体" w:cs="宋体"/>
          <w:sz w:val="23"/>
          <w:szCs w:val="23"/>
        </w:rPr>
        <w:t xml:space="preserve"> </w:t>
      </w:r>
      <w:r>
        <w:rPr>
          <w:rFonts w:ascii="宋体" w:hAnsi="宋体" w:eastAsia="宋体" w:cs="宋体"/>
          <w:spacing w:val="12"/>
          <w:sz w:val="23"/>
          <w:szCs w:val="23"/>
        </w:rPr>
        <w:t>生</w:t>
      </w:r>
      <w:r>
        <w:rPr>
          <w:rFonts w:ascii="宋体" w:hAnsi="宋体" w:eastAsia="宋体" w:cs="宋体"/>
          <w:spacing w:val="7"/>
          <w:sz w:val="23"/>
          <w:szCs w:val="23"/>
        </w:rPr>
        <w:t>产</w:t>
      </w:r>
      <w:r>
        <w:rPr>
          <w:rFonts w:ascii="宋体" w:hAnsi="宋体" w:eastAsia="宋体" w:cs="宋体"/>
          <w:spacing w:val="6"/>
          <w:sz w:val="23"/>
          <w:szCs w:val="23"/>
        </w:rPr>
        <w:t xml:space="preserve">厂房东北侧即为建筑面积 </w:t>
      </w:r>
      <w:r>
        <w:rPr>
          <w:rFonts w:ascii="Times New Roman" w:hAnsi="Times New Roman" w:eastAsia="Times New Roman" w:cs="Times New Roman"/>
          <w:spacing w:val="6"/>
          <w:sz w:val="23"/>
          <w:szCs w:val="23"/>
        </w:rPr>
        <w:t>200</w:t>
      </w:r>
      <w:r>
        <w:rPr>
          <w:rFonts w:ascii="Times New Roman" w:hAnsi="Times New Roman" w:eastAsia="Times New Roman" w:cs="Times New Roman"/>
          <w:sz w:val="23"/>
          <w:szCs w:val="23"/>
        </w:rPr>
        <w:t>m</w:t>
      </w:r>
      <w:r>
        <w:rPr>
          <w:rFonts w:ascii="Times New Roman" w:hAnsi="Times New Roman" w:eastAsia="Times New Roman" w:cs="Times New Roman"/>
          <w:spacing w:val="6"/>
          <w:position w:val="8"/>
          <w:sz w:val="15"/>
          <w:szCs w:val="15"/>
        </w:rPr>
        <w:t xml:space="preserve">2 </w:t>
      </w:r>
      <w:r>
        <w:rPr>
          <w:rFonts w:ascii="宋体" w:hAnsi="宋体" w:eastAsia="宋体" w:cs="宋体"/>
          <w:spacing w:val="6"/>
          <w:sz w:val="23"/>
          <w:szCs w:val="23"/>
        </w:rPr>
        <w:t xml:space="preserve">的原料库，用于存储 </w:t>
      </w:r>
      <w:r>
        <w:rPr>
          <w:rFonts w:ascii="Times New Roman" w:hAnsi="Times New Roman" w:eastAsia="Times New Roman" w:cs="Times New Roman"/>
          <w:spacing w:val="6"/>
          <w:sz w:val="23"/>
          <w:szCs w:val="23"/>
        </w:rPr>
        <w:t xml:space="preserve">10 </w:t>
      </w:r>
      <w:r>
        <w:rPr>
          <w:rFonts w:ascii="宋体" w:hAnsi="宋体" w:eastAsia="宋体" w:cs="宋体"/>
          <w:spacing w:val="6"/>
          <w:sz w:val="23"/>
          <w:szCs w:val="23"/>
        </w:rPr>
        <w:t>条生产线所用原料</w:t>
      </w:r>
      <w:r>
        <w:rPr>
          <w:rFonts w:ascii="宋体" w:hAnsi="宋体" w:eastAsia="宋体" w:cs="宋体"/>
          <w:sz w:val="23"/>
          <w:szCs w:val="23"/>
        </w:rPr>
        <w:t xml:space="preserve"> </w:t>
      </w:r>
      <w:r>
        <w:rPr>
          <w:rFonts w:ascii="宋体" w:hAnsi="宋体" w:eastAsia="宋体" w:cs="宋体"/>
          <w:sz w:val="23"/>
          <w:szCs w:val="23"/>
        </w:rPr>
        <w:tab/>
      </w:r>
      <w:r>
        <w:rPr>
          <w:rFonts w:ascii="宋体" w:hAnsi="宋体" w:eastAsia="宋体" w:cs="宋体"/>
          <w:spacing w:val="10"/>
          <w:sz w:val="23"/>
          <w:szCs w:val="23"/>
        </w:rPr>
        <w:t>(废旧塑料编</w:t>
      </w:r>
      <w:r>
        <w:rPr>
          <w:rFonts w:ascii="宋体" w:hAnsi="宋体" w:eastAsia="宋体" w:cs="宋体"/>
          <w:spacing w:val="6"/>
          <w:sz w:val="23"/>
          <w:szCs w:val="23"/>
        </w:rPr>
        <w:t>织</w:t>
      </w:r>
      <w:r>
        <w:rPr>
          <w:rFonts w:ascii="宋体" w:hAnsi="宋体" w:eastAsia="宋体" w:cs="宋体"/>
          <w:spacing w:val="5"/>
          <w:sz w:val="23"/>
          <w:szCs w:val="23"/>
        </w:rPr>
        <w:t xml:space="preserve">袋) ；生产厂房西侧设有 </w:t>
      </w:r>
      <w:r>
        <w:rPr>
          <w:rFonts w:ascii="Times New Roman" w:hAnsi="Times New Roman" w:eastAsia="Times New Roman" w:cs="Times New Roman"/>
          <w:spacing w:val="5"/>
          <w:sz w:val="23"/>
          <w:szCs w:val="23"/>
        </w:rPr>
        <w:t xml:space="preserve">1 </w:t>
      </w:r>
      <w:r>
        <w:rPr>
          <w:rFonts w:ascii="宋体" w:hAnsi="宋体" w:eastAsia="宋体" w:cs="宋体"/>
          <w:spacing w:val="5"/>
          <w:sz w:val="23"/>
          <w:szCs w:val="23"/>
        </w:rPr>
        <w:t xml:space="preserve">栋 </w:t>
      </w:r>
      <w:r>
        <w:rPr>
          <w:rFonts w:ascii="Times New Roman" w:hAnsi="Times New Roman" w:eastAsia="Times New Roman" w:cs="Times New Roman"/>
          <w:spacing w:val="5"/>
          <w:sz w:val="23"/>
          <w:szCs w:val="23"/>
        </w:rPr>
        <w:t>1#</w:t>
      </w:r>
      <w:r>
        <w:rPr>
          <w:rFonts w:ascii="宋体" w:hAnsi="宋体" w:eastAsia="宋体" w:cs="宋体"/>
          <w:spacing w:val="5"/>
          <w:sz w:val="23"/>
          <w:szCs w:val="23"/>
        </w:rPr>
        <w:t xml:space="preserve">员工休息室，西北侧设有 </w:t>
      </w:r>
      <w:r>
        <w:rPr>
          <w:rFonts w:ascii="Times New Roman" w:hAnsi="Times New Roman" w:eastAsia="Times New Roman" w:cs="Times New Roman"/>
          <w:spacing w:val="5"/>
          <w:sz w:val="23"/>
          <w:szCs w:val="23"/>
        </w:rPr>
        <w:t xml:space="preserve">1 </w:t>
      </w:r>
      <w:r>
        <w:rPr>
          <w:rFonts w:ascii="宋体" w:hAnsi="宋体" w:eastAsia="宋体" w:cs="宋体"/>
          <w:spacing w:val="5"/>
          <w:sz w:val="23"/>
          <w:szCs w:val="23"/>
        </w:rPr>
        <w:t>栋</w:t>
      </w:r>
      <w:r>
        <w:rPr>
          <w:rFonts w:ascii="宋体" w:hAnsi="宋体" w:eastAsia="宋体" w:cs="宋体"/>
          <w:sz w:val="23"/>
          <w:szCs w:val="23"/>
        </w:rPr>
        <w:t xml:space="preserve"> </w:t>
      </w:r>
      <w:r>
        <w:rPr>
          <w:rFonts w:ascii="Times New Roman" w:hAnsi="Times New Roman" w:eastAsia="Times New Roman" w:cs="Times New Roman"/>
          <w:spacing w:val="2"/>
          <w:sz w:val="23"/>
          <w:szCs w:val="23"/>
        </w:rPr>
        <w:t>2#</w:t>
      </w:r>
      <w:r>
        <w:rPr>
          <w:rFonts w:ascii="宋体" w:hAnsi="宋体" w:eastAsia="宋体" w:cs="宋体"/>
          <w:spacing w:val="2"/>
          <w:sz w:val="23"/>
          <w:szCs w:val="23"/>
        </w:rPr>
        <w:t>休息室</w:t>
      </w:r>
      <w:r>
        <w:rPr>
          <w:rFonts w:ascii="宋体" w:hAnsi="宋体" w:eastAsia="宋体" w:cs="宋体"/>
          <w:spacing w:val="1"/>
          <w:sz w:val="23"/>
          <w:szCs w:val="23"/>
        </w:rPr>
        <w:t xml:space="preserve">以及 </w:t>
      </w:r>
      <w:r>
        <w:rPr>
          <w:rFonts w:ascii="Times New Roman" w:hAnsi="Times New Roman" w:eastAsia="Times New Roman" w:cs="Times New Roman"/>
          <w:spacing w:val="1"/>
          <w:sz w:val="23"/>
          <w:szCs w:val="23"/>
        </w:rPr>
        <w:t xml:space="preserve">1 </w:t>
      </w:r>
      <w:r>
        <w:rPr>
          <w:rFonts w:ascii="宋体" w:hAnsi="宋体" w:eastAsia="宋体" w:cs="宋体"/>
          <w:spacing w:val="1"/>
          <w:sz w:val="23"/>
          <w:szCs w:val="23"/>
        </w:rPr>
        <w:t>栋办公室。拟建项目厂区平面布置功能分区明确，工艺流程合理。</w:t>
      </w:r>
    </w:p>
    <w:p w14:paraId="1015FED1">
      <w:pPr>
        <w:spacing w:before="124" w:line="384" w:lineRule="auto"/>
        <w:ind w:left="24" w:right="80" w:firstLine="477"/>
        <w:rPr>
          <w:rFonts w:ascii="宋体" w:hAnsi="宋体" w:eastAsia="宋体" w:cs="宋体"/>
          <w:sz w:val="23"/>
          <w:szCs w:val="23"/>
        </w:rPr>
      </w:pPr>
      <w:r>
        <w:rPr>
          <w:rFonts w:ascii="宋体" w:hAnsi="宋体" w:eastAsia="宋体" w:cs="宋体"/>
          <w:spacing w:val="7"/>
          <w:sz w:val="23"/>
          <w:szCs w:val="23"/>
        </w:rPr>
        <w:t>②该项目生产厂房位于厂区东侧中部，生产厂房东北侧即为原料库，北侧</w:t>
      </w:r>
      <w:r>
        <w:rPr>
          <w:rFonts w:ascii="宋体" w:hAnsi="宋体" w:eastAsia="宋体" w:cs="宋体"/>
          <w:spacing w:val="4"/>
          <w:sz w:val="23"/>
          <w:szCs w:val="23"/>
        </w:rPr>
        <w:t>即</w:t>
      </w:r>
      <w:r>
        <w:rPr>
          <w:rFonts w:ascii="宋体" w:hAnsi="宋体" w:eastAsia="宋体" w:cs="宋体"/>
          <w:sz w:val="23"/>
          <w:szCs w:val="23"/>
        </w:rPr>
        <w:t xml:space="preserve"> </w:t>
      </w:r>
      <w:r>
        <w:rPr>
          <w:rFonts w:ascii="宋体" w:hAnsi="宋体" w:eastAsia="宋体" w:cs="宋体"/>
          <w:spacing w:val="12"/>
          <w:sz w:val="23"/>
          <w:szCs w:val="23"/>
        </w:rPr>
        <w:t>为成</w:t>
      </w:r>
      <w:r>
        <w:rPr>
          <w:rFonts w:ascii="宋体" w:hAnsi="宋体" w:eastAsia="宋体" w:cs="宋体"/>
          <w:spacing w:val="9"/>
          <w:sz w:val="23"/>
          <w:szCs w:val="23"/>
        </w:rPr>
        <w:t>品</w:t>
      </w:r>
      <w:r>
        <w:rPr>
          <w:rFonts w:ascii="宋体" w:hAnsi="宋体" w:eastAsia="宋体" w:cs="宋体"/>
          <w:spacing w:val="6"/>
          <w:sz w:val="23"/>
          <w:szCs w:val="23"/>
        </w:rPr>
        <w:t xml:space="preserve">库，厂区西南侧为 </w:t>
      </w:r>
      <w:r>
        <w:rPr>
          <w:rFonts w:ascii="Times New Roman" w:hAnsi="Times New Roman" w:eastAsia="Times New Roman" w:cs="Times New Roman"/>
          <w:spacing w:val="6"/>
          <w:sz w:val="23"/>
          <w:szCs w:val="23"/>
        </w:rPr>
        <w:t>1#</w:t>
      </w:r>
      <w:r>
        <w:rPr>
          <w:rFonts w:ascii="宋体" w:hAnsi="宋体" w:eastAsia="宋体" w:cs="宋体"/>
          <w:spacing w:val="6"/>
          <w:sz w:val="23"/>
          <w:szCs w:val="23"/>
        </w:rPr>
        <w:t xml:space="preserve">员工休息室，西北侧为 </w:t>
      </w:r>
      <w:r>
        <w:rPr>
          <w:rFonts w:ascii="Times New Roman" w:hAnsi="Times New Roman" w:eastAsia="Times New Roman" w:cs="Times New Roman"/>
          <w:spacing w:val="6"/>
          <w:sz w:val="23"/>
          <w:szCs w:val="23"/>
        </w:rPr>
        <w:t>2#</w:t>
      </w:r>
      <w:r>
        <w:rPr>
          <w:rFonts w:ascii="宋体" w:hAnsi="宋体" w:eastAsia="宋体" w:cs="宋体"/>
          <w:spacing w:val="6"/>
          <w:sz w:val="23"/>
          <w:szCs w:val="23"/>
        </w:rPr>
        <w:t>员工休息室、办公室，员</w:t>
      </w:r>
      <w:r>
        <w:rPr>
          <w:rFonts w:ascii="宋体" w:hAnsi="宋体" w:eastAsia="宋体" w:cs="宋体"/>
          <w:sz w:val="23"/>
          <w:szCs w:val="23"/>
        </w:rPr>
        <w:t xml:space="preserve"> </w:t>
      </w:r>
      <w:r>
        <w:rPr>
          <w:rFonts w:ascii="宋体" w:hAnsi="宋体" w:eastAsia="宋体" w:cs="宋体"/>
          <w:spacing w:val="8"/>
          <w:sz w:val="23"/>
          <w:szCs w:val="23"/>
        </w:rPr>
        <w:t>工</w:t>
      </w:r>
      <w:r>
        <w:rPr>
          <w:rFonts w:ascii="宋体" w:hAnsi="宋体" w:eastAsia="宋体" w:cs="宋体"/>
          <w:spacing w:val="7"/>
          <w:sz w:val="23"/>
          <w:szCs w:val="23"/>
        </w:rPr>
        <w:t>休息室、办公室与生产厂房之间仅隔厂区现状道路，距离较近，便于人员及物</w:t>
      </w:r>
      <w:r>
        <w:rPr>
          <w:rFonts w:ascii="宋体" w:hAnsi="宋体" w:eastAsia="宋体" w:cs="宋体"/>
          <w:sz w:val="23"/>
          <w:szCs w:val="23"/>
        </w:rPr>
        <w:t xml:space="preserve"> </w:t>
      </w:r>
      <w:r>
        <w:rPr>
          <w:rFonts w:ascii="宋体" w:hAnsi="宋体" w:eastAsia="宋体" w:cs="宋体"/>
          <w:spacing w:val="6"/>
          <w:sz w:val="23"/>
          <w:szCs w:val="23"/>
        </w:rPr>
        <w:t>质的管理</w:t>
      </w:r>
      <w:r>
        <w:rPr>
          <w:rFonts w:ascii="宋体" w:hAnsi="宋体" w:eastAsia="宋体" w:cs="宋体"/>
          <w:spacing w:val="5"/>
          <w:sz w:val="23"/>
          <w:szCs w:val="23"/>
        </w:rPr>
        <w:t>。</w:t>
      </w:r>
    </w:p>
    <w:p w14:paraId="3EC83DE9">
      <w:pPr>
        <w:spacing w:before="161" w:line="225" w:lineRule="auto"/>
        <w:ind w:left="501"/>
        <w:rPr>
          <w:rFonts w:ascii="宋体" w:hAnsi="宋体" w:eastAsia="宋体" w:cs="宋体"/>
          <w:sz w:val="23"/>
          <w:szCs w:val="23"/>
        </w:rPr>
      </w:pPr>
      <w:r>
        <w:rPr>
          <w:rFonts w:ascii="宋体" w:hAnsi="宋体" w:eastAsia="宋体" w:cs="宋体"/>
          <w:spacing w:val="18"/>
          <w:sz w:val="23"/>
          <w:szCs w:val="23"/>
        </w:rPr>
        <w:t>③</w:t>
      </w:r>
      <w:r>
        <w:rPr>
          <w:rFonts w:ascii="宋体" w:hAnsi="宋体" w:eastAsia="宋体" w:cs="宋体"/>
          <w:spacing w:val="13"/>
          <w:sz w:val="23"/>
          <w:szCs w:val="23"/>
        </w:rPr>
        <w:t>产</w:t>
      </w:r>
      <w:r>
        <w:rPr>
          <w:rFonts w:ascii="宋体" w:hAnsi="宋体" w:eastAsia="宋体" w:cs="宋体"/>
          <w:spacing w:val="9"/>
          <w:sz w:val="23"/>
          <w:szCs w:val="23"/>
        </w:rPr>
        <w:t>品存放区与生产区联系紧密，缩短了物料运输距离，节省了能源。</w:t>
      </w:r>
    </w:p>
    <w:p w14:paraId="2BC83F3E">
      <w:pPr>
        <w:spacing w:line="279" w:lineRule="auto"/>
        <w:rPr>
          <w:rFonts w:ascii="Arial"/>
          <w:sz w:val="21"/>
        </w:rPr>
      </w:pPr>
    </w:p>
    <w:p w14:paraId="2AB31680">
      <w:pPr>
        <w:spacing w:before="74" w:line="225" w:lineRule="auto"/>
        <w:ind w:left="501"/>
        <w:rPr>
          <w:rFonts w:ascii="宋体" w:hAnsi="宋体" w:eastAsia="宋体" w:cs="宋体"/>
          <w:sz w:val="23"/>
          <w:szCs w:val="23"/>
        </w:rPr>
      </w:pPr>
      <w:r>
        <w:rPr>
          <w:rFonts w:ascii="宋体" w:hAnsi="宋体" w:eastAsia="宋体" w:cs="宋体"/>
          <w:spacing w:val="36"/>
          <w:sz w:val="23"/>
          <w:szCs w:val="23"/>
        </w:rPr>
        <w:t>④</w:t>
      </w:r>
      <w:r>
        <w:rPr>
          <w:rFonts w:ascii="宋体" w:hAnsi="宋体" w:eastAsia="宋体" w:cs="宋体"/>
          <w:spacing w:val="19"/>
          <w:sz w:val="23"/>
          <w:szCs w:val="23"/>
        </w:rPr>
        <w:t>该</w:t>
      </w:r>
      <w:r>
        <w:rPr>
          <w:rFonts w:ascii="宋体" w:hAnsi="宋体" w:eastAsia="宋体" w:cs="宋体"/>
          <w:spacing w:val="18"/>
          <w:sz w:val="23"/>
          <w:szCs w:val="23"/>
        </w:rPr>
        <w:t xml:space="preserve">项 目主要构筑物包括 </w:t>
      </w:r>
      <w:r>
        <w:rPr>
          <w:rFonts w:ascii="Times New Roman" w:hAnsi="Times New Roman" w:eastAsia="Times New Roman" w:cs="Times New Roman"/>
          <w:spacing w:val="18"/>
          <w:sz w:val="23"/>
          <w:szCs w:val="23"/>
        </w:rPr>
        <w:t xml:space="preserve">1 </w:t>
      </w:r>
      <w:r>
        <w:rPr>
          <w:rFonts w:ascii="宋体" w:hAnsi="宋体" w:eastAsia="宋体" w:cs="宋体"/>
          <w:spacing w:val="18"/>
          <w:sz w:val="23"/>
          <w:szCs w:val="23"/>
        </w:rPr>
        <w:t>个用于处理该项 目生产废水的三级沉淀池</w:t>
      </w:r>
    </w:p>
    <w:p w14:paraId="0615A328">
      <w:pPr>
        <w:spacing w:before="200" w:line="393" w:lineRule="auto"/>
        <w:ind w:left="24" w:right="77" w:firstLine="10"/>
        <w:rPr>
          <w:rFonts w:ascii="宋体" w:hAnsi="宋体" w:eastAsia="宋体" w:cs="宋体"/>
          <w:sz w:val="23"/>
          <w:szCs w:val="23"/>
        </w:rPr>
      </w:pPr>
      <w:r>
        <w:rPr>
          <w:rFonts w:ascii="宋体" w:hAnsi="宋体" w:eastAsia="宋体" w:cs="宋体"/>
          <w:spacing w:val="20"/>
          <w:sz w:val="23"/>
          <w:szCs w:val="23"/>
        </w:rPr>
        <w:t>(</w:t>
      </w:r>
      <w:r>
        <w:rPr>
          <w:rFonts w:ascii="Times New Roman" w:hAnsi="Times New Roman" w:eastAsia="Times New Roman" w:cs="Times New Roman"/>
          <w:spacing w:val="12"/>
          <w:sz w:val="23"/>
          <w:szCs w:val="23"/>
        </w:rPr>
        <w:t>12</w:t>
      </w:r>
      <w:r>
        <w:rPr>
          <w:rFonts w:ascii="Times New Roman" w:hAnsi="Times New Roman" w:eastAsia="Times New Roman" w:cs="Times New Roman"/>
          <w:sz w:val="23"/>
          <w:szCs w:val="23"/>
        </w:rPr>
        <w:t>m</w:t>
      </w:r>
      <w:r>
        <w:rPr>
          <w:rFonts w:ascii="Times New Roman" w:hAnsi="Times New Roman" w:eastAsia="Times New Roman" w:cs="Times New Roman"/>
          <w:spacing w:val="12"/>
          <w:sz w:val="23"/>
          <w:szCs w:val="23"/>
        </w:rPr>
        <w:t>×6</w:t>
      </w:r>
      <w:r>
        <w:rPr>
          <w:rFonts w:ascii="Times New Roman" w:hAnsi="Times New Roman" w:eastAsia="Times New Roman" w:cs="Times New Roman"/>
          <w:sz w:val="23"/>
          <w:szCs w:val="23"/>
        </w:rPr>
        <w:t>m</w:t>
      </w:r>
      <w:r>
        <w:rPr>
          <w:rFonts w:ascii="Times New Roman" w:hAnsi="Times New Roman" w:eastAsia="Times New Roman" w:cs="Times New Roman"/>
          <w:spacing w:val="12"/>
          <w:sz w:val="23"/>
          <w:szCs w:val="23"/>
        </w:rPr>
        <w:t>×4.5</w:t>
      </w:r>
      <w:r>
        <w:rPr>
          <w:rFonts w:ascii="Times New Roman" w:hAnsi="Times New Roman" w:eastAsia="Times New Roman" w:cs="Times New Roman"/>
          <w:sz w:val="23"/>
          <w:szCs w:val="23"/>
        </w:rPr>
        <w:t>m</w:t>
      </w:r>
      <w:r>
        <w:rPr>
          <w:rFonts w:ascii="宋体" w:hAnsi="宋体" w:eastAsia="宋体" w:cs="宋体"/>
          <w:spacing w:val="12"/>
          <w:sz w:val="23"/>
          <w:szCs w:val="23"/>
        </w:rPr>
        <w:t xml:space="preserve">) ，同时配套设有 </w:t>
      </w:r>
      <w:r>
        <w:rPr>
          <w:rFonts w:ascii="Times New Roman" w:hAnsi="Times New Roman" w:eastAsia="Times New Roman" w:cs="Times New Roman"/>
          <w:spacing w:val="12"/>
          <w:sz w:val="23"/>
          <w:szCs w:val="23"/>
        </w:rPr>
        <w:t xml:space="preserve">1 </w:t>
      </w:r>
      <w:r>
        <w:rPr>
          <w:rFonts w:ascii="宋体" w:hAnsi="宋体" w:eastAsia="宋体" w:cs="宋体"/>
          <w:spacing w:val="12"/>
          <w:sz w:val="23"/>
          <w:szCs w:val="23"/>
        </w:rPr>
        <w:t>台一体化污水预处理设备，均位于生产厂</w:t>
      </w:r>
      <w:r>
        <w:rPr>
          <w:rFonts w:ascii="宋体" w:hAnsi="宋体" w:eastAsia="宋体" w:cs="宋体"/>
          <w:sz w:val="23"/>
          <w:szCs w:val="23"/>
        </w:rPr>
        <w:t xml:space="preserve"> </w:t>
      </w:r>
      <w:r>
        <w:rPr>
          <w:rFonts w:ascii="宋体" w:hAnsi="宋体" w:eastAsia="宋体" w:cs="宋体"/>
          <w:spacing w:val="14"/>
          <w:sz w:val="23"/>
          <w:szCs w:val="23"/>
        </w:rPr>
        <w:t>房</w:t>
      </w:r>
      <w:r>
        <w:rPr>
          <w:rFonts w:ascii="宋体" w:hAnsi="宋体" w:eastAsia="宋体" w:cs="宋体"/>
          <w:spacing w:val="9"/>
          <w:sz w:val="23"/>
          <w:szCs w:val="23"/>
        </w:rPr>
        <w:t>西南侧距离生产厂房较近，便于生产废水的处理及回用。</w:t>
      </w:r>
    </w:p>
    <w:p w14:paraId="7E88A045">
      <w:pPr>
        <w:spacing w:before="137" w:line="393" w:lineRule="auto"/>
        <w:ind w:left="24" w:right="77" w:firstLine="481"/>
        <w:rPr>
          <w:rFonts w:ascii="宋体" w:hAnsi="宋体" w:eastAsia="宋体" w:cs="宋体"/>
          <w:sz w:val="23"/>
          <w:szCs w:val="23"/>
        </w:rPr>
      </w:pPr>
      <w:r>
        <w:rPr>
          <w:rFonts w:ascii="宋体" w:hAnsi="宋体" w:eastAsia="宋体" w:cs="宋体"/>
          <w:spacing w:val="7"/>
          <w:sz w:val="23"/>
          <w:szCs w:val="23"/>
        </w:rPr>
        <w:t>综上所述，本工程厂区平面布置既考虑了厂区内生产、办公环境，因此，</w:t>
      </w:r>
      <w:r>
        <w:rPr>
          <w:rFonts w:ascii="宋体" w:hAnsi="宋体" w:eastAsia="宋体" w:cs="宋体"/>
          <w:spacing w:val="2"/>
          <w:sz w:val="23"/>
          <w:szCs w:val="23"/>
        </w:rPr>
        <w:t>从</w:t>
      </w:r>
      <w:r>
        <w:rPr>
          <w:rFonts w:ascii="宋体" w:hAnsi="宋体" w:eastAsia="宋体" w:cs="宋体"/>
          <w:sz w:val="23"/>
          <w:szCs w:val="23"/>
        </w:rPr>
        <w:t xml:space="preserve"> </w:t>
      </w:r>
      <w:r>
        <w:rPr>
          <w:rFonts w:ascii="宋体" w:hAnsi="宋体" w:eastAsia="宋体" w:cs="宋体"/>
          <w:spacing w:val="12"/>
          <w:sz w:val="23"/>
          <w:szCs w:val="23"/>
        </w:rPr>
        <w:t>方</w:t>
      </w:r>
      <w:r>
        <w:rPr>
          <w:rFonts w:ascii="宋体" w:hAnsi="宋体" w:eastAsia="宋体" w:cs="宋体"/>
          <w:spacing w:val="9"/>
          <w:sz w:val="23"/>
          <w:szCs w:val="23"/>
        </w:rPr>
        <w:t>便生产、安全管理、保护环境角度考虑，布局合理。</w:t>
      </w:r>
    </w:p>
    <w:p w14:paraId="0EE07500">
      <w:pPr>
        <w:spacing w:before="136" w:line="227" w:lineRule="auto"/>
        <w:ind w:left="507"/>
        <w:rPr>
          <w:rFonts w:ascii="宋体" w:hAnsi="宋体" w:eastAsia="宋体" w:cs="宋体"/>
          <w:sz w:val="23"/>
          <w:szCs w:val="23"/>
        </w:rPr>
      </w:pPr>
      <w:r>
        <w:rPr>
          <w:rFonts w:ascii="宋体" w:hAnsi="宋体" w:eastAsia="宋体" w:cs="宋体"/>
          <w:spacing w:val="5"/>
          <w:sz w:val="23"/>
          <w:szCs w:val="23"/>
        </w:rPr>
        <w:t xml:space="preserve">该项目建成后厂区平面布置情况见图 </w:t>
      </w:r>
      <w:r>
        <w:rPr>
          <w:rFonts w:ascii="Times New Roman" w:hAnsi="Times New Roman" w:eastAsia="Times New Roman" w:cs="Times New Roman"/>
          <w:spacing w:val="5"/>
          <w:sz w:val="23"/>
          <w:szCs w:val="23"/>
        </w:rPr>
        <w:t>1-2</w:t>
      </w:r>
      <w:r>
        <w:rPr>
          <w:rFonts w:ascii="宋体" w:hAnsi="宋体" w:eastAsia="宋体" w:cs="宋体"/>
          <w:spacing w:val="4"/>
          <w:sz w:val="23"/>
          <w:szCs w:val="23"/>
        </w:rPr>
        <w:t>。</w:t>
      </w:r>
    </w:p>
    <w:p w14:paraId="6A0C8FEE">
      <w:pPr>
        <w:spacing w:before="302" w:line="228" w:lineRule="auto"/>
        <w:ind w:left="33"/>
        <w:outlineLvl w:val="2"/>
        <w:rPr>
          <w:rFonts w:ascii="宋体" w:hAnsi="宋体" w:eastAsia="宋体" w:cs="宋体"/>
          <w:sz w:val="29"/>
          <w:szCs w:val="29"/>
        </w:rPr>
      </w:pPr>
      <w:r>
        <w:rPr>
          <w:rFonts w:ascii="Times New Roman" w:hAnsi="Times New Roman" w:eastAsia="Times New Roman" w:cs="Times New Roman"/>
          <w:b/>
          <w:bCs/>
          <w:spacing w:val="16"/>
          <w:sz w:val="29"/>
          <w:szCs w:val="29"/>
        </w:rPr>
        <w:t>1.</w:t>
      </w:r>
      <w:r>
        <w:rPr>
          <w:rFonts w:ascii="Times New Roman" w:hAnsi="Times New Roman" w:eastAsia="Times New Roman" w:cs="Times New Roman"/>
          <w:b/>
          <w:bCs/>
          <w:spacing w:val="14"/>
          <w:sz w:val="29"/>
          <w:szCs w:val="29"/>
        </w:rPr>
        <w:t>4</w:t>
      </w:r>
      <w:r>
        <w:rPr>
          <w:rFonts w:ascii="Times New Roman" w:hAnsi="Times New Roman" w:eastAsia="Times New Roman" w:cs="Times New Roman"/>
          <w:b/>
          <w:bCs/>
          <w:spacing w:val="8"/>
          <w:sz w:val="29"/>
          <w:szCs w:val="29"/>
        </w:rPr>
        <w:t>.7</w:t>
      </w:r>
      <w:r>
        <w:rPr>
          <w:rFonts w:ascii="Times New Roman" w:hAnsi="Times New Roman" w:eastAsia="Times New Roman" w:cs="Times New Roman"/>
          <w:spacing w:val="8"/>
          <w:sz w:val="29"/>
          <w:szCs w:val="29"/>
        </w:rPr>
        <w:t xml:space="preserve">  </w:t>
      </w:r>
      <w:r>
        <w:rPr>
          <w:rFonts w:ascii="宋体" w:hAnsi="宋体" w:eastAsia="宋体" w:cs="宋体"/>
          <w:spacing w:val="8"/>
          <w:sz w:val="29"/>
          <w:szCs w:val="29"/>
          <w14:textOutline w14:w="5448" w14:cap="sq" w14:cmpd="sng">
            <w14:solidFill>
              <w14:srgbClr w14:val="000000"/>
            </w14:solidFill>
            <w14:prstDash w14:val="solid"/>
            <w14:bevel/>
          </w14:textOutline>
        </w:rPr>
        <w:t>与《辽宁省打赢蓝天保卫战三年行动方案》相符性分析</w:t>
      </w:r>
    </w:p>
    <w:p w14:paraId="41BFF391">
      <w:pPr>
        <w:spacing w:line="252" w:lineRule="auto"/>
        <w:rPr>
          <w:rFonts w:ascii="Arial"/>
          <w:sz w:val="21"/>
        </w:rPr>
      </w:pPr>
    </w:p>
    <w:p w14:paraId="196A969C">
      <w:pPr>
        <w:spacing w:before="75" w:line="227" w:lineRule="auto"/>
        <w:ind w:left="504"/>
        <w:rPr>
          <w:rFonts w:ascii="宋体" w:hAnsi="宋体" w:eastAsia="宋体" w:cs="宋体"/>
          <w:sz w:val="23"/>
          <w:szCs w:val="23"/>
        </w:rPr>
      </w:pPr>
      <w:r>
        <w:rPr>
          <w:rFonts w:ascii="宋体" w:hAnsi="宋体" w:eastAsia="宋体" w:cs="宋体"/>
          <w:spacing w:val="5"/>
          <w:sz w:val="23"/>
          <w:szCs w:val="23"/>
        </w:rPr>
        <w:t>本项目与《辽宁省打赢蓝天保卫战三年行动方案 (</w:t>
      </w:r>
      <w:r>
        <w:rPr>
          <w:rFonts w:ascii="Times New Roman" w:hAnsi="Times New Roman" w:eastAsia="Times New Roman" w:cs="Times New Roman"/>
          <w:spacing w:val="5"/>
          <w:sz w:val="23"/>
          <w:szCs w:val="23"/>
        </w:rPr>
        <w:t xml:space="preserve">2018-2020 </w:t>
      </w:r>
      <w:r>
        <w:rPr>
          <w:rFonts w:ascii="宋体" w:hAnsi="宋体" w:eastAsia="宋体" w:cs="宋体"/>
          <w:spacing w:val="5"/>
          <w:sz w:val="23"/>
          <w:szCs w:val="23"/>
        </w:rPr>
        <w:t>年) 》  (辽</w:t>
      </w:r>
      <w:r>
        <w:rPr>
          <w:rFonts w:ascii="宋体" w:hAnsi="宋体" w:eastAsia="宋体" w:cs="宋体"/>
          <w:spacing w:val="1"/>
          <w:sz w:val="23"/>
          <w:szCs w:val="23"/>
        </w:rPr>
        <w:t>政</w:t>
      </w:r>
    </w:p>
    <w:p w14:paraId="0DEB0161">
      <w:pPr>
        <w:spacing w:before="198" w:line="227" w:lineRule="auto"/>
        <w:ind w:left="27"/>
        <w:rPr>
          <w:rFonts w:ascii="宋体" w:hAnsi="宋体" w:eastAsia="宋体" w:cs="宋体"/>
          <w:sz w:val="23"/>
          <w:szCs w:val="23"/>
        </w:rPr>
      </w:pPr>
      <w:r>
        <w:rPr>
          <w:rFonts w:ascii="宋体" w:hAnsi="宋体" w:eastAsia="宋体" w:cs="宋体"/>
          <w:spacing w:val="12"/>
          <w:sz w:val="23"/>
          <w:szCs w:val="23"/>
        </w:rPr>
        <w:t>发</w:t>
      </w:r>
      <w:r>
        <w:rPr>
          <w:rFonts w:ascii="宋体" w:hAnsi="宋体" w:eastAsia="宋体" w:cs="宋体"/>
          <w:spacing w:val="9"/>
          <w:sz w:val="23"/>
          <w:szCs w:val="23"/>
        </w:rPr>
        <w:t>【</w:t>
      </w:r>
      <w:r>
        <w:rPr>
          <w:rFonts w:ascii="Times New Roman" w:hAnsi="Times New Roman" w:eastAsia="Times New Roman" w:cs="Times New Roman"/>
          <w:spacing w:val="6"/>
          <w:sz w:val="23"/>
          <w:szCs w:val="23"/>
        </w:rPr>
        <w:t>2018</w:t>
      </w:r>
      <w:r>
        <w:rPr>
          <w:rFonts w:ascii="宋体" w:hAnsi="宋体" w:eastAsia="宋体" w:cs="宋体"/>
          <w:spacing w:val="6"/>
          <w:sz w:val="23"/>
          <w:szCs w:val="23"/>
        </w:rPr>
        <w:t>】</w:t>
      </w:r>
      <w:r>
        <w:rPr>
          <w:rFonts w:ascii="Times New Roman" w:hAnsi="Times New Roman" w:eastAsia="Times New Roman" w:cs="Times New Roman"/>
          <w:spacing w:val="6"/>
          <w:sz w:val="23"/>
          <w:szCs w:val="23"/>
        </w:rPr>
        <w:t xml:space="preserve">31 </w:t>
      </w:r>
      <w:r>
        <w:rPr>
          <w:rFonts w:ascii="宋体" w:hAnsi="宋体" w:eastAsia="宋体" w:cs="宋体"/>
          <w:spacing w:val="6"/>
          <w:sz w:val="23"/>
          <w:szCs w:val="23"/>
        </w:rPr>
        <w:t>号) 符合性见下表。</w:t>
      </w:r>
    </w:p>
    <w:p w14:paraId="56D72F42">
      <w:pPr>
        <w:sectPr>
          <w:headerReference r:id="rId34" w:type="default"/>
          <w:footerReference r:id="rId35" w:type="default"/>
          <w:pgSz w:w="11906" w:h="16839"/>
          <w:pgMar w:top="1132" w:right="1719" w:bottom="899" w:left="1785" w:header="878" w:footer="739" w:gutter="0"/>
          <w:cols w:space="720" w:num="1"/>
        </w:sectPr>
      </w:pPr>
    </w:p>
    <w:p w14:paraId="0C9B4500">
      <w:pPr>
        <w:spacing w:line="409" w:lineRule="auto"/>
        <w:rPr>
          <w:rFonts w:ascii="Arial"/>
          <w:sz w:val="21"/>
        </w:rPr>
      </w:pPr>
      <w:r>
        <w:pict>
          <v:shape id="_x0000_s1044" o:spid="_x0000_s1044" style="position:absolute;left:0pt;margin-left:90pt;margin-top:57.35pt;height:0.75pt;width:415.3pt;mso-position-horizontal-relative:page;mso-position-vertical-relative:page;z-index:251682816;mso-width-relative:page;mso-height-relative:page;" fillcolor="#000000" filled="t" stroked="f" coordsize="8305,15" o:allowincell="f" path="m0,0l8305,0,8305,14,0,14,0,0xe">
            <v:path/>
            <v:fill on="t" focussize="0,0"/>
            <v:stroke on="f"/>
            <v:imagedata o:title=""/>
            <o:lock v:ext="edit"/>
          </v:shape>
        </w:pict>
      </w:r>
    </w:p>
    <w:p w14:paraId="6BF8BEDD">
      <w:pPr>
        <w:spacing w:before="74" w:line="227" w:lineRule="auto"/>
        <w:ind w:left="45"/>
        <w:rPr>
          <w:rFonts w:ascii="宋体" w:hAnsi="宋体" w:eastAsia="宋体" w:cs="宋体"/>
          <w:sz w:val="23"/>
          <w:szCs w:val="23"/>
        </w:rPr>
      </w:pPr>
      <w:r>
        <w:rPr>
          <w:rFonts w:ascii="宋体" w:hAnsi="宋体" w:eastAsia="宋体" w:cs="宋体"/>
          <w:spacing w:val="-18"/>
          <w:sz w:val="23"/>
          <w:szCs w:val="23"/>
          <w14:textOutline w14:w="4358" w14:cap="sq" w14:cmpd="sng">
            <w14:solidFill>
              <w14:srgbClr w14:val="000000"/>
            </w14:solidFill>
            <w14:prstDash w14:val="solid"/>
            <w14:bevel/>
          </w14:textOutline>
        </w:rPr>
        <w:t>表</w:t>
      </w:r>
      <w:r>
        <w:rPr>
          <w:rFonts w:ascii="宋体" w:hAnsi="宋体" w:eastAsia="宋体" w:cs="宋体"/>
          <w:spacing w:val="-12"/>
          <w:sz w:val="23"/>
          <w:szCs w:val="23"/>
        </w:rPr>
        <w:t xml:space="preserve"> </w:t>
      </w:r>
      <w:r>
        <w:rPr>
          <w:rFonts w:ascii="Times New Roman" w:hAnsi="Times New Roman" w:eastAsia="Times New Roman" w:cs="Times New Roman"/>
          <w:b/>
          <w:bCs/>
          <w:spacing w:val="-9"/>
          <w:sz w:val="23"/>
          <w:szCs w:val="23"/>
        </w:rPr>
        <w:t>1-4</w:t>
      </w:r>
      <w:r>
        <w:rPr>
          <w:rFonts w:ascii="Times New Roman" w:hAnsi="Times New Roman" w:eastAsia="Times New Roman" w:cs="Times New Roman"/>
          <w:spacing w:val="-9"/>
          <w:sz w:val="23"/>
          <w:szCs w:val="23"/>
        </w:rPr>
        <w:t xml:space="preserve">   </w:t>
      </w:r>
      <w:r>
        <w:rPr>
          <w:rFonts w:ascii="宋体" w:hAnsi="宋体" w:eastAsia="宋体" w:cs="宋体"/>
          <w:spacing w:val="-9"/>
          <w:sz w:val="23"/>
          <w:szCs w:val="23"/>
          <w14:textOutline w14:w="4358" w14:cap="sq" w14:cmpd="sng">
            <w14:solidFill>
              <w14:srgbClr w14:val="000000"/>
            </w14:solidFill>
            <w14:prstDash w14:val="solid"/>
            <w14:bevel/>
          </w14:textOutline>
        </w:rPr>
        <w:t>项目与《辽宁省打赢蓝天保卫战三年行动方案</w:t>
      </w:r>
      <w:r>
        <w:rPr>
          <w:rFonts w:ascii="宋体" w:hAnsi="宋体" w:eastAsia="宋体" w:cs="宋体"/>
          <w:spacing w:val="-9"/>
          <w:sz w:val="23"/>
          <w:szCs w:val="23"/>
        </w:rPr>
        <w:t xml:space="preserve"> </w:t>
      </w:r>
      <w:r>
        <w:rPr>
          <w:rFonts w:ascii="宋体" w:hAnsi="宋体" w:eastAsia="宋体" w:cs="宋体"/>
          <w:spacing w:val="-9"/>
          <w:sz w:val="23"/>
          <w:szCs w:val="23"/>
          <w14:textOutline w14:w="4358" w14:cap="sq" w14:cmpd="sng">
            <w14:solidFill>
              <w14:srgbClr w14:val="000000"/>
            </w14:solidFill>
            <w14:prstDash w14:val="solid"/>
            <w14:bevel/>
          </w14:textOutline>
        </w:rPr>
        <w:t>(</w:t>
      </w:r>
      <w:r>
        <w:rPr>
          <w:rFonts w:ascii="Times New Roman" w:hAnsi="Times New Roman" w:eastAsia="Times New Roman" w:cs="Times New Roman"/>
          <w:b/>
          <w:bCs/>
          <w:spacing w:val="-9"/>
          <w:sz w:val="23"/>
          <w:szCs w:val="23"/>
        </w:rPr>
        <w:t>2018-2020</w:t>
      </w:r>
      <w:r>
        <w:rPr>
          <w:rFonts w:ascii="Times New Roman" w:hAnsi="Times New Roman" w:eastAsia="Times New Roman" w:cs="Times New Roman"/>
          <w:spacing w:val="-9"/>
          <w:sz w:val="23"/>
          <w:szCs w:val="23"/>
        </w:rPr>
        <w:t xml:space="preserve"> </w:t>
      </w:r>
      <w:r>
        <w:rPr>
          <w:rFonts w:ascii="宋体" w:hAnsi="宋体" w:eastAsia="宋体" w:cs="宋体"/>
          <w:spacing w:val="-9"/>
          <w:sz w:val="23"/>
          <w:szCs w:val="23"/>
          <w14:textOutline w14:w="4358" w14:cap="sq" w14:cmpd="sng">
            <w14:solidFill>
              <w14:srgbClr w14:val="000000"/>
            </w14:solidFill>
            <w14:prstDash w14:val="solid"/>
            <w14:bevel/>
          </w14:textOutline>
        </w:rPr>
        <w:t>年)</w:t>
      </w:r>
      <w:r>
        <w:rPr>
          <w:rFonts w:ascii="宋体" w:hAnsi="宋体" w:eastAsia="宋体" w:cs="宋体"/>
          <w:spacing w:val="-9"/>
          <w:sz w:val="23"/>
          <w:szCs w:val="23"/>
        </w:rPr>
        <w:t xml:space="preserve"> </w:t>
      </w:r>
      <w:r>
        <w:rPr>
          <w:rFonts w:ascii="宋体" w:hAnsi="宋体" w:eastAsia="宋体" w:cs="宋体"/>
          <w:spacing w:val="-9"/>
          <w:sz w:val="23"/>
          <w:szCs w:val="23"/>
          <w14:textOutline w14:w="4358" w14:cap="sq" w14:cmpd="sng">
            <w14:solidFill>
              <w14:srgbClr w14:val="000000"/>
            </w14:solidFill>
            <w14:prstDash w14:val="solid"/>
            <w14:bevel/>
          </w14:textOutline>
        </w:rPr>
        <w:t>》符合性分析表</w:t>
      </w:r>
    </w:p>
    <w:p w14:paraId="62413E30">
      <w:pPr>
        <w:spacing w:line="17" w:lineRule="exact"/>
      </w:pPr>
    </w:p>
    <w:tbl>
      <w:tblPr>
        <w:tblStyle w:val="4"/>
        <w:tblW w:w="835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687"/>
        <w:gridCol w:w="3616"/>
        <w:gridCol w:w="1048"/>
      </w:tblGrid>
      <w:tr w14:paraId="2FF912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6" w:hRule="atLeast"/>
        </w:trPr>
        <w:tc>
          <w:tcPr>
            <w:tcW w:w="3687" w:type="dxa"/>
            <w:tcBorders>
              <w:left w:val="nil"/>
              <w:right w:val="single" w:color="000000" w:sz="4" w:space="0"/>
            </w:tcBorders>
            <w:vAlign w:val="top"/>
          </w:tcPr>
          <w:p w14:paraId="63134EF1">
            <w:pPr>
              <w:spacing w:before="75" w:line="228" w:lineRule="auto"/>
              <w:ind w:left="1408"/>
              <w:rPr>
                <w:rFonts w:ascii="宋体" w:hAnsi="宋体" w:eastAsia="宋体" w:cs="宋体"/>
                <w:sz w:val="20"/>
                <w:szCs w:val="20"/>
              </w:rPr>
            </w:pPr>
            <w:r>
              <w:rPr>
                <w:rFonts w:ascii="宋体" w:hAnsi="宋体" w:eastAsia="宋体" w:cs="宋体"/>
                <w:spacing w:val="17"/>
                <w:sz w:val="20"/>
                <w:szCs w:val="20"/>
                <w14:textOutline w14:w="3795" w14:cap="sq" w14:cmpd="sng">
                  <w14:solidFill>
                    <w14:srgbClr w14:val="000000"/>
                  </w14:solidFill>
                  <w14:prstDash w14:val="solid"/>
                  <w14:bevel/>
                </w14:textOutline>
              </w:rPr>
              <w:t>文件要求</w:t>
            </w:r>
          </w:p>
        </w:tc>
        <w:tc>
          <w:tcPr>
            <w:tcW w:w="3616" w:type="dxa"/>
            <w:tcBorders>
              <w:left w:val="single" w:color="000000" w:sz="4" w:space="0"/>
              <w:right w:val="single" w:color="000000" w:sz="4" w:space="0"/>
            </w:tcBorders>
            <w:vAlign w:val="top"/>
          </w:tcPr>
          <w:p w14:paraId="7C8F38D6">
            <w:pPr>
              <w:spacing w:before="76" w:line="228" w:lineRule="auto"/>
              <w:ind w:left="1370"/>
              <w:rPr>
                <w:rFonts w:ascii="宋体" w:hAnsi="宋体" w:eastAsia="宋体" w:cs="宋体"/>
                <w:sz w:val="20"/>
                <w:szCs w:val="20"/>
              </w:rPr>
            </w:pPr>
            <w:r>
              <w:rPr>
                <w:rFonts w:ascii="宋体" w:hAnsi="宋体" w:eastAsia="宋体" w:cs="宋体"/>
                <w:spacing w:val="19"/>
                <w:sz w:val="20"/>
                <w:szCs w:val="20"/>
                <w14:textOutline w14:w="3795" w14:cap="sq" w14:cmpd="sng">
                  <w14:solidFill>
                    <w14:srgbClr w14:val="000000"/>
                  </w14:solidFill>
                  <w14:prstDash w14:val="solid"/>
                  <w14:bevel/>
                </w14:textOutline>
              </w:rPr>
              <w:t>项</w:t>
            </w:r>
            <w:r>
              <w:rPr>
                <w:rFonts w:ascii="宋体" w:hAnsi="宋体" w:eastAsia="宋体" w:cs="宋体"/>
                <w:spacing w:val="16"/>
                <w:sz w:val="20"/>
                <w:szCs w:val="20"/>
                <w14:textOutline w14:w="3795" w14:cap="sq" w14:cmpd="sng">
                  <w14:solidFill>
                    <w14:srgbClr w14:val="000000"/>
                  </w14:solidFill>
                  <w14:prstDash w14:val="solid"/>
                  <w14:bevel/>
                </w14:textOutline>
              </w:rPr>
              <w:t>目情况</w:t>
            </w:r>
          </w:p>
        </w:tc>
        <w:tc>
          <w:tcPr>
            <w:tcW w:w="1048" w:type="dxa"/>
            <w:tcBorders>
              <w:left w:val="single" w:color="000000" w:sz="4" w:space="0"/>
              <w:right w:val="nil"/>
            </w:tcBorders>
            <w:vAlign w:val="top"/>
          </w:tcPr>
          <w:p w14:paraId="2044E8BD">
            <w:pPr>
              <w:spacing w:before="75" w:line="228" w:lineRule="auto"/>
              <w:ind w:left="85"/>
              <w:rPr>
                <w:rFonts w:ascii="宋体" w:hAnsi="宋体" w:eastAsia="宋体" w:cs="宋体"/>
                <w:sz w:val="20"/>
                <w:szCs w:val="20"/>
              </w:rPr>
            </w:pPr>
            <w:r>
              <w:rPr>
                <w:rFonts w:ascii="宋体" w:hAnsi="宋体" w:eastAsia="宋体" w:cs="宋体"/>
                <w:spacing w:val="17"/>
                <w:sz w:val="20"/>
                <w:szCs w:val="20"/>
                <w14:textOutline w14:w="3795" w14:cap="sq" w14:cmpd="sng">
                  <w14:solidFill>
                    <w14:srgbClr w14:val="000000"/>
                  </w14:solidFill>
                  <w14:prstDash w14:val="solid"/>
                  <w14:bevel/>
                </w14:textOutline>
              </w:rPr>
              <w:t>符合情况</w:t>
            </w:r>
          </w:p>
        </w:tc>
      </w:tr>
    </w:tbl>
    <w:p w14:paraId="7F9734B5">
      <w:pPr>
        <w:spacing w:before="53" w:line="228" w:lineRule="auto"/>
        <w:ind w:left="41"/>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w:t>
      </w:r>
      <w:r>
        <w:rPr>
          <w:rFonts w:ascii="宋体" w:hAnsi="宋体" w:eastAsia="宋体" w:cs="宋体"/>
          <w:spacing w:val="8"/>
          <w:sz w:val="20"/>
          <w:szCs w:val="20"/>
        </w:rPr>
        <w:t xml:space="preserve"> </w:t>
      </w:r>
      <w:r>
        <w:rPr>
          <w:rFonts w:ascii="宋体" w:hAnsi="宋体" w:eastAsia="宋体" w:cs="宋体"/>
          <w:spacing w:val="8"/>
          <w:sz w:val="20"/>
          <w:szCs w:val="20"/>
          <w14:textOutline w14:w="3795" w14:cap="sq" w14:cmpd="sng">
            <w14:solidFill>
              <w14:srgbClr w14:val="000000"/>
            </w14:solidFill>
            <w14:prstDash w14:val="solid"/>
            <w14:bevel/>
          </w14:textOutline>
        </w:rPr>
        <w:t>一</w:t>
      </w:r>
      <w:r>
        <w:rPr>
          <w:rFonts w:ascii="宋体" w:hAnsi="宋体" w:eastAsia="宋体" w:cs="宋体"/>
          <w:spacing w:val="8"/>
          <w:sz w:val="20"/>
          <w:szCs w:val="20"/>
        </w:rPr>
        <w:t xml:space="preserve"> </w:t>
      </w:r>
      <w:r>
        <w:rPr>
          <w:rFonts w:ascii="宋体" w:hAnsi="宋体" w:eastAsia="宋体" w:cs="宋体"/>
          <w:spacing w:val="8"/>
          <w:sz w:val="20"/>
          <w:szCs w:val="20"/>
          <w14:textOutline w14:w="3795" w14:cap="sq" w14:cmpd="sng">
            <w14:solidFill>
              <w14:srgbClr w14:val="000000"/>
            </w14:solidFill>
            <w14:prstDash w14:val="solid"/>
            <w14:bevel/>
          </w14:textOutline>
        </w:rPr>
        <w:t>)</w:t>
      </w:r>
      <w:r>
        <w:rPr>
          <w:rFonts w:ascii="宋体" w:hAnsi="宋体" w:eastAsia="宋体" w:cs="宋体"/>
          <w:spacing w:val="8"/>
          <w:sz w:val="20"/>
          <w:szCs w:val="20"/>
        </w:rPr>
        <w:t xml:space="preserve"> </w:t>
      </w:r>
      <w:r>
        <w:rPr>
          <w:rFonts w:ascii="宋体" w:hAnsi="宋体" w:eastAsia="宋体" w:cs="宋体"/>
          <w:spacing w:val="8"/>
          <w:sz w:val="20"/>
          <w:szCs w:val="20"/>
          <w14:textOutline w14:w="3795" w14:cap="sq" w14:cmpd="sng">
            <w14:solidFill>
              <w14:srgbClr w14:val="000000"/>
            </w14:solidFill>
            <w14:prstDash w14:val="solid"/>
            <w14:bevel/>
          </w14:textOutline>
        </w:rPr>
        <w:t>深入调整能源结构</w:t>
      </w:r>
      <w:r>
        <w:rPr>
          <w:rFonts w:ascii="宋体" w:hAnsi="宋体" w:eastAsia="宋体" w:cs="宋体"/>
          <w:spacing w:val="5"/>
          <w:sz w:val="20"/>
          <w:szCs w:val="20"/>
          <w14:textOutline w14:w="3795" w14:cap="sq" w14:cmpd="sng">
            <w14:solidFill>
              <w14:srgbClr w14:val="000000"/>
            </w14:solidFill>
            <w14:prstDash w14:val="solid"/>
            <w14:bevel/>
          </w14:textOutline>
        </w:rPr>
        <w:t>。</w:t>
      </w:r>
    </w:p>
    <w:p w14:paraId="36F88A4A">
      <w:pPr>
        <w:spacing w:line="130" w:lineRule="auto"/>
        <w:rPr>
          <w:rFonts w:ascii="Arial"/>
          <w:sz w:val="2"/>
        </w:rPr>
      </w:pPr>
    </w:p>
    <w:tbl>
      <w:tblPr>
        <w:tblStyle w:val="4"/>
        <w:tblW w:w="835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686"/>
        <w:gridCol w:w="3617"/>
        <w:gridCol w:w="1048"/>
      </w:tblGrid>
      <w:tr w14:paraId="7DB58C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5" w:hRule="atLeast"/>
        </w:trPr>
        <w:tc>
          <w:tcPr>
            <w:tcW w:w="3686" w:type="dxa"/>
            <w:tcBorders>
              <w:left w:val="nil"/>
              <w:right w:val="single" w:color="000000" w:sz="4" w:space="0"/>
            </w:tcBorders>
            <w:vAlign w:val="top"/>
          </w:tcPr>
          <w:p w14:paraId="47DC5A94">
            <w:pPr>
              <w:spacing w:line="308" w:lineRule="auto"/>
              <w:rPr>
                <w:rFonts w:ascii="Arial"/>
                <w:sz w:val="21"/>
              </w:rPr>
            </w:pPr>
          </w:p>
          <w:p w14:paraId="73F3AF4E">
            <w:pPr>
              <w:spacing w:line="309" w:lineRule="auto"/>
              <w:rPr>
                <w:rFonts w:ascii="Arial"/>
                <w:sz w:val="21"/>
              </w:rPr>
            </w:pPr>
          </w:p>
          <w:p w14:paraId="31B9CA1D">
            <w:pPr>
              <w:spacing w:before="65" w:line="228" w:lineRule="auto"/>
              <w:ind w:left="47"/>
              <w:rPr>
                <w:rFonts w:ascii="宋体" w:hAnsi="宋体" w:eastAsia="宋体" w:cs="宋体"/>
                <w:sz w:val="20"/>
                <w:szCs w:val="20"/>
              </w:rPr>
            </w:pPr>
            <w:r>
              <w:rPr>
                <w:rFonts w:ascii="Times New Roman" w:hAnsi="Times New Roman" w:eastAsia="Times New Roman" w:cs="Times New Roman"/>
                <w:spacing w:val="15"/>
                <w:sz w:val="20"/>
                <w:szCs w:val="20"/>
              </w:rPr>
              <w:t>1</w:t>
            </w:r>
            <w:r>
              <w:rPr>
                <w:rFonts w:ascii="Times New Roman" w:hAnsi="Times New Roman" w:eastAsia="Times New Roman" w:cs="Times New Roman"/>
                <w:spacing w:val="12"/>
                <w:sz w:val="20"/>
                <w:szCs w:val="20"/>
              </w:rPr>
              <w:t>.</w:t>
            </w:r>
            <w:r>
              <w:rPr>
                <w:rFonts w:ascii="宋体" w:hAnsi="宋体" w:eastAsia="宋体" w:cs="宋体"/>
                <w:spacing w:val="12"/>
                <w:sz w:val="20"/>
                <w:szCs w:val="20"/>
              </w:rPr>
              <w:t>推进清洁取暖。</w:t>
            </w:r>
          </w:p>
        </w:tc>
        <w:tc>
          <w:tcPr>
            <w:tcW w:w="3617" w:type="dxa"/>
            <w:tcBorders>
              <w:left w:val="single" w:color="000000" w:sz="4" w:space="0"/>
              <w:right w:val="single" w:color="000000" w:sz="4" w:space="0"/>
            </w:tcBorders>
            <w:vAlign w:val="top"/>
          </w:tcPr>
          <w:p w14:paraId="7AE043AC">
            <w:pPr>
              <w:spacing w:before="62" w:line="276" w:lineRule="auto"/>
              <w:ind w:left="25" w:right="17" w:firstLine="4"/>
              <w:rPr>
                <w:rFonts w:ascii="宋体" w:hAnsi="宋体" w:eastAsia="宋体" w:cs="宋体"/>
                <w:sz w:val="20"/>
                <w:szCs w:val="20"/>
              </w:rPr>
            </w:pPr>
            <w:r>
              <w:rPr>
                <w:rFonts w:ascii="宋体" w:hAnsi="宋体" w:eastAsia="宋体" w:cs="宋体"/>
                <w:spacing w:val="13"/>
                <w:sz w:val="20"/>
                <w:szCs w:val="20"/>
              </w:rPr>
              <w:t>该</w:t>
            </w:r>
            <w:r>
              <w:rPr>
                <w:rFonts w:ascii="宋体" w:hAnsi="宋体" w:eastAsia="宋体" w:cs="宋体"/>
                <w:spacing w:val="9"/>
                <w:sz w:val="20"/>
                <w:szCs w:val="20"/>
              </w:rPr>
              <w:t>项目不新建燃煤锅炉，冬季生产厂房</w:t>
            </w:r>
            <w:r>
              <w:rPr>
                <w:rFonts w:ascii="宋体" w:hAnsi="宋体" w:eastAsia="宋体" w:cs="宋体"/>
                <w:sz w:val="20"/>
                <w:szCs w:val="20"/>
              </w:rPr>
              <w:t xml:space="preserve"> </w:t>
            </w:r>
            <w:r>
              <w:rPr>
                <w:rFonts w:ascii="宋体" w:hAnsi="宋体" w:eastAsia="宋体" w:cs="宋体"/>
                <w:spacing w:val="17"/>
                <w:sz w:val="20"/>
                <w:szCs w:val="20"/>
              </w:rPr>
              <w:t>不</w:t>
            </w:r>
            <w:r>
              <w:rPr>
                <w:rFonts w:ascii="宋体" w:hAnsi="宋体" w:eastAsia="宋体" w:cs="宋体"/>
                <w:spacing w:val="9"/>
                <w:sz w:val="20"/>
                <w:szCs w:val="20"/>
              </w:rPr>
              <w:t>取暖，办公室及员工休息室均采用电</w:t>
            </w:r>
            <w:r>
              <w:rPr>
                <w:rFonts w:ascii="宋体" w:hAnsi="宋体" w:eastAsia="宋体" w:cs="宋体"/>
                <w:sz w:val="20"/>
                <w:szCs w:val="20"/>
              </w:rPr>
              <w:t xml:space="preserve"> </w:t>
            </w:r>
            <w:r>
              <w:rPr>
                <w:rFonts w:ascii="宋体" w:hAnsi="宋体" w:eastAsia="宋体" w:cs="宋体"/>
                <w:spacing w:val="1"/>
                <w:sz w:val="20"/>
                <w:szCs w:val="20"/>
              </w:rPr>
              <w:t>取暖；该项目仅新</w:t>
            </w:r>
            <w:r>
              <w:rPr>
                <w:rFonts w:ascii="宋体" w:hAnsi="宋体" w:eastAsia="宋体" w:cs="宋体"/>
                <w:sz w:val="20"/>
                <w:szCs w:val="20"/>
              </w:rPr>
              <w:t xml:space="preserve">建 </w:t>
            </w:r>
            <w:r>
              <w:rPr>
                <w:rFonts w:ascii="Times New Roman" w:hAnsi="Times New Roman" w:eastAsia="Times New Roman" w:cs="Times New Roman"/>
                <w:sz w:val="20"/>
                <w:szCs w:val="20"/>
              </w:rPr>
              <w:t xml:space="preserve">1 </w:t>
            </w:r>
            <w:r>
              <w:rPr>
                <w:rFonts w:ascii="宋体" w:hAnsi="宋体" w:eastAsia="宋体" w:cs="宋体"/>
                <w:sz w:val="20"/>
                <w:szCs w:val="20"/>
              </w:rPr>
              <w:t xml:space="preserve">台 </w:t>
            </w:r>
            <w:r>
              <w:rPr>
                <w:rFonts w:ascii="Times New Roman" w:hAnsi="Times New Roman" w:eastAsia="Times New Roman" w:cs="Times New Roman"/>
                <w:sz w:val="20"/>
                <w:szCs w:val="20"/>
              </w:rPr>
              <w:t xml:space="preserve">2t </w:t>
            </w:r>
            <w:r>
              <w:rPr>
                <w:rFonts w:ascii="宋体" w:hAnsi="宋体" w:eastAsia="宋体" w:cs="宋体"/>
                <w:sz w:val="20"/>
                <w:szCs w:val="20"/>
              </w:rPr>
              <w:t xml:space="preserve">热风炉用于 </w:t>
            </w:r>
            <w:r>
              <w:rPr>
                <w:rFonts w:ascii="宋体" w:hAnsi="宋体" w:eastAsia="宋体" w:cs="宋体"/>
                <w:spacing w:val="17"/>
                <w:sz w:val="20"/>
                <w:szCs w:val="20"/>
              </w:rPr>
              <w:t>洗</w:t>
            </w:r>
            <w:r>
              <w:rPr>
                <w:rFonts w:ascii="宋体" w:hAnsi="宋体" w:eastAsia="宋体" w:cs="宋体"/>
                <w:spacing w:val="9"/>
                <w:sz w:val="20"/>
                <w:szCs w:val="20"/>
              </w:rPr>
              <w:t>字槽加热，热风炉采用成型生物质燃</w:t>
            </w:r>
            <w:r>
              <w:rPr>
                <w:rFonts w:ascii="宋体" w:hAnsi="宋体" w:eastAsia="宋体" w:cs="宋体"/>
                <w:sz w:val="20"/>
                <w:szCs w:val="20"/>
              </w:rPr>
              <w:t xml:space="preserve"> </w:t>
            </w:r>
            <w:r>
              <w:rPr>
                <w:rFonts w:ascii="宋体" w:hAnsi="宋体" w:eastAsia="宋体" w:cs="宋体"/>
                <w:spacing w:val="6"/>
                <w:sz w:val="20"/>
                <w:szCs w:val="20"/>
              </w:rPr>
              <w:t>料为燃料。</w:t>
            </w:r>
          </w:p>
        </w:tc>
        <w:tc>
          <w:tcPr>
            <w:tcW w:w="1048" w:type="dxa"/>
            <w:tcBorders>
              <w:left w:val="single" w:color="000000" w:sz="4" w:space="0"/>
              <w:right w:val="nil"/>
            </w:tcBorders>
            <w:vAlign w:val="top"/>
          </w:tcPr>
          <w:p w14:paraId="4F8CFA70">
            <w:pPr>
              <w:spacing w:line="257" w:lineRule="auto"/>
              <w:rPr>
                <w:rFonts w:ascii="Arial"/>
                <w:sz w:val="21"/>
              </w:rPr>
            </w:pPr>
          </w:p>
          <w:p w14:paraId="5B91AC8E">
            <w:pPr>
              <w:spacing w:line="257" w:lineRule="auto"/>
              <w:rPr>
                <w:rFonts w:ascii="Arial"/>
                <w:sz w:val="21"/>
              </w:rPr>
            </w:pPr>
          </w:p>
          <w:p w14:paraId="7BBD4D27">
            <w:pPr>
              <w:spacing w:line="257" w:lineRule="auto"/>
              <w:rPr>
                <w:rFonts w:ascii="Arial"/>
                <w:sz w:val="21"/>
              </w:rPr>
            </w:pPr>
          </w:p>
          <w:p w14:paraId="7A72B33A">
            <w:pPr>
              <w:spacing w:before="65" w:line="228" w:lineRule="auto"/>
              <w:ind w:left="308"/>
              <w:rPr>
                <w:rFonts w:ascii="宋体" w:hAnsi="宋体" w:eastAsia="宋体" w:cs="宋体"/>
                <w:sz w:val="20"/>
                <w:szCs w:val="20"/>
              </w:rPr>
            </w:pPr>
            <w:r>
              <w:rPr>
                <w:rFonts w:ascii="宋体" w:hAnsi="宋体" w:eastAsia="宋体" w:cs="宋体"/>
                <w:spacing w:val="10"/>
                <w:sz w:val="20"/>
                <w:szCs w:val="20"/>
              </w:rPr>
              <w:t>符</w:t>
            </w:r>
            <w:r>
              <w:rPr>
                <w:rFonts w:ascii="宋体" w:hAnsi="宋体" w:eastAsia="宋体" w:cs="宋体"/>
                <w:spacing w:val="9"/>
                <w:sz w:val="20"/>
                <w:szCs w:val="20"/>
              </w:rPr>
              <w:t>合</w:t>
            </w:r>
          </w:p>
        </w:tc>
      </w:tr>
      <w:tr w14:paraId="42362B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3686" w:type="dxa"/>
            <w:tcBorders>
              <w:left w:val="nil"/>
              <w:right w:val="single" w:color="000000" w:sz="4" w:space="0"/>
            </w:tcBorders>
            <w:vAlign w:val="top"/>
          </w:tcPr>
          <w:p w14:paraId="7D8E92AB">
            <w:pPr>
              <w:spacing w:before="56" w:line="228" w:lineRule="auto"/>
              <w:ind w:left="27"/>
              <w:rPr>
                <w:rFonts w:ascii="宋体" w:hAnsi="宋体" w:eastAsia="宋体" w:cs="宋体"/>
                <w:sz w:val="20"/>
                <w:szCs w:val="20"/>
              </w:rPr>
            </w:pPr>
            <w:r>
              <w:rPr>
                <w:rFonts w:ascii="Times New Roman" w:hAnsi="Times New Roman" w:eastAsia="Times New Roman" w:cs="Times New Roman"/>
                <w:spacing w:val="16"/>
                <w:sz w:val="20"/>
                <w:szCs w:val="20"/>
              </w:rPr>
              <w:t>2.</w:t>
            </w:r>
            <w:r>
              <w:rPr>
                <w:rFonts w:ascii="宋体" w:hAnsi="宋体" w:eastAsia="宋体" w:cs="宋体"/>
                <w:spacing w:val="16"/>
                <w:sz w:val="20"/>
                <w:szCs w:val="20"/>
              </w:rPr>
              <w:t>控制煤炭消费总量</w:t>
            </w:r>
            <w:r>
              <w:rPr>
                <w:rFonts w:ascii="宋体" w:hAnsi="宋体" w:eastAsia="宋体" w:cs="宋体"/>
                <w:spacing w:val="15"/>
                <w:sz w:val="20"/>
                <w:szCs w:val="20"/>
              </w:rPr>
              <w:t>。</w:t>
            </w:r>
          </w:p>
        </w:tc>
        <w:tc>
          <w:tcPr>
            <w:tcW w:w="3617" w:type="dxa"/>
            <w:tcBorders>
              <w:left w:val="single" w:color="000000" w:sz="4" w:space="0"/>
              <w:right w:val="single" w:color="000000" w:sz="4" w:space="0"/>
            </w:tcBorders>
            <w:vAlign w:val="top"/>
          </w:tcPr>
          <w:p w14:paraId="2CEECE24">
            <w:pPr>
              <w:spacing w:before="181" w:line="139" w:lineRule="exact"/>
              <w:ind w:left="1694"/>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c>
          <w:tcPr>
            <w:tcW w:w="1048" w:type="dxa"/>
            <w:tcBorders>
              <w:left w:val="single" w:color="000000" w:sz="4" w:space="0"/>
              <w:right w:val="nil"/>
            </w:tcBorders>
            <w:vAlign w:val="top"/>
          </w:tcPr>
          <w:p w14:paraId="2A0DA10A">
            <w:pPr>
              <w:spacing w:before="181" w:line="139" w:lineRule="exact"/>
              <w:ind w:left="410"/>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r>
      <w:tr w14:paraId="10801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3686" w:type="dxa"/>
            <w:tcBorders>
              <w:left w:val="nil"/>
              <w:right w:val="single" w:color="000000" w:sz="4" w:space="0"/>
            </w:tcBorders>
            <w:vAlign w:val="top"/>
          </w:tcPr>
          <w:p w14:paraId="40B82862">
            <w:pPr>
              <w:spacing w:before="57" w:line="228" w:lineRule="auto"/>
              <w:ind w:left="31"/>
              <w:rPr>
                <w:rFonts w:ascii="宋体" w:hAnsi="宋体" w:eastAsia="宋体" w:cs="宋体"/>
                <w:sz w:val="20"/>
                <w:szCs w:val="20"/>
              </w:rPr>
            </w:pPr>
            <w:r>
              <w:rPr>
                <w:rFonts w:ascii="Times New Roman" w:hAnsi="Times New Roman" w:eastAsia="Times New Roman" w:cs="Times New Roman"/>
                <w:spacing w:val="23"/>
                <w:sz w:val="20"/>
                <w:szCs w:val="20"/>
              </w:rPr>
              <w:t>3</w:t>
            </w:r>
            <w:r>
              <w:rPr>
                <w:rFonts w:ascii="Times New Roman" w:hAnsi="Times New Roman" w:eastAsia="Times New Roman" w:cs="Times New Roman"/>
                <w:spacing w:val="16"/>
                <w:sz w:val="20"/>
                <w:szCs w:val="20"/>
              </w:rPr>
              <w:t>.</w:t>
            </w:r>
            <w:r>
              <w:rPr>
                <w:rFonts w:ascii="宋体" w:hAnsi="宋体" w:eastAsia="宋体" w:cs="宋体"/>
                <w:spacing w:val="16"/>
                <w:sz w:val="20"/>
                <w:szCs w:val="20"/>
              </w:rPr>
              <w:t>深入实施燃煤锅炉治理。</w:t>
            </w:r>
          </w:p>
        </w:tc>
        <w:tc>
          <w:tcPr>
            <w:tcW w:w="3617" w:type="dxa"/>
            <w:tcBorders>
              <w:left w:val="single" w:color="000000" w:sz="4" w:space="0"/>
              <w:right w:val="single" w:color="000000" w:sz="4" w:space="0"/>
            </w:tcBorders>
            <w:vAlign w:val="top"/>
          </w:tcPr>
          <w:p w14:paraId="46EB3252">
            <w:pPr>
              <w:spacing w:before="181" w:line="139" w:lineRule="exact"/>
              <w:ind w:left="1694"/>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c>
          <w:tcPr>
            <w:tcW w:w="1048" w:type="dxa"/>
            <w:tcBorders>
              <w:left w:val="single" w:color="000000" w:sz="4" w:space="0"/>
              <w:right w:val="nil"/>
            </w:tcBorders>
            <w:vAlign w:val="top"/>
          </w:tcPr>
          <w:p w14:paraId="202EBC0F">
            <w:pPr>
              <w:spacing w:before="181" w:line="139" w:lineRule="exact"/>
              <w:ind w:left="410"/>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r>
      <w:tr w14:paraId="215DF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3686" w:type="dxa"/>
            <w:tcBorders>
              <w:left w:val="nil"/>
              <w:right w:val="single" w:color="000000" w:sz="4" w:space="0"/>
            </w:tcBorders>
            <w:vAlign w:val="top"/>
          </w:tcPr>
          <w:p w14:paraId="33DBDB53">
            <w:pPr>
              <w:spacing w:before="59" w:line="228" w:lineRule="auto"/>
              <w:ind w:left="26"/>
              <w:rPr>
                <w:rFonts w:ascii="宋体" w:hAnsi="宋体" w:eastAsia="宋体" w:cs="宋体"/>
                <w:sz w:val="20"/>
                <w:szCs w:val="20"/>
              </w:rPr>
            </w:pPr>
            <w:r>
              <w:rPr>
                <w:rFonts w:ascii="Times New Roman" w:hAnsi="Times New Roman" w:eastAsia="Times New Roman" w:cs="Times New Roman"/>
                <w:spacing w:val="10"/>
                <w:sz w:val="20"/>
                <w:szCs w:val="20"/>
              </w:rPr>
              <w:t>4</w:t>
            </w:r>
            <w:r>
              <w:rPr>
                <w:rFonts w:ascii="Times New Roman" w:hAnsi="Times New Roman" w:eastAsia="Times New Roman" w:cs="Times New Roman"/>
                <w:spacing w:val="8"/>
                <w:sz w:val="20"/>
                <w:szCs w:val="20"/>
              </w:rPr>
              <w:t xml:space="preserve">. </w:t>
            </w:r>
            <w:r>
              <w:rPr>
                <w:rFonts w:ascii="宋体" w:hAnsi="宋体" w:eastAsia="宋体" w:cs="宋体"/>
                <w:spacing w:val="8"/>
                <w:sz w:val="20"/>
                <w:szCs w:val="20"/>
              </w:rPr>
              <w:t>实施散煤替代。</w:t>
            </w:r>
          </w:p>
        </w:tc>
        <w:tc>
          <w:tcPr>
            <w:tcW w:w="3617" w:type="dxa"/>
            <w:tcBorders>
              <w:left w:val="single" w:color="000000" w:sz="4" w:space="0"/>
              <w:right w:val="single" w:color="000000" w:sz="4" w:space="0"/>
            </w:tcBorders>
            <w:vAlign w:val="top"/>
          </w:tcPr>
          <w:p w14:paraId="4D51C207">
            <w:pPr>
              <w:spacing w:before="184" w:line="136" w:lineRule="exact"/>
              <w:ind w:left="1694"/>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c>
          <w:tcPr>
            <w:tcW w:w="1048" w:type="dxa"/>
            <w:tcBorders>
              <w:left w:val="single" w:color="000000" w:sz="4" w:space="0"/>
              <w:right w:val="nil"/>
            </w:tcBorders>
            <w:vAlign w:val="top"/>
          </w:tcPr>
          <w:p w14:paraId="66F4F807">
            <w:pPr>
              <w:spacing w:before="184" w:line="136" w:lineRule="exact"/>
              <w:ind w:left="410"/>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r>
      <w:tr w14:paraId="1094FA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3686" w:type="dxa"/>
            <w:tcBorders>
              <w:left w:val="nil"/>
              <w:right w:val="single" w:color="000000" w:sz="4" w:space="0"/>
            </w:tcBorders>
            <w:vAlign w:val="top"/>
          </w:tcPr>
          <w:p w14:paraId="10ECC72F">
            <w:pPr>
              <w:spacing w:before="59" w:line="228" w:lineRule="auto"/>
              <w:ind w:left="33"/>
              <w:rPr>
                <w:rFonts w:ascii="宋体" w:hAnsi="宋体" w:eastAsia="宋体" w:cs="宋体"/>
                <w:sz w:val="20"/>
                <w:szCs w:val="20"/>
              </w:rPr>
            </w:pPr>
            <w:r>
              <w:rPr>
                <w:rFonts w:ascii="Times New Roman" w:hAnsi="Times New Roman" w:eastAsia="Times New Roman" w:cs="Times New Roman"/>
                <w:spacing w:val="19"/>
                <w:sz w:val="20"/>
                <w:szCs w:val="20"/>
              </w:rPr>
              <w:t>5</w:t>
            </w:r>
            <w:r>
              <w:rPr>
                <w:rFonts w:ascii="Times New Roman" w:hAnsi="Times New Roman" w:eastAsia="Times New Roman" w:cs="Times New Roman"/>
                <w:spacing w:val="15"/>
                <w:sz w:val="20"/>
                <w:szCs w:val="20"/>
              </w:rPr>
              <w:t>.</w:t>
            </w:r>
            <w:r>
              <w:rPr>
                <w:rFonts w:ascii="宋体" w:hAnsi="宋体" w:eastAsia="宋体" w:cs="宋体"/>
                <w:spacing w:val="15"/>
                <w:sz w:val="20"/>
                <w:szCs w:val="20"/>
              </w:rPr>
              <w:t>提高能源利用效率。</w:t>
            </w:r>
          </w:p>
        </w:tc>
        <w:tc>
          <w:tcPr>
            <w:tcW w:w="3617" w:type="dxa"/>
            <w:tcBorders>
              <w:left w:val="single" w:color="000000" w:sz="4" w:space="0"/>
              <w:right w:val="single" w:color="000000" w:sz="4" w:space="0"/>
            </w:tcBorders>
            <w:vAlign w:val="top"/>
          </w:tcPr>
          <w:p w14:paraId="2664023C">
            <w:pPr>
              <w:spacing w:before="59" w:line="228" w:lineRule="auto"/>
              <w:ind w:left="483"/>
              <w:rPr>
                <w:rFonts w:ascii="宋体" w:hAnsi="宋体" w:eastAsia="宋体" w:cs="宋体"/>
                <w:sz w:val="20"/>
                <w:szCs w:val="20"/>
              </w:rPr>
            </w:pPr>
            <w:r>
              <w:rPr>
                <w:rFonts w:ascii="宋体" w:hAnsi="宋体" w:eastAsia="宋体" w:cs="宋体"/>
                <w:spacing w:val="18"/>
                <w:sz w:val="20"/>
                <w:szCs w:val="20"/>
              </w:rPr>
              <w:t>该项目不属于高耗能行业</w:t>
            </w:r>
            <w:r>
              <w:rPr>
                <w:rFonts w:ascii="宋体" w:hAnsi="宋体" w:eastAsia="宋体" w:cs="宋体"/>
                <w:spacing w:val="17"/>
                <w:sz w:val="20"/>
                <w:szCs w:val="20"/>
              </w:rPr>
              <w:t>。</w:t>
            </w:r>
          </w:p>
        </w:tc>
        <w:tc>
          <w:tcPr>
            <w:tcW w:w="1048" w:type="dxa"/>
            <w:tcBorders>
              <w:left w:val="single" w:color="000000" w:sz="4" w:space="0"/>
              <w:right w:val="nil"/>
            </w:tcBorders>
            <w:vAlign w:val="top"/>
          </w:tcPr>
          <w:p w14:paraId="70C3F458">
            <w:pPr>
              <w:spacing w:before="59" w:line="228" w:lineRule="auto"/>
              <w:ind w:left="308"/>
              <w:rPr>
                <w:rFonts w:ascii="宋体" w:hAnsi="宋体" w:eastAsia="宋体" w:cs="宋体"/>
                <w:sz w:val="20"/>
                <w:szCs w:val="20"/>
              </w:rPr>
            </w:pPr>
            <w:r>
              <w:rPr>
                <w:rFonts w:ascii="宋体" w:hAnsi="宋体" w:eastAsia="宋体" w:cs="宋体"/>
                <w:spacing w:val="10"/>
                <w:sz w:val="20"/>
                <w:szCs w:val="20"/>
              </w:rPr>
              <w:t>符</w:t>
            </w:r>
            <w:r>
              <w:rPr>
                <w:rFonts w:ascii="宋体" w:hAnsi="宋体" w:eastAsia="宋体" w:cs="宋体"/>
                <w:spacing w:val="9"/>
                <w:sz w:val="20"/>
                <w:szCs w:val="20"/>
              </w:rPr>
              <w:t>合</w:t>
            </w:r>
          </w:p>
        </w:tc>
      </w:tr>
      <w:tr w14:paraId="738A55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 w:hRule="atLeast"/>
        </w:trPr>
        <w:tc>
          <w:tcPr>
            <w:tcW w:w="3686" w:type="dxa"/>
            <w:tcBorders>
              <w:left w:val="nil"/>
              <w:right w:val="single" w:color="000000" w:sz="4" w:space="0"/>
            </w:tcBorders>
            <w:vAlign w:val="top"/>
          </w:tcPr>
          <w:p w14:paraId="61B11ACF">
            <w:pPr>
              <w:spacing w:before="59" w:line="228" w:lineRule="auto"/>
              <w:ind w:left="31"/>
              <w:rPr>
                <w:rFonts w:ascii="宋体" w:hAnsi="宋体" w:eastAsia="宋体" w:cs="宋体"/>
                <w:sz w:val="20"/>
                <w:szCs w:val="20"/>
              </w:rPr>
            </w:pPr>
            <w:r>
              <w:rPr>
                <w:rFonts w:ascii="Times New Roman" w:hAnsi="Times New Roman" w:eastAsia="Times New Roman" w:cs="Times New Roman"/>
                <w:spacing w:val="20"/>
                <w:sz w:val="20"/>
                <w:szCs w:val="20"/>
              </w:rPr>
              <w:t>6</w:t>
            </w:r>
            <w:r>
              <w:rPr>
                <w:rFonts w:ascii="Times New Roman" w:hAnsi="Times New Roman" w:eastAsia="Times New Roman" w:cs="Times New Roman"/>
                <w:spacing w:val="17"/>
                <w:sz w:val="20"/>
                <w:szCs w:val="20"/>
              </w:rPr>
              <w:t>.</w:t>
            </w:r>
            <w:r>
              <w:rPr>
                <w:rFonts w:ascii="宋体" w:hAnsi="宋体" w:eastAsia="宋体" w:cs="宋体"/>
                <w:spacing w:val="17"/>
                <w:sz w:val="20"/>
                <w:szCs w:val="20"/>
              </w:rPr>
              <w:t>加快发展清洁能源和新能源。</w:t>
            </w:r>
          </w:p>
        </w:tc>
        <w:tc>
          <w:tcPr>
            <w:tcW w:w="3617" w:type="dxa"/>
            <w:tcBorders>
              <w:left w:val="single" w:color="000000" w:sz="4" w:space="0"/>
              <w:right w:val="single" w:color="000000" w:sz="4" w:space="0"/>
            </w:tcBorders>
            <w:vAlign w:val="top"/>
          </w:tcPr>
          <w:p w14:paraId="140120BD">
            <w:pPr>
              <w:spacing w:before="184" w:line="142" w:lineRule="exact"/>
              <w:ind w:left="1694"/>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c>
          <w:tcPr>
            <w:tcW w:w="1048" w:type="dxa"/>
            <w:tcBorders>
              <w:left w:val="single" w:color="000000" w:sz="4" w:space="0"/>
              <w:right w:val="nil"/>
            </w:tcBorders>
            <w:vAlign w:val="top"/>
          </w:tcPr>
          <w:p w14:paraId="1A33EF9C">
            <w:pPr>
              <w:spacing w:before="184" w:line="142" w:lineRule="exact"/>
              <w:ind w:left="410"/>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r>
    </w:tbl>
    <w:p w14:paraId="1F6B25BA">
      <w:pPr>
        <w:spacing w:before="50" w:line="228" w:lineRule="auto"/>
        <w:ind w:left="41"/>
        <w:rPr>
          <w:rFonts w:ascii="宋体" w:hAnsi="宋体" w:eastAsia="宋体" w:cs="宋体"/>
          <w:sz w:val="20"/>
          <w:szCs w:val="20"/>
        </w:rPr>
      </w:pPr>
      <w:r>
        <w:rPr>
          <w:rFonts w:ascii="宋体" w:hAnsi="宋体" w:eastAsia="宋体" w:cs="宋体"/>
          <w:spacing w:val="24"/>
          <w:sz w:val="20"/>
          <w:szCs w:val="20"/>
        </w:rPr>
        <w:t>(二) 推进调整产业结构</w:t>
      </w:r>
      <w:r>
        <w:rPr>
          <w:rFonts w:ascii="宋体" w:hAnsi="宋体" w:eastAsia="宋体" w:cs="宋体"/>
          <w:spacing w:val="22"/>
          <w:sz w:val="20"/>
          <w:szCs w:val="20"/>
        </w:rPr>
        <w:t>。</w:t>
      </w:r>
    </w:p>
    <w:p w14:paraId="1C361D28">
      <w:pPr>
        <w:spacing w:line="15" w:lineRule="exact"/>
      </w:pPr>
    </w:p>
    <w:tbl>
      <w:tblPr>
        <w:tblStyle w:val="4"/>
        <w:tblW w:w="835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687"/>
        <w:gridCol w:w="3616"/>
        <w:gridCol w:w="1048"/>
      </w:tblGrid>
      <w:tr w14:paraId="01E2F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 w:hRule="atLeast"/>
        </w:trPr>
        <w:tc>
          <w:tcPr>
            <w:tcW w:w="3687" w:type="dxa"/>
            <w:tcBorders>
              <w:left w:val="nil"/>
              <w:right w:val="single" w:color="000000" w:sz="4" w:space="0"/>
            </w:tcBorders>
            <w:vAlign w:val="top"/>
          </w:tcPr>
          <w:p w14:paraId="558C3414">
            <w:pPr>
              <w:spacing w:before="62" w:line="227" w:lineRule="auto"/>
              <w:ind w:left="30"/>
              <w:rPr>
                <w:rFonts w:ascii="宋体" w:hAnsi="宋体" w:eastAsia="宋体" w:cs="宋体"/>
                <w:sz w:val="20"/>
                <w:szCs w:val="20"/>
              </w:rPr>
            </w:pPr>
            <w:r>
              <w:rPr>
                <w:rFonts w:ascii="Times New Roman" w:hAnsi="Times New Roman" w:eastAsia="Times New Roman" w:cs="Times New Roman"/>
                <w:spacing w:val="8"/>
                <w:sz w:val="20"/>
                <w:szCs w:val="20"/>
              </w:rPr>
              <w:t>7</w:t>
            </w:r>
            <w:r>
              <w:rPr>
                <w:rFonts w:ascii="Times New Roman" w:hAnsi="Times New Roman" w:eastAsia="Times New Roman" w:cs="Times New Roman"/>
                <w:spacing w:val="6"/>
                <w:sz w:val="20"/>
                <w:szCs w:val="20"/>
              </w:rPr>
              <w:t>.</w:t>
            </w:r>
            <w:r>
              <w:rPr>
                <w:rFonts w:ascii="宋体" w:hAnsi="宋体" w:eastAsia="宋体" w:cs="宋体"/>
                <w:spacing w:val="6"/>
                <w:sz w:val="20"/>
                <w:szCs w:val="20"/>
              </w:rPr>
              <w:t>优化产业布局。</w:t>
            </w:r>
          </w:p>
        </w:tc>
        <w:tc>
          <w:tcPr>
            <w:tcW w:w="3616" w:type="dxa"/>
            <w:tcBorders>
              <w:left w:val="single" w:color="000000" w:sz="4" w:space="0"/>
              <w:right w:val="single" w:color="000000" w:sz="4" w:space="0"/>
            </w:tcBorders>
            <w:vAlign w:val="top"/>
          </w:tcPr>
          <w:p w14:paraId="2ACEFA03">
            <w:pPr>
              <w:spacing w:before="187" w:line="142" w:lineRule="exact"/>
              <w:ind w:left="1693"/>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c>
          <w:tcPr>
            <w:tcW w:w="1048" w:type="dxa"/>
            <w:tcBorders>
              <w:left w:val="single" w:color="000000" w:sz="4" w:space="0"/>
              <w:right w:val="nil"/>
            </w:tcBorders>
            <w:vAlign w:val="top"/>
          </w:tcPr>
          <w:p w14:paraId="0B022A48">
            <w:pPr>
              <w:spacing w:before="187" w:line="142" w:lineRule="exact"/>
              <w:ind w:left="410"/>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r>
      <w:tr w14:paraId="29E282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3687" w:type="dxa"/>
            <w:tcBorders>
              <w:left w:val="nil"/>
              <w:right w:val="single" w:color="000000" w:sz="4" w:space="0"/>
            </w:tcBorders>
            <w:vAlign w:val="top"/>
          </w:tcPr>
          <w:p w14:paraId="7E2FCC1C">
            <w:pPr>
              <w:spacing w:before="54" w:line="228" w:lineRule="auto"/>
              <w:ind w:left="35"/>
              <w:rPr>
                <w:rFonts w:ascii="宋体" w:hAnsi="宋体" w:eastAsia="宋体" w:cs="宋体"/>
                <w:sz w:val="20"/>
                <w:szCs w:val="20"/>
              </w:rPr>
            </w:pPr>
            <w:r>
              <w:rPr>
                <w:rFonts w:ascii="Times New Roman" w:hAnsi="Times New Roman" w:eastAsia="Times New Roman" w:cs="Times New Roman"/>
                <w:spacing w:val="8"/>
                <w:sz w:val="20"/>
                <w:szCs w:val="20"/>
              </w:rPr>
              <w:t>8</w:t>
            </w:r>
            <w:r>
              <w:rPr>
                <w:rFonts w:ascii="Times New Roman" w:hAnsi="Times New Roman" w:eastAsia="Times New Roman" w:cs="Times New Roman"/>
                <w:spacing w:val="6"/>
                <w:sz w:val="20"/>
                <w:szCs w:val="20"/>
              </w:rPr>
              <w:t>.</w:t>
            </w:r>
            <w:r>
              <w:rPr>
                <w:rFonts w:ascii="宋体" w:hAnsi="宋体" w:eastAsia="宋体" w:cs="宋体"/>
                <w:spacing w:val="6"/>
                <w:sz w:val="20"/>
                <w:szCs w:val="20"/>
              </w:rPr>
              <w:t>严控</w:t>
            </w:r>
            <w:r>
              <w:rPr>
                <w:rFonts w:ascii="Times New Roman" w:hAnsi="Times New Roman" w:eastAsia="Times New Roman" w:cs="Times New Roman"/>
                <w:spacing w:val="6"/>
                <w:sz w:val="20"/>
                <w:szCs w:val="20"/>
              </w:rPr>
              <w:t>“</w:t>
            </w:r>
            <w:r>
              <w:rPr>
                <w:rFonts w:ascii="宋体" w:hAnsi="宋体" w:eastAsia="宋体" w:cs="宋体"/>
                <w:spacing w:val="6"/>
                <w:sz w:val="20"/>
                <w:szCs w:val="20"/>
              </w:rPr>
              <w:t>两高</w:t>
            </w:r>
            <w:r>
              <w:rPr>
                <w:rFonts w:ascii="Times New Roman" w:hAnsi="Times New Roman" w:eastAsia="Times New Roman" w:cs="Times New Roman"/>
                <w:spacing w:val="6"/>
                <w:sz w:val="20"/>
                <w:szCs w:val="20"/>
              </w:rPr>
              <w:t>”</w:t>
            </w:r>
            <w:r>
              <w:rPr>
                <w:rFonts w:ascii="宋体" w:hAnsi="宋体" w:eastAsia="宋体" w:cs="宋体"/>
                <w:spacing w:val="6"/>
                <w:sz w:val="20"/>
                <w:szCs w:val="20"/>
              </w:rPr>
              <w:t>行业产能。</w:t>
            </w:r>
          </w:p>
        </w:tc>
        <w:tc>
          <w:tcPr>
            <w:tcW w:w="3616" w:type="dxa"/>
            <w:tcBorders>
              <w:left w:val="single" w:color="000000" w:sz="4" w:space="0"/>
              <w:right w:val="single" w:color="000000" w:sz="4" w:space="0"/>
            </w:tcBorders>
            <w:vAlign w:val="top"/>
          </w:tcPr>
          <w:p w14:paraId="543C5A42">
            <w:pPr>
              <w:spacing w:before="54" w:line="228" w:lineRule="auto"/>
              <w:ind w:left="715"/>
              <w:rPr>
                <w:rFonts w:ascii="宋体" w:hAnsi="宋体" w:eastAsia="宋体" w:cs="宋体"/>
                <w:sz w:val="20"/>
                <w:szCs w:val="20"/>
              </w:rPr>
            </w:pPr>
            <w:r>
              <w:rPr>
                <w:rFonts w:ascii="宋体" w:hAnsi="宋体" w:eastAsia="宋体" w:cs="宋体"/>
                <w:spacing w:val="21"/>
                <w:sz w:val="20"/>
                <w:szCs w:val="20"/>
              </w:rPr>
              <w:t>该</w:t>
            </w:r>
            <w:r>
              <w:rPr>
                <w:rFonts w:ascii="宋体" w:hAnsi="宋体" w:eastAsia="宋体" w:cs="宋体"/>
                <w:spacing w:val="15"/>
                <w:sz w:val="20"/>
                <w:szCs w:val="20"/>
              </w:rPr>
              <w:t>项目非</w:t>
            </w:r>
            <w:r>
              <w:rPr>
                <w:rFonts w:ascii="Times New Roman" w:hAnsi="Times New Roman" w:eastAsia="Times New Roman" w:cs="Times New Roman"/>
                <w:spacing w:val="15"/>
                <w:sz w:val="20"/>
                <w:szCs w:val="20"/>
              </w:rPr>
              <w:t>“</w:t>
            </w:r>
            <w:r>
              <w:rPr>
                <w:rFonts w:ascii="宋体" w:hAnsi="宋体" w:eastAsia="宋体" w:cs="宋体"/>
                <w:spacing w:val="15"/>
                <w:sz w:val="20"/>
                <w:szCs w:val="20"/>
              </w:rPr>
              <w:t>两高</w:t>
            </w:r>
            <w:r>
              <w:rPr>
                <w:rFonts w:ascii="Times New Roman" w:hAnsi="Times New Roman" w:eastAsia="Times New Roman" w:cs="Times New Roman"/>
                <w:spacing w:val="15"/>
                <w:sz w:val="20"/>
                <w:szCs w:val="20"/>
              </w:rPr>
              <w:t>”</w:t>
            </w:r>
            <w:r>
              <w:rPr>
                <w:rFonts w:ascii="宋体" w:hAnsi="宋体" w:eastAsia="宋体" w:cs="宋体"/>
                <w:spacing w:val="15"/>
                <w:sz w:val="20"/>
                <w:szCs w:val="20"/>
              </w:rPr>
              <w:t>行业。</w:t>
            </w:r>
          </w:p>
        </w:tc>
        <w:tc>
          <w:tcPr>
            <w:tcW w:w="1048" w:type="dxa"/>
            <w:tcBorders>
              <w:left w:val="single" w:color="000000" w:sz="4" w:space="0"/>
              <w:right w:val="nil"/>
            </w:tcBorders>
            <w:vAlign w:val="top"/>
          </w:tcPr>
          <w:p w14:paraId="0AE14232">
            <w:pPr>
              <w:spacing w:before="54" w:line="228" w:lineRule="auto"/>
              <w:ind w:left="308"/>
              <w:rPr>
                <w:rFonts w:ascii="宋体" w:hAnsi="宋体" w:eastAsia="宋体" w:cs="宋体"/>
                <w:sz w:val="20"/>
                <w:szCs w:val="20"/>
              </w:rPr>
            </w:pPr>
            <w:r>
              <w:rPr>
                <w:rFonts w:ascii="宋体" w:hAnsi="宋体" w:eastAsia="宋体" w:cs="宋体"/>
                <w:spacing w:val="10"/>
                <w:sz w:val="20"/>
                <w:szCs w:val="20"/>
              </w:rPr>
              <w:t>符</w:t>
            </w:r>
            <w:r>
              <w:rPr>
                <w:rFonts w:ascii="宋体" w:hAnsi="宋体" w:eastAsia="宋体" w:cs="宋体"/>
                <w:spacing w:val="9"/>
                <w:sz w:val="20"/>
                <w:szCs w:val="20"/>
              </w:rPr>
              <w:t>合</w:t>
            </w:r>
          </w:p>
        </w:tc>
      </w:tr>
      <w:tr w14:paraId="3C0A8A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3687" w:type="dxa"/>
            <w:tcBorders>
              <w:left w:val="nil"/>
              <w:right w:val="single" w:color="000000" w:sz="4" w:space="0"/>
            </w:tcBorders>
            <w:vAlign w:val="top"/>
          </w:tcPr>
          <w:p w14:paraId="44CBB546">
            <w:pPr>
              <w:spacing w:before="54" w:line="228" w:lineRule="auto"/>
              <w:ind w:left="31"/>
              <w:rPr>
                <w:rFonts w:ascii="宋体" w:hAnsi="宋体" w:eastAsia="宋体" w:cs="宋体"/>
                <w:sz w:val="20"/>
                <w:szCs w:val="20"/>
              </w:rPr>
            </w:pPr>
            <w:r>
              <w:rPr>
                <w:rFonts w:ascii="Times New Roman" w:hAnsi="Times New Roman" w:eastAsia="Times New Roman" w:cs="Times New Roman"/>
                <w:spacing w:val="8"/>
                <w:sz w:val="20"/>
                <w:szCs w:val="20"/>
              </w:rPr>
              <w:t>9</w:t>
            </w:r>
            <w:r>
              <w:rPr>
                <w:rFonts w:ascii="Times New Roman" w:hAnsi="Times New Roman" w:eastAsia="Times New Roman" w:cs="Times New Roman"/>
                <w:spacing w:val="7"/>
                <w:sz w:val="20"/>
                <w:szCs w:val="20"/>
              </w:rPr>
              <w:t>.</w:t>
            </w:r>
            <w:r>
              <w:rPr>
                <w:rFonts w:ascii="宋体" w:hAnsi="宋体" w:eastAsia="宋体" w:cs="宋体"/>
                <w:spacing w:val="7"/>
                <w:sz w:val="20"/>
                <w:szCs w:val="20"/>
              </w:rPr>
              <w:t>深入开展</w:t>
            </w:r>
            <w:r>
              <w:rPr>
                <w:rFonts w:ascii="Times New Roman" w:hAnsi="Times New Roman" w:eastAsia="Times New Roman" w:cs="Times New Roman"/>
                <w:spacing w:val="7"/>
                <w:sz w:val="20"/>
                <w:szCs w:val="20"/>
              </w:rPr>
              <w:t>“</w:t>
            </w:r>
            <w:r>
              <w:rPr>
                <w:rFonts w:ascii="宋体" w:hAnsi="宋体" w:eastAsia="宋体" w:cs="宋体"/>
                <w:spacing w:val="7"/>
                <w:sz w:val="20"/>
                <w:szCs w:val="20"/>
              </w:rPr>
              <w:t>散乱污</w:t>
            </w:r>
            <w:r>
              <w:rPr>
                <w:rFonts w:ascii="Times New Roman" w:hAnsi="Times New Roman" w:eastAsia="Times New Roman" w:cs="Times New Roman"/>
                <w:spacing w:val="7"/>
                <w:sz w:val="20"/>
                <w:szCs w:val="20"/>
              </w:rPr>
              <w:t>”</w:t>
            </w:r>
            <w:r>
              <w:rPr>
                <w:rFonts w:ascii="宋体" w:hAnsi="宋体" w:eastAsia="宋体" w:cs="宋体"/>
                <w:spacing w:val="7"/>
                <w:sz w:val="20"/>
                <w:szCs w:val="20"/>
              </w:rPr>
              <w:t>企业整治。</w:t>
            </w:r>
          </w:p>
        </w:tc>
        <w:tc>
          <w:tcPr>
            <w:tcW w:w="3616" w:type="dxa"/>
            <w:tcBorders>
              <w:left w:val="single" w:color="000000" w:sz="4" w:space="0"/>
              <w:right w:val="single" w:color="000000" w:sz="4" w:space="0"/>
            </w:tcBorders>
            <w:vAlign w:val="top"/>
          </w:tcPr>
          <w:p w14:paraId="3EB2BA45">
            <w:pPr>
              <w:spacing w:before="180" w:line="142" w:lineRule="exact"/>
              <w:ind w:left="1693"/>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c>
          <w:tcPr>
            <w:tcW w:w="1048" w:type="dxa"/>
            <w:tcBorders>
              <w:left w:val="single" w:color="000000" w:sz="4" w:space="0"/>
              <w:right w:val="nil"/>
            </w:tcBorders>
            <w:vAlign w:val="top"/>
          </w:tcPr>
          <w:p w14:paraId="616B39DB">
            <w:pPr>
              <w:spacing w:before="180" w:line="142" w:lineRule="exact"/>
              <w:ind w:left="410"/>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r>
      <w:tr w14:paraId="50C799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3687" w:type="dxa"/>
            <w:tcBorders>
              <w:left w:val="nil"/>
              <w:right w:val="single" w:color="000000" w:sz="4" w:space="0"/>
            </w:tcBorders>
            <w:vAlign w:val="top"/>
          </w:tcPr>
          <w:p w14:paraId="3C0724E9">
            <w:pPr>
              <w:spacing w:line="300" w:lineRule="auto"/>
              <w:rPr>
                <w:rFonts w:ascii="Arial"/>
                <w:sz w:val="21"/>
              </w:rPr>
            </w:pPr>
          </w:p>
          <w:p w14:paraId="77CFB251">
            <w:pPr>
              <w:spacing w:before="65" w:line="228" w:lineRule="auto"/>
              <w:ind w:left="47"/>
              <w:rPr>
                <w:rFonts w:ascii="宋体" w:hAnsi="宋体" w:eastAsia="宋体" w:cs="宋体"/>
                <w:sz w:val="20"/>
                <w:szCs w:val="20"/>
              </w:rPr>
            </w:pPr>
            <w:r>
              <w:rPr>
                <w:rFonts w:ascii="Times New Roman" w:hAnsi="Times New Roman" w:eastAsia="Times New Roman" w:cs="Times New Roman"/>
                <w:spacing w:val="9"/>
                <w:sz w:val="20"/>
                <w:szCs w:val="20"/>
              </w:rPr>
              <w:t>1</w:t>
            </w:r>
            <w:r>
              <w:rPr>
                <w:rFonts w:ascii="Times New Roman" w:hAnsi="Times New Roman" w:eastAsia="Times New Roman" w:cs="Times New Roman"/>
                <w:spacing w:val="5"/>
                <w:sz w:val="20"/>
                <w:szCs w:val="20"/>
              </w:rPr>
              <w:t>0.</w:t>
            </w:r>
            <w:r>
              <w:rPr>
                <w:rFonts w:ascii="宋体" w:hAnsi="宋体" w:eastAsia="宋体" w:cs="宋体"/>
                <w:spacing w:val="5"/>
                <w:sz w:val="20"/>
                <w:szCs w:val="20"/>
              </w:rPr>
              <w:t>深化工业污染治理。</w:t>
            </w:r>
          </w:p>
        </w:tc>
        <w:tc>
          <w:tcPr>
            <w:tcW w:w="3616" w:type="dxa"/>
            <w:tcBorders>
              <w:left w:val="single" w:color="000000" w:sz="4" w:space="0"/>
              <w:right w:val="single" w:color="000000" w:sz="4" w:space="0"/>
            </w:tcBorders>
            <w:vAlign w:val="top"/>
          </w:tcPr>
          <w:p w14:paraId="7599EBCB">
            <w:pPr>
              <w:spacing w:before="17" w:line="281" w:lineRule="exact"/>
              <w:ind w:left="26"/>
              <w:rPr>
                <w:rFonts w:ascii="宋体" w:hAnsi="宋体" w:eastAsia="宋体" w:cs="宋体"/>
                <w:sz w:val="20"/>
                <w:szCs w:val="20"/>
              </w:rPr>
            </w:pPr>
            <w:r>
              <w:rPr>
                <w:rFonts w:ascii="宋体" w:hAnsi="宋体" w:eastAsia="宋体" w:cs="宋体"/>
                <w:spacing w:val="10"/>
                <w:position w:val="1"/>
                <w:sz w:val="20"/>
                <w:szCs w:val="20"/>
              </w:rPr>
              <w:t>本</w:t>
            </w:r>
            <w:r>
              <w:rPr>
                <w:rFonts w:ascii="宋体" w:hAnsi="宋体" w:eastAsia="宋体" w:cs="宋体"/>
                <w:spacing w:val="6"/>
                <w:position w:val="1"/>
                <w:sz w:val="20"/>
                <w:szCs w:val="20"/>
              </w:rPr>
              <w:t>项</w:t>
            </w:r>
            <w:r>
              <w:rPr>
                <w:rFonts w:ascii="宋体" w:hAnsi="宋体" w:eastAsia="宋体" w:cs="宋体"/>
                <w:spacing w:val="5"/>
                <w:position w:val="1"/>
                <w:sz w:val="20"/>
                <w:szCs w:val="20"/>
              </w:rPr>
              <w:t xml:space="preserve">目新建 </w:t>
            </w:r>
            <w:r>
              <w:rPr>
                <w:rFonts w:ascii="Times New Roman" w:hAnsi="Times New Roman" w:eastAsia="Times New Roman" w:cs="Times New Roman"/>
                <w:spacing w:val="5"/>
                <w:position w:val="1"/>
                <w:sz w:val="20"/>
                <w:szCs w:val="20"/>
              </w:rPr>
              <w:t xml:space="preserve">1 </w:t>
            </w:r>
            <w:r>
              <w:rPr>
                <w:rFonts w:ascii="宋体" w:hAnsi="宋体" w:eastAsia="宋体" w:cs="宋体"/>
                <w:spacing w:val="5"/>
                <w:position w:val="1"/>
                <w:sz w:val="20"/>
                <w:szCs w:val="20"/>
              </w:rPr>
              <w:t>台</w:t>
            </w:r>
            <w:r>
              <w:rPr>
                <w:rFonts w:ascii="Times New Roman" w:hAnsi="Times New Roman" w:eastAsia="Times New Roman" w:cs="Times New Roman"/>
                <w:spacing w:val="5"/>
                <w:position w:val="1"/>
                <w:sz w:val="20"/>
                <w:szCs w:val="20"/>
              </w:rPr>
              <w:t>2</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5"/>
                <w:position w:val="1"/>
                <w:sz w:val="20"/>
                <w:szCs w:val="20"/>
              </w:rPr>
              <w:t xml:space="preserve"> </w:t>
            </w:r>
            <w:r>
              <w:rPr>
                <w:rFonts w:ascii="宋体" w:hAnsi="宋体" w:eastAsia="宋体" w:cs="宋体"/>
                <w:spacing w:val="5"/>
                <w:position w:val="1"/>
                <w:sz w:val="20"/>
                <w:szCs w:val="20"/>
              </w:rPr>
              <w:t>热风炉用于洗字槽加</w:t>
            </w:r>
          </w:p>
          <w:p w14:paraId="3DFF6F15">
            <w:pPr>
              <w:spacing w:before="68" w:line="258" w:lineRule="auto"/>
              <w:ind w:left="856" w:hanging="827"/>
              <w:rPr>
                <w:rFonts w:ascii="宋体" w:hAnsi="宋体" w:eastAsia="宋体" w:cs="宋体"/>
                <w:sz w:val="20"/>
                <w:szCs w:val="20"/>
              </w:rPr>
            </w:pPr>
            <w:r>
              <w:rPr>
                <w:rFonts w:ascii="宋体" w:hAnsi="宋体" w:eastAsia="宋体" w:cs="宋体"/>
                <w:spacing w:val="-2"/>
                <w:sz w:val="20"/>
                <w:szCs w:val="20"/>
              </w:rPr>
              <w:t>热，热风炉采</w:t>
            </w:r>
            <w:r>
              <w:rPr>
                <w:rFonts w:ascii="宋体" w:hAnsi="宋体" w:eastAsia="宋体" w:cs="宋体"/>
                <w:spacing w:val="-1"/>
                <w:sz w:val="20"/>
                <w:szCs w:val="20"/>
              </w:rPr>
              <w:t>用成型生物质燃料为燃料，</w:t>
            </w:r>
            <w:r>
              <w:rPr>
                <w:rFonts w:ascii="宋体" w:hAnsi="宋体" w:eastAsia="宋体" w:cs="宋体"/>
                <w:sz w:val="20"/>
                <w:szCs w:val="20"/>
              </w:rPr>
              <w:t xml:space="preserve"> </w:t>
            </w:r>
            <w:r>
              <w:rPr>
                <w:rFonts w:ascii="宋体" w:hAnsi="宋体" w:eastAsia="宋体" w:cs="宋体"/>
                <w:spacing w:val="6"/>
                <w:sz w:val="20"/>
                <w:szCs w:val="20"/>
              </w:rPr>
              <w:t>执行特别排放限值</w:t>
            </w:r>
            <w:r>
              <w:rPr>
                <w:rFonts w:ascii="宋体" w:hAnsi="宋体" w:eastAsia="宋体" w:cs="宋体"/>
                <w:spacing w:val="5"/>
                <w:sz w:val="20"/>
                <w:szCs w:val="20"/>
              </w:rPr>
              <w:t>。</w:t>
            </w:r>
          </w:p>
        </w:tc>
        <w:tc>
          <w:tcPr>
            <w:tcW w:w="1048" w:type="dxa"/>
            <w:tcBorders>
              <w:left w:val="single" w:color="000000" w:sz="4" w:space="0"/>
              <w:right w:val="nil"/>
            </w:tcBorders>
            <w:vAlign w:val="top"/>
          </w:tcPr>
          <w:p w14:paraId="72A6CF44">
            <w:pPr>
              <w:spacing w:line="299" w:lineRule="auto"/>
              <w:rPr>
                <w:rFonts w:ascii="Arial"/>
                <w:sz w:val="21"/>
              </w:rPr>
            </w:pPr>
          </w:p>
          <w:p w14:paraId="057C8C40">
            <w:pPr>
              <w:spacing w:before="65" w:line="228" w:lineRule="auto"/>
              <w:ind w:left="308"/>
              <w:rPr>
                <w:rFonts w:ascii="宋体" w:hAnsi="宋体" w:eastAsia="宋体" w:cs="宋体"/>
                <w:sz w:val="20"/>
                <w:szCs w:val="20"/>
              </w:rPr>
            </w:pPr>
            <w:r>
              <w:rPr>
                <w:rFonts w:ascii="宋体" w:hAnsi="宋体" w:eastAsia="宋体" w:cs="宋体"/>
                <w:spacing w:val="10"/>
                <w:sz w:val="20"/>
                <w:szCs w:val="20"/>
              </w:rPr>
              <w:t>符</w:t>
            </w:r>
            <w:r>
              <w:rPr>
                <w:rFonts w:ascii="宋体" w:hAnsi="宋体" w:eastAsia="宋体" w:cs="宋体"/>
                <w:spacing w:val="9"/>
                <w:sz w:val="20"/>
                <w:szCs w:val="20"/>
              </w:rPr>
              <w:t>合</w:t>
            </w:r>
          </w:p>
        </w:tc>
      </w:tr>
      <w:tr w14:paraId="08A608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3687" w:type="dxa"/>
            <w:tcBorders>
              <w:left w:val="nil"/>
              <w:right w:val="single" w:color="000000" w:sz="4" w:space="0"/>
            </w:tcBorders>
            <w:vAlign w:val="top"/>
          </w:tcPr>
          <w:p w14:paraId="10BDE5CB">
            <w:pPr>
              <w:spacing w:before="57" w:line="228" w:lineRule="auto"/>
              <w:ind w:left="47"/>
              <w:rPr>
                <w:rFonts w:ascii="宋体" w:hAnsi="宋体" w:eastAsia="宋体" w:cs="宋体"/>
                <w:sz w:val="20"/>
                <w:szCs w:val="20"/>
              </w:rPr>
            </w:pPr>
            <w:r>
              <w:rPr>
                <w:rFonts w:ascii="Times New Roman" w:hAnsi="Times New Roman" w:eastAsia="Times New Roman" w:cs="Times New Roman"/>
                <w:spacing w:val="7"/>
                <w:sz w:val="20"/>
                <w:szCs w:val="20"/>
              </w:rPr>
              <w:t>1</w:t>
            </w:r>
            <w:r>
              <w:rPr>
                <w:rFonts w:ascii="Times New Roman" w:hAnsi="Times New Roman" w:eastAsia="Times New Roman" w:cs="Times New Roman"/>
                <w:spacing w:val="6"/>
                <w:sz w:val="20"/>
                <w:szCs w:val="20"/>
              </w:rPr>
              <w:t>1.</w:t>
            </w:r>
            <w:r>
              <w:rPr>
                <w:rFonts w:ascii="宋体" w:hAnsi="宋体" w:eastAsia="宋体" w:cs="宋体"/>
                <w:spacing w:val="6"/>
                <w:sz w:val="20"/>
                <w:szCs w:val="20"/>
              </w:rPr>
              <w:t>开展工业炉窑治理专项行动。</w:t>
            </w:r>
          </w:p>
        </w:tc>
        <w:tc>
          <w:tcPr>
            <w:tcW w:w="3616" w:type="dxa"/>
            <w:tcBorders>
              <w:left w:val="single" w:color="000000" w:sz="4" w:space="0"/>
              <w:right w:val="single" w:color="000000" w:sz="4" w:space="0"/>
            </w:tcBorders>
            <w:vAlign w:val="top"/>
          </w:tcPr>
          <w:p w14:paraId="624D9B22">
            <w:pPr>
              <w:spacing w:before="182" w:line="138" w:lineRule="exact"/>
              <w:ind w:left="1693"/>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c>
          <w:tcPr>
            <w:tcW w:w="1048" w:type="dxa"/>
            <w:tcBorders>
              <w:left w:val="single" w:color="000000" w:sz="4" w:space="0"/>
              <w:right w:val="nil"/>
            </w:tcBorders>
            <w:vAlign w:val="top"/>
          </w:tcPr>
          <w:p w14:paraId="7A1036B2">
            <w:pPr>
              <w:spacing w:before="182" w:line="138" w:lineRule="exact"/>
              <w:ind w:left="410"/>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r>
      <w:tr w14:paraId="489C8B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3687" w:type="dxa"/>
            <w:tcBorders>
              <w:left w:val="nil"/>
              <w:right w:val="single" w:color="000000" w:sz="4" w:space="0"/>
            </w:tcBorders>
            <w:vAlign w:val="top"/>
          </w:tcPr>
          <w:p w14:paraId="1129211E">
            <w:pPr>
              <w:spacing w:before="58" w:line="228" w:lineRule="auto"/>
              <w:ind w:left="47"/>
              <w:rPr>
                <w:rFonts w:ascii="宋体" w:hAnsi="宋体" w:eastAsia="宋体" w:cs="宋体"/>
                <w:sz w:val="20"/>
                <w:szCs w:val="20"/>
              </w:rPr>
            </w:pPr>
            <w:r>
              <w:rPr>
                <w:rFonts w:ascii="Times New Roman" w:hAnsi="Times New Roman" w:eastAsia="Times New Roman" w:cs="Times New Roman"/>
                <w:spacing w:val="10"/>
                <w:sz w:val="20"/>
                <w:szCs w:val="20"/>
              </w:rPr>
              <w:t>1</w:t>
            </w:r>
            <w:r>
              <w:rPr>
                <w:rFonts w:ascii="Times New Roman" w:hAnsi="Times New Roman" w:eastAsia="Times New Roman" w:cs="Times New Roman"/>
                <w:spacing w:val="7"/>
                <w:sz w:val="20"/>
                <w:szCs w:val="20"/>
              </w:rPr>
              <w:t>2.</w:t>
            </w:r>
            <w:r>
              <w:rPr>
                <w:rFonts w:ascii="宋体" w:hAnsi="宋体" w:eastAsia="宋体" w:cs="宋体"/>
                <w:spacing w:val="7"/>
                <w:sz w:val="20"/>
                <w:szCs w:val="20"/>
              </w:rPr>
              <w:t>强化重点污染源自动监控体系建设。</w:t>
            </w:r>
          </w:p>
        </w:tc>
        <w:tc>
          <w:tcPr>
            <w:tcW w:w="3616" w:type="dxa"/>
            <w:tcBorders>
              <w:left w:val="single" w:color="000000" w:sz="4" w:space="0"/>
              <w:right w:val="single" w:color="000000" w:sz="4" w:space="0"/>
            </w:tcBorders>
            <w:vAlign w:val="top"/>
          </w:tcPr>
          <w:p w14:paraId="52A77C2D">
            <w:pPr>
              <w:spacing w:before="182" w:line="138" w:lineRule="exact"/>
              <w:ind w:left="1693"/>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c>
          <w:tcPr>
            <w:tcW w:w="1048" w:type="dxa"/>
            <w:tcBorders>
              <w:left w:val="single" w:color="000000" w:sz="4" w:space="0"/>
              <w:right w:val="nil"/>
            </w:tcBorders>
            <w:vAlign w:val="top"/>
          </w:tcPr>
          <w:p w14:paraId="738AF6A9">
            <w:pPr>
              <w:spacing w:before="182" w:line="138" w:lineRule="exact"/>
              <w:ind w:left="410"/>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r>
      <w:tr w14:paraId="6BC1B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3687" w:type="dxa"/>
            <w:tcBorders>
              <w:left w:val="nil"/>
              <w:right w:val="single" w:color="000000" w:sz="4" w:space="0"/>
            </w:tcBorders>
            <w:vAlign w:val="top"/>
          </w:tcPr>
          <w:p w14:paraId="1FF1DDAF">
            <w:pPr>
              <w:spacing w:before="57" w:line="228" w:lineRule="auto"/>
              <w:ind w:left="47"/>
              <w:rPr>
                <w:rFonts w:ascii="宋体" w:hAnsi="宋体" w:eastAsia="宋体" w:cs="宋体"/>
                <w:sz w:val="20"/>
                <w:szCs w:val="20"/>
              </w:rPr>
            </w:pPr>
            <w:r>
              <w:rPr>
                <w:rFonts w:ascii="Times New Roman" w:hAnsi="Times New Roman" w:eastAsia="Times New Roman" w:cs="Times New Roman"/>
                <w:spacing w:val="6"/>
                <w:sz w:val="20"/>
                <w:szCs w:val="20"/>
              </w:rPr>
              <w:t>13.</w:t>
            </w:r>
            <w:r>
              <w:rPr>
                <w:rFonts w:ascii="宋体" w:hAnsi="宋体" w:eastAsia="宋体" w:cs="宋体"/>
                <w:spacing w:val="6"/>
                <w:sz w:val="20"/>
                <w:szCs w:val="20"/>
              </w:rPr>
              <w:t>整治镁产业区域污染</w:t>
            </w:r>
            <w:r>
              <w:rPr>
                <w:rFonts w:ascii="宋体" w:hAnsi="宋体" w:eastAsia="宋体" w:cs="宋体"/>
                <w:spacing w:val="4"/>
                <w:sz w:val="20"/>
                <w:szCs w:val="20"/>
              </w:rPr>
              <w:t>。</w:t>
            </w:r>
          </w:p>
        </w:tc>
        <w:tc>
          <w:tcPr>
            <w:tcW w:w="3616" w:type="dxa"/>
            <w:tcBorders>
              <w:left w:val="single" w:color="000000" w:sz="4" w:space="0"/>
              <w:right w:val="single" w:color="000000" w:sz="4" w:space="0"/>
            </w:tcBorders>
            <w:vAlign w:val="top"/>
          </w:tcPr>
          <w:p w14:paraId="3B5B8E73">
            <w:pPr>
              <w:spacing w:before="183" w:line="137" w:lineRule="exact"/>
              <w:ind w:left="1693"/>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c>
          <w:tcPr>
            <w:tcW w:w="1048" w:type="dxa"/>
            <w:tcBorders>
              <w:left w:val="single" w:color="000000" w:sz="4" w:space="0"/>
              <w:right w:val="nil"/>
            </w:tcBorders>
            <w:vAlign w:val="top"/>
          </w:tcPr>
          <w:p w14:paraId="21DA5EEC">
            <w:pPr>
              <w:spacing w:before="183" w:line="137" w:lineRule="exact"/>
              <w:ind w:left="410"/>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r>
      <w:tr w14:paraId="01EB59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 w:hRule="atLeast"/>
        </w:trPr>
        <w:tc>
          <w:tcPr>
            <w:tcW w:w="3687" w:type="dxa"/>
            <w:tcBorders>
              <w:left w:val="nil"/>
              <w:right w:val="single" w:color="000000" w:sz="4" w:space="0"/>
            </w:tcBorders>
            <w:vAlign w:val="top"/>
          </w:tcPr>
          <w:p w14:paraId="3C1A1194">
            <w:pPr>
              <w:spacing w:before="58" w:line="228" w:lineRule="auto"/>
              <w:ind w:left="47"/>
              <w:rPr>
                <w:rFonts w:ascii="宋体" w:hAnsi="宋体" w:eastAsia="宋体" w:cs="宋体"/>
                <w:sz w:val="20"/>
                <w:szCs w:val="20"/>
              </w:rPr>
            </w:pPr>
            <w:r>
              <w:rPr>
                <w:rFonts w:ascii="Times New Roman" w:hAnsi="Times New Roman" w:eastAsia="Times New Roman" w:cs="Times New Roman"/>
                <w:spacing w:val="6"/>
                <w:sz w:val="20"/>
                <w:szCs w:val="20"/>
              </w:rPr>
              <w:t>14.</w:t>
            </w:r>
            <w:r>
              <w:rPr>
                <w:rFonts w:ascii="宋体" w:hAnsi="宋体" w:eastAsia="宋体" w:cs="宋体"/>
                <w:spacing w:val="6"/>
                <w:sz w:val="20"/>
                <w:szCs w:val="20"/>
              </w:rPr>
              <w:t>大力培育绿色环保产业。</w:t>
            </w:r>
          </w:p>
        </w:tc>
        <w:tc>
          <w:tcPr>
            <w:tcW w:w="3616" w:type="dxa"/>
            <w:tcBorders>
              <w:left w:val="single" w:color="000000" w:sz="4" w:space="0"/>
              <w:right w:val="single" w:color="000000" w:sz="4" w:space="0"/>
            </w:tcBorders>
            <w:vAlign w:val="top"/>
          </w:tcPr>
          <w:p w14:paraId="6ED8B4E8">
            <w:pPr>
              <w:spacing w:before="183" w:line="142" w:lineRule="exact"/>
              <w:ind w:left="1693"/>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c>
          <w:tcPr>
            <w:tcW w:w="1048" w:type="dxa"/>
            <w:tcBorders>
              <w:left w:val="single" w:color="000000" w:sz="4" w:space="0"/>
              <w:right w:val="nil"/>
            </w:tcBorders>
            <w:vAlign w:val="top"/>
          </w:tcPr>
          <w:p w14:paraId="2231C1A2">
            <w:pPr>
              <w:spacing w:before="183" w:line="142" w:lineRule="exact"/>
              <w:ind w:left="410"/>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r>
    </w:tbl>
    <w:p w14:paraId="4E3FF915">
      <w:pPr>
        <w:spacing w:before="53" w:line="228" w:lineRule="auto"/>
        <w:ind w:left="41"/>
        <w:rPr>
          <w:rFonts w:ascii="宋体" w:hAnsi="宋体" w:eastAsia="宋体" w:cs="宋体"/>
          <w:sz w:val="20"/>
          <w:szCs w:val="20"/>
        </w:rPr>
      </w:pPr>
      <w:r>
        <w:rPr>
          <w:rFonts w:ascii="宋体" w:hAnsi="宋体" w:eastAsia="宋体" w:cs="宋体"/>
          <w:spacing w:val="23"/>
          <w:sz w:val="20"/>
          <w:szCs w:val="20"/>
        </w:rPr>
        <w:t>(</w:t>
      </w:r>
      <w:r>
        <w:rPr>
          <w:rFonts w:ascii="宋体" w:hAnsi="宋体" w:eastAsia="宋体" w:cs="宋体"/>
          <w:spacing w:val="12"/>
          <w:sz w:val="20"/>
          <w:szCs w:val="20"/>
        </w:rPr>
        <w:t>三) 积极调整交通运输结构，促进绿色低碳出行。</w:t>
      </w:r>
    </w:p>
    <w:p w14:paraId="7D0EDE90">
      <w:pPr>
        <w:spacing w:line="137" w:lineRule="auto"/>
        <w:rPr>
          <w:rFonts w:ascii="Arial"/>
          <w:sz w:val="2"/>
        </w:rPr>
      </w:pPr>
    </w:p>
    <w:tbl>
      <w:tblPr>
        <w:tblStyle w:val="4"/>
        <w:tblW w:w="835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686"/>
        <w:gridCol w:w="3617"/>
        <w:gridCol w:w="1048"/>
      </w:tblGrid>
      <w:tr w14:paraId="4F6109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3686" w:type="dxa"/>
            <w:tcBorders>
              <w:left w:val="nil"/>
              <w:right w:val="single" w:color="000000" w:sz="4" w:space="0"/>
            </w:tcBorders>
            <w:vAlign w:val="top"/>
          </w:tcPr>
          <w:p w14:paraId="3AFE93A2">
            <w:pPr>
              <w:spacing w:before="186" w:line="227" w:lineRule="auto"/>
              <w:ind w:left="47"/>
              <w:rPr>
                <w:rFonts w:ascii="宋体" w:hAnsi="宋体" w:eastAsia="宋体" w:cs="宋体"/>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4"/>
                <w:sz w:val="20"/>
                <w:szCs w:val="20"/>
              </w:rPr>
              <w:t>5.</w:t>
            </w:r>
            <w:r>
              <w:rPr>
                <w:rFonts w:ascii="宋体" w:hAnsi="宋体" w:eastAsia="宋体" w:cs="宋体"/>
                <w:spacing w:val="4"/>
                <w:sz w:val="20"/>
                <w:szCs w:val="20"/>
              </w:rPr>
              <w:t>改善货运结构。</w:t>
            </w:r>
          </w:p>
        </w:tc>
        <w:tc>
          <w:tcPr>
            <w:tcW w:w="3617" w:type="dxa"/>
            <w:tcBorders>
              <w:left w:val="single" w:color="000000" w:sz="4" w:space="0"/>
              <w:right w:val="single" w:color="000000" w:sz="4" w:space="0"/>
            </w:tcBorders>
            <w:vAlign w:val="top"/>
          </w:tcPr>
          <w:p w14:paraId="125B262F">
            <w:pPr>
              <w:spacing w:line="252" w:lineRule="auto"/>
              <w:rPr>
                <w:rFonts w:ascii="Arial"/>
                <w:sz w:val="21"/>
              </w:rPr>
            </w:pPr>
          </w:p>
          <w:p w14:paraId="647C47B5">
            <w:pPr>
              <w:spacing w:before="58" w:line="142" w:lineRule="exact"/>
              <w:ind w:left="1694"/>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c>
          <w:tcPr>
            <w:tcW w:w="1048" w:type="dxa"/>
            <w:tcBorders>
              <w:left w:val="single" w:color="000000" w:sz="4" w:space="0"/>
              <w:right w:val="nil"/>
            </w:tcBorders>
            <w:vAlign w:val="top"/>
          </w:tcPr>
          <w:p w14:paraId="67F55C1F">
            <w:pPr>
              <w:spacing w:line="252" w:lineRule="auto"/>
              <w:rPr>
                <w:rFonts w:ascii="Arial"/>
                <w:sz w:val="21"/>
              </w:rPr>
            </w:pPr>
          </w:p>
          <w:p w14:paraId="68541578">
            <w:pPr>
              <w:spacing w:before="58" w:line="142" w:lineRule="exact"/>
              <w:ind w:left="410"/>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r>
      <w:tr w14:paraId="4FF75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3686" w:type="dxa"/>
            <w:tcBorders>
              <w:left w:val="nil"/>
              <w:right w:val="single" w:color="000000" w:sz="4" w:space="0"/>
            </w:tcBorders>
            <w:vAlign w:val="top"/>
          </w:tcPr>
          <w:p w14:paraId="1E93178A">
            <w:pPr>
              <w:spacing w:before="54" w:line="228" w:lineRule="auto"/>
              <w:ind w:left="47"/>
              <w:rPr>
                <w:rFonts w:ascii="宋体" w:hAnsi="宋体" w:eastAsia="宋体" w:cs="宋体"/>
                <w:sz w:val="20"/>
                <w:szCs w:val="20"/>
              </w:rPr>
            </w:pPr>
            <w:r>
              <w:rPr>
                <w:rFonts w:ascii="Times New Roman" w:hAnsi="Times New Roman" w:eastAsia="Times New Roman" w:cs="Times New Roman"/>
                <w:spacing w:val="9"/>
                <w:sz w:val="20"/>
                <w:szCs w:val="20"/>
              </w:rPr>
              <w:t>1</w:t>
            </w:r>
            <w:r>
              <w:rPr>
                <w:rFonts w:ascii="Times New Roman" w:hAnsi="Times New Roman" w:eastAsia="Times New Roman" w:cs="Times New Roman"/>
                <w:spacing w:val="5"/>
                <w:sz w:val="20"/>
                <w:szCs w:val="20"/>
              </w:rPr>
              <w:t>6.</w:t>
            </w:r>
            <w:r>
              <w:rPr>
                <w:rFonts w:ascii="宋体" w:hAnsi="宋体" w:eastAsia="宋体" w:cs="宋体"/>
                <w:spacing w:val="5"/>
                <w:sz w:val="20"/>
                <w:szCs w:val="20"/>
              </w:rPr>
              <w:t>加强油品质量管理。</w:t>
            </w:r>
          </w:p>
        </w:tc>
        <w:tc>
          <w:tcPr>
            <w:tcW w:w="3617" w:type="dxa"/>
            <w:tcBorders>
              <w:left w:val="single" w:color="000000" w:sz="4" w:space="0"/>
              <w:right w:val="single" w:color="000000" w:sz="4" w:space="0"/>
            </w:tcBorders>
            <w:vAlign w:val="top"/>
          </w:tcPr>
          <w:p w14:paraId="4B3EDFC9">
            <w:pPr>
              <w:spacing w:before="180" w:line="140" w:lineRule="exact"/>
              <w:ind w:left="1694"/>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c>
          <w:tcPr>
            <w:tcW w:w="1048" w:type="dxa"/>
            <w:tcBorders>
              <w:left w:val="single" w:color="000000" w:sz="4" w:space="0"/>
              <w:right w:val="nil"/>
            </w:tcBorders>
            <w:vAlign w:val="top"/>
          </w:tcPr>
          <w:p w14:paraId="32198C50">
            <w:pPr>
              <w:spacing w:before="180" w:line="140" w:lineRule="exact"/>
              <w:ind w:left="410"/>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r>
      <w:tr w14:paraId="78169D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3686" w:type="dxa"/>
            <w:tcBorders>
              <w:left w:val="nil"/>
              <w:right w:val="single" w:color="000000" w:sz="4" w:space="0"/>
            </w:tcBorders>
            <w:vAlign w:val="top"/>
          </w:tcPr>
          <w:p w14:paraId="2A0EBEBD">
            <w:pPr>
              <w:spacing w:before="56" w:line="228" w:lineRule="auto"/>
              <w:ind w:left="47"/>
              <w:rPr>
                <w:rFonts w:ascii="宋体" w:hAnsi="宋体" w:eastAsia="宋体" w:cs="宋体"/>
                <w:sz w:val="20"/>
                <w:szCs w:val="20"/>
              </w:rPr>
            </w:pPr>
            <w:r>
              <w:rPr>
                <w:rFonts w:ascii="Times New Roman" w:hAnsi="Times New Roman" w:eastAsia="Times New Roman" w:cs="Times New Roman"/>
                <w:spacing w:val="6"/>
                <w:sz w:val="20"/>
                <w:szCs w:val="20"/>
              </w:rPr>
              <w:t>17.</w:t>
            </w:r>
            <w:r>
              <w:rPr>
                <w:rFonts w:ascii="宋体" w:hAnsi="宋体" w:eastAsia="宋体" w:cs="宋体"/>
                <w:spacing w:val="6"/>
                <w:sz w:val="20"/>
                <w:szCs w:val="20"/>
              </w:rPr>
              <w:t>加强移动源污染防治</w:t>
            </w:r>
            <w:r>
              <w:rPr>
                <w:rFonts w:ascii="宋体" w:hAnsi="宋体" w:eastAsia="宋体" w:cs="宋体"/>
                <w:spacing w:val="4"/>
                <w:sz w:val="20"/>
                <w:szCs w:val="20"/>
              </w:rPr>
              <w:t>。</w:t>
            </w:r>
          </w:p>
        </w:tc>
        <w:tc>
          <w:tcPr>
            <w:tcW w:w="3617" w:type="dxa"/>
            <w:tcBorders>
              <w:left w:val="single" w:color="000000" w:sz="4" w:space="0"/>
              <w:right w:val="single" w:color="000000" w:sz="4" w:space="0"/>
            </w:tcBorders>
            <w:vAlign w:val="top"/>
          </w:tcPr>
          <w:p w14:paraId="08A2A03C">
            <w:pPr>
              <w:spacing w:before="180" w:line="140" w:lineRule="exact"/>
              <w:ind w:left="1694"/>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c>
          <w:tcPr>
            <w:tcW w:w="1048" w:type="dxa"/>
            <w:tcBorders>
              <w:left w:val="single" w:color="000000" w:sz="4" w:space="0"/>
              <w:right w:val="nil"/>
            </w:tcBorders>
            <w:vAlign w:val="top"/>
          </w:tcPr>
          <w:p w14:paraId="46A79EFA">
            <w:pPr>
              <w:spacing w:before="180" w:line="140" w:lineRule="exact"/>
              <w:ind w:left="410"/>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r>
      <w:tr w14:paraId="2A57A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3686" w:type="dxa"/>
            <w:tcBorders>
              <w:left w:val="nil"/>
              <w:right w:val="single" w:color="000000" w:sz="4" w:space="0"/>
            </w:tcBorders>
            <w:vAlign w:val="top"/>
          </w:tcPr>
          <w:p w14:paraId="2CDA3498">
            <w:pPr>
              <w:spacing w:before="59" w:line="260" w:lineRule="auto"/>
              <w:ind w:left="36" w:right="19" w:firstLine="11"/>
              <w:rPr>
                <w:rFonts w:ascii="宋体" w:hAnsi="宋体" w:eastAsia="宋体" w:cs="宋体"/>
                <w:sz w:val="20"/>
                <w:szCs w:val="20"/>
              </w:rPr>
            </w:pPr>
            <w:r>
              <w:rPr>
                <w:rFonts w:ascii="Times New Roman" w:hAnsi="Times New Roman" w:eastAsia="Times New Roman" w:cs="Times New Roman"/>
                <w:spacing w:val="26"/>
                <w:sz w:val="20"/>
                <w:szCs w:val="20"/>
              </w:rPr>
              <w:t>1</w:t>
            </w:r>
            <w:r>
              <w:rPr>
                <w:rFonts w:ascii="Times New Roman" w:hAnsi="Times New Roman" w:eastAsia="Times New Roman" w:cs="Times New Roman"/>
                <w:spacing w:val="16"/>
                <w:sz w:val="20"/>
                <w:szCs w:val="20"/>
              </w:rPr>
              <w:t xml:space="preserve">8. </w:t>
            </w:r>
            <w:r>
              <w:rPr>
                <w:rFonts w:ascii="宋体" w:hAnsi="宋体" w:eastAsia="宋体" w:cs="宋体"/>
                <w:spacing w:val="16"/>
                <w:sz w:val="20"/>
                <w:szCs w:val="20"/>
              </w:rPr>
              <w:t>加强非道路移动机械和船舶污染防</w:t>
            </w:r>
            <w:r>
              <w:rPr>
                <w:rFonts w:ascii="宋体" w:hAnsi="宋体" w:eastAsia="宋体" w:cs="宋体"/>
                <w:sz w:val="20"/>
                <w:szCs w:val="20"/>
              </w:rPr>
              <w:t xml:space="preserve"> </w:t>
            </w:r>
            <w:r>
              <w:rPr>
                <w:rFonts w:ascii="宋体" w:hAnsi="宋体" w:eastAsia="宋体" w:cs="宋体"/>
                <w:spacing w:val="-3"/>
                <w:sz w:val="20"/>
                <w:szCs w:val="20"/>
              </w:rPr>
              <w:t>治</w:t>
            </w:r>
            <w:r>
              <w:rPr>
                <w:rFonts w:ascii="宋体" w:hAnsi="宋体" w:eastAsia="宋体" w:cs="宋体"/>
                <w:spacing w:val="-2"/>
                <w:sz w:val="20"/>
                <w:szCs w:val="20"/>
              </w:rPr>
              <w:t>。</w:t>
            </w:r>
          </w:p>
        </w:tc>
        <w:tc>
          <w:tcPr>
            <w:tcW w:w="3617" w:type="dxa"/>
            <w:tcBorders>
              <w:left w:val="single" w:color="000000" w:sz="4" w:space="0"/>
              <w:right w:val="single" w:color="000000" w:sz="4" w:space="0"/>
            </w:tcBorders>
            <w:vAlign w:val="top"/>
          </w:tcPr>
          <w:p w14:paraId="283A8DE4">
            <w:pPr>
              <w:spacing w:line="280" w:lineRule="auto"/>
              <w:rPr>
                <w:rFonts w:ascii="Arial"/>
                <w:sz w:val="21"/>
              </w:rPr>
            </w:pPr>
          </w:p>
          <w:p w14:paraId="3C93060A">
            <w:pPr>
              <w:spacing w:before="57" w:line="142" w:lineRule="exact"/>
              <w:ind w:left="1694"/>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c>
          <w:tcPr>
            <w:tcW w:w="1048" w:type="dxa"/>
            <w:tcBorders>
              <w:left w:val="single" w:color="000000" w:sz="4" w:space="0"/>
              <w:right w:val="nil"/>
            </w:tcBorders>
            <w:vAlign w:val="top"/>
          </w:tcPr>
          <w:p w14:paraId="604C6665">
            <w:pPr>
              <w:spacing w:line="280" w:lineRule="auto"/>
              <w:rPr>
                <w:rFonts w:ascii="Arial"/>
                <w:sz w:val="21"/>
              </w:rPr>
            </w:pPr>
          </w:p>
          <w:p w14:paraId="4885CEA3">
            <w:pPr>
              <w:spacing w:before="57" w:line="142" w:lineRule="exact"/>
              <w:ind w:left="410"/>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r>
      <w:tr w14:paraId="06F3C8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3686" w:type="dxa"/>
            <w:tcBorders>
              <w:left w:val="nil"/>
              <w:right w:val="single" w:color="000000" w:sz="4" w:space="0"/>
            </w:tcBorders>
            <w:vAlign w:val="top"/>
          </w:tcPr>
          <w:p w14:paraId="6474C531">
            <w:pPr>
              <w:spacing w:before="58" w:line="228" w:lineRule="auto"/>
              <w:ind w:left="47"/>
              <w:rPr>
                <w:rFonts w:ascii="宋体" w:hAnsi="宋体" w:eastAsia="宋体" w:cs="宋体"/>
                <w:sz w:val="20"/>
                <w:szCs w:val="20"/>
              </w:rPr>
            </w:pPr>
            <w:r>
              <w:rPr>
                <w:rFonts w:ascii="Times New Roman" w:hAnsi="Times New Roman" w:eastAsia="Times New Roman" w:cs="Times New Roman"/>
                <w:spacing w:val="7"/>
                <w:sz w:val="20"/>
                <w:szCs w:val="20"/>
              </w:rPr>
              <w:t>19.</w:t>
            </w:r>
            <w:r>
              <w:rPr>
                <w:rFonts w:ascii="宋体" w:hAnsi="宋体" w:eastAsia="宋体" w:cs="宋体"/>
                <w:spacing w:val="7"/>
                <w:sz w:val="20"/>
                <w:szCs w:val="20"/>
              </w:rPr>
              <w:t>实施超标排放车辆全治理工程</w:t>
            </w:r>
            <w:r>
              <w:rPr>
                <w:rFonts w:ascii="宋体" w:hAnsi="宋体" w:eastAsia="宋体" w:cs="宋体"/>
                <w:spacing w:val="4"/>
                <w:sz w:val="20"/>
                <w:szCs w:val="20"/>
              </w:rPr>
              <w:t>。</w:t>
            </w:r>
          </w:p>
        </w:tc>
        <w:tc>
          <w:tcPr>
            <w:tcW w:w="3617" w:type="dxa"/>
            <w:tcBorders>
              <w:left w:val="single" w:color="000000" w:sz="4" w:space="0"/>
              <w:right w:val="single" w:color="000000" w:sz="4" w:space="0"/>
            </w:tcBorders>
            <w:vAlign w:val="top"/>
          </w:tcPr>
          <w:p w14:paraId="7BDA7A51">
            <w:pPr>
              <w:spacing w:before="183" w:line="142" w:lineRule="exact"/>
              <w:ind w:left="1694"/>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c>
          <w:tcPr>
            <w:tcW w:w="1048" w:type="dxa"/>
            <w:tcBorders>
              <w:left w:val="single" w:color="000000" w:sz="4" w:space="0"/>
              <w:right w:val="nil"/>
            </w:tcBorders>
            <w:vAlign w:val="top"/>
          </w:tcPr>
          <w:p w14:paraId="4FF841AA">
            <w:pPr>
              <w:spacing w:before="183" w:line="142" w:lineRule="exact"/>
              <w:ind w:left="410"/>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r>
    </w:tbl>
    <w:p w14:paraId="4D6AA9CB">
      <w:pPr>
        <w:spacing w:before="52" w:line="228" w:lineRule="auto"/>
        <w:ind w:left="41"/>
        <w:rPr>
          <w:rFonts w:ascii="宋体" w:hAnsi="宋体" w:eastAsia="宋体" w:cs="宋体"/>
          <w:sz w:val="20"/>
          <w:szCs w:val="20"/>
        </w:rPr>
      </w:pPr>
      <w:r>
        <w:rPr>
          <w:rFonts w:ascii="宋体" w:hAnsi="宋体" w:eastAsia="宋体" w:cs="宋体"/>
          <w:spacing w:val="22"/>
          <w:sz w:val="20"/>
          <w:szCs w:val="20"/>
        </w:rPr>
        <w:t>(</w:t>
      </w:r>
      <w:r>
        <w:rPr>
          <w:rFonts w:ascii="宋体" w:hAnsi="宋体" w:eastAsia="宋体" w:cs="宋体"/>
          <w:spacing w:val="14"/>
          <w:sz w:val="20"/>
          <w:szCs w:val="20"/>
        </w:rPr>
        <w:t>四) 深入治理扬尘污染。</w:t>
      </w:r>
    </w:p>
    <w:p w14:paraId="2A484C22">
      <w:pPr>
        <w:spacing w:line="142" w:lineRule="auto"/>
        <w:rPr>
          <w:rFonts w:ascii="Arial"/>
          <w:sz w:val="2"/>
        </w:rPr>
      </w:pPr>
    </w:p>
    <w:tbl>
      <w:tblPr>
        <w:tblStyle w:val="4"/>
        <w:tblW w:w="835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687"/>
        <w:gridCol w:w="3616"/>
        <w:gridCol w:w="1048"/>
      </w:tblGrid>
      <w:tr w14:paraId="76838A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9" w:hRule="atLeast"/>
        </w:trPr>
        <w:tc>
          <w:tcPr>
            <w:tcW w:w="3687" w:type="dxa"/>
            <w:tcBorders>
              <w:left w:val="nil"/>
              <w:right w:val="single" w:color="000000" w:sz="4" w:space="0"/>
            </w:tcBorders>
            <w:vAlign w:val="top"/>
          </w:tcPr>
          <w:p w14:paraId="515E6E57">
            <w:pPr>
              <w:spacing w:line="306" w:lineRule="auto"/>
              <w:rPr>
                <w:rFonts w:ascii="Arial"/>
                <w:sz w:val="21"/>
              </w:rPr>
            </w:pPr>
          </w:p>
          <w:p w14:paraId="16E7E2C4">
            <w:pPr>
              <w:spacing w:before="65" w:line="228" w:lineRule="auto"/>
              <w:ind w:left="27"/>
              <w:rPr>
                <w:rFonts w:ascii="宋体" w:hAnsi="宋体" w:eastAsia="宋体" w:cs="宋体"/>
                <w:sz w:val="20"/>
                <w:szCs w:val="20"/>
              </w:rPr>
            </w:pPr>
            <w:r>
              <w:rPr>
                <w:rFonts w:ascii="Times New Roman" w:hAnsi="Times New Roman" w:eastAsia="Times New Roman" w:cs="Times New Roman"/>
                <w:spacing w:val="7"/>
                <w:sz w:val="20"/>
                <w:szCs w:val="20"/>
              </w:rPr>
              <w:t>20.</w:t>
            </w:r>
            <w:r>
              <w:rPr>
                <w:rFonts w:ascii="宋体" w:hAnsi="宋体" w:eastAsia="宋体" w:cs="宋体"/>
                <w:spacing w:val="7"/>
                <w:sz w:val="20"/>
                <w:szCs w:val="20"/>
              </w:rPr>
              <w:t>加强扬尘综合治理。</w:t>
            </w:r>
          </w:p>
        </w:tc>
        <w:tc>
          <w:tcPr>
            <w:tcW w:w="3616" w:type="dxa"/>
            <w:tcBorders>
              <w:left w:val="single" w:color="000000" w:sz="4" w:space="0"/>
              <w:right w:val="single" w:color="000000" w:sz="4" w:space="0"/>
            </w:tcBorders>
            <w:vAlign w:val="top"/>
          </w:tcPr>
          <w:p w14:paraId="66D77655">
            <w:pPr>
              <w:spacing w:before="60" w:line="270" w:lineRule="auto"/>
              <w:ind w:left="26" w:right="31"/>
              <w:rPr>
                <w:rFonts w:ascii="宋体" w:hAnsi="宋体" w:eastAsia="宋体" w:cs="宋体"/>
                <w:sz w:val="20"/>
                <w:szCs w:val="20"/>
              </w:rPr>
            </w:pPr>
            <w:r>
              <w:rPr>
                <w:rFonts w:ascii="宋体" w:hAnsi="宋体" w:eastAsia="宋体" w:cs="宋体"/>
                <w:spacing w:val="32"/>
                <w:sz w:val="20"/>
                <w:szCs w:val="20"/>
              </w:rPr>
              <w:t>本</w:t>
            </w:r>
            <w:r>
              <w:rPr>
                <w:rFonts w:ascii="宋体" w:hAnsi="宋体" w:eastAsia="宋体" w:cs="宋体"/>
                <w:spacing w:val="21"/>
                <w:sz w:val="20"/>
                <w:szCs w:val="20"/>
              </w:rPr>
              <w:t>项目施工期按照本次环评提出的相</w:t>
            </w:r>
            <w:r>
              <w:rPr>
                <w:rFonts w:ascii="宋体" w:hAnsi="宋体" w:eastAsia="宋体" w:cs="宋体"/>
                <w:sz w:val="20"/>
                <w:szCs w:val="20"/>
              </w:rPr>
              <w:t xml:space="preserve"> </w:t>
            </w:r>
            <w:r>
              <w:rPr>
                <w:rFonts w:ascii="宋体" w:hAnsi="宋体" w:eastAsia="宋体" w:cs="宋体"/>
                <w:spacing w:val="31"/>
                <w:sz w:val="20"/>
                <w:szCs w:val="20"/>
              </w:rPr>
              <w:t>关</w:t>
            </w:r>
            <w:r>
              <w:rPr>
                <w:rFonts w:ascii="宋体" w:hAnsi="宋体" w:eastAsia="宋体" w:cs="宋体"/>
                <w:spacing w:val="21"/>
                <w:sz w:val="20"/>
                <w:szCs w:val="20"/>
              </w:rPr>
              <w:t>措施实施，可有效的减少施工期扬</w:t>
            </w:r>
            <w:r>
              <w:rPr>
                <w:rFonts w:ascii="宋体" w:hAnsi="宋体" w:eastAsia="宋体" w:cs="宋体"/>
                <w:sz w:val="20"/>
                <w:szCs w:val="20"/>
              </w:rPr>
              <w:t xml:space="preserve"> </w:t>
            </w:r>
            <w:r>
              <w:rPr>
                <w:rFonts w:ascii="宋体" w:hAnsi="宋体" w:eastAsia="宋体" w:cs="宋体"/>
                <w:spacing w:val="21"/>
                <w:sz w:val="20"/>
                <w:szCs w:val="20"/>
              </w:rPr>
              <w:t>尘</w:t>
            </w:r>
            <w:r>
              <w:rPr>
                <w:rFonts w:ascii="宋体" w:hAnsi="宋体" w:eastAsia="宋体" w:cs="宋体"/>
                <w:spacing w:val="18"/>
                <w:sz w:val="20"/>
                <w:szCs w:val="20"/>
              </w:rPr>
              <w:t>，对周围环境影响较小。</w:t>
            </w:r>
          </w:p>
        </w:tc>
        <w:tc>
          <w:tcPr>
            <w:tcW w:w="1048" w:type="dxa"/>
            <w:tcBorders>
              <w:left w:val="single" w:color="000000" w:sz="4" w:space="0"/>
              <w:right w:val="nil"/>
            </w:tcBorders>
            <w:vAlign w:val="top"/>
          </w:tcPr>
          <w:p w14:paraId="3FBC0221">
            <w:pPr>
              <w:spacing w:line="305" w:lineRule="auto"/>
              <w:rPr>
                <w:rFonts w:ascii="Arial"/>
                <w:sz w:val="21"/>
              </w:rPr>
            </w:pPr>
          </w:p>
          <w:p w14:paraId="2F8D265D">
            <w:pPr>
              <w:spacing w:before="65" w:line="228" w:lineRule="auto"/>
              <w:ind w:left="308"/>
              <w:rPr>
                <w:rFonts w:ascii="宋体" w:hAnsi="宋体" w:eastAsia="宋体" w:cs="宋体"/>
                <w:sz w:val="20"/>
                <w:szCs w:val="20"/>
              </w:rPr>
            </w:pPr>
            <w:r>
              <w:rPr>
                <w:rFonts w:ascii="宋体" w:hAnsi="宋体" w:eastAsia="宋体" w:cs="宋体"/>
                <w:spacing w:val="10"/>
                <w:sz w:val="20"/>
                <w:szCs w:val="20"/>
              </w:rPr>
              <w:t>符</w:t>
            </w:r>
            <w:r>
              <w:rPr>
                <w:rFonts w:ascii="宋体" w:hAnsi="宋体" w:eastAsia="宋体" w:cs="宋体"/>
                <w:spacing w:val="9"/>
                <w:sz w:val="20"/>
                <w:szCs w:val="20"/>
              </w:rPr>
              <w:t>合</w:t>
            </w:r>
          </w:p>
        </w:tc>
      </w:tr>
      <w:tr w14:paraId="1B7931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3687" w:type="dxa"/>
            <w:tcBorders>
              <w:left w:val="nil"/>
              <w:right w:val="single" w:color="000000" w:sz="4" w:space="0"/>
            </w:tcBorders>
            <w:vAlign w:val="top"/>
          </w:tcPr>
          <w:p w14:paraId="633CE73B">
            <w:pPr>
              <w:spacing w:before="59" w:line="228" w:lineRule="auto"/>
              <w:ind w:left="27"/>
              <w:rPr>
                <w:rFonts w:ascii="宋体" w:hAnsi="宋体" w:eastAsia="宋体" w:cs="宋体"/>
                <w:sz w:val="20"/>
                <w:szCs w:val="20"/>
              </w:rPr>
            </w:pPr>
            <w:r>
              <w:rPr>
                <w:rFonts w:ascii="Times New Roman" w:hAnsi="Times New Roman" w:eastAsia="Times New Roman" w:cs="Times New Roman"/>
                <w:spacing w:val="13"/>
                <w:sz w:val="20"/>
                <w:szCs w:val="20"/>
              </w:rPr>
              <w:t>2</w:t>
            </w:r>
            <w:r>
              <w:rPr>
                <w:rFonts w:ascii="Times New Roman" w:hAnsi="Times New Roman" w:eastAsia="Times New Roman" w:cs="Times New Roman"/>
                <w:spacing w:val="7"/>
                <w:sz w:val="20"/>
                <w:szCs w:val="20"/>
              </w:rPr>
              <w:t>1.</w:t>
            </w:r>
            <w:r>
              <w:rPr>
                <w:rFonts w:ascii="宋体" w:hAnsi="宋体" w:eastAsia="宋体" w:cs="宋体"/>
                <w:spacing w:val="7"/>
                <w:sz w:val="20"/>
                <w:szCs w:val="20"/>
              </w:rPr>
              <w:t>推进露天矿山综合整治。</w:t>
            </w:r>
          </w:p>
        </w:tc>
        <w:tc>
          <w:tcPr>
            <w:tcW w:w="3616" w:type="dxa"/>
            <w:tcBorders>
              <w:left w:val="single" w:color="000000" w:sz="4" w:space="0"/>
              <w:right w:val="single" w:color="000000" w:sz="4" w:space="0"/>
            </w:tcBorders>
            <w:vAlign w:val="top"/>
          </w:tcPr>
          <w:p w14:paraId="49114BAA">
            <w:pPr>
              <w:spacing w:before="184" w:line="142" w:lineRule="exact"/>
              <w:ind w:left="1693"/>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c>
          <w:tcPr>
            <w:tcW w:w="1048" w:type="dxa"/>
            <w:tcBorders>
              <w:left w:val="single" w:color="000000" w:sz="4" w:space="0"/>
              <w:right w:val="nil"/>
            </w:tcBorders>
            <w:vAlign w:val="top"/>
          </w:tcPr>
          <w:p w14:paraId="3546D5B5">
            <w:pPr>
              <w:spacing w:before="184" w:line="142" w:lineRule="exact"/>
              <w:ind w:left="410"/>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r>
    </w:tbl>
    <w:p w14:paraId="1770C0F5">
      <w:pPr>
        <w:spacing w:before="52" w:line="228" w:lineRule="auto"/>
        <w:ind w:left="41"/>
        <w:rPr>
          <w:rFonts w:ascii="宋体" w:hAnsi="宋体" w:eastAsia="宋体" w:cs="宋体"/>
          <w:sz w:val="20"/>
          <w:szCs w:val="20"/>
        </w:rPr>
      </w:pPr>
      <w:r>
        <w:rPr>
          <w:rFonts w:ascii="宋体" w:hAnsi="宋体" w:eastAsia="宋体" w:cs="宋体"/>
          <w:spacing w:val="22"/>
          <w:sz w:val="20"/>
          <w:szCs w:val="20"/>
        </w:rPr>
        <w:t>(</w:t>
      </w:r>
      <w:r>
        <w:rPr>
          <w:rFonts w:ascii="宋体" w:hAnsi="宋体" w:eastAsia="宋体" w:cs="宋体"/>
          <w:spacing w:val="13"/>
          <w:sz w:val="20"/>
          <w:szCs w:val="20"/>
        </w:rPr>
        <w:t>五) 推进秸秆管控和氨排放控制。</w:t>
      </w:r>
    </w:p>
    <w:p w14:paraId="35F89370">
      <w:pPr>
        <w:spacing w:line="142" w:lineRule="auto"/>
        <w:rPr>
          <w:rFonts w:ascii="Arial"/>
          <w:sz w:val="2"/>
        </w:rPr>
      </w:pPr>
    </w:p>
    <w:tbl>
      <w:tblPr>
        <w:tblStyle w:val="4"/>
        <w:tblW w:w="835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687"/>
        <w:gridCol w:w="3617"/>
        <w:gridCol w:w="1047"/>
      </w:tblGrid>
      <w:tr w14:paraId="6ED5DD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3687" w:type="dxa"/>
            <w:tcBorders>
              <w:left w:val="nil"/>
              <w:right w:val="single" w:color="000000" w:sz="4" w:space="0"/>
            </w:tcBorders>
            <w:vAlign w:val="top"/>
          </w:tcPr>
          <w:p w14:paraId="095F28DC">
            <w:pPr>
              <w:spacing w:before="60" w:line="228" w:lineRule="auto"/>
              <w:ind w:left="27"/>
              <w:rPr>
                <w:rFonts w:ascii="宋体" w:hAnsi="宋体" w:eastAsia="宋体" w:cs="宋体"/>
                <w:sz w:val="20"/>
                <w:szCs w:val="20"/>
              </w:rPr>
            </w:pPr>
            <w:r>
              <w:rPr>
                <w:rFonts w:ascii="Times New Roman" w:hAnsi="Times New Roman" w:eastAsia="Times New Roman" w:cs="Times New Roman"/>
                <w:spacing w:val="8"/>
                <w:sz w:val="20"/>
                <w:szCs w:val="20"/>
              </w:rPr>
              <w:t>22.</w:t>
            </w:r>
            <w:r>
              <w:rPr>
                <w:rFonts w:ascii="宋体" w:hAnsi="宋体" w:eastAsia="宋体" w:cs="宋体"/>
                <w:spacing w:val="8"/>
                <w:sz w:val="20"/>
                <w:szCs w:val="20"/>
              </w:rPr>
              <w:t>深入推进农作物秸秆综合利用。</w:t>
            </w:r>
          </w:p>
        </w:tc>
        <w:tc>
          <w:tcPr>
            <w:tcW w:w="3617" w:type="dxa"/>
            <w:tcBorders>
              <w:left w:val="single" w:color="000000" w:sz="4" w:space="0"/>
              <w:right w:val="single" w:color="000000" w:sz="4" w:space="0"/>
            </w:tcBorders>
            <w:vAlign w:val="top"/>
          </w:tcPr>
          <w:p w14:paraId="384866DC">
            <w:pPr>
              <w:spacing w:before="186" w:line="141" w:lineRule="exact"/>
              <w:ind w:left="1693"/>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c>
          <w:tcPr>
            <w:tcW w:w="1047" w:type="dxa"/>
            <w:tcBorders>
              <w:left w:val="single" w:color="000000" w:sz="4" w:space="0"/>
              <w:right w:val="nil"/>
            </w:tcBorders>
            <w:vAlign w:val="top"/>
          </w:tcPr>
          <w:p w14:paraId="0D14A6F3">
            <w:pPr>
              <w:spacing w:before="186" w:line="141" w:lineRule="exact"/>
              <w:ind w:left="409"/>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r>
      <w:tr w14:paraId="1F2349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3687" w:type="dxa"/>
            <w:tcBorders>
              <w:left w:val="nil"/>
              <w:right w:val="single" w:color="000000" w:sz="4" w:space="0"/>
            </w:tcBorders>
            <w:vAlign w:val="top"/>
          </w:tcPr>
          <w:p w14:paraId="4079FC0D">
            <w:pPr>
              <w:spacing w:before="55" w:line="227" w:lineRule="auto"/>
              <w:ind w:left="27"/>
              <w:rPr>
                <w:rFonts w:ascii="宋体" w:hAnsi="宋体" w:eastAsia="宋体" w:cs="宋体"/>
                <w:sz w:val="20"/>
                <w:szCs w:val="20"/>
              </w:rPr>
            </w:pPr>
            <w:r>
              <w:rPr>
                <w:rFonts w:ascii="Times New Roman" w:hAnsi="Times New Roman" w:eastAsia="Times New Roman" w:cs="Times New Roman"/>
                <w:spacing w:val="13"/>
                <w:sz w:val="20"/>
                <w:szCs w:val="20"/>
              </w:rPr>
              <w:t>2</w:t>
            </w:r>
            <w:r>
              <w:rPr>
                <w:rFonts w:ascii="Times New Roman" w:hAnsi="Times New Roman" w:eastAsia="Times New Roman" w:cs="Times New Roman"/>
                <w:spacing w:val="7"/>
                <w:sz w:val="20"/>
                <w:szCs w:val="20"/>
              </w:rPr>
              <w:t>3.</w:t>
            </w:r>
            <w:r>
              <w:rPr>
                <w:rFonts w:ascii="宋体" w:hAnsi="宋体" w:eastAsia="宋体" w:cs="宋体"/>
                <w:spacing w:val="7"/>
                <w:sz w:val="20"/>
                <w:szCs w:val="20"/>
              </w:rPr>
              <w:t>加强秸秆焚烧综合管控。</w:t>
            </w:r>
          </w:p>
        </w:tc>
        <w:tc>
          <w:tcPr>
            <w:tcW w:w="3617" w:type="dxa"/>
            <w:tcBorders>
              <w:left w:val="single" w:color="000000" w:sz="4" w:space="0"/>
              <w:right w:val="single" w:color="000000" w:sz="4" w:space="0"/>
            </w:tcBorders>
            <w:vAlign w:val="top"/>
          </w:tcPr>
          <w:p w14:paraId="0096E296">
            <w:pPr>
              <w:spacing w:before="180" w:line="140" w:lineRule="exact"/>
              <w:ind w:left="1693"/>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c>
          <w:tcPr>
            <w:tcW w:w="1047" w:type="dxa"/>
            <w:tcBorders>
              <w:left w:val="single" w:color="000000" w:sz="4" w:space="0"/>
              <w:right w:val="nil"/>
            </w:tcBorders>
            <w:vAlign w:val="top"/>
          </w:tcPr>
          <w:p w14:paraId="74844FA7">
            <w:pPr>
              <w:spacing w:before="180" w:line="140" w:lineRule="exact"/>
              <w:ind w:left="409"/>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r>
      <w:tr w14:paraId="2041A1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3687" w:type="dxa"/>
            <w:tcBorders>
              <w:left w:val="nil"/>
              <w:right w:val="single" w:color="000000" w:sz="4" w:space="0"/>
            </w:tcBorders>
            <w:vAlign w:val="top"/>
          </w:tcPr>
          <w:p w14:paraId="0787FAC0">
            <w:pPr>
              <w:spacing w:before="59" w:line="264" w:lineRule="exact"/>
              <w:ind w:left="27"/>
              <w:rPr>
                <w:rFonts w:ascii="宋体" w:hAnsi="宋体" w:eastAsia="宋体" w:cs="宋体"/>
                <w:sz w:val="20"/>
                <w:szCs w:val="20"/>
              </w:rPr>
            </w:pPr>
            <w:r>
              <w:rPr>
                <w:rFonts w:ascii="Times New Roman" w:hAnsi="Times New Roman" w:eastAsia="Times New Roman" w:cs="Times New Roman"/>
                <w:spacing w:val="6"/>
                <w:position w:val="1"/>
                <w:sz w:val="20"/>
                <w:szCs w:val="20"/>
              </w:rPr>
              <w:t>2</w:t>
            </w:r>
            <w:r>
              <w:rPr>
                <w:rFonts w:ascii="Times New Roman" w:hAnsi="Times New Roman" w:eastAsia="Times New Roman" w:cs="Times New Roman"/>
                <w:spacing w:val="4"/>
                <w:position w:val="1"/>
                <w:sz w:val="20"/>
                <w:szCs w:val="20"/>
              </w:rPr>
              <w:t>4</w:t>
            </w:r>
            <w:r>
              <w:rPr>
                <w:rFonts w:ascii="Times New Roman" w:hAnsi="Times New Roman" w:eastAsia="Times New Roman" w:cs="Times New Roman"/>
                <w:spacing w:val="3"/>
                <w:position w:val="1"/>
                <w:sz w:val="20"/>
                <w:szCs w:val="20"/>
              </w:rPr>
              <w:t xml:space="preserve"> </w:t>
            </w:r>
            <w:r>
              <w:rPr>
                <w:rFonts w:ascii="宋体" w:hAnsi="宋体" w:eastAsia="宋体" w:cs="宋体"/>
                <w:spacing w:val="3"/>
                <w:position w:val="1"/>
                <w:sz w:val="20"/>
                <w:szCs w:val="20"/>
              </w:rPr>
              <w:t>、控制农业氨源排放。</w:t>
            </w:r>
          </w:p>
        </w:tc>
        <w:tc>
          <w:tcPr>
            <w:tcW w:w="3617" w:type="dxa"/>
            <w:tcBorders>
              <w:left w:val="single" w:color="000000" w:sz="4" w:space="0"/>
              <w:right w:val="single" w:color="000000" w:sz="4" w:space="0"/>
            </w:tcBorders>
            <w:vAlign w:val="top"/>
          </w:tcPr>
          <w:p w14:paraId="184FC00E">
            <w:pPr>
              <w:spacing w:before="184" w:line="142" w:lineRule="exact"/>
              <w:ind w:left="1693"/>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c>
          <w:tcPr>
            <w:tcW w:w="1047" w:type="dxa"/>
            <w:tcBorders>
              <w:left w:val="single" w:color="000000" w:sz="4" w:space="0"/>
              <w:right w:val="nil"/>
            </w:tcBorders>
            <w:vAlign w:val="top"/>
          </w:tcPr>
          <w:p w14:paraId="68443DD1">
            <w:pPr>
              <w:spacing w:before="184" w:line="142" w:lineRule="exact"/>
              <w:ind w:left="409"/>
              <w:rPr>
                <w:rFonts w:ascii="Times New Roman" w:hAnsi="Times New Roman" w:eastAsia="Times New Roman" w:cs="Times New Roman"/>
                <w:sz w:val="20"/>
                <w:szCs w:val="20"/>
              </w:rPr>
            </w:pPr>
            <w:r>
              <w:rPr>
                <w:rFonts w:ascii="Times New Roman" w:hAnsi="Times New Roman" w:eastAsia="Times New Roman" w:cs="Times New Roman"/>
                <w:spacing w:val="12"/>
                <w:position w:val="-1"/>
                <w:sz w:val="20"/>
                <w:szCs w:val="20"/>
              </w:rPr>
              <w:t>—</w:t>
            </w:r>
          </w:p>
        </w:tc>
      </w:tr>
    </w:tbl>
    <w:p w14:paraId="2B9C941F">
      <w:pPr>
        <w:spacing w:before="52" w:line="227" w:lineRule="auto"/>
        <w:ind w:left="31"/>
        <w:rPr>
          <w:rFonts w:ascii="宋体" w:hAnsi="宋体" w:eastAsia="宋体" w:cs="宋体"/>
          <w:sz w:val="20"/>
          <w:szCs w:val="20"/>
        </w:rPr>
      </w:pPr>
      <w:r>
        <w:rPr>
          <w:rFonts w:ascii="宋体" w:hAnsi="宋体" w:eastAsia="宋体" w:cs="宋体"/>
          <w:spacing w:val="18"/>
          <w:sz w:val="20"/>
          <w:szCs w:val="20"/>
          <w14:textOutline w14:w="3795" w14:cap="sq" w14:cmpd="sng">
            <w14:solidFill>
              <w14:srgbClr w14:val="000000"/>
            </w14:solidFill>
            <w14:prstDash w14:val="solid"/>
            <w14:bevel/>
          </w14:textOutline>
        </w:rPr>
        <w:t>注</w:t>
      </w:r>
      <w:r>
        <w:rPr>
          <w:rFonts w:ascii="宋体" w:hAnsi="宋体" w:eastAsia="宋体" w:cs="宋体"/>
          <w:spacing w:val="18"/>
          <w:sz w:val="20"/>
          <w:szCs w:val="20"/>
        </w:rPr>
        <w:t xml:space="preserve"> </w:t>
      </w:r>
      <w:r>
        <w:rPr>
          <w:rFonts w:ascii="宋体" w:hAnsi="宋体" w:eastAsia="宋体" w:cs="宋体"/>
          <w:spacing w:val="13"/>
          <w:sz w:val="20"/>
          <w:szCs w:val="20"/>
          <w14:textOutline w14:w="3795" w14:cap="sq" w14:cmpd="sng">
            <w14:solidFill>
              <w14:srgbClr w14:val="000000"/>
            </w14:solidFill>
            <w14:prstDash w14:val="solid"/>
            <w14:bevel/>
          </w14:textOutline>
        </w:rPr>
        <w:t>：</w:t>
      </w:r>
      <w:r>
        <w:rPr>
          <w:rFonts w:ascii="宋体" w:hAnsi="宋体" w:eastAsia="宋体" w:cs="宋体"/>
          <w:spacing w:val="9"/>
          <w:sz w:val="20"/>
          <w:szCs w:val="20"/>
        </w:rPr>
        <w:t xml:space="preserve"> </w:t>
      </w:r>
      <w:r>
        <w:rPr>
          <w:rFonts w:ascii="Times New Roman" w:hAnsi="Times New Roman" w:eastAsia="Times New Roman" w:cs="Times New Roman"/>
          <w:b/>
          <w:bCs/>
          <w:spacing w:val="9"/>
          <w:sz w:val="20"/>
          <w:szCs w:val="20"/>
        </w:rPr>
        <w:t>“—</w:t>
      </w:r>
      <w:r>
        <w:rPr>
          <w:rFonts w:ascii="Times New Roman" w:hAnsi="Times New Roman" w:eastAsia="Times New Roman" w:cs="Times New Roman"/>
          <w:spacing w:val="9"/>
          <w:sz w:val="20"/>
          <w:szCs w:val="20"/>
        </w:rPr>
        <w:t xml:space="preserve"> </w:t>
      </w:r>
      <w:r>
        <w:rPr>
          <w:rFonts w:ascii="Times New Roman" w:hAnsi="Times New Roman" w:eastAsia="Times New Roman" w:cs="Times New Roman"/>
          <w:b/>
          <w:bCs/>
          <w:spacing w:val="9"/>
          <w:sz w:val="20"/>
          <w:szCs w:val="20"/>
        </w:rPr>
        <w:t>”</w:t>
      </w:r>
      <w:r>
        <w:rPr>
          <w:rFonts w:ascii="宋体" w:hAnsi="宋体" w:eastAsia="宋体" w:cs="宋体"/>
          <w:spacing w:val="9"/>
          <w:sz w:val="20"/>
          <w:szCs w:val="20"/>
          <w14:textOutline w14:w="3795" w14:cap="sq" w14:cmpd="sng">
            <w14:solidFill>
              <w14:srgbClr w14:val="000000"/>
            </w14:solidFill>
            <w14:prstDash w14:val="solid"/>
            <w14:bevel/>
          </w14:textOutline>
        </w:rPr>
        <w:t>表示本项目不涉及；</w:t>
      </w:r>
      <w:r>
        <w:rPr>
          <w:rFonts w:ascii="宋体" w:hAnsi="宋体" w:eastAsia="宋体" w:cs="宋体"/>
          <w:spacing w:val="9"/>
          <w:sz w:val="20"/>
          <w:szCs w:val="20"/>
        </w:rPr>
        <w:t xml:space="preserve"> </w:t>
      </w:r>
      <w:r>
        <w:rPr>
          <w:rFonts w:ascii="宋体" w:hAnsi="宋体" w:eastAsia="宋体" w:cs="宋体"/>
          <w:spacing w:val="9"/>
          <w:sz w:val="20"/>
          <w:szCs w:val="20"/>
          <w14:textOutline w14:w="3795" w14:cap="sq" w14:cmpd="sng">
            <w14:solidFill>
              <w14:srgbClr w14:val="000000"/>
            </w14:solidFill>
            <w14:prstDash w14:val="solid"/>
            <w14:bevel/>
          </w14:textOutline>
        </w:rPr>
        <w:t>其他与本项目不相关的条款未罗列在本表格中。</w:t>
      </w:r>
    </w:p>
    <w:p w14:paraId="74E2B441">
      <w:pPr>
        <w:sectPr>
          <w:headerReference r:id="rId36" w:type="default"/>
          <w:footerReference r:id="rId37" w:type="default"/>
          <w:pgSz w:w="11906" w:h="16839"/>
          <w:pgMar w:top="1132" w:right="1766" w:bottom="899" w:left="1777" w:header="878" w:footer="739" w:gutter="0"/>
          <w:cols w:space="720" w:num="1"/>
        </w:sectPr>
      </w:pPr>
    </w:p>
    <w:p w14:paraId="146086DA">
      <w:pPr>
        <w:spacing w:line="408" w:lineRule="auto"/>
        <w:rPr>
          <w:rFonts w:ascii="Arial"/>
          <w:sz w:val="21"/>
        </w:rPr>
      </w:pPr>
      <w:r>
        <w:pict>
          <v:shape id="_x0000_s1045" o:spid="_x0000_s1045" style="position:absolute;left:0pt;margin-left:90pt;margin-top:57.35pt;height:0.75pt;width:415.3pt;mso-position-horizontal-relative:page;mso-position-vertical-relative:page;z-index:251683840;mso-width-relative:page;mso-height-relative:page;" fillcolor="#000000" filled="t" stroked="f" coordsize="8305,15" o:allowincell="f" path="m0,0l8305,0,8305,14,0,14,0,0xe">
            <v:path/>
            <v:fill on="t" focussize="0,0"/>
            <v:stroke on="f"/>
            <v:imagedata o:title=""/>
            <o:lock v:ext="edit"/>
          </v:shape>
        </w:pict>
      </w:r>
    </w:p>
    <w:p w14:paraId="7B59CA71">
      <w:pPr>
        <w:spacing w:before="75" w:line="229" w:lineRule="auto"/>
        <w:ind w:left="532"/>
        <w:rPr>
          <w:rFonts w:ascii="Times New Roman" w:hAnsi="Times New Roman" w:eastAsia="Times New Roman" w:cs="Times New Roman"/>
          <w:sz w:val="23"/>
          <w:szCs w:val="23"/>
        </w:rPr>
      </w:pPr>
      <w:r>
        <w:rPr>
          <w:rFonts w:ascii="宋体" w:hAnsi="宋体" w:eastAsia="宋体" w:cs="宋体"/>
          <w:spacing w:val="18"/>
          <w:sz w:val="23"/>
          <w:szCs w:val="23"/>
        </w:rPr>
        <w:t>由</w:t>
      </w:r>
      <w:r>
        <w:rPr>
          <w:rFonts w:ascii="宋体" w:hAnsi="宋体" w:eastAsia="宋体" w:cs="宋体"/>
          <w:spacing w:val="9"/>
          <w:sz w:val="23"/>
          <w:szCs w:val="23"/>
        </w:rPr>
        <w:t>上表可知，项目符合《辽宁省打赢蓝天保卫战三年行动方案 (</w:t>
      </w:r>
      <w:r>
        <w:rPr>
          <w:rFonts w:ascii="Times New Roman" w:hAnsi="Times New Roman" w:eastAsia="Times New Roman" w:cs="Times New Roman"/>
          <w:spacing w:val="9"/>
          <w:sz w:val="23"/>
          <w:szCs w:val="23"/>
        </w:rPr>
        <w:t>2018-2020</w:t>
      </w:r>
    </w:p>
    <w:p w14:paraId="38F08EB5">
      <w:pPr>
        <w:spacing w:before="195" w:line="227" w:lineRule="auto"/>
        <w:ind w:left="24"/>
        <w:rPr>
          <w:rFonts w:ascii="宋体" w:hAnsi="宋体" w:eastAsia="宋体" w:cs="宋体"/>
          <w:sz w:val="23"/>
          <w:szCs w:val="23"/>
        </w:rPr>
      </w:pPr>
      <w:r>
        <w:rPr>
          <w:rFonts w:ascii="宋体" w:hAnsi="宋体" w:eastAsia="宋体" w:cs="宋体"/>
          <w:spacing w:val="4"/>
          <w:sz w:val="23"/>
          <w:szCs w:val="23"/>
        </w:rPr>
        <w:t>年) 》  (辽政</w:t>
      </w:r>
      <w:r>
        <w:rPr>
          <w:rFonts w:ascii="宋体" w:hAnsi="宋体" w:eastAsia="宋体" w:cs="宋体"/>
          <w:spacing w:val="3"/>
          <w:sz w:val="23"/>
          <w:szCs w:val="23"/>
        </w:rPr>
        <w:t>发</w:t>
      </w:r>
      <w:r>
        <w:rPr>
          <w:rFonts w:ascii="宋体" w:hAnsi="宋体" w:eastAsia="宋体" w:cs="宋体"/>
          <w:spacing w:val="2"/>
          <w:sz w:val="23"/>
          <w:szCs w:val="23"/>
        </w:rPr>
        <w:t>【</w:t>
      </w:r>
      <w:r>
        <w:rPr>
          <w:rFonts w:ascii="Times New Roman" w:hAnsi="Times New Roman" w:eastAsia="Times New Roman" w:cs="Times New Roman"/>
          <w:spacing w:val="2"/>
          <w:sz w:val="23"/>
          <w:szCs w:val="23"/>
        </w:rPr>
        <w:t>2018</w:t>
      </w:r>
      <w:r>
        <w:rPr>
          <w:rFonts w:ascii="宋体" w:hAnsi="宋体" w:eastAsia="宋体" w:cs="宋体"/>
          <w:spacing w:val="2"/>
          <w:sz w:val="23"/>
          <w:szCs w:val="23"/>
        </w:rPr>
        <w:t>】</w:t>
      </w:r>
      <w:r>
        <w:rPr>
          <w:rFonts w:ascii="Times New Roman" w:hAnsi="Times New Roman" w:eastAsia="Times New Roman" w:cs="Times New Roman"/>
          <w:spacing w:val="2"/>
          <w:sz w:val="23"/>
          <w:szCs w:val="23"/>
        </w:rPr>
        <w:t xml:space="preserve">31 </w:t>
      </w:r>
      <w:r>
        <w:rPr>
          <w:rFonts w:ascii="宋体" w:hAnsi="宋体" w:eastAsia="宋体" w:cs="宋体"/>
          <w:spacing w:val="2"/>
          <w:sz w:val="23"/>
          <w:szCs w:val="23"/>
        </w:rPr>
        <w:t>号) 中的相关要求。</w:t>
      </w:r>
    </w:p>
    <w:p w14:paraId="5A79E483">
      <w:pPr>
        <w:spacing w:before="285" w:line="223" w:lineRule="auto"/>
        <w:ind w:left="35"/>
        <w:outlineLvl w:val="1"/>
        <w:rPr>
          <w:rFonts w:ascii="宋体" w:hAnsi="宋体" w:eastAsia="宋体" w:cs="宋体"/>
          <w:sz w:val="31"/>
          <w:szCs w:val="31"/>
        </w:rPr>
      </w:pPr>
      <w:bookmarkStart w:id="5" w:name="_bookmark6"/>
      <w:bookmarkEnd w:id="5"/>
      <w:r>
        <w:rPr>
          <w:rFonts w:ascii="Times New Roman" w:hAnsi="Times New Roman" w:eastAsia="Times New Roman" w:cs="Times New Roman"/>
          <w:b/>
          <w:bCs/>
          <w:spacing w:val="11"/>
          <w:sz w:val="31"/>
          <w:szCs w:val="31"/>
        </w:rPr>
        <w:t>1</w:t>
      </w:r>
      <w:r>
        <w:rPr>
          <w:rFonts w:ascii="Times New Roman" w:hAnsi="Times New Roman" w:eastAsia="Times New Roman" w:cs="Times New Roman"/>
          <w:b/>
          <w:bCs/>
          <w:spacing w:val="6"/>
          <w:sz w:val="31"/>
          <w:szCs w:val="31"/>
        </w:rPr>
        <w:t>.5</w:t>
      </w:r>
      <w:r>
        <w:rPr>
          <w:rFonts w:ascii="Times New Roman" w:hAnsi="Times New Roman" w:eastAsia="Times New Roman" w:cs="Times New Roman"/>
          <w:spacing w:val="6"/>
          <w:sz w:val="31"/>
          <w:szCs w:val="31"/>
        </w:rPr>
        <w:t xml:space="preserve">  </w:t>
      </w:r>
      <w:r>
        <w:rPr>
          <w:rFonts w:ascii="宋体" w:hAnsi="宋体" w:eastAsia="宋体" w:cs="宋体"/>
          <w:spacing w:val="6"/>
          <w:sz w:val="31"/>
          <w:szCs w:val="31"/>
          <w14:textOutline w14:w="5793" w14:cap="sq" w14:cmpd="sng">
            <w14:solidFill>
              <w14:srgbClr w14:val="000000"/>
            </w14:solidFill>
            <w14:prstDash w14:val="solid"/>
            <w14:bevel/>
          </w14:textOutline>
        </w:rPr>
        <w:t>环境影响评价结论</w:t>
      </w:r>
    </w:p>
    <w:p w14:paraId="20F8EEDD">
      <w:pPr>
        <w:spacing w:line="249" w:lineRule="auto"/>
        <w:rPr>
          <w:rFonts w:ascii="Arial"/>
          <w:sz w:val="21"/>
        </w:rPr>
      </w:pPr>
    </w:p>
    <w:p w14:paraId="6C5A6912">
      <w:pPr>
        <w:spacing w:before="75" w:line="389" w:lineRule="auto"/>
        <w:ind w:left="23" w:firstLine="483"/>
        <w:rPr>
          <w:rFonts w:ascii="宋体" w:hAnsi="宋体" w:eastAsia="宋体" w:cs="宋体"/>
          <w:sz w:val="23"/>
          <w:szCs w:val="23"/>
        </w:rPr>
      </w:pPr>
      <w:r>
        <w:rPr>
          <w:rFonts w:ascii="宋体" w:hAnsi="宋体" w:eastAsia="宋体" w:cs="宋体"/>
          <w:spacing w:val="16"/>
          <w:sz w:val="23"/>
          <w:szCs w:val="23"/>
        </w:rPr>
        <w:t>项</w:t>
      </w:r>
      <w:r>
        <w:rPr>
          <w:rFonts w:ascii="宋体" w:hAnsi="宋体" w:eastAsia="宋体" w:cs="宋体"/>
          <w:spacing w:val="13"/>
          <w:sz w:val="23"/>
          <w:szCs w:val="23"/>
        </w:rPr>
        <w:t>目</w:t>
      </w:r>
      <w:r>
        <w:rPr>
          <w:rFonts w:ascii="宋体" w:hAnsi="宋体" w:eastAsia="宋体" w:cs="宋体"/>
          <w:spacing w:val="8"/>
          <w:sz w:val="23"/>
          <w:szCs w:val="23"/>
        </w:rPr>
        <w:t>符合国家现行产业政策要求，项目的建设具有明显的社会和经济效益。</w:t>
      </w:r>
      <w:r>
        <w:rPr>
          <w:rFonts w:ascii="宋体" w:hAnsi="宋体" w:eastAsia="宋体" w:cs="宋体"/>
          <w:sz w:val="23"/>
          <w:szCs w:val="23"/>
        </w:rPr>
        <w:t xml:space="preserve"> </w:t>
      </w:r>
      <w:r>
        <w:rPr>
          <w:rFonts w:ascii="宋体" w:hAnsi="宋体" w:eastAsia="宋体" w:cs="宋体"/>
          <w:spacing w:val="9"/>
          <w:sz w:val="23"/>
          <w:szCs w:val="23"/>
        </w:rPr>
        <w:t>为</w:t>
      </w:r>
      <w:r>
        <w:rPr>
          <w:rFonts w:ascii="宋体" w:hAnsi="宋体" w:eastAsia="宋体" w:cs="宋体"/>
          <w:spacing w:val="7"/>
          <w:sz w:val="23"/>
          <w:szCs w:val="23"/>
        </w:rPr>
        <w:t>了进一步减免项目运营对周边环境产生的环境影响，建议企业认真执行国家环</w:t>
      </w:r>
      <w:r>
        <w:rPr>
          <w:rFonts w:ascii="宋体" w:hAnsi="宋体" w:eastAsia="宋体" w:cs="宋体"/>
          <w:sz w:val="23"/>
          <w:szCs w:val="23"/>
        </w:rPr>
        <w:t xml:space="preserve"> </w:t>
      </w:r>
      <w:r>
        <w:rPr>
          <w:rFonts w:ascii="宋体" w:hAnsi="宋体" w:eastAsia="宋体" w:cs="宋体"/>
          <w:spacing w:val="14"/>
          <w:sz w:val="23"/>
          <w:szCs w:val="23"/>
        </w:rPr>
        <w:t>境保</w:t>
      </w:r>
      <w:r>
        <w:rPr>
          <w:rFonts w:ascii="宋体" w:hAnsi="宋体" w:eastAsia="宋体" w:cs="宋体"/>
          <w:spacing w:val="13"/>
          <w:sz w:val="23"/>
          <w:szCs w:val="23"/>
        </w:rPr>
        <w:t>护</w:t>
      </w:r>
      <w:r>
        <w:rPr>
          <w:rFonts w:ascii="宋体" w:hAnsi="宋体" w:eastAsia="宋体" w:cs="宋体"/>
          <w:spacing w:val="7"/>
          <w:sz w:val="23"/>
          <w:szCs w:val="23"/>
        </w:rPr>
        <w:t>法律法规的</w:t>
      </w:r>
      <w:r>
        <w:rPr>
          <w:rFonts w:ascii="Times New Roman" w:hAnsi="Times New Roman" w:eastAsia="Times New Roman" w:cs="Times New Roman"/>
          <w:spacing w:val="7"/>
          <w:sz w:val="23"/>
          <w:szCs w:val="23"/>
        </w:rPr>
        <w:t>“</w:t>
      </w:r>
      <w:r>
        <w:rPr>
          <w:rFonts w:ascii="宋体" w:hAnsi="宋体" w:eastAsia="宋体" w:cs="宋体"/>
          <w:spacing w:val="7"/>
          <w:sz w:val="23"/>
          <w:szCs w:val="23"/>
        </w:rPr>
        <w:t>三同时</w:t>
      </w:r>
      <w:r>
        <w:rPr>
          <w:rFonts w:ascii="Times New Roman" w:hAnsi="Times New Roman" w:eastAsia="Times New Roman" w:cs="Times New Roman"/>
          <w:spacing w:val="7"/>
          <w:sz w:val="23"/>
          <w:szCs w:val="23"/>
        </w:rPr>
        <w:t>”</w:t>
      </w:r>
      <w:r>
        <w:rPr>
          <w:rFonts w:ascii="宋体" w:hAnsi="宋体" w:eastAsia="宋体" w:cs="宋体"/>
          <w:spacing w:val="7"/>
          <w:sz w:val="23"/>
          <w:szCs w:val="23"/>
        </w:rPr>
        <w:t>制度；落实相应的污染防治措施，并加强环保设施的</w:t>
      </w:r>
      <w:r>
        <w:rPr>
          <w:rFonts w:ascii="宋体" w:hAnsi="宋体" w:eastAsia="宋体" w:cs="宋体"/>
          <w:sz w:val="23"/>
          <w:szCs w:val="23"/>
        </w:rPr>
        <w:t xml:space="preserve"> </w:t>
      </w:r>
      <w:r>
        <w:rPr>
          <w:rFonts w:ascii="宋体" w:hAnsi="宋体" w:eastAsia="宋体" w:cs="宋体"/>
          <w:spacing w:val="9"/>
          <w:sz w:val="23"/>
          <w:szCs w:val="23"/>
        </w:rPr>
        <w:t>日</w:t>
      </w:r>
      <w:r>
        <w:rPr>
          <w:rFonts w:ascii="宋体" w:hAnsi="宋体" w:eastAsia="宋体" w:cs="宋体"/>
          <w:spacing w:val="7"/>
          <w:sz w:val="23"/>
          <w:szCs w:val="23"/>
        </w:rPr>
        <w:t>常维护和管理，保证各类污染治理设施稳定运行；持续实行清洁生产，贯彻循</w:t>
      </w:r>
      <w:r>
        <w:rPr>
          <w:rFonts w:ascii="宋体" w:hAnsi="宋体" w:eastAsia="宋体" w:cs="宋体"/>
          <w:sz w:val="23"/>
          <w:szCs w:val="23"/>
        </w:rPr>
        <w:t xml:space="preserve"> </w:t>
      </w:r>
      <w:r>
        <w:rPr>
          <w:rFonts w:ascii="宋体" w:hAnsi="宋体" w:eastAsia="宋体" w:cs="宋体"/>
          <w:spacing w:val="9"/>
          <w:sz w:val="23"/>
          <w:szCs w:val="23"/>
        </w:rPr>
        <w:t>环经济有关原则，实现经济可持续发展</w:t>
      </w:r>
      <w:r>
        <w:rPr>
          <w:rFonts w:ascii="宋体" w:hAnsi="宋体" w:eastAsia="宋体" w:cs="宋体"/>
          <w:spacing w:val="7"/>
          <w:sz w:val="23"/>
          <w:szCs w:val="23"/>
        </w:rPr>
        <w:t>。</w:t>
      </w:r>
    </w:p>
    <w:p w14:paraId="6A52D793">
      <w:pPr>
        <w:spacing w:before="135" w:line="393" w:lineRule="auto"/>
        <w:ind w:left="27" w:firstLine="480"/>
        <w:rPr>
          <w:rFonts w:ascii="宋体" w:hAnsi="宋体" w:eastAsia="宋体" w:cs="宋体"/>
          <w:sz w:val="23"/>
          <w:szCs w:val="23"/>
        </w:rPr>
      </w:pPr>
      <w:r>
        <w:rPr>
          <w:rFonts w:ascii="宋体" w:hAnsi="宋体" w:eastAsia="宋体" w:cs="宋体"/>
          <w:spacing w:val="12"/>
          <w:sz w:val="23"/>
          <w:szCs w:val="23"/>
        </w:rPr>
        <w:t>项目在采</w:t>
      </w:r>
      <w:r>
        <w:rPr>
          <w:rFonts w:ascii="宋体" w:hAnsi="宋体" w:eastAsia="宋体" w:cs="宋体"/>
          <w:spacing w:val="7"/>
          <w:sz w:val="23"/>
          <w:szCs w:val="23"/>
        </w:rPr>
        <w:t>取</w:t>
      </w:r>
      <w:r>
        <w:rPr>
          <w:rFonts w:ascii="宋体" w:hAnsi="宋体" w:eastAsia="宋体" w:cs="宋体"/>
          <w:spacing w:val="6"/>
          <w:sz w:val="23"/>
          <w:szCs w:val="23"/>
        </w:rPr>
        <w:t>相应的污染防治措施后，可最大限度的减少污染物的排放，避免</w:t>
      </w:r>
      <w:r>
        <w:rPr>
          <w:rFonts w:ascii="宋体" w:hAnsi="宋体" w:eastAsia="宋体" w:cs="宋体"/>
          <w:sz w:val="23"/>
          <w:szCs w:val="23"/>
        </w:rPr>
        <w:t xml:space="preserve"> </w:t>
      </w:r>
      <w:r>
        <w:rPr>
          <w:rFonts w:ascii="宋体" w:hAnsi="宋体" w:eastAsia="宋体" w:cs="宋体"/>
          <w:spacing w:val="16"/>
          <w:sz w:val="23"/>
          <w:szCs w:val="23"/>
        </w:rPr>
        <w:t>项目</w:t>
      </w:r>
      <w:r>
        <w:rPr>
          <w:rFonts w:ascii="宋体" w:hAnsi="宋体" w:eastAsia="宋体" w:cs="宋体"/>
          <w:spacing w:val="9"/>
          <w:sz w:val="23"/>
          <w:szCs w:val="23"/>
        </w:rPr>
        <w:t>运</w:t>
      </w:r>
      <w:r>
        <w:rPr>
          <w:rFonts w:ascii="宋体" w:hAnsi="宋体" w:eastAsia="宋体" w:cs="宋体"/>
          <w:spacing w:val="8"/>
          <w:sz w:val="23"/>
          <w:szCs w:val="23"/>
        </w:rPr>
        <w:t>营对周围环境产生较大的不利影响。从环境保护的角度考虑，项目可行。</w:t>
      </w:r>
    </w:p>
    <w:p w14:paraId="7750407A">
      <w:pPr>
        <w:sectPr>
          <w:headerReference r:id="rId38" w:type="default"/>
          <w:footerReference r:id="rId39" w:type="default"/>
          <w:pgSz w:w="11906" w:h="16839"/>
          <w:pgMar w:top="1132" w:right="1745" w:bottom="899" w:left="1785" w:header="878" w:footer="739" w:gutter="0"/>
          <w:cols w:space="720" w:num="1"/>
        </w:sectPr>
      </w:pPr>
    </w:p>
    <w:p w14:paraId="1E2639BC">
      <w:pPr>
        <w:spacing w:line="243" w:lineRule="auto"/>
        <w:rPr>
          <w:rFonts w:ascii="Arial"/>
          <w:sz w:val="21"/>
        </w:rPr>
      </w:pPr>
      <w:r>
        <w:pict>
          <v:shape id="_x0000_s1046" o:spid="_x0000_s1046" style="position:absolute;left:0pt;margin-left:72pt;margin-top:57.35pt;height:0.75pt;width:697.95pt;mso-position-horizontal-relative:page;mso-position-vertical-relative:page;z-index:251686912;mso-width-relative:page;mso-height-relative:page;" fillcolor="#000000" filled="t" stroked="f" coordsize="13959,15" o:allowincell="f" path="m0,0l13958,0,13958,14,0,14,0,0xe">
            <v:path/>
            <v:fill on="t" focussize="0,0"/>
            <v:stroke on="f"/>
            <v:imagedata o:title=""/>
            <o:lock v:ext="edit"/>
          </v:shape>
        </w:pict>
      </w:r>
      <w:r>
        <w:pict>
          <v:shape id="_x0000_s1047" o:spid="_x0000_s1047" o:spt="202" type="#_x0000_t202" style="position:absolute;left:0pt;margin-left:727.7pt;margin-top:206.65pt;height:170pt;width:15.9pt;mso-position-horizontal-relative:page;mso-position-vertical-relative:page;z-index:251698176;mso-width-relative:page;mso-height-relative:page;" filled="f" stroked="f" coordsize="21600,21600" o:allowincell="f">
            <v:path/>
            <v:fill on="f" focussize="0,0"/>
            <v:stroke on="f"/>
            <v:imagedata o:title=""/>
            <o:lock v:ext="edit" aspectratio="f"/>
            <v:textbox inset="0mm,0mm,0mm,0mm" style="layout-flow:vertical-ideographic;">
              <w:txbxContent>
                <w:p w14:paraId="5F9F54A0">
                  <w:pPr>
                    <w:spacing w:before="20" w:line="208" w:lineRule="auto"/>
                    <w:ind w:left="20"/>
                    <w:rPr>
                      <w:rFonts w:ascii="宋体" w:hAnsi="宋体" w:eastAsia="宋体" w:cs="宋体"/>
                      <w:sz w:val="23"/>
                      <w:szCs w:val="23"/>
                    </w:rPr>
                  </w:pPr>
                  <w:r>
                    <w:rPr>
                      <w:rFonts w:ascii="宋体" w:hAnsi="宋体" w:eastAsia="宋体" w:cs="宋体"/>
                      <w:spacing w:val="-21"/>
                      <w:sz w:val="23"/>
                      <w:szCs w:val="23"/>
                      <w14:textOutline w14:w="4358" w14:cap="sq" w14:cmpd="sng">
                        <w14:solidFill>
                          <w14:srgbClr w14:val="000000"/>
                        </w14:solidFill>
                        <w14:prstDash w14:val="solid"/>
                        <w14:bevel/>
                      </w14:textOutline>
                    </w:rPr>
                    <w:t>辽</w:t>
                  </w:r>
                  <w:r>
                    <w:rPr>
                      <w:rFonts w:ascii="宋体" w:hAnsi="宋体" w:eastAsia="宋体" w:cs="宋体"/>
                      <w:spacing w:val="-15"/>
                      <w:sz w:val="23"/>
                      <w:szCs w:val="23"/>
                    </w:rPr>
                    <w:t xml:space="preserve"> </w:t>
                  </w:r>
                  <w:r>
                    <w:rPr>
                      <w:rFonts w:ascii="宋体" w:hAnsi="宋体" w:eastAsia="宋体" w:cs="宋体"/>
                      <w:spacing w:val="-15"/>
                      <w:sz w:val="23"/>
                      <w:szCs w:val="23"/>
                      <w14:textOutline w14:w="4358" w14:cap="sq" w14:cmpd="sng">
                        <w14:solidFill>
                          <w14:srgbClr w14:val="000000"/>
                        </w14:solidFill>
                        <w14:prstDash w14:val="solid"/>
                        <w14:bevel/>
                      </w14:textOutline>
                    </w:rPr>
                    <w:t>宁</w:t>
                  </w:r>
                  <w:r>
                    <w:rPr>
                      <w:rFonts w:ascii="宋体" w:hAnsi="宋体" w:eastAsia="宋体" w:cs="宋体"/>
                      <w:spacing w:val="-15"/>
                      <w:sz w:val="23"/>
                      <w:szCs w:val="23"/>
                    </w:rPr>
                    <w:t xml:space="preserve"> </w:t>
                  </w:r>
                  <w:r>
                    <w:rPr>
                      <w:rFonts w:ascii="宋体" w:hAnsi="宋体" w:eastAsia="宋体" w:cs="宋体"/>
                      <w:spacing w:val="-15"/>
                      <w:sz w:val="23"/>
                      <w:szCs w:val="23"/>
                      <w14:textOutline w14:w="4358" w14:cap="sq" w14:cmpd="sng">
                        <w14:solidFill>
                          <w14:srgbClr w14:val="000000"/>
                        </w14:solidFill>
                        <w14:prstDash w14:val="solid"/>
                        <w14:bevel/>
                      </w14:textOutline>
                    </w:rPr>
                    <w:t>公</w:t>
                  </w:r>
                  <w:r>
                    <w:rPr>
                      <w:rFonts w:ascii="宋体" w:hAnsi="宋体" w:eastAsia="宋体" w:cs="宋体"/>
                      <w:spacing w:val="-15"/>
                      <w:sz w:val="23"/>
                      <w:szCs w:val="23"/>
                    </w:rPr>
                    <w:t xml:space="preserve"> </w:t>
                  </w:r>
                  <w:r>
                    <w:rPr>
                      <w:rFonts w:ascii="宋体" w:hAnsi="宋体" w:eastAsia="宋体" w:cs="宋体"/>
                      <w:spacing w:val="-15"/>
                      <w:sz w:val="23"/>
                      <w:szCs w:val="23"/>
                      <w14:textOutline w14:w="4358" w14:cap="sq" w14:cmpd="sng">
                        <w14:solidFill>
                          <w14:srgbClr w14:val="000000"/>
                        </w14:solidFill>
                        <w14:prstDash w14:val="solid"/>
                        <w14:bevel/>
                      </w14:textOutline>
                    </w:rPr>
                    <w:t>路</w:t>
                  </w:r>
                  <w:r>
                    <w:rPr>
                      <w:rFonts w:ascii="宋体" w:hAnsi="宋体" w:eastAsia="宋体" w:cs="宋体"/>
                      <w:spacing w:val="-15"/>
                      <w:sz w:val="23"/>
                      <w:szCs w:val="23"/>
                    </w:rPr>
                    <w:t xml:space="preserve"> </w:t>
                  </w:r>
                  <w:r>
                    <w:rPr>
                      <w:rFonts w:ascii="宋体" w:hAnsi="宋体" w:eastAsia="宋体" w:cs="宋体"/>
                      <w:spacing w:val="-15"/>
                      <w:sz w:val="23"/>
                      <w:szCs w:val="23"/>
                      <w14:textOutline w14:w="4358" w14:cap="sq" w14:cmpd="sng">
                        <w14:solidFill>
                          <w14:srgbClr w14:val="000000"/>
                        </w14:solidFill>
                        <w14:prstDash w14:val="solid"/>
                        <w14:bevel/>
                      </w14:textOutline>
                    </w:rPr>
                    <w:t>水</w:t>
                  </w:r>
                  <w:r>
                    <w:rPr>
                      <w:rFonts w:ascii="宋体" w:hAnsi="宋体" w:eastAsia="宋体" w:cs="宋体"/>
                      <w:spacing w:val="-15"/>
                      <w:sz w:val="23"/>
                      <w:szCs w:val="23"/>
                    </w:rPr>
                    <w:t xml:space="preserve"> </w:t>
                  </w:r>
                  <w:r>
                    <w:rPr>
                      <w:rFonts w:ascii="宋体" w:hAnsi="宋体" w:eastAsia="宋体" w:cs="宋体"/>
                      <w:spacing w:val="-15"/>
                      <w:sz w:val="23"/>
                      <w:szCs w:val="23"/>
                      <w14:textOutline w14:w="4358" w14:cap="sq" w14:cmpd="sng">
                        <w14:solidFill>
                          <w14:srgbClr w14:val="000000"/>
                        </w14:solidFill>
                        <w14:prstDash w14:val="solid"/>
                        <w14:bevel/>
                      </w14:textOutline>
                    </w:rPr>
                    <w:t>泥</w:t>
                  </w:r>
                  <w:r>
                    <w:rPr>
                      <w:rFonts w:ascii="宋体" w:hAnsi="宋体" w:eastAsia="宋体" w:cs="宋体"/>
                      <w:spacing w:val="-15"/>
                      <w:sz w:val="23"/>
                      <w:szCs w:val="23"/>
                    </w:rPr>
                    <w:t xml:space="preserve"> </w:t>
                  </w:r>
                  <w:r>
                    <w:rPr>
                      <w:rFonts w:ascii="宋体" w:hAnsi="宋体" w:eastAsia="宋体" w:cs="宋体"/>
                      <w:spacing w:val="-15"/>
                      <w:sz w:val="23"/>
                      <w:szCs w:val="23"/>
                      <w14:textOutline w14:w="4358" w14:cap="sq" w14:cmpd="sng">
                        <w14:solidFill>
                          <w14:srgbClr w14:val="000000"/>
                        </w14:solidFill>
                        <w14:prstDash w14:val="solid"/>
                        <w14:bevel/>
                      </w14:textOutline>
                    </w:rPr>
                    <w:t>厂</w:t>
                  </w:r>
                  <w:r>
                    <w:rPr>
                      <w:rFonts w:ascii="宋体" w:hAnsi="宋体" w:eastAsia="宋体" w:cs="宋体"/>
                      <w:spacing w:val="-15"/>
                      <w:sz w:val="23"/>
                      <w:szCs w:val="23"/>
                    </w:rPr>
                    <w:t xml:space="preserve"> </w:t>
                  </w:r>
                  <w:r>
                    <w:rPr>
                      <w:rFonts w:ascii="宋体" w:hAnsi="宋体" w:eastAsia="宋体" w:cs="宋体"/>
                      <w:spacing w:val="-15"/>
                      <w:sz w:val="23"/>
                      <w:szCs w:val="23"/>
                      <w14:textOutline w14:w="4358" w14:cap="sq" w14:cmpd="sng">
                        <w14:solidFill>
                          <w14:srgbClr w14:val="000000"/>
                        </w14:solidFill>
                        <w14:prstDash w14:val="solid"/>
                        <w14:bevel/>
                      </w14:textOutline>
                    </w:rPr>
                    <w:t>废</w:t>
                  </w:r>
                  <w:r>
                    <w:rPr>
                      <w:rFonts w:ascii="宋体" w:hAnsi="宋体" w:eastAsia="宋体" w:cs="宋体"/>
                      <w:spacing w:val="-15"/>
                      <w:sz w:val="23"/>
                      <w:szCs w:val="23"/>
                    </w:rPr>
                    <w:t xml:space="preserve"> </w:t>
                  </w:r>
                  <w:r>
                    <w:rPr>
                      <w:rFonts w:ascii="宋体" w:hAnsi="宋体" w:eastAsia="宋体" w:cs="宋体"/>
                      <w:spacing w:val="-15"/>
                      <w:position w:val="1"/>
                      <w:sz w:val="23"/>
                      <w:szCs w:val="23"/>
                      <w14:textOutline w14:w="4358" w14:cap="sq" w14:cmpd="sng">
                        <w14:solidFill>
                          <w14:srgbClr w14:val="000000"/>
                        </w14:solidFill>
                        <w14:prstDash w14:val="solid"/>
                        <w14:bevel/>
                      </w14:textOutline>
                    </w:rPr>
                    <w:t>旧</w:t>
                  </w:r>
                  <w:r>
                    <w:rPr>
                      <w:rFonts w:ascii="宋体" w:hAnsi="宋体" w:eastAsia="宋体" w:cs="宋体"/>
                      <w:spacing w:val="-15"/>
                      <w:position w:val="1"/>
                      <w:sz w:val="23"/>
                      <w:szCs w:val="23"/>
                    </w:rPr>
                    <w:t xml:space="preserve"> </w:t>
                  </w:r>
                  <w:r>
                    <w:rPr>
                      <w:rFonts w:ascii="宋体" w:hAnsi="宋体" w:eastAsia="宋体" w:cs="宋体"/>
                      <w:spacing w:val="-15"/>
                      <w:sz w:val="23"/>
                      <w:szCs w:val="23"/>
                      <w14:textOutline w14:w="4358" w14:cap="sq" w14:cmpd="sng">
                        <w14:solidFill>
                          <w14:srgbClr w14:val="000000"/>
                        </w14:solidFill>
                        <w14:prstDash w14:val="solid"/>
                        <w14:bevel/>
                      </w14:textOutline>
                    </w:rPr>
                    <w:t>厂</w:t>
                  </w:r>
                  <w:r>
                    <w:rPr>
                      <w:rFonts w:ascii="宋体" w:hAnsi="宋体" w:eastAsia="宋体" w:cs="宋体"/>
                      <w:spacing w:val="-15"/>
                      <w:sz w:val="23"/>
                      <w:szCs w:val="23"/>
                    </w:rPr>
                    <w:t xml:space="preserve"> </w:t>
                  </w:r>
                  <w:r>
                    <w:rPr>
                      <w:rFonts w:ascii="宋体" w:hAnsi="宋体" w:eastAsia="宋体" w:cs="宋体"/>
                      <w:spacing w:val="-15"/>
                      <w:sz w:val="23"/>
                      <w:szCs w:val="23"/>
                      <w14:textOutline w14:w="4358" w14:cap="sq" w14:cmpd="sng">
                        <w14:solidFill>
                          <w14:srgbClr w14:val="000000"/>
                        </w14:solidFill>
                        <w14:prstDash w14:val="solid"/>
                        <w14:bevel/>
                      </w14:textOutline>
                    </w:rPr>
                    <w:t>区</w:t>
                  </w:r>
                </w:p>
              </w:txbxContent>
            </v:textbox>
          </v:shape>
        </w:pict>
      </w:r>
      <w:r>
        <w:pict>
          <v:shape id="_x0000_s1048" o:spid="_x0000_s1048" o:spt="202" type="#_x0000_t202" style="position:absolute;left:0pt;margin-left:105.15pt;margin-top:220.9pt;height:76.4pt;width:16.3pt;mso-position-horizontal-relative:page;mso-position-vertical-relative:page;z-index:251697152;mso-width-relative:page;mso-height-relative:page;" filled="f" stroked="f" coordsize="21600,21600" o:allowincell="f">
            <v:path/>
            <v:fill on="f" focussize="0,0"/>
            <v:stroke on="f"/>
            <v:imagedata o:title=""/>
            <o:lock v:ext="edit" aspectratio="f"/>
            <v:textbox inset="0mm,0mm,0mm,0mm" style="layout-flow:vertical-ideographic;">
              <w:txbxContent>
                <w:p w14:paraId="63D19D17">
                  <w:pPr>
                    <w:spacing w:before="20" w:line="223" w:lineRule="auto"/>
                    <w:ind w:left="20"/>
                    <w:rPr>
                      <w:rFonts w:ascii="宋体" w:hAnsi="宋体" w:eastAsia="宋体" w:cs="宋体"/>
                      <w:sz w:val="23"/>
                      <w:szCs w:val="23"/>
                    </w:rPr>
                  </w:pPr>
                  <w:r>
                    <w:rPr>
                      <w:rFonts w:ascii="宋体" w:hAnsi="宋体" w:eastAsia="宋体" w:cs="宋体"/>
                      <w:spacing w:val="17"/>
                      <w:sz w:val="23"/>
                      <w:szCs w:val="23"/>
                      <w14:textOutline w14:w="4358" w14:cap="sq" w14:cmpd="sng">
                        <w14:solidFill>
                          <w14:srgbClr w14:val="000000"/>
                        </w14:solidFill>
                        <w14:prstDash w14:val="solid"/>
                        <w14:bevel/>
                      </w14:textOutline>
                    </w:rPr>
                    <w:t>空</w:t>
                  </w:r>
                  <w:r>
                    <w:rPr>
                      <w:rFonts w:ascii="宋体" w:hAnsi="宋体" w:eastAsia="宋体" w:cs="宋体"/>
                      <w:spacing w:val="10"/>
                      <w:sz w:val="23"/>
                      <w:szCs w:val="23"/>
                    </w:rPr>
                    <w:t xml:space="preserve">        </w:t>
                  </w:r>
                  <w:r>
                    <w:rPr>
                      <w:rFonts w:ascii="宋体" w:hAnsi="宋体" w:eastAsia="宋体" w:cs="宋体"/>
                      <w:spacing w:val="10"/>
                      <w:sz w:val="23"/>
                      <w:szCs w:val="23"/>
                      <w14:textOutline w14:w="4358" w14:cap="sq" w14:cmpd="sng">
                        <w14:solidFill>
                          <w14:srgbClr w14:val="000000"/>
                        </w14:solidFill>
                        <w14:prstDash w14:val="solid"/>
                        <w14:bevel/>
                      </w14:textOutline>
                    </w:rPr>
                    <w:t>地</w:t>
                  </w:r>
                </w:p>
              </w:txbxContent>
            </v:textbox>
          </v:shape>
        </w:pict>
      </w:r>
      <w:r>
        <w:drawing>
          <wp:anchor distT="0" distB="0" distL="0" distR="0" simplePos="0" relativeHeight="251684864" behindDoc="1" locked="0" layoutInCell="0" allowOverlap="1">
            <wp:simplePos x="0" y="0"/>
            <wp:positionH relativeFrom="page">
              <wp:posOffset>9280525</wp:posOffset>
            </wp:positionH>
            <wp:positionV relativeFrom="page">
              <wp:posOffset>1384300</wp:posOffset>
            </wp:positionV>
            <wp:extent cx="614680" cy="554355"/>
            <wp:effectExtent l="0" t="0" r="0" b="0"/>
            <wp:wrapNone/>
            <wp:docPr id="11" name="IM 11"/>
            <wp:cNvGraphicFramePr/>
            <a:graphic xmlns:a="http://schemas.openxmlformats.org/drawingml/2006/main">
              <a:graphicData uri="http://schemas.openxmlformats.org/drawingml/2006/picture">
                <pic:pic xmlns:pic="http://schemas.openxmlformats.org/drawingml/2006/picture">
                  <pic:nvPicPr>
                    <pic:cNvPr id="11" name="IM 11"/>
                    <pic:cNvPicPr/>
                  </pic:nvPicPr>
                  <pic:blipFill>
                    <a:blip r:embed="rId385"/>
                    <a:stretch>
                      <a:fillRect/>
                    </a:stretch>
                  </pic:blipFill>
                  <pic:spPr>
                    <a:xfrm>
                      <a:off x="0" y="0"/>
                      <a:ext cx="614781" cy="554126"/>
                    </a:xfrm>
                    <a:prstGeom prst="rect">
                      <a:avLst/>
                    </a:prstGeom>
                  </pic:spPr>
                </pic:pic>
              </a:graphicData>
            </a:graphic>
          </wp:anchor>
        </w:drawing>
      </w:r>
      <w:r>
        <w:drawing>
          <wp:anchor distT="0" distB="0" distL="0" distR="0" simplePos="0" relativeHeight="251699200" behindDoc="0" locked="0" layoutInCell="0" allowOverlap="1">
            <wp:simplePos x="0" y="0"/>
            <wp:positionH relativeFrom="page">
              <wp:posOffset>8917305</wp:posOffset>
            </wp:positionH>
            <wp:positionV relativeFrom="page">
              <wp:posOffset>1670050</wp:posOffset>
            </wp:positionV>
            <wp:extent cx="621665" cy="612140"/>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386"/>
                    <a:stretch>
                      <a:fillRect/>
                    </a:stretch>
                  </pic:blipFill>
                  <pic:spPr>
                    <a:xfrm>
                      <a:off x="0" y="0"/>
                      <a:ext cx="621512" cy="611937"/>
                    </a:xfrm>
                    <a:prstGeom prst="rect">
                      <a:avLst/>
                    </a:prstGeom>
                  </pic:spPr>
                </pic:pic>
              </a:graphicData>
            </a:graphic>
          </wp:anchor>
        </w:drawing>
      </w:r>
      <w:r>
        <w:drawing>
          <wp:anchor distT="0" distB="0" distL="0" distR="0" simplePos="0" relativeHeight="251685888" behindDoc="0" locked="0" layoutInCell="0" allowOverlap="1">
            <wp:simplePos x="0" y="0"/>
            <wp:positionH relativeFrom="page">
              <wp:posOffset>890905</wp:posOffset>
            </wp:positionH>
            <wp:positionV relativeFrom="page">
              <wp:posOffset>1356995</wp:posOffset>
            </wp:positionV>
            <wp:extent cx="8801100" cy="4699000"/>
            <wp:effectExtent l="0" t="0" r="0" b="0"/>
            <wp:wrapNone/>
            <wp:docPr id="13" name="IM 13"/>
            <wp:cNvGraphicFramePr/>
            <a:graphic xmlns:a="http://schemas.openxmlformats.org/drawingml/2006/main">
              <a:graphicData uri="http://schemas.openxmlformats.org/drawingml/2006/picture">
                <pic:pic xmlns:pic="http://schemas.openxmlformats.org/drawingml/2006/picture">
                  <pic:nvPicPr>
                    <pic:cNvPr id="13" name="IM 13"/>
                    <pic:cNvPicPr/>
                  </pic:nvPicPr>
                  <pic:blipFill>
                    <a:blip r:embed="rId387"/>
                    <a:stretch>
                      <a:fillRect/>
                    </a:stretch>
                  </pic:blipFill>
                  <pic:spPr>
                    <a:xfrm>
                      <a:off x="0" y="0"/>
                      <a:ext cx="8801099" cy="4699000"/>
                    </a:xfrm>
                    <a:prstGeom prst="rect">
                      <a:avLst/>
                    </a:prstGeom>
                  </pic:spPr>
                </pic:pic>
              </a:graphicData>
            </a:graphic>
          </wp:anchor>
        </w:drawing>
      </w:r>
      <w:r>
        <w:pict>
          <v:group id="_x0000_s1049" o:spid="_x0000_s1049" o:spt="203" style="position:absolute;left:0pt;margin-left:94.15pt;margin-top:308.3pt;height:28pt;width:124.8pt;mso-position-horizontal-relative:page;mso-position-vertical-relative:page;z-index:251700224;mso-width-relative:page;mso-height-relative:page;" coordsize="2496,560" o:allowincell="f">
            <o:lock v:ext="edit"/>
            <v:shape id="_x0000_s1050" o:spid="_x0000_s1050" o:spt="75" type="#_x0000_t75" style="position:absolute;left:0;top:0;height:560;width:2496;" filled="f" stroked="f" coordsize="21600,21600">
              <v:path/>
              <v:fill on="f" focussize="0,0"/>
              <v:stroke on="f"/>
              <v:imagedata r:id="rId388" o:title=""/>
              <o:lock v:ext="edit" aspectratio="t"/>
            </v:shape>
            <v:shape id="_x0000_s1051" o:spid="_x0000_s1051" o:spt="202" type="#_x0000_t202" style="position:absolute;left:-20;top:-20;height:637;width:2536;" filled="f" stroked="f" coordsize="21600,21600">
              <v:path/>
              <v:fill on="f" focussize="0,0"/>
              <v:stroke on="f"/>
              <v:imagedata o:title=""/>
              <o:lock v:ext="edit" aspectratio="f"/>
              <v:textbox inset="0mm,0mm,0mm,0mm">
                <w:txbxContent>
                  <w:p w14:paraId="331BD1EF">
                    <w:pPr>
                      <w:spacing w:before="279" w:line="228" w:lineRule="auto"/>
                      <w:ind w:left="189"/>
                      <w:rPr>
                        <w:rFonts w:ascii="宋体" w:hAnsi="宋体" w:eastAsia="宋体" w:cs="宋体"/>
                        <w:sz w:val="20"/>
                        <w:szCs w:val="20"/>
                      </w:rPr>
                    </w:pPr>
                    <w:r>
                      <w:rPr>
                        <w:rFonts w:ascii="宋体" w:hAnsi="宋体" w:eastAsia="宋体" w:cs="宋体"/>
                        <w:spacing w:val="10"/>
                        <w:sz w:val="20"/>
                        <w:szCs w:val="20"/>
                      </w:rPr>
                      <w:t>危</w:t>
                    </w:r>
                    <w:r>
                      <w:rPr>
                        <w:rFonts w:ascii="宋体" w:hAnsi="宋体" w:eastAsia="宋体" w:cs="宋体"/>
                        <w:spacing w:val="7"/>
                        <w:sz w:val="20"/>
                        <w:szCs w:val="20"/>
                      </w:rPr>
                      <w:t>废暂存间</w:t>
                    </w:r>
                  </w:p>
                </w:txbxContent>
              </v:textbox>
            </v:shape>
          </v:group>
        </w:pict>
      </w:r>
      <w:r>
        <w:pict>
          <v:group id="_x0000_s1052" o:spid="_x0000_s1052" o:spt="203" style="position:absolute;left:0pt;margin-left:77.65pt;margin-top:329.05pt;height:34.2pt;width:125.9pt;mso-position-horizontal-relative:page;mso-position-vertical-relative:page;z-index:251701248;mso-width-relative:page;mso-height-relative:page;" coordsize="2518,684" o:allowincell="f">
            <o:lock v:ext="edit"/>
            <v:shape id="_x0000_s1053" o:spid="_x0000_s1053" o:spt="75" type="#_x0000_t75" style="position:absolute;left:0;top:0;height:684;width:2518;" filled="f" stroked="f" coordsize="21600,21600">
              <v:path/>
              <v:fill on="f" focussize="0,0"/>
              <v:stroke on="f"/>
              <v:imagedata r:id="rId389" o:title=""/>
              <o:lock v:ext="edit" aspectratio="t"/>
            </v:shape>
            <v:shape id="_x0000_s1054" o:spid="_x0000_s1054" o:spt="202" type="#_x0000_t202" style="position:absolute;left:-20;top:-20;height:761;width:2558;" filled="f" stroked="f" coordsize="21600,21600">
              <v:path/>
              <v:fill on="f" focussize="0,0"/>
              <v:stroke on="f"/>
              <v:imagedata o:title=""/>
              <o:lock v:ext="edit" aspectratio="f"/>
              <v:textbox inset="0mm,0mm,0mm,0mm">
                <w:txbxContent>
                  <w:p w14:paraId="0AE09419">
                    <w:pPr>
                      <w:spacing w:line="337" w:lineRule="auto"/>
                      <w:rPr>
                        <w:rFonts w:ascii="Arial"/>
                        <w:sz w:val="21"/>
                      </w:rPr>
                    </w:pPr>
                  </w:p>
                  <w:p w14:paraId="21128C09">
                    <w:pPr>
                      <w:spacing w:before="65" w:line="228" w:lineRule="auto"/>
                      <w:ind w:left="202"/>
                      <w:rPr>
                        <w:rFonts w:ascii="宋体" w:hAnsi="宋体" w:eastAsia="宋体" w:cs="宋体"/>
                        <w:sz w:val="20"/>
                        <w:szCs w:val="20"/>
                      </w:rPr>
                    </w:pPr>
                    <w:r>
                      <w:rPr>
                        <w:rFonts w:ascii="宋体" w:hAnsi="宋体" w:eastAsia="宋体" w:cs="宋体"/>
                        <w:spacing w:val="10"/>
                        <w:sz w:val="20"/>
                        <w:szCs w:val="20"/>
                      </w:rPr>
                      <w:t>备</w:t>
                    </w:r>
                    <w:r>
                      <w:rPr>
                        <w:rFonts w:ascii="宋体" w:hAnsi="宋体" w:eastAsia="宋体" w:cs="宋体"/>
                        <w:spacing w:val="7"/>
                        <w:sz w:val="20"/>
                        <w:szCs w:val="20"/>
                      </w:rPr>
                      <w:t>品备件库</w:t>
                    </w:r>
                  </w:p>
                </w:txbxContent>
              </v:textbox>
            </v:shape>
          </v:group>
        </w:pict>
      </w:r>
      <w:r>
        <w:pict>
          <v:shape id="_x0000_s1055" o:spid="_x0000_s1055" o:spt="202" type="#_x0000_t202" style="position:absolute;left:0pt;margin-left:702.3pt;margin-top:339.85pt;height:14.55pt;width:10.9pt;mso-position-horizontal-relative:page;mso-position-vertical-relative:page;z-index:251694080;mso-width-relative:page;mso-height-relative:page;" filled="f" stroked="f" coordsize="21600,21600" o:allowincell="f">
            <v:path/>
            <v:fill on="f" focussize="0,0"/>
            <v:stroke on="f"/>
            <v:imagedata o:title=""/>
            <o:lock v:ext="edit" aspectratio="f"/>
            <v:textbox inset="0mm,0mm,0mm,0mm">
              <w:txbxContent>
                <w:p w14:paraId="48F42FB0">
                  <w:pPr>
                    <w:spacing w:before="20" w:line="231" w:lineRule="auto"/>
                    <w:ind w:left="20"/>
                    <w:rPr>
                      <w:rFonts w:ascii="宋体" w:hAnsi="宋体" w:eastAsia="宋体" w:cs="宋体"/>
                      <w:sz w:val="20"/>
                      <w:szCs w:val="20"/>
                    </w:rPr>
                  </w:pPr>
                  <w:r>
                    <w:rPr>
                      <w:rFonts w:ascii="宋体" w:hAnsi="宋体" w:eastAsia="宋体" w:cs="宋体"/>
                      <w:spacing w:val="-23"/>
                      <w:sz w:val="20"/>
                      <w:szCs w:val="20"/>
                      <w14:textOutline w14:w="3795" w14:cap="sq" w14:cmpd="sng">
                        <w14:solidFill>
                          <w14:srgbClr w14:val="000000"/>
                        </w14:solidFill>
                        <w14:prstDash w14:val="solid"/>
                        <w14:bevel/>
                      </w14:textOutline>
                    </w:rPr>
                    <w:t>门</w:t>
                  </w:r>
                </w:p>
              </w:txbxContent>
            </v:textbox>
          </v:shape>
        </w:pict>
      </w:r>
      <w:r>
        <w:pict>
          <v:group id="_x0000_s1056" o:spid="_x0000_s1056" o:spt="203" style="position:absolute;left:0pt;margin-left:445.45pt;margin-top:397pt;height:41.3pt;width:81.95pt;mso-position-horizontal-relative:page;mso-position-vertical-relative:page;z-index:251714560;mso-width-relative:page;mso-height-relative:page;" coordsize="1638,825" o:allowincell="f">
            <o:lock v:ext="edit"/>
            <v:shape id="_x0000_s1057" o:spid="_x0000_s1057" o:spt="75" type="#_x0000_t75" style="position:absolute;left:0;top:0;height:825;width:1638;" filled="f" stroked="f" coordsize="21600,21600">
              <v:path/>
              <v:fill on="f" focussize="0,0"/>
              <v:stroke on="f"/>
              <v:imagedata r:id="rId390" o:title=""/>
              <o:lock v:ext="edit" aspectratio="t"/>
            </v:shape>
            <v:shape id="_x0000_s1058" o:spid="_x0000_s1058" o:spt="202" type="#_x0000_t202" style="position:absolute;left:-20;top:-20;height:865;width:1678;" filled="f" stroked="f" coordsize="21600,21600">
              <v:path/>
              <v:fill on="f" focussize="0,0"/>
              <v:stroke on="f"/>
              <v:imagedata o:title=""/>
              <o:lock v:ext="edit" aspectratio="f"/>
              <v:textbox inset="0mm,0mm,0mm,0mm">
                <w:txbxContent>
                  <w:p w14:paraId="4CD902F6">
                    <w:pPr>
                      <w:spacing w:line="439" w:lineRule="auto"/>
                      <w:rPr>
                        <w:rFonts w:ascii="Arial"/>
                        <w:sz w:val="21"/>
                      </w:rPr>
                    </w:pPr>
                  </w:p>
                  <w:p w14:paraId="58E0E4F2">
                    <w:pPr>
                      <w:spacing w:before="65" w:line="289" w:lineRule="exact"/>
                      <w:ind w:left="685"/>
                      <w:rPr>
                        <w:rFonts w:ascii="宋体" w:hAnsi="宋体" w:eastAsia="宋体" w:cs="宋体"/>
                        <w:sz w:val="20"/>
                        <w:szCs w:val="20"/>
                      </w:rPr>
                    </w:pPr>
                    <w:r>
                      <w:rPr>
                        <w:rFonts w:ascii="Times New Roman" w:hAnsi="Times New Roman" w:eastAsia="Times New Roman" w:cs="Times New Roman"/>
                        <w:b/>
                        <w:bCs/>
                        <w:spacing w:val="8"/>
                        <w:position w:val="1"/>
                        <w:sz w:val="20"/>
                        <w:szCs w:val="20"/>
                      </w:rPr>
                      <w:t>3</w:t>
                    </w:r>
                    <w:r>
                      <w:rPr>
                        <w:rFonts w:ascii="Times New Roman" w:hAnsi="Times New Roman" w:eastAsia="Times New Roman" w:cs="Times New Roman"/>
                        <w:b/>
                        <w:bCs/>
                        <w:spacing w:val="7"/>
                        <w:position w:val="1"/>
                        <w:sz w:val="20"/>
                        <w:szCs w:val="20"/>
                      </w:rPr>
                      <w:t>#</w:t>
                    </w:r>
                    <w:r>
                      <w:rPr>
                        <w:rFonts w:ascii="宋体" w:hAnsi="宋体" w:eastAsia="宋体" w:cs="宋体"/>
                        <w:spacing w:val="7"/>
                        <w:position w:val="1"/>
                        <w:sz w:val="20"/>
                        <w:szCs w:val="20"/>
                        <w14:textOutline w14:w="3795" w14:cap="sq" w14:cmpd="sng">
                          <w14:solidFill>
                            <w14:srgbClr w14:val="000000"/>
                          </w14:solidFill>
                          <w14:prstDash w14:val="solid"/>
                          <w14:bevel/>
                        </w14:textOutline>
                      </w:rPr>
                      <w:t>排气筒</w:t>
                    </w:r>
                  </w:p>
                </w:txbxContent>
              </v:textbox>
            </v:shape>
          </v:group>
        </w:pict>
      </w:r>
      <w:r>
        <w:drawing>
          <wp:anchor distT="0" distB="0" distL="0" distR="0" simplePos="0" relativeHeight="251706368" behindDoc="0" locked="0" layoutInCell="0" allowOverlap="1">
            <wp:simplePos x="0" y="0"/>
            <wp:positionH relativeFrom="page">
              <wp:posOffset>2207895</wp:posOffset>
            </wp:positionH>
            <wp:positionV relativeFrom="page">
              <wp:posOffset>4738370</wp:posOffset>
            </wp:positionV>
            <wp:extent cx="768350" cy="798830"/>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391"/>
                    <a:stretch>
                      <a:fillRect/>
                    </a:stretch>
                  </pic:blipFill>
                  <pic:spPr>
                    <a:xfrm>
                      <a:off x="0" y="0"/>
                      <a:ext cx="768350" cy="798829"/>
                    </a:xfrm>
                    <a:prstGeom prst="rect">
                      <a:avLst/>
                    </a:prstGeom>
                  </pic:spPr>
                </pic:pic>
              </a:graphicData>
            </a:graphic>
          </wp:anchor>
        </w:drawing>
      </w:r>
      <w:r>
        <w:drawing>
          <wp:anchor distT="0" distB="0" distL="0" distR="0" simplePos="0" relativeHeight="251709440" behindDoc="0" locked="0" layoutInCell="0" allowOverlap="1">
            <wp:simplePos x="0" y="0"/>
            <wp:positionH relativeFrom="page">
              <wp:posOffset>5081905</wp:posOffset>
            </wp:positionH>
            <wp:positionV relativeFrom="page">
              <wp:posOffset>5039360</wp:posOffset>
            </wp:positionV>
            <wp:extent cx="771525" cy="523875"/>
            <wp:effectExtent l="0" t="0" r="0" b="0"/>
            <wp:wrapNone/>
            <wp:docPr id="15" name="IM 15"/>
            <wp:cNvGraphicFramePr/>
            <a:graphic xmlns:a="http://schemas.openxmlformats.org/drawingml/2006/main">
              <a:graphicData uri="http://schemas.openxmlformats.org/drawingml/2006/picture">
                <pic:pic xmlns:pic="http://schemas.openxmlformats.org/drawingml/2006/picture">
                  <pic:nvPicPr>
                    <pic:cNvPr id="15" name="IM 15"/>
                    <pic:cNvPicPr/>
                  </pic:nvPicPr>
                  <pic:blipFill>
                    <a:blip r:embed="rId392"/>
                    <a:stretch>
                      <a:fillRect/>
                    </a:stretch>
                  </pic:blipFill>
                  <pic:spPr>
                    <a:xfrm>
                      <a:off x="0" y="0"/>
                      <a:ext cx="771537" cy="523888"/>
                    </a:xfrm>
                    <a:prstGeom prst="rect">
                      <a:avLst/>
                    </a:prstGeom>
                  </pic:spPr>
                </pic:pic>
              </a:graphicData>
            </a:graphic>
          </wp:anchor>
        </w:drawing>
      </w:r>
      <w:r>
        <w:drawing>
          <wp:anchor distT="0" distB="0" distL="0" distR="0" simplePos="0" relativeHeight="251708416" behindDoc="0" locked="0" layoutInCell="0" allowOverlap="1">
            <wp:simplePos x="0" y="0"/>
            <wp:positionH relativeFrom="page">
              <wp:posOffset>5634355</wp:posOffset>
            </wp:positionH>
            <wp:positionV relativeFrom="page">
              <wp:posOffset>5035550</wp:posOffset>
            </wp:positionV>
            <wp:extent cx="81280" cy="81280"/>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393"/>
                    <a:stretch>
                      <a:fillRect/>
                    </a:stretch>
                  </pic:blipFill>
                  <pic:spPr>
                    <a:xfrm>
                      <a:off x="0" y="0"/>
                      <a:ext cx="81292" cy="81279"/>
                    </a:xfrm>
                    <a:prstGeom prst="rect">
                      <a:avLst/>
                    </a:prstGeom>
                  </pic:spPr>
                </pic:pic>
              </a:graphicData>
            </a:graphic>
          </wp:anchor>
        </w:drawing>
      </w:r>
      <w:r>
        <w:drawing>
          <wp:anchor distT="0" distB="0" distL="0" distR="0" simplePos="0" relativeHeight="251715584" behindDoc="0" locked="0" layoutInCell="0" allowOverlap="1">
            <wp:simplePos x="0" y="0"/>
            <wp:positionH relativeFrom="page">
              <wp:posOffset>8772525</wp:posOffset>
            </wp:positionH>
            <wp:positionV relativeFrom="page">
              <wp:posOffset>4210685</wp:posOffset>
            </wp:positionV>
            <wp:extent cx="215900" cy="397510"/>
            <wp:effectExtent l="0" t="0" r="0" b="0"/>
            <wp:wrapNone/>
            <wp:docPr id="17" name="IM 17"/>
            <wp:cNvGraphicFramePr/>
            <a:graphic xmlns:a="http://schemas.openxmlformats.org/drawingml/2006/main">
              <a:graphicData uri="http://schemas.openxmlformats.org/drawingml/2006/picture">
                <pic:pic xmlns:pic="http://schemas.openxmlformats.org/drawingml/2006/picture">
                  <pic:nvPicPr>
                    <pic:cNvPr id="17" name="IM 17"/>
                    <pic:cNvPicPr/>
                  </pic:nvPicPr>
                  <pic:blipFill>
                    <a:blip r:embed="rId394"/>
                    <a:stretch>
                      <a:fillRect/>
                    </a:stretch>
                  </pic:blipFill>
                  <pic:spPr>
                    <a:xfrm>
                      <a:off x="0" y="0"/>
                      <a:ext cx="215950" cy="397509"/>
                    </a:xfrm>
                    <a:prstGeom prst="rect">
                      <a:avLst/>
                    </a:prstGeom>
                  </pic:spPr>
                </pic:pic>
              </a:graphicData>
            </a:graphic>
          </wp:anchor>
        </w:drawing>
      </w:r>
      <w:r>
        <w:pict>
          <v:group id="_x0000_s1059" o:spid="_x0000_s1059" o:spt="203" style="position:absolute;left:0pt;margin-left:70.85pt;margin-top:418.1pt;height:57.9pt;width:97.5pt;mso-position-horizontal-relative:page;mso-position-vertical-relative:page;z-index:251687936;mso-width-relative:page;mso-height-relative:page;" coordsize="1950,1158" o:allowincell="f">
            <o:lock v:ext="edit"/>
            <v:shape id="_x0000_s1060" o:spid="_x0000_s1060" o:spt="75" type="#_x0000_t75" style="position:absolute;left:0;top:0;height:1158;width:1950;" filled="f" stroked="f" coordsize="21600,21600">
              <v:path/>
              <v:fill on="f" focussize="0,0"/>
              <v:stroke on="f"/>
              <v:imagedata r:id="rId395" o:title=""/>
              <o:lock v:ext="edit" aspectratio="t"/>
            </v:shape>
            <v:shape id="_x0000_s1061" o:spid="_x0000_s1061" o:spt="202" type="#_x0000_t202" style="position:absolute;left:134;top:119;height:1023;width:1303;" filled="f" stroked="f" coordsize="21600,21600">
              <v:path/>
              <v:fill on="f" focussize="0,0"/>
              <v:stroke on="f"/>
              <v:imagedata o:title=""/>
              <o:lock v:ext="edit" aspectratio="f"/>
              <v:textbox inset="0mm,0mm,0mm,0mm">
                <w:txbxContent>
                  <w:p w14:paraId="4984182F">
                    <w:pPr>
                      <w:spacing w:before="20" w:line="229" w:lineRule="auto"/>
                      <w:ind w:left="449"/>
                      <w:rPr>
                        <w:rFonts w:ascii="宋体" w:hAnsi="宋体" w:eastAsia="宋体" w:cs="宋体"/>
                        <w:sz w:val="20"/>
                        <w:szCs w:val="20"/>
                      </w:rPr>
                    </w:pPr>
                    <w:r>
                      <w:rPr>
                        <w:rFonts w:ascii="宋体" w:hAnsi="宋体" w:eastAsia="宋体" w:cs="宋体"/>
                        <w:spacing w:val="2"/>
                        <w:sz w:val="20"/>
                        <w:szCs w:val="20"/>
                        <w:u w:val="single" w:color="auto"/>
                        <w14:textOutline w14:w="3795" w14:cap="sq" w14:cmpd="sng">
                          <w14:solidFill>
                            <w14:srgbClr w14:val="000000"/>
                          </w14:solidFill>
                          <w14:prstDash w14:val="solid"/>
                          <w14:bevel/>
                        </w14:textOutline>
                      </w:rPr>
                      <w:t>图</w:t>
                    </w:r>
                    <w:r>
                      <w:rPr>
                        <w:rFonts w:ascii="宋体" w:hAnsi="宋体" w:eastAsia="宋体" w:cs="宋体"/>
                        <w:spacing w:val="2"/>
                        <w:sz w:val="20"/>
                        <w:szCs w:val="20"/>
                        <w:u w:val="single" w:color="auto"/>
                      </w:rPr>
                      <w:t xml:space="preserve">  </w:t>
                    </w:r>
                    <w:r>
                      <w:rPr>
                        <w:rFonts w:ascii="宋体" w:hAnsi="宋体" w:eastAsia="宋体" w:cs="宋体"/>
                        <w:spacing w:val="1"/>
                        <w:sz w:val="20"/>
                        <w:szCs w:val="20"/>
                        <w:u w:val="single" w:color="auto"/>
                      </w:rPr>
                      <w:t xml:space="preserve">  </w:t>
                    </w:r>
                    <w:r>
                      <w:rPr>
                        <w:rFonts w:ascii="宋体" w:hAnsi="宋体" w:eastAsia="宋体" w:cs="宋体"/>
                        <w:spacing w:val="1"/>
                        <w:sz w:val="20"/>
                        <w:szCs w:val="20"/>
                        <w:u w:val="single" w:color="auto"/>
                        <w14:textOutline w14:w="3795" w14:cap="sq" w14:cmpd="sng">
                          <w14:solidFill>
                            <w14:srgbClr w14:val="000000"/>
                          </w14:solidFill>
                          <w14:prstDash w14:val="solid"/>
                          <w14:bevel/>
                        </w14:textOutline>
                      </w:rPr>
                      <w:t>例</w:t>
                    </w:r>
                  </w:p>
                  <w:p w14:paraId="286349E1">
                    <w:pPr>
                      <w:spacing w:before="57" w:line="234" w:lineRule="auto"/>
                      <w:ind w:left="20"/>
                      <w:rPr>
                        <w:rFonts w:ascii="宋体" w:hAnsi="宋体" w:eastAsia="宋体" w:cs="宋体"/>
                        <w:sz w:val="20"/>
                        <w:szCs w:val="20"/>
                      </w:rPr>
                    </w:pPr>
                    <w:r>
                      <w:rPr>
                        <w:rFonts w:ascii="宋体" w:hAnsi="宋体" w:eastAsia="宋体" w:cs="宋体"/>
                        <w:position w:val="-1"/>
                        <w:sz w:val="20"/>
                        <w:szCs w:val="20"/>
                      </w:rPr>
                      <w:drawing>
                        <wp:inline distT="0" distB="0" distL="0" distR="0">
                          <wp:extent cx="198755" cy="12700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396"/>
                                  <a:stretch>
                                    <a:fillRect/>
                                  </a:stretch>
                                </pic:blipFill>
                                <pic:spPr>
                                  <a:xfrm>
                                    <a:off x="0" y="0"/>
                                    <a:ext cx="198755" cy="127000"/>
                                  </a:xfrm>
                                  <a:prstGeom prst="rect">
                                    <a:avLst/>
                                  </a:prstGeom>
                                </pic:spPr>
                              </pic:pic>
                            </a:graphicData>
                          </a:graphic>
                        </wp:inline>
                      </w:drawing>
                    </w:r>
                    <w:r>
                      <w:rPr>
                        <w:rFonts w:ascii="宋体" w:hAnsi="宋体" w:eastAsia="宋体" w:cs="宋体"/>
                        <w:spacing w:val="10"/>
                        <w:sz w:val="20"/>
                        <w:szCs w:val="20"/>
                      </w:rPr>
                      <w:t xml:space="preserve"> 厂区边</w:t>
                    </w:r>
                    <w:r>
                      <w:rPr>
                        <w:rFonts w:ascii="宋体" w:hAnsi="宋体" w:eastAsia="宋体" w:cs="宋体"/>
                        <w:spacing w:val="9"/>
                        <w:sz w:val="20"/>
                        <w:szCs w:val="20"/>
                      </w:rPr>
                      <w:t>界</w:t>
                    </w:r>
                  </w:p>
                  <w:p w14:paraId="13A955D8">
                    <w:pPr>
                      <w:spacing w:before="138" w:line="196" w:lineRule="auto"/>
                      <w:ind w:left="223"/>
                      <w:rPr>
                        <w:sz w:val="20"/>
                        <w:szCs w:val="20"/>
                      </w:rPr>
                    </w:pPr>
                    <w:r>
                      <w:rPr>
                        <w:rFonts w:ascii="Times New Roman" w:hAnsi="Times New Roman" w:eastAsia="Times New Roman" w:cs="Times New Roman"/>
                        <w:position w:val="-12"/>
                        <w:sz w:val="20"/>
                        <w:szCs w:val="20"/>
                      </w:rPr>
                      <w:drawing>
                        <wp:inline distT="0" distB="0" distL="0" distR="0">
                          <wp:extent cx="19685" cy="129540"/>
                          <wp:effectExtent l="0" t="0" r="0" b="0"/>
                          <wp:docPr id="19" name="IM 19"/>
                          <wp:cNvGraphicFramePr/>
                          <a:graphic xmlns:a="http://schemas.openxmlformats.org/drawingml/2006/main">
                            <a:graphicData uri="http://schemas.openxmlformats.org/drawingml/2006/picture">
                              <pic:pic xmlns:pic="http://schemas.openxmlformats.org/drawingml/2006/picture">
                                <pic:nvPicPr>
                                  <pic:cNvPr id="19" name="IM 19"/>
                                  <pic:cNvPicPr/>
                                </pic:nvPicPr>
                                <pic:blipFill>
                                  <a:blip r:embed="rId397"/>
                                  <a:stretch>
                                    <a:fillRect/>
                                  </a:stretch>
                                </pic:blipFill>
                                <pic:spPr>
                                  <a:xfrm>
                                    <a:off x="0" y="0"/>
                                    <a:ext cx="19685" cy="129641"/>
                                  </a:xfrm>
                                  <a:prstGeom prst="rect">
                                    <a:avLst/>
                                  </a:prstGeom>
                                </pic:spPr>
                              </pic:pic>
                            </a:graphicData>
                          </a:graphic>
                        </wp:inline>
                      </w:drawing>
                    </w:r>
                    <w:r>
                      <w:rPr>
                        <w:rFonts w:ascii="Times New Roman" w:hAnsi="Times New Roman" w:eastAsia="Times New Roman" w:cs="Times New Roman"/>
                        <w:spacing w:val="7"/>
                        <w:sz w:val="20"/>
                        <w:szCs w:val="20"/>
                        <w:u w:val="single" w:color="auto"/>
                      </w:rPr>
                      <w:t xml:space="preserve"> </w:t>
                    </w:r>
                    <w:r>
                      <w:rPr>
                        <w:rFonts w:ascii="Times New Roman" w:hAnsi="Times New Roman" w:eastAsia="Times New Roman" w:cs="Times New Roman"/>
                        <w:spacing w:val="6"/>
                        <w:sz w:val="20"/>
                        <w:szCs w:val="20"/>
                        <w:u w:val="single" w:color="auto"/>
                      </w:rPr>
                      <w:t xml:space="preserve">    </w:t>
                    </w:r>
                    <w:r>
                      <w:rPr>
                        <w:rFonts w:ascii="Times New Roman" w:hAnsi="Times New Roman" w:eastAsia="Times New Roman" w:cs="Times New Roman"/>
                        <w:b/>
                        <w:bCs/>
                        <w:spacing w:val="6"/>
                        <w:sz w:val="20"/>
                        <w:szCs w:val="20"/>
                        <w:u w:val="single" w:color="auto"/>
                      </w:rPr>
                      <w:t>10</w:t>
                    </w:r>
                    <w:r>
                      <w:rPr>
                        <w:rFonts w:ascii="Times New Roman" w:hAnsi="Times New Roman" w:eastAsia="Times New Roman" w:cs="Times New Roman"/>
                        <w:b/>
                        <w:bCs/>
                        <w:sz w:val="20"/>
                        <w:szCs w:val="20"/>
                        <w:u w:val="single" w:color="auto"/>
                      </w:rPr>
                      <w:t>m</w:t>
                    </w:r>
                    <w:r>
                      <w:rPr>
                        <w:rFonts w:ascii="Times New Roman" w:hAnsi="Times New Roman" w:eastAsia="Times New Roman" w:cs="Times New Roman"/>
                        <w:spacing w:val="6"/>
                        <w:sz w:val="20"/>
                        <w:szCs w:val="20"/>
                        <w:u w:val="single" w:color="auto"/>
                      </w:rPr>
                      <w:t xml:space="preserve">     </w:t>
                    </w:r>
                    <w:r>
                      <w:rPr>
                        <w:position w:val="-11"/>
                        <w:sz w:val="20"/>
                        <w:szCs w:val="20"/>
                      </w:rPr>
                      <w:drawing>
                        <wp:inline distT="0" distB="0" distL="0" distR="0">
                          <wp:extent cx="19685" cy="12954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398"/>
                                  <a:stretch>
                                    <a:fillRect/>
                                  </a:stretch>
                                </pic:blipFill>
                                <pic:spPr>
                                  <a:xfrm>
                                    <a:off x="0" y="0"/>
                                    <a:ext cx="19685" cy="129641"/>
                                  </a:xfrm>
                                  <a:prstGeom prst="rect">
                                    <a:avLst/>
                                  </a:prstGeom>
                                </pic:spPr>
                              </pic:pic>
                            </a:graphicData>
                          </a:graphic>
                        </wp:inline>
                      </w:drawing>
                    </w:r>
                  </w:p>
                </w:txbxContent>
              </v:textbox>
            </v:shape>
          </v:group>
        </w:pict>
      </w:r>
      <w:r>
        <w:pict>
          <v:shape id="_x0000_s1062" o:spid="_x0000_s1062" o:spt="202" type="#_x0000_t202" style="position:absolute;left:0pt;margin-left:411.3pt;margin-top:420.25pt;height:16.45pt;width:43.9pt;mso-position-horizontal-relative:page;mso-position-vertical-relative:page;z-index:251710464;mso-width-relative:page;mso-height-relative:page;" filled="f" stroked="f" coordsize="21600,21600" o:allowincell="f">
            <v:path/>
            <v:fill on="f" focussize="0,0"/>
            <v:stroke on="f"/>
            <v:imagedata o:title=""/>
            <o:lock v:ext="edit" aspectratio="f"/>
            <v:textbox inset="0mm,0mm,0mm,0mm">
              <w:txbxContent>
                <w:p w14:paraId="72D31C06">
                  <w:pPr>
                    <w:spacing w:before="20" w:line="288" w:lineRule="exact"/>
                    <w:ind w:left="20"/>
                    <w:rPr>
                      <w:rFonts w:ascii="宋体" w:hAnsi="宋体" w:eastAsia="宋体" w:cs="宋体"/>
                      <w:sz w:val="20"/>
                      <w:szCs w:val="20"/>
                    </w:rPr>
                  </w:pPr>
                  <w:r>
                    <w:rPr>
                      <w:rFonts w:ascii="Times New Roman" w:hAnsi="Times New Roman" w:eastAsia="Times New Roman" w:cs="Times New Roman"/>
                      <w:b/>
                      <w:bCs/>
                      <w:spacing w:val="9"/>
                      <w:position w:val="1"/>
                      <w:sz w:val="20"/>
                      <w:szCs w:val="20"/>
                    </w:rPr>
                    <w:t>2</w:t>
                  </w:r>
                  <w:r>
                    <w:rPr>
                      <w:rFonts w:ascii="Times New Roman" w:hAnsi="Times New Roman" w:eastAsia="Times New Roman" w:cs="Times New Roman"/>
                      <w:b/>
                      <w:bCs/>
                      <w:spacing w:val="7"/>
                      <w:position w:val="1"/>
                      <w:sz w:val="20"/>
                      <w:szCs w:val="20"/>
                    </w:rPr>
                    <w:t>#</w:t>
                  </w:r>
                  <w:r>
                    <w:rPr>
                      <w:rFonts w:ascii="宋体" w:hAnsi="宋体" w:eastAsia="宋体" w:cs="宋体"/>
                      <w:spacing w:val="7"/>
                      <w:position w:val="1"/>
                      <w:sz w:val="20"/>
                      <w:szCs w:val="20"/>
                      <w14:textOutline w14:w="3795" w14:cap="sq" w14:cmpd="sng">
                        <w14:solidFill>
                          <w14:srgbClr w14:val="000000"/>
                        </w14:solidFill>
                        <w14:prstDash w14:val="solid"/>
                        <w14:bevel/>
                      </w14:textOutline>
                    </w:rPr>
                    <w:t>排气筒</w:t>
                  </w:r>
                </w:p>
              </w:txbxContent>
            </v:textbox>
          </v:shape>
        </w:pict>
      </w:r>
      <w:r>
        <w:pict>
          <v:shape id="_x0000_s1063" o:spid="_x0000_s1063" o:spt="202" type="#_x0000_t202" style="position:absolute;left:0pt;margin-left:377.55pt;margin-top:134.65pt;height:16.7pt;width:115.2pt;mso-position-horizontal-relative:page;mso-position-vertical-relative:page;z-index:251689984;mso-width-relative:page;mso-height-relative:page;" filled="f" stroked="f" coordsize="21600,21600" o:allowincell="f">
            <v:path/>
            <v:fill on="f" focussize="0,0"/>
            <v:stroke on="f"/>
            <v:imagedata o:title=""/>
            <o:lock v:ext="edit" aspectratio="f"/>
            <v:textbox inset="0mm,0mm,0mm,0mm">
              <w:txbxContent>
                <w:p w14:paraId="34D0A20B">
                  <w:pPr>
                    <w:spacing w:before="20" w:line="235" w:lineRule="auto"/>
                    <w:ind w:left="20"/>
                    <w:rPr>
                      <w:rFonts w:ascii="宋体" w:hAnsi="宋体" w:eastAsia="宋体" w:cs="宋体"/>
                      <w:sz w:val="23"/>
                      <w:szCs w:val="23"/>
                    </w:rPr>
                  </w:pPr>
                  <w:r>
                    <w:rPr>
                      <w:rFonts w:ascii="宋体" w:hAnsi="宋体" w:eastAsia="宋体" w:cs="宋体"/>
                      <w:spacing w:val="8"/>
                      <w:sz w:val="23"/>
                      <w:szCs w:val="23"/>
                      <w14:textOutline w14:w="4358" w14:cap="sq" w14:cmpd="sng">
                        <w14:solidFill>
                          <w14:srgbClr w14:val="000000"/>
                        </w14:solidFill>
                        <w14:prstDash w14:val="solid"/>
                        <w14:bevel/>
                      </w14:textOutline>
                    </w:rPr>
                    <w:t>空</w:t>
                  </w:r>
                  <w:r>
                    <w:rPr>
                      <w:rFonts w:ascii="宋体" w:hAnsi="宋体" w:eastAsia="宋体" w:cs="宋体"/>
                      <w:spacing w:val="8"/>
                      <w:sz w:val="23"/>
                      <w:szCs w:val="23"/>
                    </w:rPr>
                    <w:t xml:space="preserve"> </w:t>
                  </w:r>
                  <w:r>
                    <w:rPr>
                      <w:rFonts w:ascii="宋体" w:hAnsi="宋体" w:eastAsia="宋体" w:cs="宋体"/>
                      <w:spacing w:val="6"/>
                      <w:sz w:val="23"/>
                      <w:szCs w:val="23"/>
                    </w:rPr>
                    <w:t xml:space="preserve"> </w:t>
                  </w:r>
                  <w:r>
                    <w:rPr>
                      <w:rFonts w:ascii="宋体" w:hAnsi="宋体" w:eastAsia="宋体" w:cs="宋体"/>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地</w:t>
                  </w:r>
                </w:p>
              </w:txbxContent>
            </v:textbox>
          </v:shape>
        </w:pict>
      </w:r>
      <w:r>
        <w:pict>
          <v:shape id="_x0000_s1064" o:spid="_x0000_s1064" o:spt="202" type="#_x0000_t202" style="position:absolute;left:0pt;margin-left:376.85pt;margin-top:450.35pt;height:16.7pt;width:115.2pt;mso-position-horizontal-relative:page;mso-position-vertical-relative:page;z-index:251688960;mso-width-relative:page;mso-height-relative:page;" filled="f" stroked="f" coordsize="21600,21600" o:allowincell="f">
            <v:path/>
            <v:fill on="f" focussize="0,0"/>
            <v:stroke on="f"/>
            <v:imagedata o:title=""/>
            <o:lock v:ext="edit" aspectratio="f"/>
            <v:textbox inset="0mm,0mm,0mm,0mm">
              <w:txbxContent>
                <w:p w14:paraId="239BC07A">
                  <w:pPr>
                    <w:spacing w:before="20" w:line="235" w:lineRule="auto"/>
                    <w:ind w:left="20"/>
                    <w:rPr>
                      <w:rFonts w:ascii="宋体" w:hAnsi="宋体" w:eastAsia="宋体" w:cs="宋体"/>
                      <w:sz w:val="23"/>
                      <w:szCs w:val="23"/>
                    </w:rPr>
                  </w:pPr>
                  <w:r>
                    <w:rPr>
                      <w:rFonts w:ascii="宋体" w:hAnsi="宋体" w:eastAsia="宋体" w:cs="宋体"/>
                      <w:spacing w:val="8"/>
                      <w:sz w:val="23"/>
                      <w:szCs w:val="23"/>
                      <w14:textOutline w14:w="4358" w14:cap="sq" w14:cmpd="sng">
                        <w14:solidFill>
                          <w14:srgbClr w14:val="000000"/>
                        </w14:solidFill>
                        <w14:prstDash w14:val="solid"/>
                        <w14:bevel/>
                      </w14:textOutline>
                    </w:rPr>
                    <w:t>空</w:t>
                  </w:r>
                  <w:r>
                    <w:rPr>
                      <w:rFonts w:ascii="宋体" w:hAnsi="宋体" w:eastAsia="宋体" w:cs="宋体"/>
                      <w:spacing w:val="8"/>
                      <w:sz w:val="23"/>
                      <w:szCs w:val="23"/>
                    </w:rPr>
                    <w:t xml:space="preserve"> </w:t>
                  </w:r>
                  <w:r>
                    <w:rPr>
                      <w:rFonts w:ascii="宋体" w:hAnsi="宋体" w:eastAsia="宋体" w:cs="宋体"/>
                      <w:spacing w:val="6"/>
                      <w:sz w:val="23"/>
                      <w:szCs w:val="23"/>
                    </w:rPr>
                    <w:t xml:space="preserve"> </w:t>
                  </w:r>
                  <w:r>
                    <w:rPr>
                      <w:rFonts w:ascii="宋体" w:hAnsi="宋体" w:eastAsia="宋体" w:cs="宋体"/>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地</w:t>
                  </w:r>
                </w:p>
              </w:txbxContent>
            </v:textbox>
          </v:shape>
        </w:pict>
      </w:r>
      <w:r>
        <mc:AlternateContent>
          <mc:Choice Requires="wps">
            <w:drawing>
              <wp:anchor distT="0" distB="0" distL="0" distR="0" simplePos="0" relativeHeight="251705344" behindDoc="0" locked="0" layoutInCell="0" allowOverlap="1">
                <wp:simplePos x="0" y="0"/>
                <wp:positionH relativeFrom="page">
                  <wp:posOffset>2865755</wp:posOffset>
                </wp:positionH>
                <wp:positionV relativeFrom="page">
                  <wp:posOffset>4353560</wp:posOffset>
                </wp:positionV>
                <wp:extent cx="287655" cy="209550"/>
                <wp:effectExtent l="0" t="0" r="0" b="0"/>
                <wp:wrapNone/>
                <wp:docPr id="21" name="TextBox 21"/>
                <wp:cNvGraphicFramePr/>
                <a:graphic xmlns:a="http://schemas.openxmlformats.org/drawingml/2006/main">
                  <a:graphicData uri="http://schemas.microsoft.com/office/word/2010/wordprocessingShape">
                    <wps:wsp>
                      <wps:cNvSpPr txBox="1"/>
                      <wps:spPr>
                        <a:xfrm rot="5400000">
                          <a:off x="2866210" y="4353570"/>
                          <a:ext cx="287654" cy="2095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14:paraId="28103497">
                            <w:pPr>
                              <w:spacing w:before="19" w:line="230" w:lineRule="auto"/>
                              <w:ind w:left="20"/>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三级</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1" o:spid="_x0000_s1026" o:spt="202" type="#_x0000_t202" style="position:absolute;left:0pt;margin-left:225.65pt;margin-top:342.8pt;height:16.5pt;width:22.65pt;mso-position-horizontal-relative:page;mso-position-vertical-relative:page;rotation:5898240f;z-index:251705344;mso-width-relative:page;mso-height-relative:page;" filled="f" stroked="f" coordsize="21600,21600" o:allowincell="f" o:gfxdata="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8qNjRdcAAAALAQAADwAAAAAAAAABACAAAAAiAAAAZHJzL2Rvd25yZXYueG1s&#10;UEsBAhQAFAAAAAgAh07iQBxJdPMyAgAAbAQAAA4AAAAAAAAAAQAgAAAAJgEAAGRycy9lMm9Eb2Mu&#10;eG1sUEsFBgAAAAAGAAYAWQEAAMoFAAAAAA==&#10;">
                <v:fill on="f" focussize="0,0"/>
                <v:stroke on="f" weight="0pt"/>
                <v:imagedata o:title=""/>
                <o:lock v:ext="edit" aspectratio="f"/>
                <v:textbox inset="0mm,0mm,0mm,0mm">
                  <w:txbxContent>
                    <w:p w14:paraId="28103497">
                      <w:pPr>
                        <w:spacing w:before="19" w:line="230" w:lineRule="auto"/>
                        <w:ind w:left="20"/>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三级</w:t>
                      </w:r>
                    </w:p>
                  </w:txbxContent>
                </v:textbox>
              </v:shape>
            </w:pict>
          </mc:Fallback>
        </mc:AlternateContent>
      </w:r>
      <w:r>
        <mc:AlternateContent>
          <mc:Choice Requires="wps">
            <w:drawing>
              <wp:anchor distT="0" distB="0" distL="0" distR="0" simplePos="0" relativeHeight="251711488" behindDoc="0" locked="0" layoutInCell="0" allowOverlap="1">
                <wp:simplePos x="0" y="0"/>
                <wp:positionH relativeFrom="page">
                  <wp:posOffset>2867660</wp:posOffset>
                </wp:positionH>
                <wp:positionV relativeFrom="page">
                  <wp:posOffset>4756150</wp:posOffset>
                </wp:positionV>
                <wp:extent cx="284480" cy="208280"/>
                <wp:effectExtent l="0" t="0" r="0" b="0"/>
                <wp:wrapNone/>
                <wp:docPr id="22" name="TextBox 22"/>
                <wp:cNvGraphicFramePr/>
                <a:graphic xmlns:a="http://schemas.openxmlformats.org/drawingml/2006/main">
                  <a:graphicData uri="http://schemas.microsoft.com/office/word/2010/wordprocessingShape">
                    <wps:wsp>
                      <wps:cNvSpPr txBox="1"/>
                      <wps:spPr>
                        <a:xfrm rot="5400000">
                          <a:off x="2867765" y="4756417"/>
                          <a:ext cx="284479" cy="208279"/>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14:paraId="2F08E6C7">
                            <w:pPr>
                              <w:spacing w:before="20" w:line="229" w:lineRule="auto"/>
                              <w:ind w:left="20"/>
                              <w:rPr>
                                <w:rFonts w:ascii="宋体" w:hAnsi="宋体" w:eastAsia="宋体" w:cs="宋体"/>
                                <w:sz w:val="20"/>
                                <w:szCs w:val="20"/>
                              </w:rPr>
                            </w:pPr>
                            <w:r>
                              <w:rPr>
                                <w:rFonts w:ascii="宋体" w:hAnsi="宋体" w:eastAsia="宋体" w:cs="宋体"/>
                                <w:spacing w:val="4"/>
                                <w:sz w:val="20"/>
                                <w:szCs w:val="20"/>
                                <w14:textOutline w14:w="3795" w14:cap="sq" w14:cmpd="sng">
                                  <w14:solidFill>
                                    <w14:srgbClr w14:val="000000"/>
                                  </w14:solidFill>
                                  <w14:prstDash w14:val="solid"/>
                                  <w14:bevel/>
                                </w14:textOutline>
                              </w:rPr>
                              <w:t>淀</w:t>
                            </w:r>
                            <w:r>
                              <w:rPr>
                                <w:rFonts w:ascii="宋体" w:hAnsi="宋体" w:eastAsia="宋体" w:cs="宋体"/>
                                <w:spacing w:val="3"/>
                                <w:sz w:val="20"/>
                                <w:szCs w:val="20"/>
                                <w14:textOutline w14:w="3795" w14:cap="sq" w14:cmpd="sng">
                                  <w14:solidFill>
                                    <w14:srgbClr w14:val="000000"/>
                                  </w14:solidFill>
                                  <w14:prstDash w14:val="solid"/>
                                  <w14:bevel/>
                                </w14:textOutline>
                              </w:rPr>
                              <w:t>池</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2" o:spid="_x0000_s1026" o:spt="202" type="#_x0000_t202" style="position:absolute;left:0pt;margin-left:225.8pt;margin-top:374.5pt;height:16.4pt;width:22.4pt;mso-position-horizontal-relative:page;mso-position-vertical-relative:page;rotation:5898240f;z-index:251711488;mso-width-relative:page;mso-height-relative:page;" filled="f" stroked="f" coordsize="21600,21600" o:allowincell="f" o:gfxdata="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oT6bE1gAAAAsBAAAPAAAAAAAAAAEAIAAAACIAAABkcnMvZG93bnJldi54bWxQ&#10;SwECFAAUAAAACACHTuJACJTsDTICAABsBAAADgAAAAAAAAABACAAAAAlAQAAZHJzL2Uyb0RvYy54&#10;bWxQSwUGAAAAAAYABgBZAQAAyQUAAAAA&#10;">
                <v:fill on="f" focussize="0,0"/>
                <v:stroke on="f" weight="0pt"/>
                <v:imagedata o:title=""/>
                <o:lock v:ext="edit" aspectratio="f"/>
                <v:textbox inset="0mm,0mm,0mm,0mm">
                  <w:txbxContent>
                    <w:p w14:paraId="2F08E6C7">
                      <w:pPr>
                        <w:spacing w:before="20" w:line="229" w:lineRule="auto"/>
                        <w:ind w:left="20"/>
                        <w:rPr>
                          <w:rFonts w:ascii="宋体" w:hAnsi="宋体" w:eastAsia="宋体" w:cs="宋体"/>
                          <w:sz w:val="20"/>
                          <w:szCs w:val="20"/>
                        </w:rPr>
                      </w:pPr>
                      <w:r>
                        <w:rPr>
                          <w:rFonts w:ascii="宋体" w:hAnsi="宋体" w:eastAsia="宋体" w:cs="宋体"/>
                          <w:spacing w:val="4"/>
                          <w:sz w:val="20"/>
                          <w:szCs w:val="20"/>
                          <w14:textOutline w14:w="3795" w14:cap="sq" w14:cmpd="sng">
                            <w14:solidFill>
                              <w14:srgbClr w14:val="000000"/>
                            </w14:solidFill>
                            <w14:prstDash w14:val="solid"/>
                            <w14:bevel/>
                          </w14:textOutline>
                        </w:rPr>
                        <w:t>淀</w:t>
                      </w:r>
                      <w:r>
                        <w:rPr>
                          <w:rFonts w:ascii="宋体" w:hAnsi="宋体" w:eastAsia="宋体" w:cs="宋体"/>
                          <w:spacing w:val="3"/>
                          <w:sz w:val="20"/>
                          <w:szCs w:val="20"/>
                          <w14:textOutline w14:w="3795" w14:cap="sq" w14:cmpd="sng">
                            <w14:solidFill>
                              <w14:srgbClr w14:val="000000"/>
                            </w14:solidFill>
                            <w14:prstDash w14:val="solid"/>
                            <w14:bevel/>
                          </w14:textOutline>
                        </w:rPr>
                        <w:t>池</w:t>
                      </w:r>
                    </w:p>
                  </w:txbxContent>
                </v:textbox>
              </v:shape>
            </w:pict>
          </mc:Fallback>
        </mc:AlternateContent>
      </w:r>
      <w:r>
        <w:pict>
          <v:rect id="_x0000_s1065" o:spid="_x0000_s1065" o:spt="1" style="position:absolute;left:0pt;margin-left:697.55pt;margin-top:332.6pt;height:28.7pt;width:3.05pt;mso-position-horizontal-relative:page;mso-position-vertical-relative:page;z-index:251716608;mso-width-relative:page;mso-height-relative:page;" fillcolor="#FFFFFF" filled="t" stroked="f" coordsize="21600,21600" o:allowincell="f">
            <v:path/>
            <v:fill on="t" focussize="0,0"/>
            <v:stroke on="f"/>
            <v:imagedata o:title=""/>
            <o:lock v:ext="edit"/>
          </v:rect>
        </w:pict>
      </w:r>
      <w:r>
        <w:pict>
          <v:shape id="_x0000_s1066" o:spid="_x0000_s1066" o:spt="202" type="#_x0000_t202" style="position:absolute;left:0pt;margin-left:188.3pt;margin-top:186.55pt;height:147.25pt;width:32.5pt;mso-position-horizontal-relative:page;mso-position-vertical-relative:page;z-index:251696128;mso-width-relative:page;mso-height-relative:page;" filled="f" stroked="f" coordsize="21600,21600" o:allowincell="f">
            <v:path/>
            <v:fill on="f" focussize="0,0"/>
            <v:stroke on="f"/>
            <v:imagedata o:title=""/>
            <o:lock v:ext="edit" aspectratio="f"/>
            <v:textbox inset="0mm,0mm,0mm,0mm">
              <w:txbxContent>
                <w:p w14:paraId="3D53C227">
                  <w:pPr>
                    <w:spacing w:line="20" w:lineRule="exact"/>
                  </w:pPr>
                </w:p>
                <w:tbl>
                  <w:tblPr>
                    <w:tblStyle w:val="4"/>
                    <w:tblW w:w="585" w:type="dxa"/>
                    <w:tblInd w:w="3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5"/>
                  </w:tblGrid>
                  <w:tr w14:paraId="345474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6" w:hRule="atLeast"/>
                    </w:trPr>
                    <w:tc>
                      <w:tcPr>
                        <w:tcW w:w="585" w:type="dxa"/>
                        <w:tcBorders>
                          <w:left w:val="single" w:color="000000" w:sz="8" w:space="0"/>
                          <w:right w:val="single" w:color="000000" w:sz="10" w:space="0"/>
                        </w:tcBorders>
                        <w:shd w:val="clear" w:color="auto" w:fill="F79646"/>
                        <w:textDirection w:val="tbRlV"/>
                        <w:vAlign w:val="top"/>
                      </w:tcPr>
                      <w:p w14:paraId="1B29CBE9">
                        <w:pPr>
                          <w:spacing w:before="136" w:line="289" w:lineRule="exact"/>
                          <w:ind w:left="541"/>
                          <w:rPr>
                            <w:rFonts w:ascii="宋体" w:hAnsi="宋体" w:eastAsia="宋体" w:cs="宋体"/>
                            <w:sz w:val="20"/>
                            <w:szCs w:val="20"/>
                          </w:rPr>
                        </w:pPr>
                        <w:r>
                          <w:rPr>
                            <w:rFonts w:ascii="Times New Roman" w:hAnsi="Times New Roman" w:eastAsia="Times New Roman" w:cs="Times New Roman"/>
                            <w:b/>
                            <w:bCs/>
                            <w:spacing w:val="10"/>
                            <w:position w:val="1"/>
                            <w:sz w:val="20"/>
                            <w:szCs w:val="20"/>
                          </w:rPr>
                          <w:t>1</w:t>
                        </w:r>
                        <w:r>
                          <w:rPr>
                            <w:rFonts w:ascii="Times New Roman" w:hAnsi="Times New Roman" w:eastAsia="Times New Roman" w:cs="Times New Roman"/>
                            <w:b/>
                            <w:bCs/>
                            <w:spacing w:val="6"/>
                            <w:position w:val="1"/>
                            <w:sz w:val="20"/>
                            <w:szCs w:val="20"/>
                          </w:rPr>
                          <w:t>#</w:t>
                        </w:r>
                        <w:r>
                          <w:rPr>
                            <w:rFonts w:ascii="宋体" w:hAnsi="宋体" w:eastAsia="宋体" w:cs="宋体"/>
                            <w:spacing w:val="6"/>
                            <w:position w:val="1"/>
                            <w:sz w:val="20"/>
                            <w:szCs w:val="20"/>
                            <w14:textOutline w14:w="3795" w14:cap="sq" w14:cmpd="sng">
                              <w14:solidFill>
                                <w14:srgbClr w14:val="000000"/>
                              </w14:solidFill>
                              <w14:prstDash w14:val="solid"/>
                              <w14:bevel/>
                            </w14:textOutline>
                          </w:rPr>
                          <w:t>员工休息室</w:t>
                        </w:r>
                      </w:p>
                    </w:tc>
                  </w:tr>
                  <w:tr w14:paraId="48D291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585" w:type="dxa"/>
                        <w:tcBorders>
                          <w:left w:val="single" w:color="000000" w:sz="10" w:space="0"/>
                          <w:right w:val="single" w:color="000000" w:sz="10" w:space="0"/>
                        </w:tcBorders>
                        <w:shd w:val="clear" w:color="auto" w:fill="D7E4BD"/>
                        <w:vAlign w:val="top"/>
                      </w:tcPr>
                      <w:p w14:paraId="3BF320DF">
                        <w:pPr>
                          <w:rPr>
                            <w:rFonts w:ascii="Arial"/>
                            <w:sz w:val="21"/>
                          </w:rPr>
                        </w:pPr>
                      </w:p>
                    </w:tc>
                  </w:tr>
                </w:tbl>
                <w:p w14:paraId="04B3377A">
                  <w:pPr>
                    <w:rPr>
                      <w:rFonts w:ascii="Arial"/>
                      <w:sz w:val="21"/>
                    </w:rPr>
                  </w:pPr>
                </w:p>
              </w:txbxContent>
            </v:textbox>
          </v:shape>
        </w:pict>
      </w:r>
      <w:r>
        <w:pict>
          <v:shape id="_x0000_s1067" o:spid="_x0000_s1067" o:spt="202" type="#_x0000_t202" style="position:absolute;left:0pt;margin-left:642.15pt;margin-top:205.4pt;height:99.2pt;width:51pt;mso-position-horizontal-relative:page;mso-position-vertical-relative:page;z-index:251695104;mso-width-relative:page;mso-height-relative:page;" filled="f" stroked="f" coordsize="21600,21600" o:allowincell="f">
            <v:path/>
            <v:fill on="f" focussize="0,0"/>
            <v:stroke on="f"/>
            <v:imagedata o:title=""/>
            <o:lock v:ext="edit" aspectratio="f"/>
            <v:textbox inset="0mm,0mm,0mm,0mm">
              <w:txbxContent>
                <w:p w14:paraId="36098D57">
                  <w:pPr>
                    <w:spacing w:line="20" w:lineRule="exact"/>
                  </w:pPr>
                </w:p>
                <w:tbl>
                  <w:tblPr>
                    <w:tblStyle w:val="4"/>
                    <w:tblW w:w="954" w:type="dxa"/>
                    <w:tblInd w:w="32" w:type="dxa"/>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954"/>
                  </w:tblGrid>
                  <w:tr w14:paraId="685FCA5A">
                    <w:tblPrEx>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CellMar>
                        <w:top w:w="0" w:type="dxa"/>
                        <w:left w:w="0" w:type="dxa"/>
                        <w:bottom w:w="0" w:type="dxa"/>
                        <w:right w:w="0" w:type="dxa"/>
                      </w:tblCellMar>
                    </w:tblPrEx>
                    <w:trPr>
                      <w:trHeight w:val="1893" w:hRule="atLeast"/>
                    </w:trPr>
                    <w:tc>
                      <w:tcPr>
                        <w:tcW w:w="954" w:type="dxa"/>
                        <w:shd w:val="clear" w:color="auto" w:fill="C4BD97"/>
                        <w:vAlign w:val="top"/>
                      </w:tcPr>
                      <w:p w14:paraId="100B9AE9">
                        <w:pPr>
                          <w:spacing w:line="270" w:lineRule="auto"/>
                          <w:rPr>
                            <w:rFonts w:ascii="Arial"/>
                            <w:sz w:val="21"/>
                          </w:rPr>
                        </w:pPr>
                      </w:p>
                      <w:p w14:paraId="600D3726">
                        <w:pPr>
                          <w:spacing w:line="271" w:lineRule="auto"/>
                          <w:rPr>
                            <w:rFonts w:ascii="Arial"/>
                            <w:sz w:val="21"/>
                          </w:rPr>
                        </w:pPr>
                      </w:p>
                      <w:p w14:paraId="21B8E117">
                        <w:pPr>
                          <w:spacing w:line="271" w:lineRule="auto"/>
                          <w:rPr>
                            <w:rFonts w:ascii="Arial"/>
                            <w:sz w:val="21"/>
                          </w:rPr>
                        </w:pPr>
                      </w:p>
                      <w:p w14:paraId="666DA7A7">
                        <w:pPr>
                          <w:spacing w:before="65" w:line="228" w:lineRule="auto"/>
                          <w:ind w:left="182"/>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成品库</w:t>
                        </w:r>
                      </w:p>
                    </w:tc>
                  </w:tr>
                </w:tbl>
                <w:p w14:paraId="02785ECD">
                  <w:pPr>
                    <w:rPr>
                      <w:rFonts w:ascii="Arial"/>
                      <w:sz w:val="21"/>
                    </w:rPr>
                  </w:pPr>
                </w:p>
              </w:txbxContent>
            </v:textbox>
          </v:shape>
        </w:pict>
      </w:r>
      <w:r>
        <w:pict>
          <v:group id="_x0000_s1068" o:spid="_x0000_s1068" o:spt="203" style="position:absolute;left:0pt;margin-left:230.8pt;margin-top:291.3pt;height:41.4pt;width:107.8pt;mso-position-horizontal-relative:page;mso-position-vertical-relative:page;z-index:251712512;mso-width-relative:page;mso-height-relative:page;" coordsize="2156,828" o:allowincell="f">
            <o:lock v:ext="edit"/>
            <v:shape id="_x0000_s1069" o:spid="_x0000_s1069" o:spt="75" type="#_x0000_t75" style="position:absolute;left:0;top:0;height:828;width:2156;" filled="f" stroked="f" coordsize="21600,21600">
              <v:path/>
              <v:fill on="f" focussize="0,0"/>
              <v:stroke on="f"/>
              <v:imagedata r:id="rId399" o:title=""/>
              <o:lock v:ext="edit" aspectratio="t"/>
            </v:shape>
            <v:rect id="_x0000_s1070" o:spid="_x0000_s1070" o:spt="1" style="position:absolute;left:159;top:87;height:272;width:1800;" fillcolor="#FFFF00" filled="t" stroked="f" coordsize="21600,21600">
              <v:path/>
              <v:fill on="t" focussize="0,0"/>
              <v:stroke on="f"/>
              <v:imagedata o:title=""/>
              <o:lock v:ext="edit"/>
            </v:rect>
            <v:shape id="_x0000_s1071" o:spid="_x0000_s1071" o:spt="202" type="#_x0000_t202" style="position:absolute;left:149;top:134;height:252;width:1831;" filled="f" stroked="f" coordsize="21600,21600">
              <v:path/>
              <v:fill on="f" focussize="0,0"/>
              <v:stroke on="f"/>
              <v:imagedata o:title=""/>
              <o:lock v:ext="edit" aspectratio="f"/>
              <v:textbox inset="0mm,0mm,0mm,0mm">
                <w:txbxContent>
                  <w:p w14:paraId="0CAF3FA1">
                    <w:pPr>
                      <w:spacing w:before="20" w:line="230" w:lineRule="auto"/>
                      <w:ind w:left="20"/>
                      <w:rPr>
                        <w:rFonts w:ascii="宋体" w:hAnsi="宋体" w:eastAsia="宋体" w:cs="宋体"/>
                        <w:sz w:val="17"/>
                        <w:szCs w:val="17"/>
                      </w:rPr>
                    </w:pPr>
                    <w:r>
                      <w:rPr>
                        <w:rFonts w:ascii="宋体" w:hAnsi="宋体" w:eastAsia="宋体" w:cs="宋体"/>
                        <w:spacing w:val="9"/>
                        <w:sz w:val="17"/>
                        <w:szCs w:val="17"/>
                      </w:rPr>
                      <w:t>一体化污水预处理设备</w:t>
                    </w:r>
                  </w:p>
                </w:txbxContent>
              </v:textbox>
            </v:shape>
          </v:group>
        </w:pict>
      </w:r>
      <w:r>
        <w:drawing>
          <wp:anchor distT="0" distB="0" distL="0" distR="0" simplePos="0" relativeHeight="251704320" behindDoc="0" locked="0" layoutInCell="0" allowOverlap="1">
            <wp:simplePos x="0" y="0"/>
            <wp:positionH relativeFrom="page">
              <wp:posOffset>5081905</wp:posOffset>
            </wp:positionH>
            <wp:positionV relativeFrom="page">
              <wp:posOffset>4015105</wp:posOffset>
            </wp:positionV>
            <wp:extent cx="81280" cy="81280"/>
            <wp:effectExtent l="0" t="0" r="0" b="0"/>
            <wp:wrapNone/>
            <wp:docPr id="23" name="IM 23"/>
            <wp:cNvGraphicFramePr/>
            <a:graphic xmlns:a="http://schemas.openxmlformats.org/drawingml/2006/main">
              <a:graphicData uri="http://schemas.openxmlformats.org/drawingml/2006/picture">
                <pic:pic xmlns:pic="http://schemas.openxmlformats.org/drawingml/2006/picture">
                  <pic:nvPicPr>
                    <pic:cNvPr id="23" name="IM 23"/>
                    <pic:cNvPicPr/>
                  </pic:nvPicPr>
                  <pic:blipFill>
                    <a:blip r:embed="rId400"/>
                    <a:stretch>
                      <a:fillRect/>
                    </a:stretch>
                  </pic:blipFill>
                  <pic:spPr>
                    <a:xfrm>
                      <a:off x="0" y="0"/>
                      <a:ext cx="81292" cy="81292"/>
                    </a:xfrm>
                    <a:prstGeom prst="rect">
                      <a:avLst/>
                    </a:prstGeom>
                  </pic:spPr>
                </pic:pic>
              </a:graphicData>
            </a:graphic>
          </wp:anchor>
        </w:drawing>
      </w:r>
      <w:r>
        <mc:AlternateContent>
          <mc:Choice Requires="wps">
            <w:drawing>
              <wp:anchor distT="0" distB="0" distL="0" distR="0" simplePos="0" relativeHeight="251713536" behindDoc="0" locked="0" layoutInCell="0" allowOverlap="1">
                <wp:simplePos x="0" y="0"/>
                <wp:positionH relativeFrom="page">
                  <wp:posOffset>2933065</wp:posOffset>
                </wp:positionH>
                <wp:positionV relativeFrom="page">
                  <wp:posOffset>4555490</wp:posOffset>
                </wp:positionV>
                <wp:extent cx="153035" cy="207010"/>
                <wp:effectExtent l="0" t="0" r="0" b="0"/>
                <wp:wrapNone/>
                <wp:docPr id="24" name="TextBox 24"/>
                <wp:cNvGraphicFramePr/>
                <a:graphic xmlns:a="http://schemas.openxmlformats.org/drawingml/2006/main">
                  <a:graphicData uri="http://schemas.microsoft.com/office/word/2010/wordprocessingShape">
                    <wps:wsp>
                      <wps:cNvSpPr txBox="1"/>
                      <wps:spPr>
                        <a:xfrm rot="5400000">
                          <a:off x="2933262" y="4555719"/>
                          <a:ext cx="153035" cy="207009"/>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14:paraId="52317D9B">
                            <w:pPr>
                              <w:spacing w:before="20" w:line="228" w:lineRule="auto"/>
                              <w:ind w:left="20"/>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沉</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4" o:spid="_x0000_s1026" o:spt="202" type="#_x0000_t202" style="position:absolute;left:0pt;margin-left:230.95pt;margin-top:358.7pt;height:16.3pt;width:12.05pt;mso-position-horizontal-relative:page;mso-position-vertical-relative:page;rotation:5898240f;z-index:251713536;mso-width-relative:page;mso-height-relative:page;" filled="f" stroked="f" coordsize="21600,21600" o:allowincell="f" o:gfxdata="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pXkl91QAAAAsBAAAPAAAAAAAAAAEAIAAAACIAAABkcnMvZG93bnJldi54bWxQ&#10;SwECFAAUAAAACACHTuJAhHkCszMCAABsBAAADgAAAAAAAAABACAAAAAkAQAAZHJzL2Uyb0RvYy54&#10;bWxQSwUGAAAAAAYABgBZAQAAyQUAAAAA&#10;">
                <v:fill on="f" focussize="0,0"/>
                <v:stroke on="f" weight="0pt"/>
                <v:imagedata o:title=""/>
                <o:lock v:ext="edit" aspectratio="f"/>
                <v:textbox inset="0mm,0mm,0mm,0mm">
                  <w:txbxContent>
                    <w:p w14:paraId="52317D9B">
                      <w:pPr>
                        <w:spacing w:before="20" w:line="228" w:lineRule="auto"/>
                        <w:ind w:left="20"/>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沉</w:t>
                      </w:r>
                    </w:p>
                  </w:txbxContent>
                </v:textbox>
              </v:shape>
            </w:pict>
          </mc:Fallback>
        </mc:AlternateContent>
      </w:r>
      <w:r>
        <w:pict>
          <v:shape id="_x0000_s1072" o:spid="_x0000_s1072" o:spt="202" type="#_x0000_t202" style="position:absolute;left:0pt;margin-left:220.35pt;margin-top:335.55pt;height:60.65pt;width:31.65pt;mso-position-horizontal-relative:page;mso-position-vertical-relative:page;z-index:251693056;mso-width-relative:page;mso-height-relative:page;" filled="f" stroked="f" coordsize="21600,21600" o:allowincell="f">
            <v:path/>
            <v:fill on="f" focussize="0,0"/>
            <v:stroke on="f"/>
            <v:imagedata o:title=""/>
            <o:lock v:ext="edit" aspectratio="f"/>
            <v:textbox inset="0mm,0mm,0mm,0mm">
              <w:txbxContent>
                <w:p w14:paraId="27D1A0B7">
                  <w:pPr>
                    <w:spacing w:line="20" w:lineRule="exact"/>
                  </w:pPr>
                </w:p>
                <w:tbl>
                  <w:tblPr>
                    <w:tblStyle w:val="4"/>
                    <w:tblW w:w="567" w:type="dxa"/>
                    <w:tblInd w:w="32" w:type="dxa"/>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567"/>
                  </w:tblGrid>
                  <w:tr w14:paraId="5E2D0B3F">
                    <w:tblPrEx>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CellMar>
                        <w:top w:w="0" w:type="dxa"/>
                        <w:left w:w="0" w:type="dxa"/>
                        <w:bottom w:w="0" w:type="dxa"/>
                        <w:right w:w="0" w:type="dxa"/>
                      </w:tblCellMar>
                    </w:tblPrEx>
                    <w:trPr>
                      <w:trHeight w:val="1122" w:hRule="atLeast"/>
                    </w:trPr>
                    <w:tc>
                      <w:tcPr>
                        <w:tcW w:w="567" w:type="dxa"/>
                        <w:shd w:val="clear" w:color="auto" w:fill="00B0F0"/>
                        <w:vAlign w:val="top"/>
                      </w:tcPr>
                      <w:p w14:paraId="26753B1A">
                        <w:pPr>
                          <w:rPr>
                            <w:rFonts w:ascii="Arial"/>
                            <w:sz w:val="21"/>
                          </w:rPr>
                        </w:pPr>
                      </w:p>
                    </w:tc>
                  </w:tr>
                </w:tbl>
                <w:p w14:paraId="68859AC4">
                  <w:pPr>
                    <w:rPr>
                      <w:rFonts w:ascii="Arial"/>
                      <w:sz w:val="21"/>
                    </w:rPr>
                  </w:pPr>
                </w:p>
              </w:txbxContent>
            </v:textbox>
          </v:shape>
        </w:pict>
      </w:r>
      <w:r>
        <w:pict>
          <v:shape id="_x0000_s1073" o:spid="_x0000_s1073" o:spt="202" type="#_x0000_t202" style="position:absolute;left:0pt;margin-left:524.45pt;margin-top:346.4pt;height:51pt;width:99.15pt;mso-position-horizontal-relative:page;mso-position-vertical-relative:page;z-index:251692032;mso-width-relative:page;mso-height-relative:page;" filled="f" stroked="f" coordsize="21600,21600" o:allowincell="f">
            <v:path/>
            <v:fill on="f" focussize="0,0"/>
            <v:stroke on="f"/>
            <v:imagedata o:title=""/>
            <o:lock v:ext="edit" aspectratio="f"/>
            <v:textbox inset="0mm,0mm,0mm,0mm">
              <w:txbxContent>
                <w:p w14:paraId="5BC5CC27">
                  <w:pPr>
                    <w:spacing w:line="20" w:lineRule="exact"/>
                  </w:pPr>
                </w:p>
                <w:tbl>
                  <w:tblPr>
                    <w:tblStyle w:val="4"/>
                    <w:tblW w:w="1917" w:type="dxa"/>
                    <w:tblInd w:w="32" w:type="dxa"/>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1917"/>
                  </w:tblGrid>
                  <w:tr w14:paraId="54DF4E30">
                    <w:tblPrEx>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CellMar>
                        <w:top w:w="0" w:type="dxa"/>
                        <w:left w:w="0" w:type="dxa"/>
                        <w:bottom w:w="0" w:type="dxa"/>
                        <w:right w:w="0" w:type="dxa"/>
                      </w:tblCellMar>
                    </w:tblPrEx>
                    <w:trPr>
                      <w:trHeight w:val="929" w:hRule="atLeast"/>
                    </w:trPr>
                    <w:tc>
                      <w:tcPr>
                        <w:tcW w:w="1917" w:type="dxa"/>
                        <w:shd w:val="clear" w:color="auto" w:fill="B7DEE8"/>
                        <w:vAlign w:val="top"/>
                      </w:tcPr>
                      <w:p w14:paraId="10DD4E0A">
                        <w:pPr>
                          <w:spacing w:line="295" w:lineRule="auto"/>
                          <w:rPr>
                            <w:rFonts w:ascii="Arial"/>
                            <w:sz w:val="21"/>
                          </w:rPr>
                        </w:pPr>
                      </w:p>
                      <w:p w14:paraId="5547E3F5">
                        <w:pPr>
                          <w:spacing w:before="65" w:line="228" w:lineRule="auto"/>
                          <w:ind w:left="696"/>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原料库</w:t>
                        </w:r>
                      </w:p>
                    </w:tc>
                  </w:tr>
                </w:tbl>
                <w:p w14:paraId="51628431">
                  <w:pPr>
                    <w:rPr>
                      <w:rFonts w:ascii="Arial"/>
                      <w:sz w:val="21"/>
                    </w:rPr>
                  </w:pPr>
                </w:p>
              </w:txbxContent>
            </v:textbox>
          </v:shape>
        </w:pict>
      </w:r>
      <w:r>
        <w:drawing>
          <wp:anchor distT="0" distB="0" distL="0" distR="0" simplePos="0" relativeHeight="251702272" behindDoc="0" locked="0" layoutInCell="0" allowOverlap="1">
            <wp:simplePos x="0" y="0"/>
            <wp:positionH relativeFrom="page">
              <wp:posOffset>3074035</wp:posOffset>
            </wp:positionH>
            <wp:positionV relativeFrom="page">
              <wp:posOffset>4175760</wp:posOffset>
            </wp:positionV>
            <wp:extent cx="117475" cy="117475"/>
            <wp:effectExtent l="0" t="0" r="0" b="0"/>
            <wp:wrapNone/>
            <wp:docPr id="25" name="IM 25"/>
            <wp:cNvGraphicFramePr/>
            <a:graphic xmlns:a="http://schemas.openxmlformats.org/drawingml/2006/main">
              <a:graphicData uri="http://schemas.openxmlformats.org/drawingml/2006/picture">
                <pic:pic xmlns:pic="http://schemas.openxmlformats.org/drawingml/2006/picture">
                  <pic:nvPicPr>
                    <pic:cNvPr id="25" name="IM 25"/>
                    <pic:cNvPicPr/>
                  </pic:nvPicPr>
                  <pic:blipFill>
                    <a:blip r:embed="rId401"/>
                    <a:stretch>
                      <a:fillRect/>
                    </a:stretch>
                  </pic:blipFill>
                  <pic:spPr>
                    <a:xfrm>
                      <a:off x="0" y="0"/>
                      <a:ext cx="117475" cy="117475"/>
                    </a:xfrm>
                    <a:prstGeom prst="rect">
                      <a:avLst/>
                    </a:prstGeom>
                  </pic:spPr>
                </pic:pic>
              </a:graphicData>
            </a:graphic>
          </wp:anchor>
        </w:drawing>
      </w:r>
      <w:r>
        <w:pict>
          <v:group id="_x0000_s1074" o:spid="_x0000_s1074" o:spt="203" style="position:absolute;left:0pt;margin-left:402.4pt;margin-top:284pt;height:36.05pt;width:51pt;mso-position-horizontal-relative:page;mso-position-vertical-relative:page;z-index:251703296;mso-width-relative:page;mso-height-relative:page;" coordsize="1020,720" o:allowincell="f">
            <o:lock v:ext="edit"/>
            <v:shape id="_x0000_s1075" o:spid="_x0000_s1075" o:spt="75" type="#_x0000_t75" style="position:absolute;left:0;top:0;height:720;width:1020;" filled="f" stroked="f" coordsize="21600,21600">
              <v:path/>
              <v:fill on="f" focussize="0,0"/>
              <v:stroke on="f"/>
              <v:imagedata r:id="rId402" o:title=""/>
              <o:lock v:ext="edit" aspectratio="t"/>
            </v:shape>
            <v:shape id="_x0000_s1076" o:spid="_x0000_s1076" o:spt="202" type="#_x0000_t202" style="position:absolute;left:-20;top:-20;height:760;width:1060;" filled="f" stroked="f" coordsize="21600,21600">
              <v:path/>
              <v:fill on="f" focussize="0,0"/>
              <v:stroke on="f"/>
              <v:imagedata o:title=""/>
              <o:lock v:ext="edit" aspectratio="f"/>
              <v:textbox inset="0mm,0mm,0mm,0mm">
                <w:txbxContent>
                  <w:p w14:paraId="2D90D846">
                    <w:pPr>
                      <w:spacing w:before="117" w:line="289" w:lineRule="exact"/>
                      <w:ind w:left="78"/>
                      <w:rPr>
                        <w:rFonts w:ascii="宋体" w:hAnsi="宋体" w:eastAsia="宋体" w:cs="宋体"/>
                        <w:sz w:val="20"/>
                        <w:szCs w:val="20"/>
                      </w:rPr>
                    </w:pPr>
                    <w:r>
                      <w:rPr>
                        <w:rFonts w:ascii="Times New Roman" w:hAnsi="Times New Roman" w:eastAsia="Times New Roman" w:cs="Times New Roman"/>
                        <w:b/>
                        <w:bCs/>
                        <w:spacing w:val="6"/>
                        <w:position w:val="1"/>
                        <w:sz w:val="20"/>
                        <w:szCs w:val="20"/>
                      </w:rPr>
                      <w:t>1</w:t>
                    </w:r>
                    <w:r>
                      <w:rPr>
                        <w:rFonts w:ascii="Times New Roman" w:hAnsi="Times New Roman" w:eastAsia="Times New Roman" w:cs="Times New Roman"/>
                        <w:b/>
                        <w:bCs/>
                        <w:spacing w:val="5"/>
                        <w:position w:val="1"/>
                        <w:sz w:val="20"/>
                        <w:szCs w:val="20"/>
                      </w:rPr>
                      <w:t>#</w:t>
                    </w:r>
                    <w:r>
                      <w:rPr>
                        <w:rFonts w:ascii="宋体" w:hAnsi="宋体" w:eastAsia="宋体" w:cs="宋体"/>
                        <w:spacing w:val="5"/>
                        <w:position w:val="1"/>
                        <w:sz w:val="20"/>
                        <w:szCs w:val="20"/>
                        <w14:textOutline w14:w="3795" w14:cap="sq" w14:cmpd="sng">
                          <w14:solidFill>
                            <w14:srgbClr w14:val="000000"/>
                          </w14:solidFill>
                          <w14:prstDash w14:val="solid"/>
                          <w14:bevel/>
                        </w14:textOutline>
                      </w:rPr>
                      <w:t>排气筒</w:t>
                    </w:r>
                  </w:p>
                </w:txbxContent>
              </v:textbox>
            </v:shape>
          </v:group>
        </w:pict>
      </w:r>
      <w:r>
        <w:pict>
          <v:shape id="_x0000_s1077" o:spid="_x0000_s1077" o:spt="202" type="#_x0000_t202" style="position:absolute;left:0pt;margin-left:167.9pt;margin-top:162.25pt;height:244.2pt;width:533.7pt;mso-position-horizontal-relative:page;mso-position-vertical-relative:page;z-index:251691008;mso-width-relative:page;mso-height-relative:page;" filled="f" stroked="f" coordsize="21600,21600" o:allowincell="f">
            <v:path/>
            <v:fill on="f" focussize="0,0"/>
            <v:stroke on="f"/>
            <v:imagedata o:title=""/>
            <o:lock v:ext="edit" aspectratio="f"/>
            <v:textbox inset="0mm,0mm,0mm,0mm">
              <w:txbxContent>
                <w:p w14:paraId="756A6719">
                  <w:pPr>
                    <w:spacing w:line="20" w:lineRule="exact"/>
                  </w:pPr>
                </w:p>
                <w:tbl>
                  <w:tblPr>
                    <w:tblStyle w:val="4"/>
                    <w:tblW w:w="10613" w:type="dxa"/>
                    <w:tblInd w:w="30" w:type="dxa"/>
                    <w:tblBorders>
                      <w:top w:val="single" w:color="FF0000" w:sz="8" w:space="0"/>
                      <w:left w:val="single" w:color="FF0000" w:sz="8" w:space="0"/>
                      <w:bottom w:val="single" w:color="FF0000" w:sz="8" w:space="0"/>
                      <w:right w:val="single" w:color="FF0000" w:sz="8" w:space="0"/>
                      <w:insideH w:val="none" w:color="auto" w:sz="0" w:space="0"/>
                      <w:insideV w:val="none" w:color="auto" w:sz="0" w:space="0"/>
                    </w:tblBorders>
                    <w:tblLayout w:type="fixed"/>
                    <w:tblCellMar>
                      <w:top w:w="0" w:type="dxa"/>
                      <w:left w:w="0" w:type="dxa"/>
                      <w:bottom w:w="0" w:type="dxa"/>
                      <w:right w:w="0" w:type="dxa"/>
                    </w:tblCellMar>
                  </w:tblPr>
                  <w:tblGrid>
                    <w:gridCol w:w="10613"/>
                  </w:tblGrid>
                  <w:tr w14:paraId="2B0B7A13">
                    <w:tblPrEx>
                      <w:tblBorders>
                        <w:top w:val="single" w:color="FF0000" w:sz="8" w:space="0"/>
                        <w:left w:val="single" w:color="FF0000" w:sz="8" w:space="0"/>
                        <w:bottom w:val="single" w:color="FF0000" w:sz="8" w:space="0"/>
                        <w:right w:val="single" w:color="FF0000" w:sz="8" w:space="0"/>
                        <w:insideH w:val="none" w:color="auto" w:sz="0" w:space="0"/>
                        <w:insideV w:val="none" w:color="auto" w:sz="0" w:space="0"/>
                      </w:tblBorders>
                      <w:tblCellMar>
                        <w:top w:w="0" w:type="dxa"/>
                        <w:left w:w="0" w:type="dxa"/>
                        <w:bottom w:w="0" w:type="dxa"/>
                        <w:right w:w="0" w:type="dxa"/>
                      </w:tblCellMar>
                    </w:tblPrEx>
                    <w:trPr>
                      <w:trHeight w:val="4803" w:hRule="atLeast"/>
                    </w:trPr>
                    <w:tc>
                      <w:tcPr>
                        <w:tcW w:w="10613" w:type="dxa"/>
                        <w:vAlign w:val="top"/>
                      </w:tcPr>
                      <w:p w14:paraId="257EDE41">
                        <w:pPr>
                          <w:spacing w:line="240" w:lineRule="exact"/>
                        </w:pPr>
                      </w:p>
                      <w:tbl>
                        <w:tblPr>
                          <w:tblStyle w:val="4"/>
                          <w:tblW w:w="5778" w:type="dxa"/>
                          <w:tblInd w:w="127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09"/>
                          <w:gridCol w:w="3369"/>
                        </w:tblGrid>
                        <w:tr w14:paraId="1D630D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2409" w:type="dxa"/>
                              <w:tcBorders>
                                <w:left w:val="single" w:color="000000" w:sz="10" w:space="0"/>
                                <w:right w:val="single" w:color="000000" w:sz="8" w:space="0"/>
                              </w:tcBorders>
                              <w:shd w:val="clear" w:color="auto" w:fill="F79646"/>
                              <w:vAlign w:val="top"/>
                            </w:tcPr>
                            <w:p w14:paraId="709A05AF">
                              <w:pPr>
                                <w:spacing w:before="204" w:line="289" w:lineRule="exact"/>
                                <w:ind w:left="481"/>
                                <w:rPr>
                                  <w:rFonts w:ascii="宋体" w:hAnsi="宋体" w:eastAsia="宋体" w:cs="宋体"/>
                                  <w:sz w:val="20"/>
                                  <w:szCs w:val="20"/>
                                </w:rPr>
                              </w:pPr>
                              <w:r>
                                <w:rPr>
                                  <w:rFonts w:ascii="Times New Roman" w:hAnsi="Times New Roman" w:eastAsia="Times New Roman" w:cs="Times New Roman"/>
                                  <w:b/>
                                  <w:bCs/>
                                  <w:spacing w:val="8"/>
                                  <w:position w:val="1"/>
                                  <w:sz w:val="20"/>
                                  <w:szCs w:val="20"/>
                                </w:rPr>
                                <w:t>2#</w:t>
                              </w:r>
                              <w:r>
                                <w:rPr>
                                  <w:rFonts w:ascii="宋体" w:hAnsi="宋体" w:eastAsia="宋体" w:cs="宋体"/>
                                  <w:spacing w:val="8"/>
                                  <w:position w:val="1"/>
                                  <w:sz w:val="20"/>
                                  <w:szCs w:val="20"/>
                                  <w14:textOutline w14:w="3795" w14:cap="sq" w14:cmpd="sng">
                                    <w14:solidFill>
                                      <w14:srgbClr w14:val="000000"/>
                                    </w14:solidFill>
                                    <w14:prstDash w14:val="solid"/>
                                    <w14:bevel/>
                                  </w14:textOutline>
                                </w:rPr>
                                <w:t>员工休息</w:t>
                              </w:r>
                              <w:r>
                                <w:rPr>
                                  <w:rFonts w:ascii="宋体" w:hAnsi="宋体" w:eastAsia="宋体" w:cs="宋体"/>
                                  <w:spacing w:val="7"/>
                                  <w:position w:val="1"/>
                                  <w:sz w:val="20"/>
                                  <w:szCs w:val="20"/>
                                  <w14:textOutline w14:w="3795" w14:cap="sq" w14:cmpd="sng">
                                    <w14:solidFill>
                                      <w14:srgbClr w14:val="000000"/>
                                    </w14:solidFill>
                                    <w14:prstDash w14:val="solid"/>
                                    <w14:bevel/>
                                  </w14:textOutline>
                                </w:rPr>
                                <w:t>室</w:t>
                              </w:r>
                            </w:p>
                          </w:tc>
                          <w:tc>
                            <w:tcPr>
                              <w:tcW w:w="3369" w:type="dxa"/>
                              <w:tcBorders>
                                <w:left w:val="single" w:color="000000" w:sz="8" w:space="0"/>
                                <w:right w:val="single" w:color="000000" w:sz="10" w:space="0"/>
                              </w:tcBorders>
                              <w:shd w:val="clear" w:color="auto" w:fill="9BBB59"/>
                              <w:vAlign w:val="top"/>
                            </w:tcPr>
                            <w:p w14:paraId="20C891B2">
                              <w:pPr>
                                <w:spacing w:before="251" w:line="228" w:lineRule="auto"/>
                                <w:ind w:left="1375"/>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办</w:t>
                              </w:r>
                              <w:r>
                                <w:rPr>
                                  <w:rFonts w:ascii="宋体" w:hAnsi="宋体" w:eastAsia="宋体" w:cs="宋体"/>
                                  <w:spacing w:val="6"/>
                                  <w:sz w:val="20"/>
                                  <w:szCs w:val="20"/>
                                  <w14:textOutline w14:w="3795" w14:cap="sq" w14:cmpd="sng">
                                    <w14:solidFill>
                                      <w14:srgbClr w14:val="000000"/>
                                    </w14:solidFill>
                                    <w14:prstDash w14:val="solid"/>
                                    <w14:bevel/>
                                  </w14:textOutline>
                                </w:rPr>
                                <w:t>公室</w:t>
                              </w:r>
                            </w:p>
                          </w:tc>
                        </w:tr>
                      </w:tbl>
                      <w:p w14:paraId="0F33D71E"/>
                      <w:p w14:paraId="4D3083FE"/>
                      <w:p w14:paraId="1931223E"/>
                      <w:p w14:paraId="3493D6BE"/>
                      <w:p w14:paraId="4DC6CB94"/>
                      <w:p w14:paraId="5A516877"/>
                      <w:p w14:paraId="7C24D086"/>
                      <w:p w14:paraId="62A93D26"/>
                      <w:p w14:paraId="6B1A47BA"/>
                      <w:p w14:paraId="16DB4EB4">
                        <w:pPr>
                          <w:spacing w:line="62" w:lineRule="exact"/>
                        </w:pPr>
                      </w:p>
                      <w:tbl>
                        <w:tblPr>
                          <w:tblStyle w:val="4"/>
                          <w:tblW w:w="3850" w:type="dxa"/>
                          <w:tblInd w:w="1749"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3850"/>
                        </w:tblGrid>
                        <w:tr w14:paraId="36E8A1D8">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1421" w:hRule="atLeast"/>
                          </w:trPr>
                          <w:tc>
                            <w:tcPr>
                              <w:tcW w:w="3850" w:type="dxa"/>
                              <w:shd w:val="clear" w:color="auto" w:fill="CCC1DA"/>
                              <w:vAlign w:val="top"/>
                            </w:tcPr>
                            <w:p w14:paraId="164BA45E">
                              <w:pPr>
                                <w:spacing w:line="271" w:lineRule="auto"/>
                                <w:rPr>
                                  <w:rFonts w:ascii="Arial"/>
                                  <w:sz w:val="21"/>
                                </w:rPr>
                              </w:pPr>
                            </w:p>
                            <w:p w14:paraId="18D004D3">
                              <w:pPr>
                                <w:spacing w:line="271" w:lineRule="auto"/>
                                <w:rPr>
                                  <w:rFonts w:ascii="Arial"/>
                                  <w:sz w:val="21"/>
                                </w:rPr>
                              </w:pPr>
                            </w:p>
                            <w:p w14:paraId="637854A2">
                              <w:pPr>
                                <w:spacing w:before="65" w:line="228" w:lineRule="auto"/>
                                <w:ind w:left="1453"/>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生产厂房</w:t>
                              </w:r>
                            </w:p>
                          </w:tc>
                        </w:tr>
                      </w:tbl>
                      <w:p w14:paraId="5087021D">
                        <w:pPr>
                          <w:spacing w:line="175" w:lineRule="exact"/>
                          <w:rPr>
                            <w:rFonts w:ascii="Arial"/>
                            <w:sz w:val="15"/>
                          </w:rPr>
                        </w:pPr>
                      </w:p>
                    </w:tc>
                  </w:tr>
                </w:tbl>
                <w:p w14:paraId="71F17752">
                  <w:pPr>
                    <w:rPr>
                      <w:rFonts w:ascii="Arial"/>
                      <w:sz w:val="21"/>
                    </w:rPr>
                  </w:pPr>
                </w:p>
              </w:txbxContent>
            </v:textbox>
          </v:shape>
        </w:pict>
      </w:r>
      <w:r>
        <w:pict>
          <v:shape id="_x0000_s1078" o:spid="_x0000_s1078" o:spt="202" type="#_x0000_t202" style="position:absolute;left:0pt;margin-left:202.3pt;margin-top:420pt;height:14.45pt;width:22.4pt;mso-position-horizontal-relative:page;mso-position-vertical-relative:page;z-index:251707392;mso-width-relative:page;mso-height-relative:page;" filled="f" stroked="f" coordsize="21600,21600" o:allowincell="f">
            <v:path/>
            <v:fill on="f" focussize="0,0"/>
            <v:stroke on="f"/>
            <v:imagedata o:title=""/>
            <o:lock v:ext="edit" aspectratio="f"/>
            <v:textbox inset="0mm,0mm,0mm,0mm">
              <w:txbxContent>
                <w:p w14:paraId="3AC489AA">
                  <w:pPr>
                    <w:spacing w:before="20" w:line="229" w:lineRule="auto"/>
                    <w:ind w:left="20"/>
                    <w:rPr>
                      <w:rFonts w:ascii="宋体" w:hAnsi="宋体" w:eastAsia="宋体" w:cs="宋体"/>
                      <w:sz w:val="20"/>
                      <w:szCs w:val="20"/>
                    </w:rPr>
                  </w:pPr>
                  <w:r>
                    <w:rPr>
                      <w:rFonts w:ascii="宋体" w:hAnsi="宋体" w:eastAsia="宋体" w:cs="宋体"/>
                      <w:spacing w:val="4"/>
                      <w:sz w:val="20"/>
                      <w:szCs w:val="20"/>
                    </w:rPr>
                    <w:t>旱</w:t>
                  </w:r>
                  <w:r>
                    <w:rPr>
                      <w:rFonts w:ascii="宋体" w:hAnsi="宋体" w:eastAsia="宋体" w:cs="宋体"/>
                      <w:spacing w:val="3"/>
                      <w:sz w:val="20"/>
                      <w:szCs w:val="20"/>
                    </w:rPr>
                    <w:t>厕</w:t>
                  </w:r>
                </w:p>
              </w:txbxContent>
            </v:textbox>
          </v:shape>
        </w:pict>
      </w:r>
    </w:p>
    <w:p w14:paraId="022C582F">
      <w:pPr>
        <w:spacing w:line="243" w:lineRule="auto"/>
        <w:rPr>
          <w:rFonts w:ascii="Arial"/>
          <w:sz w:val="21"/>
        </w:rPr>
      </w:pPr>
    </w:p>
    <w:p w14:paraId="754D5B06">
      <w:pPr>
        <w:spacing w:line="243" w:lineRule="auto"/>
        <w:rPr>
          <w:rFonts w:ascii="Arial"/>
          <w:sz w:val="21"/>
        </w:rPr>
      </w:pPr>
    </w:p>
    <w:p w14:paraId="24A075CF">
      <w:pPr>
        <w:spacing w:line="243" w:lineRule="auto"/>
        <w:rPr>
          <w:rFonts w:ascii="Arial"/>
          <w:sz w:val="21"/>
        </w:rPr>
      </w:pPr>
    </w:p>
    <w:p w14:paraId="4E684358">
      <w:pPr>
        <w:spacing w:line="243" w:lineRule="auto"/>
        <w:rPr>
          <w:rFonts w:ascii="Arial"/>
          <w:sz w:val="21"/>
        </w:rPr>
      </w:pPr>
    </w:p>
    <w:p w14:paraId="2928C02A">
      <w:pPr>
        <w:spacing w:line="243" w:lineRule="auto"/>
        <w:rPr>
          <w:rFonts w:ascii="Arial"/>
          <w:sz w:val="21"/>
        </w:rPr>
      </w:pPr>
    </w:p>
    <w:p w14:paraId="6F3DE5AE">
      <w:pPr>
        <w:spacing w:line="243" w:lineRule="auto"/>
        <w:rPr>
          <w:rFonts w:ascii="Arial"/>
          <w:sz w:val="21"/>
        </w:rPr>
      </w:pPr>
    </w:p>
    <w:p w14:paraId="0881821C">
      <w:pPr>
        <w:spacing w:line="243" w:lineRule="auto"/>
        <w:rPr>
          <w:rFonts w:ascii="Arial"/>
          <w:sz w:val="21"/>
        </w:rPr>
      </w:pPr>
    </w:p>
    <w:p w14:paraId="1BC51EA4">
      <w:pPr>
        <w:spacing w:line="243" w:lineRule="auto"/>
        <w:rPr>
          <w:rFonts w:ascii="Arial"/>
          <w:sz w:val="21"/>
        </w:rPr>
      </w:pPr>
    </w:p>
    <w:p w14:paraId="348FA9B9">
      <w:pPr>
        <w:spacing w:line="243" w:lineRule="auto"/>
        <w:rPr>
          <w:rFonts w:ascii="Arial"/>
          <w:sz w:val="21"/>
        </w:rPr>
      </w:pPr>
    </w:p>
    <w:p w14:paraId="18ABC5FE">
      <w:pPr>
        <w:spacing w:line="243" w:lineRule="auto"/>
        <w:rPr>
          <w:rFonts w:ascii="Arial"/>
          <w:sz w:val="21"/>
        </w:rPr>
      </w:pPr>
    </w:p>
    <w:p w14:paraId="6745B064">
      <w:pPr>
        <w:spacing w:line="243" w:lineRule="auto"/>
        <w:rPr>
          <w:rFonts w:ascii="Arial"/>
          <w:sz w:val="21"/>
        </w:rPr>
      </w:pPr>
    </w:p>
    <w:p w14:paraId="00EC2576">
      <w:pPr>
        <w:spacing w:line="243" w:lineRule="auto"/>
        <w:rPr>
          <w:rFonts w:ascii="Arial"/>
          <w:sz w:val="21"/>
        </w:rPr>
      </w:pPr>
    </w:p>
    <w:p w14:paraId="45ABA303">
      <w:pPr>
        <w:spacing w:line="243" w:lineRule="auto"/>
        <w:rPr>
          <w:rFonts w:ascii="Arial"/>
          <w:sz w:val="21"/>
        </w:rPr>
      </w:pPr>
    </w:p>
    <w:p w14:paraId="7CA14F2E">
      <w:pPr>
        <w:spacing w:line="243" w:lineRule="auto"/>
        <w:rPr>
          <w:rFonts w:ascii="Arial"/>
          <w:sz w:val="21"/>
        </w:rPr>
      </w:pPr>
    </w:p>
    <w:p w14:paraId="1FB9FBF5">
      <w:pPr>
        <w:spacing w:line="243" w:lineRule="auto"/>
        <w:rPr>
          <w:rFonts w:ascii="Arial"/>
          <w:sz w:val="21"/>
        </w:rPr>
      </w:pPr>
    </w:p>
    <w:p w14:paraId="3E315AA6">
      <w:pPr>
        <w:spacing w:line="243" w:lineRule="auto"/>
        <w:rPr>
          <w:rFonts w:ascii="Arial"/>
          <w:sz w:val="21"/>
        </w:rPr>
      </w:pPr>
    </w:p>
    <w:p w14:paraId="3F2AF8D4">
      <w:pPr>
        <w:spacing w:line="243" w:lineRule="auto"/>
        <w:rPr>
          <w:rFonts w:ascii="Arial"/>
          <w:sz w:val="21"/>
        </w:rPr>
      </w:pPr>
    </w:p>
    <w:p w14:paraId="4F56ED47">
      <w:pPr>
        <w:spacing w:line="243" w:lineRule="auto"/>
        <w:rPr>
          <w:rFonts w:ascii="Arial"/>
          <w:sz w:val="21"/>
        </w:rPr>
      </w:pPr>
    </w:p>
    <w:p w14:paraId="179D00D8">
      <w:pPr>
        <w:spacing w:line="243" w:lineRule="auto"/>
        <w:rPr>
          <w:rFonts w:ascii="Arial"/>
          <w:sz w:val="21"/>
        </w:rPr>
      </w:pPr>
    </w:p>
    <w:p w14:paraId="382BD105">
      <w:pPr>
        <w:spacing w:line="243" w:lineRule="auto"/>
        <w:rPr>
          <w:rFonts w:ascii="Arial"/>
          <w:sz w:val="21"/>
        </w:rPr>
      </w:pPr>
    </w:p>
    <w:p w14:paraId="319D0CF0">
      <w:pPr>
        <w:spacing w:line="243" w:lineRule="auto"/>
        <w:rPr>
          <w:rFonts w:ascii="Arial"/>
          <w:sz w:val="21"/>
        </w:rPr>
      </w:pPr>
    </w:p>
    <w:p w14:paraId="36EB3613">
      <w:pPr>
        <w:spacing w:line="244" w:lineRule="auto"/>
        <w:rPr>
          <w:rFonts w:ascii="Arial"/>
          <w:sz w:val="21"/>
        </w:rPr>
      </w:pPr>
    </w:p>
    <w:p w14:paraId="4FEDA953">
      <w:pPr>
        <w:spacing w:line="244" w:lineRule="auto"/>
        <w:rPr>
          <w:rFonts w:ascii="Arial"/>
          <w:sz w:val="21"/>
        </w:rPr>
      </w:pPr>
    </w:p>
    <w:p w14:paraId="2688D512">
      <w:pPr>
        <w:spacing w:line="244" w:lineRule="auto"/>
        <w:rPr>
          <w:rFonts w:ascii="Arial"/>
          <w:sz w:val="21"/>
        </w:rPr>
      </w:pPr>
    </w:p>
    <w:p w14:paraId="4466A523">
      <w:pPr>
        <w:spacing w:line="244" w:lineRule="auto"/>
        <w:rPr>
          <w:rFonts w:ascii="Arial"/>
          <w:sz w:val="21"/>
        </w:rPr>
      </w:pPr>
    </w:p>
    <w:p w14:paraId="4DC4B11E">
      <w:pPr>
        <w:spacing w:line="244" w:lineRule="auto"/>
        <w:rPr>
          <w:rFonts w:ascii="Arial"/>
          <w:sz w:val="21"/>
        </w:rPr>
      </w:pPr>
    </w:p>
    <w:p w14:paraId="1D5A6E30">
      <w:pPr>
        <w:spacing w:line="244" w:lineRule="auto"/>
        <w:rPr>
          <w:rFonts w:ascii="Arial"/>
          <w:sz w:val="21"/>
        </w:rPr>
      </w:pPr>
    </w:p>
    <w:p w14:paraId="45CBD9A9">
      <w:pPr>
        <w:spacing w:line="244" w:lineRule="auto"/>
        <w:rPr>
          <w:rFonts w:ascii="Arial"/>
          <w:sz w:val="21"/>
        </w:rPr>
      </w:pPr>
    </w:p>
    <w:p w14:paraId="4C54B17A">
      <w:pPr>
        <w:spacing w:line="244" w:lineRule="auto"/>
        <w:rPr>
          <w:rFonts w:ascii="Arial"/>
          <w:sz w:val="21"/>
        </w:rPr>
      </w:pPr>
    </w:p>
    <w:p w14:paraId="57D4D4F4">
      <w:pPr>
        <w:spacing w:line="244" w:lineRule="auto"/>
        <w:rPr>
          <w:rFonts w:ascii="Arial"/>
          <w:sz w:val="21"/>
        </w:rPr>
      </w:pPr>
    </w:p>
    <w:p w14:paraId="3D058913">
      <w:pPr>
        <w:spacing w:line="244" w:lineRule="auto"/>
        <w:rPr>
          <w:rFonts w:ascii="Arial"/>
          <w:sz w:val="21"/>
        </w:rPr>
      </w:pPr>
    </w:p>
    <w:p w14:paraId="47355442">
      <w:pPr>
        <w:spacing w:line="244" w:lineRule="auto"/>
        <w:rPr>
          <w:rFonts w:ascii="Arial"/>
          <w:sz w:val="21"/>
        </w:rPr>
      </w:pPr>
    </w:p>
    <w:p w14:paraId="28349024">
      <w:pPr>
        <w:spacing w:line="244" w:lineRule="auto"/>
        <w:rPr>
          <w:rFonts w:ascii="Arial"/>
          <w:sz w:val="21"/>
        </w:rPr>
      </w:pPr>
    </w:p>
    <w:p w14:paraId="60EF3C4A">
      <w:pPr>
        <w:spacing w:line="540" w:lineRule="exact"/>
        <w:ind w:firstLine="5245"/>
        <w:textAlignment w:val="center"/>
      </w:pPr>
      <w:r>
        <w:pict>
          <v:shape id="_x0000_s1079" o:spid="_x0000_s1079" o:spt="202" type="#_x0000_t202" style="height:27pt;width:198.25pt;" fillcolor="#FFFF00" filled="t" stroked="f" coordsize="21600,21600">
            <v:path/>
            <v:fill on="t" focussize="0,0"/>
            <v:stroke on="f"/>
            <v:imagedata o:title=""/>
            <o:lock v:ext="edit" aspectratio="f"/>
            <v:textbox inset="0mm,0mm,0mm,0mm">
              <w:txbxContent>
                <w:p w14:paraId="41773DC5">
                  <w:pPr>
                    <w:spacing w:before="226" w:line="227" w:lineRule="auto"/>
                    <w:ind w:left="31"/>
                    <w:rPr>
                      <w:rFonts w:ascii="宋体" w:hAnsi="宋体" w:eastAsia="宋体" w:cs="宋体"/>
                      <w:sz w:val="23"/>
                      <w:szCs w:val="23"/>
                    </w:rPr>
                  </w:pPr>
                  <w:r>
                    <w:rPr>
                      <w:rFonts w:ascii="宋体" w:hAnsi="宋体" w:eastAsia="宋体" w:cs="宋体"/>
                      <w:spacing w:val="9"/>
                      <w:sz w:val="23"/>
                      <w:szCs w:val="23"/>
                      <w14:textOutline w14:w="4358" w14:cap="sq" w14:cmpd="sng">
                        <w14:solidFill>
                          <w14:srgbClr w14:val="000000"/>
                        </w14:solidFill>
                        <w14:prstDash w14:val="solid"/>
                        <w14:bevel/>
                      </w14:textOutline>
                    </w:rPr>
                    <w:t>图</w:t>
                  </w:r>
                  <w:r>
                    <w:rPr>
                      <w:rFonts w:ascii="宋体" w:hAnsi="宋体" w:eastAsia="宋体" w:cs="宋体"/>
                      <w:spacing w:val="9"/>
                      <w:sz w:val="23"/>
                      <w:szCs w:val="23"/>
                    </w:rPr>
                    <w:t xml:space="preserve"> </w:t>
                  </w:r>
                  <w:r>
                    <w:rPr>
                      <w:rFonts w:ascii="Times New Roman" w:hAnsi="Times New Roman" w:eastAsia="Times New Roman" w:cs="Times New Roman"/>
                      <w:b/>
                      <w:bCs/>
                      <w:spacing w:val="9"/>
                      <w:sz w:val="23"/>
                      <w:szCs w:val="23"/>
                    </w:rPr>
                    <w:t>1-2</w:t>
                  </w:r>
                  <w:r>
                    <w:rPr>
                      <w:rFonts w:ascii="Times New Roman" w:hAnsi="Times New Roman" w:eastAsia="Times New Roman" w:cs="Times New Roman"/>
                      <w:spacing w:val="9"/>
                      <w:sz w:val="23"/>
                      <w:szCs w:val="23"/>
                    </w:rPr>
                    <w:t xml:space="preserve">         </w:t>
                  </w:r>
                  <w:r>
                    <w:rPr>
                      <w:rFonts w:ascii="宋体" w:hAnsi="宋体" w:eastAsia="宋体" w:cs="宋体"/>
                      <w:spacing w:val="9"/>
                      <w:sz w:val="23"/>
                      <w:szCs w:val="23"/>
                      <w14:textOutline w14:w="4358" w14:cap="sq" w14:cmpd="sng">
                        <w14:solidFill>
                          <w14:srgbClr w14:val="000000"/>
                        </w14:solidFill>
                        <w14:prstDash w14:val="solid"/>
                        <w14:bevel/>
                      </w14:textOutline>
                    </w:rPr>
                    <w:t>建设项目厂区平面布置</w:t>
                  </w:r>
                  <w:r>
                    <w:rPr>
                      <w:rFonts w:ascii="宋体" w:hAnsi="宋体" w:eastAsia="宋体" w:cs="宋体"/>
                      <w:spacing w:val="4"/>
                      <w:sz w:val="23"/>
                      <w:szCs w:val="23"/>
                      <w14:textOutline w14:w="4358" w14:cap="sq" w14:cmpd="sng">
                        <w14:solidFill>
                          <w14:srgbClr w14:val="000000"/>
                        </w14:solidFill>
                        <w14:prstDash w14:val="solid"/>
                        <w14:bevel/>
                      </w14:textOutline>
                    </w:rPr>
                    <w:t>图</w:t>
                  </w:r>
                </w:p>
              </w:txbxContent>
            </v:textbox>
            <w10:wrap type="none"/>
            <w10:anchorlock/>
          </v:shape>
        </w:pict>
      </w:r>
    </w:p>
    <w:p w14:paraId="64E94B27">
      <w:pPr>
        <w:sectPr>
          <w:headerReference r:id="rId40" w:type="default"/>
          <w:footerReference r:id="rId41" w:type="default"/>
          <w:pgSz w:w="16839" w:h="11906"/>
          <w:pgMar w:top="1132" w:right="1253" w:bottom="899" w:left="1403" w:header="878" w:footer="739" w:gutter="0"/>
          <w:cols w:space="720" w:num="1"/>
        </w:sectPr>
      </w:pPr>
    </w:p>
    <w:p w14:paraId="7DADAEB5">
      <w:pPr>
        <w:spacing w:line="432" w:lineRule="auto"/>
        <w:rPr>
          <w:rFonts w:ascii="Arial"/>
          <w:sz w:val="21"/>
        </w:rPr>
      </w:pPr>
      <w:r>
        <w:pict>
          <v:shape id="_x0000_s1080" o:spid="_x0000_s1080" style="position:absolute;left:0pt;margin-left:90pt;margin-top:57.35pt;height:0.75pt;width:415.3pt;mso-position-horizontal-relative:page;mso-position-vertical-relative:page;z-index:251717632;mso-width-relative:page;mso-height-relative:page;" fillcolor="#000000" filled="t" stroked="f" coordsize="8305,15" o:allowincell="f" path="m0,0l8305,0,8305,14,0,14,0,0xe">
            <v:path/>
            <v:fill on="t" focussize="0,0"/>
            <v:stroke on="f"/>
            <v:imagedata o:title=""/>
            <o:lock v:ext="edit"/>
          </v:shape>
        </w:pict>
      </w:r>
    </w:p>
    <w:p w14:paraId="701CD9FF">
      <w:pPr>
        <w:spacing w:before="114" w:line="225" w:lineRule="auto"/>
        <w:ind w:left="22"/>
        <w:outlineLvl w:val="0"/>
        <w:rPr>
          <w:rFonts w:ascii="宋体" w:hAnsi="宋体" w:eastAsia="宋体" w:cs="宋体"/>
          <w:sz w:val="35"/>
          <w:szCs w:val="35"/>
        </w:rPr>
      </w:pPr>
      <w:bookmarkStart w:id="6" w:name="_bookmark7"/>
      <w:bookmarkEnd w:id="6"/>
      <w:r>
        <w:rPr>
          <w:rFonts w:ascii="Times New Roman" w:hAnsi="Times New Roman" w:eastAsia="Times New Roman" w:cs="Times New Roman"/>
          <w:b/>
          <w:bCs/>
          <w:spacing w:val="-1"/>
          <w:sz w:val="35"/>
          <w:szCs w:val="35"/>
        </w:rPr>
        <w:t>2</w:t>
      </w:r>
      <w:r>
        <w:rPr>
          <w:rFonts w:ascii="Times New Roman" w:hAnsi="Times New Roman" w:eastAsia="Times New Roman" w:cs="Times New Roman"/>
          <w:spacing w:val="-1"/>
          <w:sz w:val="35"/>
          <w:szCs w:val="35"/>
        </w:rPr>
        <w:t xml:space="preserve">  </w:t>
      </w:r>
      <w:r>
        <w:rPr>
          <w:rFonts w:ascii="宋体" w:hAnsi="宋体" w:eastAsia="宋体" w:cs="宋体"/>
          <w:spacing w:val="-1"/>
          <w:sz w:val="35"/>
          <w:szCs w:val="35"/>
          <w14:textOutline w14:w="6537" w14:cap="sq" w14:cmpd="sng">
            <w14:solidFill>
              <w14:srgbClr w14:val="000000"/>
            </w14:solidFill>
            <w14:prstDash w14:val="solid"/>
            <w14:bevel/>
          </w14:textOutline>
        </w:rPr>
        <w:t>总</w:t>
      </w:r>
      <w:r>
        <w:rPr>
          <w:rFonts w:ascii="宋体" w:hAnsi="宋体" w:eastAsia="宋体" w:cs="宋体"/>
          <w:sz w:val="35"/>
          <w:szCs w:val="35"/>
          <w14:textOutline w14:w="6537" w14:cap="sq" w14:cmpd="sng">
            <w14:solidFill>
              <w14:srgbClr w14:val="000000"/>
            </w14:solidFill>
            <w14:prstDash w14:val="solid"/>
            <w14:bevel/>
          </w14:textOutline>
        </w:rPr>
        <w:t>则</w:t>
      </w:r>
    </w:p>
    <w:p w14:paraId="17D5F883">
      <w:pPr>
        <w:spacing w:before="256" w:line="223" w:lineRule="auto"/>
        <w:ind w:left="21"/>
        <w:outlineLvl w:val="1"/>
        <w:rPr>
          <w:rFonts w:ascii="宋体" w:hAnsi="宋体" w:eastAsia="宋体" w:cs="宋体"/>
          <w:sz w:val="31"/>
          <w:szCs w:val="31"/>
        </w:rPr>
      </w:pPr>
      <w:bookmarkStart w:id="7" w:name="_bookmark8"/>
      <w:bookmarkEnd w:id="7"/>
      <w:r>
        <w:rPr>
          <w:rFonts w:ascii="Times New Roman" w:hAnsi="Times New Roman" w:eastAsia="Times New Roman" w:cs="Times New Roman"/>
          <w:b/>
          <w:bCs/>
          <w:spacing w:val="9"/>
          <w:sz w:val="31"/>
          <w:szCs w:val="31"/>
        </w:rPr>
        <w:t>2</w:t>
      </w:r>
      <w:r>
        <w:rPr>
          <w:rFonts w:ascii="Times New Roman" w:hAnsi="Times New Roman" w:eastAsia="Times New Roman" w:cs="Times New Roman"/>
          <w:b/>
          <w:bCs/>
          <w:spacing w:val="5"/>
          <w:sz w:val="31"/>
          <w:szCs w:val="31"/>
        </w:rPr>
        <w:t>.1</w:t>
      </w:r>
      <w:r>
        <w:rPr>
          <w:rFonts w:ascii="Times New Roman" w:hAnsi="Times New Roman" w:eastAsia="Times New Roman" w:cs="Times New Roman"/>
          <w:spacing w:val="5"/>
          <w:sz w:val="31"/>
          <w:szCs w:val="31"/>
        </w:rPr>
        <w:t xml:space="preserve"> </w:t>
      </w:r>
      <w:r>
        <w:rPr>
          <w:rFonts w:ascii="宋体" w:hAnsi="宋体" w:eastAsia="宋体" w:cs="宋体"/>
          <w:spacing w:val="5"/>
          <w:sz w:val="31"/>
          <w:szCs w:val="31"/>
          <w14:textOutline w14:w="5793" w14:cap="sq" w14:cmpd="sng">
            <w14:solidFill>
              <w14:srgbClr w14:val="000000"/>
            </w14:solidFill>
            <w14:prstDash w14:val="solid"/>
            <w14:bevel/>
          </w14:textOutline>
        </w:rPr>
        <w:t>评价目的与原则</w:t>
      </w:r>
    </w:p>
    <w:p w14:paraId="365C7330">
      <w:pPr>
        <w:spacing w:before="289" w:line="224" w:lineRule="auto"/>
        <w:ind w:left="21"/>
        <w:outlineLvl w:val="2"/>
        <w:rPr>
          <w:rFonts w:ascii="宋体" w:hAnsi="宋体" w:eastAsia="宋体" w:cs="宋体"/>
          <w:sz w:val="29"/>
          <w:szCs w:val="29"/>
        </w:rPr>
      </w:pPr>
      <w:r>
        <w:rPr>
          <w:rFonts w:ascii="Times New Roman" w:hAnsi="Times New Roman" w:eastAsia="Times New Roman" w:cs="Times New Roman"/>
          <w:b/>
          <w:bCs/>
          <w:spacing w:val="10"/>
          <w:sz w:val="29"/>
          <w:szCs w:val="29"/>
        </w:rPr>
        <w:t>2</w:t>
      </w:r>
      <w:r>
        <w:rPr>
          <w:rFonts w:ascii="Times New Roman" w:hAnsi="Times New Roman" w:eastAsia="Times New Roman" w:cs="Times New Roman"/>
          <w:b/>
          <w:bCs/>
          <w:spacing w:val="6"/>
          <w:sz w:val="29"/>
          <w:szCs w:val="29"/>
        </w:rPr>
        <w:t>.</w:t>
      </w:r>
      <w:r>
        <w:rPr>
          <w:rFonts w:ascii="Times New Roman" w:hAnsi="Times New Roman" w:eastAsia="Times New Roman" w:cs="Times New Roman"/>
          <w:b/>
          <w:bCs/>
          <w:spacing w:val="5"/>
          <w:sz w:val="29"/>
          <w:szCs w:val="29"/>
        </w:rPr>
        <w:t>1.1</w:t>
      </w:r>
      <w:r>
        <w:rPr>
          <w:rFonts w:ascii="Times New Roman" w:hAnsi="Times New Roman" w:eastAsia="Times New Roman" w:cs="Times New Roman"/>
          <w:spacing w:val="5"/>
          <w:sz w:val="29"/>
          <w:szCs w:val="29"/>
        </w:rPr>
        <w:t xml:space="preserve"> </w:t>
      </w:r>
      <w:r>
        <w:rPr>
          <w:rFonts w:ascii="宋体" w:hAnsi="宋体" w:eastAsia="宋体" w:cs="宋体"/>
          <w:spacing w:val="5"/>
          <w:sz w:val="29"/>
          <w:szCs w:val="29"/>
          <w14:textOutline w14:w="5448" w14:cap="sq" w14:cmpd="sng">
            <w14:solidFill>
              <w14:srgbClr w14:val="000000"/>
            </w14:solidFill>
            <w14:prstDash w14:val="solid"/>
            <w14:bevel/>
          </w14:textOutline>
        </w:rPr>
        <w:t>评价目的</w:t>
      </w:r>
    </w:p>
    <w:p w14:paraId="510A1297">
      <w:pPr>
        <w:spacing w:line="272" w:lineRule="auto"/>
        <w:rPr>
          <w:rFonts w:ascii="Arial"/>
          <w:sz w:val="21"/>
        </w:rPr>
      </w:pPr>
    </w:p>
    <w:p w14:paraId="137DF46F">
      <w:pPr>
        <w:spacing w:before="74" w:line="387" w:lineRule="auto"/>
        <w:ind w:left="22" w:right="16" w:firstLine="452"/>
        <w:rPr>
          <w:rFonts w:ascii="宋体" w:hAnsi="宋体" w:eastAsia="宋体" w:cs="宋体"/>
          <w:sz w:val="23"/>
          <w:szCs w:val="23"/>
        </w:rPr>
      </w:pPr>
      <w:r>
        <w:rPr>
          <w:rFonts w:ascii="宋体" w:hAnsi="宋体" w:eastAsia="宋体" w:cs="宋体"/>
          <w:spacing w:val="1"/>
          <w:sz w:val="23"/>
          <w:szCs w:val="23"/>
        </w:rPr>
        <w:t>针对项目的特点，对项目所在区域环境概况进行现场</w:t>
      </w:r>
      <w:r>
        <w:rPr>
          <w:rFonts w:ascii="宋体" w:hAnsi="宋体" w:eastAsia="宋体" w:cs="宋体"/>
          <w:sz w:val="23"/>
          <w:szCs w:val="23"/>
        </w:rPr>
        <w:t xml:space="preserve">调查，在明确项目污染源 </w:t>
      </w:r>
      <w:r>
        <w:rPr>
          <w:rFonts w:ascii="宋体" w:hAnsi="宋体" w:eastAsia="宋体" w:cs="宋体"/>
          <w:spacing w:val="1"/>
          <w:sz w:val="23"/>
          <w:szCs w:val="23"/>
        </w:rPr>
        <w:t>及受纳环境本底情况的基础上，按</w:t>
      </w:r>
      <w:r>
        <w:rPr>
          <w:rFonts w:ascii="宋体" w:hAnsi="宋体" w:eastAsia="宋体" w:cs="宋体"/>
          <w:sz w:val="23"/>
          <w:szCs w:val="23"/>
        </w:rPr>
        <w:t xml:space="preserve">照国家和地方的有关法律、法规、标准的要求以 </w:t>
      </w:r>
      <w:r>
        <w:rPr>
          <w:rFonts w:ascii="宋体" w:hAnsi="宋体" w:eastAsia="宋体" w:cs="宋体"/>
          <w:spacing w:val="1"/>
          <w:sz w:val="23"/>
          <w:szCs w:val="23"/>
        </w:rPr>
        <w:t>及环保部对建设项目环境影响评价</w:t>
      </w:r>
      <w:r>
        <w:rPr>
          <w:rFonts w:ascii="宋体" w:hAnsi="宋体" w:eastAsia="宋体" w:cs="宋体"/>
          <w:sz w:val="23"/>
          <w:szCs w:val="23"/>
        </w:rPr>
        <w:t xml:space="preserve">报告书编制内容的规定编制科学合理、更具针对 </w:t>
      </w:r>
      <w:r>
        <w:rPr>
          <w:rFonts w:ascii="宋体" w:hAnsi="宋体" w:eastAsia="宋体" w:cs="宋体"/>
          <w:spacing w:val="1"/>
          <w:sz w:val="23"/>
          <w:szCs w:val="23"/>
        </w:rPr>
        <w:t>性和可操作性的环境影响报告书。</w:t>
      </w:r>
      <w:r>
        <w:rPr>
          <w:rFonts w:ascii="宋体" w:hAnsi="宋体" w:eastAsia="宋体" w:cs="宋体"/>
          <w:sz w:val="23"/>
          <w:szCs w:val="23"/>
        </w:rPr>
        <w:t xml:space="preserve">通过实地考察、环境质量现状监测、污染源调查 </w:t>
      </w:r>
      <w:r>
        <w:rPr>
          <w:rFonts w:ascii="宋体" w:hAnsi="宋体" w:eastAsia="宋体" w:cs="宋体"/>
          <w:spacing w:val="1"/>
          <w:sz w:val="23"/>
          <w:szCs w:val="23"/>
        </w:rPr>
        <w:t>以及环境影响预测等系统工作，全</w:t>
      </w:r>
      <w:r>
        <w:rPr>
          <w:rFonts w:ascii="宋体" w:hAnsi="宋体" w:eastAsia="宋体" w:cs="宋体"/>
          <w:sz w:val="23"/>
          <w:szCs w:val="23"/>
        </w:rPr>
        <w:t xml:space="preserve">面分析该项目在施工期、运营期的环境影响特点 </w:t>
      </w:r>
      <w:r>
        <w:rPr>
          <w:rFonts w:ascii="宋体" w:hAnsi="宋体" w:eastAsia="宋体" w:cs="宋体"/>
          <w:spacing w:val="1"/>
          <w:sz w:val="23"/>
          <w:szCs w:val="23"/>
        </w:rPr>
        <w:t>及影响范围、程度。从环境角度评</w:t>
      </w:r>
      <w:r>
        <w:rPr>
          <w:rFonts w:ascii="宋体" w:hAnsi="宋体" w:eastAsia="宋体" w:cs="宋体"/>
          <w:sz w:val="23"/>
          <w:szCs w:val="23"/>
        </w:rPr>
        <w:t xml:space="preserve">价工程的可行性，为建设单位和环境管理部门提 </w:t>
      </w:r>
      <w:r>
        <w:rPr>
          <w:rFonts w:ascii="宋体" w:hAnsi="宋体" w:eastAsia="宋体" w:cs="宋体"/>
          <w:spacing w:val="-2"/>
          <w:sz w:val="23"/>
          <w:szCs w:val="23"/>
        </w:rPr>
        <w:t>供科学依据。</w:t>
      </w:r>
    </w:p>
    <w:p w14:paraId="204A4329">
      <w:pPr>
        <w:spacing w:before="98" w:line="224" w:lineRule="auto"/>
        <w:ind w:left="21"/>
        <w:outlineLvl w:val="2"/>
        <w:rPr>
          <w:rFonts w:ascii="宋体" w:hAnsi="宋体" w:eastAsia="宋体" w:cs="宋体"/>
          <w:sz w:val="29"/>
          <w:szCs w:val="29"/>
        </w:rPr>
      </w:pPr>
      <w:r>
        <w:rPr>
          <w:rFonts w:ascii="Times New Roman" w:hAnsi="Times New Roman" w:eastAsia="Times New Roman" w:cs="Times New Roman"/>
          <w:b/>
          <w:bCs/>
          <w:spacing w:val="10"/>
          <w:sz w:val="29"/>
          <w:szCs w:val="29"/>
        </w:rPr>
        <w:t>2</w:t>
      </w:r>
      <w:r>
        <w:rPr>
          <w:rFonts w:ascii="Times New Roman" w:hAnsi="Times New Roman" w:eastAsia="Times New Roman" w:cs="Times New Roman"/>
          <w:b/>
          <w:bCs/>
          <w:spacing w:val="6"/>
          <w:sz w:val="29"/>
          <w:szCs w:val="29"/>
        </w:rPr>
        <w:t>.</w:t>
      </w:r>
      <w:r>
        <w:rPr>
          <w:rFonts w:ascii="Times New Roman" w:hAnsi="Times New Roman" w:eastAsia="Times New Roman" w:cs="Times New Roman"/>
          <w:b/>
          <w:bCs/>
          <w:spacing w:val="5"/>
          <w:sz w:val="29"/>
          <w:szCs w:val="29"/>
        </w:rPr>
        <w:t>1.2</w:t>
      </w:r>
      <w:r>
        <w:rPr>
          <w:rFonts w:ascii="Times New Roman" w:hAnsi="Times New Roman" w:eastAsia="Times New Roman" w:cs="Times New Roman"/>
          <w:spacing w:val="5"/>
          <w:sz w:val="29"/>
          <w:szCs w:val="29"/>
        </w:rPr>
        <w:t xml:space="preserve"> </w:t>
      </w:r>
      <w:r>
        <w:rPr>
          <w:rFonts w:ascii="宋体" w:hAnsi="宋体" w:eastAsia="宋体" w:cs="宋体"/>
          <w:spacing w:val="5"/>
          <w:sz w:val="29"/>
          <w:szCs w:val="29"/>
          <w14:textOutline w14:w="5448" w14:cap="sq" w14:cmpd="sng">
            <w14:solidFill>
              <w14:srgbClr w14:val="000000"/>
            </w14:solidFill>
            <w14:prstDash w14:val="solid"/>
            <w14:bevel/>
          </w14:textOutline>
        </w:rPr>
        <w:t>评价原则</w:t>
      </w:r>
    </w:p>
    <w:p w14:paraId="554CBD77">
      <w:pPr>
        <w:spacing w:line="269" w:lineRule="auto"/>
        <w:rPr>
          <w:rFonts w:ascii="Arial"/>
          <w:sz w:val="21"/>
        </w:rPr>
      </w:pPr>
    </w:p>
    <w:p w14:paraId="26D048B2">
      <w:pPr>
        <w:spacing w:before="76" w:line="392" w:lineRule="auto"/>
        <w:ind w:left="30" w:right="16" w:firstLine="445"/>
        <w:rPr>
          <w:rFonts w:ascii="宋体" w:hAnsi="宋体" w:eastAsia="宋体" w:cs="宋体"/>
          <w:sz w:val="23"/>
          <w:szCs w:val="23"/>
        </w:rPr>
      </w:pPr>
      <w:r>
        <w:rPr>
          <w:rFonts w:ascii="宋体" w:hAnsi="宋体" w:eastAsia="宋体" w:cs="宋体"/>
          <w:spacing w:val="1"/>
          <w:sz w:val="23"/>
          <w:szCs w:val="23"/>
        </w:rPr>
        <w:t>按照以人为本、建设资源节约型、环境友好型社</w:t>
      </w:r>
      <w:r>
        <w:rPr>
          <w:rFonts w:ascii="宋体" w:hAnsi="宋体" w:eastAsia="宋体" w:cs="宋体"/>
          <w:sz w:val="23"/>
          <w:szCs w:val="23"/>
        </w:rPr>
        <w:t xml:space="preserve">会和科学发展的要求，遵循以 </w:t>
      </w:r>
      <w:r>
        <w:rPr>
          <w:rFonts w:ascii="宋体" w:hAnsi="宋体" w:eastAsia="宋体" w:cs="宋体"/>
          <w:spacing w:val="-6"/>
          <w:sz w:val="23"/>
          <w:szCs w:val="23"/>
        </w:rPr>
        <w:t>下</w:t>
      </w:r>
      <w:r>
        <w:rPr>
          <w:rFonts w:ascii="宋体" w:hAnsi="宋体" w:eastAsia="宋体" w:cs="宋体"/>
          <w:spacing w:val="-4"/>
          <w:sz w:val="23"/>
          <w:szCs w:val="23"/>
        </w:rPr>
        <w:t>原</w:t>
      </w:r>
      <w:r>
        <w:rPr>
          <w:rFonts w:ascii="宋体" w:hAnsi="宋体" w:eastAsia="宋体" w:cs="宋体"/>
          <w:spacing w:val="-3"/>
          <w:sz w:val="23"/>
          <w:szCs w:val="23"/>
        </w:rPr>
        <w:t>则开展环境影响评价工作：</w:t>
      </w:r>
    </w:p>
    <w:p w14:paraId="7602F211">
      <w:pPr>
        <w:spacing w:before="150" w:line="226" w:lineRule="auto"/>
        <w:ind w:left="486"/>
        <w:rPr>
          <w:rFonts w:ascii="宋体" w:hAnsi="宋体" w:eastAsia="宋体" w:cs="宋体"/>
          <w:sz w:val="23"/>
          <w:szCs w:val="23"/>
        </w:rPr>
      </w:pPr>
      <w:r>
        <w:rPr>
          <w:rFonts w:ascii="宋体" w:hAnsi="宋体" w:eastAsia="宋体" w:cs="宋体"/>
          <w:spacing w:val="10"/>
          <w:sz w:val="23"/>
          <w:szCs w:val="23"/>
        </w:rPr>
        <w:t>(</w:t>
      </w:r>
      <w:r>
        <w:rPr>
          <w:rFonts w:ascii="Times New Roman" w:hAnsi="Times New Roman" w:eastAsia="Times New Roman" w:cs="Times New Roman"/>
          <w:spacing w:val="8"/>
          <w:sz w:val="23"/>
          <w:szCs w:val="23"/>
        </w:rPr>
        <w:t>1</w:t>
      </w:r>
      <w:r>
        <w:rPr>
          <w:rFonts w:ascii="宋体" w:hAnsi="宋体" w:eastAsia="宋体" w:cs="宋体"/>
          <w:spacing w:val="8"/>
          <w:sz w:val="23"/>
          <w:szCs w:val="23"/>
        </w:rPr>
        <w:t>) 依法评价原则</w:t>
      </w:r>
    </w:p>
    <w:p w14:paraId="20846515">
      <w:pPr>
        <w:spacing w:line="290" w:lineRule="auto"/>
        <w:rPr>
          <w:rFonts w:ascii="Arial"/>
          <w:sz w:val="21"/>
        </w:rPr>
      </w:pPr>
    </w:p>
    <w:p w14:paraId="499E8FE3">
      <w:pPr>
        <w:spacing w:before="75" w:line="393" w:lineRule="auto"/>
        <w:ind w:left="23" w:right="74" w:firstLine="456"/>
        <w:rPr>
          <w:rFonts w:ascii="宋体" w:hAnsi="宋体" w:eastAsia="宋体" w:cs="宋体"/>
          <w:sz w:val="23"/>
          <w:szCs w:val="23"/>
        </w:rPr>
      </w:pPr>
      <w:r>
        <w:rPr>
          <w:rFonts w:ascii="宋体" w:hAnsi="宋体" w:eastAsia="宋体" w:cs="宋体"/>
          <w:spacing w:val="-2"/>
          <w:sz w:val="23"/>
          <w:szCs w:val="23"/>
        </w:rPr>
        <w:t>贯彻执行我国环境</w:t>
      </w:r>
      <w:r>
        <w:rPr>
          <w:rFonts w:ascii="宋体" w:hAnsi="宋体" w:eastAsia="宋体" w:cs="宋体"/>
          <w:spacing w:val="-1"/>
          <w:sz w:val="23"/>
          <w:szCs w:val="23"/>
        </w:rPr>
        <w:t>保护相关法律法规、标准、政策和规划等，优化项目建设，</w:t>
      </w:r>
      <w:r>
        <w:rPr>
          <w:rFonts w:ascii="宋体" w:hAnsi="宋体" w:eastAsia="宋体" w:cs="宋体"/>
          <w:sz w:val="23"/>
          <w:szCs w:val="23"/>
        </w:rPr>
        <w:t xml:space="preserve"> </w:t>
      </w:r>
      <w:r>
        <w:rPr>
          <w:rFonts w:ascii="宋体" w:hAnsi="宋体" w:eastAsia="宋体" w:cs="宋体"/>
          <w:spacing w:val="-4"/>
          <w:sz w:val="23"/>
          <w:szCs w:val="23"/>
        </w:rPr>
        <w:t>服</w:t>
      </w:r>
      <w:r>
        <w:rPr>
          <w:rFonts w:ascii="宋体" w:hAnsi="宋体" w:eastAsia="宋体" w:cs="宋体"/>
          <w:spacing w:val="-3"/>
          <w:sz w:val="23"/>
          <w:szCs w:val="23"/>
        </w:rPr>
        <w:t>务</w:t>
      </w:r>
      <w:r>
        <w:rPr>
          <w:rFonts w:ascii="宋体" w:hAnsi="宋体" w:eastAsia="宋体" w:cs="宋体"/>
          <w:spacing w:val="-2"/>
          <w:sz w:val="23"/>
          <w:szCs w:val="23"/>
        </w:rPr>
        <w:t>环境管理。</w:t>
      </w:r>
    </w:p>
    <w:p w14:paraId="5673775F">
      <w:pPr>
        <w:spacing w:before="146" w:line="226" w:lineRule="auto"/>
        <w:ind w:left="486"/>
        <w:rPr>
          <w:rFonts w:ascii="宋体" w:hAnsi="宋体" w:eastAsia="宋体" w:cs="宋体"/>
          <w:sz w:val="23"/>
          <w:szCs w:val="23"/>
        </w:rPr>
      </w:pPr>
      <w:r>
        <w:rPr>
          <w:rFonts w:ascii="宋体" w:hAnsi="宋体" w:eastAsia="宋体" w:cs="宋体"/>
          <w:spacing w:val="10"/>
          <w:sz w:val="23"/>
          <w:szCs w:val="23"/>
        </w:rPr>
        <w:t>(</w:t>
      </w:r>
      <w:r>
        <w:rPr>
          <w:rFonts w:ascii="Times New Roman" w:hAnsi="Times New Roman" w:eastAsia="Times New Roman" w:cs="Times New Roman"/>
          <w:spacing w:val="8"/>
          <w:sz w:val="23"/>
          <w:szCs w:val="23"/>
        </w:rPr>
        <w:t>2</w:t>
      </w:r>
      <w:r>
        <w:rPr>
          <w:rFonts w:ascii="宋体" w:hAnsi="宋体" w:eastAsia="宋体" w:cs="宋体"/>
          <w:spacing w:val="8"/>
          <w:sz w:val="23"/>
          <w:szCs w:val="23"/>
        </w:rPr>
        <w:t>) 科学评价原则</w:t>
      </w:r>
    </w:p>
    <w:p w14:paraId="056C1A38">
      <w:pPr>
        <w:spacing w:line="289" w:lineRule="auto"/>
        <w:rPr>
          <w:rFonts w:ascii="Arial"/>
          <w:sz w:val="21"/>
        </w:rPr>
      </w:pPr>
    </w:p>
    <w:p w14:paraId="7251183C">
      <w:pPr>
        <w:spacing w:before="75" w:line="226" w:lineRule="auto"/>
        <w:ind w:left="475"/>
        <w:rPr>
          <w:rFonts w:ascii="宋体" w:hAnsi="宋体" w:eastAsia="宋体" w:cs="宋体"/>
          <w:sz w:val="23"/>
          <w:szCs w:val="23"/>
        </w:rPr>
      </w:pPr>
      <w:r>
        <w:rPr>
          <w:rFonts w:ascii="宋体" w:hAnsi="宋体" w:eastAsia="宋体" w:cs="宋体"/>
          <w:spacing w:val="-6"/>
          <w:sz w:val="23"/>
          <w:szCs w:val="23"/>
        </w:rPr>
        <w:t>规</w:t>
      </w:r>
      <w:r>
        <w:rPr>
          <w:rFonts w:ascii="宋体" w:hAnsi="宋体" w:eastAsia="宋体" w:cs="宋体"/>
          <w:spacing w:val="-3"/>
          <w:sz w:val="23"/>
          <w:szCs w:val="23"/>
        </w:rPr>
        <w:t>范环境影响评价方法，科学分析项目建设对环境质量的影响。</w:t>
      </w:r>
    </w:p>
    <w:p w14:paraId="644C4BC5">
      <w:pPr>
        <w:spacing w:line="287" w:lineRule="auto"/>
        <w:rPr>
          <w:rFonts w:ascii="Arial"/>
          <w:sz w:val="21"/>
        </w:rPr>
      </w:pPr>
    </w:p>
    <w:p w14:paraId="427670E6">
      <w:pPr>
        <w:spacing w:before="76" w:line="228" w:lineRule="auto"/>
        <w:ind w:left="486"/>
        <w:rPr>
          <w:rFonts w:ascii="宋体" w:hAnsi="宋体" w:eastAsia="宋体" w:cs="宋体"/>
          <w:sz w:val="23"/>
          <w:szCs w:val="23"/>
        </w:rPr>
      </w:pPr>
      <w:r>
        <w:rPr>
          <w:rFonts w:ascii="宋体" w:hAnsi="宋体" w:eastAsia="宋体" w:cs="宋体"/>
          <w:spacing w:val="10"/>
          <w:sz w:val="23"/>
          <w:szCs w:val="23"/>
        </w:rPr>
        <w:t>(</w:t>
      </w:r>
      <w:r>
        <w:rPr>
          <w:rFonts w:ascii="Times New Roman" w:hAnsi="Times New Roman" w:eastAsia="Times New Roman" w:cs="Times New Roman"/>
          <w:spacing w:val="8"/>
          <w:sz w:val="23"/>
          <w:szCs w:val="23"/>
        </w:rPr>
        <w:t>3</w:t>
      </w:r>
      <w:r>
        <w:rPr>
          <w:rFonts w:ascii="宋体" w:hAnsi="宋体" w:eastAsia="宋体" w:cs="宋体"/>
          <w:spacing w:val="8"/>
          <w:sz w:val="23"/>
          <w:szCs w:val="23"/>
        </w:rPr>
        <w:t>) 突出重点原则</w:t>
      </w:r>
    </w:p>
    <w:p w14:paraId="36CC913B">
      <w:pPr>
        <w:spacing w:line="287" w:lineRule="auto"/>
        <w:rPr>
          <w:rFonts w:ascii="Arial"/>
          <w:sz w:val="21"/>
        </w:rPr>
      </w:pPr>
    </w:p>
    <w:p w14:paraId="11376974">
      <w:pPr>
        <w:spacing w:before="75" w:line="393" w:lineRule="auto"/>
        <w:ind w:left="24" w:right="16" w:firstLine="450"/>
        <w:rPr>
          <w:rFonts w:ascii="宋体" w:hAnsi="宋体" w:eastAsia="宋体" w:cs="宋体"/>
          <w:sz w:val="23"/>
          <w:szCs w:val="23"/>
        </w:rPr>
      </w:pPr>
      <w:r>
        <w:rPr>
          <w:rFonts w:ascii="宋体" w:hAnsi="宋体" w:eastAsia="宋体" w:cs="宋体"/>
          <w:spacing w:val="1"/>
          <w:sz w:val="23"/>
          <w:szCs w:val="23"/>
        </w:rPr>
        <w:t>根据建设项目的工程内容及其特点，明确与环境要素</w:t>
      </w:r>
      <w:r>
        <w:rPr>
          <w:rFonts w:ascii="宋体" w:hAnsi="宋体" w:eastAsia="宋体" w:cs="宋体"/>
          <w:sz w:val="23"/>
          <w:szCs w:val="23"/>
        </w:rPr>
        <w:t xml:space="preserve">间的作用效应关系，充分 </w:t>
      </w:r>
      <w:r>
        <w:rPr>
          <w:rFonts w:ascii="宋体" w:hAnsi="宋体" w:eastAsia="宋体" w:cs="宋体"/>
          <w:spacing w:val="-6"/>
          <w:sz w:val="23"/>
          <w:szCs w:val="23"/>
        </w:rPr>
        <w:t>利</w:t>
      </w:r>
      <w:r>
        <w:rPr>
          <w:rFonts w:ascii="宋体" w:hAnsi="宋体" w:eastAsia="宋体" w:cs="宋体"/>
          <w:spacing w:val="-4"/>
          <w:sz w:val="23"/>
          <w:szCs w:val="23"/>
        </w:rPr>
        <w:t>用</w:t>
      </w:r>
      <w:r>
        <w:rPr>
          <w:rFonts w:ascii="宋体" w:hAnsi="宋体" w:eastAsia="宋体" w:cs="宋体"/>
          <w:spacing w:val="-3"/>
          <w:sz w:val="23"/>
          <w:szCs w:val="23"/>
        </w:rPr>
        <w:t>符合时效的数据资料及成果，对建设项目主要环境影响予以重点分析和评价。</w:t>
      </w:r>
    </w:p>
    <w:p w14:paraId="2E852FB7">
      <w:pPr>
        <w:spacing w:before="98" w:line="224" w:lineRule="auto"/>
        <w:ind w:left="21"/>
        <w:outlineLvl w:val="2"/>
        <w:rPr>
          <w:rFonts w:ascii="宋体" w:hAnsi="宋体" w:eastAsia="宋体" w:cs="宋体"/>
          <w:sz w:val="29"/>
          <w:szCs w:val="29"/>
        </w:rPr>
      </w:pPr>
      <w:r>
        <w:rPr>
          <w:rFonts w:ascii="Times New Roman" w:hAnsi="Times New Roman" w:eastAsia="Times New Roman" w:cs="Times New Roman"/>
          <w:b/>
          <w:bCs/>
          <w:spacing w:val="10"/>
          <w:sz w:val="29"/>
          <w:szCs w:val="29"/>
        </w:rPr>
        <w:t>2</w:t>
      </w:r>
      <w:r>
        <w:rPr>
          <w:rFonts w:ascii="Times New Roman" w:hAnsi="Times New Roman" w:eastAsia="Times New Roman" w:cs="Times New Roman"/>
          <w:b/>
          <w:bCs/>
          <w:spacing w:val="6"/>
          <w:sz w:val="29"/>
          <w:szCs w:val="29"/>
        </w:rPr>
        <w:t>.</w:t>
      </w:r>
      <w:r>
        <w:rPr>
          <w:rFonts w:ascii="Times New Roman" w:hAnsi="Times New Roman" w:eastAsia="Times New Roman" w:cs="Times New Roman"/>
          <w:b/>
          <w:bCs/>
          <w:spacing w:val="5"/>
          <w:sz w:val="29"/>
          <w:szCs w:val="29"/>
        </w:rPr>
        <w:t>1.3</w:t>
      </w:r>
      <w:r>
        <w:rPr>
          <w:rFonts w:ascii="Times New Roman" w:hAnsi="Times New Roman" w:eastAsia="Times New Roman" w:cs="Times New Roman"/>
          <w:spacing w:val="5"/>
          <w:sz w:val="29"/>
          <w:szCs w:val="29"/>
        </w:rPr>
        <w:t xml:space="preserve"> </w:t>
      </w:r>
      <w:r>
        <w:rPr>
          <w:rFonts w:ascii="宋体" w:hAnsi="宋体" w:eastAsia="宋体" w:cs="宋体"/>
          <w:spacing w:val="5"/>
          <w:sz w:val="29"/>
          <w:szCs w:val="29"/>
          <w14:textOutline w14:w="5448" w14:cap="sq" w14:cmpd="sng">
            <w14:solidFill>
              <w14:srgbClr w14:val="000000"/>
            </w14:solidFill>
            <w14:prstDash w14:val="solid"/>
            <w14:bevel/>
          </w14:textOutline>
        </w:rPr>
        <w:t>评价时段</w:t>
      </w:r>
    </w:p>
    <w:p w14:paraId="71C28A09">
      <w:pPr>
        <w:spacing w:line="268" w:lineRule="auto"/>
        <w:rPr>
          <w:rFonts w:ascii="Arial"/>
          <w:sz w:val="21"/>
        </w:rPr>
      </w:pPr>
    </w:p>
    <w:p w14:paraId="65B24104">
      <w:pPr>
        <w:spacing w:before="75" w:line="227" w:lineRule="auto"/>
        <w:ind w:left="474"/>
        <w:rPr>
          <w:rFonts w:ascii="宋体" w:hAnsi="宋体" w:eastAsia="宋体" w:cs="宋体"/>
          <w:sz w:val="23"/>
          <w:szCs w:val="23"/>
        </w:rPr>
      </w:pPr>
      <w:r>
        <w:rPr>
          <w:rFonts w:ascii="宋体" w:hAnsi="宋体" w:eastAsia="宋体" w:cs="宋体"/>
          <w:spacing w:val="-3"/>
          <w:sz w:val="23"/>
          <w:szCs w:val="23"/>
        </w:rPr>
        <w:t>根据对环境影响要素分析，评价时段为施工期、运营期。</w:t>
      </w:r>
    </w:p>
    <w:p w14:paraId="640CFC42">
      <w:pPr>
        <w:sectPr>
          <w:headerReference r:id="rId42" w:type="default"/>
          <w:footerReference r:id="rId43" w:type="default"/>
          <w:pgSz w:w="11906" w:h="16839"/>
          <w:pgMar w:top="1132" w:right="1785" w:bottom="1156" w:left="1785" w:header="878" w:footer="996" w:gutter="0"/>
          <w:cols w:space="720" w:num="1"/>
        </w:sectPr>
      </w:pPr>
    </w:p>
    <w:p w14:paraId="771F68F2">
      <w:pPr>
        <w:spacing w:line="315" w:lineRule="auto"/>
        <w:rPr>
          <w:rFonts w:ascii="Arial"/>
          <w:sz w:val="21"/>
        </w:rPr>
      </w:pPr>
      <w:r>
        <w:pict>
          <v:shape id="_x0000_s1081" o:spid="_x0000_s1081" style="position:absolute;left:0pt;margin-left:90pt;margin-top:57.35pt;height:0.75pt;width:415.3pt;mso-position-horizontal-relative:page;mso-position-vertical-relative:page;z-index:251718656;mso-width-relative:page;mso-height-relative:page;" fillcolor="#000000" filled="t" stroked="f" coordsize="8305,15" o:allowincell="f" path="m0,0l8305,0,8305,14,0,14,0,0xe">
            <v:path/>
            <v:fill on="t" focussize="0,0"/>
            <v:stroke on="f"/>
            <v:imagedata o:title=""/>
            <o:lock v:ext="edit"/>
          </v:shape>
        </w:pict>
      </w:r>
    </w:p>
    <w:p w14:paraId="5FCB519B">
      <w:pPr>
        <w:spacing w:before="101" w:line="224" w:lineRule="auto"/>
        <w:ind w:left="21"/>
        <w:outlineLvl w:val="1"/>
        <w:rPr>
          <w:rFonts w:ascii="宋体" w:hAnsi="宋体" w:eastAsia="宋体" w:cs="宋体"/>
          <w:sz w:val="31"/>
          <w:szCs w:val="31"/>
        </w:rPr>
      </w:pPr>
      <w:bookmarkStart w:id="8" w:name="_bookmark9"/>
      <w:bookmarkEnd w:id="8"/>
      <w:r>
        <w:rPr>
          <w:rFonts w:ascii="Times New Roman" w:hAnsi="Times New Roman" w:eastAsia="Times New Roman" w:cs="Times New Roman"/>
          <w:b/>
          <w:bCs/>
          <w:spacing w:val="-2"/>
          <w:sz w:val="31"/>
          <w:szCs w:val="31"/>
        </w:rPr>
        <w:t>2.2</w:t>
      </w:r>
      <w:r>
        <w:rPr>
          <w:rFonts w:ascii="Times New Roman" w:hAnsi="Times New Roman" w:eastAsia="Times New Roman" w:cs="Times New Roman"/>
          <w:spacing w:val="-1"/>
          <w:sz w:val="31"/>
          <w:szCs w:val="31"/>
        </w:rPr>
        <w:t xml:space="preserve">  </w:t>
      </w:r>
      <w:r>
        <w:rPr>
          <w:rFonts w:ascii="宋体" w:hAnsi="宋体" w:eastAsia="宋体" w:cs="宋体"/>
          <w:spacing w:val="-1"/>
          <w:sz w:val="31"/>
          <w:szCs w:val="31"/>
          <w14:textOutline w14:w="5793" w14:cap="sq" w14:cmpd="sng">
            <w14:solidFill>
              <w14:srgbClr w14:val="000000"/>
            </w14:solidFill>
            <w14:prstDash w14:val="solid"/>
            <w14:bevel/>
          </w14:textOutline>
        </w:rPr>
        <w:t>编制依据</w:t>
      </w:r>
    </w:p>
    <w:p w14:paraId="00FD81FA">
      <w:pPr>
        <w:spacing w:before="288" w:line="224" w:lineRule="auto"/>
        <w:ind w:left="21"/>
        <w:outlineLvl w:val="2"/>
        <w:rPr>
          <w:rFonts w:ascii="宋体" w:hAnsi="宋体" w:eastAsia="宋体" w:cs="宋体"/>
          <w:sz w:val="29"/>
          <w:szCs w:val="29"/>
        </w:rPr>
      </w:pPr>
      <w:r>
        <w:rPr>
          <w:rFonts w:ascii="Times New Roman" w:hAnsi="Times New Roman" w:eastAsia="Times New Roman" w:cs="Times New Roman"/>
          <w:b/>
          <w:bCs/>
          <w:spacing w:val="-2"/>
          <w:sz w:val="29"/>
          <w:szCs w:val="29"/>
        </w:rPr>
        <w:t>2.2.1</w:t>
      </w:r>
      <w:r>
        <w:rPr>
          <w:rFonts w:ascii="Times New Roman" w:hAnsi="Times New Roman" w:eastAsia="Times New Roman" w:cs="Times New Roman"/>
          <w:spacing w:val="-2"/>
          <w:sz w:val="29"/>
          <w:szCs w:val="29"/>
        </w:rPr>
        <w:t xml:space="preserve">  </w:t>
      </w:r>
      <w:r>
        <w:rPr>
          <w:rFonts w:ascii="宋体" w:hAnsi="宋体" w:eastAsia="宋体" w:cs="宋体"/>
          <w:spacing w:val="-2"/>
          <w:sz w:val="29"/>
          <w:szCs w:val="29"/>
          <w14:textOutline w14:w="5448" w14:cap="sq" w14:cmpd="sng">
            <w14:solidFill>
              <w14:srgbClr w14:val="000000"/>
            </w14:solidFill>
            <w14:prstDash w14:val="solid"/>
            <w14:bevel/>
          </w14:textOutline>
        </w:rPr>
        <w:t>建设项目环境影响评价</w:t>
      </w:r>
      <w:r>
        <w:rPr>
          <w:rFonts w:ascii="宋体" w:hAnsi="宋体" w:eastAsia="宋体" w:cs="宋体"/>
          <w:spacing w:val="-1"/>
          <w:sz w:val="29"/>
          <w:szCs w:val="29"/>
          <w14:textOutline w14:w="5448" w14:cap="sq" w14:cmpd="sng">
            <w14:solidFill>
              <w14:srgbClr w14:val="000000"/>
            </w14:solidFill>
            <w14:prstDash w14:val="solid"/>
            <w14:bevel/>
          </w14:textOutline>
        </w:rPr>
        <w:t>的法律、法规</w:t>
      </w:r>
    </w:p>
    <w:p w14:paraId="3E2C55A9">
      <w:pPr>
        <w:spacing w:line="268" w:lineRule="auto"/>
        <w:rPr>
          <w:rFonts w:ascii="Arial"/>
          <w:sz w:val="21"/>
        </w:rPr>
      </w:pPr>
    </w:p>
    <w:p w14:paraId="4A13AAA6">
      <w:pPr>
        <w:spacing w:before="75" w:line="227" w:lineRule="auto"/>
        <w:ind w:left="486"/>
        <w:rPr>
          <w:rFonts w:ascii="宋体" w:hAnsi="宋体" w:eastAsia="宋体" w:cs="宋体"/>
          <w:sz w:val="23"/>
          <w:szCs w:val="23"/>
        </w:rPr>
      </w:pPr>
      <w:r>
        <w:rPr>
          <w:rFonts w:ascii="宋体" w:hAnsi="宋体" w:eastAsia="宋体" w:cs="宋体"/>
          <w:spacing w:val="-8"/>
          <w:sz w:val="23"/>
          <w:szCs w:val="23"/>
        </w:rPr>
        <w:t>(</w:t>
      </w:r>
      <w:r>
        <w:rPr>
          <w:rFonts w:ascii="Times New Roman" w:hAnsi="Times New Roman" w:eastAsia="Times New Roman" w:cs="Times New Roman"/>
          <w:spacing w:val="-8"/>
          <w:sz w:val="23"/>
          <w:szCs w:val="23"/>
        </w:rPr>
        <w:t>1</w:t>
      </w:r>
      <w:r>
        <w:rPr>
          <w:rFonts w:ascii="宋体" w:hAnsi="宋体" w:eastAsia="宋体" w:cs="宋体"/>
          <w:spacing w:val="-8"/>
          <w:sz w:val="23"/>
          <w:szCs w:val="23"/>
        </w:rPr>
        <w:t>)  《</w:t>
      </w:r>
      <w:r>
        <w:rPr>
          <w:rFonts w:ascii="宋体" w:hAnsi="宋体" w:eastAsia="宋体" w:cs="宋体"/>
          <w:spacing w:val="-4"/>
          <w:sz w:val="23"/>
          <w:szCs w:val="23"/>
        </w:rPr>
        <w:t>中华人民共和国环境保护法》，</w:t>
      </w:r>
      <w:r>
        <w:rPr>
          <w:rFonts w:ascii="Times New Roman" w:hAnsi="Times New Roman" w:eastAsia="Times New Roman" w:cs="Times New Roman"/>
          <w:spacing w:val="-4"/>
          <w:sz w:val="23"/>
          <w:szCs w:val="23"/>
        </w:rPr>
        <w:t xml:space="preserve">2015 </w:t>
      </w:r>
      <w:r>
        <w:rPr>
          <w:rFonts w:ascii="宋体" w:hAnsi="宋体" w:eastAsia="宋体" w:cs="宋体"/>
          <w:spacing w:val="-4"/>
          <w:sz w:val="23"/>
          <w:szCs w:val="23"/>
        </w:rPr>
        <w:t xml:space="preserve">年 </w:t>
      </w:r>
      <w:r>
        <w:rPr>
          <w:rFonts w:ascii="Times New Roman" w:hAnsi="Times New Roman" w:eastAsia="Times New Roman" w:cs="Times New Roman"/>
          <w:spacing w:val="-4"/>
          <w:sz w:val="23"/>
          <w:szCs w:val="23"/>
        </w:rPr>
        <w:t xml:space="preserve">1 </w:t>
      </w:r>
      <w:r>
        <w:rPr>
          <w:rFonts w:ascii="宋体" w:hAnsi="宋体" w:eastAsia="宋体" w:cs="宋体"/>
          <w:spacing w:val="-4"/>
          <w:sz w:val="23"/>
          <w:szCs w:val="23"/>
        </w:rPr>
        <w:t xml:space="preserve">月 </w:t>
      </w:r>
      <w:r>
        <w:rPr>
          <w:rFonts w:ascii="Times New Roman" w:hAnsi="Times New Roman" w:eastAsia="Times New Roman" w:cs="Times New Roman"/>
          <w:spacing w:val="-4"/>
          <w:sz w:val="23"/>
          <w:szCs w:val="23"/>
        </w:rPr>
        <w:t xml:space="preserve">1 </w:t>
      </w:r>
      <w:r>
        <w:rPr>
          <w:rFonts w:ascii="宋体" w:hAnsi="宋体" w:eastAsia="宋体" w:cs="宋体"/>
          <w:spacing w:val="-4"/>
          <w:sz w:val="23"/>
          <w:szCs w:val="23"/>
        </w:rPr>
        <w:t>日起施行；</w:t>
      </w:r>
    </w:p>
    <w:p w14:paraId="612211CD">
      <w:pPr>
        <w:spacing w:line="288" w:lineRule="auto"/>
        <w:rPr>
          <w:rFonts w:ascii="Arial"/>
          <w:sz w:val="21"/>
        </w:rPr>
      </w:pPr>
    </w:p>
    <w:p w14:paraId="7DC49E7D">
      <w:pPr>
        <w:spacing w:before="74" w:line="226" w:lineRule="auto"/>
        <w:ind w:left="486"/>
        <w:rPr>
          <w:rFonts w:ascii="宋体" w:hAnsi="宋体" w:eastAsia="宋体" w:cs="宋体"/>
          <w:sz w:val="23"/>
          <w:szCs w:val="23"/>
        </w:rPr>
      </w:pPr>
      <w:r>
        <w:rPr>
          <w:rFonts w:ascii="宋体" w:hAnsi="宋体" w:eastAsia="宋体" w:cs="宋体"/>
          <w:spacing w:val="-2"/>
          <w:sz w:val="23"/>
          <w:szCs w:val="23"/>
        </w:rPr>
        <w:t>(</w:t>
      </w:r>
      <w:r>
        <w:rPr>
          <w:rFonts w:ascii="Times New Roman" w:hAnsi="Times New Roman" w:eastAsia="Times New Roman" w:cs="Times New Roman"/>
          <w:spacing w:val="-2"/>
          <w:sz w:val="23"/>
          <w:szCs w:val="23"/>
        </w:rPr>
        <w:t>2</w:t>
      </w:r>
      <w:r>
        <w:rPr>
          <w:rFonts w:ascii="宋体" w:hAnsi="宋体" w:eastAsia="宋体" w:cs="宋体"/>
          <w:spacing w:val="-2"/>
          <w:sz w:val="23"/>
          <w:szCs w:val="23"/>
        </w:rPr>
        <w:t>)  《中华人民共和国环境影响评价法》，</w:t>
      </w:r>
      <w:r>
        <w:rPr>
          <w:rFonts w:ascii="Times New Roman" w:hAnsi="Times New Roman" w:eastAsia="Times New Roman" w:cs="Times New Roman"/>
          <w:spacing w:val="-2"/>
          <w:sz w:val="23"/>
          <w:szCs w:val="23"/>
        </w:rPr>
        <w:t xml:space="preserve">2018 </w:t>
      </w:r>
      <w:r>
        <w:rPr>
          <w:rFonts w:ascii="宋体" w:hAnsi="宋体" w:eastAsia="宋体" w:cs="宋体"/>
          <w:spacing w:val="-2"/>
          <w:sz w:val="23"/>
          <w:szCs w:val="23"/>
        </w:rPr>
        <w:t xml:space="preserve">年 </w:t>
      </w:r>
      <w:r>
        <w:rPr>
          <w:rFonts w:ascii="Times New Roman" w:hAnsi="Times New Roman" w:eastAsia="Times New Roman" w:cs="Times New Roman"/>
          <w:spacing w:val="-2"/>
          <w:sz w:val="23"/>
          <w:szCs w:val="23"/>
        </w:rPr>
        <w:t>1</w:t>
      </w:r>
      <w:r>
        <w:rPr>
          <w:rFonts w:ascii="Times New Roman" w:hAnsi="Times New Roman" w:eastAsia="Times New Roman" w:cs="Times New Roman"/>
          <w:spacing w:val="-1"/>
          <w:sz w:val="23"/>
          <w:szCs w:val="23"/>
        </w:rPr>
        <w:t xml:space="preserve">2 </w:t>
      </w:r>
      <w:r>
        <w:rPr>
          <w:rFonts w:ascii="宋体" w:hAnsi="宋体" w:eastAsia="宋体" w:cs="宋体"/>
          <w:spacing w:val="-1"/>
          <w:sz w:val="23"/>
          <w:szCs w:val="23"/>
        </w:rPr>
        <w:t>月</w:t>
      </w:r>
      <w:r>
        <w:rPr>
          <w:rFonts w:ascii="Times New Roman" w:hAnsi="Times New Roman" w:eastAsia="Times New Roman" w:cs="Times New Roman"/>
          <w:spacing w:val="-1"/>
          <w:sz w:val="23"/>
          <w:szCs w:val="23"/>
        </w:rPr>
        <w:t xml:space="preserve">29 </w:t>
      </w:r>
      <w:r>
        <w:rPr>
          <w:rFonts w:ascii="宋体" w:hAnsi="宋体" w:eastAsia="宋体" w:cs="宋体"/>
          <w:spacing w:val="-1"/>
          <w:sz w:val="23"/>
          <w:szCs w:val="23"/>
        </w:rPr>
        <w:t>日起施行；</w:t>
      </w:r>
    </w:p>
    <w:p w14:paraId="4D0A54A1">
      <w:pPr>
        <w:spacing w:line="288" w:lineRule="auto"/>
        <w:rPr>
          <w:rFonts w:ascii="Arial"/>
          <w:sz w:val="21"/>
        </w:rPr>
      </w:pPr>
    </w:p>
    <w:p w14:paraId="62B82F77">
      <w:pPr>
        <w:spacing w:before="75" w:line="227" w:lineRule="auto"/>
        <w:ind w:left="486"/>
        <w:rPr>
          <w:rFonts w:ascii="宋体" w:hAnsi="宋体" w:eastAsia="宋体" w:cs="宋体"/>
          <w:sz w:val="23"/>
          <w:szCs w:val="23"/>
        </w:rPr>
      </w:pPr>
      <w:r>
        <w:rPr>
          <w:rFonts w:ascii="宋体" w:hAnsi="宋体" w:eastAsia="宋体" w:cs="宋体"/>
          <w:spacing w:val="-8"/>
          <w:sz w:val="23"/>
          <w:szCs w:val="23"/>
        </w:rPr>
        <w:t>(</w:t>
      </w:r>
      <w:r>
        <w:rPr>
          <w:rFonts w:ascii="Times New Roman" w:hAnsi="Times New Roman" w:eastAsia="Times New Roman" w:cs="Times New Roman"/>
          <w:spacing w:val="-8"/>
          <w:sz w:val="23"/>
          <w:szCs w:val="23"/>
        </w:rPr>
        <w:t>3</w:t>
      </w:r>
      <w:r>
        <w:rPr>
          <w:rFonts w:ascii="宋体" w:hAnsi="宋体" w:eastAsia="宋体" w:cs="宋体"/>
          <w:spacing w:val="-8"/>
          <w:sz w:val="23"/>
          <w:szCs w:val="23"/>
        </w:rPr>
        <w:t>)  《</w:t>
      </w:r>
      <w:r>
        <w:rPr>
          <w:rFonts w:ascii="宋体" w:hAnsi="宋体" w:eastAsia="宋体" w:cs="宋体"/>
          <w:spacing w:val="-4"/>
          <w:sz w:val="23"/>
          <w:szCs w:val="23"/>
        </w:rPr>
        <w:t>中华人民共和国水污染防治法》，</w:t>
      </w:r>
      <w:r>
        <w:rPr>
          <w:rFonts w:ascii="Times New Roman" w:hAnsi="Times New Roman" w:eastAsia="Times New Roman" w:cs="Times New Roman"/>
          <w:spacing w:val="-4"/>
          <w:sz w:val="23"/>
          <w:szCs w:val="23"/>
        </w:rPr>
        <w:t xml:space="preserve">2018 </w:t>
      </w:r>
      <w:r>
        <w:rPr>
          <w:rFonts w:ascii="宋体" w:hAnsi="宋体" w:eastAsia="宋体" w:cs="宋体"/>
          <w:spacing w:val="-4"/>
          <w:sz w:val="23"/>
          <w:szCs w:val="23"/>
        </w:rPr>
        <w:t xml:space="preserve">年 </w:t>
      </w:r>
      <w:r>
        <w:rPr>
          <w:rFonts w:ascii="Times New Roman" w:hAnsi="Times New Roman" w:eastAsia="Times New Roman" w:cs="Times New Roman"/>
          <w:spacing w:val="-4"/>
          <w:sz w:val="23"/>
          <w:szCs w:val="23"/>
        </w:rPr>
        <w:t xml:space="preserve">1 </w:t>
      </w:r>
      <w:r>
        <w:rPr>
          <w:rFonts w:ascii="宋体" w:hAnsi="宋体" w:eastAsia="宋体" w:cs="宋体"/>
          <w:spacing w:val="-4"/>
          <w:sz w:val="23"/>
          <w:szCs w:val="23"/>
        </w:rPr>
        <w:t xml:space="preserve">月 </w:t>
      </w:r>
      <w:r>
        <w:rPr>
          <w:rFonts w:ascii="Times New Roman" w:hAnsi="Times New Roman" w:eastAsia="Times New Roman" w:cs="Times New Roman"/>
          <w:spacing w:val="-4"/>
          <w:sz w:val="23"/>
          <w:szCs w:val="23"/>
        </w:rPr>
        <w:t xml:space="preserve">1 </w:t>
      </w:r>
      <w:r>
        <w:rPr>
          <w:rFonts w:ascii="宋体" w:hAnsi="宋体" w:eastAsia="宋体" w:cs="宋体"/>
          <w:spacing w:val="-4"/>
          <w:sz w:val="23"/>
          <w:szCs w:val="23"/>
        </w:rPr>
        <w:t>日起施行；</w:t>
      </w:r>
    </w:p>
    <w:p w14:paraId="78D44C06">
      <w:pPr>
        <w:spacing w:line="288" w:lineRule="auto"/>
        <w:rPr>
          <w:rFonts w:ascii="Arial"/>
          <w:sz w:val="21"/>
        </w:rPr>
      </w:pPr>
    </w:p>
    <w:p w14:paraId="42C89495">
      <w:pPr>
        <w:spacing w:before="75" w:line="227" w:lineRule="auto"/>
        <w:ind w:left="486"/>
        <w:rPr>
          <w:rFonts w:ascii="宋体" w:hAnsi="宋体" w:eastAsia="宋体" w:cs="宋体"/>
          <w:sz w:val="23"/>
          <w:szCs w:val="23"/>
        </w:rPr>
      </w:pPr>
      <w:r>
        <w:rPr>
          <w:rFonts w:ascii="宋体" w:hAnsi="宋体" w:eastAsia="宋体" w:cs="宋体"/>
          <w:spacing w:val="-8"/>
          <w:sz w:val="23"/>
          <w:szCs w:val="23"/>
        </w:rPr>
        <w:t>(</w:t>
      </w:r>
      <w:r>
        <w:rPr>
          <w:rFonts w:ascii="Times New Roman" w:hAnsi="Times New Roman" w:eastAsia="Times New Roman" w:cs="Times New Roman"/>
          <w:spacing w:val="-8"/>
          <w:sz w:val="23"/>
          <w:szCs w:val="23"/>
        </w:rPr>
        <w:t>4</w:t>
      </w:r>
      <w:r>
        <w:rPr>
          <w:rFonts w:ascii="宋体" w:hAnsi="宋体" w:eastAsia="宋体" w:cs="宋体"/>
          <w:spacing w:val="-8"/>
          <w:sz w:val="23"/>
          <w:szCs w:val="23"/>
        </w:rPr>
        <w:t>)  《</w:t>
      </w:r>
      <w:r>
        <w:rPr>
          <w:rFonts w:ascii="宋体" w:hAnsi="宋体" w:eastAsia="宋体" w:cs="宋体"/>
          <w:spacing w:val="-6"/>
          <w:sz w:val="23"/>
          <w:szCs w:val="23"/>
        </w:rPr>
        <w:t>中</w:t>
      </w:r>
      <w:r>
        <w:rPr>
          <w:rFonts w:ascii="宋体" w:hAnsi="宋体" w:eastAsia="宋体" w:cs="宋体"/>
          <w:spacing w:val="-4"/>
          <w:sz w:val="23"/>
          <w:szCs w:val="23"/>
        </w:rPr>
        <w:t>华人民共和国固体废物污染环境防治法》，</w:t>
      </w:r>
      <w:r>
        <w:rPr>
          <w:rFonts w:ascii="Times New Roman" w:hAnsi="Times New Roman" w:eastAsia="Times New Roman" w:cs="Times New Roman"/>
          <w:spacing w:val="-4"/>
          <w:sz w:val="23"/>
          <w:szCs w:val="23"/>
        </w:rPr>
        <w:t xml:space="preserve">2016 </w:t>
      </w:r>
      <w:r>
        <w:rPr>
          <w:rFonts w:ascii="宋体" w:hAnsi="宋体" w:eastAsia="宋体" w:cs="宋体"/>
          <w:spacing w:val="-4"/>
          <w:sz w:val="23"/>
          <w:szCs w:val="23"/>
        </w:rPr>
        <w:t xml:space="preserve">年 </w:t>
      </w:r>
      <w:r>
        <w:rPr>
          <w:rFonts w:ascii="Times New Roman" w:hAnsi="Times New Roman" w:eastAsia="Times New Roman" w:cs="Times New Roman"/>
          <w:spacing w:val="-4"/>
          <w:sz w:val="23"/>
          <w:szCs w:val="23"/>
        </w:rPr>
        <w:t xml:space="preserve">11 </w:t>
      </w:r>
      <w:r>
        <w:rPr>
          <w:rFonts w:ascii="宋体" w:hAnsi="宋体" w:eastAsia="宋体" w:cs="宋体"/>
          <w:spacing w:val="-4"/>
          <w:sz w:val="23"/>
          <w:szCs w:val="23"/>
        </w:rPr>
        <w:t xml:space="preserve">月 </w:t>
      </w:r>
      <w:r>
        <w:rPr>
          <w:rFonts w:ascii="Times New Roman" w:hAnsi="Times New Roman" w:eastAsia="Times New Roman" w:cs="Times New Roman"/>
          <w:spacing w:val="-4"/>
          <w:sz w:val="23"/>
          <w:szCs w:val="23"/>
        </w:rPr>
        <w:t xml:space="preserve">7 </w:t>
      </w:r>
      <w:r>
        <w:rPr>
          <w:rFonts w:ascii="宋体" w:hAnsi="宋体" w:eastAsia="宋体" w:cs="宋体"/>
          <w:spacing w:val="-4"/>
          <w:sz w:val="23"/>
          <w:szCs w:val="23"/>
        </w:rPr>
        <w:t>日修订；</w:t>
      </w:r>
    </w:p>
    <w:p w14:paraId="54E53643">
      <w:pPr>
        <w:spacing w:line="286" w:lineRule="auto"/>
        <w:rPr>
          <w:rFonts w:ascii="Arial"/>
          <w:sz w:val="21"/>
        </w:rPr>
      </w:pPr>
    </w:p>
    <w:p w14:paraId="326994B8">
      <w:pPr>
        <w:spacing w:before="75" w:line="227" w:lineRule="auto"/>
        <w:ind w:left="486"/>
        <w:rPr>
          <w:rFonts w:ascii="宋体" w:hAnsi="宋体" w:eastAsia="宋体" w:cs="宋体"/>
          <w:sz w:val="23"/>
          <w:szCs w:val="23"/>
        </w:rPr>
      </w:pPr>
      <w:r>
        <w:rPr>
          <w:rFonts w:ascii="宋体" w:hAnsi="宋体" w:eastAsia="宋体" w:cs="宋体"/>
          <w:spacing w:val="-2"/>
          <w:sz w:val="23"/>
          <w:szCs w:val="23"/>
        </w:rPr>
        <w:t>(</w:t>
      </w:r>
      <w:r>
        <w:rPr>
          <w:rFonts w:ascii="Times New Roman" w:hAnsi="Times New Roman" w:eastAsia="Times New Roman" w:cs="Times New Roman"/>
          <w:spacing w:val="-2"/>
          <w:sz w:val="23"/>
          <w:szCs w:val="23"/>
        </w:rPr>
        <w:t>5</w:t>
      </w:r>
      <w:r>
        <w:rPr>
          <w:rFonts w:ascii="宋体" w:hAnsi="宋体" w:eastAsia="宋体" w:cs="宋体"/>
          <w:spacing w:val="-2"/>
          <w:sz w:val="23"/>
          <w:szCs w:val="23"/>
        </w:rPr>
        <w:t>)  《中华人民共和国大气污染防治法》，</w:t>
      </w:r>
      <w:r>
        <w:rPr>
          <w:rFonts w:ascii="Times New Roman" w:hAnsi="Times New Roman" w:eastAsia="Times New Roman" w:cs="Times New Roman"/>
          <w:spacing w:val="-2"/>
          <w:sz w:val="23"/>
          <w:szCs w:val="23"/>
        </w:rPr>
        <w:t xml:space="preserve">2018 </w:t>
      </w:r>
      <w:r>
        <w:rPr>
          <w:rFonts w:ascii="宋体" w:hAnsi="宋体" w:eastAsia="宋体" w:cs="宋体"/>
          <w:spacing w:val="-2"/>
          <w:sz w:val="23"/>
          <w:szCs w:val="23"/>
        </w:rPr>
        <w:t xml:space="preserve">年 </w:t>
      </w:r>
      <w:r>
        <w:rPr>
          <w:rFonts w:ascii="Times New Roman" w:hAnsi="Times New Roman" w:eastAsia="Times New Roman" w:cs="Times New Roman"/>
          <w:spacing w:val="-2"/>
          <w:sz w:val="23"/>
          <w:szCs w:val="23"/>
        </w:rPr>
        <w:t>1</w:t>
      </w:r>
      <w:r>
        <w:rPr>
          <w:rFonts w:ascii="Times New Roman" w:hAnsi="Times New Roman" w:eastAsia="Times New Roman" w:cs="Times New Roman"/>
          <w:spacing w:val="-1"/>
          <w:sz w:val="23"/>
          <w:szCs w:val="23"/>
        </w:rPr>
        <w:t xml:space="preserve">0 </w:t>
      </w:r>
      <w:r>
        <w:rPr>
          <w:rFonts w:ascii="宋体" w:hAnsi="宋体" w:eastAsia="宋体" w:cs="宋体"/>
          <w:spacing w:val="-1"/>
          <w:sz w:val="23"/>
          <w:szCs w:val="23"/>
        </w:rPr>
        <w:t>月</w:t>
      </w:r>
      <w:r>
        <w:rPr>
          <w:rFonts w:ascii="Times New Roman" w:hAnsi="Times New Roman" w:eastAsia="Times New Roman" w:cs="Times New Roman"/>
          <w:spacing w:val="-1"/>
          <w:sz w:val="23"/>
          <w:szCs w:val="23"/>
        </w:rPr>
        <w:t xml:space="preserve">26 </w:t>
      </w:r>
      <w:r>
        <w:rPr>
          <w:rFonts w:ascii="宋体" w:hAnsi="宋体" w:eastAsia="宋体" w:cs="宋体"/>
          <w:spacing w:val="-1"/>
          <w:sz w:val="23"/>
          <w:szCs w:val="23"/>
        </w:rPr>
        <w:t>日起施行；</w:t>
      </w:r>
    </w:p>
    <w:p w14:paraId="4769BB84">
      <w:pPr>
        <w:spacing w:line="288" w:lineRule="auto"/>
        <w:rPr>
          <w:rFonts w:ascii="Arial"/>
          <w:sz w:val="21"/>
        </w:rPr>
      </w:pPr>
    </w:p>
    <w:p w14:paraId="048F60E8">
      <w:pPr>
        <w:spacing w:before="76" w:line="227" w:lineRule="auto"/>
        <w:ind w:left="486"/>
        <w:rPr>
          <w:rFonts w:ascii="宋体" w:hAnsi="宋体" w:eastAsia="宋体" w:cs="宋体"/>
          <w:sz w:val="23"/>
          <w:szCs w:val="23"/>
        </w:rPr>
      </w:pPr>
      <w:r>
        <w:rPr>
          <w:rFonts w:ascii="宋体" w:hAnsi="宋体" w:eastAsia="宋体" w:cs="宋体"/>
          <w:spacing w:val="-8"/>
          <w:sz w:val="23"/>
          <w:szCs w:val="23"/>
        </w:rPr>
        <w:t>(</w:t>
      </w:r>
      <w:r>
        <w:rPr>
          <w:rFonts w:ascii="Times New Roman" w:hAnsi="Times New Roman" w:eastAsia="Times New Roman" w:cs="Times New Roman"/>
          <w:spacing w:val="-8"/>
          <w:sz w:val="23"/>
          <w:szCs w:val="23"/>
        </w:rPr>
        <w:t>6</w:t>
      </w:r>
      <w:r>
        <w:rPr>
          <w:rFonts w:ascii="宋体" w:hAnsi="宋体" w:eastAsia="宋体" w:cs="宋体"/>
          <w:spacing w:val="-8"/>
          <w:sz w:val="23"/>
          <w:szCs w:val="23"/>
        </w:rPr>
        <w:t xml:space="preserve">) </w:t>
      </w:r>
      <w:r>
        <w:rPr>
          <w:rFonts w:ascii="宋体" w:hAnsi="宋体" w:eastAsia="宋体" w:cs="宋体"/>
          <w:spacing w:val="-4"/>
          <w:sz w:val="23"/>
          <w:szCs w:val="23"/>
        </w:rPr>
        <w:t xml:space="preserve"> 《中华人民共和国环境噪声污染防治法》，</w:t>
      </w:r>
      <w:r>
        <w:rPr>
          <w:rFonts w:ascii="Times New Roman" w:hAnsi="Times New Roman" w:eastAsia="Times New Roman" w:cs="Times New Roman"/>
          <w:spacing w:val="-4"/>
          <w:sz w:val="23"/>
          <w:szCs w:val="23"/>
        </w:rPr>
        <w:t xml:space="preserve">2018 </w:t>
      </w:r>
      <w:r>
        <w:rPr>
          <w:rFonts w:ascii="宋体" w:hAnsi="宋体" w:eastAsia="宋体" w:cs="宋体"/>
          <w:spacing w:val="-4"/>
          <w:sz w:val="23"/>
          <w:szCs w:val="23"/>
        </w:rPr>
        <w:t xml:space="preserve">年 </w:t>
      </w:r>
      <w:r>
        <w:rPr>
          <w:rFonts w:ascii="Times New Roman" w:hAnsi="Times New Roman" w:eastAsia="Times New Roman" w:cs="Times New Roman"/>
          <w:spacing w:val="-4"/>
          <w:sz w:val="23"/>
          <w:szCs w:val="23"/>
        </w:rPr>
        <w:t xml:space="preserve">12 </w:t>
      </w:r>
      <w:r>
        <w:rPr>
          <w:rFonts w:ascii="宋体" w:hAnsi="宋体" w:eastAsia="宋体" w:cs="宋体"/>
          <w:spacing w:val="-4"/>
          <w:sz w:val="23"/>
          <w:szCs w:val="23"/>
        </w:rPr>
        <w:t xml:space="preserve">月 </w:t>
      </w:r>
      <w:r>
        <w:rPr>
          <w:rFonts w:ascii="Times New Roman" w:hAnsi="Times New Roman" w:eastAsia="Times New Roman" w:cs="Times New Roman"/>
          <w:spacing w:val="-4"/>
          <w:sz w:val="23"/>
          <w:szCs w:val="23"/>
        </w:rPr>
        <w:t xml:space="preserve">29 </w:t>
      </w:r>
      <w:r>
        <w:rPr>
          <w:rFonts w:ascii="宋体" w:hAnsi="宋体" w:eastAsia="宋体" w:cs="宋体"/>
          <w:spacing w:val="-4"/>
          <w:sz w:val="23"/>
          <w:szCs w:val="23"/>
        </w:rPr>
        <w:t>日修订；</w:t>
      </w:r>
    </w:p>
    <w:p w14:paraId="5D74D113">
      <w:pPr>
        <w:spacing w:line="288" w:lineRule="auto"/>
        <w:rPr>
          <w:rFonts w:ascii="Arial"/>
          <w:sz w:val="21"/>
        </w:rPr>
      </w:pPr>
    </w:p>
    <w:p w14:paraId="29056813">
      <w:pPr>
        <w:spacing w:before="75" w:line="227" w:lineRule="auto"/>
        <w:ind w:left="486"/>
        <w:rPr>
          <w:rFonts w:ascii="宋体" w:hAnsi="宋体" w:eastAsia="宋体" w:cs="宋体"/>
          <w:sz w:val="23"/>
          <w:szCs w:val="23"/>
        </w:rPr>
      </w:pPr>
      <w:r>
        <w:rPr>
          <w:rFonts w:ascii="宋体" w:hAnsi="宋体" w:eastAsia="宋体" w:cs="宋体"/>
          <w:spacing w:val="-2"/>
          <w:sz w:val="23"/>
          <w:szCs w:val="23"/>
        </w:rPr>
        <w:t>(</w:t>
      </w:r>
      <w:r>
        <w:rPr>
          <w:rFonts w:ascii="Times New Roman" w:hAnsi="Times New Roman" w:eastAsia="Times New Roman" w:cs="Times New Roman"/>
          <w:spacing w:val="-2"/>
          <w:sz w:val="23"/>
          <w:szCs w:val="23"/>
        </w:rPr>
        <w:t>7</w:t>
      </w:r>
      <w:r>
        <w:rPr>
          <w:rFonts w:ascii="宋体" w:hAnsi="宋体" w:eastAsia="宋体" w:cs="宋体"/>
          <w:spacing w:val="-2"/>
          <w:sz w:val="23"/>
          <w:szCs w:val="23"/>
        </w:rPr>
        <w:t>)  《中华人民共和国水法》</w:t>
      </w:r>
      <w:r>
        <w:rPr>
          <w:rFonts w:ascii="宋体" w:hAnsi="宋体" w:eastAsia="宋体" w:cs="宋体"/>
          <w:spacing w:val="-1"/>
          <w:sz w:val="23"/>
          <w:szCs w:val="23"/>
        </w:rPr>
        <w:t>，</w:t>
      </w:r>
      <w:r>
        <w:rPr>
          <w:rFonts w:ascii="Times New Roman" w:hAnsi="Times New Roman" w:eastAsia="Times New Roman" w:cs="Times New Roman"/>
          <w:spacing w:val="-1"/>
          <w:sz w:val="23"/>
          <w:szCs w:val="23"/>
        </w:rPr>
        <w:t xml:space="preserve">2016 </w:t>
      </w:r>
      <w:r>
        <w:rPr>
          <w:rFonts w:ascii="宋体" w:hAnsi="宋体" w:eastAsia="宋体" w:cs="宋体"/>
          <w:spacing w:val="-1"/>
          <w:sz w:val="23"/>
          <w:szCs w:val="23"/>
        </w:rPr>
        <w:t xml:space="preserve">年 </w:t>
      </w:r>
      <w:r>
        <w:rPr>
          <w:rFonts w:ascii="Times New Roman" w:hAnsi="Times New Roman" w:eastAsia="Times New Roman" w:cs="Times New Roman"/>
          <w:spacing w:val="-1"/>
          <w:sz w:val="23"/>
          <w:szCs w:val="23"/>
        </w:rPr>
        <w:t xml:space="preserve">7 </w:t>
      </w:r>
      <w:r>
        <w:rPr>
          <w:rFonts w:ascii="宋体" w:hAnsi="宋体" w:eastAsia="宋体" w:cs="宋体"/>
          <w:spacing w:val="-1"/>
          <w:sz w:val="23"/>
          <w:szCs w:val="23"/>
        </w:rPr>
        <w:t>月</w:t>
      </w:r>
      <w:r>
        <w:rPr>
          <w:rFonts w:ascii="Times New Roman" w:hAnsi="Times New Roman" w:eastAsia="Times New Roman" w:cs="Times New Roman"/>
          <w:spacing w:val="-1"/>
          <w:sz w:val="23"/>
          <w:szCs w:val="23"/>
        </w:rPr>
        <w:t xml:space="preserve">2 </w:t>
      </w:r>
      <w:r>
        <w:rPr>
          <w:rFonts w:ascii="宋体" w:hAnsi="宋体" w:eastAsia="宋体" w:cs="宋体"/>
          <w:spacing w:val="-1"/>
          <w:sz w:val="23"/>
          <w:szCs w:val="23"/>
        </w:rPr>
        <w:t>日起施行；</w:t>
      </w:r>
    </w:p>
    <w:p w14:paraId="1F8A60EA">
      <w:pPr>
        <w:spacing w:line="285" w:lineRule="auto"/>
        <w:rPr>
          <w:rFonts w:ascii="Arial"/>
          <w:sz w:val="21"/>
        </w:rPr>
      </w:pPr>
    </w:p>
    <w:p w14:paraId="011B9762">
      <w:pPr>
        <w:spacing w:before="75" w:line="227" w:lineRule="auto"/>
        <w:ind w:left="486"/>
        <w:rPr>
          <w:rFonts w:ascii="宋体" w:hAnsi="宋体" w:eastAsia="宋体" w:cs="宋体"/>
          <w:sz w:val="23"/>
          <w:szCs w:val="23"/>
        </w:rPr>
      </w:pPr>
      <w:r>
        <w:rPr>
          <w:rFonts w:ascii="宋体" w:hAnsi="宋体" w:eastAsia="宋体" w:cs="宋体"/>
          <w:spacing w:val="-8"/>
          <w:sz w:val="23"/>
          <w:szCs w:val="23"/>
        </w:rPr>
        <w:t>(</w:t>
      </w:r>
      <w:r>
        <w:rPr>
          <w:rFonts w:ascii="Times New Roman" w:hAnsi="Times New Roman" w:eastAsia="Times New Roman" w:cs="Times New Roman"/>
          <w:spacing w:val="-8"/>
          <w:sz w:val="23"/>
          <w:szCs w:val="23"/>
        </w:rPr>
        <w:t>8</w:t>
      </w:r>
      <w:r>
        <w:rPr>
          <w:rFonts w:ascii="宋体" w:hAnsi="宋体" w:eastAsia="宋体" w:cs="宋体"/>
          <w:spacing w:val="-8"/>
          <w:sz w:val="23"/>
          <w:szCs w:val="23"/>
        </w:rPr>
        <w:t xml:space="preserve">)  </w:t>
      </w:r>
      <w:r>
        <w:rPr>
          <w:rFonts w:ascii="宋体" w:hAnsi="宋体" w:eastAsia="宋体" w:cs="宋体"/>
          <w:spacing w:val="-6"/>
          <w:sz w:val="23"/>
          <w:szCs w:val="23"/>
        </w:rPr>
        <w:t>《</w:t>
      </w:r>
      <w:r>
        <w:rPr>
          <w:rFonts w:ascii="宋体" w:hAnsi="宋体" w:eastAsia="宋体" w:cs="宋体"/>
          <w:spacing w:val="-4"/>
          <w:sz w:val="23"/>
          <w:szCs w:val="23"/>
        </w:rPr>
        <w:t>中华人民共和国清洁生产促进法》，</w:t>
      </w:r>
      <w:r>
        <w:rPr>
          <w:rFonts w:ascii="Times New Roman" w:hAnsi="Times New Roman" w:eastAsia="Times New Roman" w:cs="Times New Roman"/>
          <w:spacing w:val="-4"/>
          <w:sz w:val="23"/>
          <w:szCs w:val="23"/>
        </w:rPr>
        <w:t xml:space="preserve">2012 </w:t>
      </w:r>
      <w:r>
        <w:rPr>
          <w:rFonts w:ascii="宋体" w:hAnsi="宋体" w:eastAsia="宋体" w:cs="宋体"/>
          <w:spacing w:val="-4"/>
          <w:sz w:val="23"/>
          <w:szCs w:val="23"/>
        </w:rPr>
        <w:t xml:space="preserve">年 </w:t>
      </w:r>
      <w:r>
        <w:rPr>
          <w:rFonts w:ascii="Times New Roman" w:hAnsi="Times New Roman" w:eastAsia="Times New Roman" w:cs="Times New Roman"/>
          <w:spacing w:val="-4"/>
          <w:sz w:val="23"/>
          <w:szCs w:val="23"/>
        </w:rPr>
        <w:t xml:space="preserve">7 </w:t>
      </w:r>
      <w:r>
        <w:rPr>
          <w:rFonts w:ascii="宋体" w:hAnsi="宋体" w:eastAsia="宋体" w:cs="宋体"/>
          <w:spacing w:val="-4"/>
          <w:sz w:val="23"/>
          <w:szCs w:val="23"/>
        </w:rPr>
        <w:t xml:space="preserve">月 </w:t>
      </w:r>
      <w:r>
        <w:rPr>
          <w:rFonts w:ascii="Times New Roman" w:hAnsi="Times New Roman" w:eastAsia="Times New Roman" w:cs="Times New Roman"/>
          <w:spacing w:val="-4"/>
          <w:sz w:val="23"/>
          <w:szCs w:val="23"/>
        </w:rPr>
        <w:t xml:space="preserve">1 </w:t>
      </w:r>
      <w:r>
        <w:rPr>
          <w:rFonts w:ascii="宋体" w:hAnsi="宋体" w:eastAsia="宋体" w:cs="宋体"/>
          <w:spacing w:val="-4"/>
          <w:sz w:val="23"/>
          <w:szCs w:val="23"/>
        </w:rPr>
        <w:t>日起施行；</w:t>
      </w:r>
    </w:p>
    <w:p w14:paraId="1B103BFA">
      <w:pPr>
        <w:spacing w:line="288" w:lineRule="auto"/>
        <w:rPr>
          <w:rFonts w:ascii="Arial"/>
          <w:sz w:val="21"/>
        </w:rPr>
      </w:pPr>
    </w:p>
    <w:p w14:paraId="47E7E444">
      <w:pPr>
        <w:spacing w:before="76" w:line="227" w:lineRule="auto"/>
        <w:ind w:left="486"/>
        <w:rPr>
          <w:rFonts w:ascii="宋体" w:hAnsi="宋体" w:eastAsia="宋体" w:cs="宋体"/>
          <w:sz w:val="23"/>
          <w:szCs w:val="23"/>
        </w:rPr>
      </w:pPr>
      <w:r>
        <w:rPr>
          <w:rFonts w:ascii="宋体" w:hAnsi="宋体" w:eastAsia="宋体" w:cs="宋体"/>
          <w:spacing w:val="-8"/>
          <w:sz w:val="23"/>
          <w:szCs w:val="23"/>
        </w:rPr>
        <w:t>(</w:t>
      </w:r>
      <w:r>
        <w:rPr>
          <w:rFonts w:ascii="Times New Roman" w:hAnsi="Times New Roman" w:eastAsia="Times New Roman" w:cs="Times New Roman"/>
          <w:spacing w:val="-8"/>
          <w:sz w:val="23"/>
          <w:szCs w:val="23"/>
        </w:rPr>
        <w:t>9</w:t>
      </w:r>
      <w:r>
        <w:rPr>
          <w:rFonts w:ascii="宋体" w:hAnsi="宋体" w:eastAsia="宋体" w:cs="宋体"/>
          <w:spacing w:val="-8"/>
          <w:sz w:val="23"/>
          <w:szCs w:val="23"/>
        </w:rPr>
        <w:t xml:space="preserve">)  </w:t>
      </w:r>
      <w:r>
        <w:rPr>
          <w:rFonts w:ascii="宋体" w:hAnsi="宋体" w:eastAsia="宋体" w:cs="宋体"/>
          <w:spacing w:val="-6"/>
          <w:sz w:val="23"/>
          <w:szCs w:val="23"/>
        </w:rPr>
        <w:t>《</w:t>
      </w:r>
      <w:r>
        <w:rPr>
          <w:rFonts w:ascii="宋体" w:hAnsi="宋体" w:eastAsia="宋体" w:cs="宋体"/>
          <w:spacing w:val="-4"/>
          <w:sz w:val="23"/>
          <w:szCs w:val="23"/>
        </w:rPr>
        <w:t>中华人民共和国循环经济促进法》，</w:t>
      </w:r>
      <w:r>
        <w:rPr>
          <w:rFonts w:ascii="Times New Roman" w:hAnsi="Times New Roman" w:eastAsia="Times New Roman" w:cs="Times New Roman"/>
          <w:spacing w:val="-4"/>
          <w:sz w:val="23"/>
          <w:szCs w:val="23"/>
        </w:rPr>
        <w:t xml:space="preserve">2012 </w:t>
      </w:r>
      <w:r>
        <w:rPr>
          <w:rFonts w:ascii="宋体" w:hAnsi="宋体" w:eastAsia="宋体" w:cs="宋体"/>
          <w:spacing w:val="-4"/>
          <w:sz w:val="23"/>
          <w:szCs w:val="23"/>
        </w:rPr>
        <w:t xml:space="preserve">年 </w:t>
      </w:r>
      <w:r>
        <w:rPr>
          <w:rFonts w:ascii="Times New Roman" w:hAnsi="Times New Roman" w:eastAsia="Times New Roman" w:cs="Times New Roman"/>
          <w:spacing w:val="-4"/>
          <w:sz w:val="23"/>
          <w:szCs w:val="23"/>
        </w:rPr>
        <w:t xml:space="preserve">7 </w:t>
      </w:r>
      <w:r>
        <w:rPr>
          <w:rFonts w:ascii="宋体" w:hAnsi="宋体" w:eastAsia="宋体" w:cs="宋体"/>
          <w:spacing w:val="-4"/>
          <w:sz w:val="23"/>
          <w:szCs w:val="23"/>
        </w:rPr>
        <w:t xml:space="preserve">月 </w:t>
      </w:r>
      <w:r>
        <w:rPr>
          <w:rFonts w:ascii="Times New Roman" w:hAnsi="Times New Roman" w:eastAsia="Times New Roman" w:cs="Times New Roman"/>
          <w:spacing w:val="-4"/>
          <w:sz w:val="23"/>
          <w:szCs w:val="23"/>
        </w:rPr>
        <w:t xml:space="preserve">1 </w:t>
      </w:r>
      <w:r>
        <w:rPr>
          <w:rFonts w:ascii="宋体" w:hAnsi="宋体" w:eastAsia="宋体" w:cs="宋体"/>
          <w:spacing w:val="-4"/>
          <w:sz w:val="23"/>
          <w:szCs w:val="23"/>
        </w:rPr>
        <w:t>日起实施；</w:t>
      </w:r>
    </w:p>
    <w:p w14:paraId="09DB2FA2">
      <w:pPr>
        <w:spacing w:line="287" w:lineRule="auto"/>
        <w:rPr>
          <w:rFonts w:ascii="Arial"/>
          <w:sz w:val="21"/>
        </w:rPr>
      </w:pPr>
    </w:p>
    <w:p w14:paraId="2662E21B">
      <w:pPr>
        <w:spacing w:before="74" w:line="227" w:lineRule="auto"/>
        <w:ind w:left="486"/>
        <w:rPr>
          <w:rFonts w:ascii="宋体" w:hAnsi="宋体" w:eastAsia="宋体" w:cs="宋体"/>
          <w:sz w:val="23"/>
          <w:szCs w:val="23"/>
        </w:rPr>
      </w:pPr>
      <w:r>
        <w:rPr>
          <w:rFonts w:ascii="宋体" w:hAnsi="宋体" w:eastAsia="宋体" w:cs="宋体"/>
          <w:spacing w:val="-2"/>
          <w:sz w:val="23"/>
          <w:szCs w:val="23"/>
        </w:rPr>
        <w:t>(</w:t>
      </w:r>
      <w:r>
        <w:rPr>
          <w:rFonts w:ascii="Times New Roman" w:hAnsi="Times New Roman" w:eastAsia="Times New Roman" w:cs="Times New Roman"/>
          <w:spacing w:val="-2"/>
          <w:sz w:val="23"/>
          <w:szCs w:val="23"/>
        </w:rPr>
        <w:t>10</w:t>
      </w:r>
      <w:r>
        <w:rPr>
          <w:rFonts w:ascii="宋体" w:hAnsi="宋体" w:eastAsia="宋体" w:cs="宋体"/>
          <w:spacing w:val="-2"/>
          <w:sz w:val="23"/>
          <w:szCs w:val="23"/>
        </w:rPr>
        <w:t>)  《中华人民共和国</w:t>
      </w:r>
      <w:r>
        <w:rPr>
          <w:rFonts w:ascii="宋体" w:hAnsi="宋体" w:eastAsia="宋体" w:cs="宋体"/>
          <w:spacing w:val="-1"/>
          <w:sz w:val="23"/>
          <w:szCs w:val="23"/>
        </w:rPr>
        <w:t>节约能源法》，</w:t>
      </w:r>
      <w:r>
        <w:rPr>
          <w:rFonts w:ascii="Times New Roman" w:hAnsi="Times New Roman" w:eastAsia="Times New Roman" w:cs="Times New Roman"/>
          <w:spacing w:val="-1"/>
          <w:sz w:val="23"/>
          <w:szCs w:val="23"/>
        </w:rPr>
        <w:t xml:space="preserve">2016 </w:t>
      </w:r>
      <w:r>
        <w:rPr>
          <w:rFonts w:ascii="宋体" w:hAnsi="宋体" w:eastAsia="宋体" w:cs="宋体"/>
          <w:spacing w:val="-1"/>
          <w:sz w:val="23"/>
          <w:szCs w:val="23"/>
        </w:rPr>
        <w:t xml:space="preserve">年 </w:t>
      </w:r>
      <w:r>
        <w:rPr>
          <w:rFonts w:ascii="Times New Roman" w:hAnsi="Times New Roman" w:eastAsia="Times New Roman" w:cs="Times New Roman"/>
          <w:spacing w:val="-1"/>
          <w:sz w:val="23"/>
          <w:szCs w:val="23"/>
        </w:rPr>
        <w:t xml:space="preserve">7 </w:t>
      </w:r>
      <w:r>
        <w:rPr>
          <w:rFonts w:ascii="宋体" w:hAnsi="宋体" w:eastAsia="宋体" w:cs="宋体"/>
          <w:spacing w:val="-1"/>
          <w:sz w:val="23"/>
          <w:szCs w:val="23"/>
        </w:rPr>
        <w:t>月</w:t>
      </w:r>
      <w:r>
        <w:rPr>
          <w:rFonts w:ascii="Times New Roman" w:hAnsi="Times New Roman" w:eastAsia="Times New Roman" w:cs="Times New Roman"/>
          <w:spacing w:val="-1"/>
          <w:sz w:val="23"/>
          <w:szCs w:val="23"/>
        </w:rPr>
        <w:t xml:space="preserve">2 </w:t>
      </w:r>
      <w:r>
        <w:rPr>
          <w:rFonts w:ascii="宋体" w:hAnsi="宋体" w:eastAsia="宋体" w:cs="宋体"/>
          <w:spacing w:val="-1"/>
          <w:sz w:val="23"/>
          <w:szCs w:val="23"/>
        </w:rPr>
        <w:t>日修订；</w:t>
      </w:r>
    </w:p>
    <w:p w14:paraId="1903C403">
      <w:pPr>
        <w:spacing w:line="288" w:lineRule="auto"/>
        <w:rPr>
          <w:rFonts w:ascii="Arial"/>
          <w:sz w:val="21"/>
        </w:rPr>
      </w:pPr>
    </w:p>
    <w:p w14:paraId="2DE7C553">
      <w:pPr>
        <w:spacing w:before="76" w:line="227" w:lineRule="auto"/>
        <w:ind w:left="486"/>
        <w:rPr>
          <w:rFonts w:ascii="宋体" w:hAnsi="宋体" w:eastAsia="宋体" w:cs="宋体"/>
          <w:sz w:val="23"/>
          <w:szCs w:val="23"/>
        </w:rPr>
      </w:pPr>
      <w:r>
        <w:rPr>
          <w:rFonts w:ascii="宋体" w:hAnsi="宋体" w:eastAsia="宋体" w:cs="宋体"/>
          <w:spacing w:val="-2"/>
          <w:sz w:val="23"/>
          <w:szCs w:val="23"/>
        </w:rPr>
        <w:t>(</w:t>
      </w:r>
      <w:r>
        <w:rPr>
          <w:rFonts w:ascii="Times New Roman" w:hAnsi="Times New Roman" w:eastAsia="Times New Roman" w:cs="Times New Roman"/>
          <w:spacing w:val="-2"/>
          <w:sz w:val="23"/>
          <w:szCs w:val="23"/>
        </w:rPr>
        <w:t>11</w:t>
      </w:r>
      <w:r>
        <w:rPr>
          <w:rFonts w:ascii="宋体" w:hAnsi="宋体" w:eastAsia="宋体" w:cs="宋体"/>
          <w:spacing w:val="-2"/>
          <w:sz w:val="23"/>
          <w:szCs w:val="23"/>
        </w:rPr>
        <w:t>)  《中华人民共和国土地管理法》，</w:t>
      </w:r>
      <w:r>
        <w:rPr>
          <w:rFonts w:ascii="Times New Roman" w:hAnsi="Times New Roman" w:eastAsia="Times New Roman" w:cs="Times New Roman"/>
          <w:spacing w:val="-2"/>
          <w:sz w:val="23"/>
          <w:szCs w:val="23"/>
        </w:rPr>
        <w:t xml:space="preserve">2004 </w:t>
      </w:r>
      <w:r>
        <w:rPr>
          <w:rFonts w:ascii="宋体" w:hAnsi="宋体" w:eastAsia="宋体" w:cs="宋体"/>
          <w:spacing w:val="-2"/>
          <w:sz w:val="23"/>
          <w:szCs w:val="23"/>
        </w:rPr>
        <w:t xml:space="preserve">年 </w:t>
      </w:r>
      <w:r>
        <w:rPr>
          <w:rFonts w:ascii="Times New Roman" w:hAnsi="Times New Roman" w:eastAsia="Times New Roman" w:cs="Times New Roman"/>
          <w:spacing w:val="-1"/>
          <w:sz w:val="23"/>
          <w:szCs w:val="23"/>
        </w:rPr>
        <w:t xml:space="preserve">8 </w:t>
      </w:r>
      <w:r>
        <w:rPr>
          <w:rFonts w:ascii="宋体" w:hAnsi="宋体" w:eastAsia="宋体" w:cs="宋体"/>
          <w:spacing w:val="-1"/>
          <w:sz w:val="23"/>
          <w:szCs w:val="23"/>
        </w:rPr>
        <w:t>月</w:t>
      </w:r>
      <w:r>
        <w:rPr>
          <w:rFonts w:ascii="Times New Roman" w:hAnsi="Times New Roman" w:eastAsia="Times New Roman" w:cs="Times New Roman"/>
          <w:spacing w:val="-1"/>
          <w:sz w:val="23"/>
          <w:szCs w:val="23"/>
        </w:rPr>
        <w:t xml:space="preserve">28 </w:t>
      </w:r>
      <w:r>
        <w:rPr>
          <w:rFonts w:ascii="宋体" w:hAnsi="宋体" w:eastAsia="宋体" w:cs="宋体"/>
          <w:spacing w:val="-1"/>
          <w:sz w:val="23"/>
          <w:szCs w:val="23"/>
        </w:rPr>
        <w:t>日起实施；</w:t>
      </w:r>
    </w:p>
    <w:p w14:paraId="5707C72B">
      <w:pPr>
        <w:spacing w:line="288" w:lineRule="auto"/>
        <w:rPr>
          <w:rFonts w:ascii="Arial"/>
          <w:sz w:val="21"/>
        </w:rPr>
      </w:pPr>
    </w:p>
    <w:p w14:paraId="726AB72B">
      <w:pPr>
        <w:spacing w:before="75" w:line="227" w:lineRule="auto"/>
        <w:ind w:left="486"/>
        <w:rPr>
          <w:rFonts w:ascii="Times New Roman" w:hAnsi="Times New Roman" w:eastAsia="Times New Roman" w:cs="Times New Roman"/>
          <w:sz w:val="23"/>
          <w:szCs w:val="23"/>
        </w:rPr>
      </w:pPr>
      <w:r>
        <w:rPr>
          <w:rFonts w:ascii="宋体" w:hAnsi="宋体" w:eastAsia="宋体" w:cs="宋体"/>
          <w:spacing w:val="-2"/>
          <w:sz w:val="23"/>
          <w:szCs w:val="23"/>
        </w:rPr>
        <w:t>(</w:t>
      </w:r>
      <w:r>
        <w:rPr>
          <w:rFonts w:ascii="Times New Roman" w:hAnsi="Times New Roman" w:eastAsia="Times New Roman" w:cs="Times New Roman"/>
          <w:spacing w:val="-2"/>
          <w:sz w:val="23"/>
          <w:szCs w:val="23"/>
        </w:rPr>
        <w:t>12</w:t>
      </w:r>
      <w:r>
        <w:rPr>
          <w:rFonts w:ascii="宋体" w:hAnsi="宋体" w:eastAsia="宋体" w:cs="宋体"/>
          <w:spacing w:val="-2"/>
          <w:sz w:val="23"/>
          <w:szCs w:val="23"/>
        </w:rPr>
        <w:t>)  《</w:t>
      </w:r>
      <w:r>
        <w:rPr>
          <w:rFonts w:ascii="宋体" w:hAnsi="宋体" w:eastAsia="宋体" w:cs="宋体"/>
          <w:spacing w:val="-1"/>
          <w:sz w:val="23"/>
          <w:szCs w:val="23"/>
        </w:rPr>
        <w:t xml:space="preserve">建设项目环境保护管理条例》，国务院令第 </w:t>
      </w:r>
      <w:r>
        <w:rPr>
          <w:rFonts w:ascii="Times New Roman" w:hAnsi="Times New Roman" w:eastAsia="Times New Roman" w:cs="Times New Roman"/>
          <w:spacing w:val="-1"/>
          <w:sz w:val="23"/>
          <w:szCs w:val="23"/>
        </w:rPr>
        <w:t xml:space="preserve">682 </w:t>
      </w:r>
      <w:r>
        <w:rPr>
          <w:rFonts w:ascii="宋体" w:hAnsi="宋体" w:eastAsia="宋体" w:cs="宋体"/>
          <w:spacing w:val="-1"/>
          <w:sz w:val="23"/>
          <w:szCs w:val="23"/>
        </w:rPr>
        <w:t>号，</w:t>
      </w:r>
      <w:r>
        <w:rPr>
          <w:rFonts w:ascii="Times New Roman" w:hAnsi="Times New Roman" w:eastAsia="Times New Roman" w:cs="Times New Roman"/>
          <w:spacing w:val="-1"/>
          <w:sz w:val="23"/>
          <w:szCs w:val="23"/>
        </w:rPr>
        <w:t xml:space="preserve">2017 </w:t>
      </w:r>
      <w:r>
        <w:rPr>
          <w:rFonts w:ascii="宋体" w:hAnsi="宋体" w:eastAsia="宋体" w:cs="宋体"/>
          <w:spacing w:val="-1"/>
          <w:sz w:val="23"/>
          <w:szCs w:val="23"/>
        </w:rPr>
        <w:t xml:space="preserve">年 </w:t>
      </w:r>
      <w:r>
        <w:rPr>
          <w:rFonts w:ascii="Times New Roman" w:hAnsi="Times New Roman" w:eastAsia="Times New Roman" w:cs="Times New Roman"/>
          <w:spacing w:val="-1"/>
          <w:sz w:val="23"/>
          <w:szCs w:val="23"/>
        </w:rPr>
        <w:t xml:space="preserve">7 </w:t>
      </w:r>
      <w:r>
        <w:rPr>
          <w:rFonts w:ascii="宋体" w:hAnsi="宋体" w:eastAsia="宋体" w:cs="宋体"/>
          <w:spacing w:val="-1"/>
          <w:sz w:val="23"/>
          <w:szCs w:val="23"/>
        </w:rPr>
        <w:t xml:space="preserve">月 </w:t>
      </w:r>
      <w:r>
        <w:rPr>
          <w:rFonts w:ascii="Times New Roman" w:hAnsi="Times New Roman" w:eastAsia="Times New Roman" w:cs="Times New Roman"/>
          <w:spacing w:val="-1"/>
          <w:sz w:val="23"/>
          <w:szCs w:val="23"/>
        </w:rPr>
        <w:t>16</w:t>
      </w:r>
    </w:p>
    <w:p w14:paraId="4B2C3879">
      <w:pPr>
        <w:spacing w:before="197" w:line="227" w:lineRule="auto"/>
        <w:ind w:left="64"/>
        <w:rPr>
          <w:rFonts w:ascii="宋体" w:hAnsi="宋体" w:eastAsia="宋体" w:cs="宋体"/>
          <w:sz w:val="23"/>
          <w:szCs w:val="23"/>
        </w:rPr>
      </w:pPr>
      <w:r>
        <w:rPr>
          <w:rFonts w:ascii="宋体" w:hAnsi="宋体" w:eastAsia="宋体" w:cs="宋体"/>
          <w:spacing w:val="-15"/>
          <w:sz w:val="23"/>
          <w:szCs w:val="23"/>
        </w:rPr>
        <w:t>日</w:t>
      </w:r>
      <w:r>
        <w:rPr>
          <w:rFonts w:ascii="宋体" w:hAnsi="宋体" w:eastAsia="宋体" w:cs="宋体"/>
          <w:spacing w:val="-11"/>
          <w:sz w:val="23"/>
          <w:szCs w:val="23"/>
        </w:rPr>
        <w:t>修订；</w:t>
      </w:r>
    </w:p>
    <w:p w14:paraId="0457F0C2">
      <w:pPr>
        <w:spacing w:line="285" w:lineRule="auto"/>
        <w:rPr>
          <w:rFonts w:ascii="Arial"/>
          <w:sz w:val="21"/>
        </w:rPr>
      </w:pPr>
    </w:p>
    <w:p w14:paraId="00A5233A">
      <w:pPr>
        <w:spacing w:before="76" w:line="226" w:lineRule="auto"/>
        <w:ind w:left="486"/>
        <w:rPr>
          <w:rFonts w:ascii="宋体" w:hAnsi="宋体" w:eastAsia="宋体" w:cs="宋体"/>
          <w:sz w:val="23"/>
          <w:szCs w:val="23"/>
        </w:rPr>
      </w:pPr>
      <w:r>
        <w:rPr>
          <w:rFonts w:ascii="宋体" w:hAnsi="宋体" w:eastAsia="宋体" w:cs="宋体"/>
          <w:spacing w:val="-12"/>
          <w:sz w:val="23"/>
          <w:szCs w:val="23"/>
        </w:rPr>
        <w:t>(</w:t>
      </w:r>
      <w:r>
        <w:rPr>
          <w:rFonts w:ascii="Times New Roman" w:hAnsi="Times New Roman" w:eastAsia="Times New Roman" w:cs="Times New Roman"/>
          <w:spacing w:val="-6"/>
          <w:sz w:val="23"/>
          <w:szCs w:val="23"/>
        </w:rPr>
        <w:t>13</w:t>
      </w:r>
      <w:r>
        <w:rPr>
          <w:rFonts w:ascii="宋体" w:hAnsi="宋体" w:eastAsia="宋体" w:cs="宋体"/>
          <w:spacing w:val="-6"/>
          <w:sz w:val="23"/>
          <w:szCs w:val="23"/>
        </w:rPr>
        <w:t xml:space="preserve">)  《建设项目环境影响评价分类管理名录》，部令第 </w:t>
      </w:r>
      <w:r>
        <w:rPr>
          <w:rFonts w:ascii="Times New Roman" w:hAnsi="Times New Roman" w:eastAsia="Times New Roman" w:cs="Times New Roman"/>
          <w:spacing w:val="-6"/>
          <w:sz w:val="23"/>
          <w:szCs w:val="23"/>
        </w:rPr>
        <w:t xml:space="preserve">1 </w:t>
      </w:r>
      <w:r>
        <w:rPr>
          <w:rFonts w:ascii="宋体" w:hAnsi="宋体" w:eastAsia="宋体" w:cs="宋体"/>
          <w:spacing w:val="-6"/>
          <w:sz w:val="23"/>
          <w:szCs w:val="23"/>
        </w:rPr>
        <w:t xml:space="preserve">号，自 </w:t>
      </w:r>
      <w:r>
        <w:rPr>
          <w:rFonts w:ascii="Times New Roman" w:hAnsi="Times New Roman" w:eastAsia="Times New Roman" w:cs="Times New Roman"/>
          <w:spacing w:val="-6"/>
          <w:sz w:val="23"/>
          <w:szCs w:val="23"/>
        </w:rPr>
        <w:t xml:space="preserve">2018 </w:t>
      </w:r>
      <w:r>
        <w:rPr>
          <w:rFonts w:ascii="宋体" w:hAnsi="宋体" w:eastAsia="宋体" w:cs="宋体"/>
          <w:spacing w:val="-6"/>
          <w:sz w:val="23"/>
          <w:szCs w:val="23"/>
        </w:rPr>
        <w:t xml:space="preserve">年 </w:t>
      </w:r>
      <w:r>
        <w:rPr>
          <w:rFonts w:ascii="Times New Roman" w:hAnsi="Times New Roman" w:eastAsia="Times New Roman" w:cs="Times New Roman"/>
          <w:spacing w:val="-6"/>
          <w:sz w:val="23"/>
          <w:szCs w:val="23"/>
        </w:rPr>
        <w:t xml:space="preserve">4 </w:t>
      </w:r>
      <w:r>
        <w:rPr>
          <w:rFonts w:ascii="宋体" w:hAnsi="宋体" w:eastAsia="宋体" w:cs="宋体"/>
          <w:spacing w:val="-6"/>
          <w:sz w:val="23"/>
          <w:szCs w:val="23"/>
        </w:rPr>
        <w:t>月</w:t>
      </w:r>
    </w:p>
    <w:p w14:paraId="658D61C2">
      <w:pPr>
        <w:spacing w:before="199" w:line="227" w:lineRule="auto"/>
        <w:ind w:left="19"/>
        <w:rPr>
          <w:rFonts w:ascii="宋体" w:hAnsi="宋体" w:eastAsia="宋体" w:cs="宋体"/>
          <w:sz w:val="23"/>
          <w:szCs w:val="23"/>
        </w:rPr>
      </w:pPr>
      <w:r>
        <w:rPr>
          <w:rFonts w:ascii="Times New Roman" w:hAnsi="Times New Roman" w:eastAsia="Times New Roman" w:cs="Times New Roman"/>
          <w:spacing w:val="-1"/>
          <w:sz w:val="23"/>
          <w:szCs w:val="23"/>
        </w:rPr>
        <w:t xml:space="preserve">28 </w:t>
      </w:r>
      <w:r>
        <w:rPr>
          <w:rFonts w:ascii="宋体" w:hAnsi="宋体" w:eastAsia="宋体" w:cs="宋体"/>
          <w:spacing w:val="-1"/>
          <w:sz w:val="23"/>
          <w:szCs w:val="23"/>
        </w:rPr>
        <w:t>日</w:t>
      </w:r>
      <w:r>
        <w:rPr>
          <w:rFonts w:ascii="宋体" w:hAnsi="宋体" w:eastAsia="宋体" w:cs="宋体"/>
          <w:sz w:val="23"/>
          <w:szCs w:val="23"/>
        </w:rPr>
        <w:t>修订；</w:t>
      </w:r>
    </w:p>
    <w:p w14:paraId="094DC8DB">
      <w:pPr>
        <w:spacing w:line="288" w:lineRule="auto"/>
        <w:rPr>
          <w:rFonts w:ascii="Arial"/>
          <w:sz w:val="21"/>
        </w:rPr>
      </w:pPr>
    </w:p>
    <w:p w14:paraId="2D843B08">
      <w:pPr>
        <w:spacing w:before="75" w:line="227" w:lineRule="auto"/>
        <w:ind w:left="486"/>
        <w:rPr>
          <w:rFonts w:ascii="宋体" w:hAnsi="宋体" w:eastAsia="宋体" w:cs="宋体"/>
          <w:sz w:val="23"/>
          <w:szCs w:val="23"/>
        </w:rPr>
      </w:pPr>
      <w:r>
        <w:rPr>
          <w:rFonts w:ascii="宋体" w:hAnsi="宋体" w:eastAsia="宋体" w:cs="宋体"/>
          <w:spacing w:val="-10"/>
          <w:sz w:val="23"/>
          <w:szCs w:val="23"/>
        </w:rPr>
        <w:t>(</w:t>
      </w:r>
      <w:r>
        <w:rPr>
          <w:rFonts w:ascii="Times New Roman" w:hAnsi="Times New Roman" w:eastAsia="Times New Roman" w:cs="Times New Roman"/>
          <w:spacing w:val="-9"/>
          <w:sz w:val="23"/>
          <w:szCs w:val="23"/>
        </w:rPr>
        <w:t>1</w:t>
      </w:r>
      <w:r>
        <w:rPr>
          <w:rFonts w:ascii="Times New Roman" w:hAnsi="Times New Roman" w:eastAsia="Times New Roman" w:cs="Times New Roman"/>
          <w:spacing w:val="-5"/>
          <w:sz w:val="23"/>
          <w:szCs w:val="23"/>
        </w:rPr>
        <w:t>4</w:t>
      </w:r>
      <w:r>
        <w:rPr>
          <w:rFonts w:ascii="宋体" w:hAnsi="宋体" w:eastAsia="宋体" w:cs="宋体"/>
          <w:spacing w:val="-5"/>
          <w:sz w:val="23"/>
          <w:szCs w:val="23"/>
        </w:rPr>
        <w:t>)  《国务院关于印发大气污染防治行动计划的通知》(国发〔</w:t>
      </w:r>
      <w:r>
        <w:rPr>
          <w:rFonts w:ascii="Times New Roman" w:hAnsi="Times New Roman" w:eastAsia="Times New Roman" w:cs="Times New Roman"/>
          <w:spacing w:val="-5"/>
          <w:sz w:val="23"/>
          <w:szCs w:val="23"/>
        </w:rPr>
        <w:t>2013</w:t>
      </w:r>
      <w:r>
        <w:rPr>
          <w:rFonts w:ascii="宋体" w:hAnsi="宋体" w:eastAsia="宋体" w:cs="宋体"/>
          <w:spacing w:val="-5"/>
          <w:sz w:val="23"/>
          <w:szCs w:val="23"/>
        </w:rPr>
        <w:t>〕</w:t>
      </w:r>
      <w:r>
        <w:rPr>
          <w:rFonts w:ascii="Times New Roman" w:hAnsi="Times New Roman" w:eastAsia="Times New Roman" w:cs="Times New Roman"/>
          <w:spacing w:val="-5"/>
          <w:sz w:val="23"/>
          <w:szCs w:val="23"/>
        </w:rPr>
        <w:t xml:space="preserve">37 </w:t>
      </w:r>
      <w:r>
        <w:rPr>
          <w:rFonts w:ascii="宋体" w:hAnsi="宋体" w:eastAsia="宋体" w:cs="宋体"/>
          <w:spacing w:val="-5"/>
          <w:sz w:val="23"/>
          <w:szCs w:val="23"/>
        </w:rPr>
        <w:t>号)，</w:t>
      </w:r>
    </w:p>
    <w:p w14:paraId="516F6931">
      <w:pPr>
        <w:spacing w:before="198" w:line="227" w:lineRule="auto"/>
        <w:ind w:left="19"/>
        <w:rPr>
          <w:rFonts w:ascii="宋体" w:hAnsi="宋体" w:eastAsia="宋体" w:cs="宋体"/>
          <w:sz w:val="23"/>
          <w:szCs w:val="23"/>
        </w:rPr>
      </w:pPr>
      <w:r>
        <w:rPr>
          <w:rFonts w:ascii="Times New Roman" w:hAnsi="Times New Roman" w:eastAsia="Times New Roman" w:cs="Times New Roman"/>
          <w:spacing w:val="-8"/>
          <w:sz w:val="23"/>
          <w:szCs w:val="23"/>
        </w:rPr>
        <w:t xml:space="preserve">2013 </w:t>
      </w:r>
      <w:r>
        <w:rPr>
          <w:rFonts w:ascii="宋体" w:hAnsi="宋体" w:eastAsia="宋体" w:cs="宋体"/>
          <w:spacing w:val="-8"/>
          <w:sz w:val="23"/>
          <w:szCs w:val="23"/>
        </w:rPr>
        <w:t xml:space="preserve">年 </w:t>
      </w:r>
      <w:r>
        <w:rPr>
          <w:rFonts w:ascii="Times New Roman" w:hAnsi="Times New Roman" w:eastAsia="Times New Roman" w:cs="Times New Roman"/>
          <w:spacing w:val="-8"/>
          <w:sz w:val="23"/>
          <w:szCs w:val="23"/>
        </w:rPr>
        <w:t xml:space="preserve">9 </w:t>
      </w:r>
      <w:r>
        <w:rPr>
          <w:rFonts w:ascii="宋体" w:hAnsi="宋体" w:eastAsia="宋体" w:cs="宋体"/>
          <w:spacing w:val="-8"/>
          <w:sz w:val="23"/>
          <w:szCs w:val="23"/>
        </w:rPr>
        <w:t xml:space="preserve">月 </w:t>
      </w:r>
      <w:r>
        <w:rPr>
          <w:rFonts w:ascii="Times New Roman" w:hAnsi="Times New Roman" w:eastAsia="Times New Roman" w:cs="Times New Roman"/>
          <w:spacing w:val="-8"/>
          <w:sz w:val="23"/>
          <w:szCs w:val="23"/>
        </w:rPr>
        <w:t xml:space="preserve">10 </w:t>
      </w:r>
      <w:r>
        <w:rPr>
          <w:rFonts w:ascii="宋体" w:hAnsi="宋体" w:eastAsia="宋体" w:cs="宋体"/>
          <w:spacing w:val="-8"/>
          <w:sz w:val="23"/>
          <w:szCs w:val="23"/>
        </w:rPr>
        <w:t>日</w:t>
      </w:r>
      <w:r>
        <w:rPr>
          <w:rFonts w:ascii="宋体" w:hAnsi="宋体" w:eastAsia="宋体" w:cs="宋体"/>
          <w:spacing w:val="-7"/>
          <w:sz w:val="23"/>
          <w:szCs w:val="23"/>
        </w:rPr>
        <w:t>；</w:t>
      </w:r>
    </w:p>
    <w:p w14:paraId="68E614E0">
      <w:pPr>
        <w:spacing w:line="286" w:lineRule="auto"/>
        <w:rPr>
          <w:rFonts w:ascii="Arial"/>
          <w:sz w:val="21"/>
        </w:rPr>
      </w:pPr>
    </w:p>
    <w:p w14:paraId="298F25B8">
      <w:pPr>
        <w:spacing w:before="75" w:line="227" w:lineRule="auto"/>
        <w:ind w:left="486"/>
        <w:rPr>
          <w:rFonts w:ascii="宋体" w:hAnsi="宋体" w:eastAsia="宋体" w:cs="宋体"/>
          <w:sz w:val="23"/>
          <w:szCs w:val="23"/>
        </w:rPr>
      </w:pPr>
      <w:r>
        <w:rPr>
          <w:rFonts w:ascii="宋体" w:hAnsi="宋体" w:eastAsia="宋体" w:cs="宋体"/>
          <w:spacing w:val="-10"/>
          <w:sz w:val="23"/>
          <w:szCs w:val="23"/>
        </w:rPr>
        <w:t>(</w:t>
      </w:r>
      <w:r>
        <w:rPr>
          <w:rFonts w:ascii="Times New Roman" w:hAnsi="Times New Roman" w:eastAsia="Times New Roman" w:cs="Times New Roman"/>
          <w:spacing w:val="-7"/>
          <w:sz w:val="23"/>
          <w:szCs w:val="23"/>
        </w:rPr>
        <w:t>1</w:t>
      </w:r>
      <w:r>
        <w:rPr>
          <w:rFonts w:ascii="Times New Roman" w:hAnsi="Times New Roman" w:eastAsia="Times New Roman" w:cs="Times New Roman"/>
          <w:spacing w:val="-5"/>
          <w:sz w:val="23"/>
          <w:szCs w:val="23"/>
        </w:rPr>
        <w:t>5</w:t>
      </w:r>
      <w:r>
        <w:rPr>
          <w:rFonts w:ascii="宋体" w:hAnsi="宋体" w:eastAsia="宋体" w:cs="宋体"/>
          <w:spacing w:val="-5"/>
          <w:sz w:val="23"/>
          <w:szCs w:val="23"/>
        </w:rPr>
        <w:t>)  《国务院关于印发水污染防治行动计划的通知》 (国发〔</w:t>
      </w:r>
      <w:r>
        <w:rPr>
          <w:rFonts w:ascii="Times New Roman" w:hAnsi="Times New Roman" w:eastAsia="Times New Roman" w:cs="Times New Roman"/>
          <w:spacing w:val="-5"/>
          <w:sz w:val="23"/>
          <w:szCs w:val="23"/>
        </w:rPr>
        <w:t>2015</w:t>
      </w:r>
      <w:r>
        <w:rPr>
          <w:rFonts w:ascii="宋体" w:hAnsi="宋体" w:eastAsia="宋体" w:cs="宋体"/>
          <w:spacing w:val="-5"/>
          <w:sz w:val="23"/>
          <w:szCs w:val="23"/>
        </w:rPr>
        <w:t>〕</w:t>
      </w:r>
      <w:r>
        <w:rPr>
          <w:rFonts w:ascii="Times New Roman" w:hAnsi="Times New Roman" w:eastAsia="Times New Roman" w:cs="Times New Roman"/>
          <w:spacing w:val="-5"/>
          <w:sz w:val="23"/>
          <w:szCs w:val="23"/>
        </w:rPr>
        <w:t xml:space="preserve">17 </w:t>
      </w:r>
      <w:r>
        <w:rPr>
          <w:rFonts w:ascii="宋体" w:hAnsi="宋体" w:eastAsia="宋体" w:cs="宋体"/>
          <w:spacing w:val="-5"/>
          <w:sz w:val="23"/>
          <w:szCs w:val="23"/>
        </w:rPr>
        <w:t>号) ，</w:t>
      </w:r>
    </w:p>
    <w:p w14:paraId="5A759419">
      <w:pPr>
        <w:spacing w:before="197" w:line="227" w:lineRule="auto"/>
        <w:ind w:left="19"/>
        <w:rPr>
          <w:rFonts w:ascii="宋体" w:hAnsi="宋体" w:eastAsia="宋体" w:cs="宋体"/>
          <w:sz w:val="23"/>
          <w:szCs w:val="23"/>
        </w:rPr>
      </w:pPr>
      <w:r>
        <w:rPr>
          <w:rFonts w:ascii="Times New Roman" w:hAnsi="Times New Roman" w:eastAsia="Times New Roman" w:cs="Times New Roman"/>
          <w:spacing w:val="-15"/>
          <w:sz w:val="23"/>
          <w:szCs w:val="23"/>
        </w:rPr>
        <w:t>2</w:t>
      </w:r>
      <w:r>
        <w:rPr>
          <w:rFonts w:ascii="Times New Roman" w:hAnsi="Times New Roman" w:eastAsia="Times New Roman" w:cs="Times New Roman"/>
          <w:spacing w:val="-8"/>
          <w:sz w:val="23"/>
          <w:szCs w:val="23"/>
        </w:rPr>
        <w:t xml:space="preserve">015 </w:t>
      </w:r>
      <w:r>
        <w:rPr>
          <w:rFonts w:ascii="宋体" w:hAnsi="宋体" w:eastAsia="宋体" w:cs="宋体"/>
          <w:spacing w:val="-8"/>
          <w:sz w:val="23"/>
          <w:szCs w:val="23"/>
        </w:rPr>
        <w:t xml:space="preserve">年 </w:t>
      </w:r>
      <w:r>
        <w:rPr>
          <w:rFonts w:ascii="Times New Roman" w:hAnsi="Times New Roman" w:eastAsia="Times New Roman" w:cs="Times New Roman"/>
          <w:spacing w:val="-8"/>
          <w:sz w:val="23"/>
          <w:szCs w:val="23"/>
        </w:rPr>
        <w:t xml:space="preserve">4 </w:t>
      </w:r>
      <w:r>
        <w:rPr>
          <w:rFonts w:ascii="宋体" w:hAnsi="宋体" w:eastAsia="宋体" w:cs="宋体"/>
          <w:spacing w:val="-8"/>
          <w:sz w:val="23"/>
          <w:szCs w:val="23"/>
        </w:rPr>
        <w:t xml:space="preserve">月 </w:t>
      </w:r>
      <w:r>
        <w:rPr>
          <w:rFonts w:ascii="Times New Roman" w:hAnsi="Times New Roman" w:eastAsia="Times New Roman" w:cs="Times New Roman"/>
          <w:spacing w:val="-8"/>
          <w:sz w:val="23"/>
          <w:szCs w:val="23"/>
        </w:rPr>
        <w:t xml:space="preserve">2 </w:t>
      </w:r>
      <w:r>
        <w:rPr>
          <w:rFonts w:ascii="宋体" w:hAnsi="宋体" w:eastAsia="宋体" w:cs="宋体"/>
          <w:spacing w:val="-8"/>
          <w:sz w:val="23"/>
          <w:szCs w:val="23"/>
        </w:rPr>
        <w:t>日；</w:t>
      </w:r>
    </w:p>
    <w:p w14:paraId="72ADF954">
      <w:pPr>
        <w:spacing w:line="287" w:lineRule="auto"/>
        <w:rPr>
          <w:rFonts w:ascii="Arial"/>
          <w:sz w:val="21"/>
        </w:rPr>
      </w:pPr>
    </w:p>
    <w:p w14:paraId="7E596054">
      <w:pPr>
        <w:spacing w:before="75" w:line="227" w:lineRule="auto"/>
        <w:ind w:left="483"/>
        <w:rPr>
          <w:rFonts w:ascii="Times New Roman" w:hAnsi="Times New Roman" w:eastAsia="Times New Roman" w:cs="Times New Roman"/>
          <w:sz w:val="23"/>
          <w:szCs w:val="23"/>
        </w:rPr>
      </w:pPr>
      <w:r>
        <w:rPr>
          <w:rFonts w:ascii="宋体" w:hAnsi="宋体" w:eastAsia="宋体" w:cs="宋体"/>
          <w:spacing w:val="-10"/>
          <w:sz w:val="20"/>
          <w:szCs w:val="20"/>
        </w:rPr>
        <w:t>(</w:t>
      </w:r>
      <w:r>
        <w:rPr>
          <w:rFonts w:ascii="Times New Roman" w:hAnsi="Times New Roman" w:eastAsia="Times New Roman" w:cs="Times New Roman"/>
          <w:spacing w:val="-10"/>
          <w:sz w:val="20"/>
          <w:szCs w:val="20"/>
        </w:rPr>
        <w:t>16</w:t>
      </w:r>
      <w:r>
        <w:rPr>
          <w:rFonts w:ascii="宋体" w:hAnsi="宋体" w:eastAsia="宋体" w:cs="宋体"/>
          <w:spacing w:val="-10"/>
          <w:sz w:val="20"/>
          <w:szCs w:val="20"/>
        </w:rPr>
        <w:t xml:space="preserve">) </w:t>
      </w:r>
      <w:r>
        <w:rPr>
          <w:rFonts w:ascii="宋体" w:hAnsi="宋体" w:eastAsia="宋体" w:cs="宋体"/>
          <w:spacing w:val="-8"/>
          <w:sz w:val="20"/>
          <w:szCs w:val="20"/>
        </w:rPr>
        <w:t xml:space="preserve"> </w:t>
      </w:r>
      <w:r>
        <w:rPr>
          <w:rFonts w:ascii="宋体" w:hAnsi="宋体" w:eastAsia="宋体" w:cs="宋体"/>
          <w:spacing w:val="-5"/>
          <w:sz w:val="23"/>
          <w:szCs w:val="23"/>
        </w:rPr>
        <w:t>《危险化学品安全管理条例》(</w:t>
      </w:r>
      <w:r>
        <w:rPr>
          <w:rFonts w:ascii="Times New Roman" w:hAnsi="Times New Roman" w:eastAsia="Times New Roman" w:cs="Times New Roman"/>
          <w:spacing w:val="-5"/>
          <w:sz w:val="23"/>
          <w:szCs w:val="23"/>
        </w:rPr>
        <w:t xml:space="preserve">2002.01.26 </w:t>
      </w:r>
      <w:r>
        <w:rPr>
          <w:rFonts w:ascii="宋体" w:hAnsi="宋体" w:eastAsia="宋体" w:cs="宋体"/>
          <w:spacing w:val="-5"/>
          <w:sz w:val="23"/>
          <w:szCs w:val="23"/>
        </w:rPr>
        <w:t xml:space="preserve">国务院令第 </w:t>
      </w:r>
      <w:r>
        <w:rPr>
          <w:rFonts w:ascii="Times New Roman" w:hAnsi="Times New Roman" w:eastAsia="Times New Roman" w:cs="Times New Roman"/>
          <w:spacing w:val="-5"/>
          <w:sz w:val="23"/>
          <w:szCs w:val="23"/>
        </w:rPr>
        <w:t xml:space="preserve">344 </w:t>
      </w:r>
      <w:r>
        <w:rPr>
          <w:rFonts w:ascii="宋体" w:hAnsi="宋体" w:eastAsia="宋体" w:cs="宋体"/>
          <w:spacing w:val="-5"/>
          <w:sz w:val="23"/>
          <w:szCs w:val="23"/>
        </w:rPr>
        <w:t>号) ，</w:t>
      </w:r>
      <w:r>
        <w:rPr>
          <w:rFonts w:ascii="Times New Roman" w:hAnsi="Times New Roman" w:eastAsia="Times New Roman" w:cs="Times New Roman"/>
          <w:spacing w:val="-5"/>
          <w:sz w:val="23"/>
          <w:szCs w:val="23"/>
        </w:rPr>
        <w:t>2013. 12.7</w:t>
      </w:r>
    </w:p>
    <w:p w14:paraId="5985A292">
      <w:pPr>
        <w:spacing w:before="198" w:line="227" w:lineRule="auto"/>
        <w:ind w:left="23"/>
        <w:rPr>
          <w:rFonts w:ascii="宋体" w:hAnsi="宋体" w:eastAsia="宋体" w:cs="宋体"/>
          <w:sz w:val="23"/>
          <w:szCs w:val="23"/>
        </w:rPr>
      </w:pPr>
      <w:r>
        <w:rPr>
          <w:rFonts w:ascii="宋体" w:hAnsi="宋体" w:eastAsia="宋体" w:cs="宋体"/>
          <w:spacing w:val="-2"/>
          <w:sz w:val="23"/>
          <w:szCs w:val="23"/>
        </w:rPr>
        <w:t>修</w:t>
      </w:r>
      <w:r>
        <w:rPr>
          <w:rFonts w:ascii="宋体" w:hAnsi="宋体" w:eastAsia="宋体" w:cs="宋体"/>
          <w:spacing w:val="-1"/>
          <w:sz w:val="23"/>
          <w:szCs w:val="23"/>
        </w:rPr>
        <w:t>订；</w:t>
      </w:r>
    </w:p>
    <w:p w14:paraId="74C53A8A">
      <w:pPr>
        <w:sectPr>
          <w:headerReference r:id="rId44" w:type="default"/>
          <w:footerReference r:id="rId45" w:type="default"/>
          <w:pgSz w:w="11906" w:h="16839"/>
          <w:pgMar w:top="1132" w:right="1750" w:bottom="1156" w:left="1785" w:header="878" w:footer="996" w:gutter="0"/>
          <w:cols w:space="720" w:num="1"/>
        </w:sectPr>
      </w:pPr>
    </w:p>
    <w:p w14:paraId="610228B5">
      <w:pPr>
        <w:spacing w:line="408" w:lineRule="auto"/>
        <w:rPr>
          <w:rFonts w:ascii="Arial"/>
          <w:sz w:val="21"/>
        </w:rPr>
      </w:pPr>
      <w:r>
        <w:pict>
          <v:shape id="_x0000_s1082" o:spid="_x0000_s1082" style="position:absolute;left:0pt;margin-left:90pt;margin-top:57.35pt;height:0.75pt;width:415.3pt;mso-position-horizontal-relative:page;mso-position-vertical-relative:page;z-index:251719680;mso-width-relative:page;mso-height-relative:page;" fillcolor="#000000" filled="t" stroked="f" coordsize="8305,15" o:allowincell="f" path="m0,0l8305,0,8305,14,0,14,0,0xe">
            <v:path/>
            <v:fill on="t" focussize="0,0"/>
            <v:stroke on="f"/>
            <v:imagedata o:title=""/>
            <o:lock v:ext="edit"/>
          </v:shape>
        </w:pict>
      </w:r>
    </w:p>
    <w:p w14:paraId="6B540B93">
      <w:pPr>
        <w:spacing w:before="75" w:line="227" w:lineRule="auto"/>
        <w:ind w:left="462"/>
        <w:rPr>
          <w:rFonts w:ascii="宋体" w:hAnsi="宋体" w:eastAsia="宋体" w:cs="宋体"/>
          <w:sz w:val="23"/>
          <w:szCs w:val="23"/>
        </w:rPr>
      </w:pPr>
      <w:r>
        <w:rPr>
          <w:rFonts w:ascii="宋体" w:hAnsi="宋体" w:eastAsia="宋体" w:cs="宋体"/>
          <w:spacing w:val="-24"/>
          <w:sz w:val="23"/>
          <w:szCs w:val="23"/>
        </w:rPr>
        <w:t>(</w:t>
      </w:r>
      <w:r>
        <w:rPr>
          <w:rFonts w:ascii="Times New Roman" w:hAnsi="Times New Roman" w:eastAsia="Times New Roman" w:cs="Times New Roman"/>
          <w:spacing w:val="-24"/>
          <w:sz w:val="23"/>
          <w:szCs w:val="23"/>
        </w:rPr>
        <w:t>1</w:t>
      </w:r>
      <w:r>
        <w:rPr>
          <w:rFonts w:ascii="Times New Roman" w:hAnsi="Times New Roman" w:eastAsia="Times New Roman" w:cs="Times New Roman"/>
          <w:spacing w:val="-17"/>
          <w:sz w:val="23"/>
          <w:szCs w:val="23"/>
        </w:rPr>
        <w:t>7</w:t>
      </w:r>
      <w:r>
        <w:rPr>
          <w:rFonts w:ascii="宋体" w:hAnsi="宋体" w:eastAsia="宋体" w:cs="宋体"/>
          <w:spacing w:val="-12"/>
          <w:sz w:val="23"/>
          <w:szCs w:val="23"/>
        </w:rPr>
        <w:t>)  《国家危险废物名录》  (环境保护部令第</w:t>
      </w:r>
      <w:r>
        <w:rPr>
          <w:rFonts w:ascii="Times New Roman" w:hAnsi="Times New Roman" w:eastAsia="Times New Roman" w:cs="Times New Roman"/>
          <w:spacing w:val="-12"/>
          <w:sz w:val="23"/>
          <w:szCs w:val="23"/>
        </w:rPr>
        <w:t xml:space="preserve">39 </w:t>
      </w:r>
      <w:r>
        <w:rPr>
          <w:rFonts w:ascii="宋体" w:hAnsi="宋体" w:eastAsia="宋体" w:cs="宋体"/>
          <w:spacing w:val="-12"/>
          <w:sz w:val="23"/>
          <w:szCs w:val="23"/>
        </w:rPr>
        <w:t>号) ，</w:t>
      </w:r>
      <w:r>
        <w:rPr>
          <w:rFonts w:ascii="Times New Roman" w:hAnsi="Times New Roman" w:eastAsia="Times New Roman" w:cs="Times New Roman"/>
          <w:spacing w:val="-12"/>
          <w:sz w:val="23"/>
          <w:szCs w:val="23"/>
        </w:rPr>
        <w:t xml:space="preserve">2016 </w:t>
      </w:r>
      <w:r>
        <w:rPr>
          <w:rFonts w:ascii="宋体" w:hAnsi="宋体" w:eastAsia="宋体" w:cs="宋体"/>
          <w:spacing w:val="-12"/>
          <w:sz w:val="23"/>
          <w:szCs w:val="23"/>
        </w:rPr>
        <w:t>年</w:t>
      </w:r>
      <w:r>
        <w:rPr>
          <w:rFonts w:ascii="Times New Roman" w:hAnsi="Times New Roman" w:eastAsia="Times New Roman" w:cs="Times New Roman"/>
          <w:spacing w:val="-12"/>
          <w:sz w:val="23"/>
          <w:szCs w:val="23"/>
        </w:rPr>
        <w:t xml:space="preserve">8 </w:t>
      </w:r>
      <w:r>
        <w:rPr>
          <w:rFonts w:ascii="宋体" w:hAnsi="宋体" w:eastAsia="宋体" w:cs="宋体"/>
          <w:spacing w:val="-12"/>
          <w:sz w:val="23"/>
          <w:szCs w:val="23"/>
        </w:rPr>
        <w:t xml:space="preserve">月 </w:t>
      </w:r>
      <w:r>
        <w:rPr>
          <w:rFonts w:ascii="Times New Roman" w:hAnsi="Times New Roman" w:eastAsia="Times New Roman" w:cs="Times New Roman"/>
          <w:spacing w:val="-12"/>
          <w:sz w:val="23"/>
          <w:szCs w:val="23"/>
        </w:rPr>
        <w:t xml:space="preserve">1 </w:t>
      </w:r>
      <w:r>
        <w:rPr>
          <w:rFonts w:ascii="宋体" w:hAnsi="宋体" w:eastAsia="宋体" w:cs="宋体"/>
          <w:spacing w:val="-12"/>
          <w:sz w:val="23"/>
          <w:szCs w:val="23"/>
        </w:rPr>
        <w:t>日起实施；</w:t>
      </w:r>
    </w:p>
    <w:p w14:paraId="41C3DFCA">
      <w:pPr>
        <w:spacing w:line="289" w:lineRule="auto"/>
        <w:rPr>
          <w:rFonts w:ascii="Arial"/>
          <w:sz w:val="21"/>
        </w:rPr>
      </w:pPr>
    </w:p>
    <w:p w14:paraId="2DD21667">
      <w:pPr>
        <w:spacing w:before="74" w:line="226" w:lineRule="auto"/>
        <w:ind w:left="462"/>
        <w:rPr>
          <w:rFonts w:ascii="宋体" w:hAnsi="宋体" w:eastAsia="宋体" w:cs="宋体"/>
          <w:sz w:val="23"/>
          <w:szCs w:val="23"/>
        </w:rPr>
      </w:pPr>
      <w:r>
        <w:rPr>
          <w:rFonts w:ascii="宋体" w:hAnsi="宋体" w:eastAsia="宋体" w:cs="宋体"/>
          <w:spacing w:val="-23"/>
          <w:sz w:val="23"/>
          <w:szCs w:val="23"/>
        </w:rPr>
        <w:t>(</w:t>
      </w:r>
      <w:r>
        <w:rPr>
          <w:rFonts w:ascii="Times New Roman" w:hAnsi="Times New Roman" w:eastAsia="Times New Roman" w:cs="Times New Roman"/>
          <w:spacing w:val="-13"/>
          <w:sz w:val="23"/>
          <w:szCs w:val="23"/>
        </w:rPr>
        <w:t>18</w:t>
      </w:r>
      <w:r>
        <w:rPr>
          <w:rFonts w:ascii="宋体" w:hAnsi="宋体" w:eastAsia="宋体" w:cs="宋体"/>
          <w:spacing w:val="-13"/>
          <w:sz w:val="23"/>
          <w:szCs w:val="23"/>
        </w:rPr>
        <w:t>)  《环境影响评价公众参与办法》  (部令第</w:t>
      </w:r>
      <w:r>
        <w:rPr>
          <w:rFonts w:ascii="Times New Roman" w:hAnsi="Times New Roman" w:eastAsia="Times New Roman" w:cs="Times New Roman"/>
          <w:spacing w:val="-13"/>
          <w:sz w:val="23"/>
          <w:szCs w:val="23"/>
        </w:rPr>
        <w:t xml:space="preserve">4 </w:t>
      </w:r>
      <w:r>
        <w:rPr>
          <w:rFonts w:ascii="宋体" w:hAnsi="宋体" w:eastAsia="宋体" w:cs="宋体"/>
          <w:spacing w:val="-13"/>
          <w:sz w:val="23"/>
          <w:szCs w:val="23"/>
        </w:rPr>
        <w:t>号) ，</w:t>
      </w:r>
      <w:r>
        <w:rPr>
          <w:rFonts w:ascii="Times New Roman" w:hAnsi="Times New Roman" w:eastAsia="Times New Roman" w:cs="Times New Roman"/>
          <w:spacing w:val="-13"/>
          <w:sz w:val="23"/>
          <w:szCs w:val="23"/>
        </w:rPr>
        <w:t xml:space="preserve">2019 </w:t>
      </w:r>
      <w:r>
        <w:rPr>
          <w:rFonts w:ascii="宋体" w:hAnsi="宋体" w:eastAsia="宋体" w:cs="宋体"/>
          <w:spacing w:val="-13"/>
          <w:sz w:val="23"/>
          <w:szCs w:val="23"/>
        </w:rPr>
        <w:t xml:space="preserve">年 </w:t>
      </w:r>
      <w:r>
        <w:rPr>
          <w:rFonts w:ascii="Times New Roman" w:hAnsi="Times New Roman" w:eastAsia="Times New Roman" w:cs="Times New Roman"/>
          <w:spacing w:val="-13"/>
          <w:sz w:val="23"/>
          <w:szCs w:val="23"/>
        </w:rPr>
        <w:t xml:space="preserve">1 </w:t>
      </w:r>
      <w:r>
        <w:rPr>
          <w:rFonts w:ascii="宋体" w:hAnsi="宋体" w:eastAsia="宋体" w:cs="宋体"/>
          <w:spacing w:val="-13"/>
          <w:sz w:val="23"/>
          <w:szCs w:val="23"/>
        </w:rPr>
        <w:t xml:space="preserve">月 </w:t>
      </w:r>
      <w:r>
        <w:rPr>
          <w:rFonts w:ascii="Times New Roman" w:hAnsi="Times New Roman" w:eastAsia="Times New Roman" w:cs="Times New Roman"/>
          <w:spacing w:val="-13"/>
          <w:sz w:val="23"/>
          <w:szCs w:val="23"/>
        </w:rPr>
        <w:t xml:space="preserve">1 </w:t>
      </w:r>
      <w:r>
        <w:rPr>
          <w:rFonts w:ascii="宋体" w:hAnsi="宋体" w:eastAsia="宋体" w:cs="宋体"/>
          <w:spacing w:val="-13"/>
          <w:sz w:val="23"/>
          <w:szCs w:val="23"/>
        </w:rPr>
        <w:t>日起施行；</w:t>
      </w:r>
    </w:p>
    <w:p w14:paraId="6A3E0628">
      <w:pPr>
        <w:spacing w:line="244" w:lineRule="auto"/>
        <w:rPr>
          <w:rFonts w:ascii="Arial"/>
          <w:sz w:val="21"/>
        </w:rPr>
      </w:pPr>
    </w:p>
    <w:p w14:paraId="4A7F3E58">
      <w:pPr>
        <w:spacing w:before="75" w:line="323" w:lineRule="exact"/>
        <w:ind w:left="486"/>
        <w:rPr>
          <w:rFonts w:ascii="宋体" w:hAnsi="宋体" w:eastAsia="宋体" w:cs="宋体"/>
          <w:sz w:val="23"/>
          <w:szCs w:val="23"/>
        </w:rPr>
      </w:pPr>
      <w:r>
        <w:rPr>
          <w:rFonts w:ascii="宋体" w:hAnsi="宋体" w:eastAsia="宋体" w:cs="宋体"/>
          <w:spacing w:val="-10"/>
          <w:position w:val="1"/>
          <w:sz w:val="23"/>
          <w:szCs w:val="23"/>
        </w:rPr>
        <w:t>(</w:t>
      </w:r>
      <w:r>
        <w:rPr>
          <w:rFonts w:ascii="Times New Roman" w:hAnsi="Times New Roman" w:eastAsia="Times New Roman" w:cs="Times New Roman"/>
          <w:spacing w:val="-7"/>
          <w:position w:val="1"/>
          <w:sz w:val="23"/>
          <w:szCs w:val="23"/>
        </w:rPr>
        <w:t>19</w:t>
      </w:r>
      <w:r>
        <w:rPr>
          <w:rFonts w:ascii="宋体" w:hAnsi="宋体" w:eastAsia="宋体" w:cs="宋体"/>
          <w:spacing w:val="-7"/>
          <w:position w:val="1"/>
          <w:sz w:val="23"/>
          <w:szCs w:val="23"/>
        </w:rPr>
        <w:t>)  《关于启用</w:t>
      </w:r>
      <w:r>
        <w:rPr>
          <w:rFonts w:ascii="Times New Roman" w:hAnsi="Times New Roman" w:eastAsia="Times New Roman" w:cs="Times New Roman"/>
          <w:spacing w:val="-7"/>
          <w:position w:val="1"/>
          <w:sz w:val="23"/>
          <w:szCs w:val="23"/>
        </w:rPr>
        <w:t>&lt;</w:t>
      </w:r>
      <w:r>
        <w:rPr>
          <w:rFonts w:ascii="宋体" w:hAnsi="宋体" w:eastAsia="宋体" w:cs="宋体"/>
          <w:spacing w:val="-7"/>
          <w:position w:val="1"/>
          <w:sz w:val="23"/>
          <w:szCs w:val="23"/>
        </w:rPr>
        <w:t>建设项目环评审批基础信息表</w:t>
      </w:r>
      <w:r>
        <w:rPr>
          <w:rFonts w:ascii="Times New Roman" w:hAnsi="Times New Roman" w:eastAsia="Times New Roman" w:cs="Times New Roman"/>
          <w:spacing w:val="-7"/>
          <w:position w:val="1"/>
          <w:sz w:val="23"/>
          <w:szCs w:val="23"/>
        </w:rPr>
        <w:t>&gt;</w:t>
      </w:r>
      <w:r>
        <w:rPr>
          <w:rFonts w:ascii="宋体" w:hAnsi="宋体" w:eastAsia="宋体" w:cs="宋体"/>
          <w:spacing w:val="-7"/>
          <w:position w:val="1"/>
          <w:sz w:val="23"/>
          <w:szCs w:val="23"/>
        </w:rPr>
        <w:t>的通知》(环办环评函〔</w:t>
      </w:r>
      <w:r>
        <w:rPr>
          <w:rFonts w:ascii="Times New Roman" w:hAnsi="Times New Roman" w:eastAsia="Times New Roman" w:cs="Times New Roman"/>
          <w:spacing w:val="-7"/>
          <w:position w:val="1"/>
          <w:sz w:val="23"/>
          <w:szCs w:val="23"/>
        </w:rPr>
        <w:t>2017</w:t>
      </w:r>
      <w:r>
        <w:rPr>
          <w:rFonts w:ascii="宋体" w:hAnsi="宋体" w:eastAsia="宋体" w:cs="宋体"/>
          <w:spacing w:val="-7"/>
          <w:position w:val="1"/>
          <w:sz w:val="23"/>
          <w:szCs w:val="23"/>
        </w:rPr>
        <w:t>〕</w:t>
      </w:r>
    </w:p>
    <w:p w14:paraId="3F98B7DE">
      <w:pPr>
        <w:spacing w:before="200" w:line="228" w:lineRule="auto"/>
        <w:ind w:left="23"/>
        <w:rPr>
          <w:rFonts w:ascii="宋体" w:hAnsi="宋体" w:eastAsia="宋体" w:cs="宋体"/>
          <w:sz w:val="23"/>
          <w:szCs w:val="23"/>
        </w:rPr>
      </w:pPr>
      <w:r>
        <w:rPr>
          <w:rFonts w:ascii="Times New Roman" w:hAnsi="Times New Roman" w:eastAsia="Times New Roman" w:cs="Times New Roman"/>
          <w:spacing w:val="-2"/>
          <w:sz w:val="23"/>
          <w:szCs w:val="23"/>
        </w:rPr>
        <w:t xml:space="preserve">905 </w:t>
      </w:r>
      <w:r>
        <w:rPr>
          <w:rFonts w:ascii="宋体" w:hAnsi="宋体" w:eastAsia="宋体" w:cs="宋体"/>
          <w:spacing w:val="-2"/>
          <w:sz w:val="23"/>
          <w:szCs w:val="23"/>
        </w:rPr>
        <w:t>号) ，</w:t>
      </w:r>
      <w:r>
        <w:rPr>
          <w:rFonts w:ascii="Times New Roman" w:hAnsi="Times New Roman" w:eastAsia="Times New Roman" w:cs="Times New Roman"/>
          <w:spacing w:val="-2"/>
          <w:sz w:val="23"/>
          <w:szCs w:val="23"/>
        </w:rPr>
        <w:t>2017.6.12</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起施行；</w:t>
      </w:r>
    </w:p>
    <w:p w14:paraId="6F21CA7F">
      <w:pPr>
        <w:spacing w:line="241" w:lineRule="auto"/>
        <w:rPr>
          <w:rFonts w:ascii="Arial"/>
          <w:sz w:val="21"/>
        </w:rPr>
      </w:pPr>
    </w:p>
    <w:p w14:paraId="12E7BF60">
      <w:pPr>
        <w:spacing w:before="75" w:line="323" w:lineRule="exact"/>
        <w:ind w:left="486"/>
        <w:rPr>
          <w:rFonts w:ascii="宋体" w:hAnsi="宋体" w:eastAsia="宋体" w:cs="宋体"/>
          <w:sz w:val="23"/>
          <w:szCs w:val="23"/>
        </w:rPr>
      </w:pPr>
      <w:r>
        <w:rPr>
          <w:rFonts w:ascii="宋体" w:hAnsi="宋体" w:eastAsia="宋体" w:cs="宋体"/>
          <w:spacing w:val="-6"/>
          <w:position w:val="1"/>
          <w:sz w:val="23"/>
          <w:szCs w:val="23"/>
        </w:rPr>
        <w:t>(</w:t>
      </w:r>
      <w:r>
        <w:rPr>
          <w:rFonts w:ascii="Times New Roman" w:hAnsi="Times New Roman" w:eastAsia="Times New Roman" w:cs="Times New Roman"/>
          <w:spacing w:val="-6"/>
          <w:position w:val="1"/>
          <w:sz w:val="23"/>
          <w:szCs w:val="23"/>
        </w:rPr>
        <w:t>20</w:t>
      </w:r>
      <w:r>
        <w:rPr>
          <w:rFonts w:ascii="宋体" w:hAnsi="宋体" w:eastAsia="宋体" w:cs="宋体"/>
          <w:spacing w:val="-6"/>
          <w:position w:val="1"/>
          <w:sz w:val="23"/>
          <w:szCs w:val="23"/>
        </w:rPr>
        <w:t xml:space="preserve">) </w:t>
      </w:r>
      <w:r>
        <w:rPr>
          <w:rFonts w:ascii="宋体" w:hAnsi="宋体" w:eastAsia="宋体" w:cs="宋体"/>
          <w:spacing w:val="-4"/>
          <w:position w:val="1"/>
          <w:sz w:val="23"/>
          <w:szCs w:val="23"/>
        </w:rPr>
        <w:t xml:space="preserve"> </w:t>
      </w:r>
      <w:r>
        <w:rPr>
          <w:rFonts w:ascii="宋体" w:hAnsi="宋体" w:eastAsia="宋体" w:cs="宋体"/>
          <w:spacing w:val="-3"/>
          <w:position w:val="1"/>
          <w:sz w:val="23"/>
          <w:szCs w:val="23"/>
        </w:rPr>
        <w:t>《关于发布</w:t>
      </w:r>
      <w:r>
        <w:rPr>
          <w:rFonts w:ascii="Times New Roman" w:hAnsi="Times New Roman" w:eastAsia="Times New Roman" w:cs="Times New Roman"/>
          <w:spacing w:val="-3"/>
          <w:position w:val="1"/>
          <w:sz w:val="23"/>
          <w:szCs w:val="23"/>
        </w:rPr>
        <w:t>&lt;</w:t>
      </w:r>
      <w:r>
        <w:rPr>
          <w:rFonts w:ascii="宋体" w:hAnsi="宋体" w:eastAsia="宋体" w:cs="宋体"/>
          <w:spacing w:val="-3"/>
          <w:position w:val="1"/>
          <w:sz w:val="23"/>
          <w:szCs w:val="23"/>
        </w:rPr>
        <w:t>废塑料加工利用污染防治管理规定</w:t>
      </w:r>
      <w:r>
        <w:rPr>
          <w:rFonts w:ascii="Times New Roman" w:hAnsi="Times New Roman" w:eastAsia="Times New Roman" w:cs="Times New Roman"/>
          <w:spacing w:val="-3"/>
          <w:position w:val="1"/>
          <w:sz w:val="23"/>
          <w:szCs w:val="23"/>
        </w:rPr>
        <w:t>&gt;</w:t>
      </w:r>
      <w:r>
        <w:rPr>
          <w:rFonts w:ascii="宋体" w:hAnsi="宋体" w:eastAsia="宋体" w:cs="宋体"/>
          <w:spacing w:val="-3"/>
          <w:position w:val="1"/>
          <w:sz w:val="23"/>
          <w:szCs w:val="23"/>
        </w:rPr>
        <w:t>的公告》 ，环境保护部</w:t>
      </w:r>
    </w:p>
    <w:p w14:paraId="33DBA7BE">
      <w:pPr>
        <w:spacing w:before="202" w:line="226" w:lineRule="auto"/>
        <w:ind w:left="30"/>
        <w:rPr>
          <w:rFonts w:ascii="宋体" w:hAnsi="宋体" w:eastAsia="宋体" w:cs="宋体"/>
          <w:sz w:val="23"/>
          <w:szCs w:val="23"/>
        </w:rPr>
      </w:pPr>
      <w:r>
        <w:rPr>
          <w:rFonts w:ascii="宋体" w:hAnsi="宋体" w:eastAsia="宋体" w:cs="宋体"/>
          <w:spacing w:val="-11"/>
          <w:sz w:val="23"/>
          <w:szCs w:val="23"/>
        </w:rPr>
        <w:t>公</w:t>
      </w:r>
      <w:r>
        <w:rPr>
          <w:rFonts w:ascii="宋体" w:hAnsi="宋体" w:eastAsia="宋体" w:cs="宋体"/>
          <w:spacing w:val="-9"/>
          <w:sz w:val="23"/>
          <w:szCs w:val="23"/>
        </w:rPr>
        <w:t xml:space="preserve">告 </w:t>
      </w:r>
      <w:r>
        <w:rPr>
          <w:rFonts w:ascii="Times New Roman" w:hAnsi="Times New Roman" w:eastAsia="Times New Roman" w:cs="Times New Roman"/>
          <w:spacing w:val="-9"/>
          <w:sz w:val="23"/>
          <w:szCs w:val="23"/>
        </w:rPr>
        <w:t xml:space="preserve">2012 </w:t>
      </w:r>
      <w:r>
        <w:rPr>
          <w:rFonts w:ascii="宋体" w:hAnsi="宋体" w:eastAsia="宋体" w:cs="宋体"/>
          <w:spacing w:val="-9"/>
          <w:sz w:val="23"/>
          <w:szCs w:val="23"/>
        </w:rPr>
        <w:t xml:space="preserve">年第 </w:t>
      </w:r>
      <w:r>
        <w:rPr>
          <w:rFonts w:ascii="Times New Roman" w:hAnsi="Times New Roman" w:eastAsia="Times New Roman" w:cs="Times New Roman"/>
          <w:spacing w:val="-9"/>
          <w:sz w:val="23"/>
          <w:szCs w:val="23"/>
        </w:rPr>
        <w:t xml:space="preserve">55 </w:t>
      </w:r>
      <w:r>
        <w:rPr>
          <w:rFonts w:ascii="宋体" w:hAnsi="宋体" w:eastAsia="宋体" w:cs="宋体"/>
          <w:spacing w:val="-9"/>
          <w:sz w:val="23"/>
          <w:szCs w:val="23"/>
        </w:rPr>
        <w:t>号；</w:t>
      </w:r>
    </w:p>
    <w:p w14:paraId="7F844D60">
      <w:pPr>
        <w:spacing w:line="245" w:lineRule="auto"/>
        <w:rPr>
          <w:rFonts w:ascii="Arial"/>
          <w:sz w:val="21"/>
        </w:rPr>
      </w:pPr>
    </w:p>
    <w:p w14:paraId="0ADD17F5">
      <w:pPr>
        <w:spacing w:before="76" w:line="387" w:lineRule="auto"/>
        <w:ind w:left="24" w:right="66" w:firstLine="461"/>
        <w:rPr>
          <w:rFonts w:ascii="宋体" w:hAnsi="宋体" w:eastAsia="宋体" w:cs="宋体"/>
          <w:sz w:val="23"/>
          <w:szCs w:val="23"/>
        </w:rPr>
      </w:pPr>
      <w:r>
        <w:rPr>
          <w:rFonts w:ascii="宋体" w:hAnsi="宋体" w:eastAsia="宋体" w:cs="宋体"/>
          <w:spacing w:val="1"/>
          <w:sz w:val="23"/>
          <w:szCs w:val="23"/>
        </w:rPr>
        <w:t>(</w:t>
      </w:r>
      <w:r>
        <w:rPr>
          <w:rFonts w:ascii="Times New Roman" w:hAnsi="Times New Roman" w:eastAsia="Times New Roman" w:cs="Times New Roman"/>
          <w:spacing w:val="1"/>
          <w:sz w:val="23"/>
          <w:szCs w:val="23"/>
        </w:rPr>
        <w:t>21</w:t>
      </w:r>
      <w:r>
        <w:rPr>
          <w:rFonts w:ascii="宋体" w:hAnsi="宋体" w:eastAsia="宋体" w:cs="宋体"/>
          <w:spacing w:val="1"/>
          <w:sz w:val="23"/>
          <w:szCs w:val="23"/>
        </w:rPr>
        <w:t>)  《关</w:t>
      </w:r>
      <w:r>
        <w:rPr>
          <w:rFonts w:ascii="宋体" w:hAnsi="宋体" w:eastAsia="宋体" w:cs="宋体"/>
          <w:sz w:val="23"/>
          <w:szCs w:val="23"/>
        </w:rPr>
        <w:t>于印发</w:t>
      </w:r>
      <w:r>
        <w:rPr>
          <w:rFonts w:ascii="Times New Roman" w:hAnsi="Times New Roman" w:eastAsia="Times New Roman" w:cs="Times New Roman"/>
          <w:sz w:val="23"/>
          <w:szCs w:val="23"/>
        </w:rPr>
        <w:t>&lt;“</w:t>
      </w:r>
      <w:r>
        <w:rPr>
          <w:rFonts w:ascii="宋体" w:hAnsi="宋体" w:eastAsia="宋体" w:cs="宋体"/>
          <w:sz w:val="23"/>
          <w:szCs w:val="23"/>
        </w:rPr>
        <w:t>十三五</w:t>
      </w:r>
      <w:r>
        <w:rPr>
          <w:rFonts w:ascii="Times New Roman" w:hAnsi="Times New Roman" w:eastAsia="Times New Roman" w:cs="Times New Roman"/>
          <w:sz w:val="23"/>
          <w:szCs w:val="23"/>
        </w:rPr>
        <w:t>”</w:t>
      </w:r>
      <w:r>
        <w:rPr>
          <w:rFonts w:ascii="宋体" w:hAnsi="宋体" w:eastAsia="宋体" w:cs="宋体"/>
          <w:sz w:val="23"/>
          <w:szCs w:val="23"/>
        </w:rPr>
        <w:t>挥发性有机物污染防治工作方案</w:t>
      </w:r>
      <w:r>
        <w:rPr>
          <w:rFonts w:ascii="Times New Roman" w:hAnsi="Times New Roman" w:eastAsia="Times New Roman" w:cs="Times New Roman"/>
          <w:sz w:val="23"/>
          <w:szCs w:val="23"/>
        </w:rPr>
        <w:t>&gt;</w:t>
      </w:r>
      <w:r>
        <w:rPr>
          <w:rFonts w:ascii="宋体" w:hAnsi="宋体" w:eastAsia="宋体" w:cs="宋体"/>
          <w:sz w:val="23"/>
          <w:szCs w:val="23"/>
        </w:rPr>
        <w:t xml:space="preserve">的通知》，环大 </w:t>
      </w:r>
      <w:r>
        <w:rPr>
          <w:rFonts w:ascii="宋体" w:hAnsi="宋体" w:eastAsia="宋体" w:cs="宋体"/>
          <w:spacing w:val="-2"/>
          <w:sz w:val="23"/>
          <w:szCs w:val="23"/>
        </w:rPr>
        <w:t>气</w:t>
      </w:r>
      <w:r>
        <w:rPr>
          <w:rFonts w:ascii="Times New Roman" w:hAnsi="Times New Roman" w:eastAsia="Times New Roman" w:cs="Times New Roman"/>
          <w:spacing w:val="-2"/>
          <w:sz w:val="23"/>
          <w:szCs w:val="23"/>
        </w:rPr>
        <w:t>[2017]121</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号；</w:t>
      </w:r>
    </w:p>
    <w:p w14:paraId="7A74796C">
      <w:pPr>
        <w:spacing w:before="206" w:line="226" w:lineRule="auto"/>
        <w:ind w:left="486"/>
        <w:rPr>
          <w:rFonts w:ascii="Times New Roman" w:hAnsi="Times New Roman" w:eastAsia="Times New Roman" w:cs="Times New Roman"/>
          <w:sz w:val="23"/>
          <w:szCs w:val="23"/>
        </w:rPr>
      </w:pPr>
      <w:r>
        <w:rPr>
          <w:rFonts w:ascii="宋体" w:hAnsi="宋体" w:eastAsia="宋体" w:cs="宋体"/>
          <w:spacing w:val="-4"/>
          <w:sz w:val="23"/>
          <w:szCs w:val="23"/>
        </w:rPr>
        <w:t>(</w:t>
      </w:r>
      <w:r>
        <w:rPr>
          <w:rFonts w:ascii="Times New Roman" w:hAnsi="Times New Roman" w:eastAsia="Times New Roman" w:cs="Times New Roman"/>
          <w:spacing w:val="-4"/>
          <w:sz w:val="23"/>
          <w:szCs w:val="23"/>
        </w:rPr>
        <w:t>22</w:t>
      </w:r>
      <w:r>
        <w:rPr>
          <w:rFonts w:ascii="宋体" w:hAnsi="宋体" w:eastAsia="宋体" w:cs="宋体"/>
          <w:spacing w:val="-4"/>
          <w:sz w:val="23"/>
          <w:szCs w:val="23"/>
        </w:rPr>
        <w:t>)  《挥发</w:t>
      </w:r>
      <w:r>
        <w:rPr>
          <w:rFonts w:ascii="宋体" w:hAnsi="宋体" w:eastAsia="宋体" w:cs="宋体"/>
          <w:spacing w:val="-3"/>
          <w:sz w:val="23"/>
          <w:szCs w:val="23"/>
        </w:rPr>
        <w:t>性</w:t>
      </w:r>
      <w:r>
        <w:rPr>
          <w:rFonts w:ascii="宋体" w:hAnsi="宋体" w:eastAsia="宋体" w:cs="宋体"/>
          <w:spacing w:val="-2"/>
          <w:sz w:val="23"/>
          <w:szCs w:val="23"/>
        </w:rPr>
        <w:t>有机物 (</w:t>
      </w:r>
      <w:r>
        <w:rPr>
          <w:rFonts w:ascii="Times New Roman" w:hAnsi="Times New Roman" w:eastAsia="Times New Roman" w:cs="Times New Roman"/>
          <w:spacing w:val="-2"/>
          <w:sz w:val="23"/>
          <w:szCs w:val="23"/>
        </w:rPr>
        <w:t>VOCs</w:t>
      </w:r>
      <w:r>
        <w:rPr>
          <w:rFonts w:ascii="宋体" w:hAnsi="宋体" w:eastAsia="宋体" w:cs="宋体"/>
          <w:spacing w:val="-2"/>
          <w:sz w:val="23"/>
          <w:szCs w:val="23"/>
        </w:rPr>
        <w:t xml:space="preserve">) 污染防治技术政策》  (环境保护部公告 </w:t>
      </w:r>
      <w:r>
        <w:rPr>
          <w:rFonts w:ascii="Times New Roman" w:hAnsi="Times New Roman" w:eastAsia="Times New Roman" w:cs="Times New Roman"/>
          <w:spacing w:val="-2"/>
          <w:sz w:val="23"/>
          <w:szCs w:val="23"/>
        </w:rPr>
        <w:t>2013</w:t>
      </w:r>
    </w:p>
    <w:p w14:paraId="5B91E879">
      <w:pPr>
        <w:spacing w:before="199" w:line="227" w:lineRule="auto"/>
        <w:ind w:left="24"/>
        <w:rPr>
          <w:rFonts w:ascii="宋体" w:hAnsi="宋体" w:eastAsia="宋体" w:cs="宋体"/>
          <w:sz w:val="23"/>
          <w:szCs w:val="23"/>
        </w:rPr>
      </w:pPr>
      <w:r>
        <w:rPr>
          <w:rFonts w:ascii="宋体" w:hAnsi="宋体" w:eastAsia="宋体" w:cs="宋体"/>
          <w:spacing w:val="-8"/>
          <w:sz w:val="23"/>
          <w:szCs w:val="23"/>
        </w:rPr>
        <w:t>年</w:t>
      </w:r>
      <w:r>
        <w:rPr>
          <w:rFonts w:ascii="宋体" w:hAnsi="宋体" w:eastAsia="宋体" w:cs="宋体"/>
          <w:spacing w:val="-6"/>
          <w:sz w:val="23"/>
          <w:szCs w:val="23"/>
        </w:rPr>
        <w:t>第</w:t>
      </w:r>
      <w:r>
        <w:rPr>
          <w:rFonts w:ascii="宋体" w:hAnsi="宋体" w:eastAsia="宋体" w:cs="宋体"/>
          <w:spacing w:val="-4"/>
          <w:sz w:val="23"/>
          <w:szCs w:val="23"/>
        </w:rPr>
        <w:t xml:space="preserve"> </w:t>
      </w:r>
      <w:r>
        <w:rPr>
          <w:rFonts w:ascii="Times New Roman" w:hAnsi="Times New Roman" w:eastAsia="Times New Roman" w:cs="Times New Roman"/>
          <w:spacing w:val="-4"/>
          <w:sz w:val="23"/>
          <w:szCs w:val="23"/>
        </w:rPr>
        <w:t xml:space="preserve">31 </w:t>
      </w:r>
      <w:r>
        <w:rPr>
          <w:rFonts w:ascii="宋体" w:hAnsi="宋体" w:eastAsia="宋体" w:cs="宋体"/>
          <w:spacing w:val="-4"/>
          <w:sz w:val="23"/>
          <w:szCs w:val="23"/>
        </w:rPr>
        <w:t>号) ，</w:t>
      </w:r>
      <w:r>
        <w:rPr>
          <w:rFonts w:ascii="Times New Roman" w:hAnsi="Times New Roman" w:eastAsia="Times New Roman" w:cs="Times New Roman"/>
          <w:spacing w:val="-4"/>
          <w:sz w:val="23"/>
          <w:szCs w:val="23"/>
        </w:rPr>
        <w:t xml:space="preserve">2013.05.24 </w:t>
      </w:r>
      <w:r>
        <w:rPr>
          <w:rFonts w:ascii="宋体" w:hAnsi="宋体" w:eastAsia="宋体" w:cs="宋体"/>
          <w:spacing w:val="-4"/>
          <w:sz w:val="23"/>
          <w:szCs w:val="23"/>
        </w:rPr>
        <w:t>起施行。</w:t>
      </w:r>
    </w:p>
    <w:p w14:paraId="41DF1F35">
      <w:pPr>
        <w:spacing w:before="311" w:line="224" w:lineRule="auto"/>
        <w:ind w:left="21"/>
        <w:outlineLvl w:val="2"/>
        <w:rPr>
          <w:rFonts w:ascii="宋体" w:hAnsi="宋体" w:eastAsia="宋体" w:cs="宋体"/>
          <w:sz w:val="29"/>
          <w:szCs w:val="29"/>
        </w:rPr>
      </w:pPr>
      <w:r>
        <w:rPr>
          <w:rFonts w:ascii="Times New Roman" w:hAnsi="Times New Roman" w:eastAsia="Times New Roman" w:cs="Times New Roman"/>
          <w:b/>
          <w:bCs/>
          <w:spacing w:val="-2"/>
          <w:sz w:val="29"/>
          <w:szCs w:val="29"/>
        </w:rPr>
        <w:t>2.2.2</w:t>
      </w:r>
      <w:r>
        <w:rPr>
          <w:rFonts w:ascii="Times New Roman" w:hAnsi="Times New Roman" w:eastAsia="Times New Roman" w:cs="Times New Roman"/>
          <w:spacing w:val="-2"/>
          <w:sz w:val="29"/>
          <w:szCs w:val="29"/>
        </w:rPr>
        <w:t xml:space="preserve">  </w:t>
      </w:r>
      <w:r>
        <w:rPr>
          <w:rFonts w:ascii="宋体" w:hAnsi="宋体" w:eastAsia="宋体" w:cs="宋体"/>
          <w:spacing w:val="-2"/>
          <w:sz w:val="29"/>
          <w:szCs w:val="29"/>
          <w14:textOutline w14:w="5448" w14:cap="sq" w14:cmpd="sng">
            <w14:solidFill>
              <w14:srgbClr w14:val="000000"/>
            </w14:solidFill>
            <w14:prstDash w14:val="solid"/>
            <w14:bevel/>
          </w14:textOutline>
        </w:rPr>
        <w:t>建设项目环境影响评价的地方性法规和</w:t>
      </w:r>
      <w:r>
        <w:rPr>
          <w:rFonts w:ascii="宋体" w:hAnsi="宋体" w:eastAsia="宋体" w:cs="宋体"/>
          <w:spacing w:val="-1"/>
          <w:sz w:val="29"/>
          <w:szCs w:val="29"/>
          <w14:textOutline w14:w="5448" w14:cap="sq" w14:cmpd="sng">
            <w14:solidFill>
              <w14:srgbClr w14:val="000000"/>
            </w14:solidFill>
            <w14:prstDash w14:val="solid"/>
            <w14:bevel/>
          </w14:textOutline>
        </w:rPr>
        <w:t>规</w:t>
      </w:r>
      <w:r>
        <w:rPr>
          <w:rFonts w:ascii="宋体" w:hAnsi="宋体" w:eastAsia="宋体" w:cs="宋体"/>
          <w:sz w:val="29"/>
          <w:szCs w:val="29"/>
          <w14:textOutline w14:w="5448" w14:cap="sq" w14:cmpd="sng">
            <w14:solidFill>
              <w14:srgbClr w14:val="000000"/>
            </w14:solidFill>
            <w14:prstDash w14:val="solid"/>
            <w14:bevel/>
          </w14:textOutline>
        </w:rPr>
        <w:t>章</w:t>
      </w:r>
    </w:p>
    <w:p w14:paraId="18161BAF">
      <w:pPr>
        <w:spacing w:line="270" w:lineRule="auto"/>
        <w:rPr>
          <w:rFonts w:ascii="Arial"/>
          <w:sz w:val="21"/>
        </w:rPr>
      </w:pPr>
    </w:p>
    <w:p w14:paraId="7AE7A8F7">
      <w:pPr>
        <w:spacing w:before="75" w:line="393" w:lineRule="auto"/>
        <w:ind w:left="29" w:right="75" w:firstLine="456"/>
        <w:rPr>
          <w:rFonts w:ascii="宋体" w:hAnsi="宋体" w:eastAsia="宋体" w:cs="宋体"/>
          <w:sz w:val="23"/>
          <w:szCs w:val="23"/>
        </w:rPr>
      </w:pPr>
      <w:r>
        <w:rPr>
          <w:rFonts w:ascii="宋体" w:hAnsi="宋体" w:eastAsia="宋体" w:cs="宋体"/>
          <w:spacing w:val="-6"/>
          <w:sz w:val="23"/>
          <w:szCs w:val="23"/>
        </w:rPr>
        <w:t>(</w:t>
      </w:r>
      <w:r>
        <w:rPr>
          <w:rFonts w:ascii="Times New Roman" w:hAnsi="Times New Roman" w:eastAsia="Times New Roman" w:cs="Times New Roman"/>
          <w:spacing w:val="-6"/>
          <w:sz w:val="23"/>
          <w:szCs w:val="23"/>
        </w:rPr>
        <w:t>1</w:t>
      </w:r>
      <w:r>
        <w:rPr>
          <w:rFonts w:ascii="宋体" w:hAnsi="宋体" w:eastAsia="宋体" w:cs="宋体"/>
          <w:spacing w:val="-6"/>
          <w:sz w:val="23"/>
          <w:szCs w:val="23"/>
        </w:rPr>
        <w:t xml:space="preserve">)  《辽宁省环境保护条例》，辽宁省第十二届人民代表大会常务委员会第 </w:t>
      </w:r>
      <w:r>
        <w:rPr>
          <w:rFonts w:ascii="Times New Roman" w:hAnsi="Times New Roman" w:eastAsia="Times New Roman" w:cs="Times New Roman"/>
          <w:spacing w:val="-6"/>
          <w:sz w:val="23"/>
          <w:szCs w:val="23"/>
        </w:rPr>
        <w:t>3</w:t>
      </w:r>
      <w:r>
        <w:rPr>
          <w:rFonts w:ascii="Times New Roman" w:hAnsi="Times New Roman" w:eastAsia="Times New Roman" w:cs="Times New Roman"/>
          <w:sz w:val="23"/>
          <w:szCs w:val="23"/>
        </w:rPr>
        <w:t xml:space="preserve">8 </w:t>
      </w:r>
      <w:r>
        <w:rPr>
          <w:rFonts w:ascii="宋体" w:hAnsi="宋体" w:eastAsia="宋体" w:cs="宋体"/>
          <w:spacing w:val="-12"/>
          <w:sz w:val="23"/>
          <w:szCs w:val="23"/>
        </w:rPr>
        <w:t>次会议</w:t>
      </w:r>
      <w:r>
        <w:rPr>
          <w:rFonts w:ascii="宋体" w:hAnsi="宋体" w:eastAsia="宋体" w:cs="宋体"/>
          <w:spacing w:val="-6"/>
          <w:sz w:val="23"/>
          <w:szCs w:val="23"/>
        </w:rPr>
        <w:t>审议通过，</w:t>
      </w:r>
      <w:r>
        <w:rPr>
          <w:rFonts w:ascii="Times New Roman" w:hAnsi="Times New Roman" w:eastAsia="Times New Roman" w:cs="Times New Roman"/>
          <w:spacing w:val="-6"/>
          <w:sz w:val="23"/>
          <w:szCs w:val="23"/>
        </w:rPr>
        <w:t xml:space="preserve">2018 </w:t>
      </w:r>
      <w:r>
        <w:rPr>
          <w:rFonts w:ascii="宋体" w:hAnsi="宋体" w:eastAsia="宋体" w:cs="宋体"/>
          <w:spacing w:val="-6"/>
          <w:sz w:val="23"/>
          <w:szCs w:val="23"/>
        </w:rPr>
        <w:t xml:space="preserve">年 </w:t>
      </w:r>
      <w:r>
        <w:rPr>
          <w:rFonts w:ascii="Times New Roman" w:hAnsi="Times New Roman" w:eastAsia="Times New Roman" w:cs="Times New Roman"/>
          <w:spacing w:val="-6"/>
          <w:sz w:val="23"/>
          <w:szCs w:val="23"/>
        </w:rPr>
        <w:t xml:space="preserve">2 </w:t>
      </w:r>
      <w:r>
        <w:rPr>
          <w:rFonts w:ascii="宋体" w:hAnsi="宋体" w:eastAsia="宋体" w:cs="宋体"/>
          <w:spacing w:val="-6"/>
          <w:sz w:val="23"/>
          <w:szCs w:val="23"/>
        </w:rPr>
        <w:t xml:space="preserve">月 </w:t>
      </w:r>
      <w:r>
        <w:rPr>
          <w:rFonts w:ascii="Times New Roman" w:hAnsi="Times New Roman" w:eastAsia="Times New Roman" w:cs="Times New Roman"/>
          <w:spacing w:val="-6"/>
          <w:sz w:val="23"/>
          <w:szCs w:val="23"/>
        </w:rPr>
        <w:t xml:space="preserve">1 </w:t>
      </w:r>
      <w:r>
        <w:rPr>
          <w:rFonts w:ascii="宋体" w:hAnsi="宋体" w:eastAsia="宋体" w:cs="宋体"/>
          <w:spacing w:val="-6"/>
          <w:sz w:val="23"/>
          <w:szCs w:val="23"/>
        </w:rPr>
        <w:t>日起施行；</w:t>
      </w:r>
    </w:p>
    <w:p w14:paraId="0EEA22A8">
      <w:pPr>
        <w:spacing w:before="149" w:line="227" w:lineRule="auto"/>
        <w:ind w:left="486"/>
        <w:rPr>
          <w:rFonts w:ascii="Times New Roman" w:hAnsi="Times New Roman" w:eastAsia="Times New Roman" w:cs="Times New Roman"/>
          <w:sz w:val="23"/>
          <w:szCs w:val="23"/>
        </w:rPr>
      </w:pPr>
      <w:r>
        <w:rPr>
          <w:rFonts w:ascii="宋体" w:hAnsi="宋体" w:eastAsia="宋体" w:cs="宋体"/>
          <w:spacing w:val="2"/>
          <w:sz w:val="23"/>
          <w:szCs w:val="23"/>
        </w:rPr>
        <w:t>(</w:t>
      </w:r>
      <w:r>
        <w:rPr>
          <w:rFonts w:ascii="Times New Roman" w:hAnsi="Times New Roman" w:eastAsia="Times New Roman" w:cs="Times New Roman"/>
          <w:spacing w:val="2"/>
          <w:sz w:val="23"/>
          <w:szCs w:val="23"/>
        </w:rPr>
        <w:t>2</w:t>
      </w:r>
      <w:r>
        <w:rPr>
          <w:rFonts w:ascii="宋体" w:hAnsi="宋体" w:eastAsia="宋体" w:cs="宋体"/>
          <w:spacing w:val="2"/>
          <w:sz w:val="23"/>
          <w:szCs w:val="23"/>
        </w:rPr>
        <w:t>)  《辽宁省产业发展指导目录 (</w:t>
      </w:r>
      <w:r>
        <w:rPr>
          <w:rFonts w:ascii="Times New Roman" w:hAnsi="Times New Roman" w:eastAsia="Times New Roman" w:cs="Times New Roman"/>
          <w:spacing w:val="2"/>
          <w:sz w:val="23"/>
          <w:szCs w:val="23"/>
        </w:rPr>
        <w:t>2008</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年本) 》，辽宁省经济委员会，</w:t>
      </w:r>
      <w:r>
        <w:rPr>
          <w:rFonts w:ascii="Times New Roman" w:hAnsi="Times New Roman" w:eastAsia="Times New Roman" w:cs="Times New Roman"/>
          <w:spacing w:val="1"/>
          <w:sz w:val="23"/>
          <w:szCs w:val="23"/>
        </w:rPr>
        <w:t>2008</w:t>
      </w:r>
    </w:p>
    <w:p w14:paraId="0EF58CE9">
      <w:pPr>
        <w:spacing w:before="198" w:line="227" w:lineRule="auto"/>
        <w:ind w:left="24"/>
        <w:rPr>
          <w:rFonts w:ascii="宋体" w:hAnsi="宋体" w:eastAsia="宋体" w:cs="宋体"/>
          <w:sz w:val="23"/>
          <w:szCs w:val="23"/>
        </w:rPr>
      </w:pPr>
      <w:r>
        <w:rPr>
          <w:rFonts w:ascii="宋体" w:hAnsi="宋体" w:eastAsia="宋体" w:cs="宋体"/>
          <w:spacing w:val="-11"/>
          <w:sz w:val="23"/>
          <w:szCs w:val="23"/>
        </w:rPr>
        <w:t>年</w:t>
      </w:r>
      <w:r>
        <w:rPr>
          <w:rFonts w:ascii="宋体" w:hAnsi="宋体" w:eastAsia="宋体" w:cs="宋体"/>
          <w:spacing w:val="-9"/>
          <w:sz w:val="23"/>
          <w:szCs w:val="23"/>
        </w:rPr>
        <w:t xml:space="preserve"> </w:t>
      </w:r>
      <w:r>
        <w:rPr>
          <w:rFonts w:ascii="Times New Roman" w:hAnsi="Times New Roman" w:eastAsia="Times New Roman" w:cs="Times New Roman"/>
          <w:spacing w:val="-9"/>
          <w:sz w:val="23"/>
          <w:szCs w:val="23"/>
        </w:rPr>
        <w:t xml:space="preserve">12 </w:t>
      </w:r>
      <w:r>
        <w:rPr>
          <w:rFonts w:ascii="宋体" w:hAnsi="宋体" w:eastAsia="宋体" w:cs="宋体"/>
          <w:spacing w:val="-9"/>
          <w:sz w:val="23"/>
          <w:szCs w:val="23"/>
        </w:rPr>
        <w:t>月；</w:t>
      </w:r>
    </w:p>
    <w:p w14:paraId="01FB98EA">
      <w:pPr>
        <w:spacing w:line="284" w:lineRule="auto"/>
        <w:rPr>
          <w:rFonts w:ascii="Arial"/>
          <w:sz w:val="21"/>
        </w:rPr>
      </w:pPr>
    </w:p>
    <w:p w14:paraId="6FE927C0">
      <w:pPr>
        <w:spacing w:before="75" w:line="385" w:lineRule="auto"/>
        <w:ind w:left="33" w:right="68" w:firstLine="452"/>
        <w:rPr>
          <w:rFonts w:ascii="宋体" w:hAnsi="宋体" w:eastAsia="宋体" w:cs="宋体"/>
          <w:sz w:val="23"/>
          <w:szCs w:val="23"/>
        </w:rPr>
      </w:pPr>
      <w:r>
        <w:rPr>
          <w:rFonts w:ascii="宋体" w:hAnsi="宋体" w:eastAsia="宋体" w:cs="宋体"/>
          <w:spacing w:val="-3"/>
          <w:sz w:val="23"/>
          <w:szCs w:val="23"/>
        </w:rPr>
        <w:t>(</w:t>
      </w:r>
      <w:r>
        <w:rPr>
          <w:rFonts w:ascii="Times New Roman" w:hAnsi="Times New Roman" w:eastAsia="Times New Roman" w:cs="Times New Roman"/>
          <w:spacing w:val="-3"/>
          <w:sz w:val="23"/>
          <w:szCs w:val="23"/>
        </w:rPr>
        <w:t>3</w:t>
      </w:r>
      <w:r>
        <w:rPr>
          <w:rFonts w:ascii="宋体" w:hAnsi="宋体" w:eastAsia="宋体" w:cs="宋体"/>
          <w:spacing w:val="-3"/>
          <w:sz w:val="23"/>
          <w:szCs w:val="23"/>
        </w:rPr>
        <w:t>)  《辽宁省建设项目环境监理管理办法》，辽宁省环境保护厅文件，辽</w:t>
      </w:r>
      <w:r>
        <w:rPr>
          <w:rFonts w:ascii="宋体" w:hAnsi="宋体" w:eastAsia="宋体" w:cs="宋体"/>
          <w:spacing w:val="-1"/>
          <w:sz w:val="23"/>
          <w:szCs w:val="23"/>
        </w:rPr>
        <w:t>环</w:t>
      </w:r>
      <w:r>
        <w:rPr>
          <w:rFonts w:ascii="宋体" w:hAnsi="宋体" w:eastAsia="宋体" w:cs="宋体"/>
          <w:sz w:val="23"/>
          <w:szCs w:val="23"/>
        </w:rPr>
        <w:t xml:space="preserve">发 </w:t>
      </w:r>
      <w:r>
        <w:rPr>
          <w:rFonts w:ascii="Times New Roman" w:hAnsi="Times New Roman" w:eastAsia="Times New Roman" w:cs="Times New Roman"/>
          <w:spacing w:val="-12"/>
          <w:sz w:val="23"/>
          <w:szCs w:val="23"/>
        </w:rPr>
        <w:t>[</w:t>
      </w:r>
      <w:r>
        <w:rPr>
          <w:rFonts w:ascii="Times New Roman" w:hAnsi="Times New Roman" w:eastAsia="Times New Roman" w:cs="Times New Roman"/>
          <w:spacing w:val="-7"/>
          <w:sz w:val="23"/>
          <w:szCs w:val="23"/>
        </w:rPr>
        <w:t>2</w:t>
      </w:r>
      <w:r>
        <w:rPr>
          <w:rFonts w:ascii="Times New Roman" w:hAnsi="Times New Roman" w:eastAsia="Times New Roman" w:cs="Times New Roman"/>
          <w:spacing w:val="-6"/>
          <w:sz w:val="23"/>
          <w:szCs w:val="23"/>
        </w:rPr>
        <w:t xml:space="preserve">016]8 </w:t>
      </w:r>
      <w:r>
        <w:rPr>
          <w:rFonts w:ascii="宋体" w:hAnsi="宋体" w:eastAsia="宋体" w:cs="宋体"/>
          <w:spacing w:val="-6"/>
          <w:sz w:val="23"/>
          <w:szCs w:val="23"/>
        </w:rPr>
        <w:t>号，</w:t>
      </w:r>
      <w:r>
        <w:rPr>
          <w:rFonts w:ascii="Times New Roman" w:hAnsi="Times New Roman" w:eastAsia="Times New Roman" w:cs="Times New Roman"/>
          <w:spacing w:val="-6"/>
          <w:sz w:val="23"/>
          <w:szCs w:val="23"/>
        </w:rPr>
        <w:t xml:space="preserve">2016 </w:t>
      </w:r>
      <w:r>
        <w:rPr>
          <w:rFonts w:ascii="宋体" w:hAnsi="宋体" w:eastAsia="宋体" w:cs="宋体"/>
          <w:spacing w:val="-6"/>
          <w:sz w:val="23"/>
          <w:szCs w:val="23"/>
        </w:rPr>
        <w:t xml:space="preserve">年 </w:t>
      </w:r>
      <w:r>
        <w:rPr>
          <w:rFonts w:ascii="Times New Roman" w:hAnsi="Times New Roman" w:eastAsia="Times New Roman" w:cs="Times New Roman"/>
          <w:spacing w:val="-6"/>
          <w:sz w:val="23"/>
          <w:szCs w:val="23"/>
        </w:rPr>
        <w:t xml:space="preserve">3 </w:t>
      </w:r>
      <w:r>
        <w:rPr>
          <w:rFonts w:ascii="宋体" w:hAnsi="宋体" w:eastAsia="宋体" w:cs="宋体"/>
          <w:spacing w:val="-6"/>
          <w:sz w:val="23"/>
          <w:szCs w:val="23"/>
        </w:rPr>
        <w:t xml:space="preserve">月 </w:t>
      </w:r>
      <w:r>
        <w:rPr>
          <w:rFonts w:ascii="Times New Roman" w:hAnsi="Times New Roman" w:eastAsia="Times New Roman" w:cs="Times New Roman"/>
          <w:spacing w:val="-6"/>
          <w:sz w:val="23"/>
          <w:szCs w:val="23"/>
        </w:rPr>
        <w:t xml:space="preserve">25 </w:t>
      </w:r>
      <w:r>
        <w:rPr>
          <w:rFonts w:ascii="宋体" w:hAnsi="宋体" w:eastAsia="宋体" w:cs="宋体"/>
          <w:spacing w:val="-6"/>
          <w:sz w:val="23"/>
          <w:szCs w:val="23"/>
        </w:rPr>
        <w:t>日；</w:t>
      </w:r>
    </w:p>
    <w:p w14:paraId="00D41972">
      <w:pPr>
        <w:spacing w:before="169" w:line="383" w:lineRule="auto"/>
        <w:ind w:left="26" w:right="68" w:firstLine="459"/>
        <w:rPr>
          <w:rFonts w:ascii="宋体" w:hAnsi="宋体" w:eastAsia="宋体" w:cs="宋体"/>
          <w:sz w:val="23"/>
          <w:szCs w:val="23"/>
        </w:rPr>
      </w:pPr>
      <w:r>
        <w:rPr>
          <w:rFonts w:ascii="宋体" w:hAnsi="宋体" w:eastAsia="宋体" w:cs="宋体"/>
          <w:spacing w:val="6"/>
          <w:sz w:val="23"/>
          <w:szCs w:val="23"/>
        </w:rPr>
        <w:t>(</w:t>
      </w:r>
      <w:r>
        <w:rPr>
          <w:rFonts w:ascii="Times New Roman" w:hAnsi="Times New Roman" w:eastAsia="Times New Roman" w:cs="Times New Roman"/>
          <w:spacing w:val="6"/>
          <w:sz w:val="23"/>
          <w:szCs w:val="23"/>
        </w:rPr>
        <w:t>4</w:t>
      </w:r>
      <w:r>
        <w:rPr>
          <w:rFonts w:ascii="宋体" w:hAnsi="宋体" w:eastAsia="宋体" w:cs="宋体"/>
          <w:spacing w:val="6"/>
          <w:sz w:val="23"/>
          <w:szCs w:val="23"/>
        </w:rPr>
        <w:t xml:space="preserve">)  </w:t>
      </w:r>
      <w:r>
        <w:rPr>
          <w:rFonts w:ascii="宋体" w:hAnsi="宋体" w:eastAsia="宋体" w:cs="宋体"/>
          <w:spacing w:val="4"/>
          <w:sz w:val="23"/>
          <w:szCs w:val="23"/>
        </w:rPr>
        <w:t>《</w:t>
      </w:r>
      <w:r>
        <w:rPr>
          <w:rFonts w:ascii="宋体" w:hAnsi="宋体" w:eastAsia="宋体" w:cs="宋体"/>
          <w:spacing w:val="3"/>
          <w:sz w:val="23"/>
          <w:szCs w:val="23"/>
        </w:rPr>
        <w:t>辽宁省环境保护厅关于贯彻执行环保部建设项目主要污染物排放总量</w:t>
      </w:r>
      <w:r>
        <w:rPr>
          <w:rFonts w:ascii="宋体" w:hAnsi="宋体" w:eastAsia="宋体" w:cs="宋体"/>
          <w:sz w:val="23"/>
          <w:szCs w:val="23"/>
        </w:rPr>
        <w:t xml:space="preserve"> </w:t>
      </w:r>
      <w:r>
        <w:rPr>
          <w:rFonts w:ascii="宋体" w:hAnsi="宋体" w:eastAsia="宋体" w:cs="宋体"/>
          <w:spacing w:val="-8"/>
          <w:sz w:val="23"/>
          <w:szCs w:val="23"/>
        </w:rPr>
        <w:t>指标审核及管理暂行</w:t>
      </w:r>
      <w:r>
        <w:rPr>
          <w:rFonts w:ascii="宋体" w:hAnsi="宋体" w:eastAsia="宋体" w:cs="宋体"/>
          <w:spacing w:val="-4"/>
          <w:sz w:val="23"/>
          <w:szCs w:val="23"/>
        </w:rPr>
        <w:t>办法的通知》，辽环发</w:t>
      </w:r>
      <w:r>
        <w:rPr>
          <w:rFonts w:ascii="Times New Roman" w:hAnsi="Times New Roman" w:eastAsia="Times New Roman" w:cs="Times New Roman"/>
          <w:spacing w:val="-4"/>
          <w:sz w:val="23"/>
          <w:szCs w:val="23"/>
        </w:rPr>
        <w:t xml:space="preserve">[2015]17 </w:t>
      </w:r>
      <w:r>
        <w:rPr>
          <w:rFonts w:ascii="宋体" w:hAnsi="宋体" w:eastAsia="宋体" w:cs="宋体"/>
          <w:spacing w:val="-4"/>
          <w:sz w:val="23"/>
          <w:szCs w:val="23"/>
        </w:rPr>
        <w:t>号，</w:t>
      </w:r>
      <w:r>
        <w:rPr>
          <w:rFonts w:ascii="Times New Roman" w:hAnsi="Times New Roman" w:eastAsia="Times New Roman" w:cs="Times New Roman"/>
          <w:spacing w:val="-4"/>
          <w:sz w:val="23"/>
          <w:szCs w:val="23"/>
        </w:rPr>
        <w:t xml:space="preserve">2015 </w:t>
      </w:r>
      <w:r>
        <w:rPr>
          <w:rFonts w:ascii="宋体" w:hAnsi="宋体" w:eastAsia="宋体" w:cs="宋体"/>
          <w:spacing w:val="-4"/>
          <w:sz w:val="23"/>
          <w:szCs w:val="23"/>
        </w:rPr>
        <w:t xml:space="preserve">年 </w:t>
      </w:r>
      <w:r>
        <w:rPr>
          <w:rFonts w:ascii="Times New Roman" w:hAnsi="Times New Roman" w:eastAsia="Times New Roman" w:cs="Times New Roman"/>
          <w:spacing w:val="-4"/>
          <w:sz w:val="23"/>
          <w:szCs w:val="23"/>
        </w:rPr>
        <w:t xml:space="preserve">3 </w:t>
      </w:r>
      <w:r>
        <w:rPr>
          <w:rFonts w:ascii="宋体" w:hAnsi="宋体" w:eastAsia="宋体" w:cs="宋体"/>
          <w:spacing w:val="-4"/>
          <w:sz w:val="23"/>
          <w:szCs w:val="23"/>
        </w:rPr>
        <w:t xml:space="preserve">月 </w:t>
      </w:r>
      <w:r>
        <w:rPr>
          <w:rFonts w:ascii="Times New Roman" w:hAnsi="Times New Roman" w:eastAsia="Times New Roman" w:cs="Times New Roman"/>
          <w:spacing w:val="-4"/>
          <w:sz w:val="23"/>
          <w:szCs w:val="23"/>
        </w:rPr>
        <w:t xml:space="preserve">13 </w:t>
      </w:r>
      <w:r>
        <w:rPr>
          <w:rFonts w:ascii="宋体" w:hAnsi="宋体" w:eastAsia="宋体" w:cs="宋体"/>
          <w:spacing w:val="-4"/>
          <w:sz w:val="23"/>
          <w:szCs w:val="23"/>
        </w:rPr>
        <w:t>日；</w:t>
      </w:r>
    </w:p>
    <w:p w14:paraId="447A4963">
      <w:pPr>
        <w:spacing w:before="173" w:line="393" w:lineRule="auto"/>
        <w:ind w:left="24" w:right="75" w:firstLine="461"/>
        <w:rPr>
          <w:rFonts w:ascii="宋体" w:hAnsi="宋体" w:eastAsia="宋体" w:cs="宋体"/>
          <w:sz w:val="23"/>
          <w:szCs w:val="23"/>
        </w:rPr>
      </w:pPr>
      <w:r>
        <w:rPr>
          <w:rFonts w:ascii="宋体" w:hAnsi="宋体" w:eastAsia="宋体" w:cs="宋体"/>
          <w:spacing w:val="-18"/>
          <w:sz w:val="23"/>
          <w:szCs w:val="23"/>
        </w:rPr>
        <w:t>(</w:t>
      </w:r>
      <w:r>
        <w:rPr>
          <w:rFonts w:ascii="Times New Roman" w:hAnsi="Times New Roman" w:eastAsia="Times New Roman" w:cs="Times New Roman"/>
          <w:spacing w:val="-14"/>
          <w:sz w:val="23"/>
          <w:szCs w:val="23"/>
        </w:rPr>
        <w:t>5</w:t>
      </w:r>
      <w:r>
        <w:rPr>
          <w:rFonts w:ascii="宋体" w:hAnsi="宋体" w:eastAsia="宋体" w:cs="宋体"/>
          <w:spacing w:val="-9"/>
          <w:sz w:val="23"/>
          <w:szCs w:val="23"/>
        </w:rPr>
        <w:t xml:space="preserve">)  《辽宁省固体废物污染环境防治办法》，辽宁省人民政府令第 </w:t>
      </w:r>
      <w:r>
        <w:rPr>
          <w:rFonts w:ascii="Times New Roman" w:hAnsi="Times New Roman" w:eastAsia="Times New Roman" w:cs="Times New Roman"/>
          <w:spacing w:val="-9"/>
          <w:sz w:val="23"/>
          <w:szCs w:val="23"/>
        </w:rPr>
        <w:t xml:space="preserve">311 </w:t>
      </w:r>
      <w:r>
        <w:rPr>
          <w:rFonts w:ascii="宋体" w:hAnsi="宋体" w:eastAsia="宋体" w:cs="宋体"/>
          <w:spacing w:val="-9"/>
          <w:sz w:val="23"/>
          <w:szCs w:val="23"/>
        </w:rPr>
        <w:t>号，</w:t>
      </w:r>
      <w:r>
        <w:rPr>
          <w:rFonts w:ascii="Times New Roman" w:hAnsi="Times New Roman" w:eastAsia="Times New Roman" w:cs="Times New Roman"/>
          <w:spacing w:val="-9"/>
          <w:sz w:val="23"/>
          <w:szCs w:val="23"/>
        </w:rPr>
        <w:t>2017</w:t>
      </w:r>
      <w:r>
        <w:rPr>
          <w:rFonts w:ascii="Times New Roman" w:hAnsi="Times New Roman" w:eastAsia="Times New Roman" w:cs="Times New Roman"/>
          <w:sz w:val="23"/>
          <w:szCs w:val="23"/>
        </w:rPr>
        <w:t xml:space="preserve"> </w:t>
      </w:r>
      <w:r>
        <w:rPr>
          <w:rFonts w:ascii="宋体" w:hAnsi="宋体" w:eastAsia="宋体" w:cs="宋体"/>
          <w:spacing w:val="-14"/>
          <w:sz w:val="23"/>
          <w:szCs w:val="23"/>
        </w:rPr>
        <w:t>年</w:t>
      </w:r>
      <w:r>
        <w:rPr>
          <w:rFonts w:ascii="宋体" w:hAnsi="宋体" w:eastAsia="宋体" w:cs="宋体"/>
          <w:spacing w:val="-10"/>
          <w:sz w:val="23"/>
          <w:szCs w:val="23"/>
        </w:rPr>
        <w:t xml:space="preserve"> </w:t>
      </w:r>
      <w:r>
        <w:rPr>
          <w:rFonts w:ascii="Times New Roman" w:hAnsi="Times New Roman" w:eastAsia="Times New Roman" w:cs="Times New Roman"/>
          <w:spacing w:val="-10"/>
          <w:sz w:val="23"/>
          <w:szCs w:val="23"/>
        </w:rPr>
        <w:t xml:space="preserve">11 </w:t>
      </w:r>
      <w:r>
        <w:rPr>
          <w:rFonts w:ascii="宋体" w:hAnsi="宋体" w:eastAsia="宋体" w:cs="宋体"/>
          <w:spacing w:val="-10"/>
          <w:sz w:val="23"/>
          <w:szCs w:val="23"/>
        </w:rPr>
        <w:t xml:space="preserve">月 </w:t>
      </w:r>
      <w:r>
        <w:rPr>
          <w:rFonts w:ascii="Times New Roman" w:hAnsi="Times New Roman" w:eastAsia="Times New Roman" w:cs="Times New Roman"/>
          <w:spacing w:val="-10"/>
          <w:sz w:val="23"/>
          <w:szCs w:val="23"/>
        </w:rPr>
        <w:t xml:space="preserve">29 </w:t>
      </w:r>
      <w:r>
        <w:rPr>
          <w:rFonts w:ascii="宋体" w:hAnsi="宋体" w:eastAsia="宋体" w:cs="宋体"/>
          <w:spacing w:val="-10"/>
          <w:sz w:val="23"/>
          <w:szCs w:val="23"/>
        </w:rPr>
        <w:t>日修订；</w:t>
      </w:r>
    </w:p>
    <w:p w14:paraId="5606FC11">
      <w:pPr>
        <w:spacing w:before="149" w:line="227" w:lineRule="auto"/>
        <w:ind w:left="486"/>
        <w:rPr>
          <w:rFonts w:ascii="宋体" w:hAnsi="宋体" w:eastAsia="宋体" w:cs="宋体"/>
          <w:sz w:val="23"/>
          <w:szCs w:val="23"/>
        </w:rPr>
      </w:pPr>
      <w:r>
        <w:rPr>
          <w:rFonts w:ascii="宋体" w:hAnsi="宋体" w:eastAsia="宋体" w:cs="宋体"/>
          <w:spacing w:val="-4"/>
          <w:sz w:val="23"/>
          <w:szCs w:val="23"/>
        </w:rPr>
        <w:t>(</w:t>
      </w:r>
      <w:r>
        <w:rPr>
          <w:rFonts w:ascii="Times New Roman" w:hAnsi="Times New Roman" w:eastAsia="Times New Roman" w:cs="Times New Roman"/>
          <w:spacing w:val="-4"/>
          <w:sz w:val="23"/>
          <w:szCs w:val="23"/>
        </w:rPr>
        <w:t>6</w:t>
      </w:r>
      <w:r>
        <w:rPr>
          <w:rFonts w:ascii="宋体" w:hAnsi="宋体" w:eastAsia="宋体" w:cs="宋体"/>
          <w:spacing w:val="-4"/>
          <w:sz w:val="23"/>
          <w:szCs w:val="23"/>
        </w:rPr>
        <w:t>)  《辽宁省大气污染物防</w:t>
      </w:r>
      <w:r>
        <w:rPr>
          <w:rFonts w:ascii="宋体" w:hAnsi="宋体" w:eastAsia="宋体" w:cs="宋体"/>
          <w:spacing w:val="-2"/>
          <w:sz w:val="23"/>
          <w:szCs w:val="23"/>
        </w:rPr>
        <w:t>治条例》，辽宁省人民代表大会常务委员会公告第</w:t>
      </w:r>
    </w:p>
    <w:p w14:paraId="2890FE89">
      <w:pPr>
        <w:spacing w:before="197" w:line="227" w:lineRule="auto"/>
        <w:ind w:left="22"/>
        <w:rPr>
          <w:rFonts w:ascii="宋体" w:hAnsi="宋体" w:eastAsia="宋体" w:cs="宋体"/>
          <w:sz w:val="23"/>
          <w:szCs w:val="23"/>
        </w:rPr>
      </w:pPr>
      <w:r>
        <w:rPr>
          <w:rFonts w:ascii="Times New Roman" w:hAnsi="Times New Roman" w:eastAsia="Times New Roman" w:cs="Times New Roman"/>
          <w:spacing w:val="-12"/>
          <w:sz w:val="23"/>
          <w:szCs w:val="23"/>
        </w:rPr>
        <w:t>71</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号，</w:t>
      </w:r>
      <w:r>
        <w:rPr>
          <w:rFonts w:ascii="Times New Roman" w:hAnsi="Times New Roman" w:eastAsia="Times New Roman" w:cs="Times New Roman"/>
          <w:spacing w:val="-6"/>
          <w:sz w:val="23"/>
          <w:szCs w:val="23"/>
        </w:rPr>
        <w:t xml:space="preserve">2017 </w:t>
      </w:r>
      <w:r>
        <w:rPr>
          <w:rFonts w:ascii="宋体" w:hAnsi="宋体" w:eastAsia="宋体" w:cs="宋体"/>
          <w:spacing w:val="-6"/>
          <w:sz w:val="23"/>
          <w:szCs w:val="23"/>
        </w:rPr>
        <w:t xml:space="preserve">年 </w:t>
      </w:r>
      <w:r>
        <w:rPr>
          <w:rFonts w:ascii="Times New Roman" w:hAnsi="Times New Roman" w:eastAsia="Times New Roman" w:cs="Times New Roman"/>
          <w:spacing w:val="-6"/>
          <w:sz w:val="23"/>
          <w:szCs w:val="23"/>
        </w:rPr>
        <w:t xml:space="preserve">8 </w:t>
      </w:r>
      <w:r>
        <w:rPr>
          <w:rFonts w:ascii="宋体" w:hAnsi="宋体" w:eastAsia="宋体" w:cs="宋体"/>
          <w:spacing w:val="-6"/>
          <w:sz w:val="23"/>
          <w:szCs w:val="23"/>
        </w:rPr>
        <w:t xml:space="preserve">月 </w:t>
      </w:r>
      <w:r>
        <w:rPr>
          <w:rFonts w:ascii="Times New Roman" w:hAnsi="Times New Roman" w:eastAsia="Times New Roman" w:cs="Times New Roman"/>
          <w:spacing w:val="-6"/>
          <w:sz w:val="23"/>
          <w:szCs w:val="23"/>
        </w:rPr>
        <w:t xml:space="preserve">1 </w:t>
      </w:r>
      <w:r>
        <w:rPr>
          <w:rFonts w:ascii="宋体" w:hAnsi="宋体" w:eastAsia="宋体" w:cs="宋体"/>
          <w:spacing w:val="-6"/>
          <w:sz w:val="23"/>
          <w:szCs w:val="23"/>
        </w:rPr>
        <w:t>日起施行；</w:t>
      </w:r>
    </w:p>
    <w:p w14:paraId="75EE18B8">
      <w:pPr>
        <w:spacing w:line="288" w:lineRule="auto"/>
        <w:rPr>
          <w:rFonts w:ascii="Arial"/>
          <w:sz w:val="21"/>
        </w:rPr>
      </w:pPr>
    </w:p>
    <w:p w14:paraId="68414962">
      <w:pPr>
        <w:spacing w:before="75" w:line="227" w:lineRule="auto"/>
        <w:ind w:left="486"/>
        <w:rPr>
          <w:rFonts w:ascii="宋体" w:hAnsi="宋体" w:eastAsia="宋体" w:cs="宋体"/>
          <w:sz w:val="23"/>
          <w:szCs w:val="23"/>
        </w:rPr>
      </w:pPr>
      <w:r>
        <w:rPr>
          <w:rFonts w:ascii="宋体" w:hAnsi="宋体" w:eastAsia="宋体" w:cs="宋体"/>
          <w:spacing w:val="-2"/>
          <w:sz w:val="23"/>
          <w:szCs w:val="23"/>
        </w:rPr>
        <w:t>(</w:t>
      </w:r>
      <w:r>
        <w:rPr>
          <w:rFonts w:ascii="Times New Roman" w:hAnsi="Times New Roman" w:eastAsia="Times New Roman" w:cs="Times New Roman"/>
          <w:spacing w:val="-2"/>
          <w:sz w:val="23"/>
          <w:szCs w:val="23"/>
        </w:rPr>
        <w:t>7</w:t>
      </w:r>
      <w:r>
        <w:rPr>
          <w:rFonts w:ascii="宋体" w:hAnsi="宋体" w:eastAsia="宋体" w:cs="宋体"/>
          <w:spacing w:val="-2"/>
          <w:sz w:val="23"/>
          <w:szCs w:val="23"/>
        </w:rPr>
        <w:t xml:space="preserve">) </w:t>
      </w:r>
      <w:r>
        <w:rPr>
          <w:rFonts w:ascii="宋体" w:hAnsi="宋体" w:eastAsia="宋体" w:cs="宋体"/>
          <w:spacing w:val="-1"/>
          <w:sz w:val="23"/>
          <w:szCs w:val="23"/>
        </w:rPr>
        <w:t xml:space="preserve"> 《辽宁省辽河流域水污染防治条例》，辽宁省十一届人大常委会第 </w:t>
      </w:r>
      <w:r>
        <w:rPr>
          <w:rFonts w:ascii="Times New Roman" w:hAnsi="Times New Roman" w:eastAsia="Times New Roman" w:cs="Times New Roman"/>
          <w:spacing w:val="-1"/>
          <w:sz w:val="23"/>
          <w:szCs w:val="23"/>
        </w:rPr>
        <w:t xml:space="preserve">21 </w:t>
      </w:r>
      <w:r>
        <w:rPr>
          <w:rFonts w:ascii="宋体" w:hAnsi="宋体" w:eastAsia="宋体" w:cs="宋体"/>
          <w:spacing w:val="-1"/>
          <w:sz w:val="23"/>
          <w:szCs w:val="23"/>
        </w:rPr>
        <w:t>次</w:t>
      </w:r>
    </w:p>
    <w:p w14:paraId="0E75B59B">
      <w:pPr>
        <w:sectPr>
          <w:headerReference r:id="rId46" w:type="default"/>
          <w:footerReference r:id="rId47" w:type="default"/>
          <w:pgSz w:w="11906" w:h="16839"/>
          <w:pgMar w:top="1132" w:right="1735" w:bottom="1156" w:left="1785" w:header="878" w:footer="996" w:gutter="0"/>
          <w:cols w:space="720" w:num="1"/>
        </w:sectPr>
      </w:pPr>
    </w:p>
    <w:p w14:paraId="2213E292">
      <w:pPr>
        <w:spacing w:line="408" w:lineRule="auto"/>
        <w:rPr>
          <w:rFonts w:ascii="Arial"/>
          <w:sz w:val="21"/>
        </w:rPr>
      </w:pPr>
      <w:r>
        <w:pict>
          <v:shape id="_x0000_s1083" o:spid="_x0000_s1083" style="position:absolute;left:0pt;margin-left:90pt;margin-top:57.35pt;height:0.75pt;width:415.3pt;mso-position-horizontal-relative:page;mso-position-vertical-relative:page;z-index:251720704;mso-width-relative:page;mso-height-relative:page;" fillcolor="#000000" filled="t" stroked="f" coordsize="8305,15" o:allowincell="f" path="m0,0l8305,0,8305,14,0,14,0,0xe">
            <v:path/>
            <v:fill on="t" focussize="0,0"/>
            <v:stroke on="f"/>
            <v:imagedata o:title=""/>
            <o:lock v:ext="edit"/>
          </v:shape>
        </w:pict>
      </w:r>
    </w:p>
    <w:p w14:paraId="5B351FC1">
      <w:pPr>
        <w:spacing w:before="75" w:line="227" w:lineRule="auto"/>
        <w:ind w:left="22"/>
        <w:rPr>
          <w:rFonts w:ascii="宋体" w:hAnsi="宋体" w:eastAsia="宋体" w:cs="宋体"/>
          <w:sz w:val="23"/>
          <w:szCs w:val="23"/>
        </w:rPr>
      </w:pPr>
      <w:r>
        <w:rPr>
          <w:rFonts w:ascii="宋体" w:hAnsi="宋体" w:eastAsia="宋体" w:cs="宋体"/>
          <w:spacing w:val="-7"/>
          <w:sz w:val="23"/>
          <w:szCs w:val="23"/>
        </w:rPr>
        <w:t>会议审议通过，</w:t>
      </w:r>
      <w:r>
        <w:rPr>
          <w:rFonts w:ascii="Times New Roman" w:hAnsi="Times New Roman" w:eastAsia="Times New Roman" w:cs="Times New Roman"/>
          <w:spacing w:val="-7"/>
          <w:sz w:val="23"/>
          <w:szCs w:val="23"/>
        </w:rPr>
        <w:t xml:space="preserve">2011 </w:t>
      </w:r>
      <w:r>
        <w:rPr>
          <w:rFonts w:ascii="宋体" w:hAnsi="宋体" w:eastAsia="宋体" w:cs="宋体"/>
          <w:spacing w:val="-7"/>
          <w:sz w:val="23"/>
          <w:szCs w:val="23"/>
        </w:rPr>
        <w:t xml:space="preserve">年 </w:t>
      </w:r>
      <w:r>
        <w:rPr>
          <w:rFonts w:ascii="Times New Roman" w:hAnsi="Times New Roman" w:eastAsia="Times New Roman" w:cs="Times New Roman"/>
          <w:spacing w:val="-7"/>
          <w:sz w:val="23"/>
          <w:szCs w:val="23"/>
        </w:rPr>
        <w:t xml:space="preserve">4 </w:t>
      </w:r>
      <w:r>
        <w:rPr>
          <w:rFonts w:ascii="宋体" w:hAnsi="宋体" w:eastAsia="宋体" w:cs="宋体"/>
          <w:spacing w:val="-7"/>
          <w:sz w:val="23"/>
          <w:szCs w:val="23"/>
        </w:rPr>
        <w:t xml:space="preserve">月 </w:t>
      </w:r>
      <w:r>
        <w:rPr>
          <w:rFonts w:ascii="Times New Roman" w:hAnsi="Times New Roman" w:eastAsia="Times New Roman" w:cs="Times New Roman"/>
          <w:spacing w:val="-7"/>
          <w:sz w:val="23"/>
          <w:szCs w:val="23"/>
        </w:rPr>
        <w:t xml:space="preserve">1 </w:t>
      </w:r>
      <w:r>
        <w:rPr>
          <w:rFonts w:ascii="宋体" w:hAnsi="宋体" w:eastAsia="宋体" w:cs="宋体"/>
          <w:spacing w:val="-7"/>
          <w:sz w:val="23"/>
          <w:szCs w:val="23"/>
        </w:rPr>
        <w:t>日起施行</w:t>
      </w:r>
      <w:r>
        <w:rPr>
          <w:rFonts w:ascii="宋体" w:hAnsi="宋体" w:eastAsia="宋体" w:cs="宋体"/>
          <w:spacing w:val="-4"/>
          <w:sz w:val="23"/>
          <w:szCs w:val="23"/>
        </w:rPr>
        <w:t>；</w:t>
      </w:r>
    </w:p>
    <w:p w14:paraId="5A5EC11F">
      <w:pPr>
        <w:spacing w:line="243" w:lineRule="auto"/>
        <w:rPr>
          <w:rFonts w:ascii="Arial"/>
          <w:sz w:val="21"/>
        </w:rPr>
      </w:pPr>
    </w:p>
    <w:p w14:paraId="753A033E">
      <w:pPr>
        <w:spacing w:before="75" w:line="323" w:lineRule="exact"/>
        <w:ind w:left="486"/>
        <w:rPr>
          <w:rFonts w:ascii="宋体" w:hAnsi="宋体" w:eastAsia="宋体" w:cs="宋体"/>
          <w:sz w:val="23"/>
          <w:szCs w:val="23"/>
        </w:rPr>
      </w:pPr>
      <w:r>
        <w:rPr>
          <w:rFonts w:ascii="宋体" w:hAnsi="宋体" w:eastAsia="宋体" w:cs="宋体"/>
          <w:spacing w:val="-8"/>
          <w:position w:val="2"/>
          <w:sz w:val="23"/>
          <w:szCs w:val="23"/>
        </w:rPr>
        <w:t>(</w:t>
      </w:r>
      <w:r>
        <w:rPr>
          <w:rFonts w:ascii="Times New Roman" w:hAnsi="Times New Roman" w:eastAsia="Times New Roman" w:cs="Times New Roman"/>
          <w:spacing w:val="-6"/>
          <w:position w:val="2"/>
          <w:sz w:val="23"/>
          <w:szCs w:val="23"/>
        </w:rPr>
        <w:t>8</w:t>
      </w:r>
      <w:r>
        <w:rPr>
          <w:rFonts w:ascii="宋体" w:hAnsi="宋体" w:eastAsia="宋体" w:cs="宋体"/>
          <w:spacing w:val="-6"/>
          <w:position w:val="2"/>
          <w:sz w:val="23"/>
          <w:szCs w:val="23"/>
        </w:rPr>
        <w:t>)  《关于做好全省大气污染联防联控工作的意见》，辽政办发</w:t>
      </w:r>
      <w:r>
        <w:rPr>
          <w:rFonts w:ascii="Times New Roman" w:hAnsi="Times New Roman" w:eastAsia="Times New Roman" w:cs="Times New Roman"/>
          <w:spacing w:val="-6"/>
          <w:position w:val="2"/>
          <w:sz w:val="23"/>
          <w:szCs w:val="23"/>
        </w:rPr>
        <w:t xml:space="preserve">[2011]23 </w:t>
      </w:r>
      <w:r>
        <w:rPr>
          <w:rFonts w:ascii="宋体" w:hAnsi="宋体" w:eastAsia="宋体" w:cs="宋体"/>
          <w:spacing w:val="-6"/>
          <w:position w:val="2"/>
          <w:sz w:val="23"/>
          <w:szCs w:val="23"/>
        </w:rPr>
        <w:t>号文，</w:t>
      </w:r>
    </w:p>
    <w:p w14:paraId="4BE0697B">
      <w:pPr>
        <w:spacing w:before="203" w:line="227" w:lineRule="auto"/>
        <w:ind w:left="19"/>
        <w:rPr>
          <w:rFonts w:ascii="宋体" w:hAnsi="宋体" w:eastAsia="宋体" w:cs="宋体"/>
          <w:sz w:val="23"/>
          <w:szCs w:val="23"/>
        </w:rPr>
      </w:pPr>
      <w:r>
        <w:rPr>
          <w:rFonts w:ascii="Times New Roman" w:hAnsi="Times New Roman" w:eastAsia="Times New Roman" w:cs="Times New Roman"/>
          <w:spacing w:val="-16"/>
          <w:sz w:val="23"/>
          <w:szCs w:val="23"/>
        </w:rPr>
        <w:t>2</w:t>
      </w:r>
      <w:r>
        <w:rPr>
          <w:rFonts w:ascii="Times New Roman" w:hAnsi="Times New Roman" w:eastAsia="Times New Roman" w:cs="Times New Roman"/>
          <w:spacing w:val="-9"/>
          <w:sz w:val="23"/>
          <w:szCs w:val="23"/>
        </w:rPr>
        <w:t>0</w:t>
      </w:r>
      <w:r>
        <w:rPr>
          <w:rFonts w:ascii="Times New Roman" w:hAnsi="Times New Roman" w:eastAsia="Times New Roman" w:cs="Times New Roman"/>
          <w:spacing w:val="-8"/>
          <w:sz w:val="23"/>
          <w:szCs w:val="23"/>
        </w:rPr>
        <w:t xml:space="preserve">11 </w:t>
      </w:r>
      <w:r>
        <w:rPr>
          <w:rFonts w:ascii="宋体" w:hAnsi="宋体" w:eastAsia="宋体" w:cs="宋体"/>
          <w:spacing w:val="-8"/>
          <w:sz w:val="23"/>
          <w:szCs w:val="23"/>
        </w:rPr>
        <w:t xml:space="preserve">年 </w:t>
      </w:r>
      <w:r>
        <w:rPr>
          <w:rFonts w:ascii="Times New Roman" w:hAnsi="Times New Roman" w:eastAsia="Times New Roman" w:cs="Times New Roman"/>
          <w:spacing w:val="-8"/>
          <w:sz w:val="23"/>
          <w:szCs w:val="23"/>
        </w:rPr>
        <w:t xml:space="preserve">4 </w:t>
      </w:r>
      <w:r>
        <w:rPr>
          <w:rFonts w:ascii="宋体" w:hAnsi="宋体" w:eastAsia="宋体" w:cs="宋体"/>
          <w:spacing w:val="-8"/>
          <w:sz w:val="23"/>
          <w:szCs w:val="23"/>
        </w:rPr>
        <w:t xml:space="preserve">月 </w:t>
      </w:r>
      <w:r>
        <w:rPr>
          <w:rFonts w:ascii="Times New Roman" w:hAnsi="Times New Roman" w:eastAsia="Times New Roman" w:cs="Times New Roman"/>
          <w:spacing w:val="-8"/>
          <w:sz w:val="23"/>
          <w:szCs w:val="23"/>
        </w:rPr>
        <w:t xml:space="preserve">15 </w:t>
      </w:r>
      <w:r>
        <w:rPr>
          <w:rFonts w:ascii="宋体" w:hAnsi="宋体" w:eastAsia="宋体" w:cs="宋体"/>
          <w:spacing w:val="-8"/>
          <w:sz w:val="23"/>
          <w:szCs w:val="23"/>
        </w:rPr>
        <w:t>日；</w:t>
      </w:r>
    </w:p>
    <w:p w14:paraId="3845C0B5">
      <w:pPr>
        <w:spacing w:line="242" w:lineRule="auto"/>
        <w:rPr>
          <w:rFonts w:ascii="Arial"/>
          <w:sz w:val="21"/>
        </w:rPr>
      </w:pPr>
    </w:p>
    <w:p w14:paraId="2469AC57">
      <w:pPr>
        <w:spacing w:before="75" w:line="323" w:lineRule="exact"/>
        <w:ind w:left="483"/>
        <w:rPr>
          <w:rFonts w:ascii="宋体" w:hAnsi="宋体" w:eastAsia="宋体" w:cs="宋体"/>
          <w:sz w:val="23"/>
          <w:szCs w:val="23"/>
        </w:rPr>
      </w:pPr>
      <w:r>
        <w:rPr>
          <w:rFonts w:ascii="宋体" w:hAnsi="宋体" w:eastAsia="宋体" w:cs="宋体"/>
          <w:spacing w:val="-2"/>
          <w:position w:val="2"/>
          <w:sz w:val="20"/>
          <w:szCs w:val="20"/>
        </w:rPr>
        <w:t>(</w:t>
      </w:r>
      <w:r>
        <w:rPr>
          <w:rFonts w:ascii="Times New Roman" w:hAnsi="Times New Roman" w:eastAsia="Times New Roman" w:cs="Times New Roman"/>
          <w:spacing w:val="-2"/>
          <w:position w:val="2"/>
          <w:sz w:val="20"/>
          <w:szCs w:val="20"/>
        </w:rPr>
        <w:t>9</w:t>
      </w:r>
      <w:r>
        <w:rPr>
          <w:rFonts w:ascii="宋体" w:hAnsi="宋体" w:eastAsia="宋体" w:cs="宋体"/>
          <w:spacing w:val="-2"/>
          <w:position w:val="2"/>
          <w:sz w:val="20"/>
          <w:szCs w:val="20"/>
        </w:rPr>
        <w:t xml:space="preserve">)  </w:t>
      </w:r>
      <w:r>
        <w:rPr>
          <w:rFonts w:ascii="宋体" w:hAnsi="宋体" w:eastAsia="宋体" w:cs="宋体"/>
          <w:spacing w:val="-2"/>
          <w:position w:val="2"/>
          <w:sz w:val="23"/>
          <w:szCs w:val="23"/>
        </w:rPr>
        <w:t>《辽宁省大气污染防治行动计划实施方案》，辽政发</w:t>
      </w:r>
      <w:r>
        <w:rPr>
          <w:rFonts w:ascii="Times New Roman" w:hAnsi="Times New Roman" w:eastAsia="Times New Roman" w:cs="Times New Roman"/>
          <w:spacing w:val="-2"/>
          <w:position w:val="2"/>
          <w:sz w:val="23"/>
          <w:szCs w:val="23"/>
        </w:rPr>
        <w:t>[2014]8</w:t>
      </w:r>
      <w:r>
        <w:rPr>
          <w:rFonts w:ascii="Times New Roman" w:hAnsi="Times New Roman" w:eastAsia="Times New Roman" w:cs="Times New Roman"/>
          <w:spacing w:val="-1"/>
          <w:position w:val="2"/>
          <w:sz w:val="23"/>
          <w:szCs w:val="23"/>
        </w:rPr>
        <w:t xml:space="preserve"> </w:t>
      </w:r>
      <w:r>
        <w:rPr>
          <w:rFonts w:ascii="宋体" w:hAnsi="宋体" w:eastAsia="宋体" w:cs="宋体"/>
          <w:position w:val="2"/>
          <w:sz w:val="23"/>
          <w:szCs w:val="23"/>
        </w:rPr>
        <w:t>号；</w:t>
      </w:r>
    </w:p>
    <w:p w14:paraId="44B394E8">
      <w:pPr>
        <w:spacing w:line="291" w:lineRule="auto"/>
        <w:rPr>
          <w:rFonts w:ascii="Arial"/>
          <w:sz w:val="21"/>
        </w:rPr>
      </w:pPr>
    </w:p>
    <w:p w14:paraId="597EF8FB">
      <w:pPr>
        <w:spacing w:before="75" w:line="227" w:lineRule="auto"/>
        <w:ind w:left="486"/>
        <w:rPr>
          <w:rFonts w:ascii="宋体" w:hAnsi="宋体" w:eastAsia="宋体" w:cs="宋体"/>
          <w:sz w:val="23"/>
          <w:szCs w:val="23"/>
        </w:rPr>
      </w:pPr>
      <w:r>
        <w:rPr>
          <w:rFonts w:ascii="宋体" w:hAnsi="宋体" w:eastAsia="宋体" w:cs="宋体"/>
          <w:spacing w:val="1"/>
          <w:sz w:val="23"/>
          <w:szCs w:val="23"/>
        </w:rPr>
        <w:t>(</w:t>
      </w:r>
      <w:r>
        <w:rPr>
          <w:rFonts w:ascii="Times New Roman" w:hAnsi="Times New Roman" w:eastAsia="Times New Roman" w:cs="Times New Roman"/>
          <w:spacing w:val="1"/>
          <w:sz w:val="23"/>
          <w:szCs w:val="23"/>
        </w:rPr>
        <w:t>10</w:t>
      </w:r>
      <w:r>
        <w:rPr>
          <w:rFonts w:ascii="宋体" w:hAnsi="宋体" w:eastAsia="宋体" w:cs="宋体"/>
          <w:spacing w:val="1"/>
          <w:sz w:val="23"/>
          <w:szCs w:val="23"/>
        </w:rPr>
        <w:t>)  《辽宁</w:t>
      </w:r>
      <w:r>
        <w:rPr>
          <w:rFonts w:ascii="宋体" w:hAnsi="宋体" w:eastAsia="宋体" w:cs="宋体"/>
          <w:sz w:val="23"/>
          <w:szCs w:val="23"/>
        </w:rPr>
        <w:t>省人民政府关于印发辽宁省水污染防治工作方案的通知》辽政发</w:t>
      </w:r>
    </w:p>
    <w:p w14:paraId="280EB91D">
      <w:pPr>
        <w:spacing w:before="152" w:line="322" w:lineRule="exact"/>
        <w:ind w:left="33"/>
        <w:rPr>
          <w:rFonts w:ascii="宋体" w:hAnsi="宋体" w:eastAsia="宋体" w:cs="宋体"/>
          <w:sz w:val="23"/>
          <w:szCs w:val="23"/>
        </w:rPr>
      </w:pPr>
      <w:r>
        <w:rPr>
          <w:rFonts w:ascii="Times New Roman" w:hAnsi="Times New Roman" w:eastAsia="Times New Roman" w:cs="Times New Roman"/>
          <w:spacing w:val="-4"/>
          <w:position w:val="3"/>
          <w:sz w:val="23"/>
          <w:szCs w:val="23"/>
        </w:rPr>
        <w:t>[</w:t>
      </w:r>
      <w:r>
        <w:rPr>
          <w:rFonts w:ascii="Times New Roman" w:hAnsi="Times New Roman" w:eastAsia="Times New Roman" w:cs="Times New Roman"/>
          <w:spacing w:val="-3"/>
          <w:position w:val="3"/>
          <w:sz w:val="23"/>
          <w:szCs w:val="23"/>
        </w:rPr>
        <w:t>2</w:t>
      </w:r>
      <w:r>
        <w:rPr>
          <w:rFonts w:ascii="Times New Roman" w:hAnsi="Times New Roman" w:eastAsia="Times New Roman" w:cs="Times New Roman"/>
          <w:spacing w:val="-2"/>
          <w:position w:val="3"/>
          <w:sz w:val="23"/>
          <w:szCs w:val="23"/>
        </w:rPr>
        <w:t xml:space="preserve">015]79 </w:t>
      </w:r>
      <w:r>
        <w:rPr>
          <w:rFonts w:ascii="宋体" w:hAnsi="宋体" w:eastAsia="宋体" w:cs="宋体"/>
          <w:spacing w:val="-2"/>
          <w:position w:val="3"/>
          <w:sz w:val="23"/>
          <w:szCs w:val="23"/>
        </w:rPr>
        <w:t>号；</w:t>
      </w:r>
    </w:p>
    <w:p w14:paraId="51EEA226">
      <w:pPr>
        <w:spacing w:line="292" w:lineRule="auto"/>
        <w:rPr>
          <w:rFonts w:ascii="Arial"/>
          <w:sz w:val="21"/>
        </w:rPr>
      </w:pPr>
    </w:p>
    <w:p w14:paraId="325E4066">
      <w:pPr>
        <w:spacing w:before="75" w:line="393" w:lineRule="auto"/>
        <w:ind w:left="22" w:right="103" w:firstLine="463"/>
        <w:rPr>
          <w:rFonts w:ascii="宋体" w:hAnsi="宋体" w:eastAsia="宋体" w:cs="宋体"/>
          <w:sz w:val="23"/>
          <w:szCs w:val="23"/>
        </w:rPr>
      </w:pPr>
      <w:r>
        <w:rPr>
          <w:rFonts w:ascii="宋体" w:hAnsi="宋体" w:eastAsia="宋体" w:cs="宋体"/>
          <w:spacing w:val="1"/>
          <w:sz w:val="23"/>
          <w:szCs w:val="23"/>
        </w:rPr>
        <w:t>(</w:t>
      </w:r>
      <w:r>
        <w:rPr>
          <w:rFonts w:ascii="Times New Roman" w:hAnsi="Times New Roman" w:eastAsia="Times New Roman" w:cs="Times New Roman"/>
          <w:spacing w:val="1"/>
          <w:sz w:val="23"/>
          <w:szCs w:val="23"/>
        </w:rPr>
        <w:t>11</w:t>
      </w:r>
      <w:r>
        <w:rPr>
          <w:rFonts w:ascii="宋体" w:hAnsi="宋体" w:eastAsia="宋体" w:cs="宋体"/>
          <w:spacing w:val="1"/>
          <w:sz w:val="23"/>
          <w:szCs w:val="23"/>
        </w:rPr>
        <w:t>)  《辽宁</w:t>
      </w:r>
      <w:r>
        <w:rPr>
          <w:rFonts w:ascii="宋体" w:hAnsi="宋体" w:eastAsia="宋体" w:cs="宋体"/>
          <w:sz w:val="23"/>
          <w:szCs w:val="23"/>
        </w:rPr>
        <w:t xml:space="preserve">省人民政府关于印发辽宁省土壤污染防治工作方案的通知》，辽 </w:t>
      </w:r>
      <w:r>
        <w:rPr>
          <w:rFonts w:ascii="宋体" w:hAnsi="宋体" w:eastAsia="宋体" w:cs="宋体"/>
          <w:spacing w:val="-2"/>
          <w:sz w:val="23"/>
          <w:szCs w:val="23"/>
        </w:rPr>
        <w:t>政发〔</w:t>
      </w:r>
      <w:r>
        <w:rPr>
          <w:rFonts w:ascii="Times New Roman" w:hAnsi="Times New Roman" w:eastAsia="Times New Roman" w:cs="Times New Roman"/>
          <w:spacing w:val="-2"/>
          <w:sz w:val="23"/>
          <w:szCs w:val="23"/>
        </w:rPr>
        <w:t>2016</w:t>
      </w:r>
      <w:r>
        <w:rPr>
          <w:rFonts w:ascii="宋体" w:hAnsi="宋体" w:eastAsia="宋体" w:cs="宋体"/>
          <w:spacing w:val="-2"/>
          <w:sz w:val="23"/>
          <w:szCs w:val="23"/>
        </w:rPr>
        <w:t>〕</w:t>
      </w:r>
      <w:r>
        <w:rPr>
          <w:rFonts w:ascii="Times New Roman" w:hAnsi="Times New Roman" w:eastAsia="Times New Roman" w:cs="Times New Roman"/>
          <w:spacing w:val="-2"/>
          <w:sz w:val="23"/>
          <w:szCs w:val="23"/>
        </w:rPr>
        <w:t>5</w:t>
      </w:r>
      <w:r>
        <w:rPr>
          <w:rFonts w:ascii="Times New Roman" w:hAnsi="Times New Roman" w:eastAsia="Times New Roman" w:cs="Times New Roman"/>
          <w:spacing w:val="-1"/>
          <w:sz w:val="23"/>
          <w:szCs w:val="23"/>
        </w:rPr>
        <w:t xml:space="preserve">8 </w:t>
      </w:r>
      <w:r>
        <w:rPr>
          <w:rFonts w:ascii="宋体" w:hAnsi="宋体" w:eastAsia="宋体" w:cs="宋体"/>
          <w:spacing w:val="-1"/>
          <w:sz w:val="23"/>
          <w:szCs w:val="23"/>
        </w:rPr>
        <w:t>号；</w:t>
      </w:r>
    </w:p>
    <w:p w14:paraId="3D89781F">
      <w:pPr>
        <w:spacing w:before="148" w:line="227" w:lineRule="auto"/>
        <w:ind w:left="486"/>
        <w:rPr>
          <w:rFonts w:ascii="宋体" w:hAnsi="宋体" w:eastAsia="宋体" w:cs="宋体"/>
          <w:sz w:val="23"/>
          <w:szCs w:val="23"/>
        </w:rPr>
      </w:pPr>
      <w:r>
        <w:rPr>
          <w:rFonts w:ascii="宋体" w:hAnsi="宋体" w:eastAsia="宋体" w:cs="宋体"/>
          <w:spacing w:val="-3"/>
          <w:sz w:val="23"/>
          <w:szCs w:val="23"/>
        </w:rPr>
        <w:t>(</w:t>
      </w:r>
      <w:r>
        <w:rPr>
          <w:rFonts w:ascii="Times New Roman" w:hAnsi="Times New Roman" w:eastAsia="Times New Roman" w:cs="Times New Roman"/>
          <w:spacing w:val="-3"/>
          <w:sz w:val="23"/>
          <w:szCs w:val="23"/>
        </w:rPr>
        <w:t>12</w:t>
      </w:r>
      <w:r>
        <w:rPr>
          <w:rFonts w:ascii="宋体" w:hAnsi="宋体" w:eastAsia="宋体" w:cs="宋体"/>
          <w:spacing w:val="-3"/>
          <w:sz w:val="23"/>
          <w:szCs w:val="23"/>
        </w:rPr>
        <w:t>)  《辽宁省打赢蓝天保卫战三年行动方案(</w:t>
      </w:r>
      <w:r>
        <w:rPr>
          <w:rFonts w:ascii="Times New Roman" w:hAnsi="Times New Roman" w:eastAsia="Times New Roman" w:cs="Times New Roman"/>
          <w:spacing w:val="-3"/>
          <w:sz w:val="23"/>
          <w:szCs w:val="23"/>
        </w:rPr>
        <w:t xml:space="preserve">2018-2020 </w:t>
      </w:r>
      <w:r>
        <w:rPr>
          <w:rFonts w:ascii="宋体" w:hAnsi="宋体" w:eastAsia="宋体" w:cs="宋体"/>
          <w:spacing w:val="-3"/>
          <w:sz w:val="23"/>
          <w:szCs w:val="23"/>
        </w:rPr>
        <w:t>年)》(辽政发【</w:t>
      </w:r>
      <w:r>
        <w:rPr>
          <w:rFonts w:ascii="Times New Roman" w:hAnsi="Times New Roman" w:eastAsia="Times New Roman" w:cs="Times New Roman"/>
          <w:spacing w:val="-3"/>
          <w:sz w:val="23"/>
          <w:szCs w:val="23"/>
        </w:rPr>
        <w:t>201</w:t>
      </w:r>
      <w:r>
        <w:rPr>
          <w:rFonts w:ascii="Times New Roman" w:hAnsi="Times New Roman" w:eastAsia="Times New Roman" w:cs="Times New Roman"/>
          <w:spacing w:val="-2"/>
          <w:sz w:val="23"/>
          <w:szCs w:val="23"/>
        </w:rPr>
        <w:t>8</w:t>
      </w:r>
      <w:r>
        <w:rPr>
          <w:rFonts w:ascii="宋体" w:hAnsi="宋体" w:eastAsia="宋体" w:cs="宋体"/>
          <w:sz w:val="23"/>
          <w:szCs w:val="23"/>
        </w:rPr>
        <w:t>】</w:t>
      </w:r>
    </w:p>
    <w:p w14:paraId="64CC2FB2">
      <w:pPr>
        <w:spacing w:before="198" w:line="227" w:lineRule="auto"/>
        <w:ind w:left="23"/>
        <w:rPr>
          <w:rFonts w:ascii="宋体" w:hAnsi="宋体" w:eastAsia="宋体" w:cs="宋体"/>
          <w:sz w:val="23"/>
          <w:szCs w:val="23"/>
        </w:rPr>
      </w:pPr>
      <w:r>
        <w:rPr>
          <w:rFonts w:ascii="Times New Roman" w:hAnsi="Times New Roman" w:eastAsia="Times New Roman" w:cs="Times New Roman"/>
          <w:spacing w:val="-9"/>
          <w:sz w:val="23"/>
          <w:szCs w:val="23"/>
        </w:rPr>
        <w:t>3</w:t>
      </w:r>
      <w:r>
        <w:rPr>
          <w:rFonts w:ascii="Times New Roman" w:hAnsi="Times New Roman" w:eastAsia="Times New Roman" w:cs="Times New Roman"/>
          <w:spacing w:val="-6"/>
          <w:sz w:val="23"/>
          <w:szCs w:val="23"/>
        </w:rPr>
        <w:t xml:space="preserve">1 </w:t>
      </w:r>
      <w:r>
        <w:rPr>
          <w:rFonts w:ascii="宋体" w:hAnsi="宋体" w:eastAsia="宋体" w:cs="宋体"/>
          <w:spacing w:val="-6"/>
          <w:sz w:val="23"/>
          <w:szCs w:val="23"/>
        </w:rPr>
        <w:t>号) ，</w:t>
      </w:r>
      <w:r>
        <w:rPr>
          <w:rFonts w:ascii="Times New Roman" w:hAnsi="Times New Roman" w:eastAsia="Times New Roman" w:cs="Times New Roman"/>
          <w:spacing w:val="-6"/>
          <w:sz w:val="23"/>
          <w:szCs w:val="23"/>
        </w:rPr>
        <w:t xml:space="preserve">2018 </w:t>
      </w:r>
      <w:r>
        <w:rPr>
          <w:rFonts w:ascii="宋体" w:hAnsi="宋体" w:eastAsia="宋体" w:cs="宋体"/>
          <w:spacing w:val="-6"/>
          <w:sz w:val="23"/>
          <w:szCs w:val="23"/>
        </w:rPr>
        <w:t xml:space="preserve">年 </w:t>
      </w:r>
      <w:r>
        <w:rPr>
          <w:rFonts w:ascii="Times New Roman" w:hAnsi="Times New Roman" w:eastAsia="Times New Roman" w:cs="Times New Roman"/>
          <w:spacing w:val="-6"/>
          <w:sz w:val="23"/>
          <w:szCs w:val="23"/>
        </w:rPr>
        <w:t xml:space="preserve">10 </w:t>
      </w:r>
      <w:r>
        <w:rPr>
          <w:rFonts w:ascii="宋体" w:hAnsi="宋体" w:eastAsia="宋体" w:cs="宋体"/>
          <w:spacing w:val="-6"/>
          <w:sz w:val="23"/>
          <w:szCs w:val="23"/>
        </w:rPr>
        <w:t xml:space="preserve">月 </w:t>
      </w:r>
      <w:r>
        <w:rPr>
          <w:rFonts w:ascii="Times New Roman" w:hAnsi="Times New Roman" w:eastAsia="Times New Roman" w:cs="Times New Roman"/>
          <w:spacing w:val="-6"/>
          <w:sz w:val="23"/>
          <w:szCs w:val="23"/>
        </w:rPr>
        <w:t xml:space="preserve">13 </w:t>
      </w:r>
      <w:r>
        <w:rPr>
          <w:rFonts w:ascii="宋体" w:hAnsi="宋体" w:eastAsia="宋体" w:cs="宋体"/>
          <w:spacing w:val="-6"/>
          <w:sz w:val="23"/>
          <w:szCs w:val="23"/>
        </w:rPr>
        <w:t>日；</w:t>
      </w:r>
    </w:p>
    <w:p w14:paraId="5A21F96B">
      <w:pPr>
        <w:spacing w:line="242" w:lineRule="auto"/>
        <w:rPr>
          <w:rFonts w:ascii="Arial"/>
          <w:sz w:val="21"/>
        </w:rPr>
      </w:pPr>
    </w:p>
    <w:p w14:paraId="50C1D17B">
      <w:pPr>
        <w:spacing w:before="75" w:line="323" w:lineRule="exact"/>
        <w:ind w:left="486"/>
        <w:rPr>
          <w:rFonts w:ascii="宋体" w:hAnsi="宋体" w:eastAsia="宋体" w:cs="宋体"/>
          <w:sz w:val="23"/>
          <w:szCs w:val="23"/>
        </w:rPr>
      </w:pPr>
      <w:r>
        <w:rPr>
          <w:rFonts w:ascii="宋体" w:hAnsi="宋体" w:eastAsia="宋体" w:cs="宋体"/>
          <w:spacing w:val="-2"/>
          <w:position w:val="1"/>
          <w:sz w:val="23"/>
          <w:szCs w:val="23"/>
        </w:rPr>
        <w:t>(</w:t>
      </w:r>
      <w:r>
        <w:rPr>
          <w:rFonts w:ascii="Times New Roman" w:hAnsi="Times New Roman" w:eastAsia="Times New Roman" w:cs="Times New Roman"/>
          <w:spacing w:val="-2"/>
          <w:position w:val="1"/>
          <w:sz w:val="23"/>
          <w:szCs w:val="23"/>
        </w:rPr>
        <w:t>13</w:t>
      </w:r>
      <w:r>
        <w:rPr>
          <w:rFonts w:ascii="宋体" w:hAnsi="宋体" w:eastAsia="宋体" w:cs="宋体"/>
          <w:spacing w:val="-2"/>
          <w:position w:val="1"/>
          <w:sz w:val="23"/>
          <w:szCs w:val="23"/>
        </w:rPr>
        <w:t>)  《防治城市扬尘污染技术规范</w:t>
      </w:r>
      <w:r>
        <w:rPr>
          <w:rFonts w:ascii="宋体" w:hAnsi="宋体" w:eastAsia="宋体" w:cs="宋体"/>
          <w:spacing w:val="-1"/>
          <w:position w:val="1"/>
          <w:sz w:val="23"/>
          <w:szCs w:val="23"/>
        </w:rPr>
        <w:t>》，</w:t>
      </w:r>
      <w:r>
        <w:rPr>
          <w:rFonts w:ascii="Times New Roman" w:hAnsi="Times New Roman" w:eastAsia="Times New Roman" w:cs="Times New Roman"/>
          <w:spacing w:val="-1"/>
          <w:position w:val="1"/>
          <w:sz w:val="23"/>
          <w:szCs w:val="23"/>
        </w:rPr>
        <w:t>HJ/T393-2007</w:t>
      </w:r>
      <w:r>
        <w:rPr>
          <w:rFonts w:ascii="宋体" w:hAnsi="宋体" w:eastAsia="宋体" w:cs="宋体"/>
          <w:spacing w:val="-1"/>
          <w:position w:val="1"/>
          <w:sz w:val="23"/>
          <w:szCs w:val="23"/>
        </w:rPr>
        <w:t>；</w:t>
      </w:r>
    </w:p>
    <w:p w14:paraId="59BEBE7D">
      <w:pPr>
        <w:spacing w:line="291" w:lineRule="auto"/>
        <w:rPr>
          <w:rFonts w:ascii="Arial"/>
          <w:sz w:val="21"/>
        </w:rPr>
      </w:pPr>
    </w:p>
    <w:p w14:paraId="64452A77">
      <w:pPr>
        <w:spacing w:before="75" w:line="227" w:lineRule="auto"/>
        <w:ind w:left="486"/>
        <w:rPr>
          <w:rFonts w:ascii="宋体" w:hAnsi="宋体" w:eastAsia="宋体" w:cs="宋体"/>
          <w:sz w:val="23"/>
          <w:szCs w:val="23"/>
        </w:rPr>
      </w:pPr>
      <w:r>
        <w:rPr>
          <w:rFonts w:ascii="宋体" w:hAnsi="宋体" w:eastAsia="宋体" w:cs="宋体"/>
          <w:spacing w:val="-4"/>
          <w:sz w:val="23"/>
          <w:szCs w:val="23"/>
        </w:rPr>
        <w:t>(</w:t>
      </w:r>
      <w:r>
        <w:rPr>
          <w:rFonts w:ascii="Times New Roman" w:hAnsi="Times New Roman" w:eastAsia="Times New Roman" w:cs="Times New Roman"/>
          <w:spacing w:val="-4"/>
          <w:sz w:val="23"/>
          <w:szCs w:val="23"/>
        </w:rPr>
        <w:t>14</w:t>
      </w:r>
      <w:r>
        <w:rPr>
          <w:rFonts w:ascii="宋体" w:hAnsi="宋体" w:eastAsia="宋体" w:cs="宋体"/>
          <w:spacing w:val="-4"/>
          <w:sz w:val="23"/>
          <w:szCs w:val="23"/>
        </w:rPr>
        <w:t xml:space="preserve">)  《本溪市 </w:t>
      </w:r>
      <w:r>
        <w:rPr>
          <w:rFonts w:ascii="Times New Roman" w:hAnsi="Times New Roman" w:eastAsia="Times New Roman" w:cs="Times New Roman"/>
          <w:spacing w:val="-4"/>
          <w:sz w:val="23"/>
          <w:szCs w:val="23"/>
        </w:rPr>
        <w:t xml:space="preserve">2015 </w:t>
      </w:r>
      <w:r>
        <w:rPr>
          <w:rFonts w:ascii="宋体" w:hAnsi="宋体" w:eastAsia="宋体" w:cs="宋体"/>
          <w:spacing w:val="-4"/>
          <w:sz w:val="23"/>
          <w:szCs w:val="23"/>
        </w:rPr>
        <w:t>年度蓝天工程暨大气污染防治行动计划实施方案》 (本</w:t>
      </w:r>
      <w:r>
        <w:rPr>
          <w:rFonts w:ascii="宋体" w:hAnsi="宋体" w:eastAsia="宋体" w:cs="宋体"/>
          <w:sz w:val="23"/>
          <w:szCs w:val="23"/>
        </w:rPr>
        <w:t>蓝</w:t>
      </w:r>
    </w:p>
    <w:p w14:paraId="134BD3D2">
      <w:pPr>
        <w:spacing w:before="155" w:line="323" w:lineRule="exact"/>
        <w:ind w:left="28"/>
        <w:rPr>
          <w:rFonts w:ascii="宋体" w:hAnsi="宋体" w:eastAsia="宋体" w:cs="宋体"/>
          <w:sz w:val="23"/>
          <w:szCs w:val="23"/>
        </w:rPr>
      </w:pPr>
      <w:r>
        <w:rPr>
          <w:rFonts w:ascii="宋体" w:hAnsi="宋体" w:eastAsia="宋体" w:cs="宋体"/>
          <w:spacing w:val="-10"/>
          <w:position w:val="2"/>
          <w:sz w:val="23"/>
          <w:szCs w:val="23"/>
        </w:rPr>
        <w:t>天办</w:t>
      </w:r>
      <w:r>
        <w:rPr>
          <w:rFonts w:ascii="Times New Roman" w:hAnsi="Times New Roman" w:eastAsia="Times New Roman" w:cs="Times New Roman"/>
          <w:spacing w:val="-10"/>
          <w:position w:val="2"/>
          <w:sz w:val="23"/>
          <w:szCs w:val="23"/>
        </w:rPr>
        <w:t>[</w:t>
      </w:r>
      <w:r>
        <w:rPr>
          <w:rFonts w:ascii="Times New Roman" w:hAnsi="Times New Roman" w:eastAsia="Times New Roman" w:cs="Times New Roman"/>
          <w:spacing w:val="-6"/>
          <w:position w:val="2"/>
          <w:sz w:val="23"/>
          <w:szCs w:val="23"/>
        </w:rPr>
        <w:t>2</w:t>
      </w:r>
      <w:r>
        <w:rPr>
          <w:rFonts w:ascii="Times New Roman" w:hAnsi="Times New Roman" w:eastAsia="Times New Roman" w:cs="Times New Roman"/>
          <w:spacing w:val="-5"/>
          <w:position w:val="2"/>
          <w:sz w:val="23"/>
          <w:szCs w:val="23"/>
        </w:rPr>
        <w:t xml:space="preserve">015]1 </w:t>
      </w:r>
      <w:r>
        <w:rPr>
          <w:rFonts w:ascii="宋体" w:hAnsi="宋体" w:eastAsia="宋体" w:cs="宋体"/>
          <w:spacing w:val="-5"/>
          <w:position w:val="2"/>
          <w:sz w:val="23"/>
          <w:szCs w:val="23"/>
        </w:rPr>
        <w:t>号) ，</w:t>
      </w:r>
      <w:r>
        <w:rPr>
          <w:rFonts w:ascii="Times New Roman" w:hAnsi="Times New Roman" w:eastAsia="Times New Roman" w:cs="Times New Roman"/>
          <w:spacing w:val="-5"/>
          <w:position w:val="2"/>
          <w:sz w:val="23"/>
          <w:szCs w:val="23"/>
        </w:rPr>
        <w:t xml:space="preserve">2015 </w:t>
      </w:r>
      <w:r>
        <w:rPr>
          <w:rFonts w:ascii="宋体" w:hAnsi="宋体" w:eastAsia="宋体" w:cs="宋体"/>
          <w:spacing w:val="-5"/>
          <w:position w:val="2"/>
          <w:sz w:val="23"/>
          <w:szCs w:val="23"/>
        </w:rPr>
        <w:t xml:space="preserve">年 </w:t>
      </w:r>
      <w:r>
        <w:rPr>
          <w:rFonts w:ascii="Times New Roman" w:hAnsi="Times New Roman" w:eastAsia="Times New Roman" w:cs="Times New Roman"/>
          <w:spacing w:val="-5"/>
          <w:position w:val="2"/>
          <w:sz w:val="23"/>
          <w:szCs w:val="23"/>
        </w:rPr>
        <w:t xml:space="preserve">2 </w:t>
      </w:r>
      <w:r>
        <w:rPr>
          <w:rFonts w:ascii="宋体" w:hAnsi="宋体" w:eastAsia="宋体" w:cs="宋体"/>
          <w:spacing w:val="-5"/>
          <w:position w:val="2"/>
          <w:sz w:val="23"/>
          <w:szCs w:val="23"/>
        </w:rPr>
        <w:t xml:space="preserve">月 </w:t>
      </w:r>
      <w:r>
        <w:rPr>
          <w:rFonts w:ascii="Times New Roman" w:hAnsi="Times New Roman" w:eastAsia="Times New Roman" w:cs="Times New Roman"/>
          <w:spacing w:val="-5"/>
          <w:position w:val="2"/>
          <w:sz w:val="23"/>
          <w:szCs w:val="23"/>
        </w:rPr>
        <w:t xml:space="preserve">15 </w:t>
      </w:r>
      <w:r>
        <w:rPr>
          <w:rFonts w:ascii="宋体" w:hAnsi="宋体" w:eastAsia="宋体" w:cs="宋体"/>
          <w:spacing w:val="-5"/>
          <w:position w:val="2"/>
          <w:sz w:val="23"/>
          <w:szCs w:val="23"/>
        </w:rPr>
        <w:t>日；</w:t>
      </w:r>
    </w:p>
    <w:p w14:paraId="68AE8F78">
      <w:pPr>
        <w:spacing w:line="291" w:lineRule="auto"/>
        <w:rPr>
          <w:rFonts w:ascii="Arial"/>
          <w:sz w:val="21"/>
        </w:rPr>
      </w:pPr>
    </w:p>
    <w:p w14:paraId="11242C50">
      <w:pPr>
        <w:spacing w:before="75" w:line="227" w:lineRule="auto"/>
        <w:ind w:left="486"/>
        <w:rPr>
          <w:rFonts w:ascii="宋体" w:hAnsi="宋体" w:eastAsia="宋体" w:cs="宋体"/>
          <w:sz w:val="23"/>
          <w:szCs w:val="23"/>
        </w:rPr>
      </w:pPr>
      <w:r>
        <w:rPr>
          <w:rFonts w:ascii="宋体" w:hAnsi="宋体" w:eastAsia="宋体" w:cs="宋体"/>
          <w:spacing w:val="-4"/>
          <w:sz w:val="23"/>
          <w:szCs w:val="23"/>
        </w:rPr>
        <w:t>(</w:t>
      </w:r>
      <w:r>
        <w:rPr>
          <w:rFonts w:ascii="Times New Roman" w:hAnsi="Times New Roman" w:eastAsia="Times New Roman" w:cs="Times New Roman"/>
          <w:spacing w:val="-4"/>
          <w:sz w:val="23"/>
          <w:szCs w:val="23"/>
        </w:rPr>
        <w:t>15</w:t>
      </w:r>
      <w:r>
        <w:rPr>
          <w:rFonts w:ascii="宋体" w:hAnsi="宋体" w:eastAsia="宋体" w:cs="宋体"/>
          <w:spacing w:val="-4"/>
          <w:sz w:val="23"/>
          <w:szCs w:val="23"/>
        </w:rPr>
        <w:t>)  《本溪市人民政府</w:t>
      </w:r>
      <w:r>
        <w:rPr>
          <w:rFonts w:ascii="宋体" w:hAnsi="宋体" w:eastAsia="宋体" w:cs="宋体"/>
          <w:spacing w:val="-2"/>
          <w:sz w:val="23"/>
          <w:szCs w:val="23"/>
        </w:rPr>
        <w:t>关于印发本溪市水污染防治工作方案的通知》  (本政</w:t>
      </w:r>
    </w:p>
    <w:p w14:paraId="17D72CFF">
      <w:pPr>
        <w:spacing w:before="198" w:line="227" w:lineRule="auto"/>
        <w:ind w:left="27"/>
        <w:rPr>
          <w:rFonts w:ascii="宋体" w:hAnsi="宋体" w:eastAsia="宋体" w:cs="宋体"/>
          <w:sz w:val="23"/>
          <w:szCs w:val="23"/>
        </w:rPr>
      </w:pPr>
      <w:r>
        <w:rPr>
          <w:rFonts w:ascii="宋体" w:hAnsi="宋体" w:eastAsia="宋体" w:cs="宋体"/>
          <w:spacing w:val="-6"/>
          <w:sz w:val="23"/>
          <w:szCs w:val="23"/>
        </w:rPr>
        <w:t>发〔</w:t>
      </w:r>
      <w:r>
        <w:rPr>
          <w:rFonts w:ascii="Times New Roman" w:hAnsi="Times New Roman" w:eastAsia="Times New Roman" w:cs="Times New Roman"/>
          <w:spacing w:val="-6"/>
          <w:sz w:val="23"/>
          <w:szCs w:val="23"/>
        </w:rPr>
        <w:t>2016</w:t>
      </w:r>
      <w:r>
        <w:rPr>
          <w:rFonts w:ascii="宋体" w:hAnsi="宋体" w:eastAsia="宋体" w:cs="宋体"/>
          <w:spacing w:val="-6"/>
          <w:sz w:val="23"/>
          <w:szCs w:val="23"/>
        </w:rPr>
        <w:t>〕</w:t>
      </w:r>
      <w:r>
        <w:rPr>
          <w:rFonts w:ascii="Times New Roman" w:hAnsi="Times New Roman" w:eastAsia="Times New Roman" w:cs="Times New Roman"/>
          <w:spacing w:val="-6"/>
          <w:sz w:val="23"/>
          <w:szCs w:val="23"/>
        </w:rPr>
        <w:t xml:space="preserve">7 </w:t>
      </w:r>
      <w:r>
        <w:rPr>
          <w:rFonts w:ascii="宋体" w:hAnsi="宋体" w:eastAsia="宋体" w:cs="宋体"/>
          <w:spacing w:val="-6"/>
          <w:sz w:val="23"/>
          <w:szCs w:val="23"/>
        </w:rPr>
        <w:t>号) ，</w:t>
      </w:r>
      <w:r>
        <w:rPr>
          <w:rFonts w:ascii="Times New Roman" w:hAnsi="Times New Roman" w:eastAsia="Times New Roman" w:cs="Times New Roman"/>
          <w:spacing w:val="-6"/>
          <w:sz w:val="23"/>
          <w:szCs w:val="23"/>
        </w:rPr>
        <w:t xml:space="preserve">2016 </w:t>
      </w:r>
      <w:r>
        <w:rPr>
          <w:rFonts w:ascii="宋体" w:hAnsi="宋体" w:eastAsia="宋体" w:cs="宋体"/>
          <w:spacing w:val="-6"/>
          <w:sz w:val="23"/>
          <w:szCs w:val="23"/>
        </w:rPr>
        <w:t xml:space="preserve">年 </w:t>
      </w:r>
      <w:r>
        <w:rPr>
          <w:rFonts w:ascii="Times New Roman" w:hAnsi="Times New Roman" w:eastAsia="Times New Roman" w:cs="Times New Roman"/>
          <w:spacing w:val="-6"/>
          <w:sz w:val="23"/>
          <w:szCs w:val="23"/>
        </w:rPr>
        <w:t xml:space="preserve">4 </w:t>
      </w:r>
      <w:r>
        <w:rPr>
          <w:rFonts w:ascii="宋体" w:hAnsi="宋体" w:eastAsia="宋体" w:cs="宋体"/>
          <w:spacing w:val="-6"/>
          <w:sz w:val="23"/>
          <w:szCs w:val="23"/>
        </w:rPr>
        <w:t xml:space="preserve">月 </w:t>
      </w:r>
      <w:r>
        <w:rPr>
          <w:rFonts w:ascii="Times New Roman" w:hAnsi="Times New Roman" w:eastAsia="Times New Roman" w:cs="Times New Roman"/>
          <w:spacing w:val="-6"/>
          <w:sz w:val="23"/>
          <w:szCs w:val="23"/>
        </w:rPr>
        <w:t xml:space="preserve">11 </w:t>
      </w:r>
      <w:r>
        <w:rPr>
          <w:rFonts w:ascii="宋体" w:hAnsi="宋体" w:eastAsia="宋体" w:cs="宋体"/>
          <w:spacing w:val="-6"/>
          <w:sz w:val="23"/>
          <w:szCs w:val="23"/>
        </w:rPr>
        <w:t>日</w:t>
      </w:r>
      <w:r>
        <w:rPr>
          <w:rFonts w:ascii="宋体" w:hAnsi="宋体" w:eastAsia="宋体" w:cs="宋体"/>
          <w:spacing w:val="-5"/>
          <w:sz w:val="23"/>
          <w:szCs w:val="23"/>
        </w:rPr>
        <w:t>；</w:t>
      </w:r>
    </w:p>
    <w:p w14:paraId="5AA6057D">
      <w:pPr>
        <w:spacing w:line="285" w:lineRule="auto"/>
        <w:rPr>
          <w:rFonts w:ascii="Arial"/>
          <w:sz w:val="21"/>
        </w:rPr>
      </w:pPr>
    </w:p>
    <w:p w14:paraId="0152B3DC">
      <w:pPr>
        <w:spacing w:before="75" w:line="393" w:lineRule="auto"/>
        <w:ind w:left="28" w:right="103" w:firstLine="457"/>
        <w:rPr>
          <w:rFonts w:ascii="宋体" w:hAnsi="宋体" w:eastAsia="宋体" w:cs="宋体"/>
          <w:sz w:val="23"/>
          <w:szCs w:val="23"/>
        </w:rPr>
      </w:pPr>
      <w:r>
        <w:rPr>
          <w:rFonts w:ascii="宋体" w:hAnsi="宋体" w:eastAsia="宋体" w:cs="宋体"/>
          <w:spacing w:val="1"/>
          <w:sz w:val="23"/>
          <w:szCs w:val="23"/>
        </w:rPr>
        <w:t>(</w:t>
      </w:r>
      <w:r>
        <w:rPr>
          <w:rFonts w:ascii="Times New Roman" w:hAnsi="Times New Roman" w:eastAsia="Times New Roman" w:cs="Times New Roman"/>
          <w:spacing w:val="1"/>
          <w:sz w:val="23"/>
          <w:szCs w:val="23"/>
        </w:rPr>
        <w:t>16</w:t>
      </w:r>
      <w:r>
        <w:rPr>
          <w:rFonts w:ascii="宋体" w:hAnsi="宋体" w:eastAsia="宋体" w:cs="宋体"/>
          <w:spacing w:val="1"/>
          <w:sz w:val="23"/>
          <w:szCs w:val="23"/>
        </w:rPr>
        <w:t>)  《本溪</w:t>
      </w:r>
      <w:r>
        <w:rPr>
          <w:rFonts w:ascii="宋体" w:hAnsi="宋体" w:eastAsia="宋体" w:cs="宋体"/>
          <w:sz w:val="23"/>
          <w:szCs w:val="23"/>
        </w:rPr>
        <w:t xml:space="preserve">市人民政府关于印发本溪市大气污染防治行动计划实施方案的通 </w:t>
      </w:r>
      <w:r>
        <w:rPr>
          <w:rFonts w:ascii="宋体" w:hAnsi="宋体" w:eastAsia="宋体" w:cs="宋体"/>
          <w:spacing w:val="-16"/>
          <w:sz w:val="23"/>
          <w:szCs w:val="23"/>
        </w:rPr>
        <w:t>知</w:t>
      </w:r>
      <w:r>
        <w:rPr>
          <w:rFonts w:ascii="宋体" w:hAnsi="宋体" w:eastAsia="宋体" w:cs="宋体"/>
          <w:spacing w:val="-8"/>
          <w:sz w:val="23"/>
          <w:szCs w:val="23"/>
        </w:rPr>
        <w:t>》  (本政发〔</w:t>
      </w:r>
      <w:r>
        <w:rPr>
          <w:rFonts w:ascii="Times New Roman" w:hAnsi="Times New Roman" w:eastAsia="Times New Roman" w:cs="Times New Roman"/>
          <w:spacing w:val="-8"/>
          <w:sz w:val="23"/>
          <w:szCs w:val="23"/>
        </w:rPr>
        <w:t>2015</w:t>
      </w:r>
      <w:r>
        <w:rPr>
          <w:rFonts w:ascii="宋体" w:hAnsi="宋体" w:eastAsia="宋体" w:cs="宋体"/>
          <w:spacing w:val="-8"/>
          <w:sz w:val="23"/>
          <w:szCs w:val="23"/>
        </w:rPr>
        <w:t>〕</w:t>
      </w:r>
      <w:r>
        <w:rPr>
          <w:rFonts w:ascii="Times New Roman" w:hAnsi="Times New Roman" w:eastAsia="Times New Roman" w:cs="Times New Roman"/>
          <w:spacing w:val="-8"/>
          <w:sz w:val="23"/>
          <w:szCs w:val="23"/>
        </w:rPr>
        <w:t xml:space="preserve">1 </w:t>
      </w:r>
      <w:r>
        <w:rPr>
          <w:rFonts w:ascii="宋体" w:hAnsi="宋体" w:eastAsia="宋体" w:cs="宋体"/>
          <w:spacing w:val="-8"/>
          <w:sz w:val="23"/>
          <w:szCs w:val="23"/>
        </w:rPr>
        <w:t>号) ，</w:t>
      </w:r>
      <w:r>
        <w:rPr>
          <w:rFonts w:ascii="Times New Roman" w:hAnsi="Times New Roman" w:eastAsia="Times New Roman" w:cs="Times New Roman"/>
          <w:spacing w:val="-8"/>
          <w:sz w:val="23"/>
          <w:szCs w:val="23"/>
        </w:rPr>
        <w:t xml:space="preserve">2015 </w:t>
      </w:r>
      <w:r>
        <w:rPr>
          <w:rFonts w:ascii="宋体" w:hAnsi="宋体" w:eastAsia="宋体" w:cs="宋体"/>
          <w:spacing w:val="-8"/>
          <w:sz w:val="23"/>
          <w:szCs w:val="23"/>
        </w:rPr>
        <w:t xml:space="preserve">年 </w:t>
      </w:r>
      <w:r>
        <w:rPr>
          <w:rFonts w:ascii="Times New Roman" w:hAnsi="Times New Roman" w:eastAsia="Times New Roman" w:cs="Times New Roman"/>
          <w:spacing w:val="-8"/>
          <w:sz w:val="23"/>
          <w:szCs w:val="23"/>
        </w:rPr>
        <w:t xml:space="preserve">1 </w:t>
      </w:r>
      <w:r>
        <w:rPr>
          <w:rFonts w:ascii="宋体" w:hAnsi="宋体" w:eastAsia="宋体" w:cs="宋体"/>
          <w:spacing w:val="-8"/>
          <w:sz w:val="23"/>
          <w:szCs w:val="23"/>
        </w:rPr>
        <w:t xml:space="preserve">月 </w:t>
      </w:r>
      <w:r>
        <w:rPr>
          <w:rFonts w:ascii="Times New Roman" w:hAnsi="Times New Roman" w:eastAsia="Times New Roman" w:cs="Times New Roman"/>
          <w:spacing w:val="-8"/>
          <w:sz w:val="23"/>
          <w:szCs w:val="23"/>
        </w:rPr>
        <w:t xml:space="preserve">27 </w:t>
      </w:r>
      <w:r>
        <w:rPr>
          <w:rFonts w:ascii="宋体" w:hAnsi="宋体" w:eastAsia="宋体" w:cs="宋体"/>
          <w:spacing w:val="-8"/>
          <w:sz w:val="23"/>
          <w:szCs w:val="23"/>
        </w:rPr>
        <w:t>日；</w:t>
      </w:r>
    </w:p>
    <w:p w14:paraId="3D94232B">
      <w:pPr>
        <w:spacing w:before="148" w:line="393" w:lineRule="auto"/>
        <w:ind w:left="34" w:right="106" w:firstLine="451"/>
        <w:rPr>
          <w:rFonts w:ascii="宋体" w:hAnsi="宋体" w:eastAsia="宋体" w:cs="宋体"/>
          <w:sz w:val="23"/>
          <w:szCs w:val="23"/>
        </w:rPr>
      </w:pPr>
      <w:r>
        <w:rPr>
          <w:rFonts w:ascii="宋体" w:hAnsi="宋体" w:eastAsia="宋体" w:cs="宋体"/>
          <w:spacing w:val="36"/>
          <w:sz w:val="23"/>
          <w:szCs w:val="23"/>
        </w:rPr>
        <w:t>(</w:t>
      </w:r>
      <w:r>
        <w:rPr>
          <w:rFonts w:ascii="Times New Roman" w:hAnsi="Times New Roman" w:eastAsia="Times New Roman" w:cs="Times New Roman"/>
          <w:spacing w:val="20"/>
          <w:sz w:val="23"/>
          <w:szCs w:val="23"/>
        </w:rPr>
        <w:t>17</w:t>
      </w:r>
      <w:r>
        <w:rPr>
          <w:rFonts w:ascii="宋体" w:hAnsi="宋体" w:eastAsia="宋体" w:cs="宋体"/>
          <w:spacing w:val="20"/>
          <w:sz w:val="23"/>
          <w:szCs w:val="23"/>
        </w:rPr>
        <w:t>)  《本溪市人民政府关于印发本溪市打赢蓝天保卫战三年行动方案</w:t>
      </w:r>
      <w:r>
        <w:rPr>
          <w:rFonts w:ascii="宋体" w:hAnsi="宋体" w:eastAsia="宋体" w:cs="宋体"/>
          <w:sz w:val="23"/>
          <w:szCs w:val="23"/>
        </w:rPr>
        <w:t xml:space="preserve"> </w:t>
      </w:r>
      <w:r>
        <w:rPr>
          <w:rFonts w:ascii="宋体" w:hAnsi="宋体" w:eastAsia="宋体" w:cs="宋体"/>
          <w:spacing w:val="-8"/>
          <w:sz w:val="23"/>
          <w:szCs w:val="23"/>
        </w:rPr>
        <w:t>(</w:t>
      </w:r>
      <w:r>
        <w:rPr>
          <w:rFonts w:ascii="Times New Roman" w:hAnsi="Times New Roman" w:eastAsia="Times New Roman" w:cs="Times New Roman"/>
          <w:spacing w:val="-4"/>
          <w:sz w:val="23"/>
          <w:szCs w:val="23"/>
        </w:rPr>
        <w:t xml:space="preserve">2018—2020 </w:t>
      </w:r>
      <w:r>
        <w:rPr>
          <w:rFonts w:ascii="宋体" w:hAnsi="宋体" w:eastAsia="宋体" w:cs="宋体"/>
          <w:spacing w:val="-4"/>
          <w:sz w:val="23"/>
          <w:szCs w:val="23"/>
        </w:rPr>
        <w:t>年) 的通知》  (本政发〔</w:t>
      </w:r>
      <w:r>
        <w:rPr>
          <w:rFonts w:ascii="Times New Roman" w:hAnsi="Times New Roman" w:eastAsia="Times New Roman" w:cs="Times New Roman"/>
          <w:spacing w:val="-4"/>
          <w:sz w:val="23"/>
          <w:szCs w:val="23"/>
        </w:rPr>
        <w:t>2019</w:t>
      </w:r>
      <w:r>
        <w:rPr>
          <w:rFonts w:ascii="宋体" w:hAnsi="宋体" w:eastAsia="宋体" w:cs="宋体"/>
          <w:spacing w:val="-4"/>
          <w:sz w:val="23"/>
          <w:szCs w:val="23"/>
        </w:rPr>
        <w:t>〕</w:t>
      </w:r>
      <w:r>
        <w:rPr>
          <w:rFonts w:ascii="Times New Roman" w:hAnsi="Times New Roman" w:eastAsia="Times New Roman" w:cs="Times New Roman"/>
          <w:spacing w:val="-4"/>
          <w:sz w:val="23"/>
          <w:szCs w:val="23"/>
        </w:rPr>
        <w:t xml:space="preserve">3 </w:t>
      </w:r>
      <w:r>
        <w:rPr>
          <w:rFonts w:ascii="宋体" w:hAnsi="宋体" w:eastAsia="宋体" w:cs="宋体"/>
          <w:spacing w:val="-4"/>
          <w:sz w:val="23"/>
          <w:szCs w:val="23"/>
        </w:rPr>
        <w:t>号) ，</w:t>
      </w:r>
      <w:r>
        <w:rPr>
          <w:rFonts w:ascii="Times New Roman" w:hAnsi="Times New Roman" w:eastAsia="Times New Roman" w:cs="Times New Roman"/>
          <w:spacing w:val="-4"/>
          <w:sz w:val="23"/>
          <w:szCs w:val="23"/>
        </w:rPr>
        <w:t xml:space="preserve">2019 </w:t>
      </w:r>
      <w:r>
        <w:rPr>
          <w:rFonts w:ascii="宋体" w:hAnsi="宋体" w:eastAsia="宋体" w:cs="宋体"/>
          <w:spacing w:val="-4"/>
          <w:sz w:val="23"/>
          <w:szCs w:val="23"/>
        </w:rPr>
        <w:t xml:space="preserve">年 </w:t>
      </w:r>
      <w:r>
        <w:rPr>
          <w:rFonts w:ascii="Times New Roman" w:hAnsi="Times New Roman" w:eastAsia="Times New Roman" w:cs="Times New Roman"/>
          <w:spacing w:val="-4"/>
          <w:sz w:val="23"/>
          <w:szCs w:val="23"/>
        </w:rPr>
        <w:t xml:space="preserve">1 </w:t>
      </w:r>
      <w:r>
        <w:rPr>
          <w:rFonts w:ascii="宋体" w:hAnsi="宋体" w:eastAsia="宋体" w:cs="宋体"/>
          <w:spacing w:val="-4"/>
          <w:sz w:val="23"/>
          <w:szCs w:val="23"/>
        </w:rPr>
        <w:t xml:space="preserve">月 </w:t>
      </w:r>
      <w:r>
        <w:rPr>
          <w:rFonts w:ascii="Times New Roman" w:hAnsi="Times New Roman" w:eastAsia="Times New Roman" w:cs="Times New Roman"/>
          <w:spacing w:val="-4"/>
          <w:sz w:val="23"/>
          <w:szCs w:val="23"/>
        </w:rPr>
        <w:t xml:space="preserve">31 </w:t>
      </w:r>
      <w:r>
        <w:rPr>
          <w:rFonts w:ascii="宋体" w:hAnsi="宋体" w:eastAsia="宋体" w:cs="宋体"/>
          <w:spacing w:val="-4"/>
          <w:sz w:val="23"/>
          <w:szCs w:val="23"/>
        </w:rPr>
        <w:t>日。</w:t>
      </w:r>
    </w:p>
    <w:p w14:paraId="7083DBE2">
      <w:pPr>
        <w:spacing w:before="96" w:line="224" w:lineRule="auto"/>
        <w:ind w:left="21"/>
        <w:outlineLvl w:val="2"/>
        <w:rPr>
          <w:rFonts w:ascii="宋体" w:hAnsi="宋体" w:eastAsia="宋体" w:cs="宋体"/>
          <w:sz w:val="29"/>
          <w:szCs w:val="29"/>
        </w:rPr>
      </w:pPr>
      <w:r>
        <w:rPr>
          <w:rFonts w:ascii="Times New Roman" w:hAnsi="Times New Roman" w:eastAsia="Times New Roman" w:cs="Times New Roman"/>
          <w:b/>
          <w:bCs/>
          <w:spacing w:val="-2"/>
          <w:sz w:val="29"/>
          <w:szCs w:val="29"/>
        </w:rPr>
        <w:t>2.2.3</w:t>
      </w:r>
      <w:r>
        <w:rPr>
          <w:rFonts w:ascii="Times New Roman" w:hAnsi="Times New Roman" w:eastAsia="Times New Roman" w:cs="Times New Roman"/>
          <w:spacing w:val="-2"/>
          <w:sz w:val="29"/>
          <w:szCs w:val="29"/>
        </w:rPr>
        <w:t xml:space="preserve">  </w:t>
      </w:r>
      <w:r>
        <w:rPr>
          <w:rFonts w:ascii="宋体" w:hAnsi="宋体" w:eastAsia="宋体" w:cs="宋体"/>
          <w:spacing w:val="-2"/>
          <w:sz w:val="29"/>
          <w:szCs w:val="29"/>
          <w14:textOutline w14:w="5448" w14:cap="sq" w14:cmpd="sng">
            <w14:solidFill>
              <w14:srgbClr w14:val="000000"/>
            </w14:solidFill>
            <w14:prstDash w14:val="solid"/>
            <w14:bevel/>
          </w14:textOutline>
        </w:rPr>
        <w:t>建设项目环境影响评价的相关政策及</w:t>
      </w:r>
      <w:r>
        <w:rPr>
          <w:rFonts w:ascii="宋体" w:hAnsi="宋体" w:eastAsia="宋体" w:cs="宋体"/>
          <w:spacing w:val="-1"/>
          <w:sz w:val="29"/>
          <w:szCs w:val="29"/>
          <w14:textOutline w14:w="5448" w14:cap="sq" w14:cmpd="sng">
            <w14:solidFill>
              <w14:srgbClr w14:val="000000"/>
            </w14:solidFill>
            <w14:prstDash w14:val="solid"/>
            <w14:bevel/>
          </w14:textOutline>
        </w:rPr>
        <w:t>规</w:t>
      </w:r>
      <w:r>
        <w:rPr>
          <w:rFonts w:ascii="宋体" w:hAnsi="宋体" w:eastAsia="宋体" w:cs="宋体"/>
          <w:sz w:val="29"/>
          <w:szCs w:val="29"/>
          <w14:textOutline w14:w="5448" w14:cap="sq" w14:cmpd="sng">
            <w14:solidFill>
              <w14:srgbClr w14:val="000000"/>
            </w14:solidFill>
            <w14:prstDash w14:val="solid"/>
            <w14:bevel/>
          </w14:textOutline>
        </w:rPr>
        <w:t>划</w:t>
      </w:r>
    </w:p>
    <w:p w14:paraId="001A967A">
      <w:pPr>
        <w:spacing w:before="304" w:line="323" w:lineRule="exact"/>
        <w:ind w:left="462"/>
        <w:rPr>
          <w:rFonts w:ascii="宋体" w:hAnsi="宋体" w:eastAsia="宋体" w:cs="宋体"/>
          <w:sz w:val="23"/>
          <w:szCs w:val="23"/>
        </w:rPr>
      </w:pPr>
      <w:r>
        <w:rPr>
          <w:rFonts w:ascii="宋体" w:hAnsi="宋体" w:eastAsia="宋体" w:cs="宋体"/>
          <w:spacing w:val="-28"/>
          <w:position w:val="2"/>
          <w:sz w:val="23"/>
          <w:szCs w:val="23"/>
        </w:rPr>
        <w:t>(</w:t>
      </w:r>
      <w:r>
        <w:rPr>
          <w:rFonts w:ascii="Times New Roman" w:hAnsi="Times New Roman" w:eastAsia="Times New Roman" w:cs="Times New Roman"/>
          <w:spacing w:val="-26"/>
          <w:position w:val="2"/>
          <w:sz w:val="23"/>
          <w:szCs w:val="23"/>
        </w:rPr>
        <w:t>1</w:t>
      </w:r>
      <w:r>
        <w:rPr>
          <w:rFonts w:ascii="宋体" w:hAnsi="宋体" w:eastAsia="宋体" w:cs="宋体"/>
          <w:spacing w:val="-14"/>
          <w:position w:val="2"/>
          <w:sz w:val="23"/>
          <w:szCs w:val="23"/>
        </w:rPr>
        <w:t>)  《关于进一步加强环境影响评价管理防范环境风险的通知》(环发</w:t>
      </w:r>
      <w:r>
        <w:rPr>
          <w:rFonts w:ascii="Times New Roman" w:hAnsi="Times New Roman" w:eastAsia="Times New Roman" w:cs="Times New Roman"/>
          <w:spacing w:val="-14"/>
          <w:position w:val="2"/>
          <w:sz w:val="23"/>
          <w:szCs w:val="23"/>
        </w:rPr>
        <w:t xml:space="preserve">[2012]77 </w:t>
      </w:r>
      <w:r>
        <w:rPr>
          <w:rFonts w:ascii="宋体" w:hAnsi="宋体" w:eastAsia="宋体" w:cs="宋体"/>
          <w:spacing w:val="-14"/>
          <w:position w:val="2"/>
          <w:sz w:val="23"/>
          <w:szCs w:val="23"/>
        </w:rPr>
        <w:t>号)；</w:t>
      </w:r>
    </w:p>
    <w:p w14:paraId="14099538">
      <w:pPr>
        <w:spacing w:line="245" w:lineRule="auto"/>
        <w:rPr>
          <w:rFonts w:ascii="Arial"/>
          <w:sz w:val="21"/>
        </w:rPr>
      </w:pPr>
    </w:p>
    <w:p w14:paraId="03FD44DA">
      <w:pPr>
        <w:spacing w:before="75" w:line="398" w:lineRule="auto"/>
        <w:ind w:left="46" w:right="162" w:firstLine="439"/>
        <w:rPr>
          <w:rFonts w:ascii="宋体" w:hAnsi="宋体" w:eastAsia="宋体" w:cs="宋体"/>
          <w:sz w:val="23"/>
          <w:szCs w:val="23"/>
        </w:rPr>
      </w:pPr>
      <w:r>
        <w:rPr>
          <w:rFonts w:ascii="宋体" w:hAnsi="宋体" w:eastAsia="宋体" w:cs="宋体"/>
          <w:spacing w:val="-4"/>
          <w:sz w:val="23"/>
          <w:szCs w:val="23"/>
        </w:rPr>
        <w:t>(</w:t>
      </w:r>
      <w:r>
        <w:rPr>
          <w:rFonts w:ascii="Times New Roman" w:hAnsi="Times New Roman" w:eastAsia="Times New Roman" w:cs="Times New Roman"/>
          <w:spacing w:val="-3"/>
          <w:sz w:val="23"/>
          <w:szCs w:val="23"/>
        </w:rPr>
        <w:t>2</w:t>
      </w:r>
      <w:r>
        <w:rPr>
          <w:rFonts w:ascii="宋体" w:hAnsi="宋体" w:eastAsia="宋体" w:cs="宋体"/>
          <w:spacing w:val="-3"/>
          <w:sz w:val="23"/>
          <w:szCs w:val="23"/>
        </w:rPr>
        <w:t>)  《产业结构调整指导目录</w:t>
      </w:r>
      <w:r>
        <w:rPr>
          <w:rFonts w:ascii="Times New Roman" w:hAnsi="Times New Roman" w:eastAsia="Times New Roman" w:cs="Times New Roman"/>
          <w:spacing w:val="-3"/>
          <w:sz w:val="23"/>
          <w:szCs w:val="23"/>
        </w:rPr>
        <w:t xml:space="preserve">(2011 </w:t>
      </w:r>
      <w:r>
        <w:rPr>
          <w:rFonts w:ascii="宋体" w:hAnsi="宋体" w:eastAsia="宋体" w:cs="宋体"/>
          <w:spacing w:val="-3"/>
          <w:sz w:val="23"/>
          <w:szCs w:val="23"/>
        </w:rPr>
        <w:t>年本，</w:t>
      </w:r>
      <w:r>
        <w:rPr>
          <w:rFonts w:ascii="Times New Roman" w:hAnsi="Times New Roman" w:eastAsia="Times New Roman" w:cs="Times New Roman"/>
          <w:spacing w:val="-3"/>
          <w:sz w:val="23"/>
          <w:szCs w:val="23"/>
        </w:rPr>
        <w:t xml:space="preserve">2013 </w:t>
      </w:r>
      <w:r>
        <w:rPr>
          <w:rFonts w:ascii="宋体" w:hAnsi="宋体" w:eastAsia="宋体" w:cs="宋体"/>
          <w:spacing w:val="-3"/>
          <w:sz w:val="23"/>
          <w:szCs w:val="23"/>
        </w:rPr>
        <w:t>年修订</w:t>
      </w:r>
      <w:r>
        <w:rPr>
          <w:rFonts w:ascii="Times New Roman" w:hAnsi="Times New Roman" w:eastAsia="Times New Roman" w:cs="Times New Roman"/>
          <w:spacing w:val="-3"/>
          <w:sz w:val="23"/>
          <w:szCs w:val="23"/>
        </w:rPr>
        <w:t>)</w:t>
      </w:r>
      <w:r>
        <w:rPr>
          <w:rFonts w:ascii="宋体" w:hAnsi="宋体" w:eastAsia="宋体" w:cs="宋体"/>
          <w:spacing w:val="-3"/>
          <w:sz w:val="23"/>
          <w:szCs w:val="23"/>
        </w:rPr>
        <w:t>》  (</w:t>
      </w:r>
      <w:r>
        <w:rPr>
          <w:rFonts w:ascii="Times New Roman" w:hAnsi="Times New Roman" w:eastAsia="Times New Roman" w:cs="Times New Roman"/>
          <w:spacing w:val="-3"/>
          <w:sz w:val="23"/>
          <w:szCs w:val="23"/>
        </w:rPr>
        <w:t xml:space="preserve">2013 </w:t>
      </w:r>
      <w:r>
        <w:rPr>
          <w:rFonts w:ascii="宋体" w:hAnsi="宋体" w:eastAsia="宋体" w:cs="宋体"/>
          <w:spacing w:val="-3"/>
          <w:sz w:val="23"/>
          <w:szCs w:val="23"/>
        </w:rPr>
        <w:t>年修改版，</w:t>
      </w:r>
      <w:r>
        <w:rPr>
          <w:rFonts w:ascii="宋体" w:hAnsi="宋体" w:eastAsia="宋体" w:cs="宋体"/>
          <w:sz w:val="23"/>
          <w:szCs w:val="23"/>
        </w:rPr>
        <w:t xml:space="preserve"> </w:t>
      </w:r>
      <w:r>
        <w:rPr>
          <w:rFonts w:ascii="宋体" w:hAnsi="宋体" w:eastAsia="宋体" w:cs="宋体"/>
          <w:spacing w:val="-12"/>
          <w:sz w:val="23"/>
          <w:szCs w:val="23"/>
        </w:rPr>
        <w:t>国</w:t>
      </w:r>
      <w:r>
        <w:rPr>
          <w:rFonts w:ascii="宋体" w:hAnsi="宋体" w:eastAsia="宋体" w:cs="宋体"/>
          <w:spacing w:val="-6"/>
          <w:sz w:val="23"/>
          <w:szCs w:val="23"/>
        </w:rPr>
        <w:t xml:space="preserve">家发展和改革委员会令第 </w:t>
      </w:r>
      <w:r>
        <w:rPr>
          <w:rFonts w:ascii="Times New Roman" w:hAnsi="Times New Roman" w:eastAsia="Times New Roman" w:cs="Times New Roman"/>
          <w:spacing w:val="-6"/>
          <w:sz w:val="23"/>
          <w:szCs w:val="23"/>
        </w:rPr>
        <w:t>21</w:t>
      </w:r>
      <w:r>
        <w:rPr>
          <w:rFonts w:ascii="宋体" w:hAnsi="宋体" w:eastAsia="宋体" w:cs="宋体"/>
          <w:spacing w:val="-6"/>
          <w:sz w:val="23"/>
          <w:szCs w:val="23"/>
        </w:rPr>
        <w:t>号，</w:t>
      </w:r>
      <w:r>
        <w:rPr>
          <w:rFonts w:ascii="Times New Roman" w:hAnsi="Times New Roman" w:eastAsia="Times New Roman" w:cs="Times New Roman"/>
          <w:spacing w:val="-6"/>
          <w:sz w:val="23"/>
          <w:szCs w:val="23"/>
        </w:rPr>
        <w:t xml:space="preserve">2013 </w:t>
      </w:r>
      <w:r>
        <w:rPr>
          <w:rFonts w:ascii="宋体" w:hAnsi="宋体" w:eastAsia="宋体" w:cs="宋体"/>
          <w:spacing w:val="-6"/>
          <w:sz w:val="23"/>
          <w:szCs w:val="23"/>
        </w:rPr>
        <w:t xml:space="preserve">年 </w:t>
      </w:r>
      <w:r>
        <w:rPr>
          <w:rFonts w:ascii="Times New Roman" w:hAnsi="Times New Roman" w:eastAsia="Times New Roman" w:cs="Times New Roman"/>
          <w:spacing w:val="-6"/>
          <w:sz w:val="23"/>
          <w:szCs w:val="23"/>
        </w:rPr>
        <w:t xml:space="preserve">5 </w:t>
      </w:r>
      <w:r>
        <w:rPr>
          <w:rFonts w:ascii="宋体" w:hAnsi="宋体" w:eastAsia="宋体" w:cs="宋体"/>
          <w:spacing w:val="-6"/>
          <w:sz w:val="23"/>
          <w:szCs w:val="23"/>
        </w:rPr>
        <w:t xml:space="preserve">月 </w:t>
      </w:r>
      <w:r>
        <w:rPr>
          <w:rFonts w:ascii="Times New Roman" w:hAnsi="Times New Roman" w:eastAsia="Times New Roman" w:cs="Times New Roman"/>
          <w:spacing w:val="-6"/>
          <w:sz w:val="23"/>
          <w:szCs w:val="23"/>
        </w:rPr>
        <w:t xml:space="preserve">1 </w:t>
      </w:r>
      <w:r>
        <w:rPr>
          <w:rFonts w:ascii="宋体" w:hAnsi="宋体" w:eastAsia="宋体" w:cs="宋体"/>
          <w:spacing w:val="-6"/>
          <w:sz w:val="23"/>
          <w:szCs w:val="23"/>
        </w:rPr>
        <w:t>日起施行) ；</w:t>
      </w:r>
    </w:p>
    <w:p w14:paraId="2F1298C2">
      <w:pPr>
        <w:spacing w:before="181" w:line="227" w:lineRule="auto"/>
        <w:ind w:left="442"/>
        <w:rPr>
          <w:rFonts w:ascii="宋体" w:hAnsi="宋体" w:eastAsia="宋体" w:cs="宋体"/>
          <w:sz w:val="23"/>
          <w:szCs w:val="23"/>
        </w:rPr>
      </w:pPr>
      <w:r>
        <w:rPr>
          <w:rFonts w:ascii="宋体" w:hAnsi="宋体" w:eastAsia="宋体" w:cs="宋体"/>
          <w:spacing w:val="-19"/>
          <w:sz w:val="23"/>
          <w:szCs w:val="23"/>
        </w:rPr>
        <w:t>(</w:t>
      </w:r>
      <w:r>
        <w:rPr>
          <w:rFonts w:ascii="Times New Roman" w:hAnsi="Times New Roman" w:eastAsia="Times New Roman" w:cs="Times New Roman"/>
          <w:spacing w:val="-16"/>
          <w:sz w:val="23"/>
          <w:szCs w:val="23"/>
        </w:rPr>
        <w:t>3</w:t>
      </w:r>
      <w:r>
        <w:rPr>
          <w:rFonts w:ascii="宋体" w:hAnsi="宋体" w:eastAsia="宋体" w:cs="宋体"/>
          <w:spacing w:val="-16"/>
          <w:sz w:val="23"/>
          <w:szCs w:val="23"/>
        </w:rPr>
        <w:t>)  《本溪市土地利用总体规划 (</w:t>
      </w:r>
      <w:r>
        <w:rPr>
          <w:rFonts w:ascii="Times New Roman" w:hAnsi="Times New Roman" w:eastAsia="Times New Roman" w:cs="Times New Roman"/>
          <w:spacing w:val="-16"/>
          <w:sz w:val="23"/>
          <w:szCs w:val="23"/>
        </w:rPr>
        <w:t xml:space="preserve">2006-2020 </w:t>
      </w:r>
      <w:r>
        <w:rPr>
          <w:rFonts w:ascii="宋体" w:hAnsi="宋体" w:eastAsia="宋体" w:cs="宋体"/>
          <w:spacing w:val="-16"/>
          <w:sz w:val="23"/>
          <w:szCs w:val="23"/>
        </w:rPr>
        <w:t>年) 》本溪市人民政府，</w:t>
      </w:r>
      <w:r>
        <w:rPr>
          <w:rFonts w:ascii="Times New Roman" w:hAnsi="Times New Roman" w:eastAsia="Times New Roman" w:cs="Times New Roman"/>
          <w:spacing w:val="-16"/>
          <w:sz w:val="23"/>
          <w:szCs w:val="23"/>
        </w:rPr>
        <w:t xml:space="preserve">2011 </w:t>
      </w:r>
      <w:r>
        <w:rPr>
          <w:rFonts w:ascii="宋体" w:hAnsi="宋体" w:eastAsia="宋体" w:cs="宋体"/>
          <w:spacing w:val="-16"/>
          <w:sz w:val="23"/>
          <w:szCs w:val="23"/>
        </w:rPr>
        <w:t>年</w:t>
      </w:r>
      <w:r>
        <w:rPr>
          <w:rFonts w:ascii="Times New Roman" w:hAnsi="Times New Roman" w:eastAsia="Times New Roman" w:cs="Times New Roman"/>
          <w:spacing w:val="-16"/>
          <w:sz w:val="23"/>
          <w:szCs w:val="23"/>
        </w:rPr>
        <w:t xml:space="preserve">12 </w:t>
      </w:r>
      <w:r>
        <w:rPr>
          <w:rFonts w:ascii="宋体" w:hAnsi="宋体" w:eastAsia="宋体" w:cs="宋体"/>
          <w:spacing w:val="-16"/>
          <w:sz w:val="23"/>
          <w:szCs w:val="23"/>
        </w:rPr>
        <w:t>月；</w:t>
      </w:r>
    </w:p>
    <w:p w14:paraId="68FBC8C3">
      <w:pPr>
        <w:sectPr>
          <w:headerReference r:id="rId48" w:type="default"/>
          <w:footerReference r:id="rId49" w:type="default"/>
          <w:pgSz w:w="11906" w:h="16839"/>
          <w:pgMar w:top="1132" w:right="1700" w:bottom="1156" w:left="1785" w:header="878" w:footer="996" w:gutter="0"/>
          <w:cols w:space="720" w:num="1"/>
        </w:sectPr>
      </w:pPr>
    </w:p>
    <w:p w14:paraId="05344B7C">
      <w:pPr>
        <w:spacing w:line="408" w:lineRule="auto"/>
        <w:rPr>
          <w:rFonts w:ascii="Arial"/>
          <w:sz w:val="21"/>
        </w:rPr>
      </w:pPr>
      <w:r>
        <w:pict>
          <v:shape id="_x0000_s1084" o:spid="_x0000_s1084" style="position:absolute;left:0pt;margin-left:90pt;margin-top:57.35pt;height:0.75pt;width:415.3pt;mso-position-horizontal-relative:page;mso-position-vertical-relative:page;z-index:251721728;mso-width-relative:page;mso-height-relative:page;" fillcolor="#000000" filled="t" stroked="f" coordsize="8305,15" o:allowincell="f" path="m0,0l8305,0,8305,14,0,14,0,0xe">
            <v:path/>
            <v:fill on="t" focussize="0,0"/>
            <v:stroke on="f"/>
            <v:imagedata o:title=""/>
            <o:lock v:ext="edit"/>
          </v:shape>
        </w:pict>
      </w:r>
    </w:p>
    <w:p w14:paraId="695D3B70">
      <w:pPr>
        <w:spacing w:before="75" w:line="227" w:lineRule="auto"/>
        <w:ind w:left="486"/>
        <w:rPr>
          <w:rFonts w:ascii="宋体" w:hAnsi="宋体" w:eastAsia="宋体" w:cs="宋体"/>
          <w:sz w:val="23"/>
          <w:szCs w:val="23"/>
        </w:rPr>
      </w:pPr>
      <w:r>
        <w:rPr>
          <w:rFonts w:ascii="宋体" w:hAnsi="宋体" w:eastAsia="宋体" w:cs="宋体"/>
          <w:spacing w:val="-10"/>
          <w:sz w:val="23"/>
          <w:szCs w:val="23"/>
        </w:rPr>
        <w:t>(</w:t>
      </w:r>
      <w:r>
        <w:rPr>
          <w:rFonts w:ascii="Times New Roman" w:hAnsi="Times New Roman" w:eastAsia="Times New Roman" w:cs="Times New Roman"/>
          <w:spacing w:val="-7"/>
          <w:sz w:val="23"/>
          <w:szCs w:val="23"/>
        </w:rPr>
        <w:t>4</w:t>
      </w:r>
      <w:r>
        <w:rPr>
          <w:rFonts w:ascii="宋体" w:hAnsi="宋体" w:eastAsia="宋体" w:cs="宋体"/>
          <w:spacing w:val="-5"/>
          <w:sz w:val="23"/>
          <w:szCs w:val="23"/>
        </w:rPr>
        <w:t>)  《本溪市城市总体规划》  (</w:t>
      </w:r>
      <w:r>
        <w:rPr>
          <w:rFonts w:ascii="Times New Roman" w:hAnsi="Times New Roman" w:eastAsia="Times New Roman" w:cs="Times New Roman"/>
          <w:spacing w:val="-5"/>
          <w:sz w:val="23"/>
          <w:szCs w:val="23"/>
        </w:rPr>
        <w:t xml:space="preserve">2013-2020 </w:t>
      </w:r>
      <w:r>
        <w:rPr>
          <w:rFonts w:ascii="宋体" w:hAnsi="宋体" w:eastAsia="宋体" w:cs="宋体"/>
          <w:spacing w:val="-5"/>
          <w:sz w:val="23"/>
          <w:szCs w:val="23"/>
        </w:rPr>
        <w:t>年) ；</w:t>
      </w:r>
    </w:p>
    <w:p w14:paraId="492D90B0">
      <w:pPr>
        <w:spacing w:line="288" w:lineRule="auto"/>
        <w:rPr>
          <w:rFonts w:ascii="Arial"/>
          <w:sz w:val="21"/>
        </w:rPr>
      </w:pPr>
    </w:p>
    <w:p w14:paraId="7DDD2850">
      <w:pPr>
        <w:spacing w:before="75" w:line="227" w:lineRule="auto"/>
        <w:ind w:left="486"/>
        <w:rPr>
          <w:rFonts w:ascii="宋体" w:hAnsi="宋体" w:eastAsia="宋体" w:cs="宋体"/>
          <w:sz w:val="23"/>
          <w:szCs w:val="23"/>
        </w:rPr>
      </w:pPr>
      <w:r>
        <w:rPr>
          <w:rFonts w:ascii="宋体" w:hAnsi="宋体" w:eastAsia="宋体" w:cs="宋体"/>
          <w:spacing w:val="-10"/>
          <w:sz w:val="23"/>
          <w:szCs w:val="23"/>
        </w:rPr>
        <w:t>(</w:t>
      </w:r>
      <w:r>
        <w:rPr>
          <w:rFonts w:ascii="Times New Roman" w:hAnsi="Times New Roman" w:eastAsia="Times New Roman" w:cs="Times New Roman"/>
          <w:spacing w:val="-7"/>
          <w:sz w:val="23"/>
          <w:szCs w:val="23"/>
        </w:rPr>
        <w:t>5</w:t>
      </w:r>
      <w:r>
        <w:rPr>
          <w:rFonts w:ascii="宋体" w:hAnsi="宋体" w:eastAsia="宋体" w:cs="宋体"/>
          <w:spacing w:val="-5"/>
          <w:sz w:val="23"/>
          <w:szCs w:val="23"/>
        </w:rPr>
        <w:t>)  《本溪市环境总体规划》  (</w:t>
      </w:r>
      <w:r>
        <w:rPr>
          <w:rFonts w:ascii="Times New Roman" w:hAnsi="Times New Roman" w:eastAsia="Times New Roman" w:cs="Times New Roman"/>
          <w:spacing w:val="-5"/>
          <w:sz w:val="23"/>
          <w:szCs w:val="23"/>
        </w:rPr>
        <w:t xml:space="preserve">2015-2030 </w:t>
      </w:r>
      <w:r>
        <w:rPr>
          <w:rFonts w:ascii="宋体" w:hAnsi="宋体" w:eastAsia="宋体" w:cs="宋体"/>
          <w:spacing w:val="-5"/>
          <w:sz w:val="23"/>
          <w:szCs w:val="23"/>
        </w:rPr>
        <w:t>年) 。</w:t>
      </w:r>
    </w:p>
    <w:p w14:paraId="4B3FA224">
      <w:pPr>
        <w:spacing w:before="312" w:line="224" w:lineRule="auto"/>
        <w:ind w:left="21"/>
        <w:outlineLvl w:val="2"/>
        <w:rPr>
          <w:rFonts w:ascii="宋体" w:hAnsi="宋体" w:eastAsia="宋体" w:cs="宋体"/>
          <w:sz w:val="29"/>
          <w:szCs w:val="29"/>
        </w:rPr>
      </w:pPr>
      <w:r>
        <w:rPr>
          <w:rFonts w:ascii="Times New Roman" w:hAnsi="Times New Roman" w:eastAsia="Times New Roman" w:cs="Times New Roman"/>
          <w:b/>
          <w:bCs/>
          <w:spacing w:val="-2"/>
          <w:sz w:val="29"/>
          <w:szCs w:val="29"/>
        </w:rPr>
        <w:t>2.2.4</w:t>
      </w:r>
      <w:r>
        <w:rPr>
          <w:rFonts w:ascii="Times New Roman" w:hAnsi="Times New Roman" w:eastAsia="Times New Roman" w:cs="Times New Roman"/>
          <w:spacing w:val="-2"/>
          <w:sz w:val="29"/>
          <w:szCs w:val="29"/>
        </w:rPr>
        <w:t xml:space="preserve">  </w:t>
      </w:r>
      <w:r>
        <w:rPr>
          <w:rFonts w:ascii="宋体" w:hAnsi="宋体" w:eastAsia="宋体" w:cs="宋体"/>
          <w:spacing w:val="-2"/>
          <w:sz w:val="29"/>
          <w:szCs w:val="29"/>
          <w14:textOutline w14:w="5448" w14:cap="sq" w14:cmpd="sng">
            <w14:solidFill>
              <w14:srgbClr w14:val="000000"/>
            </w14:solidFill>
            <w14:prstDash w14:val="solid"/>
            <w14:bevel/>
          </w14:textOutline>
        </w:rPr>
        <w:t>建设项目环境影响评价的相关导则及技术</w:t>
      </w:r>
      <w:r>
        <w:rPr>
          <w:rFonts w:ascii="宋体" w:hAnsi="宋体" w:eastAsia="宋体" w:cs="宋体"/>
          <w:spacing w:val="-1"/>
          <w:sz w:val="29"/>
          <w:szCs w:val="29"/>
          <w14:textOutline w14:w="5448" w14:cap="sq" w14:cmpd="sng">
            <w14:solidFill>
              <w14:srgbClr w14:val="000000"/>
            </w14:solidFill>
            <w14:prstDash w14:val="solid"/>
            <w14:bevel/>
          </w14:textOutline>
        </w:rPr>
        <w:t>规</w:t>
      </w:r>
      <w:r>
        <w:rPr>
          <w:rFonts w:ascii="宋体" w:hAnsi="宋体" w:eastAsia="宋体" w:cs="宋体"/>
          <w:sz w:val="29"/>
          <w:szCs w:val="29"/>
          <w14:textOutline w14:w="5448" w14:cap="sq" w14:cmpd="sng">
            <w14:solidFill>
              <w14:srgbClr w14:val="000000"/>
            </w14:solidFill>
            <w14:prstDash w14:val="solid"/>
            <w14:bevel/>
          </w14:textOutline>
        </w:rPr>
        <w:t>范</w:t>
      </w:r>
    </w:p>
    <w:p w14:paraId="612BE67A">
      <w:pPr>
        <w:spacing w:line="270" w:lineRule="auto"/>
        <w:rPr>
          <w:rFonts w:ascii="Arial"/>
          <w:sz w:val="21"/>
        </w:rPr>
      </w:pPr>
    </w:p>
    <w:p w14:paraId="2F1155D0">
      <w:pPr>
        <w:spacing w:before="75" w:line="226" w:lineRule="auto"/>
        <w:ind w:left="486"/>
        <w:rPr>
          <w:rFonts w:ascii="宋体" w:hAnsi="宋体" w:eastAsia="宋体" w:cs="宋体"/>
          <w:sz w:val="23"/>
          <w:szCs w:val="23"/>
        </w:rPr>
      </w:pPr>
      <w:r>
        <w:rPr>
          <w:rFonts w:ascii="宋体" w:hAnsi="宋体" w:eastAsia="宋体" w:cs="宋体"/>
          <w:spacing w:val="-2"/>
          <w:sz w:val="23"/>
          <w:szCs w:val="23"/>
        </w:rPr>
        <w:t>(</w:t>
      </w:r>
      <w:r>
        <w:rPr>
          <w:rFonts w:ascii="Times New Roman" w:hAnsi="Times New Roman" w:eastAsia="Times New Roman" w:cs="Times New Roman"/>
          <w:spacing w:val="-2"/>
          <w:sz w:val="23"/>
          <w:szCs w:val="23"/>
        </w:rPr>
        <w:t>1</w:t>
      </w:r>
      <w:r>
        <w:rPr>
          <w:rFonts w:ascii="宋体" w:hAnsi="宋体" w:eastAsia="宋体" w:cs="宋体"/>
          <w:spacing w:val="-2"/>
          <w:sz w:val="23"/>
          <w:szCs w:val="23"/>
        </w:rPr>
        <w:t>)  《建设项目环境影响评价技术导则</w:t>
      </w:r>
      <w:r>
        <w:rPr>
          <w:rFonts w:ascii="Times New Roman" w:hAnsi="Times New Roman" w:eastAsia="Times New Roman" w:cs="Times New Roman"/>
          <w:spacing w:val="-2"/>
          <w:sz w:val="23"/>
          <w:szCs w:val="23"/>
        </w:rPr>
        <w:t>—</w:t>
      </w:r>
      <w:r>
        <w:rPr>
          <w:rFonts w:ascii="宋体" w:hAnsi="宋体" w:eastAsia="宋体" w:cs="宋体"/>
          <w:spacing w:val="-2"/>
          <w:sz w:val="23"/>
          <w:szCs w:val="23"/>
        </w:rPr>
        <w:t>总纲》，</w:t>
      </w:r>
      <w:r>
        <w:rPr>
          <w:rFonts w:ascii="Times New Roman" w:hAnsi="Times New Roman" w:eastAsia="Times New Roman" w:cs="Times New Roman"/>
          <w:sz w:val="23"/>
          <w:szCs w:val="23"/>
        </w:rPr>
        <w:t>HJ</w:t>
      </w:r>
      <w:r>
        <w:rPr>
          <w:rFonts w:ascii="Times New Roman" w:hAnsi="Times New Roman" w:eastAsia="Times New Roman" w:cs="Times New Roman"/>
          <w:spacing w:val="-2"/>
          <w:sz w:val="23"/>
          <w:szCs w:val="23"/>
        </w:rPr>
        <w:t xml:space="preserve"> 2.1-2016</w:t>
      </w:r>
      <w:r>
        <w:rPr>
          <w:rFonts w:ascii="宋体" w:hAnsi="宋体" w:eastAsia="宋体" w:cs="宋体"/>
          <w:spacing w:val="-2"/>
          <w:sz w:val="23"/>
          <w:szCs w:val="23"/>
        </w:rPr>
        <w:t>；</w:t>
      </w:r>
    </w:p>
    <w:p w14:paraId="5347AA46">
      <w:pPr>
        <w:spacing w:line="287" w:lineRule="auto"/>
        <w:rPr>
          <w:rFonts w:ascii="Arial"/>
          <w:sz w:val="21"/>
        </w:rPr>
      </w:pPr>
    </w:p>
    <w:p w14:paraId="165BC138">
      <w:pPr>
        <w:spacing w:before="75" w:line="226" w:lineRule="auto"/>
        <w:ind w:left="486"/>
        <w:rPr>
          <w:rFonts w:ascii="宋体" w:hAnsi="宋体" w:eastAsia="宋体" w:cs="宋体"/>
          <w:sz w:val="23"/>
          <w:szCs w:val="23"/>
        </w:rPr>
      </w:pPr>
      <w:r>
        <w:rPr>
          <w:rFonts w:ascii="宋体" w:hAnsi="宋体" w:eastAsia="宋体" w:cs="宋体"/>
          <w:spacing w:val="-2"/>
          <w:sz w:val="23"/>
          <w:szCs w:val="23"/>
        </w:rPr>
        <w:t>(</w:t>
      </w:r>
      <w:r>
        <w:rPr>
          <w:rFonts w:ascii="Times New Roman" w:hAnsi="Times New Roman" w:eastAsia="Times New Roman" w:cs="Times New Roman"/>
          <w:spacing w:val="-2"/>
          <w:sz w:val="23"/>
          <w:szCs w:val="23"/>
        </w:rPr>
        <w:t>2</w:t>
      </w:r>
      <w:r>
        <w:rPr>
          <w:rFonts w:ascii="宋体" w:hAnsi="宋体" w:eastAsia="宋体" w:cs="宋体"/>
          <w:spacing w:val="-2"/>
          <w:sz w:val="23"/>
          <w:szCs w:val="23"/>
        </w:rPr>
        <w:t>)  《环境影响评价技术导则</w:t>
      </w:r>
      <w:r>
        <w:rPr>
          <w:rFonts w:ascii="Times New Roman" w:hAnsi="Times New Roman" w:eastAsia="Times New Roman" w:cs="Times New Roman"/>
          <w:spacing w:val="-2"/>
          <w:sz w:val="23"/>
          <w:szCs w:val="23"/>
        </w:rPr>
        <w:t>—</w:t>
      </w:r>
      <w:r>
        <w:rPr>
          <w:rFonts w:ascii="宋体" w:hAnsi="宋体" w:eastAsia="宋体" w:cs="宋体"/>
          <w:spacing w:val="-2"/>
          <w:sz w:val="23"/>
          <w:szCs w:val="23"/>
        </w:rPr>
        <w:t>大气环境》，</w:t>
      </w:r>
      <w:r>
        <w:rPr>
          <w:rFonts w:ascii="Times New Roman" w:hAnsi="Times New Roman" w:eastAsia="Times New Roman" w:cs="Times New Roman"/>
          <w:sz w:val="23"/>
          <w:szCs w:val="23"/>
        </w:rPr>
        <w:t>HJ</w:t>
      </w:r>
      <w:r>
        <w:rPr>
          <w:rFonts w:ascii="Times New Roman" w:hAnsi="Times New Roman" w:eastAsia="Times New Roman" w:cs="Times New Roman"/>
          <w:spacing w:val="-2"/>
          <w:sz w:val="23"/>
          <w:szCs w:val="23"/>
        </w:rPr>
        <w:t xml:space="preserve"> 2.2-2018</w:t>
      </w:r>
      <w:r>
        <w:rPr>
          <w:rFonts w:ascii="宋体" w:hAnsi="宋体" w:eastAsia="宋体" w:cs="宋体"/>
          <w:spacing w:val="-2"/>
          <w:sz w:val="23"/>
          <w:szCs w:val="23"/>
        </w:rPr>
        <w:t>；</w:t>
      </w:r>
    </w:p>
    <w:p w14:paraId="5E1E6B20">
      <w:pPr>
        <w:spacing w:line="289" w:lineRule="auto"/>
        <w:rPr>
          <w:rFonts w:ascii="Arial"/>
          <w:sz w:val="21"/>
        </w:rPr>
      </w:pPr>
    </w:p>
    <w:p w14:paraId="674B381E">
      <w:pPr>
        <w:spacing w:before="75" w:line="226" w:lineRule="auto"/>
        <w:ind w:left="486"/>
        <w:rPr>
          <w:rFonts w:ascii="宋体" w:hAnsi="宋体" w:eastAsia="宋体" w:cs="宋体"/>
          <w:sz w:val="23"/>
          <w:szCs w:val="23"/>
        </w:rPr>
      </w:pPr>
      <w:r>
        <w:rPr>
          <w:rFonts w:ascii="宋体" w:hAnsi="宋体" w:eastAsia="宋体" w:cs="宋体"/>
          <w:spacing w:val="-2"/>
          <w:sz w:val="23"/>
          <w:szCs w:val="23"/>
        </w:rPr>
        <w:t>(</w:t>
      </w:r>
      <w:r>
        <w:rPr>
          <w:rFonts w:ascii="Times New Roman" w:hAnsi="Times New Roman" w:eastAsia="Times New Roman" w:cs="Times New Roman"/>
          <w:spacing w:val="-2"/>
          <w:sz w:val="23"/>
          <w:szCs w:val="23"/>
        </w:rPr>
        <w:t>3</w:t>
      </w:r>
      <w:r>
        <w:rPr>
          <w:rFonts w:ascii="宋体" w:hAnsi="宋体" w:eastAsia="宋体" w:cs="宋体"/>
          <w:spacing w:val="-2"/>
          <w:sz w:val="23"/>
          <w:szCs w:val="23"/>
        </w:rPr>
        <w:t>)  《环境影响评价技术导则</w:t>
      </w:r>
      <w:r>
        <w:rPr>
          <w:rFonts w:ascii="Times New Roman" w:hAnsi="Times New Roman" w:eastAsia="Times New Roman" w:cs="Times New Roman"/>
          <w:spacing w:val="-2"/>
          <w:sz w:val="23"/>
          <w:szCs w:val="23"/>
        </w:rPr>
        <w:t>—</w:t>
      </w:r>
      <w:r>
        <w:rPr>
          <w:rFonts w:ascii="宋体" w:hAnsi="宋体" w:eastAsia="宋体" w:cs="宋体"/>
          <w:spacing w:val="-2"/>
          <w:sz w:val="23"/>
          <w:szCs w:val="23"/>
        </w:rPr>
        <w:t>地表水环境》，</w:t>
      </w:r>
      <w:r>
        <w:rPr>
          <w:rFonts w:ascii="Times New Roman" w:hAnsi="Times New Roman" w:eastAsia="Times New Roman" w:cs="Times New Roman"/>
          <w:spacing w:val="-1"/>
          <w:sz w:val="23"/>
          <w:szCs w:val="23"/>
        </w:rPr>
        <w:t>HJ</w:t>
      </w:r>
      <w:r>
        <w:rPr>
          <w:rFonts w:ascii="Times New Roman" w:hAnsi="Times New Roman" w:eastAsia="Times New Roman" w:cs="Times New Roman"/>
          <w:spacing w:val="-2"/>
          <w:sz w:val="23"/>
          <w:szCs w:val="23"/>
        </w:rPr>
        <w:t xml:space="preserve"> 2.3-</w:t>
      </w:r>
      <w:r>
        <w:rPr>
          <w:rFonts w:ascii="Times New Roman" w:hAnsi="Times New Roman" w:eastAsia="Times New Roman" w:cs="Times New Roman"/>
          <w:spacing w:val="-1"/>
          <w:sz w:val="23"/>
          <w:szCs w:val="23"/>
        </w:rPr>
        <w:t>2018</w:t>
      </w:r>
      <w:r>
        <w:rPr>
          <w:rFonts w:ascii="宋体" w:hAnsi="宋体" w:eastAsia="宋体" w:cs="宋体"/>
          <w:spacing w:val="-1"/>
          <w:sz w:val="23"/>
          <w:szCs w:val="23"/>
        </w:rPr>
        <w:t>；</w:t>
      </w:r>
    </w:p>
    <w:p w14:paraId="6A8279F2">
      <w:pPr>
        <w:spacing w:line="287" w:lineRule="auto"/>
        <w:rPr>
          <w:rFonts w:ascii="Arial"/>
          <w:sz w:val="21"/>
        </w:rPr>
      </w:pPr>
    </w:p>
    <w:p w14:paraId="3EFA9FE7">
      <w:pPr>
        <w:spacing w:before="75" w:line="226" w:lineRule="auto"/>
        <w:ind w:left="486"/>
        <w:rPr>
          <w:rFonts w:ascii="宋体" w:hAnsi="宋体" w:eastAsia="宋体" w:cs="宋体"/>
          <w:sz w:val="23"/>
          <w:szCs w:val="23"/>
        </w:rPr>
      </w:pPr>
      <w:r>
        <w:rPr>
          <w:rFonts w:ascii="宋体" w:hAnsi="宋体" w:eastAsia="宋体" w:cs="宋体"/>
          <w:spacing w:val="-2"/>
          <w:sz w:val="23"/>
          <w:szCs w:val="23"/>
        </w:rPr>
        <w:t>(</w:t>
      </w:r>
      <w:r>
        <w:rPr>
          <w:rFonts w:ascii="Times New Roman" w:hAnsi="Times New Roman" w:eastAsia="Times New Roman" w:cs="Times New Roman"/>
          <w:spacing w:val="-2"/>
          <w:sz w:val="23"/>
          <w:szCs w:val="23"/>
        </w:rPr>
        <w:t>4</w:t>
      </w:r>
      <w:r>
        <w:rPr>
          <w:rFonts w:ascii="宋体" w:hAnsi="宋体" w:eastAsia="宋体" w:cs="宋体"/>
          <w:spacing w:val="-2"/>
          <w:sz w:val="23"/>
          <w:szCs w:val="23"/>
        </w:rPr>
        <w:t>)  《环境影响评价技术导则</w:t>
      </w:r>
      <w:r>
        <w:rPr>
          <w:rFonts w:ascii="Times New Roman" w:hAnsi="Times New Roman" w:eastAsia="Times New Roman" w:cs="Times New Roman"/>
          <w:spacing w:val="-2"/>
          <w:sz w:val="23"/>
          <w:szCs w:val="23"/>
        </w:rPr>
        <w:t>—</w:t>
      </w:r>
      <w:r>
        <w:rPr>
          <w:rFonts w:ascii="宋体" w:hAnsi="宋体" w:eastAsia="宋体" w:cs="宋体"/>
          <w:spacing w:val="-2"/>
          <w:sz w:val="23"/>
          <w:szCs w:val="23"/>
        </w:rPr>
        <w:t>地下水环境》，</w:t>
      </w:r>
      <w:r>
        <w:rPr>
          <w:rFonts w:ascii="Times New Roman" w:hAnsi="Times New Roman" w:eastAsia="Times New Roman" w:cs="Times New Roman"/>
          <w:spacing w:val="-1"/>
          <w:sz w:val="23"/>
          <w:szCs w:val="23"/>
        </w:rPr>
        <w:t>HJ</w:t>
      </w:r>
      <w:r>
        <w:rPr>
          <w:rFonts w:ascii="Times New Roman" w:hAnsi="Times New Roman" w:eastAsia="Times New Roman" w:cs="Times New Roman"/>
          <w:spacing w:val="-2"/>
          <w:sz w:val="23"/>
          <w:szCs w:val="23"/>
        </w:rPr>
        <w:t xml:space="preserve"> 61</w:t>
      </w:r>
      <w:r>
        <w:rPr>
          <w:rFonts w:ascii="Times New Roman" w:hAnsi="Times New Roman" w:eastAsia="Times New Roman" w:cs="Times New Roman"/>
          <w:spacing w:val="-1"/>
          <w:sz w:val="23"/>
          <w:szCs w:val="23"/>
        </w:rPr>
        <w:t>0-2016</w:t>
      </w:r>
      <w:r>
        <w:rPr>
          <w:rFonts w:ascii="宋体" w:hAnsi="宋体" w:eastAsia="宋体" w:cs="宋体"/>
          <w:spacing w:val="-1"/>
          <w:sz w:val="23"/>
          <w:szCs w:val="23"/>
        </w:rPr>
        <w:t>；</w:t>
      </w:r>
    </w:p>
    <w:p w14:paraId="038C8E7A">
      <w:pPr>
        <w:spacing w:line="289" w:lineRule="auto"/>
        <w:rPr>
          <w:rFonts w:ascii="Arial"/>
          <w:sz w:val="21"/>
        </w:rPr>
      </w:pPr>
    </w:p>
    <w:p w14:paraId="11930BA3">
      <w:pPr>
        <w:spacing w:before="75" w:line="226" w:lineRule="auto"/>
        <w:ind w:left="486"/>
        <w:rPr>
          <w:rFonts w:ascii="宋体" w:hAnsi="宋体" w:eastAsia="宋体" w:cs="宋体"/>
          <w:sz w:val="23"/>
          <w:szCs w:val="23"/>
        </w:rPr>
      </w:pPr>
      <w:r>
        <w:rPr>
          <w:rFonts w:ascii="宋体" w:hAnsi="宋体" w:eastAsia="宋体" w:cs="宋体"/>
          <w:spacing w:val="-2"/>
          <w:sz w:val="23"/>
          <w:szCs w:val="23"/>
        </w:rPr>
        <w:t>(</w:t>
      </w:r>
      <w:r>
        <w:rPr>
          <w:rFonts w:ascii="Times New Roman" w:hAnsi="Times New Roman" w:eastAsia="Times New Roman" w:cs="Times New Roman"/>
          <w:spacing w:val="-2"/>
          <w:sz w:val="23"/>
          <w:szCs w:val="23"/>
        </w:rPr>
        <w:t>5</w:t>
      </w:r>
      <w:r>
        <w:rPr>
          <w:rFonts w:ascii="宋体" w:hAnsi="宋体" w:eastAsia="宋体" w:cs="宋体"/>
          <w:spacing w:val="-2"/>
          <w:sz w:val="23"/>
          <w:szCs w:val="23"/>
        </w:rPr>
        <w:t>)  《环境影响评价技术导则</w:t>
      </w:r>
      <w:r>
        <w:rPr>
          <w:rFonts w:ascii="Times New Roman" w:hAnsi="Times New Roman" w:eastAsia="Times New Roman" w:cs="Times New Roman"/>
          <w:spacing w:val="-2"/>
          <w:sz w:val="23"/>
          <w:szCs w:val="23"/>
        </w:rPr>
        <w:t>—</w:t>
      </w:r>
      <w:r>
        <w:rPr>
          <w:rFonts w:ascii="宋体" w:hAnsi="宋体" w:eastAsia="宋体" w:cs="宋体"/>
          <w:spacing w:val="-2"/>
          <w:sz w:val="23"/>
          <w:szCs w:val="23"/>
        </w:rPr>
        <w:t>声环境》，</w:t>
      </w:r>
      <w:r>
        <w:rPr>
          <w:rFonts w:ascii="Times New Roman" w:hAnsi="Times New Roman" w:eastAsia="Times New Roman" w:cs="Times New Roman"/>
          <w:spacing w:val="-1"/>
          <w:sz w:val="23"/>
          <w:szCs w:val="23"/>
        </w:rPr>
        <w:t>HJ</w:t>
      </w:r>
      <w:r>
        <w:rPr>
          <w:rFonts w:ascii="Times New Roman" w:hAnsi="Times New Roman" w:eastAsia="Times New Roman" w:cs="Times New Roman"/>
          <w:spacing w:val="-2"/>
          <w:sz w:val="23"/>
          <w:szCs w:val="23"/>
        </w:rPr>
        <w:t xml:space="preserve"> 2.</w:t>
      </w:r>
      <w:r>
        <w:rPr>
          <w:rFonts w:ascii="Times New Roman" w:hAnsi="Times New Roman" w:eastAsia="Times New Roman" w:cs="Times New Roman"/>
          <w:spacing w:val="-1"/>
          <w:sz w:val="23"/>
          <w:szCs w:val="23"/>
        </w:rPr>
        <w:t>4-2009</w:t>
      </w:r>
      <w:r>
        <w:rPr>
          <w:rFonts w:ascii="宋体" w:hAnsi="宋体" w:eastAsia="宋体" w:cs="宋体"/>
          <w:spacing w:val="-1"/>
          <w:sz w:val="23"/>
          <w:szCs w:val="23"/>
        </w:rPr>
        <w:t>；</w:t>
      </w:r>
    </w:p>
    <w:p w14:paraId="19365C85">
      <w:pPr>
        <w:spacing w:line="289" w:lineRule="auto"/>
        <w:rPr>
          <w:rFonts w:ascii="Arial"/>
          <w:sz w:val="21"/>
        </w:rPr>
      </w:pPr>
    </w:p>
    <w:p w14:paraId="682E7A67">
      <w:pPr>
        <w:spacing w:before="76" w:line="226" w:lineRule="auto"/>
        <w:ind w:left="486"/>
        <w:rPr>
          <w:rFonts w:ascii="宋体" w:hAnsi="宋体" w:eastAsia="宋体" w:cs="宋体"/>
          <w:sz w:val="23"/>
          <w:szCs w:val="23"/>
        </w:rPr>
      </w:pPr>
      <w:r>
        <w:rPr>
          <w:rFonts w:ascii="宋体" w:hAnsi="宋体" w:eastAsia="宋体" w:cs="宋体"/>
          <w:spacing w:val="-2"/>
          <w:sz w:val="23"/>
          <w:szCs w:val="23"/>
        </w:rPr>
        <w:t>(</w:t>
      </w:r>
      <w:r>
        <w:rPr>
          <w:rFonts w:ascii="Times New Roman" w:hAnsi="Times New Roman" w:eastAsia="Times New Roman" w:cs="Times New Roman"/>
          <w:spacing w:val="-2"/>
          <w:sz w:val="23"/>
          <w:szCs w:val="23"/>
        </w:rPr>
        <w:t>6</w:t>
      </w:r>
      <w:r>
        <w:rPr>
          <w:rFonts w:ascii="宋体" w:hAnsi="宋体" w:eastAsia="宋体" w:cs="宋体"/>
          <w:spacing w:val="-2"/>
          <w:sz w:val="23"/>
          <w:szCs w:val="23"/>
        </w:rPr>
        <w:t>)  《环境影响评价技术导则</w:t>
      </w:r>
      <w:r>
        <w:rPr>
          <w:rFonts w:ascii="Times New Roman" w:hAnsi="Times New Roman" w:eastAsia="Times New Roman" w:cs="Times New Roman"/>
          <w:spacing w:val="-2"/>
          <w:sz w:val="23"/>
          <w:szCs w:val="23"/>
        </w:rPr>
        <w:t>—</w:t>
      </w:r>
      <w:r>
        <w:rPr>
          <w:rFonts w:ascii="宋体" w:hAnsi="宋体" w:eastAsia="宋体" w:cs="宋体"/>
          <w:spacing w:val="-2"/>
          <w:sz w:val="23"/>
          <w:szCs w:val="23"/>
        </w:rPr>
        <w:t>生态影响》，</w:t>
      </w:r>
      <w:r>
        <w:rPr>
          <w:rFonts w:ascii="Times New Roman" w:hAnsi="Times New Roman" w:eastAsia="Times New Roman" w:cs="Times New Roman"/>
          <w:spacing w:val="-1"/>
          <w:sz w:val="23"/>
          <w:szCs w:val="23"/>
        </w:rPr>
        <w:t>HJ</w:t>
      </w:r>
      <w:r>
        <w:rPr>
          <w:rFonts w:ascii="Times New Roman" w:hAnsi="Times New Roman" w:eastAsia="Times New Roman" w:cs="Times New Roman"/>
          <w:spacing w:val="-2"/>
          <w:sz w:val="23"/>
          <w:szCs w:val="23"/>
        </w:rPr>
        <w:t xml:space="preserve"> </w:t>
      </w:r>
      <w:r>
        <w:rPr>
          <w:rFonts w:ascii="Times New Roman" w:hAnsi="Times New Roman" w:eastAsia="Times New Roman" w:cs="Times New Roman"/>
          <w:spacing w:val="-1"/>
          <w:sz w:val="23"/>
          <w:szCs w:val="23"/>
        </w:rPr>
        <w:t>19-2018</w:t>
      </w:r>
      <w:r>
        <w:rPr>
          <w:rFonts w:ascii="宋体" w:hAnsi="宋体" w:eastAsia="宋体" w:cs="宋体"/>
          <w:spacing w:val="-1"/>
          <w:sz w:val="23"/>
          <w:szCs w:val="23"/>
        </w:rPr>
        <w:t>；</w:t>
      </w:r>
    </w:p>
    <w:p w14:paraId="197ADA34">
      <w:pPr>
        <w:spacing w:line="287" w:lineRule="auto"/>
        <w:rPr>
          <w:rFonts w:ascii="Arial"/>
          <w:sz w:val="21"/>
        </w:rPr>
      </w:pPr>
    </w:p>
    <w:p w14:paraId="655EC278">
      <w:pPr>
        <w:spacing w:before="75" w:line="226" w:lineRule="auto"/>
        <w:ind w:left="486"/>
        <w:rPr>
          <w:rFonts w:ascii="宋体" w:hAnsi="宋体" w:eastAsia="宋体" w:cs="宋体"/>
          <w:sz w:val="23"/>
          <w:szCs w:val="23"/>
        </w:rPr>
      </w:pPr>
      <w:r>
        <w:rPr>
          <w:rFonts w:ascii="宋体" w:hAnsi="宋体" w:eastAsia="宋体" w:cs="宋体"/>
          <w:spacing w:val="-2"/>
          <w:sz w:val="23"/>
          <w:szCs w:val="23"/>
        </w:rPr>
        <w:t>(</w:t>
      </w:r>
      <w:r>
        <w:rPr>
          <w:rFonts w:ascii="Times New Roman" w:hAnsi="Times New Roman" w:eastAsia="Times New Roman" w:cs="Times New Roman"/>
          <w:spacing w:val="-2"/>
          <w:sz w:val="23"/>
          <w:szCs w:val="23"/>
        </w:rPr>
        <w:t>7</w:t>
      </w:r>
      <w:r>
        <w:rPr>
          <w:rFonts w:ascii="宋体" w:hAnsi="宋体" w:eastAsia="宋体" w:cs="宋体"/>
          <w:spacing w:val="-2"/>
          <w:sz w:val="23"/>
          <w:szCs w:val="23"/>
        </w:rPr>
        <w:t>)  《环境影响评价技术导则</w:t>
      </w:r>
      <w:r>
        <w:rPr>
          <w:rFonts w:ascii="Times New Roman" w:hAnsi="Times New Roman" w:eastAsia="Times New Roman" w:cs="Times New Roman"/>
          <w:spacing w:val="-2"/>
          <w:sz w:val="23"/>
          <w:szCs w:val="23"/>
        </w:rPr>
        <w:t>—</w:t>
      </w:r>
      <w:r>
        <w:rPr>
          <w:rFonts w:ascii="宋体" w:hAnsi="宋体" w:eastAsia="宋体" w:cs="宋体"/>
          <w:spacing w:val="-2"/>
          <w:sz w:val="23"/>
          <w:szCs w:val="23"/>
        </w:rPr>
        <w:t>土壤环境 (试行)</w:t>
      </w:r>
      <w:r>
        <w:rPr>
          <w:rFonts w:ascii="宋体" w:hAnsi="宋体" w:eastAsia="宋体" w:cs="宋体"/>
          <w:spacing w:val="-1"/>
          <w:sz w:val="23"/>
          <w:szCs w:val="23"/>
        </w:rPr>
        <w:t xml:space="preserve"> 》，</w:t>
      </w:r>
      <w:r>
        <w:rPr>
          <w:rFonts w:ascii="Times New Roman" w:hAnsi="Times New Roman" w:eastAsia="Times New Roman" w:cs="Times New Roman"/>
          <w:spacing w:val="-1"/>
          <w:sz w:val="23"/>
          <w:szCs w:val="23"/>
        </w:rPr>
        <w:t>HJ964-2018</w:t>
      </w:r>
      <w:r>
        <w:rPr>
          <w:rFonts w:ascii="宋体" w:hAnsi="宋体" w:eastAsia="宋体" w:cs="宋体"/>
          <w:spacing w:val="-1"/>
          <w:sz w:val="23"/>
          <w:szCs w:val="23"/>
        </w:rPr>
        <w:t>；</w:t>
      </w:r>
    </w:p>
    <w:p w14:paraId="774AA408">
      <w:pPr>
        <w:spacing w:line="289" w:lineRule="auto"/>
        <w:rPr>
          <w:rFonts w:ascii="Arial"/>
          <w:sz w:val="21"/>
        </w:rPr>
      </w:pPr>
    </w:p>
    <w:p w14:paraId="5D9372AE">
      <w:pPr>
        <w:spacing w:before="76" w:line="226" w:lineRule="auto"/>
        <w:ind w:left="486"/>
        <w:rPr>
          <w:rFonts w:ascii="宋体" w:hAnsi="宋体" w:eastAsia="宋体" w:cs="宋体"/>
          <w:sz w:val="23"/>
          <w:szCs w:val="23"/>
        </w:rPr>
      </w:pPr>
      <w:r>
        <w:rPr>
          <w:rFonts w:ascii="宋体" w:hAnsi="宋体" w:eastAsia="宋体" w:cs="宋体"/>
          <w:spacing w:val="-2"/>
          <w:sz w:val="23"/>
          <w:szCs w:val="23"/>
        </w:rPr>
        <w:t>(</w:t>
      </w:r>
      <w:r>
        <w:rPr>
          <w:rFonts w:ascii="Times New Roman" w:hAnsi="Times New Roman" w:eastAsia="Times New Roman" w:cs="Times New Roman"/>
          <w:spacing w:val="-2"/>
          <w:sz w:val="23"/>
          <w:szCs w:val="23"/>
        </w:rPr>
        <w:t>8</w:t>
      </w:r>
      <w:r>
        <w:rPr>
          <w:rFonts w:ascii="宋体" w:hAnsi="宋体" w:eastAsia="宋体" w:cs="宋体"/>
          <w:spacing w:val="-2"/>
          <w:sz w:val="23"/>
          <w:szCs w:val="23"/>
        </w:rPr>
        <w:t>)  《建设项目环境风险评价技术导则》，</w:t>
      </w:r>
      <w:r>
        <w:rPr>
          <w:rFonts w:ascii="Times New Roman" w:hAnsi="Times New Roman" w:eastAsia="Times New Roman" w:cs="Times New Roman"/>
          <w:sz w:val="23"/>
          <w:szCs w:val="23"/>
        </w:rPr>
        <w:t>HJ</w:t>
      </w:r>
      <w:r>
        <w:rPr>
          <w:rFonts w:ascii="Times New Roman" w:hAnsi="Times New Roman" w:eastAsia="Times New Roman" w:cs="Times New Roman"/>
          <w:spacing w:val="-2"/>
          <w:sz w:val="23"/>
          <w:szCs w:val="23"/>
        </w:rPr>
        <w:t xml:space="preserve"> 169-2018</w:t>
      </w:r>
      <w:r>
        <w:rPr>
          <w:rFonts w:ascii="宋体" w:hAnsi="宋体" w:eastAsia="宋体" w:cs="宋体"/>
          <w:spacing w:val="-1"/>
          <w:sz w:val="23"/>
          <w:szCs w:val="23"/>
        </w:rPr>
        <w:t>；</w:t>
      </w:r>
    </w:p>
    <w:p w14:paraId="01597E71">
      <w:pPr>
        <w:spacing w:line="288" w:lineRule="auto"/>
        <w:rPr>
          <w:rFonts w:ascii="Arial"/>
          <w:sz w:val="21"/>
        </w:rPr>
      </w:pPr>
    </w:p>
    <w:p w14:paraId="382B0788">
      <w:pPr>
        <w:spacing w:before="75" w:line="227" w:lineRule="auto"/>
        <w:ind w:left="486"/>
        <w:rPr>
          <w:rFonts w:ascii="宋体" w:hAnsi="宋体" w:eastAsia="宋体" w:cs="宋体"/>
          <w:sz w:val="23"/>
          <w:szCs w:val="23"/>
        </w:rPr>
      </w:pPr>
      <w:r>
        <w:rPr>
          <w:rFonts w:ascii="宋体" w:hAnsi="宋体" w:eastAsia="宋体" w:cs="宋体"/>
          <w:spacing w:val="-2"/>
          <w:sz w:val="23"/>
          <w:szCs w:val="23"/>
        </w:rPr>
        <w:t>(</w:t>
      </w:r>
      <w:r>
        <w:rPr>
          <w:rFonts w:ascii="Times New Roman" w:hAnsi="Times New Roman" w:eastAsia="Times New Roman" w:cs="Times New Roman"/>
          <w:spacing w:val="-2"/>
          <w:sz w:val="23"/>
          <w:szCs w:val="23"/>
        </w:rPr>
        <w:t>9</w:t>
      </w:r>
      <w:r>
        <w:rPr>
          <w:rFonts w:ascii="宋体" w:hAnsi="宋体" w:eastAsia="宋体" w:cs="宋体"/>
          <w:spacing w:val="-2"/>
          <w:sz w:val="23"/>
          <w:szCs w:val="23"/>
        </w:rPr>
        <w:t>)  《危险废物处置工程技术导则》，</w:t>
      </w:r>
      <w:r>
        <w:rPr>
          <w:rFonts w:ascii="Times New Roman" w:hAnsi="Times New Roman" w:eastAsia="Times New Roman" w:cs="Times New Roman"/>
          <w:spacing w:val="-1"/>
          <w:sz w:val="23"/>
          <w:szCs w:val="23"/>
        </w:rPr>
        <w:t>HJ</w:t>
      </w:r>
      <w:r>
        <w:rPr>
          <w:rFonts w:ascii="Times New Roman" w:hAnsi="Times New Roman" w:eastAsia="Times New Roman" w:cs="Times New Roman"/>
          <w:spacing w:val="-2"/>
          <w:sz w:val="23"/>
          <w:szCs w:val="23"/>
        </w:rPr>
        <w:t xml:space="preserve"> 204</w:t>
      </w:r>
      <w:r>
        <w:rPr>
          <w:rFonts w:ascii="Times New Roman" w:hAnsi="Times New Roman" w:eastAsia="Times New Roman" w:cs="Times New Roman"/>
          <w:spacing w:val="-1"/>
          <w:sz w:val="23"/>
          <w:szCs w:val="23"/>
        </w:rPr>
        <w:t>2-2014</w:t>
      </w:r>
      <w:r>
        <w:rPr>
          <w:rFonts w:ascii="宋体" w:hAnsi="宋体" w:eastAsia="宋体" w:cs="宋体"/>
          <w:spacing w:val="-1"/>
          <w:sz w:val="23"/>
          <w:szCs w:val="23"/>
        </w:rPr>
        <w:t>；</w:t>
      </w:r>
    </w:p>
    <w:p w14:paraId="1B6817B6">
      <w:pPr>
        <w:spacing w:line="288" w:lineRule="auto"/>
        <w:rPr>
          <w:rFonts w:ascii="Arial"/>
          <w:sz w:val="21"/>
        </w:rPr>
      </w:pPr>
    </w:p>
    <w:p w14:paraId="4AEDBC20">
      <w:pPr>
        <w:spacing w:before="75" w:line="227" w:lineRule="auto"/>
        <w:ind w:left="486"/>
        <w:rPr>
          <w:rFonts w:ascii="宋体" w:hAnsi="宋体" w:eastAsia="宋体" w:cs="宋体"/>
          <w:sz w:val="23"/>
          <w:szCs w:val="23"/>
        </w:rPr>
      </w:pPr>
      <w:r>
        <w:rPr>
          <w:rFonts w:ascii="宋体" w:hAnsi="宋体" w:eastAsia="宋体" w:cs="宋体"/>
          <w:spacing w:val="-2"/>
          <w:sz w:val="23"/>
          <w:szCs w:val="23"/>
        </w:rPr>
        <w:t>(</w:t>
      </w:r>
      <w:r>
        <w:rPr>
          <w:rFonts w:ascii="Times New Roman" w:hAnsi="Times New Roman" w:eastAsia="Times New Roman" w:cs="Times New Roman"/>
          <w:spacing w:val="-2"/>
          <w:sz w:val="23"/>
          <w:szCs w:val="23"/>
        </w:rPr>
        <w:t>10</w:t>
      </w:r>
      <w:r>
        <w:rPr>
          <w:rFonts w:ascii="宋体" w:hAnsi="宋体" w:eastAsia="宋体" w:cs="宋体"/>
          <w:spacing w:val="-2"/>
          <w:sz w:val="23"/>
          <w:szCs w:val="23"/>
        </w:rPr>
        <w:t>)  《地下工程</w:t>
      </w:r>
      <w:r>
        <w:rPr>
          <w:rFonts w:ascii="宋体" w:hAnsi="宋体" w:eastAsia="宋体" w:cs="宋体"/>
          <w:spacing w:val="-1"/>
          <w:sz w:val="23"/>
          <w:szCs w:val="23"/>
        </w:rPr>
        <w:t>防水技术规范》，</w:t>
      </w:r>
      <w:r>
        <w:rPr>
          <w:rFonts w:ascii="Times New Roman" w:hAnsi="Times New Roman" w:eastAsia="Times New Roman" w:cs="Times New Roman"/>
          <w:spacing w:val="-1"/>
          <w:sz w:val="23"/>
          <w:szCs w:val="23"/>
        </w:rPr>
        <w:t>GB 50108-2008</w:t>
      </w:r>
      <w:r>
        <w:rPr>
          <w:rFonts w:ascii="宋体" w:hAnsi="宋体" w:eastAsia="宋体" w:cs="宋体"/>
          <w:spacing w:val="-1"/>
          <w:sz w:val="23"/>
          <w:szCs w:val="23"/>
        </w:rPr>
        <w:t>；</w:t>
      </w:r>
    </w:p>
    <w:p w14:paraId="0C5A9328">
      <w:pPr>
        <w:spacing w:line="288" w:lineRule="auto"/>
        <w:rPr>
          <w:rFonts w:ascii="Arial"/>
          <w:sz w:val="21"/>
        </w:rPr>
      </w:pPr>
    </w:p>
    <w:p w14:paraId="196A7154">
      <w:pPr>
        <w:spacing w:before="76" w:line="227" w:lineRule="auto"/>
        <w:ind w:left="486"/>
        <w:rPr>
          <w:rFonts w:ascii="宋体" w:hAnsi="宋体" w:eastAsia="宋体" w:cs="宋体"/>
          <w:sz w:val="23"/>
          <w:szCs w:val="23"/>
        </w:rPr>
      </w:pPr>
      <w:r>
        <w:rPr>
          <w:rFonts w:ascii="宋体" w:hAnsi="宋体" w:eastAsia="宋体" w:cs="宋体"/>
          <w:spacing w:val="-2"/>
          <w:sz w:val="23"/>
          <w:szCs w:val="23"/>
        </w:rPr>
        <w:t>(</w:t>
      </w:r>
      <w:r>
        <w:rPr>
          <w:rFonts w:ascii="Times New Roman" w:hAnsi="Times New Roman" w:eastAsia="Times New Roman" w:cs="Times New Roman"/>
          <w:spacing w:val="-2"/>
          <w:sz w:val="23"/>
          <w:szCs w:val="23"/>
        </w:rPr>
        <w:t>11</w:t>
      </w:r>
      <w:r>
        <w:rPr>
          <w:rFonts w:ascii="宋体" w:hAnsi="宋体" w:eastAsia="宋体" w:cs="宋体"/>
          <w:spacing w:val="-2"/>
          <w:sz w:val="23"/>
          <w:szCs w:val="23"/>
        </w:rPr>
        <w:t>)  《大气污染治理工程技术导则》，</w:t>
      </w:r>
      <w:r>
        <w:rPr>
          <w:rFonts w:ascii="Times New Roman" w:hAnsi="Times New Roman" w:eastAsia="Times New Roman" w:cs="Times New Roman"/>
          <w:spacing w:val="-1"/>
          <w:sz w:val="23"/>
          <w:szCs w:val="23"/>
        </w:rPr>
        <w:t>HJ</w:t>
      </w:r>
      <w:r>
        <w:rPr>
          <w:rFonts w:ascii="Times New Roman" w:hAnsi="Times New Roman" w:eastAsia="Times New Roman" w:cs="Times New Roman"/>
          <w:spacing w:val="-2"/>
          <w:sz w:val="23"/>
          <w:szCs w:val="23"/>
        </w:rPr>
        <w:t xml:space="preserve"> 2000-</w:t>
      </w:r>
      <w:r>
        <w:rPr>
          <w:rFonts w:ascii="Times New Roman" w:hAnsi="Times New Roman" w:eastAsia="Times New Roman" w:cs="Times New Roman"/>
          <w:spacing w:val="-1"/>
          <w:sz w:val="23"/>
          <w:szCs w:val="23"/>
        </w:rPr>
        <w:t>2010</w:t>
      </w:r>
      <w:r>
        <w:rPr>
          <w:rFonts w:ascii="宋体" w:hAnsi="宋体" w:eastAsia="宋体" w:cs="宋体"/>
          <w:spacing w:val="-1"/>
          <w:sz w:val="23"/>
          <w:szCs w:val="23"/>
        </w:rPr>
        <w:t>；</w:t>
      </w:r>
    </w:p>
    <w:p w14:paraId="69EF0877">
      <w:pPr>
        <w:spacing w:line="285" w:lineRule="auto"/>
        <w:rPr>
          <w:rFonts w:ascii="Arial"/>
          <w:sz w:val="21"/>
        </w:rPr>
      </w:pPr>
    </w:p>
    <w:p w14:paraId="5D5EF27D">
      <w:pPr>
        <w:spacing w:before="75" w:line="226" w:lineRule="auto"/>
        <w:ind w:left="486"/>
        <w:rPr>
          <w:rFonts w:ascii="宋体" w:hAnsi="宋体" w:eastAsia="宋体" w:cs="宋体"/>
          <w:sz w:val="23"/>
          <w:szCs w:val="23"/>
        </w:rPr>
      </w:pPr>
      <w:r>
        <w:rPr>
          <w:rFonts w:ascii="宋体" w:hAnsi="宋体" w:eastAsia="宋体" w:cs="宋体"/>
          <w:spacing w:val="1"/>
          <w:sz w:val="23"/>
          <w:szCs w:val="23"/>
        </w:rPr>
        <w:t>(</w:t>
      </w:r>
      <w:r>
        <w:rPr>
          <w:rFonts w:ascii="Times New Roman" w:hAnsi="Times New Roman" w:eastAsia="Times New Roman" w:cs="Times New Roman"/>
          <w:spacing w:val="1"/>
          <w:sz w:val="23"/>
          <w:szCs w:val="23"/>
        </w:rPr>
        <w:t>12</w:t>
      </w:r>
      <w:r>
        <w:rPr>
          <w:rFonts w:ascii="宋体" w:hAnsi="宋体" w:eastAsia="宋体" w:cs="宋体"/>
          <w:spacing w:val="1"/>
          <w:sz w:val="23"/>
          <w:szCs w:val="23"/>
        </w:rPr>
        <w:t>)  《关于</w:t>
      </w:r>
      <w:r>
        <w:rPr>
          <w:rFonts w:ascii="宋体" w:hAnsi="宋体" w:eastAsia="宋体" w:cs="宋体"/>
          <w:sz w:val="23"/>
          <w:szCs w:val="23"/>
        </w:rPr>
        <w:t>做好环境影响评价制度与排污许可制衔接相关工作的通知》，环</w:t>
      </w:r>
    </w:p>
    <w:p w14:paraId="368A61AE">
      <w:pPr>
        <w:spacing w:before="156" w:line="322" w:lineRule="exact"/>
        <w:ind w:left="23"/>
        <w:rPr>
          <w:rFonts w:ascii="宋体" w:hAnsi="宋体" w:eastAsia="宋体" w:cs="宋体"/>
          <w:sz w:val="23"/>
          <w:szCs w:val="23"/>
        </w:rPr>
      </w:pPr>
      <w:r>
        <w:rPr>
          <w:rFonts w:ascii="宋体" w:hAnsi="宋体" w:eastAsia="宋体" w:cs="宋体"/>
          <w:spacing w:val="-2"/>
          <w:position w:val="3"/>
          <w:sz w:val="23"/>
          <w:szCs w:val="23"/>
        </w:rPr>
        <w:t>环评</w:t>
      </w:r>
      <w:r>
        <w:rPr>
          <w:rFonts w:ascii="Times New Roman" w:hAnsi="Times New Roman" w:eastAsia="Times New Roman" w:cs="Times New Roman"/>
          <w:spacing w:val="-2"/>
          <w:position w:val="3"/>
          <w:sz w:val="23"/>
          <w:szCs w:val="23"/>
        </w:rPr>
        <w:t>[2016]15</w:t>
      </w:r>
      <w:r>
        <w:rPr>
          <w:rFonts w:ascii="Times New Roman" w:hAnsi="Times New Roman" w:eastAsia="Times New Roman" w:cs="Times New Roman"/>
          <w:spacing w:val="-1"/>
          <w:position w:val="3"/>
          <w:sz w:val="23"/>
          <w:szCs w:val="23"/>
        </w:rPr>
        <w:t xml:space="preserve">0 </w:t>
      </w:r>
      <w:r>
        <w:rPr>
          <w:rFonts w:ascii="宋体" w:hAnsi="宋体" w:eastAsia="宋体" w:cs="宋体"/>
          <w:spacing w:val="-1"/>
          <w:position w:val="3"/>
          <w:sz w:val="23"/>
          <w:szCs w:val="23"/>
        </w:rPr>
        <w:t>号；</w:t>
      </w:r>
    </w:p>
    <w:p w14:paraId="3A2A0E28">
      <w:pPr>
        <w:spacing w:line="292" w:lineRule="auto"/>
        <w:rPr>
          <w:rFonts w:ascii="Arial"/>
          <w:sz w:val="21"/>
        </w:rPr>
      </w:pPr>
    </w:p>
    <w:p w14:paraId="68B086E0">
      <w:pPr>
        <w:spacing w:before="75" w:line="227" w:lineRule="auto"/>
        <w:ind w:left="486"/>
        <w:rPr>
          <w:rFonts w:ascii="宋体" w:hAnsi="宋体" w:eastAsia="宋体" w:cs="宋体"/>
          <w:sz w:val="23"/>
          <w:szCs w:val="23"/>
        </w:rPr>
      </w:pPr>
      <w:r>
        <w:rPr>
          <w:rFonts w:ascii="宋体" w:hAnsi="宋体" w:eastAsia="宋体" w:cs="宋体"/>
          <w:spacing w:val="-2"/>
          <w:sz w:val="23"/>
          <w:szCs w:val="23"/>
        </w:rPr>
        <w:t>(</w:t>
      </w:r>
      <w:r>
        <w:rPr>
          <w:rFonts w:ascii="Times New Roman" w:hAnsi="Times New Roman" w:eastAsia="Times New Roman" w:cs="Times New Roman"/>
          <w:spacing w:val="-2"/>
          <w:sz w:val="23"/>
          <w:szCs w:val="23"/>
        </w:rPr>
        <w:t>13</w:t>
      </w:r>
      <w:r>
        <w:rPr>
          <w:rFonts w:ascii="宋体" w:hAnsi="宋体" w:eastAsia="宋体" w:cs="宋体"/>
          <w:spacing w:val="-2"/>
          <w:sz w:val="23"/>
          <w:szCs w:val="23"/>
        </w:rPr>
        <w:t>)  《固体废物处理处置工程技术导则》</w:t>
      </w:r>
      <w:r>
        <w:rPr>
          <w:rFonts w:ascii="宋体" w:hAnsi="宋体" w:eastAsia="宋体" w:cs="宋体"/>
          <w:spacing w:val="-1"/>
          <w:sz w:val="23"/>
          <w:szCs w:val="23"/>
        </w:rPr>
        <w:t>，</w:t>
      </w:r>
      <w:r>
        <w:rPr>
          <w:rFonts w:ascii="Times New Roman" w:hAnsi="Times New Roman" w:eastAsia="Times New Roman" w:cs="Times New Roman"/>
          <w:spacing w:val="-1"/>
          <w:sz w:val="23"/>
          <w:szCs w:val="23"/>
        </w:rPr>
        <w:t>HJ 2035-2013</w:t>
      </w:r>
      <w:r>
        <w:rPr>
          <w:rFonts w:ascii="宋体" w:hAnsi="宋体" w:eastAsia="宋体" w:cs="宋体"/>
          <w:spacing w:val="-1"/>
          <w:sz w:val="23"/>
          <w:szCs w:val="23"/>
        </w:rPr>
        <w:t>；</w:t>
      </w:r>
    </w:p>
    <w:p w14:paraId="39F0D0FB">
      <w:pPr>
        <w:spacing w:line="286" w:lineRule="auto"/>
        <w:rPr>
          <w:rFonts w:ascii="Arial"/>
          <w:sz w:val="21"/>
        </w:rPr>
      </w:pPr>
    </w:p>
    <w:p w14:paraId="42146F81">
      <w:pPr>
        <w:spacing w:before="75" w:line="227" w:lineRule="auto"/>
        <w:ind w:left="486"/>
        <w:rPr>
          <w:rFonts w:ascii="宋体" w:hAnsi="宋体" w:eastAsia="宋体" w:cs="宋体"/>
          <w:sz w:val="23"/>
          <w:szCs w:val="23"/>
        </w:rPr>
      </w:pPr>
      <w:r>
        <w:rPr>
          <w:rFonts w:ascii="宋体" w:hAnsi="宋体" w:eastAsia="宋体" w:cs="宋体"/>
          <w:spacing w:val="-2"/>
          <w:sz w:val="23"/>
          <w:szCs w:val="23"/>
        </w:rPr>
        <w:t>(</w:t>
      </w:r>
      <w:r>
        <w:rPr>
          <w:rFonts w:ascii="Times New Roman" w:hAnsi="Times New Roman" w:eastAsia="Times New Roman" w:cs="Times New Roman"/>
          <w:spacing w:val="-2"/>
          <w:sz w:val="23"/>
          <w:szCs w:val="23"/>
        </w:rPr>
        <w:t>14</w:t>
      </w:r>
      <w:r>
        <w:rPr>
          <w:rFonts w:ascii="宋体" w:hAnsi="宋体" w:eastAsia="宋体" w:cs="宋体"/>
          <w:spacing w:val="-2"/>
          <w:sz w:val="23"/>
          <w:szCs w:val="23"/>
        </w:rPr>
        <w:t>)  《危险化学品重大</w:t>
      </w:r>
      <w:r>
        <w:rPr>
          <w:rFonts w:ascii="宋体" w:hAnsi="宋体" w:eastAsia="宋体" w:cs="宋体"/>
          <w:spacing w:val="-1"/>
          <w:sz w:val="23"/>
          <w:szCs w:val="23"/>
        </w:rPr>
        <w:t>危险源辨识》，</w:t>
      </w:r>
      <w:r>
        <w:rPr>
          <w:rFonts w:ascii="Times New Roman" w:hAnsi="Times New Roman" w:eastAsia="Times New Roman" w:cs="Times New Roman"/>
          <w:spacing w:val="-1"/>
          <w:sz w:val="23"/>
          <w:szCs w:val="23"/>
        </w:rPr>
        <w:t>GB18218-2009</w:t>
      </w:r>
      <w:r>
        <w:rPr>
          <w:rFonts w:ascii="宋体" w:hAnsi="宋体" w:eastAsia="宋体" w:cs="宋体"/>
          <w:spacing w:val="-1"/>
          <w:sz w:val="23"/>
          <w:szCs w:val="23"/>
        </w:rPr>
        <w:t>；</w:t>
      </w:r>
    </w:p>
    <w:p w14:paraId="0CE89DCA">
      <w:pPr>
        <w:spacing w:line="242" w:lineRule="auto"/>
        <w:rPr>
          <w:rFonts w:ascii="Arial"/>
          <w:sz w:val="21"/>
        </w:rPr>
      </w:pPr>
    </w:p>
    <w:p w14:paraId="3FF3F593">
      <w:pPr>
        <w:spacing w:before="76" w:line="323" w:lineRule="exact"/>
        <w:ind w:left="486"/>
        <w:rPr>
          <w:rFonts w:ascii="宋体" w:hAnsi="宋体" w:eastAsia="宋体" w:cs="宋体"/>
          <w:sz w:val="23"/>
          <w:szCs w:val="23"/>
        </w:rPr>
      </w:pPr>
      <w:r>
        <w:rPr>
          <w:rFonts w:ascii="宋体" w:hAnsi="宋体" w:eastAsia="宋体" w:cs="宋体"/>
          <w:spacing w:val="-2"/>
          <w:position w:val="1"/>
          <w:sz w:val="23"/>
          <w:szCs w:val="23"/>
        </w:rPr>
        <w:t>(</w:t>
      </w:r>
      <w:r>
        <w:rPr>
          <w:rFonts w:ascii="Times New Roman" w:hAnsi="Times New Roman" w:eastAsia="Times New Roman" w:cs="Times New Roman"/>
          <w:spacing w:val="-2"/>
          <w:position w:val="1"/>
          <w:sz w:val="23"/>
          <w:szCs w:val="23"/>
        </w:rPr>
        <w:t>15</w:t>
      </w:r>
      <w:r>
        <w:rPr>
          <w:rFonts w:ascii="宋体" w:hAnsi="宋体" w:eastAsia="宋体" w:cs="宋体"/>
          <w:spacing w:val="-2"/>
          <w:position w:val="1"/>
          <w:sz w:val="23"/>
          <w:szCs w:val="23"/>
        </w:rPr>
        <w:t>)  《危险废物鉴别技</w:t>
      </w:r>
      <w:r>
        <w:rPr>
          <w:rFonts w:ascii="宋体" w:hAnsi="宋体" w:eastAsia="宋体" w:cs="宋体"/>
          <w:spacing w:val="-1"/>
          <w:position w:val="1"/>
          <w:sz w:val="23"/>
          <w:szCs w:val="23"/>
        </w:rPr>
        <w:t>术规范》，</w:t>
      </w:r>
      <w:r>
        <w:rPr>
          <w:rFonts w:ascii="Times New Roman" w:hAnsi="Times New Roman" w:eastAsia="Times New Roman" w:cs="Times New Roman"/>
          <w:spacing w:val="-1"/>
          <w:position w:val="1"/>
          <w:sz w:val="23"/>
          <w:szCs w:val="23"/>
        </w:rPr>
        <w:t>HJ/T298-2007</w:t>
      </w:r>
      <w:r>
        <w:rPr>
          <w:rFonts w:ascii="宋体" w:hAnsi="宋体" w:eastAsia="宋体" w:cs="宋体"/>
          <w:spacing w:val="-1"/>
          <w:position w:val="1"/>
          <w:sz w:val="23"/>
          <w:szCs w:val="23"/>
        </w:rPr>
        <w:t>；</w:t>
      </w:r>
    </w:p>
    <w:p w14:paraId="7DEF6D19">
      <w:pPr>
        <w:spacing w:line="291" w:lineRule="auto"/>
        <w:rPr>
          <w:rFonts w:ascii="Arial"/>
          <w:sz w:val="21"/>
        </w:rPr>
      </w:pPr>
    </w:p>
    <w:p w14:paraId="7FC4D82A">
      <w:pPr>
        <w:spacing w:before="76" w:line="228" w:lineRule="auto"/>
        <w:ind w:left="486"/>
        <w:rPr>
          <w:rFonts w:ascii="宋体" w:hAnsi="宋体" w:eastAsia="宋体" w:cs="宋体"/>
          <w:sz w:val="23"/>
          <w:szCs w:val="23"/>
        </w:rPr>
      </w:pPr>
      <w:r>
        <w:rPr>
          <w:rFonts w:ascii="宋体" w:hAnsi="宋体" w:eastAsia="宋体" w:cs="宋体"/>
          <w:spacing w:val="-2"/>
          <w:sz w:val="23"/>
          <w:szCs w:val="23"/>
        </w:rPr>
        <w:t>(</w:t>
      </w:r>
      <w:r>
        <w:rPr>
          <w:rFonts w:ascii="Times New Roman" w:hAnsi="Times New Roman" w:eastAsia="Times New Roman" w:cs="Times New Roman"/>
          <w:spacing w:val="-2"/>
          <w:sz w:val="23"/>
          <w:szCs w:val="23"/>
        </w:rPr>
        <w:t>16</w:t>
      </w:r>
      <w:r>
        <w:rPr>
          <w:rFonts w:ascii="宋体" w:hAnsi="宋体" w:eastAsia="宋体" w:cs="宋体"/>
          <w:spacing w:val="-2"/>
          <w:sz w:val="23"/>
          <w:szCs w:val="23"/>
        </w:rPr>
        <w:t>)  《固体废物鉴别</w:t>
      </w:r>
      <w:r>
        <w:rPr>
          <w:rFonts w:ascii="宋体" w:hAnsi="宋体" w:eastAsia="宋体" w:cs="宋体"/>
          <w:spacing w:val="-1"/>
          <w:sz w:val="23"/>
          <w:szCs w:val="23"/>
        </w:rPr>
        <w:t>标准 通则》，</w:t>
      </w:r>
      <w:r>
        <w:rPr>
          <w:rFonts w:ascii="Times New Roman" w:hAnsi="Times New Roman" w:eastAsia="Times New Roman" w:cs="Times New Roman"/>
          <w:spacing w:val="-1"/>
          <w:sz w:val="23"/>
          <w:szCs w:val="23"/>
        </w:rPr>
        <w:t>GB5085.7-2007</w:t>
      </w:r>
      <w:r>
        <w:rPr>
          <w:rFonts w:ascii="宋体" w:hAnsi="宋体" w:eastAsia="宋体" w:cs="宋体"/>
          <w:spacing w:val="-1"/>
          <w:sz w:val="23"/>
          <w:szCs w:val="23"/>
        </w:rPr>
        <w:t>；</w:t>
      </w:r>
    </w:p>
    <w:p w14:paraId="4303E973">
      <w:pPr>
        <w:spacing w:line="287" w:lineRule="auto"/>
        <w:rPr>
          <w:rFonts w:ascii="Arial"/>
          <w:sz w:val="21"/>
        </w:rPr>
      </w:pPr>
    </w:p>
    <w:p w14:paraId="1CD69EF8">
      <w:pPr>
        <w:spacing w:before="75" w:line="227" w:lineRule="auto"/>
        <w:ind w:left="486"/>
        <w:rPr>
          <w:rFonts w:ascii="宋体" w:hAnsi="宋体" w:eastAsia="宋体" w:cs="宋体"/>
          <w:sz w:val="23"/>
          <w:szCs w:val="23"/>
        </w:rPr>
      </w:pPr>
      <w:r>
        <w:rPr>
          <w:rFonts w:ascii="宋体" w:hAnsi="宋体" w:eastAsia="宋体" w:cs="宋体"/>
          <w:spacing w:val="1"/>
          <w:sz w:val="23"/>
          <w:szCs w:val="23"/>
        </w:rPr>
        <w:t>(</w:t>
      </w:r>
      <w:r>
        <w:rPr>
          <w:rFonts w:ascii="Times New Roman" w:hAnsi="Times New Roman" w:eastAsia="Times New Roman" w:cs="Times New Roman"/>
          <w:spacing w:val="1"/>
          <w:sz w:val="23"/>
          <w:szCs w:val="23"/>
        </w:rPr>
        <w:t>17</w:t>
      </w:r>
      <w:r>
        <w:rPr>
          <w:rFonts w:ascii="宋体" w:hAnsi="宋体" w:eastAsia="宋体" w:cs="宋体"/>
          <w:spacing w:val="1"/>
          <w:sz w:val="23"/>
          <w:szCs w:val="23"/>
        </w:rPr>
        <w:t>)  《废塑</w:t>
      </w:r>
      <w:r>
        <w:rPr>
          <w:rFonts w:ascii="宋体" w:hAnsi="宋体" w:eastAsia="宋体" w:cs="宋体"/>
          <w:sz w:val="23"/>
          <w:szCs w:val="23"/>
        </w:rPr>
        <w:t>料综合利用行业规范条件》，中华人民共和国工业和信息</w:t>
      </w:r>
      <w:r>
        <w:rPr>
          <w:rFonts w:hint="eastAsia" w:ascii="宋体" w:hAnsi="宋体" w:eastAsia="宋体" w:cs="宋体"/>
          <w:sz w:val="23"/>
          <w:szCs w:val="23"/>
          <w:lang w:val="en-US" w:eastAsia="zh-CN"/>
        </w:rPr>
        <w:t>化</w:t>
      </w:r>
      <w:r>
        <w:rPr>
          <w:rFonts w:ascii="宋体" w:hAnsi="宋体" w:eastAsia="宋体" w:cs="宋体"/>
          <w:sz w:val="23"/>
          <w:szCs w:val="23"/>
        </w:rPr>
        <w:t>部公告</w:t>
      </w:r>
    </w:p>
    <w:p w14:paraId="2307A136">
      <w:pPr>
        <w:spacing w:before="197" w:line="227" w:lineRule="auto"/>
        <w:ind w:left="19"/>
        <w:rPr>
          <w:rFonts w:ascii="宋体" w:hAnsi="宋体" w:eastAsia="宋体" w:cs="宋体"/>
          <w:sz w:val="23"/>
          <w:szCs w:val="23"/>
        </w:rPr>
      </w:pPr>
      <w:r>
        <w:rPr>
          <w:rFonts w:ascii="Times New Roman" w:hAnsi="Times New Roman" w:eastAsia="Times New Roman" w:cs="Times New Roman"/>
          <w:spacing w:val="-8"/>
          <w:sz w:val="23"/>
          <w:szCs w:val="23"/>
        </w:rPr>
        <w:t>2</w:t>
      </w:r>
      <w:r>
        <w:rPr>
          <w:rFonts w:ascii="Times New Roman" w:hAnsi="Times New Roman" w:eastAsia="Times New Roman" w:cs="Times New Roman"/>
          <w:spacing w:val="-5"/>
          <w:sz w:val="23"/>
          <w:szCs w:val="23"/>
        </w:rPr>
        <w:t xml:space="preserve">015 </w:t>
      </w:r>
      <w:r>
        <w:rPr>
          <w:rFonts w:ascii="宋体" w:hAnsi="宋体" w:eastAsia="宋体" w:cs="宋体"/>
          <w:spacing w:val="-5"/>
          <w:sz w:val="23"/>
          <w:szCs w:val="23"/>
        </w:rPr>
        <w:t xml:space="preserve">年第 </w:t>
      </w:r>
      <w:r>
        <w:rPr>
          <w:rFonts w:ascii="Times New Roman" w:hAnsi="Times New Roman" w:eastAsia="Times New Roman" w:cs="Times New Roman"/>
          <w:spacing w:val="-5"/>
          <w:sz w:val="23"/>
          <w:szCs w:val="23"/>
        </w:rPr>
        <w:t xml:space="preserve">81 </w:t>
      </w:r>
      <w:r>
        <w:rPr>
          <w:rFonts w:ascii="宋体" w:hAnsi="宋体" w:eastAsia="宋体" w:cs="宋体"/>
          <w:spacing w:val="-5"/>
          <w:sz w:val="23"/>
          <w:szCs w:val="23"/>
        </w:rPr>
        <w:t>号；</w:t>
      </w:r>
    </w:p>
    <w:p w14:paraId="27C0A548">
      <w:pPr>
        <w:sectPr>
          <w:headerReference r:id="rId50" w:type="default"/>
          <w:footerReference r:id="rId51" w:type="default"/>
          <w:pgSz w:w="11906" w:h="16839"/>
          <w:pgMar w:top="1132" w:right="1785" w:bottom="1156" w:left="1785" w:header="878" w:footer="996" w:gutter="0"/>
          <w:cols w:space="720" w:num="1"/>
        </w:sectPr>
      </w:pPr>
    </w:p>
    <w:p w14:paraId="258759F5">
      <w:pPr>
        <w:spacing w:line="365" w:lineRule="auto"/>
        <w:rPr>
          <w:rFonts w:ascii="Arial"/>
          <w:sz w:val="21"/>
        </w:rPr>
      </w:pPr>
      <w:r>
        <w:pict>
          <v:shape id="_x0000_s1085" o:spid="_x0000_s1085" style="position:absolute;left:0pt;margin-left:90pt;margin-top:57.35pt;height:0.75pt;width:415.3pt;mso-position-horizontal-relative:page;mso-position-vertical-relative:page;z-index:251722752;mso-width-relative:page;mso-height-relative:page;" fillcolor="#000000" filled="t" stroked="f" coordsize="8305,15" o:allowincell="f" path="m0,0l8305,0,8305,14,0,14,0,0xe">
            <v:path/>
            <v:fill on="t" focussize="0,0"/>
            <v:stroke on="f"/>
            <v:imagedata o:title=""/>
            <o:lock v:ext="edit"/>
          </v:shape>
        </w:pict>
      </w:r>
    </w:p>
    <w:p w14:paraId="461CAAEF">
      <w:pPr>
        <w:spacing w:before="75" w:line="323" w:lineRule="exact"/>
        <w:ind w:left="486"/>
        <w:rPr>
          <w:rFonts w:ascii="宋体" w:hAnsi="宋体" w:eastAsia="宋体" w:cs="宋体"/>
          <w:sz w:val="23"/>
          <w:szCs w:val="23"/>
        </w:rPr>
      </w:pPr>
      <w:r>
        <w:rPr>
          <w:rFonts w:ascii="宋体" w:hAnsi="宋体" w:eastAsia="宋体" w:cs="宋体"/>
          <w:spacing w:val="-10"/>
          <w:position w:val="1"/>
          <w:sz w:val="23"/>
          <w:szCs w:val="23"/>
        </w:rPr>
        <w:t>(</w:t>
      </w:r>
      <w:r>
        <w:rPr>
          <w:rFonts w:ascii="Times New Roman" w:hAnsi="Times New Roman" w:eastAsia="Times New Roman" w:cs="Times New Roman"/>
          <w:spacing w:val="-10"/>
          <w:position w:val="1"/>
          <w:sz w:val="23"/>
          <w:szCs w:val="23"/>
        </w:rPr>
        <w:t>18</w:t>
      </w:r>
      <w:r>
        <w:rPr>
          <w:rFonts w:ascii="宋体" w:hAnsi="宋体" w:eastAsia="宋体" w:cs="宋体"/>
          <w:spacing w:val="-9"/>
          <w:position w:val="1"/>
          <w:sz w:val="23"/>
          <w:szCs w:val="23"/>
        </w:rPr>
        <w:t>)</w:t>
      </w:r>
      <w:r>
        <w:rPr>
          <w:rFonts w:ascii="宋体" w:hAnsi="宋体" w:eastAsia="宋体" w:cs="宋体"/>
          <w:spacing w:val="-5"/>
          <w:position w:val="1"/>
          <w:sz w:val="23"/>
          <w:szCs w:val="23"/>
        </w:rPr>
        <w:t xml:space="preserve">  《废旧塑料回收与再生利用污染控制技术规范(试行) 》，</w:t>
      </w:r>
      <w:r>
        <w:rPr>
          <w:rFonts w:ascii="Times New Roman" w:hAnsi="Times New Roman" w:eastAsia="Times New Roman" w:cs="Times New Roman"/>
          <w:spacing w:val="-5"/>
          <w:position w:val="1"/>
          <w:sz w:val="23"/>
          <w:szCs w:val="23"/>
        </w:rPr>
        <w:t>HJ/T364-2007</w:t>
      </w:r>
      <w:r>
        <w:rPr>
          <w:rFonts w:ascii="宋体" w:hAnsi="宋体" w:eastAsia="宋体" w:cs="宋体"/>
          <w:spacing w:val="-5"/>
          <w:position w:val="1"/>
          <w:sz w:val="23"/>
          <w:szCs w:val="23"/>
        </w:rPr>
        <w:t>。</w:t>
      </w:r>
    </w:p>
    <w:p w14:paraId="72C02BF3">
      <w:pPr>
        <w:spacing w:before="317" w:line="224" w:lineRule="auto"/>
        <w:ind w:left="21"/>
        <w:outlineLvl w:val="2"/>
        <w:rPr>
          <w:rFonts w:ascii="宋体" w:hAnsi="宋体" w:eastAsia="宋体" w:cs="宋体"/>
          <w:sz w:val="29"/>
          <w:szCs w:val="29"/>
        </w:rPr>
      </w:pPr>
      <w:r>
        <w:rPr>
          <w:rFonts w:ascii="Times New Roman" w:hAnsi="Times New Roman" w:eastAsia="Times New Roman" w:cs="Times New Roman"/>
          <w:b/>
          <w:bCs/>
          <w:spacing w:val="-2"/>
          <w:sz w:val="29"/>
          <w:szCs w:val="29"/>
        </w:rPr>
        <w:t>2.2.5</w:t>
      </w:r>
      <w:r>
        <w:rPr>
          <w:rFonts w:ascii="Times New Roman" w:hAnsi="Times New Roman" w:eastAsia="Times New Roman" w:cs="Times New Roman"/>
          <w:spacing w:val="-2"/>
          <w:sz w:val="29"/>
          <w:szCs w:val="29"/>
        </w:rPr>
        <w:t xml:space="preserve">  </w:t>
      </w:r>
      <w:r>
        <w:rPr>
          <w:rFonts w:ascii="宋体" w:hAnsi="宋体" w:eastAsia="宋体" w:cs="宋体"/>
          <w:spacing w:val="-2"/>
          <w:sz w:val="29"/>
          <w:szCs w:val="29"/>
          <w14:textOutline w14:w="5448" w14:cap="sq" w14:cmpd="sng">
            <w14:solidFill>
              <w14:srgbClr w14:val="000000"/>
            </w14:solidFill>
            <w14:prstDash w14:val="solid"/>
            <w14:bevel/>
          </w14:textOutline>
        </w:rPr>
        <w:t>建设项目环境影响评价的其它相关</w:t>
      </w:r>
      <w:r>
        <w:rPr>
          <w:rFonts w:ascii="宋体" w:hAnsi="宋体" w:eastAsia="宋体" w:cs="宋体"/>
          <w:spacing w:val="-1"/>
          <w:sz w:val="29"/>
          <w:szCs w:val="29"/>
          <w14:textOutline w14:w="5448" w14:cap="sq" w14:cmpd="sng">
            <w14:solidFill>
              <w14:srgbClr w14:val="000000"/>
            </w14:solidFill>
            <w14:prstDash w14:val="solid"/>
            <w14:bevel/>
          </w14:textOutline>
        </w:rPr>
        <w:t>依</w:t>
      </w:r>
      <w:r>
        <w:rPr>
          <w:rFonts w:ascii="宋体" w:hAnsi="宋体" w:eastAsia="宋体" w:cs="宋体"/>
          <w:sz w:val="29"/>
          <w:szCs w:val="29"/>
          <w14:textOutline w14:w="5448" w14:cap="sq" w14:cmpd="sng">
            <w14:solidFill>
              <w14:srgbClr w14:val="000000"/>
            </w14:solidFill>
            <w14:prstDash w14:val="solid"/>
            <w14:bevel/>
          </w14:textOutline>
        </w:rPr>
        <w:t>据</w:t>
      </w:r>
    </w:p>
    <w:p w14:paraId="77F915C5">
      <w:pPr>
        <w:spacing w:line="268" w:lineRule="auto"/>
        <w:rPr>
          <w:rFonts w:ascii="Arial"/>
          <w:sz w:val="21"/>
        </w:rPr>
      </w:pPr>
    </w:p>
    <w:p w14:paraId="1B725B89">
      <w:pPr>
        <w:spacing w:before="74" w:line="227" w:lineRule="auto"/>
        <w:ind w:left="486"/>
        <w:rPr>
          <w:rFonts w:ascii="宋体" w:hAnsi="宋体" w:eastAsia="宋体" w:cs="宋体"/>
          <w:sz w:val="23"/>
          <w:szCs w:val="23"/>
        </w:rPr>
      </w:pPr>
      <w:r>
        <w:rPr>
          <w:rFonts w:ascii="宋体" w:hAnsi="宋体" w:eastAsia="宋体" w:cs="宋体"/>
          <w:spacing w:val="-4"/>
          <w:sz w:val="23"/>
          <w:szCs w:val="23"/>
        </w:rPr>
        <w:t>(</w:t>
      </w:r>
      <w:r>
        <w:rPr>
          <w:rFonts w:ascii="Times New Roman" w:hAnsi="Times New Roman" w:eastAsia="Times New Roman" w:cs="Times New Roman"/>
          <w:spacing w:val="-4"/>
          <w:sz w:val="23"/>
          <w:szCs w:val="23"/>
        </w:rPr>
        <w:t>1</w:t>
      </w:r>
      <w:r>
        <w:rPr>
          <w:rFonts w:ascii="宋体" w:hAnsi="宋体" w:eastAsia="宋体" w:cs="宋体"/>
          <w:spacing w:val="-4"/>
          <w:sz w:val="23"/>
          <w:szCs w:val="23"/>
        </w:rPr>
        <w:t>)</w:t>
      </w:r>
      <w:r>
        <w:rPr>
          <w:rFonts w:ascii="宋体" w:hAnsi="宋体" w:eastAsia="宋体" w:cs="宋体"/>
          <w:spacing w:val="-2"/>
          <w:sz w:val="23"/>
          <w:szCs w:val="23"/>
        </w:rPr>
        <w:t xml:space="preserve">  《本溪弘福塑业有限公司新建项目》环境影响评价工作委托书；</w:t>
      </w:r>
    </w:p>
    <w:p w14:paraId="46222D86">
      <w:pPr>
        <w:spacing w:line="288" w:lineRule="auto"/>
        <w:rPr>
          <w:rFonts w:ascii="Arial"/>
          <w:sz w:val="21"/>
        </w:rPr>
      </w:pPr>
    </w:p>
    <w:p w14:paraId="7626653D">
      <w:pPr>
        <w:spacing w:before="75" w:line="227" w:lineRule="auto"/>
        <w:ind w:left="486"/>
        <w:rPr>
          <w:rFonts w:ascii="宋体" w:hAnsi="宋体" w:eastAsia="宋体" w:cs="宋体"/>
          <w:sz w:val="23"/>
          <w:szCs w:val="23"/>
        </w:rPr>
      </w:pPr>
      <w:r>
        <w:rPr>
          <w:rFonts w:ascii="宋体" w:hAnsi="宋体" w:eastAsia="宋体" w:cs="宋体"/>
          <w:spacing w:val="6"/>
          <w:sz w:val="23"/>
          <w:szCs w:val="23"/>
        </w:rPr>
        <w:t>(</w:t>
      </w:r>
      <w:r>
        <w:rPr>
          <w:rFonts w:ascii="Times New Roman" w:hAnsi="Times New Roman" w:eastAsia="Times New Roman" w:cs="Times New Roman"/>
          <w:spacing w:val="4"/>
          <w:sz w:val="23"/>
          <w:szCs w:val="23"/>
        </w:rPr>
        <w:t>2</w:t>
      </w:r>
      <w:r>
        <w:rPr>
          <w:rFonts w:ascii="宋体" w:hAnsi="宋体" w:eastAsia="宋体" w:cs="宋体"/>
          <w:spacing w:val="3"/>
          <w:sz w:val="23"/>
          <w:szCs w:val="23"/>
        </w:rPr>
        <w:t>) 建设单位提供的相关技术资料及情况说明。</w:t>
      </w:r>
    </w:p>
    <w:p w14:paraId="704DEDDB">
      <w:pPr>
        <w:spacing w:before="295" w:line="223" w:lineRule="auto"/>
        <w:ind w:left="21"/>
        <w:outlineLvl w:val="1"/>
        <w:rPr>
          <w:rFonts w:ascii="宋体" w:hAnsi="宋体" w:eastAsia="宋体" w:cs="宋体"/>
          <w:sz w:val="31"/>
          <w:szCs w:val="31"/>
        </w:rPr>
      </w:pPr>
      <w:bookmarkStart w:id="9" w:name="_bookmark10"/>
      <w:bookmarkEnd w:id="9"/>
      <w:r>
        <w:rPr>
          <w:rFonts w:ascii="Times New Roman" w:hAnsi="Times New Roman" w:eastAsia="Times New Roman" w:cs="Times New Roman"/>
          <w:b/>
          <w:bCs/>
          <w:spacing w:val="6"/>
          <w:sz w:val="31"/>
          <w:szCs w:val="31"/>
        </w:rPr>
        <w:t>2</w:t>
      </w:r>
      <w:r>
        <w:rPr>
          <w:rFonts w:ascii="Times New Roman" w:hAnsi="Times New Roman" w:eastAsia="Times New Roman" w:cs="Times New Roman"/>
          <w:b/>
          <w:bCs/>
          <w:spacing w:val="4"/>
          <w:sz w:val="31"/>
          <w:szCs w:val="31"/>
        </w:rPr>
        <w:t>.3</w:t>
      </w:r>
      <w:r>
        <w:rPr>
          <w:rFonts w:ascii="Times New Roman" w:hAnsi="Times New Roman" w:eastAsia="Times New Roman" w:cs="Times New Roman"/>
          <w:spacing w:val="4"/>
          <w:sz w:val="31"/>
          <w:szCs w:val="31"/>
        </w:rPr>
        <w:t xml:space="preserve"> </w:t>
      </w:r>
      <w:r>
        <w:rPr>
          <w:rFonts w:ascii="宋体" w:hAnsi="宋体" w:eastAsia="宋体" w:cs="宋体"/>
          <w:spacing w:val="4"/>
          <w:sz w:val="31"/>
          <w:szCs w:val="31"/>
          <w14:textOutline w14:w="5793" w14:cap="sq" w14:cmpd="sng">
            <w14:solidFill>
              <w14:srgbClr w14:val="000000"/>
            </w14:solidFill>
            <w14:prstDash w14:val="solid"/>
            <w14:bevel/>
          </w14:textOutline>
        </w:rPr>
        <w:t>评价内容及评价重点</w:t>
      </w:r>
    </w:p>
    <w:p w14:paraId="688BC628">
      <w:pPr>
        <w:spacing w:before="290" w:line="224" w:lineRule="auto"/>
        <w:ind w:left="21"/>
        <w:outlineLvl w:val="2"/>
        <w:rPr>
          <w:rFonts w:ascii="宋体" w:hAnsi="宋体" w:eastAsia="宋体" w:cs="宋体"/>
          <w:sz w:val="29"/>
          <w:szCs w:val="29"/>
        </w:rPr>
      </w:pPr>
      <w:r>
        <w:rPr>
          <w:rFonts w:ascii="Times New Roman" w:hAnsi="Times New Roman" w:eastAsia="Times New Roman" w:cs="Times New Roman"/>
          <w:b/>
          <w:bCs/>
          <w:spacing w:val="10"/>
          <w:sz w:val="29"/>
          <w:szCs w:val="29"/>
        </w:rPr>
        <w:t>2</w:t>
      </w:r>
      <w:r>
        <w:rPr>
          <w:rFonts w:ascii="Times New Roman" w:hAnsi="Times New Roman" w:eastAsia="Times New Roman" w:cs="Times New Roman"/>
          <w:b/>
          <w:bCs/>
          <w:spacing w:val="6"/>
          <w:sz w:val="29"/>
          <w:szCs w:val="29"/>
        </w:rPr>
        <w:t>.</w:t>
      </w:r>
      <w:r>
        <w:rPr>
          <w:rFonts w:ascii="Times New Roman" w:hAnsi="Times New Roman" w:eastAsia="Times New Roman" w:cs="Times New Roman"/>
          <w:b/>
          <w:bCs/>
          <w:spacing w:val="5"/>
          <w:sz w:val="29"/>
          <w:szCs w:val="29"/>
        </w:rPr>
        <w:t>3.1</w:t>
      </w:r>
      <w:r>
        <w:rPr>
          <w:rFonts w:ascii="Times New Roman" w:hAnsi="Times New Roman" w:eastAsia="Times New Roman" w:cs="Times New Roman"/>
          <w:spacing w:val="5"/>
          <w:sz w:val="29"/>
          <w:szCs w:val="29"/>
        </w:rPr>
        <w:t xml:space="preserve"> </w:t>
      </w:r>
      <w:r>
        <w:rPr>
          <w:rFonts w:ascii="宋体" w:hAnsi="宋体" w:eastAsia="宋体" w:cs="宋体"/>
          <w:spacing w:val="5"/>
          <w:sz w:val="29"/>
          <w:szCs w:val="29"/>
          <w14:textOutline w14:w="5448" w14:cap="sq" w14:cmpd="sng">
            <w14:solidFill>
              <w14:srgbClr w14:val="000000"/>
            </w14:solidFill>
            <w14:prstDash w14:val="solid"/>
            <w14:bevel/>
          </w14:textOutline>
        </w:rPr>
        <w:t>评价内容</w:t>
      </w:r>
    </w:p>
    <w:p w14:paraId="1C514EA7">
      <w:pPr>
        <w:spacing w:line="268" w:lineRule="auto"/>
        <w:rPr>
          <w:rFonts w:ascii="Arial"/>
          <w:sz w:val="21"/>
        </w:rPr>
      </w:pPr>
    </w:p>
    <w:p w14:paraId="10D20546">
      <w:pPr>
        <w:spacing w:before="76" w:line="227" w:lineRule="auto"/>
        <w:ind w:left="474"/>
        <w:rPr>
          <w:rFonts w:ascii="宋体" w:hAnsi="宋体" w:eastAsia="宋体" w:cs="宋体"/>
          <w:sz w:val="23"/>
          <w:szCs w:val="23"/>
        </w:rPr>
      </w:pPr>
      <w:r>
        <w:rPr>
          <w:rFonts w:ascii="宋体" w:hAnsi="宋体" w:eastAsia="宋体" w:cs="宋体"/>
          <w:spacing w:val="-10"/>
          <w:sz w:val="23"/>
          <w:szCs w:val="23"/>
        </w:rPr>
        <w:t>根</w:t>
      </w:r>
      <w:r>
        <w:rPr>
          <w:rFonts w:ascii="宋体" w:hAnsi="宋体" w:eastAsia="宋体" w:cs="宋体"/>
          <w:spacing w:val="-6"/>
          <w:sz w:val="23"/>
          <w:szCs w:val="23"/>
        </w:rPr>
        <w:t>据</w:t>
      </w:r>
      <w:r>
        <w:rPr>
          <w:rFonts w:ascii="宋体" w:hAnsi="宋体" w:eastAsia="宋体" w:cs="宋体"/>
          <w:spacing w:val="-5"/>
          <w:sz w:val="23"/>
          <w:szCs w:val="23"/>
        </w:rPr>
        <w:t>项目特点及项目所在区域环境概况，确定本次环境影响评价的主要内容为：</w:t>
      </w:r>
    </w:p>
    <w:p w14:paraId="1BD6B399">
      <w:pPr>
        <w:spacing w:line="288" w:lineRule="auto"/>
        <w:rPr>
          <w:rFonts w:ascii="Arial"/>
          <w:sz w:val="21"/>
        </w:rPr>
      </w:pPr>
    </w:p>
    <w:p w14:paraId="3C463D7D">
      <w:pPr>
        <w:spacing w:before="75" w:line="226" w:lineRule="auto"/>
        <w:ind w:left="486"/>
        <w:rPr>
          <w:rFonts w:ascii="宋体" w:hAnsi="宋体" w:eastAsia="宋体" w:cs="宋体"/>
          <w:sz w:val="23"/>
          <w:szCs w:val="23"/>
        </w:rPr>
      </w:pPr>
      <w:r>
        <w:rPr>
          <w:rFonts w:ascii="宋体" w:hAnsi="宋体" w:eastAsia="宋体" w:cs="宋体"/>
          <w:spacing w:val="-2"/>
          <w:sz w:val="23"/>
          <w:szCs w:val="23"/>
        </w:rPr>
        <w:t>(</w:t>
      </w:r>
      <w:r>
        <w:rPr>
          <w:rFonts w:ascii="Times New Roman" w:hAnsi="Times New Roman" w:eastAsia="Times New Roman" w:cs="Times New Roman"/>
          <w:spacing w:val="-2"/>
          <w:sz w:val="23"/>
          <w:szCs w:val="23"/>
        </w:rPr>
        <w:t>1</w:t>
      </w:r>
      <w:r>
        <w:rPr>
          <w:rFonts w:ascii="宋体" w:hAnsi="宋体" w:eastAsia="宋体" w:cs="宋体"/>
          <w:spacing w:val="-2"/>
          <w:sz w:val="23"/>
          <w:szCs w:val="23"/>
        </w:rPr>
        <w:t>)对项目所在区域的环境质量现状进行评价</w:t>
      </w:r>
      <w:r>
        <w:rPr>
          <w:rFonts w:ascii="宋体" w:hAnsi="宋体" w:eastAsia="宋体" w:cs="宋体"/>
          <w:spacing w:val="-1"/>
          <w:sz w:val="23"/>
          <w:szCs w:val="23"/>
        </w:rPr>
        <w:t>，作为环境影响预测评价的依据。</w:t>
      </w:r>
    </w:p>
    <w:p w14:paraId="00F26BE5">
      <w:pPr>
        <w:spacing w:line="291" w:lineRule="auto"/>
        <w:rPr>
          <w:rFonts w:ascii="Arial"/>
          <w:sz w:val="21"/>
        </w:rPr>
      </w:pPr>
    </w:p>
    <w:p w14:paraId="73E75CCD">
      <w:pPr>
        <w:spacing w:before="74" w:line="393" w:lineRule="auto"/>
        <w:ind w:left="44" w:right="46" w:firstLine="442"/>
        <w:rPr>
          <w:rFonts w:ascii="宋体" w:hAnsi="宋体" w:eastAsia="宋体" w:cs="宋体"/>
          <w:sz w:val="23"/>
          <w:szCs w:val="23"/>
        </w:rPr>
      </w:pPr>
      <w:r>
        <w:rPr>
          <w:rFonts w:ascii="宋体" w:hAnsi="宋体" w:eastAsia="宋体" w:cs="宋体"/>
          <w:spacing w:val="1"/>
          <w:sz w:val="23"/>
          <w:szCs w:val="23"/>
        </w:rPr>
        <w:t>(</w:t>
      </w:r>
      <w:r>
        <w:rPr>
          <w:rFonts w:ascii="Times New Roman" w:hAnsi="Times New Roman" w:eastAsia="Times New Roman" w:cs="Times New Roman"/>
          <w:spacing w:val="1"/>
          <w:sz w:val="23"/>
          <w:szCs w:val="23"/>
        </w:rPr>
        <w:t>2</w:t>
      </w:r>
      <w:r>
        <w:rPr>
          <w:rFonts w:ascii="宋体" w:hAnsi="宋体" w:eastAsia="宋体" w:cs="宋体"/>
          <w:spacing w:val="1"/>
          <w:sz w:val="23"/>
          <w:szCs w:val="23"/>
        </w:rPr>
        <w:t>) 针对项目的建设特点及排污特征，贯彻污染源治理</w:t>
      </w:r>
      <w:r>
        <w:rPr>
          <w:rFonts w:ascii="Times New Roman" w:hAnsi="Times New Roman" w:eastAsia="Times New Roman" w:cs="Times New Roman"/>
          <w:spacing w:val="1"/>
          <w:sz w:val="23"/>
          <w:szCs w:val="23"/>
        </w:rPr>
        <w:t>“</w:t>
      </w:r>
      <w:r>
        <w:rPr>
          <w:rFonts w:ascii="宋体" w:hAnsi="宋体" w:eastAsia="宋体" w:cs="宋体"/>
          <w:spacing w:val="1"/>
          <w:sz w:val="23"/>
          <w:szCs w:val="23"/>
        </w:rPr>
        <w:t>达标排放</w:t>
      </w:r>
      <w:r>
        <w:rPr>
          <w:rFonts w:ascii="Times New Roman" w:hAnsi="Times New Roman" w:eastAsia="Times New Roman" w:cs="Times New Roman"/>
          <w:spacing w:val="1"/>
          <w:sz w:val="23"/>
          <w:szCs w:val="23"/>
        </w:rPr>
        <w:t>”</w:t>
      </w:r>
      <w:r>
        <w:rPr>
          <w:rFonts w:ascii="宋体" w:hAnsi="宋体" w:eastAsia="宋体" w:cs="宋体"/>
          <w:spacing w:val="1"/>
          <w:sz w:val="23"/>
          <w:szCs w:val="23"/>
        </w:rPr>
        <w:t>的原则，提</w:t>
      </w:r>
      <w:r>
        <w:rPr>
          <w:rFonts w:ascii="宋体" w:hAnsi="宋体" w:eastAsia="宋体" w:cs="宋体"/>
          <w:sz w:val="23"/>
          <w:szCs w:val="23"/>
        </w:rPr>
        <w:t xml:space="preserve"> </w:t>
      </w:r>
      <w:r>
        <w:rPr>
          <w:rFonts w:ascii="宋体" w:hAnsi="宋体" w:eastAsia="宋体" w:cs="宋体"/>
          <w:spacing w:val="-4"/>
          <w:sz w:val="23"/>
          <w:szCs w:val="23"/>
        </w:rPr>
        <w:t>出经济合理、技术可行的污染防治措施。</w:t>
      </w:r>
    </w:p>
    <w:p w14:paraId="40BDFA81">
      <w:pPr>
        <w:spacing w:before="147" w:line="393" w:lineRule="auto"/>
        <w:ind w:left="24" w:right="46" w:firstLine="461"/>
        <w:rPr>
          <w:rFonts w:ascii="宋体" w:hAnsi="宋体" w:eastAsia="宋体" w:cs="宋体"/>
          <w:sz w:val="23"/>
          <w:szCs w:val="23"/>
        </w:rPr>
      </w:pPr>
      <w:r>
        <w:rPr>
          <w:rFonts w:ascii="宋体" w:hAnsi="宋体" w:eastAsia="宋体" w:cs="宋体"/>
          <w:spacing w:val="1"/>
          <w:sz w:val="23"/>
          <w:szCs w:val="23"/>
        </w:rPr>
        <w:t>(</w:t>
      </w:r>
      <w:r>
        <w:rPr>
          <w:rFonts w:ascii="Times New Roman" w:hAnsi="Times New Roman" w:eastAsia="Times New Roman" w:cs="Times New Roman"/>
          <w:spacing w:val="1"/>
          <w:sz w:val="23"/>
          <w:szCs w:val="23"/>
        </w:rPr>
        <w:t>3</w:t>
      </w:r>
      <w:r>
        <w:rPr>
          <w:rFonts w:ascii="宋体" w:hAnsi="宋体" w:eastAsia="宋体" w:cs="宋体"/>
          <w:spacing w:val="1"/>
          <w:sz w:val="23"/>
          <w:szCs w:val="23"/>
        </w:rPr>
        <w:t>) 预测项目投产后</w:t>
      </w:r>
      <w:r>
        <w:rPr>
          <w:rFonts w:ascii="宋体" w:hAnsi="宋体" w:eastAsia="宋体" w:cs="宋体"/>
          <w:sz w:val="23"/>
          <w:szCs w:val="23"/>
        </w:rPr>
        <w:t xml:space="preserve">所排污染物对评价区环境质量和敏感目标产生影响的范围 </w:t>
      </w:r>
      <w:r>
        <w:rPr>
          <w:rFonts w:ascii="宋体" w:hAnsi="宋体" w:eastAsia="宋体" w:cs="宋体"/>
          <w:spacing w:val="-3"/>
          <w:sz w:val="23"/>
          <w:szCs w:val="23"/>
        </w:rPr>
        <w:t>和程度，从环保角度论证项目选址的可行性</w:t>
      </w:r>
      <w:r>
        <w:rPr>
          <w:rFonts w:ascii="宋体" w:hAnsi="宋体" w:eastAsia="宋体" w:cs="宋体"/>
          <w:spacing w:val="-1"/>
          <w:sz w:val="23"/>
          <w:szCs w:val="23"/>
        </w:rPr>
        <w:t>。</w:t>
      </w:r>
    </w:p>
    <w:p w14:paraId="1C0585DC">
      <w:pPr>
        <w:spacing w:before="148" w:line="228" w:lineRule="auto"/>
        <w:ind w:left="486"/>
        <w:rPr>
          <w:rFonts w:ascii="宋体" w:hAnsi="宋体" w:eastAsia="宋体" w:cs="宋体"/>
          <w:sz w:val="23"/>
          <w:szCs w:val="23"/>
        </w:rPr>
      </w:pPr>
      <w:r>
        <w:rPr>
          <w:rFonts w:ascii="宋体" w:hAnsi="宋体" w:eastAsia="宋体" w:cs="宋体"/>
          <w:spacing w:val="-2"/>
          <w:sz w:val="23"/>
          <w:szCs w:val="23"/>
        </w:rPr>
        <w:t>(</w:t>
      </w:r>
      <w:r>
        <w:rPr>
          <w:rFonts w:ascii="Times New Roman" w:hAnsi="Times New Roman" w:eastAsia="Times New Roman" w:cs="Times New Roman"/>
          <w:spacing w:val="-2"/>
          <w:sz w:val="23"/>
          <w:szCs w:val="23"/>
        </w:rPr>
        <w:t>4</w:t>
      </w:r>
      <w:r>
        <w:rPr>
          <w:rFonts w:ascii="宋体" w:hAnsi="宋体" w:eastAsia="宋体" w:cs="宋体"/>
          <w:spacing w:val="-2"/>
          <w:sz w:val="23"/>
          <w:szCs w:val="23"/>
        </w:rPr>
        <w:t>)对项目环境经济损益进行分析，提出相应</w:t>
      </w:r>
      <w:r>
        <w:rPr>
          <w:rFonts w:ascii="宋体" w:hAnsi="宋体" w:eastAsia="宋体" w:cs="宋体"/>
          <w:spacing w:val="-1"/>
          <w:sz w:val="23"/>
          <w:szCs w:val="23"/>
        </w:rPr>
        <w:t>的环境管理计划与环境监测计划。</w:t>
      </w:r>
    </w:p>
    <w:p w14:paraId="7FBAF870">
      <w:pPr>
        <w:spacing w:before="310" w:line="224" w:lineRule="auto"/>
        <w:ind w:left="21"/>
        <w:outlineLvl w:val="2"/>
        <w:rPr>
          <w:rFonts w:ascii="宋体" w:hAnsi="宋体" w:eastAsia="宋体" w:cs="宋体"/>
          <w:sz w:val="29"/>
          <w:szCs w:val="29"/>
        </w:rPr>
      </w:pPr>
      <w:r>
        <w:rPr>
          <w:rFonts w:ascii="Times New Roman" w:hAnsi="Times New Roman" w:eastAsia="Times New Roman" w:cs="Times New Roman"/>
          <w:b/>
          <w:bCs/>
          <w:spacing w:val="10"/>
          <w:sz w:val="29"/>
          <w:szCs w:val="29"/>
        </w:rPr>
        <w:t>2</w:t>
      </w:r>
      <w:r>
        <w:rPr>
          <w:rFonts w:ascii="Times New Roman" w:hAnsi="Times New Roman" w:eastAsia="Times New Roman" w:cs="Times New Roman"/>
          <w:b/>
          <w:bCs/>
          <w:spacing w:val="6"/>
          <w:sz w:val="29"/>
          <w:szCs w:val="29"/>
        </w:rPr>
        <w:t>.</w:t>
      </w:r>
      <w:r>
        <w:rPr>
          <w:rFonts w:ascii="Times New Roman" w:hAnsi="Times New Roman" w:eastAsia="Times New Roman" w:cs="Times New Roman"/>
          <w:b/>
          <w:bCs/>
          <w:spacing w:val="5"/>
          <w:sz w:val="29"/>
          <w:szCs w:val="29"/>
        </w:rPr>
        <w:t>3.2</w:t>
      </w:r>
      <w:r>
        <w:rPr>
          <w:rFonts w:ascii="Times New Roman" w:hAnsi="Times New Roman" w:eastAsia="Times New Roman" w:cs="Times New Roman"/>
          <w:spacing w:val="5"/>
          <w:sz w:val="29"/>
          <w:szCs w:val="29"/>
        </w:rPr>
        <w:t xml:space="preserve"> </w:t>
      </w:r>
      <w:r>
        <w:rPr>
          <w:rFonts w:ascii="宋体" w:hAnsi="宋体" w:eastAsia="宋体" w:cs="宋体"/>
          <w:spacing w:val="5"/>
          <w:sz w:val="29"/>
          <w:szCs w:val="29"/>
          <w14:textOutline w14:w="5448" w14:cap="sq" w14:cmpd="sng">
            <w14:solidFill>
              <w14:srgbClr w14:val="000000"/>
            </w14:solidFill>
            <w14:prstDash w14:val="solid"/>
            <w14:bevel/>
          </w14:textOutline>
        </w:rPr>
        <w:t>评价重点</w:t>
      </w:r>
    </w:p>
    <w:p w14:paraId="69DBCC2C">
      <w:pPr>
        <w:spacing w:line="270" w:lineRule="auto"/>
        <w:rPr>
          <w:rFonts w:ascii="Arial"/>
          <w:sz w:val="21"/>
        </w:rPr>
      </w:pPr>
    </w:p>
    <w:p w14:paraId="10BF3808">
      <w:pPr>
        <w:spacing w:before="75" w:line="390" w:lineRule="auto"/>
        <w:ind w:left="24" w:right="46" w:firstLine="450"/>
        <w:rPr>
          <w:rFonts w:ascii="宋体" w:hAnsi="宋体" w:eastAsia="宋体" w:cs="宋体"/>
          <w:sz w:val="23"/>
          <w:szCs w:val="23"/>
        </w:rPr>
      </w:pPr>
      <w:r>
        <w:rPr>
          <w:rFonts w:ascii="宋体" w:hAnsi="宋体" w:eastAsia="宋体" w:cs="宋体"/>
          <w:spacing w:val="1"/>
          <w:sz w:val="23"/>
          <w:szCs w:val="23"/>
        </w:rPr>
        <w:t>根据项目的排污特点及所在区域的环境特征，本评价</w:t>
      </w:r>
      <w:r>
        <w:rPr>
          <w:rFonts w:ascii="宋体" w:hAnsi="宋体" w:eastAsia="宋体" w:cs="宋体"/>
          <w:sz w:val="23"/>
          <w:szCs w:val="23"/>
        </w:rPr>
        <w:t xml:space="preserve">在工程分析的基础上，以 </w:t>
      </w:r>
      <w:r>
        <w:rPr>
          <w:rFonts w:ascii="宋体" w:hAnsi="宋体" w:eastAsia="宋体" w:cs="宋体"/>
          <w:spacing w:val="1"/>
          <w:sz w:val="23"/>
          <w:szCs w:val="23"/>
        </w:rPr>
        <w:t>大气环境影响评价、产业政策</w:t>
      </w:r>
      <w:r>
        <w:rPr>
          <w:rFonts w:ascii="宋体" w:hAnsi="宋体" w:eastAsia="宋体" w:cs="宋体"/>
          <w:sz w:val="23"/>
          <w:szCs w:val="23"/>
        </w:rPr>
        <w:t xml:space="preserve">分析和污染防治措施评价分析为重点，兼顾地下水环 </w:t>
      </w:r>
      <w:r>
        <w:rPr>
          <w:rFonts w:ascii="宋体" w:hAnsi="宋体" w:eastAsia="宋体" w:cs="宋体"/>
          <w:spacing w:val="-4"/>
          <w:sz w:val="23"/>
          <w:szCs w:val="23"/>
        </w:rPr>
        <w:t>境影响评价</w:t>
      </w:r>
      <w:r>
        <w:rPr>
          <w:rFonts w:ascii="宋体" w:hAnsi="宋体" w:eastAsia="宋体" w:cs="宋体"/>
          <w:spacing w:val="-3"/>
          <w:sz w:val="23"/>
          <w:szCs w:val="23"/>
        </w:rPr>
        <w:t>和</w:t>
      </w:r>
      <w:r>
        <w:rPr>
          <w:rFonts w:ascii="宋体" w:hAnsi="宋体" w:eastAsia="宋体" w:cs="宋体"/>
          <w:spacing w:val="-2"/>
          <w:sz w:val="23"/>
          <w:szCs w:val="23"/>
        </w:rPr>
        <w:t>声环境影响分析。</w:t>
      </w:r>
    </w:p>
    <w:p w14:paraId="43265AF0">
      <w:pPr>
        <w:spacing w:before="84" w:line="225" w:lineRule="auto"/>
        <w:ind w:left="21"/>
        <w:outlineLvl w:val="1"/>
        <w:rPr>
          <w:rFonts w:ascii="宋体" w:hAnsi="宋体" w:eastAsia="宋体" w:cs="宋体"/>
          <w:sz w:val="31"/>
          <w:szCs w:val="31"/>
        </w:rPr>
      </w:pPr>
      <w:bookmarkStart w:id="10" w:name="_bookmark11"/>
      <w:bookmarkEnd w:id="10"/>
      <w:r>
        <w:rPr>
          <w:rFonts w:ascii="Times New Roman" w:hAnsi="Times New Roman" w:eastAsia="Times New Roman" w:cs="Times New Roman"/>
          <w:b/>
          <w:bCs/>
          <w:spacing w:val="-2"/>
          <w:sz w:val="31"/>
          <w:szCs w:val="31"/>
        </w:rPr>
        <w:t>2.4</w:t>
      </w:r>
      <w:r>
        <w:rPr>
          <w:rFonts w:ascii="Times New Roman" w:hAnsi="Times New Roman" w:eastAsia="Times New Roman" w:cs="Times New Roman"/>
          <w:spacing w:val="-2"/>
          <w:sz w:val="31"/>
          <w:szCs w:val="31"/>
        </w:rPr>
        <w:t xml:space="preserve">  </w:t>
      </w:r>
      <w:r>
        <w:rPr>
          <w:rFonts w:ascii="宋体" w:hAnsi="宋体" w:eastAsia="宋体" w:cs="宋体"/>
          <w:spacing w:val="-2"/>
          <w:sz w:val="31"/>
          <w:szCs w:val="31"/>
          <w14:textOutline w14:w="5793" w14:cap="sq" w14:cmpd="sng">
            <w14:solidFill>
              <w14:srgbClr w14:val="000000"/>
            </w14:solidFill>
            <w14:prstDash w14:val="solid"/>
            <w14:bevel/>
          </w14:textOutline>
        </w:rPr>
        <w:t>环境</w:t>
      </w:r>
      <w:r>
        <w:rPr>
          <w:rFonts w:ascii="宋体" w:hAnsi="宋体" w:eastAsia="宋体" w:cs="宋体"/>
          <w:spacing w:val="-1"/>
          <w:sz w:val="31"/>
          <w:szCs w:val="31"/>
          <w14:textOutline w14:w="5793" w14:cap="sq" w14:cmpd="sng">
            <w14:solidFill>
              <w14:srgbClr w14:val="000000"/>
            </w14:solidFill>
            <w14:prstDash w14:val="solid"/>
            <w14:bevel/>
          </w14:textOutline>
        </w:rPr>
        <w:t>功能区划</w:t>
      </w:r>
    </w:p>
    <w:p w14:paraId="54674721">
      <w:pPr>
        <w:spacing w:before="282" w:line="219" w:lineRule="auto"/>
        <w:ind w:left="21"/>
        <w:outlineLvl w:val="2"/>
        <w:rPr>
          <w:rFonts w:ascii="Times New Roman" w:hAnsi="Times New Roman" w:eastAsia="Times New Roman" w:cs="Times New Roman"/>
          <w:sz w:val="29"/>
          <w:szCs w:val="29"/>
        </w:rPr>
      </w:pPr>
      <w:r>
        <w:rPr>
          <w:rFonts w:ascii="Times New Roman" w:hAnsi="Times New Roman" w:eastAsia="Times New Roman" w:cs="Times New Roman"/>
          <w:b/>
          <w:bCs/>
          <w:spacing w:val="-2"/>
          <w:sz w:val="29"/>
          <w:szCs w:val="29"/>
        </w:rPr>
        <w:t>2.4.1</w:t>
      </w:r>
      <w:r>
        <w:rPr>
          <w:rFonts w:ascii="Times New Roman" w:hAnsi="Times New Roman" w:eastAsia="Times New Roman" w:cs="Times New Roman"/>
          <w:spacing w:val="-2"/>
          <w:sz w:val="29"/>
          <w:szCs w:val="29"/>
        </w:rPr>
        <w:t xml:space="preserve">  </w:t>
      </w:r>
      <w:r>
        <w:rPr>
          <w:rFonts w:ascii="宋体" w:hAnsi="宋体" w:eastAsia="宋体" w:cs="宋体"/>
          <w:spacing w:val="-2"/>
          <w:sz w:val="29"/>
          <w:szCs w:val="29"/>
          <w14:textOutline w14:w="5448" w14:cap="sq" w14:cmpd="sng">
            <w14:solidFill>
              <w14:srgbClr w14:val="000000"/>
            </w14:solidFill>
            <w14:prstDash w14:val="solid"/>
            <w14:bevel/>
          </w14:textOutline>
        </w:rPr>
        <w:t>大气环</w:t>
      </w:r>
      <w:r>
        <w:rPr>
          <w:rFonts w:ascii="宋体" w:hAnsi="宋体" w:eastAsia="宋体" w:cs="宋体"/>
          <w:spacing w:val="-1"/>
          <w:sz w:val="29"/>
          <w:szCs w:val="29"/>
          <w14:textOutline w14:w="5448" w14:cap="sq" w14:cmpd="sng">
            <w14:solidFill>
              <w14:srgbClr w14:val="000000"/>
            </w14:solidFill>
            <w14:prstDash w14:val="solid"/>
            <w14:bevel/>
          </w14:textOutline>
        </w:rPr>
        <w:t>境功能区划</w:t>
      </w:r>
      <w:r>
        <w:rPr>
          <w:rFonts w:ascii="Times New Roman" w:hAnsi="Times New Roman" w:eastAsia="Times New Roman" w:cs="Times New Roman"/>
          <w:b/>
          <w:bCs/>
          <w:spacing w:val="-1"/>
          <w:sz w:val="29"/>
          <w:szCs w:val="29"/>
        </w:rPr>
        <w:t>,</w:t>
      </w:r>
    </w:p>
    <w:p w14:paraId="27D4A2AD">
      <w:pPr>
        <w:spacing w:line="281" w:lineRule="auto"/>
        <w:rPr>
          <w:rFonts w:ascii="Arial"/>
          <w:sz w:val="21"/>
        </w:rPr>
      </w:pPr>
    </w:p>
    <w:p w14:paraId="3C648B26">
      <w:pPr>
        <w:spacing w:before="76" w:line="389" w:lineRule="auto"/>
        <w:ind w:left="11" w:right="46" w:firstLine="467"/>
        <w:rPr>
          <w:rFonts w:ascii="宋体" w:hAnsi="宋体" w:eastAsia="宋体" w:cs="宋体"/>
          <w:sz w:val="23"/>
          <w:szCs w:val="23"/>
        </w:rPr>
      </w:pPr>
      <w:r>
        <w:rPr>
          <w:rFonts w:ascii="宋体" w:hAnsi="宋体" w:eastAsia="宋体" w:cs="宋体"/>
          <w:spacing w:val="22"/>
          <w:sz w:val="23"/>
          <w:szCs w:val="23"/>
        </w:rPr>
        <w:t>该项 目位于辽宁省本溪市溪湖区火连寨镇火连寨村 ，地理位置坐标为</w:t>
      </w:r>
      <w:r>
        <w:rPr>
          <w:rFonts w:ascii="宋体" w:hAnsi="宋体" w:eastAsia="宋体" w:cs="宋体"/>
          <w:sz w:val="23"/>
          <w:szCs w:val="23"/>
        </w:rPr>
        <w:t xml:space="preserve"> </w:t>
      </w:r>
      <w:r>
        <w:rPr>
          <w:rFonts w:ascii="Times New Roman" w:hAnsi="Times New Roman" w:eastAsia="Times New Roman" w:cs="Times New Roman"/>
          <w:spacing w:val="-3"/>
          <w:sz w:val="23"/>
          <w:szCs w:val="23"/>
        </w:rPr>
        <w:t>N</w:t>
      </w:r>
      <w:r>
        <w:rPr>
          <w:rFonts w:ascii="Times New Roman" w:hAnsi="Times New Roman" w:eastAsia="Times New Roman" w:cs="Times New Roman"/>
          <w:spacing w:val="-6"/>
          <w:sz w:val="23"/>
          <w:szCs w:val="23"/>
        </w:rPr>
        <w:t>4</w:t>
      </w:r>
      <w:r>
        <w:rPr>
          <w:rFonts w:ascii="Times New Roman" w:hAnsi="Times New Roman" w:eastAsia="Times New Roman" w:cs="Times New Roman"/>
          <w:spacing w:val="-5"/>
          <w:sz w:val="23"/>
          <w:szCs w:val="23"/>
        </w:rPr>
        <w:t>1</w:t>
      </w:r>
      <w:r>
        <w:rPr>
          <w:rFonts w:ascii="Times New Roman" w:hAnsi="Times New Roman" w:eastAsia="Times New Roman" w:cs="Times New Roman"/>
          <w:spacing w:val="-3"/>
          <w:sz w:val="23"/>
          <w:szCs w:val="23"/>
        </w:rPr>
        <w:t xml:space="preserve">°21′55.05927″E123°42′32.05640″ </w:t>
      </w:r>
      <w:r>
        <w:rPr>
          <w:rFonts w:ascii="宋体" w:hAnsi="宋体" w:eastAsia="宋体" w:cs="宋体"/>
          <w:spacing w:val="-3"/>
          <w:sz w:val="23"/>
          <w:szCs w:val="23"/>
        </w:rPr>
        <w:t>，根据《环境空气质量标准》  (</w:t>
      </w:r>
      <w:r>
        <w:rPr>
          <w:rFonts w:ascii="Times New Roman" w:hAnsi="Times New Roman" w:eastAsia="Times New Roman" w:cs="Times New Roman"/>
          <w:spacing w:val="-3"/>
          <w:sz w:val="23"/>
          <w:szCs w:val="23"/>
        </w:rPr>
        <w:t>GB3095-2012</w:t>
      </w:r>
      <w:r>
        <w:rPr>
          <w:rFonts w:ascii="宋体" w:hAnsi="宋体" w:eastAsia="宋体" w:cs="宋体"/>
          <w:spacing w:val="-3"/>
          <w:sz w:val="23"/>
          <w:szCs w:val="23"/>
        </w:rPr>
        <w:t>)</w:t>
      </w:r>
      <w:r>
        <w:rPr>
          <w:rFonts w:ascii="宋体" w:hAnsi="宋体" w:eastAsia="宋体" w:cs="宋体"/>
          <w:sz w:val="23"/>
          <w:szCs w:val="23"/>
        </w:rPr>
        <w:t xml:space="preserve"> </w:t>
      </w:r>
      <w:r>
        <w:rPr>
          <w:rFonts w:ascii="宋体" w:hAnsi="宋体" w:eastAsia="宋体" w:cs="宋体"/>
          <w:spacing w:val="-10"/>
          <w:sz w:val="23"/>
          <w:szCs w:val="23"/>
        </w:rPr>
        <w:t>中环境</w:t>
      </w:r>
      <w:r>
        <w:rPr>
          <w:rFonts w:ascii="宋体" w:hAnsi="宋体" w:eastAsia="宋体" w:cs="宋体"/>
          <w:spacing w:val="-9"/>
          <w:sz w:val="23"/>
          <w:szCs w:val="23"/>
        </w:rPr>
        <w:t>空</w:t>
      </w:r>
      <w:r>
        <w:rPr>
          <w:rFonts w:ascii="宋体" w:hAnsi="宋体" w:eastAsia="宋体" w:cs="宋体"/>
          <w:spacing w:val="-5"/>
          <w:sz w:val="23"/>
          <w:szCs w:val="23"/>
        </w:rPr>
        <w:t>气质量功能区分类，该项目评价区域为环境空气质量二类功能区，执行《环</w:t>
      </w:r>
      <w:r>
        <w:rPr>
          <w:rFonts w:ascii="宋体" w:hAnsi="宋体" w:eastAsia="宋体" w:cs="宋体"/>
          <w:sz w:val="23"/>
          <w:szCs w:val="23"/>
        </w:rPr>
        <w:t xml:space="preserve"> </w:t>
      </w:r>
      <w:r>
        <w:rPr>
          <w:rFonts w:ascii="宋体" w:hAnsi="宋体" w:eastAsia="宋体" w:cs="宋体"/>
          <w:spacing w:val="-10"/>
          <w:sz w:val="23"/>
          <w:szCs w:val="23"/>
        </w:rPr>
        <w:t>境空</w:t>
      </w:r>
      <w:r>
        <w:rPr>
          <w:rFonts w:ascii="宋体" w:hAnsi="宋体" w:eastAsia="宋体" w:cs="宋体"/>
          <w:spacing w:val="-7"/>
          <w:sz w:val="23"/>
          <w:szCs w:val="23"/>
        </w:rPr>
        <w:t>气</w:t>
      </w:r>
      <w:r>
        <w:rPr>
          <w:rFonts w:ascii="宋体" w:hAnsi="宋体" w:eastAsia="宋体" w:cs="宋体"/>
          <w:spacing w:val="-5"/>
          <w:sz w:val="23"/>
          <w:szCs w:val="23"/>
        </w:rPr>
        <w:t>质量标准》  (</w:t>
      </w:r>
      <w:r>
        <w:rPr>
          <w:rFonts w:ascii="Times New Roman" w:hAnsi="Times New Roman" w:eastAsia="Times New Roman" w:cs="Times New Roman"/>
          <w:spacing w:val="-5"/>
          <w:sz w:val="23"/>
          <w:szCs w:val="23"/>
        </w:rPr>
        <w:t>GB3095-2012</w:t>
      </w:r>
      <w:r>
        <w:rPr>
          <w:rFonts w:ascii="宋体" w:hAnsi="宋体" w:eastAsia="宋体" w:cs="宋体"/>
          <w:spacing w:val="-5"/>
          <w:sz w:val="23"/>
          <w:szCs w:val="23"/>
        </w:rPr>
        <w:t>) 中的二级标准。</w:t>
      </w:r>
    </w:p>
    <w:p w14:paraId="090078C0">
      <w:pPr>
        <w:sectPr>
          <w:headerReference r:id="rId52" w:type="default"/>
          <w:footerReference r:id="rId53" w:type="default"/>
          <w:pgSz w:w="11906" w:h="16839"/>
          <w:pgMar w:top="1132" w:right="1755" w:bottom="1156" w:left="1785" w:header="878" w:footer="996" w:gutter="0"/>
          <w:cols w:space="720" w:num="1"/>
        </w:sectPr>
      </w:pPr>
    </w:p>
    <w:p w14:paraId="7EFC5430">
      <w:pPr>
        <w:spacing w:line="337" w:lineRule="auto"/>
        <w:rPr>
          <w:rFonts w:ascii="Arial"/>
          <w:sz w:val="21"/>
        </w:rPr>
      </w:pPr>
      <w:r>
        <w:pict>
          <v:shape id="_x0000_s1086" o:spid="_x0000_s1086" style="position:absolute;left:0pt;margin-left:90pt;margin-top:57.35pt;height:0.75pt;width:415.3pt;mso-position-horizontal-relative:page;mso-position-vertical-relative:page;z-index:251723776;mso-width-relative:page;mso-height-relative:page;" fillcolor="#000000" filled="t" stroked="f" coordsize="8305,15" o:allowincell="f" path="m0,0l8305,0,8305,14,0,14,0,0xe">
            <v:path/>
            <v:fill on="t" focussize="0,0"/>
            <v:stroke on="f"/>
            <v:imagedata o:title=""/>
            <o:lock v:ext="edit"/>
          </v:shape>
        </w:pict>
      </w:r>
    </w:p>
    <w:p w14:paraId="3D3A5159">
      <w:pPr>
        <w:spacing w:before="94" w:line="226" w:lineRule="auto"/>
        <w:ind w:left="30"/>
        <w:outlineLvl w:val="2"/>
        <w:rPr>
          <w:rFonts w:ascii="宋体" w:hAnsi="宋体" w:eastAsia="宋体" w:cs="宋体"/>
          <w:sz w:val="29"/>
          <w:szCs w:val="29"/>
        </w:rPr>
      </w:pPr>
      <w:r>
        <w:rPr>
          <w:rFonts w:ascii="Times New Roman" w:hAnsi="Times New Roman" w:eastAsia="Times New Roman" w:cs="Times New Roman"/>
          <w:b/>
          <w:bCs/>
          <w:spacing w:val="4"/>
          <w:sz w:val="29"/>
          <w:szCs w:val="29"/>
        </w:rPr>
        <w:t>2</w:t>
      </w:r>
      <w:r>
        <w:rPr>
          <w:rFonts w:ascii="Times New Roman" w:hAnsi="Times New Roman" w:eastAsia="Times New Roman" w:cs="Times New Roman"/>
          <w:b/>
          <w:bCs/>
          <w:spacing w:val="3"/>
          <w:sz w:val="29"/>
          <w:szCs w:val="29"/>
        </w:rPr>
        <w:t>.4.2</w:t>
      </w:r>
      <w:r>
        <w:rPr>
          <w:rFonts w:ascii="Times New Roman" w:hAnsi="Times New Roman" w:eastAsia="Times New Roman" w:cs="Times New Roman"/>
          <w:spacing w:val="3"/>
          <w:sz w:val="29"/>
          <w:szCs w:val="29"/>
        </w:rPr>
        <w:t xml:space="preserve"> </w:t>
      </w:r>
      <w:r>
        <w:rPr>
          <w:rFonts w:ascii="宋体" w:hAnsi="宋体" w:eastAsia="宋体" w:cs="宋体"/>
          <w:spacing w:val="3"/>
          <w:sz w:val="29"/>
          <w:szCs w:val="29"/>
          <w14:textOutline w14:w="5448" w14:cap="sq" w14:cmpd="sng">
            <w14:solidFill>
              <w14:srgbClr w14:val="000000"/>
            </w14:solidFill>
            <w14:prstDash w14:val="solid"/>
            <w14:bevel/>
          </w14:textOutline>
        </w:rPr>
        <w:t>地下水环境功能区划</w:t>
      </w:r>
    </w:p>
    <w:p w14:paraId="00DCE414">
      <w:pPr>
        <w:spacing w:line="269" w:lineRule="auto"/>
        <w:rPr>
          <w:rFonts w:ascii="Arial"/>
          <w:sz w:val="21"/>
        </w:rPr>
      </w:pPr>
    </w:p>
    <w:p w14:paraId="6005AA20">
      <w:pPr>
        <w:spacing w:before="74" w:line="378" w:lineRule="auto"/>
        <w:ind w:left="36" w:right="195" w:firstLine="451"/>
        <w:rPr>
          <w:rFonts w:ascii="宋体" w:hAnsi="宋体" w:eastAsia="宋体" w:cs="宋体"/>
          <w:sz w:val="23"/>
          <w:szCs w:val="23"/>
        </w:rPr>
      </w:pPr>
      <w:r>
        <w:rPr>
          <w:rFonts w:ascii="宋体" w:hAnsi="宋体" w:eastAsia="宋体" w:cs="宋体"/>
          <w:spacing w:val="1"/>
          <w:sz w:val="23"/>
          <w:szCs w:val="23"/>
        </w:rPr>
        <w:t>该项目评价区域地下水主要适用于集中式生</w:t>
      </w:r>
      <w:r>
        <w:rPr>
          <w:rFonts w:ascii="宋体" w:hAnsi="宋体" w:eastAsia="宋体" w:cs="宋体"/>
          <w:sz w:val="23"/>
          <w:szCs w:val="23"/>
        </w:rPr>
        <w:t xml:space="preserve">活饮用水水源及工、农业水，根据 </w:t>
      </w:r>
      <w:r>
        <w:rPr>
          <w:rFonts w:ascii="宋体" w:hAnsi="宋体" w:eastAsia="宋体" w:cs="宋体"/>
          <w:spacing w:val="-6"/>
          <w:sz w:val="23"/>
          <w:szCs w:val="23"/>
        </w:rPr>
        <w:t>《地下水质量标准》  (</w:t>
      </w:r>
      <w:r>
        <w:rPr>
          <w:rFonts w:ascii="Times New Roman" w:hAnsi="Times New Roman" w:eastAsia="Times New Roman" w:cs="Times New Roman"/>
          <w:spacing w:val="-3"/>
          <w:sz w:val="23"/>
          <w:szCs w:val="23"/>
        </w:rPr>
        <w:t>GB</w:t>
      </w:r>
      <w:r>
        <w:rPr>
          <w:rFonts w:ascii="Times New Roman" w:hAnsi="Times New Roman" w:eastAsia="Times New Roman" w:cs="Times New Roman"/>
          <w:spacing w:val="-4"/>
          <w:sz w:val="23"/>
          <w:szCs w:val="23"/>
        </w:rPr>
        <w:t>/</w:t>
      </w:r>
      <w:r>
        <w:rPr>
          <w:rFonts w:ascii="Times New Roman" w:hAnsi="Times New Roman" w:eastAsia="Times New Roman" w:cs="Times New Roman"/>
          <w:spacing w:val="-3"/>
          <w:sz w:val="23"/>
          <w:szCs w:val="23"/>
        </w:rPr>
        <w:t>T 14848-2017</w:t>
      </w:r>
      <w:r>
        <w:rPr>
          <w:rFonts w:ascii="宋体" w:hAnsi="宋体" w:eastAsia="宋体" w:cs="宋体"/>
          <w:spacing w:val="-3"/>
          <w:sz w:val="23"/>
          <w:szCs w:val="23"/>
        </w:rPr>
        <w:t>) 分类，确定该项目评价区域地下水为</w:t>
      </w:r>
      <w:r>
        <w:rPr>
          <w:rFonts w:ascii="Times New Roman" w:hAnsi="Times New Roman" w:eastAsia="Times New Roman" w:cs="Times New Roman"/>
          <w:spacing w:val="-3"/>
          <w:sz w:val="23"/>
          <w:szCs w:val="23"/>
        </w:rPr>
        <w:t>Ⅲ</w:t>
      </w:r>
      <w:r>
        <w:rPr>
          <w:rFonts w:ascii="宋体" w:hAnsi="宋体" w:eastAsia="宋体" w:cs="宋体"/>
          <w:spacing w:val="-3"/>
          <w:sz w:val="23"/>
          <w:szCs w:val="23"/>
        </w:rPr>
        <w:t>类</w:t>
      </w:r>
      <w:r>
        <w:rPr>
          <w:rFonts w:ascii="宋体" w:hAnsi="宋体" w:eastAsia="宋体" w:cs="宋体"/>
          <w:sz w:val="23"/>
          <w:szCs w:val="23"/>
        </w:rPr>
        <w:t xml:space="preserve"> </w:t>
      </w:r>
      <w:r>
        <w:rPr>
          <w:rFonts w:ascii="宋体" w:hAnsi="宋体" w:eastAsia="宋体" w:cs="宋体"/>
          <w:spacing w:val="-4"/>
          <w:sz w:val="23"/>
          <w:szCs w:val="23"/>
        </w:rPr>
        <w:t>功能区，执行《地</w:t>
      </w:r>
      <w:r>
        <w:rPr>
          <w:rFonts w:ascii="宋体" w:hAnsi="宋体" w:eastAsia="宋体" w:cs="宋体"/>
          <w:spacing w:val="-3"/>
          <w:sz w:val="23"/>
          <w:szCs w:val="23"/>
        </w:rPr>
        <w:t>下</w:t>
      </w:r>
      <w:r>
        <w:rPr>
          <w:rFonts w:ascii="宋体" w:hAnsi="宋体" w:eastAsia="宋体" w:cs="宋体"/>
          <w:spacing w:val="-2"/>
          <w:sz w:val="23"/>
          <w:szCs w:val="23"/>
        </w:rPr>
        <w:t>水质量标准》</w:t>
      </w:r>
      <w:r>
        <w:rPr>
          <w:rFonts w:ascii="Times New Roman" w:hAnsi="Times New Roman" w:eastAsia="Times New Roman" w:cs="Times New Roman"/>
          <w:spacing w:val="-2"/>
          <w:sz w:val="23"/>
          <w:szCs w:val="23"/>
        </w:rPr>
        <w:t xml:space="preserve">(GB/T14848-2017)III </w:t>
      </w:r>
      <w:r>
        <w:rPr>
          <w:rFonts w:ascii="宋体" w:hAnsi="宋体" w:eastAsia="宋体" w:cs="宋体"/>
          <w:spacing w:val="-2"/>
          <w:sz w:val="23"/>
          <w:szCs w:val="23"/>
        </w:rPr>
        <w:t>类。</w:t>
      </w:r>
    </w:p>
    <w:p w14:paraId="5C050175">
      <w:pPr>
        <w:spacing w:before="141" w:line="226" w:lineRule="auto"/>
        <w:ind w:left="30"/>
        <w:outlineLvl w:val="2"/>
        <w:rPr>
          <w:rFonts w:ascii="宋体" w:hAnsi="宋体" w:eastAsia="宋体" w:cs="宋体"/>
          <w:sz w:val="29"/>
          <w:szCs w:val="29"/>
        </w:rPr>
      </w:pPr>
      <w:r>
        <w:rPr>
          <w:rFonts w:ascii="Times New Roman" w:hAnsi="Times New Roman" w:eastAsia="Times New Roman" w:cs="Times New Roman"/>
          <w:b/>
          <w:bCs/>
          <w:spacing w:val="-2"/>
          <w:sz w:val="29"/>
          <w:szCs w:val="29"/>
        </w:rPr>
        <w:t>2.4.3</w:t>
      </w:r>
      <w:r>
        <w:rPr>
          <w:rFonts w:ascii="Times New Roman" w:hAnsi="Times New Roman" w:eastAsia="Times New Roman" w:cs="Times New Roman"/>
          <w:spacing w:val="-2"/>
          <w:sz w:val="29"/>
          <w:szCs w:val="29"/>
        </w:rPr>
        <w:t xml:space="preserve">  </w:t>
      </w:r>
      <w:r>
        <w:rPr>
          <w:rFonts w:ascii="宋体" w:hAnsi="宋体" w:eastAsia="宋体" w:cs="宋体"/>
          <w:spacing w:val="-2"/>
          <w:sz w:val="29"/>
          <w:szCs w:val="29"/>
          <w14:textOutline w14:w="5448" w14:cap="sq" w14:cmpd="sng">
            <w14:solidFill>
              <w14:srgbClr w14:val="000000"/>
            </w14:solidFill>
            <w14:prstDash w14:val="solid"/>
            <w14:bevel/>
          </w14:textOutline>
        </w:rPr>
        <w:t>声</w:t>
      </w:r>
      <w:r>
        <w:rPr>
          <w:rFonts w:ascii="宋体" w:hAnsi="宋体" w:eastAsia="宋体" w:cs="宋体"/>
          <w:spacing w:val="-1"/>
          <w:sz w:val="29"/>
          <w:szCs w:val="29"/>
          <w14:textOutline w14:w="5448" w14:cap="sq" w14:cmpd="sng">
            <w14:solidFill>
              <w14:srgbClr w14:val="000000"/>
            </w14:solidFill>
            <w14:prstDash w14:val="solid"/>
            <w14:bevel/>
          </w14:textOutline>
        </w:rPr>
        <w:t>环境功能区划</w:t>
      </w:r>
    </w:p>
    <w:p w14:paraId="00196A7D">
      <w:pPr>
        <w:spacing w:line="270" w:lineRule="auto"/>
        <w:rPr>
          <w:rFonts w:ascii="Arial"/>
          <w:sz w:val="21"/>
        </w:rPr>
      </w:pPr>
    </w:p>
    <w:p w14:paraId="0C19F8B9">
      <w:pPr>
        <w:spacing w:before="74" w:line="385" w:lineRule="auto"/>
        <w:ind w:left="20" w:right="190" w:firstLine="467"/>
        <w:rPr>
          <w:rFonts w:ascii="宋体" w:hAnsi="宋体" w:eastAsia="宋体" w:cs="宋体"/>
          <w:sz w:val="23"/>
          <w:szCs w:val="23"/>
        </w:rPr>
      </w:pPr>
      <w:r>
        <w:rPr>
          <w:rFonts w:ascii="宋体" w:hAnsi="宋体" w:eastAsia="宋体" w:cs="宋体"/>
          <w:spacing w:val="22"/>
          <w:sz w:val="23"/>
          <w:szCs w:val="23"/>
        </w:rPr>
        <w:t>该项 目位于辽宁省本溪市溪湖区火连寨镇火连寨村 ，地理位置坐标为</w:t>
      </w:r>
      <w:r>
        <w:rPr>
          <w:rFonts w:ascii="宋体" w:hAnsi="宋体" w:eastAsia="宋体" w:cs="宋体"/>
          <w:sz w:val="23"/>
          <w:szCs w:val="23"/>
        </w:rPr>
        <w:t xml:space="preserve"> </w:t>
      </w:r>
      <w:r>
        <w:rPr>
          <w:rFonts w:ascii="Times New Roman" w:hAnsi="Times New Roman" w:eastAsia="Times New Roman" w:cs="Times New Roman"/>
          <w:spacing w:val="-2"/>
          <w:sz w:val="23"/>
          <w:szCs w:val="23"/>
        </w:rPr>
        <w:t>N</w:t>
      </w:r>
      <w:r>
        <w:rPr>
          <w:rFonts w:ascii="Times New Roman" w:hAnsi="Times New Roman" w:eastAsia="Times New Roman" w:cs="Times New Roman"/>
          <w:spacing w:val="-4"/>
          <w:sz w:val="23"/>
          <w:szCs w:val="23"/>
        </w:rPr>
        <w:t>41°21′55.05927″</w:t>
      </w:r>
      <w:r>
        <w:rPr>
          <w:rFonts w:ascii="Times New Roman" w:hAnsi="Times New Roman" w:eastAsia="Times New Roman" w:cs="Times New Roman"/>
          <w:spacing w:val="-2"/>
          <w:sz w:val="23"/>
          <w:szCs w:val="23"/>
        </w:rPr>
        <w:t>E</w:t>
      </w:r>
      <w:r>
        <w:rPr>
          <w:rFonts w:ascii="Times New Roman" w:hAnsi="Times New Roman" w:eastAsia="Times New Roman" w:cs="Times New Roman"/>
          <w:spacing w:val="-4"/>
          <w:sz w:val="23"/>
          <w:szCs w:val="23"/>
        </w:rPr>
        <w:t>123°42′</w:t>
      </w:r>
      <w:r>
        <w:rPr>
          <w:rFonts w:ascii="Times New Roman" w:hAnsi="Times New Roman" w:eastAsia="Times New Roman" w:cs="Times New Roman"/>
          <w:spacing w:val="-2"/>
          <w:sz w:val="23"/>
          <w:szCs w:val="23"/>
        </w:rPr>
        <w:t xml:space="preserve">32.05640″ </w:t>
      </w:r>
      <w:r>
        <w:rPr>
          <w:rFonts w:ascii="宋体" w:hAnsi="宋体" w:eastAsia="宋体" w:cs="宋体"/>
          <w:spacing w:val="-2"/>
          <w:sz w:val="23"/>
          <w:szCs w:val="23"/>
        </w:rPr>
        <w:t>，根据《声环境质量标准》  (</w:t>
      </w:r>
      <w:r>
        <w:rPr>
          <w:rFonts w:ascii="Times New Roman" w:hAnsi="Times New Roman" w:eastAsia="Times New Roman" w:cs="Times New Roman"/>
          <w:spacing w:val="-2"/>
          <w:sz w:val="23"/>
          <w:szCs w:val="23"/>
        </w:rPr>
        <w:t>GB3096-2008</w:t>
      </w:r>
      <w:r>
        <w:rPr>
          <w:rFonts w:ascii="宋体" w:hAnsi="宋体" w:eastAsia="宋体" w:cs="宋体"/>
          <w:spacing w:val="-2"/>
          <w:sz w:val="23"/>
          <w:szCs w:val="23"/>
        </w:rPr>
        <w:t>) 及</w:t>
      </w:r>
      <w:r>
        <w:rPr>
          <w:rFonts w:ascii="宋体" w:hAnsi="宋体" w:eastAsia="宋体" w:cs="宋体"/>
          <w:sz w:val="23"/>
          <w:szCs w:val="23"/>
        </w:rPr>
        <w:t xml:space="preserve"> </w:t>
      </w:r>
      <w:r>
        <w:rPr>
          <w:rFonts w:ascii="宋体" w:hAnsi="宋体" w:eastAsia="宋体" w:cs="宋体"/>
          <w:spacing w:val="-4"/>
          <w:sz w:val="23"/>
          <w:szCs w:val="23"/>
        </w:rPr>
        <w:t>《声环境功能区划分技</w:t>
      </w:r>
      <w:r>
        <w:rPr>
          <w:rFonts w:ascii="宋体" w:hAnsi="宋体" w:eastAsia="宋体" w:cs="宋体"/>
          <w:spacing w:val="-2"/>
          <w:sz w:val="23"/>
          <w:szCs w:val="23"/>
        </w:rPr>
        <w:t>术规范》  (</w:t>
      </w:r>
      <w:r>
        <w:rPr>
          <w:rFonts w:ascii="Times New Roman" w:hAnsi="Times New Roman" w:eastAsia="Times New Roman" w:cs="Times New Roman"/>
          <w:spacing w:val="-2"/>
          <w:sz w:val="23"/>
          <w:szCs w:val="23"/>
        </w:rPr>
        <w:t>GB/T15190-2014</w:t>
      </w:r>
      <w:r>
        <w:rPr>
          <w:rFonts w:ascii="宋体" w:hAnsi="宋体" w:eastAsia="宋体" w:cs="宋体"/>
          <w:spacing w:val="-2"/>
          <w:sz w:val="23"/>
          <w:szCs w:val="23"/>
        </w:rPr>
        <w:t>) 中声环境功能区分类，该项目</w:t>
      </w:r>
      <w:r>
        <w:rPr>
          <w:rFonts w:ascii="宋体" w:hAnsi="宋体" w:eastAsia="宋体" w:cs="宋体"/>
          <w:sz w:val="23"/>
          <w:szCs w:val="23"/>
        </w:rPr>
        <w:t xml:space="preserve"> </w:t>
      </w:r>
      <w:r>
        <w:rPr>
          <w:rFonts w:ascii="宋体" w:hAnsi="宋体" w:eastAsia="宋体" w:cs="宋体"/>
          <w:spacing w:val="-10"/>
          <w:sz w:val="23"/>
          <w:szCs w:val="23"/>
        </w:rPr>
        <w:t>评价区</w:t>
      </w:r>
      <w:r>
        <w:rPr>
          <w:rFonts w:ascii="宋体" w:hAnsi="宋体" w:eastAsia="宋体" w:cs="宋体"/>
          <w:spacing w:val="-7"/>
          <w:sz w:val="23"/>
          <w:szCs w:val="23"/>
        </w:rPr>
        <w:t>域</w:t>
      </w:r>
      <w:r>
        <w:rPr>
          <w:rFonts w:ascii="宋体" w:hAnsi="宋体" w:eastAsia="宋体" w:cs="宋体"/>
          <w:spacing w:val="-5"/>
          <w:sz w:val="23"/>
          <w:szCs w:val="23"/>
        </w:rPr>
        <w:t xml:space="preserve">属于 </w:t>
      </w:r>
      <w:r>
        <w:rPr>
          <w:rFonts w:ascii="Times New Roman" w:hAnsi="Times New Roman" w:eastAsia="Times New Roman" w:cs="Times New Roman"/>
          <w:spacing w:val="-5"/>
          <w:sz w:val="23"/>
          <w:szCs w:val="23"/>
        </w:rPr>
        <w:t xml:space="preserve">3 </w:t>
      </w:r>
      <w:r>
        <w:rPr>
          <w:rFonts w:ascii="宋体" w:hAnsi="宋体" w:eastAsia="宋体" w:cs="宋体"/>
          <w:spacing w:val="-5"/>
          <w:sz w:val="23"/>
          <w:szCs w:val="23"/>
        </w:rPr>
        <w:t>类声环境功能区，执行《声环境质量标准》 (</w:t>
      </w:r>
      <w:r>
        <w:rPr>
          <w:rFonts w:ascii="Times New Roman" w:hAnsi="Times New Roman" w:eastAsia="Times New Roman" w:cs="Times New Roman"/>
          <w:spacing w:val="-5"/>
          <w:sz w:val="23"/>
          <w:szCs w:val="23"/>
        </w:rPr>
        <w:t>GB3096-2008</w:t>
      </w:r>
      <w:r>
        <w:rPr>
          <w:rFonts w:ascii="宋体" w:hAnsi="宋体" w:eastAsia="宋体" w:cs="宋体"/>
          <w:spacing w:val="-5"/>
          <w:sz w:val="23"/>
          <w:szCs w:val="23"/>
        </w:rPr>
        <w:t xml:space="preserve">) 中 </w:t>
      </w:r>
      <w:r>
        <w:rPr>
          <w:rFonts w:ascii="Times New Roman" w:hAnsi="Times New Roman" w:eastAsia="Times New Roman" w:cs="Times New Roman"/>
          <w:spacing w:val="-5"/>
          <w:sz w:val="23"/>
          <w:szCs w:val="23"/>
        </w:rPr>
        <w:t xml:space="preserve">3 </w:t>
      </w:r>
      <w:r>
        <w:rPr>
          <w:rFonts w:ascii="宋体" w:hAnsi="宋体" w:eastAsia="宋体" w:cs="宋体"/>
          <w:spacing w:val="-5"/>
          <w:sz w:val="23"/>
          <w:szCs w:val="23"/>
        </w:rPr>
        <w:t>类</w:t>
      </w:r>
      <w:r>
        <w:rPr>
          <w:rFonts w:ascii="宋体" w:hAnsi="宋体" w:eastAsia="宋体" w:cs="宋体"/>
          <w:sz w:val="23"/>
          <w:szCs w:val="23"/>
        </w:rPr>
        <w:t xml:space="preserve"> </w:t>
      </w:r>
      <w:r>
        <w:rPr>
          <w:rFonts w:ascii="宋体" w:hAnsi="宋体" w:eastAsia="宋体" w:cs="宋体"/>
          <w:spacing w:val="-1"/>
          <w:sz w:val="23"/>
          <w:szCs w:val="23"/>
        </w:rPr>
        <w:t>声环境标准限值</w:t>
      </w:r>
      <w:r>
        <w:rPr>
          <w:rFonts w:ascii="宋体" w:hAnsi="宋体" w:eastAsia="宋体" w:cs="宋体"/>
          <w:sz w:val="23"/>
          <w:szCs w:val="23"/>
        </w:rPr>
        <w:t>。</w:t>
      </w:r>
    </w:p>
    <w:p w14:paraId="38F15F2C">
      <w:pPr>
        <w:spacing w:before="98" w:line="223" w:lineRule="auto"/>
        <w:ind w:left="30"/>
        <w:outlineLvl w:val="1"/>
        <w:rPr>
          <w:rFonts w:ascii="宋体" w:hAnsi="宋体" w:eastAsia="宋体" w:cs="宋体"/>
          <w:sz w:val="31"/>
          <w:szCs w:val="31"/>
        </w:rPr>
      </w:pPr>
      <w:bookmarkStart w:id="11" w:name="_bookmark12"/>
      <w:bookmarkEnd w:id="11"/>
      <w:r>
        <w:rPr>
          <w:rFonts w:ascii="Times New Roman" w:hAnsi="Times New Roman" w:eastAsia="Times New Roman" w:cs="Times New Roman"/>
          <w:b/>
          <w:bCs/>
          <w:spacing w:val="-2"/>
          <w:sz w:val="31"/>
          <w:szCs w:val="31"/>
        </w:rPr>
        <w:t>2.5</w:t>
      </w:r>
      <w:r>
        <w:rPr>
          <w:rFonts w:ascii="Times New Roman" w:hAnsi="Times New Roman" w:eastAsia="Times New Roman" w:cs="Times New Roman"/>
          <w:spacing w:val="-2"/>
          <w:sz w:val="31"/>
          <w:szCs w:val="31"/>
        </w:rPr>
        <w:t xml:space="preserve">  </w:t>
      </w:r>
      <w:r>
        <w:rPr>
          <w:rFonts w:ascii="宋体" w:hAnsi="宋体" w:eastAsia="宋体" w:cs="宋体"/>
          <w:spacing w:val="-2"/>
          <w:sz w:val="31"/>
          <w:szCs w:val="31"/>
          <w14:textOutline w14:w="5793" w14:cap="sq" w14:cmpd="sng">
            <w14:solidFill>
              <w14:srgbClr w14:val="000000"/>
            </w14:solidFill>
            <w14:prstDash w14:val="solid"/>
            <w14:bevel/>
          </w14:textOutline>
        </w:rPr>
        <w:t>评价因子与</w:t>
      </w:r>
      <w:r>
        <w:rPr>
          <w:rFonts w:ascii="宋体" w:hAnsi="宋体" w:eastAsia="宋体" w:cs="宋体"/>
          <w:spacing w:val="-1"/>
          <w:sz w:val="31"/>
          <w:szCs w:val="31"/>
          <w14:textOutline w14:w="5793" w14:cap="sq" w14:cmpd="sng">
            <w14:solidFill>
              <w14:srgbClr w14:val="000000"/>
            </w14:solidFill>
            <w14:prstDash w14:val="solid"/>
            <w14:bevel/>
          </w14:textOutline>
        </w:rPr>
        <w:t>评价标准</w:t>
      </w:r>
    </w:p>
    <w:p w14:paraId="29475082">
      <w:pPr>
        <w:spacing w:before="290" w:line="224" w:lineRule="auto"/>
        <w:ind w:left="30"/>
        <w:outlineLvl w:val="2"/>
        <w:rPr>
          <w:rFonts w:ascii="宋体" w:hAnsi="宋体" w:eastAsia="宋体" w:cs="宋体"/>
          <w:sz w:val="29"/>
          <w:szCs w:val="29"/>
        </w:rPr>
      </w:pPr>
      <w:r>
        <w:rPr>
          <w:rFonts w:ascii="Times New Roman" w:hAnsi="Times New Roman" w:eastAsia="Times New Roman" w:cs="Times New Roman"/>
          <w:b/>
          <w:bCs/>
          <w:spacing w:val="8"/>
          <w:sz w:val="29"/>
          <w:szCs w:val="29"/>
        </w:rPr>
        <w:t>2</w:t>
      </w:r>
      <w:r>
        <w:rPr>
          <w:rFonts w:ascii="Times New Roman" w:hAnsi="Times New Roman" w:eastAsia="Times New Roman" w:cs="Times New Roman"/>
          <w:b/>
          <w:bCs/>
          <w:spacing w:val="4"/>
          <w:sz w:val="29"/>
          <w:szCs w:val="29"/>
        </w:rPr>
        <w:t>.5.1</w:t>
      </w:r>
      <w:r>
        <w:rPr>
          <w:rFonts w:ascii="Times New Roman" w:hAnsi="Times New Roman" w:eastAsia="Times New Roman" w:cs="Times New Roman"/>
          <w:spacing w:val="4"/>
          <w:sz w:val="29"/>
          <w:szCs w:val="29"/>
        </w:rPr>
        <w:t xml:space="preserve"> </w:t>
      </w:r>
      <w:r>
        <w:rPr>
          <w:rFonts w:ascii="宋体" w:hAnsi="宋体" w:eastAsia="宋体" w:cs="宋体"/>
          <w:spacing w:val="4"/>
          <w:sz w:val="29"/>
          <w:szCs w:val="29"/>
          <w14:textOutline w14:w="5448" w14:cap="sq" w14:cmpd="sng">
            <w14:solidFill>
              <w14:srgbClr w14:val="000000"/>
            </w14:solidFill>
            <w14:prstDash w14:val="solid"/>
            <w14:bevel/>
          </w14:textOutline>
        </w:rPr>
        <w:t>评价因子筛选</w:t>
      </w:r>
    </w:p>
    <w:p w14:paraId="60BE89D4">
      <w:pPr>
        <w:spacing w:line="268" w:lineRule="auto"/>
        <w:rPr>
          <w:rFonts w:ascii="Arial"/>
          <w:sz w:val="21"/>
        </w:rPr>
      </w:pPr>
    </w:p>
    <w:p w14:paraId="735514A5">
      <w:pPr>
        <w:spacing w:before="75" w:line="227" w:lineRule="auto"/>
        <w:ind w:left="495"/>
        <w:rPr>
          <w:rFonts w:ascii="宋体" w:hAnsi="宋体" w:eastAsia="宋体" w:cs="宋体"/>
          <w:sz w:val="23"/>
          <w:szCs w:val="23"/>
        </w:rPr>
      </w:pPr>
      <w:r>
        <w:rPr>
          <w:rFonts w:ascii="宋体" w:hAnsi="宋体" w:eastAsia="宋体" w:cs="宋体"/>
          <w:spacing w:val="10"/>
          <w:sz w:val="23"/>
          <w:szCs w:val="23"/>
        </w:rPr>
        <w:t>(</w:t>
      </w:r>
      <w:r>
        <w:rPr>
          <w:rFonts w:ascii="Times New Roman" w:hAnsi="Times New Roman" w:eastAsia="Times New Roman" w:cs="Times New Roman"/>
          <w:spacing w:val="9"/>
          <w:sz w:val="23"/>
          <w:szCs w:val="23"/>
        </w:rPr>
        <w:t>1</w:t>
      </w:r>
      <w:r>
        <w:rPr>
          <w:rFonts w:ascii="宋体" w:hAnsi="宋体" w:eastAsia="宋体" w:cs="宋体"/>
          <w:spacing w:val="9"/>
          <w:sz w:val="23"/>
          <w:szCs w:val="23"/>
        </w:rPr>
        <w:t>) 环境影响要素识别</w:t>
      </w:r>
    </w:p>
    <w:p w14:paraId="2F614339">
      <w:pPr>
        <w:spacing w:line="287" w:lineRule="auto"/>
        <w:rPr>
          <w:rFonts w:ascii="Arial"/>
          <w:sz w:val="21"/>
        </w:rPr>
      </w:pPr>
    </w:p>
    <w:p w14:paraId="63922EA7">
      <w:pPr>
        <w:spacing w:before="75" w:line="391" w:lineRule="auto"/>
        <w:ind w:left="32" w:right="195" w:firstLine="451"/>
        <w:rPr>
          <w:rFonts w:ascii="宋体" w:hAnsi="宋体" w:eastAsia="宋体" w:cs="宋体"/>
          <w:sz w:val="23"/>
          <w:szCs w:val="23"/>
        </w:rPr>
      </w:pPr>
      <w:r>
        <w:rPr>
          <w:rFonts w:ascii="宋体" w:hAnsi="宋体" w:eastAsia="宋体" w:cs="宋体"/>
          <w:spacing w:val="1"/>
          <w:sz w:val="23"/>
          <w:szCs w:val="23"/>
        </w:rPr>
        <w:t>根据该项目工程概况、主要污染源及污染物的排放情</w:t>
      </w:r>
      <w:r>
        <w:rPr>
          <w:rFonts w:ascii="宋体" w:hAnsi="宋体" w:eastAsia="宋体" w:cs="宋体"/>
          <w:sz w:val="23"/>
          <w:szCs w:val="23"/>
        </w:rPr>
        <w:t xml:space="preserve">况，结合建设地区的自然 </w:t>
      </w:r>
      <w:r>
        <w:rPr>
          <w:rFonts w:ascii="宋体" w:hAnsi="宋体" w:eastAsia="宋体" w:cs="宋体"/>
          <w:spacing w:val="1"/>
          <w:sz w:val="23"/>
          <w:szCs w:val="23"/>
        </w:rPr>
        <w:t>环境概况和环境质量概况，以及</w:t>
      </w:r>
      <w:r>
        <w:rPr>
          <w:rFonts w:ascii="宋体" w:hAnsi="宋体" w:eastAsia="宋体" w:cs="宋体"/>
          <w:sz w:val="23"/>
          <w:szCs w:val="23"/>
        </w:rPr>
        <w:t xml:space="preserve">建设项目对周围环境的影响程度、影响性质和影响 </w:t>
      </w:r>
      <w:r>
        <w:rPr>
          <w:rFonts w:ascii="宋体" w:hAnsi="宋体" w:eastAsia="宋体" w:cs="宋体"/>
          <w:spacing w:val="-1"/>
          <w:sz w:val="23"/>
          <w:szCs w:val="23"/>
        </w:rPr>
        <w:t>范围，综合分析，本项目环境影响因素识别见</w:t>
      </w:r>
      <w:r>
        <w:rPr>
          <w:rFonts w:ascii="宋体" w:hAnsi="宋体" w:eastAsia="宋体" w:cs="宋体"/>
          <w:sz w:val="23"/>
          <w:szCs w:val="23"/>
        </w:rPr>
        <w:t>表</w:t>
      </w:r>
      <w:r>
        <w:rPr>
          <w:rFonts w:ascii="Times New Roman" w:hAnsi="Times New Roman" w:eastAsia="Times New Roman" w:cs="Times New Roman"/>
          <w:sz w:val="23"/>
          <w:szCs w:val="23"/>
        </w:rPr>
        <w:t>2-1</w:t>
      </w:r>
      <w:r>
        <w:rPr>
          <w:rFonts w:ascii="宋体" w:hAnsi="宋体" w:eastAsia="宋体" w:cs="宋体"/>
          <w:sz w:val="23"/>
          <w:szCs w:val="23"/>
        </w:rPr>
        <w:t>。</w:t>
      </w:r>
    </w:p>
    <w:p w14:paraId="18F0E034">
      <w:pPr>
        <w:spacing w:before="148" w:line="227" w:lineRule="auto"/>
        <w:ind w:left="2397"/>
        <w:rPr>
          <w:rFonts w:ascii="宋体" w:hAnsi="宋体" w:eastAsia="宋体" w:cs="宋体"/>
          <w:sz w:val="23"/>
          <w:szCs w:val="23"/>
        </w:rPr>
      </w:pPr>
      <w:r>
        <w:rPr>
          <w:rFonts w:ascii="宋体" w:hAnsi="宋体" w:eastAsia="宋体" w:cs="宋体"/>
          <w:spacing w:val="-2"/>
          <w:sz w:val="23"/>
          <w:szCs w:val="23"/>
          <w14:textOutline w14:w="4358" w14:cap="sq" w14:cmpd="sng">
            <w14:solidFill>
              <w14:srgbClr w14:val="000000"/>
            </w14:solidFill>
            <w14:prstDash w14:val="solid"/>
            <w14:bevel/>
          </w14:textOutline>
        </w:rPr>
        <w:t>表</w:t>
      </w:r>
      <w:r>
        <w:rPr>
          <w:rFonts w:ascii="宋体" w:hAnsi="宋体" w:eastAsia="宋体" w:cs="宋体"/>
          <w:spacing w:val="-2"/>
          <w:sz w:val="23"/>
          <w:szCs w:val="23"/>
        </w:rPr>
        <w:t xml:space="preserve"> </w:t>
      </w:r>
      <w:r>
        <w:rPr>
          <w:rFonts w:ascii="Times New Roman" w:hAnsi="Times New Roman" w:eastAsia="Times New Roman" w:cs="Times New Roman"/>
          <w:b/>
          <w:bCs/>
          <w:spacing w:val="-2"/>
          <w:sz w:val="23"/>
          <w:szCs w:val="23"/>
        </w:rPr>
        <w:t>2-1</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14:textOutline w14:w="4358" w14:cap="sq" w14:cmpd="sng">
            <w14:solidFill>
              <w14:srgbClr w14:val="000000"/>
            </w14:solidFill>
            <w14:prstDash w14:val="solid"/>
            <w14:bevel/>
          </w14:textOutline>
        </w:rPr>
        <w:t>环境</w:t>
      </w:r>
      <w:r>
        <w:rPr>
          <w:rFonts w:ascii="宋体" w:hAnsi="宋体" w:eastAsia="宋体" w:cs="宋体"/>
          <w:spacing w:val="-1"/>
          <w:sz w:val="23"/>
          <w:szCs w:val="23"/>
          <w14:textOutline w14:w="4358" w14:cap="sq" w14:cmpd="sng">
            <w14:solidFill>
              <w14:srgbClr w14:val="000000"/>
            </w14:solidFill>
            <w14:prstDash w14:val="solid"/>
            <w14:bevel/>
          </w14:textOutline>
        </w:rPr>
        <w:t>影响要素识别矩阵表</w:t>
      </w:r>
    </w:p>
    <w:p w14:paraId="3C12EF9D">
      <w:pPr>
        <w:spacing w:line="18" w:lineRule="exact"/>
      </w:pPr>
    </w:p>
    <w:tbl>
      <w:tblPr>
        <w:tblStyle w:val="4"/>
        <w:tblW w:w="852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1"/>
        <w:gridCol w:w="1079"/>
        <w:gridCol w:w="1145"/>
        <w:gridCol w:w="1145"/>
        <w:gridCol w:w="1145"/>
        <w:gridCol w:w="1145"/>
        <w:gridCol w:w="1105"/>
        <w:gridCol w:w="1106"/>
      </w:tblGrid>
      <w:tr w14:paraId="48B350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651" w:type="dxa"/>
            <w:vMerge w:val="restart"/>
            <w:tcBorders>
              <w:left w:val="nil"/>
              <w:bottom w:val="nil"/>
            </w:tcBorders>
            <w:vAlign w:val="top"/>
          </w:tcPr>
          <w:p w14:paraId="582C042A">
            <w:pPr>
              <w:spacing w:before="87" w:line="268" w:lineRule="auto"/>
              <w:ind w:left="135" w:right="114" w:hanging="5"/>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项</w:t>
            </w:r>
            <w:r>
              <w:rPr>
                <w:rFonts w:ascii="宋体" w:hAnsi="宋体" w:eastAsia="宋体" w:cs="宋体"/>
                <w:spacing w:val="1"/>
                <w:sz w:val="20"/>
                <w:szCs w:val="20"/>
                <w14:textOutline w14:w="3795" w14:cap="sq" w14:cmpd="sng">
                  <w14:solidFill>
                    <w14:srgbClr w14:val="000000"/>
                  </w14:solidFill>
                  <w14:prstDash w14:val="solid"/>
                  <w14:bevel/>
                </w14:textOutline>
              </w:rPr>
              <w:t>目</w:t>
            </w:r>
            <w:r>
              <w:rPr>
                <w:rFonts w:ascii="宋体" w:hAnsi="宋体" w:eastAsia="宋体" w:cs="宋体"/>
                <w:sz w:val="20"/>
                <w:szCs w:val="20"/>
              </w:rPr>
              <w:t xml:space="preserve"> </w:t>
            </w:r>
            <w:r>
              <w:rPr>
                <w:rFonts w:ascii="宋体" w:hAnsi="宋体" w:eastAsia="宋体" w:cs="宋体"/>
                <w:spacing w:val="-1"/>
                <w:sz w:val="20"/>
                <w:szCs w:val="20"/>
                <w14:textOutline w14:w="3795" w14:cap="sq" w14:cmpd="sng">
                  <w14:solidFill>
                    <w14:srgbClr w14:val="000000"/>
                  </w14:solidFill>
                  <w14:prstDash w14:val="solid"/>
                  <w14:bevel/>
                </w14:textOutline>
              </w:rPr>
              <w:t>阶段</w:t>
            </w:r>
          </w:p>
        </w:tc>
        <w:tc>
          <w:tcPr>
            <w:tcW w:w="1079" w:type="dxa"/>
            <w:vMerge w:val="restart"/>
            <w:tcBorders>
              <w:bottom w:val="nil"/>
            </w:tcBorders>
            <w:vAlign w:val="top"/>
          </w:tcPr>
          <w:p w14:paraId="5964096A">
            <w:pPr>
              <w:spacing w:before="244" w:line="228" w:lineRule="auto"/>
              <w:ind w:left="340"/>
              <w:rPr>
                <w:rFonts w:ascii="宋体" w:hAnsi="宋体" w:eastAsia="宋体" w:cs="宋体"/>
                <w:sz w:val="20"/>
                <w:szCs w:val="20"/>
              </w:rPr>
            </w:pPr>
            <w:r>
              <w:rPr>
                <w:rFonts w:ascii="宋体" w:hAnsi="宋体" w:eastAsia="宋体" w:cs="宋体"/>
                <w:spacing w:val="4"/>
                <w:sz w:val="20"/>
                <w:szCs w:val="20"/>
                <w14:textOutline w14:w="3795" w14:cap="sq" w14:cmpd="sng">
                  <w14:solidFill>
                    <w14:srgbClr w14:val="000000"/>
                  </w14:solidFill>
                  <w14:prstDash w14:val="solid"/>
                  <w14:bevel/>
                </w14:textOutline>
              </w:rPr>
              <w:t>类</w:t>
            </w:r>
            <w:r>
              <w:rPr>
                <w:rFonts w:ascii="宋体" w:hAnsi="宋体" w:eastAsia="宋体" w:cs="宋体"/>
                <w:spacing w:val="3"/>
                <w:sz w:val="20"/>
                <w:szCs w:val="20"/>
                <w14:textOutline w14:w="3795" w14:cap="sq" w14:cmpd="sng">
                  <w14:solidFill>
                    <w14:srgbClr w14:val="000000"/>
                  </w14:solidFill>
                  <w14:prstDash w14:val="solid"/>
                  <w14:bevel/>
                </w14:textOutline>
              </w:rPr>
              <w:t>别</w:t>
            </w:r>
          </w:p>
        </w:tc>
        <w:tc>
          <w:tcPr>
            <w:tcW w:w="4580" w:type="dxa"/>
            <w:gridSpan w:val="4"/>
            <w:vAlign w:val="top"/>
          </w:tcPr>
          <w:p w14:paraId="048DC736">
            <w:pPr>
              <w:spacing w:before="85" w:line="228" w:lineRule="auto"/>
              <w:ind w:left="1716"/>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自</w:t>
            </w:r>
            <w:r>
              <w:rPr>
                <w:rFonts w:ascii="宋体" w:hAnsi="宋体" w:eastAsia="宋体" w:cs="宋体"/>
                <w:spacing w:val="-1"/>
                <w:sz w:val="20"/>
                <w:szCs w:val="20"/>
                <w14:textOutline w14:w="3795" w14:cap="sq" w14:cmpd="sng">
                  <w14:solidFill>
                    <w14:srgbClr w14:val="000000"/>
                  </w14:solidFill>
                  <w14:prstDash w14:val="solid"/>
                  <w14:bevel/>
                </w14:textOutline>
              </w:rPr>
              <w:t>然环境要素</w:t>
            </w:r>
          </w:p>
        </w:tc>
        <w:tc>
          <w:tcPr>
            <w:tcW w:w="2211" w:type="dxa"/>
            <w:gridSpan w:val="2"/>
            <w:tcBorders>
              <w:right w:val="nil"/>
            </w:tcBorders>
            <w:vAlign w:val="top"/>
          </w:tcPr>
          <w:p w14:paraId="7B21541D">
            <w:pPr>
              <w:spacing w:before="85" w:line="227" w:lineRule="auto"/>
              <w:ind w:left="497"/>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社</w:t>
            </w:r>
            <w:r>
              <w:rPr>
                <w:rFonts w:ascii="宋体" w:hAnsi="宋体" w:eastAsia="宋体" w:cs="宋体"/>
                <w:spacing w:val="4"/>
                <w:sz w:val="20"/>
                <w:szCs w:val="20"/>
                <w14:textOutline w14:w="3795" w14:cap="sq" w14:cmpd="sng">
                  <w14:solidFill>
                    <w14:srgbClr w14:val="000000"/>
                  </w14:solidFill>
                  <w14:prstDash w14:val="solid"/>
                  <w14:bevel/>
                </w14:textOutline>
              </w:rPr>
              <w:t>会环境要素</w:t>
            </w:r>
          </w:p>
        </w:tc>
      </w:tr>
      <w:tr w14:paraId="25101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651" w:type="dxa"/>
            <w:vMerge w:val="continue"/>
            <w:tcBorders>
              <w:top w:val="nil"/>
              <w:left w:val="nil"/>
            </w:tcBorders>
            <w:vAlign w:val="top"/>
          </w:tcPr>
          <w:p w14:paraId="42C86030">
            <w:pPr>
              <w:rPr>
                <w:rFonts w:ascii="Arial"/>
                <w:sz w:val="21"/>
              </w:rPr>
            </w:pPr>
          </w:p>
        </w:tc>
        <w:tc>
          <w:tcPr>
            <w:tcW w:w="1079" w:type="dxa"/>
            <w:vMerge w:val="continue"/>
            <w:tcBorders>
              <w:top w:val="nil"/>
            </w:tcBorders>
            <w:vAlign w:val="top"/>
          </w:tcPr>
          <w:p w14:paraId="4778B6CE">
            <w:pPr>
              <w:rPr>
                <w:rFonts w:ascii="Arial"/>
                <w:sz w:val="21"/>
              </w:rPr>
            </w:pPr>
          </w:p>
        </w:tc>
        <w:tc>
          <w:tcPr>
            <w:tcW w:w="1145" w:type="dxa"/>
            <w:vAlign w:val="top"/>
          </w:tcPr>
          <w:p w14:paraId="0BDF1EAD">
            <w:pPr>
              <w:spacing w:before="60" w:line="228" w:lineRule="auto"/>
              <w:ind w:left="67"/>
              <w:rPr>
                <w:rFonts w:ascii="宋体" w:hAnsi="宋体" w:eastAsia="宋体" w:cs="宋体"/>
                <w:sz w:val="20"/>
                <w:szCs w:val="20"/>
              </w:rPr>
            </w:pPr>
            <w:r>
              <w:rPr>
                <w:rFonts w:ascii="宋体" w:hAnsi="宋体" w:eastAsia="宋体" w:cs="宋体"/>
                <w:spacing w:val="5"/>
                <w:sz w:val="20"/>
                <w:szCs w:val="20"/>
                <w14:textOutline w14:w="3795" w14:cap="sq" w14:cmpd="sng">
                  <w14:solidFill>
                    <w14:srgbClr w14:val="000000"/>
                  </w14:solidFill>
                  <w14:prstDash w14:val="solid"/>
                  <w14:bevel/>
                </w14:textOutline>
              </w:rPr>
              <w:t>地表水水</w:t>
            </w:r>
            <w:r>
              <w:rPr>
                <w:rFonts w:ascii="宋体" w:hAnsi="宋体" w:eastAsia="宋体" w:cs="宋体"/>
                <w:spacing w:val="4"/>
                <w:sz w:val="20"/>
                <w:szCs w:val="20"/>
                <w14:textOutline w14:w="3795" w14:cap="sq" w14:cmpd="sng">
                  <w14:solidFill>
                    <w14:srgbClr w14:val="000000"/>
                  </w14:solidFill>
                  <w14:prstDash w14:val="solid"/>
                  <w14:bevel/>
                </w14:textOutline>
              </w:rPr>
              <w:t>质</w:t>
            </w:r>
          </w:p>
        </w:tc>
        <w:tc>
          <w:tcPr>
            <w:tcW w:w="1145" w:type="dxa"/>
            <w:vAlign w:val="top"/>
          </w:tcPr>
          <w:p w14:paraId="089A882B">
            <w:pPr>
              <w:spacing w:before="60" w:line="228" w:lineRule="auto"/>
              <w:ind w:left="67"/>
              <w:rPr>
                <w:rFonts w:ascii="宋体" w:hAnsi="宋体" w:eastAsia="宋体" w:cs="宋体"/>
                <w:sz w:val="20"/>
                <w:szCs w:val="20"/>
              </w:rPr>
            </w:pPr>
            <w:r>
              <w:rPr>
                <w:rFonts w:ascii="宋体" w:hAnsi="宋体" w:eastAsia="宋体" w:cs="宋体"/>
                <w:spacing w:val="5"/>
                <w:sz w:val="20"/>
                <w:szCs w:val="20"/>
                <w14:textOutline w14:w="3795" w14:cap="sq" w14:cmpd="sng">
                  <w14:solidFill>
                    <w14:srgbClr w14:val="000000"/>
                  </w14:solidFill>
                  <w14:prstDash w14:val="solid"/>
                  <w14:bevel/>
                </w14:textOutline>
              </w:rPr>
              <w:t>地下水水</w:t>
            </w:r>
            <w:r>
              <w:rPr>
                <w:rFonts w:ascii="宋体" w:hAnsi="宋体" w:eastAsia="宋体" w:cs="宋体"/>
                <w:spacing w:val="4"/>
                <w:sz w:val="20"/>
                <w:szCs w:val="20"/>
                <w14:textOutline w14:w="3795" w14:cap="sq" w14:cmpd="sng">
                  <w14:solidFill>
                    <w14:srgbClr w14:val="000000"/>
                  </w14:solidFill>
                  <w14:prstDash w14:val="solid"/>
                  <w14:bevel/>
                </w14:textOutline>
              </w:rPr>
              <w:t>质</w:t>
            </w:r>
          </w:p>
        </w:tc>
        <w:tc>
          <w:tcPr>
            <w:tcW w:w="1145" w:type="dxa"/>
            <w:vAlign w:val="top"/>
          </w:tcPr>
          <w:p w14:paraId="46D33F0B">
            <w:pPr>
              <w:spacing w:before="61" w:line="228" w:lineRule="auto"/>
              <w:ind w:left="275"/>
              <w:rPr>
                <w:rFonts w:ascii="宋体" w:hAnsi="宋体" w:eastAsia="宋体" w:cs="宋体"/>
                <w:sz w:val="20"/>
                <w:szCs w:val="20"/>
              </w:rPr>
            </w:pPr>
            <w:r>
              <w:rPr>
                <w:rFonts w:ascii="宋体" w:hAnsi="宋体" w:eastAsia="宋体" w:cs="宋体"/>
                <w:spacing w:val="3"/>
                <w:sz w:val="20"/>
                <w:szCs w:val="20"/>
                <w14:textOutline w14:w="3795" w14:cap="sq" w14:cmpd="sng">
                  <w14:solidFill>
                    <w14:srgbClr w14:val="000000"/>
                  </w14:solidFill>
                  <w14:prstDash w14:val="solid"/>
                  <w14:bevel/>
                </w14:textOutline>
              </w:rPr>
              <w:t>声</w:t>
            </w:r>
            <w:r>
              <w:rPr>
                <w:rFonts w:ascii="宋体" w:hAnsi="宋体" w:eastAsia="宋体" w:cs="宋体"/>
                <w:spacing w:val="2"/>
                <w:sz w:val="20"/>
                <w:szCs w:val="20"/>
                <w14:textOutline w14:w="3795" w14:cap="sq" w14:cmpd="sng">
                  <w14:solidFill>
                    <w14:srgbClr w14:val="000000"/>
                  </w14:solidFill>
                  <w14:prstDash w14:val="solid"/>
                  <w14:bevel/>
                </w14:textOutline>
              </w:rPr>
              <w:t>环境</w:t>
            </w:r>
          </w:p>
        </w:tc>
        <w:tc>
          <w:tcPr>
            <w:tcW w:w="1145" w:type="dxa"/>
            <w:vAlign w:val="top"/>
          </w:tcPr>
          <w:p w14:paraId="0BD2EDE4">
            <w:pPr>
              <w:spacing w:before="61" w:line="228" w:lineRule="auto"/>
              <w:ind w:left="174"/>
              <w:rPr>
                <w:rFonts w:ascii="宋体" w:hAnsi="宋体" w:eastAsia="宋体" w:cs="宋体"/>
                <w:sz w:val="20"/>
                <w:szCs w:val="20"/>
              </w:rPr>
            </w:pPr>
            <w:r>
              <w:rPr>
                <w:rFonts w:ascii="宋体" w:hAnsi="宋体" w:eastAsia="宋体" w:cs="宋体"/>
                <w:spacing w:val="4"/>
                <w:sz w:val="20"/>
                <w:szCs w:val="20"/>
                <w14:textOutline w14:w="3795" w14:cap="sq" w14:cmpd="sng">
                  <w14:solidFill>
                    <w14:srgbClr w14:val="000000"/>
                  </w14:solidFill>
                  <w14:prstDash w14:val="solid"/>
                  <w14:bevel/>
                </w14:textOutline>
              </w:rPr>
              <w:t>空</w:t>
            </w:r>
            <w:r>
              <w:rPr>
                <w:rFonts w:ascii="宋体" w:hAnsi="宋体" w:eastAsia="宋体" w:cs="宋体"/>
                <w:spacing w:val="3"/>
                <w:sz w:val="20"/>
                <w:szCs w:val="20"/>
                <w14:textOutline w14:w="3795" w14:cap="sq" w14:cmpd="sng">
                  <w14:solidFill>
                    <w14:srgbClr w14:val="000000"/>
                  </w14:solidFill>
                  <w14:prstDash w14:val="solid"/>
                  <w14:bevel/>
                </w14:textOutline>
              </w:rPr>
              <w:t>气</w:t>
            </w:r>
            <w:r>
              <w:rPr>
                <w:rFonts w:ascii="宋体" w:hAnsi="宋体" w:eastAsia="宋体" w:cs="宋体"/>
                <w:spacing w:val="2"/>
                <w:sz w:val="20"/>
                <w:szCs w:val="20"/>
                <w14:textOutline w14:w="3795" w14:cap="sq" w14:cmpd="sng">
                  <w14:solidFill>
                    <w14:srgbClr w14:val="000000"/>
                  </w14:solidFill>
                  <w14:prstDash w14:val="solid"/>
                  <w14:bevel/>
                </w14:textOutline>
              </w:rPr>
              <w:t>质量</w:t>
            </w:r>
          </w:p>
        </w:tc>
        <w:tc>
          <w:tcPr>
            <w:tcW w:w="1105" w:type="dxa"/>
            <w:vAlign w:val="top"/>
          </w:tcPr>
          <w:p w14:paraId="2C3F7497">
            <w:pPr>
              <w:spacing w:before="60" w:line="228" w:lineRule="auto"/>
              <w:ind w:left="149"/>
              <w:rPr>
                <w:rFonts w:ascii="宋体" w:hAnsi="宋体" w:eastAsia="宋体" w:cs="宋体"/>
                <w:sz w:val="20"/>
                <w:szCs w:val="20"/>
              </w:rPr>
            </w:pPr>
            <w:r>
              <w:rPr>
                <w:rFonts w:ascii="宋体" w:hAnsi="宋体" w:eastAsia="宋体" w:cs="宋体"/>
                <w:spacing w:val="4"/>
                <w:sz w:val="20"/>
                <w:szCs w:val="20"/>
                <w14:textOutline w14:w="3795" w14:cap="sq" w14:cmpd="sng">
                  <w14:solidFill>
                    <w14:srgbClr w14:val="000000"/>
                  </w14:solidFill>
                  <w14:prstDash w14:val="solid"/>
                  <w14:bevel/>
                </w14:textOutline>
              </w:rPr>
              <w:t>人群健</w:t>
            </w:r>
            <w:r>
              <w:rPr>
                <w:rFonts w:ascii="宋体" w:hAnsi="宋体" w:eastAsia="宋体" w:cs="宋体"/>
                <w:spacing w:val="3"/>
                <w:sz w:val="20"/>
                <w:szCs w:val="20"/>
                <w14:textOutline w14:w="3795" w14:cap="sq" w14:cmpd="sng">
                  <w14:solidFill>
                    <w14:srgbClr w14:val="000000"/>
                  </w14:solidFill>
                  <w14:prstDash w14:val="solid"/>
                  <w14:bevel/>
                </w14:textOutline>
              </w:rPr>
              <w:t>康</w:t>
            </w:r>
          </w:p>
        </w:tc>
        <w:tc>
          <w:tcPr>
            <w:tcW w:w="1106" w:type="dxa"/>
            <w:tcBorders>
              <w:right w:val="nil"/>
            </w:tcBorders>
            <w:vAlign w:val="top"/>
          </w:tcPr>
          <w:p w14:paraId="1A98F765">
            <w:pPr>
              <w:spacing w:before="61" w:line="228" w:lineRule="auto"/>
              <w:ind w:left="151"/>
              <w:rPr>
                <w:rFonts w:ascii="宋体" w:hAnsi="宋体" w:eastAsia="宋体" w:cs="宋体"/>
                <w:sz w:val="20"/>
                <w:szCs w:val="20"/>
              </w:rPr>
            </w:pPr>
            <w:r>
              <w:rPr>
                <w:rFonts w:ascii="宋体" w:hAnsi="宋体" w:eastAsia="宋体" w:cs="宋体"/>
                <w:spacing w:val="4"/>
                <w:sz w:val="20"/>
                <w:szCs w:val="20"/>
                <w14:textOutline w14:w="3795" w14:cap="sq" w14:cmpd="sng">
                  <w14:solidFill>
                    <w14:srgbClr w14:val="000000"/>
                  </w14:solidFill>
                  <w14:prstDash w14:val="solid"/>
                  <w14:bevel/>
                </w14:textOutline>
              </w:rPr>
              <w:t>经济发</w:t>
            </w:r>
            <w:r>
              <w:rPr>
                <w:rFonts w:ascii="宋体" w:hAnsi="宋体" w:eastAsia="宋体" w:cs="宋体"/>
                <w:spacing w:val="3"/>
                <w:sz w:val="20"/>
                <w:szCs w:val="20"/>
                <w14:textOutline w14:w="3795" w14:cap="sq" w14:cmpd="sng">
                  <w14:solidFill>
                    <w14:srgbClr w14:val="000000"/>
                  </w14:solidFill>
                  <w14:prstDash w14:val="solid"/>
                  <w14:bevel/>
                </w14:textOutline>
              </w:rPr>
              <w:t>展</w:t>
            </w:r>
          </w:p>
        </w:tc>
      </w:tr>
      <w:tr w14:paraId="6CA11B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651" w:type="dxa"/>
            <w:vMerge w:val="restart"/>
            <w:tcBorders>
              <w:left w:val="nil"/>
              <w:bottom w:val="nil"/>
            </w:tcBorders>
            <w:textDirection w:val="tbRlV"/>
            <w:vAlign w:val="top"/>
          </w:tcPr>
          <w:p w14:paraId="22A69DFA">
            <w:pPr>
              <w:spacing w:before="217" w:line="217" w:lineRule="auto"/>
              <w:ind w:left="67"/>
              <w:rPr>
                <w:rFonts w:ascii="宋体" w:hAnsi="宋体" w:eastAsia="宋体" w:cs="宋体"/>
                <w:sz w:val="20"/>
                <w:szCs w:val="20"/>
              </w:rPr>
            </w:pPr>
            <w:r>
              <w:rPr>
                <w:rFonts w:ascii="宋体" w:hAnsi="宋体" w:eastAsia="宋体" w:cs="宋体"/>
                <w:spacing w:val="16"/>
                <w:sz w:val="20"/>
                <w:szCs w:val="20"/>
              </w:rPr>
              <w:t>施</w:t>
            </w:r>
            <w:r>
              <w:rPr>
                <w:rFonts w:ascii="宋体" w:hAnsi="宋体" w:eastAsia="宋体" w:cs="宋体"/>
                <w:spacing w:val="15"/>
                <w:sz w:val="20"/>
                <w:szCs w:val="20"/>
              </w:rPr>
              <w:t xml:space="preserve"> 工 期</w:t>
            </w:r>
          </w:p>
        </w:tc>
        <w:tc>
          <w:tcPr>
            <w:tcW w:w="1079" w:type="dxa"/>
            <w:vAlign w:val="top"/>
          </w:tcPr>
          <w:p w14:paraId="20C9BD82">
            <w:pPr>
              <w:spacing w:before="63" w:line="228" w:lineRule="auto"/>
              <w:ind w:left="138"/>
              <w:rPr>
                <w:rFonts w:ascii="宋体" w:hAnsi="宋体" w:eastAsia="宋体" w:cs="宋体"/>
                <w:sz w:val="20"/>
                <w:szCs w:val="20"/>
              </w:rPr>
            </w:pPr>
            <w:r>
              <w:rPr>
                <w:rFonts w:ascii="宋体" w:hAnsi="宋体" w:eastAsia="宋体" w:cs="宋体"/>
                <w:spacing w:val="4"/>
                <w:sz w:val="20"/>
                <w:szCs w:val="20"/>
              </w:rPr>
              <w:t>影响程</w:t>
            </w:r>
            <w:r>
              <w:rPr>
                <w:rFonts w:ascii="宋体" w:hAnsi="宋体" w:eastAsia="宋体" w:cs="宋体"/>
                <w:spacing w:val="3"/>
                <w:sz w:val="20"/>
                <w:szCs w:val="20"/>
              </w:rPr>
              <w:t>度</w:t>
            </w:r>
          </w:p>
        </w:tc>
        <w:tc>
          <w:tcPr>
            <w:tcW w:w="1145" w:type="dxa"/>
            <w:vAlign w:val="top"/>
          </w:tcPr>
          <w:p w14:paraId="189846B3">
            <w:pPr>
              <w:spacing w:before="99" w:line="195" w:lineRule="auto"/>
              <w:ind w:left="495"/>
              <w:rPr>
                <w:rFonts w:ascii="Times New Roman" w:hAnsi="Times New Roman" w:eastAsia="Times New Roman" w:cs="Times New Roman"/>
                <w:sz w:val="20"/>
                <w:szCs w:val="20"/>
              </w:rPr>
            </w:pPr>
            <w:r>
              <w:rPr>
                <w:rFonts w:ascii="Times New Roman" w:hAnsi="Times New Roman" w:eastAsia="Times New Roman" w:cs="Times New Roman"/>
                <w:spacing w:val="-12"/>
                <w:sz w:val="20"/>
                <w:szCs w:val="20"/>
              </w:rPr>
              <w:t>-</w:t>
            </w:r>
            <w:r>
              <w:rPr>
                <w:rFonts w:ascii="Times New Roman" w:hAnsi="Times New Roman" w:eastAsia="Times New Roman" w:cs="Times New Roman"/>
                <w:spacing w:val="-11"/>
                <w:sz w:val="20"/>
                <w:szCs w:val="20"/>
              </w:rPr>
              <w:t xml:space="preserve"> 1</w:t>
            </w:r>
          </w:p>
        </w:tc>
        <w:tc>
          <w:tcPr>
            <w:tcW w:w="1145" w:type="dxa"/>
            <w:vAlign w:val="top"/>
          </w:tcPr>
          <w:p w14:paraId="0BF27E06">
            <w:pPr>
              <w:spacing w:before="99" w:line="195" w:lineRule="auto"/>
              <w:ind w:left="494"/>
              <w:rPr>
                <w:rFonts w:ascii="Times New Roman" w:hAnsi="Times New Roman" w:eastAsia="Times New Roman" w:cs="Times New Roman"/>
                <w:sz w:val="20"/>
                <w:szCs w:val="20"/>
              </w:rPr>
            </w:pPr>
            <w:r>
              <w:rPr>
                <w:rFonts w:ascii="Times New Roman" w:hAnsi="Times New Roman" w:eastAsia="Times New Roman" w:cs="Times New Roman"/>
                <w:spacing w:val="-12"/>
                <w:sz w:val="20"/>
                <w:szCs w:val="20"/>
              </w:rPr>
              <w:t>-</w:t>
            </w:r>
            <w:r>
              <w:rPr>
                <w:rFonts w:ascii="Times New Roman" w:hAnsi="Times New Roman" w:eastAsia="Times New Roman" w:cs="Times New Roman"/>
                <w:spacing w:val="-11"/>
                <w:sz w:val="20"/>
                <w:szCs w:val="20"/>
              </w:rPr>
              <w:t xml:space="preserve"> 1</w:t>
            </w:r>
          </w:p>
        </w:tc>
        <w:tc>
          <w:tcPr>
            <w:tcW w:w="1145" w:type="dxa"/>
            <w:vAlign w:val="top"/>
          </w:tcPr>
          <w:p w14:paraId="3B4C9E82">
            <w:pPr>
              <w:spacing w:before="99" w:line="195" w:lineRule="auto"/>
              <w:ind w:left="4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w:t>
            </w:r>
          </w:p>
        </w:tc>
        <w:tc>
          <w:tcPr>
            <w:tcW w:w="1145" w:type="dxa"/>
            <w:vAlign w:val="top"/>
          </w:tcPr>
          <w:p w14:paraId="2FDB87B1">
            <w:pPr>
              <w:spacing w:before="99" w:line="195" w:lineRule="auto"/>
              <w:ind w:left="4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w:t>
            </w:r>
          </w:p>
        </w:tc>
        <w:tc>
          <w:tcPr>
            <w:tcW w:w="1105" w:type="dxa"/>
            <w:vAlign w:val="top"/>
          </w:tcPr>
          <w:p w14:paraId="47FF579C">
            <w:pPr>
              <w:spacing w:before="99" w:line="195" w:lineRule="auto"/>
              <w:ind w:left="475"/>
              <w:rPr>
                <w:rFonts w:ascii="Times New Roman" w:hAnsi="Times New Roman" w:eastAsia="Times New Roman" w:cs="Times New Roman"/>
                <w:sz w:val="20"/>
                <w:szCs w:val="20"/>
              </w:rPr>
            </w:pPr>
            <w:r>
              <w:rPr>
                <w:rFonts w:ascii="Times New Roman" w:hAnsi="Times New Roman" w:eastAsia="Times New Roman" w:cs="Times New Roman"/>
                <w:spacing w:val="-12"/>
                <w:sz w:val="20"/>
                <w:szCs w:val="20"/>
              </w:rPr>
              <w:t>-</w:t>
            </w:r>
            <w:r>
              <w:rPr>
                <w:rFonts w:ascii="Times New Roman" w:hAnsi="Times New Roman" w:eastAsia="Times New Roman" w:cs="Times New Roman"/>
                <w:spacing w:val="-11"/>
                <w:sz w:val="20"/>
                <w:szCs w:val="20"/>
              </w:rPr>
              <w:t xml:space="preserve"> 1</w:t>
            </w:r>
          </w:p>
        </w:tc>
        <w:tc>
          <w:tcPr>
            <w:tcW w:w="1106" w:type="dxa"/>
            <w:tcBorders>
              <w:right w:val="nil"/>
            </w:tcBorders>
            <w:vAlign w:val="top"/>
          </w:tcPr>
          <w:p w14:paraId="4FC1E48F">
            <w:pPr>
              <w:spacing w:before="25" w:line="281" w:lineRule="exact"/>
              <w:ind w:left="445"/>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w:t>
            </w:r>
            <w:r>
              <w:rPr>
                <w:rFonts w:ascii="Times New Roman" w:hAnsi="Times New Roman" w:eastAsia="Times New Roman" w:cs="Times New Roman"/>
                <w:spacing w:val="2"/>
                <w:position w:val="2"/>
                <w:sz w:val="20"/>
                <w:szCs w:val="20"/>
              </w:rPr>
              <w:t>2</w:t>
            </w:r>
          </w:p>
        </w:tc>
      </w:tr>
      <w:tr w14:paraId="75B872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651" w:type="dxa"/>
            <w:vMerge w:val="continue"/>
            <w:tcBorders>
              <w:top w:val="nil"/>
              <w:left w:val="nil"/>
              <w:bottom w:val="nil"/>
            </w:tcBorders>
            <w:textDirection w:val="tbRlV"/>
            <w:vAlign w:val="top"/>
          </w:tcPr>
          <w:p w14:paraId="704B51CF">
            <w:pPr>
              <w:rPr>
                <w:rFonts w:ascii="Arial"/>
                <w:sz w:val="21"/>
              </w:rPr>
            </w:pPr>
          </w:p>
        </w:tc>
        <w:tc>
          <w:tcPr>
            <w:tcW w:w="1079" w:type="dxa"/>
            <w:vAlign w:val="top"/>
          </w:tcPr>
          <w:p w14:paraId="2E6F5DB6">
            <w:pPr>
              <w:spacing w:before="65" w:line="228" w:lineRule="auto"/>
              <w:ind w:left="138"/>
              <w:rPr>
                <w:rFonts w:ascii="宋体" w:hAnsi="宋体" w:eastAsia="宋体" w:cs="宋体"/>
                <w:sz w:val="20"/>
                <w:szCs w:val="20"/>
              </w:rPr>
            </w:pPr>
            <w:r>
              <w:rPr>
                <w:rFonts w:ascii="宋体" w:hAnsi="宋体" w:eastAsia="宋体" w:cs="宋体"/>
                <w:spacing w:val="4"/>
                <w:sz w:val="20"/>
                <w:szCs w:val="20"/>
              </w:rPr>
              <w:t>影响性</w:t>
            </w:r>
            <w:r>
              <w:rPr>
                <w:rFonts w:ascii="宋体" w:hAnsi="宋体" w:eastAsia="宋体" w:cs="宋体"/>
                <w:spacing w:val="3"/>
                <w:sz w:val="20"/>
                <w:szCs w:val="20"/>
              </w:rPr>
              <w:t>质</w:t>
            </w:r>
          </w:p>
        </w:tc>
        <w:tc>
          <w:tcPr>
            <w:tcW w:w="1145" w:type="dxa"/>
            <w:vAlign w:val="top"/>
          </w:tcPr>
          <w:p w14:paraId="5198975C">
            <w:pPr>
              <w:spacing w:before="64" w:line="229" w:lineRule="auto"/>
              <w:ind w:left="376"/>
              <w:rPr>
                <w:rFonts w:ascii="宋体" w:hAnsi="宋体" w:eastAsia="宋体" w:cs="宋体"/>
                <w:sz w:val="20"/>
                <w:szCs w:val="20"/>
              </w:rPr>
            </w:pPr>
            <w:r>
              <w:rPr>
                <w:rFonts w:ascii="宋体" w:hAnsi="宋体" w:eastAsia="宋体" w:cs="宋体"/>
                <w:spacing w:val="2"/>
                <w:sz w:val="20"/>
                <w:szCs w:val="20"/>
              </w:rPr>
              <w:t>直</w:t>
            </w:r>
            <w:r>
              <w:rPr>
                <w:rFonts w:ascii="宋体" w:hAnsi="宋体" w:eastAsia="宋体" w:cs="宋体"/>
                <w:spacing w:val="1"/>
                <w:sz w:val="20"/>
                <w:szCs w:val="20"/>
              </w:rPr>
              <w:t>接</w:t>
            </w:r>
          </w:p>
        </w:tc>
        <w:tc>
          <w:tcPr>
            <w:tcW w:w="1145" w:type="dxa"/>
            <w:vAlign w:val="top"/>
          </w:tcPr>
          <w:p w14:paraId="55080B3B">
            <w:pPr>
              <w:spacing w:before="64" w:line="229" w:lineRule="auto"/>
              <w:ind w:left="376"/>
              <w:rPr>
                <w:rFonts w:ascii="宋体" w:hAnsi="宋体" w:eastAsia="宋体" w:cs="宋体"/>
                <w:sz w:val="20"/>
                <w:szCs w:val="20"/>
              </w:rPr>
            </w:pPr>
            <w:r>
              <w:rPr>
                <w:rFonts w:ascii="宋体" w:hAnsi="宋体" w:eastAsia="宋体" w:cs="宋体"/>
                <w:spacing w:val="2"/>
                <w:sz w:val="20"/>
                <w:szCs w:val="20"/>
              </w:rPr>
              <w:t>直</w:t>
            </w:r>
            <w:r>
              <w:rPr>
                <w:rFonts w:ascii="宋体" w:hAnsi="宋体" w:eastAsia="宋体" w:cs="宋体"/>
                <w:spacing w:val="1"/>
                <w:sz w:val="20"/>
                <w:szCs w:val="20"/>
              </w:rPr>
              <w:t>接</w:t>
            </w:r>
          </w:p>
        </w:tc>
        <w:tc>
          <w:tcPr>
            <w:tcW w:w="1145" w:type="dxa"/>
            <w:vAlign w:val="top"/>
          </w:tcPr>
          <w:p w14:paraId="01A38F3C">
            <w:pPr>
              <w:spacing w:before="64" w:line="229" w:lineRule="auto"/>
              <w:ind w:left="375"/>
              <w:rPr>
                <w:rFonts w:ascii="宋体" w:hAnsi="宋体" w:eastAsia="宋体" w:cs="宋体"/>
                <w:sz w:val="20"/>
                <w:szCs w:val="20"/>
              </w:rPr>
            </w:pPr>
            <w:r>
              <w:rPr>
                <w:rFonts w:ascii="宋体" w:hAnsi="宋体" w:eastAsia="宋体" w:cs="宋体"/>
                <w:spacing w:val="2"/>
                <w:sz w:val="20"/>
                <w:szCs w:val="20"/>
              </w:rPr>
              <w:t>直</w:t>
            </w:r>
            <w:r>
              <w:rPr>
                <w:rFonts w:ascii="宋体" w:hAnsi="宋体" w:eastAsia="宋体" w:cs="宋体"/>
                <w:spacing w:val="1"/>
                <w:sz w:val="20"/>
                <w:szCs w:val="20"/>
              </w:rPr>
              <w:t>接</w:t>
            </w:r>
          </w:p>
        </w:tc>
        <w:tc>
          <w:tcPr>
            <w:tcW w:w="1145" w:type="dxa"/>
            <w:vAlign w:val="top"/>
          </w:tcPr>
          <w:p w14:paraId="503BB183">
            <w:pPr>
              <w:spacing w:before="64" w:line="229" w:lineRule="auto"/>
              <w:ind w:left="375"/>
              <w:rPr>
                <w:rFonts w:ascii="宋体" w:hAnsi="宋体" w:eastAsia="宋体" w:cs="宋体"/>
                <w:sz w:val="20"/>
                <w:szCs w:val="20"/>
              </w:rPr>
            </w:pPr>
            <w:r>
              <w:rPr>
                <w:rFonts w:ascii="宋体" w:hAnsi="宋体" w:eastAsia="宋体" w:cs="宋体"/>
                <w:spacing w:val="2"/>
                <w:sz w:val="20"/>
                <w:szCs w:val="20"/>
              </w:rPr>
              <w:t>直</w:t>
            </w:r>
            <w:r>
              <w:rPr>
                <w:rFonts w:ascii="宋体" w:hAnsi="宋体" w:eastAsia="宋体" w:cs="宋体"/>
                <w:spacing w:val="1"/>
                <w:sz w:val="20"/>
                <w:szCs w:val="20"/>
              </w:rPr>
              <w:t>接</w:t>
            </w:r>
          </w:p>
        </w:tc>
        <w:tc>
          <w:tcPr>
            <w:tcW w:w="1105" w:type="dxa"/>
            <w:vAlign w:val="top"/>
          </w:tcPr>
          <w:p w14:paraId="2163CDFB">
            <w:pPr>
              <w:spacing w:before="64" w:line="229" w:lineRule="auto"/>
              <w:ind w:left="370"/>
              <w:rPr>
                <w:rFonts w:ascii="宋体" w:hAnsi="宋体" w:eastAsia="宋体" w:cs="宋体"/>
                <w:sz w:val="20"/>
                <w:szCs w:val="20"/>
              </w:rPr>
            </w:pPr>
            <w:r>
              <w:rPr>
                <w:rFonts w:ascii="宋体" w:hAnsi="宋体" w:eastAsia="宋体" w:cs="宋体"/>
                <w:spacing w:val="-7"/>
                <w:sz w:val="20"/>
                <w:szCs w:val="20"/>
              </w:rPr>
              <w:t>间</w:t>
            </w:r>
            <w:r>
              <w:rPr>
                <w:rFonts w:ascii="宋体" w:hAnsi="宋体" w:eastAsia="宋体" w:cs="宋体"/>
                <w:spacing w:val="-5"/>
                <w:sz w:val="20"/>
                <w:szCs w:val="20"/>
              </w:rPr>
              <w:t>接</w:t>
            </w:r>
          </w:p>
        </w:tc>
        <w:tc>
          <w:tcPr>
            <w:tcW w:w="1106" w:type="dxa"/>
            <w:tcBorders>
              <w:right w:val="nil"/>
            </w:tcBorders>
            <w:vAlign w:val="top"/>
          </w:tcPr>
          <w:p w14:paraId="3493BAB0">
            <w:pPr>
              <w:spacing w:before="64" w:line="229" w:lineRule="auto"/>
              <w:ind w:left="372"/>
              <w:rPr>
                <w:rFonts w:ascii="宋体" w:hAnsi="宋体" w:eastAsia="宋体" w:cs="宋体"/>
                <w:sz w:val="20"/>
                <w:szCs w:val="20"/>
              </w:rPr>
            </w:pPr>
            <w:r>
              <w:rPr>
                <w:rFonts w:ascii="宋体" w:hAnsi="宋体" w:eastAsia="宋体" w:cs="宋体"/>
                <w:spacing w:val="-7"/>
                <w:sz w:val="20"/>
                <w:szCs w:val="20"/>
              </w:rPr>
              <w:t>间</w:t>
            </w:r>
            <w:r>
              <w:rPr>
                <w:rFonts w:ascii="宋体" w:hAnsi="宋体" w:eastAsia="宋体" w:cs="宋体"/>
                <w:spacing w:val="-5"/>
                <w:sz w:val="20"/>
                <w:szCs w:val="20"/>
              </w:rPr>
              <w:t>接</w:t>
            </w:r>
          </w:p>
        </w:tc>
      </w:tr>
      <w:tr w14:paraId="6A644E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651" w:type="dxa"/>
            <w:vMerge w:val="continue"/>
            <w:tcBorders>
              <w:top w:val="nil"/>
              <w:left w:val="nil"/>
            </w:tcBorders>
            <w:textDirection w:val="tbRlV"/>
            <w:vAlign w:val="top"/>
          </w:tcPr>
          <w:p w14:paraId="0F467719">
            <w:pPr>
              <w:rPr>
                <w:rFonts w:ascii="Arial"/>
                <w:sz w:val="21"/>
              </w:rPr>
            </w:pPr>
          </w:p>
        </w:tc>
        <w:tc>
          <w:tcPr>
            <w:tcW w:w="1079" w:type="dxa"/>
            <w:vAlign w:val="top"/>
          </w:tcPr>
          <w:p w14:paraId="1940E7E2">
            <w:pPr>
              <w:spacing w:before="64" w:line="228" w:lineRule="auto"/>
              <w:ind w:left="138"/>
              <w:rPr>
                <w:rFonts w:ascii="宋体" w:hAnsi="宋体" w:eastAsia="宋体" w:cs="宋体"/>
                <w:sz w:val="20"/>
                <w:szCs w:val="20"/>
              </w:rPr>
            </w:pPr>
            <w:r>
              <w:rPr>
                <w:rFonts w:ascii="宋体" w:hAnsi="宋体" w:eastAsia="宋体" w:cs="宋体"/>
                <w:spacing w:val="4"/>
                <w:sz w:val="20"/>
                <w:szCs w:val="20"/>
              </w:rPr>
              <w:t>影响范</w:t>
            </w:r>
            <w:r>
              <w:rPr>
                <w:rFonts w:ascii="宋体" w:hAnsi="宋体" w:eastAsia="宋体" w:cs="宋体"/>
                <w:spacing w:val="3"/>
                <w:sz w:val="20"/>
                <w:szCs w:val="20"/>
              </w:rPr>
              <w:t>围</w:t>
            </w:r>
          </w:p>
        </w:tc>
        <w:tc>
          <w:tcPr>
            <w:tcW w:w="1145" w:type="dxa"/>
            <w:vAlign w:val="top"/>
          </w:tcPr>
          <w:p w14:paraId="53C51B07">
            <w:pPr>
              <w:spacing w:before="100" w:line="195" w:lineRule="auto"/>
              <w:ind w:left="495"/>
              <w:rPr>
                <w:rFonts w:ascii="Times New Roman" w:hAnsi="Times New Roman" w:eastAsia="Times New Roman" w:cs="Times New Roman"/>
                <w:sz w:val="20"/>
                <w:szCs w:val="20"/>
              </w:rPr>
            </w:pPr>
            <w:r>
              <w:rPr>
                <w:rFonts w:ascii="Times New Roman" w:hAnsi="Times New Roman" w:eastAsia="Times New Roman" w:cs="Times New Roman"/>
                <w:spacing w:val="-12"/>
                <w:sz w:val="20"/>
                <w:szCs w:val="20"/>
              </w:rPr>
              <w:t>-</w:t>
            </w:r>
            <w:r>
              <w:rPr>
                <w:rFonts w:ascii="Times New Roman" w:hAnsi="Times New Roman" w:eastAsia="Times New Roman" w:cs="Times New Roman"/>
                <w:spacing w:val="-11"/>
                <w:sz w:val="20"/>
                <w:szCs w:val="20"/>
              </w:rPr>
              <w:t xml:space="preserve"> 1</w:t>
            </w:r>
          </w:p>
        </w:tc>
        <w:tc>
          <w:tcPr>
            <w:tcW w:w="1145" w:type="dxa"/>
            <w:vAlign w:val="top"/>
          </w:tcPr>
          <w:p w14:paraId="6C2326A5">
            <w:pPr>
              <w:spacing w:before="100" w:line="195" w:lineRule="auto"/>
              <w:ind w:left="494"/>
              <w:rPr>
                <w:rFonts w:ascii="Times New Roman" w:hAnsi="Times New Roman" w:eastAsia="Times New Roman" w:cs="Times New Roman"/>
                <w:sz w:val="20"/>
                <w:szCs w:val="20"/>
              </w:rPr>
            </w:pPr>
            <w:r>
              <w:rPr>
                <w:rFonts w:ascii="Times New Roman" w:hAnsi="Times New Roman" w:eastAsia="Times New Roman" w:cs="Times New Roman"/>
                <w:spacing w:val="-12"/>
                <w:sz w:val="20"/>
                <w:szCs w:val="20"/>
              </w:rPr>
              <w:t>-</w:t>
            </w:r>
            <w:r>
              <w:rPr>
                <w:rFonts w:ascii="Times New Roman" w:hAnsi="Times New Roman" w:eastAsia="Times New Roman" w:cs="Times New Roman"/>
                <w:spacing w:val="-11"/>
                <w:sz w:val="20"/>
                <w:szCs w:val="20"/>
              </w:rPr>
              <w:t xml:space="preserve"> 1</w:t>
            </w:r>
          </w:p>
        </w:tc>
        <w:tc>
          <w:tcPr>
            <w:tcW w:w="1145" w:type="dxa"/>
            <w:vAlign w:val="top"/>
          </w:tcPr>
          <w:p w14:paraId="466FB9E2">
            <w:pPr>
              <w:spacing w:before="100" w:line="195" w:lineRule="auto"/>
              <w:ind w:left="4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w:t>
            </w:r>
          </w:p>
        </w:tc>
        <w:tc>
          <w:tcPr>
            <w:tcW w:w="1145" w:type="dxa"/>
            <w:vAlign w:val="top"/>
          </w:tcPr>
          <w:p w14:paraId="6EA5DAC9">
            <w:pPr>
              <w:spacing w:before="100" w:line="195" w:lineRule="auto"/>
              <w:ind w:left="4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w:t>
            </w:r>
          </w:p>
        </w:tc>
        <w:tc>
          <w:tcPr>
            <w:tcW w:w="1105" w:type="dxa"/>
            <w:vAlign w:val="top"/>
          </w:tcPr>
          <w:p w14:paraId="1E454D7D">
            <w:pPr>
              <w:spacing w:before="100" w:line="195" w:lineRule="auto"/>
              <w:ind w:left="475"/>
              <w:rPr>
                <w:rFonts w:ascii="Times New Roman" w:hAnsi="Times New Roman" w:eastAsia="Times New Roman" w:cs="Times New Roman"/>
                <w:sz w:val="20"/>
                <w:szCs w:val="20"/>
              </w:rPr>
            </w:pPr>
            <w:r>
              <w:rPr>
                <w:rFonts w:ascii="Times New Roman" w:hAnsi="Times New Roman" w:eastAsia="Times New Roman" w:cs="Times New Roman"/>
                <w:spacing w:val="-12"/>
                <w:sz w:val="20"/>
                <w:szCs w:val="20"/>
              </w:rPr>
              <w:t>-</w:t>
            </w:r>
            <w:r>
              <w:rPr>
                <w:rFonts w:ascii="Times New Roman" w:hAnsi="Times New Roman" w:eastAsia="Times New Roman" w:cs="Times New Roman"/>
                <w:spacing w:val="-11"/>
                <w:sz w:val="20"/>
                <w:szCs w:val="20"/>
              </w:rPr>
              <w:t xml:space="preserve"> 1</w:t>
            </w:r>
          </w:p>
        </w:tc>
        <w:tc>
          <w:tcPr>
            <w:tcW w:w="1106" w:type="dxa"/>
            <w:tcBorders>
              <w:right w:val="nil"/>
            </w:tcBorders>
            <w:vAlign w:val="top"/>
          </w:tcPr>
          <w:p w14:paraId="06060A99">
            <w:pPr>
              <w:spacing w:before="26" w:line="281" w:lineRule="exact"/>
              <w:ind w:left="445"/>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w:t>
            </w:r>
            <w:r>
              <w:rPr>
                <w:rFonts w:ascii="Times New Roman" w:hAnsi="Times New Roman" w:eastAsia="Times New Roman" w:cs="Times New Roman"/>
                <w:spacing w:val="2"/>
                <w:position w:val="2"/>
                <w:sz w:val="20"/>
                <w:szCs w:val="20"/>
              </w:rPr>
              <w:t>2</w:t>
            </w:r>
          </w:p>
        </w:tc>
      </w:tr>
      <w:tr w14:paraId="3B0FEA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651" w:type="dxa"/>
            <w:vMerge w:val="restart"/>
            <w:tcBorders>
              <w:left w:val="nil"/>
              <w:bottom w:val="nil"/>
            </w:tcBorders>
            <w:textDirection w:val="tbRlV"/>
            <w:vAlign w:val="top"/>
          </w:tcPr>
          <w:p w14:paraId="1A138E08">
            <w:pPr>
              <w:spacing w:before="217" w:line="216" w:lineRule="auto"/>
              <w:ind w:left="70"/>
              <w:rPr>
                <w:rFonts w:ascii="宋体" w:hAnsi="宋体" w:eastAsia="宋体" w:cs="宋体"/>
                <w:sz w:val="20"/>
                <w:szCs w:val="20"/>
              </w:rPr>
            </w:pPr>
            <w:r>
              <w:rPr>
                <w:rFonts w:ascii="宋体" w:hAnsi="宋体" w:eastAsia="宋体" w:cs="宋体"/>
                <w:spacing w:val="16"/>
                <w:sz w:val="20"/>
                <w:szCs w:val="20"/>
              </w:rPr>
              <w:t>营</w:t>
            </w:r>
            <w:r>
              <w:rPr>
                <w:rFonts w:ascii="宋体" w:hAnsi="宋体" w:eastAsia="宋体" w:cs="宋体"/>
                <w:spacing w:val="15"/>
                <w:sz w:val="20"/>
                <w:szCs w:val="20"/>
              </w:rPr>
              <w:t xml:space="preserve"> 运 期</w:t>
            </w:r>
          </w:p>
        </w:tc>
        <w:tc>
          <w:tcPr>
            <w:tcW w:w="1079" w:type="dxa"/>
            <w:vAlign w:val="top"/>
          </w:tcPr>
          <w:p w14:paraId="5C0092BA">
            <w:pPr>
              <w:spacing w:before="66" w:line="228" w:lineRule="auto"/>
              <w:ind w:left="138"/>
              <w:rPr>
                <w:rFonts w:ascii="宋体" w:hAnsi="宋体" w:eastAsia="宋体" w:cs="宋体"/>
                <w:sz w:val="20"/>
                <w:szCs w:val="20"/>
              </w:rPr>
            </w:pPr>
            <w:r>
              <w:rPr>
                <w:rFonts w:ascii="宋体" w:hAnsi="宋体" w:eastAsia="宋体" w:cs="宋体"/>
                <w:spacing w:val="4"/>
                <w:sz w:val="20"/>
                <w:szCs w:val="20"/>
              </w:rPr>
              <w:t>影响程</w:t>
            </w:r>
            <w:r>
              <w:rPr>
                <w:rFonts w:ascii="宋体" w:hAnsi="宋体" w:eastAsia="宋体" w:cs="宋体"/>
                <w:spacing w:val="3"/>
                <w:sz w:val="20"/>
                <w:szCs w:val="20"/>
              </w:rPr>
              <w:t>度</w:t>
            </w:r>
          </w:p>
        </w:tc>
        <w:tc>
          <w:tcPr>
            <w:tcW w:w="1145" w:type="dxa"/>
            <w:vAlign w:val="top"/>
          </w:tcPr>
          <w:p w14:paraId="1EEC1379">
            <w:pPr>
              <w:spacing w:before="102" w:line="195" w:lineRule="auto"/>
              <w:ind w:left="495"/>
              <w:rPr>
                <w:rFonts w:ascii="Times New Roman" w:hAnsi="Times New Roman" w:eastAsia="Times New Roman" w:cs="Times New Roman"/>
                <w:sz w:val="20"/>
                <w:szCs w:val="20"/>
              </w:rPr>
            </w:pPr>
            <w:r>
              <w:rPr>
                <w:rFonts w:ascii="Times New Roman" w:hAnsi="Times New Roman" w:eastAsia="Times New Roman" w:cs="Times New Roman"/>
                <w:spacing w:val="-12"/>
                <w:sz w:val="20"/>
                <w:szCs w:val="20"/>
              </w:rPr>
              <w:t>-</w:t>
            </w:r>
            <w:r>
              <w:rPr>
                <w:rFonts w:ascii="Times New Roman" w:hAnsi="Times New Roman" w:eastAsia="Times New Roman" w:cs="Times New Roman"/>
                <w:spacing w:val="-11"/>
                <w:sz w:val="20"/>
                <w:szCs w:val="20"/>
              </w:rPr>
              <w:t xml:space="preserve"> 1</w:t>
            </w:r>
          </w:p>
        </w:tc>
        <w:tc>
          <w:tcPr>
            <w:tcW w:w="1145" w:type="dxa"/>
            <w:vAlign w:val="top"/>
          </w:tcPr>
          <w:p w14:paraId="1F68C3D1">
            <w:pPr>
              <w:spacing w:before="102" w:line="195" w:lineRule="auto"/>
              <w:ind w:left="494"/>
              <w:rPr>
                <w:rFonts w:ascii="Times New Roman" w:hAnsi="Times New Roman" w:eastAsia="Times New Roman" w:cs="Times New Roman"/>
                <w:sz w:val="20"/>
                <w:szCs w:val="20"/>
              </w:rPr>
            </w:pPr>
            <w:r>
              <w:rPr>
                <w:rFonts w:ascii="Times New Roman" w:hAnsi="Times New Roman" w:eastAsia="Times New Roman" w:cs="Times New Roman"/>
                <w:spacing w:val="-12"/>
                <w:sz w:val="20"/>
                <w:szCs w:val="20"/>
              </w:rPr>
              <w:t>-</w:t>
            </w:r>
            <w:r>
              <w:rPr>
                <w:rFonts w:ascii="Times New Roman" w:hAnsi="Times New Roman" w:eastAsia="Times New Roman" w:cs="Times New Roman"/>
                <w:spacing w:val="-11"/>
                <w:sz w:val="20"/>
                <w:szCs w:val="20"/>
              </w:rPr>
              <w:t xml:space="preserve"> 1</w:t>
            </w:r>
          </w:p>
        </w:tc>
        <w:tc>
          <w:tcPr>
            <w:tcW w:w="1145" w:type="dxa"/>
            <w:vAlign w:val="top"/>
          </w:tcPr>
          <w:p w14:paraId="00831759">
            <w:pPr>
              <w:spacing w:before="102" w:line="195" w:lineRule="auto"/>
              <w:ind w:left="494"/>
              <w:rPr>
                <w:rFonts w:ascii="Times New Roman" w:hAnsi="Times New Roman" w:eastAsia="Times New Roman" w:cs="Times New Roman"/>
                <w:sz w:val="20"/>
                <w:szCs w:val="20"/>
              </w:rPr>
            </w:pPr>
            <w:r>
              <w:rPr>
                <w:rFonts w:ascii="Times New Roman" w:hAnsi="Times New Roman" w:eastAsia="Times New Roman" w:cs="Times New Roman"/>
                <w:spacing w:val="-12"/>
                <w:sz w:val="20"/>
                <w:szCs w:val="20"/>
              </w:rPr>
              <w:t>-</w:t>
            </w:r>
            <w:r>
              <w:rPr>
                <w:rFonts w:ascii="Times New Roman" w:hAnsi="Times New Roman" w:eastAsia="Times New Roman" w:cs="Times New Roman"/>
                <w:spacing w:val="-11"/>
                <w:sz w:val="20"/>
                <w:szCs w:val="20"/>
              </w:rPr>
              <w:t xml:space="preserve"> 1</w:t>
            </w:r>
          </w:p>
        </w:tc>
        <w:tc>
          <w:tcPr>
            <w:tcW w:w="1145" w:type="dxa"/>
            <w:vAlign w:val="top"/>
          </w:tcPr>
          <w:p w14:paraId="200666E5">
            <w:pPr>
              <w:spacing w:before="102" w:line="195" w:lineRule="auto"/>
              <w:ind w:left="4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w:t>
            </w:r>
          </w:p>
        </w:tc>
        <w:tc>
          <w:tcPr>
            <w:tcW w:w="1105" w:type="dxa"/>
            <w:vAlign w:val="top"/>
          </w:tcPr>
          <w:p w14:paraId="1CDC7C72">
            <w:pPr>
              <w:spacing w:before="102" w:line="195" w:lineRule="auto"/>
              <w:ind w:left="475"/>
              <w:rPr>
                <w:rFonts w:ascii="Times New Roman" w:hAnsi="Times New Roman" w:eastAsia="Times New Roman" w:cs="Times New Roman"/>
                <w:sz w:val="20"/>
                <w:szCs w:val="20"/>
              </w:rPr>
            </w:pPr>
            <w:r>
              <w:rPr>
                <w:rFonts w:ascii="Times New Roman" w:hAnsi="Times New Roman" w:eastAsia="Times New Roman" w:cs="Times New Roman"/>
                <w:spacing w:val="-12"/>
                <w:sz w:val="20"/>
                <w:szCs w:val="20"/>
              </w:rPr>
              <w:t>-</w:t>
            </w:r>
            <w:r>
              <w:rPr>
                <w:rFonts w:ascii="Times New Roman" w:hAnsi="Times New Roman" w:eastAsia="Times New Roman" w:cs="Times New Roman"/>
                <w:spacing w:val="-11"/>
                <w:sz w:val="20"/>
                <w:szCs w:val="20"/>
              </w:rPr>
              <w:t xml:space="preserve"> 1</w:t>
            </w:r>
          </w:p>
        </w:tc>
        <w:tc>
          <w:tcPr>
            <w:tcW w:w="1106" w:type="dxa"/>
            <w:tcBorders>
              <w:right w:val="nil"/>
            </w:tcBorders>
            <w:vAlign w:val="top"/>
          </w:tcPr>
          <w:p w14:paraId="153F185B">
            <w:pPr>
              <w:spacing w:before="28" w:line="281" w:lineRule="exact"/>
              <w:ind w:left="445"/>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w:t>
            </w:r>
            <w:r>
              <w:rPr>
                <w:rFonts w:ascii="Times New Roman" w:hAnsi="Times New Roman" w:eastAsia="Times New Roman" w:cs="Times New Roman"/>
                <w:spacing w:val="2"/>
                <w:position w:val="2"/>
                <w:sz w:val="20"/>
                <w:szCs w:val="20"/>
              </w:rPr>
              <w:t>3</w:t>
            </w:r>
          </w:p>
        </w:tc>
      </w:tr>
      <w:tr w14:paraId="23A486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651" w:type="dxa"/>
            <w:vMerge w:val="continue"/>
            <w:tcBorders>
              <w:top w:val="nil"/>
              <w:left w:val="nil"/>
              <w:bottom w:val="nil"/>
            </w:tcBorders>
            <w:textDirection w:val="tbRlV"/>
            <w:vAlign w:val="top"/>
          </w:tcPr>
          <w:p w14:paraId="774C6198">
            <w:pPr>
              <w:rPr>
                <w:rFonts w:ascii="Arial"/>
                <w:sz w:val="21"/>
              </w:rPr>
            </w:pPr>
          </w:p>
        </w:tc>
        <w:tc>
          <w:tcPr>
            <w:tcW w:w="1079" w:type="dxa"/>
            <w:vAlign w:val="top"/>
          </w:tcPr>
          <w:p w14:paraId="00AA41E4">
            <w:pPr>
              <w:spacing w:before="67" w:line="228" w:lineRule="auto"/>
              <w:ind w:left="138"/>
              <w:rPr>
                <w:rFonts w:ascii="宋体" w:hAnsi="宋体" w:eastAsia="宋体" w:cs="宋体"/>
                <w:sz w:val="20"/>
                <w:szCs w:val="20"/>
              </w:rPr>
            </w:pPr>
            <w:r>
              <w:rPr>
                <w:rFonts w:ascii="宋体" w:hAnsi="宋体" w:eastAsia="宋体" w:cs="宋体"/>
                <w:spacing w:val="4"/>
                <w:sz w:val="20"/>
                <w:szCs w:val="20"/>
              </w:rPr>
              <w:t>影响性</w:t>
            </w:r>
            <w:r>
              <w:rPr>
                <w:rFonts w:ascii="宋体" w:hAnsi="宋体" w:eastAsia="宋体" w:cs="宋体"/>
                <w:spacing w:val="3"/>
                <w:sz w:val="20"/>
                <w:szCs w:val="20"/>
              </w:rPr>
              <w:t>质</w:t>
            </w:r>
          </w:p>
        </w:tc>
        <w:tc>
          <w:tcPr>
            <w:tcW w:w="1145" w:type="dxa"/>
            <w:vAlign w:val="top"/>
          </w:tcPr>
          <w:p w14:paraId="35EC7B77">
            <w:pPr>
              <w:spacing w:before="66" w:line="229" w:lineRule="auto"/>
              <w:ind w:left="390"/>
              <w:rPr>
                <w:rFonts w:ascii="宋体" w:hAnsi="宋体" w:eastAsia="宋体" w:cs="宋体"/>
                <w:sz w:val="20"/>
                <w:szCs w:val="20"/>
              </w:rPr>
            </w:pPr>
            <w:r>
              <w:rPr>
                <w:rFonts w:ascii="宋体" w:hAnsi="宋体" w:eastAsia="宋体" w:cs="宋体"/>
                <w:spacing w:val="-7"/>
                <w:sz w:val="20"/>
                <w:szCs w:val="20"/>
              </w:rPr>
              <w:t>间</w:t>
            </w:r>
            <w:r>
              <w:rPr>
                <w:rFonts w:ascii="宋体" w:hAnsi="宋体" w:eastAsia="宋体" w:cs="宋体"/>
                <w:spacing w:val="-5"/>
                <w:sz w:val="20"/>
                <w:szCs w:val="20"/>
              </w:rPr>
              <w:t>接</w:t>
            </w:r>
          </w:p>
        </w:tc>
        <w:tc>
          <w:tcPr>
            <w:tcW w:w="1145" w:type="dxa"/>
            <w:vAlign w:val="top"/>
          </w:tcPr>
          <w:p w14:paraId="0F128029">
            <w:pPr>
              <w:spacing w:before="66" w:line="229" w:lineRule="auto"/>
              <w:ind w:left="376"/>
              <w:rPr>
                <w:rFonts w:ascii="宋体" w:hAnsi="宋体" w:eastAsia="宋体" w:cs="宋体"/>
                <w:sz w:val="20"/>
                <w:szCs w:val="20"/>
              </w:rPr>
            </w:pPr>
            <w:r>
              <w:rPr>
                <w:rFonts w:ascii="宋体" w:hAnsi="宋体" w:eastAsia="宋体" w:cs="宋体"/>
                <w:spacing w:val="2"/>
                <w:sz w:val="20"/>
                <w:szCs w:val="20"/>
              </w:rPr>
              <w:t>直</w:t>
            </w:r>
            <w:r>
              <w:rPr>
                <w:rFonts w:ascii="宋体" w:hAnsi="宋体" w:eastAsia="宋体" w:cs="宋体"/>
                <w:spacing w:val="1"/>
                <w:sz w:val="20"/>
                <w:szCs w:val="20"/>
              </w:rPr>
              <w:t>接</w:t>
            </w:r>
          </w:p>
        </w:tc>
        <w:tc>
          <w:tcPr>
            <w:tcW w:w="1145" w:type="dxa"/>
            <w:vAlign w:val="top"/>
          </w:tcPr>
          <w:p w14:paraId="42D63A2A">
            <w:pPr>
              <w:spacing w:before="66" w:line="229" w:lineRule="auto"/>
              <w:ind w:left="375"/>
              <w:rPr>
                <w:rFonts w:ascii="宋体" w:hAnsi="宋体" w:eastAsia="宋体" w:cs="宋体"/>
                <w:sz w:val="20"/>
                <w:szCs w:val="20"/>
              </w:rPr>
            </w:pPr>
            <w:r>
              <w:rPr>
                <w:rFonts w:ascii="宋体" w:hAnsi="宋体" w:eastAsia="宋体" w:cs="宋体"/>
                <w:spacing w:val="2"/>
                <w:sz w:val="20"/>
                <w:szCs w:val="20"/>
              </w:rPr>
              <w:t>直</w:t>
            </w:r>
            <w:r>
              <w:rPr>
                <w:rFonts w:ascii="宋体" w:hAnsi="宋体" w:eastAsia="宋体" w:cs="宋体"/>
                <w:spacing w:val="1"/>
                <w:sz w:val="20"/>
                <w:szCs w:val="20"/>
              </w:rPr>
              <w:t>接</w:t>
            </w:r>
          </w:p>
        </w:tc>
        <w:tc>
          <w:tcPr>
            <w:tcW w:w="1145" w:type="dxa"/>
            <w:vAlign w:val="top"/>
          </w:tcPr>
          <w:p w14:paraId="4ACDEFD0">
            <w:pPr>
              <w:spacing w:before="66" w:line="229" w:lineRule="auto"/>
              <w:ind w:left="375"/>
              <w:rPr>
                <w:rFonts w:ascii="宋体" w:hAnsi="宋体" w:eastAsia="宋体" w:cs="宋体"/>
                <w:sz w:val="20"/>
                <w:szCs w:val="20"/>
              </w:rPr>
            </w:pPr>
            <w:r>
              <w:rPr>
                <w:rFonts w:ascii="宋体" w:hAnsi="宋体" w:eastAsia="宋体" w:cs="宋体"/>
                <w:spacing w:val="2"/>
                <w:sz w:val="20"/>
                <w:szCs w:val="20"/>
              </w:rPr>
              <w:t>直</w:t>
            </w:r>
            <w:r>
              <w:rPr>
                <w:rFonts w:ascii="宋体" w:hAnsi="宋体" w:eastAsia="宋体" w:cs="宋体"/>
                <w:spacing w:val="1"/>
                <w:sz w:val="20"/>
                <w:szCs w:val="20"/>
              </w:rPr>
              <w:t>接</w:t>
            </w:r>
          </w:p>
        </w:tc>
        <w:tc>
          <w:tcPr>
            <w:tcW w:w="1105" w:type="dxa"/>
            <w:vAlign w:val="top"/>
          </w:tcPr>
          <w:p w14:paraId="79883D05">
            <w:pPr>
              <w:spacing w:before="66" w:line="229" w:lineRule="auto"/>
              <w:ind w:left="370"/>
              <w:rPr>
                <w:rFonts w:ascii="宋体" w:hAnsi="宋体" w:eastAsia="宋体" w:cs="宋体"/>
                <w:sz w:val="20"/>
                <w:szCs w:val="20"/>
              </w:rPr>
            </w:pPr>
            <w:r>
              <w:rPr>
                <w:rFonts w:ascii="宋体" w:hAnsi="宋体" w:eastAsia="宋体" w:cs="宋体"/>
                <w:spacing w:val="-7"/>
                <w:sz w:val="20"/>
                <w:szCs w:val="20"/>
              </w:rPr>
              <w:t>间</w:t>
            </w:r>
            <w:r>
              <w:rPr>
                <w:rFonts w:ascii="宋体" w:hAnsi="宋体" w:eastAsia="宋体" w:cs="宋体"/>
                <w:spacing w:val="-5"/>
                <w:sz w:val="20"/>
                <w:szCs w:val="20"/>
              </w:rPr>
              <w:t>接</w:t>
            </w:r>
          </w:p>
        </w:tc>
        <w:tc>
          <w:tcPr>
            <w:tcW w:w="1106" w:type="dxa"/>
            <w:tcBorders>
              <w:right w:val="nil"/>
            </w:tcBorders>
            <w:vAlign w:val="top"/>
          </w:tcPr>
          <w:p w14:paraId="493AECC4">
            <w:pPr>
              <w:spacing w:before="66" w:line="229" w:lineRule="auto"/>
              <w:ind w:left="372"/>
              <w:rPr>
                <w:rFonts w:ascii="宋体" w:hAnsi="宋体" w:eastAsia="宋体" w:cs="宋体"/>
                <w:sz w:val="20"/>
                <w:szCs w:val="20"/>
              </w:rPr>
            </w:pPr>
            <w:r>
              <w:rPr>
                <w:rFonts w:ascii="宋体" w:hAnsi="宋体" w:eastAsia="宋体" w:cs="宋体"/>
                <w:spacing w:val="-7"/>
                <w:sz w:val="20"/>
                <w:szCs w:val="20"/>
              </w:rPr>
              <w:t>间</w:t>
            </w:r>
            <w:r>
              <w:rPr>
                <w:rFonts w:ascii="宋体" w:hAnsi="宋体" w:eastAsia="宋体" w:cs="宋体"/>
                <w:spacing w:val="-5"/>
                <w:sz w:val="20"/>
                <w:szCs w:val="20"/>
              </w:rPr>
              <w:t>接</w:t>
            </w:r>
          </w:p>
        </w:tc>
      </w:tr>
      <w:tr w14:paraId="5BCAC5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651" w:type="dxa"/>
            <w:vMerge w:val="continue"/>
            <w:tcBorders>
              <w:top w:val="nil"/>
              <w:left w:val="nil"/>
            </w:tcBorders>
            <w:textDirection w:val="tbRlV"/>
            <w:vAlign w:val="top"/>
          </w:tcPr>
          <w:p w14:paraId="3CB5EAC5">
            <w:pPr>
              <w:rPr>
                <w:rFonts w:ascii="Arial"/>
                <w:sz w:val="21"/>
              </w:rPr>
            </w:pPr>
          </w:p>
        </w:tc>
        <w:tc>
          <w:tcPr>
            <w:tcW w:w="1079" w:type="dxa"/>
            <w:vAlign w:val="top"/>
          </w:tcPr>
          <w:p w14:paraId="6A618426">
            <w:pPr>
              <w:spacing w:before="65" w:line="228" w:lineRule="auto"/>
              <w:ind w:left="138"/>
              <w:rPr>
                <w:rFonts w:ascii="宋体" w:hAnsi="宋体" w:eastAsia="宋体" w:cs="宋体"/>
                <w:sz w:val="20"/>
                <w:szCs w:val="20"/>
              </w:rPr>
            </w:pPr>
            <w:r>
              <w:rPr>
                <w:rFonts w:ascii="宋体" w:hAnsi="宋体" w:eastAsia="宋体" w:cs="宋体"/>
                <w:spacing w:val="4"/>
                <w:sz w:val="20"/>
                <w:szCs w:val="20"/>
              </w:rPr>
              <w:t>影响范</w:t>
            </w:r>
            <w:r>
              <w:rPr>
                <w:rFonts w:ascii="宋体" w:hAnsi="宋体" w:eastAsia="宋体" w:cs="宋体"/>
                <w:spacing w:val="3"/>
                <w:sz w:val="20"/>
                <w:szCs w:val="20"/>
              </w:rPr>
              <w:t>围</w:t>
            </w:r>
          </w:p>
        </w:tc>
        <w:tc>
          <w:tcPr>
            <w:tcW w:w="1145" w:type="dxa"/>
            <w:vAlign w:val="top"/>
          </w:tcPr>
          <w:p w14:paraId="42F018B4">
            <w:pPr>
              <w:spacing w:before="101" w:line="195" w:lineRule="auto"/>
              <w:ind w:left="495"/>
              <w:rPr>
                <w:rFonts w:ascii="Times New Roman" w:hAnsi="Times New Roman" w:eastAsia="Times New Roman" w:cs="Times New Roman"/>
                <w:sz w:val="20"/>
                <w:szCs w:val="20"/>
              </w:rPr>
            </w:pPr>
            <w:r>
              <w:rPr>
                <w:rFonts w:ascii="Times New Roman" w:hAnsi="Times New Roman" w:eastAsia="Times New Roman" w:cs="Times New Roman"/>
                <w:spacing w:val="-12"/>
                <w:sz w:val="20"/>
                <w:szCs w:val="20"/>
              </w:rPr>
              <w:t>-</w:t>
            </w:r>
            <w:r>
              <w:rPr>
                <w:rFonts w:ascii="Times New Roman" w:hAnsi="Times New Roman" w:eastAsia="Times New Roman" w:cs="Times New Roman"/>
                <w:spacing w:val="-11"/>
                <w:sz w:val="20"/>
                <w:szCs w:val="20"/>
              </w:rPr>
              <w:t xml:space="preserve"> 1</w:t>
            </w:r>
          </w:p>
        </w:tc>
        <w:tc>
          <w:tcPr>
            <w:tcW w:w="1145" w:type="dxa"/>
            <w:vAlign w:val="top"/>
          </w:tcPr>
          <w:p w14:paraId="69F5E8B3">
            <w:pPr>
              <w:spacing w:before="101" w:line="195" w:lineRule="auto"/>
              <w:ind w:left="494"/>
              <w:rPr>
                <w:rFonts w:ascii="Times New Roman" w:hAnsi="Times New Roman" w:eastAsia="Times New Roman" w:cs="Times New Roman"/>
                <w:sz w:val="20"/>
                <w:szCs w:val="20"/>
              </w:rPr>
            </w:pPr>
            <w:r>
              <w:rPr>
                <w:rFonts w:ascii="Times New Roman" w:hAnsi="Times New Roman" w:eastAsia="Times New Roman" w:cs="Times New Roman"/>
                <w:spacing w:val="-12"/>
                <w:sz w:val="20"/>
                <w:szCs w:val="20"/>
              </w:rPr>
              <w:t>-</w:t>
            </w:r>
            <w:r>
              <w:rPr>
                <w:rFonts w:ascii="Times New Roman" w:hAnsi="Times New Roman" w:eastAsia="Times New Roman" w:cs="Times New Roman"/>
                <w:spacing w:val="-11"/>
                <w:sz w:val="20"/>
                <w:szCs w:val="20"/>
              </w:rPr>
              <w:t xml:space="preserve"> 1</w:t>
            </w:r>
          </w:p>
        </w:tc>
        <w:tc>
          <w:tcPr>
            <w:tcW w:w="1145" w:type="dxa"/>
            <w:vAlign w:val="top"/>
          </w:tcPr>
          <w:p w14:paraId="0BAA29AE">
            <w:pPr>
              <w:spacing w:before="101" w:line="195" w:lineRule="auto"/>
              <w:ind w:left="494"/>
              <w:rPr>
                <w:rFonts w:ascii="Times New Roman" w:hAnsi="Times New Roman" w:eastAsia="Times New Roman" w:cs="Times New Roman"/>
                <w:sz w:val="20"/>
                <w:szCs w:val="20"/>
              </w:rPr>
            </w:pPr>
            <w:r>
              <w:rPr>
                <w:rFonts w:ascii="Times New Roman" w:hAnsi="Times New Roman" w:eastAsia="Times New Roman" w:cs="Times New Roman"/>
                <w:spacing w:val="-12"/>
                <w:sz w:val="20"/>
                <w:szCs w:val="20"/>
              </w:rPr>
              <w:t>-</w:t>
            </w:r>
            <w:r>
              <w:rPr>
                <w:rFonts w:ascii="Times New Roman" w:hAnsi="Times New Roman" w:eastAsia="Times New Roman" w:cs="Times New Roman"/>
                <w:spacing w:val="-11"/>
                <w:sz w:val="20"/>
                <w:szCs w:val="20"/>
              </w:rPr>
              <w:t xml:space="preserve"> 1</w:t>
            </w:r>
          </w:p>
        </w:tc>
        <w:tc>
          <w:tcPr>
            <w:tcW w:w="1145" w:type="dxa"/>
            <w:vAlign w:val="top"/>
          </w:tcPr>
          <w:p w14:paraId="5FBC31B7">
            <w:pPr>
              <w:spacing w:before="101" w:line="195" w:lineRule="auto"/>
              <w:ind w:left="494"/>
              <w:rPr>
                <w:rFonts w:ascii="Times New Roman" w:hAnsi="Times New Roman" w:eastAsia="Times New Roman" w:cs="Times New Roman"/>
                <w:sz w:val="20"/>
                <w:szCs w:val="20"/>
              </w:rPr>
            </w:pPr>
            <w:r>
              <w:rPr>
                <w:rFonts w:ascii="Times New Roman" w:hAnsi="Times New Roman" w:eastAsia="Times New Roman" w:cs="Times New Roman"/>
                <w:spacing w:val="-12"/>
                <w:sz w:val="20"/>
                <w:szCs w:val="20"/>
              </w:rPr>
              <w:t>-</w:t>
            </w:r>
            <w:r>
              <w:rPr>
                <w:rFonts w:ascii="Times New Roman" w:hAnsi="Times New Roman" w:eastAsia="Times New Roman" w:cs="Times New Roman"/>
                <w:spacing w:val="-11"/>
                <w:sz w:val="20"/>
                <w:szCs w:val="20"/>
              </w:rPr>
              <w:t xml:space="preserve"> 1</w:t>
            </w:r>
          </w:p>
        </w:tc>
        <w:tc>
          <w:tcPr>
            <w:tcW w:w="1105" w:type="dxa"/>
            <w:vAlign w:val="top"/>
          </w:tcPr>
          <w:p w14:paraId="306A0AC6">
            <w:pPr>
              <w:spacing w:before="101" w:line="195" w:lineRule="auto"/>
              <w:ind w:left="475"/>
              <w:rPr>
                <w:rFonts w:ascii="Times New Roman" w:hAnsi="Times New Roman" w:eastAsia="Times New Roman" w:cs="Times New Roman"/>
                <w:sz w:val="20"/>
                <w:szCs w:val="20"/>
              </w:rPr>
            </w:pPr>
            <w:r>
              <w:rPr>
                <w:rFonts w:ascii="Times New Roman" w:hAnsi="Times New Roman" w:eastAsia="Times New Roman" w:cs="Times New Roman"/>
                <w:spacing w:val="-12"/>
                <w:sz w:val="20"/>
                <w:szCs w:val="20"/>
              </w:rPr>
              <w:t>-</w:t>
            </w:r>
            <w:r>
              <w:rPr>
                <w:rFonts w:ascii="Times New Roman" w:hAnsi="Times New Roman" w:eastAsia="Times New Roman" w:cs="Times New Roman"/>
                <w:spacing w:val="-11"/>
                <w:sz w:val="20"/>
                <w:szCs w:val="20"/>
              </w:rPr>
              <w:t xml:space="preserve"> 1</w:t>
            </w:r>
          </w:p>
        </w:tc>
        <w:tc>
          <w:tcPr>
            <w:tcW w:w="1106" w:type="dxa"/>
            <w:tcBorders>
              <w:right w:val="nil"/>
            </w:tcBorders>
            <w:vAlign w:val="top"/>
          </w:tcPr>
          <w:p w14:paraId="3467D63C">
            <w:pPr>
              <w:spacing w:before="27" w:line="281" w:lineRule="exact"/>
              <w:ind w:left="445"/>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w:t>
            </w:r>
            <w:r>
              <w:rPr>
                <w:rFonts w:ascii="Times New Roman" w:hAnsi="Times New Roman" w:eastAsia="Times New Roman" w:cs="Times New Roman"/>
                <w:spacing w:val="2"/>
                <w:position w:val="2"/>
                <w:sz w:val="20"/>
                <w:szCs w:val="20"/>
              </w:rPr>
              <w:t>3</w:t>
            </w:r>
          </w:p>
        </w:tc>
      </w:tr>
    </w:tbl>
    <w:p w14:paraId="6E867625">
      <w:pPr>
        <w:spacing w:before="44" w:line="242" w:lineRule="exact"/>
        <w:ind w:left="30"/>
        <w:rPr>
          <w:rFonts w:ascii="宋体" w:hAnsi="宋体" w:eastAsia="宋体" w:cs="宋体"/>
          <w:sz w:val="17"/>
          <w:szCs w:val="17"/>
        </w:rPr>
      </w:pPr>
      <w:r>
        <w:rPr>
          <w:rFonts w:ascii="宋体" w:hAnsi="宋体" w:eastAsia="宋体" w:cs="宋体"/>
          <w:spacing w:val="-4"/>
          <w:position w:val="1"/>
          <w:sz w:val="17"/>
          <w:szCs w:val="17"/>
        </w:rPr>
        <w:t>注：</w:t>
      </w:r>
      <w:r>
        <w:rPr>
          <w:rFonts w:ascii="Times New Roman" w:hAnsi="Times New Roman" w:eastAsia="Times New Roman" w:cs="Times New Roman"/>
          <w:spacing w:val="-4"/>
          <w:position w:val="1"/>
          <w:sz w:val="17"/>
          <w:szCs w:val="17"/>
        </w:rPr>
        <w:t>“1”</w:t>
      </w:r>
      <w:r>
        <w:rPr>
          <w:rFonts w:ascii="宋体" w:hAnsi="宋体" w:eastAsia="宋体" w:cs="宋体"/>
          <w:spacing w:val="-4"/>
          <w:position w:val="1"/>
          <w:sz w:val="17"/>
          <w:szCs w:val="17"/>
        </w:rPr>
        <w:t>影响较小；</w:t>
      </w:r>
      <w:r>
        <w:rPr>
          <w:rFonts w:ascii="Times New Roman" w:hAnsi="Times New Roman" w:eastAsia="Times New Roman" w:cs="Times New Roman"/>
          <w:spacing w:val="-4"/>
          <w:position w:val="1"/>
          <w:sz w:val="17"/>
          <w:szCs w:val="17"/>
        </w:rPr>
        <w:t>“2”</w:t>
      </w:r>
      <w:r>
        <w:rPr>
          <w:rFonts w:ascii="宋体" w:hAnsi="宋体" w:eastAsia="宋体" w:cs="宋体"/>
          <w:spacing w:val="-4"/>
          <w:position w:val="1"/>
          <w:sz w:val="17"/>
          <w:szCs w:val="17"/>
        </w:rPr>
        <w:t>影响一般</w:t>
      </w:r>
      <w:r>
        <w:rPr>
          <w:rFonts w:ascii="宋体" w:hAnsi="宋体" w:eastAsia="宋体" w:cs="宋体"/>
          <w:spacing w:val="-2"/>
          <w:position w:val="1"/>
          <w:sz w:val="17"/>
          <w:szCs w:val="17"/>
        </w:rPr>
        <w:t>；</w:t>
      </w:r>
      <w:r>
        <w:rPr>
          <w:rFonts w:ascii="Times New Roman" w:hAnsi="Times New Roman" w:eastAsia="Times New Roman" w:cs="Times New Roman"/>
          <w:spacing w:val="-2"/>
          <w:position w:val="1"/>
          <w:sz w:val="17"/>
          <w:szCs w:val="17"/>
        </w:rPr>
        <w:t>“3”</w:t>
      </w:r>
      <w:r>
        <w:rPr>
          <w:rFonts w:ascii="宋体" w:hAnsi="宋体" w:eastAsia="宋体" w:cs="宋体"/>
          <w:spacing w:val="-2"/>
          <w:position w:val="1"/>
          <w:sz w:val="17"/>
          <w:szCs w:val="17"/>
        </w:rPr>
        <w:t>影响较大；</w:t>
      </w:r>
      <w:r>
        <w:rPr>
          <w:rFonts w:ascii="Times New Roman" w:hAnsi="Times New Roman" w:eastAsia="Times New Roman" w:cs="Times New Roman"/>
          <w:spacing w:val="-2"/>
          <w:position w:val="1"/>
          <w:sz w:val="17"/>
          <w:szCs w:val="17"/>
        </w:rPr>
        <w:t>“-”</w:t>
      </w:r>
      <w:r>
        <w:rPr>
          <w:rFonts w:ascii="宋体" w:hAnsi="宋体" w:eastAsia="宋体" w:cs="宋体"/>
          <w:spacing w:val="-2"/>
          <w:position w:val="1"/>
          <w:sz w:val="17"/>
          <w:szCs w:val="17"/>
        </w:rPr>
        <w:t>表示负面影响；</w:t>
      </w:r>
      <w:r>
        <w:rPr>
          <w:rFonts w:ascii="Times New Roman" w:hAnsi="Times New Roman" w:eastAsia="Times New Roman" w:cs="Times New Roman"/>
          <w:spacing w:val="-2"/>
          <w:position w:val="1"/>
          <w:sz w:val="17"/>
          <w:szCs w:val="17"/>
        </w:rPr>
        <w:t>“+”</w:t>
      </w:r>
      <w:r>
        <w:rPr>
          <w:rFonts w:ascii="宋体" w:hAnsi="宋体" w:eastAsia="宋体" w:cs="宋体"/>
          <w:spacing w:val="-2"/>
          <w:position w:val="1"/>
          <w:sz w:val="17"/>
          <w:szCs w:val="17"/>
        </w:rPr>
        <w:t>表示正面影响。</w:t>
      </w:r>
    </w:p>
    <w:p w14:paraId="7644E477">
      <w:pPr>
        <w:spacing w:line="318" w:lineRule="auto"/>
        <w:rPr>
          <w:rFonts w:ascii="Arial"/>
          <w:sz w:val="21"/>
        </w:rPr>
      </w:pPr>
    </w:p>
    <w:p w14:paraId="1843176C">
      <w:pPr>
        <w:spacing w:before="75" w:line="393" w:lineRule="auto"/>
        <w:ind w:left="38" w:right="195" w:firstLine="474"/>
        <w:rPr>
          <w:rFonts w:ascii="宋体" w:hAnsi="宋体" w:eastAsia="宋体" w:cs="宋体"/>
          <w:sz w:val="23"/>
          <w:szCs w:val="23"/>
        </w:rPr>
      </w:pPr>
      <w:r>
        <w:rPr>
          <w:rFonts w:ascii="宋体" w:hAnsi="宋体" w:eastAsia="宋体" w:cs="宋体"/>
          <w:spacing w:val="-12"/>
          <w:sz w:val="23"/>
          <w:szCs w:val="23"/>
        </w:rPr>
        <w:t xml:space="preserve">由表 </w:t>
      </w:r>
      <w:r>
        <w:rPr>
          <w:rFonts w:ascii="Times New Roman" w:hAnsi="Times New Roman" w:eastAsia="Times New Roman" w:cs="Times New Roman"/>
          <w:spacing w:val="-12"/>
          <w:sz w:val="23"/>
          <w:szCs w:val="23"/>
        </w:rPr>
        <w:t>2</w:t>
      </w:r>
      <w:r>
        <w:rPr>
          <w:rFonts w:ascii="Times New Roman" w:hAnsi="Times New Roman" w:eastAsia="Times New Roman" w:cs="Times New Roman"/>
          <w:spacing w:val="-9"/>
          <w:sz w:val="23"/>
          <w:szCs w:val="23"/>
        </w:rPr>
        <w:t>-</w:t>
      </w:r>
      <w:r>
        <w:rPr>
          <w:rFonts w:ascii="Times New Roman" w:hAnsi="Times New Roman" w:eastAsia="Times New Roman" w:cs="Times New Roman"/>
          <w:spacing w:val="-6"/>
          <w:sz w:val="23"/>
          <w:szCs w:val="23"/>
        </w:rPr>
        <w:t xml:space="preserve">1 </w:t>
      </w:r>
      <w:r>
        <w:rPr>
          <w:rFonts w:ascii="宋体" w:hAnsi="宋体" w:eastAsia="宋体" w:cs="宋体"/>
          <w:spacing w:val="-6"/>
          <w:sz w:val="23"/>
          <w:szCs w:val="23"/>
        </w:rPr>
        <w:t>可以看出，该项目施工期和营运期将对当地自然环境和社会环境产生一</w:t>
      </w:r>
      <w:r>
        <w:rPr>
          <w:rFonts w:ascii="宋体" w:hAnsi="宋体" w:eastAsia="宋体" w:cs="宋体"/>
          <w:sz w:val="23"/>
          <w:szCs w:val="23"/>
        </w:rPr>
        <w:t xml:space="preserve"> </w:t>
      </w:r>
      <w:r>
        <w:rPr>
          <w:rFonts w:ascii="宋体" w:hAnsi="宋体" w:eastAsia="宋体" w:cs="宋体"/>
          <w:spacing w:val="-6"/>
          <w:sz w:val="23"/>
          <w:szCs w:val="23"/>
        </w:rPr>
        <w:t>定</w:t>
      </w:r>
      <w:r>
        <w:rPr>
          <w:rFonts w:ascii="宋体" w:hAnsi="宋体" w:eastAsia="宋体" w:cs="宋体"/>
          <w:spacing w:val="-5"/>
          <w:sz w:val="23"/>
          <w:szCs w:val="23"/>
        </w:rPr>
        <w:t>程</w:t>
      </w:r>
      <w:r>
        <w:rPr>
          <w:rFonts w:ascii="宋体" w:hAnsi="宋体" w:eastAsia="宋体" w:cs="宋体"/>
          <w:spacing w:val="-3"/>
          <w:sz w:val="23"/>
          <w:szCs w:val="23"/>
        </w:rPr>
        <w:t>度的不利影响，主要影响因素是环境空气。</w:t>
      </w:r>
    </w:p>
    <w:p w14:paraId="7194F83F">
      <w:pPr>
        <w:sectPr>
          <w:headerReference r:id="rId54" w:type="default"/>
          <w:footerReference r:id="rId55" w:type="default"/>
          <w:pgSz w:w="11906" w:h="16839"/>
          <w:pgMar w:top="1132" w:right="1606" w:bottom="1156" w:left="1777" w:header="878" w:footer="996" w:gutter="0"/>
          <w:cols w:space="720" w:num="1"/>
        </w:sectPr>
      </w:pPr>
    </w:p>
    <w:p w14:paraId="472DFDDD">
      <w:pPr>
        <w:spacing w:line="408" w:lineRule="auto"/>
        <w:rPr>
          <w:rFonts w:ascii="Arial"/>
          <w:sz w:val="21"/>
        </w:rPr>
      </w:pPr>
      <w:r>
        <w:pict>
          <v:shape id="_x0000_s1087" o:spid="_x0000_s1087" style="position:absolute;left:0pt;margin-left:90pt;margin-top:57.35pt;height:0.75pt;width:415.3pt;mso-position-horizontal-relative:page;mso-position-vertical-relative:page;z-index:251724800;mso-width-relative:page;mso-height-relative:page;" fillcolor="#000000" filled="t" stroked="f" coordsize="8305,15" o:allowincell="f" path="m0,0l8305,0,8305,14,0,14,0,0xe">
            <v:path/>
            <v:fill on="t" focussize="0,0"/>
            <v:stroke on="f"/>
            <v:imagedata o:title=""/>
            <o:lock v:ext="edit"/>
          </v:shape>
        </w:pict>
      </w:r>
    </w:p>
    <w:p w14:paraId="1AC9B00D">
      <w:pPr>
        <w:spacing w:before="75" w:line="226" w:lineRule="auto"/>
        <w:ind w:left="523"/>
        <w:rPr>
          <w:rFonts w:ascii="宋体" w:hAnsi="宋体" w:eastAsia="宋体" w:cs="宋体"/>
          <w:sz w:val="23"/>
          <w:szCs w:val="23"/>
        </w:rPr>
      </w:pPr>
      <w:r>
        <w:rPr>
          <w:rFonts w:ascii="宋体" w:hAnsi="宋体" w:eastAsia="宋体" w:cs="宋体"/>
          <w:spacing w:val="10"/>
          <w:sz w:val="23"/>
          <w:szCs w:val="23"/>
        </w:rPr>
        <w:t>(</w:t>
      </w:r>
      <w:r>
        <w:rPr>
          <w:rFonts w:ascii="Times New Roman" w:hAnsi="Times New Roman" w:eastAsia="Times New Roman" w:cs="Times New Roman"/>
          <w:spacing w:val="8"/>
          <w:sz w:val="23"/>
          <w:szCs w:val="23"/>
        </w:rPr>
        <w:t>2</w:t>
      </w:r>
      <w:r>
        <w:rPr>
          <w:rFonts w:ascii="宋体" w:hAnsi="宋体" w:eastAsia="宋体" w:cs="宋体"/>
          <w:spacing w:val="8"/>
          <w:sz w:val="23"/>
          <w:szCs w:val="23"/>
        </w:rPr>
        <w:t>) 评价因子筛选</w:t>
      </w:r>
    </w:p>
    <w:p w14:paraId="4BA5CF92">
      <w:pPr>
        <w:spacing w:line="290" w:lineRule="auto"/>
        <w:rPr>
          <w:rFonts w:ascii="Arial"/>
          <w:sz w:val="21"/>
        </w:rPr>
      </w:pPr>
    </w:p>
    <w:p w14:paraId="79CF965D">
      <w:pPr>
        <w:spacing w:before="74" w:line="390" w:lineRule="auto"/>
        <w:ind w:left="59" w:right="167" w:firstLine="452"/>
        <w:rPr>
          <w:rFonts w:ascii="宋体" w:hAnsi="宋体" w:eastAsia="宋体" w:cs="宋体"/>
          <w:sz w:val="23"/>
          <w:szCs w:val="23"/>
        </w:rPr>
      </w:pPr>
      <w:r>
        <w:rPr>
          <w:rFonts w:ascii="宋体" w:hAnsi="宋体" w:eastAsia="宋体" w:cs="宋体"/>
          <w:spacing w:val="1"/>
          <w:sz w:val="23"/>
          <w:szCs w:val="23"/>
        </w:rPr>
        <w:t>根据环境影响要素识别结果，结合建设项目工程特征</w:t>
      </w:r>
      <w:r>
        <w:rPr>
          <w:rFonts w:ascii="宋体" w:hAnsi="宋体" w:eastAsia="宋体" w:cs="宋体"/>
          <w:sz w:val="23"/>
          <w:szCs w:val="23"/>
        </w:rPr>
        <w:t xml:space="preserve">、污染物种类、污染物排 </w:t>
      </w:r>
      <w:r>
        <w:rPr>
          <w:rFonts w:ascii="宋体" w:hAnsi="宋体" w:eastAsia="宋体" w:cs="宋体"/>
          <w:spacing w:val="1"/>
          <w:sz w:val="23"/>
          <w:szCs w:val="23"/>
        </w:rPr>
        <w:t>放去向及周围地区环境质量概况，</w:t>
      </w:r>
      <w:r>
        <w:rPr>
          <w:rFonts w:ascii="宋体" w:hAnsi="宋体" w:eastAsia="宋体" w:cs="宋体"/>
          <w:sz w:val="23"/>
          <w:szCs w:val="23"/>
        </w:rPr>
        <w:t xml:space="preserve">确定本评价因子包括污染源评价因子、环境质量 </w:t>
      </w:r>
      <w:r>
        <w:rPr>
          <w:rFonts w:ascii="宋体" w:hAnsi="宋体" w:eastAsia="宋体" w:cs="宋体"/>
          <w:spacing w:val="-10"/>
          <w:sz w:val="23"/>
          <w:szCs w:val="23"/>
        </w:rPr>
        <w:t>评</w:t>
      </w:r>
      <w:r>
        <w:rPr>
          <w:rFonts w:ascii="宋体" w:hAnsi="宋体" w:eastAsia="宋体" w:cs="宋体"/>
          <w:spacing w:val="-8"/>
          <w:sz w:val="23"/>
          <w:szCs w:val="23"/>
        </w:rPr>
        <w:t>价</w:t>
      </w:r>
      <w:r>
        <w:rPr>
          <w:rFonts w:ascii="宋体" w:hAnsi="宋体" w:eastAsia="宋体" w:cs="宋体"/>
          <w:spacing w:val="-5"/>
          <w:sz w:val="23"/>
          <w:szCs w:val="23"/>
        </w:rPr>
        <w:t xml:space="preserve">因子和影响分析因子，评价因子见表 </w:t>
      </w:r>
      <w:r>
        <w:rPr>
          <w:rFonts w:ascii="Times New Roman" w:hAnsi="Times New Roman" w:eastAsia="Times New Roman" w:cs="Times New Roman"/>
          <w:spacing w:val="-5"/>
          <w:sz w:val="23"/>
          <w:szCs w:val="23"/>
        </w:rPr>
        <w:t>2-2</w:t>
      </w:r>
      <w:r>
        <w:rPr>
          <w:rFonts w:ascii="宋体" w:hAnsi="宋体" w:eastAsia="宋体" w:cs="宋体"/>
          <w:spacing w:val="-5"/>
          <w:sz w:val="23"/>
          <w:szCs w:val="23"/>
        </w:rPr>
        <w:t>。</w:t>
      </w:r>
    </w:p>
    <w:p w14:paraId="543DCF30">
      <w:pPr>
        <w:spacing w:before="147" w:line="226" w:lineRule="auto"/>
        <w:ind w:left="2879"/>
        <w:rPr>
          <w:rFonts w:ascii="宋体" w:hAnsi="宋体" w:eastAsia="宋体" w:cs="宋体"/>
          <w:sz w:val="23"/>
          <w:szCs w:val="23"/>
        </w:rPr>
      </w:pPr>
      <w:r>
        <w:rPr>
          <w:rFonts w:ascii="宋体" w:hAnsi="宋体" w:eastAsia="宋体" w:cs="宋体"/>
          <w:spacing w:val="-2"/>
          <w:sz w:val="23"/>
          <w:szCs w:val="23"/>
          <w14:textOutline w14:w="4358" w14:cap="sq" w14:cmpd="sng">
            <w14:solidFill>
              <w14:srgbClr w14:val="000000"/>
            </w14:solidFill>
            <w14:prstDash w14:val="solid"/>
            <w14:bevel/>
          </w14:textOutline>
        </w:rPr>
        <w:t>表</w:t>
      </w:r>
      <w:r>
        <w:rPr>
          <w:rFonts w:ascii="宋体" w:hAnsi="宋体" w:eastAsia="宋体" w:cs="宋体"/>
          <w:spacing w:val="-2"/>
          <w:sz w:val="23"/>
          <w:szCs w:val="23"/>
        </w:rPr>
        <w:t xml:space="preserve"> </w:t>
      </w:r>
      <w:r>
        <w:rPr>
          <w:rFonts w:ascii="Times New Roman" w:hAnsi="Times New Roman" w:eastAsia="Times New Roman" w:cs="Times New Roman"/>
          <w:b/>
          <w:bCs/>
          <w:spacing w:val="-2"/>
          <w:sz w:val="23"/>
          <w:szCs w:val="23"/>
        </w:rPr>
        <w:t>2-2</w:t>
      </w:r>
      <w:r>
        <w:rPr>
          <w:rFonts w:ascii="Times New Roman" w:hAnsi="Times New Roman" w:eastAsia="Times New Roman" w:cs="Times New Roman"/>
          <w:spacing w:val="-2"/>
          <w:sz w:val="23"/>
          <w:szCs w:val="23"/>
        </w:rPr>
        <w:t xml:space="preserve">     </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14:textOutline w14:w="4358" w14:cap="sq" w14:cmpd="sng">
            <w14:solidFill>
              <w14:srgbClr w14:val="000000"/>
            </w14:solidFill>
            <w14:prstDash w14:val="solid"/>
            <w14:bevel/>
          </w14:textOutline>
        </w:rPr>
        <w:t>评价因子一览表</w:t>
      </w:r>
    </w:p>
    <w:p w14:paraId="3F85B219">
      <w:pPr>
        <w:spacing w:line="20" w:lineRule="exact"/>
      </w:pPr>
    </w:p>
    <w:tbl>
      <w:tblPr>
        <w:tblStyle w:val="4"/>
        <w:tblW w:w="852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8"/>
        <w:gridCol w:w="1710"/>
        <w:gridCol w:w="6173"/>
      </w:tblGrid>
      <w:tr w14:paraId="10FB68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638" w:type="dxa"/>
            <w:tcBorders>
              <w:left w:val="nil"/>
            </w:tcBorders>
            <w:vAlign w:val="top"/>
          </w:tcPr>
          <w:p w14:paraId="5143A543">
            <w:pPr>
              <w:spacing w:before="87" w:line="228" w:lineRule="auto"/>
              <w:ind w:left="134"/>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项</w:t>
            </w:r>
            <w:r>
              <w:rPr>
                <w:rFonts w:ascii="宋体" w:hAnsi="宋体" w:eastAsia="宋体" w:cs="宋体"/>
                <w:spacing w:val="-1"/>
                <w:sz w:val="20"/>
                <w:szCs w:val="20"/>
                <w14:textOutline w14:w="3795" w14:cap="sq" w14:cmpd="sng">
                  <w14:solidFill>
                    <w14:srgbClr w14:val="000000"/>
                  </w14:solidFill>
                  <w14:prstDash w14:val="solid"/>
                  <w14:bevel/>
                </w14:textOutline>
              </w:rPr>
              <w:t>目</w:t>
            </w:r>
          </w:p>
        </w:tc>
        <w:tc>
          <w:tcPr>
            <w:tcW w:w="1710" w:type="dxa"/>
            <w:vAlign w:val="top"/>
          </w:tcPr>
          <w:p w14:paraId="5C6552A1">
            <w:pPr>
              <w:spacing w:before="86" w:line="228" w:lineRule="auto"/>
              <w:ind w:left="664"/>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类别</w:t>
            </w:r>
          </w:p>
        </w:tc>
        <w:tc>
          <w:tcPr>
            <w:tcW w:w="6173" w:type="dxa"/>
            <w:tcBorders>
              <w:right w:val="nil"/>
            </w:tcBorders>
            <w:vAlign w:val="top"/>
          </w:tcPr>
          <w:p w14:paraId="238EEA58">
            <w:pPr>
              <w:spacing w:before="87" w:line="226" w:lineRule="auto"/>
              <w:ind w:left="2697"/>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评价因</w:t>
            </w:r>
            <w:r>
              <w:rPr>
                <w:rFonts w:ascii="宋体" w:hAnsi="宋体" w:eastAsia="宋体" w:cs="宋体"/>
                <w:sz w:val="20"/>
                <w:szCs w:val="20"/>
                <w14:textOutline w14:w="3795" w14:cap="sq" w14:cmpd="sng">
                  <w14:solidFill>
                    <w14:srgbClr w14:val="000000"/>
                  </w14:solidFill>
                  <w14:prstDash w14:val="solid"/>
                  <w14:bevel/>
                </w14:textOutline>
              </w:rPr>
              <w:t>子</w:t>
            </w:r>
          </w:p>
        </w:tc>
      </w:tr>
      <w:tr w14:paraId="23B63E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638" w:type="dxa"/>
            <w:vMerge w:val="restart"/>
            <w:tcBorders>
              <w:left w:val="nil"/>
              <w:bottom w:val="nil"/>
            </w:tcBorders>
            <w:vAlign w:val="top"/>
          </w:tcPr>
          <w:p w14:paraId="37C5267F">
            <w:pPr>
              <w:spacing w:before="238" w:line="320" w:lineRule="auto"/>
              <w:ind w:left="131" w:right="106" w:firstLine="6"/>
              <w:rPr>
                <w:rFonts w:ascii="宋体" w:hAnsi="宋体" w:eastAsia="宋体" w:cs="宋体"/>
                <w:sz w:val="20"/>
                <w:szCs w:val="20"/>
              </w:rPr>
            </w:pPr>
            <w:r>
              <w:rPr>
                <w:rFonts w:ascii="宋体" w:hAnsi="宋体" w:eastAsia="宋体" w:cs="宋体"/>
                <w:spacing w:val="-5"/>
                <w:sz w:val="20"/>
                <w:szCs w:val="20"/>
              </w:rPr>
              <w:t>空</w:t>
            </w:r>
            <w:r>
              <w:rPr>
                <w:rFonts w:ascii="宋体" w:hAnsi="宋体" w:eastAsia="宋体" w:cs="宋体"/>
                <w:spacing w:val="-4"/>
                <w:sz w:val="20"/>
                <w:szCs w:val="20"/>
              </w:rPr>
              <w:t>气</w:t>
            </w:r>
            <w:r>
              <w:rPr>
                <w:rFonts w:ascii="宋体" w:hAnsi="宋体" w:eastAsia="宋体" w:cs="宋体"/>
                <w:sz w:val="20"/>
                <w:szCs w:val="20"/>
              </w:rPr>
              <w:t xml:space="preserve"> </w:t>
            </w:r>
            <w:r>
              <w:rPr>
                <w:rFonts w:ascii="宋体" w:hAnsi="宋体" w:eastAsia="宋体" w:cs="宋体"/>
                <w:spacing w:val="-2"/>
                <w:sz w:val="20"/>
                <w:szCs w:val="20"/>
              </w:rPr>
              <w:t>环</w:t>
            </w:r>
            <w:r>
              <w:rPr>
                <w:rFonts w:ascii="宋体" w:hAnsi="宋体" w:eastAsia="宋体" w:cs="宋体"/>
                <w:spacing w:val="-1"/>
                <w:sz w:val="20"/>
                <w:szCs w:val="20"/>
              </w:rPr>
              <w:t>境</w:t>
            </w:r>
          </w:p>
        </w:tc>
        <w:tc>
          <w:tcPr>
            <w:tcW w:w="1710" w:type="dxa"/>
            <w:vAlign w:val="top"/>
          </w:tcPr>
          <w:p w14:paraId="2C94F2C9">
            <w:pPr>
              <w:spacing w:before="63" w:line="228" w:lineRule="auto"/>
              <w:ind w:left="176"/>
              <w:rPr>
                <w:rFonts w:ascii="宋体" w:hAnsi="宋体" w:eastAsia="宋体" w:cs="宋体"/>
                <w:sz w:val="20"/>
                <w:szCs w:val="20"/>
              </w:rPr>
            </w:pPr>
            <w:r>
              <w:rPr>
                <w:rFonts w:ascii="宋体" w:hAnsi="宋体" w:eastAsia="宋体" w:cs="宋体"/>
                <w:spacing w:val="-4"/>
                <w:sz w:val="20"/>
                <w:szCs w:val="20"/>
              </w:rPr>
              <w:t>污</w:t>
            </w:r>
            <w:r>
              <w:rPr>
                <w:rFonts w:ascii="宋体" w:hAnsi="宋体" w:eastAsia="宋体" w:cs="宋体"/>
                <w:spacing w:val="-3"/>
                <w:sz w:val="20"/>
                <w:szCs w:val="20"/>
              </w:rPr>
              <w:t>染</w:t>
            </w:r>
            <w:r>
              <w:rPr>
                <w:rFonts w:ascii="宋体" w:hAnsi="宋体" w:eastAsia="宋体" w:cs="宋体"/>
                <w:spacing w:val="-2"/>
                <w:sz w:val="20"/>
                <w:szCs w:val="20"/>
              </w:rPr>
              <w:t>源排放因子</w:t>
            </w:r>
          </w:p>
        </w:tc>
        <w:tc>
          <w:tcPr>
            <w:tcW w:w="6173" w:type="dxa"/>
            <w:tcBorders>
              <w:right w:val="nil"/>
            </w:tcBorders>
            <w:vAlign w:val="top"/>
          </w:tcPr>
          <w:p w14:paraId="199AA5E4">
            <w:pPr>
              <w:spacing w:before="99" w:line="192" w:lineRule="auto"/>
              <w:ind w:left="168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TSP</w:t>
            </w:r>
            <w:r>
              <w:rPr>
                <w:rFonts w:ascii="宋体" w:hAnsi="宋体" w:eastAsia="宋体" w:cs="宋体"/>
                <w:spacing w:val="-4"/>
                <w:sz w:val="20"/>
                <w:szCs w:val="20"/>
              </w:rPr>
              <w:t>、</w:t>
            </w:r>
            <w:r>
              <w:rPr>
                <w:rFonts w:ascii="Times New Roman" w:hAnsi="Times New Roman" w:eastAsia="Times New Roman" w:cs="Times New Roman"/>
                <w:spacing w:val="-2"/>
                <w:sz w:val="20"/>
                <w:szCs w:val="20"/>
              </w:rPr>
              <w:t>PM</w:t>
            </w:r>
            <w:r>
              <w:rPr>
                <w:rFonts w:ascii="Times New Roman" w:hAnsi="Times New Roman" w:eastAsia="Times New Roman" w:cs="Times New Roman"/>
                <w:spacing w:val="-4"/>
                <w:position w:val="-1"/>
                <w:sz w:val="13"/>
                <w:szCs w:val="13"/>
              </w:rPr>
              <w:t>10</w:t>
            </w:r>
            <w:r>
              <w:rPr>
                <w:rFonts w:ascii="宋体" w:hAnsi="宋体" w:eastAsia="宋体" w:cs="宋体"/>
                <w:spacing w:val="-4"/>
                <w:sz w:val="20"/>
                <w:szCs w:val="20"/>
              </w:rPr>
              <w:t>、</w:t>
            </w:r>
            <w:r>
              <w:rPr>
                <w:rFonts w:ascii="Times New Roman" w:hAnsi="Times New Roman" w:eastAsia="Times New Roman" w:cs="Times New Roman"/>
                <w:spacing w:val="-2"/>
                <w:sz w:val="20"/>
                <w:szCs w:val="20"/>
              </w:rPr>
              <w:t>SO</w:t>
            </w:r>
            <w:r>
              <w:rPr>
                <w:rFonts w:ascii="Times New Roman" w:hAnsi="Times New Roman" w:eastAsia="Times New Roman" w:cs="Times New Roman"/>
                <w:spacing w:val="-4"/>
                <w:position w:val="-1"/>
                <w:sz w:val="13"/>
                <w:szCs w:val="13"/>
              </w:rPr>
              <w:t>2</w:t>
            </w:r>
            <w:r>
              <w:rPr>
                <w:rFonts w:ascii="宋体" w:hAnsi="宋体" w:eastAsia="宋体" w:cs="宋体"/>
                <w:spacing w:val="-2"/>
                <w:sz w:val="20"/>
                <w:szCs w:val="20"/>
              </w:rPr>
              <w:t>、</w:t>
            </w:r>
            <w:r>
              <w:rPr>
                <w:rFonts w:ascii="Times New Roman" w:hAnsi="Times New Roman" w:eastAsia="Times New Roman" w:cs="Times New Roman"/>
                <w:spacing w:val="-2"/>
                <w:sz w:val="20"/>
                <w:szCs w:val="20"/>
              </w:rPr>
              <w:t>NO</w:t>
            </w:r>
            <w:r>
              <w:rPr>
                <w:rFonts w:ascii="Times New Roman" w:hAnsi="Times New Roman" w:eastAsia="Times New Roman" w:cs="Times New Roman"/>
                <w:spacing w:val="-2"/>
                <w:position w:val="-1"/>
                <w:sz w:val="13"/>
                <w:szCs w:val="13"/>
              </w:rPr>
              <w:t xml:space="preserve">2 </w:t>
            </w:r>
            <w:r>
              <w:rPr>
                <w:rFonts w:ascii="宋体" w:hAnsi="宋体" w:eastAsia="宋体" w:cs="宋体"/>
                <w:spacing w:val="-2"/>
                <w:sz w:val="20"/>
                <w:szCs w:val="20"/>
              </w:rPr>
              <w:t>、</w:t>
            </w:r>
            <w:r>
              <w:rPr>
                <w:rFonts w:ascii="Times New Roman" w:hAnsi="Times New Roman" w:eastAsia="Times New Roman" w:cs="Times New Roman"/>
                <w:spacing w:val="-2"/>
                <w:sz w:val="20"/>
                <w:szCs w:val="20"/>
              </w:rPr>
              <w:t>NMHC</w:t>
            </w:r>
          </w:p>
        </w:tc>
      </w:tr>
      <w:tr w14:paraId="5C83AF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638" w:type="dxa"/>
            <w:vMerge w:val="continue"/>
            <w:tcBorders>
              <w:top w:val="nil"/>
              <w:left w:val="nil"/>
              <w:bottom w:val="nil"/>
            </w:tcBorders>
            <w:vAlign w:val="top"/>
          </w:tcPr>
          <w:p w14:paraId="25D78057">
            <w:pPr>
              <w:rPr>
                <w:rFonts w:ascii="Arial"/>
                <w:sz w:val="21"/>
              </w:rPr>
            </w:pPr>
          </w:p>
        </w:tc>
        <w:tc>
          <w:tcPr>
            <w:tcW w:w="1710" w:type="dxa"/>
            <w:vAlign w:val="top"/>
          </w:tcPr>
          <w:p w14:paraId="0671A5C0">
            <w:pPr>
              <w:spacing w:before="61" w:line="226" w:lineRule="auto"/>
              <w:ind w:left="76"/>
              <w:rPr>
                <w:rFonts w:ascii="宋体" w:hAnsi="宋体" w:eastAsia="宋体" w:cs="宋体"/>
                <w:sz w:val="20"/>
                <w:szCs w:val="20"/>
              </w:rPr>
            </w:pPr>
            <w:r>
              <w:rPr>
                <w:rFonts w:ascii="宋体" w:hAnsi="宋体" w:eastAsia="宋体" w:cs="宋体"/>
                <w:spacing w:val="-4"/>
                <w:sz w:val="20"/>
                <w:szCs w:val="20"/>
              </w:rPr>
              <w:t>环</w:t>
            </w:r>
            <w:r>
              <w:rPr>
                <w:rFonts w:ascii="宋体" w:hAnsi="宋体" w:eastAsia="宋体" w:cs="宋体"/>
                <w:spacing w:val="-3"/>
                <w:sz w:val="20"/>
                <w:szCs w:val="20"/>
              </w:rPr>
              <w:t>境</w:t>
            </w:r>
            <w:r>
              <w:rPr>
                <w:rFonts w:ascii="宋体" w:hAnsi="宋体" w:eastAsia="宋体" w:cs="宋体"/>
                <w:spacing w:val="-2"/>
                <w:sz w:val="20"/>
                <w:szCs w:val="20"/>
              </w:rPr>
              <w:t>质量评价因子</w:t>
            </w:r>
          </w:p>
        </w:tc>
        <w:tc>
          <w:tcPr>
            <w:tcW w:w="6173" w:type="dxa"/>
            <w:tcBorders>
              <w:right w:val="nil"/>
            </w:tcBorders>
            <w:vAlign w:val="top"/>
          </w:tcPr>
          <w:p w14:paraId="1F49BEBF">
            <w:pPr>
              <w:spacing w:before="97" w:line="195" w:lineRule="auto"/>
              <w:ind w:left="1196"/>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PM</w:t>
            </w:r>
            <w:r>
              <w:rPr>
                <w:rFonts w:ascii="Times New Roman" w:hAnsi="Times New Roman" w:eastAsia="Times New Roman" w:cs="Times New Roman"/>
                <w:spacing w:val="-6"/>
                <w:position w:val="-1"/>
                <w:sz w:val="13"/>
                <w:szCs w:val="13"/>
              </w:rPr>
              <w:t>2</w:t>
            </w:r>
            <w:r>
              <w:rPr>
                <w:rFonts w:ascii="Times New Roman" w:hAnsi="Times New Roman" w:eastAsia="Times New Roman" w:cs="Times New Roman"/>
                <w:spacing w:val="-5"/>
                <w:position w:val="-1"/>
                <w:sz w:val="13"/>
                <w:szCs w:val="13"/>
              </w:rPr>
              <w:t xml:space="preserve">.5 </w:t>
            </w:r>
            <w:r>
              <w:rPr>
                <w:rFonts w:ascii="宋体" w:hAnsi="宋体" w:eastAsia="宋体" w:cs="宋体"/>
                <w:spacing w:val="-5"/>
                <w:sz w:val="20"/>
                <w:szCs w:val="20"/>
              </w:rPr>
              <w:t>、</w:t>
            </w:r>
            <w:r>
              <w:rPr>
                <w:rFonts w:ascii="Times New Roman" w:hAnsi="Times New Roman" w:eastAsia="Times New Roman" w:cs="Times New Roman"/>
                <w:spacing w:val="-5"/>
                <w:sz w:val="20"/>
                <w:szCs w:val="20"/>
              </w:rPr>
              <w:t>PM</w:t>
            </w:r>
            <w:r>
              <w:rPr>
                <w:rFonts w:ascii="Times New Roman" w:hAnsi="Times New Roman" w:eastAsia="Times New Roman" w:cs="Times New Roman"/>
                <w:spacing w:val="-5"/>
                <w:position w:val="-1"/>
                <w:sz w:val="13"/>
                <w:szCs w:val="13"/>
              </w:rPr>
              <w:t>10</w:t>
            </w:r>
            <w:r>
              <w:rPr>
                <w:rFonts w:ascii="宋体" w:hAnsi="宋体" w:eastAsia="宋体" w:cs="宋体"/>
                <w:spacing w:val="-5"/>
                <w:sz w:val="20"/>
                <w:szCs w:val="20"/>
              </w:rPr>
              <w:t>、</w:t>
            </w:r>
            <w:r>
              <w:rPr>
                <w:rFonts w:ascii="Times New Roman" w:hAnsi="Times New Roman" w:eastAsia="Times New Roman" w:cs="Times New Roman"/>
                <w:spacing w:val="-5"/>
                <w:sz w:val="20"/>
                <w:szCs w:val="20"/>
              </w:rPr>
              <w:t>SO</w:t>
            </w:r>
            <w:r>
              <w:rPr>
                <w:rFonts w:ascii="Times New Roman" w:hAnsi="Times New Roman" w:eastAsia="Times New Roman" w:cs="Times New Roman"/>
                <w:spacing w:val="-5"/>
                <w:position w:val="-1"/>
                <w:sz w:val="13"/>
                <w:szCs w:val="13"/>
              </w:rPr>
              <w:t xml:space="preserve">2 </w:t>
            </w:r>
            <w:r>
              <w:rPr>
                <w:rFonts w:ascii="宋体" w:hAnsi="宋体" w:eastAsia="宋体" w:cs="宋体"/>
                <w:spacing w:val="-5"/>
                <w:sz w:val="20"/>
                <w:szCs w:val="20"/>
              </w:rPr>
              <w:t>、</w:t>
            </w:r>
            <w:r>
              <w:rPr>
                <w:rFonts w:ascii="Times New Roman" w:hAnsi="Times New Roman" w:eastAsia="Times New Roman" w:cs="Times New Roman"/>
                <w:spacing w:val="-5"/>
                <w:sz w:val="20"/>
                <w:szCs w:val="20"/>
              </w:rPr>
              <w:t>NO</w:t>
            </w:r>
            <w:r>
              <w:rPr>
                <w:rFonts w:ascii="Times New Roman" w:hAnsi="Times New Roman" w:eastAsia="Times New Roman" w:cs="Times New Roman"/>
                <w:spacing w:val="-5"/>
                <w:position w:val="-1"/>
                <w:sz w:val="13"/>
                <w:szCs w:val="13"/>
              </w:rPr>
              <w:t xml:space="preserve">2 </w:t>
            </w:r>
            <w:r>
              <w:rPr>
                <w:rFonts w:ascii="宋体" w:hAnsi="宋体" w:eastAsia="宋体" w:cs="宋体"/>
                <w:spacing w:val="-5"/>
                <w:sz w:val="20"/>
                <w:szCs w:val="20"/>
              </w:rPr>
              <w:t>、</w:t>
            </w:r>
            <w:r>
              <w:rPr>
                <w:rFonts w:ascii="Times New Roman" w:hAnsi="Times New Roman" w:eastAsia="Times New Roman" w:cs="Times New Roman"/>
                <w:spacing w:val="-5"/>
                <w:sz w:val="20"/>
                <w:szCs w:val="20"/>
              </w:rPr>
              <w:t>O</w:t>
            </w:r>
            <w:r>
              <w:rPr>
                <w:rFonts w:ascii="Times New Roman" w:hAnsi="Times New Roman" w:eastAsia="Times New Roman" w:cs="Times New Roman"/>
                <w:spacing w:val="-5"/>
                <w:position w:val="-1"/>
                <w:sz w:val="13"/>
                <w:szCs w:val="13"/>
              </w:rPr>
              <w:t xml:space="preserve">3 </w:t>
            </w:r>
            <w:r>
              <w:rPr>
                <w:rFonts w:ascii="宋体" w:hAnsi="宋体" w:eastAsia="宋体" w:cs="宋体"/>
                <w:spacing w:val="-5"/>
                <w:sz w:val="20"/>
                <w:szCs w:val="20"/>
              </w:rPr>
              <w:t>、</w:t>
            </w:r>
            <w:r>
              <w:rPr>
                <w:rFonts w:ascii="Times New Roman" w:hAnsi="Times New Roman" w:eastAsia="Times New Roman" w:cs="Times New Roman"/>
                <w:spacing w:val="-5"/>
                <w:sz w:val="20"/>
                <w:szCs w:val="20"/>
              </w:rPr>
              <w:t>CO</w:t>
            </w:r>
            <w:r>
              <w:rPr>
                <w:rFonts w:ascii="宋体" w:hAnsi="宋体" w:eastAsia="宋体" w:cs="宋体"/>
                <w:spacing w:val="-5"/>
                <w:sz w:val="20"/>
                <w:szCs w:val="20"/>
              </w:rPr>
              <w:t>、</w:t>
            </w:r>
            <w:r>
              <w:rPr>
                <w:rFonts w:ascii="Times New Roman" w:hAnsi="Times New Roman" w:eastAsia="Times New Roman" w:cs="Times New Roman"/>
                <w:spacing w:val="-5"/>
                <w:sz w:val="20"/>
                <w:szCs w:val="20"/>
              </w:rPr>
              <w:t>NMHC</w:t>
            </w:r>
          </w:p>
        </w:tc>
      </w:tr>
      <w:tr w14:paraId="638E83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638" w:type="dxa"/>
            <w:vMerge w:val="continue"/>
            <w:tcBorders>
              <w:top w:val="nil"/>
              <w:left w:val="nil"/>
            </w:tcBorders>
            <w:vAlign w:val="top"/>
          </w:tcPr>
          <w:p w14:paraId="0DD57B35">
            <w:pPr>
              <w:rPr>
                <w:rFonts w:ascii="Arial"/>
                <w:sz w:val="21"/>
              </w:rPr>
            </w:pPr>
          </w:p>
        </w:tc>
        <w:tc>
          <w:tcPr>
            <w:tcW w:w="1710" w:type="dxa"/>
            <w:vAlign w:val="top"/>
          </w:tcPr>
          <w:p w14:paraId="50215421">
            <w:pPr>
              <w:spacing w:before="61" w:line="228" w:lineRule="auto"/>
              <w:ind w:left="76"/>
              <w:rPr>
                <w:rFonts w:ascii="宋体" w:hAnsi="宋体" w:eastAsia="宋体" w:cs="宋体"/>
                <w:sz w:val="20"/>
                <w:szCs w:val="20"/>
              </w:rPr>
            </w:pPr>
            <w:r>
              <w:rPr>
                <w:rFonts w:ascii="宋体" w:hAnsi="宋体" w:eastAsia="宋体" w:cs="宋体"/>
                <w:spacing w:val="-4"/>
                <w:sz w:val="20"/>
                <w:szCs w:val="20"/>
              </w:rPr>
              <w:t>环</w:t>
            </w:r>
            <w:r>
              <w:rPr>
                <w:rFonts w:ascii="宋体" w:hAnsi="宋体" w:eastAsia="宋体" w:cs="宋体"/>
                <w:spacing w:val="-3"/>
                <w:sz w:val="20"/>
                <w:szCs w:val="20"/>
              </w:rPr>
              <w:t>境</w:t>
            </w:r>
            <w:r>
              <w:rPr>
                <w:rFonts w:ascii="宋体" w:hAnsi="宋体" w:eastAsia="宋体" w:cs="宋体"/>
                <w:spacing w:val="-2"/>
                <w:sz w:val="20"/>
                <w:szCs w:val="20"/>
              </w:rPr>
              <w:t>影响预测因子</w:t>
            </w:r>
          </w:p>
        </w:tc>
        <w:tc>
          <w:tcPr>
            <w:tcW w:w="6173" w:type="dxa"/>
            <w:tcBorders>
              <w:right w:val="nil"/>
            </w:tcBorders>
            <w:vAlign w:val="top"/>
          </w:tcPr>
          <w:p w14:paraId="6CE9EAF9">
            <w:pPr>
              <w:spacing w:before="97" w:line="192" w:lineRule="auto"/>
              <w:ind w:left="168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TSP</w:t>
            </w:r>
            <w:r>
              <w:rPr>
                <w:rFonts w:ascii="宋体" w:hAnsi="宋体" w:eastAsia="宋体" w:cs="宋体"/>
                <w:spacing w:val="-4"/>
                <w:sz w:val="20"/>
                <w:szCs w:val="20"/>
              </w:rPr>
              <w:t>、</w:t>
            </w:r>
            <w:r>
              <w:rPr>
                <w:rFonts w:ascii="Times New Roman" w:hAnsi="Times New Roman" w:eastAsia="Times New Roman" w:cs="Times New Roman"/>
                <w:spacing w:val="-2"/>
                <w:sz w:val="20"/>
                <w:szCs w:val="20"/>
              </w:rPr>
              <w:t>PM</w:t>
            </w:r>
            <w:r>
              <w:rPr>
                <w:rFonts w:ascii="Times New Roman" w:hAnsi="Times New Roman" w:eastAsia="Times New Roman" w:cs="Times New Roman"/>
                <w:spacing w:val="-4"/>
                <w:position w:val="-1"/>
                <w:sz w:val="13"/>
                <w:szCs w:val="13"/>
              </w:rPr>
              <w:t>10</w:t>
            </w:r>
            <w:r>
              <w:rPr>
                <w:rFonts w:ascii="宋体" w:hAnsi="宋体" w:eastAsia="宋体" w:cs="宋体"/>
                <w:spacing w:val="-4"/>
                <w:sz w:val="20"/>
                <w:szCs w:val="20"/>
              </w:rPr>
              <w:t>、</w:t>
            </w:r>
            <w:r>
              <w:rPr>
                <w:rFonts w:ascii="Times New Roman" w:hAnsi="Times New Roman" w:eastAsia="Times New Roman" w:cs="Times New Roman"/>
                <w:spacing w:val="-2"/>
                <w:sz w:val="20"/>
                <w:szCs w:val="20"/>
              </w:rPr>
              <w:t>SO</w:t>
            </w:r>
            <w:r>
              <w:rPr>
                <w:rFonts w:ascii="Times New Roman" w:hAnsi="Times New Roman" w:eastAsia="Times New Roman" w:cs="Times New Roman"/>
                <w:spacing w:val="-4"/>
                <w:position w:val="-1"/>
                <w:sz w:val="13"/>
                <w:szCs w:val="13"/>
              </w:rPr>
              <w:t>2</w:t>
            </w:r>
            <w:r>
              <w:rPr>
                <w:rFonts w:ascii="宋体" w:hAnsi="宋体" w:eastAsia="宋体" w:cs="宋体"/>
                <w:spacing w:val="-2"/>
                <w:sz w:val="20"/>
                <w:szCs w:val="20"/>
              </w:rPr>
              <w:t>、</w:t>
            </w:r>
            <w:r>
              <w:rPr>
                <w:rFonts w:ascii="Times New Roman" w:hAnsi="Times New Roman" w:eastAsia="Times New Roman" w:cs="Times New Roman"/>
                <w:spacing w:val="-2"/>
                <w:sz w:val="20"/>
                <w:szCs w:val="20"/>
              </w:rPr>
              <w:t>NO</w:t>
            </w:r>
            <w:r>
              <w:rPr>
                <w:rFonts w:ascii="Times New Roman" w:hAnsi="Times New Roman" w:eastAsia="Times New Roman" w:cs="Times New Roman"/>
                <w:spacing w:val="-2"/>
                <w:position w:val="-1"/>
                <w:sz w:val="13"/>
                <w:szCs w:val="13"/>
              </w:rPr>
              <w:t xml:space="preserve">2 </w:t>
            </w:r>
            <w:r>
              <w:rPr>
                <w:rFonts w:ascii="宋体" w:hAnsi="宋体" w:eastAsia="宋体" w:cs="宋体"/>
                <w:spacing w:val="-2"/>
                <w:sz w:val="20"/>
                <w:szCs w:val="20"/>
              </w:rPr>
              <w:t>、</w:t>
            </w:r>
            <w:r>
              <w:rPr>
                <w:rFonts w:ascii="Times New Roman" w:hAnsi="Times New Roman" w:eastAsia="Times New Roman" w:cs="Times New Roman"/>
                <w:spacing w:val="-2"/>
                <w:sz w:val="20"/>
                <w:szCs w:val="20"/>
              </w:rPr>
              <w:t>NMHC</w:t>
            </w:r>
          </w:p>
        </w:tc>
      </w:tr>
      <w:tr w14:paraId="41701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638" w:type="dxa"/>
            <w:vMerge w:val="restart"/>
            <w:tcBorders>
              <w:left w:val="nil"/>
              <w:bottom w:val="nil"/>
            </w:tcBorders>
            <w:vAlign w:val="top"/>
          </w:tcPr>
          <w:p w14:paraId="3942C922">
            <w:pPr>
              <w:spacing w:before="71" w:line="229" w:lineRule="auto"/>
              <w:ind w:left="131"/>
              <w:rPr>
                <w:rFonts w:ascii="宋体" w:hAnsi="宋体" w:eastAsia="宋体" w:cs="宋体"/>
                <w:sz w:val="20"/>
                <w:szCs w:val="20"/>
              </w:rPr>
            </w:pPr>
            <w:r>
              <w:rPr>
                <w:rFonts w:ascii="宋体" w:hAnsi="宋体" w:eastAsia="宋体" w:cs="宋体"/>
                <w:sz w:val="20"/>
                <w:szCs w:val="20"/>
              </w:rPr>
              <w:t>地表</w:t>
            </w:r>
          </w:p>
          <w:p w14:paraId="128DE7E3">
            <w:pPr>
              <w:spacing w:before="85" w:line="228" w:lineRule="auto"/>
              <w:ind w:left="133"/>
              <w:rPr>
                <w:rFonts w:ascii="宋体" w:hAnsi="宋体" w:eastAsia="宋体" w:cs="宋体"/>
                <w:sz w:val="20"/>
                <w:szCs w:val="20"/>
              </w:rPr>
            </w:pPr>
            <w:r>
              <w:rPr>
                <w:rFonts w:ascii="宋体" w:hAnsi="宋体" w:eastAsia="宋体" w:cs="宋体"/>
                <w:spacing w:val="-1"/>
                <w:sz w:val="20"/>
                <w:szCs w:val="20"/>
              </w:rPr>
              <w:t>水环</w:t>
            </w:r>
          </w:p>
          <w:p w14:paraId="58941EA7">
            <w:pPr>
              <w:spacing w:before="87" w:line="228" w:lineRule="auto"/>
              <w:ind w:left="230"/>
              <w:rPr>
                <w:rFonts w:ascii="宋体" w:hAnsi="宋体" w:eastAsia="宋体" w:cs="宋体"/>
                <w:sz w:val="20"/>
                <w:szCs w:val="20"/>
              </w:rPr>
            </w:pPr>
            <w:r>
              <w:rPr>
                <w:rFonts w:ascii="宋体" w:hAnsi="宋体" w:eastAsia="宋体" w:cs="宋体"/>
                <w:sz w:val="20"/>
                <w:szCs w:val="20"/>
              </w:rPr>
              <w:t>境</w:t>
            </w:r>
          </w:p>
        </w:tc>
        <w:tc>
          <w:tcPr>
            <w:tcW w:w="1710" w:type="dxa"/>
            <w:vAlign w:val="top"/>
          </w:tcPr>
          <w:p w14:paraId="66CFEE85">
            <w:pPr>
              <w:spacing w:before="62" w:line="228" w:lineRule="auto"/>
              <w:ind w:left="176"/>
              <w:rPr>
                <w:rFonts w:ascii="宋体" w:hAnsi="宋体" w:eastAsia="宋体" w:cs="宋体"/>
                <w:sz w:val="20"/>
                <w:szCs w:val="20"/>
              </w:rPr>
            </w:pPr>
            <w:r>
              <w:rPr>
                <w:rFonts w:ascii="宋体" w:hAnsi="宋体" w:eastAsia="宋体" w:cs="宋体"/>
                <w:spacing w:val="-4"/>
                <w:sz w:val="20"/>
                <w:szCs w:val="20"/>
              </w:rPr>
              <w:t>污</w:t>
            </w:r>
            <w:r>
              <w:rPr>
                <w:rFonts w:ascii="宋体" w:hAnsi="宋体" w:eastAsia="宋体" w:cs="宋体"/>
                <w:spacing w:val="-3"/>
                <w:sz w:val="20"/>
                <w:szCs w:val="20"/>
              </w:rPr>
              <w:t>染</w:t>
            </w:r>
            <w:r>
              <w:rPr>
                <w:rFonts w:ascii="宋体" w:hAnsi="宋体" w:eastAsia="宋体" w:cs="宋体"/>
                <w:spacing w:val="-2"/>
                <w:sz w:val="20"/>
                <w:szCs w:val="20"/>
              </w:rPr>
              <w:t>源排放因子</w:t>
            </w:r>
          </w:p>
        </w:tc>
        <w:tc>
          <w:tcPr>
            <w:tcW w:w="6173" w:type="dxa"/>
            <w:tcBorders>
              <w:right w:val="nil"/>
            </w:tcBorders>
            <w:vAlign w:val="top"/>
          </w:tcPr>
          <w:p w14:paraId="028E31CA">
            <w:pPr>
              <w:spacing w:before="61" w:line="264" w:lineRule="exact"/>
              <w:ind w:left="2068"/>
              <w:rPr>
                <w:rFonts w:ascii="宋体" w:hAnsi="宋体" w:eastAsia="宋体" w:cs="宋体"/>
                <w:sz w:val="20"/>
                <w:szCs w:val="20"/>
              </w:rPr>
            </w:pPr>
            <w:r>
              <w:rPr>
                <w:rFonts w:ascii="Times New Roman" w:hAnsi="Times New Roman" w:eastAsia="Times New Roman" w:cs="Times New Roman"/>
                <w:spacing w:val="-1"/>
                <w:position w:val="1"/>
                <w:sz w:val="20"/>
                <w:szCs w:val="20"/>
              </w:rPr>
              <w:t>COD</w:t>
            </w: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BO</w:t>
            </w:r>
            <w:r>
              <w:rPr>
                <w:rFonts w:ascii="Times New Roman" w:hAnsi="Times New Roman" w:eastAsia="Times New Roman" w:cs="Times New Roman"/>
                <w:position w:val="1"/>
                <w:sz w:val="20"/>
                <w:szCs w:val="20"/>
              </w:rPr>
              <w:t>D</w:t>
            </w:r>
            <w:r>
              <w:rPr>
                <w:rFonts w:ascii="宋体" w:hAnsi="宋体" w:eastAsia="宋体" w:cs="宋体"/>
                <w:spacing w:val="-1"/>
                <w:position w:val="1"/>
                <w:sz w:val="20"/>
                <w:szCs w:val="20"/>
              </w:rPr>
              <w:t>、</w:t>
            </w:r>
            <w:r>
              <w:rPr>
                <w:rFonts w:ascii="Times New Roman" w:hAnsi="Times New Roman" w:eastAsia="Times New Roman" w:cs="Times New Roman"/>
                <w:position w:val="1"/>
                <w:sz w:val="20"/>
                <w:szCs w:val="20"/>
              </w:rPr>
              <w:t>SS</w:t>
            </w:r>
            <w:r>
              <w:rPr>
                <w:rFonts w:ascii="宋体" w:hAnsi="宋体" w:eastAsia="宋体" w:cs="宋体"/>
                <w:spacing w:val="-1"/>
                <w:position w:val="1"/>
                <w:sz w:val="20"/>
                <w:szCs w:val="20"/>
              </w:rPr>
              <w:t>、氨氮</w:t>
            </w:r>
          </w:p>
        </w:tc>
      </w:tr>
      <w:tr w14:paraId="2484CD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638" w:type="dxa"/>
            <w:vMerge w:val="continue"/>
            <w:tcBorders>
              <w:top w:val="nil"/>
              <w:left w:val="nil"/>
              <w:bottom w:val="nil"/>
            </w:tcBorders>
            <w:vAlign w:val="top"/>
          </w:tcPr>
          <w:p w14:paraId="4B6F3FA6">
            <w:pPr>
              <w:rPr>
                <w:rFonts w:ascii="Arial"/>
                <w:sz w:val="21"/>
              </w:rPr>
            </w:pPr>
          </w:p>
        </w:tc>
        <w:tc>
          <w:tcPr>
            <w:tcW w:w="1710" w:type="dxa"/>
            <w:vAlign w:val="top"/>
          </w:tcPr>
          <w:p w14:paraId="28671E97">
            <w:pPr>
              <w:spacing w:before="63" w:line="226" w:lineRule="auto"/>
              <w:ind w:left="76"/>
              <w:rPr>
                <w:rFonts w:ascii="宋体" w:hAnsi="宋体" w:eastAsia="宋体" w:cs="宋体"/>
                <w:sz w:val="20"/>
                <w:szCs w:val="20"/>
              </w:rPr>
            </w:pPr>
            <w:r>
              <w:rPr>
                <w:rFonts w:ascii="宋体" w:hAnsi="宋体" w:eastAsia="宋体" w:cs="宋体"/>
                <w:spacing w:val="-4"/>
                <w:sz w:val="20"/>
                <w:szCs w:val="20"/>
              </w:rPr>
              <w:t>环</w:t>
            </w:r>
            <w:r>
              <w:rPr>
                <w:rFonts w:ascii="宋体" w:hAnsi="宋体" w:eastAsia="宋体" w:cs="宋体"/>
                <w:spacing w:val="-3"/>
                <w:sz w:val="20"/>
                <w:szCs w:val="20"/>
              </w:rPr>
              <w:t>境</w:t>
            </w:r>
            <w:r>
              <w:rPr>
                <w:rFonts w:ascii="宋体" w:hAnsi="宋体" w:eastAsia="宋体" w:cs="宋体"/>
                <w:spacing w:val="-2"/>
                <w:sz w:val="20"/>
                <w:szCs w:val="20"/>
              </w:rPr>
              <w:t>质量评价因子</w:t>
            </w:r>
          </w:p>
        </w:tc>
        <w:tc>
          <w:tcPr>
            <w:tcW w:w="6173" w:type="dxa"/>
            <w:tcBorders>
              <w:right w:val="nil"/>
            </w:tcBorders>
            <w:vAlign w:val="top"/>
          </w:tcPr>
          <w:p w14:paraId="56AED8A3">
            <w:pPr>
              <w:spacing w:before="187" w:line="142" w:lineRule="exact"/>
              <w:ind w:left="2880"/>
              <w:rPr>
                <w:rFonts w:ascii="Times New Roman" w:hAnsi="Times New Roman" w:eastAsia="Times New Roman" w:cs="Times New Roman"/>
                <w:sz w:val="20"/>
                <w:szCs w:val="20"/>
              </w:rPr>
            </w:pPr>
            <w:r>
              <w:rPr>
                <w:rFonts w:ascii="Times New Roman" w:hAnsi="Times New Roman" w:eastAsia="Times New Roman" w:cs="Times New Roman"/>
                <w:spacing w:val="9"/>
                <w:position w:val="-1"/>
                <w:sz w:val="20"/>
                <w:szCs w:val="20"/>
              </w:rPr>
              <w:t>——</w:t>
            </w:r>
          </w:p>
        </w:tc>
      </w:tr>
      <w:tr w14:paraId="06BC28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638" w:type="dxa"/>
            <w:vMerge w:val="continue"/>
            <w:tcBorders>
              <w:top w:val="nil"/>
              <w:left w:val="nil"/>
            </w:tcBorders>
            <w:vAlign w:val="top"/>
          </w:tcPr>
          <w:p w14:paraId="17AF6D43">
            <w:pPr>
              <w:rPr>
                <w:rFonts w:ascii="Arial"/>
                <w:sz w:val="21"/>
              </w:rPr>
            </w:pPr>
          </w:p>
        </w:tc>
        <w:tc>
          <w:tcPr>
            <w:tcW w:w="1710" w:type="dxa"/>
            <w:vAlign w:val="top"/>
          </w:tcPr>
          <w:p w14:paraId="33987379">
            <w:pPr>
              <w:spacing w:before="64" w:line="228" w:lineRule="auto"/>
              <w:ind w:left="76"/>
              <w:rPr>
                <w:rFonts w:ascii="宋体" w:hAnsi="宋体" w:eastAsia="宋体" w:cs="宋体"/>
                <w:sz w:val="20"/>
                <w:szCs w:val="20"/>
              </w:rPr>
            </w:pPr>
            <w:r>
              <w:rPr>
                <w:rFonts w:ascii="宋体" w:hAnsi="宋体" w:eastAsia="宋体" w:cs="宋体"/>
                <w:spacing w:val="-4"/>
                <w:sz w:val="20"/>
                <w:szCs w:val="20"/>
              </w:rPr>
              <w:t>环</w:t>
            </w:r>
            <w:r>
              <w:rPr>
                <w:rFonts w:ascii="宋体" w:hAnsi="宋体" w:eastAsia="宋体" w:cs="宋体"/>
                <w:spacing w:val="-3"/>
                <w:sz w:val="20"/>
                <w:szCs w:val="20"/>
              </w:rPr>
              <w:t>境</w:t>
            </w:r>
            <w:r>
              <w:rPr>
                <w:rFonts w:ascii="宋体" w:hAnsi="宋体" w:eastAsia="宋体" w:cs="宋体"/>
                <w:spacing w:val="-2"/>
                <w:sz w:val="20"/>
                <w:szCs w:val="20"/>
              </w:rPr>
              <w:t>影响预测因子</w:t>
            </w:r>
          </w:p>
        </w:tc>
        <w:tc>
          <w:tcPr>
            <w:tcW w:w="6173" w:type="dxa"/>
            <w:tcBorders>
              <w:right w:val="nil"/>
            </w:tcBorders>
            <w:vAlign w:val="top"/>
          </w:tcPr>
          <w:p w14:paraId="54C1B7BF">
            <w:pPr>
              <w:spacing w:before="189" w:line="142" w:lineRule="exact"/>
              <w:ind w:left="2880"/>
              <w:rPr>
                <w:rFonts w:ascii="Times New Roman" w:hAnsi="Times New Roman" w:eastAsia="Times New Roman" w:cs="Times New Roman"/>
                <w:sz w:val="20"/>
                <w:szCs w:val="20"/>
              </w:rPr>
            </w:pPr>
            <w:r>
              <w:rPr>
                <w:rFonts w:ascii="Times New Roman" w:hAnsi="Times New Roman" w:eastAsia="Times New Roman" w:cs="Times New Roman"/>
                <w:spacing w:val="9"/>
                <w:position w:val="-1"/>
                <w:sz w:val="20"/>
                <w:szCs w:val="20"/>
              </w:rPr>
              <w:t>——</w:t>
            </w:r>
          </w:p>
        </w:tc>
      </w:tr>
      <w:tr w14:paraId="1A4CFE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638" w:type="dxa"/>
            <w:vMerge w:val="restart"/>
            <w:tcBorders>
              <w:left w:val="nil"/>
              <w:bottom w:val="nil"/>
            </w:tcBorders>
            <w:vAlign w:val="top"/>
          </w:tcPr>
          <w:p w14:paraId="6DF7437B">
            <w:pPr>
              <w:spacing w:before="239" w:line="229" w:lineRule="auto"/>
              <w:ind w:left="131"/>
              <w:rPr>
                <w:rFonts w:ascii="宋体" w:hAnsi="宋体" w:eastAsia="宋体" w:cs="宋体"/>
                <w:sz w:val="20"/>
                <w:szCs w:val="20"/>
              </w:rPr>
            </w:pPr>
            <w:r>
              <w:rPr>
                <w:rFonts w:ascii="宋体" w:hAnsi="宋体" w:eastAsia="宋体" w:cs="宋体"/>
                <w:sz w:val="20"/>
                <w:szCs w:val="20"/>
              </w:rPr>
              <w:t>地下</w:t>
            </w:r>
          </w:p>
          <w:p w14:paraId="0FE9F444">
            <w:pPr>
              <w:spacing w:before="85" w:line="228" w:lineRule="auto"/>
              <w:ind w:left="133"/>
              <w:rPr>
                <w:rFonts w:ascii="宋体" w:hAnsi="宋体" w:eastAsia="宋体" w:cs="宋体"/>
                <w:sz w:val="20"/>
                <w:szCs w:val="20"/>
              </w:rPr>
            </w:pPr>
            <w:r>
              <w:rPr>
                <w:rFonts w:ascii="宋体" w:hAnsi="宋体" w:eastAsia="宋体" w:cs="宋体"/>
                <w:spacing w:val="-1"/>
                <w:sz w:val="20"/>
                <w:szCs w:val="20"/>
              </w:rPr>
              <w:t>水环</w:t>
            </w:r>
          </w:p>
          <w:p w14:paraId="17BCB1BE">
            <w:pPr>
              <w:spacing w:before="87" w:line="228" w:lineRule="auto"/>
              <w:ind w:left="230"/>
              <w:rPr>
                <w:rFonts w:ascii="宋体" w:hAnsi="宋体" w:eastAsia="宋体" w:cs="宋体"/>
                <w:sz w:val="20"/>
                <w:szCs w:val="20"/>
              </w:rPr>
            </w:pPr>
            <w:r>
              <w:rPr>
                <w:rFonts w:ascii="宋体" w:hAnsi="宋体" w:eastAsia="宋体" w:cs="宋体"/>
                <w:sz w:val="20"/>
                <w:szCs w:val="20"/>
              </w:rPr>
              <w:t>境</w:t>
            </w:r>
          </w:p>
        </w:tc>
        <w:tc>
          <w:tcPr>
            <w:tcW w:w="1710" w:type="dxa"/>
            <w:vAlign w:val="top"/>
          </w:tcPr>
          <w:p w14:paraId="20FF3ACA">
            <w:pPr>
              <w:spacing w:before="64" w:line="228" w:lineRule="auto"/>
              <w:ind w:left="176"/>
              <w:rPr>
                <w:rFonts w:ascii="宋体" w:hAnsi="宋体" w:eastAsia="宋体" w:cs="宋体"/>
                <w:sz w:val="20"/>
                <w:szCs w:val="20"/>
              </w:rPr>
            </w:pPr>
            <w:r>
              <w:rPr>
                <w:rFonts w:ascii="宋体" w:hAnsi="宋体" w:eastAsia="宋体" w:cs="宋体"/>
                <w:spacing w:val="-4"/>
                <w:sz w:val="20"/>
                <w:szCs w:val="20"/>
              </w:rPr>
              <w:t>污</w:t>
            </w:r>
            <w:r>
              <w:rPr>
                <w:rFonts w:ascii="宋体" w:hAnsi="宋体" w:eastAsia="宋体" w:cs="宋体"/>
                <w:spacing w:val="-3"/>
                <w:sz w:val="20"/>
                <w:szCs w:val="20"/>
              </w:rPr>
              <w:t>染</w:t>
            </w:r>
            <w:r>
              <w:rPr>
                <w:rFonts w:ascii="宋体" w:hAnsi="宋体" w:eastAsia="宋体" w:cs="宋体"/>
                <w:spacing w:val="-2"/>
                <w:sz w:val="20"/>
                <w:szCs w:val="20"/>
              </w:rPr>
              <w:t>源排放因子</w:t>
            </w:r>
          </w:p>
        </w:tc>
        <w:tc>
          <w:tcPr>
            <w:tcW w:w="6173" w:type="dxa"/>
            <w:tcBorders>
              <w:right w:val="nil"/>
            </w:tcBorders>
            <w:vAlign w:val="top"/>
          </w:tcPr>
          <w:p w14:paraId="372FC212">
            <w:pPr>
              <w:spacing w:before="64" w:line="264" w:lineRule="exact"/>
              <w:ind w:left="2068"/>
              <w:rPr>
                <w:rFonts w:ascii="宋体" w:hAnsi="宋体" w:eastAsia="宋体" w:cs="宋体"/>
                <w:sz w:val="20"/>
                <w:szCs w:val="20"/>
              </w:rPr>
            </w:pPr>
            <w:r>
              <w:rPr>
                <w:rFonts w:ascii="Times New Roman" w:hAnsi="Times New Roman" w:eastAsia="Times New Roman" w:cs="Times New Roman"/>
                <w:spacing w:val="-1"/>
                <w:position w:val="1"/>
                <w:sz w:val="20"/>
                <w:szCs w:val="20"/>
              </w:rPr>
              <w:t>COD</w:t>
            </w: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BO</w:t>
            </w:r>
            <w:r>
              <w:rPr>
                <w:rFonts w:ascii="Times New Roman" w:hAnsi="Times New Roman" w:eastAsia="Times New Roman" w:cs="Times New Roman"/>
                <w:position w:val="1"/>
                <w:sz w:val="20"/>
                <w:szCs w:val="20"/>
              </w:rPr>
              <w:t>D</w:t>
            </w:r>
            <w:r>
              <w:rPr>
                <w:rFonts w:ascii="宋体" w:hAnsi="宋体" w:eastAsia="宋体" w:cs="宋体"/>
                <w:spacing w:val="-1"/>
                <w:position w:val="1"/>
                <w:sz w:val="20"/>
                <w:szCs w:val="20"/>
              </w:rPr>
              <w:t>、</w:t>
            </w:r>
            <w:r>
              <w:rPr>
                <w:rFonts w:ascii="Times New Roman" w:hAnsi="Times New Roman" w:eastAsia="Times New Roman" w:cs="Times New Roman"/>
                <w:position w:val="1"/>
                <w:sz w:val="20"/>
                <w:szCs w:val="20"/>
              </w:rPr>
              <w:t>SS</w:t>
            </w:r>
            <w:r>
              <w:rPr>
                <w:rFonts w:ascii="宋体" w:hAnsi="宋体" w:eastAsia="宋体" w:cs="宋体"/>
                <w:spacing w:val="-1"/>
                <w:position w:val="1"/>
                <w:sz w:val="20"/>
                <w:szCs w:val="20"/>
              </w:rPr>
              <w:t>、氨氮</w:t>
            </w:r>
          </w:p>
        </w:tc>
      </w:tr>
      <w:tr w14:paraId="26FA36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0" w:hRule="atLeast"/>
        </w:trPr>
        <w:tc>
          <w:tcPr>
            <w:tcW w:w="638" w:type="dxa"/>
            <w:vMerge w:val="continue"/>
            <w:tcBorders>
              <w:top w:val="nil"/>
              <w:left w:val="nil"/>
              <w:bottom w:val="nil"/>
            </w:tcBorders>
            <w:vAlign w:val="top"/>
          </w:tcPr>
          <w:p w14:paraId="28240E6C">
            <w:pPr>
              <w:rPr>
                <w:rFonts w:ascii="Arial"/>
                <w:sz w:val="21"/>
              </w:rPr>
            </w:pPr>
          </w:p>
        </w:tc>
        <w:tc>
          <w:tcPr>
            <w:tcW w:w="1710" w:type="dxa"/>
            <w:vAlign w:val="top"/>
          </w:tcPr>
          <w:p w14:paraId="6960F81B">
            <w:pPr>
              <w:spacing w:before="230" w:line="226" w:lineRule="auto"/>
              <w:ind w:left="76"/>
              <w:rPr>
                <w:rFonts w:ascii="宋体" w:hAnsi="宋体" w:eastAsia="宋体" w:cs="宋体"/>
                <w:sz w:val="20"/>
                <w:szCs w:val="20"/>
              </w:rPr>
            </w:pPr>
            <w:r>
              <w:rPr>
                <w:rFonts w:ascii="宋体" w:hAnsi="宋体" w:eastAsia="宋体" w:cs="宋体"/>
                <w:spacing w:val="-4"/>
                <w:sz w:val="20"/>
                <w:szCs w:val="20"/>
              </w:rPr>
              <w:t>环</w:t>
            </w:r>
            <w:r>
              <w:rPr>
                <w:rFonts w:ascii="宋体" w:hAnsi="宋体" w:eastAsia="宋体" w:cs="宋体"/>
                <w:spacing w:val="-3"/>
                <w:sz w:val="20"/>
                <w:szCs w:val="20"/>
              </w:rPr>
              <w:t>境</w:t>
            </w:r>
            <w:r>
              <w:rPr>
                <w:rFonts w:ascii="宋体" w:hAnsi="宋体" w:eastAsia="宋体" w:cs="宋体"/>
                <w:spacing w:val="-2"/>
                <w:sz w:val="20"/>
                <w:szCs w:val="20"/>
              </w:rPr>
              <w:t>质量评价因子</w:t>
            </w:r>
          </w:p>
        </w:tc>
        <w:tc>
          <w:tcPr>
            <w:tcW w:w="6173" w:type="dxa"/>
            <w:tcBorders>
              <w:right w:val="nil"/>
            </w:tcBorders>
            <w:vAlign w:val="top"/>
          </w:tcPr>
          <w:p w14:paraId="3332A894">
            <w:pPr>
              <w:spacing w:before="63" w:line="269" w:lineRule="auto"/>
              <w:ind w:left="151" w:right="29" w:hanging="95"/>
              <w:rPr>
                <w:rFonts w:ascii="宋体" w:hAnsi="宋体" w:eastAsia="宋体" w:cs="宋体"/>
                <w:sz w:val="20"/>
                <w:szCs w:val="20"/>
              </w:rPr>
            </w:pPr>
            <w:r>
              <w:rPr>
                <w:rFonts w:ascii="Times New Roman" w:hAnsi="Times New Roman" w:eastAsia="Times New Roman" w:cs="Times New Roman"/>
                <w:spacing w:val="-5"/>
                <w:sz w:val="20"/>
                <w:szCs w:val="20"/>
              </w:rPr>
              <w:t>pH</w:t>
            </w:r>
            <w:r>
              <w:rPr>
                <w:rFonts w:ascii="宋体" w:hAnsi="宋体" w:eastAsia="宋体" w:cs="宋体"/>
                <w:spacing w:val="-5"/>
                <w:sz w:val="20"/>
                <w:szCs w:val="20"/>
              </w:rPr>
              <w:t>、浑浊度、耗氧量、氨氮、总硬度、硫酸盐、硝酸盐、亚硝酸盐、氯</w:t>
            </w:r>
            <w:r>
              <w:rPr>
                <w:rFonts w:ascii="宋体" w:hAnsi="宋体" w:eastAsia="宋体" w:cs="宋体"/>
                <w:sz w:val="20"/>
                <w:szCs w:val="20"/>
              </w:rPr>
              <w:t xml:space="preserve"> </w:t>
            </w:r>
            <w:r>
              <w:rPr>
                <w:rFonts w:ascii="宋体" w:hAnsi="宋体" w:eastAsia="宋体" w:cs="宋体"/>
                <w:spacing w:val="-5"/>
                <w:sz w:val="20"/>
                <w:szCs w:val="20"/>
              </w:rPr>
              <w:t>化</w:t>
            </w:r>
            <w:r>
              <w:rPr>
                <w:rFonts w:ascii="宋体" w:hAnsi="宋体" w:eastAsia="宋体" w:cs="宋体"/>
                <w:spacing w:val="-3"/>
                <w:sz w:val="20"/>
                <w:szCs w:val="20"/>
              </w:rPr>
              <w:t>物、钾、钙、钠、镁、碳酸根、碳酸氢根、细菌总数和总大肠菌群</w:t>
            </w:r>
          </w:p>
        </w:tc>
      </w:tr>
      <w:tr w14:paraId="63E461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638" w:type="dxa"/>
            <w:vMerge w:val="continue"/>
            <w:tcBorders>
              <w:top w:val="nil"/>
              <w:left w:val="nil"/>
            </w:tcBorders>
            <w:vAlign w:val="top"/>
          </w:tcPr>
          <w:p w14:paraId="656A9DB2">
            <w:pPr>
              <w:rPr>
                <w:rFonts w:ascii="Arial"/>
                <w:sz w:val="21"/>
              </w:rPr>
            </w:pPr>
          </w:p>
        </w:tc>
        <w:tc>
          <w:tcPr>
            <w:tcW w:w="1710" w:type="dxa"/>
            <w:vAlign w:val="top"/>
          </w:tcPr>
          <w:p w14:paraId="4A6C2122">
            <w:pPr>
              <w:spacing w:before="66" w:line="228" w:lineRule="auto"/>
              <w:ind w:left="76"/>
              <w:rPr>
                <w:rFonts w:ascii="宋体" w:hAnsi="宋体" w:eastAsia="宋体" w:cs="宋体"/>
                <w:sz w:val="20"/>
                <w:szCs w:val="20"/>
              </w:rPr>
            </w:pPr>
            <w:r>
              <w:rPr>
                <w:rFonts w:ascii="宋体" w:hAnsi="宋体" w:eastAsia="宋体" w:cs="宋体"/>
                <w:spacing w:val="-4"/>
                <w:sz w:val="20"/>
                <w:szCs w:val="20"/>
              </w:rPr>
              <w:t>环</w:t>
            </w:r>
            <w:r>
              <w:rPr>
                <w:rFonts w:ascii="宋体" w:hAnsi="宋体" w:eastAsia="宋体" w:cs="宋体"/>
                <w:spacing w:val="-3"/>
                <w:sz w:val="20"/>
                <w:szCs w:val="20"/>
              </w:rPr>
              <w:t>境</w:t>
            </w:r>
            <w:r>
              <w:rPr>
                <w:rFonts w:ascii="宋体" w:hAnsi="宋体" w:eastAsia="宋体" w:cs="宋体"/>
                <w:spacing w:val="-2"/>
                <w:sz w:val="20"/>
                <w:szCs w:val="20"/>
              </w:rPr>
              <w:t>影响预测因子</w:t>
            </w:r>
          </w:p>
        </w:tc>
        <w:tc>
          <w:tcPr>
            <w:tcW w:w="6173" w:type="dxa"/>
            <w:tcBorders>
              <w:right w:val="nil"/>
            </w:tcBorders>
            <w:vAlign w:val="top"/>
          </w:tcPr>
          <w:p w14:paraId="3BE3866E">
            <w:pPr>
              <w:spacing w:before="66" w:line="227" w:lineRule="auto"/>
              <w:ind w:left="2897"/>
              <w:rPr>
                <w:rFonts w:ascii="宋体" w:hAnsi="宋体" w:eastAsia="宋体" w:cs="宋体"/>
                <w:sz w:val="20"/>
                <w:szCs w:val="20"/>
              </w:rPr>
            </w:pPr>
            <w:r>
              <w:rPr>
                <w:rFonts w:ascii="宋体" w:hAnsi="宋体" w:eastAsia="宋体" w:cs="宋体"/>
                <w:sz w:val="20"/>
                <w:szCs w:val="20"/>
              </w:rPr>
              <w:t>氨氮</w:t>
            </w:r>
          </w:p>
        </w:tc>
      </w:tr>
      <w:tr w14:paraId="50DDD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638" w:type="dxa"/>
            <w:vMerge w:val="restart"/>
            <w:tcBorders>
              <w:left w:val="nil"/>
              <w:bottom w:val="nil"/>
            </w:tcBorders>
            <w:vAlign w:val="top"/>
          </w:tcPr>
          <w:p w14:paraId="23682A1F">
            <w:pPr>
              <w:spacing w:before="241" w:line="320" w:lineRule="auto"/>
              <w:ind w:left="230" w:right="106" w:hanging="95"/>
              <w:rPr>
                <w:rFonts w:ascii="宋体" w:hAnsi="宋体" w:eastAsia="宋体" w:cs="宋体"/>
                <w:sz w:val="20"/>
                <w:szCs w:val="20"/>
              </w:rPr>
            </w:pPr>
            <w:r>
              <w:rPr>
                <w:rFonts w:ascii="宋体" w:hAnsi="宋体" w:eastAsia="宋体" w:cs="宋体"/>
                <w:spacing w:val="-4"/>
                <w:sz w:val="20"/>
                <w:szCs w:val="20"/>
              </w:rPr>
              <w:t>声</w:t>
            </w:r>
            <w:r>
              <w:rPr>
                <w:rFonts w:ascii="宋体" w:hAnsi="宋体" w:eastAsia="宋体" w:cs="宋体"/>
                <w:spacing w:val="-3"/>
                <w:sz w:val="20"/>
                <w:szCs w:val="20"/>
              </w:rPr>
              <w:t>环</w:t>
            </w:r>
            <w:r>
              <w:rPr>
                <w:rFonts w:ascii="宋体" w:hAnsi="宋体" w:eastAsia="宋体" w:cs="宋体"/>
                <w:sz w:val="20"/>
                <w:szCs w:val="20"/>
              </w:rPr>
              <w:t xml:space="preserve"> 境</w:t>
            </w:r>
          </w:p>
        </w:tc>
        <w:tc>
          <w:tcPr>
            <w:tcW w:w="1710" w:type="dxa"/>
            <w:vAlign w:val="top"/>
          </w:tcPr>
          <w:p w14:paraId="15464B2F">
            <w:pPr>
              <w:spacing w:before="66" w:line="228" w:lineRule="auto"/>
              <w:ind w:left="176"/>
              <w:rPr>
                <w:rFonts w:ascii="宋体" w:hAnsi="宋体" w:eastAsia="宋体" w:cs="宋体"/>
                <w:sz w:val="20"/>
                <w:szCs w:val="20"/>
              </w:rPr>
            </w:pPr>
            <w:r>
              <w:rPr>
                <w:rFonts w:ascii="宋体" w:hAnsi="宋体" w:eastAsia="宋体" w:cs="宋体"/>
                <w:spacing w:val="-4"/>
                <w:sz w:val="20"/>
                <w:szCs w:val="20"/>
              </w:rPr>
              <w:t>污</w:t>
            </w:r>
            <w:r>
              <w:rPr>
                <w:rFonts w:ascii="宋体" w:hAnsi="宋体" w:eastAsia="宋体" w:cs="宋体"/>
                <w:spacing w:val="-3"/>
                <w:sz w:val="20"/>
                <w:szCs w:val="20"/>
              </w:rPr>
              <w:t>染</w:t>
            </w:r>
            <w:r>
              <w:rPr>
                <w:rFonts w:ascii="宋体" w:hAnsi="宋体" w:eastAsia="宋体" w:cs="宋体"/>
                <w:spacing w:val="-2"/>
                <w:sz w:val="20"/>
                <w:szCs w:val="20"/>
              </w:rPr>
              <w:t>源排放因子</w:t>
            </w:r>
          </w:p>
        </w:tc>
        <w:tc>
          <w:tcPr>
            <w:tcW w:w="6173" w:type="dxa"/>
            <w:tcBorders>
              <w:right w:val="nil"/>
            </w:tcBorders>
            <w:vAlign w:val="top"/>
          </w:tcPr>
          <w:p w14:paraId="2D5CD19D">
            <w:pPr>
              <w:spacing w:before="66" w:line="228" w:lineRule="auto"/>
              <w:ind w:left="2383"/>
              <w:rPr>
                <w:rFonts w:ascii="宋体" w:hAnsi="宋体" w:eastAsia="宋体" w:cs="宋体"/>
                <w:sz w:val="20"/>
                <w:szCs w:val="20"/>
              </w:rPr>
            </w:pPr>
            <w:r>
              <w:rPr>
                <w:rFonts w:ascii="宋体" w:hAnsi="宋体" w:eastAsia="宋体" w:cs="宋体"/>
                <w:spacing w:val="6"/>
                <w:sz w:val="20"/>
                <w:szCs w:val="20"/>
              </w:rPr>
              <w:t>等</w:t>
            </w:r>
            <w:r>
              <w:rPr>
                <w:rFonts w:ascii="宋体" w:hAnsi="宋体" w:eastAsia="宋体" w:cs="宋体"/>
                <w:spacing w:val="5"/>
                <w:sz w:val="20"/>
                <w:szCs w:val="20"/>
              </w:rPr>
              <w:t>效连续</w:t>
            </w:r>
            <w:r>
              <w:rPr>
                <w:rFonts w:ascii="Times New Roman" w:hAnsi="Times New Roman" w:eastAsia="Times New Roman" w:cs="Times New Roman"/>
                <w:sz w:val="20"/>
                <w:szCs w:val="20"/>
              </w:rPr>
              <w:t>A</w:t>
            </w:r>
            <w:r>
              <w:rPr>
                <w:rFonts w:ascii="Times New Roman" w:hAnsi="Times New Roman" w:eastAsia="Times New Roman" w:cs="Times New Roman"/>
                <w:spacing w:val="5"/>
                <w:sz w:val="20"/>
                <w:szCs w:val="20"/>
              </w:rPr>
              <w:t xml:space="preserve"> </w:t>
            </w:r>
            <w:r>
              <w:rPr>
                <w:rFonts w:ascii="宋体" w:hAnsi="宋体" w:eastAsia="宋体" w:cs="宋体"/>
                <w:spacing w:val="5"/>
                <w:sz w:val="20"/>
                <w:szCs w:val="20"/>
              </w:rPr>
              <w:t>声级</w:t>
            </w:r>
          </w:p>
        </w:tc>
      </w:tr>
      <w:tr w14:paraId="08CC49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638" w:type="dxa"/>
            <w:vMerge w:val="continue"/>
            <w:tcBorders>
              <w:top w:val="nil"/>
              <w:left w:val="nil"/>
              <w:bottom w:val="nil"/>
            </w:tcBorders>
            <w:vAlign w:val="top"/>
          </w:tcPr>
          <w:p w14:paraId="3962630A">
            <w:pPr>
              <w:rPr>
                <w:rFonts w:ascii="Arial"/>
                <w:sz w:val="21"/>
              </w:rPr>
            </w:pPr>
          </w:p>
        </w:tc>
        <w:tc>
          <w:tcPr>
            <w:tcW w:w="1710" w:type="dxa"/>
            <w:vAlign w:val="top"/>
          </w:tcPr>
          <w:p w14:paraId="09FD0A2A">
            <w:pPr>
              <w:spacing w:before="64" w:line="226" w:lineRule="auto"/>
              <w:ind w:left="76"/>
              <w:rPr>
                <w:rFonts w:ascii="宋体" w:hAnsi="宋体" w:eastAsia="宋体" w:cs="宋体"/>
                <w:sz w:val="20"/>
                <w:szCs w:val="20"/>
              </w:rPr>
            </w:pPr>
            <w:r>
              <w:rPr>
                <w:rFonts w:ascii="宋体" w:hAnsi="宋体" w:eastAsia="宋体" w:cs="宋体"/>
                <w:spacing w:val="-4"/>
                <w:sz w:val="20"/>
                <w:szCs w:val="20"/>
              </w:rPr>
              <w:t>环</w:t>
            </w:r>
            <w:r>
              <w:rPr>
                <w:rFonts w:ascii="宋体" w:hAnsi="宋体" w:eastAsia="宋体" w:cs="宋体"/>
                <w:spacing w:val="-3"/>
                <w:sz w:val="20"/>
                <w:szCs w:val="20"/>
              </w:rPr>
              <w:t>境</w:t>
            </w:r>
            <w:r>
              <w:rPr>
                <w:rFonts w:ascii="宋体" w:hAnsi="宋体" w:eastAsia="宋体" w:cs="宋体"/>
                <w:spacing w:val="-2"/>
                <w:sz w:val="20"/>
                <w:szCs w:val="20"/>
              </w:rPr>
              <w:t>质量评价因子</w:t>
            </w:r>
          </w:p>
        </w:tc>
        <w:tc>
          <w:tcPr>
            <w:tcW w:w="6173" w:type="dxa"/>
            <w:tcBorders>
              <w:right w:val="nil"/>
            </w:tcBorders>
            <w:vAlign w:val="top"/>
          </w:tcPr>
          <w:p w14:paraId="52CB6B3C">
            <w:pPr>
              <w:spacing w:before="63" w:line="228" w:lineRule="auto"/>
              <w:ind w:left="2383"/>
              <w:rPr>
                <w:rFonts w:ascii="宋体" w:hAnsi="宋体" w:eastAsia="宋体" w:cs="宋体"/>
                <w:sz w:val="20"/>
                <w:szCs w:val="20"/>
              </w:rPr>
            </w:pPr>
            <w:r>
              <w:rPr>
                <w:rFonts w:ascii="宋体" w:hAnsi="宋体" w:eastAsia="宋体" w:cs="宋体"/>
                <w:spacing w:val="6"/>
                <w:sz w:val="20"/>
                <w:szCs w:val="20"/>
              </w:rPr>
              <w:t>等</w:t>
            </w:r>
            <w:r>
              <w:rPr>
                <w:rFonts w:ascii="宋体" w:hAnsi="宋体" w:eastAsia="宋体" w:cs="宋体"/>
                <w:spacing w:val="5"/>
                <w:sz w:val="20"/>
                <w:szCs w:val="20"/>
              </w:rPr>
              <w:t>效连续</w:t>
            </w:r>
            <w:r>
              <w:rPr>
                <w:rFonts w:ascii="Times New Roman" w:hAnsi="Times New Roman" w:eastAsia="Times New Roman" w:cs="Times New Roman"/>
                <w:sz w:val="20"/>
                <w:szCs w:val="20"/>
              </w:rPr>
              <w:t>A</w:t>
            </w:r>
            <w:r>
              <w:rPr>
                <w:rFonts w:ascii="Times New Roman" w:hAnsi="Times New Roman" w:eastAsia="Times New Roman" w:cs="Times New Roman"/>
                <w:spacing w:val="5"/>
                <w:sz w:val="20"/>
                <w:szCs w:val="20"/>
              </w:rPr>
              <w:t xml:space="preserve"> </w:t>
            </w:r>
            <w:r>
              <w:rPr>
                <w:rFonts w:ascii="宋体" w:hAnsi="宋体" w:eastAsia="宋体" w:cs="宋体"/>
                <w:spacing w:val="5"/>
                <w:sz w:val="20"/>
                <w:szCs w:val="20"/>
              </w:rPr>
              <w:t>声级</w:t>
            </w:r>
          </w:p>
        </w:tc>
      </w:tr>
      <w:tr w14:paraId="12BB7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638" w:type="dxa"/>
            <w:vMerge w:val="continue"/>
            <w:tcBorders>
              <w:top w:val="nil"/>
              <w:left w:val="nil"/>
            </w:tcBorders>
            <w:vAlign w:val="top"/>
          </w:tcPr>
          <w:p w14:paraId="40287E7B">
            <w:pPr>
              <w:rPr>
                <w:rFonts w:ascii="Arial"/>
                <w:sz w:val="21"/>
              </w:rPr>
            </w:pPr>
          </w:p>
        </w:tc>
        <w:tc>
          <w:tcPr>
            <w:tcW w:w="1710" w:type="dxa"/>
            <w:vAlign w:val="top"/>
          </w:tcPr>
          <w:p w14:paraId="50C0F319">
            <w:pPr>
              <w:spacing w:before="64" w:line="228" w:lineRule="auto"/>
              <w:ind w:left="76"/>
              <w:rPr>
                <w:rFonts w:ascii="宋体" w:hAnsi="宋体" w:eastAsia="宋体" w:cs="宋体"/>
                <w:sz w:val="20"/>
                <w:szCs w:val="20"/>
              </w:rPr>
            </w:pPr>
            <w:r>
              <w:rPr>
                <w:rFonts w:ascii="宋体" w:hAnsi="宋体" w:eastAsia="宋体" w:cs="宋体"/>
                <w:spacing w:val="-4"/>
                <w:sz w:val="20"/>
                <w:szCs w:val="20"/>
              </w:rPr>
              <w:t>环</w:t>
            </w:r>
            <w:r>
              <w:rPr>
                <w:rFonts w:ascii="宋体" w:hAnsi="宋体" w:eastAsia="宋体" w:cs="宋体"/>
                <w:spacing w:val="-3"/>
                <w:sz w:val="20"/>
                <w:szCs w:val="20"/>
              </w:rPr>
              <w:t>境</w:t>
            </w:r>
            <w:r>
              <w:rPr>
                <w:rFonts w:ascii="宋体" w:hAnsi="宋体" w:eastAsia="宋体" w:cs="宋体"/>
                <w:spacing w:val="-2"/>
                <w:sz w:val="20"/>
                <w:szCs w:val="20"/>
              </w:rPr>
              <w:t>影响预测因子</w:t>
            </w:r>
          </w:p>
        </w:tc>
        <w:tc>
          <w:tcPr>
            <w:tcW w:w="6173" w:type="dxa"/>
            <w:tcBorders>
              <w:right w:val="nil"/>
            </w:tcBorders>
            <w:vAlign w:val="top"/>
          </w:tcPr>
          <w:p w14:paraId="24726B59">
            <w:pPr>
              <w:spacing w:before="64" w:line="228" w:lineRule="auto"/>
              <w:ind w:left="2383"/>
              <w:rPr>
                <w:rFonts w:ascii="宋体" w:hAnsi="宋体" w:eastAsia="宋体" w:cs="宋体"/>
                <w:sz w:val="20"/>
                <w:szCs w:val="20"/>
              </w:rPr>
            </w:pPr>
            <w:r>
              <w:rPr>
                <w:rFonts w:ascii="宋体" w:hAnsi="宋体" w:eastAsia="宋体" w:cs="宋体"/>
                <w:spacing w:val="6"/>
                <w:sz w:val="20"/>
                <w:szCs w:val="20"/>
              </w:rPr>
              <w:t>等</w:t>
            </w:r>
            <w:r>
              <w:rPr>
                <w:rFonts w:ascii="宋体" w:hAnsi="宋体" w:eastAsia="宋体" w:cs="宋体"/>
                <w:spacing w:val="5"/>
                <w:sz w:val="20"/>
                <w:szCs w:val="20"/>
              </w:rPr>
              <w:t>效连续</w:t>
            </w:r>
            <w:r>
              <w:rPr>
                <w:rFonts w:ascii="Times New Roman" w:hAnsi="Times New Roman" w:eastAsia="Times New Roman" w:cs="Times New Roman"/>
                <w:sz w:val="20"/>
                <w:szCs w:val="20"/>
              </w:rPr>
              <w:t>A</w:t>
            </w:r>
            <w:r>
              <w:rPr>
                <w:rFonts w:ascii="Times New Roman" w:hAnsi="Times New Roman" w:eastAsia="Times New Roman" w:cs="Times New Roman"/>
                <w:spacing w:val="5"/>
                <w:sz w:val="20"/>
                <w:szCs w:val="20"/>
              </w:rPr>
              <w:t xml:space="preserve"> </w:t>
            </w:r>
            <w:r>
              <w:rPr>
                <w:rFonts w:ascii="宋体" w:hAnsi="宋体" w:eastAsia="宋体" w:cs="宋体"/>
                <w:spacing w:val="5"/>
                <w:sz w:val="20"/>
                <w:szCs w:val="20"/>
              </w:rPr>
              <w:t>声级</w:t>
            </w:r>
          </w:p>
        </w:tc>
      </w:tr>
      <w:tr w14:paraId="178C82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0" w:hRule="atLeast"/>
        </w:trPr>
        <w:tc>
          <w:tcPr>
            <w:tcW w:w="638" w:type="dxa"/>
            <w:vMerge w:val="restart"/>
            <w:tcBorders>
              <w:left w:val="nil"/>
              <w:bottom w:val="nil"/>
            </w:tcBorders>
            <w:vAlign w:val="top"/>
          </w:tcPr>
          <w:p w14:paraId="5F8C1B6F">
            <w:pPr>
              <w:spacing w:line="335" w:lineRule="auto"/>
              <w:rPr>
                <w:rFonts w:ascii="Arial"/>
                <w:sz w:val="21"/>
              </w:rPr>
            </w:pPr>
          </w:p>
          <w:p w14:paraId="59F8541B">
            <w:pPr>
              <w:spacing w:before="65" w:line="320" w:lineRule="auto"/>
              <w:ind w:left="130" w:right="106" w:firstLine="18"/>
              <w:rPr>
                <w:rFonts w:ascii="宋体" w:hAnsi="宋体" w:eastAsia="宋体" w:cs="宋体"/>
                <w:sz w:val="20"/>
                <w:szCs w:val="20"/>
              </w:rPr>
            </w:pPr>
            <w:r>
              <w:rPr>
                <w:rFonts w:ascii="宋体" w:hAnsi="宋体" w:eastAsia="宋体" w:cs="宋体"/>
                <w:spacing w:val="-11"/>
                <w:sz w:val="20"/>
                <w:szCs w:val="20"/>
              </w:rPr>
              <w:t>固</w:t>
            </w:r>
            <w:r>
              <w:rPr>
                <w:rFonts w:ascii="宋体" w:hAnsi="宋体" w:eastAsia="宋体" w:cs="宋体"/>
                <w:spacing w:val="-10"/>
                <w:sz w:val="20"/>
                <w:szCs w:val="20"/>
              </w:rPr>
              <w:t>体</w:t>
            </w:r>
            <w:r>
              <w:rPr>
                <w:rFonts w:ascii="宋体" w:hAnsi="宋体" w:eastAsia="宋体" w:cs="宋体"/>
                <w:sz w:val="20"/>
                <w:szCs w:val="20"/>
              </w:rPr>
              <w:t xml:space="preserve"> </w:t>
            </w:r>
            <w:r>
              <w:rPr>
                <w:rFonts w:ascii="宋体" w:hAnsi="宋体" w:eastAsia="宋体" w:cs="宋体"/>
                <w:spacing w:val="-1"/>
                <w:sz w:val="20"/>
                <w:szCs w:val="20"/>
              </w:rPr>
              <w:t>废物</w:t>
            </w:r>
          </w:p>
        </w:tc>
        <w:tc>
          <w:tcPr>
            <w:tcW w:w="1710" w:type="dxa"/>
            <w:vAlign w:val="top"/>
          </w:tcPr>
          <w:p w14:paraId="6E04F680">
            <w:pPr>
              <w:spacing w:before="230" w:line="228" w:lineRule="auto"/>
              <w:ind w:left="176"/>
              <w:rPr>
                <w:rFonts w:ascii="宋体" w:hAnsi="宋体" w:eastAsia="宋体" w:cs="宋体"/>
                <w:sz w:val="20"/>
                <w:szCs w:val="20"/>
              </w:rPr>
            </w:pPr>
            <w:r>
              <w:rPr>
                <w:rFonts w:ascii="宋体" w:hAnsi="宋体" w:eastAsia="宋体" w:cs="宋体"/>
                <w:spacing w:val="-4"/>
                <w:sz w:val="20"/>
                <w:szCs w:val="20"/>
              </w:rPr>
              <w:t>污</w:t>
            </w:r>
            <w:r>
              <w:rPr>
                <w:rFonts w:ascii="宋体" w:hAnsi="宋体" w:eastAsia="宋体" w:cs="宋体"/>
                <w:spacing w:val="-3"/>
                <w:sz w:val="20"/>
                <w:szCs w:val="20"/>
              </w:rPr>
              <w:t>染</w:t>
            </w:r>
            <w:r>
              <w:rPr>
                <w:rFonts w:ascii="宋体" w:hAnsi="宋体" w:eastAsia="宋体" w:cs="宋体"/>
                <w:spacing w:val="-2"/>
                <w:sz w:val="20"/>
                <w:szCs w:val="20"/>
              </w:rPr>
              <w:t>源排放因子</w:t>
            </w:r>
          </w:p>
        </w:tc>
        <w:tc>
          <w:tcPr>
            <w:tcW w:w="6173" w:type="dxa"/>
            <w:tcBorders>
              <w:right w:val="nil"/>
            </w:tcBorders>
            <w:vAlign w:val="top"/>
          </w:tcPr>
          <w:p w14:paraId="5E1574E7">
            <w:pPr>
              <w:spacing w:before="64" w:line="268" w:lineRule="auto"/>
              <w:ind w:left="1475" w:right="35" w:hanging="1406"/>
              <w:rPr>
                <w:rFonts w:ascii="宋体" w:hAnsi="宋体" w:eastAsia="宋体" w:cs="宋体"/>
                <w:sz w:val="20"/>
                <w:szCs w:val="20"/>
              </w:rPr>
            </w:pPr>
            <w:r>
              <w:rPr>
                <w:rFonts w:ascii="宋体" w:hAnsi="宋体" w:eastAsia="宋体" w:cs="宋体"/>
                <w:spacing w:val="-8"/>
                <w:sz w:val="20"/>
                <w:szCs w:val="20"/>
              </w:rPr>
              <w:t>杂质</w:t>
            </w:r>
            <w:r>
              <w:rPr>
                <w:rFonts w:ascii="宋体" w:hAnsi="宋体" w:eastAsia="宋体" w:cs="宋体"/>
                <w:spacing w:val="-7"/>
                <w:sz w:val="20"/>
                <w:szCs w:val="20"/>
              </w:rPr>
              <w:t>、</w:t>
            </w:r>
            <w:r>
              <w:rPr>
                <w:rFonts w:ascii="宋体" w:hAnsi="宋体" w:eastAsia="宋体" w:cs="宋体"/>
                <w:spacing w:val="-4"/>
                <w:sz w:val="20"/>
                <w:szCs w:val="20"/>
              </w:rPr>
              <w:t>废滤网、污水沉淀池沉淀物、热风炉炉渣、除尘器收集的粉尘、</w:t>
            </w:r>
            <w:r>
              <w:rPr>
                <w:rFonts w:ascii="宋体" w:hAnsi="宋体" w:eastAsia="宋体" w:cs="宋体"/>
                <w:sz w:val="20"/>
                <w:szCs w:val="20"/>
              </w:rPr>
              <w:t xml:space="preserve"> </w:t>
            </w:r>
            <w:r>
              <w:rPr>
                <w:rFonts w:ascii="宋体" w:hAnsi="宋体" w:eastAsia="宋体" w:cs="宋体"/>
                <w:spacing w:val="1"/>
                <w:sz w:val="20"/>
                <w:szCs w:val="20"/>
              </w:rPr>
              <w:t>生活</w:t>
            </w:r>
            <w:r>
              <w:rPr>
                <w:rFonts w:ascii="宋体" w:hAnsi="宋体" w:eastAsia="宋体" w:cs="宋体"/>
                <w:sz w:val="20"/>
                <w:szCs w:val="20"/>
              </w:rPr>
              <w:t>垃圾、废</w:t>
            </w:r>
            <w:r>
              <w:rPr>
                <w:rFonts w:ascii="Times New Roman" w:hAnsi="Times New Roman" w:eastAsia="Times New Roman" w:cs="Times New Roman"/>
                <w:sz w:val="20"/>
                <w:szCs w:val="20"/>
              </w:rPr>
              <w:t xml:space="preserve">uv </w:t>
            </w:r>
            <w:r>
              <w:rPr>
                <w:rFonts w:ascii="宋体" w:hAnsi="宋体" w:eastAsia="宋体" w:cs="宋体"/>
                <w:sz w:val="20"/>
                <w:szCs w:val="20"/>
              </w:rPr>
              <w:t>光解灯管及废活性炭</w:t>
            </w:r>
          </w:p>
        </w:tc>
      </w:tr>
      <w:tr w14:paraId="6925EC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638" w:type="dxa"/>
            <w:vMerge w:val="continue"/>
            <w:tcBorders>
              <w:top w:val="nil"/>
              <w:left w:val="nil"/>
            </w:tcBorders>
            <w:vAlign w:val="top"/>
          </w:tcPr>
          <w:p w14:paraId="652702DF">
            <w:pPr>
              <w:rPr>
                <w:rFonts w:ascii="Arial"/>
                <w:sz w:val="21"/>
              </w:rPr>
            </w:pPr>
          </w:p>
        </w:tc>
        <w:tc>
          <w:tcPr>
            <w:tcW w:w="1710" w:type="dxa"/>
            <w:vAlign w:val="top"/>
          </w:tcPr>
          <w:p w14:paraId="55D6A83D">
            <w:pPr>
              <w:spacing w:before="232" w:line="228" w:lineRule="auto"/>
              <w:ind w:left="76"/>
              <w:rPr>
                <w:rFonts w:ascii="宋体" w:hAnsi="宋体" w:eastAsia="宋体" w:cs="宋体"/>
                <w:sz w:val="20"/>
                <w:szCs w:val="20"/>
              </w:rPr>
            </w:pPr>
            <w:r>
              <w:rPr>
                <w:rFonts w:ascii="宋体" w:hAnsi="宋体" w:eastAsia="宋体" w:cs="宋体"/>
                <w:spacing w:val="-4"/>
                <w:sz w:val="20"/>
                <w:szCs w:val="20"/>
              </w:rPr>
              <w:t>环</w:t>
            </w:r>
            <w:r>
              <w:rPr>
                <w:rFonts w:ascii="宋体" w:hAnsi="宋体" w:eastAsia="宋体" w:cs="宋体"/>
                <w:spacing w:val="-3"/>
                <w:sz w:val="20"/>
                <w:szCs w:val="20"/>
              </w:rPr>
              <w:t>境</w:t>
            </w:r>
            <w:r>
              <w:rPr>
                <w:rFonts w:ascii="宋体" w:hAnsi="宋体" w:eastAsia="宋体" w:cs="宋体"/>
                <w:spacing w:val="-2"/>
                <w:sz w:val="20"/>
                <w:szCs w:val="20"/>
              </w:rPr>
              <w:t>影响预测因子</w:t>
            </w:r>
          </w:p>
        </w:tc>
        <w:tc>
          <w:tcPr>
            <w:tcW w:w="6173" w:type="dxa"/>
            <w:tcBorders>
              <w:right w:val="nil"/>
            </w:tcBorders>
            <w:vAlign w:val="top"/>
          </w:tcPr>
          <w:p w14:paraId="2977CE17">
            <w:pPr>
              <w:spacing w:before="66" w:line="268" w:lineRule="auto"/>
              <w:ind w:left="1475" w:right="35" w:hanging="1406"/>
              <w:rPr>
                <w:rFonts w:ascii="宋体" w:hAnsi="宋体" w:eastAsia="宋体" w:cs="宋体"/>
                <w:sz w:val="20"/>
                <w:szCs w:val="20"/>
              </w:rPr>
            </w:pPr>
            <w:r>
              <w:rPr>
                <w:rFonts w:ascii="宋体" w:hAnsi="宋体" w:eastAsia="宋体" w:cs="宋体"/>
                <w:spacing w:val="-8"/>
                <w:sz w:val="20"/>
                <w:szCs w:val="20"/>
              </w:rPr>
              <w:t>杂质</w:t>
            </w:r>
            <w:r>
              <w:rPr>
                <w:rFonts w:ascii="宋体" w:hAnsi="宋体" w:eastAsia="宋体" w:cs="宋体"/>
                <w:spacing w:val="-7"/>
                <w:sz w:val="20"/>
                <w:szCs w:val="20"/>
              </w:rPr>
              <w:t>、</w:t>
            </w:r>
            <w:r>
              <w:rPr>
                <w:rFonts w:ascii="宋体" w:hAnsi="宋体" w:eastAsia="宋体" w:cs="宋体"/>
                <w:spacing w:val="-4"/>
                <w:sz w:val="20"/>
                <w:szCs w:val="20"/>
              </w:rPr>
              <w:t>废滤网、污水沉淀池沉淀物、热风炉炉渣、除尘器收集的粉尘、</w:t>
            </w:r>
            <w:r>
              <w:rPr>
                <w:rFonts w:ascii="宋体" w:hAnsi="宋体" w:eastAsia="宋体" w:cs="宋体"/>
                <w:sz w:val="20"/>
                <w:szCs w:val="20"/>
              </w:rPr>
              <w:t xml:space="preserve"> </w:t>
            </w:r>
            <w:r>
              <w:rPr>
                <w:rFonts w:ascii="宋体" w:hAnsi="宋体" w:eastAsia="宋体" w:cs="宋体"/>
                <w:spacing w:val="1"/>
                <w:sz w:val="20"/>
                <w:szCs w:val="20"/>
              </w:rPr>
              <w:t>生活</w:t>
            </w:r>
            <w:r>
              <w:rPr>
                <w:rFonts w:ascii="宋体" w:hAnsi="宋体" w:eastAsia="宋体" w:cs="宋体"/>
                <w:sz w:val="20"/>
                <w:szCs w:val="20"/>
              </w:rPr>
              <w:t>垃圾、废</w:t>
            </w:r>
            <w:r>
              <w:rPr>
                <w:rFonts w:ascii="Times New Roman" w:hAnsi="Times New Roman" w:eastAsia="Times New Roman" w:cs="Times New Roman"/>
                <w:sz w:val="20"/>
                <w:szCs w:val="20"/>
              </w:rPr>
              <w:t xml:space="preserve">uv </w:t>
            </w:r>
            <w:r>
              <w:rPr>
                <w:rFonts w:ascii="宋体" w:hAnsi="宋体" w:eastAsia="宋体" w:cs="宋体"/>
                <w:sz w:val="20"/>
                <w:szCs w:val="20"/>
              </w:rPr>
              <w:t>光解灯管及废活性炭</w:t>
            </w:r>
          </w:p>
        </w:tc>
      </w:tr>
    </w:tbl>
    <w:p w14:paraId="28066791">
      <w:pPr>
        <w:spacing w:before="297" w:line="224" w:lineRule="auto"/>
        <w:ind w:left="58"/>
        <w:outlineLvl w:val="2"/>
        <w:rPr>
          <w:rFonts w:ascii="宋体" w:hAnsi="宋体" w:eastAsia="宋体" w:cs="宋体"/>
          <w:sz w:val="29"/>
          <w:szCs w:val="29"/>
        </w:rPr>
      </w:pPr>
      <w:r>
        <w:rPr>
          <w:rFonts w:ascii="Times New Roman" w:hAnsi="Times New Roman" w:eastAsia="Times New Roman" w:cs="Times New Roman"/>
          <w:b/>
          <w:bCs/>
          <w:spacing w:val="8"/>
          <w:sz w:val="29"/>
          <w:szCs w:val="29"/>
        </w:rPr>
        <w:t>2</w:t>
      </w:r>
      <w:r>
        <w:rPr>
          <w:rFonts w:ascii="Times New Roman" w:hAnsi="Times New Roman" w:eastAsia="Times New Roman" w:cs="Times New Roman"/>
          <w:b/>
          <w:bCs/>
          <w:spacing w:val="5"/>
          <w:sz w:val="29"/>
          <w:szCs w:val="29"/>
        </w:rPr>
        <w:t>.5.2</w:t>
      </w:r>
      <w:r>
        <w:rPr>
          <w:rFonts w:ascii="Times New Roman" w:hAnsi="Times New Roman" w:eastAsia="Times New Roman" w:cs="Times New Roman"/>
          <w:spacing w:val="5"/>
          <w:sz w:val="29"/>
          <w:szCs w:val="29"/>
        </w:rPr>
        <w:t xml:space="preserve">  </w:t>
      </w:r>
      <w:r>
        <w:rPr>
          <w:rFonts w:ascii="宋体" w:hAnsi="宋体" w:eastAsia="宋体" w:cs="宋体"/>
          <w:spacing w:val="5"/>
          <w:sz w:val="29"/>
          <w:szCs w:val="29"/>
          <w14:textOutline w14:w="5448" w14:cap="sq" w14:cmpd="sng">
            <w14:solidFill>
              <w14:srgbClr w14:val="000000"/>
            </w14:solidFill>
            <w14:prstDash w14:val="solid"/>
            <w14:bevel/>
          </w14:textOutline>
        </w:rPr>
        <w:t>评价标准</w:t>
      </w:r>
    </w:p>
    <w:p w14:paraId="39B5421F">
      <w:pPr>
        <w:spacing w:before="309" w:line="221" w:lineRule="auto"/>
        <w:ind w:left="57"/>
        <w:outlineLvl w:val="3"/>
        <w:rPr>
          <w:rFonts w:ascii="宋体" w:hAnsi="宋体" w:eastAsia="宋体" w:cs="宋体"/>
          <w:sz w:val="28"/>
          <w:szCs w:val="28"/>
        </w:rPr>
      </w:pPr>
      <w:r>
        <w:rPr>
          <w:rFonts w:ascii="Times New Roman" w:hAnsi="Times New Roman" w:eastAsia="Times New Roman" w:cs="Times New Roman"/>
          <w:b/>
          <w:bCs/>
          <w:spacing w:val="-1"/>
          <w:sz w:val="28"/>
          <w:szCs w:val="28"/>
        </w:rPr>
        <w:t>2.5.2.1</w:t>
      </w:r>
      <w:r>
        <w:rPr>
          <w:rFonts w:ascii="Times New Roman" w:hAnsi="Times New Roman" w:eastAsia="Times New Roman" w:cs="Times New Roman"/>
          <w:sz w:val="28"/>
          <w:szCs w:val="28"/>
        </w:rPr>
        <w:t xml:space="preserve">  </w:t>
      </w:r>
      <w:r>
        <w:rPr>
          <w:rFonts w:ascii="宋体" w:hAnsi="宋体" w:eastAsia="宋体" w:cs="宋体"/>
          <w:sz w:val="28"/>
          <w:szCs w:val="28"/>
          <w14:textOutline w14:w="5103" w14:cap="sq" w14:cmpd="sng">
            <w14:solidFill>
              <w14:srgbClr w14:val="000000"/>
            </w14:solidFill>
            <w14:prstDash w14:val="solid"/>
            <w14:bevel/>
          </w14:textOutline>
        </w:rPr>
        <w:t>环境质量标准</w:t>
      </w:r>
    </w:p>
    <w:p w14:paraId="3D2046CC">
      <w:pPr>
        <w:spacing w:line="272" w:lineRule="auto"/>
        <w:rPr>
          <w:rFonts w:ascii="Arial"/>
          <w:sz w:val="21"/>
        </w:rPr>
      </w:pPr>
    </w:p>
    <w:p w14:paraId="177F08B7">
      <w:pPr>
        <w:spacing w:before="75" w:line="228" w:lineRule="auto"/>
        <w:ind w:left="523"/>
        <w:rPr>
          <w:rFonts w:ascii="宋体" w:hAnsi="宋体" w:eastAsia="宋体" w:cs="宋体"/>
          <w:sz w:val="23"/>
          <w:szCs w:val="23"/>
        </w:rPr>
      </w:pPr>
      <w:r>
        <w:rPr>
          <w:rFonts w:ascii="宋体" w:hAnsi="宋体" w:eastAsia="宋体" w:cs="宋体"/>
          <w:spacing w:val="10"/>
          <w:sz w:val="23"/>
          <w:szCs w:val="23"/>
        </w:rPr>
        <w:t>(</w:t>
      </w:r>
      <w:r>
        <w:rPr>
          <w:rFonts w:ascii="Times New Roman" w:hAnsi="Times New Roman" w:eastAsia="Times New Roman" w:cs="Times New Roman"/>
          <w:spacing w:val="8"/>
          <w:sz w:val="23"/>
          <w:szCs w:val="23"/>
        </w:rPr>
        <w:t>1</w:t>
      </w:r>
      <w:r>
        <w:rPr>
          <w:rFonts w:ascii="宋体" w:hAnsi="宋体" w:eastAsia="宋体" w:cs="宋体"/>
          <w:spacing w:val="8"/>
          <w:sz w:val="23"/>
          <w:szCs w:val="23"/>
        </w:rPr>
        <w:t>) 环境质量标准</w:t>
      </w:r>
    </w:p>
    <w:p w14:paraId="67D9F65A">
      <w:pPr>
        <w:spacing w:line="285" w:lineRule="auto"/>
        <w:rPr>
          <w:rFonts w:ascii="Arial"/>
          <w:sz w:val="21"/>
        </w:rPr>
      </w:pPr>
    </w:p>
    <w:p w14:paraId="681470C8">
      <w:pPr>
        <w:spacing w:before="75" w:line="225" w:lineRule="auto"/>
        <w:ind w:left="510"/>
        <w:rPr>
          <w:rFonts w:ascii="宋体" w:hAnsi="宋体" w:eastAsia="宋体" w:cs="宋体"/>
          <w:sz w:val="23"/>
          <w:szCs w:val="23"/>
        </w:rPr>
      </w:pPr>
      <w:r>
        <w:rPr>
          <w:rFonts w:ascii="宋体" w:hAnsi="宋体" w:eastAsia="宋体" w:cs="宋体"/>
          <w:spacing w:val="-2"/>
          <w:sz w:val="23"/>
          <w:szCs w:val="23"/>
        </w:rPr>
        <w:t>① 环境空气质</w:t>
      </w:r>
      <w:r>
        <w:rPr>
          <w:rFonts w:ascii="宋体" w:hAnsi="宋体" w:eastAsia="宋体" w:cs="宋体"/>
          <w:spacing w:val="-1"/>
          <w:sz w:val="23"/>
          <w:szCs w:val="23"/>
        </w:rPr>
        <w:t>量标准</w:t>
      </w:r>
    </w:p>
    <w:p w14:paraId="322082FB">
      <w:pPr>
        <w:spacing w:line="292" w:lineRule="auto"/>
        <w:rPr>
          <w:rFonts w:ascii="Arial"/>
          <w:sz w:val="21"/>
        </w:rPr>
      </w:pPr>
    </w:p>
    <w:p w14:paraId="49B23E56">
      <w:pPr>
        <w:spacing w:before="75" w:line="389" w:lineRule="auto"/>
        <w:ind w:left="56" w:right="106" w:firstLine="459"/>
        <w:rPr>
          <w:rFonts w:ascii="宋体" w:hAnsi="宋体" w:eastAsia="宋体" w:cs="宋体"/>
          <w:sz w:val="23"/>
          <w:szCs w:val="23"/>
        </w:rPr>
      </w:pPr>
      <w:r>
        <w:rPr>
          <w:rFonts w:ascii="宋体" w:hAnsi="宋体" w:eastAsia="宋体" w:cs="宋体"/>
          <w:spacing w:val="-7"/>
          <w:sz w:val="23"/>
          <w:szCs w:val="23"/>
        </w:rPr>
        <w:t xml:space="preserve">项目建设地区 </w:t>
      </w:r>
      <w:r>
        <w:rPr>
          <w:rFonts w:ascii="Times New Roman" w:hAnsi="Times New Roman" w:eastAsia="Times New Roman" w:cs="Times New Roman"/>
          <w:spacing w:val="-7"/>
          <w:sz w:val="23"/>
          <w:szCs w:val="23"/>
        </w:rPr>
        <w:t>PM</w:t>
      </w:r>
      <w:r>
        <w:rPr>
          <w:rFonts w:ascii="Times New Roman" w:hAnsi="Times New Roman" w:eastAsia="Times New Roman" w:cs="Times New Roman"/>
          <w:spacing w:val="-7"/>
          <w:position w:val="-1"/>
          <w:sz w:val="15"/>
          <w:szCs w:val="15"/>
        </w:rPr>
        <w:t xml:space="preserve">2.5 </w:t>
      </w:r>
      <w:r>
        <w:rPr>
          <w:rFonts w:ascii="宋体" w:hAnsi="宋体" w:eastAsia="宋体" w:cs="宋体"/>
          <w:spacing w:val="-7"/>
          <w:sz w:val="23"/>
          <w:szCs w:val="23"/>
        </w:rPr>
        <w:t>、</w:t>
      </w:r>
      <w:r>
        <w:rPr>
          <w:rFonts w:ascii="Times New Roman" w:hAnsi="Times New Roman" w:eastAsia="Times New Roman" w:cs="Times New Roman"/>
          <w:spacing w:val="-7"/>
          <w:sz w:val="23"/>
          <w:szCs w:val="23"/>
        </w:rPr>
        <w:t>PM</w:t>
      </w:r>
      <w:r>
        <w:rPr>
          <w:rFonts w:ascii="Times New Roman" w:hAnsi="Times New Roman" w:eastAsia="Times New Roman" w:cs="Times New Roman"/>
          <w:spacing w:val="-7"/>
          <w:position w:val="-1"/>
          <w:sz w:val="15"/>
          <w:szCs w:val="15"/>
        </w:rPr>
        <w:t xml:space="preserve">10 </w:t>
      </w:r>
      <w:r>
        <w:rPr>
          <w:rFonts w:ascii="宋体" w:hAnsi="宋体" w:eastAsia="宋体" w:cs="宋体"/>
          <w:spacing w:val="-7"/>
          <w:sz w:val="23"/>
          <w:szCs w:val="23"/>
        </w:rPr>
        <w:t>、</w:t>
      </w:r>
      <w:r>
        <w:rPr>
          <w:rFonts w:ascii="Times New Roman" w:hAnsi="Times New Roman" w:eastAsia="Times New Roman" w:cs="Times New Roman"/>
          <w:spacing w:val="-7"/>
          <w:sz w:val="23"/>
          <w:szCs w:val="23"/>
        </w:rPr>
        <w:t>SO</w:t>
      </w:r>
      <w:r>
        <w:rPr>
          <w:rFonts w:ascii="Times New Roman" w:hAnsi="Times New Roman" w:eastAsia="Times New Roman" w:cs="Times New Roman"/>
          <w:spacing w:val="-7"/>
          <w:position w:val="-1"/>
          <w:sz w:val="15"/>
          <w:szCs w:val="15"/>
        </w:rPr>
        <w:t>2</w:t>
      </w:r>
      <w:r>
        <w:rPr>
          <w:rFonts w:ascii="宋体" w:hAnsi="宋体" w:eastAsia="宋体" w:cs="宋体"/>
          <w:spacing w:val="-7"/>
          <w:sz w:val="23"/>
          <w:szCs w:val="23"/>
        </w:rPr>
        <w:t>、</w:t>
      </w:r>
      <w:r>
        <w:rPr>
          <w:rFonts w:ascii="Times New Roman" w:hAnsi="Times New Roman" w:eastAsia="Times New Roman" w:cs="Times New Roman"/>
          <w:spacing w:val="-7"/>
          <w:sz w:val="23"/>
          <w:szCs w:val="23"/>
        </w:rPr>
        <w:t>NO</w:t>
      </w:r>
      <w:r>
        <w:rPr>
          <w:rFonts w:ascii="Times New Roman" w:hAnsi="Times New Roman" w:eastAsia="Times New Roman" w:cs="Times New Roman"/>
          <w:spacing w:val="-7"/>
          <w:position w:val="-1"/>
          <w:sz w:val="15"/>
          <w:szCs w:val="15"/>
        </w:rPr>
        <w:t xml:space="preserve">2 </w:t>
      </w:r>
      <w:r>
        <w:rPr>
          <w:rFonts w:ascii="宋体" w:hAnsi="宋体" w:eastAsia="宋体" w:cs="宋体"/>
          <w:spacing w:val="-7"/>
          <w:sz w:val="23"/>
          <w:szCs w:val="23"/>
        </w:rPr>
        <w:t>、</w:t>
      </w:r>
      <w:r>
        <w:rPr>
          <w:rFonts w:ascii="Times New Roman" w:hAnsi="Times New Roman" w:eastAsia="Times New Roman" w:cs="Times New Roman"/>
          <w:spacing w:val="-7"/>
          <w:sz w:val="23"/>
          <w:szCs w:val="23"/>
        </w:rPr>
        <w:t>O</w:t>
      </w:r>
      <w:r>
        <w:rPr>
          <w:rFonts w:ascii="Times New Roman" w:hAnsi="Times New Roman" w:eastAsia="Times New Roman" w:cs="Times New Roman"/>
          <w:spacing w:val="-7"/>
          <w:position w:val="-1"/>
          <w:sz w:val="15"/>
          <w:szCs w:val="15"/>
        </w:rPr>
        <w:t xml:space="preserve">3 </w:t>
      </w:r>
      <w:r>
        <w:rPr>
          <w:rFonts w:ascii="宋体" w:hAnsi="宋体" w:eastAsia="宋体" w:cs="宋体"/>
          <w:spacing w:val="-7"/>
          <w:sz w:val="23"/>
          <w:szCs w:val="23"/>
        </w:rPr>
        <w:t>、</w:t>
      </w:r>
      <w:r>
        <w:rPr>
          <w:rFonts w:ascii="Times New Roman" w:hAnsi="Times New Roman" w:eastAsia="Times New Roman" w:cs="Times New Roman"/>
          <w:spacing w:val="-6"/>
          <w:sz w:val="23"/>
          <w:szCs w:val="23"/>
        </w:rPr>
        <w:t>C</w:t>
      </w:r>
      <w:r>
        <w:rPr>
          <w:rFonts w:ascii="Times New Roman" w:hAnsi="Times New Roman" w:eastAsia="Times New Roman" w:cs="Times New Roman"/>
          <w:sz w:val="23"/>
          <w:szCs w:val="23"/>
        </w:rPr>
        <w:t>O</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浓度值执行《环境空气质量标</w:t>
      </w:r>
      <w:r>
        <w:rPr>
          <w:rFonts w:ascii="宋体" w:hAnsi="宋体" w:eastAsia="宋体" w:cs="宋体"/>
          <w:sz w:val="23"/>
          <w:szCs w:val="23"/>
        </w:rPr>
        <w:t xml:space="preserve"> </w:t>
      </w:r>
      <w:r>
        <w:rPr>
          <w:rFonts w:ascii="宋体" w:hAnsi="宋体" w:eastAsia="宋体" w:cs="宋体"/>
          <w:spacing w:val="-12"/>
          <w:sz w:val="23"/>
          <w:szCs w:val="23"/>
        </w:rPr>
        <w:t>准</w:t>
      </w:r>
      <w:r>
        <w:rPr>
          <w:rFonts w:ascii="宋体" w:hAnsi="宋体" w:eastAsia="宋体" w:cs="宋体"/>
          <w:spacing w:val="-6"/>
          <w:sz w:val="23"/>
          <w:szCs w:val="23"/>
        </w:rPr>
        <w:t>》  (</w:t>
      </w:r>
      <w:r>
        <w:rPr>
          <w:rFonts w:ascii="Times New Roman" w:hAnsi="Times New Roman" w:eastAsia="Times New Roman" w:cs="Times New Roman"/>
          <w:spacing w:val="-6"/>
          <w:sz w:val="23"/>
          <w:szCs w:val="23"/>
        </w:rPr>
        <w:t>GB3095-2012</w:t>
      </w:r>
      <w:r>
        <w:rPr>
          <w:rFonts w:ascii="宋体" w:hAnsi="宋体" w:eastAsia="宋体" w:cs="宋体"/>
          <w:spacing w:val="-6"/>
          <w:sz w:val="23"/>
          <w:szCs w:val="23"/>
        </w:rPr>
        <w:t xml:space="preserve">) 及其修改单的公告 (生态环境部公告，公告 </w:t>
      </w:r>
      <w:r>
        <w:rPr>
          <w:rFonts w:ascii="Times New Roman" w:hAnsi="Times New Roman" w:eastAsia="Times New Roman" w:cs="Times New Roman"/>
          <w:spacing w:val="-6"/>
          <w:sz w:val="23"/>
          <w:szCs w:val="23"/>
        </w:rPr>
        <w:t xml:space="preserve">2018 </w:t>
      </w:r>
      <w:r>
        <w:rPr>
          <w:rFonts w:ascii="宋体" w:hAnsi="宋体" w:eastAsia="宋体" w:cs="宋体"/>
          <w:spacing w:val="-6"/>
          <w:sz w:val="23"/>
          <w:szCs w:val="23"/>
        </w:rPr>
        <w:t xml:space="preserve">年第 </w:t>
      </w:r>
      <w:r>
        <w:rPr>
          <w:rFonts w:ascii="Times New Roman" w:hAnsi="Times New Roman" w:eastAsia="Times New Roman" w:cs="Times New Roman"/>
          <w:spacing w:val="-6"/>
          <w:sz w:val="23"/>
          <w:szCs w:val="23"/>
        </w:rPr>
        <w:t xml:space="preserve">29 </w:t>
      </w:r>
      <w:r>
        <w:rPr>
          <w:rFonts w:ascii="宋体" w:hAnsi="宋体" w:eastAsia="宋体" w:cs="宋体"/>
          <w:spacing w:val="-6"/>
          <w:sz w:val="23"/>
          <w:szCs w:val="23"/>
        </w:rPr>
        <w:t>号，</w:t>
      </w:r>
      <w:r>
        <w:rPr>
          <w:rFonts w:ascii="宋体" w:hAnsi="宋体" w:eastAsia="宋体" w:cs="宋体"/>
          <w:sz w:val="23"/>
          <w:szCs w:val="23"/>
        </w:rPr>
        <w:t xml:space="preserve"> </w:t>
      </w:r>
      <w:r>
        <w:rPr>
          <w:rFonts w:ascii="Times New Roman" w:hAnsi="Times New Roman" w:eastAsia="Times New Roman" w:cs="Times New Roman"/>
          <w:spacing w:val="-8"/>
          <w:sz w:val="23"/>
          <w:szCs w:val="23"/>
        </w:rPr>
        <w:t xml:space="preserve">2018 </w:t>
      </w:r>
      <w:r>
        <w:rPr>
          <w:rFonts w:ascii="宋体" w:hAnsi="宋体" w:eastAsia="宋体" w:cs="宋体"/>
          <w:spacing w:val="-8"/>
          <w:sz w:val="23"/>
          <w:szCs w:val="23"/>
        </w:rPr>
        <w:t xml:space="preserve">年 </w:t>
      </w:r>
      <w:r>
        <w:rPr>
          <w:rFonts w:ascii="Times New Roman" w:hAnsi="Times New Roman" w:eastAsia="Times New Roman" w:cs="Times New Roman"/>
          <w:spacing w:val="-5"/>
          <w:sz w:val="23"/>
          <w:szCs w:val="23"/>
        </w:rPr>
        <w:t>8</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 xml:space="preserve">月 </w:t>
      </w:r>
      <w:r>
        <w:rPr>
          <w:rFonts w:ascii="Times New Roman" w:hAnsi="Times New Roman" w:eastAsia="Times New Roman" w:cs="Times New Roman"/>
          <w:spacing w:val="-4"/>
          <w:sz w:val="23"/>
          <w:szCs w:val="23"/>
        </w:rPr>
        <w:t xml:space="preserve">13 </w:t>
      </w:r>
      <w:r>
        <w:rPr>
          <w:rFonts w:ascii="宋体" w:hAnsi="宋体" w:eastAsia="宋体" w:cs="宋体"/>
          <w:spacing w:val="-4"/>
          <w:sz w:val="23"/>
          <w:szCs w:val="23"/>
        </w:rPr>
        <w:t>日) 中二级标准。非甲烷总烃执行《大气污染物综合排放标准详解》</w:t>
      </w:r>
      <w:r>
        <w:rPr>
          <w:rFonts w:ascii="宋体" w:hAnsi="宋体" w:eastAsia="宋体" w:cs="宋体"/>
          <w:sz w:val="23"/>
          <w:szCs w:val="23"/>
        </w:rPr>
        <w:t xml:space="preserve"> </w:t>
      </w:r>
      <w:r>
        <w:rPr>
          <w:rFonts w:ascii="宋体" w:hAnsi="宋体" w:eastAsia="宋体" w:cs="宋体"/>
          <w:spacing w:val="2"/>
          <w:sz w:val="23"/>
          <w:szCs w:val="23"/>
        </w:rPr>
        <w:t>中</w:t>
      </w:r>
      <w:r>
        <w:rPr>
          <w:rFonts w:ascii="宋体" w:hAnsi="宋体" w:eastAsia="宋体" w:cs="宋体"/>
          <w:spacing w:val="1"/>
          <w:sz w:val="23"/>
          <w:szCs w:val="23"/>
        </w:rPr>
        <w:t>浓度要求。标准详见表</w:t>
      </w:r>
      <w:r>
        <w:rPr>
          <w:rFonts w:ascii="Times New Roman" w:hAnsi="Times New Roman" w:eastAsia="Times New Roman" w:cs="Times New Roman"/>
          <w:spacing w:val="1"/>
          <w:sz w:val="23"/>
          <w:szCs w:val="23"/>
        </w:rPr>
        <w:t>2-3</w:t>
      </w:r>
      <w:r>
        <w:rPr>
          <w:rFonts w:ascii="宋体" w:hAnsi="宋体" w:eastAsia="宋体" w:cs="宋体"/>
          <w:spacing w:val="1"/>
          <w:sz w:val="23"/>
          <w:szCs w:val="23"/>
        </w:rPr>
        <w:t>。</w:t>
      </w:r>
    </w:p>
    <w:p w14:paraId="2477B526">
      <w:pPr>
        <w:sectPr>
          <w:headerReference r:id="rId56" w:type="default"/>
          <w:footerReference r:id="rId57" w:type="default"/>
          <w:pgSz w:w="11906" w:h="16839"/>
          <w:pgMar w:top="1132" w:right="1635" w:bottom="1156" w:left="1749" w:header="878" w:footer="996" w:gutter="0"/>
          <w:cols w:space="720" w:num="1"/>
        </w:sectPr>
      </w:pPr>
    </w:p>
    <w:p w14:paraId="47ECED73">
      <w:pPr>
        <w:spacing w:line="408" w:lineRule="auto"/>
        <w:rPr>
          <w:rFonts w:ascii="Arial"/>
          <w:sz w:val="21"/>
        </w:rPr>
      </w:pPr>
      <w:r>
        <w:pict>
          <v:shape id="_x0000_s1088" o:spid="_x0000_s1088" style="position:absolute;left:0pt;margin-left:90pt;margin-top:57.35pt;height:0.75pt;width:415.3pt;mso-position-horizontal-relative:page;mso-position-vertical-relative:page;z-index:251725824;mso-width-relative:page;mso-height-relative:page;" fillcolor="#000000" filled="t" stroked="f" coordsize="8305,15" o:allowincell="f" path="m0,0l8305,0,8305,14,0,14,0,0xe">
            <v:path/>
            <v:fill on="t" focussize="0,0"/>
            <v:stroke on="f"/>
            <v:imagedata o:title=""/>
            <o:lock v:ext="edit"/>
          </v:shape>
        </w:pict>
      </w:r>
    </w:p>
    <w:p w14:paraId="66C4CE52">
      <w:pPr>
        <w:spacing w:before="75" w:line="228" w:lineRule="auto"/>
        <w:ind w:left="2828"/>
        <w:rPr>
          <w:rFonts w:ascii="宋体" w:hAnsi="宋体" w:eastAsia="宋体" w:cs="宋体"/>
          <w:sz w:val="23"/>
          <w:szCs w:val="23"/>
        </w:rPr>
      </w:pPr>
      <w:r>
        <w:rPr>
          <w:rFonts w:ascii="宋体" w:hAnsi="宋体" w:eastAsia="宋体" w:cs="宋体"/>
          <w:spacing w:val="-2"/>
          <w:sz w:val="23"/>
          <w:szCs w:val="23"/>
          <w14:textOutline w14:w="4358" w14:cap="sq" w14:cmpd="sng">
            <w14:solidFill>
              <w14:srgbClr w14:val="000000"/>
            </w14:solidFill>
            <w14:prstDash w14:val="solid"/>
            <w14:bevel/>
          </w14:textOutline>
        </w:rPr>
        <w:t>表</w:t>
      </w:r>
      <w:r>
        <w:rPr>
          <w:rFonts w:ascii="宋体" w:hAnsi="宋体" w:eastAsia="宋体" w:cs="宋体"/>
          <w:spacing w:val="-2"/>
          <w:sz w:val="23"/>
          <w:szCs w:val="23"/>
        </w:rPr>
        <w:t xml:space="preserve"> </w:t>
      </w:r>
      <w:r>
        <w:rPr>
          <w:rFonts w:ascii="Times New Roman" w:hAnsi="Times New Roman" w:eastAsia="Times New Roman" w:cs="Times New Roman"/>
          <w:b/>
          <w:bCs/>
          <w:spacing w:val="-2"/>
          <w:sz w:val="23"/>
          <w:szCs w:val="23"/>
        </w:rPr>
        <w:t>2-3</w:t>
      </w:r>
      <w:r>
        <w:rPr>
          <w:rFonts w:ascii="Times New Roman" w:hAnsi="Times New Roman" w:eastAsia="Times New Roman" w:cs="Times New Roman"/>
          <w:spacing w:val="-2"/>
          <w:sz w:val="23"/>
          <w:szCs w:val="23"/>
        </w:rPr>
        <w:t xml:space="preserve">      </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14:textOutline w14:w="4358" w14:cap="sq" w14:cmpd="sng">
            <w14:solidFill>
              <w14:srgbClr w14:val="000000"/>
            </w14:solidFill>
            <w14:prstDash w14:val="solid"/>
            <w14:bevel/>
          </w14:textOutline>
        </w:rPr>
        <w:t>环境空气质量标准</w:t>
      </w:r>
    </w:p>
    <w:p w14:paraId="0444E86D">
      <w:pPr>
        <w:spacing w:line="17" w:lineRule="exact"/>
      </w:pPr>
    </w:p>
    <w:tbl>
      <w:tblPr>
        <w:tblStyle w:val="4"/>
        <w:tblW w:w="8351" w:type="dxa"/>
        <w:tblInd w:w="9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1"/>
        <w:gridCol w:w="735"/>
        <w:gridCol w:w="1710"/>
        <w:gridCol w:w="1155"/>
        <w:gridCol w:w="3026"/>
        <w:gridCol w:w="624"/>
      </w:tblGrid>
      <w:tr w14:paraId="60E0ED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101" w:type="dxa"/>
            <w:vMerge w:val="restart"/>
            <w:tcBorders>
              <w:left w:val="nil"/>
              <w:bottom w:val="nil"/>
            </w:tcBorders>
            <w:vAlign w:val="top"/>
          </w:tcPr>
          <w:p w14:paraId="56C55099">
            <w:pPr>
              <w:spacing w:before="258" w:line="228" w:lineRule="auto"/>
              <w:ind w:left="68"/>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污染物名</w:t>
            </w:r>
            <w:r>
              <w:rPr>
                <w:rFonts w:ascii="宋体" w:hAnsi="宋体" w:eastAsia="宋体" w:cs="宋体"/>
                <w:spacing w:val="-1"/>
                <w:sz w:val="20"/>
                <w:szCs w:val="20"/>
                <w14:textOutline w14:w="3795" w14:cap="sq" w14:cmpd="sng">
                  <w14:solidFill>
                    <w14:srgbClr w14:val="000000"/>
                  </w14:solidFill>
                  <w14:prstDash w14:val="solid"/>
                  <w14:bevel/>
                </w14:textOutline>
              </w:rPr>
              <w:t>称</w:t>
            </w:r>
          </w:p>
        </w:tc>
        <w:tc>
          <w:tcPr>
            <w:tcW w:w="3600" w:type="dxa"/>
            <w:gridSpan w:val="3"/>
            <w:vAlign w:val="top"/>
          </w:tcPr>
          <w:p w14:paraId="314192F1">
            <w:pPr>
              <w:spacing w:before="84" w:line="228" w:lineRule="auto"/>
              <w:ind w:left="1118"/>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污染物浓度限</w:t>
            </w:r>
            <w:r>
              <w:rPr>
                <w:rFonts w:ascii="宋体" w:hAnsi="宋体" w:eastAsia="宋体" w:cs="宋体"/>
                <w:spacing w:val="-1"/>
                <w:sz w:val="20"/>
                <w:szCs w:val="20"/>
                <w14:textOutline w14:w="3795" w14:cap="sq" w14:cmpd="sng">
                  <w14:solidFill>
                    <w14:srgbClr w14:val="000000"/>
                  </w14:solidFill>
                  <w14:prstDash w14:val="solid"/>
                  <w14:bevel/>
                </w14:textOutline>
              </w:rPr>
              <w:t>值</w:t>
            </w:r>
          </w:p>
        </w:tc>
        <w:tc>
          <w:tcPr>
            <w:tcW w:w="3026" w:type="dxa"/>
            <w:vMerge w:val="restart"/>
            <w:tcBorders>
              <w:bottom w:val="nil"/>
            </w:tcBorders>
            <w:vAlign w:val="top"/>
          </w:tcPr>
          <w:p w14:paraId="533F7E21">
            <w:pPr>
              <w:spacing w:before="258" w:line="228" w:lineRule="auto"/>
              <w:ind w:left="1323"/>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标准</w:t>
            </w:r>
          </w:p>
        </w:tc>
        <w:tc>
          <w:tcPr>
            <w:tcW w:w="624" w:type="dxa"/>
            <w:vMerge w:val="restart"/>
            <w:tcBorders>
              <w:bottom w:val="nil"/>
              <w:right w:val="nil"/>
            </w:tcBorders>
            <w:vAlign w:val="top"/>
          </w:tcPr>
          <w:p w14:paraId="74F4AEC8">
            <w:pPr>
              <w:spacing w:before="258" w:line="228" w:lineRule="auto"/>
              <w:ind w:left="122"/>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单</w:t>
            </w:r>
            <w:r>
              <w:rPr>
                <w:rFonts w:ascii="宋体" w:hAnsi="宋体" w:eastAsia="宋体" w:cs="宋体"/>
                <w:sz w:val="20"/>
                <w:szCs w:val="20"/>
                <w14:textOutline w14:w="3795" w14:cap="sq" w14:cmpd="sng">
                  <w14:solidFill>
                    <w14:srgbClr w14:val="000000"/>
                  </w14:solidFill>
                  <w14:prstDash w14:val="solid"/>
                  <w14:bevel/>
                </w14:textOutline>
              </w:rPr>
              <w:t>位</w:t>
            </w:r>
          </w:p>
        </w:tc>
      </w:tr>
      <w:tr w14:paraId="32C834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101" w:type="dxa"/>
            <w:vMerge w:val="continue"/>
            <w:tcBorders>
              <w:top w:val="nil"/>
              <w:left w:val="nil"/>
            </w:tcBorders>
            <w:vAlign w:val="top"/>
          </w:tcPr>
          <w:p w14:paraId="7E433E0A">
            <w:pPr>
              <w:rPr>
                <w:rFonts w:ascii="Arial"/>
                <w:sz w:val="21"/>
              </w:rPr>
            </w:pPr>
          </w:p>
        </w:tc>
        <w:tc>
          <w:tcPr>
            <w:tcW w:w="735" w:type="dxa"/>
            <w:vAlign w:val="top"/>
          </w:tcPr>
          <w:p w14:paraId="6BD986E7">
            <w:pPr>
              <w:spacing w:before="61" w:line="228" w:lineRule="auto"/>
              <w:ind w:left="80"/>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年</w:t>
            </w:r>
            <w:r>
              <w:rPr>
                <w:rFonts w:ascii="宋体" w:hAnsi="宋体" w:eastAsia="宋体" w:cs="宋体"/>
                <w:spacing w:val="-1"/>
                <w:sz w:val="20"/>
                <w:szCs w:val="20"/>
                <w14:textOutline w14:w="3795" w14:cap="sq" w14:cmpd="sng">
                  <w14:solidFill>
                    <w14:srgbClr w14:val="000000"/>
                  </w14:solidFill>
                  <w14:prstDash w14:val="solid"/>
                  <w14:bevel/>
                </w14:textOutline>
              </w:rPr>
              <w:t>平均</w:t>
            </w:r>
          </w:p>
        </w:tc>
        <w:tc>
          <w:tcPr>
            <w:tcW w:w="1710" w:type="dxa"/>
            <w:vAlign w:val="top"/>
          </w:tcPr>
          <w:p w14:paraId="36A7AAC6">
            <w:pPr>
              <w:spacing w:before="61" w:line="228" w:lineRule="auto"/>
              <w:ind w:left="339"/>
              <w:rPr>
                <w:rFonts w:ascii="宋体" w:hAnsi="宋体" w:eastAsia="宋体" w:cs="宋体"/>
                <w:sz w:val="20"/>
                <w:szCs w:val="20"/>
              </w:rPr>
            </w:pPr>
            <w:r>
              <w:rPr>
                <w:rFonts w:ascii="Times New Roman" w:hAnsi="Times New Roman" w:eastAsia="Times New Roman" w:cs="Times New Roman"/>
                <w:b/>
                <w:bCs/>
                <w:spacing w:val="-1"/>
                <w:sz w:val="20"/>
                <w:szCs w:val="20"/>
              </w:rPr>
              <w:t>24</w:t>
            </w:r>
            <w:r>
              <w:rPr>
                <w:rFonts w:ascii="Times New Roman" w:hAnsi="Times New Roman" w:eastAsia="Times New Roman" w:cs="Times New Roman"/>
                <w:spacing w:val="-1"/>
                <w:sz w:val="20"/>
                <w:szCs w:val="20"/>
              </w:rPr>
              <w:t xml:space="preserve"> </w:t>
            </w:r>
            <w:r>
              <w:rPr>
                <w:rFonts w:ascii="宋体" w:hAnsi="宋体" w:eastAsia="宋体" w:cs="宋体"/>
                <w:sz w:val="20"/>
                <w:szCs w:val="20"/>
                <w14:textOutline w14:w="3795" w14:cap="sq" w14:cmpd="sng">
                  <w14:solidFill>
                    <w14:srgbClr w14:val="000000"/>
                  </w14:solidFill>
                  <w14:prstDash w14:val="solid"/>
                  <w14:bevel/>
                </w14:textOutline>
              </w:rPr>
              <w:t>小时平均</w:t>
            </w:r>
          </w:p>
        </w:tc>
        <w:tc>
          <w:tcPr>
            <w:tcW w:w="1155" w:type="dxa"/>
            <w:vAlign w:val="top"/>
          </w:tcPr>
          <w:p w14:paraId="3FABF16D">
            <w:pPr>
              <w:spacing w:before="61" w:line="228" w:lineRule="auto"/>
              <w:ind w:left="121"/>
              <w:rPr>
                <w:rFonts w:ascii="宋体" w:hAnsi="宋体" w:eastAsia="宋体" w:cs="宋体"/>
                <w:sz w:val="20"/>
                <w:szCs w:val="20"/>
              </w:rPr>
            </w:pPr>
            <w:r>
              <w:rPr>
                <w:rFonts w:ascii="Times New Roman" w:hAnsi="Times New Roman" w:eastAsia="Times New Roman" w:cs="Times New Roman"/>
                <w:b/>
                <w:bCs/>
                <w:spacing w:val="-2"/>
                <w:sz w:val="20"/>
                <w:szCs w:val="20"/>
              </w:rPr>
              <w:t>1</w:t>
            </w:r>
            <w:r>
              <w:rPr>
                <w:rFonts w:ascii="Times New Roman" w:hAnsi="Times New Roman" w:eastAsia="Times New Roman" w:cs="Times New Roman"/>
                <w:spacing w:val="-2"/>
                <w:sz w:val="20"/>
                <w:szCs w:val="20"/>
              </w:rPr>
              <w:t xml:space="preserve"> </w:t>
            </w:r>
            <w:r>
              <w:rPr>
                <w:rFonts w:ascii="宋体" w:hAnsi="宋体" w:eastAsia="宋体" w:cs="宋体"/>
                <w:spacing w:val="-2"/>
                <w:sz w:val="20"/>
                <w:szCs w:val="20"/>
                <w14:textOutline w14:w="3795" w14:cap="sq" w14:cmpd="sng">
                  <w14:solidFill>
                    <w14:srgbClr w14:val="000000"/>
                  </w14:solidFill>
                  <w14:prstDash w14:val="solid"/>
                  <w14:bevel/>
                </w14:textOutline>
              </w:rPr>
              <w:t>小时平</w:t>
            </w:r>
            <w:r>
              <w:rPr>
                <w:rFonts w:ascii="宋体" w:hAnsi="宋体" w:eastAsia="宋体" w:cs="宋体"/>
                <w:spacing w:val="-1"/>
                <w:sz w:val="20"/>
                <w:szCs w:val="20"/>
                <w14:textOutline w14:w="3795" w14:cap="sq" w14:cmpd="sng">
                  <w14:solidFill>
                    <w14:srgbClr w14:val="000000"/>
                  </w14:solidFill>
                  <w14:prstDash w14:val="solid"/>
                  <w14:bevel/>
                </w14:textOutline>
              </w:rPr>
              <w:t>均</w:t>
            </w:r>
          </w:p>
        </w:tc>
        <w:tc>
          <w:tcPr>
            <w:tcW w:w="3026" w:type="dxa"/>
            <w:vMerge w:val="continue"/>
            <w:tcBorders>
              <w:top w:val="nil"/>
            </w:tcBorders>
            <w:vAlign w:val="top"/>
          </w:tcPr>
          <w:p w14:paraId="333B64C1">
            <w:pPr>
              <w:rPr>
                <w:rFonts w:ascii="Arial"/>
                <w:sz w:val="21"/>
              </w:rPr>
            </w:pPr>
          </w:p>
        </w:tc>
        <w:tc>
          <w:tcPr>
            <w:tcW w:w="624" w:type="dxa"/>
            <w:vMerge w:val="continue"/>
            <w:tcBorders>
              <w:top w:val="nil"/>
              <w:right w:val="nil"/>
            </w:tcBorders>
            <w:vAlign w:val="top"/>
          </w:tcPr>
          <w:p w14:paraId="1626AB45">
            <w:pPr>
              <w:rPr>
                <w:rFonts w:ascii="Arial"/>
                <w:sz w:val="21"/>
              </w:rPr>
            </w:pPr>
          </w:p>
        </w:tc>
      </w:tr>
      <w:tr w14:paraId="648A47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1101" w:type="dxa"/>
            <w:tcBorders>
              <w:left w:val="nil"/>
            </w:tcBorders>
            <w:vAlign w:val="top"/>
          </w:tcPr>
          <w:p w14:paraId="5D38B9D6">
            <w:pPr>
              <w:spacing w:before="100" w:line="201" w:lineRule="auto"/>
              <w:ind w:left="333"/>
              <w:rPr>
                <w:rFonts w:ascii="Times New Roman" w:hAnsi="Times New Roman" w:eastAsia="Times New Roman" w:cs="Times New Roman"/>
                <w:sz w:val="13"/>
                <w:szCs w:val="13"/>
              </w:rPr>
            </w:pPr>
            <w:r>
              <w:rPr>
                <w:rFonts w:ascii="Times New Roman" w:hAnsi="Times New Roman" w:eastAsia="Times New Roman" w:cs="Times New Roman"/>
                <w:sz w:val="20"/>
                <w:szCs w:val="20"/>
              </w:rPr>
              <w:t>PM</w:t>
            </w:r>
            <w:r>
              <w:rPr>
                <w:rFonts w:ascii="Times New Roman" w:hAnsi="Times New Roman" w:eastAsia="Times New Roman" w:cs="Times New Roman"/>
                <w:spacing w:val="-1"/>
                <w:position w:val="-1"/>
                <w:sz w:val="13"/>
                <w:szCs w:val="13"/>
              </w:rPr>
              <w:t>2</w:t>
            </w:r>
            <w:r>
              <w:rPr>
                <w:rFonts w:ascii="Times New Roman" w:hAnsi="Times New Roman" w:eastAsia="Times New Roman" w:cs="Times New Roman"/>
                <w:position w:val="-1"/>
                <w:sz w:val="13"/>
                <w:szCs w:val="13"/>
              </w:rPr>
              <w:t>.5</w:t>
            </w:r>
          </w:p>
        </w:tc>
        <w:tc>
          <w:tcPr>
            <w:tcW w:w="735" w:type="dxa"/>
            <w:vAlign w:val="top"/>
          </w:tcPr>
          <w:p w14:paraId="44F970BF">
            <w:pPr>
              <w:spacing w:before="24" w:line="281" w:lineRule="exact"/>
              <w:ind w:left="340"/>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710" w:type="dxa"/>
            <w:vAlign w:val="top"/>
          </w:tcPr>
          <w:p w14:paraId="1456C519">
            <w:pPr>
              <w:spacing w:before="100" w:line="192" w:lineRule="auto"/>
              <w:ind w:left="76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w:t>
            </w:r>
            <w:r>
              <w:rPr>
                <w:rFonts w:ascii="Times New Roman" w:hAnsi="Times New Roman" w:eastAsia="Times New Roman" w:cs="Times New Roman"/>
                <w:spacing w:val="-1"/>
                <w:sz w:val="20"/>
                <w:szCs w:val="20"/>
              </w:rPr>
              <w:t>5</w:t>
            </w:r>
          </w:p>
        </w:tc>
        <w:tc>
          <w:tcPr>
            <w:tcW w:w="1155" w:type="dxa"/>
            <w:vAlign w:val="top"/>
          </w:tcPr>
          <w:p w14:paraId="6EA15BE5">
            <w:pPr>
              <w:spacing w:before="97" w:line="195" w:lineRule="auto"/>
              <w:ind w:left="4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35</w:t>
            </w:r>
          </w:p>
        </w:tc>
        <w:tc>
          <w:tcPr>
            <w:tcW w:w="3026" w:type="dxa"/>
            <w:vMerge w:val="restart"/>
            <w:tcBorders>
              <w:bottom w:val="nil"/>
            </w:tcBorders>
            <w:vAlign w:val="top"/>
          </w:tcPr>
          <w:p w14:paraId="43B29A67">
            <w:pPr>
              <w:spacing w:line="257" w:lineRule="auto"/>
              <w:rPr>
                <w:rFonts w:ascii="Arial"/>
                <w:sz w:val="21"/>
              </w:rPr>
            </w:pPr>
          </w:p>
          <w:p w14:paraId="7ABF2AE3">
            <w:pPr>
              <w:spacing w:line="257" w:lineRule="auto"/>
              <w:rPr>
                <w:rFonts w:ascii="Arial"/>
                <w:sz w:val="21"/>
              </w:rPr>
            </w:pPr>
          </w:p>
          <w:p w14:paraId="201F46B7">
            <w:pPr>
              <w:spacing w:before="65" w:line="228" w:lineRule="auto"/>
              <w:ind w:left="545"/>
              <w:rPr>
                <w:rFonts w:ascii="宋体" w:hAnsi="宋体" w:eastAsia="宋体" w:cs="宋体"/>
                <w:sz w:val="20"/>
                <w:szCs w:val="20"/>
              </w:rPr>
            </w:pPr>
            <w:r>
              <w:rPr>
                <w:rFonts w:ascii="宋体" w:hAnsi="宋体" w:eastAsia="宋体" w:cs="宋体"/>
                <w:spacing w:val="-4"/>
                <w:sz w:val="20"/>
                <w:szCs w:val="20"/>
              </w:rPr>
              <w:t>《</w:t>
            </w:r>
            <w:r>
              <w:rPr>
                <w:rFonts w:ascii="宋体" w:hAnsi="宋体" w:eastAsia="宋体" w:cs="宋体"/>
                <w:spacing w:val="-3"/>
                <w:sz w:val="20"/>
                <w:szCs w:val="20"/>
              </w:rPr>
              <w:t>环境空气质量标准》</w:t>
            </w:r>
          </w:p>
          <w:p w14:paraId="14BD9228">
            <w:pPr>
              <w:spacing w:before="46" w:line="281" w:lineRule="exact"/>
              <w:ind w:left="695"/>
              <w:rPr>
                <w:rFonts w:ascii="Times New Roman" w:hAnsi="Times New Roman" w:eastAsia="Times New Roman" w:cs="Times New Roman"/>
                <w:sz w:val="20"/>
                <w:szCs w:val="20"/>
              </w:rPr>
            </w:pPr>
            <w:r>
              <w:rPr>
                <w:rFonts w:ascii="Times New Roman" w:hAnsi="Times New Roman" w:eastAsia="Times New Roman" w:cs="Times New Roman"/>
                <w:spacing w:val="-1"/>
                <w:position w:val="3"/>
                <w:sz w:val="20"/>
                <w:szCs w:val="20"/>
              </w:rPr>
              <w:t>GB</w:t>
            </w:r>
            <w:r>
              <w:rPr>
                <w:rFonts w:ascii="Times New Roman" w:hAnsi="Times New Roman" w:eastAsia="Times New Roman" w:cs="Times New Roman"/>
                <w:spacing w:val="-2"/>
                <w:position w:val="3"/>
                <w:sz w:val="20"/>
                <w:szCs w:val="20"/>
              </w:rPr>
              <w:t>3095-</w:t>
            </w:r>
            <w:r>
              <w:rPr>
                <w:rFonts w:ascii="Times New Roman" w:hAnsi="Times New Roman" w:eastAsia="Times New Roman" w:cs="Times New Roman"/>
                <w:spacing w:val="-1"/>
                <w:position w:val="3"/>
                <w:sz w:val="20"/>
                <w:szCs w:val="20"/>
              </w:rPr>
              <w:t>2012(</w:t>
            </w:r>
            <w:r>
              <w:rPr>
                <w:rFonts w:ascii="宋体" w:hAnsi="宋体" w:eastAsia="宋体" w:cs="宋体"/>
                <w:spacing w:val="-1"/>
                <w:position w:val="3"/>
                <w:sz w:val="20"/>
                <w:szCs w:val="20"/>
              </w:rPr>
              <w:t>二级</w:t>
            </w:r>
            <w:r>
              <w:rPr>
                <w:rFonts w:ascii="Times New Roman" w:hAnsi="Times New Roman" w:eastAsia="Times New Roman" w:cs="Times New Roman"/>
                <w:spacing w:val="-1"/>
                <w:position w:val="3"/>
                <w:sz w:val="20"/>
                <w:szCs w:val="20"/>
              </w:rPr>
              <w:t>)</w:t>
            </w:r>
          </w:p>
        </w:tc>
        <w:tc>
          <w:tcPr>
            <w:tcW w:w="624" w:type="dxa"/>
            <w:vMerge w:val="restart"/>
            <w:tcBorders>
              <w:bottom w:val="nil"/>
              <w:right w:val="nil"/>
            </w:tcBorders>
            <w:vAlign w:val="top"/>
          </w:tcPr>
          <w:p w14:paraId="15240372">
            <w:pPr>
              <w:spacing w:line="477" w:lineRule="auto"/>
              <w:rPr>
                <w:rFonts w:ascii="Arial"/>
                <w:sz w:val="21"/>
              </w:rPr>
            </w:pPr>
          </w:p>
          <w:p w14:paraId="3108C9E0">
            <w:pPr>
              <w:spacing w:before="57" w:line="281" w:lineRule="exact"/>
              <w:ind w:left="86"/>
              <w:rPr>
                <w:rFonts w:ascii="Times New Roman" w:hAnsi="Times New Roman" w:eastAsia="Times New Roman" w:cs="Times New Roman"/>
                <w:sz w:val="13"/>
                <w:szCs w:val="13"/>
              </w:rPr>
            </w:pPr>
            <w:r>
              <w:rPr>
                <w:rFonts w:ascii="Times New Roman" w:hAnsi="Times New Roman" w:eastAsia="Times New Roman" w:cs="Times New Roman"/>
                <w:spacing w:val="-2"/>
                <w:position w:val="3"/>
                <w:sz w:val="20"/>
                <w:szCs w:val="20"/>
              </w:rPr>
              <w:t>μg/</w:t>
            </w:r>
            <w:r>
              <w:rPr>
                <w:rFonts w:ascii="Times New Roman" w:hAnsi="Times New Roman" w:eastAsia="Times New Roman" w:cs="Times New Roman"/>
                <w:spacing w:val="-1"/>
                <w:position w:val="3"/>
                <w:sz w:val="20"/>
                <w:szCs w:val="20"/>
              </w:rPr>
              <w:t>m</w:t>
            </w:r>
            <w:r>
              <w:rPr>
                <w:rFonts w:ascii="Times New Roman" w:hAnsi="Times New Roman" w:eastAsia="Times New Roman" w:cs="Times New Roman"/>
                <w:spacing w:val="-2"/>
                <w:position w:val="9"/>
                <w:sz w:val="13"/>
                <w:szCs w:val="13"/>
              </w:rPr>
              <w:t>3</w:t>
            </w:r>
          </w:p>
        </w:tc>
      </w:tr>
      <w:tr w14:paraId="7FFC78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1101" w:type="dxa"/>
            <w:tcBorders>
              <w:left w:val="nil"/>
            </w:tcBorders>
            <w:vAlign w:val="top"/>
          </w:tcPr>
          <w:p w14:paraId="3111D58E">
            <w:pPr>
              <w:spacing w:before="101" w:line="199" w:lineRule="auto"/>
              <w:ind w:left="348"/>
              <w:rPr>
                <w:rFonts w:ascii="Times New Roman" w:hAnsi="Times New Roman" w:eastAsia="Times New Roman" w:cs="Times New Roman"/>
                <w:sz w:val="13"/>
                <w:szCs w:val="13"/>
              </w:rPr>
            </w:pPr>
            <w:r>
              <w:rPr>
                <w:rFonts w:ascii="Times New Roman" w:hAnsi="Times New Roman" w:eastAsia="Times New Roman" w:cs="Times New Roman"/>
                <w:sz w:val="20"/>
                <w:szCs w:val="20"/>
              </w:rPr>
              <w:t>PM</w:t>
            </w:r>
            <w:r>
              <w:rPr>
                <w:rFonts w:ascii="Times New Roman" w:hAnsi="Times New Roman" w:eastAsia="Times New Roman" w:cs="Times New Roman"/>
                <w:spacing w:val="1"/>
                <w:position w:val="-1"/>
                <w:sz w:val="13"/>
                <w:szCs w:val="13"/>
              </w:rPr>
              <w:t>1</w:t>
            </w:r>
            <w:r>
              <w:rPr>
                <w:rFonts w:ascii="Times New Roman" w:hAnsi="Times New Roman" w:eastAsia="Times New Roman" w:cs="Times New Roman"/>
                <w:position w:val="-1"/>
                <w:sz w:val="13"/>
                <w:szCs w:val="13"/>
              </w:rPr>
              <w:t>0</w:t>
            </w:r>
          </w:p>
        </w:tc>
        <w:tc>
          <w:tcPr>
            <w:tcW w:w="735" w:type="dxa"/>
            <w:vAlign w:val="top"/>
          </w:tcPr>
          <w:p w14:paraId="7D7207D1">
            <w:pPr>
              <w:spacing w:before="98" w:line="195" w:lineRule="auto"/>
              <w:ind w:left="27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w:t>
            </w:r>
            <w:r>
              <w:rPr>
                <w:rFonts w:ascii="Times New Roman" w:hAnsi="Times New Roman" w:eastAsia="Times New Roman" w:cs="Times New Roman"/>
                <w:spacing w:val="-1"/>
                <w:sz w:val="20"/>
                <w:szCs w:val="20"/>
              </w:rPr>
              <w:t>0</w:t>
            </w:r>
          </w:p>
        </w:tc>
        <w:tc>
          <w:tcPr>
            <w:tcW w:w="1710" w:type="dxa"/>
            <w:vAlign w:val="top"/>
          </w:tcPr>
          <w:p w14:paraId="2070E900">
            <w:pPr>
              <w:spacing w:before="98" w:line="195" w:lineRule="auto"/>
              <w:ind w:left="73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6"/>
                <w:sz w:val="20"/>
                <w:szCs w:val="20"/>
              </w:rPr>
              <w:t>50</w:t>
            </w:r>
          </w:p>
        </w:tc>
        <w:tc>
          <w:tcPr>
            <w:tcW w:w="1155" w:type="dxa"/>
            <w:vAlign w:val="top"/>
          </w:tcPr>
          <w:p w14:paraId="74403644">
            <w:pPr>
              <w:spacing w:before="25" w:line="281" w:lineRule="exact"/>
              <w:ind w:left="54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3026" w:type="dxa"/>
            <w:vMerge w:val="continue"/>
            <w:tcBorders>
              <w:top w:val="nil"/>
              <w:bottom w:val="nil"/>
            </w:tcBorders>
            <w:vAlign w:val="top"/>
          </w:tcPr>
          <w:p w14:paraId="447603EE">
            <w:pPr>
              <w:rPr>
                <w:rFonts w:ascii="Arial"/>
                <w:sz w:val="21"/>
              </w:rPr>
            </w:pPr>
          </w:p>
        </w:tc>
        <w:tc>
          <w:tcPr>
            <w:tcW w:w="624" w:type="dxa"/>
            <w:vMerge w:val="continue"/>
            <w:tcBorders>
              <w:top w:val="nil"/>
              <w:bottom w:val="nil"/>
              <w:right w:val="nil"/>
            </w:tcBorders>
            <w:vAlign w:val="top"/>
          </w:tcPr>
          <w:p w14:paraId="54F4EC77">
            <w:pPr>
              <w:rPr>
                <w:rFonts w:ascii="Arial"/>
                <w:sz w:val="21"/>
              </w:rPr>
            </w:pPr>
          </w:p>
        </w:tc>
      </w:tr>
      <w:tr w14:paraId="27BDB4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1101" w:type="dxa"/>
            <w:tcBorders>
              <w:left w:val="nil"/>
            </w:tcBorders>
            <w:vAlign w:val="top"/>
          </w:tcPr>
          <w:p w14:paraId="108584E5">
            <w:pPr>
              <w:spacing w:before="100" w:line="202" w:lineRule="auto"/>
              <w:ind w:left="405"/>
              <w:rPr>
                <w:rFonts w:ascii="Times New Roman" w:hAnsi="Times New Roman" w:eastAsia="Times New Roman" w:cs="Times New Roman"/>
                <w:sz w:val="13"/>
                <w:szCs w:val="13"/>
              </w:rPr>
            </w:pPr>
            <w:r>
              <w:rPr>
                <w:rFonts w:ascii="Times New Roman" w:hAnsi="Times New Roman" w:eastAsia="Times New Roman" w:cs="Times New Roman"/>
                <w:spacing w:val="-2"/>
                <w:sz w:val="20"/>
                <w:szCs w:val="20"/>
              </w:rPr>
              <w:t>SO</w:t>
            </w:r>
            <w:r>
              <w:rPr>
                <w:rFonts w:ascii="Times New Roman" w:hAnsi="Times New Roman" w:eastAsia="Times New Roman" w:cs="Times New Roman"/>
                <w:spacing w:val="-2"/>
                <w:position w:val="-1"/>
                <w:sz w:val="13"/>
                <w:szCs w:val="13"/>
              </w:rPr>
              <w:t>2</w:t>
            </w:r>
          </w:p>
        </w:tc>
        <w:tc>
          <w:tcPr>
            <w:tcW w:w="735" w:type="dxa"/>
            <w:vAlign w:val="top"/>
          </w:tcPr>
          <w:p w14:paraId="4C9151C1">
            <w:pPr>
              <w:spacing w:before="99" w:line="195"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60</w:t>
            </w:r>
          </w:p>
        </w:tc>
        <w:tc>
          <w:tcPr>
            <w:tcW w:w="1710" w:type="dxa"/>
            <w:vAlign w:val="top"/>
          </w:tcPr>
          <w:p w14:paraId="4D69F949">
            <w:pPr>
              <w:spacing w:before="99" w:line="195" w:lineRule="auto"/>
              <w:ind w:left="73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6"/>
                <w:sz w:val="20"/>
                <w:szCs w:val="20"/>
              </w:rPr>
              <w:t>50</w:t>
            </w:r>
          </w:p>
        </w:tc>
        <w:tc>
          <w:tcPr>
            <w:tcW w:w="1155" w:type="dxa"/>
            <w:vAlign w:val="top"/>
          </w:tcPr>
          <w:p w14:paraId="490718FE">
            <w:pPr>
              <w:spacing w:before="99" w:line="195" w:lineRule="auto"/>
              <w:ind w:left="43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50</w:t>
            </w:r>
            <w:r>
              <w:rPr>
                <w:rFonts w:ascii="Times New Roman" w:hAnsi="Times New Roman" w:eastAsia="Times New Roman" w:cs="Times New Roman"/>
                <w:spacing w:val="-1"/>
                <w:sz w:val="20"/>
                <w:szCs w:val="20"/>
              </w:rPr>
              <w:t>0</w:t>
            </w:r>
          </w:p>
        </w:tc>
        <w:tc>
          <w:tcPr>
            <w:tcW w:w="3026" w:type="dxa"/>
            <w:vMerge w:val="continue"/>
            <w:tcBorders>
              <w:top w:val="nil"/>
              <w:bottom w:val="nil"/>
            </w:tcBorders>
            <w:vAlign w:val="top"/>
          </w:tcPr>
          <w:p w14:paraId="732ABF37">
            <w:pPr>
              <w:rPr>
                <w:rFonts w:ascii="Arial"/>
                <w:sz w:val="21"/>
              </w:rPr>
            </w:pPr>
          </w:p>
        </w:tc>
        <w:tc>
          <w:tcPr>
            <w:tcW w:w="624" w:type="dxa"/>
            <w:vMerge w:val="continue"/>
            <w:tcBorders>
              <w:top w:val="nil"/>
              <w:bottom w:val="nil"/>
              <w:right w:val="nil"/>
            </w:tcBorders>
            <w:vAlign w:val="top"/>
          </w:tcPr>
          <w:p w14:paraId="3F354C84">
            <w:pPr>
              <w:rPr>
                <w:rFonts w:ascii="Arial"/>
                <w:sz w:val="21"/>
              </w:rPr>
            </w:pPr>
          </w:p>
        </w:tc>
      </w:tr>
      <w:tr w14:paraId="1906DE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101" w:type="dxa"/>
            <w:tcBorders>
              <w:left w:val="nil"/>
            </w:tcBorders>
            <w:vAlign w:val="top"/>
          </w:tcPr>
          <w:p w14:paraId="502A140D">
            <w:pPr>
              <w:spacing w:before="101" w:line="202" w:lineRule="auto"/>
              <w:ind w:left="373"/>
              <w:rPr>
                <w:rFonts w:ascii="Times New Roman" w:hAnsi="Times New Roman" w:eastAsia="Times New Roman" w:cs="Times New Roman"/>
                <w:sz w:val="13"/>
                <w:szCs w:val="13"/>
              </w:rPr>
            </w:pPr>
            <w:r>
              <w:rPr>
                <w:rFonts w:ascii="Times New Roman" w:hAnsi="Times New Roman" w:eastAsia="Times New Roman" w:cs="Times New Roman"/>
                <w:sz w:val="20"/>
                <w:szCs w:val="20"/>
              </w:rPr>
              <w:t>NO</w:t>
            </w:r>
            <w:r>
              <w:rPr>
                <w:rFonts w:ascii="Times New Roman" w:hAnsi="Times New Roman" w:eastAsia="Times New Roman" w:cs="Times New Roman"/>
                <w:spacing w:val="13"/>
                <w:position w:val="-1"/>
                <w:sz w:val="13"/>
                <w:szCs w:val="13"/>
              </w:rPr>
              <w:t>2</w:t>
            </w:r>
          </w:p>
        </w:tc>
        <w:tc>
          <w:tcPr>
            <w:tcW w:w="735" w:type="dxa"/>
            <w:vAlign w:val="top"/>
          </w:tcPr>
          <w:p w14:paraId="421925EF">
            <w:pPr>
              <w:spacing w:before="101" w:line="195" w:lineRule="auto"/>
              <w:ind w:left="27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r>
              <w:rPr>
                <w:rFonts w:ascii="Times New Roman" w:hAnsi="Times New Roman" w:eastAsia="Times New Roman" w:cs="Times New Roman"/>
                <w:sz w:val="20"/>
                <w:szCs w:val="20"/>
              </w:rPr>
              <w:t>0</w:t>
            </w:r>
          </w:p>
        </w:tc>
        <w:tc>
          <w:tcPr>
            <w:tcW w:w="1710" w:type="dxa"/>
            <w:vAlign w:val="top"/>
          </w:tcPr>
          <w:p w14:paraId="76E6C09E">
            <w:pPr>
              <w:spacing w:before="101" w:line="195" w:lineRule="auto"/>
              <w:ind w:left="767"/>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8</w:t>
            </w:r>
            <w:r>
              <w:rPr>
                <w:rFonts w:ascii="Times New Roman" w:hAnsi="Times New Roman" w:eastAsia="Times New Roman" w:cs="Times New Roman"/>
                <w:spacing w:val="-3"/>
                <w:sz w:val="20"/>
                <w:szCs w:val="20"/>
              </w:rPr>
              <w:t>0</w:t>
            </w:r>
          </w:p>
        </w:tc>
        <w:tc>
          <w:tcPr>
            <w:tcW w:w="1155" w:type="dxa"/>
            <w:vAlign w:val="top"/>
          </w:tcPr>
          <w:p w14:paraId="403119DA">
            <w:pPr>
              <w:spacing w:before="101" w:line="195" w:lineRule="auto"/>
              <w:ind w:left="431"/>
              <w:rPr>
                <w:rFonts w:ascii="Times New Roman" w:hAnsi="Times New Roman" w:eastAsia="Times New Roman" w:cs="Times New Roman"/>
                <w:sz w:val="20"/>
                <w:szCs w:val="20"/>
              </w:rPr>
            </w:pPr>
            <w:r>
              <w:rPr>
                <w:rFonts w:ascii="Times New Roman" w:hAnsi="Times New Roman" w:eastAsia="Times New Roman" w:cs="Times New Roman"/>
                <w:sz w:val="20"/>
                <w:szCs w:val="20"/>
              </w:rPr>
              <w:t>200</w:t>
            </w:r>
          </w:p>
        </w:tc>
        <w:tc>
          <w:tcPr>
            <w:tcW w:w="3026" w:type="dxa"/>
            <w:vMerge w:val="continue"/>
            <w:tcBorders>
              <w:top w:val="nil"/>
              <w:bottom w:val="nil"/>
            </w:tcBorders>
            <w:vAlign w:val="top"/>
          </w:tcPr>
          <w:p w14:paraId="21901458">
            <w:pPr>
              <w:rPr>
                <w:rFonts w:ascii="Arial"/>
                <w:sz w:val="21"/>
              </w:rPr>
            </w:pPr>
          </w:p>
        </w:tc>
        <w:tc>
          <w:tcPr>
            <w:tcW w:w="624" w:type="dxa"/>
            <w:vMerge w:val="continue"/>
            <w:tcBorders>
              <w:top w:val="nil"/>
              <w:right w:val="nil"/>
            </w:tcBorders>
            <w:vAlign w:val="top"/>
          </w:tcPr>
          <w:p w14:paraId="136B3F67">
            <w:pPr>
              <w:rPr>
                <w:rFonts w:ascii="Arial"/>
                <w:sz w:val="21"/>
              </w:rPr>
            </w:pPr>
          </w:p>
        </w:tc>
      </w:tr>
      <w:tr w14:paraId="7343F8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101" w:type="dxa"/>
            <w:tcBorders>
              <w:left w:val="nil"/>
            </w:tcBorders>
            <w:vAlign w:val="top"/>
          </w:tcPr>
          <w:p w14:paraId="1450DFC0">
            <w:pPr>
              <w:spacing w:before="101" w:line="195" w:lineRule="auto"/>
              <w:ind w:left="41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CO</w:t>
            </w:r>
          </w:p>
        </w:tc>
        <w:tc>
          <w:tcPr>
            <w:tcW w:w="735" w:type="dxa"/>
            <w:vAlign w:val="top"/>
          </w:tcPr>
          <w:p w14:paraId="401E9ECB">
            <w:pPr>
              <w:spacing w:before="27" w:line="281" w:lineRule="exact"/>
              <w:ind w:left="340"/>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710" w:type="dxa"/>
            <w:vAlign w:val="top"/>
          </w:tcPr>
          <w:p w14:paraId="3E2098F2">
            <w:pPr>
              <w:spacing w:before="101" w:line="195" w:lineRule="auto"/>
              <w:ind w:left="80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155" w:type="dxa"/>
            <w:vAlign w:val="top"/>
          </w:tcPr>
          <w:p w14:paraId="38AA4B96">
            <w:pPr>
              <w:spacing w:before="101" w:line="195" w:lineRule="auto"/>
              <w:ind w:left="502"/>
              <w:rPr>
                <w:rFonts w:ascii="Times New Roman" w:hAnsi="Times New Roman" w:eastAsia="Times New Roman" w:cs="Times New Roman"/>
                <w:sz w:val="20"/>
                <w:szCs w:val="20"/>
              </w:rPr>
            </w:pPr>
            <w:r>
              <w:rPr>
                <w:rFonts w:ascii="Times New Roman" w:hAnsi="Times New Roman" w:eastAsia="Times New Roman" w:cs="Times New Roman"/>
                <w:spacing w:val="-11"/>
                <w:sz w:val="20"/>
                <w:szCs w:val="20"/>
              </w:rPr>
              <w:t>1</w:t>
            </w:r>
            <w:r>
              <w:rPr>
                <w:rFonts w:ascii="Times New Roman" w:hAnsi="Times New Roman" w:eastAsia="Times New Roman" w:cs="Times New Roman"/>
                <w:spacing w:val="-9"/>
                <w:sz w:val="20"/>
                <w:szCs w:val="20"/>
              </w:rPr>
              <w:t>0</w:t>
            </w:r>
          </w:p>
        </w:tc>
        <w:tc>
          <w:tcPr>
            <w:tcW w:w="3026" w:type="dxa"/>
            <w:tcBorders>
              <w:top w:val="nil"/>
            </w:tcBorders>
            <w:vAlign w:val="top"/>
          </w:tcPr>
          <w:p w14:paraId="739E1DA5">
            <w:pPr>
              <w:rPr>
                <w:rFonts w:ascii="Arial"/>
                <w:sz w:val="21"/>
              </w:rPr>
            </w:pPr>
          </w:p>
        </w:tc>
        <w:tc>
          <w:tcPr>
            <w:tcW w:w="624" w:type="dxa"/>
            <w:tcBorders>
              <w:right w:val="nil"/>
            </w:tcBorders>
            <w:vAlign w:val="top"/>
          </w:tcPr>
          <w:p w14:paraId="4637467D">
            <w:pPr>
              <w:spacing w:before="27" w:line="281" w:lineRule="exact"/>
              <w:ind w:left="51"/>
              <w:rPr>
                <w:rFonts w:ascii="Times New Roman" w:hAnsi="Times New Roman" w:eastAsia="Times New Roman" w:cs="Times New Roman"/>
                <w:sz w:val="13"/>
                <w:szCs w:val="13"/>
              </w:rPr>
            </w:pPr>
            <w:r>
              <w:rPr>
                <w:rFonts w:ascii="Times New Roman" w:hAnsi="Times New Roman" w:eastAsia="Times New Roman" w:cs="Times New Roman"/>
                <w:position w:val="3"/>
                <w:sz w:val="20"/>
                <w:szCs w:val="20"/>
              </w:rPr>
              <w:t>mg</w:t>
            </w:r>
            <w:r>
              <w:rPr>
                <w:rFonts w:ascii="Times New Roman" w:hAnsi="Times New Roman" w:eastAsia="Times New Roman" w:cs="Times New Roman"/>
                <w:spacing w:val="2"/>
                <w:position w:val="3"/>
                <w:sz w:val="20"/>
                <w:szCs w:val="20"/>
              </w:rPr>
              <w:t>/</w:t>
            </w:r>
            <w:r>
              <w:rPr>
                <w:rFonts w:ascii="Times New Roman" w:hAnsi="Times New Roman" w:eastAsia="Times New Roman" w:cs="Times New Roman"/>
                <w:position w:val="3"/>
                <w:sz w:val="20"/>
                <w:szCs w:val="20"/>
              </w:rPr>
              <w:t>m</w:t>
            </w:r>
            <w:r>
              <w:rPr>
                <w:rFonts w:ascii="Times New Roman" w:hAnsi="Times New Roman" w:eastAsia="Times New Roman" w:cs="Times New Roman"/>
                <w:spacing w:val="1"/>
                <w:position w:val="9"/>
                <w:sz w:val="13"/>
                <w:szCs w:val="13"/>
              </w:rPr>
              <w:t>3</w:t>
            </w:r>
          </w:p>
        </w:tc>
      </w:tr>
      <w:tr w14:paraId="52FBAA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1101" w:type="dxa"/>
            <w:tcBorders>
              <w:left w:val="nil"/>
            </w:tcBorders>
            <w:vAlign w:val="top"/>
          </w:tcPr>
          <w:p w14:paraId="18D75FD7">
            <w:pPr>
              <w:spacing w:before="101" w:line="195" w:lineRule="auto"/>
              <w:ind w:left="24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NMH</w:t>
            </w:r>
            <w:r>
              <w:rPr>
                <w:rFonts w:ascii="Times New Roman" w:hAnsi="Times New Roman" w:eastAsia="Times New Roman" w:cs="Times New Roman"/>
                <w:spacing w:val="3"/>
                <w:sz w:val="20"/>
                <w:szCs w:val="20"/>
              </w:rPr>
              <w:t>C</w:t>
            </w:r>
          </w:p>
        </w:tc>
        <w:tc>
          <w:tcPr>
            <w:tcW w:w="735" w:type="dxa"/>
            <w:vAlign w:val="top"/>
          </w:tcPr>
          <w:p w14:paraId="27F81922">
            <w:pPr>
              <w:spacing w:before="28" w:line="281" w:lineRule="exact"/>
              <w:ind w:left="340"/>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710" w:type="dxa"/>
            <w:vAlign w:val="top"/>
          </w:tcPr>
          <w:p w14:paraId="66C92276">
            <w:pPr>
              <w:spacing w:before="28" w:line="281" w:lineRule="exact"/>
              <w:ind w:left="827"/>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155" w:type="dxa"/>
            <w:vAlign w:val="top"/>
          </w:tcPr>
          <w:p w14:paraId="07D4B77A">
            <w:pPr>
              <w:spacing w:before="101" w:line="195" w:lineRule="auto"/>
              <w:ind w:left="530"/>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3026" w:type="dxa"/>
            <w:vAlign w:val="top"/>
          </w:tcPr>
          <w:p w14:paraId="7B29130C">
            <w:pPr>
              <w:spacing w:before="66" w:line="228" w:lineRule="auto"/>
              <w:ind w:left="39"/>
              <w:rPr>
                <w:rFonts w:ascii="Times New Roman" w:hAnsi="Times New Roman" w:eastAsia="Times New Roman" w:cs="Times New Roman"/>
                <w:sz w:val="20"/>
                <w:szCs w:val="20"/>
              </w:rPr>
            </w:pPr>
            <w:r>
              <w:rPr>
                <w:rFonts w:ascii="宋体" w:hAnsi="宋体" w:eastAsia="宋体" w:cs="宋体"/>
                <w:spacing w:val="-8"/>
                <w:sz w:val="20"/>
                <w:szCs w:val="20"/>
              </w:rPr>
              <w:t>《大气污染物综合排放标准详解》</w:t>
            </w:r>
            <w:r>
              <w:rPr>
                <w:rFonts w:ascii="Times New Roman" w:hAnsi="Times New Roman" w:eastAsia="Times New Roman" w:cs="Times New Roman"/>
                <w:spacing w:val="-7"/>
                <w:sz w:val="20"/>
                <w:szCs w:val="20"/>
              </w:rPr>
              <w:t>*</w:t>
            </w:r>
          </w:p>
        </w:tc>
        <w:tc>
          <w:tcPr>
            <w:tcW w:w="624" w:type="dxa"/>
            <w:tcBorders>
              <w:right w:val="nil"/>
            </w:tcBorders>
            <w:vAlign w:val="top"/>
          </w:tcPr>
          <w:p w14:paraId="3E08CCB0">
            <w:pPr>
              <w:spacing w:before="28" w:line="281" w:lineRule="exact"/>
              <w:ind w:left="51"/>
              <w:rPr>
                <w:rFonts w:ascii="Times New Roman" w:hAnsi="Times New Roman" w:eastAsia="Times New Roman" w:cs="Times New Roman"/>
                <w:sz w:val="13"/>
                <w:szCs w:val="13"/>
              </w:rPr>
            </w:pPr>
            <w:r>
              <w:rPr>
                <w:rFonts w:ascii="Times New Roman" w:hAnsi="Times New Roman" w:eastAsia="Times New Roman" w:cs="Times New Roman"/>
                <w:position w:val="3"/>
                <w:sz w:val="20"/>
                <w:szCs w:val="20"/>
              </w:rPr>
              <w:t>mg</w:t>
            </w:r>
            <w:r>
              <w:rPr>
                <w:rFonts w:ascii="Times New Roman" w:hAnsi="Times New Roman" w:eastAsia="Times New Roman" w:cs="Times New Roman"/>
                <w:spacing w:val="2"/>
                <w:position w:val="3"/>
                <w:sz w:val="20"/>
                <w:szCs w:val="20"/>
              </w:rPr>
              <w:t>/</w:t>
            </w:r>
            <w:r>
              <w:rPr>
                <w:rFonts w:ascii="Times New Roman" w:hAnsi="Times New Roman" w:eastAsia="Times New Roman" w:cs="Times New Roman"/>
                <w:position w:val="3"/>
                <w:sz w:val="20"/>
                <w:szCs w:val="20"/>
              </w:rPr>
              <w:t>m</w:t>
            </w:r>
            <w:r>
              <w:rPr>
                <w:rFonts w:ascii="Times New Roman" w:hAnsi="Times New Roman" w:eastAsia="Times New Roman" w:cs="Times New Roman"/>
                <w:spacing w:val="1"/>
                <w:position w:val="9"/>
                <w:sz w:val="13"/>
                <w:szCs w:val="13"/>
              </w:rPr>
              <w:t>3</w:t>
            </w:r>
          </w:p>
        </w:tc>
      </w:tr>
      <w:tr w14:paraId="4DC0A1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101" w:type="dxa"/>
            <w:tcBorders>
              <w:left w:val="nil"/>
            </w:tcBorders>
            <w:vAlign w:val="top"/>
          </w:tcPr>
          <w:p w14:paraId="01E9E64A">
            <w:pPr>
              <w:spacing w:before="67" w:line="228" w:lineRule="auto"/>
              <w:ind w:left="68"/>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污染物名</w:t>
            </w:r>
            <w:r>
              <w:rPr>
                <w:rFonts w:ascii="宋体" w:hAnsi="宋体" w:eastAsia="宋体" w:cs="宋体"/>
                <w:spacing w:val="-1"/>
                <w:sz w:val="20"/>
                <w:szCs w:val="20"/>
                <w14:textOutline w14:w="3795" w14:cap="sq" w14:cmpd="sng">
                  <w14:solidFill>
                    <w14:srgbClr w14:val="000000"/>
                  </w14:solidFill>
                  <w14:prstDash w14:val="solid"/>
                  <w14:bevel/>
                </w14:textOutline>
              </w:rPr>
              <w:t>称</w:t>
            </w:r>
          </w:p>
        </w:tc>
        <w:tc>
          <w:tcPr>
            <w:tcW w:w="735" w:type="dxa"/>
            <w:vAlign w:val="top"/>
          </w:tcPr>
          <w:p w14:paraId="6AB35DCC">
            <w:pPr>
              <w:spacing w:before="66" w:line="228" w:lineRule="auto"/>
              <w:ind w:left="80"/>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年</w:t>
            </w:r>
            <w:r>
              <w:rPr>
                <w:rFonts w:ascii="宋体" w:hAnsi="宋体" w:eastAsia="宋体" w:cs="宋体"/>
                <w:spacing w:val="-1"/>
                <w:sz w:val="20"/>
                <w:szCs w:val="20"/>
                <w14:textOutline w14:w="3795" w14:cap="sq" w14:cmpd="sng">
                  <w14:solidFill>
                    <w14:srgbClr w14:val="000000"/>
                  </w14:solidFill>
                  <w14:prstDash w14:val="solid"/>
                  <w14:bevel/>
                </w14:textOutline>
              </w:rPr>
              <w:t>平均</w:t>
            </w:r>
          </w:p>
        </w:tc>
        <w:tc>
          <w:tcPr>
            <w:tcW w:w="1710" w:type="dxa"/>
            <w:vAlign w:val="top"/>
          </w:tcPr>
          <w:p w14:paraId="31718EEC">
            <w:pPr>
              <w:spacing w:before="66" w:line="228" w:lineRule="auto"/>
              <w:ind w:left="107"/>
              <w:rPr>
                <w:rFonts w:ascii="宋体" w:hAnsi="宋体" w:eastAsia="宋体" w:cs="宋体"/>
                <w:sz w:val="20"/>
                <w:szCs w:val="20"/>
              </w:rPr>
            </w:pPr>
            <w:r>
              <w:rPr>
                <w:rFonts w:ascii="宋体" w:hAnsi="宋体" w:eastAsia="宋体" w:cs="宋体"/>
                <w:spacing w:val="-17"/>
                <w:sz w:val="20"/>
                <w:szCs w:val="20"/>
                <w14:textOutline w14:w="3795" w14:cap="sq" w14:cmpd="sng">
                  <w14:solidFill>
                    <w14:srgbClr w14:val="000000"/>
                  </w14:solidFill>
                  <w14:prstDash w14:val="solid"/>
                  <w14:bevel/>
                </w14:textOutline>
              </w:rPr>
              <w:t>日</w:t>
            </w:r>
            <w:r>
              <w:rPr>
                <w:rFonts w:ascii="宋体" w:hAnsi="宋体" w:eastAsia="宋体" w:cs="宋体"/>
                <w:spacing w:val="-9"/>
                <w:sz w:val="20"/>
                <w:szCs w:val="20"/>
                <w14:textOutline w14:w="3795" w14:cap="sq" w14:cmpd="sng">
                  <w14:solidFill>
                    <w14:srgbClr w14:val="000000"/>
                  </w14:solidFill>
                  <w14:prstDash w14:val="solid"/>
                  <w14:bevel/>
                </w14:textOutline>
              </w:rPr>
              <w:t>最大</w:t>
            </w:r>
            <w:r>
              <w:rPr>
                <w:rFonts w:ascii="宋体" w:hAnsi="宋体" w:eastAsia="宋体" w:cs="宋体"/>
                <w:spacing w:val="-9"/>
                <w:sz w:val="20"/>
                <w:szCs w:val="20"/>
              </w:rPr>
              <w:t xml:space="preserve"> </w:t>
            </w:r>
            <w:r>
              <w:rPr>
                <w:rFonts w:ascii="Times New Roman" w:hAnsi="Times New Roman" w:eastAsia="Times New Roman" w:cs="Times New Roman"/>
                <w:b/>
                <w:bCs/>
                <w:spacing w:val="-9"/>
                <w:sz w:val="20"/>
                <w:szCs w:val="20"/>
              </w:rPr>
              <w:t>8</w:t>
            </w:r>
            <w:r>
              <w:rPr>
                <w:rFonts w:ascii="Times New Roman" w:hAnsi="Times New Roman" w:eastAsia="Times New Roman" w:cs="Times New Roman"/>
                <w:spacing w:val="-9"/>
                <w:sz w:val="20"/>
                <w:szCs w:val="20"/>
              </w:rPr>
              <w:t xml:space="preserve"> </w:t>
            </w:r>
            <w:r>
              <w:rPr>
                <w:rFonts w:ascii="宋体" w:hAnsi="宋体" w:eastAsia="宋体" w:cs="宋体"/>
                <w:spacing w:val="-9"/>
                <w:sz w:val="20"/>
                <w:szCs w:val="20"/>
                <w14:textOutline w14:w="3795" w14:cap="sq" w14:cmpd="sng">
                  <w14:solidFill>
                    <w14:srgbClr w14:val="000000"/>
                  </w14:solidFill>
                  <w14:prstDash w14:val="solid"/>
                  <w14:bevel/>
                </w14:textOutline>
              </w:rPr>
              <w:t>小时平均</w:t>
            </w:r>
          </w:p>
        </w:tc>
        <w:tc>
          <w:tcPr>
            <w:tcW w:w="1155" w:type="dxa"/>
            <w:vAlign w:val="top"/>
          </w:tcPr>
          <w:p w14:paraId="53D3B785">
            <w:pPr>
              <w:spacing w:before="67" w:line="228" w:lineRule="auto"/>
              <w:ind w:left="121"/>
              <w:rPr>
                <w:rFonts w:ascii="宋体" w:hAnsi="宋体" w:eastAsia="宋体" w:cs="宋体"/>
                <w:sz w:val="20"/>
                <w:szCs w:val="20"/>
              </w:rPr>
            </w:pPr>
            <w:r>
              <w:rPr>
                <w:rFonts w:ascii="Times New Roman" w:hAnsi="Times New Roman" w:eastAsia="Times New Roman" w:cs="Times New Roman"/>
                <w:b/>
                <w:bCs/>
                <w:spacing w:val="-2"/>
                <w:sz w:val="20"/>
                <w:szCs w:val="20"/>
              </w:rPr>
              <w:t>1</w:t>
            </w:r>
            <w:r>
              <w:rPr>
                <w:rFonts w:ascii="Times New Roman" w:hAnsi="Times New Roman" w:eastAsia="Times New Roman" w:cs="Times New Roman"/>
                <w:spacing w:val="-2"/>
                <w:sz w:val="20"/>
                <w:szCs w:val="20"/>
              </w:rPr>
              <w:t xml:space="preserve"> </w:t>
            </w:r>
            <w:r>
              <w:rPr>
                <w:rFonts w:ascii="宋体" w:hAnsi="宋体" w:eastAsia="宋体" w:cs="宋体"/>
                <w:spacing w:val="-2"/>
                <w:sz w:val="20"/>
                <w:szCs w:val="20"/>
                <w14:textOutline w14:w="3795" w14:cap="sq" w14:cmpd="sng">
                  <w14:solidFill>
                    <w14:srgbClr w14:val="000000"/>
                  </w14:solidFill>
                  <w14:prstDash w14:val="solid"/>
                  <w14:bevel/>
                </w14:textOutline>
              </w:rPr>
              <w:t>小时平</w:t>
            </w:r>
            <w:r>
              <w:rPr>
                <w:rFonts w:ascii="宋体" w:hAnsi="宋体" w:eastAsia="宋体" w:cs="宋体"/>
                <w:spacing w:val="-1"/>
                <w:sz w:val="20"/>
                <w:szCs w:val="20"/>
                <w14:textOutline w14:w="3795" w14:cap="sq" w14:cmpd="sng">
                  <w14:solidFill>
                    <w14:srgbClr w14:val="000000"/>
                  </w14:solidFill>
                  <w14:prstDash w14:val="solid"/>
                  <w14:bevel/>
                </w14:textOutline>
              </w:rPr>
              <w:t>均</w:t>
            </w:r>
          </w:p>
        </w:tc>
        <w:tc>
          <w:tcPr>
            <w:tcW w:w="3026" w:type="dxa"/>
            <w:vAlign w:val="top"/>
          </w:tcPr>
          <w:p w14:paraId="74F32BF3">
            <w:pPr>
              <w:spacing w:before="67" w:line="228" w:lineRule="auto"/>
              <w:ind w:left="1323"/>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标准</w:t>
            </w:r>
          </w:p>
        </w:tc>
        <w:tc>
          <w:tcPr>
            <w:tcW w:w="624" w:type="dxa"/>
            <w:tcBorders>
              <w:right w:val="nil"/>
            </w:tcBorders>
            <w:vAlign w:val="top"/>
          </w:tcPr>
          <w:p w14:paraId="3D19F8CF">
            <w:pPr>
              <w:spacing w:before="67" w:line="228" w:lineRule="auto"/>
              <w:ind w:left="122"/>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单</w:t>
            </w:r>
            <w:r>
              <w:rPr>
                <w:rFonts w:ascii="宋体" w:hAnsi="宋体" w:eastAsia="宋体" w:cs="宋体"/>
                <w:sz w:val="20"/>
                <w:szCs w:val="20"/>
                <w14:textOutline w14:w="3795" w14:cap="sq" w14:cmpd="sng">
                  <w14:solidFill>
                    <w14:srgbClr w14:val="000000"/>
                  </w14:solidFill>
                  <w14:prstDash w14:val="solid"/>
                  <w14:bevel/>
                </w14:textOutline>
              </w:rPr>
              <w:t>位</w:t>
            </w:r>
          </w:p>
        </w:tc>
      </w:tr>
      <w:tr w14:paraId="2E95A2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1101" w:type="dxa"/>
            <w:tcBorders>
              <w:left w:val="nil"/>
            </w:tcBorders>
            <w:vAlign w:val="top"/>
          </w:tcPr>
          <w:p w14:paraId="38276A0E">
            <w:pPr>
              <w:spacing w:before="268" w:line="202" w:lineRule="auto"/>
              <w:ind w:left="455"/>
              <w:rPr>
                <w:rFonts w:ascii="Times New Roman" w:hAnsi="Times New Roman" w:eastAsia="Times New Roman" w:cs="Times New Roman"/>
                <w:sz w:val="13"/>
                <w:szCs w:val="13"/>
              </w:rPr>
            </w:pPr>
            <w:r>
              <w:rPr>
                <w:rFonts w:ascii="Times New Roman" w:hAnsi="Times New Roman" w:eastAsia="Times New Roman" w:cs="Times New Roman"/>
                <w:sz w:val="20"/>
                <w:szCs w:val="20"/>
              </w:rPr>
              <w:t>O</w:t>
            </w:r>
            <w:r>
              <w:rPr>
                <w:rFonts w:ascii="Times New Roman" w:hAnsi="Times New Roman" w:eastAsia="Times New Roman" w:cs="Times New Roman"/>
                <w:spacing w:val="-1"/>
                <w:position w:val="-1"/>
                <w:sz w:val="13"/>
                <w:szCs w:val="13"/>
              </w:rPr>
              <w:t>3</w:t>
            </w:r>
          </w:p>
        </w:tc>
        <w:tc>
          <w:tcPr>
            <w:tcW w:w="735" w:type="dxa"/>
            <w:vAlign w:val="top"/>
          </w:tcPr>
          <w:p w14:paraId="1CDA21B4">
            <w:pPr>
              <w:spacing w:before="195" w:line="281" w:lineRule="exact"/>
              <w:ind w:left="340"/>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710" w:type="dxa"/>
            <w:vAlign w:val="top"/>
          </w:tcPr>
          <w:p w14:paraId="63A06276">
            <w:pPr>
              <w:spacing w:before="268" w:line="195" w:lineRule="auto"/>
              <w:ind w:left="73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6"/>
                <w:sz w:val="20"/>
                <w:szCs w:val="20"/>
              </w:rPr>
              <w:t>60</w:t>
            </w:r>
          </w:p>
        </w:tc>
        <w:tc>
          <w:tcPr>
            <w:tcW w:w="1155" w:type="dxa"/>
            <w:vAlign w:val="top"/>
          </w:tcPr>
          <w:p w14:paraId="565CB62E">
            <w:pPr>
              <w:spacing w:before="268" w:line="195" w:lineRule="auto"/>
              <w:ind w:left="431"/>
              <w:rPr>
                <w:rFonts w:ascii="Times New Roman" w:hAnsi="Times New Roman" w:eastAsia="Times New Roman" w:cs="Times New Roman"/>
                <w:sz w:val="20"/>
                <w:szCs w:val="20"/>
              </w:rPr>
            </w:pPr>
            <w:r>
              <w:rPr>
                <w:rFonts w:ascii="Times New Roman" w:hAnsi="Times New Roman" w:eastAsia="Times New Roman" w:cs="Times New Roman"/>
                <w:sz w:val="20"/>
                <w:szCs w:val="20"/>
              </w:rPr>
              <w:t>200</w:t>
            </w:r>
          </w:p>
        </w:tc>
        <w:tc>
          <w:tcPr>
            <w:tcW w:w="3026" w:type="dxa"/>
            <w:vAlign w:val="top"/>
          </w:tcPr>
          <w:p w14:paraId="76BDC07B">
            <w:pPr>
              <w:spacing w:before="67" w:line="228" w:lineRule="auto"/>
              <w:ind w:left="545"/>
              <w:rPr>
                <w:rFonts w:ascii="宋体" w:hAnsi="宋体" w:eastAsia="宋体" w:cs="宋体"/>
                <w:sz w:val="20"/>
                <w:szCs w:val="20"/>
              </w:rPr>
            </w:pPr>
            <w:r>
              <w:rPr>
                <w:rFonts w:ascii="宋体" w:hAnsi="宋体" w:eastAsia="宋体" w:cs="宋体"/>
                <w:spacing w:val="-4"/>
                <w:sz w:val="20"/>
                <w:szCs w:val="20"/>
              </w:rPr>
              <w:t>《</w:t>
            </w:r>
            <w:r>
              <w:rPr>
                <w:rFonts w:ascii="宋体" w:hAnsi="宋体" w:eastAsia="宋体" w:cs="宋体"/>
                <w:spacing w:val="-3"/>
                <w:sz w:val="20"/>
                <w:szCs w:val="20"/>
              </w:rPr>
              <w:t>环境空气质量标准》</w:t>
            </w:r>
          </w:p>
          <w:p w14:paraId="490DE1A8">
            <w:pPr>
              <w:spacing w:before="46" w:line="281" w:lineRule="exact"/>
              <w:ind w:left="695"/>
              <w:rPr>
                <w:rFonts w:ascii="Times New Roman" w:hAnsi="Times New Roman" w:eastAsia="Times New Roman" w:cs="Times New Roman"/>
                <w:sz w:val="20"/>
                <w:szCs w:val="20"/>
              </w:rPr>
            </w:pPr>
            <w:r>
              <w:rPr>
                <w:rFonts w:ascii="Times New Roman" w:hAnsi="Times New Roman" w:eastAsia="Times New Roman" w:cs="Times New Roman"/>
                <w:spacing w:val="-1"/>
                <w:position w:val="3"/>
                <w:sz w:val="20"/>
                <w:szCs w:val="20"/>
              </w:rPr>
              <w:t>GB</w:t>
            </w:r>
            <w:r>
              <w:rPr>
                <w:rFonts w:ascii="Times New Roman" w:hAnsi="Times New Roman" w:eastAsia="Times New Roman" w:cs="Times New Roman"/>
                <w:spacing w:val="-2"/>
                <w:position w:val="3"/>
                <w:sz w:val="20"/>
                <w:szCs w:val="20"/>
              </w:rPr>
              <w:t>3095-</w:t>
            </w:r>
            <w:r>
              <w:rPr>
                <w:rFonts w:ascii="Times New Roman" w:hAnsi="Times New Roman" w:eastAsia="Times New Roman" w:cs="Times New Roman"/>
                <w:spacing w:val="-1"/>
                <w:position w:val="3"/>
                <w:sz w:val="20"/>
                <w:szCs w:val="20"/>
              </w:rPr>
              <w:t>2012(</w:t>
            </w:r>
            <w:r>
              <w:rPr>
                <w:rFonts w:ascii="宋体" w:hAnsi="宋体" w:eastAsia="宋体" w:cs="宋体"/>
                <w:spacing w:val="-1"/>
                <w:position w:val="3"/>
                <w:sz w:val="20"/>
                <w:szCs w:val="20"/>
              </w:rPr>
              <w:t>二级</w:t>
            </w:r>
            <w:r>
              <w:rPr>
                <w:rFonts w:ascii="Times New Roman" w:hAnsi="Times New Roman" w:eastAsia="Times New Roman" w:cs="Times New Roman"/>
                <w:spacing w:val="-1"/>
                <w:position w:val="3"/>
                <w:sz w:val="20"/>
                <w:szCs w:val="20"/>
              </w:rPr>
              <w:t>)</w:t>
            </w:r>
          </w:p>
        </w:tc>
        <w:tc>
          <w:tcPr>
            <w:tcW w:w="624" w:type="dxa"/>
            <w:tcBorders>
              <w:right w:val="nil"/>
            </w:tcBorders>
            <w:vAlign w:val="top"/>
          </w:tcPr>
          <w:p w14:paraId="4345E206">
            <w:pPr>
              <w:spacing w:before="195" w:line="281" w:lineRule="exact"/>
              <w:ind w:left="86"/>
              <w:rPr>
                <w:rFonts w:ascii="Times New Roman" w:hAnsi="Times New Roman" w:eastAsia="Times New Roman" w:cs="Times New Roman"/>
                <w:sz w:val="13"/>
                <w:szCs w:val="13"/>
              </w:rPr>
            </w:pPr>
            <w:r>
              <w:rPr>
                <w:rFonts w:ascii="Times New Roman" w:hAnsi="Times New Roman" w:eastAsia="Times New Roman" w:cs="Times New Roman"/>
                <w:spacing w:val="-2"/>
                <w:position w:val="3"/>
                <w:sz w:val="20"/>
                <w:szCs w:val="20"/>
              </w:rPr>
              <w:t>μg/</w:t>
            </w:r>
            <w:r>
              <w:rPr>
                <w:rFonts w:ascii="Times New Roman" w:hAnsi="Times New Roman" w:eastAsia="Times New Roman" w:cs="Times New Roman"/>
                <w:spacing w:val="-1"/>
                <w:position w:val="3"/>
                <w:sz w:val="20"/>
                <w:szCs w:val="20"/>
              </w:rPr>
              <w:t>m</w:t>
            </w:r>
            <w:r>
              <w:rPr>
                <w:rFonts w:ascii="Times New Roman" w:hAnsi="Times New Roman" w:eastAsia="Times New Roman" w:cs="Times New Roman"/>
                <w:spacing w:val="-2"/>
                <w:position w:val="9"/>
                <w:sz w:val="13"/>
                <w:szCs w:val="13"/>
              </w:rPr>
              <w:t>3</w:t>
            </w:r>
          </w:p>
        </w:tc>
      </w:tr>
    </w:tbl>
    <w:p w14:paraId="2FEF690A">
      <w:pPr>
        <w:spacing w:before="78" w:line="355" w:lineRule="auto"/>
        <w:ind w:left="120" w:right="119"/>
        <w:rPr>
          <w:rFonts w:ascii="Times New Roman" w:hAnsi="Times New Roman" w:eastAsia="Times New Roman" w:cs="Times New Roman"/>
          <w:sz w:val="17"/>
          <w:szCs w:val="17"/>
        </w:rPr>
      </w:pPr>
      <w:r>
        <w:rPr>
          <w:rFonts w:ascii="宋体" w:hAnsi="宋体" w:eastAsia="宋体" w:cs="宋体"/>
          <w:spacing w:val="-1"/>
          <w:sz w:val="17"/>
          <w:szCs w:val="17"/>
          <w14:textOutline w14:w="3268" w14:cap="sq" w14:cmpd="sng">
            <w14:solidFill>
              <w14:srgbClr w14:val="000000"/>
            </w14:solidFill>
            <w14:prstDash w14:val="solid"/>
            <w14:bevel/>
          </w14:textOutline>
        </w:rPr>
        <w:t>注：</w:t>
      </w:r>
      <w:r>
        <w:rPr>
          <w:rFonts w:ascii="Times New Roman" w:hAnsi="Times New Roman" w:eastAsia="Times New Roman" w:cs="Times New Roman"/>
          <w:b/>
          <w:bCs/>
          <w:spacing w:val="-1"/>
          <w:sz w:val="17"/>
          <w:szCs w:val="17"/>
        </w:rPr>
        <w:t>“*”</w:t>
      </w:r>
      <w:r>
        <w:rPr>
          <w:rFonts w:ascii="Times New Roman" w:hAnsi="Times New Roman" w:eastAsia="Times New Roman" w:cs="Times New Roman"/>
          <w:spacing w:val="-1"/>
          <w:sz w:val="17"/>
          <w:szCs w:val="17"/>
        </w:rPr>
        <w:t xml:space="preserve">  </w:t>
      </w:r>
      <w:r>
        <w:rPr>
          <w:rFonts w:ascii="宋体" w:hAnsi="宋体" w:eastAsia="宋体" w:cs="宋体"/>
          <w:spacing w:val="-1"/>
          <w:sz w:val="17"/>
          <w:szCs w:val="17"/>
          <w14:textOutline w14:w="3268" w14:cap="sq" w14:cmpd="sng">
            <w14:solidFill>
              <w14:srgbClr w14:val="000000"/>
            </w14:solidFill>
            <w14:prstDash w14:val="solid"/>
            <w14:bevel/>
          </w14:textOutline>
        </w:rPr>
        <w:t>由于我国目前没有</w:t>
      </w:r>
      <w:r>
        <w:rPr>
          <w:rFonts w:ascii="Times New Roman" w:hAnsi="Times New Roman" w:eastAsia="Times New Roman" w:cs="Times New Roman"/>
          <w:b/>
          <w:bCs/>
          <w:spacing w:val="-1"/>
          <w:sz w:val="17"/>
          <w:szCs w:val="17"/>
        </w:rPr>
        <w:t>“</w:t>
      </w:r>
      <w:r>
        <w:rPr>
          <w:rFonts w:ascii="宋体" w:hAnsi="宋体" w:eastAsia="宋体" w:cs="宋体"/>
          <w:spacing w:val="-1"/>
          <w:sz w:val="17"/>
          <w:szCs w:val="17"/>
          <w14:textOutline w14:w="3268" w14:cap="sq" w14:cmpd="sng">
            <w14:solidFill>
              <w14:srgbClr w14:val="000000"/>
            </w14:solidFill>
            <w14:prstDash w14:val="solid"/>
            <w14:bevel/>
          </w14:textOutline>
        </w:rPr>
        <w:t>非甲烷总烃</w:t>
      </w:r>
      <w:r>
        <w:rPr>
          <w:rFonts w:ascii="Times New Roman" w:hAnsi="Times New Roman" w:eastAsia="Times New Roman" w:cs="Times New Roman"/>
          <w:b/>
          <w:bCs/>
          <w:spacing w:val="-1"/>
          <w:sz w:val="17"/>
          <w:szCs w:val="17"/>
        </w:rPr>
        <w:t>”</w:t>
      </w:r>
      <w:r>
        <w:rPr>
          <w:rFonts w:ascii="宋体" w:hAnsi="宋体" w:eastAsia="宋体" w:cs="宋体"/>
          <w:spacing w:val="-1"/>
          <w:sz w:val="17"/>
          <w:szCs w:val="17"/>
          <w14:textOutline w14:w="3268" w14:cap="sq" w14:cmpd="sng">
            <w14:solidFill>
              <w14:srgbClr w14:val="000000"/>
            </w14:solidFill>
            <w14:prstDash w14:val="solid"/>
            <w14:bevel/>
          </w14:textOutline>
        </w:rPr>
        <w:t>的环境质量标准，美国的同类标准已</w:t>
      </w:r>
      <w:r>
        <w:rPr>
          <w:rFonts w:ascii="宋体" w:hAnsi="宋体" w:eastAsia="宋体" w:cs="宋体"/>
          <w:sz w:val="17"/>
          <w:szCs w:val="17"/>
          <w14:textOutline w14:w="3268" w14:cap="sq" w14:cmpd="sng">
            <w14:solidFill>
              <w14:srgbClr w14:val="000000"/>
            </w14:solidFill>
            <w14:prstDash w14:val="solid"/>
            <w14:bevel/>
          </w14:textOutline>
        </w:rPr>
        <w:t>废除，故我国石化部门和若干地区</w:t>
      </w:r>
      <w:r>
        <w:rPr>
          <w:rFonts w:ascii="宋体" w:hAnsi="宋体" w:eastAsia="宋体" w:cs="宋体"/>
          <w:sz w:val="17"/>
          <w:szCs w:val="17"/>
        </w:rPr>
        <w:t xml:space="preserve"> </w:t>
      </w:r>
      <w:r>
        <w:rPr>
          <w:rFonts w:ascii="宋体" w:hAnsi="宋体" w:eastAsia="宋体" w:cs="宋体"/>
          <w:spacing w:val="-6"/>
          <w:sz w:val="17"/>
          <w:szCs w:val="17"/>
          <w14:textOutline w14:w="3268" w14:cap="sq" w14:cmpd="sng">
            <w14:solidFill>
              <w14:srgbClr w14:val="000000"/>
            </w14:solidFill>
            <w14:prstDash w14:val="solid"/>
            <w14:bevel/>
          </w14:textOutline>
        </w:rPr>
        <w:t>通常</w:t>
      </w:r>
      <w:r>
        <w:rPr>
          <w:rFonts w:ascii="宋体" w:hAnsi="宋体" w:eastAsia="宋体" w:cs="宋体"/>
          <w:spacing w:val="-4"/>
          <w:sz w:val="17"/>
          <w:szCs w:val="17"/>
          <w14:textOutline w14:w="3268" w14:cap="sq" w14:cmpd="sng">
            <w14:solidFill>
              <w14:srgbClr w14:val="000000"/>
            </w14:solidFill>
            <w14:prstDash w14:val="solid"/>
            <w14:bevel/>
          </w14:textOutline>
        </w:rPr>
        <w:t>采</w:t>
      </w:r>
      <w:r>
        <w:rPr>
          <w:rFonts w:ascii="宋体" w:hAnsi="宋体" w:eastAsia="宋体" w:cs="宋体"/>
          <w:spacing w:val="-3"/>
          <w:sz w:val="17"/>
          <w:szCs w:val="17"/>
          <w14:textOutline w14:w="3268" w14:cap="sq" w14:cmpd="sng">
            <w14:solidFill>
              <w14:srgbClr w14:val="000000"/>
            </w14:solidFill>
            <w14:prstDash w14:val="solid"/>
            <w14:bevel/>
          </w14:textOutline>
        </w:rPr>
        <w:t>用以色列同类标准的短期平均值，为</w:t>
      </w:r>
      <w:r>
        <w:rPr>
          <w:rFonts w:ascii="宋体" w:hAnsi="宋体" w:eastAsia="宋体" w:cs="宋体"/>
          <w:spacing w:val="-3"/>
          <w:sz w:val="17"/>
          <w:szCs w:val="17"/>
        </w:rPr>
        <w:t xml:space="preserve"> </w:t>
      </w:r>
      <w:r>
        <w:rPr>
          <w:rFonts w:ascii="Times New Roman" w:hAnsi="Times New Roman" w:eastAsia="Times New Roman" w:cs="Times New Roman"/>
          <w:b/>
          <w:bCs/>
          <w:spacing w:val="-3"/>
          <w:sz w:val="17"/>
          <w:szCs w:val="17"/>
        </w:rPr>
        <w:t>5mg/m</w:t>
      </w:r>
      <w:r>
        <w:rPr>
          <w:rFonts w:ascii="Times New Roman" w:hAnsi="Times New Roman" w:eastAsia="Times New Roman" w:cs="Times New Roman"/>
          <w:b/>
          <w:bCs/>
          <w:spacing w:val="-3"/>
          <w:position w:val="6"/>
          <w:sz w:val="11"/>
          <w:szCs w:val="11"/>
        </w:rPr>
        <w:t>3</w:t>
      </w:r>
      <w:r>
        <w:rPr>
          <w:rFonts w:ascii="宋体" w:hAnsi="宋体" w:eastAsia="宋体" w:cs="宋体"/>
          <w:spacing w:val="-3"/>
          <w:sz w:val="17"/>
          <w:szCs w:val="17"/>
          <w14:textOutline w14:w="3268" w14:cap="sq" w14:cmpd="sng">
            <w14:solidFill>
              <w14:srgbClr w14:val="000000"/>
            </w14:solidFill>
            <w14:prstDash w14:val="solid"/>
            <w14:bevel/>
          </w14:textOutline>
        </w:rPr>
        <w:t>。但考虑到我国多数地区的实测值，</w:t>
      </w:r>
      <w:r>
        <w:rPr>
          <w:rFonts w:ascii="Times New Roman" w:hAnsi="Times New Roman" w:eastAsia="Times New Roman" w:cs="Times New Roman"/>
          <w:b/>
          <w:bCs/>
          <w:spacing w:val="-3"/>
          <w:sz w:val="17"/>
          <w:szCs w:val="17"/>
        </w:rPr>
        <w:t>“</w:t>
      </w:r>
      <w:r>
        <w:rPr>
          <w:rFonts w:ascii="宋体" w:hAnsi="宋体" w:eastAsia="宋体" w:cs="宋体"/>
          <w:spacing w:val="-3"/>
          <w:sz w:val="17"/>
          <w:szCs w:val="17"/>
          <w14:textOutline w14:w="3268" w14:cap="sq" w14:cmpd="sng">
            <w14:solidFill>
              <w14:srgbClr w14:val="000000"/>
            </w14:solidFill>
            <w14:prstDash w14:val="solid"/>
            <w14:bevel/>
          </w14:textOutline>
        </w:rPr>
        <w:t>非甲烷总烃</w:t>
      </w:r>
      <w:r>
        <w:rPr>
          <w:rFonts w:ascii="Times New Roman" w:hAnsi="Times New Roman" w:eastAsia="Times New Roman" w:cs="Times New Roman"/>
          <w:b/>
          <w:bCs/>
          <w:spacing w:val="-3"/>
          <w:sz w:val="17"/>
          <w:szCs w:val="17"/>
        </w:rPr>
        <w:t>”</w:t>
      </w:r>
      <w:r>
        <w:rPr>
          <w:rFonts w:ascii="宋体" w:hAnsi="宋体" w:eastAsia="宋体" w:cs="宋体"/>
          <w:spacing w:val="-3"/>
          <w:sz w:val="17"/>
          <w:szCs w:val="17"/>
          <w14:textOutline w14:w="3268" w14:cap="sq" w14:cmpd="sng">
            <w14:solidFill>
              <w14:srgbClr w14:val="000000"/>
            </w14:solidFill>
            <w14:prstDash w14:val="solid"/>
            <w14:bevel/>
          </w14:textOutline>
        </w:rPr>
        <w:t>的环境浓度</w:t>
      </w:r>
      <w:r>
        <w:rPr>
          <w:rFonts w:ascii="宋体" w:hAnsi="宋体" w:eastAsia="宋体" w:cs="宋体"/>
          <w:sz w:val="17"/>
          <w:szCs w:val="17"/>
        </w:rPr>
        <w:t xml:space="preserve"> </w:t>
      </w:r>
      <w:r>
        <w:rPr>
          <w:rFonts w:ascii="宋体" w:hAnsi="宋体" w:eastAsia="宋体" w:cs="宋体"/>
          <w:spacing w:val="-4"/>
          <w:sz w:val="17"/>
          <w:szCs w:val="17"/>
          <w14:textOutline w14:w="3268" w14:cap="sq" w14:cmpd="sng">
            <w14:solidFill>
              <w14:srgbClr w14:val="000000"/>
            </w14:solidFill>
            <w14:prstDash w14:val="solid"/>
            <w14:bevel/>
          </w14:textOutline>
        </w:rPr>
        <w:t>一般不超过</w:t>
      </w:r>
      <w:r>
        <w:rPr>
          <w:rFonts w:ascii="宋体" w:hAnsi="宋体" w:eastAsia="宋体" w:cs="宋体"/>
          <w:spacing w:val="-4"/>
          <w:sz w:val="17"/>
          <w:szCs w:val="17"/>
        </w:rPr>
        <w:t xml:space="preserve"> </w:t>
      </w:r>
      <w:r>
        <w:rPr>
          <w:rFonts w:ascii="Times New Roman" w:hAnsi="Times New Roman" w:eastAsia="Times New Roman" w:cs="Times New Roman"/>
          <w:b/>
          <w:bCs/>
          <w:spacing w:val="-4"/>
          <w:sz w:val="17"/>
          <w:szCs w:val="17"/>
        </w:rPr>
        <w:t>1.0</w:t>
      </w:r>
      <w:r>
        <w:rPr>
          <w:rFonts w:ascii="Times New Roman" w:hAnsi="Times New Roman" w:eastAsia="Times New Roman" w:cs="Times New Roman"/>
          <w:b/>
          <w:bCs/>
          <w:spacing w:val="-2"/>
          <w:sz w:val="17"/>
          <w:szCs w:val="17"/>
        </w:rPr>
        <w:t>mg</w:t>
      </w:r>
      <w:r>
        <w:rPr>
          <w:rFonts w:ascii="Times New Roman" w:hAnsi="Times New Roman" w:eastAsia="Times New Roman" w:cs="Times New Roman"/>
          <w:b/>
          <w:bCs/>
          <w:spacing w:val="-4"/>
          <w:sz w:val="17"/>
          <w:szCs w:val="17"/>
        </w:rPr>
        <w:t>/</w:t>
      </w:r>
      <w:r>
        <w:rPr>
          <w:rFonts w:ascii="Times New Roman" w:hAnsi="Times New Roman" w:eastAsia="Times New Roman" w:cs="Times New Roman"/>
          <w:b/>
          <w:bCs/>
          <w:spacing w:val="-2"/>
          <w:sz w:val="17"/>
          <w:szCs w:val="17"/>
        </w:rPr>
        <w:t>m</w:t>
      </w:r>
      <w:r>
        <w:rPr>
          <w:rFonts w:ascii="Times New Roman" w:hAnsi="Times New Roman" w:eastAsia="Times New Roman" w:cs="Times New Roman"/>
          <w:b/>
          <w:bCs/>
          <w:spacing w:val="-4"/>
          <w:position w:val="5"/>
          <w:sz w:val="11"/>
          <w:szCs w:val="11"/>
        </w:rPr>
        <w:t>3</w:t>
      </w:r>
      <w:r>
        <w:rPr>
          <w:rFonts w:ascii="Times New Roman" w:hAnsi="Times New Roman" w:eastAsia="Times New Roman" w:cs="Times New Roman"/>
          <w:spacing w:val="-4"/>
          <w:position w:val="5"/>
          <w:sz w:val="11"/>
          <w:szCs w:val="11"/>
        </w:rPr>
        <w:t xml:space="preserve"> </w:t>
      </w:r>
      <w:r>
        <w:rPr>
          <w:rFonts w:ascii="宋体" w:hAnsi="宋体" w:eastAsia="宋体" w:cs="宋体"/>
          <w:spacing w:val="-2"/>
          <w:sz w:val="17"/>
          <w:szCs w:val="17"/>
          <w14:textOutline w14:w="3268" w14:cap="sq" w14:cmpd="sng">
            <w14:solidFill>
              <w14:srgbClr w14:val="000000"/>
            </w14:solidFill>
            <w14:prstDash w14:val="solid"/>
            <w14:bevel/>
          </w14:textOutline>
        </w:rPr>
        <w:t>，因此选用</w:t>
      </w:r>
      <w:r>
        <w:rPr>
          <w:rFonts w:ascii="Times New Roman" w:hAnsi="Times New Roman" w:eastAsia="Times New Roman" w:cs="Times New Roman"/>
          <w:b/>
          <w:bCs/>
          <w:spacing w:val="-2"/>
          <w:sz w:val="17"/>
          <w:szCs w:val="17"/>
        </w:rPr>
        <w:t>2mg/m</w:t>
      </w:r>
      <w:r>
        <w:rPr>
          <w:rFonts w:ascii="Times New Roman" w:hAnsi="Times New Roman" w:eastAsia="Times New Roman" w:cs="Times New Roman"/>
          <w:b/>
          <w:bCs/>
          <w:spacing w:val="-2"/>
          <w:position w:val="5"/>
          <w:sz w:val="11"/>
          <w:szCs w:val="11"/>
        </w:rPr>
        <w:t>3</w:t>
      </w:r>
      <w:r>
        <w:rPr>
          <w:rFonts w:ascii="Times New Roman" w:hAnsi="Times New Roman" w:eastAsia="Times New Roman" w:cs="Times New Roman"/>
          <w:spacing w:val="-2"/>
          <w:position w:val="5"/>
          <w:sz w:val="11"/>
          <w:szCs w:val="11"/>
        </w:rPr>
        <w:t xml:space="preserve"> </w:t>
      </w:r>
      <w:r>
        <w:rPr>
          <w:rFonts w:ascii="宋体" w:hAnsi="宋体" w:eastAsia="宋体" w:cs="宋体"/>
          <w:spacing w:val="-2"/>
          <w:sz w:val="17"/>
          <w:szCs w:val="17"/>
          <w14:textOutline w14:w="3268" w14:cap="sq" w14:cmpd="sng">
            <w14:solidFill>
              <w14:srgbClr w14:val="000000"/>
            </w14:solidFill>
            <w14:prstDash w14:val="solid"/>
            <w14:bevel/>
          </w14:textOutline>
        </w:rPr>
        <w:t>作为计算依据。摘自</w:t>
      </w:r>
      <w:r>
        <w:rPr>
          <w:rFonts w:ascii="Times New Roman" w:hAnsi="Times New Roman" w:eastAsia="Times New Roman" w:cs="Times New Roman"/>
          <w:b/>
          <w:bCs/>
          <w:spacing w:val="-2"/>
          <w:sz w:val="17"/>
          <w:szCs w:val="17"/>
        </w:rPr>
        <w:t>“</w:t>
      </w:r>
      <w:r>
        <w:rPr>
          <w:rFonts w:ascii="宋体" w:hAnsi="宋体" w:eastAsia="宋体" w:cs="宋体"/>
          <w:spacing w:val="-2"/>
          <w:sz w:val="17"/>
          <w:szCs w:val="17"/>
          <w14:textOutline w14:w="3268" w14:cap="sq" w14:cmpd="sng">
            <w14:solidFill>
              <w14:srgbClr w14:val="000000"/>
            </w14:solidFill>
            <w14:prstDash w14:val="solid"/>
            <w14:bevel/>
          </w14:textOutline>
        </w:rPr>
        <w:t>由中国环境科学出版社出版的国家环境保护局科技</w:t>
      </w:r>
      <w:r>
        <w:rPr>
          <w:rFonts w:ascii="宋体" w:hAnsi="宋体" w:eastAsia="宋体" w:cs="宋体"/>
          <w:sz w:val="17"/>
          <w:szCs w:val="17"/>
        </w:rPr>
        <w:t xml:space="preserve"> </w:t>
      </w:r>
      <w:r>
        <w:rPr>
          <w:rFonts w:ascii="宋体" w:hAnsi="宋体" w:eastAsia="宋体" w:cs="宋体"/>
          <w:spacing w:val="1"/>
          <w:sz w:val="17"/>
          <w:szCs w:val="17"/>
          <w14:textOutline w14:w="3268" w14:cap="sq" w14:cmpd="sng">
            <w14:solidFill>
              <w14:srgbClr w14:val="000000"/>
            </w14:solidFill>
            <w14:prstDash w14:val="solid"/>
            <w14:bevel/>
          </w14:textOutline>
        </w:rPr>
        <w:t>标准司的《大气污染物综合排放标准详解》第</w:t>
      </w:r>
      <w:r>
        <w:rPr>
          <w:rFonts w:ascii="Times New Roman" w:hAnsi="Times New Roman" w:eastAsia="Times New Roman" w:cs="Times New Roman"/>
          <w:b/>
          <w:bCs/>
          <w:spacing w:val="1"/>
          <w:sz w:val="17"/>
          <w:szCs w:val="17"/>
        </w:rPr>
        <w:t>24</w:t>
      </w:r>
      <w:r>
        <w:rPr>
          <w:rFonts w:ascii="Times New Roman" w:hAnsi="Times New Roman" w:eastAsia="Times New Roman" w:cs="Times New Roman"/>
          <w:b/>
          <w:bCs/>
          <w:sz w:val="17"/>
          <w:szCs w:val="17"/>
        </w:rPr>
        <w:t>4</w:t>
      </w:r>
      <w:r>
        <w:rPr>
          <w:rFonts w:ascii="Times New Roman" w:hAnsi="Times New Roman" w:eastAsia="Times New Roman" w:cs="Times New Roman"/>
          <w:sz w:val="17"/>
          <w:szCs w:val="17"/>
        </w:rPr>
        <w:t xml:space="preserve"> </w:t>
      </w:r>
      <w:r>
        <w:rPr>
          <w:rFonts w:ascii="宋体" w:hAnsi="宋体" w:eastAsia="宋体" w:cs="宋体"/>
          <w:sz w:val="17"/>
          <w:szCs w:val="17"/>
          <w14:textOutline w14:w="3268" w14:cap="sq" w14:cmpd="sng">
            <w14:solidFill>
              <w14:srgbClr w14:val="000000"/>
            </w14:solidFill>
            <w14:prstDash w14:val="solid"/>
            <w14:bevel/>
          </w14:textOutline>
        </w:rPr>
        <w:t>页。</w:t>
      </w:r>
      <w:r>
        <w:rPr>
          <w:rFonts w:ascii="Times New Roman" w:hAnsi="Times New Roman" w:eastAsia="Times New Roman" w:cs="Times New Roman"/>
          <w:b/>
          <w:bCs/>
          <w:sz w:val="17"/>
          <w:szCs w:val="17"/>
        </w:rPr>
        <w:t>”</w:t>
      </w:r>
    </w:p>
    <w:p w14:paraId="4E81E80E">
      <w:pPr>
        <w:spacing w:before="292" w:line="225" w:lineRule="auto"/>
        <w:ind w:left="571"/>
        <w:rPr>
          <w:rFonts w:ascii="宋体" w:hAnsi="宋体" w:eastAsia="宋体" w:cs="宋体"/>
          <w:sz w:val="23"/>
          <w:szCs w:val="23"/>
        </w:rPr>
      </w:pPr>
      <w:r>
        <w:rPr>
          <w:rFonts w:ascii="宋体" w:hAnsi="宋体" w:eastAsia="宋体" w:cs="宋体"/>
          <w:spacing w:val="-2"/>
          <w:sz w:val="23"/>
          <w:szCs w:val="23"/>
        </w:rPr>
        <w:t>② 地下水环境质量标</w:t>
      </w:r>
      <w:r>
        <w:rPr>
          <w:rFonts w:ascii="宋体" w:hAnsi="宋体" w:eastAsia="宋体" w:cs="宋体"/>
          <w:spacing w:val="-1"/>
          <w:sz w:val="23"/>
          <w:szCs w:val="23"/>
        </w:rPr>
        <w:t>准</w:t>
      </w:r>
    </w:p>
    <w:p w14:paraId="54D93539">
      <w:pPr>
        <w:spacing w:line="245" w:lineRule="auto"/>
        <w:rPr>
          <w:rFonts w:ascii="Arial"/>
          <w:sz w:val="21"/>
        </w:rPr>
      </w:pPr>
    </w:p>
    <w:p w14:paraId="214DE893">
      <w:pPr>
        <w:spacing w:before="75" w:line="323" w:lineRule="exact"/>
        <w:ind w:left="577"/>
        <w:rPr>
          <w:rFonts w:ascii="宋体" w:hAnsi="宋体" w:eastAsia="宋体" w:cs="宋体"/>
          <w:sz w:val="23"/>
          <w:szCs w:val="23"/>
        </w:rPr>
      </w:pPr>
      <w:r>
        <w:rPr>
          <w:rFonts w:ascii="宋体" w:hAnsi="宋体" w:eastAsia="宋体" w:cs="宋体"/>
          <w:spacing w:val="-5"/>
          <w:position w:val="1"/>
          <w:sz w:val="23"/>
          <w:szCs w:val="23"/>
        </w:rPr>
        <w:t>项目所在区域地下水执行《地下水质量标准》  (</w:t>
      </w:r>
      <w:r>
        <w:rPr>
          <w:rFonts w:ascii="Times New Roman" w:hAnsi="Times New Roman" w:eastAsia="Times New Roman" w:cs="Times New Roman"/>
          <w:spacing w:val="-5"/>
          <w:position w:val="1"/>
          <w:sz w:val="23"/>
          <w:szCs w:val="23"/>
        </w:rPr>
        <w:t>GB/T 14848-2017</w:t>
      </w:r>
      <w:r>
        <w:rPr>
          <w:rFonts w:ascii="宋体" w:hAnsi="宋体" w:eastAsia="宋体" w:cs="宋体"/>
          <w:spacing w:val="-5"/>
          <w:position w:val="1"/>
          <w:sz w:val="23"/>
          <w:szCs w:val="23"/>
        </w:rPr>
        <w:t xml:space="preserve">) </w:t>
      </w:r>
      <w:r>
        <w:rPr>
          <w:rFonts w:ascii="Times New Roman" w:hAnsi="Times New Roman" w:eastAsia="Times New Roman" w:cs="Times New Roman"/>
          <w:spacing w:val="-5"/>
          <w:position w:val="1"/>
          <w:sz w:val="23"/>
          <w:szCs w:val="23"/>
        </w:rPr>
        <w:t>I</w:t>
      </w:r>
      <w:r>
        <w:rPr>
          <w:rFonts w:ascii="Times New Roman" w:hAnsi="Times New Roman" w:eastAsia="Times New Roman" w:cs="Times New Roman"/>
          <w:spacing w:val="-2"/>
          <w:position w:val="1"/>
          <w:sz w:val="23"/>
          <w:szCs w:val="23"/>
        </w:rPr>
        <w:t>I</w:t>
      </w:r>
      <w:r>
        <w:rPr>
          <w:rFonts w:ascii="Times New Roman" w:hAnsi="Times New Roman" w:eastAsia="Times New Roman" w:cs="Times New Roman"/>
          <w:position w:val="1"/>
          <w:sz w:val="23"/>
          <w:szCs w:val="23"/>
        </w:rPr>
        <w:t>I</w:t>
      </w:r>
      <w:r>
        <w:rPr>
          <w:rFonts w:ascii="Times New Roman" w:hAnsi="Times New Roman" w:eastAsia="Times New Roman" w:cs="Times New Roman"/>
          <w:spacing w:val="-5"/>
          <w:position w:val="1"/>
          <w:sz w:val="23"/>
          <w:szCs w:val="23"/>
        </w:rPr>
        <w:t xml:space="preserve"> </w:t>
      </w:r>
      <w:r>
        <w:rPr>
          <w:rFonts w:ascii="宋体" w:hAnsi="宋体" w:eastAsia="宋体" w:cs="宋体"/>
          <w:spacing w:val="-5"/>
          <w:position w:val="1"/>
          <w:sz w:val="23"/>
          <w:szCs w:val="23"/>
        </w:rPr>
        <w:t>类水质标</w:t>
      </w:r>
    </w:p>
    <w:p w14:paraId="5F260786">
      <w:pPr>
        <w:spacing w:before="202" w:line="229" w:lineRule="auto"/>
        <w:ind w:left="124"/>
        <w:rPr>
          <w:rFonts w:ascii="宋体" w:hAnsi="宋体" w:eastAsia="宋体" w:cs="宋体"/>
          <w:sz w:val="23"/>
          <w:szCs w:val="23"/>
        </w:rPr>
      </w:pPr>
      <w:r>
        <w:rPr>
          <w:rFonts w:ascii="宋体" w:hAnsi="宋体" w:eastAsia="宋体" w:cs="宋体"/>
          <w:spacing w:val="-10"/>
          <w:sz w:val="23"/>
          <w:szCs w:val="23"/>
        </w:rPr>
        <w:t>准</w:t>
      </w:r>
      <w:r>
        <w:rPr>
          <w:rFonts w:ascii="宋体" w:hAnsi="宋体" w:eastAsia="宋体" w:cs="宋体"/>
          <w:spacing w:val="-8"/>
          <w:sz w:val="23"/>
          <w:szCs w:val="23"/>
        </w:rPr>
        <w:t xml:space="preserve">，具体见表 </w:t>
      </w:r>
      <w:r>
        <w:rPr>
          <w:rFonts w:ascii="Times New Roman" w:hAnsi="Times New Roman" w:eastAsia="Times New Roman" w:cs="Times New Roman"/>
          <w:spacing w:val="-8"/>
          <w:sz w:val="23"/>
          <w:szCs w:val="23"/>
        </w:rPr>
        <w:t>2-4</w:t>
      </w:r>
      <w:r>
        <w:rPr>
          <w:rFonts w:ascii="宋体" w:hAnsi="宋体" w:eastAsia="宋体" w:cs="宋体"/>
          <w:spacing w:val="-8"/>
          <w:sz w:val="23"/>
          <w:szCs w:val="23"/>
        </w:rPr>
        <w:t>：</w:t>
      </w:r>
    </w:p>
    <w:p w14:paraId="15E00845">
      <w:pPr>
        <w:spacing w:line="284" w:lineRule="auto"/>
        <w:rPr>
          <w:rFonts w:ascii="Arial"/>
          <w:sz w:val="21"/>
        </w:rPr>
      </w:pPr>
    </w:p>
    <w:p w14:paraId="3B5B7BC1">
      <w:pPr>
        <w:spacing w:before="75" w:line="227" w:lineRule="auto"/>
        <w:ind w:left="2941"/>
        <w:rPr>
          <w:rFonts w:ascii="宋体" w:hAnsi="宋体" w:eastAsia="宋体" w:cs="宋体"/>
          <w:sz w:val="23"/>
          <w:szCs w:val="23"/>
        </w:rPr>
      </w:pPr>
      <w:r>
        <w:rPr>
          <w:rFonts w:ascii="宋体" w:hAnsi="宋体" w:eastAsia="宋体" w:cs="宋体"/>
          <w:spacing w:val="-2"/>
          <w:sz w:val="23"/>
          <w:szCs w:val="23"/>
          <w14:textOutline w14:w="4358" w14:cap="sq" w14:cmpd="sng">
            <w14:solidFill>
              <w14:srgbClr w14:val="000000"/>
            </w14:solidFill>
            <w14:prstDash w14:val="solid"/>
            <w14:bevel/>
          </w14:textOutline>
        </w:rPr>
        <w:t>表</w:t>
      </w:r>
      <w:r>
        <w:rPr>
          <w:rFonts w:ascii="宋体" w:hAnsi="宋体" w:eastAsia="宋体" w:cs="宋体"/>
          <w:spacing w:val="-2"/>
          <w:sz w:val="23"/>
          <w:szCs w:val="23"/>
        </w:rPr>
        <w:t xml:space="preserve"> </w:t>
      </w:r>
      <w:r>
        <w:rPr>
          <w:rFonts w:ascii="Times New Roman" w:hAnsi="Times New Roman" w:eastAsia="Times New Roman" w:cs="Times New Roman"/>
          <w:b/>
          <w:bCs/>
          <w:spacing w:val="-2"/>
          <w:sz w:val="23"/>
          <w:szCs w:val="23"/>
        </w:rPr>
        <w:t>2-4</w:t>
      </w:r>
      <w:r>
        <w:rPr>
          <w:rFonts w:ascii="Times New Roman" w:hAnsi="Times New Roman" w:eastAsia="Times New Roman" w:cs="Times New Roman"/>
          <w:spacing w:val="-2"/>
          <w:sz w:val="23"/>
          <w:szCs w:val="23"/>
        </w:rPr>
        <w:t xml:space="preserve">     </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14:textOutline w14:w="4358" w14:cap="sq" w14:cmpd="sng">
            <w14:solidFill>
              <w14:srgbClr w14:val="000000"/>
            </w14:solidFill>
            <w14:prstDash w14:val="solid"/>
            <w14:bevel/>
          </w14:textOutline>
        </w:rPr>
        <w:t>地下水质量标准</w:t>
      </w:r>
    </w:p>
    <w:p w14:paraId="0B97D9E6">
      <w:pPr>
        <w:spacing w:line="19" w:lineRule="exact"/>
      </w:pPr>
    </w:p>
    <w:tbl>
      <w:tblPr>
        <w:tblStyle w:val="4"/>
        <w:tblW w:w="853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6"/>
        <w:gridCol w:w="2183"/>
        <w:gridCol w:w="1400"/>
        <w:gridCol w:w="2626"/>
        <w:gridCol w:w="1426"/>
      </w:tblGrid>
      <w:tr w14:paraId="78F829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896" w:type="dxa"/>
            <w:tcBorders>
              <w:left w:val="nil"/>
            </w:tcBorders>
            <w:vAlign w:val="top"/>
          </w:tcPr>
          <w:p w14:paraId="1CCEF77C">
            <w:pPr>
              <w:spacing w:before="86" w:line="223" w:lineRule="auto"/>
              <w:ind w:left="257"/>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序</w:t>
            </w:r>
            <w:r>
              <w:rPr>
                <w:rFonts w:ascii="宋体" w:hAnsi="宋体" w:eastAsia="宋体" w:cs="宋体"/>
                <w:sz w:val="20"/>
                <w:szCs w:val="20"/>
                <w14:textOutline w14:w="3795" w14:cap="sq" w14:cmpd="sng">
                  <w14:solidFill>
                    <w14:srgbClr w14:val="000000"/>
                  </w14:solidFill>
                  <w14:prstDash w14:val="solid"/>
                  <w14:bevel/>
                </w14:textOutline>
              </w:rPr>
              <w:t>号</w:t>
            </w:r>
          </w:p>
        </w:tc>
        <w:tc>
          <w:tcPr>
            <w:tcW w:w="2183" w:type="dxa"/>
            <w:vAlign w:val="top"/>
          </w:tcPr>
          <w:p w14:paraId="747FC6E9">
            <w:pPr>
              <w:spacing w:before="86" w:line="223" w:lineRule="auto"/>
              <w:ind w:left="803"/>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污染</w:t>
            </w:r>
            <w:r>
              <w:rPr>
                <w:rFonts w:ascii="宋体" w:hAnsi="宋体" w:eastAsia="宋体" w:cs="宋体"/>
                <w:spacing w:val="-1"/>
                <w:sz w:val="20"/>
                <w:szCs w:val="20"/>
                <w14:textOutline w14:w="3795" w14:cap="sq" w14:cmpd="sng">
                  <w14:solidFill>
                    <w14:srgbClr w14:val="000000"/>
                  </w14:solidFill>
                  <w14:prstDash w14:val="solid"/>
                  <w14:bevel/>
                </w14:textOutline>
              </w:rPr>
              <w:t>物</w:t>
            </w:r>
          </w:p>
        </w:tc>
        <w:tc>
          <w:tcPr>
            <w:tcW w:w="1400" w:type="dxa"/>
            <w:vAlign w:val="top"/>
          </w:tcPr>
          <w:p w14:paraId="47F662BE">
            <w:pPr>
              <w:spacing w:before="86" w:line="223" w:lineRule="auto"/>
              <w:ind w:left="410"/>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标</w:t>
            </w:r>
            <w:r>
              <w:rPr>
                <w:rFonts w:ascii="宋体" w:hAnsi="宋体" w:eastAsia="宋体" w:cs="宋体"/>
                <w:spacing w:val="-1"/>
                <w:sz w:val="20"/>
                <w:szCs w:val="20"/>
                <w14:textOutline w14:w="3795" w14:cap="sq" w14:cmpd="sng">
                  <w14:solidFill>
                    <w14:srgbClr w14:val="000000"/>
                  </w14:solidFill>
                  <w14:prstDash w14:val="solid"/>
                  <w14:bevel/>
                </w14:textOutline>
              </w:rPr>
              <w:t>准值</w:t>
            </w:r>
          </w:p>
        </w:tc>
        <w:tc>
          <w:tcPr>
            <w:tcW w:w="2626" w:type="dxa"/>
            <w:vAlign w:val="top"/>
          </w:tcPr>
          <w:p w14:paraId="6ECFA4D6">
            <w:pPr>
              <w:spacing w:before="86" w:line="223" w:lineRule="auto"/>
              <w:ind w:left="1024"/>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污染</w:t>
            </w:r>
            <w:r>
              <w:rPr>
                <w:rFonts w:ascii="宋体" w:hAnsi="宋体" w:eastAsia="宋体" w:cs="宋体"/>
                <w:spacing w:val="-1"/>
                <w:sz w:val="20"/>
                <w:szCs w:val="20"/>
                <w14:textOutline w14:w="3795" w14:cap="sq" w14:cmpd="sng">
                  <w14:solidFill>
                    <w14:srgbClr w14:val="000000"/>
                  </w14:solidFill>
                  <w14:prstDash w14:val="solid"/>
                  <w14:bevel/>
                </w14:textOutline>
              </w:rPr>
              <w:t>物</w:t>
            </w:r>
          </w:p>
        </w:tc>
        <w:tc>
          <w:tcPr>
            <w:tcW w:w="1426" w:type="dxa"/>
            <w:tcBorders>
              <w:right w:val="nil"/>
            </w:tcBorders>
            <w:vAlign w:val="top"/>
          </w:tcPr>
          <w:p w14:paraId="2CE7A186">
            <w:pPr>
              <w:spacing w:before="86" w:line="223" w:lineRule="auto"/>
              <w:ind w:left="423"/>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标</w:t>
            </w:r>
            <w:r>
              <w:rPr>
                <w:rFonts w:ascii="宋体" w:hAnsi="宋体" w:eastAsia="宋体" w:cs="宋体"/>
                <w:spacing w:val="-1"/>
                <w:sz w:val="20"/>
                <w:szCs w:val="20"/>
                <w14:textOutline w14:w="3795" w14:cap="sq" w14:cmpd="sng">
                  <w14:solidFill>
                    <w14:srgbClr w14:val="000000"/>
                  </w14:solidFill>
                  <w14:prstDash w14:val="solid"/>
                  <w14:bevel/>
                </w14:textOutline>
              </w:rPr>
              <w:t>准值</w:t>
            </w:r>
          </w:p>
        </w:tc>
      </w:tr>
      <w:tr w14:paraId="4CDDE3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896" w:type="dxa"/>
            <w:tcBorders>
              <w:left w:val="nil"/>
            </w:tcBorders>
            <w:vAlign w:val="top"/>
          </w:tcPr>
          <w:p w14:paraId="0F96F4BF">
            <w:pPr>
              <w:spacing w:before="99" w:line="195" w:lineRule="auto"/>
              <w:ind w:left="423"/>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183" w:type="dxa"/>
            <w:vAlign w:val="top"/>
          </w:tcPr>
          <w:p w14:paraId="2D278163">
            <w:pPr>
              <w:spacing w:before="63" w:line="221" w:lineRule="auto"/>
              <w:ind w:left="354"/>
              <w:rPr>
                <w:rFonts w:ascii="宋体" w:hAnsi="宋体" w:eastAsia="宋体" w:cs="宋体"/>
                <w:sz w:val="20"/>
                <w:szCs w:val="20"/>
              </w:rPr>
            </w:pPr>
            <w:r>
              <w:rPr>
                <w:rFonts w:ascii="Times New Roman" w:hAnsi="Times New Roman" w:eastAsia="Times New Roman" w:cs="Times New Roman"/>
                <w:sz w:val="20"/>
                <w:szCs w:val="20"/>
              </w:rPr>
              <w:t>pH</w:t>
            </w:r>
            <w:r>
              <w:rPr>
                <w:rFonts w:ascii="Times New Roman" w:hAnsi="Times New Roman" w:eastAsia="Times New Roman" w:cs="Times New Roman"/>
                <w:spacing w:val="-1"/>
                <w:sz w:val="20"/>
                <w:szCs w:val="20"/>
              </w:rPr>
              <w:t xml:space="preserve"> </w:t>
            </w:r>
            <w:r>
              <w:rPr>
                <w:rFonts w:ascii="宋体" w:hAnsi="宋体" w:eastAsia="宋体" w:cs="宋体"/>
                <w:spacing w:val="-1"/>
                <w:sz w:val="20"/>
                <w:szCs w:val="20"/>
              </w:rPr>
              <w:t>值 (无量</w:t>
            </w:r>
            <w:r>
              <w:rPr>
                <w:rFonts w:ascii="宋体" w:hAnsi="宋体" w:eastAsia="宋体" w:cs="宋体"/>
                <w:sz w:val="20"/>
                <w:szCs w:val="20"/>
              </w:rPr>
              <w:t>纲)</w:t>
            </w:r>
          </w:p>
        </w:tc>
        <w:tc>
          <w:tcPr>
            <w:tcW w:w="1400" w:type="dxa"/>
            <w:vAlign w:val="top"/>
          </w:tcPr>
          <w:p w14:paraId="0FB04AB4">
            <w:pPr>
              <w:spacing w:before="93" w:line="189" w:lineRule="auto"/>
              <w:ind w:left="420"/>
              <w:rPr>
                <w:rFonts w:ascii="Times New Roman" w:hAnsi="Times New Roman" w:eastAsia="Times New Roman" w:cs="Times New Roman"/>
                <w:sz w:val="22"/>
                <w:szCs w:val="22"/>
              </w:rPr>
            </w:pPr>
            <w:r>
              <w:rPr>
                <w:rFonts w:ascii="Times New Roman" w:hAnsi="Times New Roman" w:eastAsia="Times New Roman" w:cs="Times New Roman"/>
                <w:spacing w:val="-8"/>
                <w:sz w:val="22"/>
                <w:szCs w:val="22"/>
              </w:rPr>
              <w:t>6</w:t>
            </w:r>
            <w:r>
              <w:rPr>
                <w:rFonts w:ascii="Times New Roman" w:hAnsi="Times New Roman" w:eastAsia="Times New Roman" w:cs="Times New Roman"/>
                <w:spacing w:val="-5"/>
                <w:sz w:val="22"/>
                <w:szCs w:val="22"/>
              </w:rPr>
              <w:t>.5-8.5</w:t>
            </w:r>
          </w:p>
        </w:tc>
        <w:tc>
          <w:tcPr>
            <w:tcW w:w="2626" w:type="dxa"/>
            <w:vAlign w:val="top"/>
          </w:tcPr>
          <w:p w14:paraId="11AAB603">
            <w:pPr>
              <w:spacing w:before="62" w:line="228" w:lineRule="auto"/>
              <w:ind w:left="626"/>
              <w:rPr>
                <w:rFonts w:ascii="宋体" w:hAnsi="宋体" w:eastAsia="宋体" w:cs="宋体"/>
                <w:sz w:val="20"/>
                <w:szCs w:val="20"/>
              </w:rPr>
            </w:pPr>
            <w:r>
              <w:rPr>
                <w:rFonts w:ascii="宋体" w:hAnsi="宋体" w:eastAsia="宋体" w:cs="宋体"/>
                <w:spacing w:val="-2"/>
                <w:sz w:val="20"/>
                <w:szCs w:val="20"/>
              </w:rPr>
              <w:t>浑浊度 (</w:t>
            </w:r>
            <w:r>
              <w:rPr>
                <w:rFonts w:ascii="Times New Roman" w:hAnsi="Times New Roman" w:eastAsia="Times New Roman" w:cs="Times New Roman"/>
                <w:spacing w:val="-1"/>
                <w:sz w:val="20"/>
                <w:szCs w:val="20"/>
              </w:rPr>
              <w:t>NTU</w:t>
            </w:r>
            <w:r>
              <w:rPr>
                <w:rFonts w:ascii="宋体" w:hAnsi="宋体" w:eastAsia="宋体" w:cs="宋体"/>
                <w:spacing w:val="-1"/>
                <w:sz w:val="20"/>
                <w:szCs w:val="20"/>
              </w:rPr>
              <w:t>)</w:t>
            </w:r>
          </w:p>
        </w:tc>
        <w:tc>
          <w:tcPr>
            <w:tcW w:w="1426" w:type="dxa"/>
            <w:tcBorders>
              <w:right w:val="nil"/>
            </w:tcBorders>
            <w:vAlign w:val="top"/>
          </w:tcPr>
          <w:p w14:paraId="3F967BF0">
            <w:pPr>
              <w:spacing w:before="93" w:line="189" w:lineRule="auto"/>
              <w:ind w:left="668"/>
              <w:rPr>
                <w:rFonts w:ascii="Times New Roman" w:hAnsi="Times New Roman" w:eastAsia="Times New Roman" w:cs="Times New Roman"/>
                <w:sz w:val="22"/>
                <w:szCs w:val="22"/>
              </w:rPr>
            </w:pPr>
            <w:r>
              <w:rPr>
                <w:rFonts w:ascii="Times New Roman" w:hAnsi="Times New Roman" w:eastAsia="Times New Roman" w:cs="Times New Roman"/>
                <w:sz w:val="22"/>
                <w:szCs w:val="22"/>
              </w:rPr>
              <w:t>3</w:t>
            </w:r>
          </w:p>
        </w:tc>
      </w:tr>
      <w:tr w14:paraId="6C88BD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896" w:type="dxa"/>
            <w:tcBorders>
              <w:left w:val="nil"/>
            </w:tcBorders>
            <w:vAlign w:val="top"/>
          </w:tcPr>
          <w:p w14:paraId="791BDA78">
            <w:pPr>
              <w:spacing w:before="99" w:line="195" w:lineRule="auto"/>
              <w:ind w:left="402"/>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183" w:type="dxa"/>
            <w:vAlign w:val="top"/>
          </w:tcPr>
          <w:p w14:paraId="70A092FD">
            <w:pPr>
              <w:spacing w:before="26" w:line="281" w:lineRule="exact"/>
              <w:ind w:left="399"/>
              <w:rPr>
                <w:rFonts w:ascii="宋体" w:hAnsi="宋体" w:eastAsia="宋体" w:cs="宋体"/>
                <w:sz w:val="20"/>
                <w:szCs w:val="20"/>
              </w:rPr>
            </w:pPr>
            <w:r>
              <w:rPr>
                <w:rFonts w:ascii="宋体" w:hAnsi="宋体" w:eastAsia="宋体" w:cs="宋体"/>
                <w:spacing w:val="-4"/>
                <w:position w:val="2"/>
                <w:sz w:val="20"/>
                <w:szCs w:val="20"/>
              </w:rPr>
              <w:t>总硬度</w:t>
            </w:r>
            <w:r>
              <w:rPr>
                <w:rFonts w:ascii="宋体" w:hAnsi="宋体" w:eastAsia="宋体" w:cs="宋体"/>
                <w:spacing w:val="-2"/>
                <w:position w:val="2"/>
                <w:sz w:val="20"/>
                <w:szCs w:val="20"/>
              </w:rPr>
              <w:t xml:space="preserve"> (</w:t>
            </w:r>
            <w:r>
              <w:rPr>
                <w:rFonts w:ascii="Times New Roman" w:hAnsi="Times New Roman" w:eastAsia="Times New Roman" w:cs="Times New Roman"/>
                <w:spacing w:val="-2"/>
                <w:position w:val="2"/>
                <w:sz w:val="20"/>
                <w:szCs w:val="20"/>
              </w:rPr>
              <w:t>mg/L</w:t>
            </w:r>
            <w:r>
              <w:rPr>
                <w:rFonts w:ascii="宋体" w:hAnsi="宋体" w:eastAsia="宋体" w:cs="宋体"/>
                <w:spacing w:val="-2"/>
                <w:position w:val="2"/>
                <w:sz w:val="20"/>
                <w:szCs w:val="20"/>
              </w:rPr>
              <w:t>)</w:t>
            </w:r>
          </w:p>
        </w:tc>
        <w:tc>
          <w:tcPr>
            <w:tcW w:w="1400" w:type="dxa"/>
            <w:vAlign w:val="top"/>
          </w:tcPr>
          <w:p w14:paraId="7A293397">
            <w:pPr>
              <w:spacing w:before="94" w:line="189" w:lineRule="auto"/>
              <w:ind w:left="546"/>
              <w:rPr>
                <w:rFonts w:ascii="Times New Roman" w:hAnsi="Times New Roman" w:eastAsia="Times New Roman" w:cs="Times New Roman"/>
                <w:sz w:val="22"/>
                <w:szCs w:val="22"/>
              </w:rPr>
            </w:pPr>
            <w:r>
              <w:rPr>
                <w:rFonts w:ascii="Times New Roman" w:hAnsi="Times New Roman" w:eastAsia="Times New Roman" w:cs="Times New Roman"/>
                <w:spacing w:val="-4"/>
                <w:sz w:val="22"/>
                <w:szCs w:val="22"/>
              </w:rPr>
              <w:t>4</w:t>
            </w:r>
            <w:r>
              <w:rPr>
                <w:rFonts w:ascii="Times New Roman" w:hAnsi="Times New Roman" w:eastAsia="Times New Roman" w:cs="Times New Roman"/>
                <w:spacing w:val="-2"/>
                <w:sz w:val="22"/>
                <w:szCs w:val="22"/>
              </w:rPr>
              <w:t>50</w:t>
            </w:r>
          </w:p>
        </w:tc>
        <w:tc>
          <w:tcPr>
            <w:tcW w:w="2626" w:type="dxa"/>
            <w:vAlign w:val="top"/>
          </w:tcPr>
          <w:p w14:paraId="457038EE">
            <w:pPr>
              <w:spacing w:before="26" w:line="281" w:lineRule="exact"/>
              <w:ind w:left="615"/>
              <w:rPr>
                <w:rFonts w:ascii="宋体" w:hAnsi="宋体" w:eastAsia="宋体" w:cs="宋体"/>
                <w:sz w:val="20"/>
                <w:szCs w:val="20"/>
              </w:rPr>
            </w:pPr>
            <w:r>
              <w:rPr>
                <w:rFonts w:ascii="宋体" w:hAnsi="宋体" w:eastAsia="宋体" w:cs="宋体"/>
                <w:spacing w:val="-2"/>
                <w:position w:val="2"/>
                <w:sz w:val="20"/>
                <w:szCs w:val="20"/>
              </w:rPr>
              <w:t>耗氧量 (</w:t>
            </w:r>
            <w:r>
              <w:rPr>
                <w:rFonts w:ascii="Times New Roman" w:hAnsi="Times New Roman" w:eastAsia="Times New Roman" w:cs="Times New Roman"/>
                <w:spacing w:val="-2"/>
                <w:position w:val="2"/>
                <w:sz w:val="20"/>
                <w:szCs w:val="20"/>
              </w:rPr>
              <w:t>m</w:t>
            </w:r>
            <w:r>
              <w:rPr>
                <w:rFonts w:ascii="Times New Roman" w:hAnsi="Times New Roman" w:eastAsia="Times New Roman" w:cs="Times New Roman"/>
                <w:spacing w:val="-1"/>
                <w:position w:val="2"/>
                <w:sz w:val="20"/>
                <w:szCs w:val="20"/>
              </w:rPr>
              <w:t>g</w:t>
            </w:r>
            <w:r>
              <w:rPr>
                <w:rFonts w:ascii="Times New Roman" w:hAnsi="Times New Roman" w:eastAsia="Times New Roman" w:cs="Times New Roman"/>
                <w:spacing w:val="-2"/>
                <w:position w:val="2"/>
                <w:sz w:val="20"/>
                <w:szCs w:val="20"/>
              </w:rPr>
              <w:t>/</w:t>
            </w:r>
            <w:r>
              <w:rPr>
                <w:rFonts w:ascii="Times New Roman" w:hAnsi="Times New Roman" w:eastAsia="Times New Roman" w:cs="Times New Roman"/>
                <w:spacing w:val="-1"/>
                <w:position w:val="2"/>
                <w:sz w:val="20"/>
                <w:szCs w:val="20"/>
              </w:rPr>
              <w:t>L</w:t>
            </w:r>
            <w:r>
              <w:rPr>
                <w:rFonts w:ascii="宋体" w:hAnsi="宋体" w:eastAsia="宋体" w:cs="宋体"/>
                <w:spacing w:val="-2"/>
                <w:position w:val="2"/>
                <w:sz w:val="20"/>
                <w:szCs w:val="20"/>
              </w:rPr>
              <w:t>)</w:t>
            </w:r>
          </w:p>
        </w:tc>
        <w:tc>
          <w:tcPr>
            <w:tcW w:w="1426" w:type="dxa"/>
            <w:tcBorders>
              <w:right w:val="nil"/>
            </w:tcBorders>
            <w:vAlign w:val="top"/>
          </w:tcPr>
          <w:p w14:paraId="2F9B087C">
            <w:pPr>
              <w:spacing w:before="94" w:line="189" w:lineRule="auto"/>
              <w:ind w:left="593"/>
              <w:rPr>
                <w:rFonts w:ascii="Times New Roman" w:hAnsi="Times New Roman" w:eastAsia="Times New Roman" w:cs="Times New Roman"/>
                <w:sz w:val="22"/>
                <w:szCs w:val="22"/>
              </w:rPr>
            </w:pPr>
            <w:r>
              <w:rPr>
                <w:rFonts w:ascii="Times New Roman" w:hAnsi="Times New Roman" w:eastAsia="Times New Roman" w:cs="Times New Roman"/>
                <w:spacing w:val="-6"/>
                <w:sz w:val="22"/>
                <w:szCs w:val="22"/>
              </w:rPr>
              <w:t>3</w:t>
            </w:r>
            <w:r>
              <w:rPr>
                <w:rFonts w:ascii="Times New Roman" w:hAnsi="Times New Roman" w:eastAsia="Times New Roman" w:cs="Times New Roman"/>
                <w:spacing w:val="-4"/>
                <w:sz w:val="22"/>
                <w:szCs w:val="22"/>
              </w:rPr>
              <w:t>.0</w:t>
            </w:r>
          </w:p>
        </w:tc>
      </w:tr>
      <w:tr w14:paraId="70B00E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896" w:type="dxa"/>
            <w:tcBorders>
              <w:left w:val="nil"/>
            </w:tcBorders>
            <w:vAlign w:val="top"/>
          </w:tcPr>
          <w:p w14:paraId="72C5D032">
            <w:pPr>
              <w:spacing w:before="100" w:line="195" w:lineRule="auto"/>
              <w:ind w:left="407"/>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183" w:type="dxa"/>
            <w:vAlign w:val="top"/>
          </w:tcPr>
          <w:p w14:paraId="7E498E24">
            <w:pPr>
              <w:spacing w:before="27" w:line="281" w:lineRule="exact"/>
              <w:ind w:left="492"/>
              <w:rPr>
                <w:rFonts w:ascii="宋体" w:hAnsi="宋体" w:eastAsia="宋体" w:cs="宋体"/>
                <w:sz w:val="20"/>
                <w:szCs w:val="20"/>
              </w:rPr>
            </w:pPr>
            <w:r>
              <w:rPr>
                <w:rFonts w:ascii="宋体" w:hAnsi="宋体" w:eastAsia="宋体" w:cs="宋体"/>
                <w:spacing w:val="-2"/>
                <w:position w:val="2"/>
                <w:sz w:val="20"/>
                <w:szCs w:val="20"/>
              </w:rPr>
              <w:t>氨氮 (</w:t>
            </w:r>
            <w:r>
              <w:rPr>
                <w:rFonts w:ascii="Times New Roman" w:hAnsi="Times New Roman" w:eastAsia="Times New Roman" w:cs="Times New Roman"/>
                <w:spacing w:val="-1"/>
                <w:position w:val="2"/>
                <w:sz w:val="20"/>
                <w:szCs w:val="20"/>
              </w:rPr>
              <w:t>mg</w:t>
            </w:r>
            <w:r>
              <w:rPr>
                <w:rFonts w:ascii="Times New Roman" w:hAnsi="Times New Roman" w:eastAsia="Times New Roman" w:cs="Times New Roman"/>
                <w:spacing w:val="-2"/>
                <w:position w:val="2"/>
                <w:sz w:val="20"/>
                <w:szCs w:val="20"/>
              </w:rPr>
              <w:t>/</w:t>
            </w:r>
            <w:r>
              <w:rPr>
                <w:rFonts w:ascii="Times New Roman" w:hAnsi="Times New Roman" w:eastAsia="Times New Roman" w:cs="Times New Roman"/>
                <w:spacing w:val="-1"/>
                <w:position w:val="2"/>
                <w:sz w:val="20"/>
                <w:szCs w:val="20"/>
              </w:rPr>
              <w:t>L</w:t>
            </w:r>
            <w:r>
              <w:rPr>
                <w:rFonts w:ascii="宋体" w:hAnsi="宋体" w:eastAsia="宋体" w:cs="宋体"/>
                <w:spacing w:val="-1"/>
                <w:position w:val="2"/>
                <w:sz w:val="20"/>
                <w:szCs w:val="20"/>
              </w:rPr>
              <w:t>)</w:t>
            </w:r>
          </w:p>
        </w:tc>
        <w:tc>
          <w:tcPr>
            <w:tcW w:w="1400" w:type="dxa"/>
            <w:vAlign w:val="top"/>
          </w:tcPr>
          <w:p w14:paraId="0D82A17E">
            <w:pPr>
              <w:spacing w:before="97" w:line="189" w:lineRule="auto"/>
              <w:ind w:left="526"/>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0</w:t>
            </w:r>
            <w:r>
              <w:rPr>
                <w:rFonts w:ascii="Times New Roman" w:hAnsi="Times New Roman" w:eastAsia="Times New Roman" w:cs="Times New Roman"/>
                <w:spacing w:val="-4"/>
                <w:sz w:val="22"/>
                <w:szCs w:val="22"/>
              </w:rPr>
              <w:t>.50</w:t>
            </w:r>
          </w:p>
        </w:tc>
        <w:tc>
          <w:tcPr>
            <w:tcW w:w="2626" w:type="dxa"/>
            <w:vAlign w:val="top"/>
          </w:tcPr>
          <w:p w14:paraId="447595D5">
            <w:pPr>
              <w:spacing w:before="27" w:line="281" w:lineRule="exact"/>
              <w:ind w:left="518"/>
              <w:rPr>
                <w:rFonts w:ascii="宋体" w:hAnsi="宋体" w:eastAsia="宋体" w:cs="宋体"/>
                <w:sz w:val="20"/>
                <w:szCs w:val="20"/>
              </w:rPr>
            </w:pPr>
            <w:r>
              <w:rPr>
                <w:rFonts w:ascii="宋体" w:hAnsi="宋体" w:eastAsia="宋体" w:cs="宋体"/>
                <w:spacing w:val="-3"/>
                <w:position w:val="2"/>
                <w:sz w:val="20"/>
                <w:szCs w:val="20"/>
              </w:rPr>
              <w:t>亚</w:t>
            </w:r>
            <w:r>
              <w:rPr>
                <w:rFonts w:ascii="宋体" w:hAnsi="宋体" w:eastAsia="宋体" w:cs="宋体"/>
                <w:spacing w:val="-2"/>
                <w:position w:val="2"/>
                <w:sz w:val="20"/>
                <w:szCs w:val="20"/>
              </w:rPr>
              <w:t>硝酸盐 (</w:t>
            </w:r>
            <w:r>
              <w:rPr>
                <w:rFonts w:ascii="Times New Roman" w:hAnsi="Times New Roman" w:eastAsia="Times New Roman" w:cs="Times New Roman"/>
                <w:spacing w:val="-2"/>
                <w:position w:val="2"/>
                <w:sz w:val="20"/>
                <w:szCs w:val="20"/>
              </w:rPr>
              <w:t>mg/L</w:t>
            </w:r>
            <w:r>
              <w:rPr>
                <w:rFonts w:ascii="宋体" w:hAnsi="宋体" w:eastAsia="宋体" w:cs="宋体"/>
                <w:spacing w:val="-2"/>
                <w:position w:val="2"/>
                <w:sz w:val="20"/>
                <w:szCs w:val="20"/>
              </w:rPr>
              <w:t>)</w:t>
            </w:r>
          </w:p>
        </w:tc>
        <w:tc>
          <w:tcPr>
            <w:tcW w:w="1426" w:type="dxa"/>
            <w:tcBorders>
              <w:right w:val="nil"/>
            </w:tcBorders>
            <w:vAlign w:val="top"/>
          </w:tcPr>
          <w:p w14:paraId="70ACDC08">
            <w:pPr>
              <w:spacing w:before="97" w:line="192" w:lineRule="auto"/>
              <w:ind w:left="557"/>
              <w:rPr>
                <w:rFonts w:ascii="Times New Roman" w:hAnsi="Times New Roman" w:eastAsia="Times New Roman" w:cs="Times New Roman"/>
                <w:sz w:val="22"/>
                <w:szCs w:val="22"/>
              </w:rPr>
            </w:pPr>
            <w:r>
              <w:rPr>
                <w:rFonts w:ascii="Times New Roman" w:hAnsi="Times New Roman" w:eastAsia="Times New Roman" w:cs="Times New Roman"/>
                <w:spacing w:val="-11"/>
                <w:sz w:val="22"/>
                <w:szCs w:val="22"/>
              </w:rPr>
              <w:t>1</w:t>
            </w:r>
            <w:r>
              <w:rPr>
                <w:rFonts w:ascii="Times New Roman" w:hAnsi="Times New Roman" w:eastAsia="Times New Roman" w:cs="Times New Roman"/>
                <w:spacing w:val="-8"/>
                <w:sz w:val="22"/>
                <w:szCs w:val="22"/>
              </w:rPr>
              <w:t>.00</w:t>
            </w:r>
          </w:p>
        </w:tc>
      </w:tr>
      <w:tr w14:paraId="29E8A9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96" w:type="dxa"/>
            <w:tcBorders>
              <w:left w:val="nil"/>
            </w:tcBorders>
            <w:vAlign w:val="top"/>
          </w:tcPr>
          <w:p w14:paraId="2A531734">
            <w:pPr>
              <w:spacing w:before="101" w:line="195" w:lineRule="auto"/>
              <w:ind w:left="40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2183" w:type="dxa"/>
            <w:vAlign w:val="top"/>
          </w:tcPr>
          <w:p w14:paraId="6D05ED47">
            <w:pPr>
              <w:spacing w:before="27" w:line="281" w:lineRule="exact"/>
              <w:ind w:left="397"/>
              <w:rPr>
                <w:rFonts w:ascii="宋体" w:hAnsi="宋体" w:eastAsia="宋体" w:cs="宋体"/>
                <w:sz w:val="20"/>
                <w:szCs w:val="20"/>
              </w:rPr>
            </w:pPr>
            <w:r>
              <w:rPr>
                <w:rFonts w:ascii="宋体" w:hAnsi="宋体" w:eastAsia="宋体" w:cs="宋体"/>
                <w:spacing w:val="-4"/>
                <w:position w:val="2"/>
                <w:sz w:val="20"/>
                <w:szCs w:val="20"/>
              </w:rPr>
              <w:t>氯</w:t>
            </w:r>
            <w:r>
              <w:rPr>
                <w:rFonts w:ascii="宋体" w:hAnsi="宋体" w:eastAsia="宋体" w:cs="宋体"/>
                <w:spacing w:val="-3"/>
                <w:position w:val="2"/>
                <w:sz w:val="20"/>
                <w:szCs w:val="20"/>
              </w:rPr>
              <w:t>化</w:t>
            </w:r>
            <w:r>
              <w:rPr>
                <w:rFonts w:ascii="宋体" w:hAnsi="宋体" w:eastAsia="宋体" w:cs="宋体"/>
                <w:spacing w:val="-2"/>
                <w:position w:val="2"/>
                <w:sz w:val="20"/>
                <w:szCs w:val="20"/>
              </w:rPr>
              <w:t>物 (</w:t>
            </w:r>
            <w:r>
              <w:rPr>
                <w:rFonts w:ascii="Times New Roman" w:hAnsi="Times New Roman" w:eastAsia="Times New Roman" w:cs="Times New Roman"/>
                <w:spacing w:val="-2"/>
                <w:position w:val="2"/>
                <w:sz w:val="20"/>
                <w:szCs w:val="20"/>
              </w:rPr>
              <w:t>mg/L</w:t>
            </w:r>
            <w:r>
              <w:rPr>
                <w:rFonts w:ascii="宋体" w:hAnsi="宋体" w:eastAsia="宋体" w:cs="宋体"/>
                <w:spacing w:val="-2"/>
                <w:position w:val="2"/>
                <w:sz w:val="20"/>
                <w:szCs w:val="20"/>
              </w:rPr>
              <w:t>)</w:t>
            </w:r>
          </w:p>
        </w:tc>
        <w:tc>
          <w:tcPr>
            <w:tcW w:w="1400" w:type="dxa"/>
            <w:vAlign w:val="top"/>
          </w:tcPr>
          <w:p w14:paraId="46A59048">
            <w:pPr>
              <w:spacing w:before="98" w:line="189" w:lineRule="auto"/>
              <w:ind w:left="547"/>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250</w:t>
            </w:r>
          </w:p>
        </w:tc>
        <w:tc>
          <w:tcPr>
            <w:tcW w:w="2626" w:type="dxa"/>
            <w:vAlign w:val="top"/>
          </w:tcPr>
          <w:p w14:paraId="1DB5351F">
            <w:pPr>
              <w:spacing w:before="27" w:line="281" w:lineRule="exact"/>
              <w:ind w:left="810"/>
              <w:rPr>
                <w:rFonts w:ascii="宋体" w:hAnsi="宋体" w:eastAsia="宋体" w:cs="宋体"/>
                <w:sz w:val="20"/>
                <w:szCs w:val="20"/>
              </w:rPr>
            </w:pPr>
            <w:r>
              <w:rPr>
                <w:rFonts w:ascii="宋体" w:hAnsi="宋体" w:eastAsia="宋体" w:cs="宋体"/>
                <w:spacing w:val="-2"/>
                <w:position w:val="2"/>
                <w:sz w:val="20"/>
                <w:szCs w:val="20"/>
              </w:rPr>
              <w:t xml:space="preserve">钠 </w:t>
            </w:r>
            <w:r>
              <w:rPr>
                <w:rFonts w:ascii="宋体" w:hAnsi="宋体" w:eastAsia="宋体" w:cs="宋体"/>
                <w:spacing w:val="-1"/>
                <w:position w:val="2"/>
                <w:sz w:val="20"/>
                <w:szCs w:val="20"/>
              </w:rPr>
              <w:t>(</w:t>
            </w:r>
            <w:r>
              <w:rPr>
                <w:rFonts w:ascii="Times New Roman" w:hAnsi="Times New Roman" w:eastAsia="Times New Roman" w:cs="Times New Roman"/>
                <w:spacing w:val="-1"/>
                <w:position w:val="2"/>
                <w:sz w:val="20"/>
                <w:szCs w:val="20"/>
              </w:rPr>
              <w:t>mg/L</w:t>
            </w:r>
            <w:r>
              <w:rPr>
                <w:rFonts w:ascii="宋体" w:hAnsi="宋体" w:eastAsia="宋体" w:cs="宋体"/>
                <w:spacing w:val="-1"/>
                <w:position w:val="2"/>
                <w:sz w:val="20"/>
                <w:szCs w:val="20"/>
              </w:rPr>
              <w:t>)</w:t>
            </w:r>
          </w:p>
        </w:tc>
        <w:tc>
          <w:tcPr>
            <w:tcW w:w="1426" w:type="dxa"/>
            <w:tcBorders>
              <w:right w:val="nil"/>
            </w:tcBorders>
            <w:vAlign w:val="top"/>
          </w:tcPr>
          <w:p w14:paraId="3DC68266">
            <w:pPr>
              <w:spacing w:before="98" w:line="189" w:lineRule="auto"/>
              <w:ind w:left="560"/>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2</w:t>
            </w:r>
            <w:r>
              <w:rPr>
                <w:rFonts w:ascii="Times New Roman" w:hAnsi="Times New Roman" w:eastAsia="Times New Roman" w:cs="Times New Roman"/>
                <w:spacing w:val="-2"/>
                <w:sz w:val="22"/>
                <w:szCs w:val="22"/>
              </w:rPr>
              <w:t>00</w:t>
            </w:r>
          </w:p>
        </w:tc>
      </w:tr>
      <w:tr w14:paraId="743485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896" w:type="dxa"/>
            <w:tcBorders>
              <w:left w:val="nil"/>
            </w:tcBorders>
            <w:vAlign w:val="top"/>
          </w:tcPr>
          <w:p w14:paraId="27ACEBA4">
            <w:pPr>
              <w:spacing w:before="104" w:line="192" w:lineRule="auto"/>
              <w:ind w:left="408"/>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2183" w:type="dxa"/>
            <w:vAlign w:val="top"/>
          </w:tcPr>
          <w:p w14:paraId="0B578E1B">
            <w:pPr>
              <w:spacing w:before="27" w:line="281" w:lineRule="exact"/>
              <w:ind w:left="392"/>
              <w:rPr>
                <w:rFonts w:ascii="宋体" w:hAnsi="宋体" w:eastAsia="宋体" w:cs="宋体"/>
                <w:sz w:val="20"/>
                <w:szCs w:val="20"/>
              </w:rPr>
            </w:pPr>
            <w:r>
              <w:rPr>
                <w:rFonts w:ascii="宋体" w:hAnsi="宋体" w:eastAsia="宋体" w:cs="宋体"/>
                <w:spacing w:val="-2"/>
                <w:position w:val="2"/>
                <w:sz w:val="20"/>
                <w:szCs w:val="20"/>
              </w:rPr>
              <w:t>硫酸盐 (</w:t>
            </w:r>
            <w:r>
              <w:rPr>
                <w:rFonts w:ascii="Times New Roman" w:hAnsi="Times New Roman" w:eastAsia="Times New Roman" w:cs="Times New Roman"/>
                <w:spacing w:val="-2"/>
                <w:position w:val="2"/>
                <w:sz w:val="20"/>
                <w:szCs w:val="20"/>
              </w:rPr>
              <w:t>mg/</w:t>
            </w:r>
            <w:r>
              <w:rPr>
                <w:rFonts w:ascii="Times New Roman" w:hAnsi="Times New Roman" w:eastAsia="Times New Roman" w:cs="Times New Roman"/>
                <w:spacing w:val="-1"/>
                <w:position w:val="2"/>
                <w:sz w:val="20"/>
                <w:szCs w:val="20"/>
              </w:rPr>
              <w:t>L</w:t>
            </w:r>
            <w:r>
              <w:rPr>
                <w:rFonts w:ascii="宋体" w:hAnsi="宋体" w:eastAsia="宋体" w:cs="宋体"/>
                <w:spacing w:val="-2"/>
                <w:position w:val="2"/>
                <w:sz w:val="20"/>
                <w:szCs w:val="20"/>
              </w:rPr>
              <w:t>)</w:t>
            </w:r>
          </w:p>
        </w:tc>
        <w:tc>
          <w:tcPr>
            <w:tcW w:w="1400" w:type="dxa"/>
            <w:vAlign w:val="top"/>
          </w:tcPr>
          <w:p w14:paraId="42BE8F05">
            <w:pPr>
              <w:spacing w:before="97" w:line="189" w:lineRule="auto"/>
              <w:ind w:left="547"/>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250</w:t>
            </w:r>
          </w:p>
        </w:tc>
        <w:tc>
          <w:tcPr>
            <w:tcW w:w="2626" w:type="dxa"/>
            <w:vAlign w:val="top"/>
          </w:tcPr>
          <w:p w14:paraId="5480D635">
            <w:pPr>
              <w:spacing w:before="27" w:line="281" w:lineRule="exact"/>
              <w:ind w:left="373"/>
              <w:rPr>
                <w:rFonts w:ascii="宋体" w:hAnsi="宋体" w:eastAsia="宋体" w:cs="宋体"/>
                <w:sz w:val="20"/>
                <w:szCs w:val="20"/>
              </w:rPr>
            </w:pPr>
            <w:r>
              <w:rPr>
                <w:rFonts w:ascii="宋体" w:hAnsi="宋体" w:eastAsia="宋体" w:cs="宋体"/>
                <w:spacing w:val="-2"/>
                <w:position w:val="1"/>
                <w:sz w:val="20"/>
                <w:szCs w:val="20"/>
              </w:rPr>
              <w:t>细菌总数 (</w:t>
            </w:r>
            <w:r>
              <w:rPr>
                <w:rFonts w:ascii="Times New Roman" w:hAnsi="Times New Roman" w:eastAsia="Times New Roman" w:cs="Times New Roman"/>
                <w:spacing w:val="-2"/>
                <w:position w:val="1"/>
                <w:sz w:val="20"/>
                <w:szCs w:val="20"/>
              </w:rPr>
              <w:t>CFU/m</w:t>
            </w:r>
            <w:r>
              <w:rPr>
                <w:rFonts w:ascii="Times New Roman" w:hAnsi="Times New Roman" w:eastAsia="Times New Roman" w:cs="Times New Roman"/>
                <w:spacing w:val="-1"/>
                <w:position w:val="1"/>
                <w:sz w:val="20"/>
                <w:szCs w:val="20"/>
              </w:rPr>
              <w:t>L</w:t>
            </w:r>
            <w:r>
              <w:rPr>
                <w:rFonts w:ascii="宋体" w:hAnsi="宋体" w:eastAsia="宋体" w:cs="宋体"/>
                <w:spacing w:val="-2"/>
                <w:position w:val="1"/>
                <w:sz w:val="20"/>
                <w:szCs w:val="20"/>
              </w:rPr>
              <w:t>)</w:t>
            </w:r>
          </w:p>
        </w:tc>
        <w:tc>
          <w:tcPr>
            <w:tcW w:w="1426" w:type="dxa"/>
            <w:tcBorders>
              <w:right w:val="nil"/>
            </w:tcBorders>
            <w:vAlign w:val="top"/>
          </w:tcPr>
          <w:p w14:paraId="7B6A23AC">
            <w:pPr>
              <w:spacing w:before="97" w:line="189" w:lineRule="auto"/>
              <w:ind w:left="581"/>
              <w:rPr>
                <w:rFonts w:ascii="Times New Roman" w:hAnsi="Times New Roman" w:eastAsia="Times New Roman" w:cs="Times New Roman"/>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9"/>
                <w:sz w:val="22"/>
                <w:szCs w:val="22"/>
              </w:rPr>
              <w:t>00</w:t>
            </w:r>
          </w:p>
        </w:tc>
      </w:tr>
      <w:tr w14:paraId="44B915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896" w:type="dxa"/>
            <w:tcBorders>
              <w:left w:val="nil"/>
            </w:tcBorders>
            <w:vAlign w:val="top"/>
          </w:tcPr>
          <w:p w14:paraId="1E4C0739">
            <w:pPr>
              <w:spacing w:before="101" w:line="195" w:lineRule="auto"/>
              <w:ind w:left="407"/>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2183" w:type="dxa"/>
            <w:vAlign w:val="top"/>
          </w:tcPr>
          <w:p w14:paraId="3C1D71E5">
            <w:pPr>
              <w:spacing w:before="28" w:line="281" w:lineRule="exact"/>
              <w:ind w:left="297"/>
              <w:rPr>
                <w:rFonts w:ascii="宋体" w:hAnsi="宋体" w:eastAsia="宋体" w:cs="宋体"/>
                <w:sz w:val="20"/>
                <w:szCs w:val="20"/>
              </w:rPr>
            </w:pPr>
            <w:r>
              <w:rPr>
                <w:rFonts w:ascii="宋体" w:hAnsi="宋体" w:eastAsia="宋体" w:cs="宋体"/>
                <w:spacing w:val="-3"/>
                <w:position w:val="2"/>
                <w:sz w:val="20"/>
                <w:szCs w:val="20"/>
              </w:rPr>
              <w:t>硝</w:t>
            </w:r>
            <w:r>
              <w:rPr>
                <w:rFonts w:ascii="宋体" w:hAnsi="宋体" w:eastAsia="宋体" w:cs="宋体"/>
                <w:spacing w:val="-2"/>
                <w:position w:val="2"/>
                <w:sz w:val="20"/>
                <w:szCs w:val="20"/>
              </w:rPr>
              <w:t>酸盐氮 (</w:t>
            </w:r>
            <w:r>
              <w:rPr>
                <w:rFonts w:ascii="Times New Roman" w:hAnsi="Times New Roman" w:eastAsia="Times New Roman" w:cs="Times New Roman"/>
                <w:spacing w:val="-2"/>
                <w:position w:val="2"/>
                <w:sz w:val="20"/>
                <w:szCs w:val="20"/>
              </w:rPr>
              <w:t>mg/L</w:t>
            </w:r>
            <w:r>
              <w:rPr>
                <w:rFonts w:ascii="宋体" w:hAnsi="宋体" w:eastAsia="宋体" w:cs="宋体"/>
                <w:spacing w:val="-2"/>
                <w:position w:val="2"/>
                <w:sz w:val="20"/>
                <w:szCs w:val="20"/>
              </w:rPr>
              <w:t>)</w:t>
            </w:r>
          </w:p>
        </w:tc>
        <w:tc>
          <w:tcPr>
            <w:tcW w:w="1400" w:type="dxa"/>
            <w:vAlign w:val="top"/>
          </w:tcPr>
          <w:p w14:paraId="04CE6FB5">
            <w:pPr>
              <w:spacing w:before="99" w:line="189" w:lineRule="auto"/>
              <w:ind w:left="523"/>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2</w:t>
            </w:r>
            <w:r>
              <w:rPr>
                <w:rFonts w:ascii="Times New Roman" w:hAnsi="Times New Roman" w:eastAsia="Times New Roman" w:cs="Times New Roman"/>
                <w:spacing w:val="-3"/>
                <w:sz w:val="22"/>
                <w:szCs w:val="22"/>
              </w:rPr>
              <w:t>0.0</w:t>
            </w:r>
          </w:p>
        </w:tc>
        <w:tc>
          <w:tcPr>
            <w:tcW w:w="2626" w:type="dxa"/>
            <w:vAlign w:val="top"/>
          </w:tcPr>
          <w:p w14:paraId="32F4EBEC">
            <w:pPr>
              <w:spacing w:before="28" w:line="281" w:lineRule="exact"/>
              <w:ind w:left="123"/>
              <w:rPr>
                <w:rFonts w:ascii="宋体" w:hAnsi="宋体" w:eastAsia="宋体" w:cs="宋体"/>
                <w:sz w:val="20"/>
                <w:szCs w:val="20"/>
              </w:rPr>
            </w:pPr>
            <w:r>
              <w:rPr>
                <w:rFonts w:ascii="宋体" w:hAnsi="宋体" w:eastAsia="宋体" w:cs="宋体"/>
                <w:spacing w:val="-2"/>
                <w:position w:val="1"/>
                <w:sz w:val="20"/>
                <w:szCs w:val="20"/>
              </w:rPr>
              <w:t>总大肠菌群 (</w:t>
            </w:r>
            <w:r>
              <w:rPr>
                <w:rFonts w:ascii="Times New Roman" w:hAnsi="Times New Roman" w:eastAsia="Times New Roman" w:cs="Times New Roman"/>
                <w:spacing w:val="-2"/>
                <w:position w:val="1"/>
                <w:sz w:val="20"/>
                <w:szCs w:val="20"/>
              </w:rPr>
              <w:t>MPN/100mL</w:t>
            </w:r>
            <w:r>
              <w:rPr>
                <w:rFonts w:ascii="宋体" w:hAnsi="宋体" w:eastAsia="宋体" w:cs="宋体"/>
                <w:spacing w:val="-2"/>
                <w:position w:val="1"/>
                <w:sz w:val="20"/>
                <w:szCs w:val="20"/>
              </w:rPr>
              <w:t>)</w:t>
            </w:r>
          </w:p>
        </w:tc>
        <w:tc>
          <w:tcPr>
            <w:tcW w:w="1426" w:type="dxa"/>
            <w:tcBorders>
              <w:right w:val="nil"/>
            </w:tcBorders>
            <w:vAlign w:val="top"/>
          </w:tcPr>
          <w:p w14:paraId="19244320">
            <w:pPr>
              <w:spacing w:before="99" w:line="189" w:lineRule="auto"/>
              <w:ind w:left="593"/>
              <w:rPr>
                <w:rFonts w:ascii="Times New Roman" w:hAnsi="Times New Roman" w:eastAsia="Times New Roman" w:cs="Times New Roman"/>
                <w:sz w:val="22"/>
                <w:szCs w:val="22"/>
              </w:rPr>
            </w:pPr>
            <w:r>
              <w:rPr>
                <w:rFonts w:ascii="Times New Roman" w:hAnsi="Times New Roman" w:eastAsia="Times New Roman" w:cs="Times New Roman"/>
                <w:spacing w:val="-6"/>
                <w:sz w:val="22"/>
                <w:szCs w:val="22"/>
              </w:rPr>
              <w:t>3</w:t>
            </w:r>
            <w:r>
              <w:rPr>
                <w:rFonts w:ascii="Times New Roman" w:hAnsi="Times New Roman" w:eastAsia="Times New Roman" w:cs="Times New Roman"/>
                <w:spacing w:val="-4"/>
                <w:sz w:val="22"/>
                <w:szCs w:val="22"/>
              </w:rPr>
              <w:t>.0</w:t>
            </w:r>
          </w:p>
        </w:tc>
      </w:tr>
    </w:tbl>
    <w:p w14:paraId="2C8204A3">
      <w:pPr>
        <w:spacing w:line="270" w:lineRule="auto"/>
        <w:rPr>
          <w:rFonts w:ascii="Arial"/>
          <w:sz w:val="21"/>
        </w:rPr>
      </w:pPr>
    </w:p>
    <w:p w14:paraId="5CA4184B">
      <w:pPr>
        <w:spacing w:before="75" w:line="225" w:lineRule="auto"/>
        <w:ind w:left="571"/>
        <w:rPr>
          <w:rFonts w:ascii="宋体" w:hAnsi="宋体" w:eastAsia="宋体" w:cs="宋体"/>
          <w:sz w:val="23"/>
          <w:szCs w:val="23"/>
        </w:rPr>
      </w:pPr>
      <w:r>
        <w:rPr>
          <w:rFonts w:ascii="宋体" w:hAnsi="宋体" w:eastAsia="宋体" w:cs="宋体"/>
          <w:spacing w:val="-2"/>
          <w:sz w:val="23"/>
          <w:szCs w:val="23"/>
        </w:rPr>
        <w:t>③ 声环境质</w:t>
      </w:r>
      <w:r>
        <w:rPr>
          <w:rFonts w:ascii="宋体" w:hAnsi="宋体" w:eastAsia="宋体" w:cs="宋体"/>
          <w:spacing w:val="-1"/>
          <w:sz w:val="23"/>
          <w:szCs w:val="23"/>
        </w:rPr>
        <w:t>量标准</w:t>
      </w:r>
    </w:p>
    <w:p w14:paraId="665B9C31">
      <w:pPr>
        <w:spacing w:line="291" w:lineRule="auto"/>
        <w:rPr>
          <w:rFonts w:ascii="Arial"/>
          <w:sz w:val="21"/>
        </w:rPr>
      </w:pPr>
    </w:p>
    <w:p w14:paraId="286F73C4">
      <w:pPr>
        <w:spacing w:before="75" w:line="227" w:lineRule="auto"/>
        <w:ind w:left="577"/>
        <w:rPr>
          <w:rFonts w:ascii="宋体" w:hAnsi="宋体" w:eastAsia="宋体" w:cs="宋体"/>
          <w:sz w:val="23"/>
          <w:szCs w:val="23"/>
        </w:rPr>
      </w:pPr>
      <w:r>
        <w:rPr>
          <w:rFonts w:ascii="宋体" w:hAnsi="宋体" w:eastAsia="宋体" w:cs="宋体"/>
          <w:spacing w:val="-8"/>
          <w:sz w:val="23"/>
          <w:szCs w:val="23"/>
        </w:rPr>
        <w:t>该项目所在区域及</w:t>
      </w:r>
      <w:r>
        <w:rPr>
          <w:rFonts w:ascii="宋体" w:hAnsi="宋体" w:eastAsia="宋体" w:cs="宋体"/>
          <w:spacing w:val="-4"/>
          <w:sz w:val="23"/>
          <w:szCs w:val="23"/>
        </w:rPr>
        <w:t>敏感点声环境质量执行《声环境质量标准》  (</w:t>
      </w:r>
      <w:r>
        <w:rPr>
          <w:rFonts w:ascii="Times New Roman" w:hAnsi="Times New Roman" w:eastAsia="Times New Roman" w:cs="Times New Roman"/>
          <w:spacing w:val="-4"/>
          <w:sz w:val="23"/>
          <w:szCs w:val="23"/>
        </w:rPr>
        <w:t>GB3096-2008</w:t>
      </w:r>
      <w:r>
        <w:rPr>
          <w:rFonts w:ascii="宋体" w:hAnsi="宋体" w:eastAsia="宋体" w:cs="宋体"/>
          <w:spacing w:val="-4"/>
          <w:sz w:val="23"/>
          <w:szCs w:val="23"/>
        </w:rPr>
        <w:t>)</w:t>
      </w:r>
    </w:p>
    <w:p w14:paraId="4BE15B74">
      <w:pPr>
        <w:spacing w:before="198" w:line="227" w:lineRule="auto"/>
        <w:ind w:left="144"/>
        <w:rPr>
          <w:rFonts w:ascii="宋体" w:hAnsi="宋体" w:eastAsia="宋体" w:cs="宋体"/>
          <w:sz w:val="23"/>
          <w:szCs w:val="23"/>
        </w:rPr>
      </w:pPr>
      <w:r>
        <w:rPr>
          <w:rFonts w:ascii="宋体" w:hAnsi="宋体" w:eastAsia="宋体" w:cs="宋体"/>
          <w:spacing w:val="-10"/>
          <w:sz w:val="23"/>
          <w:szCs w:val="23"/>
        </w:rPr>
        <w:t xml:space="preserve">中的 </w:t>
      </w:r>
      <w:r>
        <w:rPr>
          <w:rFonts w:ascii="Times New Roman" w:hAnsi="Times New Roman" w:eastAsia="Times New Roman" w:cs="Times New Roman"/>
          <w:spacing w:val="-10"/>
          <w:sz w:val="23"/>
          <w:szCs w:val="23"/>
        </w:rPr>
        <w:t xml:space="preserve">3 </w:t>
      </w:r>
      <w:r>
        <w:rPr>
          <w:rFonts w:ascii="宋体" w:hAnsi="宋体" w:eastAsia="宋体" w:cs="宋体"/>
          <w:spacing w:val="-10"/>
          <w:sz w:val="23"/>
          <w:szCs w:val="23"/>
        </w:rPr>
        <w:t xml:space="preserve">类区标准，具体见表 </w:t>
      </w:r>
      <w:r>
        <w:rPr>
          <w:rFonts w:ascii="Times New Roman" w:hAnsi="Times New Roman" w:eastAsia="Times New Roman" w:cs="Times New Roman"/>
          <w:spacing w:val="-10"/>
          <w:sz w:val="23"/>
          <w:szCs w:val="23"/>
        </w:rPr>
        <w:t>2-5</w:t>
      </w:r>
      <w:r>
        <w:rPr>
          <w:rFonts w:ascii="宋体" w:hAnsi="宋体" w:eastAsia="宋体" w:cs="宋体"/>
          <w:spacing w:val="-8"/>
          <w:sz w:val="23"/>
          <w:szCs w:val="23"/>
        </w:rPr>
        <w:t>：</w:t>
      </w:r>
    </w:p>
    <w:p w14:paraId="6CE71DCD">
      <w:pPr>
        <w:spacing w:before="315" w:line="332" w:lineRule="exact"/>
        <w:ind w:left="2077"/>
        <w:rPr>
          <w:rFonts w:ascii="宋体" w:hAnsi="宋体" w:eastAsia="宋体" w:cs="宋体"/>
          <w:sz w:val="23"/>
          <w:szCs w:val="23"/>
        </w:rPr>
      </w:pPr>
      <w:r>
        <w:rPr>
          <w:rFonts w:ascii="宋体" w:hAnsi="宋体" w:eastAsia="宋体" w:cs="宋体"/>
          <w:spacing w:val="-2"/>
          <w:position w:val="3"/>
          <w:sz w:val="23"/>
          <w:szCs w:val="23"/>
          <w14:textOutline w14:w="4358" w14:cap="sq" w14:cmpd="sng">
            <w14:solidFill>
              <w14:srgbClr w14:val="000000"/>
            </w14:solidFill>
            <w14:prstDash w14:val="solid"/>
            <w14:bevel/>
          </w14:textOutline>
        </w:rPr>
        <w:t>表</w:t>
      </w:r>
      <w:r>
        <w:rPr>
          <w:rFonts w:ascii="宋体" w:hAnsi="宋体" w:eastAsia="宋体" w:cs="宋体"/>
          <w:spacing w:val="-2"/>
          <w:position w:val="3"/>
          <w:sz w:val="23"/>
          <w:szCs w:val="23"/>
        </w:rPr>
        <w:t xml:space="preserve"> </w:t>
      </w:r>
      <w:r>
        <w:rPr>
          <w:rFonts w:ascii="Times New Roman" w:hAnsi="Times New Roman" w:eastAsia="Times New Roman" w:cs="Times New Roman"/>
          <w:b/>
          <w:bCs/>
          <w:spacing w:val="-2"/>
          <w:position w:val="3"/>
          <w:sz w:val="23"/>
          <w:szCs w:val="23"/>
        </w:rPr>
        <w:t>2-5</w:t>
      </w:r>
      <w:r>
        <w:rPr>
          <w:rFonts w:ascii="Times New Roman" w:hAnsi="Times New Roman" w:eastAsia="Times New Roman" w:cs="Times New Roman"/>
          <w:spacing w:val="-2"/>
          <w:position w:val="3"/>
          <w:sz w:val="23"/>
          <w:szCs w:val="23"/>
        </w:rPr>
        <w:t xml:space="preserve">       </w:t>
      </w:r>
      <w:r>
        <w:rPr>
          <w:rFonts w:ascii="宋体" w:hAnsi="宋体" w:eastAsia="宋体" w:cs="宋体"/>
          <w:spacing w:val="-2"/>
          <w:position w:val="3"/>
          <w:sz w:val="23"/>
          <w:szCs w:val="23"/>
          <w14:textOutline w14:w="4358" w14:cap="sq" w14:cmpd="sng">
            <w14:solidFill>
              <w14:srgbClr w14:val="000000"/>
            </w14:solidFill>
            <w14:prstDash w14:val="solid"/>
            <w14:bevel/>
          </w14:textOutline>
        </w:rPr>
        <w:t>声环境质量标</w:t>
      </w:r>
      <w:r>
        <w:rPr>
          <w:rFonts w:ascii="宋体" w:hAnsi="宋体" w:eastAsia="宋体" w:cs="宋体"/>
          <w:spacing w:val="-1"/>
          <w:position w:val="3"/>
          <w:sz w:val="23"/>
          <w:szCs w:val="23"/>
          <w14:textOutline w14:w="4358" w14:cap="sq" w14:cmpd="sng">
            <w14:solidFill>
              <w14:srgbClr w14:val="000000"/>
            </w14:solidFill>
            <w14:prstDash w14:val="solid"/>
            <w14:bevel/>
          </w14:textOutline>
        </w:rPr>
        <w:t>准</w:t>
      </w:r>
      <w:r>
        <w:rPr>
          <w:rFonts w:ascii="宋体" w:hAnsi="宋体" w:eastAsia="宋体" w:cs="宋体"/>
          <w:spacing w:val="-1"/>
          <w:position w:val="3"/>
          <w:sz w:val="23"/>
          <w:szCs w:val="23"/>
        </w:rPr>
        <w:t xml:space="preserve"> </w:t>
      </w:r>
      <w:r>
        <w:rPr>
          <w:rFonts w:ascii="宋体" w:hAnsi="宋体" w:eastAsia="宋体" w:cs="宋体"/>
          <w:spacing w:val="-1"/>
          <w:position w:val="3"/>
          <w:sz w:val="23"/>
          <w:szCs w:val="23"/>
          <w14:textOutline w14:w="4358" w14:cap="sq" w14:cmpd="sng">
            <w14:solidFill>
              <w14:srgbClr w14:val="000000"/>
            </w14:solidFill>
            <w14:prstDash w14:val="solid"/>
            <w14:bevel/>
          </w14:textOutline>
        </w:rPr>
        <w:t>(单位：</w:t>
      </w:r>
      <w:r>
        <w:rPr>
          <w:rFonts w:ascii="Times New Roman" w:hAnsi="Times New Roman" w:eastAsia="Times New Roman" w:cs="Times New Roman"/>
          <w:b/>
          <w:bCs/>
          <w:spacing w:val="-1"/>
          <w:position w:val="3"/>
          <w:sz w:val="23"/>
          <w:szCs w:val="23"/>
        </w:rPr>
        <w:t>dB(A)</w:t>
      </w:r>
      <w:r>
        <w:rPr>
          <w:rFonts w:ascii="宋体" w:hAnsi="宋体" w:eastAsia="宋体" w:cs="宋体"/>
          <w:spacing w:val="-1"/>
          <w:position w:val="3"/>
          <w:sz w:val="23"/>
          <w:szCs w:val="23"/>
          <w14:textOutline w14:w="4358" w14:cap="sq" w14:cmpd="sng">
            <w14:solidFill>
              <w14:srgbClr w14:val="000000"/>
            </w14:solidFill>
            <w14:prstDash w14:val="solid"/>
            <w14:bevel/>
          </w14:textOutline>
        </w:rPr>
        <w:t>)</w:t>
      </w:r>
    </w:p>
    <w:p w14:paraId="42152ECD">
      <w:pPr>
        <w:spacing w:line="17" w:lineRule="exact"/>
      </w:pPr>
    </w:p>
    <w:tbl>
      <w:tblPr>
        <w:tblStyle w:val="4"/>
        <w:tblW w:w="8522" w:type="dxa"/>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46"/>
        <w:gridCol w:w="2669"/>
        <w:gridCol w:w="3107"/>
      </w:tblGrid>
      <w:tr w14:paraId="154CBB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746" w:type="dxa"/>
            <w:tcBorders>
              <w:left w:val="nil"/>
              <w:right w:val="single" w:color="000000" w:sz="4" w:space="0"/>
            </w:tcBorders>
            <w:vAlign w:val="top"/>
          </w:tcPr>
          <w:p w14:paraId="4F069B7B">
            <w:pPr>
              <w:spacing w:before="86" w:line="228" w:lineRule="auto"/>
              <w:ind w:left="1184"/>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类别</w:t>
            </w:r>
          </w:p>
        </w:tc>
        <w:tc>
          <w:tcPr>
            <w:tcW w:w="2669" w:type="dxa"/>
            <w:tcBorders>
              <w:left w:val="single" w:color="000000" w:sz="4" w:space="0"/>
              <w:right w:val="single" w:color="000000" w:sz="4" w:space="0"/>
            </w:tcBorders>
            <w:vAlign w:val="top"/>
          </w:tcPr>
          <w:p w14:paraId="5ACDE52B">
            <w:pPr>
              <w:spacing w:before="86" w:line="231" w:lineRule="auto"/>
              <w:ind w:left="1139"/>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昼</w:t>
            </w:r>
            <w:r>
              <w:rPr>
                <w:rFonts w:ascii="宋体" w:hAnsi="宋体" w:eastAsia="宋体" w:cs="宋体"/>
                <w:sz w:val="20"/>
                <w:szCs w:val="20"/>
                <w14:textOutline w14:w="3795" w14:cap="sq" w14:cmpd="sng">
                  <w14:solidFill>
                    <w14:srgbClr w14:val="000000"/>
                  </w14:solidFill>
                  <w14:prstDash w14:val="solid"/>
                  <w14:bevel/>
                </w14:textOutline>
              </w:rPr>
              <w:t>间</w:t>
            </w:r>
          </w:p>
        </w:tc>
        <w:tc>
          <w:tcPr>
            <w:tcW w:w="3107" w:type="dxa"/>
            <w:tcBorders>
              <w:left w:val="single" w:color="000000" w:sz="4" w:space="0"/>
              <w:right w:val="nil"/>
            </w:tcBorders>
            <w:vAlign w:val="top"/>
          </w:tcPr>
          <w:p w14:paraId="05C27667">
            <w:pPr>
              <w:spacing w:before="86" w:line="228" w:lineRule="auto"/>
              <w:ind w:left="1361"/>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夜</w:t>
            </w:r>
            <w:r>
              <w:rPr>
                <w:rFonts w:ascii="宋体" w:hAnsi="宋体" w:eastAsia="宋体" w:cs="宋体"/>
                <w:spacing w:val="-1"/>
                <w:sz w:val="20"/>
                <w:szCs w:val="20"/>
                <w14:textOutline w14:w="3795" w14:cap="sq" w14:cmpd="sng">
                  <w14:solidFill>
                    <w14:srgbClr w14:val="000000"/>
                  </w14:solidFill>
                  <w14:prstDash w14:val="solid"/>
                  <w14:bevel/>
                </w14:textOutline>
              </w:rPr>
              <w:t>间</w:t>
            </w:r>
          </w:p>
        </w:tc>
      </w:tr>
      <w:tr w14:paraId="20ED0D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746" w:type="dxa"/>
            <w:tcBorders>
              <w:left w:val="nil"/>
              <w:right w:val="single" w:color="000000" w:sz="4" w:space="0"/>
            </w:tcBorders>
            <w:vAlign w:val="top"/>
          </w:tcPr>
          <w:p w14:paraId="0C1444E3">
            <w:pPr>
              <w:spacing w:before="67" w:line="228" w:lineRule="auto"/>
              <w:ind w:left="459"/>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6"/>
                <w:sz w:val="20"/>
                <w:szCs w:val="20"/>
              </w:rPr>
              <w:t>3</w:t>
            </w:r>
            <w:r>
              <w:rPr>
                <w:rFonts w:ascii="Times New Roman" w:hAnsi="Times New Roman" w:eastAsia="Times New Roman" w:cs="Times New Roman"/>
                <w:spacing w:val="4"/>
                <w:sz w:val="20"/>
                <w:szCs w:val="20"/>
              </w:rPr>
              <w:t>096-2008</w:t>
            </w:r>
            <w:r>
              <w:rPr>
                <w:rFonts w:ascii="宋体" w:hAnsi="宋体" w:eastAsia="宋体" w:cs="宋体"/>
                <w:spacing w:val="4"/>
                <w:sz w:val="20"/>
                <w:szCs w:val="20"/>
              </w:rPr>
              <w:t xml:space="preserve">) </w:t>
            </w:r>
            <w:r>
              <w:rPr>
                <w:rFonts w:ascii="Times New Roman" w:hAnsi="Times New Roman" w:eastAsia="Times New Roman" w:cs="Times New Roman"/>
                <w:spacing w:val="4"/>
                <w:sz w:val="20"/>
                <w:szCs w:val="20"/>
              </w:rPr>
              <w:t xml:space="preserve">3 </w:t>
            </w:r>
            <w:r>
              <w:rPr>
                <w:rFonts w:ascii="宋体" w:hAnsi="宋体" w:eastAsia="宋体" w:cs="宋体"/>
                <w:spacing w:val="4"/>
                <w:sz w:val="20"/>
                <w:szCs w:val="20"/>
              </w:rPr>
              <w:t>类</w:t>
            </w:r>
          </w:p>
        </w:tc>
        <w:tc>
          <w:tcPr>
            <w:tcW w:w="2669" w:type="dxa"/>
            <w:tcBorders>
              <w:left w:val="single" w:color="000000" w:sz="4" w:space="0"/>
              <w:right w:val="single" w:color="000000" w:sz="4" w:space="0"/>
            </w:tcBorders>
            <w:vAlign w:val="top"/>
          </w:tcPr>
          <w:p w14:paraId="4CD68FF3">
            <w:pPr>
              <w:spacing w:before="103" w:line="195" w:lineRule="auto"/>
              <w:ind w:left="123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65</w:t>
            </w:r>
          </w:p>
        </w:tc>
        <w:tc>
          <w:tcPr>
            <w:tcW w:w="3107" w:type="dxa"/>
            <w:tcBorders>
              <w:left w:val="single" w:color="000000" w:sz="4" w:space="0"/>
              <w:right w:val="nil"/>
            </w:tcBorders>
            <w:vAlign w:val="top"/>
          </w:tcPr>
          <w:p w14:paraId="7AB04E9A">
            <w:pPr>
              <w:spacing w:before="106" w:line="192" w:lineRule="auto"/>
              <w:ind w:left="14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5</w:t>
            </w:r>
            <w:r>
              <w:rPr>
                <w:rFonts w:ascii="Times New Roman" w:hAnsi="Times New Roman" w:eastAsia="Times New Roman" w:cs="Times New Roman"/>
                <w:spacing w:val="-2"/>
                <w:sz w:val="20"/>
                <w:szCs w:val="20"/>
              </w:rPr>
              <w:t>5</w:t>
            </w:r>
          </w:p>
        </w:tc>
      </w:tr>
    </w:tbl>
    <w:p w14:paraId="00A7DC6B">
      <w:pPr>
        <w:rPr>
          <w:rFonts w:ascii="Arial"/>
          <w:sz w:val="21"/>
        </w:rPr>
      </w:pPr>
    </w:p>
    <w:p w14:paraId="26A5960F">
      <w:pPr>
        <w:sectPr>
          <w:headerReference r:id="rId58" w:type="default"/>
          <w:footerReference r:id="rId59" w:type="default"/>
          <w:pgSz w:w="11906" w:h="16839"/>
          <w:pgMar w:top="1132" w:right="1687" w:bottom="1156" w:left="1687" w:header="878" w:footer="996" w:gutter="0"/>
          <w:cols w:space="720" w:num="1"/>
        </w:sectPr>
      </w:pPr>
    </w:p>
    <w:p w14:paraId="160855EA">
      <w:pPr>
        <w:spacing w:line="409" w:lineRule="auto"/>
        <w:rPr>
          <w:rFonts w:ascii="Arial"/>
          <w:sz w:val="21"/>
        </w:rPr>
      </w:pPr>
      <w:r>
        <w:pict>
          <v:shape id="_x0000_s1089" o:spid="_x0000_s1089" style="position:absolute;left:0pt;margin-left:90pt;margin-top:57.35pt;height:0.75pt;width:415.3pt;mso-position-horizontal-relative:page;mso-position-vertical-relative:page;z-index:251726848;mso-width-relative:page;mso-height-relative:page;" fillcolor="#000000" filled="t" stroked="f" coordsize="8305,15" o:allowincell="f" path="m0,0l8305,0,8305,14,0,14,0,0xe">
            <v:path/>
            <v:fill on="t" focussize="0,0"/>
            <v:stroke on="f"/>
            <v:imagedata o:title=""/>
            <o:lock v:ext="edit"/>
          </v:shape>
        </w:pict>
      </w:r>
    </w:p>
    <w:p w14:paraId="444BD5FB">
      <w:pPr>
        <w:spacing w:before="74" w:line="225" w:lineRule="auto"/>
        <w:ind w:left="566"/>
        <w:rPr>
          <w:rFonts w:ascii="宋体" w:hAnsi="宋体" w:eastAsia="宋体" w:cs="宋体"/>
          <w:sz w:val="23"/>
          <w:szCs w:val="23"/>
        </w:rPr>
      </w:pPr>
      <w:r>
        <w:rPr>
          <w:rFonts w:ascii="宋体" w:hAnsi="宋体" w:eastAsia="宋体" w:cs="宋体"/>
          <w:spacing w:val="-2"/>
          <w:sz w:val="23"/>
          <w:szCs w:val="23"/>
        </w:rPr>
        <w:t>④ 土壤</w:t>
      </w:r>
      <w:r>
        <w:rPr>
          <w:rFonts w:ascii="宋体" w:hAnsi="宋体" w:eastAsia="宋体" w:cs="宋体"/>
          <w:spacing w:val="-1"/>
          <w:sz w:val="23"/>
          <w:szCs w:val="23"/>
        </w:rPr>
        <w:t>环境质量标准</w:t>
      </w:r>
    </w:p>
    <w:p w14:paraId="2ED03557">
      <w:pPr>
        <w:spacing w:line="291" w:lineRule="auto"/>
        <w:rPr>
          <w:rFonts w:ascii="Arial"/>
          <w:sz w:val="21"/>
        </w:rPr>
      </w:pPr>
    </w:p>
    <w:p w14:paraId="0CFAFBA8">
      <w:pPr>
        <w:spacing w:before="74" w:line="381" w:lineRule="auto"/>
        <w:ind w:left="119" w:right="110" w:firstLine="453"/>
        <w:rPr>
          <w:rFonts w:ascii="宋体" w:hAnsi="宋体" w:eastAsia="宋体" w:cs="宋体"/>
          <w:sz w:val="23"/>
          <w:szCs w:val="23"/>
        </w:rPr>
      </w:pPr>
      <w:r>
        <w:rPr>
          <w:rFonts w:ascii="宋体" w:hAnsi="宋体" w:eastAsia="宋体" w:cs="宋体"/>
          <w:spacing w:val="-4"/>
          <w:sz w:val="23"/>
          <w:szCs w:val="23"/>
        </w:rPr>
        <w:t>项目所在区域土壤环境质量执</w:t>
      </w:r>
      <w:r>
        <w:rPr>
          <w:rFonts w:ascii="宋体" w:hAnsi="宋体" w:eastAsia="宋体" w:cs="宋体"/>
          <w:spacing w:val="-2"/>
          <w:sz w:val="23"/>
          <w:szCs w:val="23"/>
        </w:rPr>
        <w:t>行《土壤环境质量 建设用地土壤污染风险管控标</w:t>
      </w:r>
      <w:r>
        <w:rPr>
          <w:rFonts w:ascii="宋体" w:hAnsi="宋体" w:eastAsia="宋体" w:cs="宋体"/>
          <w:sz w:val="23"/>
          <w:szCs w:val="23"/>
        </w:rPr>
        <w:t xml:space="preserve"> </w:t>
      </w:r>
      <w:r>
        <w:rPr>
          <w:rFonts w:ascii="宋体" w:hAnsi="宋体" w:eastAsia="宋体" w:cs="宋体"/>
          <w:spacing w:val="-12"/>
          <w:sz w:val="23"/>
          <w:szCs w:val="23"/>
        </w:rPr>
        <w:t>准 (试行</w:t>
      </w:r>
      <w:r>
        <w:rPr>
          <w:rFonts w:ascii="宋体" w:hAnsi="宋体" w:eastAsia="宋体" w:cs="宋体"/>
          <w:spacing w:val="-8"/>
          <w:sz w:val="23"/>
          <w:szCs w:val="23"/>
        </w:rPr>
        <w:t>)</w:t>
      </w:r>
      <w:r>
        <w:rPr>
          <w:rFonts w:ascii="宋体" w:hAnsi="宋体" w:eastAsia="宋体" w:cs="宋体"/>
          <w:spacing w:val="-6"/>
          <w:sz w:val="23"/>
          <w:szCs w:val="23"/>
        </w:rPr>
        <w:t xml:space="preserve"> 》  (单位：</w:t>
      </w:r>
      <w:r>
        <w:rPr>
          <w:rFonts w:ascii="Times New Roman" w:hAnsi="Times New Roman" w:eastAsia="Times New Roman" w:cs="Times New Roman"/>
          <w:spacing w:val="-6"/>
          <w:sz w:val="23"/>
          <w:szCs w:val="23"/>
        </w:rPr>
        <w:t>mg/kg</w:t>
      </w:r>
      <w:r>
        <w:rPr>
          <w:rFonts w:ascii="宋体" w:hAnsi="宋体" w:eastAsia="宋体" w:cs="宋体"/>
          <w:spacing w:val="-6"/>
          <w:sz w:val="23"/>
          <w:szCs w:val="23"/>
        </w:rPr>
        <w:t xml:space="preserve">) 中筛选值第二类标准，具体见表 </w:t>
      </w:r>
      <w:r>
        <w:rPr>
          <w:rFonts w:ascii="Times New Roman" w:hAnsi="Times New Roman" w:eastAsia="Times New Roman" w:cs="Times New Roman"/>
          <w:spacing w:val="-6"/>
          <w:sz w:val="23"/>
          <w:szCs w:val="23"/>
        </w:rPr>
        <w:t>2-6</w:t>
      </w:r>
      <w:r>
        <w:rPr>
          <w:rFonts w:ascii="宋体" w:hAnsi="宋体" w:eastAsia="宋体" w:cs="宋体"/>
          <w:spacing w:val="-6"/>
          <w:sz w:val="23"/>
          <w:szCs w:val="23"/>
        </w:rPr>
        <w:t>：</w:t>
      </w:r>
    </w:p>
    <w:p w14:paraId="2469ABBD">
      <w:pPr>
        <w:spacing w:before="128" w:line="332" w:lineRule="exact"/>
        <w:ind w:left="116"/>
        <w:rPr>
          <w:rFonts w:ascii="宋体" w:hAnsi="宋体" w:eastAsia="宋体" w:cs="宋体"/>
          <w:sz w:val="23"/>
          <w:szCs w:val="23"/>
        </w:rPr>
      </w:pPr>
      <w:r>
        <w:rPr>
          <w:rFonts w:ascii="宋体" w:hAnsi="宋体" w:eastAsia="宋体" w:cs="宋体"/>
          <w:spacing w:val="-10"/>
          <w:position w:val="3"/>
          <w:sz w:val="23"/>
          <w:szCs w:val="23"/>
          <w14:textOutline w14:w="4358" w14:cap="sq" w14:cmpd="sng">
            <w14:solidFill>
              <w14:srgbClr w14:val="000000"/>
            </w14:solidFill>
            <w14:prstDash w14:val="solid"/>
            <w14:bevel/>
          </w14:textOutline>
        </w:rPr>
        <w:t>表</w:t>
      </w:r>
      <w:r>
        <w:rPr>
          <w:rFonts w:ascii="宋体" w:hAnsi="宋体" w:eastAsia="宋体" w:cs="宋体"/>
          <w:spacing w:val="-10"/>
          <w:position w:val="3"/>
          <w:sz w:val="23"/>
          <w:szCs w:val="23"/>
        </w:rPr>
        <w:t xml:space="preserve"> </w:t>
      </w:r>
      <w:r>
        <w:rPr>
          <w:rFonts w:ascii="Times New Roman" w:hAnsi="Times New Roman" w:eastAsia="Times New Roman" w:cs="Times New Roman"/>
          <w:b/>
          <w:bCs/>
          <w:spacing w:val="-10"/>
          <w:position w:val="3"/>
          <w:sz w:val="23"/>
          <w:szCs w:val="23"/>
        </w:rPr>
        <w:t>2-6</w:t>
      </w:r>
      <w:r>
        <w:rPr>
          <w:rFonts w:ascii="宋体" w:hAnsi="宋体" w:eastAsia="宋体" w:cs="宋体"/>
          <w:spacing w:val="-8"/>
          <w:position w:val="3"/>
          <w:sz w:val="23"/>
          <w:szCs w:val="23"/>
          <w14:textOutline w14:w="4358" w14:cap="sq" w14:cmpd="sng">
            <w14:solidFill>
              <w14:srgbClr w14:val="000000"/>
            </w14:solidFill>
            <w14:prstDash w14:val="solid"/>
            <w14:bevel/>
          </w14:textOutline>
        </w:rPr>
        <w:t>《</w:t>
      </w:r>
      <w:r>
        <w:rPr>
          <w:rFonts w:ascii="宋体" w:hAnsi="宋体" w:eastAsia="宋体" w:cs="宋体"/>
          <w:spacing w:val="-5"/>
          <w:position w:val="3"/>
          <w:sz w:val="23"/>
          <w:szCs w:val="23"/>
          <w14:textOutline w14:w="4358" w14:cap="sq" w14:cmpd="sng">
            <w14:solidFill>
              <w14:srgbClr w14:val="000000"/>
            </w14:solidFill>
            <w14:prstDash w14:val="solid"/>
            <w14:bevel/>
          </w14:textOutline>
        </w:rPr>
        <w:t>土壤环境质量</w:t>
      </w:r>
      <w:r>
        <w:rPr>
          <w:rFonts w:ascii="宋体" w:hAnsi="宋体" w:eastAsia="宋体" w:cs="宋体"/>
          <w:spacing w:val="-5"/>
          <w:position w:val="3"/>
          <w:sz w:val="23"/>
          <w:szCs w:val="23"/>
        </w:rPr>
        <w:t xml:space="preserve"> </w:t>
      </w:r>
      <w:r>
        <w:rPr>
          <w:rFonts w:ascii="宋体" w:hAnsi="宋体" w:eastAsia="宋体" w:cs="宋体"/>
          <w:spacing w:val="-5"/>
          <w:position w:val="3"/>
          <w:sz w:val="23"/>
          <w:szCs w:val="23"/>
          <w14:textOutline w14:w="4358" w14:cap="sq" w14:cmpd="sng">
            <w14:solidFill>
              <w14:srgbClr w14:val="000000"/>
            </w14:solidFill>
            <w14:prstDash w14:val="solid"/>
            <w14:bevel/>
          </w14:textOutline>
        </w:rPr>
        <w:t>建设用地土壤污染风险管控标准</w:t>
      </w:r>
      <w:r>
        <w:rPr>
          <w:rFonts w:ascii="宋体" w:hAnsi="宋体" w:eastAsia="宋体" w:cs="宋体"/>
          <w:spacing w:val="-5"/>
          <w:position w:val="3"/>
          <w:sz w:val="23"/>
          <w:szCs w:val="23"/>
        </w:rPr>
        <w:t xml:space="preserve"> </w:t>
      </w:r>
      <w:r>
        <w:rPr>
          <w:rFonts w:ascii="宋体" w:hAnsi="宋体" w:eastAsia="宋体" w:cs="宋体"/>
          <w:spacing w:val="-5"/>
          <w:position w:val="3"/>
          <w:sz w:val="23"/>
          <w:szCs w:val="23"/>
          <w14:textOutline w14:w="4358" w14:cap="sq" w14:cmpd="sng">
            <w14:solidFill>
              <w14:srgbClr w14:val="000000"/>
            </w14:solidFill>
            <w14:prstDash w14:val="solid"/>
            <w14:bevel/>
          </w14:textOutline>
        </w:rPr>
        <w:t>(试行)</w:t>
      </w:r>
      <w:r>
        <w:rPr>
          <w:rFonts w:ascii="宋体" w:hAnsi="宋体" w:eastAsia="宋体" w:cs="宋体"/>
          <w:spacing w:val="-5"/>
          <w:position w:val="3"/>
          <w:sz w:val="23"/>
          <w:szCs w:val="23"/>
        </w:rPr>
        <w:t xml:space="preserve"> </w:t>
      </w:r>
      <w:r>
        <w:rPr>
          <w:rFonts w:ascii="宋体" w:hAnsi="宋体" w:eastAsia="宋体" w:cs="宋体"/>
          <w:spacing w:val="-5"/>
          <w:position w:val="3"/>
          <w:sz w:val="23"/>
          <w:szCs w:val="23"/>
          <w14:textOutline w14:w="4358" w14:cap="sq" w14:cmpd="sng">
            <w14:solidFill>
              <w14:srgbClr w14:val="000000"/>
            </w14:solidFill>
            <w14:prstDash w14:val="solid"/>
            <w14:bevel/>
          </w14:textOutline>
        </w:rPr>
        <w:t>》</w:t>
      </w:r>
      <w:r>
        <w:rPr>
          <w:rFonts w:ascii="宋体" w:hAnsi="宋体" w:eastAsia="宋体" w:cs="宋体"/>
          <w:spacing w:val="-5"/>
          <w:position w:val="3"/>
          <w:sz w:val="23"/>
          <w:szCs w:val="23"/>
        </w:rPr>
        <w:t xml:space="preserve">  </w:t>
      </w:r>
      <w:r>
        <w:rPr>
          <w:rFonts w:ascii="宋体" w:hAnsi="宋体" w:eastAsia="宋体" w:cs="宋体"/>
          <w:spacing w:val="-5"/>
          <w:position w:val="3"/>
          <w:sz w:val="23"/>
          <w:szCs w:val="23"/>
          <w14:textOutline w14:w="4358" w14:cap="sq" w14:cmpd="sng">
            <w14:solidFill>
              <w14:srgbClr w14:val="000000"/>
            </w14:solidFill>
            <w14:prstDash w14:val="solid"/>
            <w14:bevel/>
          </w14:textOutline>
        </w:rPr>
        <w:t>(单位：</w:t>
      </w:r>
      <w:r>
        <w:rPr>
          <w:rFonts w:ascii="Times New Roman" w:hAnsi="Times New Roman" w:eastAsia="Times New Roman" w:cs="Times New Roman"/>
          <w:b/>
          <w:bCs/>
          <w:spacing w:val="-5"/>
          <w:position w:val="3"/>
          <w:sz w:val="23"/>
          <w:szCs w:val="23"/>
        </w:rPr>
        <w:t>mg/kg</w:t>
      </w:r>
      <w:r>
        <w:rPr>
          <w:rFonts w:ascii="宋体" w:hAnsi="宋体" w:eastAsia="宋体" w:cs="宋体"/>
          <w:spacing w:val="-5"/>
          <w:position w:val="3"/>
          <w:sz w:val="23"/>
          <w:szCs w:val="23"/>
          <w14:textOutline w14:w="4358" w14:cap="sq" w14:cmpd="sng">
            <w14:solidFill>
              <w14:srgbClr w14:val="000000"/>
            </w14:solidFill>
            <w14:prstDash w14:val="solid"/>
            <w14:bevel/>
          </w14:textOutline>
        </w:rPr>
        <w:t>)</w:t>
      </w:r>
    </w:p>
    <w:p w14:paraId="3C43C2E1">
      <w:pPr>
        <w:spacing w:line="17"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0"/>
        <w:gridCol w:w="2130"/>
        <w:gridCol w:w="2130"/>
        <w:gridCol w:w="2132"/>
      </w:tblGrid>
      <w:tr w14:paraId="2418B7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2130" w:type="dxa"/>
            <w:tcBorders>
              <w:left w:val="nil"/>
              <w:right w:val="single" w:color="000000" w:sz="4" w:space="0"/>
            </w:tcBorders>
            <w:vAlign w:val="top"/>
          </w:tcPr>
          <w:p w14:paraId="492ED186">
            <w:pPr>
              <w:spacing w:before="87" w:line="228" w:lineRule="auto"/>
              <w:ind w:left="581"/>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污染物项</w:t>
            </w:r>
            <w:r>
              <w:rPr>
                <w:rFonts w:ascii="宋体" w:hAnsi="宋体" w:eastAsia="宋体" w:cs="宋体"/>
                <w:spacing w:val="-1"/>
                <w:sz w:val="20"/>
                <w:szCs w:val="20"/>
                <w14:textOutline w14:w="3795" w14:cap="sq" w14:cmpd="sng">
                  <w14:solidFill>
                    <w14:srgbClr w14:val="000000"/>
                  </w14:solidFill>
                  <w14:prstDash w14:val="solid"/>
                  <w14:bevel/>
                </w14:textOutline>
              </w:rPr>
              <w:t>目</w:t>
            </w:r>
          </w:p>
        </w:tc>
        <w:tc>
          <w:tcPr>
            <w:tcW w:w="2130" w:type="dxa"/>
            <w:tcBorders>
              <w:left w:val="single" w:color="000000" w:sz="4" w:space="0"/>
              <w:right w:val="single" w:color="000000" w:sz="4" w:space="0"/>
            </w:tcBorders>
            <w:vAlign w:val="top"/>
          </w:tcPr>
          <w:p w14:paraId="62FCD74C">
            <w:pPr>
              <w:spacing w:before="86" w:line="228" w:lineRule="auto"/>
              <w:ind w:left="116"/>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筛选值</w:t>
            </w:r>
            <w:r>
              <w:rPr>
                <w:rFonts w:ascii="宋体" w:hAnsi="宋体" w:eastAsia="宋体" w:cs="宋体"/>
                <w:spacing w:val="-2"/>
                <w:sz w:val="20"/>
                <w:szCs w:val="20"/>
              </w:rPr>
              <w:t xml:space="preserve"> </w:t>
            </w:r>
            <w:r>
              <w:rPr>
                <w:rFonts w:ascii="宋体" w:hAnsi="宋体" w:eastAsia="宋体" w:cs="宋体"/>
                <w:spacing w:val="-2"/>
                <w:sz w:val="20"/>
                <w:szCs w:val="20"/>
                <w14:textOutline w14:w="3795" w14:cap="sq" w14:cmpd="sng">
                  <w14:solidFill>
                    <w14:srgbClr w14:val="000000"/>
                  </w14:solidFill>
                  <w14:prstDash w14:val="solid"/>
                  <w14:bevel/>
                </w14:textOutline>
              </w:rPr>
              <w:t>(第二类用</w:t>
            </w:r>
            <w:r>
              <w:rPr>
                <w:rFonts w:ascii="宋体" w:hAnsi="宋体" w:eastAsia="宋体" w:cs="宋体"/>
                <w:spacing w:val="-1"/>
                <w:sz w:val="20"/>
                <w:szCs w:val="20"/>
                <w14:textOutline w14:w="3795" w14:cap="sq" w14:cmpd="sng">
                  <w14:solidFill>
                    <w14:srgbClr w14:val="000000"/>
                  </w14:solidFill>
                  <w14:prstDash w14:val="solid"/>
                  <w14:bevel/>
                </w14:textOutline>
              </w:rPr>
              <w:t>地)</w:t>
            </w:r>
          </w:p>
        </w:tc>
        <w:tc>
          <w:tcPr>
            <w:tcW w:w="2130" w:type="dxa"/>
            <w:tcBorders>
              <w:left w:val="single" w:color="000000" w:sz="4" w:space="0"/>
              <w:right w:val="single" w:color="000000" w:sz="4" w:space="0"/>
            </w:tcBorders>
            <w:vAlign w:val="top"/>
          </w:tcPr>
          <w:p w14:paraId="6B50FFA9">
            <w:pPr>
              <w:spacing w:before="87" w:line="228" w:lineRule="auto"/>
              <w:ind w:left="576"/>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污染物项</w:t>
            </w:r>
            <w:r>
              <w:rPr>
                <w:rFonts w:ascii="宋体" w:hAnsi="宋体" w:eastAsia="宋体" w:cs="宋体"/>
                <w:spacing w:val="-1"/>
                <w:sz w:val="20"/>
                <w:szCs w:val="20"/>
                <w14:textOutline w14:w="3795" w14:cap="sq" w14:cmpd="sng">
                  <w14:solidFill>
                    <w14:srgbClr w14:val="000000"/>
                  </w14:solidFill>
                  <w14:prstDash w14:val="solid"/>
                  <w14:bevel/>
                </w14:textOutline>
              </w:rPr>
              <w:t>目</w:t>
            </w:r>
          </w:p>
        </w:tc>
        <w:tc>
          <w:tcPr>
            <w:tcW w:w="2132" w:type="dxa"/>
            <w:tcBorders>
              <w:left w:val="single" w:color="000000" w:sz="4" w:space="0"/>
              <w:right w:val="nil"/>
            </w:tcBorders>
            <w:vAlign w:val="top"/>
          </w:tcPr>
          <w:p w14:paraId="2530620B">
            <w:pPr>
              <w:spacing w:before="86" w:line="228" w:lineRule="auto"/>
              <w:ind w:left="116"/>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筛选值</w:t>
            </w:r>
            <w:r>
              <w:rPr>
                <w:rFonts w:ascii="宋体" w:hAnsi="宋体" w:eastAsia="宋体" w:cs="宋体"/>
                <w:spacing w:val="-2"/>
                <w:sz w:val="20"/>
                <w:szCs w:val="20"/>
              </w:rPr>
              <w:t xml:space="preserve"> </w:t>
            </w:r>
            <w:r>
              <w:rPr>
                <w:rFonts w:ascii="宋体" w:hAnsi="宋体" w:eastAsia="宋体" w:cs="宋体"/>
                <w:spacing w:val="-2"/>
                <w:sz w:val="20"/>
                <w:szCs w:val="20"/>
                <w14:textOutline w14:w="3795" w14:cap="sq" w14:cmpd="sng">
                  <w14:solidFill>
                    <w14:srgbClr w14:val="000000"/>
                  </w14:solidFill>
                  <w14:prstDash w14:val="solid"/>
                  <w14:bevel/>
                </w14:textOutline>
              </w:rPr>
              <w:t>(第二类用</w:t>
            </w:r>
            <w:r>
              <w:rPr>
                <w:rFonts w:ascii="宋体" w:hAnsi="宋体" w:eastAsia="宋体" w:cs="宋体"/>
                <w:spacing w:val="-1"/>
                <w:sz w:val="20"/>
                <w:szCs w:val="20"/>
                <w14:textOutline w14:w="3795" w14:cap="sq" w14:cmpd="sng">
                  <w14:solidFill>
                    <w14:srgbClr w14:val="000000"/>
                  </w14:solidFill>
                  <w14:prstDash w14:val="solid"/>
                  <w14:bevel/>
                </w14:textOutline>
              </w:rPr>
              <w:t>地)</w:t>
            </w:r>
          </w:p>
        </w:tc>
      </w:tr>
      <w:tr w14:paraId="00519F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2130" w:type="dxa"/>
            <w:tcBorders>
              <w:left w:val="nil"/>
              <w:right w:val="single" w:color="000000" w:sz="4" w:space="0"/>
            </w:tcBorders>
            <w:vAlign w:val="top"/>
          </w:tcPr>
          <w:p w14:paraId="68EC1F7D">
            <w:pPr>
              <w:spacing w:before="65" w:line="228" w:lineRule="auto"/>
              <w:ind w:left="974"/>
              <w:rPr>
                <w:rFonts w:ascii="宋体" w:hAnsi="宋体" w:eastAsia="宋体" w:cs="宋体"/>
                <w:sz w:val="20"/>
                <w:szCs w:val="20"/>
              </w:rPr>
            </w:pPr>
            <w:r>
              <w:rPr>
                <w:rFonts w:ascii="宋体" w:hAnsi="宋体" w:eastAsia="宋体" w:cs="宋体"/>
                <w:spacing w:val="1"/>
                <w:sz w:val="20"/>
                <w:szCs w:val="20"/>
              </w:rPr>
              <w:t>砷</w:t>
            </w:r>
          </w:p>
        </w:tc>
        <w:tc>
          <w:tcPr>
            <w:tcW w:w="2130" w:type="dxa"/>
            <w:tcBorders>
              <w:left w:val="single" w:color="000000" w:sz="4" w:space="0"/>
              <w:right w:val="single" w:color="000000" w:sz="4" w:space="0"/>
            </w:tcBorders>
            <w:vAlign w:val="top"/>
          </w:tcPr>
          <w:p w14:paraId="198E9836">
            <w:pPr>
              <w:spacing w:before="101" w:line="195" w:lineRule="auto"/>
              <w:ind w:left="96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60</w:t>
            </w:r>
          </w:p>
        </w:tc>
        <w:tc>
          <w:tcPr>
            <w:tcW w:w="2130" w:type="dxa"/>
            <w:tcBorders>
              <w:left w:val="single" w:color="000000" w:sz="4" w:space="0"/>
              <w:right w:val="single" w:color="000000" w:sz="4" w:space="0"/>
            </w:tcBorders>
            <w:vAlign w:val="top"/>
          </w:tcPr>
          <w:p w14:paraId="3FA40F03">
            <w:pPr>
              <w:spacing w:before="64" w:line="228" w:lineRule="auto"/>
              <w:ind w:left="675"/>
              <w:rPr>
                <w:rFonts w:ascii="宋体" w:hAnsi="宋体" w:eastAsia="宋体" w:cs="宋体"/>
                <w:sz w:val="20"/>
                <w:szCs w:val="20"/>
              </w:rPr>
            </w:pPr>
            <w:r>
              <w:rPr>
                <w:rFonts w:ascii="宋体" w:hAnsi="宋体" w:eastAsia="宋体" w:cs="宋体"/>
                <w:spacing w:val="-2"/>
                <w:sz w:val="20"/>
                <w:szCs w:val="20"/>
              </w:rPr>
              <w:t>三氯</w:t>
            </w:r>
            <w:r>
              <w:rPr>
                <w:rFonts w:ascii="宋体" w:hAnsi="宋体" w:eastAsia="宋体" w:cs="宋体"/>
                <w:spacing w:val="-1"/>
                <w:sz w:val="20"/>
                <w:szCs w:val="20"/>
              </w:rPr>
              <w:t>乙烯</w:t>
            </w:r>
          </w:p>
        </w:tc>
        <w:tc>
          <w:tcPr>
            <w:tcW w:w="2132" w:type="dxa"/>
            <w:tcBorders>
              <w:left w:val="single" w:color="000000" w:sz="4" w:space="0"/>
              <w:right w:val="nil"/>
            </w:tcBorders>
            <w:vAlign w:val="top"/>
          </w:tcPr>
          <w:p w14:paraId="10ECA8CC">
            <w:pPr>
              <w:spacing w:before="101" w:line="198" w:lineRule="auto"/>
              <w:ind w:left="94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.8</w:t>
            </w:r>
          </w:p>
        </w:tc>
      </w:tr>
      <w:tr w14:paraId="17818E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2130" w:type="dxa"/>
            <w:tcBorders>
              <w:left w:val="nil"/>
              <w:right w:val="single" w:color="000000" w:sz="4" w:space="0"/>
            </w:tcBorders>
            <w:vAlign w:val="top"/>
          </w:tcPr>
          <w:p w14:paraId="6851C3A6">
            <w:pPr>
              <w:spacing w:before="65" w:line="231" w:lineRule="auto"/>
              <w:ind w:left="973"/>
              <w:rPr>
                <w:rFonts w:ascii="宋体" w:hAnsi="宋体" w:eastAsia="宋体" w:cs="宋体"/>
                <w:sz w:val="20"/>
                <w:szCs w:val="20"/>
              </w:rPr>
            </w:pPr>
            <w:r>
              <w:rPr>
                <w:rFonts w:ascii="宋体" w:hAnsi="宋体" w:eastAsia="宋体" w:cs="宋体"/>
                <w:spacing w:val="2"/>
                <w:sz w:val="20"/>
                <w:szCs w:val="20"/>
              </w:rPr>
              <w:t>镉</w:t>
            </w:r>
          </w:p>
        </w:tc>
        <w:tc>
          <w:tcPr>
            <w:tcW w:w="2130" w:type="dxa"/>
            <w:tcBorders>
              <w:left w:val="single" w:color="000000" w:sz="4" w:space="0"/>
              <w:right w:val="single" w:color="000000" w:sz="4" w:space="0"/>
            </w:tcBorders>
            <w:vAlign w:val="top"/>
          </w:tcPr>
          <w:p w14:paraId="13870E6B">
            <w:pPr>
              <w:spacing w:before="102" w:line="195" w:lineRule="auto"/>
              <w:ind w:left="96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65</w:t>
            </w:r>
          </w:p>
        </w:tc>
        <w:tc>
          <w:tcPr>
            <w:tcW w:w="2130" w:type="dxa"/>
            <w:tcBorders>
              <w:left w:val="single" w:color="000000" w:sz="4" w:space="0"/>
              <w:right w:val="single" w:color="000000" w:sz="4" w:space="0"/>
            </w:tcBorders>
            <w:vAlign w:val="top"/>
          </w:tcPr>
          <w:p w14:paraId="5DD41F3E">
            <w:pPr>
              <w:spacing w:before="65" w:line="221" w:lineRule="auto"/>
              <w:ind w:left="468"/>
              <w:rPr>
                <w:rFonts w:ascii="宋体" w:hAnsi="宋体" w:eastAsia="宋体" w:cs="宋体"/>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,3-</w:t>
            </w:r>
            <w:r>
              <w:rPr>
                <w:rFonts w:ascii="宋体" w:hAnsi="宋体" w:eastAsia="宋体" w:cs="宋体"/>
                <w:spacing w:val="-3"/>
                <w:sz w:val="20"/>
                <w:szCs w:val="20"/>
              </w:rPr>
              <w:t>三氯丙烷</w:t>
            </w:r>
          </w:p>
        </w:tc>
        <w:tc>
          <w:tcPr>
            <w:tcW w:w="2132" w:type="dxa"/>
            <w:tcBorders>
              <w:left w:val="single" w:color="000000" w:sz="4" w:space="0"/>
              <w:right w:val="nil"/>
            </w:tcBorders>
            <w:vAlign w:val="top"/>
          </w:tcPr>
          <w:p w14:paraId="6F67459A">
            <w:pPr>
              <w:spacing w:before="102" w:line="195" w:lineRule="auto"/>
              <w:ind w:left="9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w:t>
            </w:r>
            <w:r>
              <w:rPr>
                <w:rFonts w:ascii="Times New Roman" w:hAnsi="Times New Roman" w:eastAsia="Times New Roman" w:cs="Times New Roman"/>
                <w:spacing w:val="-1"/>
                <w:sz w:val="20"/>
                <w:szCs w:val="20"/>
              </w:rPr>
              <w:t>5</w:t>
            </w:r>
          </w:p>
        </w:tc>
      </w:tr>
      <w:tr w14:paraId="52F5B5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2130" w:type="dxa"/>
            <w:tcBorders>
              <w:left w:val="nil"/>
              <w:right w:val="single" w:color="000000" w:sz="4" w:space="0"/>
            </w:tcBorders>
            <w:vAlign w:val="top"/>
          </w:tcPr>
          <w:p w14:paraId="10778134">
            <w:pPr>
              <w:spacing w:before="67" w:line="226" w:lineRule="auto"/>
              <w:ind w:left="583"/>
              <w:rPr>
                <w:rFonts w:ascii="宋体" w:hAnsi="宋体" w:eastAsia="宋体" w:cs="宋体"/>
                <w:sz w:val="20"/>
                <w:szCs w:val="20"/>
              </w:rPr>
            </w:pPr>
            <w:r>
              <w:rPr>
                <w:rFonts w:ascii="宋体" w:hAnsi="宋体" w:eastAsia="宋体" w:cs="宋体"/>
                <w:spacing w:val="-2"/>
                <w:sz w:val="20"/>
                <w:szCs w:val="20"/>
              </w:rPr>
              <w:t xml:space="preserve">铬 </w:t>
            </w:r>
            <w:r>
              <w:rPr>
                <w:rFonts w:ascii="宋体" w:hAnsi="宋体" w:eastAsia="宋体" w:cs="宋体"/>
                <w:spacing w:val="-1"/>
                <w:sz w:val="20"/>
                <w:szCs w:val="20"/>
              </w:rPr>
              <w:t>(六价)</w:t>
            </w:r>
          </w:p>
        </w:tc>
        <w:tc>
          <w:tcPr>
            <w:tcW w:w="2130" w:type="dxa"/>
            <w:tcBorders>
              <w:left w:val="single" w:color="000000" w:sz="4" w:space="0"/>
              <w:right w:val="single" w:color="000000" w:sz="4" w:space="0"/>
            </w:tcBorders>
            <w:vAlign w:val="top"/>
          </w:tcPr>
          <w:p w14:paraId="28B5316B">
            <w:pPr>
              <w:spacing w:before="106" w:line="192" w:lineRule="auto"/>
              <w:ind w:left="94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5</w:t>
            </w:r>
            <w:r>
              <w:rPr>
                <w:rFonts w:ascii="Times New Roman" w:hAnsi="Times New Roman" w:eastAsia="Times New Roman" w:cs="Times New Roman"/>
                <w:spacing w:val="-2"/>
                <w:sz w:val="20"/>
                <w:szCs w:val="20"/>
              </w:rPr>
              <w:t>.7</w:t>
            </w:r>
          </w:p>
        </w:tc>
        <w:tc>
          <w:tcPr>
            <w:tcW w:w="2130" w:type="dxa"/>
            <w:tcBorders>
              <w:left w:val="single" w:color="000000" w:sz="4" w:space="0"/>
              <w:right w:val="single" w:color="000000" w:sz="4" w:space="0"/>
            </w:tcBorders>
            <w:vAlign w:val="top"/>
          </w:tcPr>
          <w:p w14:paraId="41413718">
            <w:pPr>
              <w:spacing w:before="66" w:line="228" w:lineRule="auto"/>
              <w:ind w:left="776"/>
              <w:rPr>
                <w:rFonts w:ascii="宋体" w:hAnsi="宋体" w:eastAsia="宋体" w:cs="宋体"/>
                <w:sz w:val="20"/>
                <w:szCs w:val="20"/>
              </w:rPr>
            </w:pPr>
            <w:r>
              <w:rPr>
                <w:rFonts w:ascii="宋体" w:hAnsi="宋体" w:eastAsia="宋体" w:cs="宋体"/>
                <w:spacing w:val="-2"/>
                <w:sz w:val="20"/>
                <w:szCs w:val="20"/>
              </w:rPr>
              <w:t>氯乙烯</w:t>
            </w:r>
          </w:p>
        </w:tc>
        <w:tc>
          <w:tcPr>
            <w:tcW w:w="2132" w:type="dxa"/>
            <w:tcBorders>
              <w:left w:val="single" w:color="000000" w:sz="4" w:space="0"/>
              <w:right w:val="nil"/>
            </w:tcBorders>
            <w:vAlign w:val="top"/>
          </w:tcPr>
          <w:p w14:paraId="616A8002">
            <w:pPr>
              <w:spacing w:before="103" w:line="195" w:lineRule="auto"/>
              <w:ind w:left="8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w:t>
            </w:r>
            <w:r>
              <w:rPr>
                <w:rFonts w:ascii="Times New Roman" w:hAnsi="Times New Roman" w:eastAsia="Times New Roman" w:cs="Times New Roman"/>
                <w:spacing w:val="-1"/>
                <w:sz w:val="20"/>
                <w:szCs w:val="20"/>
              </w:rPr>
              <w:t>3</w:t>
            </w:r>
          </w:p>
        </w:tc>
      </w:tr>
      <w:tr w14:paraId="291B98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2130" w:type="dxa"/>
            <w:tcBorders>
              <w:left w:val="nil"/>
              <w:right w:val="single" w:color="000000" w:sz="4" w:space="0"/>
            </w:tcBorders>
            <w:vAlign w:val="top"/>
          </w:tcPr>
          <w:p w14:paraId="3ADD11EB">
            <w:pPr>
              <w:spacing w:before="67" w:line="229" w:lineRule="auto"/>
              <w:ind w:left="975"/>
              <w:rPr>
                <w:rFonts w:ascii="宋体" w:hAnsi="宋体" w:eastAsia="宋体" w:cs="宋体"/>
                <w:sz w:val="20"/>
                <w:szCs w:val="20"/>
              </w:rPr>
            </w:pPr>
            <w:r>
              <w:rPr>
                <w:rFonts w:ascii="宋体" w:hAnsi="宋体" w:eastAsia="宋体" w:cs="宋体"/>
                <w:sz w:val="20"/>
                <w:szCs w:val="20"/>
              </w:rPr>
              <w:t>铜</w:t>
            </w:r>
          </w:p>
        </w:tc>
        <w:tc>
          <w:tcPr>
            <w:tcW w:w="2130" w:type="dxa"/>
            <w:tcBorders>
              <w:left w:val="single" w:color="000000" w:sz="4" w:space="0"/>
              <w:right w:val="single" w:color="000000" w:sz="4" w:space="0"/>
            </w:tcBorders>
            <w:vAlign w:val="top"/>
          </w:tcPr>
          <w:p w14:paraId="272AE3F7">
            <w:pPr>
              <w:spacing w:before="103" w:line="195" w:lineRule="auto"/>
              <w:ind w:left="839"/>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1</w:t>
            </w:r>
            <w:r>
              <w:rPr>
                <w:rFonts w:ascii="Times New Roman" w:hAnsi="Times New Roman" w:eastAsia="Times New Roman" w:cs="Times New Roman"/>
                <w:spacing w:val="-4"/>
                <w:sz w:val="20"/>
                <w:szCs w:val="20"/>
              </w:rPr>
              <w:t>8000</w:t>
            </w:r>
          </w:p>
        </w:tc>
        <w:tc>
          <w:tcPr>
            <w:tcW w:w="2130" w:type="dxa"/>
            <w:tcBorders>
              <w:left w:val="single" w:color="000000" w:sz="4" w:space="0"/>
              <w:right w:val="single" w:color="000000" w:sz="4" w:space="0"/>
            </w:tcBorders>
            <w:vAlign w:val="top"/>
          </w:tcPr>
          <w:p w14:paraId="49CCA9E0">
            <w:pPr>
              <w:spacing w:before="67" w:line="227" w:lineRule="auto"/>
              <w:ind w:left="972"/>
              <w:rPr>
                <w:rFonts w:ascii="宋体" w:hAnsi="宋体" w:eastAsia="宋体" w:cs="宋体"/>
                <w:sz w:val="20"/>
                <w:szCs w:val="20"/>
              </w:rPr>
            </w:pPr>
            <w:r>
              <w:rPr>
                <w:rFonts w:ascii="宋体" w:hAnsi="宋体" w:eastAsia="宋体" w:cs="宋体"/>
                <w:sz w:val="20"/>
                <w:szCs w:val="20"/>
              </w:rPr>
              <w:t>苯</w:t>
            </w:r>
          </w:p>
        </w:tc>
        <w:tc>
          <w:tcPr>
            <w:tcW w:w="2132" w:type="dxa"/>
            <w:tcBorders>
              <w:left w:val="single" w:color="000000" w:sz="4" w:space="0"/>
              <w:right w:val="nil"/>
            </w:tcBorders>
            <w:vAlign w:val="top"/>
          </w:tcPr>
          <w:p w14:paraId="770FAC3C">
            <w:pPr>
              <w:spacing w:before="103" w:line="195" w:lineRule="auto"/>
              <w:ind w:left="101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r>
      <w:tr w14:paraId="66F4EC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2130" w:type="dxa"/>
            <w:tcBorders>
              <w:left w:val="nil"/>
              <w:right w:val="single" w:color="000000" w:sz="4" w:space="0"/>
            </w:tcBorders>
            <w:vAlign w:val="top"/>
          </w:tcPr>
          <w:p w14:paraId="5FEEED08">
            <w:pPr>
              <w:spacing w:before="67" w:line="232" w:lineRule="auto"/>
              <w:ind w:left="975"/>
              <w:rPr>
                <w:rFonts w:ascii="宋体" w:hAnsi="宋体" w:eastAsia="宋体" w:cs="宋体"/>
                <w:sz w:val="20"/>
                <w:szCs w:val="20"/>
              </w:rPr>
            </w:pPr>
            <w:r>
              <w:rPr>
                <w:rFonts w:ascii="宋体" w:hAnsi="宋体" w:eastAsia="宋体" w:cs="宋体"/>
                <w:sz w:val="20"/>
                <w:szCs w:val="20"/>
              </w:rPr>
              <w:t>铅</w:t>
            </w:r>
          </w:p>
        </w:tc>
        <w:tc>
          <w:tcPr>
            <w:tcW w:w="2130" w:type="dxa"/>
            <w:tcBorders>
              <w:left w:val="single" w:color="000000" w:sz="4" w:space="0"/>
              <w:right w:val="single" w:color="000000" w:sz="4" w:space="0"/>
            </w:tcBorders>
            <w:vAlign w:val="top"/>
          </w:tcPr>
          <w:p w14:paraId="2693A7D6">
            <w:pPr>
              <w:spacing w:before="103" w:line="195" w:lineRule="auto"/>
              <w:ind w:left="92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8</w:t>
            </w:r>
            <w:r>
              <w:rPr>
                <w:rFonts w:ascii="Times New Roman" w:hAnsi="Times New Roman" w:eastAsia="Times New Roman" w:cs="Times New Roman"/>
                <w:spacing w:val="-2"/>
                <w:sz w:val="20"/>
                <w:szCs w:val="20"/>
              </w:rPr>
              <w:t>00</w:t>
            </w:r>
          </w:p>
        </w:tc>
        <w:tc>
          <w:tcPr>
            <w:tcW w:w="2130" w:type="dxa"/>
            <w:tcBorders>
              <w:left w:val="single" w:color="000000" w:sz="4" w:space="0"/>
              <w:right w:val="single" w:color="000000" w:sz="4" w:space="0"/>
            </w:tcBorders>
            <w:vAlign w:val="top"/>
          </w:tcPr>
          <w:p w14:paraId="18D7B650">
            <w:pPr>
              <w:spacing w:before="67" w:line="227" w:lineRule="auto"/>
              <w:ind w:left="875"/>
              <w:rPr>
                <w:rFonts w:ascii="宋体" w:hAnsi="宋体" w:eastAsia="宋体" w:cs="宋体"/>
                <w:sz w:val="20"/>
                <w:szCs w:val="20"/>
              </w:rPr>
            </w:pPr>
            <w:r>
              <w:rPr>
                <w:rFonts w:ascii="宋体" w:hAnsi="宋体" w:eastAsia="宋体" w:cs="宋体"/>
                <w:spacing w:val="-2"/>
                <w:sz w:val="20"/>
                <w:szCs w:val="20"/>
              </w:rPr>
              <w:t>氯</w:t>
            </w:r>
            <w:r>
              <w:rPr>
                <w:rFonts w:ascii="宋体" w:hAnsi="宋体" w:eastAsia="宋体" w:cs="宋体"/>
                <w:spacing w:val="-1"/>
                <w:sz w:val="20"/>
                <w:szCs w:val="20"/>
              </w:rPr>
              <w:t>苯</w:t>
            </w:r>
          </w:p>
        </w:tc>
        <w:tc>
          <w:tcPr>
            <w:tcW w:w="2132" w:type="dxa"/>
            <w:tcBorders>
              <w:left w:val="single" w:color="000000" w:sz="4" w:space="0"/>
              <w:right w:val="nil"/>
            </w:tcBorders>
            <w:vAlign w:val="top"/>
          </w:tcPr>
          <w:p w14:paraId="76F72F4C">
            <w:pPr>
              <w:spacing w:before="103" w:line="195" w:lineRule="auto"/>
              <w:ind w:left="917"/>
              <w:rPr>
                <w:rFonts w:ascii="Times New Roman" w:hAnsi="Times New Roman" w:eastAsia="Times New Roman" w:cs="Times New Roman"/>
                <w:sz w:val="20"/>
                <w:szCs w:val="20"/>
              </w:rPr>
            </w:pPr>
            <w:r>
              <w:rPr>
                <w:rFonts w:ascii="Times New Roman" w:hAnsi="Times New Roman" w:eastAsia="Times New Roman" w:cs="Times New Roman"/>
                <w:sz w:val="20"/>
                <w:szCs w:val="20"/>
              </w:rPr>
              <w:t>270</w:t>
            </w:r>
          </w:p>
        </w:tc>
      </w:tr>
      <w:tr w14:paraId="442947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2130" w:type="dxa"/>
            <w:tcBorders>
              <w:left w:val="nil"/>
              <w:right w:val="single" w:color="000000" w:sz="4" w:space="0"/>
            </w:tcBorders>
            <w:vAlign w:val="top"/>
          </w:tcPr>
          <w:p w14:paraId="3DCE3203">
            <w:pPr>
              <w:spacing w:before="67" w:line="228" w:lineRule="auto"/>
              <w:ind w:left="976"/>
              <w:rPr>
                <w:rFonts w:ascii="宋体" w:hAnsi="宋体" w:eastAsia="宋体" w:cs="宋体"/>
                <w:sz w:val="20"/>
                <w:szCs w:val="20"/>
              </w:rPr>
            </w:pPr>
            <w:r>
              <w:rPr>
                <w:rFonts w:ascii="宋体" w:hAnsi="宋体" w:eastAsia="宋体" w:cs="宋体"/>
                <w:sz w:val="20"/>
                <w:szCs w:val="20"/>
              </w:rPr>
              <w:t>汞</w:t>
            </w:r>
          </w:p>
        </w:tc>
        <w:tc>
          <w:tcPr>
            <w:tcW w:w="2130" w:type="dxa"/>
            <w:tcBorders>
              <w:left w:val="single" w:color="000000" w:sz="4" w:space="0"/>
              <w:right w:val="single" w:color="000000" w:sz="4" w:space="0"/>
            </w:tcBorders>
            <w:vAlign w:val="top"/>
          </w:tcPr>
          <w:p w14:paraId="0EFE90DD">
            <w:pPr>
              <w:spacing w:before="103" w:line="195" w:lineRule="auto"/>
              <w:ind w:left="96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38</w:t>
            </w:r>
          </w:p>
        </w:tc>
        <w:tc>
          <w:tcPr>
            <w:tcW w:w="2130" w:type="dxa"/>
            <w:tcBorders>
              <w:left w:val="single" w:color="000000" w:sz="4" w:space="0"/>
              <w:right w:val="single" w:color="000000" w:sz="4" w:space="0"/>
            </w:tcBorders>
            <w:vAlign w:val="top"/>
          </w:tcPr>
          <w:p w14:paraId="409C7261">
            <w:pPr>
              <w:spacing w:before="66" w:line="221" w:lineRule="auto"/>
              <w:ind w:left="638"/>
              <w:rPr>
                <w:rFonts w:ascii="宋体" w:hAnsi="宋体" w:eastAsia="宋体" w:cs="宋体"/>
                <w:sz w:val="20"/>
                <w:szCs w:val="20"/>
              </w:rPr>
            </w:pPr>
            <w:r>
              <w:rPr>
                <w:rFonts w:ascii="Times New Roman" w:hAnsi="Times New Roman" w:eastAsia="Times New Roman" w:cs="Times New Roman"/>
                <w:spacing w:val="-7"/>
                <w:sz w:val="20"/>
                <w:szCs w:val="20"/>
              </w:rPr>
              <w:t>1</w:t>
            </w:r>
            <w:r>
              <w:rPr>
                <w:rFonts w:ascii="Times New Roman" w:hAnsi="Times New Roman" w:eastAsia="Times New Roman" w:cs="Times New Roman"/>
                <w:spacing w:val="-4"/>
                <w:sz w:val="20"/>
                <w:szCs w:val="20"/>
              </w:rPr>
              <w:t>,2-</w:t>
            </w:r>
            <w:r>
              <w:rPr>
                <w:rFonts w:ascii="宋体" w:hAnsi="宋体" w:eastAsia="宋体" w:cs="宋体"/>
                <w:spacing w:val="-4"/>
                <w:sz w:val="20"/>
                <w:szCs w:val="20"/>
              </w:rPr>
              <w:t>二氯苯</w:t>
            </w:r>
          </w:p>
        </w:tc>
        <w:tc>
          <w:tcPr>
            <w:tcW w:w="2132" w:type="dxa"/>
            <w:tcBorders>
              <w:left w:val="single" w:color="000000" w:sz="4" w:space="0"/>
              <w:right w:val="nil"/>
            </w:tcBorders>
            <w:vAlign w:val="top"/>
          </w:tcPr>
          <w:p w14:paraId="70BF4443">
            <w:pPr>
              <w:spacing w:before="103" w:line="195" w:lineRule="auto"/>
              <w:ind w:left="92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56</w:t>
            </w:r>
            <w:r>
              <w:rPr>
                <w:rFonts w:ascii="Times New Roman" w:hAnsi="Times New Roman" w:eastAsia="Times New Roman" w:cs="Times New Roman"/>
                <w:spacing w:val="-1"/>
                <w:sz w:val="20"/>
                <w:szCs w:val="20"/>
              </w:rPr>
              <w:t>0</w:t>
            </w:r>
          </w:p>
        </w:tc>
      </w:tr>
      <w:tr w14:paraId="054884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2130" w:type="dxa"/>
            <w:tcBorders>
              <w:left w:val="nil"/>
              <w:right w:val="single" w:color="000000" w:sz="4" w:space="0"/>
            </w:tcBorders>
            <w:vAlign w:val="top"/>
          </w:tcPr>
          <w:p w14:paraId="745230E8">
            <w:pPr>
              <w:spacing w:before="67" w:line="228" w:lineRule="auto"/>
              <w:ind w:left="974"/>
              <w:rPr>
                <w:rFonts w:ascii="宋体" w:hAnsi="宋体" w:eastAsia="宋体" w:cs="宋体"/>
                <w:sz w:val="20"/>
                <w:szCs w:val="20"/>
              </w:rPr>
            </w:pPr>
            <w:r>
              <w:rPr>
                <w:rFonts w:ascii="宋体" w:hAnsi="宋体" w:eastAsia="宋体" w:cs="宋体"/>
                <w:spacing w:val="1"/>
                <w:sz w:val="20"/>
                <w:szCs w:val="20"/>
              </w:rPr>
              <w:t>镍</w:t>
            </w:r>
          </w:p>
        </w:tc>
        <w:tc>
          <w:tcPr>
            <w:tcW w:w="2130" w:type="dxa"/>
            <w:tcBorders>
              <w:left w:val="single" w:color="000000" w:sz="4" w:space="0"/>
              <w:right w:val="single" w:color="000000" w:sz="4" w:space="0"/>
            </w:tcBorders>
            <w:vAlign w:val="top"/>
          </w:tcPr>
          <w:p w14:paraId="7AA0FE57">
            <w:pPr>
              <w:spacing w:before="103" w:line="195" w:lineRule="auto"/>
              <w:ind w:left="92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9</w:t>
            </w:r>
            <w:r>
              <w:rPr>
                <w:rFonts w:ascii="Times New Roman" w:hAnsi="Times New Roman" w:eastAsia="Times New Roman" w:cs="Times New Roman"/>
                <w:spacing w:val="-1"/>
                <w:sz w:val="20"/>
                <w:szCs w:val="20"/>
              </w:rPr>
              <w:t>00</w:t>
            </w:r>
          </w:p>
        </w:tc>
        <w:tc>
          <w:tcPr>
            <w:tcW w:w="2130" w:type="dxa"/>
            <w:tcBorders>
              <w:left w:val="single" w:color="000000" w:sz="4" w:space="0"/>
              <w:right w:val="single" w:color="000000" w:sz="4" w:space="0"/>
            </w:tcBorders>
            <w:vAlign w:val="top"/>
          </w:tcPr>
          <w:p w14:paraId="62B4C075">
            <w:pPr>
              <w:spacing w:before="66" w:line="221" w:lineRule="auto"/>
              <w:ind w:left="638"/>
              <w:rPr>
                <w:rFonts w:ascii="宋体" w:hAnsi="宋体" w:eastAsia="宋体" w:cs="宋体"/>
                <w:sz w:val="20"/>
                <w:szCs w:val="20"/>
              </w:rPr>
            </w:pPr>
            <w:r>
              <w:rPr>
                <w:rFonts w:ascii="Times New Roman" w:hAnsi="Times New Roman" w:eastAsia="Times New Roman" w:cs="Times New Roman"/>
                <w:spacing w:val="-7"/>
                <w:sz w:val="20"/>
                <w:szCs w:val="20"/>
              </w:rPr>
              <w:t>1</w:t>
            </w:r>
            <w:r>
              <w:rPr>
                <w:rFonts w:ascii="Times New Roman" w:hAnsi="Times New Roman" w:eastAsia="Times New Roman" w:cs="Times New Roman"/>
                <w:spacing w:val="-4"/>
                <w:sz w:val="20"/>
                <w:szCs w:val="20"/>
              </w:rPr>
              <w:t>,4-</w:t>
            </w:r>
            <w:r>
              <w:rPr>
                <w:rFonts w:ascii="宋体" w:hAnsi="宋体" w:eastAsia="宋体" w:cs="宋体"/>
                <w:spacing w:val="-4"/>
                <w:sz w:val="20"/>
                <w:szCs w:val="20"/>
              </w:rPr>
              <w:t>二氯苯</w:t>
            </w:r>
          </w:p>
        </w:tc>
        <w:tc>
          <w:tcPr>
            <w:tcW w:w="2132" w:type="dxa"/>
            <w:tcBorders>
              <w:left w:val="single" w:color="000000" w:sz="4" w:space="0"/>
              <w:right w:val="nil"/>
            </w:tcBorders>
            <w:vAlign w:val="top"/>
          </w:tcPr>
          <w:p w14:paraId="1B39CD58">
            <w:pPr>
              <w:spacing w:before="103" w:line="195" w:lineRule="auto"/>
              <w:ind w:left="967"/>
              <w:rPr>
                <w:rFonts w:ascii="Times New Roman" w:hAnsi="Times New Roman" w:eastAsia="Times New Roman" w:cs="Times New Roman"/>
                <w:sz w:val="20"/>
                <w:szCs w:val="20"/>
              </w:rPr>
            </w:pPr>
            <w:r>
              <w:rPr>
                <w:rFonts w:ascii="Times New Roman" w:hAnsi="Times New Roman" w:eastAsia="Times New Roman" w:cs="Times New Roman"/>
                <w:sz w:val="20"/>
                <w:szCs w:val="20"/>
              </w:rPr>
              <w:t>20</w:t>
            </w:r>
          </w:p>
        </w:tc>
      </w:tr>
      <w:tr w14:paraId="1D203A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2130" w:type="dxa"/>
            <w:tcBorders>
              <w:left w:val="nil"/>
              <w:right w:val="single" w:color="000000" w:sz="4" w:space="0"/>
            </w:tcBorders>
            <w:vAlign w:val="top"/>
          </w:tcPr>
          <w:p w14:paraId="2AB97121">
            <w:pPr>
              <w:spacing w:before="67" w:line="228" w:lineRule="auto"/>
              <w:ind w:left="699"/>
              <w:rPr>
                <w:rFonts w:ascii="宋体" w:hAnsi="宋体" w:eastAsia="宋体" w:cs="宋体"/>
                <w:sz w:val="20"/>
                <w:szCs w:val="20"/>
              </w:rPr>
            </w:pPr>
            <w:r>
              <w:rPr>
                <w:rFonts w:ascii="宋体" w:hAnsi="宋体" w:eastAsia="宋体" w:cs="宋体"/>
                <w:spacing w:val="-8"/>
                <w:sz w:val="20"/>
                <w:szCs w:val="20"/>
              </w:rPr>
              <w:t>四</w:t>
            </w:r>
            <w:r>
              <w:rPr>
                <w:rFonts w:ascii="宋体" w:hAnsi="宋体" w:eastAsia="宋体" w:cs="宋体"/>
                <w:spacing w:val="-6"/>
                <w:sz w:val="20"/>
                <w:szCs w:val="20"/>
              </w:rPr>
              <w:t>氯化碳</w:t>
            </w:r>
          </w:p>
        </w:tc>
        <w:tc>
          <w:tcPr>
            <w:tcW w:w="2130" w:type="dxa"/>
            <w:tcBorders>
              <w:left w:val="single" w:color="000000" w:sz="4" w:space="0"/>
              <w:right w:val="single" w:color="000000" w:sz="4" w:space="0"/>
            </w:tcBorders>
            <w:vAlign w:val="top"/>
          </w:tcPr>
          <w:p w14:paraId="550B6DA3">
            <w:pPr>
              <w:spacing w:before="103" w:line="198" w:lineRule="auto"/>
              <w:ind w:left="94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w:t>
            </w:r>
            <w:r>
              <w:rPr>
                <w:rFonts w:ascii="Times New Roman" w:hAnsi="Times New Roman" w:eastAsia="Times New Roman" w:cs="Times New Roman"/>
                <w:sz w:val="20"/>
                <w:szCs w:val="20"/>
              </w:rPr>
              <w:t>8</w:t>
            </w:r>
          </w:p>
        </w:tc>
        <w:tc>
          <w:tcPr>
            <w:tcW w:w="2130" w:type="dxa"/>
            <w:tcBorders>
              <w:left w:val="single" w:color="000000" w:sz="4" w:space="0"/>
              <w:right w:val="single" w:color="000000" w:sz="4" w:space="0"/>
            </w:tcBorders>
            <w:vAlign w:val="top"/>
          </w:tcPr>
          <w:p w14:paraId="726AD0EF">
            <w:pPr>
              <w:spacing w:before="67" w:line="227" w:lineRule="auto"/>
              <w:ind w:left="892"/>
              <w:rPr>
                <w:rFonts w:ascii="宋体" w:hAnsi="宋体" w:eastAsia="宋体" w:cs="宋体"/>
                <w:sz w:val="20"/>
                <w:szCs w:val="20"/>
              </w:rPr>
            </w:pPr>
            <w:r>
              <w:rPr>
                <w:rFonts w:ascii="宋体" w:hAnsi="宋体" w:eastAsia="宋体" w:cs="宋体"/>
                <w:spacing w:val="-10"/>
                <w:sz w:val="20"/>
                <w:szCs w:val="20"/>
              </w:rPr>
              <w:t>乙苯</w:t>
            </w:r>
          </w:p>
        </w:tc>
        <w:tc>
          <w:tcPr>
            <w:tcW w:w="2132" w:type="dxa"/>
            <w:tcBorders>
              <w:left w:val="single" w:color="000000" w:sz="4" w:space="0"/>
              <w:right w:val="nil"/>
            </w:tcBorders>
            <w:vAlign w:val="top"/>
          </w:tcPr>
          <w:p w14:paraId="63178096">
            <w:pPr>
              <w:spacing w:before="103" w:line="195" w:lineRule="auto"/>
              <w:ind w:left="967"/>
              <w:rPr>
                <w:rFonts w:ascii="Times New Roman" w:hAnsi="Times New Roman" w:eastAsia="Times New Roman" w:cs="Times New Roman"/>
                <w:sz w:val="20"/>
                <w:szCs w:val="20"/>
              </w:rPr>
            </w:pPr>
            <w:r>
              <w:rPr>
                <w:rFonts w:ascii="Times New Roman" w:hAnsi="Times New Roman" w:eastAsia="Times New Roman" w:cs="Times New Roman"/>
                <w:sz w:val="20"/>
                <w:szCs w:val="20"/>
              </w:rPr>
              <w:t>28</w:t>
            </w:r>
          </w:p>
        </w:tc>
      </w:tr>
      <w:tr w14:paraId="46C64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2130" w:type="dxa"/>
            <w:tcBorders>
              <w:left w:val="nil"/>
              <w:right w:val="single" w:color="000000" w:sz="4" w:space="0"/>
            </w:tcBorders>
            <w:vAlign w:val="top"/>
          </w:tcPr>
          <w:p w14:paraId="651C7B3E">
            <w:pPr>
              <w:spacing w:before="67" w:line="228" w:lineRule="auto"/>
              <w:ind w:left="880"/>
              <w:rPr>
                <w:rFonts w:ascii="宋体" w:hAnsi="宋体" w:eastAsia="宋体" w:cs="宋体"/>
                <w:sz w:val="20"/>
                <w:szCs w:val="20"/>
              </w:rPr>
            </w:pPr>
            <w:r>
              <w:rPr>
                <w:rFonts w:ascii="宋体" w:hAnsi="宋体" w:eastAsia="宋体" w:cs="宋体"/>
                <w:spacing w:val="-2"/>
                <w:sz w:val="20"/>
                <w:szCs w:val="20"/>
              </w:rPr>
              <w:t>氯</w:t>
            </w:r>
            <w:r>
              <w:rPr>
                <w:rFonts w:ascii="宋体" w:hAnsi="宋体" w:eastAsia="宋体" w:cs="宋体"/>
                <w:spacing w:val="-1"/>
                <w:sz w:val="20"/>
                <w:szCs w:val="20"/>
              </w:rPr>
              <w:t>仿</w:t>
            </w:r>
          </w:p>
        </w:tc>
        <w:tc>
          <w:tcPr>
            <w:tcW w:w="2130" w:type="dxa"/>
            <w:tcBorders>
              <w:left w:val="single" w:color="000000" w:sz="4" w:space="0"/>
              <w:right w:val="single" w:color="000000" w:sz="4" w:space="0"/>
            </w:tcBorders>
            <w:vAlign w:val="top"/>
          </w:tcPr>
          <w:p w14:paraId="37B027FC">
            <w:pPr>
              <w:spacing w:before="103" w:line="195" w:lineRule="auto"/>
              <w:ind w:left="9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w:t>
            </w:r>
            <w:r>
              <w:rPr>
                <w:rFonts w:ascii="Times New Roman" w:hAnsi="Times New Roman" w:eastAsia="Times New Roman" w:cs="Times New Roman"/>
                <w:spacing w:val="-1"/>
                <w:sz w:val="20"/>
                <w:szCs w:val="20"/>
              </w:rPr>
              <w:t>9</w:t>
            </w:r>
          </w:p>
        </w:tc>
        <w:tc>
          <w:tcPr>
            <w:tcW w:w="2130" w:type="dxa"/>
            <w:tcBorders>
              <w:left w:val="single" w:color="000000" w:sz="4" w:space="0"/>
              <w:right w:val="single" w:color="000000" w:sz="4" w:space="0"/>
            </w:tcBorders>
            <w:vAlign w:val="top"/>
          </w:tcPr>
          <w:p w14:paraId="5466F18E">
            <w:pPr>
              <w:spacing w:before="67" w:line="227" w:lineRule="auto"/>
              <w:ind w:left="776"/>
              <w:rPr>
                <w:rFonts w:ascii="宋体" w:hAnsi="宋体" w:eastAsia="宋体" w:cs="宋体"/>
                <w:sz w:val="20"/>
                <w:szCs w:val="20"/>
              </w:rPr>
            </w:pPr>
            <w:r>
              <w:rPr>
                <w:rFonts w:ascii="宋体" w:hAnsi="宋体" w:eastAsia="宋体" w:cs="宋体"/>
                <w:spacing w:val="-2"/>
                <w:sz w:val="20"/>
                <w:szCs w:val="20"/>
              </w:rPr>
              <w:t>苯乙</w:t>
            </w:r>
            <w:r>
              <w:rPr>
                <w:rFonts w:ascii="宋体" w:hAnsi="宋体" w:eastAsia="宋体" w:cs="宋体"/>
                <w:spacing w:val="-1"/>
                <w:sz w:val="20"/>
                <w:szCs w:val="20"/>
              </w:rPr>
              <w:t>烯</w:t>
            </w:r>
          </w:p>
        </w:tc>
        <w:tc>
          <w:tcPr>
            <w:tcW w:w="2132" w:type="dxa"/>
            <w:tcBorders>
              <w:left w:val="single" w:color="000000" w:sz="4" w:space="0"/>
              <w:right w:val="nil"/>
            </w:tcBorders>
            <w:vAlign w:val="top"/>
          </w:tcPr>
          <w:p w14:paraId="691CEB48">
            <w:pPr>
              <w:spacing w:before="103" w:line="195" w:lineRule="auto"/>
              <w:ind w:left="889"/>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5"/>
                <w:sz w:val="20"/>
                <w:szCs w:val="20"/>
              </w:rPr>
              <w:t>290</w:t>
            </w:r>
          </w:p>
        </w:tc>
      </w:tr>
      <w:tr w14:paraId="6DA144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2130" w:type="dxa"/>
            <w:tcBorders>
              <w:left w:val="nil"/>
              <w:right w:val="single" w:color="000000" w:sz="4" w:space="0"/>
            </w:tcBorders>
            <w:vAlign w:val="top"/>
          </w:tcPr>
          <w:p w14:paraId="7DB6A83E">
            <w:pPr>
              <w:spacing w:before="67" w:line="228" w:lineRule="auto"/>
              <w:ind w:left="781"/>
              <w:rPr>
                <w:rFonts w:ascii="宋体" w:hAnsi="宋体" w:eastAsia="宋体" w:cs="宋体"/>
                <w:sz w:val="20"/>
                <w:szCs w:val="20"/>
              </w:rPr>
            </w:pPr>
            <w:r>
              <w:rPr>
                <w:rFonts w:ascii="宋体" w:hAnsi="宋体" w:eastAsia="宋体" w:cs="宋体"/>
                <w:spacing w:val="-2"/>
                <w:sz w:val="20"/>
                <w:szCs w:val="20"/>
              </w:rPr>
              <w:t>氯甲烷</w:t>
            </w:r>
          </w:p>
        </w:tc>
        <w:tc>
          <w:tcPr>
            <w:tcW w:w="2130" w:type="dxa"/>
            <w:tcBorders>
              <w:left w:val="single" w:color="000000" w:sz="4" w:space="0"/>
              <w:right w:val="single" w:color="000000" w:sz="4" w:space="0"/>
            </w:tcBorders>
            <w:vAlign w:val="top"/>
          </w:tcPr>
          <w:p w14:paraId="5122D8DA">
            <w:pPr>
              <w:spacing w:before="103" w:line="195" w:lineRule="auto"/>
              <w:ind w:left="96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37</w:t>
            </w:r>
          </w:p>
        </w:tc>
        <w:tc>
          <w:tcPr>
            <w:tcW w:w="2130" w:type="dxa"/>
            <w:tcBorders>
              <w:left w:val="single" w:color="000000" w:sz="4" w:space="0"/>
              <w:right w:val="single" w:color="000000" w:sz="4" w:space="0"/>
            </w:tcBorders>
            <w:vAlign w:val="top"/>
          </w:tcPr>
          <w:p w14:paraId="1CAE6283">
            <w:pPr>
              <w:spacing w:before="67" w:line="227" w:lineRule="auto"/>
              <w:ind w:left="898"/>
              <w:rPr>
                <w:rFonts w:ascii="宋体" w:hAnsi="宋体" w:eastAsia="宋体" w:cs="宋体"/>
                <w:sz w:val="20"/>
                <w:szCs w:val="20"/>
              </w:rPr>
            </w:pPr>
            <w:r>
              <w:rPr>
                <w:rFonts w:ascii="宋体" w:hAnsi="宋体" w:eastAsia="宋体" w:cs="宋体"/>
                <w:spacing w:val="-14"/>
                <w:sz w:val="20"/>
                <w:szCs w:val="20"/>
              </w:rPr>
              <w:t>甲</w:t>
            </w:r>
            <w:r>
              <w:rPr>
                <w:rFonts w:ascii="宋体" w:hAnsi="宋体" w:eastAsia="宋体" w:cs="宋体"/>
                <w:spacing w:val="-13"/>
                <w:sz w:val="20"/>
                <w:szCs w:val="20"/>
              </w:rPr>
              <w:t>苯</w:t>
            </w:r>
          </w:p>
        </w:tc>
        <w:tc>
          <w:tcPr>
            <w:tcW w:w="2132" w:type="dxa"/>
            <w:tcBorders>
              <w:left w:val="single" w:color="000000" w:sz="4" w:space="0"/>
              <w:right w:val="nil"/>
            </w:tcBorders>
            <w:vAlign w:val="top"/>
          </w:tcPr>
          <w:p w14:paraId="1B8BBFC1">
            <w:pPr>
              <w:spacing w:before="103" w:line="195" w:lineRule="auto"/>
              <w:ind w:left="889"/>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5"/>
                <w:sz w:val="20"/>
                <w:szCs w:val="20"/>
              </w:rPr>
              <w:t>200</w:t>
            </w:r>
          </w:p>
        </w:tc>
      </w:tr>
      <w:tr w14:paraId="791D4B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2130" w:type="dxa"/>
            <w:tcBorders>
              <w:left w:val="nil"/>
              <w:right w:val="single" w:color="000000" w:sz="4" w:space="0"/>
            </w:tcBorders>
            <w:vAlign w:val="top"/>
          </w:tcPr>
          <w:p w14:paraId="02A56DEA">
            <w:pPr>
              <w:spacing w:before="66" w:line="221" w:lineRule="auto"/>
              <w:ind w:left="545"/>
              <w:rPr>
                <w:rFonts w:ascii="宋体" w:hAnsi="宋体" w:eastAsia="宋体" w:cs="宋体"/>
                <w:sz w:val="20"/>
                <w:szCs w:val="20"/>
              </w:rPr>
            </w:pPr>
            <w:r>
              <w:rPr>
                <w:rFonts w:ascii="Times New Roman" w:hAnsi="Times New Roman" w:eastAsia="Times New Roman" w:cs="Times New Roman"/>
                <w:spacing w:val="-12"/>
                <w:sz w:val="20"/>
                <w:szCs w:val="20"/>
              </w:rPr>
              <w:t>1</w:t>
            </w:r>
            <w:r>
              <w:rPr>
                <w:rFonts w:ascii="Times New Roman" w:hAnsi="Times New Roman" w:eastAsia="Times New Roman" w:cs="Times New Roman"/>
                <w:spacing w:val="-9"/>
                <w:sz w:val="20"/>
                <w:szCs w:val="20"/>
              </w:rPr>
              <w:t>, 1-</w:t>
            </w:r>
            <w:r>
              <w:rPr>
                <w:rFonts w:ascii="宋体" w:hAnsi="宋体" w:eastAsia="宋体" w:cs="宋体"/>
                <w:spacing w:val="-9"/>
                <w:sz w:val="20"/>
                <w:szCs w:val="20"/>
              </w:rPr>
              <w:t>二氯乙烷</w:t>
            </w:r>
          </w:p>
        </w:tc>
        <w:tc>
          <w:tcPr>
            <w:tcW w:w="2130" w:type="dxa"/>
            <w:tcBorders>
              <w:left w:val="single" w:color="000000" w:sz="4" w:space="0"/>
              <w:right w:val="single" w:color="000000" w:sz="4" w:space="0"/>
            </w:tcBorders>
            <w:vAlign w:val="top"/>
          </w:tcPr>
          <w:p w14:paraId="2989ECD1">
            <w:pPr>
              <w:spacing w:before="103" w:line="195" w:lineRule="auto"/>
              <w:ind w:left="1019"/>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2130" w:type="dxa"/>
            <w:tcBorders>
              <w:left w:val="single" w:color="000000" w:sz="4" w:space="0"/>
              <w:right w:val="single" w:color="000000" w:sz="4" w:space="0"/>
            </w:tcBorders>
            <w:vAlign w:val="top"/>
          </w:tcPr>
          <w:p w14:paraId="363744AE">
            <w:pPr>
              <w:spacing w:before="29" w:line="281" w:lineRule="exact"/>
              <w:ind w:left="245"/>
              <w:rPr>
                <w:rFonts w:ascii="宋体" w:hAnsi="宋体" w:eastAsia="宋体" w:cs="宋体"/>
                <w:sz w:val="20"/>
                <w:szCs w:val="20"/>
              </w:rPr>
            </w:pPr>
            <w:r>
              <w:rPr>
                <w:rFonts w:ascii="宋体" w:hAnsi="宋体" w:eastAsia="宋体" w:cs="宋体"/>
                <w:spacing w:val="-6"/>
                <w:position w:val="1"/>
                <w:sz w:val="20"/>
                <w:szCs w:val="20"/>
              </w:rPr>
              <w:t>间</w:t>
            </w:r>
            <w:r>
              <w:rPr>
                <w:rFonts w:ascii="宋体" w:hAnsi="宋体" w:eastAsia="宋体" w:cs="宋体"/>
                <w:spacing w:val="-4"/>
                <w:position w:val="1"/>
                <w:sz w:val="20"/>
                <w:szCs w:val="20"/>
              </w:rPr>
              <w:t>二甲苯</w:t>
            </w:r>
            <w:r>
              <w:rPr>
                <w:rFonts w:ascii="Times New Roman" w:hAnsi="Times New Roman" w:eastAsia="Times New Roman" w:cs="Times New Roman"/>
                <w:spacing w:val="-4"/>
                <w:position w:val="1"/>
                <w:sz w:val="20"/>
                <w:szCs w:val="20"/>
              </w:rPr>
              <w:t>+</w:t>
            </w:r>
            <w:r>
              <w:rPr>
                <w:rFonts w:ascii="宋体" w:hAnsi="宋体" w:eastAsia="宋体" w:cs="宋体"/>
                <w:spacing w:val="-4"/>
                <w:position w:val="1"/>
                <w:sz w:val="20"/>
                <w:szCs w:val="20"/>
              </w:rPr>
              <w:t>对二甲苯</w:t>
            </w:r>
          </w:p>
        </w:tc>
        <w:tc>
          <w:tcPr>
            <w:tcW w:w="2132" w:type="dxa"/>
            <w:tcBorders>
              <w:left w:val="single" w:color="000000" w:sz="4" w:space="0"/>
              <w:right w:val="nil"/>
            </w:tcBorders>
            <w:vAlign w:val="top"/>
          </w:tcPr>
          <w:p w14:paraId="2C391C78">
            <w:pPr>
              <w:spacing w:before="103" w:line="195" w:lineRule="auto"/>
              <w:ind w:left="92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57</w:t>
            </w:r>
            <w:r>
              <w:rPr>
                <w:rFonts w:ascii="Times New Roman" w:hAnsi="Times New Roman" w:eastAsia="Times New Roman" w:cs="Times New Roman"/>
                <w:spacing w:val="-1"/>
                <w:sz w:val="20"/>
                <w:szCs w:val="20"/>
              </w:rPr>
              <w:t>0</w:t>
            </w:r>
          </w:p>
        </w:tc>
      </w:tr>
      <w:tr w14:paraId="0D4633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2130" w:type="dxa"/>
            <w:tcBorders>
              <w:left w:val="nil"/>
              <w:right w:val="single" w:color="000000" w:sz="4" w:space="0"/>
            </w:tcBorders>
            <w:vAlign w:val="top"/>
          </w:tcPr>
          <w:p w14:paraId="598839CA">
            <w:pPr>
              <w:spacing w:before="66" w:line="221" w:lineRule="auto"/>
              <w:ind w:left="545"/>
              <w:rPr>
                <w:rFonts w:ascii="宋体" w:hAnsi="宋体" w:eastAsia="宋体" w:cs="宋体"/>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4"/>
                <w:sz w:val="20"/>
                <w:szCs w:val="20"/>
              </w:rPr>
              <w:t>,2-</w:t>
            </w:r>
            <w:r>
              <w:rPr>
                <w:rFonts w:ascii="宋体" w:hAnsi="宋体" w:eastAsia="宋体" w:cs="宋体"/>
                <w:spacing w:val="-4"/>
                <w:sz w:val="20"/>
                <w:szCs w:val="20"/>
              </w:rPr>
              <w:t>二氯乙烷</w:t>
            </w:r>
          </w:p>
        </w:tc>
        <w:tc>
          <w:tcPr>
            <w:tcW w:w="2130" w:type="dxa"/>
            <w:tcBorders>
              <w:left w:val="single" w:color="000000" w:sz="4" w:space="0"/>
              <w:right w:val="single" w:color="000000" w:sz="4" w:space="0"/>
            </w:tcBorders>
            <w:vAlign w:val="top"/>
          </w:tcPr>
          <w:p w14:paraId="52F6AEF2">
            <w:pPr>
              <w:spacing w:before="106" w:line="192" w:lineRule="auto"/>
              <w:ind w:left="1021"/>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2130" w:type="dxa"/>
            <w:tcBorders>
              <w:left w:val="single" w:color="000000" w:sz="4" w:space="0"/>
              <w:right w:val="single" w:color="000000" w:sz="4" w:space="0"/>
            </w:tcBorders>
            <w:vAlign w:val="top"/>
          </w:tcPr>
          <w:p w14:paraId="202139FB">
            <w:pPr>
              <w:spacing w:before="67" w:line="227" w:lineRule="auto"/>
              <w:ind w:left="674"/>
              <w:rPr>
                <w:rFonts w:ascii="宋体" w:hAnsi="宋体" w:eastAsia="宋体" w:cs="宋体"/>
                <w:sz w:val="20"/>
                <w:szCs w:val="20"/>
              </w:rPr>
            </w:pPr>
            <w:r>
              <w:rPr>
                <w:rFonts w:ascii="宋体" w:hAnsi="宋体" w:eastAsia="宋体" w:cs="宋体"/>
                <w:spacing w:val="-2"/>
                <w:sz w:val="20"/>
                <w:szCs w:val="20"/>
              </w:rPr>
              <w:t>邻</w:t>
            </w:r>
            <w:r>
              <w:rPr>
                <w:rFonts w:ascii="宋体" w:hAnsi="宋体" w:eastAsia="宋体" w:cs="宋体"/>
                <w:spacing w:val="-1"/>
                <w:sz w:val="20"/>
                <w:szCs w:val="20"/>
              </w:rPr>
              <w:t>二甲苯</w:t>
            </w:r>
          </w:p>
        </w:tc>
        <w:tc>
          <w:tcPr>
            <w:tcW w:w="2132" w:type="dxa"/>
            <w:tcBorders>
              <w:left w:val="single" w:color="000000" w:sz="4" w:space="0"/>
              <w:right w:val="nil"/>
            </w:tcBorders>
            <w:vAlign w:val="top"/>
          </w:tcPr>
          <w:p w14:paraId="199D815F">
            <w:pPr>
              <w:spacing w:before="103" w:line="195" w:lineRule="auto"/>
              <w:ind w:left="92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w:t>
            </w:r>
            <w:r>
              <w:rPr>
                <w:rFonts w:ascii="Times New Roman" w:hAnsi="Times New Roman" w:eastAsia="Times New Roman" w:cs="Times New Roman"/>
                <w:spacing w:val="-1"/>
                <w:sz w:val="20"/>
                <w:szCs w:val="20"/>
              </w:rPr>
              <w:t>40</w:t>
            </w:r>
          </w:p>
        </w:tc>
      </w:tr>
      <w:tr w14:paraId="09D242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2130" w:type="dxa"/>
            <w:tcBorders>
              <w:left w:val="nil"/>
              <w:right w:val="single" w:color="000000" w:sz="4" w:space="0"/>
            </w:tcBorders>
            <w:vAlign w:val="top"/>
          </w:tcPr>
          <w:p w14:paraId="1EDD2C6F">
            <w:pPr>
              <w:spacing w:before="67" w:line="221" w:lineRule="auto"/>
              <w:ind w:left="545"/>
              <w:rPr>
                <w:rFonts w:ascii="宋体" w:hAnsi="宋体" w:eastAsia="宋体" w:cs="宋体"/>
                <w:sz w:val="20"/>
                <w:szCs w:val="20"/>
              </w:rPr>
            </w:pPr>
            <w:r>
              <w:rPr>
                <w:rFonts w:ascii="Times New Roman" w:hAnsi="Times New Roman" w:eastAsia="Times New Roman" w:cs="Times New Roman"/>
                <w:spacing w:val="-12"/>
                <w:sz w:val="20"/>
                <w:szCs w:val="20"/>
              </w:rPr>
              <w:t>1</w:t>
            </w:r>
            <w:r>
              <w:rPr>
                <w:rFonts w:ascii="Times New Roman" w:hAnsi="Times New Roman" w:eastAsia="Times New Roman" w:cs="Times New Roman"/>
                <w:spacing w:val="-9"/>
                <w:sz w:val="20"/>
                <w:szCs w:val="20"/>
              </w:rPr>
              <w:t>, 1-</w:t>
            </w:r>
            <w:r>
              <w:rPr>
                <w:rFonts w:ascii="宋体" w:hAnsi="宋体" w:eastAsia="宋体" w:cs="宋体"/>
                <w:spacing w:val="-9"/>
                <w:sz w:val="20"/>
                <w:szCs w:val="20"/>
              </w:rPr>
              <w:t>二氯乙烯</w:t>
            </w:r>
          </w:p>
        </w:tc>
        <w:tc>
          <w:tcPr>
            <w:tcW w:w="2130" w:type="dxa"/>
            <w:tcBorders>
              <w:left w:val="single" w:color="000000" w:sz="4" w:space="0"/>
              <w:right w:val="single" w:color="000000" w:sz="4" w:space="0"/>
            </w:tcBorders>
            <w:vAlign w:val="top"/>
          </w:tcPr>
          <w:p w14:paraId="07875FF8">
            <w:pPr>
              <w:spacing w:before="104" w:line="195" w:lineRule="auto"/>
              <w:ind w:left="96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66</w:t>
            </w:r>
          </w:p>
        </w:tc>
        <w:tc>
          <w:tcPr>
            <w:tcW w:w="2130" w:type="dxa"/>
            <w:tcBorders>
              <w:left w:val="single" w:color="000000" w:sz="4" w:space="0"/>
              <w:right w:val="single" w:color="000000" w:sz="4" w:space="0"/>
            </w:tcBorders>
            <w:vAlign w:val="top"/>
          </w:tcPr>
          <w:p w14:paraId="245C4E7E">
            <w:pPr>
              <w:spacing w:before="68" w:line="227" w:lineRule="auto"/>
              <w:ind w:left="775"/>
              <w:rPr>
                <w:rFonts w:ascii="宋体" w:hAnsi="宋体" w:eastAsia="宋体" w:cs="宋体"/>
                <w:sz w:val="20"/>
                <w:szCs w:val="20"/>
              </w:rPr>
            </w:pPr>
            <w:r>
              <w:rPr>
                <w:rFonts w:ascii="宋体" w:hAnsi="宋体" w:eastAsia="宋体" w:cs="宋体"/>
                <w:spacing w:val="-2"/>
                <w:sz w:val="20"/>
                <w:szCs w:val="20"/>
              </w:rPr>
              <w:t>硝基</w:t>
            </w:r>
            <w:r>
              <w:rPr>
                <w:rFonts w:ascii="宋体" w:hAnsi="宋体" w:eastAsia="宋体" w:cs="宋体"/>
                <w:spacing w:val="-1"/>
                <w:sz w:val="20"/>
                <w:szCs w:val="20"/>
              </w:rPr>
              <w:t>苯</w:t>
            </w:r>
          </w:p>
        </w:tc>
        <w:tc>
          <w:tcPr>
            <w:tcW w:w="2132" w:type="dxa"/>
            <w:tcBorders>
              <w:left w:val="single" w:color="000000" w:sz="4" w:space="0"/>
              <w:right w:val="nil"/>
            </w:tcBorders>
            <w:vAlign w:val="top"/>
          </w:tcPr>
          <w:p w14:paraId="0FF3442B">
            <w:pPr>
              <w:spacing w:before="104" w:line="195" w:lineRule="auto"/>
              <w:ind w:left="9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w:t>
            </w:r>
            <w:r>
              <w:rPr>
                <w:rFonts w:ascii="Times New Roman" w:hAnsi="Times New Roman" w:eastAsia="Times New Roman" w:cs="Times New Roman"/>
                <w:spacing w:val="-1"/>
                <w:sz w:val="20"/>
                <w:szCs w:val="20"/>
              </w:rPr>
              <w:t>6</w:t>
            </w:r>
          </w:p>
        </w:tc>
      </w:tr>
      <w:tr w14:paraId="5F2012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2130" w:type="dxa"/>
            <w:tcBorders>
              <w:left w:val="nil"/>
              <w:right w:val="single" w:color="000000" w:sz="4" w:space="0"/>
            </w:tcBorders>
            <w:vAlign w:val="top"/>
          </w:tcPr>
          <w:p w14:paraId="148C997A">
            <w:pPr>
              <w:spacing w:before="67" w:line="233" w:lineRule="auto"/>
              <w:ind w:left="400"/>
              <w:rPr>
                <w:rFonts w:ascii="宋体" w:hAnsi="宋体" w:eastAsia="宋体" w:cs="宋体"/>
                <w:sz w:val="20"/>
                <w:szCs w:val="20"/>
              </w:rPr>
            </w:pPr>
            <w:r>
              <w:rPr>
                <w:rFonts w:ascii="宋体" w:hAnsi="宋体" w:eastAsia="宋体" w:cs="宋体"/>
                <w:spacing w:val="-4"/>
                <w:sz w:val="20"/>
                <w:szCs w:val="20"/>
              </w:rPr>
              <w:t>顺</w:t>
            </w:r>
            <w:r>
              <w:rPr>
                <w:rFonts w:ascii="Times New Roman" w:hAnsi="Times New Roman" w:eastAsia="Times New Roman" w:cs="Times New Roman"/>
                <w:spacing w:val="-4"/>
                <w:sz w:val="20"/>
                <w:szCs w:val="20"/>
              </w:rPr>
              <w:t>-1</w:t>
            </w:r>
            <w:r>
              <w:rPr>
                <w:rFonts w:ascii="Times New Roman" w:hAnsi="Times New Roman" w:eastAsia="Times New Roman" w:cs="Times New Roman"/>
                <w:spacing w:val="-2"/>
                <w:sz w:val="20"/>
                <w:szCs w:val="20"/>
              </w:rPr>
              <w:t>,2-</w:t>
            </w:r>
            <w:r>
              <w:rPr>
                <w:rFonts w:ascii="宋体" w:hAnsi="宋体" w:eastAsia="宋体" w:cs="宋体"/>
                <w:spacing w:val="-2"/>
                <w:sz w:val="20"/>
                <w:szCs w:val="20"/>
              </w:rPr>
              <w:t>二氯乙烯</w:t>
            </w:r>
          </w:p>
        </w:tc>
        <w:tc>
          <w:tcPr>
            <w:tcW w:w="2130" w:type="dxa"/>
            <w:tcBorders>
              <w:left w:val="single" w:color="000000" w:sz="4" w:space="0"/>
              <w:right w:val="single" w:color="000000" w:sz="4" w:space="0"/>
            </w:tcBorders>
            <w:vAlign w:val="top"/>
          </w:tcPr>
          <w:p w14:paraId="4D2AB9E6">
            <w:pPr>
              <w:spacing w:before="104" w:line="195" w:lineRule="auto"/>
              <w:ind w:left="92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59</w:t>
            </w:r>
            <w:r>
              <w:rPr>
                <w:rFonts w:ascii="Times New Roman" w:hAnsi="Times New Roman" w:eastAsia="Times New Roman" w:cs="Times New Roman"/>
                <w:spacing w:val="-1"/>
                <w:sz w:val="20"/>
                <w:szCs w:val="20"/>
              </w:rPr>
              <w:t>6</w:t>
            </w:r>
          </w:p>
        </w:tc>
        <w:tc>
          <w:tcPr>
            <w:tcW w:w="2130" w:type="dxa"/>
            <w:tcBorders>
              <w:left w:val="single" w:color="000000" w:sz="4" w:space="0"/>
              <w:right w:val="single" w:color="000000" w:sz="4" w:space="0"/>
            </w:tcBorders>
            <w:vAlign w:val="top"/>
          </w:tcPr>
          <w:p w14:paraId="350B9A72">
            <w:pPr>
              <w:spacing w:before="68" w:line="227" w:lineRule="auto"/>
              <w:ind w:left="874"/>
              <w:rPr>
                <w:rFonts w:ascii="宋体" w:hAnsi="宋体" w:eastAsia="宋体" w:cs="宋体"/>
                <w:sz w:val="20"/>
                <w:szCs w:val="20"/>
              </w:rPr>
            </w:pPr>
            <w:r>
              <w:rPr>
                <w:rFonts w:ascii="宋体" w:hAnsi="宋体" w:eastAsia="宋体" w:cs="宋体"/>
                <w:spacing w:val="-1"/>
                <w:sz w:val="20"/>
                <w:szCs w:val="20"/>
              </w:rPr>
              <w:t>苯胺</w:t>
            </w:r>
          </w:p>
        </w:tc>
        <w:tc>
          <w:tcPr>
            <w:tcW w:w="2132" w:type="dxa"/>
            <w:tcBorders>
              <w:left w:val="single" w:color="000000" w:sz="4" w:space="0"/>
              <w:right w:val="nil"/>
            </w:tcBorders>
            <w:vAlign w:val="top"/>
          </w:tcPr>
          <w:p w14:paraId="30053567">
            <w:pPr>
              <w:spacing w:before="104" w:line="195" w:lineRule="auto"/>
              <w:ind w:left="917"/>
              <w:rPr>
                <w:rFonts w:ascii="Times New Roman" w:hAnsi="Times New Roman" w:eastAsia="Times New Roman" w:cs="Times New Roman"/>
                <w:sz w:val="20"/>
                <w:szCs w:val="20"/>
              </w:rPr>
            </w:pPr>
            <w:r>
              <w:rPr>
                <w:rFonts w:ascii="Times New Roman" w:hAnsi="Times New Roman" w:eastAsia="Times New Roman" w:cs="Times New Roman"/>
                <w:sz w:val="20"/>
                <w:szCs w:val="20"/>
              </w:rPr>
              <w:t>260</w:t>
            </w:r>
          </w:p>
        </w:tc>
      </w:tr>
      <w:tr w14:paraId="657F9C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2130" w:type="dxa"/>
            <w:tcBorders>
              <w:left w:val="nil"/>
              <w:right w:val="single" w:color="000000" w:sz="4" w:space="0"/>
            </w:tcBorders>
            <w:vAlign w:val="top"/>
          </w:tcPr>
          <w:p w14:paraId="32C97F04">
            <w:pPr>
              <w:spacing w:before="67" w:line="233" w:lineRule="auto"/>
              <w:ind w:left="400"/>
              <w:rPr>
                <w:rFonts w:ascii="宋体" w:hAnsi="宋体" w:eastAsia="宋体" w:cs="宋体"/>
                <w:sz w:val="20"/>
                <w:szCs w:val="20"/>
              </w:rPr>
            </w:pPr>
            <w:r>
              <w:rPr>
                <w:rFonts w:ascii="宋体" w:hAnsi="宋体" w:eastAsia="宋体" w:cs="宋体"/>
                <w:spacing w:val="-4"/>
                <w:sz w:val="20"/>
                <w:szCs w:val="20"/>
              </w:rPr>
              <w:t>反</w:t>
            </w:r>
            <w:r>
              <w:rPr>
                <w:rFonts w:ascii="Times New Roman" w:hAnsi="Times New Roman" w:eastAsia="Times New Roman" w:cs="Times New Roman"/>
                <w:spacing w:val="-4"/>
                <w:sz w:val="20"/>
                <w:szCs w:val="20"/>
              </w:rPr>
              <w:t>-1</w:t>
            </w:r>
            <w:r>
              <w:rPr>
                <w:rFonts w:ascii="Times New Roman" w:hAnsi="Times New Roman" w:eastAsia="Times New Roman" w:cs="Times New Roman"/>
                <w:spacing w:val="-2"/>
                <w:sz w:val="20"/>
                <w:szCs w:val="20"/>
              </w:rPr>
              <w:t>,2-</w:t>
            </w:r>
            <w:r>
              <w:rPr>
                <w:rFonts w:ascii="宋体" w:hAnsi="宋体" w:eastAsia="宋体" w:cs="宋体"/>
                <w:spacing w:val="-2"/>
                <w:sz w:val="20"/>
                <w:szCs w:val="20"/>
              </w:rPr>
              <w:t>二氯乙烯</w:t>
            </w:r>
          </w:p>
        </w:tc>
        <w:tc>
          <w:tcPr>
            <w:tcW w:w="2130" w:type="dxa"/>
            <w:tcBorders>
              <w:left w:val="single" w:color="000000" w:sz="4" w:space="0"/>
              <w:right w:val="single" w:color="000000" w:sz="4" w:space="0"/>
            </w:tcBorders>
            <w:vAlign w:val="top"/>
          </w:tcPr>
          <w:p w14:paraId="2FD98D0D">
            <w:pPr>
              <w:spacing w:before="104" w:line="195" w:lineRule="auto"/>
              <w:ind w:left="97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5</w:t>
            </w:r>
            <w:r>
              <w:rPr>
                <w:rFonts w:ascii="Times New Roman" w:hAnsi="Times New Roman" w:eastAsia="Times New Roman" w:cs="Times New Roman"/>
                <w:spacing w:val="-2"/>
                <w:sz w:val="20"/>
                <w:szCs w:val="20"/>
              </w:rPr>
              <w:t>4</w:t>
            </w:r>
          </w:p>
        </w:tc>
        <w:tc>
          <w:tcPr>
            <w:tcW w:w="2130" w:type="dxa"/>
            <w:tcBorders>
              <w:left w:val="single" w:color="000000" w:sz="4" w:space="0"/>
              <w:right w:val="single" w:color="000000" w:sz="4" w:space="0"/>
            </w:tcBorders>
            <w:vAlign w:val="top"/>
          </w:tcPr>
          <w:p w14:paraId="51721D4A">
            <w:pPr>
              <w:spacing w:before="68" w:line="229" w:lineRule="auto"/>
              <w:ind w:left="786"/>
              <w:rPr>
                <w:rFonts w:ascii="宋体" w:hAnsi="宋体" w:eastAsia="宋体" w:cs="宋体"/>
                <w:sz w:val="20"/>
                <w:szCs w:val="20"/>
              </w:rPr>
            </w:pPr>
            <w:r>
              <w:rPr>
                <w:rFonts w:ascii="Times New Roman" w:hAnsi="Times New Roman" w:eastAsia="Times New Roman" w:cs="Times New Roman"/>
                <w:spacing w:val="-1"/>
                <w:sz w:val="20"/>
                <w:szCs w:val="20"/>
              </w:rPr>
              <w:t>2-</w:t>
            </w:r>
            <w:r>
              <w:rPr>
                <w:rFonts w:ascii="宋体" w:hAnsi="宋体" w:eastAsia="宋体" w:cs="宋体"/>
                <w:sz w:val="20"/>
                <w:szCs w:val="20"/>
              </w:rPr>
              <w:t>氯酚</w:t>
            </w:r>
          </w:p>
        </w:tc>
        <w:tc>
          <w:tcPr>
            <w:tcW w:w="2132" w:type="dxa"/>
            <w:tcBorders>
              <w:left w:val="single" w:color="000000" w:sz="4" w:space="0"/>
              <w:right w:val="nil"/>
            </w:tcBorders>
            <w:vAlign w:val="top"/>
          </w:tcPr>
          <w:p w14:paraId="59BD1BC9">
            <w:pPr>
              <w:spacing w:before="104" w:line="195" w:lineRule="auto"/>
              <w:ind w:left="86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w:t>
            </w:r>
            <w:r>
              <w:rPr>
                <w:rFonts w:ascii="Times New Roman" w:hAnsi="Times New Roman" w:eastAsia="Times New Roman" w:cs="Times New Roman"/>
                <w:sz w:val="20"/>
                <w:szCs w:val="20"/>
              </w:rPr>
              <w:t>256</w:t>
            </w:r>
          </w:p>
        </w:tc>
      </w:tr>
      <w:tr w14:paraId="302EBE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2130" w:type="dxa"/>
            <w:tcBorders>
              <w:left w:val="nil"/>
              <w:right w:val="single" w:color="000000" w:sz="4" w:space="0"/>
            </w:tcBorders>
            <w:vAlign w:val="top"/>
          </w:tcPr>
          <w:p w14:paraId="6CD32A27">
            <w:pPr>
              <w:spacing w:before="68" w:line="228" w:lineRule="auto"/>
              <w:ind w:left="683"/>
              <w:rPr>
                <w:rFonts w:ascii="宋体" w:hAnsi="宋体" w:eastAsia="宋体" w:cs="宋体"/>
                <w:sz w:val="20"/>
                <w:szCs w:val="20"/>
              </w:rPr>
            </w:pPr>
            <w:r>
              <w:rPr>
                <w:rFonts w:ascii="宋体" w:hAnsi="宋体" w:eastAsia="宋体" w:cs="宋体"/>
                <w:spacing w:val="-3"/>
                <w:sz w:val="20"/>
                <w:szCs w:val="20"/>
              </w:rPr>
              <w:t>二</w:t>
            </w:r>
            <w:r>
              <w:rPr>
                <w:rFonts w:ascii="宋体" w:hAnsi="宋体" w:eastAsia="宋体" w:cs="宋体"/>
                <w:spacing w:val="-2"/>
                <w:sz w:val="20"/>
                <w:szCs w:val="20"/>
              </w:rPr>
              <w:t>氯甲烷</w:t>
            </w:r>
          </w:p>
        </w:tc>
        <w:tc>
          <w:tcPr>
            <w:tcW w:w="2130" w:type="dxa"/>
            <w:tcBorders>
              <w:left w:val="single" w:color="000000" w:sz="4" w:space="0"/>
              <w:right w:val="single" w:color="000000" w:sz="4" w:space="0"/>
            </w:tcBorders>
            <w:vAlign w:val="top"/>
          </w:tcPr>
          <w:p w14:paraId="34F7E300">
            <w:pPr>
              <w:spacing w:before="104" w:line="195" w:lineRule="auto"/>
              <w:ind w:left="92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w:t>
            </w:r>
            <w:r>
              <w:rPr>
                <w:rFonts w:ascii="Times New Roman" w:hAnsi="Times New Roman" w:eastAsia="Times New Roman" w:cs="Times New Roman"/>
                <w:spacing w:val="-1"/>
                <w:sz w:val="20"/>
                <w:szCs w:val="20"/>
              </w:rPr>
              <w:t>16</w:t>
            </w:r>
          </w:p>
        </w:tc>
        <w:tc>
          <w:tcPr>
            <w:tcW w:w="2130" w:type="dxa"/>
            <w:tcBorders>
              <w:left w:val="single" w:color="000000" w:sz="4" w:space="0"/>
              <w:right w:val="single" w:color="000000" w:sz="4" w:space="0"/>
            </w:tcBorders>
            <w:vAlign w:val="top"/>
          </w:tcPr>
          <w:p w14:paraId="3E76E353">
            <w:pPr>
              <w:spacing w:before="30" w:line="281" w:lineRule="exact"/>
              <w:ind w:left="670"/>
              <w:rPr>
                <w:rFonts w:ascii="宋体" w:hAnsi="宋体" w:eastAsia="宋体" w:cs="宋体"/>
                <w:sz w:val="20"/>
                <w:szCs w:val="20"/>
              </w:rPr>
            </w:pPr>
            <w:r>
              <w:rPr>
                <w:rFonts w:ascii="宋体" w:hAnsi="宋体" w:eastAsia="宋体" w:cs="宋体"/>
                <w:spacing w:val="-4"/>
                <w:position w:val="2"/>
                <w:sz w:val="20"/>
                <w:szCs w:val="20"/>
              </w:rPr>
              <w:t>苯并</w:t>
            </w:r>
            <w:r>
              <w:rPr>
                <w:rFonts w:ascii="Times New Roman" w:hAnsi="Times New Roman" w:eastAsia="Times New Roman" w:cs="Times New Roman"/>
                <w:spacing w:val="-2"/>
                <w:position w:val="2"/>
                <w:sz w:val="20"/>
                <w:szCs w:val="20"/>
              </w:rPr>
              <w:t>[a]</w:t>
            </w:r>
            <w:r>
              <w:rPr>
                <w:rFonts w:ascii="宋体" w:hAnsi="宋体" w:eastAsia="宋体" w:cs="宋体"/>
                <w:spacing w:val="-2"/>
                <w:position w:val="2"/>
                <w:sz w:val="20"/>
                <w:szCs w:val="20"/>
              </w:rPr>
              <w:t>蒽</w:t>
            </w:r>
          </w:p>
        </w:tc>
        <w:tc>
          <w:tcPr>
            <w:tcW w:w="2132" w:type="dxa"/>
            <w:tcBorders>
              <w:left w:val="single" w:color="000000" w:sz="4" w:space="0"/>
              <w:right w:val="nil"/>
            </w:tcBorders>
            <w:vAlign w:val="top"/>
          </w:tcPr>
          <w:p w14:paraId="6004B0FD">
            <w:pPr>
              <w:spacing w:before="104" w:line="195" w:lineRule="auto"/>
              <w:ind w:left="987"/>
              <w:rPr>
                <w:rFonts w:ascii="Times New Roman" w:hAnsi="Times New Roman" w:eastAsia="Times New Roman" w:cs="Times New Roman"/>
                <w:sz w:val="20"/>
                <w:szCs w:val="20"/>
              </w:rPr>
            </w:pPr>
            <w:r>
              <w:rPr>
                <w:rFonts w:ascii="Times New Roman" w:hAnsi="Times New Roman" w:eastAsia="Times New Roman" w:cs="Times New Roman"/>
                <w:spacing w:val="-11"/>
                <w:sz w:val="20"/>
                <w:szCs w:val="20"/>
              </w:rPr>
              <w:t>1</w:t>
            </w:r>
            <w:r>
              <w:rPr>
                <w:rFonts w:ascii="Times New Roman" w:hAnsi="Times New Roman" w:eastAsia="Times New Roman" w:cs="Times New Roman"/>
                <w:spacing w:val="-9"/>
                <w:sz w:val="20"/>
                <w:szCs w:val="20"/>
              </w:rPr>
              <w:t>5</w:t>
            </w:r>
          </w:p>
        </w:tc>
      </w:tr>
      <w:tr w14:paraId="14F89B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2130" w:type="dxa"/>
            <w:tcBorders>
              <w:left w:val="nil"/>
              <w:right w:val="single" w:color="000000" w:sz="4" w:space="0"/>
            </w:tcBorders>
            <w:vAlign w:val="top"/>
          </w:tcPr>
          <w:p w14:paraId="4D710EA8">
            <w:pPr>
              <w:spacing w:before="67" w:line="221" w:lineRule="auto"/>
              <w:ind w:left="545"/>
              <w:rPr>
                <w:rFonts w:ascii="宋体" w:hAnsi="宋体" w:eastAsia="宋体" w:cs="宋体"/>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4"/>
                <w:sz w:val="20"/>
                <w:szCs w:val="20"/>
              </w:rPr>
              <w:t>,2-</w:t>
            </w:r>
            <w:r>
              <w:rPr>
                <w:rFonts w:ascii="宋体" w:hAnsi="宋体" w:eastAsia="宋体" w:cs="宋体"/>
                <w:spacing w:val="-4"/>
                <w:sz w:val="20"/>
                <w:szCs w:val="20"/>
              </w:rPr>
              <w:t>二氯丙烷</w:t>
            </w:r>
          </w:p>
        </w:tc>
        <w:tc>
          <w:tcPr>
            <w:tcW w:w="2130" w:type="dxa"/>
            <w:tcBorders>
              <w:left w:val="single" w:color="000000" w:sz="4" w:space="0"/>
              <w:right w:val="single" w:color="000000" w:sz="4" w:space="0"/>
            </w:tcBorders>
            <w:vAlign w:val="top"/>
          </w:tcPr>
          <w:p w14:paraId="53065DB4">
            <w:pPr>
              <w:spacing w:before="107" w:line="192" w:lineRule="auto"/>
              <w:ind w:left="1021"/>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2130" w:type="dxa"/>
            <w:tcBorders>
              <w:left w:val="single" w:color="000000" w:sz="4" w:space="0"/>
              <w:right w:val="single" w:color="000000" w:sz="4" w:space="0"/>
            </w:tcBorders>
            <w:vAlign w:val="top"/>
          </w:tcPr>
          <w:p w14:paraId="496C8CDF">
            <w:pPr>
              <w:spacing w:before="30" w:line="281" w:lineRule="exact"/>
              <w:ind w:left="670"/>
              <w:rPr>
                <w:rFonts w:ascii="宋体" w:hAnsi="宋体" w:eastAsia="宋体" w:cs="宋体"/>
                <w:sz w:val="20"/>
                <w:szCs w:val="20"/>
              </w:rPr>
            </w:pPr>
            <w:r>
              <w:rPr>
                <w:rFonts w:ascii="宋体" w:hAnsi="宋体" w:eastAsia="宋体" w:cs="宋体"/>
                <w:spacing w:val="-4"/>
                <w:position w:val="2"/>
                <w:sz w:val="20"/>
                <w:szCs w:val="20"/>
              </w:rPr>
              <w:t>苯并</w:t>
            </w:r>
            <w:r>
              <w:rPr>
                <w:rFonts w:ascii="Times New Roman" w:hAnsi="Times New Roman" w:eastAsia="Times New Roman" w:cs="Times New Roman"/>
                <w:spacing w:val="-2"/>
                <w:position w:val="2"/>
                <w:sz w:val="20"/>
                <w:szCs w:val="20"/>
              </w:rPr>
              <w:t>[a]</w:t>
            </w:r>
            <w:r>
              <w:rPr>
                <w:rFonts w:ascii="宋体" w:hAnsi="宋体" w:eastAsia="宋体" w:cs="宋体"/>
                <w:spacing w:val="-2"/>
                <w:position w:val="2"/>
                <w:sz w:val="20"/>
                <w:szCs w:val="20"/>
              </w:rPr>
              <w:t>芘</w:t>
            </w:r>
          </w:p>
        </w:tc>
        <w:tc>
          <w:tcPr>
            <w:tcW w:w="2132" w:type="dxa"/>
            <w:tcBorders>
              <w:left w:val="single" w:color="000000" w:sz="4" w:space="0"/>
              <w:right w:val="nil"/>
            </w:tcBorders>
            <w:vAlign w:val="top"/>
          </w:tcPr>
          <w:p w14:paraId="03664333">
            <w:pPr>
              <w:spacing w:before="104" w:line="198" w:lineRule="auto"/>
              <w:ind w:left="96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r>
      <w:tr w14:paraId="5C5DD3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2130" w:type="dxa"/>
            <w:tcBorders>
              <w:left w:val="nil"/>
              <w:right w:val="single" w:color="000000" w:sz="4" w:space="0"/>
            </w:tcBorders>
            <w:vAlign w:val="top"/>
          </w:tcPr>
          <w:p w14:paraId="1149F498">
            <w:pPr>
              <w:spacing w:before="67" w:line="221" w:lineRule="auto"/>
              <w:ind w:left="401"/>
              <w:rPr>
                <w:rFonts w:ascii="宋体" w:hAnsi="宋体" w:eastAsia="宋体" w:cs="宋体"/>
                <w:sz w:val="20"/>
                <w:szCs w:val="20"/>
              </w:rPr>
            </w:pPr>
            <w:r>
              <w:rPr>
                <w:rFonts w:ascii="Times New Roman" w:hAnsi="Times New Roman" w:eastAsia="Times New Roman" w:cs="Times New Roman"/>
                <w:spacing w:val="-10"/>
                <w:sz w:val="20"/>
                <w:szCs w:val="20"/>
              </w:rPr>
              <w:t>1</w:t>
            </w:r>
            <w:r>
              <w:rPr>
                <w:rFonts w:ascii="Times New Roman" w:hAnsi="Times New Roman" w:eastAsia="Times New Roman" w:cs="Times New Roman"/>
                <w:spacing w:val="-7"/>
                <w:sz w:val="20"/>
                <w:szCs w:val="20"/>
              </w:rPr>
              <w:t>, 1,1,2-</w:t>
            </w:r>
            <w:r>
              <w:rPr>
                <w:rFonts w:ascii="宋体" w:hAnsi="宋体" w:eastAsia="宋体" w:cs="宋体"/>
                <w:spacing w:val="-7"/>
                <w:sz w:val="20"/>
                <w:szCs w:val="20"/>
              </w:rPr>
              <w:t>四氯乙烷</w:t>
            </w:r>
          </w:p>
        </w:tc>
        <w:tc>
          <w:tcPr>
            <w:tcW w:w="2130" w:type="dxa"/>
            <w:tcBorders>
              <w:left w:val="single" w:color="000000" w:sz="4" w:space="0"/>
              <w:right w:val="single" w:color="000000" w:sz="4" w:space="0"/>
            </w:tcBorders>
            <w:vAlign w:val="top"/>
          </w:tcPr>
          <w:p w14:paraId="26095C59">
            <w:pPr>
              <w:spacing w:before="104" w:line="195" w:lineRule="auto"/>
              <w:ind w:left="985"/>
              <w:rPr>
                <w:rFonts w:ascii="Times New Roman" w:hAnsi="Times New Roman" w:eastAsia="Times New Roman" w:cs="Times New Roman"/>
                <w:sz w:val="20"/>
                <w:szCs w:val="20"/>
              </w:rPr>
            </w:pPr>
            <w:r>
              <w:rPr>
                <w:rFonts w:ascii="Times New Roman" w:hAnsi="Times New Roman" w:eastAsia="Times New Roman" w:cs="Times New Roman"/>
                <w:spacing w:val="-11"/>
                <w:sz w:val="20"/>
                <w:szCs w:val="20"/>
              </w:rPr>
              <w:t>1</w:t>
            </w:r>
            <w:r>
              <w:rPr>
                <w:rFonts w:ascii="Times New Roman" w:hAnsi="Times New Roman" w:eastAsia="Times New Roman" w:cs="Times New Roman"/>
                <w:spacing w:val="-9"/>
                <w:sz w:val="20"/>
                <w:szCs w:val="20"/>
              </w:rPr>
              <w:t>0</w:t>
            </w:r>
          </w:p>
        </w:tc>
        <w:tc>
          <w:tcPr>
            <w:tcW w:w="2130" w:type="dxa"/>
            <w:tcBorders>
              <w:left w:val="single" w:color="000000" w:sz="4" w:space="0"/>
              <w:right w:val="single" w:color="000000" w:sz="4" w:space="0"/>
            </w:tcBorders>
            <w:vAlign w:val="top"/>
          </w:tcPr>
          <w:p w14:paraId="1336D170">
            <w:pPr>
              <w:spacing w:before="30" w:line="281" w:lineRule="exact"/>
              <w:ind w:left="567"/>
              <w:rPr>
                <w:rFonts w:ascii="宋体" w:hAnsi="宋体" w:eastAsia="宋体" w:cs="宋体"/>
                <w:sz w:val="20"/>
                <w:szCs w:val="20"/>
              </w:rPr>
            </w:pPr>
            <w:r>
              <w:rPr>
                <w:rFonts w:ascii="宋体" w:hAnsi="宋体" w:eastAsia="宋体" w:cs="宋体"/>
                <w:spacing w:val="-4"/>
                <w:position w:val="2"/>
                <w:sz w:val="20"/>
                <w:szCs w:val="20"/>
              </w:rPr>
              <w:t>苯并</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spacing w:val="-2"/>
                <w:position w:val="2"/>
                <w:sz w:val="20"/>
                <w:szCs w:val="20"/>
              </w:rPr>
              <w:t>b]</w:t>
            </w:r>
            <w:r>
              <w:rPr>
                <w:rFonts w:ascii="宋体" w:hAnsi="宋体" w:eastAsia="宋体" w:cs="宋体"/>
                <w:spacing w:val="-2"/>
                <w:position w:val="2"/>
                <w:sz w:val="20"/>
                <w:szCs w:val="20"/>
              </w:rPr>
              <w:t>荧蒽</w:t>
            </w:r>
          </w:p>
        </w:tc>
        <w:tc>
          <w:tcPr>
            <w:tcW w:w="2132" w:type="dxa"/>
            <w:tcBorders>
              <w:left w:val="single" w:color="000000" w:sz="4" w:space="0"/>
              <w:right w:val="nil"/>
            </w:tcBorders>
            <w:vAlign w:val="top"/>
          </w:tcPr>
          <w:p w14:paraId="785938E6">
            <w:pPr>
              <w:spacing w:before="104" w:line="195" w:lineRule="auto"/>
              <w:ind w:left="987"/>
              <w:rPr>
                <w:rFonts w:ascii="Times New Roman" w:hAnsi="Times New Roman" w:eastAsia="Times New Roman" w:cs="Times New Roman"/>
                <w:sz w:val="20"/>
                <w:szCs w:val="20"/>
              </w:rPr>
            </w:pPr>
            <w:r>
              <w:rPr>
                <w:rFonts w:ascii="Times New Roman" w:hAnsi="Times New Roman" w:eastAsia="Times New Roman" w:cs="Times New Roman"/>
                <w:spacing w:val="-11"/>
                <w:sz w:val="20"/>
                <w:szCs w:val="20"/>
              </w:rPr>
              <w:t>1</w:t>
            </w:r>
            <w:r>
              <w:rPr>
                <w:rFonts w:ascii="Times New Roman" w:hAnsi="Times New Roman" w:eastAsia="Times New Roman" w:cs="Times New Roman"/>
                <w:spacing w:val="-9"/>
                <w:sz w:val="20"/>
                <w:szCs w:val="20"/>
              </w:rPr>
              <w:t>5</w:t>
            </w:r>
          </w:p>
        </w:tc>
      </w:tr>
      <w:tr w14:paraId="70B7E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2130" w:type="dxa"/>
            <w:tcBorders>
              <w:left w:val="nil"/>
              <w:right w:val="single" w:color="000000" w:sz="4" w:space="0"/>
            </w:tcBorders>
            <w:vAlign w:val="top"/>
          </w:tcPr>
          <w:p w14:paraId="7B51521B">
            <w:pPr>
              <w:spacing w:before="67" w:line="221" w:lineRule="auto"/>
              <w:ind w:left="401"/>
              <w:rPr>
                <w:rFonts w:ascii="宋体" w:hAnsi="宋体" w:eastAsia="宋体" w:cs="宋体"/>
                <w:sz w:val="20"/>
                <w:szCs w:val="20"/>
              </w:rPr>
            </w:pPr>
            <w:r>
              <w:rPr>
                <w:rFonts w:ascii="Times New Roman" w:hAnsi="Times New Roman" w:eastAsia="Times New Roman" w:cs="Times New Roman"/>
                <w:spacing w:val="-10"/>
                <w:sz w:val="20"/>
                <w:szCs w:val="20"/>
              </w:rPr>
              <w:t>1</w:t>
            </w:r>
            <w:r>
              <w:rPr>
                <w:rFonts w:ascii="Times New Roman" w:hAnsi="Times New Roman" w:eastAsia="Times New Roman" w:cs="Times New Roman"/>
                <w:spacing w:val="-7"/>
                <w:sz w:val="20"/>
                <w:szCs w:val="20"/>
              </w:rPr>
              <w:t>, 1,2,2-</w:t>
            </w:r>
            <w:r>
              <w:rPr>
                <w:rFonts w:ascii="宋体" w:hAnsi="宋体" w:eastAsia="宋体" w:cs="宋体"/>
                <w:spacing w:val="-7"/>
                <w:sz w:val="20"/>
                <w:szCs w:val="20"/>
              </w:rPr>
              <w:t>四氯乙烷</w:t>
            </w:r>
          </w:p>
        </w:tc>
        <w:tc>
          <w:tcPr>
            <w:tcW w:w="2130" w:type="dxa"/>
            <w:tcBorders>
              <w:left w:val="single" w:color="000000" w:sz="4" w:space="0"/>
              <w:right w:val="single" w:color="000000" w:sz="4" w:space="0"/>
            </w:tcBorders>
            <w:vAlign w:val="top"/>
          </w:tcPr>
          <w:p w14:paraId="1EB1F0EE">
            <w:pPr>
              <w:spacing w:before="104" w:line="195" w:lineRule="auto"/>
              <w:ind w:left="94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6.8</w:t>
            </w:r>
          </w:p>
        </w:tc>
        <w:tc>
          <w:tcPr>
            <w:tcW w:w="2130" w:type="dxa"/>
            <w:tcBorders>
              <w:left w:val="single" w:color="000000" w:sz="4" w:space="0"/>
              <w:right w:val="single" w:color="000000" w:sz="4" w:space="0"/>
            </w:tcBorders>
            <w:vAlign w:val="top"/>
          </w:tcPr>
          <w:p w14:paraId="230F792D">
            <w:pPr>
              <w:spacing w:before="30" w:line="281" w:lineRule="exact"/>
              <w:ind w:left="567"/>
              <w:rPr>
                <w:rFonts w:ascii="宋体" w:hAnsi="宋体" w:eastAsia="宋体" w:cs="宋体"/>
                <w:sz w:val="20"/>
                <w:szCs w:val="20"/>
              </w:rPr>
            </w:pPr>
            <w:r>
              <w:rPr>
                <w:rFonts w:ascii="宋体" w:hAnsi="宋体" w:eastAsia="宋体" w:cs="宋体"/>
                <w:spacing w:val="-4"/>
                <w:position w:val="2"/>
                <w:sz w:val="20"/>
                <w:szCs w:val="20"/>
              </w:rPr>
              <w:t>苯并</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spacing w:val="-2"/>
                <w:position w:val="2"/>
                <w:sz w:val="20"/>
                <w:szCs w:val="20"/>
              </w:rPr>
              <w:t>k]</w:t>
            </w:r>
            <w:r>
              <w:rPr>
                <w:rFonts w:ascii="宋体" w:hAnsi="宋体" w:eastAsia="宋体" w:cs="宋体"/>
                <w:spacing w:val="-2"/>
                <w:position w:val="2"/>
                <w:sz w:val="20"/>
                <w:szCs w:val="20"/>
              </w:rPr>
              <w:t>荧蒽</w:t>
            </w:r>
          </w:p>
        </w:tc>
        <w:tc>
          <w:tcPr>
            <w:tcW w:w="2132" w:type="dxa"/>
            <w:tcBorders>
              <w:left w:val="single" w:color="000000" w:sz="4" w:space="0"/>
              <w:right w:val="nil"/>
            </w:tcBorders>
            <w:vAlign w:val="top"/>
          </w:tcPr>
          <w:p w14:paraId="554EB522">
            <w:pPr>
              <w:spacing w:before="104" w:line="195" w:lineRule="auto"/>
              <w:ind w:left="937"/>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6"/>
                <w:sz w:val="20"/>
                <w:szCs w:val="20"/>
              </w:rPr>
              <w:t>51</w:t>
            </w:r>
          </w:p>
        </w:tc>
      </w:tr>
      <w:tr w14:paraId="6CBF14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2130" w:type="dxa"/>
            <w:tcBorders>
              <w:left w:val="nil"/>
              <w:right w:val="single" w:color="000000" w:sz="4" w:space="0"/>
            </w:tcBorders>
            <w:vAlign w:val="top"/>
          </w:tcPr>
          <w:p w14:paraId="0CDB4134">
            <w:pPr>
              <w:spacing w:before="68" w:line="228" w:lineRule="auto"/>
              <w:ind w:left="699"/>
              <w:rPr>
                <w:rFonts w:ascii="宋体" w:hAnsi="宋体" w:eastAsia="宋体" w:cs="宋体"/>
                <w:sz w:val="20"/>
                <w:szCs w:val="20"/>
              </w:rPr>
            </w:pPr>
            <w:r>
              <w:rPr>
                <w:rFonts w:ascii="宋体" w:hAnsi="宋体" w:eastAsia="宋体" w:cs="宋体"/>
                <w:spacing w:val="-8"/>
                <w:sz w:val="20"/>
                <w:szCs w:val="20"/>
              </w:rPr>
              <w:t>四</w:t>
            </w:r>
            <w:r>
              <w:rPr>
                <w:rFonts w:ascii="宋体" w:hAnsi="宋体" w:eastAsia="宋体" w:cs="宋体"/>
                <w:spacing w:val="-6"/>
                <w:sz w:val="20"/>
                <w:szCs w:val="20"/>
              </w:rPr>
              <w:t>氯乙烯</w:t>
            </w:r>
          </w:p>
        </w:tc>
        <w:tc>
          <w:tcPr>
            <w:tcW w:w="2130" w:type="dxa"/>
            <w:tcBorders>
              <w:left w:val="single" w:color="000000" w:sz="4" w:space="0"/>
              <w:right w:val="single" w:color="000000" w:sz="4" w:space="0"/>
            </w:tcBorders>
            <w:vAlign w:val="top"/>
          </w:tcPr>
          <w:p w14:paraId="72E6541A">
            <w:pPr>
              <w:spacing w:before="105" w:line="195" w:lineRule="auto"/>
              <w:ind w:left="97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5</w:t>
            </w:r>
            <w:r>
              <w:rPr>
                <w:rFonts w:ascii="Times New Roman" w:hAnsi="Times New Roman" w:eastAsia="Times New Roman" w:cs="Times New Roman"/>
                <w:spacing w:val="-2"/>
                <w:sz w:val="20"/>
                <w:szCs w:val="20"/>
              </w:rPr>
              <w:t>3</w:t>
            </w:r>
          </w:p>
        </w:tc>
        <w:tc>
          <w:tcPr>
            <w:tcW w:w="2130" w:type="dxa"/>
            <w:tcBorders>
              <w:left w:val="single" w:color="000000" w:sz="4" w:space="0"/>
              <w:right w:val="single" w:color="000000" w:sz="4" w:space="0"/>
            </w:tcBorders>
            <w:vAlign w:val="top"/>
          </w:tcPr>
          <w:p w14:paraId="235427CB">
            <w:pPr>
              <w:spacing w:before="69" w:line="229" w:lineRule="auto"/>
              <w:ind w:left="968"/>
              <w:rPr>
                <w:rFonts w:ascii="宋体" w:hAnsi="宋体" w:eastAsia="宋体" w:cs="宋体"/>
                <w:sz w:val="20"/>
                <w:szCs w:val="20"/>
              </w:rPr>
            </w:pPr>
            <w:r>
              <w:rPr>
                <w:rFonts w:ascii="宋体" w:hAnsi="宋体" w:eastAsia="宋体" w:cs="宋体"/>
                <w:spacing w:val="2"/>
                <w:sz w:val="20"/>
                <w:szCs w:val="20"/>
              </w:rPr>
              <w:t>䓛</w:t>
            </w:r>
          </w:p>
        </w:tc>
        <w:tc>
          <w:tcPr>
            <w:tcW w:w="2132" w:type="dxa"/>
            <w:tcBorders>
              <w:left w:val="single" w:color="000000" w:sz="4" w:space="0"/>
              <w:right w:val="nil"/>
            </w:tcBorders>
            <w:vAlign w:val="top"/>
          </w:tcPr>
          <w:p w14:paraId="0D5EE065">
            <w:pPr>
              <w:spacing w:before="105" w:line="195" w:lineRule="auto"/>
              <w:ind w:left="889"/>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5"/>
                <w:sz w:val="20"/>
                <w:szCs w:val="20"/>
              </w:rPr>
              <w:t>293</w:t>
            </w:r>
          </w:p>
        </w:tc>
      </w:tr>
      <w:tr w14:paraId="161CC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2130" w:type="dxa"/>
            <w:tcBorders>
              <w:left w:val="nil"/>
              <w:right w:val="single" w:color="000000" w:sz="4" w:space="0"/>
            </w:tcBorders>
            <w:vAlign w:val="top"/>
          </w:tcPr>
          <w:p w14:paraId="4DB06E08">
            <w:pPr>
              <w:spacing w:before="68" w:line="221" w:lineRule="auto"/>
              <w:ind w:left="473"/>
              <w:rPr>
                <w:rFonts w:ascii="宋体" w:hAnsi="宋体" w:eastAsia="宋体" w:cs="宋体"/>
                <w:sz w:val="20"/>
                <w:szCs w:val="20"/>
              </w:rPr>
            </w:pPr>
            <w:r>
              <w:rPr>
                <w:rFonts w:ascii="Times New Roman" w:hAnsi="Times New Roman" w:eastAsia="Times New Roman" w:cs="Times New Roman"/>
                <w:spacing w:val="-8"/>
                <w:sz w:val="20"/>
                <w:szCs w:val="20"/>
              </w:rPr>
              <w:t>1, 1,1-</w:t>
            </w:r>
            <w:r>
              <w:rPr>
                <w:rFonts w:ascii="宋体" w:hAnsi="宋体" w:eastAsia="宋体" w:cs="宋体"/>
                <w:spacing w:val="-8"/>
                <w:sz w:val="20"/>
                <w:szCs w:val="20"/>
              </w:rPr>
              <w:t>三氯乙烷</w:t>
            </w:r>
          </w:p>
        </w:tc>
        <w:tc>
          <w:tcPr>
            <w:tcW w:w="2130" w:type="dxa"/>
            <w:tcBorders>
              <w:left w:val="single" w:color="000000" w:sz="4" w:space="0"/>
              <w:right w:val="single" w:color="000000" w:sz="4" w:space="0"/>
            </w:tcBorders>
            <w:vAlign w:val="top"/>
          </w:tcPr>
          <w:p w14:paraId="68E3D43F">
            <w:pPr>
              <w:spacing w:before="105" w:line="195" w:lineRule="auto"/>
              <w:ind w:left="92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8</w:t>
            </w:r>
            <w:r>
              <w:rPr>
                <w:rFonts w:ascii="Times New Roman" w:hAnsi="Times New Roman" w:eastAsia="Times New Roman" w:cs="Times New Roman"/>
                <w:spacing w:val="-2"/>
                <w:sz w:val="20"/>
                <w:szCs w:val="20"/>
              </w:rPr>
              <w:t>40</w:t>
            </w:r>
          </w:p>
        </w:tc>
        <w:tc>
          <w:tcPr>
            <w:tcW w:w="2130" w:type="dxa"/>
            <w:tcBorders>
              <w:left w:val="single" w:color="000000" w:sz="4" w:space="0"/>
              <w:right w:val="single" w:color="000000" w:sz="4" w:space="0"/>
            </w:tcBorders>
            <w:vAlign w:val="top"/>
          </w:tcPr>
          <w:p w14:paraId="4F1C6658">
            <w:pPr>
              <w:spacing w:before="31" w:line="281" w:lineRule="exact"/>
              <w:ind w:left="426"/>
              <w:rPr>
                <w:rFonts w:ascii="宋体" w:hAnsi="宋体" w:eastAsia="宋体" w:cs="宋体"/>
                <w:sz w:val="20"/>
                <w:szCs w:val="20"/>
              </w:rPr>
            </w:pPr>
            <w:r>
              <w:rPr>
                <w:rFonts w:ascii="宋体" w:hAnsi="宋体" w:eastAsia="宋体" w:cs="宋体"/>
                <w:spacing w:val="-4"/>
                <w:position w:val="2"/>
                <w:sz w:val="20"/>
                <w:szCs w:val="20"/>
              </w:rPr>
              <w:t>二</w:t>
            </w:r>
            <w:r>
              <w:rPr>
                <w:rFonts w:ascii="宋体" w:hAnsi="宋体" w:eastAsia="宋体" w:cs="宋体"/>
                <w:spacing w:val="-3"/>
                <w:position w:val="2"/>
                <w:sz w:val="20"/>
                <w:szCs w:val="20"/>
              </w:rPr>
              <w:t>苯并</w:t>
            </w:r>
            <w:r>
              <w:rPr>
                <w:rFonts w:ascii="Times New Roman" w:hAnsi="Times New Roman" w:eastAsia="Times New Roman" w:cs="Times New Roman"/>
                <w:spacing w:val="-3"/>
                <w:position w:val="2"/>
                <w:sz w:val="20"/>
                <w:szCs w:val="20"/>
              </w:rPr>
              <w:t>[a</w:t>
            </w:r>
            <w:r>
              <w:rPr>
                <w:rFonts w:ascii="宋体" w:hAnsi="宋体" w:eastAsia="宋体" w:cs="宋体"/>
                <w:spacing w:val="-3"/>
                <w:position w:val="2"/>
                <w:sz w:val="20"/>
                <w:szCs w:val="20"/>
              </w:rPr>
              <w:t>、</w:t>
            </w:r>
            <w:r>
              <w:rPr>
                <w:rFonts w:ascii="Times New Roman" w:hAnsi="Times New Roman" w:eastAsia="Times New Roman" w:cs="Times New Roman"/>
                <w:spacing w:val="-3"/>
                <w:position w:val="2"/>
                <w:sz w:val="20"/>
                <w:szCs w:val="20"/>
              </w:rPr>
              <w:t>h]</w:t>
            </w:r>
            <w:r>
              <w:rPr>
                <w:rFonts w:ascii="宋体" w:hAnsi="宋体" w:eastAsia="宋体" w:cs="宋体"/>
                <w:spacing w:val="-3"/>
                <w:position w:val="2"/>
                <w:sz w:val="20"/>
                <w:szCs w:val="20"/>
              </w:rPr>
              <w:t>蒽</w:t>
            </w:r>
          </w:p>
        </w:tc>
        <w:tc>
          <w:tcPr>
            <w:tcW w:w="2132" w:type="dxa"/>
            <w:tcBorders>
              <w:left w:val="single" w:color="000000" w:sz="4" w:space="0"/>
              <w:right w:val="nil"/>
            </w:tcBorders>
            <w:vAlign w:val="top"/>
          </w:tcPr>
          <w:p w14:paraId="5194DE1D">
            <w:pPr>
              <w:spacing w:before="105" w:line="198" w:lineRule="auto"/>
              <w:ind w:left="96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r>
      <w:tr w14:paraId="733530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2130" w:type="dxa"/>
            <w:tcBorders>
              <w:left w:val="nil"/>
              <w:right w:val="single" w:color="000000" w:sz="4" w:space="0"/>
            </w:tcBorders>
            <w:vAlign w:val="top"/>
          </w:tcPr>
          <w:p w14:paraId="4F687516">
            <w:pPr>
              <w:spacing w:before="69" w:line="221" w:lineRule="auto"/>
              <w:ind w:left="473"/>
              <w:rPr>
                <w:rFonts w:ascii="宋体" w:hAnsi="宋体" w:eastAsia="宋体" w:cs="宋体"/>
                <w:sz w:val="20"/>
                <w:szCs w:val="20"/>
              </w:rPr>
            </w:pPr>
            <w:r>
              <w:rPr>
                <w:rFonts w:ascii="Times New Roman" w:hAnsi="Times New Roman" w:eastAsia="Times New Roman" w:cs="Times New Roman"/>
                <w:spacing w:val="-8"/>
                <w:sz w:val="20"/>
                <w:szCs w:val="20"/>
              </w:rPr>
              <w:t>1, 1,2-</w:t>
            </w:r>
            <w:r>
              <w:rPr>
                <w:rFonts w:ascii="宋体" w:hAnsi="宋体" w:eastAsia="宋体" w:cs="宋体"/>
                <w:spacing w:val="-8"/>
                <w:sz w:val="20"/>
                <w:szCs w:val="20"/>
              </w:rPr>
              <w:t>三氯乙烷</w:t>
            </w:r>
          </w:p>
        </w:tc>
        <w:tc>
          <w:tcPr>
            <w:tcW w:w="2130" w:type="dxa"/>
            <w:tcBorders>
              <w:left w:val="single" w:color="000000" w:sz="4" w:space="0"/>
              <w:right w:val="single" w:color="000000" w:sz="4" w:space="0"/>
            </w:tcBorders>
            <w:vAlign w:val="top"/>
          </w:tcPr>
          <w:p w14:paraId="673F9A7E">
            <w:pPr>
              <w:spacing w:before="106" w:line="198" w:lineRule="auto"/>
              <w:ind w:left="94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w:t>
            </w:r>
            <w:r>
              <w:rPr>
                <w:rFonts w:ascii="Times New Roman" w:hAnsi="Times New Roman" w:eastAsia="Times New Roman" w:cs="Times New Roman"/>
                <w:sz w:val="20"/>
                <w:szCs w:val="20"/>
              </w:rPr>
              <w:t>8</w:t>
            </w:r>
          </w:p>
        </w:tc>
        <w:tc>
          <w:tcPr>
            <w:tcW w:w="2130" w:type="dxa"/>
            <w:tcBorders>
              <w:left w:val="single" w:color="000000" w:sz="4" w:space="0"/>
              <w:right w:val="single" w:color="000000" w:sz="4" w:space="0"/>
            </w:tcBorders>
            <w:vAlign w:val="top"/>
          </w:tcPr>
          <w:p w14:paraId="6F3DED42">
            <w:pPr>
              <w:spacing w:before="32" w:line="281" w:lineRule="exact"/>
              <w:ind w:left="398"/>
              <w:rPr>
                <w:rFonts w:ascii="宋体" w:hAnsi="宋体" w:eastAsia="宋体" w:cs="宋体"/>
                <w:sz w:val="20"/>
                <w:szCs w:val="20"/>
              </w:rPr>
            </w:pPr>
            <w:r>
              <w:rPr>
                <w:rFonts w:ascii="宋体" w:hAnsi="宋体" w:eastAsia="宋体" w:cs="宋体"/>
                <w:spacing w:val="-4"/>
                <w:position w:val="2"/>
                <w:sz w:val="20"/>
                <w:szCs w:val="20"/>
              </w:rPr>
              <w:t>茚并</w:t>
            </w:r>
            <w:r>
              <w:rPr>
                <w:rFonts w:ascii="Times New Roman" w:hAnsi="Times New Roman" w:eastAsia="Times New Roman" w:cs="Times New Roman"/>
                <w:spacing w:val="-4"/>
                <w:position w:val="2"/>
                <w:sz w:val="20"/>
                <w:szCs w:val="20"/>
              </w:rPr>
              <w:t>[1</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spacing w:val="-2"/>
                <w:position w:val="2"/>
                <w:sz w:val="20"/>
                <w:szCs w:val="20"/>
              </w:rPr>
              <w:t>2,3-cd]</w:t>
            </w:r>
            <w:r>
              <w:rPr>
                <w:rFonts w:ascii="宋体" w:hAnsi="宋体" w:eastAsia="宋体" w:cs="宋体"/>
                <w:spacing w:val="-2"/>
                <w:position w:val="2"/>
                <w:sz w:val="20"/>
                <w:szCs w:val="20"/>
              </w:rPr>
              <w:t>芘</w:t>
            </w:r>
          </w:p>
        </w:tc>
        <w:tc>
          <w:tcPr>
            <w:tcW w:w="2132" w:type="dxa"/>
            <w:tcBorders>
              <w:left w:val="single" w:color="000000" w:sz="4" w:space="0"/>
              <w:right w:val="nil"/>
            </w:tcBorders>
            <w:vAlign w:val="top"/>
          </w:tcPr>
          <w:p w14:paraId="19F2E794">
            <w:pPr>
              <w:spacing w:before="106" w:line="195" w:lineRule="auto"/>
              <w:ind w:left="987"/>
              <w:rPr>
                <w:rFonts w:ascii="Times New Roman" w:hAnsi="Times New Roman" w:eastAsia="Times New Roman" w:cs="Times New Roman"/>
                <w:sz w:val="20"/>
                <w:szCs w:val="20"/>
              </w:rPr>
            </w:pPr>
            <w:r>
              <w:rPr>
                <w:rFonts w:ascii="Times New Roman" w:hAnsi="Times New Roman" w:eastAsia="Times New Roman" w:cs="Times New Roman"/>
                <w:spacing w:val="-11"/>
                <w:sz w:val="20"/>
                <w:szCs w:val="20"/>
              </w:rPr>
              <w:t>1</w:t>
            </w:r>
            <w:r>
              <w:rPr>
                <w:rFonts w:ascii="Times New Roman" w:hAnsi="Times New Roman" w:eastAsia="Times New Roman" w:cs="Times New Roman"/>
                <w:spacing w:val="-9"/>
                <w:sz w:val="20"/>
                <w:szCs w:val="20"/>
              </w:rPr>
              <w:t>5</w:t>
            </w:r>
          </w:p>
        </w:tc>
      </w:tr>
      <w:tr w14:paraId="1F8AED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130" w:type="dxa"/>
            <w:tcBorders>
              <w:left w:val="nil"/>
              <w:right w:val="single" w:color="000000" w:sz="4" w:space="0"/>
            </w:tcBorders>
            <w:vAlign w:val="top"/>
          </w:tcPr>
          <w:p w14:paraId="1C37C723">
            <w:pPr>
              <w:spacing w:before="70" w:line="228" w:lineRule="auto"/>
              <w:ind w:left="976"/>
              <w:rPr>
                <w:rFonts w:ascii="宋体" w:hAnsi="宋体" w:eastAsia="宋体" w:cs="宋体"/>
                <w:sz w:val="20"/>
                <w:szCs w:val="20"/>
              </w:rPr>
            </w:pPr>
            <w:r>
              <w:rPr>
                <w:rFonts w:ascii="宋体" w:hAnsi="宋体" w:eastAsia="宋体" w:cs="宋体"/>
                <w:sz w:val="20"/>
                <w:szCs w:val="20"/>
              </w:rPr>
              <w:t>萘</w:t>
            </w:r>
          </w:p>
        </w:tc>
        <w:tc>
          <w:tcPr>
            <w:tcW w:w="2130" w:type="dxa"/>
            <w:tcBorders>
              <w:left w:val="single" w:color="000000" w:sz="4" w:space="0"/>
              <w:right w:val="single" w:color="000000" w:sz="4" w:space="0"/>
            </w:tcBorders>
            <w:vAlign w:val="top"/>
          </w:tcPr>
          <w:p w14:paraId="00C71C5B">
            <w:pPr>
              <w:spacing w:before="106"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w:t>
            </w:r>
            <w:r>
              <w:rPr>
                <w:rFonts w:ascii="Times New Roman" w:hAnsi="Times New Roman" w:eastAsia="Times New Roman" w:cs="Times New Roman"/>
                <w:spacing w:val="-1"/>
                <w:sz w:val="20"/>
                <w:szCs w:val="20"/>
              </w:rPr>
              <w:t>0</w:t>
            </w:r>
          </w:p>
        </w:tc>
        <w:tc>
          <w:tcPr>
            <w:tcW w:w="4262" w:type="dxa"/>
            <w:gridSpan w:val="2"/>
            <w:tcBorders>
              <w:left w:val="single" w:color="000000" w:sz="4" w:space="0"/>
              <w:right w:val="nil"/>
            </w:tcBorders>
            <w:vAlign w:val="top"/>
          </w:tcPr>
          <w:p w14:paraId="67936A44">
            <w:pPr>
              <w:rPr>
                <w:rFonts w:ascii="Arial"/>
                <w:sz w:val="21"/>
              </w:rPr>
            </w:pPr>
          </w:p>
        </w:tc>
      </w:tr>
    </w:tbl>
    <w:p w14:paraId="4D3599D0">
      <w:pPr>
        <w:spacing w:before="245" w:line="221" w:lineRule="auto"/>
        <w:ind w:left="114"/>
        <w:outlineLvl w:val="3"/>
        <w:rPr>
          <w:rFonts w:ascii="宋体" w:hAnsi="宋体" w:eastAsia="宋体" w:cs="宋体"/>
          <w:sz w:val="28"/>
          <w:szCs w:val="28"/>
        </w:rPr>
      </w:pPr>
      <w:r>
        <w:rPr>
          <w:rFonts w:ascii="Times New Roman" w:hAnsi="Times New Roman" w:eastAsia="Times New Roman" w:cs="Times New Roman"/>
          <w:b/>
          <w:bCs/>
          <w:spacing w:val="-1"/>
          <w:sz w:val="28"/>
          <w:szCs w:val="28"/>
        </w:rPr>
        <w:t>2.5.2.2</w:t>
      </w:r>
      <w:r>
        <w:rPr>
          <w:rFonts w:ascii="Times New Roman" w:hAnsi="Times New Roman" w:eastAsia="Times New Roman" w:cs="Times New Roman"/>
          <w:sz w:val="28"/>
          <w:szCs w:val="28"/>
        </w:rPr>
        <w:t xml:space="preserve">  </w:t>
      </w:r>
      <w:r>
        <w:rPr>
          <w:rFonts w:ascii="宋体" w:hAnsi="宋体" w:eastAsia="宋体" w:cs="宋体"/>
          <w:sz w:val="28"/>
          <w:szCs w:val="28"/>
          <w14:textOutline w14:w="5103" w14:cap="sq" w14:cmpd="sng">
            <w14:solidFill>
              <w14:srgbClr w14:val="000000"/>
            </w14:solidFill>
            <w14:prstDash w14:val="solid"/>
            <w14:bevel/>
          </w14:textOutline>
        </w:rPr>
        <w:t>污染物排放标准</w:t>
      </w:r>
    </w:p>
    <w:p w14:paraId="11EACBDD">
      <w:pPr>
        <w:spacing w:before="279" w:line="228" w:lineRule="auto"/>
        <w:ind w:left="604"/>
        <w:rPr>
          <w:rFonts w:ascii="宋体" w:hAnsi="宋体" w:eastAsia="宋体" w:cs="宋体"/>
          <w:sz w:val="23"/>
          <w:szCs w:val="23"/>
        </w:rPr>
      </w:pPr>
      <w:r>
        <w:rPr>
          <w:rFonts w:ascii="宋体" w:hAnsi="宋体" w:eastAsia="宋体" w:cs="宋体"/>
          <w:spacing w:val="24"/>
          <w:sz w:val="23"/>
          <w:szCs w:val="23"/>
        </w:rPr>
        <w:t>(</w:t>
      </w:r>
      <w:r>
        <w:rPr>
          <w:rFonts w:ascii="Times New Roman" w:hAnsi="Times New Roman" w:eastAsia="Times New Roman" w:cs="Times New Roman"/>
          <w:spacing w:val="22"/>
          <w:sz w:val="23"/>
          <w:szCs w:val="23"/>
        </w:rPr>
        <w:t>1</w:t>
      </w:r>
      <w:r>
        <w:rPr>
          <w:rFonts w:ascii="宋体" w:hAnsi="宋体" w:eastAsia="宋体" w:cs="宋体"/>
          <w:spacing w:val="22"/>
          <w:sz w:val="23"/>
          <w:szCs w:val="23"/>
        </w:rPr>
        <w:t>) 废气</w:t>
      </w:r>
    </w:p>
    <w:p w14:paraId="0AE414FD">
      <w:pPr>
        <w:spacing w:before="298" w:line="393" w:lineRule="auto"/>
        <w:ind w:left="121" w:right="124" w:firstLine="470"/>
        <w:rPr>
          <w:rFonts w:ascii="宋体" w:hAnsi="宋体" w:eastAsia="宋体" w:cs="宋体"/>
          <w:sz w:val="23"/>
          <w:szCs w:val="23"/>
        </w:rPr>
      </w:pPr>
      <w:r>
        <w:rPr>
          <w:rFonts w:ascii="宋体" w:hAnsi="宋体" w:eastAsia="宋体" w:cs="宋体"/>
          <w:spacing w:val="12"/>
          <w:sz w:val="23"/>
          <w:szCs w:val="23"/>
        </w:rPr>
        <w:t>①施工</w:t>
      </w:r>
      <w:r>
        <w:rPr>
          <w:rFonts w:ascii="宋体" w:hAnsi="宋体" w:eastAsia="宋体" w:cs="宋体"/>
          <w:spacing w:val="6"/>
          <w:sz w:val="23"/>
          <w:szCs w:val="23"/>
        </w:rPr>
        <w:t>期施工场地扬尘及堆料场扬尘为无组织排放，厂界颗粒物排放浓度执</w:t>
      </w:r>
      <w:r>
        <w:rPr>
          <w:rFonts w:ascii="宋体" w:hAnsi="宋体" w:eastAsia="宋体" w:cs="宋体"/>
          <w:sz w:val="23"/>
          <w:szCs w:val="23"/>
        </w:rPr>
        <w:t xml:space="preserve"> </w:t>
      </w:r>
      <w:r>
        <w:rPr>
          <w:rFonts w:ascii="宋体" w:hAnsi="宋体" w:eastAsia="宋体" w:cs="宋体"/>
          <w:spacing w:val="2"/>
          <w:sz w:val="23"/>
          <w:szCs w:val="23"/>
        </w:rPr>
        <w:t>行</w:t>
      </w:r>
      <w:r>
        <w:rPr>
          <w:rFonts w:ascii="宋体" w:hAnsi="宋体" w:eastAsia="宋体" w:cs="宋体"/>
          <w:spacing w:val="1"/>
          <w:sz w:val="23"/>
          <w:szCs w:val="23"/>
        </w:rPr>
        <w:t>《辽宁省施工及堆料场地扬尘排放标准》  (</w:t>
      </w:r>
      <w:r>
        <w:rPr>
          <w:rFonts w:ascii="Times New Roman" w:hAnsi="Times New Roman" w:eastAsia="Times New Roman" w:cs="Times New Roman"/>
          <w:sz w:val="23"/>
          <w:szCs w:val="23"/>
        </w:rPr>
        <w:t>DB</w:t>
      </w:r>
      <w:r>
        <w:rPr>
          <w:rFonts w:ascii="Times New Roman" w:hAnsi="Times New Roman" w:eastAsia="Times New Roman" w:cs="Times New Roman"/>
          <w:spacing w:val="1"/>
          <w:sz w:val="23"/>
          <w:szCs w:val="23"/>
        </w:rPr>
        <w:t>212642-2016</w:t>
      </w:r>
      <w:r>
        <w:rPr>
          <w:rFonts w:ascii="宋体" w:hAnsi="宋体" w:eastAsia="宋体" w:cs="宋体"/>
          <w:spacing w:val="1"/>
          <w:sz w:val="23"/>
          <w:szCs w:val="23"/>
        </w:rPr>
        <w:t xml:space="preserve">) ，见表 </w:t>
      </w:r>
      <w:r>
        <w:rPr>
          <w:rFonts w:ascii="Times New Roman" w:hAnsi="Times New Roman" w:eastAsia="Times New Roman" w:cs="Times New Roman"/>
          <w:spacing w:val="1"/>
          <w:sz w:val="23"/>
          <w:szCs w:val="23"/>
        </w:rPr>
        <w:t>2-7</w:t>
      </w:r>
      <w:r>
        <w:rPr>
          <w:rFonts w:ascii="宋体" w:hAnsi="宋体" w:eastAsia="宋体" w:cs="宋体"/>
          <w:spacing w:val="1"/>
          <w:sz w:val="23"/>
          <w:szCs w:val="23"/>
        </w:rPr>
        <w:t>。</w:t>
      </w:r>
    </w:p>
    <w:p w14:paraId="6A90FB8C">
      <w:pPr>
        <w:sectPr>
          <w:headerReference r:id="rId60" w:type="default"/>
          <w:footerReference r:id="rId61" w:type="default"/>
          <w:pgSz w:w="11906" w:h="16839"/>
          <w:pgMar w:top="1132" w:right="1691" w:bottom="1156" w:left="1691" w:header="878" w:footer="996" w:gutter="0"/>
          <w:cols w:space="720" w:num="1"/>
        </w:sectPr>
      </w:pPr>
    </w:p>
    <w:p w14:paraId="0B5DFBF4">
      <w:pPr>
        <w:spacing w:line="409" w:lineRule="auto"/>
        <w:rPr>
          <w:rFonts w:ascii="Arial"/>
          <w:sz w:val="21"/>
        </w:rPr>
      </w:pPr>
      <w:r>
        <w:pict>
          <v:shape id="_x0000_s1090" o:spid="_x0000_s1090" style="position:absolute;left:0pt;margin-left:90pt;margin-top:57.35pt;height:0.75pt;width:415.3pt;mso-position-horizontal-relative:page;mso-position-vertical-relative:page;z-index:251727872;mso-width-relative:page;mso-height-relative:page;" fillcolor="#000000" filled="t" stroked="f" coordsize="8305,15" o:allowincell="f" path="m0,0l8305,0,8305,14,0,14,0,0xe">
            <v:path/>
            <v:fill on="t" focussize="0,0"/>
            <v:stroke on="f"/>
            <v:imagedata o:title=""/>
            <o:lock v:ext="edit"/>
          </v:shape>
        </w:pict>
      </w:r>
    </w:p>
    <w:p w14:paraId="6C21185F">
      <w:pPr>
        <w:spacing w:before="74" w:line="227" w:lineRule="auto"/>
        <w:ind w:left="738"/>
        <w:rPr>
          <w:rFonts w:ascii="宋体" w:hAnsi="宋体" w:eastAsia="宋体" w:cs="宋体"/>
          <w:sz w:val="23"/>
          <w:szCs w:val="23"/>
        </w:rPr>
      </w:pPr>
      <w:r>
        <w:rPr>
          <w:rFonts w:ascii="宋体" w:hAnsi="宋体" w:eastAsia="宋体" w:cs="宋体"/>
          <w:spacing w:val="1"/>
          <w:sz w:val="23"/>
          <w:szCs w:val="23"/>
          <w14:textOutline w14:w="4358" w14:cap="sq" w14:cmpd="sng">
            <w14:solidFill>
              <w14:srgbClr w14:val="000000"/>
            </w14:solidFill>
            <w14:prstDash w14:val="solid"/>
            <w14:bevel/>
          </w14:textOutline>
        </w:rPr>
        <w:t>表</w:t>
      </w:r>
      <w:r>
        <w:rPr>
          <w:rFonts w:ascii="宋体" w:hAnsi="宋体" w:eastAsia="宋体" w:cs="宋体"/>
          <w:spacing w:val="1"/>
          <w:sz w:val="23"/>
          <w:szCs w:val="23"/>
        </w:rPr>
        <w:t xml:space="preserve"> </w:t>
      </w:r>
      <w:r>
        <w:rPr>
          <w:rFonts w:ascii="Times New Roman" w:hAnsi="Times New Roman" w:eastAsia="Times New Roman" w:cs="Times New Roman"/>
          <w:b/>
          <w:bCs/>
          <w:spacing w:val="1"/>
          <w:sz w:val="23"/>
          <w:szCs w:val="23"/>
        </w:rPr>
        <w:t>2-7</w:t>
      </w:r>
      <w:r>
        <w:rPr>
          <w:rFonts w:ascii="Times New Roman" w:hAnsi="Times New Roman" w:eastAsia="Times New Roman" w:cs="Times New Roman"/>
          <w:spacing w:val="1"/>
          <w:sz w:val="23"/>
          <w:szCs w:val="23"/>
        </w:rPr>
        <w:t xml:space="preserve">        </w:t>
      </w:r>
      <w:r>
        <w:rPr>
          <w:rFonts w:ascii="Times New Roman" w:hAnsi="Times New Roman" w:eastAsia="Times New Roman" w:cs="Times New Roman"/>
          <w:sz w:val="23"/>
          <w:szCs w:val="23"/>
        </w:rPr>
        <w:t xml:space="preserve">  </w:t>
      </w:r>
      <w:r>
        <w:rPr>
          <w:rFonts w:ascii="宋体" w:hAnsi="宋体" w:eastAsia="宋体" w:cs="宋体"/>
          <w:sz w:val="23"/>
          <w:szCs w:val="23"/>
          <w14:textOutline w14:w="4358" w14:cap="sq" w14:cmpd="sng">
            <w14:solidFill>
              <w14:srgbClr w14:val="000000"/>
            </w14:solidFill>
            <w14:prstDash w14:val="solid"/>
            <w14:bevel/>
          </w14:textOutline>
        </w:rPr>
        <w:t>《辽宁省施工及堆料场地扬尘排放标准》</w:t>
      </w:r>
      <w:r>
        <w:rPr>
          <w:rFonts w:ascii="宋体" w:hAnsi="宋体" w:eastAsia="宋体" w:cs="宋体"/>
          <w:sz w:val="23"/>
          <w:szCs w:val="23"/>
        </w:rPr>
        <w:t xml:space="preserve">  </w:t>
      </w:r>
      <w:r>
        <w:rPr>
          <w:rFonts w:ascii="宋体" w:hAnsi="宋体" w:eastAsia="宋体" w:cs="宋体"/>
          <w:sz w:val="23"/>
          <w:szCs w:val="23"/>
          <w14:textOutline w14:w="4358" w14:cap="sq" w14:cmpd="sng">
            <w14:solidFill>
              <w14:srgbClr w14:val="000000"/>
            </w14:solidFill>
            <w14:prstDash w14:val="solid"/>
            <w14:bevel/>
          </w14:textOutline>
        </w:rPr>
        <w:t>(</w:t>
      </w:r>
      <w:r>
        <w:rPr>
          <w:rFonts w:ascii="Times New Roman" w:hAnsi="Times New Roman" w:eastAsia="Times New Roman" w:cs="Times New Roman"/>
          <w:b/>
          <w:bCs/>
          <w:sz w:val="23"/>
          <w:szCs w:val="23"/>
        </w:rPr>
        <w:t>DB212642-2016</w:t>
      </w:r>
      <w:r>
        <w:rPr>
          <w:rFonts w:ascii="宋体" w:hAnsi="宋体" w:eastAsia="宋体" w:cs="宋体"/>
          <w:sz w:val="23"/>
          <w:szCs w:val="23"/>
          <w14:textOutline w14:w="4358" w14:cap="sq" w14:cmpd="sng">
            <w14:solidFill>
              <w14:srgbClr w14:val="000000"/>
            </w14:solidFill>
            <w14:prstDash w14:val="solid"/>
            <w14:bevel/>
          </w14:textOutline>
        </w:rPr>
        <w:t>)</w:t>
      </w:r>
    </w:p>
    <w:p w14:paraId="2E9DE581">
      <w:pPr>
        <w:spacing w:line="17"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70"/>
        <w:gridCol w:w="3535"/>
        <w:gridCol w:w="2317"/>
      </w:tblGrid>
      <w:tr w14:paraId="7B060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2670" w:type="dxa"/>
            <w:vMerge w:val="restart"/>
            <w:tcBorders>
              <w:left w:val="nil"/>
              <w:bottom w:val="nil"/>
            </w:tcBorders>
            <w:vAlign w:val="top"/>
          </w:tcPr>
          <w:p w14:paraId="7084DAAA">
            <w:pPr>
              <w:spacing w:before="258" w:line="228" w:lineRule="auto"/>
              <w:ind w:left="1029"/>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污</w:t>
            </w:r>
            <w:r>
              <w:rPr>
                <w:rFonts w:ascii="宋体" w:hAnsi="宋体" w:eastAsia="宋体" w:cs="宋体"/>
                <w:spacing w:val="6"/>
                <w:sz w:val="20"/>
                <w:szCs w:val="20"/>
                <w14:textOutline w14:w="3795" w14:cap="sq" w14:cmpd="sng">
                  <w14:solidFill>
                    <w14:srgbClr w14:val="000000"/>
                  </w14:solidFill>
                  <w14:prstDash w14:val="solid"/>
                  <w14:bevel/>
                </w14:textOutline>
              </w:rPr>
              <w:t>染物</w:t>
            </w:r>
          </w:p>
        </w:tc>
        <w:tc>
          <w:tcPr>
            <w:tcW w:w="5852" w:type="dxa"/>
            <w:gridSpan w:val="2"/>
            <w:tcBorders>
              <w:right w:val="nil"/>
            </w:tcBorders>
            <w:vAlign w:val="top"/>
          </w:tcPr>
          <w:p w14:paraId="692CFC9D">
            <w:pPr>
              <w:spacing w:before="44" w:line="289" w:lineRule="exact"/>
              <w:ind w:left="1285"/>
              <w:rPr>
                <w:rFonts w:ascii="宋体" w:hAnsi="宋体" w:eastAsia="宋体" w:cs="宋体"/>
                <w:sz w:val="20"/>
                <w:szCs w:val="20"/>
              </w:rPr>
            </w:pPr>
            <w:r>
              <w:rPr>
                <w:rFonts w:ascii="宋体" w:hAnsi="宋体" w:eastAsia="宋体" w:cs="宋体"/>
                <w:spacing w:val="14"/>
                <w:position w:val="3"/>
                <w:sz w:val="20"/>
                <w:szCs w:val="20"/>
                <w14:textOutline w14:w="3795" w14:cap="sq" w14:cmpd="sng">
                  <w14:solidFill>
                    <w14:srgbClr w14:val="000000"/>
                  </w14:solidFill>
                  <w14:prstDash w14:val="solid"/>
                  <w14:bevel/>
                </w14:textOutline>
              </w:rPr>
              <w:t>无</w:t>
            </w:r>
            <w:r>
              <w:rPr>
                <w:rFonts w:ascii="宋体" w:hAnsi="宋体" w:eastAsia="宋体" w:cs="宋体"/>
                <w:spacing w:val="8"/>
                <w:position w:val="3"/>
                <w:sz w:val="20"/>
                <w:szCs w:val="20"/>
                <w14:textOutline w14:w="3795" w14:cap="sq" w14:cmpd="sng">
                  <w14:solidFill>
                    <w14:srgbClr w14:val="000000"/>
                  </w14:solidFill>
                  <w14:prstDash w14:val="solid"/>
                  <w14:bevel/>
                </w14:textOutline>
              </w:rPr>
              <w:t>组</w:t>
            </w:r>
            <w:r>
              <w:rPr>
                <w:rFonts w:ascii="宋体" w:hAnsi="宋体" w:eastAsia="宋体" w:cs="宋体"/>
                <w:spacing w:val="7"/>
                <w:position w:val="3"/>
                <w:sz w:val="20"/>
                <w:szCs w:val="20"/>
                <w14:textOutline w14:w="3795" w14:cap="sq" w14:cmpd="sng">
                  <w14:solidFill>
                    <w14:srgbClr w14:val="000000"/>
                  </w14:solidFill>
                  <w14:prstDash w14:val="solid"/>
                  <w14:bevel/>
                </w14:textOutline>
              </w:rPr>
              <w:t>织排放监控浓度限值</w:t>
            </w:r>
            <w:r>
              <w:rPr>
                <w:rFonts w:ascii="宋体" w:hAnsi="宋体" w:eastAsia="宋体" w:cs="宋体"/>
                <w:spacing w:val="7"/>
                <w:position w:val="3"/>
                <w:sz w:val="20"/>
                <w:szCs w:val="20"/>
              </w:rPr>
              <w:t xml:space="preserve"> </w:t>
            </w:r>
            <w:r>
              <w:rPr>
                <w:rFonts w:ascii="宋体" w:hAnsi="宋体" w:eastAsia="宋体" w:cs="宋体"/>
                <w:spacing w:val="7"/>
                <w:position w:val="3"/>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position w:val="3"/>
                <w:sz w:val="20"/>
                <w:szCs w:val="20"/>
              </w:rPr>
              <w:t>mg</w:t>
            </w:r>
            <w:r>
              <w:rPr>
                <w:rFonts w:ascii="Times New Roman" w:hAnsi="Times New Roman" w:eastAsia="Times New Roman" w:cs="Times New Roman"/>
                <w:b/>
                <w:bCs/>
                <w:spacing w:val="7"/>
                <w:position w:val="3"/>
                <w:sz w:val="20"/>
                <w:szCs w:val="20"/>
              </w:rPr>
              <w:t>/</w:t>
            </w:r>
            <w:r>
              <w:rPr>
                <w:rFonts w:ascii="Times New Roman" w:hAnsi="Times New Roman" w:eastAsia="Times New Roman" w:cs="Times New Roman"/>
                <w:b/>
                <w:bCs/>
                <w:position w:val="3"/>
                <w:sz w:val="20"/>
                <w:szCs w:val="20"/>
              </w:rPr>
              <w:t>m</w:t>
            </w:r>
            <w:r>
              <w:rPr>
                <w:rFonts w:ascii="Times New Roman" w:hAnsi="Times New Roman" w:eastAsia="Times New Roman" w:cs="Times New Roman"/>
                <w:b/>
                <w:bCs/>
                <w:spacing w:val="7"/>
                <w:position w:val="9"/>
                <w:sz w:val="13"/>
                <w:szCs w:val="13"/>
              </w:rPr>
              <w:t>3</w:t>
            </w:r>
            <w:r>
              <w:rPr>
                <w:rFonts w:ascii="Times New Roman" w:hAnsi="Times New Roman" w:eastAsia="Times New Roman" w:cs="Times New Roman"/>
                <w:spacing w:val="7"/>
                <w:position w:val="9"/>
                <w:sz w:val="13"/>
                <w:szCs w:val="13"/>
              </w:rPr>
              <w:t xml:space="preserve"> </w:t>
            </w:r>
            <w:r>
              <w:rPr>
                <w:rFonts w:ascii="宋体" w:hAnsi="宋体" w:eastAsia="宋体" w:cs="宋体"/>
                <w:spacing w:val="7"/>
                <w:position w:val="3"/>
                <w:sz w:val="20"/>
                <w:szCs w:val="20"/>
                <w14:textOutline w14:w="3795" w14:cap="sq" w14:cmpd="sng">
                  <w14:solidFill>
                    <w14:srgbClr w14:val="000000"/>
                  </w14:solidFill>
                  <w14:prstDash w14:val="solid"/>
                  <w14:bevel/>
                </w14:textOutline>
              </w:rPr>
              <w:t>)</w:t>
            </w:r>
          </w:p>
        </w:tc>
      </w:tr>
      <w:tr w14:paraId="01109C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670" w:type="dxa"/>
            <w:vMerge w:val="continue"/>
            <w:tcBorders>
              <w:top w:val="nil"/>
              <w:left w:val="nil"/>
            </w:tcBorders>
            <w:vAlign w:val="top"/>
          </w:tcPr>
          <w:p w14:paraId="2BE38AC5">
            <w:pPr>
              <w:rPr>
                <w:rFonts w:ascii="Arial"/>
                <w:sz w:val="21"/>
              </w:rPr>
            </w:pPr>
          </w:p>
        </w:tc>
        <w:tc>
          <w:tcPr>
            <w:tcW w:w="3535" w:type="dxa"/>
            <w:vAlign w:val="top"/>
          </w:tcPr>
          <w:p w14:paraId="7773044E">
            <w:pPr>
              <w:spacing w:before="62" w:line="228" w:lineRule="auto"/>
              <w:ind w:left="1459"/>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监</w:t>
            </w:r>
            <w:r>
              <w:rPr>
                <w:rFonts w:ascii="宋体" w:hAnsi="宋体" w:eastAsia="宋体" w:cs="宋体"/>
                <w:spacing w:val="6"/>
                <w:sz w:val="20"/>
                <w:szCs w:val="20"/>
                <w14:textOutline w14:w="3795" w14:cap="sq" w14:cmpd="sng">
                  <w14:solidFill>
                    <w14:srgbClr w14:val="000000"/>
                  </w14:solidFill>
                  <w14:prstDash w14:val="solid"/>
                  <w14:bevel/>
                </w14:textOutline>
              </w:rPr>
              <w:t>控点</w:t>
            </w:r>
          </w:p>
        </w:tc>
        <w:tc>
          <w:tcPr>
            <w:tcW w:w="2317" w:type="dxa"/>
            <w:tcBorders>
              <w:right w:val="nil"/>
            </w:tcBorders>
            <w:vAlign w:val="top"/>
          </w:tcPr>
          <w:p w14:paraId="167F91BD">
            <w:pPr>
              <w:spacing w:before="62" w:line="228" w:lineRule="auto"/>
              <w:ind w:left="955"/>
              <w:rPr>
                <w:rFonts w:ascii="宋体" w:hAnsi="宋体" w:eastAsia="宋体" w:cs="宋体"/>
                <w:sz w:val="20"/>
                <w:szCs w:val="20"/>
              </w:rPr>
            </w:pPr>
            <w:r>
              <w:rPr>
                <w:rFonts w:ascii="宋体" w:hAnsi="宋体" w:eastAsia="宋体" w:cs="宋体"/>
                <w:spacing w:val="5"/>
                <w:sz w:val="20"/>
                <w:szCs w:val="20"/>
                <w14:textOutline w14:w="3795" w14:cap="sq" w14:cmpd="sng">
                  <w14:solidFill>
                    <w14:srgbClr w14:val="000000"/>
                  </w14:solidFill>
                  <w14:prstDash w14:val="solid"/>
                  <w14:bevel/>
                </w14:textOutline>
              </w:rPr>
              <w:t>浓</w:t>
            </w:r>
            <w:r>
              <w:rPr>
                <w:rFonts w:ascii="宋体" w:hAnsi="宋体" w:eastAsia="宋体" w:cs="宋体"/>
                <w:spacing w:val="4"/>
                <w:sz w:val="20"/>
                <w:szCs w:val="20"/>
                <w14:textOutline w14:w="3795" w14:cap="sq" w14:cmpd="sng">
                  <w14:solidFill>
                    <w14:srgbClr w14:val="000000"/>
                  </w14:solidFill>
                  <w14:prstDash w14:val="solid"/>
                  <w14:bevel/>
                </w14:textOutline>
              </w:rPr>
              <w:t>度</w:t>
            </w:r>
          </w:p>
        </w:tc>
      </w:tr>
      <w:tr w14:paraId="2F65FD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trPr>
        <w:tc>
          <w:tcPr>
            <w:tcW w:w="2670" w:type="dxa"/>
            <w:tcBorders>
              <w:left w:val="nil"/>
            </w:tcBorders>
            <w:vAlign w:val="top"/>
          </w:tcPr>
          <w:p w14:paraId="0689AEE3">
            <w:pPr>
              <w:spacing w:before="100" w:line="195" w:lineRule="auto"/>
              <w:ind w:left="116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T</w:t>
            </w:r>
            <w:r>
              <w:rPr>
                <w:rFonts w:ascii="Times New Roman" w:hAnsi="Times New Roman" w:eastAsia="Times New Roman" w:cs="Times New Roman"/>
                <w:spacing w:val="2"/>
                <w:sz w:val="20"/>
                <w:szCs w:val="20"/>
              </w:rPr>
              <w:t>SP</w:t>
            </w:r>
          </w:p>
        </w:tc>
        <w:tc>
          <w:tcPr>
            <w:tcW w:w="3535" w:type="dxa"/>
            <w:vAlign w:val="top"/>
          </w:tcPr>
          <w:p w14:paraId="4389BD9C">
            <w:pPr>
              <w:spacing w:before="64" w:line="228" w:lineRule="auto"/>
              <w:ind w:left="941"/>
              <w:rPr>
                <w:rFonts w:ascii="宋体" w:hAnsi="宋体" w:eastAsia="宋体" w:cs="宋体"/>
                <w:sz w:val="20"/>
                <w:szCs w:val="20"/>
              </w:rPr>
            </w:pPr>
            <w:r>
              <w:rPr>
                <w:rFonts w:ascii="宋体" w:hAnsi="宋体" w:eastAsia="宋体" w:cs="宋体"/>
                <w:spacing w:val="12"/>
                <w:sz w:val="20"/>
                <w:szCs w:val="20"/>
              </w:rPr>
              <w:t>周</w:t>
            </w:r>
            <w:r>
              <w:rPr>
                <w:rFonts w:ascii="宋体" w:hAnsi="宋体" w:eastAsia="宋体" w:cs="宋体"/>
                <w:spacing w:val="7"/>
                <w:sz w:val="20"/>
                <w:szCs w:val="20"/>
              </w:rPr>
              <w:t>围外浓度最高点</w:t>
            </w:r>
          </w:p>
        </w:tc>
        <w:tc>
          <w:tcPr>
            <w:tcW w:w="2317" w:type="dxa"/>
            <w:tcBorders>
              <w:right w:val="nil"/>
            </w:tcBorders>
            <w:vAlign w:val="top"/>
          </w:tcPr>
          <w:p w14:paraId="22F7B8EF">
            <w:pPr>
              <w:spacing w:before="100" w:line="198" w:lineRule="auto"/>
              <w:ind w:left="105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w:t>
            </w:r>
          </w:p>
        </w:tc>
      </w:tr>
    </w:tbl>
    <w:p w14:paraId="47E7B6B2">
      <w:pPr>
        <w:spacing w:before="263" w:line="375" w:lineRule="auto"/>
        <w:ind w:left="117" w:right="124" w:firstLine="473"/>
        <w:rPr>
          <w:rFonts w:ascii="宋体" w:hAnsi="宋体" w:eastAsia="宋体" w:cs="宋体"/>
          <w:sz w:val="23"/>
          <w:szCs w:val="23"/>
        </w:rPr>
      </w:pPr>
      <w:r>
        <w:rPr>
          <w:rFonts w:ascii="宋体" w:hAnsi="宋体" w:eastAsia="宋体" w:cs="宋体"/>
          <w:spacing w:val="10"/>
          <w:sz w:val="23"/>
          <w:szCs w:val="23"/>
        </w:rPr>
        <w:t>②</w:t>
      </w:r>
      <w:r>
        <w:rPr>
          <w:rFonts w:ascii="宋体" w:hAnsi="宋体" w:eastAsia="宋体" w:cs="宋体"/>
          <w:spacing w:val="6"/>
          <w:sz w:val="23"/>
          <w:szCs w:val="23"/>
        </w:rPr>
        <w:t>项目生产过程中产生的颗粒物、有机废气 (以非甲烷总烃计) 执行《合成</w:t>
      </w:r>
      <w:r>
        <w:rPr>
          <w:rFonts w:ascii="宋体" w:hAnsi="宋体" w:eastAsia="宋体" w:cs="宋体"/>
          <w:sz w:val="23"/>
          <w:szCs w:val="23"/>
        </w:rPr>
        <w:t xml:space="preserve"> </w:t>
      </w:r>
      <w:r>
        <w:rPr>
          <w:rFonts w:ascii="宋体" w:hAnsi="宋体" w:eastAsia="宋体" w:cs="宋体"/>
          <w:spacing w:val="2"/>
          <w:sz w:val="23"/>
          <w:szCs w:val="23"/>
        </w:rPr>
        <w:t>树脂工业污染物排放标准》 (</w:t>
      </w:r>
      <w:r>
        <w:rPr>
          <w:rFonts w:ascii="Times New Roman" w:hAnsi="Times New Roman" w:eastAsia="Times New Roman" w:cs="Times New Roman"/>
          <w:sz w:val="23"/>
          <w:szCs w:val="23"/>
        </w:rPr>
        <w:t>GB</w:t>
      </w:r>
      <w:r>
        <w:rPr>
          <w:rFonts w:ascii="Times New Roman" w:hAnsi="Times New Roman" w:eastAsia="Times New Roman" w:cs="Times New Roman"/>
          <w:spacing w:val="2"/>
          <w:sz w:val="23"/>
          <w:szCs w:val="23"/>
        </w:rPr>
        <w:t>31572</w:t>
      </w:r>
      <w:r>
        <w:rPr>
          <w:rFonts w:ascii="Times New Roman" w:hAnsi="Times New Roman" w:eastAsia="Times New Roman" w:cs="Times New Roman"/>
          <w:spacing w:val="1"/>
          <w:sz w:val="23"/>
          <w:szCs w:val="23"/>
        </w:rPr>
        <w:t>-2015</w:t>
      </w:r>
      <w:r>
        <w:rPr>
          <w:rFonts w:ascii="宋体" w:hAnsi="宋体" w:eastAsia="宋体" w:cs="宋体"/>
          <w:spacing w:val="1"/>
          <w:sz w:val="23"/>
          <w:szCs w:val="23"/>
        </w:rPr>
        <w:t xml:space="preserve">) 表 </w:t>
      </w:r>
      <w:r>
        <w:rPr>
          <w:rFonts w:ascii="Times New Roman" w:hAnsi="Times New Roman" w:eastAsia="Times New Roman" w:cs="Times New Roman"/>
          <w:spacing w:val="1"/>
          <w:sz w:val="23"/>
          <w:szCs w:val="23"/>
        </w:rPr>
        <w:t xml:space="preserve">4 </w:t>
      </w:r>
      <w:r>
        <w:rPr>
          <w:rFonts w:ascii="宋体" w:hAnsi="宋体" w:eastAsia="宋体" w:cs="宋体"/>
          <w:spacing w:val="1"/>
          <w:sz w:val="23"/>
          <w:szCs w:val="23"/>
        </w:rPr>
        <w:t xml:space="preserve">、表 </w:t>
      </w:r>
      <w:r>
        <w:rPr>
          <w:rFonts w:ascii="Times New Roman" w:hAnsi="Times New Roman" w:eastAsia="Times New Roman" w:cs="Times New Roman"/>
          <w:spacing w:val="1"/>
          <w:sz w:val="23"/>
          <w:szCs w:val="23"/>
        </w:rPr>
        <w:t xml:space="preserve">9 </w:t>
      </w:r>
      <w:r>
        <w:rPr>
          <w:rFonts w:ascii="宋体" w:hAnsi="宋体" w:eastAsia="宋体" w:cs="宋体"/>
          <w:spacing w:val="1"/>
          <w:sz w:val="23"/>
          <w:szCs w:val="23"/>
        </w:rPr>
        <w:t>中标准限值要求，具体</w:t>
      </w:r>
      <w:r>
        <w:rPr>
          <w:rFonts w:ascii="宋体" w:hAnsi="宋体" w:eastAsia="宋体" w:cs="宋体"/>
          <w:sz w:val="23"/>
          <w:szCs w:val="23"/>
        </w:rPr>
        <w:t xml:space="preserve"> </w:t>
      </w:r>
      <w:r>
        <w:rPr>
          <w:rFonts w:ascii="宋体" w:hAnsi="宋体" w:eastAsia="宋体" w:cs="宋体"/>
          <w:spacing w:val="-5"/>
          <w:sz w:val="23"/>
          <w:szCs w:val="23"/>
        </w:rPr>
        <w:t xml:space="preserve">见表 </w:t>
      </w:r>
      <w:r>
        <w:rPr>
          <w:rFonts w:ascii="Times New Roman" w:hAnsi="Times New Roman" w:eastAsia="Times New Roman" w:cs="Times New Roman"/>
          <w:spacing w:val="-5"/>
          <w:sz w:val="23"/>
          <w:szCs w:val="23"/>
        </w:rPr>
        <w:t>2-8</w:t>
      </w:r>
      <w:r>
        <w:rPr>
          <w:rFonts w:ascii="宋体" w:hAnsi="宋体" w:eastAsia="宋体" w:cs="宋体"/>
          <w:spacing w:val="-5"/>
          <w:sz w:val="23"/>
          <w:szCs w:val="23"/>
        </w:rPr>
        <w:t>。</w:t>
      </w:r>
    </w:p>
    <w:p w14:paraId="7F8CD85E">
      <w:pPr>
        <w:spacing w:before="78" w:line="228" w:lineRule="auto"/>
        <w:ind w:left="3049"/>
        <w:rPr>
          <w:rFonts w:ascii="宋体" w:hAnsi="宋体" w:eastAsia="宋体" w:cs="宋体"/>
          <w:sz w:val="23"/>
          <w:szCs w:val="23"/>
        </w:rPr>
      </w:pPr>
      <w:r>
        <w:rPr>
          <w:rFonts w:ascii="宋体" w:hAnsi="宋体" w:eastAsia="宋体" w:cs="宋体"/>
          <w:spacing w:val="-2"/>
          <w:sz w:val="23"/>
          <w:szCs w:val="23"/>
          <w14:textOutline w14:w="4358" w14:cap="sq" w14:cmpd="sng">
            <w14:solidFill>
              <w14:srgbClr w14:val="000000"/>
            </w14:solidFill>
            <w14:prstDash w14:val="solid"/>
            <w14:bevel/>
          </w14:textOutline>
        </w:rPr>
        <w:t>表</w:t>
      </w:r>
      <w:r>
        <w:rPr>
          <w:rFonts w:ascii="宋体" w:hAnsi="宋体" w:eastAsia="宋体" w:cs="宋体"/>
          <w:spacing w:val="-2"/>
          <w:sz w:val="23"/>
          <w:szCs w:val="23"/>
        </w:rPr>
        <w:t xml:space="preserve"> </w:t>
      </w:r>
      <w:r>
        <w:rPr>
          <w:rFonts w:ascii="Times New Roman" w:hAnsi="Times New Roman" w:eastAsia="Times New Roman" w:cs="Times New Roman"/>
          <w:b/>
          <w:bCs/>
          <w:spacing w:val="-2"/>
          <w:sz w:val="23"/>
          <w:szCs w:val="23"/>
        </w:rPr>
        <w:t>2-8</w:t>
      </w:r>
      <w:r>
        <w:rPr>
          <w:rFonts w:ascii="Times New Roman" w:hAnsi="Times New Roman" w:eastAsia="Times New Roman" w:cs="Times New Roman"/>
          <w:spacing w:val="-2"/>
          <w:sz w:val="23"/>
          <w:szCs w:val="23"/>
        </w:rPr>
        <w:t xml:space="preserve"> </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14:textOutline w14:w="4358" w14:cap="sq" w14:cmpd="sng">
            <w14:solidFill>
              <w14:srgbClr w14:val="000000"/>
            </w14:solidFill>
            <w14:prstDash w14:val="solid"/>
            <w14:bevel/>
          </w14:textOutline>
        </w:rPr>
        <w:t>废气排放标准</w:t>
      </w:r>
    </w:p>
    <w:p w14:paraId="6538BA4C">
      <w:pPr>
        <w:spacing w:line="14"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63"/>
        <w:gridCol w:w="1935"/>
        <w:gridCol w:w="2520"/>
        <w:gridCol w:w="2104"/>
      </w:tblGrid>
      <w:tr w14:paraId="02821E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1" w:hRule="atLeast"/>
        </w:trPr>
        <w:tc>
          <w:tcPr>
            <w:tcW w:w="1963" w:type="dxa"/>
            <w:vMerge w:val="restart"/>
            <w:tcBorders>
              <w:left w:val="nil"/>
              <w:bottom w:val="nil"/>
            </w:tcBorders>
            <w:vAlign w:val="top"/>
          </w:tcPr>
          <w:p w14:paraId="0EB89DFF">
            <w:pPr>
              <w:spacing w:before="197" w:line="228" w:lineRule="auto"/>
              <w:ind w:left="696"/>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污染</w:t>
            </w:r>
            <w:r>
              <w:rPr>
                <w:rFonts w:ascii="宋体" w:hAnsi="宋体" w:eastAsia="宋体" w:cs="宋体"/>
                <w:spacing w:val="-1"/>
                <w:sz w:val="20"/>
                <w:szCs w:val="20"/>
                <w14:textOutline w14:w="3795" w14:cap="sq" w14:cmpd="sng">
                  <w14:solidFill>
                    <w14:srgbClr w14:val="000000"/>
                  </w14:solidFill>
                  <w14:prstDash w14:val="solid"/>
                  <w14:bevel/>
                </w14:textOutline>
              </w:rPr>
              <w:t>物</w:t>
            </w:r>
          </w:p>
        </w:tc>
        <w:tc>
          <w:tcPr>
            <w:tcW w:w="1935" w:type="dxa"/>
            <w:vMerge w:val="restart"/>
            <w:tcBorders>
              <w:bottom w:val="nil"/>
            </w:tcBorders>
            <w:vAlign w:val="top"/>
          </w:tcPr>
          <w:p w14:paraId="736F766B">
            <w:pPr>
              <w:spacing w:before="155" w:line="289" w:lineRule="exact"/>
              <w:ind w:left="109"/>
              <w:rPr>
                <w:rFonts w:ascii="宋体" w:hAnsi="宋体" w:eastAsia="宋体" w:cs="宋体"/>
                <w:sz w:val="20"/>
                <w:szCs w:val="20"/>
              </w:rPr>
            </w:pPr>
            <w:r>
              <w:rPr>
                <w:rFonts w:ascii="宋体" w:hAnsi="宋体" w:eastAsia="宋体" w:cs="宋体"/>
                <w:spacing w:val="-4"/>
                <w:position w:val="3"/>
                <w:sz w:val="20"/>
                <w:szCs w:val="20"/>
                <w14:textOutline w14:w="3795" w14:cap="sq" w14:cmpd="sng">
                  <w14:solidFill>
                    <w14:srgbClr w14:val="000000"/>
                  </w14:solidFill>
                  <w14:prstDash w14:val="solid"/>
                  <w14:bevel/>
                </w14:textOutline>
              </w:rPr>
              <w:t>排放</w:t>
            </w:r>
            <w:r>
              <w:rPr>
                <w:rFonts w:ascii="宋体" w:hAnsi="宋体" w:eastAsia="宋体" w:cs="宋体"/>
                <w:spacing w:val="-3"/>
                <w:position w:val="3"/>
                <w:sz w:val="20"/>
                <w:szCs w:val="20"/>
                <w14:textOutline w14:w="3795" w14:cap="sq" w14:cmpd="sng">
                  <w14:solidFill>
                    <w14:srgbClr w14:val="000000"/>
                  </w14:solidFill>
                  <w14:prstDash w14:val="solid"/>
                  <w14:bevel/>
                </w14:textOutline>
              </w:rPr>
              <w:t>限</w:t>
            </w:r>
            <w:r>
              <w:rPr>
                <w:rFonts w:ascii="宋体" w:hAnsi="宋体" w:eastAsia="宋体" w:cs="宋体"/>
                <w:spacing w:val="-2"/>
                <w:position w:val="3"/>
                <w:sz w:val="20"/>
                <w:szCs w:val="20"/>
                <w14:textOutline w14:w="3795" w14:cap="sq" w14:cmpd="sng">
                  <w14:solidFill>
                    <w14:srgbClr w14:val="000000"/>
                  </w14:solidFill>
                  <w14:prstDash w14:val="solid"/>
                  <w14:bevel/>
                </w14:textOutline>
              </w:rPr>
              <w:t>值</w:t>
            </w:r>
            <w:r>
              <w:rPr>
                <w:rFonts w:ascii="宋体" w:hAnsi="宋体" w:eastAsia="宋体" w:cs="宋体"/>
                <w:spacing w:val="-2"/>
                <w:position w:val="3"/>
                <w:sz w:val="20"/>
                <w:szCs w:val="20"/>
              </w:rPr>
              <w:t xml:space="preserve"> </w:t>
            </w:r>
            <w:r>
              <w:rPr>
                <w:rFonts w:ascii="宋体" w:hAnsi="宋体" w:eastAsia="宋体" w:cs="宋体"/>
                <w:spacing w:val="-2"/>
                <w:position w:val="3"/>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spacing w:val="-2"/>
                <w:position w:val="3"/>
                <w:sz w:val="20"/>
                <w:szCs w:val="20"/>
              </w:rPr>
              <w:t>mg/m</w:t>
            </w:r>
            <w:r>
              <w:rPr>
                <w:rFonts w:ascii="Times New Roman" w:hAnsi="Times New Roman" w:eastAsia="Times New Roman" w:cs="Times New Roman"/>
                <w:b/>
                <w:bCs/>
                <w:spacing w:val="-2"/>
                <w:position w:val="9"/>
                <w:sz w:val="13"/>
                <w:szCs w:val="13"/>
              </w:rPr>
              <w:t>3</w:t>
            </w:r>
            <w:r>
              <w:rPr>
                <w:rFonts w:ascii="Times New Roman" w:hAnsi="Times New Roman" w:eastAsia="Times New Roman" w:cs="Times New Roman"/>
                <w:spacing w:val="-2"/>
                <w:position w:val="9"/>
                <w:sz w:val="13"/>
                <w:szCs w:val="13"/>
              </w:rPr>
              <w:t xml:space="preserve"> </w:t>
            </w:r>
            <w:r>
              <w:rPr>
                <w:rFonts w:ascii="宋体" w:hAnsi="宋体" w:eastAsia="宋体" w:cs="宋体"/>
                <w:spacing w:val="-2"/>
                <w:position w:val="3"/>
                <w:sz w:val="20"/>
                <w:szCs w:val="20"/>
                <w14:textOutline w14:w="3795" w14:cap="sq" w14:cmpd="sng">
                  <w14:solidFill>
                    <w14:srgbClr w14:val="000000"/>
                  </w14:solidFill>
                  <w14:prstDash w14:val="solid"/>
                  <w14:bevel/>
                </w14:textOutline>
              </w:rPr>
              <w:t>)</w:t>
            </w:r>
          </w:p>
        </w:tc>
        <w:tc>
          <w:tcPr>
            <w:tcW w:w="2520" w:type="dxa"/>
            <w:vAlign w:val="top"/>
          </w:tcPr>
          <w:p w14:paraId="0320EF54">
            <w:pPr>
              <w:spacing w:before="57" w:line="225" w:lineRule="auto"/>
              <w:ind w:left="182"/>
              <w:rPr>
                <w:rFonts w:ascii="宋体" w:hAnsi="宋体" w:eastAsia="宋体" w:cs="宋体"/>
                <w:sz w:val="20"/>
                <w:szCs w:val="20"/>
              </w:rPr>
            </w:pPr>
            <w:r>
              <w:rPr>
                <w:rFonts w:ascii="宋体" w:hAnsi="宋体" w:eastAsia="宋体" w:cs="宋体"/>
                <w:spacing w:val="-3"/>
                <w:sz w:val="20"/>
                <w:szCs w:val="20"/>
                <w14:textOutline w14:w="3795" w14:cap="sq" w14:cmpd="sng">
                  <w14:solidFill>
                    <w14:srgbClr w14:val="000000"/>
                  </w14:solidFill>
                  <w14:prstDash w14:val="solid"/>
                  <w14:bevel/>
                </w14:textOutline>
              </w:rPr>
              <w:t>无</w:t>
            </w:r>
            <w:r>
              <w:rPr>
                <w:rFonts w:ascii="宋体" w:hAnsi="宋体" w:eastAsia="宋体" w:cs="宋体"/>
                <w:spacing w:val="-2"/>
                <w:sz w:val="20"/>
                <w:szCs w:val="20"/>
                <w14:textOutline w14:w="3795" w14:cap="sq" w14:cmpd="sng">
                  <w14:solidFill>
                    <w14:srgbClr w14:val="000000"/>
                  </w14:solidFill>
                  <w14:prstDash w14:val="solid"/>
                  <w14:bevel/>
                </w14:textOutline>
              </w:rPr>
              <w:t>组织排放监控浓度限值</w:t>
            </w:r>
          </w:p>
        </w:tc>
        <w:tc>
          <w:tcPr>
            <w:tcW w:w="2104" w:type="dxa"/>
            <w:vMerge w:val="restart"/>
            <w:tcBorders>
              <w:bottom w:val="nil"/>
              <w:right w:val="nil"/>
            </w:tcBorders>
            <w:vAlign w:val="top"/>
          </w:tcPr>
          <w:p w14:paraId="16DFCB2B">
            <w:pPr>
              <w:spacing w:before="196" w:line="228" w:lineRule="auto"/>
              <w:ind w:left="170"/>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适合的合成树脂类</w:t>
            </w:r>
            <w:r>
              <w:rPr>
                <w:rFonts w:ascii="宋体" w:hAnsi="宋体" w:eastAsia="宋体" w:cs="宋体"/>
                <w:spacing w:val="-1"/>
                <w:sz w:val="20"/>
                <w:szCs w:val="20"/>
                <w14:textOutline w14:w="3795" w14:cap="sq" w14:cmpd="sng">
                  <w14:solidFill>
                    <w14:srgbClr w14:val="000000"/>
                  </w14:solidFill>
                  <w14:prstDash w14:val="solid"/>
                  <w14:bevel/>
                </w14:textOutline>
              </w:rPr>
              <w:t>型</w:t>
            </w:r>
          </w:p>
        </w:tc>
      </w:tr>
      <w:tr w14:paraId="3F699D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963" w:type="dxa"/>
            <w:vMerge w:val="continue"/>
            <w:tcBorders>
              <w:top w:val="nil"/>
              <w:left w:val="nil"/>
            </w:tcBorders>
            <w:vAlign w:val="top"/>
          </w:tcPr>
          <w:p w14:paraId="221A8EAD">
            <w:pPr>
              <w:rPr>
                <w:rFonts w:ascii="Arial"/>
                <w:sz w:val="21"/>
              </w:rPr>
            </w:pPr>
          </w:p>
        </w:tc>
        <w:tc>
          <w:tcPr>
            <w:tcW w:w="1935" w:type="dxa"/>
            <w:vMerge w:val="continue"/>
            <w:tcBorders>
              <w:top w:val="nil"/>
            </w:tcBorders>
            <w:vAlign w:val="top"/>
          </w:tcPr>
          <w:p w14:paraId="6DAAB103">
            <w:pPr>
              <w:rPr>
                <w:rFonts w:ascii="Arial"/>
                <w:sz w:val="21"/>
              </w:rPr>
            </w:pPr>
          </w:p>
        </w:tc>
        <w:tc>
          <w:tcPr>
            <w:tcW w:w="2520" w:type="dxa"/>
            <w:vAlign w:val="top"/>
          </w:tcPr>
          <w:p w14:paraId="30631B54">
            <w:pPr>
              <w:spacing w:line="275" w:lineRule="exact"/>
              <w:ind w:left="34"/>
              <w:rPr>
                <w:rFonts w:ascii="宋体" w:hAnsi="宋体" w:eastAsia="宋体" w:cs="宋体"/>
                <w:sz w:val="20"/>
                <w:szCs w:val="20"/>
              </w:rPr>
            </w:pPr>
            <w:r>
              <w:rPr>
                <w:rFonts w:ascii="宋体" w:hAnsi="宋体" w:eastAsia="宋体" w:cs="宋体"/>
                <w:spacing w:val="-9"/>
                <w:position w:val="2"/>
                <w:sz w:val="20"/>
                <w:szCs w:val="20"/>
              </w:rPr>
              <w:t>周</w:t>
            </w:r>
            <w:r>
              <w:rPr>
                <w:rFonts w:ascii="宋体" w:hAnsi="宋体" w:eastAsia="宋体" w:cs="宋体"/>
                <w:spacing w:val="-5"/>
                <w:position w:val="2"/>
                <w:sz w:val="20"/>
                <w:szCs w:val="20"/>
              </w:rPr>
              <w:t>界外浓度最高点 (</w:t>
            </w:r>
            <w:r>
              <w:rPr>
                <w:rFonts w:ascii="Times New Roman" w:hAnsi="Times New Roman" w:eastAsia="Times New Roman" w:cs="Times New Roman"/>
                <w:spacing w:val="-5"/>
                <w:position w:val="2"/>
                <w:sz w:val="20"/>
                <w:szCs w:val="20"/>
              </w:rPr>
              <w:t>mg/m</w:t>
            </w:r>
            <w:r>
              <w:rPr>
                <w:rFonts w:ascii="Times New Roman" w:hAnsi="Times New Roman" w:eastAsia="Times New Roman" w:cs="Times New Roman"/>
                <w:spacing w:val="-5"/>
                <w:position w:val="8"/>
                <w:sz w:val="13"/>
                <w:szCs w:val="13"/>
              </w:rPr>
              <w:t xml:space="preserve">3 </w:t>
            </w:r>
            <w:r>
              <w:rPr>
                <w:rFonts w:ascii="宋体" w:hAnsi="宋体" w:eastAsia="宋体" w:cs="宋体"/>
                <w:spacing w:val="-5"/>
                <w:position w:val="2"/>
                <w:sz w:val="20"/>
                <w:szCs w:val="20"/>
              </w:rPr>
              <w:t>)</w:t>
            </w:r>
          </w:p>
        </w:tc>
        <w:tc>
          <w:tcPr>
            <w:tcW w:w="2104" w:type="dxa"/>
            <w:vMerge w:val="continue"/>
            <w:tcBorders>
              <w:top w:val="nil"/>
              <w:right w:val="nil"/>
            </w:tcBorders>
            <w:vAlign w:val="top"/>
          </w:tcPr>
          <w:p w14:paraId="057F518D">
            <w:pPr>
              <w:rPr>
                <w:rFonts w:ascii="Arial"/>
                <w:sz w:val="21"/>
              </w:rPr>
            </w:pPr>
          </w:p>
        </w:tc>
      </w:tr>
      <w:tr w14:paraId="347EC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963" w:type="dxa"/>
            <w:tcBorders>
              <w:left w:val="nil"/>
            </w:tcBorders>
            <w:vAlign w:val="top"/>
          </w:tcPr>
          <w:p w14:paraId="0C5EE48F">
            <w:pPr>
              <w:spacing w:before="33" w:line="224" w:lineRule="auto"/>
              <w:ind w:left="693"/>
              <w:rPr>
                <w:rFonts w:ascii="宋体" w:hAnsi="宋体" w:eastAsia="宋体" w:cs="宋体"/>
                <w:sz w:val="20"/>
                <w:szCs w:val="20"/>
              </w:rPr>
            </w:pPr>
            <w:r>
              <w:rPr>
                <w:rFonts w:ascii="宋体" w:hAnsi="宋体" w:eastAsia="宋体" w:cs="宋体"/>
                <w:spacing w:val="-1"/>
                <w:sz w:val="20"/>
                <w:szCs w:val="20"/>
              </w:rPr>
              <w:t>颗粒</w:t>
            </w:r>
            <w:r>
              <w:rPr>
                <w:rFonts w:ascii="宋体" w:hAnsi="宋体" w:eastAsia="宋体" w:cs="宋体"/>
                <w:sz w:val="20"/>
                <w:szCs w:val="20"/>
              </w:rPr>
              <w:t>物</w:t>
            </w:r>
          </w:p>
        </w:tc>
        <w:tc>
          <w:tcPr>
            <w:tcW w:w="1935" w:type="dxa"/>
            <w:vAlign w:val="top"/>
          </w:tcPr>
          <w:p w14:paraId="094AC8B5">
            <w:pPr>
              <w:spacing w:before="69" w:line="195" w:lineRule="auto"/>
              <w:ind w:left="8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30</w:t>
            </w:r>
          </w:p>
        </w:tc>
        <w:tc>
          <w:tcPr>
            <w:tcW w:w="2520" w:type="dxa"/>
            <w:vAlign w:val="top"/>
          </w:tcPr>
          <w:p w14:paraId="75B8076F">
            <w:pPr>
              <w:spacing w:before="69" w:line="198" w:lineRule="auto"/>
              <w:ind w:left="116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2104" w:type="dxa"/>
            <w:vMerge w:val="restart"/>
            <w:tcBorders>
              <w:bottom w:val="nil"/>
              <w:right w:val="nil"/>
            </w:tcBorders>
            <w:vAlign w:val="top"/>
          </w:tcPr>
          <w:p w14:paraId="08D63C33">
            <w:pPr>
              <w:spacing w:before="172" w:line="228" w:lineRule="auto"/>
              <w:ind w:left="468"/>
              <w:rPr>
                <w:rFonts w:ascii="宋体" w:hAnsi="宋体" w:eastAsia="宋体" w:cs="宋体"/>
                <w:sz w:val="20"/>
                <w:szCs w:val="20"/>
              </w:rPr>
            </w:pPr>
            <w:r>
              <w:rPr>
                <w:rFonts w:ascii="宋体" w:hAnsi="宋体" w:eastAsia="宋体" w:cs="宋体"/>
                <w:spacing w:val="-2"/>
                <w:sz w:val="20"/>
                <w:szCs w:val="20"/>
              </w:rPr>
              <w:t>所有合成树脂</w:t>
            </w:r>
          </w:p>
        </w:tc>
      </w:tr>
      <w:tr w14:paraId="7CC799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963" w:type="dxa"/>
            <w:tcBorders>
              <w:left w:val="nil"/>
            </w:tcBorders>
            <w:vAlign w:val="top"/>
          </w:tcPr>
          <w:p w14:paraId="16B225F8">
            <w:pPr>
              <w:spacing w:before="33" w:line="214" w:lineRule="auto"/>
              <w:ind w:left="503"/>
              <w:rPr>
                <w:rFonts w:ascii="宋体" w:hAnsi="宋体" w:eastAsia="宋体" w:cs="宋体"/>
                <w:sz w:val="20"/>
                <w:szCs w:val="20"/>
              </w:rPr>
            </w:pPr>
            <w:r>
              <w:rPr>
                <w:rFonts w:ascii="宋体" w:hAnsi="宋体" w:eastAsia="宋体" w:cs="宋体"/>
                <w:spacing w:val="-4"/>
                <w:sz w:val="20"/>
                <w:szCs w:val="20"/>
              </w:rPr>
              <w:t>非</w:t>
            </w:r>
            <w:r>
              <w:rPr>
                <w:rFonts w:ascii="宋体" w:hAnsi="宋体" w:eastAsia="宋体" w:cs="宋体"/>
                <w:spacing w:val="-3"/>
                <w:sz w:val="20"/>
                <w:szCs w:val="20"/>
              </w:rPr>
              <w:t>甲</w:t>
            </w:r>
            <w:r>
              <w:rPr>
                <w:rFonts w:ascii="宋体" w:hAnsi="宋体" w:eastAsia="宋体" w:cs="宋体"/>
                <w:spacing w:val="-2"/>
                <w:sz w:val="20"/>
                <w:szCs w:val="20"/>
              </w:rPr>
              <w:t>烷总烃</w:t>
            </w:r>
          </w:p>
        </w:tc>
        <w:tc>
          <w:tcPr>
            <w:tcW w:w="1935" w:type="dxa"/>
            <w:vAlign w:val="top"/>
          </w:tcPr>
          <w:p w14:paraId="75114917">
            <w:pPr>
              <w:spacing w:before="69" w:line="195" w:lineRule="auto"/>
              <w:ind w:left="842"/>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6"/>
                <w:sz w:val="20"/>
                <w:szCs w:val="20"/>
              </w:rPr>
              <w:t>00</w:t>
            </w:r>
          </w:p>
        </w:tc>
        <w:tc>
          <w:tcPr>
            <w:tcW w:w="2520" w:type="dxa"/>
            <w:vAlign w:val="top"/>
          </w:tcPr>
          <w:p w14:paraId="5B3D2434">
            <w:pPr>
              <w:spacing w:before="69" w:line="195" w:lineRule="auto"/>
              <w:ind w:left="1140"/>
              <w:rPr>
                <w:rFonts w:ascii="Times New Roman" w:hAnsi="Times New Roman" w:eastAsia="Times New Roman" w:cs="Times New Roman"/>
                <w:sz w:val="20"/>
                <w:szCs w:val="20"/>
              </w:rPr>
            </w:pPr>
            <w:r>
              <w:rPr>
                <w:rFonts w:ascii="Times New Roman" w:hAnsi="Times New Roman" w:eastAsia="Times New Roman" w:cs="Times New Roman"/>
                <w:sz w:val="20"/>
                <w:szCs w:val="20"/>
              </w:rPr>
              <w:t>4 0</w:t>
            </w:r>
          </w:p>
        </w:tc>
        <w:tc>
          <w:tcPr>
            <w:tcW w:w="2104" w:type="dxa"/>
            <w:vMerge w:val="continue"/>
            <w:tcBorders>
              <w:top w:val="nil"/>
              <w:right w:val="nil"/>
            </w:tcBorders>
            <w:vAlign w:val="top"/>
          </w:tcPr>
          <w:p w14:paraId="4BA80501">
            <w:pPr>
              <w:rPr>
                <w:rFonts w:ascii="Arial"/>
                <w:sz w:val="21"/>
              </w:rPr>
            </w:pPr>
          </w:p>
        </w:tc>
      </w:tr>
      <w:tr w14:paraId="15C16D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1963" w:type="dxa"/>
            <w:tcBorders>
              <w:left w:val="nil"/>
            </w:tcBorders>
            <w:vAlign w:val="top"/>
          </w:tcPr>
          <w:p w14:paraId="06C58440">
            <w:pPr>
              <w:spacing w:before="47" w:line="244" w:lineRule="auto"/>
              <w:ind w:left="127" w:right="78" w:hanging="19"/>
              <w:rPr>
                <w:rFonts w:ascii="宋体" w:hAnsi="宋体" w:eastAsia="宋体" w:cs="宋体"/>
                <w:sz w:val="20"/>
                <w:szCs w:val="20"/>
              </w:rPr>
            </w:pPr>
            <w:r>
              <w:rPr>
                <w:rFonts w:ascii="宋体" w:hAnsi="宋体" w:eastAsia="宋体" w:cs="宋体"/>
                <w:spacing w:val="-3"/>
                <w:sz w:val="20"/>
                <w:szCs w:val="20"/>
              </w:rPr>
              <w:t>单位产品非甲烷总烃</w:t>
            </w:r>
            <w:r>
              <w:rPr>
                <w:rFonts w:ascii="宋体" w:hAnsi="宋体" w:eastAsia="宋体" w:cs="宋体"/>
                <w:sz w:val="20"/>
                <w:szCs w:val="20"/>
              </w:rPr>
              <w:t xml:space="preserve"> </w:t>
            </w:r>
            <w:r>
              <w:rPr>
                <w:rFonts w:ascii="宋体" w:hAnsi="宋体" w:eastAsia="宋体" w:cs="宋体"/>
                <w:spacing w:val="-2"/>
                <w:sz w:val="20"/>
                <w:szCs w:val="20"/>
              </w:rPr>
              <w:t>排放量 (</w:t>
            </w:r>
            <w:r>
              <w:rPr>
                <w:rFonts w:ascii="Times New Roman" w:hAnsi="Times New Roman" w:eastAsia="Times New Roman" w:cs="Times New Roman"/>
                <w:spacing w:val="-2"/>
                <w:sz w:val="20"/>
                <w:szCs w:val="20"/>
              </w:rPr>
              <w:t>kg/</w:t>
            </w:r>
            <w:r>
              <w:rPr>
                <w:rFonts w:ascii="Times New Roman" w:hAnsi="Times New Roman" w:eastAsia="Times New Roman" w:cs="Times New Roman"/>
                <w:sz w:val="20"/>
                <w:szCs w:val="20"/>
              </w:rPr>
              <w:t>t</w:t>
            </w:r>
            <w:r>
              <w:rPr>
                <w:rFonts w:ascii="Times New Roman" w:hAnsi="Times New Roman" w:eastAsia="Times New Roman" w:cs="Times New Roman"/>
                <w:spacing w:val="-2"/>
                <w:sz w:val="20"/>
                <w:szCs w:val="20"/>
              </w:rPr>
              <w:t xml:space="preserve"> </w:t>
            </w:r>
            <w:r>
              <w:rPr>
                <w:rFonts w:ascii="宋体" w:hAnsi="宋体" w:eastAsia="宋体" w:cs="宋体"/>
                <w:spacing w:val="-2"/>
                <w:sz w:val="20"/>
                <w:szCs w:val="20"/>
              </w:rPr>
              <w:t>产品)</w:t>
            </w:r>
          </w:p>
        </w:tc>
        <w:tc>
          <w:tcPr>
            <w:tcW w:w="4455" w:type="dxa"/>
            <w:gridSpan w:val="2"/>
            <w:vAlign w:val="top"/>
          </w:tcPr>
          <w:p w14:paraId="6087FFE5">
            <w:pPr>
              <w:spacing w:before="219" w:line="195" w:lineRule="auto"/>
              <w:ind w:left="211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w:t>
            </w:r>
            <w:r>
              <w:rPr>
                <w:rFonts w:ascii="Times New Roman" w:hAnsi="Times New Roman" w:eastAsia="Times New Roman" w:cs="Times New Roman"/>
                <w:spacing w:val="-1"/>
                <w:sz w:val="20"/>
                <w:szCs w:val="20"/>
              </w:rPr>
              <w:t>5</w:t>
            </w:r>
          </w:p>
        </w:tc>
        <w:tc>
          <w:tcPr>
            <w:tcW w:w="2104" w:type="dxa"/>
            <w:tcBorders>
              <w:right w:val="nil"/>
            </w:tcBorders>
            <w:vAlign w:val="top"/>
          </w:tcPr>
          <w:p w14:paraId="22E852C8">
            <w:pPr>
              <w:spacing w:before="45" w:line="248" w:lineRule="auto"/>
              <w:ind w:left="185" w:right="168" w:firstLine="282"/>
              <w:rPr>
                <w:rFonts w:ascii="宋体" w:hAnsi="宋体" w:eastAsia="宋体" w:cs="宋体"/>
                <w:sz w:val="20"/>
                <w:szCs w:val="20"/>
              </w:rPr>
            </w:pPr>
            <w:r>
              <w:rPr>
                <w:rFonts w:ascii="宋体" w:hAnsi="宋体" w:eastAsia="宋体" w:cs="宋体"/>
                <w:spacing w:val="-4"/>
                <w:sz w:val="20"/>
                <w:szCs w:val="20"/>
              </w:rPr>
              <w:t>所有</w:t>
            </w:r>
            <w:r>
              <w:rPr>
                <w:rFonts w:ascii="宋体" w:hAnsi="宋体" w:eastAsia="宋体" w:cs="宋体"/>
                <w:spacing w:val="-2"/>
                <w:sz w:val="20"/>
                <w:szCs w:val="20"/>
              </w:rPr>
              <w:t>合成树脂</w:t>
            </w:r>
            <w:r>
              <w:rPr>
                <w:rFonts w:ascii="宋体" w:hAnsi="宋体" w:eastAsia="宋体" w:cs="宋体"/>
                <w:sz w:val="20"/>
                <w:szCs w:val="20"/>
              </w:rPr>
              <w:t xml:space="preserve">  </w:t>
            </w:r>
            <w:r>
              <w:rPr>
                <w:rFonts w:ascii="宋体" w:hAnsi="宋体" w:eastAsia="宋体" w:cs="宋体"/>
                <w:spacing w:val="6"/>
                <w:sz w:val="20"/>
                <w:szCs w:val="20"/>
              </w:rPr>
              <w:t>(</w:t>
            </w:r>
            <w:r>
              <w:rPr>
                <w:rFonts w:ascii="宋体" w:hAnsi="宋体" w:eastAsia="宋体" w:cs="宋体"/>
                <w:spacing w:val="5"/>
                <w:sz w:val="20"/>
                <w:szCs w:val="20"/>
              </w:rPr>
              <w:t>有机硅树脂除外)</w:t>
            </w:r>
          </w:p>
        </w:tc>
      </w:tr>
    </w:tbl>
    <w:p w14:paraId="3D1425BF">
      <w:pPr>
        <w:spacing w:before="264" w:line="378" w:lineRule="auto"/>
        <w:ind w:left="119" w:right="124" w:firstLine="453"/>
        <w:rPr>
          <w:rFonts w:ascii="宋体" w:hAnsi="宋体" w:eastAsia="宋体" w:cs="宋体"/>
          <w:sz w:val="23"/>
          <w:szCs w:val="23"/>
        </w:rPr>
      </w:pPr>
      <w:r>
        <w:rPr>
          <w:rFonts w:ascii="宋体" w:hAnsi="宋体" w:eastAsia="宋体" w:cs="宋体"/>
          <w:spacing w:val="1"/>
          <w:sz w:val="23"/>
          <w:szCs w:val="23"/>
        </w:rPr>
        <w:t>企业厂区内</w:t>
      </w:r>
      <w:r>
        <w:rPr>
          <w:rFonts w:ascii="宋体" w:hAnsi="宋体" w:eastAsia="宋体" w:cs="宋体"/>
          <w:sz w:val="23"/>
          <w:szCs w:val="23"/>
        </w:rPr>
        <w:t xml:space="preserve">无组织排放的挥发性有机物执行《挥发性有机物无组织排放控制标 </w:t>
      </w:r>
      <w:r>
        <w:rPr>
          <w:rFonts w:ascii="宋体" w:hAnsi="宋体" w:eastAsia="宋体" w:cs="宋体"/>
          <w:spacing w:val="-1"/>
          <w:sz w:val="23"/>
          <w:szCs w:val="23"/>
        </w:rPr>
        <w:t>准》</w:t>
      </w:r>
      <w:r>
        <w:rPr>
          <w:rFonts w:ascii="宋体" w:hAnsi="宋体" w:eastAsia="宋体" w:cs="宋体"/>
          <w:sz w:val="23"/>
          <w:szCs w:val="23"/>
        </w:rPr>
        <w:t xml:space="preserve">  (</w:t>
      </w:r>
      <w:r>
        <w:rPr>
          <w:rFonts w:ascii="Times New Roman" w:hAnsi="Times New Roman" w:eastAsia="Times New Roman" w:cs="Times New Roman"/>
          <w:sz w:val="23"/>
          <w:szCs w:val="23"/>
        </w:rPr>
        <w:t>GB37822-2019</w:t>
      </w:r>
      <w:r>
        <w:rPr>
          <w:rFonts w:ascii="宋体" w:hAnsi="宋体" w:eastAsia="宋体" w:cs="宋体"/>
          <w:sz w:val="23"/>
          <w:szCs w:val="23"/>
        </w:rPr>
        <w:t xml:space="preserve">) 附录 </w:t>
      </w:r>
      <w:r>
        <w:rPr>
          <w:rFonts w:ascii="Times New Roman" w:hAnsi="Times New Roman" w:eastAsia="Times New Roman" w:cs="Times New Roman"/>
          <w:sz w:val="23"/>
          <w:szCs w:val="23"/>
        </w:rPr>
        <w:t xml:space="preserve">A </w:t>
      </w:r>
      <w:r>
        <w:rPr>
          <w:rFonts w:ascii="宋体" w:hAnsi="宋体" w:eastAsia="宋体" w:cs="宋体"/>
          <w:sz w:val="23"/>
          <w:szCs w:val="23"/>
        </w:rPr>
        <w:t xml:space="preserve">中标准限值要求，具体见表 </w:t>
      </w:r>
      <w:r>
        <w:rPr>
          <w:rFonts w:ascii="Times New Roman" w:hAnsi="Times New Roman" w:eastAsia="Times New Roman" w:cs="Times New Roman"/>
          <w:sz w:val="23"/>
          <w:szCs w:val="23"/>
        </w:rPr>
        <w:t>2-9</w:t>
      </w:r>
      <w:r>
        <w:rPr>
          <w:rFonts w:ascii="宋体" w:hAnsi="宋体" w:eastAsia="宋体" w:cs="宋体"/>
          <w:sz w:val="23"/>
          <w:szCs w:val="23"/>
        </w:rPr>
        <w:t>。</w:t>
      </w:r>
    </w:p>
    <w:p w14:paraId="15D6F457">
      <w:pPr>
        <w:spacing w:before="77" w:line="227" w:lineRule="auto"/>
        <w:ind w:left="862"/>
        <w:rPr>
          <w:rFonts w:ascii="宋体" w:hAnsi="宋体" w:eastAsia="宋体" w:cs="宋体"/>
          <w:sz w:val="23"/>
          <w:szCs w:val="23"/>
        </w:rPr>
      </w:pPr>
      <w:r>
        <w:rPr>
          <w:rFonts w:ascii="宋体" w:hAnsi="宋体" w:eastAsia="宋体" w:cs="宋体"/>
          <w:spacing w:val="-12"/>
          <w:sz w:val="23"/>
          <w:szCs w:val="23"/>
          <w14:textOutline w14:w="4358" w14:cap="sq" w14:cmpd="sng">
            <w14:solidFill>
              <w14:srgbClr w14:val="000000"/>
            </w14:solidFill>
            <w14:prstDash w14:val="solid"/>
            <w14:bevel/>
          </w14:textOutline>
        </w:rPr>
        <w:t>表</w:t>
      </w:r>
      <w:r>
        <w:rPr>
          <w:rFonts w:ascii="宋体" w:hAnsi="宋体" w:eastAsia="宋体" w:cs="宋体"/>
          <w:spacing w:val="-12"/>
          <w:sz w:val="23"/>
          <w:szCs w:val="23"/>
        </w:rPr>
        <w:t xml:space="preserve"> </w:t>
      </w:r>
      <w:r>
        <w:rPr>
          <w:rFonts w:ascii="Times New Roman" w:hAnsi="Times New Roman" w:eastAsia="Times New Roman" w:cs="Times New Roman"/>
          <w:b/>
          <w:bCs/>
          <w:spacing w:val="-12"/>
          <w:sz w:val="23"/>
          <w:szCs w:val="23"/>
        </w:rPr>
        <w:t>2-</w:t>
      </w:r>
      <w:r>
        <w:rPr>
          <w:rFonts w:ascii="Times New Roman" w:hAnsi="Times New Roman" w:eastAsia="Times New Roman" w:cs="Times New Roman"/>
          <w:b/>
          <w:bCs/>
          <w:spacing w:val="-6"/>
          <w:sz w:val="23"/>
          <w:szCs w:val="23"/>
        </w:rPr>
        <w:t>9</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14:textOutline w14:w="4358" w14:cap="sq" w14:cmpd="sng">
            <w14:solidFill>
              <w14:srgbClr w14:val="000000"/>
            </w14:solidFill>
            <w14:prstDash w14:val="solid"/>
            <w14:bevel/>
          </w14:textOutline>
        </w:rPr>
        <w:t>《挥发性有机物无组织排放控制标准》</w:t>
      </w:r>
      <w:r>
        <w:rPr>
          <w:rFonts w:ascii="宋体" w:hAnsi="宋体" w:eastAsia="宋体" w:cs="宋体"/>
          <w:spacing w:val="-6"/>
          <w:sz w:val="23"/>
          <w:szCs w:val="23"/>
        </w:rPr>
        <w:t xml:space="preserve">  </w:t>
      </w:r>
      <w:r>
        <w:rPr>
          <w:rFonts w:ascii="宋体" w:hAnsi="宋体" w:eastAsia="宋体" w:cs="宋体"/>
          <w:spacing w:val="-6"/>
          <w:sz w:val="23"/>
          <w:szCs w:val="23"/>
          <w14:textOutline w14:w="4358" w14:cap="sq" w14:cmpd="sng">
            <w14:solidFill>
              <w14:srgbClr w14:val="000000"/>
            </w14:solidFill>
            <w14:prstDash w14:val="solid"/>
            <w14:bevel/>
          </w14:textOutline>
        </w:rPr>
        <w:t>(</w:t>
      </w:r>
      <w:r>
        <w:rPr>
          <w:rFonts w:ascii="Times New Roman" w:hAnsi="Times New Roman" w:eastAsia="Times New Roman" w:cs="Times New Roman"/>
          <w:b/>
          <w:bCs/>
          <w:spacing w:val="-6"/>
          <w:sz w:val="23"/>
          <w:szCs w:val="23"/>
        </w:rPr>
        <w:t>GB37822-2019</w:t>
      </w:r>
      <w:r>
        <w:rPr>
          <w:rFonts w:ascii="宋体" w:hAnsi="宋体" w:eastAsia="宋体" w:cs="宋体"/>
          <w:spacing w:val="-6"/>
          <w:sz w:val="23"/>
          <w:szCs w:val="23"/>
          <w14:textOutline w14:w="4358" w14:cap="sq" w14:cmpd="sng">
            <w14:solidFill>
              <w14:srgbClr w14:val="000000"/>
            </w14:solidFill>
            <w14:prstDash w14:val="solid"/>
            <w14:bevel/>
          </w14:textOutline>
        </w:rPr>
        <w:t>)</w:t>
      </w:r>
    </w:p>
    <w:p w14:paraId="104FBA5C">
      <w:pPr>
        <w:spacing w:line="16"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63"/>
        <w:gridCol w:w="1935"/>
        <w:gridCol w:w="2520"/>
        <w:gridCol w:w="2104"/>
      </w:tblGrid>
      <w:tr w14:paraId="4B9295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963" w:type="dxa"/>
            <w:tcBorders>
              <w:left w:val="nil"/>
            </w:tcBorders>
            <w:vAlign w:val="top"/>
          </w:tcPr>
          <w:p w14:paraId="02F03B38">
            <w:pPr>
              <w:spacing w:before="187" w:line="228" w:lineRule="auto"/>
              <w:ind w:left="696"/>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污染</w:t>
            </w:r>
            <w:r>
              <w:rPr>
                <w:rFonts w:ascii="宋体" w:hAnsi="宋体" w:eastAsia="宋体" w:cs="宋体"/>
                <w:spacing w:val="-1"/>
                <w:sz w:val="20"/>
                <w:szCs w:val="20"/>
                <w14:textOutline w14:w="3795" w14:cap="sq" w14:cmpd="sng">
                  <w14:solidFill>
                    <w14:srgbClr w14:val="000000"/>
                  </w14:solidFill>
                  <w14:prstDash w14:val="solid"/>
                  <w14:bevel/>
                </w14:textOutline>
              </w:rPr>
              <w:t>物</w:t>
            </w:r>
          </w:p>
        </w:tc>
        <w:tc>
          <w:tcPr>
            <w:tcW w:w="1935" w:type="dxa"/>
            <w:vAlign w:val="top"/>
          </w:tcPr>
          <w:p w14:paraId="11D213ED">
            <w:pPr>
              <w:spacing w:before="146" w:line="289" w:lineRule="exact"/>
              <w:ind w:left="109"/>
              <w:rPr>
                <w:rFonts w:ascii="宋体" w:hAnsi="宋体" w:eastAsia="宋体" w:cs="宋体"/>
                <w:sz w:val="20"/>
                <w:szCs w:val="20"/>
              </w:rPr>
            </w:pPr>
            <w:r>
              <w:rPr>
                <w:rFonts w:ascii="宋体" w:hAnsi="宋体" w:eastAsia="宋体" w:cs="宋体"/>
                <w:spacing w:val="-4"/>
                <w:position w:val="3"/>
                <w:sz w:val="20"/>
                <w:szCs w:val="20"/>
                <w14:textOutline w14:w="3795" w14:cap="sq" w14:cmpd="sng">
                  <w14:solidFill>
                    <w14:srgbClr w14:val="000000"/>
                  </w14:solidFill>
                  <w14:prstDash w14:val="solid"/>
                  <w14:bevel/>
                </w14:textOutline>
              </w:rPr>
              <w:t>排放</w:t>
            </w:r>
            <w:r>
              <w:rPr>
                <w:rFonts w:ascii="宋体" w:hAnsi="宋体" w:eastAsia="宋体" w:cs="宋体"/>
                <w:spacing w:val="-3"/>
                <w:position w:val="3"/>
                <w:sz w:val="20"/>
                <w:szCs w:val="20"/>
                <w14:textOutline w14:w="3795" w14:cap="sq" w14:cmpd="sng">
                  <w14:solidFill>
                    <w14:srgbClr w14:val="000000"/>
                  </w14:solidFill>
                  <w14:prstDash w14:val="solid"/>
                  <w14:bevel/>
                </w14:textOutline>
              </w:rPr>
              <w:t>限</w:t>
            </w:r>
            <w:r>
              <w:rPr>
                <w:rFonts w:ascii="宋体" w:hAnsi="宋体" w:eastAsia="宋体" w:cs="宋体"/>
                <w:spacing w:val="-2"/>
                <w:position w:val="3"/>
                <w:sz w:val="20"/>
                <w:szCs w:val="20"/>
                <w14:textOutline w14:w="3795" w14:cap="sq" w14:cmpd="sng">
                  <w14:solidFill>
                    <w14:srgbClr w14:val="000000"/>
                  </w14:solidFill>
                  <w14:prstDash w14:val="solid"/>
                  <w14:bevel/>
                </w14:textOutline>
              </w:rPr>
              <w:t>值</w:t>
            </w:r>
            <w:r>
              <w:rPr>
                <w:rFonts w:ascii="宋体" w:hAnsi="宋体" w:eastAsia="宋体" w:cs="宋体"/>
                <w:spacing w:val="-2"/>
                <w:position w:val="3"/>
                <w:sz w:val="20"/>
                <w:szCs w:val="20"/>
              </w:rPr>
              <w:t xml:space="preserve"> </w:t>
            </w:r>
            <w:r>
              <w:rPr>
                <w:rFonts w:ascii="宋体" w:hAnsi="宋体" w:eastAsia="宋体" w:cs="宋体"/>
                <w:spacing w:val="-2"/>
                <w:position w:val="3"/>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spacing w:val="-2"/>
                <w:position w:val="3"/>
                <w:sz w:val="20"/>
                <w:szCs w:val="20"/>
              </w:rPr>
              <w:t>mg/m</w:t>
            </w:r>
            <w:r>
              <w:rPr>
                <w:rFonts w:ascii="Times New Roman" w:hAnsi="Times New Roman" w:eastAsia="Times New Roman" w:cs="Times New Roman"/>
                <w:b/>
                <w:bCs/>
                <w:spacing w:val="-2"/>
                <w:position w:val="9"/>
                <w:sz w:val="13"/>
                <w:szCs w:val="13"/>
              </w:rPr>
              <w:t>3</w:t>
            </w:r>
            <w:r>
              <w:rPr>
                <w:rFonts w:ascii="Times New Roman" w:hAnsi="Times New Roman" w:eastAsia="Times New Roman" w:cs="Times New Roman"/>
                <w:spacing w:val="-2"/>
                <w:position w:val="9"/>
                <w:sz w:val="13"/>
                <w:szCs w:val="13"/>
              </w:rPr>
              <w:t xml:space="preserve"> </w:t>
            </w:r>
            <w:r>
              <w:rPr>
                <w:rFonts w:ascii="宋体" w:hAnsi="宋体" w:eastAsia="宋体" w:cs="宋体"/>
                <w:spacing w:val="-2"/>
                <w:position w:val="3"/>
                <w:sz w:val="20"/>
                <w:szCs w:val="20"/>
                <w14:textOutline w14:w="3795" w14:cap="sq" w14:cmpd="sng">
                  <w14:solidFill>
                    <w14:srgbClr w14:val="000000"/>
                  </w14:solidFill>
                  <w14:prstDash w14:val="solid"/>
                  <w14:bevel/>
                </w14:textOutline>
              </w:rPr>
              <w:t>)</w:t>
            </w:r>
          </w:p>
        </w:tc>
        <w:tc>
          <w:tcPr>
            <w:tcW w:w="2520" w:type="dxa"/>
            <w:vAlign w:val="top"/>
          </w:tcPr>
          <w:p w14:paraId="61317C00">
            <w:pPr>
              <w:spacing w:before="187" w:line="228" w:lineRule="auto"/>
              <w:ind w:left="886"/>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限</w:t>
            </w:r>
            <w:r>
              <w:rPr>
                <w:rFonts w:ascii="宋体" w:hAnsi="宋体" w:eastAsia="宋体" w:cs="宋体"/>
                <w:spacing w:val="-4"/>
                <w:sz w:val="20"/>
                <w:szCs w:val="20"/>
                <w14:textOutline w14:w="3795" w14:cap="sq" w14:cmpd="sng">
                  <w14:solidFill>
                    <w14:srgbClr w14:val="000000"/>
                  </w14:solidFill>
                  <w14:prstDash w14:val="solid"/>
                  <w14:bevel/>
                </w14:textOutline>
              </w:rPr>
              <w:t>值含义</w:t>
            </w:r>
          </w:p>
        </w:tc>
        <w:tc>
          <w:tcPr>
            <w:tcW w:w="2104" w:type="dxa"/>
            <w:tcBorders>
              <w:right w:val="nil"/>
            </w:tcBorders>
            <w:vAlign w:val="top"/>
          </w:tcPr>
          <w:p w14:paraId="6A4415A6">
            <w:pPr>
              <w:spacing w:before="187" w:line="228" w:lineRule="auto"/>
              <w:ind w:left="172"/>
              <w:rPr>
                <w:rFonts w:ascii="宋体" w:hAnsi="宋体" w:eastAsia="宋体" w:cs="宋体"/>
                <w:sz w:val="20"/>
                <w:szCs w:val="20"/>
              </w:rPr>
            </w:pPr>
            <w:r>
              <w:rPr>
                <w:rFonts w:ascii="宋体" w:hAnsi="宋体" w:eastAsia="宋体" w:cs="宋体"/>
                <w:spacing w:val="-3"/>
                <w:sz w:val="20"/>
                <w:szCs w:val="20"/>
                <w14:textOutline w14:w="3795" w14:cap="sq" w14:cmpd="sng">
                  <w14:solidFill>
                    <w14:srgbClr w14:val="000000"/>
                  </w14:solidFill>
                  <w14:prstDash w14:val="solid"/>
                  <w14:bevel/>
                </w14:textOutline>
              </w:rPr>
              <w:t>无</w:t>
            </w:r>
            <w:r>
              <w:rPr>
                <w:rFonts w:ascii="宋体" w:hAnsi="宋体" w:eastAsia="宋体" w:cs="宋体"/>
                <w:spacing w:val="-2"/>
                <w:sz w:val="20"/>
                <w:szCs w:val="20"/>
                <w14:textOutline w14:w="3795" w14:cap="sq" w14:cmpd="sng">
                  <w14:solidFill>
                    <w14:srgbClr w14:val="000000"/>
                  </w14:solidFill>
                  <w14:prstDash w14:val="solid"/>
                  <w14:bevel/>
                </w14:textOutline>
              </w:rPr>
              <w:t>组织排放监控位置</w:t>
            </w:r>
          </w:p>
        </w:tc>
      </w:tr>
      <w:tr w14:paraId="0E8A62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963" w:type="dxa"/>
            <w:vMerge w:val="restart"/>
            <w:tcBorders>
              <w:left w:val="nil"/>
              <w:bottom w:val="nil"/>
            </w:tcBorders>
            <w:vAlign w:val="top"/>
          </w:tcPr>
          <w:p w14:paraId="3E94AF6C">
            <w:pPr>
              <w:spacing w:before="211" w:line="195" w:lineRule="auto"/>
              <w:ind w:left="67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NMH</w:t>
            </w:r>
            <w:r>
              <w:rPr>
                <w:rFonts w:ascii="Times New Roman" w:hAnsi="Times New Roman" w:eastAsia="Times New Roman" w:cs="Times New Roman"/>
                <w:spacing w:val="3"/>
                <w:sz w:val="20"/>
                <w:szCs w:val="20"/>
              </w:rPr>
              <w:t>C</w:t>
            </w:r>
          </w:p>
        </w:tc>
        <w:tc>
          <w:tcPr>
            <w:tcW w:w="1935" w:type="dxa"/>
            <w:vAlign w:val="top"/>
          </w:tcPr>
          <w:p w14:paraId="4510865C">
            <w:pPr>
              <w:spacing w:before="70" w:line="195" w:lineRule="auto"/>
              <w:ind w:left="890"/>
              <w:rPr>
                <w:rFonts w:ascii="Times New Roman" w:hAnsi="Times New Roman" w:eastAsia="Times New Roman" w:cs="Times New Roman"/>
                <w:sz w:val="20"/>
                <w:szCs w:val="20"/>
              </w:rPr>
            </w:pPr>
            <w:r>
              <w:rPr>
                <w:rFonts w:ascii="Times New Roman" w:hAnsi="Times New Roman" w:eastAsia="Times New Roman" w:cs="Times New Roman"/>
                <w:spacing w:val="-11"/>
                <w:sz w:val="20"/>
                <w:szCs w:val="20"/>
              </w:rPr>
              <w:t>1</w:t>
            </w:r>
            <w:r>
              <w:rPr>
                <w:rFonts w:ascii="Times New Roman" w:hAnsi="Times New Roman" w:eastAsia="Times New Roman" w:cs="Times New Roman"/>
                <w:spacing w:val="-9"/>
                <w:sz w:val="20"/>
                <w:szCs w:val="20"/>
              </w:rPr>
              <w:t>0</w:t>
            </w:r>
          </w:p>
        </w:tc>
        <w:tc>
          <w:tcPr>
            <w:tcW w:w="2520" w:type="dxa"/>
            <w:vAlign w:val="top"/>
          </w:tcPr>
          <w:p w14:paraId="48A24E9B">
            <w:pPr>
              <w:spacing w:line="275" w:lineRule="exact"/>
              <w:ind w:left="236"/>
              <w:rPr>
                <w:rFonts w:ascii="宋体" w:hAnsi="宋体" w:eastAsia="宋体" w:cs="宋体"/>
                <w:sz w:val="20"/>
                <w:szCs w:val="20"/>
              </w:rPr>
            </w:pPr>
            <w:r>
              <w:rPr>
                <w:rFonts w:ascii="宋体" w:hAnsi="宋体" w:eastAsia="宋体" w:cs="宋体"/>
                <w:spacing w:val="-6"/>
                <w:position w:val="1"/>
                <w:sz w:val="20"/>
                <w:szCs w:val="20"/>
              </w:rPr>
              <w:t xml:space="preserve">监控点处 </w:t>
            </w:r>
            <w:r>
              <w:rPr>
                <w:rFonts w:ascii="Times New Roman" w:hAnsi="Times New Roman" w:eastAsia="Times New Roman" w:cs="Times New Roman"/>
                <w:spacing w:val="-6"/>
                <w:position w:val="1"/>
                <w:sz w:val="20"/>
                <w:szCs w:val="20"/>
              </w:rPr>
              <w:t xml:space="preserve">1h </w:t>
            </w:r>
            <w:r>
              <w:rPr>
                <w:rFonts w:ascii="宋体" w:hAnsi="宋体" w:eastAsia="宋体" w:cs="宋体"/>
                <w:spacing w:val="-6"/>
                <w:position w:val="1"/>
                <w:sz w:val="20"/>
                <w:szCs w:val="20"/>
              </w:rPr>
              <w:t>平均浓度值</w:t>
            </w:r>
          </w:p>
        </w:tc>
        <w:tc>
          <w:tcPr>
            <w:tcW w:w="2104" w:type="dxa"/>
            <w:vMerge w:val="restart"/>
            <w:tcBorders>
              <w:bottom w:val="nil"/>
              <w:right w:val="nil"/>
            </w:tcBorders>
            <w:vAlign w:val="top"/>
          </w:tcPr>
          <w:p w14:paraId="4111D747">
            <w:pPr>
              <w:spacing w:before="173" w:line="228" w:lineRule="auto"/>
              <w:ind w:left="174"/>
              <w:rPr>
                <w:rFonts w:ascii="宋体" w:hAnsi="宋体" w:eastAsia="宋体" w:cs="宋体"/>
                <w:sz w:val="20"/>
                <w:szCs w:val="20"/>
              </w:rPr>
            </w:pPr>
            <w:r>
              <w:rPr>
                <w:rFonts w:ascii="宋体" w:hAnsi="宋体" w:eastAsia="宋体" w:cs="宋体"/>
                <w:spacing w:val="-4"/>
                <w:sz w:val="20"/>
                <w:szCs w:val="20"/>
              </w:rPr>
              <w:t>在</w:t>
            </w:r>
            <w:r>
              <w:rPr>
                <w:rFonts w:ascii="宋体" w:hAnsi="宋体" w:eastAsia="宋体" w:cs="宋体"/>
                <w:spacing w:val="-3"/>
                <w:sz w:val="20"/>
                <w:szCs w:val="20"/>
              </w:rPr>
              <w:t>厂</w:t>
            </w:r>
            <w:r>
              <w:rPr>
                <w:rFonts w:ascii="宋体" w:hAnsi="宋体" w:eastAsia="宋体" w:cs="宋体"/>
                <w:spacing w:val="-2"/>
                <w:sz w:val="20"/>
                <w:szCs w:val="20"/>
              </w:rPr>
              <w:t>房外设置监控点</w:t>
            </w:r>
          </w:p>
        </w:tc>
      </w:tr>
      <w:tr w14:paraId="541C28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 w:hRule="atLeast"/>
        </w:trPr>
        <w:tc>
          <w:tcPr>
            <w:tcW w:w="1963" w:type="dxa"/>
            <w:vMerge w:val="continue"/>
            <w:tcBorders>
              <w:top w:val="nil"/>
              <w:left w:val="nil"/>
            </w:tcBorders>
            <w:vAlign w:val="top"/>
          </w:tcPr>
          <w:p w14:paraId="12639E5C">
            <w:pPr>
              <w:rPr>
                <w:rFonts w:ascii="Arial"/>
                <w:sz w:val="21"/>
              </w:rPr>
            </w:pPr>
          </w:p>
        </w:tc>
        <w:tc>
          <w:tcPr>
            <w:tcW w:w="1935" w:type="dxa"/>
            <w:vAlign w:val="top"/>
          </w:tcPr>
          <w:p w14:paraId="2A140997">
            <w:pPr>
              <w:spacing w:before="72" w:line="195" w:lineRule="auto"/>
              <w:ind w:left="8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30</w:t>
            </w:r>
          </w:p>
        </w:tc>
        <w:tc>
          <w:tcPr>
            <w:tcW w:w="2520" w:type="dxa"/>
            <w:vAlign w:val="top"/>
          </w:tcPr>
          <w:p w14:paraId="11640245">
            <w:pPr>
              <w:spacing w:before="36" w:line="228" w:lineRule="auto"/>
              <w:ind w:left="188"/>
              <w:rPr>
                <w:rFonts w:ascii="宋体" w:hAnsi="宋体" w:eastAsia="宋体" w:cs="宋体"/>
                <w:sz w:val="20"/>
                <w:szCs w:val="20"/>
              </w:rPr>
            </w:pPr>
            <w:r>
              <w:rPr>
                <w:rFonts w:ascii="宋体" w:hAnsi="宋体" w:eastAsia="宋体" w:cs="宋体"/>
                <w:spacing w:val="-4"/>
                <w:sz w:val="20"/>
                <w:szCs w:val="20"/>
              </w:rPr>
              <w:t>监控点</w:t>
            </w:r>
            <w:r>
              <w:rPr>
                <w:rFonts w:ascii="宋体" w:hAnsi="宋体" w:eastAsia="宋体" w:cs="宋体"/>
                <w:spacing w:val="-3"/>
                <w:sz w:val="20"/>
                <w:szCs w:val="20"/>
              </w:rPr>
              <w:t>处</w:t>
            </w:r>
            <w:r>
              <w:rPr>
                <w:rFonts w:ascii="宋体" w:hAnsi="宋体" w:eastAsia="宋体" w:cs="宋体"/>
                <w:spacing w:val="-2"/>
                <w:sz w:val="20"/>
                <w:szCs w:val="20"/>
              </w:rPr>
              <w:t>任意一次浓度值</w:t>
            </w:r>
          </w:p>
        </w:tc>
        <w:tc>
          <w:tcPr>
            <w:tcW w:w="2104" w:type="dxa"/>
            <w:vMerge w:val="continue"/>
            <w:tcBorders>
              <w:top w:val="nil"/>
              <w:right w:val="nil"/>
            </w:tcBorders>
            <w:vAlign w:val="top"/>
          </w:tcPr>
          <w:p w14:paraId="34AE66CA">
            <w:pPr>
              <w:rPr>
                <w:rFonts w:ascii="Arial"/>
                <w:sz w:val="21"/>
              </w:rPr>
            </w:pPr>
          </w:p>
        </w:tc>
      </w:tr>
    </w:tbl>
    <w:p w14:paraId="56D90D5A">
      <w:pPr>
        <w:spacing w:before="303" w:line="395" w:lineRule="auto"/>
        <w:ind w:left="115" w:right="110" w:firstLine="456"/>
        <w:rPr>
          <w:rFonts w:ascii="宋体" w:hAnsi="宋体" w:eastAsia="宋体" w:cs="宋体"/>
          <w:sz w:val="23"/>
          <w:szCs w:val="23"/>
        </w:rPr>
      </w:pPr>
      <w:r>
        <w:rPr>
          <w:rFonts w:ascii="宋体" w:hAnsi="宋体" w:eastAsia="宋体" w:cs="宋体"/>
          <w:spacing w:val="-4"/>
          <w:sz w:val="23"/>
          <w:szCs w:val="23"/>
        </w:rPr>
        <w:t xml:space="preserve">项目洗字工序由 </w:t>
      </w:r>
      <w:r>
        <w:rPr>
          <w:rFonts w:ascii="Times New Roman" w:hAnsi="Times New Roman" w:eastAsia="Times New Roman" w:cs="Times New Roman"/>
          <w:spacing w:val="-4"/>
          <w:sz w:val="23"/>
          <w:szCs w:val="23"/>
        </w:rPr>
        <w:t xml:space="preserve">1 </w:t>
      </w:r>
      <w:r>
        <w:rPr>
          <w:rFonts w:ascii="宋体" w:hAnsi="宋体" w:eastAsia="宋体" w:cs="宋体"/>
          <w:spacing w:val="-4"/>
          <w:sz w:val="23"/>
          <w:szCs w:val="23"/>
        </w:rPr>
        <w:t xml:space="preserve">台 </w:t>
      </w:r>
      <w:r>
        <w:rPr>
          <w:rFonts w:ascii="Times New Roman" w:hAnsi="Times New Roman" w:eastAsia="Times New Roman" w:cs="Times New Roman"/>
          <w:spacing w:val="-4"/>
          <w:sz w:val="23"/>
          <w:szCs w:val="23"/>
        </w:rPr>
        <w:t>2</w:t>
      </w:r>
      <w:r>
        <w:rPr>
          <w:rFonts w:ascii="Times New Roman" w:hAnsi="Times New Roman" w:eastAsia="Times New Roman" w:cs="Times New Roman"/>
          <w:spacing w:val="-2"/>
          <w:sz w:val="23"/>
          <w:szCs w:val="23"/>
        </w:rPr>
        <w:t>t</w:t>
      </w:r>
      <w:r>
        <w:rPr>
          <w:rFonts w:ascii="Times New Roman" w:hAnsi="Times New Roman" w:eastAsia="Times New Roman" w:cs="Times New Roman"/>
          <w:spacing w:val="-4"/>
          <w:sz w:val="23"/>
          <w:szCs w:val="23"/>
        </w:rPr>
        <w:t>/</w:t>
      </w:r>
      <w:r>
        <w:rPr>
          <w:rFonts w:ascii="Times New Roman" w:hAnsi="Times New Roman" w:eastAsia="Times New Roman" w:cs="Times New Roman"/>
          <w:spacing w:val="-2"/>
          <w:sz w:val="23"/>
          <w:szCs w:val="23"/>
        </w:rPr>
        <w:t>h</w:t>
      </w:r>
      <w:r>
        <w:rPr>
          <w:rFonts w:ascii="Times New Roman" w:hAnsi="Times New Roman" w:eastAsia="Times New Roman" w:cs="Times New Roman"/>
          <w:spacing w:val="-4"/>
          <w:sz w:val="23"/>
          <w:szCs w:val="23"/>
        </w:rPr>
        <w:t xml:space="preserve"> </w:t>
      </w:r>
      <w:r>
        <w:rPr>
          <w:rFonts w:ascii="宋体" w:hAnsi="宋体" w:eastAsia="宋体" w:cs="宋体"/>
          <w:spacing w:val="-3"/>
          <w:sz w:val="23"/>
          <w:szCs w:val="23"/>
        </w:rPr>
        <w:t>的</w:t>
      </w:r>
      <w:r>
        <w:rPr>
          <w:rFonts w:ascii="宋体" w:hAnsi="宋体" w:eastAsia="宋体" w:cs="宋体"/>
          <w:spacing w:val="-2"/>
          <w:sz w:val="23"/>
          <w:szCs w:val="23"/>
        </w:rPr>
        <w:t>热风炉供热，放置于生产厂房内，锅炉房位于生产</w:t>
      </w:r>
      <w:r>
        <w:rPr>
          <w:rFonts w:ascii="宋体" w:hAnsi="宋体" w:eastAsia="宋体" w:cs="宋体"/>
          <w:sz w:val="23"/>
          <w:szCs w:val="23"/>
        </w:rPr>
        <w:t xml:space="preserve"> </w:t>
      </w:r>
      <w:r>
        <w:rPr>
          <w:rFonts w:ascii="宋体" w:hAnsi="宋体" w:eastAsia="宋体" w:cs="宋体"/>
          <w:spacing w:val="-4"/>
          <w:sz w:val="23"/>
          <w:szCs w:val="23"/>
        </w:rPr>
        <w:t>厂房内东北侧，热风炉产生</w:t>
      </w:r>
      <w:r>
        <w:rPr>
          <w:rFonts w:ascii="宋体" w:hAnsi="宋体" w:eastAsia="宋体" w:cs="宋体"/>
          <w:spacing w:val="-3"/>
          <w:sz w:val="23"/>
          <w:szCs w:val="23"/>
        </w:rPr>
        <w:t>的</w:t>
      </w:r>
      <w:r>
        <w:rPr>
          <w:rFonts w:ascii="宋体" w:hAnsi="宋体" w:eastAsia="宋体" w:cs="宋体"/>
          <w:spacing w:val="-2"/>
          <w:sz w:val="23"/>
          <w:szCs w:val="23"/>
        </w:rPr>
        <w:t xml:space="preserve">废气经配套的除尘器处理后，通过 </w:t>
      </w:r>
      <w:r>
        <w:rPr>
          <w:rFonts w:ascii="Times New Roman" w:hAnsi="Times New Roman" w:eastAsia="Times New Roman" w:cs="Times New Roman"/>
          <w:spacing w:val="-2"/>
          <w:sz w:val="23"/>
          <w:szCs w:val="23"/>
        </w:rPr>
        <w:t xml:space="preserve">1 </w:t>
      </w:r>
      <w:r>
        <w:rPr>
          <w:rFonts w:ascii="宋体" w:hAnsi="宋体" w:eastAsia="宋体" w:cs="宋体"/>
          <w:spacing w:val="-2"/>
          <w:sz w:val="23"/>
          <w:szCs w:val="23"/>
        </w:rPr>
        <w:t xml:space="preserve">个 </w:t>
      </w:r>
      <w:r>
        <w:rPr>
          <w:rFonts w:ascii="Times New Roman" w:hAnsi="Times New Roman" w:eastAsia="Times New Roman" w:cs="Times New Roman"/>
          <w:spacing w:val="-2"/>
          <w:sz w:val="23"/>
          <w:szCs w:val="23"/>
        </w:rPr>
        <w:t>30m</w:t>
      </w:r>
      <w:r>
        <w:rPr>
          <w:rFonts w:ascii="宋体" w:hAnsi="宋体" w:eastAsia="宋体" w:cs="宋体"/>
          <w:spacing w:val="-2"/>
          <w:sz w:val="23"/>
          <w:szCs w:val="23"/>
        </w:rPr>
        <w:t>高排气筒</w:t>
      </w:r>
      <w:r>
        <w:rPr>
          <w:rFonts w:ascii="宋体" w:hAnsi="宋体" w:eastAsia="宋体" w:cs="宋体"/>
          <w:sz w:val="23"/>
          <w:szCs w:val="23"/>
        </w:rPr>
        <w:t xml:space="preserve"> </w:t>
      </w:r>
      <w:r>
        <w:rPr>
          <w:rFonts w:ascii="宋体" w:hAnsi="宋体" w:eastAsia="宋体" w:cs="宋体"/>
          <w:spacing w:val="-6"/>
          <w:sz w:val="23"/>
          <w:szCs w:val="23"/>
        </w:rPr>
        <w:t>进行排放。</w:t>
      </w:r>
      <w:r>
        <w:rPr>
          <w:rFonts w:ascii="宋体" w:hAnsi="宋体" w:eastAsia="宋体" w:cs="宋体"/>
          <w:spacing w:val="-3"/>
          <w:sz w:val="23"/>
          <w:szCs w:val="23"/>
        </w:rPr>
        <w:t>根据《锅炉大气污染物排放标准》  (</w:t>
      </w:r>
      <w:r>
        <w:rPr>
          <w:rFonts w:ascii="Times New Roman" w:hAnsi="Times New Roman" w:eastAsia="Times New Roman" w:cs="Times New Roman"/>
          <w:spacing w:val="-3"/>
          <w:sz w:val="23"/>
          <w:szCs w:val="23"/>
        </w:rPr>
        <w:t>GB13271-2014</w:t>
      </w:r>
      <w:r>
        <w:rPr>
          <w:rFonts w:ascii="宋体" w:hAnsi="宋体" w:eastAsia="宋体" w:cs="宋体"/>
          <w:spacing w:val="-3"/>
          <w:sz w:val="23"/>
          <w:szCs w:val="23"/>
        </w:rPr>
        <w:t>) 适用范围中规定：</w:t>
      </w:r>
      <w:r>
        <w:rPr>
          <w:rFonts w:ascii="宋体" w:hAnsi="宋体" w:eastAsia="宋体" w:cs="宋体"/>
          <w:sz w:val="23"/>
          <w:szCs w:val="23"/>
        </w:rPr>
        <w:t xml:space="preserve"> </w:t>
      </w:r>
      <w:r>
        <w:rPr>
          <w:rFonts w:ascii="宋体" w:hAnsi="宋体" w:eastAsia="宋体" w:cs="宋体"/>
          <w:spacing w:val="-3"/>
          <w:sz w:val="23"/>
          <w:szCs w:val="23"/>
        </w:rPr>
        <w:t>使用生物质成型燃料的锅炉，参照标准中燃煤锅炉排放控制要求执行</w:t>
      </w:r>
      <w:r>
        <w:rPr>
          <w:rFonts w:ascii="宋体" w:hAnsi="宋体" w:eastAsia="宋体" w:cs="宋体"/>
          <w:spacing w:val="-2"/>
          <w:sz w:val="23"/>
          <w:szCs w:val="23"/>
        </w:rPr>
        <w:t>。</w:t>
      </w:r>
    </w:p>
    <w:p w14:paraId="0CE46150">
      <w:pPr>
        <w:tabs>
          <w:tab w:val="left" w:pos="242"/>
        </w:tabs>
        <w:spacing w:before="163" w:line="388" w:lineRule="auto"/>
        <w:ind w:left="117" w:right="110" w:firstLine="450"/>
        <w:rPr>
          <w:rFonts w:ascii="宋体" w:hAnsi="宋体" w:eastAsia="宋体" w:cs="宋体"/>
          <w:sz w:val="23"/>
          <w:szCs w:val="23"/>
        </w:rPr>
      </w:pPr>
      <w:r>
        <w:rPr>
          <w:rFonts w:ascii="宋体" w:hAnsi="宋体" w:eastAsia="宋体" w:cs="宋体"/>
          <w:spacing w:val="41"/>
          <w:sz w:val="23"/>
          <w:szCs w:val="23"/>
        </w:rPr>
        <w:t>根</w:t>
      </w:r>
      <w:r>
        <w:rPr>
          <w:rFonts w:ascii="宋体" w:hAnsi="宋体" w:eastAsia="宋体" w:cs="宋体"/>
          <w:spacing w:val="31"/>
          <w:sz w:val="23"/>
          <w:szCs w:val="23"/>
        </w:rPr>
        <w:t>据《本溪市人民政府关于印发本溪市打赢蓝天保卫战三年行动方案</w:t>
      </w:r>
      <w:r>
        <w:rPr>
          <w:rFonts w:ascii="宋体" w:hAnsi="宋体" w:eastAsia="宋体" w:cs="宋体"/>
          <w:sz w:val="23"/>
          <w:szCs w:val="23"/>
        </w:rPr>
        <w:t xml:space="preserve"> </w:t>
      </w:r>
      <w:r>
        <w:rPr>
          <w:rFonts w:ascii="宋体" w:hAnsi="宋体" w:eastAsia="宋体" w:cs="宋体"/>
          <w:sz w:val="23"/>
          <w:szCs w:val="23"/>
        </w:rPr>
        <w:tab/>
      </w:r>
      <w:r>
        <w:rPr>
          <w:rFonts w:ascii="宋体" w:hAnsi="宋体" w:eastAsia="宋体" w:cs="宋体"/>
          <w:spacing w:val="-12"/>
          <w:sz w:val="23"/>
          <w:szCs w:val="23"/>
        </w:rPr>
        <w:t>(</w:t>
      </w:r>
      <w:r>
        <w:rPr>
          <w:rFonts w:ascii="Times New Roman" w:hAnsi="Times New Roman" w:eastAsia="Times New Roman" w:cs="Times New Roman"/>
          <w:spacing w:val="-12"/>
          <w:sz w:val="23"/>
          <w:szCs w:val="23"/>
        </w:rPr>
        <w:t>2018</w:t>
      </w:r>
      <w:r>
        <w:rPr>
          <w:rFonts w:ascii="Times New Roman" w:hAnsi="Times New Roman" w:eastAsia="Times New Roman" w:cs="Times New Roman"/>
          <w:spacing w:val="-6"/>
          <w:sz w:val="23"/>
          <w:szCs w:val="23"/>
        </w:rPr>
        <w:t xml:space="preserve">—2020 </w:t>
      </w:r>
      <w:r>
        <w:rPr>
          <w:rFonts w:ascii="宋体" w:hAnsi="宋体" w:eastAsia="宋体" w:cs="宋体"/>
          <w:spacing w:val="-6"/>
          <w:sz w:val="23"/>
          <w:szCs w:val="23"/>
        </w:rPr>
        <w:t>年) 的通知》 (本政发〔</w:t>
      </w:r>
      <w:r>
        <w:rPr>
          <w:rFonts w:ascii="Times New Roman" w:hAnsi="Times New Roman" w:eastAsia="Times New Roman" w:cs="Times New Roman"/>
          <w:spacing w:val="-6"/>
          <w:sz w:val="23"/>
          <w:szCs w:val="23"/>
        </w:rPr>
        <w:t>2019</w:t>
      </w:r>
      <w:r>
        <w:rPr>
          <w:rFonts w:ascii="宋体" w:hAnsi="宋体" w:eastAsia="宋体" w:cs="宋体"/>
          <w:spacing w:val="-6"/>
          <w:sz w:val="23"/>
          <w:szCs w:val="23"/>
        </w:rPr>
        <w:t>〕</w:t>
      </w:r>
      <w:r>
        <w:rPr>
          <w:rFonts w:ascii="Times New Roman" w:hAnsi="Times New Roman" w:eastAsia="Times New Roman" w:cs="Times New Roman"/>
          <w:spacing w:val="-6"/>
          <w:sz w:val="23"/>
          <w:szCs w:val="23"/>
        </w:rPr>
        <w:t xml:space="preserve">3 </w:t>
      </w:r>
      <w:r>
        <w:rPr>
          <w:rFonts w:ascii="宋体" w:hAnsi="宋体" w:eastAsia="宋体" w:cs="宋体"/>
          <w:spacing w:val="-6"/>
          <w:sz w:val="23"/>
          <w:szCs w:val="23"/>
        </w:rPr>
        <w:t>号) 中</w:t>
      </w:r>
      <w:r>
        <w:rPr>
          <w:rFonts w:ascii="Times New Roman" w:hAnsi="Times New Roman" w:eastAsia="Times New Roman" w:cs="Times New Roman"/>
          <w:spacing w:val="-6"/>
          <w:sz w:val="23"/>
          <w:szCs w:val="23"/>
        </w:rPr>
        <w:t>“</w:t>
      </w:r>
      <w:r>
        <w:rPr>
          <w:rFonts w:ascii="宋体" w:hAnsi="宋体" w:eastAsia="宋体" w:cs="宋体"/>
          <w:spacing w:val="-6"/>
          <w:sz w:val="23"/>
          <w:szCs w:val="23"/>
        </w:rPr>
        <w:t>推进实行特别排放限值。</w:t>
      </w:r>
      <w:r>
        <w:rPr>
          <w:rFonts w:ascii="Times New Roman" w:hAnsi="Times New Roman" w:eastAsia="Times New Roman" w:cs="Times New Roman"/>
          <w:spacing w:val="-6"/>
          <w:sz w:val="23"/>
          <w:szCs w:val="23"/>
        </w:rPr>
        <w:t>2019</w:t>
      </w:r>
      <w:r>
        <w:rPr>
          <w:rFonts w:ascii="Times New Roman" w:hAnsi="Times New Roman" w:eastAsia="Times New Roman" w:cs="Times New Roman"/>
          <w:sz w:val="23"/>
          <w:szCs w:val="23"/>
        </w:rPr>
        <w:t xml:space="preserve"> </w:t>
      </w:r>
      <w:r>
        <w:rPr>
          <w:rFonts w:ascii="宋体" w:hAnsi="宋体" w:eastAsia="宋体" w:cs="宋体"/>
          <w:spacing w:val="-6"/>
          <w:sz w:val="23"/>
          <w:szCs w:val="23"/>
        </w:rPr>
        <w:t>年，全市新改扩建项</w:t>
      </w:r>
      <w:r>
        <w:rPr>
          <w:rFonts w:ascii="宋体" w:hAnsi="宋体" w:eastAsia="宋体" w:cs="宋体"/>
          <w:spacing w:val="-3"/>
          <w:sz w:val="23"/>
          <w:szCs w:val="23"/>
        </w:rPr>
        <w:t>目执行特别排放限值；</w:t>
      </w:r>
      <w:r>
        <w:rPr>
          <w:rFonts w:ascii="Times New Roman" w:hAnsi="Times New Roman" w:eastAsia="Times New Roman" w:cs="Times New Roman"/>
          <w:spacing w:val="-3"/>
          <w:sz w:val="23"/>
          <w:szCs w:val="23"/>
        </w:rPr>
        <w:t xml:space="preserve">2021 </w:t>
      </w:r>
      <w:r>
        <w:rPr>
          <w:rFonts w:ascii="宋体" w:hAnsi="宋体" w:eastAsia="宋体" w:cs="宋体"/>
          <w:spacing w:val="-3"/>
          <w:sz w:val="23"/>
          <w:szCs w:val="23"/>
        </w:rPr>
        <w:t>年起，全市执行特别排放限值。</w:t>
      </w:r>
      <w:r>
        <w:rPr>
          <w:rFonts w:ascii="Times New Roman" w:hAnsi="Times New Roman" w:eastAsia="Times New Roman" w:cs="Times New Roman"/>
          <w:spacing w:val="-3"/>
          <w:sz w:val="23"/>
          <w:szCs w:val="23"/>
        </w:rPr>
        <w:t>”</w:t>
      </w:r>
      <w:r>
        <w:rPr>
          <w:rFonts w:ascii="宋体" w:hAnsi="宋体" w:eastAsia="宋体" w:cs="宋体"/>
          <w:spacing w:val="-3"/>
          <w:sz w:val="23"/>
          <w:szCs w:val="23"/>
        </w:rPr>
        <w:t>，</w:t>
      </w:r>
      <w:r>
        <w:rPr>
          <w:rFonts w:ascii="宋体" w:hAnsi="宋体" w:eastAsia="宋体" w:cs="宋体"/>
          <w:sz w:val="23"/>
          <w:szCs w:val="23"/>
        </w:rPr>
        <w:t xml:space="preserve"> </w:t>
      </w:r>
      <w:r>
        <w:rPr>
          <w:rFonts w:ascii="宋体" w:hAnsi="宋体" w:eastAsia="宋体" w:cs="宋体"/>
          <w:spacing w:val="-8"/>
          <w:sz w:val="23"/>
          <w:szCs w:val="23"/>
        </w:rPr>
        <w:t>因此本项目</w:t>
      </w:r>
      <w:r>
        <w:rPr>
          <w:rFonts w:ascii="宋体" w:hAnsi="宋体" w:eastAsia="宋体" w:cs="宋体"/>
          <w:spacing w:val="-4"/>
          <w:sz w:val="23"/>
          <w:szCs w:val="23"/>
        </w:rPr>
        <w:t>热风炉烟气排放执行《锅炉大气污染物排放标准》  (</w:t>
      </w:r>
      <w:r>
        <w:rPr>
          <w:rFonts w:ascii="Times New Roman" w:hAnsi="Times New Roman" w:eastAsia="Times New Roman" w:cs="Times New Roman"/>
          <w:spacing w:val="-4"/>
          <w:sz w:val="23"/>
          <w:szCs w:val="23"/>
        </w:rPr>
        <w:t>GB13271-2014</w:t>
      </w:r>
      <w:r>
        <w:rPr>
          <w:rFonts w:ascii="宋体" w:hAnsi="宋体" w:eastAsia="宋体" w:cs="宋体"/>
          <w:spacing w:val="-4"/>
          <w:sz w:val="23"/>
          <w:szCs w:val="23"/>
        </w:rPr>
        <w:t>) 表</w:t>
      </w:r>
      <w:r>
        <w:rPr>
          <w:rFonts w:ascii="宋体" w:hAnsi="宋体" w:eastAsia="宋体" w:cs="宋体"/>
          <w:sz w:val="23"/>
          <w:szCs w:val="23"/>
        </w:rPr>
        <w:t xml:space="preserve"> </w:t>
      </w:r>
      <w:r>
        <w:rPr>
          <w:rFonts w:ascii="Times New Roman" w:hAnsi="Times New Roman" w:eastAsia="Times New Roman" w:cs="Times New Roman"/>
          <w:spacing w:val="-10"/>
          <w:sz w:val="23"/>
          <w:szCs w:val="23"/>
        </w:rPr>
        <w:t>3</w:t>
      </w:r>
      <w:r>
        <w:rPr>
          <w:rFonts w:ascii="Times New Roman" w:hAnsi="Times New Roman" w:eastAsia="Times New Roman" w:cs="Times New Roman"/>
          <w:spacing w:val="-7"/>
          <w:sz w:val="23"/>
          <w:szCs w:val="23"/>
        </w:rPr>
        <w:t xml:space="preserve"> </w:t>
      </w:r>
      <w:r>
        <w:rPr>
          <w:rFonts w:ascii="宋体" w:hAnsi="宋体" w:eastAsia="宋体" w:cs="宋体"/>
          <w:spacing w:val="-5"/>
          <w:sz w:val="23"/>
          <w:szCs w:val="23"/>
        </w:rPr>
        <w:t xml:space="preserve">中特别排放限值要求，见表 </w:t>
      </w:r>
      <w:r>
        <w:rPr>
          <w:rFonts w:ascii="Times New Roman" w:hAnsi="Times New Roman" w:eastAsia="Times New Roman" w:cs="Times New Roman"/>
          <w:spacing w:val="-5"/>
          <w:sz w:val="23"/>
          <w:szCs w:val="23"/>
        </w:rPr>
        <w:t>2-10</w:t>
      </w:r>
      <w:r>
        <w:rPr>
          <w:rFonts w:ascii="宋体" w:hAnsi="宋体" w:eastAsia="宋体" w:cs="宋体"/>
          <w:spacing w:val="-5"/>
          <w:sz w:val="23"/>
          <w:szCs w:val="23"/>
        </w:rPr>
        <w:t>。</w:t>
      </w:r>
    </w:p>
    <w:p w14:paraId="726BC2F7">
      <w:pPr>
        <w:sectPr>
          <w:headerReference r:id="rId62" w:type="default"/>
          <w:footerReference r:id="rId63" w:type="default"/>
          <w:pgSz w:w="11906" w:h="16839"/>
          <w:pgMar w:top="1132" w:right="1691" w:bottom="1156" w:left="1691" w:header="878" w:footer="996" w:gutter="0"/>
          <w:cols w:space="720" w:num="1"/>
        </w:sectPr>
      </w:pPr>
    </w:p>
    <w:p w14:paraId="77E4CD41">
      <w:pPr>
        <w:spacing w:line="362" w:lineRule="auto"/>
        <w:rPr>
          <w:rFonts w:ascii="Arial"/>
          <w:sz w:val="21"/>
        </w:rPr>
      </w:pPr>
      <w:r>
        <w:pict>
          <v:shape id="_x0000_s1091" o:spid="_x0000_s1091" style="position:absolute;left:0pt;margin-left:90pt;margin-top:57.35pt;height:0.75pt;width:415.3pt;mso-position-horizontal-relative:page;mso-position-vertical-relative:page;z-index:251728896;mso-width-relative:page;mso-height-relative:page;" fillcolor="#000000" filled="t" stroked="f" coordsize="8305,15" o:allowincell="f" path="m0,0l8305,0,8305,14,0,14,0,0xe">
            <v:path/>
            <v:fill on="t" focussize="0,0"/>
            <v:stroke on="f"/>
            <v:imagedata o:title=""/>
            <o:lock v:ext="edit"/>
          </v:shape>
        </w:pict>
      </w:r>
    </w:p>
    <w:p w14:paraId="7E76612C">
      <w:pPr>
        <w:spacing w:before="74" w:line="332" w:lineRule="exact"/>
        <w:ind w:left="411"/>
        <w:rPr>
          <w:rFonts w:ascii="宋体" w:hAnsi="宋体" w:eastAsia="宋体" w:cs="宋体"/>
          <w:sz w:val="23"/>
          <w:szCs w:val="23"/>
        </w:rPr>
      </w:pPr>
      <w:r>
        <w:rPr>
          <w:rFonts w:ascii="宋体" w:hAnsi="宋体" w:eastAsia="宋体" w:cs="宋体"/>
          <w:spacing w:val="-6"/>
          <w:position w:val="3"/>
          <w:sz w:val="23"/>
          <w:szCs w:val="23"/>
          <w14:textOutline w14:w="4358" w14:cap="sq" w14:cmpd="sng">
            <w14:solidFill>
              <w14:srgbClr w14:val="000000"/>
            </w14:solidFill>
            <w14:prstDash w14:val="solid"/>
            <w14:bevel/>
          </w14:textOutline>
        </w:rPr>
        <w:t>表</w:t>
      </w:r>
      <w:r>
        <w:rPr>
          <w:rFonts w:ascii="宋体" w:hAnsi="宋体" w:eastAsia="宋体" w:cs="宋体"/>
          <w:spacing w:val="-6"/>
          <w:position w:val="3"/>
          <w:sz w:val="23"/>
          <w:szCs w:val="23"/>
        </w:rPr>
        <w:t xml:space="preserve"> </w:t>
      </w:r>
      <w:r>
        <w:rPr>
          <w:rFonts w:ascii="Times New Roman" w:hAnsi="Times New Roman" w:eastAsia="Times New Roman" w:cs="Times New Roman"/>
          <w:b/>
          <w:bCs/>
          <w:spacing w:val="-6"/>
          <w:position w:val="3"/>
          <w:sz w:val="23"/>
          <w:szCs w:val="23"/>
        </w:rPr>
        <w:t>2-10</w:t>
      </w:r>
      <w:r>
        <w:rPr>
          <w:rFonts w:ascii="Times New Roman" w:hAnsi="Times New Roman" w:eastAsia="Times New Roman" w:cs="Times New Roman"/>
          <w:spacing w:val="-6"/>
          <w:position w:val="3"/>
          <w:sz w:val="23"/>
          <w:szCs w:val="23"/>
        </w:rPr>
        <w:t xml:space="preserve">        </w:t>
      </w:r>
      <w:r>
        <w:rPr>
          <w:rFonts w:ascii="宋体" w:hAnsi="宋体" w:eastAsia="宋体" w:cs="宋体"/>
          <w:spacing w:val="-6"/>
          <w:position w:val="3"/>
          <w:sz w:val="23"/>
          <w:szCs w:val="23"/>
          <w14:textOutline w14:w="4358" w14:cap="sq" w14:cmpd="sng">
            <w14:solidFill>
              <w14:srgbClr w14:val="000000"/>
            </w14:solidFill>
            <w14:prstDash w14:val="solid"/>
            <w14:bevel/>
          </w14:textOutline>
        </w:rPr>
        <w:t>《锅炉大气污染物排放标准》</w:t>
      </w:r>
      <w:r>
        <w:rPr>
          <w:rFonts w:ascii="宋体" w:hAnsi="宋体" w:eastAsia="宋体" w:cs="宋体"/>
          <w:spacing w:val="-6"/>
          <w:position w:val="3"/>
          <w:sz w:val="23"/>
          <w:szCs w:val="23"/>
        </w:rPr>
        <w:t xml:space="preserve">  </w:t>
      </w:r>
      <w:r>
        <w:rPr>
          <w:rFonts w:ascii="宋体" w:hAnsi="宋体" w:eastAsia="宋体" w:cs="宋体"/>
          <w:spacing w:val="-6"/>
          <w:position w:val="3"/>
          <w:sz w:val="23"/>
          <w:szCs w:val="23"/>
          <w14:textOutline w14:w="4358" w14:cap="sq" w14:cmpd="sng">
            <w14:solidFill>
              <w14:srgbClr w14:val="000000"/>
            </w14:solidFill>
            <w14:prstDash w14:val="solid"/>
            <w14:bevel/>
          </w14:textOutline>
        </w:rPr>
        <w:t>(</w:t>
      </w:r>
      <w:r>
        <w:rPr>
          <w:rFonts w:ascii="Times New Roman" w:hAnsi="Times New Roman" w:eastAsia="Times New Roman" w:cs="Times New Roman"/>
          <w:b/>
          <w:bCs/>
          <w:spacing w:val="-6"/>
          <w:position w:val="3"/>
          <w:sz w:val="23"/>
          <w:szCs w:val="23"/>
        </w:rPr>
        <w:t>GB13271-2014</w:t>
      </w:r>
      <w:r>
        <w:rPr>
          <w:rFonts w:ascii="宋体" w:hAnsi="宋体" w:eastAsia="宋体" w:cs="宋体"/>
          <w:spacing w:val="-6"/>
          <w:position w:val="3"/>
          <w:sz w:val="23"/>
          <w:szCs w:val="23"/>
          <w14:textOutline w14:w="4358" w14:cap="sq" w14:cmpd="sng">
            <w14:solidFill>
              <w14:srgbClr w14:val="000000"/>
            </w14:solidFill>
            <w14:prstDash w14:val="solid"/>
            <w14:bevel/>
          </w14:textOutline>
        </w:rPr>
        <w:t>)</w:t>
      </w:r>
      <w:r>
        <w:rPr>
          <w:rFonts w:ascii="宋体" w:hAnsi="宋体" w:eastAsia="宋体" w:cs="宋体"/>
          <w:spacing w:val="-6"/>
          <w:position w:val="3"/>
          <w:sz w:val="23"/>
          <w:szCs w:val="23"/>
        </w:rPr>
        <w:t xml:space="preserve">  </w:t>
      </w:r>
      <w:r>
        <w:rPr>
          <w:rFonts w:ascii="宋体" w:hAnsi="宋体" w:eastAsia="宋体" w:cs="宋体"/>
          <w:spacing w:val="-6"/>
          <w:position w:val="3"/>
          <w:sz w:val="23"/>
          <w:szCs w:val="23"/>
          <w14:textOutline w14:w="4358" w14:cap="sq" w14:cmpd="sng">
            <w14:solidFill>
              <w14:srgbClr w14:val="000000"/>
            </w14:solidFill>
            <w14:prstDash w14:val="solid"/>
            <w14:bevel/>
          </w14:textOutline>
        </w:rPr>
        <w:t>(单位：</w:t>
      </w:r>
      <w:r>
        <w:rPr>
          <w:rFonts w:ascii="Times New Roman" w:hAnsi="Times New Roman" w:eastAsia="Times New Roman" w:cs="Times New Roman"/>
          <w:b/>
          <w:bCs/>
          <w:spacing w:val="-6"/>
          <w:position w:val="3"/>
          <w:sz w:val="23"/>
          <w:szCs w:val="23"/>
        </w:rPr>
        <w:t>mg/</w:t>
      </w:r>
      <w:r>
        <w:rPr>
          <w:rFonts w:ascii="Times New Roman" w:hAnsi="Times New Roman" w:eastAsia="Times New Roman" w:cs="Times New Roman"/>
          <w:b/>
          <w:bCs/>
          <w:spacing w:val="-5"/>
          <w:position w:val="3"/>
          <w:sz w:val="23"/>
          <w:szCs w:val="23"/>
        </w:rPr>
        <w:t>m</w:t>
      </w:r>
      <w:r>
        <w:rPr>
          <w:rFonts w:ascii="Times New Roman" w:hAnsi="Times New Roman" w:eastAsia="Times New Roman" w:cs="Times New Roman"/>
          <w:b/>
          <w:bCs/>
          <w:spacing w:val="-6"/>
          <w:position w:val="11"/>
          <w:sz w:val="15"/>
          <w:szCs w:val="15"/>
        </w:rPr>
        <w:t>3</w:t>
      </w:r>
      <w:r>
        <w:rPr>
          <w:rFonts w:ascii="Times New Roman" w:hAnsi="Times New Roman" w:eastAsia="Times New Roman" w:cs="Times New Roman"/>
          <w:spacing w:val="-6"/>
          <w:position w:val="11"/>
          <w:sz w:val="15"/>
          <w:szCs w:val="15"/>
        </w:rPr>
        <w:t xml:space="preserve"> </w:t>
      </w:r>
      <w:r>
        <w:rPr>
          <w:rFonts w:ascii="宋体" w:hAnsi="宋体" w:eastAsia="宋体" w:cs="宋体"/>
          <w:spacing w:val="-6"/>
          <w:position w:val="3"/>
          <w:sz w:val="23"/>
          <w:szCs w:val="23"/>
          <w14:textOutline w14:w="4358" w14:cap="sq" w14:cmpd="sng">
            <w14:solidFill>
              <w14:srgbClr w14:val="000000"/>
            </w14:solidFill>
            <w14:prstDash w14:val="solid"/>
            <w14:bevel/>
          </w14:textOutline>
        </w:rPr>
        <w:t>)</w:t>
      </w:r>
    </w:p>
    <w:p w14:paraId="2E484C1E">
      <w:pPr>
        <w:spacing w:line="16" w:lineRule="exact"/>
      </w:pPr>
    </w:p>
    <w:tbl>
      <w:tblPr>
        <w:tblStyle w:val="4"/>
        <w:tblW w:w="852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7"/>
        <w:gridCol w:w="908"/>
        <w:gridCol w:w="906"/>
        <w:gridCol w:w="908"/>
        <w:gridCol w:w="4892"/>
      </w:tblGrid>
      <w:tr w14:paraId="61E185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907" w:type="dxa"/>
            <w:tcBorders>
              <w:left w:val="nil"/>
            </w:tcBorders>
            <w:vAlign w:val="top"/>
          </w:tcPr>
          <w:p w14:paraId="2F004641">
            <w:pPr>
              <w:spacing w:before="107" w:line="228" w:lineRule="auto"/>
              <w:ind w:left="168"/>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污染</w:t>
            </w:r>
            <w:r>
              <w:rPr>
                <w:rFonts w:ascii="宋体" w:hAnsi="宋体" w:eastAsia="宋体" w:cs="宋体"/>
                <w:spacing w:val="-1"/>
                <w:sz w:val="20"/>
                <w:szCs w:val="20"/>
                <w14:textOutline w14:w="3795" w14:cap="sq" w14:cmpd="sng">
                  <w14:solidFill>
                    <w14:srgbClr w14:val="000000"/>
                  </w14:solidFill>
                  <w14:prstDash w14:val="solid"/>
                  <w14:bevel/>
                </w14:textOutline>
              </w:rPr>
              <w:t>物</w:t>
            </w:r>
          </w:p>
        </w:tc>
        <w:tc>
          <w:tcPr>
            <w:tcW w:w="908" w:type="dxa"/>
            <w:vAlign w:val="top"/>
          </w:tcPr>
          <w:p w14:paraId="00DB4ED0">
            <w:pPr>
              <w:spacing w:before="107" w:line="228" w:lineRule="auto"/>
              <w:ind w:left="163"/>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颗粒</w:t>
            </w:r>
            <w:r>
              <w:rPr>
                <w:rFonts w:ascii="宋体" w:hAnsi="宋体" w:eastAsia="宋体" w:cs="宋体"/>
                <w:sz w:val="20"/>
                <w:szCs w:val="20"/>
                <w14:textOutline w14:w="3795" w14:cap="sq" w14:cmpd="sng">
                  <w14:solidFill>
                    <w14:srgbClr w14:val="000000"/>
                  </w14:solidFill>
                  <w14:prstDash w14:val="solid"/>
                  <w14:bevel/>
                </w14:textOutline>
              </w:rPr>
              <w:t>物</w:t>
            </w:r>
          </w:p>
        </w:tc>
        <w:tc>
          <w:tcPr>
            <w:tcW w:w="906" w:type="dxa"/>
            <w:vAlign w:val="top"/>
          </w:tcPr>
          <w:p w14:paraId="3848AF9F">
            <w:pPr>
              <w:spacing w:before="142" w:line="202" w:lineRule="auto"/>
              <w:ind w:left="298"/>
              <w:rPr>
                <w:rFonts w:ascii="Times New Roman" w:hAnsi="Times New Roman" w:eastAsia="Times New Roman" w:cs="Times New Roman"/>
                <w:sz w:val="13"/>
                <w:szCs w:val="13"/>
              </w:rPr>
            </w:pPr>
            <w:r>
              <w:rPr>
                <w:rFonts w:ascii="Times New Roman" w:hAnsi="Times New Roman" w:eastAsia="Times New Roman" w:cs="Times New Roman"/>
                <w:b/>
                <w:bCs/>
                <w:spacing w:val="-1"/>
                <w:sz w:val="20"/>
                <w:szCs w:val="20"/>
              </w:rPr>
              <w:t>SO</w:t>
            </w:r>
            <w:r>
              <w:rPr>
                <w:rFonts w:ascii="Times New Roman" w:hAnsi="Times New Roman" w:eastAsia="Times New Roman" w:cs="Times New Roman"/>
                <w:b/>
                <w:bCs/>
                <w:spacing w:val="-1"/>
                <w:position w:val="-1"/>
                <w:sz w:val="13"/>
                <w:szCs w:val="13"/>
              </w:rPr>
              <w:t>2</w:t>
            </w:r>
          </w:p>
        </w:tc>
        <w:tc>
          <w:tcPr>
            <w:tcW w:w="908" w:type="dxa"/>
            <w:vAlign w:val="top"/>
          </w:tcPr>
          <w:p w14:paraId="21EB374C">
            <w:pPr>
              <w:spacing w:before="142" w:line="202" w:lineRule="auto"/>
              <w:ind w:left="260"/>
              <w:rPr>
                <w:rFonts w:ascii="Times New Roman" w:hAnsi="Times New Roman" w:eastAsia="Times New Roman" w:cs="Times New Roman"/>
                <w:sz w:val="13"/>
                <w:szCs w:val="13"/>
              </w:rPr>
            </w:pPr>
            <w:r>
              <w:rPr>
                <w:rFonts w:ascii="Times New Roman" w:hAnsi="Times New Roman" w:eastAsia="Times New Roman" w:cs="Times New Roman"/>
                <w:b/>
                <w:bCs/>
                <w:spacing w:val="4"/>
                <w:sz w:val="20"/>
                <w:szCs w:val="20"/>
              </w:rPr>
              <w:t>N</w:t>
            </w:r>
            <w:r>
              <w:rPr>
                <w:rFonts w:ascii="Times New Roman" w:hAnsi="Times New Roman" w:eastAsia="Times New Roman" w:cs="Times New Roman"/>
                <w:b/>
                <w:bCs/>
                <w:spacing w:val="2"/>
                <w:sz w:val="20"/>
                <w:szCs w:val="20"/>
              </w:rPr>
              <w:t>O</w:t>
            </w:r>
            <w:r>
              <w:rPr>
                <w:rFonts w:ascii="Times New Roman" w:hAnsi="Times New Roman" w:eastAsia="Times New Roman" w:cs="Times New Roman"/>
                <w:b/>
                <w:bCs/>
                <w:spacing w:val="2"/>
                <w:position w:val="-1"/>
                <w:sz w:val="13"/>
                <w:szCs w:val="13"/>
              </w:rPr>
              <w:t>X</w:t>
            </w:r>
          </w:p>
        </w:tc>
        <w:tc>
          <w:tcPr>
            <w:tcW w:w="4892" w:type="dxa"/>
            <w:tcBorders>
              <w:right w:val="nil"/>
            </w:tcBorders>
            <w:vAlign w:val="top"/>
          </w:tcPr>
          <w:p w14:paraId="4A895C82">
            <w:pPr>
              <w:spacing w:before="106" w:line="228" w:lineRule="auto"/>
              <w:ind w:left="1664"/>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烟囱最低允许高</w:t>
            </w:r>
            <w:r>
              <w:rPr>
                <w:rFonts w:ascii="宋体" w:hAnsi="宋体" w:eastAsia="宋体" w:cs="宋体"/>
                <w:spacing w:val="-1"/>
                <w:sz w:val="20"/>
                <w:szCs w:val="20"/>
                <w14:textOutline w14:w="3795" w14:cap="sq" w14:cmpd="sng">
                  <w14:solidFill>
                    <w14:srgbClr w14:val="000000"/>
                  </w14:solidFill>
                  <w14:prstDash w14:val="solid"/>
                  <w14:bevel/>
                </w14:textOutline>
              </w:rPr>
              <w:t>度</w:t>
            </w:r>
          </w:p>
        </w:tc>
      </w:tr>
      <w:tr w14:paraId="066E2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907" w:type="dxa"/>
            <w:tcBorders>
              <w:left w:val="nil"/>
            </w:tcBorders>
            <w:vAlign w:val="top"/>
          </w:tcPr>
          <w:p w14:paraId="7FB62791">
            <w:pPr>
              <w:spacing w:before="161" w:line="228" w:lineRule="auto"/>
              <w:ind w:left="167"/>
              <w:rPr>
                <w:rFonts w:ascii="宋体" w:hAnsi="宋体" w:eastAsia="宋体" w:cs="宋体"/>
                <w:sz w:val="20"/>
                <w:szCs w:val="20"/>
              </w:rPr>
            </w:pPr>
            <w:r>
              <w:rPr>
                <w:rFonts w:ascii="宋体" w:hAnsi="宋体" w:eastAsia="宋体" w:cs="宋体"/>
                <w:spacing w:val="-2"/>
                <w:sz w:val="20"/>
                <w:szCs w:val="20"/>
              </w:rPr>
              <w:t>标</w:t>
            </w:r>
            <w:r>
              <w:rPr>
                <w:rFonts w:ascii="宋体" w:hAnsi="宋体" w:eastAsia="宋体" w:cs="宋体"/>
                <w:spacing w:val="-1"/>
                <w:sz w:val="20"/>
                <w:szCs w:val="20"/>
              </w:rPr>
              <w:t>准值</w:t>
            </w:r>
          </w:p>
        </w:tc>
        <w:tc>
          <w:tcPr>
            <w:tcW w:w="908" w:type="dxa"/>
            <w:vAlign w:val="top"/>
          </w:tcPr>
          <w:p w14:paraId="5DBB34B6">
            <w:pPr>
              <w:spacing w:before="197" w:line="195" w:lineRule="auto"/>
              <w:ind w:left="36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30</w:t>
            </w:r>
          </w:p>
        </w:tc>
        <w:tc>
          <w:tcPr>
            <w:tcW w:w="906" w:type="dxa"/>
            <w:vAlign w:val="top"/>
          </w:tcPr>
          <w:p w14:paraId="4DE23EBD">
            <w:pPr>
              <w:spacing w:before="197" w:line="195" w:lineRule="auto"/>
              <w:ind w:left="308"/>
              <w:rPr>
                <w:rFonts w:ascii="Times New Roman" w:hAnsi="Times New Roman" w:eastAsia="Times New Roman" w:cs="Times New Roman"/>
                <w:sz w:val="20"/>
                <w:szCs w:val="20"/>
              </w:rPr>
            </w:pPr>
            <w:r>
              <w:rPr>
                <w:rFonts w:ascii="Times New Roman" w:hAnsi="Times New Roman" w:eastAsia="Times New Roman" w:cs="Times New Roman"/>
                <w:sz w:val="20"/>
                <w:szCs w:val="20"/>
              </w:rPr>
              <w:t>200</w:t>
            </w:r>
          </w:p>
        </w:tc>
        <w:tc>
          <w:tcPr>
            <w:tcW w:w="908" w:type="dxa"/>
            <w:vAlign w:val="top"/>
          </w:tcPr>
          <w:p w14:paraId="3AFAADE9">
            <w:pPr>
              <w:spacing w:before="197" w:line="195" w:lineRule="auto"/>
              <w:ind w:left="309"/>
              <w:rPr>
                <w:rFonts w:ascii="Times New Roman" w:hAnsi="Times New Roman" w:eastAsia="Times New Roman" w:cs="Times New Roman"/>
                <w:sz w:val="20"/>
                <w:szCs w:val="20"/>
              </w:rPr>
            </w:pPr>
            <w:r>
              <w:rPr>
                <w:rFonts w:ascii="Times New Roman" w:hAnsi="Times New Roman" w:eastAsia="Times New Roman" w:cs="Times New Roman"/>
                <w:sz w:val="20"/>
                <w:szCs w:val="20"/>
              </w:rPr>
              <w:t>200</w:t>
            </w:r>
          </w:p>
        </w:tc>
        <w:tc>
          <w:tcPr>
            <w:tcW w:w="4892" w:type="dxa"/>
            <w:tcBorders>
              <w:right w:val="nil"/>
            </w:tcBorders>
            <w:vAlign w:val="top"/>
          </w:tcPr>
          <w:p w14:paraId="0A05C529">
            <w:pPr>
              <w:spacing w:before="32" w:line="237" w:lineRule="auto"/>
              <w:ind w:left="708" w:right="101" w:hanging="568"/>
              <w:rPr>
                <w:rFonts w:ascii="宋体" w:hAnsi="宋体" w:eastAsia="宋体" w:cs="宋体"/>
                <w:sz w:val="20"/>
                <w:szCs w:val="20"/>
              </w:rPr>
            </w:pPr>
            <w:r>
              <w:rPr>
                <w:rFonts w:ascii="Times New Roman" w:hAnsi="Times New Roman" w:eastAsia="Times New Roman" w:cs="Times New Roman"/>
                <w:spacing w:val="-4"/>
                <w:sz w:val="20"/>
                <w:szCs w:val="20"/>
              </w:rPr>
              <w:t>30</w:t>
            </w:r>
            <w:r>
              <w:rPr>
                <w:rFonts w:ascii="Times New Roman" w:hAnsi="Times New Roman" w:eastAsia="Times New Roman" w:cs="Times New Roman"/>
                <w:spacing w:val="-2"/>
                <w:sz w:val="20"/>
                <w:szCs w:val="20"/>
              </w:rPr>
              <w:t>m</w:t>
            </w:r>
            <w:r>
              <w:rPr>
                <w:rFonts w:ascii="Times New Roman" w:hAnsi="Times New Roman" w:eastAsia="Times New Roman" w:cs="Times New Roman"/>
                <w:spacing w:val="-4"/>
                <w:sz w:val="20"/>
                <w:szCs w:val="20"/>
              </w:rPr>
              <w:t xml:space="preserve"> </w:t>
            </w:r>
            <w:r>
              <w:rPr>
                <w:rFonts w:ascii="Times New Roman" w:hAnsi="Times New Roman" w:eastAsia="Times New Roman" w:cs="Times New Roman"/>
                <w:spacing w:val="-2"/>
                <w:sz w:val="20"/>
                <w:szCs w:val="20"/>
              </w:rPr>
              <w:t xml:space="preserve"> </w:t>
            </w:r>
            <w:r>
              <w:rPr>
                <w:rFonts w:ascii="宋体" w:hAnsi="宋体" w:eastAsia="宋体" w:cs="宋体"/>
                <w:spacing w:val="-2"/>
                <w:sz w:val="20"/>
                <w:szCs w:val="20"/>
              </w:rPr>
              <w:t xml:space="preserve">(新建锅炉房的烟囱周围半径 </w:t>
            </w:r>
            <w:r>
              <w:rPr>
                <w:rFonts w:ascii="Times New Roman" w:hAnsi="Times New Roman" w:eastAsia="Times New Roman" w:cs="Times New Roman"/>
                <w:spacing w:val="-2"/>
                <w:sz w:val="20"/>
                <w:szCs w:val="20"/>
              </w:rPr>
              <w:t>200m</w:t>
            </w:r>
            <w:r>
              <w:rPr>
                <w:rFonts w:ascii="宋体" w:hAnsi="宋体" w:eastAsia="宋体" w:cs="宋体"/>
                <w:spacing w:val="-2"/>
                <w:sz w:val="20"/>
                <w:szCs w:val="20"/>
              </w:rPr>
              <w:t>距离内有建筑</w:t>
            </w:r>
            <w:r>
              <w:rPr>
                <w:rFonts w:ascii="宋体" w:hAnsi="宋体" w:eastAsia="宋体" w:cs="宋体"/>
                <w:sz w:val="20"/>
                <w:szCs w:val="20"/>
              </w:rPr>
              <w:t xml:space="preserve"> </w:t>
            </w:r>
            <w:r>
              <w:rPr>
                <w:rFonts w:ascii="宋体" w:hAnsi="宋体" w:eastAsia="宋体" w:cs="宋体"/>
                <w:spacing w:val="-8"/>
                <w:sz w:val="20"/>
                <w:szCs w:val="20"/>
              </w:rPr>
              <w:t>物</w:t>
            </w:r>
            <w:r>
              <w:rPr>
                <w:rFonts w:ascii="宋体" w:hAnsi="宋体" w:eastAsia="宋体" w:cs="宋体"/>
                <w:spacing w:val="-5"/>
                <w:sz w:val="20"/>
                <w:szCs w:val="20"/>
              </w:rPr>
              <w:t xml:space="preserve">时，其烟囱应高出建筑物 </w:t>
            </w:r>
            <w:r>
              <w:rPr>
                <w:rFonts w:ascii="Times New Roman" w:hAnsi="Times New Roman" w:eastAsia="Times New Roman" w:cs="Times New Roman"/>
                <w:spacing w:val="-5"/>
                <w:sz w:val="20"/>
                <w:szCs w:val="20"/>
              </w:rPr>
              <w:t xml:space="preserve">3m </w:t>
            </w:r>
            <w:r>
              <w:rPr>
                <w:rFonts w:ascii="宋体" w:hAnsi="宋体" w:eastAsia="宋体" w:cs="宋体"/>
                <w:spacing w:val="-5"/>
                <w:sz w:val="20"/>
                <w:szCs w:val="20"/>
              </w:rPr>
              <w:t>以上) 。</w:t>
            </w:r>
          </w:p>
        </w:tc>
      </w:tr>
    </w:tbl>
    <w:p w14:paraId="67BB107D">
      <w:pPr>
        <w:spacing w:line="270" w:lineRule="auto"/>
        <w:rPr>
          <w:rFonts w:ascii="Arial"/>
          <w:sz w:val="21"/>
        </w:rPr>
      </w:pPr>
    </w:p>
    <w:p w14:paraId="5873C884">
      <w:pPr>
        <w:spacing w:before="74" w:line="227" w:lineRule="auto"/>
        <w:ind w:left="580"/>
        <w:rPr>
          <w:rFonts w:ascii="宋体" w:hAnsi="宋体" w:eastAsia="宋体" w:cs="宋体"/>
          <w:sz w:val="23"/>
          <w:szCs w:val="23"/>
        </w:rPr>
      </w:pPr>
      <w:r>
        <w:rPr>
          <w:rFonts w:ascii="宋体" w:hAnsi="宋体" w:eastAsia="宋体" w:cs="宋体"/>
          <w:spacing w:val="18"/>
          <w:sz w:val="23"/>
          <w:szCs w:val="23"/>
        </w:rPr>
        <w:t>(</w:t>
      </w:r>
      <w:r>
        <w:rPr>
          <w:rFonts w:ascii="Times New Roman" w:hAnsi="Times New Roman" w:eastAsia="Times New Roman" w:cs="Times New Roman"/>
          <w:spacing w:val="17"/>
          <w:sz w:val="23"/>
          <w:szCs w:val="23"/>
        </w:rPr>
        <w:t>2</w:t>
      </w:r>
      <w:r>
        <w:rPr>
          <w:rFonts w:ascii="宋体" w:hAnsi="宋体" w:eastAsia="宋体" w:cs="宋体"/>
          <w:spacing w:val="17"/>
          <w:sz w:val="23"/>
          <w:szCs w:val="23"/>
        </w:rPr>
        <w:t>) 废水</w:t>
      </w:r>
    </w:p>
    <w:p w14:paraId="10FED5A6">
      <w:pPr>
        <w:spacing w:line="288" w:lineRule="auto"/>
        <w:rPr>
          <w:rFonts w:ascii="Arial"/>
          <w:sz w:val="21"/>
        </w:rPr>
      </w:pPr>
    </w:p>
    <w:p w14:paraId="1DEF18DD">
      <w:pPr>
        <w:spacing w:before="75" w:line="386" w:lineRule="auto"/>
        <w:ind w:left="116" w:right="95" w:firstLine="455"/>
        <w:rPr>
          <w:rFonts w:ascii="宋体" w:hAnsi="宋体" w:eastAsia="宋体" w:cs="宋体"/>
          <w:sz w:val="23"/>
          <w:szCs w:val="23"/>
        </w:rPr>
      </w:pPr>
      <w:r>
        <w:rPr>
          <w:rFonts w:ascii="宋体" w:hAnsi="宋体" w:eastAsia="宋体" w:cs="宋体"/>
          <w:spacing w:val="-10"/>
          <w:sz w:val="23"/>
          <w:szCs w:val="23"/>
        </w:rPr>
        <w:t xml:space="preserve">该项目设有 </w:t>
      </w:r>
      <w:r>
        <w:rPr>
          <w:rFonts w:ascii="Times New Roman" w:hAnsi="Times New Roman" w:eastAsia="Times New Roman" w:cs="Times New Roman"/>
          <w:spacing w:val="-8"/>
          <w:sz w:val="23"/>
          <w:szCs w:val="23"/>
        </w:rPr>
        <w:t>1</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rPr>
        <w:t>座容积为</w:t>
      </w:r>
      <w:r>
        <w:rPr>
          <w:rFonts w:ascii="Times New Roman" w:hAnsi="Times New Roman" w:eastAsia="Times New Roman" w:cs="Times New Roman"/>
          <w:spacing w:val="-5"/>
          <w:sz w:val="23"/>
          <w:szCs w:val="23"/>
        </w:rPr>
        <w:t>324m</w:t>
      </w:r>
      <w:r>
        <w:rPr>
          <w:rFonts w:ascii="Times New Roman" w:hAnsi="Times New Roman" w:eastAsia="Times New Roman" w:cs="Times New Roman"/>
          <w:spacing w:val="-5"/>
          <w:position w:val="8"/>
          <w:sz w:val="15"/>
          <w:szCs w:val="15"/>
        </w:rPr>
        <w:t xml:space="preserve">3 </w:t>
      </w:r>
      <w:r>
        <w:rPr>
          <w:rFonts w:ascii="宋体" w:hAnsi="宋体" w:eastAsia="宋体" w:cs="宋体"/>
          <w:spacing w:val="-5"/>
          <w:sz w:val="23"/>
          <w:szCs w:val="23"/>
        </w:rPr>
        <w:t>的三级沉淀池 (</w:t>
      </w:r>
      <w:r>
        <w:rPr>
          <w:rFonts w:ascii="Times New Roman" w:hAnsi="Times New Roman" w:eastAsia="Times New Roman" w:cs="Times New Roman"/>
          <w:spacing w:val="-5"/>
          <w:sz w:val="23"/>
          <w:szCs w:val="23"/>
        </w:rPr>
        <w:t>12m×6m×4.5m</w:t>
      </w:r>
      <w:r>
        <w:rPr>
          <w:rFonts w:ascii="宋体" w:hAnsi="宋体" w:eastAsia="宋体" w:cs="宋体"/>
          <w:spacing w:val="-5"/>
          <w:sz w:val="23"/>
          <w:szCs w:val="23"/>
        </w:rPr>
        <w:t xml:space="preserve">) ，同时配套设有 </w:t>
      </w:r>
      <w:r>
        <w:rPr>
          <w:rFonts w:ascii="Times New Roman" w:hAnsi="Times New Roman" w:eastAsia="Times New Roman" w:cs="Times New Roman"/>
          <w:spacing w:val="-5"/>
          <w:sz w:val="23"/>
          <w:szCs w:val="23"/>
        </w:rPr>
        <w:t>1</w:t>
      </w:r>
      <w:r>
        <w:rPr>
          <w:rFonts w:ascii="Times New Roman" w:hAnsi="Times New Roman" w:eastAsia="Times New Roman" w:cs="Times New Roman"/>
          <w:sz w:val="23"/>
          <w:szCs w:val="23"/>
        </w:rPr>
        <w:t xml:space="preserve"> </w:t>
      </w:r>
      <w:r>
        <w:rPr>
          <w:rFonts w:ascii="宋体" w:hAnsi="宋体" w:eastAsia="宋体" w:cs="宋体"/>
          <w:spacing w:val="1"/>
          <w:sz w:val="23"/>
          <w:szCs w:val="23"/>
        </w:rPr>
        <w:t>台一体化污水预处理设备，均位于</w:t>
      </w:r>
      <w:r>
        <w:rPr>
          <w:rFonts w:ascii="宋体" w:hAnsi="宋体" w:eastAsia="宋体" w:cs="宋体"/>
          <w:sz w:val="23"/>
          <w:szCs w:val="23"/>
        </w:rPr>
        <w:t xml:space="preserve">生产厂房西南侧，产生的生产废水经一体化污水 </w:t>
      </w:r>
      <w:r>
        <w:rPr>
          <w:rFonts w:ascii="宋体" w:hAnsi="宋体" w:eastAsia="宋体" w:cs="宋体"/>
          <w:spacing w:val="-6"/>
          <w:sz w:val="23"/>
          <w:szCs w:val="23"/>
        </w:rPr>
        <w:t>预处理设备处理后排入三级沉淀池 (</w:t>
      </w:r>
      <w:r>
        <w:rPr>
          <w:rFonts w:ascii="Times New Roman" w:hAnsi="Times New Roman" w:eastAsia="Times New Roman" w:cs="Times New Roman"/>
          <w:spacing w:val="-6"/>
          <w:sz w:val="23"/>
          <w:szCs w:val="23"/>
        </w:rPr>
        <w:t>12m×6m×4.5m</w:t>
      </w:r>
      <w:r>
        <w:rPr>
          <w:rFonts w:ascii="宋体" w:hAnsi="宋体" w:eastAsia="宋体" w:cs="宋体"/>
          <w:spacing w:val="-6"/>
          <w:sz w:val="23"/>
          <w:szCs w:val="23"/>
        </w:rPr>
        <w:t>) 沉淀处理，随后循环使用。污水</w:t>
      </w:r>
      <w:r>
        <w:rPr>
          <w:rFonts w:ascii="宋体" w:hAnsi="宋体" w:eastAsia="宋体" w:cs="宋体"/>
          <w:sz w:val="23"/>
          <w:szCs w:val="23"/>
        </w:rPr>
        <w:t xml:space="preserve"> </w:t>
      </w:r>
      <w:r>
        <w:rPr>
          <w:rFonts w:ascii="宋体" w:hAnsi="宋体" w:eastAsia="宋体" w:cs="宋体"/>
          <w:spacing w:val="-20"/>
          <w:sz w:val="23"/>
          <w:szCs w:val="23"/>
        </w:rPr>
        <w:t>处</w:t>
      </w:r>
      <w:r>
        <w:rPr>
          <w:rFonts w:ascii="宋体" w:hAnsi="宋体" w:eastAsia="宋体" w:cs="宋体"/>
          <w:spacing w:val="-12"/>
          <w:sz w:val="23"/>
          <w:szCs w:val="23"/>
        </w:rPr>
        <w:t xml:space="preserve">理设施废水每月更换 </w:t>
      </w:r>
      <w:r>
        <w:rPr>
          <w:rFonts w:ascii="Times New Roman" w:hAnsi="Times New Roman" w:eastAsia="Times New Roman" w:cs="Times New Roman"/>
          <w:spacing w:val="-12"/>
          <w:sz w:val="23"/>
          <w:szCs w:val="23"/>
        </w:rPr>
        <w:t xml:space="preserve">1 </w:t>
      </w:r>
      <w:r>
        <w:rPr>
          <w:rFonts w:ascii="宋体" w:hAnsi="宋体" w:eastAsia="宋体" w:cs="宋体"/>
          <w:spacing w:val="-12"/>
          <w:sz w:val="23"/>
          <w:szCs w:val="23"/>
        </w:rPr>
        <w:t>次，更换过程产生的废水经吸污车运送至本溪市科态污水处理</w:t>
      </w:r>
      <w:r>
        <w:rPr>
          <w:rFonts w:ascii="宋体" w:hAnsi="宋体" w:eastAsia="宋体" w:cs="宋体"/>
          <w:sz w:val="23"/>
          <w:szCs w:val="23"/>
        </w:rPr>
        <w:t xml:space="preserve"> </w:t>
      </w:r>
      <w:r>
        <w:rPr>
          <w:rFonts w:ascii="宋体" w:hAnsi="宋体" w:eastAsia="宋体" w:cs="宋体"/>
          <w:spacing w:val="-12"/>
          <w:sz w:val="23"/>
          <w:szCs w:val="23"/>
        </w:rPr>
        <w:t>有</w:t>
      </w:r>
      <w:r>
        <w:rPr>
          <w:rFonts w:ascii="宋体" w:hAnsi="宋体" w:eastAsia="宋体" w:cs="宋体"/>
          <w:spacing w:val="-8"/>
          <w:sz w:val="23"/>
          <w:szCs w:val="23"/>
        </w:rPr>
        <w:t>限责任公司统一处理，废水排放执行《辽宁省污水综合排放标准》</w:t>
      </w:r>
      <w:r>
        <w:rPr>
          <w:rFonts w:ascii="Times New Roman" w:hAnsi="Times New Roman" w:eastAsia="Times New Roman" w:cs="Times New Roman"/>
          <w:spacing w:val="-8"/>
          <w:sz w:val="23"/>
          <w:szCs w:val="23"/>
        </w:rPr>
        <w:t>(DB21/1627-2008)</w:t>
      </w:r>
      <w:r>
        <w:rPr>
          <w:rFonts w:ascii="Times New Roman" w:hAnsi="Times New Roman" w:eastAsia="Times New Roman" w:cs="Times New Roman"/>
          <w:sz w:val="23"/>
          <w:szCs w:val="23"/>
        </w:rPr>
        <w:t xml:space="preserve"> </w:t>
      </w:r>
      <w:r>
        <w:rPr>
          <w:rFonts w:ascii="宋体" w:hAnsi="宋体" w:eastAsia="宋体" w:cs="宋体"/>
          <w:spacing w:val="-16"/>
          <w:sz w:val="23"/>
          <w:szCs w:val="23"/>
        </w:rPr>
        <w:t>表</w:t>
      </w:r>
      <w:r>
        <w:rPr>
          <w:rFonts w:ascii="宋体" w:hAnsi="宋体" w:eastAsia="宋体" w:cs="宋体"/>
          <w:spacing w:val="-11"/>
          <w:sz w:val="23"/>
          <w:szCs w:val="23"/>
        </w:rPr>
        <w:t xml:space="preserve"> </w:t>
      </w:r>
      <w:r>
        <w:rPr>
          <w:rFonts w:ascii="Times New Roman" w:hAnsi="Times New Roman" w:eastAsia="Times New Roman" w:cs="Times New Roman"/>
          <w:spacing w:val="-8"/>
          <w:sz w:val="23"/>
          <w:szCs w:val="23"/>
        </w:rPr>
        <w:t xml:space="preserve">2 </w:t>
      </w:r>
      <w:r>
        <w:rPr>
          <w:rFonts w:ascii="宋体" w:hAnsi="宋体" w:eastAsia="宋体" w:cs="宋体"/>
          <w:spacing w:val="-8"/>
          <w:sz w:val="23"/>
          <w:szCs w:val="23"/>
        </w:rPr>
        <w:t xml:space="preserve">中标准，具体见表 </w:t>
      </w:r>
      <w:r>
        <w:rPr>
          <w:rFonts w:ascii="Times New Roman" w:hAnsi="Times New Roman" w:eastAsia="Times New Roman" w:cs="Times New Roman"/>
          <w:spacing w:val="-8"/>
          <w:sz w:val="23"/>
          <w:szCs w:val="23"/>
        </w:rPr>
        <w:t>2-11</w:t>
      </w:r>
      <w:r>
        <w:rPr>
          <w:rFonts w:ascii="宋体" w:hAnsi="宋体" w:eastAsia="宋体" w:cs="宋体"/>
          <w:spacing w:val="-8"/>
          <w:sz w:val="23"/>
          <w:szCs w:val="23"/>
        </w:rPr>
        <w:t>。</w:t>
      </w:r>
    </w:p>
    <w:p w14:paraId="1FD4E543">
      <w:pPr>
        <w:spacing w:before="113" w:line="331" w:lineRule="exact"/>
        <w:ind w:left="1832"/>
        <w:rPr>
          <w:rFonts w:ascii="Times New Roman" w:hAnsi="Times New Roman" w:eastAsia="Times New Roman" w:cs="Times New Roman"/>
          <w:sz w:val="23"/>
          <w:szCs w:val="23"/>
        </w:rPr>
      </w:pPr>
      <w:r>
        <w:rPr>
          <w:rFonts w:ascii="宋体" w:hAnsi="宋体" w:eastAsia="宋体" w:cs="宋体"/>
          <w:spacing w:val="2"/>
          <w:position w:val="3"/>
          <w:sz w:val="23"/>
          <w:szCs w:val="23"/>
          <w14:textOutline w14:w="4358" w14:cap="sq" w14:cmpd="sng">
            <w14:solidFill>
              <w14:srgbClr w14:val="000000"/>
            </w14:solidFill>
            <w14:prstDash w14:val="solid"/>
            <w14:bevel/>
          </w14:textOutline>
        </w:rPr>
        <w:t>表</w:t>
      </w:r>
      <w:r>
        <w:rPr>
          <w:rFonts w:ascii="宋体" w:hAnsi="宋体" w:eastAsia="宋体" w:cs="宋体"/>
          <w:spacing w:val="2"/>
          <w:position w:val="3"/>
          <w:sz w:val="23"/>
          <w:szCs w:val="23"/>
        </w:rPr>
        <w:t xml:space="preserve"> </w:t>
      </w:r>
      <w:r>
        <w:rPr>
          <w:rFonts w:ascii="Times New Roman" w:hAnsi="Times New Roman" w:eastAsia="Times New Roman" w:cs="Times New Roman"/>
          <w:b/>
          <w:bCs/>
          <w:spacing w:val="2"/>
          <w:position w:val="3"/>
          <w:sz w:val="23"/>
          <w:szCs w:val="23"/>
        </w:rPr>
        <w:t>2-11</w:t>
      </w:r>
      <w:r>
        <w:rPr>
          <w:rFonts w:ascii="Times New Roman" w:hAnsi="Times New Roman" w:eastAsia="Times New Roman" w:cs="Times New Roman"/>
          <w:spacing w:val="2"/>
          <w:position w:val="3"/>
          <w:sz w:val="23"/>
          <w:szCs w:val="23"/>
        </w:rPr>
        <w:t xml:space="preserve">       </w:t>
      </w:r>
      <w:r>
        <w:rPr>
          <w:rFonts w:ascii="宋体" w:hAnsi="宋体" w:eastAsia="宋体" w:cs="宋体"/>
          <w:spacing w:val="2"/>
          <w:position w:val="3"/>
          <w:sz w:val="23"/>
          <w:szCs w:val="23"/>
          <w14:textOutline w14:w="4358" w14:cap="sq" w14:cmpd="sng">
            <w14:solidFill>
              <w14:srgbClr w14:val="000000"/>
            </w14:solidFill>
            <w14:prstDash w14:val="solid"/>
            <w14:bevel/>
          </w14:textOutline>
        </w:rPr>
        <w:t>废水污染物排</w:t>
      </w:r>
      <w:r>
        <w:rPr>
          <w:rFonts w:ascii="宋体" w:hAnsi="宋体" w:eastAsia="宋体" w:cs="宋体"/>
          <w:spacing w:val="1"/>
          <w:position w:val="3"/>
          <w:sz w:val="23"/>
          <w:szCs w:val="23"/>
          <w14:textOutline w14:w="4358" w14:cap="sq" w14:cmpd="sng">
            <w14:solidFill>
              <w14:srgbClr w14:val="000000"/>
            </w14:solidFill>
            <w14:prstDash w14:val="solid"/>
            <w14:bevel/>
          </w14:textOutline>
        </w:rPr>
        <w:t>放标准</w:t>
      </w:r>
      <w:r>
        <w:rPr>
          <w:rFonts w:ascii="宋体" w:hAnsi="宋体" w:eastAsia="宋体" w:cs="宋体"/>
          <w:spacing w:val="1"/>
          <w:position w:val="3"/>
          <w:sz w:val="23"/>
          <w:szCs w:val="23"/>
        </w:rPr>
        <w:t xml:space="preserve">   </w:t>
      </w:r>
      <w:r>
        <w:rPr>
          <w:rFonts w:ascii="宋体" w:hAnsi="宋体" w:eastAsia="宋体" w:cs="宋体"/>
          <w:spacing w:val="1"/>
          <w:position w:val="3"/>
          <w:sz w:val="23"/>
          <w:szCs w:val="23"/>
          <w14:textOutline w14:w="4358" w14:cap="sq" w14:cmpd="sng">
            <w14:solidFill>
              <w14:srgbClr w14:val="000000"/>
            </w14:solidFill>
            <w14:prstDash w14:val="solid"/>
            <w14:bevel/>
          </w14:textOutline>
        </w:rPr>
        <w:t>单位：</w:t>
      </w:r>
      <w:r>
        <w:rPr>
          <w:rFonts w:ascii="Times New Roman" w:hAnsi="Times New Roman" w:eastAsia="Times New Roman" w:cs="Times New Roman"/>
          <w:b/>
          <w:bCs/>
          <w:position w:val="3"/>
          <w:sz w:val="23"/>
          <w:szCs w:val="23"/>
        </w:rPr>
        <w:t>mg</w:t>
      </w:r>
      <w:r>
        <w:rPr>
          <w:rFonts w:ascii="Times New Roman" w:hAnsi="Times New Roman" w:eastAsia="Times New Roman" w:cs="Times New Roman"/>
          <w:b/>
          <w:bCs/>
          <w:spacing w:val="1"/>
          <w:position w:val="3"/>
          <w:sz w:val="23"/>
          <w:szCs w:val="23"/>
        </w:rPr>
        <w:t>/</w:t>
      </w:r>
      <w:r>
        <w:rPr>
          <w:rFonts w:ascii="Times New Roman" w:hAnsi="Times New Roman" w:eastAsia="Times New Roman" w:cs="Times New Roman"/>
          <w:b/>
          <w:bCs/>
          <w:position w:val="3"/>
          <w:sz w:val="23"/>
          <w:szCs w:val="23"/>
        </w:rPr>
        <w:t>L</w:t>
      </w:r>
    </w:p>
    <w:p w14:paraId="7E919E45">
      <w:pPr>
        <w:spacing w:before="18" w:line="29" w:lineRule="exact"/>
        <w:textAlignment w:val="center"/>
      </w:pPr>
      <w:r>
        <w:pict>
          <v:shape id="_x0000_s1092" o:spid="_x0000_s1092" style="height:1.45pt;width:426.15pt;" filled="f" stroked="t" coordsize="8522,29" path="m0,14l8522,14e">
            <v:fill on="f" focussize="0,0"/>
            <v:stroke weight="1.44pt" color="#000000" miterlimit="2" joinstyle="bevel"/>
            <v:imagedata o:title=""/>
            <o:lock v:ext="edit"/>
            <w10:wrap type="none"/>
            <w10:anchorlock/>
          </v:shape>
        </w:pict>
      </w:r>
    </w:p>
    <w:p w14:paraId="27712B2C">
      <w:pPr>
        <w:spacing w:before="24" w:line="289" w:lineRule="exact"/>
        <w:ind w:left="2111"/>
        <w:rPr>
          <w:rFonts w:ascii="宋体" w:hAnsi="宋体" w:eastAsia="宋体" w:cs="宋体"/>
          <w:sz w:val="20"/>
          <w:szCs w:val="20"/>
        </w:rPr>
      </w:pPr>
      <w:r>
        <w:rPr>
          <w:rFonts w:ascii="宋体" w:hAnsi="宋体" w:eastAsia="宋体" w:cs="宋体"/>
          <w:spacing w:val="-10"/>
          <w:position w:val="1"/>
          <w:sz w:val="20"/>
          <w:szCs w:val="20"/>
          <w14:textOutline w14:w="3795" w14:cap="sq" w14:cmpd="sng">
            <w14:solidFill>
              <w14:srgbClr w14:val="000000"/>
            </w14:solidFill>
            <w14:prstDash w14:val="solid"/>
            <w14:bevel/>
          </w14:textOutline>
        </w:rPr>
        <w:t>《</w:t>
      </w:r>
      <w:r>
        <w:rPr>
          <w:rFonts w:ascii="宋体" w:hAnsi="宋体" w:eastAsia="宋体" w:cs="宋体"/>
          <w:spacing w:val="-8"/>
          <w:position w:val="1"/>
          <w:sz w:val="20"/>
          <w:szCs w:val="20"/>
          <w14:textOutline w14:w="3795" w14:cap="sq" w14:cmpd="sng">
            <w14:solidFill>
              <w14:srgbClr w14:val="000000"/>
            </w14:solidFill>
            <w14:prstDash w14:val="solid"/>
            <w14:bevel/>
          </w14:textOutline>
        </w:rPr>
        <w:t>辽</w:t>
      </w:r>
      <w:r>
        <w:rPr>
          <w:rFonts w:ascii="宋体" w:hAnsi="宋体" w:eastAsia="宋体" w:cs="宋体"/>
          <w:spacing w:val="-5"/>
          <w:position w:val="1"/>
          <w:sz w:val="20"/>
          <w:szCs w:val="20"/>
          <w14:textOutline w14:w="3795" w14:cap="sq" w14:cmpd="sng">
            <w14:solidFill>
              <w14:srgbClr w14:val="000000"/>
            </w14:solidFill>
            <w14:prstDash w14:val="solid"/>
            <w14:bevel/>
          </w14:textOutline>
        </w:rPr>
        <w:t>宁省污水综合排放标准》</w:t>
      </w:r>
      <w:r>
        <w:rPr>
          <w:rFonts w:ascii="宋体" w:hAnsi="宋体" w:eastAsia="宋体" w:cs="宋体"/>
          <w:spacing w:val="-5"/>
          <w:position w:val="1"/>
          <w:sz w:val="20"/>
          <w:szCs w:val="20"/>
        </w:rPr>
        <w:t xml:space="preserve">  </w:t>
      </w:r>
      <w:r>
        <w:rPr>
          <w:rFonts w:ascii="宋体" w:hAnsi="宋体" w:eastAsia="宋体" w:cs="宋体"/>
          <w:spacing w:val="-5"/>
          <w:position w:val="1"/>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spacing w:val="-5"/>
          <w:position w:val="1"/>
          <w:sz w:val="20"/>
          <w:szCs w:val="20"/>
        </w:rPr>
        <w:t>DB21/1627-2008</w:t>
      </w:r>
      <w:r>
        <w:rPr>
          <w:rFonts w:ascii="宋体" w:hAnsi="宋体" w:eastAsia="宋体" w:cs="宋体"/>
          <w:spacing w:val="-5"/>
          <w:position w:val="1"/>
          <w:sz w:val="20"/>
          <w:szCs w:val="20"/>
          <w14:textOutline w14:w="3795" w14:cap="sq" w14:cmpd="sng">
            <w14:solidFill>
              <w14:srgbClr w14:val="000000"/>
            </w14:solidFill>
            <w14:prstDash w14:val="solid"/>
            <w14:bevel/>
          </w14:textOutline>
        </w:rPr>
        <w:t>)</w:t>
      </w:r>
    </w:p>
    <w:p w14:paraId="6FFFE824">
      <w:pPr>
        <w:spacing w:line="27"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4"/>
        <w:gridCol w:w="1704"/>
        <w:gridCol w:w="1704"/>
        <w:gridCol w:w="1704"/>
        <w:gridCol w:w="1706"/>
      </w:tblGrid>
      <w:tr w14:paraId="5C85F1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 w:hRule="atLeast"/>
        </w:trPr>
        <w:tc>
          <w:tcPr>
            <w:tcW w:w="1704" w:type="dxa"/>
            <w:tcBorders>
              <w:left w:val="nil"/>
            </w:tcBorders>
            <w:vAlign w:val="top"/>
          </w:tcPr>
          <w:p w14:paraId="3F909735">
            <w:pPr>
              <w:spacing w:before="80" w:line="228" w:lineRule="auto"/>
              <w:ind w:left="566"/>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污染</w:t>
            </w:r>
            <w:r>
              <w:rPr>
                <w:rFonts w:ascii="宋体" w:hAnsi="宋体" w:eastAsia="宋体" w:cs="宋体"/>
                <w:spacing w:val="-1"/>
                <w:sz w:val="20"/>
                <w:szCs w:val="20"/>
                <w14:textOutline w14:w="3795" w14:cap="sq" w14:cmpd="sng">
                  <w14:solidFill>
                    <w14:srgbClr w14:val="000000"/>
                  </w14:solidFill>
                  <w14:prstDash w14:val="solid"/>
                  <w14:bevel/>
                </w14:textOutline>
              </w:rPr>
              <w:t>物</w:t>
            </w:r>
          </w:p>
        </w:tc>
        <w:tc>
          <w:tcPr>
            <w:tcW w:w="1704" w:type="dxa"/>
            <w:vAlign w:val="top"/>
          </w:tcPr>
          <w:p w14:paraId="4E3D9E94">
            <w:pPr>
              <w:spacing w:before="115" w:line="195" w:lineRule="auto"/>
              <w:ind w:left="749"/>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S</w:t>
            </w:r>
            <w:r>
              <w:rPr>
                <w:rFonts w:ascii="Times New Roman" w:hAnsi="Times New Roman" w:eastAsia="Times New Roman" w:cs="Times New Roman"/>
                <w:b/>
                <w:bCs/>
                <w:spacing w:val="-2"/>
                <w:sz w:val="20"/>
                <w:szCs w:val="20"/>
              </w:rPr>
              <w:t>S</w:t>
            </w:r>
          </w:p>
        </w:tc>
        <w:tc>
          <w:tcPr>
            <w:tcW w:w="1704" w:type="dxa"/>
            <w:vAlign w:val="top"/>
          </w:tcPr>
          <w:p w14:paraId="1369626B">
            <w:pPr>
              <w:spacing w:before="115" w:line="195" w:lineRule="auto"/>
              <w:ind w:left="548"/>
              <w:rPr>
                <w:rFonts w:ascii="Times New Roman" w:hAnsi="Times New Roman" w:eastAsia="Times New Roman" w:cs="Times New Roman"/>
                <w:sz w:val="20"/>
                <w:szCs w:val="20"/>
              </w:rPr>
            </w:pPr>
            <w:r>
              <w:rPr>
                <w:rFonts w:ascii="Times New Roman" w:hAnsi="Times New Roman" w:eastAsia="Times New Roman" w:cs="Times New Roman"/>
                <w:b/>
                <w:bCs/>
                <w:spacing w:val="1"/>
                <w:sz w:val="20"/>
                <w:szCs w:val="20"/>
              </w:rPr>
              <w:t>CO</w:t>
            </w:r>
            <w:r>
              <w:rPr>
                <w:rFonts w:ascii="Times New Roman" w:hAnsi="Times New Roman" w:eastAsia="Times New Roman" w:cs="Times New Roman"/>
                <w:b/>
                <w:bCs/>
                <w:sz w:val="20"/>
                <w:szCs w:val="20"/>
              </w:rPr>
              <w:t>Dcr</w:t>
            </w:r>
          </w:p>
        </w:tc>
        <w:tc>
          <w:tcPr>
            <w:tcW w:w="1704" w:type="dxa"/>
            <w:vAlign w:val="top"/>
          </w:tcPr>
          <w:p w14:paraId="43C724F7">
            <w:pPr>
              <w:spacing w:before="79" w:line="228" w:lineRule="auto"/>
              <w:ind w:left="563"/>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石</w:t>
            </w:r>
            <w:r>
              <w:rPr>
                <w:rFonts w:ascii="宋体" w:hAnsi="宋体" w:eastAsia="宋体" w:cs="宋体"/>
                <w:spacing w:val="-1"/>
                <w:sz w:val="20"/>
                <w:szCs w:val="20"/>
                <w14:textOutline w14:w="3795" w14:cap="sq" w14:cmpd="sng">
                  <w14:solidFill>
                    <w14:srgbClr w14:val="000000"/>
                  </w14:solidFill>
                  <w14:prstDash w14:val="solid"/>
                  <w14:bevel/>
                </w14:textOutline>
              </w:rPr>
              <w:t>油类</w:t>
            </w:r>
          </w:p>
        </w:tc>
        <w:tc>
          <w:tcPr>
            <w:tcW w:w="1706" w:type="dxa"/>
            <w:tcBorders>
              <w:right w:val="nil"/>
            </w:tcBorders>
            <w:vAlign w:val="top"/>
          </w:tcPr>
          <w:p w14:paraId="2A5944D0">
            <w:pPr>
              <w:spacing w:before="118" w:line="199" w:lineRule="auto"/>
              <w:ind w:left="569"/>
              <w:rPr>
                <w:rFonts w:ascii="Times New Roman" w:hAnsi="Times New Roman" w:eastAsia="Times New Roman" w:cs="Times New Roman"/>
                <w:sz w:val="20"/>
                <w:szCs w:val="20"/>
              </w:rPr>
            </w:pPr>
            <w:r>
              <w:rPr>
                <w:rFonts w:ascii="Times New Roman" w:hAnsi="Times New Roman" w:eastAsia="Times New Roman" w:cs="Times New Roman"/>
                <w:b/>
                <w:bCs/>
                <w:sz w:val="20"/>
                <w:szCs w:val="20"/>
              </w:rPr>
              <w:t>NH</w:t>
            </w:r>
            <w:r>
              <w:rPr>
                <w:rFonts w:ascii="Times New Roman" w:hAnsi="Times New Roman" w:eastAsia="Times New Roman" w:cs="Times New Roman"/>
                <w:b/>
                <w:bCs/>
                <w:spacing w:val="1"/>
                <w:position w:val="-1"/>
                <w:sz w:val="13"/>
                <w:szCs w:val="13"/>
              </w:rPr>
              <w:t>3</w:t>
            </w:r>
            <w:r>
              <w:rPr>
                <w:rFonts w:ascii="Times New Roman" w:hAnsi="Times New Roman" w:eastAsia="Times New Roman" w:cs="Times New Roman"/>
                <w:b/>
                <w:bCs/>
                <w:sz w:val="20"/>
                <w:szCs w:val="20"/>
              </w:rPr>
              <w:t>-N</w:t>
            </w:r>
          </w:p>
        </w:tc>
      </w:tr>
      <w:tr w14:paraId="4D0472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1704" w:type="dxa"/>
            <w:tcBorders>
              <w:left w:val="nil"/>
            </w:tcBorders>
            <w:vAlign w:val="top"/>
          </w:tcPr>
          <w:p w14:paraId="2EF1F538">
            <w:pPr>
              <w:spacing w:before="78" w:line="228" w:lineRule="auto"/>
              <w:ind w:left="565"/>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标</w:t>
            </w:r>
            <w:r>
              <w:rPr>
                <w:rFonts w:ascii="宋体" w:hAnsi="宋体" w:eastAsia="宋体" w:cs="宋体"/>
                <w:spacing w:val="-1"/>
                <w:sz w:val="20"/>
                <w:szCs w:val="20"/>
                <w14:textOutline w14:w="3795" w14:cap="sq" w14:cmpd="sng">
                  <w14:solidFill>
                    <w14:srgbClr w14:val="000000"/>
                  </w14:solidFill>
                  <w14:prstDash w14:val="solid"/>
                  <w14:bevel/>
                </w14:textOutline>
              </w:rPr>
              <w:t>准值</w:t>
            </w:r>
          </w:p>
        </w:tc>
        <w:tc>
          <w:tcPr>
            <w:tcW w:w="1704" w:type="dxa"/>
            <w:vAlign w:val="top"/>
          </w:tcPr>
          <w:p w14:paraId="5C163BE8">
            <w:pPr>
              <w:spacing w:before="114" w:line="195" w:lineRule="auto"/>
              <w:ind w:left="7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w:t>
            </w:r>
            <w:r>
              <w:rPr>
                <w:rFonts w:ascii="Times New Roman" w:hAnsi="Times New Roman" w:eastAsia="Times New Roman" w:cs="Times New Roman"/>
                <w:spacing w:val="-1"/>
                <w:sz w:val="20"/>
                <w:szCs w:val="20"/>
              </w:rPr>
              <w:t>00</w:t>
            </w:r>
          </w:p>
        </w:tc>
        <w:tc>
          <w:tcPr>
            <w:tcW w:w="1704" w:type="dxa"/>
            <w:vAlign w:val="top"/>
          </w:tcPr>
          <w:p w14:paraId="24AEF961">
            <w:pPr>
              <w:spacing w:before="114" w:line="195" w:lineRule="auto"/>
              <w:ind w:left="7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w:t>
            </w:r>
            <w:r>
              <w:rPr>
                <w:rFonts w:ascii="Times New Roman" w:hAnsi="Times New Roman" w:eastAsia="Times New Roman" w:cs="Times New Roman"/>
                <w:spacing w:val="-1"/>
                <w:sz w:val="20"/>
                <w:szCs w:val="20"/>
              </w:rPr>
              <w:t>00</w:t>
            </w:r>
          </w:p>
        </w:tc>
        <w:tc>
          <w:tcPr>
            <w:tcW w:w="1704" w:type="dxa"/>
            <w:vAlign w:val="top"/>
          </w:tcPr>
          <w:p w14:paraId="3A76E8F8">
            <w:pPr>
              <w:spacing w:before="114" w:line="195" w:lineRule="auto"/>
              <w:ind w:left="755"/>
              <w:rPr>
                <w:rFonts w:ascii="Times New Roman" w:hAnsi="Times New Roman" w:eastAsia="Times New Roman" w:cs="Times New Roman"/>
                <w:sz w:val="20"/>
                <w:szCs w:val="20"/>
              </w:rPr>
            </w:pPr>
            <w:r>
              <w:rPr>
                <w:rFonts w:ascii="Times New Roman" w:hAnsi="Times New Roman" w:eastAsia="Times New Roman" w:cs="Times New Roman"/>
                <w:sz w:val="20"/>
                <w:szCs w:val="20"/>
              </w:rPr>
              <w:t>20</w:t>
            </w:r>
          </w:p>
        </w:tc>
        <w:tc>
          <w:tcPr>
            <w:tcW w:w="1706" w:type="dxa"/>
            <w:tcBorders>
              <w:right w:val="nil"/>
            </w:tcBorders>
            <w:vAlign w:val="top"/>
          </w:tcPr>
          <w:p w14:paraId="07650F09">
            <w:pPr>
              <w:spacing w:before="114" w:line="195" w:lineRule="auto"/>
              <w:ind w:left="76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30</w:t>
            </w:r>
          </w:p>
        </w:tc>
      </w:tr>
    </w:tbl>
    <w:p w14:paraId="6EAFFB01">
      <w:pPr>
        <w:spacing w:line="254" w:lineRule="auto"/>
        <w:rPr>
          <w:rFonts w:ascii="Arial"/>
          <w:sz w:val="21"/>
        </w:rPr>
      </w:pPr>
    </w:p>
    <w:p w14:paraId="721D61C1">
      <w:pPr>
        <w:spacing w:before="75" w:line="228" w:lineRule="auto"/>
        <w:ind w:left="604"/>
        <w:rPr>
          <w:rFonts w:ascii="宋体" w:hAnsi="宋体" w:eastAsia="宋体" w:cs="宋体"/>
          <w:sz w:val="23"/>
          <w:szCs w:val="23"/>
        </w:rPr>
      </w:pPr>
      <w:r>
        <w:rPr>
          <w:rFonts w:ascii="宋体" w:hAnsi="宋体" w:eastAsia="宋体" w:cs="宋体"/>
          <w:spacing w:val="24"/>
          <w:sz w:val="23"/>
          <w:szCs w:val="23"/>
        </w:rPr>
        <w:t>(</w:t>
      </w:r>
      <w:r>
        <w:rPr>
          <w:rFonts w:ascii="Times New Roman" w:hAnsi="Times New Roman" w:eastAsia="Times New Roman" w:cs="Times New Roman"/>
          <w:spacing w:val="22"/>
          <w:sz w:val="23"/>
          <w:szCs w:val="23"/>
        </w:rPr>
        <w:t>3</w:t>
      </w:r>
      <w:r>
        <w:rPr>
          <w:rFonts w:ascii="宋体" w:hAnsi="宋体" w:eastAsia="宋体" w:cs="宋体"/>
          <w:spacing w:val="22"/>
          <w:sz w:val="23"/>
          <w:szCs w:val="23"/>
        </w:rPr>
        <w:t>) 噪声</w:t>
      </w:r>
    </w:p>
    <w:p w14:paraId="059D4BB8">
      <w:pPr>
        <w:spacing w:line="266" w:lineRule="auto"/>
        <w:rPr>
          <w:rFonts w:ascii="Arial"/>
          <w:sz w:val="21"/>
        </w:rPr>
      </w:pPr>
    </w:p>
    <w:p w14:paraId="7EF21715">
      <w:pPr>
        <w:spacing w:before="76" w:line="378" w:lineRule="auto"/>
        <w:ind w:left="118" w:right="55" w:firstLine="449"/>
        <w:rPr>
          <w:rFonts w:ascii="宋体" w:hAnsi="宋体" w:eastAsia="宋体" w:cs="宋体"/>
          <w:sz w:val="23"/>
          <w:szCs w:val="23"/>
        </w:rPr>
      </w:pPr>
      <w:r>
        <w:rPr>
          <w:rFonts w:ascii="宋体" w:hAnsi="宋体" w:eastAsia="宋体" w:cs="宋体"/>
          <w:spacing w:val="-8"/>
          <w:sz w:val="23"/>
          <w:szCs w:val="23"/>
        </w:rPr>
        <w:t>①项目施工期噪</w:t>
      </w:r>
      <w:r>
        <w:rPr>
          <w:rFonts w:ascii="宋体" w:hAnsi="宋体" w:eastAsia="宋体" w:cs="宋体"/>
          <w:spacing w:val="-7"/>
          <w:sz w:val="23"/>
          <w:szCs w:val="23"/>
        </w:rPr>
        <w:t>声</w:t>
      </w:r>
      <w:r>
        <w:rPr>
          <w:rFonts w:ascii="宋体" w:hAnsi="宋体" w:eastAsia="宋体" w:cs="宋体"/>
          <w:spacing w:val="-4"/>
          <w:sz w:val="23"/>
          <w:szCs w:val="23"/>
        </w:rPr>
        <w:t>执行《建筑施工场界环境噪声排放限值》 (</w:t>
      </w:r>
      <w:r>
        <w:rPr>
          <w:rFonts w:ascii="Times New Roman" w:hAnsi="Times New Roman" w:eastAsia="Times New Roman" w:cs="Times New Roman"/>
          <w:spacing w:val="-4"/>
          <w:sz w:val="23"/>
          <w:szCs w:val="23"/>
        </w:rPr>
        <w:t>GB12523-2011</w:t>
      </w:r>
      <w:r>
        <w:rPr>
          <w:rFonts w:ascii="宋体" w:hAnsi="宋体" w:eastAsia="宋体" w:cs="宋体"/>
          <w:spacing w:val="-4"/>
          <w:sz w:val="23"/>
          <w:szCs w:val="23"/>
        </w:rPr>
        <w:t>) ，</w:t>
      </w:r>
      <w:r>
        <w:rPr>
          <w:rFonts w:ascii="宋体" w:hAnsi="宋体" w:eastAsia="宋体" w:cs="宋体"/>
          <w:sz w:val="23"/>
          <w:szCs w:val="23"/>
        </w:rPr>
        <w:t xml:space="preserve"> </w:t>
      </w:r>
      <w:r>
        <w:rPr>
          <w:rFonts w:ascii="宋体" w:hAnsi="宋体" w:eastAsia="宋体" w:cs="宋体"/>
          <w:spacing w:val="-8"/>
          <w:sz w:val="23"/>
          <w:szCs w:val="23"/>
        </w:rPr>
        <w:t xml:space="preserve">标准值见表 </w:t>
      </w:r>
      <w:r>
        <w:rPr>
          <w:rFonts w:ascii="Times New Roman" w:hAnsi="Times New Roman" w:eastAsia="Times New Roman" w:cs="Times New Roman"/>
          <w:spacing w:val="-8"/>
          <w:sz w:val="23"/>
          <w:szCs w:val="23"/>
        </w:rPr>
        <w:t>2-12</w:t>
      </w:r>
      <w:r>
        <w:rPr>
          <w:rFonts w:ascii="宋体" w:hAnsi="宋体" w:eastAsia="宋体" w:cs="宋体"/>
          <w:spacing w:val="-7"/>
          <w:sz w:val="23"/>
          <w:szCs w:val="23"/>
        </w:rPr>
        <w:t>。</w:t>
      </w:r>
    </w:p>
    <w:p w14:paraId="52AE50F9">
      <w:pPr>
        <w:spacing w:before="97" w:line="332" w:lineRule="exact"/>
        <w:ind w:left="1222"/>
        <w:rPr>
          <w:rFonts w:ascii="宋体" w:hAnsi="宋体" w:eastAsia="宋体" w:cs="宋体"/>
          <w:sz w:val="23"/>
          <w:szCs w:val="23"/>
        </w:rPr>
      </w:pPr>
      <w:r>
        <w:rPr>
          <w:rFonts w:ascii="宋体" w:hAnsi="宋体" w:eastAsia="宋体" w:cs="宋体"/>
          <w:spacing w:val="-2"/>
          <w:position w:val="3"/>
          <w:sz w:val="23"/>
          <w:szCs w:val="23"/>
          <w14:textOutline w14:w="4358" w14:cap="sq" w14:cmpd="sng">
            <w14:solidFill>
              <w14:srgbClr w14:val="000000"/>
            </w14:solidFill>
            <w14:prstDash w14:val="solid"/>
            <w14:bevel/>
          </w14:textOutline>
        </w:rPr>
        <w:t>表</w:t>
      </w:r>
      <w:r>
        <w:rPr>
          <w:rFonts w:ascii="宋体" w:hAnsi="宋体" w:eastAsia="宋体" w:cs="宋体"/>
          <w:spacing w:val="-2"/>
          <w:position w:val="3"/>
          <w:sz w:val="23"/>
          <w:szCs w:val="23"/>
        </w:rPr>
        <w:t xml:space="preserve"> </w:t>
      </w:r>
      <w:r>
        <w:rPr>
          <w:rFonts w:ascii="Times New Roman" w:hAnsi="Times New Roman" w:eastAsia="Times New Roman" w:cs="Times New Roman"/>
          <w:b/>
          <w:bCs/>
          <w:spacing w:val="-2"/>
          <w:position w:val="3"/>
          <w:sz w:val="23"/>
          <w:szCs w:val="23"/>
        </w:rPr>
        <w:t>2-12</w:t>
      </w:r>
      <w:r>
        <w:rPr>
          <w:rFonts w:ascii="Times New Roman" w:hAnsi="Times New Roman" w:eastAsia="Times New Roman" w:cs="Times New Roman"/>
          <w:spacing w:val="-2"/>
          <w:position w:val="3"/>
          <w:sz w:val="23"/>
          <w:szCs w:val="23"/>
        </w:rPr>
        <w:t xml:space="preserve">       </w:t>
      </w:r>
      <w:r>
        <w:rPr>
          <w:rFonts w:ascii="宋体" w:hAnsi="宋体" w:eastAsia="宋体" w:cs="宋体"/>
          <w:spacing w:val="-2"/>
          <w:position w:val="3"/>
          <w:sz w:val="23"/>
          <w:szCs w:val="23"/>
          <w14:textOutline w14:w="4358" w14:cap="sq" w14:cmpd="sng">
            <w14:solidFill>
              <w14:srgbClr w14:val="000000"/>
            </w14:solidFill>
            <w14:prstDash w14:val="solid"/>
            <w14:bevel/>
          </w14:textOutline>
        </w:rPr>
        <w:t>建筑施工场界环境噪声排放标准</w:t>
      </w:r>
      <w:r>
        <w:rPr>
          <w:rFonts w:ascii="宋体" w:hAnsi="宋体" w:eastAsia="宋体" w:cs="宋体"/>
          <w:spacing w:val="-2"/>
          <w:position w:val="3"/>
          <w:sz w:val="23"/>
          <w:szCs w:val="23"/>
        </w:rPr>
        <w:t xml:space="preserve"> </w:t>
      </w:r>
      <w:r>
        <w:rPr>
          <w:rFonts w:ascii="宋体" w:hAnsi="宋体" w:eastAsia="宋体" w:cs="宋体"/>
          <w:spacing w:val="-2"/>
          <w:position w:val="3"/>
          <w:sz w:val="23"/>
          <w:szCs w:val="23"/>
          <w14:textOutline w14:w="4358" w14:cap="sq" w14:cmpd="sng">
            <w14:solidFill>
              <w14:srgbClr w14:val="000000"/>
            </w14:solidFill>
            <w14:prstDash w14:val="solid"/>
            <w14:bevel/>
          </w14:textOutline>
        </w:rPr>
        <w:t>(</w:t>
      </w:r>
      <w:r>
        <w:rPr>
          <w:rFonts w:ascii="宋体" w:hAnsi="宋体" w:eastAsia="宋体" w:cs="宋体"/>
          <w:spacing w:val="-1"/>
          <w:position w:val="3"/>
          <w:sz w:val="23"/>
          <w:szCs w:val="23"/>
          <w14:textOutline w14:w="4358" w14:cap="sq" w14:cmpd="sng">
            <w14:solidFill>
              <w14:srgbClr w14:val="000000"/>
            </w14:solidFill>
            <w14:prstDash w14:val="solid"/>
            <w14:bevel/>
          </w14:textOutline>
        </w:rPr>
        <w:t>单位：</w:t>
      </w:r>
      <w:r>
        <w:rPr>
          <w:rFonts w:ascii="Times New Roman" w:hAnsi="Times New Roman" w:eastAsia="Times New Roman" w:cs="Times New Roman"/>
          <w:b/>
          <w:bCs/>
          <w:spacing w:val="-1"/>
          <w:position w:val="3"/>
          <w:sz w:val="23"/>
          <w:szCs w:val="23"/>
        </w:rPr>
        <w:t>dB(A)</w:t>
      </w:r>
      <w:r>
        <w:rPr>
          <w:rFonts w:ascii="宋体" w:hAnsi="宋体" w:eastAsia="宋体" w:cs="宋体"/>
          <w:spacing w:val="-1"/>
          <w:position w:val="3"/>
          <w:sz w:val="23"/>
          <w:szCs w:val="23"/>
          <w14:textOutline w14:w="4358" w14:cap="sq" w14:cmpd="sng">
            <w14:solidFill>
              <w14:srgbClr w14:val="000000"/>
            </w14:solidFill>
            <w14:prstDash w14:val="solid"/>
            <w14:bevel/>
          </w14:textOutline>
        </w:rPr>
        <w:t>)</w:t>
      </w:r>
    </w:p>
    <w:p w14:paraId="273C1535">
      <w:pPr>
        <w:spacing w:line="142" w:lineRule="auto"/>
        <w:rPr>
          <w:rFonts w:ascii="Arial"/>
          <w:sz w:val="2"/>
        </w:rPr>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40"/>
        <w:gridCol w:w="2840"/>
        <w:gridCol w:w="2842"/>
      </w:tblGrid>
      <w:tr w14:paraId="3929D3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840" w:type="dxa"/>
            <w:tcBorders>
              <w:left w:val="nil"/>
              <w:right w:val="single" w:color="000000" w:sz="4" w:space="0"/>
            </w:tcBorders>
            <w:vAlign w:val="top"/>
          </w:tcPr>
          <w:p w14:paraId="4A581DC0">
            <w:pPr>
              <w:spacing w:before="85" w:line="228" w:lineRule="auto"/>
              <w:ind w:left="1232"/>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类别</w:t>
            </w:r>
          </w:p>
        </w:tc>
        <w:tc>
          <w:tcPr>
            <w:tcW w:w="2840" w:type="dxa"/>
            <w:tcBorders>
              <w:left w:val="single" w:color="000000" w:sz="4" w:space="0"/>
              <w:right w:val="single" w:color="000000" w:sz="4" w:space="0"/>
            </w:tcBorders>
            <w:vAlign w:val="top"/>
          </w:tcPr>
          <w:p w14:paraId="7A6450B4">
            <w:pPr>
              <w:spacing w:before="85" w:line="231" w:lineRule="auto"/>
              <w:ind w:left="1225"/>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昼</w:t>
            </w:r>
            <w:r>
              <w:rPr>
                <w:rFonts w:ascii="宋体" w:hAnsi="宋体" w:eastAsia="宋体" w:cs="宋体"/>
                <w:sz w:val="20"/>
                <w:szCs w:val="20"/>
                <w14:textOutline w14:w="3795" w14:cap="sq" w14:cmpd="sng">
                  <w14:solidFill>
                    <w14:srgbClr w14:val="000000"/>
                  </w14:solidFill>
                  <w14:prstDash w14:val="solid"/>
                  <w14:bevel/>
                </w14:textOutline>
              </w:rPr>
              <w:t>间</w:t>
            </w:r>
          </w:p>
        </w:tc>
        <w:tc>
          <w:tcPr>
            <w:tcW w:w="2842" w:type="dxa"/>
            <w:tcBorders>
              <w:left w:val="single" w:color="000000" w:sz="4" w:space="0"/>
              <w:right w:val="nil"/>
            </w:tcBorders>
            <w:vAlign w:val="top"/>
          </w:tcPr>
          <w:p w14:paraId="50B97613">
            <w:pPr>
              <w:spacing w:before="85" w:line="228" w:lineRule="auto"/>
              <w:ind w:left="1231"/>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夜</w:t>
            </w:r>
            <w:r>
              <w:rPr>
                <w:rFonts w:ascii="宋体" w:hAnsi="宋体" w:eastAsia="宋体" w:cs="宋体"/>
                <w:spacing w:val="-1"/>
                <w:sz w:val="20"/>
                <w:szCs w:val="20"/>
                <w14:textOutline w14:w="3795" w14:cap="sq" w14:cmpd="sng">
                  <w14:solidFill>
                    <w14:srgbClr w14:val="000000"/>
                  </w14:solidFill>
                  <w14:prstDash w14:val="solid"/>
                  <w14:bevel/>
                </w14:textOutline>
              </w:rPr>
              <w:t>间</w:t>
            </w:r>
          </w:p>
        </w:tc>
      </w:tr>
      <w:tr w14:paraId="5D3B66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840" w:type="dxa"/>
            <w:tcBorders>
              <w:left w:val="nil"/>
              <w:right w:val="single" w:color="000000" w:sz="4" w:space="0"/>
            </w:tcBorders>
            <w:vAlign w:val="top"/>
          </w:tcPr>
          <w:p w14:paraId="0099BCE8">
            <w:pPr>
              <w:spacing w:before="66" w:line="228" w:lineRule="auto"/>
              <w:ind w:left="1134"/>
              <w:rPr>
                <w:rFonts w:ascii="宋体" w:hAnsi="宋体" w:eastAsia="宋体" w:cs="宋体"/>
                <w:sz w:val="20"/>
                <w:szCs w:val="20"/>
              </w:rPr>
            </w:pPr>
            <w:r>
              <w:rPr>
                <w:rFonts w:ascii="宋体" w:hAnsi="宋体" w:eastAsia="宋体" w:cs="宋体"/>
                <w:spacing w:val="-2"/>
                <w:sz w:val="20"/>
                <w:szCs w:val="20"/>
              </w:rPr>
              <w:t>标</w:t>
            </w:r>
            <w:r>
              <w:rPr>
                <w:rFonts w:ascii="宋体" w:hAnsi="宋体" w:eastAsia="宋体" w:cs="宋体"/>
                <w:spacing w:val="-1"/>
                <w:sz w:val="20"/>
                <w:szCs w:val="20"/>
              </w:rPr>
              <w:t>准值</w:t>
            </w:r>
          </w:p>
        </w:tc>
        <w:tc>
          <w:tcPr>
            <w:tcW w:w="2840" w:type="dxa"/>
            <w:tcBorders>
              <w:left w:val="single" w:color="000000" w:sz="4" w:space="0"/>
              <w:right w:val="single" w:color="000000" w:sz="4" w:space="0"/>
            </w:tcBorders>
            <w:vAlign w:val="top"/>
          </w:tcPr>
          <w:p w14:paraId="489D242F">
            <w:pPr>
              <w:spacing w:before="102" w:line="195" w:lineRule="auto"/>
              <w:ind w:left="13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w:t>
            </w:r>
            <w:r>
              <w:rPr>
                <w:rFonts w:ascii="Times New Roman" w:hAnsi="Times New Roman" w:eastAsia="Times New Roman" w:cs="Times New Roman"/>
                <w:spacing w:val="-1"/>
                <w:sz w:val="20"/>
                <w:szCs w:val="20"/>
              </w:rPr>
              <w:t>0</w:t>
            </w:r>
          </w:p>
        </w:tc>
        <w:tc>
          <w:tcPr>
            <w:tcW w:w="2842" w:type="dxa"/>
            <w:tcBorders>
              <w:left w:val="single" w:color="000000" w:sz="4" w:space="0"/>
              <w:right w:val="nil"/>
            </w:tcBorders>
            <w:vAlign w:val="top"/>
          </w:tcPr>
          <w:p w14:paraId="123A4E85">
            <w:pPr>
              <w:spacing w:before="105" w:line="192" w:lineRule="auto"/>
              <w:ind w:left="132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5</w:t>
            </w:r>
            <w:r>
              <w:rPr>
                <w:rFonts w:ascii="Times New Roman" w:hAnsi="Times New Roman" w:eastAsia="Times New Roman" w:cs="Times New Roman"/>
                <w:spacing w:val="-2"/>
                <w:sz w:val="20"/>
                <w:szCs w:val="20"/>
              </w:rPr>
              <w:t>5</w:t>
            </w:r>
          </w:p>
        </w:tc>
      </w:tr>
    </w:tbl>
    <w:p w14:paraId="29495165">
      <w:pPr>
        <w:spacing w:line="270" w:lineRule="auto"/>
        <w:rPr>
          <w:rFonts w:ascii="Arial"/>
          <w:sz w:val="21"/>
        </w:rPr>
      </w:pPr>
    </w:p>
    <w:p w14:paraId="7BF54514">
      <w:pPr>
        <w:spacing w:before="75" w:line="393" w:lineRule="auto"/>
        <w:ind w:left="139" w:right="18" w:firstLine="426"/>
        <w:rPr>
          <w:rFonts w:ascii="宋体" w:hAnsi="宋体" w:eastAsia="宋体" w:cs="宋体"/>
          <w:sz w:val="23"/>
          <w:szCs w:val="23"/>
        </w:rPr>
      </w:pPr>
      <w:r>
        <w:rPr>
          <w:rFonts w:ascii="宋体" w:hAnsi="宋体" w:eastAsia="宋体" w:cs="宋体"/>
          <w:spacing w:val="-12"/>
          <w:sz w:val="23"/>
          <w:szCs w:val="23"/>
        </w:rPr>
        <w:t>②项目运</w:t>
      </w:r>
      <w:r>
        <w:rPr>
          <w:rFonts w:ascii="宋体" w:hAnsi="宋体" w:eastAsia="宋体" w:cs="宋体"/>
          <w:spacing w:val="-9"/>
          <w:sz w:val="23"/>
          <w:szCs w:val="23"/>
        </w:rPr>
        <w:t>营</w:t>
      </w:r>
      <w:r>
        <w:rPr>
          <w:rFonts w:ascii="宋体" w:hAnsi="宋体" w:eastAsia="宋体" w:cs="宋体"/>
          <w:spacing w:val="-6"/>
          <w:sz w:val="23"/>
          <w:szCs w:val="23"/>
        </w:rPr>
        <w:t>期厂界噪声执行《工业企业厂界环境噪声排放标准》(</w:t>
      </w:r>
      <w:r>
        <w:rPr>
          <w:rFonts w:ascii="Times New Roman" w:hAnsi="Times New Roman" w:eastAsia="Times New Roman" w:cs="Times New Roman"/>
          <w:spacing w:val="-6"/>
          <w:sz w:val="23"/>
          <w:szCs w:val="23"/>
        </w:rPr>
        <w:t>GB12348-2008</w:t>
      </w:r>
      <w:r>
        <w:rPr>
          <w:rFonts w:ascii="宋体" w:hAnsi="宋体" w:eastAsia="宋体" w:cs="宋体"/>
          <w:spacing w:val="-6"/>
          <w:sz w:val="23"/>
          <w:szCs w:val="23"/>
        </w:rPr>
        <w:t>)</w:t>
      </w:r>
      <w:r>
        <w:rPr>
          <w:rFonts w:ascii="宋体" w:hAnsi="宋体" w:eastAsia="宋体" w:cs="宋体"/>
          <w:sz w:val="23"/>
          <w:szCs w:val="23"/>
        </w:rPr>
        <w:t xml:space="preserve"> </w:t>
      </w:r>
      <w:r>
        <w:rPr>
          <w:rFonts w:ascii="宋体" w:hAnsi="宋体" w:eastAsia="宋体" w:cs="宋体"/>
          <w:spacing w:val="-4"/>
          <w:sz w:val="23"/>
          <w:szCs w:val="23"/>
        </w:rPr>
        <w:t xml:space="preserve">中 </w:t>
      </w:r>
      <w:r>
        <w:rPr>
          <w:rFonts w:ascii="Times New Roman" w:hAnsi="Times New Roman" w:eastAsia="Times New Roman" w:cs="Times New Roman"/>
          <w:spacing w:val="-4"/>
          <w:sz w:val="23"/>
          <w:szCs w:val="23"/>
        </w:rPr>
        <w:t xml:space="preserve">3 </w:t>
      </w:r>
      <w:r>
        <w:rPr>
          <w:rFonts w:ascii="宋体" w:hAnsi="宋体" w:eastAsia="宋体" w:cs="宋体"/>
          <w:spacing w:val="-4"/>
          <w:sz w:val="23"/>
          <w:szCs w:val="23"/>
        </w:rPr>
        <w:t>类标准，具体标准值见表</w:t>
      </w:r>
      <w:r>
        <w:rPr>
          <w:rFonts w:ascii="Times New Roman" w:hAnsi="Times New Roman" w:eastAsia="Times New Roman" w:cs="Times New Roman"/>
          <w:spacing w:val="-4"/>
          <w:sz w:val="23"/>
          <w:szCs w:val="23"/>
        </w:rPr>
        <w:t>2-13</w:t>
      </w:r>
      <w:r>
        <w:rPr>
          <w:rFonts w:ascii="宋体" w:hAnsi="宋体" w:eastAsia="宋体" w:cs="宋体"/>
          <w:spacing w:val="-1"/>
          <w:sz w:val="23"/>
          <w:szCs w:val="23"/>
        </w:rPr>
        <w:t>。</w:t>
      </w:r>
    </w:p>
    <w:p w14:paraId="2DBED1A0">
      <w:pPr>
        <w:spacing w:before="99" w:line="332" w:lineRule="exact"/>
        <w:ind w:left="1222"/>
        <w:rPr>
          <w:rFonts w:ascii="宋体" w:hAnsi="宋体" w:eastAsia="宋体" w:cs="宋体"/>
          <w:sz w:val="23"/>
          <w:szCs w:val="23"/>
        </w:rPr>
      </w:pPr>
      <w:r>
        <w:rPr>
          <w:rFonts w:ascii="宋体" w:hAnsi="宋体" w:eastAsia="宋体" w:cs="宋体"/>
          <w:spacing w:val="-2"/>
          <w:position w:val="3"/>
          <w:sz w:val="23"/>
          <w:szCs w:val="23"/>
          <w14:textOutline w14:w="4358" w14:cap="sq" w14:cmpd="sng">
            <w14:solidFill>
              <w14:srgbClr w14:val="000000"/>
            </w14:solidFill>
            <w14:prstDash w14:val="solid"/>
            <w14:bevel/>
          </w14:textOutline>
        </w:rPr>
        <w:t>表</w:t>
      </w:r>
      <w:r>
        <w:rPr>
          <w:rFonts w:ascii="宋体" w:hAnsi="宋体" w:eastAsia="宋体" w:cs="宋体"/>
          <w:spacing w:val="-2"/>
          <w:position w:val="3"/>
          <w:sz w:val="23"/>
          <w:szCs w:val="23"/>
        </w:rPr>
        <w:t xml:space="preserve"> </w:t>
      </w:r>
      <w:r>
        <w:rPr>
          <w:rFonts w:ascii="Times New Roman" w:hAnsi="Times New Roman" w:eastAsia="Times New Roman" w:cs="Times New Roman"/>
          <w:b/>
          <w:bCs/>
          <w:spacing w:val="-2"/>
          <w:position w:val="3"/>
          <w:sz w:val="23"/>
          <w:szCs w:val="23"/>
        </w:rPr>
        <w:t>2-13</w:t>
      </w:r>
      <w:r>
        <w:rPr>
          <w:rFonts w:ascii="Times New Roman" w:hAnsi="Times New Roman" w:eastAsia="Times New Roman" w:cs="Times New Roman"/>
          <w:spacing w:val="-2"/>
          <w:position w:val="3"/>
          <w:sz w:val="23"/>
          <w:szCs w:val="23"/>
        </w:rPr>
        <w:t xml:space="preserve">       </w:t>
      </w:r>
      <w:r>
        <w:rPr>
          <w:rFonts w:ascii="宋体" w:hAnsi="宋体" w:eastAsia="宋体" w:cs="宋体"/>
          <w:spacing w:val="-2"/>
          <w:position w:val="3"/>
          <w:sz w:val="23"/>
          <w:szCs w:val="23"/>
          <w14:textOutline w14:w="4358" w14:cap="sq" w14:cmpd="sng">
            <w14:solidFill>
              <w14:srgbClr w14:val="000000"/>
            </w14:solidFill>
            <w14:prstDash w14:val="solid"/>
            <w14:bevel/>
          </w14:textOutline>
        </w:rPr>
        <w:t>工业企业厂界环境噪声排放标准</w:t>
      </w:r>
      <w:r>
        <w:rPr>
          <w:rFonts w:ascii="宋体" w:hAnsi="宋体" w:eastAsia="宋体" w:cs="宋体"/>
          <w:spacing w:val="-2"/>
          <w:position w:val="3"/>
          <w:sz w:val="23"/>
          <w:szCs w:val="23"/>
        </w:rPr>
        <w:t xml:space="preserve"> </w:t>
      </w:r>
      <w:r>
        <w:rPr>
          <w:rFonts w:ascii="宋体" w:hAnsi="宋体" w:eastAsia="宋体" w:cs="宋体"/>
          <w:spacing w:val="-2"/>
          <w:position w:val="3"/>
          <w:sz w:val="23"/>
          <w:szCs w:val="23"/>
          <w14:textOutline w14:w="4358" w14:cap="sq" w14:cmpd="sng">
            <w14:solidFill>
              <w14:srgbClr w14:val="000000"/>
            </w14:solidFill>
            <w14:prstDash w14:val="solid"/>
            <w14:bevel/>
          </w14:textOutline>
        </w:rPr>
        <w:t>(</w:t>
      </w:r>
      <w:r>
        <w:rPr>
          <w:rFonts w:ascii="宋体" w:hAnsi="宋体" w:eastAsia="宋体" w:cs="宋体"/>
          <w:spacing w:val="-1"/>
          <w:position w:val="3"/>
          <w:sz w:val="23"/>
          <w:szCs w:val="23"/>
          <w14:textOutline w14:w="4358" w14:cap="sq" w14:cmpd="sng">
            <w14:solidFill>
              <w14:srgbClr w14:val="000000"/>
            </w14:solidFill>
            <w14:prstDash w14:val="solid"/>
            <w14:bevel/>
          </w14:textOutline>
        </w:rPr>
        <w:t>单位：</w:t>
      </w:r>
      <w:r>
        <w:rPr>
          <w:rFonts w:ascii="Times New Roman" w:hAnsi="Times New Roman" w:eastAsia="Times New Roman" w:cs="Times New Roman"/>
          <w:b/>
          <w:bCs/>
          <w:spacing w:val="-1"/>
          <w:position w:val="3"/>
          <w:sz w:val="23"/>
          <w:szCs w:val="23"/>
        </w:rPr>
        <w:t>dB(A)</w:t>
      </w:r>
      <w:r>
        <w:rPr>
          <w:rFonts w:ascii="宋体" w:hAnsi="宋体" w:eastAsia="宋体" w:cs="宋体"/>
          <w:spacing w:val="-1"/>
          <w:position w:val="3"/>
          <w:sz w:val="23"/>
          <w:szCs w:val="23"/>
          <w14:textOutline w14:w="4358" w14:cap="sq" w14:cmpd="sng">
            <w14:solidFill>
              <w14:srgbClr w14:val="000000"/>
            </w14:solidFill>
            <w14:prstDash w14:val="solid"/>
            <w14:bevel/>
          </w14:textOutline>
        </w:rPr>
        <w:t>)</w:t>
      </w:r>
    </w:p>
    <w:p w14:paraId="30E5F3E9">
      <w:pPr>
        <w:spacing w:line="18"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40"/>
        <w:gridCol w:w="2840"/>
        <w:gridCol w:w="2842"/>
      </w:tblGrid>
      <w:tr w14:paraId="1878C1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840" w:type="dxa"/>
            <w:tcBorders>
              <w:left w:val="nil"/>
              <w:right w:val="single" w:color="000000" w:sz="4" w:space="0"/>
            </w:tcBorders>
            <w:vAlign w:val="top"/>
          </w:tcPr>
          <w:p w14:paraId="1E86293C">
            <w:pPr>
              <w:spacing w:before="85" w:line="228" w:lineRule="auto"/>
              <w:ind w:left="1232"/>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类别</w:t>
            </w:r>
          </w:p>
        </w:tc>
        <w:tc>
          <w:tcPr>
            <w:tcW w:w="2840" w:type="dxa"/>
            <w:tcBorders>
              <w:left w:val="single" w:color="000000" w:sz="4" w:space="0"/>
              <w:right w:val="single" w:color="000000" w:sz="4" w:space="0"/>
            </w:tcBorders>
            <w:vAlign w:val="top"/>
          </w:tcPr>
          <w:p w14:paraId="1A3BCF56">
            <w:pPr>
              <w:spacing w:before="85" w:line="231" w:lineRule="auto"/>
              <w:ind w:left="1225"/>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昼</w:t>
            </w:r>
            <w:r>
              <w:rPr>
                <w:rFonts w:ascii="宋体" w:hAnsi="宋体" w:eastAsia="宋体" w:cs="宋体"/>
                <w:sz w:val="20"/>
                <w:szCs w:val="20"/>
                <w14:textOutline w14:w="3795" w14:cap="sq" w14:cmpd="sng">
                  <w14:solidFill>
                    <w14:srgbClr w14:val="000000"/>
                  </w14:solidFill>
                  <w14:prstDash w14:val="solid"/>
                  <w14:bevel/>
                </w14:textOutline>
              </w:rPr>
              <w:t>间</w:t>
            </w:r>
          </w:p>
        </w:tc>
        <w:tc>
          <w:tcPr>
            <w:tcW w:w="2842" w:type="dxa"/>
            <w:tcBorders>
              <w:left w:val="single" w:color="000000" w:sz="4" w:space="0"/>
              <w:right w:val="nil"/>
            </w:tcBorders>
            <w:vAlign w:val="top"/>
          </w:tcPr>
          <w:p w14:paraId="467C1B39">
            <w:pPr>
              <w:spacing w:before="85" w:line="228" w:lineRule="auto"/>
              <w:ind w:left="1231"/>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夜</w:t>
            </w:r>
            <w:r>
              <w:rPr>
                <w:rFonts w:ascii="宋体" w:hAnsi="宋体" w:eastAsia="宋体" w:cs="宋体"/>
                <w:spacing w:val="-1"/>
                <w:sz w:val="20"/>
                <w:szCs w:val="20"/>
                <w14:textOutline w14:w="3795" w14:cap="sq" w14:cmpd="sng">
                  <w14:solidFill>
                    <w14:srgbClr w14:val="000000"/>
                  </w14:solidFill>
                  <w14:prstDash w14:val="solid"/>
                  <w14:bevel/>
                </w14:textOutline>
              </w:rPr>
              <w:t>间</w:t>
            </w:r>
          </w:p>
        </w:tc>
      </w:tr>
      <w:tr w14:paraId="49AF92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840" w:type="dxa"/>
            <w:tcBorders>
              <w:left w:val="nil"/>
              <w:right w:val="single" w:color="000000" w:sz="4" w:space="0"/>
            </w:tcBorders>
            <w:vAlign w:val="top"/>
          </w:tcPr>
          <w:p w14:paraId="601F3F41">
            <w:pPr>
              <w:spacing w:before="66" w:line="228" w:lineRule="auto"/>
              <w:ind w:left="457"/>
              <w:rPr>
                <w:rFonts w:ascii="宋体" w:hAnsi="宋体" w:eastAsia="宋体" w:cs="宋体"/>
                <w:sz w:val="20"/>
                <w:szCs w:val="20"/>
              </w:rPr>
            </w:pPr>
            <w:r>
              <w:rPr>
                <w:rFonts w:ascii="宋体" w:hAnsi="宋体" w:eastAsia="宋体" w:cs="宋体"/>
                <w:spacing w:val="5"/>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4"/>
                <w:sz w:val="20"/>
                <w:szCs w:val="20"/>
              </w:rPr>
              <w:t>12348-2008</w:t>
            </w:r>
            <w:r>
              <w:rPr>
                <w:rFonts w:ascii="宋体" w:hAnsi="宋体" w:eastAsia="宋体" w:cs="宋体"/>
                <w:spacing w:val="4"/>
                <w:sz w:val="20"/>
                <w:szCs w:val="20"/>
              </w:rPr>
              <w:t xml:space="preserve">) </w:t>
            </w:r>
            <w:r>
              <w:rPr>
                <w:rFonts w:ascii="Times New Roman" w:hAnsi="Times New Roman" w:eastAsia="Times New Roman" w:cs="Times New Roman"/>
                <w:spacing w:val="4"/>
                <w:sz w:val="20"/>
                <w:szCs w:val="20"/>
              </w:rPr>
              <w:t xml:space="preserve">3 </w:t>
            </w:r>
            <w:r>
              <w:rPr>
                <w:rFonts w:ascii="宋体" w:hAnsi="宋体" w:eastAsia="宋体" w:cs="宋体"/>
                <w:spacing w:val="4"/>
                <w:sz w:val="20"/>
                <w:szCs w:val="20"/>
              </w:rPr>
              <w:t>类</w:t>
            </w:r>
          </w:p>
        </w:tc>
        <w:tc>
          <w:tcPr>
            <w:tcW w:w="2840" w:type="dxa"/>
            <w:tcBorders>
              <w:left w:val="single" w:color="000000" w:sz="4" w:space="0"/>
              <w:right w:val="single" w:color="000000" w:sz="4" w:space="0"/>
            </w:tcBorders>
            <w:vAlign w:val="top"/>
          </w:tcPr>
          <w:p w14:paraId="367E616A">
            <w:pPr>
              <w:spacing w:before="103" w:line="195" w:lineRule="auto"/>
              <w:ind w:left="132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65</w:t>
            </w:r>
          </w:p>
        </w:tc>
        <w:tc>
          <w:tcPr>
            <w:tcW w:w="2842" w:type="dxa"/>
            <w:tcBorders>
              <w:left w:val="single" w:color="000000" w:sz="4" w:space="0"/>
              <w:right w:val="nil"/>
            </w:tcBorders>
            <w:vAlign w:val="top"/>
          </w:tcPr>
          <w:p w14:paraId="41E9BE7C">
            <w:pPr>
              <w:spacing w:before="106" w:line="192" w:lineRule="auto"/>
              <w:ind w:left="132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5</w:t>
            </w:r>
            <w:r>
              <w:rPr>
                <w:rFonts w:ascii="Times New Roman" w:hAnsi="Times New Roman" w:eastAsia="Times New Roman" w:cs="Times New Roman"/>
                <w:spacing w:val="-2"/>
                <w:sz w:val="20"/>
                <w:szCs w:val="20"/>
              </w:rPr>
              <w:t>5</w:t>
            </w:r>
          </w:p>
        </w:tc>
      </w:tr>
    </w:tbl>
    <w:p w14:paraId="3849C24D">
      <w:pPr>
        <w:spacing w:line="270" w:lineRule="auto"/>
        <w:rPr>
          <w:rFonts w:ascii="Arial"/>
          <w:sz w:val="21"/>
        </w:rPr>
      </w:pPr>
    </w:p>
    <w:p w14:paraId="4FBF00E3">
      <w:pPr>
        <w:spacing w:before="76" w:line="228" w:lineRule="auto"/>
        <w:ind w:left="580"/>
        <w:rPr>
          <w:rFonts w:ascii="宋体" w:hAnsi="宋体" w:eastAsia="宋体" w:cs="宋体"/>
          <w:sz w:val="23"/>
          <w:szCs w:val="23"/>
        </w:rPr>
      </w:pPr>
      <w:r>
        <w:rPr>
          <w:rFonts w:ascii="宋体" w:hAnsi="宋体" w:eastAsia="宋体" w:cs="宋体"/>
          <w:spacing w:val="12"/>
          <w:sz w:val="23"/>
          <w:szCs w:val="23"/>
        </w:rPr>
        <w:t>(</w:t>
      </w:r>
      <w:r>
        <w:rPr>
          <w:rFonts w:ascii="Times New Roman" w:hAnsi="Times New Roman" w:eastAsia="Times New Roman" w:cs="Times New Roman"/>
          <w:spacing w:val="11"/>
          <w:sz w:val="23"/>
          <w:szCs w:val="23"/>
        </w:rPr>
        <w:t>4</w:t>
      </w:r>
      <w:r>
        <w:rPr>
          <w:rFonts w:ascii="宋体" w:hAnsi="宋体" w:eastAsia="宋体" w:cs="宋体"/>
          <w:spacing w:val="11"/>
          <w:sz w:val="23"/>
          <w:szCs w:val="23"/>
        </w:rPr>
        <w:t>) 固体废物</w:t>
      </w:r>
    </w:p>
    <w:p w14:paraId="7CAE1460">
      <w:pPr>
        <w:spacing w:line="242" w:lineRule="auto"/>
        <w:rPr>
          <w:rFonts w:ascii="Arial"/>
          <w:sz w:val="21"/>
        </w:rPr>
      </w:pPr>
    </w:p>
    <w:p w14:paraId="5F33D6B0">
      <w:pPr>
        <w:spacing w:before="74" w:line="323" w:lineRule="exact"/>
        <w:ind w:left="596"/>
        <w:rPr>
          <w:rFonts w:ascii="宋体" w:hAnsi="宋体" w:eastAsia="宋体" w:cs="宋体"/>
          <w:sz w:val="23"/>
          <w:szCs w:val="23"/>
        </w:rPr>
      </w:pPr>
      <w:r>
        <w:rPr>
          <w:rFonts w:ascii="宋体" w:hAnsi="宋体" w:eastAsia="宋体" w:cs="宋体"/>
          <w:spacing w:val="-2"/>
          <w:position w:val="2"/>
          <w:sz w:val="23"/>
          <w:szCs w:val="23"/>
        </w:rPr>
        <w:t>①施工期：一般废物的处理</w:t>
      </w:r>
      <w:r>
        <w:rPr>
          <w:rFonts w:ascii="Times New Roman" w:hAnsi="Times New Roman" w:eastAsia="Times New Roman" w:cs="Times New Roman"/>
          <w:spacing w:val="-2"/>
          <w:position w:val="2"/>
          <w:sz w:val="23"/>
          <w:szCs w:val="23"/>
        </w:rPr>
        <w:t>/</w:t>
      </w:r>
      <w:r>
        <w:rPr>
          <w:rFonts w:ascii="宋体" w:hAnsi="宋体" w:eastAsia="宋体" w:cs="宋体"/>
          <w:spacing w:val="-2"/>
          <w:position w:val="2"/>
          <w:sz w:val="23"/>
          <w:szCs w:val="23"/>
        </w:rPr>
        <w:t>处置执行《一般工业固体废物贮存、处置场污</w:t>
      </w:r>
      <w:r>
        <w:rPr>
          <w:rFonts w:ascii="宋体" w:hAnsi="宋体" w:eastAsia="宋体" w:cs="宋体"/>
          <w:spacing w:val="-1"/>
          <w:position w:val="2"/>
          <w:sz w:val="23"/>
          <w:szCs w:val="23"/>
        </w:rPr>
        <w:t>染</w:t>
      </w:r>
      <w:r>
        <w:rPr>
          <w:rFonts w:ascii="宋体" w:hAnsi="宋体" w:eastAsia="宋体" w:cs="宋体"/>
          <w:position w:val="2"/>
          <w:sz w:val="23"/>
          <w:szCs w:val="23"/>
        </w:rPr>
        <w:t>控</w:t>
      </w:r>
    </w:p>
    <w:p w14:paraId="103804FB">
      <w:pPr>
        <w:sectPr>
          <w:headerReference r:id="rId64" w:type="default"/>
          <w:footerReference r:id="rId65" w:type="default"/>
          <w:pgSz w:w="11906" w:h="16839"/>
          <w:pgMar w:top="1132" w:right="1691" w:bottom="1156" w:left="1691" w:header="878" w:footer="996" w:gutter="0"/>
          <w:cols w:space="720" w:num="1"/>
        </w:sectPr>
      </w:pPr>
    </w:p>
    <w:p w14:paraId="18C3D654">
      <w:pPr>
        <w:spacing w:line="409" w:lineRule="auto"/>
        <w:rPr>
          <w:rFonts w:ascii="Arial"/>
          <w:sz w:val="21"/>
        </w:rPr>
      </w:pPr>
      <w:r>
        <w:pict>
          <v:shape id="_x0000_s1093" o:spid="_x0000_s1093" style="position:absolute;left:0pt;margin-left:90pt;margin-top:57.35pt;height:0.75pt;width:415.3pt;mso-position-horizontal-relative:page;mso-position-vertical-relative:page;z-index:251729920;mso-width-relative:page;mso-height-relative:page;" fillcolor="#000000" filled="t" stroked="f" coordsize="8305,15" o:allowincell="f" path="m0,0l8305,0,8305,14,0,14,0,0xe">
            <v:path/>
            <v:fill on="t" focussize="0,0"/>
            <v:stroke on="f"/>
            <v:imagedata o:title=""/>
            <o:lock v:ext="edit"/>
          </v:shape>
        </w:pict>
      </w:r>
    </w:p>
    <w:p w14:paraId="674DFB29">
      <w:pPr>
        <w:spacing w:before="74" w:line="227" w:lineRule="auto"/>
        <w:ind w:left="118"/>
        <w:rPr>
          <w:rFonts w:ascii="宋体" w:hAnsi="宋体" w:eastAsia="宋体" w:cs="宋体"/>
          <w:sz w:val="23"/>
          <w:szCs w:val="23"/>
        </w:rPr>
      </w:pPr>
      <w:r>
        <w:rPr>
          <w:rFonts w:ascii="宋体" w:hAnsi="宋体" w:eastAsia="宋体" w:cs="宋体"/>
          <w:spacing w:val="-7"/>
          <w:sz w:val="23"/>
          <w:szCs w:val="23"/>
        </w:rPr>
        <w:t>制标准》  (</w:t>
      </w:r>
      <w:r>
        <w:rPr>
          <w:rFonts w:ascii="Times New Roman" w:hAnsi="Times New Roman" w:eastAsia="Times New Roman" w:cs="Times New Roman"/>
          <w:spacing w:val="-7"/>
          <w:sz w:val="23"/>
          <w:szCs w:val="23"/>
        </w:rPr>
        <w:t>GB18599-2001</w:t>
      </w:r>
      <w:r>
        <w:rPr>
          <w:rFonts w:ascii="宋体" w:hAnsi="宋体" w:eastAsia="宋体" w:cs="宋体"/>
          <w:spacing w:val="-7"/>
          <w:sz w:val="23"/>
          <w:szCs w:val="23"/>
        </w:rPr>
        <w:t xml:space="preserve">) 及 </w:t>
      </w:r>
      <w:r>
        <w:rPr>
          <w:rFonts w:ascii="Times New Roman" w:hAnsi="Times New Roman" w:eastAsia="Times New Roman" w:cs="Times New Roman"/>
          <w:spacing w:val="-7"/>
          <w:sz w:val="23"/>
          <w:szCs w:val="23"/>
        </w:rPr>
        <w:t xml:space="preserve">2013 </w:t>
      </w:r>
      <w:r>
        <w:rPr>
          <w:rFonts w:ascii="宋体" w:hAnsi="宋体" w:eastAsia="宋体" w:cs="宋体"/>
          <w:spacing w:val="-7"/>
          <w:sz w:val="23"/>
          <w:szCs w:val="23"/>
        </w:rPr>
        <w:t>年修改单。</w:t>
      </w:r>
    </w:p>
    <w:p w14:paraId="27B6FC3B">
      <w:pPr>
        <w:spacing w:line="288" w:lineRule="auto"/>
        <w:rPr>
          <w:rFonts w:ascii="Arial"/>
          <w:sz w:val="21"/>
        </w:rPr>
      </w:pPr>
    </w:p>
    <w:p w14:paraId="317C9BCA">
      <w:pPr>
        <w:spacing w:before="75" w:line="389" w:lineRule="auto"/>
        <w:ind w:left="116" w:right="110" w:firstLine="479"/>
        <w:rPr>
          <w:rFonts w:ascii="宋体" w:hAnsi="宋体" w:eastAsia="宋体" w:cs="宋体"/>
          <w:sz w:val="23"/>
          <w:szCs w:val="23"/>
        </w:rPr>
      </w:pPr>
      <w:r>
        <w:rPr>
          <w:rFonts w:ascii="宋体" w:hAnsi="宋体" w:eastAsia="宋体" w:cs="宋体"/>
          <w:spacing w:val="-1"/>
          <w:sz w:val="23"/>
          <w:szCs w:val="23"/>
        </w:rPr>
        <w:t>②运营期：一般</w:t>
      </w:r>
      <w:r>
        <w:rPr>
          <w:rFonts w:ascii="宋体" w:hAnsi="宋体" w:eastAsia="宋体" w:cs="宋体"/>
          <w:sz w:val="23"/>
          <w:szCs w:val="23"/>
        </w:rPr>
        <w:t xml:space="preserve">工业固体废物贮存、处置执行《一般工业固体废物贮存、处置 </w:t>
      </w:r>
      <w:r>
        <w:rPr>
          <w:rFonts w:ascii="宋体" w:hAnsi="宋体" w:eastAsia="宋体" w:cs="宋体"/>
          <w:spacing w:val="-10"/>
          <w:sz w:val="23"/>
          <w:szCs w:val="23"/>
        </w:rPr>
        <w:t>场污染控制标</w:t>
      </w:r>
      <w:r>
        <w:rPr>
          <w:rFonts w:ascii="宋体" w:hAnsi="宋体" w:eastAsia="宋体" w:cs="宋体"/>
          <w:spacing w:val="-6"/>
          <w:sz w:val="23"/>
          <w:szCs w:val="23"/>
        </w:rPr>
        <w:t>准</w:t>
      </w:r>
      <w:r>
        <w:rPr>
          <w:rFonts w:ascii="宋体" w:hAnsi="宋体" w:eastAsia="宋体" w:cs="宋体"/>
          <w:spacing w:val="-5"/>
          <w:sz w:val="23"/>
          <w:szCs w:val="23"/>
        </w:rPr>
        <w:t>》(</w:t>
      </w:r>
      <w:r>
        <w:rPr>
          <w:rFonts w:ascii="Times New Roman" w:hAnsi="Times New Roman" w:eastAsia="Times New Roman" w:cs="Times New Roman"/>
          <w:spacing w:val="-5"/>
          <w:sz w:val="23"/>
          <w:szCs w:val="23"/>
        </w:rPr>
        <w:t>GB18599-2001</w:t>
      </w:r>
      <w:r>
        <w:rPr>
          <w:rFonts w:ascii="宋体" w:hAnsi="宋体" w:eastAsia="宋体" w:cs="宋体"/>
          <w:spacing w:val="-5"/>
          <w:sz w:val="23"/>
          <w:szCs w:val="23"/>
        </w:rPr>
        <w:t xml:space="preserve">) 及其修改单的公告 (环境保护部公告，公告 </w:t>
      </w:r>
      <w:r>
        <w:rPr>
          <w:rFonts w:ascii="Times New Roman" w:hAnsi="Times New Roman" w:eastAsia="Times New Roman" w:cs="Times New Roman"/>
          <w:spacing w:val="-5"/>
          <w:sz w:val="23"/>
          <w:szCs w:val="23"/>
        </w:rPr>
        <w:t>2013</w:t>
      </w:r>
      <w:r>
        <w:rPr>
          <w:rFonts w:ascii="Times New Roman" w:hAnsi="Times New Roman" w:eastAsia="Times New Roman" w:cs="Times New Roman"/>
          <w:sz w:val="23"/>
          <w:szCs w:val="23"/>
        </w:rPr>
        <w:t xml:space="preserve"> </w:t>
      </w:r>
      <w:r>
        <w:rPr>
          <w:rFonts w:ascii="宋体" w:hAnsi="宋体" w:eastAsia="宋体" w:cs="宋体"/>
          <w:spacing w:val="-7"/>
          <w:sz w:val="23"/>
          <w:szCs w:val="23"/>
        </w:rPr>
        <w:t xml:space="preserve">年第 </w:t>
      </w:r>
      <w:r>
        <w:rPr>
          <w:rFonts w:ascii="Times New Roman" w:hAnsi="Times New Roman" w:eastAsia="Times New Roman" w:cs="Times New Roman"/>
          <w:spacing w:val="-7"/>
          <w:sz w:val="23"/>
          <w:szCs w:val="23"/>
        </w:rPr>
        <w:t xml:space="preserve">36 </w:t>
      </w:r>
      <w:r>
        <w:rPr>
          <w:rFonts w:ascii="宋体" w:hAnsi="宋体" w:eastAsia="宋体" w:cs="宋体"/>
          <w:spacing w:val="-7"/>
          <w:sz w:val="23"/>
          <w:szCs w:val="23"/>
        </w:rPr>
        <w:t>号，</w:t>
      </w:r>
      <w:r>
        <w:rPr>
          <w:rFonts w:ascii="Times New Roman" w:hAnsi="Times New Roman" w:eastAsia="Times New Roman" w:cs="Times New Roman"/>
          <w:spacing w:val="-7"/>
          <w:sz w:val="23"/>
          <w:szCs w:val="23"/>
        </w:rPr>
        <w:t xml:space="preserve">2013 </w:t>
      </w:r>
      <w:r>
        <w:rPr>
          <w:rFonts w:ascii="宋体" w:hAnsi="宋体" w:eastAsia="宋体" w:cs="宋体"/>
          <w:spacing w:val="-7"/>
          <w:sz w:val="23"/>
          <w:szCs w:val="23"/>
        </w:rPr>
        <w:t xml:space="preserve">年 </w:t>
      </w:r>
      <w:r>
        <w:rPr>
          <w:rFonts w:ascii="Times New Roman" w:hAnsi="Times New Roman" w:eastAsia="Times New Roman" w:cs="Times New Roman"/>
          <w:spacing w:val="-7"/>
          <w:sz w:val="23"/>
          <w:szCs w:val="23"/>
        </w:rPr>
        <w:t xml:space="preserve">6 </w:t>
      </w:r>
      <w:r>
        <w:rPr>
          <w:rFonts w:ascii="宋体" w:hAnsi="宋体" w:eastAsia="宋体" w:cs="宋体"/>
          <w:spacing w:val="-7"/>
          <w:sz w:val="23"/>
          <w:szCs w:val="23"/>
        </w:rPr>
        <w:t xml:space="preserve">月 </w:t>
      </w:r>
      <w:r>
        <w:rPr>
          <w:rFonts w:ascii="Times New Roman" w:hAnsi="Times New Roman" w:eastAsia="Times New Roman" w:cs="Times New Roman"/>
          <w:spacing w:val="-7"/>
          <w:sz w:val="23"/>
          <w:szCs w:val="23"/>
        </w:rPr>
        <w:t xml:space="preserve">8 </w:t>
      </w:r>
      <w:r>
        <w:rPr>
          <w:rFonts w:ascii="宋体" w:hAnsi="宋体" w:eastAsia="宋体" w:cs="宋体"/>
          <w:spacing w:val="-7"/>
          <w:sz w:val="23"/>
          <w:szCs w:val="23"/>
        </w:rPr>
        <w:t>日) ；生活垃圾执行《城市生活垃圾管理办法》 (中华</w:t>
      </w:r>
      <w:r>
        <w:rPr>
          <w:rFonts w:ascii="宋体" w:hAnsi="宋体" w:eastAsia="宋体" w:cs="宋体"/>
          <w:spacing w:val="-1"/>
          <w:sz w:val="23"/>
          <w:szCs w:val="23"/>
        </w:rPr>
        <w:t>人</w:t>
      </w:r>
      <w:r>
        <w:rPr>
          <w:rFonts w:ascii="宋体" w:hAnsi="宋体" w:eastAsia="宋体" w:cs="宋体"/>
          <w:sz w:val="23"/>
          <w:szCs w:val="23"/>
        </w:rPr>
        <w:t xml:space="preserve"> </w:t>
      </w:r>
      <w:r>
        <w:rPr>
          <w:rFonts w:ascii="宋体" w:hAnsi="宋体" w:eastAsia="宋体" w:cs="宋体"/>
          <w:spacing w:val="-14"/>
          <w:sz w:val="23"/>
          <w:szCs w:val="23"/>
        </w:rPr>
        <w:t>民</w:t>
      </w:r>
      <w:r>
        <w:rPr>
          <w:rFonts w:ascii="宋体" w:hAnsi="宋体" w:eastAsia="宋体" w:cs="宋体"/>
          <w:spacing w:val="-12"/>
          <w:sz w:val="23"/>
          <w:szCs w:val="23"/>
        </w:rPr>
        <w:t>共</w:t>
      </w:r>
      <w:r>
        <w:rPr>
          <w:rFonts w:ascii="宋体" w:hAnsi="宋体" w:eastAsia="宋体" w:cs="宋体"/>
          <w:spacing w:val="-7"/>
          <w:sz w:val="23"/>
          <w:szCs w:val="23"/>
        </w:rPr>
        <w:t xml:space="preserve">和国建设部令第 </w:t>
      </w:r>
      <w:r>
        <w:rPr>
          <w:rFonts w:ascii="Times New Roman" w:hAnsi="Times New Roman" w:eastAsia="Times New Roman" w:cs="Times New Roman"/>
          <w:spacing w:val="-7"/>
          <w:sz w:val="23"/>
          <w:szCs w:val="23"/>
        </w:rPr>
        <w:t xml:space="preserve">157 </w:t>
      </w:r>
      <w:r>
        <w:rPr>
          <w:rFonts w:ascii="宋体" w:hAnsi="宋体" w:eastAsia="宋体" w:cs="宋体"/>
          <w:spacing w:val="-7"/>
          <w:sz w:val="23"/>
          <w:szCs w:val="23"/>
        </w:rPr>
        <w:t>号，</w:t>
      </w:r>
      <w:r>
        <w:rPr>
          <w:rFonts w:ascii="Times New Roman" w:hAnsi="Times New Roman" w:eastAsia="Times New Roman" w:cs="Times New Roman"/>
          <w:spacing w:val="-7"/>
          <w:sz w:val="23"/>
          <w:szCs w:val="23"/>
        </w:rPr>
        <w:t xml:space="preserve">2007 </w:t>
      </w:r>
      <w:r>
        <w:rPr>
          <w:rFonts w:ascii="宋体" w:hAnsi="宋体" w:eastAsia="宋体" w:cs="宋体"/>
          <w:spacing w:val="-7"/>
          <w:sz w:val="23"/>
          <w:szCs w:val="23"/>
        </w:rPr>
        <w:t xml:space="preserve">年 </w:t>
      </w:r>
      <w:r>
        <w:rPr>
          <w:rFonts w:ascii="Times New Roman" w:hAnsi="Times New Roman" w:eastAsia="Times New Roman" w:cs="Times New Roman"/>
          <w:spacing w:val="-7"/>
          <w:sz w:val="23"/>
          <w:szCs w:val="23"/>
        </w:rPr>
        <w:t xml:space="preserve">7 </w:t>
      </w:r>
      <w:r>
        <w:rPr>
          <w:rFonts w:ascii="宋体" w:hAnsi="宋体" w:eastAsia="宋体" w:cs="宋体"/>
          <w:spacing w:val="-7"/>
          <w:sz w:val="23"/>
          <w:szCs w:val="23"/>
        </w:rPr>
        <w:t xml:space="preserve">月 </w:t>
      </w:r>
      <w:r>
        <w:rPr>
          <w:rFonts w:ascii="Times New Roman" w:hAnsi="Times New Roman" w:eastAsia="Times New Roman" w:cs="Times New Roman"/>
          <w:spacing w:val="-7"/>
          <w:sz w:val="23"/>
          <w:szCs w:val="23"/>
        </w:rPr>
        <w:t xml:space="preserve">1 </w:t>
      </w:r>
      <w:r>
        <w:rPr>
          <w:rFonts w:ascii="宋体" w:hAnsi="宋体" w:eastAsia="宋体" w:cs="宋体"/>
          <w:spacing w:val="-7"/>
          <w:sz w:val="23"/>
          <w:szCs w:val="23"/>
        </w:rPr>
        <w:t>日) 。</w:t>
      </w:r>
    </w:p>
    <w:p w14:paraId="773BBF9E">
      <w:pPr>
        <w:spacing w:before="148" w:line="390" w:lineRule="auto"/>
        <w:ind w:left="117" w:right="110" w:firstLine="482"/>
        <w:rPr>
          <w:rFonts w:ascii="宋体" w:hAnsi="宋体" w:eastAsia="宋体" w:cs="宋体"/>
          <w:sz w:val="23"/>
          <w:szCs w:val="23"/>
        </w:rPr>
      </w:pPr>
      <w:r>
        <w:rPr>
          <w:rFonts w:ascii="宋体" w:hAnsi="宋体" w:eastAsia="宋体" w:cs="宋体"/>
          <w:spacing w:val="-7"/>
          <w:sz w:val="23"/>
          <w:szCs w:val="23"/>
        </w:rPr>
        <w:t>危险废物分类按照环境保护部、国家发展和改革委员会及公安部修订发布的《</w:t>
      </w:r>
      <w:r>
        <w:rPr>
          <w:rFonts w:ascii="宋体" w:hAnsi="宋体" w:eastAsia="宋体" w:cs="宋体"/>
          <w:spacing w:val="-1"/>
          <w:sz w:val="23"/>
          <w:szCs w:val="23"/>
        </w:rPr>
        <w:t>国</w:t>
      </w:r>
      <w:r>
        <w:rPr>
          <w:rFonts w:ascii="宋体" w:hAnsi="宋体" w:eastAsia="宋体" w:cs="宋体"/>
          <w:sz w:val="23"/>
          <w:szCs w:val="23"/>
        </w:rPr>
        <w:t xml:space="preserve"> </w:t>
      </w:r>
      <w:r>
        <w:rPr>
          <w:rFonts w:ascii="宋体" w:hAnsi="宋体" w:eastAsia="宋体" w:cs="宋体"/>
          <w:spacing w:val="-12"/>
          <w:sz w:val="23"/>
          <w:szCs w:val="23"/>
        </w:rPr>
        <w:t>家危险废物名</w:t>
      </w:r>
      <w:r>
        <w:rPr>
          <w:rFonts w:ascii="宋体" w:hAnsi="宋体" w:eastAsia="宋体" w:cs="宋体"/>
          <w:spacing w:val="-7"/>
          <w:sz w:val="23"/>
          <w:szCs w:val="23"/>
        </w:rPr>
        <w:t>录</w:t>
      </w:r>
      <w:r>
        <w:rPr>
          <w:rFonts w:ascii="宋体" w:hAnsi="宋体" w:eastAsia="宋体" w:cs="宋体"/>
          <w:spacing w:val="-6"/>
          <w:sz w:val="23"/>
          <w:szCs w:val="23"/>
        </w:rPr>
        <w:t>》 (</w:t>
      </w:r>
      <w:r>
        <w:rPr>
          <w:rFonts w:ascii="Times New Roman" w:hAnsi="Times New Roman" w:eastAsia="Times New Roman" w:cs="Times New Roman"/>
          <w:spacing w:val="-6"/>
          <w:sz w:val="23"/>
          <w:szCs w:val="23"/>
        </w:rPr>
        <w:t xml:space="preserve">2016 </w:t>
      </w:r>
      <w:r>
        <w:rPr>
          <w:rFonts w:ascii="宋体" w:hAnsi="宋体" w:eastAsia="宋体" w:cs="宋体"/>
          <w:spacing w:val="-6"/>
          <w:sz w:val="23"/>
          <w:szCs w:val="23"/>
        </w:rPr>
        <w:t xml:space="preserve">版) ，自 </w:t>
      </w:r>
      <w:r>
        <w:rPr>
          <w:rFonts w:ascii="Times New Roman" w:hAnsi="Times New Roman" w:eastAsia="Times New Roman" w:cs="Times New Roman"/>
          <w:spacing w:val="-6"/>
          <w:sz w:val="23"/>
          <w:szCs w:val="23"/>
        </w:rPr>
        <w:t xml:space="preserve">2016 </w:t>
      </w:r>
      <w:r>
        <w:rPr>
          <w:rFonts w:ascii="宋体" w:hAnsi="宋体" w:eastAsia="宋体" w:cs="宋体"/>
          <w:spacing w:val="-6"/>
          <w:sz w:val="23"/>
          <w:szCs w:val="23"/>
        </w:rPr>
        <w:t xml:space="preserve">年 </w:t>
      </w:r>
      <w:r>
        <w:rPr>
          <w:rFonts w:ascii="Times New Roman" w:hAnsi="Times New Roman" w:eastAsia="Times New Roman" w:cs="Times New Roman"/>
          <w:spacing w:val="-6"/>
          <w:sz w:val="23"/>
          <w:szCs w:val="23"/>
        </w:rPr>
        <w:t xml:space="preserve">8 </w:t>
      </w:r>
      <w:r>
        <w:rPr>
          <w:rFonts w:ascii="宋体" w:hAnsi="宋体" w:eastAsia="宋体" w:cs="宋体"/>
          <w:spacing w:val="-6"/>
          <w:sz w:val="23"/>
          <w:szCs w:val="23"/>
        </w:rPr>
        <w:t xml:space="preserve">月 </w:t>
      </w:r>
      <w:r>
        <w:rPr>
          <w:rFonts w:ascii="Times New Roman" w:hAnsi="Times New Roman" w:eastAsia="Times New Roman" w:cs="Times New Roman"/>
          <w:spacing w:val="-6"/>
          <w:sz w:val="23"/>
          <w:szCs w:val="23"/>
        </w:rPr>
        <w:t xml:space="preserve">1 </w:t>
      </w:r>
      <w:r>
        <w:rPr>
          <w:rFonts w:ascii="宋体" w:hAnsi="宋体" w:eastAsia="宋体" w:cs="宋体"/>
          <w:spacing w:val="-6"/>
          <w:sz w:val="23"/>
          <w:szCs w:val="23"/>
        </w:rPr>
        <w:t>日起实施；临时储存执行《危险废</w:t>
      </w:r>
      <w:r>
        <w:rPr>
          <w:rFonts w:ascii="宋体" w:hAnsi="宋体" w:eastAsia="宋体" w:cs="宋体"/>
          <w:sz w:val="23"/>
          <w:szCs w:val="23"/>
        </w:rPr>
        <w:t xml:space="preserve"> </w:t>
      </w:r>
      <w:r>
        <w:rPr>
          <w:rFonts w:ascii="宋体" w:hAnsi="宋体" w:eastAsia="宋体" w:cs="宋体"/>
          <w:spacing w:val="-5"/>
          <w:sz w:val="23"/>
          <w:szCs w:val="23"/>
        </w:rPr>
        <w:t>物贮存污染控制标准》  (</w:t>
      </w:r>
      <w:r>
        <w:rPr>
          <w:rFonts w:ascii="Times New Roman" w:hAnsi="Times New Roman" w:eastAsia="Times New Roman" w:cs="Times New Roman"/>
          <w:spacing w:val="-2"/>
          <w:sz w:val="23"/>
          <w:szCs w:val="23"/>
        </w:rPr>
        <w:t>G</w:t>
      </w:r>
      <w:r>
        <w:rPr>
          <w:rFonts w:ascii="Times New Roman" w:hAnsi="Times New Roman" w:eastAsia="Times New Roman" w:cs="Times New Roman"/>
          <w:sz w:val="23"/>
          <w:szCs w:val="23"/>
        </w:rPr>
        <w:t>B</w:t>
      </w:r>
      <w:r>
        <w:rPr>
          <w:rFonts w:ascii="Times New Roman" w:hAnsi="Times New Roman" w:eastAsia="Times New Roman" w:cs="Times New Roman"/>
          <w:spacing w:val="-5"/>
          <w:sz w:val="23"/>
          <w:szCs w:val="23"/>
        </w:rPr>
        <w:t>18597-2001</w:t>
      </w:r>
      <w:r>
        <w:rPr>
          <w:rFonts w:ascii="宋体" w:hAnsi="宋体" w:eastAsia="宋体" w:cs="宋体"/>
          <w:spacing w:val="-5"/>
          <w:sz w:val="23"/>
          <w:szCs w:val="23"/>
        </w:rPr>
        <w:t>，</w:t>
      </w:r>
      <w:r>
        <w:rPr>
          <w:rFonts w:ascii="Times New Roman" w:hAnsi="Times New Roman" w:eastAsia="Times New Roman" w:cs="Times New Roman"/>
          <w:spacing w:val="-5"/>
          <w:sz w:val="23"/>
          <w:szCs w:val="23"/>
        </w:rPr>
        <w:t xml:space="preserve">2013 </w:t>
      </w:r>
      <w:r>
        <w:rPr>
          <w:rFonts w:ascii="宋体" w:hAnsi="宋体" w:eastAsia="宋体" w:cs="宋体"/>
          <w:spacing w:val="-5"/>
          <w:sz w:val="23"/>
          <w:szCs w:val="23"/>
        </w:rPr>
        <w:t>年修订) 中的相关要求。</w:t>
      </w:r>
    </w:p>
    <w:p w14:paraId="1E968FA0">
      <w:pPr>
        <w:spacing w:before="81" w:line="223" w:lineRule="auto"/>
        <w:ind w:left="115"/>
        <w:outlineLvl w:val="1"/>
        <w:rPr>
          <w:rFonts w:ascii="宋体" w:hAnsi="宋体" w:eastAsia="宋体" w:cs="宋体"/>
          <w:sz w:val="31"/>
          <w:szCs w:val="31"/>
        </w:rPr>
      </w:pPr>
      <w:bookmarkStart w:id="12" w:name="_bookmark13"/>
      <w:bookmarkEnd w:id="12"/>
      <w:r>
        <w:rPr>
          <w:rFonts w:ascii="Times New Roman" w:hAnsi="Times New Roman" w:eastAsia="Times New Roman" w:cs="Times New Roman"/>
          <w:b/>
          <w:bCs/>
          <w:spacing w:val="-2"/>
          <w:sz w:val="31"/>
          <w:szCs w:val="31"/>
        </w:rPr>
        <w:t>2.6</w:t>
      </w:r>
      <w:r>
        <w:rPr>
          <w:rFonts w:ascii="Times New Roman" w:hAnsi="Times New Roman" w:eastAsia="Times New Roman" w:cs="Times New Roman"/>
          <w:spacing w:val="-2"/>
          <w:sz w:val="31"/>
          <w:szCs w:val="31"/>
        </w:rPr>
        <w:t xml:space="preserve">  </w:t>
      </w:r>
      <w:r>
        <w:rPr>
          <w:rFonts w:ascii="宋体" w:hAnsi="宋体" w:eastAsia="宋体" w:cs="宋体"/>
          <w:spacing w:val="-2"/>
          <w:sz w:val="31"/>
          <w:szCs w:val="31"/>
          <w14:textOutline w14:w="5793" w14:cap="sq" w14:cmpd="sng">
            <w14:solidFill>
              <w14:srgbClr w14:val="000000"/>
            </w14:solidFill>
            <w14:prstDash w14:val="solid"/>
            <w14:bevel/>
          </w14:textOutline>
        </w:rPr>
        <w:t>评价工作等级</w:t>
      </w:r>
      <w:r>
        <w:rPr>
          <w:rFonts w:ascii="宋体" w:hAnsi="宋体" w:eastAsia="宋体" w:cs="宋体"/>
          <w:spacing w:val="-1"/>
          <w:sz w:val="31"/>
          <w:szCs w:val="31"/>
          <w14:textOutline w14:w="5793" w14:cap="sq" w14:cmpd="sng">
            <w14:solidFill>
              <w14:srgbClr w14:val="000000"/>
            </w14:solidFill>
            <w14:prstDash w14:val="solid"/>
            <w14:bevel/>
          </w14:textOutline>
        </w:rPr>
        <w:t>与评价范围</w:t>
      </w:r>
    </w:p>
    <w:p w14:paraId="4C0AA379">
      <w:pPr>
        <w:spacing w:before="287" w:line="224" w:lineRule="auto"/>
        <w:ind w:left="115"/>
        <w:outlineLvl w:val="2"/>
        <w:rPr>
          <w:rFonts w:ascii="宋体" w:hAnsi="宋体" w:eastAsia="宋体" w:cs="宋体"/>
          <w:sz w:val="29"/>
          <w:szCs w:val="29"/>
        </w:rPr>
      </w:pPr>
      <w:r>
        <w:rPr>
          <w:rFonts w:ascii="Times New Roman" w:hAnsi="Times New Roman" w:eastAsia="Times New Roman" w:cs="Times New Roman"/>
          <w:b/>
          <w:bCs/>
          <w:spacing w:val="8"/>
          <w:sz w:val="29"/>
          <w:szCs w:val="29"/>
        </w:rPr>
        <w:t>2</w:t>
      </w:r>
      <w:r>
        <w:rPr>
          <w:rFonts w:ascii="Times New Roman" w:hAnsi="Times New Roman" w:eastAsia="Times New Roman" w:cs="Times New Roman"/>
          <w:b/>
          <w:bCs/>
          <w:spacing w:val="4"/>
          <w:sz w:val="29"/>
          <w:szCs w:val="29"/>
        </w:rPr>
        <w:t>.6.1</w:t>
      </w:r>
      <w:r>
        <w:rPr>
          <w:rFonts w:ascii="Times New Roman" w:hAnsi="Times New Roman" w:eastAsia="Times New Roman" w:cs="Times New Roman"/>
          <w:spacing w:val="4"/>
          <w:sz w:val="29"/>
          <w:szCs w:val="29"/>
        </w:rPr>
        <w:t xml:space="preserve"> </w:t>
      </w:r>
      <w:r>
        <w:rPr>
          <w:rFonts w:ascii="宋体" w:hAnsi="宋体" w:eastAsia="宋体" w:cs="宋体"/>
          <w:spacing w:val="4"/>
          <w:sz w:val="29"/>
          <w:szCs w:val="29"/>
          <w14:textOutline w14:w="5448" w14:cap="sq" w14:cmpd="sng">
            <w14:solidFill>
              <w14:srgbClr w14:val="000000"/>
            </w14:solidFill>
            <w14:prstDash w14:val="solid"/>
            <w14:bevel/>
          </w14:textOutline>
        </w:rPr>
        <w:t>评价工作等级</w:t>
      </w:r>
    </w:p>
    <w:p w14:paraId="4E45F874">
      <w:pPr>
        <w:spacing w:before="311" w:line="219" w:lineRule="auto"/>
        <w:ind w:left="114"/>
        <w:outlineLvl w:val="3"/>
        <w:rPr>
          <w:rFonts w:ascii="宋体" w:hAnsi="宋体" w:eastAsia="宋体" w:cs="宋体"/>
          <w:sz w:val="28"/>
          <w:szCs w:val="28"/>
        </w:rPr>
      </w:pPr>
      <w:r>
        <w:rPr>
          <w:rFonts w:ascii="Times New Roman" w:hAnsi="Times New Roman" w:eastAsia="Times New Roman" w:cs="Times New Roman"/>
          <w:b/>
          <w:bCs/>
          <w:spacing w:val="-1"/>
          <w:sz w:val="28"/>
          <w:szCs w:val="28"/>
        </w:rPr>
        <w:t>2.6.1.1</w:t>
      </w:r>
      <w:r>
        <w:rPr>
          <w:rFonts w:ascii="Times New Roman" w:hAnsi="Times New Roman" w:eastAsia="Times New Roman" w:cs="Times New Roman"/>
          <w:sz w:val="28"/>
          <w:szCs w:val="28"/>
        </w:rPr>
        <w:t xml:space="preserve">  </w:t>
      </w:r>
      <w:r>
        <w:rPr>
          <w:rFonts w:ascii="宋体" w:hAnsi="宋体" w:eastAsia="宋体" w:cs="宋体"/>
          <w:sz w:val="28"/>
          <w:szCs w:val="28"/>
          <w14:textOutline w14:w="5103" w14:cap="sq" w14:cmpd="sng">
            <w14:solidFill>
              <w14:srgbClr w14:val="000000"/>
            </w14:solidFill>
            <w14:prstDash w14:val="solid"/>
            <w14:bevel/>
          </w14:textOutline>
        </w:rPr>
        <w:t>环境空气评价工作等级</w:t>
      </w:r>
    </w:p>
    <w:p w14:paraId="79C71E59">
      <w:pPr>
        <w:spacing w:line="273" w:lineRule="auto"/>
        <w:rPr>
          <w:rFonts w:ascii="Arial"/>
          <w:sz w:val="21"/>
        </w:rPr>
      </w:pPr>
    </w:p>
    <w:p w14:paraId="799DBF3C">
      <w:pPr>
        <w:spacing w:before="76" w:line="392" w:lineRule="auto"/>
        <w:ind w:left="118" w:right="110" w:firstLine="450"/>
        <w:rPr>
          <w:rFonts w:ascii="宋体" w:hAnsi="宋体" w:eastAsia="宋体" w:cs="宋体"/>
          <w:sz w:val="23"/>
          <w:szCs w:val="23"/>
        </w:rPr>
      </w:pPr>
      <w:r>
        <w:rPr>
          <w:rFonts w:ascii="宋体" w:hAnsi="宋体" w:eastAsia="宋体" w:cs="宋体"/>
          <w:spacing w:val="-6"/>
          <w:sz w:val="23"/>
          <w:szCs w:val="23"/>
        </w:rPr>
        <w:t>根据</w:t>
      </w:r>
      <w:r>
        <w:rPr>
          <w:rFonts w:ascii="宋体" w:hAnsi="宋体" w:eastAsia="宋体" w:cs="宋体"/>
          <w:spacing w:val="-5"/>
          <w:sz w:val="23"/>
          <w:szCs w:val="23"/>
        </w:rPr>
        <w:t>《</w:t>
      </w:r>
      <w:r>
        <w:rPr>
          <w:rFonts w:ascii="宋体" w:hAnsi="宋体" w:eastAsia="宋体" w:cs="宋体"/>
          <w:spacing w:val="-3"/>
          <w:sz w:val="23"/>
          <w:szCs w:val="23"/>
        </w:rPr>
        <w:t>环境影响评价技术导则 大气环境》  (</w:t>
      </w:r>
      <w:r>
        <w:rPr>
          <w:rFonts w:ascii="Times New Roman" w:hAnsi="Times New Roman" w:eastAsia="Times New Roman" w:cs="Times New Roman"/>
          <w:spacing w:val="-3"/>
          <w:sz w:val="23"/>
          <w:szCs w:val="23"/>
        </w:rPr>
        <w:t>HJ2.2-2018</w:t>
      </w:r>
      <w:r>
        <w:rPr>
          <w:rFonts w:ascii="宋体" w:hAnsi="宋体" w:eastAsia="宋体" w:cs="宋体"/>
          <w:spacing w:val="-3"/>
          <w:sz w:val="23"/>
          <w:szCs w:val="23"/>
        </w:rPr>
        <w:t>) 有关规定，将大气环</w:t>
      </w:r>
      <w:r>
        <w:rPr>
          <w:rFonts w:ascii="宋体" w:hAnsi="宋体" w:eastAsia="宋体" w:cs="宋体"/>
          <w:sz w:val="23"/>
          <w:szCs w:val="23"/>
        </w:rPr>
        <w:t xml:space="preserve"> </w:t>
      </w:r>
      <w:r>
        <w:rPr>
          <w:rFonts w:ascii="宋体" w:hAnsi="宋体" w:eastAsia="宋体" w:cs="宋体"/>
          <w:spacing w:val="-5"/>
          <w:sz w:val="23"/>
          <w:szCs w:val="23"/>
        </w:rPr>
        <w:t xml:space="preserve">境影响评价工作等级分为一、二、三级，划分依据见表 </w:t>
      </w:r>
      <w:r>
        <w:rPr>
          <w:rFonts w:ascii="Times New Roman" w:hAnsi="Times New Roman" w:eastAsia="Times New Roman" w:cs="Times New Roman"/>
          <w:spacing w:val="-5"/>
          <w:sz w:val="23"/>
          <w:szCs w:val="23"/>
        </w:rPr>
        <w:t>2-14</w:t>
      </w:r>
      <w:r>
        <w:rPr>
          <w:rFonts w:ascii="宋体" w:hAnsi="宋体" w:eastAsia="宋体" w:cs="宋体"/>
          <w:spacing w:val="-4"/>
          <w:sz w:val="23"/>
          <w:szCs w:val="23"/>
        </w:rPr>
        <w:t>。</w:t>
      </w:r>
    </w:p>
    <w:p w14:paraId="2F4E4895">
      <w:pPr>
        <w:spacing w:before="150" w:line="226" w:lineRule="auto"/>
        <w:ind w:left="2878"/>
        <w:rPr>
          <w:rFonts w:ascii="宋体" w:hAnsi="宋体" w:eastAsia="宋体" w:cs="宋体"/>
          <w:sz w:val="23"/>
          <w:szCs w:val="23"/>
        </w:rPr>
      </w:pPr>
      <w:r>
        <w:rPr>
          <w:rFonts w:ascii="宋体" w:hAnsi="宋体" w:eastAsia="宋体" w:cs="宋体"/>
          <w:spacing w:val="-2"/>
          <w:sz w:val="23"/>
          <w:szCs w:val="23"/>
          <w14:textOutline w14:w="4358" w14:cap="sq" w14:cmpd="sng">
            <w14:solidFill>
              <w14:srgbClr w14:val="000000"/>
            </w14:solidFill>
            <w14:prstDash w14:val="solid"/>
            <w14:bevel/>
          </w14:textOutline>
        </w:rPr>
        <w:t>表</w:t>
      </w:r>
      <w:r>
        <w:rPr>
          <w:rFonts w:ascii="宋体" w:hAnsi="宋体" w:eastAsia="宋体" w:cs="宋体"/>
          <w:spacing w:val="-2"/>
          <w:sz w:val="23"/>
          <w:szCs w:val="23"/>
        </w:rPr>
        <w:t xml:space="preserve"> </w:t>
      </w:r>
      <w:r>
        <w:rPr>
          <w:rFonts w:ascii="Times New Roman" w:hAnsi="Times New Roman" w:eastAsia="Times New Roman" w:cs="Times New Roman"/>
          <w:b/>
          <w:bCs/>
          <w:spacing w:val="-2"/>
          <w:sz w:val="23"/>
          <w:szCs w:val="23"/>
        </w:rPr>
        <w:t>2-14</w:t>
      </w:r>
      <w:r>
        <w:rPr>
          <w:rFonts w:ascii="Times New Roman" w:hAnsi="Times New Roman" w:eastAsia="Times New Roman" w:cs="Times New Roman"/>
          <w:spacing w:val="-2"/>
          <w:sz w:val="23"/>
          <w:szCs w:val="23"/>
        </w:rPr>
        <w:t xml:space="preserve">    </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14:textOutline w14:w="4358" w14:cap="sq" w14:cmpd="sng">
            <w14:solidFill>
              <w14:srgbClr w14:val="000000"/>
            </w14:solidFill>
            <w14:prstDash w14:val="solid"/>
            <w14:bevel/>
          </w14:textOutline>
        </w:rPr>
        <w:t>大气评价等级确定表</w:t>
      </w:r>
    </w:p>
    <w:p w14:paraId="552FEB22">
      <w:pPr>
        <w:spacing w:line="20"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61"/>
        <w:gridCol w:w="4261"/>
      </w:tblGrid>
      <w:tr w14:paraId="1FE25D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4261" w:type="dxa"/>
            <w:tcBorders>
              <w:left w:val="nil"/>
            </w:tcBorders>
            <w:vAlign w:val="top"/>
          </w:tcPr>
          <w:p w14:paraId="61EB6EF2">
            <w:pPr>
              <w:spacing w:before="87" w:line="226" w:lineRule="auto"/>
              <w:ind w:left="1300"/>
              <w:rPr>
                <w:rFonts w:ascii="宋体" w:hAnsi="宋体" w:eastAsia="宋体" w:cs="宋体"/>
                <w:sz w:val="20"/>
                <w:szCs w:val="20"/>
              </w:rPr>
            </w:pPr>
            <w:r>
              <w:rPr>
                <w:rFonts w:ascii="宋体" w:hAnsi="宋体" w:eastAsia="宋体" w:cs="宋体"/>
                <w:spacing w:val="12"/>
                <w:sz w:val="20"/>
                <w:szCs w:val="20"/>
                <w14:textOutline w14:w="3795" w14:cap="sq" w14:cmpd="sng">
                  <w14:solidFill>
                    <w14:srgbClr w14:val="000000"/>
                  </w14:solidFill>
                  <w14:prstDash w14:val="solid"/>
                  <w14:bevel/>
                </w14:textOutline>
              </w:rPr>
              <w:t>评</w:t>
            </w:r>
            <w:r>
              <w:rPr>
                <w:rFonts w:ascii="宋体" w:hAnsi="宋体" w:eastAsia="宋体" w:cs="宋体"/>
                <w:spacing w:val="8"/>
                <w:sz w:val="20"/>
                <w:szCs w:val="20"/>
                <w14:textOutline w14:w="3795" w14:cap="sq" w14:cmpd="sng">
                  <w14:solidFill>
                    <w14:srgbClr w14:val="000000"/>
                  </w14:solidFill>
                  <w14:prstDash w14:val="solid"/>
                  <w14:bevel/>
                </w14:textOutline>
              </w:rPr>
              <w:t>价工作等级判据</w:t>
            </w:r>
          </w:p>
        </w:tc>
        <w:tc>
          <w:tcPr>
            <w:tcW w:w="4261" w:type="dxa"/>
            <w:tcBorders>
              <w:right w:val="nil"/>
            </w:tcBorders>
            <w:vAlign w:val="top"/>
          </w:tcPr>
          <w:p w14:paraId="36C5B0AF">
            <w:pPr>
              <w:spacing w:before="87" w:line="226" w:lineRule="auto"/>
              <w:ind w:left="1508"/>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评</w:t>
            </w:r>
            <w:r>
              <w:rPr>
                <w:rFonts w:ascii="宋体" w:hAnsi="宋体" w:eastAsia="宋体" w:cs="宋体"/>
                <w:spacing w:val="8"/>
                <w:sz w:val="20"/>
                <w:szCs w:val="20"/>
                <w14:textOutline w14:w="3795" w14:cap="sq" w14:cmpd="sng">
                  <w14:solidFill>
                    <w14:srgbClr w14:val="000000"/>
                  </w14:solidFill>
                  <w14:prstDash w14:val="solid"/>
                  <w14:bevel/>
                </w14:textOutline>
              </w:rPr>
              <w:t>价工作等级</w:t>
            </w:r>
          </w:p>
        </w:tc>
      </w:tr>
      <w:tr w14:paraId="30D5A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4261" w:type="dxa"/>
            <w:tcBorders>
              <w:left w:val="nil"/>
            </w:tcBorders>
            <w:vAlign w:val="top"/>
          </w:tcPr>
          <w:p w14:paraId="7B7308EB">
            <w:pPr>
              <w:spacing w:before="26" w:line="281" w:lineRule="exact"/>
              <w:ind w:left="171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P</w:t>
            </w:r>
            <w:r>
              <w:rPr>
                <w:rFonts w:ascii="Times New Roman" w:hAnsi="Times New Roman" w:eastAsia="Times New Roman" w:cs="Times New Roman"/>
                <w:spacing w:val="-2"/>
                <w:position w:val="1"/>
                <w:sz w:val="13"/>
                <w:szCs w:val="13"/>
              </w:rPr>
              <w:t>max</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spacing w:val="-2"/>
                <w:position w:val="2"/>
                <w:sz w:val="20"/>
                <w:szCs w:val="20"/>
              </w:rPr>
              <w:t xml:space="preserve"> 10%</w:t>
            </w:r>
          </w:p>
        </w:tc>
        <w:tc>
          <w:tcPr>
            <w:tcW w:w="4261" w:type="dxa"/>
            <w:tcBorders>
              <w:right w:val="nil"/>
            </w:tcBorders>
            <w:vAlign w:val="top"/>
          </w:tcPr>
          <w:p w14:paraId="52614567">
            <w:pPr>
              <w:spacing w:before="63" w:line="271" w:lineRule="exact"/>
              <w:ind w:left="1930"/>
              <w:rPr>
                <w:rFonts w:ascii="宋体" w:hAnsi="宋体" w:eastAsia="宋体" w:cs="宋体"/>
                <w:sz w:val="20"/>
                <w:szCs w:val="20"/>
              </w:rPr>
            </w:pPr>
            <w:r>
              <w:rPr>
                <w:rFonts w:ascii="宋体" w:hAnsi="宋体" w:eastAsia="宋体" w:cs="宋体"/>
                <w:spacing w:val="4"/>
                <w:sz w:val="20"/>
                <w:szCs w:val="20"/>
              </w:rPr>
              <w:t>一级</w:t>
            </w:r>
          </w:p>
        </w:tc>
      </w:tr>
      <w:tr w14:paraId="796FCE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4261" w:type="dxa"/>
            <w:tcBorders>
              <w:left w:val="nil"/>
            </w:tcBorders>
            <w:vAlign w:val="top"/>
          </w:tcPr>
          <w:p w14:paraId="5772D73F">
            <w:pPr>
              <w:spacing w:before="27" w:line="281" w:lineRule="exact"/>
              <w:ind w:left="1490"/>
              <w:rPr>
                <w:rFonts w:ascii="Times New Roman" w:hAnsi="Times New Roman" w:eastAsia="Times New Roman" w:cs="Times New Roman"/>
                <w:sz w:val="20"/>
                <w:szCs w:val="20"/>
              </w:rPr>
            </w:pPr>
            <w:r>
              <w:rPr>
                <w:rFonts w:ascii="Times New Roman" w:hAnsi="Times New Roman" w:eastAsia="Times New Roman" w:cs="Times New Roman"/>
                <w:spacing w:val="6"/>
                <w:position w:val="2"/>
                <w:sz w:val="20"/>
                <w:szCs w:val="20"/>
              </w:rPr>
              <w:t>1</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position w:val="2"/>
                <w:sz w:val="20"/>
                <w:szCs w:val="20"/>
              </w:rPr>
              <w:t>P</w:t>
            </w:r>
            <w:r>
              <w:rPr>
                <w:rFonts w:ascii="Times New Roman" w:hAnsi="Times New Roman" w:eastAsia="Times New Roman" w:cs="Times New Roman"/>
                <w:position w:val="1"/>
                <w:sz w:val="13"/>
                <w:szCs w:val="13"/>
              </w:rPr>
              <w:t>max</w:t>
            </w:r>
            <w:r>
              <w:rPr>
                <w:rFonts w:ascii="宋体" w:hAnsi="宋体" w:eastAsia="宋体" w:cs="宋体"/>
                <w:spacing w:val="4"/>
                <w:position w:val="2"/>
                <w:sz w:val="20"/>
                <w:szCs w:val="20"/>
              </w:rPr>
              <w:t>＜</w:t>
            </w:r>
            <w:r>
              <w:rPr>
                <w:rFonts w:ascii="Times New Roman" w:hAnsi="Times New Roman" w:eastAsia="Times New Roman" w:cs="Times New Roman"/>
                <w:spacing w:val="4"/>
                <w:position w:val="2"/>
                <w:sz w:val="20"/>
                <w:szCs w:val="20"/>
              </w:rPr>
              <w:t>10%</w:t>
            </w:r>
          </w:p>
        </w:tc>
        <w:tc>
          <w:tcPr>
            <w:tcW w:w="4261" w:type="dxa"/>
            <w:tcBorders>
              <w:right w:val="nil"/>
            </w:tcBorders>
            <w:vAlign w:val="top"/>
          </w:tcPr>
          <w:p w14:paraId="176A22E4">
            <w:pPr>
              <w:spacing w:before="65" w:line="230" w:lineRule="auto"/>
              <w:ind w:left="1930"/>
              <w:rPr>
                <w:rFonts w:ascii="宋体" w:hAnsi="宋体" w:eastAsia="宋体" w:cs="宋体"/>
                <w:sz w:val="20"/>
                <w:szCs w:val="20"/>
              </w:rPr>
            </w:pPr>
            <w:r>
              <w:rPr>
                <w:rFonts w:ascii="宋体" w:hAnsi="宋体" w:eastAsia="宋体" w:cs="宋体"/>
                <w:spacing w:val="3"/>
                <w:sz w:val="20"/>
                <w:szCs w:val="20"/>
              </w:rPr>
              <w:t>二级</w:t>
            </w:r>
          </w:p>
        </w:tc>
      </w:tr>
      <w:tr w14:paraId="3D1717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4261" w:type="dxa"/>
            <w:tcBorders>
              <w:left w:val="nil"/>
            </w:tcBorders>
            <w:vAlign w:val="top"/>
          </w:tcPr>
          <w:p w14:paraId="63CAC473">
            <w:pPr>
              <w:spacing w:before="27" w:line="281" w:lineRule="exact"/>
              <w:ind w:left="171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P</w:t>
            </w:r>
            <w:r>
              <w:rPr>
                <w:rFonts w:ascii="Times New Roman" w:hAnsi="Times New Roman" w:eastAsia="Times New Roman" w:cs="Times New Roman"/>
                <w:position w:val="1"/>
                <w:sz w:val="13"/>
                <w:szCs w:val="13"/>
              </w:rPr>
              <w:t>max</w:t>
            </w:r>
            <w:r>
              <w:rPr>
                <w:rFonts w:ascii="宋体" w:hAnsi="宋体" w:eastAsia="宋体" w:cs="宋体"/>
                <w:spacing w:val="11"/>
                <w:position w:val="2"/>
                <w:sz w:val="20"/>
                <w:szCs w:val="20"/>
              </w:rPr>
              <w:t>＜</w:t>
            </w:r>
            <w:r>
              <w:rPr>
                <w:rFonts w:ascii="Times New Roman" w:hAnsi="Times New Roman" w:eastAsia="Times New Roman" w:cs="Times New Roman"/>
                <w:spacing w:val="10"/>
                <w:position w:val="2"/>
                <w:sz w:val="20"/>
                <w:szCs w:val="20"/>
              </w:rPr>
              <w:t>1%</w:t>
            </w:r>
          </w:p>
        </w:tc>
        <w:tc>
          <w:tcPr>
            <w:tcW w:w="4261" w:type="dxa"/>
            <w:tcBorders>
              <w:right w:val="nil"/>
            </w:tcBorders>
            <w:vAlign w:val="top"/>
          </w:tcPr>
          <w:p w14:paraId="5EB14A41">
            <w:pPr>
              <w:spacing w:before="64" w:line="230" w:lineRule="auto"/>
              <w:ind w:left="1927"/>
              <w:rPr>
                <w:rFonts w:ascii="宋体" w:hAnsi="宋体" w:eastAsia="宋体" w:cs="宋体"/>
                <w:sz w:val="20"/>
                <w:szCs w:val="20"/>
              </w:rPr>
            </w:pPr>
            <w:r>
              <w:rPr>
                <w:rFonts w:ascii="宋体" w:hAnsi="宋体" w:eastAsia="宋体" w:cs="宋体"/>
                <w:spacing w:val="5"/>
                <w:sz w:val="20"/>
                <w:szCs w:val="20"/>
              </w:rPr>
              <w:t>三</w:t>
            </w:r>
            <w:r>
              <w:rPr>
                <w:rFonts w:ascii="宋体" w:hAnsi="宋体" w:eastAsia="宋体" w:cs="宋体"/>
                <w:spacing w:val="4"/>
                <w:sz w:val="20"/>
                <w:szCs w:val="20"/>
              </w:rPr>
              <w:t>级</w:t>
            </w:r>
          </w:p>
        </w:tc>
      </w:tr>
    </w:tbl>
    <w:p w14:paraId="166EBBE2">
      <w:pPr>
        <w:spacing w:before="301" w:line="398" w:lineRule="auto"/>
        <w:ind w:left="117" w:right="107" w:firstLine="450"/>
        <w:rPr>
          <w:rFonts w:ascii="宋体" w:hAnsi="宋体" w:eastAsia="宋体" w:cs="宋体"/>
          <w:sz w:val="23"/>
          <w:szCs w:val="23"/>
        </w:rPr>
      </w:pPr>
      <w:r>
        <w:rPr>
          <w:rFonts w:ascii="宋体" w:hAnsi="宋体" w:eastAsia="宋体" w:cs="宋体"/>
          <w:spacing w:val="-8"/>
          <w:sz w:val="23"/>
          <w:szCs w:val="23"/>
        </w:rPr>
        <w:t xml:space="preserve">评价工作等级按表 </w:t>
      </w:r>
      <w:r>
        <w:rPr>
          <w:rFonts w:ascii="Times New Roman" w:hAnsi="Times New Roman" w:eastAsia="Times New Roman" w:cs="Times New Roman"/>
          <w:spacing w:val="-8"/>
          <w:sz w:val="23"/>
          <w:szCs w:val="23"/>
        </w:rPr>
        <w:t xml:space="preserve">2- 14 </w:t>
      </w:r>
      <w:r>
        <w:rPr>
          <w:rFonts w:ascii="宋体" w:hAnsi="宋体" w:eastAsia="宋体" w:cs="宋体"/>
          <w:spacing w:val="-8"/>
          <w:sz w:val="23"/>
          <w:szCs w:val="23"/>
        </w:rPr>
        <w:t xml:space="preserve">的分级判据进行划分，如污染物 </w:t>
      </w:r>
      <w:r>
        <w:rPr>
          <w:rFonts w:ascii="Times New Roman" w:hAnsi="Times New Roman" w:eastAsia="Times New Roman" w:cs="Times New Roman"/>
          <w:spacing w:val="-8"/>
          <w:sz w:val="23"/>
          <w:szCs w:val="23"/>
        </w:rPr>
        <w:t xml:space="preserve">i </w:t>
      </w:r>
      <w:r>
        <w:rPr>
          <w:rFonts w:ascii="宋体" w:hAnsi="宋体" w:eastAsia="宋体" w:cs="宋体"/>
          <w:spacing w:val="-8"/>
          <w:sz w:val="23"/>
          <w:szCs w:val="23"/>
        </w:rPr>
        <w:t xml:space="preserve">大于 </w:t>
      </w:r>
      <w:r>
        <w:rPr>
          <w:rFonts w:ascii="Times New Roman" w:hAnsi="Times New Roman" w:eastAsia="Times New Roman" w:cs="Times New Roman"/>
          <w:spacing w:val="-8"/>
          <w:sz w:val="23"/>
          <w:szCs w:val="23"/>
        </w:rPr>
        <w:t xml:space="preserve">1 </w:t>
      </w:r>
      <w:r>
        <w:rPr>
          <w:rFonts w:ascii="宋体" w:hAnsi="宋体" w:eastAsia="宋体" w:cs="宋体"/>
          <w:spacing w:val="-8"/>
          <w:sz w:val="23"/>
          <w:szCs w:val="23"/>
        </w:rPr>
        <w:t xml:space="preserve">，取 </w:t>
      </w:r>
      <w:r>
        <w:rPr>
          <w:rFonts w:ascii="Times New Roman" w:hAnsi="Times New Roman" w:eastAsia="Times New Roman" w:cs="Times New Roman"/>
          <w:spacing w:val="-8"/>
          <w:sz w:val="23"/>
          <w:szCs w:val="23"/>
        </w:rPr>
        <w:t xml:space="preserve">Pi </w:t>
      </w:r>
      <w:r>
        <w:rPr>
          <w:rFonts w:ascii="宋体" w:hAnsi="宋体" w:eastAsia="宋体" w:cs="宋体"/>
          <w:spacing w:val="-8"/>
          <w:sz w:val="23"/>
          <w:szCs w:val="23"/>
        </w:rPr>
        <w:t>值最大</w:t>
      </w:r>
      <w:r>
        <w:rPr>
          <w:rFonts w:ascii="宋体" w:hAnsi="宋体" w:eastAsia="宋体" w:cs="宋体"/>
          <w:sz w:val="23"/>
          <w:szCs w:val="23"/>
        </w:rPr>
        <w:t xml:space="preserve"> </w:t>
      </w:r>
      <w:r>
        <w:rPr>
          <w:rFonts w:ascii="宋体" w:hAnsi="宋体" w:eastAsia="宋体" w:cs="宋体"/>
          <w:spacing w:val="-2"/>
          <w:sz w:val="23"/>
          <w:szCs w:val="23"/>
        </w:rPr>
        <w:t>者 (</w:t>
      </w:r>
      <w:r>
        <w:rPr>
          <w:rFonts w:ascii="Times New Roman" w:hAnsi="Times New Roman" w:eastAsia="Times New Roman" w:cs="Times New Roman"/>
          <w:spacing w:val="-1"/>
          <w:sz w:val="23"/>
          <w:szCs w:val="23"/>
        </w:rPr>
        <w:t>Pmax</w:t>
      </w:r>
      <w:r>
        <w:rPr>
          <w:rFonts w:ascii="宋体" w:hAnsi="宋体" w:eastAsia="宋体" w:cs="宋体"/>
          <w:spacing w:val="-2"/>
          <w:sz w:val="23"/>
          <w:szCs w:val="23"/>
        </w:rPr>
        <w:t xml:space="preserve">) </w:t>
      </w:r>
      <w:r>
        <w:rPr>
          <w:rFonts w:ascii="宋体" w:hAnsi="宋体" w:eastAsia="宋体" w:cs="宋体"/>
          <w:spacing w:val="-1"/>
          <w:sz w:val="23"/>
          <w:szCs w:val="23"/>
        </w:rPr>
        <w:t>。同一项目有多个 (两个以上，含两个) 污染源时，则按各污染源分别</w:t>
      </w:r>
      <w:r>
        <w:rPr>
          <w:rFonts w:ascii="宋体" w:hAnsi="宋体" w:eastAsia="宋体" w:cs="宋体"/>
          <w:sz w:val="23"/>
          <w:szCs w:val="23"/>
        </w:rPr>
        <w:t xml:space="preserve"> </w:t>
      </w:r>
      <w:r>
        <w:rPr>
          <w:rFonts w:ascii="宋体" w:hAnsi="宋体" w:eastAsia="宋体" w:cs="宋体"/>
          <w:spacing w:val="-3"/>
          <w:sz w:val="23"/>
          <w:szCs w:val="23"/>
        </w:rPr>
        <w:t>确定其评价等级，并取评价级别最高者作为项目的评价等级。</w:t>
      </w:r>
    </w:p>
    <w:p w14:paraId="77AD0501">
      <w:pPr>
        <w:spacing w:before="162" w:line="390" w:lineRule="auto"/>
        <w:ind w:left="115" w:right="95" w:firstLine="429"/>
        <w:rPr>
          <w:rFonts w:ascii="宋体" w:hAnsi="宋体" w:eastAsia="宋体" w:cs="宋体"/>
          <w:sz w:val="23"/>
          <w:szCs w:val="23"/>
        </w:rPr>
      </w:pPr>
      <w:r>
        <w:rPr>
          <w:rFonts w:ascii="宋体" w:hAnsi="宋体" w:eastAsia="宋体" w:cs="宋体"/>
          <w:spacing w:val="-24"/>
          <w:sz w:val="23"/>
          <w:szCs w:val="23"/>
        </w:rPr>
        <w:t>根据</w:t>
      </w:r>
      <w:r>
        <w:rPr>
          <w:rFonts w:ascii="宋体" w:hAnsi="宋体" w:eastAsia="宋体" w:cs="宋体"/>
          <w:spacing w:val="-23"/>
          <w:sz w:val="23"/>
          <w:szCs w:val="23"/>
        </w:rPr>
        <w:t>《</w:t>
      </w:r>
      <w:r>
        <w:rPr>
          <w:rFonts w:ascii="宋体" w:hAnsi="宋体" w:eastAsia="宋体" w:cs="宋体"/>
          <w:spacing w:val="-12"/>
          <w:sz w:val="23"/>
          <w:szCs w:val="23"/>
        </w:rPr>
        <w:t>环境影响评价技术导则</w:t>
      </w:r>
      <w:r>
        <w:rPr>
          <w:rFonts w:ascii="Times New Roman" w:hAnsi="Times New Roman" w:eastAsia="Times New Roman" w:cs="Times New Roman"/>
          <w:spacing w:val="-12"/>
          <w:sz w:val="23"/>
          <w:szCs w:val="23"/>
        </w:rPr>
        <w:t>—</w:t>
      </w:r>
      <w:r>
        <w:rPr>
          <w:rFonts w:ascii="宋体" w:hAnsi="宋体" w:eastAsia="宋体" w:cs="宋体"/>
          <w:spacing w:val="-12"/>
          <w:sz w:val="23"/>
          <w:szCs w:val="23"/>
        </w:rPr>
        <w:t>大气环境》 (</w:t>
      </w:r>
      <w:r>
        <w:rPr>
          <w:rFonts w:ascii="Times New Roman" w:hAnsi="Times New Roman" w:eastAsia="Times New Roman" w:cs="Times New Roman"/>
          <w:spacing w:val="-12"/>
          <w:sz w:val="23"/>
          <w:szCs w:val="23"/>
        </w:rPr>
        <w:t>HJ2.2-2018</w:t>
      </w:r>
      <w:r>
        <w:rPr>
          <w:rFonts w:ascii="宋体" w:hAnsi="宋体" w:eastAsia="宋体" w:cs="宋体"/>
          <w:spacing w:val="-12"/>
          <w:sz w:val="23"/>
          <w:szCs w:val="23"/>
        </w:rPr>
        <w:t>) ，大气评价工作等级采用</w:t>
      </w:r>
      <w:r>
        <w:rPr>
          <w:rFonts w:ascii="宋体" w:hAnsi="宋体" w:eastAsia="宋体" w:cs="宋体"/>
          <w:sz w:val="23"/>
          <w:szCs w:val="23"/>
        </w:rPr>
        <w:t xml:space="preserve"> </w:t>
      </w:r>
      <w:r>
        <w:rPr>
          <w:rFonts w:ascii="宋体" w:hAnsi="宋体" w:eastAsia="宋体" w:cs="宋体"/>
          <w:spacing w:val="-11"/>
          <w:sz w:val="23"/>
          <w:szCs w:val="23"/>
        </w:rPr>
        <w:t>附录</w:t>
      </w:r>
      <w:r>
        <w:rPr>
          <w:rFonts w:ascii="Times New Roman" w:hAnsi="Times New Roman" w:eastAsia="Times New Roman" w:cs="Times New Roman"/>
          <w:spacing w:val="-5"/>
          <w:sz w:val="23"/>
          <w:szCs w:val="23"/>
        </w:rPr>
        <w:t>A</w:t>
      </w:r>
      <w:r>
        <w:rPr>
          <w:rFonts w:ascii="Times New Roman" w:hAnsi="Times New Roman" w:eastAsia="Times New Roman" w:cs="Times New Roman"/>
          <w:spacing w:val="-11"/>
          <w:sz w:val="23"/>
          <w:szCs w:val="23"/>
        </w:rPr>
        <w:t xml:space="preserve"> </w:t>
      </w:r>
      <w:r>
        <w:rPr>
          <w:rFonts w:ascii="宋体" w:hAnsi="宋体" w:eastAsia="宋体" w:cs="宋体"/>
          <w:spacing w:val="-11"/>
          <w:sz w:val="23"/>
          <w:szCs w:val="23"/>
        </w:rPr>
        <w:t>推荐模型中估算模型计算项目污染源的最大环境影响，然后按评价工作分级判据</w:t>
      </w:r>
      <w:r>
        <w:rPr>
          <w:rFonts w:ascii="宋体" w:hAnsi="宋体" w:eastAsia="宋体" w:cs="宋体"/>
          <w:sz w:val="23"/>
          <w:szCs w:val="23"/>
        </w:rPr>
        <w:t xml:space="preserve"> </w:t>
      </w:r>
      <w:r>
        <w:rPr>
          <w:rFonts w:ascii="宋体" w:hAnsi="宋体" w:eastAsia="宋体" w:cs="宋体"/>
          <w:spacing w:val="-16"/>
          <w:sz w:val="23"/>
          <w:szCs w:val="23"/>
        </w:rPr>
        <w:t>进</w:t>
      </w:r>
      <w:r>
        <w:rPr>
          <w:rFonts w:ascii="宋体" w:hAnsi="宋体" w:eastAsia="宋体" w:cs="宋体"/>
          <w:spacing w:val="-15"/>
          <w:sz w:val="23"/>
          <w:szCs w:val="23"/>
        </w:rPr>
        <w:t>行</w:t>
      </w:r>
      <w:r>
        <w:rPr>
          <w:rFonts w:ascii="宋体" w:hAnsi="宋体" w:eastAsia="宋体" w:cs="宋体"/>
          <w:spacing w:val="-8"/>
          <w:sz w:val="23"/>
          <w:szCs w:val="23"/>
        </w:rPr>
        <w:t>分级。由工程分析计算结果，计算最大地面空气质量浓度占标</w:t>
      </w:r>
      <w:r>
        <w:rPr>
          <w:rFonts w:ascii="Times New Roman" w:hAnsi="Times New Roman" w:eastAsia="Times New Roman" w:cs="Times New Roman"/>
          <w:spacing w:val="-8"/>
          <w:sz w:val="23"/>
          <w:szCs w:val="23"/>
        </w:rPr>
        <w:t xml:space="preserve">Pi </w:t>
      </w:r>
      <w:r>
        <w:rPr>
          <w:rFonts w:ascii="宋体" w:hAnsi="宋体" w:eastAsia="宋体" w:cs="宋体"/>
          <w:spacing w:val="-8"/>
          <w:sz w:val="23"/>
          <w:szCs w:val="23"/>
        </w:rPr>
        <w:t>及第</w:t>
      </w:r>
      <w:r>
        <w:rPr>
          <w:rFonts w:ascii="Times New Roman" w:hAnsi="Times New Roman" w:eastAsia="Times New Roman" w:cs="Times New Roman"/>
          <w:spacing w:val="-8"/>
          <w:sz w:val="23"/>
          <w:szCs w:val="23"/>
        </w:rPr>
        <w:t xml:space="preserve">i </w:t>
      </w:r>
      <w:r>
        <w:rPr>
          <w:rFonts w:ascii="宋体" w:hAnsi="宋体" w:eastAsia="宋体" w:cs="宋体"/>
          <w:spacing w:val="-8"/>
          <w:sz w:val="23"/>
          <w:szCs w:val="23"/>
        </w:rPr>
        <w:t>个污染物的</w:t>
      </w:r>
      <w:r>
        <w:rPr>
          <w:rFonts w:ascii="宋体" w:hAnsi="宋体" w:eastAsia="宋体" w:cs="宋体"/>
          <w:sz w:val="23"/>
          <w:szCs w:val="23"/>
        </w:rPr>
        <w:t xml:space="preserve"> </w:t>
      </w:r>
      <w:r>
        <w:rPr>
          <w:rFonts w:ascii="宋体" w:hAnsi="宋体" w:eastAsia="宋体" w:cs="宋体"/>
          <w:spacing w:val="-12"/>
          <w:sz w:val="23"/>
          <w:szCs w:val="23"/>
        </w:rPr>
        <w:t>地</w:t>
      </w:r>
      <w:r>
        <w:rPr>
          <w:rFonts w:ascii="宋体" w:hAnsi="宋体" w:eastAsia="宋体" w:cs="宋体"/>
          <w:spacing w:val="-8"/>
          <w:sz w:val="23"/>
          <w:szCs w:val="23"/>
        </w:rPr>
        <w:t>面空气质量浓度达标准值</w:t>
      </w:r>
      <w:r>
        <w:rPr>
          <w:rFonts w:ascii="Times New Roman" w:hAnsi="Times New Roman" w:eastAsia="Times New Roman" w:cs="Times New Roman"/>
          <w:spacing w:val="-8"/>
          <w:sz w:val="23"/>
          <w:szCs w:val="23"/>
        </w:rPr>
        <w:t>10%</w:t>
      </w:r>
      <w:r>
        <w:rPr>
          <w:rFonts w:ascii="宋体" w:hAnsi="宋体" w:eastAsia="宋体" w:cs="宋体"/>
          <w:spacing w:val="-8"/>
          <w:sz w:val="23"/>
          <w:szCs w:val="23"/>
        </w:rPr>
        <w:t>时所对应的最远距离</w:t>
      </w:r>
      <w:r>
        <w:rPr>
          <w:rFonts w:ascii="Times New Roman" w:hAnsi="Times New Roman" w:eastAsia="Times New Roman" w:cs="Times New Roman"/>
          <w:spacing w:val="-8"/>
          <w:sz w:val="23"/>
          <w:szCs w:val="23"/>
        </w:rPr>
        <w:t>D</w:t>
      </w:r>
      <w:r>
        <w:rPr>
          <w:rFonts w:ascii="Times New Roman" w:hAnsi="Times New Roman" w:eastAsia="Times New Roman" w:cs="Times New Roman"/>
          <w:spacing w:val="-8"/>
          <w:position w:val="-1"/>
          <w:sz w:val="15"/>
          <w:szCs w:val="15"/>
        </w:rPr>
        <w:t>10%</w:t>
      </w:r>
      <w:r>
        <w:rPr>
          <w:rFonts w:ascii="宋体" w:hAnsi="宋体" w:eastAsia="宋体" w:cs="宋体"/>
          <w:spacing w:val="-8"/>
          <w:sz w:val="23"/>
          <w:szCs w:val="23"/>
        </w:rPr>
        <w:t>。其中</w:t>
      </w:r>
      <w:r>
        <w:rPr>
          <w:rFonts w:ascii="Times New Roman" w:hAnsi="Times New Roman" w:eastAsia="Times New Roman" w:cs="Times New Roman"/>
          <w:spacing w:val="-8"/>
          <w:sz w:val="23"/>
          <w:szCs w:val="23"/>
        </w:rPr>
        <w:t>P</w:t>
      </w:r>
      <w:r>
        <w:rPr>
          <w:rFonts w:ascii="Times New Roman" w:hAnsi="Times New Roman" w:eastAsia="Times New Roman" w:cs="Times New Roman"/>
          <w:spacing w:val="-8"/>
          <w:position w:val="-1"/>
          <w:sz w:val="15"/>
          <w:szCs w:val="15"/>
        </w:rPr>
        <w:t xml:space="preserve">i </w:t>
      </w:r>
      <w:r>
        <w:rPr>
          <w:rFonts w:ascii="宋体" w:hAnsi="宋体" w:eastAsia="宋体" w:cs="宋体"/>
          <w:spacing w:val="-8"/>
          <w:sz w:val="23"/>
          <w:szCs w:val="23"/>
        </w:rPr>
        <w:t>定义为：</w:t>
      </w:r>
    </w:p>
    <w:p w14:paraId="1344170F">
      <w:pPr>
        <w:spacing w:before="104" w:line="323" w:lineRule="exact"/>
        <w:ind w:left="3414"/>
        <w:rPr>
          <w:rFonts w:ascii="Times New Roman" w:hAnsi="Times New Roman" w:eastAsia="Times New Roman" w:cs="Times New Roman"/>
          <w:sz w:val="23"/>
          <w:szCs w:val="23"/>
        </w:rPr>
      </w:pPr>
      <w:r>
        <w:rPr>
          <w:rFonts w:ascii="Times New Roman" w:hAnsi="Times New Roman" w:eastAsia="Times New Roman" w:cs="Times New Roman"/>
          <w:position w:val="2"/>
          <w:sz w:val="23"/>
          <w:szCs w:val="23"/>
        </w:rPr>
        <w:t>P</w:t>
      </w:r>
      <w:r>
        <w:rPr>
          <w:rFonts w:ascii="Times New Roman" w:hAnsi="Times New Roman" w:eastAsia="Times New Roman" w:cs="Times New Roman"/>
          <w:position w:val="1"/>
          <w:sz w:val="15"/>
          <w:szCs w:val="15"/>
        </w:rPr>
        <w:t>i</w:t>
      </w:r>
      <w:r>
        <w:rPr>
          <w:rFonts w:ascii="Times New Roman" w:hAnsi="Times New Roman" w:eastAsia="Times New Roman" w:cs="Times New Roman"/>
          <w:spacing w:val="6"/>
          <w:position w:val="1"/>
          <w:sz w:val="15"/>
          <w:szCs w:val="15"/>
        </w:rPr>
        <w:t xml:space="preserve"> </w:t>
      </w:r>
      <w:r>
        <w:rPr>
          <w:rFonts w:ascii="Times New Roman" w:hAnsi="Times New Roman" w:eastAsia="Times New Roman" w:cs="Times New Roman"/>
          <w:spacing w:val="4"/>
          <w:position w:val="2"/>
          <w:sz w:val="23"/>
          <w:szCs w:val="23"/>
        </w:rPr>
        <w:t>=</w:t>
      </w:r>
      <w:r>
        <w:rPr>
          <w:rFonts w:ascii="Times New Roman" w:hAnsi="Times New Roman" w:eastAsia="Times New Roman" w:cs="Times New Roman"/>
          <w:spacing w:val="3"/>
          <w:position w:val="2"/>
          <w:sz w:val="23"/>
          <w:szCs w:val="23"/>
        </w:rPr>
        <w:t xml:space="preserve"> </w:t>
      </w:r>
      <w:r>
        <w:rPr>
          <w:rFonts w:ascii="Times New Roman" w:hAnsi="Times New Roman" w:eastAsia="Times New Roman" w:cs="Times New Roman"/>
          <w:position w:val="2"/>
          <w:sz w:val="23"/>
          <w:szCs w:val="23"/>
        </w:rPr>
        <w:t>C</w:t>
      </w:r>
      <w:r>
        <w:rPr>
          <w:rFonts w:ascii="Times New Roman" w:hAnsi="Times New Roman" w:eastAsia="Times New Roman" w:cs="Times New Roman"/>
          <w:position w:val="1"/>
          <w:sz w:val="15"/>
          <w:szCs w:val="15"/>
        </w:rPr>
        <w:t>i</w:t>
      </w:r>
      <w:r>
        <w:rPr>
          <w:rFonts w:ascii="Times New Roman" w:hAnsi="Times New Roman" w:eastAsia="Times New Roman" w:cs="Times New Roman"/>
          <w:spacing w:val="3"/>
          <w:position w:val="2"/>
          <w:sz w:val="23"/>
          <w:szCs w:val="23"/>
        </w:rPr>
        <w:t>/</w:t>
      </w:r>
      <w:r>
        <w:rPr>
          <w:rFonts w:ascii="Times New Roman" w:hAnsi="Times New Roman" w:eastAsia="Times New Roman" w:cs="Times New Roman"/>
          <w:position w:val="2"/>
          <w:sz w:val="23"/>
          <w:szCs w:val="23"/>
        </w:rPr>
        <w:t>C</w:t>
      </w:r>
      <w:r>
        <w:rPr>
          <w:rFonts w:ascii="Times New Roman" w:hAnsi="Times New Roman" w:eastAsia="Times New Roman" w:cs="Times New Roman"/>
          <w:spacing w:val="3"/>
          <w:position w:val="1"/>
          <w:sz w:val="15"/>
          <w:szCs w:val="15"/>
        </w:rPr>
        <w:t>0</w:t>
      </w:r>
      <w:r>
        <w:rPr>
          <w:rFonts w:ascii="Times New Roman" w:hAnsi="Times New Roman" w:eastAsia="Times New Roman" w:cs="Times New Roman"/>
          <w:position w:val="1"/>
          <w:sz w:val="15"/>
          <w:szCs w:val="15"/>
        </w:rPr>
        <w:t>i</w:t>
      </w:r>
      <w:r>
        <w:rPr>
          <w:rFonts w:ascii="Times New Roman" w:hAnsi="Times New Roman" w:eastAsia="Times New Roman" w:cs="Times New Roman"/>
          <w:spacing w:val="3"/>
          <w:position w:val="1"/>
          <w:sz w:val="15"/>
          <w:szCs w:val="15"/>
        </w:rPr>
        <w:t xml:space="preserve"> </w:t>
      </w:r>
      <w:r>
        <w:rPr>
          <w:rFonts w:ascii="Times New Roman" w:hAnsi="Times New Roman" w:eastAsia="Times New Roman" w:cs="Times New Roman"/>
          <w:spacing w:val="3"/>
          <w:position w:val="2"/>
          <w:sz w:val="23"/>
          <w:szCs w:val="23"/>
        </w:rPr>
        <w:t>×100%</w:t>
      </w:r>
    </w:p>
    <w:p w14:paraId="67E6ECF3">
      <w:pPr>
        <w:sectPr>
          <w:footerReference r:id="rId66" w:type="default"/>
          <w:pgSz w:w="11906" w:h="16839"/>
          <w:pgMar w:top="1132" w:right="1691" w:bottom="1156" w:left="1691" w:header="878" w:footer="996" w:gutter="0"/>
          <w:cols w:space="720" w:num="1"/>
        </w:sectPr>
      </w:pPr>
    </w:p>
    <w:p w14:paraId="0D0B5D78">
      <w:pPr>
        <w:spacing w:line="365" w:lineRule="auto"/>
        <w:rPr>
          <w:rFonts w:ascii="Arial"/>
          <w:sz w:val="21"/>
        </w:rPr>
      </w:pPr>
      <w:r>
        <w:pict>
          <v:shape id="_x0000_s1094" o:spid="_x0000_s1094" style="position:absolute;left:0pt;margin-left:90pt;margin-top:57.35pt;height:0.75pt;width:415.3pt;mso-position-horizontal-relative:page;mso-position-vertical-relative:page;z-index:251730944;mso-width-relative:page;mso-height-relative:page;" fillcolor="#000000" filled="t" stroked="f" coordsize="8305,15" o:allowincell="f" path="m0,0l8305,0,8305,14,0,14,0,0xe">
            <v:path/>
            <v:fill on="t" focussize="0,0"/>
            <v:stroke on="f"/>
            <v:imagedata o:title=""/>
            <o:lock v:ext="edit"/>
          </v:shape>
        </w:pict>
      </w:r>
    </w:p>
    <w:p w14:paraId="6FA0B47F">
      <w:pPr>
        <w:spacing w:before="75" w:line="323" w:lineRule="exact"/>
        <w:ind w:left="573"/>
        <w:rPr>
          <w:rFonts w:ascii="宋体" w:hAnsi="宋体" w:eastAsia="宋体" w:cs="宋体"/>
          <w:sz w:val="23"/>
          <w:szCs w:val="23"/>
        </w:rPr>
      </w:pPr>
      <w:r>
        <w:rPr>
          <w:rFonts w:ascii="宋体" w:hAnsi="宋体" w:eastAsia="宋体" w:cs="宋体"/>
          <w:spacing w:val="-8"/>
          <w:position w:val="1"/>
          <w:sz w:val="23"/>
          <w:szCs w:val="23"/>
        </w:rPr>
        <w:t>式中：</w:t>
      </w:r>
      <w:r>
        <w:rPr>
          <w:rFonts w:ascii="Times New Roman" w:hAnsi="Times New Roman" w:eastAsia="Times New Roman" w:cs="Times New Roman"/>
          <w:spacing w:val="-4"/>
          <w:position w:val="1"/>
          <w:sz w:val="23"/>
          <w:szCs w:val="23"/>
        </w:rPr>
        <w:t>P</w:t>
      </w:r>
      <w:r>
        <w:rPr>
          <w:rFonts w:ascii="Times New Roman" w:hAnsi="Times New Roman" w:eastAsia="Times New Roman" w:cs="Times New Roman"/>
          <w:spacing w:val="-4"/>
          <w:sz w:val="15"/>
          <w:szCs w:val="15"/>
        </w:rPr>
        <w:t>i</w:t>
      </w:r>
      <w:r>
        <w:rPr>
          <w:rFonts w:ascii="Times New Roman" w:hAnsi="Times New Roman" w:eastAsia="Times New Roman" w:cs="Times New Roman"/>
          <w:spacing w:val="-8"/>
          <w:position w:val="1"/>
          <w:sz w:val="23"/>
          <w:szCs w:val="23"/>
        </w:rPr>
        <w:t>—</w:t>
      </w:r>
      <w:r>
        <w:rPr>
          <w:rFonts w:ascii="宋体" w:hAnsi="宋体" w:eastAsia="宋体" w:cs="宋体"/>
          <w:spacing w:val="-8"/>
          <w:position w:val="1"/>
          <w:sz w:val="23"/>
          <w:szCs w:val="23"/>
        </w:rPr>
        <w:t>第</w:t>
      </w:r>
      <w:r>
        <w:rPr>
          <w:rFonts w:ascii="宋体" w:hAnsi="宋体" w:eastAsia="宋体" w:cs="宋体"/>
          <w:spacing w:val="-6"/>
          <w:position w:val="1"/>
          <w:sz w:val="23"/>
          <w:szCs w:val="23"/>
        </w:rPr>
        <w:t xml:space="preserve"> </w:t>
      </w:r>
      <w:r>
        <w:rPr>
          <w:rFonts w:ascii="Times New Roman" w:hAnsi="Times New Roman" w:eastAsia="Times New Roman" w:cs="Times New Roman"/>
          <w:spacing w:val="-4"/>
          <w:position w:val="1"/>
          <w:sz w:val="23"/>
          <w:szCs w:val="23"/>
        </w:rPr>
        <w:t xml:space="preserve">i </w:t>
      </w:r>
      <w:r>
        <w:rPr>
          <w:rFonts w:ascii="宋体" w:hAnsi="宋体" w:eastAsia="宋体" w:cs="宋体"/>
          <w:spacing w:val="-4"/>
          <w:position w:val="1"/>
          <w:sz w:val="23"/>
          <w:szCs w:val="23"/>
        </w:rPr>
        <w:t>个污染物的最大地面空气质量浓度占标率，</w:t>
      </w:r>
      <w:r>
        <w:rPr>
          <w:rFonts w:ascii="Times New Roman" w:hAnsi="Times New Roman" w:eastAsia="Times New Roman" w:cs="Times New Roman"/>
          <w:spacing w:val="-4"/>
          <w:position w:val="1"/>
          <w:sz w:val="23"/>
          <w:szCs w:val="23"/>
        </w:rPr>
        <w:t>%</w:t>
      </w:r>
      <w:r>
        <w:rPr>
          <w:rFonts w:ascii="宋体" w:hAnsi="宋体" w:eastAsia="宋体" w:cs="宋体"/>
          <w:spacing w:val="-4"/>
          <w:position w:val="1"/>
          <w:sz w:val="23"/>
          <w:szCs w:val="23"/>
        </w:rPr>
        <w:t>；</w:t>
      </w:r>
    </w:p>
    <w:p w14:paraId="13068014">
      <w:pPr>
        <w:spacing w:before="157" w:line="322" w:lineRule="exact"/>
        <w:ind w:right="13"/>
        <w:jc w:val="right"/>
        <w:rPr>
          <w:rFonts w:ascii="宋体" w:hAnsi="宋体" w:eastAsia="宋体" w:cs="宋体"/>
          <w:sz w:val="23"/>
          <w:szCs w:val="23"/>
        </w:rPr>
      </w:pPr>
      <w:r>
        <w:rPr>
          <w:rFonts w:ascii="Times New Roman" w:hAnsi="Times New Roman" w:eastAsia="Times New Roman" w:cs="Times New Roman"/>
          <w:spacing w:val="-11"/>
          <w:position w:val="3"/>
          <w:sz w:val="23"/>
          <w:szCs w:val="23"/>
        </w:rPr>
        <w:t>C</w:t>
      </w:r>
      <w:r>
        <w:rPr>
          <w:rFonts w:ascii="Times New Roman" w:hAnsi="Times New Roman" w:eastAsia="Times New Roman" w:cs="Times New Roman"/>
          <w:spacing w:val="-11"/>
          <w:position w:val="2"/>
          <w:sz w:val="15"/>
          <w:szCs w:val="15"/>
        </w:rPr>
        <w:t>i</w:t>
      </w:r>
      <w:r>
        <w:rPr>
          <w:rFonts w:ascii="Times New Roman" w:hAnsi="Times New Roman" w:eastAsia="Times New Roman" w:cs="Times New Roman"/>
          <w:spacing w:val="-22"/>
          <w:position w:val="3"/>
          <w:sz w:val="23"/>
          <w:szCs w:val="23"/>
        </w:rPr>
        <w:t>—</w:t>
      </w:r>
      <w:r>
        <w:rPr>
          <w:rFonts w:ascii="宋体" w:hAnsi="宋体" w:eastAsia="宋体" w:cs="宋体"/>
          <w:spacing w:val="-22"/>
          <w:position w:val="3"/>
          <w:sz w:val="23"/>
          <w:szCs w:val="23"/>
        </w:rPr>
        <w:t>采</w:t>
      </w:r>
      <w:r>
        <w:rPr>
          <w:rFonts w:ascii="宋体" w:hAnsi="宋体" w:eastAsia="宋体" w:cs="宋体"/>
          <w:spacing w:val="-14"/>
          <w:position w:val="3"/>
          <w:sz w:val="23"/>
          <w:szCs w:val="23"/>
        </w:rPr>
        <w:t>用</w:t>
      </w:r>
      <w:r>
        <w:rPr>
          <w:rFonts w:ascii="宋体" w:hAnsi="宋体" w:eastAsia="宋体" w:cs="宋体"/>
          <w:spacing w:val="-11"/>
          <w:position w:val="3"/>
          <w:sz w:val="23"/>
          <w:szCs w:val="23"/>
        </w:rPr>
        <w:t>估算模型计算出的第</w:t>
      </w:r>
      <w:r>
        <w:rPr>
          <w:rFonts w:ascii="Times New Roman" w:hAnsi="Times New Roman" w:eastAsia="Times New Roman" w:cs="Times New Roman"/>
          <w:spacing w:val="-11"/>
          <w:position w:val="3"/>
          <w:sz w:val="23"/>
          <w:szCs w:val="23"/>
        </w:rPr>
        <w:t>i</w:t>
      </w:r>
      <w:r>
        <w:rPr>
          <w:rFonts w:ascii="宋体" w:hAnsi="宋体" w:eastAsia="宋体" w:cs="宋体"/>
          <w:spacing w:val="-11"/>
          <w:position w:val="3"/>
          <w:sz w:val="23"/>
          <w:szCs w:val="23"/>
        </w:rPr>
        <w:t>个污染物的最大</w:t>
      </w:r>
      <w:r>
        <w:rPr>
          <w:rFonts w:ascii="Times New Roman" w:hAnsi="Times New Roman" w:eastAsia="Times New Roman" w:cs="Times New Roman"/>
          <w:spacing w:val="-11"/>
          <w:position w:val="3"/>
          <w:sz w:val="23"/>
          <w:szCs w:val="23"/>
        </w:rPr>
        <w:t>1h</w:t>
      </w:r>
      <w:r>
        <w:rPr>
          <w:rFonts w:ascii="宋体" w:hAnsi="宋体" w:eastAsia="宋体" w:cs="宋体"/>
          <w:spacing w:val="-11"/>
          <w:position w:val="3"/>
          <w:sz w:val="23"/>
          <w:szCs w:val="23"/>
        </w:rPr>
        <w:t>地面空气质量浓度，</w:t>
      </w:r>
      <w:r>
        <w:rPr>
          <w:rFonts w:ascii="Times New Roman" w:hAnsi="Times New Roman" w:eastAsia="Times New Roman" w:cs="Times New Roman"/>
          <w:spacing w:val="-11"/>
          <w:position w:val="3"/>
          <w:sz w:val="23"/>
          <w:szCs w:val="23"/>
        </w:rPr>
        <w:t>μg/m</w:t>
      </w:r>
      <w:r>
        <w:rPr>
          <w:rFonts w:ascii="Times New Roman" w:hAnsi="Times New Roman" w:eastAsia="Times New Roman" w:cs="Times New Roman"/>
          <w:spacing w:val="-11"/>
          <w:position w:val="11"/>
          <w:sz w:val="15"/>
          <w:szCs w:val="15"/>
        </w:rPr>
        <w:t>3</w:t>
      </w:r>
      <w:r>
        <w:rPr>
          <w:rFonts w:ascii="宋体" w:hAnsi="宋体" w:eastAsia="宋体" w:cs="宋体"/>
          <w:spacing w:val="-11"/>
          <w:position w:val="3"/>
          <w:sz w:val="23"/>
          <w:szCs w:val="23"/>
        </w:rPr>
        <w:t>；</w:t>
      </w:r>
    </w:p>
    <w:p w14:paraId="3F97AE7E">
      <w:pPr>
        <w:spacing w:before="157" w:line="395" w:lineRule="auto"/>
        <w:ind w:left="116" w:right="37" w:firstLine="1130"/>
        <w:rPr>
          <w:rFonts w:ascii="宋体" w:hAnsi="宋体" w:eastAsia="宋体" w:cs="宋体"/>
          <w:sz w:val="23"/>
          <w:szCs w:val="23"/>
        </w:rPr>
      </w:pPr>
      <w:r>
        <w:rPr>
          <w:rFonts w:ascii="Times New Roman" w:hAnsi="Times New Roman" w:eastAsia="Times New Roman" w:cs="Times New Roman"/>
          <w:spacing w:val="-10"/>
          <w:sz w:val="23"/>
          <w:szCs w:val="23"/>
        </w:rPr>
        <w:t>C</w:t>
      </w:r>
      <w:r>
        <w:rPr>
          <w:rFonts w:ascii="Times New Roman" w:hAnsi="Times New Roman" w:eastAsia="Times New Roman" w:cs="Times New Roman"/>
          <w:spacing w:val="-10"/>
          <w:position w:val="-1"/>
          <w:sz w:val="15"/>
          <w:szCs w:val="15"/>
        </w:rPr>
        <w:t>0i</w:t>
      </w:r>
      <w:r>
        <w:rPr>
          <w:rFonts w:ascii="Times New Roman" w:hAnsi="Times New Roman" w:eastAsia="Times New Roman" w:cs="Times New Roman"/>
          <w:spacing w:val="-10"/>
          <w:sz w:val="23"/>
          <w:szCs w:val="23"/>
        </w:rPr>
        <w:t>—</w:t>
      </w:r>
      <w:r>
        <w:rPr>
          <w:rFonts w:ascii="宋体" w:hAnsi="宋体" w:eastAsia="宋体" w:cs="宋体"/>
          <w:spacing w:val="-10"/>
          <w:sz w:val="23"/>
          <w:szCs w:val="23"/>
        </w:rPr>
        <w:t xml:space="preserve">第 </w:t>
      </w:r>
      <w:r>
        <w:rPr>
          <w:rFonts w:ascii="Times New Roman" w:hAnsi="Times New Roman" w:eastAsia="Times New Roman" w:cs="Times New Roman"/>
          <w:spacing w:val="-10"/>
          <w:sz w:val="23"/>
          <w:szCs w:val="23"/>
        </w:rPr>
        <w:t xml:space="preserve">i </w:t>
      </w:r>
      <w:r>
        <w:rPr>
          <w:rFonts w:ascii="宋体" w:hAnsi="宋体" w:eastAsia="宋体" w:cs="宋体"/>
          <w:spacing w:val="-10"/>
          <w:sz w:val="23"/>
          <w:szCs w:val="23"/>
        </w:rPr>
        <w:t>个污染物的环境空气质量浓度标准，</w:t>
      </w:r>
      <w:r>
        <w:rPr>
          <w:rFonts w:ascii="Times New Roman" w:hAnsi="Times New Roman" w:eastAsia="Times New Roman" w:cs="Times New Roman"/>
          <w:spacing w:val="-10"/>
          <w:sz w:val="23"/>
          <w:szCs w:val="23"/>
        </w:rPr>
        <w:t>μg/m</w:t>
      </w:r>
      <w:r>
        <w:rPr>
          <w:rFonts w:ascii="Times New Roman" w:hAnsi="Times New Roman" w:eastAsia="Times New Roman" w:cs="Times New Roman"/>
          <w:spacing w:val="-10"/>
          <w:position w:val="8"/>
          <w:sz w:val="15"/>
          <w:szCs w:val="15"/>
        </w:rPr>
        <w:t>3</w:t>
      </w:r>
      <w:r>
        <w:rPr>
          <w:rFonts w:ascii="宋体" w:hAnsi="宋体" w:eastAsia="宋体" w:cs="宋体"/>
          <w:spacing w:val="-10"/>
          <w:sz w:val="23"/>
          <w:szCs w:val="23"/>
        </w:rPr>
        <w:t xml:space="preserve">；一般选取 </w:t>
      </w:r>
      <w:r>
        <w:rPr>
          <w:rFonts w:ascii="Times New Roman" w:hAnsi="Times New Roman" w:eastAsia="Times New Roman" w:cs="Times New Roman"/>
          <w:spacing w:val="-10"/>
          <w:sz w:val="23"/>
          <w:szCs w:val="23"/>
        </w:rPr>
        <w:t>G</w:t>
      </w:r>
      <w:r>
        <w:rPr>
          <w:rFonts w:ascii="Times New Roman" w:hAnsi="Times New Roman" w:eastAsia="Times New Roman" w:cs="Times New Roman"/>
          <w:spacing w:val="-2"/>
          <w:sz w:val="23"/>
          <w:szCs w:val="23"/>
        </w:rPr>
        <w:t>B</w:t>
      </w:r>
      <w:r>
        <w:rPr>
          <w:rFonts w:ascii="Times New Roman" w:hAnsi="Times New Roman" w:eastAsia="Times New Roman" w:cs="Times New Roman"/>
          <w:spacing w:val="-10"/>
          <w:sz w:val="23"/>
          <w:szCs w:val="23"/>
        </w:rPr>
        <w:t xml:space="preserve">3095  </w:t>
      </w:r>
      <w:r>
        <w:rPr>
          <w:rFonts w:ascii="宋体" w:hAnsi="宋体" w:eastAsia="宋体" w:cs="宋体"/>
          <w:spacing w:val="-10"/>
          <w:sz w:val="23"/>
          <w:szCs w:val="23"/>
        </w:rPr>
        <w:t>中</w:t>
      </w:r>
      <w:r>
        <w:rPr>
          <w:rFonts w:ascii="宋体" w:hAnsi="宋体" w:eastAsia="宋体" w:cs="宋体"/>
          <w:sz w:val="23"/>
          <w:szCs w:val="23"/>
        </w:rPr>
        <w:t xml:space="preserve"> </w:t>
      </w:r>
      <w:r>
        <w:rPr>
          <w:rFonts w:ascii="Times New Roman" w:hAnsi="Times New Roman" w:eastAsia="Times New Roman" w:cs="Times New Roman"/>
          <w:spacing w:val="-7"/>
          <w:sz w:val="23"/>
          <w:szCs w:val="23"/>
        </w:rPr>
        <w:t>1</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小时平均取样时间的二级标准的浓度限值，如项目位于一类环境空气功能区，应选</w:t>
      </w:r>
      <w:r>
        <w:rPr>
          <w:rFonts w:ascii="宋体" w:hAnsi="宋体" w:eastAsia="宋体" w:cs="宋体"/>
          <w:sz w:val="23"/>
          <w:szCs w:val="23"/>
        </w:rPr>
        <w:t xml:space="preserve"> </w:t>
      </w:r>
      <w:r>
        <w:rPr>
          <w:rFonts w:ascii="宋体" w:hAnsi="宋体" w:eastAsia="宋体" w:cs="宋体"/>
          <w:spacing w:val="1"/>
          <w:sz w:val="23"/>
          <w:szCs w:val="23"/>
        </w:rPr>
        <w:t>择相应的一级浓度限值；对该标准</w:t>
      </w:r>
      <w:r>
        <w:rPr>
          <w:rFonts w:ascii="宋体" w:hAnsi="宋体" w:eastAsia="宋体" w:cs="宋体"/>
          <w:sz w:val="23"/>
          <w:szCs w:val="23"/>
        </w:rPr>
        <w:t xml:space="preserve">中未包含的污染物，使用《环境影响评价技术导 </w:t>
      </w:r>
      <w:r>
        <w:rPr>
          <w:rFonts w:ascii="宋体" w:hAnsi="宋体" w:eastAsia="宋体" w:cs="宋体"/>
          <w:spacing w:val="-12"/>
          <w:sz w:val="23"/>
          <w:szCs w:val="23"/>
        </w:rPr>
        <w:t>则大</w:t>
      </w:r>
      <w:r>
        <w:rPr>
          <w:rFonts w:ascii="宋体" w:hAnsi="宋体" w:eastAsia="宋体" w:cs="宋体"/>
          <w:spacing w:val="-10"/>
          <w:sz w:val="23"/>
          <w:szCs w:val="23"/>
        </w:rPr>
        <w:t>气</w:t>
      </w:r>
      <w:r>
        <w:rPr>
          <w:rFonts w:ascii="宋体" w:hAnsi="宋体" w:eastAsia="宋体" w:cs="宋体"/>
          <w:spacing w:val="-6"/>
          <w:sz w:val="23"/>
          <w:szCs w:val="23"/>
        </w:rPr>
        <w:t>环境》 (</w:t>
      </w:r>
      <w:r>
        <w:rPr>
          <w:rFonts w:ascii="Times New Roman" w:hAnsi="Times New Roman" w:eastAsia="Times New Roman" w:cs="Times New Roman"/>
          <w:spacing w:val="-6"/>
          <w:sz w:val="23"/>
          <w:szCs w:val="23"/>
        </w:rPr>
        <w:t>HJ2.2-2018</w:t>
      </w:r>
      <w:r>
        <w:rPr>
          <w:rFonts w:ascii="宋体" w:hAnsi="宋体" w:eastAsia="宋体" w:cs="宋体"/>
          <w:spacing w:val="-6"/>
          <w:sz w:val="23"/>
          <w:szCs w:val="23"/>
        </w:rPr>
        <w:t xml:space="preserve">) </w:t>
      </w:r>
      <w:r>
        <w:rPr>
          <w:rFonts w:ascii="Times New Roman" w:hAnsi="Times New Roman" w:eastAsia="Times New Roman" w:cs="Times New Roman"/>
          <w:spacing w:val="-6"/>
          <w:sz w:val="23"/>
          <w:szCs w:val="23"/>
        </w:rPr>
        <w:t xml:space="preserve">5.2 </w:t>
      </w:r>
      <w:r>
        <w:rPr>
          <w:rFonts w:ascii="宋体" w:hAnsi="宋体" w:eastAsia="宋体" w:cs="宋体"/>
          <w:spacing w:val="-6"/>
          <w:sz w:val="23"/>
          <w:szCs w:val="23"/>
        </w:rPr>
        <w:t xml:space="preserve">确定的各评价因子 </w:t>
      </w:r>
      <w:r>
        <w:rPr>
          <w:rFonts w:ascii="Times New Roman" w:hAnsi="Times New Roman" w:eastAsia="Times New Roman" w:cs="Times New Roman"/>
          <w:spacing w:val="-6"/>
          <w:sz w:val="23"/>
          <w:szCs w:val="23"/>
        </w:rPr>
        <w:t xml:space="preserve">1h </w:t>
      </w:r>
      <w:r>
        <w:rPr>
          <w:rFonts w:ascii="宋体" w:hAnsi="宋体" w:eastAsia="宋体" w:cs="宋体"/>
          <w:spacing w:val="-6"/>
          <w:sz w:val="23"/>
          <w:szCs w:val="23"/>
        </w:rPr>
        <w:t xml:space="preserve">平均质量浓度限值。对仅有 </w:t>
      </w:r>
      <w:r>
        <w:rPr>
          <w:rFonts w:ascii="Times New Roman" w:hAnsi="Times New Roman" w:eastAsia="Times New Roman" w:cs="Times New Roman"/>
          <w:spacing w:val="-6"/>
          <w:sz w:val="23"/>
          <w:szCs w:val="23"/>
        </w:rPr>
        <w:t>8h</w:t>
      </w:r>
      <w:r>
        <w:rPr>
          <w:rFonts w:ascii="Times New Roman" w:hAnsi="Times New Roman" w:eastAsia="Times New Roman" w:cs="Times New Roman"/>
          <w:sz w:val="23"/>
          <w:szCs w:val="23"/>
        </w:rPr>
        <w:t xml:space="preserve"> </w:t>
      </w:r>
      <w:r>
        <w:rPr>
          <w:rFonts w:ascii="宋体" w:hAnsi="宋体" w:eastAsia="宋体" w:cs="宋体"/>
          <w:spacing w:val="-9"/>
          <w:sz w:val="23"/>
          <w:szCs w:val="23"/>
        </w:rPr>
        <w:t>平</w:t>
      </w:r>
      <w:r>
        <w:rPr>
          <w:rFonts w:ascii="宋体" w:hAnsi="宋体" w:eastAsia="宋体" w:cs="宋体"/>
          <w:spacing w:val="-5"/>
          <w:sz w:val="23"/>
          <w:szCs w:val="23"/>
        </w:rPr>
        <w:t xml:space="preserve">均质量浓度限值、日平均质量浓度限值或年平均质量浓度限值的，可分别按 </w:t>
      </w:r>
      <w:r>
        <w:rPr>
          <w:rFonts w:ascii="Times New Roman" w:hAnsi="Times New Roman" w:eastAsia="Times New Roman" w:cs="Times New Roman"/>
          <w:spacing w:val="-5"/>
          <w:sz w:val="23"/>
          <w:szCs w:val="23"/>
        </w:rPr>
        <w:t xml:space="preserve">2 </w:t>
      </w:r>
      <w:r>
        <w:rPr>
          <w:rFonts w:ascii="宋体" w:hAnsi="宋体" w:eastAsia="宋体" w:cs="宋体"/>
          <w:spacing w:val="-5"/>
          <w:sz w:val="23"/>
          <w:szCs w:val="23"/>
        </w:rPr>
        <w:t>倍、</w:t>
      </w:r>
      <w:r>
        <w:rPr>
          <w:rFonts w:ascii="宋体" w:hAnsi="宋体" w:eastAsia="宋体" w:cs="宋体"/>
          <w:sz w:val="23"/>
          <w:szCs w:val="23"/>
        </w:rPr>
        <w:t xml:space="preserve"> </w:t>
      </w:r>
      <w:r>
        <w:rPr>
          <w:rFonts w:ascii="Times New Roman" w:hAnsi="Times New Roman" w:eastAsia="Times New Roman" w:cs="Times New Roman"/>
          <w:spacing w:val="-8"/>
          <w:sz w:val="23"/>
          <w:szCs w:val="23"/>
        </w:rPr>
        <w:t xml:space="preserve">3 </w:t>
      </w:r>
      <w:r>
        <w:rPr>
          <w:rFonts w:ascii="宋体" w:hAnsi="宋体" w:eastAsia="宋体" w:cs="宋体"/>
          <w:spacing w:val="-8"/>
          <w:sz w:val="23"/>
          <w:szCs w:val="23"/>
        </w:rPr>
        <w:t>倍</w:t>
      </w:r>
      <w:r>
        <w:rPr>
          <w:rFonts w:ascii="宋体" w:hAnsi="宋体" w:eastAsia="宋体" w:cs="宋体"/>
          <w:spacing w:val="-5"/>
          <w:sz w:val="23"/>
          <w:szCs w:val="23"/>
        </w:rPr>
        <w:t>、</w:t>
      </w:r>
      <w:r>
        <w:rPr>
          <w:rFonts w:ascii="Times New Roman" w:hAnsi="Times New Roman" w:eastAsia="Times New Roman" w:cs="Times New Roman"/>
          <w:spacing w:val="-4"/>
          <w:sz w:val="23"/>
          <w:szCs w:val="23"/>
        </w:rPr>
        <w:t xml:space="preserve">6 </w:t>
      </w:r>
      <w:r>
        <w:rPr>
          <w:rFonts w:ascii="宋体" w:hAnsi="宋体" w:eastAsia="宋体" w:cs="宋体"/>
          <w:spacing w:val="-4"/>
          <w:sz w:val="23"/>
          <w:szCs w:val="23"/>
        </w:rPr>
        <w:t xml:space="preserve">倍折算为 </w:t>
      </w:r>
      <w:r>
        <w:rPr>
          <w:rFonts w:ascii="Times New Roman" w:hAnsi="Times New Roman" w:eastAsia="Times New Roman" w:cs="Times New Roman"/>
          <w:spacing w:val="-4"/>
          <w:sz w:val="23"/>
          <w:szCs w:val="23"/>
        </w:rPr>
        <w:t xml:space="preserve">1h </w:t>
      </w:r>
      <w:r>
        <w:rPr>
          <w:rFonts w:ascii="宋体" w:hAnsi="宋体" w:eastAsia="宋体" w:cs="宋体"/>
          <w:spacing w:val="-4"/>
          <w:sz w:val="23"/>
          <w:szCs w:val="23"/>
        </w:rPr>
        <w:t>平均质量浓度限值。</w:t>
      </w:r>
    </w:p>
    <w:p w14:paraId="6D195757">
      <w:pPr>
        <w:spacing w:before="139" w:line="393" w:lineRule="auto"/>
        <w:ind w:left="117" w:right="107" w:firstLine="452"/>
        <w:rPr>
          <w:rFonts w:ascii="宋体" w:hAnsi="宋体" w:eastAsia="宋体" w:cs="宋体"/>
          <w:sz w:val="23"/>
          <w:szCs w:val="23"/>
        </w:rPr>
      </w:pPr>
      <w:r>
        <w:rPr>
          <w:rFonts w:ascii="宋体" w:hAnsi="宋体" w:eastAsia="宋体" w:cs="宋体"/>
          <w:spacing w:val="-3"/>
          <w:sz w:val="23"/>
          <w:szCs w:val="23"/>
        </w:rPr>
        <w:t xml:space="preserve">本次大气环境影响评价采用估算模式 </w:t>
      </w:r>
      <w:r>
        <w:rPr>
          <w:rFonts w:ascii="Times New Roman" w:hAnsi="Times New Roman" w:eastAsia="Times New Roman" w:cs="Times New Roman"/>
          <w:spacing w:val="-3"/>
          <w:sz w:val="23"/>
          <w:szCs w:val="23"/>
        </w:rPr>
        <w:t>AERSCR</w:t>
      </w:r>
      <w:r>
        <w:rPr>
          <w:rFonts w:ascii="Times New Roman" w:hAnsi="Times New Roman" w:eastAsia="Times New Roman" w:cs="Times New Roman"/>
          <w:spacing w:val="-2"/>
          <w:sz w:val="23"/>
          <w:szCs w:val="23"/>
        </w:rPr>
        <w:t>E</w:t>
      </w:r>
      <w:r>
        <w:rPr>
          <w:rFonts w:ascii="Times New Roman" w:hAnsi="Times New Roman" w:eastAsia="Times New Roman" w:cs="Times New Roman"/>
          <w:sz w:val="23"/>
          <w:szCs w:val="23"/>
        </w:rPr>
        <w:t>EN</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，对项目产生的废气对大气</w:t>
      </w:r>
      <w:r>
        <w:rPr>
          <w:rFonts w:ascii="宋体" w:hAnsi="宋体" w:eastAsia="宋体" w:cs="宋体"/>
          <w:sz w:val="23"/>
          <w:szCs w:val="23"/>
        </w:rPr>
        <w:t xml:space="preserve"> </w:t>
      </w:r>
      <w:r>
        <w:rPr>
          <w:rFonts w:ascii="宋体" w:hAnsi="宋体" w:eastAsia="宋体" w:cs="宋体"/>
          <w:spacing w:val="-10"/>
          <w:sz w:val="23"/>
          <w:szCs w:val="23"/>
        </w:rPr>
        <w:t>环</w:t>
      </w:r>
      <w:r>
        <w:rPr>
          <w:rFonts w:ascii="宋体" w:hAnsi="宋体" w:eastAsia="宋体" w:cs="宋体"/>
          <w:spacing w:val="-9"/>
          <w:sz w:val="23"/>
          <w:szCs w:val="23"/>
        </w:rPr>
        <w:t>境</w:t>
      </w:r>
      <w:r>
        <w:rPr>
          <w:rFonts w:ascii="宋体" w:hAnsi="宋体" w:eastAsia="宋体" w:cs="宋体"/>
          <w:spacing w:val="-5"/>
          <w:sz w:val="23"/>
          <w:szCs w:val="23"/>
        </w:rPr>
        <w:t xml:space="preserve">的影响进行预测。估算模型参数见表 </w:t>
      </w:r>
      <w:r>
        <w:rPr>
          <w:rFonts w:ascii="Times New Roman" w:hAnsi="Times New Roman" w:eastAsia="Times New Roman" w:cs="Times New Roman"/>
          <w:spacing w:val="-5"/>
          <w:sz w:val="23"/>
          <w:szCs w:val="23"/>
        </w:rPr>
        <w:t>2-15</w:t>
      </w:r>
      <w:r>
        <w:rPr>
          <w:rFonts w:ascii="宋体" w:hAnsi="宋体" w:eastAsia="宋体" w:cs="宋体"/>
          <w:spacing w:val="-5"/>
          <w:sz w:val="23"/>
          <w:szCs w:val="23"/>
        </w:rPr>
        <w:t>。</w:t>
      </w:r>
    </w:p>
    <w:p w14:paraId="788B11C2">
      <w:pPr>
        <w:spacing w:before="145" w:line="226" w:lineRule="auto"/>
        <w:ind w:left="2881"/>
        <w:rPr>
          <w:rFonts w:ascii="宋体" w:hAnsi="宋体" w:eastAsia="宋体" w:cs="宋体"/>
          <w:sz w:val="23"/>
          <w:szCs w:val="23"/>
        </w:rPr>
      </w:pPr>
      <w:r>
        <w:rPr>
          <w:rFonts w:ascii="宋体" w:hAnsi="宋体" w:eastAsia="宋体" w:cs="宋体"/>
          <w:spacing w:val="-2"/>
          <w:sz w:val="23"/>
          <w:szCs w:val="23"/>
          <w14:textOutline w14:w="4358" w14:cap="sq" w14:cmpd="sng">
            <w14:solidFill>
              <w14:srgbClr w14:val="000000"/>
            </w14:solidFill>
            <w14:prstDash w14:val="solid"/>
            <w14:bevel/>
          </w14:textOutline>
        </w:rPr>
        <w:t>表</w:t>
      </w:r>
      <w:r>
        <w:rPr>
          <w:rFonts w:ascii="宋体" w:hAnsi="宋体" w:eastAsia="宋体" w:cs="宋体"/>
          <w:spacing w:val="-2"/>
          <w:sz w:val="23"/>
          <w:szCs w:val="23"/>
        </w:rPr>
        <w:t xml:space="preserve"> </w:t>
      </w:r>
      <w:r>
        <w:rPr>
          <w:rFonts w:ascii="Times New Roman" w:hAnsi="Times New Roman" w:eastAsia="Times New Roman" w:cs="Times New Roman"/>
          <w:b/>
          <w:bCs/>
          <w:spacing w:val="-2"/>
          <w:sz w:val="23"/>
          <w:szCs w:val="23"/>
        </w:rPr>
        <w:t>2-15</w:t>
      </w:r>
      <w:r>
        <w:rPr>
          <w:rFonts w:ascii="Times New Roman" w:hAnsi="Times New Roman" w:eastAsia="Times New Roman" w:cs="Times New Roman"/>
          <w:spacing w:val="-2"/>
          <w:sz w:val="23"/>
          <w:szCs w:val="23"/>
        </w:rPr>
        <w:t xml:space="preserve">     </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14:textOutline w14:w="4358" w14:cap="sq" w14:cmpd="sng">
            <w14:solidFill>
              <w14:srgbClr w14:val="000000"/>
            </w14:solidFill>
            <w14:prstDash w14:val="solid"/>
            <w14:bevel/>
          </w14:textOutline>
        </w:rPr>
        <w:t>估算模型参数表</w:t>
      </w:r>
    </w:p>
    <w:p w14:paraId="3B223F65">
      <w:pPr>
        <w:spacing w:line="20"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40"/>
        <w:gridCol w:w="2841"/>
        <w:gridCol w:w="2841"/>
      </w:tblGrid>
      <w:tr w14:paraId="2D425A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5681" w:type="dxa"/>
            <w:gridSpan w:val="2"/>
            <w:tcBorders>
              <w:left w:val="nil"/>
            </w:tcBorders>
            <w:vAlign w:val="top"/>
          </w:tcPr>
          <w:p w14:paraId="239A3619">
            <w:pPr>
              <w:spacing w:before="86" w:line="207" w:lineRule="auto"/>
              <w:ind w:left="2652"/>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参</w:t>
            </w:r>
            <w:r>
              <w:rPr>
                <w:rFonts w:ascii="宋体" w:hAnsi="宋体" w:eastAsia="宋体" w:cs="宋体"/>
                <w:sz w:val="20"/>
                <w:szCs w:val="20"/>
                <w14:textOutline w14:w="3795" w14:cap="sq" w14:cmpd="sng">
                  <w14:solidFill>
                    <w14:srgbClr w14:val="000000"/>
                  </w14:solidFill>
                  <w14:prstDash w14:val="solid"/>
                  <w14:bevel/>
                </w14:textOutline>
              </w:rPr>
              <w:t>数</w:t>
            </w:r>
          </w:p>
        </w:tc>
        <w:tc>
          <w:tcPr>
            <w:tcW w:w="2841" w:type="dxa"/>
            <w:tcBorders>
              <w:right w:val="nil"/>
            </w:tcBorders>
            <w:vAlign w:val="top"/>
          </w:tcPr>
          <w:p w14:paraId="3248A89B">
            <w:pPr>
              <w:spacing w:before="86" w:line="207" w:lineRule="auto"/>
              <w:ind w:left="1231"/>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取值</w:t>
            </w:r>
          </w:p>
        </w:tc>
      </w:tr>
      <w:tr w14:paraId="35D5CA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840" w:type="dxa"/>
            <w:vMerge w:val="restart"/>
            <w:tcBorders>
              <w:left w:val="nil"/>
              <w:bottom w:val="nil"/>
            </w:tcBorders>
            <w:vAlign w:val="top"/>
          </w:tcPr>
          <w:p w14:paraId="0F896985">
            <w:pPr>
              <w:spacing w:before="165" w:line="281" w:lineRule="exact"/>
              <w:ind w:left="814"/>
              <w:rPr>
                <w:rFonts w:ascii="宋体" w:hAnsi="宋体" w:eastAsia="宋体" w:cs="宋体"/>
                <w:sz w:val="20"/>
                <w:szCs w:val="20"/>
              </w:rPr>
            </w:pPr>
            <w:r>
              <w:rPr>
                <w:rFonts w:ascii="宋体" w:hAnsi="宋体" w:eastAsia="宋体" w:cs="宋体"/>
                <w:spacing w:val="-4"/>
                <w:position w:val="1"/>
                <w:sz w:val="20"/>
                <w:szCs w:val="20"/>
              </w:rPr>
              <w:t>农村</w:t>
            </w:r>
            <w:r>
              <w:rPr>
                <w:rFonts w:ascii="Times New Roman" w:hAnsi="Times New Roman" w:eastAsia="Times New Roman" w:cs="Times New Roman"/>
                <w:spacing w:val="-2"/>
                <w:position w:val="1"/>
                <w:sz w:val="20"/>
                <w:szCs w:val="20"/>
              </w:rPr>
              <w:t>/</w:t>
            </w:r>
            <w:r>
              <w:rPr>
                <w:rFonts w:ascii="宋体" w:hAnsi="宋体" w:eastAsia="宋体" w:cs="宋体"/>
                <w:spacing w:val="-2"/>
                <w:position w:val="1"/>
                <w:sz w:val="20"/>
                <w:szCs w:val="20"/>
              </w:rPr>
              <w:t>城市选项</w:t>
            </w:r>
          </w:p>
        </w:tc>
        <w:tc>
          <w:tcPr>
            <w:tcW w:w="2841" w:type="dxa"/>
            <w:vAlign w:val="top"/>
          </w:tcPr>
          <w:p w14:paraId="16D597AC">
            <w:pPr>
              <w:spacing w:before="24" w:line="281" w:lineRule="exact"/>
              <w:ind w:left="1008"/>
              <w:rPr>
                <w:rFonts w:ascii="宋体" w:hAnsi="宋体" w:eastAsia="宋体" w:cs="宋体"/>
                <w:sz w:val="20"/>
                <w:szCs w:val="20"/>
              </w:rPr>
            </w:pPr>
            <w:r>
              <w:rPr>
                <w:rFonts w:ascii="宋体" w:hAnsi="宋体" w:eastAsia="宋体" w:cs="宋体"/>
                <w:spacing w:val="-2"/>
                <w:position w:val="1"/>
                <w:sz w:val="20"/>
                <w:szCs w:val="20"/>
              </w:rPr>
              <w:t>城市</w:t>
            </w:r>
            <w:r>
              <w:rPr>
                <w:rFonts w:ascii="Times New Roman" w:hAnsi="Times New Roman" w:eastAsia="Times New Roman" w:cs="Times New Roman"/>
                <w:spacing w:val="-2"/>
                <w:position w:val="1"/>
                <w:sz w:val="20"/>
                <w:szCs w:val="20"/>
              </w:rPr>
              <w:t>/</w:t>
            </w:r>
            <w:r>
              <w:rPr>
                <w:rFonts w:ascii="宋体" w:hAnsi="宋体" w:eastAsia="宋体" w:cs="宋体"/>
                <w:spacing w:val="-2"/>
                <w:position w:val="1"/>
                <w:sz w:val="20"/>
                <w:szCs w:val="20"/>
              </w:rPr>
              <w:t>农</w:t>
            </w:r>
            <w:r>
              <w:rPr>
                <w:rFonts w:ascii="宋体" w:hAnsi="宋体" w:eastAsia="宋体" w:cs="宋体"/>
                <w:spacing w:val="-1"/>
                <w:position w:val="1"/>
                <w:sz w:val="20"/>
                <w:szCs w:val="20"/>
              </w:rPr>
              <w:t>村</w:t>
            </w:r>
          </w:p>
        </w:tc>
        <w:tc>
          <w:tcPr>
            <w:tcW w:w="2841" w:type="dxa"/>
            <w:tcBorders>
              <w:right w:val="nil"/>
            </w:tcBorders>
            <w:vAlign w:val="top"/>
          </w:tcPr>
          <w:p w14:paraId="01AF3FA6">
            <w:pPr>
              <w:spacing w:before="61" w:line="226" w:lineRule="auto"/>
              <w:ind w:left="1229"/>
              <w:rPr>
                <w:rFonts w:ascii="宋体" w:hAnsi="宋体" w:eastAsia="宋体" w:cs="宋体"/>
                <w:sz w:val="20"/>
                <w:szCs w:val="20"/>
              </w:rPr>
            </w:pPr>
            <w:r>
              <w:rPr>
                <w:rFonts w:ascii="宋体" w:hAnsi="宋体" w:eastAsia="宋体" w:cs="宋体"/>
                <w:sz w:val="20"/>
                <w:szCs w:val="20"/>
              </w:rPr>
              <w:t>农村</w:t>
            </w:r>
          </w:p>
        </w:tc>
      </w:tr>
      <w:tr w14:paraId="0607B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840" w:type="dxa"/>
            <w:vMerge w:val="continue"/>
            <w:tcBorders>
              <w:top w:val="nil"/>
              <w:left w:val="nil"/>
            </w:tcBorders>
            <w:vAlign w:val="top"/>
          </w:tcPr>
          <w:p w14:paraId="68426A64">
            <w:pPr>
              <w:rPr>
                <w:rFonts w:ascii="Arial"/>
                <w:sz w:val="21"/>
              </w:rPr>
            </w:pPr>
          </w:p>
        </w:tc>
        <w:tc>
          <w:tcPr>
            <w:tcW w:w="2841" w:type="dxa"/>
            <w:vAlign w:val="top"/>
          </w:tcPr>
          <w:p w14:paraId="02FEC6F9">
            <w:pPr>
              <w:spacing w:before="62" w:line="226" w:lineRule="auto"/>
              <w:ind w:left="448"/>
              <w:rPr>
                <w:rFonts w:ascii="宋体" w:hAnsi="宋体" w:eastAsia="宋体" w:cs="宋体"/>
                <w:sz w:val="20"/>
                <w:szCs w:val="20"/>
              </w:rPr>
            </w:pPr>
            <w:r>
              <w:rPr>
                <w:rFonts w:ascii="宋体" w:hAnsi="宋体" w:eastAsia="宋体" w:cs="宋体"/>
                <w:spacing w:val="-4"/>
                <w:sz w:val="20"/>
                <w:szCs w:val="20"/>
              </w:rPr>
              <w:t>人口</w:t>
            </w:r>
            <w:r>
              <w:rPr>
                <w:rFonts w:ascii="宋体" w:hAnsi="宋体" w:eastAsia="宋体" w:cs="宋体"/>
                <w:spacing w:val="-3"/>
                <w:sz w:val="20"/>
                <w:szCs w:val="20"/>
              </w:rPr>
              <w:t>数</w:t>
            </w:r>
            <w:r>
              <w:rPr>
                <w:rFonts w:ascii="宋体" w:hAnsi="宋体" w:eastAsia="宋体" w:cs="宋体"/>
                <w:spacing w:val="-2"/>
                <w:sz w:val="20"/>
                <w:szCs w:val="20"/>
              </w:rPr>
              <w:t xml:space="preserve"> (城市选项时)</w:t>
            </w:r>
          </w:p>
        </w:tc>
        <w:tc>
          <w:tcPr>
            <w:tcW w:w="2841" w:type="dxa"/>
            <w:tcBorders>
              <w:right w:val="nil"/>
            </w:tcBorders>
            <w:vAlign w:val="top"/>
          </w:tcPr>
          <w:p w14:paraId="5A8C1F42">
            <w:pPr>
              <w:spacing w:before="25" w:line="281" w:lineRule="exact"/>
              <w:ind w:left="1391"/>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1C7177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5681" w:type="dxa"/>
            <w:gridSpan w:val="2"/>
            <w:tcBorders>
              <w:left w:val="nil"/>
            </w:tcBorders>
            <w:vAlign w:val="top"/>
          </w:tcPr>
          <w:p w14:paraId="00B447DD">
            <w:pPr>
              <w:spacing w:before="25" w:line="280" w:lineRule="exact"/>
              <w:ind w:left="2134"/>
              <w:rPr>
                <w:rFonts w:ascii="Times New Roman" w:hAnsi="Times New Roman" w:eastAsia="Times New Roman" w:cs="Times New Roman"/>
                <w:sz w:val="20"/>
                <w:szCs w:val="20"/>
              </w:rPr>
            </w:pPr>
            <w:r>
              <w:rPr>
                <w:rFonts w:ascii="宋体" w:hAnsi="宋体" w:eastAsia="宋体" w:cs="宋体"/>
                <w:spacing w:val="-6"/>
                <w:position w:val="1"/>
                <w:sz w:val="20"/>
                <w:szCs w:val="20"/>
              </w:rPr>
              <w:t>最</w:t>
            </w:r>
            <w:r>
              <w:rPr>
                <w:rFonts w:ascii="宋体" w:hAnsi="宋体" w:eastAsia="宋体" w:cs="宋体"/>
                <w:spacing w:val="-3"/>
                <w:position w:val="1"/>
                <w:sz w:val="20"/>
                <w:szCs w:val="20"/>
              </w:rPr>
              <w:t>高环境温度</w:t>
            </w:r>
            <w:r>
              <w:rPr>
                <w:rFonts w:ascii="Times New Roman" w:hAnsi="Times New Roman" w:eastAsia="Times New Roman" w:cs="Times New Roman"/>
                <w:spacing w:val="-3"/>
                <w:position w:val="1"/>
                <w:sz w:val="20"/>
                <w:szCs w:val="20"/>
              </w:rPr>
              <w:t>/℃</w:t>
            </w:r>
          </w:p>
        </w:tc>
        <w:tc>
          <w:tcPr>
            <w:tcW w:w="2841" w:type="dxa"/>
            <w:tcBorders>
              <w:right w:val="nil"/>
            </w:tcBorders>
            <w:vAlign w:val="top"/>
          </w:tcPr>
          <w:p w14:paraId="1360ECA9">
            <w:pPr>
              <w:spacing w:before="98" w:line="195" w:lineRule="auto"/>
              <w:ind w:left="125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 xml:space="preserve">37 </w:t>
            </w:r>
            <w:r>
              <w:rPr>
                <w:rFonts w:ascii="Times New Roman" w:hAnsi="Times New Roman" w:eastAsia="Times New Roman" w:cs="Times New Roman"/>
                <w:sz w:val="20"/>
                <w:szCs w:val="20"/>
              </w:rPr>
              <w:t>3</w:t>
            </w:r>
          </w:p>
        </w:tc>
      </w:tr>
      <w:tr w14:paraId="5A5330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5681" w:type="dxa"/>
            <w:gridSpan w:val="2"/>
            <w:tcBorders>
              <w:left w:val="nil"/>
            </w:tcBorders>
            <w:vAlign w:val="top"/>
          </w:tcPr>
          <w:p w14:paraId="2DD0FAA7">
            <w:pPr>
              <w:spacing w:before="26" w:line="281" w:lineRule="exact"/>
              <w:ind w:left="2134"/>
              <w:rPr>
                <w:rFonts w:ascii="Times New Roman" w:hAnsi="Times New Roman" w:eastAsia="Times New Roman" w:cs="Times New Roman"/>
                <w:sz w:val="20"/>
                <w:szCs w:val="20"/>
              </w:rPr>
            </w:pPr>
            <w:r>
              <w:rPr>
                <w:rFonts w:ascii="宋体" w:hAnsi="宋体" w:eastAsia="宋体" w:cs="宋体"/>
                <w:spacing w:val="-6"/>
                <w:position w:val="1"/>
                <w:sz w:val="20"/>
                <w:szCs w:val="20"/>
              </w:rPr>
              <w:t>最</w:t>
            </w:r>
            <w:r>
              <w:rPr>
                <w:rFonts w:ascii="宋体" w:hAnsi="宋体" w:eastAsia="宋体" w:cs="宋体"/>
                <w:spacing w:val="-3"/>
                <w:position w:val="1"/>
                <w:sz w:val="20"/>
                <w:szCs w:val="20"/>
              </w:rPr>
              <w:t>低环境温度</w:t>
            </w:r>
            <w:r>
              <w:rPr>
                <w:rFonts w:ascii="Times New Roman" w:hAnsi="Times New Roman" w:eastAsia="Times New Roman" w:cs="Times New Roman"/>
                <w:spacing w:val="-3"/>
                <w:position w:val="1"/>
                <w:sz w:val="20"/>
                <w:szCs w:val="20"/>
              </w:rPr>
              <w:t>/℃</w:t>
            </w:r>
          </w:p>
        </w:tc>
        <w:tc>
          <w:tcPr>
            <w:tcW w:w="2841" w:type="dxa"/>
            <w:tcBorders>
              <w:right w:val="nil"/>
            </w:tcBorders>
            <w:vAlign w:val="top"/>
          </w:tcPr>
          <w:p w14:paraId="0016EF78">
            <w:pPr>
              <w:spacing w:before="99" w:line="195" w:lineRule="auto"/>
              <w:ind w:left="122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w:t>
            </w:r>
            <w:r>
              <w:rPr>
                <w:rFonts w:ascii="Times New Roman" w:hAnsi="Times New Roman" w:eastAsia="Times New Roman" w:cs="Times New Roman"/>
                <w:spacing w:val="-1"/>
                <w:sz w:val="20"/>
                <w:szCs w:val="20"/>
              </w:rPr>
              <w:t>5 6</w:t>
            </w:r>
          </w:p>
        </w:tc>
      </w:tr>
      <w:tr w14:paraId="7BB07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5681" w:type="dxa"/>
            <w:gridSpan w:val="2"/>
            <w:tcBorders>
              <w:left w:val="nil"/>
            </w:tcBorders>
            <w:vAlign w:val="top"/>
          </w:tcPr>
          <w:p w14:paraId="275F874D">
            <w:pPr>
              <w:spacing w:before="63" w:line="225" w:lineRule="auto"/>
              <w:ind w:left="2260"/>
              <w:rPr>
                <w:rFonts w:ascii="宋体" w:hAnsi="宋体" w:eastAsia="宋体" w:cs="宋体"/>
                <w:sz w:val="20"/>
                <w:szCs w:val="20"/>
              </w:rPr>
            </w:pPr>
            <w:r>
              <w:rPr>
                <w:rFonts w:ascii="宋体" w:hAnsi="宋体" w:eastAsia="宋体" w:cs="宋体"/>
                <w:spacing w:val="-3"/>
                <w:sz w:val="20"/>
                <w:szCs w:val="20"/>
              </w:rPr>
              <w:t>土</w:t>
            </w:r>
            <w:r>
              <w:rPr>
                <w:rFonts w:ascii="宋体" w:hAnsi="宋体" w:eastAsia="宋体" w:cs="宋体"/>
                <w:spacing w:val="-2"/>
                <w:sz w:val="20"/>
                <w:szCs w:val="20"/>
              </w:rPr>
              <w:t>地利用类型</w:t>
            </w:r>
          </w:p>
        </w:tc>
        <w:tc>
          <w:tcPr>
            <w:tcW w:w="2841" w:type="dxa"/>
            <w:tcBorders>
              <w:right w:val="nil"/>
            </w:tcBorders>
            <w:vAlign w:val="top"/>
          </w:tcPr>
          <w:p w14:paraId="2B307806">
            <w:pPr>
              <w:spacing w:before="63" w:line="225" w:lineRule="auto"/>
              <w:ind w:left="1131"/>
              <w:rPr>
                <w:rFonts w:ascii="宋体" w:hAnsi="宋体" w:eastAsia="宋体" w:cs="宋体"/>
                <w:sz w:val="20"/>
                <w:szCs w:val="20"/>
              </w:rPr>
            </w:pPr>
            <w:r>
              <w:rPr>
                <w:rFonts w:ascii="宋体" w:hAnsi="宋体" w:eastAsia="宋体" w:cs="宋体"/>
                <w:spacing w:val="-1"/>
                <w:sz w:val="20"/>
                <w:szCs w:val="20"/>
              </w:rPr>
              <w:t>农作地</w:t>
            </w:r>
          </w:p>
        </w:tc>
      </w:tr>
      <w:tr w14:paraId="3702E5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5681" w:type="dxa"/>
            <w:gridSpan w:val="2"/>
            <w:tcBorders>
              <w:left w:val="nil"/>
            </w:tcBorders>
            <w:vAlign w:val="top"/>
          </w:tcPr>
          <w:p w14:paraId="46CA1FF0">
            <w:pPr>
              <w:spacing w:before="63" w:line="225" w:lineRule="auto"/>
              <w:ind w:left="2274"/>
              <w:rPr>
                <w:rFonts w:ascii="宋体" w:hAnsi="宋体" w:eastAsia="宋体" w:cs="宋体"/>
                <w:sz w:val="20"/>
                <w:szCs w:val="20"/>
              </w:rPr>
            </w:pPr>
            <w:r>
              <w:rPr>
                <w:rFonts w:ascii="宋体" w:hAnsi="宋体" w:eastAsia="宋体" w:cs="宋体"/>
                <w:spacing w:val="-8"/>
                <w:sz w:val="20"/>
                <w:szCs w:val="20"/>
              </w:rPr>
              <w:t>区</w:t>
            </w:r>
            <w:r>
              <w:rPr>
                <w:rFonts w:ascii="宋体" w:hAnsi="宋体" w:eastAsia="宋体" w:cs="宋体"/>
                <w:spacing w:val="-4"/>
                <w:sz w:val="20"/>
                <w:szCs w:val="20"/>
              </w:rPr>
              <w:t>域湿度条件</w:t>
            </w:r>
          </w:p>
        </w:tc>
        <w:tc>
          <w:tcPr>
            <w:tcW w:w="2841" w:type="dxa"/>
            <w:tcBorders>
              <w:right w:val="nil"/>
            </w:tcBorders>
            <w:vAlign w:val="top"/>
          </w:tcPr>
          <w:p w14:paraId="5F950580">
            <w:pPr>
              <w:spacing w:before="63" w:line="225" w:lineRule="auto"/>
              <w:ind w:left="857"/>
              <w:rPr>
                <w:rFonts w:ascii="宋体" w:hAnsi="宋体" w:eastAsia="宋体" w:cs="宋体"/>
                <w:sz w:val="20"/>
                <w:szCs w:val="20"/>
              </w:rPr>
            </w:pPr>
            <w:r>
              <w:rPr>
                <w:rFonts w:ascii="宋体" w:hAnsi="宋体" w:eastAsia="宋体" w:cs="宋体"/>
                <w:spacing w:val="-7"/>
                <w:sz w:val="20"/>
                <w:szCs w:val="20"/>
              </w:rPr>
              <w:t>中</w:t>
            </w:r>
            <w:r>
              <w:rPr>
                <w:rFonts w:ascii="宋体" w:hAnsi="宋体" w:eastAsia="宋体" w:cs="宋体"/>
                <w:spacing w:val="-5"/>
                <w:sz w:val="20"/>
                <w:szCs w:val="20"/>
              </w:rPr>
              <w:t>等湿度气候</w:t>
            </w:r>
          </w:p>
        </w:tc>
      </w:tr>
      <w:tr w14:paraId="26E800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840" w:type="dxa"/>
            <w:vMerge w:val="restart"/>
            <w:tcBorders>
              <w:left w:val="nil"/>
              <w:bottom w:val="nil"/>
            </w:tcBorders>
            <w:vAlign w:val="top"/>
          </w:tcPr>
          <w:p w14:paraId="0EAE036F">
            <w:pPr>
              <w:spacing w:before="205" w:line="227" w:lineRule="auto"/>
              <w:ind w:left="844"/>
              <w:rPr>
                <w:rFonts w:ascii="宋体" w:hAnsi="宋体" w:eastAsia="宋体" w:cs="宋体"/>
                <w:sz w:val="20"/>
                <w:szCs w:val="20"/>
              </w:rPr>
            </w:pPr>
            <w:r>
              <w:rPr>
                <w:rFonts w:ascii="宋体" w:hAnsi="宋体" w:eastAsia="宋体" w:cs="宋体"/>
                <w:spacing w:val="-4"/>
                <w:sz w:val="20"/>
                <w:szCs w:val="20"/>
              </w:rPr>
              <w:t>是否</w:t>
            </w:r>
            <w:r>
              <w:rPr>
                <w:rFonts w:ascii="宋体" w:hAnsi="宋体" w:eastAsia="宋体" w:cs="宋体"/>
                <w:spacing w:val="-2"/>
                <w:sz w:val="20"/>
                <w:szCs w:val="20"/>
              </w:rPr>
              <w:t>考虑地形</w:t>
            </w:r>
          </w:p>
        </w:tc>
        <w:tc>
          <w:tcPr>
            <w:tcW w:w="2841" w:type="dxa"/>
            <w:vAlign w:val="top"/>
          </w:tcPr>
          <w:p w14:paraId="254ECB49">
            <w:pPr>
              <w:spacing w:before="63" w:line="225" w:lineRule="auto"/>
              <w:ind w:left="1034"/>
              <w:rPr>
                <w:rFonts w:ascii="宋体" w:hAnsi="宋体" w:eastAsia="宋体" w:cs="宋体"/>
                <w:sz w:val="20"/>
                <w:szCs w:val="20"/>
              </w:rPr>
            </w:pPr>
            <w:r>
              <w:rPr>
                <w:rFonts w:ascii="宋体" w:hAnsi="宋体" w:eastAsia="宋体" w:cs="宋体"/>
                <w:spacing w:val="-2"/>
                <w:sz w:val="20"/>
                <w:szCs w:val="20"/>
              </w:rPr>
              <w:t>考虑</w:t>
            </w:r>
            <w:r>
              <w:rPr>
                <w:rFonts w:ascii="宋体" w:hAnsi="宋体" w:eastAsia="宋体" w:cs="宋体"/>
                <w:spacing w:val="-1"/>
                <w:sz w:val="20"/>
                <w:szCs w:val="20"/>
              </w:rPr>
              <w:t>地形</w:t>
            </w:r>
          </w:p>
        </w:tc>
        <w:tc>
          <w:tcPr>
            <w:tcW w:w="2841" w:type="dxa"/>
            <w:tcBorders>
              <w:right w:val="nil"/>
            </w:tcBorders>
            <w:vAlign w:val="top"/>
          </w:tcPr>
          <w:p w14:paraId="722EF425">
            <w:pPr>
              <w:spacing w:before="63" w:line="225" w:lineRule="auto"/>
              <w:ind w:left="976"/>
              <w:rPr>
                <w:rFonts w:ascii="宋体" w:hAnsi="宋体" w:eastAsia="宋体" w:cs="宋体"/>
                <w:sz w:val="20"/>
                <w:szCs w:val="20"/>
              </w:rPr>
            </w:pPr>
            <w:r>
              <w:rPr>
                <w:rFonts w:ascii="Times New Roman" w:hAnsi="Times New Roman" w:eastAsia="Times New Roman" w:cs="Times New Roman"/>
                <w:spacing w:val="-2"/>
                <w:sz w:val="20"/>
                <w:szCs w:val="20"/>
              </w:rPr>
              <w:t>□</w:t>
            </w:r>
            <w:r>
              <w:rPr>
                <w:rFonts w:ascii="宋体" w:hAnsi="宋体" w:eastAsia="宋体" w:cs="宋体"/>
                <w:spacing w:val="-2"/>
                <w:sz w:val="20"/>
                <w:szCs w:val="20"/>
              </w:rPr>
              <w:t xml:space="preserve">是  </w:t>
            </w:r>
            <w:r>
              <w:rPr>
                <w:rFonts w:ascii="MS UI Gothic" w:hAnsi="MS UI Gothic" w:eastAsia="MS UI Gothic" w:cs="MS UI Gothic"/>
                <w:spacing w:val="-1"/>
                <w:sz w:val="20"/>
                <w:szCs w:val="20"/>
              </w:rPr>
              <w:t>☑</w:t>
            </w:r>
            <w:r>
              <w:rPr>
                <w:rFonts w:ascii="宋体" w:hAnsi="宋体" w:eastAsia="宋体" w:cs="宋体"/>
                <w:spacing w:val="-1"/>
                <w:sz w:val="20"/>
                <w:szCs w:val="20"/>
              </w:rPr>
              <w:t>否</w:t>
            </w:r>
          </w:p>
        </w:tc>
      </w:tr>
      <w:tr w14:paraId="789AB4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840" w:type="dxa"/>
            <w:vMerge w:val="continue"/>
            <w:tcBorders>
              <w:top w:val="nil"/>
              <w:left w:val="nil"/>
            </w:tcBorders>
            <w:vAlign w:val="top"/>
          </w:tcPr>
          <w:p w14:paraId="2F38D0BA">
            <w:pPr>
              <w:rPr>
                <w:rFonts w:ascii="Arial"/>
                <w:sz w:val="21"/>
              </w:rPr>
            </w:pPr>
          </w:p>
        </w:tc>
        <w:tc>
          <w:tcPr>
            <w:tcW w:w="2841" w:type="dxa"/>
            <w:vAlign w:val="top"/>
          </w:tcPr>
          <w:p w14:paraId="5E234AFC">
            <w:pPr>
              <w:spacing w:before="26" w:line="279" w:lineRule="exact"/>
              <w:ind w:left="636"/>
              <w:rPr>
                <w:rFonts w:ascii="Times New Roman" w:hAnsi="Times New Roman" w:eastAsia="Times New Roman" w:cs="Times New Roman"/>
                <w:sz w:val="20"/>
                <w:szCs w:val="20"/>
              </w:rPr>
            </w:pPr>
            <w:r>
              <w:rPr>
                <w:rFonts w:ascii="宋体" w:hAnsi="宋体" w:eastAsia="宋体" w:cs="宋体"/>
                <w:spacing w:val="-4"/>
                <w:position w:val="1"/>
                <w:sz w:val="20"/>
                <w:szCs w:val="20"/>
              </w:rPr>
              <w:t>地形数</w:t>
            </w:r>
            <w:r>
              <w:rPr>
                <w:rFonts w:ascii="宋体" w:hAnsi="宋体" w:eastAsia="宋体" w:cs="宋体"/>
                <w:spacing w:val="-3"/>
                <w:position w:val="1"/>
                <w:sz w:val="20"/>
                <w:szCs w:val="20"/>
              </w:rPr>
              <w:t>据</w:t>
            </w:r>
            <w:r>
              <w:rPr>
                <w:rFonts w:ascii="宋体" w:hAnsi="宋体" w:eastAsia="宋体" w:cs="宋体"/>
                <w:spacing w:val="-2"/>
                <w:position w:val="1"/>
                <w:sz w:val="20"/>
                <w:szCs w:val="20"/>
              </w:rPr>
              <w:t>分辨率</w:t>
            </w:r>
            <w:r>
              <w:rPr>
                <w:rFonts w:ascii="Times New Roman" w:hAnsi="Times New Roman" w:eastAsia="Times New Roman" w:cs="Times New Roman"/>
                <w:spacing w:val="-2"/>
                <w:position w:val="1"/>
                <w:sz w:val="20"/>
                <w:szCs w:val="20"/>
              </w:rPr>
              <w:t>/m</w:t>
            </w:r>
          </w:p>
        </w:tc>
        <w:tc>
          <w:tcPr>
            <w:tcW w:w="2841" w:type="dxa"/>
            <w:tcBorders>
              <w:right w:val="nil"/>
            </w:tcBorders>
            <w:vAlign w:val="top"/>
          </w:tcPr>
          <w:p w14:paraId="542AE3DD">
            <w:pPr>
              <w:spacing w:before="26" w:line="279" w:lineRule="exact"/>
              <w:ind w:left="1391"/>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412A72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840" w:type="dxa"/>
            <w:vMerge w:val="restart"/>
            <w:tcBorders>
              <w:left w:val="nil"/>
              <w:bottom w:val="nil"/>
            </w:tcBorders>
            <w:vAlign w:val="top"/>
          </w:tcPr>
          <w:p w14:paraId="4CAB3BAE">
            <w:pPr>
              <w:spacing w:line="295" w:lineRule="auto"/>
              <w:rPr>
                <w:rFonts w:ascii="Arial"/>
                <w:sz w:val="21"/>
              </w:rPr>
            </w:pPr>
          </w:p>
          <w:p w14:paraId="79B2EB68">
            <w:pPr>
              <w:spacing w:before="65" w:line="227" w:lineRule="auto"/>
              <w:ind w:left="647"/>
              <w:rPr>
                <w:rFonts w:ascii="宋体" w:hAnsi="宋体" w:eastAsia="宋体" w:cs="宋体"/>
                <w:sz w:val="20"/>
                <w:szCs w:val="20"/>
              </w:rPr>
            </w:pPr>
            <w:r>
              <w:rPr>
                <w:rFonts w:ascii="宋体" w:hAnsi="宋体" w:eastAsia="宋体" w:cs="宋体"/>
                <w:spacing w:val="-4"/>
                <w:sz w:val="20"/>
                <w:szCs w:val="20"/>
              </w:rPr>
              <w:t>是否考</w:t>
            </w:r>
            <w:r>
              <w:rPr>
                <w:rFonts w:ascii="宋体" w:hAnsi="宋体" w:eastAsia="宋体" w:cs="宋体"/>
                <w:spacing w:val="-2"/>
                <w:sz w:val="20"/>
                <w:szCs w:val="20"/>
              </w:rPr>
              <w:t>虑岸线熏烟</w:t>
            </w:r>
          </w:p>
        </w:tc>
        <w:tc>
          <w:tcPr>
            <w:tcW w:w="2841" w:type="dxa"/>
            <w:vAlign w:val="top"/>
          </w:tcPr>
          <w:p w14:paraId="353AEDDF">
            <w:pPr>
              <w:spacing w:before="64" w:line="224" w:lineRule="auto"/>
              <w:ind w:left="837"/>
              <w:rPr>
                <w:rFonts w:ascii="宋体" w:hAnsi="宋体" w:eastAsia="宋体" w:cs="宋体"/>
                <w:sz w:val="20"/>
                <w:szCs w:val="20"/>
              </w:rPr>
            </w:pPr>
            <w:r>
              <w:rPr>
                <w:rFonts w:ascii="宋体" w:hAnsi="宋体" w:eastAsia="宋体" w:cs="宋体"/>
                <w:spacing w:val="-2"/>
                <w:sz w:val="20"/>
                <w:szCs w:val="20"/>
              </w:rPr>
              <w:t>考虑岸线熏烟</w:t>
            </w:r>
          </w:p>
        </w:tc>
        <w:tc>
          <w:tcPr>
            <w:tcW w:w="2841" w:type="dxa"/>
            <w:tcBorders>
              <w:right w:val="nil"/>
            </w:tcBorders>
            <w:vAlign w:val="top"/>
          </w:tcPr>
          <w:p w14:paraId="470DC6F6">
            <w:pPr>
              <w:spacing w:before="64" w:line="224" w:lineRule="auto"/>
              <w:ind w:left="976"/>
              <w:rPr>
                <w:rFonts w:ascii="宋体" w:hAnsi="宋体" w:eastAsia="宋体" w:cs="宋体"/>
                <w:sz w:val="20"/>
                <w:szCs w:val="20"/>
              </w:rPr>
            </w:pPr>
            <w:r>
              <w:rPr>
                <w:rFonts w:ascii="Times New Roman" w:hAnsi="Times New Roman" w:eastAsia="Times New Roman" w:cs="Times New Roman"/>
                <w:spacing w:val="-2"/>
                <w:sz w:val="20"/>
                <w:szCs w:val="20"/>
              </w:rPr>
              <w:t>□</w:t>
            </w:r>
            <w:r>
              <w:rPr>
                <w:rFonts w:ascii="宋体" w:hAnsi="宋体" w:eastAsia="宋体" w:cs="宋体"/>
                <w:spacing w:val="-2"/>
                <w:sz w:val="20"/>
                <w:szCs w:val="20"/>
              </w:rPr>
              <w:t xml:space="preserve">是  </w:t>
            </w:r>
            <w:r>
              <w:rPr>
                <w:rFonts w:ascii="MS UI Gothic" w:hAnsi="MS UI Gothic" w:eastAsia="MS UI Gothic" w:cs="MS UI Gothic"/>
                <w:spacing w:val="-1"/>
                <w:sz w:val="20"/>
                <w:szCs w:val="20"/>
              </w:rPr>
              <w:t>☑</w:t>
            </w:r>
            <w:r>
              <w:rPr>
                <w:rFonts w:ascii="宋体" w:hAnsi="宋体" w:eastAsia="宋体" w:cs="宋体"/>
                <w:spacing w:val="-1"/>
                <w:sz w:val="20"/>
                <w:szCs w:val="20"/>
              </w:rPr>
              <w:t>否</w:t>
            </w:r>
          </w:p>
        </w:tc>
      </w:tr>
      <w:tr w14:paraId="3AB8C8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840" w:type="dxa"/>
            <w:vMerge w:val="continue"/>
            <w:tcBorders>
              <w:top w:val="nil"/>
              <w:left w:val="nil"/>
              <w:bottom w:val="nil"/>
            </w:tcBorders>
            <w:vAlign w:val="top"/>
          </w:tcPr>
          <w:p w14:paraId="6B4B4D57">
            <w:pPr>
              <w:rPr>
                <w:rFonts w:ascii="Arial"/>
                <w:sz w:val="21"/>
              </w:rPr>
            </w:pPr>
          </w:p>
        </w:tc>
        <w:tc>
          <w:tcPr>
            <w:tcW w:w="2841" w:type="dxa"/>
            <w:vAlign w:val="top"/>
          </w:tcPr>
          <w:p w14:paraId="70038C61">
            <w:pPr>
              <w:spacing w:before="27" w:line="278" w:lineRule="exact"/>
              <w:ind w:left="931"/>
              <w:rPr>
                <w:rFonts w:ascii="Times New Roman" w:hAnsi="Times New Roman" w:eastAsia="Times New Roman" w:cs="Times New Roman"/>
                <w:sz w:val="20"/>
                <w:szCs w:val="20"/>
              </w:rPr>
            </w:pPr>
            <w:r>
              <w:rPr>
                <w:rFonts w:ascii="宋体" w:hAnsi="宋体" w:eastAsia="宋体" w:cs="宋体"/>
                <w:spacing w:val="-3"/>
                <w:position w:val="1"/>
                <w:sz w:val="20"/>
                <w:szCs w:val="20"/>
              </w:rPr>
              <w:t>岸线距离</w:t>
            </w:r>
            <w:r>
              <w:rPr>
                <w:rFonts w:ascii="Times New Roman" w:hAnsi="Times New Roman" w:eastAsia="Times New Roman" w:cs="Times New Roman"/>
                <w:spacing w:val="-3"/>
                <w:position w:val="1"/>
                <w:sz w:val="20"/>
                <w:szCs w:val="20"/>
              </w:rPr>
              <w:t>/</w:t>
            </w:r>
            <w:r>
              <w:rPr>
                <w:rFonts w:ascii="Times New Roman" w:hAnsi="Times New Roman" w:eastAsia="Times New Roman" w:cs="Times New Roman"/>
                <w:spacing w:val="-2"/>
                <w:position w:val="1"/>
                <w:sz w:val="20"/>
                <w:szCs w:val="20"/>
              </w:rPr>
              <w:t>m</w:t>
            </w:r>
          </w:p>
        </w:tc>
        <w:tc>
          <w:tcPr>
            <w:tcW w:w="2841" w:type="dxa"/>
            <w:tcBorders>
              <w:right w:val="nil"/>
            </w:tcBorders>
            <w:vAlign w:val="top"/>
          </w:tcPr>
          <w:p w14:paraId="05B80C89">
            <w:pPr>
              <w:spacing w:before="27" w:line="278" w:lineRule="exact"/>
              <w:ind w:left="1391"/>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383185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2840" w:type="dxa"/>
            <w:vMerge w:val="continue"/>
            <w:tcBorders>
              <w:top w:val="nil"/>
              <w:left w:val="nil"/>
            </w:tcBorders>
            <w:vAlign w:val="top"/>
          </w:tcPr>
          <w:p w14:paraId="27D9A9E8">
            <w:pPr>
              <w:rPr>
                <w:rFonts w:ascii="Arial"/>
                <w:sz w:val="21"/>
              </w:rPr>
            </w:pPr>
          </w:p>
        </w:tc>
        <w:tc>
          <w:tcPr>
            <w:tcW w:w="2841" w:type="dxa"/>
            <w:vAlign w:val="top"/>
          </w:tcPr>
          <w:p w14:paraId="5271F7E7">
            <w:pPr>
              <w:spacing w:before="28" w:line="281" w:lineRule="exact"/>
              <w:ind w:left="969"/>
              <w:rPr>
                <w:rFonts w:ascii="Times New Roman" w:hAnsi="Times New Roman" w:eastAsia="Times New Roman" w:cs="Times New Roman"/>
                <w:sz w:val="20"/>
                <w:szCs w:val="20"/>
              </w:rPr>
            </w:pPr>
            <w:r>
              <w:rPr>
                <w:rFonts w:ascii="宋体" w:hAnsi="宋体" w:eastAsia="宋体" w:cs="宋体"/>
                <w:spacing w:val="-6"/>
                <w:position w:val="1"/>
                <w:sz w:val="20"/>
                <w:szCs w:val="20"/>
              </w:rPr>
              <w:t>岸</w:t>
            </w:r>
            <w:r>
              <w:rPr>
                <w:rFonts w:ascii="宋体" w:hAnsi="宋体" w:eastAsia="宋体" w:cs="宋体"/>
                <w:spacing w:val="-3"/>
                <w:position w:val="1"/>
                <w:sz w:val="20"/>
                <w:szCs w:val="20"/>
              </w:rPr>
              <w:t>线方向</w:t>
            </w:r>
            <w:r>
              <w:rPr>
                <w:rFonts w:ascii="Times New Roman" w:hAnsi="Times New Roman" w:eastAsia="Times New Roman" w:cs="Times New Roman"/>
                <w:spacing w:val="-3"/>
                <w:position w:val="1"/>
                <w:sz w:val="20"/>
                <w:szCs w:val="20"/>
              </w:rPr>
              <w:t>/°</w:t>
            </w:r>
          </w:p>
        </w:tc>
        <w:tc>
          <w:tcPr>
            <w:tcW w:w="2841" w:type="dxa"/>
            <w:tcBorders>
              <w:right w:val="nil"/>
            </w:tcBorders>
            <w:vAlign w:val="top"/>
          </w:tcPr>
          <w:p w14:paraId="14E43104">
            <w:pPr>
              <w:spacing w:before="28" w:line="281" w:lineRule="exact"/>
              <w:ind w:left="1391"/>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bl>
    <w:p w14:paraId="0231CF0A">
      <w:pPr>
        <w:spacing w:before="303" w:line="323" w:lineRule="exact"/>
        <w:ind w:left="568"/>
        <w:rPr>
          <w:rFonts w:ascii="宋体" w:hAnsi="宋体" w:eastAsia="宋体" w:cs="宋体"/>
          <w:sz w:val="23"/>
          <w:szCs w:val="23"/>
        </w:rPr>
      </w:pPr>
      <w:r>
        <w:rPr>
          <w:rFonts w:ascii="宋体" w:hAnsi="宋体" w:eastAsia="宋体" w:cs="宋体"/>
          <w:spacing w:val="-6"/>
          <w:position w:val="1"/>
          <w:sz w:val="23"/>
          <w:szCs w:val="23"/>
        </w:rPr>
        <w:t xml:space="preserve">根据工程分析结果，该项目污染源最大地面浓度占标率 </w:t>
      </w:r>
      <w:r>
        <w:rPr>
          <w:rFonts w:ascii="Times New Roman" w:hAnsi="Times New Roman" w:eastAsia="Times New Roman" w:cs="Times New Roman"/>
          <w:spacing w:val="-6"/>
          <w:position w:val="1"/>
          <w:sz w:val="23"/>
          <w:szCs w:val="23"/>
        </w:rPr>
        <w:t xml:space="preserve">Pi </w:t>
      </w:r>
      <w:r>
        <w:rPr>
          <w:rFonts w:ascii="宋体" w:hAnsi="宋体" w:eastAsia="宋体" w:cs="宋体"/>
          <w:spacing w:val="-6"/>
          <w:position w:val="1"/>
          <w:sz w:val="23"/>
          <w:szCs w:val="23"/>
        </w:rPr>
        <w:t xml:space="preserve">见表 </w:t>
      </w:r>
      <w:r>
        <w:rPr>
          <w:rFonts w:ascii="Times New Roman" w:hAnsi="Times New Roman" w:eastAsia="Times New Roman" w:cs="Times New Roman"/>
          <w:spacing w:val="-6"/>
          <w:position w:val="1"/>
          <w:sz w:val="23"/>
          <w:szCs w:val="23"/>
        </w:rPr>
        <w:t>2-16</w:t>
      </w:r>
      <w:r>
        <w:rPr>
          <w:rFonts w:ascii="宋体" w:hAnsi="宋体" w:eastAsia="宋体" w:cs="宋体"/>
          <w:spacing w:val="-6"/>
          <w:position w:val="1"/>
          <w:sz w:val="23"/>
          <w:szCs w:val="23"/>
        </w:rPr>
        <w:t>。</w:t>
      </w:r>
    </w:p>
    <w:p w14:paraId="6C75178E">
      <w:pPr>
        <w:spacing w:line="292" w:lineRule="auto"/>
        <w:rPr>
          <w:rFonts w:ascii="Arial"/>
          <w:sz w:val="21"/>
        </w:rPr>
      </w:pPr>
    </w:p>
    <w:p w14:paraId="0EEFE258">
      <w:pPr>
        <w:spacing w:before="75" w:line="227" w:lineRule="auto"/>
        <w:ind w:left="1971"/>
        <w:rPr>
          <w:rFonts w:ascii="宋体" w:hAnsi="宋体" w:eastAsia="宋体" w:cs="宋体"/>
          <w:sz w:val="23"/>
          <w:szCs w:val="23"/>
        </w:rPr>
      </w:pPr>
      <w:r>
        <w:rPr>
          <w:rFonts w:ascii="宋体" w:hAnsi="宋体" w:eastAsia="宋体" w:cs="宋体"/>
          <w:spacing w:val="-2"/>
          <w:sz w:val="23"/>
          <w:szCs w:val="23"/>
          <w14:textOutline w14:w="4358" w14:cap="sq" w14:cmpd="sng">
            <w14:solidFill>
              <w14:srgbClr w14:val="000000"/>
            </w14:solidFill>
            <w14:prstDash w14:val="solid"/>
            <w14:bevel/>
          </w14:textOutline>
        </w:rPr>
        <w:t>表</w:t>
      </w:r>
      <w:r>
        <w:rPr>
          <w:rFonts w:ascii="宋体" w:hAnsi="宋体" w:eastAsia="宋体" w:cs="宋体"/>
          <w:spacing w:val="-2"/>
          <w:sz w:val="23"/>
          <w:szCs w:val="23"/>
        </w:rPr>
        <w:t xml:space="preserve"> </w:t>
      </w:r>
      <w:r>
        <w:rPr>
          <w:rFonts w:ascii="Times New Roman" w:hAnsi="Times New Roman" w:eastAsia="Times New Roman" w:cs="Times New Roman"/>
          <w:b/>
          <w:bCs/>
          <w:spacing w:val="-2"/>
          <w:sz w:val="23"/>
          <w:szCs w:val="23"/>
        </w:rPr>
        <w:t>2-16</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14:textOutline w14:w="4358" w14:cap="sq" w14:cmpd="sng">
            <w14:solidFill>
              <w14:srgbClr w14:val="000000"/>
            </w14:solidFill>
            <w14:prstDash w14:val="solid"/>
            <w14:bevel/>
          </w14:textOutline>
        </w:rPr>
        <w:t>项目主要污染物最大浓</w:t>
      </w:r>
      <w:r>
        <w:rPr>
          <w:rFonts w:ascii="宋体" w:hAnsi="宋体" w:eastAsia="宋体" w:cs="宋体"/>
          <w:spacing w:val="-1"/>
          <w:sz w:val="23"/>
          <w:szCs w:val="23"/>
          <w14:textOutline w14:w="4358" w14:cap="sq" w14:cmpd="sng">
            <w14:solidFill>
              <w14:srgbClr w14:val="000000"/>
            </w14:solidFill>
            <w14:prstDash w14:val="solid"/>
            <w14:bevel/>
          </w14:textOutline>
        </w:rPr>
        <w:t>度及浓度占标率</w:t>
      </w:r>
    </w:p>
    <w:p w14:paraId="18CF29E2">
      <w:pPr>
        <w:spacing w:line="18" w:lineRule="exact"/>
      </w:pPr>
    </w:p>
    <w:tbl>
      <w:tblPr>
        <w:tblStyle w:val="4"/>
        <w:tblW w:w="8306"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7"/>
        <w:gridCol w:w="1110"/>
        <w:gridCol w:w="1678"/>
        <w:gridCol w:w="1678"/>
        <w:gridCol w:w="1678"/>
        <w:gridCol w:w="1125"/>
      </w:tblGrid>
      <w:tr w14:paraId="00A75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2147" w:type="dxa"/>
            <w:gridSpan w:val="2"/>
            <w:tcBorders>
              <w:left w:val="nil"/>
            </w:tcBorders>
            <w:vAlign w:val="top"/>
          </w:tcPr>
          <w:p w14:paraId="5555269C">
            <w:pPr>
              <w:spacing w:before="114" w:line="207" w:lineRule="auto"/>
              <w:ind w:left="765"/>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污</w:t>
            </w:r>
            <w:r>
              <w:rPr>
                <w:rFonts w:ascii="宋体" w:hAnsi="宋体" w:eastAsia="宋体" w:cs="宋体"/>
                <w:spacing w:val="6"/>
                <w:sz w:val="20"/>
                <w:szCs w:val="20"/>
                <w14:textOutline w14:w="3795" w14:cap="sq" w14:cmpd="sng">
                  <w14:solidFill>
                    <w14:srgbClr w14:val="000000"/>
                  </w14:solidFill>
                  <w14:prstDash w14:val="solid"/>
                  <w14:bevel/>
                </w14:textOutline>
              </w:rPr>
              <w:t>染物</w:t>
            </w:r>
          </w:p>
        </w:tc>
        <w:tc>
          <w:tcPr>
            <w:tcW w:w="1678" w:type="dxa"/>
            <w:vAlign w:val="top"/>
          </w:tcPr>
          <w:p w14:paraId="4F92EBAF">
            <w:pPr>
              <w:spacing w:before="42" w:line="289" w:lineRule="exact"/>
              <w:ind w:left="69"/>
              <w:rPr>
                <w:rFonts w:ascii="宋体" w:hAnsi="宋体" w:eastAsia="宋体" w:cs="宋体"/>
                <w:sz w:val="20"/>
                <w:szCs w:val="20"/>
              </w:rPr>
            </w:pPr>
            <w:r>
              <w:rPr>
                <w:rFonts w:ascii="宋体" w:hAnsi="宋体" w:eastAsia="宋体" w:cs="宋体"/>
                <w:spacing w:val="-2"/>
                <w:position w:val="3"/>
                <w:sz w:val="20"/>
                <w:szCs w:val="20"/>
                <w14:textOutline w14:w="3795" w14:cap="sq" w14:cmpd="sng">
                  <w14:solidFill>
                    <w14:srgbClr w14:val="000000"/>
                  </w14:solidFill>
                  <w14:prstDash w14:val="solid"/>
                  <w14:bevel/>
                </w14:textOutline>
              </w:rPr>
              <w:t>排放速率</w:t>
            </w:r>
            <w:r>
              <w:rPr>
                <w:rFonts w:ascii="宋体" w:hAnsi="宋体" w:eastAsia="宋体" w:cs="宋体"/>
                <w:spacing w:val="-2"/>
                <w:position w:val="3"/>
                <w:sz w:val="20"/>
                <w:szCs w:val="20"/>
              </w:rPr>
              <w:t xml:space="preserve"> </w:t>
            </w:r>
            <w:r>
              <w:rPr>
                <w:rFonts w:ascii="宋体" w:hAnsi="宋体" w:eastAsia="宋体" w:cs="宋体"/>
                <w:spacing w:val="-2"/>
                <w:position w:val="3"/>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spacing w:val="-2"/>
                <w:position w:val="3"/>
                <w:sz w:val="20"/>
                <w:szCs w:val="20"/>
              </w:rPr>
              <w:t>k</w:t>
            </w:r>
            <w:r>
              <w:rPr>
                <w:rFonts w:ascii="Times New Roman" w:hAnsi="Times New Roman" w:eastAsia="Times New Roman" w:cs="Times New Roman"/>
                <w:b/>
                <w:bCs/>
                <w:spacing w:val="-1"/>
                <w:position w:val="3"/>
                <w:sz w:val="20"/>
                <w:szCs w:val="20"/>
              </w:rPr>
              <w:t>g</w:t>
            </w:r>
            <w:r>
              <w:rPr>
                <w:rFonts w:ascii="Times New Roman" w:hAnsi="Times New Roman" w:eastAsia="Times New Roman" w:cs="Times New Roman"/>
                <w:b/>
                <w:bCs/>
                <w:spacing w:val="-2"/>
                <w:position w:val="3"/>
                <w:sz w:val="20"/>
                <w:szCs w:val="20"/>
              </w:rPr>
              <w:t>/</w:t>
            </w:r>
            <w:r>
              <w:rPr>
                <w:rFonts w:ascii="Times New Roman" w:hAnsi="Times New Roman" w:eastAsia="Times New Roman" w:cs="Times New Roman"/>
                <w:b/>
                <w:bCs/>
                <w:spacing w:val="-1"/>
                <w:position w:val="3"/>
                <w:sz w:val="20"/>
                <w:szCs w:val="20"/>
              </w:rPr>
              <w:t>h</w:t>
            </w:r>
            <w:r>
              <w:rPr>
                <w:rFonts w:ascii="宋体" w:hAnsi="宋体" w:eastAsia="宋体" w:cs="宋体"/>
                <w:spacing w:val="-2"/>
                <w:position w:val="3"/>
                <w:sz w:val="20"/>
                <w:szCs w:val="20"/>
                <w14:textOutline w14:w="3795" w14:cap="sq" w14:cmpd="sng">
                  <w14:solidFill>
                    <w14:srgbClr w14:val="000000"/>
                  </w14:solidFill>
                  <w14:prstDash w14:val="solid"/>
                  <w14:bevel/>
                </w14:textOutline>
              </w:rPr>
              <w:t>)</w:t>
            </w:r>
          </w:p>
        </w:tc>
        <w:tc>
          <w:tcPr>
            <w:tcW w:w="1678" w:type="dxa"/>
            <w:vAlign w:val="top"/>
          </w:tcPr>
          <w:p w14:paraId="6D426F1D">
            <w:pPr>
              <w:spacing w:before="42" w:line="289" w:lineRule="exact"/>
              <w:ind w:left="215"/>
              <w:rPr>
                <w:rFonts w:ascii="宋体" w:hAnsi="宋体" w:eastAsia="宋体" w:cs="宋体"/>
                <w:sz w:val="20"/>
                <w:szCs w:val="20"/>
              </w:rPr>
            </w:pPr>
            <w:r>
              <w:rPr>
                <w:rFonts w:ascii="Times New Roman" w:hAnsi="Times New Roman" w:eastAsia="Times New Roman" w:cs="Times New Roman"/>
                <w:b/>
                <w:bCs/>
                <w:spacing w:val="-2"/>
                <w:position w:val="3"/>
                <w:sz w:val="20"/>
                <w:szCs w:val="20"/>
              </w:rPr>
              <w:t>C</w:t>
            </w:r>
            <w:r>
              <w:rPr>
                <w:rFonts w:ascii="Times New Roman" w:hAnsi="Times New Roman" w:eastAsia="Times New Roman" w:cs="Times New Roman"/>
                <w:b/>
                <w:bCs/>
                <w:spacing w:val="-2"/>
                <w:position w:val="1"/>
                <w:sz w:val="13"/>
                <w:szCs w:val="13"/>
              </w:rPr>
              <w:t>m</w:t>
            </w:r>
            <w:r>
              <w:rPr>
                <w:rFonts w:ascii="Times New Roman" w:hAnsi="Times New Roman" w:eastAsia="Times New Roman" w:cs="Times New Roman"/>
                <w:b/>
                <w:bCs/>
                <w:spacing w:val="-1"/>
                <w:position w:val="1"/>
                <w:sz w:val="13"/>
                <w:szCs w:val="13"/>
              </w:rPr>
              <w:t>ax</w:t>
            </w:r>
            <w:r>
              <w:rPr>
                <w:rFonts w:ascii="Times New Roman" w:hAnsi="Times New Roman" w:eastAsia="Times New Roman" w:cs="Times New Roman"/>
                <w:spacing w:val="-2"/>
                <w:position w:val="1"/>
                <w:sz w:val="13"/>
                <w:szCs w:val="13"/>
              </w:rPr>
              <w:t xml:space="preserve">   </w:t>
            </w:r>
            <w:r>
              <w:rPr>
                <w:rFonts w:ascii="宋体" w:hAnsi="宋体" w:eastAsia="宋体" w:cs="宋体"/>
                <w:spacing w:val="-2"/>
                <w:position w:val="3"/>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spacing w:val="-2"/>
                <w:position w:val="3"/>
                <w:sz w:val="20"/>
                <w:szCs w:val="20"/>
              </w:rPr>
              <w:t>μ</w:t>
            </w:r>
            <w:r>
              <w:rPr>
                <w:rFonts w:ascii="Times New Roman" w:hAnsi="Times New Roman" w:eastAsia="Times New Roman" w:cs="Times New Roman"/>
                <w:b/>
                <w:bCs/>
                <w:spacing w:val="-1"/>
                <w:position w:val="3"/>
                <w:sz w:val="20"/>
                <w:szCs w:val="20"/>
              </w:rPr>
              <w:t>g</w:t>
            </w:r>
            <w:r>
              <w:rPr>
                <w:rFonts w:ascii="Times New Roman" w:hAnsi="Times New Roman" w:eastAsia="Times New Roman" w:cs="Times New Roman"/>
                <w:b/>
                <w:bCs/>
                <w:spacing w:val="-2"/>
                <w:position w:val="3"/>
                <w:sz w:val="20"/>
                <w:szCs w:val="20"/>
              </w:rPr>
              <w:t>/</w:t>
            </w:r>
            <w:r>
              <w:rPr>
                <w:rFonts w:ascii="Times New Roman" w:hAnsi="Times New Roman" w:eastAsia="Times New Roman" w:cs="Times New Roman"/>
                <w:b/>
                <w:bCs/>
                <w:spacing w:val="-1"/>
                <w:position w:val="3"/>
                <w:sz w:val="20"/>
                <w:szCs w:val="20"/>
              </w:rPr>
              <w:t>m</w:t>
            </w:r>
            <w:r>
              <w:rPr>
                <w:rFonts w:ascii="Times New Roman" w:hAnsi="Times New Roman" w:eastAsia="Times New Roman" w:cs="Times New Roman"/>
                <w:b/>
                <w:bCs/>
                <w:spacing w:val="-2"/>
                <w:position w:val="9"/>
                <w:sz w:val="13"/>
                <w:szCs w:val="13"/>
              </w:rPr>
              <w:t>3</w:t>
            </w:r>
            <w:r>
              <w:rPr>
                <w:rFonts w:ascii="Times New Roman" w:hAnsi="Times New Roman" w:eastAsia="Times New Roman" w:cs="Times New Roman"/>
                <w:spacing w:val="-2"/>
                <w:position w:val="9"/>
                <w:sz w:val="13"/>
                <w:szCs w:val="13"/>
              </w:rPr>
              <w:t xml:space="preserve"> </w:t>
            </w:r>
            <w:r>
              <w:rPr>
                <w:rFonts w:ascii="宋体" w:hAnsi="宋体" w:eastAsia="宋体" w:cs="宋体"/>
                <w:spacing w:val="-2"/>
                <w:position w:val="3"/>
                <w:sz w:val="20"/>
                <w:szCs w:val="20"/>
                <w14:textOutline w14:w="3795" w14:cap="sq" w14:cmpd="sng">
                  <w14:solidFill>
                    <w14:srgbClr w14:val="000000"/>
                  </w14:solidFill>
                  <w14:prstDash w14:val="solid"/>
                  <w14:bevel/>
                </w14:textOutline>
              </w:rPr>
              <w:t>)</w:t>
            </w:r>
          </w:p>
        </w:tc>
        <w:tc>
          <w:tcPr>
            <w:tcW w:w="1678" w:type="dxa"/>
            <w:vAlign w:val="top"/>
          </w:tcPr>
          <w:p w14:paraId="3F3320CD">
            <w:pPr>
              <w:spacing w:before="42" w:line="289" w:lineRule="exact"/>
              <w:ind w:left="367"/>
              <w:rPr>
                <w:rFonts w:ascii="宋体" w:hAnsi="宋体" w:eastAsia="宋体" w:cs="宋体"/>
                <w:sz w:val="20"/>
                <w:szCs w:val="20"/>
              </w:rPr>
            </w:pPr>
            <w:r>
              <w:rPr>
                <w:rFonts w:ascii="Times New Roman" w:hAnsi="Times New Roman" w:eastAsia="Times New Roman" w:cs="Times New Roman"/>
                <w:b/>
                <w:bCs/>
                <w:position w:val="1"/>
                <w:sz w:val="20"/>
                <w:szCs w:val="20"/>
              </w:rPr>
              <w:t>P</w:t>
            </w:r>
            <w:r>
              <w:rPr>
                <w:rFonts w:ascii="Times New Roman" w:hAnsi="Times New Roman" w:eastAsia="Times New Roman" w:cs="Times New Roman"/>
                <w:b/>
                <w:bCs/>
                <w:sz w:val="13"/>
                <w:szCs w:val="13"/>
              </w:rPr>
              <w:t>max</w:t>
            </w:r>
            <w:r>
              <w:rPr>
                <w:rFonts w:ascii="Times New Roman" w:hAnsi="Times New Roman" w:eastAsia="Times New Roman" w:cs="Times New Roman"/>
                <w:spacing w:val="-1"/>
                <w:sz w:val="13"/>
                <w:szCs w:val="13"/>
              </w:rPr>
              <w:t xml:space="preserve">   </w:t>
            </w:r>
            <w:r>
              <w:rPr>
                <w:rFonts w:ascii="宋体" w:hAnsi="宋体" w:eastAsia="宋体" w:cs="宋体"/>
                <w:spacing w:val="-1"/>
                <w:position w:val="1"/>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spacing w:val="-1"/>
                <w:position w:val="1"/>
                <w:sz w:val="20"/>
                <w:szCs w:val="20"/>
              </w:rPr>
              <w:t>%</w:t>
            </w:r>
            <w:r>
              <w:rPr>
                <w:rFonts w:ascii="宋体" w:hAnsi="宋体" w:eastAsia="宋体" w:cs="宋体"/>
                <w:position w:val="1"/>
                <w:sz w:val="20"/>
                <w:szCs w:val="20"/>
                <w14:textOutline w14:w="3795" w14:cap="sq" w14:cmpd="sng">
                  <w14:solidFill>
                    <w14:srgbClr w14:val="000000"/>
                  </w14:solidFill>
                  <w14:prstDash w14:val="solid"/>
                  <w14:bevel/>
                </w14:textOutline>
              </w:rPr>
              <w:t>)</w:t>
            </w:r>
          </w:p>
        </w:tc>
        <w:tc>
          <w:tcPr>
            <w:tcW w:w="1125" w:type="dxa"/>
            <w:tcBorders>
              <w:right w:val="nil"/>
            </w:tcBorders>
            <w:vAlign w:val="top"/>
          </w:tcPr>
          <w:p w14:paraId="0C900CE6">
            <w:pPr>
              <w:spacing w:before="83" w:line="226" w:lineRule="auto"/>
              <w:ind w:left="174"/>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评价等</w:t>
            </w:r>
            <w:r>
              <w:rPr>
                <w:rFonts w:ascii="宋体" w:hAnsi="宋体" w:eastAsia="宋体" w:cs="宋体"/>
                <w:sz w:val="20"/>
                <w:szCs w:val="20"/>
                <w14:textOutline w14:w="3795" w14:cap="sq" w14:cmpd="sng">
                  <w14:solidFill>
                    <w14:srgbClr w14:val="000000"/>
                  </w14:solidFill>
                  <w14:prstDash w14:val="solid"/>
                  <w14:bevel/>
                </w14:textOutline>
              </w:rPr>
              <w:t>级</w:t>
            </w:r>
          </w:p>
        </w:tc>
      </w:tr>
      <w:tr w14:paraId="53A2F6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37" w:type="dxa"/>
            <w:vMerge w:val="restart"/>
            <w:tcBorders>
              <w:left w:val="nil"/>
              <w:bottom w:val="nil"/>
            </w:tcBorders>
            <w:vAlign w:val="top"/>
          </w:tcPr>
          <w:p w14:paraId="358676D4">
            <w:pPr>
              <w:spacing w:before="230" w:line="228" w:lineRule="auto"/>
              <w:ind w:left="110"/>
              <w:rPr>
                <w:rFonts w:ascii="宋体" w:hAnsi="宋体" w:eastAsia="宋体" w:cs="宋体"/>
                <w:sz w:val="20"/>
                <w:szCs w:val="20"/>
              </w:rPr>
            </w:pPr>
            <w:r>
              <w:rPr>
                <w:rFonts w:ascii="宋体" w:hAnsi="宋体" w:eastAsia="宋体" w:cs="宋体"/>
                <w:spacing w:val="8"/>
                <w:sz w:val="20"/>
                <w:szCs w:val="20"/>
              </w:rPr>
              <w:t>生</w:t>
            </w:r>
            <w:r>
              <w:rPr>
                <w:rFonts w:ascii="宋体" w:hAnsi="宋体" w:eastAsia="宋体" w:cs="宋体"/>
                <w:spacing w:val="5"/>
                <w:sz w:val="20"/>
                <w:szCs w:val="20"/>
              </w:rPr>
              <w:t>产厂房</w:t>
            </w:r>
          </w:p>
        </w:tc>
        <w:tc>
          <w:tcPr>
            <w:tcW w:w="1110" w:type="dxa"/>
            <w:vAlign w:val="top"/>
          </w:tcPr>
          <w:p w14:paraId="207A5F0A">
            <w:pPr>
              <w:spacing w:before="125" w:line="195" w:lineRule="auto"/>
              <w:ind w:left="234"/>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NMHC</w:t>
            </w:r>
          </w:p>
        </w:tc>
        <w:tc>
          <w:tcPr>
            <w:tcW w:w="1678" w:type="dxa"/>
            <w:vAlign w:val="top"/>
          </w:tcPr>
          <w:p w14:paraId="4607C1CC">
            <w:pPr>
              <w:spacing w:before="125" w:line="195" w:lineRule="auto"/>
              <w:ind w:left="66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0.25</w:t>
            </w:r>
          </w:p>
        </w:tc>
        <w:tc>
          <w:tcPr>
            <w:tcW w:w="1678" w:type="dxa"/>
            <w:vAlign w:val="top"/>
          </w:tcPr>
          <w:p w14:paraId="165D5AE1">
            <w:pPr>
              <w:spacing w:before="125" w:line="195" w:lineRule="auto"/>
              <w:ind w:left="50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.08286</w:t>
            </w:r>
          </w:p>
        </w:tc>
        <w:tc>
          <w:tcPr>
            <w:tcW w:w="1678" w:type="dxa"/>
            <w:vAlign w:val="top"/>
          </w:tcPr>
          <w:p w14:paraId="25BFA68F">
            <w:pPr>
              <w:spacing w:before="125" w:line="195" w:lineRule="auto"/>
              <w:ind w:left="66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9.2</w:t>
            </w:r>
            <w:r>
              <w:rPr>
                <w:rFonts w:ascii="Times New Roman" w:hAnsi="Times New Roman" w:eastAsia="Times New Roman" w:cs="Times New Roman"/>
                <w:spacing w:val="1"/>
                <w:sz w:val="20"/>
                <w:szCs w:val="20"/>
              </w:rPr>
              <w:t>1</w:t>
            </w:r>
          </w:p>
        </w:tc>
        <w:tc>
          <w:tcPr>
            <w:tcW w:w="1125" w:type="dxa"/>
            <w:tcBorders>
              <w:right w:val="nil"/>
            </w:tcBorders>
            <w:vAlign w:val="top"/>
          </w:tcPr>
          <w:p w14:paraId="4A3B50F8">
            <w:pPr>
              <w:spacing w:before="89" w:line="226" w:lineRule="auto"/>
              <w:ind w:left="366"/>
              <w:rPr>
                <w:rFonts w:ascii="宋体" w:hAnsi="宋体" w:eastAsia="宋体" w:cs="宋体"/>
                <w:sz w:val="20"/>
                <w:szCs w:val="20"/>
              </w:rPr>
            </w:pPr>
            <w:r>
              <w:rPr>
                <w:rFonts w:ascii="宋体" w:hAnsi="宋体" w:eastAsia="宋体" w:cs="宋体"/>
                <w:spacing w:val="3"/>
                <w:sz w:val="20"/>
                <w:szCs w:val="20"/>
              </w:rPr>
              <w:t>二级</w:t>
            </w:r>
          </w:p>
        </w:tc>
      </w:tr>
      <w:tr w14:paraId="655B2E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37" w:type="dxa"/>
            <w:vMerge w:val="continue"/>
            <w:tcBorders>
              <w:top w:val="nil"/>
              <w:left w:val="nil"/>
            </w:tcBorders>
            <w:vAlign w:val="top"/>
          </w:tcPr>
          <w:p w14:paraId="6AB0F138">
            <w:pPr>
              <w:rPr>
                <w:rFonts w:ascii="Arial"/>
                <w:sz w:val="21"/>
              </w:rPr>
            </w:pPr>
          </w:p>
        </w:tc>
        <w:tc>
          <w:tcPr>
            <w:tcW w:w="1110" w:type="dxa"/>
            <w:vAlign w:val="top"/>
          </w:tcPr>
          <w:p w14:paraId="08F84804">
            <w:pPr>
              <w:spacing w:before="127" w:line="195" w:lineRule="auto"/>
              <w:ind w:left="3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T</w:t>
            </w:r>
            <w:r>
              <w:rPr>
                <w:rFonts w:ascii="Times New Roman" w:hAnsi="Times New Roman" w:eastAsia="Times New Roman" w:cs="Times New Roman"/>
                <w:spacing w:val="2"/>
                <w:sz w:val="20"/>
                <w:szCs w:val="20"/>
              </w:rPr>
              <w:t>SP</w:t>
            </w:r>
          </w:p>
        </w:tc>
        <w:tc>
          <w:tcPr>
            <w:tcW w:w="1678" w:type="dxa"/>
            <w:vAlign w:val="top"/>
          </w:tcPr>
          <w:p w14:paraId="43F2BA43">
            <w:pPr>
              <w:spacing w:before="127" w:line="195" w:lineRule="auto"/>
              <w:ind w:left="661"/>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0</w:t>
            </w:r>
            <w:r>
              <w:rPr>
                <w:rFonts w:ascii="Times New Roman" w:hAnsi="Times New Roman" w:eastAsia="Times New Roman" w:cs="Times New Roman"/>
                <w:spacing w:val="-8"/>
                <w:sz w:val="20"/>
                <w:szCs w:val="20"/>
              </w:rPr>
              <w:t>. 14</w:t>
            </w:r>
          </w:p>
        </w:tc>
        <w:tc>
          <w:tcPr>
            <w:tcW w:w="1678" w:type="dxa"/>
            <w:vAlign w:val="top"/>
          </w:tcPr>
          <w:p w14:paraId="5FBAA24E">
            <w:pPr>
              <w:spacing w:before="127" w:line="195" w:lineRule="auto"/>
              <w:ind w:left="557"/>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w:t>
            </w:r>
            <w:r>
              <w:rPr>
                <w:rFonts w:ascii="Times New Roman" w:hAnsi="Times New Roman" w:eastAsia="Times New Roman" w:cs="Times New Roman"/>
                <w:spacing w:val="-5"/>
                <w:sz w:val="20"/>
                <w:szCs w:val="20"/>
              </w:rPr>
              <w:t>.</w:t>
            </w:r>
            <w:r>
              <w:rPr>
                <w:rFonts w:ascii="Times New Roman" w:hAnsi="Times New Roman" w:eastAsia="Times New Roman" w:cs="Times New Roman"/>
                <w:spacing w:val="-4"/>
                <w:sz w:val="20"/>
                <w:szCs w:val="20"/>
              </w:rPr>
              <w:t xml:space="preserve"> 1749</w:t>
            </w:r>
          </w:p>
        </w:tc>
        <w:tc>
          <w:tcPr>
            <w:tcW w:w="1678" w:type="dxa"/>
            <w:vAlign w:val="top"/>
          </w:tcPr>
          <w:p w14:paraId="262103CA">
            <w:pPr>
              <w:spacing w:before="127" w:line="195" w:lineRule="auto"/>
              <w:ind w:left="6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8.7</w:t>
            </w:r>
            <w:r>
              <w:rPr>
                <w:rFonts w:ascii="Times New Roman" w:hAnsi="Times New Roman" w:eastAsia="Times New Roman" w:cs="Times New Roman"/>
                <w:sz w:val="20"/>
                <w:szCs w:val="20"/>
              </w:rPr>
              <w:t>5</w:t>
            </w:r>
          </w:p>
        </w:tc>
        <w:tc>
          <w:tcPr>
            <w:tcW w:w="1125" w:type="dxa"/>
            <w:tcBorders>
              <w:right w:val="nil"/>
            </w:tcBorders>
            <w:vAlign w:val="top"/>
          </w:tcPr>
          <w:p w14:paraId="06589E0A">
            <w:pPr>
              <w:spacing w:before="91" w:line="224" w:lineRule="auto"/>
              <w:ind w:left="366"/>
              <w:rPr>
                <w:rFonts w:ascii="宋体" w:hAnsi="宋体" w:eastAsia="宋体" w:cs="宋体"/>
                <w:sz w:val="20"/>
                <w:szCs w:val="20"/>
              </w:rPr>
            </w:pPr>
            <w:r>
              <w:rPr>
                <w:rFonts w:ascii="宋体" w:hAnsi="宋体" w:eastAsia="宋体" w:cs="宋体"/>
                <w:spacing w:val="3"/>
                <w:sz w:val="20"/>
                <w:szCs w:val="20"/>
              </w:rPr>
              <w:t>二级</w:t>
            </w:r>
          </w:p>
        </w:tc>
      </w:tr>
      <w:tr w14:paraId="06877B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37" w:type="dxa"/>
            <w:tcBorders>
              <w:left w:val="nil"/>
            </w:tcBorders>
            <w:vAlign w:val="top"/>
          </w:tcPr>
          <w:p w14:paraId="24D9DD73">
            <w:pPr>
              <w:spacing w:before="55" w:line="278" w:lineRule="exact"/>
              <w:ind w:left="149"/>
              <w:rPr>
                <w:rFonts w:ascii="宋体" w:hAnsi="宋体" w:eastAsia="宋体" w:cs="宋体"/>
                <w:sz w:val="20"/>
                <w:szCs w:val="20"/>
              </w:rPr>
            </w:pPr>
            <w:r>
              <w:rPr>
                <w:rFonts w:ascii="Times New Roman" w:hAnsi="Times New Roman" w:eastAsia="Times New Roman" w:cs="Times New Roman"/>
                <w:spacing w:val="-5"/>
                <w:position w:val="1"/>
                <w:sz w:val="20"/>
                <w:szCs w:val="20"/>
              </w:rPr>
              <w:t>1#</w:t>
            </w:r>
            <w:r>
              <w:rPr>
                <w:rFonts w:ascii="宋体" w:hAnsi="宋体" w:eastAsia="宋体" w:cs="宋体"/>
                <w:spacing w:val="-5"/>
                <w:position w:val="1"/>
                <w:sz w:val="20"/>
                <w:szCs w:val="20"/>
              </w:rPr>
              <w:t>排气筒</w:t>
            </w:r>
          </w:p>
        </w:tc>
        <w:tc>
          <w:tcPr>
            <w:tcW w:w="1110" w:type="dxa"/>
            <w:vAlign w:val="top"/>
          </w:tcPr>
          <w:p w14:paraId="195241C2">
            <w:pPr>
              <w:spacing w:before="129" w:line="195" w:lineRule="auto"/>
              <w:ind w:left="234"/>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NMHC</w:t>
            </w:r>
          </w:p>
        </w:tc>
        <w:tc>
          <w:tcPr>
            <w:tcW w:w="1678" w:type="dxa"/>
            <w:vAlign w:val="top"/>
          </w:tcPr>
          <w:p w14:paraId="312BF703">
            <w:pPr>
              <w:spacing w:before="129" w:line="195" w:lineRule="auto"/>
              <w:ind w:left="685"/>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0</w:t>
            </w:r>
            <w:r>
              <w:rPr>
                <w:rFonts w:ascii="Times New Roman" w:hAnsi="Times New Roman" w:eastAsia="Times New Roman" w:cs="Times New Roman"/>
                <w:spacing w:val="-4"/>
                <w:sz w:val="20"/>
                <w:szCs w:val="20"/>
              </w:rPr>
              <w:t>.16</w:t>
            </w:r>
          </w:p>
        </w:tc>
        <w:tc>
          <w:tcPr>
            <w:tcW w:w="1678" w:type="dxa"/>
            <w:vAlign w:val="top"/>
          </w:tcPr>
          <w:p w14:paraId="0F60FB11">
            <w:pPr>
              <w:spacing w:before="129" w:line="195" w:lineRule="auto"/>
              <w:ind w:left="454"/>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0</w:t>
            </w:r>
            <w:r>
              <w:rPr>
                <w:rFonts w:ascii="Times New Roman" w:hAnsi="Times New Roman" w:eastAsia="Times New Roman" w:cs="Times New Roman"/>
                <w:spacing w:val="3"/>
                <w:sz w:val="20"/>
                <w:szCs w:val="20"/>
              </w:rPr>
              <w:t>.004065</w:t>
            </w:r>
          </w:p>
        </w:tc>
        <w:tc>
          <w:tcPr>
            <w:tcW w:w="1678" w:type="dxa"/>
            <w:vAlign w:val="top"/>
          </w:tcPr>
          <w:p w14:paraId="4C1A62D3">
            <w:pPr>
              <w:spacing w:before="129" w:line="195" w:lineRule="auto"/>
              <w:ind w:left="66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0.20</w:t>
            </w:r>
          </w:p>
        </w:tc>
        <w:tc>
          <w:tcPr>
            <w:tcW w:w="1125" w:type="dxa"/>
            <w:tcBorders>
              <w:right w:val="nil"/>
            </w:tcBorders>
            <w:vAlign w:val="top"/>
          </w:tcPr>
          <w:p w14:paraId="7EED5147">
            <w:pPr>
              <w:spacing w:before="93" w:line="222" w:lineRule="auto"/>
              <w:ind w:left="363"/>
              <w:rPr>
                <w:rFonts w:ascii="宋体" w:hAnsi="宋体" w:eastAsia="宋体" w:cs="宋体"/>
                <w:sz w:val="20"/>
                <w:szCs w:val="20"/>
              </w:rPr>
            </w:pPr>
            <w:r>
              <w:rPr>
                <w:rFonts w:ascii="宋体" w:hAnsi="宋体" w:eastAsia="宋体" w:cs="宋体"/>
                <w:spacing w:val="5"/>
                <w:sz w:val="20"/>
                <w:szCs w:val="20"/>
              </w:rPr>
              <w:t>三</w:t>
            </w:r>
            <w:r>
              <w:rPr>
                <w:rFonts w:ascii="宋体" w:hAnsi="宋体" w:eastAsia="宋体" w:cs="宋体"/>
                <w:spacing w:val="4"/>
                <w:sz w:val="20"/>
                <w:szCs w:val="20"/>
              </w:rPr>
              <w:t>级</w:t>
            </w:r>
          </w:p>
        </w:tc>
      </w:tr>
      <w:tr w14:paraId="14DA3B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37" w:type="dxa"/>
            <w:tcBorders>
              <w:left w:val="nil"/>
            </w:tcBorders>
            <w:vAlign w:val="top"/>
          </w:tcPr>
          <w:p w14:paraId="117912DA">
            <w:pPr>
              <w:spacing w:before="55" w:line="278" w:lineRule="exact"/>
              <w:ind w:left="129"/>
              <w:rPr>
                <w:rFonts w:ascii="宋体" w:hAnsi="宋体" w:eastAsia="宋体" w:cs="宋体"/>
                <w:sz w:val="20"/>
                <w:szCs w:val="20"/>
              </w:rPr>
            </w:pPr>
            <w:r>
              <w:rPr>
                <w:rFonts w:ascii="Times New Roman" w:hAnsi="Times New Roman" w:eastAsia="Times New Roman" w:cs="Times New Roman"/>
                <w:spacing w:val="-1"/>
                <w:position w:val="1"/>
                <w:sz w:val="20"/>
                <w:szCs w:val="20"/>
              </w:rPr>
              <w:t>2#</w:t>
            </w:r>
            <w:r>
              <w:rPr>
                <w:rFonts w:ascii="宋体" w:hAnsi="宋体" w:eastAsia="宋体" w:cs="宋体"/>
                <w:spacing w:val="-1"/>
                <w:position w:val="1"/>
                <w:sz w:val="20"/>
                <w:szCs w:val="20"/>
              </w:rPr>
              <w:t>排气筒</w:t>
            </w:r>
          </w:p>
        </w:tc>
        <w:tc>
          <w:tcPr>
            <w:tcW w:w="1110" w:type="dxa"/>
            <w:vAlign w:val="top"/>
          </w:tcPr>
          <w:p w14:paraId="1D44E152">
            <w:pPr>
              <w:spacing w:before="128" w:line="195" w:lineRule="auto"/>
              <w:ind w:left="234"/>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NMHC</w:t>
            </w:r>
          </w:p>
        </w:tc>
        <w:tc>
          <w:tcPr>
            <w:tcW w:w="1678" w:type="dxa"/>
            <w:vAlign w:val="top"/>
          </w:tcPr>
          <w:p w14:paraId="6199C7CE">
            <w:pPr>
              <w:spacing w:before="128" w:line="195" w:lineRule="auto"/>
              <w:ind w:left="685"/>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0</w:t>
            </w:r>
            <w:r>
              <w:rPr>
                <w:rFonts w:ascii="Times New Roman" w:hAnsi="Times New Roman" w:eastAsia="Times New Roman" w:cs="Times New Roman"/>
                <w:spacing w:val="-4"/>
                <w:sz w:val="20"/>
                <w:szCs w:val="20"/>
              </w:rPr>
              <w:t>.16</w:t>
            </w:r>
          </w:p>
        </w:tc>
        <w:tc>
          <w:tcPr>
            <w:tcW w:w="1678" w:type="dxa"/>
            <w:vAlign w:val="top"/>
          </w:tcPr>
          <w:p w14:paraId="401B3637">
            <w:pPr>
              <w:spacing w:before="128" w:line="195" w:lineRule="auto"/>
              <w:ind w:left="454"/>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0</w:t>
            </w:r>
            <w:r>
              <w:rPr>
                <w:rFonts w:ascii="Times New Roman" w:hAnsi="Times New Roman" w:eastAsia="Times New Roman" w:cs="Times New Roman"/>
                <w:spacing w:val="3"/>
                <w:sz w:val="20"/>
                <w:szCs w:val="20"/>
              </w:rPr>
              <w:t>.004065</w:t>
            </w:r>
          </w:p>
        </w:tc>
        <w:tc>
          <w:tcPr>
            <w:tcW w:w="1678" w:type="dxa"/>
            <w:vAlign w:val="top"/>
          </w:tcPr>
          <w:p w14:paraId="4BDC6359">
            <w:pPr>
              <w:spacing w:before="128" w:line="195" w:lineRule="auto"/>
              <w:ind w:left="66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0.20</w:t>
            </w:r>
          </w:p>
        </w:tc>
        <w:tc>
          <w:tcPr>
            <w:tcW w:w="1125" w:type="dxa"/>
            <w:tcBorders>
              <w:right w:val="nil"/>
            </w:tcBorders>
            <w:vAlign w:val="top"/>
          </w:tcPr>
          <w:p w14:paraId="55AEE5CE">
            <w:pPr>
              <w:spacing w:before="92" w:line="223" w:lineRule="auto"/>
              <w:ind w:left="363"/>
              <w:rPr>
                <w:rFonts w:ascii="宋体" w:hAnsi="宋体" w:eastAsia="宋体" w:cs="宋体"/>
                <w:sz w:val="20"/>
                <w:szCs w:val="20"/>
              </w:rPr>
            </w:pPr>
            <w:r>
              <w:rPr>
                <w:rFonts w:ascii="宋体" w:hAnsi="宋体" w:eastAsia="宋体" w:cs="宋体"/>
                <w:spacing w:val="5"/>
                <w:sz w:val="20"/>
                <w:szCs w:val="20"/>
              </w:rPr>
              <w:t>三</w:t>
            </w:r>
            <w:r>
              <w:rPr>
                <w:rFonts w:ascii="宋体" w:hAnsi="宋体" w:eastAsia="宋体" w:cs="宋体"/>
                <w:spacing w:val="4"/>
                <w:sz w:val="20"/>
                <w:szCs w:val="20"/>
              </w:rPr>
              <w:t>级</w:t>
            </w:r>
          </w:p>
        </w:tc>
      </w:tr>
      <w:tr w14:paraId="22888B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037" w:type="dxa"/>
            <w:vMerge w:val="restart"/>
            <w:tcBorders>
              <w:left w:val="nil"/>
              <w:bottom w:val="nil"/>
            </w:tcBorders>
            <w:vAlign w:val="top"/>
          </w:tcPr>
          <w:p w14:paraId="57566ABC">
            <w:pPr>
              <w:spacing w:line="299" w:lineRule="auto"/>
              <w:rPr>
                <w:rFonts w:ascii="Arial"/>
                <w:sz w:val="21"/>
              </w:rPr>
            </w:pPr>
          </w:p>
          <w:p w14:paraId="2A6F493B">
            <w:pPr>
              <w:spacing w:before="65" w:line="281" w:lineRule="exact"/>
              <w:ind w:left="133"/>
              <w:rPr>
                <w:rFonts w:ascii="宋体" w:hAnsi="宋体" w:eastAsia="宋体" w:cs="宋体"/>
                <w:sz w:val="20"/>
                <w:szCs w:val="20"/>
              </w:rPr>
            </w:pPr>
            <w:r>
              <w:rPr>
                <w:rFonts w:ascii="Times New Roman" w:hAnsi="Times New Roman" w:eastAsia="Times New Roman" w:cs="Times New Roman"/>
                <w:spacing w:val="-2"/>
                <w:position w:val="1"/>
                <w:sz w:val="20"/>
                <w:szCs w:val="20"/>
              </w:rPr>
              <w:t>3#</w:t>
            </w:r>
            <w:r>
              <w:rPr>
                <w:rFonts w:ascii="宋体" w:hAnsi="宋体" w:eastAsia="宋体" w:cs="宋体"/>
                <w:spacing w:val="-2"/>
                <w:position w:val="1"/>
                <w:sz w:val="20"/>
                <w:szCs w:val="20"/>
              </w:rPr>
              <w:t>排气</w:t>
            </w:r>
            <w:r>
              <w:rPr>
                <w:rFonts w:ascii="宋体" w:hAnsi="宋体" w:eastAsia="宋体" w:cs="宋体"/>
                <w:spacing w:val="-1"/>
                <w:position w:val="1"/>
                <w:sz w:val="20"/>
                <w:szCs w:val="20"/>
              </w:rPr>
              <w:t>筒</w:t>
            </w:r>
          </w:p>
        </w:tc>
        <w:tc>
          <w:tcPr>
            <w:tcW w:w="1110" w:type="dxa"/>
            <w:vAlign w:val="top"/>
          </w:tcPr>
          <w:p w14:paraId="5CC67354">
            <w:pPr>
              <w:spacing w:before="133" w:line="199" w:lineRule="auto"/>
              <w:ind w:left="336"/>
              <w:rPr>
                <w:rFonts w:ascii="Times New Roman" w:hAnsi="Times New Roman" w:eastAsia="Times New Roman" w:cs="Times New Roman"/>
                <w:sz w:val="13"/>
                <w:szCs w:val="13"/>
              </w:rPr>
            </w:pPr>
            <w:r>
              <w:rPr>
                <w:rFonts w:ascii="Times New Roman" w:hAnsi="Times New Roman" w:eastAsia="Times New Roman" w:cs="Times New Roman"/>
                <w:sz w:val="20"/>
                <w:szCs w:val="20"/>
              </w:rPr>
              <w:t>PM</w:t>
            </w:r>
            <w:r>
              <w:rPr>
                <w:rFonts w:ascii="Times New Roman" w:hAnsi="Times New Roman" w:eastAsia="Times New Roman" w:cs="Times New Roman"/>
                <w:spacing w:val="9"/>
                <w:position w:val="-1"/>
                <w:sz w:val="13"/>
                <w:szCs w:val="13"/>
              </w:rPr>
              <w:t>1</w:t>
            </w:r>
            <w:r>
              <w:rPr>
                <w:rFonts w:ascii="Times New Roman" w:hAnsi="Times New Roman" w:eastAsia="Times New Roman" w:cs="Times New Roman"/>
                <w:spacing w:val="8"/>
                <w:position w:val="-1"/>
                <w:sz w:val="13"/>
                <w:szCs w:val="13"/>
              </w:rPr>
              <w:t>0</w:t>
            </w:r>
          </w:p>
        </w:tc>
        <w:tc>
          <w:tcPr>
            <w:tcW w:w="1678" w:type="dxa"/>
            <w:vAlign w:val="top"/>
          </w:tcPr>
          <w:p w14:paraId="52B50AE0">
            <w:pPr>
              <w:spacing w:before="130" w:line="195" w:lineRule="auto"/>
              <w:ind w:left="6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w:t>
            </w:r>
            <w:r>
              <w:rPr>
                <w:rFonts w:ascii="Times New Roman" w:hAnsi="Times New Roman" w:eastAsia="Times New Roman" w:cs="Times New Roman"/>
                <w:spacing w:val="2"/>
                <w:sz w:val="20"/>
                <w:szCs w:val="20"/>
              </w:rPr>
              <w:t>.001</w:t>
            </w:r>
          </w:p>
        </w:tc>
        <w:tc>
          <w:tcPr>
            <w:tcW w:w="1678" w:type="dxa"/>
            <w:vAlign w:val="top"/>
          </w:tcPr>
          <w:p w14:paraId="7F74DC1F">
            <w:pPr>
              <w:spacing w:before="130" w:line="195" w:lineRule="auto"/>
              <w:ind w:left="42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0.00</w:t>
            </w:r>
            <w:r>
              <w:rPr>
                <w:rFonts w:ascii="Times New Roman" w:hAnsi="Times New Roman" w:eastAsia="Times New Roman" w:cs="Times New Roman"/>
                <w:spacing w:val="-1"/>
                <w:sz w:val="20"/>
                <w:szCs w:val="20"/>
              </w:rPr>
              <w:t>01027</w:t>
            </w:r>
          </w:p>
        </w:tc>
        <w:tc>
          <w:tcPr>
            <w:tcW w:w="1678" w:type="dxa"/>
            <w:vAlign w:val="top"/>
          </w:tcPr>
          <w:p w14:paraId="4082963F">
            <w:pPr>
              <w:spacing w:before="130" w:line="195" w:lineRule="auto"/>
              <w:ind w:left="67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w:t>
            </w:r>
            <w:r>
              <w:rPr>
                <w:rFonts w:ascii="Times New Roman" w:hAnsi="Times New Roman" w:eastAsia="Times New Roman" w:cs="Times New Roman"/>
                <w:spacing w:val="-1"/>
                <w:sz w:val="20"/>
                <w:szCs w:val="20"/>
              </w:rPr>
              <w:t>2</w:t>
            </w:r>
          </w:p>
        </w:tc>
        <w:tc>
          <w:tcPr>
            <w:tcW w:w="1125" w:type="dxa"/>
            <w:tcBorders>
              <w:right w:val="nil"/>
            </w:tcBorders>
            <w:vAlign w:val="top"/>
          </w:tcPr>
          <w:p w14:paraId="1236384A">
            <w:pPr>
              <w:spacing w:before="94" w:line="222" w:lineRule="auto"/>
              <w:ind w:left="363"/>
              <w:rPr>
                <w:rFonts w:ascii="宋体" w:hAnsi="宋体" w:eastAsia="宋体" w:cs="宋体"/>
                <w:sz w:val="20"/>
                <w:szCs w:val="20"/>
              </w:rPr>
            </w:pPr>
            <w:r>
              <w:rPr>
                <w:rFonts w:ascii="宋体" w:hAnsi="宋体" w:eastAsia="宋体" w:cs="宋体"/>
                <w:spacing w:val="5"/>
                <w:sz w:val="20"/>
                <w:szCs w:val="20"/>
              </w:rPr>
              <w:t>三</w:t>
            </w:r>
            <w:r>
              <w:rPr>
                <w:rFonts w:ascii="宋体" w:hAnsi="宋体" w:eastAsia="宋体" w:cs="宋体"/>
                <w:spacing w:val="4"/>
                <w:sz w:val="20"/>
                <w:szCs w:val="20"/>
              </w:rPr>
              <w:t>级</w:t>
            </w:r>
          </w:p>
        </w:tc>
      </w:tr>
      <w:tr w14:paraId="6D51C4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1037" w:type="dxa"/>
            <w:vMerge w:val="continue"/>
            <w:tcBorders>
              <w:top w:val="nil"/>
              <w:left w:val="nil"/>
              <w:bottom w:val="nil"/>
            </w:tcBorders>
            <w:vAlign w:val="top"/>
          </w:tcPr>
          <w:p w14:paraId="6B855846">
            <w:pPr>
              <w:rPr>
                <w:rFonts w:ascii="Arial"/>
                <w:sz w:val="21"/>
              </w:rPr>
            </w:pPr>
          </w:p>
        </w:tc>
        <w:tc>
          <w:tcPr>
            <w:tcW w:w="1110" w:type="dxa"/>
            <w:vAlign w:val="top"/>
          </w:tcPr>
          <w:p w14:paraId="7BD18140">
            <w:pPr>
              <w:spacing w:before="130" w:line="189" w:lineRule="auto"/>
              <w:ind w:left="399"/>
              <w:rPr>
                <w:rFonts w:ascii="Times New Roman" w:hAnsi="Times New Roman" w:eastAsia="Times New Roman" w:cs="Times New Roman"/>
                <w:sz w:val="13"/>
                <w:szCs w:val="13"/>
              </w:rPr>
            </w:pPr>
            <w:r>
              <w:rPr>
                <w:rFonts w:ascii="Times New Roman" w:hAnsi="Times New Roman" w:eastAsia="Times New Roman" w:cs="Times New Roman"/>
                <w:sz w:val="20"/>
                <w:szCs w:val="20"/>
              </w:rPr>
              <w:t>SO</w:t>
            </w:r>
            <w:r>
              <w:rPr>
                <w:rFonts w:ascii="Times New Roman" w:hAnsi="Times New Roman" w:eastAsia="Times New Roman" w:cs="Times New Roman"/>
                <w:spacing w:val="1"/>
                <w:position w:val="-1"/>
                <w:sz w:val="13"/>
                <w:szCs w:val="13"/>
              </w:rPr>
              <w:t>2</w:t>
            </w:r>
          </w:p>
        </w:tc>
        <w:tc>
          <w:tcPr>
            <w:tcW w:w="1678" w:type="dxa"/>
            <w:vAlign w:val="top"/>
          </w:tcPr>
          <w:p w14:paraId="755ECF42">
            <w:pPr>
              <w:spacing w:before="131" w:line="188" w:lineRule="auto"/>
              <w:ind w:left="66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0 63</w:t>
            </w:r>
          </w:p>
        </w:tc>
        <w:tc>
          <w:tcPr>
            <w:tcW w:w="1678" w:type="dxa"/>
            <w:vAlign w:val="top"/>
          </w:tcPr>
          <w:p w14:paraId="07DFB8B7">
            <w:pPr>
              <w:spacing w:before="131" w:line="188" w:lineRule="auto"/>
              <w:ind w:left="5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0 0</w:t>
            </w:r>
            <w:r>
              <w:rPr>
                <w:rFonts w:ascii="Times New Roman" w:hAnsi="Times New Roman" w:eastAsia="Times New Roman" w:cs="Times New Roman"/>
                <w:spacing w:val="-1"/>
                <w:sz w:val="20"/>
                <w:szCs w:val="20"/>
              </w:rPr>
              <w:t>2157</w:t>
            </w:r>
          </w:p>
        </w:tc>
        <w:tc>
          <w:tcPr>
            <w:tcW w:w="1678" w:type="dxa"/>
            <w:vAlign w:val="top"/>
          </w:tcPr>
          <w:p w14:paraId="221794A2">
            <w:pPr>
              <w:spacing w:before="131" w:line="188" w:lineRule="auto"/>
              <w:ind w:left="67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4 3</w:t>
            </w:r>
            <w:r>
              <w:rPr>
                <w:rFonts w:ascii="Times New Roman" w:hAnsi="Times New Roman" w:eastAsia="Times New Roman" w:cs="Times New Roman"/>
                <w:sz w:val="20"/>
                <w:szCs w:val="20"/>
              </w:rPr>
              <w:t>1</w:t>
            </w:r>
          </w:p>
        </w:tc>
        <w:tc>
          <w:tcPr>
            <w:tcW w:w="1125" w:type="dxa"/>
            <w:tcBorders>
              <w:right w:val="nil"/>
            </w:tcBorders>
            <w:vAlign w:val="top"/>
          </w:tcPr>
          <w:p w14:paraId="792B7F26">
            <w:pPr>
              <w:spacing w:before="95" w:line="200" w:lineRule="auto"/>
              <w:ind w:left="366"/>
              <w:rPr>
                <w:rFonts w:ascii="宋体" w:hAnsi="宋体" w:eastAsia="宋体" w:cs="宋体"/>
                <w:sz w:val="20"/>
                <w:szCs w:val="20"/>
              </w:rPr>
            </w:pPr>
            <w:r>
              <w:rPr>
                <w:rFonts w:ascii="宋体" w:hAnsi="宋体" w:eastAsia="宋体" w:cs="宋体"/>
                <w:spacing w:val="3"/>
                <w:sz w:val="20"/>
                <w:szCs w:val="20"/>
              </w:rPr>
              <w:t>二级</w:t>
            </w:r>
          </w:p>
        </w:tc>
      </w:tr>
      <w:tr w14:paraId="3D1364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1037" w:type="dxa"/>
            <w:vMerge w:val="continue"/>
            <w:tcBorders>
              <w:top w:val="nil"/>
              <w:left w:val="nil"/>
            </w:tcBorders>
            <w:vAlign w:val="top"/>
          </w:tcPr>
          <w:p w14:paraId="03A7AA98">
            <w:pPr>
              <w:rPr>
                <w:rFonts w:ascii="Arial"/>
                <w:sz w:val="21"/>
              </w:rPr>
            </w:pPr>
          </w:p>
        </w:tc>
        <w:tc>
          <w:tcPr>
            <w:tcW w:w="1110" w:type="dxa"/>
            <w:vAlign w:val="top"/>
          </w:tcPr>
          <w:p w14:paraId="02D1428F">
            <w:pPr>
              <w:spacing w:before="152" w:line="195" w:lineRule="auto"/>
              <w:ind w:left="347"/>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NO</w:t>
            </w:r>
            <w:r>
              <w:rPr>
                <w:rFonts w:ascii="Times New Roman" w:hAnsi="Times New Roman" w:eastAsia="Times New Roman" w:cs="Times New Roman"/>
                <w:spacing w:val="6"/>
                <w:sz w:val="20"/>
                <w:szCs w:val="20"/>
              </w:rPr>
              <w:t>x</w:t>
            </w:r>
          </w:p>
        </w:tc>
        <w:tc>
          <w:tcPr>
            <w:tcW w:w="1678" w:type="dxa"/>
            <w:vAlign w:val="top"/>
          </w:tcPr>
          <w:p w14:paraId="43FBB95C">
            <w:pPr>
              <w:spacing w:before="152" w:line="195" w:lineRule="auto"/>
              <w:ind w:left="66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0.38</w:t>
            </w:r>
          </w:p>
        </w:tc>
        <w:tc>
          <w:tcPr>
            <w:tcW w:w="1678" w:type="dxa"/>
            <w:vAlign w:val="top"/>
          </w:tcPr>
          <w:p w14:paraId="66899C78">
            <w:pPr>
              <w:spacing w:before="152" w:line="195" w:lineRule="auto"/>
              <w:ind w:left="5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w:t>
            </w:r>
            <w:r>
              <w:rPr>
                <w:rFonts w:ascii="Times New Roman" w:hAnsi="Times New Roman" w:eastAsia="Times New Roman" w:cs="Times New Roman"/>
                <w:spacing w:val="-1"/>
                <w:sz w:val="20"/>
                <w:szCs w:val="20"/>
              </w:rPr>
              <w:t>1301</w:t>
            </w:r>
          </w:p>
        </w:tc>
        <w:tc>
          <w:tcPr>
            <w:tcW w:w="1678" w:type="dxa"/>
            <w:vAlign w:val="top"/>
          </w:tcPr>
          <w:p w14:paraId="705E443A">
            <w:pPr>
              <w:spacing w:before="152" w:line="195" w:lineRule="auto"/>
              <w:ind w:left="67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w:t>
            </w:r>
            <w:r>
              <w:rPr>
                <w:rFonts w:ascii="Times New Roman" w:hAnsi="Times New Roman" w:eastAsia="Times New Roman" w:cs="Times New Roman"/>
                <w:spacing w:val="-2"/>
                <w:sz w:val="20"/>
                <w:szCs w:val="20"/>
              </w:rPr>
              <w:t>.50</w:t>
            </w:r>
          </w:p>
        </w:tc>
        <w:tc>
          <w:tcPr>
            <w:tcW w:w="1125" w:type="dxa"/>
            <w:tcBorders>
              <w:right w:val="nil"/>
            </w:tcBorders>
            <w:vAlign w:val="top"/>
          </w:tcPr>
          <w:p w14:paraId="45DD83F4">
            <w:pPr>
              <w:spacing w:before="116" w:line="230" w:lineRule="auto"/>
              <w:ind w:left="366"/>
              <w:rPr>
                <w:rFonts w:ascii="宋体" w:hAnsi="宋体" w:eastAsia="宋体" w:cs="宋体"/>
                <w:sz w:val="20"/>
                <w:szCs w:val="20"/>
              </w:rPr>
            </w:pPr>
            <w:r>
              <w:rPr>
                <w:rFonts w:ascii="宋体" w:hAnsi="宋体" w:eastAsia="宋体" w:cs="宋体"/>
                <w:spacing w:val="3"/>
                <w:sz w:val="20"/>
                <w:szCs w:val="20"/>
              </w:rPr>
              <w:t>二级</w:t>
            </w:r>
          </w:p>
        </w:tc>
      </w:tr>
    </w:tbl>
    <w:p w14:paraId="2A7CFA88">
      <w:pPr>
        <w:rPr>
          <w:rFonts w:ascii="Arial"/>
          <w:sz w:val="21"/>
        </w:rPr>
      </w:pPr>
    </w:p>
    <w:p w14:paraId="26A94FCF">
      <w:pPr>
        <w:sectPr>
          <w:headerReference r:id="rId67" w:type="default"/>
          <w:footerReference r:id="rId68" w:type="default"/>
          <w:pgSz w:w="11906" w:h="16839"/>
          <w:pgMar w:top="1132" w:right="1691" w:bottom="1156" w:left="1691" w:header="878" w:footer="996" w:gutter="0"/>
          <w:cols w:space="720" w:num="1"/>
        </w:sectPr>
      </w:pPr>
    </w:p>
    <w:p w14:paraId="400F6385">
      <w:pPr>
        <w:spacing w:line="408" w:lineRule="auto"/>
        <w:rPr>
          <w:rFonts w:ascii="Arial"/>
          <w:sz w:val="21"/>
        </w:rPr>
      </w:pPr>
      <w:r>
        <w:pict>
          <v:shape id="_x0000_s1095" o:spid="_x0000_s1095" style="position:absolute;left:0pt;margin-left:90pt;margin-top:57.35pt;height:0.75pt;width:415.3pt;mso-position-horizontal-relative:page;mso-position-vertical-relative:page;z-index:251731968;mso-width-relative:page;mso-height-relative:page;" fillcolor="#000000" filled="t" stroked="f" coordsize="8305,15" o:allowincell="f" path="m0,0l8305,0,8305,14,0,14,0,0xe">
            <v:path/>
            <v:fill on="t" focussize="0,0"/>
            <v:stroke on="f"/>
            <v:imagedata o:title=""/>
            <o:lock v:ext="edit"/>
          </v:shape>
        </w:pict>
      </w:r>
    </w:p>
    <w:p w14:paraId="09847945">
      <w:pPr>
        <w:spacing w:before="75" w:line="380" w:lineRule="auto"/>
        <w:ind w:left="116" w:right="110" w:firstLine="452"/>
        <w:rPr>
          <w:rFonts w:ascii="宋体" w:hAnsi="宋体" w:eastAsia="宋体" w:cs="宋体"/>
          <w:sz w:val="23"/>
          <w:szCs w:val="23"/>
        </w:rPr>
      </w:pPr>
      <w:r>
        <w:rPr>
          <w:rFonts w:ascii="宋体" w:hAnsi="宋体" w:eastAsia="宋体" w:cs="宋体"/>
          <w:spacing w:val="1"/>
          <w:sz w:val="23"/>
          <w:szCs w:val="23"/>
        </w:rPr>
        <w:t>根据上表，估算模式计算得到正常工况下本项目大气</w:t>
      </w:r>
      <w:r>
        <w:rPr>
          <w:rFonts w:ascii="宋体" w:hAnsi="宋体" w:eastAsia="宋体" w:cs="宋体"/>
          <w:sz w:val="23"/>
          <w:szCs w:val="23"/>
        </w:rPr>
        <w:t xml:space="preserve">污染物最大地面浓度占标 </w:t>
      </w:r>
      <w:r>
        <w:rPr>
          <w:rFonts w:ascii="宋体" w:hAnsi="宋体" w:eastAsia="宋体" w:cs="宋体"/>
          <w:spacing w:val="-14"/>
          <w:sz w:val="23"/>
          <w:szCs w:val="23"/>
        </w:rPr>
        <w:t xml:space="preserve">率 </w:t>
      </w:r>
      <w:r>
        <w:rPr>
          <w:rFonts w:ascii="Times New Roman" w:hAnsi="Times New Roman" w:eastAsia="Times New Roman" w:cs="Times New Roman"/>
          <w:spacing w:val="-7"/>
          <w:sz w:val="23"/>
          <w:szCs w:val="23"/>
        </w:rPr>
        <w:t>Pi</w:t>
      </w:r>
      <w:r>
        <w:rPr>
          <w:rFonts w:ascii="Times New Roman" w:hAnsi="Times New Roman" w:eastAsia="Times New Roman" w:cs="Times New Roman"/>
          <w:spacing w:val="-14"/>
          <w:sz w:val="23"/>
          <w:szCs w:val="23"/>
        </w:rPr>
        <w:t xml:space="preserve"> </w:t>
      </w:r>
      <w:r>
        <w:rPr>
          <w:rFonts w:ascii="宋体" w:hAnsi="宋体" w:eastAsia="宋体" w:cs="宋体"/>
          <w:spacing w:val="-7"/>
          <w:sz w:val="23"/>
          <w:szCs w:val="23"/>
        </w:rPr>
        <w:t xml:space="preserve">最大值为 </w:t>
      </w:r>
      <w:r>
        <w:rPr>
          <w:rFonts w:ascii="Times New Roman" w:hAnsi="Times New Roman" w:eastAsia="Times New Roman" w:cs="Times New Roman"/>
          <w:spacing w:val="-7"/>
          <w:sz w:val="23"/>
          <w:szCs w:val="23"/>
        </w:rPr>
        <w:t xml:space="preserve">9.21% </w:t>
      </w:r>
      <w:r>
        <w:rPr>
          <w:rFonts w:ascii="宋体" w:hAnsi="宋体" w:eastAsia="宋体" w:cs="宋体"/>
          <w:spacing w:val="-7"/>
          <w:sz w:val="23"/>
          <w:szCs w:val="23"/>
        </w:rPr>
        <w:t xml:space="preserve">，大于 </w:t>
      </w:r>
      <w:r>
        <w:rPr>
          <w:rFonts w:ascii="Times New Roman" w:hAnsi="Times New Roman" w:eastAsia="Times New Roman" w:cs="Times New Roman"/>
          <w:spacing w:val="-7"/>
          <w:sz w:val="23"/>
          <w:szCs w:val="23"/>
        </w:rPr>
        <w:t>1%</w:t>
      </w:r>
      <w:r>
        <w:rPr>
          <w:rFonts w:ascii="宋体" w:hAnsi="宋体" w:eastAsia="宋体" w:cs="宋体"/>
          <w:spacing w:val="-7"/>
          <w:sz w:val="23"/>
          <w:szCs w:val="23"/>
        </w:rPr>
        <w:t xml:space="preserve">，小于 </w:t>
      </w:r>
      <w:r>
        <w:rPr>
          <w:rFonts w:ascii="Times New Roman" w:hAnsi="Times New Roman" w:eastAsia="Times New Roman" w:cs="Times New Roman"/>
          <w:spacing w:val="-7"/>
          <w:sz w:val="23"/>
          <w:szCs w:val="23"/>
        </w:rPr>
        <w:t>10%</w:t>
      </w:r>
      <w:r>
        <w:rPr>
          <w:rFonts w:ascii="宋体" w:hAnsi="宋体" w:eastAsia="宋体" w:cs="宋体"/>
          <w:spacing w:val="-7"/>
          <w:sz w:val="23"/>
          <w:szCs w:val="23"/>
        </w:rPr>
        <w:t xml:space="preserve">；根据表 </w:t>
      </w:r>
      <w:r>
        <w:rPr>
          <w:rFonts w:ascii="Times New Roman" w:hAnsi="Times New Roman" w:eastAsia="Times New Roman" w:cs="Times New Roman"/>
          <w:spacing w:val="-7"/>
          <w:sz w:val="23"/>
          <w:szCs w:val="23"/>
        </w:rPr>
        <w:t xml:space="preserve">2-14 </w:t>
      </w:r>
      <w:r>
        <w:rPr>
          <w:rFonts w:ascii="宋体" w:hAnsi="宋体" w:eastAsia="宋体" w:cs="宋体"/>
          <w:spacing w:val="-7"/>
          <w:sz w:val="23"/>
          <w:szCs w:val="23"/>
        </w:rPr>
        <w:t>确定本项目环境空气影响</w:t>
      </w:r>
      <w:r>
        <w:rPr>
          <w:rFonts w:ascii="宋体" w:hAnsi="宋体" w:eastAsia="宋体" w:cs="宋体"/>
          <w:sz w:val="23"/>
          <w:szCs w:val="23"/>
        </w:rPr>
        <w:t xml:space="preserve"> </w:t>
      </w:r>
      <w:r>
        <w:rPr>
          <w:rFonts w:ascii="宋体" w:hAnsi="宋体" w:eastAsia="宋体" w:cs="宋体"/>
          <w:spacing w:val="-4"/>
          <w:sz w:val="23"/>
          <w:szCs w:val="23"/>
        </w:rPr>
        <w:t>评价工</w:t>
      </w:r>
      <w:r>
        <w:rPr>
          <w:rFonts w:ascii="宋体" w:hAnsi="宋体" w:eastAsia="宋体" w:cs="宋体"/>
          <w:spacing w:val="-3"/>
          <w:sz w:val="23"/>
          <w:szCs w:val="23"/>
        </w:rPr>
        <w:t>作</w:t>
      </w:r>
      <w:r>
        <w:rPr>
          <w:rFonts w:ascii="宋体" w:hAnsi="宋体" w:eastAsia="宋体" w:cs="宋体"/>
          <w:spacing w:val="-2"/>
          <w:sz w:val="23"/>
          <w:szCs w:val="23"/>
        </w:rPr>
        <w:t>等级应定为二级。</w:t>
      </w:r>
    </w:p>
    <w:p w14:paraId="65FF3A72">
      <w:pPr>
        <w:spacing w:before="152" w:line="220" w:lineRule="auto"/>
        <w:ind w:left="114"/>
        <w:outlineLvl w:val="3"/>
        <w:rPr>
          <w:rFonts w:ascii="宋体" w:hAnsi="宋体" w:eastAsia="宋体" w:cs="宋体"/>
          <w:sz w:val="28"/>
          <w:szCs w:val="28"/>
        </w:rPr>
      </w:pPr>
      <w:r>
        <w:rPr>
          <w:rFonts w:ascii="Times New Roman" w:hAnsi="Times New Roman" w:eastAsia="Times New Roman" w:cs="Times New Roman"/>
          <w:b/>
          <w:bCs/>
          <w:spacing w:val="-1"/>
          <w:sz w:val="28"/>
          <w:szCs w:val="28"/>
        </w:rPr>
        <w:t>2.6.1.2</w:t>
      </w:r>
      <w:r>
        <w:rPr>
          <w:rFonts w:ascii="Times New Roman" w:hAnsi="Times New Roman" w:eastAsia="Times New Roman" w:cs="Times New Roman"/>
          <w:sz w:val="28"/>
          <w:szCs w:val="28"/>
        </w:rPr>
        <w:t xml:space="preserve">  </w:t>
      </w:r>
      <w:r>
        <w:rPr>
          <w:rFonts w:ascii="宋体" w:hAnsi="宋体" w:eastAsia="宋体" w:cs="宋体"/>
          <w:sz w:val="28"/>
          <w:szCs w:val="28"/>
          <w14:textOutline w14:w="5103" w14:cap="sq" w14:cmpd="sng">
            <w14:solidFill>
              <w14:srgbClr w14:val="000000"/>
            </w14:solidFill>
            <w14:prstDash w14:val="solid"/>
            <w14:bevel/>
          </w14:textOutline>
        </w:rPr>
        <w:t>地表水环境</w:t>
      </w:r>
    </w:p>
    <w:p w14:paraId="38A5FC01">
      <w:pPr>
        <w:spacing w:line="270" w:lineRule="auto"/>
        <w:rPr>
          <w:rFonts w:ascii="Arial"/>
          <w:sz w:val="21"/>
        </w:rPr>
      </w:pPr>
    </w:p>
    <w:p w14:paraId="5E451EAD">
      <w:pPr>
        <w:spacing w:before="75" w:line="389" w:lineRule="auto"/>
        <w:ind w:left="117" w:right="48" w:firstLine="431"/>
        <w:rPr>
          <w:rFonts w:ascii="宋体" w:hAnsi="宋体" w:eastAsia="宋体" w:cs="宋体"/>
          <w:sz w:val="23"/>
          <w:szCs w:val="23"/>
        </w:rPr>
      </w:pPr>
      <w:r>
        <w:rPr>
          <w:rFonts w:ascii="宋体" w:hAnsi="宋体" w:eastAsia="宋体" w:cs="宋体"/>
          <w:spacing w:val="15"/>
          <w:sz w:val="23"/>
          <w:szCs w:val="23"/>
        </w:rPr>
        <w:t>该</w:t>
      </w:r>
      <w:r>
        <w:rPr>
          <w:rFonts w:ascii="宋体" w:hAnsi="宋体" w:eastAsia="宋体" w:cs="宋体"/>
          <w:spacing w:val="8"/>
          <w:sz w:val="23"/>
          <w:szCs w:val="23"/>
        </w:rPr>
        <w:t>项目在厂区东南侧设有旱厕，员工使用防渗旱厕，定期清掏，不外排；生</w:t>
      </w:r>
      <w:r>
        <w:rPr>
          <w:rFonts w:ascii="宋体" w:hAnsi="宋体" w:eastAsia="宋体" w:cs="宋体"/>
          <w:sz w:val="23"/>
          <w:szCs w:val="23"/>
        </w:rPr>
        <w:t xml:space="preserve"> </w:t>
      </w:r>
      <w:r>
        <w:rPr>
          <w:rFonts w:ascii="宋体" w:hAnsi="宋体" w:eastAsia="宋体" w:cs="宋体"/>
          <w:spacing w:val="-8"/>
          <w:sz w:val="23"/>
          <w:szCs w:val="23"/>
        </w:rPr>
        <w:t>产废水经一体</w:t>
      </w:r>
      <w:r>
        <w:rPr>
          <w:rFonts w:ascii="宋体" w:hAnsi="宋体" w:eastAsia="宋体" w:cs="宋体"/>
          <w:spacing w:val="-7"/>
          <w:sz w:val="23"/>
          <w:szCs w:val="23"/>
        </w:rPr>
        <w:t>化</w:t>
      </w:r>
      <w:r>
        <w:rPr>
          <w:rFonts w:ascii="宋体" w:hAnsi="宋体" w:eastAsia="宋体" w:cs="宋体"/>
          <w:spacing w:val="-4"/>
          <w:sz w:val="23"/>
          <w:szCs w:val="23"/>
        </w:rPr>
        <w:t>污水预处理设备处理后排入三级沉淀池 (</w:t>
      </w:r>
      <w:r>
        <w:rPr>
          <w:rFonts w:ascii="Times New Roman" w:hAnsi="Times New Roman" w:eastAsia="Times New Roman" w:cs="Times New Roman"/>
          <w:spacing w:val="-4"/>
          <w:sz w:val="23"/>
          <w:szCs w:val="23"/>
        </w:rPr>
        <w:t>12m×6m×4.5m</w:t>
      </w:r>
      <w:r>
        <w:rPr>
          <w:rFonts w:ascii="宋体" w:hAnsi="宋体" w:eastAsia="宋体" w:cs="宋体"/>
          <w:spacing w:val="-4"/>
          <w:sz w:val="23"/>
          <w:szCs w:val="23"/>
        </w:rPr>
        <w:t>) 沉淀处理，</w:t>
      </w:r>
      <w:r>
        <w:rPr>
          <w:rFonts w:ascii="宋体" w:hAnsi="宋体" w:eastAsia="宋体" w:cs="宋体"/>
          <w:sz w:val="23"/>
          <w:szCs w:val="23"/>
        </w:rPr>
        <w:t xml:space="preserve"> </w:t>
      </w:r>
      <w:r>
        <w:rPr>
          <w:rFonts w:ascii="宋体" w:hAnsi="宋体" w:eastAsia="宋体" w:cs="宋体"/>
          <w:spacing w:val="-21"/>
          <w:sz w:val="23"/>
          <w:szCs w:val="23"/>
        </w:rPr>
        <w:t>随</w:t>
      </w:r>
      <w:r>
        <w:rPr>
          <w:rFonts w:ascii="宋体" w:hAnsi="宋体" w:eastAsia="宋体" w:cs="宋体"/>
          <w:spacing w:val="-12"/>
          <w:sz w:val="23"/>
          <w:szCs w:val="23"/>
        </w:rPr>
        <w:t xml:space="preserve">后循环使用，污水处理设施废水每月更换 </w:t>
      </w:r>
      <w:r>
        <w:rPr>
          <w:rFonts w:ascii="Times New Roman" w:hAnsi="Times New Roman" w:eastAsia="Times New Roman" w:cs="Times New Roman"/>
          <w:spacing w:val="-12"/>
          <w:sz w:val="23"/>
          <w:szCs w:val="23"/>
        </w:rPr>
        <w:t xml:space="preserve">1 </w:t>
      </w:r>
      <w:r>
        <w:rPr>
          <w:rFonts w:ascii="宋体" w:hAnsi="宋体" w:eastAsia="宋体" w:cs="宋体"/>
          <w:spacing w:val="-12"/>
          <w:sz w:val="23"/>
          <w:szCs w:val="23"/>
        </w:rPr>
        <w:t>次，更换过程产生的废水经吸污车运送至</w:t>
      </w:r>
      <w:r>
        <w:rPr>
          <w:rFonts w:ascii="宋体" w:hAnsi="宋体" w:eastAsia="宋体" w:cs="宋体"/>
          <w:sz w:val="23"/>
          <w:szCs w:val="23"/>
        </w:rPr>
        <w:t xml:space="preserve"> </w:t>
      </w:r>
      <w:r>
        <w:rPr>
          <w:rFonts w:ascii="宋体" w:hAnsi="宋体" w:eastAsia="宋体" w:cs="宋体"/>
          <w:spacing w:val="-26"/>
          <w:sz w:val="23"/>
          <w:szCs w:val="23"/>
        </w:rPr>
        <w:t>本</w:t>
      </w:r>
      <w:r>
        <w:rPr>
          <w:rFonts w:ascii="宋体" w:hAnsi="宋体" w:eastAsia="宋体" w:cs="宋体"/>
          <w:spacing w:val="-14"/>
          <w:sz w:val="23"/>
          <w:szCs w:val="23"/>
        </w:rPr>
        <w:t>溪</w:t>
      </w:r>
      <w:r>
        <w:rPr>
          <w:rFonts w:ascii="宋体" w:hAnsi="宋体" w:eastAsia="宋体" w:cs="宋体"/>
          <w:spacing w:val="-13"/>
          <w:sz w:val="23"/>
          <w:szCs w:val="23"/>
        </w:rPr>
        <w:t>市科态污水处理有限责任公司统一处理。</w:t>
      </w:r>
    </w:p>
    <w:p w14:paraId="61D746E0">
      <w:pPr>
        <w:spacing w:before="149" w:line="226" w:lineRule="auto"/>
        <w:ind w:left="544"/>
        <w:rPr>
          <w:rFonts w:ascii="宋体" w:hAnsi="宋体" w:eastAsia="宋体" w:cs="宋体"/>
          <w:sz w:val="23"/>
          <w:szCs w:val="23"/>
        </w:rPr>
      </w:pPr>
      <w:r>
        <w:rPr>
          <w:rFonts w:ascii="宋体" w:hAnsi="宋体" w:eastAsia="宋体" w:cs="宋体"/>
          <w:spacing w:val="-20"/>
          <w:sz w:val="23"/>
          <w:szCs w:val="23"/>
        </w:rPr>
        <w:t>根据《</w:t>
      </w:r>
      <w:r>
        <w:rPr>
          <w:rFonts w:ascii="宋体" w:hAnsi="宋体" w:eastAsia="宋体" w:cs="宋体"/>
          <w:spacing w:val="-14"/>
          <w:sz w:val="23"/>
          <w:szCs w:val="23"/>
        </w:rPr>
        <w:t>环</w:t>
      </w:r>
      <w:r>
        <w:rPr>
          <w:rFonts w:ascii="宋体" w:hAnsi="宋体" w:eastAsia="宋体" w:cs="宋体"/>
          <w:spacing w:val="-10"/>
          <w:sz w:val="23"/>
          <w:szCs w:val="23"/>
        </w:rPr>
        <w:t>境影响评价技术导则地表水环境》(</w:t>
      </w:r>
      <w:r>
        <w:rPr>
          <w:rFonts w:ascii="Times New Roman" w:hAnsi="Times New Roman" w:eastAsia="Times New Roman" w:cs="Times New Roman"/>
          <w:spacing w:val="-10"/>
          <w:sz w:val="23"/>
          <w:szCs w:val="23"/>
        </w:rPr>
        <w:t>HJ 2.3-2018</w:t>
      </w:r>
      <w:r>
        <w:rPr>
          <w:rFonts w:ascii="宋体" w:hAnsi="宋体" w:eastAsia="宋体" w:cs="宋体"/>
          <w:spacing w:val="-10"/>
          <w:sz w:val="23"/>
          <w:szCs w:val="23"/>
        </w:rPr>
        <w:t>)评价等级确定根据表</w:t>
      </w:r>
      <w:r>
        <w:rPr>
          <w:rFonts w:ascii="Times New Roman" w:hAnsi="Times New Roman" w:eastAsia="Times New Roman" w:cs="Times New Roman"/>
          <w:spacing w:val="-10"/>
          <w:sz w:val="23"/>
          <w:szCs w:val="23"/>
        </w:rPr>
        <w:t>2-17</w:t>
      </w:r>
      <w:r>
        <w:rPr>
          <w:rFonts w:ascii="宋体" w:hAnsi="宋体" w:eastAsia="宋体" w:cs="宋体"/>
          <w:spacing w:val="-10"/>
          <w:sz w:val="23"/>
          <w:szCs w:val="23"/>
        </w:rPr>
        <w:t>。</w:t>
      </w:r>
    </w:p>
    <w:p w14:paraId="56DED35D">
      <w:pPr>
        <w:spacing w:line="287" w:lineRule="auto"/>
        <w:rPr>
          <w:rFonts w:ascii="Arial"/>
          <w:sz w:val="21"/>
        </w:rPr>
      </w:pPr>
    </w:p>
    <w:p w14:paraId="7FF54FD7">
      <w:pPr>
        <w:spacing w:before="75" w:line="226" w:lineRule="auto"/>
        <w:ind w:left="2084"/>
        <w:rPr>
          <w:rFonts w:ascii="宋体" w:hAnsi="宋体" w:eastAsia="宋体" w:cs="宋体"/>
          <w:sz w:val="23"/>
          <w:szCs w:val="23"/>
        </w:rPr>
      </w:pPr>
      <w:r>
        <w:rPr>
          <w:rFonts w:ascii="宋体" w:hAnsi="宋体" w:eastAsia="宋体" w:cs="宋体"/>
          <w:spacing w:val="-6"/>
          <w:sz w:val="23"/>
          <w:szCs w:val="23"/>
          <w14:textOutline w14:w="4358" w14:cap="sq" w14:cmpd="sng">
            <w14:solidFill>
              <w14:srgbClr w14:val="000000"/>
            </w14:solidFill>
            <w14:prstDash w14:val="solid"/>
            <w14:bevel/>
          </w14:textOutline>
        </w:rPr>
        <w:t>表</w:t>
      </w:r>
      <w:r>
        <w:rPr>
          <w:rFonts w:ascii="宋体" w:hAnsi="宋体" w:eastAsia="宋体" w:cs="宋体"/>
          <w:spacing w:val="-6"/>
          <w:sz w:val="23"/>
          <w:szCs w:val="23"/>
        </w:rPr>
        <w:t xml:space="preserve"> </w:t>
      </w:r>
      <w:r>
        <w:rPr>
          <w:rFonts w:ascii="Times New Roman" w:hAnsi="Times New Roman" w:eastAsia="Times New Roman" w:cs="Times New Roman"/>
          <w:b/>
          <w:bCs/>
          <w:spacing w:val="-6"/>
          <w:sz w:val="23"/>
          <w:szCs w:val="23"/>
        </w:rPr>
        <w:t>2-1</w:t>
      </w:r>
      <w:r>
        <w:rPr>
          <w:rFonts w:ascii="Times New Roman" w:hAnsi="Times New Roman" w:eastAsia="Times New Roman" w:cs="Times New Roman"/>
          <w:b/>
          <w:bCs/>
          <w:spacing w:val="-4"/>
          <w:sz w:val="23"/>
          <w:szCs w:val="23"/>
        </w:rPr>
        <w:t>7</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14:textOutline w14:w="4358" w14:cap="sq" w14:cmpd="sng">
            <w14:solidFill>
              <w14:srgbClr w14:val="000000"/>
            </w14:solidFill>
            <w14:prstDash w14:val="solid"/>
            <w14:bevel/>
          </w14:textOutline>
        </w:rPr>
        <w:t>水污染影响型建设项目评价等级判定</w:t>
      </w:r>
    </w:p>
    <w:p w14:paraId="15714DCC">
      <w:pPr>
        <w:spacing w:line="20"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1517"/>
        <w:gridCol w:w="5075"/>
      </w:tblGrid>
      <w:tr w14:paraId="4A06A2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930" w:type="dxa"/>
            <w:vMerge w:val="restart"/>
            <w:tcBorders>
              <w:left w:val="nil"/>
              <w:bottom w:val="nil"/>
            </w:tcBorders>
            <w:vAlign w:val="top"/>
          </w:tcPr>
          <w:p w14:paraId="11C9B2AF">
            <w:pPr>
              <w:spacing w:before="216" w:line="226" w:lineRule="auto"/>
              <w:ind w:left="578"/>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评价等</w:t>
            </w:r>
            <w:r>
              <w:rPr>
                <w:rFonts w:ascii="宋体" w:hAnsi="宋体" w:eastAsia="宋体" w:cs="宋体"/>
                <w:sz w:val="20"/>
                <w:szCs w:val="20"/>
                <w14:textOutline w14:w="3795" w14:cap="sq" w14:cmpd="sng">
                  <w14:solidFill>
                    <w14:srgbClr w14:val="000000"/>
                  </w14:solidFill>
                  <w14:prstDash w14:val="solid"/>
                  <w14:bevel/>
                </w14:textOutline>
              </w:rPr>
              <w:t>级</w:t>
            </w:r>
          </w:p>
        </w:tc>
        <w:tc>
          <w:tcPr>
            <w:tcW w:w="6592" w:type="dxa"/>
            <w:gridSpan w:val="2"/>
            <w:tcBorders>
              <w:right w:val="nil"/>
            </w:tcBorders>
            <w:vAlign w:val="top"/>
          </w:tcPr>
          <w:p w14:paraId="2611FC87">
            <w:pPr>
              <w:spacing w:before="74" w:line="227" w:lineRule="auto"/>
              <w:ind w:left="2906"/>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判定依据</w:t>
            </w:r>
          </w:p>
        </w:tc>
      </w:tr>
      <w:tr w14:paraId="19469F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930" w:type="dxa"/>
            <w:vMerge w:val="continue"/>
            <w:tcBorders>
              <w:top w:val="nil"/>
              <w:left w:val="nil"/>
            </w:tcBorders>
            <w:vAlign w:val="top"/>
          </w:tcPr>
          <w:p w14:paraId="39E25EA3">
            <w:pPr>
              <w:rPr>
                <w:rFonts w:ascii="Arial"/>
                <w:sz w:val="21"/>
              </w:rPr>
            </w:pPr>
          </w:p>
        </w:tc>
        <w:tc>
          <w:tcPr>
            <w:tcW w:w="1517" w:type="dxa"/>
            <w:vAlign w:val="top"/>
          </w:tcPr>
          <w:p w14:paraId="4D33F6CD">
            <w:pPr>
              <w:spacing w:before="33" w:line="224" w:lineRule="auto"/>
              <w:ind w:left="370"/>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排放方式</w:t>
            </w:r>
          </w:p>
        </w:tc>
        <w:tc>
          <w:tcPr>
            <w:tcW w:w="5075" w:type="dxa"/>
            <w:tcBorders>
              <w:right w:val="nil"/>
            </w:tcBorders>
            <w:vAlign w:val="top"/>
          </w:tcPr>
          <w:p w14:paraId="20BBAACF">
            <w:pPr>
              <w:spacing w:line="275" w:lineRule="exact"/>
              <w:ind w:left="121"/>
              <w:rPr>
                <w:rFonts w:ascii="宋体" w:hAnsi="宋体" w:eastAsia="宋体" w:cs="宋体"/>
                <w:sz w:val="19"/>
                <w:szCs w:val="19"/>
              </w:rPr>
            </w:pPr>
            <w:r>
              <w:rPr>
                <w:rFonts w:ascii="宋体" w:hAnsi="宋体" w:eastAsia="宋体" w:cs="宋体"/>
                <w:spacing w:val="6"/>
                <w:position w:val="2"/>
                <w:sz w:val="19"/>
                <w:szCs w:val="19"/>
                <w14:textOutline w14:w="3626" w14:cap="sq" w14:cmpd="sng">
                  <w14:solidFill>
                    <w14:srgbClr w14:val="000000"/>
                  </w14:solidFill>
                  <w14:prstDash w14:val="solid"/>
                  <w14:bevel/>
                </w14:textOutline>
              </w:rPr>
              <w:t>废水排放量</w:t>
            </w:r>
            <w:r>
              <w:rPr>
                <w:rFonts w:ascii="宋体" w:hAnsi="宋体" w:eastAsia="宋体" w:cs="宋体"/>
                <w:spacing w:val="6"/>
                <w:position w:val="2"/>
                <w:sz w:val="19"/>
                <w:szCs w:val="19"/>
              </w:rPr>
              <w:t xml:space="preserve"> </w:t>
            </w:r>
            <w:r>
              <w:rPr>
                <w:rFonts w:ascii="Times New Roman" w:hAnsi="Times New Roman" w:eastAsia="Times New Roman" w:cs="Times New Roman"/>
                <w:b/>
                <w:bCs/>
                <w:position w:val="2"/>
                <w:sz w:val="19"/>
                <w:szCs w:val="19"/>
              </w:rPr>
              <w:t>Q</w:t>
            </w:r>
            <w:r>
              <w:rPr>
                <w:rFonts w:ascii="Times New Roman" w:hAnsi="Times New Roman" w:eastAsia="Times New Roman" w:cs="Times New Roman"/>
                <w:b/>
                <w:bCs/>
                <w:spacing w:val="6"/>
                <w:position w:val="2"/>
                <w:sz w:val="19"/>
                <w:szCs w:val="19"/>
              </w:rPr>
              <w:t>/</w:t>
            </w:r>
            <w:r>
              <w:rPr>
                <w:rFonts w:ascii="Times New Roman" w:hAnsi="Times New Roman" w:eastAsia="Times New Roman" w:cs="Times New Roman"/>
                <w:spacing w:val="6"/>
                <w:position w:val="2"/>
                <w:sz w:val="19"/>
                <w:szCs w:val="19"/>
              </w:rPr>
              <w:t xml:space="preserve">  </w:t>
            </w:r>
            <w:r>
              <w:rPr>
                <w:rFonts w:ascii="宋体" w:hAnsi="宋体" w:eastAsia="宋体" w:cs="宋体"/>
                <w:spacing w:val="6"/>
                <w:position w:val="2"/>
                <w:sz w:val="19"/>
                <w:szCs w:val="19"/>
                <w14:textOutline w14:w="3626" w14:cap="sq" w14:cmpd="sng">
                  <w14:solidFill>
                    <w14:srgbClr w14:val="000000"/>
                  </w14:solidFill>
                  <w14:prstDash w14:val="solid"/>
                  <w14:bevel/>
                </w14:textOutline>
              </w:rPr>
              <w:t>(</w:t>
            </w:r>
            <w:r>
              <w:rPr>
                <w:rFonts w:ascii="Times New Roman" w:hAnsi="Times New Roman" w:eastAsia="Times New Roman" w:cs="Times New Roman"/>
                <w:b/>
                <w:bCs/>
                <w:position w:val="2"/>
                <w:sz w:val="19"/>
                <w:szCs w:val="19"/>
              </w:rPr>
              <w:t>m</w:t>
            </w:r>
            <w:r>
              <w:rPr>
                <w:rFonts w:ascii="Times New Roman" w:hAnsi="Times New Roman" w:eastAsia="Times New Roman" w:cs="Times New Roman"/>
                <w:b/>
                <w:bCs/>
                <w:spacing w:val="6"/>
                <w:position w:val="8"/>
                <w:sz w:val="13"/>
                <w:szCs w:val="13"/>
              </w:rPr>
              <w:t>3</w:t>
            </w:r>
            <w:r>
              <w:rPr>
                <w:rFonts w:ascii="Times New Roman" w:hAnsi="Times New Roman" w:eastAsia="Times New Roman" w:cs="Times New Roman"/>
                <w:b/>
                <w:bCs/>
                <w:spacing w:val="6"/>
                <w:position w:val="2"/>
                <w:sz w:val="19"/>
                <w:szCs w:val="19"/>
              </w:rPr>
              <w:t>/</w:t>
            </w:r>
            <w:r>
              <w:rPr>
                <w:rFonts w:ascii="Times New Roman" w:hAnsi="Times New Roman" w:eastAsia="Times New Roman" w:cs="Times New Roman"/>
                <w:b/>
                <w:bCs/>
                <w:position w:val="2"/>
                <w:sz w:val="19"/>
                <w:szCs w:val="19"/>
              </w:rPr>
              <w:t>d</w:t>
            </w:r>
            <w:r>
              <w:rPr>
                <w:rFonts w:ascii="宋体" w:hAnsi="宋体" w:eastAsia="宋体" w:cs="宋体"/>
                <w:spacing w:val="6"/>
                <w:position w:val="2"/>
                <w:sz w:val="19"/>
                <w:szCs w:val="19"/>
                <w14:textOutline w14:w="3626" w14:cap="sq" w14:cmpd="sng">
                  <w14:solidFill>
                    <w14:srgbClr w14:val="000000"/>
                  </w14:solidFill>
                  <w14:prstDash w14:val="solid"/>
                  <w14:bevel/>
                </w14:textOutline>
              </w:rPr>
              <w:t>)</w:t>
            </w:r>
            <w:r>
              <w:rPr>
                <w:rFonts w:ascii="宋体" w:hAnsi="宋体" w:eastAsia="宋体" w:cs="宋体"/>
                <w:spacing w:val="6"/>
                <w:position w:val="2"/>
                <w:sz w:val="19"/>
                <w:szCs w:val="19"/>
              </w:rPr>
              <w:t xml:space="preserve"> </w:t>
            </w:r>
            <w:r>
              <w:rPr>
                <w:rFonts w:ascii="宋体" w:hAnsi="宋体" w:eastAsia="宋体" w:cs="宋体"/>
                <w:spacing w:val="6"/>
                <w:position w:val="2"/>
                <w:sz w:val="19"/>
                <w:szCs w:val="19"/>
                <w14:textOutline w14:w="3626" w14:cap="sq" w14:cmpd="sng">
                  <w14:solidFill>
                    <w14:srgbClr w14:val="000000"/>
                  </w14:solidFill>
                  <w14:prstDash w14:val="solid"/>
                  <w14:bevel/>
                </w14:textOutline>
              </w:rPr>
              <w:t>；水污染物当量数</w:t>
            </w:r>
            <w:r>
              <w:rPr>
                <w:rFonts w:ascii="Times New Roman" w:hAnsi="Times New Roman" w:eastAsia="Times New Roman" w:cs="Times New Roman"/>
                <w:b/>
                <w:bCs/>
                <w:position w:val="2"/>
                <w:sz w:val="19"/>
                <w:szCs w:val="19"/>
              </w:rPr>
              <w:t>W</w:t>
            </w:r>
            <w:r>
              <w:rPr>
                <w:rFonts w:ascii="Times New Roman" w:hAnsi="Times New Roman" w:eastAsia="Times New Roman" w:cs="Times New Roman"/>
                <w:b/>
                <w:bCs/>
                <w:spacing w:val="6"/>
                <w:position w:val="2"/>
                <w:sz w:val="19"/>
                <w:szCs w:val="19"/>
              </w:rPr>
              <w:t>/</w:t>
            </w:r>
            <w:r>
              <w:rPr>
                <w:rFonts w:ascii="Times New Roman" w:hAnsi="Times New Roman" w:eastAsia="Times New Roman" w:cs="Times New Roman"/>
                <w:spacing w:val="6"/>
                <w:position w:val="2"/>
                <w:sz w:val="19"/>
                <w:szCs w:val="19"/>
              </w:rPr>
              <w:t xml:space="preserve">  </w:t>
            </w:r>
            <w:r>
              <w:rPr>
                <w:rFonts w:ascii="宋体" w:hAnsi="宋体" w:eastAsia="宋体" w:cs="宋体"/>
                <w:spacing w:val="6"/>
                <w:position w:val="2"/>
                <w:sz w:val="19"/>
                <w:szCs w:val="19"/>
                <w14:textOutline w14:w="3626" w14:cap="sq" w14:cmpd="sng">
                  <w14:solidFill>
                    <w14:srgbClr w14:val="000000"/>
                  </w14:solidFill>
                  <w14:prstDash w14:val="solid"/>
                  <w14:bevel/>
                </w14:textOutline>
              </w:rPr>
              <w:t>(无量纲</w:t>
            </w:r>
            <w:r>
              <w:rPr>
                <w:rFonts w:ascii="宋体" w:hAnsi="宋体" w:eastAsia="宋体" w:cs="宋体"/>
                <w:spacing w:val="4"/>
                <w:position w:val="2"/>
                <w:sz w:val="19"/>
                <w:szCs w:val="19"/>
                <w14:textOutline w14:w="3626" w14:cap="sq" w14:cmpd="sng">
                  <w14:solidFill>
                    <w14:srgbClr w14:val="000000"/>
                  </w14:solidFill>
                  <w14:prstDash w14:val="solid"/>
                  <w14:bevel/>
                </w14:textOutline>
              </w:rPr>
              <w:t>)</w:t>
            </w:r>
          </w:p>
        </w:tc>
      </w:tr>
      <w:tr w14:paraId="7B574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930" w:type="dxa"/>
            <w:tcBorders>
              <w:left w:val="nil"/>
            </w:tcBorders>
            <w:vAlign w:val="top"/>
          </w:tcPr>
          <w:p w14:paraId="236A39C3">
            <w:pPr>
              <w:spacing w:before="61" w:line="230" w:lineRule="auto"/>
              <w:ind w:left="779"/>
              <w:rPr>
                <w:rFonts w:ascii="宋体" w:hAnsi="宋体" w:eastAsia="宋体" w:cs="宋体"/>
                <w:sz w:val="20"/>
                <w:szCs w:val="20"/>
              </w:rPr>
            </w:pPr>
            <w:r>
              <w:rPr>
                <w:rFonts w:ascii="宋体" w:hAnsi="宋体" w:eastAsia="宋体" w:cs="宋体"/>
                <w:spacing w:val="-2"/>
                <w:sz w:val="20"/>
                <w:szCs w:val="20"/>
              </w:rPr>
              <w:t>一</w:t>
            </w:r>
            <w:r>
              <w:rPr>
                <w:rFonts w:ascii="宋体" w:hAnsi="宋体" w:eastAsia="宋体" w:cs="宋体"/>
                <w:spacing w:val="-1"/>
                <w:sz w:val="20"/>
                <w:szCs w:val="20"/>
              </w:rPr>
              <w:t>级</w:t>
            </w:r>
          </w:p>
        </w:tc>
        <w:tc>
          <w:tcPr>
            <w:tcW w:w="1517" w:type="dxa"/>
            <w:vAlign w:val="top"/>
          </w:tcPr>
          <w:p w14:paraId="37CE6382">
            <w:pPr>
              <w:spacing w:before="61" w:line="229" w:lineRule="auto"/>
              <w:ind w:left="374"/>
              <w:rPr>
                <w:rFonts w:ascii="宋体" w:hAnsi="宋体" w:eastAsia="宋体" w:cs="宋体"/>
                <w:sz w:val="20"/>
                <w:szCs w:val="20"/>
              </w:rPr>
            </w:pPr>
            <w:r>
              <w:rPr>
                <w:rFonts w:ascii="宋体" w:hAnsi="宋体" w:eastAsia="宋体" w:cs="宋体"/>
                <w:spacing w:val="-2"/>
                <w:sz w:val="20"/>
                <w:szCs w:val="20"/>
              </w:rPr>
              <w:t>直接排放</w:t>
            </w:r>
          </w:p>
        </w:tc>
        <w:tc>
          <w:tcPr>
            <w:tcW w:w="5075" w:type="dxa"/>
            <w:tcBorders>
              <w:right w:val="nil"/>
            </w:tcBorders>
            <w:vAlign w:val="top"/>
          </w:tcPr>
          <w:p w14:paraId="4DE0981F">
            <w:pPr>
              <w:spacing w:before="24" w:line="281" w:lineRule="exact"/>
              <w:ind w:left="157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Q</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spacing w:val="2"/>
                <w:position w:val="2"/>
                <w:sz w:val="20"/>
                <w:szCs w:val="20"/>
              </w:rPr>
              <w:t xml:space="preserve">20000 </w:t>
            </w:r>
            <w:r>
              <w:rPr>
                <w:rFonts w:ascii="宋体" w:hAnsi="宋体" w:eastAsia="宋体" w:cs="宋体"/>
                <w:spacing w:val="2"/>
                <w:position w:val="2"/>
                <w:sz w:val="20"/>
                <w:szCs w:val="20"/>
              </w:rPr>
              <w:t>或</w:t>
            </w:r>
            <w:r>
              <w:rPr>
                <w:rFonts w:ascii="Times New Roman" w:hAnsi="Times New Roman" w:eastAsia="Times New Roman" w:cs="Times New Roman"/>
                <w:position w:val="2"/>
                <w:sz w:val="20"/>
                <w:szCs w:val="20"/>
              </w:rPr>
              <w:t>W</w:t>
            </w:r>
            <w:r>
              <w:rPr>
                <w:rFonts w:ascii="Times New Roman" w:hAnsi="Times New Roman" w:eastAsia="Times New Roman" w:cs="Times New Roman"/>
                <w:spacing w:val="2"/>
                <w:position w:val="2"/>
                <w:sz w:val="20"/>
                <w:szCs w:val="20"/>
              </w:rPr>
              <w:t>≥600000</w:t>
            </w:r>
          </w:p>
        </w:tc>
      </w:tr>
      <w:tr w14:paraId="171B39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930" w:type="dxa"/>
            <w:tcBorders>
              <w:left w:val="nil"/>
            </w:tcBorders>
            <w:vAlign w:val="top"/>
          </w:tcPr>
          <w:p w14:paraId="6A1E2ED8">
            <w:pPr>
              <w:spacing w:before="61" w:line="230" w:lineRule="auto"/>
              <w:ind w:left="779"/>
              <w:rPr>
                <w:rFonts w:ascii="宋体" w:hAnsi="宋体" w:eastAsia="宋体" w:cs="宋体"/>
                <w:sz w:val="20"/>
                <w:szCs w:val="20"/>
              </w:rPr>
            </w:pPr>
            <w:r>
              <w:rPr>
                <w:rFonts w:ascii="宋体" w:hAnsi="宋体" w:eastAsia="宋体" w:cs="宋体"/>
                <w:spacing w:val="-2"/>
                <w:sz w:val="20"/>
                <w:szCs w:val="20"/>
              </w:rPr>
              <w:t>二</w:t>
            </w:r>
            <w:r>
              <w:rPr>
                <w:rFonts w:ascii="宋体" w:hAnsi="宋体" w:eastAsia="宋体" w:cs="宋体"/>
                <w:spacing w:val="-1"/>
                <w:sz w:val="20"/>
                <w:szCs w:val="20"/>
              </w:rPr>
              <w:t>级</w:t>
            </w:r>
          </w:p>
        </w:tc>
        <w:tc>
          <w:tcPr>
            <w:tcW w:w="1517" w:type="dxa"/>
            <w:vAlign w:val="top"/>
          </w:tcPr>
          <w:p w14:paraId="00B6529E">
            <w:pPr>
              <w:spacing w:before="61" w:line="229" w:lineRule="auto"/>
              <w:ind w:left="374"/>
              <w:rPr>
                <w:rFonts w:ascii="宋体" w:hAnsi="宋体" w:eastAsia="宋体" w:cs="宋体"/>
                <w:sz w:val="20"/>
                <w:szCs w:val="20"/>
              </w:rPr>
            </w:pPr>
            <w:r>
              <w:rPr>
                <w:rFonts w:ascii="宋体" w:hAnsi="宋体" w:eastAsia="宋体" w:cs="宋体"/>
                <w:spacing w:val="-2"/>
                <w:sz w:val="20"/>
                <w:szCs w:val="20"/>
              </w:rPr>
              <w:t>直接排放</w:t>
            </w:r>
          </w:p>
        </w:tc>
        <w:tc>
          <w:tcPr>
            <w:tcW w:w="5075" w:type="dxa"/>
            <w:tcBorders>
              <w:right w:val="nil"/>
            </w:tcBorders>
            <w:vAlign w:val="top"/>
          </w:tcPr>
          <w:p w14:paraId="1DB351B5">
            <w:pPr>
              <w:spacing w:before="61" w:line="228" w:lineRule="auto"/>
              <w:ind w:left="2348"/>
              <w:rPr>
                <w:rFonts w:ascii="宋体" w:hAnsi="宋体" w:eastAsia="宋体" w:cs="宋体"/>
                <w:sz w:val="20"/>
                <w:szCs w:val="20"/>
              </w:rPr>
            </w:pPr>
            <w:r>
              <w:rPr>
                <w:rFonts w:ascii="宋体" w:hAnsi="宋体" w:eastAsia="宋体" w:cs="宋体"/>
                <w:sz w:val="20"/>
                <w:szCs w:val="20"/>
              </w:rPr>
              <w:t>其他</w:t>
            </w:r>
          </w:p>
        </w:tc>
      </w:tr>
      <w:tr w14:paraId="4B7926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930" w:type="dxa"/>
            <w:tcBorders>
              <w:left w:val="nil"/>
            </w:tcBorders>
            <w:vAlign w:val="top"/>
          </w:tcPr>
          <w:p w14:paraId="301071A1">
            <w:pPr>
              <w:spacing w:before="62" w:line="230" w:lineRule="auto"/>
              <w:ind w:left="680"/>
              <w:rPr>
                <w:rFonts w:ascii="Times New Roman" w:hAnsi="Times New Roman" w:eastAsia="Times New Roman" w:cs="Times New Roman"/>
                <w:sz w:val="20"/>
                <w:szCs w:val="20"/>
              </w:rPr>
            </w:pPr>
            <w:r>
              <w:rPr>
                <w:rFonts w:ascii="宋体" w:hAnsi="宋体" w:eastAsia="宋体" w:cs="宋体"/>
                <w:spacing w:val="20"/>
                <w:sz w:val="20"/>
                <w:szCs w:val="20"/>
              </w:rPr>
              <w:t>三</w:t>
            </w:r>
            <w:r>
              <w:rPr>
                <w:rFonts w:ascii="宋体" w:hAnsi="宋体" w:eastAsia="宋体" w:cs="宋体"/>
                <w:spacing w:val="19"/>
                <w:sz w:val="20"/>
                <w:szCs w:val="20"/>
              </w:rPr>
              <w:t>级</w:t>
            </w:r>
            <w:r>
              <w:rPr>
                <w:rFonts w:ascii="Times New Roman" w:hAnsi="Times New Roman" w:eastAsia="Times New Roman" w:cs="Times New Roman"/>
                <w:sz w:val="20"/>
                <w:szCs w:val="20"/>
              </w:rPr>
              <w:t>A</w:t>
            </w:r>
          </w:p>
        </w:tc>
        <w:tc>
          <w:tcPr>
            <w:tcW w:w="1517" w:type="dxa"/>
            <w:vAlign w:val="top"/>
          </w:tcPr>
          <w:p w14:paraId="2987E918">
            <w:pPr>
              <w:spacing w:before="63" w:line="229" w:lineRule="auto"/>
              <w:ind w:left="374"/>
              <w:rPr>
                <w:rFonts w:ascii="宋体" w:hAnsi="宋体" w:eastAsia="宋体" w:cs="宋体"/>
                <w:sz w:val="20"/>
                <w:szCs w:val="20"/>
              </w:rPr>
            </w:pPr>
            <w:r>
              <w:rPr>
                <w:rFonts w:ascii="宋体" w:hAnsi="宋体" w:eastAsia="宋体" w:cs="宋体"/>
                <w:spacing w:val="-2"/>
                <w:sz w:val="20"/>
                <w:szCs w:val="20"/>
              </w:rPr>
              <w:t>直接排放</w:t>
            </w:r>
          </w:p>
        </w:tc>
        <w:tc>
          <w:tcPr>
            <w:tcW w:w="5075" w:type="dxa"/>
            <w:tcBorders>
              <w:right w:val="nil"/>
            </w:tcBorders>
            <w:vAlign w:val="top"/>
          </w:tcPr>
          <w:p w14:paraId="60AF5DE0">
            <w:pPr>
              <w:spacing w:before="62" w:line="221" w:lineRule="auto"/>
              <w:ind w:left="168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Q</w:t>
            </w:r>
            <w:r>
              <w:rPr>
                <w:rFonts w:ascii="宋体" w:hAnsi="宋体" w:eastAsia="宋体" w:cs="宋体"/>
                <w:spacing w:val="-8"/>
                <w:sz w:val="20"/>
                <w:szCs w:val="20"/>
              </w:rPr>
              <w:t>＜</w:t>
            </w:r>
            <w:r>
              <w:rPr>
                <w:rFonts w:ascii="Times New Roman" w:hAnsi="Times New Roman" w:eastAsia="Times New Roman" w:cs="Times New Roman"/>
                <w:spacing w:val="-8"/>
                <w:sz w:val="20"/>
                <w:szCs w:val="20"/>
              </w:rPr>
              <w:t>2</w:t>
            </w:r>
            <w:r>
              <w:rPr>
                <w:rFonts w:ascii="Times New Roman" w:hAnsi="Times New Roman" w:eastAsia="Times New Roman" w:cs="Times New Roman"/>
                <w:spacing w:val="-5"/>
                <w:sz w:val="20"/>
                <w:szCs w:val="20"/>
              </w:rPr>
              <w:t>0</w:t>
            </w:r>
            <w:r>
              <w:rPr>
                <w:rFonts w:ascii="Times New Roman" w:hAnsi="Times New Roman" w:eastAsia="Times New Roman" w:cs="Times New Roman"/>
                <w:spacing w:val="-4"/>
                <w:sz w:val="20"/>
                <w:szCs w:val="20"/>
              </w:rPr>
              <w:t xml:space="preserve">0 </w:t>
            </w:r>
            <w:r>
              <w:rPr>
                <w:rFonts w:ascii="宋体" w:hAnsi="宋体" w:eastAsia="宋体" w:cs="宋体"/>
                <w:spacing w:val="-4"/>
                <w:sz w:val="20"/>
                <w:szCs w:val="20"/>
              </w:rPr>
              <w:t xml:space="preserve">且 </w:t>
            </w:r>
            <w:r>
              <w:rPr>
                <w:rFonts w:ascii="Times New Roman" w:hAnsi="Times New Roman" w:eastAsia="Times New Roman" w:cs="Times New Roman"/>
                <w:spacing w:val="-4"/>
                <w:sz w:val="20"/>
                <w:szCs w:val="20"/>
              </w:rPr>
              <w:t>W</w:t>
            </w:r>
            <w:r>
              <w:rPr>
                <w:rFonts w:ascii="宋体" w:hAnsi="宋体" w:eastAsia="宋体" w:cs="宋体"/>
                <w:spacing w:val="-4"/>
                <w:sz w:val="20"/>
                <w:szCs w:val="20"/>
              </w:rPr>
              <w:t>＜</w:t>
            </w:r>
            <w:r>
              <w:rPr>
                <w:rFonts w:ascii="Times New Roman" w:hAnsi="Times New Roman" w:eastAsia="Times New Roman" w:cs="Times New Roman"/>
                <w:spacing w:val="-4"/>
                <w:sz w:val="20"/>
                <w:szCs w:val="20"/>
              </w:rPr>
              <w:t>6000</w:t>
            </w:r>
          </w:p>
        </w:tc>
      </w:tr>
      <w:tr w14:paraId="0FB779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1930" w:type="dxa"/>
            <w:tcBorders>
              <w:left w:val="nil"/>
            </w:tcBorders>
            <w:vAlign w:val="top"/>
          </w:tcPr>
          <w:p w14:paraId="1F637D0E">
            <w:pPr>
              <w:spacing w:before="64" w:line="230" w:lineRule="auto"/>
              <w:ind w:left="684"/>
              <w:rPr>
                <w:rFonts w:ascii="Times New Roman" w:hAnsi="Times New Roman" w:eastAsia="Times New Roman" w:cs="Times New Roman"/>
                <w:sz w:val="20"/>
                <w:szCs w:val="20"/>
              </w:rPr>
            </w:pPr>
            <w:r>
              <w:rPr>
                <w:rFonts w:ascii="宋体" w:hAnsi="宋体" w:eastAsia="宋体" w:cs="宋体"/>
                <w:spacing w:val="-17"/>
                <w:sz w:val="20"/>
                <w:szCs w:val="20"/>
              </w:rPr>
              <w:t>三</w:t>
            </w:r>
            <w:r>
              <w:rPr>
                <w:rFonts w:ascii="宋体" w:hAnsi="宋体" w:eastAsia="宋体" w:cs="宋体"/>
                <w:spacing w:val="-14"/>
                <w:sz w:val="20"/>
                <w:szCs w:val="20"/>
              </w:rPr>
              <w:t xml:space="preserve">级 </w:t>
            </w:r>
            <w:r>
              <w:rPr>
                <w:rFonts w:ascii="Times New Roman" w:hAnsi="Times New Roman" w:eastAsia="Times New Roman" w:cs="Times New Roman"/>
                <w:spacing w:val="-14"/>
                <w:sz w:val="20"/>
                <w:szCs w:val="20"/>
              </w:rPr>
              <w:t>B</w:t>
            </w:r>
          </w:p>
        </w:tc>
        <w:tc>
          <w:tcPr>
            <w:tcW w:w="1517" w:type="dxa"/>
            <w:vAlign w:val="top"/>
          </w:tcPr>
          <w:p w14:paraId="717FCAFA">
            <w:pPr>
              <w:spacing w:before="64" w:line="229" w:lineRule="auto"/>
              <w:ind w:left="388"/>
              <w:rPr>
                <w:rFonts w:ascii="宋体" w:hAnsi="宋体" w:eastAsia="宋体" w:cs="宋体"/>
                <w:sz w:val="20"/>
                <w:szCs w:val="20"/>
              </w:rPr>
            </w:pPr>
            <w:r>
              <w:rPr>
                <w:rFonts w:ascii="宋体" w:hAnsi="宋体" w:eastAsia="宋体" w:cs="宋体"/>
                <w:spacing w:val="-7"/>
                <w:sz w:val="20"/>
                <w:szCs w:val="20"/>
              </w:rPr>
              <w:t>间</w:t>
            </w:r>
            <w:r>
              <w:rPr>
                <w:rFonts w:ascii="宋体" w:hAnsi="宋体" w:eastAsia="宋体" w:cs="宋体"/>
                <w:spacing w:val="-5"/>
                <w:sz w:val="20"/>
                <w:szCs w:val="20"/>
              </w:rPr>
              <w:t>接排放</w:t>
            </w:r>
          </w:p>
        </w:tc>
        <w:tc>
          <w:tcPr>
            <w:tcW w:w="5075" w:type="dxa"/>
            <w:tcBorders>
              <w:right w:val="nil"/>
            </w:tcBorders>
            <w:vAlign w:val="top"/>
          </w:tcPr>
          <w:p w14:paraId="1C8E8F18">
            <w:pPr>
              <w:spacing w:before="189" w:line="142" w:lineRule="exact"/>
              <w:ind w:left="2330"/>
              <w:rPr>
                <w:rFonts w:ascii="Times New Roman" w:hAnsi="Times New Roman" w:eastAsia="Times New Roman" w:cs="Times New Roman"/>
                <w:sz w:val="20"/>
                <w:szCs w:val="20"/>
              </w:rPr>
            </w:pPr>
            <w:r>
              <w:rPr>
                <w:rFonts w:ascii="Times New Roman" w:hAnsi="Times New Roman" w:eastAsia="Times New Roman" w:cs="Times New Roman"/>
                <w:spacing w:val="9"/>
                <w:position w:val="-1"/>
                <w:sz w:val="20"/>
                <w:szCs w:val="20"/>
              </w:rPr>
              <w:t>——</w:t>
            </w:r>
          </w:p>
        </w:tc>
      </w:tr>
    </w:tbl>
    <w:p w14:paraId="41AB84B8">
      <w:pPr>
        <w:spacing w:line="269" w:lineRule="auto"/>
        <w:rPr>
          <w:rFonts w:ascii="Arial"/>
          <w:sz w:val="21"/>
        </w:rPr>
      </w:pPr>
    </w:p>
    <w:p w14:paraId="00933491">
      <w:pPr>
        <w:spacing w:before="76" w:line="226" w:lineRule="auto"/>
        <w:ind w:left="568"/>
        <w:rPr>
          <w:rFonts w:ascii="宋体" w:hAnsi="宋体" w:eastAsia="宋体" w:cs="宋体"/>
          <w:sz w:val="23"/>
          <w:szCs w:val="23"/>
        </w:rPr>
      </w:pPr>
      <w:r>
        <w:rPr>
          <w:rFonts w:ascii="宋体" w:hAnsi="宋体" w:eastAsia="宋体" w:cs="宋体"/>
          <w:spacing w:val="-6"/>
          <w:sz w:val="23"/>
          <w:szCs w:val="23"/>
        </w:rPr>
        <w:t xml:space="preserve">确定本项目的地表水评价等级为三级 </w:t>
      </w:r>
      <w:r>
        <w:rPr>
          <w:rFonts w:ascii="Times New Roman" w:hAnsi="Times New Roman" w:eastAsia="Times New Roman" w:cs="Times New Roman"/>
          <w:spacing w:val="-6"/>
          <w:sz w:val="23"/>
          <w:szCs w:val="23"/>
        </w:rPr>
        <w:t>B</w:t>
      </w:r>
      <w:r>
        <w:rPr>
          <w:rFonts w:ascii="宋体" w:hAnsi="宋体" w:eastAsia="宋体" w:cs="宋体"/>
          <w:spacing w:val="-6"/>
          <w:sz w:val="23"/>
          <w:szCs w:val="23"/>
        </w:rPr>
        <w:t>。</w:t>
      </w:r>
    </w:p>
    <w:p w14:paraId="7EB01034">
      <w:pPr>
        <w:spacing w:line="289" w:lineRule="auto"/>
        <w:rPr>
          <w:rFonts w:ascii="Arial"/>
          <w:sz w:val="21"/>
        </w:rPr>
      </w:pPr>
    </w:p>
    <w:p w14:paraId="695BB543">
      <w:pPr>
        <w:spacing w:before="76" w:line="226" w:lineRule="auto"/>
        <w:ind w:left="568"/>
        <w:rPr>
          <w:rFonts w:ascii="宋体" w:hAnsi="宋体" w:eastAsia="宋体" w:cs="宋体"/>
          <w:sz w:val="23"/>
          <w:szCs w:val="23"/>
        </w:rPr>
      </w:pPr>
      <w:r>
        <w:rPr>
          <w:rFonts w:ascii="宋体" w:hAnsi="宋体" w:eastAsia="宋体" w:cs="宋体"/>
          <w:spacing w:val="-8"/>
          <w:sz w:val="23"/>
          <w:szCs w:val="23"/>
        </w:rPr>
        <w:t>根据地表水</w:t>
      </w:r>
      <w:r>
        <w:rPr>
          <w:rFonts w:ascii="宋体" w:hAnsi="宋体" w:eastAsia="宋体" w:cs="宋体"/>
          <w:spacing w:val="-4"/>
          <w:sz w:val="23"/>
          <w:szCs w:val="23"/>
        </w:rPr>
        <w:t xml:space="preserve">导则，等级为三级 </w:t>
      </w:r>
      <w:r>
        <w:rPr>
          <w:rFonts w:ascii="Times New Roman" w:hAnsi="Times New Roman" w:eastAsia="Times New Roman" w:cs="Times New Roman"/>
          <w:spacing w:val="-4"/>
          <w:sz w:val="23"/>
          <w:szCs w:val="23"/>
        </w:rPr>
        <w:t xml:space="preserve">B </w:t>
      </w:r>
      <w:r>
        <w:rPr>
          <w:rFonts w:ascii="宋体" w:hAnsi="宋体" w:eastAsia="宋体" w:cs="宋体"/>
          <w:spacing w:val="-4"/>
          <w:sz w:val="23"/>
          <w:szCs w:val="23"/>
        </w:rPr>
        <w:t>其评价范围应符合以下要求：</w:t>
      </w:r>
    </w:p>
    <w:p w14:paraId="75FDDCBB">
      <w:pPr>
        <w:spacing w:line="244" w:lineRule="auto"/>
        <w:rPr>
          <w:rFonts w:ascii="Arial"/>
          <w:sz w:val="21"/>
        </w:rPr>
      </w:pPr>
    </w:p>
    <w:p w14:paraId="1F83E7A0">
      <w:pPr>
        <w:spacing w:before="75" w:line="323" w:lineRule="exact"/>
        <w:ind w:left="567"/>
        <w:rPr>
          <w:rFonts w:ascii="宋体" w:hAnsi="宋体" w:eastAsia="宋体" w:cs="宋体"/>
          <w:sz w:val="23"/>
          <w:szCs w:val="23"/>
        </w:rPr>
      </w:pPr>
      <w:r>
        <w:rPr>
          <w:rFonts w:ascii="Times New Roman" w:hAnsi="Times New Roman" w:eastAsia="Times New Roman" w:cs="Times New Roman"/>
          <w:position w:val="3"/>
          <w:sz w:val="23"/>
          <w:szCs w:val="23"/>
        </w:rPr>
        <w:t>a</w:t>
      </w:r>
      <w:r>
        <w:rPr>
          <w:rFonts w:ascii="Times New Roman" w:hAnsi="Times New Roman" w:eastAsia="Times New Roman" w:cs="Times New Roman"/>
          <w:spacing w:val="-1"/>
          <w:position w:val="3"/>
          <w:sz w:val="23"/>
          <w:szCs w:val="23"/>
        </w:rPr>
        <w:t xml:space="preserve">) </w:t>
      </w:r>
      <w:r>
        <w:rPr>
          <w:rFonts w:ascii="宋体" w:hAnsi="宋体" w:eastAsia="宋体" w:cs="宋体"/>
          <w:spacing w:val="-1"/>
          <w:position w:val="3"/>
          <w:sz w:val="23"/>
          <w:szCs w:val="23"/>
        </w:rPr>
        <w:t>应满足其依托污水处理设施环境可行</w:t>
      </w:r>
      <w:r>
        <w:rPr>
          <w:rFonts w:ascii="宋体" w:hAnsi="宋体" w:eastAsia="宋体" w:cs="宋体"/>
          <w:position w:val="3"/>
          <w:sz w:val="23"/>
          <w:szCs w:val="23"/>
        </w:rPr>
        <w:t>性分析的要求；</w:t>
      </w:r>
    </w:p>
    <w:p w14:paraId="50D482A4">
      <w:pPr>
        <w:spacing w:before="157" w:line="323" w:lineRule="exact"/>
        <w:ind w:left="534"/>
        <w:rPr>
          <w:rFonts w:ascii="宋体" w:hAnsi="宋体" w:eastAsia="宋体" w:cs="宋体"/>
          <w:sz w:val="23"/>
          <w:szCs w:val="23"/>
        </w:rPr>
      </w:pPr>
      <w:r>
        <w:rPr>
          <w:rFonts w:ascii="Times New Roman" w:hAnsi="Times New Roman" w:eastAsia="Times New Roman" w:cs="Times New Roman"/>
          <w:spacing w:val="-12"/>
          <w:position w:val="3"/>
          <w:sz w:val="23"/>
          <w:szCs w:val="23"/>
        </w:rPr>
        <w:t>b</w:t>
      </w:r>
      <w:r>
        <w:rPr>
          <w:rFonts w:ascii="Times New Roman" w:hAnsi="Times New Roman" w:eastAsia="Times New Roman" w:cs="Times New Roman"/>
          <w:spacing w:val="-22"/>
          <w:position w:val="3"/>
          <w:sz w:val="23"/>
          <w:szCs w:val="23"/>
        </w:rPr>
        <w:t>)</w:t>
      </w:r>
      <w:r>
        <w:rPr>
          <w:rFonts w:ascii="Times New Roman" w:hAnsi="Times New Roman" w:eastAsia="Times New Roman" w:cs="Times New Roman"/>
          <w:spacing w:val="-12"/>
          <w:position w:val="3"/>
          <w:sz w:val="23"/>
          <w:szCs w:val="23"/>
        </w:rPr>
        <w:t xml:space="preserve"> </w:t>
      </w:r>
      <w:r>
        <w:rPr>
          <w:rFonts w:ascii="宋体" w:hAnsi="宋体" w:eastAsia="宋体" w:cs="宋体"/>
          <w:spacing w:val="-12"/>
          <w:position w:val="3"/>
          <w:sz w:val="23"/>
          <w:szCs w:val="23"/>
        </w:rPr>
        <w:t>涉及地表水环境风险的，应覆盖环境风险影响范围所及的水环境保护目标水域。</w:t>
      </w:r>
    </w:p>
    <w:p w14:paraId="08634DCC">
      <w:pPr>
        <w:spacing w:line="291" w:lineRule="auto"/>
        <w:rPr>
          <w:rFonts w:ascii="Arial"/>
          <w:sz w:val="21"/>
        </w:rPr>
      </w:pPr>
    </w:p>
    <w:p w14:paraId="40FAC3BA">
      <w:pPr>
        <w:spacing w:before="75" w:line="393" w:lineRule="auto"/>
        <w:ind w:left="120" w:right="98" w:firstLine="452"/>
        <w:rPr>
          <w:rFonts w:ascii="宋体" w:hAnsi="宋体" w:eastAsia="宋体" w:cs="宋体"/>
          <w:sz w:val="23"/>
          <w:szCs w:val="23"/>
        </w:rPr>
      </w:pPr>
      <w:r>
        <w:rPr>
          <w:rFonts w:ascii="宋体" w:hAnsi="宋体" w:eastAsia="宋体" w:cs="宋体"/>
          <w:spacing w:val="-10"/>
          <w:sz w:val="23"/>
          <w:szCs w:val="23"/>
        </w:rPr>
        <w:t>该项目地</w:t>
      </w:r>
      <w:r>
        <w:rPr>
          <w:rFonts w:ascii="宋体" w:hAnsi="宋体" w:eastAsia="宋体" w:cs="宋体"/>
          <w:spacing w:val="-9"/>
          <w:sz w:val="23"/>
          <w:szCs w:val="23"/>
        </w:rPr>
        <w:t>表</w:t>
      </w:r>
      <w:r>
        <w:rPr>
          <w:rFonts w:ascii="宋体" w:hAnsi="宋体" w:eastAsia="宋体" w:cs="宋体"/>
          <w:spacing w:val="-5"/>
          <w:sz w:val="23"/>
          <w:szCs w:val="23"/>
        </w:rPr>
        <w:t>水评价仅分析该项目生产废水排入本溪市科态污水处理有限责任公司</w:t>
      </w:r>
      <w:r>
        <w:rPr>
          <w:rFonts w:ascii="宋体" w:hAnsi="宋体" w:eastAsia="宋体" w:cs="宋体"/>
          <w:sz w:val="23"/>
          <w:szCs w:val="23"/>
        </w:rPr>
        <w:t xml:space="preserve"> </w:t>
      </w:r>
      <w:r>
        <w:rPr>
          <w:rFonts w:ascii="宋体" w:hAnsi="宋体" w:eastAsia="宋体" w:cs="宋体"/>
          <w:spacing w:val="-3"/>
          <w:sz w:val="23"/>
          <w:szCs w:val="23"/>
        </w:rPr>
        <w:t>水质依托可行性。不再确定地表水评价范围。</w:t>
      </w:r>
    </w:p>
    <w:p w14:paraId="7983DBE0">
      <w:pPr>
        <w:spacing w:before="113" w:line="219" w:lineRule="auto"/>
        <w:ind w:left="114"/>
        <w:outlineLvl w:val="3"/>
        <w:rPr>
          <w:rFonts w:ascii="宋体" w:hAnsi="宋体" w:eastAsia="宋体" w:cs="宋体"/>
          <w:sz w:val="28"/>
          <w:szCs w:val="28"/>
        </w:rPr>
      </w:pPr>
      <w:r>
        <w:rPr>
          <w:rFonts w:ascii="Times New Roman" w:hAnsi="Times New Roman" w:eastAsia="Times New Roman" w:cs="Times New Roman"/>
          <w:b/>
          <w:bCs/>
          <w:spacing w:val="-1"/>
          <w:sz w:val="28"/>
          <w:szCs w:val="28"/>
        </w:rPr>
        <w:t>2.6.1.3</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 xml:space="preserve"> </w:t>
      </w:r>
      <w:r>
        <w:rPr>
          <w:rFonts w:ascii="宋体" w:hAnsi="宋体" w:eastAsia="宋体" w:cs="宋体"/>
          <w:sz w:val="28"/>
          <w:szCs w:val="28"/>
          <w14:textOutline w14:w="5103" w14:cap="sq" w14:cmpd="sng">
            <w14:solidFill>
              <w14:srgbClr w14:val="000000"/>
            </w14:solidFill>
            <w14:prstDash w14:val="solid"/>
            <w14:bevel/>
          </w14:textOutline>
        </w:rPr>
        <w:t>地下水环境评价工作等级</w:t>
      </w:r>
    </w:p>
    <w:p w14:paraId="3E40104B">
      <w:pPr>
        <w:spacing w:line="272" w:lineRule="auto"/>
        <w:rPr>
          <w:rFonts w:ascii="Arial"/>
          <w:sz w:val="21"/>
        </w:rPr>
      </w:pPr>
    </w:p>
    <w:p w14:paraId="6868CC9D">
      <w:pPr>
        <w:spacing w:before="75" w:line="393" w:lineRule="auto"/>
        <w:ind w:left="120" w:right="110" w:firstLine="448"/>
        <w:rPr>
          <w:rFonts w:ascii="宋体" w:hAnsi="宋体" w:eastAsia="宋体" w:cs="宋体"/>
          <w:sz w:val="23"/>
          <w:szCs w:val="23"/>
        </w:rPr>
      </w:pPr>
      <w:r>
        <w:rPr>
          <w:rFonts w:ascii="宋体" w:hAnsi="宋体" w:eastAsia="宋体" w:cs="宋体"/>
          <w:spacing w:val="-2"/>
          <w:sz w:val="23"/>
          <w:szCs w:val="23"/>
        </w:rPr>
        <w:t>根据《环境影响评价技术导则 地下水环境》 (</w:t>
      </w:r>
      <w:r>
        <w:rPr>
          <w:rFonts w:ascii="Times New Roman" w:hAnsi="Times New Roman" w:eastAsia="Times New Roman" w:cs="Times New Roman"/>
          <w:sz w:val="23"/>
          <w:szCs w:val="23"/>
        </w:rPr>
        <w:t>HJ</w:t>
      </w:r>
      <w:r>
        <w:rPr>
          <w:rFonts w:ascii="Times New Roman" w:hAnsi="Times New Roman" w:eastAsia="Times New Roman" w:cs="Times New Roman"/>
          <w:spacing w:val="-2"/>
          <w:sz w:val="23"/>
          <w:szCs w:val="23"/>
        </w:rPr>
        <w:t>610-2016</w:t>
      </w:r>
      <w:r>
        <w:rPr>
          <w:rFonts w:ascii="宋体" w:hAnsi="宋体" w:eastAsia="宋体" w:cs="宋体"/>
          <w:spacing w:val="-2"/>
          <w:sz w:val="23"/>
          <w:szCs w:val="23"/>
        </w:rPr>
        <w:t>) 评价工作等级的</w:t>
      </w:r>
      <w:r>
        <w:rPr>
          <w:rFonts w:ascii="宋体" w:hAnsi="宋体" w:eastAsia="宋体" w:cs="宋体"/>
          <w:spacing w:val="-1"/>
          <w:sz w:val="23"/>
          <w:szCs w:val="23"/>
        </w:rPr>
        <w:t>划</w:t>
      </w:r>
      <w:r>
        <w:rPr>
          <w:rFonts w:ascii="宋体" w:hAnsi="宋体" w:eastAsia="宋体" w:cs="宋体"/>
          <w:sz w:val="23"/>
          <w:szCs w:val="23"/>
        </w:rPr>
        <w:t xml:space="preserve"> </w:t>
      </w:r>
      <w:r>
        <w:rPr>
          <w:rFonts w:ascii="宋体" w:hAnsi="宋体" w:eastAsia="宋体" w:cs="宋体"/>
          <w:spacing w:val="-6"/>
          <w:sz w:val="23"/>
          <w:szCs w:val="23"/>
        </w:rPr>
        <w:t>分</w:t>
      </w:r>
      <w:r>
        <w:rPr>
          <w:rFonts w:ascii="宋体" w:hAnsi="宋体" w:eastAsia="宋体" w:cs="宋体"/>
          <w:spacing w:val="-3"/>
          <w:sz w:val="23"/>
          <w:szCs w:val="23"/>
        </w:rPr>
        <w:t>应依据建设项目行业分类和地下水环境敏感程度分级进行判定。</w:t>
      </w:r>
    </w:p>
    <w:p w14:paraId="6F6F0681">
      <w:pPr>
        <w:spacing w:before="151" w:line="392" w:lineRule="auto"/>
        <w:ind w:left="124" w:right="112" w:firstLine="455"/>
        <w:rPr>
          <w:rFonts w:ascii="宋体" w:hAnsi="宋体" w:eastAsia="宋体" w:cs="宋体"/>
          <w:sz w:val="23"/>
          <w:szCs w:val="23"/>
        </w:rPr>
      </w:pPr>
      <w:r>
        <w:rPr>
          <w:rFonts w:ascii="宋体" w:hAnsi="宋体" w:eastAsia="宋体" w:cs="宋体"/>
          <w:spacing w:val="1"/>
          <w:sz w:val="23"/>
          <w:szCs w:val="23"/>
        </w:rPr>
        <w:t>(</w:t>
      </w:r>
      <w:r>
        <w:rPr>
          <w:rFonts w:ascii="Times New Roman" w:hAnsi="Times New Roman" w:eastAsia="Times New Roman" w:cs="Times New Roman"/>
          <w:spacing w:val="1"/>
          <w:sz w:val="23"/>
          <w:szCs w:val="23"/>
        </w:rPr>
        <w:t>1</w:t>
      </w:r>
      <w:r>
        <w:rPr>
          <w:rFonts w:ascii="宋体" w:hAnsi="宋体" w:eastAsia="宋体" w:cs="宋体"/>
          <w:spacing w:val="1"/>
          <w:sz w:val="23"/>
          <w:szCs w:val="23"/>
        </w:rPr>
        <w:t>) 根据《环境影响评价技术导则 地下水环境》 (</w:t>
      </w:r>
      <w:r>
        <w:rPr>
          <w:rFonts w:ascii="Times New Roman" w:hAnsi="Times New Roman" w:eastAsia="Times New Roman" w:cs="Times New Roman"/>
          <w:sz w:val="23"/>
          <w:szCs w:val="23"/>
        </w:rPr>
        <w:t>HJ</w:t>
      </w:r>
      <w:r>
        <w:rPr>
          <w:rFonts w:ascii="Times New Roman" w:hAnsi="Times New Roman" w:eastAsia="Times New Roman" w:cs="Times New Roman"/>
          <w:spacing w:val="1"/>
          <w:sz w:val="23"/>
          <w:szCs w:val="23"/>
        </w:rPr>
        <w:t>61</w:t>
      </w:r>
      <w:r>
        <w:rPr>
          <w:rFonts w:ascii="Times New Roman" w:hAnsi="Times New Roman" w:eastAsia="Times New Roman" w:cs="Times New Roman"/>
          <w:sz w:val="23"/>
          <w:szCs w:val="23"/>
        </w:rPr>
        <w:t>0-2016</w:t>
      </w:r>
      <w:r>
        <w:rPr>
          <w:rFonts w:ascii="宋体" w:hAnsi="宋体" w:eastAsia="宋体" w:cs="宋体"/>
          <w:sz w:val="23"/>
          <w:szCs w:val="23"/>
        </w:rPr>
        <w:t xml:space="preserve">) 附录 </w:t>
      </w:r>
      <w:r>
        <w:rPr>
          <w:rFonts w:ascii="Times New Roman" w:hAnsi="Times New Roman" w:eastAsia="Times New Roman" w:cs="Times New Roman"/>
          <w:sz w:val="23"/>
          <w:szCs w:val="23"/>
        </w:rPr>
        <w:t xml:space="preserve">A </w:t>
      </w:r>
      <w:r>
        <w:rPr>
          <w:rFonts w:ascii="宋体" w:hAnsi="宋体" w:eastAsia="宋体" w:cs="宋体"/>
          <w:sz w:val="23"/>
          <w:szCs w:val="23"/>
        </w:rPr>
        <w:t xml:space="preserve">中地 </w:t>
      </w:r>
      <w:r>
        <w:rPr>
          <w:rFonts w:ascii="宋体" w:hAnsi="宋体" w:eastAsia="宋体" w:cs="宋体"/>
          <w:spacing w:val="-2"/>
          <w:sz w:val="23"/>
          <w:szCs w:val="23"/>
        </w:rPr>
        <w:t>下水</w:t>
      </w:r>
      <w:r>
        <w:rPr>
          <w:rFonts w:ascii="宋体" w:hAnsi="宋体" w:eastAsia="宋体" w:cs="宋体"/>
          <w:spacing w:val="-1"/>
          <w:sz w:val="23"/>
          <w:szCs w:val="23"/>
        </w:rPr>
        <w:t>环境影响评价行业分类表，具体见下表</w:t>
      </w:r>
      <w:r>
        <w:rPr>
          <w:rFonts w:ascii="Times New Roman" w:hAnsi="Times New Roman" w:eastAsia="Times New Roman" w:cs="Times New Roman"/>
          <w:spacing w:val="-1"/>
          <w:sz w:val="23"/>
          <w:szCs w:val="23"/>
        </w:rPr>
        <w:t>2-18</w:t>
      </w:r>
      <w:r>
        <w:rPr>
          <w:rFonts w:ascii="宋体" w:hAnsi="宋体" w:eastAsia="宋体" w:cs="宋体"/>
          <w:spacing w:val="-1"/>
          <w:sz w:val="23"/>
          <w:szCs w:val="23"/>
        </w:rPr>
        <w:t>。</w:t>
      </w:r>
    </w:p>
    <w:p w14:paraId="1694E63E">
      <w:pPr>
        <w:sectPr>
          <w:headerReference r:id="rId69" w:type="default"/>
          <w:footerReference r:id="rId70" w:type="default"/>
          <w:pgSz w:w="11906" w:h="16839"/>
          <w:pgMar w:top="1132" w:right="1691" w:bottom="1156" w:left="1691" w:header="878" w:footer="996" w:gutter="0"/>
          <w:cols w:space="720" w:num="1"/>
        </w:sectPr>
      </w:pPr>
    </w:p>
    <w:p w14:paraId="3B3CA5F3">
      <w:pPr>
        <w:spacing w:line="408" w:lineRule="auto"/>
        <w:rPr>
          <w:rFonts w:ascii="Arial"/>
          <w:sz w:val="21"/>
        </w:rPr>
      </w:pPr>
      <w:r>
        <w:pict>
          <v:shape id="_x0000_s1096" o:spid="_x0000_s1096" style="position:absolute;left:0pt;margin-left:90pt;margin-top:57.35pt;height:0.75pt;width:415.3pt;mso-position-horizontal-relative:page;mso-position-vertical-relative:page;z-index:251732992;mso-width-relative:page;mso-height-relative:page;" fillcolor="#000000" filled="t" stroked="f" coordsize="8305,15" o:allowincell="f" path="m0,0l8305,0,8305,14,0,14,0,0xe">
            <v:path/>
            <v:fill on="t" focussize="0,0"/>
            <v:stroke on="f"/>
            <v:imagedata o:title=""/>
            <o:lock v:ext="edit"/>
          </v:shape>
        </w:pict>
      </w:r>
    </w:p>
    <w:p w14:paraId="7B0029BA">
      <w:pPr>
        <w:spacing w:before="75" w:line="226" w:lineRule="auto"/>
        <w:ind w:left="2312"/>
        <w:rPr>
          <w:rFonts w:ascii="宋体" w:hAnsi="宋体" w:eastAsia="宋体" w:cs="宋体"/>
          <w:sz w:val="23"/>
          <w:szCs w:val="23"/>
        </w:rPr>
      </w:pPr>
      <w:r>
        <w:rPr>
          <w:rFonts w:ascii="宋体" w:hAnsi="宋体" w:eastAsia="宋体" w:cs="宋体"/>
          <w:spacing w:val="-2"/>
          <w:sz w:val="23"/>
          <w:szCs w:val="23"/>
          <w14:textOutline w14:w="4358" w14:cap="sq" w14:cmpd="sng">
            <w14:solidFill>
              <w14:srgbClr w14:val="000000"/>
            </w14:solidFill>
            <w14:prstDash w14:val="solid"/>
            <w14:bevel/>
          </w14:textOutline>
        </w:rPr>
        <w:t>表</w:t>
      </w:r>
      <w:r>
        <w:rPr>
          <w:rFonts w:ascii="宋体" w:hAnsi="宋体" w:eastAsia="宋体" w:cs="宋体"/>
          <w:spacing w:val="-2"/>
          <w:sz w:val="23"/>
          <w:szCs w:val="23"/>
        </w:rPr>
        <w:t xml:space="preserve"> </w:t>
      </w:r>
      <w:r>
        <w:rPr>
          <w:rFonts w:ascii="Times New Roman" w:hAnsi="Times New Roman" w:eastAsia="Times New Roman" w:cs="Times New Roman"/>
          <w:b/>
          <w:bCs/>
          <w:spacing w:val="-2"/>
          <w:sz w:val="23"/>
          <w:szCs w:val="23"/>
        </w:rPr>
        <w:t>2-18</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14:textOutline w14:w="4358" w14:cap="sq" w14:cmpd="sng">
            <w14:solidFill>
              <w14:srgbClr w14:val="000000"/>
            </w14:solidFill>
            <w14:prstDash w14:val="solid"/>
            <w14:bevel/>
          </w14:textOutline>
        </w:rPr>
        <w:t>地下水环境影响</w:t>
      </w:r>
      <w:r>
        <w:rPr>
          <w:rFonts w:ascii="宋体" w:hAnsi="宋体" w:eastAsia="宋体" w:cs="宋体"/>
          <w:spacing w:val="-1"/>
          <w:sz w:val="23"/>
          <w:szCs w:val="23"/>
          <w14:textOutline w14:w="4358" w14:cap="sq" w14:cmpd="sng">
            <w14:solidFill>
              <w14:srgbClr w14:val="000000"/>
            </w14:solidFill>
            <w14:prstDash w14:val="solid"/>
            <w14:bevel/>
          </w14:textOutline>
        </w:rPr>
        <w:t>评价行业分类表</w:t>
      </w:r>
    </w:p>
    <w:p w14:paraId="622BA84C">
      <w:pPr>
        <w:spacing w:line="19" w:lineRule="exact"/>
      </w:pPr>
    </w:p>
    <w:tbl>
      <w:tblPr>
        <w:tblStyle w:val="4"/>
        <w:tblW w:w="852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27"/>
        <w:gridCol w:w="2909"/>
        <w:gridCol w:w="1018"/>
        <w:gridCol w:w="1333"/>
        <w:gridCol w:w="1334"/>
      </w:tblGrid>
      <w:tr w14:paraId="2D8D6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1927" w:type="dxa"/>
            <w:vMerge w:val="restart"/>
            <w:tcBorders>
              <w:left w:val="nil"/>
              <w:bottom w:val="nil"/>
              <w:tl2br w:val="single" w:color="000000" w:sz="4" w:space="0"/>
            </w:tcBorders>
            <w:vAlign w:val="top"/>
          </w:tcPr>
          <w:p w14:paraId="0D686A2D">
            <w:pPr>
              <w:spacing w:before="116" w:line="228" w:lineRule="auto"/>
              <w:ind w:right="58"/>
              <w:jc w:val="right"/>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环评类型</w:t>
            </w:r>
          </w:p>
          <w:p w14:paraId="40760F72">
            <w:pPr>
              <w:spacing w:before="24" w:line="228" w:lineRule="auto"/>
              <w:ind w:left="35"/>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项目类</w:t>
            </w:r>
            <w:r>
              <w:rPr>
                <w:rFonts w:ascii="宋体" w:hAnsi="宋体" w:eastAsia="宋体" w:cs="宋体"/>
                <w:spacing w:val="-1"/>
                <w:sz w:val="20"/>
                <w:szCs w:val="20"/>
                <w14:textOutline w14:w="3795" w14:cap="sq" w14:cmpd="sng">
                  <w14:solidFill>
                    <w14:srgbClr w14:val="000000"/>
                  </w14:solidFill>
                  <w14:prstDash w14:val="solid"/>
                  <w14:bevel/>
                </w14:textOutline>
              </w:rPr>
              <w:t>型</w:t>
            </w:r>
          </w:p>
        </w:tc>
        <w:tc>
          <w:tcPr>
            <w:tcW w:w="2909" w:type="dxa"/>
            <w:vMerge w:val="restart"/>
            <w:tcBorders>
              <w:bottom w:val="nil"/>
            </w:tcBorders>
            <w:vAlign w:val="top"/>
          </w:tcPr>
          <w:p w14:paraId="0DF81DC4">
            <w:pPr>
              <w:spacing w:before="253" w:line="226" w:lineRule="auto"/>
              <w:ind w:left="1163"/>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报</w:t>
            </w:r>
            <w:r>
              <w:rPr>
                <w:rFonts w:ascii="宋体" w:hAnsi="宋体" w:eastAsia="宋体" w:cs="宋体"/>
                <w:sz w:val="20"/>
                <w:szCs w:val="20"/>
                <w14:textOutline w14:w="3795" w14:cap="sq" w14:cmpd="sng">
                  <w14:solidFill>
                    <w14:srgbClr w14:val="000000"/>
                  </w14:solidFill>
                  <w14:prstDash w14:val="solid"/>
                  <w14:bevel/>
                </w14:textOutline>
              </w:rPr>
              <w:t>告书</w:t>
            </w:r>
          </w:p>
        </w:tc>
        <w:tc>
          <w:tcPr>
            <w:tcW w:w="1018" w:type="dxa"/>
            <w:vMerge w:val="restart"/>
            <w:tcBorders>
              <w:bottom w:val="nil"/>
            </w:tcBorders>
            <w:vAlign w:val="top"/>
          </w:tcPr>
          <w:p w14:paraId="5B5F3016">
            <w:pPr>
              <w:spacing w:before="253" w:line="226" w:lineRule="auto"/>
              <w:ind w:left="217"/>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报</w:t>
            </w:r>
            <w:r>
              <w:rPr>
                <w:rFonts w:ascii="宋体" w:hAnsi="宋体" w:eastAsia="宋体" w:cs="宋体"/>
                <w:sz w:val="20"/>
                <w:szCs w:val="20"/>
                <w14:textOutline w14:w="3795" w14:cap="sq" w14:cmpd="sng">
                  <w14:solidFill>
                    <w14:srgbClr w14:val="000000"/>
                  </w14:solidFill>
                  <w14:prstDash w14:val="solid"/>
                  <w14:bevel/>
                </w14:textOutline>
              </w:rPr>
              <w:t>告表</w:t>
            </w:r>
          </w:p>
        </w:tc>
        <w:tc>
          <w:tcPr>
            <w:tcW w:w="2667" w:type="dxa"/>
            <w:gridSpan w:val="2"/>
            <w:tcBorders>
              <w:right w:val="nil"/>
            </w:tcBorders>
            <w:vAlign w:val="top"/>
          </w:tcPr>
          <w:p w14:paraId="285800EB">
            <w:pPr>
              <w:spacing w:before="85" w:line="226" w:lineRule="auto"/>
              <w:ind w:left="60"/>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地下水环境影响评价项目类</w:t>
            </w:r>
            <w:r>
              <w:rPr>
                <w:rFonts w:ascii="宋体" w:hAnsi="宋体" w:eastAsia="宋体" w:cs="宋体"/>
                <w:spacing w:val="-1"/>
                <w:sz w:val="20"/>
                <w:szCs w:val="20"/>
                <w14:textOutline w14:w="3795" w14:cap="sq" w14:cmpd="sng">
                  <w14:solidFill>
                    <w14:srgbClr w14:val="000000"/>
                  </w14:solidFill>
                  <w14:prstDash w14:val="solid"/>
                  <w14:bevel/>
                </w14:textOutline>
              </w:rPr>
              <w:t>别</w:t>
            </w:r>
          </w:p>
        </w:tc>
      </w:tr>
      <w:tr w14:paraId="617EFF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27" w:type="dxa"/>
            <w:vMerge w:val="continue"/>
            <w:tcBorders>
              <w:top w:val="nil"/>
              <w:left w:val="nil"/>
              <w:tl2br w:val="single" w:color="000000" w:sz="4" w:space="0"/>
            </w:tcBorders>
            <w:vAlign w:val="top"/>
          </w:tcPr>
          <w:p w14:paraId="56E41C03">
            <w:pPr>
              <w:rPr>
                <w:rFonts w:ascii="Arial"/>
                <w:sz w:val="21"/>
              </w:rPr>
            </w:pPr>
          </w:p>
        </w:tc>
        <w:tc>
          <w:tcPr>
            <w:tcW w:w="2909" w:type="dxa"/>
            <w:vMerge w:val="continue"/>
            <w:tcBorders>
              <w:top w:val="nil"/>
            </w:tcBorders>
            <w:vAlign w:val="top"/>
          </w:tcPr>
          <w:p w14:paraId="62242131">
            <w:pPr>
              <w:rPr>
                <w:rFonts w:ascii="Arial"/>
                <w:sz w:val="21"/>
              </w:rPr>
            </w:pPr>
          </w:p>
        </w:tc>
        <w:tc>
          <w:tcPr>
            <w:tcW w:w="1018" w:type="dxa"/>
            <w:vMerge w:val="continue"/>
            <w:tcBorders>
              <w:top w:val="nil"/>
            </w:tcBorders>
            <w:vAlign w:val="top"/>
          </w:tcPr>
          <w:p w14:paraId="0525CD1F">
            <w:pPr>
              <w:rPr>
                <w:rFonts w:ascii="Arial"/>
                <w:sz w:val="21"/>
              </w:rPr>
            </w:pPr>
          </w:p>
        </w:tc>
        <w:tc>
          <w:tcPr>
            <w:tcW w:w="1333" w:type="dxa"/>
            <w:vAlign w:val="top"/>
          </w:tcPr>
          <w:p w14:paraId="71BAEE65">
            <w:pPr>
              <w:spacing w:before="61" w:line="226" w:lineRule="auto"/>
              <w:ind w:left="375"/>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报</w:t>
            </w:r>
            <w:r>
              <w:rPr>
                <w:rFonts w:ascii="宋体" w:hAnsi="宋体" w:eastAsia="宋体" w:cs="宋体"/>
                <w:sz w:val="20"/>
                <w:szCs w:val="20"/>
                <w14:textOutline w14:w="3795" w14:cap="sq" w14:cmpd="sng">
                  <w14:solidFill>
                    <w14:srgbClr w14:val="000000"/>
                  </w14:solidFill>
                  <w14:prstDash w14:val="solid"/>
                  <w14:bevel/>
                </w14:textOutline>
              </w:rPr>
              <w:t>告书</w:t>
            </w:r>
          </w:p>
        </w:tc>
        <w:tc>
          <w:tcPr>
            <w:tcW w:w="1334" w:type="dxa"/>
            <w:tcBorders>
              <w:right w:val="nil"/>
            </w:tcBorders>
            <w:vAlign w:val="top"/>
          </w:tcPr>
          <w:p w14:paraId="4683327C">
            <w:pPr>
              <w:spacing w:before="61" w:line="226" w:lineRule="auto"/>
              <w:ind w:left="376"/>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报</w:t>
            </w:r>
            <w:r>
              <w:rPr>
                <w:rFonts w:ascii="宋体" w:hAnsi="宋体" w:eastAsia="宋体" w:cs="宋体"/>
                <w:sz w:val="20"/>
                <w:szCs w:val="20"/>
                <w14:textOutline w14:w="3795" w14:cap="sq" w14:cmpd="sng">
                  <w14:solidFill>
                    <w14:srgbClr w14:val="000000"/>
                  </w14:solidFill>
                  <w14:prstDash w14:val="solid"/>
                  <w14:bevel/>
                </w14:textOutline>
              </w:rPr>
              <w:t>告表</w:t>
            </w:r>
          </w:p>
        </w:tc>
      </w:tr>
    </w:tbl>
    <w:p w14:paraId="67780D14">
      <w:pPr>
        <w:spacing w:before="57" w:line="228" w:lineRule="auto"/>
        <w:ind w:left="25"/>
        <w:rPr>
          <w:rFonts w:ascii="宋体" w:hAnsi="宋体" w:eastAsia="宋体" w:cs="宋体"/>
          <w:sz w:val="20"/>
          <w:szCs w:val="20"/>
        </w:rPr>
      </w:pPr>
      <w:r>
        <w:rPr>
          <w:rFonts w:ascii="Times New Roman" w:hAnsi="Times New Roman" w:eastAsia="Times New Roman" w:cs="Times New Roman"/>
          <w:sz w:val="20"/>
          <w:szCs w:val="20"/>
        </w:rPr>
        <w:t>U</w:t>
      </w:r>
      <w:r>
        <w:rPr>
          <w:rFonts w:ascii="Times New Roman" w:hAnsi="Times New Roman" w:eastAsia="Times New Roman" w:cs="Times New Roman"/>
          <w:spacing w:val="4"/>
          <w:sz w:val="20"/>
          <w:szCs w:val="20"/>
        </w:rPr>
        <w:t xml:space="preserve"> </w:t>
      </w:r>
      <w:r>
        <w:rPr>
          <w:rFonts w:ascii="宋体" w:hAnsi="宋体" w:eastAsia="宋体" w:cs="宋体"/>
          <w:spacing w:val="4"/>
          <w:sz w:val="20"/>
          <w:szCs w:val="20"/>
        </w:rPr>
        <w:t>城镇基</w:t>
      </w:r>
      <w:r>
        <w:rPr>
          <w:rFonts w:ascii="宋体" w:hAnsi="宋体" w:eastAsia="宋体" w:cs="宋体"/>
          <w:spacing w:val="2"/>
          <w:sz w:val="20"/>
          <w:szCs w:val="20"/>
        </w:rPr>
        <w:t>础设施及房地产</w:t>
      </w:r>
    </w:p>
    <w:p w14:paraId="6B29219B">
      <w:pPr>
        <w:spacing w:line="23" w:lineRule="exact"/>
      </w:pPr>
    </w:p>
    <w:tbl>
      <w:tblPr>
        <w:tblStyle w:val="4"/>
        <w:tblW w:w="852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27"/>
        <w:gridCol w:w="2909"/>
        <w:gridCol w:w="1018"/>
        <w:gridCol w:w="1333"/>
        <w:gridCol w:w="1334"/>
      </w:tblGrid>
      <w:tr w14:paraId="7B91F0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3" w:hRule="atLeast"/>
        </w:trPr>
        <w:tc>
          <w:tcPr>
            <w:tcW w:w="1927" w:type="dxa"/>
            <w:tcBorders>
              <w:left w:val="nil"/>
            </w:tcBorders>
            <w:vAlign w:val="top"/>
          </w:tcPr>
          <w:p w14:paraId="1EA8222D">
            <w:pPr>
              <w:spacing w:before="259" w:line="320" w:lineRule="auto"/>
              <w:ind w:left="34" w:right="4" w:firstLine="21"/>
              <w:rPr>
                <w:rFonts w:ascii="宋体" w:hAnsi="宋体" w:eastAsia="宋体" w:cs="宋体"/>
                <w:sz w:val="20"/>
                <w:szCs w:val="20"/>
              </w:rPr>
            </w:pPr>
            <w:r>
              <w:rPr>
                <w:rFonts w:ascii="Times New Roman" w:hAnsi="Times New Roman" w:eastAsia="Times New Roman" w:cs="Times New Roman"/>
                <w:spacing w:val="-6"/>
                <w:sz w:val="20"/>
                <w:szCs w:val="20"/>
              </w:rPr>
              <w:t>15</w:t>
            </w:r>
            <w:r>
              <w:rPr>
                <w:rFonts w:ascii="Times New Roman" w:hAnsi="Times New Roman" w:eastAsia="Times New Roman" w:cs="Times New Roman"/>
                <w:spacing w:val="-4"/>
                <w:sz w:val="20"/>
                <w:szCs w:val="20"/>
              </w:rPr>
              <w:t>5</w:t>
            </w:r>
            <w:r>
              <w:rPr>
                <w:rFonts w:ascii="宋体" w:hAnsi="宋体" w:eastAsia="宋体" w:cs="宋体"/>
                <w:spacing w:val="-3"/>
                <w:sz w:val="20"/>
                <w:szCs w:val="20"/>
              </w:rPr>
              <w:t>、废旧资源 (含生</w:t>
            </w:r>
            <w:r>
              <w:rPr>
                <w:rFonts w:ascii="宋体" w:hAnsi="宋体" w:eastAsia="宋体" w:cs="宋体"/>
                <w:sz w:val="20"/>
                <w:szCs w:val="20"/>
              </w:rPr>
              <w:t xml:space="preserve"> </w:t>
            </w:r>
            <w:r>
              <w:rPr>
                <w:rFonts w:ascii="宋体" w:hAnsi="宋体" w:eastAsia="宋体" w:cs="宋体"/>
                <w:spacing w:val="-15"/>
                <w:sz w:val="20"/>
                <w:szCs w:val="20"/>
              </w:rPr>
              <w:t>物</w:t>
            </w:r>
            <w:r>
              <w:rPr>
                <w:rFonts w:ascii="宋体" w:hAnsi="宋体" w:eastAsia="宋体" w:cs="宋体"/>
                <w:spacing w:val="-10"/>
                <w:sz w:val="20"/>
                <w:szCs w:val="20"/>
              </w:rPr>
              <w:t>质) 加工、再生利用</w:t>
            </w:r>
          </w:p>
        </w:tc>
        <w:tc>
          <w:tcPr>
            <w:tcW w:w="2909" w:type="dxa"/>
            <w:vAlign w:val="top"/>
          </w:tcPr>
          <w:p w14:paraId="63BE1778">
            <w:pPr>
              <w:spacing w:before="95" w:line="304" w:lineRule="auto"/>
              <w:ind w:left="33"/>
              <w:rPr>
                <w:rFonts w:ascii="宋体" w:hAnsi="宋体" w:eastAsia="宋体" w:cs="宋体"/>
                <w:sz w:val="20"/>
                <w:szCs w:val="20"/>
              </w:rPr>
            </w:pPr>
            <w:r>
              <w:rPr>
                <w:rFonts w:ascii="宋体" w:hAnsi="宋体" w:eastAsia="宋体" w:cs="宋体"/>
                <w:spacing w:val="-30"/>
                <w:sz w:val="20"/>
                <w:szCs w:val="20"/>
              </w:rPr>
              <w:t>废</w:t>
            </w:r>
            <w:r>
              <w:rPr>
                <w:rFonts w:ascii="宋体" w:hAnsi="宋体" w:eastAsia="宋体" w:cs="宋体"/>
                <w:spacing w:val="-20"/>
                <w:sz w:val="20"/>
                <w:szCs w:val="20"/>
              </w:rPr>
              <w:t>电子电器产品、废电池、废汽车、</w:t>
            </w:r>
            <w:r>
              <w:rPr>
                <w:rFonts w:ascii="宋体" w:hAnsi="宋体" w:eastAsia="宋体" w:cs="宋体"/>
                <w:sz w:val="20"/>
                <w:szCs w:val="20"/>
              </w:rPr>
              <w:t xml:space="preserve"> </w:t>
            </w:r>
            <w:r>
              <w:rPr>
                <w:rFonts w:ascii="宋体" w:hAnsi="宋体" w:eastAsia="宋体" w:cs="宋体"/>
                <w:spacing w:val="-16"/>
                <w:sz w:val="20"/>
                <w:szCs w:val="20"/>
              </w:rPr>
              <w:t>废</w:t>
            </w:r>
            <w:r>
              <w:rPr>
                <w:rFonts w:ascii="宋体" w:hAnsi="宋体" w:eastAsia="宋体" w:cs="宋体"/>
                <w:spacing w:val="-10"/>
                <w:sz w:val="20"/>
                <w:szCs w:val="20"/>
              </w:rPr>
              <w:t>电</w:t>
            </w:r>
            <w:r>
              <w:rPr>
                <w:rFonts w:ascii="宋体" w:hAnsi="宋体" w:eastAsia="宋体" w:cs="宋体"/>
                <w:spacing w:val="-8"/>
                <w:sz w:val="20"/>
                <w:szCs w:val="20"/>
              </w:rPr>
              <w:t>机、废五金、废塑料、废油、</w:t>
            </w:r>
            <w:r>
              <w:rPr>
                <w:rFonts w:ascii="宋体" w:hAnsi="宋体" w:eastAsia="宋体" w:cs="宋体"/>
                <w:sz w:val="20"/>
                <w:szCs w:val="20"/>
              </w:rPr>
              <w:t xml:space="preserve"> </w:t>
            </w:r>
            <w:r>
              <w:rPr>
                <w:rFonts w:ascii="宋体" w:hAnsi="宋体" w:eastAsia="宋体" w:cs="宋体"/>
                <w:spacing w:val="-18"/>
                <w:sz w:val="20"/>
                <w:szCs w:val="20"/>
              </w:rPr>
              <w:t>废</w:t>
            </w:r>
            <w:r>
              <w:rPr>
                <w:rFonts w:ascii="宋体" w:hAnsi="宋体" w:eastAsia="宋体" w:cs="宋体"/>
                <w:spacing w:val="-10"/>
                <w:sz w:val="20"/>
                <w:szCs w:val="20"/>
              </w:rPr>
              <w:t>船、废轮胎等加工、再生利用；</w:t>
            </w:r>
          </w:p>
        </w:tc>
        <w:tc>
          <w:tcPr>
            <w:tcW w:w="1018" w:type="dxa"/>
            <w:vAlign w:val="top"/>
          </w:tcPr>
          <w:p w14:paraId="55A13A1F">
            <w:pPr>
              <w:spacing w:line="361" w:lineRule="auto"/>
              <w:rPr>
                <w:rFonts w:ascii="Arial"/>
                <w:sz w:val="21"/>
              </w:rPr>
            </w:pPr>
          </w:p>
          <w:p w14:paraId="4C8FAC35">
            <w:pPr>
              <w:spacing w:before="65" w:line="228" w:lineRule="auto"/>
              <w:ind w:left="320"/>
              <w:rPr>
                <w:rFonts w:ascii="宋体" w:hAnsi="宋体" w:eastAsia="宋体" w:cs="宋体"/>
                <w:sz w:val="20"/>
                <w:szCs w:val="20"/>
              </w:rPr>
            </w:pPr>
            <w:r>
              <w:rPr>
                <w:rFonts w:ascii="宋体" w:hAnsi="宋体" w:eastAsia="宋体" w:cs="宋体"/>
                <w:sz w:val="20"/>
                <w:szCs w:val="20"/>
              </w:rPr>
              <w:t>其他</w:t>
            </w:r>
          </w:p>
        </w:tc>
        <w:tc>
          <w:tcPr>
            <w:tcW w:w="1333" w:type="dxa"/>
            <w:vAlign w:val="top"/>
          </w:tcPr>
          <w:p w14:paraId="2684B72D">
            <w:pPr>
              <w:spacing w:before="259" w:line="320" w:lineRule="auto"/>
              <w:ind w:left="474" w:right="27" w:hanging="419"/>
              <w:rPr>
                <w:rFonts w:ascii="宋体" w:hAnsi="宋体" w:eastAsia="宋体" w:cs="宋体"/>
                <w:sz w:val="20"/>
                <w:szCs w:val="20"/>
              </w:rPr>
            </w:pPr>
            <w:r>
              <w:rPr>
                <w:rFonts w:ascii="宋体" w:hAnsi="宋体" w:eastAsia="宋体" w:cs="宋体"/>
                <w:spacing w:val="-4"/>
                <w:sz w:val="20"/>
                <w:szCs w:val="20"/>
              </w:rPr>
              <w:t>危</w:t>
            </w:r>
            <w:r>
              <w:rPr>
                <w:rFonts w:ascii="宋体" w:hAnsi="宋体" w:eastAsia="宋体" w:cs="宋体"/>
                <w:spacing w:val="-3"/>
                <w:sz w:val="20"/>
                <w:szCs w:val="20"/>
              </w:rPr>
              <w:t>废</w:t>
            </w:r>
            <w:r>
              <w:rPr>
                <w:rFonts w:ascii="Times New Roman" w:hAnsi="Times New Roman" w:eastAsia="Times New Roman" w:cs="Times New Roman"/>
                <w:spacing w:val="-3"/>
                <w:sz w:val="20"/>
                <w:szCs w:val="20"/>
              </w:rPr>
              <w:t>Ⅰ</w:t>
            </w:r>
            <w:r>
              <w:rPr>
                <w:rFonts w:ascii="宋体" w:hAnsi="宋体" w:eastAsia="宋体" w:cs="宋体"/>
                <w:spacing w:val="-3"/>
                <w:sz w:val="20"/>
                <w:szCs w:val="20"/>
              </w:rPr>
              <w:t>类，其余</w:t>
            </w:r>
            <w:r>
              <w:rPr>
                <w:rFonts w:ascii="宋体" w:hAnsi="宋体" w:eastAsia="宋体" w:cs="宋体"/>
                <w:sz w:val="20"/>
                <w:szCs w:val="20"/>
              </w:rPr>
              <w:t xml:space="preserve"> </w:t>
            </w:r>
            <w:r>
              <w:rPr>
                <w:rFonts w:ascii="Times New Roman" w:hAnsi="Times New Roman" w:eastAsia="Times New Roman" w:cs="Times New Roman"/>
                <w:spacing w:val="3"/>
                <w:sz w:val="20"/>
                <w:szCs w:val="20"/>
              </w:rPr>
              <w:t>Ⅲ</w:t>
            </w:r>
            <w:r>
              <w:rPr>
                <w:rFonts w:ascii="宋体" w:hAnsi="宋体" w:eastAsia="宋体" w:cs="宋体"/>
                <w:spacing w:val="3"/>
                <w:sz w:val="20"/>
                <w:szCs w:val="20"/>
              </w:rPr>
              <w:t>类</w:t>
            </w:r>
          </w:p>
        </w:tc>
        <w:tc>
          <w:tcPr>
            <w:tcW w:w="1334" w:type="dxa"/>
            <w:tcBorders>
              <w:right w:val="nil"/>
            </w:tcBorders>
            <w:vAlign w:val="top"/>
          </w:tcPr>
          <w:p w14:paraId="1BCBE891">
            <w:pPr>
              <w:spacing w:line="360" w:lineRule="auto"/>
              <w:rPr>
                <w:rFonts w:ascii="Arial"/>
                <w:sz w:val="21"/>
              </w:rPr>
            </w:pPr>
          </w:p>
          <w:p w14:paraId="617CFB5F">
            <w:pPr>
              <w:spacing w:before="65" w:line="228" w:lineRule="auto"/>
              <w:ind w:left="464"/>
              <w:rPr>
                <w:rFonts w:ascii="宋体" w:hAnsi="宋体" w:eastAsia="宋体" w:cs="宋体"/>
                <w:sz w:val="20"/>
                <w:szCs w:val="20"/>
              </w:rPr>
            </w:pPr>
            <w:r>
              <w:rPr>
                <w:rFonts w:ascii="Times New Roman" w:hAnsi="Times New Roman" w:eastAsia="Times New Roman" w:cs="Times New Roman"/>
                <w:spacing w:val="5"/>
                <w:sz w:val="20"/>
                <w:szCs w:val="20"/>
              </w:rPr>
              <w:t>Ⅳ</w:t>
            </w:r>
            <w:r>
              <w:rPr>
                <w:rFonts w:ascii="宋体" w:hAnsi="宋体" w:eastAsia="宋体" w:cs="宋体"/>
                <w:spacing w:val="4"/>
                <w:sz w:val="20"/>
                <w:szCs w:val="20"/>
              </w:rPr>
              <w:t>类</w:t>
            </w:r>
          </w:p>
        </w:tc>
      </w:tr>
    </w:tbl>
    <w:p w14:paraId="025915E2">
      <w:pPr>
        <w:spacing w:line="270" w:lineRule="auto"/>
        <w:rPr>
          <w:rFonts w:ascii="Arial"/>
          <w:sz w:val="21"/>
        </w:rPr>
      </w:pPr>
    </w:p>
    <w:p w14:paraId="3DCD64F6">
      <w:pPr>
        <w:spacing w:before="76" w:line="227" w:lineRule="auto"/>
        <w:ind w:left="548"/>
        <w:rPr>
          <w:rFonts w:ascii="宋体" w:hAnsi="宋体" w:eastAsia="宋体" w:cs="宋体"/>
          <w:sz w:val="23"/>
          <w:szCs w:val="23"/>
        </w:rPr>
      </w:pPr>
      <w:r>
        <w:rPr>
          <w:rFonts w:ascii="宋体" w:hAnsi="宋体" w:eastAsia="宋体" w:cs="宋体"/>
          <w:spacing w:val="-19"/>
          <w:sz w:val="23"/>
          <w:szCs w:val="23"/>
        </w:rPr>
        <w:t>该</w:t>
      </w:r>
      <w:r>
        <w:rPr>
          <w:rFonts w:ascii="宋体" w:hAnsi="宋体" w:eastAsia="宋体" w:cs="宋体"/>
          <w:spacing w:val="-14"/>
          <w:sz w:val="23"/>
          <w:szCs w:val="23"/>
        </w:rPr>
        <w:t>项目为废塑料加工、再生利用项目，根据上表可知，该项目属于</w:t>
      </w:r>
      <w:r>
        <w:rPr>
          <w:rFonts w:ascii="Times New Roman" w:hAnsi="Times New Roman" w:eastAsia="Times New Roman" w:cs="Times New Roman"/>
          <w:spacing w:val="-14"/>
          <w:sz w:val="23"/>
          <w:szCs w:val="23"/>
        </w:rPr>
        <w:t>Ⅲ</w:t>
      </w:r>
      <w:r>
        <w:rPr>
          <w:rFonts w:ascii="宋体" w:hAnsi="宋体" w:eastAsia="宋体" w:cs="宋体"/>
          <w:spacing w:val="-14"/>
          <w:sz w:val="23"/>
          <w:szCs w:val="23"/>
        </w:rPr>
        <w:t>类建设项目。</w:t>
      </w:r>
    </w:p>
    <w:p w14:paraId="15B62BDA">
      <w:pPr>
        <w:spacing w:line="288" w:lineRule="auto"/>
        <w:rPr>
          <w:rFonts w:ascii="Arial"/>
          <w:sz w:val="21"/>
        </w:rPr>
      </w:pPr>
    </w:p>
    <w:p w14:paraId="474A96F6">
      <w:pPr>
        <w:spacing w:before="75" w:line="393" w:lineRule="auto"/>
        <w:ind w:left="117" w:right="68" w:firstLine="486"/>
        <w:rPr>
          <w:rFonts w:ascii="宋体" w:hAnsi="宋体" w:eastAsia="宋体" w:cs="宋体"/>
          <w:sz w:val="23"/>
          <w:szCs w:val="23"/>
        </w:rPr>
      </w:pPr>
      <w:r>
        <w:rPr>
          <w:rFonts w:ascii="宋体" w:hAnsi="宋体" w:eastAsia="宋体" w:cs="宋体"/>
          <w:spacing w:val="10"/>
          <w:sz w:val="23"/>
          <w:szCs w:val="23"/>
        </w:rPr>
        <w:t>(</w:t>
      </w:r>
      <w:r>
        <w:rPr>
          <w:rFonts w:ascii="Times New Roman" w:hAnsi="Times New Roman" w:eastAsia="Times New Roman" w:cs="Times New Roman"/>
          <w:spacing w:val="8"/>
          <w:sz w:val="23"/>
          <w:szCs w:val="23"/>
        </w:rPr>
        <w:t>2</w:t>
      </w:r>
      <w:r>
        <w:rPr>
          <w:rFonts w:ascii="宋体" w:hAnsi="宋体" w:eastAsia="宋体" w:cs="宋体"/>
          <w:spacing w:val="5"/>
          <w:sz w:val="23"/>
          <w:szCs w:val="23"/>
        </w:rPr>
        <w:t>) 根据《环境影响评价技术导则 地下水环境》  (</w:t>
      </w:r>
      <w:r>
        <w:rPr>
          <w:rFonts w:ascii="Times New Roman" w:hAnsi="Times New Roman" w:eastAsia="Times New Roman" w:cs="Times New Roman"/>
          <w:sz w:val="23"/>
          <w:szCs w:val="23"/>
        </w:rPr>
        <w:t>HJ</w:t>
      </w:r>
      <w:r>
        <w:rPr>
          <w:rFonts w:ascii="Times New Roman" w:hAnsi="Times New Roman" w:eastAsia="Times New Roman" w:cs="Times New Roman"/>
          <w:spacing w:val="5"/>
          <w:sz w:val="23"/>
          <w:szCs w:val="23"/>
        </w:rPr>
        <w:t>610-2016</w:t>
      </w:r>
      <w:r>
        <w:rPr>
          <w:rFonts w:ascii="宋体" w:hAnsi="宋体" w:eastAsia="宋体" w:cs="宋体"/>
          <w:spacing w:val="5"/>
          <w:sz w:val="23"/>
          <w:szCs w:val="23"/>
        </w:rPr>
        <w:t>) ，项目场</w:t>
      </w:r>
      <w:r>
        <w:rPr>
          <w:rFonts w:ascii="宋体" w:hAnsi="宋体" w:eastAsia="宋体" w:cs="宋体"/>
          <w:sz w:val="23"/>
          <w:szCs w:val="23"/>
        </w:rPr>
        <w:t xml:space="preserve"> </w:t>
      </w:r>
      <w:r>
        <w:rPr>
          <w:rFonts w:ascii="宋体" w:hAnsi="宋体" w:eastAsia="宋体" w:cs="宋体"/>
          <w:spacing w:val="-2"/>
          <w:sz w:val="23"/>
          <w:szCs w:val="23"/>
        </w:rPr>
        <w:t xml:space="preserve">地的地下水环境敏感程度可分为敏感、较敏感、不敏感三级，分级原则见表 </w:t>
      </w:r>
      <w:r>
        <w:rPr>
          <w:rFonts w:ascii="Times New Roman" w:hAnsi="Times New Roman" w:eastAsia="Times New Roman" w:cs="Times New Roman"/>
          <w:spacing w:val="-2"/>
          <w:sz w:val="23"/>
          <w:szCs w:val="23"/>
        </w:rPr>
        <w:t>2- 19</w:t>
      </w:r>
      <w:r>
        <w:rPr>
          <w:rFonts w:ascii="宋体" w:hAnsi="宋体" w:eastAsia="宋体" w:cs="宋体"/>
          <w:sz w:val="23"/>
          <w:szCs w:val="23"/>
        </w:rPr>
        <w:t>。</w:t>
      </w:r>
    </w:p>
    <w:p w14:paraId="12566B2D">
      <w:pPr>
        <w:spacing w:before="146" w:line="227" w:lineRule="auto"/>
        <w:ind w:left="2617"/>
        <w:rPr>
          <w:rFonts w:ascii="宋体" w:hAnsi="宋体" w:eastAsia="宋体" w:cs="宋体"/>
          <w:sz w:val="23"/>
          <w:szCs w:val="23"/>
        </w:rPr>
      </w:pPr>
      <w:r>
        <w:rPr>
          <w:rFonts w:ascii="宋体" w:hAnsi="宋体" w:eastAsia="宋体" w:cs="宋体"/>
          <w:spacing w:val="8"/>
          <w:sz w:val="23"/>
          <w:szCs w:val="23"/>
          <w14:textOutline w14:w="4358" w14:cap="sq" w14:cmpd="sng">
            <w14:solidFill>
              <w14:srgbClr w14:val="000000"/>
            </w14:solidFill>
            <w14:prstDash w14:val="solid"/>
            <w14:bevel/>
          </w14:textOutline>
        </w:rPr>
        <w:t>表</w:t>
      </w:r>
      <w:r>
        <w:rPr>
          <w:rFonts w:ascii="宋体" w:hAnsi="宋体" w:eastAsia="宋体" w:cs="宋体"/>
          <w:spacing w:val="6"/>
          <w:sz w:val="23"/>
          <w:szCs w:val="23"/>
        </w:rPr>
        <w:t xml:space="preserve"> </w:t>
      </w:r>
      <w:r>
        <w:rPr>
          <w:rFonts w:ascii="Times New Roman" w:hAnsi="Times New Roman" w:eastAsia="Times New Roman" w:cs="Times New Roman"/>
          <w:b/>
          <w:bCs/>
          <w:spacing w:val="4"/>
          <w:sz w:val="23"/>
          <w:szCs w:val="23"/>
        </w:rPr>
        <w:t>2-19</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地下水环境敏感程度分级</w:t>
      </w:r>
    </w:p>
    <w:p w14:paraId="5D930FDB">
      <w:pPr>
        <w:spacing w:line="19"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7"/>
        <w:gridCol w:w="7655"/>
      </w:tblGrid>
      <w:tr w14:paraId="2964E6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867" w:type="dxa"/>
            <w:tcBorders>
              <w:left w:val="nil"/>
            </w:tcBorders>
            <w:vAlign w:val="top"/>
          </w:tcPr>
          <w:p w14:paraId="62712929">
            <w:pPr>
              <w:spacing w:before="87" w:line="228" w:lineRule="auto"/>
              <w:ind w:left="233"/>
              <w:rPr>
                <w:rFonts w:ascii="宋体" w:hAnsi="宋体" w:eastAsia="宋体" w:cs="宋体"/>
                <w:sz w:val="20"/>
                <w:szCs w:val="20"/>
              </w:rPr>
            </w:pPr>
            <w:r>
              <w:rPr>
                <w:rFonts w:ascii="宋体" w:hAnsi="宋体" w:eastAsia="宋体" w:cs="宋体"/>
                <w:spacing w:val="4"/>
                <w:sz w:val="20"/>
                <w:szCs w:val="20"/>
                <w14:textOutline w14:w="3795" w14:cap="sq" w14:cmpd="sng">
                  <w14:solidFill>
                    <w14:srgbClr w14:val="000000"/>
                  </w14:solidFill>
                  <w14:prstDash w14:val="solid"/>
                  <w14:bevel/>
                </w14:textOutline>
              </w:rPr>
              <w:t>分</w:t>
            </w:r>
            <w:r>
              <w:rPr>
                <w:rFonts w:ascii="宋体" w:hAnsi="宋体" w:eastAsia="宋体" w:cs="宋体"/>
                <w:spacing w:val="3"/>
                <w:sz w:val="20"/>
                <w:szCs w:val="20"/>
                <w14:textOutline w14:w="3795" w14:cap="sq" w14:cmpd="sng">
                  <w14:solidFill>
                    <w14:srgbClr w14:val="000000"/>
                  </w14:solidFill>
                  <w14:prstDash w14:val="solid"/>
                  <w14:bevel/>
                </w14:textOutline>
              </w:rPr>
              <w:t>级</w:t>
            </w:r>
          </w:p>
        </w:tc>
        <w:tc>
          <w:tcPr>
            <w:tcW w:w="7655" w:type="dxa"/>
            <w:tcBorders>
              <w:right w:val="nil"/>
            </w:tcBorders>
            <w:vAlign w:val="top"/>
          </w:tcPr>
          <w:p w14:paraId="76204EED">
            <w:pPr>
              <w:spacing w:before="86" w:line="228" w:lineRule="auto"/>
              <w:ind w:left="2372"/>
              <w:rPr>
                <w:rFonts w:ascii="宋体" w:hAnsi="宋体" w:eastAsia="宋体" w:cs="宋体"/>
                <w:sz w:val="20"/>
                <w:szCs w:val="20"/>
              </w:rPr>
            </w:pPr>
            <w:r>
              <w:rPr>
                <w:rFonts w:ascii="宋体" w:hAnsi="宋体" w:eastAsia="宋体" w:cs="宋体"/>
                <w:spacing w:val="16"/>
                <w:sz w:val="20"/>
                <w:szCs w:val="20"/>
                <w14:textOutline w14:w="3795" w14:cap="sq" w14:cmpd="sng">
                  <w14:solidFill>
                    <w14:srgbClr w14:val="000000"/>
                  </w14:solidFill>
                  <w14:prstDash w14:val="solid"/>
                  <w14:bevel/>
                </w14:textOutline>
              </w:rPr>
              <w:t>项</w:t>
            </w:r>
            <w:r>
              <w:rPr>
                <w:rFonts w:ascii="宋体" w:hAnsi="宋体" w:eastAsia="宋体" w:cs="宋体"/>
                <w:spacing w:val="9"/>
                <w:sz w:val="20"/>
                <w:szCs w:val="20"/>
                <w14:textOutline w14:w="3795" w14:cap="sq" w14:cmpd="sng">
                  <w14:solidFill>
                    <w14:srgbClr w14:val="000000"/>
                  </w14:solidFill>
                  <w14:prstDash w14:val="solid"/>
                  <w14:bevel/>
                </w14:textOutline>
              </w:rPr>
              <w:t>目</w:t>
            </w:r>
            <w:r>
              <w:rPr>
                <w:rFonts w:ascii="宋体" w:hAnsi="宋体" w:eastAsia="宋体" w:cs="宋体"/>
                <w:spacing w:val="8"/>
                <w:sz w:val="20"/>
                <w:szCs w:val="20"/>
                <w14:textOutline w14:w="3795" w14:cap="sq" w14:cmpd="sng">
                  <w14:solidFill>
                    <w14:srgbClr w14:val="000000"/>
                  </w14:solidFill>
                  <w14:prstDash w14:val="solid"/>
                  <w14:bevel/>
                </w14:textOutline>
              </w:rPr>
              <w:t>场地的地下水环境敏感特征</w:t>
            </w:r>
          </w:p>
        </w:tc>
      </w:tr>
      <w:tr w14:paraId="7B3CA7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2" w:hRule="atLeast"/>
        </w:trPr>
        <w:tc>
          <w:tcPr>
            <w:tcW w:w="867" w:type="dxa"/>
            <w:tcBorders>
              <w:left w:val="nil"/>
            </w:tcBorders>
            <w:vAlign w:val="top"/>
          </w:tcPr>
          <w:p w14:paraId="6B7010F3">
            <w:pPr>
              <w:spacing w:line="327" w:lineRule="auto"/>
              <w:rPr>
                <w:rFonts w:ascii="Arial"/>
                <w:sz w:val="21"/>
              </w:rPr>
            </w:pPr>
          </w:p>
          <w:p w14:paraId="7057C147">
            <w:pPr>
              <w:spacing w:before="65" w:line="228" w:lineRule="auto"/>
              <w:ind w:left="234"/>
              <w:rPr>
                <w:rFonts w:ascii="宋体" w:hAnsi="宋体" w:eastAsia="宋体" w:cs="宋体"/>
                <w:sz w:val="20"/>
                <w:szCs w:val="20"/>
              </w:rPr>
            </w:pPr>
            <w:r>
              <w:rPr>
                <w:rFonts w:ascii="宋体" w:hAnsi="宋体" w:eastAsia="宋体" w:cs="宋体"/>
                <w:spacing w:val="4"/>
                <w:sz w:val="20"/>
                <w:szCs w:val="20"/>
              </w:rPr>
              <w:t>敏感</w:t>
            </w:r>
          </w:p>
        </w:tc>
        <w:tc>
          <w:tcPr>
            <w:tcW w:w="7655" w:type="dxa"/>
            <w:tcBorders>
              <w:right w:val="nil"/>
            </w:tcBorders>
            <w:vAlign w:val="top"/>
          </w:tcPr>
          <w:p w14:paraId="1DB9B337">
            <w:pPr>
              <w:spacing w:before="62" w:line="281" w:lineRule="auto"/>
              <w:ind w:left="112" w:right="81"/>
              <w:rPr>
                <w:rFonts w:ascii="宋体" w:hAnsi="宋体" w:eastAsia="宋体" w:cs="宋体"/>
                <w:sz w:val="20"/>
                <w:szCs w:val="20"/>
              </w:rPr>
            </w:pPr>
            <w:r>
              <w:rPr>
                <w:rFonts w:ascii="宋体" w:hAnsi="宋体" w:eastAsia="宋体" w:cs="宋体"/>
                <w:spacing w:val="7"/>
                <w:sz w:val="20"/>
                <w:szCs w:val="20"/>
              </w:rPr>
              <w:t>集中式饮用水水源 (包括已建成的在用、备用、应急水源，在建和规划的饮用水</w:t>
            </w:r>
            <w:r>
              <w:rPr>
                <w:rFonts w:ascii="宋体" w:hAnsi="宋体" w:eastAsia="宋体" w:cs="宋体"/>
                <w:spacing w:val="6"/>
                <w:sz w:val="20"/>
                <w:szCs w:val="20"/>
              </w:rPr>
              <w:t>水</w:t>
            </w:r>
            <w:r>
              <w:rPr>
                <w:rFonts w:ascii="宋体" w:hAnsi="宋体" w:eastAsia="宋体" w:cs="宋体"/>
                <w:sz w:val="20"/>
                <w:szCs w:val="20"/>
              </w:rPr>
              <w:t xml:space="preserve"> </w:t>
            </w:r>
            <w:r>
              <w:rPr>
                <w:rFonts w:ascii="宋体" w:hAnsi="宋体" w:eastAsia="宋体" w:cs="宋体"/>
                <w:spacing w:val="7"/>
                <w:sz w:val="20"/>
                <w:szCs w:val="20"/>
              </w:rPr>
              <w:t>源) 准保护区；除集中式饮用水水源以外的国家或地方政府设定的与地下水环境</w:t>
            </w:r>
            <w:r>
              <w:rPr>
                <w:rFonts w:ascii="宋体" w:hAnsi="宋体" w:eastAsia="宋体" w:cs="宋体"/>
                <w:spacing w:val="4"/>
                <w:sz w:val="20"/>
                <w:szCs w:val="20"/>
              </w:rPr>
              <w:t>相</w:t>
            </w:r>
            <w:r>
              <w:rPr>
                <w:rFonts w:ascii="宋体" w:hAnsi="宋体" w:eastAsia="宋体" w:cs="宋体"/>
                <w:sz w:val="20"/>
                <w:szCs w:val="20"/>
              </w:rPr>
              <w:t xml:space="preserve"> </w:t>
            </w:r>
            <w:r>
              <w:rPr>
                <w:rFonts w:ascii="宋体" w:hAnsi="宋体" w:eastAsia="宋体" w:cs="宋体"/>
                <w:spacing w:val="13"/>
                <w:sz w:val="20"/>
                <w:szCs w:val="20"/>
              </w:rPr>
              <w:t>关</w:t>
            </w:r>
            <w:r>
              <w:rPr>
                <w:rFonts w:ascii="宋体" w:hAnsi="宋体" w:eastAsia="宋体" w:cs="宋体"/>
                <w:spacing w:val="8"/>
                <w:sz w:val="20"/>
                <w:szCs w:val="20"/>
              </w:rPr>
              <w:t>的其它保护区，如热水、矿泉水、温泉等特殊地下水资源保护区。</w:t>
            </w:r>
          </w:p>
        </w:tc>
      </w:tr>
      <w:tr w14:paraId="1C4987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5" w:hRule="atLeast"/>
        </w:trPr>
        <w:tc>
          <w:tcPr>
            <w:tcW w:w="867" w:type="dxa"/>
            <w:tcBorders>
              <w:left w:val="nil"/>
            </w:tcBorders>
            <w:vAlign w:val="top"/>
          </w:tcPr>
          <w:p w14:paraId="7195BB70">
            <w:pPr>
              <w:spacing w:line="247" w:lineRule="auto"/>
              <w:rPr>
                <w:rFonts w:ascii="Arial"/>
                <w:sz w:val="21"/>
              </w:rPr>
            </w:pPr>
          </w:p>
          <w:p w14:paraId="56F82E31">
            <w:pPr>
              <w:spacing w:line="248" w:lineRule="auto"/>
              <w:rPr>
                <w:rFonts w:ascii="Arial"/>
                <w:sz w:val="21"/>
              </w:rPr>
            </w:pPr>
          </w:p>
          <w:p w14:paraId="73B786DD">
            <w:pPr>
              <w:spacing w:before="65" w:line="228" w:lineRule="auto"/>
              <w:ind w:left="128"/>
              <w:rPr>
                <w:rFonts w:ascii="宋体" w:hAnsi="宋体" w:eastAsia="宋体" w:cs="宋体"/>
                <w:sz w:val="20"/>
                <w:szCs w:val="20"/>
              </w:rPr>
            </w:pPr>
            <w:r>
              <w:rPr>
                <w:rFonts w:ascii="宋体" w:hAnsi="宋体" w:eastAsia="宋体" w:cs="宋体"/>
                <w:spacing w:val="6"/>
                <w:sz w:val="20"/>
                <w:szCs w:val="20"/>
              </w:rPr>
              <w:t>较敏感</w:t>
            </w:r>
          </w:p>
        </w:tc>
        <w:tc>
          <w:tcPr>
            <w:tcW w:w="7655" w:type="dxa"/>
            <w:tcBorders>
              <w:right w:val="nil"/>
            </w:tcBorders>
            <w:vAlign w:val="top"/>
          </w:tcPr>
          <w:p w14:paraId="4AED93D3">
            <w:pPr>
              <w:spacing w:before="64" w:line="287" w:lineRule="auto"/>
              <w:ind w:left="112"/>
              <w:rPr>
                <w:rFonts w:ascii="宋体" w:hAnsi="宋体" w:eastAsia="宋体" w:cs="宋体"/>
                <w:sz w:val="20"/>
                <w:szCs w:val="20"/>
              </w:rPr>
            </w:pPr>
            <w:r>
              <w:rPr>
                <w:rFonts w:ascii="宋体" w:hAnsi="宋体" w:eastAsia="宋体" w:cs="宋体"/>
                <w:spacing w:val="7"/>
                <w:sz w:val="20"/>
                <w:szCs w:val="20"/>
              </w:rPr>
              <w:t>集中式饮用水水源 (包括已建成的在用、备用、应急水源，在建和规划的饮用水</w:t>
            </w:r>
            <w:r>
              <w:rPr>
                <w:rFonts w:ascii="宋体" w:hAnsi="宋体" w:eastAsia="宋体" w:cs="宋体"/>
                <w:spacing w:val="2"/>
                <w:sz w:val="20"/>
                <w:szCs w:val="20"/>
              </w:rPr>
              <w:t>水</w:t>
            </w:r>
            <w:r>
              <w:rPr>
                <w:rFonts w:ascii="宋体" w:hAnsi="宋体" w:eastAsia="宋体" w:cs="宋体"/>
                <w:sz w:val="20"/>
                <w:szCs w:val="20"/>
              </w:rPr>
              <w:t xml:space="preserve"> </w:t>
            </w:r>
            <w:r>
              <w:rPr>
                <w:rFonts w:ascii="宋体" w:hAnsi="宋体" w:eastAsia="宋体" w:cs="宋体"/>
                <w:spacing w:val="7"/>
                <w:sz w:val="20"/>
                <w:szCs w:val="20"/>
              </w:rPr>
              <w:t>源) 准保护区以外的补给径流区；未划定准保护区的集中水式饮用水水源，其保</w:t>
            </w:r>
            <w:r>
              <w:rPr>
                <w:rFonts w:ascii="宋体" w:hAnsi="宋体" w:eastAsia="宋体" w:cs="宋体"/>
                <w:spacing w:val="3"/>
                <w:sz w:val="20"/>
                <w:szCs w:val="20"/>
              </w:rPr>
              <w:t>护</w:t>
            </w:r>
            <w:r>
              <w:rPr>
                <w:rFonts w:ascii="宋体" w:hAnsi="宋体" w:eastAsia="宋体" w:cs="宋体"/>
                <w:sz w:val="20"/>
                <w:szCs w:val="20"/>
              </w:rPr>
              <w:t xml:space="preserve"> </w:t>
            </w:r>
            <w:r>
              <w:rPr>
                <w:rFonts w:ascii="宋体" w:hAnsi="宋体" w:eastAsia="宋体" w:cs="宋体"/>
                <w:spacing w:val="6"/>
                <w:sz w:val="20"/>
                <w:szCs w:val="20"/>
              </w:rPr>
              <w:t>区以外的补给径流</w:t>
            </w:r>
            <w:r>
              <w:rPr>
                <w:rFonts w:ascii="宋体" w:hAnsi="宋体" w:eastAsia="宋体" w:cs="宋体"/>
                <w:spacing w:val="5"/>
                <w:sz w:val="20"/>
                <w:szCs w:val="20"/>
              </w:rPr>
              <w:t>区</w:t>
            </w:r>
            <w:r>
              <w:rPr>
                <w:rFonts w:ascii="宋体" w:hAnsi="宋体" w:eastAsia="宋体" w:cs="宋体"/>
                <w:spacing w:val="3"/>
                <w:sz w:val="20"/>
                <w:szCs w:val="20"/>
              </w:rPr>
              <w:t>；分散式饮用水水源地；特殊地下水资源 (如矿泉水、温泉等)</w:t>
            </w:r>
            <w:r>
              <w:rPr>
                <w:rFonts w:ascii="宋体" w:hAnsi="宋体" w:eastAsia="宋体" w:cs="宋体"/>
                <w:sz w:val="20"/>
                <w:szCs w:val="20"/>
              </w:rPr>
              <w:t xml:space="preserve"> </w:t>
            </w:r>
            <w:r>
              <w:rPr>
                <w:rFonts w:ascii="宋体" w:hAnsi="宋体" w:eastAsia="宋体" w:cs="宋体"/>
                <w:spacing w:val="9"/>
                <w:sz w:val="20"/>
                <w:szCs w:val="20"/>
              </w:rPr>
              <w:t>保</w:t>
            </w:r>
            <w:r>
              <w:rPr>
                <w:rFonts w:ascii="宋体" w:hAnsi="宋体" w:eastAsia="宋体" w:cs="宋体"/>
                <w:spacing w:val="8"/>
                <w:sz w:val="20"/>
                <w:szCs w:val="20"/>
              </w:rPr>
              <w:t>护区以外的分布区等其他未列入上述敏感分级的环境敏感区。</w:t>
            </w:r>
          </w:p>
        </w:tc>
      </w:tr>
      <w:tr w14:paraId="701E7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867" w:type="dxa"/>
            <w:tcBorders>
              <w:left w:val="nil"/>
            </w:tcBorders>
            <w:vAlign w:val="top"/>
          </w:tcPr>
          <w:p w14:paraId="157751CB">
            <w:pPr>
              <w:spacing w:before="65" w:line="228" w:lineRule="auto"/>
              <w:ind w:left="131"/>
              <w:rPr>
                <w:rFonts w:ascii="宋体" w:hAnsi="宋体" w:eastAsia="宋体" w:cs="宋体"/>
                <w:sz w:val="20"/>
                <w:szCs w:val="20"/>
              </w:rPr>
            </w:pPr>
            <w:r>
              <w:rPr>
                <w:rFonts w:ascii="宋体" w:hAnsi="宋体" w:eastAsia="宋体" w:cs="宋体"/>
                <w:spacing w:val="5"/>
                <w:sz w:val="20"/>
                <w:szCs w:val="20"/>
              </w:rPr>
              <w:t>不敏感</w:t>
            </w:r>
          </w:p>
        </w:tc>
        <w:tc>
          <w:tcPr>
            <w:tcW w:w="7655" w:type="dxa"/>
            <w:tcBorders>
              <w:right w:val="nil"/>
            </w:tcBorders>
            <w:vAlign w:val="top"/>
          </w:tcPr>
          <w:p w14:paraId="54EEE1EC">
            <w:pPr>
              <w:spacing w:before="66" w:line="228" w:lineRule="auto"/>
              <w:ind w:left="114"/>
              <w:rPr>
                <w:rFonts w:ascii="宋体" w:hAnsi="宋体" w:eastAsia="宋体" w:cs="宋体"/>
                <w:sz w:val="20"/>
                <w:szCs w:val="20"/>
              </w:rPr>
            </w:pPr>
            <w:r>
              <w:rPr>
                <w:rFonts w:ascii="宋体" w:hAnsi="宋体" w:eastAsia="宋体" w:cs="宋体"/>
                <w:spacing w:val="10"/>
                <w:sz w:val="20"/>
                <w:szCs w:val="20"/>
              </w:rPr>
              <w:t>上</w:t>
            </w:r>
            <w:r>
              <w:rPr>
                <w:rFonts w:ascii="宋体" w:hAnsi="宋体" w:eastAsia="宋体" w:cs="宋体"/>
                <w:spacing w:val="7"/>
                <w:sz w:val="20"/>
                <w:szCs w:val="20"/>
              </w:rPr>
              <w:t>述地区之外的其他地区。</w:t>
            </w:r>
          </w:p>
        </w:tc>
      </w:tr>
    </w:tbl>
    <w:p w14:paraId="56F0BF5E">
      <w:pPr>
        <w:spacing w:before="77" w:line="230" w:lineRule="auto"/>
        <w:ind w:left="115"/>
        <w:rPr>
          <w:rFonts w:ascii="宋体" w:hAnsi="宋体" w:eastAsia="宋体" w:cs="宋体"/>
          <w:sz w:val="17"/>
          <w:szCs w:val="17"/>
        </w:rPr>
      </w:pPr>
      <w:r>
        <w:rPr>
          <w:rFonts w:ascii="宋体" w:hAnsi="宋体" w:eastAsia="宋体" w:cs="宋体"/>
          <w:spacing w:val="16"/>
          <w:sz w:val="17"/>
          <w:szCs w:val="17"/>
        </w:rPr>
        <w:t>注</w:t>
      </w:r>
      <w:r>
        <w:rPr>
          <w:rFonts w:ascii="宋体" w:hAnsi="宋体" w:eastAsia="宋体" w:cs="宋体"/>
          <w:spacing w:val="9"/>
          <w:sz w:val="17"/>
          <w:szCs w:val="17"/>
        </w:rPr>
        <w:t>：</w:t>
      </w:r>
      <w:r>
        <w:rPr>
          <w:rFonts w:ascii="Times New Roman" w:hAnsi="Times New Roman" w:eastAsia="Times New Roman" w:cs="Times New Roman"/>
          <w:spacing w:val="8"/>
          <w:sz w:val="17"/>
          <w:szCs w:val="17"/>
        </w:rPr>
        <w:t>“</w:t>
      </w:r>
      <w:r>
        <w:rPr>
          <w:rFonts w:ascii="宋体" w:hAnsi="宋体" w:eastAsia="宋体" w:cs="宋体"/>
          <w:spacing w:val="8"/>
          <w:sz w:val="17"/>
          <w:szCs w:val="17"/>
        </w:rPr>
        <w:t>环境敏感区</w:t>
      </w:r>
      <w:r>
        <w:rPr>
          <w:rFonts w:ascii="Times New Roman" w:hAnsi="Times New Roman" w:eastAsia="Times New Roman" w:cs="Times New Roman"/>
          <w:spacing w:val="8"/>
          <w:sz w:val="17"/>
          <w:szCs w:val="17"/>
        </w:rPr>
        <w:t>”</w:t>
      </w:r>
      <w:r>
        <w:rPr>
          <w:rFonts w:ascii="宋体" w:hAnsi="宋体" w:eastAsia="宋体" w:cs="宋体"/>
          <w:spacing w:val="8"/>
          <w:sz w:val="17"/>
          <w:szCs w:val="17"/>
        </w:rPr>
        <w:t>是指《建设项目环境影响评价分类管理名录》中所界定的涉及地下水的环境敏感区。</w:t>
      </w:r>
    </w:p>
    <w:p w14:paraId="46C81E72">
      <w:pPr>
        <w:spacing w:before="45" w:line="28" w:lineRule="exact"/>
        <w:textAlignment w:val="center"/>
      </w:pPr>
      <w:r>
        <w:pict>
          <v:shape id="_x0000_s1097" o:spid="_x0000_s1097" style="height:1.45pt;width:426.15pt;" filled="f" stroked="t" coordsize="8522,29" path="m0,14l8522,14e">
            <v:fill on="f" focussize="0,0"/>
            <v:stroke weight="1.44pt" color="#000000" miterlimit="2" joinstyle="bevel"/>
            <v:imagedata o:title=""/>
            <o:lock v:ext="edit"/>
            <w10:wrap type="none"/>
            <w10:anchorlock/>
          </v:shape>
        </w:pict>
      </w:r>
    </w:p>
    <w:p w14:paraId="1BB6C54F">
      <w:pPr>
        <w:spacing w:line="272" w:lineRule="auto"/>
        <w:rPr>
          <w:rFonts w:ascii="Arial"/>
          <w:sz w:val="21"/>
        </w:rPr>
      </w:pPr>
    </w:p>
    <w:p w14:paraId="00F97F5B">
      <w:pPr>
        <w:spacing w:before="76" w:line="390" w:lineRule="auto"/>
        <w:ind w:left="120" w:right="110" w:firstLine="452"/>
        <w:rPr>
          <w:rFonts w:ascii="宋体" w:hAnsi="宋体" w:eastAsia="宋体" w:cs="宋体"/>
          <w:sz w:val="23"/>
          <w:szCs w:val="23"/>
        </w:rPr>
      </w:pPr>
      <w:r>
        <w:rPr>
          <w:rFonts w:ascii="宋体" w:hAnsi="宋体" w:eastAsia="宋体" w:cs="宋体"/>
          <w:spacing w:val="1"/>
          <w:sz w:val="23"/>
          <w:szCs w:val="23"/>
        </w:rPr>
        <w:t>项目厂区不在集中式饮用水水源保护区内，</w:t>
      </w:r>
      <w:r>
        <w:rPr>
          <w:rFonts w:ascii="宋体" w:hAnsi="宋体" w:eastAsia="宋体" w:cs="宋体"/>
          <w:sz w:val="23"/>
          <w:szCs w:val="23"/>
        </w:rPr>
        <w:t xml:space="preserve">不在国家或地方政府设定的与地下 </w:t>
      </w:r>
      <w:r>
        <w:rPr>
          <w:rFonts w:ascii="宋体" w:hAnsi="宋体" w:eastAsia="宋体" w:cs="宋体"/>
          <w:spacing w:val="1"/>
          <w:sz w:val="23"/>
          <w:szCs w:val="23"/>
        </w:rPr>
        <w:t>水环境相关的其它保护区</w:t>
      </w:r>
      <w:r>
        <w:rPr>
          <w:rFonts w:ascii="宋体" w:hAnsi="宋体" w:eastAsia="宋体" w:cs="宋体"/>
          <w:sz w:val="23"/>
          <w:szCs w:val="23"/>
        </w:rPr>
        <w:t xml:space="preserve">内。项目下游地区村庄有分散式居民个人饮用水井，无集 </w:t>
      </w:r>
      <w:r>
        <w:rPr>
          <w:rFonts w:ascii="宋体" w:hAnsi="宋体" w:eastAsia="宋体" w:cs="宋体"/>
          <w:spacing w:val="-6"/>
          <w:sz w:val="23"/>
          <w:szCs w:val="23"/>
        </w:rPr>
        <w:t>中</w:t>
      </w:r>
      <w:r>
        <w:rPr>
          <w:rFonts w:ascii="宋体" w:hAnsi="宋体" w:eastAsia="宋体" w:cs="宋体"/>
          <w:spacing w:val="-3"/>
          <w:sz w:val="23"/>
          <w:szCs w:val="23"/>
        </w:rPr>
        <w:t>式居民饮用水井，因此确定项目地下水环境敏感程度为较敏感。</w:t>
      </w:r>
    </w:p>
    <w:p w14:paraId="081329BB">
      <w:pPr>
        <w:spacing w:before="148" w:line="226" w:lineRule="auto"/>
        <w:ind w:left="611"/>
        <w:rPr>
          <w:rFonts w:ascii="宋体" w:hAnsi="宋体" w:eastAsia="宋体" w:cs="宋体"/>
          <w:sz w:val="23"/>
          <w:szCs w:val="23"/>
        </w:rPr>
      </w:pPr>
      <w:r>
        <w:rPr>
          <w:rFonts w:ascii="宋体" w:hAnsi="宋体" w:eastAsia="宋体" w:cs="宋体"/>
          <w:spacing w:val="22"/>
          <w:sz w:val="23"/>
          <w:szCs w:val="23"/>
        </w:rPr>
        <w:t>(</w:t>
      </w:r>
      <w:r>
        <w:rPr>
          <w:rFonts w:ascii="Times New Roman" w:hAnsi="Times New Roman" w:eastAsia="Times New Roman" w:cs="Times New Roman"/>
          <w:spacing w:val="14"/>
          <w:sz w:val="23"/>
          <w:szCs w:val="23"/>
        </w:rPr>
        <w:t>3</w:t>
      </w:r>
      <w:r>
        <w:rPr>
          <w:rFonts w:ascii="宋体" w:hAnsi="宋体" w:eastAsia="宋体" w:cs="宋体"/>
          <w:spacing w:val="14"/>
          <w:sz w:val="23"/>
          <w:szCs w:val="23"/>
        </w:rPr>
        <w:t>) 建设项目评价工作等级</w:t>
      </w:r>
    </w:p>
    <w:p w14:paraId="51320D11">
      <w:pPr>
        <w:spacing w:line="287" w:lineRule="auto"/>
        <w:rPr>
          <w:rFonts w:ascii="Arial"/>
          <w:sz w:val="21"/>
        </w:rPr>
      </w:pPr>
    </w:p>
    <w:p w14:paraId="0C7F888B">
      <w:pPr>
        <w:spacing w:before="75" w:line="226" w:lineRule="auto"/>
        <w:ind w:left="602"/>
        <w:rPr>
          <w:rFonts w:ascii="宋体" w:hAnsi="宋体" w:eastAsia="宋体" w:cs="宋体"/>
          <w:sz w:val="23"/>
          <w:szCs w:val="23"/>
        </w:rPr>
      </w:pPr>
      <w:r>
        <w:rPr>
          <w:rFonts w:ascii="宋体" w:hAnsi="宋体" w:eastAsia="宋体" w:cs="宋体"/>
          <w:spacing w:val="6"/>
          <w:sz w:val="23"/>
          <w:szCs w:val="23"/>
        </w:rPr>
        <w:t>建</w:t>
      </w:r>
      <w:r>
        <w:rPr>
          <w:rFonts w:ascii="宋体" w:hAnsi="宋体" w:eastAsia="宋体" w:cs="宋体"/>
          <w:spacing w:val="5"/>
          <w:sz w:val="23"/>
          <w:szCs w:val="23"/>
        </w:rPr>
        <w:t xml:space="preserve">设项目地下水环境影响评价工作等级的划分见表 </w:t>
      </w:r>
      <w:r>
        <w:rPr>
          <w:rFonts w:ascii="Times New Roman" w:hAnsi="Times New Roman" w:eastAsia="Times New Roman" w:cs="Times New Roman"/>
          <w:spacing w:val="5"/>
          <w:sz w:val="23"/>
          <w:szCs w:val="23"/>
        </w:rPr>
        <w:t>2-20</w:t>
      </w:r>
      <w:r>
        <w:rPr>
          <w:rFonts w:ascii="宋体" w:hAnsi="宋体" w:eastAsia="宋体" w:cs="宋体"/>
          <w:spacing w:val="5"/>
          <w:sz w:val="23"/>
          <w:szCs w:val="23"/>
        </w:rPr>
        <w:t>。</w:t>
      </w:r>
    </w:p>
    <w:p w14:paraId="6C04A012">
      <w:pPr>
        <w:spacing w:line="289" w:lineRule="auto"/>
        <w:rPr>
          <w:rFonts w:ascii="Arial"/>
          <w:sz w:val="21"/>
        </w:rPr>
      </w:pPr>
    </w:p>
    <w:p w14:paraId="373197CC">
      <w:pPr>
        <w:spacing w:before="76" w:line="226" w:lineRule="auto"/>
        <w:ind w:left="2434"/>
        <w:rPr>
          <w:rFonts w:ascii="宋体" w:hAnsi="宋体" w:eastAsia="宋体" w:cs="宋体"/>
          <w:sz w:val="23"/>
          <w:szCs w:val="23"/>
        </w:rPr>
      </w:pPr>
      <w:r>
        <w:rPr>
          <w:rFonts w:ascii="宋体" w:hAnsi="宋体" w:eastAsia="宋体" w:cs="宋体"/>
          <w:spacing w:val="8"/>
          <w:sz w:val="23"/>
          <w:szCs w:val="23"/>
          <w14:textOutline w14:w="4358" w14:cap="sq" w14:cmpd="sng">
            <w14:solidFill>
              <w14:srgbClr w14:val="000000"/>
            </w14:solidFill>
            <w14:prstDash w14:val="solid"/>
            <w14:bevel/>
          </w14:textOutline>
        </w:rPr>
        <w:t>表</w:t>
      </w:r>
      <w:r>
        <w:rPr>
          <w:rFonts w:ascii="宋体" w:hAnsi="宋体" w:eastAsia="宋体" w:cs="宋体"/>
          <w:spacing w:val="8"/>
          <w:sz w:val="23"/>
          <w:szCs w:val="23"/>
        </w:rPr>
        <w:t xml:space="preserve"> </w:t>
      </w:r>
      <w:r>
        <w:rPr>
          <w:rFonts w:ascii="Times New Roman" w:hAnsi="Times New Roman" w:eastAsia="Times New Roman" w:cs="Times New Roman"/>
          <w:b/>
          <w:bCs/>
          <w:spacing w:val="8"/>
          <w:sz w:val="23"/>
          <w:szCs w:val="23"/>
        </w:rPr>
        <w:t>2-</w:t>
      </w:r>
      <w:r>
        <w:rPr>
          <w:rFonts w:ascii="Times New Roman" w:hAnsi="Times New Roman" w:eastAsia="Times New Roman" w:cs="Times New Roman"/>
          <w:b/>
          <w:bCs/>
          <w:spacing w:val="5"/>
          <w:sz w:val="23"/>
          <w:szCs w:val="23"/>
        </w:rPr>
        <w:t>2</w:t>
      </w:r>
      <w:r>
        <w:rPr>
          <w:rFonts w:ascii="Times New Roman" w:hAnsi="Times New Roman" w:eastAsia="Times New Roman" w:cs="Times New Roman"/>
          <w:b/>
          <w:bCs/>
          <w:spacing w:val="4"/>
          <w:sz w:val="23"/>
          <w:szCs w:val="23"/>
        </w:rPr>
        <w:t>0</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地下水评价工作等级分级表</w:t>
      </w:r>
    </w:p>
    <w:p w14:paraId="7344CA25">
      <w:pPr>
        <w:spacing w:line="19" w:lineRule="exact"/>
      </w:pPr>
    </w:p>
    <w:tbl>
      <w:tblPr>
        <w:tblStyle w:val="4"/>
        <w:tblW w:w="852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16"/>
        <w:gridCol w:w="1838"/>
        <w:gridCol w:w="2019"/>
        <w:gridCol w:w="2148"/>
      </w:tblGrid>
      <w:tr w14:paraId="403AD4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93" w:hRule="atLeast"/>
        </w:trPr>
        <w:tc>
          <w:tcPr>
            <w:tcW w:w="2516" w:type="dxa"/>
            <w:tcBorders>
              <w:left w:val="nil"/>
              <w:tl2br w:val="single" w:color="000000" w:sz="4" w:space="0"/>
            </w:tcBorders>
            <w:vAlign w:val="top"/>
          </w:tcPr>
          <w:p w14:paraId="76F1106C">
            <w:pPr>
              <w:spacing w:before="85" w:line="268" w:lineRule="auto"/>
              <w:ind w:left="116" w:right="413" w:firstLine="1157"/>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项</w:t>
            </w:r>
            <w:r>
              <w:rPr>
                <w:rFonts w:ascii="宋体" w:hAnsi="宋体" w:eastAsia="宋体" w:cs="宋体"/>
                <w:spacing w:val="6"/>
                <w:sz w:val="20"/>
                <w:szCs w:val="20"/>
                <w14:textOutline w14:w="3795" w14:cap="sq" w14:cmpd="sng">
                  <w14:solidFill>
                    <w14:srgbClr w14:val="000000"/>
                  </w14:solidFill>
                  <w14:prstDash w14:val="solid"/>
                  <w14:bevel/>
                </w14:textOutline>
              </w:rPr>
              <w:t>目类别</w:t>
            </w:r>
            <w:r>
              <w:rPr>
                <w:rFonts w:ascii="宋体" w:hAnsi="宋体" w:eastAsia="宋体" w:cs="宋体"/>
                <w:sz w:val="20"/>
                <w:szCs w:val="20"/>
              </w:rPr>
              <w:t xml:space="preserve"> </w:t>
            </w:r>
            <w:r>
              <w:rPr>
                <w:rFonts w:ascii="宋体" w:hAnsi="宋体" w:eastAsia="宋体" w:cs="宋体"/>
                <w:spacing w:val="9"/>
                <w:sz w:val="20"/>
                <w:szCs w:val="20"/>
                <w14:textOutline w14:w="3795" w14:cap="sq" w14:cmpd="sng">
                  <w14:solidFill>
                    <w14:srgbClr w14:val="000000"/>
                  </w14:solidFill>
                  <w14:prstDash w14:val="solid"/>
                  <w14:bevel/>
                </w14:textOutline>
              </w:rPr>
              <w:t>环</w:t>
            </w:r>
            <w:r>
              <w:rPr>
                <w:rFonts w:ascii="宋体" w:hAnsi="宋体" w:eastAsia="宋体" w:cs="宋体"/>
                <w:spacing w:val="8"/>
                <w:sz w:val="20"/>
                <w:szCs w:val="20"/>
                <w14:textOutline w14:w="3795" w14:cap="sq" w14:cmpd="sng">
                  <w14:solidFill>
                    <w14:srgbClr w14:val="000000"/>
                  </w14:solidFill>
                  <w14:prstDash w14:val="solid"/>
                  <w14:bevel/>
                </w14:textOutline>
              </w:rPr>
              <w:t>境敏感程度</w:t>
            </w:r>
          </w:p>
        </w:tc>
        <w:tc>
          <w:tcPr>
            <w:tcW w:w="1838" w:type="dxa"/>
            <w:vAlign w:val="top"/>
          </w:tcPr>
          <w:p w14:paraId="5337D52E">
            <w:pPr>
              <w:spacing w:before="251" w:line="228" w:lineRule="auto"/>
              <w:ind w:left="567"/>
              <w:rPr>
                <w:rFonts w:ascii="宋体" w:hAnsi="宋体" w:eastAsia="宋体" w:cs="宋体"/>
                <w:sz w:val="20"/>
                <w:szCs w:val="20"/>
              </w:rPr>
            </w:pPr>
            <w:r>
              <w:rPr>
                <w:rFonts w:ascii="Times New Roman" w:hAnsi="Times New Roman" w:eastAsia="Times New Roman" w:cs="Times New Roman"/>
                <w:b/>
                <w:bCs/>
                <w:spacing w:val="7"/>
                <w:sz w:val="20"/>
                <w:szCs w:val="20"/>
              </w:rPr>
              <w:t>Ⅰ</w:t>
            </w:r>
            <w:r>
              <w:rPr>
                <w:rFonts w:ascii="宋体" w:hAnsi="宋体" w:eastAsia="宋体" w:cs="宋体"/>
                <w:spacing w:val="6"/>
                <w:sz w:val="20"/>
                <w:szCs w:val="20"/>
                <w14:textOutline w14:w="3795" w14:cap="sq" w14:cmpd="sng">
                  <w14:solidFill>
                    <w14:srgbClr w14:val="000000"/>
                  </w14:solidFill>
                  <w14:prstDash w14:val="solid"/>
                  <w14:bevel/>
                </w14:textOutline>
              </w:rPr>
              <w:t>类项目</w:t>
            </w:r>
          </w:p>
        </w:tc>
        <w:tc>
          <w:tcPr>
            <w:tcW w:w="2019" w:type="dxa"/>
            <w:vAlign w:val="top"/>
          </w:tcPr>
          <w:p w14:paraId="4CD46E6D">
            <w:pPr>
              <w:spacing w:before="251" w:line="228" w:lineRule="auto"/>
              <w:ind w:left="618"/>
              <w:rPr>
                <w:rFonts w:ascii="宋体" w:hAnsi="宋体" w:eastAsia="宋体" w:cs="宋体"/>
                <w:sz w:val="20"/>
                <w:szCs w:val="20"/>
              </w:rPr>
            </w:pPr>
            <w:r>
              <w:rPr>
                <w:rFonts w:ascii="Times New Roman" w:hAnsi="Times New Roman" w:eastAsia="Times New Roman" w:cs="Times New Roman"/>
                <w:b/>
                <w:bCs/>
                <w:spacing w:val="9"/>
                <w:sz w:val="20"/>
                <w:szCs w:val="20"/>
              </w:rPr>
              <w:t>Ⅱ</w:t>
            </w:r>
            <w:r>
              <w:rPr>
                <w:rFonts w:ascii="宋体" w:hAnsi="宋体" w:eastAsia="宋体" w:cs="宋体"/>
                <w:spacing w:val="7"/>
                <w:sz w:val="20"/>
                <w:szCs w:val="20"/>
                <w14:textOutline w14:w="3795" w14:cap="sq" w14:cmpd="sng">
                  <w14:solidFill>
                    <w14:srgbClr w14:val="000000"/>
                  </w14:solidFill>
                  <w14:prstDash w14:val="solid"/>
                  <w14:bevel/>
                </w14:textOutline>
              </w:rPr>
              <w:t>类项目</w:t>
            </w:r>
          </w:p>
        </w:tc>
        <w:tc>
          <w:tcPr>
            <w:tcW w:w="2148" w:type="dxa"/>
            <w:tcBorders>
              <w:right w:val="nil"/>
            </w:tcBorders>
            <w:vAlign w:val="top"/>
          </w:tcPr>
          <w:p w14:paraId="15FBC2C9">
            <w:pPr>
              <w:spacing w:before="251" w:line="228" w:lineRule="auto"/>
              <w:ind w:left="644"/>
              <w:rPr>
                <w:rFonts w:ascii="宋体" w:hAnsi="宋体" w:eastAsia="宋体" w:cs="宋体"/>
                <w:sz w:val="20"/>
                <w:szCs w:val="20"/>
              </w:rPr>
            </w:pPr>
            <w:r>
              <w:rPr>
                <w:rFonts w:ascii="Times New Roman" w:hAnsi="Times New Roman" w:eastAsia="Times New Roman" w:cs="Times New Roman"/>
                <w:b/>
                <w:bCs/>
                <w:spacing w:val="10"/>
                <w:sz w:val="20"/>
                <w:szCs w:val="20"/>
                <w:shd w:val="clear" w:fill="D9D9D9"/>
              </w:rPr>
              <w:t>Ⅲ</w:t>
            </w:r>
            <w:r>
              <w:rPr>
                <w:rFonts w:ascii="宋体" w:hAnsi="宋体" w:eastAsia="宋体" w:cs="宋体"/>
                <w:spacing w:val="8"/>
                <w:sz w:val="20"/>
                <w:szCs w:val="20"/>
                <w:shd w:val="clear" w:fill="D9D9D9"/>
                <w14:textOutline w14:w="3795" w14:cap="sq" w14:cmpd="sng">
                  <w14:solidFill>
                    <w14:srgbClr w14:val="000000"/>
                  </w14:solidFill>
                  <w14:prstDash w14:val="solid"/>
                  <w14:bevel/>
                </w14:textOutline>
              </w:rPr>
              <w:t>类项目</w:t>
            </w:r>
          </w:p>
        </w:tc>
      </w:tr>
      <w:tr w14:paraId="0CB03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2516" w:type="dxa"/>
            <w:tcBorders>
              <w:left w:val="nil"/>
            </w:tcBorders>
            <w:vAlign w:val="top"/>
          </w:tcPr>
          <w:p w14:paraId="392725BA">
            <w:pPr>
              <w:spacing w:before="64" w:line="228" w:lineRule="auto"/>
              <w:ind w:left="1057"/>
              <w:rPr>
                <w:rFonts w:ascii="宋体" w:hAnsi="宋体" w:eastAsia="宋体" w:cs="宋体"/>
                <w:sz w:val="20"/>
                <w:szCs w:val="20"/>
              </w:rPr>
            </w:pPr>
            <w:r>
              <w:rPr>
                <w:rFonts w:ascii="宋体" w:hAnsi="宋体" w:eastAsia="宋体" w:cs="宋体"/>
                <w:spacing w:val="4"/>
                <w:sz w:val="20"/>
                <w:szCs w:val="20"/>
              </w:rPr>
              <w:t>敏感</w:t>
            </w:r>
          </w:p>
        </w:tc>
        <w:tc>
          <w:tcPr>
            <w:tcW w:w="1838" w:type="dxa"/>
            <w:vAlign w:val="top"/>
          </w:tcPr>
          <w:p w14:paraId="5335089A">
            <w:pPr>
              <w:spacing w:before="143" w:line="168" w:lineRule="exact"/>
              <w:ind w:left="824"/>
              <w:rPr>
                <w:rFonts w:ascii="宋体" w:hAnsi="宋体" w:eastAsia="宋体" w:cs="宋体"/>
                <w:sz w:val="10"/>
                <w:szCs w:val="10"/>
              </w:rPr>
            </w:pPr>
            <w:r>
              <w:rPr>
                <w:rFonts w:ascii="宋体" w:hAnsi="宋体" w:eastAsia="宋体" w:cs="宋体"/>
                <w:spacing w:val="97"/>
                <w:position w:val="1"/>
                <w:sz w:val="10"/>
                <w:szCs w:val="10"/>
              </w:rPr>
              <w:t>一</w:t>
            </w:r>
          </w:p>
        </w:tc>
        <w:tc>
          <w:tcPr>
            <w:tcW w:w="2019" w:type="dxa"/>
            <w:vAlign w:val="top"/>
          </w:tcPr>
          <w:p w14:paraId="5CAFC401">
            <w:pPr>
              <w:spacing w:before="143" w:line="168" w:lineRule="exact"/>
              <w:ind w:left="915"/>
              <w:rPr>
                <w:rFonts w:ascii="宋体" w:hAnsi="宋体" w:eastAsia="宋体" w:cs="宋体"/>
                <w:sz w:val="10"/>
                <w:szCs w:val="10"/>
              </w:rPr>
            </w:pPr>
            <w:r>
              <w:rPr>
                <w:rFonts w:ascii="宋体" w:hAnsi="宋体" w:eastAsia="宋体" w:cs="宋体"/>
                <w:spacing w:val="97"/>
                <w:position w:val="1"/>
                <w:sz w:val="10"/>
                <w:szCs w:val="10"/>
              </w:rPr>
              <w:t>一</w:t>
            </w:r>
          </w:p>
        </w:tc>
        <w:tc>
          <w:tcPr>
            <w:tcW w:w="2148" w:type="dxa"/>
            <w:tcBorders>
              <w:right w:val="nil"/>
            </w:tcBorders>
            <w:vAlign w:val="top"/>
          </w:tcPr>
          <w:p w14:paraId="6A8ACE43">
            <w:pPr>
              <w:spacing w:before="103" w:line="189" w:lineRule="auto"/>
              <w:ind w:left="979"/>
              <w:rPr>
                <w:rFonts w:ascii="宋体" w:hAnsi="宋体" w:eastAsia="宋体" w:cs="宋体"/>
                <w:sz w:val="20"/>
                <w:szCs w:val="20"/>
              </w:rPr>
            </w:pPr>
            <w:r>
              <w:rPr>
                <w:rFonts w:ascii="宋体" w:hAnsi="宋体" w:eastAsia="宋体" w:cs="宋体"/>
                <w:sz w:val="20"/>
                <w:szCs w:val="20"/>
              </w:rPr>
              <w:t>二</w:t>
            </w:r>
          </w:p>
        </w:tc>
      </w:tr>
      <w:tr w14:paraId="3115F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2516" w:type="dxa"/>
            <w:tcBorders>
              <w:left w:val="nil"/>
            </w:tcBorders>
            <w:vAlign w:val="top"/>
          </w:tcPr>
          <w:p w14:paraId="2FEAC5CB">
            <w:pPr>
              <w:spacing w:before="65" w:line="228" w:lineRule="auto"/>
              <w:ind w:left="953"/>
              <w:rPr>
                <w:rFonts w:ascii="宋体" w:hAnsi="宋体" w:eastAsia="宋体" w:cs="宋体"/>
                <w:sz w:val="20"/>
                <w:szCs w:val="20"/>
              </w:rPr>
            </w:pPr>
            <w:r>
              <w:rPr>
                <w:rFonts w:ascii="宋体" w:hAnsi="宋体" w:eastAsia="宋体" w:cs="宋体"/>
                <w:spacing w:val="6"/>
                <w:sz w:val="20"/>
                <w:szCs w:val="20"/>
                <w:shd w:val="clear" w:fill="D9D9D9"/>
              </w:rPr>
              <w:t>较敏感</w:t>
            </w:r>
          </w:p>
        </w:tc>
        <w:tc>
          <w:tcPr>
            <w:tcW w:w="1838" w:type="dxa"/>
            <w:vAlign w:val="top"/>
          </w:tcPr>
          <w:p w14:paraId="35B39471">
            <w:pPr>
              <w:spacing w:before="144" w:line="168" w:lineRule="exact"/>
              <w:ind w:left="824"/>
              <w:rPr>
                <w:rFonts w:ascii="宋体" w:hAnsi="宋体" w:eastAsia="宋体" w:cs="宋体"/>
                <w:sz w:val="10"/>
                <w:szCs w:val="10"/>
              </w:rPr>
            </w:pPr>
            <w:r>
              <w:rPr>
                <w:rFonts w:ascii="宋体" w:hAnsi="宋体" w:eastAsia="宋体" w:cs="宋体"/>
                <w:spacing w:val="97"/>
                <w:position w:val="1"/>
                <w:sz w:val="10"/>
                <w:szCs w:val="10"/>
              </w:rPr>
              <w:t>一</w:t>
            </w:r>
          </w:p>
        </w:tc>
        <w:tc>
          <w:tcPr>
            <w:tcW w:w="2019" w:type="dxa"/>
            <w:vAlign w:val="top"/>
          </w:tcPr>
          <w:p w14:paraId="4575ED3E">
            <w:pPr>
              <w:spacing w:before="105" w:line="189" w:lineRule="auto"/>
              <w:ind w:left="915"/>
              <w:rPr>
                <w:rFonts w:ascii="宋体" w:hAnsi="宋体" w:eastAsia="宋体" w:cs="宋体"/>
                <w:sz w:val="20"/>
                <w:szCs w:val="20"/>
              </w:rPr>
            </w:pPr>
            <w:r>
              <w:rPr>
                <w:rFonts w:ascii="宋体" w:hAnsi="宋体" w:eastAsia="宋体" w:cs="宋体"/>
                <w:sz w:val="20"/>
                <w:szCs w:val="20"/>
              </w:rPr>
              <w:t>二</w:t>
            </w:r>
          </w:p>
        </w:tc>
        <w:tc>
          <w:tcPr>
            <w:tcW w:w="2148" w:type="dxa"/>
            <w:tcBorders>
              <w:right w:val="nil"/>
            </w:tcBorders>
            <w:vAlign w:val="top"/>
          </w:tcPr>
          <w:p w14:paraId="2BEE987A">
            <w:pPr>
              <w:spacing w:before="65" w:line="266" w:lineRule="exact"/>
              <w:ind w:left="976"/>
              <w:rPr>
                <w:rFonts w:ascii="宋体" w:hAnsi="宋体" w:eastAsia="宋体" w:cs="宋体"/>
                <w:sz w:val="20"/>
                <w:szCs w:val="20"/>
              </w:rPr>
            </w:pPr>
            <w:r>
              <w:rPr>
                <w:rFonts w:ascii="宋体" w:hAnsi="宋体" w:eastAsia="宋体" w:cs="宋体"/>
                <w:position w:val="1"/>
                <w:sz w:val="20"/>
                <w:szCs w:val="20"/>
                <w:shd w:val="clear" w:fill="D9D9D9"/>
              </w:rPr>
              <w:t>三</w:t>
            </w:r>
          </w:p>
        </w:tc>
      </w:tr>
      <w:tr w14:paraId="3BEE56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2516" w:type="dxa"/>
            <w:tcBorders>
              <w:left w:val="nil"/>
            </w:tcBorders>
            <w:vAlign w:val="top"/>
          </w:tcPr>
          <w:p w14:paraId="3A7CB9E6">
            <w:pPr>
              <w:spacing w:before="66" w:line="228" w:lineRule="auto"/>
              <w:ind w:left="957"/>
              <w:rPr>
                <w:rFonts w:ascii="宋体" w:hAnsi="宋体" w:eastAsia="宋体" w:cs="宋体"/>
                <w:sz w:val="20"/>
                <w:szCs w:val="20"/>
              </w:rPr>
            </w:pPr>
            <w:r>
              <w:rPr>
                <w:rFonts w:ascii="宋体" w:hAnsi="宋体" w:eastAsia="宋体" w:cs="宋体"/>
                <w:spacing w:val="5"/>
                <w:sz w:val="20"/>
                <w:szCs w:val="20"/>
              </w:rPr>
              <w:t>不敏感</w:t>
            </w:r>
          </w:p>
        </w:tc>
        <w:tc>
          <w:tcPr>
            <w:tcW w:w="1838" w:type="dxa"/>
            <w:vAlign w:val="top"/>
          </w:tcPr>
          <w:p w14:paraId="157F95E3">
            <w:pPr>
              <w:spacing w:before="106" w:line="189" w:lineRule="auto"/>
              <w:ind w:left="824"/>
              <w:rPr>
                <w:rFonts w:ascii="宋体" w:hAnsi="宋体" w:eastAsia="宋体" w:cs="宋体"/>
                <w:sz w:val="20"/>
                <w:szCs w:val="20"/>
              </w:rPr>
            </w:pPr>
            <w:r>
              <w:rPr>
                <w:rFonts w:ascii="宋体" w:hAnsi="宋体" w:eastAsia="宋体" w:cs="宋体"/>
                <w:sz w:val="20"/>
                <w:szCs w:val="20"/>
              </w:rPr>
              <w:t>二</w:t>
            </w:r>
          </w:p>
        </w:tc>
        <w:tc>
          <w:tcPr>
            <w:tcW w:w="2019" w:type="dxa"/>
            <w:vAlign w:val="top"/>
          </w:tcPr>
          <w:p w14:paraId="102E3CCE">
            <w:pPr>
              <w:spacing w:before="67" w:line="265" w:lineRule="exact"/>
              <w:ind w:left="912"/>
              <w:rPr>
                <w:rFonts w:ascii="宋体" w:hAnsi="宋体" w:eastAsia="宋体" w:cs="宋体"/>
                <w:sz w:val="20"/>
                <w:szCs w:val="20"/>
              </w:rPr>
            </w:pPr>
            <w:r>
              <w:rPr>
                <w:rFonts w:ascii="宋体" w:hAnsi="宋体" w:eastAsia="宋体" w:cs="宋体"/>
                <w:position w:val="1"/>
                <w:sz w:val="20"/>
                <w:szCs w:val="20"/>
              </w:rPr>
              <w:t>三</w:t>
            </w:r>
          </w:p>
        </w:tc>
        <w:tc>
          <w:tcPr>
            <w:tcW w:w="2148" w:type="dxa"/>
            <w:tcBorders>
              <w:right w:val="nil"/>
            </w:tcBorders>
            <w:vAlign w:val="top"/>
          </w:tcPr>
          <w:p w14:paraId="18811D37">
            <w:pPr>
              <w:spacing w:before="67" w:line="265" w:lineRule="exact"/>
              <w:ind w:left="976"/>
              <w:rPr>
                <w:rFonts w:ascii="宋体" w:hAnsi="宋体" w:eastAsia="宋体" w:cs="宋体"/>
                <w:sz w:val="20"/>
                <w:szCs w:val="20"/>
              </w:rPr>
            </w:pPr>
            <w:r>
              <w:rPr>
                <w:rFonts w:ascii="宋体" w:hAnsi="宋体" w:eastAsia="宋体" w:cs="宋体"/>
                <w:position w:val="1"/>
                <w:sz w:val="20"/>
                <w:szCs w:val="20"/>
              </w:rPr>
              <w:t>三</w:t>
            </w:r>
          </w:p>
        </w:tc>
      </w:tr>
    </w:tbl>
    <w:p w14:paraId="6BE8686D">
      <w:pPr>
        <w:rPr>
          <w:rFonts w:ascii="Arial"/>
          <w:sz w:val="21"/>
        </w:rPr>
      </w:pPr>
    </w:p>
    <w:p w14:paraId="280D7E8F">
      <w:pPr>
        <w:sectPr>
          <w:footerReference r:id="rId71" w:type="default"/>
          <w:pgSz w:w="11906" w:h="16839"/>
          <w:pgMar w:top="1132" w:right="1691" w:bottom="1156" w:left="1691" w:header="878" w:footer="996" w:gutter="0"/>
          <w:cols w:space="720" w:num="1"/>
        </w:sectPr>
      </w:pPr>
    </w:p>
    <w:p w14:paraId="75E709C5">
      <w:pPr>
        <w:spacing w:line="401" w:lineRule="auto"/>
        <w:rPr>
          <w:rFonts w:ascii="Arial"/>
          <w:sz w:val="21"/>
        </w:rPr>
      </w:pPr>
      <w:r>
        <w:pict>
          <v:shape id="_x0000_s1098" o:spid="_x0000_s1098" style="position:absolute;left:0pt;margin-left:90pt;margin-top:57.35pt;height:0.75pt;width:415.3pt;mso-position-horizontal-relative:page;mso-position-vertical-relative:page;z-index:251734016;mso-width-relative:page;mso-height-relative:page;" fillcolor="#000000" filled="t" stroked="f" coordsize="8305,15" o:allowincell="f" path="m0,0l8305,0,8305,14,0,14,0,0xe">
            <v:path/>
            <v:fill on="t" focussize="0,0"/>
            <v:stroke on="f"/>
            <v:imagedata o:title=""/>
            <o:lock v:ext="edit"/>
          </v:shape>
        </w:pict>
      </w:r>
    </w:p>
    <w:p w14:paraId="2C88A31E">
      <w:pPr>
        <w:spacing w:before="75" w:line="384" w:lineRule="auto"/>
        <w:ind w:left="116" w:right="110" w:firstLine="455"/>
        <w:rPr>
          <w:rFonts w:ascii="宋体" w:hAnsi="宋体" w:eastAsia="宋体" w:cs="宋体"/>
          <w:sz w:val="23"/>
          <w:szCs w:val="23"/>
        </w:rPr>
      </w:pPr>
      <w:r>
        <w:rPr>
          <w:rFonts w:ascii="宋体" w:hAnsi="宋体" w:eastAsia="宋体" w:cs="宋体"/>
          <w:spacing w:val="1"/>
          <w:sz w:val="23"/>
          <w:szCs w:val="23"/>
        </w:rPr>
        <w:t>综上分析，项目属于地下水环境影响评价分类的</w:t>
      </w:r>
      <w:r>
        <w:rPr>
          <w:rFonts w:ascii="Times New Roman" w:hAnsi="Times New Roman" w:eastAsia="Times New Roman" w:cs="Times New Roman"/>
          <w:spacing w:val="1"/>
          <w:sz w:val="23"/>
          <w:szCs w:val="23"/>
        </w:rPr>
        <w:t>Ⅲ</w:t>
      </w:r>
      <w:r>
        <w:rPr>
          <w:rFonts w:ascii="宋体" w:hAnsi="宋体" w:eastAsia="宋体" w:cs="宋体"/>
          <w:spacing w:val="1"/>
          <w:sz w:val="23"/>
          <w:szCs w:val="23"/>
        </w:rPr>
        <w:t>类项目，地下水</w:t>
      </w:r>
      <w:r>
        <w:rPr>
          <w:rFonts w:ascii="宋体" w:hAnsi="宋体" w:eastAsia="宋体" w:cs="宋体"/>
          <w:sz w:val="23"/>
          <w:szCs w:val="23"/>
        </w:rPr>
        <w:t xml:space="preserve">环境敏感程 </w:t>
      </w:r>
      <w:r>
        <w:rPr>
          <w:rFonts w:ascii="宋体" w:hAnsi="宋体" w:eastAsia="宋体" w:cs="宋体"/>
          <w:spacing w:val="-3"/>
          <w:sz w:val="23"/>
          <w:szCs w:val="23"/>
        </w:rPr>
        <w:t>度为较敏感，因此评价工作等级确定为三级</w:t>
      </w:r>
      <w:r>
        <w:rPr>
          <w:rFonts w:ascii="宋体" w:hAnsi="宋体" w:eastAsia="宋体" w:cs="宋体"/>
          <w:spacing w:val="-2"/>
          <w:sz w:val="23"/>
          <w:szCs w:val="23"/>
        </w:rPr>
        <w:t>。</w:t>
      </w:r>
    </w:p>
    <w:p w14:paraId="2218ECC8">
      <w:pPr>
        <w:spacing w:before="113" w:line="219" w:lineRule="auto"/>
        <w:ind w:left="114"/>
        <w:outlineLvl w:val="3"/>
        <w:rPr>
          <w:rFonts w:ascii="宋体" w:hAnsi="宋体" w:eastAsia="宋体" w:cs="宋体"/>
          <w:sz w:val="28"/>
          <w:szCs w:val="28"/>
        </w:rPr>
      </w:pPr>
      <w:r>
        <w:rPr>
          <w:rFonts w:ascii="Times New Roman" w:hAnsi="Times New Roman" w:eastAsia="Times New Roman" w:cs="Times New Roman"/>
          <w:b/>
          <w:bCs/>
          <w:spacing w:val="-9"/>
          <w:sz w:val="28"/>
          <w:szCs w:val="28"/>
        </w:rPr>
        <w:t>2</w:t>
      </w:r>
      <w:r>
        <w:rPr>
          <w:rFonts w:ascii="Times New Roman" w:hAnsi="Times New Roman" w:eastAsia="Times New Roman" w:cs="Times New Roman"/>
          <w:b/>
          <w:bCs/>
          <w:spacing w:val="-8"/>
          <w:sz w:val="28"/>
          <w:szCs w:val="28"/>
        </w:rPr>
        <w:t>.6.1.4</w:t>
      </w:r>
      <w:r>
        <w:rPr>
          <w:rFonts w:ascii="Times New Roman" w:hAnsi="Times New Roman" w:eastAsia="Times New Roman" w:cs="Times New Roman"/>
          <w:spacing w:val="-8"/>
          <w:sz w:val="28"/>
          <w:szCs w:val="28"/>
        </w:rPr>
        <w:t xml:space="preserve">  </w:t>
      </w:r>
      <w:r>
        <w:rPr>
          <w:rFonts w:ascii="宋体" w:hAnsi="宋体" w:eastAsia="宋体" w:cs="宋体"/>
          <w:spacing w:val="-8"/>
          <w:sz w:val="28"/>
          <w:szCs w:val="28"/>
          <w14:textOutline w14:w="5103" w14:cap="sq" w14:cmpd="sng">
            <w14:solidFill>
              <w14:srgbClr w14:val="000000"/>
            </w14:solidFill>
            <w14:prstDash w14:val="solid"/>
            <w14:bevel/>
          </w14:textOutline>
        </w:rPr>
        <w:t>声环境评价工作等级</w:t>
      </w:r>
    </w:p>
    <w:p w14:paraId="6FC95CBB">
      <w:pPr>
        <w:spacing w:line="264" w:lineRule="auto"/>
        <w:rPr>
          <w:rFonts w:ascii="Arial"/>
          <w:sz w:val="21"/>
        </w:rPr>
      </w:pPr>
    </w:p>
    <w:p w14:paraId="205E33C1">
      <w:pPr>
        <w:spacing w:before="75" w:line="376" w:lineRule="auto"/>
        <w:ind w:left="117" w:right="55" w:firstLine="450"/>
        <w:rPr>
          <w:rFonts w:ascii="宋体" w:hAnsi="宋体" w:eastAsia="宋体" w:cs="宋体"/>
          <w:sz w:val="23"/>
          <w:szCs w:val="23"/>
        </w:rPr>
      </w:pPr>
      <w:r>
        <w:rPr>
          <w:rFonts w:ascii="宋体" w:hAnsi="宋体" w:eastAsia="宋体" w:cs="宋体"/>
          <w:spacing w:val="-6"/>
          <w:sz w:val="23"/>
          <w:szCs w:val="23"/>
        </w:rPr>
        <w:t>根据</w:t>
      </w:r>
      <w:r>
        <w:rPr>
          <w:rFonts w:ascii="宋体" w:hAnsi="宋体" w:eastAsia="宋体" w:cs="宋体"/>
          <w:spacing w:val="-5"/>
          <w:sz w:val="23"/>
          <w:szCs w:val="23"/>
        </w:rPr>
        <w:t>《</w:t>
      </w:r>
      <w:r>
        <w:rPr>
          <w:rFonts w:ascii="宋体" w:hAnsi="宋体" w:eastAsia="宋体" w:cs="宋体"/>
          <w:spacing w:val="-3"/>
          <w:sz w:val="23"/>
          <w:szCs w:val="23"/>
        </w:rPr>
        <w:t>环境影响评价技术导则 声环境》  (</w:t>
      </w:r>
      <w:r>
        <w:rPr>
          <w:rFonts w:ascii="Times New Roman" w:hAnsi="Times New Roman" w:eastAsia="Times New Roman" w:cs="Times New Roman"/>
          <w:spacing w:val="-3"/>
          <w:sz w:val="23"/>
          <w:szCs w:val="23"/>
        </w:rPr>
        <w:t>HJ2.4-2009</w:t>
      </w:r>
      <w:r>
        <w:rPr>
          <w:rFonts w:ascii="宋体" w:hAnsi="宋体" w:eastAsia="宋体" w:cs="宋体"/>
          <w:spacing w:val="-3"/>
          <w:sz w:val="23"/>
          <w:szCs w:val="23"/>
        </w:rPr>
        <w:t>) 规定的声环境影响评价</w:t>
      </w:r>
      <w:r>
        <w:rPr>
          <w:rFonts w:ascii="宋体" w:hAnsi="宋体" w:eastAsia="宋体" w:cs="宋体"/>
          <w:sz w:val="23"/>
          <w:szCs w:val="23"/>
        </w:rPr>
        <w:t xml:space="preserve"> </w:t>
      </w:r>
      <w:r>
        <w:rPr>
          <w:rFonts w:ascii="宋体" w:hAnsi="宋体" w:eastAsia="宋体" w:cs="宋体"/>
          <w:spacing w:val="-6"/>
          <w:sz w:val="23"/>
          <w:szCs w:val="23"/>
        </w:rPr>
        <w:t>工作等级划</w:t>
      </w:r>
      <w:r>
        <w:rPr>
          <w:rFonts w:ascii="宋体" w:hAnsi="宋体" w:eastAsia="宋体" w:cs="宋体"/>
          <w:spacing w:val="-5"/>
          <w:sz w:val="23"/>
          <w:szCs w:val="23"/>
        </w:rPr>
        <w:t>分</w:t>
      </w:r>
      <w:r>
        <w:rPr>
          <w:rFonts w:ascii="宋体" w:hAnsi="宋体" w:eastAsia="宋体" w:cs="宋体"/>
          <w:spacing w:val="-3"/>
          <w:sz w:val="23"/>
          <w:szCs w:val="23"/>
        </w:rPr>
        <w:t>的基本原则：建设项目所处的声环境功能区为</w:t>
      </w:r>
      <w:r>
        <w:rPr>
          <w:rFonts w:ascii="Times New Roman" w:hAnsi="Times New Roman" w:eastAsia="Times New Roman" w:cs="Times New Roman"/>
          <w:spacing w:val="-3"/>
          <w:sz w:val="23"/>
          <w:szCs w:val="23"/>
        </w:rPr>
        <w:t>GB3096</w:t>
      </w:r>
      <w:r>
        <w:rPr>
          <w:rFonts w:ascii="宋体" w:hAnsi="宋体" w:eastAsia="宋体" w:cs="宋体"/>
          <w:spacing w:val="-3"/>
          <w:sz w:val="23"/>
          <w:szCs w:val="23"/>
        </w:rPr>
        <w:t>规定的</w:t>
      </w:r>
      <w:r>
        <w:rPr>
          <w:rFonts w:ascii="Times New Roman" w:hAnsi="Times New Roman" w:eastAsia="Times New Roman" w:cs="Times New Roman"/>
          <w:spacing w:val="-3"/>
          <w:sz w:val="23"/>
          <w:szCs w:val="23"/>
        </w:rPr>
        <w:t>3</w:t>
      </w:r>
      <w:r>
        <w:rPr>
          <w:rFonts w:ascii="宋体" w:hAnsi="宋体" w:eastAsia="宋体" w:cs="宋体"/>
          <w:spacing w:val="-3"/>
          <w:sz w:val="23"/>
          <w:szCs w:val="23"/>
        </w:rPr>
        <w:t>类地区，</w:t>
      </w:r>
      <w:r>
        <w:rPr>
          <w:rFonts w:ascii="宋体" w:hAnsi="宋体" w:eastAsia="宋体" w:cs="宋体"/>
          <w:sz w:val="23"/>
          <w:szCs w:val="23"/>
        </w:rPr>
        <w:t xml:space="preserve"> </w:t>
      </w:r>
      <w:r>
        <w:rPr>
          <w:rFonts w:ascii="宋体" w:hAnsi="宋体" w:eastAsia="宋体" w:cs="宋体"/>
          <w:spacing w:val="34"/>
          <w:sz w:val="23"/>
          <w:szCs w:val="23"/>
        </w:rPr>
        <w:t>或</w:t>
      </w:r>
      <w:r>
        <w:rPr>
          <w:rFonts w:ascii="宋体" w:hAnsi="宋体" w:eastAsia="宋体" w:cs="宋体"/>
          <w:spacing w:val="21"/>
          <w:sz w:val="23"/>
          <w:szCs w:val="23"/>
        </w:rPr>
        <w:t xml:space="preserve">建设项目建设前后评价范围内敏感目标噪声级增高量在 </w:t>
      </w:r>
      <w:r>
        <w:rPr>
          <w:rFonts w:ascii="Times New Roman" w:hAnsi="Times New Roman" w:eastAsia="Times New Roman" w:cs="Times New Roman"/>
          <w:spacing w:val="21"/>
          <w:sz w:val="23"/>
          <w:szCs w:val="23"/>
        </w:rPr>
        <w:t>3</w:t>
      </w:r>
      <w:r>
        <w:rPr>
          <w:rFonts w:ascii="Times New Roman" w:hAnsi="Times New Roman" w:eastAsia="Times New Roman" w:cs="Times New Roman"/>
          <w:sz w:val="23"/>
          <w:szCs w:val="23"/>
        </w:rPr>
        <w:t>dB</w:t>
      </w:r>
      <w:r>
        <w:rPr>
          <w:rFonts w:ascii="Times New Roman" w:hAnsi="Times New Roman" w:eastAsia="Times New Roman" w:cs="Times New Roman"/>
          <w:spacing w:val="21"/>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21"/>
          <w:sz w:val="23"/>
          <w:szCs w:val="23"/>
        </w:rPr>
        <w:t>)</w:t>
      </w:r>
      <w:r>
        <w:rPr>
          <w:rFonts w:ascii="宋体" w:hAnsi="宋体" w:eastAsia="宋体" w:cs="宋体"/>
          <w:spacing w:val="21"/>
          <w:sz w:val="23"/>
          <w:szCs w:val="23"/>
        </w:rPr>
        <w:t>以下</w:t>
      </w:r>
      <w:r>
        <w:rPr>
          <w:rFonts w:ascii="Times New Roman" w:hAnsi="Times New Roman" w:eastAsia="Times New Roman" w:cs="Times New Roman"/>
          <w:spacing w:val="21"/>
          <w:sz w:val="23"/>
          <w:szCs w:val="23"/>
        </w:rPr>
        <w:t>(</w:t>
      </w:r>
      <w:r>
        <w:rPr>
          <w:rFonts w:ascii="宋体" w:hAnsi="宋体" w:eastAsia="宋体" w:cs="宋体"/>
          <w:spacing w:val="21"/>
          <w:sz w:val="23"/>
          <w:szCs w:val="23"/>
        </w:rPr>
        <w:t>不含</w:t>
      </w:r>
      <w:r>
        <w:rPr>
          <w:rFonts w:ascii="宋体" w:hAnsi="宋体" w:eastAsia="宋体" w:cs="宋体"/>
          <w:sz w:val="23"/>
          <w:szCs w:val="23"/>
        </w:rPr>
        <w:t xml:space="preserve"> </w:t>
      </w:r>
      <w:r>
        <w:rPr>
          <w:rFonts w:ascii="Times New Roman" w:hAnsi="Times New Roman" w:eastAsia="Times New Roman" w:cs="Times New Roman"/>
          <w:spacing w:val="-4"/>
          <w:sz w:val="23"/>
          <w:szCs w:val="23"/>
        </w:rPr>
        <w:t>3</w:t>
      </w:r>
      <w:r>
        <w:rPr>
          <w:rFonts w:ascii="Times New Roman" w:hAnsi="Times New Roman" w:eastAsia="Times New Roman" w:cs="Times New Roman"/>
          <w:spacing w:val="-2"/>
          <w:sz w:val="23"/>
          <w:szCs w:val="23"/>
        </w:rPr>
        <w:t>dB</w:t>
      </w:r>
      <w:r>
        <w:rPr>
          <w:rFonts w:ascii="Times New Roman" w:hAnsi="Times New Roman" w:eastAsia="Times New Roman" w:cs="Times New Roman"/>
          <w:spacing w:val="-4"/>
          <w:sz w:val="23"/>
          <w:szCs w:val="23"/>
        </w:rPr>
        <w:t>(</w:t>
      </w:r>
      <w:r>
        <w:rPr>
          <w:rFonts w:ascii="Times New Roman" w:hAnsi="Times New Roman" w:eastAsia="Times New Roman" w:cs="Times New Roman"/>
          <w:spacing w:val="-2"/>
          <w:sz w:val="23"/>
          <w:szCs w:val="23"/>
        </w:rPr>
        <w:t>A</w:t>
      </w:r>
      <w:r>
        <w:rPr>
          <w:rFonts w:ascii="Times New Roman" w:hAnsi="Times New Roman" w:eastAsia="Times New Roman" w:cs="Times New Roman"/>
          <w:spacing w:val="-4"/>
          <w:sz w:val="23"/>
          <w:szCs w:val="23"/>
        </w:rPr>
        <w:t>))</w:t>
      </w:r>
      <w:r>
        <w:rPr>
          <w:rFonts w:ascii="宋体" w:hAnsi="宋体" w:eastAsia="宋体" w:cs="宋体"/>
          <w:spacing w:val="-4"/>
          <w:sz w:val="23"/>
          <w:szCs w:val="23"/>
        </w:rPr>
        <w:t>，或受影响人</w:t>
      </w:r>
      <w:r>
        <w:rPr>
          <w:rFonts w:ascii="宋体" w:hAnsi="宋体" w:eastAsia="宋体" w:cs="宋体"/>
          <w:spacing w:val="-2"/>
          <w:sz w:val="23"/>
          <w:szCs w:val="23"/>
        </w:rPr>
        <w:t>口数量增加较多时，按三级评价。</w:t>
      </w:r>
    </w:p>
    <w:p w14:paraId="4AC13156">
      <w:pPr>
        <w:spacing w:before="171" w:line="388" w:lineRule="auto"/>
        <w:ind w:left="135" w:right="98" w:firstLine="413"/>
        <w:rPr>
          <w:rFonts w:ascii="宋体" w:hAnsi="宋体" w:eastAsia="宋体" w:cs="宋体"/>
          <w:sz w:val="23"/>
          <w:szCs w:val="23"/>
        </w:rPr>
      </w:pPr>
      <w:r>
        <w:rPr>
          <w:rFonts w:ascii="宋体" w:hAnsi="宋体" w:eastAsia="宋体" w:cs="宋体"/>
          <w:spacing w:val="-14"/>
          <w:sz w:val="23"/>
          <w:szCs w:val="23"/>
        </w:rPr>
        <w:t>项</w:t>
      </w:r>
      <w:r>
        <w:rPr>
          <w:rFonts w:ascii="宋体" w:hAnsi="宋体" w:eastAsia="宋体" w:cs="宋体"/>
          <w:spacing w:val="-12"/>
          <w:sz w:val="23"/>
          <w:szCs w:val="23"/>
        </w:rPr>
        <w:t>目所在声环境功能区为</w:t>
      </w:r>
      <w:r>
        <w:rPr>
          <w:rFonts w:ascii="Times New Roman" w:hAnsi="Times New Roman" w:eastAsia="Times New Roman" w:cs="Times New Roman"/>
          <w:spacing w:val="-12"/>
          <w:sz w:val="23"/>
          <w:szCs w:val="23"/>
        </w:rPr>
        <w:t xml:space="preserve">GB3096 </w:t>
      </w:r>
      <w:r>
        <w:rPr>
          <w:rFonts w:ascii="宋体" w:hAnsi="宋体" w:eastAsia="宋体" w:cs="宋体"/>
          <w:spacing w:val="-12"/>
          <w:sz w:val="23"/>
          <w:szCs w:val="23"/>
        </w:rPr>
        <w:t>规定的</w:t>
      </w:r>
      <w:r>
        <w:rPr>
          <w:rFonts w:ascii="Times New Roman" w:hAnsi="Times New Roman" w:eastAsia="Times New Roman" w:cs="Times New Roman"/>
          <w:spacing w:val="-12"/>
          <w:sz w:val="23"/>
          <w:szCs w:val="23"/>
        </w:rPr>
        <w:t xml:space="preserve">3 </w:t>
      </w:r>
      <w:r>
        <w:rPr>
          <w:rFonts w:ascii="宋体" w:hAnsi="宋体" w:eastAsia="宋体" w:cs="宋体"/>
          <w:spacing w:val="-12"/>
          <w:sz w:val="23"/>
          <w:szCs w:val="23"/>
        </w:rPr>
        <w:t>类功能区，项目建设前后噪声级的增加量</w:t>
      </w:r>
      <w:r>
        <w:rPr>
          <w:rFonts w:ascii="宋体" w:hAnsi="宋体" w:eastAsia="宋体" w:cs="宋体"/>
          <w:sz w:val="23"/>
          <w:szCs w:val="23"/>
        </w:rPr>
        <w:t xml:space="preserve"> </w:t>
      </w:r>
      <w:r>
        <w:rPr>
          <w:rFonts w:ascii="宋体" w:hAnsi="宋体" w:eastAsia="宋体" w:cs="宋体"/>
          <w:spacing w:val="-17"/>
          <w:sz w:val="23"/>
          <w:szCs w:val="23"/>
        </w:rPr>
        <w:t>＜</w:t>
      </w:r>
      <w:r>
        <w:rPr>
          <w:rFonts w:ascii="Times New Roman" w:hAnsi="Times New Roman" w:eastAsia="Times New Roman" w:cs="Times New Roman"/>
          <w:spacing w:val="-13"/>
          <w:sz w:val="23"/>
          <w:szCs w:val="23"/>
        </w:rPr>
        <w:t xml:space="preserve">3dB  </w:t>
      </w:r>
      <w:r>
        <w:rPr>
          <w:rFonts w:ascii="宋体" w:hAnsi="宋体" w:eastAsia="宋体" w:cs="宋体"/>
          <w:spacing w:val="-13"/>
          <w:sz w:val="23"/>
          <w:szCs w:val="23"/>
        </w:rPr>
        <w:t>(</w:t>
      </w:r>
      <w:r>
        <w:rPr>
          <w:rFonts w:ascii="Times New Roman" w:hAnsi="Times New Roman" w:eastAsia="Times New Roman" w:cs="Times New Roman"/>
          <w:spacing w:val="-13"/>
          <w:sz w:val="23"/>
          <w:szCs w:val="23"/>
        </w:rPr>
        <w:t>A</w:t>
      </w:r>
      <w:r>
        <w:rPr>
          <w:rFonts w:ascii="宋体" w:hAnsi="宋体" w:eastAsia="宋体" w:cs="宋体"/>
          <w:spacing w:val="-13"/>
          <w:sz w:val="23"/>
          <w:szCs w:val="23"/>
        </w:rPr>
        <w:t>) ，受影响人口变化情况不明显，因此确定声环境影响评价工作等级为三级。</w:t>
      </w:r>
    </w:p>
    <w:p w14:paraId="308AB3A1">
      <w:pPr>
        <w:spacing w:before="140" w:line="226" w:lineRule="auto"/>
        <w:ind w:left="2434"/>
        <w:rPr>
          <w:rFonts w:ascii="宋体" w:hAnsi="宋体" w:eastAsia="宋体" w:cs="宋体"/>
          <w:sz w:val="23"/>
          <w:szCs w:val="23"/>
        </w:rPr>
      </w:pPr>
      <w:r>
        <w:rPr>
          <w:rFonts w:ascii="宋体" w:hAnsi="宋体" w:eastAsia="宋体" w:cs="宋体"/>
          <w:spacing w:val="8"/>
          <w:sz w:val="23"/>
          <w:szCs w:val="23"/>
          <w14:textOutline w14:w="4358" w14:cap="sq" w14:cmpd="sng">
            <w14:solidFill>
              <w14:srgbClr w14:val="000000"/>
            </w14:solidFill>
            <w14:prstDash w14:val="solid"/>
            <w14:bevel/>
          </w14:textOutline>
        </w:rPr>
        <w:t>表</w:t>
      </w:r>
      <w:r>
        <w:rPr>
          <w:rFonts w:ascii="宋体" w:hAnsi="宋体" w:eastAsia="宋体" w:cs="宋体"/>
          <w:spacing w:val="8"/>
          <w:sz w:val="23"/>
          <w:szCs w:val="23"/>
        </w:rPr>
        <w:t xml:space="preserve"> </w:t>
      </w:r>
      <w:r>
        <w:rPr>
          <w:rFonts w:ascii="Times New Roman" w:hAnsi="Times New Roman" w:eastAsia="Times New Roman" w:cs="Times New Roman"/>
          <w:b/>
          <w:bCs/>
          <w:spacing w:val="8"/>
          <w:sz w:val="23"/>
          <w:szCs w:val="23"/>
        </w:rPr>
        <w:t>2-</w:t>
      </w:r>
      <w:r>
        <w:rPr>
          <w:rFonts w:ascii="Times New Roman" w:hAnsi="Times New Roman" w:eastAsia="Times New Roman" w:cs="Times New Roman"/>
          <w:b/>
          <w:bCs/>
          <w:spacing w:val="5"/>
          <w:sz w:val="23"/>
          <w:szCs w:val="23"/>
        </w:rPr>
        <w:t>2</w:t>
      </w:r>
      <w:r>
        <w:rPr>
          <w:rFonts w:ascii="Times New Roman" w:hAnsi="Times New Roman" w:eastAsia="Times New Roman" w:cs="Times New Roman"/>
          <w:b/>
          <w:bCs/>
          <w:spacing w:val="4"/>
          <w:sz w:val="23"/>
          <w:szCs w:val="23"/>
        </w:rPr>
        <w:t>1</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声环境评价工作等级判断表</w:t>
      </w:r>
    </w:p>
    <w:p w14:paraId="52522F2D">
      <w:pPr>
        <w:spacing w:line="19" w:lineRule="exact"/>
      </w:pPr>
    </w:p>
    <w:tbl>
      <w:tblPr>
        <w:tblStyle w:val="4"/>
        <w:tblW w:w="852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2"/>
        <w:gridCol w:w="2842"/>
        <w:gridCol w:w="2720"/>
        <w:gridCol w:w="1387"/>
      </w:tblGrid>
      <w:tr w14:paraId="238502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trPr>
        <w:tc>
          <w:tcPr>
            <w:tcW w:w="1572" w:type="dxa"/>
            <w:tcBorders>
              <w:left w:val="nil"/>
            </w:tcBorders>
            <w:vAlign w:val="top"/>
          </w:tcPr>
          <w:p w14:paraId="36B2E294">
            <w:pPr>
              <w:spacing w:before="86" w:line="229" w:lineRule="auto"/>
              <w:ind w:left="484"/>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功能</w:t>
            </w:r>
            <w:r>
              <w:rPr>
                <w:rFonts w:ascii="宋体" w:hAnsi="宋体" w:eastAsia="宋体" w:cs="宋体"/>
                <w:spacing w:val="5"/>
                <w:sz w:val="20"/>
                <w:szCs w:val="20"/>
                <w14:textOutline w14:w="3795" w14:cap="sq" w14:cmpd="sng">
                  <w14:solidFill>
                    <w14:srgbClr w14:val="000000"/>
                  </w14:solidFill>
                  <w14:prstDash w14:val="solid"/>
                  <w14:bevel/>
                </w14:textOutline>
              </w:rPr>
              <w:t>区</w:t>
            </w:r>
          </w:p>
        </w:tc>
        <w:tc>
          <w:tcPr>
            <w:tcW w:w="2842" w:type="dxa"/>
            <w:vAlign w:val="top"/>
          </w:tcPr>
          <w:p w14:paraId="3191BD6F">
            <w:pPr>
              <w:spacing w:before="86" w:line="228" w:lineRule="auto"/>
              <w:ind w:left="279"/>
              <w:rPr>
                <w:rFonts w:ascii="宋体" w:hAnsi="宋体" w:eastAsia="宋体" w:cs="宋体"/>
                <w:sz w:val="20"/>
                <w:szCs w:val="20"/>
              </w:rPr>
            </w:pPr>
            <w:r>
              <w:rPr>
                <w:rFonts w:ascii="宋体" w:hAnsi="宋体" w:eastAsia="宋体" w:cs="宋体"/>
                <w:spacing w:val="13"/>
                <w:sz w:val="20"/>
                <w:szCs w:val="20"/>
                <w14:textOutline w14:w="3795" w14:cap="sq" w14:cmpd="sng">
                  <w14:solidFill>
                    <w14:srgbClr w14:val="000000"/>
                  </w14:solidFill>
                  <w14:prstDash w14:val="solid"/>
                  <w14:bevel/>
                </w14:textOutline>
              </w:rPr>
              <w:t>建</w:t>
            </w:r>
            <w:r>
              <w:rPr>
                <w:rFonts w:ascii="宋体" w:hAnsi="宋体" w:eastAsia="宋体" w:cs="宋体"/>
                <w:spacing w:val="8"/>
                <w:sz w:val="20"/>
                <w:szCs w:val="20"/>
                <w14:textOutline w14:w="3795" w14:cap="sq" w14:cmpd="sng">
                  <w14:solidFill>
                    <w14:srgbClr w14:val="000000"/>
                  </w14:solidFill>
                  <w14:prstDash w14:val="solid"/>
                  <w14:bevel/>
                </w14:textOutline>
              </w:rPr>
              <w:t>设前后噪声级的增加量</w:t>
            </w:r>
          </w:p>
        </w:tc>
        <w:tc>
          <w:tcPr>
            <w:tcW w:w="2720" w:type="dxa"/>
            <w:vAlign w:val="top"/>
          </w:tcPr>
          <w:p w14:paraId="61EDB255">
            <w:pPr>
              <w:spacing w:before="86" w:line="228" w:lineRule="auto"/>
              <w:ind w:left="429"/>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受</w:t>
            </w:r>
            <w:r>
              <w:rPr>
                <w:rFonts w:ascii="宋体" w:hAnsi="宋体" w:eastAsia="宋体" w:cs="宋体"/>
                <w:spacing w:val="8"/>
                <w:sz w:val="20"/>
                <w:szCs w:val="20"/>
                <w14:textOutline w14:w="3795" w14:cap="sq" w14:cmpd="sng">
                  <w14:solidFill>
                    <w14:srgbClr w14:val="000000"/>
                  </w14:solidFill>
                  <w14:prstDash w14:val="solid"/>
                  <w14:bevel/>
                </w14:textOutline>
              </w:rPr>
              <w:t>影响人口变化情况</w:t>
            </w:r>
          </w:p>
        </w:tc>
        <w:tc>
          <w:tcPr>
            <w:tcW w:w="1387" w:type="dxa"/>
            <w:tcBorders>
              <w:right w:val="nil"/>
            </w:tcBorders>
            <w:vAlign w:val="top"/>
          </w:tcPr>
          <w:p w14:paraId="37819FAE">
            <w:pPr>
              <w:spacing w:before="85" w:line="228" w:lineRule="auto"/>
              <w:ind w:left="280"/>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判</w:t>
            </w:r>
            <w:r>
              <w:rPr>
                <w:rFonts w:ascii="宋体" w:hAnsi="宋体" w:eastAsia="宋体" w:cs="宋体"/>
                <w:spacing w:val="7"/>
                <w:sz w:val="20"/>
                <w:szCs w:val="20"/>
                <w14:textOutline w14:w="3795" w14:cap="sq" w14:cmpd="sng">
                  <w14:solidFill>
                    <w14:srgbClr w14:val="000000"/>
                  </w14:solidFill>
                  <w14:prstDash w14:val="solid"/>
                  <w14:bevel/>
                </w14:textOutline>
              </w:rPr>
              <w:t>定等级</w:t>
            </w:r>
          </w:p>
        </w:tc>
      </w:tr>
      <w:tr w14:paraId="184B42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1572" w:type="dxa"/>
            <w:tcBorders>
              <w:left w:val="nil"/>
            </w:tcBorders>
            <w:vAlign w:val="top"/>
          </w:tcPr>
          <w:p w14:paraId="420F4C8D">
            <w:pPr>
              <w:spacing w:before="63" w:line="228" w:lineRule="auto"/>
              <w:ind w:left="610"/>
              <w:rPr>
                <w:rFonts w:ascii="宋体" w:hAnsi="宋体" w:eastAsia="宋体" w:cs="宋体"/>
                <w:sz w:val="20"/>
                <w:szCs w:val="20"/>
              </w:rPr>
            </w:pPr>
            <w:r>
              <w:rPr>
                <w:rFonts w:ascii="Times New Roman" w:hAnsi="Times New Roman" w:eastAsia="Times New Roman" w:cs="Times New Roman"/>
                <w:spacing w:val="3"/>
                <w:sz w:val="20"/>
                <w:szCs w:val="20"/>
              </w:rPr>
              <w:t xml:space="preserve">3 </w:t>
            </w:r>
            <w:r>
              <w:rPr>
                <w:rFonts w:ascii="宋体" w:hAnsi="宋体" w:eastAsia="宋体" w:cs="宋体"/>
                <w:spacing w:val="2"/>
                <w:sz w:val="20"/>
                <w:szCs w:val="20"/>
              </w:rPr>
              <w:t>类</w:t>
            </w:r>
          </w:p>
        </w:tc>
        <w:tc>
          <w:tcPr>
            <w:tcW w:w="2842" w:type="dxa"/>
            <w:vAlign w:val="top"/>
          </w:tcPr>
          <w:p w14:paraId="0B673674">
            <w:pPr>
              <w:spacing w:before="26" w:line="281" w:lineRule="exact"/>
              <w:ind w:left="880"/>
              <w:rPr>
                <w:rFonts w:ascii="宋体" w:hAnsi="宋体" w:eastAsia="宋体" w:cs="宋体"/>
                <w:sz w:val="20"/>
                <w:szCs w:val="20"/>
              </w:rPr>
            </w:pPr>
            <w:r>
              <w:rPr>
                <w:rFonts w:ascii="宋体" w:hAnsi="宋体" w:eastAsia="宋体" w:cs="宋体"/>
                <w:spacing w:val="4"/>
                <w:position w:val="1"/>
                <w:sz w:val="20"/>
                <w:szCs w:val="20"/>
              </w:rPr>
              <w:t>＜</w:t>
            </w:r>
            <w:r>
              <w:rPr>
                <w:rFonts w:ascii="Times New Roman" w:hAnsi="Times New Roman" w:eastAsia="Times New Roman" w:cs="Times New Roman"/>
                <w:spacing w:val="3"/>
                <w:position w:val="1"/>
                <w:sz w:val="20"/>
                <w:szCs w:val="20"/>
              </w:rPr>
              <w:t>3</w:t>
            </w:r>
            <w:r>
              <w:rPr>
                <w:rFonts w:ascii="Times New Roman" w:hAnsi="Times New Roman" w:eastAsia="Times New Roman" w:cs="Times New Roman"/>
                <w:position w:val="1"/>
                <w:sz w:val="20"/>
                <w:szCs w:val="20"/>
              </w:rPr>
              <w:t>dB</w:t>
            </w:r>
            <w:r>
              <w:rPr>
                <w:rFonts w:ascii="Times New Roman" w:hAnsi="Times New Roman" w:eastAsia="Times New Roman" w:cs="Times New Roman"/>
                <w:spacing w:val="2"/>
                <w:position w:val="1"/>
                <w:sz w:val="20"/>
                <w:szCs w:val="20"/>
              </w:rPr>
              <w:t xml:space="preserve">  </w:t>
            </w:r>
            <w:r>
              <w:rPr>
                <w:rFonts w:ascii="宋体" w:hAnsi="宋体" w:eastAsia="宋体" w:cs="宋体"/>
                <w:spacing w:val="2"/>
                <w:position w:val="1"/>
                <w:sz w:val="20"/>
                <w:szCs w:val="20"/>
              </w:rPr>
              <w:t>(</w:t>
            </w:r>
            <w:r>
              <w:rPr>
                <w:rFonts w:ascii="Times New Roman" w:hAnsi="Times New Roman" w:eastAsia="Times New Roman" w:cs="Times New Roman"/>
                <w:position w:val="1"/>
                <w:sz w:val="20"/>
                <w:szCs w:val="20"/>
              </w:rPr>
              <w:t>A</w:t>
            </w:r>
            <w:r>
              <w:rPr>
                <w:rFonts w:ascii="宋体" w:hAnsi="宋体" w:eastAsia="宋体" w:cs="宋体"/>
                <w:spacing w:val="2"/>
                <w:position w:val="1"/>
                <w:sz w:val="20"/>
                <w:szCs w:val="20"/>
              </w:rPr>
              <w:t>)</w:t>
            </w:r>
          </w:p>
        </w:tc>
        <w:tc>
          <w:tcPr>
            <w:tcW w:w="2720" w:type="dxa"/>
            <w:vAlign w:val="top"/>
          </w:tcPr>
          <w:p w14:paraId="7A4B1833">
            <w:pPr>
              <w:spacing w:before="63" w:line="228" w:lineRule="auto"/>
              <w:ind w:left="1057"/>
              <w:rPr>
                <w:rFonts w:ascii="宋体" w:hAnsi="宋体" w:eastAsia="宋体" w:cs="宋体"/>
                <w:sz w:val="20"/>
                <w:szCs w:val="20"/>
              </w:rPr>
            </w:pPr>
            <w:r>
              <w:rPr>
                <w:rFonts w:ascii="宋体" w:hAnsi="宋体" w:eastAsia="宋体" w:cs="宋体"/>
                <w:spacing w:val="5"/>
                <w:sz w:val="20"/>
                <w:szCs w:val="20"/>
              </w:rPr>
              <w:t>不明显</w:t>
            </w:r>
          </w:p>
        </w:tc>
        <w:tc>
          <w:tcPr>
            <w:tcW w:w="1387" w:type="dxa"/>
            <w:tcBorders>
              <w:right w:val="nil"/>
            </w:tcBorders>
            <w:vAlign w:val="top"/>
          </w:tcPr>
          <w:p w14:paraId="30FABE90">
            <w:pPr>
              <w:spacing w:before="64" w:line="230" w:lineRule="auto"/>
              <w:ind w:left="491"/>
              <w:rPr>
                <w:rFonts w:ascii="宋体" w:hAnsi="宋体" w:eastAsia="宋体" w:cs="宋体"/>
                <w:sz w:val="20"/>
                <w:szCs w:val="20"/>
              </w:rPr>
            </w:pPr>
            <w:r>
              <w:rPr>
                <w:rFonts w:ascii="宋体" w:hAnsi="宋体" w:eastAsia="宋体" w:cs="宋体"/>
                <w:spacing w:val="5"/>
                <w:sz w:val="20"/>
                <w:szCs w:val="20"/>
              </w:rPr>
              <w:t>三</w:t>
            </w:r>
            <w:r>
              <w:rPr>
                <w:rFonts w:ascii="宋体" w:hAnsi="宋体" w:eastAsia="宋体" w:cs="宋体"/>
                <w:spacing w:val="4"/>
                <w:sz w:val="20"/>
                <w:szCs w:val="20"/>
              </w:rPr>
              <w:t>级</w:t>
            </w:r>
          </w:p>
        </w:tc>
      </w:tr>
    </w:tbl>
    <w:p w14:paraId="2A6553A4">
      <w:pPr>
        <w:spacing w:before="304" w:line="219" w:lineRule="auto"/>
        <w:ind w:left="114"/>
        <w:outlineLvl w:val="3"/>
        <w:rPr>
          <w:rFonts w:ascii="宋体" w:hAnsi="宋体" w:eastAsia="宋体" w:cs="宋体"/>
          <w:sz w:val="28"/>
          <w:szCs w:val="28"/>
        </w:rPr>
      </w:pPr>
      <w:r>
        <w:rPr>
          <w:rFonts w:ascii="Times New Roman" w:hAnsi="Times New Roman" w:eastAsia="Times New Roman" w:cs="Times New Roman"/>
          <w:b/>
          <w:bCs/>
          <w:spacing w:val="-15"/>
          <w:sz w:val="28"/>
          <w:szCs w:val="28"/>
        </w:rPr>
        <w:t>2</w:t>
      </w:r>
      <w:r>
        <w:rPr>
          <w:rFonts w:ascii="Times New Roman" w:hAnsi="Times New Roman" w:eastAsia="Times New Roman" w:cs="Times New Roman"/>
          <w:b/>
          <w:bCs/>
          <w:spacing w:val="-8"/>
          <w:sz w:val="28"/>
          <w:szCs w:val="28"/>
        </w:rPr>
        <w:t>.6.1.5</w:t>
      </w:r>
      <w:r>
        <w:rPr>
          <w:rFonts w:ascii="Times New Roman" w:hAnsi="Times New Roman" w:eastAsia="Times New Roman" w:cs="Times New Roman"/>
          <w:spacing w:val="-8"/>
          <w:sz w:val="28"/>
          <w:szCs w:val="28"/>
        </w:rPr>
        <w:t xml:space="preserve"> </w:t>
      </w:r>
      <w:r>
        <w:rPr>
          <w:rFonts w:ascii="宋体" w:hAnsi="宋体" w:eastAsia="宋体" w:cs="宋体"/>
          <w:spacing w:val="-8"/>
          <w:sz w:val="28"/>
          <w:szCs w:val="28"/>
          <w14:textOutline w14:w="5103" w14:cap="sq" w14:cmpd="sng">
            <w14:solidFill>
              <w14:srgbClr w14:val="000000"/>
            </w14:solidFill>
            <w14:prstDash w14:val="solid"/>
            <w14:bevel/>
          </w14:textOutline>
        </w:rPr>
        <w:t>土壤环境影响评价等级</w:t>
      </w:r>
    </w:p>
    <w:p w14:paraId="7691D250">
      <w:pPr>
        <w:spacing w:line="269" w:lineRule="auto"/>
        <w:rPr>
          <w:rFonts w:ascii="Arial"/>
          <w:sz w:val="21"/>
        </w:rPr>
      </w:pPr>
    </w:p>
    <w:p w14:paraId="5F6F322C">
      <w:pPr>
        <w:spacing w:before="75" w:line="391" w:lineRule="auto"/>
        <w:ind w:left="116" w:right="110" w:firstLine="452"/>
        <w:rPr>
          <w:rFonts w:ascii="宋体" w:hAnsi="宋体" w:eastAsia="宋体" w:cs="宋体"/>
          <w:sz w:val="23"/>
          <w:szCs w:val="23"/>
        </w:rPr>
      </w:pPr>
      <w:r>
        <w:rPr>
          <w:rFonts w:ascii="宋体" w:hAnsi="宋体" w:eastAsia="宋体" w:cs="宋体"/>
          <w:spacing w:val="-8"/>
          <w:sz w:val="23"/>
          <w:szCs w:val="23"/>
        </w:rPr>
        <w:t>根据《环</w:t>
      </w:r>
      <w:r>
        <w:rPr>
          <w:rFonts w:ascii="宋体" w:hAnsi="宋体" w:eastAsia="宋体" w:cs="宋体"/>
          <w:spacing w:val="-5"/>
          <w:sz w:val="23"/>
          <w:szCs w:val="23"/>
        </w:rPr>
        <w:t>境</w:t>
      </w:r>
      <w:r>
        <w:rPr>
          <w:rFonts w:ascii="宋体" w:hAnsi="宋体" w:eastAsia="宋体" w:cs="宋体"/>
          <w:spacing w:val="-4"/>
          <w:sz w:val="23"/>
          <w:szCs w:val="23"/>
        </w:rPr>
        <w:t>影响评价技术导则 土壤环境 (试行) 》  (</w:t>
      </w:r>
      <w:r>
        <w:rPr>
          <w:rFonts w:ascii="Times New Roman" w:hAnsi="Times New Roman" w:eastAsia="Times New Roman" w:cs="Times New Roman"/>
          <w:spacing w:val="-4"/>
          <w:sz w:val="23"/>
          <w:szCs w:val="23"/>
        </w:rPr>
        <w:t>HJ964-2018</w:t>
      </w:r>
      <w:r>
        <w:rPr>
          <w:rFonts w:ascii="宋体" w:hAnsi="宋体" w:eastAsia="宋体" w:cs="宋体"/>
          <w:spacing w:val="-4"/>
          <w:sz w:val="23"/>
          <w:szCs w:val="23"/>
        </w:rPr>
        <w:t>) 评价工作等</w:t>
      </w:r>
      <w:r>
        <w:rPr>
          <w:rFonts w:ascii="宋体" w:hAnsi="宋体" w:eastAsia="宋体" w:cs="宋体"/>
          <w:sz w:val="23"/>
          <w:szCs w:val="23"/>
        </w:rPr>
        <w:t xml:space="preserve"> </w:t>
      </w:r>
      <w:r>
        <w:rPr>
          <w:rFonts w:ascii="宋体" w:hAnsi="宋体" w:eastAsia="宋体" w:cs="宋体"/>
          <w:spacing w:val="1"/>
          <w:sz w:val="23"/>
          <w:szCs w:val="23"/>
        </w:rPr>
        <w:t>级的划分应依据建设项目土壤环境</w:t>
      </w:r>
      <w:r>
        <w:rPr>
          <w:rFonts w:ascii="宋体" w:hAnsi="宋体" w:eastAsia="宋体" w:cs="宋体"/>
          <w:sz w:val="23"/>
          <w:szCs w:val="23"/>
        </w:rPr>
        <w:t xml:space="preserve">影响评价项目类别、占地规模和土壤环境敏感程 </w:t>
      </w:r>
      <w:r>
        <w:rPr>
          <w:rFonts w:ascii="宋体" w:hAnsi="宋体" w:eastAsia="宋体" w:cs="宋体"/>
          <w:spacing w:val="-4"/>
          <w:sz w:val="23"/>
          <w:szCs w:val="23"/>
        </w:rPr>
        <w:t>度</w:t>
      </w:r>
      <w:r>
        <w:rPr>
          <w:rFonts w:ascii="宋体" w:hAnsi="宋体" w:eastAsia="宋体" w:cs="宋体"/>
          <w:spacing w:val="-2"/>
          <w:sz w:val="23"/>
          <w:szCs w:val="23"/>
        </w:rPr>
        <w:t>分级进行判定。</w:t>
      </w:r>
    </w:p>
    <w:p w14:paraId="0F92127D">
      <w:pPr>
        <w:spacing w:before="147" w:line="227" w:lineRule="auto"/>
        <w:ind w:left="580"/>
        <w:rPr>
          <w:rFonts w:ascii="宋体" w:hAnsi="宋体" w:eastAsia="宋体" w:cs="宋体"/>
          <w:sz w:val="23"/>
          <w:szCs w:val="23"/>
        </w:rPr>
      </w:pPr>
      <w:r>
        <w:rPr>
          <w:rFonts w:ascii="宋体" w:hAnsi="宋体" w:eastAsia="宋体" w:cs="宋体"/>
          <w:spacing w:val="1"/>
          <w:sz w:val="23"/>
          <w:szCs w:val="23"/>
        </w:rPr>
        <w:t>(</w:t>
      </w:r>
      <w:r>
        <w:rPr>
          <w:rFonts w:ascii="Times New Roman" w:hAnsi="Times New Roman" w:eastAsia="Times New Roman" w:cs="Times New Roman"/>
          <w:spacing w:val="1"/>
          <w:sz w:val="23"/>
          <w:szCs w:val="23"/>
        </w:rPr>
        <w:t>2</w:t>
      </w:r>
      <w:r>
        <w:rPr>
          <w:rFonts w:ascii="宋体" w:hAnsi="宋体" w:eastAsia="宋体" w:cs="宋体"/>
          <w:spacing w:val="1"/>
          <w:sz w:val="23"/>
          <w:szCs w:val="23"/>
        </w:rPr>
        <w:t>) 根据《环境影响评价技术导则 土壤环境 (试行</w:t>
      </w:r>
      <w:r>
        <w:rPr>
          <w:rFonts w:ascii="宋体" w:hAnsi="宋体" w:eastAsia="宋体" w:cs="宋体"/>
          <w:sz w:val="23"/>
          <w:szCs w:val="23"/>
        </w:rPr>
        <w:t>) 》  (</w:t>
      </w:r>
      <w:r>
        <w:rPr>
          <w:rFonts w:ascii="Times New Roman" w:hAnsi="Times New Roman" w:eastAsia="Times New Roman" w:cs="Times New Roman"/>
          <w:sz w:val="23"/>
          <w:szCs w:val="23"/>
        </w:rPr>
        <w:t>HJ964-2018</w:t>
      </w:r>
      <w:r>
        <w:rPr>
          <w:rFonts w:ascii="宋体" w:hAnsi="宋体" w:eastAsia="宋体" w:cs="宋体"/>
          <w:sz w:val="23"/>
          <w:szCs w:val="23"/>
        </w:rPr>
        <w:t>) 附录</w:t>
      </w:r>
    </w:p>
    <w:p w14:paraId="39ED66A5">
      <w:pPr>
        <w:spacing w:before="198" w:line="226" w:lineRule="auto"/>
        <w:ind w:left="109"/>
        <w:rPr>
          <w:rFonts w:ascii="宋体" w:hAnsi="宋体" w:eastAsia="宋体" w:cs="宋体"/>
          <w:sz w:val="23"/>
          <w:szCs w:val="23"/>
        </w:rPr>
      </w:pPr>
      <w:r>
        <w:rPr>
          <w:rFonts w:ascii="Times New Roman" w:hAnsi="Times New Roman" w:eastAsia="Times New Roman" w:cs="Times New Roman"/>
          <w:spacing w:val="-4"/>
          <w:sz w:val="23"/>
          <w:szCs w:val="23"/>
        </w:rPr>
        <w:t>A</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中</w:t>
      </w:r>
      <w:r>
        <w:rPr>
          <w:rFonts w:ascii="宋体" w:hAnsi="宋体" w:eastAsia="宋体" w:cs="宋体"/>
          <w:spacing w:val="-7"/>
          <w:sz w:val="23"/>
          <w:szCs w:val="23"/>
        </w:rPr>
        <w:t>土</w:t>
      </w:r>
      <w:r>
        <w:rPr>
          <w:rFonts w:ascii="宋体" w:hAnsi="宋体" w:eastAsia="宋体" w:cs="宋体"/>
          <w:spacing w:val="-4"/>
          <w:sz w:val="23"/>
          <w:szCs w:val="23"/>
        </w:rPr>
        <w:t xml:space="preserve">壤环境影响评价项目类别表，具体见下表 </w:t>
      </w:r>
      <w:r>
        <w:rPr>
          <w:rFonts w:ascii="Times New Roman" w:hAnsi="Times New Roman" w:eastAsia="Times New Roman" w:cs="Times New Roman"/>
          <w:spacing w:val="-4"/>
          <w:sz w:val="23"/>
          <w:szCs w:val="23"/>
        </w:rPr>
        <w:t>2-22</w:t>
      </w:r>
      <w:r>
        <w:rPr>
          <w:rFonts w:ascii="宋体" w:hAnsi="宋体" w:eastAsia="宋体" w:cs="宋体"/>
          <w:spacing w:val="-4"/>
          <w:sz w:val="23"/>
          <w:szCs w:val="23"/>
        </w:rPr>
        <w:t>。</w:t>
      </w:r>
    </w:p>
    <w:p w14:paraId="741C4D01">
      <w:pPr>
        <w:spacing w:line="287" w:lineRule="auto"/>
        <w:rPr>
          <w:rFonts w:ascii="Arial"/>
          <w:sz w:val="21"/>
        </w:rPr>
      </w:pPr>
    </w:p>
    <w:p w14:paraId="06D64B84">
      <w:pPr>
        <w:spacing w:before="75" w:line="226" w:lineRule="auto"/>
        <w:ind w:left="2538"/>
        <w:rPr>
          <w:rFonts w:ascii="宋体" w:hAnsi="宋体" w:eastAsia="宋体" w:cs="宋体"/>
          <w:sz w:val="23"/>
          <w:szCs w:val="23"/>
        </w:rPr>
      </w:pPr>
      <w:r>
        <w:rPr>
          <w:rFonts w:ascii="宋体" w:hAnsi="宋体" w:eastAsia="宋体" w:cs="宋体"/>
          <w:spacing w:val="-2"/>
          <w:sz w:val="23"/>
          <w:szCs w:val="23"/>
          <w14:textOutline w14:w="4358" w14:cap="sq" w14:cmpd="sng">
            <w14:solidFill>
              <w14:srgbClr w14:val="000000"/>
            </w14:solidFill>
            <w14:prstDash w14:val="solid"/>
            <w14:bevel/>
          </w14:textOutline>
        </w:rPr>
        <w:t>表</w:t>
      </w:r>
      <w:r>
        <w:rPr>
          <w:rFonts w:ascii="宋体" w:hAnsi="宋体" w:eastAsia="宋体" w:cs="宋体"/>
          <w:spacing w:val="-2"/>
          <w:sz w:val="23"/>
          <w:szCs w:val="23"/>
        </w:rPr>
        <w:t xml:space="preserve"> </w:t>
      </w:r>
      <w:r>
        <w:rPr>
          <w:rFonts w:ascii="Times New Roman" w:hAnsi="Times New Roman" w:eastAsia="Times New Roman" w:cs="Times New Roman"/>
          <w:b/>
          <w:bCs/>
          <w:spacing w:val="-2"/>
          <w:sz w:val="23"/>
          <w:szCs w:val="23"/>
        </w:rPr>
        <w:t>2-22</w:t>
      </w:r>
      <w:r>
        <w:rPr>
          <w:rFonts w:ascii="Times New Roman" w:hAnsi="Times New Roman" w:eastAsia="Times New Roman" w:cs="Times New Roman"/>
          <w:spacing w:val="-2"/>
          <w:sz w:val="23"/>
          <w:szCs w:val="23"/>
        </w:rPr>
        <w:t xml:space="preserve">       </w:t>
      </w:r>
      <w:r>
        <w:rPr>
          <w:rFonts w:ascii="宋体" w:hAnsi="宋体" w:eastAsia="宋体" w:cs="宋体"/>
          <w:spacing w:val="-1"/>
          <w:sz w:val="23"/>
          <w:szCs w:val="23"/>
          <w14:textOutline w14:w="4358" w14:cap="sq" w14:cmpd="sng">
            <w14:solidFill>
              <w14:srgbClr w14:val="000000"/>
            </w14:solidFill>
            <w14:prstDash w14:val="solid"/>
            <w14:bevel/>
          </w14:textOutline>
        </w:rPr>
        <w:t>土壤环境影响评价项目类别</w:t>
      </w:r>
    </w:p>
    <w:p w14:paraId="4CB13392">
      <w:pPr>
        <w:spacing w:line="21"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4"/>
        <w:gridCol w:w="1305"/>
        <w:gridCol w:w="3116"/>
        <w:gridCol w:w="2194"/>
        <w:gridCol w:w="713"/>
      </w:tblGrid>
      <w:tr w14:paraId="4EC66A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1194" w:type="dxa"/>
            <w:vMerge w:val="restart"/>
            <w:tcBorders>
              <w:left w:val="nil"/>
              <w:bottom w:val="nil"/>
            </w:tcBorders>
            <w:vAlign w:val="top"/>
          </w:tcPr>
          <w:p w14:paraId="07B8D466">
            <w:pPr>
              <w:spacing w:before="251" w:line="228" w:lineRule="auto"/>
              <w:ind w:left="215"/>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行业类</w:t>
            </w:r>
            <w:r>
              <w:rPr>
                <w:rFonts w:ascii="宋体" w:hAnsi="宋体" w:eastAsia="宋体" w:cs="宋体"/>
                <w:spacing w:val="-1"/>
                <w:sz w:val="20"/>
                <w:szCs w:val="20"/>
                <w14:textOutline w14:w="3795" w14:cap="sq" w14:cmpd="sng">
                  <w14:solidFill>
                    <w14:srgbClr w14:val="000000"/>
                  </w14:solidFill>
                  <w14:prstDash w14:val="solid"/>
                  <w14:bevel/>
                </w14:textOutline>
              </w:rPr>
              <w:t>别</w:t>
            </w:r>
          </w:p>
        </w:tc>
        <w:tc>
          <w:tcPr>
            <w:tcW w:w="7328" w:type="dxa"/>
            <w:gridSpan w:val="4"/>
            <w:tcBorders>
              <w:right w:val="nil"/>
            </w:tcBorders>
            <w:vAlign w:val="top"/>
          </w:tcPr>
          <w:p w14:paraId="49189AF2">
            <w:pPr>
              <w:spacing w:before="83" w:line="228" w:lineRule="auto"/>
              <w:ind w:left="3278"/>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项目类</w:t>
            </w:r>
            <w:r>
              <w:rPr>
                <w:rFonts w:ascii="宋体" w:hAnsi="宋体" w:eastAsia="宋体" w:cs="宋体"/>
                <w:spacing w:val="-1"/>
                <w:sz w:val="20"/>
                <w:szCs w:val="20"/>
                <w14:textOutline w14:w="3795" w14:cap="sq" w14:cmpd="sng">
                  <w14:solidFill>
                    <w14:srgbClr w14:val="000000"/>
                  </w14:solidFill>
                  <w14:prstDash w14:val="solid"/>
                  <w14:bevel/>
                </w14:textOutline>
              </w:rPr>
              <w:t>别</w:t>
            </w:r>
          </w:p>
        </w:tc>
      </w:tr>
      <w:tr w14:paraId="6B4D8E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194" w:type="dxa"/>
            <w:vMerge w:val="continue"/>
            <w:tcBorders>
              <w:top w:val="nil"/>
              <w:left w:val="nil"/>
            </w:tcBorders>
            <w:vAlign w:val="top"/>
          </w:tcPr>
          <w:p w14:paraId="22C46800">
            <w:pPr>
              <w:rPr>
                <w:rFonts w:ascii="Arial"/>
                <w:sz w:val="21"/>
              </w:rPr>
            </w:pPr>
          </w:p>
        </w:tc>
        <w:tc>
          <w:tcPr>
            <w:tcW w:w="1305" w:type="dxa"/>
            <w:vAlign w:val="top"/>
          </w:tcPr>
          <w:p w14:paraId="6D6721FE">
            <w:pPr>
              <w:spacing w:before="61" w:line="228" w:lineRule="auto"/>
              <w:ind w:left="516"/>
              <w:rPr>
                <w:rFonts w:ascii="宋体" w:hAnsi="宋体" w:eastAsia="宋体" w:cs="宋体"/>
                <w:sz w:val="20"/>
                <w:szCs w:val="20"/>
              </w:rPr>
            </w:pPr>
            <w:r>
              <w:rPr>
                <w:rFonts w:ascii="Times New Roman" w:hAnsi="Times New Roman" w:eastAsia="Times New Roman" w:cs="Times New Roman"/>
                <w:b/>
                <w:bCs/>
                <w:spacing w:val="2"/>
                <w:sz w:val="20"/>
                <w:szCs w:val="20"/>
              </w:rPr>
              <w:t>Ⅰ</w:t>
            </w:r>
            <w:r>
              <w:rPr>
                <w:rFonts w:ascii="宋体" w:hAnsi="宋体" w:eastAsia="宋体" w:cs="宋体"/>
                <w:spacing w:val="1"/>
                <w:sz w:val="20"/>
                <w:szCs w:val="20"/>
                <w14:textOutline w14:w="3795" w14:cap="sq" w14:cmpd="sng">
                  <w14:solidFill>
                    <w14:srgbClr w14:val="000000"/>
                  </w14:solidFill>
                  <w14:prstDash w14:val="solid"/>
                  <w14:bevel/>
                </w14:textOutline>
              </w:rPr>
              <w:t>类</w:t>
            </w:r>
          </w:p>
        </w:tc>
        <w:tc>
          <w:tcPr>
            <w:tcW w:w="3116" w:type="dxa"/>
            <w:vAlign w:val="top"/>
          </w:tcPr>
          <w:p w14:paraId="66E90C05">
            <w:pPr>
              <w:spacing w:before="61" w:line="228" w:lineRule="auto"/>
              <w:ind w:left="1383"/>
              <w:rPr>
                <w:rFonts w:ascii="宋体" w:hAnsi="宋体" w:eastAsia="宋体" w:cs="宋体"/>
                <w:sz w:val="20"/>
                <w:szCs w:val="20"/>
              </w:rPr>
            </w:pPr>
            <w:r>
              <w:rPr>
                <w:rFonts w:ascii="Times New Roman" w:hAnsi="Times New Roman" w:eastAsia="Times New Roman" w:cs="Times New Roman"/>
                <w:b/>
                <w:bCs/>
                <w:spacing w:val="3"/>
                <w:sz w:val="20"/>
                <w:szCs w:val="20"/>
              </w:rPr>
              <w:t>Ⅱ</w:t>
            </w:r>
            <w:r>
              <w:rPr>
                <w:rFonts w:ascii="宋体" w:hAnsi="宋体" w:eastAsia="宋体" w:cs="宋体"/>
                <w:spacing w:val="2"/>
                <w:sz w:val="20"/>
                <w:szCs w:val="20"/>
                <w14:textOutline w14:w="3795" w14:cap="sq" w14:cmpd="sng">
                  <w14:solidFill>
                    <w14:srgbClr w14:val="000000"/>
                  </w14:solidFill>
                  <w14:prstDash w14:val="solid"/>
                  <w14:bevel/>
                </w14:textOutline>
              </w:rPr>
              <w:t>类</w:t>
            </w:r>
          </w:p>
        </w:tc>
        <w:tc>
          <w:tcPr>
            <w:tcW w:w="2194" w:type="dxa"/>
            <w:vAlign w:val="top"/>
          </w:tcPr>
          <w:p w14:paraId="298981EF">
            <w:pPr>
              <w:spacing w:before="61" w:line="228" w:lineRule="auto"/>
              <w:ind w:left="883"/>
              <w:rPr>
                <w:rFonts w:ascii="宋体" w:hAnsi="宋体" w:eastAsia="宋体" w:cs="宋体"/>
                <w:sz w:val="20"/>
                <w:szCs w:val="20"/>
              </w:rPr>
            </w:pPr>
            <w:r>
              <w:rPr>
                <w:rFonts w:ascii="Times New Roman" w:hAnsi="Times New Roman" w:eastAsia="Times New Roman" w:cs="Times New Roman"/>
                <w:b/>
                <w:bCs/>
                <w:spacing w:val="5"/>
                <w:sz w:val="20"/>
                <w:szCs w:val="20"/>
              </w:rPr>
              <w:t>Ⅲ</w:t>
            </w:r>
            <w:r>
              <w:rPr>
                <w:rFonts w:ascii="宋体" w:hAnsi="宋体" w:eastAsia="宋体" w:cs="宋体"/>
                <w:spacing w:val="4"/>
                <w:sz w:val="20"/>
                <w:szCs w:val="20"/>
                <w14:textOutline w14:w="3795" w14:cap="sq" w14:cmpd="sng">
                  <w14:solidFill>
                    <w14:srgbClr w14:val="000000"/>
                  </w14:solidFill>
                  <w14:prstDash w14:val="solid"/>
                  <w14:bevel/>
                </w14:textOutline>
              </w:rPr>
              <w:t>类</w:t>
            </w:r>
          </w:p>
        </w:tc>
        <w:tc>
          <w:tcPr>
            <w:tcW w:w="713" w:type="dxa"/>
            <w:tcBorders>
              <w:right w:val="nil"/>
            </w:tcBorders>
            <w:vAlign w:val="top"/>
          </w:tcPr>
          <w:p w14:paraId="4C6CA4B5">
            <w:pPr>
              <w:spacing w:before="61" w:line="228" w:lineRule="auto"/>
              <w:ind w:left="146"/>
              <w:rPr>
                <w:rFonts w:ascii="宋体" w:hAnsi="宋体" w:eastAsia="宋体" w:cs="宋体"/>
                <w:sz w:val="20"/>
                <w:szCs w:val="20"/>
              </w:rPr>
            </w:pPr>
            <w:r>
              <w:rPr>
                <w:rFonts w:ascii="Times New Roman" w:hAnsi="Times New Roman" w:eastAsia="Times New Roman" w:cs="Times New Roman"/>
                <w:b/>
                <w:bCs/>
                <w:spacing w:val="4"/>
                <w:sz w:val="20"/>
                <w:szCs w:val="20"/>
              </w:rPr>
              <w:t>Ⅳ</w:t>
            </w:r>
            <w:r>
              <w:rPr>
                <w:rFonts w:ascii="宋体" w:hAnsi="宋体" w:eastAsia="宋体" w:cs="宋体"/>
                <w:spacing w:val="3"/>
                <w:sz w:val="20"/>
                <w:szCs w:val="20"/>
                <w14:textOutline w14:w="3795" w14:cap="sq" w14:cmpd="sng">
                  <w14:solidFill>
                    <w14:srgbClr w14:val="000000"/>
                  </w14:solidFill>
                  <w14:prstDash w14:val="solid"/>
                  <w14:bevel/>
                </w14:textOutline>
              </w:rPr>
              <w:t>类</w:t>
            </w:r>
          </w:p>
        </w:tc>
      </w:tr>
      <w:tr w14:paraId="029094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1" w:hRule="atLeast"/>
        </w:trPr>
        <w:tc>
          <w:tcPr>
            <w:tcW w:w="1194" w:type="dxa"/>
            <w:tcBorders>
              <w:left w:val="nil"/>
            </w:tcBorders>
            <w:vAlign w:val="top"/>
          </w:tcPr>
          <w:p w14:paraId="779A0191">
            <w:pPr>
              <w:spacing w:line="266" w:lineRule="auto"/>
              <w:rPr>
                <w:rFonts w:ascii="Arial"/>
                <w:sz w:val="21"/>
              </w:rPr>
            </w:pPr>
          </w:p>
          <w:p w14:paraId="0DB7E5ED">
            <w:pPr>
              <w:spacing w:before="65" w:line="265" w:lineRule="auto"/>
              <w:ind w:left="119" w:right="87" w:hanging="3"/>
              <w:rPr>
                <w:rFonts w:ascii="宋体" w:hAnsi="宋体" w:eastAsia="宋体" w:cs="宋体"/>
                <w:sz w:val="20"/>
                <w:szCs w:val="20"/>
              </w:rPr>
            </w:pPr>
            <w:r>
              <w:rPr>
                <w:rFonts w:ascii="宋体" w:hAnsi="宋体" w:eastAsia="宋体" w:cs="宋体"/>
                <w:spacing w:val="-4"/>
                <w:sz w:val="20"/>
                <w:szCs w:val="20"/>
              </w:rPr>
              <w:t>环</w:t>
            </w:r>
            <w:r>
              <w:rPr>
                <w:rFonts w:ascii="宋体" w:hAnsi="宋体" w:eastAsia="宋体" w:cs="宋体"/>
                <w:spacing w:val="-2"/>
                <w:sz w:val="20"/>
                <w:szCs w:val="20"/>
              </w:rPr>
              <w:t>境和公共</w:t>
            </w:r>
            <w:r>
              <w:rPr>
                <w:rFonts w:ascii="宋体" w:hAnsi="宋体" w:eastAsia="宋体" w:cs="宋体"/>
                <w:sz w:val="20"/>
                <w:szCs w:val="20"/>
              </w:rPr>
              <w:t xml:space="preserve"> </w:t>
            </w:r>
            <w:r>
              <w:rPr>
                <w:rFonts w:ascii="宋体" w:hAnsi="宋体" w:eastAsia="宋体" w:cs="宋体"/>
                <w:spacing w:val="-4"/>
                <w:sz w:val="20"/>
                <w:szCs w:val="20"/>
              </w:rPr>
              <w:t>设</w:t>
            </w:r>
            <w:r>
              <w:rPr>
                <w:rFonts w:ascii="宋体" w:hAnsi="宋体" w:eastAsia="宋体" w:cs="宋体"/>
                <w:spacing w:val="-3"/>
                <w:sz w:val="20"/>
                <w:szCs w:val="20"/>
              </w:rPr>
              <w:t>施管理业</w:t>
            </w:r>
          </w:p>
        </w:tc>
        <w:tc>
          <w:tcPr>
            <w:tcW w:w="1305" w:type="dxa"/>
            <w:vAlign w:val="top"/>
          </w:tcPr>
          <w:p w14:paraId="2A2568BE">
            <w:pPr>
              <w:spacing w:line="267" w:lineRule="auto"/>
              <w:rPr>
                <w:rFonts w:ascii="Arial"/>
                <w:sz w:val="21"/>
              </w:rPr>
            </w:pPr>
          </w:p>
          <w:p w14:paraId="00D7D08C">
            <w:pPr>
              <w:spacing w:before="65" w:line="266" w:lineRule="auto"/>
              <w:ind w:left="362" w:right="45" w:hanging="291"/>
              <w:rPr>
                <w:rFonts w:ascii="宋体" w:hAnsi="宋体" w:eastAsia="宋体" w:cs="宋体"/>
                <w:sz w:val="20"/>
                <w:szCs w:val="20"/>
              </w:rPr>
            </w:pPr>
            <w:r>
              <w:rPr>
                <w:rFonts w:ascii="宋体" w:hAnsi="宋体" w:eastAsia="宋体" w:cs="宋体"/>
                <w:spacing w:val="-3"/>
                <w:sz w:val="20"/>
                <w:szCs w:val="20"/>
              </w:rPr>
              <w:t>危险废物利用</w:t>
            </w:r>
            <w:r>
              <w:rPr>
                <w:rFonts w:ascii="宋体" w:hAnsi="宋体" w:eastAsia="宋体" w:cs="宋体"/>
                <w:sz w:val="20"/>
                <w:szCs w:val="20"/>
              </w:rPr>
              <w:t xml:space="preserve"> </w:t>
            </w:r>
            <w:r>
              <w:rPr>
                <w:rFonts w:ascii="宋体" w:hAnsi="宋体" w:eastAsia="宋体" w:cs="宋体"/>
                <w:spacing w:val="-1"/>
                <w:sz w:val="20"/>
                <w:szCs w:val="20"/>
              </w:rPr>
              <w:t>及处</w:t>
            </w:r>
            <w:r>
              <w:rPr>
                <w:rFonts w:ascii="宋体" w:hAnsi="宋体" w:eastAsia="宋体" w:cs="宋体"/>
                <w:sz w:val="20"/>
                <w:szCs w:val="20"/>
              </w:rPr>
              <w:t>置</w:t>
            </w:r>
          </w:p>
        </w:tc>
        <w:tc>
          <w:tcPr>
            <w:tcW w:w="3116" w:type="dxa"/>
            <w:vAlign w:val="top"/>
          </w:tcPr>
          <w:p w14:paraId="30703E17">
            <w:pPr>
              <w:spacing w:before="196" w:line="227" w:lineRule="auto"/>
              <w:ind w:left="92"/>
              <w:rPr>
                <w:rFonts w:ascii="宋体" w:hAnsi="宋体" w:eastAsia="宋体" w:cs="宋体"/>
                <w:sz w:val="20"/>
                <w:szCs w:val="20"/>
              </w:rPr>
            </w:pPr>
            <w:r>
              <w:rPr>
                <w:rFonts w:ascii="宋体" w:hAnsi="宋体" w:eastAsia="宋体" w:cs="宋体"/>
                <w:spacing w:val="-4"/>
                <w:sz w:val="20"/>
                <w:szCs w:val="20"/>
              </w:rPr>
              <w:t>采取填埋和</w:t>
            </w:r>
            <w:r>
              <w:rPr>
                <w:rFonts w:ascii="宋体" w:hAnsi="宋体" w:eastAsia="宋体" w:cs="宋体"/>
                <w:spacing w:val="-2"/>
                <w:sz w:val="20"/>
                <w:szCs w:val="20"/>
              </w:rPr>
              <w:t>焚烧方式的一般工业固</w:t>
            </w:r>
          </w:p>
          <w:p w14:paraId="3D19A501">
            <w:pPr>
              <w:spacing w:before="25" w:line="228" w:lineRule="auto"/>
              <w:ind w:left="33"/>
              <w:rPr>
                <w:rFonts w:ascii="宋体" w:hAnsi="宋体" w:eastAsia="宋体" w:cs="宋体"/>
                <w:sz w:val="20"/>
                <w:szCs w:val="20"/>
              </w:rPr>
            </w:pPr>
            <w:r>
              <w:rPr>
                <w:rFonts w:ascii="宋体" w:hAnsi="宋体" w:eastAsia="宋体" w:cs="宋体"/>
                <w:spacing w:val="-14"/>
                <w:sz w:val="20"/>
                <w:szCs w:val="20"/>
              </w:rPr>
              <w:t>体</w:t>
            </w:r>
            <w:r>
              <w:rPr>
                <w:rFonts w:ascii="宋体" w:hAnsi="宋体" w:eastAsia="宋体" w:cs="宋体"/>
                <w:spacing w:val="-12"/>
                <w:sz w:val="20"/>
                <w:szCs w:val="20"/>
              </w:rPr>
              <w:t>废</w:t>
            </w:r>
            <w:r>
              <w:rPr>
                <w:rFonts w:ascii="宋体" w:hAnsi="宋体" w:eastAsia="宋体" w:cs="宋体"/>
                <w:spacing w:val="-7"/>
                <w:sz w:val="20"/>
                <w:szCs w:val="20"/>
              </w:rPr>
              <w:t>物处置及综合利用；城镇生活垃</w:t>
            </w:r>
          </w:p>
          <w:p w14:paraId="64343EA9">
            <w:pPr>
              <w:spacing w:before="25" w:line="228" w:lineRule="auto"/>
              <w:ind w:left="193"/>
              <w:rPr>
                <w:rFonts w:ascii="宋体" w:hAnsi="宋体" w:eastAsia="宋体" w:cs="宋体"/>
                <w:sz w:val="20"/>
                <w:szCs w:val="20"/>
              </w:rPr>
            </w:pPr>
            <w:r>
              <w:rPr>
                <w:rFonts w:ascii="宋体" w:hAnsi="宋体" w:eastAsia="宋体" w:cs="宋体"/>
                <w:spacing w:val="-4"/>
                <w:sz w:val="20"/>
                <w:szCs w:val="20"/>
              </w:rPr>
              <w:t>圾 (</w:t>
            </w:r>
            <w:r>
              <w:rPr>
                <w:rFonts w:ascii="宋体" w:hAnsi="宋体" w:eastAsia="宋体" w:cs="宋体"/>
                <w:spacing w:val="-3"/>
                <w:sz w:val="20"/>
                <w:szCs w:val="20"/>
              </w:rPr>
              <w:t>不</w:t>
            </w:r>
            <w:r>
              <w:rPr>
                <w:rFonts w:ascii="宋体" w:hAnsi="宋体" w:eastAsia="宋体" w:cs="宋体"/>
                <w:spacing w:val="-2"/>
                <w:sz w:val="20"/>
                <w:szCs w:val="20"/>
              </w:rPr>
              <w:t>含餐厨废弃物) 集中处置</w:t>
            </w:r>
          </w:p>
        </w:tc>
        <w:tc>
          <w:tcPr>
            <w:tcW w:w="2194" w:type="dxa"/>
            <w:vAlign w:val="top"/>
          </w:tcPr>
          <w:p w14:paraId="5934FC3F">
            <w:pPr>
              <w:spacing w:before="62" w:line="228" w:lineRule="auto"/>
              <w:ind w:left="125"/>
              <w:rPr>
                <w:rFonts w:ascii="宋体" w:hAnsi="宋体" w:eastAsia="宋体" w:cs="宋体"/>
                <w:sz w:val="20"/>
                <w:szCs w:val="20"/>
              </w:rPr>
            </w:pPr>
            <w:r>
              <w:rPr>
                <w:rFonts w:ascii="宋体" w:hAnsi="宋体" w:eastAsia="宋体" w:cs="宋体"/>
                <w:spacing w:val="-3"/>
                <w:sz w:val="20"/>
                <w:szCs w:val="20"/>
              </w:rPr>
              <w:t>一般工业固体废物处</w:t>
            </w:r>
            <w:r>
              <w:rPr>
                <w:rFonts w:ascii="宋体" w:hAnsi="宋体" w:eastAsia="宋体" w:cs="宋体"/>
                <w:spacing w:val="-2"/>
                <w:sz w:val="20"/>
                <w:szCs w:val="20"/>
              </w:rPr>
              <w:t>置</w:t>
            </w:r>
          </w:p>
          <w:p w14:paraId="3F3E1987">
            <w:pPr>
              <w:spacing w:before="23" w:line="227" w:lineRule="auto"/>
              <w:ind w:left="32"/>
              <w:rPr>
                <w:rFonts w:ascii="宋体" w:hAnsi="宋体" w:eastAsia="宋体" w:cs="宋体"/>
                <w:sz w:val="20"/>
                <w:szCs w:val="20"/>
              </w:rPr>
            </w:pPr>
            <w:r>
              <w:rPr>
                <w:rFonts w:ascii="宋体" w:hAnsi="宋体" w:eastAsia="宋体" w:cs="宋体"/>
                <w:spacing w:val="-6"/>
                <w:sz w:val="20"/>
                <w:szCs w:val="20"/>
              </w:rPr>
              <w:t>及综</w:t>
            </w:r>
            <w:r>
              <w:rPr>
                <w:rFonts w:ascii="宋体" w:hAnsi="宋体" w:eastAsia="宋体" w:cs="宋体"/>
                <w:spacing w:val="-5"/>
                <w:sz w:val="20"/>
                <w:szCs w:val="20"/>
              </w:rPr>
              <w:t>合</w:t>
            </w:r>
            <w:r>
              <w:rPr>
                <w:rFonts w:ascii="宋体" w:hAnsi="宋体" w:eastAsia="宋体" w:cs="宋体"/>
                <w:spacing w:val="-3"/>
                <w:sz w:val="20"/>
                <w:szCs w:val="20"/>
              </w:rPr>
              <w:t>利用 (除采取填埋</w:t>
            </w:r>
          </w:p>
          <w:p w14:paraId="33C83B94">
            <w:pPr>
              <w:spacing w:before="25" w:line="227" w:lineRule="auto"/>
              <w:ind w:left="33"/>
              <w:rPr>
                <w:rFonts w:ascii="宋体" w:hAnsi="宋体" w:eastAsia="宋体" w:cs="宋体"/>
                <w:sz w:val="20"/>
                <w:szCs w:val="20"/>
              </w:rPr>
            </w:pPr>
            <w:r>
              <w:rPr>
                <w:rFonts w:ascii="宋体" w:hAnsi="宋体" w:eastAsia="宋体" w:cs="宋体"/>
                <w:spacing w:val="-5"/>
                <w:sz w:val="20"/>
                <w:szCs w:val="20"/>
              </w:rPr>
              <w:t>和</w:t>
            </w:r>
            <w:r>
              <w:rPr>
                <w:rFonts w:ascii="宋体" w:hAnsi="宋体" w:eastAsia="宋体" w:cs="宋体"/>
                <w:spacing w:val="-4"/>
                <w:sz w:val="20"/>
                <w:szCs w:val="20"/>
              </w:rPr>
              <w:t>焚烧方式以外的) ；废</w:t>
            </w:r>
          </w:p>
          <w:p w14:paraId="6B18A6EF">
            <w:pPr>
              <w:spacing w:before="27" w:line="229" w:lineRule="auto"/>
              <w:ind w:left="145"/>
              <w:rPr>
                <w:rFonts w:ascii="宋体" w:hAnsi="宋体" w:eastAsia="宋体" w:cs="宋体"/>
                <w:sz w:val="20"/>
                <w:szCs w:val="20"/>
              </w:rPr>
            </w:pPr>
            <w:r>
              <w:rPr>
                <w:rFonts w:ascii="宋体" w:hAnsi="宋体" w:eastAsia="宋体" w:cs="宋体"/>
                <w:spacing w:val="-5"/>
                <w:sz w:val="20"/>
                <w:szCs w:val="20"/>
              </w:rPr>
              <w:t>旧资源加工、再生利</w:t>
            </w:r>
            <w:r>
              <w:rPr>
                <w:rFonts w:ascii="宋体" w:hAnsi="宋体" w:eastAsia="宋体" w:cs="宋体"/>
                <w:spacing w:val="-4"/>
                <w:sz w:val="20"/>
                <w:szCs w:val="20"/>
              </w:rPr>
              <w:t>用</w:t>
            </w:r>
          </w:p>
        </w:tc>
        <w:tc>
          <w:tcPr>
            <w:tcW w:w="713" w:type="dxa"/>
            <w:tcBorders>
              <w:right w:val="nil"/>
            </w:tcBorders>
            <w:vAlign w:val="top"/>
          </w:tcPr>
          <w:p w14:paraId="76AEC9AE">
            <w:pPr>
              <w:spacing w:line="402" w:lineRule="auto"/>
              <w:rPr>
                <w:rFonts w:ascii="Arial"/>
                <w:sz w:val="21"/>
              </w:rPr>
            </w:pPr>
          </w:p>
          <w:p w14:paraId="6F76C4E3">
            <w:pPr>
              <w:spacing w:before="65" w:line="228" w:lineRule="auto"/>
              <w:ind w:left="165"/>
              <w:rPr>
                <w:rFonts w:ascii="宋体" w:hAnsi="宋体" w:eastAsia="宋体" w:cs="宋体"/>
                <w:sz w:val="20"/>
                <w:szCs w:val="20"/>
              </w:rPr>
            </w:pPr>
            <w:r>
              <w:rPr>
                <w:rFonts w:ascii="宋体" w:hAnsi="宋体" w:eastAsia="宋体" w:cs="宋体"/>
                <w:sz w:val="20"/>
                <w:szCs w:val="20"/>
              </w:rPr>
              <w:t>其他</w:t>
            </w:r>
          </w:p>
        </w:tc>
      </w:tr>
    </w:tbl>
    <w:p w14:paraId="5B2FE623">
      <w:pPr>
        <w:spacing w:line="268" w:lineRule="auto"/>
        <w:rPr>
          <w:rFonts w:ascii="Arial"/>
          <w:sz w:val="21"/>
        </w:rPr>
      </w:pPr>
    </w:p>
    <w:p w14:paraId="2BDFEEF7">
      <w:pPr>
        <w:spacing w:before="76" w:line="395" w:lineRule="auto"/>
        <w:ind w:left="163" w:right="112" w:firstLine="409"/>
        <w:rPr>
          <w:rFonts w:ascii="宋体" w:hAnsi="宋体" w:eastAsia="宋体" w:cs="宋体"/>
          <w:sz w:val="23"/>
          <w:szCs w:val="23"/>
        </w:rPr>
      </w:pPr>
      <w:r>
        <w:rPr>
          <w:rFonts w:ascii="宋体" w:hAnsi="宋体" w:eastAsia="宋体" w:cs="宋体"/>
          <w:spacing w:val="1"/>
          <w:sz w:val="23"/>
          <w:szCs w:val="23"/>
        </w:rPr>
        <w:t>该项目为废塑料编织袋再生利用项目，根据上表可知，该项</w:t>
      </w:r>
      <w:r>
        <w:rPr>
          <w:rFonts w:ascii="宋体" w:hAnsi="宋体" w:eastAsia="宋体" w:cs="宋体"/>
          <w:sz w:val="23"/>
          <w:szCs w:val="23"/>
        </w:rPr>
        <w:t>目属于</w:t>
      </w:r>
      <w:r>
        <w:rPr>
          <w:rFonts w:ascii="Times New Roman" w:hAnsi="Times New Roman" w:eastAsia="Times New Roman" w:cs="Times New Roman"/>
          <w:sz w:val="23"/>
          <w:szCs w:val="23"/>
        </w:rPr>
        <w:t>Ⅲ</w:t>
      </w:r>
      <w:r>
        <w:rPr>
          <w:rFonts w:ascii="宋体" w:hAnsi="宋体" w:eastAsia="宋体" w:cs="宋体"/>
          <w:sz w:val="23"/>
          <w:szCs w:val="23"/>
        </w:rPr>
        <w:t xml:space="preserve">类建设项 </w:t>
      </w:r>
      <w:r>
        <w:rPr>
          <w:rFonts w:ascii="宋体" w:hAnsi="宋体" w:eastAsia="宋体" w:cs="宋体"/>
          <w:spacing w:val="-24"/>
          <w:sz w:val="23"/>
          <w:szCs w:val="23"/>
        </w:rPr>
        <w:t>目</w:t>
      </w:r>
      <w:r>
        <w:rPr>
          <w:rFonts w:ascii="宋体" w:hAnsi="宋体" w:eastAsia="宋体" w:cs="宋体"/>
          <w:spacing w:val="-22"/>
          <w:sz w:val="23"/>
          <w:szCs w:val="23"/>
        </w:rPr>
        <w:t>。</w:t>
      </w:r>
    </w:p>
    <w:p w14:paraId="75410771">
      <w:pPr>
        <w:spacing w:before="145" w:line="228" w:lineRule="auto"/>
        <w:ind w:left="580"/>
        <w:rPr>
          <w:rFonts w:ascii="宋体" w:hAnsi="宋体" w:eastAsia="宋体" w:cs="宋体"/>
          <w:sz w:val="23"/>
          <w:szCs w:val="23"/>
        </w:rPr>
      </w:pPr>
      <w:r>
        <w:rPr>
          <w:rFonts w:ascii="宋体" w:hAnsi="宋体" w:eastAsia="宋体" w:cs="宋体"/>
          <w:spacing w:val="1"/>
          <w:sz w:val="23"/>
          <w:szCs w:val="23"/>
        </w:rPr>
        <w:t>(</w:t>
      </w:r>
      <w:r>
        <w:rPr>
          <w:rFonts w:ascii="Times New Roman" w:hAnsi="Times New Roman" w:eastAsia="Times New Roman" w:cs="Times New Roman"/>
          <w:spacing w:val="1"/>
          <w:sz w:val="23"/>
          <w:szCs w:val="23"/>
        </w:rPr>
        <w:t>2</w:t>
      </w:r>
      <w:r>
        <w:rPr>
          <w:rFonts w:ascii="宋体" w:hAnsi="宋体" w:eastAsia="宋体" w:cs="宋体"/>
          <w:spacing w:val="1"/>
          <w:sz w:val="23"/>
          <w:szCs w:val="23"/>
        </w:rPr>
        <w:t>) 该项目属于污染影响型，建</w:t>
      </w:r>
      <w:r>
        <w:rPr>
          <w:rFonts w:ascii="宋体" w:hAnsi="宋体" w:eastAsia="宋体" w:cs="宋体"/>
          <w:sz w:val="23"/>
          <w:szCs w:val="23"/>
        </w:rPr>
        <w:t>设项目所在地周边的土壤环境敏感程度分为敏</w:t>
      </w:r>
    </w:p>
    <w:p w14:paraId="68D4F8B2">
      <w:pPr>
        <w:sectPr>
          <w:headerReference r:id="rId72" w:type="default"/>
          <w:footerReference r:id="rId73" w:type="default"/>
          <w:pgSz w:w="11906" w:h="16839"/>
          <w:pgMar w:top="1132" w:right="1691" w:bottom="1156" w:left="1691" w:header="878" w:footer="996" w:gutter="0"/>
          <w:cols w:space="720" w:num="1"/>
        </w:sectPr>
      </w:pPr>
    </w:p>
    <w:p w14:paraId="7A1BFD63">
      <w:pPr>
        <w:spacing w:line="408" w:lineRule="auto"/>
        <w:rPr>
          <w:rFonts w:ascii="Arial"/>
          <w:sz w:val="21"/>
        </w:rPr>
      </w:pPr>
      <w:r>
        <w:pict>
          <v:shape id="_x0000_s1099" o:spid="_x0000_s1099" style="position:absolute;left:0pt;margin-left:90pt;margin-top:57.35pt;height:0.75pt;width:415.3pt;mso-position-horizontal-relative:page;mso-position-vertical-relative:page;z-index:251736064;mso-width-relative:page;mso-height-relative:page;" fillcolor="#000000" filled="t" stroked="f" coordsize="8305,15" o:allowincell="f" path="m0,0l8305,0,8305,14,0,14,0,0xe">
            <v:path/>
            <v:fill on="t" focussize="0,0"/>
            <v:stroke on="f"/>
            <v:imagedata o:title=""/>
            <o:lock v:ext="edit"/>
          </v:shape>
        </w:pict>
      </w:r>
    </w:p>
    <w:p w14:paraId="565FE0C1">
      <w:pPr>
        <w:spacing w:before="75" w:line="232" w:lineRule="auto"/>
        <w:ind w:left="125"/>
        <w:rPr>
          <w:rFonts w:ascii="宋体" w:hAnsi="宋体" w:eastAsia="宋体" w:cs="宋体"/>
          <w:sz w:val="23"/>
          <w:szCs w:val="23"/>
        </w:rPr>
      </w:pPr>
      <w:r>
        <w:rPr>
          <w:rFonts w:ascii="宋体" w:hAnsi="宋体" w:eastAsia="宋体" w:cs="宋体"/>
          <w:spacing w:val="-10"/>
          <w:sz w:val="23"/>
          <w:szCs w:val="23"/>
        </w:rPr>
        <w:t>感</w:t>
      </w:r>
      <w:r>
        <w:rPr>
          <w:rFonts w:ascii="宋体" w:hAnsi="宋体" w:eastAsia="宋体" w:cs="宋体"/>
          <w:spacing w:val="-7"/>
          <w:sz w:val="23"/>
          <w:szCs w:val="23"/>
        </w:rPr>
        <w:t>、</w:t>
      </w:r>
      <w:r>
        <w:rPr>
          <w:rFonts w:ascii="宋体" w:hAnsi="宋体" w:eastAsia="宋体" w:cs="宋体"/>
          <w:spacing w:val="-5"/>
          <w:sz w:val="23"/>
          <w:szCs w:val="23"/>
        </w:rPr>
        <w:t xml:space="preserve">较敏感、不敏感三级，判别依据见表 </w:t>
      </w:r>
      <w:r>
        <w:rPr>
          <w:rFonts w:ascii="Times New Roman" w:hAnsi="Times New Roman" w:eastAsia="Times New Roman" w:cs="Times New Roman"/>
          <w:spacing w:val="-5"/>
          <w:sz w:val="23"/>
          <w:szCs w:val="23"/>
        </w:rPr>
        <w:t>2-23</w:t>
      </w:r>
      <w:r>
        <w:rPr>
          <w:rFonts w:ascii="宋体" w:hAnsi="宋体" w:eastAsia="宋体" w:cs="宋体"/>
          <w:spacing w:val="-5"/>
          <w:sz w:val="23"/>
          <w:szCs w:val="23"/>
        </w:rPr>
        <w:t>。</w:t>
      </w:r>
    </w:p>
    <w:p w14:paraId="6FDC46BD">
      <w:pPr>
        <w:spacing w:line="283" w:lineRule="auto"/>
        <w:rPr>
          <w:rFonts w:ascii="Arial"/>
          <w:sz w:val="21"/>
        </w:rPr>
      </w:pPr>
    </w:p>
    <w:p w14:paraId="3B617424">
      <w:pPr>
        <w:spacing w:before="75" w:line="227" w:lineRule="auto"/>
        <w:ind w:left="2602"/>
        <w:rPr>
          <w:rFonts w:ascii="宋体" w:hAnsi="宋体" w:eastAsia="宋体" w:cs="宋体"/>
          <w:sz w:val="23"/>
          <w:szCs w:val="23"/>
        </w:rPr>
      </w:pPr>
      <w:r>
        <w:rPr>
          <w:rFonts w:ascii="宋体" w:hAnsi="宋体" w:eastAsia="宋体" w:cs="宋体"/>
          <w:spacing w:val="-2"/>
          <w:sz w:val="23"/>
          <w:szCs w:val="23"/>
          <w14:textOutline w14:w="4358" w14:cap="sq" w14:cmpd="sng">
            <w14:solidFill>
              <w14:srgbClr w14:val="000000"/>
            </w14:solidFill>
            <w14:prstDash w14:val="solid"/>
            <w14:bevel/>
          </w14:textOutline>
        </w:rPr>
        <w:t>表</w:t>
      </w:r>
      <w:r>
        <w:rPr>
          <w:rFonts w:ascii="宋体" w:hAnsi="宋体" w:eastAsia="宋体" w:cs="宋体"/>
          <w:spacing w:val="-2"/>
          <w:sz w:val="23"/>
          <w:szCs w:val="23"/>
        </w:rPr>
        <w:t xml:space="preserve"> </w:t>
      </w:r>
      <w:r>
        <w:rPr>
          <w:rFonts w:ascii="Times New Roman" w:hAnsi="Times New Roman" w:eastAsia="Times New Roman" w:cs="Times New Roman"/>
          <w:b/>
          <w:bCs/>
          <w:spacing w:val="-2"/>
          <w:sz w:val="23"/>
          <w:szCs w:val="23"/>
        </w:rPr>
        <w:t>2-23</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14:textOutline w14:w="4358" w14:cap="sq" w14:cmpd="sng">
            <w14:solidFill>
              <w14:srgbClr w14:val="000000"/>
            </w14:solidFill>
            <w14:prstDash w14:val="solid"/>
            <w14:bevel/>
          </w14:textOutline>
        </w:rPr>
        <w:t>污染影响型</w:t>
      </w:r>
      <w:r>
        <w:rPr>
          <w:rFonts w:ascii="宋体" w:hAnsi="宋体" w:eastAsia="宋体" w:cs="宋体"/>
          <w:spacing w:val="-1"/>
          <w:sz w:val="23"/>
          <w:szCs w:val="23"/>
          <w14:textOutline w14:w="4358" w14:cap="sq" w14:cmpd="sng">
            <w14:solidFill>
              <w14:srgbClr w14:val="000000"/>
            </w14:solidFill>
            <w14:prstDash w14:val="solid"/>
            <w14:bevel/>
          </w14:textOutline>
        </w:rPr>
        <w:t>敏感程度分级表</w:t>
      </w:r>
    </w:p>
    <w:p w14:paraId="3821945A">
      <w:pPr>
        <w:spacing w:line="16" w:lineRule="exact"/>
      </w:pPr>
    </w:p>
    <w:tbl>
      <w:tblPr>
        <w:tblStyle w:val="4"/>
        <w:tblW w:w="852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64"/>
        <w:gridCol w:w="7058"/>
      </w:tblGrid>
      <w:tr w14:paraId="58E243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1" w:hRule="atLeast"/>
        </w:trPr>
        <w:tc>
          <w:tcPr>
            <w:tcW w:w="1464" w:type="dxa"/>
            <w:tcBorders>
              <w:left w:val="nil"/>
            </w:tcBorders>
            <w:vAlign w:val="top"/>
          </w:tcPr>
          <w:p w14:paraId="1D0AE572">
            <w:pPr>
              <w:spacing w:before="85" w:line="228" w:lineRule="auto"/>
              <w:ind w:left="347"/>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敏</w:t>
            </w:r>
            <w:r>
              <w:rPr>
                <w:rFonts w:ascii="宋体" w:hAnsi="宋体" w:eastAsia="宋体" w:cs="宋体"/>
                <w:spacing w:val="-1"/>
                <w:sz w:val="20"/>
                <w:szCs w:val="20"/>
                <w14:textOutline w14:w="3795" w14:cap="sq" w14:cmpd="sng">
                  <w14:solidFill>
                    <w14:srgbClr w14:val="000000"/>
                  </w14:solidFill>
                  <w14:prstDash w14:val="solid"/>
                  <w14:bevel/>
                </w14:textOutline>
              </w:rPr>
              <w:t>感程度</w:t>
            </w:r>
          </w:p>
        </w:tc>
        <w:tc>
          <w:tcPr>
            <w:tcW w:w="7058" w:type="dxa"/>
            <w:tcBorders>
              <w:right w:val="nil"/>
            </w:tcBorders>
            <w:vAlign w:val="top"/>
          </w:tcPr>
          <w:p w14:paraId="4AB91DD7">
            <w:pPr>
              <w:spacing w:before="86" w:line="227" w:lineRule="auto"/>
              <w:ind w:left="3140"/>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判别依据</w:t>
            </w:r>
          </w:p>
        </w:tc>
      </w:tr>
      <w:tr w14:paraId="5B5CA5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1464" w:type="dxa"/>
            <w:tcBorders>
              <w:left w:val="nil"/>
            </w:tcBorders>
            <w:vAlign w:val="top"/>
          </w:tcPr>
          <w:p w14:paraId="3229E91B">
            <w:pPr>
              <w:spacing w:before="228" w:line="228" w:lineRule="auto"/>
              <w:ind w:left="544"/>
              <w:rPr>
                <w:rFonts w:ascii="宋体" w:hAnsi="宋体" w:eastAsia="宋体" w:cs="宋体"/>
                <w:sz w:val="20"/>
                <w:szCs w:val="20"/>
              </w:rPr>
            </w:pPr>
            <w:r>
              <w:rPr>
                <w:rFonts w:ascii="宋体" w:hAnsi="宋体" w:eastAsia="宋体" w:cs="宋体"/>
                <w:sz w:val="20"/>
                <w:szCs w:val="20"/>
              </w:rPr>
              <w:t>敏感</w:t>
            </w:r>
          </w:p>
        </w:tc>
        <w:tc>
          <w:tcPr>
            <w:tcW w:w="7058" w:type="dxa"/>
            <w:tcBorders>
              <w:right w:val="nil"/>
            </w:tcBorders>
            <w:vAlign w:val="top"/>
          </w:tcPr>
          <w:p w14:paraId="1838EB3D">
            <w:pPr>
              <w:spacing w:before="63" w:line="268" w:lineRule="auto"/>
              <w:ind w:left="112" w:right="60" w:firstLine="3"/>
              <w:rPr>
                <w:rFonts w:ascii="宋体" w:hAnsi="宋体" w:eastAsia="宋体" w:cs="宋体"/>
                <w:sz w:val="20"/>
                <w:szCs w:val="20"/>
              </w:rPr>
            </w:pPr>
            <w:r>
              <w:rPr>
                <w:rFonts w:ascii="宋体" w:hAnsi="宋体" w:eastAsia="宋体" w:cs="宋体"/>
                <w:spacing w:val="-6"/>
                <w:sz w:val="20"/>
                <w:szCs w:val="20"/>
              </w:rPr>
              <w:t>建设项目周</w:t>
            </w:r>
            <w:r>
              <w:rPr>
                <w:rFonts w:ascii="宋体" w:hAnsi="宋体" w:eastAsia="宋体" w:cs="宋体"/>
                <w:spacing w:val="-5"/>
                <w:sz w:val="20"/>
                <w:szCs w:val="20"/>
              </w:rPr>
              <w:t>边</w:t>
            </w:r>
            <w:r>
              <w:rPr>
                <w:rFonts w:ascii="宋体" w:hAnsi="宋体" w:eastAsia="宋体" w:cs="宋体"/>
                <w:spacing w:val="-3"/>
                <w:sz w:val="20"/>
                <w:szCs w:val="20"/>
              </w:rPr>
              <w:t>存在耕地、园地、牧草地、饮用水水源地或居民区、学校、医院、</w:t>
            </w:r>
            <w:r>
              <w:rPr>
                <w:rFonts w:ascii="宋体" w:hAnsi="宋体" w:eastAsia="宋体" w:cs="宋体"/>
                <w:sz w:val="20"/>
                <w:szCs w:val="20"/>
              </w:rPr>
              <w:t xml:space="preserve"> </w:t>
            </w:r>
            <w:r>
              <w:rPr>
                <w:rFonts w:ascii="宋体" w:hAnsi="宋体" w:eastAsia="宋体" w:cs="宋体"/>
                <w:spacing w:val="-4"/>
                <w:sz w:val="20"/>
                <w:szCs w:val="20"/>
              </w:rPr>
              <w:t>疗养院、养老</w:t>
            </w:r>
            <w:r>
              <w:rPr>
                <w:rFonts w:ascii="宋体" w:hAnsi="宋体" w:eastAsia="宋体" w:cs="宋体"/>
                <w:spacing w:val="-3"/>
                <w:sz w:val="20"/>
                <w:szCs w:val="20"/>
              </w:rPr>
              <w:t>院</w:t>
            </w:r>
            <w:r>
              <w:rPr>
                <w:rFonts w:ascii="宋体" w:hAnsi="宋体" w:eastAsia="宋体" w:cs="宋体"/>
                <w:spacing w:val="-2"/>
                <w:sz w:val="20"/>
                <w:szCs w:val="20"/>
              </w:rPr>
              <w:t>等土壤环境敏感目标。</w:t>
            </w:r>
          </w:p>
        </w:tc>
      </w:tr>
      <w:tr w14:paraId="53B253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1464" w:type="dxa"/>
            <w:tcBorders>
              <w:left w:val="nil"/>
            </w:tcBorders>
            <w:vAlign w:val="top"/>
          </w:tcPr>
          <w:p w14:paraId="1893F427">
            <w:pPr>
              <w:spacing w:before="65" w:line="228" w:lineRule="auto"/>
              <w:ind w:left="444"/>
              <w:rPr>
                <w:rFonts w:ascii="宋体" w:hAnsi="宋体" w:eastAsia="宋体" w:cs="宋体"/>
                <w:sz w:val="20"/>
                <w:szCs w:val="20"/>
              </w:rPr>
            </w:pPr>
            <w:r>
              <w:rPr>
                <w:rFonts w:ascii="宋体" w:hAnsi="宋体" w:eastAsia="宋体" w:cs="宋体"/>
                <w:spacing w:val="-1"/>
                <w:sz w:val="20"/>
                <w:szCs w:val="20"/>
              </w:rPr>
              <w:t>较敏感</w:t>
            </w:r>
          </w:p>
        </w:tc>
        <w:tc>
          <w:tcPr>
            <w:tcW w:w="7058" w:type="dxa"/>
            <w:tcBorders>
              <w:right w:val="nil"/>
            </w:tcBorders>
            <w:vAlign w:val="top"/>
          </w:tcPr>
          <w:p w14:paraId="6CB6833A">
            <w:pPr>
              <w:spacing w:before="65" w:line="228" w:lineRule="auto"/>
              <w:ind w:left="116"/>
              <w:rPr>
                <w:rFonts w:ascii="宋体" w:hAnsi="宋体" w:eastAsia="宋体" w:cs="宋体"/>
                <w:sz w:val="20"/>
                <w:szCs w:val="20"/>
              </w:rPr>
            </w:pPr>
            <w:r>
              <w:rPr>
                <w:rFonts w:ascii="宋体" w:hAnsi="宋体" w:eastAsia="宋体" w:cs="宋体"/>
                <w:spacing w:val="-3"/>
                <w:sz w:val="20"/>
                <w:szCs w:val="20"/>
              </w:rPr>
              <w:t>建设项目周边存在其他土壤环境敏感目标的</w:t>
            </w:r>
          </w:p>
        </w:tc>
      </w:tr>
      <w:tr w14:paraId="3A0019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1464" w:type="dxa"/>
            <w:tcBorders>
              <w:left w:val="nil"/>
            </w:tcBorders>
            <w:vAlign w:val="top"/>
          </w:tcPr>
          <w:p w14:paraId="5472C25A">
            <w:pPr>
              <w:spacing w:before="67" w:line="228" w:lineRule="auto"/>
              <w:ind w:left="448"/>
              <w:rPr>
                <w:rFonts w:ascii="宋体" w:hAnsi="宋体" w:eastAsia="宋体" w:cs="宋体"/>
                <w:sz w:val="20"/>
                <w:szCs w:val="20"/>
              </w:rPr>
            </w:pPr>
            <w:r>
              <w:rPr>
                <w:rFonts w:ascii="宋体" w:hAnsi="宋体" w:eastAsia="宋体" w:cs="宋体"/>
                <w:spacing w:val="-2"/>
                <w:sz w:val="20"/>
                <w:szCs w:val="20"/>
              </w:rPr>
              <w:t>不敏感</w:t>
            </w:r>
          </w:p>
        </w:tc>
        <w:tc>
          <w:tcPr>
            <w:tcW w:w="7058" w:type="dxa"/>
            <w:tcBorders>
              <w:right w:val="nil"/>
            </w:tcBorders>
            <w:vAlign w:val="top"/>
          </w:tcPr>
          <w:p w14:paraId="12C5A61F">
            <w:pPr>
              <w:spacing w:before="67" w:line="228" w:lineRule="auto"/>
              <w:ind w:left="114"/>
              <w:rPr>
                <w:rFonts w:ascii="宋体" w:hAnsi="宋体" w:eastAsia="宋体" w:cs="宋体"/>
                <w:sz w:val="20"/>
                <w:szCs w:val="20"/>
              </w:rPr>
            </w:pPr>
            <w:r>
              <w:rPr>
                <w:rFonts w:ascii="宋体" w:hAnsi="宋体" w:eastAsia="宋体" w:cs="宋体"/>
                <w:spacing w:val="-2"/>
                <w:sz w:val="20"/>
                <w:szCs w:val="20"/>
              </w:rPr>
              <w:t>其他情</w:t>
            </w:r>
            <w:r>
              <w:rPr>
                <w:rFonts w:ascii="宋体" w:hAnsi="宋体" w:eastAsia="宋体" w:cs="宋体"/>
                <w:spacing w:val="-1"/>
                <w:sz w:val="20"/>
                <w:szCs w:val="20"/>
              </w:rPr>
              <w:t>况</w:t>
            </w:r>
          </w:p>
        </w:tc>
      </w:tr>
    </w:tbl>
    <w:p w14:paraId="7DD4E431">
      <w:pPr>
        <w:spacing w:line="269" w:lineRule="auto"/>
        <w:rPr>
          <w:rFonts w:ascii="Arial"/>
          <w:sz w:val="21"/>
        </w:rPr>
      </w:pPr>
    </w:p>
    <w:p w14:paraId="7F56D3EC">
      <w:pPr>
        <w:spacing w:before="74" w:line="227" w:lineRule="auto"/>
        <w:ind w:left="579"/>
        <w:rPr>
          <w:rFonts w:ascii="宋体" w:hAnsi="宋体" w:eastAsia="宋体" w:cs="宋体"/>
          <w:sz w:val="23"/>
          <w:szCs w:val="23"/>
        </w:rPr>
      </w:pPr>
      <w:r>
        <w:rPr>
          <w:rFonts w:ascii="宋体" w:hAnsi="宋体" w:eastAsia="宋体" w:cs="宋体"/>
          <w:spacing w:val="-6"/>
          <w:sz w:val="23"/>
          <w:szCs w:val="23"/>
        </w:rPr>
        <w:t>项</w:t>
      </w:r>
      <w:r>
        <w:rPr>
          <w:rFonts w:ascii="宋体" w:hAnsi="宋体" w:eastAsia="宋体" w:cs="宋体"/>
          <w:spacing w:val="-5"/>
          <w:sz w:val="23"/>
          <w:szCs w:val="23"/>
        </w:rPr>
        <w:t>目</w:t>
      </w:r>
      <w:r>
        <w:rPr>
          <w:rFonts w:ascii="宋体" w:hAnsi="宋体" w:eastAsia="宋体" w:cs="宋体"/>
          <w:spacing w:val="-3"/>
          <w:sz w:val="23"/>
          <w:szCs w:val="23"/>
        </w:rPr>
        <w:t>所在地西侧为旱作耕地，因此确定项目土壤环境敏感程度为敏感。</w:t>
      </w:r>
    </w:p>
    <w:p w14:paraId="511BAEBC">
      <w:pPr>
        <w:spacing w:line="290" w:lineRule="auto"/>
        <w:rPr>
          <w:rFonts w:ascii="Arial"/>
          <w:sz w:val="21"/>
        </w:rPr>
      </w:pPr>
    </w:p>
    <w:p w14:paraId="035E4FBA">
      <w:pPr>
        <w:spacing w:before="75" w:line="390" w:lineRule="auto"/>
        <w:ind w:left="123" w:right="107" w:firstLine="483"/>
        <w:rPr>
          <w:rFonts w:ascii="宋体" w:hAnsi="宋体" w:eastAsia="宋体" w:cs="宋体"/>
          <w:sz w:val="23"/>
          <w:szCs w:val="23"/>
        </w:rPr>
      </w:pPr>
      <w:r>
        <w:rPr>
          <w:rFonts w:ascii="宋体" w:hAnsi="宋体" w:eastAsia="宋体" w:cs="宋体"/>
          <w:spacing w:val="-4"/>
          <w:sz w:val="23"/>
          <w:szCs w:val="23"/>
        </w:rPr>
        <w:t>根</w:t>
      </w:r>
      <w:r>
        <w:rPr>
          <w:rFonts w:ascii="宋体" w:hAnsi="宋体" w:eastAsia="宋体" w:cs="宋体"/>
          <w:spacing w:val="-2"/>
          <w:sz w:val="23"/>
          <w:szCs w:val="23"/>
        </w:rPr>
        <w:t>据《环境影响评价技术导则 土壤环境 (试行) 》(</w:t>
      </w:r>
      <w:r>
        <w:rPr>
          <w:rFonts w:ascii="Times New Roman" w:hAnsi="Times New Roman" w:eastAsia="Times New Roman" w:cs="Times New Roman"/>
          <w:spacing w:val="-2"/>
          <w:sz w:val="23"/>
          <w:szCs w:val="23"/>
        </w:rPr>
        <w:t>HJ964-2018</w:t>
      </w:r>
      <w:r>
        <w:rPr>
          <w:rFonts w:ascii="宋体" w:hAnsi="宋体" w:eastAsia="宋体" w:cs="宋体"/>
          <w:spacing w:val="-2"/>
          <w:sz w:val="23"/>
          <w:szCs w:val="23"/>
        </w:rPr>
        <w:t>) 中</w:t>
      </w:r>
      <w:r>
        <w:rPr>
          <w:rFonts w:ascii="Times New Roman" w:hAnsi="Times New Roman" w:eastAsia="Times New Roman" w:cs="Times New Roman"/>
          <w:spacing w:val="-2"/>
          <w:sz w:val="23"/>
          <w:szCs w:val="23"/>
        </w:rPr>
        <w:t xml:space="preserve">“6.2.2.1 </w:t>
      </w:r>
      <w:r>
        <w:rPr>
          <w:rFonts w:ascii="宋体" w:hAnsi="宋体" w:eastAsia="宋体" w:cs="宋体"/>
          <w:spacing w:val="-2"/>
          <w:sz w:val="23"/>
          <w:szCs w:val="23"/>
        </w:rPr>
        <w:t>将</w:t>
      </w:r>
      <w:r>
        <w:rPr>
          <w:rFonts w:ascii="宋体" w:hAnsi="宋体" w:eastAsia="宋体" w:cs="宋体"/>
          <w:sz w:val="23"/>
          <w:szCs w:val="23"/>
        </w:rPr>
        <w:t xml:space="preserve"> </w:t>
      </w:r>
      <w:r>
        <w:rPr>
          <w:rFonts w:ascii="宋体" w:hAnsi="宋体" w:eastAsia="宋体" w:cs="宋体"/>
          <w:spacing w:val="-6"/>
          <w:sz w:val="23"/>
          <w:szCs w:val="23"/>
        </w:rPr>
        <w:t>建设项目占地规模分为大型 (</w:t>
      </w:r>
      <w:r>
        <w:rPr>
          <w:rFonts w:ascii="Times New Roman" w:hAnsi="Times New Roman" w:eastAsia="Times New Roman" w:cs="Times New Roman"/>
          <w:spacing w:val="-3"/>
          <w:sz w:val="23"/>
          <w:szCs w:val="23"/>
        </w:rPr>
        <w:t>≥50hm</w:t>
      </w:r>
      <w:r>
        <w:rPr>
          <w:rFonts w:ascii="Times New Roman" w:hAnsi="Times New Roman" w:eastAsia="Times New Roman" w:cs="Times New Roman"/>
          <w:spacing w:val="-3"/>
          <w:position w:val="8"/>
          <w:sz w:val="15"/>
          <w:szCs w:val="15"/>
        </w:rPr>
        <w:t xml:space="preserve">2 </w:t>
      </w:r>
      <w:r>
        <w:rPr>
          <w:rFonts w:ascii="宋体" w:hAnsi="宋体" w:eastAsia="宋体" w:cs="宋体"/>
          <w:spacing w:val="-3"/>
          <w:sz w:val="23"/>
          <w:szCs w:val="23"/>
        </w:rPr>
        <w:t>) 、中型 (</w:t>
      </w:r>
      <w:r>
        <w:rPr>
          <w:rFonts w:ascii="Times New Roman" w:hAnsi="Times New Roman" w:eastAsia="Times New Roman" w:cs="Times New Roman"/>
          <w:spacing w:val="-3"/>
          <w:sz w:val="23"/>
          <w:szCs w:val="23"/>
        </w:rPr>
        <w:t>5~50hm</w:t>
      </w:r>
      <w:r>
        <w:rPr>
          <w:rFonts w:ascii="Times New Roman" w:hAnsi="Times New Roman" w:eastAsia="Times New Roman" w:cs="Times New Roman"/>
          <w:spacing w:val="-3"/>
          <w:position w:val="8"/>
          <w:sz w:val="15"/>
          <w:szCs w:val="15"/>
        </w:rPr>
        <w:t xml:space="preserve">2 </w:t>
      </w:r>
      <w:r>
        <w:rPr>
          <w:rFonts w:ascii="宋体" w:hAnsi="宋体" w:eastAsia="宋体" w:cs="宋体"/>
          <w:spacing w:val="-3"/>
          <w:sz w:val="23"/>
          <w:szCs w:val="23"/>
        </w:rPr>
        <w:t>) 、小型 (</w:t>
      </w:r>
      <w:r>
        <w:rPr>
          <w:rFonts w:ascii="Times New Roman" w:hAnsi="Times New Roman" w:eastAsia="Times New Roman" w:cs="Times New Roman"/>
          <w:spacing w:val="-3"/>
          <w:sz w:val="23"/>
          <w:szCs w:val="23"/>
        </w:rPr>
        <w:t>≤5hm</w:t>
      </w:r>
      <w:r>
        <w:rPr>
          <w:rFonts w:ascii="Times New Roman" w:hAnsi="Times New Roman" w:eastAsia="Times New Roman" w:cs="Times New Roman"/>
          <w:spacing w:val="-3"/>
          <w:position w:val="8"/>
          <w:sz w:val="15"/>
          <w:szCs w:val="15"/>
        </w:rPr>
        <w:t xml:space="preserve">2 </w:t>
      </w:r>
      <w:r>
        <w:rPr>
          <w:rFonts w:ascii="宋体" w:hAnsi="宋体" w:eastAsia="宋体" w:cs="宋体"/>
          <w:spacing w:val="-3"/>
          <w:sz w:val="23"/>
          <w:szCs w:val="23"/>
        </w:rPr>
        <w:t>) ，建设</w:t>
      </w:r>
      <w:r>
        <w:rPr>
          <w:rFonts w:ascii="宋体" w:hAnsi="宋体" w:eastAsia="宋体" w:cs="宋体"/>
          <w:sz w:val="23"/>
          <w:szCs w:val="23"/>
        </w:rPr>
        <w:t xml:space="preserve"> </w:t>
      </w:r>
      <w:r>
        <w:rPr>
          <w:rFonts w:ascii="宋体" w:hAnsi="宋体" w:eastAsia="宋体" w:cs="宋体"/>
          <w:spacing w:val="1"/>
          <w:sz w:val="23"/>
          <w:szCs w:val="23"/>
        </w:rPr>
        <w:t>项目占地主要为永久</w:t>
      </w:r>
      <w:r>
        <w:rPr>
          <w:rFonts w:ascii="宋体" w:hAnsi="宋体" w:eastAsia="宋体" w:cs="宋体"/>
          <w:sz w:val="23"/>
          <w:szCs w:val="23"/>
        </w:rPr>
        <w:t>占地。</w:t>
      </w:r>
      <w:r>
        <w:rPr>
          <w:rFonts w:ascii="Times New Roman" w:hAnsi="Times New Roman" w:eastAsia="Times New Roman" w:cs="Times New Roman"/>
          <w:sz w:val="23"/>
          <w:szCs w:val="23"/>
        </w:rPr>
        <w:t>”</w:t>
      </w:r>
      <w:r>
        <w:rPr>
          <w:rFonts w:ascii="宋体" w:hAnsi="宋体" w:eastAsia="宋体" w:cs="宋体"/>
          <w:sz w:val="23"/>
          <w:szCs w:val="23"/>
        </w:rPr>
        <w:t xml:space="preserve">本溪弘福塑业有限公司新建项目占地面积 </w:t>
      </w:r>
      <w:r>
        <w:rPr>
          <w:rFonts w:ascii="Times New Roman" w:hAnsi="Times New Roman" w:eastAsia="Times New Roman" w:cs="Times New Roman"/>
          <w:sz w:val="23"/>
          <w:szCs w:val="23"/>
        </w:rPr>
        <w:t>7000m</w:t>
      </w:r>
      <w:r>
        <w:rPr>
          <w:rFonts w:ascii="Times New Roman" w:hAnsi="Times New Roman" w:eastAsia="Times New Roman" w:cs="Times New Roman"/>
          <w:position w:val="8"/>
          <w:sz w:val="15"/>
          <w:szCs w:val="15"/>
        </w:rPr>
        <w:t xml:space="preserve">2   </w:t>
      </w:r>
      <w:r>
        <w:rPr>
          <w:rFonts w:ascii="宋体" w:hAnsi="宋体" w:eastAsia="宋体" w:cs="宋体"/>
          <w:sz w:val="23"/>
          <w:szCs w:val="23"/>
        </w:rPr>
        <w:t xml:space="preserve">(即 </w:t>
      </w:r>
      <w:r>
        <w:rPr>
          <w:rFonts w:ascii="Times New Roman" w:hAnsi="Times New Roman" w:eastAsia="Times New Roman" w:cs="Times New Roman"/>
          <w:spacing w:val="-8"/>
          <w:sz w:val="23"/>
          <w:szCs w:val="23"/>
        </w:rPr>
        <w:t>0</w:t>
      </w:r>
      <w:r>
        <w:rPr>
          <w:rFonts w:ascii="Times New Roman" w:hAnsi="Times New Roman" w:eastAsia="Times New Roman" w:cs="Times New Roman"/>
          <w:spacing w:val="-4"/>
          <w:sz w:val="23"/>
          <w:szCs w:val="23"/>
        </w:rPr>
        <w:t>.7hm</w:t>
      </w:r>
      <w:r>
        <w:rPr>
          <w:rFonts w:ascii="Times New Roman" w:hAnsi="Times New Roman" w:eastAsia="Times New Roman" w:cs="Times New Roman"/>
          <w:spacing w:val="-4"/>
          <w:position w:val="8"/>
          <w:sz w:val="15"/>
          <w:szCs w:val="15"/>
        </w:rPr>
        <w:t xml:space="preserve">2 </w:t>
      </w:r>
      <w:r>
        <w:rPr>
          <w:rFonts w:ascii="宋体" w:hAnsi="宋体" w:eastAsia="宋体" w:cs="宋体"/>
          <w:spacing w:val="-4"/>
          <w:sz w:val="23"/>
          <w:szCs w:val="23"/>
        </w:rPr>
        <w:t>) ，占地规模属于小型。</w:t>
      </w:r>
    </w:p>
    <w:p w14:paraId="7BA9EBFF">
      <w:pPr>
        <w:spacing w:before="143" w:line="226" w:lineRule="auto"/>
        <w:ind w:left="618"/>
        <w:rPr>
          <w:rFonts w:ascii="宋体" w:hAnsi="宋体" w:eastAsia="宋体" w:cs="宋体"/>
          <w:sz w:val="23"/>
          <w:szCs w:val="23"/>
        </w:rPr>
      </w:pPr>
      <w:r>
        <w:rPr>
          <w:rFonts w:ascii="宋体" w:hAnsi="宋体" w:eastAsia="宋体" w:cs="宋体"/>
          <w:spacing w:val="5"/>
          <w:sz w:val="23"/>
          <w:szCs w:val="23"/>
        </w:rPr>
        <w:t>(</w:t>
      </w:r>
      <w:r>
        <w:rPr>
          <w:rFonts w:ascii="Times New Roman" w:hAnsi="Times New Roman" w:eastAsia="Times New Roman" w:cs="Times New Roman"/>
          <w:spacing w:val="5"/>
          <w:sz w:val="23"/>
          <w:szCs w:val="23"/>
        </w:rPr>
        <w:t>3</w:t>
      </w:r>
      <w:r>
        <w:rPr>
          <w:rFonts w:ascii="宋体" w:hAnsi="宋体" w:eastAsia="宋体" w:cs="宋体"/>
          <w:spacing w:val="5"/>
          <w:sz w:val="23"/>
          <w:szCs w:val="23"/>
        </w:rPr>
        <w:t>) 建设项目评价工作等</w:t>
      </w:r>
      <w:r>
        <w:rPr>
          <w:rFonts w:ascii="宋体" w:hAnsi="宋体" w:eastAsia="宋体" w:cs="宋体"/>
          <w:spacing w:val="2"/>
          <w:sz w:val="23"/>
          <w:szCs w:val="23"/>
        </w:rPr>
        <w:t>级</w:t>
      </w:r>
    </w:p>
    <w:p w14:paraId="258BB4EF">
      <w:pPr>
        <w:spacing w:line="287" w:lineRule="auto"/>
        <w:rPr>
          <w:rFonts w:ascii="Arial"/>
          <w:sz w:val="21"/>
        </w:rPr>
      </w:pPr>
    </w:p>
    <w:p w14:paraId="7F957B64">
      <w:pPr>
        <w:spacing w:before="75" w:line="226" w:lineRule="auto"/>
        <w:ind w:left="609"/>
        <w:rPr>
          <w:rFonts w:ascii="宋体" w:hAnsi="宋体" w:eastAsia="宋体" w:cs="宋体"/>
          <w:sz w:val="23"/>
          <w:szCs w:val="23"/>
        </w:rPr>
      </w:pPr>
      <w:r>
        <w:rPr>
          <w:rFonts w:ascii="宋体" w:hAnsi="宋体" w:eastAsia="宋体" w:cs="宋体"/>
          <w:spacing w:val="-8"/>
          <w:sz w:val="23"/>
          <w:szCs w:val="23"/>
        </w:rPr>
        <w:t>建</w:t>
      </w:r>
      <w:r>
        <w:rPr>
          <w:rFonts w:ascii="宋体" w:hAnsi="宋体" w:eastAsia="宋体" w:cs="宋体"/>
          <w:spacing w:val="-5"/>
          <w:sz w:val="23"/>
          <w:szCs w:val="23"/>
        </w:rPr>
        <w:t xml:space="preserve">设项目土壤环境影响评价工作等级的划分见表 </w:t>
      </w:r>
      <w:r>
        <w:rPr>
          <w:rFonts w:ascii="Times New Roman" w:hAnsi="Times New Roman" w:eastAsia="Times New Roman" w:cs="Times New Roman"/>
          <w:spacing w:val="-5"/>
          <w:sz w:val="23"/>
          <w:szCs w:val="23"/>
        </w:rPr>
        <w:t>2-24</w:t>
      </w:r>
      <w:r>
        <w:rPr>
          <w:rFonts w:ascii="宋体" w:hAnsi="宋体" w:eastAsia="宋体" w:cs="宋体"/>
          <w:spacing w:val="-5"/>
          <w:sz w:val="23"/>
          <w:szCs w:val="23"/>
        </w:rPr>
        <w:t>。</w:t>
      </w:r>
    </w:p>
    <w:p w14:paraId="491838CF">
      <w:pPr>
        <w:spacing w:line="289" w:lineRule="auto"/>
        <w:rPr>
          <w:rFonts w:ascii="Arial"/>
          <w:sz w:val="21"/>
        </w:rPr>
      </w:pPr>
    </w:p>
    <w:p w14:paraId="0DE68A0F">
      <w:pPr>
        <w:spacing w:before="76" w:line="226" w:lineRule="auto"/>
        <w:ind w:left="2432"/>
        <w:rPr>
          <w:rFonts w:ascii="宋体" w:hAnsi="宋体" w:eastAsia="宋体" w:cs="宋体"/>
          <w:sz w:val="23"/>
          <w:szCs w:val="23"/>
        </w:rPr>
      </w:pPr>
      <w:r>
        <w:rPr>
          <w:rFonts w:ascii="宋体" w:hAnsi="宋体" w:eastAsia="宋体" w:cs="宋体"/>
          <w:spacing w:val="-2"/>
          <w:sz w:val="23"/>
          <w:szCs w:val="23"/>
          <w14:textOutline w14:w="4358" w14:cap="sq" w14:cmpd="sng">
            <w14:solidFill>
              <w14:srgbClr w14:val="000000"/>
            </w14:solidFill>
            <w14:prstDash w14:val="solid"/>
            <w14:bevel/>
          </w14:textOutline>
        </w:rPr>
        <w:t>表</w:t>
      </w:r>
      <w:r>
        <w:rPr>
          <w:rFonts w:ascii="宋体" w:hAnsi="宋体" w:eastAsia="宋体" w:cs="宋体"/>
          <w:spacing w:val="-2"/>
          <w:sz w:val="23"/>
          <w:szCs w:val="23"/>
        </w:rPr>
        <w:t xml:space="preserve"> </w:t>
      </w:r>
      <w:r>
        <w:rPr>
          <w:rFonts w:ascii="Times New Roman" w:hAnsi="Times New Roman" w:eastAsia="Times New Roman" w:cs="Times New Roman"/>
          <w:b/>
          <w:bCs/>
          <w:spacing w:val="-2"/>
          <w:sz w:val="23"/>
          <w:szCs w:val="23"/>
        </w:rPr>
        <w:t>2-24</w:t>
      </w:r>
      <w:r>
        <w:rPr>
          <w:rFonts w:ascii="Times New Roman" w:hAnsi="Times New Roman" w:eastAsia="Times New Roman" w:cs="Times New Roman"/>
          <w:spacing w:val="-2"/>
          <w:sz w:val="23"/>
          <w:szCs w:val="23"/>
        </w:rPr>
        <w:t xml:space="preserve">      </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14:textOutline w14:w="4358" w14:cap="sq" w14:cmpd="sng">
            <w14:solidFill>
              <w14:srgbClr w14:val="000000"/>
            </w14:solidFill>
            <w14:prstDash w14:val="solid"/>
            <w14:bevel/>
          </w14:textOutline>
        </w:rPr>
        <w:t>土壤评价工作等级分级表</w:t>
      </w:r>
    </w:p>
    <w:p w14:paraId="6DA60246">
      <w:pPr>
        <w:spacing w:line="19" w:lineRule="exact"/>
      </w:pPr>
    </w:p>
    <w:tbl>
      <w:tblPr>
        <w:tblStyle w:val="4"/>
        <w:tblW w:w="852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2"/>
        <w:gridCol w:w="1818"/>
        <w:gridCol w:w="677"/>
        <w:gridCol w:w="677"/>
        <w:gridCol w:w="677"/>
        <w:gridCol w:w="677"/>
        <w:gridCol w:w="676"/>
        <w:gridCol w:w="677"/>
        <w:gridCol w:w="677"/>
        <w:gridCol w:w="677"/>
        <w:gridCol w:w="684"/>
      </w:tblGrid>
      <w:tr w14:paraId="02F0A0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612" w:type="dxa"/>
            <w:vMerge w:val="restart"/>
            <w:tcBorders>
              <w:left w:val="nil"/>
              <w:bottom w:val="nil"/>
              <w:right w:val="nil"/>
            </w:tcBorders>
            <w:vAlign w:val="top"/>
          </w:tcPr>
          <w:p w14:paraId="6FF79B27">
            <w:pPr>
              <w:spacing w:line="246" w:lineRule="auto"/>
              <w:rPr>
                <w:rFonts w:ascii="Arial"/>
                <w:sz w:val="21"/>
              </w:rPr>
            </w:pPr>
          </w:p>
          <w:p w14:paraId="31A2BBAA">
            <w:pPr>
              <w:spacing w:before="65" w:line="228" w:lineRule="auto"/>
              <w:ind w:left="122" w:right="90" w:firstLine="1"/>
              <w:rPr>
                <w:rFonts w:ascii="宋体" w:hAnsi="宋体" w:eastAsia="宋体" w:cs="宋体"/>
                <w:sz w:val="20"/>
                <w:szCs w:val="20"/>
              </w:rPr>
            </w:pPr>
            <w:r>
              <w:drawing>
                <wp:anchor distT="0" distB="0" distL="0" distR="0" simplePos="0" relativeHeight="251735040" behindDoc="1" locked="0" layoutInCell="1" allowOverlap="1">
                  <wp:simplePos x="0" y="0"/>
                  <wp:positionH relativeFrom="column">
                    <wp:posOffset>0</wp:posOffset>
                  </wp:positionH>
                  <wp:positionV relativeFrom="paragraph">
                    <wp:posOffset>-151130</wp:posOffset>
                  </wp:positionV>
                  <wp:extent cx="1527810" cy="522605"/>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403"/>
                          <a:stretch>
                            <a:fillRect/>
                          </a:stretch>
                        </pic:blipFill>
                        <pic:spPr>
                          <a:xfrm>
                            <a:off x="0" y="0"/>
                            <a:ext cx="1528064" cy="522757"/>
                          </a:xfrm>
                          <a:prstGeom prst="rect">
                            <a:avLst/>
                          </a:prstGeom>
                        </pic:spPr>
                      </pic:pic>
                    </a:graphicData>
                  </a:graphic>
                </wp:anchor>
              </w:drawing>
            </w:r>
            <w:r>
              <w:rPr>
                <w:rFonts w:ascii="宋体" w:hAnsi="宋体" w:eastAsia="宋体" w:cs="宋体"/>
                <w:spacing w:val="-2"/>
                <w:sz w:val="20"/>
                <w:szCs w:val="20"/>
                <w14:textOutline w14:w="3795" w14:cap="sq" w14:cmpd="sng">
                  <w14:solidFill>
                    <w14:srgbClr w14:val="000000"/>
                  </w14:solidFill>
                  <w14:prstDash w14:val="solid"/>
                  <w14:bevel/>
                </w14:textOutline>
              </w:rPr>
              <w:t>敏感</w:t>
            </w:r>
            <w:r>
              <w:rPr>
                <w:rFonts w:ascii="宋体" w:hAnsi="宋体" w:eastAsia="宋体" w:cs="宋体"/>
                <w:sz w:val="20"/>
                <w:szCs w:val="20"/>
              </w:rPr>
              <w:t xml:space="preserve"> </w:t>
            </w:r>
            <w:r>
              <w:rPr>
                <w:rFonts w:ascii="宋体" w:hAnsi="宋体" w:eastAsia="宋体" w:cs="宋体"/>
                <w:spacing w:val="-1"/>
                <w:sz w:val="20"/>
                <w:szCs w:val="20"/>
                <w14:textOutline w14:w="3795" w14:cap="sq" w14:cmpd="sng">
                  <w14:solidFill>
                    <w14:srgbClr w14:val="000000"/>
                  </w14:solidFill>
                  <w14:prstDash w14:val="solid"/>
                  <w14:bevel/>
                </w14:textOutline>
              </w:rPr>
              <w:t>程度</w:t>
            </w:r>
          </w:p>
        </w:tc>
        <w:tc>
          <w:tcPr>
            <w:tcW w:w="1818" w:type="dxa"/>
            <w:vMerge w:val="restart"/>
            <w:tcBorders>
              <w:left w:val="nil"/>
              <w:bottom w:val="nil"/>
            </w:tcBorders>
            <w:vAlign w:val="top"/>
          </w:tcPr>
          <w:p w14:paraId="7DCA8DD6">
            <w:pPr>
              <w:spacing w:before="53"/>
              <w:ind w:left="101" w:right="358" w:firstLine="596"/>
              <w:rPr>
                <w:rFonts w:ascii="宋体" w:hAnsi="宋体" w:eastAsia="宋体" w:cs="宋体"/>
                <w:sz w:val="20"/>
                <w:szCs w:val="20"/>
              </w:rPr>
            </w:pPr>
            <w:r>
              <w:rPr>
                <w:rFonts w:ascii="宋体" w:hAnsi="宋体" w:eastAsia="宋体" w:cs="宋体"/>
                <w:spacing w:val="-11"/>
                <w:sz w:val="20"/>
                <w:szCs w:val="20"/>
                <w14:textOutline w14:w="3795" w14:cap="sq" w14:cmpd="sng">
                  <w14:solidFill>
                    <w14:srgbClr w14:val="000000"/>
                  </w14:solidFill>
                  <w14:prstDash w14:val="solid"/>
                  <w14:bevel/>
                </w14:textOutline>
              </w:rPr>
              <w:t>占</w:t>
            </w:r>
            <w:r>
              <w:rPr>
                <w:rFonts w:ascii="宋体" w:hAnsi="宋体" w:eastAsia="宋体" w:cs="宋体"/>
                <w:spacing w:val="-10"/>
                <w:sz w:val="20"/>
                <w:szCs w:val="20"/>
                <w14:textOutline w14:w="3795" w14:cap="sq" w14:cmpd="sng">
                  <w14:solidFill>
                    <w14:srgbClr w14:val="000000"/>
                  </w14:solidFill>
                  <w14:prstDash w14:val="solid"/>
                  <w14:bevel/>
                </w14:textOutline>
              </w:rPr>
              <w:t>地规模</w:t>
            </w:r>
            <w:r>
              <w:rPr>
                <w:rFonts w:ascii="宋体" w:hAnsi="宋体" w:eastAsia="宋体" w:cs="宋体"/>
                <w:sz w:val="20"/>
                <w:szCs w:val="20"/>
              </w:rPr>
              <w:t xml:space="preserve"> </w:t>
            </w:r>
            <w:r>
              <w:rPr>
                <w:rFonts w:ascii="宋体" w:hAnsi="宋体" w:eastAsia="宋体" w:cs="宋体"/>
                <w:spacing w:val="1"/>
                <w:sz w:val="20"/>
                <w:szCs w:val="20"/>
                <w14:textOutline w14:w="3795" w14:cap="sq" w14:cmpd="sng">
                  <w14:solidFill>
                    <w14:srgbClr w14:val="000000"/>
                  </w14:solidFill>
                  <w14:prstDash w14:val="solid"/>
                  <w14:bevel/>
                </w14:textOutline>
              </w:rPr>
              <w:t>评</w:t>
            </w:r>
            <w:r>
              <w:rPr>
                <w:rFonts w:ascii="宋体" w:hAnsi="宋体" w:eastAsia="宋体" w:cs="宋体"/>
                <w:sz w:val="20"/>
                <w:szCs w:val="20"/>
                <w14:textOutline w14:w="3795" w14:cap="sq" w14:cmpd="sng">
                  <w14:solidFill>
                    <w14:srgbClr w14:val="000000"/>
                  </w14:solidFill>
                  <w14:prstDash w14:val="solid"/>
                  <w14:bevel/>
                </w14:textOutline>
              </w:rPr>
              <w:t>价</w:t>
            </w:r>
          </w:p>
          <w:p w14:paraId="587FE9DB">
            <w:pPr>
              <w:spacing w:before="1" w:line="215" w:lineRule="auto"/>
              <w:ind w:left="497"/>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工作</w:t>
            </w:r>
            <w:r>
              <w:rPr>
                <w:rFonts w:ascii="宋体" w:hAnsi="宋体" w:eastAsia="宋体" w:cs="宋体"/>
                <w:spacing w:val="-1"/>
                <w:sz w:val="20"/>
                <w:szCs w:val="20"/>
                <w14:textOutline w14:w="3795" w14:cap="sq" w14:cmpd="sng">
                  <w14:solidFill>
                    <w14:srgbClr w14:val="000000"/>
                  </w14:solidFill>
                  <w14:prstDash w14:val="solid"/>
                  <w14:bevel/>
                </w14:textOutline>
              </w:rPr>
              <w:t>等级</w:t>
            </w:r>
          </w:p>
        </w:tc>
        <w:tc>
          <w:tcPr>
            <w:tcW w:w="2031" w:type="dxa"/>
            <w:gridSpan w:val="3"/>
            <w:vAlign w:val="top"/>
          </w:tcPr>
          <w:p w14:paraId="58E60A93">
            <w:pPr>
              <w:spacing w:before="85" w:line="228" w:lineRule="auto"/>
              <w:ind w:left="881"/>
              <w:rPr>
                <w:rFonts w:ascii="宋体" w:hAnsi="宋体" w:eastAsia="宋体" w:cs="宋体"/>
                <w:sz w:val="20"/>
                <w:szCs w:val="20"/>
              </w:rPr>
            </w:pPr>
            <w:r>
              <w:rPr>
                <w:rFonts w:ascii="Times New Roman" w:hAnsi="Times New Roman" w:eastAsia="Times New Roman" w:cs="Times New Roman"/>
                <w:b/>
                <w:bCs/>
                <w:spacing w:val="1"/>
                <w:sz w:val="20"/>
                <w:szCs w:val="20"/>
              </w:rPr>
              <w:t>Ⅰ</w:t>
            </w:r>
            <w:r>
              <w:rPr>
                <w:rFonts w:ascii="宋体" w:hAnsi="宋体" w:eastAsia="宋体" w:cs="宋体"/>
                <w:sz w:val="20"/>
                <w:szCs w:val="20"/>
                <w14:textOutline w14:w="3795" w14:cap="sq" w14:cmpd="sng">
                  <w14:solidFill>
                    <w14:srgbClr w14:val="000000"/>
                  </w14:solidFill>
                  <w14:prstDash w14:val="solid"/>
                  <w14:bevel/>
                </w14:textOutline>
              </w:rPr>
              <w:t>类</w:t>
            </w:r>
          </w:p>
        </w:tc>
        <w:tc>
          <w:tcPr>
            <w:tcW w:w="2030" w:type="dxa"/>
            <w:gridSpan w:val="3"/>
            <w:vAlign w:val="top"/>
          </w:tcPr>
          <w:p w14:paraId="0F51B600">
            <w:pPr>
              <w:spacing w:before="85" w:line="228" w:lineRule="auto"/>
              <w:ind w:left="842"/>
              <w:rPr>
                <w:rFonts w:ascii="宋体" w:hAnsi="宋体" w:eastAsia="宋体" w:cs="宋体"/>
                <w:sz w:val="20"/>
                <w:szCs w:val="20"/>
              </w:rPr>
            </w:pPr>
            <w:r>
              <w:rPr>
                <w:rFonts w:ascii="Times New Roman" w:hAnsi="Times New Roman" w:eastAsia="Times New Roman" w:cs="Times New Roman"/>
                <w:b/>
                <w:bCs/>
                <w:spacing w:val="3"/>
                <w:sz w:val="20"/>
                <w:szCs w:val="20"/>
              </w:rPr>
              <w:t>Ⅱ</w:t>
            </w:r>
            <w:r>
              <w:rPr>
                <w:rFonts w:ascii="宋体" w:hAnsi="宋体" w:eastAsia="宋体" w:cs="宋体"/>
                <w:spacing w:val="2"/>
                <w:sz w:val="20"/>
                <w:szCs w:val="20"/>
                <w14:textOutline w14:w="3795" w14:cap="sq" w14:cmpd="sng">
                  <w14:solidFill>
                    <w14:srgbClr w14:val="000000"/>
                  </w14:solidFill>
                  <w14:prstDash w14:val="solid"/>
                  <w14:bevel/>
                </w14:textOutline>
              </w:rPr>
              <w:t>类</w:t>
            </w:r>
          </w:p>
        </w:tc>
        <w:tc>
          <w:tcPr>
            <w:tcW w:w="2038" w:type="dxa"/>
            <w:gridSpan w:val="3"/>
            <w:tcBorders>
              <w:right w:val="nil"/>
            </w:tcBorders>
            <w:vAlign w:val="top"/>
          </w:tcPr>
          <w:p w14:paraId="6F49CA90">
            <w:pPr>
              <w:spacing w:before="85" w:line="228" w:lineRule="auto"/>
              <w:ind w:left="807"/>
              <w:rPr>
                <w:rFonts w:ascii="宋体" w:hAnsi="宋体" w:eastAsia="宋体" w:cs="宋体"/>
                <w:sz w:val="20"/>
                <w:szCs w:val="20"/>
              </w:rPr>
            </w:pPr>
            <w:r>
              <w:rPr>
                <w:rFonts w:ascii="Times New Roman" w:hAnsi="Times New Roman" w:eastAsia="Times New Roman" w:cs="Times New Roman"/>
                <w:b/>
                <w:bCs/>
                <w:spacing w:val="3"/>
                <w:sz w:val="20"/>
                <w:szCs w:val="20"/>
                <w:shd w:val="clear" w:fill="D9D9D9"/>
              </w:rPr>
              <w:t>Ⅲ</w:t>
            </w:r>
            <w:r>
              <w:rPr>
                <w:rFonts w:ascii="宋体" w:hAnsi="宋体" w:eastAsia="宋体" w:cs="宋体"/>
                <w:spacing w:val="3"/>
                <w:sz w:val="20"/>
                <w:szCs w:val="20"/>
                <w:shd w:val="clear" w:fill="D9D9D9"/>
                <w14:textOutline w14:w="3795" w14:cap="sq" w14:cmpd="sng">
                  <w14:solidFill>
                    <w14:srgbClr w14:val="000000"/>
                  </w14:solidFill>
                  <w14:prstDash w14:val="solid"/>
                  <w14:bevel/>
                </w14:textOutline>
              </w:rPr>
              <w:t>类</w:t>
            </w:r>
          </w:p>
        </w:tc>
      </w:tr>
      <w:tr w14:paraId="209A01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612" w:type="dxa"/>
            <w:vMerge w:val="continue"/>
            <w:tcBorders>
              <w:top w:val="nil"/>
              <w:left w:val="nil"/>
              <w:right w:val="nil"/>
            </w:tcBorders>
            <w:vAlign w:val="top"/>
          </w:tcPr>
          <w:p w14:paraId="465F3E41">
            <w:pPr>
              <w:rPr>
                <w:rFonts w:ascii="Arial"/>
                <w:sz w:val="21"/>
              </w:rPr>
            </w:pPr>
          </w:p>
        </w:tc>
        <w:tc>
          <w:tcPr>
            <w:tcW w:w="1818" w:type="dxa"/>
            <w:vMerge w:val="continue"/>
            <w:tcBorders>
              <w:top w:val="nil"/>
              <w:left w:val="nil"/>
            </w:tcBorders>
            <w:vAlign w:val="top"/>
          </w:tcPr>
          <w:p w14:paraId="1E41E3DC">
            <w:pPr>
              <w:rPr>
                <w:rFonts w:ascii="Arial"/>
                <w:sz w:val="21"/>
              </w:rPr>
            </w:pPr>
          </w:p>
        </w:tc>
        <w:tc>
          <w:tcPr>
            <w:tcW w:w="677" w:type="dxa"/>
            <w:vAlign w:val="top"/>
          </w:tcPr>
          <w:p w14:paraId="7D98D455">
            <w:pPr>
              <w:spacing w:before="115" w:line="228" w:lineRule="auto"/>
              <w:ind w:left="249"/>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大</w:t>
            </w:r>
          </w:p>
        </w:tc>
        <w:tc>
          <w:tcPr>
            <w:tcW w:w="677" w:type="dxa"/>
            <w:vAlign w:val="top"/>
          </w:tcPr>
          <w:p w14:paraId="1154CA56">
            <w:pPr>
              <w:spacing w:before="115" w:line="228" w:lineRule="auto"/>
              <w:ind w:left="266"/>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中</w:t>
            </w:r>
          </w:p>
        </w:tc>
        <w:tc>
          <w:tcPr>
            <w:tcW w:w="677" w:type="dxa"/>
            <w:vAlign w:val="top"/>
          </w:tcPr>
          <w:p w14:paraId="5F14E8C7">
            <w:pPr>
              <w:spacing w:before="114" w:line="230" w:lineRule="auto"/>
              <w:ind w:left="252"/>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小</w:t>
            </w:r>
          </w:p>
        </w:tc>
        <w:tc>
          <w:tcPr>
            <w:tcW w:w="677" w:type="dxa"/>
            <w:vAlign w:val="top"/>
          </w:tcPr>
          <w:p w14:paraId="61BB2052">
            <w:pPr>
              <w:spacing w:before="115" w:line="228" w:lineRule="auto"/>
              <w:ind w:left="248"/>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大</w:t>
            </w:r>
          </w:p>
        </w:tc>
        <w:tc>
          <w:tcPr>
            <w:tcW w:w="676" w:type="dxa"/>
            <w:vAlign w:val="top"/>
          </w:tcPr>
          <w:p w14:paraId="66F9F6CC">
            <w:pPr>
              <w:spacing w:before="115" w:line="228" w:lineRule="auto"/>
              <w:ind w:left="263"/>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中</w:t>
            </w:r>
          </w:p>
        </w:tc>
        <w:tc>
          <w:tcPr>
            <w:tcW w:w="677" w:type="dxa"/>
            <w:vAlign w:val="top"/>
          </w:tcPr>
          <w:p w14:paraId="3C453A46">
            <w:pPr>
              <w:spacing w:before="114" w:line="230" w:lineRule="auto"/>
              <w:ind w:left="252"/>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小</w:t>
            </w:r>
          </w:p>
        </w:tc>
        <w:tc>
          <w:tcPr>
            <w:tcW w:w="677" w:type="dxa"/>
            <w:vAlign w:val="top"/>
          </w:tcPr>
          <w:p w14:paraId="04C743BA">
            <w:pPr>
              <w:spacing w:before="115" w:line="228" w:lineRule="auto"/>
              <w:ind w:left="249"/>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大</w:t>
            </w:r>
          </w:p>
        </w:tc>
        <w:tc>
          <w:tcPr>
            <w:tcW w:w="677" w:type="dxa"/>
            <w:vAlign w:val="top"/>
          </w:tcPr>
          <w:p w14:paraId="054F0A07">
            <w:pPr>
              <w:spacing w:before="115" w:line="228" w:lineRule="auto"/>
              <w:ind w:left="266"/>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中</w:t>
            </w:r>
          </w:p>
        </w:tc>
        <w:tc>
          <w:tcPr>
            <w:tcW w:w="684" w:type="dxa"/>
            <w:tcBorders>
              <w:right w:val="nil"/>
            </w:tcBorders>
            <w:vAlign w:val="top"/>
          </w:tcPr>
          <w:p w14:paraId="153A4814">
            <w:pPr>
              <w:spacing w:before="114" w:line="230" w:lineRule="auto"/>
              <w:ind w:left="254"/>
              <w:rPr>
                <w:rFonts w:ascii="宋体" w:hAnsi="宋体" w:eastAsia="宋体" w:cs="宋体"/>
                <w:sz w:val="20"/>
                <w:szCs w:val="20"/>
              </w:rPr>
            </w:pPr>
            <w:r>
              <w:rPr>
                <w:rFonts w:ascii="宋体" w:hAnsi="宋体" w:eastAsia="宋体" w:cs="宋体"/>
                <w:sz w:val="20"/>
                <w:szCs w:val="20"/>
                <w:shd w:val="clear" w:fill="D9D9D9"/>
                <w14:textOutline w14:w="3795" w14:cap="sq" w14:cmpd="sng">
                  <w14:solidFill>
                    <w14:srgbClr w14:val="000000"/>
                  </w14:solidFill>
                  <w14:prstDash w14:val="solid"/>
                  <w14:bevel/>
                </w14:textOutline>
              </w:rPr>
              <w:t>小</w:t>
            </w:r>
          </w:p>
        </w:tc>
      </w:tr>
      <w:tr w14:paraId="73CAE3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612" w:type="dxa"/>
            <w:tcBorders>
              <w:left w:val="nil"/>
              <w:right w:val="nil"/>
            </w:tcBorders>
            <w:vAlign w:val="top"/>
          </w:tcPr>
          <w:p w14:paraId="5645A4B7">
            <w:pPr>
              <w:rPr>
                <w:rFonts w:ascii="Arial"/>
                <w:sz w:val="21"/>
              </w:rPr>
            </w:pPr>
          </w:p>
        </w:tc>
        <w:tc>
          <w:tcPr>
            <w:tcW w:w="1818" w:type="dxa"/>
            <w:tcBorders>
              <w:left w:val="nil"/>
            </w:tcBorders>
            <w:vAlign w:val="top"/>
          </w:tcPr>
          <w:p w14:paraId="27E15077">
            <w:pPr>
              <w:spacing w:before="63" w:line="228" w:lineRule="auto"/>
              <w:ind w:left="419"/>
              <w:rPr>
                <w:rFonts w:ascii="宋体" w:hAnsi="宋体" w:eastAsia="宋体" w:cs="宋体"/>
                <w:sz w:val="20"/>
                <w:szCs w:val="20"/>
              </w:rPr>
            </w:pPr>
            <w:r>
              <w:rPr>
                <w:rFonts w:ascii="宋体" w:hAnsi="宋体" w:eastAsia="宋体" w:cs="宋体"/>
                <w:sz w:val="20"/>
                <w:szCs w:val="20"/>
                <w:shd w:val="clear" w:fill="D9D9D9"/>
              </w:rPr>
              <w:t>敏感</w:t>
            </w:r>
          </w:p>
        </w:tc>
        <w:tc>
          <w:tcPr>
            <w:tcW w:w="677" w:type="dxa"/>
            <w:vAlign w:val="top"/>
          </w:tcPr>
          <w:p w14:paraId="23373912">
            <w:pPr>
              <w:spacing w:before="63" w:line="230" w:lineRule="auto"/>
              <w:ind w:left="151"/>
              <w:rPr>
                <w:rFonts w:ascii="宋体" w:hAnsi="宋体" w:eastAsia="宋体" w:cs="宋体"/>
                <w:sz w:val="20"/>
                <w:szCs w:val="20"/>
              </w:rPr>
            </w:pPr>
            <w:r>
              <w:rPr>
                <w:rFonts w:ascii="宋体" w:hAnsi="宋体" w:eastAsia="宋体" w:cs="宋体"/>
                <w:spacing w:val="-2"/>
                <w:sz w:val="20"/>
                <w:szCs w:val="20"/>
              </w:rPr>
              <w:t>一</w:t>
            </w:r>
            <w:r>
              <w:rPr>
                <w:rFonts w:ascii="宋体" w:hAnsi="宋体" w:eastAsia="宋体" w:cs="宋体"/>
                <w:spacing w:val="-1"/>
                <w:sz w:val="20"/>
                <w:szCs w:val="20"/>
              </w:rPr>
              <w:t>级</w:t>
            </w:r>
          </w:p>
        </w:tc>
        <w:tc>
          <w:tcPr>
            <w:tcW w:w="677" w:type="dxa"/>
            <w:vAlign w:val="top"/>
          </w:tcPr>
          <w:p w14:paraId="05D5879E">
            <w:pPr>
              <w:spacing w:before="63" w:line="230" w:lineRule="auto"/>
              <w:ind w:left="151"/>
              <w:rPr>
                <w:rFonts w:ascii="宋体" w:hAnsi="宋体" w:eastAsia="宋体" w:cs="宋体"/>
                <w:sz w:val="20"/>
                <w:szCs w:val="20"/>
              </w:rPr>
            </w:pPr>
            <w:r>
              <w:rPr>
                <w:rFonts w:ascii="宋体" w:hAnsi="宋体" w:eastAsia="宋体" w:cs="宋体"/>
                <w:spacing w:val="-2"/>
                <w:sz w:val="20"/>
                <w:szCs w:val="20"/>
              </w:rPr>
              <w:t>一</w:t>
            </w:r>
            <w:r>
              <w:rPr>
                <w:rFonts w:ascii="宋体" w:hAnsi="宋体" w:eastAsia="宋体" w:cs="宋体"/>
                <w:spacing w:val="-1"/>
                <w:sz w:val="20"/>
                <w:szCs w:val="20"/>
              </w:rPr>
              <w:t>级</w:t>
            </w:r>
          </w:p>
        </w:tc>
        <w:tc>
          <w:tcPr>
            <w:tcW w:w="677" w:type="dxa"/>
            <w:vAlign w:val="top"/>
          </w:tcPr>
          <w:p w14:paraId="1961676E">
            <w:pPr>
              <w:spacing w:before="63" w:line="230" w:lineRule="auto"/>
              <w:ind w:left="151"/>
              <w:rPr>
                <w:rFonts w:ascii="宋体" w:hAnsi="宋体" w:eastAsia="宋体" w:cs="宋体"/>
                <w:sz w:val="20"/>
                <w:szCs w:val="20"/>
              </w:rPr>
            </w:pPr>
            <w:r>
              <w:rPr>
                <w:rFonts w:ascii="宋体" w:hAnsi="宋体" w:eastAsia="宋体" w:cs="宋体"/>
                <w:spacing w:val="-2"/>
                <w:sz w:val="20"/>
                <w:szCs w:val="20"/>
              </w:rPr>
              <w:t>一</w:t>
            </w:r>
            <w:r>
              <w:rPr>
                <w:rFonts w:ascii="宋体" w:hAnsi="宋体" w:eastAsia="宋体" w:cs="宋体"/>
                <w:spacing w:val="-1"/>
                <w:sz w:val="20"/>
                <w:szCs w:val="20"/>
              </w:rPr>
              <w:t>级</w:t>
            </w:r>
          </w:p>
        </w:tc>
        <w:tc>
          <w:tcPr>
            <w:tcW w:w="677" w:type="dxa"/>
            <w:vAlign w:val="top"/>
          </w:tcPr>
          <w:p w14:paraId="10AAED06">
            <w:pPr>
              <w:spacing w:before="63" w:line="230" w:lineRule="auto"/>
              <w:ind w:left="117"/>
              <w:rPr>
                <w:rFonts w:ascii="宋体" w:hAnsi="宋体" w:eastAsia="宋体" w:cs="宋体"/>
                <w:sz w:val="20"/>
                <w:szCs w:val="20"/>
              </w:rPr>
            </w:pPr>
            <w:r>
              <w:rPr>
                <w:rFonts w:ascii="宋体" w:hAnsi="宋体" w:eastAsia="宋体" w:cs="宋体"/>
                <w:spacing w:val="-2"/>
                <w:sz w:val="20"/>
                <w:szCs w:val="20"/>
              </w:rPr>
              <w:t>二</w:t>
            </w:r>
            <w:r>
              <w:rPr>
                <w:rFonts w:ascii="宋体" w:hAnsi="宋体" w:eastAsia="宋体" w:cs="宋体"/>
                <w:spacing w:val="-1"/>
                <w:sz w:val="20"/>
                <w:szCs w:val="20"/>
              </w:rPr>
              <w:t>级</w:t>
            </w:r>
          </w:p>
        </w:tc>
        <w:tc>
          <w:tcPr>
            <w:tcW w:w="676" w:type="dxa"/>
            <w:vAlign w:val="top"/>
          </w:tcPr>
          <w:p w14:paraId="297500AB">
            <w:pPr>
              <w:spacing w:before="63" w:line="230" w:lineRule="auto"/>
              <w:ind w:left="117"/>
              <w:rPr>
                <w:rFonts w:ascii="宋体" w:hAnsi="宋体" w:eastAsia="宋体" w:cs="宋体"/>
                <w:sz w:val="20"/>
                <w:szCs w:val="20"/>
              </w:rPr>
            </w:pPr>
            <w:r>
              <w:rPr>
                <w:rFonts w:ascii="宋体" w:hAnsi="宋体" w:eastAsia="宋体" w:cs="宋体"/>
                <w:spacing w:val="-2"/>
                <w:sz w:val="20"/>
                <w:szCs w:val="20"/>
              </w:rPr>
              <w:t>二</w:t>
            </w:r>
            <w:r>
              <w:rPr>
                <w:rFonts w:ascii="宋体" w:hAnsi="宋体" w:eastAsia="宋体" w:cs="宋体"/>
                <w:spacing w:val="-1"/>
                <w:sz w:val="20"/>
                <w:szCs w:val="20"/>
              </w:rPr>
              <w:t>级</w:t>
            </w:r>
          </w:p>
        </w:tc>
        <w:tc>
          <w:tcPr>
            <w:tcW w:w="677" w:type="dxa"/>
            <w:vAlign w:val="top"/>
          </w:tcPr>
          <w:p w14:paraId="63AE1ABD">
            <w:pPr>
              <w:spacing w:before="63" w:line="230" w:lineRule="auto"/>
              <w:ind w:left="151"/>
              <w:rPr>
                <w:rFonts w:ascii="宋体" w:hAnsi="宋体" w:eastAsia="宋体" w:cs="宋体"/>
                <w:sz w:val="20"/>
                <w:szCs w:val="20"/>
              </w:rPr>
            </w:pPr>
            <w:r>
              <w:rPr>
                <w:rFonts w:ascii="宋体" w:hAnsi="宋体" w:eastAsia="宋体" w:cs="宋体"/>
                <w:spacing w:val="-2"/>
                <w:sz w:val="20"/>
                <w:szCs w:val="20"/>
              </w:rPr>
              <w:t>二</w:t>
            </w:r>
            <w:r>
              <w:rPr>
                <w:rFonts w:ascii="宋体" w:hAnsi="宋体" w:eastAsia="宋体" w:cs="宋体"/>
                <w:spacing w:val="-1"/>
                <w:sz w:val="20"/>
                <w:szCs w:val="20"/>
              </w:rPr>
              <w:t>级</w:t>
            </w:r>
          </w:p>
        </w:tc>
        <w:tc>
          <w:tcPr>
            <w:tcW w:w="677" w:type="dxa"/>
            <w:vAlign w:val="top"/>
          </w:tcPr>
          <w:p w14:paraId="2182B38D">
            <w:pPr>
              <w:spacing w:before="63" w:line="230" w:lineRule="auto"/>
              <w:ind w:left="114"/>
              <w:rPr>
                <w:rFonts w:ascii="宋体" w:hAnsi="宋体" w:eastAsia="宋体" w:cs="宋体"/>
                <w:sz w:val="20"/>
                <w:szCs w:val="20"/>
              </w:rPr>
            </w:pPr>
            <w:r>
              <w:rPr>
                <w:rFonts w:ascii="宋体" w:hAnsi="宋体" w:eastAsia="宋体" w:cs="宋体"/>
                <w:sz w:val="20"/>
                <w:szCs w:val="20"/>
              </w:rPr>
              <w:t>三级</w:t>
            </w:r>
          </w:p>
        </w:tc>
        <w:tc>
          <w:tcPr>
            <w:tcW w:w="677" w:type="dxa"/>
            <w:vAlign w:val="top"/>
          </w:tcPr>
          <w:p w14:paraId="112226C6">
            <w:pPr>
              <w:spacing w:before="63" w:line="230" w:lineRule="auto"/>
              <w:ind w:left="114"/>
              <w:rPr>
                <w:rFonts w:ascii="宋体" w:hAnsi="宋体" w:eastAsia="宋体" w:cs="宋体"/>
                <w:sz w:val="20"/>
                <w:szCs w:val="20"/>
              </w:rPr>
            </w:pPr>
            <w:r>
              <w:rPr>
                <w:rFonts w:ascii="宋体" w:hAnsi="宋体" w:eastAsia="宋体" w:cs="宋体"/>
                <w:sz w:val="20"/>
                <w:szCs w:val="20"/>
              </w:rPr>
              <w:t>三级</w:t>
            </w:r>
          </w:p>
        </w:tc>
        <w:tc>
          <w:tcPr>
            <w:tcW w:w="684" w:type="dxa"/>
            <w:tcBorders>
              <w:right w:val="nil"/>
            </w:tcBorders>
            <w:vAlign w:val="top"/>
          </w:tcPr>
          <w:p w14:paraId="5C83F122">
            <w:pPr>
              <w:spacing w:before="63" w:line="230" w:lineRule="auto"/>
              <w:ind w:left="152"/>
              <w:rPr>
                <w:rFonts w:ascii="宋体" w:hAnsi="宋体" w:eastAsia="宋体" w:cs="宋体"/>
                <w:sz w:val="20"/>
                <w:szCs w:val="20"/>
              </w:rPr>
            </w:pPr>
            <w:r>
              <w:rPr>
                <w:rFonts w:ascii="宋体" w:hAnsi="宋体" w:eastAsia="宋体" w:cs="宋体"/>
                <w:sz w:val="20"/>
                <w:szCs w:val="20"/>
                <w:shd w:val="clear" w:fill="D9D9D9"/>
              </w:rPr>
              <w:t>三级</w:t>
            </w:r>
          </w:p>
        </w:tc>
      </w:tr>
      <w:tr w14:paraId="41842E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612" w:type="dxa"/>
            <w:tcBorders>
              <w:left w:val="nil"/>
              <w:right w:val="nil"/>
            </w:tcBorders>
            <w:vAlign w:val="top"/>
          </w:tcPr>
          <w:p w14:paraId="0B5321AF">
            <w:pPr>
              <w:rPr>
                <w:rFonts w:ascii="Arial"/>
                <w:sz w:val="21"/>
              </w:rPr>
            </w:pPr>
          </w:p>
        </w:tc>
        <w:tc>
          <w:tcPr>
            <w:tcW w:w="1818" w:type="dxa"/>
            <w:tcBorders>
              <w:left w:val="nil"/>
            </w:tcBorders>
            <w:vAlign w:val="top"/>
          </w:tcPr>
          <w:p w14:paraId="5A2CDA48">
            <w:pPr>
              <w:spacing w:before="64" w:line="228" w:lineRule="auto"/>
              <w:ind w:left="320"/>
              <w:rPr>
                <w:rFonts w:ascii="宋体" w:hAnsi="宋体" w:eastAsia="宋体" w:cs="宋体"/>
                <w:sz w:val="20"/>
                <w:szCs w:val="20"/>
              </w:rPr>
            </w:pPr>
            <w:r>
              <w:rPr>
                <w:rFonts w:ascii="宋体" w:hAnsi="宋体" w:eastAsia="宋体" w:cs="宋体"/>
                <w:spacing w:val="-1"/>
                <w:sz w:val="20"/>
                <w:szCs w:val="20"/>
              </w:rPr>
              <w:t>较敏感</w:t>
            </w:r>
          </w:p>
        </w:tc>
        <w:tc>
          <w:tcPr>
            <w:tcW w:w="677" w:type="dxa"/>
            <w:vAlign w:val="top"/>
          </w:tcPr>
          <w:p w14:paraId="3A1427B9">
            <w:pPr>
              <w:spacing w:before="64" w:line="230" w:lineRule="auto"/>
              <w:ind w:left="118"/>
              <w:rPr>
                <w:rFonts w:ascii="宋体" w:hAnsi="宋体" w:eastAsia="宋体" w:cs="宋体"/>
                <w:sz w:val="20"/>
                <w:szCs w:val="20"/>
              </w:rPr>
            </w:pPr>
            <w:r>
              <w:rPr>
                <w:rFonts w:ascii="宋体" w:hAnsi="宋体" w:eastAsia="宋体" w:cs="宋体"/>
                <w:spacing w:val="-2"/>
                <w:sz w:val="20"/>
                <w:szCs w:val="20"/>
              </w:rPr>
              <w:t>一</w:t>
            </w:r>
            <w:r>
              <w:rPr>
                <w:rFonts w:ascii="宋体" w:hAnsi="宋体" w:eastAsia="宋体" w:cs="宋体"/>
                <w:spacing w:val="-1"/>
                <w:sz w:val="20"/>
                <w:szCs w:val="20"/>
              </w:rPr>
              <w:t>级</w:t>
            </w:r>
          </w:p>
        </w:tc>
        <w:tc>
          <w:tcPr>
            <w:tcW w:w="677" w:type="dxa"/>
            <w:vAlign w:val="top"/>
          </w:tcPr>
          <w:p w14:paraId="7485E5D6">
            <w:pPr>
              <w:spacing w:before="64" w:line="230" w:lineRule="auto"/>
              <w:ind w:left="151"/>
              <w:rPr>
                <w:rFonts w:ascii="宋体" w:hAnsi="宋体" w:eastAsia="宋体" w:cs="宋体"/>
                <w:sz w:val="20"/>
                <w:szCs w:val="20"/>
              </w:rPr>
            </w:pPr>
            <w:r>
              <w:rPr>
                <w:rFonts w:ascii="宋体" w:hAnsi="宋体" w:eastAsia="宋体" w:cs="宋体"/>
                <w:spacing w:val="-2"/>
                <w:sz w:val="20"/>
                <w:szCs w:val="20"/>
              </w:rPr>
              <w:t>一</w:t>
            </w:r>
            <w:r>
              <w:rPr>
                <w:rFonts w:ascii="宋体" w:hAnsi="宋体" w:eastAsia="宋体" w:cs="宋体"/>
                <w:spacing w:val="-1"/>
                <w:sz w:val="20"/>
                <w:szCs w:val="20"/>
              </w:rPr>
              <w:t>级</w:t>
            </w:r>
          </w:p>
        </w:tc>
        <w:tc>
          <w:tcPr>
            <w:tcW w:w="677" w:type="dxa"/>
            <w:vAlign w:val="top"/>
          </w:tcPr>
          <w:p w14:paraId="49631BE8">
            <w:pPr>
              <w:spacing w:before="64" w:line="230" w:lineRule="auto"/>
              <w:ind w:left="117"/>
              <w:rPr>
                <w:rFonts w:ascii="宋体" w:hAnsi="宋体" w:eastAsia="宋体" w:cs="宋体"/>
                <w:sz w:val="20"/>
                <w:szCs w:val="20"/>
              </w:rPr>
            </w:pPr>
            <w:r>
              <w:rPr>
                <w:rFonts w:ascii="宋体" w:hAnsi="宋体" w:eastAsia="宋体" w:cs="宋体"/>
                <w:spacing w:val="-2"/>
                <w:sz w:val="20"/>
                <w:szCs w:val="20"/>
              </w:rPr>
              <w:t>二</w:t>
            </w:r>
            <w:r>
              <w:rPr>
                <w:rFonts w:ascii="宋体" w:hAnsi="宋体" w:eastAsia="宋体" w:cs="宋体"/>
                <w:spacing w:val="-1"/>
                <w:sz w:val="20"/>
                <w:szCs w:val="20"/>
              </w:rPr>
              <w:t>级</w:t>
            </w:r>
          </w:p>
        </w:tc>
        <w:tc>
          <w:tcPr>
            <w:tcW w:w="677" w:type="dxa"/>
            <w:vAlign w:val="top"/>
          </w:tcPr>
          <w:p w14:paraId="00ABA5E9">
            <w:pPr>
              <w:spacing w:before="64" w:line="230" w:lineRule="auto"/>
              <w:ind w:left="117"/>
              <w:rPr>
                <w:rFonts w:ascii="宋体" w:hAnsi="宋体" w:eastAsia="宋体" w:cs="宋体"/>
                <w:sz w:val="20"/>
                <w:szCs w:val="20"/>
              </w:rPr>
            </w:pPr>
            <w:r>
              <w:rPr>
                <w:rFonts w:ascii="宋体" w:hAnsi="宋体" w:eastAsia="宋体" w:cs="宋体"/>
                <w:spacing w:val="-2"/>
                <w:sz w:val="20"/>
                <w:szCs w:val="20"/>
              </w:rPr>
              <w:t>二</w:t>
            </w:r>
            <w:r>
              <w:rPr>
                <w:rFonts w:ascii="宋体" w:hAnsi="宋体" w:eastAsia="宋体" w:cs="宋体"/>
                <w:spacing w:val="-1"/>
                <w:sz w:val="20"/>
                <w:szCs w:val="20"/>
              </w:rPr>
              <w:t>级</w:t>
            </w:r>
          </w:p>
        </w:tc>
        <w:tc>
          <w:tcPr>
            <w:tcW w:w="676" w:type="dxa"/>
            <w:vAlign w:val="top"/>
          </w:tcPr>
          <w:p w14:paraId="6F5DA914">
            <w:pPr>
              <w:spacing w:before="64" w:line="230" w:lineRule="auto"/>
              <w:ind w:left="117"/>
              <w:rPr>
                <w:rFonts w:ascii="宋体" w:hAnsi="宋体" w:eastAsia="宋体" w:cs="宋体"/>
                <w:sz w:val="20"/>
                <w:szCs w:val="20"/>
              </w:rPr>
            </w:pPr>
            <w:r>
              <w:rPr>
                <w:rFonts w:ascii="宋体" w:hAnsi="宋体" w:eastAsia="宋体" w:cs="宋体"/>
                <w:spacing w:val="-2"/>
                <w:sz w:val="20"/>
                <w:szCs w:val="20"/>
              </w:rPr>
              <w:t>二</w:t>
            </w:r>
            <w:r>
              <w:rPr>
                <w:rFonts w:ascii="宋体" w:hAnsi="宋体" w:eastAsia="宋体" w:cs="宋体"/>
                <w:spacing w:val="-1"/>
                <w:sz w:val="20"/>
                <w:szCs w:val="20"/>
              </w:rPr>
              <w:t>级</w:t>
            </w:r>
          </w:p>
        </w:tc>
        <w:tc>
          <w:tcPr>
            <w:tcW w:w="677" w:type="dxa"/>
            <w:vAlign w:val="top"/>
          </w:tcPr>
          <w:p w14:paraId="7D0CBD49">
            <w:pPr>
              <w:spacing w:before="64" w:line="230" w:lineRule="auto"/>
              <w:ind w:left="114"/>
              <w:rPr>
                <w:rFonts w:ascii="宋体" w:hAnsi="宋体" w:eastAsia="宋体" w:cs="宋体"/>
                <w:sz w:val="20"/>
                <w:szCs w:val="20"/>
              </w:rPr>
            </w:pPr>
            <w:r>
              <w:rPr>
                <w:rFonts w:ascii="宋体" w:hAnsi="宋体" w:eastAsia="宋体" w:cs="宋体"/>
                <w:sz w:val="20"/>
                <w:szCs w:val="20"/>
              </w:rPr>
              <w:t>三级</w:t>
            </w:r>
          </w:p>
        </w:tc>
        <w:tc>
          <w:tcPr>
            <w:tcW w:w="677" w:type="dxa"/>
            <w:vAlign w:val="top"/>
          </w:tcPr>
          <w:p w14:paraId="20FA522F">
            <w:pPr>
              <w:spacing w:before="64" w:line="230" w:lineRule="auto"/>
              <w:ind w:left="114"/>
              <w:rPr>
                <w:rFonts w:ascii="宋体" w:hAnsi="宋体" w:eastAsia="宋体" w:cs="宋体"/>
                <w:sz w:val="20"/>
                <w:szCs w:val="20"/>
              </w:rPr>
            </w:pPr>
            <w:r>
              <w:rPr>
                <w:rFonts w:ascii="宋体" w:hAnsi="宋体" w:eastAsia="宋体" w:cs="宋体"/>
                <w:sz w:val="20"/>
                <w:szCs w:val="20"/>
              </w:rPr>
              <w:t>三级</w:t>
            </w:r>
          </w:p>
        </w:tc>
        <w:tc>
          <w:tcPr>
            <w:tcW w:w="677" w:type="dxa"/>
            <w:vAlign w:val="top"/>
          </w:tcPr>
          <w:p w14:paraId="4A7FCF54">
            <w:pPr>
              <w:spacing w:before="64" w:line="230" w:lineRule="auto"/>
              <w:ind w:left="114"/>
              <w:rPr>
                <w:rFonts w:ascii="宋体" w:hAnsi="宋体" w:eastAsia="宋体" w:cs="宋体"/>
                <w:sz w:val="20"/>
                <w:szCs w:val="20"/>
              </w:rPr>
            </w:pPr>
            <w:r>
              <w:rPr>
                <w:rFonts w:ascii="宋体" w:hAnsi="宋体" w:eastAsia="宋体" w:cs="宋体"/>
                <w:sz w:val="20"/>
                <w:szCs w:val="20"/>
              </w:rPr>
              <w:t>三级</w:t>
            </w:r>
          </w:p>
        </w:tc>
        <w:tc>
          <w:tcPr>
            <w:tcW w:w="684" w:type="dxa"/>
            <w:tcBorders>
              <w:right w:val="nil"/>
            </w:tcBorders>
            <w:vAlign w:val="top"/>
          </w:tcPr>
          <w:p w14:paraId="14C9C4F5">
            <w:pPr>
              <w:spacing w:before="188" w:line="136" w:lineRule="exact"/>
              <w:ind w:left="316"/>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w14:paraId="285209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612" w:type="dxa"/>
            <w:tcBorders>
              <w:left w:val="nil"/>
              <w:right w:val="nil"/>
            </w:tcBorders>
            <w:vAlign w:val="top"/>
          </w:tcPr>
          <w:p w14:paraId="616EDB90">
            <w:pPr>
              <w:rPr>
                <w:rFonts w:ascii="Arial"/>
                <w:sz w:val="21"/>
              </w:rPr>
            </w:pPr>
          </w:p>
        </w:tc>
        <w:tc>
          <w:tcPr>
            <w:tcW w:w="1818" w:type="dxa"/>
            <w:tcBorders>
              <w:left w:val="nil"/>
            </w:tcBorders>
            <w:vAlign w:val="top"/>
          </w:tcPr>
          <w:p w14:paraId="2448A05E">
            <w:pPr>
              <w:spacing w:before="65" w:line="228" w:lineRule="auto"/>
              <w:ind w:left="323"/>
              <w:rPr>
                <w:rFonts w:ascii="宋体" w:hAnsi="宋体" w:eastAsia="宋体" w:cs="宋体"/>
                <w:sz w:val="20"/>
                <w:szCs w:val="20"/>
              </w:rPr>
            </w:pPr>
            <w:r>
              <w:rPr>
                <w:rFonts w:ascii="宋体" w:hAnsi="宋体" w:eastAsia="宋体" w:cs="宋体"/>
                <w:spacing w:val="-2"/>
                <w:sz w:val="20"/>
                <w:szCs w:val="20"/>
              </w:rPr>
              <w:t>不敏感</w:t>
            </w:r>
          </w:p>
        </w:tc>
        <w:tc>
          <w:tcPr>
            <w:tcW w:w="677" w:type="dxa"/>
            <w:vAlign w:val="top"/>
          </w:tcPr>
          <w:p w14:paraId="07C8BFF5">
            <w:pPr>
              <w:spacing w:before="65" w:line="230" w:lineRule="auto"/>
              <w:ind w:left="118"/>
              <w:rPr>
                <w:rFonts w:ascii="宋体" w:hAnsi="宋体" w:eastAsia="宋体" w:cs="宋体"/>
                <w:sz w:val="20"/>
                <w:szCs w:val="20"/>
              </w:rPr>
            </w:pPr>
            <w:r>
              <w:rPr>
                <w:rFonts w:ascii="宋体" w:hAnsi="宋体" w:eastAsia="宋体" w:cs="宋体"/>
                <w:spacing w:val="-2"/>
                <w:sz w:val="20"/>
                <w:szCs w:val="20"/>
              </w:rPr>
              <w:t>一</w:t>
            </w:r>
            <w:r>
              <w:rPr>
                <w:rFonts w:ascii="宋体" w:hAnsi="宋体" w:eastAsia="宋体" w:cs="宋体"/>
                <w:spacing w:val="-1"/>
                <w:sz w:val="20"/>
                <w:szCs w:val="20"/>
              </w:rPr>
              <w:t>级</w:t>
            </w:r>
          </w:p>
        </w:tc>
        <w:tc>
          <w:tcPr>
            <w:tcW w:w="677" w:type="dxa"/>
            <w:vAlign w:val="top"/>
          </w:tcPr>
          <w:p w14:paraId="3F063C02">
            <w:pPr>
              <w:spacing w:before="65" w:line="230" w:lineRule="auto"/>
              <w:ind w:left="151"/>
              <w:rPr>
                <w:rFonts w:ascii="宋体" w:hAnsi="宋体" w:eastAsia="宋体" w:cs="宋体"/>
                <w:sz w:val="20"/>
                <w:szCs w:val="20"/>
              </w:rPr>
            </w:pPr>
            <w:r>
              <w:rPr>
                <w:rFonts w:ascii="宋体" w:hAnsi="宋体" w:eastAsia="宋体" w:cs="宋体"/>
                <w:spacing w:val="-2"/>
                <w:sz w:val="20"/>
                <w:szCs w:val="20"/>
              </w:rPr>
              <w:t>二</w:t>
            </w:r>
            <w:r>
              <w:rPr>
                <w:rFonts w:ascii="宋体" w:hAnsi="宋体" w:eastAsia="宋体" w:cs="宋体"/>
                <w:spacing w:val="-1"/>
                <w:sz w:val="20"/>
                <w:szCs w:val="20"/>
              </w:rPr>
              <w:t>级</w:t>
            </w:r>
          </w:p>
        </w:tc>
        <w:tc>
          <w:tcPr>
            <w:tcW w:w="677" w:type="dxa"/>
            <w:vAlign w:val="top"/>
          </w:tcPr>
          <w:p w14:paraId="77014A05">
            <w:pPr>
              <w:spacing w:before="65" w:line="230" w:lineRule="auto"/>
              <w:ind w:left="117"/>
              <w:rPr>
                <w:rFonts w:ascii="宋体" w:hAnsi="宋体" w:eastAsia="宋体" w:cs="宋体"/>
                <w:sz w:val="20"/>
                <w:szCs w:val="20"/>
              </w:rPr>
            </w:pPr>
            <w:r>
              <w:rPr>
                <w:rFonts w:ascii="宋体" w:hAnsi="宋体" w:eastAsia="宋体" w:cs="宋体"/>
                <w:spacing w:val="-2"/>
                <w:sz w:val="20"/>
                <w:szCs w:val="20"/>
              </w:rPr>
              <w:t>二</w:t>
            </w:r>
            <w:r>
              <w:rPr>
                <w:rFonts w:ascii="宋体" w:hAnsi="宋体" w:eastAsia="宋体" w:cs="宋体"/>
                <w:spacing w:val="-1"/>
                <w:sz w:val="20"/>
                <w:szCs w:val="20"/>
              </w:rPr>
              <w:t>级</w:t>
            </w:r>
          </w:p>
        </w:tc>
        <w:tc>
          <w:tcPr>
            <w:tcW w:w="677" w:type="dxa"/>
            <w:vAlign w:val="top"/>
          </w:tcPr>
          <w:p w14:paraId="5370E45D">
            <w:pPr>
              <w:spacing w:before="65" w:line="230" w:lineRule="auto"/>
              <w:ind w:left="117"/>
              <w:rPr>
                <w:rFonts w:ascii="宋体" w:hAnsi="宋体" w:eastAsia="宋体" w:cs="宋体"/>
                <w:sz w:val="20"/>
                <w:szCs w:val="20"/>
              </w:rPr>
            </w:pPr>
            <w:r>
              <w:rPr>
                <w:rFonts w:ascii="宋体" w:hAnsi="宋体" w:eastAsia="宋体" w:cs="宋体"/>
                <w:spacing w:val="-2"/>
                <w:sz w:val="20"/>
                <w:szCs w:val="20"/>
              </w:rPr>
              <w:t>二</w:t>
            </w:r>
            <w:r>
              <w:rPr>
                <w:rFonts w:ascii="宋体" w:hAnsi="宋体" w:eastAsia="宋体" w:cs="宋体"/>
                <w:spacing w:val="-1"/>
                <w:sz w:val="20"/>
                <w:szCs w:val="20"/>
              </w:rPr>
              <w:t>级</w:t>
            </w:r>
          </w:p>
        </w:tc>
        <w:tc>
          <w:tcPr>
            <w:tcW w:w="676" w:type="dxa"/>
            <w:vAlign w:val="top"/>
          </w:tcPr>
          <w:p w14:paraId="745CAF79">
            <w:pPr>
              <w:spacing w:before="65" w:line="230" w:lineRule="auto"/>
              <w:ind w:left="147"/>
              <w:rPr>
                <w:rFonts w:ascii="宋体" w:hAnsi="宋体" w:eastAsia="宋体" w:cs="宋体"/>
                <w:sz w:val="20"/>
                <w:szCs w:val="20"/>
              </w:rPr>
            </w:pPr>
            <w:r>
              <w:rPr>
                <w:rFonts w:ascii="宋体" w:hAnsi="宋体" w:eastAsia="宋体" w:cs="宋体"/>
                <w:sz w:val="20"/>
                <w:szCs w:val="20"/>
              </w:rPr>
              <w:t>三级</w:t>
            </w:r>
          </w:p>
        </w:tc>
        <w:tc>
          <w:tcPr>
            <w:tcW w:w="677" w:type="dxa"/>
            <w:vAlign w:val="top"/>
          </w:tcPr>
          <w:p w14:paraId="22E9BE9F">
            <w:pPr>
              <w:spacing w:before="65" w:line="230" w:lineRule="auto"/>
              <w:ind w:left="114"/>
              <w:rPr>
                <w:rFonts w:ascii="宋体" w:hAnsi="宋体" w:eastAsia="宋体" w:cs="宋体"/>
                <w:sz w:val="20"/>
                <w:szCs w:val="20"/>
              </w:rPr>
            </w:pPr>
            <w:r>
              <w:rPr>
                <w:rFonts w:ascii="宋体" w:hAnsi="宋体" w:eastAsia="宋体" w:cs="宋体"/>
                <w:sz w:val="20"/>
                <w:szCs w:val="20"/>
              </w:rPr>
              <w:t>三级</w:t>
            </w:r>
          </w:p>
        </w:tc>
        <w:tc>
          <w:tcPr>
            <w:tcW w:w="677" w:type="dxa"/>
            <w:vAlign w:val="top"/>
          </w:tcPr>
          <w:p w14:paraId="501414E2">
            <w:pPr>
              <w:spacing w:before="65" w:line="230" w:lineRule="auto"/>
              <w:ind w:left="114"/>
              <w:rPr>
                <w:rFonts w:ascii="宋体" w:hAnsi="宋体" w:eastAsia="宋体" w:cs="宋体"/>
                <w:sz w:val="20"/>
                <w:szCs w:val="20"/>
              </w:rPr>
            </w:pPr>
            <w:r>
              <w:rPr>
                <w:rFonts w:ascii="宋体" w:hAnsi="宋体" w:eastAsia="宋体" w:cs="宋体"/>
                <w:sz w:val="20"/>
                <w:szCs w:val="20"/>
              </w:rPr>
              <w:t>三级</w:t>
            </w:r>
          </w:p>
        </w:tc>
        <w:tc>
          <w:tcPr>
            <w:tcW w:w="677" w:type="dxa"/>
            <w:vAlign w:val="top"/>
          </w:tcPr>
          <w:p w14:paraId="7DB75EBA">
            <w:pPr>
              <w:spacing w:before="189" w:line="137" w:lineRule="exact"/>
              <w:ind w:left="314"/>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684" w:type="dxa"/>
            <w:tcBorders>
              <w:right w:val="nil"/>
            </w:tcBorders>
            <w:vAlign w:val="top"/>
          </w:tcPr>
          <w:p w14:paraId="09C90052">
            <w:pPr>
              <w:spacing w:before="189" w:line="137" w:lineRule="exact"/>
              <w:ind w:left="316"/>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bl>
    <w:p w14:paraId="6E435400">
      <w:pPr>
        <w:spacing w:before="62" w:line="226" w:lineRule="auto"/>
        <w:ind w:left="123"/>
        <w:rPr>
          <w:rFonts w:ascii="宋体" w:hAnsi="宋体" w:eastAsia="宋体" w:cs="宋体"/>
          <w:sz w:val="20"/>
          <w:szCs w:val="20"/>
        </w:rPr>
      </w:pPr>
      <w:r>
        <w:rPr>
          <w:rFonts w:ascii="宋体" w:hAnsi="宋体" w:eastAsia="宋体" w:cs="宋体"/>
          <w:spacing w:val="-3"/>
          <w:sz w:val="20"/>
          <w:szCs w:val="20"/>
        </w:rPr>
        <w:t>注：</w:t>
      </w:r>
      <w:r>
        <w:rPr>
          <w:rFonts w:ascii="Times New Roman" w:hAnsi="Times New Roman" w:eastAsia="Times New Roman" w:cs="Times New Roman"/>
          <w:spacing w:val="-3"/>
          <w:sz w:val="20"/>
          <w:szCs w:val="20"/>
        </w:rPr>
        <w:t>“-”</w:t>
      </w:r>
      <w:r>
        <w:rPr>
          <w:rFonts w:ascii="宋体" w:hAnsi="宋体" w:eastAsia="宋体" w:cs="宋体"/>
          <w:spacing w:val="-3"/>
          <w:sz w:val="20"/>
          <w:szCs w:val="20"/>
        </w:rPr>
        <w:t>表示可不展开土壤环境影响评价工</w:t>
      </w:r>
      <w:r>
        <w:rPr>
          <w:rFonts w:ascii="宋体" w:hAnsi="宋体" w:eastAsia="宋体" w:cs="宋体"/>
          <w:sz w:val="20"/>
          <w:szCs w:val="20"/>
        </w:rPr>
        <w:t>作</w:t>
      </w:r>
    </w:p>
    <w:p w14:paraId="52945574">
      <w:pPr>
        <w:spacing w:before="26" w:line="29" w:lineRule="exact"/>
        <w:ind w:firstLine="7"/>
        <w:textAlignment w:val="center"/>
      </w:pPr>
      <w:r>
        <w:pict>
          <v:shape id="_x0000_s1100" o:spid="_x0000_s1100" style="height:1.45pt;width:426.15pt;" filled="f" stroked="t" coordsize="8522,29" path="m0,14l8522,14e">
            <v:fill on="f" focussize="0,0"/>
            <v:stroke weight="1.44pt" color="#000000" miterlimit="2" joinstyle="bevel"/>
            <v:imagedata o:title=""/>
            <o:lock v:ext="edit"/>
            <w10:wrap type="none"/>
            <w10:anchorlock/>
          </v:shape>
        </w:pict>
      </w:r>
    </w:p>
    <w:p w14:paraId="491D7E25">
      <w:pPr>
        <w:spacing w:line="270" w:lineRule="auto"/>
        <w:rPr>
          <w:rFonts w:ascii="Arial"/>
          <w:sz w:val="21"/>
        </w:rPr>
      </w:pPr>
    </w:p>
    <w:p w14:paraId="2DDAE179">
      <w:pPr>
        <w:spacing w:before="76" w:line="393" w:lineRule="auto"/>
        <w:ind w:left="125" w:right="110" w:firstLine="484"/>
        <w:rPr>
          <w:rFonts w:ascii="宋体" w:hAnsi="宋体" w:eastAsia="宋体" w:cs="宋体"/>
          <w:sz w:val="23"/>
          <w:szCs w:val="23"/>
        </w:rPr>
      </w:pPr>
      <w:r>
        <w:rPr>
          <w:rFonts w:ascii="宋体" w:hAnsi="宋体" w:eastAsia="宋体" w:cs="宋体"/>
          <w:spacing w:val="-1"/>
          <w:sz w:val="23"/>
          <w:szCs w:val="23"/>
        </w:rPr>
        <w:t>综上</w:t>
      </w:r>
      <w:r>
        <w:rPr>
          <w:rFonts w:ascii="宋体" w:hAnsi="宋体" w:eastAsia="宋体" w:cs="宋体"/>
          <w:sz w:val="23"/>
          <w:szCs w:val="23"/>
        </w:rPr>
        <w:t>分析，项目属于土壤环境影响评价分类的</w:t>
      </w:r>
      <w:r>
        <w:rPr>
          <w:rFonts w:ascii="Times New Roman" w:hAnsi="Times New Roman" w:eastAsia="Times New Roman" w:cs="Times New Roman"/>
          <w:sz w:val="23"/>
          <w:szCs w:val="23"/>
        </w:rPr>
        <w:t>Ⅲ</w:t>
      </w:r>
      <w:r>
        <w:rPr>
          <w:rFonts w:ascii="宋体" w:hAnsi="宋体" w:eastAsia="宋体" w:cs="宋体"/>
          <w:sz w:val="23"/>
          <w:szCs w:val="23"/>
        </w:rPr>
        <w:t xml:space="preserve">类项目，土壤环境敏感程度为 </w:t>
      </w:r>
      <w:r>
        <w:rPr>
          <w:rFonts w:ascii="宋体" w:hAnsi="宋体" w:eastAsia="宋体" w:cs="宋体"/>
          <w:spacing w:val="-4"/>
          <w:sz w:val="23"/>
          <w:szCs w:val="23"/>
        </w:rPr>
        <w:t>敏</w:t>
      </w:r>
      <w:r>
        <w:rPr>
          <w:rFonts w:ascii="宋体" w:hAnsi="宋体" w:eastAsia="宋体" w:cs="宋体"/>
          <w:spacing w:val="-3"/>
          <w:sz w:val="23"/>
          <w:szCs w:val="23"/>
        </w:rPr>
        <w:t>感，项目占地规模为小型，因此评价工作等级确定为三级。</w:t>
      </w:r>
    </w:p>
    <w:p w14:paraId="19E30A49">
      <w:pPr>
        <w:spacing w:before="103" w:line="219" w:lineRule="auto"/>
        <w:ind w:left="122"/>
        <w:outlineLvl w:val="3"/>
        <w:rPr>
          <w:rFonts w:ascii="宋体" w:hAnsi="宋体" w:eastAsia="宋体" w:cs="宋体"/>
          <w:sz w:val="28"/>
          <w:szCs w:val="28"/>
        </w:rPr>
      </w:pPr>
      <w:r>
        <w:rPr>
          <w:rFonts w:ascii="Times New Roman" w:hAnsi="Times New Roman" w:eastAsia="Times New Roman" w:cs="Times New Roman"/>
          <w:b/>
          <w:bCs/>
          <w:spacing w:val="-8"/>
          <w:sz w:val="28"/>
          <w:szCs w:val="28"/>
        </w:rPr>
        <w:t>2.6</w:t>
      </w:r>
      <w:r>
        <w:rPr>
          <w:rFonts w:ascii="Times New Roman" w:hAnsi="Times New Roman" w:eastAsia="Times New Roman" w:cs="Times New Roman"/>
          <w:b/>
          <w:bCs/>
          <w:spacing w:val="-6"/>
          <w:sz w:val="28"/>
          <w:szCs w:val="28"/>
        </w:rPr>
        <w:t>.</w:t>
      </w:r>
      <w:r>
        <w:rPr>
          <w:rFonts w:ascii="Times New Roman" w:hAnsi="Times New Roman" w:eastAsia="Times New Roman" w:cs="Times New Roman"/>
          <w:b/>
          <w:bCs/>
          <w:spacing w:val="-4"/>
          <w:sz w:val="28"/>
          <w:szCs w:val="28"/>
        </w:rPr>
        <w:t>1.6</w:t>
      </w:r>
      <w:r>
        <w:rPr>
          <w:rFonts w:ascii="Times New Roman" w:hAnsi="Times New Roman" w:eastAsia="Times New Roman" w:cs="Times New Roman"/>
          <w:spacing w:val="-4"/>
          <w:sz w:val="28"/>
          <w:szCs w:val="28"/>
        </w:rPr>
        <w:t xml:space="preserve"> </w:t>
      </w:r>
      <w:r>
        <w:rPr>
          <w:rFonts w:ascii="宋体" w:hAnsi="宋体" w:eastAsia="宋体" w:cs="宋体"/>
          <w:spacing w:val="-4"/>
          <w:sz w:val="28"/>
          <w:szCs w:val="28"/>
          <w14:textOutline w14:w="5103" w14:cap="sq" w14:cmpd="sng">
            <w14:solidFill>
              <w14:srgbClr w14:val="000000"/>
            </w14:solidFill>
            <w14:prstDash w14:val="solid"/>
            <w14:bevel/>
          </w14:textOutline>
        </w:rPr>
        <w:t>环境风险评价工作等级</w:t>
      </w:r>
    </w:p>
    <w:p w14:paraId="61A7B121">
      <w:pPr>
        <w:spacing w:line="266" w:lineRule="auto"/>
        <w:rPr>
          <w:rFonts w:ascii="Arial"/>
          <w:sz w:val="21"/>
        </w:rPr>
      </w:pPr>
    </w:p>
    <w:p w14:paraId="3A19692C">
      <w:pPr>
        <w:spacing w:before="75" w:line="376" w:lineRule="auto"/>
        <w:ind w:left="124" w:right="110" w:firstLine="480"/>
        <w:rPr>
          <w:rFonts w:ascii="宋体" w:hAnsi="宋体" w:eastAsia="宋体" w:cs="宋体"/>
          <w:sz w:val="23"/>
          <w:szCs w:val="23"/>
        </w:rPr>
      </w:pPr>
      <w:r>
        <w:rPr>
          <w:rFonts w:ascii="宋体" w:hAnsi="宋体" w:eastAsia="宋体" w:cs="宋体"/>
          <w:spacing w:val="-4"/>
          <w:sz w:val="23"/>
          <w:szCs w:val="23"/>
        </w:rPr>
        <w:t>根据《建设项目环境风险评</w:t>
      </w:r>
      <w:r>
        <w:rPr>
          <w:rFonts w:ascii="宋体" w:hAnsi="宋体" w:eastAsia="宋体" w:cs="宋体"/>
          <w:spacing w:val="-2"/>
          <w:sz w:val="23"/>
          <w:szCs w:val="23"/>
        </w:rPr>
        <w:t>价技术导则》  (</w:t>
      </w:r>
      <w:r>
        <w:rPr>
          <w:rFonts w:ascii="Times New Roman" w:hAnsi="Times New Roman" w:eastAsia="Times New Roman" w:cs="Times New Roman"/>
          <w:spacing w:val="-2"/>
          <w:sz w:val="23"/>
          <w:szCs w:val="23"/>
        </w:rPr>
        <w:t>HJ169-2018</w:t>
      </w:r>
      <w:r>
        <w:rPr>
          <w:rFonts w:ascii="宋体" w:hAnsi="宋体" w:eastAsia="宋体" w:cs="宋体"/>
          <w:spacing w:val="-2"/>
          <w:sz w:val="23"/>
          <w:szCs w:val="23"/>
        </w:rPr>
        <w:t>) 规定，建设项目环境</w:t>
      </w:r>
      <w:r>
        <w:rPr>
          <w:rFonts w:ascii="宋体" w:hAnsi="宋体" w:eastAsia="宋体" w:cs="宋体"/>
          <w:sz w:val="23"/>
          <w:szCs w:val="23"/>
        </w:rPr>
        <w:t xml:space="preserve"> </w:t>
      </w:r>
      <w:r>
        <w:rPr>
          <w:rFonts w:ascii="宋体" w:hAnsi="宋体" w:eastAsia="宋体" w:cs="宋体"/>
          <w:spacing w:val="-6"/>
          <w:sz w:val="23"/>
          <w:szCs w:val="23"/>
        </w:rPr>
        <w:t>风险潜</w:t>
      </w:r>
      <w:r>
        <w:rPr>
          <w:rFonts w:ascii="宋体" w:hAnsi="宋体" w:eastAsia="宋体" w:cs="宋体"/>
          <w:spacing w:val="-3"/>
          <w:sz w:val="23"/>
          <w:szCs w:val="23"/>
        </w:rPr>
        <w:t>势划分为</w:t>
      </w:r>
      <w:r>
        <w:rPr>
          <w:rFonts w:ascii="Times New Roman" w:hAnsi="Times New Roman" w:eastAsia="Times New Roman" w:cs="Times New Roman"/>
          <w:spacing w:val="-3"/>
          <w:sz w:val="23"/>
          <w:szCs w:val="23"/>
        </w:rPr>
        <w:t xml:space="preserve">Ⅰ </w:t>
      </w:r>
      <w:r>
        <w:rPr>
          <w:rFonts w:ascii="宋体" w:hAnsi="宋体" w:eastAsia="宋体" w:cs="宋体"/>
          <w:spacing w:val="-3"/>
          <w:sz w:val="23"/>
          <w:szCs w:val="23"/>
        </w:rPr>
        <w:t>、</w:t>
      </w:r>
      <w:r>
        <w:rPr>
          <w:rFonts w:ascii="Times New Roman" w:hAnsi="Times New Roman" w:eastAsia="Times New Roman" w:cs="Times New Roman"/>
          <w:spacing w:val="-3"/>
          <w:sz w:val="23"/>
          <w:szCs w:val="23"/>
        </w:rPr>
        <w:t xml:space="preserve">Ⅱ </w:t>
      </w:r>
      <w:r>
        <w:rPr>
          <w:rFonts w:ascii="宋体" w:hAnsi="宋体" w:eastAsia="宋体" w:cs="宋体"/>
          <w:spacing w:val="-3"/>
          <w:sz w:val="23"/>
          <w:szCs w:val="23"/>
        </w:rPr>
        <w:t>、</w:t>
      </w:r>
      <w:r>
        <w:rPr>
          <w:rFonts w:ascii="Times New Roman" w:hAnsi="Times New Roman" w:eastAsia="Times New Roman" w:cs="Times New Roman"/>
          <w:spacing w:val="-3"/>
          <w:sz w:val="23"/>
          <w:szCs w:val="23"/>
        </w:rPr>
        <w:t xml:space="preserve">Ⅲ </w:t>
      </w:r>
      <w:r>
        <w:rPr>
          <w:rFonts w:ascii="宋体" w:hAnsi="宋体" w:eastAsia="宋体" w:cs="宋体"/>
          <w:spacing w:val="-3"/>
          <w:sz w:val="23"/>
          <w:szCs w:val="23"/>
        </w:rPr>
        <w:t>、</w:t>
      </w:r>
      <w:r>
        <w:rPr>
          <w:rFonts w:ascii="Times New Roman" w:hAnsi="Times New Roman" w:eastAsia="Times New Roman" w:cs="Times New Roman"/>
          <w:spacing w:val="-3"/>
          <w:sz w:val="23"/>
          <w:szCs w:val="23"/>
        </w:rPr>
        <w:t>Ⅳ/Ⅳ+</w:t>
      </w:r>
      <w:r>
        <w:rPr>
          <w:rFonts w:ascii="宋体" w:hAnsi="宋体" w:eastAsia="宋体" w:cs="宋体"/>
          <w:spacing w:val="-3"/>
          <w:sz w:val="23"/>
          <w:szCs w:val="23"/>
        </w:rPr>
        <w:t>级，是根据建设项目涉及的物质和工艺系统的危</w:t>
      </w:r>
      <w:r>
        <w:rPr>
          <w:rFonts w:ascii="宋体" w:hAnsi="宋体" w:eastAsia="宋体" w:cs="宋体"/>
          <w:sz w:val="23"/>
          <w:szCs w:val="23"/>
        </w:rPr>
        <w:t xml:space="preserve"> </w:t>
      </w:r>
      <w:r>
        <w:rPr>
          <w:rFonts w:ascii="宋体" w:hAnsi="宋体" w:eastAsia="宋体" w:cs="宋体"/>
          <w:spacing w:val="1"/>
          <w:sz w:val="23"/>
          <w:szCs w:val="23"/>
        </w:rPr>
        <w:t>险性及其所在地的环境敏感程度</w:t>
      </w:r>
      <w:r>
        <w:rPr>
          <w:rFonts w:ascii="宋体" w:hAnsi="宋体" w:eastAsia="宋体" w:cs="宋体"/>
          <w:sz w:val="23"/>
          <w:szCs w:val="23"/>
        </w:rPr>
        <w:t xml:space="preserve">，结合事故情形下环境影响途径，对建设项目潜在 </w:t>
      </w:r>
      <w:r>
        <w:rPr>
          <w:rFonts w:ascii="宋体" w:hAnsi="宋体" w:eastAsia="宋体" w:cs="宋体"/>
          <w:spacing w:val="-8"/>
          <w:sz w:val="23"/>
          <w:szCs w:val="23"/>
        </w:rPr>
        <w:t>环境危害程度</w:t>
      </w:r>
      <w:r>
        <w:rPr>
          <w:rFonts w:ascii="宋体" w:hAnsi="宋体" w:eastAsia="宋体" w:cs="宋体"/>
          <w:spacing w:val="-4"/>
          <w:sz w:val="23"/>
          <w:szCs w:val="23"/>
        </w:rPr>
        <w:t xml:space="preserve">进行的概化分析，风险评价等级划分依据见表 </w:t>
      </w:r>
      <w:r>
        <w:rPr>
          <w:rFonts w:ascii="Times New Roman" w:hAnsi="Times New Roman" w:eastAsia="Times New Roman" w:cs="Times New Roman"/>
          <w:spacing w:val="-4"/>
          <w:sz w:val="23"/>
          <w:szCs w:val="23"/>
        </w:rPr>
        <w:t>2-25</w:t>
      </w:r>
      <w:r>
        <w:rPr>
          <w:rFonts w:ascii="宋体" w:hAnsi="宋体" w:eastAsia="宋体" w:cs="宋体"/>
          <w:spacing w:val="-4"/>
          <w:sz w:val="23"/>
          <w:szCs w:val="23"/>
        </w:rPr>
        <w:t>。</w:t>
      </w:r>
    </w:p>
    <w:p w14:paraId="00188737">
      <w:pPr>
        <w:sectPr>
          <w:headerReference r:id="rId74" w:type="default"/>
          <w:footerReference r:id="rId75" w:type="default"/>
          <w:pgSz w:w="11906" w:h="16839"/>
          <w:pgMar w:top="1132" w:right="1691" w:bottom="1156" w:left="1684" w:header="878" w:footer="996" w:gutter="0"/>
          <w:cols w:space="720" w:num="1"/>
        </w:sectPr>
      </w:pPr>
    </w:p>
    <w:p w14:paraId="29909AA0">
      <w:pPr>
        <w:spacing w:line="402" w:lineRule="auto"/>
        <w:rPr>
          <w:rFonts w:ascii="Arial"/>
          <w:sz w:val="21"/>
        </w:rPr>
      </w:pPr>
      <w:r>
        <w:pict>
          <v:shape id="_x0000_s1101" o:spid="_x0000_s1101" style="position:absolute;left:0pt;margin-left:90pt;margin-top:57.35pt;height:0.75pt;width:415.3pt;mso-position-horizontal-relative:page;mso-position-vertical-relative:page;z-index:251737088;mso-width-relative:page;mso-height-relative:page;" fillcolor="#000000" filled="t" stroked="f" coordsize="8305,15" o:allowincell="f" path="m0,0l8305,0,8305,14,0,14,0,0xe">
            <v:path/>
            <v:fill on="t" focussize="0,0"/>
            <v:stroke on="f"/>
            <v:imagedata o:title=""/>
            <o:lock v:ext="edit"/>
          </v:shape>
        </w:pict>
      </w:r>
    </w:p>
    <w:p w14:paraId="05526CA9">
      <w:pPr>
        <w:spacing w:before="74" w:line="227" w:lineRule="auto"/>
        <w:ind w:left="2471"/>
        <w:rPr>
          <w:rFonts w:ascii="宋体" w:hAnsi="宋体" w:eastAsia="宋体" w:cs="宋体"/>
          <w:sz w:val="23"/>
          <w:szCs w:val="23"/>
        </w:rPr>
      </w:pPr>
      <w:r>
        <w:rPr>
          <w:rFonts w:ascii="宋体" w:hAnsi="宋体" w:eastAsia="宋体" w:cs="宋体"/>
          <w:spacing w:val="-2"/>
          <w:sz w:val="23"/>
          <w:szCs w:val="23"/>
          <w14:textOutline w14:w="4358" w14:cap="sq" w14:cmpd="sng">
            <w14:solidFill>
              <w14:srgbClr w14:val="000000"/>
            </w14:solidFill>
            <w14:prstDash w14:val="solid"/>
            <w14:bevel/>
          </w14:textOutline>
        </w:rPr>
        <w:t>表</w:t>
      </w:r>
      <w:r>
        <w:rPr>
          <w:rFonts w:ascii="宋体" w:hAnsi="宋体" w:eastAsia="宋体" w:cs="宋体"/>
          <w:spacing w:val="-2"/>
          <w:sz w:val="23"/>
          <w:szCs w:val="23"/>
        </w:rPr>
        <w:t xml:space="preserve"> </w:t>
      </w:r>
      <w:r>
        <w:rPr>
          <w:rFonts w:ascii="Times New Roman" w:hAnsi="Times New Roman" w:eastAsia="Times New Roman" w:cs="Times New Roman"/>
          <w:b/>
          <w:bCs/>
          <w:spacing w:val="-2"/>
          <w:sz w:val="23"/>
          <w:szCs w:val="23"/>
        </w:rPr>
        <w:t>2-25</w:t>
      </w:r>
      <w:r>
        <w:rPr>
          <w:rFonts w:ascii="Times New Roman" w:hAnsi="Times New Roman" w:eastAsia="Times New Roman" w:cs="Times New Roman"/>
          <w:spacing w:val="-2"/>
          <w:sz w:val="23"/>
          <w:szCs w:val="23"/>
        </w:rPr>
        <w:t xml:space="preserve">       </w:t>
      </w:r>
      <w:r>
        <w:rPr>
          <w:rFonts w:ascii="宋体" w:hAnsi="宋体" w:eastAsia="宋体" w:cs="宋体"/>
          <w:spacing w:val="-1"/>
          <w:sz w:val="23"/>
          <w:szCs w:val="23"/>
          <w14:textOutline w14:w="4358" w14:cap="sq" w14:cmpd="sng">
            <w14:solidFill>
              <w14:srgbClr w14:val="000000"/>
            </w14:solidFill>
            <w14:prstDash w14:val="solid"/>
            <w14:bevel/>
          </w14:textOutline>
        </w:rPr>
        <w:t>建设项目环境风险潜势划分</w:t>
      </w:r>
    </w:p>
    <w:p w14:paraId="575EF6CD">
      <w:pPr>
        <w:spacing w:line="15" w:lineRule="exact"/>
      </w:pPr>
    </w:p>
    <w:tbl>
      <w:tblPr>
        <w:tblStyle w:val="4"/>
        <w:tblW w:w="838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6"/>
        <w:gridCol w:w="1563"/>
        <w:gridCol w:w="1563"/>
        <w:gridCol w:w="1562"/>
        <w:gridCol w:w="1565"/>
      </w:tblGrid>
      <w:tr w14:paraId="0E06FC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2136" w:type="dxa"/>
            <w:vMerge w:val="restart"/>
            <w:tcBorders>
              <w:left w:val="nil"/>
              <w:bottom w:val="nil"/>
            </w:tcBorders>
            <w:vAlign w:val="top"/>
          </w:tcPr>
          <w:p w14:paraId="63F14FB9">
            <w:pPr>
              <w:spacing w:before="258" w:line="228" w:lineRule="auto"/>
              <w:ind w:left="230"/>
              <w:rPr>
                <w:rFonts w:ascii="宋体" w:hAnsi="宋体" w:eastAsia="宋体" w:cs="宋体"/>
                <w:sz w:val="20"/>
                <w:szCs w:val="20"/>
              </w:rPr>
            </w:pPr>
            <w:r>
              <w:rPr>
                <w:rFonts w:ascii="宋体" w:hAnsi="宋体" w:eastAsia="宋体" w:cs="宋体"/>
                <w:spacing w:val="-4"/>
                <w:sz w:val="20"/>
                <w:szCs w:val="20"/>
              </w:rPr>
              <w:t>环境敏</w:t>
            </w:r>
            <w:r>
              <w:rPr>
                <w:rFonts w:ascii="宋体" w:hAnsi="宋体" w:eastAsia="宋体" w:cs="宋体"/>
                <w:spacing w:val="-2"/>
                <w:sz w:val="20"/>
                <w:szCs w:val="20"/>
              </w:rPr>
              <w:t>感程度 (</w:t>
            </w:r>
            <w:r>
              <w:rPr>
                <w:rFonts w:ascii="Times New Roman" w:hAnsi="Times New Roman" w:eastAsia="Times New Roman" w:cs="Times New Roman"/>
                <w:spacing w:val="-2"/>
                <w:sz w:val="20"/>
                <w:szCs w:val="20"/>
              </w:rPr>
              <w:t>E</w:t>
            </w:r>
            <w:r>
              <w:rPr>
                <w:rFonts w:ascii="宋体" w:hAnsi="宋体" w:eastAsia="宋体" w:cs="宋体"/>
                <w:spacing w:val="-2"/>
                <w:sz w:val="20"/>
                <w:szCs w:val="20"/>
              </w:rPr>
              <w:t>)</w:t>
            </w:r>
          </w:p>
        </w:tc>
        <w:tc>
          <w:tcPr>
            <w:tcW w:w="6253" w:type="dxa"/>
            <w:gridSpan w:val="4"/>
            <w:tcBorders>
              <w:right w:val="nil"/>
            </w:tcBorders>
            <w:vAlign w:val="top"/>
          </w:tcPr>
          <w:p w14:paraId="29003321">
            <w:pPr>
              <w:spacing w:before="86" w:line="228" w:lineRule="auto"/>
              <w:ind w:left="1708"/>
              <w:rPr>
                <w:rFonts w:ascii="宋体" w:hAnsi="宋体" w:eastAsia="宋体" w:cs="宋体"/>
                <w:sz w:val="20"/>
                <w:szCs w:val="20"/>
              </w:rPr>
            </w:pPr>
            <w:r>
              <w:rPr>
                <w:rFonts w:ascii="宋体" w:hAnsi="宋体" w:eastAsia="宋体" w:cs="宋体"/>
                <w:spacing w:val="-5"/>
                <w:sz w:val="20"/>
                <w:szCs w:val="20"/>
              </w:rPr>
              <w:t>危</w:t>
            </w:r>
            <w:r>
              <w:rPr>
                <w:rFonts w:ascii="宋体" w:hAnsi="宋体" w:eastAsia="宋体" w:cs="宋体"/>
                <w:spacing w:val="-3"/>
                <w:sz w:val="20"/>
                <w:szCs w:val="20"/>
              </w:rPr>
              <w:t>险物质及工艺系统危险性 (</w:t>
            </w:r>
            <w:r>
              <w:rPr>
                <w:rFonts w:ascii="Times New Roman" w:hAnsi="Times New Roman" w:eastAsia="Times New Roman" w:cs="Times New Roman"/>
                <w:spacing w:val="-3"/>
                <w:sz w:val="20"/>
                <w:szCs w:val="20"/>
              </w:rPr>
              <w:t>P</w:t>
            </w:r>
            <w:r>
              <w:rPr>
                <w:rFonts w:ascii="宋体" w:hAnsi="宋体" w:eastAsia="宋体" w:cs="宋体"/>
                <w:spacing w:val="-3"/>
                <w:sz w:val="20"/>
                <w:szCs w:val="20"/>
              </w:rPr>
              <w:t>)</w:t>
            </w:r>
          </w:p>
        </w:tc>
      </w:tr>
      <w:tr w14:paraId="145692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2136" w:type="dxa"/>
            <w:vMerge w:val="continue"/>
            <w:tcBorders>
              <w:top w:val="nil"/>
              <w:left w:val="nil"/>
            </w:tcBorders>
            <w:vAlign w:val="top"/>
          </w:tcPr>
          <w:p w14:paraId="5ED386AA">
            <w:pPr>
              <w:rPr>
                <w:rFonts w:ascii="Arial"/>
                <w:sz w:val="21"/>
              </w:rPr>
            </w:pPr>
          </w:p>
        </w:tc>
        <w:tc>
          <w:tcPr>
            <w:tcW w:w="1563" w:type="dxa"/>
            <w:vAlign w:val="top"/>
          </w:tcPr>
          <w:p w14:paraId="359922E2">
            <w:pPr>
              <w:spacing w:before="62" w:line="228" w:lineRule="auto"/>
              <w:ind w:left="117"/>
              <w:rPr>
                <w:rFonts w:ascii="宋体" w:hAnsi="宋体" w:eastAsia="宋体" w:cs="宋体"/>
                <w:sz w:val="20"/>
                <w:szCs w:val="20"/>
              </w:rPr>
            </w:pPr>
            <w:r>
              <w:rPr>
                <w:rFonts w:ascii="宋体" w:hAnsi="宋体" w:eastAsia="宋体" w:cs="宋体"/>
                <w:spacing w:val="-4"/>
                <w:sz w:val="20"/>
                <w:szCs w:val="20"/>
              </w:rPr>
              <w:t>极</w:t>
            </w:r>
            <w:r>
              <w:rPr>
                <w:rFonts w:ascii="宋体" w:hAnsi="宋体" w:eastAsia="宋体" w:cs="宋体"/>
                <w:spacing w:val="-3"/>
                <w:sz w:val="20"/>
                <w:szCs w:val="20"/>
              </w:rPr>
              <w:t>高</w:t>
            </w:r>
            <w:r>
              <w:rPr>
                <w:rFonts w:ascii="宋体" w:hAnsi="宋体" w:eastAsia="宋体" w:cs="宋体"/>
                <w:spacing w:val="-2"/>
                <w:sz w:val="20"/>
                <w:szCs w:val="20"/>
              </w:rPr>
              <w:t>危害 (</w:t>
            </w:r>
            <w:r>
              <w:rPr>
                <w:rFonts w:ascii="Times New Roman" w:hAnsi="Times New Roman" w:eastAsia="Times New Roman" w:cs="Times New Roman"/>
                <w:spacing w:val="-2"/>
                <w:sz w:val="20"/>
                <w:szCs w:val="20"/>
              </w:rPr>
              <w:t>P1</w:t>
            </w:r>
            <w:r>
              <w:rPr>
                <w:rFonts w:ascii="宋体" w:hAnsi="宋体" w:eastAsia="宋体" w:cs="宋体"/>
                <w:spacing w:val="-2"/>
                <w:sz w:val="20"/>
                <w:szCs w:val="20"/>
              </w:rPr>
              <w:t>)</w:t>
            </w:r>
          </w:p>
        </w:tc>
        <w:tc>
          <w:tcPr>
            <w:tcW w:w="1563" w:type="dxa"/>
            <w:vAlign w:val="top"/>
          </w:tcPr>
          <w:p w14:paraId="3266715E">
            <w:pPr>
              <w:spacing w:before="62" w:line="228" w:lineRule="auto"/>
              <w:ind w:left="122"/>
              <w:rPr>
                <w:rFonts w:ascii="宋体" w:hAnsi="宋体" w:eastAsia="宋体" w:cs="宋体"/>
                <w:sz w:val="20"/>
                <w:szCs w:val="20"/>
              </w:rPr>
            </w:pPr>
            <w:r>
              <w:rPr>
                <w:rFonts w:ascii="宋体" w:hAnsi="宋体" w:eastAsia="宋体" w:cs="宋体"/>
                <w:spacing w:val="-3"/>
                <w:sz w:val="20"/>
                <w:szCs w:val="20"/>
              </w:rPr>
              <w:t>高度危害 (</w:t>
            </w:r>
            <w:r>
              <w:rPr>
                <w:rFonts w:ascii="Times New Roman" w:hAnsi="Times New Roman" w:eastAsia="Times New Roman" w:cs="Times New Roman"/>
                <w:spacing w:val="-3"/>
                <w:sz w:val="20"/>
                <w:szCs w:val="20"/>
              </w:rPr>
              <w:t>P2</w:t>
            </w:r>
            <w:r>
              <w:rPr>
                <w:rFonts w:ascii="宋体" w:hAnsi="宋体" w:eastAsia="宋体" w:cs="宋体"/>
                <w:spacing w:val="-3"/>
                <w:sz w:val="20"/>
                <w:szCs w:val="20"/>
              </w:rPr>
              <w:t>)</w:t>
            </w:r>
          </w:p>
        </w:tc>
        <w:tc>
          <w:tcPr>
            <w:tcW w:w="1562" w:type="dxa"/>
            <w:vAlign w:val="top"/>
          </w:tcPr>
          <w:p w14:paraId="03F22869">
            <w:pPr>
              <w:spacing w:before="63" w:line="228" w:lineRule="auto"/>
              <w:ind w:left="135"/>
              <w:rPr>
                <w:rFonts w:ascii="宋体" w:hAnsi="宋体" w:eastAsia="宋体" w:cs="宋体"/>
                <w:sz w:val="20"/>
                <w:szCs w:val="20"/>
              </w:rPr>
            </w:pPr>
            <w:r>
              <w:rPr>
                <w:rFonts w:ascii="宋体" w:hAnsi="宋体" w:eastAsia="宋体" w:cs="宋体"/>
                <w:spacing w:val="-8"/>
                <w:sz w:val="20"/>
                <w:szCs w:val="20"/>
              </w:rPr>
              <w:t>中</w:t>
            </w:r>
            <w:r>
              <w:rPr>
                <w:rFonts w:ascii="宋体" w:hAnsi="宋体" w:eastAsia="宋体" w:cs="宋体"/>
                <w:spacing w:val="-5"/>
                <w:sz w:val="20"/>
                <w:szCs w:val="20"/>
              </w:rPr>
              <w:t>度</w:t>
            </w:r>
            <w:r>
              <w:rPr>
                <w:rFonts w:ascii="宋体" w:hAnsi="宋体" w:eastAsia="宋体" w:cs="宋体"/>
                <w:spacing w:val="-4"/>
                <w:sz w:val="20"/>
                <w:szCs w:val="20"/>
              </w:rPr>
              <w:t>危害 (</w:t>
            </w:r>
            <w:r>
              <w:rPr>
                <w:rFonts w:ascii="Times New Roman" w:hAnsi="Times New Roman" w:eastAsia="Times New Roman" w:cs="Times New Roman"/>
                <w:spacing w:val="-4"/>
                <w:sz w:val="20"/>
                <w:szCs w:val="20"/>
              </w:rPr>
              <w:t>P3</w:t>
            </w:r>
            <w:r>
              <w:rPr>
                <w:rFonts w:ascii="宋体" w:hAnsi="宋体" w:eastAsia="宋体" w:cs="宋体"/>
                <w:spacing w:val="-4"/>
                <w:sz w:val="20"/>
                <w:szCs w:val="20"/>
              </w:rPr>
              <w:t>)</w:t>
            </w:r>
          </w:p>
        </w:tc>
        <w:tc>
          <w:tcPr>
            <w:tcW w:w="1565" w:type="dxa"/>
            <w:tcBorders>
              <w:right w:val="nil"/>
            </w:tcBorders>
            <w:vAlign w:val="top"/>
          </w:tcPr>
          <w:p w14:paraId="10298C13">
            <w:pPr>
              <w:spacing w:before="62" w:line="228" w:lineRule="auto"/>
              <w:ind w:left="117"/>
              <w:rPr>
                <w:rFonts w:ascii="宋体" w:hAnsi="宋体" w:eastAsia="宋体" w:cs="宋体"/>
                <w:sz w:val="20"/>
                <w:szCs w:val="20"/>
              </w:rPr>
            </w:pPr>
            <w:r>
              <w:rPr>
                <w:rFonts w:ascii="宋体" w:hAnsi="宋体" w:eastAsia="宋体" w:cs="宋体"/>
                <w:spacing w:val="-3"/>
                <w:sz w:val="20"/>
                <w:szCs w:val="20"/>
              </w:rPr>
              <w:t>轻</w:t>
            </w:r>
            <w:r>
              <w:rPr>
                <w:rFonts w:ascii="宋体" w:hAnsi="宋体" w:eastAsia="宋体" w:cs="宋体"/>
                <w:spacing w:val="-2"/>
                <w:sz w:val="20"/>
                <w:szCs w:val="20"/>
              </w:rPr>
              <w:t>度危害 (</w:t>
            </w:r>
            <w:r>
              <w:rPr>
                <w:rFonts w:ascii="Times New Roman" w:hAnsi="Times New Roman" w:eastAsia="Times New Roman" w:cs="Times New Roman"/>
                <w:spacing w:val="-2"/>
                <w:sz w:val="20"/>
                <w:szCs w:val="20"/>
              </w:rPr>
              <w:t>P4</w:t>
            </w:r>
            <w:r>
              <w:rPr>
                <w:rFonts w:ascii="宋体" w:hAnsi="宋体" w:eastAsia="宋体" w:cs="宋体"/>
                <w:spacing w:val="-2"/>
                <w:sz w:val="20"/>
                <w:szCs w:val="20"/>
              </w:rPr>
              <w:t>)</w:t>
            </w:r>
          </w:p>
        </w:tc>
      </w:tr>
      <w:tr w14:paraId="12818A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2136" w:type="dxa"/>
            <w:tcBorders>
              <w:left w:val="nil"/>
            </w:tcBorders>
            <w:vAlign w:val="top"/>
          </w:tcPr>
          <w:p w14:paraId="6ADE922F">
            <w:pPr>
              <w:spacing w:before="63" w:line="228" w:lineRule="auto"/>
              <w:ind w:left="119"/>
              <w:rPr>
                <w:rFonts w:ascii="宋体" w:hAnsi="宋体" w:eastAsia="宋体" w:cs="宋体"/>
                <w:sz w:val="20"/>
                <w:szCs w:val="20"/>
              </w:rPr>
            </w:pPr>
            <w:r>
              <w:rPr>
                <w:rFonts w:ascii="宋体" w:hAnsi="宋体" w:eastAsia="宋体" w:cs="宋体"/>
                <w:spacing w:val="-4"/>
                <w:sz w:val="20"/>
                <w:szCs w:val="20"/>
              </w:rPr>
              <w:t>环</w:t>
            </w:r>
            <w:r>
              <w:rPr>
                <w:rFonts w:ascii="宋体" w:hAnsi="宋体" w:eastAsia="宋体" w:cs="宋体"/>
                <w:spacing w:val="-3"/>
                <w:sz w:val="20"/>
                <w:szCs w:val="20"/>
              </w:rPr>
              <w:t>境</w:t>
            </w:r>
            <w:r>
              <w:rPr>
                <w:rFonts w:ascii="宋体" w:hAnsi="宋体" w:eastAsia="宋体" w:cs="宋体"/>
                <w:spacing w:val="-2"/>
                <w:sz w:val="20"/>
                <w:szCs w:val="20"/>
              </w:rPr>
              <w:t>高度敏感区 (</w:t>
            </w:r>
            <w:r>
              <w:rPr>
                <w:rFonts w:ascii="Times New Roman" w:hAnsi="Times New Roman" w:eastAsia="Times New Roman" w:cs="Times New Roman"/>
                <w:spacing w:val="-2"/>
                <w:sz w:val="20"/>
                <w:szCs w:val="20"/>
              </w:rPr>
              <w:t>E1</w:t>
            </w:r>
            <w:r>
              <w:rPr>
                <w:rFonts w:ascii="宋体" w:hAnsi="宋体" w:eastAsia="宋体" w:cs="宋体"/>
                <w:spacing w:val="-2"/>
                <w:sz w:val="20"/>
                <w:szCs w:val="20"/>
              </w:rPr>
              <w:t>)</w:t>
            </w:r>
          </w:p>
        </w:tc>
        <w:tc>
          <w:tcPr>
            <w:tcW w:w="1563" w:type="dxa"/>
            <w:vAlign w:val="top"/>
          </w:tcPr>
          <w:p w14:paraId="78E6DF02">
            <w:pPr>
              <w:spacing w:before="31" w:line="255" w:lineRule="exact"/>
              <w:ind w:left="642"/>
              <w:rPr>
                <w:rFonts w:ascii="Times New Roman" w:hAnsi="Times New Roman" w:eastAsia="Times New Roman" w:cs="Times New Roman"/>
                <w:sz w:val="13"/>
                <w:szCs w:val="13"/>
              </w:rPr>
            </w:pPr>
            <w:r>
              <w:rPr>
                <w:rFonts w:ascii="Times New Roman" w:hAnsi="Times New Roman" w:eastAsia="Times New Roman" w:cs="Times New Roman"/>
                <w:spacing w:val="2"/>
                <w:position w:val="1"/>
                <w:sz w:val="20"/>
                <w:szCs w:val="20"/>
              </w:rPr>
              <w:t>Ⅳ</w:t>
            </w:r>
            <w:r>
              <w:rPr>
                <w:rFonts w:ascii="Times New Roman" w:hAnsi="Times New Roman" w:eastAsia="Times New Roman" w:cs="Times New Roman"/>
                <w:spacing w:val="2"/>
                <w:position w:val="7"/>
                <w:sz w:val="13"/>
                <w:szCs w:val="13"/>
              </w:rPr>
              <w:t>+</w:t>
            </w:r>
          </w:p>
        </w:tc>
        <w:tc>
          <w:tcPr>
            <w:tcW w:w="1563" w:type="dxa"/>
            <w:vAlign w:val="top"/>
          </w:tcPr>
          <w:p w14:paraId="575EB97C">
            <w:pPr>
              <w:spacing w:before="102" w:line="192" w:lineRule="auto"/>
              <w:ind w:left="67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Ⅳ</w:t>
            </w:r>
          </w:p>
        </w:tc>
        <w:tc>
          <w:tcPr>
            <w:tcW w:w="1562" w:type="dxa"/>
            <w:vAlign w:val="top"/>
          </w:tcPr>
          <w:p w14:paraId="0DFF9772">
            <w:pPr>
              <w:spacing w:before="102" w:line="192" w:lineRule="auto"/>
              <w:ind w:left="68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Ⅲ</w:t>
            </w:r>
          </w:p>
        </w:tc>
        <w:tc>
          <w:tcPr>
            <w:tcW w:w="1565" w:type="dxa"/>
            <w:tcBorders>
              <w:right w:val="nil"/>
            </w:tcBorders>
            <w:vAlign w:val="top"/>
          </w:tcPr>
          <w:p w14:paraId="3489D1CF">
            <w:pPr>
              <w:spacing w:before="102" w:line="192" w:lineRule="auto"/>
              <w:ind w:left="68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Ⅲ</w:t>
            </w:r>
          </w:p>
        </w:tc>
      </w:tr>
      <w:tr w14:paraId="150F3C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2136" w:type="dxa"/>
            <w:tcBorders>
              <w:left w:val="nil"/>
            </w:tcBorders>
            <w:vAlign w:val="top"/>
          </w:tcPr>
          <w:p w14:paraId="139B3396">
            <w:pPr>
              <w:spacing w:before="64" w:line="228" w:lineRule="auto"/>
              <w:ind w:left="119"/>
              <w:rPr>
                <w:rFonts w:ascii="宋体" w:hAnsi="宋体" w:eastAsia="宋体" w:cs="宋体"/>
                <w:sz w:val="20"/>
                <w:szCs w:val="20"/>
              </w:rPr>
            </w:pPr>
            <w:r>
              <w:rPr>
                <w:rFonts w:ascii="宋体" w:hAnsi="宋体" w:eastAsia="宋体" w:cs="宋体"/>
                <w:spacing w:val="-4"/>
                <w:sz w:val="20"/>
                <w:szCs w:val="20"/>
              </w:rPr>
              <w:t>环</w:t>
            </w:r>
            <w:r>
              <w:rPr>
                <w:rFonts w:ascii="宋体" w:hAnsi="宋体" w:eastAsia="宋体" w:cs="宋体"/>
                <w:spacing w:val="-3"/>
                <w:sz w:val="20"/>
                <w:szCs w:val="20"/>
              </w:rPr>
              <w:t>境</w:t>
            </w:r>
            <w:r>
              <w:rPr>
                <w:rFonts w:ascii="宋体" w:hAnsi="宋体" w:eastAsia="宋体" w:cs="宋体"/>
                <w:spacing w:val="-2"/>
                <w:sz w:val="20"/>
                <w:szCs w:val="20"/>
              </w:rPr>
              <w:t>中度敏感区 (</w:t>
            </w:r>
            <w:r>
              <w:rPr>
                <w:rFonts w:ascii="Times New Roman" w:hAnsi="Times New Roman" w:eastAsia="Times New Roman" w:cs="Times New Roman"/>
                <w:spacing w:val="-2"/>
                <w:sz w:val="20"/>
                <w:szCs w:val="20"/>
              </w:rPr>
              <w:t>E2</w:t>
            </w:r>
            <w:r>
              <w:rPr>
                <w:rFonts w:ascii="宋体" w:hAnsi="宋体" w:eastAsia="宋体" w:cs="宋体"/>
                <w:spacing w:val="-2"/>
                <w:sz w:val="20"/>
                <w:szCs w:val="20"/>
              </w:rPr>
              <w:t>)</w:t>
            </w:r>
          </w:p>
        </w:tc>
        <w:tc>
          <w:tcPr>
            <w:tcW w:w="1563" w:type="dxa"/>
            <w:vAlign w:val="top"/>
          </w:tcPr>
          <w:p w14:paraId="42634DFB">
            <w:pPr>
              <w:spacing w:before="103" w:line="192" w:lineRule="auto"/>
              <w:ind w:left="67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Ⅳ</w:t>
            </w:r>
          </w:p>
        </w:tc>
        <w:tc>
          <w:tcPr>
            <w:tcW w:w="1563" w:type="dxa"/>
            <w:vAlign w:val="top"/>
          </w:tcPr>
          <w:p w14:paraId="3CB2956D">
            <w:pPr>
              <w:spacing w:before="104" w:line="192" w:lineRule="auto"/>
              <w:ind w:left="68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Ⅲ</w:t>
            </w:r>
          </w:p>
        </w:tc>
        <w:tc>
          <w:tcPr>
            <w:tcW w:w="1562" w:type="dxa"/>
            <w:vAlign w:val="top"/>
          </w:tcPr>
          <w:p w14:paraId="150BBDE0">
            <w:pPr>
              <w:spacing w:before="104" w:line="192" w:lineRule="auto"/>
              <w:ind w:left="68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Ⅲ</w:t>
            </w:r>
          </w:p>
        </w:tc>
        <w:tc>
          <w:tcPr>
            <w:tcW w:w="1565" w:type="dxa"/>
            <w:tcBorders>
              <w:right w:val="nil"/>
            </w:tcBorders>
            <w:vAlign w:val="top"/>
          </w:tcPr>
          <w:p w14:paraId="30CD1A13">
            <w:pPr>
              <w:spacing w:before="104" w:line="192" w:lineRule="auto"/>
              <w:ind w:left="720"/>
              <w:rPr>
                <w:rFonts w:ascii="Times New Roman" w:hAnsi="Times New Roman" w:eastAsia="Times New Roman" w:cs="Times New Roman"/>
                <w:sz w:val="20"/>
                <w:szCs w:val="20"/>
              </w:rPr>
            </w:pPr>
            <w:r>
              <w:rPr>
                <w:rFonts w:ascii="Times New Roman" w:hAnsi="Times New Roman" w:eastAsia="Times New Roman" w:cs="Times New Roman"/>
                <w:sz w:val="20"/>
                <w:szCs w:val="20"/>
              </w:rPr>
              <w:t>Ⅱ</w:t>
            </w:r>
          </w:p>
        </w:tc>
      </w:tr>
      <w:tr w14:paraId="3B339D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2136" w:type="dxa"/>
            <w:tcBorders>
              <w:left w:val="nil"/>
            </w:tcBorders>
            <w:vAlign w:val="top"/>
          </w:tcPr>
          <w:p w14:paraId="15A5993C">
            <w:pPr>
              <w:spacing w:before="66" w:line="228" w:lineRule="auto"/>
              <w:ind w:left="119"/>
              <w:rPr>
                <w:rFonts w:ascii="宋体" w:hAnsi="宋体" w:eastAsia="宋体" w:cs="宋体"/>
                <w:sz w:val="20"/>
                <w:szCs w:val="20"/>
              </w:rPr>
            </w:pPr>
            <w:r>
              <w:rPr>
                <w:rFonts w:ascii="宋体" w:hAnsi="宋体" w:eastAsia="宋体" w:cs="宋体"/>
                <w:spacing w:val="-4"/>
                <w:sz w:val="20"/>
                <w:szCs w:val="20"/>
              </w:rPr>
              <w:t>环</w:t>
            </w:r>
            <w:r>
              <w:rPr>
                <w:rFonts w:ascii="宋体" w:hAnsi="宋体" w:eastAsia="宋体" w:cs="宋体"/>
                <w:spacing w:val="-3"/>
                <w:sz w:val="20"/>
                <w:szCs w:val="20"/>
              </w:rPr>
              <w:t>境</w:t>
            </w:r>
            <w:r>
              <w:rPr>
                <w:rFonts w:ascii="宋体" w:hAnsi="宋体" w:eastAsia="宋体" w:cs="宋体"/>
                <w:spacing w:val="-2"/>
                <w:sz w:val="20"/>
                <w:szCs w:val="20"/>
              </w:rPr>
              <w:t>低度敏感区 (</w:t>
            </w:r>
            <w:r>
              <w:rPr>
                <w:rFonts w:ascii="Times New Roman" w:hAnsi="Times New Roman" w:eastAsia="Times New Roman" w:cs="Times New Roman"/>
                <w:spacing w:val="-2"/>
                <w:sz w:val="20"/>
                <w:szCs w:val="20"/>
              </w:rPr>
              <w:t>E3</w:t>
            </w:r>
            <w:r>
              <w:rPr>
                <w:rFonts w:ascii="宋体" w:hAnsi="宋体" w:eastAsia="宋体" w:cs="宋体"/>
                <w:spacing w:val="-2"/>
                <w:sz w:val="20"/>
                <w:szCs w:val="20"/>
              </w:rPr>
              <w:t>)</w:t>
            </w:r>
          </w:p>
        </w:tc>
        <w:tc>
          <w:tcPr>
            <w:tcW w:w="1563" w:type="dxa"/>
            <w:vAlign w:val="top"/>
          </w:tcPr>
          <w:p w14:paraId="2E9B0456">
            <w:pPr>
              <w:spacing w:before="105" w:line="192" w:lineRule="auto"/>
              <w:ind w:left="68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Ⅲ</w:t>
            </w:r>
          </w:p>
        </w:tc>
        <w:tc>
          <w:tcPr>
            <w:tcW w:w="1563" w:type="dxa"/>
            <w:vAlign w:val="top"/>
          </w:tcPr>
          <w:p w14:paraId="69D98DFD">
            <w:pPr>
              <w:spacing w:before="105" w:line="192" w:lineRule="auto"/>
              <w:ind w:left="68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Ⅲ</w:t>
            </w:r>
          </w:p>
        </w:tc>
        <w:tc>
          <w:tcPr>
            <w:tcW w:w="1562" w:type="dxa"/>
            <w:vAlign w:val="top"/>
          </w:tcPr>
          <w:p w14:paraId="61CC2FCE">
            <w:pPr>
              <w:spacing w:before="105" w:line="192" w:lineRule="auto"/>
              <w:ind w:left="720"/>
              <w:rPr>
                <w:rFonts w:ascii="Times New Roman" w:hAnsi="Times New Roman" w:eastAsia="Times New Roman" w:cs="Times New Roman"/>
                <w:sz w:val="20"/>
                <w:szCs w:val="20"/>
              </w:rPr>
            </w:pPr>
            <w:r>
              <w:rPr>
                <w:rFonts w:ascii="Times New Roman" w:hAnsi="Times New Roman" w:eastAsia="Times New Roman" w:cs="Times New Roman"/>
                <w:sz w:val="20"/>
                <w:szCs w:val="20"/>
              </w:rPr>
              <w:t>Ⅱ</w:t>
            </w:r>
          </w:p>
        </w:tc>
        <w:tc>
          <w:tcPr>
            <w:tcW w:w="1565" w:type="dxa"/>
            <w:tcBorders>
              <w:right w:val="nil"/>
            </w:tcBorders>
            <w:vAlign w:val="top"/>
          </w:tcPr>
          <w:p w14:paraId="03A69AE4">
            <w:pPr>
              <w:spacing w:before="105" w:line="192" w:lineRule="auto"/>
              <w:ind w:left="754"/>
              <w:rPr>
                <w:rFonts w:ascii="Times New Roman" w:hAnsi="Times New Roman" w:eastAsia="Times New Roman" w:cs="Times New Roman"/>
                <w:sz w:val="20"/>
                <w:szCs w:val="20"/>
              </w:rPr>
            </w:pPr>
            <w:r>
              <w:rPr>
                <w:rFonts w:ascii="Times New Roman" w:hAnsi="Times New Roman" w:eastAsia="Times New Roman" w:cs="Times New Roman"/>
                <w:sz w:val="20"/>
                <w:szCs w:val="20"/>
              </w:rPr>
              <w:t>Ⅰ</w:t>
            </w:r>
          </w:p>
        </w:tc>
      </w:tr>
    </w:tbl>
    <w:p w14:paraId="59E43B5C">
      <w:pPr>
        <w:spacing w:before="29" w:line="279" w:lineRule="exact"/>
        <w:ind w:left="114"/>
        <w:rPr>
          <w:rFonts w:ascii="宋体" w:hAnsi="宋体" w:eastAsia="宋体" w:cs="宋体"/>
          <w:sz w:val="20"/>
          <w:szCs w:val="20"/>
        </w:rPr>
      </w:pPr>
      <w:r>
        <w:rPr>
          <w:rFonts w:ascii="宋体" w:hAnsi="宋体" w:eastAsia="宋体" w:cs="宋体"/>
          <w:spacing w:val="-2"/>
          <w:position w:val="1"/>
          <w:sz w:val="20"/>
          <w:szCs w:val="20"/>
        </w:rPr>
        <w:t>注：</w:t>
      </w:r>
      <w:r>
        <w:rPr>
          <w:rFonts w:ascii="Times New Roman" w:hAnsi="Times New Roman" w:eastAsia="Times New Roman" w:cs="Times New Roman"/>
          <w:spacing w:val="-2"/>
          <w:position w:val="1"/>
          <w:sz w:val="20"/>
          <w:szCs w:val="20"/>
        </w:rPr>
        <w:t>Ⅳ</w:t>
      </w:r>
      <w:r>
        <w:rPr>
          <w:rFonts w:ascii="Times New Roman" w:hAnsi="Times New Roman" w:eastAsia="Times New Roman" w:cs="Times New Roman"/>
          <w:spacing w:val="-2"/>
          <w:position w:val="7"/>
          <w:sz w:val="13"/>
          <w:szCs w:val="13"/>
        </w:rPr>
        <w:t>+</w:t>
      </w:r>
      <w:r>
        <w:rPr>
          <w:rFonts w:ascii="宋体" w:hAnsi="宋体" w:eastAsia="宋体" w:cs="宋体"/>
          <w:spacing w:val="-2"/>
          <w:position w:val="1"/>
          <w:sz w:val="20"/>
          <w:szCs w:val="20"/>
        </w:rPr>
        <w:t>为极高环境风险</w:t>
      </w:r>
      <w:r>
        <w:rPr>
          <w:rFonts w:ascii="宋体" w:hAnsi="宋体" w:eastAsia="宋体" w:cs="宋体"/>
          <w:spacing w:val="-1"/>
          <w:position w:val="1"/>
          <w:sz w:val="20"/>
          <w:szCs w:val="20"/>
        </w:rPr>
        <w:t>。</w:t>
      </w:r>
    </w:p>
    <w:p w14:paraId="68F70A29">
      <w:pPr>
        <w:spacing w:before="24" w:line="29" w:lineRule="exact"/>
        <w:textAlignment w:val="center"/>
      </w:pPr>
      <w:r>
        <w:pict>
          <v:shape id="_x0000_s1102" o:spid="_x0000_s1102" style="height:1.45pt;width:419.5pt;" filled="f" stroked="t" coordsize="8390,29" path="m0,14l8390,14e">
            <v:fill on="f" focussize="0,0"/>
            <v:stroke weight="1.44pt" color="#000000" miterlimit="2" joinstyle="bevel"/>
            <v:imagedata o:title=""/>
            <o:lock v:ext="edit"/>
            <w10:wrap type="none"/>
            <w10:anchorlock/>
          </v:shape>
        </w:pict>
      </w:r>
    </w:p>
    <w:p w14:paraId="1DCB5807">
      <w:pPr>
        <w:spacing w:line="269" w:lineRule="auto"/>
        <w:rPr>
          <w:rFonts w:ascii="Arial"/>
          <w:sz w:val="21"/>
        </w:rPr>
      </w:pPr>
    </w:p>
    <w:p w14:paraId="3DDA2A65">
      <w:pPr>
        <w:spacing w:before="75" w:line="388" w:lineRule="auto"/>
        <w:ind w:left="50" w:right="4" w:firstLine="475"/>
        <w:rPr>
          <w:rFonts w:ascii="宋体" w:hAnsi="宋体" w:eastAsia="宋体" w:cs="宋体"/>
          <w:sz w:val="23"/>
          <w:szCs w:val="23"/>
        </w:rPr>
      </w:pPr>
      <w:r>
        <w:rPr>
          <w:rFonts w:ascii="宋体" w:hAnsi="宋体" w:eastAsia="宋体" w:cs="宋体"/>
          <w:spacing w:val="-14"/>
          <w:sz w:val="23"/>
          <w:szCs w:val="23"/>
        </w:rPr>
        <w:t>同</w:t>
      </w:r>
      <w:r>
        <w:rPr>
          <w:rFonts w:ascii="宋体" w:hAnsi="宋体" w:eastAsia="宋体" w:cs="宋体"/>
          <w:spacing w:val="-8"/>
          <w:sz w:val="23"/>
          <w:szCs w:val="23"/>
        </w:rPr>
        <w:t>时</w:t>
      </w:r>
      <w:r>
        <w:rPr>
          <w:rFonts w:ascii="宋体" w:hAnsi="宋体" w:eastAsia="宋体" w:cs="宋体"/>
          <w:spacing w:val="-7"/>
          <w:sz w:val="23"/>
          <w:szCs w:val="23"/>
        </w:rPr>
        <w:t>，根据《建设项目环境风险评价技术导则》  (</w:t>
      </w:r>
      <w:r>
        <w:rPr>
          <w:rFonts w:ascii="Times New Roman" w:hAnsi="Times New Roman" w:eastAsia="Times New Roman" w:cs="Times New Roman"/>
          <w:spacing w:val="-7"/>
          <w:sz w:val="23"/>
          <w:szCs w:val="23"/>
        </w:rPr>
        <w:t>HJ169-2018</w:t>
      </w:r>
      <w:r>
        <w:rPr>
          <w:rFonts w:ascii="宋体" w:hAnsi="宋体" w:eastAsia="宋体" w:cs="宋体"/>
          <w:spacing w:val="-7"/>
          <w:sz w:val="23"/>
          <w:szCs w:val="23"/>
        </w:rPr>
        <w:t xml:space="preserve">) 附录 </w:t>
      </w:r>
      <w:r>
        <w:rPr>
          <w:rFonts w:ascii="Times New Roman" w:hAnsi="Times New Roman" w:eastAsia="Times New Roman" w:cs="Times New Roman"/>
          <w:spacing w:val="-7"/>
          <w:sz w:val="23"/>
          <w:szCs w:val="23"/>
        </w:rPr>
        <w:t>C. 1</w:t>
      </w:r>
      <w:r>
        <w:rPr>
          <w:rFonts w:ascii="宋体" w:hAnsi="宋体" w:eastAsia="宋体" w:cs="宋体"/>
          <w:spacing w:val="-7"/>
          <w:sz w:val="23"/>
          <w:szCs w:val="23"/>
        </w:rPr>
        <w:t>，计算</w:t>
      </w:r>
      <w:r>
        <w:rPr>
          <w:rFonts w:ascii="宋体" w:hAnsi="宋体" w:eastAsia="宋体" w:cs="宋体"/>
          <w:sz w:val="23"/>
          <w:szCs w:val="23"/>
        </w:rPr>
        <w:t xml:space="preserve"> </w:t>
      </w:r>
      <w:r>
        <w:rPr>
          <w:rFonts w:ascii="宋体" w:hAnsi="宋体" w:eastAsia="宋体" w:cs="宋体"/>
          <w:spacing w:val="-2"/>
          <w:sz w:val="23"/>
          <w:szCs w:val="23"/>
        </w:rPr>
        <w:t>所涉</w:t>
      </w:r>
      <w:r>
        <w:rPr>
          <w:rFonts w:ascii="宋体" w:hAnsi="宋体" w:eastAsia="宋体" w:cs="宋体"/>
          <w:spacing w:val="-1"/>
          <w:sz w:val="23"/>
          <w:szCs w:val="23"/>
        </w:rPr>
        <w:t xml:space="preserve">及的每种危险物质在厂界内的最大存在总量与其在附录 </w:t>
      </w:r>
      <w:r>
        <w:rPr>
          <w:rFonts w:ascii="Times New Roman" w:hAnsi="Times New Roman" w:eastAsia="Times New Roman" w:cs="Times New Roman"/>
          <w:spacing w:val="-1"/>
          <w:sz w:val="23"/>
          <w:szCs w:val="23"/>
        </w:rPr>
        <w:t xml:space="preserve">B </w:t>
      </w:r>
      <w:r>
        <w:rPr>
          <w:rFonts w:ascii="宋体" w:hAnsi="宋体" w:eastAsia="宋体" w:cs="宋体"/>
          <w:spacing w:val="-1"/>
          <w:sz w:val="23"/>
          <w:szCs w:val="23"/>
        </w:rPr>
        <w:t>中对应临界量的比值</w:t>
      </w:r>
      <w:r>
        <w:rPr>
          <w:rFonts w:ascii="宋体" w:hAnsi="宋体" w:eastAsia="宋体" w:cs="宋体"/>
          <w:sz w:val="23"/>
          <w:szCs w:val="23"/>
        </w:rPr>
        <w:t xml:space="preserve"> </w:t>
      </w:r>
      <w:r>
        <w:rPr>
          <w:rFonts w:ascii="Times New Roman" w:hAnsi="Times New Roman" w:eastAsia="Times New Roman" w:cs="Times New Roman"/>
          <w:spacing w:val="-4"/>
          <w:sz w:val="23"/>
          <w:szCs w:val="23"/>
        </w:rPr>
        <w:t>Q</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。在不同</w:t>
      </w:r>
      <w:r>
        <w:rPr>
          <w:rFonts w:ascii="宋体" w:hAnsi="宋体" w:eastAsia="宋体" w:cs="宋体"/>
          <w:spacing w:val="-5"/>
          <w:sz w:val="23"/>
          <w:szCs w:val="23"/>
        </w:rPr>
        <w:t>厂</w:t>
      </w:r>
      <w:r>
        <w:rPr>
          <w:rFonts w:ascii="宋体" w:hAnsi="宋体" w:eastAsia="宋体" w:cs="宋体"/>
          <w:spacing w:val="-4"/>
          <w:sz w:val="23"/>
          <w:szCs w:val="23"/>
        </w:rPr>
        <w:t>区的同一种物质，按其在厂界内的最大存在总量计算。</w:t>
      </w:r>
    </w:p>
    <w:p w14:paraId="1F2D3BEF">
      <w:pPr>
        <w:spacing w:before="156" w:line="221" w:lineRule="auto"/>
        <w:ind w:left="517"/>
        <w:rPr>
          <w:rFonts w:ascii="宋体" w:hAnsi="宋体" w:eastAsia="宋体" w:cs="宋体"/>
          <w:sz w:val="23"/>
          <w:szCs w:val="23"/>
        </w:rPr>
      </w:pPr>
      <w:r>
        <w:rPr>
          <w:rFonts w:ascii="宋体" w:hAnsi="宋体" w:eastAsia="宋体" w:cs="宋体"/>
          <w:spacing w:val="-10"/>
          <w:sz w:val="23"/>
          <w:szCs w:val="23"/>
        </w:rPr>
        <w:t>当</w:t>
      </w:r>
      <w:r>
        <w:rPr>
          <w:rFonts w:ascii="宋体" w:hAnsi="宋体" w:eastAsia="宋体" w:cs="宋体"/>
          <w:spacing w:val="-8"/>
          <w:sz w:val="23"/>
          <w:szCs w:val="23"/>
        </w:rPr>
        <w:t>只</w:t>
      </w:r>
      <w:r>
        <w:rPr>
          <w:rFonts w:ascii="宋体" w:hAnsi="宋体" w:eastAsia="宋体" w:cs="宋体"/>
          <w:spacing w:val="-5"/>
          <w:sz w:val="23"/>
          <w:szCs w:val="23"/>
        </w:rPr>
        <w:t xml:space="preserve">涉及一种危险物质时，计算该物质的总量与其临界量的比值，即为 </w:t>
      </w:r>
      <w:r>
        <w:rPr>
          <w:rFonts w:ascii="Times New Roman" w:hAnsi="Times New Roman" w:eastAsia="Times New Roman" w:cs="Times New Roman"/>
          <w:spacing w:val="-5"/>
          <w:sz w:val="23"/>
          <w:szCs w:val="23"/>
        </w:rPr>
        <w:t>Q</w:t>
      </w:r>
      <w:r>
        <w:rPr>
          <w:rFonts w:ascii="宋体" w:hAnsi="宋体" w:eastAsia="宋体" w:cs="宋体"/>
          <w:spacing w:val="-5"/>
          <w:sz w:val="23"/>
          <w:szCs w:val="23"/>
        </w:rPr>
        <w:t>；</w:t>
      </w:r>
    </w:p>
    <w:p w14:paraId="5E98B9BE">
      <w:pPr>
        <w:spacing w:line="296" w:lineRule="auto"/>
        <w:rPr>
          <w:rFonts w:ascii="Arial"/>
          <w:sz w:val="21"/>
        </w:rPr>
      </w:pPr>
    </w:p>
    <w:p w14:paraId="6C696CB0">
      <w:pPr>
        <w:spacing w:before="75" w:line="219" w:lineRule="auto"/>
        <w:ind w:left="517"/>
        <w:rPr>
          <w:rFonts w:ascii="宋体" w:hAnsi="宋体" w:eastAsia="宋体" w:cs="宋体"/>
          <w:sz w:val="23"/>
          <w:szCs w:val="23"/>
        </w:rPr>
      </w:pPr>
      <w:r>
        <w:rPr>
          <w:rFonts w:ascii="宋体" w:hAnsi="宋体" w:eastAsia="宋体" w:cs="宋体"/>
          <w:spacing w:val="-8"/>
          <w:sz w:val="23"/>
          <w:szCs w:val="23"/>
        </w:rPr>
        <w:t>当存在多种危</w:t>
      </w:r>
      <w:r>
        <w:rPr>
          <w:rFonts w:ascii="宋体" w:hAnsi="宋体" w:eastAsia="宋体" w:cs="宋体"/>
          <w:spacing w:val="-5"/>
          <w:sz w:val="23"/>
          <w:szCs w:val="23"/>
        </w:rPr>
        <w:t>险</w:t>
      </w:r>
      <w:r>
        <w:rPr>
          <w:rFonts w:ascii="宋体" w:hAnsi="宋体" w:eastAsia="宋体" w:cs="宋体"/>
          <w:spacing w:val="-4"/>
          <w:sz w:val="23"/>
          <w:szCs w:val="23"/>
        </w:rPr>
        <w:t>物质时，则按式 (</w:t>
      </w:r>
      <w:r>
        <w:rPr>
          <w:rFonts w:ascii="Times New Roman" w:hAnsi="Times New Roman" w:eastAsia="Times New Roman" w:cs="Times New Roman"/>
          <w:spacing w:val="-4"/>
          <w:sz w:val="23"/>
          <w:szCs w:val="23"/>
        </w:rPr>
        <w:t>C. 1</w:t>
      </w:r>
      <w:r>
        <w:rPr>
          <w:rFonts w:ascii="宋体" w:hAnsi="宋体" w:eastAsia="宋体" w:cs="宋体"/>
          <w:spacing w:val="-4"/>
          <w:sz w:val="23"/>
          <w:szCs w:val="23"/>
        </w:rPr>
        <w:t>) 计算物质总量与其临界量比值 (</w:t>
      </w:r>
      <w:r>
        <w:rPr>
          <w:rFonts w:ascii="Times New Roman" w:hAnsi="Times New Roman" w:eastAsia="Times New Roman" w:cs="Times New Roman"/>
          <w:spacing w:val="-4"/>
          <w:sz w:val="23"/>
          <w:szCs w:val="23"/>
        </w:rPr>
        <w:t>Q</w:t>
      </w:r>
      <w:r>
        <w:rPr>
          <w:rFonts w:ascii="宋体" w:hAnsi="宋体" w:eastAsia="宋体" w:cs="宋体"/>
          <w:spacing w:val="-4"/>
          <w:sz w:val="23"/>
          <w:szCs w:val="23"/>
        </w:rPr>
        <w:t>) ；</w:t>
      </w:r>
    </w:p>
    <w:p w14:paraId="624F74CC">
      <w:pPr>
        <w:spacing w:line="246" w:lineRule="auto"/>
        <w:rPr>
          <w:rFonts w:ascii="Arial"/>
          <w:sz w:val="21"/>
        </w:rPr>
      </w:pPr>
    </w:p>
    <w:p w14:paraId="11E0CE3A">
      <w:pPr>
        <w:spacing w:before="71"/>
        <w:ind w:left="3134"/>
        <w:rPr>
          <w:sz w:val="23"/>
          <w:szCs w:val="23"/>
        </w:rPr>
      </w:pPr>
      <w:r>
        <w:rPr>
          <w:rFonts w:ascii="Times New Roman" w:hAnsi="Times New Roman" w:eastAsia="Times New Roman" w:cs="Times New Roman"/>
          <w:i/>
          <w:iCs/>
          <w:spacing w:val="-8"/>
          <w:position w:val="3"/>
          <w:sz w:val="23"/>
          <w:szCs w:val="23"/>
        </w:rPr>
        <w:t>Q</w:t>
      </w:r>
      <w:r>
        <w:rPr>
          <w:rFonts w:ascii="Times New Roman" w:hAnsi="Times New Roman" w:eastAsia="Times New Roman" w:cs="Times New Roman"/>
          <w:spacing w:val="-9"/>
          <w:position w:val="3"/>
          <w:sz w:val="23"/>
          <w:szCs w:val="23"/>
        </w:rPr>
        <w:t xml:space="preserve"> </w:t>
      </w:r>
      <w:r>
        <w:rPr>
          <w:rFonts w:ascii="Symbol" w:hAnsi="Symbol" w:eastAsia="Symbol" w:cs="Symbol"/>
          <w:spacing w:val="-9"/>
          <w:position w:val="3"/>
          <w:sz w:val="23"/>
          <w:szCs w:val="23"/>
        </w:rPr>
        <w:t xml:space="preserve">= </w:t>
      </w:r>
      <w:r>
        <w:rPr>
          <w:position w:val="-21"/>
          <w:sz w:val="23"/>
          <w:szCs w:val="23"/>
        </w:rPr>
        <w:drawing>
          <wp:inline distT="0" distB="0" distL="0" distR="0">
            <wp:extent cx="169545" cy="320040"/>
            <wp:effectExtent l="0" t="0" r="0" b="0"/>
            <wp:docPr id="27" name="IM 27"/>
            <wp:cNvGraphicFramePr/>
            <a:graphic xmlns:a="http://schemas.openxmlformats.org/drawingml/2006/main">
              <a:graphicData uri="http://schemas.openxmlformats.org/drawingml/2006/picture">
                <pic:pic xmlns:pic="http://schemas.openxmlformats.org/drawingml/2006/picture">
                  <pic:nvPicPr>
                    <pic:cNvPr id="27" name="IM 27"/>
                    <pic:cNvPicPr/>
                  </pic:nvPicPr>
                  <pic:blipFill>
                    <a:blip r:embed="rId404"/>
                    <a:stretch>
                      <a:fillRect/>
                    </a:stretch>
                  </pic:blipFill>
                  <pic:spPr>
                    <a:xfrm>
                      <a:off x="0" y="0"/>
                      <a:ext cx="169545" cy="320560"/>
                    </a:xfrm>
                    <a:prstGeom prst="rect">
                      <a:avLst/>
                    </a:prstGeom>
                  </pic:spPr>
                </pic:pic>
              </a:graphicData>
            </a:graphic>
          </wp:inline>
        </w:drawing>
      </w:r>
      <w:r>
        <w:rPr>
          <w:rFonts w:ascii="Symbol" w:hAnsi="Symbol" w:eastAsia="Symbol" w:cs="Symbol"/>
          <w:spacing w:val="-9"/>
          <w:position w:val="3"/>
          <w:sz w:val="23"/>
          <w:szCs w:val="23"/>
        </w:rPr>
        <w:t xml:space="preserve"> + </w:t>
      </w:r>
      <w:r>
        <w:rPr>
          <w:position w:val="-21"/>
          <w:sz w:val="23"/>
          <w:szCs w:val="23"/>
        </w:rPr>
        <w:drawing>
          <wp:inline distT="0" distB="0" distL="0" distR="0">
            <wp:extent cx="186055" cy="320040"/>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405"/>
                    <a:stretch>
                      <a:fillRect/>
                    </a:stretch>
                  </pic:blipFill>
                  <pic:spPr>
                    <a:xfrm>
                      <a:off x="0" y="0"/>
                      <a:ext cx="186207" cy="320560"/>
                    </a:xfrm>
                    <a:prstGeom prst="rect">
                      <a:avLst/>
                    </a:prstGeom>
                  </pic:spPr>
                </pic:pic>
              </a:graphicData>
            </a:graphic>
          </wp:inline>
        </w:drawing>
      </w:r>
      <w:r>
        <w:rPr>
          <w:rFonts w:ascii="Symbol" w:hAnsi="Symbol" w:eastAsia="Symbol" w:cs="Symbol"/>
          <w:spacing w:val="-9"/>
          <w:position w:val="3"/>
          <w:sz w:val="23"/>
          <w:szCs w:val="23"/>
        </w:rPr>
        <w:t xml:space="preserve"> + . . . + </w:t>
      </w:r>
      <w:r>
        <w:rPr>
          <w:position w:val="-21"/>
          <w:sz w:val="23"/>
          <w:szCs w:val="23"/>
        </w:rPr>
        <w:drawing>
          <wp:inline distT="0" distB="0" distL="0" distR="0">
            <wp:extent cx="187325" cy="321310"/>
            <wp:effectExtent l="0" t="0" r="0" b="0"/>
            <wp:docPr id="29" name="IM 29"/>
            <wp:cNvGraphicFramePr/>
            <a:graphic xmlns:a="http://schemas.openxmlformats.org/drawingml/2006/main">
              <a:graphicData uri="http://schemas.openxmlformats.org/drawingml/2006/picture">
                <pic:pic xmlns:pic="http://schemas.openxmlformats.org/drawingml/2006/picture">
                  <pic:nvPicPr>
                    <pic:cNvPr id="29" name="IM 29"/>
                    <pic:cNvPicPr/>
                  </pic:nvPicPr>
                  <pic:blipFill>
                    <a:blip r:embed="rId406"/>
                    <a:stretch>
                      <a:fillRect/>
                    </a:stretch>
                  </pic:blipFill>
                  <pic:spPr>
                    <a:xfrm>
                      <a:off x="0" y="0"/>
                      <a:ext cx="187807" cy="321924"/>
                    </a:xfrm>
                    <a:prstGeom prst="rect">
                      <a:avLst/>
                    </a:prstGeom>
                  </pic:spPr>
                </pic:pic>
              </a:graphicData>
            </a:graphic>
          </wp:inline>
        </w:drawing>
      </w:r>
    </w:p>
    <w:p w14:paraId="09B480CA">
      <w:pPr>
        <w:spacing w:line="275" w:lineRule="auto"/>
        <w:rPr>
          <w:rFonts w:ascii="Arial"/>
          <w:sz w:val="21"/>
        </w:rPr>
      </w:pPr>
    </w:p>
    <w:p w14:paraId="48BE5AD0">
      <w:pPr>
        <w:spacing w:before="75" w:line="323" w:lineRule="exact"/>
        <w:ind w:left="507"/>
        <w:rPr>
          <w:rFonts w:ascii="宋体" w:hAnsi="宋体" w:eastAsia="宋体" w:cs="宋体"/>
          <w:sz w:val="23"/>
          <w:szCs w:val="23"/>
        </w:rPr>
      </w:pPr>
      <w:r>
        <w:rPr>
          <w:rFonts w:ascii="宋体" w:hAnsi="宋体" w:eastAsia="宋体" w:cs="宋体"/>
          <w:spacing w:val="-10"/>
          <w:position w:val="3"/>
          <w:sz w:val="23"/>
          <w:szCs w:val="23"/>
        </w:rPr>
        <w:t>式</w:t>
      </w:r>
      <w:r>
        <w:rPr>
          <w:rFonts w:ascii="宋体" w:hAnsi="宋体" w:eastAsia="宋体" w:cs="宋体"/>
          <w:spacing w:val="-7"/>
          <w:position w:val="3"/>
          <w:sz w:val="23"/>
          <w:szCs w:val="23"/>
        </w:rPr>
        <w:t>中</w:t>
      </w:r>
      <w:r>
        <w:rPr>
          <w:rFonts w:ascii="宋体" w:hAnsi="宋体" w:eastAsia="宋体" w:cs="宋体"/>
          <w:spacing w:val="-5"/>
          <w:position w:val="3"/>
          <w:sz w:val="23"/>
          <w:szCs w:val="23"/>
        </w:rPr>
        <w:t>：</w:t>
      </w:r>
      <w:r>
        <w:rPr>
          <w:rFonts w:ascii="Times New Roman" w:hAnsi="Times New Roman" w:eastAsia="Times New Roman" w:cs="Times New Roman"/>
          <w:spacing w:val="-5"/>
          <w:position w:val="3"/>
          <w:sz w:val="23"/>
          <w:szCs w:val="23"/>
        </w:rPr>
        <w:t>q</w:t>
      </w:r>
      <w:r>
        <w:rPr>
          <w:rFonts w:ascii="Times New Roman" w:hAnsi="Times New Roman" w:eastAsia="Times New Roman" w:cs="Times New Roman"/>
          <w:spacing w:val="-5"/>
          <w:position w:val="2"/>
          <w:sz w:val="15"/>
          <w:szCs w:val="15"/>
        </w:rPr>
        <w:t xml:space="preserve">1 </w:t>
      </w:r>
      <w:r>
        <w:rPr>
          <w:rFonts w:ascii="宋体" w:hAnsi="宋体" w:eastAsia="宋体" w:cs="宋体"/>
          <w:spacing w:val="-5"/>
          <w:position w:val="3"/>
          <w:sz w:val="23"/>
          <w:szCs w:val="23"/>
        </w:rPr>
        <w:t>、</w:t>
      </w:r>
      <w:r>
        <w:rPr>
          <w:rFonts w:ascii="Times New Roman" w:hAnsi="Times New Roman" w:eastAsia="Times New Roman" w:cs="Times New Roman"/>
          <w:spacing w:val="-5"/>
          <w:position w:val="3"/>
          <w:sz w:val="23"/>
          <w:szCs w:val="23"/>
        </w:rPr>
        <w:t>q</w:t>
      </w:r>
      <w:r>
        <w:rPr>
          <w:rFonts w:ascii="Times New Roman" w:hAnsi="Times New Roman" w:eastAsia="Times New Roman" w:cs="Times New Roman"/>
          <w:spacing w:val="-5"/>
          <w:position w:val="2"/>
          <w:sz w:val="15"/>
          <w:szCs w:val="15"/>
        </w:rPr>
        <w:t xml:space="preserve">2 </w:t>
      </w:r>
      <w:r>
        <w:rPr>
          <w:rFonts w:ascii="Times New Roman" w:hAnsi="Times New Roman" w:eastAsia="Times New Roman" w:cs="Times New Roman"/>
          <w:spacing w:val="-5"/>
          <w:position w:val="3"/>
          <w:sz w:val="23"/>
          <w:szCs w:val="23"/>
        </w:rPr>
        <w:t>…q</w:t>
      </w:r>
      <w:r>
        <w:rPr>
          <w:rFonts w:ascii="Times New Roman" w:hAnsi="Times New Roman" w:eastAsia="Times New Roman" w:cs="Times New Roman"/>
          <w:spacing w:val="-5"/>
          <w:position w:val="2"/>
          <w:sz w:val="15"/>
          <w:szCs w:val="15"/>
        </w:rPr>
        <w:t>n</w:t>
      </w:r>
      <w:r>
        <w:rPr>
          <w:rFonts w:ascii="Times New Roman" w:hAnsi="Times New Roman" w:eastAsia="Times New Roman" w:cs="Times New Roman"/>
          <w:spacing w:val="-5"/>
          <w:position w:val="3"/>
          <w:sz w:val="23"/>
          <w:szCs w:val="23"/>
        </w:rPr>
        <w:t>—</w:t>
      </w:r>
      <w:r>
        <w:rPr>
          <w:rFonts w:ascii="宋体" w:hAnsi="宋体" w:eastAsia="宋体" w:cs="宋体"/>
          <w:spacing w:val="-5"/>
          <w:position w:val="3"/>
          <w:sz w:val="23"/>
          <w:szCs w:val="23"/>
        </w:rPr>
        <w:t>每种危险物质的最大存在总量，</w:t>
      </w:r>
      <w:r>
        <w:rPr>
          <w:rFonts w:ascii="Times New Roman" w:hAnsi="Times New Roman" w:eastAsia="Times New Roman" w:cs="Times New Roman"/>
          <w:spacing w:val="-5"/>
          <w:position w:val="3"/>
          <w:sz w:val="23"/>
          <w:szCs w:val="23"/>
        </w:rPr>
        <w:t>t</w:t>
      </w:r>
      <w:r>
        <w:rPr>
          <w:rFonts w:ascii="宋体" w:hAnsi="宋体" w:eastAsia="宋体" w:cs="宋体"/>
          <w:spacing w:val="-5"/>
          <w:position w:val="3"/>
          <w:sz w:val="23"/>
          <w:szCs w:val="23"/>
        </w:rPr>
        <w:t>；</w:t>
      </w:r>
    </w:p>
    <w:p w14:paraId="4F59941C">
      <w:pPr>
        <w:spacing w:before="157" w:line="524" w:lineRule="exact"/>
        <w:ind w:left="1180"/>
        <w:rPr>
          <w:rFonts w:ascii="宋体" w:hAnsi="宋体" w:eastAsia="宋体" w:cs="宋体"/>
          <w:sz w:val="23"/>
          <w:szCs w:val="23"/>
        </w:rPr>
      </w:pPr>
      <w:r>
        <w:rPr>
          <w:rFonts w:ascii="Times New Roman" w:hAnsi="Times New Roman" w:eastAsia="Times New Roman" w:cs="Times New Roman"/>
          <w:spacing w:val="-5"/>
          <w:position w:val="18"/>
          <w:sz w:val="23"/>
          <w:szCs w:val="23"/>
        </w:rPr>
        <w:t>Q</w:t>
      </w:r>
      <w:r>
        <w:rPr>
          <w:rFonts w:ascii="Times New Roman" w:hAnsi="Times New Roman" w:eastAsia="Times New Roman" w:cs="Times New Roman"/>
          <w:spacing w:val="-9"/>
          <w:position w:val="17"/>
          <w:sz w:val="15"/>
          <w:szCs w:val="15"/>
        </w:rPr>
        <w:t>1</w:t>
      </w:r>
      <w:r>
        <w:rPr>
          <w:rFonts w:ascii="Times New Roman" w:hAnsi="Times New Roman" w:eastAsia="Times New Roman" w:cs="Times New Roman"/>
          <w:spacing w:val="-5"/>
          <w:position w:val="17"/>
          <w:sz w:val="15"/>
          <w:szCs w:val="15"/>
        </w:rPr>
        <w:t xml:space="preserve"> </w:t>
      </w:r>
      <w:r>
        <w:rPr>
          <w:rFonts w:ascii="宋体" w:hAnsi="宋体" w:eastAsia="宋体" w:cs="宋体"/>
          <w:spacing w:val="-5"/>
          <w:position w:val="18"/>
          <w:sz w:val="23"/>
          <w:szCs w:val="23"/>
        </w:rPr>
        <w:t>、</w:t>
      </w:r>
      <w:r>
        <w:rPr>
          <w:rFonts w:ascii="Times New Roman" w:hAnsi="Times New Roman" w:eastAsia="Times New Roman" w:cs="Times New Roman"/>
          <w:spacing w:val="-5"/>
          <w:position w:val="18"/>
          <w:sz w:val="23"/>
          <w:szCs w:val="23"/>
        </w:rPr>
        <w:t>Q</w:t>
      </w:r>
      <w:r>
        <w:rPr>
          <w:rFonts w:ascii="Times New Roman" w:hAnsi="Times New Roman" w:eastAsia="Times New Roman" w:cs="Times New Roman"/>
          <w:spacing w:val="-5"/>
          <w:position w:val="17"/>
          <w:sz w:val="15"/>
          <w:szCs w:val="15"/>
        </w:rPr>
        <w:t xml:space="preserve">2 </w:t>
      </w:r>
      <w:r>
        <w:rPr>
          <w:rFonts w:ascii="Times New Roman" w:hAnsi="Times New Roman" w:eastAsia="Times New Roman" w:cs="Times New Roman"/>
          <w:spacing w:val="-5"/>
          <w:position w:val="18"/>
          <w:sz w:val="23"/>
          <w:szCs w:val="23"/>
        </w:rPr>
        <w:t>…Q</w:t>
      </w:r>
      <w:r>
        <w:rPr>
          <w:rFonts w:ascii="Times New Roman" w:hAnsi="Times New Roman" w:eastAsia="Times New Roman" w:cs="Times New Roman"/>
          <w:spacing w:val="-5"/>
          <w:position w:val="17"/>
          <w:sz w:val="15"/>
          <w:szCs w:val="15"/>
        </w:rPr>
        <w:t>n</w:t>
      </w:r>
      <w:r>
        <w:rPr>
          <w:rFonts w:ascii="Times New Roman" w:hAnsi="Times New Roman" w:eastAsia="Times New Roman" w:cs="Times New Roman"/>
          <w:spacing w:val="-5"/>
          <w:position w:val="18"/>
          <w:sz w:val="23"/>
          <w:szCs w:val="23"/>
        </w:rPr>
        <w:t>—</w:t>
      </w:r>
      <w:r>
        <w:rPr>
          <w:rFonts w:ascii="宋体" w:hAnsi="宋体" w:eastAsia="宋体" w:cs="宋体"/>
          <w:spacing w:val="-5"/>
          <w:position w:val="18"/>
          <w:sz w:val="23"/>
          <w:szCs w:val="23"/>
        </w:rPr>
        <w:t>每种危险物质的临界量，</w:t>
      </w:r>
      <w:r>
        <w:rPr>
          <w:rFonts w:ascii="Times New Roman" w:hAnsi="Times New Roman" w:eastAsia="Times New Roman" w:cs="Times New Roman"/>
          <w:spacing w:val="-5"/>
          <w:position w:val="18"/>
          <w:sz w:val="23"/>
          <w:szCs w:val="23"/>
        </w:rPr>
        <w:t>t</w:t>
      </w:r>
      <w:r>
        <w:rPr>
          <w:rFonts w:ascii="宋体" w:hAnsi="宋体" w:eastAsia="宋体" w:cs="宋体"/>
          <w:spacing w:val="-5"/>
          <w:position w:val="18"/>
          <w:sz w:val="23"/>
          <w:szCs w:val="23"/>
        </w:rPr>
        <w:t>。</w:t>
      </w:r>
    </w:p>
    <w:p w14:paraId="0A84CEBA">
      <w:pPr>
        <w:spacing w:line="220" w:lineRule="auto"/>
        <w:ind w:left="1196"/>
        <w:rPr>
          <w:rFonts w:ascii="宋体" w:hAnsi="宋体" w:eastAsia="宋体" w:cs="宋体"/>
          <w:sz w:val="23"/>
          <w:szCs w:val="23"/>
        </w:rPr>
      </w:pPr>
      <w:r>
        <w:rPr>
          <w:rFonts w:ascii="宋体" w:hAnsi="宋体" w:eastAsia="宋体" w:cs="宋体"/>
          <w:spacing w:val="-12"/>
          <w:sz w:val="23"/>
          <w:szCs w:val="23"/>
        </w:rPr>
        <w:t>当</w:t>
      </w:r>
      <w:r>
        <w:rPr>
          <w:rFonts w:ascii="宋体" w:hAnsi="宋体" w:eastAsia="宋体" w:cs="宋体"/>
          <w:spacing w:val="-6"/>
          <w:sz w:val="23"/>
          <w:szCs w:val="23"/>
        </w:rPr>
        <w:t xml:space="preserve"> </w:t>
      </w:r>
      <w:r>
        <w:rPr>
          <w:rFonts w:ascii="Times New Roman" w:hAnsi="Times New Roman" w:eastAsia="Times New Roman" w:cs="Times New Roman"/>
          <w:spacing w:val="-6"/>
          <w:sz w:val="23"/>
          <w:szCs w:val="23"/>
        </w:rPr>
        <w:t>Q</w:t>
      </w:r>
      <w:r>
        <w:rPr>
          <w:rFonts w:ascii="宋体" w:hAnsi="宋体" w:eastAsia="宋体" w:cs="宋体"/>
          <w:spacing w:val="-6"/>
          <w:sz w:val="23"/>
          <w:szCs w:val="23"/>
        </w:rPr>
        <w:t>＜</w:t>
      </w:r>
      <w:r>
        <w:rPr>
          <w:rFonts w:ascii="Times New Roman" w:hAnsi="Times New Roman" w:eastAsia="Times New Roman" w:cs="Times New Roman"/>
          <w:spacing w:val="-6"/>
          <w:sz w:val="23"/>
          <w:szCs w:val="23"/>
        </w:rPr>
        <w:t xml:space="preserve">1 </w:t>
      </w:r>
      <w:r>
        <w:rPr>
          <w:rFonts w:ascii="宋体" w:hAnsi="宋体" w:eastAsia="宋体" w:cs="宋体"/>
          <w:spacing w:val="-6"/>
          <w:sz w:val="23"/>
          <w:szCs w:val="23"/>
        </w:rPr>
        <w:t>时，该项目环境风险潜势为</w:t>
      </w:r>
      <w:r>
        <w:rPr>
          <w:rFonts w:ascii="Times New Roman" w:hAnsi="Times New Roman" w:eastAsia="Times New Roman" w:cs="Times New Roman"/>
          <w:spacing w:val="-6"/>
          <w:sz w:val="23"/>
          <w:szCs w:val="23"/>
        </w:rPr>
        <w:t>Ⅰ</w:t>
      </w:r>
      <w:r>
        <w:rPr>
          <w:rFonts w:ascii="宋体" w:hAnsi="宋体" w:eastAsia="宋体" w:cs="宋体"/>
          <w:spacing w:val="-6"/>
          <w:sz w:val="23"/>
          <w:szCs w:val="23"/>
        </w:rPr>
        <w:t>。</w:t>
      </w:r>
    </w:p>
    <w:p w14:paraId="5F8D0AD4">
      <w:pPr>
        <w:spacing w:before="162" w:line="323" w:lineRule="exact"/>
        <w:ind w:left="1086"/>
        <w:rPr>
          <w:rFonts w:ascii="宋体" w:hAnsi="宋体" w:eastAsia="宋体" w:cs="宋体"/>
          <w:sz w:val="23"/>
          <w:szCs w:val="23"/>
        </w:rPr>
      </w:pPr>
      <w:r>
        <w:rPr>
          <w:rFonts w:ascii="宋体" w:hAnsi="宋体" w:eastAsia="宋体" w:cs="宋体"/>
          <w:spacing w:val="-36"/>
          <w:position w:val="3"/>
          <w:sz w:val="23"/>
          <w:szCs w:val="23"/>
        </w:rPr>
        <w:t>当</w:t>
      </w:r>
      <w:r>
        <w:rPr>
          <w:rFonts w:ascii="Times New Roman" w:hAnsi="Times New Roman" w:eastAsia="Times New Roman" w:cs="Times New Roman"/>
          <w:spacing w:val="-18"/>
          <w:position w:val="3"/>
          <w:sz w:val="23"/>
          <w:szCs w:val="23"/>
        </w:rPr>
        <w:t>Q</w:t>
      </w:r>
      <w:r>
        <w:rPr>
          <w:rFonts w:ascii="Times New Roman" w:hAnsi="Times New Roman" w:eastAsia="Times New Roman" w:cs="Times New Roman"/>
          <w:spacing w:val="-35"/>
          <w:position w:val="3"/>
          <w:sz w:val="23"/>
          <w:szCs w:val="23"/>
        </w:rPr>
        <w:t>≥</w:t>
      </w:r>
      <w:r>
        <w:rPr>
          <w:rFonts w:ascii="Times New Roman" w:hAnsi="Times New Roman" w:eastAsia="Times New Roman" w:cs="Times New Roman"/>
          <w:spacing w:val="-18"/>
          <w:position w:val="3"/>
          <w:sz w:val="23"/>
          <w:szCs w:val="23"/>
        </w:rPr>
        <w:t xml:space="preserve">1 </w:t>
      </w:r>
      <w:r>
        <w:rPr>
          <w:rFonts w:ascii="宋体" w:hAnsi="宋体" w:eastAsia="宋体" w:cs="宋体"/>
          <w:spacing w:val="-18"/>
          <w:position w:val="3"/>
          <w:sz w:val="23"/>
          <w:szCs w:val="23"/>
        </w:rPr>
        <w:t>时，将</w:t>
      </w:r>
      <w:r>
        <w:rPr>
          <w:rFonts w:ascii="Times New Roman" w:hAnsi="Times New Roman" w:eastAsia="Times New Roman" w:cs="Times New Roman"/>
          <w:spacing w:val="-18"/>
          <w:position w:val="3"/>
          <w:sz w:val="23"/>
          <w:szCs w:val="23"/>
        </w:rPr>
        <w:t xml:space="preserve">Q </w:t>
      </w:r>
      <w:r>
        <w:rPr>
          <w:rFonts w:ascii="宋体" w:hAnsi="宋体" w:eastAsia="宋体" w:cs="宋体"/>
          <w:spacing w:val="-18"/>
          <w:position w:val="3"/>
          <w:sz w:val="23"/>
          <w:szCs w:val="23"/>
        </w:rPr>
        <w:t>值划分为：  (</w:t>
      </w:r>
      <w:r>
        <w:rPr>
          <w:rFonts w:ascii="Times New Roman" w:hAnsi="Times New Roman" w:eastAsia="Times New Roman" w:cs="Times New Roman"/>
          <w:spacing w:val="-18"/>
          <w:position w:val="3"/>
          <w:sz w:val="23"/>
          <w:szCs w:val="23"/>
        </w:rPr>
        <w:t>1</w:t>
      </w:r>
      <w:r>
        <w:rPr>
          <w:rFonts w:ascii="宋体" w:hAnsi="宋体" w:eastAsia="宋体" w:cs="宋体"/>
          <w:spacing w:val="-18"/>
          <w:position w:val="3"/>
          <w:sz w:val="23"/>
          <w:szCs w:val="23"/>
        </w:rPr>
        <w:t xml:space="preserve">) </w:t>
      </w:r>
      <w:r>
        <w:rPr>
          <w:rFonts w:ascii="Times New Roman" w:hAnsi="Times New Roman" w:eastAsia="Times New Roman" w:cs="Times New Roman"/>
          <w:spacing w:val="-18"/>
          <w:position w:val="3"/>
          <w:sz w:val="23"/>
          <w:szCs w:val="23"/>
        </w:rPr>
        <w:t>1≤Q</w:t>
      </w:r>
      <w:r>
        <w:rPr>
          <w:rFonts w:ascii="宋体" w:hAnsi="宋体" w:eastAsia="宋体" w:cs="宋体"/>
          <w:spacing w:val="-18"/>
          <w:position w:val="3"/>
          <w:sz w:val="23"/>
          <w:szCs w:val="23"/>
        </w:rPr>
        <w:t>＜</w:t>
      </w:r>
      <w:r>
        <w:rPr>
          <w:rFonts w:ascii="Times New Roman" w:hAnsi="Times New Roman" w:eastAsia="Times New Roman" w:cs="Times New Roman"/>
          <w:spacing w:val="-18"/>
          <w:position w:val="3"/>
          <w:sz w:val="23"/>
          <w:szCs w:val="23"/>
        </w:rPr>
        <w:t>10</w:t>
      </w:r>
      <w:r>
        <w:rPr>
          <w:rFonts w:ascii="宋体" w:hAnsi="宋体" w:eastAsia="宋体" w:cs="宋体"/>
          <w:spacing w:val="-18"/>
          <w:position w:val="3"/>
          <w:sz w:val="23"/>
          <w:szCs w:val="23"/>
        </w:rPr>
        <w:t>；  (</w:t>
      </w:r>
      <w:r>
        <w:rPr>
          <w:rFonts w:ascii="Times New Roman" w:hAnsi="Times New Roman" w:eastAsia="Times New Roman" w:cs="Times New Roman"/>
          <w:spacing w:val="-18"/>
          <w:position w:val="3"/>
          <w:sz w:val="23"/>
          <w:szCs w:val="23"/>
        </w:rPr>
        <w:t>2</w:t>
      </w:r>
      <w:r>
        <w:rPr>
          <w:rFonts w:ascii="宋体" w:hAnsi="宋体" w:eastAsia="宋体" w:cs="宋体"/>
          <w:spacing w:val="-18"/>
          <w:position w:val="3"/>
          <w:sz w:val="23"/>
          <w:szCs w:val="23"/>
        </w:rPr>
        <w:t xml:space="preserve">) </w:t>
      </w:r>
      <w:r>
        <w:rPr>
          <w:rFonts w:ascii="Times New Roman" w:hAnsi="Times New Roman" w:eastAsia="Times New Roman" w:cs="Times New Roman"/>
          <w:spacing w:val="-18"/>
          <w:position w:val="3"/>
          <w:sz w:val="23"/>
          <w:szCs w:val="23"/>
        </w:rPr>
        <w:t>10≤Q</w:t>
      </w:r>
      <w:r>
        <w:rPr>
          <w:rFonts w:ascii="宋体" w:hAnsi="宋体" w:eastAsia="宋体" w:cs="宋体"/>
          <w:spacing w:val="-18"/>
          <w:position w:val="3"/>
          <w:sz w:val="23"/>
          <w:szCs w:val="23"/>
        </w:rPr>
        <w:t>＜</w:t>
      </w:r>
      <w:r>
        <w:rPr>
          <w:rFonts w:ascii="Times New Roman" w:hAnsi="Times New Roman" w:eastAsia="Times New Roman" w:cs="Times New Roman"/>
          <w:spacing w:val="-18"/>
          <w:position w:val="3"/>
          <w:sz w:val="23"/>
          <w:szCs w:val="23"/>
        </w:rPr>
        <w:t>100</w:t>
      </w:r>
      <w:r>
        <w:rPr>
          <w:rFonts w:ascii="宋体" w:hAnsi="宋体" w:eastAsia="宋体" w:cs="宋体"/>
          <w:spacing w:val="-18"/>
          <w:position w:val="3"/>
          <w:sz w:val="23"/>
          <w:szCs w:val="23"/>
        </w:rPr>
        <w:t>；  (</w:t>
      </w:r>
      <w:r>
        <w:rPr>
          <w:rFonts w:ascii="Times New Roman" w:hAnsi="Times New Roman" w:eastAsia="Times New Roman" w:cs="Times New Roman"/>
          <w:spacing w:val="-18"/>
          <w:position w:val="3"/>
          <w:sz w:val="23"/>
          <w:szCs w:val="23"/>
        </w:rPr>
        <w:t>3</w:t>
      </w:r>
      <w:r>
        <w:rPr>
          <w:rFonts w:ascii="宋体" w:hAnsi="宋体" w:eastAsia="宋体" w:cs="宋体"/>
          <w:spacing w:val="-18"/>
          <w:position w:val="3"/>
          <w:sz w:val="23"/>
          <w:szCs w:val="23"/>
        </w:rPr>
        <w:t xml:space="preserve">) </w:t>
      </w:r>
      <w:r>
        <w:rPr>
          <w:rFonts w:ascii="Times New Roman" w:hAnsi="Times New Roman" w:eastAsia="Times New Roman" w:cs="Times New Roman"/>
          <w:spacing w:val="-18"/>
          <w:position w:val="3"/>
          <w:sz w:val="23"/>
          <w:szCs w:val="23"/>
        </w:rPr>
        <w:t>Q≥100</w:t>
      </w:r>
      <w:r>
        <w:rPr>
          <w:rFonts w:ascii="宋体" w:hAnsi="宋体" w:eastAsia="宋体" w:cs="宋体"/>
          <w:spacing w:val="-18"/>
          <w:position w:val="3"/>
          <w:sz w:val="23"/>
          <w:szCs w:val="23"/>
        </w:rPr>
        <w:t>。</w:t>
      </w:r>
    </w:p>
    <w:p w14:paraId="4C3A70DB">
      <w:pPr>
        <w:spacing w:line="290" w:lineRule="auto"/>
        <w:rPr>
          <w:rFonts w:ascii="Arial"/>
          <w:sz w:val="21"/>
        </w:rPr>
      </w:pPr>
    </w:p>
    <w:p w14:paraId="122158F9">
      <w:pPr>
        <w:spacing w:before="76" w:line="393" w:lineRule="auto"/>
        <w:ind w:left="54" w:right="45" w:firstLine="447"/>
        <w:rPr>
          <w:rFonts w:ascii="宋体" w:hAnsi="宋体" w:eastAsia="宋体" w:cs="宋体"/>
          <w:sz w:val="23"/>
          <w:szCs w:val="23"/>
        </w:rPr>
      </w:pPr>
      <w:r>
        <w:rPr>
          <w:rFonts w:ascii="宋体" w:hAnsi="宋体" w:eastAsia="宋体" w:cs="宋体"/>
          <w:spacing w:val="-8"/>
          <w:sz w:val="23"/>
          <w:szCs w:val="23"/>
        </w:rPr>
        <w:t>对照《建设项</w:t>
      </w:r>
      <w:r>
        <w:rPr>
          <w:rFonts w:ascii="宋体" w:hAnsi="宋体" w:eastAsia="宋体" w:cs="宋体"/>
          <w:spacing w:val="-5"/>
          <w:sz w:val="23"/>
          <w:szCs w:val="23"/>
        </w:rPr>
        <w:t>目</w:t>
      </w:r>
      <w:r>
        <w:rPr>
          <w:rFonts w:ascii="宋体" w:hAnsi="宋体" w:eastAsia="宋体" w:cs="宋体"/>
          <w:spacing w:val="-4"/>
          <w:sz w:val="23"/>
          <w:szCs w:val="23"/>
        </w:rPr>
        <w:t>环境风险评价技术导则》 (</w:t>
      </w:r>
      <w:r>
        <w:rPr>
          <w:rFonts w:ascii="Times New Roman" w:hAnsi="Times New Roman" w:eastAsia="Times New Roman" w:cs="Times New Roman"/>
          <w:spacing w:val="-4"/>
          <w:sz w:val="23"/>
          <w:szCs w:val="23"/>
        </w:rPr>
        <w:t>HJ169-2018</w:t>
      </w:r>
      <w:r>
        <w:rPr>
          <w:rFonts w:ascii="宋体" w:hAnsi="宋体" w:eastAsia="宋体" w:cs="宋体"/>
          <w:spacing w:val="-4"/>
          <w:sz w:val="23"/>
          <w:szCs w:val="23"/>
        </w:rPr>
        <w:t>) 以及《危险化学品重大</w:t>
      </w:r>
      <w:r>
        <w:rPr>
          <w:rFonts w:ascii="宋体" w:hAnsi="宋体" w:eastAsia="宋体" w:cs="宋体"/>
          <w:sz w:val="23"/>
          <w:szCs w:val="23"/>
        </w:rPr>
        <w:t xml:space="preserve"> </w:t>
      </w:r>
      <w:r>
        <w:rPr>
          <w:rFonts w:ascii="宋体" w:hAnsi="宋体" w:eastAsia="宋体" w:cs="宋体"/>
          <w:spacing w:val="-6"/>
          <w:sz w:val="23"/>
          <w:szCs w:val="23"/>
        </w:rPr>
        <w:t>危险源</w:t>
      </w:r>
      <w:r>
        <w:rPr>
          <w:rFonts w:ascii="宋体" w:hAnsi="宋体" w:eastAsia="宋体" w:cs="宋体"/>
          <w:spacing w:val="-4"/>
          <w:sz w:val="23"/>
          <w:szCs w:val="23"/>
        </w:rPr>
        <w:t>辨</w:t>
      </w:r>
      <w:r>
        <w:rPr>
          <w:rFonts w:ascii="宋体" w:hAnsi="宋体" w:eastAsia="宋体" w:cs="宋体"/>
          <w:spacing w:val="-3"/>
          <w:sz w:val="23"/>
          <w:szCs w:val="23"/>
        </w:rPr>
        <w:t>识》  (</w:t>
      </w:r>
      <w:r>
        <w:rPr>
          <w:rFonts w:ascii="Times New Roman" w:hAnsi="Times New Roman" w:eastAsia="Times New Roman" w:cs="Times New Roman"/>
          <w:spacing w:val="-3"/>
          <w:sz w:val="23"/>
          <w:szCs w:val="23"/>
        </w:rPr>
        <w:t>GB18218-2018</w:t>
      </w:r>
      <w:r>
        <w:rPr>
          <w:rFonts w:ascii="宋体" w:hAnsi="宋体" w:eastAsia="宋体" w:cs="宋体"/>
          <w:spacing w:val="-3"/>
          <w:sz w:val="23"/>
          <w:szCs w:val="23"/>
        </w:rPr>
        <w:t>) ，该项目原辅材料不涉及风险物质，则该项目</w:t>
      </w:r>
      <w:r>
        <w:rPr>
          <w:rFonts w:ascii="Times New Roman" w:hAnsi="Times New Roman" w:eastAsia="Times New Roman" w:cs="Times New Roman"/>
          <w:spacing w:val="-3"/>
          <w:sz w:val="23"/>
          <w:szCs w:val="23"/>
        </w:rPr>
        <w:t xml:space="preserve">Q </w:t>
      </w:r>
      <w:r>
        <w:rPr>
          <w:rFonts w:ascii="宋体" w:hAnsi="宋体" w:eastAsia="宋体" w:cs="宋体"/>
          <w:spacing w:val="-3"/>
          <w:sz w:val="23"/>
          <w:szCs w:val="23"/>
        </w:rPr>
        <w:t>值</w:t>
      </w:r>
      <w:r>
        <w:rPr>
          <w:rFonts w:ascii="宋体" w:hAnsi="宋体" w:eastAsia="宋体" w:cs="宋体"/>
          <w:sz w:val="23"/>
          <w:szCs w:val="23"/>
        </w:rPr>
        <w:t xml:space="preserve"> </w:t>
      </w:r>
      <w:r>
        <w:rPr>
          <w:rFonts w:ascii="宋体" w:hAnsi="宋体" w:eastAsia="宋体" w:cs="宋体"/>
          <w:spacing w:val="-12"/>
          <w:sz w:val="23"/>
          <w:szCs w:val="23"/>
        </w:rPr>
        <w:t>＜</w:t>
      </w:r>
      <w:r>
        <w:rPr>
          <w:rFonts w:ascii="Times New Roman" w:hAnsi="Times New Roman" w:eastAsia="Times New Roman" w:cs="Times New Roman"/>
          <w:spacing w:val="-10"/>
          <w:sz w:val="23"/>
          <w:szCs w:val="23"/>
        </w:rPr>
        <w:t>1</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，则该项目环境风险潜势为</w:t>
      </w:r>
      <w:r>
        <w:rPr>
          <w:rFonts w:ascii="Times New Roman" w:hAnsi="Times New Roman" w:eastAsia="Times New Roman" w:cs="Times New Roman"/>
          <w:spacing w:val="-6"/>
          <w:sz w:val="23"/>
          <w:szCs w:val="23"/>
        </w:rPr>
        <w:t>Ⅰ</w:t>
      </w:r>
      <w:r>
        <w:rPr>
          <w:rFonts w:ascii="宋体" w:hAnsi="宋体" w:eastAsia="宋体" w:cs="宋体"/>
          <w:spacing w:val="-6"/>
          <w:sz w:val="23"/>
          <w:szCs w:val="23"/>
        </w:rPr>
        <w:t>。</w:t>
      </w:r>
    </w:p>
    <w:p w14:paraId="46993037">
      <w:pPr>
        <w:spacing w:before="140" w:line="393" w:lineRule="auto"/>
        <w:ind w:left="54" w:right="43" w:firstLine="448"/>
        <w:rPr>
          <w:rFonts w:ascii="宋体" w:hAnsi="宋体" w:eastAsia="宋体" w:cs="宋体"/>
          <w:sz w:val="23"/>
          <w:szCs w:val="23"/>
        </w:rPr>
      </w:pPr>
      <w:r>
        <w:rPr>
          <w:rFonts w:ascii="宋体" w:hAnsi="宋体" w:eastAsia="宋体" w:cs="宋体"/>
          <w:spacing w:val="-8"/>
          <w:sz w:val="23"/>
          <w:szCs w:val="23"/>
        </w:rPr>
        <w:t>根据《建设项</w:t>
      </w:r>
      <w:r>
        <w:rPr>
          <w:rFonts w:ascii="宋体" w:hAnsi="宋体" w:eastAsia="宋体" w:cs="宋体"/>
          <w:spacing w:val="-4"/>
          <w:sz w:val="23"/>
          <w:szCs w:val="23"/>
        </w:rPr>
        <w:t>目环境风险评价技术导则》 (</w:t>
      </w:r>
      <w:r>
        <w:rPr>
          <w:rFonts w:ascii="Times New Roman" w:hAnsi="Times New Roman" w:eastAsia="Times New Roman" w:cs="Times New Roman"/>
          <w:spacing w:val="-4"/>
          <w:sz w:val="23"/>
          <w:szCs w:val="23"/>
        </w:rPr>
        <w:t>HJ169-2018</w:t>
      </w:r>
      <w:r>
        <w:rPr>
          <w:rFonts w:ascii="宋体" w:hAnsi="宋体" w:eastAsia="宋体" w:cs="宋体"/>
          <w:spacing w:val="-4"/>
          <w:sz w:val="23"/>
          <w:szCs w:val="23"/>
        </w:rPr>
        <w:t>) ，该项目环境风险评价</w:t>
      </w:r>
      <w:r>
        <w:rPr>
          <w:rFonts w:ascii="宋体" w:hAnsi="宋体" w:eastAsia="宋体" w:cs="宋体"/>
          <w:sz w:val="23"/>
          <w:szCs w:val="23"/>
        </w:rPr>
        <w:t xml:space="preserve"> </w:t>
      </w:r>
      <w:r>
        <w:rPr>
          <w:rFonts w:ascii="宋体" w:hAnsi="宋体" w:eastAsia="宋体" w:cs="宋体"/>
          <w:spacing w:val="-12"/>
          <w:sz w:val="23"/>
          <w:szCs w:val="23"/>
        </w:rPr>
        <w:t>工</w:t>
      </w:r>
      <w:r>
        <w:rPr>
          <w:rFonts w:ascii="宋体" w:hAnsi="宋体" w:eastAsia="宋体" w:cs="宋体"/>
          <w:spacing w:val="-11"/>
          <w:sz w:val="23"/>
          <w:szCs w:val="23"/>
        </w:rPr>
        <w:t>作</w:t>
      </w:r>
      <w:r>
        <w:rPr>
          <w:rFonts w:ascii="宋体" w:hAnsi="宋体" w:eastAsia="宋体" w:cs="宋体"/>
          <w:spacing w:val="-6"/>
          <w:sz w:val="23"/>
          <w:szCs w:val="23"/>
        </w:rPr>
        <w:t xml:space="preserve">等级判定见表 </w:t>
      </w:r>
      <w:r>
        <w:rPr>
          <w:rFonts w:ascii="Times New Roman" w:hAnsi="Times New Roman" w:eastAsia="Times New Roman" w:cs="Times New Roman"/>
          <w:spacing w:val="-6"/>
          <w:sz w:val="23"/>
          <w:szCs w:val="23"/>
        </w:rPr>
        <w:t>2-26</w:t>
      </w:r>
      <w:r>
        <w:rPr>
          <w:rFonts w:ascii="宋体" w:hAnsi="宋体" w:eastAsia="宋体" w:cs="宋体"/>
          <w:spacing w:val="-6"/>
          <w:sz w:val="23"/>
          <w:szCs w:val="23"/>
        </w:rPr>
        <w:t>。</w:t>
      </w:r>
    </w:p>
    <w:p w14:paraId="2E416139">
      <w:pPr>
        <w:spacing w:before="146" w:line="226" w:lineRule="auto"/>
        <w:ind w:left="2587"/>
        <w:rPr>
          <w:rFonts w:ascii="宋体" w:hAnsi="宋体" w:eastAsia="宋体" w:cs="宋体"/>
          <w:sz w:val="23"/>
          <w:szCs w:val="23"/>
        </w:rPr>
      </w:pPr>
      <w:r>
        <w:rPr>
          <w:rFonts w:ascii="宋体" w:hAnsi="宋体" w:eastAsia="宋体" w:cs="宋体"/>
          <w:spacing w:val="-2"/>
          <w:sz w:val="23"/>
          <w:szCs w:val="23"/>
          <w14:textOutline w14:w="4358" w14:cap="sq" w14:cmpd="sng">
            <w14:solidFill>
              <w14:srgbClr w14:val="000000"/>
            </w14:solidFill>
            <w14:prstDash w14:val="solid"/>
            <w14:bevel/>
          </w14:textOutline>
        </w:rPr>
        <w:t>表</w:t>
      </w:r>
      <w:r>
        <w:rPr>
          <w:rFonts w:ascii="宋体" w:hAnsi="宋体" w:eastAsia="宋体" w:cs="宋体"/>
          <w:spacing w:val="-2"/>
          <w:sz w:val="23"/>
          <w:szCs w:val="23"/>
        </w:rPr>
        <w:t xml:space="preserve"> </w:t>
      </w:r>
      <w:r>
        <w:rPr>
          <w:rFonts w:ascii="Times New Roman" w:hAnsi="Times New Roman" w:eastAsia="Times New Roman" w:cs="Times New Roman"/>
          <w:b/>
          <w:bCs/>
          <w:spacing w:val="-2"/>
          <w:sz w:val="23"/>
          <w:szCs w:val="23"/>
        </w:rPr>
        <w:t>2-26</w:t>
      </w:r>
      <w:r>
        <w:rPr>
          <w:rFonts w:ascii="Times New Roman" w:hAnsi="Times New Roman" w:eastAsia="Times New Roman" w:cs="Times New Roman"/>
          <w:spacing w:val="-2"/>
          <w:sz w:val="23"/>
          <w:szCs w:val="23"/>
        </w:rPr>
        <w:t xml:space="preserve">    </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14:textOutline w14:w="4358" w14:cap="sq" w14:cmpd="sng">
            <w14:solidFill>
              <w14:srgbClr w14:val="000000"/>
            </w14:solidFill>
            <w14:prstDash w14:val="solid"/>
            <w14:bevel/>
          </w14:textOutline>
        </w:rPr>
        <w:t>风险评价级别的判定</w:t>
      </w:r>
    </w:p>
    <w:p w14:paraId="6EB0259F">
      <w:pPr>
        <w:spacing w:line="20" w:lineRule="exact"/>
      </w:pPr>
    </w:p>
    <w:tbl>
      <w:tblPr>
        <w:tblStyle w:val="4"/>
        <w:tblW w:w="8305" w:type="dxa"/>
        <w:tblInd w:w="4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94"/>
        <w:gridCol w:w="1648"/>
        <w:gridCol w:w="1633"/>
        <w:gridCol w:w="1625"/>
        <w:gridCol w:w="1705"/>
      </w:tblGrid>
      <w:tr w14:paraId="4C5C2F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trPr>
        <w:tc>
          <w:tcPr>
            <w:tcW w:w="1694" w:type="dxa"/>
            <w:tcBorders>
              <w:left w:val="nil"/>
            </w:tcBorders>
            <w:vAlign w:val="top"/>
          </w:tcPr>
          <w:p w14:paraId="6F36A753">
            <w:pPr>
              <w:spacing w:before="86" w:line="228" w:lineRule="auto"/>
              <w:ind w:left="260"/>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环境风险</w:t>
            </w:r>
            <w:r>
              <w:rPr>
                <w:rFonts w:ascii="宋体" w:hAnsi="宋体" w:eastAsia="宋体" w:cs="宋体"/>
                <w:spacing w:val="-1"/>
                <w:sz w:val="20"/>
                <w:szCs w:val="20"/>
                <w14:textOutline w14:w="3795" w14:cap="sq" w14:cmpd="sng">
                  <w14:solidFill>
                    <w14:srgbClr w14:val="000000"/>
                  </w14:solidFill>
                  <w14:prstDash w14:val="solid"/>
                  <w14:bevel/>
                </w14:textOutline>
              </w:rPr>
              <w:t>潜势</w:t>
            </w:r>
          </w:p>
        </w:tc>
        <w:tc>
          <w:tcPr>
            <w:tcW w:w="1648" w:type="dxa"/>
            <w:vAlign w:val="top"/>
          </w:tcPr>
          <w:p w14:paraId="24984C96">
            <w:pPr>
              <w:spacing w:before="52" w:line="272" w:lineRule="exact"/>
              <w:ind w:left="465"/>
              <w:rPr>
                <w:rFonts w:ascii="Times New Roman" w:hAnsi="Times New Roman" w:eastAsia="Times New Roman" w:cs="Times New Roman"/>
                <w:sz w:val="13"/>
                <w:szCs w:val="13"/>
              </w:rPr>
            </w:pPr>
            <w:r>
              <w:rPr>
                <w:rFonts w:ascii="Times New Roman" w:hAnsi="Times New Roman" w:eastAsia="Times New Roman" w:cs="Times New Roman"/>
                <w:b/>
                <w:bCs/>
                <w:spacing w:val="-10"/>
                <w:position w:val="1"/>
                <w:sz w:val="20"/>
                <w:szCs w:val="20"/>
              </w:rPr>
              <w:t>Ⅳ</w:t>
            </w:r>
            <w:r>
              <w:rPr>
                <w:rFonts w:ascii="Times New Roman" w:hAnsi="Times New Roman" w:eastAsia="Times New Roman" w:cs="Times New Roman"/>
                <w:spacing w:val="-8"/>
                <w:position w:val="1"/>
                <w:sz w:val="20"/>
                <w:szCs w:val="20"/>
              </w:rPr>
              <w:t xml:space="preserve"> </w:t>
            </w:r>
            <w:r>
              <w:rPr>
                <w:rFonts w:ascii="宋体" w:hAnsi="宋体" w:eastAsia="宋体" w:cs="宋体"/>
                <w:spacing w:val="-8"/>
                <w:position w:val="1"/>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spacing w:val="-8"/>
                <w:position w:val="1"/>
                <w:sz w:val="20"/>
                <w:szCs w:val="20"/>
              </w:rPr>
              <w:t>Ⅳ</w:t>
            </w:r>
            <w:r>
              <w:rPr>
                <w:rFonts w:ascii="Times New Roman" w:hAnsi="Times New Roman" w:eastAsia="Times New Roman" w:cs="Times New Roman"/>
                <w:b/>
                <w:bCs/>
                <w:spacing w:val="-8"/>
                <w:position w:val="7"/>
                <w:sz w:val="13"/>
                <w:szCs w:val="13"/>
              </w:rPr>
              <w:t>+</w:t>
            </w:r>
          </w:p>
        </w:tc>
        <w:tc>
          <w:tcPr>
            <w:tcW w:w="1633" w:type="dxa"/>
            <w:vAlign w:val="top"/>
          </w:tcPr>
          <w:p w14:paraId="0ED2DF6D">
            <w:pPr>
              <w:spacing w:before="126" w:line="192" w:lineRule="auto"/>
              <w:ind w:left="701"/>
              <w:rPr>
                <w:rFonts w:ascii="Times New Roman" w:hAnsi="Times New Roman" w:eastAsia="Times New Roman" w:cs="Times New Roman"/>
                <w:sz w:val="20"/>
                <w:szCs w:val="20"/>
              </w:rPr>
            </w:pPr>
            <w:r>
              <w:rPr>
                <w:rFonts w:ascii="Times New Roman" w:hAnsi="Times New Roman" w:eastAsia="Times New Roman" w:cs="Times New Roman"/>
                <w:b/>
                <w:bCs/>
                <w:spacing w:val="5"/>
                <w:sz w:val="20"/>
                <w:szCs w:val="20"/>
              </w:rPr>
              <w:t>Ⅲ</w:t>
            </w:r>
          </w:p>
        </w:tc>
        <w:tc>
          <w:tcPr>
            <w:tcW w:w="1625" w:type="dxa"/>
            <w:vAlign w:val="top"/>
          </w:tcPr>
          <w:p w14:paraId="30748212">
            <w:pPr>
              <w:spacing w:before="126" w:line="192" w:lineRule="auto"/>
              <w:ind w:left="738"/>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Ⅱ</w:t>
            </w:r>
          </w:p>
        </w:tc>
        <w:tc>
          <w:tcPr>
            <w:tcW w:w="1705" w:type="dxa"/>
            <w:tcBorders>
              <w:right w:val="nil"/>
            </w:tcBorders>
            <w:vAlign w:val="top"/>
          </w:tcPr>
          <w:p w14:paraId="1CAD316A">
            <w:pPr>
              <w:spacing w:before="126" w:line="192" w:lineRule="auto"/>
              <w:ind w:left="820"/>
              <w:rPr>
                <w:rFonts w:ascii="Times New Roman" w:hAnsi="Times New Roman" w:eastAsia="Times New Roman" w:cs="Times New Roman"/>
                <w:sz w:val="20"/>
                <w:szCs w:val="20"/>
              </w:rPr>
            </w:pPr>
            <w:r>
              <w:rPr>
                <w:rFonts w:ascii="Times New Roman" w:hAnsi="Times New Roman" w:eastAsia="Times New Roman" w:cs="Times New Roman"/>
                <w:b/>
                <w:bCs/>
                <w:sz w:val="20"/>
                <w:szCs w:val="20"/>
              </w:rPr>
              <w:t>Ⅰ</w:t>
            </w:r>
          </w:p>
        </w:tc>
      </w:tr>
      <w:tr w14:paraId="15BF6E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694" w:type="dxa"/>
            <w:tcBorders>
              <w:left w:val="nil"/>
            </w:tcBorders>
            <w:vAlign w:val="top"/>
          </w:tcPr>
          <w:p w14:paraId="08142ED5">
            <w:pPr>
              <w:spacing w:before="65" w:line="226" w:lineRule="auto"/>
              <w:ind w:left="264"/>
              <w:rPr>
                <w:rFonts w:ascii="宋体" w:hAnsi="宋体" w:eastAsia="宋体" w:cs="宋体"/>
                <w:sz w:val="20"/>
                <w:szCs w:val="20"/>
              </w:rPr>
            </w:pPr>
            <w:r>
              <w:rPr>
                <w:rFonts w:ascii="宋体" w:hAnsi="宋体" w:eastAsia="宋体" w:cs="宋体"/>
                <w:spacing w:val="-2"/>
                <w:sz w:val="20"/>
                <w:szCs w:val="20"/>
              </w:rPr>
              <w:t>评价工作等级</w:t>
            </w:r>
          </w:p>
        </w:tc>
        <w:tc>
          <w:tcPr>
            <w:tcW w:w="1648" w:type="dxa"/>
            <w:vAlign w:val="top"/>
          </w:tcPr>
          <w:p w14:paraId="1717F09A">
            <w:pPr>
              <w:spacing w:before="143" w:line="168" w:lineRule="exact"/>
              <w:ind w:left="734"/>
              <w:rPr>
                <w:rFonts w:ascii="宋体" w:hAnsi="宋体" w:eastAsia="宋体" w:cs="宋体"/>
                <w:sz w:val="10"/>
                <w:szCs w:val="10"/>
              </w:rPr>
            </w:pPr>
            <w:r>
              <w:rPr>
                <w:rFonts w:ascii="宋体" w:hAnsi="宋体" w:eastAsia="宋体" w:cs="宋体"/>
                <w:spacing w:val="97"/>
                <w:position w:val="1"/>
                <w:sz w:val="10"/>
                <w:szCs w:val="10"/>
              </w:rPr>
              <w:t>一</w:t>
            </w:r>
          </w:p>
        </w:tc>
        <w:tc>
          <w:tcPr>
            <w:tcW w:w="1633" w:type="dxa"/>
            <w:vAlign w:val="top"/>
          </w:tcPr>
          <w:p w14:paraId="570E05F7">
            <w:pPr>
              <w:spacing w:before="104" w:line="189" w:lineRule="auto"/>
              <w:ind w:left="727"/>
              <w:rPr>
                <w:rFonts w:ascii="宋体" w:hAnsi="宋体" w:eastAsia="宋体" w:cs="宋体"/>
                <w:sz w:val="20"/>
                <w:szCs w:val="20"/>
              </w:rPr>
            </w:pPr>
            <w:r>
              <w:rPr>
                <w:rFonts w:ascii="宋体" w:hAnsi="宋体" w:eastAsia="宋体" w:cs="宋体"/>
                <w:sz w:val="20"/>
                <w:szCs w:val="20"/>
              </w:rPr>
              <w:t>二</w:t>
            </w:r>
          </w:p>
        </w:tc>
        <w:tc>
          <w:tcPr>
            <w:tcW w:w="1625" w:type="dxa"/>
            <w:vAlign w:val="top"/>
          </w:tcPr>
          <w:p w14:paraId="322A51F8">
            <w:pPr>
              <w:spacing w:before="65" w:line="265" w:lineRule="exact"/>
              <w:ind w:left="718"/>
              <w:rPr>
                <w:rFonts w:ascii="宋体" w:hAnsi="宋体" w:eastAsia="宋体" w:cs="宋体"/>
                <w:sz w:val="20"/>
                <w:szCs w:val="20"/>
              </w:rPr>
            </w:pPr>
            <w:r>
              <w:rPr>
                <w:rFonts w:ascii="宋体" w:hAnsi="宋体" w:eastAsia="宋体" w:cs="宋体"/>
                <w:position w:val="1"/>
                <w:sz w:val="20"/>
                <w:szCs w:val="20"/>
              </w:rPr>
              <w:t>三</w:t>
            </w:r>
          </w:p>
        </w:tc>
        <w:tc>
          <w:tcPr>
            <w:tcW w:w="1705" w:type="dxa"/>
            <w:tcBorders>
              <w:right w:val="nil"/>
            </w:tcBorders>
            <w:vAlign w:val="top"/>
          </w:tcPr>
          <w:p w14:paraId="70997A4E">
            <w:pPr>
              <w:spacing w:before="65" w:line="227" w:lineRule="auto"/>
              <w:ind w:left="422"/>
              <w:rPr>
                <w:rFonts w:ascii="Times New Roman" w:hAnsi="Times New Roman" w:eastAsia="Times New Roman" w:cs="Times New Roman"/>
                <w:sz w:val="20"/>
                <w:szCs w:val="20"/>
              </w:rPr>
            </w:pPr>
            <w:r>
              <w:rPr>
                <w:rFonts w:ascii="宋体" w:hAnsi="宋体" w:eastAsia="宋体" w:cs="宋体"/>
                <w:spacing w:val="-4"/>
                <w:sz w:val="20"/>
                <w:szCs w:val="20"/>
              </w:rPr>
              <w:t>简</w:t>
            </w:r>
            <w:r>
              <w:rPr>
                <w:rFonts w:ascii="宋体" w:hAnsi="宋体" w:eastAsia="宋体" w:cs="宋体"/>
                <w:spacing w:val="-3"/>
                <w:sz w:val="20"/>
                <w:szCs w:val="20"/>
              </w:rPr>
              <w:t>单</w:t>
            </w:r>
            <w:r>
              <w:rPr>
                <w:rFonts w:ascii="宋体" w:hAnsi="宋体" w:eastAsia="宋体" w:cs="宋体"/>
                <w:spacing w:val="-2"/>
                <w:sz w:val="20"/>
                <w:szCs w:val="20"/>
              </w:rPr>
              <w:t>分析</w:t>
            </w:r>
            <w:r>
              <w:rPr>
                <w:rFonts w:ascii="Times New Roman" w:hAnsi="Times New Roman" w:eastAsia="Times New Roman" w:cs="Times New Roman"/>
                <w:spacing w:val="-2"/>
                <w:sz w:val="20"/>
                <w:szCs w:val="20"/>
              </w:rPr>
              <w:t>*</w:t>
            </w:r>
          </w:p>
        </w:tc>
      </w:tr>
    </w:tbl>
    <w:p w14:paraId="02728C13">
      <w:pPr>
        <w:spacing w:before="61" w:line="268" w:lineRule="auto"/>
        <w:ind w:left="49" w:firstLine="7"/>
        <w:rPr>
          <w:rFonts w:ascii="宋体" w:hAnsi="宋体" w:eastAsia="宋体" w:cs="宋体"/>
          <w:sz w:val="20"/>
          <w:szCs w:val="20"/>
        </w:rPr>
      </w:pPr>
      <w:r>
        <w:rPr>
          <w:rFonts w:ascii="Times New Roman" w:hAnsi="Times New Roman" w:eastAsia="Times New Roman" w:cs="Times New Roman"/>
          <w:spacing w:val="-4"/>
          <w:sz w:val="20"/>
          <w:szCs w:val="20"/>
        </w:rPr>
        <w:t>*</w:t>
      </w:r>
      <w:r>
        <w:rPr>
          <w:rFonts w:ascii="宋体" w:hAnsi="宋体" w:eastAsia="宋体" w:cs="宋体"/>
          <w:spacing w:val="-4"/>
          <w:sz w:val="20"/>
          <w:szCs w:val="20"/>
        </w:rPr>
        <w:t>是相对于详细评价工作内容而言，在描述危险物质、环境影响途径、环境危害后果、风险防</w:t>
      </w:r>
      <w:r>
        <w:rPr>
          <w:rFonts w:ascii="宋体" w:hAnsi="宋体" w:eastAsia="宋体" w:cs="宋体"/>
          <w:spacing w:val="-2"/>
          <w:sz w:val="20"/>
          <w:szCs w:val="20"/>
        </w:rPr>
        <w:t>范</w:t>
      </w:r>
      <w:r>
        <w:rPr>
          <w:rFonts w:ascii="宋体" w:hAnsi="宋体" w:eastAsia="宋体" w:cs="宋体"/>
          <w:sz w:val="20"/>
          <w:szCs w:val="20"/>
        </w:rPr>
        <w:t xml:space="preserve">措 </w:t>
      </w:r>
      <w:r>
        <w:rPr>
          <w:rFonts w:ascii="宋体" w:hAnsi="宋体" w:eastAsia="宋体" w:cs="宋体"/>
          <w:spacing w:val="-1"/>
          <w:sz w:val="20"/>
          <w:szCs w:val="20"/>
        </w:rPr>
        <w:t>施等方面给</w:t>
      </w:r>
      <w:r>
        <w:rPr>
          <w:rFonts w:ascii="宋体" w:hAnsi="宋体" w:eastAsia="宋体" w:cs="宋体"/>
          <w:sz w:val="20"/>
          <w:szCs w:val="20"/>
        </w:rPr>
        <w:t>出定性的的说明。见附录</w:t>
      </w:r>
      <w:r>
        <w:rPr>
          <w:rFonts w:ascii="Times New Roman" w:hAnsi="Times New Roman" w:eastAsia="Times New Roman" w:cs="Times New Roman"/>
          <w:sz w:val="20"/>
          <w:szCs w:val="20"/>
        </w:rPr>
        <w:t>A</w:t>
      </w:r>
      <w:r>
        <w:rPr>
          <w:rFonts w:ascii="宋体" w:hAnsi="宋体" w:eastAsia="宋体" w:cs="宋体"/>
          <w:sz w:val="20"/>
          <w:szCs w:val="20"/>
        </w:rPr>
        <w:t>。</w:t>
      </w:r>
    </w:p>
    <w:p w14:paraId="5BBA0DCC">
      <w:pPr>
        <w:spacing w:before="25" w:line="29" w:lineRule="exact"/>
        <w:ind w:firstLine="41"/>
        <w:textAlignment w:val="center"/>
      </w:pPr>
      <w:r>
        <w:pict>
          <v:shape id="_x0000_s1103" o:spid="_x0000_s1103" style="height:1.45pt;width:415.3pt;" filled="f" stroked="t" coordsize="8305,29" path="m0,14l8305,14e">
            <v:fill on="f" focussize="0,0"/>
            <v:stroke weight="1.44pt" color="#000000" miterlimit="2" joinstyle="bevel"/>
            <v:imagedata o:title=""/>
            <o:lock v:ext="edit"/>
            <w10:wrap type="none"/>
            <w10:anchorlock/>
          </v:shape>
        </w:pict>
      </w:r>
    </w:p>
    <w:p w14:paraId="3DC13154">
      <w:pPr>
        <w:spacing w:line="270" w:lineRule="auto"/>
        <w:rPr>
          <w:rFonts w:ascii="Arial"/>
          <w:sz w:val="21"/>
        </w:rPr>
      </w:pPr>
    </w:p>
    <w:p w14:paraId="719CEA14">
      <w:pPr>
        <w:spacing w:before="75" w:line="227" w:lineRule="auto"/>
        <w:ind w:left="506"/>
        <w:rPr>
          <w:rFonts w:ascii="宋体" w:hAnsi="宋体" w:eastAsia="宋体" w:cs="宋体"/>
          <w:sz w:val="23"/>
          <w:szCs w:val="23"/>
        </w:rPr>
      </w:pPr>
      <w:r>
        <w:rPr>
          <w:rFonts w:ascii="宋体" w:hAnsi="宋体" w:eastAsia="宋体" w:cs="宋体"/>
          <w:spacing w:val="-6"/>
          <w:sz w:val="23"/>
          <w:szCs w:val="23"/>
        </w:rPr>
        <w:t>该</w:t>
      </w:r>
      <w:r>
        <w:rPr>
          <w:rFonts w:ascii="宋体" w:hAnsi="宋体" w:eastAsia="宋体" w:cs="宋体"/>
          <w:spacing w:val="-5"/>
          <w:sz w:val="23"/>
          <w:szCs w:val="23"/>
        </w:rPr>
        <w:t>项</w:t>
      </w:r>
      <w:r>
        <w:rPr>
          <w:rFonts w:ascii="宋体" w:hAnsi="宋体" w:eastAsia="宋体" w:cs="宋体"/>
          <w:spacing w:val="-3"/>
          <w:sz w:val="23"/>
          <w:szCs w:val="23"/>
        </w:rPr>
        <w:t>目环境风险潜势为</w:t>
      </w:r>
      <w:r>
        <w:rPr>
          <w:rFonts w:ascii="Times New Roman" w:hAnsi="Times New Roman" w:eastAsia="Times New Roman" w:cs="Times New Roman"/>
          <w:spacing w:val="-3"/>
          <w:sz w:val="23"/>
          <w:szCs w:val="23"/>
        </w:rPr>
        <w:t xml:space="preserve">Ⅰ </w:t>
      </w:r>
      <w:r>
        <w:rPr>
          <w:rFonts w:ascii="宋体" w:hAnsi="宋体" w:eastAsia="宋体" w:cs="宋体"/>
          <w:spacing w:val="-3"/>
          <w:sz w:val="23"/>
          <w:szCs w:val="23"/>
        </w:rPr>
        <w:t>，可以确定该项目环境风险评价级别为简单分析，即仅</w:t>
      </w:r>
    </w:p>
    <w:p w14:paraId="49F84B3C">
      <w:pPr>
        <w:sectPr>
          <w:headerReference r:id="rId76" w:type="default"/>
          <w:footerReference r:id="rId77" w:type="default"/>
          <w:pgSz w:w="11906" w:h="16839"/>
          <w:pgMar w:top="1132" w:right="1756" w:bottom="1156" w:left="1758" w:header="878" w:footer="996" w:gutter="0"/>
          <w:cols w:space="720" w:num="1"/>
        </w:sectPr>
      </w:pPr>
    </w:p>
    <w:p w14:paraId="5A5C4D1D">
      <w:pPr>
        <w:spacing w:line="409" w:lineRule="auto"/>
        <w:rPr>
          <w:rFonts w:ascii="Arial"/>
          <w:sz w:val="21"/>
        </w:rPr>
      </w:pPr>
      <w:r>
        <w:pict>
          <v:shape id="_x0000_s1104" o:spid="_x0000_s1104" style="position:absolute;left:0pt;margin-left:90pt;margin-top:57.35pt;height:0.75pt;width:415.3pt;mso-position-horizontal-relative:page;mso-position-vertical-relative:page;z-index:251738112;mso-width-relative:page;mso-height-relative:page;" fillcolor="#000000" filled="t" stroked="f" coordsize="8305,15" o:allowincell="f" path="m0,0l8305,0,8305,14,0,14,0,0xe">
            <v:path/>
            <v:fill on="t" focussize="0,0"/>
            <v:stroke on="f"/>
            <v:imagedata o:title=""/>
            <o:lock v:ext="edit"/>
          </v:shape>
        </w:pict>
      </w:r>
    </w:p>
    <w:p w14:paraId="77054B10">
      <w:pPr>
        <w:spacing w:before="74" w:line="393" w:lineRule="auto"/>
        <w:ind w:left="42" w:right="16" w:hanging="20"/>
        <w:rPr>
          <w:rFonts w:ascii="宋体" w:hAnsi="宋体" w:eastAsia="宋体" w:cs="宋体"/>
          <w:sz w:val="23"/>
          <w:szCs w:val="23"/>
        </w:rPr>
      </w:pPr>
      <w:r>
        <w:rPr>
          <w:rFonts w:ascii="宋体" w:hAnsi="宋体" w:eastAsia="宋体" w:cs="宋体"/>
          <w:spacing w:val="1"/>
          <w:sz w:val="23"/>
          <w:szCs w:val="23"/>
        </w:rPr>
        <w:t>在描述危险物质、环境影响途径、</w:t>
      </w:r>
      <w:r>
        <w:rPr>
          <w:rFonts w:ascii="宋体" w:hAnsi="宋体" w:eastAsia="宋体" w:cs="宋体"/>
          <w:sz w:val="23"/>
          <w:szCs w:val="23"/>
        </w:rPr>
        <w:t xml:space="preserve">环境危害后果、风险防范措施等方面给出定性的 </w:t>
      </w:r>
      <w:r>
        <w:rPr>
          <w:rFonts w:ascii="宋体" w:hAnsi="宋体" w:eastAsia="宋体" w:cs="宋体"/>
          <w:spacing w:val="-8"/>
          <w:sz w:val="23"/>
          <w:szCs w:val="23"/>
        </w:rPr>
        <w:t>的</w:t>
      </w:r>
      <w:r>
        <w:rPr>
          <w:rFonts w:ascii="宋体" w:hAnsi="宋体" w:eastAsia="宋体" w:cs="宋体"/>
          <w:spacing w:val="-6"/>
          <w:sz w:val="23"/>
          <w:szCs w:val="23"/>
        </w:rPr>
        <w:t>说明。</w:t>
      </w:r>
    </w:p>
    <w:p w14:paraId="25F38344">
      <w:pPr>
        <w:spacing w:before="97" w:line="224" w:lineRule="auto"/>
        <w:ind w:left="21"/>
        <w:outlineLvl w:val="2"/>
        <w:rPr>
          <w:rFonts w:ascii="宋体" w:hAnsi="宋体" w:eastAsia="宋体" w:cs="宋体"/>
          <w:sz w:val="29"/>
          <w:szCs w:val="29"/>
        </w:rPr>
      </w:pPr>
      <w:r>
        <w:rPr>
          <w:rFonts w:ascii="Times New Roman" w:hAnsi="Times New Roman" w:eastAsia="Times New Roman" w:cs="Times New Roman"/>
          <w:b/>
          <w:bCs/>
          <w:spacing w:val="10"/>
          <w:sz w:val="29"/>
          <w:szCs w:val="29"/>
        </w:rPr>
        <w:t>2</w:t>
      </w:r>
      <w:r>
        <w:rPr>
          <w:rFonts w:ascii="Times New Roman" w:hAnsi="Times New Roman" w:eastAsia="Times New Roman" w:cs="Times New Roman"/>
          <w:b/>
          <w:bCs/>
          <w:spacing w:val="6"/>
          <w:sz w:val="29"/>
          <w:szCs w:val="29"/>
        </w:rPr>
        <w:t>.</w:t>
      </w:r>
      <w:r>
        <w:rPr>
          <w:rFonts w:ascii="Times New Roman" w:hAnsi="Times New Roman" w:eastAsia="Times New Roman" w:cs="Times New Roman"/>
          <w:b/>
          <w:bCs/>
          <w:spacing w:val="5"/>
          <w:sz w:val="29"/>
          <w:szCs w:val="29"/>
        </w:rPr>
        <w:t>6.2</w:t>
      </w:r>
      <w:r>
        <w:rPr>
          <w:rFonts w:ascii="Times New Roman" w:hAnsi="Times New Roman" w:eastAsia="Times New Roman" w:cs="Times New Roman"/>
          <w:spacing w:val="5"/>
          <w:sz w:val="29"/>
          <w:szCs w:val="29"/>
        </w:rPr>
        <w:t xml:space="preserve"> </w:t>
      </w:r>
      <w:r>
        <w:rPr>
          <w:rFonts w:ascii="宋体" w:hAnsi="宋体" w:eastAsia="宋体" w:cs="宋体"/>
          <w:spacing w:val="5"/>
          <w:sz w:val="29"/>
          <w:szCs w:val="29"/>
          <w14:textOutline w14:w="5448" w14:cap="sq" w14:cmpd="sng">
            <w14:solidFill>
              <w14:srgbClr w14:val="000000"/>
            </w14:solidFill>
            <w14:prstDash w14:val="solid"/>
            <w14:bevel/>
          </w14:textOutline>
        </w:rPr>
        <w:t>评价范围</w:t>
      </w:r>
    </w:p>
    <w:p w14:paraId="33E54D51">
      <w:pPr>
        <w:spacing w:line="269" w:lineRule="auto"/>
        <w:rPr>
          <w:rFonts w:ascii="Arial"/>
          <w:sz w:val="21"/>
        </w:rPr>
      </w:pPr>
    </w:p>
    <w:p w14:paraId="73969A61">
      <w:pPr>
        <w:spacing w:before="75" w:line="392" w:lineRule="auto"/>
        <w:ind w:left="24" w:right="16" w:firstLine="479"/>
        <w:rPr>
          <w:rFonts w:ascii="宋体" w:hAnsi="宋体" w:eastAsia="宋体" w:cs="宋体"/>
          <w:sz w:val="23"/>
          <w:szCs w:val="23"/>
        </w:rPr>
      </w:pPr>
      <w:r>
        <w:rPr>
          <w:rFonts w:ascii="宋体" w:hAnsi="宋体" w:eastAsia="宋体" w:cs="宋体"/>
          <w:spacing w:val="-1"/>
          <w:sz w:val="23"/>
          <w:szCs w:val="23"/>
        </w:rPr>
        <w:t>根据项目污染</w:t>
      </w:r>
      <w:r>
        <w:rPr>
          <w:rFonts w:ascii="宋体" w:hAnsi="宋体" w:eastAsia="宋体" w:cs="宋体"/>
          <w:sz w:val="23"/>
          <w:szCs w:val="23"/>
        </w:rPr>
        <w:t xml:space="preserve">物排放特点及当地气象条件、自然环境状况，确定各环境要素评 </w:t>
      </w:r>
      <w:r>
        <w:rPr>
          <w:rFonts w:ascii="宋体" w:hAnsi="宋体" w:eastAsia="宋体" w:cs="宋体"/>
          <w:spacing w:val="-4"/>
          <w:sz w:val="23"/>
          <w:szCs w:val="23"/>
        </w:rPr>
        <w:t>价</w:t>
      </w:r>
      <w:r>
        <w:rPr>
          <w:rFonts w:ascii="宋体" w:hAnsi="宋体" w:eastAsia="宋体" w:cs="宋体"/>
          <w:spacing w:val="-2"/>
          <w:sz w:val="23"/>
          <w:szCs w:val="23"/>
        </w:rPr>
        <w:t>范围如下：</w:t>
      </w:r>
    </w:p>
    <w:p w14:paraId="47490638">
      <w:pPr>
        <w:spacing w:before="148" w:line="395" w:lineRule="auto"/>
        <w:ind w:left="23" w:right="16" w:firstLine="462"/>
        <w:rPr>
          <w:rFonts w:ascii="宋体" w:hAnsi="宋体" w:eastAsia="宋体" w:cs="宋体"/>
          <w:sz w:val="23"/>
          <w:szCs w:val="23"/>
        </w:rPr>
      </w:pPr>
      <w:r>
        <w:rPr>
          <w:rFonts w:ascii="宋体" w:hAnsi="宋体" w:eastAsia="宋体" w:cs="宋体"/>
          <w:spacing w:val="-1"/>
          <w:sz w:val="23"/>
          <w:szCs w:val="23"/>
        </w:rPr>
        <w:t>(</w:t>
      </w:r>
      <w:r>
        <w:rPr>
          <w:rFonts w:ascii="Times New Roman" w:hAnsi="Times New Roman" w:eastAsia="Times New Roman" w:cs="Times New Roman"/>
          <w:spacing w:val="-1"/>
          <w:sz w:val="23"/>
          <w:szCs w:val="23"/>
        </w:rPr>
        <w:t>1</w:t>
      </w:r>
      <w:r>
        <w:rPr>
          <w:rFonts w:ascii="宋体" w:hAnsi="宋体" w:eastAsia="宋体" w:cs="宋体"/>
          <w:spacing w:val="-1"/>
          <w:sz w:val="23"/>
          <w:szCs w:val="23"/>
        </w:rPr>
        <w:t>) 环境空气：根据《环境影响评价技术导则大气环境》  (</w:t>
      </w:r>
      <w:r>
        <w:rPr>
          <w:rFonts w:ascii="Times New Roman" w:hAnsi="Times New Roman" w:eastAsia="Times New Roman" w:cs="Times New Roman"/>
          <w:sz w:val="23"/>
          <w:szCs w:val="23"/>
        </w:rPr>
        <w:t>HJ</w:t>
      </w:r>
      <w:r>
        <w:rPr>
          <w:rFonts w:ascii="Times New Roman" w:hAnsi="Times New Roman" w:eastAsia="Times New Roman" w:cs="Times New Roman"/>
          <w:spacing w:val="-1"/>
          <w:sz w:val="23"/>
          <w:szCs w:val="23"/>
        </w:rPr>
        <w:t>2.2-20</w:t>
      </w:r>
      <w:r>
        <w:rPr>
          <w:rFonts w:ascii="Times New Roman" w:hAnsi="Times New Roman" w:eastAsia="Times New Roman" w:cs="Times New Roman"/>
          <w:sz w:val="23"/>
          <w:szCs w:val="23"/>
        </w:rPr>
        <w:t>18</w:t>
      </w:r>
      <w:r>
        <w:rPr>
          <w:rFonts w:ascii="宋体" w:hAnsi="宋体" w:eastAsia="宋体" w:cs="宋体"/>
          <w:sz w:val="23"/>
          <w:szCs w:val="23"/>
        </w:rPr>
        <w:t xml:space="preserve">) 的有 </w:t>
      </w:r>
      <w:r>
        <w:rPr>
          <w:rFonts w:ascii="宋体" w:hAnsi="宋体" w:eastAsia="宋体" w:cs="宋体"/>
          <w:spacing w:val="1"/>
          <w:sz w:val="23"/>
          <w:szCs w:val="23"/>
        </w:rPr>
        <w:t>关规定，结合本项目规模、大气</w:t>
      </w:r>
      <w:r>
        <w:rPr>
          <w:rFonts w:ascii="宋体" w:hAnsi="宋体" w:eastAsia="宋体" w:cs="宋体"/>
          <w:sz w:val="23"/>
          <w:szCs w:val="23"/>
        </w:rPr>
        <w:t xml:space="preserve">污染物排放特点、气象条件等因素，确定大气环境 </w:t>
      </w:r>
      <w:r>
        <w:rPr>
          <w:rFonts w:ascii="宋体" w:hAnsi="宋体" w:eastAsia="宋体" w:cs="宋体"/>
          <w:spacing w:val="-8"/>
          <w:sz w:val="23"/>
          <w:szCs w:val="23"/>
        </w:rPr>
        <w:t>影响评</w:t>
      </w:r>
      <w:r>
        <w:rPr>
          <w:rFonts w:ascii="宋体" w:hAnsi="宋体" w:eastAsia="宋体" w:cs="宋体"/>
          <w:spacing w:val="-6"/>
          <w:sz w:val="23"/>
          <w:szCs w:val="23"/>
        </w:rPr>
        <w:t>价</w:t>
      </w:r>
      <w:r>
        <w:rPr>
          <w:rFonts w:ascii="宋体" w:hAnsi="宋体" w:eastAsia="宋体" w:cs="宋体"/>
          <w:spacing w:val="-4"/>
          <w:sz w:val="23"/>
          <w:szCs w:val="23"/>
        </w:rPr>
        <w:t xml:space="preserve">范围为以项目厂址为中心区域，边长取 </w:t>
      </w:r>
      <w:r>
        <w:rPr>
          <w:rFonts w:ascii="Times New Roman" w:hAnsi="Times New Roman" w:eastAsia="Times New Roman" w:cs="Times New Roman"/>
          <w:spacing w:val="-4"/>
          <w:sz w:val="23"/>
          <w:szCs w:val="23"/>
        </w:rPr>
        <w:t xml:space="preserve">5km </w:t>
      </w:r>
      <w:r>
        <w:rPr>
          <w:rFonts w:ascii="宋体" w:hAnsi="宋体" w:eastAsia="宋体" w:cs="宋体"/>
          <w:spacing w:val="-4"/>
          <w:sz w:val="23"/>
          <w:szCs w:val="23"/>
        </w:rPr>
        <w:t>的矩形范围。</w:t>
      </w:r>
    </w:p>
    <w:p w14:paraId="45A55EAA">
      <w:pPr>
        <w:spacing w:before="131" w:line="227" w:lineRule="auto"/>
        <w:ind w:left="574"/>
        <w:rPr>
          <w:rFonts w:ascii="宋体" w:hAnsi="宋体" w:eastAsia="宋体" w:cs="宋体"/>
          <w:sz w:val="23"/>
          <w:szCs w:val="23"/>
        </w:rPr>
      </w:pPr>
      <w:r>
        <w:rPr>
          <w:rFonts w:ascii="宋体" w:hAnsi="宋体" w:eastAsia="宋体" w:cs="宋体"/>
          <w:spacing w:val="10"/>
          <w:sz w:val="23"/>
          <w:szCs w:val="23"/>
        </w:rPr>
        <w:t>(</w:t>
      </w:r>
      <w:r>
        <w:rPr>
          <w:rFonts w:ascii="Times New Roman" w:hAnsi="Times New Roman" w:eastAsia="Times New Roman" w:cs="Times New Roman"/>
          <w:spacing w:val="8"/>
          <w:sz w:val="23"/>
          <w:szCs w:val="23"/>
        </w:rPr>
        <w:t>2</w:t>
      </w:r>
      <w:r>
        <w:rPr>
          <w:rFonts w:ascii="宋体" w:hAnsi="宋体" w:eastAsia="宋体" w:cs="宋体"/>
          <w:spacing w:val="8"/>
          <w:sz w:val="23"/>
          <w:szCs w:val="23"/>
        </w:rPr>
        <w:t>) 地下水环境：</w:t>
      </w:r>
    </w:p>
    <w:p w14:paraId="60949DB1">
      <w:pPr>
        <w:spacing w:line="287" w:lineRule="auto"/>
        <w:rPr>
          <w:rFonts w:ascii="Arial"/>
          <w:sz w:val="21"/>
        </w:rPr>
      </w:pPr>
    </w:p>
    <w:p w14:paraId="6D9B4816">
      <w:pPr>
        <w:spacing w:before="75" w:line="381" w:lineRule="auto"/>
        <w:ind w:left="23" w:right="42" w:firstLine="423"/>
        <w:rPr>
          <w:rFonts w:ascii="宋体" w:hAnsi="宋体" w:eastAsia="宋体" w:cs="宋体"/>
          <w:sz w:val="23"/>
          <w:szCs w:val="23"/>
        </w:rPr>
      </w:pPr>
      <w:r>
        <w:rPr>
          <w:rFonts w:ascii="宋体" w:hAnsi="宋体" w:eastAsia="宋体" w:cs="宋体"/>
          <w:spacing w:val="-6"/>
          <w:sz w:val="23"/>
          <w:szCs w:val="23"/>
        </w:rPr>
        <w:t>项目场地周边地势平缓、水文地质条件相对简单，根据《环境影响评价技术导</w:t>
      </w:r>
      <w:r>
        <w:rPr>
          <w:rFonts w:ascii="宋体" w:hAnsi="宋体" w:eastAsia="宋体" w:cs="宋体"/>
          <w:spacing w:val="-2"/>
          <w:sz w:val="23"/>
          <w:szCs w:val="23"/>
        </w:rPr>
        <w:t>则</w:t>
      </w:r>
      <w:r>
        <w:rPr>
          <w:rFonts w:ascii="宋体" w:hAnsi="宋体" w:eastAsia="宋体" w:cs="宋体"/>
          <w:sz w:val="23"/>
          <w:szCs w:val="23"/>
        </w:rPr>
        <w:t xml:space="preserve"> </w:t>
      </w:r>
      <w:r>
        <w:rPr>
          <w:rFonts w:ascii="宋体" w:hAnsi="宋体" w:eastAsia="宋体" w:cs="宋体"/>
          <w:spacing w:val="-6"/>
          <w:sz w:val="23"/>
          <w:szCs w:val="23"/>
        </w:rPr>
        <w:t>地下水环境》  (</w:t>
      </w:r>
      <w:r>
        <w:rPr>
          <w:rFonts w:ascii="Times New Roman" w:hAnsi="Times New Roman" w:eastAsia="Times New Roman" w:cs="Times New Roman"/>
          <w:spacing w:val="-6"/>
          <w:sz w:val="23"/>
          <w:szCs w:val="23"/>
        </w:rPr>
        <w:t>HJ 610-2016</w:t>
      </w:r>
      <w:r>
        <w:rPr>
          <w:rFonts w:ascii="宋体" w:hAnsi="宋体" w:eastAsia="宋体" w:cs="宋体"/>
          <w:spacing w:val="-6"/>
          <w:sz w:val="23"/>
          <w:szCs w:val="23"/>
        </w:rPr>
        <w:t xml:space="preserve">) 的有关规定，并参照 </w:t>
      </w:r>
      <w:r>
        <w:rPr>
          <w:rFonts w:ascii="Times New Roman" w:hAnsi="Times New Roman" w:eastAsia="Times New Roman" w:cs="Times New Roman"/>
          <w:spacing w:val="-6"/>
          <w:sz w:val="23"/>
          <w:szCs w:val="23"/>
        </w:rPr>
        <w:t>HJ/</w:t>
      </w:r>
      <w:r>
        <w:rPr>
          <w:rFonts w:ascii="Times New Roman" w:hAnsi="Times New Roman" w:eastAsia="Times New Roman" w:cs="Times New Roman"/>
          <w:spacing w:val="-5"/>
          <w:sz w:val="23"/>
          <w:szCs w:val="23"/>
        </w:rPr>
        <w:t>T</w:t>
      </w:r>
      <w:r>
        <w:rPr>
          <w:rFonts w:ascii="Times New Roman" w:hAnsi="Times New Roman" w:eastAsia="Times New Roman" w:cs="Times New Roman"/>
          <w:spacing w:val="-6"/>
          <w:sz w:val="23"/>
          <w:szCs w:val="23"/>
        </w:rPr>
        <w:t xml:space="preserve"> 338</w:t>
      </w:r>
      <w:r>
        <w:rPr>
          <w:rFonts w:ascii="宋体" w:hAnsi="宋体" w:eastAsia="宋体" w:cs="宋体"/>
          <w:spacing w:val="-6"/>
          <w:sz w:val="23"/>
          <w:szCs w:val="23"/>
        </w:rPr>
        <w:t>，采用公式计算法确定</w:t>
      </w:r>
      <w:r>
        <w:rPr>
          <w:rFonts w:ascii="宋体" w:hAnsi="宋体" w:eastAsia="宋体" w:cs="宋体"/>
          <w:sz w:val="23"/>
          <w:szCs w:val="23"/>
        </w:rPr>
        <w:t xml:space="preserve"> </w:t>
      </w:r>
      <w:r>
        <w:rPr>
          <w:rFonts w:ascii="宋体" w:hAnsi="宋体" w:eastAsia="宋体" w:cs="宋体"/>
          <w:spacing w:val="-4"/>
          <w:sz w:val="23"/>
          <w:szCs w:val="23"/>
        </w:rPr>
        <w:t>下</w:t>
      </w:r>
      <w:r>
        <w:rPr>
          <w:rFonts w:ascii="宋体" w:hAnsi="宋体" w:eastAsia="宋体" w:cs="宋体"/>
          <w:spacing w:val="-3"/>
          <w:sz w:val="23"/>
          <w:szCs w:val="23"/>
        </w:rPr>
        <w:t>游</w:t>
      </w:r>
      <w:r>
        <w:rPr>
          <w:rFonts w:ascii="宋体" w:hAnsi="宋体" w:eastAsia="宋体" w:cs="宋体"/>
          <w:spacing w:val="-2"/>
          <w:sz w:val="23"/>
          <w:szCs w:val="23"/>
        </w:rPr>
        <w:t>迁移距离。</w:t>
      </w:r>
    </w:p>
    <w:p w14:paraId="56D7547E">
      <w:pPr>
        <w:spacing w:before="139" w:line="323" w:lineRule="exact"/>
        <w:ind w:left="3700"/>
        <w:rPr>
          <w:rFonts w:ascii="Times New Roman" w:hAnsi="Times New Roman" w:eastAsia="Times New Roman" w:cs="Times New Roman"/>
          <w:sz w:val="23"/>
          <w:szCs w:val="23"/>
        </w:rPr>
      </w:pPr>
      <w:r>
        <w:rPr>
          <w:rFonts w:ascii="Times New Roman" w:hAnsi="Times New Roman" w:eastAsia="Times New Roman" w:cs="Times New Roman"/>
          <w:spacing w:val="-1"/>
          <w:position w:val="2"/>
          <w:sz w:val="23"/>
          <w:szCs w:val="23"/>
        </w:rPr>
        <w:t>L=α×K×</w:t>
      </w:r>
      <w:r>
        <w:rPr>
          <w:rFonts w:ascii="Times New Roman" w:hAnsi="Times New Roman" w:eastAsia="Times New Roman" w:cs="Times New Roman"/>
          <w:position w:val="2"/>
          <w:sz w:val="23"/>
          <w:szCs w:val="23"/>
        </w:rPr>
        <w:t>I</w:t>
      </w:r>
      <w:r>
        <w:rPr>
          <w:rFonts w:ascii="Times New Roman" w:hAnsi="Times New Roman" w:eastAsia="Times New Roman" w:cs="Times New Roman"/>
          <w:spacing w:val="-1"/>
          <w:position w:val="2"/>
          <w:sz w:val="23"/>
          <w:szCs w:val="23"/>
        </w:rPr>
        <w:t>×</w:t>
      </w:r>
      <w:r>
        <w:rPr>
          <w:rFonts w:ascii="Times New Roman" w:hAnsi="Times New Roman" w:eastAsia="Times New Roman" w:cs="Times New Roman"/>
          <w:position w:val="2"/>
          <w:sz w:val="23"/>
          <w:szCs w:val="23"/>
        </w:rPr>
        <w:t>T</w:t>
      </w:r>
      <w:r>
        <w:rPr>
          <w:rFonts w:ascii="Times New Roman" w:hAnsi="Times New Roman" w:eastAsia="Times New Roman" w:cs="Times New Roman"/>
          <w:spacing w:val="-1"/>
          <w:position w:val="2"/>
          <w:sz w:val="23"/>
          <w:szCs w:val="23"/>
        </w:rPr>
        <w:t>/</w:t>
      </w:r>
      <w:r>
        <w:rPr>
          <w:rFonts w:ascii="Times New Roman" w:hAnsi="Times New Roman" w:eastAsia="Times New Roman" w:cs="Times New Roman"/>
          <w:position w:val="2"/>
          <w:sz w:val="23"/>
          <w:szCs w:val="23"/>
        </w:rPr>
        <w:t>n</w:t>
      </w:r>
    </w:p>
    <w:p w14:paraId="7089C95A">
      <w:pPr>
        <w:spacing w:line="291" w:lineRule="auto"/>
        <w:rPr>
          <w:rFonts w:ascii="Arial"/>
          <w:sz w:val="21"/>
        </w:rPr>
      </w:pPr>
    </w:p>
    <w:p w14:paraId="0E8CC06D">
      <w:pPr>
        <w:spacing w:before="76" w:line="228" w:lineRule="auto"/>
        <w:ind w:left="479"/>
        <w:rPr>
          <w:rFonts w:ascii="宋体" w:hAnsi="宋体" w:eastAsia="宋体" w:cs="宋体"/>
          <w:sz w:val="23"/>
          <w:szCs w:val="23"/>
        </w:rPr>
      </w:pPr>
      <w:r>
        <w:rPr>
          <w:rFonts w:ascii="宋体" w:hAnsi="宋体" w:eastAsia="宋体" w:cs="宋体"/>
          <w:spacing w:val="-4"/>
          <w:sz w:val="23"/>
          <w:szCs w:val="23"/>
        </w:rPr>
        <w:t>式中：</w:t>
      </w:r>
      <w:r>
        <w:rPr>
          <w:rFonts w:ascii="Times New Roman" w:hAnsi="Times New Roman" w:eastAsia="Times New Roman" w:cs="Times New Roman"/>
          <w:spacing w:val="-2"/>
          <w:sz w:val="23"/>
          <w:szCs w:val="23"/>
        </w:rPr>
        <w:t>L</w:t>
      </w:r>
      <w:r>
        <w:rPr>
          <w:rFonts w:ascii="Times New Roman" w:hAnsi="Times New Roman" w:eastAsia="Times New Roman" w:cs="Times New Roman"/>
          <w:spacing w:val="-4"/>
          <w:sz w:val="23"/>
          <w:szCs w:val="23"/>
        </w:rPr>
        <w:t>—</w:t>
      </w:r>
      <w:r>
        <w:rPr>
          <w:rFonts w:ascii="宋体" w:hAnsi="宋体" w:eastAsia="宋体" w:cs="宋体"/>
          <w:spacing w:val="-4"/>
          <w:sz w:val="23"/>
          <w:szCs w:val="23"/>
        </w:rPr>
        <w:t>下</w:t>
      </w:r>
      <w:r>
        <w:rPr>
          <w:rFonts w:ascii="宋体" w:hAnsi="宋体" w:eastAsia="宋体" w:cs="宋体"/>
          <w:spacing w:val="-2"/>
          <w:sz w:val="23"/>
          <w:szCs w:val="23"/>
        </w:rPr>
        <w:t>游迁移距离，</w:t>
      </w:r>
      <w:r>
        <w:rPr>
          <w:rFonts w:ascii="Times New Roman" w:hAnsi="Times New Roman" w:eastAsia="Times New Roman" w:cs="Times New Roman"/>
          <w:spacing w:val="-2"/>
          <w:sz w:val="23"/>
          <w:szCs w:val="23"/>
        </w:rPr>
        <w:t>m</w:t>
      </w:r>
      <w:r>
        <w:rPr>
          <w:rFonts w:ascii="宋体" w:hAnsi="宋体" w:eastAsia="宋体" w:cs="宋体"/>
          <w:spacing w:val="-2"/>
          <w:sz w:val="23"/>
          <w:szCs w:val="23"/>
        </w:rPr>
        <w:t>；</w:t>
      </w:r>
    </w:p>
    <w:p w14:paraId="6A3455D4">
      <w:pPr>
        <w:spacing w:before="256" w:line="566" w:lineRule="exact"/>
        <w:ind w:left="1154"/>
        <w:rPr>
          <w:rFonts w:ascii="宋体" w:hAnsi="宋体" w:eastAsia="宋体" w:cs="宋体"/>
          <w:sz w:val="23"/>
          <w:szCs w:val="23"/>
        </w:rPr>
      </w:pPr>
      <w:r>
        <w:rPr>
          <w:rFonts w:ascii="Times New Roman" w:hAnsi="Times New Roman" w:eastAsia="Times New Roman" w:cs="Times New Roman"/>
          <w:spacing w:val="-16"/>
          <w:position w:val="21"/>
          <w:sz w:val="23"/>
          <w:szCs w:val="23"/>
        </w:rPr>
        <w:t>α</w:t>
      </w:r>
      <w:r>
        <w:rPr>
          <w:rFonts w:ascii="Times New Roman" w:hAnsi="Times New Roman" w:eastAsia="Times New Roman" w:cs="Times New Roman"/>
          <w:spacing w:val="-11"/>
          <w:position w:val="21"/>
          <w:sz w:val="23"/>
          <w:szCs w:val="23"/>
        </w:rPr>
        <w:t>—</w:t>
      </w:r>
      <w:r>
        <w:rPr>
          <w:rFonts w:ascii="宋体" w:hAnsi="宋体" w:eastAsia="宋体" w:cs="宋体"/>
          <w:spacing w:val="-8"/>
          <w:position w:val="21"/>
          <w:sz w:val="23"/>
          <w:szCs w:val="23"/>
        </w:rPr>
        <w:t>变化系数，</w:t>
      </w:r>
      <w:r>
        <w:rPr>
          <w:rFonts w:ascii="Times New Roman" w:hAnsi="Times New Roman" w:eastAsia="Times New Roman" w:cs="Times New Roman"/>
          <w:spacing w:val="-8"/>
          <w:position w:val="21"/>
          <w:sz w:val="23"/>
          <w:szCs w:val="23"/>
        </w:rPr>
        <w:t>α≥ 1</w:t>
      </w:r>
      <w:r>
        <w:rPr>
          <w:rFonts w:ascii="宋体" w:hAnsi="宋体" w:eastAsia="宋体" w:cs="宋体"/>
          <w:spacing w:val="-8"/>
          <w:position w:val="21"/>
          <w:sz w:val="23"/>
          <w:szCs w:val="23"/>
        </w:rPr>
        <w:t xml:space="preserve">，一般取 </w:t>
      </w:r>
      <w:r>
        <w:rPr>
          <w:rFonts w:ascii="Times New Roman" w:hAnsi="Times New Roman" w:eastAsia="Times New Roman" w:cs="Times New Roman"/>
          <w:spacing w:val="-8"/>
          <w:position w:val="21"/>
          <w:sz w:val="23"/>
          <w:szCs w:val="23"/>
        </w:rPr>
        <w:t>2</w:t>
      </w:r>
      <w:r>
        <w:rPr>
          <w:rFonts w:ascii="宋体" w:hAnsi="宋体" w:eastAsia="宋体" w:cs="宋体"/>
          <w:spacing w:val="-8"/>
          <w:position w:val="21"/>
          <w:sz w:val="23"/>
          <w:szCs w:val="23"/>
        </w:rPr>
        <w:t>；</w:t>
      </w:r>
    </w:p>
    <w:p w14:paraId="40B6EF6B">
      <w:pPr>
        <w:spacing w:line="323" w:lineRule="exact"/>
        <w:ind w:left="1148"/>
        <w:rPr>
          <w:rFonts w:ascii="宋体" w:hAnsi="宋体" w:eastAsia="宋体" w:cs="宋体"/>
          <w:sz w:val="23"/>
          <w:szCs w:val="23"/>
        </w:rPr>
      </w:pPr>
      <w:r>
        <w:rPr>
          <w:rFonts w:ascii="Times New Roman" w:hAnsi="Times New Roman" w:eastAsia="Times New Roman" w:cs="Times New Roman"/>
          <w:spacing w:val="-4"/>
          <w:position w:val="1"/>
          <w:sz w:val="23"/>
          <w:szCs w:val="23"/>
        </w:rPr>
        <w:t>K</w:t>
      </w:r>
      <w:r>
        <w:rPr>
          <w:rFonts w:ascii="Times New Roman" w:hAnsi="Times New Roman" w:eastAsia="Times New Roman" w:cs="Times New Roman"/>
          <w:spacing w:val="-8"/>
          <w:position w:val="1"/>
          <w:sz w:val="23"/>
          <w:szCs w:val="23"/>
        </w:rPr>
        <w:t>—</w:t>
      </w:r>
      <w:r>
        <w:rPr>
          <w:rFonts w:ascii="宋体" w:hAnsi="宋体" w:eastAsia="宋体" w:cs="宋体"/>
          <w:spacing w:val="-7"/>
          <w:position w:val="1"/>
          <w:sz w:val="23"/>
          <w:szCs w:val="23"/>
        </w:rPr>
        <w:t>渗</w:t>
      </w:r>
      <w:r>
        <w:rPr>
          <w:rFonts w:ascii="宋体" w:hAnsi="宋体" w:eastAsia="宋体" w:cs="宋体"/>
          <w:spacing w:val="-4"/>
          <w:position w:val="1"/>
          <w:sz w:val="23"/>
          <w:szCs w:val="23"/>
        </w:rPr>
        <w:t>透系数，</w:t>
      </w:r>
      <w:r>
        <w:rPr>
          <w:rFonts w:ascii="Times New Roman" w:hAnsi="Times New Roman" w:eastAsia="Times New Roman" w:cs="Times New Roman"/>
          <w:spacing w:val="-4"/>
          <w:position w:val="1"/>
          <w:sz w:val="23"/>
          <w:szCs w:val="23"/>
        </w:rPr>
        <w:t>m/d</w:t>
      </w:r>
      <w:r>
        <w:rPr>
          <w:rFonts w:ascii="宋体" w:hAnsi="宋体" w:eastAsia="宋体" w:cs="宋体"/>
          <w:spacing w:val="-4"/>
          <w:position w:val="1"/>
          <w:sz w:val="23"/>
          <w:szCs w:val="23"/>
        </w:rPr>
        <w:t xml:space="preserve">，取 </w:t>
      </w:r>
      <w:r>
        <w:rPr>
          <w:rFonts w:ascii="Times New Roman" w:hAnsi="Times New Roman" w:eastAsia="Times New Roman" w:cs="Times New Roman"/>
          <w:spacing w:val="-4"/>
          <w:position w:val="1"/>
          <w:sz w:val="23"/>
          <w:szCs w:val="23"/>
        </w:rPr>
        <w:t>30m/d</w:t>
      </w:r>
      <w:r>
        <w:rPr>
          <w:rFonts w:ascii="宋体" w:hAnsi="宋体" w:eastAsia="宋体" w:cs="宋体"/>
          <w:spacing w:val="-4"/>
          <w:position w:val="1"/>
          <w:sz w:val="23"/>
          <w:szCs w:val="23"/>
        </w:rPr>
        <w:t>；</w:t>
      </w:r>
    </w:p>
    <w:p w14:paraId="066417D4">
      <w:pPr>
        <w:spacing w:before="276" w:line="534" w:lineRule="exact"/>
        <w:ind w:left="1150"/>
        <w:rPr>
          <w:rFonts w:ascii="宋体" w:hAnsi="宋体" w:eastAsia="宋体" w:cs="宋体"/>
          <w:sz w:val="23"/>
          <w:szCs w:val="23"/>
        </w:rPr>
      </w:pPr>
      <w:r>
        <w:rPr>
          <w:rFonts w:ascii="Times New Roman" w:hAnsi="Times New Roman" w:eastAsia="Times New Roman" w:cs="Times New Roman"/>
          <w:spacing w:val="-5"/>
          <w:position w:val="20"/>
          <w:sz w:val="23"/>
          <w:szCs w:val="23"/>
        </w:rPr>
        <w:t>I—</w:t>
      </w:r>
      <w:r>
        <w:rPr>
          <w:rFonts w:ascii="宋体" w:hAnsi="宋体" w:eastAsia="宋体" w:cs="宋体"/>
          <w:spacing w:val="-5"/>
          <w:position w:val="20"/>
          <w:sz w:val="23"/>
          <w:szCs w:val="23"/>
        </w:rPr>
        <w:t xml:space="preserve">水力坡度，无量纲，本次工作取值为 </w:t>
      </w:r>
      <w:r>
        <w:rPr>
          <w:rFonts w:ascii="Times New Roman" w:hAnsi="Times New Roman" w:eastAsia="Times New Roman" w:cs="Times New Roman"/>
          <w:spacing w:val="-5"/>
          <w:position w:val="20"/>
          <w:sz w:val="23"/>
          <w:szCs w:val="23"/>
        </w:rPr>
        <w:t>1</w:t>
      </w:r>
      <w:r>
        <w:rPr>
          <w:rFonts w:ascii="Times New Roman" w:hAnsi="Times New Roman" w:eastAsia="Times New Roman" w:cs="Times New Roman"/>
          <w:spacing w:val="-5"/>
          <w:position w:val="20"/>
          <w:sz w:val="20"/>
          <w:szCs w:val="20"/>
        </w:rPr>
        <w:t>‰</w:t>
      </w:r>
      <w:r>
        <w:rPr>
          <w:rFonts w:ascii="宋体" w:hAnsi="宋体" w:eastAsia="宋体" w:cs="宋体"/>
          <w:spacing w:val="-5"/>
          <w:position w:val="20"/>
          <w:sz w:val="23"/>
          <w:szCs w:val="23"/>
        </w:rPr>
        <w:t>；</w:t>
      </w:r>
    </w:p>
    <w:p w14:paraId="7A60AE7B">
      <w:pPr>
        <w:spacing w:line="323" w:lineRule="exact"/>
        <w:ind w:left="1151"/>
        <w:rPr>
          <w:rFonts w:ascii="宋体" w:hAnsi="宋体" w:eastAsia="宋体" w:cs="宋体"/>
          <w:sz w:val="23"/>
          <w:szCs w:val="23"/>
        </w:rPr>
      </w:pPr>
      <w:r>
        <w:rPr>
          <w:rFonts w:ascii="Times New Roman" w:hAnsi="Times New Roman" w:eastAsia="Times New Roman" w:cs="Times New Roman"/>
          <w:spacing w:val="-2"/>
          <w:position w:val="1"/>
          <w:sz w:val="23"/>
          <w:szCs w:val="23"/>
        </w:rPr>
        <w:t>T</w:t>
      </w:r>
      <w:r>
        <w:rPr>
          <w:rFonts w:ascii="Times New Roman" w:hAnsi="Times New Roman" w:eastAsia="Times New Roman" w:cs="Times New Roman"/>
          <w:spacing w:val="-4"/>
          <w:position w:val="1"/>
          <w:sz w:val="23"/>
          <w:szCs w:val="23"/>
        </w:rPr>
        <w:t>—</w:t>
      </w:r>
      <w:r>
        <w:rPr>
          <w:rFonts w:ascii="宋体" w:hAnsi="宋体" w:eastAsia="宋体" w:cs="宋体"/>
          <w:spacing w:val="-2"/>
          <w:position w:val="1"/>
          <w:sz w:val="23"/>
          <w:szCs w:val="23"/>
        </w:rPr>
        <w:t>质点迁移天数，取值</w:t>
      </w:r>
      <w:r>
        <w:rPr>
          <w:rFonts w:ascii="Times New Roman" w:hAnsi="Times New Roman" w:eastAsia="Times New Roman" w:cs="Times New Roman"/>
          <w:spacing w:val="-2"/>
          <w:position w:val="1"/>
          <w:sz w:val="23"/>
          <w:szCs w:val="23"/>
        </w:rPr>
        <w:t>= 5000d</w:t>
      </w:r>
      <w:r>
        <w:rPr>
          <w:rFonts w:ascii="宋体" w:hAnsi="宋体" w:eastAsia="宋体" w:cs="宋体"/>
          <w:spacing w:val="-2"/>
          <w:position w:val="1"/>
          <w:sz w:val="23"/>
          <w:szCs w:val="23"/>
        </w:rPr>
        <w:t>；</w:t>
      </w:r>
    </w:p>
    <w:p w14:paraId="07AE3B06">
      <w:pPr>
        <w:spacing w:before="288" w:line="333" w:lineRule="auto"/>
        <w:ind w:left="22" w:right="18" w:firstLine="1123"/>
        <w:rPr>
          <w:rFonts w:ascii="宋体" w:hAnsi="宋体" w:eastAsia="宋体" w:cs="宋体"/>
          <w:sz w:val="23"/>
          <w:szCs w:val="23"/>
        </w:rPr>
      </w:pPr>
      <w:r>
        <w:rPr>
          <w:rFonts w:ascii="Times New Roman" w:hAnsi="Times New Roman" w:eastAsia="Times New Roman" w:cs="Times New Roman"/>
          <w:sz w:val="23"/>
          <w:szCs w:val="23"/>
        </w:rPr>
        <w:t>ne</w:t>
      </w:r>
      <w:r>
        <w:rPr>
          <w:rFonts w:ascii="Times New Roman" w:hAnsi="Times New Roman" w:eastAsia="Times New Roman" w:cs="Times New Roman"/>
          <w:spacing w:val="2"/>
          <w:sz w:val="23"/>
          <w:szCs w:val="23"/>
        </w:rPr>
        <w:t>—</w:t>
      </w:r>
      <w:r>
        <w:rPr>
          <w:rFonts w:ascii="宋体" w:hAnsi="宋体" w:eastAsia="宋体" w:cs="宋体"/>
          <w:spacing w:val="2"/>
          <w:sz w:val="23"/>
          <w:szCs w:val="23"/>
        </w:rPr>
        <w:t>有效孔隙度，无量纲，从保守原则出发根据收集</w:t>
      </w:r>
      <w:r>
        <w:rPr>
          <w:rFonts w:ascii="宋体" w:hAnsi="宋体" w:eastAsia="宋体" w:cs="宋体"/>
          <w:spacing w:val="1"/>
          <w:sz w:val="23"/>
          <w:szCs w:val="23"/>
        </w:rPr>
        <w:t>的已有水文地质数</w:t>
      </w:r>
      <w:r>
        <w:rPr>
          <w:rFonts w:ascii="宋体" w:hAnsi="宋体" w:eastAsia="宋体" w:cs="宋体"/>
          <w:sz w:val="23"/>
          <w:szCs w:val="23"/>
        </w:rPr>
        <w:t xml:space="preserve"> </w:t>
      </w:r>
      <w:r>
        <w:rPr>
          <w:rFonts w:ascii="宋体" w:hAnsi="宋体" w:eastAsia="宋体" w:cs="宋体"/>
          <w:spacing w:val="-9"/>
          <w:sz w:val="23"/>
          <w:szCs w:val="23"/>
        </w:rPr>
        <w:t>据</w:t>
      </w:r>
      <w:r>
        <w:rPr>
          <w:rFonts w:ascii="宋体" w:hAnsi="宋体" w:eastAsia="宋体" w:cs="宋体"/>
          <w:spacing w:val="-8"/>
          <w:sz w:val="23"/>
          <w:szCs w:val="23"/>
        </w:rPr>
        <w:t xml:space="preserve">，取值 </w:t>
      </w:r>
      <w:r>
        <w:rPr>
          <w:rFonts w:ascii="Times New Roman" w:hAnsi="Times New Roman" w:eastAsia="Times New Roman" w:cs="Times New Roman"/>
          <w:spacing w:val="-8"/>
          <w:sz w:val="23"/>
          <w:szCs w:val="23"/>
        </w:rPr>
        <w:t>0.35</w:t>
      </w:r>
      <w:r>
        <w:rPr>
          <w:rFonts w:ascii="宋体" w:hAnsi="宋体" w:eastAsia="宋体" w:cs="宋体"/>
          <w:spacing w:val="-8"/>
          <w:sz w:val="23"/>
          <w:szCs w:val="23"/>
        </w:rPr>
        <w:t>。</w:t>
      </w:r>
    </w:p>
    <w:p w14:paraId="7E1AA112">
      <w:pPr>
        <w:spacing w:before="201" w:line="395" w:lineRule="auto"/>
        <w:ind w:left="22" w:right="16" w:firstLine="447"/>
        <w:rPr>
          <w:rFonts w:ascii="宋体" w:hAnsi="宋体" w:eastAsia="宋体" w:cs="宋体"/>
          <w:sz w:val="20"/>
          <w:szCs w:val="20"/>
        </w:rPr>
      </w:pPr>
      <w:r>
        <w:rPr>
          <w:rFonts w:ascii="Times New Roman" w:hAnsi="Times New Roman" w:eastAsia="Times New Roman" w:cs="Times New Roman"/>
          <w:spacing w:val="-3"/>
          <w:sz w:val="23"/>
          <w:szCs w:val="23"/>
        </w:rPr>
        <w:t>L</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的</w:t>
      </w:r>
      <w:r>
        <w:rPr>
          <w:rFonts w:ascii="宋体" w:hAnsi="宋体" w:eastAsia="宋体" w:cs="宋体"/>
          <w:spacing w:val="-5"/>
          <w:sz w:val="23"/>
          <w:szCs w:val="23"/>
        </w:rPr>
        <w:t>计</w:t>
      </w:r>
      <w:r>
        <w:rPr>
          <w:rFonts w:ascii="宋体" w:hAnsi="宋体" w:eastAsia="宋体" w:cs="宋体"/>
          <w:spacing w:val="-3"/>
          <w:sz w:val="23"/>
          <w:szCs w:val="23"/>
        </w:rPr>
        <w:t xml:space="preserve">算结果为 </w:t>
      </w:r>
      <w:r>
        <w:rPr>
          <w:rFonts w:ascii="Times New Roman" w:hAnsi="Times New Roman" w:eastAsia="Times New Roman" w:cs="Times New Roman"/>
          <w:spacing w:val="-3"/>
          <w:sz w:val="23"/>
          <w:szCs w:val="23"/>
        </w:rPr>
        <w:t>857m</w:t>
      </w:r>
      <w:r>
        <w:rPr>
          <w:rFonts w:ascii="宋体" w:hAnsi="宋体" w:eastAsia="宋体" w:cs="宋体"/>
          <w:spacing w:val="-3"/>
          <w:sz w:val="23"/>
          <w:szCs w:val="23"/>
        </w:rPr>
        <w:t>，评价范围沿地下水流方向，结合场地实际情况，以厂区</w:t>
      </w:r>
      <w:r>
        <w:rPr>
          <w:rFonts w:ascii="宋体" w:hAnsi="宋体" w:eastAsia="宋体" w:cs="宋体"/>
          <w:sz w:val="23"/>
          <w:szCs w:val="23"/>
        </w:rPr>
        <w:t xml:space="preserve"> </w:t>
      </w:r>
      <w:r>
        <w:rPr>
          <w:rFonts w:ascii="宋体" w:hAnsi="宋体" w:eastAsia="宋体" w:cs="宋体"/>
          <w:spacing w:val="-4"/>
          <w:sz w:val="23"/>
          <w:szCs w:val="23"/>
        </w:rPr>
        <w:t>边界向地下水上游和南、北两侧分</w:t>
      </w:r>
      <w:r>
        <w:rPr>
          <w:rFonts w:ascii="宋体" w:hAnsi="宋体" w:eastAsia="宋体" w:cs="宋体"/>
          <w:spacing w:val="-3"/>
          <w:sz w:val="23"/>
          <w:szCs w:val="23"/>
        </w:rPr>
        <w:t>别</w:t>
      </w:r>
      <w:r>
        <w:rPr>
          <w:rFonts w:ascii="宋体" w:hAnsi="宋体" w:eastAsia="宋体" w:cs="宋体"/>
          <w:spacing w:val="-2"/>
          <w:sz w:val="23"/>
          <w:szCs w:val="23"/>
        </w:rPr>
        <w:t xml:space="preserve">外扩 </w:t>
      </w:r>
      <w:r>
        <w:rPr>
          <w:rFonts w:ascii="Times New Roman" w:hAnsi="Times New Roman" w:eastAsia="Times New Roman" w:cs="Times New Roman"/>
          <w:spacing w:val="-2"/>
          <w:sz w:val="23"/>
          <w:szCs w:val="23"/>
        </w:rPr>
        <w:t>450m</w:t>
      </w:r>
      <w:r>
        <w:rPr>
          <w:rFonts w:ascii="宋体" w:hAnsi="宋体" w:eastAsia="宋体" w:cs="宋体"/>
          <w:spacing w:val="-2"/>
          <w:sz w:val="23"/>
          <w:szCs w:val="23"/>
        </w:rPr>
        <w:t xml:space="preserve">，向地下水下游外扩 </w:t>
      </w:r>
      <w:r>
        <w:rPr>
          <w:rFonts w:ascii="Times New Roman" w:hAnsi="Times New Roman" w:eastAsia="Times New Roman" w:cs="Times New Roman"/>
          <w:spacing w:val="-2"/>
          <w:sz w:val="23"/>
          <w:szCs w:val="23"/>
        </w:rPr>
        <w:t>900m</w:t>
      </w:r>
      <w:r>
        <w:rPr>
          <w:rFonts w:ascii="宋体" w:hAnsi="宋体" w:eastAsia="宋体" w:cs="宋体"/>
          <w:spacing w:val="-2"/>
          <w:sz w:val="23"/>
          <w:szCs w:val="23"/>
        </w:rPr>
        <w:t>，作为本</w:t>
      </w:r>
      <w:r>
        <w:rPr>
          <w:rFonts w:ascii="宋体" w:hAnsi="宋体" w:eastAsia="宋体" w:cs="宋体"/>
          <w:sz w:val="23"/>
          <w:szCs w:val="23"/>
        </w:rPr>
        <w:t xml:space="preserve"> </w:t>
      </w:r>
      <w:r>
        <w:rPr>
          <w:rFonts w:ascii="宋体" w:hAnsi="宋体" w:eastAsia="宋体" w:cs="宋体"/>
          <w:spacing w:val="-10"/>
          <w:sz w:val="23"/>
          <w:szCs w:val="23"/>
        </w:rPr>
        <w:t>项</w:t>
      </w:r>
      <w:r>
        <w:rPr>
          <w:rFonts w:ascii="宋体" w:hAnsi="宋体" w:eastAsia="宋体" w:cs="宋体"/>
          <w:spacing w:val="-6"/>
          <w:sz w:val="23"/>
          <w:szCs w:val="23"/>
        </w:rPr>
        <w:t>目</w:t>
      </w:r>
      <w:r>
        <w:rPr>
          <w:rFonts w:ascii="宋体" w:hAnsi="宋体" w:eastAsia="宋体" w:cs="宋体"/>
          <w:spacing w:val="-5"/>
          <w:sz w:val="23"/>
          <w:szCs w:val="23"/>
        </w:rPr>
        <w:t xml:space="preserve">的调查评价范围，面积约为 </w:t>
      </w:r>
      <w:r>
        <w:rPr>
          <w:rFonts w:ascii="Times New Roman" w:hAnsi="Times New Roman" w:eastAsia="Times New Roman" w:cs="Times New Roman"/>
          <w:spacing w:val="-5"/>
          <w:sz w:val="23"/>
          <w:szCs w:val="23"/>
        </w:rPr>
        <w:t>1.24km</w:t>
      </w:r>
      <w:r>
        <w:rPr>
          <w:rFonts w:ascii="Times New Roman" w:hAnsi="Times New Roman" w:eastAsia="Times New Roman" w:cs="Times New Roman"/>
          <w:spacing w:val="-5"/>
          <w:position w:val="8"/>
          <w:sz w:val="15"/>
          <w:szCs w:val="15"/>
        </w:rPr>
        <w:t>2</w:t>
      </w:r>
      <w:r>
        <w:rPr>
          <w:rFonts w:ascii="宋体" w:hAnsi="宋体" w:eastAsia="宋体" w:cs="宋体"/>
          <w:spacing w:val="-5"/>
          <w:sz w:val="20"/>
          <w:szCs w:val="20"/>
        </w:rPr>
        <w:t>。</w:t>
      </w:r>
    </w:p>
    <w:p w14:paraId="7E6C4434">
      <w:pPr>
        <w:spacing w:before="131" w:line="393" w:lineRule="auto"/>
        <w:ind w:left="26" w:right="4" w:firstLine="459"/>
        <w:rPr>
          <w:rFonts w:ascii="宋体" w:hAnsi="宋体" w:eastAsia="宋体" w:cs="宋体"/>
          <w:sz w:val="23"/>
          <w:szCs w:val="23"/>
        </w:rPr>
      </w:pPr>
      <w:r>
        <w:rPr>
          <w:rFonts w:ascii="宋体" w:hAnsi="宋体" w:eastAsia="宋体" w:cs="宋体"/>
          <w:spacing w:val="1"/>
          <w:sz w:val="23"/>
          <w:szCs w:val="23"/>
        </w:rPr>
        <w:t>(</w:t>
      </w:r>
      <w:r>
        <w:rPr>
          <w:rFonts w:ascii="Times New Roman" w:hAnsi="Times New Roman" w:eastAsia="Times New Roman" w:cs="Times New Roman"/>
          <w:spacing w:val="1"/>
          <w:sz w:val="23"/>
          <w:szCs w:val="23"/>
        </w:rPr>
        <w:t>3</w:t>
      </w:r>
      <w:r>
        <w:rPr>
          <w:rFonts w:ascii="宋体" w:hAnsi="宋体" w:eastAsia="宋体" w:cs="宋体"/>
          <w:spacing w:val="1"/>
          <w:sz w:val="23"/>
          <w:szCs w:val="23"/>
        </w:rPr>
        <w:t>) 地表水环境：该项目地表水评价仅分析该项</w:t>
      </w:r>
      <w:r>
        <w:rPr>
          <w:rFonts w:ascii="宋体" w:hAnsi="宋体" w:eastAsia="宋体" w:cs="宋体"/>
          <w:sz w:val="23"/>
          <w:szCs w:val="23"/>
        </w:rPr>
        <w:t xml:space="preserve">目生产废水排入本溪市科态污 </w:t>
      </w:r>
      <w:r>
        <w:rPr>
          <w:rFonts w:ascii="宋体" w:hAnsi="宋体" w:eastAsia="宋体" w:cs="宋体"/>
          <w:spacing w:val="-7"/>
          <w:sz w:val="23"/>
          <w:szCs w:val="23"/>
        </w:rPr>
        <w:t>水处理有限责任公司水质依托可行性。不再确定地表水评价范围</w:t>
      </w:r>
      <w:r>
        <w:rPr>
          <w:rFonts w:ascii="宋体" w:hAnsi="宋体" w:eastAsia="宋体" w:cs="宋体"/>
          <w:spacing w:val="-2"/>
          <w:sz w:val="23"/>
          <w:szCs w:val="23"/>
        </w:rPr>
        <w:t>。</w:t>
      </w:r>
    </w:p>
    <w:p w14:paraId="3C32448F">
      <w:pPr>
        <w:sectPr>
          <w:headerReference r:id="rId78" w:type="default"/>
          <w:footerReference r:id="rId79" w:type="default"/>
          <w:pgSz w:w="11906" w:h="16839"/>
          <w:pgMar w:top="1132" w:right="1785" w:bottom="1156" w:left="1785" w:header="878" w:footer="996" w:gutter="0"/>
          <w:cols w:space="720" w:num="1"/>
        </w:sectPr>
      </w:pPr>
    </w:p>
    <w:p w14:paraId="7A525C7F">
      <w:pPr>
        <w:spacing w:line="408" w:lineRule="auto"/>
        <w:rPr>
          <w:rFonts w:ascii="Arial"/>
          <w:sz w:val="21"/>
        </w:rPr>
      </w:pPr>
      <w:r>
        <w:pict>
          <v:shape id="_x0000_s1105" o:spid="_x0000_s1105" style="position:absolute;left:0pt;margin-left:90pt;margin-top:57.35pt;height:0.75pt;width:415.3pt;mso-position-horizontal-relative:page;mso-position-vertical-relative:page;z-index:251739136;mso-width-relative:page;mso-height-relative:page;" fillcolor="#000000" filled="t" stroked="f" coordsize="8305,15" o:allowincell="f" path="m0,0l8305,0,8305,14,0,14,0,0xe">
            <v:path/>
            <v:fill on="t" focussize="0,0"/>
            <v:stroke on="f"/>
            <v:imagedata o:title=""/>
            <o:lock v:ext="edit"/>
          </v:shape>
        </w:pict>
      </w:r>
    </w:p>
    <w:p w14:paraId="52FFC641">
      <w:pPr>
        <w:spacing w:before="74" w:line="393" w:lineRule="auto"/>
        <w:ind w:left="163" w:right="110" w:firstLine="416"/>
        <w:rPr>
          <w:rFonts w:ascii="宋体" w:hAnsi="宋体" w:eastAsia="宋体" w:cs="宋体"/>
          <w:sz w:val="23"/>
          <w:szCs w:val="23"/>
        </w:rPr>
      </w:pPr>
      <w:r>
        <w:rPr>
          <w:rFonts w:ascii="宋体" w:hAnsi="宋体" w:eastAsia="宋体" w:cs="宋体"/>
          <w:spacing w:val="1"/>
          <w:sz w:val="23"/>
          <w:szCs w:val="23"/>
        </w:rPr>
        <w:t>(</w:t>
      </w:r>
      <w:r>
        <w:rPr>
          <w:rFonts w:ascii="Times New Roman" w:hAnsi="Times New Roman" w:eastAsia="Times New Roman" w:cs="Times New Roman"/>
          <w:spacing w:val="1"/>
          <w:sz w:val="23"/>
          <w:szCs w:val="23"/>
        </w:rPr>
        <w:t>4</w:t>
      </w:r>
      <w:r>
        <w:rPr>
          <w:rFonts w:ascii="宋体" w:hAnsi="宋体" w:eastAsia="宋体" w:cs="宋体"/>
          <w:spacing w:val="1"/>
          <w:sz w:val="23"/>
          <w:szCs w:val="23"/>
        </w:rPr>
        <w:t>) 声环境：根据导</w:t>
      </w:r>
      <w:r>
        <w:rPr>
          <w:rFonts w:ascii="宋体" w:hAnsi="宋体" w:eastAsia="宋体" w:cs="宋体"/>
          <w:sz w:val="23"/>
          <w:szCs w:val="23"/>
        </w:rPr>
        <w:t xml:space="preserve">则要求结合工程噪声污染特点以及厂界四周的声环境敏感 </w:t>
      </w:r>
      <w:r>
        <w:rPr>
          <w:rFonts w:ascii="宋体" w:hAnsi="宋体" w:eastAsia="宋体" w:cs="宋体"/>
          <w:spacing w:val="-7"/>
          <w:sz w:val="23"/>
          <w:szCs w:val="23"/>
        </w:rPr>
        <w:t>目</w:t>
      </w:r>
      <w:r>
        <w:rPr>
          <w:rFonts w:ascii="宋体" w:hAnsi="宋体" w:eastAsia="宋体" w:cs="宋体"/>
          <w:spacing w:val="-4"/>
          <w:sz w:val="23"/>
          <w:szCs w:val="23"/>
        </w:rPr>
        <w:t xml:space="preserve">标分布，确定本次评价的声环境评价范围为项目厂界外 </w:t>
      </w:r>
      <w:r>
        <w:rPr>
          <w:rFonts w:ascii="Times New Roman" w:hAnsi="Times New Roman" w:eastAsia="Times New Roman" w:cs="Times New Roman"/>
          <w:spacing w:val="-4"/>
          <w:sz w:val="23"/>
          <w:szCs w:val="23"/>
        </w:rPr>
        <w:t>200m</w:t>
      </w:r>
      <w:r>
        <w:rPr>
          <w:rFonts w:ascii="宋体" w:hAnsi="宋体" w:eastAsia="宋体" w:cs="宋体"/>
          <w:spacing w:val="-4"/>
          <w:sz w:val="23"/>
          <w:szCs w:val="23"/>
        </w:rPr>
        <w:t>范围内。</w:t>
      </w:r>
    </w:p>
    <w:p w14:paraId="3643322A">
      <w:pPr>
        <w:spacing w:before="148" w:line="392" w:lineRule="auto"/>
        <w:ind w:left="118" w:right="112" w:firstLine="461"/>
        <w:rPr>
          <w:rFonts w:ascii="宋体" w:hAnsi="宋体" w:eastAsia="宋体" w:cs="宋体"/>
          <w:sz w:val="23"/>
          <w:szCs w:val="23"/>
        </w:rPr>
      </w:pPr>
      <w:r>
        <w:rPr>
          <w:rFonts w:ascii="宋体" w:hAnsi="宋体" w:eastAsia="宋体" w:cs="宋体"/>
          <w:spacing w:val="1"/>
          <w:sz w:val="23"/>
          <w:szCs w:val="23"/>
        </w:rPr>
        <w:t>(</w:t>
      </w:r>
      <w:r>
        <w:rPr>
          <w:rFonts w:ascii="Times New Roman" w:hAnsi="Times New Roman" w:eastAsia="Times New Roman" w:cs="Times New Roman"/>
          <w:spacing w:val="1"/>
          <w:sz w:val="23"/>
          <w:szCs w:val="23"/>
        </w:rPr>
        <w:t>5</w:t>
      </w:r>
      <w:r>
        <w:rPr>
          <w:rFonts w:ascii="宋体" w:hAnsi="宋体" w:eastAsia="宋体" w:cs="宋体"/>
          <w:spacing w:val="1"/>
          <w:sz w:val="23"/>
          <w:szCs w:val="23"/>
        </w:rPr>
        <w:t>) 土壤环境：</w:t>
      </w:r>
      <w:r>
        <w:rPr>
          <w:rFonts w:ascii="宋体" w:hAnsi="宋体" w:eastAsia="宋体" w:cs="宋体"/>
          <w:sz w:val="23"/>
          <w:szCs w:val="23"/>
        </w:rPr>
        <w:t xml:space="preserve">根据导则中对于土壤环境评价范围的有关规定，结合项目实际 </w:t>
      </w:r>
      <w:r>
        <w:rPr>
          <w:rFonts w:ascii="宋体" w:hAnsi="宋体" w:eastAsia="宋体" w:cs="宋体"/>
          <w:spacing w:val="-8"/>
          <w:sz w:val="23"/>
          <w:szCs w:val="23"/>
        </w:rPr>
        <w:t>情况</w:t>
      </w:r>
      <w:r>
        <w:rPr>
          <w:rFonts w:ascii="宋体" w:hAnsi="宋体" w:eastAsia="宋体" w:cs="宋体"/>
          <w:spacing w:val="-4"/>
          <w:sz w:val="23"/>
          <w:szCs w:val="23"/>
        </w:rPr>
        <w:t xml:space="preserve">，土壤环境评价范围为占地范围内全部及占地范围外 </w:t>
      </w:r>
      <w:r>
        <w:rPr>
          <w:rFonts w:ascii="Times New Roman" w:hAnsi="Times New Roman" w:eastAsia="Times New Roman" w:cs="Times New Roman"/>
          <w:spacing w:val="-4"/>
          <w:sz w:val="23"/>
          <w:szCs w:val="23"/>
        </w:rPr>
        <w:t xml:space="preserve">0.05km </w:t>
      </w:r>
      <w:r>
        <w:rPr>
          <w:rFonts w:ascii="宋体" w:hAnsi="宋体" w:eastAsia="宋体" w:cs="宋体"/>
          <w:spacing w:val="-4"/>
          <w:sz w:val="23"/>
          <w:szCs w:val="23"/>
        </w:rPr>
        <w:t>范围内。</w:t>
      </w:r>
    </w:p>
    <w:p w14:paraId="3A255ABF">
      <w:pPr>
        <w:spacing w:before="149" w:line="226" w:lineRule="auto"/>
        <w:ind w:left="580"/>
        <w:rPr>
          <w:rFonts w:ascii="宋体" w:hAnsi="宋体" w:eastAsia="宋体" w:cs="宋体"/>
          <w:sz w:val="23"/>
          <w:szCs w:val="23"/>
        </w:rPr>
      </w:pPr>
      <w:r>
        <w:rPr>
          <w:rFonts w:ascii="宋体" w:hAnsi="宋体" w:eastAsia="宋体" w:cs="宋体"/>
          <w:spacing w:val="10"/>
          <w:sz w:val="23"/>
          <w:szCs w:val="23"/>
        </w:rPr>
        <w:t>(</w:t>
      </w:r>
      <w:r>
        <w:rPr>
          <w:rFonts w:ascii="Times New Roman" w:hAnsi="Times New Roman" w:eastAsia="Times New Roman" w:cs="Times New Roman"/>
          <w:spacing w:val="6"/>
          <w:sz w:val="23"/>
          <w:szCs w:val="23"/>
        </w:rPr>
        <w:t>6</w:t>
      </w:r>
      <w:r>
        <w:rPr>
          <w:rFonts w:ascii="宋体" w:hAnsi="宋体" w:eastAsia="宋体" w:cs="宋体"/>
          <w:spacing w:val="6"/>
          <w:sz w:val="23"/>
          <w:szCs w:val="23"/>
        </w:rPr>
        <w:t>) 环境风险评价范围</w:t>
      </w:r>
    </w:p>
    <w:p w14:paraId="223E3F73">
      <w:pPr>
        <w:spacing w:line="288" w:lineRule="auto"/>
        <w:rPr>
          <w:rFonts w:ascii="Arial"/>
          <w:sz w:val="21"/>
        </w:rPr>
      </w:pPr>
    </w:p>
    <w:p w14:paraId="51A14EEF">
      <w:pPr>
        <w:spacing w:before="75" w:line="393" w:lineRule="auto"/>
        <w:ind w:left="118" w:right="34" w:firstLine="450"/>
        <w:rPr>
          <w:rFonts w:ascii="宋体" w:hAnsi="宋体" w:eastAsia="宋体" w:cs="宋体"/>
          <w:sz w:val="23"/>
          <w:szCs w:val="23"/>
        </w:rPr>
      </w:pPr>
      <w:r>
        <w:rPr>
          <w:rFonts w:ascii="宋体" w:hAnsi="宋体" w:eastAsia="宋体" w:cs="宋体"/>
          <w:spacing w:val="-10"/>
          <w:sz w:val="23"/>
          <w:szCs w:val="23"/>
        </w:rPr>
        <w:t>根据《建</w:t>
      </w:r>
      <w:r>
        <w:rPr>
          <w:rFonts w:ascii="宋体" w:hAnsi="宋体" w:eastAsia="宋体" w:cs="宋体"/>
          <w:spacing w:val="-9"/>
          <w:sz w:val="23"/>
          <w:szCs w:val="23"/>
        </w:rPr>
        <w:t>设</w:t>
      </w:r>
      <w:r>
        <w:rPr>
          <w:rFonts w:ascii="宋体" w:hAnsi="宋体" w:eastAsia="宋体" w:cs="宋体"/>
          <w:spacing w:val="-5"/>
          <w:sz w:val="23"/>
          <w:szCs w:val="23"/>
        </w:rPr>
        <w:t>项目环境风险评价技术导则》(</w:t>
      </w:r>
      <w:r>
        <w:rPr>
          <w:rFonts w:ascii="Times New Roman" w:hAnsi="Times New Roman" w:eastAsia="Times New Roman" w:cs="Times New Roman"/>
          <w:spacing w:val="-5"/>
          <w:sz w:val="23"/>
          <w:szCs w:val="23"/>
        </w:rPr>
        <w:t>HJ169-2018</w:t>
      </w:r>
      <w:r>
        <w:rPr>
          <w:rFonts w:ascii="宋体" w:hAnsi="宋体" w:eastAsia="宋体" w:cs="宋体"/>
          <w:spacing w:val="-5"/>
          <w:sz w:val="23"/>
          <w:szCs w:val="23"/>
        </w:rPr>
        <w:t>) 及项目物料的毒性指标、</w:t>
      </w:r>
      <w:r>
        <w:rPr>
          <w:rFonts w:ascii="宋体" w:hAnsi="宋体" w:eastAsia="宋体" w:cs="宋体"/>
          <w:sz w:val="23"/>
          <w:szCs w:val="23"/>
        </w:rPr>
        <w:t xml:space="preserve"> </w:t>
      </w:r>
      <w:r>
        <w:rPr>
          <w:rFonts w:ascii="宋体" w:hAnsi="宋体" w:eastAsia="宋体" w:cs="宋体"/>
          <w:spacing w:val="-6"/>
          <w:sz w:val="23"/>
          <w:szCs w:val="23"/>
        </w:rPr>
        <w:t>燃</w:t>
      </w:r>
      <w:r>
        <w:rPr>
          <w:rFonts w:ascii="宋体" w:hAnsi="宋体" w:eastAsia="宋体" w:cs="宋体"/>
          <w:spacing w:val="-5"/>
          <w:sz w:val="23"/>
          <w:szCs w:val="23"/>
        </w:rPr>
        <w:t>爆</w:t>
      </w:r>
      <w:r>
        <w:rPr>
          <w:rFonts w:ascii="宋体" w:hAnsi="宋体" w:eastAsia="宋体" w:cs="宋体"/>
          <w:spacing w:val="-3"/>
          <w:sz w:val="23"/>
          <w:szCs w:val="23"/>
        </w:rPr>
        <w:t>指标及生产、存储量，可以确定该项目环境风险潜势为</w:t>
      </w:r>
      <w:r>
        <w:rPr>
          <w:rFonts w:ascii="Times New Roman" w:hAnsi="Times New Roman" w:eastAsia="Times New Roman" w:cs="Times New Roman"/>
          <w:spacing w:val="-3"/>
          <w:sz w:val="23"/>
          <w:szCs w:val="23"/>
        </w:rPr>
        <w:t xml:space="preserve">Ⅰ </w:t>
      </w:r>
      <w:r>
        <w:rPr>
          <w:rFonts w:ascii="宋体" w:hAnsi="宋体" w:eastAsia="宋体" w:cs="宋体"/>
          <w:spacing w:val="-3"/>
          <w:sz w:val="23"/>
          <w:szCs w:val="23"/>
        </w:rPr>
        <w:t>，可以确定该项目环境</w:t>
      </w:r>
      <w:r>
        <w:rPr>
          <w:rFonts w:ascii="宋体" w:hAnsi="宋体" w:eastAsia="宋体" w:cs="宋体"/>
          <w:sz w:val="23"/>
          <w:szCs w:val="23"/>
        </w:rPr>
        <w:t xml:space="preserve"> </w:t>
      </w:r>
      <w:r>
        <w:rPr>
          <w:rFonts w:ascii="宋体" w:hAnsi="宋体" w:eastAsia="宋体" w:cs="宋体"/>
          <w:spacing w:val="-8"/>
          <w:sz w:val="23"/>
          <w:szCs w:val="23"/>
        </w:rPr>
        <w:t>风险评价级别为</w:t>
      </w:r>
      <w:r>
        <w:rPr>
          <w:rFonts w:ascii="宋体" w:hAnsi="宋体" w:eastAsia="宋体" w:cs="宋体"/>
          <w:spacing w:val="-4"/>
          <w:sz w:val="23"/>
          <w:szCs w:val="23"/>
        </w:rPr>
        <w:t>简单分析，《建设项目环境风险评价技术导则》 (</w:t>
      </w:r>
      <w:r>
        <w:rPr>
          <w:rFonts w:ascii="Times New Roman" w:hAnsi="Times New Roman" w:eastAsia="Times New Roman" w:cs="Times New Roman"/>
          <w:spacing w:val="-4"/>
          <w:sz w:val="23"/>
          <w:szCs w:val="23"/>
        </w:rPr>
        <w:t>HJ169-2018</w:t>
      </w:r>
      <w:r>
        <w:rPr>
          <w:rFonts w:ascii="宋体" w:hAnsi="宋体" w:eastAsia="宋体" w:cs="宋体"/>
          <w:spacing w:val="-4"/>
          <w:sz w:val="23"/>
          <w:szCs w:val="23"/>
        </w:rPr>
        <w:t>) ，未</w:t>
      </w:r>
      <w:r>
        <w:rPr>
          <w:rFonts w:ascii="宋体" w:hAnsi="宋体" w:eastAsia="宋体" w:cs="宋体"/>
          <w:sz w:val="23"/>
          <w:szCs w:val="23"/>
        </w:rPr>
        <w:t xml:space="preserve"> </w:t>
      </w:r>
      <w:r>
        <w:rPr>
          <w:rFonts w:ascii="宋体" w:hAnsi="宋体" w:eastAsia="宋体" w:cs="宋体"/>
          <w:spacing w:val="-4"/>
          <w:sz w:val="23"/>
          <w:szCs w:val="23"/>
        </w:rPr>
        <w:t>明确简单分析级别评价范围，因此该项目大气环境风险评价范围参照三级评价范</w:t>
      </w:r>
      <w:r>
        <w:rPr>
          <w:rFonts w:ascii="宋体" w:hAnsi="宋体" w:eastAsia="宋体" w:cs="宋体"/>
          <w:spacing w:val="-1"/>
          <w:sz w:val="23"/>
          <w:szCs w:val="23"/>
        </w:rPr>
        <w:t>围</w:t>
      </w:r>
      <w:r>
        <w:rPr>
          <w:rFonts w:ascii="宋体" w:hAnsi="宋体" w:eastAsia="宋体" w:cs="宋体"/>
          <w:sz w:val="23"/>
          <w:szCs w:val="23"/>
        </w:rPr>
        <w:t xml:space="preserve">， </w:t>
      </w:r>
      <w:r>
        <w:rPr>
          <w:rFonts w:ascii="宋体" w:hAnsi="宋体" w:eastAsia="宋体" w:cs="宋体"/>
          <w:spacing w:val="-10"/>
          <w:sz w:val="23"/>
          <w:szCs w:val="23"/>
        </w:rPr>
        <w:t>即</w:t>
      </w:r>
      <w:r>
        <w:rPr>
          <w:rFonts w:ascii="宋体" w:hAnsi="宋体" w:eastAsia="宋体" w:cs="宋体"/>
          <w:spacing w:val="-8"/>
          <w:sz w:val="23"/>
          <w:szCs w:val="23"/>
        </w:rPr>
        <w:t>距</w:t>
      </w:r>
      <w:r>
        <w:rPr>
          <w:rFonts w:ascii="宋体" w:hAnsi="宋体" w:eastAsia="宋体" w:cs="宋体"/>
          <w:spacing w:val="-5"/>
          <w:sz w:val="23"/>
          <w:szCs w:val="23"/>
        </w:rPr>
        <w:t xml:space="preserve">生产厂房边界 </w:t>
      </w:r>
      <w:r>
        <w:rPr>
          <w:rFonts w:ascii="Times New Roman" w:hAnsi="Times New Roman" w:eastAsia="Times New Roman" w:cs="Times New Roman"/>
          <w:spacing w:val="-5"/>
          <w:sz w:val="23"/>
          <w:szCs w:val="23"/>
        </w:rPr>
        <w:t xml:space="preserve">3km </w:t>
      </w:r>
      <w:r>
        <w:rPr>
          <w:rFonts w:ascii="宋体" w:hAnsi="宋体" w:eastAsia="宋体" w:cs="宋体"/>
          <w:spacing w:val="-5"/>
          <w:sz w:val="23"/>
          <w:szCs w:val="23"/>
        </w:rPr>
        <w:t>的范围。</w:t>
      </w:r>
    </w:p>
    <w:p w14:paraId="6ACA6783">
      <w:pPr>
        <w:spacing w:before="119" w:line="226" w:lineRule="auto"/>
        <w:ind w:left="568"/>
        <w:rPr>
          <w:rFonts w:ascii="宋体" w:hAnsi="宋体" w:eastAsia="宋体" w:cs="宋体"/>
          <w:sz w:val="23"/>
          <w:szCs w:val="23"/>
        </w:rPr>
      </w:pPr>
      <w:r>
        <w:rPr>
          <w:rFonts w:ascii="宋体" w:hAnsi="宋体" w:eastAsia="宋体" w:cs="宋体"/>
          <w:spacing w:val="-5"/>
          <w:sz w:val="23"/>
          <w:szCs w:val="23"/>
        </w:rPr>
        <w:t xml:space="preserve">根据工程特征与环境现状确定项目评价范围见表 </w:t>
      </w:r>
      <w:r>
        <w:rPr>
          <w:rFonts w:ascii="Times New Roman" w:hAnsi="Times New Roman" w:eastAsia="Times New Roman" w:cs="Times New Roman"/>
          <w:spacing w:val="-5"/>
          <w:sz w:val="23"/>
          <w:szCs w:val="23"/>
        </w:rPr>
        <w:t>2-27</w:t>
      </w:r>
      <w:r>
        <w:rPr>
          <w:rFonts w:ascii="宋体" w:hAnsi="宋体" w:eastAsia="宋体" w:cs="宋体"/>
          <w:spacing w:val="-5"/>
          <w:sz w:val="23"/>
          <w:szCs w:val="23"/>
        </w:rPr>
        <w:t>。</w:t>
      </w:r>
    </w:p>
    <w:p w14:paraId="1386C230">
      <w:pPr>
        <w:spacing w:line="282" w:lineRule="auto"/>
        <w:rPr>
          <w:rFonts w:ascii="Arial"/>
          <w:sz w:val="21"/>
        </w:rPr>
      </w:pPr>
    </w:p>
    <w:p w14:paraId="63EA1E95">
      <w:pPr>
        <w:spacing w:before="75" w:line="226" w:lineRule="auto"/>
        <w:ind w:left="3032"/>
        <w:rPr>
          <w:rFonts w:ascii="宋体" w:hAnsi="宋体" w:eastAsia="宋体" w:cs="宋体"/>
          <w:sz w:val="23"/>
          <w:szCs w:val="23"/>
        </w:rPr>
      </w:pPr>
      <w:r>
        <w:rPr>
          <w:rFonts w:ascii="宋体" w:hAnsi="宋体" w:eastAsia="宋体" w:cs="宋体"/>
          <w:spacing w:val="6"/>
          <w:sz w:val="23"/>
          <w:szCs w:val="23"/>
          <w14:textOutline w14:w="4358" w14:cap="sq" w14:cmpd="sng">
            <w14:solidFill>
              <w14:srgbClr w14:val="000000"/>
            </w14:solidFill>
            <w14:prstDash w14:val="solid"/>
            <w14:bevel/>
          </w14:textOutline>
        </w:rPr>
        <w:t>表</w:t>
      </w:r>
      <w:r>
        <w:rPr>
          <w:rFonts w:ascii="宋体" w:hAnsi="宋体" w:eastAsia="宋体" w:cs="宋体"/>
          <w:spacing w:val="6"/>
          <w:sz w:val="23"/>
          <w:szCs w:val="23"/>
        </w:rPr>
        <w:t xml:space="preserve"> </w:t>
      </w:r>
      <w:r>
        <w:rPr>
          <w:rFonts w:ascii="Times New Roman" w:hAnsi="Times New Roman" w:eastAsia="Times New Roman" w:cs="Times New Roman"/>
          <w:b/>
          <w:bCs/>
          <w:spacing w:val="5"/>
          <w:sz w:val="23"/>
          <w:szCs w:val="23"/>
        </w:rPr>
        <w:t>2</w:t>
      </w:r>
      <w:r>
        <w:rPr>
          <w:rFonts w:ascii="Times New Roman" w:hAnsi="Times New Roman" w:eastAsia="Times New Roman" w:cs="Times New Roman"/>
          <w:b/>
          <w:bCs/>
          <w:spacing w:val="3"/>
          <w:sz w:val="23"/>
          <w:szCs w:val="23"/>
        </w:rPr>
        <w:t>-27</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14:textOutline w14:w="4358" w14:cap="sq" w14:cmpd="sng">
            <w14:solidFill>
              <w14:srgbClr w14:val="000000"/>
            </w14:solidFill>
            <w14:prstDash w14:val="solid"/>
            <w14:bevel/>
          </w14:textOutline>
        </w:rPr>
        <w:t>工程评价范围表</w:t>
      </w:r>
    </w:p>
    <w:p w14:paraId="5A1B8451">
      <w:pPr>
        <w:spacing w:line="17"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05"/>
        <w:gridCol w:w="6717"/>
      </w:tblGrid>
      <w:tr w14:paraId="51F32B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1805" w:type="dxa"/>
            <w:tcBorders>
              <w:left w:val="nil"/>
            </w:tcBorders>
            <w:vAlign w:val="top"/>
          </w:tcPr>
          <w:p w14:paraId="0F68D6D0">
            <w:pPr>
              <w:spacing w:before="85" w:line="218" w:lineRule="auto"/>
              <w:ind w:left="492"/>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评</w:t>
            </w:r>
            <w:r>
              <w:rPr>
                <w:rFonts w:ascii="宋体" w:hAnsi="宋体" w:eastAsia="宋体" w:cs="宋体"/>
                <w:spacing w:val="7"/>
                <w:sz w:val="20"/>
                <w:szCs w:val="20"/>
                <w14:textOutline w14:w="3795" w14:cap="sq" w14:cmpd="sng">
                  <w14:solidFill>
                    <w14:srgbClr w14:val="000000"/>
                  </w14:solidFill>
                  <w14:prstDash w14:val="solid"/>
                  <w14:bevel/>
                </w14:textOutline>
              </w:rPr>
              <w:t>价因子</w:t>
            </w:r>
          </w:p>
        </w:tc>
        <w:tc>
          <w:tcPr>
            <w:tcW w:w="6717" w:type="dxa"/>
            <w:tcBorders>
              <w:right w:val="nil"/>
            </w:tcBorders>
            <w:vAlign w:val="top"/>
          </w:tcPr>
          <w:p w14:paraId="3CCE570B">
            <w:pPr>
              <w:spacing w:before="85" w:line="218" w:lineRule="auto"/>
              <w:ind w:left="2944"/>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评</w:t>
            </w:r>
            <w:r>
              <w:rPr>
                <w:rFonts w:ascii="宋体" w:hAnsi="宋体" w:eastAsia="宋体" w:cs="宋体"/>
                <w:spacing w:val="7"/>
                <w:sz w:val="20"/>
                <w:szCs w:val="20"/>
                <w14:textOutline w14:w="3795" w14:cap="sq" w14:cmpd="sng">
                  <w14:solidFill>
                    <w14:srgbClr w14:val="000000"/>
                  </w14:solidFill>
                  <w14:prstDash w14:val="solid"/>
                  <w14:bevel/>
                </w14:textOutline>
              </w:rPr>
              <w:t>价范围</w:t>
            </w:r>
          </w:p>
        </w:tc>
      </w:tr>
      <w:tr w14:paraId="43B151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805" w:type="dxa"/>
            <w:tcBorders>
              <w:left w:val="nil"/>
            </w:tcBorders>
            <w:vAlign w:val="top"/>
          </w:tcPr>
          <w:p w14:paraId="7D2F63EC">
            <w:pPr>
              <w:spacing w:before="61" w:line="228" w:lineRule="auto"/>
              <w:ind w:left="492"/>
              <w:rPr>
                <w:rFonts w:ascii="宋体" w:hAnsi="宋体" w:eastAsia="宋体" w:cs="宋体"/>
                <w:sz w:val="20"/>
                <w:szCs w:val="20"/>
              </w:rPr>
            </w:pPr>
            <w:r>
              <w:rPr>
                <w:rFonts w:ascii="宋体" w:hAnsi="宋体" w:eastAsia="宋体" w:cs="宋体"/>
                <w:spacing w:val="7"/>
                <w:sz w:val="20"/>
                <w:szCs w:val="20"/>
              </w:rPr>
              <w:t>环境空</w:t>
            </w:r>
            <w:r>
              <w:rPr>
                <w:rFonts w:ascii="宋体" w:hAnsi="宋体" w:eastAsia="宋体" w:cs="宋体"/>
                <w:spacing w:val="6"/>
                <w:sz w:val="20"/>
                <w:szCs w:val="20"/>
              </w:rPr>
              <w:t>气</w:t>
            </w:r>
          </w:p>
        </w:tc>
        <w:tc>
          <w:tcPr>
            <w:tcW w:w="6717" w:type="dxa"/>
            <w:tcBorders>
              <w:right w:val="nil"/>
            </w:tcBorders>
            <w:vAlign w:val="top"/>
          </w:tcPr>
          <w:p w14:paraId="2BD25A1C">
            <w:pPr>
              <w:spacing w:before="23" w:line="281" w:lineRule="exact"/>
              <w:ind w:left="1298"/>
              <w:rPr>
                <w:rFonts w:ascii="宋体" w:hAnsi="宋体" w:eastAsia="宋体" w:cs="宋体"/>
                <w:sz w:val="20"/>
                <w:szCs w:val="20"/>
              </w:rPr>
            </w:pPr>
            <w:r>
              <w:rPr>
                <w:rFonts w:ascii="宋体" w:hAnsi="宋体" w:eastAsia="宋体" w:cs="宋体"/>
                <w:spacing w:val="-10"/>
                <w:position w:val="1"/>
                <w:sz w:val="20"/>
                <w:szCs w:val="20"/>
              </w:rPr>
              <w:t>以项</w:t>
            </w:r>
            <w:r>
              <w:rPr>
                <w:rFonts w:ascii="宋体" w:hAnsi="宋体" w:eastAsia="宋体" w:cs="宋体"/>
                <w:spacing w:val="-7"/>
                <w:position w:val="1"/>
                <w:sz w:val="20"/>
                <w:szCs w:val="20"/>
              </w:rPr>
              <w:t>目</w:t>
            </w:r>
            <w:r>
              <w:rPr>
                <w:rFonts w:ascii="宋体" w:hAnsi="宋体" w:eastAsia="宋体" w:cs="宋体"/>
                <w:spacing w:val="-5"/>
                <w:position w:val="1"/>
                <w:sz w:val="20"/>
                <w:szCs w:val="20"/>
              </w:rPr>
              <w:t xml:space="preserve">厂址为中心区域，边长取 </w:t>
            </w:r>
            <w:r>
              <w:rPr>
                <w:rFonts w:ascii="Times New Roman" w:hAnsi="Times New Roman" w:eastAsia="Times New Roman" w:cs="Times New Roman"/>
                <w:spacing w:val="-5"/>
                <w:position w:val="1"/>
                <w:sz w:val="20"/>
                <w:szCs w:val="20"/>
              </w:rPr>
              <w:t xml:space="preserve">5km </w:t>
            </w:r>
            <w:r>
              <w:rPr>
                <w:rFonts w:ascii="宋体" w:hAnsi="宋体" w:eastAsia="宋体" w:cs="宋体"/>
                <w:spacing w:val="-5"/>
                <w:position w:val="1"/>
                <w:sz w:val="20"/>
                <w:szCs w:val="20"/>
              </w:rPr>
              <w:t>的矩形范围</w:t>
            </w:r>
          </w:p>
        </w:tc>
      </w:tr>
      <w:tr w14:paraId="6096CB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805" w:type="dxa"/>
            <w:tcBorders>
              <w:left w:val="nil"/>
            </w:tcBorders>
            <w:vAlign w:val="top"/>
          </w:tcPr>
          <w:p w14:paraId="18200428">
            <w:pPr>
              <w:spacing w:before="63" w:line="228" w:lineRule="auto"/>
              <w:ind w:left="711"/>
              <w:rPr>
                <w:rFonts w:ascii="宋体" w:hAnsi="宋体" w:eastAsia="宋体" w:cs="宋体"/>
                <w:sz w:val="20"/>
                <w:szCs w:val="20"/>
              </w:rPr>
            </w:pPr>
            <w:r>
              <w:rPr>
                <w:rFonts w:ascii="宋体" w:hAnsi="宋体" w:eastAsia="宋体" w:cs="宋体"/>
                <w:spacing w:val="-1"/>
                <w:sz w:val="20"/>
                <w:szCs w:val="20"/>
              </w:rPr>
              <w:t>噪</w:t>
            </w:r>
            <w:r>
              <w:rPr>
                <w:rFonts w:ascii="宋体" w:hAnsi="宋体" w:eastAsia="宋体" w:cs="宋体"/>
                <w:sz w:val="20"/>
                <w:szCs w:val="20"/>
              </w:rPr>
              <w:t>声</w:t>
            </w:r>
          </w:p>
        </w:tc>
        <w:tc>
          <w:tcPr>
            <w:tcW w:w="6717" w:type="dxa"/>
            <w:tcBorders>
              <w:right w:val="nil"/>
            </w:tcBorders>
            <w:vAlign w:val="top"/>
          </w:tcPr>
          <w:p w14:paraId="06C358BF">
            <w:pPr>
              <w:spacing w:before="63" w:line="228" w:lineRule="auto"/>
              <w:ind w:left="2556"/>
              <w:rPr>
                <w:rFonts w:ascii="宋体" w:hAnsi="宋体" w:eastAsia="宋体" w:cs="宋体"/>
                <w:sz w:val="20"/>
                <w:szCs w:val="20"/>
              </w:rPr>
            </w:pPr>
            <w:r>
              <w:rPr>
                <w:rFonts w:ascii="宋体" w:hAnsi="宋体" w:eastAsia="宋体" w:cs="宋体"/>
                <w:spacing w:val="1"/>
                <w:sz w:val="20"/>
                <w:szCs w:val="20"/>
              </w:rPr>
              <w:t xml:space="preserve">厂界外 </w:t>
            </w:r>
            <w:r>
              <w:rPr>
                <w:rFonts w:ascii="Times New Roman" w:hAnsi="Times New Roman" w:eastAsia="Times New Roman" w:cs="Times New Roman"/>
                <w:spacing w:val="1"/>
                <w:sz w:val="20"/>
                <w:szCs w:val="20"/>
              </w:rPr>
              <w:t>200</w:t>
            </w:r>
            <w:r>
              <w:rPr>
                <w:rFonts w:ascii="Times New Roman" w:hAnsi="Times New Roman" w:eastAsia="Times New Roman" w:cs="Times New Roman"/>
                <w:sz w:val="20"/>
                <w:szCs w:val="20"/>
              </w:rPr>
              <w:t>m</w:t>
            </w:r>
            <w:r>
              <w:rPr>
                <w:rFonts w:ascii="Times New Roman" w:hAnsi="Times New Roman" w:eastAsia="Times New Roman" w:cs="Times New Roman"/>
                <w:spacing w:val="1"/>
                <w:sz w:val="20"/>
                <w:szCs w:val="20"/>
              </w:rPr>
              <w:t xml:space="preserve"> </w:t>
            </w:r>
            <w:r>
              <w:rPr>
                <w:rFonts w:ascii="宋体" w:hAnsi="宋体" w:eastAsia="宋体" w:cs="宋体"/>
                <w:sz w:val="20"/>
                <w:szCs w:val="20"/>
              </w:rPr>
              <w:t>范围</w:t>
            </w:r>
          </w:p>
        </w:tc>
      </w:tr>
      <w:tr w14:paraId="1B2BCD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805" w:type="dxa"/>
            <w:tcBorders>
              <w:left w:val="nil"/>
            </w:tcBorders>
            <w:vAlign w:val="top"/>
          </w:tcPr>
          <w:p w14:paraId="3B743F11">
            <w:pPr>
              <w:spacing w:before="64" w:line="228" w:lineRule="auto"/>
              <w:ind w:left="598"/>
              <w:rPr>
                <w:rFonts w:ascii="宋体" w:hAnsi="宋体" w:eastAsia="宋体" w:cs="宋体"/>
                <w:sz w:val="20"/>
                <w:szCs w:val="20"/>
              </w:rPr>
            </w:pPr>
            <w:r>
              <w:rPr>
                <w:rFonts w:ascii="宋体" w:hAnsi="宋体" w:eastAsia="宋体" w:cs="宋体"/>
                <w:spacing w:val="6"/>
                <w:sz w:val="20"/>
                <w:szCs w:val="20"/>
              </w:rPr>
              <w:t>地下水</w:t>
            </w:r>
          </w:p>
        </w:tc>
        <w:tc>
          <w:tcPr>
            <w:tcW w:w="6717" w:type="dxa"/>
            <w:tcBorders>
              <w:right w:val="nil"/>
            </w:tcBorders>
            <w:vAlign w:val="top"/>
          </w:tcPr>
          <w:p w14:paraId="58D7A325">
            <w:pPr>
              <w:spacing w:before="27" w:line="281" w:lineRule="exact"/>
              <w:ind w:left="2410"/>
              <w:rPr>
                <w:rFonts w:ascii="宋体" w:hAnsi="宋体" w:eastAsia="宋体" w:cs="宋体"/>
                <w:sz w:val="20"/>
                <w:szCs w:val="20"/>
              </w:rPr>
            </w:pPr>
            <w:r>
              <w:rPr>
                <w:rFonts w:ascii="宋体" w:hAnsi="宋体" w:eastAsia="宋体" w:cs="宋体"/>
                <w:spacing w:val="-9"/>
                <w:position w:val="1"/>
                <w:sz w:val="20"/>
                <w:szCs w:val="20"/>
              </w:rPr>
              <w:t>厂</w:t>
            </w:r>
            <w:r>
              <w:rPr>
                <w:rFonts w:ascii="宋体" w:hAnsi="宋体" w:eastAsia="宋体" w:cs="宋体"/>
                <w:spacing w:val="-5"/>
                <w:position w:val="1"/>
                <w:sz w:val="20"/>
                <w:szCs w:val="20"/>
              </w:rPr>
              <w:t xml:space="preserve">区周围 </w:t>
            </w:r>
            <w:r>
              <w:rPr>
                <w:rFonts w:ascii="Times New Roman" w:hAnsi="Times New Roman" w:eastAsia="Times New Roman" w:cs="Times New Roman"/>
                <w:spacing w:val="-5"/>
                <w:position w:val="1"/>
                <w:sz w:val="20"/>
                <w:szCs w:val="20"/>
              </w:rPr>
              <w:t>1.24km</w:t>
            </w:r>
            <w:r>
              <w:rPr>
                <w:rFonts w:ascii="Times New Roman" w:hAnsi="Times New Roman" w:eastAsia="Times New Roman" w:cs="Times New Roman"/>
                <w:spacing w:val="-5"/>
                <w:position w:val="7"/>
                <w:sz w:val="13"/>
                <w:szCs w:val="13"/>
              </w:rPr>
              <w:t xml:space="preserve">2 </w:t>
            </w:r>
            <w:r>
              <w:rPr>
                <w:rFonts w:ascii="宋体" w:hAnsi="宋体" w:eastAsia="宋体" w:cs="宋体"/>
                <w:spacing w:val="-5"/>
                <w:position w:val="1"/>
                <w:sz w:val="20"/>
                <w:szCs w:val="20"/>
              </w:rPr>
              <w:t>范围</w:t>
            </w:r>
          </w:p>
        </w:tc>
      </w:tr>
      <w:tr w14:paraId="3F934D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805" w:type="dxa"/>
            <w:tcBorders>
              <w:left w:val="nil"/>
            </w:tcBorders>
            <w:vAlign w:val="top"/>
          </w:tcPr>
          <w:p w14:paraId="4A03B693">
            <w:pPr>
              <w:spacing w:before="64" w:line="229" w:lineRule="auto"/>
              <w:ind w:left="714"/>
              <w:rPr>
                <w:rFonts w:ascii="宋体" w:hAnsi="宋体" w:eastAsia="宋体" w:cs="宋体"/>
                <w:sz w:val="20"/>
                <w:szCs w:val="20"/>
              </w:rPr>
            </w:pPr>
            <w:r>
              <w:rPr>
                <w:rFonts w:ascii="宋体" w:hAnsi="宋体" w:eastAsia="宋体" w:cs="宋体"/>
                <w:sz w:val="20"/>
                <w:szCs w:val="20"/>
              </w:rPr>
              <w:t>土壤</w:t>
            </w:r>
          </w:p>
        </w:tc>
        <w:tc>
          <w:tcPr>
            <w:tcW w:w="6717" w:type="dxa"/>
            <w:tcBorders>
              <w:right w:val="nil"/>
            </w:tcBorders>
            <w:vAlign w:val="top"/>
          </w:tcPr>
          <w:p w14:paraId="6E7BBD23">
            <w:pPr>
              <w:spacing w:before="27" w:line="281" w:lineRule="exact"/>
              <w:ind w:left="1484"/>
              <w:rPr>
                <w:rFonts w:ascii="宋体" w:hAnsi="宋体" w:eastAsia="宋体" w:cs="宋体"/>
                <w:sz w:val="20"/>
                <w:szCs w:val="20"/>
              </w:rPr>
            </w:pPr>
            <w:r>
              <w:rPr>
                <w:rFonts w:ascii="宋体" w:hAnsi="宋体" w:eastAsia="宋体" w:cs="宋体"/>
                <w:spacing w:val="-6"/>
                <w:position w:val="1"/>
                <w:sz w:val="20"/>
                <w:szCs w:val="20"/>
              </w:rPr>
              <w:t xml:space="preserve">占地范围内全部及占地范围外 </w:t>
            </w:r>
            <w:r>
              <w:rPr>
                <w:rFonts w:ascii="Times New Roman" w:hAnsi="Times New Roman" w:eastAsia="Times New Roman" w:cs="Times New Roman"/>
                <w:spacing w:val="-6"/>
                <w:position w:val="1"/>
                <w:sz w:val="20"/>
                <w:szCs w:val="20"/>
              </w:rPr>
              <w:t>0.05k</w:t>
            </w:r>
            <w:r>
              <w:rPr>
                <w:rFonts w:ascii="Times New Roman" w:hAnsi="Times New Roman" w:eastAsia="Times New Roman" w:cs="Times New Roman"/>
                <w:spacing w:val="-3"/>
                <w:position w:val="1"/>
                <w:sz w:val="20"/>
                <w:szCs w:val="20"/>
              </w:rPr>
              <w:t>m</w:t>
            </w:r>
            <w:r>
              <w:rPr>
                <w:rFonts w:ascii="Times New Roman" w:hAnsi="Times New Roman" w:eastAsia="Times New Roman" w:cs="Times New Roman"/>
                <w:spacing w:val="-6"/>
                <w:position w:val="1"/>
                <w:sz w:val="20"/>
                <w:szCs w:val="20"/>
              </w:rPr>
              <w:t xml:space="preserve"> </w:t>
            </w:r>
            <w:r>
              <w:rPr>
                <w:rFonts w:ascii="宋体" w:hAnsi="宋体" w:eastAsia="宋体" w:cs="宋体"/>
                <w:spacing w:val="-6"/>
                <w:position w:val="1"/>
                <w:sz w:val="20"/>
                <w:szCs w:val="20"/>
              </w:rPr>
              <w:t>范围内</w:t>
            </w:r>
          </w:p>
        </w:tc>
      </w:tr>
      <w:tr w14:paraId="0DA440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1805" w:type="dxa"/>
            <w:tcBorders>
              <w:left w:val="nil"/>
            </w:tcBorders>
            <w:vAlign w:val="top"/>
          </w:tcPr>
          <w:p w14:paraId="1C1CB9DE">
            <w:pPr>
              <w:spacing w:before="67" w:line="228" w:lineRule="auto"/>
              <w:ind w:left="492"/>
              <w:rPr>
                <w:rFonts w:ascii="宋体" w:hAnsi="宋体" w:eastAsia="宋体" w:cs="宋体"/>
                <w:sz w:val="20"/>
                <w:szCs w:val="20"/>
              </w:rPr>
            </w:pPr>
            <w:r>
              <w:rPr>
                <w:rFonts w:ascii="宋体" w:hAnsi="宋体" w:eastAsia="宋体" w:cs="宋体"/>
                <w:spacing w:val="7"/>
                <w:sz w:val="20"/>
                <w:szCs w:val="20"/>
              </w:rPr>
              <w:t>环境风</w:t>
            </w:r>
            <w:r>
              <w:rPr>
                <w:rFonts w:ascii="宋体" w:hAnsi="宋体" w:eastAsia="宋体" w:cs="宋体"/>
                <w:spacing w:val="6"/>
                <w:sz w:val="20"/>
                <w:szCs w:val="20"/>
              </w:rPr>
              <w:t>险</w:t>
            </w:r>
          </w:p>
        </w:tc>
        <w:tc>
          <w:tcPr>
            <w:tcW w:w="6717" w:type="dxa"/>
            <w:tcBorders>
              <w:right w:val="nil"/>
            </w:tcBorders>
            <w:vAlign w:val="top"/>
          </w:tcPr>
          <w:p w14:paraId="5DAAD466">
            <w:pPr>
              <w:spacing w:before="6" w:line="323" w:lineRule="exact"/>
              <w:ind w:left="1973"/>
              <w:rPr>
                <w:rFonts w:ascii="宋体" w:hAnsi="宋体" w:eastAsia="宋体" w:cs="宋体"/>
                <w:sz w:val="23"/>
                <w:szCs w:val="23"/>
              </w:rPr>
            </w:pPr>
            <w:r>
              <w:rPr>
                <w:rFonts w:ascii="宋体" w:hAnsi="宋体" w:eastAsia="宋体" w:cs="宋体"/>
                <w:spacing w:val="-10"/>
                <w:position w:val="1"/>
                <w:sz w:val="23"/>
                <w:szCs w:val="23"/>
              </w:rPr>
              <w:t>距生</w:t>
            </w:r>
            <w:r>
              <w:rPr>
                <w:rFonts w:ascii="宋体" w:hAnsi="宋体" w:eastAsia="宋体" w:cs="宋体"/>
                <w:spacing w:val="-5"/>
                <w:position w:val="1"/>
                <w:sz w:val="23"/>
                <w:szCs w:val="23"/>
              </w:rPr>
              <w:t xml:space="preserve">产厂房边界 </w:t>
            </w:r>
            <w:r>
              <w:rPr>
                <w:rFonts w:ascii="Times New Roman" w:hAnsi="Times New Roman" w:eastAsia="Times New Roman" w:cs="Times New Roman"/>
                <w:spacing w:val="-5"/>
                <w:position w:val="1"/>
                <w:sz w:val="23"/>
                <w:szCs w:val="23"/>
              </w:rPr>
              <w:t xml:space="preserve">3km </w:t>
            </w:r>
            <w:r>
              <w:rPr>
                <w:rFonts w:ascii="宋体" w:hAnsi="宋体" w:eastAsia="宋体" w:cs="宋体"/>
                <w:spacing w:val="-5"/>
                <w:position w:val="1"/>
                <w:sz w:val="23"/>
                <w:szCs w:val="23"/>
              </w:rPr>
              <w:t>的范围</w:t>
            </w:r>
          </w:p>
        </w:tc>
      </w:tr>
    </w:tbl>
    <w:p w14:paraId="31B709D1">
      <w:pPr>
        <w:spacing w:before="279" w:line="225" w:lineRule="auto"/>
        <w:ind w:left="115"/>
        <w:outlineLvl w:val="1"/>
        <w:rPr>
          <w:rFonts w:ascii="宋体" w:hAnsi="宋体" w:eastAsia="宋体" w:cs="宋体"/>
          <w:sz w:val="31"/>
          <w:szCs w:val="31"/>
        </w:rPr>
      </w:pPr>
      <w:bookmarkStart w:id="13" w:name="_bookmark14"/>
      <w:bookmarkEnd w:id="13"/>
      <w:r>
        <w:rPr>
          <w:rFonts w:ascii="Times New Roman" w:hAnsi="Times New Roman" w:eastAsia="Times New Roman" w:cs="Times New Roman"/>
          <w:b/>
          <w:bCs/>
          <w:spacing w:val="-2"/>
          <w:sz w:val="31"/>
          <w:szCs w:val="31"/>
        </w:rPr>
        <w:t>2.7</w:t>
      </w:r>
      <w:r>
        <w:rPr>
          <w:rFonts w:ascii="Times New Roman" w:hAnsi="Times New Roman" w:eastAsia="Times New Roman" w:cs="Times New Roman"/>
          <w:spacing w:val="-2"/>
          <w:sz w:val="31"/>
          <w:szCs w:val="31"/>
        </w:rPr>
        <w:t xml:space="preserve">  </w:t>
      </w:r>
      <w:r>
        <w:rPr>
          <w:rFonts w:ascii="宋体" w:hAnsi="宋体" w:eastAsia="宋体" w:cs="宋体"/>
          <w:spacing w:val="-2"/>
          <w:sz w:val="31"/>
          <w:szCs w:val="31"/>
          <w14:textOutline w14:w="5793" w14:cap="sq" w14:cmpd="sng">
            <w14:solidFill>
              <w14:srgbClr w14:val="000000"/>
            </w14:solidFill>
            <w14:prstDash w14:val="solid"/>
            <w14:bevel/>
          </w14:textOutline>
        </w:rPr>
        <w:t>环境</w:t>
      </w:r>
      <w:r>
        <w:rPr>
          <w:rFonts w:ascii="宋体" w:hAnsi="宋体" w:eastAsia="宋体" w:cs="宋体"/>
          <w:spacing w:val="-1"/>
          <w:sz w:val="31"/>
          <w:szCs w:val="31"/>
          <w14:textOutline w14:w="5793" w14:cap="sq" w14:cmpd="sng">
            <w14:solidFill>
              <w14:srgbClr w14:val="000000"/>
            </w14:solidFill>
            <w14:prstDash w14:val="solid"/>
            <w14:bevel/>
          </w14:textOutline>
        </w:rPr>
        <w:t>保护目标</w:t>
      </w:r>
    </w:p>
    <w:p w14:paraId="4600F266">
      <w:pPr>
        <w:spacing w:line="260" w:lineRule="auto"/>
        <w:rPr>
          <w:rFonts w:ascii="Arial"/>
          <w:sz w:val="21"/>
        </w:rPr>
      </w:pPr>
    </w:p>
    <w:p w14:paraId="59FD9D34">
      <w:pPr>
        <w:spacing w:before="75" w:line="388" w:lineRule="auto"/>
        <w:ind w:left="116" w:right="105" w:firstLine="453"/>
        <w:rPr>
          <w:rFonts w:ascii="宋体" w:hAnsi="宋体" w:eastAsia="宋体" w:cs="宋体"/>
          <w:sz w:val="23"/>
          <w:szCs w:val="23"/>
        </w:rPr>
      </w:pPr>
      <w:r>
        <w:rPr>
          <w:rFonts w:ascii="宋体" w:hAnsi="宋体" w:eastAsia="宋体" w:cs="宋体"/>
          <w:spacing w:val="1"/>
          <w:sz w:val="23"/>
          <w:szCs w:val="23"/>
        </w:rPr>
        <w:t>本溪弘福塑业有限公司新建项目位于辽宁省本溪</w:t>
      </w:r>
      <w:r>
        <w:rPr>
          <w:rFonts w:ascii="宋体" w:hAnsi="宋体" w:eastAsia="宋体" w:cs="宋体"/>
          <w:sz w:val="23"/>
          <w:szCs w:val="23"/>
        </w:rPr>
        <w:t xml:space="preserve">市溪湖区火连寨镇火连寨村， </w:t>
      </w:r>
      <w:r>
        <w:rPr>
          <w:rFonts w:ascii="宋体" w:hAnsi="宋体" w:eastAsia="宋体" w:cs="宋体"/>
          <w:spacing w:val="-2"/>
          <w:sz w:val="23"/>
          <w:szCs w:val="23"/>
        </w:rPr>
        <w:t>地理位置坐标为</w:t>
      </w:r>
      <w:r>
        <w:rPr>
          <w:rFonts w:ascii="Times New Roman" w:hAnsi="Times New Roman" w:eastAsia="Times New Roman" w:cs="Times New Roman"/>
          <w:spacing w:val="-1"/>
          <w:sz w:val="23"/>
          <w:szCs w:val="23"/>
        </w:rPr>
        <w:t>N</w:t>
      </w:r>
      <w:r>
        <w:rPr>
          <w:rFonts w:ascii="Times New Roman" w:hAnsi="Times New Roman" w:eastAsia="Times New Roman" w:cs="Times New Roman"/>
          <w:spacing w:val="-2"/>
          <w:sz w:val="23"/>
          <w:szCs w:val="23"/>
        </w:rPr>
        <w:t>41°21′55.059</w:t>
      </w:r>
      <w:r>
        <w:rPr>
          <w:rFonts w:ascii="Times New Roman" w:hAnsi="Times New Roman" w:eastAsia="Times New Roman" w:cs="Times New Roman"/>
          <w:spacing w:val="-1"/>
          <w:sz w:val="23"/>
          <w:szCs w:val="23"/>
        </w:rPr>
        <w:t>27″E123°42′32.05640″</w:t>
      </w:r>
      <w:r>
        <w:rPr>
          <w:rFonts w:ascii="宋体" w:hAnsi="宋体" w:eastAsia="宋体" w:cs="宋体"/>
          <w:spacing w:val="-1"/>
          <w:sz w:val="23"/>
          <w:szCs w:val="23"/>
        </w:rPr>
        <w:t>，项目所用土地为工业用地。项</w:t>
      </w:r>
      <w:r>
        <w:rPr>
          <w:rFonts w:ascii="宋体" w:hAnsi="宋体" w:eastAsia="宋体" w:cs="宋体"/>
          <w:sz w:val="23"/>
          <w:szCs w:val="23"/>
        </w:rPr>
        <w:t xml:space="preserve"> </w:t>
      </w:r>
      <w:r>
        <w:rPr>
          <w:rFonts w:ascii="宋体" w:hAnsi="宋体" w:eastAsia="宋体" w:cs="宋体"/>
          <w:spacing w:val="1"/>
          <w:sz w:val="23"/>
          <w:szCs w:val="23"/>
        </w:rPr>
        <w:t>目厂址所在区域不属于风景名胜区</w:t>
      </w:r>
      <w:r>
        <w:rPr>
          <w:rFonts w:ascii="宋体" w:hAnsi="宋体" w:eastAsia="宋体" w:cs="宋体"/>
          <w:sz w:val="23"/>
          <w:szCs w:val="23"/>
        </w:rPr>
        <w:t xml:space="preserve">、生态保护区、自然和文化遗产保护区、饮用水 </w:t>
      </w:r>
      <w:r>
        <w:rPr>
          <w:rFonts w:ascii="宋体" w:hAnsi="宋体" w:eastAsia="宋体" w:cs="宋体"/>
          <w:spacing w:val="1"/>
          <w:sz w:val="23"/>
          <w:szCs w:val="23"/>
        </w:rPr>
        <w:t>源保护区、城市建成区等区域。依</w:t>
      </w:r>
      <w:r>
        <w:rPr>
          <w:rFonts w:ascii="宋体" w:hAnsi="宋体" w:eastAsia="宋体" w:cs="宋体"/>
          <w:sz w:val="23"/>
          <w:szCs w:val="23"/>
        </w:rPr>
        <w:t xml:space="preserve">据项目污染物排放特征和厂址周围环境敏感点分 </w:t>
      </w:r>
      <w:r>
        <w:rPr>
          <w:rFonts w:ascii="宋体" w:hAnsi="宋体" w:eastAsia="宋体" w:cs="宋体"/>
          <w:spacing w:val="1"/>
          <w:sz w:val="23"/>
          <w:szCs w:val="23"/>
        </w:rPr>
        <w:t>布情况及环境功能要求，确定本次</w:t>
      </w:r>
      <w:r>
        <w:rPr>
          <w:rFonts w:ascii="宋体" w:hAnsi="宋体" w:eastAsia="宋体" w:cs="宋体"/>
          <w:sz w:val="23"/>
          <w:szCs w:val="23"/>
        </w:rPr>
        <w:t xml:space="preserve">评价的主要保护目标及保护级别，环境保护目标 </w:t>
      </w:r>
      <w:r>
        <w:rPr>
          <w:rFonts w:ascii="宋体" w:hAnsi="宋体" w:eastAsia="宋体" w:cs="宋体"/>
          <w:spacing w:val="-5"/>
          <w:sz w:val="23"/>
          <w:szCs w:val="23"/>
        </w:rPr>
        <w:t xml:space="preserve">见表 </w:t>
      </w:r>
      <w:r>
        <w:rPr>
          <w:rFonts w:ascii="Times New Roman" w:hAnsi="Times New Roman" w:eastAsia="Times New Roman" w:cs="Times New Roman"/>
          <w:spacing w:val="-5"/>
          <w:sz w:val="23"/>
          <w:szCs w:val="23"/>
        </w:rPr>
        <w:t>2-28</w:t>
      </w:r>
      <w:r>
        <w:rPr>
          <w:rFonts w:ascii="宋体" w:hAnsi="宋体" w:eastAsia="宋体" w:cs="宋体"/>
          <w:spacing w:val="-5"/>
          <w:sz w:val="23"/>
          <w:szCs w:val="23"/>
        </w:rPr>
        <w:t xml:space="preserve">、表 </w:t>
      </w:r>
      <w:r>
        <w:rPr>
          <w:rFonts w:ascii="Times New Roman" w:hAnsi="Times New Roman" w:eastAsia="Times New Roman" w:cs="Times New Roman"/>
          <w:spacing w:val="-5"/>
          <w:sz w:val="23"/>
          <w:szCs w:val="23"/>
        </w:rPr>
        <w:t xml:space="preserve">2-29 </w:t>
      </w:r>
      <w:r>
        <w:rPr>
          <w:rFonts w:ascii="宋体" w:hAnsi="宋体" w:eastAsia="宋体" w:cs="宋体"/>
          <w:spacing w:val="-5"/>
          <w:sz w:val="23"/>
          <w:szCs w:val="23"/>
        </w:rPr>
        <w:t>和图</w:t>
      </w:r>
      <w:r>
        <w:rPr>
          <w:rFonts w:ascii="Times New Roman" w:hAnsi="Times New Roman" w:eastAsia="Times New Roman" w:cs="Times New Roman"/>
          <w:spacing w:val="-5"/>
          <w:sz w:val="23"/>
          <w:szCs w:val="23"/>
        </w:rPr>
        <w:t>2-1</w:t>
      </w:r>
      <w:r>
        <w:rPr>
          <w:rFonts w:ascii="宋体" w:hAnsi="宋体" w:eastAsia="宋体" w:cs="宋体"/>
          <w:spacing w:val="-2"/>
          <w:sz w:val="23"/>
          <w:szCs w:val="23"/>
        </w:rPr>
        <w:t>。</w:t>
      </w:r>
    </w:p>
    <w:p w14:paraId="4262F09D">
      <w:pPr>
        <w:sectPr>
          <w:headerReference r:id="rId80" w:type="default"/>
          <w:footerReference r:id="rId81" w:type="default"/>
          <w:pgSz w:w="11906" w:h="16839"/>
          <w:pgMar w:top="1132" w:right="1691" w:bottom="1156" w:left="1691" w:header="878" w:footer="996" w:gutter="0"/>
          <w:cols w:space="720" w:num="1"/>
        </w:sectPr>
      </w:pPr>
    </w:p>
    <w:p w14:paraId="51C70EFE">
      <w:pPr>
        <w:spacing w:line="408" w:lineRule="auto"/>
        <w:rPr>
          <w:rFonts w:ascii="Arial"/>
          <w:sz w:val="21"/>
        </w:rPr>
      </w:pPr>
      <w:r>
        <w:pict>
          <v:shape id="_x0000_s1106" o:spid="_x0000_s1106" style="position:absolute;left:0pt;margin-left:90pt;margin-top:57.35pt;height:0.75pt;width:415.3pt;mso-position-horizontal-relative:page;mso-position-vertical-relative:page;z-index:251740160;mso-width-relative:page;mso-height-relative:page;" fillcolor="#000000" filled="t" stroked="f" coordsize="8305,15" o:allowincell="f" path="m0,0l8305,0,8305,14,0,14,0,0xe">
            <v:path/>
            <v:fill on="t" focussize="0,0"/>
            <v:stroke on="f"/>
            <v:imagedata o:title=""/>
            <o:lock v:ext="edit"/>
          </v:shape>
        </w:pict>
      </w:r>
    </w:p>
    <w:p w14:paraId="7A493F72">
      <w:pPr>
        <w:spacing w:before="75" w:line="228" w:lineRule="auto"/>
        <w:ind w:left="2700"/>
        <w:rPr>
          <w:rFonts w:ascii="宋体" w:hAnsi="宋体" w:eastAsia="宋体" w:cs="宋体"/>
          <w:sz w:val="23"/>
          <w:szCs w:val="23"/>
        </w:rPr>
      </w:pPr>
      <w:r>
        <w:rPr>
          <w:rFonts w:ascii="宋体" w:hAnsi="宋体" w:eastAsia="宋体" w:cs="宋体"/>
          <w:spacing w:val="-2"/>
          <w:sz w:val="23"/>
          <w:szCs w:val="23"/>
          <w14:textOutline w14:w="4358" w14:cap="sq" w14:cmpd="sng">
            <w14:solidFill>
              <w14:srgbClr w14:val="000000"/>
            </w14:solidFill>
            <w14:prstDash w14:val="solid"/>
            <w14:bevel/>
          </w14:textOutline>
        </w:rPr>
        <w:t>表</w:t>
      </w:r>
      <w:r>
        <w:rPr>
          <w:rFonts w:ascii="宋体" w:hAnsi="宋体" w:eastAsia="宋体" w:cs="宋体"/>
          <w:spacing w:val="-2"/>
          <w:sz w:val="23"/>
          <w:szCs w:val="23"/>
        </w:rPr>
        <w:t xml:space="preserve"> </w:t>
      </w:r>
      <w:r>
        <w:rPr>
          <w:rFonts w:ascii="Times New Roman" w:hAnsi="Times New Roman" w:eastAsia="Times New Roman" w:cs="Times New Roman"/>
          <w:b/>
          <w:bCs/>
          <w:spacing w:val="-2"/>
          <w:sz w:val="23"/>
          <w:szCs w:val="23"/>
        </w:rPr>
        <w:t>2-28</w:t>
      </w:r>
      <w:r>
        <w:rPr>
          <w:rFonts w:ascii="Times New Roman" w:hAnsi="Times New Roman" w:eastAsia="Times New Roman" w:cs="Times New Roman"/>
          <w:spacing w:val="-2"/>
          <w:sz w:val="23"/>
          <w:szCs w:val="23"/>
        </w:rPr>
        <w:t xml:space="preserve">   </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14:textOutline w14:w="4358" w14:cap="sq" w14:cmpd="sng">
            <w14:solidFill>
              <w14:srgbClr w14:val="000000"/>
            </w14:solidFill>
            <w14:prstDash w14:val="solid"/>
            <w14:bevel/>
          </w14:textOutline>
        </w:rPr>
        <w:t>环境空气保护目标</w:t>
      </w:r>
    </w:p>
    <w:p w14:paraId="0AE29E6B">
      <w:pPr>
        <w:spacing w:line="17" w:lineRule="exact"/>
      </w:pPr>
    </w:p>
    <w:tbl>
      <w:tblPr>
        <w:tblStyle w:val="4"/>
        <w:tblW w:w="838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8"/>
        <w:gridCol w:w="1605"/>
        <w:gridCol w:w="1604"/>
        <w:gridCol w:w="540"/>
        <w:gridCol w:w="1491"/>
        <w:gridCol w:w="633"/>
        <w:gridCol w:w="750"/>
        <w:gridCol w:w="788"/>
      </w:tblGrid>
      <w:tr w14:paraId="1238E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78" w:type="dxa"/>
            <w:vMerge w:val="restart"/>
            <w:tcBorders>
              <w:left w:val="nil"/>
              <w:bottom w:val="nil"/>
            </w:tcBorders>
            <w:vAlign w:val="top"/>
          </w:tcPr>
          <w:p w14:paraId="77E02A52">
            <w:pPr>
              <w:spacing w:line="351" w:lineRule="auto"/>
              <w:rPr>
                <w:rFonts w:ascii="Arial"/>
                <w:sz w:val="21"/>
              </w:rPr>
            </w:pPr>
          </w:p>
          <w:p w14:paraId="7A771395">
            <w:pPr>
              <w:spacing w:before="65" w:line="230" w:lineRule="auto"/>
              <w:ind w:left="302"/>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名称</w:t>
            </w:r>
          </w:p>
        </w:tc>
        <w:tc>
          <w:tcPr>
            <w:tcW w:w="3209" w:type="dxa"/>
            <w:gridSpan w:val="2"/>
            <w:vAlign w:val="top"/>
          </w:tcPr>
          <w:p w14:paraId="3D0C45E2">
            <w:pPr>
              <w:spacing w:before="85" w:line="228" w:lineRule="auto"/>
              <w:ind w:left="1415"/>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坐标</w:t>
            </w:r>
          </w:p>
        </w:tc>
        <w:tc>
          <w:tcPr>
            <w:tcW w:w="540" w:type="dxa"/>
            <w:vMerge w:val="restart"/>
            <w:tcBorders>
              <w:bottom w:val="nil"/>
            </w:tcBorders>
            <w:vAlign w:val="top"/>
          </w:tcPr>
          <w:p w14:paraId="369F75EC">
            <w:pPr>
              <w:spacing w:before="252" w:line="318" w:lineRule="auto"/>
              <w:ind w:left="78" w:right="57" w:firstLine="1"/>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保护</w:t>
            </w:r>
            <w:r>
              <w:rPr>
                <w:rFonts w:ascii="宋体" w:hAnsi="宋体" w:eastAsia="宋体" w:cs="宋体"/>
                <w:sz w:val="20"/>
                <w:szCs w:val="20"/>
              </w:rPr>
              <w:t xml:space="preserve"> </w:t>
            </w:r>
            <w:r>
              <w:rPr>
                <w:rFonts w:ascii="宋体" w:hAnsi="宋体" w:eastAsia="宋体" w:cs="宋体"/>
                <w:spacing w:val="-1"/>
                <w:sz w:val="20"/>
                <w:szCs w:val="20"/>
                <w14:textOutline w14:w="3795" w14:cap="sq" w14:cmpd="sng">
                  <w14:solidFill>
                    <w14:srgbClr w14:val="000000"/>
                  </w14:solidFill>
                  <w14:prstDash w14:val="solid"/>
                  <w14:bevel/>
                </w14:textOutline>
              </w:rPr>
              <w:t>对象</w:t>
            </w:r>
          </w:p>
        </w:tc>
        <w:tc>
          <w:tcPr>
            <w:tcW w:w="1491" w:type="dxa"/>
            <w:vMerge w:val="restart"/>
            <w:tcBorders>
              <w:bottom w:val="nil"/>
            </w:tcBorders>
            <w:vAlign w:val="top"/>
          </w:tcPr>
          <w:p w14:paraId="4E84903F">
            <w:pPr>
              <w:spacing w:line="351" w:lineRule="auto"/>
              <w:rPr>
                <w:rFonts w:ascii="Arial"/>
                <w:sz w:val="21"/>
              </w:rPr>
            </w:pPr>
          </w:p>
          <w:p w14:paraId="3DDDF4EC">
            <w:pPr>
              <w:spacing w:before="65" w:line="228" w:lineRule="auto"/>
              <w:ind w:left="359"/>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保</w:t>
            </w:r>
            <w:r>
              <w:rPr>
                <w:rFonts w:ascii="宋体" w:hAnsi="宋体" w:eastAsia="宋体" w:cs="宋体"/>
                <w:spacing w:val="-1"/>
                <w:sz w:val="20"/>
                <w:szCs w:val="20"/>
                <w14:textOutline w14:w="3795" w14:cap="sq" w14:cmpd="sng">
                  <w14:solidFill>
                    <w14:srgbClr w14:val="000000"/>
                  </w14:solidFill>
                  <w14:prstDash w14:val="solid"/>
                  <w14:bevel/>
                </w14:textOutline>
              </w:rPr>
              <w:t>护内容</w:t>
            </w:r>
          </w:p>
        </w:tc>
        <w:tc>
          <w:tcPr>
            <w:tcW w:w="633" w:type="dxa"/>
            <w:vMerge w:val="restart"/>
            <w:tcBorders>
              <w:bottom w:val="nil"/>
            </w:tcBorders>
            <w:vAlign w:val="top"/>
          </w:tcPr>
          <w:p w14:paraId="53535544">
            <w:pPr>
              <w:spacing w:before="85" w:line="228" w:lineRule="auto"/>
              <w:ind w:left="124"/>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环境</w:t>
            </w:r>
          </w:p>
          <w:p w14:paraId="2F45593B">
            <w:pPr>
              <w:spacing w:before="86" w:line="229" w:lineRule="auto"/>
              <w:ind w:left="128"/>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功</w:t>
            </w:r>
            <w:r>
              <w:rPr>
                <w:rFonts w:ascii="宋体" w:hAnsi="宋体" w:eastAsia="宋体" w:cs="宋体"/>
                <w:spacing w:val="-1"/>
                <w:sz w:val="20"/>
                <w:szCs w:val="20"/>
                <w14:textOutline w14:w="3795" w14:cap="sq" w14:cmpd="sng">
                  <w14:solidFill>
                    <w14:srgbClr w14:val="000000"/>
                  </w14:solidFill>
                  <w14:prstDash w14:val="solid"/>
                  <w14:bevel/>
                </w14:textOutline>
              </w:rPr>
              <w:t>能</w:t>
            </w:r>
          </w:p>
          <w:p w14:paraId="0F152E98">
            <w:pPr>
              <w:spacing w:before="85" w:line="233" w:lineRule="auto"/>
              <w:ind w:left="241"/>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区</w:t>
            </w:r>
          </w:p>
        </w:tc>
        <w:tc>
          <w:tcPr>
            <w:tcW w:w="750" w:type="dxa"/>
            <w:vMerge w:val="restart"/>
            <w:tcBorders>
              <w:bottom w:val="nil"/>
            </w:tcBorders>
            <w:vAlign w:val="top"/>
          </w:tcPr>
          <w:p w14:paraId="1EC2A2E4">
            <w:pPr>
              <w:spacing w:before="253" w:line="318" w:lineRule="auto"/>
              <w:ind w:left="84" w:right="63"/>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相</w:t>
            </w:r>
            <w:r>
              <w:rPr>
                <w:rFonts w:ascii="宋体" w:hAnsi="宋体" w:eastAsia="宋体" w:cs="宋体"/>
                <w:spacing w:val="-1"/>
                <w:sz w:val="20"/>
                <w:szCs w:val="20"/>
                <w14:textOutline w14:w="3795" w14:cap="sq" w14:cmpd="sng">
                  <w14:solidFill>
                    <w14:srgbClr w14:val="000000"/>
                  </w14:solidFill>
                  <w14:prstDash w14:val="solid"/>
                  <w14:bevel/>
                </w14:textOutline>
              </w:rPr>
              <w:t>对厂</w:t>
            </w:r>
            <w:r>
              <w:rPr>
                <w:rFonts w:ascii="宋体" w:hAnsi="宋体" w:eastAsia="宋体" w:cs="宋体"/>
                <w:sz w:val="20"/>
                <w:szCs w:val="20"/>
              </w:rPr>
              <w:t xml:space="preserve"> </w:t>
            </w:r>
            <w:r>
              <w:rPr>
                <w:rFonts w:ascii="宋体" w:hAnsi="宋体" w:eastAsia="宋体" w:cs="宋体"/>
                <w:spacing w:val="-2"/>
                <w:sz w:val="20"/>
                <w:szCs w:val="20"/>
                <w14:textOutline w14:w="3795" w14:cap="sq" w14:cmpd="sng">
                  <w14:solidFill>
                    <w14:srgbClr w14:val="000000"/>
                  </w14:solidFill>
                  <w14:prstDash w14:val="solid"/>
                  <w14:bevel/>
                </w14:textOutline>
              </w:rPr>
              <w:t>址方</w:t>
            </w:r>
            <w:r>
              <w:rPr>
                <w:rFonts w:ascii="宋体" w:hAnsi="宋体" w:eastAsia="宋体" w:cs="宋体"/>
                <w:spacing w:val="-1"/>
                <w:sz w:val="20"/>
                <w:szCs w:val="20"/>
                <w14:textOutline w14:w="3795" w14:cap="sq" w14:cmpd="sng">
                  <w14:solidFill>
                    <w14:srgbClr w14:val="000000"/>
                  </w14:solidFill>
                  <w14:prstDash w14:val="solid"/>
                  <w14:bevel/>
                </w14:textOutline>
              </w:rPr>
              <w:t>向</w:t>
            </w:r>
          </w:p>
        </w:tc>
        <w:tc>
          <w:tcPr>
            <w:tcW w:w="788" w:type="dxa"/>
            <w:vMerge w:val="restart"/>
            <w:tcBorders>
              <w:bottom w:val="nil"/>
              <w:right w:val="nil"/>
            </w:tcBorders>
            <w:vAlign w:val="top"/>
          </w:tcPr>
          <w:p w14:paraId="7C281542">
            <w:pPr>
              <w:spacing w:before="84" w:line="290" w:lineRule="auto"/>
              <w:ind w:left="92" w:right="75" w:firstLine="12"/>
              <w:rPr>
                <w:rFonts w:ascii="Times New Roman" w:hAnsi="Times New Roman" w:eastAsia="Times New Roman" w:cs="Times New Roman"/>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相</w:t>
            </w:r>
            <w:r>
              <w:rPr>
                <w:rFonts w:ascii="宋体" w:hAnsi="宋体" w:eastAsia="宋体" w:cs="宋体"/>
                <w:spacing w:val="-1"/>
                <w:sz w:val="20"/>
                <w:szCs w:val="20"/>
                <w14:textOutline w14:w="3795" w14:cap="sq" w14:cmpd="sng">
                  <w14:solidFill>
                    <w14:srgbClr w14:val="000000"/>
                  </w14:solidFill>
                  <w14:prstDash w14:val="solid"/>
                  <w14:bevel/>
                </w14:textOutline>
              </w:rPr>
              <w:t>对厂</w:t>
            </w:r>
            <w:r>
              <w:rPr>
                <w:rFonts w:ascii="宋体" w:hAnsi="宋体" w:eastAsia="宋体" w:cs="宋体"/>
                <w:sz w:val="20"/>
                <w:szCs w:val="20"/>
              </w:rPr>
              <w:t xml:space="preserve"> </w:t>
            </w:r>
            <w:r>
              <w:rPr>
                <w:rFonts w:ascii="宋体" w:hAnsi="宋体" w:eastAsia="宋体" w:cs="宋体"/>
                <w:spacing w:val="3"/>
                <w:sz w:val="20"/>
                <w:szCs w:val="20"/>
                <w14:textOutline w14:w="3795" w14:cap="sq" w14:cmpd="sng">
                  <w14:solidFill>
                    <w14:srgbClr w14:val="000000"/>
                  </w14:solidFill>
                  <w14:prstDash w14:val="solid"/>
                  <w14:bevel/>
                </w14:textOutline>
              </w:rPr>
              <w:t>界直线</w:t>
            </w:r>
            <w:r>
              <w:rPr>
                <w:rFonts w:ascii="宋体" w:hAnsi="宋体" w:eastAsia="宋体" w:cs="宋体"/>
                <w:sz w:val="20"/>
                <w:szCs w:val="20"/>
              </w:rPr>
              <w:t xml:space="preserve"> </w:t>
            </w:r>
            <w:r>
              <w:rPr>
                <w:rFonts w:ascii="宋体" w:hAnsi="宋体" w:eastAsia="宋体" w:cs="宋体"/>
                <w:spacing w:val="-2"/>
                <w:sz w:val="20"/>
                <w:szCs w:val="20"/>
                <w14:textOutline w14:w="3795" w14:cap="sq" w14:cmpd="sng">
                  <w14:solidFill>
                    <w14:srgbClr w14:val="000000"/>
                  </w14:solidFill>
                  <w14:prstDash w14:val="solid"/>
                  <w14:bevel/>
                </w14:textOutline>
              </w:rPr>
              <w:t>距</w:t>
            </w:r>
            <w:r>
              <w:rPr>
                <w:rFonts w:ascii="宋体" w:hAnsi="宋体" w:eastAsia="宋体" w:cs="宋体"/>
                <w:spacing w:val="-1"/>
                <w:sz w:val="20"/>
                <w:szCs w:val="20"/>
                <w14:textOutline w14:w="3795" w14:cap="sq" w14:cmpd="sng">
                  <w14:solidFill>
                    <w14:srgbClr w14:val="000000"/>
                  </w14:solidFill>
                  <w14:prstDash w14:val="solid"/>
                  <w14:bevel/>
                </w14:textOutline>
              </w:rPr>
              <w:t>离</w:t>
            </w:r>
            <w:r>
              <w:rPr>
                <w:rFonts w:ascii="Times New Roman" w:hAnsi="Times New Roman" w:eastAsia="Times New Roman" w:cs="Times New Roman"/>
                <w:b/>
                <w:bCs/>
                <w:spacing w:val="-1"/>
                <w:sz w:val="20"/>
                <w:szCs w:val="20"/>
              </w:rPr>
              <w:t>/m</w:t>
            </w:r>
          </w:p>
        </w:tc>
      </w:tr>
      <w:tr w14:paraId="37AA4E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trPr>
        <w:tc>
          <w:tcPr>
            <w:tcW w:w="978" w:type="dxa"/>
            <w:vMerge w:val="continue"/>
            <w:tcBorders>
              <w:top w:val="nil"/>
              <w:left w:val="nil"/>
            </w:tcBorders>
            <w:vAlign w:val="top"/>
          </w:tcPr>
          <w:p w14:paraId="266F1DC7">
            <w:pPr>
              <w:rPr>
                <w:rFonts w:ascii="Arial"/>
                <w:sz w:val="21"/>
              </w:rPr>
            </w:pPr>
          </w:p>
        </w:tc>
        <w:tc>
          <w:tcPr>
            <w:tcW w:w="1605" w:type="dxa"/>
            <w:vAlign w:val="top"/>
          </w:tcPr>
          <w:p w14:paraId="2A4942A1">
            <w:pPr>
              <w:spacing w:before="261" w:line="192" w:lineRule="auto"/>
              <w:ind w:left="728"/>
              <w:rPr>
                <w:rFonts w:ascii="Times New Roman" w:hAnsi="Times New Roman" w:eastAsia="Times New Roman" w:cs="Times New Roman"/>
                <w:sz w:val="20"/>
                <w:szCs w:val="20"/>
              </w:rPr>
            </w:pPr>
            <w:r>
              <w:rPr>
                <w:rFonts w:ascii="Times New Roman" w:hAnsi="Times New Roman" w:eastAsia="Times New Roman" w:cs="Times New Roman"/>
                <w:b/>
                <w:bCs/>
                <w:spacing w:val="5"/>
                <w:sz w:val="20"/>
                <w:szCs w:val="20"/>
              </w:rPr>
              <w:t>X</w:t>
            </w:r>
          </w:p>
        </w:tc>
        <w:tc>
          <w:tcPr>
            <w:tcW w:w="1604" w:type="dxa"/>
            <w:vAlign w:val="top"/>
          </w:tcPr>
          <w:p w14:paraId="5AB3AFB8">
            <w:pPr>
              <w:spacing w:before="261" w:line="192" w:lineRule="auto"/>
              <w:ind w:left="729"/>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Y</w:t>
            </w:r>
          </w:p>
        </w:tc>
        <w:tc>
          <w:tcPr>
            <w:tcW w:w="540" w:type="dxa"/>
            <w:vMerge w:val="continue"/>
            <w:tcBorders>
              <w:top w:val="nil"/>
            </w:tcBorders>
            <w:vAlign w:val="top"/>
          </w:tcPr>
          <w:p w14:paraId="45A8C748">
            <w:pPr>
              <w:rPr>
                <w:rFonts w:ascii="Arial"/>
                <w:sz w:val="21"/>
              </w:rPr>
            </w:pPr>
          </w:p>
        </w:tc>
        <w:tc>
          <w:tcPr>
            <w:tcW w:w="1491" w:type="dxa"/>
            <w:vMerge w:val="continue"/>
            <w:tcBorders>
              <w:top w:val="nil"/>
            </w:tcBorders>
            <w:vAlign w:val="top"/>
          </w:tcPr>
          <w:p w14:paraId="79EDBC4B">
            <w:pPr>
              <w:rPr>
                <w:rFonts w:ascii="Arial"/>
                <w:sz w:val="21"/>
              </w:rPr>
            </w:pPr>
          </w:p>
        </w:tc>
        <w:tc>
          <w:tcPr>
            <w:tcW w:w="633" w:type="dxa"/>
            <w:vMerge w:val="continue"/>
            <w:tcBorders>
              <w:top w:val="nil"/>
            </w:tcBorders>
            <w:vAlign w:val="top"/>
          </w:tcPr>
          <w:p w14:paraId="47607188">
            <w:pPr>
              <w:rPr>
                <w:rFonts w:ascii="Arial"/>
                <w:sz w:val="21"/>
              </w:rPr>
            </w:pPr>
          </w:p>
        </w:tc>
        <w:tc>
          <w:tcPr>
            <w:tcW w:w="750" w:type="dxa"/>
            <w:vMerge w:val="continue"/>
            <w:tcBorders>
              <w:top w:val="nil"/>
            </w:tcBorders>
            <w:vAlign w:val="top"/>
          </w:tcPr>
          <w:p w14:paraId="672EB744">
            <w:pPr>
              <w:rPr>
                <w:rFonts w:ascii="Arial"/>
                <w:sz w:val="21"/>
              </w:rPr>
            </w:pPr>
          </w:p>
        </w:tc>
        <w:tc>
          <w:tcPr>
            <w:tcW w:w="788" w:type="dxa"/>
            <w:vMerge w:val="continue"/>
            <w:tcBorders>
              <w:top w:val="nil"/>
              <w:right w:val="nil"/>
            </w:tcBorders>
            <w:vAlign w:val="top"/>
          </w:tcPr>
          <w:p w14:paraId="4D65BF33">
            <w:pPr>
              <w:rPr>
                <w:rFonts w:ascii="Arial"/>
                <w:sz w:val="21"/>
              </w:rPr>
            </w:pPr>
          </w:p>
        </w:tc>
      </w:tr>
      <w:tr w14:paraId="5B5D1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978" w:type="dxa"/>
            <w:tcBorders>
              <w:left w:val="nil"/>
            </w:tcBorders>
            <w:vAlign w:val="top"/>
          </w:tcPr>
          <w:p w14:paraId="1F905517">
            <w:pPr>
              <w:spacing w:before="63" w:line="228" w:lineRule="auto"/>
              <w:ind w:left="205"/>
              <w:rPr>
                <w:rFonts w:ascii="宋体" w:hAnsi="宋体" w:eastAsia="宋体" w:cs="宋体"/>
                <w:sz w:val="20"/>
                <w:szCs w:val="20"/>
              </w:rPr>
            </w:pPr>
            <w:r>
              <w:rPr>
                <w:rFonts w:ascii="宋体" w:hAnsi="宋体" w:eastAsia="宋体" w:cs="宋体"/>
                <w:spacing w:val="-2"/>
                <w:sz w:val="20"/>
                <w:szCs w:val="20"/>
              </w:rPr>
              <w:t>葡粉</w:t>
            </w:r>
            <w:r>
              <w:rPr>
                <w:rFonts w:ascii="宋体" w:hAnsi="宋体" w:eastAsia="宋体" w:cs="宋体"/>
                <w:spacing w:val="-1"/>
                <w:sz w:val="20"/>
                <w:szCs w:val="20"/>
              </w:rPr>
              <w:t>沟</w:t>
            </w:r>
          </w:p>
        </w:tc>
        <w:tc>
          <w:tcPr>
            <w:tcW w:w="1605" w:type="dxa"/>
            <w:vAlign w:val="top"/>
          </w:tcPr>
          <w:p w14:paraId="260AD995">
            <w:pPr>
              <w:spacing w:before="99" w:line="195" w:lineRule="auto"/>
              <w:ind w:left="11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123°42′55.59456</w:t>
            </w:r>
            <w:r>
              <w:rPr>
                <w:rFonts w:ascii="Times New Roman" w:hAnsi="Times New Roman" w:eastAsia="Times New Roman" w:cs="Times New Roman"/>
                <w:spacing w:val="-1"/>
                <w:sz w:val="20"/>
                <w:szCs w:val="20"/>
              </w:rPr>
              <w:t>″</w:t>
            </w:r>
          </w:p>
        </w:tc>
        <w:tc>
          <w:tcPr>
            <w:tcW w:w="1604" w:type="dxa"/>
            <w:vAlign w:val="top"/>
          </w:tcPr>
          <w:p w14:paraId="7534FACE">
            <w:pPr>
              <w:spacing w:before="99" w:line="195" w:lineRule="auto"/>
              <w:ind w:left="14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41°22′20.</w:t>
            </w:r>
            <w:r>
              <w:rPr>
                <w:rFonts w:ascii="Times New Roman" w:hAnsi="Times New Roman" w:eastAsia="Times New Roman" w:cs="Times New Roman"/>
                <w:spacing w:val="-1"/>
                <w:sz w:val="20"/>
                <w:szCs w:val="20"/>
              </w:rPr>
              <w:t>64848″</w:t>
            </w:r>
          </w:p>
        </w:tc>
        <w:tc>
          <w:tcPr>
            <w:tcW w:w="540" w:type="dxa"/>
            <w:vAlign w:val="top"/>
          </w:tcPr>
          <w:p w14:paraId="608D5ADD">
            <w:pPr>
              <w:spacing w:before="63" w:line="229" w:lineRule="auto"/>
              <w:ind w:left="78"/>
              <w:rPr>
                <w:rFonts w:ascii="宋体" w:hAnsi="宋体" w:eastAsia="宋体" w:cs="宋体"/>
                <w:sz w:val="20"/>
                <w:szCs w:val="20"/>
              </w:rPr>
            </w:pPr>
            <w:r>
              <w:rPr>
                <w:rFonts w:ascii="宋体" w:hAnsi="宋体" w:eastAsia="宋体" w:cs="宋体"/>
                <w:spacing w:val="1"/>
                <w:sz w:val="20"/>
                <w:szCs w:val="20"/>
              </w:rPr>
              <w:t>住</w:t>
            </w:r>
            <w:r>
              <w:rPr>
                <w:rFonts w:ascii="宋体" w:hAnsi="宋体" w:eastAsia="宋体" w:cs="宋体"/>
                <w:sz w:val="20"/>
                <w:szCs w:val="20"/>
              </w:rPr>
              <w:t>宅</w:t>
            </w:r>
          </w:p>
        </w:tc>
        <w:tc>
          <w:tcPr>
            <w:tcW w:w="1491" w:type="dxa"/>
            <w:vAlign w:val="top"/>
          </w:tcPr>
          <w:p w14:paraId="353A7985">
            <w:pPr>
              <w:spacing w:before="64" w:line="228" w:lineRule="auto"/>
              <w:ind w:left="129"/>
              <w:rPr>
                <w:rFonts w:ascii="宋体" w:hAnsi="宋体" w:eastAsia="宋体" w:cs="宋体"/>
                <w:sz w:val="20"/>
                <w:szCs w:val="20"/>
              </w:rPr>
            </w:pPr>
            <w:r>
              <w:rPr>
                <w:rFonts w:ascii="Times New Roman" w:hAnsi="Times New Roman" w:eastAsia="Times New Roman" w:cs="Times New Roman"/>
                <w:spacing w:val="-4"/>
                <w:sz w:val="20"/>
                <w:szCs w:val="20"/>
              </w:rPr>
              <w:t xml:space="preserve">180 </w:t>
            </w:r>
            <w:r>
              <w:rPr>
                <w:rFonts w:ascii="宋体" w:hAnsi="宋体" w:eastAsia="宋体" w:cs="宋体"/>
                <w:spacing w:val="-2"/>
                <w:sz w:val="20"/>
                <w:szCs w:val="20"/>
              </w:rPr>
              <w:t>户，</w:t>
            </w:r>
            <w:r>
              <w:rPr>
                <w:rFonts w:ascii="Times New Roman" w:hAnsi="Times New Roman" w:eastAsia="Times New Roman" w:cs="Times New Roman"/>
                <w:spacing w:val="-2"/>
                <w:sz w:val="20"/>
                <w:szCs w:val="20"/>
              </w:rPr>
              <w:t xml:space="preserve">630 </w:t>
            </w:r>
            <w:r>
              <w:rPr>
                <w:rFonts w:ascii="宋体" w:hAnsi="宋体" w:eastAsia="宋体" w:cs="宋体"/>
                <w:spacing w:val="-2"/>
                <w:sz w:val="20"/>
                <w:szCs w:val="20"/>
              </w:rPr>
              <w:t>人</w:t>
            </w:r>
          </w:p>
        </w:tc>
        <w:tc>
          <w:tcPr>
            <w:tcW w:w="633" w:type="dxa"/>
            <w:vAlign w:val="top"/>
          </w:tcPr>
          <w:p w14:paraId="145E182D">
            <w:pPr>
              <w:spacing w:before="63" w:line="228" w:lineRule="auto"/>
              <w:ind w:left="130"/>
              <w:rPr>
                <w:rFonts w:ascii="宋体" w:hAnsi="宋体" w:eastAsia="宋体" w:cs="宋体"/>
                <w:sz w:val="20"/>
                <w:szCs w:val="20"/>
              </w:rPr>
            </w:pPr>
            <w:r>
              <w:rPr>
                <w:rFonts w:ascii="宋体" w:hAnsi="宋体" w:eastAsia="宋体" w:cs="宋体"/>
                <w:spacing w:val="-2"/>
                <w:sz w:val="20"/>
                <w:szCs w:val="20"/>
              </w:rPr>
              <w:t>二</w:t>
            </w:r>
            <w:r>
              <w:rPr>
                <w:rFonts w:ascii="宋体" w:hAnsi="宋体" w:eastAsia="宋体" w:cs="宋体"/>
                <w:spacing w:val="-1"/>
                <w:sz w:val="20"/>
                <w:szCs w:val="20"/>
              </w:rPr>
              <w:t>类</w:t>
            </w:r>
          </w:p>
        </w:tc>
        <w:tc>
          <w:tcPr>
            <w:tcW w:w="750" w:type="dxa"/>
            <w:vAlign w:val="top"/>
          </w:tcPr>
          <w:p w14:paraId="51278979">
            <w:pPr>
              <w:spacing w:before="63" w:line="228" w:lineRule="auto"/>
              <w:ind w:left="192"/>
              <w:rPr>
                <w:rFonts w:ascii="宋体" w:hAnsi="宋体" w:eastAsia="宋体" w:cs="宋体"/>
                <w:sz w:val="20"/>
                <w:szCs w:val="20"/>
              </w:rPr>
            </w:pPr>
            <w:r>
              <w:rPr>
                <w:rFonts w:ascii="宋体" w:hAnsi="宋体" w:eastAsia="宋体" w:cs="宋体"/>
                <w:spacing w:val="-4"/>
                <w:sz w:val="20"/>
                <w:szCs w:val="20"/>
              </w:rPr>
              <w:t>东</w:t>
            </w:r>
            <w:r>
              <w:rPr>
                <w:rFonts w:ascii="宋体" w:hAnsi="宋体" w:eastAsia="宋体" w:cs="宋体"/>
                <w:spacing w:val="-3"/>
                <w:sz w:val="20"/>
                <w:szCs w:val="20"/>
              </w:rPr>
              <w:t>北</w:t>
            </w:r>
          </w:p>
        </w:tc>
        <w:tc>
          <w:tcPr>
            <w:tcW w:w="788" w:type="dxa"/>
            <w:tcBorders>
              <w:right w:val="nil"/>
            </w:tcBorders>
            <w:vAlign w:val="top"/>
          </w:tcPr>
          <w:p w14:paraId="4338F454">
            <w:pPr>
              <w:spacing w:before="99" w:line="195" w:lineRule="auto"/>
              <w:ind w:left="25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740</w:t>
            </w:r>
          </w:p>
        </w:tc>
      </w:tr>
      <w:tr w14:paraId="20A39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978" w:type="dxa"/>
            <w:tcBorders>
              <w:left w:val="nil"/>
            </w:tcBorders>
            <w:vAlign w:val="top"/>
          </w:tcPr>
          <w:p w14:paraId="07C1F054">
            <w:pPr>
              <w:spacing w:before="64" w:line="227" w:lineRule="auto"/>
              <w:ind w:left="210"/>
              <w:rPr>
                <w:rFonts w:ascii="宋体" w:hAnsi="宋体" w:eastAsia="宋体" w:cs="宋体"/>
                <w:sz w:val="20"/>
                <w:szCs w:val="20"/>
              </w:rPr>
            </w:pPr>
            <w:r>
              <w:rPr>
                <w:rFonts w:ascii="宋体" w:hAnsi="宋体" w:eastAsia="宋体" w:cs="宋体"/>
                <w:spacing w:val="-3"/>
                <w:sz w:val="20"/>
                <w:szCs w:val="20"/>
              </w:rPr>
              <w:t>下堡村</w:t>
            </w:r>
          </w:p>
        </w:tc>
        <w:tc>
          <w:tcPr>
            <w:tcW w:w="1605" w:type="dxa"/>
            <w:vAlign w:val="top"/>
          </w:tcPr>
          <w:p w14:paraId="1124F321">
            <w:pPr>
              <w:spacing w:before="101"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1</w:t>
            </w:r>
            <w:r>
              <w:rPr>
                <w:rFonts w:ascii="Times New Roman" w:hAnsi="Times New Roman" w:eastAsia="Times New Roman" w:cs="Times New Roman"/>
                <w:spacing w:val="-3"/>
                <w:sz w:val="20"/>
                <w:szCs w:val="20"/>
              </w:rPr>
              <w:t>23°42′6.72477″</w:t>
            </w:r>
          </w:p>
        </w:tc>
        <w:tc>
          <w:tcPr>
            <w:tcW w:w="1604" w:type="dxa"/>
            <w:vAlign w:val="top"/>
          </w:tcPr>
          <w:p w14:paraId="3CC0A876">
            <w:pPr>
              <w:spacing w:before="101" w:line="195" w:lineRule="auto"/>
              <w:ind w:left="14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41°22′20.</w:t>
            </w:r>
            <w:r>
              <w:rPr>
                <w:rFonts w:ascii="Times New Roman" w:hAnsi="Times New Roman" w:eastAsia="Times New Roman" w:cs="Times New Roman"/>
                <w:spacing w:val="-1"/>
                <w:sz w:val="20"/>
                <w:szCs w:val="20"/>
              </w:rPr>
              <w:t>83231″</w:t>
            </w:r>
          </w:p>
        </w:tc>
        <w:tc>
          <w:tcPr>
            <w:tcW w:w="540" w:type="dxa"/>
            <w:vAlign w:val="top"/>
          </w:tcPr>
          <w:p w14:paraId="646BE9AB">
            <w:pPr>
              <w:spacing w:before="64" w:line="229" w:lineRule="auto"/>
              <w:ind w:left="78"/>
              <w:rPr>
                <w:rFonts w:ascii="宋体" w:hAnsi="宋体" w:eastAsia="宋体" w:cs="宋体"/>
                <w:sz w:val="20"/>
                <w:szCs w:val="20"/>
              </w:rPr>
            </w:pPr>
            <w:r>
              <w:rPr>
                <w:rFonts w:ascii="宋体" w:hAnsi="宋体" w:eastAsia="宋体" w:cs="宋体"/>
                <w:spacing w:val="1"/>
                <w:sz w:val="20"/>
                <w:szCs w:val="20"/>
              </w:rPr>
              <w:t>住</w:t>
            </w:r>
            <w:r>
              <w:rPr>
                <w:rFonts w:ascii="宋体" w:hAnsi="宋体" w:eastAsia="宋体" w:cs="宋体"/>
                <w:sz w:val="20"/>
                <w:szCs w:val="20"/>
              </w:rPr>
              <w:t>宅</w:t>
            </w:r>
          </w:p>
        </w:tc>
        <w:tc>
          <w:tcPr>
            <w:tcW w:w="1491" w:type="dxa"/>
            <w:vAlign w:val="top"/>
          </w:tcPr>
          <w:p w14:paraId="33408402">
            <w:pPr>
              <w:spacing w:before="65" w:line="228" w:lineRule="auto"/>
              <w:ind w:left="163"/>
              <w:rPr>
                <w:rFonts w:ascii="宋体" w:hAnsi="宋体" w:eastAsia="宋体" w:cs="宋体"/>
                <w:sz w:val="20"/>
                <w:szCs w:val="20"/>
              </w:rPr>
            </w:pPr>
            <w:r>
              <w:rPr>
                <w:rFonts w:ascii="Times New Roman" w:hAnsi="Times New Roman" w:eastAsia="Times New Roman" w:cs="Times New Roman"/>
                <w:spacing w:val="-2"/>
                <w:sz w:val="20"/>
                <w:szCs w:val="20"/>
              </w:rPr>
              <w:t xml:space="preserve">55 </w:t>
            </w:r>
            <w:r>
              <w:rPr>
                <w:rFonts w:ascii="宋体" w:hAnsi="宋体" w:eastAsia="宋体" w:cs="宋体"/>
                <w:spacing w:val="-2"/>
                <w:sz w:val="20"/>
                <w:szCs w:val="20"/>
              </w:rPr>
              <w:t>户</w:t>
            </w:r>
            <w:r>
              <w:rPr>
                <w:rFonts w:ascii="宋体" w:hAnsi="宋体" w:eastAsia="宋体" w:cs="宋体"/>
                <w:spacing w:val="-1"/>
                <w:sz w:val="20"/>
                <w:szCs w:val="20"/>
              </w:rPr>
              <w:t>，</w:t>
            </w:r>
            <w:r>
              <w:rPr>
                <w:rFonts w:ascii="Times New Roman" w:hAnsi="Times New Roman" w:eastAsia="Times New Roman" w:cs="Times New Roman"/>
                <w:spacing w:val="-1"/>
                <w:sz w:val="20"/>
                <w:szCs w:val="20"/>
              </w:rPr>
              <w:t xml:space="preserve">190 </w:t>
            </w:r>
            <w:r>
              <w:rPr>
                <w:rFonts w:ascii="宋体" w:hAnsi="宋体" w:eastAsia="宋体" w:cs="宋体"/>
                <w:spacing w:val="-1"/>
                <w:sz w:val="20"/>
                <w:szCs w:val="20"/>
              </w:rPr>
              <w:t>人</w:t>
            </w:r>
          </w:p>
        </w:tc>
        <w:tc>
          <w:tcPr>
            <w:tcW w:w="633" w:type="dxa"/>
            <w:vAlign w:val="top"/>
          </w:tcPr>
          <w:p w14:paraId="411E50E5">
            <w:pPr>
              <w:spacing w:before="64" w:line="228" w:lineRule="auto"/>
              <w:ind w:left="130"/>
              <w:rPr>
                <w:rFonts w:ascii="宋体" w:hAnsi="宋体" w:eastAsia="宋体" w:cs="宋体"/>
                <w:sz w:val="20"/>
                <w:szCs w:val="20"/>
              </w:rPr>
            </w:pPr>
            <w:r>
              <w:rPr>
                <w:rFonts w:ascii="宋体" w:hAnsi="宋体" w:eastAsia="宋体" w:cs="宋体"/>
                <w:spacing w:val="-2"/>
                <w:sz w:val="20"/>
                <w:szCs w:val="20"/>
              </w:rPr>
              <w:t>二</w:t>
            </w:r>
            <w:r>
              <w:rPr>
                <w:rFonts w:ascii="宋体" w:hAnsi="宋体" w:eastAsia="宋体" w:cs="宋体"/>
                <w:spacing w:val="-1"/>
                <w:sz w:val="20"/>
                <w:szCs w:val="20"/>
              </w:rPr>
              <w:t>类</w:t>
            </w:r>
          </w:p>
        </w:tc>
        <w:tc>
          <w:tcPr>
            <w:tcW w:w="750" w:type="dxa"/>
            <w:vAlign w:val="top"/>
          </w:tcPr>
          <w:p w14:paraId="67B0BBED">
            <w:pPr>
              <w:spacing w:before="65" w:line="231" w:lineRule="auto"/>
              <w:ind w:left="190"/>
              <w:rPr>
                <w:rFonts w:ascii="宋体" w:hAnsi="宋体" w:eastAsia="宋体" w:cs="宋体"/>
                <w:sz w:val="20"/>
                <w:szCs w:val="20"/>
              </w:rPr>
            </w:pPr>
            <w:r>
              <w:rPr>
                <w:rFonts w:ascii="宋体" w:hAnsi="宋体" w:eastAsia="宋体" w:cs="宋体"/>
                <w:spacing w:val="-3"/>
                <w:sz w:val="20"/>
                <w:szCs w:val="20"/>
              </w:rPr>
              <w:t>西</w:t>
            </w:r>
            <w:r>
              <w:rPr>
                <w:rFonts w:ascii="宋体" w:hAnsi="宋体" w:eastAsia="宋体" w:cs="宋体"/>
                <w:spacing w:val="-2"/>
                <w:sz w:val="20"/>
                <w:szCs w:val="20"/>
              </w:rPr>
              <w:t>北</w:t>
            </w:r>
          </w:p>
        </w:tc>
        <w:tc>
          <w:tcPr>
            <w:tcW w:w="788" w:type="dxa"/>
            <w:tcBorders>
              <w:right w:val="nil"/>
            </w:tcBorders>
            <w:vAlign w:val="top"/>
          </w:tcPr>
          <w:p w14:paraId="77F4AD22">
            <w:pPr>
              <w:spacing w:before="100" w:line="195" w:lineRule="auto"/>
              <w:ind w:left="25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750</w:t>
            </w:r>
          </w:p>
        </w:tc>
      </w:tr>
      <w:tr w14:paraId="0BE29D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978" w:type="dxa"/>
            <w:tcBorders>
              <w:left w:val="nil"/>
            </w:tcBorders>
            <w:vAlign w:val="top"/>
          </w:tcPr>
          <w:p w14:paraId="2C5312F8">
            <w:pPr>
              <w:spacing w:before="64" w:line="228" w:lineRule="auto"/>
              <w:ind w:left="203"/>
              <w:rPr>
                <w:rFonts w:ascii="宋体" w:hAnsi="宋体" w:eastAsia="宋体" w:cs="宋体"/>
                <w:sz w:val="20"/>
                <w:szCs w:val="20"/>
              </w:rPr>
            </w:pPr>
            <w:r>
              <w:rPr>
                <w:rFonts w:ascii="宋体" w:hAnsi="宋体" w:eastAsia="宋体" w:cs="宋体"/>
                <w:spacing w:val="-1"/>
                <w:sz w:val="20"/>
                <w:szCs w:val="20"/>
              </w:rPr>
              <w:t>榆树底</w:t>
            </w:r>
          </w:p>
        </w:tc>
        <w:tc>
          <w:tcPr>
            <w:tcW w:w="1605" w:type="dxa"/>
            <w:vAlign w:val="top"/>
          </w:tcPr>
          <w:p w14:paraId="05A9EE2C">
            <w:pPr>
              <w:spacing w:before="101" w:line="195" w:lineRule="auto"/>
              <w:ind w:left="11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123°42′16.89351</w:t>
            </w:r>
            <w:r>
              <w:rPr>
                <w:rFonts w:ascii="Times New Roman" w:hAnsi="Times New Roman" w:eastAsia="Times New Roman" w:cs="Times New Roman"/>
                <w:spacing w:val="-1"/>
                <w:sz w:val="20"/>
                <w:szCs w:val="20"/>
              </w:rPr>
              <w:t>″</w:t>
            </w:r>
          </w:p>
        </w:tc>
        <w:tc>
          <w:tcPr>
            <w:tcW w:w="1604" w:type="dxa"/>
            <w:vAlign w:val="top"/>
          </w:tcPr>
          <w:p w14:paraId="64F301C4">
            <w:pPr>
              <w:spacing w:before="100" w:line="198" w:lineRule="auto"/>
              <w:ind w:left="19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41°22′1.</w:t>
            </w:r>
            <w:r>
              <w:rPr>
                <w:rFonts w:ascii="Times New Roman" w:hAnsi="Times New Roman" w:eastAsia="Times New Roman" w:cs="Times New Roman"/>
                <w:spacing w:val="-1"/>
                <w:sz w:val="20"/>
                <w:szCs w:val="20"/>
              </w:rPr>
              <w:t>64556″</w:t>
            </w:r>
          </w:p>
        </w:tc>
        <w:tc>
          <w:tcPr>
            <w:tcW w:w="540" w:type="dxa"/>
            <w:vAlign w:val="top"/>
          </w:tcPr>
          <w:p w14:paraId="16926FD4">
            <w:pPr>
              <w:spacing w:before="65" w:line="229" w:lineRule="auto"/>
              <w:ind w:left="78"/>
              <w:rPr>
                <w:rFonts w:ascii="宋体" w:hAnsi="宋体" w:eastAsia="宋体" w:cs="宋体"/>
                <w:sz w:val="20"/>
                <w:szCs w:val="20"/>
              </w:rPr>
            </w:pPr>
            <w:r>
              <w:rPr>
                <w:rFonts w:ascii="宋体" w:hAnsi="宋体" w:eastAsia="宋体" w:cs="宋体"/>
                <w:spacing w:val="1"/>
                <w:sz w:val="20"/>
                <w:szCs w:val="20"/>
              </w:rPr>
              <w:t>住</w:t>
            </w:r>
            <w:r>
              <w:rPr>
                <w:rFonts w:ascii="宋体" w:hAnsi="宋体" w:eastAsia="宋体" w:cs="宋体"/>
                <w:sz w:val="20"/>
                <w:szCs w:val="20"/>
              </w:rPr>
              <w:t>宅</w:t>
            </w:r>
          </w:p>
        </w:tc>
        <w:tc>
          <w:tcPr>
            <w:tcW w:w="1491" w:type="dxa"/>
            <w:vAlign w:val="top"/>
          </w:tcPr>
          <w:p w14:paraId="16ADEBED">
            <w:pPr>
              <w:spacing w:before="65" w:line="228" w:lineRule="auto"/>
              <w:ind w:left="129"/>
              <w:rPr>
                <w:rFonts w:ascii="宋体" w:hAnsi="宋体" w:eastAsia="宋体" w:cs="宋体"/>
                <w:sz w:val="20"/>
                <w:szCs w:val="20"/>
              </w:rPr>
            </w:pPr>
            <w:r>
              <w:rPr>
                <w:rFonts w:ascii="Times New Roman" w:hAnsi="Times New Roman" w:eastAsia="Times New Roman" w:cs="Times New Roman"/>
                <w:spacing w:val="-4"/>
                <w:sz w:val="20"/>
                <w:szCs w:val="20"/>
              </w:rPr>
              <w:t xml:space="preserve">160 </w:t>
            </w:r>
            <w:r>
              <w:rPr>
                <w:rFonts w:ascii="宋体" w:hAnsi="宋体" w:eastAsia="宋体" w:cs="宋体"/>
                <w:spacing w:val="-2"/>
                <w:sz w:val="20"/>
                <w:szCs w:val="20"/>
              </w:rPr>
              <w:t>户，</w:t>
            </w:r>
            <w:r>
              <w:rPr>
                <w:rFonts w:ascii="Times New Roman" w:hAnsi="Times New Roman" w:eastAsia="Times New Roman" w:cs="Times New Roman"/>
                <w:spacing w:val="-2"/>
                <w:sz w:val="20"/>
                <w:szCs w:val="20"/>
              </w:rPr>
              <w:t xml:space="preserve">560 </w:t>
            </w:r>
            <w:r>
              <w:rPr>
                <w:rFonts w:ascii="宋体" w:hAnsi="宋体" w:eastAsia="宋体" w:cs="宋体"/>
                <w:spacing w:val="-2"/>
                <w:sz w:val="20"/>
                <w:szCs w:val="20"/>
              </w:rPr>
              <w:t>人</w:t>
            </w:r>
          </w:p>
        </w:tc>
        <w:tc>
          <w:tcPr>
            <w:tcW w:w="633" w:type="dxa"/>
            <w:vAlign w:val="top"/>
          </w:tcPr>
          <w:p w14:paraId="4978887A">
            <w:pPr>
              <w:spacing w:before="64" w:line="228" w:lineRule="auto"/>
              <w:ind w:left="130"/>
              <w:rPr>
                <w:rFonts w:ascii="宋体" w:hAnsi="宋体" w:eastAsia="宋体" w:cs="宋体"/>
                <w:sz w:val="20"/>
                <w:szCs w:val="20"/>
              </w:rPr>
            </w:pPr>
            <w:r>
              <w:rPr>
                <w:rFonts w:ascii="宋体" w:hAnsi="宋体" w:eastAsia="宋体" w:cs="宋体"/>
                <w:spacing w:val="-2"/>
                <w:sz w:val="20"/>
                <w:szCs w:val="20"/>
              </w:rPr>
              <w:t>二</w:t>
            </w:r>
            <w:r>
              <w:rPr>
                <w:rFonts w:ascii="宋体" w:hAnsi="宋体" w:eastAsia="宋体" w:cs="宋体"/>
                <w:spacing w:val="-1"/>
                <w:sz w:val="20"/>
                <w:szCs w:val="20"/>
              </w:rPr>
              <w:t>类</w:t>
            </w:r>
          </w:p>
        </w:tc>
        <w:tc>
          <w:tcPr>
            <w:tcW w:w="750" w:type="dxa"/>
            <w:vAlign w:val="top"/>
          </w:tcPr>
          <w:p w14:paraId="0C7108E4">
            <w:pPr>
              <w:spacing w:before="65" w:line="231" w:lineRule="auto"/>
              <w:ind w:left="190"/>
              <w:rPr>
                <w:rFonts w:ascii="宋体" w:hAnsi="宋体" w:eastAsia="宋体" w:cs="宋体"/>
                <w:sz w:val="20"/>
                <w:szCs w:val="20"/>
              </w:rPr>
            </w:pPr>
            <w:r>
              <w:rPr>
                <w:rFonts w:ascii="宋体" w:hAnsi="宋体" w:eastAsia="宋体" w:cs="宋体"/>
                <w:spacing w:val="-3"/>
                <w:sz w:val="20"/>
                <w:szCs w:val="20"/>
              </w:rPr>
              <w:t>西</w:t>
            </w:r>
            <w:r>
              <w:rPr>
                <w:rFonts w:ascii="宋体" w:hAnsi="宋体" w:eastAsia="宋体" w:cs="宋体"/>
                <w:spacing w:val="-2"/>
                <w:sz w:val="20"/>
                <w:szCs w:val="20"/>
              </w:rPr>
              <w:t>北</w:t>
            </w:r>
          </w:p>
        </w:tc>
        <w:tc>
          <w:tcPr>
            <w:tcW w:w="788" w:type="dxa"/>
            <w:tcBorders>
              <w:right w:val="nil"/>
            </w:tcBorders>
            <w:vAlign w:val="top"/>
          </w:tcPr>
          <w:p w14:paraId="773982ED">
            <w:pPr>
              <w:spacing w:before="100" w:line="195" w:lineRule="auto"/>
              <w:ind w:left="25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w:t>
            </w:r>
            <w:r>
              <w:rPr>
                <w:rFonts w:ascii="Times New Roman" w:hAnsi="Times New Roman" w:eastAsia="Times New Roman" w:cs="Times New Roman"/>
                <w:spacing w:val="-1"/>
                <w:sz w:val="20"/>
                <w:szCs w:val="20"/>
              </w:rPr>
              <w:t>30</w:t>
            </w:r>
          </w:p>
        </w:tc>
      </w:tr>
      <w:tr w14:paraId="62EF4D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978" w:type="dxa"/>
            <w:tcBorders>
              <w:left w:val="nil"/>
            </w:tcBorders>
            <w:vAlign w:val="top"/>
          </w:tcPr>
          <w:p w14:paraId="0351D800">
            <w:pPr>
              <w:spacing w:before="65" w:line="227" w:lineRule="auto"/>
              <w:ind w:left="111"/>
              <w:rPr>
                <w:rFonts w:ascii="宋体" w:hAnsi="宋体" w:eastAsia="宋体" w:cs="宋体"/>
                <w:sz w:val="20"/>
                <w:szCs w:val="20"/>
              </w:rPr>
            </w:pPr>
            <w:r>
              <w:rPr>
                <w:rFonts w:ascii="宋体" w:hAnsi="宋体" w:eastAsia="宋体" w:cs="宋体"/>
                <w:spacing w:val="-4"/>
                <w:sz w:val="20"/>
                <w:szCs w:val="20"/>
              </w:rPr>
              <w:t>营</w:t>
            </w:r>
            <w:r>
              <w:rPr>
                <w:rFonts w:ascii="宋体" w:hAnsi="宋体" w:eastAsia="宋体" w:cs="宋体"/>
                <w:spacing w:val="-3"/>
                <w:sz w:val="20"/>
                <w:szCs w:val="20"/>
              </w:rPr>
              <w:t>子新村</w:t>
            </w:r>
          </w:p>
        </w:tc>
        <w:tc>
          <w:tcPr>
            <w:tcW w:w="1605" w:type="dxa"/>
            <w:vAlign w:val="top"/>
          </w:tcPr>
          <w:p w14:paraId="33A043D3">
            <w:pPr>
              <w:spacing w:before="101"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1</w:t>
            </w:r>
            <w:r>
              <w:rPr>
                <w:rFonts w:ascii="Times New Roman" w:hAnsi="Times New Roman" w:eastAsia="Times New Roman" w:cs="Times New Roman"/>
                <w:spacing w:val="-3"/>
                <w:sz w:val="20"/>
                <w:szCs w:val="20"/>
              </w:rPr>
              <w:t>23°45′9.39426″</w:t>
            </w:r>
          </w:p>
        </w:tc>
        <w:tc>
          <w:tcPr>
            <w:tcW w:w="1604" w:type="dxa"/>
            <w:vAlign w:val="top"/>
          </w:tcPr>
          <w:p w14:paraId="5E660B00">
            <w:pPr>
              <w:spacing w:before="101" w:line="195" w:lineRule="auto"/>
              <w:ind w:left="14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41°20′58.</w:t>
            </w:r>
            <w:r>
              <w:rPr>
                <w:rFonts w:ascii="Times New Roman" w:hAnsi="Times New Roman" w:eastAsia="Times New Roman" w:cs="Times New Roman"/>
                <w:spacing w:val="-1"/>
                <w:sz w:val="20"/>
                <w:szCs w:val="20"/>
              </w:rPr>
              <w:t>34891″</w:t>
            </w:r>
          </w:p>
        </w:tc>
        <w:tc>
          <w:tcPr>
            <w:tcW w:w="540" w:type="dxa"/>
            <w:vAlign w:val="top"/>
          </w:tcPr>
          <w:p w14:paraId="10BAEC66">
            <w:pPr>
              <w:spacing w:before="65" w:line="229" w:lineRule="auto"/>
              <w:ind w:left="78"/>
              <w:rPr>
                <w:rFonts w:ascii="宋体" w:hAnsi="宋体" w:eastAsia="宋体" w:cs="宋体"/>
                <w:sz w:val="20"/>
                <w:szCs w:val="20"/>
              </w:rPr>
            </w:pPr>
            <w:r>
              <w:rPr>
                <w:rFonts w:ascii="宋体" w:hAnsi="宋体" w:eastAsia="宋体" w:cs="宋体"/>
                <w:spacing w:val="1"/>
                <w:sz w:val="20"/>
                <w:szCs w:val="20"/>
              </w:rPr>
              <w:t>住</w:t>
            </w:r>
            <w:r>
              <w:rPr>
                <w:rFonts w:ascii="宋体" w:hAnsi="宋体" w:eastAsia="宋体" w:cs="宋体"/>
                <w:sz w:val="20"/>
                <w:szCs w:val="20"/>
              </w:rPr>
              <w:t>宅</w:t>
            </w:r>
          </w:p>
        </w:tc>
        <w:tc>
          <w:tcPr>
            <w:tcW w:w="1491" w:type="dxa"/>
            <w:vAlign w:val="top"/>
          </w:tcPr>
          <w:p w14:paraId="73C8693D">
            <w:pPr>
              <w:spacing w:before="65" w:line="228" w:lineRule="auto"/>
              <w:ind w:left="205"/>
              <w:rPr>
                <w:rFonts w:ascii="宋体" w:hAnsi="宋体" w:eastAsia="宋体" w:cs="宋体"/>
                <w:sz w:val="20"/>
                <w:szCs w:val="20"/>
              </w:rPr>
            </w:pPr>
            <w:r>
              <w:rPr>
                <w:rFonts w:ascii="Times New Roman" w:hAnsi="Times New Roman" w:eastAsia="Times New Roman" w:cs="Times New Roman"/>
                <w:spacing w:val="-1"/>
                <w:sz w:val="20"/>
                <w:szCs w:val="20"/>
              </w:rPr>
              <w:t xml:space="preserve">28 </w:t>
            </w:r>
            <w:r>
              <w:rPr>
                <w:rFonts w:ascii="宋体" w:hAnsi="宋体" w:eastAsia="宋体" w:cs="宋体"/>
                <w:spacing w:val="-1"/>
                <w:sz w:val="20"/>
                <w:szCs w:val="20"/>
              </w:rPr>
              <w:t>户，</w:t>
            </w:r>
            <w:r>
              <w:rPr>
                <w:rFonts w:ascii="Times New Roman" w:hAnsi="Times New Roman" w:eastAsia="Times New Roman" w:cs="Times New Roman"/>
                <w:spacing w:val="-1"/>
                <w:sz w:val="20"/>
                <w:szCs w:val="20"/>
              </w:rPr>
              <w:t>98</w:t>
            </w:r>
            <w:r>
              <w:rPr>
                <w:rFonts w:ascii="Times New Roman" w:hAnsi="Times New Roman" w:eastAsia="Times New Roman" w:cs="Times New Roman"/>
                <w:sz w:val="20"/>
                <w:szCs w:val="20"/>
              </w:rPr>
              <w:t xml:space="preserve"> </w:t>
            </w:r>
            <w:r>
              <w:rPr>
                <w:rFonts w:ascii="宋体" w:hAnsi="宋体" w:eastAsia="宋体" w:cs="宋体"/>
                <w:sz w:val="20"/>
                <w:szCs w:val="20"/>
              </w:rPr>
              <w:t>人</w:t>
            </w:r>
          </w:p>
        </w:tc>
        <w:tc>
          <w:tcPr>
            <w:tcW w:w="633" w:type="dxa"/>
            <w:vAlign w:val="top"/>
          </w:tcPr>
          <w:p w14:paraId="71F34095">
            <w:pPr>
              <w:spacing w:before="64" w:line="228" w:lineRule="auto"/>
              <w:ind w:left="130"/>
              <w:rPr>
                <w:rFonts w:ascii="宋体" w:hAnsi="宋体" w:eastAsia="宋体" w:cs="宋体"/>
                <w:sz w:val="20"/>
                <w:szCs w:val="20"/>
              </w:rPr>
            </w:pPr>
            <w:r>
              <w:rPr>
                <w:rFonts w:ascii="宋体" w:hAnsi="宋体" w:eastAsia="宋体" w:cs="宋体"/>
                <w:spacing w:val="-2"/>
                <w:sz w:val="20"/>
                <w:szCs w:val="20"/>
              </w:rPr>
              <w:t>二</w:t>
            </w:r>
            <w:r>
              <w:rPr>
                <w:rFonts w:ascii="宋体" w:hAnsi="宋体" w:eastAsia="宋体" w:cs="宋体"/>
                <w:spacing w:val="-1"/>
                <w:sz w:val="20"/>
                <w:szCs w:val="20"/>
              </w:rPr>
              <w:t>类</w:t>
            </w:r>
          </w:p>
        </w:tc>
        <w:tc>
          <w:tcPr>
            <w:tcW w:w="750" w:type="dxa"/>
            <w:vAlign w:val="top"/>
          </w:tcPr>
          <w:p w14:paraId="22BEC5C8">
            <w:pPr>
              <w:spacing w:before="65" w:line="231" w:lineRule="auto"/>
              <w:ind w:left="190"/>
              <w:rPr>
                <w:rFonts w:ascii="宋体" w:hAnsi="宋体" w:eastAsia="宋体" w:cs="宋体"/>
                <w:sz w:val="20"/>
                <w:szCs w:val="20"/>
              </w:rPr>
            </w:pPr>
            <w:r>
              <w:rPr>
                <w:rFonts w:ascii="宋体" w:hAnsi="宋体" w:eastAsia="宋体" w:cs="宋体"/>
                <w:spacing w:val="-3"/>
                <w:sz w:val="20"/>
                <w:szCs w:val="20"/>
              </w:rPr>
              <w:t>西</w:t>
            </w:r>
            <w:r>
              <w:rPr>
                <w:rFonts w:ascii="宋体" w:hAnsi="宋体" w:eastAsia="宋体" w:cs="宋体"/>
                <w:spacing w:val="-2"/>
                <w:sz w:val="20"/>
                <w:szCs w:val="20"/>
              </w:rPr>
              <w:t>北</w:t>
            </w:r>
          </w:p>
        </w:tc>
        <w:tc>
          <w:tcPr>
            <w:tcW w:w="788" w:type="dxa"/>
            <w:tcBorders>
              <w:right w:val="nil"/>
            </w:tcBorders>
            <w:vAlign w:val="top"/>
          </w:tcPr>
          <w:p w14:paraId="1BF85089">
            <w:pPr>
              <w:spacing w:before="101" w:line="195" w:lineRule="auto"/>
              <w:ind w:left="19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w:t>
            </w:r>
            <w:r>
              <w:rPr>
                <w:rFonts w:ascii="Times New Roman" w:hAnsi="Times New Roman" w:eastAsia="Times New Roman" w:cs="Times New Roman"/>
                <w:sz w:val="20"/>
                <w:szCs w:val="20"/>
              </w:rPr>
              <w:t>070</w:t>
            </w:r>
          </w:p>
        </w:tc>
      </w:tr>
      <w:tr w14:paraId="7594F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978" w:type="dxa"/>
            <w:tcBorders>
              <w:left w:val="nil"/>
            </w:tcBorders>
            <w:vAlign w:val="top"/>
          </w:tcPr>
          <w:p w14:paraId="29213E25">
            <w:pPr>
              <w:spacing w:before="66" w:line="228" w:lineRule="auto"/>
              <w:ind w:left="202"/>
              <w:rPr>
                <w:rFonts w:ascii="宋体" w:hAnsi="宋体" w:eastAsia="宋体" w:cs="宋体"/>
                <w:sz w:val="20"/>
                <w:szCs w:val="20"/>
              </w:rPr>
            </w:pPr>
            <w:r>
              <w:rPr>
                <w:rFonts w:ascii="宋体" w:hAnsi="宋体" w:eastAsia="宋体" w:cs="宋体"/>
                <w:spacing w:val="-1"/>
                <w:sz w:val="20"/>
                <w:szCs w:val="20"/>
              </w:rPr>
              <w:t>刺叶</w:t>
            </w:r>
            <w:r>
              <w:rPr>
                <w:rFonts w:ascii="宋体" w:hAnsi="宋体" w:eastAsia="宋体" w:cs="宋体"/>
                <w:sz w:val="20"/>
                <w:szCs w:val="20"/>
              </w:rPr>
              <w:t>山</w:t>
            </w:r>
          </w:p>
        </w:tc>
        <w:tc>
          <w:tcPr>
            <w:tcW w:w="1605" w:type="dxa"/>
            <w:vAlign w:val="top"/>
          </w:tcPr>
          <w:p w14:paraId="55D95B5F">
            <w:pPr>
              <w:spacing w:before="102" w:line="195" w:lineRule="auto"/>
              <w:ind w:left="11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123°40′48.46108</w:t>
            </w:r>
            <w:r>
              <w:rPr>
                <w:rFonts w:ascii="Times New Roman" w:hAnsi="Times New Roman" w:eastAsia="Times New Roman" w:cs="Times New Roman"/>
                <w:spacing w:val="-1"/>
                <w:sz w:val="20"/>
                <w:szCs w:val="20"/>
              </w:rPr>
              <w:t>″</w:t>
            </w:r>
          </w:p>
        </w:tc>
        <w:tc>
          <w:tcPr>
            <w:tcW w:w="1604" w:type="dxa"/>
            <w:vAlign w:val="top"/>
          </w:tcPr>
          <w:p w14:paraId="42104FC7">
            <w:pPr>
              <w:spacing w:before="102" w:line="198" w:lineRule="auto"/>
              <w:ind w:left="14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41°22′41.</w:t>
            </w:r>
            <w:r>
              <w:rPr>
                <w:rFonts w:ascii="Times New Roman" w:hAnsi="Times New Roman" w:eastAsia="Times New Roman" w:cs="Times New Roman"/>
                <w:spacing w:val="-1"/>
                <w:sz w:val="20"/>
                <w:szCs w:val="20"/>
              </w:rPr>
              <w:t>10772″</w:t>
            </w:r>
          </w:p>
        </w:tc>
        <w:tc>
          <w:tcPr>
            <w:tcW w:w="540" w:type="dxa"/>
            <w:vAlign w:val="top"/>
          </w:tcPr>
          <w:p w14:paraId="732B2AFC">
            <w:pPr>
              <w:spacing w:before="66" w:line="229" w:lineRule="auto"/>
              <w:ind w:left="78"/>
              <w:rPr>
                <w:rFonts w:ascii="宋体" w:hAnsi="宋体" w:eastAsia="宋体" w:cs="宋体"/>
                <w:sz w:val="20"/>
                <w:szCs w:val="20"/>
              </w:rPr>
            </w:pPr>
            <w:r>
              <w:rPr>
                <w:rFonts w:ascii="宋体" w:hAnsi="宋体" w:eastAsia="宋体" w:cs="宋体"/>
                <w:spacing w:val="1"/>
                <w:sz w:val="20"/>
                <w:szCs w:val="20"/>
              </w:rPr>
              <w:t>住</w:t>
            </w:r>
            <w:r>
              <w:rPr>
                <w:rFonts w:ascii="宋体" w:hAnsi="宋体" w:eastAsia="宋体" w:cs="宋体"/>
                <w:sz w:val="20"/>
                <w:szCs w:val="20"/>
              </w:rPr>
              <w:t>宅</w:t>
            </w:r>
          </w:p>
        </w:tc>
        <w:tc>
          <w:tcPr>
            <w:tcW w:w="1491" w:type="dxa"/>
            <w:vAlign w:val="top"/>
          </w:tcPr>
          <w:p w14:paraId="079FE288">
            <w:pPr>
              <w:spacing w:before="66" w:line="228" w:lineRule="auto"/>
              <w:ind w:left="161"/>
              <w:rPr>
                <w:rFonts w:ascii="宋体" w:hAnsi="宋体" w:eastAsia="宋体" w:cs="宋体"/>
                <w:sz w:val="20"/>
                <w:szCs w:val="20"/>
              </w:rPr>
            </w:pPr>
            <w:r>
              <w:rPr>
                <w:rFonts w:ascii="Times New Roman" w:hAnsi="Times New Roman" w:eastAsia="Times New Roman" w:cs="Times New Roman"/>
                <w:spacing w:val="-2"/>
                <w:sz w:val="20"/>
                <w:szCs w:val="20"/>
              </w:rPr>
              <w:t xml:space="preserve">30 </w:t>
            </w:r>
            <w:r>
              <w:rPr>
                <w:rFonts w:ascii="宋体" w:hAnsi="宋体" w:eastAsia="宋体" w:cs="宋体"/>
                <w:spacing w:val="-1"/>
                <w:sz w:val="20"/>
                <w:szCs w:val="20"/>
              </w:rPr>
              <w:t>户，</w:t>
            </w:r>
            <w:r>
              <w:rPr>
                <w:rFonts w:ascii="Times New Roman" w:hAnsi="Times New Roman" w:eastAsia="Times New Roman" w:cs="Times New Roman"/>
                <w:spacing w:val="-1"/>
                <w:sz w:val="20"/>
                <w:szCs w:val="20"/>
              </w:rPr>
              <w:t xml:space="preserve">105 </w:t>
            </w:r>
            <w:r>
              <w:rPr>
                <w:rFonts w:ascii="宋体" w:hAnsi="宋体" w:eastAsia="宋体" w:cs="宋体"/>
                <w:spacing w:val="-1"/>
                <w:sz w:val="20"/>
                <w:szCs w:val="20"/>
              </w:rPr>
              <w:t>人</w:t>
            </w:r>
          </w:p>
        </w:tc>
        <w:tc>
          <w:tcPr>
            <w:tcW w:w="633" w:type="dxa"/>
            <w:vAlign w:val="top"/>
          </w:tcPr>
          <w:p w14:paraId="2D142EC6">
            <w:pPr>
              <w:spacing w:before="66" w:line="228" w:lineRule="auto"/>
              <w:ind w:left="130"/>
              <w:rPr>
                <w:rFonts w:ascii="宋体" w:hAnsi="宋体" w:eastAsia="宋体" w:cs="宋体"/>
                <w:sz w:val="20"/>
                <w:szCs w:val="20"/>
              </w:rPr>
            </w:pPr>
            <w:r>
              <w:rPr>
                <w:rFonts w:ascii="宋体" w:hAnsi="宋体" w:eastAsia="宋体" w:cs="宋体"/>
                <w:spacing w:val="-2"/>
                <w:sz w:val="20"/>
                <w:szCs w:val="20"/>
              </w:rPr>
              <w:t>二</w:t>
            </w:r>
            <w:r>
              <w:rPr>
                <w:rFonts w:ascii="宋体" w:hAnsi="宋体" w:eastAsia="宋体" w:cs="宋体"/>
                <w:spacing w:val="-1"/>
                <w:sz w:val="20"/>
                <w:szCs w:val="20"/>
              </w:rPr>
              <w:t>类</w:t>
            </w:r>
          </w:p>
        </w:tc>
        <w:tc>
          <w:tcPr>
            <w:tcW w:w="750" w:type="dxa"/>
            <w:vAlign w:val="top"/>
          </w:tcPr>
          <w:p w14:paraId="262A422F">
            <w:pPr>
              <w:spacing w:before="66" w:line="231" w:lineRule="auto"/>
              <w:ind w:left="190"/>
              <w:rPr>
                <w:rFonts w:ascii="宋体" w:hAnsi="宋体" w:eastAsia="宋体" w:cs="宋体"/>
                <w:sz w:val="20"/>
                <w:szCs w:val="20"/>
              </w:rPr>
            </w:pPr>
            <w:r>
              <w:rPr>
                <w:rFonts w:ascii="宋体" w:hAnsi="宋体" w:eastAsia="宋体" w:cs="宋体"/>
                <w:spacing w:val="-3"/>
                <w:sz w:val="20"/>
                <w:szCs w:val="20"/>
              </w:rPr>
              <w:t>西</w:t>
            </w:r>
            <w:r>
              <w:rPr>
                <w:rFonts w:ascii="宋体" w:hAnsi="宋体" w:eastAsia="宋体" w:cs="宋体"/>
                <w:spacing w:val="-2"/>
                <w:sz w:val="20"/>
                <w:szCs w:val="20"/>
              </w:rPr>
              <w:t>北</w:t>
            </w:r>
          </w:p>
        </w:tc>
        <w:tc>
          <w:tcPr>
            <w:tcW w:w="788" w:type="dxa"/>
            <w:tcBorders>
              <w:right w:val="nil"/>
            </w:tcBorders>
            <w:vAlign w:val="top"/>
          </w:tcPr>
          <w:p w14:paraId="7A782FE3">
            <w:pPr>
              <w:spacing w:before="102" w:line="195" w:lineRule="auto"/>
              <w:ind w:left="19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w:t>
            </w:r>
            <w:r>
              <w:rPr>
                <w:rFonts w:ascii="Times New Roman" w:hAnsi="Times New Roman" w:eastAsia="Times New Roman" w:cs="Times New Roman"/>
                <w:sz w:val="20"/>
                <w:szCs w:val="20"/>
              </w:rPr>
              <w:t>600</w:t>
            </w:r>
          </w:p>
        </w:tc>
      </w:tr>
      <w:tr w14:paraId="0645F2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978" w:type="dxa"/>
            <w:tcBorders>
              <w:left w:val="nil"/>
            </w:tcBorders>
            <w:vAlign w:val="top"/>
          </w:tcPr>
          <w:p w14:paraId="1450A823">
            <w:pPr>
              <w:spacing w:before="65" w:line="227" w:lineRule="auto"/>
              <w:ind w:left="107"/>
              <w:rPr>
                <w:rFonts w:ascii="宋体" w:hAnsi="宋体" w:eastAsia="宋体" w:cs="宋体"/>
                <w:sz w:val="20"/>
                <w:szCs w:val="20"/>
              </w:rPr>
            </w:pPr>
            <w:r>
              <w:rPr>
                <w:rFonts w:ascii="宋体" w:hAnsi="宋体" w:eastAsia="宋体" w:cs="宋体"/>
                <w:spacing w:val="-2"/>
                <w:sz w:val="20"/>
                <w:szCs w:val="20"/>
              </w:rPr>
              <w:t>火连寨村</w:t>
            </w:r>
          </w:p>
        </w:tc>
        <w:tc>
          <w:tcPr>
            <w:tcW w:w="1605" w:type="dxa"/>
            <w:vAlign w:val="top"/>
          </w:tcPr>
          <w:p w14:paraId="12E33962">
            <w:pPr>
              <w:spacing w:before="101" w:line="195" w:lineRule="auto"/>
              <w:ind w:left="11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123°43′26.42940</w:t>
            </w:r>
            <w:r>
              <w:rPr>
                <w:rFonts w:ascii="Times New Roman" w:hAnsi="Times New Roman" w:eastAsia="Times New Roman" w:cs="Times New Roman"/>
                <w:spacing w:val="-1"/>
                <w:sz w:val="20"/>
                <w:szCs w:val="20"/>
              </w:rPr>
              <w:t>″</w:t>
            </w:r>
          </w:p>
        </w:tc>
        <w:tc>
          <w:tcPr>
            <w:tcW w:w="1604" w:type="dxa"/>
            <w:vAlign w:val="top"/>
          </w:tcPr>
          <w:p w14:paraId="43FD1842">
            <w:pPr>
              <w:spacing w:before="101" w:line="195" w:lineRule="auto"/>
              <w:ind w:left="14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w:t>
            </w: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°21′53.41157″</w:t>
            </w:r>
          </w:p>
        </w:tc>
        <w:tc>
          <w:tcPr>
            <w:tcW w:w="540" w:type="dxa"/>
            <w:vAlign w:val="top"/>
          </w:tcPr>
          <w:p w14:paraId="2DAC02D8">
            <w:pPr>
              <w:spacing w:before="65" w:line="229" w:lineRule="auto"/>
              <w:ind w:left="78"/>
              <w:rPr>
                <w:rFonts w:ascii="宋体" w:hAnsi="宋体" w:eastAsia="宋体" w:cs="宋体"/>
                <w:sz w:val="20"/>
                <w:szCs w:val="20"/>
              </w:rPr>
            </w:pPr>
            <w:r>
              <w:rPr>
                <w:rFonts w:ascii="宋体" w:hAnsi="宋体" w:eastAsia="宋体" w:cs="宋体"/>
                <w:spacing w:val="1"/>
                <w:sz w:val="20"/>
                <w:szCs w:val="20"/>
              </w:rPr>
              <w:t>住</w:t>
            </w:r>
            <w:r>
              <w:rPr>
                <w:rFonts w:ascii="宋体" w:hAnsi="宋体" w:eastAsia="宋体" w:cs="宋体"/>
                <w:sz w:val="20"/>
                <w:szCs w:val="20"/>
              </w:rPr>
              <w:t>宅</w:t>
            </w:r>
          </w:p>
        </w:tc>
        <w:tc>
          <w:tcPr>
            <w:tcW w:w="1491" w:type="dxa"/>
            <w:vAlign w:val="top"/>
          </w:tcPr>
          <w:p w14:paraId="74883668">
            <w:pPr>
              <w:spacing w:before="65" w:line="228" w:lineRule="auto"/>
              <w:ind w:left="63"/>
              <w:rPr>
                <w:rFonts w:ascii="宋体" w:hAnsi="宋体" w:eastAsia="宋体" w:cs="宋体"/>
                <w:sz w:val="20"/>
                <w:szCs w:val="20"/>
              </w:rPr>
            </w:pPr>
            <w:r>
              <w:rPr>
                <w:rFonts w:ascii="Times New Roman" w:hAnsi="Times New Roman" w:eastAsia="Times New Roman" w:cs="Times New Roman"/>
                <w:spacing w:val="-2"/>
                <w:sz w:val="20"/>
                <w:szCs w:val="20"/>
              </w:rPr>
              <w:t xml:space="preserve">380 </w:t>
            </w:r>
            <w:r>
              <w:rPr>
                <w:rFonts w:ascii="宋体" w:hAnsi="宋体" w:eastAsia="宋体" w:cs="宋体"/>
                <w:spacing w:val="-1"/>
                <w:sz w:val="20"/>
                <w:szCs w:val="20"/>
              </w:rPr>
              <w:t>户、</w:t>
            </w:r>
            <w:r>
              <w:rPr>
                <w:rFonts w:ascii="Times New Roman" w:hAnsi="Times New Roman" w:eastAsia="Times New Roman" w:cs="Times New Roman"/>
                <w:spacing w:val="-1"/>
                <w:sz w:val="20"/>
                <w:szCs w:val="20"/>
              </w:rPr>
              <w:t xml:space="preserve">1330 </w:t>
            </w:r>
            <w:r>
              <w:rPr>
                <w:rFonts w:ascii="宋体" w:hAnsi="宋体" w:eastAsia="宋体" w:cs="宋体"/>
                <w:spacing w:val="-1"/>
                <w:sz w:val="20"/>
                <w:szCs w:val="20"/>
              </w:rPr>
              <w:t>人</w:t>
            </w:r>
          </w:p>
        </w:tc>
        <w:tc>
          <w:tcPr>
            <w:tcW w:w="633" w:type="dxa"/>
            <w:vAlign w:val="top"/>
          </w:tcPr>
          <w:p w14:paraId="324F4F6D">
            <w:pPr>
              <w:spacing w:before="64" w:line="228" w:lineRule="auto"/>
              <w:ind w:left="130"/>
              <w:rPr>
                <w:rFonts w:ascii="宋体" w:hAnsi="宋体" w:eastAsia="宋体" w:cs="宋体"/>
                <w:sz w:val="20"/>
                <w:szCs w:val="20"/>
              </w:rPr>
            </w:pPr>
            <w:r>
              <w:rPr>
                <w:rFonts w:ascii="宋体" w:hAnsi="宋体" w:eastAsia="宋体" w:cs="宋体"/>
                <w:spacing w:val="-2"/>
                <w:sz w:val="20"/>
                <w:szCs w:val="20"/>
              </w:rPr>
              <w:t>二</w:t>
            </w:r>
            <w:r>
              <w:rPr>
                <w:rFonts w:ascii="宋体" w:hAnsi="宋体" w:eastAsia="宋体" w:cs="宋体"/>
                <w:spacing w:val="-1"/>
                <w:sz w:val="20"/>
                <w:szCs w:val="20"/>
              </w:rPr>
              <w:t>类</w:t>
            </w:r>
          </w:p>
        </w:tc>
        <w:tc>
          <w:tcPr>
            <w:tcW w:w="750" w:type="dxa"/>
            <w:vAlign w:val="top"/>
          </w:tcPr>
          <w:p w14:paraId="0004A806">
            <w:pPr>
              <w:spacing w:before="64" w:line="228" w:lineRule="auto"/>
              <w:ind w:left="291"/>
              <w:rPr>
                <w:rFonts w:ascii="宋体" w:hAnsi="宋体" w:eastAsia="宋体" w:cs="宋体"/>
                <w:sz w:val="20"/>
                <w:szCs w:val="20"/>
              </w:rPr>
            </w:pPr>
            <w:r>
              <w:rPr>
                <w:rFonts w:ascii="宋体" w:hAnsi="宋体" w:eastAsia="宋体" w:cs="宋体"/>
                <w:sz w:val="20"/>
                <w:szCs w:val="20"/>
              </w:rPr>
              <w:t>东</w:t>
            </w:r>
          </w:p>
        </w:tc>
        <w:tc>
          <w:tcPr>
            <w:tcW w:w="788" w:type="dxa"/>
            <w:tcBorders>
              <w:right w:val="nil"/>
            </w:tcBorders>
            <w:vAlign w:val="top"/>
          </w:tcPr>
          <w:p w14:paraId="2CFA60EF">
            <w:pPr>
              <w:spacing w:before="101" w:line="195" w:lineRule="auto"/>
              <w:ind w:left="219"/>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5"/>
                <w:sz w:val="20"/>
                <w:szCs w:val="20"/>
              </w:rPr>
              <w:t>050</w:t>
            </w:r>
          </w:p>
        </w:tc>
      </w:tr>
      <w:tr w14:paraId="03FC34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978" w:type="dxa"/>
            <w:tcBorders>
              <w:left w:val="nil"/>
            </w:tcBorders>
            <w:vAlign w:val="top"/>
          </w:tcPr>
          <w:p w14:paraId="185BDF14">
            <w:pPr>
              <w:spacing w:before="65" w:line="227" w:lineRule="auto"/>
              <w:ind w:left="210"/>
              <w:rPr>
                <w:rFonts w:ascii="宋体" w:hAnsi="宋体" w:eastAsia="宋体" w:cs="宋体"/>
                <w:sz w:val="20"/>
                <w:szCs w:val="20"/>
              </w:rPr>
            </w:pPr>
            <w:r>
              <w:rPr>
                <w:rFonts w:ascii="宋体" w:hAnsi="宋体" w:eastAsia="宋体" w:cs="宋体"/>
                <w:spacing w:val="-3"/>
                <w:sz w:val="20"/>
                <w:szCs w:val="20"/>
              </w:rPr>
              <w:t>营子村</w:t>
            </w:r>
          </w:p>
        </w:tc>
        <w:tc>
          <w:tcPr>
            <w:tcW w:w="1605" w:type="dxa"/>
            <w:vAlign w:val="top"/>
          </w:tcPr>
          <w:p w14:paraId="373EFB1F">
            <w:pPr>
              <w:spacing w:before="101"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1</w:t>
            </w:r>
            <w:r>
              <w:rPr>
                <w:rFonts w:ascii="Times New Roman" w:hAnsi="Times New Roman" w:eastAsia="Times New Roman" w:cs="Times New Roman"/>
                <w:spacing w:val="-3"/>
                <w:sz w:val="20"/>
                <w:szCs w:val="20"/>
              </w:rPr>
              <w:t>23°44′7.92730″</w:t>
            </w:r>
          </w:p>
        </w:tc>
        <w:tc>
          <w:tcPr>
            <w:tcW w:w="1604" w:type="dxa"/>
            <w:vAlign w:val="top"/>
          </w:tcPr>
          <w:p w14:paraId="48BABA7B">
            <w:pPr>
              <w:spacing w:before="101" w:line="198" w:lineRule="auto"/>
              <w:ind w:left="14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41°21′21.</w:t>
            </w:r>
            <w:r>
              <w:rPr>
                <w:rFonts w:ascii="Times New Roman" w:hAnsi="Times New Roman" w:eastAsia="Times New Roman" w:cs="Times New Roman"/>
                <w:spacing w:val="-1"/>
                <w:sz w:val="20"/>
                <w:szCs w:val="20"/>
              </w:rPr>
              <w:t>22574″</w:t>
            </w:r>
          </w:p>
        </w:tc>
        <w:tc>
          <w:tcPr>
            <w:tcW w:w="540" w:type="dxa"/>
            <w:vAlign w:val="top"/>
          </w:tcPr>
          <w:p w14:paraId="39E32187">
            <w:pPr>
              <w:spacing w:before="65" w:line="229" w:lineRule="auto"/>
              <w:ind w:left="78"/>
              <w:rPr>
                <w:rFonts w:ascii="宋体" w:hAnsi="宋体" w:eastAsia="宋体" w:cs="宋体"/>
                <w:sz w:val="20"/>
                <w:szCs w:val="20"/>
              </w:rPr>
            </w:pPr>
            <w:r>
              <w:rPr>
                <w:rFonts w:ascii="宋体" w:hAnsi="宋体" w:eastAsia="宋体" w:cs="宋体"/>
                <w:spacing w:val="1"/>
                <w:sz w:val="20"/>
                <w:szCs w:val="20"/>
              </w:rPr>
              <w:t>住</w:t>
            </w:r>
            <w:r>
              <w:rPr>
                <w:rFonts w:ascii="宋体" w:hAnsi="宋体" w:eastAsia="宋体" w:cs="宋体"/>
                <w:sz w:val="20"/>
                <w:szCs w:val="20"/>
              </w:rPr>
              <w:t>宅</w:t>
            </w:r>
          </w:p>
        </w:tc>
        <w:tc>
          <w:tcPr>
            <w:tcW w:w="1491" w:type="dxa"/>
            <w:vAlign w:val="top"/>
          </w:tcPr>
          <w:p w14:paraId="63FFFD6A">
            <w:pPr>
              <w:spacing w:before="65" w:line="228" w:lineRule="auto"/>
              <w:ind w:left="129"/>
              <w:rPr>
                <w:rFonts w:ascii="宋体" w:hAnsi="宋体" w:eastAsia="宋体" w:cs="宋体"/>
                <w:sz w:val="20"/>
                <w:szCs w:val="20"/>
              </w:rPr>
            </w:pPr>
            <w:r>
              <w:rPr>
                <w:rFonts w:ascii="Times New Roman" w:hAnsi="Times New Roman" w:eastAsia="Times New Roman" w:cs="Times New Roman"/>
                <w:spacing w:val="-4"/>
                <w:sz w:val="20"/>
                <w:szCs w:val="20"/>
              </w:rPr>
              <w:t xml:space="preserve">145 </w:t>
            </w:r>
            <w:r>
              <w:rPr>
                <w:rFonts w:ascii="宋体" w:hAnsi="宋体" w:eastAsia="宋体" w:cs="宋体"/>
                <w:spacing w:val="-2"/>
                <w:sz w:val="20"/>
                <w:szCs w:val="20"/>
              </w:rPr>
              <w:t>户，</w:t>
            </w:r>
            <w:r>
              <w:rPr>
                <w:rFonts w:ascii="Times New Roman" w:hAnsi="Times New Roman" w:eastAsia="Times New Roman" w:cs="Times New Roman"/>
                <w:spacing w:val="-2"/>
                <w:sz w:val="20"/>
                <w:szCs w:val="20"/>
              </w:rPr>
              <w:t xml:space="preserve">507 </w:t>
            </w:r>
            <w:r>
              <w:rPr>
                <w:rFonts w:ascii="宋体" w:hAnsi="宋体" w:eastAsia="宋体" w:cs="宋体"/>
                <w:spacing w:val="-2"/>
                <w:sz w:val="20"/>
                <w:szCs w:val="20"/>
              </w:rPr>
              <w:t>人</w:t>
            </w:r>
          </w:p>
        </w:tc>
        <w:tc>
          <w:tcPr>
            <w:tcW w:w="633" w:type="dxa"/>
            <w:vAlign w:val="top"/>
          </w:tcPr>
          <w:p w14:paraId="2226EC4E">
            <w:pPr>
              <w:spacing w:before="65" w:line="228" w:lineRule="auto"/>
              <w:ind w:left="130"/>
              <w:rPr>
                <w:rFonts w:ascii="宋体" w:hAnsi="宋体" w:eastAsia="宋体" w:cs="宋体"/>
                <w:sz w:val="20"/>
                <w:szCs w:val="20"/>
              </w:rPr>
            </w:pPr>
            <w:r>
              <w:rPr>
                <w:rFonts w:ascii="宋体" w:hAnsi="宋体" w:eastAsia="宋体" w:cs="宋体"/>
                <w:spacing w:val="-2"/>
                <w:sz w:val="20"/>
                <w:szCs w:val="20"/>
              </w:rPr>
              <w:t>二</w:t>
            </w:r>
            <w:r>
              <w:rPr>
                <w:rFonts w:ascii="宋体" w:hAnsi="宋体" w:eastAsia="宋体" w:cs="宋体"/>
                <w:spacing w:val="-1"/>
                <w:sz w:val="20"/>
                <w:szCs w:val="20"/>
              </w:rPr>
              <w:t>类</w:t>
            </w:r>
          </w:p>
        </w:tc>
        <w:tc>
          <w:tcPr>
            <w:tcW w:w="750" w:type="dxa"/>
            <w:vAlign w:val="top"/>
          </w:tcPr>
          <w:p w14:paraId="5DF2604C">
            <w:pPr>
              <w:spacing w:before="65" w:line="228" w:lineRule="auto"/>
              <w:ind w:left="192"/>
              <w:rPr>
                <w:rFonts w:ascii="宋体" w:hAnsi="宋体" w:eastAsia="宋体" w:cs="宋体"/>
                <w:sz w:val="20"/>
                <w:szCs w:val="20"/>
              </w:rPr>
            </w:pPr>
            <w:r>
              <w:rPr>
                <w:rFonts w:ascii="宋体" w:hAnsi="宋体" w:eastAsia="宋体" w:cs="宋体"/>
                <w:spacing w:val="-4"/>
                <w:sz w:val="20"/>
                <w:szCs w:val="20"/>
              </w:rPr>
              <w:t>东</w:t>
            </w:r>
            <w:r>
              <w:rPr>
                <w:rFonts w:ascii="宋体" w:hAnsi="宋体" w:eastAsia="宋体" w:cs="宋体"/>
                <w:spacing w:val="-3"/>
                <w:sz w:val="20"/>
                <w:szCs w:val="20"/>
              </w:rPr>
              <w:t>南</w:t>
            </w:r>
          </w:p>
        </w:tc>
        <w:tc>
          <w:tcPr>
            <w:tcW w:w="788" w:type="dxa"/>
            <w:tcBorders>
              <w:right w:val="nil"/>
            </w:tcBorders>
            <w:vAlign w:val="top"/>
          </w:tcPr>
          <w:p w14:paraId="7C0BC381">
            <w:pPr>
              <w:spacing w:before="101" w:line="195" w:lineRule="auto"/>
              <w:ind w:left="19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w:t>
            </w:r>
            <w:r>
              <w:rPr>
                <w:rFonts w:ascii="Times New Roman" w:hAnsi="Times New Roman" w:eastAsia="Times New Roman" w:cs="Times New Roman"/>
                <w:sz w:val="20"/>
                <w:szCs w:val="20"/>
              </w:rPr>
              <w:t>200</w:t>
            </w:r>
          </w:p>
        </w:tc>
      </w:tr>
      <w:tr w14:paraId="535694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978" w:type="dxa"/>
            <w:tcBorders>
              <w:left w:val="nil"/>
            </w:tcBorders>
            <w:vAlign w:val="top"/>
          </w:tcPr>
          <w:p w14:paraId="4DB94E69">
            <w:pPr>
              <w:spacing w:before="65" w:line="228" w:lineRule="auto"/>
              <w:ind w:left="106"/>
              <w:rPr>
                <w:rFonts w:ascii="宋体" w:hAnsi="宋体" w:eastAsia="宋体" w:cs="宋体"/>
                <w:sz w:val="20"/>
                <w:szCs w:val="20"/>
              </w:rPr>
            </w:pPr>
            <w:r>
              <w:rPr>
                <w:rFonts w:ascii="宋体" w:hAnsi="宋体" w:eastAsia="宋体" w:cs="宋体"/>
                <w:spacing w:val="-2"/>
                <w:sz w:val="20"/>
                <w:szCs w:val="20"/>
              </w:rPr>
              <w:t>豆腐房</w:t>
            </w:r>
            <w:r>
              <w:rPr>
                <w:rFonts w:ascii="宋体" w:hAnsi="宋体" w:eastAsia="宋体" w:cs="宋体"/>
                <w:spacing w:val="-1"/>
                <w:sz w:val="20"/>
                <w:szCs w:val="20"/>
              </w:rPr>
              <w:t>沟</w:t>
            </w:r>
          </w:p>
        </w:tc>
        <w:tc>
          <w:tcPr>
            <w:tcW w:w="1605" w:type="dxa"/>
            <w:vAlign w:val="top"/>
          </w:tcPr>
          <w:p w14:paraId="363C8FF4">
            <w:pPr>
              <w:spacing w:before="101"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1</w:t>
            </w:r>
            <w:r>
              <w:rPr>
                <w:rFonts w:ascii="Times New Roman" w:hAnsi="Times New Roman" w:eastAsia="Times New Roman" w:cs="Times New Roman"/>
                <w:spacing w:val="-3"/>
                <w:sz w:val="20"/>
                <w:szCs w:val="20"/>
              </w:rPr>
              <w:t>23°43′4.58426″</w:t>
            </w:r>
          </w:p>
        </w:tc>
        <w:tc>
          <w:tcPr>
            <w:tcW w:w="1604" w:type="dxa"/>
            <w:vAlign w:val="top"/>
          </w:tcPr>
          <w:p w14:paraId="7514EBA2">
            <w:pPr>
              <w:spacing w:before="101" w:line="195" w:lineRule="auto"/>
              <w:ind w:left="14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41°20′43.</w:t>
            </w:r>
            <w:r>
              <w:rPr>
                <w:rFonts w:ascii="Times New Roman" w:hAnsi="Times New Roman" w:eastAsia="Times New Roman" w:cs="Times New Roman"/>
                <w:spacing w:val="-1"/>
                <w:sz w:val="20"/>
                <w:szCs w:val="20"/>
              </w:rPr>
              <w:t>00285″</w:t>
            </w:r>
          </w:p>
        </w:tc>
        <w:tc>
          <w:tcPr>
            <w:tcW w:w="540" w:type="dxa"/>
            <w:vAlign w:val="top"/>
          </w:tcPr>
          <w:p w14:paraId="433945E5">
            <w:pPr>
              <w:spacing w:before="65" w:line="229" w:lineRule="auto"/>
              <w:ind w:left="78"/>
              <w:rPr>
                <w:rFonts w:ascii="宋体" w:hAnsi="宋体" w:eastAsia="宋体" w:cs="宋体"/>
                <w:sz w:val="20"/>
                <w:szCs w:val="20"/>
              </w:rPr>
            </w:pPr>
            <w:r>
              <w:rPr>
                <w:rFonts w:ascii="宋体" w:hAnsi="宋体" w:eastAsia="宋体" w:cs="宋体"/>
                <w:spacing w:val="1"/>
                <w:sz w:val="20"/>
                <w:szCs w:val="20"/>
              </w:rPr>
              <w:t>住</w:t>
            </w:r>
            <w:r>
              <w:rPr>
                <w:rFonts w:ascii="宋体" w:hAnsi="宋体" w:eastAsia="宋体" w:cs="宋体"/>
                <w:sz w:val="20"/>
                <w:szCs w:val="20"/>
              </w:rPr>
              <w:t>宅</w:t>
            </w:r>
          </w:p>
        </w:tc>
        <w:tc>
          <w:tcPr>
            <w:tcW w:w="1491" w:type="dxa"/>
            <w:vAlign w:val="top"/>
          </w:tcPr>
          <w:p w14:paraId="6C0BADE8">
            <w:pPr>
              <w:spacing w:before="66" w:line="228" w:lineRule="auto"/>
              <w:ind w:left="225"/>
              <w:rPr>
                <w:rFonts w:ascii="宋体" w:hAnsi="宋体" w:eastAsia="宋体" w:cs="宋体"/>
                <w:sz w:val="20"/>
                <w:szCs w:val="20"/>
              </w:rPr>
            </w:pPr>
            <w:r>
              <w:rPr>
                <w:rFonts w:ascii="Times New Roman" w:hAnsi="Times New Roman" w:eastAsia="Times New Roman" w:cs="Times New Roman"/>
                <w:spacing w:val="-3"/>
                <w:sz w:val="20"/>
                <w:szCs w:val="20"/>
              </w:rPr>
              <w:t xml:space="preserve">16 </w:t>
            </w:r>
            <w:r>
              <w:rPr>
                <w:rFonts w:ascii="宋体" w:hAnsi="宋体" w:eastAsia="宋体" w:cs="宋体"/>
                <w:spacing w:val="-3"/>
                <w:sz w:val="20"/>
                <w:szCs w:val="20"/>
              </w:rPr>
              <w:t>户，</w:t>
            </w:r>
            <w:r>
              <w:rPr>
                <w:rFonts w:ascii="Times New Roman" w:hAnsi="Times New Roman" w:eastAsia="Times New Roman" w:cs="Times New Roman"/>
                <w:spacing w:val="-3"/>
                <w:sz w:val="20"/>
                <w:szCs w:val="20"/>
              </w:rPr>
              <w:t xml:space="preserve">56 </w:t>
            </w:r>
            <w:r>
              <w:rPr>
                <w:rFonts w:ascii="宋体" w:hAnsi="宋体" w:eastAsia="宋体" w:cs="宋体"/>
                <w:spacing w:val="-3"/>
                <w:sz w:val="20"/>
                <w:szCs w:val="20"/>
              </w:rPr>
              <w:t>人</w:t>
            </w:r>
          </w:p>
        </w:tc>
        <w:tc>
          <w:tcPr>
            <w:tcW w:w="633" w:type="dxa"/>
            <w:vAlign w:val="top"/>
          </w:tcPr>
          <w:p w14:paraId="2916D5EF">
            <w:pPr>
              <w:spacing w:before="65" w:line="228" w:lineRule="auto"/>
              <w:ind w:left="130"/>
              <w:rPr>
                <w:rFonts w:ascii="宋体" w:hAnsi="宋体" w:eastAsia="宋体" w:cs="宋体"/>
                <w:sz w:val="20"/>
                <w:szCs w:val="20"/>
              </w:rPr>
            </w:pPr>
            <w:r>
              <w:rPr>
                <w:rFonts w:ascii="宋体" w:hAnsi="宋体" w:eastAsia="宋体" w:cs="宋体"/>
                <w:spacing w:val="-2"/>
                <w:sz w:val="20"/>
                <w:szCs w:val="20"/>
              </w:rPr>
              <w:t>二</w:t>
            </w:r>
            <w:r>
              <w:rPr>
                <w:rFonts w:ascii="宋体" w:hAnsi="宋体" w:eastAsia="宋体" w:cs="宋体"/>
                <w:spacing w:val="-1"/>
                <w:sz w:val="20"/>
                <w:szCs w:val="20"/>
              </w:rPr>
              <w:t>类</w:t>
            </w:r>
          </w:p>
        </w:tc>
        <w:tc>
          <w:tcPr>
            <w:tcW w:w="750" w:type="dxa"/>
            <w:vAlign w:val="top"/>
          </w:tcPr>
          <w:p w14:paraId="5A59CB1A">
            <w:pPr>
              <w:spacing w:before="65" w:line="228" w:lineRule="auto"/>
              <w:ind w:left="192"/>
              <w:rPr>
                <w:rFonts w:ascii="宋体" w:hAnsi="宋体" w:eastAsia="宋体" w:cs="宋体"/>
                <w:sz w:val="20"/>
                <w:szCs w:val="20"/>
              </w:rPr>
            </w:pPr>
            <w:r>
              <w:rPr>
                <w:rFonts w:ascii="宋体" w:hAnsi="宋体" w:eastAsia="宋体" w:cs="宋体"/>
                <w:spacing w:val="-4"/>
                <w:sz w:val="20"/>
                <w:szCs w:val="20"/>
              </w:rPr>
              <w:t>东</w:t>
            </w:r>
            <w:r>
              <w:rPr>
                <w:rFonts w:ascii="宋体" w:hAnsi="宋体" w:eastAsia="宋体" w:cs="宋体"/>
                <w:spacing w:val="-3"/>
                <w:sz w:val="20"/>
                <w:szCs w:val="20"/>
              </w:rPr>
              <w:t>南</w:t>
            </w:r>
          </w:p>
        </w:tc>
        <w:tc>
          <w:tcPr>
            <w:tcW w:w="788" w:type="dxa"/>
            <w:tcBorders>
              <w:right w:val="nil"/>
            </w:tcBorders>
            <w:vAlign w:val="top"/>
          </w:tcPr>
          <w:p w14:paraId="559AFA34">
            <w:pPr>
              <w:spacing w:before="101" w:line="195" w:lineRule="auto"/>
              <w:ind w:left="19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w:t>
            </w:r>
            <w:r>
              <w:rPr>
                <w:rFonts w:ascii="Times New Roman" w:hAnsi="Times New Roman" w:eastAsia="Times New Roman" w:cs="Times New Roman"/>
                <w:sz w:val="20"/>
                <w:szCs w:val="20"/>
              </w:rPr>
              <w:t>060</w:t>
            </w:r>
          </w:p>
        </w:tc>
      </w:tr>
    </w:tbl>
    <w:p w14:paraId="594EA784">
      <w:pPr>
        <w:spacing w:line="270" w:lineRule="auto"/>
        <w:rPr>
          <w:rFonts w:ascii="Arial"/>
          <w:sz w:val="21"/>
        </w:rPr>
      </w:pPr>
    </w:p>
    <w:p w14:paraId="5C745A46">
      <w:pPr>
        <w:spacing w:before="75" w:line="228" w:lineRule="auto"/>
        <w:ind w:left="2700"/>
        <w:rPr>
          <w:rFonts w:ascii="宋体" w:hAnsi="宋体" w:eastAsia="宋体" w:cs="宋体"/>
          <w:sz w:val="23"/>
          <w:szCs w:val="23"/>
        </w:rPr>
      </w:pPr>
      <w:r>
        <w:rPr>
          <w:rFonts w:ascii="宋体" w:hAnsi="宋体" w:eastAsia="宋体" w:cs="宋体"/>
          <w:spacing w:val="-2"/>
          <w:sz w:val="23"/>
          <w:szCs w:val="23"/>
          <w14:textOutline w14:w="4358" w14:cap="sq" w14:cmpd="sng">
            <w14:solidFill>
              <w14:srgbClr w14:val="000000"/>
            </w14:solidFill>
            <w14:prstDash w14:val="solid"/>
            <w14:bevel/>
          </w14:textOutline>
        </w:rPr>
        <w:t>表</w:t>
      </w:r>
      <w:r>
        <w:rPr>
          <w:rFonts w:ascii="宋体" w:hAnsi="宋体" w:eastAsia="宋体" w:cs="宋体"/>
          <w:spacing w:val="-2"/>
          <w:sz w:val="23"/>
          <w:szCs w:val="23"/>
        </w:rPr>
        <w:t xml:space="preserve"> </w:t>
      </w:r>
      <w:r>
        <w:rPr>
          <w:rFonts w:ascii="Times New Roman" w:hAnsi="Times New Roman" w:eastAsia="Times New Roman" w:cs="Times New Roman"/>
          <w:b/>
          <w:bCs/>
          <w:spacing w:val="-2"/>
          <w:sz w:val="23"/>
          <w:szCs w:val="23"/>
        </w:rPr>
        <w:t>2-29</w:t>
      </w:r>
      <w:r>
        <w:rPr>
          <w:rFonts w:ascii="Times New Roman" w:hAnsi="Times New Roman" w:eastAsia="Times New Roman" w:cs="Times New Roman"/>
          <w:spacing w:val="-2"/>
          <w:sz w:val="23"/>
          <w:szCs w:val="23"/>
        </w:rPr>
        <w:t xml:space="preserve">   </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14:textOutline w14:w="4358" w14:cap="sq" w14:cmpd="sng">
            <w14:solidFill>
              <w14:srgbClr w14:val="000000"/>
            </w14:solidFill>
            <w14:prstDash w14:val="solid"/>
            <w14:bevel/>
          </w14:textOutline>
        </w:rPr>
        <w:t>其他环境保护目标</w:t>
      </w:r>
    </w:p>
    <w:p w14:paraId="627F20D6">
      <w:pPr>
        <w:spacing w:line="17" w:lineRule="exact"/>
      </w:pPr>
    </w:p>
    <w:tbl>
      <w:tblPr>
        <w:tblStyle w:val="4"/>
        <w:tblW w:w="8306" w:type="dxa"/>
        <w:tblInd w:w="4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0"/>
        <w:gridCol w:w="928"/>
        <w:gridCol w:w="1425"/>
        <w:gridCol w:w="795"/>
        <w:gridCol w:w="1846"/>
        <w:gridCol w:w="2312"/>
      </w:tblGrid>
      <w:tr w14:paraId="1FE7D1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000" w:type="dxa"/>
            <w:tcBorders>
              <w:left w:val="nil"/>
            </w:tcBorders>
            <w:vAlign w:val="top"/>
          </w:tcPr>
          <w:p w14:paraId="28C03ED8">
            <w:pPr>
              <w:spacing w:before="101" w:line="228" w:lineRule="auto"/>
              <w:ind w:left="111"/>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环境要素</w:t>
            </w:r>
          </w:p>
        </w:tc>
        <w:tc>
          <w:tcPr>
            <w:tcW w:w="4994" w:type="dxa"/>
            <w:gridSpan w:val="4"/>
            <w:vAlign w:val="top"/>
          </w:tcPr>
          <w:p w14:paraId="2865BEB7">
            <w:pPr>
              <w:spacing w:before="101" w:line="228" w:lineRule="auto"/>
              <w:ind w:left="2109"/>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保</w:t>
            </w:r>
            <w:r>
              <w:rPr>
                <w:rFonts w:ascii="宋体" w:hAnsi="宋体" w:eastAsia="宋体" w:cs="宋体"/>
                <w:spacing w:val="-1"/>
                <w:sz w:val="20"/>
                <w:szCs w:val="20"/>
                <w14:textOutline w14:w="3795" w14:cap="sq" w14:cmpd="sng">
                  <w14:solidFill>
                    <w14:srgbClr w14:val="000000"/>
                  </w14:solidFill>
                  <w14:prstDash w14:val="solid"/>
                  <w14:bevel/>
                </w14:textOutline>
              </w:rPr>
              <w:t>护内容</w:t>
            </w:r>
          </w:p>
        </w:tc>
        <w:tc>
          <w:tcPr>
            <w:tcW w:w="2312" w:type="dxa"/>
            <w:tcBorders>
              <w:right w:val="nil"/>
            </w:tcBorders>
            <w:vAlign w:val="top"/>
          </w:tcPr>
          <w:p w14:paraId="58B2F1EE">
            <w:pPr>
              <w:spacing w:before="102" w:line="228" w:lineRule="auto"/>
              <w:ind w:left="770"/>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保</w:t>
            </w:r>
            <w:r>
              <w:rPr>
                <w:rFonts w:ascii="宋体" w:hAnsi="宋体" w:eastAsia="宋体" w:cs="宋体"/>
                <w:spacing w:val="-1"/>
                <w:sz w:val="20"/>
                <w:szCs w:val="20"/>
                <w14:textOutline w14:w="3795" w14:cap="sq" w14:cmpd="sng">
                  <w14:solidFill>
                    <w14:srgbClr w14:val="000000"/>
                  </w14:solidFill>
                  <w14:prstDash w14:val="solid"/>
                  <w14:bevel/>
                </w14:textOutline>
              </w:rPr>
              <w:t>护级别</w:t>
            </w:r>
          </w:p>
        </w:tc>
      </w:tr>
      <w:tr w14:paraId="609749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000" w:type="dxa"/>
            <w:tcBorders>
              <w:left w:val="nil"/>
            </w:tcBorders>
            <w:vAlign w:val="top"/>
          </w:tcPr>
          <w:p w14:paraId="2FD661E7">
            <w:pPr>
              <w:spacing w:before="237" w:line="228" w:lineRule="auto"/>
              <w:ind w:left="216"/>
              <w:rPr>
                <w:rFonts w:ascii="宋体" w:hAnsi="宋体" w:eastAsia="宋体" w:cs="宋体"/>
                <w:sz w:val="20"/>
                <w:szCs w:val="20"/>
              </w:rPr>
            </w:pPr>
            <w:r>
              <w:rPr>
                <w:rFonts w:ascii="宋体" w:hAnsi="宋体" w:eastAsia="宋体" w:cs="宋体"/>
                <w:spacing w:val="-3"/>
                <w:sz w:val="20"/>
                <w:szCs w:val="20"/>
              </w:rPr>
              <w:t>声</w:t>
            </w:r>
            <w:r>
              <w:rPr>
                <w:rFonts w:ascii="宋体" w:hAnsi="宋体" w:eastAsia="宋体" w:cs="宋体"/>
                <w:spacing w:val="-2"/>
                <w:sz w:val="20"/>
                <w:szCs w:val="20"/>
              </w:rPr>
              <w:t>环境</w:t>
            </w:r>
          </w:p>
        </w:tc>
        <w:tc>
          <w:tcPr>
            <w:tcW w:w="4994" w:type="dxa"/>
            <w:gridSpan w:val="4"/>
            <w:vAlign w:val="top"/>
          </w:tcPr>
          <w:p w14:paraId="040E968D">
            <w:pPr>
              <w:spacing w:before="77" w:line="261" w:lineRule="auto"/>
              <w:ind w:left="1816" w:right="577" w:hanging="1253"/>
              <w:rPr>
                <w:rFonts w:ascii="宋体" w:hAnsi="宋体" w:eastAsia="宋体" w:cs="宋体"/>
                <w:sz w:val="20"/>
                <w:szCs w:val="20"/>
              </w:rPr>
            </w:pPr>
            <w:r>
              <w:rPr>
                <w:rFonts w:ascii="宋体" w:hAnsi="宋体" w:eastAsia="宋体" w:cs="宋体"/>
                <w:spacing w:val="-5"/>
                <w:sz w:val="20"/>
                <w:szCs w:val="20"/>
              </w:rPr>
              <w:t xml:space="preserve">厂界外 </w:t>
            </w:r>
            <w:r>
              <w:rPr>
                <w:rFonts w:ascii="Times New Roman" w:hAnsi="Times New Roman" w:eastAsia="Times New Roman" w:cs="Times New Roman"/>
                <w:spacing w:val="-5"/>
                <w:sz w:val="20"/>
                <w:szCs w:val="20"/>
              </w:rPr>
              <w:t>200</w:t>
            </w:r>
            <w:r>
              <w:rPr>
                <w:rFonts w:ascii="Times New Roman" w:hAnsi="Times New Roman" w:eastAsia="Times New Roman" w:cs="Times New Roman"/>
                <w:spacing w:val="-3"/>
                <w:sz w:val="20"/>
                <w:szCs w:val="20"/>
              </w:rPr>
              <w:t>m</w:t>
            </w:r>
            <w:r>
              <w:rPr>
                <w:rFonts w:ascii="宋体" w:hAnsi="宋体" w:eastAsia="宋体" w:cs="宋体"/>
                <w:spacing w:val="-5"/>
                <w:sz w:val="20"/>
                <w:szCs w:val="20"/>
              </w:rPr>
              <w:t>范围内无声环境敏感目标分布，</w:t>
            </w:r>
            <w:r>
              <w:rPr>
                <w:rFonts w:ascii="宋体" w:hAnsi="宋体" w:eastAsia="宋体" w:cs="宋体"/>
                <w:sz w:val="20"/>
                <w:szCs w:val="20"/>
              </w:rPr>
              <w:t xml:space="preserve"> </w:t>
            </w:r>
            <w:r>
              <w:rPr>
                <w:rFonts w:ascii="宋体" w:hAnsi="宋体" w:eastAsia="宋体" w:cs="宋体"/>
                <w:spacing w:val="-4"/>
                <w:sz w:val="20"/>
                <w:szCs w:val="20"/>
              </w:rPr>
              <w:t>保</w:t>
            </w:r>
            <w:r>
              <w:rPr>
                <w:rFonts w:ascii="宋体" w:hAnsi="宋体" w:eastAsia="宋体" w:cs="宋体"/>
                <w:spacing w:val="-3"/>
                <w:sz w:val="20"/>
                <w:szCs w:val="20"/>
              </w:rPr>
              <w:t>护</w:t>
            </w:r>
            <w:r>
              <w:rPr>
                <w:rFonts w:ascii="宋体" w:hAnsi="宋体" w:eastAsia="宋体" w:cs="宋体"/>
                <w:spacing w:val="-2"/>
                <w:sz w:val="20"/>
                <w:szCs w:val="20"/>
              </w:rPr>
              <w:t>区域声环境</w:t>
            </w:r>
          </w:p>
        </w:tc>
        <w:tc>
          <w:tcPr>
            <w:tcW w:w="2312" w:type="dxa"/>
            <w:tcBorders>
              <w:right w:val="nil"/>
            </w:tcBorders>
            <w:vAlign w:val="top"/>
          </w:tcPr>
          <w:p w14:paraId="7F16286D">
            <w:pPr>
              <w:spacing w:before="77" w:line="261" w:lineRule="auto"/>
              <w:ind w:left="31" w:firstLine="218"/>
              <w:rPr>
                <w:rFonts w:ascii="宋体" w:hAnsi="宋体" w:eastAsia="宋体" w:cs="宋体"/>
                <w:sz w:val="20"/>
                <w:szCs w:val="20"/>
              </w:rPr>
            </w:pPr>
            <w:r>
              <w:rPr>
                <w:rFonts w:ascii="宋体" w:hAnsi="宋体" w:eastAsia="宋体" w:cs="宋体"/>
                <w:spacing w:val="3"/>
                <w:sz w:val="20"/>
                <w:szCs w:val="20"/>
              </w:rPr>
              <w:t>《</w:t>
            </w:r>
            <w:r>
              <w:rPr>
                <w:rFonts w:ascii="宋体" w:hAnsi="宋体" w:eastAsia="宋体" w:cs="宋体"/>
                <w:spacing w:val="2"/>
                <w:sz w:val="20"/>
                <w:szCs w:val="20"/>
              </w:rPr>
              <w:t>声环境质量标准》</w:t>
            </w:r>
            <w:r>
              <w:rPr>
                <w:rFonts w:ascii="宋体" w:hAnsi="宋体" w:eastAsia="宋体" w:cs="宋体"/>
                <w:sz w:val="20"/>
                <w:szCs w:val="20"/>
              </w:rPr>
              <w:t xml:space="preserve">  </w:t>
            </w:r>
            <w:r>
              <w:rPr>
                <w:rFonts w:ascii="宋体" w:hAnsi="宋体" w:eastAsia="宋体" w:cs="宋体"/>
                <w:spacing w:val="5"/>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3096-2008</w:t>
            </w:r>
            <w:r>
              <w:rPr>
                <w:rFonts w:ascii="宋体" w:hAnsi="宋体" w:eastAsia="宋体" w:cs="宋体"/>
                <w:spacing w:val="5"/>
                <w:sz w:val="20"/>
                <w:szCs w:val="20"/>
              </w:rPr>
              <w:t xml:space="preserve">) </w:t>
            </w:r>
            <w:r>
              <w:rPr>
                <w:rFonts w:ascii="Times New Roman" w:hAnsi="Times New Roman" w:eastAsia="Times New Roman" w:cs="Times New Roman"/>
                <w:spacing w:val="5"/>
                <w:sz w:val="20"/>
                <w:szCs w:val="20"/>
              </w:rPr>
              <w:t xml:space="preserve">3 </w:t>
            </w:r>
            <w:r>
              <w:rPr>
                <w:rFonts w:ascii="宋体" w:hAnsi="宋体" w:eastAsia="宋体" w:cs="宋体"/>
                <w:spacing w:val="5"/>
                <w:sz w:val="20"/>
                <w:szCs w:val="20"/>
              </w:rPr>
              <w:t>类标</w:t>
            </w:r>
            <w:r>
              <w:rPr>
                <w:rFonts w:ascii="宋体" w:hAnsi="宋体" w:eastAsia="宋体" w:cs="宋体"/>
                <w:spacing w:val="3"/>
                <w:sz w:val="20"/>
                <w:szCs w:val="20"/>
              </w:rPr>
              <w:t>准</w:t>
            </w:r>
          </w:p>
        </w:tc>
      </w:tr>
      <w:tr w14:paraId="1B658F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1000" w:type="dxa"/>
            <w:vMerge w:val="restart"/>
            <w:tcBorders>
              <w:left w:val="nil"/>
              <w:bottom w:val="nil"/>
            </w:tcBorders>
            <w:vAlign w:val="top"/>
          </w:tcPr>
          <w:p w14:paraId="07CC9ACB">
            <w:pPr>
              <w:spacing w:line="356" w:lineRule="auto"/>
              <w:rPr>
                <w:rFonts w:ascii="Arial"/>
                <w:sz w:val="21"/>
              </w:rPr>
            </w:pPr>
          </w:p>
          <w:p w14:paraId="6CC6AC3B">
            <w:pPr>
              <w:spacing w:before="65" w:line="228" w:lineRule="auto"/>
              <w:ind w:left="15"/>
              <w:rPr>
                <w:rFonts w:ascii="宋体" w:hAnsi="宋体" w:eastAsia="宋体" w:cs="宋体"/>
                <w:sz w:val="20"/>
                <w:szCs w:val="20"/>
              </w:rPr>
            </w:pPr>
            <w:r>
              <w:rPr>
                <w:rFonts w:ascii="宋体" w:hAnsi="宋体" w:eastAsia="宋体" w:cs="宋体"/>
                <w:spacing w:val="-6"/>
                <w:sz w:val="20"/>
                <w:szCs w:val="20"/>
              </w:rPr>
              <w:t>地</w:t>
            </w:r>
            <w:r>
              <w:rPr>
                <w:rFonts w:ascii="宋体" w:hAnsi="宋体" w:eastAsia="宋体" w:cs="宋体"/>
                <w:spacing w:val="-3"/>
                <w:sz w:val="20"/>
                <w:szCs w:val="20"/>
              </w:rPr>
              <w:t>下水环境</w:t>
            </w:r>
          </w:p>
        </w:tc>
        <w:tc>
          <w:tcPr>
            <w:tcW w:w="928" w:type="dxa"/>
            <w:vAlign w:val="top"/>
          </w:tcPr>
          <w:p w14:paraId="03FC5C82">
            <w:pPr>
              <w:spacing w:before="251" w:line="228" w:lineRule="auto"/>
              <w:ind w:left="175"/>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敏</w:t>
            </w:r>
            <w:r>
              <w:rPr>
                <w:rFonts w:ascii="宋体" w:hAnsi="宋体" w:eastAsia="宋体" w:cs="宋体"/>
                <w:spacing w:val="-1"/>
                <w:sz w:val="20"/>
                <w:szCs w:val="20"/>
                <w14:textOutline w14:w="3795" w14:cap="sq" w14:cmpd="sng">
                  <w14:solidFill>
                    <w14:srgbClr w14:val="000000"/>
                  </w14:solidFill>
                  <w14:prstDash w14:val="solid"/>
                  <w14:bevel/>
                </w14:textOutline>
              </w:rPr>
              <w:t>感点</w:t>
            </w:r>
          </w:p>
        </w:tc>
        <w:tc>
          <w:tcPr>
            <w:tcW w:w="1425" w:type="dxa"/>
            <w:vAlign w:val="top"/>
          </w:tcPr>
          <w:p w14:paraId="5C8443CA">
            <w:pPr>
              <w:spacing w:before="251" w:line="228" w:lineRule="auto"/>
              <w:ind w:left="324"/>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保</w:t>
            </w:r>
            <w:r>
              <w:rPr>
                <w:rFonts w:ascii="宋体" w:hAnsi="宋体" w:eastAsia="宋体" w:cs="宋体"/>
                <w:spacing w:val="-1"/>
                <w:sz w:val="20"/>
                <w:szCs w:val="20"/>
                <w14:textOutline w14:w="3795" w14:cap="sq" w14:cmpd="sng">
                  <w14:solidFill>
                    <w14:srgbClr w14:val="000000"/>
                  </w14:solidFill>
                  <w14:prstDash w14:val="solid"/>
                  <w14:bevel/>
                </w14:textOutline>
              </w:rPr>
              <w:t>护内容</w:t>
            </w:r>
          </w:p>
        </w:tc>
        <w:tc>
          <w:tcPr>
            <w:tcW w:w="795" w:type="dxa"/>
            <w:vAlign w:val="top"/>
          </w:tcPr>
          <w:p w14:paraId="1E22BF90">
            <w:pPr>
              <w:spacing w:before="63" w:line="269" w:lineRule="auto"/>
              <w:ind w:left="108" w:right="84"/>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相</w:t>
            </w:r>
            <w:r>
              <w:rPr>
                <w:rFonts w:ascii="宋体" w:hAnsi="宋体" w:eastAsia="宋体" w:cs="宋体"/>
                <w:spacing w:val="-1"/>
                <w:sz w:val="20"/>
                <w:szCs w:val="20"/>
                <w14:textOutline w14:w="3795" w14:cap="sq" w14:cmpd="sng">
                  <w14:solidFill>
                    <w14:srgbClr w14:val="000000"/>
                  </w14:solidFill>
                  <w14:prstDash w14:val="solid"/>
                  <w14:bevel/>
                </w14:textOutline>
              </w:rPr>
              <w:t>对厂</w:t>
            </w:r>
            <w:r>
              <w:rPr>
                <w:rFonts w:ascii="宋体" w:hAnsi="宋体" w:eastAsia="宋体" w:cs="宋体"/>
                <w:sz w:val="20"/>
                <w:szCs w:val="20"/>
              </w:rPr>
              <w:t xml:space="preserve"> </w:t>
            </w:r>
            <w:r>
              <w:rPr>
                <w:rFonts w:ascii="宋体" w:hAnsi="宋体" w:eastAsia="宋体" w:cs="宋体"/>
                <w:spacing w:val="-2"/>
                <w:sz w:val="20"/>
                <w:szCs w:val="20"/>
                <w14:textOutline w14:w="3795" w14:cap="sq" w14:cmpd="sng">
                  <w14:solidFill>
                    <w14:srgbClr w14:val="000000"/>
                  </w14:solidFill>
                  <w14:prstDash w14:val="solid"/>
                  <w14:bevel/>
                </w14:textOutline>
              </w:rPr>
              <w:t>址方</w:t>
            </w:r>
            <w:r>
              <w:rPr>
                <w:rFonts w:ascii="宋体" w:hAnsi="宋体" w:eastAsia="宋体" w:cs="宋体"/>
                <w:spacing w:val="-1"/>
                <w:sz w:val="20"/>
                <w:szCs w:val="20"/>
                <w14:textOutline w14:w="3795" w14:cap="sq" w14:cmpd="sng">
                  <w14:solidFill>
                    <w14:srgbClr w14:val="000000"/>
                  </w14:solidFill>
                  <w14:prstDash w14:val="solid"/>
                  <w14:bevel/>
                </w14:textOutline>
              </w:rPr>
              <w:t>向</w:t>
            </w:r>
          </w:p>
        </w:tc>
        <w:tc>
          <w:tcPr>
            <w:tcW w:w="1846" w:type="dxa"/>
            <w:vAlign w:val="top"/>
          </w:tcPr>
          <w:p w14:paraId="1FB7C32D">
            <w:pPr>
              <w:spacing w:before="189" w:line="288" w:lineRule="exact"/>
              <w:ind w:left="31"/>
              <w:rPr>
                <w:rFonts w:ascii="Times New Roman" w:hAnsi="Times New Roman" w:eastAsia="Times New Roman" w:cs="Times New Roman"/>
                <w:sz w:val="20"/>
                <w:szCs w:val="20"/>
              </w:rPr>
            </w:pPr>
            <w:r>
              <w:rPr>
                <w:rFonts w:ascii="宋体" w:hAnsi="宋体" w:eastAsia="宋体" w:cs="宋体"/>
                <w:spacing w:val="-4"/>
                <w:position w:val="1"/>
                <w:sz w:val="20"/>
                <w:szCs w:val="20"/>
                <w14:textOutline w14:w="3795" w14:cap="sq" w14:cmpd="sng">
                  <w14:solidFill>
                    <w14:srgbClr w14:val="000000"/>
                  </w14:solidFill>
                  <w14:prstDash w14:val="solid"/>
                  <w14:bevel/>
                </w14:textOutline>
              </w:rPr>
              <w:t>相</w:t>
            </w:r>
            <w:r>
              <w:rPr>
                <w:rFonts w:ascii="宋体" w:hAnsi="宋体" w:eastAsia="宋体" w:cs="宋体"/>
                <w:spacing w:val="-2"/>
                <w:position w:val="1"/>
                <w:sz w:val="20"/>
                <w:szCs w:val="20"/>
                <w14:textOutline w14:w="3795" w14:cap="sq" w14:cmpd="sng">
                  <w14:solidFill>
                    <w14:srgbClr w14:val="000000"/>
                  </w14:solidFill>
                  <w14:prstDash w14:val="solid"/>
                  <w14:bevel/>
                </w14:textOutline>
              </w:rPr>
              <w:t>对厂界直线距离</w:t>
            </w:r>
            <w:r>
              <w:rPr>
                <w:rFonts w:ascii="Times New Roman" w:hAnsi="Times New Roman" w:eastAsia="Times New Roman" w:cs="Times New Roman"/>
                <w:b/>
                <w:bCs/>
                <w:spacing w:val="-2"/>
                <w:position w:val="1"/>
                <w:sz w:val="20"/>
                <w:szCs w:val="20"/>
              </w:rPr>
              <w:t>/m</w:t>
            </w:r>
          </w:p>
        </w:tc>
        <w:tc>
          <w:tcPr>
            <w:tcW w:w="2312" w:type="dxa"/>
            <w:vMerge w:val="restart"/>
            <w:tcBorders>
              <w:bottom w:val="nil"/>
              <w:right w:val="nil"/>
            </w:tcBorders>
            <w:vAlign w:val="top"/>
          </w:tcPr>
          <w:p w14:paraId="6D6335EF">
            <w:pPr>
              <w:spacing w:before="103" w:line="228" w:lineRule="auto"/>
              <w:ind w:left="469"/>
              <w:rPr>
                <w:rFonts w:ascii="宋体" w:hAnsi="宋体" w:eastAsia="宋体" w:cs="宋体"/>
                <w:sz w:val="20"/>
                <w:szCs w:val="20"/>
              </w:rPr>
            </w:pPr>
            <w:r>
              <w:rPr>
                <w:rFonts w:ascii="宋体" w:hAnsi="宋体" w:eastAsia="宋体" w:cs="宋体"/>
                <w:sz w:val="20"/>
                <w:szCs w:val="20"/>
              </w:rPr>
              <w:t>达到《地下水质</w:t>
            </w:r>
          </w:p>
          <w:p w14:paraId="04695373">
            <w:pPr>
              <w:spacing w:before="36" w:line="281" w:lineRule="exact"/>
              <w:ind w:left="16"/>
              <w:rPr>
                <w:rFonts w:ascii="宋体" w:hAnsi="宋体" w:eastAsia="宋体" w:cs="宋体"/>
                <w:sz w:val="20"/>
                <w:szCs w:val="20"/>
              </w:rPr>
            </w:pPr>
            <w:r>
              <w:rPr>
                <w:rFonts w:ascii="宋体" w:hAnsi="宋体" w:eastAsia="宋体" w:cs="宋体"/>
                <w:spacing w:val="-17"/>
                <w:position w:val="1"/>
                <w:sz w:val="20"/>
                <w:szCs w:val="20"/>
              </w:rPr>
              <w:t>量</w:t>
            </w:r>
            <w:r>
              <w:rPr>
                <w:rFonts w:ascii="宋体" w:hAnsi="宋体" w:eastAsia="宋体" w:cs="宋体"/>
                <w:spacing w:val="-11"/>
                <w:position w:val="1"/>
                <w:sz w:val="20"/>
                <w:szCs w:val="20"/>
              </w:rPr>
              <w:t>标准》(</w:t>
            </w:r>
            <w:r>
              <w:rPr>
                <w:rFonts w:ascii="Times New Roman" w:hAnsi="Times New Roman" w:eastAsia="Times New Roman" w:cs="Times New Roman"/>
                <w:spacing w:val="-11"/>
                <w:position w:val="1"/>
                <w:sz w:val="20"/>
                <w:szCs w:val="20"/>
              </w:rPr>
              <w:t>GB/T14848-2017</w:t>
            </w:r>
            <w:r>
              <w:rPr>
                <w:rFonts w:ascii="宋体" w:hAnsi="宋体" w:eastAsia="宋体" w:cs="宋体"/>
                <w:spacing w:val="-11"/>
                <w:position w:val="1"/>
                <w:sz w:val="20"/>
                <w:szCs w:val="20"/>
              </w:rPr>
              <w:t>)</w:t>
            </w:r>
          </w:p>
          <w:p w14:paraId="5AEC5DD2">
            <w:pPr>
              <w:spacing w:before="75" w:line="228" w:lineRule="auto"/>
              <w:ind w:left="769"/>
              <w:rPr>
                <w:rFonts w:ascii="宋体" w:hAnsi="宋体" w:eastAsia="宋体" w:cs="宋体"/>
                <w:sz w:val="20"/>
                <w:szCs w:val="20"/>
              </w:rPr>
            </w:pPr>
            <w:r>
              <w:rPr>
                <w:rFonts w:ascii="Times New Roman" w:hAnsi="Times New Roman" w:eastAsia="Times New Roman" w:cs="Times New Roman"/>
                <w:spacing w:val="1"/>
                <w:sz w:val="20"/>
                <w:szCs w:val="20"/>
              </w:rPr>
              <w:t>Ⅲ</w:t>
            </w:r>
            <w:r>
              <w:rPr>
                <w:rFonts w:ascii="宋体" w:hAnsi="宋体" w:eastAsia="宋体" w:cs="宋体"/>
                <w:spacing w:val="1"/>
                <w:sz w:val="20"/>
                <w:szCs w:val="20"/>
              </w:rPr>
              <w:t>类标</w:t>
            </w:r>
            <w:r>
              <w:rPr>
                <w:rFonts w:ascii="宋体" w:hAnsi="宋体" w:eastAsia="宋体" w:cs="宋体"/>
                <w:sz w:val="20"/>
                <w:szCs w:val="20"/>
              </w:rPr>
              <w:t>准</w:t>
            </w:r>
          </w:p>
        </w:tc>
      </w:tr>
      <w:tr w14:paraId="6BBB37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1000" w:type="dxa"/>
            <w:vMerge w:val="continue"/>
            <w:tcBorders>
              <w:top w:val="nil"/>
              <w:left w:val="nil"/>
            </w:tcBorders>
            <w:vAlign w:val="top"/>
          </w:tcPr>
          <w:p w14:paraId="70C79EA9">
            <w:pPr>
              <w:rPr>
                <w:rFonts w:ascii="Arial"/>
                <w:sz w:val="21"/>
              </w:rPr>
            </w:pPr>
          </w:p>
        </w:tc>
        <w:tc>
          <w:tcPr>
            <w:tcW w:w="928" w:type="dxa"/>
            <w:vAlign w:val="top"/>
          </w:tcPr>
          <w:p w14:paraId="1D048B90">
            <w:pPr>
              <w:spacing w:before="86" w:line="228" w:lineRule="auto"/>
              <w:ind w:left="174"/>
              <w:rPr>
                <w:rFonts w:ascii="宋体" w:hAnsi="宋体" w:eastAsia="宋体" w:cs="宋体"/>
                <w:sz w:val="20"/>
                <w:szCs w:val="20"/>
              </w:rPr>
            </w:pPr>
            <w:r>
              <w:rPr>
                <w:rFonts w:ascii="宋体" w:hAnsi="宋体" w:eastAsia="宋体" w:cs="宋体"/>
                <w:spacing w:val="-1"/>
                <w:sz w:val="20"/>
                <w:szCs w:val="20"/>
              </w:rPr>
              <w:t>榆树底</w:t>
            </w:r>
          </w:p>
        </w:tc>
        <w:tc>
          <w:tcPr>
            <w:tcW w:w="1425" w:type="dxa"/>
            <w:vAlign w:val="top"/>
          </w:tcPr>
          <w:p w14:paraId="5F47C32A">
            <w:pPr>
              <w:spacing w:before="86" w:line="228" w:lineRule="auto"/>
              <w:ind w:left="95"/>
              <w:rPr>
                <w:rFonts w:ascii="宋体" w:hAnsi="宋体" w:eastAsia="宋体" w:cs="宋体"/>
                <w:sz w:val="20"/>
                <w:szCs w:val="20"/>
              </w:rPr>
            </w:pPr>
            <w:r>
              <w:rPr>
                <w:rFonts w:ascii="Times New Roman" w:hAnsi="Times New Roman" w:eastAsia="Times New Roman" w:cs="Times New Roman"/>
                <w:spacing w:val="-4"/>
                <w:sz w:val="20"/>
                <w:szCs w:val="20"/>
              </w:rPr>
              <w:t xml:space="preserve">160 </w:t>
            </w:r>
            <w:r>
              <w:rPr>
                <w:rFonts w:ascii="宋体" w:hAnsi="宋体" w:eastAsia="宋体" w:cs="宋体"/>
                <w:spacing w:val="-2"/>
                <w:sz w:val="20"/>
                <w:szCs w:val="20"/>
              </w:rPr>
              <w:t>户，</w:t>
            </w:r>
            <w:r>
              <w:rPr>
                <w:rFonts w:ascii="Times New Roman" w:hAnsi="Times New Roman" w:eastAsia="Times New Roman" w:cs="Times New Roman"/>
                <w:spacing w:val="-2"/>
                <w:sz w:val="20"/>
                <w:szCs w:val="20"/>
              </w:rPr>
              <w:t xml:space="preserve">560 </w:t>
            </w:r>
            <w:r>
              <w:rPr>
                <w:rFonts w:ascii="宋体" w:hAnsi="宋体" w:eastAsia="宋体" w:cs="宋体"/>
                <w:spacing w:val="-2"/>
                <w:sz w:val="20"/>
                <w:szCs w:val="20"/>
              </w:rPr>
              <w:t>人</w:t>
            </w:r>
          </w:p>
        </w:tc>
        <w:tc>
          <w:tcPr>
            <w:tcW w:w="795" w:type="dxa"/>
            <w:vAlign w:val="top"/>
          </w:tcPr>
          <w:p w14:paraId="57361762">
            <w:pPr>
              <w:spacing w:before="67" w:line="231" w:lineRule="auto"/>
              <w:ind w:left="212"/>
              <w:rPr>
                <w:rFonts w:ascii="宋体" w:hAnsi="宋体" w:eastAsia="宋体" w:cs="宋体"/>
                <w:sz w:val="20"/>
                <w:szCs w:val="20"/>
              </w:rPr>
            </w:pPr>
            <w:r>
              <w:rPr>
                <w:rFonts w:ascii="宋体" w:hAnsi="宋体" w:eastAsia="宋体" w:cs="宋体"/>
                <w:spacing w:val="-3"/>
                <w:sz w:val="20"/>
                <w:szCs w:val="20"/>
              </w:rPr>
              <w:t>西</w:t>
            </w:r>
            <w:r>
              <w:rPr>
                <w:rFonts w:ascii="宋体" w:hAnsi="宋体" w:eastAsia="宋体" w:cs="宋体"/>
                <w:spacing w:val="-2"/>
                <w:sz w:val="20"/>
                <w:szCs w:val="20"/>
              </w:rPr>
              <w:t>北</w:t>
            </w:r>
          </w:p>
        </w:tc>
        <w:tc>
          <w:tcPr>
            <w:tcW w:w="1846" w:type="dxa"/>
            <w:vAlign w:val="top"/>
          </w:tcPr>
          <w:p w14:paraId="050AD60A">
            <w:pPr>
              <w:spacing w:before="103" w:line="195" w:lineRule="auto"/>
              <w:ind w:left="78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w:t>
            </w:r>
            <w:r>
              <w:rPr>
                <w:rFonts w:ascii="Times New Roman" w:hAnsi="Times New Roman" w:eastAsia="Times New Roman" w:cs="Times New Roman"/>
                <w:spacing w:val="-1"/>
                <w:sz w:val="20"/>
                <w:szCs w:val="20"/>
              </w:rPr>
              <w:t>30</w:t>
            </w:r>
          </w:p>
        </w:tc>
        <w:tc>
          <w:tcPr>
            <w:tcW w:w="2312" w:type="dxa"/>
            <w:vMerge w:val="continue"/>
            <w:tcBorders>
              <w:top w:val="nil"/>
              <w:right w:val="nil"/>
            </w:tcBorders>
            <w:vAlign w:val="top"/>
          </w:tcPr>
          <w:p w14:paraId="114BE7FC">
            <w:pPr>
              <w:rPr>
                <w:rFonts w:ascii="Arial"/>
                <w:sz w:val="21"/>
              </w:rPr>
            </w:pPr>
          </w:p>
        </w:tc>
      </w:tr>
    </w:tbl>
    <w:p w14:paraId="02B524AE">
      <w:pPr>
        <w:rPr>
          <w:rFonts w:ascii="Arial"/>
          <w:sz w:val="21"/>
        </w:rPr>
      </w:pPr>
    </w:p>
    <w:p w14:paraId="35EEC114">
      <w:pPr>
        <w:sectPr>
          <w:headerReference r:id="rId82" w:type="default"/>
          <w:footerReference r:id="rId83" w:type="default"/>
          <w:pgSz w:w="11906" w:h="16839"/>
          <w:pgMar w:top="1132" w:right="1757" w:bottom="1156" w:left="1758" w:header="878" w:footer="996" w:gutter="0"/>
          <w:cols w:space="720" w:num="1"/>
        </w:sectPr>
      </w:pPr>
    </w:p>
    <w:p w14:paraId="57E77768">
      <w:r>
        <w:pict>
          <v:shape id="_x0000_s1107" o:spid="_x0000_s1107" style="position:absolute;left:0pt;margin-left:72pt;margin-top:57.35pt;height:0.75pt;width:1043.9pt;mso-position-horizontal-relative:page;mso-position-vertical-relative:page;z-index:251741184;mso-width-relative:page;mso-height-relative:page;" fillcolor="#000000" filled="t" stroked="f" coordsize="20878,15" o:allowincell="f" path="m0,0l20877,0,20877,14,0,14,0,0xe">
            <v:path/>
            <v:fill on="t" focussize="0,0"/>
            <v:stroke on="f"/>
            <v:imagedata o:title=""/>
            <o:lock v:ext="edit"/>
          </v:shape>
        </w:pict>
      </w:r>
    </w:p>
    <w:p w14:paraId="5472FE2B"/>
    <w:p w14:paraId="4725312E"/>
    <w:p w14:paraId="63E4E115"/>
    <w:p w14:paraId="560BAA59"/>
    <w:p w14:paraId="505A6224"/>
    <w:p w14:paraId="1A317FB5"/>
    <w:p w14:paraId="7C775B6C">
      <w:pPr>
        <w:spacing w:line="104" w:lineRule="exact"/>
      </w:pPr>
    </w:p>
    <w:tbl>
      <w:tblPr>
        <w:tblStyle w:val="4"/>
        <w:tblW w:w="18911" w:type="dxa"/>
        <w:tblInd w:w="1046"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18911"/>
      </w:tblGrid>
      <w:tr w14:paraId="3898C50B">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10640" w:hRule="atLeast"/>
        </w:trPr>
        <w:tc>
          <w:tcPr>
            <w:tcW w:w="18911" w:type="dxa"/>
            <w:vAlign w:val="top"/>
          </w:tcPr>
          <w:p w14:paraId="1E5427E4">
            <w:r>
              <w:pict>
                <v:shape id="_x0000_s1108" o:spid="_x0000_s1108" o:spt="202" type="#_x0000_t202" style="position:absolute;left:0pt;margin-left:297.15pt;margin-top:16pt;height:20.1pt;width:15.75pt;mso-position-horizontal-relative:page;mso-position-vertical-relative:page;z-index:251742208;mso-width-relative:page;mso-height-relative:page;" filled="f" stroked="f" coordsize="21600,21600">
                  <v:path/>
                  <v:fill on="f" focussize="0,0"/>
                  <v:stroke on="f"/>
                  <v:imagedata o:title=""/>
                  <o:lock v:ext="edit" aspectratio="f"/>
                  <v:textbox inset="0mm,0mm,0mm,0mm">
                    <w:txbxContent>
                      <w:p w14:paraId="67FEC056">
                        <w:pPr>
                          <w:spacing w:before="20" w:line="179" w:lineRule="auto"/>
                          <w:ind w:left="20"/>
                          <w:rPr>
                            <w:rFonts w:ascii="Malgun Gothic" w:hAnsi="Malgun Gothic" w:eastAsia="Malgun Gothic" w:cs="Malgun Gothic"/>
                            <w:sz w:val="28"/>
                            <w:szCs w:val="28"/>
                          </w:rPr>
                        </w:pPr>
                        <w:r>
                          <w:rPr>
                            <w:rFonts w:ascii="Malgun Gothic" w:hAnsi="Malgun Gothic" w:eastAsia="Malgun Gothic" w:cs="Malgun Gothic"/>
                            <w:sz w:val="28"/>
                            <w:szCs w:val="28"/>
                            <w14:textOutline w14:w="5103" w14:cap="sq" w14:cmpd="sng">
                              <w14:solidFill>
                                <w14:srgbClr w14:val="000000"/>
                              </w14:solidFill>
                              <w14:prstDash w14:val="solid"/>
                              <w14:bevel/>
                            </w14:textOutline>
                          </w:rPr>
                          <w:t>⑫</w:t>
                        </w:r>
                      </w:p>
                    </w:txbxContent>
                  </v:textbox>
                </v:shape>
              </w:pict>
            </w:r>
            <w:r>
              <w:pict>
                <v:group id="_x0000_s1109" o:spid="_x0000_s1109" o:spt="203" style="position:absolute;left:0pt;margin-left:509.1pt;margin-top:153.1pt;height:85.5pt;width:65.25pt;mso-position-horizontal-relative:page;mso-position-vertical-relative:page;z-index:251754496;mso-width-relative:page;mso-height-relative:page;" coordsize="1305,1710">
                  <o:lock v:ext="edit"/>
                  <v:shape id="_x0000_s1110" o:spid="_x0000_s1110" o:spt="75" type="#_x0000_t75" style="position:absolute;left:0;top:0;height:1710;width:1305;" filled="f" stroked="f" coordsize="21600,21600">
                    <v:path/>
                    <v:fill on="f" focussize="0,0"/>
                    <v:stroke on="f"/>
                    <v:imagedata r:id="rId407" o:title=""/>
                    <o:lock v:ext="edit" aspectratio="t"/>
                  </v:shape>
                  <v:shape id="_x0000_s1111" o:spid="_x0000_s1111" o:spt="202" type="#_x0000_t202" style="position:absolute;left:-20;top:-20;height:1800;width:1345;" filled="f" stroked="f" coordsize="21600,21600">
                    <v:path/>
                    <v:fill on="f" focussize="0,0"/>
                    <v:stroke on="f"/>
                    <v:imagedata o:title=""/>
                    <o:lock v:ext="edit" aspectratio="f"/>
                    <v:textbox inset="0mm,0mm,0mm,0mm">
                      <w:txbxContent>
                        <w:p w14:paraId="2DA24635">
                          <w:pPr>
                            <w:spacing w:line="333" w:lineRule="auto"/>
                            <w:rPr>
                              <w:rFonts w:ascii="Arial"/>
                              <w:sz w:val="21"/>
                            </w:rPr>
                          </w:pPr>
                        </w:p>
                        <w:p w14:paraId="57F1F125">
                          <w:pPr>
                            <w:spacing w:line="333" w:lineRule="auto"/>
                            <w:rPr>
                              <w:rFonts w:ascii="Arial"/>
                              <w:sz w:val="21"/>
                            </w:rPr>
                          </w:pPr>
                        </w:p>
                        <w:p w14:paraId="4048A913">
                          <w:pPr>
                            <w:spacing w:before="91" w:line="222" w:lineRule="auto"/>
                            <w:ind w:left="271"/>
                            <w:rPr>
                              <w:rFonts w:ascii="仿宋" w:hAnsi="仿宋" w:eastAsia="仿宋" w:cs="仿宋"/>
                              <w:sz w:val="28"/>
                              <w:szCs w:val="28"/>
                            </w:rPr>
                          </w:pPr>
                          <w:r>
                            <w:rPr>
                              <w:rFonts w:ascii="仿宋" w:hAnsi="仿宋" w:eastAsia="仿宋" w:cs="仿宋"/>
                              <w:sz w:val="28"/>
                              <w:szCs w:val="28"/>
                              <w14:textOutline w14:w="5103" w14:cap="sq" w14:cmpd="sng">
                                <w14:solidFill>
                                  <w14:srgbClr w14:val="000000"/>
                                </w14:solidFill>
                                <w14:prstDash w14:val="solid"/>
                                <w14:bevel/>
                              </w14:textOutline>
                            </w:rPr>
                            <w:t>①</w:t>
                          </w:r>
                        </w:p>
                      </w:txbxContent>
                    </v:textbox>
                  </v:shape>
                </v:group>
              </w:pict>
            </w:r>
            <w:r>
              <w:pict>
                <v:group id="_x0000_s1112" o:spid="_x0000_s1112" o:spt="203" style="position:absolute;left:0pt;margin-left:208.35pt;margin-top:153.8pt;height:16.55pt;width:49.5pt;mso-position-horizontal-relative:page;mso-position-vertical-relative:page;z-index:251763712;mso-width-relative:page;mso-height-relative:page;" coordsize="990,330">
                  <o:lock v:ext="edit"/>
                  <v:shape id="_x0000_s1113" o:spid="_x0000_s1113" o:spt="75" type="#_x0000_t75" style="position:absolute;left:0;top:0;height:330;width:990;" filled="f" stroked="f" coordsize="21600,21600">
                    <v:path/>
                    <v:fill on="f" focussize="0,0"/>
                    <v:stroke on="f"/>
                    <v:imagedata r:id="rId408" o:title=""/>
                    <o:lock v:ext="edit" aspectratio="t"/>
                  </v:shape>
                  <v:shape id="_x0000_s1114" o:spid="_x0000_s1114" o:spt="202" type="#_x0000_t202" style="position:absolute;left:-20;top:-20;height:420;width:1030;" filled="f" stroked="f" coordsize="21600,21600">
                    <v:path/>
                    <v:fill on="f" focussize="0,0"/>
                    <v:stroke on="f"/>
                    <v:imagedata o:title=""/>
                    <o:lock v:ext="edit" aspectratio="f"/>
                    <v:textbox inset="0mm,0mm,0mm,0mm">
                      <w:txbxContent>
                        <w:p w14:paraId="18C482FE">
                          <w:pPr>
                            <w:spacing w:before="20" w:line="222" w:lineRule="auto"/>
                            <w:ind w:left="299"/>
                            <w:rPr>
                              <w:rFonts w:ascii="仿宋" w:hAnsi="仿宋" w:eastAsia="仿宋" w:cs="仿宋"/>
                              <w:sz w:val="28"/>
                              <w:szCs w:val="28"/>
                            </w:rPr>
                          </w:pPr>
                          <w:r>
                            <w:rPr>
                              <w:rFonts w:ascii="仿宋" w:hAnsi="仿宋" w:eastAsia="仿宋" w:cs="仿宋"/>
                              <w:sz w:val="28"/>
                              <w:szCs w:val="28"/>
                              <w14:textOutline w14:w="5103" w14:cap="sq" w14:cmpd="sng">
                                <w14:solidFill>
                                  <w14:srgbClr w14:val="000000"/>
                                </w14:solidFill>
                                <w14:prstDash w14:val="solid"/>
                                <w14:bevel/>
                              </w14:textOutline>
                            </w:rPr>
                            <w:t>⑤</w:t>
                          </w:r>
                        </w:p>
                      </w:txbxContent>
                    </v:textbox>
                  </v:shape>
                </v:group>
              </w:pict>
            </w:r>
            <w:r>
              <w:pict>
                <v:group id="_x0000_s1115" o:spid="_x0000_s1115" o:spt="203" style="position:absolute;left:0pt;margin-left:245.1pt;margin-top:160.6pt;height:69.75pt;width:66pt;mso-position-horizontal-relative:page;mso-position-vertical-relative:page;z-index:251762688;mso-width-relative:page;mso-height-relative:page;" coordsize="1320,1395">
                  <o:lock v:ext="edit"/>
                  <v:shape id="_x0000_s1116" o:spid="_x0000_s1116" o:spt="75" type="#_x0000_t75" style="position:absolute;left:0;top:0;height:1395;width:1320;" filled="f" stroked="f" coordsize="21600,21600">
                    <v:path/>
                    <v:fill on="f" focussize="0,0"/>
                    <v:stroke on="f"/>
                    <v:imagedata r:id="rId409" o:title=""/>
                    <o:lock v:ext="edit" aspectratio="t"/>
                  </v:shape>
                  <v:shape id="_x0000_s1117" o:spid="_x0000_s1117" o:spt="202" type="#_x0000_t202" style="position:absolute;left:-20;top:-20;height:1485;width:1360;" filled="f" stroked="f" coordsize="21600,21600">
                    <v:path/>
                    <v:fill on="f" focussize="0,0"/>
                    <v:stroke on="f"/>
                    <v:imagedata o:title=""/>
                    <o:lock v:ext="edit" aspectratio="f"/>
                    <v:textbox inset="0mm,0mm,0mm,0mm">
                      <w:txbxContent>
                        <w:p w14:paraId="432EBDCB">
                          <w:pPr>
                            <w:spacing w:line="436" w:lineRule="auto"/>
                            <w:rPr>
                              <w:rFonts w:ascii="Arial"/>
                              <w:sz w:val="21"/>
                            </w:rPr>
                          </w:pPr>
                        </w:p>
                        <w:p w14:paraId="47F60461">
                          <w:pPr>
                            <w:spacing w:before="91" w:line="222" w:lineRule="auto"/>
                            <w:ind w:left="395"/>
                            <w:rPr>
                              <w:rFonts w:ascii="仿宋" w:hAnsi="仿宋" w:eastAsia="仿宋" w:cs="仿宋"/>
                              <w:sz w:val="28"/>
                              <w:szCs w:val="28"/>
                            </w:rPr>
                          </w:pPr>
                          <w:r>
                            <w:rPr>
                              <w:rFonts w:ascii="仿宋" w:hAnsi="仿宋" w:eastAsia="仿宋" w:cs="仿宋"/>
                              <w:sz w:val="28"/>
                              <w:szCs w:val="28"/>
                              <w14:textOutline w14:w="5103" w14:cap="sq" w14:cmpd="sng">
                                <w14:solidFill>
                                  <w14:srgbClr w14:val="000000"/>
                                </w14:solidFill>
                                <w14:prstDash w14:val="solid"/>
                                <w14:bevel/>
                              </w14:textOutline>
                            </w:rPr>
                            <w:t>④</w:t>
                          </w:r>
                        </w:p>
                      </w:txbxContent>
                    </v:textbox>
                  </v:shape>
                </v:group>
              </w:pict>
            </w:r>
            <w:r>
              <w:drawing>
                <wp:anchor distT="0" distB="0" distL="0" distR="0" simplePos="0" relativeHeight="251765760" behindDoc="0" locked="0" layoutInCell="1" allowOverlap="1">
                  <wp:simplePos x="0" y="0"/>
                  <wp:positionH relativeFrom="rightMargin">
                    <wp:posOffset>-11979275</wp:posOffset>
                  </wp:positionH>
                  <wp:positionV relativeFrom="topMargin">
                    <wp:posOffset>19050</wp:posOffset>
                  </wp:positionV>
                  <wp:extent cx="1228090" cy="1257300"/>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410"/>
                          <a:stretch>
                            <a:fillRect/>
                          </a:stretch>
                        </pic:blipFill>
                        <pic:spPr>
                          <a:xfrm>
                            <a:off x="0" y="0"/>
                            <a:ext cx="1228344" cy="1257300"/>
                          </a:xfrm>
                          <a:prstGeom prst="rect">
                            <a:avLst/>
                          </a:prstGeom>
                        </pic:spPr>
                      </pic:pic>
                    </a:graphicData>
                  </a:graphic>
                </wp:anchor>
              </w:drawing>
            </w:r>
            <w:r>
              <w:drawing>
                <wp:anchor distT="0" distB="0" distL="0" distR="0" simplePos="0" relativeHeight="251744256" behindDoc="0" locked="0" layoutInCell="1" allowOverlap="1">
                  <wp:simplePos x="0" y="0"/>
                  <wp:positionH relativeFrom="rightMargin">
                    <wp:posOffset>-6862445</wp:posOffset>
                  </wp:positionH>
                  <wp:positionV relativeFrom="topMargin">
                    <wp:posOffset>2444750</wp:posOffset>
                  </wp:positionV>
                  <wp:extent cx="2470785" cy="2389505"/>
                  <wp:effectExtent l="0" t="0" r="0" b="0"/>
                  <wp:wrapNone/>
                  <wp:docPr id="31" name="IM 31"/>
                  <wp:cNvGraphicFramePr/>
                  <a:graphic xmlns:a="http://schemas.openxmlformats.org/drawingml/2006/main">
                    <a:graphicData uri="http://schemas.openxmlformats.org/drawingml/2006/picture">
                      <pic:pic xmlns:pic="http://schemas.openxmlformats.org/drawingml/2006/picture">
                        <pic:nvPicPr>
                          <pic:cNvPr id="31" name="IM 31"/>
                          <pic:cNvPicPr/>
                        </pic:nvPicPr>
                        <pic:blipFill>
                          <a:blip r:embed="rId411"/>
                          <a:stretch>
                            <a:fillRect/>
                          </a:stretch>
                        </pic:blipFill>
                        <pic:spPr>
                          <a:xfrm>
                            <a:off x="0" y="0"/>
                            <a:ext cx="2470937" cy="2389352"/>
                          </a:xfrm>
                          <a:prstGeom prst="rect">
                            <a:avLst/>
                          </a:prstGeom>
                        </pic:spPr>
                      </pic:pic>
                    </a:graphicData>
                  </a:graphic>
                </wp:anchor>
              </w:drawing>
            </w:r>
            <w:r>
              <w:pict>
                <v:group id="_x0000_s1118" o:spid="_x0000_s1118" o:spt="203" style="position:absolute;left:0pt;margin-left:431.85pt;margin-top:226.6pt;height:47.25pt;width:31.5pt;mso-position-horizontal-relative:page;mso-position-vertical-relative:page;z-index:251750400;mso-width-relative:page;mso-height-relative:page;" coordsize="630,945">
                  <o:lock v:ext="edit"/>
                  <v:shape id="_x0000_s1119" o:spid="_x0000_s1119" o:spt="75" type="#_x0000_t75" style="position:absolute;left:0;top:0;height:945;width:630;" filled="f" stroked="f" coordsize="21600,21600">
                    <v:path/>
                    <v:fill on="f" focussize="0,0"/>
                    <v:stroke on="f"/>
                    <v:imagedata r:id="rId412" o:title=""/>
                    <o:lock v:ext="edit" aspectratio="t"/>
                  </v:shape>
                  <v:shape id="_x0000_s1120" o:spid="_x0000_s1120" o:spt="202" type="#_x0000_t202" style="position:absolute;left:-20;top:-20;height:1035;width:670;" filled="f" stroked="f" coordsize="21600,21600">
                    <v:path/>
                    <v:fill on="f" focussize="0,0"/>
                    <v:stroke on="f"/>
                    <v:imagedata o:title=""/>
                    <o:lock v:ext="edit" aspectratio="f"/>
                    <v:textbox inset="0mm,0mm,0mm,0mm">
                      <w:txbxContent>
                        <w:p w14:paraId="67DEA9F0">
                          <w:pPr>
                            <w:spacing w:line="257" w:lineRule="auto"/>
                            <w:rPr>
                              <w:rFonts w:ascii="Arial"/>
                              <w:sz w:val="21"/>
                            </w:rPr>
                          </w:pPr>
                        </w:p>
                        <w:p w14:paraId="7BA01B32">
                          <w:pPr>
                            <w:spacing w:before="91" w:line="222" w:lineRule="auto"/>
                            <w:ind w:left="178"/>
                            <w:rPr>
                              <w:rFonts w:ascii="仿宋" w:hAnsi="仿宋" w:eastAsia="仿宋" w:cs="仿宋"/>
                              <w:sz w:val="28"/>
                              <w:szCs w:val="28"/>
                            </w:rPr>
                          </w:pPr>
                          <w:r>
                            <w:rPr>
                              <w:rFonts w:ascii="仿宋" w:hAnsi="仿宋" w:eastAsia="仿宋" w:cs="仿宋"/>
                              <w:sz w:val="28"/>
                              <w:szCs w:val="28"/>
                              <w14:textOutline w14:w="5103" w14:cap="sq" w14:cmpd="sng">
                                <w14:solidFill>
                                  <w14:srgbClr w14:val="000000"/>
                                </w14:solidFill>
                                <w14:prstDash w14:val="solid"/>
                                <w14:bevel/>
                              </w14:textOutline>
                            </w:rPr>
                            <w:t>③</w:t>
                          </w:r>
                        </w:p>
                      </w:txbxContent>
                    </v:textbox>
                  </v:shape>
                </v:group>
              </w:pict>
            </w:r>
            <w:r>
              <w:pict>
                <v:shape id="_x0000_s1121" o:spid="_x0000_s1121" o:spt="202" type="#_x0000_t202" style="position:absolute;left:0pt;margin-left:482.4pt;margin-top:258.85pt;height:16.45pt;width:245.85pt;mso-position-horizontal-relative:page;mso-position-vertical-relative:page;z-index:251749376;mso-width-relative:page;mso-height-relative:page;" filled="f" stroked="f" coordsize="21600,21600">
                  <v:path/>
                  <v:fill on="f" focussize="0,0"/>
                  <v:stroke on="f"/>
                  <v:imagedata o:title=""/>
                  <o:lock v:ext="edit" aspectratio="f"/>
                  <v:textbox inset="0mm,0mm,0mm,0mm">
                    <w:txbxContent>
                      <w:p w14:paraId="5703A212">
                        <w:pPr>
                          <w:tabs>
                            <w:tab w:val="left" w:pos="885"/>
                          </w:tabs>
                          <w:spacing w:before="20" w:line="288" w:lineRule="exact"/>
                          <w:ind w:left="20"/>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ab/>
                        </w:r>
                        <w:r>
                          <w:rPr>
                            <w:rFonts w:ascii="Times New Roman" w:hAnsi="Times New Roman" w:eastAsia="Times New Roman" w:cs="Times New Roman"/>
                            <w:b/>
                            <w:bCs/>
                            <w:spacing w:val="7"/>
                            <w:position w:val="2"/>
                            <w:sz w:val="20"/>
                            <w:szCs w:val="20"/>
                          </w:rPr>
                          <w:t>2.</w:t>
                        </w:r>
                        <w:r>
                          <w:rPr>
                            <w:rFonts w:ascii="Times New Roman" w:hAnsi="Times New Roman" w:eastAsia="Times New Roman" w:cs="Times New Roman"/>
                            <w:b/>
                            <w:bCs/>
                            <w:spacing w:val="6"/>
                            <w:position w:val="2"/>
                            <w:sz w:val="20"/>
                            <w:szCs w:val="20"/>
                          </w:rPr>
                          <w:t>5</w:t>
                        </w:r>
                        <w:r>
                          <w:rPr>
                            <w:rFonts w:ascii="Times New Roman" w:hAnsi="Times New Roman" w:eastAsia="Times New Roman" w:cs="Times New Roman"/>
                            <w:b/>
                            <w:bCs/>
                            <w:position w:val="2"/>
                            <w:sz w:val="20"/>
                            <w:szCs w:val="20"/>
                          </w:rPr>
                          <w:t>km</w:t>
                        </w:r>
                        <w:r>
                          <w:rPr>
                            <w:rFonts w:ascii="Times New Roman" w:hAnsi="Times New Roman" w:eastAsia="Times New Roman" w:cs="Times New Roman"/>
                            <w:position w:val="2"/>
                            <w:sz w:val="20"/>
                            <w:szCs w:val="20"/>
                          </w:rPr>
                          <w:t xml:space="preserve">                                                                     </w:t>
                        </w:r>
                      </w:p>
                    </w:txbxContent>
                  </v:textbox>
                </v:shape>
              </w:pict>
            </w:r>
            <w:r>
              <w:pict>
                <v:group id="_x0000_s1122" o:spid="_x0000_s1122" o:spt="203" style="position:absolute;left:0pt;margin-left:562.35pt;margin-top:243.85pt;height:112.5pt;width:182.25pt;mso-position-horizontal-relative:page;mso-position-vertical-relative:page;z-index:251755520;mso-width-relative:page;mso-height-relative:page;" coordsize="3645,2250">
                  <o:lock v:ext="edit"/>
                  <v:shape id="_x0000_s1123" o:spid="_x0000_s1123" o:spt="75" type="#_x0000_t75" style="position:absolute;left:0;top:0;height:2250;width:3645;" filled="f" stroked="f" coordsize="21600,21600">
                    <v:path/>
                    <v:fill on="f" focussize="0,0"/>
                    <v:stroke on="f"/>
                    <v:imagedata r:id="rId413" o:title=""/>
                    <o:lock v:ext="edit" aspectratio="t"/>
                  </v:shape>
                  <v:shape id="_x0000_s1124" o:spid="_x0000_s1124" o:spt="202" type="#_x0000_t202" style="position:absolute;left:-20;top:-20;height:2340;width:3685;" filled="f" stroked="f" coordsize="21600,21600">
                    <v:path/>
                    <v:fill on="f" focussize="0,0"/>
                    <v:stroke on="f"/>
                    <v:imagedata o:title=""/>
                    <o:lock v:ext="edit" aspectratio="f"/>
                    <v:textbox inset="0mm,0mm,0mm,0mm">
                      <w:txbxContent>
                        <w:p w14:paraId="6E23DA78">
                          <w:pPr>
                            <w:spacing w:line="258" w:lineRule="auto"/>
                            <w:rPr>
                              <w:rFonts w:ascii="Arial"/>
                              <w:sz w:val="21"/>
                            </w:rPr>
                          </w:pPr>
                        </w:p>
                        <w:p w14:paraId="58B5541D">
                          <w:pPr>
                            <w:spacing w:line="259" w:lineRule="auto"/>
                            <w:rPr>
                              <w:rFonts w:ascii="Arial"/>
                              <w:sz w:val="21"/>
                            </w:rPr>
                          </w:pPr>
                        </w:p>
                        <w:p w14:paraId="5ACD5907">
                          <w:pPr>
                            <w:spacing w:line="259" w:lineRule="auto"/>
                            <w:rPr>
                              <w:rFonts w:ascii="Arial"/>
                              <w:sz w:val="21"/>
                            </w:rPr>
                          </w:pPr>
                        </w:p>
                        <w:p w14:paraId="52D2EBFB">
                          <w:pPr>
                            <w:spacing w:before="91" w:line="222" w:lineRule="auto"/>
                            <w:ind w:left="1386"/>
                            <w:rPr>
                              <w:rFonts w:ascii="仿宋" w:hAnsi="仿宋" w:eastAsia="仿宋" w:cs="仿宋"/>
                              <w:sz w:val="28"/>
                              <w:szCs w:val="28"/>
                            </w:rPr>
                          </w:pPr>
                          <w:r>
                            <w:rPr>
                              <w:rFonts w:ascii="仿宋" w:hAnsi="仿宋" w:eastAsia="仿宋" w:cs="仿宋"/>
                              <w:sz w:val="28"/>
                              <w:szCs w:val="28"/>
                              <w14:textOutline w14:w="5103" w14:cap="sq" w14:cmpd="sng">
                                <w14:solidFill>
                                  <w14:srgbClr w14:val="000000"/>
                                </w14:solidFill>
                                <w14:prstDash w14:val="solid"/>
                                <w14:bevel/>
                              </w14:textOutline>
                            </w:rPr>
                            <w:t>⑥</w:t>
                          </w:r>
                        </w:p>
                      </w:txbxContent>
                    </v:textbox>
                  </v:shape>
                </v:group>
              </w:pict>
            </w:r>
            <w:r>
              <w:pict>
                <v:group id="_x0000_s1125" o:spid="_x0000_s1125" o:spt="203" style="position:absolute;left:0pt;margin-left:533.85pt;margin-top:429.85pt;height:32.25pt;width:54pt;mso-position-horizontal-relative:page;mso-position-vertical-relative:page;z-index:251747328;mso-width-relative:page;mso-height-relative:page;" coordsize="1080,645">
                  <o:lock v:ext="edit"/>
                  <v:shape id="_x0000_s1126" o:spid="_x0000_s1126" o:spt="75" type="#_x0000_t75" style="position:absolute;left:0;top:0;height:645;width:1080;" filled="f" stroked="f" coordsize="21600,21600">
                    <v:path/>
                    <v:fill on="f" focussize="0,0"/>
                    <v:stroke on="f"/>
                    <v:imagedata r:id="rId414" o:title=""/>
                    <o:lock v:ext="edit" aspectratio="t"/>
                  </v:shape>
                  <v:shape id="_x0000_s1127" o:spid="_x0000_s1127" o:spt="202" type="#_x0000_t202" style="position:absolute;left:-20;top:-20;height:735;width:1120;" filled="f" stroked="f" coordsize="21600,21600">
                    <v:path/>
                    <v:fill on="f" focussize="0,0"/>
                    <v:stroke on="f"/>
                    <v:imagedata o:title=""/>
                    <o:lock v:ext="edit" aspectratio="f"/>
                    <v:textbox inset="0mm,0mm,0mm,0mm">
                      <w:txbxContent>
                        <w:p w14:paraId="3BF23D16">
                          <w:pPr>
                            <w:spacing w:before="206" w:line="222" w:lineRule="auto"/>
                            <w:ind w:left="528"/>
                            <w:rPr>
                              <w:rFonts w:ascii="仿宋" w:hAnsi="仿宋" w:eastAsia="仿宋" w:cs="仿宋"/>
                              <w:sz w:val="28"/>
                              <w:szCs w:val="28"/>
                            </w:rPr>
                          </w:pPr>
                          <w:r>
                            <w:rPr>
                              <w:rFonts w:ascii="仿宋" w:hAnsi="仿宋" w:eastAsia="仿宋" w:cs="仿宋"/>
                              <w:sz w:val="28"/>
                              <w:szCs w:val="28"/>
                              <w14:textOutline w14:w="5103" w14:cap="sq" w14:cmpd="sng">
                                <w14:solidFill>
                                  <w14:srgbClr w14:val="000000"/>
                                </w14:solidFill>
                                <w14:prstDash w14:val="solid"/>
                                <w14:bevel/>
                              </w14:textOutline>
                            </w:rPr>
                            <w:t>⑧</w:t>
                          </w:r>
                        </w:p>
                      </w:txbxContent>
                    </v:textbox>
                  </v:shape>
                </v:group>
              </w:pict>
            </w:r>
            <w:r>
              <w:drawing>
                <wp:anchor distT="0" distB="0" distL="0" distR="0" simplePos="0" relativeHeight="251746304" behindDoc="0" locked="0" layoutInCell="1" allowOverlap="1">
                  <wp:simplePos x="0" y="0"/>
                  <wp:positionH relativeFrom="rightMargin">
                    <wp:posOffset>-835660</wp:posOffset>
                  </wp:positionH>
                  <wp:positionV relativeFrom="topMargin">
                    <wp:posOffset>6045200</wp:posOffset>
                  </wp:positionV>
                  <wp:extent cx="723900" cy="591185"/>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415"/>
                          <a:stretch>
                            <a:fillRect/>
                          </a:stretch>
                        </pic:blipFill>
                        <pic:spPr>
                          <a:xfrm>
                            <a:off x="0" y="0"/>
                            <a:ext cx="723900" cy="591311"/>
                          </a:xfrm>
                          <a:prstGeom prst="rect">
                            <a:avLst/>
                          </a:prstGeom>
                        </pic:spPr>
                      </pic:pic>
                    </a:graphicData>
                  </a:graphic>
                </wp:anchor>
              </w:drawing>
            </w:r>
            <w:r>
              <w:drawing>
                <wp:anchor distT="0" distB="0" distL="0" distR="0" simplePos="0" relativeHeight="251751424" behindDoc="0" locked="0" layoutInCell="1" allowOverlap="1">
                  <wp:simplePos x="0" y="0"/>
                  <wp:positionH relativeFrom="rightMargin">
                    <wp:posOffset>-6071870</wp:posOffset>
                  </wp:positionH>
                  <wp:positionV relativeFrom="topMargin">
                    <wp:posOffset>3220720</wp:posOffset>
                  </wp:positionV>
                  <wp:extent cx="415290" cy="419100"/>
                  <wp:effectExtent l="0" t="0" r="0" b="0"/>
                  <wp:wrapNone/>
                  <wp:docPr id="33" name="IM 33"/>
                  <wp:cNvGraphicFramePr/>
                  <a:graphic xmlns:a="http://schemas.openxmlformats.org/drawingml/2006/main">
                    <a:graphicData uri="http://schemas.openxmlformats.org/drawingml/2006/picture">
                      <pic:pic xmlns:pic="http://schemas.openxmlformats.org/drawingml/2006/picture">
                        <pic:nvPicPr>
                          <pic:cNvPr id="33" name="IM 33"/>
                          <pic:cNvPicPr/>
                        </pic:nvPicPr>
                        <pic:blipFill>
                          <a:blip r:embed="rId416"/>
                          <a:stretch>
                            <a:fillRect/>
                          </a:stretch>
                        </pic:blipFill>
                        <pic:spPr>
                          <a:xfrm>
                            <a:off x="0" y="0"/>
                            <a:ext cx="415519" cy="419405"/>
                          </a:xfrm>
                          <a:prstGeom prst="rect">
                            <a:avLst/>
                          </a:prstGeom>
                        </pic:spPr>
                      </pic:pic>
                    </a:graphicData>
                  </a:graphic>
                </wp:anchor>
              </w:drawing>
            </w:r>
            <w:r>
              <w:drawing>
                <wp:anchor distT="0" distB="0" distL="0" distR="0" simplePos="0" relativeHeight="251753472" behindDoc="0" locked="0" layoutInCell="1" allowOverlap="1">
                  <wp:simplePos x="0" y="0"/>
                  <wp:positionH relativeFrom="rightMargin">
                    <wp:posOffset>-6256655</wp:posOffset>
                  </wp:positionH>
                  <wp:positionV relativeFrom="topMargin">
                    <wp:posOffset>3288665</wp:posOffset>
                  </wp:positionV>
                  <wp:extent cx="434340" cy="462280"/>
                  <wp:effectExtent l="0" t="0" r="0" b="0"/>
                  <wp:wrapNone/>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417"/>
                          <a:stretch>
                            <a:fillRect/>
                          </a:stretch>
                        </pic:blipFill>
                        <pic:spPr>
                          <a:xfrm>
                            <a:off x="0" y="0"/>
                            <a:ext cx="434276" cy="462127"/>
                          </a:xfrm>
                          <a:prstGeom prst="rect">
                            <a:avLst/>
                          </a:prstGeom>
                        </pic:spPr>
                      </pic:pic>
                    </a:graphicData>
                  </a:graphic>
                </wp:anchor>
              </w:drawing>
            </w:r>
            <w:r>
              <w:pict>
                <v:shape id="_x0000_s1128" o:spid="_x0000_s1128" o:spt="202" type="#_x0000_t202" style="position:absolute;left:0pt;margin-left:694.85pt;margin-top:337.35pt;height:48pt;width:53pt;mso-position-horizontal-relative:page;mso-position-vertical-relative:page;z-index:251756544;mso-width-relative:page;mso-height-relative:page;" filled="f" stroked="f" coordsize="21600,21600">
                  <v:path/>
                  <v:fill on="f" focussize="0,0"/>
                  <v:stroke on="f"/>
                  <v:imagedata o:title=""/>
                  <o:lock v:ext="edit" aspectratio="f"/>
                  <v:textbox inset="0mm,0mm,0mm,0mm">
                    <w:txbxContent>
                      <w:p w14:paraId="0F07536F">
                        <w:pPr>
                          <w:spacing w:before="277" w:line="222" w:lineRule="auto"/>
                          <w:ind w:left="339"/>
                          <w:rPr>
                            <w:rFonts w:ascii="仿宋" w:hAnsi="仿宋" w:eastAsia="仿宋" w:cs="仿宋"/>
                            <w:sz w:val="28"/>
                            <w:szCs w:val="28"/>
                          </w:rPr>
                        </w:pPr>
                        <w:r>
                          <w:rPr>
                            <w:rFonts w:ascii="仿宋" w:hAnsi="仿宋" w:eastAsia="仿宋" w:cs="仿宋"/>
                            <w:sz w:val="28"/>
                            <w:szCs w:val="28"/>
                            <w14:textOutline w14:w="5103" w14:cap="sq" w14:cmpd="sng">
                              <w14:solidFill>
                                <w14:srgbClr w14:val="000000"/>
                              </w14:solidFill>
                              <w14:prstDash w14:val="solid"/>
                              <w14:bevel/>
                            </w14:textOutline>
                          </w:rPr>
                          <w:t>⑦</w:t>
                        </w:r>
                      </w:p>
                    </w:txbxContent>
                  </v:textbox>
                </v:shape>
              </w:pict>
            </w:r>
            <w:r>
              <w:pict>
                <v:group id="_x0000_s1129" o:spid="_x0000_s1129" o:spt="203" style="position:absolute;left:0pt;margin-left:394.35pt;margin-top:202.6pt;height:30.75pt;width:49.5pt;mso-position-horizontal-relative:page;mso-position-vertical-relative:page;z-index:251752448;mso-width-relative:page;mso-height-relative:page;" coordsize="990,615">
                  <o:lock v:ext="edit"/>
                  <v:shape id="_x0000_s1130" o:spid="_x0000_s1130" o:spt="75" type="#_x0000_t75" style="position:absolute;left:0;top:0;height:615;width:990;" filled="f" stroked="f" coordsize="21600,21600">
                    <v:path/>
                    <v:fill on="f" focussize="0,0"/>
                    <v:stroke on="f"/>
                    <v:imagedata r:id="rId418" o:title=""/>
                    <o:lock v:ext="edit" aspectratio="t"/>
                  </v:shape>
                  <v:shape id="_x0000_s1131" o:spid="_x0000_s1131" o:spt="202" type="#_x0000_t202" style="position:absolute;left:-20;top:-20;height:705;width:1030;" filled="f" stroked="f" coordsize="21600,21600">
                    <v:path/>
                    <v:fill on="f" focussize="0,0"/>
                    <v:stroke on="f"/>
                    <v:imagedata o:title=""/>
                    <o:lock v:ext="edit" aspectratio="f"/>
                    <v:textbox inset="0mm,0mm,0mm,0mm">
                      <w:txbxContent>
                        <w:p w14:paraId="0E2353C3">
                          <w:pPr>
                            <w:spacing w:before="194" w:line="222" w:lineRule="auto"/>
                            <w:ind w:left="479"/>
                            <w:rPr>
                              <w:rFonts w:ascii="仿宋" w:hAnsi="仿宋" w:eastAsia="仿宋" w:cs="仿宋"/>
                              <w:sz w:val="28"/>
                              <w:szCs w:val="28"/>
                            </w:rPr>
                          </w:pPr>
                          <w:r>
                            <w:rPr>
                              <w:rFonts w:ascii="仿宋" w:hAnsi="仿宋" w:eastAsia="仿宋" w:cs="仿宋"/>
                              <w:sz w:val="28"/>
                              <w:szCs w:val="28"/>
                              <w14:textOutline w14:w="5103" w14:cap="sq" w14:cmpd="sng">
                                <w14:solidFill>
                                  <w14:srgbClr w14:val="000000"/>
                                </w14:solidFill>
                                <w14:prstDash w14:val="solid"/>
                                <w14:bevel/>
                              </w14:textOutline>
                            </w:rPr>
                            <w:t>②</w:t>
                          </w:r>
                        </w:p>
                      </w:txbxContent>
                    </v:textbox>
                  </v:shape>
                </v:group>
              </w:pict>
            </w:r>
          </w:p>
          <w:p w14:paraId="4F413A34">
            <w:pPr>
              <w:spacing w:line="60" w:lineRule="exact"/>
            </w:pPr>
          </w:p>
          <w:tbl>
            <w:tblPr>
              <w:tblStyle w:val="4"/>
              <w:tblW w:w="3516" w:type="dxa"/>
              <w:tblInd w:w="1513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5"/>
              <w:gridCol w:w="2004"/>
              <w:gridCol w:w="997"/>
            </w:tblGrid>
            <w:tr w14:paraId="40E1ED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515" w:type="dxa"/>
                  <w:vAlign w:val="top"/>
                </w:tcPr>
                <w:p w14:paraId="28124140">
                  <w:pPr>
                    <w:spacing w:before="65" w:line="229" w:lineRule="auto"/>
                    <w:ind w:left="51"/>
                    <w:rPr>
                      <w:rFonts w:ascii="宋体" w:hAnsi="宋体" w:eastAsia="宋体" w:cs="宋体"/>
                      <w:sz w:val="20"/>
                      <w:szCs w:val="20"/>
                    </w:rPr>
                  </w:pPr>
                  <w:r>
                    <w:drawing>
                      <wp:anchor distT="0" distB="0" distL="0" distR="0" simplePos="0" relativeHeight="251743232" behindDoc="0" locked="0" layoutInCell="1" allowOverlap="1">
                        <wp:simplePos x="0" y="0"/>
                        <wp:positionH relativeFrom="column">
                          <wp:posOffset>-9589770</wp:posOffset>
                        </wp:positionH>
                        <wp:positionV relativeFrom="paragraph">
                          <wp:posOffset>-168910</wp:posOffset>
                        </wp:positionV>
                        <wp:extent cx="11944985" cy="6705600"/>
                        <wp:effectExtent l="0" t="0" r="0" b="0"/>
                        <wp:wrapNone/>
                        <wp:docPr id="35" name="IM 35"/>
                        <wp:cNvGraphicFramePr/>
                        <a:graphic xmlns:a="http://schemas.openxmlformats.org/drawingml/2006/main">
                          <a:graphicData uri="http://schemas.openxmlformats.org/drawingml/2006/picture">
                            <pic:pic xmlns:pic="http://schemas.openxmlformats.org/drawingml/2006/picture">
                              <pic:nvPicPr>
                                <pic:cNvPr id="35" name="IM 35"/>
                                <pic:cNvPicPr/>
                              </pic:nvPicPr>
                              <pic:blipFill>
                                <a:blip r:embed="rId419"/>
                                <a:stretch>
                                  <a:fillRect/>
                                </a:stretch>
                              </pic:blipFill>
                              <pic:spPr>
                                <a:xfrm>
                                  <a:off x="0" y="0"/>
                                  <a:ext cx="11945111" cy="6705600"/>
                                </a:xfrm>
                                <a:prstGeom prst="rect">
                                  <a:avLst/>
                                </a:prstGeom>
                              </pic:spPr>
                            </pic:pic>
                          </a:graphicData>
                        </a:graphic>
                      </wp:anchor>
                    </w:drawing>
                  </w:r>
                  <w:r>
                    <w:drawing>
                      <wp:anchor distT="0" distB="0" distL="0" distR="0" simplePos="0" relativeHeight="251745280" behindDoc="0" locked="0" layoutInCell="1" allowOverlap="1">
                        <wp:simplePos x="0" y="0"/>
                        <wp:positionH relativeFrom="column">
                          <wp:posOffset>-97155</wp:posOffset>
                        </wp:positionH>
                        <wp:positionV relativeFrom="paragraph">
                          <wp:posOffset>-58420</wp:posOffset>
                        </wp:positionV>
                        <wp:extent cx="2392680" cy="2111375"/>
                        <wp:effectExtent l="0" t="0" r="0" b="0"/>
                        <wp:wrapNone/>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420"/>
                                <a:stretch>
                                  <a:fillRect/>
                                </a:stretch>
                              </pic:blipFill>
                              <pic:spPr>
                                <a:xfrm>
                                  <a:off x="0" y="0"/>
                                  <a:ext cx="2392678" cy="2111375"/>
                                </a:xfrm>
                                <a:prstGeom prst="rect">
                                  <a:avLst/>
                                </a:prstGeom>
                              </pic:spPr>
                            </pic:pic>
                          </a:graphicData>
                        </a:graphic>
                      </wp:anchor>
                    </w:drawing>
                  </w:r>
                  <w:r>
                    <w:rPr>
                      <w:rFonts w:ascii="宋体" w:hAnsi="宋体" w:eastAsia="宋体" w:cs="宋体"/>
                      <w:spacing w:val="6"/>
                      <w:sz w:val="20"/>
                      <w:szCs w:val="20"/>
                      <w14:textOutline w14:w="3795" w14:cap="sq" w14:cmpd="sng">
                        <w14:solidFill>
                          <w14:srgbClr w14:val="000000"/>
                        </w14:solidFill>
                        <w14:prstDash w14:val="solid"/>
                        <w14:bevel/>
                      </w14:textOutline>
                    </w:rPr>
                    <w:t>序号</w:t>
                  </w:r>
                </w:p>
              </w:tc>
              <w:tc>
                <w:tcPr>
                  <w:tcW w:w="2004" w:type="dxa"/>
                  <w:vAlign w:val="top"/>
                </w:tcPr>
                <w:p w14:paraId="28672BC4">
                  <w:pPr>
                    <w:spacing w:before="65" w:line="228" w:lineRule="auto"/>
                    <w:ind w:left="692"/>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敏</w:t>
                  </w:r>
                  <w:r>
                    <w:rPr>
                      <w:rFonts w:ascii="宋体" w:hAnsi="宋体" w:eastAsia="宋体" w:cs="宋体"/>
                      <w:spacing w:val="7"/>
                      <w:sz w:val="20"/>
                      <w:szCs w:val="20"/>
                      <w14:textOutline w14:w="3795" w14:cap="sq" w14:cmpd="sng">
                        <w14:solidFill>
                          <w14:srgbClr w14:val="000000"/>
                        </w14:solidFill>
                        <w14:prstDash w14:val="solid"/>
                        <w14:bevel/>
                      </w14:textOutline>
                    </w:rPr>
                    <w:t>感点</w:t>
                  </w:r>
                </w:p>
              </w:tc>
              <w:tc>
                <w:tcPr>
                  <w:tcW w:w="997" w:type="dxa"/>
                  <w:vAlign w:val="top"/>
                </w:tcPr>
                <w:p w14:paraId="4638DB73">
                  <w:pPr>
                    <w:spacing w:before="24" w:line="289" w:lineRule="exact"/>
                    <w:ind w:left="136"/>
                    <w:rPr>
                      <w:rFonts w:ascii="Times New Roman" w:hAnsi="Times New Roman" w:eastAsia="Times New Roman" w:cs="Times New Roman"/>
                      <w:sz w:val="20"/>
                      <w:szCs w:val="20"/>
                    </w:rPr>
                  </w:pPr>
                  <w:r>
                    <w:rPr>
                      <w:rFonts w:ascii="宋体" w:hAnsi="宋体" w:eastAsia="宋体" w:cs="宋体"/>
                      <w:spacing w:val="7"/>
                      <w:position w:val="2"/>
                      <w:sz w:val="20"/>
                      <w:szCs w:val="20"/>
                      <w14:textOutline w14:w="3795" w14:cap="sq" w14:cmpd="sng">
                        <w14:solidFill>
                          <w14:srgbClr w14:val="000000"/>
                        </w14:solidFill>
                        <w14:prstDash w14:val="solid"/>
                        <w14:bevel/>
                      </w14:textOutline>
                    </w:rPr>
                    <w:t>距离</w:t>
                  </w:r>
                  <w:r>
                    <w:rPr>
                      <w:rFonts w:ascii="Times New Roman" w:hAnsi="Times New Roman" w:eastAsia="Times New Roman" w:cs="Times New Roman"/>
                      <w:b/>
                      <w:bCs/>
                      <w:spacing w:val="7"/>
                      <w:position w:val="2"/>
                      <w:sz w:val="20"/>
                      <w:szCs w:val="20"/>
                    </w:rPr>
                    <w:t>(</w:t>
                  </w:r>
                  <w:r>
                    <w:rPr>
                      <w:rFonts w:ascii="Times New Roman" w:hAnsi="Times New Roman" w:eastAsia="Times New Roman" w:cs="Times New Roman"/>
                      <w:b/>
                      <w:bCs/>
                      <w:position w:val="2"/>
                      <w:sz w:val="20"/>
                      <w:szCs w:val="20"/>
                    </w:rPr>
                    <w:t>m</w:t>
                  </w:r>
                  <w:r>
                    <w:rPr>
                      <w:rFonts w:ascii="Times New Roman" w:hAnsi="Times New Roman" w:eastAsia="Times New Roman" w:cs="Times New Roman"/>
                      <w:b/>
                      <w:bCs/>
                      <w:spacing w:val="6"/>
                      <w:position w:val="2"/>
                      <w:sz w:val="20"/>
                      <w:szCs w:val="20"/>
                    </w:rPr>
                    <w:t>)</w:t>
                  </w:r>
                </w:p>
              </w:tc>
            </w:tr>
            <w:tr w14:paraId="31ADC5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515" w:type="dxa"/>
                  <w:vAlign w:val="top"/>
                </w:tcPr>
                <w:p w14:paraId="7B2BDF54">
                  <w:pPr>
                    <w:spacing w:before="62" w:line="225" w:lineRule="auto"/>
                    <w:ind w:left="156"/>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①</w:t>
                  </w:r>
                </w:p>
              </w:tc>
              <w:tc>
                <w:tcPr>
                  <w:tcW w:w="2004" w:type="dxa"/>
                  <w:vAlign w:val="top"/>
                </w:tcPr>
                <w:p w14:paraId="6E657B52">
                  <w:pPr>
                    <w:spacing w:before="61" w:line="228" w:lineRule="auto"/>
                    <w:ind w:left="693"/>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葡粉沟</w:t>
                  </w:r>
                </w:p>
              </w:tc>
              <w:tc>
                <w:tcPr>
                  <w:tcW w:w="997" w:type="dxa"/>
                  <w:vAlign w:val="top"/>
                </w:tcPr>
                <w:p w14:paraId="5761CBF2">
                  <w:pPr>
                    <w:spacing w:before="97" w:line="195" w:lineRule="auto"/>
                    <w:ind w:left="344"/>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74</w:t>
                  </w:r>
                  <w:r>
                    <w:rPr>
                      <w:rFonts w:ascii="Times New Roman" w:hAnsi="Times New Roman" w:eastAsia="Times New Roman" w:cs="Times New Roman"/>
                      <w:b/>
                      <w:bCs/>
                      <w:spacing w:val="2"/>
                      <w:sz w:val="20"/>
                      <w:szCs w:val="20"/>
                    </w:rPr>
                    <w:t>0</w:t>
                  </w:r>
                </w:p>
              </w:tc>
            </w:tr>
            <w:tr w14:paraId="291365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515" w:type="dxa"/>
                  <w:vAlign w:val="top"/>
                </w:tcPr>
                <w:p w14:paraId="65CDD541">
                  <w:pPr>
                    <w:spacing w:before="62" w:line="225" w:lineRule="auto"/>
                    <w:ind w:left="156"/>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②</w:t>
                  </w:r>
                </w:p>
              </w:tc>
              <w:tc>
                <w:tcPr>
                  <w:tcW w:w="2004" w:type="dxa"/>
                  <w:vAlign w:val="top"/>
                </w:tcPr>
                <w:p w14:paraId="2944E1A0">
                  <w:pPr>
                    <w:spacing w:before="61" w:line="227" w:lineRule="auto"/>
                    <w:ind w:left="698"/>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下</w:t>
                  </w:r>
                  <w:r>
                    <w:rPr>
                      <w:rFonts w:ascii="宋体" w:hAnsi="宋体" w:eastAsia="宋体" w:cs="宋体"/>
                      <w:spacing w:val="5"/>
                      <w:sz w:val="20"/>
                      <w:szCs w:val="20"/>
                      <w14:textOutline w14:w="3795" w14:cap="sq" w14:cmpd="sng">
                        <w14:solidFill>
                          <w14:srgbClr w14:val="000000"/>
                        </w14:solidFill>
                        <w14:prstDash w14:val="solid"/>
                        <w14:bevel/>
                      </w14:textOutline>
                    </w:rPr>
                    <w:t>堡村</w:t>
                  </w:r>
                </w:p>
              </w:tc>
              <w:tc>
                <w:tcPr>
                  <w:tcW w:w="997" w:type="dxa"/>
                  <w:vAlign w:val="top"/>
                </w:tcPr>
                <w:p w14:paraId="1570C486">
                  <w:pPr>
                    <w:spacing w:before="97" w:line="195" w:lineRule="auto"/>
                    <w:ind w:left="344"/>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75</w:t>
                  </w:r>
                  <w:r>
                    <w:rPr>
                      <w:rFonts w:ascii="Times New Roman" w:hAnsi="Times New Roman" w:eastAsia="Times New Roman" w:cs="Times New Roman"/>
                      <w:b/>
                      <w:bCs/>
                      <w:spacing w:val="2"/>
                      <w:sz w:val="20"/>
                      <w:szCs w:val="20"/>
                    </w:rPr>
                    <w:t>0</w:t>
                  </w:r>
                </w:p>
              </w:tc>
            </w:tr>
            <w:tr w14:paraId="348E45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515" w:type="dxa"/>
                  <w:vAlign w:val="top"/>
                </w:tcPr>
                <w:p w14:paraId="10AF7E10">
                  <w:pPr>
                    <w:spacing w:before="63" w:line="225" w:lineRule="auto"/>
                    <w:ind w:left="156"/>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③</w:t>
                  </w:r>
                </w:p>
              </w:tc>
              <w:tc>
                <w:tcPr>
                  <w:tcW w:w="2004" w:type="dxa"/>
                  <w:vAlign w:val="top"/>
                </w:tcPr>
                <w:p w14:paraId="3FE5D1AD">
                  <w:pPr>
                    <w:spacing w:before="62" w:line="228" w:lineRule="auto"/>
                    <w:ind w:left="691"/>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榆</w:t>
                  </w:r>
                  <w:r>
                    <w:rPr>
                      <w:rFonts w:ascii="宋体" w:hAnsi="宋体" w:eastAsia="宋体" w:cs="宋体"/>
                      <w:spacing w:val="7"/>
                      <w:sz w:val="20"/>
                      <w:szCs w:val="20"/>
                      <w14:textOutline w14:w="3795" w14:cap="sq" w14:cmpd="sng">
                        <w14:solidFill>
                          <w14:srgbClr w14:val="000000"/>
                        </w14:solidFill>
                        <w14:prstDash w14:val="solid"/>
                        <w14:bevel/>
                      </w14:textOutline>
                    </w:rPr>
                    <w:t>树底</w:t>
                  </w:r>
                </w:p>
              </w:tc>
              <w:tc>
                <w:tcPr>
                  <w:tcW w:w="997" w:type="dxa"/>
                  <w:vAlign w:val="top"/>
                </w:tcPr>
                <w:p w14:paraId="24672851">
                  <w:pPr>
                    <w:spacing w:before="99" w:line="195" w:lineRule="auto"/>
                    <w:ind w:left="341"/>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330</w:t>
                  </w:r>
                </w:p>
              </w:tc>
            </w:tr>
            <w:tr w14:paraId="2984B0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515" w:type="dxa"/>
                  <w:vAlign w:val="top"/>
                </w:tcPr>
                <w:p w14:paraId="5C952C04">
                  <w:pPr>
                    <w:spacing w:before="64" w:line="225" w:lineRule="auto"/>
                    <w:ind w:left="156"/>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④</w:t>
                  </w:r>
                </w:p>
              </w:tc>
              <w:tc>
                <w:tcPr>
                  <w:tcW w:w="2004" w:type="dxa"/>
                  <w:vAlign w:val="top"/>
                </w:tcPr>
                <w:p w14:paraId="08FB7C0D">
                  <w:pPr>
                    <w:spacing w:before="64" w:line="227" w:lineRule="auto"/>
                    <w:ind w:left="592"/>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营子新</w:t>
                  </w:r>
                  <w:r>
                    <w:rPr>
                      <w:rFonts w:ascii="宋体" w:hAnsi="宋体" w:eastAsia="宋体" w:cs="宋体"/>
                      <w:spacing w:val="6"/>
                      <w:sz w:val="20"/>
                      <w:szCs w:val="20"/>
                      <w14:textOutline w14:w="3795" w14:cap="sq" w14:cmpd="sng">
                        <w14:solidFill>
                          <w14:srgbClr w14:val="000000"/>
                        </w14:solidFill>
                        <w14:prstDash w14:val="solid"/>
                        <w14:bevel/>
                      </w14:textOutline>
                    </w:rPr>
                    <w:t>村</w:t>
                  </w:r>
                </w:p>
              </w:tc>
              <w:tc>
                <w:tcPr>
                  <w:tcW w:w="997" w:type="dxa"/>
                  <w:vAlign w:val="top"/>
                </w:tcPr>
                <w:p w14:paraId="469896FF">
                  <w:pPr>
                    <w:spacing w:before="100" w:line="195" w:lineRule="auto"/>
                    <w:ind w:left="289"/>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2070</w:t>
                  </w:r>
                </w:p>
              </w:tc>
            </w:tr>
            <w:tr w14:paraId="5AD1B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515" w:type="dxa"/>
                  <w:vAlign w:val="top"/>
                </w:tcPr>
                <w:p w14:paraId="4F9306ED">
                  <w:pPr>
                    <w:spacing w:before="66" w:line="225" w:lineRule="auto"/>
                    <w:ind w:left="156"/>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⑤</w:t>
                  </w:r>
                </w:p>
              </w:tc>
              <w:tc>
                <w:tcPr>
                  <w:tcW w:w="2004" w:type="dxa"/>
                  <w:vAlign w:val="top"/>
                </w:tcPr>
                <w:p w14:paraId="557E3F91">
                  <w:pPr>
                    <w:spacing w:before="65" w:line="228" w:lineRule="auto"/>
                    <w:ind w:left="690"/>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刺叶山</w:t>
                  </w:r>
                </w:p>
              </w:tc>
              <w:tc>
                <w:tcPr>
                  <w:tcW w:w="997" w:type="dxa"/>
                  <w:vAlign w:val="top"/>
                </w:tcPr>
                <w:p w14:paraId="2A0B4550">
                  <w:pPr>
                    <w:spacing w:before="101" w:line="195" w:lineRule="auto"/>
                    <w:ind w:left="289"/>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2600</w:t>
                  </w:r>
                </w:p>
              </w:tc>
            </w:tr>
            <w:tr w14:paraId="6C2226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515" w:type="dxa"/>
                  <w:vAlign w:val="top"/>
                </w:tcPr>
                <w:p w14:paraId="3C0CEFFC">
                  <w:pPr>
                    <w:spacing w:before="66" w:line="225" w:lineRule="auto"/>
                    <w:ind w:left="156"/>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⑥</w:t>
                  </w:r>
                </w:p>
              </w:tc>
              <w:tc>
                <w:tcPr>
                  <w:tcW w:w="2004" w:type="dxa"/>
                  <w:vAlign w:val="top"/>
                </w:tcPr>
                <w:p w14:paraId="70F9E23D">
                  <w:pPr>
                    <w:spacing w:before="65" w:line="227" w:lineRule="auto"/>
                    <w:ind w:left="587"/>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火连寨村</w:t>
                  </w:r>
                </w:p>
              </w:tc>
              <w:tc>
                <w:tcPr>
                  <w:tcW w:w="997" w:type="dxa"/>
                  <w:vAlign w:val="top"/>
                </w:tcPr>
                <w:p w14:paraId="517C3832">
                  <w:pPr>
                    <w:spacing w:before="101" w:line="195" w:lineRule="auto"/>
                    <w:ind w:left="298"/>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105</w:t>
                  </w:r>
                  <w:r>
                    <w:rPr>
                      <w:rFonts w:ascii="Times New Roman" w:hAnsi="Times New Roman" w:eastAsia="Times New Roman" w:cs="Times New Roman"/>
                      <w:b/>
                      <w:bCs/>
                      <w:spacing w:val="1"/>
                      <w:sz w:val="20"/>
                      <w:szCs w:val="20"/>
                    </w:rPr>
                    <w:t>0</w:t>
                  </w:r>
                </w:p>
              </w:tc>
            </w:tr>
            <w:tr w14:paraId="36F0F3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515" w:type="dxa"/>
                  <w:vAlign w:val="top"/>
                </w:tcPr>
                <w:p w14:paraId="29EA08B5">
                  <w:pPr>
                    <w:spacing w:before="66" w:line="225" w:lineRule="auto"/>
                    <w:ind w:left="156"/>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⑦</w:t>
                  </w:r>
                </w:p>
              </w:tc>
              <w:tc>
                <w:tcPr>
                  <w:tcW w:w="2004" w:type="dxa"/>
                  <w:vAlign w:val="top"/>
                </w:tcPr>
                <w:p w14:paraId="7830C2D0">
                  <w:pPr>
                    <w:spacing w:before="65" w:line="227" w:lineRule="auto"/>
                    <w:ind w:left="698"/>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营</w:t>
                  </w:r>
                  <w:r>
                    <w:rPr>
                      <w:rFonts w:ascii="宋体" w:hAnsi="宋体" w:eastAsia="宋体" w:cs="宋体"/>
                      <w:spacing w:val="5"/>
                      <w:sz w:val="20"/>
                      <w:szCs w:val="20"/>
                      <w14:textOutline w14:w="3795" w14:cap="sq" w14:cmpd="sng">
                        <w14:solidFill>
                          <w14:srgbClr w14:val="000000"/>
                        </w14:solidFill>
                        <w14:prstDash w14:val="solid"/>
                        <w14:bevel/>
                      </w14:textOutline>
                    </w:rPr>
                    <w:t>子村</w:t>
                  </w:r>
                </w:p>
              </w:tc>
              <w:tc>
                <w:tcPr>
                  <w:tcW w:w="997" w:type="dxa"/>
                  <w:vAlign w:val="top"/>
                </w:tcPr>
                <w:p w14:paraId="28D20B62">
                  <w:pPr>
                    <w:spacing w:before="101" w:line="195" w:lineRule="auto"/>
                    <w:ind w:left="289"/>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2200</w:t>
                  </w:r>
                </w:p>
              </w:tc>
            </w:tr>
            <w:tr w14:paraId="478159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515" w:type="dxa"/>
                  <w:vAlign w:val="top"/>
                </w:tcPr>
                <w:p w14:paraId="25290392">
                  <w:pPr>
                    <w:spacing w:before="67" w:line="225" w:lineRule="auto"/>
                    <w:ind w:left="156"/>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⑧</w:t>
                  </w:r>
                </w:p>
              </w:tc>
              <w:tc>
                <w:tcPr>
                  <w:tcW w:w="2004" w:type="dxa"/>
                  <w:vAlign w:val="top"/>
                </w:tcPr>
                <w:p w14:paraId="32A3F986">
                  <w:pPr>
                    <w:spacing w:before="66" w:line="228" w:lineRule="auto"/>
                    <w:ind w:left="586"/>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豆</w:t>
                  </w:r>
                  <w:r>
                    <w:rPr>
                      <w:rFonts w:ascii="宋体" w:hAnsi="宋体" w:eastAsia="宋体" w:cs="宋体"/>
                      <w:spacing w:val="8"/>
                      <w:sz w:val="20"/>
                      <w:szCs w:val="20"/>
                      <w14:textOutline w14:w="3795" w14:cap="sq" w14:cmpd="sng">
                        <w14:solidFill>
                          <w14:srgbClr w14:val="000000"/>
                        </w14:solidFill>
                        <w14:prstDash w14:val="solid"/>
                        <w14:bevel/>
                      </w14:textOutline>
                    </w:rPr>
                    <w:t>腐房沟</w:t>
                  </w:r>
                </w:p>
              </w:tc>
              <w:tc>
                <w:tcPr>
                  <w:tcW w:w="997" w:type="dxa"/>
                  <w:vAlign w:val="top"/>
                </w:tcPr>
                <w:p w14:paraId="50DE4C39">
                  <w:pPr>
                    <w:spacing w:before="103" w:line="195" w:lineRule="auto"/>
                    <w:ind w:left="289"/>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2060</w:t>
                  </w:r>
                </w:p>
              </w:tc>
            </w:tr>
          </w:tbl>
          <w:p w14:paraId="69410AD3">
            <w:pPr>
              <w:spacing w:line="259" w:lineRule="auto"/>
              <w:rPr>
                <w:rFonts w:ascii="Arial"/>
                <w:sz w:val="21"/>
              </w:rPr>
            </w:pPr>
          </w:p>
          <w:p w14:paraId="1AA3AEE5">
            <w:pPr>
              <w:spacing w:line="259" w:lineRule="auto"/>
              <w:rPr>
                <w:rFonts w:ascii="Arial"/>
                <w:sz w:val="21"/>
              </w:rPr>
            </w:pPr>
          </w:p>
          <w:p w14:paraId="09CC2E18">
            <w:pPr>
              <w:spacing w:line="259" w:lineRule="auto"/>
              <w:rPr>
                <w:rFonts w:ascii="Arial"/>
                <w:sz w:val="21"/>
              </w:rPr>
            </w:pPr>
          </w:p>
          <w:p w14:paraId="38BEDCD5">
            <w:pPr>
              <w:spacing w:line="259" w:lineRule="auto"/>
              <w:rPr>
                <w:rFonts w:ascii="Arial"/>
                <w:sz w:val="21"/>
              </w:rPr>
            </w:pPr>
          </w:p>
          <w:p w14:paraId="5550CE1C">
            <w:pPr>
              <w:spacing w:line="260" w:lineRule="auto"/>
              <w:rPr>
                <w:rFonts w:ascii="Arial"/>
                <w:sz w:val="21"/>
              </w:rPr>
            </w:pPr>
          </w:p>
          <w:p w14:paraId="7329C269">
            <w:pPr>
              <w:spacing w:line="1470" w:lineRule="exact"/>
              <w:ind w:firstLine="8906"/>
              <w:textAlignment w:val="center"/>
            </w:pPr>
            <w:r>
              <w:drawing>
                <wp:inline distT="0" distB="0" distL="0" distR="0">
                  <wp:extent cx="934720" cy="933450"/>
                  <wp:effectExtent l="0" t="0" r="0" b="0"/>
                  <wp:docPr id="37" name="IM 37"/>
                  <wp:cNvGraphicFramePr/>
                  <a:graphic xmlns:a="http://schemas.openxmlformats.org/drawingml/2006/main">
                    <a:graphicData uri="http://schemas.openxmlformats.org/drawingml/2006/picture">
                      <pic:pic xmlns:pic="http://schemas.openxmlformats.org/drawingml/2006/picture">
                        <pic:nvPicPr>
                          <pic:cNvPr id="37" name="IM 37"/>
                          <pic:cNvPicPr/>
                        </pic:nvPicPr>
                        <pic:blipFill>
                          <a:blip r:embed="rId421"/>
                          <a:stretch>
                            <a:fillRect/>
                          </a:stretch>
                        </pic:blipFill>
                        <pic:spPr>
                          <a:xfrm>
                            <a:off x="0" y="0"/>
                            <a:ext cx="934949" cy="933551"/>
                          </a:xfrm>
                          <a:prstGeom prst="rect">
                            <a:avLst/>
                          </a:prstGeom>
                        </pic:spPr>
                      </pic:pic>
                    </a:graphicData>
                  </a:graphic>
                </wp:inline>
              </w:drawing>
            </w:r>
          </w:p>
          <w:p w14:paraId="0AFD0B24">
            <w:pPr>
              <w:spacing w:line="284" w:lineRule="auto"/>
              <w:rPr>
                <w:rFonts w:ascii="Arial"/>
                <w:sz w:val="21"/>
              </w:rPr>
            </w:pPr>
          </w:p>
          <w:p w14:paraId="15AE3CF0">
            <w:pPr>
              <w:spacing w:line="285" w:lineRule="auto"/>
              <w:rPr>
                <w:rFonts w:ascii="Arial"/>
                <w:sz w:val="21"/>
              </w:rPr>
            </w:pPr>
          </w:p>
          <w:p w14:paraId="7C413A9A">
            <w:pPr>
              <w:spacing w:line="870" w:lineRule="exact"/>
              <w:ind w:firstLine="13906"/>
              <w:textAlignment w:val="center"/>
            </w:pPr>
            <w:r>
              <w:drawing>
                <wp:inline distT="0" distB="0" distL="0" distR="0">
                  <wp:extent cx="647065" cy="552450"/>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422"/>
                          <a:stretch>
                            <a:fillRect/>
                          </a:stretch>
                        </pic:blipFill>
                        <pic:spPr>
                          <a:xfrm>
                            <a:off x="0" y="0"/>
                            <a:ext cx="647662" cy="552450"/>
                          </a:xfrm>
                          <a:prstGeom prst="rect">
                            <a:avLst/>
                          </a:prstGeom>
                        </pic:spPr>
                      </pic:pic>
                    </a:graphicData>
                  </a:graphic>
                </wp:inline>
              </w:drawing>
            </w:r>
          </w:p>
          <w:p w14:paraId="6C5DA60F"/>
          <w:p w14:paraId="514AAFF1">
            <w:pPr>
              <w:spacing w:line="62" w:lineRule="exact"/>
            </w:pPr>
          </w:p>
          <w:tbl>
            <w:tblPr>
              <w:tblStyle w:val="4"/>
              <w:tblW w:w="3340" w:type="dxa"/>
              <w:tblInd w:w="19"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3340"/>
            </w:tblGrid>
            <w:tr w14:paraId="5B8911BF">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2645" w:hRule="atLeast"/>
              </w:trPr>
              <w:tc>
                <w:tcPr>
                  <w:tcW w:w="3340" w:type="dxa"/>
                  <w:shd w:val="clear" w:color="auto" w:fill="FFFFFF"/>
                  <w:vAlign w:val="top"/>
                </w:tcPr>
                <w:p w14:paraId="46BDADFE">
                  <w:pPr>
                    <w:spacing w:before="154" w:line="229" w:lineRule="auto"/>
                    <w:ind w:left="1332"/>
                    <w:rPr>
                      <w:rFonts w:ascii="宋体" w:hAnsi="宋体" w:eastAsia="宋体" w:cs="宋体"/>
                      <w:sz w:val="23"/>
                      <w:szCs w:val="23"/>
                    </w:rPr>
                  </w:pPr>
                  <w:r>
                    <w:pict>
                      <v:rect id="_x0000_s1132" o:spid="_x0000_s1132" o:spt="1" style="position:absolute;left:0pt;margin-left:64.95pt;margin-top:19.1pt;height:1.2pt;width:36.15pt;z-index:251748352;mso-width-relative:page;mso-height-relative:page;" fillcolor="#000000" filled="t" stroked="f" coordsize="21600,21600">
                        <v:path/>
                        <v:fill on="t" focussize="0,0"/>
                        <v:stroke on="f"/>
                        <v:imagedata o:title=""/>
                        <o:lock v:ext="edit"/>
                      </v:rect>
                    </w:pict>
                  </w:r>
                  <w:r>
                    <w:drawing>
                      <wp:anchor distT="0" distB="0" distL="0" distR="0" simplePos="0" relativeHeight="251761664" behindDoc="0" locked="0" layoutInCell="1" allowOverlap="1">
                        <wp:simplePos x="0" y="0"/>
                        <wp:positionH relativeFrom="rightMargin">
                          <wp:posOffset>-2029460</wp:posOffset>
                        </wp:positionH>
                        <wp:positionV relativeFrom="topMargin">
                          <wp:posOffset>316865</wp:posOffset>
                        </wp:positionV>
                        <wp:extent cx="271145" cy="163195"/>
                        <wp:effectExtent l="0" t="0" r="0" b="0"/>
                        <wp:wrapNone/>
                        <wp:docPr id="39" name="IM 39"/>
                        <wp:cNvGraphicFramePr/>
                        <a:graphic xmlns:a="http://schemas.openxmlformats.org/drawingml/2006/main">
                          <a:graphicData uri="http://schemas.openxmlformats.org/drawingml/2006/picture">
                            <pic:pic xmlns:pic="http://schemas.openxmlformats.org/drawingml/2006/picture">
                              <pic:nvPicPr>
                                <pic:cNvPr id="39" name="IM 39"/>
                                <pic:cNvPicPr/>
                              </pic:nvPicPr>
                              <pic:blipFill>
                                <a:blip r:embed="rId423"/>
                                <a:stretch>
                                  <a:fillRect/>
                                </a:stretch>
                              </pic:blipFill>
                              <pic:spPr>
                                <a:xfrm>
                                  <a:off x="0" y="0"/>
                                  <a:ext cx="271145" cy="163194"/>
                                </a:xfrm>
                                <a:prstGeom prst="rect">
                                  <a:avLst/>
                                </a:prstGeom>
                              </pic:spPr>
                            </pic:pic>
                          </a:graphicData>
                        </a:graphic>
                      </wp:anchor>
                    </w:drawing>
                  </w:r>
                  <w:r>
                    <w:drawing>
                      <wp:anchor distT="0" distB="0" distL="0" distR="0" simplePos="0" relativeHeight="251759616" behindDoc="0" locked="0" layoutInCell="1" allowOverlap="1">
                        <wp:simplePos x="0" y="0"/>
                        <wp:positionH relativeFrom="rightMargin">
                          <wp:posOffset>-2029460</wp:posOffset>
                        </wp:positionH>
                        <wp:positionV relativeFrom="topMargin">
                          <wp:posOffset>541020</wp:posOffset>
                        </wp:positionV>
                        <wp:extent cx="271145" cy="163195"/>
                        <wp:effectExtent l="0" t="0" r="0" b="0"/>
                        <wp:wrapNone/>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424"/>
                                <a:stretch>
                                  <a:fillRect/>
                                </a:stretch>
                              </pic:blipFill>
                              <pic:spPr>
                                <a:xfrm>
                                  <a:off x="0" y="0"/>
                                  <a:ext cx="271119" cy="163195"/>
                                </a:xfrm>
                                <a:prstGeom prst="rect">
                                  <a:avLst/>
                                </a:prstGeom>
                              </pic:spPr>
                            </pic:pic>
                          </a:graphicData>
                        </a:graphic>
                      </wp:anchor>
                    </w:drawing>
                  </w:r>
                  <w:r>
                    <w:drawing>
                      <wp:anchor distT="0" distB="0" distL="0" distR="0" simplePos="0" relativeHeight="251764736" behindDoc="0" locked="0" layoutInCell="1" allowOverlap="1">
                        <wp:simplePos x="0" y="0"/>
                        <wp:positionH relativeFrom="rightMargin">
                          <wp:posOffset>-2019935</wp:posOffset>
                        </wp:positionH>
                        <wp:positionV relativeFrom="topMargin">
                          <wp:posOffset>772795</wp:posOffset>
                        </wp:positionV>
                        <wp:extent cx="271145" cy="163195"/>
                        <wp:effectExtent l="0" t="0" r="0" b="0"/>
                        <wp:wrapNone/>
                        <wp:docPr id="41" name="IM 41"/>
                        <wp:cNvGraphicFramePr/>
                        <a:graphic xmlns:a="http://schemas.openxmlformats.org/drawingml/2006/main">
                          <a:graphicData uri="http://schemas.openxmlformats.org/drawingml/2006/picture">
                            <pic:pic xmlns:pic="http://schemas.openxmlformats.org/drawingml/2006/picture">
                              <pic:nvPicPr>
                                <pic:cNvPr id="41" name="IM 41"/>
                                <pic:cNvPicPr/>
                              </pic:nvPicPr>
                              <pic:blipFill>
                                <a:blip r:embed="rId425"/>
                                <a:stretch>
                                  <a:fillRect/>
                                </a:stretch>
                              </pic:blipFill>
                              <pic:spPr>
                                <a:xfrm>
                                  <a:off x="0" y="0"/>
                                  <a:ext cx="271119" cy="163195"/>
                                </a:xfrm>
                                <a:prstGeom prst="rect">
                                  <a:avLst/>
                                </a:prstGeom>
                              </pic:spPr>
                            </pic:pic>
                          </a:graphicData>
                        </a:graphic>
                      </wp:anchor>
                    </w:drawing>
                  </w:r>
                  <w:r>
                    <w:drawing>
                      <wp:anchor distT="0" distB="0" distL="0" distR="0" simplePos="0" relativeHeight="251757568" behindDoc="0" locked="0" layoutInCell="1" allowOverlap="1">
                        <wp:simplePos x="0" y="0"/>
                        <wp:positionH relativeFrom="rightMargin">
                          <wp:posOffset>-2019935</wp:posOffset>
                        </wp:positionH>
                        <wp:positionV relativeFrom="topMargin">
                          <wp:posOffset>995045</wp:posOffset>
                        </wp:positionV>
                        <wp:extent cx="271145" cy="163195"/>
                        <wp:effectExtent l="0" t="0" r="0" b="0"/>
                        <wp:wrapNone/>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426"/>
                                <a:stretch>
                                  <a:fillRect/>
                                </a:stretch>
                              </pic:blipFill>
                              <pic:spPr>
                                <a:xfrm>
                                  <a:off x="0" y="0"/>
                                  <a:ext cx="271119" cy="163195"/>
                                </a:xfrm>
                                <a:prstGeom prst="rect">
                                  <a:avLst/>
                                </a:prstGeom>
                              </pic:spPr>
                            </pic:pic>
                          </a:graphicData>
                        </a:graphic>
                      </wp:anchor>
                    </w:drawing>
                  </w:r>
                  <w:r>
                    <w:drawing>
                      <wp:anchor distT="0" distB="0" distL="0" distR="0" simplePos="0" relativeHeight="251758592" behindDoc="0" locked="0" layoutInCell="1" allowOverlap="1">
                        <wp:simplePos x="0" y="0"/>
                        <wp:positionH relativeFrom="rightMargin">
                          <wp:posOffset>-2034540</wp:posOffset>
                        </wp:positionH>
                        <wp:positionV relativeFrom="topMargin">
                          <wp:posOffset>1231900</wp:posOffset>
                        </wp:positionV>
                        <wp:extent cx="271145" cy="163195"/>
                        <wp:effectExtent l="0" t="0" r="0" b="0"/>
                        <wp:wrapNone/>
                        <wp:docPr id="43" name="IM 43"/>
                        <wp:cNvGraphicFramePr/>
                        <a:graphic xmlns:a="http://schemas.openxmlformats.org/drawingml/2006/main">
                          <a:graphicData uri="http://schemas.openxmlformats.org/drawingml/2006/picture">
                            <pic:pic xmlns:pic="http://schemas.openxmlformats.org/drawingml/2006/picture">
                              <pic:nvPicPr>
                                <pic:cNvPr id="43" name="IM 43"/>
                                <pic:cNvPicPr/>
                              </pic:nvPicPr>
                              <pic:blipFill>
                                <a:blip r:embed="rId427"/>
                                <a:stretch>
                                  <a:fillRect/>
                                </a:stretch>
                              </pic:blipFill>
                              <pic:spPr>
                                <a:xfrm>
                                  <a:off x="0" y="0"/>
                                  <a:ext cx="271170" cy="163194"/>
                                </a:xfrm>
                                <a:prstGeom prst="rect">
                                  <a:avLst/>
                                </a:prstGeom>
                              </pic:spPr>
                            </pic:pic>
                          </a:graphicData>
                        </a:graphic>
                      </wp:anchor>
                    </w:drawing>
                  </w:r>
                  <w:r>
                    <w:drawing>
                      <wp:anchor distT="0" distB="0" distL="0" distR="0" simplePos="0" relativeHeight="251760640" behindDoc="0" locked="0" layoutInCell="1" allowOverlap="1">
                        <wp:simplePos x="0" y="0"/>
                        <wp:positionH relativeFrom="rightMargin">
                          <wp:posOffset>-2038985</wp:posOffset>
                        </wp:positionH>
                        <wp:positionV relativeFrom="topMargin">
                          <wp:posOffset>1445260</wp:posOffset>
                        </wp:positionV>
                        <wp:extent cx="271145" cy="163195"/>
                        <wp:effectExtent l="0" t="0" r="0" b="0"/>
                        <wp:wrapNone/>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428"/>
                                <a:stretch>
                                  <a:fillRect/>
                                </a:stretch>
                              </pic:blipFill>
                              <pic:spPr>
                                <a:xfrm>
                                  <a:off x="0" y="0"/>
                                  <a:ext cx="271119" cy="163194"/>
                                </a:xfrm>
                                <a:prstGeom prst="rect">
                                  <a:avLst/>
                                </a:prstGeom>
                              </pic:spPr>
                            </pic:pic>
                          </a:graphicData>
                        </a:graphic>
                      </wp:anchor>
                    </w:drawing>
                  </w:r>
                  <w:r>
                    <w:rPr>
                      <w:rFonts w:ascii="宋体" w:hAnsi="宋体" w:eastAsia="宋体" w:cs="宋体"/>
                      <w:spacing w:val="-1"/>
                      <w:sz w:val="23"/>
                      <w:szCs w:val="23"/>
                      <w14:textOutline w14:w="4358" w14:cap="sq" w14:cmpd="sng">
                        <w14:solidFill>
                          <w14:srgbClr w14:val="000000"/>
                        </w14:solidFill>
                        <w14:prstDash w14:val="solid"/>
                        <w14:bevel/>
                      </w14:textOutline>
                    </w:rPr>
                    <w:t>图</w:t>
                  </w:r>
                  <w:r>
                    <w:rPr>
                      <w:rFonts w:ascii="宋体" w:hAnsi="宋体" w:eastAsia="宋体" w:cs="宋体"/>
                      <w:spacing w:val="-1"/>
                      <w:sz w:val="23"/>
                      <w:szCs w:val="23"/>
                    </w:rPr>
                    <w:t xml:space="preserve">  </w:t>
                  </w:r>
                  <w:r>
                    <w:rPr>
                      <w:rFonts w:ascii="宋体" w:hAnsi="宋体" w:eastAsia="宋体" w:cs="宋体"/>
                      <w:sz w:val="23"/>
                      <w:szCs w:val="23"/>
                      <w14:textOutline w14:w="4358" w14:cap="sq" w14:cmpd="sng">
                        <w14:solidFill>
                          <w14:srgbClr w14:val="000000"/>
                        </w14:solidFill>
                        <w14:prstDash w14:val="solid"/>
                        <w14:bevel/>
                      </w14:textOutline>
                    </w:rPr>
                    <w:t>例</w:t>
                  </w:r>
                </w:p>
                <w:p w14:paraId="7C288DFA">
                  <w:pPr>
                    <w:spacing w:before="74" w:line="360" w:lineRule="exact"/>
                    <w:ind w:left="639"/>
                    <w:rPr>
                      <w:rFonts w:ascii="宋体" w:hAnsi="宋体" w:eastAsia="宋体" w:cs="宋体"/>
                      <w:sz w:val="23"/>
                      <w:szCs w:val="23"/>
                    </w:rPr>
                  </w:pPr>
                  <w:r>
                    <w:rPr>
                      <w:rFonts w:ascii="宋体" w:hAnsi="宋体" w:eastAsia="宋体" w:cs="宋体"/>
                      <w:spacing w:val="11"/>
                      <w:position w:val="9"/>
                      <w:sz w:val="23"/>
                      <w:szCs w:val="23"/>
                    </w:rPr>
                    <w:t>建</w:t>
                  </w:r>
                  <w:r>
                    <w:rPr>
                      <w:rFonts w:ascii="宋体" w:hAnsi="宋体" w:eastAsia="宋体" w:cs="宋体"/>
                      <w:spacing w:val="8"/>
                      <w:position w:val="9"/>
                      <w:sz w:val="23"/>
                      <w:szCs w:val="23"/>
                    </w:rPr>
                    <w:t>设项目所在位置</w:t>
                  </w:r>
                </w:p>
                <w:p w14:paraId="5D90BF96">
                  <w:pPr>
                    <w:spacing w:before="1" w:line="225" w:lineRule="auto"/>
                    <w:ind w:left="636"/>
                    <w:rPr>
                      <w:rFonts w:ascii="宋体" w:hAnsi="宋体" w:eastAsia="宋体" w:cs="宋体"/>
                      <w:sz w:val="23"/>
                      <w:szCs w:val="23"/>
                    </w:rPr>
                  </w:pPr>
                  <w:r>
                    <w:rPr>
                      <w:rFonts w:ascii="宋体" w:hAnsi="宋体" w:eastAsia="宋体" w:cs="宋体"/>
                      <w:spacing w:val="9"/>
                      <w:sz w:val="23"/>
                      <w:szCs w:val="23"/>
                    </w:rPr>
                    <w:t>环境空气评价范</w:t>
                  </w:r>
                  <w:r>
                    <w:rPr>
                      <w:rFonts w:ascii="宋体" w:hAnsi="宋体" w:eastAsia="宋体" w:cs="宋体"/>
                      <w:spacing w:val="7"/>
                      <w:sz w:val="23"/>
                      <w:szCs w:val="23"/>
                    </w:rPr>
                    <w:t>围</w:t>
                  </w:r>
                </w:p>
                <w:p w14:paraId="2EE9A80A">
                  <w:pPr>
                    <w:spacing w:before="78" w:line="226" w:lineRule="auto"/>
                    <w:ind w:left="641"/>
                    <w:rPr>
                      <w:rFonts w:ascii="宋体" w:hAnsi="宋体" w:eastAsia="宋体" w:cs="宋体"/>
                      <w:sz w:val="23"/>
                      <w:szCs w:val="23"/>
                    </w:rPr>
                  </w:pPr>
                  <w:r>
                    <w:rPr>
                      <w:rFonts w:ascii="宋体" w:hAnsi="宋体" w:eastAsia="宋体" w:cs="宋体"/>
                      <w:spacing w:val="8"/>
                      <w:sz w:val="23"/>
                      <w:szCs w:val="23"/>
                    </w:rPr>
                    <w:t>声环境评价范</w:t>
                  </w:r>
                  <w:r>
                    <w:rPr>
                      <w:rFonts w:ascii="宋体" w:hAnsi="宋体" w:eastAsia="宋体" w:cs="宋体"/>
                      <w:spacing w:val="7"/>
                      <w:sz w:val="23"/>
                      <w:szCs w:val="23"/>
                    </w:rPr>
                    <w:t>围</w:t>
                  </w:r>
                </w:p>
                <w:p w14:paraId="1567639E">
                  <w:pPr>
                    <w:spacing w:before="77" w:line="269" w:lineRule="auto"/>
                    <w:ind w:left="636" w:right="532"/>
                    <w:rPr>
                      <w:rFonts w:ascii="宋体" w:hAnsi="宋体" w:eastAsia="宋体" w:cs="宋体"/>
                      <w:sz w:val="23"/>
                      <w:szCs w:val="23"/>
                    </w:rPr>
                  </w:pPr>
                  <w:r>
                    <w:rPr>
                      <w:rFonts w:ascii="宋体" w:hAnsi="宋体" w:eastAsia="宋体" w:cs="宋体"/>
                      <w:spacing w:val="9"/>
                      <w:sz w:val="23"/>
                      <w:szCs w:val="23"/>
                    </w:rPr>
                    <w:t>地下水环境评价范</w:t>
                  </w:r>
                  <w:r>
                    <w:rPr>
                      <w:rFonts w:ascii="宋体" w:hAnsi="宋体" w:eastAsia="宋体" w:cs="宋体"/>
                      <w:spacing w:val="8"/>
                      <w:sz w:val="23"/>
                      <w:szCs w:val="23"/>
                    </w:rPr>
                    <w:t>围</w:t>
                  </w:r>
                  <w:r>
                    <w:rPr>
                      <w:rFonts w:ascii="宋体" w:hAnsi="宋体" w:eastAsia="宋体" w:cs="宋体"/>
                      <w:sz w:val="23"/>
                      <w:szCs w:val="23"/>
                    </w:rPr>
                    <w:t xml:space="preserve"> </w:t>
                  </w:r>
                  <w:r>
                    <w:rPr>
                      <w:rFonts w:ascii="宋体" w:hAnsi="宋体" w:eastAsia="宋体" w:cs="宋体"/>
                      <w:spacing w:val="9"/>
                      <w:sz w:val="23"/>
                      <w:szCs w:val="23"/>
                    </w:rPr>
                    <w:t>土壤环境评价范</w:t>
                  </w:r>
                  <w:r>
                    <w:rPr>
                      <w:rFonts w:ascii="宋体" w:hAnsi="宋体" w:eastAsia="宋体" w:cs="宋体"/>
                      <w:spacing w:val="7"/>
                      <w:sz w:val="23"/>
                      <w:szCs w:val="23"/>
                    </w:rPr>
                    <w:t>围</w:t>
                  </w:r>
                  <w:r>
                    <w:rPr>
                      <w:rFonts w:ascii="宋体" w:hAnsi="宋体" w:eastAsia="宋体" w:cs="宋体"/>
                      <w:sz w:val="23"/>
                      <w:szCs w:val="23"/>
                    </w:rPr>
                    <w:t xml:space="preserve">  </w:t>
                  </w:r>
                  <w:r>
                    <w:rPr>
                      <w:rFonts w:ascii="宋体" w:hAnsi="宋体" w:eastAsia="宋体" w:cs="宋体"/>
                      <w:spacing w:val="10"/>
                      <w:sz w:val="23"/>
                      <w:szCs w:val="23"/>
                    </w:rPr>
                    <w:t>环</w:t>
                  </w:r>
                  <w:r>
                    <w:rPr>
                      <w:rFonts w:ascii="宋体" w:hAnsi="宋体" w:eastAsia="宋体" w:cs="宋体"/>
                      <w:spacing w:val="8"/>
                      <w:sz w:val="23"/>
                      <w:szCs w:val="23"/>
                    </w:rPr>
                    <w:t>境保护目标</w:t>
                  </w:r>
                </w:p>
              </w:tc>
            </w:tr>
          </w:tbl>
          <w:p w14:paraId="72EA0758">
            <w:pPr>
              <w:spacing w:line="34" w:lineRule="exact"/>
              <w:rPr>
                <w:rFonts w:ascii="Arial"/>
                <w:sz w:val="2"/>
              </w:rPr>
            </w:pPr>
          </w:p>
        </w:tc>
      </w:tr>
    </w:tbl>
    <w:p w14:paraId="22399A97">
      <w:pPr>
        <w:spacing w:before="243" w:line="219" w:lineRule="auto"/>
        <w:ind w:left="7492"/>
        <w:rPr>
          <w:rFonts w:ascii="宋体" w:hAnsi="宋体" w:eastAsia="宋体" w:cs="宋体"/>
          <w:sz w:val="28"/>
          <w:szCs w:val="28"/>
        </w:rPr>
      </w:pPr>
      <w:r>
        <w:rPr>
          <w:rFonts w:ascii="宋体" w:hAnsi="宋体" w:eastAsia="宋体" w:cs="宋体"/>
          <w:spacing w:val="-6"/>
          <w:sz w:val="28"/>
          <w:szCs w:val="28"/>
          <w14:textOutline w14:w="5103" w14:cap="sq" w14:cmpd="sng">
            <w14:solidFill>
              <w14:srgbClr w14:val="000000"/>
            </w14:solidFill>
            <w14:prstDash w14:val="solid"/>
            <w14:bevel/>
          </w14:textOutline>
        </w:rPr>
        <w:t>图</w:t>
      </w:r>
      <w:r>
        <w:rPr>
          <w:rFonts w:ascii="宋体" w:hAnsi="宋体" w:eastAsia="宋体" w:cs="宋体"/>
          <w:spacing w:val="-4"/>
          <w:sz w:val="28"/>
          <w:szCs w:val="28"/>
        </w:rPr>
        <w:t xml:space="preserve"> </w:t>
      </w:r>
      <w:r>
        <w:rPr>
          <w:rFonts w:ascii="Times New Roman" w:hAnsi="Times New Roman" w:eastAsia="Times New Roman" w:cs="Times New Roman"/>
          <w:b/>
          <w:bCs/>
          <w:spacing w:val="-3"/>
          <w:sz w:val="28"/>
          <w:szCs w:val="28"/>
        </w:rPr>
        <w:t>2-1</w:t>
      </w:r>
      <w:r>
        <w:rPr>
          <w:rFonts w:ascii="Times New Roman" w:hAnsi="Times New Roman" w:eastAsia="Times New Roman" w:cs="Times New Roman"/>
          <w:spacing w:val="-3"/>
          <w:sz w:val="28"/>
          <w:szCs w:val="28"/>
        </w:rPr>
        <w:t xml:space="preserve">        </w:t>
      </w:r>
      <w:r>
        <w:rPr>
          <w:rFonts w:ascii="宋体" w:hAnsi="宋体" w:eastAsia="宋体" w:cs="宋体"/>
          <w:spacing w:val="-3"/>
          <w:sz w:val="28"/>
          <w:szCs w:val="28"/>
          <w14:textOutline w14:w="5103" w14:cap="sq" w14:cmpd="sng">
            <w14:solidFill>
              <w14:srgbClr w14:val="000000"/>
            </w14:solidFill>
            <w14:prstDash w14:val="solid"/>
            <w14:bevel/>
          </w14:textOutline>
        </w:rPr>
        <w:t>建设项目环境保护目标及评价范围图</w:t>
      </w:r>
    </w:p>
    <w:p w14:paraId="5AA6A3B4">
      <w:pPr>
        <w:sectPr>
          <w:headerReference r:id="rId84" w:type="default"/>
          <w:footerReference r:id="rId85" w:type="default"/>
          <w:pgSz w:w="23758" w:h="16783"/>
          <w:pgMar w:top="1132" w:right="1440" w:bottom="1156" w:left="1440" w:header="878" w:footer="996" w:gutter="0"/>
          <w:cols w:space="720" w:num="1"/>
        </w:sectPr>
      </w:pPr>
    </w:p>
    <w:p w14:paraId="24015833">
      <w:pPr>
        <w:spacing w:line="313" w:lineRule="auto"/>
        <w:rPr>
          <w:rFonts w:ascii="Arial"/>
          <w:sz w:val="21"/>
        </w:rPr>
      </w:pPr>
      <w:r>
        <w:pict>
          <v:shape id="_x0000_s1133" o:spid="_x0000_s1133" style="position:absolute;left:0pt;margin-left:90pt;margin-top:57.35pt;height:0.75pt;width:415.3pt;mso-position-horizontal-relative:page;mso-position-vertical-relative:page;z-index:251766784;mso-width-relative:page;mso-height-relative:page;" fillcolor="#000000" filled="t" stroked="f" coordsize="8305,15" o:allowincell="f" path="m0,0l8305,0,8305,14,0,14,0,0xe">
            <v:path/>
            <v:fill on="t" focussize="0,0"/>
            <v:stroke on="f"/>
            <v:imagedata o:title=""/>
            <o:lock v:ext="edit"/>
          </v:shape>
        </w:pict>
      </w:r>
    </w:p>
    <w:p w14:paraId="1C5F3073">
      <w:pPr>
        <w:spacing w:before="114" w:line="225" w:lineRule="auto"/>
        <w:ind w:left="19"/>
        <w:outlineLvl w:val="0"/>
        <w:rPr>
          <w:rFonts w:ascii="宋体" w:hAnsi="宋体" w:eastAsia="宋体" w:cs="宋体"/>
          <w:sz w:val="35"/>
          <w:szCs w:val="35"/>
        </w:rPr>
      </w:pPr>
      <w:bookmarkStart w:id="14" w:name="_bookmark15"/>
      <w:bookmarkEnd w:id="14"/>
      <w:r>
        <w:rPr>
          <w:rFonts w:ascii="Times New Roman" w:hAnsi="Times New Roman" w:eastAsia="Times New Roman" w:cs="Times New Roman"/>
          <w:b/>
          <w:bCs/>
          <w:spacing w:val="-2"/>
          <w:sz w:val="35"/>
          <w:szCs w:val="35"/>
        </w:rPr>
        <w:t>3</w:t>
      </w:r>
      <w:r>
        <w:rPr>
          <w:rFonts w:ascii="Times New Roman" w:hAnsi="Times New Roman" w:eastAsia="Times New Roman" w:cs="Times New Roman"/>
          <w:spacing w:val="-2"/>
          <w:sz w:val="35"/>
          <w:szCs w:val="35"/>
        </w:rPr>
        <w:t xml:space="preserve"> </w:t>
      </w:r>
      <w:r>
        <w:rPr>
          <w:rFonts w:ascii="Times New Roman" w:hAnsi="Times New Roman" w:eastAsia="Times New Roman" w:cs="Times New Roman"/>
          <w:spacing w:val="-1"/>
          <w:sz w:val="35"/>
          <w:szCs w:val="35"/>
        </w:rPr>
        <w:t xml:space="preserve"> </w:t>
      </w:r>
      <w:r>
        <w:rPr>
          <w:rFonts w:ascii="宋体" w:hAnsi="宋体" w:eastAsia="宋体" w:cs="宋体"/>
          <w:spacing w:val="-1"/>
          <w:sz w:val="35"/>
          <w:szCs w:val="35"/>
          <w14:textOutline w14:w="6537" w14:cap="sq" w14:cmpd="sng">
            <w14:solidFill>
              <w14:srgbClr w14:val="000000"/>
            </w14:solidFill>
            <w14:prstDash w14:val="solid"/>
            <w14:bevel/>
          </w14:textOutline>
        </w:rPr>
        <w:t>建设项目工程分析</w:t>
      </w:r>
    </w:p>
    <w:p w14:paraId="43CAC05E">
      <w:pPr>
        <w:spacing w:before="255" w:line="225" w:lineRule="auto"/>
        <w:ind w:left="19"/>
        <w:outlineLvl w:val="1"/>
        <w:rPr>
          <w:rFonts w:ascii="宋体" w:hAnsi="宋体" w:eastAsia="宋体" w:cs="宋体"/>
          <w:sz w:val="31"/>
          <w:szCs w:val="31"/>
        </w:rPr>
      </w:pPr>
      <w:bookmarkStart w:id="15" w:name="_bookmark16"/>
      <w:bookmarkEnd w:id="15"/>
      <w:r>
        <w:rPr>
          <w:rFonts w:ascii="Times New Roman" w:hAnsi="Times New Roman" w:eastAsia="Times New Roman" w:cs="Times New Roman"/>
          <w:b/>
          <w:bCs/>
          <w:spacing w:val="-2"/>
          <w:sz w:val="31"/>
          <w:szCs w:val="31"/>
        </w:rPr>
        <w:t>3</w:t>
      </w:r>
      <w:r>
        <w:rPr>
          <w:rFonts w:ascii="Times New Roman" w:hAnsi="Times New Roman" w:eastAsia="Times New Roman" w:cs="Times New Roman"/>
          <w:b/>
          <w:bCs/>
          <w:spacing w:val="-1"/>
          <w:sz w:val="31"/>
          <w:szCs w:val="31"/>
        </w:rPr>
        <w:t>.1</w:t>
      </w:r>
      <w:r>
        <w:rPr>
          <w:rFonts w:ascii="Times New Roman" w:hAnsi="Times New Roman" w:eastAsia="Times New Roman" w:cs="Times New Roman"/>
          <w:spacing w:val="-1"/>
          <w:sz w:val="31"/>
          <w:szCs w:val="31"/>
        </w:rPr>
        <w:t xml:space="preserve">  </w:t>
      </w:r>
      <w:r>
        <w:rPr>
          <w:rFonts w:ascii="宋体" w:hAnsi="宋体" w:eastAsia="宋体" w:cs="宋体"/>
          <w:spacing w:val="-1"/>
          <w:sz w:val="31"/>
          <w:szCs w:val="31"/>
          <w14:textOutline w14:w="5793" w14:cap="sq" w14:cmpd="sng">
            <w14:solidFill>
              <w14:srgbClr w14:val="000000"/>
            </w14:solidFill>
            <w14:prstDash w14:val="solid"/>
            <w14:bevel/>
          </w14:textOutline>
        </w:rPr>
        <w:t>项目概况</w:t>
      </w:r>
    </w:p>
    <w:p w14:paraId="3DFBCD75">
      <w:pPr>
        <w:spacing w:before="287" w:line="226" w:lineRule="auto"/>
        <w:ind w:left="18"/>
        <w:outlineLvl w:val="2"/>
        <w:rPr>
          <w:rFonts w:ascii="宋体" w:hAnsi="宋体" w:eastAsia="宋体" w:cs="宋体"/>
          <w:sz w:val="29"/>
          <w:szCs w:val="29"/>
        </w:rPr>
      </w:pPr>
      <w:r>
        <w:rPr>
          <w:rFonts w:ascii="Times New Roman" w:hAnsi="Times New Roman" w:eastAsia="Times New Roman" w:cs="Times New Roman"/>
          <w:b/>
          <w:bCs/>
          <w:spacing w:val="-2"/>
          <w:sz w:val="29"/>
          <w:szCs w:val="29"/>
        </w:rPr>
        <w:t>3.1.1</w:t>
      </w:r>
      <w:r>
        <w:rPr>
          <w:rFonts w:ascii="Times New Roman" w:hAnsi="Times New Roman" w:eastAsia="Times New Roman" w:cs="Times New Roman"/>
          <w:spacing w:val="-2"/>
          <w:sz w:val="29"/>
          <w:szCs w:val="29"/>
        </w:rPr>
        <w:t xml:space="preserve"> </w:t>
      </w:r>
      <w:r>
        <w:rPr>
          <w:rFonts w:ascii="Times New Roman" w:hAnsi="Times New Roman" w:eastAsia="Times New Roman" w:cs="Times New Roman"/>
          <w:spacing w:val="-1"/>
          <w:sz w:val="29"/>
          <w:szCs w:val="29"/>
        </w:rPr>
        <w:t xml:space="preserve"> </w:t>
      </w:r>
      <w:r>
        <w:rPr>
          <w:rFonts w:ascii="宋体" w:hAnsi="宋体" w:eastAsia="宋体" w:cs="宋体"/>
          <w:spacing w:val="-1"/>
          <w:sz w:val="29"/>
          <w:szCs w:val="29"/>
          <w14:textOutline w14:w="5448" w14:cap="sq" w14:cmpd="sng">
            <w14:solidFill>
              <w14:srgbClr w14:val="000000"/>
            </w14:solidFill>
            <w14:prstDash w14:val="solid"/>
            <w14:bevel/>
          </w14:textOutline>
        </w:rPr>
        <w:t>项目名称、性质</w:t>
      </w:r>
    </w:p>
    <w:p w14:paraId="763F8095">
      <w:pPr>
        <w:spacing w:line="265" w:lineRule="auto"/>
        <w:rPr>
          <w:rFonts w:ascii="Arial"/>
          <w:sz w:val="21"/>
        </w:rPr>
      </w:pPr>
    </w:p>
    <w:p w14:paraId="296EB084">
      <w:pPr>
        <w:spacing w:before="74" w:line="648" w:lineRule="exact"/>
        <w:ind w:left="478"/>
        <w:rPr>
          <w:rFonts w:ascii="宋体" w:hAnsi="宋体" w:eastAsia="宋体" w:cs="宋体"/>
          <w:sz w:val="23"/>
          <w:szCs w:val="23"/>
        </w:rPr>
      </w:pPr>
      <w:r>
        <w:rPr>
          <w:rFonts w:ascii="宋体" w:hAnsi="宋体" w:eastAsia="宋体" w:cs="宋体"/>
          <w:spacing w:val="-5"/>
          <w:position w:val="32"/>
          <w:sz w:val="23"/>
          <w:szCs w:val="23"/>
        </w:rPr>
        <w:t>项</w:t>
      </w:r>
      <w:r>
        <w:rPr>
          <w:rFonts w:ascii="宋体" w:hAnsi="宋体" w:eastAsia="宋体" w:cs="宋体"/>
          <w:spacing w:val="-3"/>
          <w:position w:val="32"/>
          <w:sz w:val="23"/>
          <w:szCs w:val="23"/>
        </w:rPr>
        <w:t>目名称：本溪弘福塑业有限公司新建项目</w:t>
      </w:r>
    </w:p>
    <w:p w14:paraId="7662DA7F">
      <w:pPr>
        <w:spacing w:line="228" w:lineRule="auto"/>
        <w:ind w:left="477"/>
        <w:rPr>
          <w:rFonts w:ascii="宋体" w:hAnsi="宋体" w:eastAsia="宋体" w:cs="宋体"/>
          <w:sz w:val="23"/>
          <w:szCs w:val="23"/>
        </w:rPr>
      </w:pPr>
      <w:r>
        <w:rPr>
          <w:rFonts w:ascii="宋体" w:hAnsi="宋体" w:eastAsia="宋体" w:cs="宋体"/>
          <w:spacing w:val="-4"/>
          <w:sz w:val="23"/>
          <w:szCs w:val="23"/>
        </w:rPr>
        <w:t>建</w:t>
      </w:r>
      <w:r>
        <w:rPr>
          <w:rFonts w:ascii="宋体" w:hAnsi="宋体" w:eastAsia="宋体" w:cs="宋体"/>
          <w:spacing w:val="-3"/>
          <w:sz w:val="23"/>
          <w:szCs w:val="23"/>
        </w:rPr>
        <w:t>设单位：本溪弘福塑业有限公司</w:t>
      </w:r>
    </w:p>
    <w:p w14:paraId="5B1F5705">
      <w:pPr>
        <w:spacing w:line="285" w:lineRule="auto"/>
        <w:rPr>
          <w:rFonts w:ascii="Arial"/>
          <w:sz w:val="21"/>
        </w:rPr>
      </w:pPr>
    </w:p>
    <w:p w14:paraId="37ADD18B">
      <w:pPr>
        <w:spacing w:before="76" w:line="401" w:lineRule="auto"/>
        <w:ind w:left="11" w:right="18" w:firstLine="466"/>
        <w:rPr>
          <w:rFonts w:ascii="宋体" w:hAnsi="宋体" w:eastAsia="宋体" w:cs="宋体"/>
          <w:sz w:val="23"/>
          <w:szCs w:val="23"/>
        </w:rPr>
      </w:pPr>
      <w:r>
        <w:rPr>
          <w:rFonts w:ascii="宋体" w:hAnsi="宋体" w:eastAsia="宋体" w:cs="宋体"/>
          <w:spacing w:val="15"/>
          <w:sz w:val="23"/>
          <w:szCs w:val="23"/>
        </w:rPr>
        <w:t>建设地点：位于辽宁省本溪市溪湖区火连寨镇火连寨村，地理位置坐标</w:t>
      </w:r>
      <w:r>
        <w:rPr>
          <w:rFonts w:ascii="宋体" w:hAnsi="宋体" w:eastAsia="宋体" w:cs="宋体"/>
          <w:spacing w:val="13"/>
          <w:sz w:val="23"/>
          <w:szCs w:val="23"/>
        </w:rPr>
        <w:t>为</w:t>
      </w:r>
      <w:r>
        <w:rPr>
          <w:rFonts w:ascii="宋体" w:hAnsi="宋体" w:eastAsia="宋体" w:cs="宋体"/>
          <w:sz w:val="23"/>
          <w:szCs w:val="23"/>
        </w:rPr>
        <w:t xml:space="preserve"> </w:t>
      </w:r>
      <w:r>
        <w:rPr>
          <w:rFonts w:ascii="Times New Roman" w:hAnsi="Times New Roman" w:eastAsia="Times New Roman" w:cs="Times New Roman"/>
          <w:spacing w:val="-4"/>
          <w:sz w:val="23"/>
          <w:szCs w:val="23"/>
        </w:rPr>
        <w:t>N</w:t>
      </w:r>
      <w:r>
        <w:rPr>
          <w:rFonts w:ascii="Times New Roman" w:hAnsi="Times New Roman" w:eastAsia="Times New Roman" w:cs="Times New Roman"/>
          <w:spacing w:val="-8"/>
          <w:sz w:val="23"/>
          <w:szCs w:val="23"/>
        </w:rPr>
        <w:t>41°21</w:t>
      </w:r>
      <w:r>
        <w:rPr>
          <w:rFonts w:ascii="Times New Roman" w:hAnsi="Times New Roman" w:eastAsia="Times New Roman" w:cs="Times New Roman"/>
          <w:spacing w:val="-4"/>
          <w:sz w:val="23"/>
          <w:szCs w:val="23"/>
        </w:rPr>
        <w:t xml:space="preserve">′55.05927″E123°42′32.05640″ </w:t>
      </w:r>
      <w:r>
        <w:rPr>
          <w:rFonts w:ascii="宋体" w:hAnsi="宋体" w:eastAsia="宋体" w:cs="宋体"/>
          <w:spacing w:val="-4"/>
          <w:sz w:val="23"/>
          <w:szCs w:val="23"/>
        </w:rPr>
        <w:t xml:space="preserve">。详见图 </w:t>
      </w:r>
      <w:r>
        <w:rPr>
          <w:rFonts w:ascii="Times New Roman" w:hAnsi="Times New Roman" w:eastAsia="Times New Roman" w:cs="Times New Roman"/>
          <w:spacing w:val="-4"/>
          <w:sz w:val="23"/>
          <w:szCs w:val="23"/>
        </w:rPr>
        <w:t>3-1</w:t>
      </w:r>
      <w:r>
        <w:rPr>
          <w:rFonts w:ascii="宋体" w:hAnsi="宋体" w:eastAsia="宋体" w:cs="宋体"/>
          <w:spacing w:val="-4"/>
          <w:sz w:val="23"/>
          <w:szCs w:val="23"/>
        </w:rPr>
        <w:t>。</w:t>
      </w:r>
    </w:p>
    <w:p w14:paraId="08BD6632">
      <w:pPr>
        <w:spacing w:before="128" w:line="228" w:lineRule="auto"/>
        <w:ind w:left="477"/>
        <w:rPr>
          <w:rFonts w:ascii="宋体" w:hAnsi="宋体" w:eastAsia="宋体" w:cs="宋体"/>
          <w:sz w:val="23"/>
          <w:szCs w:val="23"/>
        </w:rPr>
      </w:pPr>
      <w:r>
        <w:rPr>
          <w:rFonts w:ascii="宋体" w:hAnsi="宋体" w:eastAsia="宋体" w:cs="宋体"/>
          <w:spacing w:val="-4"/>
          <w:sz w:val="23"/>
          <w:szCs w:val="23"/>
        </w:rPr>
        <w:t>建设性</w:t>
      </w:r>
      <w:r>
        <w:rPr>
          <w:rFonts w:ascii="宋体" w:hAnsi="宋体" w:eastAsia="宋体" w:cs="宋体"/>
          <w:spacing w:val="-2"/>
          <w:sz w:val="23"/>
          <w:szCs w:val="23"/>
        </w:rPr>
        <w:t>质：新建</w:t>
      </w:r>
    </w:p>
    <w:p w14:paraId="4061DEAF">
      <w:pPr>
        <w:spacing w:line="287" w:lineRule="auto"/>
        <w:rPr>
          <w:rFonts w:ascii="Arial"/>
          <w:sz w:val="21"/>
        </w:rPr>
      </w:pPr>
    </w:p>
    <w:p w14:paraId="00DEF18B">
      <w:pPr>
        <w:spacing w:before="75" w:line="645" w:lineRule="exact"/>
        <w:ind w:left="478"/>
        <w:rPr>
          <w:rFonts w:ascii="宋体" w:hAnsi="宋体" w:eastAsia="宋体" w:cs="宋体"/>
          <w:sz w:val="23"/>
          <w:szCs w:val="23"/>
        </w:rPr>
      </w:pPr>
      <w:r>
        <w:rPr>
          <w:rFonts w:ascii="宋体" w:hAnsi="宋体" w:eastAsia="宋体" w:cs="宋体"/>
          <w:spacing w:val="-4"/>
          <w:position w:val="31"/>
          <w:sz w:val="23"/>
          <w:szCs w:val="23"/>
        </w:rPr>
        <w:t>行业类别：</w:t>
      </w:r>
      <w:r>
        <w:rPr>
          <w:rFonts w:ascii="Times New Roman" w:hAnsi="Times New Roman" w:eastAsia="Times New Roman" w:cs="Times New Roman"/>
          <w:spacing w:val="-2"/>
          <w:position w:val="31"/>
          <w:sz w:val="23"/>
          <w:szCs w:val="23"/>
        </w:rPr>
        <w:t>C</w:t>
      </w:r>
      <w:r>
        <w:rPr>
          <w:rFonts w:ascii="Times New Roman" w:hAnsi="Times New Roman" w:eastAsia="Times New Roman" w:cs="Times New Roman"/>
          <w:spacing w:val="-4"/>
          <w:position w:val="31"/>
          <w:sz w:val="23"/>
          <w:szCs w:val="23"/>
        </w:rPr>
        <w:t>2</w:t>
      </w:r>
      <w:r>
        <w:rPr>
          <w:rFonts w:ascii="Times New Roman" w:hAnsi="Times New Roman" w:eastAsia="Times New Roman" w:cs="Times New Roman"/>
          <w:spacing w:val="-3"/>
          <w:position w:val="31"/>
          <w:sz w:val="23"/>
          <w:szCs w:val="23"/>
        </w:rPr>
        <w:t>9</w:t>
      </w:r>
      <w:r>
        <w:rPr>
          <w:rFonts w:ascii="Times New Roman" w:hAnsi="Times New Roman" w:eastAsia="Times New Roman" w:cs="Times New Roman"/>
          <w:spacing w:val="-2"/>
          <w:position w:val="31"/>
          <w:sz w:val="23"/>
          <w:szCs w:val="23"/>
        </w:rPr>
        <w:t xml:space="preserve">29  </w:t>
      </w:r>
      <w:r>
        <w:rPr>
          <w:rFonts w:ascii="宋体" w:hAnsi="宋体" w:eastAsia="宋体" w:cs="宋体"/>
          <w:spacing w:val="-2"/>
          <w:position w:val="31"/>
          <w:sz w:val="23"/>
          <w:szCs w:val="23"/>
        </w:rPr>
        <w:t>塑料零件及其他塑料制品制造</w:t>
      </w:r>
    </w:p>
    <w:p w14:paraId="270ED884">
      <w:pPr>
        <w:spacing w:line="228" w:lineRule="auto"/>
        <w:ind w:left="478"/>
        <w:rPr>
          <w:rFonts w:ascii="宋体" w:hAnsi="宋体" w:eastAsia="宋体" w:cs="宋体"/>
          <w:sz w:val="23"/>
          <w:szCs w:val="23"/>
        </w:rPr>
      </w:pPr>
      <w:r>
        <w:rPr>
          <w:rFonts w:ascii="宋体" w:hAnsi="宋体" w:eastAsia="宋体" w:cs="宋体"/>
          <w:spacing w:val="-10"/>
          <w:sz w:val="23"/>
          <w:szCs w:val="23"/>
        </w:rPr>
        <w:t>项目</w:t>
      </w:r>
      <w:r>
        <w:rPr>
          <w:rFonts w:ascii="宋体" w:hAnsi="宋体" w:eastAsia="宋体" w:cs="宋体"/>
          <w:spacing w:val="-8"/>
          <w:sz w:val="23"/>
          <w:szCs w:val="23"/>
        </w:rPr>
        <w:t>投</w:t>
      </w:r>
      <w:r>
        <w:rPr>
          <w:rFonts w:ascii="宋体" w:hAnsi="宋体" w:eastAsia="宋体" w:cs="宋体"/>
          <w:spacing w:val="-5"/>
          <w:sz w:val="23"/>
          <w:szCs w:val="23"/>
        </w:rPr>
        <w:t xml:space="preserve">资：总投资 </w:t>
      </w:r>
      <w:r>
        <w:rPr>
          <w:rFonts w:ascii="Times New Roman" w:hAnsi="Times New Roman" w:eastAsia="Times New Roman" w:cs="Times New Roman"/>
          <w:spacing w:val="-5"/>
          <w:sz w:val="23"/>
          <w:szCs w:val="23"/>
        </w:rPr>
        <w:t xml:space="preserve">4300 </w:t>
      </w:r>
      <w:r>
        <w:rPr>
          <w:rFonts w:ascii="宋体" w:hAnsi="宋体" w:eastAsia="宋体" w:cs="宋体"/>
          <w:spacing w:val="-5"/>
          <w:sz w:val="23"/>
          <w:szCs w:val="23"/>
        </w:rPr>
        <w:t>万元</w:t>
      </w:r>
    </w:p>
    <w:p w14:paraId="68634EA5">
      <w:pPr>
        <w:spacing w:line="287" w:lineRule="auto"/>
        <w:rPr>
          <w:rFonts w:ascii="Arial"/>
          <w:sz w:val="21"/>
        </w:rPr>
      </w:pPr>
    </w:p>
    <w:p w14:paraId="334A6855">
      <w:pPr>
        <w:spacing w:before="75" w:line="228" w:lineRule="auto"/>
        <w:ind w:left="514"/>
        <w:rPr>
          <w:rFonts w:ascii="Times New Roman" w:hAnsi="Times New Roman" w:eastAsia="Times New Roman" w:cs="Times New Roman"/>
          <w:sz w:val="15"/>
          <w:szCs w:val="15"/>
        </w:rPr>
      </w:pPr>
      <w:r>
        <w:rPr>
          <w:rFonts w:ascii="宋体" w:hAnsi="宋体" w:eastAsia="宋体" w:cs="宋体"/>
          <w:spacing w:val="-10"/>
          <w:sz w:val="23"/>
          <w:szCs w:val="23"/>
        </w:rPr>
        <w:t>占</w:t>
      </w:r>
      <w:r>
        <w:rPr>
          <w:rFonts w:ascii="宋体" w:hAnsi="宋体" w:eastAsia="宋体" w:cs="宋体"/>
          <w:spacing w:val="-8"/>
          <w:sz w:val="23"/>
          <w:szCs w:val="23"/>
        </w:rPr>
        <w:t>地</w:t>
      </w:r>
      <w:r>
        <w:rPr>
          <w:rFonts w:ascii="宋体" w:hAnsi="宋体" w:eastAsia="宋体" w:cs="宋体"/>
          <w:spacing w:val="-5"/>
          <w:sz w:val="23"/>
          <w:szCs w:val="23"/>
        </w:rPr>
        <w:t>面积：</w:t>
      </w:r>
      <w:r>
        <w:rPr>
          <w:rFonts w:ascii="Times New Roman" w:hAnsi="Times New Roman" w:eastAsia="Times New Roman" w:cs="Times New Roman"/>
          <w:spacing w:val="-5"/>
          <w:sz w:val="23"/>
          <w:szCs w:val="23"/>
        </w:rPr>
        <w:t>7000m</w:t>
      </w:r>
      <w:r>
        <w:rPr>
          <w:rFonts w:ascii="Times New Roman" w:hAnsi="Times New Roman" w:eastAsia="Times New Roman" w:cs="Times New Roman"/>
          <w:spacing w:val="-5"/>
          <w:position w:val="7"/>
          <w:sz w:val="15"/>
          <w:szCs w:val="15"/>
        </w:rPr>
        <w:t>2</w:t>
      </w:r>
    </w:p>
    <w:p w14:paraId="5589E23F">
      <w:pPr>
        <w:spacing w:line="284" w:lineRule="auto"/>
        <w:rPr>
          <w:rFonts w:ascii="Arial"/>
          <w:sz w:val="21"/>
        </w:rPr>
      </w:pPr>
    </w:p>
    <w:p w14:paraId="5A493E59">
      <w:pPr>
        <w:spacing w:before="76" w:line="648" w:lineRule="exact"/>
        <w:ind w:left="477"/>
        <w:rPr>
          <w:rFonts w:ascii="宋体" w:hAnsi="宋体" w:eastAsia="宋体" w:cs="宋体"/>
          <w:sz w:val="23"/>
          <w:szCs w:val="23"/>
        </w:rPr>
      </w:pPr>
      <w:r>
        <w:rPr>
          <w:rFonts w:ascii="宋体" w:hAnsi="宋体" w:eastAsia="宋体" w:cs="宋体"/>
          <w:spacing w:val="-8"/>
          <w:position w:val="32"/>
          <w:sz w:val="23"/>
          <w:szCs w:val="23"/>
        </w:rPr>
        <w:t>建设规</w:t>
      </w:r>
      <w:r>
        <w:rPr>
          <w:rFonts w:ascii="宋体" w:hAnsi="宋体" w:eastAsia="宋体" w:cs="宋体"/>
          <w:spacing w:val="-5"/>
          <w:position w:val="32"/>
          <w:sz w:val="23"/>
          <w:szCs w:val="23"/>
        </w:rPr>
        <w:t>模</w:t>
      </w:r>
      <w:r>
        <w:rPr>
          <w:rFonts w:ascii="宋体" w:hAnsi="宋体" w:eastAsia="宋体" w:cs="宋体"/>
          <w:spacing w:val="-4"/>
          <w:position w:val="32"/>
          <w:sz w:val="23"/>
          <w:szCs w:val="23"/>
        </w:rPr>
        <w:t xml:space="preserve">：年产废旧塑料再生颗粒 </w:t>
      </w:r>
      <w:r>
        <w:rPr>
          <w:rFonts w:ascii="Times New Roman" w:hAnsi="Times New Roman" w:eastAsia="Times New Roman" w:cs="Times New Roman"/>
          <w:spacing w:val="-4"/>
          <w:position w:val="32"/>
          <w:sz w:val="23"/>
          <w:szCs w:val="23"/>
        </w:rPr>
        <w:t xml:space="preserve">50000 </w:t>
      </w:r>
      <w:r>
        <w:rPr>
          <w:rFonts w:ascii="宋体" w:hAnsi="宋体" w:eastAsia="宋体" w:cs="宋体"/>
          <w:spacing w:val="-4"/>
          <w:position w:val="32"/>
          <w:sz w:val="23"/>
          <w:szCs w:val="23"/>
        </w:rPr>
        <w:t>吨</w:t>
      </w:r>
    </w:p>
    <w:p w14:paraId="324365E4">
      <w:pPr>
        <w:spacing w:before="1" w:line="227" w:lineRule="auto"/>
        <w:ind w:left="480"/>
        <w:rPr>
          <w:rFonts w:ascii="宋体" w:hAnsi="宋体" w:eastAsia="宋体" w:cs="宋体"/>
          <w:sz w:val="23"/>
          <w:szCs w:val="23"/>
        </w:rPr>
      </w:pPr>
      <w:r>
        <w:rPr>
          <w:rFonts w:ascii="宋体" w:hAnsi="宋体" w:eastAsia="宋体" w:cs="宋体"/>
          <w:spacing w:val="-2"/>
          <w:sz w:val="23"/>
          <w:szCs w:val="23"/>
        </w:rPr>
        <w:t xml:space="preserve">劳动定员：劳动定员 </w:t>
      </w:r>
      <w:r>
        <w:rPr>
          <w:rFonts w:ascii="Times New Roman" w:hAnsi="Times New Roman" w:eastAsia="Times New Roman" w:cs="Times New Roman"/>
          <w:spacing w:val="-1"/>
          <w:sz w:val="23"/>
          <w:szCs w:val="23"/>
        </w:rPr>
        <w:t xml:space="preserve">80 </w:t>
      </w:r>
      <w:r>
        <w:rPr>
          <w:rFonts w:ascii="宋体" w:hAnsi="宋体" w:eastAsia="宋体" w:cs="宋体"/>
          <w:spacing w:val="-1"/>
          <w:sz w:val="23"/>
          <w:szCs w:val="23"/>
        </w:rPr>
        <w:t>人</w:t>
      </w:r>
    </w:p>
    <w:p w14:paraId="764B0632">
      <w:pPr>
        <w:spacing w:line="288" w:lineRule="auto"/>
        <w:rPr>
          <w:rFonts w:ascii="Arial"/>
          <w:sz w:val="21"/>
        </w:rPr>
      </w:pPr>
    </w:p>
    <w:p w14:paraId="31A004A8">
      <w:pPr>
        <w:spacing w:before="75" w:line="228" w:lineRule="auto"/>
        <w:ind w:left="477"/>
        <w:rPr>
          <w:rFonts w:ascii="宋体" w:hAnsi="宋体" w:eastAsia="宋体" w:cs="宋体"/>
          <w:sz w:val="23"/>
          <w:szCs w:val="23"/>
        </w:rPr>
      </w:pPr>
      <w:r>
        <w:rPr>
          <w:rFonts w:ascii="宋体" w:hAnsi="宋体" w:eastAsia="宋体" w:cs="宋体"/>
          <w:spacing w:val="4"/>
          <w:sz w:val="23"/>
          <w:szCs w:val="23"/>
        </w:rPr>
        <w:t>工作</w:t>
      </w:r>
      <w:r>
        <w:rPr>
          <w:rFonts w:ascii="宋体" w:hAnsi="宋体" w:eastAsia="宋体" w:cs="宋体"/>
          <w:spacing w:val="3"/>
          <w:sz w:val="23"/>
          <w:szCs w:val="23"/>
        </w:rPr>
        <w:t>制</w:t>
      </w:r>
      <w:r>
        <w:rPr>
          <w:rFonts w:ascii="宋体" w:hAnsi="宋体" w:eastAsia="宋体" w:cs="宋体"/>
          <w:spacing w:val="2"/>
          <w:sz w:val="23"/>
          <w:szCs w:val="23"/>
        </w:rPr>
        <w:t xml:space="preserve">度：全年工作天数为 </w:t>
      </w:r>
      <w:r>
        <w:rPr>
          <w:rFonts w:ascii="Times New Roman" w:hAnsi="Times New Roman" w:eastAsia="Times New Roman" w:cs="Times New Roman"/>
          <w:spacing w:val="2"/>
          <w:sz w:val="23"/>
          <w:szCs w:val="23"/>
        </w:rPr>
        <w:t xml:space="preserve">300 </w:t>
      </w:r>
      <w:r>
        <w:rPr>
          <w:rFonts w:ascii="宋体" w:hAnsi="宋体" w:eastAsia="宋体" w:cs="宋体"/>
          <w:spacing w:val="2"/>
          <w:sz w:val="23"/>
          <w:szCs w:val="23"/>
        </w:rPr>
        <w:t xml:space="preserve">天，实行 </w:t>
      </w:r>
      <w:r>
        <w:rPr>
          <w:rFonts w:ascii="Times New Roman" w:hAnsi="Times New Roman" w:eastAsia="Times New Roman" w:cs="Times New Roman"/>
          <w:spacing w:val="2"/>
          <w:sz w:val="23"/>
          <w:szCs w:val="23"/>
        </w:rPr>
        <w:t xml:space="preserve">2 </w:t>
      </w:r>
      <w:r>
        <w:rPr>
          <w:rFonts w:ascii="宋体" w:hAnsi="宋体" w:eastAsia="宋体" w:cs="宋体"/>
          <w:spacing w:val="2"/>
          <w:sz w:val="23"/>
          <w:szCs w:val="23"/>
        </w:rPr>
        <w:t xml:space="preserve">班制，每班 </w:t>
      </w:r>
      <w:r>
        <w:rPr>
          <w:rFonts w:ascii="Times New Roman" w:hAnsi="Times New Roman" w:eastAsia="Times New Roman" w:cs="Times New Roman"/>
          <w:spacing w:val="2"/>
          <w:sz w:val="23"/>
          <w:szCs w:val="23"/>
        </w:rPr>
        <w:t xml:space="preserve">12 </w:t>
      </w:r>
      <w:r>
        <w:rPr>
          <w:rFonts w:ascii="宋体" w:hAnsi="宋体" w:eastAsia="宋体" w:cs="宋体"/>
          <w:spacing w:val="2"/>
          <w:sz w:val="23"/>
          <w:szCs w:val="23"/>
        </w:rPr>
        <w:t>小时</w:t>
      </w:r>
    </w:p>
    <w:p w14:paraId="0B17C2EF">
      <w:pPr>
        <w:spacing w:line="285" w:lineRule="auto"/>
        <w:rPr>
          <w:rFonts w:ascii="Arial"/>
          <w:sz w:val="21"/>
        </w:rPr>
      </w:pPr>
    </w:p>
    <w:p w14:paraId="74A6AB4B">
      <w:pPr>
        <w:spacing w:before="75" w:line="227" w:lineRule="auto"/>
        <w:ind w:left="476"/>
        <w:rPr>
          <w:rFonts w:ascii="宋体" w:hAnsi="宋体" w:eastAsia="宋体" w:cs="宋体"/>
          <w:sz w:val="23"/>
          <w:szCs w:val="23"/>
        </w:rPr>
      </w:pPr>
      <w:r>
        <w:rPr>
          <w:rFonts w:ascii="宋体" w:hAnsi="宋体" w:eastAsia="宋体" w:cs="宋体"/>
          <w:spacing w:val="-9"/>
          <w:sz w:val="23"/>
          <w:szCs w:val="23"/>
        </w:rPr>
        <w:t>预</w:t>
      </w:r>
      <w:r>
        <w:rPr>
          <w:rFonts w:ascii="宋体" w:hAnsi="宋体" w:eastAsia="宋体" w:cs="宋体"/>
          <w:spacing w:val="-5"/>
          <w:sz w:val="23"/>
          <w:szCs w:val="23"/>
        </w:rPr>
        <w:t>投产日期：</w:t>
      </w:r>
      <w:r>
        <w:rPr>
          <w:rFonts w:ascii="Times New Roman" w:hAnsi="Times New Roman" w:eastAsia="Times New Roman" w:cs="Times New Roman"/>
          <w:spacing w:val="-5"/>
          <w:sz w:val="23"/>
          <w:szCs w:val="23"/>
        </w:rPr>
        <w:t xml:space="preserve">2020 </w:t>
      </w:r>
      <w:r>
        <w:rPr>
          <w:rFonts w:ascii="宋体" w:hAnsi="宋体" w:eastAsia="宋体" w:cs="宋体"/>
          <w:spacing w:val="-5"/>
          <w:sz w:val="23"/>
          <w:szCs w:val="23"/>
        </w:rPr>
        <w:t xml:space="preserve">年 </w:t>
      </w:r>
      <w:r>
        <w:rPr>
          <w:rFonts w:ascii="Times New Roman" w:hAnsi="Times New Roman" w:eastAsia="Times New Roman" w:cs="Times New Roman"/>
          <w:spacing w:val="-5"/>
          <w:sz w:val="23"/>
          <w:szCs w:val="23"/>
        </w:rPr>
        <w:t xml:space="preserve">2 </w:t>
      </w:r>
      <w:r>
        <w:rPr>
          <w:rFonts w:ascii="宋体" w:hAnsi="宋体" w:eastAsia="宋体" w:cs="宋体"/>
          <w:spacing w:val="-5"/>
          <w:sz w:val="23"/>
          <w:szCs w:val="23"/>
        </w:rPr>
        <w:t>月</w:t>
      </w:r>
    </w:p>
    <w:p w14:paraId="4DE3521B">
      <w:pPr>
        <w:spacing w:before="313" w:line="226" w:lineRule="auto"/>
        <w:ind w:left="18"/>
        <w:outlineLvl w:val="2"/>
        <w:rPr>
          <w:rFonts w:ascii="宋体" w:hAnsi="宋体" w:eastAsia="宋体" w:cs="宋体"/>
          <w:sz w:val="29"/>
          <w:szCs w:val="29"/>
        </w:rPr>
      </w:pPr>
      <w:r>
        <w:rPr>
          <w:rFonts w:ascii="Times New Roman" w:hAnsi="Times New Roman" w:eastAsia="Times New Roman" w:cs="Times New Roman"/>
          <w:b/>
          <w:bCs/>
          <w:spacing w:val="-2"/>
          <w:sz w:val="29"/>
          <w:szCs w:val="29"/>
        </w:rPr>
        <w:t>3.1.2</w:t>
      </w:r>
      <w:r>
        <w:rPr>
          <w:rFonts w:ascii="Times New Roman" w:hAnsi="Times New Roman" w:eastAsia="Times New Roman" w:cs="Times New Roman"/>
          <w:spacing w:val="-2"/>
          <w:sz w:val="29"/>
          <w:szCs w:val="29"/>
        </w:rPr>
        <w:t xml:space="preserve">  </w:t>
      </w:r>
      <w:r>
        <w:rPr>
          <w:rFonts w:ascii="宋体" w:hAnsi="宋体" w:eastAsia="宋体" w:cs="宋体"/>
          <w:spacing w:val="-2"/>
          <w:sz w:val="29"/>
          <w:szCs w:val="29"/>
          <w14:textOutline w14:w="5448" w14:cap="sq" w14:cmpd="sng">
            <w14:solidFill>
              <w14:srgbClr w14:val="000000"/>
            </w14:solidFill>
            <w14:prstDash w14:val="solid"/>
            <w14:bevel/>
          </w14:textOutline>
        </w:rPr>
        <w:t>建</w:t>
      </w:r>
      <w:r>
        <w:rPr>
          <w:rFonts w:ascii="宋体" w:hAnsi="宋体" w:eastAsia="宋体" w:cs="宋体"/>
          <w:spacing w:val="-1"/>
          <w:sz w:val="29"/>
          <w:szCs w:val="29"/>
          <w14:textOutline w14:w="5448" w14:cap="sq" w14:cmpd="sng">
            <w14:solidFill>
              <w14:srgbClr w14:val="000000"/>
            </w14:solidFill>
            <w14:prstDash w14:val="solid"/>
            <w14:bevel/>
          </w14:textOutline>
        </w:rPr>
        <w:t>设内容及项目组成</w:t>
      </w:r>
    </w:p>
    <w:p w14:paraId="4ABB98FC">
      <w:pPr>
        <w:spacing w:line="265" w:lineRule="auto"/>
        <w:rPr>
          <w:rFonts w:ascii="Arial"/>
          <w:sz w:val="21"/>
        </w:rPr>
      </w:pPr>
    </w:p>
    <w:p w14:paraId="725173DF">
      <w:pPr>
        <w:spacing w:before="75" w:line="227" w:lineRule="auto"/>
        <w:ind w:left="482"/>
        <w:rPr>
          <w:rFonts w:ascii="宋体" w:hAnsi="宋体" w:eastAsia="宋体" w:cs="宋体"/>
          <w:sz w:val="23"/>
          <w:szCs w:val="23"/>
        </w:rPr>
      </w:pPr>
      <w:r>
        <w:rPr>
          <w:rFonts w:ascii="宋体" w:hAnsi="宋体" w:eastAsia="宋体" w:cs="宋体"/>
          <w:spacing w:val="14"/>
          <w:sz w:val="23"/>
          <w:szCs w:val="23"/>
        </w:rPr>
        <w:t>本</w:t>
      </w:r>
      <w:r>
        <w:rPr>
          <w:rFonts w:ascii="宋体" w:hAnsi="宋体" w:eastAsia="宋体" w:cs="宋体"/>
          <w:spacing w:val="11"/>
          <w:sz w:val="23"/>
          <w:szCs w:val="23"/>
        </w:rPr>
        <w:t>溪</w:t>
      </w:r>
      <w:r>
        <w:rPr>
          <w:rFonts w:ascii="宋体" w:hAnsi="宋体" w:eastAsia="宋体" w:cs="宋体"/>
          <w:spacing w:val="7"/>
          <w:sz w:val="23"/>
          <w:szCs w:val="23"/>
        </w:rPr>
        <w:t>弘福塑业有限公司新建项目拟建于辽宁省本溪市溪湖区火连寨镇火连寨</w:t>
      </w:r>
    </w:p>
    <w:p w14:paraId="51E845A3">
      <w:pPr>
        <w:spacing w:before="199" w:line="392" w:lineRule="auto"/>
        <w:ind w:left="23" w:right="13"/>
        <w:rPr>
          <w:rFonts w:ascii="宋体" w:hAnsi="宋体" w:eastAsia="宋体" w:cs="宋体"/>
          <w:sz w:val="23"/>
          <w:szCs w:val="23"/>
        </w:rPr>
      </w:pPr>
      <w:r>
        <w:rPr>
          <w:rFonts w:ascii="宋体" w:hAnsi="宋体" w:eastAsia="宋体" w:cs="宋体"/>
          <w:spacing w:val="-2"/>
          <w:sz w:val="23"/>
          <w:szCs w:val="23"/>
        </w:rPr>
        <w:t>村，地理位置坐标为</w:t>
      </w:r>
      <w:r>
        <w:rPr>
          <w:rFonts w:ascii="Times New Roman" w:hAnsi="Times New Roman" w:eastAsia="Times New Roman" w:cs="Times New Roman"/>
          <w:spacing w:val="-1"/>
          <w:sz w:val="23"/>
          <w:szCs w:val="23"/>
        </w:rPr>
        <w:t>N</w:t>
      </w:r>
      <w:r>
        <w:rPr>
          <w:rFonts w:ascii="Times New Roman" w:hAnsi="Times New Roman" w:eastAsia="Times New Roman" w:cs="Times New Roman"/>
          <w:spacing w:val="-2"/>
          <w:sz w:val="23"/>
          <w:szCs w:val="23"/>
        </w:rPr>
        <w:t>41°21′55.0</w:t>
      </w:r>
      <w:r>
        <w:rPr>
          <w:rFonts w:ascii="Times New Roman" w:hAnsi="Times New Roman" w:eastAsia="Times New Roman" w:cs="Times New Roman"/>
          <w:spacing w:val="-1"/>
          <w:sz w:val="23"/>
          <w:szCs w:val="23"/>
        </w:rPr>
        <w:t xml:space="preserve">5927″E123°42′32.05640″ </w:t>
      </w:r>
      <w:r>
        <w:rPr>
          <w:rFonts w:ascii="宋体" w:hAnsi="宋体" w:eastAsia="宋体" w:cs="宋体"/>
          <w:spacing w:val="-1"/>
          <w:sz w:val="23"/>
          <w:szCs w:val="23"/>
        </w:rPr>
        <w:t xml:space="preserve">，总投资 </w:t>
      </w:r>
      <w:r>
        <w:rPr>
          <w:rFonts w:ascii="Times New Roman" w:hAnsi="Times New Roman" w:eastAsia="Times New Roman" w:cs="Times New Roman"/>
          <w:spacing w:val="-1"/>
          <w:sz w:val="23"/>
          <w:szCs w:val="23"/>
        </w:rPr>
        <w:t xml:space="preserve">4300 </w:t>
      </w:r>
      <w:r>
        <w:rPr>
          <w:rFonts w:ascii="宋体" w:hAnsi="宋体" w:eastAsia="宋体" w:cs="宋体"/>
          <w:spacing w:val="-1"/>
          <w:sz w:val="23"/>
          <w:szCs w:val="23"/>
        </w:rPr>
        <w:t>万元。该项</w:t>
      </w:r>
      <w:r>
        <w:rPr>
          <w:rFonts w:ascii="宋体" w:hAnsi="宋体" w:eastAsia="宋体" w:cs="宋体"/>
          <w:sz w:val="23"/>
          <w:szCs w:val="23"/>
        </w:rPr>
        <w:t xml:space="preserve"> </w:t>
      </w:r>
      <w:r>
        <w:rPr>
          <w:rFonts w:ascii="宋体" w:hAnsi="宋体" w:eastAsia="宋体" w:cs="宋体"/>
          <w:spacing w:val="-5"/>
          <w:sz w:val="23"/>
          <w:szCs w:val="23"/>
        </w:rPr>
        <w:t>目</w:t>
      </w:r>
      <w:r>
        <w:rPr>
          <w:rFonts w:ascii="宋体" w:hAnsi="宋体" w:eastAsia="宋体" w:cs="宋体"/>
          <w:spacing w:val="-4"/>
          <w:sz w:val="23"/>
          <w:szCs w:val="23"/>
        </w:rPr>
        <w:t xml:space="preserve">地块原为辽宁公路水泥厂劳动服务公司，该地块从 </w:t>
      </w:r>
      <w:r>
        <w:rPr>
          <w:rFonts w:ascii="Times New Roman" w:hAnsi="Times New Roman" w:eastAsia="Times New Roman" w:cs="Times New Roman"/>
          <w:spacing w:val="-4"/>
          <w:sz w:val="23"/>
          <w:szCs w:val="23"/>
        </w:rPr>
        <w:t xml:space="preserve">2000 </w:t>
      </w:r>
      <w:r>
        <w:rPr>
          <w:rFonts w:ascii="宋体" w:hAnsi="宋体" w:eastAsia="宋体" w:cs="宋体"/>
          <w:spacing w:val="-4"/>
          <w:sz w:val="23"/>
          <w:szCs w:val="23"/>
        </w:rPr>
        <w:t>年闲置至今，总占地面积</w:t>
      </w:r>
      <w:r>
        <w:rPr>
          <w:rFonts w:ascii="宋体" w:hAnsi="宋体" w:eastAsia="宋体" w:cs="宋体"/>
          <w:sz w:val="23"/>
          <w:szCs w:val="23"/>
        </w:rPr>
        <w:t xml:space="preserve"> </w:t>
      </w:r>
      <w:r>
        <w:rPr>
          <w:rFonts w:ascii="宋体" w:hAnsi="宋体" w:eastAsia="宋体" w:cs="宋体"/>
          <w:spacing w:val="-4"/>
          <w:sz w:val="23"/>
          <w:szCs w:val="23"/>
        </w:rPr>
        <w:t xml:space="preserve">为 </w:t>
      </w:r>
      <w:r>
        <w:rPr>
          <w:rFonts w:ascii="Times New Roman" w:hAnsi="Times New Roman" w:eastAsia="Times New Roman" w:cs="Times New Roman"/>
          <w:spacing w:val="-4"/>
          <w:sz w:val="23"/>
          <w:szCs w:val="23"/>
        </w:rPr>
        <w:t>7000</w:t>
      </w:r>
      <w:r>
        <w:rPr>
          <w:rFonts w:ascii="Times New Roman" w:hAnsi="Times New Roman" w:eastAsia="Times New Roman" w:cs="Times New Roman"/>
          <w:spacing w:val="-2"/>
          <w:sz w:val="23"/>
          <w:szCs w:val="23"/>
        </w:rPr>
        <w:t>m</w:t>
      </w:r>
      <w:r>
        <w:rPr>
          <w:rFonts w:ascii="Times New Roman" w:hAnsi="Times New Roman" w:eastAsia="Times New Roman" w:cs="Times New Roman"/>
          <w:spacing w:val="-4"/>
          <w:position w:val="7"/>
          <w:sz w:val="15"/>
          <w:szCs w:val="15"/>
        </w:rPr>
        <w:t xml:space="preserve">2 </w:t>
      </w:r>
      <w:r>
        <w:rPr>
          <w:rFonts w:ascii="宋体" w:hAnsi="宋体" w:eastAsia="宋体" w:cs="宋体"/>
          <w:spacing w:val="-4"/>
          <w:sz w:val="23"/>
          <w:szCs w:val="23"/>
        </w:rPr>
        <w:t>。该项目利用厂区内原有闲置辅助用房作为办公用房及成品库，并将原有</w:t>
      </w:r>
      <w:r>
        <w:rPr>
          <w:rFonts w:ascii="宋体" w:hAnsi="宋体" w:eastAsia="宋体" w:cs="宋体"/>
          <w:sz w:val="23"/>
          <w:szCs w:val="23"/>
        </w:rPr>
        <w:t xml:space="preserve"> </w:t>
      </w:r>
      <w:r>
        <w:rPr>
          <w:rFonts w:ascii="宋体" w:hAnsi="宋体" w:eastAsia="宋体" w:cs="宋体"/>
          <w:spacing w:val="-4"/>
          <w:sz w:val="23"/>
          <w:szCs w:val="23"/>
        </w:rPr>
        <w:t xml:space="preserve">生产厂房扩大作为该项目生产用房，总建筑面积为 </w:t>
      </w:r>
      <w:r>
        <w:rPr>
          <w:rFonts w:ascii="Times New Roman" w:hAnsi="Times New Roman" w:eastAsia="Times New Roman" w:cs="Times New Roman"/>
          <w:spacing w:val="-4"/>
          <w:sz w:val="23"/>
          <w:szCs w:val="23"/>
        </w:rPr>
        <w:t>1600</w:t>
      </w:r>
      <w:r>
        <w:rPr>
          <w:rFonts w:ascii="Times New Roman" w:hAnsi="Times New Roman" w:eastAsia="Times New Roman" w:cs="Times New Roman"/>
          <w:spacing w:val="-2"/>
          <w:sz w:val="23"/>
          <w:szCs w:val="23"/>
        </w:rPr>
        <w:t>m</w:t>
      </w:r>
      <w:r>
        <w:rPr>
          <w:rFonts w:ascii="Times New Roman" w:hAnsi="Times New Roman" w:eastAsia="Times New Roman" w:cs="Times New Roman"/>
          <w:spacing w:val="-4"/>
          <w:position w:val="7"/>
          <w:sz w:val="15"/>
          <w:szCs w:val="15"/>
        </w:rPr>
        <w:t xml:space="preserve">2 </w:t>
      </w:r>
      <w:r>
        <w:rPr>
          <w:rFonts w:ascii="宋体" w:hAnsi="宋体" w:eastAsia="宋体" w:cs="宋体"/>
          <w:spacing w:val="-4"/>
          <w:sz w:val="23"/>
          <w:szCs w:val="23"/>
        </w:rPr>
        <w:t>，主要建筑物为：生产厂</w:t>
      </w:r>
      <w:r>
        <w:rPr>
          <w:rFonts w:ascii="宋体" w:hAnsi="宋体" w:eastAsia="宋体" w:cs="宋体"/>
          <w:sz w:val="23"/>
          <w:szCs w:val="23"/>
        </w:rPr>
        <w:t xml:space="preserve"> </w:t>
      </w:r>
      <w:r>
        <w:rPr>
          <w:rFonts w:ascii="宋体" w:hAnsi="宋体" w:eastAsia="宋体" w:cs="宋体"/>
          <w:spacing w:val="-18"/>
          <w:sz w:val="23"/>
          <w:szCs w:val="23"/>
        </w:rPr>
        <w:t xml:space="preserve">房 </w:t>
      </w:r>
      <w:r>
        <w:rPr>
          <w:rFonts w:ascii="Times New Roman" w:hAnsi="Times New Roman" w:eastAsia="Times New Roman" w:cs="Times New Roman"/>
          <w:spacing w:val="-15"/>
          <w:sz w:val="23"/>
          <w:szCs w:val="23"/>
        </w:rPr>
        <w:t>1</w:t>
      </w:r>
      <w:r>
        <w:rPr>
          <w:rFonts w:ascii="Times New Roman" w:hAnsi="Times New Roman" w:eastAsia="Times New Roman" w:cs="Times New Roman"/>
          <w:spacing w:val="-9"/>
          <w:sz w:val="23"/>
          <w:szCs w:val="23"/>
        </w:rPr>
        <w:t xml:space="preserve"> </w:t>
      </w:r>
      <w:r>
        <w:rPr>
          <w:rFonts w:ascii="宋体" w:hAnsi="宋体" w:eastAsia="宋体" w:cs="宋体"/>
          <w:spacing w:val="-9"/>
          <w:sz w:val="23"/>
          <w:szCs w:val="23"/>
        </w:rPr>
        <w:t xml:space="preserve">栋，建筑面积为 </w:t>
      </w:r>
      <w:r>
        <w:rPr>
          <w:rFonts w:ascii="Times New Roman" w:hAnsi="Times New Roman" w:eastAsia="Times New Roman" w:cs="Times New Roman"/>
          <w:spacing w:val="-9"/>
          <w:sz w:val="23"/>
          <w:szCs w:val="23"/>
        </w:rPr>
        <w:t>600m</w:t>
      </w:r>
      <w:r>
        <w:rPr>
          <w:rFonts w:ascii="Times New Roman" w:hAnsi="Times New Roman" w:eastAsia="Times New Roman" w:cs="Times New Roman"/>
          <w:spacing w:val="-9"/>
          <w:position w:val="7"/>
          <w:sz w:val="15"/>
          <w:szCs w:val="15"/>
        </w:rPr>
        <w:t>2</w:t>
      </w:r>
      <w:r>
        <w:rPr>
          <w:rFonts w:ascii="宋体" w:hAnsi="宋体" w:eastAsia="宋体" w:cs="宋体"/>
          <w:spacing w:val="-9"/>
          <w:sz w:val="23"/>
          <w:szCs w:val="23"/>
        </w:rPr>
        <w:t xml:space="preserve">；成品库 </w:t>
      </w:r>
      <w:r>
        <w:rPr>
          <w:rFonts w:ascii="Times New Roman" w:hAnsi="Times New Roman" w:eastAsia="Times New Roman" w:cs="Times New Roman"/>
          <w:spacing w:val="-9"/>
          <w:sz w:val="23"/>
          <w:szCs w:val="23"/>
        </w:rPr>
        <w:t xml:space="preserve">1 </w:t>
      </w:r>
      <w:r>
        <w:rPr>
          <w:rFonts w:ascii="宋体" w:hAnsi="宋体" w:eastAsia="宋体" w:cs="宋体"/>
          <w:spacing w:val="-9"/>
          <w:sz w:val="23"/>
          <w:szCs w:val="23"/>
        </w:rPr>
        <w:t xml:space="preserve">栋，建筑面积为 </w:t>
      </w:r>
      <w:r>
        <w:rPr>
          <w:rFonts w:ascii="Times New Roman" w:hAnsi="Times New Roman" w:eastAsia="Times New Roman" w:cs="Times New Roman"/>
          <w:spacing w:val="-9"/>
          <w:sz w:val="23"/>
          <w:szCs w:val="23"/>
        </w:rPr>
        <w:t>200m</w:t>
      </w:r>
      <w:r>
        <w:rPr>
          <w:rFonts w:ascii="Times New Roman" w:hAnsi="Times New Roman" w:eastAsia="Times New Roman" w:cs="Times New Roman"/>
          <w:spacing w:val="-9"/>
          <w:position w:val="7"/>
          <w:sz w:val="15"/>
          <w:szCs w:val="15"/>
        </w:rPr>
        <w:t xml:space="preserve">2 </w:t>
      </w:r>
      <w:r>
        <w:rPr>
          <w:rFonts w:ascii="宋体" w:hAnsi="宋体" w:eastAsia="宋体" w:cs="宋体"/>
          <w:spacing w:val="-9"/>
          <w:sz w:val="23"/>
          <w:szCs w:val="23"/>
        </w:rPr>
        <w:t xml:space="preserve">；原料库 </w:t>
      </w:r>
      <w:r>
        <w:rPr>
          <w:rFonts w:ascii="Times New Roman" w:hAnsi="Times New Roman" w:eastAsia="Times New Roman" w:cs="Times New Roman"/>
          <w:spacing w:val="-9"/>
          <w:sz w:val="23"/>
          <w:szCs w:val="23"/>
        </w:rPr>
        <w:t xml:space="preserve">1 </w:t>
      </w:r>
      <w:r>
        <w:rPr>
          <w:rFonts w:ascii="宋体" w:hAnsi="宋体" w:eastAsia="宋体" w:cs="宋体"/>
          <w:spacing w:val="-9"/>
          <w:sz w:val="23"/>
          <w:szCs w:val="23"/>
        </w:rPr>
        <w:t>栋，建筑面</w:t>
      </w:r>
      <w:r>
        <w:rPr>
          <w:rFonts w:ascii="宋体" w:hAnsi="宋体" w:eastAsia="宋体" w:cs="宋体"/>
          <w:sz w:val="23"/>
          <w:szCs w:val="23"/>
        </w:rPr>
        <w:t xml:space="preserve"> </w:t>
      </w:r>
      <w:r>
        <w:rPr>
          <w:rFonts w:ascii="宋体" w:hAnsi="宋体" w:eastAsia="宋体" w:cs="宋体"/>
          <w:spacing w:val="-12"/>
          <w:sz w:val="23"/>
          <w:szCs w:val="23"/>
        </w:rPr>
        <w:t xml:space="preserve">积为 </w:t>
      </w:r>
      <w:r>
        <w:rPr>
          <w:rFonts w:ascii="Times New Roman" w:hAnsi="Times New Roman" w:eastAsia="Times New Roman" w:cs="Times New Roman"/>
          <w:spacing w:val="-12"/>
          <w:sz w:val="23"/>
          <w:szCs w:val="23"/>
        </w:rPr>
        <w:t>200</w:t>
      </w:r>
      <w:r>
        <w:rPr>
          <w:rFonts w:ascii="Times New Roman" w:hAnsi="Times New Roman" w:eastAsia="Times New Roman" w:cs="Times New Roman"/>
          <w:spacing w:val="-6"/>
          <w:sz w:val="23"/>
          <w:szCs w:val="23"/>
        </w:rPr>
        <w:t>m</w:t>
      </w:r>
      <w:r>
        <w:rPr>
          <w:rFonts w:ascii="Times New Roman" w:hAnsi="Times New Roman" w:eastAsia="Times New Roman" w:cs="Times New Roman"/>
          <w:spacing w:val="-9"/>
          <w:position w:val="7"/>
          <w:sz w:val="15"/>
          <w:szCs w:val="15"/>
        </w:rPr>
        <w:t>2</w:t>
      </w:r>
      <w:r>
        <w:rPr>
          <w:rFonts w:ascii="Times New Roman" w:hAnsi="Times New Roman" w:eastAsia="Times New Roman" w:cs="Times New Roman"/>
          <w:spacing w:val="-6"/>
          <w:position w:val="7"/>
          <w:sz w:val="15"/>
          <w:szCs w:val="15"/>
        </w:rPr>
        <w:t xml:space="preserve"> </w:t>
      </w:r>
      <w:r>
        <w:rPr>
          <w:rFonts w:ascii="宋体" w:hAnsi="宋体" w:eastAsia="宋体" w:cs="宋体"/>
          <w:spacing w:val="-6"/>
          <w:sz w:val="23"/>
          <w:szCs w:val="23"/>
        </w:rPr>
        <w:t xml:space="preserve">；办公室 </w:t>
      </w:r>
      <w:r>
        <w:rPr>
          <w:rFonts w:ascii="Times New Roman" w:hAnsi="Times New Roman" w:eastAsia="Times New Roman" w:cs="Times New Roman"/>
          <w:spacing w:val="-6"/>
          <w:sz w:val="23"/>
          <w:szCs w:val="23"/>
        </w:rPr>
        <w:t xml:space="preserve">1 </w:t>
      </w:r>
      <w:r>
        <w:rPr>
          <w:rFonts w:ascii="宋体" w:hAnsi="宋体" w:eastAsia="宋体" w:cs="宋体"/>
          <w:spacing w:val="-6"/>
          <w:sz w:val="23"/>
          <w:szCs w:val="23"/>
        </w:rPr>
        <w:t xml:space="preserve">栋，建筑面积为 </w:t>
      </w:r>
      <w:r>
        <w:rPr>
          <w:rFonts w:ascii="Times New Roman" w:hAnsi="Times New Roman" w:eastAsia="Times New Roman" w:cs="Times New Roman"/>
          <w:spacing w:val="-6"/>
          <w:sz w:val="23"/>
          <w:szCs w:val="23"/>
        </w:rPr>
        <w:t>245m</w:t>
      </w:r>
      <w:r>
        <w:rPr>
          <w:rFonts w:ascii="Times New Roman" w:hAnsi="Times New Roman" w:eastAsia="Times New Roman" w:cs="Times New Roman"/>
          <w:spacing w:val="-6"/>
          <w:position w:val="7"/>
          <w:sz w:val="15"/>
          <w:szCs w:val="15"/>
        </w:rPr>
        <w:t xml:space="preserve">2 </w:t>
      </w:r>
      <w:r>
        <w:rPr>
          <w:rFonts w:ascii="宋体" w:hAnsi="宋体" w:eastAsia="宋体" w:cs="宋体"/>
          <w:spacing w:val="-6"/>
          <w:sz w:val="23"/>
          <w:szCs w:val="23"/>
        </w:rPr>
        <w:t xml:space="preserve">；员工休息室 </w:t>
      </w:r>
      <w:r>
        <w:rPr>
          <w:rFonts w:ascii="Times New Roman" w:hAnsi="Times New Roman" w:eastAsia="Times New Roman" w:cs="Times New Roman"/>
          <w:spacing w:val="-6"/>
          <w:sz w:val="23"/>
          <w:szCs w:val="23"/>
        </w:rPr>
        <w:t xml:space="preserve">2 </w:t>
      </w:r>
      <w:r>
        <w:rPr>
          <w:rFonts w:ascii="宋体" w:hAnsi="宋体" w:eastAsia="宋体" w:cs="宋体"/>
          <w:spacing w:val="-6"/>
          <w:sz w:val="23"/>
          <w:szCs w:val="23"/>
        </w:rPr>
        <w:t xml:space="preserve">栋，其中 </w:t>
      </w:r>
      <w:r>
        <w:rPr>
          <w:rFonts w:ascii="Times New Roman" w:hAnsi="Times New Roman" w:eastAsia="Times New Roman" w:cs="Times New Roman"/>
          <w:spacing w:val="-6"/>
          <w:sz w:val="23"/>
          <w:szCs w:val="23"/>
        </w:rPr>
        <w:t>1#</w:t>
      </w:r>
      <w:r>
        <w:rPr>
          <w:rFonts w:ascii="宋体" w:hAnsi="宋体" w:eastAsia="宋体" w:cs="宋体"/>
          <w:spacing w:val="-6"/>
          <w:sz w:val="23"/>
          <w:szCs w:val="23"/>
        </w:rPr>
        <w:t>员工休息</w:t>
      </w:r>
    </w:p>
    <w:p w14:paraId="765C4F10">
      <w:pPr>
        <w:sectPr>
          <w:headerReference r:id="rId86" w:type="default"/>
          <w:footerReference r:id="rId87" w:type="default"/>
          <w:pgSz w:w="11906" w:h="16839"/>
          <w:pgMar w:top="1132" w:right="1785" w:bottom="1156" w:left="1785" w:header="878" w:footer="996" w:gutter="0"/>
          <w:cols w:space="720" w:num="1"/>
        </w:sectPr>
      </w:pPr>
    </w:p>
    <w:p w14:paraId="7B8653F7">
      <w:pPr>
        <w:spacing w:line="363" w:lineRule="auto"/>
        <w:rPr>
          <w:rFonts w:ascii="Arial"/>
          <w:sz w:val="21"/>
        </w:rPr>
      </w:pPr>
      <w:r>
        <w:pict>
          <v:shape id="_x0000_s1134" o:spid="_x0000_s1134" style="position:absolute;left:0pt;margin-left:90pt;margin-top:57.35pt;height:0.75pt;width:415.3pt;mso-position-horizontal-relative:page;mso-position-vertical-relative:page;z-index:251767808;mso-width-relative:page;mso-height-relative:page;" fillcolor="#000000" filled="t" stroked="f" coordsize="8305,15" o:allowincell="f" path="m0,0l8305,0,8305,14,0,14,0,0xe">
            <v:path/>
            <v:fill on="t" focussize="0,0"/>
            <v:stroke on="f"/>
            <v:imagedata o:title=""/>
            <o:lock v:ext="edit"/>
          </v:shape>
        </w:pict>
      </w:r>
    </w:p>
    <w:p w14:paraId="5E214A52">
      <w:pPr>
        <w:tabs>
          <w:tab w:val="left" w:pos="242"/>
        </w:tabs>
        <w:spacing w:before="75" w:line="393" w:lineRule="auto"/>
        <w:ind w:left="120" w:right="110"/>
        <w:rPr>
          <w:rFonts w:ascii="宋体" w:hAnsi="宋体" w:eastAsia="宋体" w:cs="宋体"/>
          <w:sz w:val="23"/>
          <w:szCs w:val="23"/>
        </w:rPr>
      </w:pPr>
      <w:r>
        <w:rPr>
          <w:rFonts w:ascii="宋体" w:hAnsi="宋体" w:eastAsia="宋体" w:cs="宋体"/>
          <w:spacing w:val="-12"/>
          <w:sz w:val="23"/>
          <w:szCs w:val="23"/>
        </w:rPr>
        <w:t>室</w:t>
      </w:r>
      <w:r>
        <w:rPr>
          <w:rFonts w:ascii="宋体" w:hAnsi="宋体" w:eastAsia="宋体" w:cs="宋体"/>
          <w:spacing w:val="-7"/>
          <w:sz w:val="23"/>
          <w:szCs w:val="23"/>
        </w:rPr>
        <w:t xml:space="preserve">建筑面积为 </w:t>
      </w:r>
      <w:r>
        <w:rPr>
          <w:rFonts w:ascii="Times New Roman" w:hAnsi="Times New Roman" w:eastAsia="Times New Roman" w:cs="Times New Roman"/>
          <w:spacing w:val="-7"/>
          <w:sz w:val="23"/>
          <w:szCs w:val="23"/>
        </w:rPr>
        <w:t>150m</w:t>
      </w:r>
      <w:r>
        <w:rPr>
          <w:rFonts w:ascii="Times New Roman" w:hAnsi="Times New Roman" w:eastAsia="Times New Roman" w:cs="Times New Roman"/>
          <w:spacing w:val="-7"/>
          <w:position w:val="8"/>
          <w:sz w:val="15"/>
          <w:szCs w:val="15"/>
        </w:rPr>
        <w:t>2</w:t>
      </w:r>
      <w:r>
        <w:rPr>
          <w:rFonts w:ascii="宋体" w:hAnsi="宋体" w:eastAsia="宋体" w:cs="宋体"/>
          <w:spacing w:val="-7"/>
          <w:sz w:val="23"/>
          <w:szCs w:val="23"/>
        </w:rPr>
        <w:t>，</w:t>
      </w:r>
      <w:r>
        <w:rPr>
          <w:rFonts w:ascii="Times New Roman" w:hAnsi="Times New Roman" w:eastAsia="Times New Roman" w:cs="Times New Roman"/>
          <w:spacing w:val="-7"/>
          <w:sz w:val="23"/>
          <w:szCs w:val="23"/>
        </w:rPr>
        <w:t>2#</w:t>
      </w:r>
      <w:r>
        <w:rPr>
          <w:rFonts w:ascii="宋体" w:hAnsi="宋体" w:eastAsia="宋体" w:cs="宋体"/>
          <w:spacing w:val="-7"/>
          <w:sz w:val="23"/>
          <w:szCs w:val="23"/>
        </w:rPr>
        <w:t xml:space="preserve">员工休息室建筑面积为 </w:t>
      </w:r>
      <w:r>
        <w:rPr>
          <w:rFonts w:ascii="Times New Roman" w:hAnsi="Times New Roman" w:eastAsia="Times New Roman" w:cs="Times New Roman"/>
          <w:spacing w:val="-7"/>
          <w:sz w:val="23"/>
          <w:szCs w:val="23"/>
        </w:rPr>
        <w:t>175m</w:t>
      </w:r>
      <w:r>
        <w:rPr>
          <w:rFonts w:ascii="Times New Roman" w:hAnsi="Times New Roman" w:eastAsia="Times New Roman" w:cs="Times New Roman"/>
          <w:spacing w:val="-7"/>
          <w:position w:val="8"/>
          <w:sz w:val="15"/>
          <w:szCs w:val="15"/>
        </w:rPr>
        <w:t>2</w:t>
      </w:r>
      <w:r>
        <w:rPr>
          <w:rFonts w:ascii="宋体" w:hAnsi="宋体" w:eastAsia="宋体" w:cs="宋体"/>
          <w:spacing w:val="-7"/>
          <w:sz w:val="23"/>
          <w:szCs w:val="23"/>
        </w:rPr>
        <w:t xml:space="preserve">；备品备件库 </w:t>
      </w:r>
      <w:r>
        <w:rPr>
          <w:rFonts w:ascii="Times New Roman" w:hAnsi="Times New Roman" w:eastAsia="Times New Roman" w:cs="Times New Roman"/>
          <w:spacing w:val="-7"/>
          <w:sz w:val="23"/>
          <w:szCs w:val="23"/>
        </w:rPr>
        <w:t xml:space="preserve">1 </w:t>
      </w:r>
      <w:r>
        <w:rPr>
          <w:rFonts w:ascii="宋体" w:hAnsi="宋体" w:eastAsia="宋体" w:cs="宋体"/>
          <w:spacing w:val="-7"/>
          <w:sz w:val="23"/>
          <w:szCs w:val="23"/>
        </w:rPr>
        <w:t>栋，建筑面积</w:t>
      </w:r>
      <w:r>
        <w:rPr>
          <w:rFonts w:ascii="宋体" w:hAnsi="宋体" w:eastAsia="宋体" w:cs="宋体"/>
          <w:sz w:val="23"/>
          <w:szCs w:val="23"/>
        </w:rPr>
        <w:t xml:space="preserve"> </w:t>
      </w:r>
      <w:r>
        <w:rPr>
          <w:rFonts w:ascii="宋体" w:hAnsi="宋体" w:eastAsia="宋体" w:cs="宋体"/>
          <w:spacing w:val="-17"/>
          <w:sz w:val="23"/>
          <w:szCs w:val="23"/>
        </w:rPr>
        <w:t xml:space="preserve">为 </w:t>
      </w:r>
      <w:r>
        <w:rPr>
          <w:rFonts w:ascii="Times New Roman" w:hAnsi="Times New Roman" w:eastAsia="Times New Roman" w:cs="Times New Roman"/>
          <w:spacing w:val="-17"/>
          <w:sz w:val="23"/>
          <w:szCs w:val="23"/>
        </w:rPr>
        <w:t>30</w:t>
      </w:r>
      <w:r>
        <w:rPr>
          <w:rFonts w:ascii="Times New Roman" w:hAnsi="Times New Roman" w:eastAsia="Times New Roman" w:cs="Times New Roman"/>
          <w:spacing w:val="-16"/>
          <w:sz w:val="23"/>
          <w:szCs w:val="23"/>
        </w:rPr>
        <w:t>m</w:t>
      </w:r>
      <w:r>
        <w:rPr>
          <w:rFonts w:ascii="Times New Roman" w:hAnsi="Times New Roman" w:eastAsia="Times New Roman" w:cs="Times New Roman"/>
          <w:spacing w:val="-17"/>
          <w:position w:val="8"/>
          <w:sz w:val="15"/>
          <w:szCs w:val="15"/>
        </w:rPr>
        <w:t xml:space="preserve">2 </w:t>
      </w:r>
      <w:r>
        <w:rPr>
          <w:rFonts w:ascii="宋体" w:hAnsi="宋体" w:eastAsia="宋体" w:cs="宋体"/>
          <w:spacing w:val="-17"/>
          <w:sz w:val="23"/>
          <w:szCs w:val="23"/>
        </w:rPr>
        <w:t xml:space="preserve">； 主 要 构 筑物 包括 </w:t>
      </w:r>
      <w:r>
        <w:rPr>
          <w:rFonts w:ascii="Times New Roman" w:hAnsi="Times New Roman" w:eastAsia="Times New Roman" w:cs="Times New Roman"/>
          <w:spacing w:val="-17"/>
          <w:sz w:val="23"/>
          <w:szCs w:val="23"/>
        </w:rPr>
        <w:t xml:space="preserve">1 </w:t>
      </w:r>
      <w:r>
        <w:rPr>
          <w:rFonts w:ascii="宋体" w:hAnsi="宋体" w:eastAsia="宋体" w:cs="宋体"/>
          <w:spacing w:val="-17"/>
          <w:sz w:val="23"/>
          <w:szCs w:val="23"/>
        </w:rPr>
        <w:t>个 用 于 处 理 该 项 目 生产废 水 的三 级沉 淀 池</w:t>
      </w:r>
      <w:r>
        <w:rPr>
          <w:rFonts w:ascii="宋体" w:hAnsi="宋体" w:eastAsia="宋体" w:cs="宋体"/>
          <w:sz w:val="23"/>
          <w:szCs w:val="23"/>
        </w:rPr>
        <w:t xml:space="preserve"> </w:t>
      </w:r>
      <w:r>
        <w:rPr>
          <w:rFonts w:ascii="宋体" w:hAnsi="宋体" w:eastAsia="宋体" w:cs="宋体"/>
          <w:sz w:val="23"/>
          <w:szCs w:val="23"/>
        </w:rPr>
        <w:tab/>
      </w:r>
      <w:r>
        <w:rPr>
          <w:rFonts w:ascii="宋体" w:hAnsi="宋体" w:eastAsia="宋体" w:cs="宋体"/>
          <w:spacing w:val="-4"/>
          <w:sz w:val="23"/>
          <w:szCs w:val="23"/>
        </w:rPr>
        <w:t>(</w:t>
      </w:r>
      <w:r>
        <w:rPr>
          <w:rFonts w:ascii="Times New Roman" w:hAnsi="Times New Roman" w:eastAsia="Times New Roman" w:cs="Times New Roman"/>
          <w:spacing w:val="-4"/>
          <w:sz w:val="23"/>
          <w:szCs w:val="23"/>
        </w:rPr>
        <w:t>12</w:t>
      </w:r>
      <w:r>
        <w:rPr>
          <w:rFonts w:ascii="Times New Roman" w:hAnsi="Times New Roman" w:eastAsia="Times New Roman" w:cs="Times New Roman"/>
          <w:spacing w:val="-2"/>
          <w:sz w:val="23"/>
          <w:szCs w:val="23"/>
        </w:rPr>
        <w:t>m</w:t>
      </w:r>
      <w:r>
        <w:rPr>
          <w:rFonts w:ascii="Times New Roman" w:hAnsi="Times New Roman" w:eastAsia="Times New Roman" w:cs="Times New Roman"/>
          <w:spacing w:val="-4"/>
          <w:sz w:val="23"/>
          <w:szCs w:val="23"/>
        </w:rPr>
        <w:t>×6</w:t>
      </w:r>
      <w:r>
        <w:rPr>
          <w:rFonts w:ascii="Times New Roman" w:hAnsi="Times New Roman" w:eastAsia="Times New Roman" w:cs="Times New Roman"/>
          <w:spacing w:val="-2"/>
          <w:sz w:val="23"/>
          <w:szCs w:val="23"/>
        </w:rPr>
        <w:t>m</w:t>
      </w:r>
      <w:r>
        <w:rPr>
          <w:rFonts w:ascii="Times New Roman" w:hAnsi="Times New Roman" w:eastAsia="Times New Roman" w:cs="Times New Roman"/>
          <w:spacing w:val="-4"/>
          <w:sz w:val="23"/>
          <w:szCs w:val="23"/>
        </w:rPr>
        <w:t>×4</w:t>
      </w:r>
      <w:r>
        <w:rPr>
          <w:rFonts w:ascii="Times New Roman" w:hAnsi="Times New Roman" w:eastAsia="Times New Roman" w:cs="Times New Roman"/>
          <w:spacing w:val="-3"/>
          <w:sz w:val="23"/>
          <w:szCs w:val="23"/>
        </w:rPr>
        <w:t>.</w:t>
      </w:r>
      <w:r>
        <w:rPr>
          <w:rFonts w:ascii="Times New Roman" w:hAnsi="Times New Roman" w:eastAsia="Times New Roman" w:cs="Times New Roman"/>
          <w:spacing w:val="-2"/>
          <w:sz w:val="23"/>
          <w:szCs w:val="23"/>
        </w:rPr>
        <w:t>5m</w:t>
      </w:r>
      <w:r>
        <w:rPr>
          <w:rFonts w:ascii="宋体" w:hAnsi="宋体" w:eastAsia="宋体" w:cs="宋体"/>
          <w:spacing w:val="-2"/>
          <w:sz w:val="23"/>
          <w:szCs w:val="23"/>
        </w:rPr>
        <w:t xml:space="preserve">) ，同时配套设有 </w:t>
      </w:r>
      <w:r>
        <w:rPr>
          <w:rFonts w:ascii="Times New Roman" w:hAnsi="Times New Roman" w:eastAsia="Times New Roman" w:cs="Times New Roman"/>
          <w:spacing w:val="-2"/>
          <w:sz w:val="23"/>
          <w:szCs w:val="23"/>
        </w:rPr>
        <w:t xml:space="preserve">1 </w:t>
      </w:r>
      <w:r>
        <w:rPr>
          <w:rFonts w:ascii="宋体" w:hAnsi="宋体" w:eastAsia="宋体" w:cs="宋体"/>
          <w:spacing w:val="-2"/>
          <w:sz w:val="23"/>
          <w:szCs w:val="23"/>
        </w:rPr>
        <w:t>台一体化污水预处理设备。该项目主要建设废</w:t>
      </w:r>
      <w:r>
        <w:rPr>
          <w:rFonts w:ascii="宋体" w:hAnsi="宋体" w:eastAsia="宋体" w:cs="宋体"/>
          <w:sz w:val="23"/>
          <w:szCs w:val="23"/>
        </w:rPr>
        <w:t xml:space="preserve"> </w:t>
      </w:r>
      <w:r>
        <w:rPr>
          <w:rFonts w:ascii="宋体" w:hAnsi="宋体" w:eastAsia="宋体" w:cs="宋体"/>
          <w:spacing w:val="-2"/>
          <w:sz w:val="23"/>
          <w:szCs w:val="23"/>
        </w:rPr>
        <w:t>旧塑料加工生产线</w:t>
      </w:r>
      <w:r>
        <w:rPr>
          <w:rFonts w:ascii="Times New Roman" w:hAnsi="Times New Roman" w:eastAsia="Times New Roman" w:cs="Times New Roman"/>
          <w:spacing w:val="-1"/>
          <w:sz w:val="23"/>
          <w:szCs w:val="23"/>
        </w:rPr>
        <w:t xml:space="preserve">10 </w:t>
      </w:r>
      <w:r>
        <w:rPr>
          <w:rFonts w:ascii="宋体" w:hAnsi="宋体" w:eastAsia="宋体" w:cs="宋体"/>
          <w:spacing w:val="-1"/>
          <w:sz w:val="23"/>
          <w:szCs w:val="23"/>
        </w:rPr>
        <w:t>条，用于生产废旧塑料再生颗粒。该项目建成后预计年产废旧</w:t>
      </w:r>
      <w:r>
        <w:rPr>
          <w:rFonts w:ascii="宋体" w:hAnsi="宋体" w:eastAsia="宋体" w:cs="宋体"/>
          <w:sz w:val="23"/>
          <w:szCs w:val="23"/>
        </w:rPr>
        <w:t xml:space="preserve"> </w:t>
      </w:r>
      <w:r>
        <w:rPr>
          <w:rFonts w:ascii="宋体" w:hAnsi="宋体" w:eastAsia="宋体" w:cs="宋体"/>
          <w:spacing w:val="-10"/>
          <w:sz w:val="23"/>
          <w:szCs w:val="23"/>
        </w:rPr>
        <w:t>塑料</w:t>
      </w:r>
      <w:r>
        <w:rPr>
          <w:rFonts w:ascii="宋体" w:hAnsi="宋体" w:eastAsia="宋体" w:cs="宋体"/>
          <w:spacing w:val="-8"/>
          <w:sz w:val="23"/>
          <w:szCs w:val="23"/>
        </w:rPr>
        <w:t>再</w:t>
      </w:r>
      <w:r>
        <w:rPr>
          <w:rFonts w:ascii="宋体" w:hAnsi="宋体" w:eastAsia="宋体" w:cs="宋体"/>
          <w:spacing w:val="-5"/>
          <w:sz w:val="23"/>
          <w:szCs w:val="23"/>
        </w:rPr>
        <w:t xml:space="preserve">生颗粒 </w:t>
      </w:r>
      <w:r>
        <w:rPr>
          <w:rFonts w:ascii="Times New Roman" w:hAnsi="Times New Roman" w:eastAsia="Times New Roman" w:cs="Times New Roman"/>
          <w:spacing w:val="-5"/>
          <w:sz w:val="23"/>
          <w:szCs w:val="23"/>
        </w:rPr>
        <w:t xml:space="preserve">50000 </w:t>
      </w:r>
      <w:r>
        <w:rPr>
          <w:rFonts w:ascii="宋体" w:hAnsi="宋体" w:eastAsia="宋体" w:cs="宋体"/>
          <w:spacing w:val="-5"/>
          <w:sz w:val="23"/>
          <w:szCs w:val="23"/>
        </w:rPr>
        <w:t xml:space="preserve">吨。本项目用地情况详见表 </w:t>
      </w:r>
      <w:r>
        <w:rPr>
          <w:rFonts w:ascii="Times New Roman" w:hAnsi="Times New Roman" w:eastAsia="Times New Roman" w:cs="Times New Roman"/>
          <w:spacing w:val="-5"/>
          <w:sz w:val="23"/>
          <w:szCs w:val="23"/>
        </w:rPr>
        <w:t>3-1</w:t>
      </w:r>
      <w:r>
        <w:rPr>
          <w:rFonts w:ascii="宋体" w:hAnsi="宋体" w:eastAsia="宋体" w:cs="宋体"/>
          <w:spacing w:val="-5"/>
          <w:sz w:val="23"/>
          <w:szCs w:val="23"/>
        </w:rPr>
        <w:t>，主要建 (构) 筑物建筑面积及</w:t>
      </w:r>
      <w:r>
        <w:rPr>
          <w:rFonts w:ascii="宋体" w:hAnsi="宋体" w:eastAsia="宋体" w:cs="宋体"/>
          <w:sz w:val="23"/>
          <w:szCs w:val="23"/>
        </w:rPr>
        <w:t xml:space="preserve"> </w:t>
      </w:r>
      <w:r>
        <w:rPr>
          <w:rFonts w:ascii="宋体" w:hAnsi="宋体" w:eastAsia="宋体" w:cs="宋体"/>
          <w:spacing w:val="-11"/>
          <w:sz w:val="23"/>
          <w:szCs w:val="23"/>
        </w:rPr>
        <w:t>围</w:t>
      </w:r>
      <w:r>
        <w:rPr>
          <w:rFonts w:ascii="宋体" w:hAnsi="宋体" w:eastAsia="宋体" w:cs="宋体"/>
          <w:spacing w:val="-7"/>
          <w:sz w:val="23"/>
          <w:szCs w:val="23"/>
        </w:rPr>
        <w:t xml:space="preserve">护结构情况见表 </w:t>
      </w:r>
      <w:r>
        <w:rPr>
          <w:rFonts w:ascii="Times New Roman" w:hAnsi="Times New Roman" w:eastAsia="Times New Roman" w:cs="Times New Roman"/>
          <w:spacing w:val="-7"/>
          <w:sz w:val="23"/>
          <w:szCs w:val="23"/>
        </w:rPr>
        <w:t>3-2</w:t>
      </w:r>
      <w:r>
        <w:rPr>
          <w:rFonts w:ascii="宋体" w:hAnsi="宋体" w:eastAsia="宋体" w:cs="宋体"/>
          <w:spacing w:val="-7"/>
          <w:sz w:val="23"/>
          <w:szCs w:val="23"/>
        </w:rPr>
        <w:t>。</w:t>
      </w:r>
    </w:p>
    <w:p w14:paraId="0A0A1D13">
      <w:pPr>
        <w:spacing w:before="155" w:line="228" w:lineRule="auto"/>
        <w:ind w:left="3049"/>
        <w:rPr>
          <w:rFonts w:ascii="宋体" w:hAnsi="宋体" w:eastAsia="宋体" w:cs="宋体"/>
          <w:sz w:val="23"/>
          <w:szCs w:val="23"/>
        </w:rPr>
      </w:pPr>
      <w:r>
        <w:rPr>
          <w:rFonts w:ascii="宋体" w:hAnsi="宋体" w:eastAsia="宋体" w:cs="宋体"/>
          <w:spacing w:val="-2"/>
          <w:sz w:val="23"/>
          <w:szCs w:val="23"/>
          <w14:textOutline w14:w="4358" w14:cap="sq" w14:cmpd="sng">
            <w14:solidFill>
              <w14:srgbClr w14:val="000000"/>
            </w14:solidFill>
            <w14:prstDash w14:val="solid"/>
            <w14:bevel/>
          </w14:textOutline>
        </w:rPr>
        <w:t>表</w:t>
      </w:r>
      <w:r>
        <w:rPr>
          <w:rFonts w:ascii="宋体" w:hAnsi="宋体" w:eastAsia="宋体" w:cs="宋体"/>
          <w:spacing w:val="-2"/>
          <w:sz w:val="23"/>
          <w:szCs w:val="23"/>
        </w:rPr>
        <w:t xml:space="preserve"> </w:t>
      </w:r>
      <w:r>
        <w:rPr>
          <w:rFonts w:ascii="Times New Roman" w:hAnsi="Times New Roman" w:eastAsia="Times New Roman" w:cs="Times New Roman"/>
          <w:b/>
          <w:bCs/>
          <w:spacing w:val="-2"/>
          <w:sz w:val="23"/>
          <w:szCs w:val="23"/>
        </w:rPr>
        <w:t>3-1</w:t>
      </w:r>
      <w:r>
        <w:rPr>
          <w:rFonts w:ascii="Times New Roman" w:hAnsi="Times New Roman" w:eastAsia="Times New Roman" w:cs="Times New Roman"/>
          <w:spacing w:val="-2"/>
          <w:sz w:val="23"/>
          <w:szCs w:val="23"/>
        </w:rPr>
        <w:t xml:space="preserve"> </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14:textOutline w14:w="4358" w14:cap="sq" w14:cmpd="sng">
            <w14:solidFill>
              <w14:srgbClr w14:val="000000"/>
            </w14:solidFill>
            <w14:prstDash w14:val="solid"/>
            <w14:bevel/>
          </w14:textOutline>
        </w:rPr>
        <w:t>项目用地情况</w:t>
      </w:r>
    </w:p>
    <w:p w14:paraId="11A7D8DC">
      <w:pPr>
        <w:spacing w:line="16"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90"/>
        <w:gridCol w:w="2658"/>
        <w:gridCol w:w="2372"/>
        <w:gridCol w:w="2202"/>
      </w:tblGrid>
      <w:tr w14:paraId="54D3E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290" w:type="dxa"/>
            <w:tcBorders>
              <w:left w:val="nil"/>
            </w:tcBorders>
            <w:vAlign w:val="top"/>
          </w:tcPr>
          <w:p w14:paraId="64861F59">
            <w:pPr>
              <w:spacing w:before="86" w:line="229" w:lineRule="auto"/>
              <w:ind w:left="456"/>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序</w:t>
            </w:r>
            <w:r>
              <w:rPr>
                <w:rFonts w:ascii="宋体" w:hAnsi="宋体" w:eastAsia="宋体" w:cs="宋体"/>
                <w:sz w:val="20"/>
                <w:szCs w:val="20"/>
                <w14:textOutline w14:w="3795" w14:cap="sq" w14:cmpd="sng">
                  <w14:solidFill>
                    <w14:srgbClr w14:val="000000"/>
                  </w14:solidFill>
                  <w14:prstDash w14:val="solid"/>
                  <w14:bevel/>
                </w14:textOutline>
              </w:rPr>
              <w:t>号</w:t>
            </w:r>
          </w:p>
        </w:tc>
        <w:tc>
          <w:tcPr>
            <w:tcW w:w="2658" w:type="dxa"/>
            <w:vAlign w:val="top"/>
          </w:tcPr>
          <w:p w14:paraId="7064D2F2">
            <w:pPr>
              <w:spacing w:before="85" w:line="228" w:lineRule="auto"/>
              <w:ind w:left="942"/>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建设</w:t>
            </w:r>
            <w:r>
              <w:rPr>
                <w:rFonts w:ascii="宋体" w:hAnsi="宋体" w:eastAsia="宋体" w:cs="宋体"/>
                <w:spacing w:val="-1"/>
                <w:sz w:val="20"/>
                <w:szCs w:val="20"/>
                <w14:textOutline w14:w="3795" w14:cap="sq" w14:cmpd="sng">
                  <w14:solidFill>
                    <w14:srgbClr w14:val="000000"/>
                  </w14:solidFill>
                  <w14:prstDash w14:val="solid"/>
                  <w14:bevel/>
                </w14:textOutline>
              </w:rPr>
              <w:t>内容</w:t>
            </w:r>
          </w:p>
        </w:tc>
        <w:tc>
          <w:tcPr>
            <w:tcW w:w="2372" w:type="dxa"/>
            <w:vAlign w:val="top"/>
          </w:tcPr>
          <w:p w14:paraId="21FE18C0">
            <w:pPr>
              <w:spacing w:before="86" w:line="228" w:lineRule="auto"/>
              <w:ind w:left="504"/>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用地</w:t>
            </w:r>
            <w:r>
              <w:rPr>
                <w:rFonts w:ascii="宋体" w:hAnsi="宋体" w:eastAsia="宋体" w:cs="宋体"/>
                <w:spacing w:val="-3"/>
                <w:sz w:val="20"/>
                <w:szCs w:val="20"/>
                <w14:textOutline w14:w="3795" w14:cap="sq" w14:cmpd="sng">
                  <w14:solidFill>
                    <w14:srgbClr w14:val="000000"/>
                  </w14:solidFill>
                  <w14:prstDash w14:val="solid"/>
                  <w14:bevel/>
                </w14:textOutline>
              </w:rPr>
              <w:t>面积</w:t>
            </w:r>
            <w:r>
              <w:rPr>
                <w:rFonts w:ascii="宋体" w:hAnsi="宋体" w:eastAsia="宋体" w:cs="宋体"/>
                <w:spacing w:val="-3"/>
                <w:sz w:val="20"/>
                <w:szCs w:val="20"/>
              </w:rPr>
              <w:t xml:space="preserve"> </w:t>
            </w:r>
            <w:r>
              <w:rPr>
                <w:rFonts w:ascii="宋体" w:hAnsi="宋体" w:eastAsia="宋体" w:cs="宋体"/>
                <w:spacing w:val="-3"/>
                <w:sz w:val="20"/>
                <w:szCs w:val="20"/>
                <w14:textOutline w14:w="3795" w14:cap="sq" w14:cmpd="sng">
                  <w14:solidFill>
                    <w14:srgbClr w14:val="000000"/>
                  </w14:solidFill>
                  <w14:prstDash w14:val="solid"/>
                  <w14:bevel/>
                </w14:textOutline>
              </w:rPr>
              <w:t>(㎡)</w:t>
            </w:r>
          </w:p>
        </w:tc>
        <w:tc>
          <w:tcPr>
            <w:tcW w:w="2202" w:type="dxa"/>
            <w:tcBorders>
              <w:right w:val="nil"/>
            </w:tcBorders>
            <w:vAlign w:val="top"/>
          </w:tcPr>
          <w:p w14:paraId="7535B8F6">
            <w:pPr>
              <w:spacing w:before="45" w:line="289" w:lineRule="exact"/>
              <w:ind w:left="632"/>
              <w:rPr>
                <w:rFonts w:ascii="宋体" w:hAnsi="宋体" w:eastAsia="宋体" w:cs="宋体"/>
                <w:sz w:val="20"/>
                <w:szCs w:val="20"/>
              </w:rPr>
            </w:pPr>
            <w:r>
              <w:rPr>
                <w:rFonts w:ascii="宋体" w:hAnsi="宋体" w:eastAsia="宋体" w:cs="宋体"/>
                <w:spacing w:val="-5"/>
                <w:position w:val="1"/>
                <w:sz w:val="20"/>
                <w:szCs w:val="20"/>
                <w14:textOutline w14:w="3795" w14:cap="sq" w14:cmpd="sng">
                  <w14:solidFill>
                    <w14:srgbClr w14:val="000000"/>
                  </w14:solidFill>
                  <w14:prstDash w14:val="solid"/>
                  <w14:bevel/>
                </w14:textOutline>
              </w:rPr>
              <w:t>比例</w:t>
            </w:r>
            <w:r>
              <w:rPr>
                <w:rFonts w:ascii="宋体" w:hAnsi="宋体" w:eastAsia="宋体" w:cs="宋体"/>
                <w:spacing w:val="-5"/>
                <w:position w:val="1"/>
                <w:sz w:val="20"/>
                <w:szCs w:val="20"/>
              </w:rPr>
              <w:t xml:space="preserve"> </w:t>
            </w:r>
            <w:r>
              <w:rPr>
                <w:rFonts w:ascii="宋体" w:hAnsi="宋体" w:eastAsia="宋体" w:cs="宋体"/>
                <w:spacing w:val="-5"/>
                <w:position w:val="1"/>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spacing w:val="-5"/>
                <w:position w:val="1"/>
                <w:sz w:val="20"/>
                <w:szCs w:val="20"/>
              </w:rPr>
              <w:t>%</w:t>
            </w:r>
            <w:r>
              <w:rPr>
                <w:rFonts w:ascii="宋体" w:hAnsi="宋体" w:eastAsia="宋体" w:cs="宋体"/>
                <w:spacing w:val="-5"/>
                <w:position w:val="1"/>
                <w:sz w:val="20"/>
                <w:szCs w:val="20"/>
                <w14:textOutline w14:w="3795" w14:cap="sq" w14:cmpd="sng">
                  <w14:solidFill>
                    <w14:srgbClr w14:val="000000"/>
                  </w14:solidFill>
                  <w14:prstDash w14:val="solid"/>
                  <w14:bevel/>
                </w14:textOutline>
              </w:rPr>
              <w:t>)</w:t>
            </w:r>
          </w:p>
        </w:tc>
      </w:tr>
      <w:tr w14:paraId="140D4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1290" w:type="dxa"/>
            <w:tcBorders>
              <w:left w:val="nil"/>
            </w:tcBorders>
            <w:vAlign w:val="top"/>
          </w:tcPr>
          <w:p w14:paraId="371823D2">
            <w:pPr>
              <w:spacing w:before="98" w:line="195" w:lineRule="auto"/>
              <w:ind w:left="61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658" w:type="dxa"/>
            <w:vAlign w:val="top"/>
          </w:tcPr>
          <w:p w14:paraId="50DAC0ED">
            <w:pPr>
              <w:spacing w:before="62" w:line="228" w:lineRule="auto"/>
              <w:ind w:left="748"/>
              <w:rPr>
                <w:rFonts w:ascii="宋体" w:hAnsi="宋体" w:eastAsia="宋体" w:cs="宋体"/>
                <w:sz w:val="20"/>
                <w:szCs w:val="20"/>
              </w:rPr>
            </w:pPr>
            <w:r>
              <w:rPr>
                <w:rFonts w:ascii="宋体" w:hAnsi="宋体" w:eastAsia="宋体" w:cs="宋体"/>
                <w:spacing w:val="-4"/>
                <w:sz w:val="20"/>
                <w:szCs w:val="20"/>
              </w:rPr>
              <w:t>厂</w:t>
            </w:r>
            <w:r>
              <w:rPr>
                <w:rFonts w:ascii="宋体" w:hAnsi="宋体" w:eastAsia="宋体" w:cs="宋体"/>
                <w:spacing w:val="-3"/>
                <w:sz w:val="20"/>
                <w:szCs w:val="20"/>
              </w:rPr>
              <w:t>区</w:t>
            </w:r>
            <w:r>
              <w:rPr>
                <w:rFonts w:ascii="宋体" w:hAnsi="宋体" w:eastAsia="宋体" w:cs="宋体"/>
                <w:spacing w:val="-2"/>
                <w:sz w:val="20"/>
                <w:szCs w:val="20"/>
              </w:rPr>
              <w:t>规划用地</w:t>
            </w:r>
          </w:p>
        </w:tc>
        <w:tc>
          <w:tcPr>
            <w:tcW w:w="2372" w:type="dxa"/>
            <w:vAlign w:val="top"/>
          </w:tcPr>
          <w:p w14:paraId="37B009CE">
            <w:pPr>
              <w:spacing w:before="98" w:line="195" w:lineRule="auto"/>
              <w:ind w:left="9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w:t>
            </w:r>
            <w:r>
              <w:rPr>
                <w:rFonts w:ascii="Times New Roman" w:hAnsi="Times New Roman" w:eastAsia="Times New Roman" w:cs="Times New Roman"/>
                <w:spacing w:val="-1"/>
                <w:sz w:val="20"/>
                <w:szCs w:val="20"/>
              </w:rPr>
              <w:t>000</w:t>
            </w:r>
          </w:p>
        </w:tc>
        <w:tc>
          <w:tcPr>
            <w:tcW w:w="2202" w:type="dxa"/>
            <w:tcBorders>
              <w:right w:val="nil"/>
            </w:tcBorders>
            <w:vAlign w:val="top"/>
          </w:tcPr>
          <w:p w14:paraId="64E18FB8">
            <w:pPr>
              <w:spacing w:before="98" w:line="195" w:lineRule="auto"/>
              <w:ind w:left="97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6"/>
                <w:sz w:val="20"/>
                <w:szCs w:val="20"/>
              </w:rPr>
              <w:t>00</w:t>
            </w:r>
          </w:p>
        </w:tc>
      </w:tr>
      <w:tr w14:paraId="2C14B7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1290" w:type="dxa"/>
            <w:tcBorders>
              <w:left w:val="nil"/>
            </w:tcBorders>
            <w:vAlign w:val="top"/>
          </w:tcPr>
          <w:p w14:paraId="19EE48D1">
            <w:pPr>
              <w:spacing w:before="99" w:line="195" w:lineRule="auto"/>
              <w:ind w:left="59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658" w:type="dxa"/>
            <w:vAlign w:val="top"/>
          </w:tcPr>
          <w:p w14:paraId="79ACF5FD">
            <w:pPr>
              <w:spacing w:before="26" w:line="281" w:lineRule="exact"/>
              <w:ind w:left="686"/>
              <w:rPr>
                <w:rFonts w:ascii="宋体" w:hAnsi="宋体" w:eastAsia="宋体" w:cs="宋体"/>
                <w:sz w:val="20"/>
                <w:szCs w:val="20"/>
              </w:rPr>
            </w:pPr>
            <w:r>
              <w:rPr>
                <w:rFonts w:ascii="宋体" w:hAnsi="宋体" w:eastAsia="宋体" w:cs="宋体"/>
                <w:spacing w:val="-4"/>
                <w:position w:val="2"/>
                <w:sz w:val="20"/>
                <w:szCs w:val="20"/>
              </w:rPr>
              <w:t>建</w:t>
            </w:r>
            <w:r>
              <w:rPr>
                <w:rFonts w:ascii="Times New Roman" w:hAnsi="Times New Roman" w:eastAsia="Times New Roman" w:cs="Times New Roman"/>
                <w:spacing w:val="-4"/>
                <w:position w:val="2"/>
                <w:sz w:val="20"/>
                <w:szCs w:val="20"/>
              </w:rPr>
              <w:t>(</w:t>
            </w:r>
            <w:r>
              <w:rPr>
                <w:rFonts w:ascii="宋体" w:hAnsi="宋体" w:eastAsia="宋体" w:cs="宋体"/>
                <w:spacing w:val="-3"/>
                <w:position w:val="2"/>
                <w:sz w:val="20"/>
                <w:szCs w:val="20"/>
              </w:rPr>
              <w:t>构</w:t>
            </w:r>
            <w:r>
              <w:rPr>
                <w:rFonts w:ascii="Times New Roman" w:hAnsi="Times New Roman" w:eastAsia="Times New Roman" w:cs="Times New Roman"/>
                <w:spacing w:val="-2"/>
                <w:position w:val="2"/>
                <w:sz w:val="20"/>
                <w:szCs w:val="20"/>
              </w:rPr>
              <w:t>)</w:t>
            </w:r>
            <w:r>
              <w:rPr>
                <w:rFonts w:ascii="宋体" w:hAnsi="宋体" w:eastAsia="宋体" w:cs="宋体"/>
                <w:spacing w:val="-2"/>
                <w:position w:val="2"/>
                <w:sz w:val="20"/>
                <w:szCs w:val="20"/>
              </w:rPr>
              <w:t>筑物用地</w:t>
            </w:r>
          </w:p>
        </w:tc>
        <w:tc>
          <w:tcPr>
            <w:tcW w:w="2372" w:type="dxa"/>
            <w:vAlign w:val="top"/>
          </w:tcPr>
          <w:p w14:paraId="6C457F2B">
            <w:pPr>
              <w:spacing w:before="99" w:line="195" w:lineRule="auto"/>
              <w:ind w:left="101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5"/>
                <w:sz w:val="20"/>
                <w:szCs w:val="20"/>
              </w:rPr>
              <w:t>600</w:t>
            </w:r>
          </w:p>
        </w:tc>
        <w:tc>
          <w:tcPr>
            <w:tcW w:w="2202" w:type="dxa"/>
            <w:tcBorders>
              <w:right w:val="nil"/>
            </w:tcBorders>
            <w:vAlign w:val="top"/>
          </w:tcPr>
          <w:p w14:paraId="07896942">
            <w:pPr>
              <w:spacing w:before="99" w:line="198" w:lineRule="auto"/>
              <w:ind w:left="88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w:t>
            </w:r>
            <w:r>
              <w:rPr>
                <w:rFonts w:ascii="Times New Roman" w:hAnsi="Times New Roman" w:eastAsia="Times New Roman" w:cs="Times New Roman"/>
                <w:spacing w:val="-1"/>
                <w:sz w:val="20"/>
                <w:szCs w:val="20"/>
              </w:rPr>
              <w:t>2.86</w:t>
            </w:r>
          </w:p>
        </w:tc>
      </w:tr>
      <w:tr w14:paraId="0C670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1290" w:type="dxa"/>
            <w:tcBorders>
              <w:left w:val="nil"/>
            </w:tcBorders>
            <w:vAlign w:val="top"/>
          </w:tcPr>
          <w:p w14:paraId="48CF488A">
            <w:pPr>
              <w:spacing w:before="100" w:line="195" w:lineRule="auto"/>
              <w:ind w:left="603"/>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658" w:type="dxa"/>
            <w:vAlign w:val="top"/>
          </w:tcPr>
          <w:p w14:paraId="49F8C2BE">
            <w:pPr>
              <w:spacing w:before="65" w:line="228" w:lineRule="auto"/>
              <w:ind w:left="647"/>
              <w:rPr>
                <w:rFonts w:ascii="宋体" w:hAnsi="宋体" w:eastAsia="宋体" w:cs="宋体"/>
                <w:sz w:val="20"/>
                <w:szCs w:val="20"/>
              </w:rPr>
            </w:pPr>
            <w:r>
              <w:rPr>
                <w:rFonts w:ascii="宋体" w:hAnsi="宋体" w:eastAsia="宋体" w:cs="宋体"/>
                <w:spacing w:val="-4"/>
                <w:sz w:val="20"/>
                <w:szCs w:val="20"/>
              </w:rPr>
              <w:t>三</w:t>
            </w:r>
            <w:r>
              <w:rPr>
                <w:rFonts w:ascii="宋体" w:hAnsi="宋体" w:eastAsia="宋体" w:cs="宋体"/>
                <w:spacing w:val="-2"/>
                <w:sz w:val="20"/>
                <w:szCs w:val="20"/>
              </w:rPr>
              <w:t>级沉淀池用地</w:t>
            </w:r>
          </w:p>
        </w:tc>
        <w:tc>
          <w:tcPr>
            <w:tcW w:w="2372" w:type="dxa"/>
            <w:vAlign w:val="top"/>
          </w:tcPr>
          <w:p w14:paraId="6F24C0EA">
            <w:pPr>
              <w:spacing w:before="100" w:line="195" w:lineRule="auto"/>
              <w:ind w:left="109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w:t>
            </w:r>
            <w:r>
              <w:rPr>
                <w:rFonts w:ascii="Times New Roman" w:hAnsi="Times New Roman" w:eastAsia="Times New Roman" w:cs="Times New Roman"/>
                <w:spacing w:val="-1"/>
                <w:sz w:val="20"/>
                <w:szCs w:val="20"/>
              </w:rPr>
              <w:t>2</w:t>
            </w:r>
          </w:p>
        </w:tc>
        <w:tc>
          <w:tcPr>
            <w:tcW w:w="2202" w:type="dxa"/>
            <w:tcBorders>
              <w:right w:val="nil"/>
            </w:tcBorders>
            <w:vAlign w:val="top"/>
          </w:tcPr>
          <w:p w14:paraId="6970511C">
            <w:pPr>
              <w:spacing w:before="100" w:line="198" w:lineRule="auto"/>
              <w:ind w:left="952"/>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1</w:t>
            </w:r>
            <w:r>
              <w:rPr>
                <w:rFonts w:ascii="Times New Roman" w:hAnsi="Times New Roman" w:eastAsia="Times New Roman" w:cs="Times New Roman"/>
                <w:spacing w:val="-5"/>
                <w:sz w:val="20"/>
                <w:szCs w:val="20"/>
              </w:rPr>
              <w:t>.02</w:t>
            </w:r>
          </w:p>
        </w:tc>
      </w:tr>
      <w:tr w14:paraId="426DFC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1290" w:type="dxa"/>
            <w:tcBorders>
              <w:left w:val="nil"/>
            </w:tcBorders>
            <w:vAlign w:val="top"/>
          </w:tcPr>
          <w:p w14:paraId="4D5E7651">
            <w:pPr>
              <w:spacing w:before="102" w:line="195" w:lineRule="auto"/>
              <w:ind w:left="59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2658" w:type="dxa"/>
            <w:vAlign w:val="top"/>
          </w:tcPr>
          <w:p w14:paraId="63994CA4">
            <w:pPr>
              <w:spacing w:before="65" w:line="228" w:lineRule="auto"/>
              <w:ind w:left="941"/>
              <w:rPr>
                <w:rFonts w:ascii="宋体" w:hAnsi="宋体" w:eastAsia="宋体" w:cs="宋体"/>
                <w:sz w:val="20"/>
                <w:szCs w:val="20"/>
              </w:rPr>
            </w:pPr>
            <w:r>
              <w:rPr>
                <w:rFonts w:ascii="宋体" w:hAnsi="宋体" w:eastAsia="宋体" w:cs="宋体"/>
                <w:spacing w:val="-2"/>
                <w:sz w:val="20"/>
                <w:szCs w:val="20"/>
              </w:rPr>
              <w:t>道</w:t>
            </w:r>
            <w:r>
              <w:rPr>
                <w:rFonts w:ascii="宋体" w:hAnsi="宋体" w:eastAsia="宋体" w:cs="宋体"/>
                <w:spacing w:val="-1"/>
                <w:sz w:val="20"/>
                <w:szCs w:val="20"/>
              </w:rPr>
              <w:t>路用地</w:t>
            </w:r>
          </w:p>
        </w:tc>
        <w:tc>
          <w:tcPr>
            <w:tcW w:w="2372" w:type="dxa"/>
            <w:vAlign w:val="top"/>
          </w:tcPr>
          <w:p w14:paraId="02B94B8A">
            <w:pPr>
              <w:spacing w:before="101" w:line="195" w:lineRule="auto"/>
              <w:ind w:left="9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532</w:t>
            </w:r>
            <w:r>
              <w:rPr>
                <w:rFonts w:ascii="Times New Roman" w:hAnsi="Times New Roman" w:eastAsia="Times New Roman" w:cs="Times New Roman"/>
                <w:spacing w:val="-1"/>
                <w:sz w:val="20"/>
                <w:szCs w:val="20"/>
              </w:rPr>
              <w:t>8</w:t>
            </w:r>
          </w:p>
        </w:tc>
        <w:tc>
          <w:tcPr>
            <w:tcW w:w="2202" w:type="dxa"/>
            <w:tcBorders>
              <w:right w:val="nil"/>
            </w:tcBorders>
            <w:vAlign w:val="top"/>
          </w:tcPr>
          <w:p w14:paraId="5C3CA58A">
            <w:pPr>
              <w:spacing w:before="101" w:line="195" w:lineRule="auto"/>
              <w:ind w:left="8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76.1</w:t>
            </w:r>
            <w:r>
              <w:rPr>
                <w:rFonts w:ascii="Times New Roman" w:hAnsi="Times New Roman" w:eastAsia="Times New Roman" w:cs="Times New Roman"/>
                <w:spacing w:val="-1"/>
                <w:sz w:val="20"/>
                <w:szCs w:val="20"/>
              </w:rPr>
              <w:t>2</w:t>
            </w:r>
          </w:p>
        </w:tc>
      </w:tr>
      <w:tr w14:paraId="743136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1290" w:type="dxa"/>
            <w:tcBorders>
              <w:left w:val="nil"/>
            </w:tcBorders>
            <w:vAlign w:val="top"/>
          </w:tcPr>
          <w:p w14:paraId="394E26C0">
            <w:pPr>
              <w:spacing w:before="103" w:line="195" w:lineRule="auto"/>
              <w:ind w:left="604"/>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2658" w:type="dxa"/>
            <w:vAlign w:val="top"/>
          </w:tcPr>
          <w:p w14:paraId="3BA60E8C">
            <w:pPr>
              <w:spacing w:before="66" w:line="228" w:lineRule="auto"/>
              <w:ind w:left="945"/>
              <w:rPr>
                <w:rFonts w:ascii="宋体" w:hAnsi="宋体" w:eastAsia="宋体" w:cs="宋体"/>
                <w:sz w:val="20"/>
                <w:szCs w:val="20"/>
              </w:rPr>
            </w:pPr>
            <w:r>
              <w:rPr>
                <w:rFonts w:ascii="宋体" w:hAnsi="宋体" w:eastAsia="宋体" w:cs="宋体"/>
                <w:spacing w:val="-3"/>
                <w:sz w:val="20"/>
                <w:szCs w:val="20"/>
              </w:rPr>
              <w:t>建</w:t>
            </w:r>
            <w:r>
              <w:rPr>
                <w:rFonts w:ascii="宋体" w:hAnsi="宋体" w:eastAsia="宋体" w:cs="宋体"/>
                <w:spacing w:val="-2"/>
                <w:sz w:val="20"/>
                <w:szCs w:val="20"/>
              </w:rPr>
              <w:t>筑系数</w:t>
            </w:r>
          </w:p>
        </w:tc>
        <w:tc>
          <w:tcPr>
            <w:tcW w:w="2372" w:type="dxa"/>
            <w:vAlign w:val="top"/>
          </w:tcPr>
          <w:p w14:paraId="0BE7EB04">
            <w:pPr>
              <w:spacing w:before="191" w:line="136" w:lineRule="exact"/>
              <w:ind w:left="112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w:t>
            </w:r>
            <w:r>
              <w:rPr>
                <w:rFonts w:ascii="Times New Roman" w:hAnsi="Times New Roman" w:eastAsia="Times New Roman" w:cs="Times New Roman"/>
                <w:spacing w:val="-2"/>
                <w:sz w:val="20"/>
                <w:szCs w:val="20"/>
              </w:rPr>
              <w:t>-</w:t>
            </w:r>
          </w:p>
        </w:tc>
        <w:tc>
          <w:tcPr>
            <w:tcW w:w="2202" w:type="dxa"/>
            <w:tcBorders>
              <w:right w:val="nil"/>
            </w:tcBorders>
            <w:vAlign w:val="top"/>
          </w:tcPr>
          <w:p w14:paraId="6B747D13">
            <w:pPr>
              <w:spacing w:before="103" w:line="198" w:lineRule="auto"/>
              <w:ind w:left="88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w:t>
            </w:r>
            <w:r>
              <w:rPr>
                <w:rFonts w:ascii="Times New Roman" w:hAnsi="Times New Roman" w:eastAsia="Times New Roman" w:cs="Times New Roman"/>
                <w:spacing w:val="-1"/>
                <w:sz w:val="20"/>
                <w:szCs w:val="20"/>
              </w:rPr>
              <w:t>2.86</w:t>
            </w:r>
          </w:p>
        </w:tc>
      </w:tr>
    </w:tbl>
    <w:p w14:paraId="7503F874">
      <w:pPr>
        <w:spacing w:line="269" w:lineRule="auto"/>
        <w:rPr>
          <w:rFonts w:ascii="Arial"/>
          <w:sz w:val="21"/>
        </w:rPr>
      </w:pPr>
    </w:p>
    <w:p w14:paraId="16A9F20F">
      <w:pPr>
        <w:spacing w:before="74" w:line="229" w:lineRule="auto"/>
        <w:ind w:left="2823"/>
        <w:rPr>
          <w:rFonts w:ascii="宋体" w:hAnsi="宋体" w:eastAsia="宋体" w:cs="宋体"/>
          <w:sz w:val="23"/>
          <w:szCs w:val="23"/>
        </w:rPr>
      </w:pPr>
      <w:r>
        <w:rPr>
          <w:rFonts w:ascii="宋体" w:hAnsi="宋体" w:eastAsia="宋体" w:cs="宋体"/>
          <w:spacing w:val="-2"/>
          <w:sz w:val="23"/>
          <w:szCs w:val="23"/>
          <w14:textOutline w14:w="4358" w14:cap="sq" w14:cmpd="sng">
            <w14:solidFill>
              <w14:srgbClr w14:val="000000"/>
            </w14:solidFill>
            <w14:prstDash w14:val="solid"/>
            <w14:bevel/>
          </w14:textOutline>
        </w:rPr>
        <w:t>表</w:t>
      </w:r>
      <w:r>
        <w:rPr>
          <w:rFonts w:ascii="宋体" w:hAnsi="宋体" w:eastAsia="宋体" w:cs="宋体"/>
          <w:spacing w:val="-2"/>
          <w:sz w:val="23"/>
          <w:szCs w:val="23"/>
        </w:rPr>
        <w:t xml:space="preserve"> </w:t>
      </w:r>
      <w:r>
        <w:rPr>
          <w:rFonts w:ascii="Times New Roman" w:hAnsi="Times New Roman" w:eastAsia="Times New Roman" w:cs="Times New Roman"/>
          <w:b/>
          <w:bCs/>
          <w:spacing w:val="-2"/>
          <w:sz w:val="23"/>
          <w:szCs w:val="23"/>
        </w:rPr>
        <w:t>3-2</w:t>
      </w:r>
      <w:r>
        <w:rPr>
          <w:rFonts w:ascii="Times New Roman" w:hAnsi="Times New Roman" w:eastAsia="Times New Roman" w:cs="Times New Roman"/>
          <w:spacing w:val="-2"/>
          <w:sz w:val="23"/>
          <w:szCs w:val="23"/>
        </w:rPr>
        <w:t xml:space="preserve">      </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14:textOutline w14:w="4358" w14:cap="sq" w14:cmpd="sng">
            <w14:solidFill>
              <w14:srgbClr w14:val="000000"/>
            </w14:solidFill>
            <w14:prstDash w14:val="solid"/>
            <w14:bevel/>
          </w14:textOutline>
        </w:rPr>
        <w:t>建、构筑物一览表</w:t>
      </w:r>
    </w:p>
    <w:p w14:paraId="0FD96EAE">
      <w:pPr>
        <w:spacing w:line="17" w:lineRule="exact"/>
      </w:pPr>
    </w:p>
    <w:tbl>
      <w:tblPr>
        <w:tblStyle w:val="4"/>
        <w:tblW w:w="852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7"/>
        <w:gridCol w:w="1478"/>
        <w:gridCol w:w="1488"/>
        <w:gridCol w:w="1032"/>
        <w:gridCol w:w="1478"/>
        <w:gridCol w:w="1102"/>
        <w:gridCol w:w="1306"/>
      </w:tblGrid>
      <w:tr w14:paraId="1D1262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637" w:type="dxa"/>
            <w:tcBorders>
              <w:left w:val="nil"/>
            </w:tcBorders>
            <w:vAlign w:val="top"/>
          </w:tcPr>
          <w:p w14:paraId="5C6EF711">
            <w:pPr>
              <w:spacing w:before="86" w:line="229" w:lineRule="auto"/>
              <w:ind w:left="127"/>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序</w:t>
            </w:r>
            <w:r>
              <w:rPr>
                <w:rFonts w:ascii="宋体" w:hAnsi="宋体" w:eastAsia="宋体" w:cs="宋体"/>
                <w:sz w:val="20"/>
                <w:szCs w:val="20"/>
                <w14:textOutline w14:w="3795" w14:cap="sq" w14:cmpd="sng">
                  <w14:solidFill>
                    <w14:srgbClr w14:val="000000"/>
                  </w14:solidFill>
                  <w14:prstDash w14:val="solid"/>
                  <w14:bevel/>
                </w14:textOutline>
              </w:rPr>
              <w:t>号</w:t>
            </w:r>
          </w:p>
        </w:tc>
        <w:tc>
          <w:tcPr>
            <w:tcW w:w="1478" w:type="dxa"/>
            <w:vAlign w:val="top"/>
          </w:tcPr>
          <w:p w14:paraId="564395F8">
            <w:pPr>
              <w:spacing w:before="86" w:line="228" w:lineRule="auto"/>
              <w:ind w:left="352"/>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建筑</w:t>
            </w:r>
            <w:r>
              <w:rPr>
                <w:rFonts w:ascii="宋体" w:hAnsi="宋体" w:eastAsia="宋体" w:cs="宋体"/>
                <w:spacing w:val="-1"/>
                <w:sz w:val="20"/>
                <w:szCs w:val="20"/>
                <w14:textOutline w14:w="3795" w14:cap="sq" w14:cmpd="sng">
                  <w14:solidFill>
                    <w14:srgbClr w14:val="000000"/>
                  </w14:solidFill>
                  <w14:prstDash w14:val="solid"/>
                  <w14:bevel/>
                </w14:textOutline>
              </w:rPr>
              <w:t>名称</w:t>
            </w:r>
          </w:p>
        </w:tc>
        <w:tc>
          <w:tcPr>
            <w:tcW w:w="1488" w:type="dxa"/>
            <w:vAlign w:val="top"/>
          </w:tcPr>
          <w:p w14:paraId="122D313E">
            <w:pPr>
              <w:spacing w:before="86" w:line="228" w:lineRule="auto"/>
              <w:ind w:left="115"/>
              <w:rPr>
                <w:rFonts w:ascii="宋体" w:hAnsi="宋体" w:eastAsia="宋体" w:cs="宋体"/>
                <w:sz w:val="20"/>
                <w:szCs w:val="20"/>
              </w:rPr>
            </w:pPr>
            <w:r>
              <w:rPr>
                <w:rFonts w:ascii="宋体" w:hAnsi="宋体" w:eastAsia="宋体" w:cs="宋体"/>
                <w:spacing w:val="-18"/>
                <w:sz w:val="20"/>
                <w:szCs w:val="20"/>
                <w14:textOutline w14:w="3795" w14:cap="sq" w14:cmpd="sng">
                  <w14:solidFill>
                    <w14:srgbClr w14:val="000000"/>
                  </w14:solidFill>
                  <w14:prstDash w14:val="solid"/>
                  <w14:bevel/>
                </w14:textOutline>
              </w:rPr>
              <w:t>基</w:t>
            </w:r>
            <w:r>
              <w:rPr>
                <w:rFonts w:ascii="宋体" w:hAnsi="宋体" w:eastAsia="宋体" w:cs="宋体"/>
                <w:spacing w:val="-10"/>
                <w:sz w:val="20"/>
                <w:szCs w:val="20"/>
                <w14:textOutline w14:w="3795" w14:cap="sq" w14:cmpd="sng">
                  <w14:solidFill>
                    <w14:srgbClr w14:val="000000"/>
                  </w14:solidFill>
                  <w14:prstDash w14:val="solid"/>
                  <w14:bevel/>
                </w14:textOutline>
              </w:rPr>
              <w:t>底面积</w:t>
            </w:r>
            <w:r>
              <w:rPr>
                <w:rFonts w:ascii="宋体" w:hAnsi="宋体" w:eastAsia="宋体" w:cs="宋体"/>
                <w:spacing w:val="-10"/>
                <w:sz w:val="20"/>
                <w:szCs w:val="20"/>
              </w:rPr>
              <w:t xml:space="preserve"> </w:t>
            </w:r>
            <w:r>
              <w:rPr>
                <w:rFonts w:ascii="宋体" w:hAnsi="宋体" w:eastAsia="宋体" w:cs="宋体"/>
                <w:spacing w:val="-10"/>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spacing w:val="-10"/>
                <w:sz w:val="20"/>
                <w:szCs w:val="20"/>
              </w:rPr>
              <w:t>m</w:t>
            </w:r>
            <w:r>
              <w:rPr>
                <w:rFonts w:ascii="Times New Roman" w:hAnsi="Times New Roman" w:eastAsia="Times New Roman" w:cs="Times New Roman"/>
                <w:b/>
                <w:bCs/>
                <w:spacing w:val="-10"/>
                <w:position w:val="6"/>
                <w:sz w:val="13"/>
                <w:szCs w:val="13"/>
              </w:rPr>
              <w:t>2</w:t>
            </w:r>
            <w:r>
              <w:rPr>
                <w:rFonts w:ascii="Times New Roman" w:hAnsi="Times New Roman" w:eastAsia="Times New Roman" w:cs="Times New Roman"/>
                <w:spacing w:val="-10"/>
                <w:position w:val="6"/>
                <w:sz w:val="13"/>
                <w:szCs w:val="13"/>
              </w:rPr>
              <w:t xml:space="preserve"> </w:t>
            </w:r>
            <w:r>
              <w:rPr>
                <w:rFonts w:ascii="宋体" w:hAnsi="宋体" w:eastAsia="宋体" w:cs="宋体"/>
                <w:spacing w:val="-10"/>
                <w:sz w:val="20"/>
                <w:szCs w:val="20"/>
                <w14:textOutline w14:w="3795" w14:cap="sq" w14:cmpd="sng">
                  <w14:solidFill>
                    <w14:srgbClr w14:val="000000"/>
                  </w14:solidFill>
                  <w14:prstDash w14:val="solid"/>
                  <w14:bevel/>
                </w14:textOutline>
              </w:rPr>
              <w:t>)</w:t>
            </w:r>
          </w:p>
        </w:tc>
        <w:tc>
          <w:tcPr>
            <w:tcW w:w="1032" w:type="dxa"/>
            <w:vAlign w:val="top"/>
          </w:tcPr>
          <w:p w14:paraId="7091641C">
            <w:pPr>
              <w:spacing w:before="86" w:line="228" w:lineRule="auto"/>
              <w:ind w:left="115"/>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层数(</w:t>
            </w:r>
            <w:r>
              <w:rPr>
                <w:rFonts w:ascii="宋体" w:hAnsi="宋体" w:eastAsia="宋体" w:cs="宋体"/>
                <w:sz w:val="20"/>
                <w:szCs w:val="20"/>
                <w14:textOutline w14:w="3795" w14:cap="sq" w14:cmpd="sng">
                  <w14:solidFill>
                    <w14:srgbClr w14:val="000000"/>
                  </w14:solidFill>
                  <w14:prstDash w14:val="solid"/>
                  <w14:bevel/>
                </w14:textOutline>
              </w:rPr>
              <w:t>层)</w:t>
            </w:r>
          </w:p>
        </w:tc>
        <w:tc>
          <w:tcPr>
            <w:tcW w:w="1478" w:type="dxa"/>
            <w:vAlign w:val="top"/>
          </w:tcPr>
          <w:p w14:paraId="2464A372">
            <w:pPr>
              <w:spacing w:before="86" w:line="228" w:lineRule="auto"/>
              <w:ind w:left="117"/>
              <w:rPr>
                <w:rFonts w:ascii="宋体" w:hAnsi="宋体" w:eastAsia="宋体" w:cs="宋体"/>
                <w:sz w:val="20"/>
                <w:szCs w:val="20"/>
              </w:rPr>
            </w:pPr>
            <w:r>
              <w:rPr>
                <w:rFonts w:ascii="宋体" w:hAnsi="宋体" w:eastAsia="宋体" w:cs="宋体"/>
                <w:spacing w:val="-4"/>
                <w:sz w:val="20"/>
                <w:szCs w:val="20"/>
                <w14:textOutline w14:w="3795" w14:cap="sq" w14:cmpd="sng">
                  <w14:solidFill>
                    <w14:srgbClr w14:val="000000"/>
                  </w14:solidFill>
                  <w14:prstDash w14:val="solid"/>
                  <w14:bevel/>
                </w14:textOutline>
              </w:rPr>
              <w:t>建</w:t>
            </w:r>
            <w:r>
              <w:rPr>
                <w:rFonts w:ascii="宋体" w:hAnsi="宋体" w:eastAsia="宋体" w:cs="宋体"/>
                <w:spacing w:val="-3"/>
                <w:sz w:val="20"/>
                <w:szCs w:val="20"/>
                <w14:textOutline w14:w="3795" w14:cap="sq" w14:cmpd="sng">
                  <w14:solidFill>
                    <w14:srgbClr w14:val="000000"/>
                  </w14:solidFill>
                  <w14:prstDash w14:val="solid"/>
                  <w14:bevel/>
                </w14:textOutline>
              </w:rPr>
              <w:t>筑</w:t>
            </w:r>
            <w:r>
              <w:rPr>
                <w:rFonts w:ascii="宋体" w:hAnsi="宋体" w:eastAsia="宋体" w:cs="宋体"/>
                <w:spacing w:val="-2"/>
                <w:sz w:val="20"/>
                <w:szCs w:val="20"/>
                <w14:textOutline w14:w="3795" w14:cap="sq" w14:cmpd="sng">
                  <w14:solidFill>
                    <w14:srgbClr w14:val="000000"/>
                  </w14:solidFill>
                  <w14:prstDash w14:val="solid"/>
                  <w14:bevel/>
                </w14:textOutline>
              </w:rPr>
              <w:t>面积(</w:t>
            </w:r>
            <w:r>
              <w:rPr>
                <w:rFonts w:ascii="Times New Roman" w:hAnsi="Times New Roman" w:eastAsia="Times New Roman" w:cs="Times New Roman"/>
                <w:b/>
                <w:bCs/>
                <w:spacing w:val="-2"/>
                <w:sz w:val="20"/>
                <w:szCs w:val="20"/>
              </w:rPr>
              <w:t>m</w:t>
            </w:r>
            <w:r>
              <w:rPr>
                <w:rFonts w:ascii="Times New Roman" w:hAnsi="Times New Roman" w:eastAsia="Times New Roman" w:cs="Times New Roman"/>
                <w:b/>
                <w:bCs/>
                <w:spacing w:val="-2"/>
                <w:position w:val="6"/>
                <w:sz w:val="13"/>
                <w:szCs w:val="13"/>
              </w:rPr>
              <w:t>2</w:t>
            </w:r>
            <w:r>
              <w:rPr>
                <w:rFonts w:ascii="Times New Roman" w:hAnsi="Times New Roman" w:eastAsia="Times New Roman" w:cs="Times New Roman"/>
                <w:spacing w:val="-2"/>
                <w:position w:val="6"/>
                <w:sz w:val="13"/>
                <w:szCs w:val="13"/>
              </w:rPr>
              <w:t xml:space="preserve"> </w:t>
            </w:r>
            <w:r>
              <w:rPr>
                <w:rFonts w:ascii="宋体" w:hAnsi="宋体" w:eastAsia="宋体" w:cs="宋体"/>
                <w:spacing w:val="-2"/>
                <w:sz w:val="20"/>
                <w:szCs w:val="20"/>
                <w14:textOutline w14:w="3795" w14:cap="sq" w14:cmpd="sng">
                  <w14:solidFill>
                    <w14:srgbClr w14:val="000000"/>
                  </w14:solidFill>
                  <w14:prstDash w14:val="solid"/>
                  <w14:bevel/>
                </w14:textOutline>
              </w:rPr>
              <w:t>)</w:t>
            </w:r>
          </w:p>
        </w:tc>
        <w:tc>
          <w:tcPr>
            <w:tcW w:w="1102" w:type="dxa"/>
            <w:vAlign w:val="top"/>
          </w:tcPr>
          <w:p w14:paraId="029E4DE9">
            <w:pPr>
              <w:spacing w:before="86" w:line="228" w:lineRule="auto"/>
              <w:ind w:left="163"/>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建筑</w:t>
            </w:r>
            <w:r>
              <w:rPr>
                <w:rFonts w:ascii="宋体" w:hAnsi="宋体" w:eastAsia="宋体" w:cs="宋体"/>
                <w:spacing w:val="-1"/>
                <w:sz w:val="20"/>
                <w:szCs w:val="20"/>
                <w14:textOutline w14:w="3795" w14:cap="sq" w14:cmpd="sng">
                  <w14:solidFill>
                    <w14:srgbClr w14:val="000000"/>
                  </w14:solidFill>
                  <w14:prstDash w14:val="solid"/>
                  <w14:bevel/>
                </w14:textOutline>
              </w:rPr>
              <w:t>结构</w:t>
            </w:r>
          </w:p>
        </w:tc>
        <w:tc>
          <w:tcPr>
            <w:tcW w:w="1306" w:type="dxa"/>
            <w:tcBorders>
              <w:right w:val="nil"/>
            </w:tcBorders>
            <w:vAlign w:val="top"/>
          </w:tcPr>
          <w:p w14:paraId="48B51746">
            <w:pPr>
              <w:spacing w:before="86" w:line="229" w:lineRule="auto"/>
              <w:ind w:left="462"/>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用</w:t>
            </w:r>
            <w:r>
              <w:rPr>
                <w:rFonts w:ascii="宋体" w:hAnsi="宋体" w:eastAsia="宋体" w:cs="宋体"/>
                <w:sz w:val="20"/>
                <w:szCs w:val="20"/>
                <w14:textOutline w14:w="3795" w14:cap="sq" w14:cmpd="sng">
                  <w14:solidFill>
                    <w14:srgbClr w14:val="000000"/>
                  </w14:solidFill>
                  <w14:prstDash w14:val="solid"/>
                  <w14:bevel/>
                </w14:textOutline>
              </w:rPr>
              <w:t>途</w:t>
            </w:r>
          </w:p>
        </w:tc>
      </w:tr>
      <w:tr w14:paraId="6C78EA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637" w:type="dxa"/>
            <w:tcBorders>
              <w:left w:val="nil"/>
            </w:tcBorders>
            <w:vAlign w:val="top"/>
          </w:tcPr>
          <w:p w14:paraId="6E1D420D">
            <w:pPr>
              <w:spacing w:before="98" w:line="195" w:lineRule="auto"/>
              <w:ind w:left="293"/>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478" w:type="dxa"/>
            <w:vAlign w:val="top"/>
          </w:tcPr>
          <w:p w14:paraId="0B5581AC">
            <w:pPr>
              <w:spacing w:before="62" w:line="228" w:lineRule="auto"/>
              <w:ind w:left="354"/>
              <w:rPr>
                <w:rFonts w:ascii="宋体" w:hAnsi="宋体" w:eastAsia="宋体" w:cs="宋体"/>
                <w:sz w:val="20"/>
                <w:szCs w:val="20"/>
              </w:rPr>
            </w:pPr>
            <w:r>
              <w:rPr>
                <w:rFonts w:ascii="宋体" w:hAnsi="宋体" w:eastAsia="宋体" w:cs="宋体"/>
                <w:spacing w:val="-2"/>
                <w:sz w:val="20"/>
                <w:szCs w:val="20"/>
              </w:rPr>
              <w:t>生产厂房</w:t>
            </w:r>
          </w:p>
        </w:tc>
        <w:tc>
          <w:tcPr>
            <w:tcW w:w="1488" w:type="dxa"/>
            <w:vAlign w:val="top"/>
          </w:tcPr>
          <w:p w14:paraId="44060839">
            <w:pPr>
              <w:spacing w:before="98" w:line="195" w:lineRule="auto"/>
              <w:ind w:left="60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w:t>
            </w:r>
            <w:r>
              <w:rPr>
                <w:rFonts w:ascii="Times New Roman" w:hAnsi="Times New Roman" w:eastAsia="Times New Roman" w:cs="Times New Roman"/>
                <w:spacing w:val="-1"/>
                <w:sz w:val="20"/>
                <w:szCs w:val="20"/>
              </w:rPr>
              <w:t>00</w:t>
            </w:r>
          </w:p>
        </w:tc>
        <w:tc>
          <w:tcPr>
            <w:tcW w:w="1032" w:type="dxa"/>
            <w:vAlign w:val="top"/>
          </w:tcPr>
          <w:p w14:paraId="670E7519">
            <w:pPr>
              <w:spacing w:before="98" w:line="195" w:lineRule="auto"/>
              <w:ind w:left="48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478" w:type="dxa"/>
            <w:vAlign w:val="top"/>
          </w:tcPr>
          <w:p w14:paraId="72518BF1">
            <w:pPr>
              <w:spacing w:before="98" w:line="195" w:lineRule="auto"/>
              <w:ind w:left="5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w:t>
            </w:r>
            <w:r>
              <w:rPr>
                <w:rFonts w:ascii="Times New Roman" w:hAnsi="Times New Roman" w:eastAsia="Times New Roman" w:cs="Times New Roman"/>
                <w:spacing w:val="-1"/>
                <w:sz w:val="20"/>
                <w:szCs w:val="20"/>
              </w:rPr>
              <w:t>00</w:t>
            </w:r>
          </w:p>
        </w:tc>
        <w:tc>
          <w:tcPr>
            <w:tcW w:w="1102" w:type="dxa"/>
            <w:vAlign w:val="top"/>
          </w:tcPr>
          <w:p w14:paraId="74C19135">
            <w:pPr>
              <w:spacing w:before="62" w:line="230" w:lineRule="auto"/>
              <w:ind w:left="360"/>
              <w:rPr>
                <w:rFonts w:ascii="宋体" w:hAnsi="宋体" w:eastAsia="宋体" w:cs="宋体"/>
                <w:sz w:val="20"/>
                <w:szCs w:val="20"/>
              </w:rPr>
            </w:pPr>
            <w:r>
              <w:rPr>
                <w:rFonts w:ascii="宋体" w:hAnsi="宋体" w:eastAsia="宋体" w:cs="宋体"/>
                <w:sz w:val="20"/>
                <w:szCs w:val="20"/>
              </w:rPr>
              <w:t>砖混</w:t>
            </w:r>
          </w:p>
        </w:tc>
        <w:tc>
          <w:tcPr>
            <w:tcW w:w="1306" w:type="dxa"/>
            <w:tcBorders>
              <w:right w:val="nil"/>
            </w:tcBorders>
            <w:vAlign w:val="top"/>
          </w:tcPr>
          <w:p w14:paraId="5F5C7E2A">
            <w:pPr>
              <w:spacing w:before="62" w:line="228" w:lineRule="auto"/>
              <w:ind w:left="465"/>
              <w:rPr>
                <w:rFonts w:ascii="宋体" w:hAnsi="宋体" w:eastAsia="宋体" w:cs="宋体"/>
                <w:sz w:val="20"/>
                <w:szCs w:val="20"/>
              </w:rPr>
            </w:pPr>
            <w:r>
              <w:rPr>
                <w:rFonts w:ascii="宋体" w:hAnsi="宋体" w:eastAsia="宋体" w:cs="宋体"/>
                <w:spacing w:val="-1"/>
                <w:sz w:val="20"/>
                <w:szCs w:val="20"/>
              </w:rPr>
              <w:t>生</w:t>
            </w:r>
            <w:r>
              <w:rPr>
                <w:rFonts w:ascii="宋体" w:hAnsi="宋体" w:eastAsia="宋体" w:cs="宋体"/>
                <w:sz w:val="20"/>
                <w:szCs w:val="20"/>
              </w:rPr>
              <w:t>产</w:t>
            </w:r>
          </w:p>
        </w:tc>
      </w:tr>
      <w:tr w14:paraId="3A9E4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637" w:type="dxa"/>
            <w:tcBorders>
              <w:left w:val="nil"/>
            </w:tcBorders>
            <w:vAlign w:val="top"/>
          </w:tcPr>
          <w:p w14:paraId="5B1FB85D">
            <w:pPr>
              <w:spacing w:before="98" w:line="195" w:lineRule="auto"/>
              <w:ind w:left="273"/>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478" w:type="dxa"/>
            <w:vAlign w:val="top"/>
          </w:tcPr>
          <w:p w14:paraId="309FAC03">
            <w:pPr>
              <w:spacing w:before="62" w:line="228" w:lineRule="auto"/>
              <w:ind w:left="452"/>
              <w:rPr>
                <w:rFonts w:ascii="宋体" w:hAnsi="宋体" w:eastAsia="宋体" w:cs="宋体"/>
                <w:sz w:val="20"/>
                <w:szCs w:val="20"/>
              </w:rPr>
            </w:pPr>
            <w:r>
              <w:rPr>
                <w:rFonts w:ascii="宋体" w:hAnsi="宋体" w:eastAsia="宋体" w:cs="宋体"/>
                <w:spacing w:val="-2"/>
                <w:sz w:val="20"/>
                <w:szCs w:val="20"/>
              </w:rPr>
              <w:t>成品</w:t>
            </w:r>
            <w:r>
              <w:rPr>
                <w:rFonts w:ascii="宋体" w:hAnsi="宋体" w:eastAsia="宋体" w:cs="宋体"/>
                <w:spacing w:val="-1"/>
                <w:sz w:val="20"/>
                <w:szCs w:val="20"/>
              </w:rPr>
              <w:t>库</w:t>
            </w:r>
          </w:p>
        </w:tc>
        <w:tc>
          <w:tcPr>
            <w:tcW w:w="1488" w:type="dxa"/>
            <w:vAlign w:val="top"/>
          </w:tcPr>
          <w:p w14:paraId="5596675E">
            <w:pPr>
              <w:spacing w:before="98" w:line="195" w:lineRule="auto"/>
              <w:ind w:left="598"/>
              <w:rPr>
                <w:rFonts w:ascii="Times New Roman" w:hAnsi="Times New Roman" w:eastAsia="Times New Roman" w:cs="Times New Roman"/>
                <w:sz w:val="20"/>
                <w:szCs w:val="20"/>
              </w:rPr>
            </w:pPr>
            <w:r>
              <w:rPr>
                <w:rFonts w:ascii="Times New Roman" w:hAnsi="Times New Roman" w:eastAsia="Times New Roman" w:cs="Times New Roman"/>
                <w:sz w:val="20"/>
                <w:szCs w:val="20"/>
              </w:rPr>
              <w:t>200</w:t>
            </w:r>
          </w:p>
        </w:tc>
        <w:tc>
          <w:tcPr>
            <w:tcW w:w="1032" w:type="dxa"/>
            <w:vAlign w:val="top"/>
          </w:tcPr>
          <w:p w14:paraId="7E608C19">
            <w:pPr>
              <w:spacing w:before="98" w:line="195" w:lineRule="auto"/>
              <w:ind w:left="48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478" w:type="dxa"/>
            <w:vAlign w:val="top"/>
          </w:tcPr>
          <w:p w14:paraId="4276B10B">
            <w:pPr>
              <w:spacing w:before="98" w:line="195" w:lineRule="auto"/>
              <w:ind w:left="594"/>
              <w:rPr>
                <w:rFonts w:ascii="Times New Roman" w:hAnsi="Times New Roman" w:eastAsia="Times New Roman" w:cs="Times New Roman"/>
                <w:sz w:val="20"/>
                <w:szCs w:val="20"/>
              </w:rPr>
            </w:pPr>
            <w:r>
              <w:rPr>
                <w:rFonts w:ascii="Times New Roman" w:hAnsi="Times New Roman" w:eastAsia="Times New Roman" w:cs="Times New Roman"/>
                <w:sz w:val="20"/>
                <w:szCs w:val="20"/>
              </w:rPr>
              <w:t>200</w:t>
            </w:r>
          </w:p>
        </w:tc>
        <w:tc>
          <w:tcPr>
            <w:tcW w:w="1102" w:type="dxa"/>
            <w:vAlign w:val="top"/>
          </w:tcPr>
          <w:p w14:paraId="47FBBAAC">
            <w:pPr>
              <w:spacing w:before="62" w:line="230" w:lineRule="auto"/>
              <w:ind w:left="360"/>
              <w:rPr>
                <w:rFonts w:ascii="宋体" w:hAnsi="宋体" w:eastAsia="宋体" w:cs="宋体"/>
                <w:sz w:val="20"/>
                <w:szCs w:val="20"/>
              </w:rPr>
            </w:pPr>
            <w:r>
              <w:rPr>
                <w:rFonts w:ascii="宋体" w:hAnsi="宋体" w:eastAsia="宋体" w:cs="宋体"/>
                <w:sz w:val="20"/>
                <w:szCs w:val="20"/>
              </w:rPr>
              <w:t>砖混</w:t>
            </w:r>
          </w:p>
        </w:tc>
        <w:tc>
          <w:tcPr>
            <w:tcW w:w="1306" w:type="dxa"/>
            <w:tcBorders>
              <w:right w:val="nil"/>
            </w:tcBorders>
            <w:vAlign w:val="top"/>
          </w:tcPr>
          <w:p w14:paraId="0C81A03F">
            <w:pPr>
              <w:spacing w:before="62" w:line="228" w:lineRule="auto"/>
              <w:ind w:left="465"/>
              <w:rPr>
                <w:rFonts w:ascii="宋体" w:hAnsi="宋体" w:eastAsia="宋体" w:cs="宋体"/>
                <w:sz w:val="20"/>
                <w:szCs w:val="20"/>
              </w:rPr>
            </w:pPr>
            <w:r>
              <w:rPr>
                <w:rFonts w:ascii="宋体" w:hAnsi="宋体" w:eastAsia="宋体" w:cs="宋体"/>
                <w:spacing w:val="-1"/>
                <w:sz w:val="20"/>
                <w:szCs w:val="20"/>
              </w:rPr>
              <w:t>生</w:t>
            </w:r>
            <w:r>
              <w:rPr>
                <w:rFonts w:ascii="宋体" w:hAnsi="宋体" w:eastAsia="宋体" w:cs="宋体"/>
                <w:sz w:val="20"/>
                <w:szCs w:val="20"/>
              </w:rPr>
              <w:t>产</w:t>
            </w:r>
          </w:p>
        </w:tc>
      </w:tr>
      <w:tr w14:paraId="173893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637" w:type="dxa"/>
            <w:tcBorders>
              <w:left w:val="nil"/>
            </w:tcBorders>
            <w:vAlign w:val="top"/>
          </w:tcPr>
          <w:p w14:paraId="38F0BD50">
            <w:pPr>
              <w:spacing w:before="99" w:line="195" w:lineRule="auto"/>
              <w:ind w:left="277"/>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478" w:type="dxa"/>
            <w:vAlign w:val="top"/>
          </w:tcPr>
          <w:p w14:paraId="14970772">
            <w:pPr>
              <w:spacing w:before="63" w:line="228" w:lineRule="auto"/>
              <w:ind w:left="456"/>
              <w:rPr>
                <w:rFonts w:ascii="宋体" w:hAnsi="宋体" w:eastAsia="宋体" w:cs="宋体"/>
                <w:sz w:val="20"/>
                <w:szCs w:val="20"/>
              </w:rPr>
            </w:pPr>
            <w:r>
              <w:rPr>
                <w:rFonts w:ascii="宋体" w:hAnsi="宋体" w:eastAsia="宋体" w:cs="宋体"/>
                <w:spacing w:val="-4"/>
                <w:sz w:val="20"/>
                <w:szCs w:val="20"/>
              </w:rPr>
              <w:t>原</w:t>
            </w:r>
            <w:r>
              <w:rPr>
                <w:rFonts w:ascii="宋体" w:hAnsi="宋体" w:eastAsia="宋体" w:cs="宋体"/>
                <w:spacing w:val="-2"/>
                <w:sz w:val="20"/>
                <w:szCs w:val="20"/>
              </w:rPr>
              <w:t>料库</w:t>
            </w:r>
          </w:p>
        </w:tc>
        <w:tc>
          <w:tcPr>
            <w:tcW w:w="1488" w:type="dxa"/>
            <w:vAlign w:val="top"/>
          </w:tcPr>
          <w:p w14:paraId="55D1CDD3">
            <w:pPr>
              <w:spacing w:before="99" w:line="195" w:lineRule="auto"/>
              <w:ind w:left="598"/>
              <w:rPr>
                <w:rFonts w:ascii="Times New Roman" w:hAnsi="Times New Roman" w:eastAsia="Times New Roman" w:cs="Times New Roman"/>
                <w:sz w:val="20"/>
                <w:szCs w:val="20"/>
              </w:rPr>
            </w:pPr>
            <w:r>
              <w:rPr>
                <w:rFonts w:ascii="Times New Roman" w:hAnsi="Times New Roman" w:eastAsia="Times New Roman" w:cs="Times New Roman"/>
                <w:sz w:val="20"/>
                <w:szCs w:val="20"/>
              </w:rPr>
              <w:t>200</w:t>
            </w:r>
          </w:p>
        </w:tc>
        <w:tc>
          <w:tcPr>
            <w:tcW w:w="1032" w:type="dxa"/>
            <w:vAlign w:val="top"/>
          </w:tcPr>
          <w:p w14:paraId="21F89713">
            <w:pPr>
              <w:spacing w:before="100" w:line="195" w:lineRule="auto"/>
              <w:ind w:left="48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478" w:type="dxa"/>
            <w:vAlign w:val="top"/>
          </w:tcPr>
          <w:p w14:paraId="2B50E0EF">
            <w:pPr>
              <w:spacing w:before="99" w:line="195" w:lineRule="auto"/>
              <w:ind w:left="594"/>
              <w:rPr>
                <w:rFonts w:ascii="Times New Roman" w:hAnsi="Times New Roman" w:eastAsia="Times New Roman" w:cs="Times New Roman"/>
                <w:sz w:val="20"/>
                <w:szCs w:val="20"/>
              </w:rPr>
            </w:pPr>
            <w:r>
              <w:rPr>
                <w:rFonts w:ascii="Times New Roman" w:hAnsi="Times New Roman" w:eastAsia="Times New Roman" w:cs="Times New Roman"/>
                <w:sz w:val="20"/>
                <w:szCs w:val="20"/>
              </w:rPr>
              <w:t>200</w:t>
            </w:r>
          </w:p>
        </w:tc>
        <w:tc>
          <w:tcPr>
            <w:tcW w:w="1102" w:type="dxa"/>
            <w:vAlign w:val="top"/>
          </w:tcPr>
          <w:p w14:paraId="539C44B8">
            <w:pPr>
              <w:spacing w:before="63" w:line="230" w:lineRule="auto"/>
              <w:ind w:left="360"/>
              <w:rPr>
                <w:rFonts w:ascii="宋体" w:hAnsi="宋体" w:eastAsia="宋体" w:cs="宋体"/>
                <w:sz w:val="20"/>
                <w:szCs w:val="20"/>
              </w:rPr>
            </w:pPr>
            <w:r>
              <w:rPr>
                <w:rFonts w:ascii="宋体" w:hAnsi="宋体" w:eastAsia="宋体" w:cs="宋体"/>
                <w:sz w:val="20"/>
                <w:szCs w:val="20"/>
              </w:rPr>
              <w:t>砖混</w:t>
            </w:r>
          </w:p>
        </w:tc>
        <w:tc>
          <w:tcPr>
            <w:tcW w:w="1306" w:type="dxa"/>
            <w:tcBorders>
              <w:right w:val="nil"/>
            </w:tcBorders>
            <w:vAlign w:val="top"/>
          </w:tcPr>
          <w:p w14:paraId="448EA147">
            <w:pPr>
              <w:spacing w:before="63" w:line="228" w:lineRule="auto"/>
              <w:ind w:left="465"/>
              <w:rPr>
                <w:rFonts w:ascii="宋体" w:hAnsi="宋体" w:eastAsia="宋体" w:cs="宋体"/>
                <w:sz w:val="20"/>
                <w:szCs w:val="20"/>
              </w:rPr>
            </w:pPr>
            <w:r>
              <w:rPr>
                <w:rFonts w:ascii="宋体" w:hAnsi="宋体" w:eastAsia="宋体" w:cs="宋体"/>
                <w:spacing w:val="-1"/>
                <w:sz w:val="20"/>
                <w:szCs w:val="20"/>
              </w:rPr>
              <w:t>生</w:t>
            </w:r>
            <w:r>
              <w:rPr>
                <w:rFonts w:ascii="宋体" w:hAnsi="宋体" w:eastAsia="宋体" w:cs="宋体"/>
                <w:sz w:val="20"/>
                <w:szCs w:val="20"/>
              </w:rPr>
              <w:t>产</w:t>
            </w:r>
          </w:p>
        </w:tc>
      </w:tr>
      <w:tr w14:paraId="657EB9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637" w:type="dxa"/>
            <w:tcBorders>
              <w:left w:val="nil"/>
            </w:tcBorders>
            <w:vAlign w:val="top"/>
          </w:tcPr>
          <w:p w14:paraId="2544454E">
            <w:pPr>
              <w:spacing w:before="100" w:line="195" w:lineRule="auto"/>
              <w:ind w:left="27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478" w:type="dxa"/>
            <w:vAlign w:val="top"/>
          </w:tcPr>
          <w:p w14:paraId="25416B6F">
            <w:pPr>
              <w:spacing w:before="63" w:line="228" w:lineRule="auto"/>
              <w:ind w:left="455"/>
              <w:rPr>
                <w:rFonts w:ascii="宋体" w:hAnsi="宋体" w:eastAsia="宋体" w:cs="宋体"/>
                <w:sz w:val="20"/>
                <w:szCs w:val="20"/>
              </w:rPr>
            </w:pPr>
            <w:r>
              <w:rPr>
                <w:rFonts w:ascii="宋体" w:hAnsi="宋体" w:eastAsia="宋体" w:cs="宋体"/>
                <w:spacing w:val="-3"/>
                <w:sz w:val="20"/>
                <w:szCs w:val="20"/>
              </w:rPr>
              <w:t>办</w:t>
            </w:r>
            <w:r>
              <w:rPr>
                <w:rFonts w:ascii="宋体" w:hAnsi="宋体" w:eastAsia="宋体" w:cs="宋体"/>
                <w:spacing w:val="-2"/>
                <w:sz w:val="20"/>
                <w:szCs w:val="20"/>
              </w:rPr>
              <w:t>公室</w:t>
            </w:r>
          </w:p>
        </w:tc>
        <w:tc>
          <w:tcPr>
            <w:tcW w:w="1488" w:type="dxa"/>
            <w:vAlign w:val="top"/>
          </w:tcPr>
          <w:p w14:paraId="0B4FF714">
            <w:pPr>
              <w:spacing w:before="100" w:line="195" w:lineRule="auto"/>
              <w:ind w:left="598"/>
              <w:rPr>
                <w:rFonts w:ascii="Times New Roman" w:hAnsi="Times New Roman" w:eastAsia="Times New Roman" w:cs="Times New Roman"/>
                <w:sz w:val="20"/>
                <w:szCs w:val="20"/>
              </w:rPr>
            </w:pPr>
            <w:r>
              <w:rPr>
                <w:rFonts w:ascii="Times New Roman" w:hAnsi="Times New Roman" w:eastAsia="Times New Roman" w:cs="Times New Roman"/>
                <w:sz w:val="20"/>
                <w:szCs w:val="20"/>
              </w:rPr>
              <w:t>245</w:t>
            </w:r>
          </w:p>
        </w:tc>
        <w:tc>
          <w:tcPr>
            <w:tcW w:w="1032" w:type="dxa"/>
            <w:vAlign w:val="top"/>
          </w:tcPr>
          <w:p w14:paraId="259E7059">
            <w:pPr>
              <w:spacing w:before="100" w:line="195" w:lineRule="auto"/>
              <w:ind w:left="48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478" w:type="dxa"/>
            <w:vAlign w:val="top"/>
          </w:tcPr>
          <w:p w14:paraId="7E8DA6A2">
            <w:pPr>
              <w:spacing w:before="100" w:line="195" w:lineRule="auto"/>
              <w:ind w:left="594"/>
              <w:rPr>
                <w:rFonts w:ascii="Times New Roman" w:hAnsi="Times New Roman" w:eastAsia="Times New Roman" w:cs="Times New Roman"/>
                <w:sz w:val="20"/>
                <w:szCs w:val="20"/>
              </w:rPr>
            </w:pPr>
            <w:r>
              <w:rPr>
                <w:rFonts w:ascii="Times New Roman" w:hAnsi="Times New Roman" w:eastAsia="Times New Roman" w:cs="Times New Roman"/>
                <w:sz w:val="20"/>
                <w:szCs w:val="20"/>
              </w:rPr>
              <w:t>245</w:t>
            </w:r>
          </w:p>
        </w:tc>
        <w:tc>
          <w:tcPr>
            <w:tcW w:w="1102" w:type="dxa"/>
            <w:vAlign w:val="top"/>
          </w:tcPr>
          <w:p w14:paraId="19D1AD2C">
            <w:pPr>
              <w:spacing w:before="64" w:line="230" w:lineRule="auto"/>
              <w:ind w:left="360"/>
              <w:rPr>
                <w:rFonts w:ascii="宋体" w:hAnsi="宋体" w:eastAsia="宋体" w:cs="宋体"/>
                <w:sz w:val="20"/>
                <w:szCs w:val="20"/>
              </w:rPr>
            </w:pPr>
            <w:r>
              <w:rPr>
                <w:rFonts w:ascii="宋体" w:hAnsi="宋体" w:eastAsia="宋体" w:cs="宋体"/>
                <w:sz w:val="20"/>
                <w:szCs w:val="20"/>
              </w:rPr>
              <w:t>砖混</w:t>
            </w:r>
          </w:p>
        </w:tc>
        <w:tc>
          <w:tcPr>
            <w:tcW w:w="1306" w:type="dxa"/>
            <w:tcBorders>
              <w:right w:val="nil"/>
            </w:tcBorders>
            <w:vAlign w:val="top"/>
          </w:tcPr>
          <w:p w14:paraId="06AD95C3">
            <w:pPr>
              <w:spacing w:before="63" w:line="228" w:lineRule="auto"/>
              <w:ind w:left="467"/>
              <w:rPr>
                <w:rFonts w:ascii="宋体" w:hAnsi="宋体" w:eastAsia="宋体" w:cs="宋体"/>
                <w:sz w:val="20"/>
                <w:szCs w:val="20"/>
              </w:rPr>
            </w:pPr>
            <w:r>
              <w:rPr>
                <w:rFonts w:ascii="宋体" w:hAnsi="宋体" w:eastAsia="宋体" w:cs="宋体"/>
                <w:spacing w:val="-2"/>
                <w:sz w:val="20"/>
                <w:szCs w:val="20"/>
              </w:rPr>
              <w:t>办公</w:t>
            </w:r>
          </w:p>
        </w:tc>
      </w:tr>
      <w:tr w14:paraId="40E7BA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637" w:type="dxa"/>
            <w:tcBorders>
              <w:left w:val="nil"/>
            </w:tcBorders>
            <w:vAlign w:val="top"/>
          </w:tcPr>
          <w:p w14:paraId="7C43679A">
            <w:pPr>
              <w:spacing w:before="104" w:line="192" w:lineRule="auto"/>
              <w:ind w:left="278"/>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478" w:type="dxa"/>
            <w:vAlign w:val="top"/>
          </w:tcPr>
          <w:p w14:paraId="2D2EEEA9">
            <w:pPr>
              <w:spacing w:before="27" w:line="281" w:lineRule="exact"/>
              <w:ind w:left="172"/>
              <w:rPr>
                <w:rFonts w:ascii="宋体" w:hAnsi="宋体" w:eastAsia="宋体" w:cs="宋体"/>
                <w:sz w:val="20"/>
                <w:szCs w:val="20"/>
              </w:rPr>
            </w:pPr>
            <w:r>
              <w:rPr>
                <w:rFonts w:ascii="Times New Roman" w:hAnsi="Times New Roman" w:eastAsia="Times New Roman" w:cs="Times New Roman"/>
                <w:spacing w:val="-5"/>
                <w:position w:val="1"/>
                <w:sz w:val="20"/>
                <w:szCs w:val="20"/>
              </w:rPr>
              <w:t>1</w:t>
            </w:r>
            <w:r>
              <w:rPr>
                <w:rFonts w:ascii="Times New Roman" w:hAnsi="Times New Roman" w:eastAsia="Times New Roman" w:cs="Times New Roman"/>
                <w:spacing w:val="-4"/>
                <w:position w:val="1"/>
                <w:sz w:val="20"/>
                <w:szCs w:val="20"/>
              </w:rPr>
              <w:t>#</w:t>
            </w:r>
            <w:r>
              <w:rPr>
                <w:rFonts w:ascii="宋体" w:hAnsi="宋体" w:eastAsia="宋体" w:cs="宋体"/>
                <w:spacing w:val="-4"/>
                <w:position w:val="1"/>
                <w:sz w:val="20"/>
                <w:szCs w:val="20"/>
              </w:rPr>
              <w:t>员工休息室</w:t>
            </w:r>
          </w:p>
        </w:tc>
        <w:tc>
          <w:tcPr>
            <w:tcW w:w="1488" w:type="dxa"/>
            <w:vAlign w:val="top"/>
          </w:tcPr>
          <w:p w14:paraId="20C92B11">
            <w:pPr>
              <w:spacing w:before="101" w:line="195" w:lineRule="auto"/>
              <w:ind w:left="61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6"/>
                <w:sz w:val="20"/>
                <w:szCs w:val="20"/>
              </w:rPr>
              <w:t>50</w:t>
            </w:r>
          </w:p>
        </w:tc>
        <w:tc>
          <w:tcPr>
            <w:tcW w:w="1032" w:type="dxa"/>
            <w:vAlign w:val="top"/>
          </w:tcPr>
          <w:p w14:paraId="5CA00C52">
            <w:pPr>
              <w:spacing w:before="101" w:line="195" w:lineRule="auto"/>
              <w:ind w:left="48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478" w:type="dxa"/>
            <w:vAlign w:val="top"/>
          </w:tcPr>
          <w:p w14:paraId="1B0FCE5A">
            <w:pPr>
              <w:spacing w:before="101" w:line="195" w:lineRule="auto"/>
              <w:ind w:left="61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6"/>
                <w:sz w:val="20"/>
                <w:szCs w:val="20"/>
              </w:rPr>
              <w:t>50</w:t>
            </w:r>
          </w:p>
        </w:tc>
        <w:tc>
          <w:tcPr>
            <w:tcW w:w="1102" w:type="dxa"/>
            <w:vAlign w:val="top"/>
          </w:tcPr>
          <w:p w14:paraId="1221558D">
            <w:pPr>
              <w:spacing w:before="65" w:line="230" w:lineRule="auto"/>
              <w:ind w:left="360"/>
              <w:rPr>
                <w:rFonts w:ascii="宋体" w:hAnsi="宋体" w:eastAsia="宋体" w:cs="宋体"/>
                <w:sz w:val="20"/>
                <w:szCs w:val="20"/>
              </w:rPr>
            </w:pPr>
            <w:r>
              <w:rPr>
                <w:rFonts w:ascii="宋体" w:hAnsi="宋体" w:eastAsia="宋体" w:cs="宋体"/>
                <w:sz w:val="20"/>
                <w:szCs w:val="20"/>
              </w:rPr>
              <w:t>砖混</w:t>
            </w:r>
          </w:p>
        </w:tc>
        <w:tc>
          <w:tcPr>
            <w:tcW w:w="1306" w:type="dxa"/>
            <w:tcBorders>
              <w:right w:val="nil"/>
            </w:tcBorders>
            <w:vAlign w:val="top"/>
          </w:tcPr>
          <w:p w14:paraId="5199692B">
            <w:pPr>
              <w:spacing w:before="65" w:line="228" w:lineRule="auto"/>
              <w:ind w:left="467"/>
              <w:rPr>
                <w:rFonts w:ascii="宋体" w:hAnsi="宋体" w:eastAsia="宋体" w:cs="宋体"/>
                <w:sz w:val="20"/>
                <w:szCs w:val="20"/>
              </w:rPr>
            </w:pPr>
            <w:r>
              <w:rPr>
                <w:rFonts w:ascii="宋体" w:hAnsi="宋体" w:eastAsia="宋体" w:cs="宋体"/>
                <w:spacing w:val="-2"/>
                <w:sz w:val="20"/>
                <w:szCs w:val="20"/>
              </w:rPr>
              <w:t>办公</w:t>
            </w:r>
          </w:p>
        </w:tc>
      </w:tr>
      <w:tr w14:paraId="6AE41B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637" w:type="dxa"/>
            <w:tcBorders>
              <w:left w:val="nil"/>
            </w:tcBorders>
            <w:vAlign w:val="top"/>
          </w:tcPr>
          <w:p w14:paraId="4DCA6412">
            <w:pPr>
              <w:spacing w:before="99" w:line="195" w:lineRule="auto"/>
              <w:ind w:left="277"/>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478" w:type="dxa"/>
            <w:vAlign w:val="top"/>
          </w:tcPr>
          <w:p w14:paraId="037FCA4D">
            <w:pPr>
              <w:spacing w:before="25" w:line="281" w:lineRule="exact"/>
              <w:ind w:left="152"/>
              <w:rPr>
                <w:rFonts w:ascii="宋体" w:hAnsi="宋体" w:eastAsia="宋体" w:cs="宋体"/>
                <w:sz w:val="20"/>
                <w:szCs w:val="20"/>
              </w:rPr>
            </w:pPr>
            <w:r>
              <w:rPr>
                <w:rFonts w:ascii="Times New Roman" w:hAnsi="Times New Roman" w:eastAsia="Times New Roman" w:cs="Times New Roman"/>
                <w:spacing w:val="-2"/>
                <w:position w:val="1"/>
                <w:sz w:val="20"/>
                <w:szCs w:val="20"/>
              </w:rPr>
              <w:t>2#</w:t>
            </w:r>
            <w:r>
              <w:rPr>
                <w:rFonts w:ascii="宋体" w:hAnsi="宋体" w:eastAsia="宋体" w:cs="宋体"/>
                <w:spacing w:val="-1"/>
                <w:position w:val="1"/>
                <w:sz w:val="20"/>
                <w:szCs w:val="20"/>
              </w:rPr>
              <w:t>员工休息室</w:t>
            </w:r>
          </w:p>
        </w:tc>
        <w:tc>
          <w:tcPr>
            <w:tcW w:w="1488" w:type="dxa"/>
            <w:vAlign w:val="top"/>
          </w:tcPr>
          <w:p w14:paraId="508C2051">
            <w:pPr>
              <w:spacing w:before="99" w:line="195" w:lineRule="auto"/>
              <w:ind w:left="61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6"/>
                <w:sz w:val="20"/>
                <w:szCs w:val="20"/>
              </w:rPr>
              <w:t>75</w:t>
            </w:r>
          </w:p>
        </w:tc>
        <w:tc>
          <w:tcPr>
            <w:tcW w:w="1032" w:type="dxa"/>
            <w:vAlign w:val="top"/>
          </w:tcPr>
          <w:p w14:paraId="76B2462F">
            <w:pPr>
              <w:spacing w:before="99" w:line="195" w:lineRule="auto"/>
              <w:ind w:left="48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478" w:type="dxa"/>
            <w:vAlign w:val="top"/>
          </w:tcPr>
          <w:p w14:paraId="1E9EEB95">
            <w:pPr>
              <w:spacing w:before="99" w:line="195" w:lineRule="auto"/>
              <w:ind w:left="61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6"/>
                <w:sz w:val="20"/>
                <w:szCs w:val="20"/>
              </w:rPr>
              <w:t>75</w:t>
            </w:r>
          </w:p>
        </w:tc>
        <w:tc>
          <w:tcPr>
            <w:tcW w:w="1102" w:type="dxa"/>
            <w:vAlign w:val="top"/>
          </w:tcPr>
          <w:p w14:paraId="0F908B8A">
            <w:pPr>
              <w:spacing w:before="63" w:line="230" w:lineRule="auto"/>
              <w:ind w:left="360"/>
              <w:rPr>
                <w:rFonts w:ascii="宋体" w:hAnsi="宋体" w:eastAsia="宋体" w:cs="宋体"/>
                <w:sz w:val="20"/>
                <w:szCs w:val="20"/>
              </w:rPr>
            </w:pPr>
            <w:r>
              <w:rPr>
                <w:rFonts w:ascii="宋体" w:hAnsi="宋体" w:eastAsia="宋体" w:cs="宋体"/>
                <w:sz w:val="20"/>
                <w:szCs w:val="20"/>
              </w:rPr>
              <w:t>砖混</w:t>
            </w:r>
          </w:p>
        </w:tc>
        <w:tc>
          <w:tcPr>
            <w:tcW w:w="1306" w:type="dxa"/>
            <w:tcBorders>
              <w:right w:val="nil"/>
            </w:tcBorders>
            <w:vAlign w:val="top"/>
          </w:tcPr>
          <w:p w14:paraId="629E20D1">
            <w:pPr>
              <w:spacing w:before="62" w:line="228" w:lineRule="auto"/>
              <w:ind w:left="467"/>
              <w:rPr>
                <w:rFonts w:ascii="宋体" w:hAnsi="宋体" w:eastAsia="宋体" w:cs="宋体"/>
                <w:sz w:val="20"/>
                <w:szCs w:val="20"/>
              </w:rPr>
            </w:pPr>
            <w:r>
              <w:rPr>
                <w:rFonts w:ascii="宋体" w:hAnsi="宋体" w:eastAsia="宋体" w:cs="宋体"/>
                <w:spacing w:val="-2"/>
                <w:sz w:val="20"/>
                <w:szCs w:val="20"/>
              </w:rPr>
              <w:t>办公</w:t>
            </w:r>
          </w:p>
        </w:tc>
      </w:tr>
      <w:tr w14:paraId="5109F9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637" w:type="dxa"/>
            <w:tcBorders>
              <w:left w:val="nil"/>
            </w:tcBorders>
            <w:vAlign w:val="top"/>
          </w:tcPr>
          <w:p w14:paraId="22A1C307">
            <w:pPr>
              <w:spacing w:before="103" w:line="192" w:lineRule="auto"/>
              <w:ind w:left="276"/>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478" w:type="dxa"/>
            <w:vAlign w:val="top"/>
          </w:tcPr>
          <w:p w14:paraId="5A1D7262">
            <w:pPr>
              <w:spacing w:before="64" w:line="228" w:lineRule="auto"/>
              <w:ind w:left="256"/>
              <w:rPr>
                <w:rFonts w:ascii="宋体" w:hAnsi="宋体" w:eastAsia="宋体" w:cs="宋体"/>
                <w:sz w:val="20"/>
                <w:szCs w:val="20"/>
              </w:rPr>
            </w:pPr>
            <w:r>
              <w:rPr>
                <w:rFonts w:ascii="宋体" w:hAnsi="宋体" w:eastAsia="宋体" w:cs="宋体"/>
                <w:spacing w:val="-4"/>
                <w:sz w:val="20"/>
                <w:szCs w:val="20"/>
              </w:rPr>
              <w:t>备</w:t>
            </w:r>
            <w:r>
              <w:rPr>
                <w:rFonts w:ascii="宋体" w:hAnsi="宋体" w:eastAsia="宋体" w:cs="宋体"/>
                <w:spacing w:val="-2"/>
                <w:sz w:val="20"/>
                <w:szCs w:val="20"/>
              </w:rPr>
              <w:t>品备件库</w:t>
            </w:r>
          </w:p>
        </w:tc>
        <w:tc>
          <w:tcPr>
            <w:tcW w:w="1488" w:type="dxa"/>
            <w:vAlign w:val="top"/>
          </w:tcPr>
          <w:p w14:paraId="5D78D5A5">
            <w:pPr>
              <w:spacing w:before="100" w:line="195" w:lineRule="auto"/>
              <w:ind w:left="65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30</w:t>
            </w:r>
          </w:p>
        </w:tc>
        <w:tc>
          <w:tcPr>
            <w:tcW w:w="1032" w:type="dxa"/>
            <w:vAlign w:val="top"/>
          </w:tcPr>
          <w:p w14:paraId="338ED62A">
            <w:pPr>
              <w:spacing w:before="100" w:line="195" w:lineRule="auto"/>
              <w:ind w:left="48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478" w:type="dxa"/>
            <w:vAlign w:val="top"/>
          </w:tcPr>
          <w:p w14:paraId="4322DFC9">
            <w:pPr>
              <w:spacing w:before="100" w:line="195" w:lineRule="auto"/>
              <w:ind w:left="6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30</w:t>
            </w:r>
          </w:p>
        </w:tc>
        <w:tc>
          <w:tcPr>
            <w:tcW w:w="1102" w:type="dxa"/>
            <w:vAlign w:val="top"/>
          </w:tcPr>
          <w:p w14:paraId="61D26D84">
            <w:pPr>
              <w:spacing w:before="64" w:line="230" w:lineRule="auto"/>
              <w:ind w:left="360"/>
              <w:rPr>
                <w:rFonts w:ascii="宋体" w:hAnsi="宋体" w:eastAsia="宋体" w:cs="宋体"/>
                <w:sz w:val="20"/>
                <w:szCs w:val="20"/>
              </w:rPr>
            </w:pPr>
            <w:r>
              <w:rPr>
                <w:rFonts w:ascii="宋体" w:hAnsi="宋体" w:eastAsia="宋体" w:cs="宋体"/>
                <w:sz w:val="20"/>
                <w:szCs w:val="20"/>
              </w:rPr>
              <w:t>砖混</w:t>
            </w:r>
          </w:p>
        </w:tc>
        <w:tc>
          <w:tcPr>
            <w:tcW w:w="1306" w:type="dxa"/>
            <w:tcBorders>
              <w:right w:val="nil"/>
            </w:tcBorders>
            <w:vAlign w:val="top"/>
          </w:tcPr>
          <w:p w14:paraId="3501F2C0">
            <w:pPr>
              <w:spacing w:before="64" w:line="228" w:lineRule="auto"/>
              <w:ind w:left="465"/>
              <w:rPr>
                <w:rFonts w:ascii="宋体" w:hAnsi="宋体" w:eastAsia="宋体" w:cs="宋体"/>
                <w:sz w:val="20"/>
                <w:szCs w:val="20"/>
              </w:rPr>
            </w:pPr>
            <w:r>
              <w:rPr>
                <w:rFonts w:ascii="宋体" w:hAnsi="宋体" w:eastAsia="宋体" w:cs="宋体"/>
                <w:spacing w:val="-1"/>
                <w:sz w:val="20"/>
                <w:szCs w:val="20"/>
              </w:rPr>
              <w:t>生</w:t>
            </w:r>
            <w:r>
              <w:rPr>
                <w:rFonts w:ascii="宋体" w:hAnsi="宋体" w:eastAsia="宋体" w:cs="宋体"/>
                <w:sz w:val="20"/>
                <w:szCs w:val="20"/>
              </w:rPr>
              <w:t>产</w:t>
            </w:r>
          </w:p>
        </w:tc>
      </w:tr>
      <w:tr w14:paraId="09759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637" w:type="dxa"/>
            <w:tcBorders>
              <w:left w:val="nil"/>
            </w:tcBorders>
            <w:vAlign w:val="top"/>
          </w:tcPr>
          <w:p w14:paraId="15EB27EF">
            <w:pPr>
              <w:spacing w:before="101" w:line="195" w:lineRule="auto"/>
              <w:ind w:left="281"/>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478" w:type="dxa"/>
            <w:vAlign w:val="top"/>
          </w:tcPr>
          <w:p w14:paraId="080D382D">
            <w:pPr>
              <w:spacing w:before="65" w:line="229" w:lineRule="auto"/>
              <w:ind w:left="550"/>
              <w:rPr>
                <w:rFonts w:ascii="宋体" w:hAnsi="宋体" w:eastAsia="宋体" w:cs="宋体"/>
                <w:sz w:val="20"/>
                <w:szCs w:val="20"/>
              </w:rPr>
            </w:pPr>
            <w:r>
              <w:rPr>
                <w:rFonts w:ascii="宋体" w:hAnsi="宋体" w:eastAsia="宋体" w:cs="宋体"/>
                <w:sz w:val="20"/>
                <w:szCs w:val="20"/>
              </w:rPr>
              <w:t>合计</w:t>
            </w:r>
          </w:p>
        </w:tc>
        <w:tc>
          <w:tcPr>
            <w:tcW w:w="1488" w:type="dxa"/>
            <w:vAlign w:val="top"/>
          </w:tcPr>
          <w:p w14:paraId="2DE2293F">
            <w:pPr>
              <w:spacing w:before="101" w:line="195" w:lineRule="auto"/>
              <w:ind w:left="57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5"/>
                <w:sz w:val="20"/>
                <w:szCs w:val="20"/>
              </w:rPr>
              <w:t>600</w:t>
            </w:r>
          </w:p>
        </w:tc>
        <w:tc>
          <w:tcPr>
            <w:tcW w:w="1032" w:type="dxa"/>
            <w:vAlign w:val="top"/>
          </w:tcPr>
          <w:p w14:paraId="20BDD01F">
            <w:pPr>
              <w:spacing w:before="28" w:line="281" w:lineRule="exact"/>
              <w:ind w:left="48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78" w:type="dxa"/>
            <w:vAlign w:val="top"/>
          </w:tcPr>
          <w:p w14:paraId="6F8D13D7">
            <w:pPr>
              <w:spacing w:before="101" w:line="195" w:lineRule="auto"/>
              <w:ind w:left="563"/>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5"/>
                <w:sz w:val="20"/>
                <w:szCs w:val="20"/>
              </w:rPr>
              <w:t>600</w:t>
            </w:r>
          </w:p>
        </w:tc>
        <w:tc>
          <w:tcPr>
            <w:tcW w:w="1102" w:type="dxa"/>
            <w:vAlign w:val="top"/>
          </w:tcPr>
          <w:p w14:paraId="5C2599E8">
            <w:pPr>
              <w:spacing w:before="28" w:line="281" w:lineRule="exact"/>
              <w:ind w:left="52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306" w:type="dxa"/>
            <w:tcBorders>
              <w:right w:val="nil"/>
            </w:tcBorders>
            <w:vAlign w:val="top"/>
          </w:tcPr>
          <w:p w14:paraId="3FF4E159">
            <w:pPr>
              <w:spacing w:before="28" w:line="281" w:lineRule="exact"/>
              <w:ind w:left="625"/>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bl>
    <w:p w14:paraId="6B9FEE02">
      <w:pPr>
        <w:spacing w:line="270" w:lineRule="auto"/>
        <w:rPr>
          <w:rFonts w:ascii="Arial"/>
          <w:sz w:val="21"/>
        </w:rPr>
      </w:pPr>
    </w:p>
    <w:p w14:paraId="66D2F95F">
      <w:pPr>
        <w:spacing w:before="75" w:line="227" w:lineRule="auto"/>
        <w:ind w:left="579"/>
        <w:rPr>
          <w:rFonts w:ascii="宋体" w:hAnsi="宋体" w:eastAsia="宋体" w:cs="宋体"/>
          <w:sz w:val="23"/>
          <w:szCs w:val="23"/>
        </w:rPr>
      </w:pPr>
      <w:r>
        <w:rPr>
          <w:rFonts w:ascii="宋体" w:hAnsi="宋体" w:eastAsia="宋体" w:cs="宋体"/>
          <w:spacing w:val="-16"/>
          <w:sz w:val="23"/>
          <w:szCs w:val="23"/>
        </w:rPr>
        <w:t>项目</w:t>
      </w:r>
      <w:r>
        <w:rPr>
          <w:rFonts w:ascii="宋体" w:hAnsi="宋体" w:eastAsia="宋体" w:cs="宋体"/>
          <w:spacing w:val="-12"/>
          <w:sz w:val="23"/>
          <w:szCs w:val="23"/>
        </w:rPr>
        <w:t>主</w:t>
      </w:r>
      <w:r>
        <w:rPr>
          <w:rFonts w:ascii="宋体" w:hAnsi="宋体" w:eastAsia="宋体" w:cs="宋体"/>
          <w:spacing w:val="-8"/>
          <w:sz w:val="23"/>
          <w:szCs w:val="23"/>
        </w:rPr>
        <w:t xml:space="preserve">要建设内容为主体工程、配套工程、公用工程等，项目组成内容见表 </w:t>
      </w:r>
      <w:r>
        <w:rPr>
          <w:rFonts w:ascii="Times New Roman" w:hAnsi="Times New Roman" w:eastAsia="Times New Roman" w:cs="Times New Roman"/>
          <w:spacing w:val="-8"/>
          <w:sz w:val="23"/>
          <w:szCs w:val="23"/>
        </w:rPr>
        <w:t>3-3</w:t>
      </w:r>
      <w:r>
        <w:rPr>
          <w:rFonts w:ascii="宋体" w:hAnsi="宋体" w:eastAsia="宋体" w:cs="宋体"/>
          <w:spacing w:val="-8"/>
          <w:sz w:val="23"/>
          <w:szCs w:val="23"/>
        </w:rPr>
        <w:t>。</w:t>
      </w:r>
    </w:p>
    <w:p w14:paraId="26DB3D35">
      <w:pPr>
        <w:spacing w:line="288" w:lineRule="auto"/>
        <w:rPr>
          <w:rFonts w:ascii="Arial"/>
          <w:sz w:val="21"/>
        </w:rPr>
      </w:pPr>
    </w:p>
    <w:p w14:paraId="523036F7">
      <w:pPr>
        <w:spacing w:before="75" w:line="228" w:lineRule="auto"/>
        <w:ind w:left="2936"/>
        <w:rPr>
          <w:rFonts w:ascii="宋体" w:hAnsi="宋体" w:eastAsia="宋体" w:cs="宋体"/>
          <w:sz w:val="23"/>
          <w:szCs w:val="23"/>
        </w:rPr>
      </w:pPr>
      <w:r>
        <w:rPr>
          <w:rFonts w:ascii="宋体" w:hAnsi="宋体" w:eastAsia="宋体" w:cs="宋体"/>
          <w:spacing w:val="-2"/>
          <w:sz w:val="23"/>
          <w:szCs w:val="23"/>
          <w14:textOutline w14:w="4358" w14:cap="sq" w14:cmpd="sng">
            <w14:solidFill>
              <w14:srgbClr w14:val="000000"/>
            </w14:solidFill>
            <w14:prstDash w14:val="solid"/>
            <w14:bevel/>
          </w14:textOutline>
        </w:rPr>
        <w:t>表</w:t>
      </w:r>
      <w:r>
        <w:rPr>
          <w:rFonts w:ascii="宋体" w:hAnsi="宋体" w:eastAsia="宋体" w:cs="宋体"/>
          <w:spacing w:val="-2"/>
          <w:sz w:val="23"/>
          <w:szCs w:val="23"/>
        </w:rPr>
        <w:t xml:space="preserve"> </w:t>
      </w:r>
      <w:r>
        <w:rPr>
          <w:rFonts w:ascii="Times New Roman" w:hAnsi="Times New Roman" w:eastAsia="Times New Roman" w:cs="Times New Roman"/>
          <w:b/>
          <w:bCs/>
          <w:spacing w:val="-2"/>
          <w:sz w:val="23"/>
          <w:szCs w:val="23"/>
        </w:rPr>
        <w:t>3-3</w:t>
      </w:r>
      <w:r>
        <w:rPr>
          <w:rFonts w:ascii="Times New Roman" w:hAnsi="Times New Roman" w:eastAsia="Times New Roman" w:cs="Times New Roman"/>
          <w:spacing w:val="-2"/>
          <w:sz w:val="23"/>
          <w:szCs w:val="23"/>
        </w:rPr>
        <w:t xml:space="preserve">     </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14:textOutline w14:w="4358" w14:cap="sq" w14:cmpd="sng">
            <w14:solidFill>
              <w14:srgbClr w14:val="000000"/>
            </w14:solidFill>
            <w14:prstDash w14:val="solid"/>
            <w14:bevel/>
          </w14:textOutline>
        </w:rPr>
        <w:t>项目组成一览表</w:t>
      </w:r>
    </w:p>
    <w:p w14:paraId="27B43621">
      <w:pPr>
        <w:spacing w:line="17" w:lineRule="exact"/>
      </w:pPr>
    </w:p>
    <w:tbl>
      <w:tblPr>
        <w:tblStyle w:val="4"/>
        <w:tblW w:w="8352" w:type="dxa"/>
        <w:tblInd w:w="6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21"/>
        <w:gridCol w:w="1276"/>
        <w:gridCol w:w="6555"/>
      </w:tblGrid>
      <w:tr w14:paraId="38D837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797" w:type="dxa"/>
            <w:gridSpan w:val="2"/>
            <w:tcBorders>
              <w:left w:val="nil"/>
            </w:tcBorders>
            <w:vAlign w:val="top"/>
          </w:tcPr>
          <w:p w14:paraId="44524220">
            <w:pPr>
              <w:spacing w:before="85" w:line="228" w:lineRule="auto"/>
              <w:ind w:left="513"/>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工程</w:t>
            </w:r>
            <w:r>
              <w:rPr>
                <w:rFonts w:ascii="宋体" w:hAnsi="宋体" w:eastAsia="宋体" w:cs="宋体"/>
                <w:spacing w:val="-1"/>
                <w:sz w:val="20"/>
                <w:szCs w:val="20"/>
                <w14:textOutline w14:w="3795" w14:cap="sq" w14:cmpd="sng">
                  <w14:solidFill>
                    <w14:srgbClr w14:val="000000"/>
                  </w14:solidFill>
                  <w14:prstDash w14:val="solid"/>
                  <w14:bevel/>
                </w14:textOutline>
              </w:rPr>
              <w:t>类别</w:t>
            </w:r>
          </w:p>
        </w:tc>
        <w:tc>
          <w:tcPr>
            <w:tcW w:w="6555" w:type="dxa"/>
            <w:tcBorders>
              <w:right w:val="nil"/>
            </w:tcBorders>
            <w:vAlign w:val="top"/>
          </w:tcPr>
          <w:p w14:paraId="72C6922E">
            <w:pPr>
              <w:spacing w:before="85" w:line="228" w:lineRule="auto"/>
              <w:ind w:left="2595"/>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建设内容及规</w:t>
            </w:r>
            <w:r>
              <w:rPr>
                <w:rFonts w:ascii="宋体" w:hAnsi="宋体" w:eastAsia="宋体" w:cs="宋体"/>
                <w:spacing w:val="-1"/>
                <w:sz w:val="20"/>
                <w:szCs w:val="20"/>
                <w14:textOutline w14:w="3795" w14:cap="sq" w14:cmpd="sng">
                  <w14:solidFill>
                    <w14:srgbClr w14:val="000000"/>
                  </w14:solidFill>
                  <w14:prstDash w14:val="solid"/>
                  <w14:bevel/>
                </w14:textOutline>
              </w:rPr>
              <w:t>模</w:t>
            </w:r>
          </w:p>
        </w:tc>
      </w:tr>
      <w:tr w14:paraId="599839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0" w:hRule="atLeast"/>
        </w:trPr>
        <w:tc>
          <w:tcPr>
            <w:tcW w:w="521" w:type="dxa"/>
            <w:tcBorders>
              <w:left w:val="nil"/>
            </w:tcBorders>
            <w:vAlign w:val="top"/>
          </w:tcPr>
          <w:p w14:paraId="4ADDD083">
            <w:pPr>
              <w:spacing w:line="344" w:lineRule="auto"/>
              <w:rPr>
                <w:rFonts w:ascii="Arial"/>
                <w:sz w:val="21"/>
              </w:rPr>
            </w:pPr>
          </w:p>
          <w:p w14:paraId="3819FE56">
            <w:pPr>
              <w:spacing w:line="345" w:lineRule="auto"/>
              <w:rPr>
                <w:rFonts w:ascii="Arial"/>
                <w:sz w:val="21"/>
              </w:rPr>
            </w:pPr>
          </w:p>
          <w:p w14:paraId="70C43D89">
            <w:pPr>
              <w:spacing w:before="65" w:line="265" w:lineRule="auto"/>
              <w:ind w:left="73" w:right="48"/>
              <w:rPr>
                <w:rFonts w:ascii="宋体" w:hAnsi="宋体" w:eastAsia="宋体" w:cs="宋体"/>
                <w:sz w:val="20"/>
                <w:szCs w:val="20"/>
              </w:rPr>
            </w:pPr>
            <w:r>
              <w:rPr>
                <w:rFonts w:ascii="宋体" w:hAnsi="宋体" w:eastAsia="宋体" w:cs="宋体"/>
                <w:spacing w:val="-3"/>
                <w:sz w:val="20"/>
                <w:szCs w:val="20"/>
              </w:rPr>
              <w:t>主</w:t>
            </w:r>
            <w:r>
              <w:rPr>
                <w:rFonts w:ascii="宋体" w:hAnsi="宋体" w:eastAsia="宋体" w:cs="宋体"/>
                <w:spacing w:val="-2"/>
                <w:sz w:val="20"/>
                <w:szCs w:val="20"/>
              </w:rPr>
              <w:t>体</w:t>
            </w:r>
            <w:r>
              <w:rPr>
                <w:rFonts w:ascii="宋体" w:hAnsi="宋体" w:eastAsia="宋体" w:cs="宋体"/>
                <w:sz w:val="20"/>
                <w:szCs w:val="20"/>
              </w:rPr>
              <w:t xml:space="preserve"> </w:t>
            </w:r>
            <w:r>
              <w:rPr>
                <w:rFonts w:ascii="宋体" w:hAnsi="宋体" w:eastAsia="宋体" w:cs="宋体"/>
                <w:spacing w:val="-3"/>
                <w:sz w:val="20"/>
                <w:szCs w:val="20"/>
              </w:rPr>
              <w:t>工</w:t>
            </w:r>
            <w:r>
              <w:rPr>
                <w:rFonts w:ascii="宋体" w:hAnsi="宋体" w:eastAsia="宋体" w:cs="宋体"/>
                <w:spacing w:val="-2"/>
                <w:sz w:val="20"/>
                <w:szCs w:val="20"/>
              </w:rPr>
              <w:t>程</w:t>
            </w:r>
          </w:p>
        </w:tc>
        <w:tc>
          <w:tcPr>
            <w:tcW w:w="1276" w:type="dxa"/>
            <w:vAlign w:val="top"/>
          </w:tcPr>
          <w:p w14:paraId="7A0F36D1">
            <w:pPr>
              <w:spacing w:line="274" w:lineRule="auto"/>
              <w:rPr>
                <w:rFonts w:ascii="Arial"/>
                <w:sz w:val="21"/>
              </w:rPr>
            </w:pPr>
          </w:p>
          <w:p w14:paraId="51950191">
            <w:pPr>
              <w:spacing w:line="275" w:lineRule="auto"/>
              <w:rPr>
                <w:rFonts w:ascii="Arial"/>
                <w:sz w:val="21"/>
              </w:rPr>
            </w:pPr>
          </w:p>
          <w:p w14:paraId="4984B7CA">
            <w:pPr>
              <w:spacing w:line="275" w:lineRule="auto"/>
              <w:rPr>
                <w:rFonts w:ascii="Arial"/>
                <w:sz w:val="21"/>
              </w:rPr>
            </w:pPr>
          </w:p>
          <w:p w14:paraId="0AFF5EC8">
            <w:pPr>
              <w:spacing w:before="65" w:line="228" w:lineRule="auto"/>
              <w:ind w:left="253"/>
              <w:rPr>
                <w:rFonts w:ascii="宋体" w:hAnsi="宋体" w:eastAsia="宋体" w:cs="宋体"/>
                <w:sz w:val="20"/>
                <w:szCs w:val="20"/>
              </w:rPr>
            </w:pPr>
            <w:r>
              <w:rPr>
                <w:rFonts w:ascii="宋体" w:hAnsi="宋体" w:eastAsia="宋体" w:cs="宋体"/>
                <w:spacing w:val="-2"/>
                <w:sz w:val="20"/>
                <w:szCs w:val="20"/>
              </w:rPr>
              <w:t>生产厂房</w:t>
            </w:r>
          </w:p>
        </w:tc>
        <w:tc>
          <w:tcPr>
            <w:tcW w:w="6555" w:type="dxa"/>
            <w:tcBorders>
              <w:right w:val="nil"/>
            </w:tcBorders>
            <w:vAlign w:val="top"/>
          </w:tcPr>
          <w:p w14:paraId="69C7219F">
            <w:pPr>
              <w:spacing w:before="63" w:line="294" w:lineRule="auto"/>
              <w:ind w:left="45" w:firstLine="16"/>
              <w:rPr>
                <w:rFonts w:ascii="宋体" w:hAnsi="宋体" w:eastAsia="宋体" w:cs="宋体"/>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4"/>
                <w:sz w:val="20"/>
                <w:szCs w:val="20"/>
              </w:rPr>
              <w:t>F</w:t>
            </w:r>
            <w:r>
              <w:rPr>
                <w:rFonts w:ascii="Times New Roman" w:hAnsi="Times New Roman" w:eastAsia="Times New Roman" w:cs="Times New Roman"/>
                <w:spacing w:val="-8"/>
                <w:sz w:val="20"/>
                <w:szCs w:val="20"/>
              </w:rPr>
              <w:t xml:space="preserve"> </w:t>
            </w:r>
            <w:r>
              <w:rPr>
                <w:rFonts w:ascii="宋体" w:hAnsi="宋体" w:eastAsia="宋体" w:cs="宋体"/>
                <w:spacing w:val="-8"/>
                <w:sz w:val="20"/>
                <w:szCs w:val="20"/>
              </w:rPr>
              <w:t>封闭厂</w:t>
            </w:r>
            <w:r>
              <w:rPr>
                <w:rFonts w:ascii="宋体" w:hAnsi="宋体" w:eastAsia="宋体" w:cs="宋体"/>
                <w:spacing w:val="-4"/>
                <w:sz w:val="20"/>
                <w:szCs w:val="20"/>
              </w:rPr>
              <w:t>房，</w:t>
            </w:r>
            <w:r>
              <w:rPr>
                <w:rFonts w:ascii="Times New Roman" w:hAnsi="Times New Roman" w:eastAsia="Times New Roman" w:cs="Times New Roman"/>
                <w:spacing w:val="-4"/>
                <w:sz w:val="20"/>
                <w:szCs w:val="20"/>
              </w:rPr>
              <w:t xml:space="preserve">1 </w:t>
            </w:r>
            <w:r>
              <w:rPr>
                <w:rFonts w:ascii="宋体" w:hAnsi="宋体" w:eastAsia="宋体" w:cs="宋体"/>
                <w:spacing w:val="-4"/>
                <w:sz w:val="20"/>
                <w:szCs w:val="20"/>
              </w:rPr>
              <w:t xml:space="preserve">栋，砖混结构，建筑面积 </w:t>
            </w:r>
            <w:r>
              <w:rPr>
                <w:rFonts w:ascii="Times New Roman" w:hAnsi="Times New Roman" w:eastAsia="Times New Roman" w:cs="Times New Roman"/>
                <w:spacing w:val="-4"/>
                <w:sz w:val="20"/>
                <w:szCs w:val="20"/>
              </w:rPr>
              <w:t>600m</w:t>
            </w:r>
            <w:r>
              <w:rPr>
                <w:rFonts w:ascii="Times New Roman" w:hAnsi="Times New Roman" w:eastAsia="Times New Roman" w:cs="Times New Roman"/>
                <w:spacing w:val="-4"/>
                <w:position w:val="6"/>
                <w:sz w:val="13"/>
                <w:szCs w:val="13"/>
              </w:rPr>
              <w:t xml:space="preserve">2 </w:t>
            </w:r>
            <w:r>
              <w:rPr>
                <w:rFonts w:ascii="宋体" w:hAnsi="宋体" w:eastAsia="宋体" w:cs="宋体"/>
                <w:spacing w:val="-4"/>
                <w:sz w:val="20"/>
                <w:szCs w:val="20"/>
              </w:rPr>
              <w:t xml:space="preserve">，内设 </w:t>
            </w:r>
            <w:r>
              <w:rPr>
                <w:rFonts w:ascii="Times New Roman" w:hAnsi="Times New Roman" w:eastAsia="Times New Roman" w:cs="Times New Roman"/>
                <w:spacing w:val="-4"/>
                <w:sz w:val="20"/>
                <w:szCs w:val="20"/>
              </w:rPr>
              <w:t xml:space="preserve">10 </w:t>
            </w:r>
            <w:r>
              <w:rPr>
                <w:rFonts w:ascii="宋体" w:hAnsi="宋体" w:eastAsia="宋体" w:cs="宋体"/>
                <w:spacing w:val="-4"/>
                <w:sz w:val="20"/>
                <w:szCs w:val="20"/>
              </w:rPr>
              <w:t>条废旧塑料加工</w:t>
            </w:r>
            <w:r>
              <w:rPr>
                <w:rFonts w:ascii="宋体" w:hAnsi="宋体" w:eastAsia="宋体" w:cs="宋体"/>
                <w:sz w:val="20"/>
                <w:szCs w:val="20"/>
              </w:rPr>
              <w:t xml:space="preserve"> </w:t>
            </w:r>
            <w:r>
              <w:rPr>
                <w:rFonts w:ascii="宋体" w:hAnsi="宋体" w:eastAsia="宋体" w:cs="宋体"/>
                <w:spacing w:val="-10"/>
                <w:sz w:val="20"/>
                <w:szCs w:val="20"/>
              </w:rPr>
              <w:t>生</w:t>
            </w:r>
            <w:r>
              <w:rPr>
                <w:rFonts w:ascii="宋体" w:hAnsi="宋体" w:eastAsia="宋体" w:cs="宋体"/>
                <w:spacing w:val="-9"/>
                <w:sz w:val="20"/>
                <w:szCs w:val="20"/>
              </w:rPr>
              <w:t xml:space="preserve">产线，预计年产废旧塑料再生颗粒 </w:t>
            </w:r>
            <w:r>
              <w:rPr>
                <w:rFonts w:ascii="Times New Roman" w:hAnsi="Times New Roman" w:eastAsia="Times New Roman" w:cs="Times New Roman"/>
                <w:spacing w:val="-9"/>
                <w:sz w:val="20"/>
                <w:szCs w:val="20"/>
              </w:rPr>
              <w:t xml:space="preserve">50000 </w:t>
            </w:r>
            <w:r>
              <w:rPr>
                <w:rFonts w:ascii="宋体" w:hAnsi="宋体" w:eastAsia="宋体" w:cs="宋体"/>
                <w:spacing w:val="-9"/>
                <w:sz w:val="20"/>
                <w:szCs w:val="20"/>
              </w:rPr>
              <w:t>吨，主要设备为喂料机、粉碎机、</w:t>
            </w:r>
            <w:r>
              <w:rPr>
                <w:rFonts w:ascii="宋体" w:hAnsi="宋体" w:eastAsia="宋体" w:cs="宋体"/>
                <w:sz w:val="20"/>
                <w:szCs w:val="20"/>
              </w:rPr>
              <w:t xml:space="preserve"> </w:t>
            </w:r>
            <w:r>
              <w:rPr>
                <w:rFonts w:ascii="宋体" w:hAnsi="宋体" w:eastAsia="宋体" w:cs="宋体"/>
                <w:spacing w:val="-6"/>
                <w:sz w:val="20"/>
                <w:szCs w:val="20"/>
              </w:rPr>
              <w:t xml:space="preserve">洗料机、吸料机、挤出机、制粒机、输送带等；生产厂房内东北侧设有 </w:t>
            </w:r>
            <w:r>
              <w:rPr>
                <w:rFonts w:ascii="Times New Roman" w:hAnsi="Times New Roman" w:eastAsia="Times New Roman" w:cs="Times New Roman"/>
                <w:spacing w:val="-6"/>
                <w:sz w:val="20"/>
                <w:szCs w:val="20"/>
              </w:rPr>
              <w:t xml:space="preserve">1 </w:t>
            </w:r>
            <w:r>
              <w:rPr>
                <w:rFonts w:ascii="宋体" w:hAnsi="宋体" w:eastAsia="宋体" w:cs="宋体"/>
                <w:sz w:val="20"/>
                <w:szCs w:val="20"/>
              </w:rPr>
              <w:t xml:space="preserve">间 </w:t>
            </w:r>
            <w:r>
              <w:rPr>
                <w:rFonts w:ascii="宋体" w:hAnsi="宋体" w:eastAsia="宋体" w:cs="宋体"/>
                <w:spacing w:val="-10"/>
                <w:sz w:val="20"/>
                <w:szCs w:val="20"/>
              </w:rPr>
              <w:t>建</w:t>
            </w:r>
            <w:r>
              <w:rPr>
                <w:rFonts w:ascii="宋体" w:hAnsi="宋体" w:eastAsia="宋体" w:cs="宋体"/>
                <w:spacing w:val="-8"/>
                <w:sz w:val="20"/>
                <w:szCs w:val="20"/>
              </w:rPr>
              <w:t>筑</w:t>
            </w:r>
            <w:r>
              <w:rPr>
                <w:rFonts w:ascii="宋体" w:hAnsi="宋体" w:eastAsia="宋体" w:cs="宋体"/>
                <w:spacing w:val="-5"/>
                <w:sz w:val="20"/>
                <w:szCs w:val="20"/>
              </w:rPr>
              <w:t xml:space="preserve">面积为 </w:t>
            </w:r>
            <w:r>
              <w:rPr>
                <w:rFonts w:ascii="Times New Roman" w:hAnsi="Times New Roman" w:eastAsia="Times New Roman" w:cs="Times New Roman"/>
                <w:spacing w:val="-5"/>
                <w:sz w:val="20"/>
                <w:szCs w:val="20"/>
              </w:rPr>
              <w:t>30m</w:t>
            </w:r>
            <w:r>
              <w:rPr>
                <w:rFonts w:ascii="Times New Roman" w:hAnsi="Times New Roman" w:eastAsia="Times New Roman" w:cs="Times New Roman"/>
                <w:spacing w:val="-5"/>
                <w:position w:val="6"/>
                <w:sz w:val="13"/>
                <w:szCs w:val="13"/>
              </w:rPr>
              <w:t xml:space="preserve">2 </w:t>
            </w:r>
            <w:r>
              <w:rPr>
                <w:rFonts w:ascii="宋体" w:hAnsi="宋体" w:eastAsia="宋体" w:cs="宋体"/>
                <w:spacing w:val="-5"/>
                <w:sz w:val="20"/>
                <w:szCs w:val="20"/>
              </w:rPr>
              <w:t xml:space="preserve">的锅炉房，内设 </w:t>
            </w:r>
            <w:r>
              <w:rPr>
                <w:rFonts w:ascii="Times New Roman" w:hAnsi="Times New Roman" w:eastAsia="Times New Roman" w:cs="Times New Roman"/>
                <w:spacing w:val="-5"/>
                <w:sz w:val="20"/>
                <w:szCs w:val="20"/>
              </w:rPr>
              <w:t xml:space="preserve">1 </w:t>
            </w:r>
            <w:r>
              <w:rPr>
                <w:rFonts w:ascii="宋体" w:hAnsi="宋体" w:eastAsia="宋体" w:cs="宋体"/>
                <w:spacing w:val="-5"/>
                <w:sz w:val="20"/>
                <w:szCs w:val="20"/>
              </w:rPr>
              <w:t xml:space="preserve">台 </w:t>
            </w:r>
            <w:r>
              <w:rPr>
                <w:rFonts w:ascii="Times New Roman" w:hAnsi="Times New Roman" w:eastAsia="Times New Roman" w:cs="Times New Roman"/>
                <w:spacing w:val="-5"/>
                <w:sz w:val="20"/>
                <w:szCs w:val="20"/>
              </w:rPr>
              <w:t xml:space="preserve">2t/h </w:t>
            </w:r>
            <w:r>
              <w:rPr>
                <w:rFonts w:ascii="宋体" w:hAnsi="宋体" w:eastAsia="宋体" w:cs="宋体"/>
                <w:spacing w:val="-5"/>
                <w:sz w:val="20"/>
                <w:szCs w:val="20"/>
              </w:rPr>
              <w:t>的热风炉，用于洗字槽加热，热</w:t>
            </w:r>
            <w:r>
              <w:rPr>
                <w:rFonts w:ascii="宋体" w:hAnsi="宋体" w:eastAsia="宋体" w:cs="宋体"/>
                <w:sz w:val="20"/>
                <w:szCs w:val="20"/>
              </w:rPr>
              <w:t xml:space="preserve"> </w:t>
            </w:r>
            <w:r>
              <w:rPr>
                <w:rFonts w:ascii="宋体" w:hAnsi="宋体" w:eastAsia="宋体" w:cs="宋体"/>
                <w:spacing w:val="-10"/>
                <w:sz w:val="20"/>
                <w:szCs w:val="20"/>
              </w:rPr>
              <w:t>风炉所</w:t>
            </w:r>
            <w:r>
              <w:rPr>
                <w:rFonts w:ascii="宋体" w:hAnsi="宋体" w:eastAsia="宋体" w:cs="宋体"/>
                <w:spacing w:val="-6"/>
                <w:sz w:val="20"/>
                <w:szCs w:val="20"/>
              </w:rPr>
              <w:t>用</w:t>
            </w:r>
            <w:r>
              <w:rPr>
                <w:rFonts w:ascii="宋体" w:hAnsi="宋体" w:eastAsia="宋体" w:cs="宋体"/>
                <w:spacing w:val="-5"/>
                <w:sz w:val="20"/>
                <w:szCs w:val="20"/>
              </w:rPr>
              <w:t xml:space="preserve">生物质燃料均为袋装，单袋重量为 </w:t>
            </w:r>
            <w:r>
              <w:rPr>
                <w:rFonts w:ascii="Times New Roman" w:hAnsi="Times New Roman" w:eastAsia="Times New Roman" w:cs="Times New Roman"/>
                <w:spacing w:val="-5"/>
                <w:sz w:val="20"/>
                <w:szCs w:val="20"/>
              </w:rPr>
              <w:t xml:space="preserve">50kg </w:t>
            </w:r>
            <w:r>
              <w:rPr>
                <w:rFonts w:ascii="宋体" w:hAnsi="宋体" w:eastAsia="宋体" w:cs="宋体"/>
                <w:spacing w:val="-5"/>
                <w:sz w:val="20"/>
                <w:szCs w:val="20"/>
              </w:rPr>
              <w:t>(固态) ，生物质燃料均存</w:t>
            </w:r>
            <w:r>
              <w:rPr>
                <w:rFonts w:ascii="宋体" w:hAnsi="宋体" w:eastAsia="宋体" w:cs="宋体"/>
                <w:sz w:val="20"/>
                <w:szCs w:val="20"/>
              </w:rPr>
              <w:t xml:space="preserve"> </w:t>
            </w:r>
            <w:r>
              <w:rPr>
                <w:rFonts w:ascii="宋体" w:hAnsi="宋体" w:eastAsia="宋体" w:cs="宋体"/>
                <w:spacing w:val="-6"/>
                <w:sz w:val="20"/>
                <w:szCs w:val="20"/>
              </w:rPr>
              <w:t>放</w:t>
            </w:r>
            <w:r>
              <w:rPr>
                <w:rFonts w:ascii="宋体" w:hAnsi="宋体" w:eastAsia="宋体" w:cs="宋体"/>
                <w:spacing w:val="-4"/>
                <w:sz w:val="20"/>
                <w:szCs w:val="20"/>
              </w:rPr>
              <w:t>于</w:t>
            </w:r>
            <w:r>
              <w:rPr>
                <w:rFonts w:ascii="宋体" w:hAnsi="宋体" w:eastAsia="宋体" w:cs="宋体"/>
                <w:spacing w:val="-3"/>
                <w:sz w:val="20"/>
                <w:szCs w:val="20"/>
              </w:rPr>
              <w:t>锅炉房内。</w:t>
            </w:r>
          </w:p>
        </w:tc>
      </w:tr>
      <w:tr w14:paraId="29C377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521" w:type="dxa"/>
            <w:vMerge w:val="restart"/>
            <w:tcBorders>
              <w:left w:val="nil"/>
              <w:bottom w:val="nil"/>
            </w:tcBorders>
            <w:vAlign w:val="top"/>
          </w:tcPr>
          <w:p w14:paraId="205FFB1C">
            <w:pPr>
              <w:spacing w:before="100" w:line="267" w:lineRule="auto"/>
              <w:ind w:left="73" w:right="48"/>
              <w:rPr>
                <w:rFonts w:ascii="宋体" w:hAnsi="宋体" w:eastAsia="宋体" w:cs="宋体"/>
                <w:sz w:val="20"/>
                <w:szCs w:val="20"/>
              </w:rPr>
            </w:pPr>
            <w:r>
              <w:rPr>
                <w:rFonts w:ascii="宋体" w:hAnsi="宋体" w:eastAsia="宋体" w:cs="宋体"/>
                <w:spacing w:val="-3"/>
                <w:sz w:val="20"/>
                <w:szCs w:val="20"/>
              </w:rPr>
              <w:t>辅</w:t>
            </w:r>
            <w:r>
              <w:rPr>
                <w:rFonts w:ascii="宋体" w:hAnsi="宋体" w:eastAsia="宋体" w:cs="宋体"/>
                <w:spacing w:val="-2"/>
                <w:sz w:val="20"/>
                <w:szCs w:val="20"/>
              </w:rPr>
              <w:t>助</w:t>
            </w:r>
            <w:r>
              <w:rPr>
                <w:rFonts w:ascii="宋体" w:hAnsi="宋体" w:eastAsia="宋体" w:cs="宋体"/>
                <w:sz w:val="20"/>
                <w:szCs w:val="20"/>
              </w:rPr>
              <w:t xml:space="preserve"> </w:t>
            </w:r>
            <w:r>
              <w:rPr>
                <w:rFonts w:ascii="宋体" w:hAnsi="宋体" w:eastAsia="宋体" w:cs="宋体"/>
                <w:spacing w:val="-3"/>
                <w:sz w:val="20"/>
                <w:szCs w:val="20"/>
              </w:rPr>
              <w:t>工</w:t>
            </w:r>
            <w:r>
              <w:rPr>
                <w:rFonts w:ascii="宋体" w:hAnsi="宋体" w:eastAsia="宋体" w:cs="宋体"/>
                <w:spacing w:val="-2"/>
                <w:sz w:val="20"/>
                <w:szCs w:val="20"/>
              </w:rPr>
              <w:t>程</w:t>
            </w:r>
          </w:p>
        </w:tc>
        <w:tc>
          <w:tcPr>
            <w:tcW w:w="1276" w:type="dxa"/>
            <w:vAlign w:val="top"/>
          </w:tcPr>
          <w:p w14:paraId="1831F7F1">
            <w:pPr>
              <w:spacing w:before="65" w:line="228" w:lineRule="auto"/>
              <w:ind w:left="354"/>
              <w:rPr>
                <w:rFonts w:ascii="宋体" w:hAnsi="宋体" w:eastAsia="宋体" w:cs="宋体"/>
                <w:sz w:val="20"/>
                <w:szCs w:val="20"/>
              </w:rPr>
            </w:pPr>
            <w:r>
              <w:rPr>
                <w:rFonts w:ascii="宋体" w:hAnsi="宋体" w:eastAsia="宋体" w:cs="宋体"/>
                <w:spacing w:val="-3"/>
                <w:sz w:val="20"/>
                <w:szCs w:val="20"/>
              </w:rPr>
              <w:t>办</w:t>
            </w:r>
            <w:r>
              <w:rPr>
                <w:rFonts w:ascii="宋体" w:hAnsi="宋体" w:eastAsia="宋体" w:cs="宋体"/>
                <w:spacing w:val="-2"/>
                <w:sz w:val="20"/>
                <w:szCs w:val="20"/>
              </w:rPr>
              <w:t>公室</w:t>
            </w:r>
          </w:p>
        </w:tc>
        <w:tc>
          <w:tcPr>
            <w:tcW w:w="6555" w:type="dxa"/>
            <w:tcBorders>
              <w:right w:val="nil"/>
            </w:tcBorders>
            <w:vAlign w:val="top"/>
          </w:tcPr>
          <w:p w14:paraId="1464B34C">
            <w:pPr>
              <w:spacing w:before="65" w:line="228" w:lineRule="auto"/>
              <w:ind w:left="46"/>
              <w:rPr>
                <w:rFonts w:ascii="宋体" w:hAnsi="宋体" w:eastAsia="宋体" w:cs="宋体"/>
                <w:sz w:val="20"/>
                <w:szCs w:val="20"/>
              </w:rPr>
            </w:pPr>
            <w:r>
              <w:rPr>
                <w:rFonts w:ascii="宋体" w:hAnsi="宋体" w:eastAsia="宋体" w:cs="宋体"/>
                <w:spacing w:val="-6"/>
                <w:sz w:val="20"/>
                <w:szCs w:val="20"/>
              </w:rPr>
              <w:t>位</w:t>
            </w:r>
            <w:r>
              <w:rPr>
                <w:rFonts w:ascii="宋体" w:hAnsi="宋体" w:eastAsia="宋体" w:cs="宋体"/>
                <w:spacing w:val="-4"/>
                <w:sz w:val="20"/>
                <w:szCs w:val="20"/>
              </w:rPr>
              <w:t>于生产厂房西北侧，</w:t>
            </w:r>
            <w:r>
              <w:rPr>
                <w:rFonts w:ascii="Times New Roman" w:hAnsi="Times New Roman" w:eastAsia="Times New Roman" w:cs="Times New Roman"/>
                <w:spacing w:val="-4"/>
                <w:sz w:val="20"/>
                <w:szCs w:val="20"/>
              </w:rPr>
              <w:t xml:space="preserve">1 </w:t>
            </w:r>
            <w:r>
              <w:rPr>
                <w:rFonts w:ascii="宋体" w:hAnsi="宋体" w:eastAsia="宋体" w:cs="宋体"/>
                <w:spacing w:val="-4"/>
                <w:sz w:val="20"/>
                <w:szCs w:val="20"/>
              </w:rPr>
              <w:t>层，</w:t>
            </w:r>
            <w:r>
              <w:rPr>
                <w:rFonts w:ascii="Times New Roman" w:hAnsi="Times New Roman" w:eastAsia="Times New Roman" w:cs="Times New Roman"/>
                <w:spacing w:val="-4"/>
                <w:sz w:val="20"/>
                <w:szCs w:val="20"/>
              </w:rPr>
              <w:t xml:space="preserve">1 </w:t>
            </w:r>
            <w:r>
              <w:rPr>
                <w:rFonts w:ascii="宋体" w:hAnsi="宋体" w:eastAsia="宋体" w:cs="宋体"/>
                <w:spacing w:val="-4"/>
                <w:sz w:val="20"/>
                <w:szCs w:val="20"/>
              </w:rPr>
              <w:t xml:space="preserve">栋，砖混结构，建筑面积 </w:t>
            </w:r>
            <w:r>
              <w:rPr>
                <w:rFonts w:ascii="Times New Roman" w:hAnsi="Times New Roman" w:eastAsia="Times New Roman" w:cs="Times New Roman"/>
                <w:spacing w:val="-4"/>
                <w:sz w:val="20"/>
                <w:szCs w:val="20"/>
              </w:rPr>
              <w:t>245m</w:t>
            </w:r>
            <w:r>
              <w:rPr>
                <w:rFonts w:ascii="Times New Roman" w:hAnsi="Times New Roman" w:eastAsia="Times New Roman" w:cs="Times New Roman"/>
                <w:spacing w:val="-4"/>
                <w:position w:val="6"/>
                <w:sz w:val="13"/>
                <w:szCs w:val="13"/>
              </w:rPr>
              <w:t>2</w:t>
            </w:r>
            <w:r>
              <w:rPr>
                <w:rFonts w:ascii="宋体" w:hAnsi="宋体" w:eastAsia="宋体" w:cs="宋体"/>
                <w:spacing w:val="-4"/>
                <w:sz w:val="20"/>
                <w:szCs w:val="20"/>
              </w:rPr>
              <w:t>。</w:t>
            </w:r>
          </w:p>
        </w:tc>
      </w:tr>
      <w:tr w14:paraId="358E40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521" w:type="dxa"/>
            <w:vMerge w:val="continue"/>
            <w:tcBorders>
              <w:top w:val="nil"/>
              <w:left w:val="nil"/>
            </w:tcBorders>
            <w:vAlign w:val="top"/>
          </w:tcPr>
          <w:p w14:paraId="57A621DD">
            <w:pPr>
              <w:rPr>
                <w:rFonts w:ascii="Arial"/>
                <w:sz w:val="21"/>
              </w:rPr>
            </w:pPr>
          </w:p>
        </w:tc>
        <w:tc>
          <w:tcPr>
            <w:tcW w:w="1276" w:type="dxa"/>
            <w:vAlign w:val="top"/>
          </w:tcPr>
          <w:p w14:paraId="4B188F21">
            <w:pPr>
              <w:spacing w:before="29" w:line="281" w:lineRule="exact"/>
              <w:ind w:left="71"/>
              <w:rPr>
                <w:rFonts w:ascii="宋体" w:hAnsi="宋体" w:eastAsia="宋体" w:cs="宋体"/>
                <w:sz w:val="20"/>
                <w:szCs w:val="20"/>
              </w:rPr>
            </w:pPr>
            <w:r>
              <w:rPr>
                <w:rFonts w:ascii="Times New Roman" w:hAnsi="Times New Roman" w:eastAsia="Times New Roman" w:cs="Times New Roman"/>
                <w:spacing w:val="-5"/>
                <w:position w:val="1"/>
                <w:sz w:val="20"/>
                <w:szCs w:val="20"/>
              </w:rPr>
              <w:t>1</w:t>
            </w:r>
            <w:r>
              <w:rPr>
                <w:rFonts w:ascii="Times New Roman" w:hAnsi="Times New Roman" w:eastAsia="Times New Roman" w:cs="Times New Roman"/>
                <w:spacing w:val="-4"/>
                <w:position w:val="1"/>
                <w:sz w:val="20"/>
                <w:szCs w:val="20"/>
              </w:rPr>
              <w:t>#</w:t>
            </w:r>
            <w:r>
              <w:rPr>
                <w:rFonts w:ascii="宋体" w:hAnsi="宋体" w:eastAsia="宋体" w:cs="宋体"/>
                <w:spacing w:val="-4"/>
                <w:position w:val="1"/>
                <w:sz w:val="20"/>
                <w:szCs w:val="20"/>
              </w:rPr>
              <w:t>员工休息室</w:t>
            </w:r>
          </w:p>
        </w:tc>
        <w:tc>
          <w:tcPr>
            <w:tcW w:w="6555" w:type="dxa"/>
            <w:tcBorders>
              <w:right w:val="nil"/>
            </w:tcBorders>
            <w:vAlign w:val="top"/>
          </w:tcPr>
          <w:p w14:paraId="2F23462E">
            <w:pPr>
              <w:spacing w:before="66" w:line="228" w:lineRule="auto"/>
              <w:ind w:left="46"/>
              <w:rPr>
                <w:rFonts w:ascii="宋体" w:hAnsi="宋体" w:eastAsia="宋体" w:cs="宋体"/>
                <w:sz w:val="20"/>
                <w:szCs w:val="20"/>
              </w:rPr>
            </w:pPr>
            <w:r>
              <w:rPr>
                <w:rFonts w:ascii="宋体" w:hAnsi="宋体" w:eastAsia="宋体" w:cs="宋体"/>
                <w:spacing w:val="-6"/>
                <w:sz w:val="20"/>
                <w:szCs w:val="20"/>
              </w:rPr>
              <w:t>位</w:t>
            </w:r>
            <w:r>
              <w:rPr>
                <w:rFonts w:ascii="宋体" w:hAnsi="宋体" w:eastAsia="宋体" w:cs="宋体"/>
                <w:spacing w:val="-4"/>
                <w:sz w:val="20"/>
                <w:szCs w:val="20"/>
              </w:rPr>
              <w:t>于生产厂房西侧，</w:t>
            </w:r>
            <w:r>
              <w:rPr>
                <w:rFonts w:ascii="Times New Roman" w:hAnsi="Times New Roman" w:eastAsia="Times New Roman" w:cs="Times New Roman"/>
                <w:spacing w:val="-4"/>
                <w:sz w:val="20"/>
                <w:szCs w:val="20"/>
              </w:rPr>
              <w:t xml:space="preserve">1 </w:t>
            </w:r>
            <w:r>
              <w:rPr>
                <w:rFonts w:ascii="宋体" w:hAnsi="宋体" w:eastAsia="宋体" w:cs="宋体"/>
                <w:spacing w:val="-4"/>
                <w:sz w:val="20"/>
                <w:szCs w:val="20"/>
              </w:rPr>
              <w:t>层，</w:t>
            </w:r>
            <w:r>
              <w:rPr>
                <w:rFonts w:ascii="Times New Roman" w:hAnsi="Times New Roman" w:eastAsia="Times New Roman" w:cs="Times New Roman"/>
                <w:spacing w:val="-4"/>
                <w:sz w:val="20"/>
                <w:szCs w:val="20"/>
              </w:rPr>
              <w:t xml:space="preserve">1 </w:t>
            </w:r>
            <w:r>
              <w:rPr>
                <w:rFonts w:ascii="宋体" w:hAnsi="宋体" w:eastAsia="宋体" w:cs="宋体"/>
                <w:spacing w:val="-4"/>
                <w:sz w:val="20"/>
                <w:szCs w:val="20"/>
              </w:rPr>
              <w:t xml:space="preserve">栋，砖混结构，建筑面积 </w:t>
            </w:r>
            <w:r>
              <w:rPr>
                <w:rFonts w:ascii="Times New Roman" w:hAnsi="Times New Roman" w:eastAsia="Times New Roman" w:cs="Times New Roman"/>
                <w:spacing w:val="-4"/>
                <w:sz w:val="20"/>
                <w:szCs w:val="20"/>
              </w:rPr>
              <w:t>150m</w:t>
            </w:r>
            <w:r>
              <w:rPr>
                <w:rFonts w:ascii="Times New Roman" w:hAnsi="Times New Roman" w:eastAsia="Times New Roman" w:cs="Times New Roman"/>
                <w:spacing w:val="-4"/>
                <w:position w:val="6"/>
                <w:sz w:val="13"/>
                <w:szCs w:val="13"/>
              </w:rPr>
              <w:t>2</w:t>
            </w:r>
            <w:r>
              <w:rPr>
                <w:rFonts w:ascii="宋体" w:hAnsi="宋体" w:eastAsia="宋体" w:cs="宋体"/>
                <w:spacing w:val="-4"/>
                <w:sz w:val="20"/>
                <w:szCs w:val="20"/>
              </w:rPr>
              <w:t>。</w:t>
            </w:r>
          </w:p>
        </w:tc>
      </w:tr>
    </w:tbl>
    <w:p w14:paraId="0565EBCB">
      <w:pPr>
        <w:rPr>
          <w:rFonts w:ascii="Arial"/>
          <w:sz w:val="21"/>
        </w:rPr>
      </w:pPr>
    </w:p>
    <w:p w14:paraId="0B3C2141">
      <w:pPr>
        <w:sectPr>
          <w:headerReference r:id="rId88" w:type="default"/>
          <w:footerReference r:id="rId89" w:type="default"/>
          <w:pgSz w:w="11906" w:h="16839"/>
          <w:pgMar w:top="1132" w:right="1691" w:bottom="1156" w:left="1691" w:header="878" w:footer="996" w:gutter="0"/>
          <w:cols w:space="720" w:num="1"/>
        </w:sectPr>
      </w:pPr>
    </w:p>
    <w:p w14:paraId="592B5E4B">
      <w:r>
        <w:pict>
          <v:rect id="_x0000_s1135" o:spid="_x0000_s1135" o:spt="1" style="position:absolute;left:0pt;margin-left:90pt;margin-top:57.35pt;height:0.75pt;width:415.3pt;mso-position-horizontal-relative:page;mso-position-vertical-relative:page;z-index:251768832;mso-width-relative:page;mso-height-relative:page;" fillcolor="#000000" filled="t" stroked="f" coordsize="21600,21600" o:allowincell="f">
            <v:path/>
            <v:fill on="t" focussize="0,0"/>
            <v:stroke on="f"/>
            <v:imagedata o:title=""/>
            <o:lock v:ext="edit"/>
          </v:rect>
        </w:pict>
      </w:r>
    </w:p>
    <w:p w14:paraId="6A27AB7A">
      <w:pPr>
        <w:spacing w:line="65" w:lineRule="exact"/>
      </w:pPr>
    </w:p>
    <w:tbl>
      <w:tblPr>
        <w:tblStyle w:val="4"/>
        <w:tblW w:w="836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21"/>
        <w:gridCol w:w="1276"/>
        <w:gridCol w:w="1715"/>
        <w:gridCol w:w="4848"/>
      </w:tblGrid>
      <w:tr w14:paraId="435AAB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3" w:hRule="atLeast"/>
        </w:trPr>
        <w:tc>
          <w:tcPr>
            <w:tcW w:w="521" w:type="dxa"/>
            <w:vMerge w:val="restart"/>
            <w:tcBorders>
              <w:left w:val="nil"/>
              <w:bottom w:val="nil"/>
            </w:tcBorders>
            <w:vAlign w:val="top"/>
          </w:tcPr>
          <w:p w14:paraId="5A40BC4E">
            <w:pPr>
              <w:rPr>
                <w:rFonts w:ascii="Arial"/>
                <w:sz w:val="21"/>
              </w:rPr>
            </w:pPr>
          </w:p>
        </w:tc>
        <w:tc>
          <w:tcPr>
            <w:tcW w:w="1276" w:type="dxa"/>
            <w:vAlign w:val="top"/>
          </w:tcPr>
          <w:p w14:paraId="5381CB21">
            <w:pPr>
              <w:spacing w:before="47" w:line="281" w:lineRule="exact"/>
              <w:ind w:left="51"/>
              <w:rPr>
                <w:rFonts w:ascii="宋体" w:hAnsi="宋体" w:eastAsia="宋体" w:cs="宋体"/>
                <w:sz w:val="20"/>
                <w:szCs w:val="20"/>
              </w:rPr>
            </w:pPr>
            <w:r>
              <w:rPr>
                <w:rFonts w:ascii="Times New Roman" w:hAnsi="Times New Roman" w:eastAsia="Times New Roman" w:cs="Times New Roman"/>
                <w:spacing w:val="-2"/>
                <w:position w:val="1"/>
                <w:sz w:val="20"/>
                <w:szCs w:val="20"/>
              </w:rPr>
              <w:t>2#</w:t>
            </w:r>
            <w:r>
              <w:rPr>
                <w:rFonts w:ascii="宋体" w:hAnsi="宋体" w:eastAsia="宋体" w:cs="宋体"/>
                <w:spacing w:val="-1"/>
                <w:position w:val="1"/>
                <w:sz w:val="20"/>
                <w:szCs w:val="20"/>
              </w:rPr>
              <w:t>员工休息室</w:t>
            </w:r>
          </w:p>
        </w:tc>
        <w:tc>
          <w:tcPr>
            <w:tcW w:w="6563" w:type="dxa"/>
            <w:gridSpan w:val="2"/>
            <w:tcBorders>
              <w:right w:val="nil"/>
            </w:tcBorders>
            <w:vAlign w:val="top"/>
          </w:tcPr>
          <w:p w14:paraId="0B5E374B">
            <w:pPr>
              <w:spacing w:before="84" w:line="228" w:lineRule="auto"/>
              <w:ind w:left="46"/>
              <w:rPr>
                <w:rFonts w:ascii="宋体" w:hAnsi="宋体" w:eastAsia="宋体" w:cs="宋体"/>
                <w:sz w:val="20"/>
                <w:szCs w:val="20"/>
              </w:rPr>
            </w:pPr>
            <w:r>
              <w:rPr>
                <w:rFonts w:ascii="宋体" w:hAnsi="宋体" w:eastAsia="宋体" w:cs="宋体"/>
                <w:spacing w:val="-6"/>
                <w:sz w:val="20"/>
                <w:szCs w:val="20"/>
              </w:rPr>
              <w:t>位</w:t>
            </w:r>
            <w:r>
              <w:rPr>
                <w:rFonts w:ascii="宋体" w:hAnsi="宋体" w:eastAsia="宋体" w:cs="宋体"/>
                <w:spacing w:val="-4"/>
                <w:sz w:val="20"/>
                <w:szCs w:val="20"/>
              </w:rPr>
              <w:t>于生产厂房西北侧，</w:t>
            </w:r>
            <w:r>
              <w:rPr>
                <w:rFonts w:ascii="Times New Roman" w:hAnsi="Times New Roman" w:eastAsia="Times New Roman" w:cs="Times New Roman"/>
                <w:spacing w:val="-4"/>
                <w:sz w:val="20"/>
                <w:szCs w:val="20"/>
              </w:rPr>
              <w:t xml:space="preserve">1 </w:t>
            </w:r>
            <w:r>
              <w:rPr>
                <w:rFonts w:ascii="宋体" w:hAnsi="宋体" w:eastAsia="宋体" w:cs="宋体"/>
                <w:spacing w:val="-4"/>
                <w:sz w:val="20"/>
                <w:szCs w:val="20"/>
              </w:rPr>
              <w:t>层，</w:t>
            </w:r>
            <w:r>
              <w:rPr>
                <w:rFonts w:ascii="Times New Roman" w:hAnsi="Times New Roman" w:eastAsia="Times New Roman" w:cs="Times New Roman"/>
                <w:spacing w:val="-4"/>
                <w:sz w:val="20"/>
                <w:szCs w:val="20"/>
              </w:rPr>
              <w:t xml:space="preserve">1 </w:t>
            </w:r>
            <w:r>
              <w:rPr>
                <w:rFonts w:ascii="宋体" w:hAnsi="宋体" w:eastAsia="宋体" w:cs="宋体"/>
                <w:spacing w:val="-4"/>
                <w:sz w:val="20"/>
                <w:szCs w:val="20"/>
              </w:rPr>
              <w:t xml:space="preserve">栋，砖混结构，建筑面积 </w:t>
            </w:r>
            <w:r>
              <w:rPr>
                <w:rFonts w:ascii="Times New Roman" w:hAnsi="Times New Roman" w:eastAsia="Times New Roman" w:cs="Times New Roman"/>
                <w:spacing w:val="-4"/>
                <w:sz w:val="20"/>
                <w:szCs w:val="20"/>
              </w:rPr>
              <w:t>175m</w:t>
            </w:r>
            <w:r>
              <w:rPr>
                <w:rFonts w:ascii="Times New Roman" w:hAnsi="Times New Roman" w:eastAsia="Times New Roman" w:cs="Times New Roman"/>
                <w:spacing w:val="-4"/>
                <w:position w:val="6"/>
                <w:sz w:val="13"/>
                <w:szCs w:val="13"/>
              </w:rPr>
              <w:t>2</w:t>
            </w:r>
            <w:r>
              <w:rPr>
                <w:rFonts w:ascii="宋体" w:hAnsi="宋体" w:eastAsia="宋体" w:cs="宋体"/>
                <w:spacing w:val="-4"/>
                <w:sz w:val="20"/>
                <w:szCs w:val="20"/>
              </w:rPr>
              <w:t>。</w:t>
            </w:r>
          </w:p>
        </w:tc>
      </w:tr>
      <w:tr w14:paraId="6681F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521" w:type="dxa"/>
            <w:vMerge w:val="continue"/>
            <w:tcBorders>
              <w:top w:val="nil"/>
              <w:left w:val="nil"/>
            </w:tcBorders>
            <w:vAlign w:val="top"/>
          </w:tcPr>
          <w:p w14:paraId="4703FD96">
            <w:pPr>
              <w:rPr>
                <w:rFonts w:ascii="Arial"/>
                <w:sz w:val="21"/>
              </w:rPr>
            </w:pPr>
          </w:p>
        </w:tc>
        <w:tc>
          <w:tcPr>
            <w:tcW w:w="1276" w:type="dxa"/>
            <w:vAlign w:val="top"/>
          </w:tcPr>
          <w:p w14:paraId="77209AE4">
            <w:pPr>
              <w:spacing w:before="60" w:line="228" w:lineRule="auto"/>
              <w:ind w:left="155"/>
              <w:rPr>
                <w:rFonts w:ascii="宋体" w:hAnsi="宋体" w:eastAsia="宋体" w:cs="宋体"/>
                <w:sz w:val="20"/>
                <w:szCs w:val="20"/>
              </w:rPr>
            </w:pPr>
            <w:r>
              <w:rPr>
                <w:rFonts w:ascii="宋体" w:hAnsi="宋体" w:eastAsia="宋体" w:cs="宋体"/>
                <w:spacing w:val="-4"/>
                <w:sz w:val="20"/>
                <w:szCs w:val="20"/>
              </w:rPr>
              <w:t>备</w:t>
            </w:r>
            <w:r>
              <w:rPr>
                <w:rFonts w:ascii="宋体" w:hAnsi="宋体" w:eastAsia="宋体" w:cs="宋体"/>
                <w:spacing w:val="-2"/>
                <w:sz w:val="20"/>
                <w:szCs w:val="20"/>
              </w:rPr>
              <w:t>品备件库</w:t>
            </w:r>
          </w:p>
        </w:tc>
        <w:tc>
          <w:tcPr>
            <w:tcW w:w="6563" w:type="dxa"/>
            <w:gridSpan w:val="2"/>
            <w:tcBorders>
              <w:right w:val="nil"/>
            </w:tcBorders>
            <w:vAlign w:val="top"/>
          </w:tcPr>
          <w:p w14:paraId="629824E4">
            <w:pPr>
              <w:spacing w:before="60" w:line="228" w:lineRule="auto"/>
              <w:ind w:left="46"/>
              <w:rPr>
                <w:rFonts w:ascii="宋体" w:hAnsi="宋体" w:eastAsia="宋体" w:cs="宋体"/>
                <w:sz w:val="20"/>
                <w:szCs w:val="20"/>
              </w:rPr>
            </w:pPr>
            <w:r>
              <w:rPr>
                <w:rFonts w:ascii="宋体" w:hAnsi="宋体" w:eastAsia="宋体" w:cs="宋体"/>
                <w:spacing w:val="-8"/>
                <w:sz w:val="20"/>
                <w:szCs w:val="20"/>
              </w:rPr>
              <w:t>位</w:t>
            </w:r>
            <w:r>
              <w:rPr>
                <w:rFonts w:ascii="宋体" w:hAnsi="宋体" w:eastAsia="宋体" w:cs="宋体"/>
                <w:spacing w:val="-4"/>
                <w:sz w:val="20"/>
                <w:szCs w:val="20"/>
              </w:rPr>
              <w:t>于生产厂房西南侧，</w:t>
            </w:r>
            <w:r>
              <w:rPr>
                <w:rFonts w:ascii="Times New Roman" w:hAnsi="Times New Roman" w:eastAsia="Times New Roman" w:cs="Times New Roman"/>
                <w:spacing w:val="-4"/>
                <w:sz w:val="20"/>
                <w:szCs w:val="20"/>
              </w:rPr>
              <w:t xml:space="preserve">1 </w:t>
            </w:r>
            <w:r>
              <w:rPr>
                <w:rFonts w:ascii="宋体" w:hAnsi="宋体" w:eastAsia="宋体" w:cs="宋体"/>
                <w:spacing w:val="-4"/>
                <w:sz w:val="20"/>
                <w:szCs w:val="20"/>
              </w:rPr>
              <w:t>层，</w:t>
            </w:r>
            <w:r>
              <w:rPr>
                <w:rFonts w:ascii="Times New Roman" w:hAnsi="Times New Roman" w:eastAsia="Times New Roman" w:cs="Times New Roman"/>
                <w:spacing w:val="-4"/>
                <w:sz w:val="20"/>
                <w:szCs w:val="20"/>
              </w:rPr>
              <w:t xml:space="preserve">1 </w:t>
            </w:r>
            <w:r>
              <w:rPr>
                <w:rFonts w:ascii="宋体" w:hAnsi="宋体" w:eastAsia="宋体" w:cs="宋体"/>
                <w:spacing w:val="-4"/>
                <w:sz w:val="20"/>
                <w:szCs w:val="20"/>
              </w:rPr>
              <w:t xml:space="preserve">栋，砖混结构，建筑面积 </w:t>
            </w:r>
            <w:r>
              <w:rPr>
                <w:rFonts w:ascii="Times New Roman" w:hAnsi="Times New Roman" w:eastAsia="Times New Roman" w:cs="Times New Roman"/>
                <w:spacing w:val="-4"/>
                <w:sz w:val="20"/>
                <w:szCs w:val="20"/>
              </w:rPr>
              <w:t>30m</w:t>
            </w:r>
            <w:r>
              <w:rPr>
                <w:rFonts w:ascii="Times New Roman" w:hAnsi="Times New Roman" w:eastAsia="Times New Roman" w:cs="Times New Roman"/>
                <w:spacing w:val="-4"/>
                <w:position w:val="6"/>
                <w:sz w:val="13"/>
                <w:szCs w:val="13"/>
              </w:rPr>
              <w:t>2</w:t>
            </w:r>
            <w:r>
              <w:rPr>
                <w:rFonts w:ascii="宋体" w:hAnsi="宋体" w:eastAsia="宋体" w:cs="宋体"/>
                <w:spacing w:val="-4"/>
                <w:sz w:val="20"/>
                <w:szCs w:val="20"/>
              </w:rPr>
              <w:t>。</w:t>
            </w:r>
          </w:p>
        </w:tc>
      </w:tr>
      <w:tr w14:paraId="5A2957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9" w:hRule="atLeast"/>
        </w:trPr>
        <w:tc>
          <w:tcPr>
            <w:tcW w:w="521" w:type="dxa"/>
            <w:vMerge w:val="restart"/>
            <w:tcBorders>
              <w:left w:val="nil"/>
              <w:bottom w:val="nil"/>
            </w:tcBorders>
            <w:vAlign w:val="top"/>
          </w:tcPr>
          <w:p w14:paraId="5F92DEF9">
            <w:pPr>
              <w:spacing w:line="252" w:lineRule="auto"/>
              <w:rPr>
                <w:rFonts w:ascii="Arial"/>
                <w:sz w:val="21"/>
              </w:rPr>
            </w:pPr>
          </w:p>
          <w:p w14:paraId="0F211123">
            <w:pPr>
              <w:spacing w:line="252" w:lineRule="auto"/>
              <w:rPr>
                <w:rFonts w:ascii="Arial"/>
                <w:sz w:val="21"/>
              </w:rPr>
            </w:pPr>
          </w:p>
          <w:p w14:paraId="62C7A8EE">
            <w:pPr>
              <w:spacing w:line="252" w:lineRule="auto"/>
              <w:rPr>
                <w:rFonts w:ascii="Arial"/>
                <w:sz w:val="21"/>
              </w:rPr>
            </w:pPr>
          </w:p>
          <w:p w14:paraId="38D55575">
            <w:pPr>
              <w:spacing w:line="252" w:lineRule="auto"/>
              <w:rPr>
                <w:rFonts w:ascii="Arial"/>
                <w:sz w:val="21"/>
              </w:rPr>
            </w:pPr>
          </w:p>
          <w:p w14:paraId="260C2772">
            <w:pPr>
              <w:spacing w:line="252" w:lineRule="auto"/>
              <w:rPr>
                <w:rFonts w:ascii="Arial"/>
                <w:sz w:val="21"/>
              </w:rPr>
            </w:pPr>
          </w:p>
          <w:p w14:paraId="13A14812">
            <w:pPr>
              <w:spacing w:line="252" w:lineRule="auto"/>
              <w:rPr>
                <w:rFonts w:ascii="Arial"/>
                <w:sz w:val="21"/>
              </w:rPr>
            </w:pPr>
          </w:p>
          <w:p w14:paraId="799E0243">
            <w:pPr>
              <w:spacing w:line="252" w:lineRule="auto"/>
              <w:rPr>
                <w:rFonts w:ascii="Arial"/>
                <w:sz w:val="21"/>
              </w:rPr>
            </w:pPr>
          </w:p>
          <w:p w14:paraId="7EA563FE">
            <w:pPr>
              <w:spacing w:line="252" w:lineRule="auto"/>
              <w:rPr>
                <w:rFonts w:ascii="Arial"/>
                <w:sz w:val="21"/>
              </w:rPr>
            </w:pPr>
          </w:p>
          <w:p w14:paraId="6C4AE766">
            <w:pPr>
              <w:spacing w:before="65" w:line="267" w:lineRule="auto"/>
              <w:ind w:left="74" w:right="48" w:hanging="3"/>
              <w:rPr>
                <w:rFonts w:ascii="宋体" w:hAnsi="宋体" w:eastAsia="宋体" w:cs="宋体"/>
                <w:sz w:val="20"/>
                <w:szCs w:val="20"/>
              </w:rPr>
            </w:pPr>
            <w:r>
              <w:rPr>
                <w:rFonts w:ascii="宋体" w:hAnsi="宋体" w:eastAsia="宋体" w:cs="宋体"/>
                <w:spacing w:val="-1"/>
                <w:sz w:val="20"/>
                <w:szCs w:val="20"/>
              </w:rPr>
              <w:t>储运</w:t>
            </w:r>
            <w:r>
              <w:rPr>
                <w:rFonts w:ascii="宋体" w:hAnsi="宋体" w:eastAsia="宋体" w:cs="宋体"/>
                <w:sz w:val="20"/>
                <w:szCs w:val="20"/>
              </w:rPr>
              <w:t xml:space="preserve"> </w:t>
            </w:r>
            <w:r>
              <w:rPr>
                <w:rFonts w:ascii="宋体" w:hAnsi="宋体" w:eastAsia="宋体" w:cs="宋体"/>
                <w:spacing w:val="-3"/>
                <w:sz w:val="20"/>
                <w:szCs w:val="20"/>
              </w:rPr>
              <w:t>工</w:t>
            </w:r>
            <w:r>
              <w:rPr>
                <w:rFonts w:ascii="宋体" w:hAnsi="宋体" w:eastAsia="宋体" w:cs="宋体"/>
                <w:spacing w:val="-2"/>
                <w:sz w:val="20"/>
                <w:szCs w:val="20"/>
              </w:rPr>
              <w:t>程</w:t>
            </w:r>
          </w:p>
        </w:tc>
        <w:tc>
          <w:tcPr>
            <w:tcW w:w="1276" w:type="dxa"/>
            <w:vAlign w:val="top"/>
          </w:tcPr>
          <w:p w14:paraId="7AE4DB46">
            <w:pPr>
              <w:spacing w:line="329" w:lineRule="auto"/>
              <w:rPr>
                <w:rFonts w:ascii="Arial"/>
                <w:sz w:val="21"/>
              </w:rPr>
            </w:pPr>
          </w:p>
          <w:p w14:paraId="422FAD7E">
            <w:pPr>
              <w:spacing w:line="329" w:lineRule="auto"/>
              <w:rPr>
                <w:rFonts w:ascii="Arial"/>
                <w:sz w:val="21"/>
              </w:rPr>
            </w:pPr>
          </w:p>
          <w:p w14:paraId="2CACE081">
            <w:pPr>
              <w:spacing w:before="65" w:line="228" w:lineRule="auto"/>
              <w:ind w:left="351"/>
              <w:rPr>
                <w:rFonts w:ascii="宋体" w:hAnsi="宋体" w:eastAsia="宋体" w:cs="宋体"/>
                <w:sz w:val="20"/>
                <w:szCs w:val="20"/>
              </w:rPr>
            </w:pPr>
            <w:r>
              <w:rPr>
                <w:rFonts w:ascii="宋体" w:hAnsi="宋体" w:eastAsia="宋体" w:cs="宋体"/>
                <w:spacing w:val="-2"/>
                <w:sz w:val="20"/>
                <w:szCs w:val="20"/>
              </w:rPr>
              <w:t>成品</w:t>
            </w:r>
            <w:r>
              <w:rPr>
                <w:rFonts w:ascii="宋体" w:hAnsi="宋体" w:eastAsia="宋体" w:cs="宋体"/>
                <w:spacing w:val="-1"/>
                <w:sz w:val="20"/>
                <w:szCs w:val="20"/>
              </w:rPr>
              <w:t>库</w:t>
            </w:r>
          </w:p>
        </w:tc>
        <w:tc>
          <w:tcPr>
            <w:tcW w:w="6563" w:type="dxa"/>
            <w:gridSpan w:val="2"/>
            <w:tcBorders>
              <w:right w:val="nil"/>
            </w:tcBorders>
            <w:vAlign w:val="top"/>
          </w:tcPr>
          <w:p w14:paraId="7CDCA6E6">
            <w:pPr>
              <w:spacing w:before="58" w:line="292" w:lineRule="auto"/>
              <w:ind w:left="46" w:right="11"/>
              <w:rPr>
                <w:rFonts w:ascii="宋体" w:hAnsi="宋体" w:eastAsia="宋体" w:cs="宋体"/>
                <w:sz w:val="20"/>
                <w:szCs w:val="20"/>
              </w:rPr>
            </w:pPr>
            <w:r>
              <w:rPr>
                <w:rFonts w:ascii="宋体" w:hAnsi="宋体" w:eastAsia="宋体" w:cs="宋体"/>
                <w:spacing w:val="-6"/>
                <w:sz w:val="20"/>
                <w:szCs w:val="20"/>
              </w:rPr>
              <w:t>位于生产厂房北侧，</w:t>
            </w:r>
            <w:r>
              <w:rPr>
                <w:rFonts w:ascii="Times New Roman" w:hAnsi="Times New Roman" w:eastAsia="Times New Roman" w:cs="Times New Roman"/>
                <w:spacing w:val="-6"/>
                <w:sz w:val="20"/>
                <w:szCs w:val="20"/>
              </w:rPr>
              <w:t>1</w:t>
            </w:r>
            <w:r>
              <w:rPr>
                <w:rFonts w:ascii="Times New Roman" w:hAnsi="Times New Roman" w:eastAsia="Times New Roman" w:cs="Times New Roman"/>
                <w:spacing w:val="-4"/>
                <w:sz w:val="20"/>
                <w:szCs w:val="20"/>
              </w:rPr>
              <w:t xml:space="preserve"> </w:t>
            </w:r>
            <w:r>
              <w:rPr>
                <w:rFonts w:ascii="宋体" w:hAnsi="宋体" w:eastAsia="宋体" w:cs="宋体"/>
                <w:spacing w:val="-3"/>
                <w:sz w:val="20"/>
                <w:szCs w:val="20"/>
              </w:rPr>
              <w:t>层，</w:t>
            </w:r>
            <w:r>
              <w:rPr>
                <w:rFonts w:ascii="Times New Roman" w:hAnsi="Times New Roman" w:eastAsia="Times New Roman" w:cs="Times New Roman"/>
                <w:spacing w:val="-3"/>
                <w:sz w:val="20"/>
                <w:szCs w:val="20"/>
              </w:rPr>
              <w:t xml:space="preserve">1 </w:t>
            </w:r>
            <w:r>
              <w:rPr>
                <w:rFonts w:ascii="宋体" w:hAnsi="宋体" w:eastAsia="宋体" w:cs="宋体"/>
                <w:spacing w:val="-3"/>
                <w:sz w:val="20"/>
                <w:szCs w:val="20"/>
              </w:rPr>
              <w:t xml:space="preserve">栋，砖混结构，建筑面积 </w:t>
            </w:r>
            <w:r>
              <w:rPr>
                <w:rFonts w:ascii="Times New Roman" w:hAnsi="Times New Roman" w:eastAsia="Times New Roman" w:cs="Times New Roman"/>
                <w:spacing w:val="-3"/>
                <w:sz w:val="20"/>
                <w:szCs w:val="20"/>
              </w:rPr>
              <w:t>200m</w:t>
            </w:r>
            <w:r>
              <w:rPr>
                <w:rFonts w:ascii="Times New Roman" w:hAnsi="Times New Roman" w:eastAsia="Times New Roman" w:cs="Times New Roman"/>
                <w:spacing w:val="-3"/>
                <w:position w:val="6"/>
                <w:sz w:val="13"/>
                <w:szCs w:val="13"/>
              </w:rPr>
              <w:t xml:space="preserve">2 </w:t>
            </w:r>
            <w:r>
              <w:rPr>
                <w:rFonts w:ascii="宋体" w:hAnsi="宋体" w:eastAsia="宋体" w:cs="宋体"/>
                <w:spacing w:val="-3"/>
                <w:sz w:val="20"/>
                <w:szCs w:val="20"/>
              </w:rPr>
              <w:t xml:space="preserve">，用于存放 </w:t>
            </w:r>
            <w:r>
              <w:rPr>
                <w:rFonts w:ascii="Times New Roman" w:hAnsi="Times New Roman" w:eastAsia="Times New Roman" w:cs="Times New Roman"/>
                <w:spacing w:val="-3"/>
                <w:sz w:val="20"/>
                <w:szCs w:val="20"/>
              </w:rPr>
              <w:t>10</w:t>
            </w:r>
            <w:r>
              <w:rPr>
                <w:rFonts w:ascii="Times New Roman" w:hAnsi="Times New Roman" w:eastAsia="Times New Roman" w:cs="Times New Roman"/>
                <w:sz w:val="20"/>
                <w:szCs w:val="20"/>
              </w:rPr>
              <w:t xml:space="preserve"> </w:t>
            </w:r>
            <w:r>
              <w:rPr>
                <w:rFonts w:ascii="宋体" w:hAnsi="宋体" w:eastAsia="宋体" w:cs="宋体"/>
                <w:spacing w:val="-8"/>
                <w:sz w:val="20"/>
                <w:szCs w:val="20"/>
              </w:rPr>
              <w:t>条生</w:t>
            </w:r>
            <w:r>
              <w:rPr>
                <w:rFonts w:ascii="宋体" w:hAnsi="宋体" w:eastAsia="宋体" w:cs="宋体"/>
                <w:spacing w:val="-5"/>
                <w:sz w:val="20"/>
                <w:szCs w:val="20"/>
              </w:rPr>
              <w:t>产</w:t>
            </w:r>
            <w:r>
              <w:rPr>
                <w:rFonts w:ascii="宋体" w:hAnsi="宋体" w:eastAsia="宋体" w:cs="宋体"/>
                <w:spacing w:val="-4"/>
                <w:sz w:val="20"/>
                <w:szCs w:val="20"/>
              </w:rPr>
              <w:t xml:space="preserve">线生产的成品废旧塑料再生颗粒，堆存量为 </w:t>
            </w:r>
            <w:r>
              <w:rPr>
                <w:rFonts w:ascii="Times New Roman" w:hAnsi="Times New Roman" w:eastAsia="Times New Roman" w:cs="Times New Roman"/>
                <w:spacing w:val="-4"/>
                <w:sz w:val="20"/>
                <w:szCs w:val="20"/>
              </w:rPr>
              <w:t>400t</w:t>
            </w:r>
            <w:r>
              <w:rPr>
                <w:rFonts w:ascii="宋体" w:hAnsi="宋体" w:eastAsia="宋体" w:cs="宋体"/>
                <w:spacing w:val="-4"/>
                <w:sz w:val="20"/>
                <w:szCs w:val="20"/>
              </w:rPr>
              <w:t>，均为袋装，包装规</w:t>
            </w:r>
            <w:r>
              <w:rPr>
                <w:rFonts w:ascii="宋体" w:hAnsi="宋体" w:eastAsia="宋体" w:cs="宋体"/>
                <w:sz w:val="20"/>
                <w:szCs w:val="20"/>
              </w:rPr>
              <w:t xml:space="preserve"> </w:t>
            </w:r>
            <w:r>
              <w:rPr>
                <w:rFonts w:ascii="宋体" w:hAnsi="宋体" w:eastAsia="宋体" w:cs="宋体"/>
                <w:spacing w:val="-4"/>
                <w:sz w:val="20"/>
                <w:szCs w:val="20"/>
              </w:rPr>
              <w:t xml:space="preserve">格为 </w:t>
            </w:r>
            <w:r>
              <w:rPr>
                <w:rFonts w:ascii="Times New Roman" w:hAnsi="Times New Roman" w:eastAsia="Times New Roman" w:cs="Times New Roman"/>
                <w:spacing w:val="-4"/>
                <w:sz w:val="20"/>
                <w:szCs w:val="20"/>
              </w:rPr>
              <w:t>25</w:t>
            </w:r>
            <w:r>
              <w:rPr>
                <w:rFonts w:ascii="Times New Roman" w:hAnsi="Times New Roman" w:eastAsia="Times New Roman" w:cs="Times New Roman"/>
                <w:spacing w:val="-2"/>
                <w:sz w:val="20"/>
                <w:szCs w:val="20"/>
              </w:rPr>
              <w:t>kg</w:t>
            </w:r>
            <w:r>
              <w:rPr>
                <w:rFonts w:ascii="Times New Roman" w:hAnsi="Times New Roman" w:eastAsia="Times New Roman" w:cs="Times New Roman"/>
                <w:spacing w:val="-4"/>
                <w:sz w:val="20"/>
                <w:szCs w:val="20"/>
              </w:rPr>
              <w:t>/</w:t>
            </w:r>
            <w:r>
              <w:rPr>
                <w:rFonts w:ascii="宋体" w:hAnsi="宋体" w:eastAsia="宋体" w:cs="宋体"/>
                <w:spacing w:val="-4"/>
                <w:sz w:val="20"/>
                <w:szCs w:val="20"/>
              </w:rPr>
              <w:t xml:space="preserve">袋，可供销售 </w:t>
            </w: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 xml:space="preserve"> </w:t>
            </w:r>
            <w:r>
              <w:rPr>
                <w:rFonts w:ascii="宋体" w:hAnsi="宋体" w:eastAsia="宋体" w:cs="宋体"/>
                <w:spacing w:val="-2"/>
                <w:sz w:val="20"/>
                <w:szCs w:val="20"/>
              </w:rPr>
              <w:t>天，产品在全国范围内销售，主要用于生产非食</w:t>
            </w:r>
            <w:r>
              <w:rPr>
                <w:rFonts w:ascii="宋体" w:hAnsi="宋体" w:eastAsia="宋体" w:cs="宋体"/>
                <w:sz w:val="20"/>
                <w:szCs w:val="20"/>
              </w:rPr>
              <w:t xml:space="preserve"> </w:t>
            </w:r>
            <w:r>
              <w:rPr>
                <w:rFonts w:ascii="宋体" w:hAnsi="宋体" w:eastAsia="宋体" w:cs="宋体"/>
                <w:spacing w:val="-4"/>
                <w:sz w:val="20"/>
                <w:szCs w:val="20"/>
              </w:rPr>
              <w:t>品</w:t>
            </w:r>
            <w:r>
              <w:rPr>
                <w:rFonts w:ascii="宋体" w:hAnsi="宋体" w:eastAsia="宋体" w:cs="宋体"/>
                <w:spacing w:val="-3"/>
                <w:sz w:val="20"/>
                <w:szCs w:val="20"/>
              </w:rPr>
              <w:t>类包装袋、塑料玩具、模型、电动车塑料零件，不用于制作直接接触食品</w:t>
            </w:r>
            <w:r>
              <w:rPr>
                <w:rFonts w:ascii="宋体" w:hAnsi="宋体" w:eastAsia="宋体" w:cs="宋体"/>
                <w:sz w:val="20"/>
                <w:szCs w:val="20"/>
              </w:rPr>
              <w:t xml:space="preserve"> </w:t>
            </w:r>
            <w:r>
              <w:rPr>
                <w:rFonts w:ascii="宋体" w:hAnsi="宋体" w:eastAsia="宋体" w:cs="宋体"/>
                <w:spacing w:val="-3"/>
                <w:sz w:val="20"/>
                <w:szCs w:val="20"/>
              </w:rPr>
              <w:t>的包装、制品或材料，如食品包装袋、矿泉水瓶等</w:t>
            </w:r>
            <w:r>
              <w:rPr>
                <w:rFonts w:ascii="宋体" w:hAnsi="宋体" w:eastAsia="宋体" w:cs="宋体"/>
                <w:spacing w:val="-1"/>
                <w:sz w:val="20"/>
                <w:szCs w:val="20"/>
              </w:rPr>
              <w:t>。</w:t>
            </w:r>
          </w:p>
        </w:tc>
      </w:tr>
      <w:tr w14:paraId="222AC3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1" w:hRule="atLeast"/>
        </w:trPr>
        <w:tc>
          <w:tcPr>
            <w:tcW w:w="521" w:type="dxa"/>
            <w:vMerge w:val="continue"/>
            <w:tcBorders>
              <w:top w:val="nil"/>
              <w:left w:val="nil"/>
            </w:tcBorders>
            <w:vAlign w:val="top"/>
          </w:tcPr>
          <w:p w14:paraId="2C237FA1">
            <w:pPr>
              <w:rPr>
                <w:rFonts w:ascii="Arial"/>
                <w:sz w:val="21"/>
              </w:rPr>
            </w:pPr>
          </w:p>
        </w:tc>
        <w:tc>
          <w:tcPr>
            <w:tcW w:w="1276" w:type="dxa"/>
            <w:vAlign w:val="top"/>
          </w:tcPr>
          <w:p w14:paraId="65E78F9F">
            <w:pPr>
              <w:spacing w:line="264" w:lineRule="auto"/>
              <w:rPr>
                <w:rFonts w:ascii="Arial"/>
                <w:sz w:val="21"/>
              </w:rPr>
            </w:pPr>
          </w:p>
          <w:p w14:paraId="780DEC14">
            <w:pPr>
              <w:spacing w:line="264" w:lineRule="auto"/>
              <w:rPr>
                <w:rFonts w:ascii="Arial"/>
                <w:sz w:val="21"/>
              </w:rPr>
            </w:pPr>
          </w:p>
          <w:p w14:paraId="0841A216">
            <w:pPr>
              <w:spacing w:line="264" w:lineRule="auto"/>
              <w:rPr>
                <w:rFonts w:ascii="Arial"/>
                <w:sz w:val="21"/>
              </w:rPr>
            </w:pPr>
          </w:p>
          <w:p w14:paraId="775216AD">
            <w:pPr>
              <w:spacing w:line="264" w:lineRule="auto"/>
              <w:rPr>
                <w:rFonts w:ascii="Arial"/>
                <w:sz w:val="21"/>
              </w:rPr>
            </w:pPr>
          </w:p>
          <w:p w14:paraId="0D34E369">
            <w:pPr>
              <w:spacing w:line="264" w:lineRule="auto"/>
              <w:rPr>
                <w:rFonts w:ascii="Arial"/>
                <w:sz w:val="21"/>
              </w:rPr>
            </w:pPr>
          </w:p>
          <w:p w14:paraId="68BD519D">
            <w:pPr>
              <w:spacing w:before="65" w:line="228" w:lineRule="auto"/>
              <w:ind w:left="355"/>
              <w:rPr>
                <w:rFonts w:ascii="宋体" w:hAnsi="宋体" w:eastAsia="宋体" w:cs="宋体"/>
                <w:sz w:val="20"/>
                <w:szCs w:val="20"/>
              </w:rPr>
            </w:pPr>
            <w:r>
              <w:rPr>
                <w:rFonts w:ascii="宋体" w:hAnsi="宋体" w:eastAsia="宋体" w:cs="宋体"/>
                <w:spacing w:val="-4"/>
                <w:sz w:val="20"/>
                <w:szCs w:val="20"/>
              </w:rPr>
              <w:t>原</w:t>
            </w:r>
            <w:r>
              <w:rPr>
                <w:rFonts w:ascii="宋体" w:hAnsi="宋体" w:eastAsia="宋体" w:cs="宋体"/>
                <w:spacing w:val="-2"/>
                <w:sz w:val="20"/>
                <w:szCs w:val="20"/>
              </w:rPr>
              <w:t>料库</w:t>
            </w:r>
          </w:p>
        </w:tc>
        <w:tc>
          <w:tcPr>
            <w:tcW w:w="6563" w:type="dxa"/>
            <w:gridSpan w:val="2"/>
            <w:tcBorders>
              <w:right w:val="nil"/>
            </w:tcBorders>
            <w:vAlign w:val="top"/>
          </w:tcPr>
          <w:p w14:paraId="7558846A">
            <w:pPr>
              <w:spacing w:before="57" w:line="299" w:lineRule="auto"/>
              <w:ind w:left="46" w:right="10"/>
              <w:rPr>
                <w:rFonts w:ascii="宋体" w:hAnsi="宋体" w:eastAsia="宋体" w:cs="宋体"/>
                <w:sz w:val="20"/>
                <w:szCs w:val="20"/>
              </w:rPr>
            </w:pPr>
            <w:r>
              <w:rPr>
                <w:rFonts w:ascii="宋体" w:hAnsi="宋体" w:eastAsia="宋体" w:cs="宋体"/>
                <w:spacing w:val="-2"/>
                <w:sz w:val="20"/>
                <w:szCs w:val="20"/>
              </w:rPr>
              <w:t>位于生产厂房东北侧，</w:t>
            </w:r>
            <w:r>
              <w:rPr>
                <w:rFonts w:ascii="Times New Roman" w:hAnsi="Times New Roman" w:eastAsia="Times New Roman" w:cs="Times New Roman"/>
                <w:spacing w:val="-2"/>
                <w:sz w:val="20"/>
                <w:szCs w:val="20"/>
              </w:rPr>
              <w:t xml:space="preserve">1 </w:t>
            </w:r>
            <w:r>
              <w:rPr>
                <w:rFonts w:ascii="宋体" w:hAnsi="宋体" w:eastAsia="宋体" w:cs="宋体"/>
                <w:spacing w:val="-2"/>
                <w:sz w:val="20"/>
                <w:szCs w:val="20"/>
              </w:rPr>
              <w:t>层，</w:t>
            </w:r>
            <w:r>
              <w:rPr>
                <w:rFonts w:ascii="Times New Roman" w:hAnsi="Times New Roman" w:eastAsia="Times New Roman" w:cs="Times New Roman"/>
                <w:spacing w:val="-1"/>
                <w:sz w:val="20"/>
                <w:szCs w:val="20"/>
              </w:rPr>
              <w:t xml:space="preserve">1 </w:t>
            </w:r>
            <w:r>
              <w:rPr>
                <w:rFonts w:ascii="宋体" w:hAnsi="宋体" w:eastAsia="宋体" w:cs="宋体"/>
                <w:spacing w:val="-1"/>
                <w:sz w:val="20"/>
                <w:szCs w:val="20"/>
              </w:rPr>
              <w:t xml:space="preserve">栋，砖混结构，建筑面积 </w:t>
            </w:r>
            <w:r>
              <w:rPr>
                <w:rFonts w:ascii="Times New Roman" w:hAnsi="Times New Roman" w:eastAsia="Times New Roman" w:cs="Times New Roman"/>
                <w:spacing w:val="-1"/>
                <w:sz w:val="20"/>
                <w:szCs w:val="20"/>
              </w:rPr>
              <w:t>200m</w:t>
            </w:r>
            <w:r>
              <w:rPr>
                <w:rFonts w:ascii="Times New Roman" w:hAnsi="Times New Roman" w:eastAsia="Times New Roman" w:cs="Times New Roman"/>
                <w:spacing w:val="-1"/>
                <w:position w:val="6"/>
                <w:sz w:val="13"/>
                <w:szCs w:val="13"/>
              </w:rPr>
              <w:t xml:space="preserve">2 </w:t>
            </w:r>
            <w:r>
              <w:rPr>
                <w:rFonts w:ascii="宋体" w:hAnsi="宋体" w:eastAsia="宋体" w:cs="宋体"/>
                <w:spacing w:val="-1"/>
                <w:sz w:val="20"/>
                <w:szCs w:val="20"/>
              </w:rPr>
              <w:t>，用于存储</w:t>
            </w:r>
            <w:r>
              <w:rPr>
                <w:rFonts w:ascii="宋体" w:hAnsi="宋体" w:eastAsia="宋体" w:cs="宋体"/>
                <w:sz w:val="20"/>
                <w:szCs w:val="20"/>
              </w:rPr>
              <w:t xml:space="preserve"> </w:t>
            </w:r>
            <w:r>
              <w:rPr>
                <w:rFonts w:ascii="Times New Roman" w:hAnsi="Times New Roman" w:eastAsia="Times New Roman" w:cs="Times New Roman"/>
                <w:spacing w:val="-6"/>
                <w:sz w:val="20"/>
                <w:szCs w:val="20"/>
              </w:rPr>
              <w:t xml:space="preserve">10 </w:t>
            </w:r>
            <w:r>
              <w:rPr>
                <w:rFonts w:ascii="宋体" w:hAnsi="宋体" w:eastAsia="宋体" w:cs="宋体"/>
                <w:spacing w:val="-6"/>
                <w:sz w:val="20"/>
                <w:szCs w:val="20"/>
              </w:rPr>
              <w:t>条生产线所用</w:t>
            </w:r>
            <w:r>
              <w:rPr>
                <w:rFonts w:ascii="宋体" w:hAnsi="宋体" w:eastAsia="宋体" w:cs="宋体"/>
                <w:spacing w:val="-5"/>
                <w:sz w:val="20"/>
                <w:szCs w:val="20"/>
              </w:rPr>
              <w:t>原</w:t>
            </w:r>
            <w:r>
              <w:rPr>
                <w:rFonts w:ascii="宋体" w:hAnsi="宋体" w:eastAsia="宋体" w:cs="宋体"/>
                <w:spacing w:val="-3"/>
                <w:sz w:val="20"/>
                <w:szCs w:val="20"/>
              </w:rPr>
              <w:t xml:space="preserve">料 (废旧塑料编织袋) ，堆存量为 </w:t>
            </w:r>
            <w:r>
              <w:rPr>
                <w:rFonts w:ascii="Times New Roman" w:hAnsi="Times New Roman" w:eastAsia="Times New Roman" w:cs="Times New Roman"/>
                <w:spacing w:val="-3"/>
                <w:sz w:val="20"/>
                <w:szCs w:val="20"/>
              </w:rPr>
              <w:t>400t</w:t>
            </w:r>
            <w:r>
              <w:rPr>
                <w:rFonts w:ascii="宋体" w:hAnsi="宋体" w:eastAsia="宋体" w:cs="宋体"/>
                <w:spacing w:val="-3"/>
                <w:sz w:val="20"/>
                <w:szCs w:val="20"/>
              </w:rPr>
              <w:t xml:space="preserve">，可供 </w:t>
            </w:r>
            <w:r>
              <w:rPr>
                <w:rFonts w:ascii="Times New Roman" w:hAnsi="Times New Roman" w:eastAsia="Times New Roman" w:cs="Times New Roman"/>
                <w:spacing w:val="-3"/>
                <w:sz w:val="20"/>
                <w:szCs w:val="20"/>
              </w:rPr>
              <w:t xml:space="preserve">10 </w:t>
            </w:r>
            <w:r>
              <w:rPr>
                <w:rFonts w:ascii="宋体" w:hAnsi="宋体" w:eastAsia="宋体" w:cs="宋体"/>
                <w:spacing w:val="-3"/>
                <w:sz w:val="20"/>
                <w:szCs w:val="20"/>
              </w:rPr>
              <w:t>条生产</w:t>
            </w:r>
            <w:r>
              <w:rPr>
                <w:rFonts w:ascii="宋体" w:hAnsi="宋体" w:eastAsia="宋体" w:cs="宋体"/>
                <w:sz w:val="20"/>
                <w:szCs w:val="20"/>
              </w:rPr>
              <w:t xml:space="preserve"> </w:t>
            </w:r>
            <w:r>
              <w:rPr>
                <w:rFonts w:ascii="宋体" w:hAnsi="宋体" w:eastAsia="宋体" w:cs="宋体"/>
                <w:spacing w:val="-8"/>
                <w:sz w:val="20"/>
                <w:szCs w:val="20"/>
              </w:rPr>
              <w:t>线生</w:t>
            </w:r>
            <w:r>
              <w:rPr>
                <w:rFonts w:ascii="宋体" w:hAnsi="宋体" w:eastAsia="宋体" w:cs="宋体"/>
                <w:spacing w:val="-6"/>
                <w:sz w:val="20"/>
                <w:szCs w:val="20"/>
              </w:rPr>
              <w:t>产</w:t>
            </w:r>
            <w:r>
              <w:rPr>
                <w:rFonts w:ascii="宋体" w:hAnsi="宋体" w:eastAsia="宋体" w:cs="宋体"/>
                <w:spacing w:val="-4"/>
                <w:sz w:val="20"/>
                <w:szCs w:val="20"/>
              </w:rPr>
              <w:t xml:space="preserve"> </w:t>
            </w:r>
            <w:r>
              <w:rPr>
                <w:rFonts w:ascii="Times New Roman" w:hAnsi="Times New Roman" w:eastAsia="Times New Roman" w:cs="Times New Roman"/>
                <w:spacing w:val="-4"/>
                <w:sz w:val="20"/>
                <w:szCs w:val="20"/>
              </w:rPr>
              <w:t xml:space="preserve">2 </w:t>
            </w:r>
            <w:r>
              <w:rPr>
                <w:rFonts w:ascii="宋体" w:hAnsi="宋体" w:eastAsia="宋体" w:cs="宋体"/>
                <w:spacing w:val="-4"/>
                <w:sz w:val="20"/>
                <w:szCs w:val="20"/>
              </w:rPr>
              <w:t>天。项目所用原料为废塑料编织袋，均外购于本溪宏远集团北台再</w:t>
            </w:r>
            <w:r>
              <w:rPr>
                <w:rFonts w:ascii="宋体" w:hAnsi="宋体" w:eastAsia="宋体" w:cs="宋体"/>
                <w:sz w:val="20"/>
                <w:szCs w:val="20"/>
              </w:rPr>
              <w:t xml:space="preserve"> </w:t>
            </w:r>
            <w:r>
              <w:rPr>
                <w:rFonts w:ascii="宋体" w:hAnsi="宋体" w:eastAsia="宋体" w:cs="宋体"/>
                <w:spacing w:val="-3"/>
                <w:sz w:val="20"/>
                <w:szCs w:val="20"/>
              </w:rPr>
              <w:t>生资源有限责任公司及平山区利安建材城，为本溪宏远集团北台再生资源</w:t>
            </w:r>
            <w:r>
              <w:rPr>
                <w:rFonts w:ascii="宋体" w:hAnsi="宋体" w:eastAsia="宋体" w:cs="宋体"/>
                <w:spacing w:val="-1"/>
                <w:sz w:val="20"/>
                <w:szCs w:val="20"/>
              </w:rPr>
              <w:t>有</w:t>
            </w:r>
            <w:r>
              <w:rPr>
                <w:rFonts w:ascii="宋体" w:hAnsi="宋体" w:eastAsia="宋体" w:cs="宋体"/>
                <w:sz w:val="20"/>
                <w:szCs w:val="20"/>
              </w:rPr>
              <w:t xml:space="preserve"> </w:t>
            </w:r>
            <w:r>
              <w:rPr>
                <w:rFonts w:ascii="宋体" w:hAnsi="宋体" w:eastAsia="宋体" w:cs="宋体"/>
                <w:spacing w:val="-4"/>
                <w:sz w:val="20"/>
                <w:szCs w:val="20"/>
              </w:rPr>
              <w:t>限责任公司收购北台钢铁 (</w:t>
            </w:r>
            <w:r>
              <w:rPr>
                <w:rFonts w:ascii="宋体" w:hAnsi="宋体" w:eastAsia="宋体" w:cs="宋体"/>
                <w:spacing w:val="-3"/>
                <w:sz w:val="20"/>
                <w:szCs w:val="20"/>
              </w:rPr>
              <w:t>集</w:t>
            </w:r>
            <w:r>
              <w:rPr>
                <w:rFonts w:ascii="宋体" w:hAnsi="宋体" w:eastAsia="宋体" w:cs="宋体"/>
                <w:spacing w:val="-2"/>
                <w:sz w:val="20"/>
                <w:szCs w:val="20"/>
              </w:rPr>
              <w:t>团) 有限责任公司所用原料合金铁及铝锭的废</w:t>
            </w:r>
            <w:r>
              <w:rPr>
                <w:rFonts w:ascii="宋体" w:hAnsi="宋体" w:eastAsia="宋体" w:cs="宋体"/>
                <w:sz w:val="20"/>
                <w:szCs w:val="20"/>
              </w:rPr>
              <w:t xml:space="preserve"> </w:t>
            </w:r>
            <w:r>
              <w:rPr>
                <w:rFonts w:ascii="宋体" w:hAnsi="宋体" w:eastAsia="宋体" w:cs="宋体"/>
                <w:spacing w:val="-3"/>
                <w:sz w:val="20"/>
                <w:szCs w:val="20"/>
              </w:rPr>
              <w:t>包装袋及平山区利安建材城所销售砂子的废包装袋，主要成分为聚乙烯、</w:t>
            </w:r>
            <w:r>
              <w:rPr>
                <w:rFonts w:ascii="宋体" w:hAnsi="宋体" w:eastAsia="宋体" w:cs="宋体"/>
                <w:spacing w:val="-1"/>
                <w:sz w:val="20"/>
                <w:szCs w:val="20"/>
              </w:rPr>
              <w:t>聚</w:t>
            </w:r>
            <w:r>
              <w:rPr>
                <w:rFonts w:ascii="宋体" w:hAnsi="宋体" w:eastAsia="宋体" w:cs="宋体"/>
                <w:sz w:val="20"/>
                <w:szCs w:val="20"/>
              </w:rPr>
              <w:t xml:space="preserve"> </w:t>
            </w:r>
            <w:r>
              <w:rPr>
                <w:rFonts w:ascii="宋体" w:hAnsi="宋体" w:eastAsia="宋体" w:cs="宋体"/>
                <w:spacing w:val="-3"/>
                <w:sz w:val="20"/>
                <w:szCs w:val="20"/>
              </w:rPr>
              <w:t>丙烯。原料入场前均经过检验筛选，严格把关，禁止企业回收和再生利用</w:t>
            </w:r>
            <w:r>
              <w:rPr>
                <w:rFonts w:ascii="宋体" w:hAnsi="宋体" w:eastAsia="宋体" w:cs="宋体"/>
                <w:spacing w:val="-1"/>
                <w:sz w:val="20"/>
                <w:szCs w:val="20"/>
              </w:rPr>
              <w:t>属</w:t>
            </w:r>
            <w:r>
              <w:rPr>
                <w:rFonts w:ascii="宋体" w:hAnsi="宋体" w:eastAsia="宋体" w:cs="宋体"/>
                <w:sz w:val="20"/>
                <w:szCs w:val="20"/>
              </w:rPr>
              <w:t xml:space="preserve"> </w:t>
            </w:r>
            <w:r>
              <w:rPr>
                <w:rFonts w:ascii="宋体" w:hAnsi="宋体" w:eastAsia="宋体" w:cs="宋体"/>
                <w:spacing w:val="-3"/>
                <w:sz w:val="20"/>
                <w:szCs w:val="20"/>
              </w:rPr>
              <w:t>于受到危险化学品、农药等污染的废弃塑料包装物、废弃一次性医疗用塑</w:t>
            </w:r>
            <w:r>
              <w:rPr>
                <w:rFonts w:ascii="宋体" w:hAnsi="宋体" w:eastAsia="宋体" w:cs="宋体"/>
                <w:spacing w:val="-1"/>
                <w:sz w:val="20"/>
                <w:szCs w:val="20"/>
              </w:rPr>
              <w:t>料</w:t>
            </w:r>
            <w:r>
              <w:rPr>
                <w:rFonts w:ascii="宋体" w:hAnsi="宋体" w:eastAsia="宋体" w:cs="宋体"/>
                <w:sz w:val="20"/>
                <w:szCs w:val="20"/>
              </w:rPr>
              <w:t xml:space="preserve"> </w:t>
            </w:r>
            <w:r>
              <w:rPr>
                <w:rFonts w:ascii="宋体" w:hAnsi="宋体" w:eastAsia="宋体" w:cs="宋体"/>
                <w:spacing w:val="-3"/>
                <w:sz w:val="20"/>
                <w:szCs w:val="20"/>
              </w:rPr>
              <w:t>制品等塑料类危险废物，以及氟塑料等特种工程塑料。</w:t>
            </w:r>
          </w:p>
        </w:tc>
      </w:tr>
      <w:tr w14:paraId="46DAF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3" w:hRule="atLeast"/>
        </w:trPr>
        <w:tc>
          <w:tcPr>
            <w:tcW w:w="521" w:type="dxa"/>
            <w:vMerge w:val="restart"/>
            <w:tcBorders>
              <w:left w:val="nil"/>
              <w:bottom w:val="nil"/>
            </w:tcBorders>
            <w:vAlign w:val="top"/>
          </w:tcPr>
          <w:p w14:paraId="3A90FF5A">
            <w:pPr>
              <w:spacing w:line="243" w:lineRule="auto"/>
              <w:rPr>
                <w:rFonts w:ascii="Arial"/>
                <w:sz w:val="21"/>
              </w:rPr>
            </w:pPr>
          </w:p>
          <w:p w14:paraId="0D536C9C">
            <w:pPr>
              <w:spacing w:line="244" w:lineRule="auto"/>
              <w:rPr>
                <w:rFonts w:ascii="Arial"/>
                <w:sz w:val="21"/>
              </w:rPr>
            </w:pPr>
          </w:p>
          <w:p w14:paraId="494C8174">
            <w:pPr>
              <w:spacing w:line="244" w:lineRule="auto"/>
              <w:rPr>
                <w:rFonts w:ascii="Arial"/>
                <w:sz w:val="21"/>
              </w:rPr>
            </w:pPr>
          </w:p>
          <w:p w14:paraId="309AAC19">
            <w:pPr>
              <w:spacing w:line="244" w:lineRule="auto"/>
              <w:rPr>
                <w:rFonts w:ascii="Arial"/>
                <w:sz w:val="21"/>
              </w:rPr>
            </w:pPr>
          </w:p>
          <w:p w14:paraId="4FC50064">
            <w:pPr>
              <w:spacing w:line="244" w:lineRule="auto"/>
              <w:rPr>
                <w:rFonts w:ascii="Arial"/>
                <w:sz w:val="21"/>
              </w:rPr>
            </w:pPr>
          </w:p>
          <w:p w14:paraId="53AC77AE">
            <w:pPr>
              <w:spacing w:line="244" w:lineRule="auto"/>
              <w:rPr>
                <w:rFonts w:ascii="Arial"/>
                <w:sz w:val="21"/>
              </w:rPr>
            </w:pPr>
          </w:p>
          <w:p w14:paraId="23842772">
            <w:pPr>
              <w:spacing w:line="244" w:lineRule="auto"/>
              <w:rPr>
                <w:rFonts w:ascii="Arial"/>
                <w:sz w:val="21"/>
              </w:rPr>
            </w:pPr>
          </w:p>
          <w:p w14:paraId="6B1466CA">
            <w:pPr>
              <w:spacing w:line="244" w:lineRule="auto"/>
              <w:rPr>
                <w:rFonts w:ascii="Arial"/>
                <w:sz w:val="21"/>
              </w:rPr>
            </w:pPr>
          </w:p>
          <w:p w14:paraId="27329013">
            <w:pPr>
              <w:spacing w:line="244" w:lineRule="auto"/>
              <w:rPr>
                <w:rFonts w:ascii="Arial"/>
                <w:sz w:val="21"/>
              </w:rPr>
            </w:pPr>
          </w:p>
          <w:p w14:paraId="26F4B8AA">
            <w:pPr>
              <w:spacing w:before="65" w:line="265" w:lineRule="auto"/>
              <w:ind w:left="74" w:right="48" w:firstLine="3"/>
              <w:rPr>
                <w:rFonts w:ascii="宋体" w:hAnsi="宋体" w:eastAsia="宋体" w:cs="宋体"/>
                <w:sz w:val="20"/>
                <w:szCs w:val="20"/>
              </w:rPr>
            </w:pPr>
            <w:r>
              <w:rPr>
                <w:rFonts w:ascii="宋体" w:hAnsi="宋体" w:eastAsia="宋体" w:cs="宋体"/>
                <w:spacing w:val="-5"/>
                <w:sz w:val="20"/>
                <w:szCs w:val="20"/>
              </w:rPr>
              <w:t>公</w:t>
            </w:r>
            <w:r>
              <w:rPr>
                <w:rFonts w:ascii="宋体" w:hAnsi="宋体" w:eastAsia="宋体" w:cs="宋体"/>
                <w:spacing w:val="-4"/>
                <w:sz w:val="20"/>
                <w:szCs w:val="20"/>
              </w:rPr>
              <w:t>用</w:t>
            </w:r>
            <w:r>
              <w:rPr>
                <w:rFonts w:ascii="宋体" w:hAnsi="宋体" w:eastAsia="宋体" w:cs="宋体"/>
                <w:sz w:val="20"/>
                <w:szCs w:val="20"/>
              </w:rPr>
              <w:t xml:space="preserve"> </w:t>
            </w:r>
            <w:r>
              <w:rPr>
                <w:rFonts w:ascii="宋体" w:hAnsi="宋体" w:eastAsia="宋体" w:cs="宋体"/>
                <w:spacing w:val="-3"/>
                <w:sz w:val="20"/>
                <w:szCs w:val="20"/>
              </w:rPr>
              <w:t>工</w:t>
            </w:r>
            <w:r>
              <w:rPr>
                <w:rFonts w:ascii="宋体" w:hAnsi="宋体" w:eastAsia="宋体" w:cs="宋体"/>
                <w:spacing w:val="-2"/>
                <w:sz w:val="20"/>
                <w:szCs w:val="20"/>
              </w:rPr>
              <w:t>程</w:t>
            </w:r>
          </w:p>
        </w:tc>
        <w:tc>
          <w:tcPr>
            <w:tcW w:w="1276" w:type="dxa"/>
            <w:vAlign w:val="top"/>
          </w:tcPr>
          <w:p w14:paraId="53BECD26">
            <w:pPr>
              <w:spacing w:line="329" w:lineRule="auto"/>
              <w:rPr>
                <w:rFonts w:ascii="Arial"/>
                <w:sz w:val="21"/>
              </w:rPr>
            </w:pPr>
          </w:p>
          <w:p w14:paraId="55539EC0">
            <w:pPr>
              <w:spacing w:before="65" w:line="228" w:lineRule="auto"/>
              <w:ind w:left="252"/>
              <w:rPr>
                <w:rFonts w:ascii="宋体" w:hAnsi="宋体" w:eastAsia="宋体" w:cs="宋体"/>
                <w:sz w:val="20"/>
                <w:szCs w:val="20"/>
              </w:rPr>
            </w:pPr>
            <w:r>
              <w:rPr>
                <w:rFonts w:ascii="宋体" w:hAnsi="宋体" w:eastAsia="宋体" w:cs="宋体"/>
                <w:spacing w:val="-2"/>
                <w:sz w:val="20"/>
                <w:szCs w:val="20"/>
              </w:rPr>
              <w:t>给水系</w:t>
            </w:r>
            <w:r>
              <w:rPr>
                <w:rFonts w:ascii="宋体" w:hAnsi="宋体" w:eastAsia="宋体" w:cs="宋体"/>
                <w:spacing w:val="-1"/>
                <w:sz w:val="20"/>
                <w:szCs w:val="20"/>
              </w:rPr>
              <w:t>统</w:t>
            </w:r>
          </w:p>
        </w:tc>
        <w:tc>
          <w:tcPr>
            <w:tcW w:w="6563" w:type="dxa"/>
            <w:gridSpan w:val="2"/>
            <w:tcBorders>
              <w:right w:val="nil"/>
            </w:tcBorders>
            <w:vAlign w:val="top"/>
          </w:tcPr>
          <w:p w14:paraId="7325CB02">
            <w:pPr>
              <w:spacing w:before="63" w:line="289" w:lineRule="auto"/>
              <w:ind w:left="48" w:hanging="1"/>
              <w:rPr>
                <w:rFonts w:ascii="宋体" w:hAnsi="宋体" w:eastAsia="宋体" w:cs="宋体"/>
                <w:sz w:val="20"/>
                <w:szCs w:val="20"/>
              </w:rPr>
            </w:pPr>
            <w:r>
              <w:rPr>
                <w:rFonts w:ascii="宋体" w:hAnsi="宋体" w:eastAsia="宋体" w:cs="宋体"/>
                <w:spacing w:val="-4"/>
                <w:sz w:val="20"/>
                <w:szCs w:val="20"/>
              </w:rPr>
              <w:t>用水主要用水为生活用水以及生产用水，其中生产用水包括破碎工序用水、</w:t>
            </w:r>
            <w:r>
              <w:rPr>
                <w:rFonts w:ascii="宋体" w:hAnsi="宋体" w:eastAsia="宋体" w:cs="宋体"/>
                <w:sz w:val="20"/>
                <w:szCs w:val="20"/>
              </w:rPr>
              <w:t xml:space="preserve"> </w:t>
            </w:r>
            <w:r>
              <w:rPr>
                <w:rFonts w:ascii="宋体" w:hAnsi="宋体" w:eastAsia="宋体" w:cs="宋体"/>
                <w:spacing w:val="-16"/>
                <w:sz w:val="20"/>
                <w:szCs w:val="20"/>
              </w:rPr>
              <w:t>原料</w:t>
            </w:r>
            <w:r>
              <w:rPr>
                <w:rFonts w:ascii="宋体" w:hAnsi="宋体" w:eastAsia="宋体" w:cs="宋体"/>
                <w:spacing w:val="-10"/>
                <w:sz w:val="20"/>
                <w:szCs w:val="20"/>
              </w:rPr>
              <w:t>原</w:t>
            </w:r>
            <w:r>
              <w:rPr>
                <w:rFonts w:ascii="宋体" w:hAnsi="宋体" w:eastAsia="宋体" w:cs="宋体"/>
                <w:spacing w:val="-8"/>
                <w:sz w:val="20"/>
                <w:szCs w:val="20"/>
              </w:rPr>
              <w:t>料初洗工序用水、洗字工序用水、二次清洗工序用水以及循环冷却水。</w:t>
            </w:r>
            <w:r>
              <w:rPr>
                <w:rFonts w:ascii="宋体" w:hAnsi="宋体" w:eastAsia="宋体" w:cs="宋体"/>
                <w:sz w:val="20"/>
                <w:szCs w:val="20"/>
              </w:rPr>
              <w:t xml:space="preserve"> </w:t>
            </w:r>
            <w:r>
              <w:rPr>
                <w:rFonts w:ascii="宋体" w:hAnsi="宋体" w:eastAsia="宋体" w:cs="宋体"/>
                <w:spacing w:val="-10"/>
                <w:sz w:val="20"/>
                <w:szCs w:val="20"/>
              </w:rPr>
              <w:t>该项目</w:t>
            </w:r>
            <w:r>
              <w:rPr>
                <w:rFonts w:ascii="宋体" w:hAnsi="宋体" w:eastAsia="宋体" w:cs="宋体"/>
                <w:spacing w:val="-9"/>
                <w:sz w:val="20"/>
                <w:szCs w:val="20"/>
              </w:rPr>
              <w:t>新</w:t>
            </w:r>
            <w:r>
              <w:rPr>
                <w:rFonts w:ascii="宋体" w:hAnsi="宋体" w:eastAsia="宋体" w:cs="宋体"/>
                <w:spacing w:val="-5"/>
                <w:sz w:val="20"/>
                <w:szCs w:val="20"/>
              </w:rPr>
              <w:t xml:space="preserve">鲜水总用量为 </w:t>
            </w:r>
            <w:r>
              <w:rPr>
                <w:rFonts w:ascii="Times New Roman" w:hAnsi="Times New Roman" w:eastAsia="Times New Roman" w:cs="Times New Roman"/>
                <w:spacing w:val="-5"/>
                <w:sz w:val="20"/>
                <w:szCs w:val="20"/>
              </w:rPr>
              <w:t>3732m</w:t>
            </w:r>
            <w:r>
              <w:rPr>
                <w:rFonts w:ascii="Times New Roman" w:hAnsi="Times New Roman" w:eastAsia="Times New Roman" w:cs="Times New Roman"/>
                <w:spacing w:val="-5"/>
                <w:position w:val="6"/>
                <w:sz w:val="13"/>
                <w:szCs w:val="13"/>
              </w:rPr>
              <w:t>3</w:t>
            </w:r>
            <w:r>
              <w:rPr>
                <w:rFonts w:ascii="Times New Roman" w:hAnsi="Times New Roman" w:eastAsia="Times New Roman" w:cs="Times New Roman"/>
                <w:spacing w:val="-5"/>
                <w:sz w:val="20"/>
                <w:szCs w:val="20"/>
              </w:rPr>
              <w:t>/a</w:t>
            </w:r>
            <w:r>
              <w:rPr>
                <w:rFonts w:ascii="宋体" w:hAnsi="宋体" w:eastAsia="宋体" w:cs="宋体"/>
                <w:spacing w:val="-5"/>
                <w:sz w:val="20"/>
                <w:szCs w:val="20"/>
              </w:rPr>
              <w:t>，新鲜水均由当地自来水管网提供。</w:t>
            </w:r>
          </w:p>
        </w:tc>
      </w:tr>
      <w:tr w14:paraId="6AC4F1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1" w:hRule="atLeast"/>
        </w:trPr>
        <w:tc>
          <w:tcPr>
            <w:tcW w:w="521" w:type="dxa"/>
            <w:vMerge w:val="continue"/>
            <w:tcBorders>
              <w:top w:val="nil"/>
              <w:left w:val="nil"/>
              <w:bottom w:val="nil"/>
            </w:tcBorders>
            <w:vAlign w:val="top"/>
          </w:tcPr>
          <w:p w14:paraId="348783A5">
            <w:pPr>
              <w:rPr>
                <w:rFonts w:ascii="Arial"/>
                <w:sz w:val="21"/>
              </w:rPr>
            </w:pPr>
          </w:p>
        </w:tc>
        <w:tc>
          <w:tcPr>
            <w:tcW w:w="1276" w:type="dxa"/>
            <w:vAlign w:val="top"/>
          </w:tcPr>
          <w:p w14:paraId="42543DE4">
            <w:pPr>
              <w:spacing w:line="264" w:lineRule="auto"/>
              <w:rPr>
                <w:rFonts w:ascii="Arial"/>
                <w:sz w:val="21"/>
              </w:rPr>
            </w:pPr>
          </w:p>
          <w:p w14:paraId="114AF9FE">
            <w:pPr>
              <w:spacing w:line="264" w:lineRule="auto"/>
              <w:rPr>
                <w:rFonts w:ascii="Arial"/>
                <w:sz w:val="21"/>
              </w:rPr>
            </w:pPr>
          </w:p>
          <w:p w14:paraId="0C726C48">
            <w:pPr>
              <w:spacing w:line="265" w:lineRule="auto"/>
              <w:rPr>
                <w:rFonts w:ascii="Arial"/>
                <w:sz w:val="21"/>
              </w:rPr>
            </w:pPr>
          </w:p>
          <w:p w14:paraId="2083CC22">
            <w:pPr>
              <w:spacing w:line="265" w:lineRule="auto"/>
              <w:rPr>
                <w:rFonts w:ascii="Arial"/>
                <w:sz w:val="21"/>
              </w:rPr>
            </w:pPr>
          </w:p>
          <w:p w14:paraId="3A24C8C4">
            <w:pPr>
              <w:spacing w:line="265" w:lineRule="auto"/>
              <w:rPr>
                <w:rFonts w:ascii="Arial"/>
                <w:sz w:val="21"/>
              </w:rPr>
            </w:pPr>
          </w:p>
          <w:p w14:paraId="2F7EF371">
            <w:pPr>
              <w:spacing w:before="65" w:line="228" w:lineRule="auto"/>
              <w:ind w:left="251"/>
              <w:rPr>
                <w:rFonts w:ascii="宋体" w:hAnsi="宋体" w:eastAsia="宋体" w:cs="宋体"/>
                <w:sz w:val="20"/>
                <w:szCs w:val="20"/>
              </w:rPr>
            </w:pPr>
            <w:r>
              <w:rPr>
                <w:rFonts w:ascii="宋体" w:hAnsi="宋体" w:eastAsia="宋体" w:cs="宋体"/>
                <w:spacing w:val="-2"/>
                <w:sz w:val="20"/>
                <w:szCs w:val="20"/>
              </w:rPr>
              <w:t>排水</w:t>
            </w:r>
            <w:r>
              <w:rPr>
                <w:rFonts w:ascii="宋体" w:hAnsi="宋体" w:eastAsia="宋体" w:cs="宋体"/>
                <w:spacing w:val="-1"/>
                <w:sz w:val="20"/>
                <w:szCs w:val="20"/>
              </w:rPr>
              <w:t>系统</w:t>
            </w:r>
          </w:p>
        </w:tc>
        <w:tc>
          <w:tcPr>
            <w:tcW w:w="6563" w:type="dxa"/>
            <w:gridSpan w:val="2"/>
            <w:tcBorders>
              <w:right w:val="nil"/>
            </w:tcBorders>
            <w:vAlign w:val="top"/>
          </w:tcPr>
          <w:p w14:paraId="37E77967">
            <w:pPr>
              <w:spacing w:before="69" w:line="298" w:lineRule="auto"/>
              <w:ind w:left="45"/>
              <w:rPr>
                <w:rFonts w:ascii="宋体" w:hAnsi="宋体" w:eastAsia="宋体" w:cs="宋体"/>
                <w:sz w:val="20"/>
                <w:szCs w:val="20"/>
              </w:rPr>
            </w:pPr>
            <w:r>
              <w:rPr>
                <w:rFonts w:ascii="宋体" w:hAnsi="宋体" w:eastAsia="宋体" w:cs="宋体"/>
                <w:spacing w:val="-3"/>
                <w:sz w:val="20"/>
                <w:szCs w:val="20"/>
              </w:rPr>
              <w:t>排水主要包括生活污水以及生产废水，其中生产废水主要包括破碎工序产生</w:t>
            </w:r>
            <w:r>
              <w:rPr>
                <w:rFonts w:ascii="宋体" w:hAnsi="宋体" w:eastAsia="宋体" w:cs="宋体"/>
                <w:sz w:val="20"/>
                <w:szCs w:val="20"/>
              </w:rPr>
              <w:t xml:space="preserve"> </w:t>
            </w:r>
            <w:r>
              <w:rPr>
                <w:rFonts w:ascii="宋体" w:hAnsi="宋体" w:eastAsia="宋体" w:cs="宋体"/>
                <w:spacing w:val="-3"/>
                <w:sz w:val="20"/>
                <w:szCs w:val="20"/>
              </w:rPr>
              <w:t>的废水，原料初洗工序、洗字工序、二次清洗工序产生的清洗废水、脱水</w:t>
            </w:r>
            <w:r>
              <w:rPr>
                <w:rFonts w:ascii="宋体" w:hAnsi="宋体" w:eastAsia="宋体" w:cs="宋体"/>
                <w:spacing w:val="-1"/>
                <w:sz w:val="20"/>
                <w:szCs w:val="20"/>
              </w:rPr>
              <w:t>工</w:t>
            </w:r>
            <w:r>
              <w:rPr>
                <w:rFonts w:ascii="宋体" w:hAnsi="宋体" w:eastAsia="宋体" w:cs="宋体"/>
                <w:sz w:val="20"/>
                <w:szCs w:val="20"/>
              </w:rPr>
              <w:t xml:space="preserve"> </w:t>
            </w:r>
            <w:r>
              <w:rPr>
                <w:rFonts w:ascii="宋体" w:hAnsi="宋体" w:eastAsia="宋体" w:cs="宋体"/>
                <w:spacing w:val="-2"/>
                <w:sz w:val="20"/>
                <w:szCs w:val="20"/>
              </w:rPr>
              <w:t xml:space="preserve">序产生的废水以及循环冷却废水，总排水量为 </w:t>
            </w:r>
            <w:r>
              <w:rPr>
                <w:rFonts w:ascii="Times New Roman" w:hAnsi="Times New Roman" w:eastAsia="Times New Roman" w:cs="Times New Roman"/>
                <w:spacing w:val="-2"/>
                <w:sz w:val="20"/>
                <w:szCs w:val="20"/>
              </w:rPr>
              <w:t>2483.52</w:t>
            </w:r>
            <w:r>
              <w:rPr>
                <w:rFonts w:ascii="Times New Roman" w:hAnsi="Times New Roman" w:eastAsia="Times New Roman" w:cs="Times New Roman"/>
                <w:sz w:val="20"/>
                <w:szCs w:val="20"/>
              </w:rPr>
              <w:t>m</w:t>
            </w:r>
            <w:r>
              <w:rPr>
                <w:rFonts w:ascii="Times New Roman" w:hAnsi="Times New Roman" w:eastAsia="Times New Roman" w:cs="Times New Roman"/>
                <w:spacing w:val="-2"/>
                <w:position w:val="6"/>
                <w:sz w:val="13"/>
                <w:szCs w:val="13"/>
              </w:rPr>
              <w:t>3</w:t>
            </w:r>
            <w:r>
              <w:rPr>
                <w:rFonts w:ascii="Times New Roman" w:hAnsi="Times New Roman" w:eastAsia="Times New Roman" w:cs="Times New Roman"/>
                <w:spacing w:val="-2"/>
                <w:sz w:val="20"/>
                <w:szCs w:val="20"/>
              </w:rPr>
              <w:t>/</w:t>
            </w:r>
            <w:r>
              <w:rPr>
                <w:rFonts w:ascii="Times New Roman" w:hAnsi="Times New Roman" w:eastAsia="Times New Roman" w:cs="Times New Roman"/>
                <w:sz w:val="20"/>
                <w:szCs w:val="20"/>
              </w:rPr>
              <w:t>a</w:t>
            </w:r>
            <w:r>
              <w:rPr>
                <w:rFonts w:ascii="Times New Roman" w:hAnsi="Times New Roman" w:eastAsia="Times New Roman" w:cs="Times New Roman"/>
                <w:spacing w:val="-2"/>
                <w:sz w:val="20"/>
                <w:szCs w:val="20"/>
              </w:rPr>
              <w:t xml:space="preserve"> </w:t>
            </w:r>
            <w:r>
              <w:rPr>
                <w:rFonts w:ascii="宋体" w:hAnsi="宋体" w:eastAsia="宋体" w:cs="宋体"/>
                <w:spacing w:val="-2"/>
                <w:sz w:val="20"/>
                <w:szCs w:val="20"/>
              </w:rPr>
              <w:t>。该项目在厂</w:t>
            </w:r>
            <w:r>
              <w:rPr>
                <w:rFonts w:ascii="宋体" w:hAnsi="宋体" w:eastAsia="宋体" w:cs="宋体"/>
                <w:sz w:val="20"/>
                <w:szCs w:val="20"/>
              </w:rPr>
              <w:t xml:space="preserve">区 </w:t>
            </w:r>
            <w:r>
              <w:rPr>
                <w:rFonts w:ascii="宋体" w:hAnsi="宋体" w:eastAsia="宋体" w:cs="宋体"/>
                <w:spacing w:val="2"/>
                <w:sz w:val="20"/>
                <w:szCs w:val="20"/>
              </w:rPr>
              <w:t xml:space="preserve">东南侧设有旱厕，员工使用防渗旱厕，定期清掏，不外排；项目设有 </w:t>
            </w:r>
            <w:r>
              <w:rPr>
                <w:rFonts w:ascii="Times New Roman" w:hAnsi="Times New Roman" w:eastAsia="Times New Roman" w:cs="Times New Roman"/>
                <w:sz w:val="20"/>
                <w:szCs w:val="20"/>
              </w:rPr>
              <w:t xml:space="preserve">1 </w:t>
            </w:r>
            <w:r>
              <w:rPr>
                <w:rFonts w:ascii="宋体" w:hAnsi="宋体" w:eastAsia="宋体" w:cs="宋体"/>
                <w:sz w:val="20"/>
                <w:szCs w:val="20"/>
              </w:rPr>
              <w:t xml:space="preserve">座 </w:t>
            </w:r>
            <w:r>
              <w:rPr>
                <w:rFonts w:ascii="宋体" w:hAnsi="宋体" w:eastAsia="宋体" w:cs="宋体"/>
                <w:spacing w:val="-6"/>
                <w:sz w:val="20"/>
                <w:szCs w:val="20"/>
              </w:rPr>
              <w:t>容</w:t>
            </w:r>
            <w:r>
              <w:rPr>
                <w:rFonts w:ascii="宋体" w:hAnsi="宋体" w:eastAsia="宋体" w:cs="宋体"/>
                <w:spacing w:val="-5"/>
                <w:sz w:val="20"/>
                <w:szCs w:val="20"/>
              </w:rPr>
              <w:t>积</w:t>
            </w:r>
            <w:r>
              <w:rPr>
                <w:rFonts w:ascii="宋体" w:hAnsi="宋体" w:eastAsia="宋体" w:cs="宋体"/>
                <w:spacing w:val="-3"/>
                <w:sz w:val="20"/>
                <w:szCs w:val="20"/>
              </w:rPr>
              <w:t>为</w:t>
            </w:r>
            <w:r>
              <w:rPr>
                <w:rFonts w:ascii="Times New Roman" w:hAnsi="Times New Roman" w:eastAsia="Times New Roman" w:cs="Times New Roman"/>
                <w:spacing w:val="-3"/>
                <w:sz w:val="20"/>
                <w:szCs w:val="20"/>
              </w:rPr>
              <w:t>324m</w:t>
            </w:r>
            <w:r>
              <w:rPr>
                <w:rFonts w:ascii="Times New Roman" w:hAnsi="Times New Roman" w:eastAsia="Times New Roman" w:cs="Times New Roman"/>
                <w:spacing w:val="-3"/>
                <w:position w:val="6"/>
                <w:sz w:val="13"/>
                <w:szCs w:val="13"/>
              </w:rPr>
              <w:t xml:space="preserve">3 </w:t>
            </w:r>
            <w:r>
              <w:rPr>
                <w:rFonts w:ascii="宋体" w:hAnsi="宋体" w:eastAsia="宋体" w:cs="宋体"/>
                <w:spacing w:val="-3"/>
                <w:sz w:val="20"/>
                <w:szCs w:val="20"/>
              </w:rPr>
              <w:t>的三级沉淀池 (</w:t>
            </w:r>
            <w:r>
              <w:rPr>
                <w:rFonts w:ascii="Times New Roman" w:hAnsi="Times New Roman" w:eastAsia="Times New Roman" w:cs="Times New Roman"/>
                <w:spacing w:val="-3"/>
                <w:sz w:val="20"/>
                <w:szCs w:val="20"/>
              </w:rPr>
              <w:t>12m×6m×4.5m</w:t>
            </w:r>
            <w:r>
              <w:rPr>
                <w:rFonts w:ascii="宋体" w:hAnsi="宋体" w:eastAsia="宋体" w:cs="宋体"/>
                <w:spacing w:val="-3"/>
                <w:sz w:val="20"/>
                <w:szCs w:val="20"/>
              </w:rPr>
              <w:t xml:space="preserve">) ，同时配套设有 </w:t>
            </w:r>
            <w:r>
              <w:rPr>
                <w:rFonts w:ascii="Times New Roman" w:hAnsi="Times New Roman" w:eastAsia="Times New Roman" w:cs="Times New Roman"/>
                <w:spacing w:val="-3"/>
                <w:sz w:val="20"/>
                <w:szCs w:val="20"/>
              </w:rPr>
              <w:t xml:space="preserve">1 </w:t>
            </w:r>
            <w:r>
              <w:rPr>
                <w:rFonts w:ascii="宋体" w:hAnsi="宋体" w:eastAsia="宋体" w:cs="宋体"/>
                <w:spacing w:val="-3"/>
                <w:sz w:val="20"/>
                <w:szCs w:val="20"/>
              </w:rPr>
              <w:t>台一体化污</w:t>
            </w:r>
            <w:r>
              <w:rPr>
                <w:rFonts w:ascii="宋体" w:hAnsi="宋体" w:eastAsia="宋体" w:cs="宋体"/>
                <w:sz w:val="20"/>
                <w:szCs w:val="20"/>
              </w:rPr>
              <w:t xml:space="preserve"> </w:t>
            </w:r>
            <w:r>
              <w:rPr>
                <w:rFonts w:ascii="宋体" w:hAnsi="宋体" w:eastAsia="宋体" w:cs="宋体"/>
                <w:spacing w:val="-4"/>
                <w:sz w:val="20"/>
                <w:szCs w:val="20"/>
              </w:rPr>
              <w:t>水</w:t>
            </w:r>
            <w:r>
              <w:rPr>
                <w:rFonts w:ascii="宋体" w:hAnsi="宋体" w:eastAsia="宋体" w:cs="宋体"/>
                <w:spacing w:val="-3"/>
                <w:sz w:val="20"/>
                <w:szCs w:val="20"/>
              </w:rPr>
              <w:t>预处理设备，均位于生产厂房西南侧，产生的生产废水经一体化污水预处</w:t>
            </w:r>
            <w:r>
              <w:rPr>
                <w:rFonts w:ascii="宋体" w:hAnsi="宋体" w:eastAsia="宋体" w:cs="宋体"/>
                <w:sz w:val="20"/>
                <w:szCs w:val="20"/>
              </w:rPr>
              <w:t xml:space="preserve"> </w:t>
            </w:r>
            <w:r>
              <w:rPr>
                <w:rFonts w:ascii="宋体" w:hAnsi="宋体" w:eastAsia="宋体" w:cs="宋体"/>
                <w:spacing w:val="-6"/>
                <w:sz w:val="20"/>
                <w:szCs w:val="20"/>
              </w:rPr>
              <w:t>理设</w:t>
            </w:r>
            <w:r>
              <w:rPr>
                <w:rFonts w:ascii="宋体" w:hAnsi="宋体" w:eastAsia="宋体" w:cs="宋体"/>
                <w:spacing w:val="-5"/>
                <w:sz w:val="20"/>
                <w:szCs w:val="20"/>
              </w:rPr>
              <w:t>备</w:t>
            </w:r>
            <w:r>
              <w:rPr>
                <w:rFonts w:ascii="宋体" w:hAnsi="宋体" w:eastAsia="宋体" w:cs="宋体"/>
                <w:spacing w:val="-3"/>
                <w:sz w:val="20"/>
                <w:szCs w:val="20"/>
              </w:rPr>
              <w:t>处理后排入三级沉淀池 (</w:t>
            </w:r>
            <w:r>
              <w:rPr>
                <w:rFonts w:ascii="Times New Roman" w:hAnsi="Times New Roman" w:eastAsia="Times New Roman" w:cs="Times New Roman"/>
                <w:spacing w:val="-3"/>
                <w:sz w:val="20"/>
                <w:szCs w:val="20"/>
              </w:rPr>
              <w:t>12m×6m×4.5m</w:t>
            </w:r>
            <w:r>
              <w:rPr>
                <w:rFonts w:ascii="宋体" w:hAnsi="宋体" w:eastAsia="宋体" w:cs="宋体"/>
                <w:spacing w:val="-3"/>
                <w:sz w:val="20"/>
                <w:szCs w:val="20"/>
              </w:rPr>
              <w:t>) 沉淀处理，随后循环使用。</w:t>
            </w:r>
            <w:r>
              <w:rPr>
                <w:rFonts w:ascii="宋体" w:hAnsi="宋体" w:eastAsia="宋体" w:cs="宋体"/>
                <w:sz w:val="20"/>
                <w:szCs w:val="20"/>
              </w:rPr>
              <w:t xml:space="preserve"> </w:t>
            </w:r>
            <w:r>
              <w:rPr>
                <w:rFonts w:ascii="宋体" w:hAnsi="宋体" w:eastAsia="宋体" w:cs="宋体"/>
                <w:spacing w:val="-10"/>
                <w:sz w:val="20"/>
                <w:szCs w:val="20"/>
              </w:rPr>
              <w:t>污</w:t>
            </w:r>
            <w:r>
              <w:rPr>
                <w:rFonts w:ascii="宋体" w:hAnsi="宋体" w:eastAsia="宋体" w:cs="宋体"/>
                <w:spacing w:val="-8"/>
                <w:sz w:val="20"/>
                <w:szCs w:val="20"/>
              </w:rPr>
              <w:t xml:space="preserve">水处理设施废水每月更换 </w:t>
            </w:r>
            <w:r>
              <w:rPr>
                <w:rFonts w:ascii="Times New Roman" w:hAnsi="Times New Roman" w:eastAsia="Times New Roman" w:cs="Times New Roman"/>
                <w:spacing w:val="-8"/>
                <w:sz w:val="20"/>
                <w:szCs w:val="20"/>
              </w:rPr>
              <w:t xml:space="preserve">1 </w:t>
            </w:r>
            <w:r>
              <w:rPr>
                <w:rFonts w:ascii="宋体" w:hAnsi="宋体" w:eastAsia="宋体" w:cs="宋体"/>
                <w:spacing w:val="-8"/>
                <w:sz w:val="20"/>
                <w:szCs w:val="20"/>
              </w:rPr>
              <w:t xml:space="preserve">次，则该项目全年更换废水量为 </w:t>
            </w:r>
            <w:r>
              <w:rPr>
                <w:rFonts w:ascii="Times New Roman" w:hAnsi="Times New Roman" w:eastAsia="Times New Roman" w:cs="Times New Roman"/>
                <w:spacing w:val="-8"/>
                <w:sz w:val="20"/>
                <w:szCs w:val="20"/>
              </w:rPr>
              <w:t>1523.52m</w:t>
            </w:r>
            <w:r>
              <w:rPr>
                <w:rFonts w:ascii="Times New Roman" w:hAnsi="Times New Roman" w:eastAsia="Times New Roman" w:cs="Times New Roman"/>
                <w:spacing w:val="-8"/>
                <w:position w:val="6"/>
                <w:sz w:val="13"/>
                <w:szCs w:val="13"/>
              </w:rPr>
              <w:t xml:space="preserve">3 </w:t>
            </w:r>
            <w:r>
              <w:rPr>
                <w:rFonts w:ascii="宋体" w:hAnsi="宋体" w:eastAsia="宋体" w:cs="宋体"/>
                <w:spacing w:val="-8"/>
                <w:sz w:val="20"/>
                <w:szCs w:val="20"/>
              </w:rPr>
              <w:t>，更</w:t>
            </w:r>
            <w:r>
              <w:rPr>
                <w:rFonts w:ascii="宋体" w:hAnsi="宋体" w:eastAsia="宋体" w:cs="宋体"/>
                <w:sz w:val="20"/>
                <w:szCs w:val="20"/>
              </w:rPr>
              <w:t xml:space="preserve"> </w:t>
            </w:r>
            <w:r>
              <w:rPr>
                <w:rFonts w:ascii="宋体" w:hAnsi="宋体" w:eastAsia="宋体" w:cs="宋体"/>
                <w:spacing w:val="-28"/>
                <w:sz w:val="20"/>
                <w:szCs w:val="20"/>
              </w:rPr>
              <w:t>换</w:t>
            </w:r>
            <w:r>
              <w:rPr>
                <w:rFonts w:ascii="宋体" w:hAnsi="宋体" w:eastAsia="宋体" w:cs="宋体"/>
                <w:spacing w:val="-14"/>
                <w:sz w:val="20"/>
                <w:szCs w:val="20"/>
              </w:rPr>
              <w:t>过程产生的废水经吸污车运送至本溪市科态污水处理有限责任公司统一处理。</w:t>
            </w:r>
          </w:p>
        </w:tc>
      </w:tr>
      <w:tr w14:paraId="0F7F34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521" w:type="dxa"/>
            <w:vMerge w:val="continue"/>
            <w:tcBorders>
              <w:top w:val="nil"/>
              <w:left w:val="nil"/>
              <w:bottom w:val="nil"/>
            </w:tcBorders>
            <w:vAlign w:val="top"/>
          </w:tcPr>
          <w:p w14:paraId="6762C234">
            <w:pPr>
              <w:rPr>
                <w:rFonts w:ascii="Arial"/>
                <w:sz w:val="21"/>
              </w:rPr>
            </w:pPr>
          </w:p>
        </w:tc>
        <w:tc>
          <w:tcPr>
            <w:tcW w:w="1276" w:type="dxa"/>
            <w:vAlign w:val="top"/>
          </w:tcPr>
          <w:p w14:paraId="02869898">
            <w:pPr>
              <w:spacing w:before="64" w:line="227" w:lineRule="auto"/>
              <w:ind w:left="251"/>
              <w:rPr>
                <w:rFonts w:ascii="宋体" w:hAnsi="宋体" w:eastAsia="宋体" w:cs="宋体"/>
                <w:sz w:val="20"/>
                <w:szCs w:val="20"/>
              </w:rPr>
            </w:pPr>
            <w:r>
              <w:rPr>
                <w:rFonts w:ascii="宋体" w:hAnsi="宋体" w:eastAsia="宋体" w:cs="宋体"/>
                <w:spacing w:val="-2"/>
                <w:sz w:val="20"/>
                <w:szCs w:val="20"/>
              </w:rPr>
              <w:t>供电</w:t>
            </w:r>
            <w:r>
              <w:rPr>
                <w:rFonts w:ascii="宋体" w:hAnsi="宋体" w:eastAsia="宋体" w:cs="宋体"/>
                <w:spacing w:val="-1"/>
                <w:sz w:val="20"/>
                <w:szCs w:val="20"/>
              </w:rPr>
              <w:t>系统</w:t>
            </w:r>
          </w:p>
        </w:tc>
        <w:tc>
          <w:tcPr>
            <w:tcW w:w="6563" w:type="dxa"/>
            <w:gridSpan w:val="2"/>
            <w:tcBorders>
              <w:right w:val="nil"/>
            </w:tcBorders>
            <w:vAlign w:val="top"/>
          </w:tcPr>
          <w:p w14:paraId="2BB1B351">
            <w:pPr>
              <w:spacing w:before="26" w:line="281" w:lineRule="exact"/>
              <w:ind w:left="46"/>
              <w:rPr>
                <w:rFonts w:ascii="宋体" w:hAnsi="宋体" w:eastAsia="宋体" w:cs="宋体"/>
                <w:sz w:val="20"/>
                <w:szCs w:val="20"/>
              </w:rPr>
            </w:pPr>
            <w:r>
              <w:rPr>
                <w:rFonts w:ascii="宋体" w:hAnsi="宋体" w:eastAsia="宋体" w:cs="宋体"/>
                <w:spacing w:val="-4"/>
                <w:position w:val="1"/>
                <w:sz w:val="20"/>
                <w:szCs w:val="20"/>
              </w:rPr>
              <w:t>供电由当</w:t>
            </w:r>
            <w:r>
              <w:rPr>
                <w:rFonts w:ascii="宋体" w:hAnsi="宋体" w:eastAsia="宋体" w:cs="宋体"/>
                <w:spacing w:val="-2"/>
                <w:position w:val="1"/>
                <w:sz w:val="20"/>
                <w:szCs w:val="20"/>
              </w:rPr>
              <w:t xml:space="preserve">地电网引入，年用电量 </w:t>
            </w:r>
            <w:r>
              <w:rPr>
                <w:rFonts w:ascii="Times New Roman" w:hAnsi="Times New Roman" w:eastAsia="Times New Roman" w:cs="Times New Roman"/>
                <w:spacing w:val="-2"/>
                <w:position w:val="1"/>
                <w:sz w:val="20"/>
                <w:szCs w:val="20"/>
              </w:rPr>
              <w:t xml:space="preserve">1300 </w:t>
            </w:r>
            <w:r>
              <w:rPr>
                <w:rFonts w:ascii="宋体" w:hAnsi="宋体" w:eastAsia="宋体" w:cs="宋体"/>
                <w:spacing w:val="-2"/>
                <w:position w:val="1"/>
                <w:sz w:val="20"/>
                <w:szCs w:val="20"/>
              </w:rPr>
              <w:t>万</w:t>
            </w:r>
            <w:r>
              <w:rPr>
                <w:rFonts w:ascii="Times New Roman" w:hAnsi="Times New Roman" w:eastAsia="Times New Roman" w:cs="Times New Roman"/>
                <w:spacing w:val="-2"/>
                <w:position w:val="1"/>
                <w:sz w:val="20"/>
                <w:szCs w:val="20"/>
              </w:rPr>
              <w:t>kWh</w:t>
            </w:r>
            <w:r>
              <w:rPr>
                <w:rFonts w:ascii="宋体" w:hAnsi="宋体" w:eastAsia="宋体" w:cs="宋体"/>
                <w:spacing w:val="-2"/>
                <w:position w:val="1"/>
                <w:sz w:val="20"/>
                <w:szCs w:val="20"/>
              </w:rPr>
              <w:t>。</w:t>
            </w:r>
          </w:p>
        </w:tc>
      </w:tr>
      <w:tr w14:paraId="58CA26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521" w:type="dxa"/>
            <w:vMerge w:val="continue"/>
            <w:tcBorders>
              <w:top w:val="nil"/>
              <w:left w:val="nil"/>
            </w:tcBorders>
            <w:vAlign w:val="top"/>
          </w:tcPr>
          <w:p w14:paraId="4032259E">
            <w:pPr>
              <w:rPr>
                <w:rFonts w:ascii="Arial"/>
                <w:sz w:val="21"/>
              </w:rPr>
            </w:pPr>
          </w:p>
        </w:tc>
        <w:tc>
          <w:tcPr>
            <w:tcW w:w="1276" w:type="dxa"/>
            <w:vAlign w:val="top"/>
          </w:tcPr>
          <w:p w14:paraId="5412C5C5">
            <w:pPr>
              <w:spacing w:before="232" w:line="227" w:lineRule="auto"/>
              <w:ind w:left="251"/>
              <w:rPr>
                <w:rFonts w:ascii="宋体" w:hAnsi="宋体" w:eastAsia="宋体" w:cs="宋体"/>
                <w:sz w:val="20"/>
                <w:szCs w:val="20"/>
              </w:rPr>
            </w:pPr>
            <w:r>
              <w:rPr>
                <w:rFonts w:ascii="宋体" w:hAnsi="宋体" w:eastAsia="宋体" w:cs="宋体"/>
                <w:spacing w:val="-2"/>
                <w:sz w:val="20"/>
                <w:szCs w:val="20"/>
              </w:rPr>
              <w:t>供热</w:t>
            </w:r>
            <w:r>
              <w:rPr>
                <w:rFonts w:ascii="宋体" w:hAnsi="宋体" w:eastAsia="宋体" w:cs="宋体"/>
                <w:spacing w:val="-1"/>
                <w:sz w:val="20"/>
                <w:szCs w:val="20"/>
              </w:rPr>
              <w:t>系统</w:t>
            </w:r>
          </w:p>
        </w:tc>
        <w:tc>
          <w:tcPr>
            <w:tcW w:w="6563" w:type="dxa"/>
            <w:gridSpan w:val="2"/>
            <w:tcBorders>
              <w:right w:val="nil"/>
            </w:tcBorders>
            <w:vAlign w:val="top"/>
          </w:tcPr>
          <w:p w14:paraId="116FC76F">
            <w:pPr>
              <w:spacing w:before="64" w:line="280" w:lineRule="auto"/>
              <w:ind w:left="46" w:right="11" w:firstLine="1"/>
              <w:rPr>
                <w:rFonts w:ascii="宋体" w:hAnsi="宋体" w:eastAsia="宋体" w:cs="宋体"/>
                <w:sz w:val="20"/>
                <w:szCs w:val="20"/>
              </w:rPr>
            </w:pPr>
            <w:r>
              <w:rPr>
                <w:rFonts w:ascii="宋体" w:hAnsi="宋体" w:eastAsia="宋体" w:cs="宋体"/>
                <w:spacing w:val="-3"/>
                <w:sz w:val="20"/>
                <w:szCs w:val="20"/>
              </w:rPr>
              <w:t>生产厂房无需供暖，办公室及员工休息室供暖采用电取暖。洗字槽加热由生</w:t>
            </w:r>
            <w:r>
              <w:rPr>
                <w:rFonts w:ascii="宋体" w:hAnsi="宋体" w:eastAsia="宋体" w:cs="宋体"/>
                <w:sz w:val="20"/>
                <w:szCs w:val="20"/>
              </w:rPr>
              <w:t xml:space="preserve"> </w:t>
            </w:r>
            <w:r>
              <w:rPr>
                <w:rFonts w:ascii="宋体" w:hAnsi="宋体" w:eastAsia="宋体" w:cs="宋体"/>
                <w:spacing w:val="-12"/>
                <w:sz w:val="20"/>
                <w:szCs w:val="20"/>
              </w:rPr>
              <w:t>产厂</w:t>
            </w:r>
            <w:r>
              <w:rPr>
                <w:rFonts w:ascii="宋体" w:hAnsi="宋体" w:eastAsia="宋体" w:cs="宋体"/>
                <w:spacing w:val="-10"/>
                <w:sz w:val="20"/>
                <w:szCs w:val="20"/>
              </w:rPr>
              <w:t>房</w:t>
            </w:r>
            <w:r>
              <w:rPr>
                <w:rFonts w:ascii="宋体" w:hAnsi="宋体" w:eastAsia="宋体" w:cs="宋体"/>
                <w:spacing w:val="-6"/>
                <w:sz w:val="20"/>
                <w:szCs w:val="20"/>
              </w:rPr>
              <w:t xml:space="preserve">内的 </w:t>
            </w:r>
            <w:r>
              <w:rPr>
                <w:rFonts w:ascii="Times New Roman" w:hAnsi="Times New Roman" w:eastAsia="Times New Roman" w:cs="Times New Roman"/>
                <w:spacing w:val="-6"/>
                <w:sz w:val="20"/>
                <w:szCs w:val="20"/>
              </w:rPr>
              <w:t xml:space="preserve">1 </w:t>
            </w:r>
            <w:r>
              <w:rPr>
                <w:rFonts w:ascii="宋体" w:hAnsi="宋体" w:eastAsia="宋体" w:cs="宋体"/>
                <w:spacing w:val="-6"/>
                <w:sz w:val="20"/>
                <w:szCs w:val="20"/>
              </w:rPr>
              <w:t xml:space="preserve">台 </w:t>
            </w:r>
            <w:r>
              <w:rPr>
                <w:rFonts w:ascii="Times New Roman" w:hAnsi="Times New Roman" w:eastAsia="Times New Roman" w:cs="Times New Roman"/>
                <w:spacing w:val="-6"/>
                <w:sz w:val="20"/>
                <w:szCs w:val="20"/>
              </w:rPr>
              <w:t xml:space="preserve">2t/h </w:t>
            </w:r>
            <w:r>
              <w:rPr>
                <w:rFonts w:ascii="宋体" w:hAnsi="宋体" w:eastAsia="宋体" w:cs="宋体"/>
                <w:spacing w:val="-6"/>
                <w:sz w:val="20"/>
                <w:szCs w:val="20"/>
              </w:rPr>
              <w:t>的热风炉提供。</w:t>
            </w:r>
          </w:p>
        </w:tc>
      </w:tr>
      <w:tr w14:paraId="15A3B5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6" w:hRule="atLeast"/>
        </w:trPr>
        <w:tc>
          <w:tcPr>
            <w:tcW w:w="521" w:type="dxa"/>
            <w:vMerge w:val="restart"/>
            <w:tcBorders>
              <w:left w:val="nil"/>
              <w:bottom w:val="nil"/>
            </w:tcBorders>
            <w:vAlign w:val="top"/>
          </w:tcPr>
          <w:p w14:paraId="17C5FD74">
            <w:pPr>
              <w:spacing w:line="273" w:lineRule="auto"/>
              <w:rPr>
                <w:rFonts w:ascii="Arial"/>
                <w:sz w:val="21"/>
              </w:rPr>
            </w:pPr>
          </w:p>
          <w:p w14:paraId="7A707A84">
            <w:pPr>
              <w:spacing w:line="273" w:lineRule="auto"/>
              <w:rPr>
                <w:rFonts w:ascii="Arial"/>
                <w:sz w:val="21"/>
              </w:rPr>
            </w:pPr>
          </w:p>
          <w:p w14:paraId="57285C74">
            <w:pPr>
              <w:spacing w:line="273" w:lineRule="auto"/>
              <w:rPr>
                <w:rFonts w:ascii="Arial"/>
                <w:sz w:val="21"/>
              </w:rPr>
            </w:pPr>
          </w:p>
          <w:p w14:paraId="2F1EA87F">
            <w:pPr>
              <w:spacing w:line="273" w:lineRule="auto"/>
              <w:rPr>
                <w:rFonts w:ascii="Arial"/>
                <w:sz w:val="21"/>
              </w:rPr>
            </w:pPr>
          </w:p>
          <w:p w14:paraId="7923E0DD">
            <w:pPr>
              <w:spacing w:line="273" w:lineRule="auto"/>
              <w:rPr>
                <w:rFonts w:ascii="Arial"/>
                <w:sz w:val="21"/>
              </w:rPr>
            </w:pPr>
          </w:p>
          <w:p w14:paraId="283EFE8F">
            <w:pPr>
              <w:spacing w:before="65" w:line="265" w:lineRule="auto"/>
              <w:ind w:left="74" w:right="48" w:hanging="2"/>
              <w:rPr>
                <w:rFonts w:ascii="宋体" w:hAnsi="宋体" w:eastAsia="宋体" w:cs="宋体"/>
                <w:sz w:val="20"/>
                <w:szCs w:val="20"/>
              </w:rPr>
            </w:pPr>
            <w:r>
              <w:rPr>
                <w:rFonts w:ascii="宋体" w:hAnsi="宋体" w:eastAsia="宋体" w:cs="宋体"/>
                <w:spacing w:val="-2"/>
                <w:sz w:val="20"/>
                <w:szCs w:val="20"/>
              </w:rPr>
              <w:t>环</w:t>
            </w:r>
            <w:r>
              <w:rPr>
                <w:rFonts w:ascii="宋体" w:hAnsi="宋体" w:eastAsia="宋体" w:cs="宋体"/>
                <w:spacing w:val="-1"/>
                <w:sz w:val="20"/>
                <w:szCs w:val="20"/>
              </w:rPr>
              <w:t>保</w:t>
            </w:r>
            <w:r>
              <w:rPr>
                <w:rFonts w:ascii="宋体" w:hAnsi="宋体" w:eastAsia="宋体" w:cs="宋体"/>
                <w:sz w:val="20"/>
                <w:szCs w:val="20"/>
              </w:rPr>
              <w:t xml:space="preserve"> </w:t>
            </w:r>
            <w:r>
              <w:rPr>
                <w:rFonts w:ascii="宋体" w:hAnsi="宋体" w:eastAsia="宋体" w:cs="宋体"/>
                <w:spacing w:val="-3"/>
                <w:sz w:val="20"/>
                <w:szCs w:val="20"/>
              </w:rPr>
              <w:t>工</w:t>
            </w:r>
            <w:r>
              <w:rPr>
                <w:rFonts w:ascii="宋体" w:hAnsi="宋体" w:eastAsia="宋体" w:cs="宋体"/>
                <w:spacing w:val="-2"/>
                <w:sz w:val="20"/>
                <w:szCs w:val="20"/>
              </w:rPr>
              <w:t>程</w:t>
            </w:r>
          </w:p>
        </w:tc>
        <w:tc>
          <w:tcPr>
            <w:tcW w:w="1276" w:type="dxa"/>
            <w:vMerge w:val="restart"/>
            <w:tcBorders>
              <w:bottom w:val="nil"/>
            </w:tcBorders>
            <w:vAlign w:val="top"/>
          </w:tcPr>
          <w:p w14:paraId="13523C43">
            <w:pPr>
              <w:spacing w:line="291" w:lineRule="auto"/>
              <w:rPr>
                <w:rFonts w:ascii="Arial"/>
                <w:sz w:val="21"/>
              </w:rPr>
            </w:pPr>
          </w:p>
          <w:p w14:paraId="3D1435F2">
            <w:pPr>
              <w:spacing w:line="291" w:lineRule="auto"/>
              <w:rPr>
                <w:rFonts w:ascii="Arial"/>
                <w:sz w:val="21"/>
              </w:rPr>
            </w:pPr>
          </w:p>
          <w:p w14:paraId="2B8B0D06">
            <w:pPr>
              <w:spacing w:line="291" w:lineRule="auto"/>
              <w:rPr>
                <w:rFonts w:ascii="Arial"/>
                <w:sz w:val="21"/>
              </w:rPr>
            </w:pPr>
          </w:p>
          <w:p w14:paraId="4E317988">
            <w:pPr>
              <w:spacing w:line="291" w:lineRule="auto"/>
              <w:rPr>
                <w:rFonts w:ascii="Arial"/>
                <w:sz w:val="21"/>
              </w:rPr>
            </w:pPr>
          </w:p>
          <w:p w14:paraId="072F339C">
            <w:pPr>
              <w:spacing w:before="65" w:line="228" w:lineRule="auto"/>
              <w:ind w:left="250"/>
              <w:rPr>
                <w:rFonts w:ascii="宋体" w:hAnsi="宋体" w:eastAsia="宋体" w:cs="宋体"/>
                <w:sz w:val="20"/>
                <w:szCs w:val="20"/>
              </w:rPr>
            </w:pPr>
            <w:r>
              <w:rPr>
                <w:rFonts w:ascii="宋体" w:hAnsi="宋体" w:eastAsia="宋体" w:cs="宋体"/>
                <w:spacing w:val="-2"/>
                <w:sz w:val="20"/>
                <w:szCs w:val="20"/>
              </w:rPr>
              <w:t>废</w:t>
            </w:r>
            <w:r>
              <w:rPr>
                <w:rFonts w:ascii="宋体" w:hAnsi="宋体" w:eastAsia="宋体" w:cs="宋体"/>
                <w:spacing w:val="-1"/>
                <w:sz w:val="20"/>
                <w:szCs w:val="20"/>
              </w:rPr>
              <w:t>气治理</w:t>
            </w:r>
          </w:p>
        </w:tc>
        <w:tc>
          <w:tcPr>
            <w:tcW w:w="6563" w:type="dxa"/>
            <w:gridSpan w:val="2"/>
            <w:tcBorders>
              <w:right w:val="nil"/>
            </w:tcBorders>
            <w:vAlign w:val="top"/>
          </w:tcPr>
          <w:p w14:paraId="1D914569">
            <w:pPr>
              <w:spacing w:before="66" w:line="293" w:lineRule="auto"/>
              <w:ind w:left="39" w:right="10" w:firstLine="10"/>
              <w:rPr>
                <w:rFonts w:ascii="宋体" w:hAnsi="宋体" w:eastAsia="宋体" w:cs="宋体"/>
                <w:sz w:val="20"/>
                <w:szCs w:val="20"/>
              </w:rPr>
            </w:pPr>
            <w:r>
              <w:rPr>
                <w:rFonts w:ascii="宋体" w:hAnsi="宋体" w:eastAsia="宋体" w:cs="宋体"/>
                <w:spacing w:val="-10"/>
                <w:sz w:val="20"/>
                <w:szCs w:val="20"/>
              </w:rPr>
              <w:t>该项目</w:t>
            </w:r>
            <w:r>
              <w:rPr>
                <w:rFonts w:ascii="宋体" w:hAnsi="宋体" w:eastAsia="宋体" w:cs="宋体"/>
                <w:spacing w:val="-6"/>
                <w:sz w:val="20"/>
                <w:szCs w:val="20"/>
              </w:rPr>
              <w:t>每</w:t>
            </w:r>
            <w:r>
              <w:rPr>
                <w:rFonts w:ascii="宋体" w:hAnsi="宋体" w:eastAsia="宋体" w:cs="宋体"/>
                <w:spacing w:val="-5"/>
                <w:sz w:val="20"/>
                <w:szCs w:val="20"/>
              </w:rPr>
              <w:t xml:space="preserve"> </w:t>
            </w:r>
            <w:r>
              <w:rPr>
                <w:rFonts w:ascii="Times New Roman" w:hAnsi="Times New Roman" w:eastAsia="Times New Roman" w:cs="Times New Roman"/>
                <w:spacing w:val="-5"/>
                <w:sz w:val="20"/>
                <w:szCs w:val="20"/>
              </w:rPr>
              <w:t xml:space="preserve">5 </w:t>
            </w:r>
            <w:r>
              <w:rPr>
                <w:rFonts w:ascii="宋体" w:hAnsi="宋体" w:eastAsia="宋体" w:cs="宋体"/>
                <w:spacing w:val="-5"/>
                <w:sz w:val="20"/>
                <w:szCs w:val="20"/>
              </w:rPr>
              <w:t xml:space="preserve">条生产线共用 </w:t>
            </w:r>
            <w:r>
              <w:rPr>
                <w:rFonts w:ascii="Times New Roman" w:hAnsi="Times New Roman" w:eastAsia="Times New Roman" w:cs="Times New Roman"/>
                <w:spacing w:val="-5"/>
                <w:sz w:val="20"/>
                <w:szCs w:val="20"/>
              </w:rPr>
              <w:t xml:space="preserve">1 </w:t>
            </w:r>
            <w:r>
              <w:rPr>
                <w:rFonts w:ascii="宋体" w:hAnsi="宋体" w:eastAsia="宋体" w:cs="宋体"/>
                <w:spacing w:val="-5"/>
                <w:sz w:val="20"/>
                <w:szCs w:val="20"/>
              </w:rPr>
              <w:t>套废气处理设施，集气罩收集后的有机废气经由</w:t>
            </w:r>
            <w:r>
              <w:rPr>
                <w:rFonts w:ascii="宋体" w:hAnsi="宋体" w:eastAsia="宋体" w:cs="宋体"/>
                <w:sz w:val="20"/>
                <w:szCs w:val="20"/>
              </w:rPr>
              <w:t xml:space="preserve"> </w:t>
            </w:r>
            <w:r>
              <w:rPr>
                <w:rFonts w:ascii="宋体" w:hAnsi="宋体" w:eastAsia="宋体" w:cs="宋体"/>
                <w:spacing w:val="-10"/>
                <w:sz w:val="20"/>
                <w:szCs w:val="20"/>
              </w:rPr>
              <w:t xml:space="preserve">风量为 </w:t>
            </w:r>
            <w:r>
              <w:rPr>
                <w:rFonts w:ascii="Times New Roman" w:hAnsi="Times New Roman" w:eastAsia="Times New Roman" w:cs="Times New Roman"/>
                <w:spacing w:val="-6"/>
                <w:sz w:val="20"/>
                <w:szCs w:val="20"/>
              </w:rPr>
              <w:t>5</w:t>
            </w:r>
            <w:r>
              <w:rPr>
                <w:rFonts w:ascii="Times New Roman" w:hAnsi="Times New Roman" w:eastAsia="Times New Roman" w:cs="Times New Roman"/>
                <w:spacing w:val="-5"/>
                <w:sz w:val="20"/>
                <w:szCs w:val="20"/>
              </w:rPr>
              <w:t>000m</w:t>
            </w:r>
            <w:r>
              <w:rPr>
                <w:rFonts w:ascii="Times New Roman" w:hAnsi="Times New Roman" w:eastAsia="Times New Roman" w:cs="Times New Roman"/>
                <w:spacing w:val="-5"/>
                <w:position w:val="6"/>
                <w:sz w:val="13"/>
                <w:szCs w:val="13"/>
              </w:rPr>
              <w:t>3</w:t>
            </w:r>
            <w:r>
              <w:rPr>
                <w:rFonts w:ascii="Times New Roman" w:hAnsi="Times New Roman" w:eastAsia="Times New Roman" w:cs="Times New Roman"/>
                <w:spacing w:val="-5"/>
                <w:sz w:val="20"/>
                <w:szCs w:val="20"/>
              </w:rPr>
              <w:t xml:space="preserve">/h </w:t>
            </w:r>
            <w:r>
              <w:rPr>
                <w:rFonts w:ascii="宋体" w:hAnsi="宋体" w:eastAsia="宋体" w:cs="宋体"/>
                <w:spacing w:val="-5"/>
                <w:sz w:val="20"/>
                <w:szCs w:val="20"/>
              </w:rPr>
              <w:t>的引风机抽入每个厂房内各自设置的废气治理装置中，经过</w:t>
            </w:r>
            <w:r>
              <w:rPr>
                <w:rFonts w:ascii="宋体" w:hAnsi="宋体" w:eastAsia="宋体" w:cs="宋体"/>
                <w:sz w:val="20"/>
                <w:szCs w:val="20"/>
              </w:rPr>
              <w:t xml:space="preserve"> </w:t>
            </w:r>
            <w:r>
              <w:rPr>
                <w:rFonts w:ascii="Times New Roman" w:hAnsi="Times New Roman" w:eastAsia="Times New Roman" w:cs="Times New Roman"/>
                <w:sz w:val="20"/>
                <w:szCs w:val="20"/>
              </w:rPr>
              <w:t>UV</w:t>
            </w:r>
            <w:r>
              <w:rPr>
                <w:rFonts w:ascii="Times New Roman" w:hAnsi="Times New Roman" w:eastAsia="Times New Roman" w:cs="Times New Roman"/>
                <w:spacing w:val="1"/>
                <w:sz w:val="20"/>
                <w:szCs w:val="20"/>
              </w:rPr>
              <w:t xml:space="preserve"> </w:t>
            </w:r>
            <w:r>
              <w:rPr>
                <w:rFonts w:ascii="宋体" w:hAnsi="宋体" w:eastAsia="宋体" w:cs="宋体"/>
                <w:spacing w:val="1"/>
                <w:sz w:val="20"/>
                <w:szCs w:val="20"/>
              </w:rPr>
              <w:t>光氧</w:t>
            </w:r>
            <w:r>
              <w:rPr>
                <w:rFonts w:ascii="宋体" w:hAnsi="宋体" w:eastAsia="宋体" w:cs="宋体"/>
                <w:sz w:val="20"/>
                <w:szCs w:val="20"/>
              </w:rPr>
              <w:t>催化废气处理装置</w:t>
            </w:r>
            <w:r>
              <w:rPr>
                <w:rFonts w:ascii="Times New Roman" w:hAnsi="Times New Roman" w:eastAsia="Times New Roman" w:cs="Times New Roman"/>
                <w:sz w:val="20"/>
                <w:szCs w:val="20"/>
              </w:rPr>
              <w:t>+</w:t>
            </w:r>
            <w:r>
              <w:rPr>
                <w:rFonts w:ascii="宋体" w:hAnsi="宋体" w:eastAsia="宋体" w:cs="宋体"/>
                <w:sz w:val="20"/>
                <w:szCs w:val="20"/>
              </w:rPr>
              <w:t xml:space="preserve">活性炭吸附装置处理后通过 </w:t>
            </w:r>
            <w:r>
              <w:rPr>
                <w:rFonts w:ascii="Times New Roman" w:hAnsi="Times New Roman" w:eastAsia="Times New Roman" w:cs="Times New Roman"/>
                <w:sz w:val="20"/>
                <w:szCs w:val="20"/>
              </w:rPr>
              <w:t>15m</w:t>
            </w:r>
            <w:r>
              <w:rPr>
                <w:rFonts w:ascii="宋体" w:hAnsi="宋体" w:eastAsia="宋体" w:cs="宋体"/>
                <w:sz w:val="20"/>
                <w:szCs w:val="20"/>
              </w:rPr>
              <w:t xml:space="preserve">高排气筒有组 </w:t>
            </w:r>
            <w:r>
              <w:rPr>
                <w:rFonts w:ascii="宋体" w:hAnsi="宋体" w:eastAsia="宋体" w:cs="宋体"/>
                <w:spacing w:val="-8"/>
                <w:sz w:val="20"/>
                <w:szCs w:val="20"/>
              </w:rPr>
              <w:t>织</w:t>
            </w:r>
            <w:r>
              <w:rPr>
                <w:rFonts w:ascii="宋体" w:hAnsi="宋体" w:eastAsia="宋体" w:cs="宋体"/>
                <w:spacing w:val="-5"/>
                <w:sz w:val="20"/>
                <w:szCs w:val="20"/>
              </w:rPr>
              <w:t>排</w:t>
            </w:r>
            <w:r>
              <w:rPr>
                <w:rFonts w:ascii="宋体" w:hAnsi="宋体" w:eastAsia="宋体" w:cs="宋体"/>
                <w:spacing w:val="-4"/>
                <w:sz w:val="20"/>
                <w:szCs w:val="20"/>
              </w:rPr>
              <w:t xml:space="preserve">放，共计 </w:t>
            </w:r>
            <w:r>
              <w:rPr>
                <w:rFonts w:ascii="Times New Roman" w:hAnsi="Times New Roman" w:eastAsia="Times New Roman" w:cs="Times New Roman"/>
                <w:spacing w:val="-4"/>
                <w:sz w:val="20"/>
                <w:szCs w:val="20"/>
              </w:rPr>
              <w:t xml:space="preserve">2 </w:t>
            </w:r>
            <w:r>
              <w:rPr>
                <w:rFonts w:ascii="宋体" w:hAnsi="宋体" w:eastAsia="宋体" w:cs="宋体"/>
                <w:spacing w:val="-4"/>
                <w:sz w:val="20"/>
                <w:szCs w:val="20"/>
              </w:rPr>
              <w:t>个排气筒 (</w:t>
            </w:r>
            <w:r>
              <w:rPr>
                <w:rFonts w:ascii="Times New Roman" w:hAnsi="Times New Roman" w:eastAsia="Times New Roman" w:cs="Times New Roman"/>
                <w:spacing w:val="-4"/>
                <w:sz w:val="20"/>
                <w:szCs w:val="20"/>
              </w:rPr>
              <w:t>1#</w:t>
            </w:r>
            <w:r>
              <w:rPr>
                <w:rFonts w:ascii="宋体" w:hAnsi="宋体" w:eastAsia="宋体" w:cs="宋体"/>
                <w:spacing w:val="-4"/>
                <w:sz w:val="20"/>
                <w:szCs w:val="20"/>
              </w:rPr>
              <w:t>排气筒、</w:t>
            </w:r>
            <w:r>
              <w:rPr>
                <w:rFonts w:ascii="Times New Roman" w:hAnsi="Times New Roman" w:eastAsia="Times New Roman" w:cs="Times New Roman"/>
                <w:spacing w:val="-4"/>
                <w:sz w:val="20"/>
                <w:szCs w:val="20"/>
              </w:rPr>
              <w:t>2#</w:t>
            </w:r>
            <w:r>
              <w:rPr>
                <w:rFonts w:ascii="宋体" w:hAnsi="宋体" w:eastAsia="宋体" w:cs="宋体"/>
                <w:spacing w:val="-4"/>
                <w:sz w:val="20"/>
                <w:szCs w:val="20"/>
              </w:rPr>
              <w:t>排气筒) 。</w:t>
            </w:r>
          </w:p>
        </w:tc>
      </w:tr>
      <w:tr w14:paraId="063FA2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6" w:hRule="atLeast"/>
        </w:trPr>
        <w:tc>
          <w:tcPr>
            <w:tcW w:w="521" w:type="dxa"/>
            <w:vMerge w:val="continue"/>
            <w:tcBorders>
              <w:top w:val="nil"/>
              <w:left w:val="nil"/>
              <w:bottom w:val="nil"/>
            </w:tcBorders>
            <w:vAlign w:val="top"/>
          </w:tcPr>
          <w:p w14:paraId="755294EC">
            <w:pPr>
              <w:rPr>
                <w:rFonts w:ascii="Arial"/>
                <w:sz w:val="21"/>
              </w:rPr>
            </w:pPr>
          </w:p>
        </w:tc>
        <w:tc>
          <w:tcPr>
            <w:tcW w:w="1276" w:type="dxa"/>
            <w:vMerge w:val="continue"/>
            <w:tcBorders>
              <w:top w:val="nil"/>
            </w:tcBorders>
            <w:vAlign w:val="top"/>
          </w:tcPr>
          <w:p w14:paraId="4421A874">
            <w:pPr>
              <w:rPr>
                <w:rFonts w:ascii="Arial"/>
                <w:sz w:val="21"/>
              </w:rPr>
            </w:pPr>
          </w:p>
        </w:tc>
        <w:tc>
          <w:tcPr>
            <w:tcW w:w="6563" w:type="dxa"/>
            <w:gridSpan w:val="2"/>
            <w:tcBorders>
              <w:right w:val="nil"/>
            </w:tcBorders>
            <w:vAlign w:val="top"/>
          </w:tcPr>
          <w:p w14:paraId="7C794542">
            <w:pPr>
              <w:spacing w:before="67" w:line="287" w:lineRule="auto"/>
              <w:ind w:left="42" w:right="11" w:firstLine="7"/>
              <w:rPr>
                <w:rFonts w:ascii="宋体" w:hAnsi="宋体" w:eastAsia="宋体" w:cs="宋体"/>
                <w:sz w:val="20"/>
                <w:szCs w:val="20"/>
              </w:rPr>
            </w:pPr>
            <w:r>
              <w:rPr>
                <w:rFonts w:ascii="宋体" w:hAnsi="宋体" w:eastAsia="宋体" w:cs="宋体"/>
                <w:spacing w:val="7"/>
                <w:sz w:val="20"/>
                <w:szCs w:val="20"/>
              </w:rPr>
              <w:t xml:space="preserve">该项目洗字工序设有 </w:t>
            </w:r>
            <w:r>
              <w:rPr>
                <w:rFonts w:ascii="Times New Roman" w:hAnsi="Times New Roman" w:eastAsia="Times New Roman" w:cs="Times New Roman"/>
                <w:spacing w:val="7"/>
                <w:sz w:val="20"/>
                <w:szCs w:val="20"/>
              </w:rPr>
              <w:t xml:space="preserve">1 </w:t>
            </w:r>
            <w:r>
              <w:rPr>
                <w:rFonts w:ascii="宋体" w:hAnsi="宋体" w:eastAsia="宋体" w:cs="宋体"/>
                <w:spacing w:val="7"/>
                <w:sz w:val="20"/>
                <w:szCs w:val="20"/>
              </w:rPr>
              <w:t xml:space="preserve">个容积为 </w:t>
            </w:r>
            <w:r>
              <w:rPr>
                <w:rFonts w:ascii="Times New Roman" w:hAnsi="Times New Roman" w:eastAsia="Times New Roman" w:cs="Times New Roman"/>
                <w:spacing w:val="7"/>
                <w:sz w:val="20"/>
                <w:szCs w:val="20"/>
              </w:rPr>
              <w:t>6</w:t>
            </w:r>
            <w:r>
              <w:rPr>
                <w:rFonts w:ascii="Times New Roman" w:hAnsi="Times New Roman" w:eastAsia="Times New Roman" w:cs="Times New Roman"/>
                <w:sz w:val="20"/>
                <w:szCs w:val="20"/>
              </w:rPr>
              <w:t>m</w:t>
            </w:r>
            <w:r>
              <w:rPr>
                <w:rFonts w:ascii="Times New Roman" w:hAnsi="Times New Roman" w:eastAsia="Times New Roman" w:cs="Times New Roman"/>
                <w:spacing w:val="7"/>
                <w:position w:val="6"/>
                <w:sz w:val="13"/>
                <w:szCs w:val="13"/>
              </w:rPr>
              <w:t xml:space="preserve">3 </w:t>
            </w:r>
            <w:r>
              <w:rPr>
                <w:rFonts w:ascii="宋体" w:hAnsi="宋体" w:eastAsia="宋体" w:cs="宋体"/>
                <w:spacing w:val="7"/>
                <w:sz w:val="20"/>
                <w:szCs w:val="20"/>
              </w:rPr>
              <w:t>的洗字槽 (</w:t>
            </w:r>
            <w:r>
              <w:rPr>
                <w:rFonts w:ascii="Times New Roman" w:hAnsi="Times New Roman" w:eastAsia="Times New Roman" w:cs="Times New Roman"/>
                <w:spacing w:val="7"/>
                <w:sz w:val="20"/>
                <w:szCs w:val="20"/>
              </w:rPr>
              <w:t>2.5</w:t>
            </w:r>
            <w:r>
              <w:rPr>
                <w:rFonts w:ascii="Times New Roman" w:hAnsi="Times New Roman" w:eastAsia="Times New Roman" w:cs="Times New Roman"/>
                <w:sz w:val="20"/>
                <w:szCs w:val="20"/>
              </w:rPr>
              <w:t>m</w:t>
            </w:r>
            <w:r>
              <w:rPr>
                <w:rFonts w:ascii="Times New Roman" w:hAnsi="Times New Roman" w:eastAsia="Times New Roman" w:cs="Times New Roman"/>
                <w:spacing w:val="7"/>
                <w:sz w:val="20"/>
                <w:szCs w:val="20"/>
              </w:rPr>
              <w:t>×1.2</w:t>
            </w:r>
            <w:r>
              <w:rPr>
                <w:rFonts w:ascii="Times New Roman" w:hAnsi="Times New Roman" w:eastAsia="Times New Roman" w:cs="Times New Roman"/>
                <w:sz w:val="20"/>
                <w:szCs w:val="20"/>
              </w:rPr>
              <w:t>m</w:t>
            </w:r>
            <w:r>
              <w:rPr>
                <w:rFonts w:ascii="Times New Roman" w:hAnsi="Times New Roman" w:eastAsia="Times New Roman" w:cs="Times New Roman"/>
                <w:spacing w:val="7"/>
                <w:sz w:val="20"/>
                <w:szCs w:val="20"/>
              </w:rPr>
              <w:t>×2</w:t>
            </w:r>
            <w:r>
              <w:rPr>
                <w:rFonts w:ascii="Times New Roman" w:hAnsi="Times New Roman" w:eastAsia="Times New Roman" w:cs="Times New Roman"/>
                <w:sz w:val="20"/>
                <w:szCs w:val="20"/>
              </w:rPr>
              <w:t>m</w:t>
            </w:r>
            <w:r>
              <w:rPr>
                <w:rFonts w:ascii="宋体" w:hAnsi="宋体" w:eastAsia="宋体" w:cs="宋体"/>
                <w:spacing w:val="7"/>
                <w:sz w:val="20"/>
                <w:szCs w:val="20"/>
              </w:rPr>
              <w:t>) ，</w:t>
            </w:r>
            <w:r>
              <w:rPr>
                <w:rFonts w:ascii="宋体" w:hAnsi="宋体" w:eastAsia="宋体" w:cs="宋体"/>
                <w:spacing w:val="4"/>
                <w:sz w:val="20"/>
                <w:szCs w:val="20"/>
              </w:rPr>
              <w:t>配</w:t>
            </w:r>
            <w:r>
              <w:rPr>
                <w:rFonts w:ascii="宋体" w:hAnsi="宋体" w:eastAsia="宋体" w:cs="宋体"/>
                <w:sz w:val="20"/>
                <w:szCs w:val="20"/>
              </w:rPr>
              <w:t xml:space="preserve"> </w:t>
            </w:r>
            <w:r>
              <w:rPr>
                <w:rFonts w:ascii="宋体" w:hAnsi="宋体" w:eastAsia="宋体" w:cs="宋体"/>
                <w:spacing w:val="-1"/>
                <w:sz w:val="20"/>
                <w:szCs w:val="20"/>
              </w:rPr>
              <w:t xml:space="preserve">套设有 </w:t>
            </w:r>
            <w:r>
              <w:rPr>
                <w:rFonts w:ascii="Times New Roman" w:hAnsi="Times New Roman" w:eastAsia="Times New Roman" w:cs="Times New Roman"/>
                <w:spacing w:val="-1"/>
                <w:sz w:val="20"/>
                <w:szCs w:val="20"/>
              </w:rPr>
              <w:t xml:space="preserve">1 </w:t>
            </w:r>
            <w:r>
              <w:rPr>
                <w:rFonts w:ascii="宋体" w:hAnsi="宋体" w:eastAsia="宋体" w:cs="宋体"/>
                <w:spacing w:val="-1"/>
                <w:sz w:val="20"/>
                <w:szCs w:val="20"/>
              </w:rPr>
              <w:t xml:space="preserve">台 </w:t>
            </w:r>
            <w:r>
              <w:rPr>
                <w:rFonts w:ascii="Times New Roman" w:hAnsi="Times New Roman" w:eastAsia="Times New Roman" w:cs="Times New Roman"/>
                <w:spacing w:val="-1"/>
                <w:sz w:val="20"/>
                <w:szCs w:val="20"/>
              </w:rPr>
              <w:t>2</w:t>
            </w:r>
            <w:r>
              <w:rPr>
                <w:rFonts w:ascii="Times New Roman" w:hAnsi="Times New Roman" w:eastAsia="Times New Roman" w:cs="Times New Roman"/>
                <w:sz w:val="20"/>
                <w:szCs w:val="20"/>
              </w:rPr>
              <w:t>t</w:t>
            </w:r>
            <w:r>
              <w:rPr>
                <w:rFonts w:ascii="Times New Roman" w:hAnsi="Times New Roman" w:eastAsia="Times New Roman" w:cs="Times New Roman"/>
                <w:spacing w:val="-1"/>
                <w:sz w:val="20"/>
                <w:szCs w:val="20"/>
              </w:rPr>
              <w:t>/</w:t>
            </w:r>
            <w:r>
              <w:rPr>
                <w:rFonts w:ascii="Times New Roman" w:hAnsi="Times New Roman" w:eastAsia="Times New Roman" w:cs="Times New Roman"/>
                <w:sz w:val="20"/>
                <w:szCs w:val="20"/>
              </w:rPr>
              <w:t>h</w:t>
            </w:r>
            <w:r>
              <w:rPr>
                <w:rFonts w:ascii="Times New Roman" w:hAnsi="Times New Roman" w:eastAsia="Times New Roman" w:cs="Times New Roman"/>
                <w:spacing w:val="-1"/>
                <w:sz w:val="20"/>
                <w:szCs w:val="20"/>
              </w:rPr>
              <w:t xml:space="preserve"> </w:t>
            </w:r>
            <w:r>
              <w:rPr>
                <w:rFonts w:ascii="宋体" w:hAnsi="宋体" w:eastAsia="宋体" w:cs="宋体"/>
                <w:spacing w:val="-1"/>
                <w:sz w:val="20"/>
                <w:szCs w:val="20"/>
              </w:rPr>
              <w:t>的热风炉，产生的废气</w:t>
            </w:r>
            <w:r>
              <w:rPr>
                <w:rFonts w:ascii="宋体" w:hAnsi="宋体" w:eastAsia="宋体" w:cs="宋体"/>
                <w:sz w:val="20"/>
                <w:szCs w:val="20"/>
              </w:rPr>
              <w:t xml:space="preserve">经配套的布袋除尘器处理后，通过 </w:t>
            </w:r>
            <w:r>
              <w:rPr>
                <w:rFonts w:ascii="Times New Roman" w:hAnsi="Times New Roman" w:eastAsia="Times New Roman" w:cs="Times New Roman"/>
                <w:spacing w:val="1"/>
                <w:sz w:val="20"/>
                <w:szCs w:val="20"/>
              </w:rPr>
              <w:t>1</w:t>
            </w:r>
            <w:r>
              <w:rPr>
                <w:rFonts w:ascii="Times New Roman" w:hAnsi="Times New Roman" w:eastAsia="Times New Roman" w:cs="Times New Roman"/>
                <w:sz w:val="20"/>
                <w:szCs w:val="20"/>
              </w:rPr>
              <w:t xml:space="preserve"> </w:t>
            </w:r>
            <w:r>
              <w:rPr>
                <w:rFonts w:ascii="宋体" w:hAnsi="宋体" w:eastAsia="宋体" w:cs="宋体"/>
                <w:sz w:val="20"/>
                <w:szCs w:val="20"/>
              </w:rPr>
              <w:t xml:space="preserve">个 </w:t>
            </w:r>
            <w:r>
              <w:rPr>
                <w:rFonts w:ascii="Times New Roman" w:hAnsi="Times New Roman" w:eastAsia="Times New Roman" w:cs="Times New Roman"/>
                <w:sz w:val="20"/>
                <w:szCs w:val="20"/>
              </w:rPr>
              <w:t>3#</w:t>
            </w:r>
            <w:r>
              <w:rPr>
                <w:rFonts w:ascii="宋体" w:hAnsi="宋体" w:eastAsia="宋体" w:cs="宋体"/>
                <w:sz w:val="20"/>
                <w:szCs w:val="20"/>
              </w:rPr>
              <w:t xml:space="preserve">排气筒进行排放，排气筒高度为 </w:t>
            </w:r>
            <w:r>
              <w:rPr>
                <w:rFonts w:ascii="Times New Roman" w:hAnsi="Times New Roman" w:eastAsia="Times New Roman" w:cs="Times New Roman"/>
                <w:sz w:val="20"/>
                <w:szCs w:val="20"/>
              </w:rPr>
              <w:t xml:space="preserve">30m  </w:t>
            </w:r>
            <w:r>
              <w:rPr>
                <w:rFonts w:ascii="宋体" w:hAnsi="宋体" w:eastAsia="宋体" w:cs="宋体"/>
                <w:sz w:val="20"/>
                <w:szCs w:val="20"/>
              </w:rPr>
              <w:t xml:space="preserve">(新建锅炉房的烟囱周围半径 </w:t>
            </w:r>
            <w:r>
              <w:rPr>
                <w:rFonts w:ascii="Times New Roman" w:hAnsi="Times New Roman" w:eastAsia="Times New Roman" w:cs="Times New Roman"/>
                <w:spacing w:val="-4"/>
                <w:sz w:val="20"/>
                <w:szCs w:val="20"/>
              </w:rPr>
              <w:t xml:space="preserve">200m </w:t>
            </w:r>
            <w:r>
              <w:rPr>
                <w:rFonts w:ascii="宋体" w:hAnsi="宋体" w:eastAsia="宋体" w:cs="宋体"/>
                <w:spacing w:val="-4"/>
                <w:sz w:val="20"/>
                <w:szCs w:val="20"/>
              </w:rPr>
              <w:t xml:space="preserve">距离内有建筑物时，其烟囱应高出最高建筑物 </w:t>
            </w:r>
            <w:r>
              <w:rPr>
                <w:rFonts w:ascii="Times New Roman" w:hAnsi="Times New Roman" w:eastAsia="Times New Roman" w:cs="Times New Roman"/>
                <w:spacing w:val="-4"/>
                <w:sz w:val="20"/>
                <w:szCs w:val="20"/>
              </w:rPr>
              <w:t>3</w:t>
            </w:r>
            <w:r>
              <w:rPr>
                <w:rFonts w:ascii="Times New Roman" w:hAnsi="Times New Roman" w:eastAsia="Times New Roman" w:cs="Times New Roman"/>
                <w:spacing w:val="-2"/>
                <w:sz w:val="20"/>
                <w:szCs w:val="20"/>
              </w:rPr>
              <w:t>m</w:t>
            </w:r>
            <w:r>
              <w:rPr>
                <w:rFonts w:ascii="Times New Roman" w:hAnsi="Times New Roman" w:eastAsia="Times New Roman" w:cs="Times New Roman"/>
                <w:spacing w:val="-4"/>
                <w:sz w:val="20"/>
                <w:szCs w:val="20"/>
              </w:rPr>
              <w:t xml:space="preserve"> </w:t>
            </w:r>
            <w:r>
              <w:rPr>
                <w:rFonts w:ascii="宋体" w:hAnsi="宋体" w:eastAsia="宋体" w:cs="宋体"/>
                <w:spacing w:val="-4"/>
                <w:sz w:val="20"/>
                <w:szCs w:val="20"/>
              </w:rPr>
              <w:t>以上) 。</w:t>
            </w:r>
          </w:p>
        </w:tc>
      </w:tr>
      <w:tr w14:paraId="110D17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521" w:type="dxa"/>
            <w:vMerge w:val="continue"/>
            <w:tcBorders>
              <w:top w:val="nil"/>
              <w:left w:val="nil"/>
            </w:tcBorders>
            <w:vAlign w:val="top"/>
          </w:tcPr>
          <w:p w14:paraId="35C8F59B">
            <w:pPr>
              <w:rPr>
                <w:rFonts w:ascii="Arial"/>
                <w:sz w:val="21"/>
              </w:rPr>
            </w:pPr>
          </w:p>
        </w:tc>
        <w:tc>
          <w:tcPr>
            <w:tcW w:w="1276" w:type="dxa"/>
            <w:vAlign w:val="top"/>
          </w:tcPr>
          <w:p w14:paraId="7B7E481D">
            <w:pPr>
              <w:spacing w:before="234" w:line="228" w:lineRule="auto"/>
              <w:ind w:left="250"/>
              <w:rPr>
                <w:rFonts w:ascii="宋体" w:hAnsi="宋体" w:eastAsia="宋体" w:cs="宋体"/>
                <w:sz w:val="20"/>
                <w:szCs w:val="20"/>
              </w:rPr>
            </w:pPr>
            <w:r>
              <w:rPr>
                <w:rFonts w:ascii="宋体" w:hAnsi="宋体" w:eastAsia="宋体" w:cs="宋体"/>
                <w:spacing w:val="-2"/>
                <w:sz w:val="20"/>
                <w:szCs w:val="20"/>
              </w:rPr>
              <w:t>废</w:t>
            </w:r>
            <w:r>
              <w:rPr>
                <w:rFonts w:ascii="宋体" w:hAnsi="宋体" w:eastAsia="宋体" w:cs="宋体"/>
                <w:spacing w:val="-1"/>
                <w:sz w:val="20"/>
                <w:szCs w:val="20"/>
              </w:rPr>
              <w:t>水治理</w:t>
            </w:r>
          </w:p>
        </w:tc>
        <w:tc>
          <w:tcPr>
            <w:tcW w:w="1715" w:type="dxa"/>
            <w:vAlign w:val="top"/>
          </w:tcPr>
          <w:p w14:paraId="377D09BA">
            <w:pPr>
              <w:spacing w:before="234" w:line="228" w:lineRule="auto"/>
              <w:ind w:left="472"/>
              <w:rPr>
                <w:rFonts w:ascii="宋体" w:hAnsi="宋体" w:eastAsia="宋体" w:cs="宋体"/>
                <w:sz w:val="20"/>
                <w:szCs w:val="20"/>
              </w:rPr>
            </w:pPr>
            <w:r>
              <w:rPr>
                <w:rFonts w:ascii="宋体" w:hAnsi="宋体" w:eastAsia="宋体" w:cs="宋体"/>
                <w:spacing w:val="-2"/>
                <w:sz w:val="20"/>
                <w:szCs w:val="20"/>
              </w:rPr>
              <w:t>生活污水</w:t>
            </w:r>
          </w:p>
        </w:tc>
        <w:tc>
          <w:tcPr>
            <w:tcW w:w="4848" w:type="dxa"/>
            <w:tcBorders>
              <w:bottom w:val="nil"/>
              <w:right w:val="nil"/>
            </w:tcBorders>
            <w:vAlign w:val="top"/>
          </w:tcPr>
          <w:p w14:paraId="62387825">
            <w:pPr>
              <w:spacing w:before="66" w:line="268" w:lineRule="auto"/>
              <w:ind w:left="46"/>
              <w:rPr>
                <w:rFonts w:ascii="宋体" w:hAnsi="宋体" w:eastAsia="宋体" w:cs="宋体"/>
                <w:sz w:val="20"/>
                <w:szCs w:val="20"/>
              </w:rPr>
            </w:pPr>
            <w:r>
              <w:rPr>
                <w:rFonts w:ascii="宋体" w:hAnsi="宋体" w:eastAsia="宋体" w:cs="宋体"/>
                <w:spacing w:val="-4"/>
                <w:sz w:val="20"/>
                <w:szCs w:val="20"/>
              </w:rPr>
              <w:t>在厂区</w:t>
            </w:r>
            <w:r>
              <w:rPr>
                <w:rFonts w:ascii="宋体" w:hAnsi="宋体" w:eastAsia="宋体" w:cs="宋体"/>
                <w:spacing w:val="-3"/>
                <w:sz w:val="20"/>
                <w:szCs w:val="20"/>
              </w:rPr>
              <w:t>内</w:t>
            </w:r>
            <w:r>
              <w:rPr>
                <w:rFonts w:ascii="宋体" w:hAnsi="宋体" w:eastAsia="宋体" w:cs="宋体"/>
                <w:spacing w:val="-2"/>
                <w:sz w:val="20"/>
                <w:szCs w:val="20"/>
              </w:rPr>
              <w:t>设置旱厕，容积为</w:t>
            </w:r>
            <w:r>
              <w:rPr>
                <w:rFonts w:ascii="Times New Roman" w:hAnsi="Times New Roman" w:eastAsia="Times New Roman" w:cs="Times New Roman"/>
                <w:spacing w:val="-2"/>
                <w:sz w:val="20"/>
                <w:szCs w:val="20"/>
              </w:rPr>
              <w:t>40m</w:t>
            </w:r>
            <w:r>
              <w:rPr>
                <w:rFonts w:ascii="Times New Roman" w:hAnsi="Times New Roman" w:eastAsia="Times New Roman" w:cs="Times New Roman"/>
                <w:spacing w:val="-2"/>
                <w:position w:val="6"/>
                <w:sz w:val="13"/>
                <w:szCs w:val="13"/>
              </w:rPr>
              <w:t xml:space="preserve">3 </w:t>
            </w:r>
            <w:r>
              <w:rPr>
                <w:rFonts w:ascii="宋体" w:hAnsi="宋体" w:eastAsia="宋体" w:cs="宋体"/>
                <w:spacing w:val="-2"/>
                <w:sz w:val="20"/>
                <w:szCs w:val="20"/>
              </w:rPr>
              <w:t>，员工使用防渗旱厕，</w:t>
            </w:r>
            <w:r>
              <w:rPr>
                <w:rFonts w:ascii="宋体" w:hAnsi="宋体" w:eastAsia="宋体" w:cs="宋体"/>
                <w:sz w:val="20"/>
                <w:szCs w:val="20"/>
              </w:rPr>
              <w:t xml:space="preserve"> </w:t>
            </w:r>
            <w:r>
              <w:rPr>
                <w:rFonts w:ascii="宋体" w:hAnsi="宋体" w:eastAsia="宋体" w:cs="宋体"/>
                <w:spacing w:val="-9"/>
                <w:sz w:val="20"/>
                <w:szCs w:val="20"/>
                <w:u w:val="single" w:color="auto"/>
              </w:rPr>
              <w:t>平</w:t>
            </w:r>
            <w:r>
              <w:rPr>
                <w:rFonts w:ascii="宋体" w:hAnsi="宋体" w:eastAsia="宋体" w:cs="宋体"/>
                <w:spacing w:val="-8"/>
                <w:sz w:val="20"/>
                <w:szCs w:val="20"/>
                <w:u w:val="single" w:color="auto"/>
              </w:rPr>
              <w:t>均每月清掏一次，综合利用于周围农田堆肥，不外排。</w:t>
            </w:r>
          </w:p>
        </w:tc>
      </w:tr>
    </w:tbl>
    <w:p w14:paraId="4A43D731">
      <w:pPr>
        <w:rPr>
          <w:rFonts w:ascii="Arial"/>
          <w:sz w:val="21"/>
        </w:rPr>
      </w:pPr>
    </w:p>
    <w:p w14:paraId="7F37AB8E">
      <w:pPr>
        <w:sectPr>
          <w:headerReference r:id="rId90" w:type="default"/>
          <w:footerReference r:id="rId91" w:type="default"/>
          <w:pgSz w:w="11906" w:h="16839"/>
          <w:pgMar w:top="1132" w:right="1785" w:bottom="1156" w:left="1760" w:header="878" w:footer="996" w:gutter="0"/>
          <w:cols w:space="720" w:num="1"/>
        </w:sectPr>
      </w:pPr>
    </w:p>
    <w:p w14:paraId="4D5262D9">
      <w:r>
        <w:pict>
          <v:shape id="_x0000_s1136" o:spid="_x0000_s1136" style="position:absolute;left:0pt;margin-left:90pt;margin-top:57.35pt;height:0.75pt;width:415.3pt;mso-position-horizontal-relative:page;mso-position-vertical-relative:page;z-index:251769856;mso-width-relative:page;mso-height-relative:page;" fillcolor="#000000" filled="t" stroked="f" coordsize="8305,15" o:allowincell="f" path="m0,0l8305,0,8305,14,0,14,0,0xe">
            <v:path/>
            <v:fill on="t" focussize="0,0"/>
            <v:stroke on="f"/>
            <v:imagedata o:title=""/>
            <o:lock v:ext="edit"/>
          </v:shape>
        </w:pict>
      </w:r>
    </w:p>
    <w:p w14:paraId="56536093">
      <w:pPr>
        <w:spacing w:line="65" w:lineRule="exact"/>
      </w:pPr>
    </w:p>
    <w:tbl>
      <w:tblPr>
        <w:tblStyle w:val="4"/>
        <w:tblW w:w="835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21"/>
        <w:gridCol w:w="1276"/>
        <w:gridCol w:w="422"/>
        <w:gridCol w:w="1294"/>
        <w:gridCol w:w="4843"/>
      </w:tblGrid>
      <w:tr w14:paraId="75E17D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2" w:hRule="atLeast"/>
        </w:trPr>
        <w:tc>
          <w:tcPr>
            <w:tcW w:w="521" w:type="dxa"/>
            <w:vMerge w:val="restart"/>
            <w:tcBorders>
              <w:left w:val="nil"/>
              <w:bottom w:val="nil"/>
            </w:tcBorders>
            <w:vAlign w:val="top"/>
          </w:tcPr>
          <w:p w14:paraId="6938639A">
            <w:pPr>
              <w:rPr>
                <w:rFonts w:ascii="Arial"/>
                <w:sz w:val="21"/>
              </w:rPr>
            </w:pPr>
          </w:p>
        </w:tc>
        <w:tc>
          <w:tcPr>
            <w:tcW w:w="1276" w:type="dxa"/>
            <w:vAlign w:val="top"/>
          </w:tcPr>
          <w:p w14:paraId="17E1944D">
            <w:pPr>
              <w:rPr>
                <w:rFonts w:ascii="Arial"/>
                <w:sz w:val="21"/>
              </w:rPr>
            </w:pPr>
          </w:p>
        </w:tc>
        <w:tc>
          <w:tcPr>
            <w:tcW w:w="1716" w:type="dxa"/>
            <w:gridSpan w:val="2"/>
            <w:vAlign w:val="top"/>
          </w:tcPr>
          <w:p w14:paraId="5BCE36D2">
            <w:pPr>
              <w:spacing w:line="294" w:lineRule="auto"/>
              <w:rPr>
                <w:rFonts w:ascii="Arial"/>
                <w:sz w:val="21"/>
              </w:rPr>
            </w:pPr>
          </w:p>
          <w:p w14:paraId="68D90AE5">
            <w:pPr>
              <w:spacing w:line="294" w:lineRule="auto"/>
              <w:rPr>
                <w:rFonts w:ascii="Arial"/>
                <w:sz w:val="21"/>
              </w:rPr>
            </w:pPr>
          </w:p>
          <w:p w14:paraId="24440DCC">
            <w:pPr>
              <w:spacing w:line="295" w:lineRule="auto"/>
              <w:rPr>
                <w:rFonts w:ascii="Arial"/>
                <w:sz w:val="21"/>
              </w:rPr>
            </w:pPr>
          </w:p>
          <w:p w14:paraId="3E29C5F3">
            <w:pPr>
              <w:spacing w:line="295" w:lineRule="auto"/>
              <w:rPr>
                <w:rFonts w:ascii="Arial"/>
                <w:sz w:val="21"/>
              </w:rPr>
            </w:pPr>
          </w:p>
          <w:p w14:paraId="0640AAF2">
            <w:pPr>
              <w:spacing w:before="65" w:line="228" w:lineRule="auto"/>
              <w:ind w:left="472"/>
              <w:rPr>
                <w:rFonts w:ascii="宋体" w:hAnsi="宋体" w:eastAsia="宋体" w:cs="宋体"/>
                <w:sz w:val="20"/>
                <w:szCs w:val="20"/>
              </w:rPr>
            </w:pPr>
            <w:r>
              <w:rPr>
                <w:rFonts w:ascii="宋体" w:hAnsi="宋体" w:eastAsia="宋体" w:cs="宋体"/>
                <w:spacing w:val="-2"/>
                <w:sz w:val="20"/>
                <w:szCs w:val="20"/>
              </w:rPr>
              <w:t>生产废水</w:t>
            </w:r>
          </w:p>
        </w:tc>
        <w:tc>
          <w:tcPr>
            <w:tcW w:w="4843" w:type="dxa"/>
            <w:tcBorders>
              <w:right w:val="nil"/>
            </w:tcBorders>
            <w:vAlign w:val="top"/>
          </w:tcPr>
          <w:p w14:paraId="15E14902">
            <w:pPr>
              <w:tabs>
                <w:tab w:val="left" w:pos="156"/>
              </w:tabs>
              <w:spacing w:before="82" w:line="298" w:lineRule="auto"/>
              <w:ind w:left="46" w:firstLine="3"/>
              <w:rPr>
                <w:rFonts w:ascii="宋体" w:hAnsi="宋体" w:eastAsia="宋体" w:cs="宋体"/>
                <w:sz w:val="20"/>
                <w:szCs w:val="20"/>
              </w:rPr>
            </w:pPr>
            <w:r>
              <w:rPr>
                <w:rFonts w:ascii="宋体" w:hAnsi="宋体" w:eastAsia="宋体" w:cs="宋体"/>
                <w:spacing w:val="-10"/>
                <w:sz w:val="20"/>
                <w:szCs w:val="20"/>
              </w:rPr>
              <w:t>项 目</w:t>
            </w:r>
            <w:r>
              <w:rPr>
                <w:rFonts w:ascii="宋体" w:hAnsi="宋体" w:eastAsia="宋体" w:cs="宋体"/>
                <w:spacing w:val="-7"/>
                <w:sz w:val="20"/>
                <w:szCs w:val="20"/>
              </w:rPr>
              <w:t xml:space="preserve"> </w:t>
            </w:r>
            <w:r>
              <w:rPr>
                <w:rFonts w:ascii="宋体" w:hAnsi="宋体" w:eastAsia="宋体" w:cs="宋体"/>
                <w:spacing w:val="-5"/>
                <w:sz w:val="20"/>
                <w:szCs w:val="20"/>
              </w:rPr>
              <w:t xml:space="preserve">设 有 </w:t>
            </w:r>
            <w:r>
              <w:rPr>
                <w:rFonts w:ascii="Times New Roman" w:hAnsi="Times New Roman" w:eastAsia="Times New Roman" w:cs="Times New Roman"/>
                <w:spacing w:val="-5"/>
                <w:sz w:val="20"/>
                <w:szCs w:val="20"/>
              </w:rPr>
              <w:t xml:space="preserve">1   </w:t>
            </w:r>
            <w:r>
              <w:rPr>
                <w:rFonts w:ascii="宋体" w:hAnsi="宋体" w:eastAsia="宋体" w:cs="宋体"/>
                <w:spacing w:val="-5"/>
                <w:sz w:val="20"/>
                <w:szCs w:val="20"/>
              </w:rPr>
              <w:t xml:space="preserve">座 容 积 为 </w:t>
            </w:r>
            <w:r>
              <w:rPr>
                <w:rFonts w:ascii="Times New Roman" w:hAnsi="Times New Roman" w:eastAsia="Times New Roman" w:cs="Times New Roman"/>
                <w:spacing w:val="-5"/>
                <w:sz w:val="20"/>
                <w:szCs w:val="20"/>
              </w:rPr>
              <w:t>324m</w:t>
            </w:r>
            <w:r>
              <w:rPr>
                <w:rFonts w:ascii="Times New Roman" w:hAnsi="Times New Roman" w:eastAsia="Times New Roman" w:cs="Times New Roman"/>
                <w:spacing w:val="-5"/>
                <w:position w:val="6"/>
                <w:sz w:val="13"/>
                <w:szCs w:val="13"/>
              </w:rPr>
              <w:t xml:space="preserve">3    </w:t>
            </w:r>
            <w:r>
              <w:rPr>
                <w:rFonts w:ascii="宋体" w:hAnsi="宋体" w:eastAsia="宋体" w:cs="宋体"/>
                <w:spacing w:val="-5"/>
                <w:sz w:val="20"/>
                <w:szCs w:val="20"/>
              </w:rPr>
              <w:t>的 三 级 沉 淀 池</w:t>
            </w:r>
            <w:r>
              <w:rPr>
                <w:rFonts w:ascii="宋体" w:hAnsi="宋体" w:eastAsia="宋体" w:cs="宋体"/>
                <w:sz w:val="20"/>
                <w:szCs w:val="20"/>
              </w:rPr>
              <w:t xml:space="preserve"> </w:t>
            </w:r>
            <w:r>
              <w:rPr>
                <w:rFonts w:ascii="宋体" w:hAnsi="宋体" w:eastAsia="宋体" w:cs="宋体"/>
                <w:sz w:val="20"/>
                <w:szCs w:val="20"/>
              </w:rPr>
              <w:tab/>
            </w:r>
            <w:r>
              <w:rPr>
                <w:rFonts w:ascii="宋体" w:hAnsi="宋体" w:eastAsia="宋体" w:cs="宋体"/>
                <w:spacing w:val="-6"/>
                <w:sz w:val="20"/>
                <w:szCs w:val="20"/>
              </w:rPr>
              <w:t>(</w:t>
            </w:r>
            <w:r>
              <w:rPr>
                <w:rFonts w:ascii="Times New Roman" w:hAnsi="Times New Roman" w:eastAsia="Times New Roman" w:cs="Times New Roman"/>
                <w:spacing w:val="-6"/>
                <w:sz w:val="20"/>
                <w:szCs w:val="20"/>
              </w:rPr>
              <w:t>12</w:t>
            </w:r>
            <w:r>
              <w:rPr>
                <w:rFonts w:ascii="Times New Roman" w:hAnsi="Times New Roman" w:eastAsia="Times New Roman" w:cs="Times New Roman"/>
                <w:spacing w:val="-3"/>
                <w:sz w:val="20"/>
                <w:szCs w:val="20"/>
              </w:rPr>
              <w:t>m</w:t>
            </w:r>
            <w:r>
              <w:rPr>
                <w:rFonts w:ascii="Times New Roman" w:hAnsi="Times New Roman" w:eastAsia="Times New Roman" w:cs="Times New Roman"/>
                <w:spacing w:val="-6"/>
                <w:sz w:val="20"/>
                <w:szCs w:val="20"/>
              </w:rPr>
              <w:t>×6</w:t>
            </w:r>
            <w:r>
              <w:rPr>
                <w:rFonts w:ascii="Times New Roman" w:hAnsi="Times New Roman" w:eastAsia="Times New Roman" w:cs="Times New Roman"/>
                <w:spacing w:val="-3"/>
                <w:sz w:val="20"/>
                <w:szCs w:val="20"/>
              </w:rPr>
              <w:t>m</w:t>
            </w:r>
            <w:r>
              <w:rPr>
                <w:rFonts w:ascii="Times New Roman" w:hAnsi="Times New Roman" w:eastAsia="Times New Roman" w:cs="Times New Roman"/>
                <w:spacing w:val="-6"/>
                <w:sz w:val="20"/>
                <w:szCs w:val="20"/>
              </w:rPr>
              <w:t>×4.</w:t>
            </w:r>
            <w:r>
              <w:rPr>
                <w:rFonts w:ascii="Times New Roman" w:hAnsi="Times New Roman" w:eastAsia="Times New Roman" w:cs="Times New Roman"/>
                <w:spacing w:val="-3"/>
                <w:sz w:val="20"/>
                <w:szCs w:val="20"/>
              </w:rPr>
              <w:t>5m</w:t>
            </w:r>
            <w:r>
              <w:rPr>
                <w:rFonts w:ascii="宋体" w:hAnsi="宋体" w:eastAsia="宋体" w:cs="宋体"/>
                <w:spacing w:val="-3"/>
                <w:sz w:val="20"/>
                <w:szCs w:val="20"/>
              </w:rPr>
              <w:t xml:space="preserve">) ，同时配套设有 </w:t>
            </w:r>
            <w:r>
              <w:rPr>
                <w:rFonts w:ascii="Times New Roman" w:hAnsi="Times New Roman" w:eastAsia="Times New Roman" w:cs="Times New Roman"/>
                <w:spacing w:val="-3"/>
                <w:sz w:val="20"/>
                <w:szCs w:val="20"/>
              </w:rPr>
              <w:t xml:space="preserve">1 </w:t>
            </w:r>
            <w:r>
              <w:rPr>
                <w:rFonts w:ascii="宋体" w:hAnsi="宋体" w:eastAsia="宋体" w:cs="宋体"/>
                <w:spacing w:val="-3"/>
                <w:sz w:val="20"/>
                <w:szCs w:val="20"/>
              </w:rPr>
              <w:t>台一体化污水预处</w:t>
            </w:r>
            <w:r>
              <w:rPr>
                <w:rFonts w:ascii="宋体" w:hAnsi="宋体" w:eastAsia="宋体" w:cs="宋体"/>
                <w:sz w:val="20"/>
                <w:szCs w:val="20"/>
              </w:rPr>
              <w:t xml:space="preserve"> </w:t>
            </w:r>
            <w:r>
              <w:rPr>
                <w:rFonts w:ascii="宋体" w:hAnsi="宋体" w:eastAsia="宋体" w:cs="宋体"/>
                <w:spacing w:val="-1"/>
                <w:sz w:val="20"/>
                <w:szCs w:val="20"/>
              </w:rPr>
              <w:t>理设备，均位于生产厂房西南侧，产生的生产</w:t>
            </w:r>
            <w:r>
              <w:rPr>
                <w:rFonts w:ascii="宋体" w:hAnsi="宋体" w:eastAsia="宋体" w:cs="宋体"/>
                <w:sz w:val="20"/>
                <w:szCs w:val="20"/>
              </w:rPr>
              <w:t xml:space="preserve">废水经一 </w:t>
            </w:r>
            <w:r>
              <w:rPr>
                <w:rFonts w:ascii="宋体" w:hAnsi="宋体" w:eastAsia="宋体" w:cs="宋体"/>
                <w:spacing w:val="-22"/>
                <w:sz w:val="20"/>
                <w:szCs w:val="20"/>
              </w:rPr>
              <w:t xml:space="preserve">体 化 污 水 预 处 理 设 备 处 理 后 排 入 三 级 沉 淀 </w:t>
            </w:r>
            <w:r>
              <w:rPr>
                <w:rFonts w:ascii="宋体" w:hAnsi="宋体" w:eastAsia="宋体" w:cs="宋体"/>
                <w:spacing w:val="-21"/>
                <w:sz w:val="20"/>
                <w:szCs w:val="20"/>
              </w:rPr>
              <w:t>池</w:t>
            </w:r>
            <w:r>
              <w:rPr>
                <w:rFonts w:ascii="宋体" w:hAnsi="宋体" w:eastAsia="宋体" w:cs="宋体"/>
                <w:sz w:val="20"/>
                <w:szCs w:val="20"/>
              </w:rPr>
              <w:t xml:space="preserve"> </w:t>
            </w:r>
            <w:r>
              <w:rPr>
                <w:rFonts w:ascii="宋体" w:hAnsi="宋体" w:eastAsia="宋体" w:cs="宋体"/>
                <w:sz w:val="20"/>
                <w:szCs w:val="20"/>
              </w:rPr>
              <w:tab/>
            </w:r>
            <w:r>
              <w:rPr>
                <w:rFonts w:ascii="宋体" w:hAnsi="宋体" w:eastAsia="宋体" w:cs="宋体"/>
                <w:spacing w:val="-4"/>
                <w:sz w:val="20"/>
                <w:szCs w:val="20"/>
              </w:rPr>
              <w:t>(</w:t>
            </w:r>
            <w:r>
              <w:rPr>
                <w:rFonts w:ascii="Times New Roman" w:hAnsi="Times New Roman" w:eastAsia="Times New Roman" w:cs="Times New Roman"/>
                <w:spacing w:val="-4"/>
                <w:sz w:val="20"/>
                <w:szCs w:val="20"/>
              </w:rPr>
              <w:t>12</w:t>
            </w:r>
            <w:r>
              <w:rPr>
                <w:rFonts w:ascii="Times New Roman" w:hAnsi="Times New Roman" w:eastAsia="Times New Roman" w:cs="Times New Roman"/>
                <w:spacing w:val="-2"/>
                <w:sz w:val="20"/>
                <w:szCs w:val="20"/>
              </w:rPr>
              <w:t>m</w:t>
            </w:r>
            <w:r>
              <w:rPr>
                <w:rFonts w:ascii="Times New Roman" w:hAnsi="Times New Roman" w:eastAsia="Times New Roman" w:cs="Times New Roman"/>
                <w:spacing w:val="-4"/>
                <w:sz w:val="20"/>
                <w:szCs w:val="20"/>
              </w:rPr>
              <w:t>×6</w:t>
            </w:r>
            <w:r>
              <w:rPr>
                <w:rFonts w:ascii="Times New Roman" w:hAnsi="Times New Roman" w:eastAsia="Times New Roman" w:cs="Times New Roman"/>
                <w:spacing w:val="-2"/>
                <w:sz w:val="20"/>
                <w:szCs w:val="20"/>
              </w:rPr>
              <w:t>m</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4</w:t>
            </w:r>
            <w:r>
              <w:rPr>
                <w:rFonts w:ascii="Times New Roman" w:hAnsi="Times New Roman" w:eastAsia="Times New Roman" w:cs="Times New Roman"/>
                <w:spacing w:val="-2"/>
                <w:sz w:val="20"/>
                <w:szCs w:val="20"/>
              </w:rPr>
              <w:t>.5m</w:t>
            </w:r>
            <w:r>
              <w:rPr>
                <w:rFonts w:ascii="宋体" w:hAnsi="宋体" w:eastAsia="宋体" w:cs="宋体"/>
                <w:spacing w:val="-2"/>
                <w:sz w:val="20"/>
                <w:szCs w:val="20"/>
              </w:rPr>
              <w:t>) 沉淀处理，随后循环使用。污水处理</w:t>
            </w:r>
            <w:r>
              <w:rPr>
                <w:rFonts w:ascii="宋体" w:hAnsi="宋体" w:eastAsia="宋体" w:cs="宋体"/>
                <w:sz w:val="20"/>
                <w:szCs w:val="20"/>
              </w:rPr>
              <w:t xml:space="preserve"> </w:t>
            </w:r>
            <w:r>
              <w:rPr>
                <w:rFonts w:ascii="宋体" w:hAnsi="宋体" w:eastAsia="宋体" w:cs="宋体"/>
                <w:spacing w:val="7"/>
                <w:sz w:val="20"/>
                <w:szCs w:val="20"/>
              </w:rPr>
              <w:t>设</w:t>
            </w:r>
            <w:r>
              <w:rPr>
                <w:rFonts w:ascii="宋体" w:hAnsi="宋体" w:eastAsia="宋体" w:cs="宋体"/>
                <w:spacing w:val="5"/>
                <w:sz w:val="20"/>
                <w:szCs w:val="20"/>
              </w:rPr>
              <w:t xml:space="preserve">施废水每月更换 </w:t>
            </w:r>
            <w:r>
              <w:rPr>
                <w:rFonts w:ascii="Times New Roman" w:hAnsi="Times New Roman" w:eastAsia="Times New Roman" w:cs="Times New Roman"/>
                <w:spacing w:val="5"/>
                <w:sz w:val="20"/>
                <w:szCs w:val="20"/>
              </w:rPr>
              <w:t xml:space="preserve">1 </w:t>
            </w:r>
            <w:r>
              <w:rPr>
                <w:rFonts w:ascii="宋体" w:hAnsi="宋体" w:eastAsia="宋体" w:cs="宋体"/>
                <w:spacing w:val="5"/>
                <w:sz w:val="20"/>
                <w:szCs w:val="20"/>
              </w:rPr>
              <w:t>次，则该项目全年更换废水量为</w:t>
            </w:r>
            <w:r>
              <w:rPr>
                <w:rFonts w:ascii="宋体" w:hAnsi="宋体" w:eastAsia="宋体" w:cs="宋体"/>
                <w:sz w:val="20"/>
                <w:szCs w:val="20"/>
              </w:rPr>
              <w:t xml:space="preserve"> </w:t>
            </w:r>
            <w:r>
              <w:rPr>
                <w:rFonts w:ascii="Times New Roman" w:hAnsi="Times New Roman" w:eastAsia="Times New Roman" w:cs="Times New Roman"/>
                <w:spacing w:val="-10"/>
                <w:sz w:val="20"/>
                <w:szCs w:val="20"/>
              </w:rPr>
              <w:t>1523.52</w:t>
            </w:r>
            <w:r>
              <w:rPr>
                <w:rFonts w:ascii="Times New Roman" w:hAnsi="Times New Roman" w:eastAsia="Times New Roman" w:cs="Times New Roman"/>
                <w:spacing w:val="-9"/>
                <w:sz w:val="20"/>
                <w:szCs w:val="20"/>
              </w:rPr>
              <w:t>m</w:t>
            </w:r>
            <w:r>
              <w:rPr>
                <w:rFonts w:ascii="Times New Roman" w:hAnsi="Times New Roman" w:eastAsia="Times New Roman" w:cs="Times New Roman"/>
                <w:spacing w:val="-10"/>
                <w:position w:val="6"/>
                <w:sz w:val="13"/>
                <w:szCs w:val="13"/>
              </w:rPr>
              <w:t xml:space="preserve">3 </w:t>
            </w:r>
            <w:r>
              <w:rPr>
                <w:rFonts w:ascii="宋体" w:hAnsi="宋体" w:eastAsia="宋体" w:cs="宋体"/>
                <w:spacing w:val="-10"/>
                <w:sz w:val="20"/>
                <w:szCs w:val="20"/>
              </w:rPr>
              <w:t>，更换过程产生的废水经吸污车运送至本溪市科</w:t>
            </w:r>
            <w:r>
              <w:rPr>
                <w:rFonts w:ascii="宋体" w:hAnsi="宋体" w:eastAsia="宋体" w:cs="宋体"/>
                <w:sz w:val="20"/>
                <w:szCs w:val="20"/>
              </w:rPr>
              <w:t xml:space="preserve"> </w:t>
            </w:r>
            <w:r>
              <w:rPr>
                <w:rFonts w:ascii="宋体" w:hAnsi="宋体" w:eastAsia="宋体" w:cs="宋体"/>
                <w:spacing w:val="-18"/>
                <w:sz w:val="20"/>
                <w:szCs w:val="20"/>
              </w:rPr>
              <w:t>态</w:t>
            </w:r>
            <w:r>
              <w:rPr>
                <w:rFonts w:ascii="宋体" w:hAnsi="宋体" w:eastAsia="宋体" w:cs="宋体"/>
                <w:spacing w:val="-13"/>
                <w:sz w:val="20"/>
                <w:szCs w:val="20"/>
              </w:rPr>
              <w:t>污水处理有限责任公司统一处理。</w:t>
            </w:r>
          </w:p>
        </w:tc>
      </w:tr>
      <w:tr w14:paraId="3E3263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521" w:type="dxa"/>
            <w:vMerge w:val="continue"/>
            <w:tcBorders>
              <w:top w:val="nil"/>
              <w:left w:val="nil"/>
              <w:bottom w:val="nil"/>
            </w:tcBorders>
            <w:vAlign w:val="top"/>
          </w:tcPr>
          <w:p w14:paraId="52D281F0">
            <w:pPr>
              <w:rPr>
                <w:rFonts w:ascii="Arial"/>
                <w:sz w:val="21"/>
              </w:rPr>
            </w:pPr>
          </w:p>
        </w:tc>
        <w:tc>
          <w:tcPr>
            <w:tcW w:w="1276" w:type="dxa"/>
            <w:vAlign w:val="top"/>
          </w:tcPr>
          <w:p w14:paraId="1F6DFAE3">
            <w:pPr>
              <w:spacing w:before="230" w:line="228" w:lineRule="auto"/>
              <w:ind w:left="261"/>
              <w:rPr>
                <w:rFonts w:ascii="宋体" w:hAnsi="宋体" w:eastAsia="宋体" w:cs="宋体"/>
                <w:sz w:val="20"/>
                <w:szCs w:val="20"/>
              </w:rPr>
            </w:pPr>
            <w:r>
              <w:rPr>
                <w:rFonts w:ascii="宋体" w:hAnsi="宋体" w:eastAsia="宋体" w:cs="宋体"/>
                <w:spacing w:val="-4"/>
                <w:sz w:val="20"/>
                <w:szCs w:val="20"/>
              </w:rPr>
              <w:t>噪声治理</w:t>
            </w:r>
          </w:p>
        </w:tc>
        <w:tc>
          <w:tcPr>
            <w:tcW w:w="6559" w:type="dxa"/>
            <w:gridSpan w:val="3"/>
            <w:tcBorders>
              <w:right w:val="nil"/>
            </w:tcBorders>
            <w:vAlign w:val="top"/>
          </w:tcPr>
          <w:p w14:paraId="3AC5536B">
            <w:pPr>
              <w:spacing w:before="64" w:line="267" w:lineRule="auto"/>
              <w:ind w:left="47" w:right="7" w:hanging="2"/>
              <w:rPr>
                <w:rFonts w:ascii="宋体" w:hAnsi="宋体" w:eastAsia="宋体" w:cs="宋体"/>
                <w:sz w:val="20"/>
                <w:szCs w:val="20"/>
              </w:rPr>
            </w:pPr>
            <w:r>
              <w:rPr>
                <w:rFonts w:ascii="宋体" w:hAnsi="宋体" w:eastAsia="宋体" w:cs="宋体"/>
                <w:spacing w:val="-3"/>
                <w:sz w:val="20"/>
                <w:szCs w:val="20"/>
              </w:rPr>
              <w:t>优先选用低噪声设备，对噪声设备进行减震处理，并设置在封闭厂房中，</w:t>
            </w:r>
            <w:r>
              <w:rPr>
                <w:rFonts w:ascii="宋体" w:hAnsi="宋体" w:eastAsia="宋体" w:cs="宋体"/>
                <w:sz w:val="20"/>
                <w:szCs w:val="20"/>
              </w:rPr>
              <w:t xml:space="preserve">建 </w:t>
            </w:r>
            <w:r>
              <w:rPr>
                <w:rFonts w:ascii="宋体" w:hAnsi="宋体" w:eastAsia="宋体" w:cs="宋体"/>
                <w:spacing w:val="-2"/>
                <w:sz w:val="20"/>
                <w:szCs w:val="20"/>
              </w:rPr>
              <w:t>筑隔声。</w:t>
            </w:r>
          </w:p>
        </w:tc>
      </w:tr>
      <w:tr w14:paraId="335283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521" w:type="dxa"/>
            <w:vMerge w:val="continue"/>
            <w:tcBorders>
              <w:top w:val="nil"/>
              <w:left w:val="nil"/>
              <w:bottom w:val="nil"/>
            </w:tcBorders>
            <w:vAlign w:val="top"/>
          </w:tcPr>
          <w:p w14:paraId="5789BC56">
            <w:pPr>
              <w:rPr>
                <w:rFonts w:ascii="Arial"/>
                <w:sz w:val="21"/>
              </w:rPr>
            </w:pPr>
          </w:p>
        </w:tc>
        <w:tc>
          <w:tcPr>
            <w:tcW w:w="1276" w:type="dxa"/>
            <w:vMerge w:val="restart"/>
            <w:tcBorders>
              <w:bottom w:val="nil"/>
            </w:tcBorders>
            <w:vAlign w:val="top"/>
          </w:tcPr>
          <w:p w14:paraId="55E42A2E">
            <w:pPr>
              <w:spacing w:line="266" w:lineRule="auto"/>
              <w:rPr>
                <w:rFonts w:ascii="Arial"/>
                <w:sz w:val="21"/>
              </w:rPr>
            </w:pPr>
          </w:p>
          <w:p w14:paraId="7DE24B2A">
            <w:pPr>
              <w:spacing w:line="266" w:lineRule="auto"/>
              <w:rPr>
                <w:rFonts w:ascii="Arial"/>
                <w:sz w:val="21"/>
              </w:rPr>
            </w:pPr>
          </w:p>
          <w:p w14:paraId="615215FB">
            <w:pPr>
              <w:spacing w:line="267" w:lineRule="auto"/>
              <w:rPr>
                <w:rFonts w:ascii="Arial"/>
                <w:sz w:val="21"/>
              </w:rPr>
            </w:pPr>
          </w:p>
          <w:p w14:paraId="610D0CD2">
            <w:pPr>
              <w:spacing w:line="267" w:lineRule="auto"/>
              <w:rPr>
                <w:rFonts w:ascii="Arial"/>
                <w:sz w:val="21"/>
              </w:rPr>
            </w:pPr>
          </w:p>
          <w:p w14:paraId="0025AC44">
            <w:pPr>
              <w:spacing w:line="267" w:lineRule="auto"/>
              <w:rPr>
                <w:rFonts w:ascii="Arial"/>
                <w:sz w:val="21"/>
              </w:rPr>
            </w:pPr>
          </w:p>
          <w:p w14:paraId="5FB9B1CB">
            <w:pPr>
              <w:spacing w:line="267" w:lineRule="auto"/>
              <w:rPr>
                <w:rFonts w:ascii="Arial"/>
                <w:sz w:val="21"/>
              </w:rPr>
            </w:pPr>
          </w:p>
          <w:p w14:paraId="1A7732D3">
            <w:pPr>
              <w:spacing w:before="65" w:line="228" w:lineRule="auto"/>
              <w:ind w:left="269"/>
              <w:rPr>
                <w:rFonts w:ascii="宋体" w:hAnsi="宋体" w:eastAsia="宋体" w:cs="宋体"/>
                <w:sz w:val="20"/>
                <w:szCs w:val="20"/>
              </w:rPr>
            </w:pPr>
            <w:r>
              <w:rPr>
                <w:rFonts w:ascii="宋体" w:hAnsi="宋体" w:eastAsia="宋体" w:cs="宋体"/>
                <w:spacing w:val="-6"/>
                <w:sz w:val="20"/>
                <w:szCs w:val="20"/>
              </w:rPr>
              <w:t>固废治理</w:t>
            </w:r>
          </w:p>
        </w:tc>
        <w:tc>
          <w:tcPr>
            <w:tcW w:w="1716" w:type="dxa"/>
            <w:gridSpan w:val="2"/>
            <w:vAlign w:val="top"/>
          </w:tcPr>
          <w:p w14:paraId="231DB0BB">
            <w:pPr>
              <w:spacing w:before="77" w:line="228" w:lineRule="auto"/>
              <w:ind w:left="472"/>
              <w:rPr>
                <w:rFonts w:ascii="宋体" w:hAnsi="宋体" w:eastAsia="宋体" w:cs="宋体"/>
                <w:sz w:val="20"/>
                <w:szCs w:val="20"/>
              </w:rPr>
            </w:pPr>
            <w:r>
              <w:rPr>
                <w:rFonts w:ascii="宋体" w:hAnsi="宋体" w:eastAsia="宋体" w:cs="宋体"/>
                <w:spacing w:val="-2"/>
                <w:sz w:val="20"/>
                <w:szCs w:val="20"/>
              </w:rPr>
              <w:t>生活垃圾</w:t>
            </w:r>
          </w:p>
        </w:tc>
        <w:tc>
          <w:tcPr>
            <w:tcW w:w="4843" w:type="dxa"/>
            <w:tcBorders>
              <w:right w:val="nil"/>
            </w:tcBorders>
            <w:vAlign w:val="top"/>
          </w:tcPr>
          <w:p w14:paraId="202D6019">
            <w:pPr>
              <w:spacing w:before="76" w:line="228" w:lineRule="auto"/>
              <w:ind w:left="562"/>
              <w:rPr>
                <w:rFonts w:ascii="宋体" w:hAnsi="宋体" w:eastAsia="宋体" w:cs="宋体"/>
                <w:sz w:val="20"/>
                <w:szCs w:val="20"/>
              </w:rPr>
            </w:pPr>
            <w:r>
              <w:rPr>
                <w:rFonts w:ascii="宋体" w:hAnsi="宋体" w:eastAsia="宋体" w:cs="宋体"/>
                <w:spacing w:val="-3"/>
                <w:sz w:val="20"/>
                <w:szCs w:val="20"/>
              </w:rPr>
              <w:t>集中收集后送至环卫部门指定地点统一处</w:t>
            </w:r>
            <w:r>
              <w:rPr>
                <w:rFonts w:ascii="宋体" w:hAnsi="宋体" w:eastAsia="宋体" w:cs="宋体"/>
                <w:sz w:val="20"/>
                <w:szCs w:val="20"/>
              </w:rPr>
              <w:t>理</w:t>
            </w:r>
          </w:p>
        </w:tc>
      </w:tr>
      <w:tr w14:paraId="0EDEF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521" w:type="dxa"/>
            <w:vMerge w:val="continue"/>
            <w:tcBorders>
              <w:top w:val="nil"/>
              <w:left w:val="nil"/>
              <w:bottom w:val="nil"/>
            </w:tcBorders>
            <w:vAlign w:val="top"/>
          </w:tcPr>
          <w:p w14:paraId="41F75B1B">
            <w:pPr>
              <w:rPr>
                <w:rFonts w:ascii="Arial"/>
                <w:sz w:val="21"/>
              </w:rPr>
            </w:pPr>
          </w:p>
        </w:tc>
        <w:tc>
          <w:tcPr>
            <w:tcW w:w="1276" w:type="dxa"/>
            <w:vMerge w:val="continue"/>
            <w:tcBorders>
              <w:top w:val="nil"/>
              <w:bottom w:val="nil"/>
            </w:tcBorders>
            <w:vAlign w:val="top"/>
          </w:tcPr>
          <w:p w14:paraId="575A4AA9">
            <w:pPr>
              <w:rPr>
                <w:rFonts w:ascii="Arial"/>
                <w:sz w:val="21"/>
              </w:rPr>
            </w:pPr>
          </w:p>
        </w:tc>
        <w:tc>
          <w:tcPr>
            <w:tcW w:w="1716" w:type="dxa"/>
            <w:gridSpan w:val="2"/>
            <w:vAlign w:val="top"/>
          </w:tcPr>
          <w:p w14:paraId="3482D8C7">
            <w:pPr>
              <w:spacing w:before="74" w:line="228" w:lineRule="auto"/>
              <w:ind w:left="669"/>
              <w:rPr>
                <w:rFonts w:ascii="宋体" w:hAnsi="宋体" w:eastAsia="宋体" w:cs="宋体"/>
                <w:sz w:val="20"/>
                <w:szCs w:val="20"/>
              </w:rPr>
            </w:pPr>
            <w:r>
              <w:rPr>
                <w:rFonts w:ascii="宋体" w:hAnsi="宋体" w:eastAsia="宋体" w:cs="宋体"/>
                <w:spacing w:val="-1"/>
                <w:sz w:val="20"/>
                <w:szCs w:val="20"/>
              </w:rPr>
              <w:t>杂</w:t>
            </w:r>
            <w:r>
              <w:rPr>
                <w:rFonts w:ascii="宋体" w:hAnsi="宋体" w:eastAsia="宋体" w:cs="宋体"/>
                <w:sz w:val="20"/>
                <w:szCs w:val="20"/>
              </w:rPr>
              <w:t>质</w:t>
            </w:r>
          </w:p>
        </w:tc>
        <w:tc>
          <w:tcPr>
            <w:tcW w:w="4843" w:type="dxa"/>
            <w:tcBorders>
              <w:right w:val="nil"/>
            </w:tcBorders>
            <w:vAlign w:val="top"/>
          </w:tcPr>
          <w:p w14:paraId="033177B1">
            <w:pPr>
              <w:spacing w:before="74" w:line="228" w:lineRule="auto"/>
              <w:ind w:left="562"/>
              <w:rPr>
                <w:rFonts w:ascii="宋体" w:hAnsi="宋体" w:eastAsia="宋体" w:cs="宋体"/>
                <w:sz w:val="20"/>
                <w:szCs w:val="20"/>
              </w:rPr>
            </w:pPr>
            <w:r>
              <w:rPr>
                <w:rFonts w:ascii="宋体" w:hAnsi="宋体" w:eastAsia="宋体" w:cs="宋体"/>
                <w:spacing w:val="-3"/>
                <w:sz w:val="20"/>
                <w:szCs w:val="20"/>
              </w:rPr>
              <w:t>集中收集后送至环卫部门指定地点统一处</w:t>
            </w:r>
            <w:r>
              <w:rPr>
                <w:rFonts w:ascii="宋体" w:hAnsi="宋体" w:eastAsia="宋体" w:cs="宋体"/>
                <w:sz w:val="20"/>
                <w:szCs w:val="20"/>
              </w:rPr>
              <w:t>理</w:t>
            </w:r>
          </w:p>
        </w:tc>
      </w:tr>
      <w:tr w14:paraId="55972D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521" w:type="dxa"/>
            <w:vMerge w:val="continue"/>
            <w:tcBorders>
              <w:top w:val="nil"/>
              <w:left w:val="nil"/>
              <w:bottom w:val="nil"/>
            </w:tcBorders>
            <w:vAlign w:val="top"/>
          </w:tcPr>
          <w:p w14:paraId="101C95E2">
            <w:pPr>
              <w:rPr>
                <w:rFonts w:ascii="Arial"/>
                <w:sz w:val="21"/>
              </w:rPr>
            </w:pPr>
          </w:p>
        </w:tc>
        <w:tc>
          <w:tcPr>
            <w:tcW w:w="1276" w:type="dxa"/>
            <w:vMerge w:val="continue"/>
            <w:tcBorders>
              <w:top w:val="nil"/>
              <w:bottom w:val="nil"/>
            </w:tcBorders>
            <w:vAlign w:val="top"/>
          </w:tcPr>
          <w:p w14:paraId="0C0332DF">
            <w:pPr>
              <w:rPr>
                <w:rFonts w:ascii="Arial"/>
                <w:sz w:val="21"/>
              </w:rPr>
            </w:pPr>
          </w:p>
        </w:tc>
        <w:tc>
          <w:tcPr>
            <w:tcW w:w="1716" w:type="dxa"/>
            <w:gridSpan w:val="2"/>
            <w:vAlign w:val="top"/>
          </w:tcPr>
          <w:p w14:paraId="5E809AF5">
            <w:pPr>
              <w:spacing w:before="76" w:line="228" w:lineRule="auto"/>
              <w:ind w:left="372"/>
              <w:rPr>
                <w:rFonts w:ascii="宋体" w:hAnsi="宋体" w:eastAsia="宋体" w:cs="宋体"/>
                <w:sz w:val="20"/>
                <w:szCs w:val="20"/>
              </w:rPr>
            </w:pPr>
            <w:r>
              <w:rPr>
                <w:rFonts w:ascii="宋体" w:hAnsi="宋体" w:eastAsia="宋体" w:cs="宋体"/>
                <w:spacing w:val="-2"/>
                <w:sz w:val="20"/>
                <w:szCs w:val="20"/>
              </w:rPr>
              <w:t>沉淀池污</w:t>
            </w:r>
            <w:r>
              <w:rPr>
                <w:rFonts w:ascii="宋体" w:hAnsi="宋体" w:eastAsia="宋体" w:cs="宋体"/>
                <w:spacing w:val="-1"/>
                <w:sz w:val="20"/>
                <w:szCs w:val="20"/>
              </w:rPr>
              <w:t>泥</w:t>
            </w:r>
          </w:p>
        </w:tc>
        <w:tc>
          <w:tcPr>
            <w:tcW w:w="4843" w:type="dxa"/>
            <w:tcBorders>
              <w:right w:val="nil"/>
            </w:tcBorders>
            <w:vAlign w:val="top"/>
          </w:tcPr>
          <w:p w14:paraId="58241AEA">
            <w:pPr>
              <w:spacing w:before="75" w:line="228" w:lineRule="auto"/>
              <w:ind w:left="562"/>
              <w:rPr>
                <w:rFonts w:ascii="宋体" w:hAnsi="宋体" w:eastAsia="宋体" w:cs="宋体"/>
                <w:sz w:val="20"/>
                <w:szCs w:val="20"/>
              </w:rPr>
            </w:pPr>
            <w:r>
              <w:rPr>
                <w:rFonts w:ascii="宋体" w:hAnsi="宋体" w:eastAsia="宋体" w:cs="宋体"/>
                <w:spacing w:val="-3"/>
                <w:sz w:val="20"/>
                <w:szCs w:val="20"/>
              </w:rPr>
              <w:t>集中收集后送至环卫部门指定地点统一处</w:t>
            </w:r>
            <w:r>
              <w:rPr>
                <w:rFonts w:ascii="宋体" w:hAnsi="宋体" w:eastAsia="宋体" w:cs="宋体"/>
                <w:sz w:val="20"/>
                <w:szCs w:val="20"/>
              </w:rPr>
              <w:t>理</w:t>
            </w:r>
          </w:p>
        </w:tc>
      </w:tr>
      <w:tr w14:paraId="0E3364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521" w:type="dxa"/>
            <w:vMerge w:val="continue"/>
            <w:tcBorders>
              <w:top w:val="nil"/>
              <w:left w:val="nil"/>
              <w:bottom w:val="nil"/>
            </w:tcBorders>
            <w:vAlign w:val="top"/>
          </w:tcPr>
          <w:p w14:paraId="534E109F">
            <w:pPr>
              <w:rPr>
                <w:rFonts w:ascii="Arial"/>
                <w:sz w:val="21"/>
              </w:rPr>
            </w:pPr>
          </w:p>
        </w:tc>
        <w:tc>
          <w:tcPr>
            <w:tcW w:w="1276" w:type="dxa"/>
            <w:vMerge w:val="continue"/>
            <w:tcBorders>
              <w:top w:val="nil"/>
              <w:bottom w:val="nil"/>
            </w:tcBorders>
            <w:vAlign w:val="top"/>
          </w:tcPr>
          <w:p w14:paraId="2C23193F">
            <w:pPr>
              <w:rPr>
                <w:rFonts w:ascii="Arial"/>
                <w:sz w:val="21"/>
              </w:rPr>
            </w:pPr>
          </w:p>
        </w:tc>
        <w:tc>
          <w:tcPr>
            <w:tcW w:w="1716" w:type="dxa"/>
            <w:gridSpan w:val="2"/>
            <w:vAlign w:val="top"/>
          </w:tcPr>
          <w:p w14:paraId="70CD0960">
            <w:pPr>
              <w:spacing w:before="76" w:line="228" w:lineRule="auto"/>
              <w:ind w:left="182"/>
              <w:rPr>
                <w:rFonts w:ascii="宋体" w:hAnsi="宋体" w:eastAsia="宋体" w:cs="宋体"/>
                <w:sz w:val="20"/>
                <w:szCs w:val="20"/>
              </w:rPr>
            </w:pPr>
            <w:r>
              <w:rPr>
                <w:rFonts w:ascii="宋体" w:hAnsi="宋体" w:eastAsia="宋体" w:cs="宋体"/>
                <w:spacing w:val="-4"/>
                <w:sz w:val="20"/>
                <w:szCs w:val="20"/>
              </w:rPr>
              <w:t>热风炉</w:t>
            </w:r>
            <w:r>
              <w:rPr>
                <w:rFonts w:ascii="宋体" w:hAnsi="宋体" w:eastAsia="宋体" w:cs="宋体"/>
                <w:spacing w:val="-2"/>
                <w:sz w:val="20"/>
                <w:szCs w:val="20"/>
              </w:rPr>
              <w:t>燃料炉渣</w:t>
            </w:r>
          </w:p>
        </w:tc>
        <w:tc>
          <w:tcPr>
            <w:tcW w:w="4843" w:type="dxa"/>
            <w:tcBorders>
              <w:right w:val="nil"/>
            </w:tcBorders>
            <w:vAlign w:val="top"/>
          </w:tcPr>
          <w:p w14:paraId="6732339C">
            <w:pPr>
              <w:spacing w:before="76" w:line="227" w:lineRule="auto"/>
              <w:ind w:left="562"/>
              <w:rPr>
                <w:rFonts w:ascii="宋体" w:hAnsi="宋体" w:eastAsia="宋体" w:cs="宋体"/>
                <w:sz w:val="20"/>
                <w:szCs w:val="20"/>
              </w:rPr>
            </w:pPr>
            <w:r>
              <w:rPr>
                <w:rFonts w:ascii="宋体" w:hAnsi="宋体" w:eastAsia="宋体" w:cs="宋体"/>
                <w:spacing w:val="-3"/>
                <w:sz w:val="20"/>
                <w:szCs w:val="20"/>
              </w:rPr>
              <w:t>集中收集后定期外卖给农肥厂进行综合利</w:t>
            </w:r>
            <w:r>
              <w:rPr>
                <w:rFonts w:ascii="宋体" w:hAnsi="宋体" w:eastAsia="宋体" w:cs="宋体"/>
                <w:spacing w:val="-2"/>
                <w:sz w:val="20"/>
                <w:szCs w:val="20"/>
              </w:rPr>
              <w:t>用</w:t>
            </w:r>
          </w:p>
        </w:tc>
      </w:tr>
      <w:tr w14:paraId="6F6FF2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521" w:type="dxa"/>
            <w:vMerge w:val="continue"/>
            <w:tcBorders>
              <w:top w:val="nil"/>
              <w:left w:val="nil"/>
              <w:bottom w:val="nil"/>
            </w:tcBorders>
            <w:vAlign w:val="top"/>
          </w:tcPr>
          <w:p w14:paraId="618E34FE">
            <w:pPr>
              <w:rPr>
                <w:rFonts w:ascii="Arial"/>
                <w:sz w:val="21"/>
              </w:rPr>
            </w:pPr>
          </w:p>
        </w:tc>
        <w:tc>
          <w:tcPr>
            <w:tcW w:w="1276" w:type="dxa"/>
            <w:vMerge w:val="continue"/>
            <w:tcBorders>
              <w:top w:val="nil"/>
              <w:bottom w:val="nil"/>
            </w:tcBorders>
            <w:vAlign w:val="top"/>
          </w:tcPr>
          <w:p w14:paraId="7CEC7509">
            <w:pPr>
              <w:rPr>
                <w:rFonts w:ascii="Arial"/>
                <w:sz w:val="21"/>
              </w:rPr>
            </w:pPr>
          </w:p>
        </w:tc>
        <w:tc>
          <w:tcPr>
            <w:tcW w:w="1716" w:type="dxa"/>
            <w:gridSpan w:val="2"/>
            <w:vAlign w:val="top"/>
          </w:tcPr>
          <w:p w14:paraId="5BAC7241">
            <w:pPr>
              <w:spacing w:before="76" w:line="228" w:lineRule="auto"/>
              <w:ind w:left="92"/>
              <w:rPr>
                <w:rFonts w:ascii="宋体" w:hAnsi="宋体" w:eastAsia="宋体" w:cs="宋体"/>
                <w:sz w:val="20"/>
                <w:szCs w:val="20"/>
              </w:rPr>
            </w:pPr>
            <w:r>
              <w:rPr>
                <w:rFonts w:ascii="宋体" w:hAnsi="宋体" w:eastAsia="宋体" w:cs="宋体"/>
                <w:spacing w:val="-4"/>
                <w:sz w:val="20"/>
                <w:szCs w:val="20"/>
              </w:rPr>
              <w:t>除尘器收集的粉</w:t>
            </w:r>
            <w:r>
              <w:rPr>
                <w:rFonts w:ascii="宋体" w:hAnsi="宋体" w:eastAsia="宋体" w:cs="宋体"/>
                <w:spacing w:val="-3"/>
                <w:sz w:val="20"/>
                <w:szCs w:val="20"/>
              </w:rPr>
              <w:t>尘</w:t>
            </w:r>
          </w:p>
        </w:tc>
        <w:tc>
          <w:tcPr>
            <w:tcW w:w="4843" w:type="dxa"/>
            <w:tcBorders>
              <w:right w:val="nil"/>
            </w:tcBorders>
            <w:vAlign w:val="top"/>
          </w:tcPr>
          <w:p w14:paraId="78AB922C">
            <w:pPr>
              <w:spacing w:before="76" w:line="227" w:lineRule="auto"/>
              <w:ind w:left="562"/>
              <w:rPr>
                <w:rFonts w:ascii="宋体" w:hAnsi="宋体" w:eastAsia="宋体" w:cs="宋体"/>
                <w:sz w:val="20"/>
                <w:szCs w:val="20"/>
              </w:rPr>
            </w:pPr>
            <w:r>
              <w:rPr>
                <w:rFonts w:ascii="宋体" w:hAnsi="宋体" w:eastAsia="宋体" w:cs="宋体"/>
                <w:spacing w:val="-3"/>
                <w:sz w:val="20"/>
                <w:szCs w:val="20"/>
              </w:rPr>
              <w:t>集中收集后定期外卖给农肥厂进行综合利</w:t>
            </w:r>
            <w:r>
              <w:rPr>
                <w:rFonts w:ascii="宋体" w:hAnsi="宋体" w:eastAsia="宋体" w:cs="宋体"/>
                <w:spacing w:val="-2"/>
                <w:sz w:val="20"/>
                <w:szCs w:val="20"/>
              </w:rPr>
              <w:t>用</w:t>
            </w:r>
          </w:p>
        </w:tc>
      </w:tr>
      <w:tr w14:paraId="2B1EE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521" w:type="dxa"/>
            <w:vMerge w:val="continue"/>
            <w:tcBorders>
              <w:top w:val="nil"/>
              <w:left w:val="nil"/>
              <w:bottom w:val="nil"/>
            </w:tcBorders>
            <w:vAlign w:val="top"/>
          </w:tcPr>
          <w:p w14:paraId="48EF6FFF">
            <w:pPr>
              <w:rPr>
                <w:rFonts w:ascii="Arial"/>
                <w:sz w:val="21"/>
              </w:rPr>
            </w:pPr>
          </w:p>
        </w:tc>
        <w:tc>
          <w:tcPr>
            <w:tcW w:w="1276" w:type="dxa"/>
            <w:vMerge w:val="continue"/>
            <w:tcBorders>
              <w:top w:val="nil"/>
              <w:bottom w:val="nil"/>
            </w:tcBorders>
            <w:vAlign w:val="top"/>
          </w:tcPr>
          <w:p w14:paraId="5AA89A6D">
            <w:pPr>
              <w:rPr>
                <w:rFonts w:ascii="Arial"/>
                <w:sz w:val="21"/>
              </w:rPr>
            </w:pPr>
          </w:p>
        </w:tc>
        <w:tc>
          <w:tcPr>
            <w:tcW w:w="1716" w:type="dxa"/>
            <w:gridSpan w:val="2"/>
            <w:vAlign w:val="top"/>
          </w:tcPr>
          <w:p w14:paraId="00B6EB82">
            <w:pPr>
              <w:spacing w:before="75" w:line="228" w:lineRule="auto"/>
              <w:ind w:left="568"/>
              <w:rPr>
                <w:rFonts w:ascii="宋体" w:hAnsi="宋体" w:eastAsia="宋体" w:cs="宋体"/>
                <w:sz w:val="20"/>
                <w:szCs w:val="20"/>
              </w:rPr>
            </w:pPr>
            <w:r>
              <w:rPr>
                <w:rFonts w:ascii="宋体" w:hAnsi="宋体" w:eastAsia="宋体" w:cs="宋体"/>
                <w:spacing w:val="-1"/>
                <w:sz w:val="20"/>
                <w:szCs w:val="20"/>
              </w:rPr>
              <w:t>废滤</w:t>
            </w:r>
            <w:r>
              <w:rPr>
                <w:rFonts w:ascii="宋体" w:hAnsi="宋体" w:eastAsia="宋体" w:cs="宋体"/>
                <w:sz w:val="20"/>
                <w:szCs w:val="20"/>
              </w:rPr>
              <w:t>网</w:t>
            </w:r>
          </w:p>
        </w:tc>
        <w:tc>
          <w:tcPr>
            <w:tcW w:w="4843" w:type="dxa"/>
            <w:tcBorders>
              <w:right w:val="nil"/>
            </w:tcBorders>
            <w:vAlign w:val="top"/>
          </w:tcPr>
          <w:p w14:paraId="0254B456">
            <w:pPr>
              <w:spacing w:before="74" w:line="228" w:lineRule="auto"/>
              <w:ind w:left="1051"/>
              <w:rPr>
                <w:rFonts w:ascii="宋体" w:hAnsi="宋体" w:eastAsia="宋体" w:cs="宋体"/>
                <w:sz w:val="20"/>
                <w:szCs w:val="20"/>
              </w:rPr>
            </w:pPr>
            <w:r>
              <w:rPr>
                <w:rFonts w:ascii="宋体" w:hAnsi="宋体" w:eastAsia="宋体" w:cs="宋体"/>
                <w:spacing w:val="-4"/>
                <w:sz w:val="20"/>
                <w:szCs w:val="20"/>
              </w:rPr>
              <w:t>集中收集后</w:t>
            </w:r>
            <w:r>
              <w:rPr>
                <w:rFonts w:ascii="宋体" w:hAnsi="宋体" w:eastAsia="宋体" w:cs="宋体"/>
                <w:spacing w:val="-2"/>
                <w:sz w:val="20"/>
                <w:szCs w:val="20"/>
              </w:rPr>
              <w:t>由厂家定期回收处理</w:t>
            </w:r>
          </w:p>
        </w:tc>
      </w:tr>
      <w:tr w14:paraId="4F4A7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521" w:type="dxa"/>
            <w:vMerge w:val="continue"/>
            <w:tcBorders>
              <w:top w:val="nil"/>
              <w:left w:val="nil"/>
              <w:bottom w:val="nil"/>
            </w:tcBorders>
            <w:vAlign w:val="top"/>
          </w:tcPr>
          <w:p w14:paraId="6F7C92EC">
            <w:pPr>
              <w:rPr>
                <w:rFonts w:ascii="Arial"/>
                <w:sz w:val="21"/>
              </w:rPr>
            </w:pPr>
          </w:p>
        </w:tc>
        <w:tc>
          <w:tcPr>
            <w:tcW w:w="1276" w:type="dxa"/>
            <w:vMerge w:val="continue"/>
            <w:tcBorders>
              <w:top w:val="nil"/>
              <w:bottom w:val="nil"/>
            </w:tcBorders>
            <w:vAlign w:val="top"/>
          </w:tcPr>
          <w:p w14:paraId="176B91D2">
            <w:pPr>
              <w:rPr>
                <w:rFonts w:ascii="Arial"/>
                <w:sz w:val="21"/>
              </w:rPr>
            </w:pPr>
          </w:p>
        </w:tc>
        <w:tc>
          <w:tcPr>
            <w:tcW w:w="1716" w:type="dxa"/>
            <w:gridSpan w:val="2"/>
            <w:vAlign w:val="top"/>
          </w:tcPr>
          <w:p w14:paraId="2F0D28D2">
            <w:pPr>
              <w:spacing w:before="229" w:line="228" w:lineRule="auto"/>
              <w:ind w:left="470"/>
              <w:rPr>
                <w:rFonts w:ascii="宋体" w:hAnsi="宋体" w:eastAsia="宋体" w:cs="宋体"/>
                <w:sz w:val="20"/>
                <w:szCs w:val="20"/>
              </w:rPr>
            </w:pPr>
            <w:r>
              <w:rPr>
                <w:rFonts w:ascii="宋体" w:hAnsi="宋体" w:eastAsia="宋体" w:cs="宋体"/>
                <w:spacing w:val="-2"/>
                <w:sz w:val="20"/>
                <w:szCs w:val="20"/>
              </w:rPr>
              <w:t>废</w:t>
            </w:r>
            <w:r>
              <w:rPr>
                <w:rFonts w:ascii="宋体" w:hAnsi="宋体" w:eastAsia="宋体" w:cs="宋体"/>
                <w:spacing w:val="-1"/>
                <w:sz w:val="20"/>
                <w:szCs w:val="20"/>
              </w:rPr>
              <w:t>活性炭</w:t>
            </w:r>
          </w:p>
        </w:tc>
        <w:tc>
          <w:tcPr>
            <w:tcW w:w="4843" w:type="dxa"/>
            <w:tcBorders>
              <w:right w:val="nil"/>
            </w:tcBorders>
            <w:vAlign w:val="top"/>
          </w:tcPr>
          <w:p w14:paraId="38E83E5A">
            <w:pPr>
              <w:spacing w:before="64" w:line="268" w:lineRule="auto"/>
              <w:ind w:left="50" w:right="14" w:hanging="4"/>
              <w:rPr>
                <w:rFonts w:ascii="宋体" w:hAnsi="宋体" w:eastAsia="宋体" w:cs="宋体"/>
                <w:sz w:val="20"/>
                <w:szCs w:val="20"/>
              </w:rPr>
            </w:pPr>
            <w:r>
              <w:rPr>
                <w:rFonts w:ascii="宋体" w:hAnsi="宋体" w:eastAsia="宋体" w:cs="宋体"/>
                <w:spacing w:val="-1"/>
                <w:sz w:val="20"/>
                <w:szCs w:val="20"/>
              </w:rPr>
              <w:t>集中收集后在固定容器中单独存放，积攒到一定</w:t>
            </w:r>
            <w:r>
              <w:rPr>
                <w:rFonts w:ascii="宋体" w:hAnsi="宋体" w:eastAsia="宋体" w:cs="宋体"/>
                <w:sz w:val="20"/>
                <w:szCs w:val="20"/>
              </w:rPr>
              <w:t xml:space="preserve">数量后 </w:t>
            </w:r>
            <w:r>
              <w:rPr>
                <w:rFonts w:ascii="宋体" w:hAnsi="宋体" w:eastAsia="宋体" w:cs="宋体"/>
                <w:spacing w:val="-3"/>
                <w:sz w:val="20"/>
                <w:szCs w:val="20"/>
              </w:rPr>
              <w:t>交由有资质单位处理</w:t>
            </w:r>
            <w:r>
              <w:rPr>
                <w:rFonts w:ascii="宋体" w:hAnsi="宋体" w:eastAsia="宋体" w:cs="宋体"/>
                <w:spacing w:val="-2"/>
                <w:sz w:val="20"/>
                <w:szCs w:val="20"/>
              </w:rPr>
              <w:t>。</w:t>
            </w:r>
          </w:p>
        </w:tc>
      </w:tr>
      <w:tr w14:paraId="4BE126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0" w:hRule="atLeast"/>
        </w:trPr>
        <w:tc>
          <w:tcPr>
            <w:tcW w:w="521" w:type="dxa"/>
            <w:vMerge w:val="continue"/>
            <w:tcBorders>
              <w:top w:val="nil"/>
              <w:left w:val="nil"/>
              <w:bottom w:val="nil"/>
            </w:tcBorders>
            <w:vAlign w:val="top"/>
          </w:tcPr>
          <w:p w14:paraId="7D58F162">
            <w:pPr>
              <w:rPr>
                <w:rFonts w:ascii="Arial"/>
                <w:sz w:val="21"/>
              </w:rPr>
            </w:pPr>
          </w:p>
        </w:tc>
        <w:tc>
          <w:tcPr>
            <w:tcW w:w="1276" w:type="dxa"/>
            <w:vMerge w:val="continue"/>
            <w:tcBorders>
              <w:top w:val="nil"/>
            </w:tcBorders>
            <w:vAlign w:val="top"/>
          </w:tcPr>
          <w:p w14:paraId="46AD326D">
            <w:pPr>
              <w:rPr>
                <w:rFonts w:ascii="Arial"/>
                <w:sz w:val="21"/>
              </w:rPr>
            </w:pPr>
          </w:p>
        </w:tc>
        <w:tc>
          <w:tcPr>
            <w:tcW w:w="1716" w:type="dxa"/>
            <w:gridSpan w:val="2"/>
            <w:vAlign w:val="top"/>
          </w:tcPr>
          <w:p w14:paraId="17E78ABD">
            <w:pPr>
              <w:spacing w:before="229" w:line="228" w:lineRule="auto"/>
              <w:ind w:left="225"/>
              <w:rPr>
                <w:rFonts w:ascii="宋体" w:hAnsi="宋体" w:eastAsia="宋体" w:cs="宋体"/>
                <w:sz w:val="20"/>
                <w:szCs w:val="20"/>
              </w:rPr>
            </w:pPr>
            <w:r>
              <w:rPr>
                <w:rFonts w:ascii="宋体" w:hAnsi="宋体" w:eastAsia="宋体" w:cs="宋体"/>
                <w:spacing w:val="7"/>
                <w:sz w:val="20"/>
                <w:szCs w:val="20"/>
              </w:rPr>
              <w:t>废</w:t>
            </w:r>
            <w:r>
              <w:rPr>
                <w:rFonts w:ascii="Times New Roman" w:hAnsi="Times New Roman" w:eastAsia="Times New Roman" w:cs="Times New Roman"/>
                <w:sz w:val="20"/>
                <w:szCs w:val="20"/>
              </w:rPr>
              <w:t>uv</w:t>
            </w:r>
            <w:r>
              <w:rPr>
                <w:rFonts w:ascii="Times New Roman" w:hAnsi="Times New Roman" w:eastAsia="Times New Roman" w:cs="Times New Roman"/>
                <w:spacing w:val="6"/>
                <w:sz w:val="20"/>
                <w:szCs w:val="20"/>
              </w:rPr>
              <w:t xml:space="preserve"> </w:t>
            </w:r>
            <w:r>
              <w:rPr>
                <w:rFonts w:ascii="宋体" w:hAnsi="宋体" w:eastAsia="宋体" w:cs="宋体"/>
                <w:spacing w:val="6"/>
                <w:sz w:val="20"/>
                <w:szCs w:val="20"/>
              </w:rPr>
              <w:t>光解灯管</w:t>
            </w:r>
          </w:p>
        </w:tc>
        <w:tc>
          <w:tcPr>
            <w:tcW w:w="4843" w:type="dxa"/>
            <w:tcBorders>
              <w:right w:val="nil"/>
            </w:tcBorders>
            <w:vAlign w:val="top"/>
          </w:tcPr>
          <w:p w14:paraId="4B34455C">
            <w:pPr>
              <w:spacing w:before="62" w:line="268" w:lineRule="auto"/>
              <w:ind w:left="50" w:right="14" w:hanging="4"/>
              <w:rPr>
                <w:rFonts w:ascii="宋体" w:hAnsi="宋体" w:eastAsia="宋体" w:cs="宋体"/>
                <w:sz w:val="20"/>
                <w:szCs w:val="20"/>
              </w:rPr>
            </w:pPr>
            <w:r>
              <w:rPr>
                <w:rFonts w:ascii="宋体" w:hAnsi="宋体" w:eastAsia="宋体" w:cs="宋体"/>
                <w:spacing w:val="-1"/>
                <w:sz w:val="20"/>
                <w:szCs w:val="20"/>
              </w:rPr>
              <w:t>集中收集后在固定容器中单独存放，积攒到一定</w:t>
            </w:r>
            <w:r>
              <w:rPr>
                <w:rFonts w:ascii="宋体" w:hAnsi="宋体" w:eastAsia="宋体" w:cs="宋体"/>
                <w:sz w:val="20"/>
                <w:szCs w:val="20"/>
              </w:rPr>
              <w:t xml:space="preserve">数量后 </w:t>
            </w:r>
            <w:r>
              <w:rPr>
                <w:rFonts w:ascii="宋体" w:hAnsi="宋体" w:eastAsia="宋体" w:cs="宋体"/>
                <w:spacing w:val="-3"/>
                <w:sz w:val="20"/>
                <w:szCs w:val="20"/>
              </w:rPr>
              <w:t>交由有资质单位处理</w:t>
            </w:r>
            <w:r>
              <w:rPr>
                <w:rFonts w:ascii="宋体" w:hAnsi="宋体" w:eastAsia="宋体" w:cs="宋体"/>
                <w:spacing w:val="-2"/>
                <w:sz w:val="20"/>
                <w:szCs w:val="20"/>
              </w:rPr>
              <w:t>。</w:t>
            </w:r>
          </w:p>
        </w:tc>
      </w:tr>
      <w:tr w14:paraId="4FB13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9" w:hRule="atLeast"/>
        </w:trPr>
        <w:tc>
          <w:tcPr>
            <w:tcW w:w="521" w:type="dxa"/>
            <w:vMerge w:val="continue"/>
            <w:tcBorders>
              <w:top w:val="nil"/>
              <w:left w:val="nil"/>
              <w:bottom w:val="nil"/>
            </w:tcBorders>
            <w:vAlign w:val="top"/>
          </w:tcPr>
          <w:p w14:paraId="3A644518">
            <w:pPr>
              <w:rPr>
                <w:rFonts w:ascii="Arial"/>
                <w:sz w:val="21"/>
              </w:rPr>
            </w:pPr>
          </w:p>
        </w:tc>
        <w:tc>
          <w:tcPr>
            <w:tcW w:w="1276" w:type="dxa"/>
            <w:vMerge w:val="restart"/>
            <w:tcBorders>
              <w:bottom w:val="nil"/>
            </w:tcBorders>
            <w:vAlign w:val="top"/>
          </w:tcPr>
          <w:p w14:paraId="158EF9F9">
            <w:pPr>
              <w:spacing w:line="277" w:lineRule="auto"/>
              <w:rPr>
                <w:rFonts w:ascii="Arial"/>
                <w:sz w:val="21"/>
              </w:rPr>
            </w:pPr>
          </w:p>
          <w:p w14:paraId="070BF0E5">
            <w:pPr>
              <w:spacing w:line="277" w:lineRule="auto"/>
              <w:rPr>
                <w:rFonts w:ascii="Arial"/>
                <w:sz w:val="21"/>
              </w:rPr>
            </w:pPr>
          </w:p>
          <w:p w14:paraId="0ADB67E9">
            <w:pPr>
              <w:spacing w:line="277" w:lineRule="auto"/>
              <w:rPr>
                <w:rFonts w:ascii="Arial"/>
                <w:sz w:val="21"/>
              </w:rPr>
            </w:pPr>
          </w:p>
          <w:p w14:paraId="5104176D">
            <w:pPr>
              <w:spacing w:line="277" w:lineRule="auto"/>
              <w:rPr>
                <w:rFonts w:ascii="Arial"/>
                <w:sz w:val="21"/>
              </w:rPr>
            </w:pPr>
          </w:p>
          <w:p w14:paraId="0B65EE1B">
            <w:pPr>
              <w:spacing w:line="277" w:lineRule="auto"/>
              <w:rPr>
                <w:rFonts w:ascii="Arial"/>
                <w:sz w:val="21"/>
              </w:rPr>
            </w:pPr>
          </w:p>
          <w:p w14:paraId="168EAADB">
            <w:pPr>
              <w:spacing w:line="278" w:lineRule="auto"/>
              <w:rPr>
                <w:rFonts w:ascii="Arial"/>
                <w:sz w:val="21"/>
              </w:rPr>
            </w:pPr>
          </w:p>
          <w:p w14:paraId="5F66099B">
            <w:pPr>
              <w:spacing w:before="65" w:line="228" w:lineRule="auto"/>
              <w:ind w:left="153"/>
              <w:rPr>
                <w:rFonts w:ascii="宋体" w:hAnsi="宋体" w:eastAsia="宋体" w:cs="宋体"/>
                <w:sz w:val="20"/>
                <w:szCs w:val="20"/>
              </w:rPr>
            </w:pPr>
            <w:r>
              <w:rPr>
                <w:rFonts w:ascii="宋体" w:hAnsi="宋体" w:eastAsia="宋体" w:cs="宋体"/>
                <w:spacing w:val="-2"/>
                <w:sz w:val="20"/>
                <w:szCs w:val="20"/>
              </w:rPr>
              <w:t>地下水治</w:t>
            </w:r>
            <w:r>
              <w:rPr>
                <w:rFonts w:ascii="宋体" w:hAnsi="宋体" w:eastAsia="宋体" w:cs="宋体"/>
                <w:spacing w:val="-1"/>
                <w:sz w:val="20"/>
                <w:szCs w:val="20"/>
              </w:rPr>
              <w:t>理</w:t>
            </w:r>
          </w:p>
        </w:tc>
        <w:tc>
          <w:tcPr>
            <w:tcW w:w="422" w:type="dxa"/>
            <w:vMerge w:val="restart"/>
            <w:tcBorders>
              <w:bottom w:val="nil"/>
            </w:tcBorders>
            <w:textDirection w:val="tbRlV"/>
            <w:vAlign w:val="top"/>
          </w:tcPr>
          <w:p w14:paraId="433252D8">
            <w:pPr>
              <w:spacing w:before="98" w:line="216" w:lineRule="auto"/>
              <w:ind w:left="407"/>
              <w:rPr>
                <w:rFonts w:ascii="宋体" w:hAnsi="宋体" w:eastAsia="宋体" w:cs="宋体"/>
                <w:sz w:val="20"/>
                <w:szCs w:val="20"/>
              </w:rPr>
            </w:pPr>
            <w:r>
              <w:rPr>
                <w:rFonts w:ascii="宋体" w:hAnsi="宋体" w:eastAsia="宋体" w:cs="宋体"/>
                <w:spacing w:val="16"/>
                <w:sz w:val="20"/>
                <w:szCs w:val="20"/>
              </w:rPr>
              <w:t>地 下 水 分 区 防 渗 措 施</w:t>
            </w:r>
          </w:p>
        </w:tc>
        <w:tc>
          <w:tcPr>
            <w:tcW w:w="1294" w:type="dxa"/>
            <w:vAlign w:val="top"/>
          </w:tcPr>
          <w:p w14:paraId="68F15733">
            <w:pPr>
              <w:spacing w:before="227" w:line="315" w:lineRule="auto"/>
              <w:ind w:left="46" w:firstLine="48"/>
              <w:rPr>
                <w:rFonts w:ascii="宋体" w:hAnsi="宋体" w:eastAsia="宋体" w:cs="宋体"/>
                <w:sz w:val="20"/>
                <w:szCs w:val="20"/>
              </w:rPr>
            </w:pPr>
            <w:r>
              <w:rPr>
                <w:rFonts w:ascii="宋体" w:hAnsi="宋体" w:eastAsia="宋体" w:cs="宋体"/>
                <w:spacing w:val="-22"/>
                <w:sz w:val="20"/>
                <w:szCs w:val="20"/>
              </w:rPr>
              <w:t>生</w:t>
            </w:r>
            <w:r>
              <w:rPr>
                <w:rFonts w:ascii="宋体" w:hAnsi="宋体" w:eastAsia="宋体" w:cs="宋体"/>
                <w:spacing w:val="-18"/>
                <w:sz w:val="20"/>
                <w:szCs w:val="20"/>
              </w:rPr>
              <w:t>产厂房、成</w:t>
            </w:r>
            <w:r>
              <w:rPr>
                <w:rFonts w:ascii="宋体" w:hAnsi="宋体" w:eastAsia="宋体" w:cs="宋体"/>
                <w:sz w:val="20"/>
                <w:szCs w:val="20"/>
              </w:rPr>
              <w:t xml:space="preserve"> </w:t>
            </w:r>
            <w:r>
              <w:rPr>
                <w:rFonts w:ascii="宋体" w:hAnsi="宋体" w:eastAsia="宋体" w:cs="宋体"/>
                <w:spacing w:val="-26"/>
                <w:sz w:val="20"/>
                <w:szCs w:val="20"/>
              </w:rPr>
              <w:t>品</w:t>
            </w:r>
            <w:r>
              <w:rPr>
                <w:rFonts w:ascii="宋体" w:hAnsi="宋体" w:eastAsia="宋体" w:cs="宋体"/>
                <w:spacing w:val="-22"/>
                <w:sz w:val="20"/>
                <w:szCs w:val="20"/>
              </w:rPr>
              <w:t>库、原料库、</w:t>
            </w:r>
            <w:r>
              <w:rPr>
                <w:rFonts w:ascii="宋体" w:hAnsi="宋体" w:eastAsia="宋体" w:cs="宋体"/>
                <w:sz w:val="20"/>
                <w:szCs w:val="20"/>
              </w:rPr>
              <w:t xml:space="preserve"> </w:t>
            </w:r>
            <w:r>
              <w:rPr>
                <w:rFonts w:ascii="宋体" w:hAnsi="宋体" w:eastAsia="宋体" w:cs="宋体"/>
                <w:spacing w:val="-34"/>
                <w:sz w:val="20"/>
                <w:szCs w:val="20"/>
              </w:rPr>
              <w:t>三</w:t>
            </w:r>
            <w:r>
              <w:rPr>
                <w:rFonts w:ascii="宋体" w:hAnsi="宋体" w:eastAsia="宋体" w:cs="宋体"/>
                <w:spacing w:val="-29"/>
                <w:sz w:val="20"/>
                <w:szCs w:val="20"/>
              </w:rPr>
              <w:t>级沉淀池、旱</w:t>
            </w:r>
            <w:r>
              <w:rPr>
                <w:rFonts w:ascii="宋体" w:hAnsi="宋体" w:eastAsia="宋体" w:cs="宋体"/>
                <w:sz w:val="20"/>
                <w:szCs w:val="20"/>
              </w:rPr>
              <w:t xml:space="preserve"> </w:t>
            </w:r>
            <w:r>
              <w:rPr>
                <w:rFonts w:ascii="宋体" w:hAnsi="宋体" w:eastAsia="宋体" w:cs="宋体"/>
                <w:spacing w:val="-31"/>
                <w:sz w:val="20"/>
                <w:szCs w:val="20"/>
              </w:rPr>
              <w:t>厕</w:t>
            </w:r>
            <w:r>
              <w:rPr>
                <w:rFonts w:ascii="宋体" w:hAnsi="宋体" w:eastAsia="宋体" w:cs="宋体"/>
                <w:spacing w:val="-26"/>
                <w:sz w:val="20"/>
                <w:szCs w:val="20"/>
              </w:rPr>
              <w:t>、危废暂存间</w:t>
            </w:r>
          </w:p>
        </w:tc>
        <w:tc>
          <w:tcPr>
            <w:tcW w:w="4843" w:type="dxa"/>
            <w:tcBorders>
              <w:right w:val="nil"/>
            </w:tcBorders>
            <w:vAlign w:val="top"/>
          </w:tcPr>
          <w:p w14:paraId="00ECF836">
            <w:pPr>
              <w:tabs>
                <w:tab w:val="left" w:pos="153"/>
              </w:tabs>
              <w:spacing w:before="66" w:line="291" w:lineRule="auto"/>
              <w:ind w:left="44"/>
              <w:rPr>
                <w:rFonts w:ascii="宋体" w:hAnsi="宋体" w:eastAsia="宋体" w:cs="宋体"/>
                <w:sz w:val="20"/>
                <w:szCs w:val="20"/>
              </w:rPr>
            </w:pPr>
            <w:r>
              <w:rPr>
                <w:rFonts w:ascii="宋体" w:hAnsi="宋体" w:eastAsia="宋体" w:cs="宋体"/>
                <w:spacing w:val="-14"/>
                <w:sz w:val="20"/>
                <w:szCs w:val="20"/>
              </w:rPr>
              <w:t>底部</w:t>
            </w:r>
            <w:r>
              <w:rPr>
                <w:rFonts w:ascii="宋体" w:hAnsi="宋体" w:eastAsia="宋体" w:cs="宋体"/>
                <w:spacing w:val="-12"/>
                <w:sz w:val="20"/>
                <w:szCs w:val="20"/>
              </w:rPr>
              <w:t>铺</w:t>
            </w:r>
            <w:r>
              <w:rPr>
                <w:rFonts w:ascii="宋体" w:hAnsi="宋体" w:eastAsia="宋体" w:cs="宋体"/>
                <w:spacing w:val="-7"/>
                <w:sz w:val="20"/>
                <w:szCs w:val="20"/>
              </w:rPr>
              <w:t xml:space="preserve">设 </w:t>
            </w:r>
            <w:r>
              <w:rPr>
                <w:rFonts w:ascii="Times New Roman" w:hAnsi="Times New Roman" w:eastAsia="Times New Roman" w:cs="Times New Roman"/>
                <w:spacing w:val="-7"/>
                <w:sz w:val="20"/>
                <w:szCs w:val="20"/>
              </w:rPr>
              <w:t>300mm</w:t>
            </w:r>
            <w:r>
              <w:rPr>
                <w:rFonts w:ascii="宋体" w:hAnsi="宋体" w:eastAsia="宋体" w:cs="宋体"/>
                <w:spacing w:val="-7"/>
                <w:sz w:val="20"/>
                <w:szCs w:val="20"/>
              </w:rPr>
              <w:t>黏土层(保护层，同时作为辅助防渗层)</w:t>
            </w:r>
            <w:r>
              <w:rPr>
                <w:rFonts w:ascii="宋体" w:hAnsi="宋体" w:eastAsia="宋体" w:cs="宋体"/>
                <w:sz w:val="20"/>
                <w:szCs w:val="20"/>
              </w:rPr>
              <w:t xml:space="preserve"> </w:t>
            </w:r>
            <w:r>
              <w:rPr>
                <w:rFonts w:ascii="宋体" w:hAnsi="宋体" w:eastAsia="宋体" w:cs="宋体"/>
                <w:spacing w:val="16"/>
                <w:sz w:val="20"/>
                <w:szCs w:val="20"/>
              </w:rPr>
              <w:t>压</w:t>
            </w:r>
            <w:r>
              <w:rPr>
                <w:rFonts w:ascii="宋体" w:hAnsi="宋体" w:eastAsia="宋体" w:cs="宋体"/>
                <w:spacing w:val="15"/>
                <w:sz w:val="20"/>
                <w:szCs w:val="20"/>
              </w:rPr>
              <w:t>实</w:t>
            </w:r>
            <w:r>
              <w:rPr>
                <w:rFonts w:ascii="宋体" w:hAnsi="宋体" w:eastAsia="宋体" w:cs="宋体"/>
                <w:spacing w:val="8"/>
                <w:sz w:val="20"/>
                <w:szCs w:val="20"/>
              </w:rPr>
              <w:t xml:space="preserve">平整，黏土层上铺设 </w:t>
            </w:r>
            <w:r>
              <w:rPr>
                <w:rFonts w:ascii="Times New Roman" w:hAnsi="Times New Roman" w:eastAsia="Times New Roman" w:cs="Times New Roman"/>
                <w:sz w:val="20"/>
                <w:szCs w:val="20"/>
              </w:rPr>
              <w:t>HDPE</w:t>
            </w:r>
            <w:r>
              <w:rPr>
                <w:rFonts w:ascii="Times New Roman" w:hAnsi="Times New Roman" w:eastAsia="Times New Roman" w:cs="Times New Roman"/>
                <w:spacing w:val="8"/>
                <w:sz w:val="20"/>
                <w:szCs w:val="20"/>
              </w:rPr>
              <w:t>-</w:t>
            </w:r>
            <w:r>
              <w:rPr>
                <w:rFonts w:ascii="Times New Roman" w:hAnsi="Times New Roman" w:eastAsia="Times New Roman" w:cs="Times New Roman"/>
                <w:sz w:val="20"/>
                <w:szCs w:val="20"/>
              </w:rPr>
              <w:t>GCL</w:t>
            </w:r>
            <w:r>
              <w:rPr>
                <w:rFonts w:ascii="Times New Roman" w:hAnsi="Times New Roman" w:eastAsia="Times New Roman" w:cs="Times New Roman"/>
                <w:spacing w:val="8"/>
                <w:sz w:val="20"/>
                <w:szCs w:val="20"/>
              </w:rPr>
              <w:t xml:space="preserve"> </w:t>
            </w:r>
            <w:r>
              <w:rPr>
                <w:rFonts w:ascii="宋体" w:hAnsi="宋体" w:eastAsia="宋体" w:cs="宋体"/>
                <w:spacing w:val="8"/>
                <w:sz w:val="20"/>
                <w:szCs w:val="20"/>
              </w:rPr>
              <w:t>复合防渗系统</w:t>
            </w:r>
            <w:r>
              <w:rPr>
                <w:rFonts w:ascii="宋体" w:hAnsi="宋体" w:eastAsia="宋体" w:cs="宋体"/>
                <w:sz w:val="20"/>
                <w:szCs w:val="20"/>
              </w:rPr>
              <w:t xml:space="preserve"> </w:t>
            </w:r>
            <w:r>
              <w:rPr>
                <w:rFonts w:ascii="宋体" w:hAnsi="宋体" w:eastAsia="宋体" w:cs="宋体"/>
                <w:sz w:val="20"/>
                <w:szCs w:val="20"/>
              </w:rPr>
              <w:tab/>
            </w:r>
            <w:r>
              <w:rPr>
                <w:rFonts w:ascii="宋体" w:hAnsi="宋体" w:eastAsia="宋体" w:cs="宋体"/>
                <w:spacing w:val="-1"/>
                <w:sz w:val="20"/>
                <w:szCs w:val="20"/>
              </w:rPr>
              <w:t>(</w:t>
            </w:r>
            <w:r>
              <w:rPr>
                <w:rFonts w:ascii="Times New Roman" w:hAnsi="Times New Roman" w:eastAsia="Times New Roman" w:cs="Times New Roman"/>
                <w:spacing w:val="-1"/>
                <w:sz w:val="20"/>
                <w:szCs w:val="20"/>
              </w:rPr>
              <w:t>2</w:t>
            </w:r>
            <w:r>
              <w:rPr>
                <w:rFonts w:ascii="Times New Roman" w:hAnsi="Times New Roman" w:eastAsia="Times New Roman" w:cs="Times New Roman"/>
                <w:sz w:val="20"/>
                <w:szCs w:val="20"/>
              </w:rPr>
              <w:t>mm</w:t>
            </w:r>
            <w:r>
              <w:rPr>
                <w:rFonts w:ascii="宋体" w:hAnsi="宋体" w:eastAsia="宋体" w:cs="宋体"/>
                <w:spacing w:val="-1"/>
                <w:sz w:val="20"/>
                <w:szCs w:val="20"/>
              </w:rPr>
              <w:t>厚的高密度聚乙烯膜、</w:t>
            </w: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00g/m</w:t>
            </w:r>
            <w:r>
              <w:rPr>
                <w:rFonts w:ascii="Times New Roman" w:hAnsi="Times New Roman" w:eastAsia="Times New Roman" w:cs="Times New Roman"/>
                <w:position w:val="6"/>
                <w:sz w:val="13"/>
                <w:szCs w:val="13"/>
              </w:rPr>
              <w:t xml:space="preserve">2 </w:t>
            </w:r>
            <w:r>
              <w:rPr>
                <w:rFonts w:ascii="宋体" w:hAnsi="宋体" w:eastAsia="宋体" w:cs="宋体"/>
                <w:sz w:val="20"/>
                <w:szCs w:val="20"/>
              </w:rPr>
              <w:t xml:space="preserve">土工织物膨润土 </w:t>
            </w:r>
            <w:r>
              <w:rPr>
                <w:rFonts w:ascii="宋体" w:hAnsi="宋体" w:eastAsia="宋体" w:cs="宋体"/>
                <w:spacing w:val="-10"/>
                <w:sz w:val="20"/>
                <w:szCs w:val="20"/>
              </w:rPr>
              <w:t>垫)</w:t>
            </w:r>
            <w:r>
              <w:rPr>
                <w:rFonts w:ascii="宋体" w:hAnsi="宋体" w:eastAsia="宋体" w:cs="宋体"/>
                <w:spacing w:val="-5"/>
                <w:sz w:val="20"/>
                <w:szCs w:val="20"/>
              </w:rPr>
              <w:t xml:space="preserve"> ，上部外加耐腐蚀混凝土 </w:t>
            </w:r>
            <w:r>
              <w:rPr>
                <w:rFonts w:ascii="Times New Roman" w:hAnsi="Times New Roman" w:eastAsia="Times New Roman" w:cs="Times New Roman"/>
                <w:spacing w:val="-5"/>
                <w:sz w:val="20"/>
                <w:szCs w:val="20"/>
              </w:rPr>
              <w:t xml:space="preserve">15cm  </w:t>
            </w:r>
            <w:r>
              <w:rPr>
                <w:rFonts w:ascii="宋体" w:hAnsi="宋体" w:eastAsia="宋体" w:cs="宋体"/>
                <w:spacing w:val="-5"/>
                <w:sz w:val="20"/>
                <w:szCs w:val="20"/>
              </w:rPr>
              <w:t>(保护层) 等防渗，</w:t>
            </w:r>
            <w:r>
              <w:rPr>
                <w:rFonts w:ascii="宋体" w:hAnsi="宋体" w:eastAsia="宋体" w:cs="宋体"/>
                <w:sz w:val="20"/>
                <w:szCs w:val="20"/>
              </w:rPr>
              <w:t xml:space="preserve"> </w:t>
            </w:r>
            <w:r>
              <w:rPr>
                <w:rFonts w:ascii="宋体" w:hAnsi="宋体" w:eastAsia="宋体" w:cs="宋体"/>
                <w:spacing w:val="-8"/>
                <w:sz w:val="20"/>
                <w:szCs w:val="20"/>
              </w:rPr>
              <w:t>侧</w:t>
            </w:r>
            <w:r>
              <w:rPr>
                <w:rFonts w:ascii="宋体" w:hAnsi="宋体" w:eastAsia="宋体" w:cs="宋体"/>
                <w:spacing w:val="-4"/>
                <w:sz w:val="20"/>
                <w:szCs w:val="20"/>
              </w:rPr>
              <w:t>壁均设防渗墙。</w:t>
            </w:r>
          </w:p>
        </w:tc>
      </w:tr>
      <w:tr w14:paraId="0E3F5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6" w:hRule="atLeast"/>
        </w:trPr>
        <w:tc>
          <w:tcPr>
            <w:tcW w:w="521" w:type="dxa"/>
            <w:vMerge w:val="continue"/>
            <w:tcBorders>
              <w:top w:val="nil"/>
              <w:left w:val="nil"/>
              <w:bottom w:val="nil"/>
            </w:tcBorders>
            <w:vAlign w:val="top"/>
          </w:tcPr>
          <w:p w14:paraId="291BC198">
            <w:pPr>
              <w:rPr>
                <w:rFonts w:ascii="Arial"/>
                <w:sz w:val="21"/>
              </w:rPr>
            </w:pPr>
          </w:p>
        </w:tc>
        <w:tc>
          <w:tcPr>
            <w:tcW w:w="1276" w:type="dxa"/>
            <w:vMerge w:val="continue"/>
            <w:tcBorders>
              <w:top w:val="nil"/>
              <w:bottom w:val="nil"/>
            </w:tcBorders>
            <w:vAlign w:val="top"/>
          </w:tcPr>
          <w:p w14:paraId="014E10AE">
            <w:pPr>
              <w:rPr>
                <w:rFonts w:ascii="Arial"/>
                <w:sz w:val="21"/>
              </w:rPr>
            </w:pPr>
          </w:p>
        </w:tc>
        <w:tc>
          <w:tcPr>
            <w:tcW w:w="422" w:type="dxa"/>
            <w:vMerge w:val="continue"/>
            <w:tcBorders>
              <w:top w:val="nil"/>
              <w:bottom w:val="nil"/>
            </w:tcBorders>
            <w:textDirection w:val="tbRlV"/>
            <w:vAlign w:val="top"/>
          </w:tcPr>
          <w:p w14:paraId="0F89BC23">
            <w:pPr>
              <w:rPr>
                <w:rFonts w:ascii="Arial"/>
                <w:sz w:val="21"/>
              </w:rPr>
            </w:pPr>
          </w:p>
        </w:tc>
        <w:tc>
          <w:tcPr>
            <w:tcW w:w="1294" w:type="dxa"/>
            <w:vAlign w:val="top"/>
          </w:tcPr>
          <w:p w14:paraId="3619975D">
            <w:pPr>
              <w:spacing w:before="29" w:line="312" w:lineRule="auto"/>
              <w:ind w:left="65" w:right="40" w:firstLine="1"/>
              <w:rPr>
                <w:rFonts w:ascii="宋体" w:hAnsi="宋体" w:eastAsia="宋体" w:cs="宋体"/>
                <w:sz w:val="20"/>
                <w:szCs w:val="20"/>
              </w:rPr>
            </w:pPr>
            <w:r>
              <w:rPr>
                <w:rFonts w:ascii="宋体" w:hAnsi="宋体" w:eastAsia="宋体" w:cs="宋体"/>
                <w:spacing w:val="-4"/>
                <w:sz w:val="20"/>
                <w:szCs w:val="20"/>
              </w:rPr>
              <w:t>办公室</w:t>
            </w:r>
            <w:r>
              <w:rPr>
                <w:rFonts w:ascii="宋体" w:hAnsi="宋体" w:eastAsia="宋体" w:cs="宋体"/>
                <w:spacing w:val="-2"/>
                <w:sz w:val="20"/>
                <w:szCs w:val="20"/>
              </w:rPr>
              <w:t>、</w:t>
            </w:r>
            <w:r>
              <w:rPr>
                <w:rFonts w:ascii="Times New Roman" w:hAnsi="Times New Roman" w:eastAsia="Times New Roman" w:cs="Times New Roman"/>
                <w:spacing w:val="-2"/>
                <w:sz w:val="20"/>
                <w:szCs w:val="20"/>
              </w:rPr>
              <w:t>1#</w:t>
            </w:r>
            <w:r>
              <w:rPr>
                <w:rFonts w:ascii="宋体" w:hAnsi="宋体" w:eastAsia="宋体" w:cs="宋体"/>
                <w:spacing w:val="-2"/>
                <w:sz w:val="20"/>
                <w:szCs w:val="20"/>
              </w:rPr>
              <w:t>员</w:t>
            </w:r>
            <w:r>
              <w:rPr>
                <w:rFonts w:ascii="宋体" w:hAnsi="宋体" w:eastAsia="宋体" w:cs="宋体"/>
                <w:sz w:val="20"/>
                <w:szCs w:val="20"/>
              </w:rPr>
              <w:t xml:space="preserve"> </w:t>
            </w:r>
            <w:r>
              <w:rPr>
                <w:rFonts w:ascii="宋体" w:hAnsi="宋体" w:eastAsia="宋体" w:cs="宋体"/>
                <w:spacing w:val="-4"/>
                <w:sz w:val="20"/>
                <w:szCs w:val="20"/>
              </w:rPr>
              <w:t>工</w:t>
            </w:r>
            <w:r>
              <w:rPr>
                <w:rFonts w:ascii="宋体" w:hAnsi="宋体" w:eastAsia="宋体" w:cs="宋体"/>
                <w:spacing w:val="-3"/>
                <w:sz w:val="20"/>
                <w:szCs w:val="20"/>
              </w:rPr>
              <w:t>休息室、</w:t>
            </w:r>
            <w:r>
              <w:rPr>
                <w:rFonts w:ascii="Times New Roman" w:hAnsi="Times New Roman" w:eastAsia="Times New Roman" w:cs="Times New Roman"/>
                <w:spacing w:val="-3"/>
                <w:sz w:val="20"/>
                <w:szCs w:val="20"/>
              </w:rPr>
              <w:t>2#</w:t>
            </w:r>
            <w:r>
              <w:rPr>
                <w:rFonts w:ascii="Times New Roman" w:hAnsi="Times New Roman" w:eastAsia="Times New Roman" w:cs="Times New Roman"/>
                <w:sz w:val="20"/>
                <w:szCs w:val="20"/>
              </w:rPr>
              <w:t xml:space="preserve"> </w:t>
            </w:r>
            <w:r>
              <w:rPr>
                <w:rFonts w:ascii="宋体" w:hAnsi="宋体" w:eastAsia="宋体" w:cs="宋体"/>
                <w:spacing w:val="-13"/>
                <w:sz w:val="20"/>
                <w:szCs w:val="20"/>
              </w:rPr>
              <w:t>员</w:t>
            </w:r>
            <w:r>
              <w:rPr>
                <w:rFonts w:ascii="宋体" w:hAnsi="宋体" w:eastAsia="宋体" w:cs="宋体"/>
                <w:spacing w:val="-8"/>
                <w:sz w:val="20"/>
                <w:szCs w:val="20"/>
              </w:rPr>
              <w:t>工休息室、</w:t>
            </w:r>
          </w:p>
          <w:p w14:paraId="171F7792">
            <w:pPr>
              <w:spacing w:before="20" w:line="228" w:lineRule="auto"/>
              <w:ind w:left="164"/>
              <w:rPr>
                <w:rFonts w:ascii="宋体" w:hAnsi="宋体" w:eastAsia="宋体" w:cs="宋体"/>
                <w:sz w:val="20"/>
                <w:szCs w:val="20"/>
              </w:rPr>
            </w:pPr>
            <w:r>
              <w:rPr>
                <w:rFonts w:ascii="宋体" w:hAnsi="宋体" w:eastAsia="宋体" w:cs="宋体"/>
                <w:spacing w:val="-4"/>
                <w:sz w:val="20"/>
                <w:szCs w:val="20"/>
              </w:rPr>
              <w:t>备</w:t>
            </w:r>
            <w:r>
              <w:rPr>
                <w:rFonts w:ascii="宋体" w:hAnsi="宋体" w:eastAsia="宋体" w:cs="宋体"/>
                <w:spacing w:val="-2"/>
                <w:sz w:val="20"/>
                <w:szCs w:val="20"/>
              </w:rPr>
              <w:t>品备件库</w:t>
            </w:r>
          </w:p>
        </w:tc>
        <w:tc>
          <w:tcPr>
            <w:tcW w:w="4843" w:type="dxa"/>
            <w:tcBorders>
              <w:right w:val="nil"/>
            </w:tcBorders>
            <w:vAlign w:val="top"/>
          </w:tcPr>
          <w:p w14:paraId="553D188F">
            <w:pPr>
              <w:spacing w:line="331" w:lineRule="auto"/>
              <w:rPr>
                <w:rFonts w:ascii="Arial"/>
                <w:sz w:val="21"/>
              </w:rPr>
            </w:pPr>
          </w:p>
          <w:p w14:paraId="728E8717">
            <w:pPr>
              <w:spacing w:before="65" w:line="320" w:lineRule="auto"/>
              <w:ind w:left="46" w:right="14" w:hanging="1"/>
              <w:rPr>
                <w:rFonts w:ascii="宋体" w:hAnsi="宋体" w:eastAsia="宋体" w:cs="宋体"/>
                <w:sz w:val="20"/>
                <w:szCs w:val="20"/>
              </w:rPr>
            </w:pPr>
            <w:r>
              <w:rPr>
                <w:rFonts w:ascii="宋体" w:hAnsi="宋体" w:eastAsia="宋体" w:cs="宋体"/>
                <w:spacing w:val="2"/>
                <w:sz w:val="20"/>
                <w:szCs w:val="20"/>
              </w:rPr>
              <w:t>底</w:t>
            </w:r>
            <w:r>
              <w:rPr>
                <w:rFonts w:ascii="宋体" w:hAnsi="宋体" w:eastAsia="宋体" w:cs="宋体"/>
                <w:spacing w:val="1"/>
                <w:sz w:val="20"/>
                <w:szCs w:val="20"/>
              </w:rPr>
              <w:t xml:space="preserve">部做基础防渗，铺设 </w:t>
            </w:r>
            <w:r>
              <w:rPr>
                <w:rFonts w:ascii="Times New Roman" w:hAnsi="Times New Roman" w:eastAsia="Times New Roman" w:cs="Times New Roman"/>
                <w:spacing w:val="1"/>
                <w:sz w:val="20"/>
                <w:szCs w:val="20"/>
              </w:rPr>
              <w:t>1</w:t>
            </w:r>
            <w:r>
              <w:rPr>
                <w:rFonts w:ascii="Times New Roman" w:hAnsi="Times New Roman" w:eastAsia="Times New Roman" w:cs="Times New Roman"/>
                <w:sz w:val="20"/>
                <w:szCs w:val="20"/>
              </w:rPr>
              <w:t>m</w:t>
            </w:r>
            <w:r>
              <w:rPr>
                <w:rFonts w:ascii="宋体" w:hAnsi="宋体" w:eastAsia="宋体" w:cs="宋体"/>
                <w:spacing w:val="1"/>
                <w:sz w:val="20"/>
                <w:szCs w:val="20"/>
              </w:rPr>
              <w:t>厚黏土层，再用耐腐蚀混凝</w:t>
            </w:r>
            <w:r>
              <w:rPr>
                <w:rFonts w:ascii="宋体" w:hAnsi="宋体" w:eastAsia="宋体" w:cs="宋体"/>
                <w:sz w:val="20"/>
                <w:szCs w:val="20"/>
              </w:rPr>
              <w:t xml:space="preserve"> </w:t>
            </w:r>
            <w:r>
              <w:rPr>
                <w:rFonts w:ascii="宋体" w:hAnsi="宋体" w:eastAsia="宋体" w:cs="宋体"/>
                <w:spacing w:val="-4"/>
                <w:sz w:val="20"/>
                <w:szCs w:val="20"/>
              </w:rPr>
              <w:t xml:space="preserve">土 </w:t>
            </w:r>
            <w:r>
              <w:rPr>
                <w:rFonts w:ascii="Times New Roman" w:hAnsi="Times New Roman" w:eastAsia="Times New Roman" w:cs="Times New Roman"/>
                <w:spacing w:val="-4"/>
                <w:sz w:val="20"/>
                <w:szCs w:val="20"/>
              </w:rPr>
              <w:t>1</w:t>
            </w:r>
            <w:r>
              <w:rPr>
                <w:rFonts w:ascii="Times New Roman" w:hAnsi="Times New Roman" w:eastAsia="Times New Roman" w:cs="Times New Roman"/>
                <w:spacing w:val="-2"/>
                <w:sz w:val="20"/>
                <w:szCs w:val="20"/>
              </w:rPr>
              <w:t>5cm</w:t>
            </w:r>
            <w:r>
              <w:rPr>
                <w:rFonts w:ascii="宋体" w:hAnsi="宋体" w:eastAsia="宋体" w:cs="宋体"/>
                <w:spacing w:val="-2"/>
                <w:sz w:val="20"/>
                <w:szCs w:val="20"/>
              </w:rPr>
              <w:t>浇铸，上部铺设耐腐蚀砖。</w:t>
            </w:r>
          </w:p>
        </w:tc>
      </w:tr>
      <w:tr w14:paraId="62CD1F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521" w:type="dxa"/>
            <w:vMerge w:val="continue"/>
            <w:tcBorders>
              <w:top w:val="nil"/>
              <w:left w:val="nil"/>
            </w:tcBorders>
            <w:vAlign w:val="top"/>
          </w:tcPr>
          <w:p w14:paraId="21BAE479">
            <w:pPr>
              <w:rPr>
                <w:rFonts w:ascii="Arial"/>
                <w:sz w:val="21"/>
              </w:rPr>
            </w:pPr>
          </w:p>
        </w:tc>
        <w:tc>
          <w:tcPr>
            <w:tcW w:w="1276" w:type="dxa"/>
            <w:vMerge w:val="continue"/>
            <w:tcBorders>
              <w:top w:val="nil"/>
            </w:tcBorders>
            <w:vAlign w:val="top"/>
          </w:tcPr>
          <w:p w14:paraId="69BECFC4">
            <w:pPr>
              <w:rPr>
                <w:rFonts w:ascii="Arial"/>
                <w:sz w:val="21"/>
              </w:rPr>
            </w:pPr>
          </w:p>
        </w:tc>
        <w:tc>
          <w:tcPr>
            <w:tcW w:w="422" w:type="dxa"/>
            <w:vMerge w:val="continue"/>
            <w:tcBorders>
              <w:top w:val="nil"/>
            </w:tcBorders>
            <w:textDirection w:val="tbRlV"/>
            <w:vAlign w:val="top"/>
          </w:tcPr>
          <w:p w14:paraId="634D7B9A">
            <w:pPr>
              <w:rPr>
                <w:rFonts w:ascii="Arial"/>
                <w:sz w:val="21"/>
              </w:rPr>
            </w:pPr>
          </w:p>
        </w:tc>
        <w:tc>
          <w:tcPr>
            <w:tcW w:w="1294" w:type="dxa"/>
            <w:vAlign w:val="top"/>
          </w:tcPr>
          <w:p w14:paraId="74E566A5">
            <w:pPr>
              <w:spacing w:before="66" w:line="268" w:lineRule="auto"/>
              <w:ind w:left="162" w:right="40" w:hanging="99"/>
              <w:rPr>
                <w:rFonts w:ascii="宋体" w:hAnsi="宋体" w:eastAsia="宋体" w:cs="宋体"/>
                <w:sz w:val="20"/>
                <w:szCs w:val="20"/>
              </w:rPr>
            </w:pPr>
            <w:r>
              <w:rPr>
                <w:rFonts w:ascii="宋体" w:hAnsi="宋体" w:eastAsia="宋体" w:cs="宋体"/>
                <w:spacing w:val="-4"/>
                <w:sz w:val="20"/>
                <w:szCs w:val="20"/>
              </w:rPr>
              <w:t>全厂</w:t>
            </w:r>
            <w:r>
              <w:rPr>
                <w:rFonts w:ascii="宋体" w:hAnsi="宋体" w:eastAsia="宋体" w:cs="宋体"/>
                <w:spacing w:val="-2"/>
                <w:sz w:val="20"/>
                <w:szCs w:val="20"/>
              </w:rPr>
              <w:t>区绿地外</w:t>
            </w:r>
            <w:r>
              <w:rPr>
                <w:rFonts w:ascii="宋体" w:hAnsi="宋体" w:eastAsia="宋体" w:cs="宋体"/>
                <w:sz w:val="20"/>
                <w:szCs w:val="20"/>
              </w:rPr>
              <w:t xml:space="preserve"> </w:t>
            </w:r>
            <w:r>
              <w:rPr>
                <w:rFonts w:ascii="宋体" w:hAnsi="宋体" w:eastAsia="宋体" w:cs="宋体"/>
                <w:spacing w:val="-2"/>
                <w:sz w:val="20"/>
                <w:szCs w:val="20"/>
              </w:rPr>
              <w:t>其他构筑物</w:t>
            </w:r>
          </w:p>
        </w:tc>
        <w:tc>
          <w:tcPr>
            <w:tcW w:w="4843" w:type="dxa"/>
            <w:tcBorders>
              <w:right w:val="nil"/>
            </w:tcBorders>
            <w:vAlign w:val="top"/>
          </w:tcPr>
          <w:p w14:paraId="678B17DD">
            <w:pPr>
              <w:spacing w:before="231" w:line="227" w:lineRule="auto"/>
              <w:ind w:left="364"/>
              <w:rPr>
                <w:rFonts w:ascii="宋体" w:hAnsi="宋体" w:eastAsia="宋体" w:cs="宋体"/>
                <w:sz w:val="20"/>
                <w:szCs w:val="20"/>
              </w:rPr>
            </w:pPr>
            <w:r>
              <w:rPr>
                <w:rFonts w:ascii="宋体" w:hAnsi="宋体" w:eastAsia="宋体" w:cs="宋体"/>
                <w:spacing w:val="-3"/>
                <w:sz w:val="20"/>
                <w:szCs w:val="20"/>
              </w:rPr>
              <w:t>采取混凝土地面，上涂耐磨环氧树脂地面涂料</w:t>
            </w:r>
            <w:r>
              <w:rPr>
                <w:rFonts w:ascii="宋体" w:hAnsi="宋体" w:eastAsia="宋体" w:cs="宋体"/>
                <w:sz w:val="20"/>
                <w:szCs w:val="20"/>
              </w:rPr>
              <w:t>。</w:t>
            </w:r>
          </w:p>
        </w:tc>
      </w:tr>
    </w:tbl>
    <w:p w14:paraId="203F1374">
      <w:pPr>
        <w:spacing w:before="295" w:line="226" w:lineRule="auto"/>
        <w:ind w:left="44"/>
        <w:outlineLvl w:val="2"/>
        <w:rPr>
          <w:rFonts w:ascii="宋体" w:hAnsi="宋体" w:eastAsia="宋体" w:cs="宋体"/>
          <w:sz w:val="29"/>
          <w:szCs w:val="29"/>
        </w:rPr>
      </w:pPr>
      <w:r>
        <w:rPr>
          <w:rFonts w:ascii="Times New Roman" w:hAnsi="Times New Roman" w:eastAsia="Times New Roman" w:cs="Times New Roman"/>
          <w:b/>
          <w:bCs/>
          <w:spacing w:val="6"/>
          <w:sz w:val="29"/>
          <w:szCs w:val="29"/>
        </w:rPr>
        <w:t>3.1.3</w:t>
      </w:r>
      <w:r>
        <w:rPr>
          <w:rFonts w:ascii="Times New Roman" w:hAnsi="Times New Roman" w:eastAsia="Times New Roman" w:cs="Times New Roman"/>
          <w:spacing w:val="6"/>
          <w:sz w:val="29"/>
          <w:szCs w:val="29"/>
        </w:rPr>
        <w:t xml:space="preserve"> </w:t>
      </w:r>
      <w:r>
        <w:rPr>
          <w:rFonts w:ascii="宋体" w:hAnsi="宋体" w:eastAsia="宋体" w:cs="宋体"/>
          <w:spacing w:val="6"/>
          <w:sz w:val="29"/>
          <w:szCs w:val="29"/>
          <w14:textOutline w14:w="5448" w14:cap="sq" w14:cmpd="sng">
            <w14:solidFill>
              <w14:srgbClr w14:val="000000"/>
            </w14:solidFill>
            <w14:prstDash w14:val="solid"/>
            <w14:bevel/>
          </w14:textOutline>
        </w:rPr>
        <w:t>产品方</w:t>
      </w:r>
      <w:r>
        <w:rPr>
          <w:rFonts w:ascii="宋体" w:hAnsi="宋体" w:eastAsia="宋体" w:cs="宋体"/>
          <w:spacing w:val="5"/>
          <w:sz w:val="29"/>
          <w:szCs w:val="29"/>
          <w14:textOutline w14:w="5448" w14:cap="sq" w14:cmpd="sng">
            <w14:solidFill>
              <w14:srgbClr w14:val="000000"/>
            </w14:solidFill>
            <w14:prstDash w14:val="solid"/>
            <w14:bevel/>
          </w14:textOutline>
        </w:rPr>
        <w:t>案</w:t>
      </w:r>
    </w:p>
    <w:p w14:paraId="294C4304">
      <w:pPr>
        <w:spacing w:line="267" w:lineRule="auto"/>
        <w:rPr>
          <w:rFonts w:ascii="Arial"/>
          <w:sz w:val="21"/>
        </w:rPr>
      </w:pPr>
    </w:p>
    <w:p w14:paraId="26A30481">
      <w:pPr>
        <w:spacing w:before="75" w:line="393" w:lineRule="auto"/>
        <w:ind w:left="47" w:firstLine="456"/>
        <w:rPr>
          <w:rFonts w:ascii="宋体" w:hAnsi="宋体" w:eastAsia="宋体" w:cs="宋体"/>
          <w:sz w:val="23"/>
          <w:szCs w:val="23"/>
        </w:rPr>
      </w:pPr>
      <w:r>
        <w:rPr>
          <w:rFonts w:ascii="宋体" w:hAnsi="宋体" w:eastAsia="宋体" w:cs="宋体"/>
          <w:spacing w:val="1"/>
          <w:sz w:val="23"/>
          <w:szCs w:val="23"/>
        </w:rPr>
        <w:t>该项目所用原料为废塑料编织袋，均外购于</w:t>
      </w:r>
      <w:r>
        <w:rPr>
          <w:rFonts w:ascii="宋体" w:hAnsi="宋体" w:eastAsia="宋体" w:cs="宋体"/>
          <w:sz w:val="23"/>
          <w:szCs w:val="23"/>
        </w:rPr>
        <w:t xml:space="preserve">本溪宏远集团北台再生资源有限责 </w:t>
      </w:r>
      <w:r>
        <w:rPr>
          <w:rFonts w:ascii="宋体" w:hAnsi="宋体" w:eastAsia="宋体" w:cs="宋体"/>
          <w:spacing w:val="1"/>
          <w:sz w:val="23"/>
          <w:szCs w:val="23"/>
        </w:rPr>
        <w:t>任公司及平山区利安建材城，为本溪</w:t>
      </w:r>
      <w:r>
        <w:rPr>
          <w:rFonts w:ascii="宋体" w:hAnsi="宋体" w:eastAsia="宋体" w:cs="宋体"/>
          <w:sz w:val="23"/>
          <w:szCs w:val="23"/>
        </w:rPr>
        <w:t xml:space="preserve">宏远集团北台再生资源有限责任公司收购北台 </w:t>
      </w:r>
      <w:r>
        <w:rPr>
          <w:rFonts w:ascii="宋体" w:hAnsi="宋体" w:eastAsia="宋体" w:cs="宋体"/>
          <w:spacing w:val="1"/>
          <w:sz w:val="23"/>
          <w:szCs w:val="23"/>
        </w:rPr>
        <w:t>钢铁 (集团) 有限责任公司所用</w:t>
      </w:r>
      <w:r>
        <w:rPr>
          <w:rFonts w:ascii="宋体" w:hAnsi="宋体" w:eastAsia="宋体" w:cs="宋体"/>
          <w:sz w:val="23"/>
          <w:szCs w:val="23"/>
        </w:rPr>
        <w:t xml:space="preserve">原料合金铁及铝锭的废包装袋及平山区利安建材城 </w:t>
      </w:r>
      <w:r>
        <w:rPr>
          <w:rFonts w:ascii="宋体" w:hAnsi="宋体" w:eastAsia="宋体" w:cs="宋体"/>
          <w:spacing w:val="-8"/>
          <w:sz w:val="23"/>
          <w:szCs w:val="23"/>
        </w:rPr>
        <w:t>所销</w:t>
      </w:r>
      <w:r>
        <w:rPr>
          <w:rFonts w:ascii="宋体" w:hAnsi="宋体" w:eastAsia="宋体" w:cs="宋体"/>
          <w:spacing w:val="-5"/>
          <w:sz w:val="23"/>
          <w:szCs w:val="23"/>
        </w:rPr>
        <w:t>售</w:t>
      </w:r>
      <w:r>
        <w:rPr>
          <w:rFonts w:ascii="宋体" w:hAnsi="宋体" w:eastAsia="宋体" w:cs="宋体"/>
          <w:spacing w:val="-4"/>
          <w:sz w:val="23"/>
          <w:szCs w:val="23"/>
        </w:rPr>
        <w:t>砂子的废包装袋，主要成分为聚乙烯、聚丙烯，不含聚氯乙烯、医用塑料等，</w:t>
      </w:r>
      <w:r>
        <w:rPr>
          <w:rFonts w:ascii="宋体" w:hAnsi="宋体" w:eastAsia="宋体" w:cs="宋体"/>
          <w:sz w:val="23"/>
          <w:szCs w:val="23"/>
        </w:rPr>
        <w:t xml:space="preserve"> </w:t>
      </w:r>
      <w:r>
        <w:rPr>
          <w:rFonts w:ascii="宋体" w:hAnsi="宋体" w:eastAsia="宋体" w:cs="宋体"/>
          <w:spacing w:val="-4"/>
          <w:sz w:val="23"/>
          <w:szCs w:val="23"/>
        </w:rPr>
        <w:t xml:space="preserve">年加工量约为 </w:t>
      </w:r>
      <w:r>
        <w:rPr>
          <w:rFonts w:ascii="Times New Roman" w:hAnsi="Times New Roman" w:eastAsia="Times New Roman" w:cs="Times New Roman"/>
          <w:spacing w:val="-4"/>
          <w:sz w:val="23"/>
          <w:szCs w:val="23"/>
        </w:rPr>
        <w:t>51100</w:t>
      </w:r>
      <w:r>
        <w:rPr>
          <w:rFonts w:ascii="Times New Roman" w:hAnsi="Times New Roman" w:eastAsia="Times New Roman" w:cs="Times New Roman"/>
          <w:spacing w:val="-2"/>
          <w:sz w:val="23"/>
          <w:szCs w:val="23"/>
        </w:rPr>
        <w:t xml:space="preserve">t </w:t>
      </w:r>
      <w:r>
        <w:rPr>
          <w:rFonts w:ascii="宋体" w:hAnsi="宋体" w:eastAsia="宋体" w:cs="宋体"/>
          <w:spacing w:val="-2"/>
          <w:sz w:val="23"/>
          <w:szCs w:val="23"/>
        </w:rPr>
        <w:t>，原料进厂后先进行分拣，去除不可利用杂质后加热造粒成再</w:t>
      </w:r>
    </w:p>
    <w:p w14:paraId="4AE3F122">
      <w:pPr>
        <w:sectPr>
          <w:headerReference r:id="rId92" w:type="default"/>
          <w:footerReference r:id="rId93" w:type="default"/>
          <w:pgSz w:w="11906" w:h="16839"/>
          <w:pgMar w:top="1132" w:right="1745" w:bottom="1156" w:left="1760" w:header="878" w:footer="996" w:gutter="0"/>
          <w:cols w:space="720" w:num="1"/>
        </w:sectPr>
      </w:pPr>
    </w:p>
    <w:p w14:paraId="5DE08BEF">
      <w:pPr>
        <w:spacing w:line="368" w:lineRule="auto"/>
        <w:rPr>
          <w:rFonts w:ascii="Arial"/>
          <w:sz w:val="21"/>
        </w:rPr>
      </w:pPr>
      <w:r>
        <w:pict>
          <v:shape id="_x0000_s1137" o:spid="_x0000_s1137" style="position:absolute;left:0pt;margin-left:90pt;margin-top:57.35pt;height:0.75pt;width:415.3pt;mso-position-horizontal-relative:page;mso-position-vertical-relative:page;z-index:251770880;mso-width-relative:page;mso-height-relative:page;" fillcolor="#000000" filled="t" stroked="f" coordsize="8305,15" o:allowincell="f" path="m0,0l8305,0,8305,14,0,14,0,0xe">
            <v:path/>
            <v:fill on="t" focussize="0,0"/>
            <v:stroke on="f"/>
            <v:imagedata o:title=""/>
            <o:lock v:ext="edit"/>
          </v:shape>
        </w:pict>
      </w:r>
    </w:p>
    <w:p w14:paraId="774E28FE">
      <w:pPr>
        <w:spacing w:before="74" w:line="385" w:lineRule="auto"/>
        <w:ind w:left="119" w:right="107"/>
        <w:rPr>
          <w:rFonts w:ascii="宋体" w:hAnsi="宋体" w:eastAsia="宋体" w:cs="宋体"/>
          <w:sz w:val="23"/>
          <w:szCs w:val="23"/>
        </w:rPr>
      </w:pPr>
      <w:r>
        <w:rPr>
          <w:rFonts w:ascii="宋体" w:hAnsi="宋体" w:eastAsia="宋体" w:cs="宋体"/>
          <w:spacing w:val="-7"/>
          <w:sz w:val="23"/>
          <w:szCs w:val="23"/>
        </w:rPr>
        <w:t>生</w:t>
      </w:r>
      <w:r>
        <w:rPr>
          <w:rFonts w:ascii="宋体" w:hAnsi="宋体" w:eastAsia="宋体" w:cs="宋体"/>
          <w:spacing w:val="-4"/>
          <w:sz w:val="23"/>
          <w:szCs w:val="23"/>
        </w:rPr>
        <w:t xml:space="preserve">塑料颗粒产品，粒径在 </w:t>
      </w:r>
      <w:r>
        <w:rPr>
          <w:rFonts w:ascii="Times New Roman" w:hAnsi="Times New Roman" w:eastAsia="Times New Roman" w:cs="Times New Roman"/>
          <w:spacing w:val="-4"/>
          <w:sz w:val="23"/>
          <w:szCs w:val="23"/>
        </w:rPr>
        <w:t xml:space="preserve">0.7~ 1.5mm </w:t>
      </w:r>
      <w:r>
        <w:rPr>
          <w:rFonts w:ascii="宋体" w:hAnsi="宋体" w:eastAsia="宋体" w:cs="宋体"/>
          <w:spacing w:val="-4"/>
          <w:sz w:val="23"/>
          <w:szCs w:val="23"/>
        </w:rPr>
        <w:t xml:space="preserve">之间，年产量为 </w:t>
      </w:r>
      <w:r>
        <w:rPr>
          <w:rFonts w:ascii="Times New Roman" w:hAnsi="Times New Roman" w:eastAsia="Times New Roman" w:cs="Times New Roman"/>
          <w:spacing w:val="-4"/>
          <w:sz w:val="23"/>
          <w:szCs w:val="23"/>
        </w:rPr>
        <w:t>50000t</w:t>
      </w:r>
      <w:r>
        <w:rPr>
          <w:rFonts w:ascii="宋体" w:hAnsi="宋体" w:eastAsia="宋体" w:cs="宋体"/>
          <w:spacing w:val="-4"/>
          <w:sz w:val="23"/>
          <w:szCs w:val="23"/>
        </w:rPr>
        <w:t>，可用于塑料膜、再生</w:t>
      </w:r>
      <w:r>
        <w:rPr>
          <w:rFonts w:ascii="宋体" w:hAnsi="宋体" w:eastAsia="宋体" w:cs="宋体"/>
          <w:sz w:val="23"/>
          <w:szCs w:val="23"/>
        </w:rPr>
        <w:t xml:space="preserve"> </w:t>
      </w:r>
      <w:r>
        <w:rPr>
          <w:rFonts w:ascii="宋体" w:hAnsi="宋体" w:eastAsia="宋体" w:cs="宋体"/>
          <w:spacing w:val="-6"/>
          <w:sz w:val="23"/>
          <w:szCs w:val="23"/>
        </w:rPr>
        <w:t>塑料制品的</w:t>
      </w:r>
      <w:r>
        <w:rPr>
          <w:rFonts w:ascii="宋体" w:hAnsi="宋体" w:eastAsia="宋体" w:cs="宋体"/>
          <w:spacing w:val="-3"/>
          <w:sz w:val="23"/>
          <w:szCs w:val="23"/>
        </w:rPr>
        <w:t xml:space="preserve">制造。包装规格 </w:t>
      </w:r>
      <w:r>
        <w:rPr>
          <w:rFonts w:ascii="Times New Roman" w:hAnsi="Times New Roman" w:eastAsia="Times New Roman" w:cs="Times New Roman"/>
          <w:spacing w:val="-3"/>
          <w:sz w:val="23"/>
          <w:szCs w:val="23"/>
        </w:rPr>
        <w:t>25kg/</w:t>
      </w:r>
      <w:r>
        <w:rPr>
          <w:rFonts w:ascii="宋体" w:hAnsi="宋体" w:eastAsia="宋体" w:cs="宋体"/>
          <w:spacing w:val="-3"/>
          <w:sz w:val="23"/>
          <w:szCs w:val="23"/>
        </w:rPr>
        <w:t>袋，产品标准执行《聚乙烯 (</w:t>
      </w:r>
      <w:r>
        <w:rPr>
          <w:rFonts w:ascii="Times New Roman" w:hAnsi="Times New Roman" w:eastAsia="Times New Roman" w:cs="Times New Roman"/>
          <w:spacing w:val="-3"/>
          <w:sz w:val="23"/>
          <w:szCs w:val="23"/>
        </w:rPr>
        <w:t>PE</w:t>
      </w:r>
      <w:r>
        <w:rPr>
          <w:rFonts w:ascii="宋体" w:hAnsi="宋体" w:eastAsia="宋体" w:cs="宋体"/>
          <w:spacing w:val="-3"/>
          <w:sz w:val="23"/>
          <w:szCs w:val="23"/>
        </w:rPr>
        <w:t>) 树脂》  (</w:t>
      </w:r>
      <w:r>
        <w:rPr>
          <w:rFonts w:ascii="Times New Roman" w:hAnsi="Times New Roman" w:eastAsia="Times New Roman" w:cs="Times New Roman"/>
          <w:spacing w:val="-3"/>
          <w:sz w:val="23"/>
          <w:szCs w:val="23"/>
        </w:rPr>
        <w:t>GB/T</w:t>
      </w:r>
      <w:r>
        <w:rPr>
          <w:rFonts w:ascii="Times New Roman" w:hAnsi="Times New Roman" w:eastAsia="Times New Roman" w:cs="Times New Roman"/>
          <w:sz w:val="23"/>
          <w:szCs w:val="23"/>
        </w:rPr>
        <w:t xml:space="preserve"> </w:t>
      </w:r>
      <w:r>
        <w:rPr>
          <w:rFonts w:ascii="Times New Roman" w:hAnsi="Times New Roman" w:eastAsia="Times New Roman" w:cs="Times New Roman"/>
          <w:spacing w:val="-6"/>
          <w:sz w:val="23"/>
          <w:szCs w:val="23"/>
        </w:rPr>
        <w:t>1</w:t>
      </w:r>
      <w:r>
        <w:rPr>
          <w:rFonts w:ascii="Times New Roman" w:hAnsi="Times New Roman" w:eastAsia="Times New Roman" w:cs="Times New Roman"/>
          <w:spacing w:val="-4"/>
          <w:sz w:val="23"/>
          <w:szCs w:val="23"/>
        </w:rPr>
        <w:t>1</w:t>
      </w:r>
      <w:r>
        <w:rPr>
          <w:rFonts w:ascii="Times New Roman" w:hAnsi="Times New Roman" w:eastAsia="Times New Roman" w:cs="Times New Roman"/>
          <w:spacing w:val="-3"/>
          <w:sz w:val="23"/>
          <w:szCs w:val="23"/>
        </w:rPr>
        <w:t>115-2009</w:t>
      </w:r>
      <w:r>
        <w:rPr>
          <w:rFonts w:ascii="宋体" w:hAnsi="宋体" w:eastAsia="宋体" w:cs="宋体"/>
          <w:spacing w:val="-3"/>
          <w:sz w:val="23"/>
          <w:szCs w:val="23"/>
        </w:rPr>
        <w:t>) 、《聚丙烯 (</w:t>
      </w:r>
      <w:r>
        <w:rPr>
          <w:rFonts w:ascii="Times New Roman" w:hAnsi="Times New Roman" w:eastAsia="Times New Roman" w:cs="Times New Roman"/>
          <w:spacing w:val="-3"/>
          <w:sz w:val="23"/>
          <w:szCs w:val="23"/>
        </w:rPr>
        <w:t>PP</w:t>
      </w:r>
      <w:r>
        <w:rPr>
          <w:rFonts w:ascii="宋体" w:hAnsi="宋体" w:eastAsia="宋体" w:cs="宋体"/>
          <w:spacing w:val="-3"/>
          <w:sz w:val="23"/>
          <w:szCs w:val="23"/>
        </w:rPr>
        <w:t>) 树脂》  (</w:t>
      </w:r>
      <w:r>
        <w:rPr>
          <w:rFonts w:ascii="Times New Roman" w:hAnsi="Times New Roman" w:eastAsia="Times New Roman" w:cs="Times New Roman"/>
          <w:spacing w:val="-3"/>
          <w:sz w:val="23"/>
          <w:szCs w:val="23"/>
        </w:rPr>
        <w:t>GB/T 12670-2008</w:t>
      </w:r>
      <w:r>
        <w:rPr>
          <w:rFonts w:ascii="宋体" w:hAnsi="宋体" w:eastAsia="宋体" w:cs="宋体"/>
          <w:spacing w:val="-3"/>
          <w:sz w:val="23"/>
          <w:szCs w:val="23"/>
        </w:rPr>
        <w:t>) 。本项目主要产品方案</w:t>
      </w:r>
      <w:r>
        <w:rPr>
          <w:rFonts w:ascii="宋体" w:hAnsi="宋体" w:eastAsia="宋体" w:cs="宋体"/>
          <w:sz w:val="23"/>
          <w:szCs w:val="23"/>
        </w:rPr>
        <w:t xml:space="preserve"> </w:t>
      </w:r>
      <w:r>
        <w:rPr>
          <w:rFonts w:ascii="宋体" w:hAnsi="宋体" w:eastAsia="宋体" w:cs="宋体"/>
          <w:spacing w:val="-15"/>
          <w:sz w:val="23"/>
          <w:szCs w:val="23"/>
        </w:rPr>
        <w:t>详</w:t>
      </w:r>
      <w:r>
        <w:rPr>
          <w:rFonts w:ascii="宋体" w:hAnsi="宋体" w:eastAsia="宋体" w:cs="宋体"/>
          <w:spacing w:val="-9"/>
          <w:sz w:val="23"/>
          <w:szCs w:val="23"/>
        </w:rPr>
        <w:t xml:space="preserve">见表 </w:t>
      </w:r>
      <w:r>
        <w:rPr>
          <w:rFonts w:ascii="Times New Roman" w:hAnsi="Times New Roman" w:eastAsia="Times New Roman" w:cs="Times New Roman"/>
          <w:spacing w:val="-9"/>
          <w:sz w:val="23"/>
          <w:szCs w:val="23"/>
        </w:rPr>
        <w:t>3-4</w:t>
      </w:r>
      <w:r>
        <w:rPr>
          <w:rFonts w:ascii="宋体" w:hAnsi="宋体" w:eastAsia="宋体" w:cs="宋体"/>
          <w:spacing w:val="-9"/>
          <w:sz w:val="23"/>
          <w:szCs w:val="23"/>
        </w:rPr>
        <w:t>。</w:t>
      </w:r>
    </w:p>
    <w:p w14:paraId="3586C138">
      <w:pPr>
        <w:spacing w:before="210" w:line="227" w:lineRule="auto"/>
        <w:ind w:left="2257"/>
        <w:rPr>
          <w:rFonts w:ascii="宋体" w:hAnsi="宋体" w:eastAsia="宋体" w:cs="宋体"/>
          <w:sz w:val="23"/>
          <w:szCs w:val="23"/>
        </w:rPr>
      </w:pPr>
      <w:r>
        <w:rPr>
          <w:rFonts w:ascii="宋体" w:hAnsi="宋体" w:eastAsia="宋体" w:cs="宋体"/>
          <w:spacing w:val="-2"/>
          <w:sz w:val="23"/>
          <w:szCs w:val="23"/>
          <w14:textOutline w14:w="4358" w14:cap="sq" w14:cmpd="sng">
            <w14:solidFill>
              <w14:srgbClr w14:val="000000"/>
            </w14:solidFill>
            <w14:prstDash w14:val="solid"/>
            <w14:bevel/>
          </w14:textOutline>
        </w:rPr>
        <w:t>表</w:t>
      </w:r>
      <w:r>
        <w:rPr>
          <w:rFonts w:ascii="宋体" w:hAnsi="宋体" w:eastAsia="宋体" w:cs="宋体"/>
          <w:spacing w:val="-2"/>
          <w:sz w:val="23"/>
          <w:szCs w:val="23"/>
        </w:rPr>
        <w:t xml:space="preserve"> </w:t>
      </w:r>
      <w:r>
        <w:rPr>
          <w:rFonts w:ascii="Times New Roman" w:hAnsi="Times New Roman" w:eastAsia="Times New Roman" w:cs="Times New Roman"/>
          <w:b/>
          <w:bCs/>
          <w:spacing w:val="-2"/>
          <w:sz w:val="23"/>
          <w:szCs w:val="23"/>
        </w:rPr>
        <w:t>3-4</w:t>
      </w:r>
      <w:r>
        <w:rPr>
          <w:rFonts w:ascii="Times New Roman" w:hAnsi="Times New Roman" w:eastAsia="Times New Roman" w:cs="Times New Roman"/>
          <w:spacing w:val="-2"/>
          <w:sz w:val="23"/>
          <w:szCs w:val="23"/>
        </w:rPr>
        <w:t xml:space="preserve">       </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14:textOutline w14:w="4358" w14:cap="sq" w14:cmpd="sng">
            <w14:solidFill>
              <w14:srgbClr w14:val="000000"/>
            </w14:solidFill>
            <w14:prstDash w14:val="solid"/>
            <w14:bevel/>
          </w14:textOutline>
        </w:rPr>
        <w:t>项目主要产品规格及规模</w:t>
      </w:r>
    </w:p>
    <w:p w14:paraId="69118BD3">
      <w:pPr>
        <w:spacing w:line="16" w:lineRule="exact"/>
      </w:pPr>
    </w:p>
    <w:tbl>
      <w:tblPr>
        <w:tblStyle w:val="4"/>
        <w:tblW w:w="8351" w:type="dxa"/>
        <w:tblInd w:w="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1"/>
        <w:gridCol w:w="1111"/>
        <w:gridCol w:w="597"/>
        <w:gridCol w:w="928"/>
        <w:gridCol w:w="1093"/>
        <w:gridCol w:w="1861"/>
        <w:gridCol w:w="1349"/>
        <w:gridCol w:w="881"/>
      </w:tblGrid>
      <w:tr w14:paraId="380818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531" w:type="dxa"/>
            <w:tcBorders>
              <w:left w:val="nil"/>
            </w:tcBorders>
            <w:vAlign w:val="top"/>
          </w:tcPr>
          <w:p w14:paraId="3076B1C3">
            <w:pPr>
              <w:spacing w:before="86" w:line="229" w:lineRule="auto"/>
              <w:ind w:left="75"/>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序</w:t>
            </w:r>
            <w:r>
              <w:rPr>
                <w:rFonts w:ascii="宋体" w:hAnsi="宋体" w:eastAsia="宋体" w:cs="宋体"/>
                <w:sz w:val="20"/>
                <w:szCs w:val="20"/>
                <w14:textOutline w14:w="3795" w14:cap="sq" w14:cmpd="sng">
                  <w14:solidFill>
                    <w14:srgbClr w14:val="000000"/>
                  </w14:solidFill>
                  <w14:prstDash w14:val="solid"/>
                  <w14:bevel/>
                </w14:textOutline>
              </w:rPr>
              <w:t>号</w:t>
            </w:r>
          </w:p>
        </w:tc>
        <w:tc>
          <w:tcPr>
            <w:tcW w:w="1111" w:type="dxa"/>
            <w:vAlign w:val="top"/>
          </w:tcPr>
          <w:p w14:paraId="4364690F">
            <w:pPr>
              <w:spacing w:before="85" w:line="228" w:lineRule="auto"/>
              <w:ind w:left="167"/>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产品名称</w:t>
            </w:r>
          </w:p>
        </w:tc>
        <w:tc>
          <w:tcPr>
            <w:tcW w:w="597" w:type="dxa"/>
            <w:vAlign w:val="top"/>
          </w:tcPr>
          <w:p w14:paraId="1DA49F47">
            <w:pPr>
              <w:spacing w:before="85" w:line="228" w:lineRule="auto"/>
              <w:ind w:left="108"/>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规格</w:t>
            </w:r>
          </w:p>
        </w:tc>
        <w:tc>
          <w:tcPr>
            <w:tcW w:w="928" w:type="dxa"/>
            <w:vAlign w:val="top"/>
          </w:tcPr>
          <w:p w14:paraId="167B2D11">
            <w:pPr>
              <w:spacing w:before="85" w:line="228" w:lineRule="auto"/>
              <w:ind w:left="273"/>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粒径</w:t>
            </w:r>
          </w:p>
        </w:tc>
        <w:tc>
          <w:tcPr>
            <w:tcW w:w="1093" w:type="dxa"/>
            <w:vAlign w:val="top"/>
          </w:tcPr>
          <w:p w14:paraId="0E95A668">
            <w:pPr>
              <w:spacing w:before="45" w:line="289" w:lineRule="exact"/>
              <w:ind w:left="30"/>
              <w:rPr>
                <w:rFonts w:ascii="宋体" w:hAnsi="宋体" w:eastAsia="宋体" w:cs="宋体"/>
                <w:sz w:val="19"/>
                <w:szCs w:val="19"/>
              </w:rPr>
            </w:pPr>
            <w:r>
              <w:rPr>
                <w:rFonts w:ascii="宋体" w:hAnsi="宋体" w:eastAsia="宋体" w:cs="宋体"/>
                <w:spacing w:val="-9"/>
                <w:position w:val="2"/>
                <w:sz w:val="19"/>
                <w:szCs w:val="19"/>
                <w14:textOutline w14:w="3553" w14:cap="sq" w14:cmpd="sng">
                  <w14:solidFill>
                    <w14:srgbClr w14:val="000000"/>
                  </w14:solidFill>
                  <w14:prstDash w14:val="solid"/>
                  <w14:bevel/>
                </w14:textOutline>
              </w:rPr>
              <w:t>规</w:t>
            </w:r>
            <w:r>
              <w:rPr>
                <w:rFonts w:ascii="宋体" w:hAnsi="宋体" w:eastAsia="宋体" w:cs="宋体"/>
                <w:spacing w:val="-5"/>
                <w:position w:val="2"/>
                <w:sz w:val="19"/>
                <w:szCs w:val="19"/>
                <w14:textOutline w14:w="3553" w14:cap="sq" w14:cmpd="sng">
                  <w14:solidFill>
                    <w14:srgbClr w14:val="000000"/>
                  </w14:solidFill>
                  <w14:prstDash w14:val="solid"/>
                  <w14:bevel/>
                </w14:textOutline>
              </w:rPr>
              <w:t>模(吨</w:t>
            </w:r>
            <w:r>
              <w:rPr>
                <w:rFonts w:ascii="Times New Roman" w:hAnsi="Times New Roman" w:eastAsia="Times New Roman" w:cs="Times New Roman"/>
                <w:b/>
                <w:bCs/>
                <w:spacing w:val="-5"/>
                <w:position w:val="2"/>
                <w:sz w:val="19"/>
                <w:szCs w:val="19"/>
              </w:rPr>
              <w:t>/</w:t>
            </w:r>
            <w:r>
              <w:rPr>
                <w:rFonts w:ascii="宋体" w:hAnsi="宋体" w:eastAsia="宋体" w:cs="宋体"/>
                <w:spacing w:val="-5"/>
                <w:position w:val="2"/>
                <w:sz w:val="19"/>
                <w:szCs w:val="19"/>
                <w14:textOutline w14:w="3553" w14:cap="sq" w14:cmpd="sng">
                  <w14:solidFill>
                    <w14:srgbClr w14:val="000000"/>
                  </w14:solidFill>
                  <w14:prstDash w14:val="solid"/>
                  <w14:bevel/>
                </w14:textOutline>
              </w:rPr>
              <w:t>年)</w:t>
            </w:r>
          </w:p>
        </w:tc>
        <w:tc>
          <w:tcPr>
            <w:tcW w:w="1861" w:type="dxa"/>
            <w:vAlign w:val="top"/>
          </w:tcPr>
          <w:p w14:paraId="3099CE31">
            <w:pPr>
              <w:spacing w:before="85" w:line="228" w:lineRule="auto"/>
              <w:ind w:left="345"/>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产品质量</w:t>
            </w:r>
            <w:r>
              <w:rPr>
                <w:rFonts w:ascii="宋体" w:hAnsi="宋体" w:eastAsia="宋体" w:cs="宋体"/>
                <w:spacing w:val="-1"/>
                <w:sz w:val="20"/>
                <w:szCs w:val="20"/>
                <w14:textOutline w14:w="3795" w14:cap="sq" w14:cmpd="sng">
                  <w14:solidFill>
                    <w14:srgbClr w14:val="000000"/>
                  </w14:solidFill>
                  <w14:prstDash w14:val="solid"/>
                  <w14:bevel/>
                </w14:textOutline>
              </w:rPr>
              <w:t>标准</w:t>
            </w:r>
          </w:p>
        </w:tc>
        <w:tc>
          <w:tcPr>
            <w:tcW w:w="1349" w:type="dxa"/>
            <w:vAlign w:val="top"/>
          </w:tcPr>
          <w:p w14:paraId="68CC6FF5">
            <w:pPr>
              <w:spacing w:before="86" w:line="228" w:lineRule="auto"/>
              <w:ind w:left="284"/>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包装方式</w:t>
            </w:r>
          </w:p>
        </w:tc>
        <w:tc>
          <w:tcPr>
            <w:tcW w:w="881" w:type="dxa"/>
            <w:tcBorders>
              <w:right w:val="nil"/>
            </w:tcBorders>
            <w:vAlign w:val="top"/>
          </w:tcPr>
          <w:p w14:paraId="11C737CF">
            <w:pPr>
              <w:spacing w:before="86" w:line="229" w:lineRule="auto"/>
              <w:ind w:left="51"/>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运出方式</w:t>
            </w:r>
          </w:p>
        </w:tc>
      </w:tr>
      <w:tr w14:paraId="208BBB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531" w:type="dxa"/>
            <w:tcBorders>
              <w:left w:val="nil"/>
            </w:tcBorders>
            <w:vAlign w:val="top"/>
          </w:tcPr>
          <w:p w14:paraId="56A81FF0">
            <w:pPr>
              <w:spacing w:before="265" w:line="195" w:lineRule="auto"/>
              <w:ind w:left="23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111" w:type="dxa"/>
            <w:vAlign w:val="top"/>
          </w:tcPr>
          <w:p w14:paraId="2EEEDB89">
            <w:pPr>
              <w:spacing w:before="228" w:line="238" w:lineRule="auto"/>
              <w:ind w:left="38"/>
              <w:rPr>
                <w:rFonts w:ascii="宋体" w:hAnsi="宋体" w:eastAsia="宋体" w:cs="宋体"/>
                <w:sz w:val="19"/>
                <w:szCs w:val="19"/>
              </w:rPr>
            </w:pPr>
            <w:r>
              <w:rPr>
                <w:rFonts w:ascii="宋体" w:hAnsi="宋体" w:eastAsia="宋体" w:cs="宋体"/>
                <w:spacing w:val="-2"/>
                <w:sz w:val="19"/>
                <w:szCs w:val="19"/>
              </w:rPr>
              <w:t>聚</w:t>
            </w:r>
            <w:r>
              <w:rPr>
                <w:rFonts w:ascii="宋体" w:hAnsi="宋体" w:eastAsia="宋体" w:cs="宋体"/>
                <w:spacing w:val="-1"/>
                <w:sz w:val="19"/>
                <w:szCs w:val="19"/>
              </w:rPr>
              <w:t>乙烯(</w:t>
            </w:r>
            <w:r>
              <w:rPr>
                <w:rFonts w:ascii="Times New Roman" w:hAnsi="Times New Roman" w:eastAsia="Times New Roman" w:cs="Times New Roman"/>
                <w:spacing w:val="-1"/>
                <w:sz w:val="19"/>
                <w:szCs w:val="19"/>
              </w:rPr>
              <w:t>PE</w:t>
            </w:r>
            <w:r>
              <w:rPr>
                <w:rFonts w:ascii="宋体" w:hAnsi="宋体" w:eastAsia="宋体" w:cs="宋体"/>
                <w:spacing w:val="-1"/>
                <w:sz w:val="19"/>
                <w:szCs w:val="19"/>
              </w:rPr>
              <w:t>)</w:t>
            </w:r>
          </w:p>
        </w:tc>
        <w:tc>
          <w:tcPr>
            <w:tcW w:w="597" w:type="dxa"/>
            <w:vAlign w:val="top"/>
          </w:tcPr>
          <w:p w14:paraId="29C8A410">
            <w:pPr>
              <w:spacing w:before="229" w:line="228" w:lineRule="auto"/>
              <w:ind w:left="106"/>
              <w:rPr>
                <w:rFonts w:ascii="宋体" w:hAnsi="宋体" w:eastAsia="宋体" w:cs="宋体"/>
                <w:sz w:val="20"/>
                <w:szCs w:val="20"/>
              </w:rPr>
            </w:pPr>
            <w:r>
              <w:rPr>
                <w:rFonts w:ascii="宋体" w:hAnsi="宋体" w:eastAsia="宋体" w:cs="宋体"/>
                <w:spacing w:val="1"/>
                <w:sz w:val="20"/>
                <w:szCs w:val="20"/>
              </w:rPr>
              <w:t>颗</w:t>
            </w:r>
            <w:r>
              <w:rPr>
                <w:rFonts w:ascii="宋体" w:hAnsi="宋体" w:eastAsia="宋体" w:cs="宋体"/>
                <w:sz w:val="20"/>
                <w:szCs w:val="20"/>
              </w:rPr>
              <w:t>粒</w:t>
            </w:r>
          </w:p>
        </w:tc>
        <w:tc>
          <w:tcPr>
            <w:tcW w:w="928" w:type="dxa"/>
            <w:vAlign w:val="top"/>
          </w:tcPr>
          <w:p w14:paraId="6A226AB1">
            <w:pPr>
              <w:spacing w:before="265" w:line="195" w:lineRule="auto"/>
              <w:ind w:left="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0.7-1.</w:t>
            </w:r>
            <w:r>
              <w:rPr>
                <w:rFonts w:ascii="Times New Roman" w:hAnsi="Times New Roman" w:eastAsia="Times New Roman" w:cs="Times New Roman"/>
                <w:spacing w:val="-1"/>
                <w:sz w:val="20"/>
                <w:szCs w:val="20"/>
              </w:rPr>
              <w:t>5mm</w:t>
            </w:r>
          </w:p>
        </w:tc>
        <w:tc>
          <w:tcPr>
            <w:tcW w:w="1093" w:type="dxa"/>
            <w:vAlign w:val="top"/>
          </w:tcPr>
          <w:p w14:paraId="492AFB03">
            <w:pPr>
              <w:spacing w:before="264" w:line="195" w:lineRule="auto"/>
              <w:ind w:left="30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250</w:t>
            </w:r>
            <w:r>
              <w:rPr>
                <w:rFonts w:ascii="Times New Roman" w:hAnsi="Times New Roman" w:eastAsia="Times New Roman" w:cs="Times New Roman"/>
                <w:sz w:val="20"/>
                <w:szCs w:val="20"/>
              </w:rPr>
              <w:t>00</w:t>
            </w:r>
          </w:p>
        </w:tc>
        <w:tc>
          <w:tcPr>
            <w:tcW w:w="1861" w:type="dxa"/>
            <w:vAlign w:val="top"/>
          </w:tcPr>
          <w:p w14:paraId="70F4C545">
            <w:pPr>
              <w:spacing w:before="64" w:line="279" w:lineRule="auto"/>
              <w:ind w:left="42" w:hanging="6"/>
              <w:rPr>
                <w:rFonts w:ascii="宋体" w:hAnsi="宋体" w:eastAsia="宋体" w:cs="宋体"/>
                <w:sz w:val="20"/>
                <w:szCs w:val="20"/>
              </w:rPr>
            </w:pPr>
            <w:r>
              <w:rPr>
                <w:rFonts w:ascii="宋体" w:hAnsi="宋体" w:eastAsia="宋体" w:cs="宋体"/>
                <w:spacing w:val="-15"/>
                <w:sz w:val="20"/>
                <w:szCs w:val="20"/>
              </w:rPr>
              <w:t>《</w:t>
            </w:r>
            <w:r>
              <w:rPr>
                <w:rFonts w:ascii="宋体" w:hAnsi="宋体" w:eastAsia="宋体" w:cs="宋体"/>
                <w:spacing w:val="-9"/>
                <w:sz w:val="20"/>
                <w:szCs w:val="20"/>
              </w:rPr>
              <w:t>聚乙烯(</w:t>
            </w:r>
            <w:r>
              <w:rPr>
                <w:rFonts w:ascii="Times New Roman" w:hAnsi="Times New Roman" w:eastAsia="Times New Roman" w:cs="Times New Roman"/>
                <w:spacing w:val="-9"/>
                <w:sz w:val="20"/>
                <w:szCs w:val="20"/>
              </w:rPr>
              <w:t>PE</w:t>
            </w:r>
            <w:r>
              <w:rPr>
                <w:rFonts w:ascii="宋体" w:hAnsi="宋体" w:eastAsia="宋体" w:cs="宋体"/>
                <w:spacing w:val="-9"/>
                <w:sz w:val="20"/>
                <w:szCs w:val="20"/>
              </w:rPr>
              <w:t>) 树脂》</w:t>
            </w:r>
            <w:r>
              <w:rPr>
                <w:rFonts w:ascii="宋体" w:hAnsi="宋体" w:eastAsia="宋体" w:cs="宋体"/>
                <w:sz w:val="20"/>
                <w:szCs w:val="20"/>
              </w:rPr>
              <w:t xml:space="preserve"> </w:t>
            </w:r>
            <w:r>
              <w:rPr>
                <w:rFonts w:ascii="宋体" w:hAnsi="宋体" w:eastAsia="宋体" w:cs="宋体"/>
                <w:spacing w:val="-1"/>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1"/>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1"/>
                <w:sz w:val="20"/>
                <w:szCs w:val="20"/>
              </w:rPr>
              <w:t xml:space="preserve"> 1111</w:t>
            </w:r>
            <w:r>
              <w:rPr>
                <w:rFonts w:ascii="Times New Roman" w:hAnsi="Times New Roman" w:eastAsia="Times New Roman" w:cs="Times New Roman"/>
                <w:sz w:val="20"/>
                <w:szCs w:val="20"/>
              </w:rPr>
              <w:t>5-2009</w:t>
            </w:r>
            <w:r>
              <w:rPr>
                <w:rFonts w:ascii="宋体" w:hAnsi="宋体" w:eastAsia="宋体" w:cs="宋体"/>
                <w:sz w:val="20"/>
                <w:szCs w:val="20"/>
              </w:rPr>
              <w:t>)</w:t>
            </w:r>
          </w:p>
        </w:tc>
        <w:tc>
          <w:tcPr>
            <w:tcW w:w="1349" w:type="dxa"/>
            <w:vAlign w:val="top"/>
          </w:tcPr>
          <w:p w14:paraId="0519B49A">
            <w:pPr>
              <w:spacing w:before="191" w:line="281" w:lineRule="exact"/>
              <w:ind w:left="66"/>
              <w:rPr>
                <w:rFonts w:ascii="宋体" w:hAnsi="宋体" w:eastAsia="宋体" w:cs="宋体"/>
                <w:sz w:val="20"/>
                <w:szCs w:val="20"/>
              </w:rPr>
            </w:pPr>
            <w:r>
              <w:rPr>
                <w:rFonts w:ascii="宋体" w:hAnsi="宋体" w:eastAsia="宋体" w:cs="宋体"/>
                <w:spacing w:val="-4"/>
                <w:position w:val="2"/>
                <w:sz w:val="20"/>
                <w:szCs w:val="20"/>
              </w:rPr>
              <w:t>袋</w:t>
            </w:r>
            <w:r>
              <w:rPr>
                <w:rFonts w:ascii="宋体" w:hAnsi="宋体" w:eastAsia="宋体" w:cs="宋体"/>
                <w:spacing w:val="-3"/>
                <w:position w:val="2"/>
                <w:sz w:val="20"/>
                <w:szCs w:val="20"/>
              </w:rPr>
              <w:t>装</w:t>
            </w:r>
            <w:r>
              <w:rPr>
                <w:rFonts w:ascii="宋体" w:hAnsi="宋体" w:eastAsia="宋体" w:cs="宋体"/>
                <w:spacing w:val="-2"/>
                <w:position w:val="2"/>
                <w:sz w:val="20"/>
                <w:szCs w:val="20"/>
              </w:rPr>
              <w:t>，</w:t>
            </w:r>
            <w:r>
              <w:rPr>
                <w:rFonts w:ascii="Times New Roman" w:hAnsi="Times New Roman" w:eastAsia="Times New Roman" w:cs="Times New Roman"/>
                <w:spacing w:val="-2"/>
                <w:position w:val="2"/>
                <w:sz w:val="20"/>
                <w:szCs w:val="20"/>
              </w:rPr>
              <w:t>25kg/</w:t>
            </w:r>
            <w:r>
              <w:rPr>
                <w:rFonts w:ascii="宋体" w:hAnsi="宋体" w:eastAsia="宋体" w:cs="宋体"/>
                <w:spacing w:val="-2"/>
                <w:position w:val="2"/>
                <w:sz w:val="20"/>
                <w:szCs w:val="20"/>
              </w:rPr>
              <w:t>袋</w:t>
            </w:r>
          </w:p>
        </w:tc>
        <w:tc>
          <w:tcPr>
            <w:tcW w:w="881" w:type="dxa"/>
            <w:tcBorders>
              <w:right w:val="nil"/>
            </w:tcBorders>
            <w:vAlign w:val="top"/>
          </w:tcPr>
          <w:p w14:paraId="2573687B">
            <w:pPr>
              <w:spacing w:before="228" w:line="228" w:lineRule="auto"/>
              <w:ind w:left="53"/>
              <w:rPr>
                <w:rFonts w:ascii="宋体" w:hAnsi="宋体" w:eastAsia="宋体" w:cs="宋体"/>
                <w:sz w:val="20"/>
                <w:szCs w:val="20"/>
              </w:rPr>
            </w:pPr>
            <w:r>
              <w:rPr>
                <w:rFonts w:ascii="宋体" w:hAnsi="宋体" w:eastAsia="宋体" w:cs="宋体"/>
                <w:spacing w:val="-2"/>
                <w:sz w:val="20"/>
                <w:szCs w:val="20"/>
              </w:rPr>
              <w:t>汽车</w:t>
            </w:r>
            <w:r>
              <w:rPr>
                <w:rFonts w:ascii="宋体" w:hAnsi="宋体" w:eastAsia="宋体" w:cs="宋体"/>
                <w:spacing w:val="-1"/>
                <w:sz w:val="20"/>
                <w:szCs w:val="20"/>
              </w:rPr>
              <w:t>运输</w:t>
            </w:r>
          </w:p>
        </w:tc>
      </w:tr>
      <w:tr w14:paraId="6D1C7A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531" w:type="dxa"/>
            <w:tcBorders>
              <w:left w:val="nil"/>
            </w:tcBorders>
            <w:vAlign w:val="top"/>
          </w:tcPr>
          <w:p w14:paraId="1A975326">
            <w:pPr>
              <w:spacing w:before="267" w:line="195" w:lineRule="auto"/>
              <w:ind w:left="21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111" w:type="dxa"/>
            <w:vAlign w:val="top"/>
          </w:tcPr>
          <w:p w14:paraId="1F7BE606">
            <w:pPr>
              <w:spacing w:before="231" w:line="238" w:lineRule="auto"/>
              <w:ind w:left="38"/>
              <w:rPr>
                <w:rFonts w:ascii="宋体" w:hAnsi="宋体" w:eastAsia="宋体" w:cs="宋体"/>
                <w:sz w:val="19"/>
                <w:szCs w:val="19"/>
              </w:rPr>
            </w:pPr>
            <w:r>
              <w:rPr>
                <w:rFonts w:ascii="宋体" w:hAnsi="宋体" w:eastAsia="宋体" w:cs="宋体"/>
                <w:spacing w:val="-16"/>
                <w:sz w:val="19"/>
                <w:szCs w:val="19"/>
              </w:rPr>
              <w:t>聚</w:t>
            </w:r>
            <w:r>
              <w:rPr>
                <w:rFonts w:ascii="宋体" w:hAnsi="宋体" w:eastAsia="宋体" w:cs="宋体"/>
                <w:spacing w:val="-11"/>
                <w:sz w:val="19"/>
                <w:szCs w:val="19"/>
              </w:rPr>
              <w:t>丙烯 (</w:t>
            </w:r>
            <w:r>
              <w:rPr>
                <w:rFonts w:ascii="Times New Roman" w:hAnsi="Times New Roman" w:eastAsia="Times New Roman" w:cs="Times New Roman"/>
                <w:spacing w:val="-11"/>
                <w:sz w:val="19"/>
                <w:szCs w:val="19"/>
              </w:rPr>
              <w:t>PP</w:t>
            </w:r>
            <w:r>
              <w:rPr>
                <w:rFonts w:ascii="宋体" w:hAnsi="宋体" w:eastAsia="宋体" w:cs="宋体"/>
                <w:spacing w:val="-11"/>
                <w:sz w:val="19"/>
                <w:szCs w:val="19"/>
              </w:rPr>
              <w:t>)</w:t>
            </w:r>
          </w:p>
        </w:tc>
        <w:tc>
          <w:tcPr>
            <w:tcW w:w="597" w:type="dxa"/>
            <w:vAlign w:val="top"/>
          </w:tcPr>
          <w:p w14:paraId="5C1982D0">
            <w:pPr>
              <w:spacing w:before="232" w:line="228" w:lineRule="auto"/>
              <w:ind w:left="106"/>
              <w:rPr>
                <w:rFonts w:ascii="宋体" w:hAnsi="宋体" w:eastAsia="宋体" w:cs="宋体"/>
                <w:sz w:val="20"/>
                <w:szCs w:val="20"/>
              </w:rPr>
            </w:pPr>
            <w:r>
              <w:rPr>
                <w:rFonts w:ascii="宋体" w:hAnsi="宋体" w:eastAsia="宋体" w:cs="宋体"/>
                <w:spacing w:val="1"/>
                <w:sz w:val="20"/>
                <w:szCs w:val="20"/>
              </w:rPr>
              <w:t>颗</w:t>
            </w:r>
            <w:r>
              <w:rPr>
                <w:rFonts w:ascii="宋体" w:hAnsi="宋体" w:eastAsia="宋体" w:cs="宋体"/>
                <w:sz w:val="20"/>
                <w:szCs w:val="20"/>
              </w:rPr>
              <w:t>粒</w:t>
            </w:r>
          </w:p>
        </w:tc>
        <w:tc>
          <w:tcPr>
            <w:tcW w:w="928" w:type="dxa"/>
            <w:vAlign w:val="top"/>
          </w:tcPr>
          <w:p w14:paraId="303E5C58">
            <w:pPr>
              <w:spacing w:before="268" w:line="195" w:lineRule="auto"/>
              <w:ind w:left="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0.7-1.</w:t>
            </w:r>
            <w:r>
              <w:rPr>
                <w:rFonts w:ascii="Times New Roman" w:hAnsi="Times New Roman" w:eastAsia="Times New Roman" w:cs="Times New Roman"/>
                <w:spacing w:val="-1"/>
                <w:sz w:val="20"/>
                <w:szCs w:val="20"/>
              </w:rPr>
              <w:t>5mm</w:t>
            </w:r>
          </w:p>
        </w:tc>
        <w:tc>
          <w:tcPr>
            <w:tcW w:w="1093" w:type="dxa"/>
            <w:vAlign w:val="top"/>
          </w:tcPr>
          <w:p w14:paraId="08EF1372">
            <w:pPr>
              <w:spacing w:before="267" w:line="195" w:lineRule="auto"/>
              <w:ind w:left="30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250</w:t>
            </w:r>
            <w:r>
              <w:rPr>
                <w:rFonts w:ascii="Times New Roman" w:hAnsi="Times New Roman" w:eastAsia="Times New Roman" w:cs="Times New Roman"/>
                <w:sz w:val="20"/>
                <w:szCs w:val="20"/>
              </w:rPr>
              <w:t>00</w:t>
            </w:r>
          </w:p>
        </w:tc>
        <w:tc>
          <w:tcPr>
            <w:tcW w:w="1861" w:type="dxa"/>
            <w:vAlign w:val="top"/>
          </w:tcPr>
          <w:p w14:paraId="42A90AB2">
            <w:pPr>
              <w:spacing w:before="66" w:line="284" w:lineRule="auto"/>
              <w:ind w:left="42" w:hanging="6"/>
              <w:rPr>
                <w:rFonts w:ascii="宋体" w:hAnsi="宋体" w:eastAsia="宋体" w:cs="宋体"/>
                <w:sz w:val="20"/>
                <w:szCs w:val="20"/>
              </w:rPr>
            </w:pPr>
            <w:r>
              <w:rPr>
                <w:rFonts w:ascii="宋体" w:hAnsi="宋体" w:eastAsia="宋体" w:cs="宋体"/>
                <w:spacing w:val="-23"/>
                <w:sz w:val="20"/>
                <w:szCs w:val="20"/>
              </w:rPr>
              <w:t>《</w:t>
            </w:r>
            <w:r>
              <w:rPr>
                <w:rFonts w:ascii="宋体" w:hAnsi="宋体" w:eastAsia="宋体" w:cs="宋体"/>
                <w:spacing w:val="-15"/>
                <w:sz w:val="20"/>
                <w:szCs w:val="20"/>
              </w:rPr>
              <w:t>聚丙烯 (</w:t>
            </w:r>
            <w:r>
              <w:rPr>
                <w:rFonts w:ascii="Times New Roman" w:hAnsi="Times New Roman" w:eastAsia="Times New Roman" w:cs="Times New Roman"/>
                <w:spacing w:val="-15"/>
                <w:sz w:val="20"/>
                <w:szCs w:val="20"/>
              </w:rPr>
              <w:t>PP</w:t>
            </w:r>
            <w:r>
              <w:rPr>
                <w:rFonts w:ascii="宋体" w:hAnsi="宋体" w:eastAsia="宋体" w:cs="宋体"/>
                <w:spacing w:val="-15"/>
                <w:sz w:val="20"/>
                <w:szCs w:val="20"/>
              </w:rPr>
              <w:t>) 树脂》</w:t>
            </w:r>
            <w:r>
              <w:rPr>
                <w:rFonts w:ascii="宋体" w:hAnsi="宋体" w:eastAsia="宋体" w:cs="宋体"/>
                <w:sz w:val="20"/>
                <w:szCs w:val="20"/>
              </w:rPr>
              <w:t xml:space="preserve"> </w:t>
            </w:r>
            <w:r>
              <w:rPr>
                <w:rFonts w:ascii="宋体" w:hAnsi="宋体" w:eastAsia="宋体" w:cs="宋体"/>
                <w:spacing w:val="-1"/>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1"/>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1"/>
                <w:sz w:val="20"/>
                <w:szCs w:val="20"/>
              </w:rPr>
              <w:t xml:space="preserve"> 1267</w:t>
            </w:r>
            <w:r>
              <w:rPr>
                <w:rFonts w:ascii="Times New Roman" w:hAnsi="Times New Roman" w:eastAsia="Times New Roman" w:cs="Times New Roman"/>
                <w:sz w:val="20"/>
                <w:szCs w:val="20"/>
              </w:rPr>
              <w:t>0-2008</w:t>
            </w:r>
            <w:r>
              <w:rPr>
                <w:rFonts w:ascii="宋体" w:hAnsi="宋体" w:eastAsia="宋体" w:cs="宋体"/>
                <w:sz w:val="20"/>
                <w:szCs w:val="20"/>
              </w:rPr>
              <w:t>)</w:t>
            </w:r>
          </w:p>
        </w:tc>
        <w:tc>
          <w:tcPr>
            <w:tcW w:w="1349" w:type="dxa"/>
            <w:vAlign w:val="top"/>
          </w:tcPr>
          <w:p w14:paraId="4A7AB6FC">
            <w:pPr>
              <w:spacing w:before="194" w:line="281" w:lineRule="exact"/>
              <w:ind w:left="66"/>
              <w:rPr>
                <w:rFonts w:ascii="宋体" w:hAnsi="宋体" w:eastAsia="宋体" w:cs="宋体"/>
                <w:sz w:val="20"/>
                <w:szCs w:val="20"/>
              </w:rPr>
            </w:pPr>
            <w:r>
              <w:rPr>
                <w:rFonts w:ascii="宋体" w:hAnsi="宋体" w:eastAsia="宋体" w:cs="宋体"/>
                <w:spacing w:val="-4"/>
                <w:position w:val="2"/>
                <w:sz w:val="20"/>
                <w:szCs w:val="20"/>
              </w:rPr>
              <w:t>袋</w:t>
            </w:r>
            <w:r>
              <w:rPr>
                <w:rFonts w:ascii="宋体" w:hAnsi="宋体" w:eastAsia="宋体" w:cs="宋体"/>
                <w:spacing w:val="-3"/>
                <w:position w:val="2"/>
                <w:sz w:val="20"/>
                <w:szCs w:val="20"/>
              </w:rPr>
              <w:t>装</w:t>
            </w:r>
            <w:r>
              <w:rPr>
                <w:rFonts w:ascii="宋体" w:hAnsi="宋体" w:eastAsia="宋体" w:cs="宋体"/>
                <w:spacing w:val="-2"/>
                <w:position w:val="2"/>
                <w:sz w:val="20"/>
                <w:szCs w:val="20"/>
              </w:rPr>
              <w:t>，</w:t>
            </w:r>
            <w:r>
              <w:rPr>
                <w:rFonts w:ascii="Times New Roman" w:hAnsi="Times New Roman" w:eastAsia="Times New Roman" w:cs="Times New Roman"/>
                <w:spacing w:val="-2"/>
                <w:position w:val="2"/>
                <w:sz w:val="20"/>
                <w:szCs w:val="20"/>
              </w:rPr>
              <w:t>25kg/</w:t>
            </w:r>
            <w:r>
              <w:rPr>
                <w:rFonts w:ascii="宋体" w:hAnsi="宋体" w:eastAsia="宋体" w:cs="宋体"/>
                <w:spacing w:val="-2"/>
                <w:position w:val="2"/>
                <w:sz w:val="20"/>
                <w:szCs w:val="20"/>
              </w:rPr>
              <w:t>袋</w:t>
            </w:r>
          </w:p>
        </w:tc>
        <w:tc>
          <w:tcPr>
            <w:tcW w:w="881" w:type="dxa"/>
            <w:tcBorders>
              <w:right w:val="nil"/>
            </w:tcBorders>
            <w:vAlign w:val="top"/>
          </w:tcPr>
          <w:p w14:paraId="3C542181">
            <w:pPr>
              <w:spacing w:before="231" w:line="228" w:lineRule="auto"/>
              <w:ind w:left="53"/>
              <w:rPr>
                <w:rFonts w:ascii="宋体" w:hAnsi="宋体" w:eastAsia="宋体" w:cs="宋体"/>
                <w:sz w:val="20"/>
                <w:szCs w:val="20"/>
              </w:rPr>
            </w:pPr>
            <w:r>
              <w:rPr>
                <w:rFonts w:ascii="宋体" w:hAnsi="宋体" w:eastAsia="宋体" w:cs="宋体"/>
                <w:spacing w:val="-2"/>
                <w:sz w:val="20"/>
                <w:szCs w:val="20"/>
              </w:rPr>
              <w:t>汽车</w:t>
            </w:r>
            <w:r>
              <w:rPr>
                <w:rFonts w:ascii="宋体" w:hAnsi="宋体" w:eastAsia="宋体" w:cs="宋体"/>
                <w:spacing w:val="-1"/>
                <w:sz w:val="20"/>
                <w:szCs w:val="20"/>
              </w:rPr>
              <w:t>运输</w:t>
            </w:r>
          </w:p>
        </w:tc>
      </w:tr>
    </w:tbl>
    <w:p w14:paraId="1820C0EF">
      <w:pPr>
        <w:spacing w:line="267" w:lineRule="auto"/>
        <w:rPr>
          <w:rFonts w:ascii="Arial"/>
          <w:sz w:val="21"/>
        </w:rPr>
      </w:pPr>
    </w:p>
    <w:p w14:paraId="77B0A52C">
      <w:pPr>
        <w:spacing w:before="76" w:line="390" w:lineRule="auto"/>
        <w:ind w:left="118" w:right="110" w:firstLine="482"/>
        <w:rPr>
          <w:rFonts w:ascii="宋体" w:hAnsi="宋体" w:eastAsia="宋体" w:cs="宋体"/>
          <w:sz w:val="23"/>
          <w:szCs w:val="23"/>
        </w:rPr>
      </w:pPr>
      <w:r>
        <w:rPr>
          <w:rFonts w:ascii="宋体" w:hAnsi="宋体" w:eastAsia="宋体" w:cs="宋体"/>
          <w:spacing w:val="-1"/>
          <w:sz w:val="23"/>
          <w:szCs w:val="23"/>
        </w:rPr>
        <w:t>该项目再生塑料颗粒产</w:t>
      </w:r>
      <w:r>
        <w:rPr>
          <w:rFonts w:ascii="宋体" w:hAnsi="宋体" w:eastAsia="宋体" w:cs="宋体"/>
          <w:sz w:val="23"/>
          <w:szCs w:val="23"/>
        </w:rPr>
        <w:t xml:space="preserve">品主要用于生产非食品类包装袋、塑料玩具、模型、电 </w:t>
      </w:r>
      <w:r>
        <w:rPr>
          <w:rFonts w:ascii="宋体" w:hAnsi="宋体" w:eastAsia="宋体" w:cs="宋体"/>
          <w:spacing w:val="1"/>
          <w:sz w:val="23"/>
          <w:szCs w:val="23"/>
        </w:rPr>
        <w:t>动车塑料零件，不用于制作直</w:t>
      </w:r>
      <w:r>
        <w:rPr>
          <w:rFonts w:ascii="宋体" w:hAnsi="宋体" w:eastAsia="宋体" w:cs="宋体"/>
          <w:sz w:val="23"/>
          <w:szCs w:val="23"/>
        </w:rPr>
        <w:t xml:space="preserve">接接触食品的包装、制品或材料，如食品包装袋、矿 </w:t>
      </w:r>
      <w:r>
        <w:rPr>
          <w:rFonts w:ascii="宋体" w:hAnsi="宋体" w:eastAsia="宋体" w:cs="宋体"/>
          <w:spacing w:val="1"/>
          <w:sz w:val="23"/>
          <w:szCs w:val="23"/>
        </w:rPr>
        <w:t>泉水瓶等。本评价要求建设单</w:t>
      </w:r>
      <w:r>
        <w:rPr>
          <w:rFonts w:ascii="宋体" w:hAnsi="宋体" w:eastAsia="宋体" w:cs="宋体"/>
          <w:sz w:val="23"/>
          <w:szCs w:val="23"/>
        </w:rPr>
        <w:t xml:space="preserve">位在项目运行过程中加强生产管理，严格控制产品去 </w:t>
      </w:r>
      <w:r>
        <w:rPr>
          <w:rFonts w:ascii="宋体" w:hAnsi="宋体" w:eastAsia="宋体" w:cs="宋体"/>
          <w:spacing w:val="-3"/>
          <w:sz w:val="23"/>
          <w:szCs w:val="23"/>
        </w:rPr>
        <w:t>向，以保证产品去向安全、可靠</w:t>
      </w:r>
      <w:r>
        <w:rPr>
          <w:rFonts w:ascii="宋体" w:hAnsi="宋体" w:eastAsia="宋体" w:cs="宋体"/>
          <w:spacing w:val="-2"/>
          <w:sz w:val="23"/>
          <w:szCs w:val="23"/>
        </w:rPr>
        <w:t>。</w:t>
      </w:r>
    </w:p>
    <w:p w14:paraId="2BABF28A">
      <w:pPr>
        <w:spacing w:before="95" w:line="225" w:lineRule="auto"/>
        <w:ind w:left="112"/>
        <w:outlineLvl w:val="2"/>
        <w:rPr>
          <w:rFonts w:ascii="宋体" w:hAnsi="宋体" w:eastAsia="宋体" w:cs="宋体"/>
          <w:sz w:val="29"/>
          <w:szCs w:val="29"/>
        </w:rPr>
      </w:pPr>
      <w:r>
        <w:rPr>
          <w:rFonts w:ascii="Times New Roman" w:hAnsi="Times New Roman" w:eastAsia="Times New Roman" w:cs="Times New Roman"/>
          <w:b/>
          <w:bCs/>
          <w:spacing w:val="-2"/>
          <w:sz w:val="29"/>
          <w:szCs w:val="29"/>
        </w:rPr>
        <w:t>3.1.4</w:t>
      </w:r>
      <w:r>
        <w:rPr>
          <w:rFonts w:ascii="Times New Roman" w:hAnsi="Times New Roman" w:eastAsia="Times New Roman" w:cs="Times New Roman"/>
          <w:spacing w:val="-2"/>
          <w:sz w:val="29"/>
          <w:szCs w:val="29"/>
        </w:rPr>
        <w:t xml:space="preserve">  </w:t>
      </w:r>
      <w:r>
        <w:rPr>
          <w:rFonts w:ascii="宋体" w:hAnsi="宋体" w:eastAsia="宋体" w:cs="宋体"/>
          <w:spacing w:val="-2"/>
          <w:sz w:val="29"/>
          <w:szCs w:val="29"/>
          <w14:textOutline w14:w="5448" w14:cap="sq" w14:cmpd="sng">
            <w14:solidFill>
              <w14:srgbClr w14:val="000000"/>
            </w14:solidFill>
            <w14:prstDash w14:val="solid"/>
            <w14:bevel/>
          </w14:textOutline>
        </w:rPr>
        <w:t>原</w:t>
      </w:r>
      <w:r>
        <w:rPr>
          <w:rFonts w:ascii="宋体" w:hAnsi="宋体" w:eastAsia="宋体" w:cs="宋体"/>
          <w:spacing w:val="-1"/>
          <w:sz w:val="29"/>
          <w:szCs w:val="29"/>
          <w14:textOutline w14:w="5448" w14:cap="sq" w14:cmpd="sng">
            <w14:solidFill>
              <w14:srgbClr w14:val="000000"/>
            </w14:solidFill>
            <w14:prstDash w14:val="solid"/>
            <w14:bevel/>
          </w14:textOutline>
        </w:rPr>
        <w:t>辅材料及能源消耗</w:t>
      </w:r>
    </w:p>
    <w:p w14:paraId="7EA32A7B">
      <w:pPr>
        <w:spacing w:line="268" w:lineRule="auto"/>
        <w:rPr>
          <w:rFonts w:ascii="Arial"/>
          <w:sz w:val="21"/>
        </w:rPr>
      </w:pPr>
    </w:p>
    <w:p w14:paraId="685445D5">
      <w:pPr>
        <w:spacing w:before="75" w:line="387" w:lineRule="auto"/>
        <w:ind w:left="116" w:right="62" w:firstLine="499"/>
        <w:rPr>
          <w:rFonts w:ascii="宋体" w:hAnsi="宋体" w:eastAsia="宋体" w:cs="宋体"/>
          <w:sz w:val="23"/>
          <w:szCs w:val="23"/>
        </w:rPr>
      </w:pPr>
      <w:r>
        <w:rPr>
          <w:rFonts w:ascii="宋体" w:hAnsi="宋体" w:eastAsia="宋体" w:cs="宋体"/>
          <w:spacing w:val="6"/>
          <w:sz w:val="23"/>
          <w:szCs w:val="23"/>
        </w:rPr>
        <w:t>因不同废弃编织袋产污不同，根据与建设单位沟通了解，该项目所用原料</w:t>
      </w:r>
      <w:r>
        <w:rPr>
          <w:rFonts w:ascii="宋体" w:hAnsi="宋体" w:eastAsia="宋体" w:cs="宋体"/>
          <w:spacing w:val="1"/>
          <w:sz w:val="23"/>
          <w:szCs w:val="23"/>
        </w:rPr>
        <w:t>为</w:t>
      </w:r>
      <w:r>
        <w:rPr>
          <w:rFonts w:ascii="宋体" w:hAnsi="宋体" w:eastAsia="宋体" w:cs="宋体"/>
          <w:sz w:val="23"/>
          <w:szCs w:val="23"/>
        </w:rPr>
        <w:t xml:space="preserve"> </w:t>
      </w:r>
      <w:r>
        <w:rPr>
          <w:rFonts w:ascii="宋体" w:hAnsi="宋体" w:eastAsia="宋体" w:cs="宋体"/>
          <w:spacing w:val="1"/>
          <w:sz w:val="23"/>
          <w:szCs w:val="23"/>
        </w:rPr>
        <w:t>废塑料编织袋，均外购于本溪宏远</w:t>
      </w:r>
      <w:r>
        <w:rPr>
          <w:rFonts w:ascii="宋体" w:hAnsi="宋体" w:eastAsia="宋体" w:cs="宋体"/>
          <w:sz w:val="23"/>
          <w:szCs w:val="23"/>
        </w:rPr>
        <w:t xml:space="preserve">集团北台再生资源有限责任公司及平山区利安建 </w:t>
      </w:r>
      <w:r>
        <w:rPr>
          <w:rFonts w:ascii="宋体" w:hAnsi="宋体" w:eastAsia="宋体" w:cs="宋体"/>
          <w:spacing w:val="1"/>
          <w:sz w:val="23"/>
          <w:szCs w:val="23"/>
        </w:rPr>
        <w:t>材城，为本溪宏远集团北台再生资</w:t>
      </w:r>
      <w:r>
        <w:rPr>
          <w:rFonts w:ascii="宋体" w:hAnsi="宋体" w:eastAsia="宋体" w:cs="宋体"/>
          <w:sz w:val="23"/>
          <w:szCs w:val="23"/>
        </w:rPr>
        <w:t xml:space="preserve">源有限责任公司收购北台钢铁 (集团) 有限责任 </w:t>
      </w:r>
      <w:r>
        <w:rPr>
          <w:rFonts w:ascii="宋体" w:hAnsi="宋体" w:eastAsia="宋体" w:cs="宋体"/>
          <w:spacing w:val="7"/>
          <w:sz w:val="23"/>
          <w:szCs w:val="23"/>
        </w:rPr>
        <w:t>公司所用原料合金铁及铝锭的废包装袋及平山区利安建材城所销售砂子的废包装</w:t>
      </w:r>
      <w:r>
        <w:rPr>
          <w:rFonts w:ascii="宋体" w:hAnsi="宋体" w:eastAsia="宋体" w:cs="宋体"/>
          <w:sz w:val="23"/>
          <w:szCs w:val="23"/>
        </w:rPr>
        <w:t xml:space="preserve"> </w:t>
      </w:r>
      <w:r>
        <w:rPr>
          <w:rFonts w:ascii="宋体" w:hAnsi="宋体" w:eastAsia="宋体" w:cs="宋体"/>
          <w:spacing w:val="2"/>
          <w:sz w:val="23"/>
          <w:szCs w:val="23"/>
        </w:rPr>
        <w:t>袋，主要成分为聚乙烯、聚丙烯。该项目原料入场前均经过</w:t>
      </w:r>
      <w:r>
        <w:rPr>
          <w:rFonts w:ascii="宋体" w:hAnsi="宋体" w:eastAsia="宋体" w:cs="宋体"/>
          <w:spacing w:val="1"/>
          <w:sz w:val="23"/>
          <w:szCs w:val="23"/>
        </w:rPr>
        <w:t>检验筛选，严格把关，</w:t>
      </w:r>
      <w:r>
        <w:rPr>
          <w:rFonts w:ascii="宋体" w:hAnsi="宋体" w:eastAsia="宋体" w:cs="宋体"/>
          <w:sz w:val="23"/>
          <w:szCs w:val="23"/>
        </w:rPr>
        <w:t xml:space="preserve"> </w:t>
      </w:r>
      <w:r>
        <w:rPr>
          <w:rFonts w:ascii="宋体" w:hAnsi="宋体" w:eastAsia="宋体" w:cs="宋体"/>
          <w:spacing w:val="16"/>
          <w:sz w:val="23"/>
          <w:szCs w:val="23"/>
        </w:rPr>
        <w:t>禁</w:t>
      </w:r>
      <w:r>
        <w:rPr>
          <w:rFonts w:ascii="宋体" w:hAnsi="宋体" w:eastAsia="宋体" w:cs="宋体"/>
          <w:spacing w:val="12"/>
          <w:sz w:val="23"/>
          <w:szCs w:val="23"/>
        </w:rPr>
        <w:t>止</w:t>
      </w:r>
      <w:r>
        <w:rPr>
          <w:rFonts w:ascii="宋体" w:hAnsi="宋体" w:eastAsia="宋体" w:cs="宋体"/>
          <w:spacing w:val="8"/>
          <w:sz w:val="23"/>
          <w:szCs w:val="23"/>
        </w:rPr>
        <w:t>企业回收和再生利用属于受到危险化学品、农药等污染的废弃塑料包装物、</w:t>
      </w:r>
      <w:r>
        <w:rPr>
          <w:rFonts w:ascii="宋体" w:hAnsi="宋体" w:eastAsia="宋体" w:cs="宋体"/>
          <w:sz w:val="23"/>
          <w:szCs w:val="23"/>
        </w:rPr>
        <w:t xml:space="preserve"> </w:t>
      </w:r>
      <w:r>
        <w:rPr>
          <w:rFonts w:ascii="宋体" w:hAnsi="宋体" w:eastAsia="宋体" w:cs="宋体"/>
          <w:spacing w:val="12"/>
          <w:sz w:val="23"/>
          <w:szCs w:val="23"/>
        </w:rPr>
        <w:t>废弃一</w:t>
      </w:r>
      <w:r>
        <w:rPr>
          <w:rFonts w:ascii="宋体" w:hAnsi="宋体" w:eastAsia="宋体" w:cs="宋体"/>
          <w:spacing w:val="11"/>
          <w:sz w:val="23"/>
          <w:szCs w:val="23"/>
        </w:rPr>
        <w:t>次</w:t>
      </w:r>
      <w:r>
        <w:rPr>
          <w:rFonts w:ascii="宋体" w:hAnsi="宋体" w:eastAsia="宋体" w:cs="宋体"/>
          <w:spacing w:val="6"/>
          <w:sz w:val="23"/>
          <w:szCs w:val="23"/>
        </w:rPr>
        <w:t>性医疗用塑料制品等塑料类危险废物，以及氟塑料等特种工程塑料。该</w:t>
      </w:r>
      <w:r>
        <w:rPr>
          <w:rFonts w:ascii="宋体" w:hAnsi="宋体" w:eastAsia="宋体" w:cs="宋体"/>
          <w:sz w:val="23"/>
          <w:szCs w:val="23"/>
        </w:rPr>
        <w:t xml:space="preserve"> </w:t>
      </w:r>
      <w:r>
        <w:rPr>
          <w:rFonts w:ascii="宋体" w:hAnsi="宋体" w:eastAsia="宋体" w:cs="宋体"/>
          <w:spacing w:val="2"/>
          <w:sz w:val="23"/>
          <w:szCs w:val="23"/>
        </w:rPr>
        <w:t xml:space="preserve">项目主要原辅材料消耗情况见表 </w:t>
      </w:r>
      <w:r>
        <w:rPr>
          <w:rFonts w:ascii="Times New Roman" w:hAnsi="Times New Roman" w:eastAsia="Times New Roman" w:cs="Times New Roman"/>
          <w:spacing w:val="1"/>
          <w:sz w:val="23"/>
          <w:szCs w:val="23"/>
        </w:rPr>
        <w:t xml:space="preserve">3-5 </w:t>
      </w:r>
      <w:r>
        <w:rPr>
          <w:rFonts w:ascii="宋体" w:hAnsi="宋体" w:eastAsia="宋体" w:cs="宋体"/>
          <w:spacing w:val="1"/>
          <w:sz w:val="23"/>
          <w:szCs w:val="23"/>
        </w:rPr>
        <w:t xml:space="preserve">，原料理化性质见表 </w:t>
      </w:r>
      <w:r>
        <w:rPr>
          <w:rFonts w:ascii="Times New Roman" w:hAnsi="Times New Roman" w:eastAsia="Times New Roman" w:cs="Times New Roman"/>
          <w:spacing w:val="1"/>
          <w:sz w:val="23"/>
          <w:szCs w:val="23"/>
        </w:rPr>
        <w:t>3-6</w:t>
      </w:r>
      <w:r>
        <w:rPr>
          <w:rFonts w:ascii="宋体" w:hAnsi="宋体" w:eastAsia="宋体" w:cs="宋体"/>
          <w:spacing w:val="1"/>
          <w:sz w:val="23"/>
          <w:szCs w:val="23"/>
        </w:rPr>
        <w:t>。</w:t>
      </w:r>
    </w:p>
    <w:p w14:paraId="7751211E">
      <w:pPr>
        <w:spacing w:before="150" w:line="227" w:lineRule="auto"/>
        <w:ind w:left="2518"/>
        <w:rPr>
          <w:rFonts w:ascii="宋体" w:hAnsi="宋体" w:eastAsia="宋体" w:cs="宋体"/>
          <w:sz w:val="23"/>
          <w:szCs w:val="23"/>
        </w:rPr>
      </w:pPr>
      <w:r>
        <w:rPr>
          <w:rFonts w:ascii="宋体" w:hAnsi="宋体" w:eastAsia="宋体" w:cs="宋体"/>
          <w:spacing w:val="4"/>
          <w:sz w:val="23"/>
          <w:szCs w:val="23"/>
          <w14:textOutline w14:w="4358" w14:cap="sq" w14:cmpd="sng">
            <w14:solidFill>
              <w14:srgbClr w14:val="000000"/>
            </w14:solidFill>
            <w14:prstDash w14:val="solid"/>
            <w14:bevel/>
          </w14:textOutline>
        </w:rPr>
        <w:t>表</w:t>
      </w:r>
      <w:r>
        <w:rPr>
          <w:rFonts w:ascii="宋体" w:hAnsi="宋体" w:eastAsia="宋体" w:cs="宋体"/>
          <w:spacing w:val="2"/>
          <w:sz w:val="23"/>
          <w:szCs w:val="23"/>
        </w:rPr>
        <w:t xml:space="preserve"> </w:t>
      </w:r>
      <w:r>
        <w:rPr>
          <w:rFonts w:ascii="Times New Roman" w:hAnsi="Times New Roman" w:eastAsia="Times New Roman" w:cs="Times New Roman"/>
          <w:b/>
          <w:bCs/>
          <w:spacing w:val="2"/>
          <w:sz w:val="23"/>
          <w:szCs w:val="23"/>
        </w:rPr>
        <w:t>3-5</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14:textOutline w14:w="4358" w14:cap="sq" w14:cmpd="sng">
            <w14:solidFill>
              <w14:srgbClr w14:val="000000"/>
            </w14:solidFill>
            <w14:prstDash w14:val="solid"/>
            <w14:bevel/>
          </w14:textOutline>
        </w:rPr>
        <w:t>项目原料消耗量一览表</w:t>
      </w:r>
    </w:p>
    <w:p w14:paraId="04F5693F">
      <w:pPr>
        <w:spacing w:line="18"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3"/>
        <w:gridCol w:w="1133"/>
        <w:gridCol w:w="3534"/>
        <w:gridCol w:w="853"/>
        <w:gridCol w:w="1899"/>
      </w:tblGrid>
      <w:tr w14:paraId="7EE2B1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103" w:type="dxa"/>
            <w:tcBorders>
              <w:left w:val="nil"/>
            </w:tcBorders>
            <w:vAlign w:val="top"/>
          </w:tcPr>
          <w:p w14:paraId="09E36329">
            <w:pPr>
              <w:spacing w:before="85" w:line="228" w:lineRule="auto"/>
              <w:ind w:left="364"/>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项</w:t>
            </w:r>
            <w:r>
              <w:rPr>
                <w:rFonts w:ascii="宋体" w:hAnsi="宋体" w:eastAsia="宋体" w:cs="宋体"/>
                <w:spacing w:val="-1"/>
                <w:sz w:val="20"/>
                <w:szCs w:val="20"/>
                <w14:textOutline w14:w="3795" w14:cap="sq" w14:cmpd="sng">
                  <w14:solidFill>
                    <w14:srgbClr w14:val="000000"/>
                  </w14:solidFill>
                  <w14:prstDash w14:val="solid"/>
                  <w14:bevel/>
                </w14:textOutline>
              </w:rPr>
              <w:t>目</w:t>
            </w:r>
          </w:p>
        </w:tc>
        <w:tc>
          <w:tcPr>
            <w:tcW w:w="1133" w:type="dxa"/>
            <w:vAlign w:val="top"/>
          </w:tcPr>
          <w:p w14:paraId="043815FC">
            <w:pPr>
              <w:spacing w:before="84" w:line="228" w:lineRule="auto"/>
              <w:ind w:left="279"/>
              <w:rPr>
                <w:rFonts w:ascii="宋体" w:hAnsi="宋体" w:eastAsia="宋体" w:cs="宋体"/>
                <w:sz w:val="20"/>
                <w:szCs w:val="20"/>
              </w:rPr>
            </w:pPr>
            <w:r>
              <w:rPr>
                <w:rFonts w:ascii="宋体" w:hAnsi="宋体" w:eastAsia="宋体" w:cs="宋体"/>
                <w:spacing w:val="-3"/>
                <w:sz w:val="20"/>
                <w:szCs w:val="20"/>
                <w14:textOutline w14:w="3795" w14:cap="sq" w14:cmpd="sng">
                  <w14:solidFill>
                    <w14:srgbClr w14:val="000000"/>
                  </w14:solidFill>
                  <w14:prstDash w14:val="solid"/>
                  <w14:bevel/>
                </w14:textOutline>
              </w:rPr>
              <w:t>消</w:t>
            </w:r>
            <w:r>
              <w:rPr>
                <w:rFonts w:ascii="宋体" w:hAnsi="宋体" w:eastAsia="宋体" w:cs="宋体"/>
                <w:spacing w:val="-2"/>
                <w:sz w:val="20"/>
                <w:szCs w:val="20"/>
                <w14:textOutline w14:w="3795" w14:cap="sq" w14:cmpd="sng">
                  <w14:solidFill>
                    <w14:srgbClr w14:val="000000"/>
                  </w14:solidFill>
                  <w14:prstDash w14:val="solid"/>
                  <w14:bevel/>
                </w14:textOutline>
              </w:rPr>
              <w:t>耗量</w:t>
            </w:r>
          </w:p>
        </w:tc>
        <w:tc>
          <w:tcPr>
            <w:tcW w:w="3534" w:type="dxa"/>
            <w:vAlign w:val="top"/>
          </w:tcPr>
          <w:p w14:paraId="509A4BE9">
            <w:pPr>
              <w:spacing w:before="84" w:line="228" w:lineRule="auto"/>
              <w:ind w:left="1576"/>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来源</w:t>
            </w:r>
          </w:p>
        </w:tc>
        <w:tc>
          <w:tcPr>
            <w:tcW w:w="853" w:type="dxa"/>
            <w:vAlign w:val="top"/>
          </w:tcPr>
          <w:p w14:paraId="2E956132">
            <w:pPr>
              <w:spacing w:before="84" w:line="228" w:lineRule="auto"/>
              <w:ind w:left="37"/>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规</w:t>
            </w:r>
            <w:r>
              <w:rPr>
                <w:rFonts w:ascii="宋体" w:hAnsi="宋体" w:eastAsia="宋体" w:cs="宋体"/>
                <w:spacing w:val="-1"/>
                <w:sz w:val="20"/>
                <w:szCs w:val="20"/>
                <w14:textOutline w14:w="3795" w14:cap="sq" w14:cmpd="sng">
                  <w14:solidFill>
                    <w14:srgbClr w14:val="000000"/>
                  </w14:solidFill>
                  <w14:prstDash w14:val="solid"/>
                  <w14:bevel/>
                </w14:textOutline>
              </w:rPr>
              <w:t>格成分</w:t>
            </w:r>
          </w:p>
        </w:tc>
        <w:tc>
          <w:tcPr>
            <w:tcW w:w="1899" w:type="dxa"/>
            <w:tcBorders>
              <w:right w:val="nil"/>
            </w:tcBorders>
            <w:vAlign w:val="top"/>
          </w:tcPr>
          <w:p w14:paraId="6459C37E">
            <w:pPr>
              <w:spacing w:before="85" w:line="229" w:lineRule="auto"/>
              <w:ind w:left="760"/>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备注</w:t>
            </w:r>
          </w:p>
        </w:tc>
      </w:tr>
      <w:tr w14:paraId="56E203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7" w:hRule="atLeast"/>
        </w:trPr>
        <w:tc>
          <w:tcPr>
            <w:tcW w:w="1103" w:type="dxa"/>
            <w:tcBorders>
              <w:left w:val="nil"/>
            </w:tcBorders>
            <w:vAlign w:val="top"/>
          </w:tcPr>
          <w:p w14:paraId="744C2C07">
            <w:pPr>
              <w:spacing w:line="245" w:lineRule="auto"/>
              <w:rPr>
                <w:rFonts w:ascii="Arial"/>
                <w:sz w:val="21"/>
              </w:rPr>
            </w:pPr>
          </w:p>
          <w:p w14:paraId="7D8ECDCF">
            <w:pPr>
              <w:spacing w:line="246" w:lineRule="auto"/>
              <w:rPr>
                <w:rFonts w:ascii="Arial"/>
                <w:sz w:val="21"/>
              </w:rPr>
            </w:pPr>
          </w:p>
          <w:p w14:paraId="037DB9DA">
            <w:pPr>
              <w:spacing w:before="65" w:line="320" w:lineRule="auto"/>
              <w:ind w:left="265" w:right="142" w:hanging="100"/>
              <w:rPr>
                <w:rFonts w:ascii="宋体" w:hAnsi="宋体" w:eastAsia="宋体" w:cs="宋体"/>
                <w:sz w:val="20"/>
                <w:szCs w:val="20"/>
              </w:rPr>
            </w:pPr>
            <w:r>
              <w:rPr>
                <w:rFonts w:ascii="宋体" w:hAnsi="宋体" w:eastAsia="宋体" w:cs="宋体"/>
                <w:spacing w:val="-2"/>
                <w:sz w:val="20"/>
                <w:szCs w:val="20"/>
              </w:rPr>
              <w:t>废旧塑料</w:t>
            </w:r>
            <w:r>
              <w:rPr>
                <w:rFonts w:ascii="宋体" w:hAnsi="宋体" w:eastAsia="宋体" w:cs="宋体"/>
                <w:sz w:val="20"/>
                <w:szCs w:val="20"/>
              </w:rPr>
              <w:t xml:space="preserve"> </w:t>
            </w:r>
            <w:r>
              <w:rPr>
                <w:rFonts w:ascii="宋体" w:hAnsi="宋体" w:eastAsia="宋体" w:cs="宋体"/>
                <w:spacing w:val="-2"/>
                <w:sz w:val="20"/>
                <w:szCs w:val="20"/>
              </w:rPr>
              <w:t>编织</w:t>
            </w:r>
            <w:r>
              <w:rPr>
                <w:rFonts w:ascii="宋体" w:hAnsi="宋体" w:eastAsia="宋体" w:cs="宋体"/>
                <w:spacing w:val="-1"/>
                <w:sz w:val="20"/>
                <w:szCs w:val="20"/>
              </w:rPr>
              <w:t>袋</w:t>
            </w:r>
          </w:p>
        </w:tc>
        <w:tc>
          <w:tcPr>
            <w:tcW w:w="1133" w:type="dxa"/>
            <w:vAlign w:val="top"/>
          </w:tcPr>
          <w:p w14:paraId="0B5E8BBB">
            <w:pPr>
              <w:spacing w:line="314" w:lineRule="auto"/>
              <w:rPr>
                <w:rFonts w:ascii="Arial"/>
                <w:sz w:val="21"/>
              </w:rPr>
            </w:pPr>
          </w:p>
          <w:p w14:paraId="6BF8C8D6">
            <w:pPr>
              <w:spacing w:line="315" w:lineRule="auto"/>
              <w:rPr>
                <w:rFonts w:ascii="Arial"/>
                <w:sz w:val="21"/>
              </w:rPr>
            </w:pPr>
          </w:p>
          <w:p w14:paraId="0BC27310">
            <w:pPr>
              <w:spacing w:before="58" w:line="281" w:lineRule="exact"/>
              <w:ind w:left="234"/>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51100t/a</w:t>
            </w:r>
          </w:p>
        </w:tc>
        <w:tc>
          <w:tcPr>
            <w:tcW w:w="3534" w:type="dxa"/>
            <w:vAlign w:val="top"/>
          </w:tcPr>
          <w:p w14:paraId="258A0371">
            <w:pPr>
              <w:spacing w:before="61" w:line="227" w:lineRule="auto"/>
              <w:ind w:left="108"/>
              <w:rPr>
                <w:rFonts w:ascii="宋体" w:hAnsi="宋体" w:eastAsia="宋体" w:cs="宋体"/>
                <w:sz w:val="20"/>
                <w:szCs w:val="20"/>
              </w:rPr>
            </w:pPr>
            <w:r>
              <w:rPr>
                <w:rFonts w:ascii="宋体" w:hAnsi="宋体" w:eastAsia="宋体" w:cs="宋体"/>
                <w:spacing w:val="-3"/>
                <w:sz w:val="20"/>
                <w:szCs w:val="20"/>
              </w:rPr>
              <w:t>均外购于本溪宏远集团北台再生资源</w:t>
            </w:r>
            <w:r>
              <w:rPr>
                <w:rFonts w:ascii="宋体" w:hAnsi="宋体" w:eastAsia="宋体" w:cs="宋体"/>
                <w:spacing w:val="-1"/>
                <w:sz w:val="20"/>
                <w:szCs w:val="20"/>
              </w:rPr>
              <w:t>有</w:t>
            </w:r>
          </w:p>
          <w:p w14:paraId="01638F37">
            <w:pPr>
              <w:spacing w:before="87" w:line="227" w:lineRule="auto"/>
              <w:ind w:left="49"/>
              <w:rPr>
                <w:rFonts w:ascii="宋体" w:hAnsi="宋体" w:eastAsia="宋体" w:cs="宋体"/>
                <w:sz w:val="20"/>
                <w:szCs w:val="20"/>
              </w:rPr>
            </w:pPr>
            <w:r>
              <w:rPr>
                <w:rFonts w:ascii="宋体" w:hAnsi="宋体" w:eastAsia="宋体" w:cs="宋体"/>
                <w:spacing w:val="-7"/>
                <w:sz w:val="20"/>
                <w:szCs w:val="20"/>
              </w:rPr>
              <w:t>限责任公司及平山区利安建材城，由供</w:t>
            </w:r>
            <w:r>
              <w:rPr>
                <w:rFonts w:ascii="宋体" w:hAnsi="宋体" w:eastAsia="宋体" w:cs="宋体"/>
                <w:spacing w:val="-5"/>
                <w:sz w:val="20"/>
                <w:szCs w:val="20"/>
              </w:rPr>
              <w:t>货</w:t>
            </w:r>
          </w:p>
          <w:p w14:paraId="7042EDC6">
            <w:pPr>
              <w:spacing w:before="87" w:line="228" w:lineRule="auto"/>
              <w:ind w:left="36"/>
              <w:rPr>
                <w:rFonts w:ascii="宋体" w:hAnsi="宋体" w:eastAsia="宋体" w:cs="宋体"/>
                <w:sz w:val="20"/>
                <w:szCs w:val="20"/>
              </w:rPr>
            </w:pPr>
            <w:r>
              <w:rPr>
                <w:rFonts w:ascii="宋体" w:hAnsi="宋体" w:eastAsia="宋体" w:cs="宋体"/>
                <w:spacing w:val="-8"/>
                <w:sz w:val="20"/>
                <w:szCs w:val="20"/>
              </w:rPr>
              <w:t>方</w:t>
            </w:r>
            <w:r>
              <w:rPr>
                <w:rFonts w:ascii="宋体" w:hAnsi="宋体" w:eastAsia="宋体" w:cs="宋体"/>
                <w:spacing w:val="-6"/>
                <w:sz w:val="20"/>
                <w:szCs w:val="20"/>
              </w:rPr>
              <w:t>运至该项目厂区内，该项目不负责原料</w:t>
            </w:r>
          </w:p>
          <w:p w14:paraId="1BC594FF">
            <w:pPr>
              <w:spacing w:before="86" w:line="228" w:lineRule="auto"/>
              <w:ind w:left="35"/>
              <w:rPr>
                <w:rFonts w:ascii="宋体" w:hAnsi="宋体" w:eastAsia="宋体" w:cs="宋体"/>
                <w:sz w:val="20"/>
                <w:szCs w:val="20"/>
              </w:rPr>
            </w:pPr>
            <w:r>
              <w:rPr>
                <w:rFonts w:ascii="宋体" w:hAnsi="宋体" w:eastAsia="宋体" w:cs="宋体"/>
                <w:spacing w:val="-7"/>
                <w:sz w:val="20"/>
                <w:szCs w:val="20"/>
              </w:rPr>
              <w:t>运</w:t>
            </w:r>
            <w:r>
              <w:rPr>
                <w:rFonts w:ascii="宋体" w:hAnsi="宋体" w:eastAsia="宋体" w:cs="宋体"/>
                <w:spacing w:val="-6"/>
                <w:sz w:val="20"/>
                <w:szCs w:val="20"/>
              </w:rPr>
              <w:t>输，入厂时均已分成捆打包好，货车运</w:t>
            </w:r>
          </w:p>
          <w:p w14:paraId="41553B4D">
            <w:pPr>
              <w:spacing w:before="84" w:line="227" w:lineRule="auto"/>
              <w:ind w:left="106"/>
              <w:rPr>
                <w:rFonts w:ascii="宋体" w:hAnsi="宋体" w:eastAsia="宋体" w:cs="宋体"/>
                <w:sz w:val="20"/>
                <w:szCs w:val="20"/>
              </w:rPr>
            </w:pPr>
            <w:r>
              <w:rPr>
                <w:rFonts w:ascii="宋体" w:hAnsi="宋体" w:eastAsia="宋体" w:cs="宋体"/>
                <w:spacing w:val="-4"/>
                <w:sz w:val="20"/>
                <w:szCs w:val="20"/>
              </w:rPr>
              <w:t>输采用全封闭</w:t>
            </w:r>
            <w:r>
              <w:rPr>
                <w:rFonts w:ascii="宋体" w:hAnsi="宋体" w:eastAsia="宋体" w:cs="宋体"/>
                <w:spacing w:val="-3"/>
                <w:sz w:val="20"/>
                <w:szCs w:val="20"/>
              </w:rPr>
              <w:t>运</w:t>
            </w:r>
            <w:r>
              <w:rPr>
                <w:rFonts w:ascii="宋体" w:hAnsi="宋体" w:eastAsia="宋体" w:cs="宋体"/>
                <w:spacing w:val="-2"/>
                <w:sz w:val="20"/>
                <w:szCs w:val="20"/>
              </w:rPr>
              <w:t>输方式，运输路径明确</w:t>
            </w:r>
          </w:p>
        </w:tc>
        <w:tc>
          <w:tcPr>
            <w:tcW w:w="853" w:type="dxa"/>
            <w:vAlign w:val="top"/>
          </w:tcPr>
          <w:p w14:paraId="1B1F6F3C">
            <w:pPr>
              <w:spacing w:line="245" w:lineRule="auto"/>
              <w:rPr>
                <w:rFonts w:ascii="Arial"/>
                <w:sz w:val="21"/>
              </w:rPr>
            </w:pPr>
          </w:p>
          <w:p w14:paraId="2D8B8713">
            <w:pPr>
              <w:spacing w:line="246" w:lineRule="auto"/>
              <w:rPr>
                <w:rFonts w:ascii="Arial"/>
                <w:sz w:val="21"/>
              </w:rPr>
            </w:pPr>
          </w:p>
          <w:p w14:paraId="6B1BEAF9">
            <w:pPr>
              <w:spacing w:before="65" w:line="320" w:lineRule="auto"/>
              <w:ind w:left="145" w:right="116"/>
              <w:rPr>
                <w:rFonts w:ascii="宋体" w:hAnsi="宋体" w:eastAsia="宋体" w:cs="宋体"/>
                <w:sz w:val="20"/>
                <w:szCs w:val="20"/>
              </w:rPr>
            </w:pPr>
            <w:r>
              <w:rPr>
                <w:rFonts w:ascii="宋体" w:hAnsi="宋体" w:eastAsia="宋体" w:cs="宋体"/>
                <w:spacing w:val="-6"/>
                <w:sz w:val="20"/>
                <w:szCs w:val="20"/>
              </w:rPr>
              <w:t>聚</w:t>
            </w:r>
            <w:r>
              <w:rPr>
                <w:rFonts w:ascii="宋体" w:hAnsi="宋体" w:eastAsia="宋体" w:cs="宋体"/>
                <w:spacing w:val="-4"/>
                <w:sz w:val="20"/>
                <w:szCs w:val="20"/>
              </w:rPr>
              <w:t>乙烯</w:t>
            </w:r>
            <w:r>
              <w:rPr>
                <w:rFonts w:ascii="宋体" w:hAnsi="宋体" w:eastAsia="宋体" w:cs="宋体"/>
                <w:sz w:val="20"/>
                <w:szCs w:val="20"/>
              </w:rPr>
              <w:t xml:space="preserve"> </w:t>
            </w:r>
            <w:r>
              <w:rPr>
                <w:rFonts w:ascii="宋体" w:hAnsi="宋体" w:eastAsia="宋体" w:cs="宋体"/>
                <w:spacing w:val="-6"/>
                <w:sz w:val="20"/>
                <w:szCs w:val="20"/>
              </w:rPr>
              <w:t>聚</w:t>
            </w:r>
            <w:r>
              <w:rPr>
                <w:rFonts w:ascii="宋体" w:hAnsi="宋体" w:eastAsia="宋体" w:cs="宋体"/>
                <w:spacing w:val="-4"/>
                <w:sz w:val="20"/>
                <w:szCs w:val="20"/>
              </w:rPr>
              <w:t>丙烯</w:t>
            </w:r>
          </w:p>
        </w:tc>
        <w:tc>
          <w:tcPr>
            <w:tcW w:w="1899" w:type="dxa"/>
            <w:tcBorders>
              <w:right w:val="nil"/>
            </w:tcBorders>
            <w:vAlign w:val="top"/>
          </w:tcPr>
          <w:p w14:paraId="1E60B3FE">
            <w:pPr>
              <w:spacing w:before="23" w:line="281" w:lineRule="exact"/>
              <w:ind w:left="87"/>
              <w:rPr>
                <w:rFonts w:ascii="宋体" w:hAnsi="宋体" w:eastAsia="宋体" w:cs="宋体"/>
                <w:sz w:val="20"/>
                <w:szCs w:val="20"/>
              </w:rPr>
            </w:pPr>
            <w:r>
              <w:rPr>
                <w:rFonts w:ascii="Times New Roman" w:hAnsi="Times New Roman" w:eastAsia="Times New Roman" w:cs="Times New Roman"/>
                <w:spacing w:val="-2"/>
                <w:position w:val="1"/>
                <w:sz w:val="20"/>
                <w:szCs w:val="20"/>
              </w:rPr>
              <w:t>50%</w:t>
            </w:r>
            <w:r>
              <w:rPr>
                <w:rFonts w:ascii="宋体" w:hAnsi="宋体" w:eastAsia="宋体" w:cs="宋体"/>
                <w:spacing w:val="-2"/>
                <w:position w:val="1"/>
                <w:sz w:val="20"/>
                <w:szCs w:val="20"/>
              </w:rPr>
              <w:t>为合金铁及铝</w:t>
            </w:r>
            <w:r>
              <w:rPr>
                <w:rFonts w:ascii="宋体" w:hAnsi="宋体" w:eastAsia="宋体" w:cs="宋体"/>
                <w:spacing w:val="-1"/>
                <w:position w:val="1"/>
                <w:sz w:val="20"/>
                <w:szCs w:val="20"/>
              </w:rPr>
              <w:t>锭</w:t>
            </w:r>
          </w:p>
          <w:p w14:paraId="70C08A5C">
            <w:pPr>
              <w:spacing w:before="91" w:line="287" w:lineRule="auto"/>
              <w:ind w:left="33" w:right="6" w:firstLine="55"/>
              <w:rPr>
                <w:rFonts w:ascii="宋体" w:hAnsi="宋体" w:eastAsia="宋体" w:cs="宋体"/>
                <w:sz w:val="20"/>
                <w:szCs w:val="20"/>
              </w:rPr>
            </w:pPr>
            <w:r>
              <w:rPr>
                <w:rFonts w:ascii="宋体" w:hAnsi="宋体" w:eastAsia="宋体" w:cs="宋体"/>
                <w:spacing w:val="-8"/>
                <w:sz w:val="20"/>
                <w:szCs w:val="20"/>
              </w:rPr>
              <w:t>的</w:t>
            </w:r>
            <w:r>
              <w:rPr>
                <w:rFonts w:ascii="宋体" w:hAnsi="宋体" w:eastAsia="宋体" w:cs="宋体"/>
                <w:spacing w:val="-6"/>
                <w:sz w:val="20"/>
                <w:szCs w:val="20"/>
              </w:rPr>
              <w:t>废</w:t>
            </w:r>
            <w:r>
              <w:rPr>
                <w:rFonts w:ascii="宋体" w:hAnsi="宋体" w:eastAsia="宋体" w:cs="宋体"/>
                <w:spacing w:val="-4"/>
                <w:sz w:val="20"/>
                <w:szCs w:val="20"/>
              </w:rPr>
              <w:t>包装袋，尺寸为</w:t>
            </w:r>
            <w:r>
              <w:rPr>
                <w:rFonts w:ascii="宋体" w:hAnsi="宋体" w:eastAsia="宋体" w:cs="宋体"/>
                <w:sz w:val="20"/>
                <w:szCs w:val="20"/>
              </w:rPr>
              <w:t xml:space="preserve"> </w:t>
            </w:r>
            <w:r>
              <w:rPr>
                <w:rFonts w:ascii="Times New Roman" w:hAnsi="Times New Roman" w:eastAsia="Times New Roman" w:cs="Times New Roman"/>
                <w:spacing w:val="-5"/>
                <w:sz w:val="20"/>
                <w:szCs w:val="20"/>
              </w:rPr>
              <w:t>90×90×100cm</w:t>
            </w:r>
            <w:r>
              <w:rPr>
                <w:rFonts w:ascii="宋体" w:hAnsi="宋体" w:eastAsia="宋体" w:cs="宋体"/>
                <w:spacing w:val="-5"/>
                <w:sz w:val="20"/>
                <w:szCs w:val="20"/>
              </w:rPr>
              <w:t>；</w:t>
            </w:r>
            <w:r>
              <w:rPr>
                <w:rFonts w:ascii="Times New Roman" w:hAnsi="Times New Roman" w:eastAsia="Times New Roman" w:cs="Times New Roman"/>
                <w:spacing w:val="-5"/>
                <w:sz w:val="20"/>
                <w:szCs w:val="20"/>
              </w:rPr>
              <w:t>50%</w:t>
            </w:r>
            <w:r>
              <w:rPr>
                <w:rFonts w:ascii="宋体" w:hAnsi="宋体" w:eastAsia="宋体" w:cs="宋体"/>
                <w:spacing w:val="-5"/>
                <w:sz w:val="20"/>
                <w:szCs w:val="20"/>
              </w:rPr>
              <w:t>为</w:t>
            </w:r>
            <w:r>
              <w:rPr>
                <w:rFonts w:ascii="宋体" w:hAnsi="宋体" w:eastAsia="宋体" w:cs="宋体"/>
                <w:sz w:val="20"/>
                <w:szCs w:val="20"/>
              </w:rPr>
              <w:t xml:space="preserve"> </w:t>
            </w:r>
            <w:r>
              <w:rPr>
                <w:rFonts w:ascii="宋体" w:hAnsi="宋体" w:eastAsia="宋体" w:cs="宋体"/>
                <w:spacing w:val="2"/>
                <w:sz w:val="20"/>
                <w:szCs w:val="20"/>
              </w:rPr>
              <w:t>砂子的废</w:t>
            </w:r>
            <w:r>
              <w:rPr>
                <w:rFonts w:ascii="宋体" w:hAnsi="宋体" w:eastAsia="宋体" w:cs="宋体"/>
                <w:spacing w:val="1"/>
                <w:sz w:val="20"/>
                <w:szCs w:val="20"/>
              </w:rPr>
              <w:t>包装袋，尺</w:t>
            </w:r>
            <w:r>
              <w:rPr>
                <w:rFonts w:ascii="宋体" w:hAnsi="宋体" w:eastAsia="宋体" w:cs="宋体"/>
                <w:sz w:val="20"/>
                <w:szCs w:val="20"/>
              </w:rPr>
              <w:t xml:space="preserve"> </w:t>
            </w:r>
            <w:r>
              <w:rPr>
                <w:rFonts w:ascii="宋体" w:hAnsi="宋体" w:eastAsia="宋体" w:cs="宋体"/>
                <w:spacing w:val="-3"/>
                <w:sz w:val="20"/>
                <w:szCs w:val="20"/>
              </w:rPr>
              <w:t xml:space="preserve">寸为 </w:t>
            </w:r>
            <w:r>
              <w:rPr>
                <w:rFonts w:ascii="Times New Roman" w:hAnsi="Times New Roman" w:eastAsia="Times New Roman" w:cs="Times New Roman"/>
                <w:spacing w:val="-3"/>
                <w:sz w:val="20"/>
                <w:szCs w:val="20"/>
              </w:rPr>
              <w:t>90×90×100c</w:t>
            </w:r>
            <w:r>
              <w:rPr>
                <w:rFonts w:ascii="Times New Roman" w:hAnsi="Times New Roman" w:eastAsia="Times New Roman" w:cs="Times New Roman"/>
                <w:spacing w:val="-1"/>
                <w:sz w:val="20"/>
                <w:szCs w:val="20"/>
              </w:rPr>
              <w:t>m</w:t>
            </w:r>
            <w:r>
              <w:rPr>
                <w:rFonts w:ascii="宋体" w:hAnsi="宋体" w:eastAsia="宋体" w:cs="宋体"/>
                <w:spacing w:val="-3"/>
                <w:sz w:val="20"/>
                <w:szCs w:val="20"/>
              </w:rPr>
              <w:t>；</w:t>
            </w:r>
          </w:p>
        </w:tc>
      </w:tr>
    </w:tbl>
    <w:p w14:paraId="3847CE91">
      <w:pPr>
        <w:rPr>
          <w:rFonts w:ascii="Arial"/>
          <w:sz w:val="21"/>
        </w:rPr>
      </w:pPr>
    </w:p>
    <w:p w14:paraId="456EC85A">
      <w:pPr>
        <w:sectPr>
          <w:headerReference r:id="rId94" w:type="default"/>
          <w:footerReference r:id="rId95" w:type="default"/>
          <w:pgSz w:w="11906" w:h="16839"/>
          <w:pgMar w:top="1132" w:right="1691" w:bottom="1156" w:left="1691" w:header="878" w:footer="996" w:gutter="0"/>
          <w:cols w:space="720" w:num="1"/>
        </w:sectPr>
      </w:pPr>
    </w:p>
    <w:p w14:paraId="7CEAB3CA">
      <w:r>
        <w:pict>
          <v:shape id="_x0000_s1138" o:spid="_x0000_s1138" style="position:absolute;left:0pt;margin-left:90pt;margin-top:57.35pt;height:0.75pt;width:415.3pt;mso-position-horizontal-relative:page;mso-position-vertical-relative:page;z-index:251771904;mso-width-relative:page;mso-height-relative:page;" fillcolor="#000000" filled="t" stroked="f" coordsize="8305,15" o:allowincell="f" path="m0,0l8305,0,8305,14,0,14,0,0xe">
            <v:path/>
            <v:fill on="t" focussize="0,0"/>
            <v:stroke on="f"/>
            <v:imagedata o:title=""/>
            <o:lock v:ext="edit"/>
          </v:shape>
        </w:pict>
      </w:r>
    </w:p>
    <w:p w14:paraId="270F0B9D">
      <w:pPr>
        <w:spacing w:line="65" w:lineRule="exact"/>
      </w:pPr>
    </w:p>
    <w:tbl>
      <w:tblPr>
        <w:tblStyle w:val="4"/>
        <w:tblW w:w="852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3"/>
        <w:gridCol w:w="1133"/>
        <w:gridCol w:w="3534"/>
        <w:gridCol w:w="852"/>
        <w:gridCol w:w="1899"/>
      </w:tblGrid>
      <w:tr w14:paraId="054C15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103" w:type="dxa"/>
            <w:tcBorders>
              <w:left w:val="nil"/>
            </w:tcBorders>
            <w:vAlign w:val="top"/>
          </w:tcPr>
          <w:p w14:paraId="2484FD70">
            <w:pPr>
              <w:spacing w:before="85" w:line="230" w:lineRule="auto"/>
              <w:ind w:left="265"/>
              <w:rPr>
                <w:rFonts w:ascii="宋体" w:hAnsi="宋体" w:eastAsia="宋体" w:cs="宋体"/>
                <w:sz w:val="20"/>
                <w:szCs w:val="20"/>
              </w:rPr>
            </w:pPr>
            <w:r>
              <w:rPr>
                <w:rFonts w:ascii="宋体" w:hAnsi="宋体" w:eastAsia="宋体" w:cs="宋体"/>
                <w:spacing w:val="-2"/>
                <w:sz w:val="20"/>
                <w:szCs w:val="20"/>
              </w:rPr>
              <w:t>过</w:t>
            </w:r>
            <w:r>
              <w:rPr>
                <w:rFonts w:ascii="宋体" w:hAnsi="宋体" w:eastAsia="宋体" w:cs="宋体"/>
                <w:spacing w:val="-1"/>
                <w:sz w:val="20"/>
                <w:szCs w:val="20"/>
              </w:rPr>
              <w:t>滤网</w:t>
            </w:r>
          </w:p>
        </w:tc>
        <w:tc>
          <w:tcPr>
            <w:tcW w:w="1133" w:type="dxa"/>
            <w:vAlign w:val="top"/>
          </w:tcPr>
          <w:p w14:paraId="123D7EB5">
            <w:pPr>
              <w:spacing w:before="47" w:line="281" w:lineRule="exact"/>
              <w:ind w:left="356"/>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w:t>
            </w:r>
            <w:r>
              <w:rPr>
                <w:rFonts w:ascii="Times New Roman" w:hAnsi="Times New Roman" w:eastAsia="Times New Roman" w:cs="Times New Roman"/>
                <w:spacing w:val="-2"/>
                <w:position w:val="2"/>
                <w:sz w:val="20"/>
                <w:szCs w:val="20"/>
              </w:rPr>
              <w:t>.8t/a</w:t>
            </w:r>
          </w:p>
        </w:tc>
        <w:tc>
          <w:tcPr>
            <w:tcW w:w="3534" w:type="dxa"/>
            <w:vAlign w:val="top"/>
          </w:tcPr>
          <w:p w14:paraId="412E46B3">
            <w:pPr>
              <w:spacing w:before="85" w:line="227" w:lineRule="auto"/>
              <w:ind w:left="1001"/>
              <w:rPr>
                <w:rFonts w:ascii="宋体" w:hAnsi="宋体" w:eastAsia="宋体" w:cs="宋体"/>
                <w:sz w:val="20"/>
                <w:szCs w:val="20"/>
              </w:rPr>
            </w:pPr>
            <w:r>
              <w:rPr>
                <w:rFonts w:ascii="宋体" w:hAnsi="宋体" w:eastAsia="宋体" w:cs="宋体"/>
                <w:spacing w:val="-4"/>
                <w:sz w:val="20"/>
                <w:szCs w:val="20"/>
              </w:rPr>
              <w:t>当地市场择优采购</w:t>
            </w:r>
          </w:p>
        </w:tc>
        <w:tc>
          <w:tcPr>
            <w:tcW w:w="852" w:type="dxa"/>
            <w:vAlign w:val="top"/>
          </w:tcPr>
          <w:p w14:paraId="356B9497">
            <w:pPr>
              <w:spacing w:before="47" w:line="281" w:lineRule="exact"/>
              <w:ind w:left="39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899" w:type="dxa"/>
            <w:tcBorders>
              <w:right w:val="nil"/>
            </w:tcBorders>
            <w:vAlign w:val="top"/>
          </w:tcPr>
          <w:p w14:paraId="0E906BFD">
            <w:pPr>
              <w:spacing w:before="47" w:line="281" w:lineRule="exact"/>
              <w:ind w:left="92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5B28EB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103" w:type="dxa"/>
            <w:tcBorders>
              <w:left w:val="nil"/>
            </w:tcBorders>
            <w:vAlign w:val="top"/>
          </w:tcPr>
          <w:p w14:paraId="60C1C357">
            <w:pPr>
              <w:spacing w:before="61" w:line="228" w:lineRule="auto"/>
              <w:ind w:left="264"/>
              <w:rPr>
                <w:rFonts w:ascii="宋体" w:hAnsi="宋体" w:eastAsia="宋体" w:cs="宋体"/>
                <w:sz w:val="20"/>
                <w:szCs w:val="20"/>
              </w:rPr>
            </w:pPr>
            <w:r>
              <w:rPr>
                <w:rFonts w:ascii="宋体" w:hAnsi="宋体" w:eastAsia="宋体" w:cs="宋体"/>
                <w:spacing w:val="-1"/>
                <w:sz w:val="20"/>
                <w:szCs w:val="20"/>
              </w:rPr>
              <w:t>包装袋</w:t>
            </w:r>
          </w:p>
        </w:tc>
        <w:tc>
          <w:tcPr>
            <w:tcW w:w="1133" w:type="dxa"/>
            <w:vAlign w:val="top"/>
          </w:tcPr>
          <w:p w14:paraId="615F6E42">
            <w:pPr>
              <w:spacing w:before="23" w:line="281" w:lineRule="exact"/>
              <w:ind w:left="380"/>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5</w:t>
            </w:r>
            <w:r>
              <w:rPr>
                <w:rFonts w:ascii="Times New Roman" w:hAnsi="Times New Roman" w:eastAsia="Times New Roman" w:cs="Times New Roman"/>
                <w:spacing w:val="-2"/>
                <w:position w:val="2"/>
                <w:sz w:val="20"/>
                <w:szCs w:val="20"/>
              </w:rPr>
              <w:t>0t/a</w:t>
            </w:r>
          </w:p>
        </w:tc>
        <w:tc>
          <w:tcPr>
            <w:tcW w:w="3534" w:type="dxa"/>
            <w:vAlign w:val="top"/>
          </w:tcPr>
          <w:p w14:paraId="2DE52C66">
            <w:pPr>
              <w:spacing w:before="61" w:line="227" w:lineRule="auto"/>
              <w:ind w:left="1001"/>
              <w:rPr>
                <w:rFonts w:ascii="宋体" w:hAnsi="宋体" w:eastAsia="宋体" w:cs="宋体"/>
                <w:sz w:val="20"/>
                <w:szCs w:val="20"/>
              </w:rPr>
            </w:pPr>
            <w:r>
              <w:rPr>
                <w:rFonts w:ascii="宋体" w:hAnsi="宋体" w:eastAsia="宋体" w:cs="宋体"/>
                <w:spacing w:val="-4"/>
                <w:sz w:val="20"/>
                <w:szCs w:val="20"/>
              </w:rPr>
              <w:t>当地市场择优采购</w:t>
            </w:r>
          </w:p>
        </w:tc>
        <w:tc>
          <w:tcPr>
            <w:tcW w:w="852" w:type="dxa"/>
            <w:vAlign w:val="top"/>
          </w:tcPr>
          <w:p w14:paraId="5AA3B296">
            <w:pPr>
              <w:spacing w:before="23" w:line="281" w:lineRule="exact"/>
              <w:ind w:left="39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899" w:type="dxa"/>
            <w:tcBorders>
              <w:right w:val="nil"/>
            </w:tcBorders>
            <w:vAlign w:val="top"/>
          </w:tcPr>
          <w:p w14:paraId="51CFDCB0">
            <w:pPr>
              <w:spacing w:before="23" w:line="281" w:lineRule="exact"/>
              <w:ind w:left="92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60ADD0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1103" w:type="dxa"/>
            <w:tcBorders>
              <w:left w:val="nil"/>
            </w:tcBorders>
            <w:vAlign w:val="top"/>
          </w:tcPr>
          <w:p w14:paraId="33CA619A">
            <w:pPr>
              <w:spacing w:before="61" w:line="227" w:lineRule="auto"/>
              <w:ind w:left="362"/>
              <w:rPr>
                <w:rFonts w:ascii="宋体" w:hAnsi="宋体" w:eastAsia="宋体" w:cs="宋体"/>
                <w:sz w:val="20"/>
                <w:szCs w:val="20"/>
              </w:rPr>
            </w:pPr>
            <w:r>
              <w:rPr>
                <w:rFonts w:ascii="宋体" w:hAnsi="宋体" w:eastAsia="宋体" w:cs="宋体"/>
                <w:spacing w:val="1"/>
                <w:sz w:val="20"/>
                <w:szCs w:val="20"/>
              </w:rPr>
              <w:t>机</w:t>
            </w:r>
            <w:r>
              <w:rPr>
                <w:rFonts w:ascii="宋体" w:hAnsi="宋体" w:eastAsia="宋体" w:cs="宋体"/>
                <w:sz w:val="20"/>
                <w:szCs w:val="20"/>
              </w:rPr>
              <w:t>油</w:t>
            </w:r>
          </w:p>
        </w:tc>
        <w:tc>
          <w:tcPr>
            <w:tcW w:w="1133" w:type="dxa"/>
            <w:vAlign w:val="top"/>
          </w:tcPr>
          <w:p w14:paraId="5B81AB9F">
            <w:pPr>
              <w:spacing w:before="24" w:line="281" w:lineRule="exact"/>
              <w:ind w:left="356"/>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w:t>
            </w:r>
            <w:r>
              <w:rPr>
                <w:rFonts w:ascii="Times New Roman" w:hAnsi="Times New Roman" w:eastAsia="Times New Roman" w:cs="Times New Roman"/>
                <w:spacing w:val="-2"/>
                <w:position w:val="2"/>
                <w:sz w:val="20"/>
                <w:szCs w:val="20"/>
              </w:rPr>
              <w:t>.8t/a</w:t>
            </w:r>
          </w:p>
        </w:tc>
        <w:tc>
          <w:tcPr>
            <w:tcW w:w="3534" w:type="dxa"/>
            <w:vAlign w:val="top"/>
          </w:tcPr>
          <w:p w14:paraId="4B6E1159">
            <w:pPr>
              <w:spacing w:before="61" w:line="227" w:lineRule="auto"/>
              <w:ind w:left="1001"/>
              <w:rPr>
                <w:rFonts w:ascii="宋体" w:hAnsi="宋体" w:eastAsia="宋体" w:cs="宋体"/>
                <w:sz w:val="20"/>
                <w:szCs w:val="20"/>
              </w:rPr>
            </w:pPr>
            <w:r>
              <w:rPr>
                <w:rFonts w:ascii="宋体" w:hAnsi="宋体" w:eastAsia="宋体" w:cs="宋体"/>
                <w:spacing w:val="-4"/>
                <w:sz w:val="20"/>
                <w:szCs w:val="20"/>
              </w:rPr>
              <w:t>当地市场择优采购</w:t>
            </w:r>
          </w:p>
        </w:tc>
        <w:tc>
          <w:tcPr>
            <w:tcW w:w="852" w:type="dxa"/>
            <w:vAlign w:val="top"/>
          </w:tcPr>
          <w:p w14:paraId="74FA83B8">
            <w:pPr>
              <w:spacing w:before="24" w:line="281" w:lineRule="exact"/>
              <w:ind w:left="39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899" w:type="dxa"/>
            <w:tcBorders>
              <w:right w:val="nil"/>
            </w:tcBorders>
            <w:vAlign w:val="top"/>
          </w:tcPr>
          <w:p w14:paraId="006FBB33">
            <w:pPr>
              <w:spacing w:before="24" w:line="281" w:lineRule="exact"/>
              <w:ind w:left="92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040AF7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1103" w:type="dxa"/>
            <w:tcBorders>
              <w:left w:val="nil"/>
            </w:tcBorders>
            <w:vAlign w:val="top"/>
          </w:tcPr>
          <w:p w14:paraId="18A81808">
            <w:pPr>
              <w:spacing w:before="62" w:line="228" w:lineRule="auto"/>
              <w:ind w:left="36"/>
              <w:rPr>
                <w:rFonts w:ascii="宋体" w:hAnsi="宋体" w:eastAsia="宋体" w:cs="宋体"/>
                <w:sz w:val="20"/>
                <w:szCs w:val="20"/>
              </w:rPr>
            </w:pPr>
            <w:r>
              <w:rPr>
                <w:rFonts w:ascii="Times New Roman" w:hAnsi="Times New Roman" w:eastAsia="Times New Roman" w:cs="Times New Roman"/>
                <w:sz w:val="20"/>
                <w:szCs w:val="20"/>
              </w:rPr>
              <w:t>uv</w:t>
            </w:r>
            <w:r>
              <w:rPr>
                <w:rFonts w:ascii="Times New Roman" w:hAnsi="Times New Roman" w:eastAsia="Times New Roman" w:cs="Times New Roman"/>
                <w:spacing w:val="-1"/>
                <w:sz w:val="20"/>
                <w:szCs w:val="20"/>
              </w:rPr>
              <w:t xml:space="preserve"> </w:t>
            </w:r>
            <w:r>
              <w:rPr>
                <w:rFonts w:ascii="宋体" w:hAnsi="宋体" w:eastAsia="宋体" w:cs="宋体"/>
                <w:sz w:val="20"/>
                <w:szCs w:val="20"/>
              </w:rPr>
              <w:t>光解灯管</w:t>
            </w:r>
          </w:p>
        </w:tc>
        <w:tc>
          <w:tcPr>
            <w:tcW w:w="1133" w:type="dxa"/>
            <w:vAlign w:val="top"/>
          </w:tcPr>
          <w:p w14:paraId="38BD439A">
            <w:pPr>
              <w:spacing w:before="25" w:line="281" w:lineRule="exact"/>
              <w:ind w:left="356"/>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w:t>
            </w:r>
            <w:r>
              <w:rPr>
                <w:rFonts w:ascii="Times New Roman" w:hAnsi="Times New Roman" w:eastAsia="Times New Roman" w:cs="Times New Roman"/>
                <w:spacing w:val="-2"/>
                <w:position w:val="2"/>
                <w:sz w:val="20"/>
                <w:szCs w:val="20"/>
              </w:rPr>
              <w:t>.4t/a</w:t>
            </w:r>
          </w:p>
        </w:tc>
        <w:tc>
          <w:tcPr>
            <w:tcW w:w="3534" w:type="dxa"/>
            <w:vAlign w:val="top"/>
          </w:tcPr>
          <w:p w14:paraId="6C50A353">
            <w:pPr>
              <w:rPr>
                <w:rFonts w:ascii="Arial"/>
                <w:sz w:val="21"/>
              </w:rPr>
            </w:pPr>
          </w:p>
        </w:tc>
        <w:tc>
          <w:tcPr>
            <w:tcW w:w="852" w:type="dxa"/>
            <w:vAlign w:val="top"/>
          </w:tcPr>
          <w:p w14:paraId="3C85455A">
            <w:pPr>
              <w:rPr>
                <w:rFonts w:ascii="Arial"/>
                <w:sz w:val="21"/>
              </w:rPr>
            </w:pPr>
          </w:p>
        </w:tc>
        <w:tc>
          <w:tcPr>
            <w:tcW w:w="1899" w:type="dxa"/>
            <w:tcBorders>
              <w:right w:val="nil"/>
            </w:tcBorders>
            <w:vAlign w:val="top"/>
          </w:tcPr>
          <w:p w14:paraId="16BC4682">
            <w:pPr>
              <w:rPr>
                <w:rFonts w:ascii="Arial"/>
                <w:sz w:val="21"/>
              </w:rPr>
            </w:pPr>
          </w:p>
        </w:tc>
      </w:tr>
      <w:tr w14:paraId="5461F3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1103" w:type="dxa"/>
            <w:tcBorders>
              <w:left w:val="nil"/>
            </w:tcBorders>
            <w:vAlign w:val="top"/>
          </w:tcPr>
          <w:p w14:paraId="1304EE5B">
            <w:pPr>
              <w:spacing w:before="64" w:line="228" w:lineRule="auto"/>
              <w:ind w:left="268"/>
              <w:rPr>
                <w:rFonts w:ascii="宋体" w:hAnsi="宋体" w:eastAsia="宋体" w:cs="宋体"/>
                <w:sz w:val="20"/>
                <w:szCs w:val="20"/>
              </w:rPr>
            </w:pPr>
            <w:r>
              <w:rPr>
                <w:rFonts w:ascii="宋体" w:hAnsi="宋体" w:eastAsia="宋体" w:cs="宋体"/>
                <w:spacing w:val="-2"/>
                <w:sz w:val="20"/>
                <w:szCs w:val="20"/>
              </w:rPr>
              <w:t>活性炭</w:t>
            </w:r>
          </w:p>
        </w:tc>
        <w:tc>
          <w:tcPr>
            <w:tcW w:w="1133" w:type="dxa"/>
            <w:vAlign w:val="top"/>
          </w:tcPr>
          <w:p w14:paraId="315C7487">
            <w:pPr>
              <w:spacing w:before="26" w:line="281" w:lineRule="exact"/>
              <w:ind w:left="309"/>
              <w:rPr>
                <w:rFonts w:ascii="Times New Roman" w:hAnsi="Times New Roman" w:eastAsia="Times New Roman" w:cs="Times New Roman"/>
                <w:sz w:val="20"/>
                <w:szCs w:val="20"/>
              </w:rPr>
            </w:pPr>
            <w:r>
              <w:rPr>
                <w:rFonts w:ascii="Times New Roman" w:hAnsi="Times New Roman" w:eastAsia="Times New Roman" w:cs="Times New Roman"/>
                <w:spacing w:val="-4"/>
                <w:position w:val="2"/>
                <w:sz w:val="20"/>
                <w:szCs w:val="20"/>
              </w:rPr>
              <w:t>3.</w:t>
            </w:r>
            <w:r>
              <w:rPr>
                <w:rFonts w:ascii="Times New Roman" w:hAnsi="Times New Roman" w:eastAsia="Times New Roman" w:cs="Times New Roman"/>
                <w:spacing w:val="-2"/>
                <w:position w:val="2"/>
                <w:sz w:val="20"/>
                <w:szCs w:val="20"/>
              </w:rPr>
              <w:t>22t/a</w:t>
            </w:r>
          </w:p>
        </w:tc>
        <w:tc>
          <w:tcPr>
            <w:tcW w:w="3534" w:type="dxa"/>
            <w:vAlign w:val="top"/>
          </w:tcPr>
          <w:p w14:paraId="49E62749">
            <w:pPr>
              <w:spacing w:before="63" w:line="227" w:lineRule="auto"/>
              <w:ind w:left="1001"/>
              <w:rPr>
                <w:rFonts w:ascii="宋体" w:hAnsi="宋体" w:eastAsia="宋体" w:cs="宋体"/>
                <w:sz w:val="20"/>
                <w:szCs w:val="20"/>
              </w:rPr>
            </w:pPr>
            <w:r>
              <w:rPr>
                <w:rFonts w:ascii="宋体" w:hAnsi="宋体" w:eastAsia="宋体" w:cs="宋体"/>
                <w:spacing w:val="-4"/>
                <w:sz w:val="20"/>
                <w:szCs w:val="20"/>
              </w:rPr>
              <w:t>当地市场择优采购</w:t>
            </w:r>
          </w:p>
        </w:tc>
        <w:tc>
          <w:tcPr>
            <w:tcW w:w="852" w:type="dxa"/>
            <w:vAlign w:val="top"/>
          </w:tcPr>
          <w:p w14:paraId="0CB5AD8B">
            <w:pPr>
              <w:spacing w:before="26" w:line="281" w:lineRule="exact"/>
              <w:ind w:left="39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899" w:type="dxa"/>
            <w:tcBorders>
              <w:right w:val="nil"/>
            </w:tcBorders>
            <w:vAlign w:val="top"/>
          </w:tcPr>
          <w:p w14:paraId="3641BD6B">
            <w:pPr>
              <w:spacing w:before="26" w:line="281" w:lineRule="exact"/>
              <w:ind w:left="92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1F3617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103" w:type="dxa"/>
            <w:tcBorders>
              <w:left w:val="nil"/>
            </w:tcBorders>
            <w:vAlign w:val="top"/>
          </w:tcPr>
          <w:p w14:paraId="148E9E26">
            <w:pPr>
              <w:spacing w:before="35" w:line="237" w:lineRule="auto"/>
              <w:ind w:left="363" w:right="44" w:hanging="294"/>
              <w:rPr>
                <w:rFonts w:ascii="宋体" w:hAnsi="宋体" w:eastAsia="宋体" w:cs="宋体"/>
                <w:sz w:val="20"/>
                <w:szCs w:val="20"/>
              </w:rPr>
            </w:pPr>
            <w:r>
              <w:rPr>
                <w:rFonts w:ascii="宋体" w:hAnsi="宋体" w:eastAsia="宋体" w:cs="宋体"/>
                <w:spacing w:val="-4"/>
                <w:sz w:val="20"/>
                <w:szCs w:val="20"/>
              </w:rPr>
              <w:t>成型</w:t>
            </w:r>
            <w:r>
              <w:rPr>
                <w:rFonts w:ascii="宋体" w:hAnsi="宋体" w:eastAsia="宋体" w:cs="宋体"/>
                <w:spacing w:val="-2"/>
                <w:sz w:val="20"/>
                <w:szCs w:val="20"/>
              </w:rPr>
              <w:t>生物质</w:t>
            </w:r>
            <w:r>
              <w:rPr>
                <w:rFonts w:ascii="宋体" w:hAnsi="宋体" w:eastAsia="宋体" w:cs="宋体"/>
                <w:sz w:val="20"/>
                <w:szCs w:val="20"/>
              </w:rPr>
              <w:t xml:space="preserve"> 燃料</w:t>
            </w:r>
          </w:p>
        </w:tc>
        <w:tc>
          <w:tcPr>
            <w:tcW w:w="1133" w:type="dxa"/>
            <w:vAlign w:val="top"/>
          </w:tcPr>
          <w:p w14:paraId="6FCD2C1D">
            <w:pPr>
              <w:spacing w:before="133" w:line="281" w:lineRule="exact"/>
              <w:ind w:left="259"/>
              <w:rPr>
                <w:rFonts w:ascii="Times New Roman" w:hAnsi="Times New Roman" w:eastAsia="Times New Roman" w:cs="Times New Roman"/>
                <w:sz w:val="20"/>
                <w:szCs w:val="20"/>
              </w:rPr>
            </w:pPr>
            <w:r>
              <w:rPr>
                <w:rFonts w:ascii="Times New Roman" w:hAnsi="Times New Roman" w:eastAsia="Times New Roman" w:cs="Times New Roman"/>
                <w:spacing w:val="-12"/>
                <w:position w:val="2"/>
                <w:sz w:val="20"/>
                <w:szCs w:val="20"/>
              </w:rPr>
              <w:t>6</w:t>
            </w:r>
            <w:r>
              <w:rPr>
                <w:rFonts w:ascii="Times New Roman" w:hAnsi="Times New Roman" w:eastAsia="Times New Roman" w:cs="Times New Roman"/>
                <w:spacing w:val="-7"/>
                <w:position w:val="2"/>
                <w:sz w:val="20"/>
                <w:szCs w:val="20"/>
              </w:rPr>
              <w:t>74. 1t/a</w:t>
            </w:r>
          </w:p>
        </w:tc>
        <w:tc>
          <w:tcPr>
            <w:tcW w:w="3534" w:type="dxa"/>
            <w:vAlign w:val="top"/>
          </w:tcPr>
          <w:p w14:paraId="09111507">
            <w:pPr>
              <w:spacing w:before="170" w:line="227" w:lineRule="auto"/>
              <w:ind w:left="1001"/>
              <w:rPr>
                <w:rFonts w:ascii="宋体" w:hAnsi="宋体" w:eastAsia="宋体" w:cs="宋体"/>
                <w:sz w:val="20"/>
                <w:szCs w:val="20"/>
              </w:rPr>
            </w:pPr>
            <w:r>
              <w:rPr>
                <w:rFonts w:ascii="宋体" w:hAnsi="宋体" w:eastAsia="宋体" w:cs="宋体"/>
                <w:spacing w:val="-4"/>
                <w:sz w:val="20"/>
                <w:szCs w:val="20"/>
              </w:rPr>
              <w:t>当地市场择优采购</w:t>
            </w:r>
          </w:p>
        </w:tc>
        <w:tc>
          <w:tcPr>
            <w:tcW w:w="852" w:type="dxa"/>
            <w:vAlign w:val="top"/>
          </w:tcPr>
          <w:p w14:paraId="4491AEEB">
            <w:pPr>
              <w:spacing w:before="133" w:line="281" w:lineRule="exact"/>
              <w:ind w:left="39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899" w:type="dxa"/>
            <w:tcBorders>
              <w:right w:val="nil"/>
            </w:tcBorders>
            <w:vAlign w:val="top"/>
          </w:tcPr>
          <w:p w14:paraId="3DAEAAE6">
            <w:pPr>
              <w:spacing w:before="133" w:line="281" w:lineRule="exact"/>
              <w:ind w:left="343"/>
              <w:rPr>
                <w:rFonts w:ascii="宋体" w:hAnsi="宋体" w:eastAsia="宋体" w:cs="宋体"/>
                <w:sz w:val="20"/>
                <w:szCs w:val="20"/>
              </w:rPr>
            </w:pPr>
            <w:r>
              <w:rPr>
                <w:rFonts w:ascii="宋体" w:hAnsi="宋体" w:eastAsia="宋体" w:cs="宋体"/>
                <w:spacing w:val="-4"/>
                <w:position w:val="2"/>
                <w:sz w:val="20"/>
                <w:szCs w:val="20"/>
              </w:rPr>
              <w:t>袋</w:t>
            </w:r>
            <w:r>
              <w:rPr>
                <w:rFonts w:ascii="宋体" w:hAnsi="宋体" w:eastAsia="宋体" w:cs="宋体"/>
                <w:spacing w:val="-3"/>
                <w:position w:val="2"/>
                <w:sz w:val="20"/>
                <w:szCs w:val="20"/>
              </w:rPr>
              <w:t>装</w:t>
            </w:r>
            <w:r>
              <w:rPr>
                <w:rFonts w:ascii="宋体" w:hAnsi="宋体" w:eastAsia="宋体" w:cs="宋体"/>
                <w:spacing w:val="-2"/>
                <w:position w:val="2"/>
                <w:sz w:val="20"/>
                <w:szCs w:val="20"/>
              </w:rPr>
              <w:t>，</w:t>
            </w:r>
            <w:r>
              <w:rPr>
                <w:rFonts w:ascii="Times New Roman" w:hAnsi="Times New Roman" w:eastAsia="Times New Roman" w:cs="Times New Roman"/>
                <w:spacing w:val="-2"/>
                <w:position w:val="2"/>
                <w:sz w:val="20"/>
                <w:szCs w:val="20"/>
              </w:rPr>
              <w:t>50kg/</w:t>
            </w:r>
            <w:r>
              <w:rPr>
                <w:rFonts w:ascii="宋体" w:hAnsi="宋体" w:eastAsia="宋体" w:cs="宋体"/>
                <w:spacing w:val="-2"/>
                <w:position w:val="2"/>
                <w:sz w:val="20"/>
                <w:szCs w:val="20"/>
              </w:rPr>
              <w:t>袋</w:t>
            </w:r>
          </w:p>
        </w:tc>
      </w:tr>
      <w:tr w14:paraId="3B87F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103" w:type="dxa"/>
            <w:tcBorders>
              <w:left w:val="nil"/>
            </w:tcBorders>
            <w:vAlign w:val="top"/>
          </w:tcPr>
          <w:p w14:paraId="65D29054">
            <w:pPr>
              <w:spacing w:before="65" w:line="227" w:lineRule="auto"/>
              <w:ind w:left="264"/>
              <w:rPr>
                <w:rFonts w:ascii="宋体" w:hAnsi="宋体" w:eastAsia="宋体" w:cs="宋体"/>
                <w:sz w:val="20"/>
                <w:szCs w:val="20"/>
              </w:rPr>
            </w:pPr>
            <w:r>
              <w:rPr>
                <w:rFonts w:ascii="宋体" w:hAnsi="宋体" w:eastAsia="宋体" w:cs="宋体"/>
                <w:spacing w:val="-1"/>
                <w:sz w:val="20"/>
                <w:szCs w:val="20"/>
              </w:rPr>
              <w:t>清洗剂</w:t>
            </w:r>
          </w:p>
        </w:tc>
        <w:tc>
          <w:tcPr>
            <w:tcW w:w="1133" w:type="dxa"/>
            <w:vAlign w:val="top"/>
          </w:tcPr>
          <w:p w14:paraId="46D4418C">
            <w:pPr>
              <w:spacing w:before="28" w:line="281" w:lineRule="exact"/>
              <w:ind w:left="274"/>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1</w:t>
            </w:r>
            <w:r>
              <w:rPr>
                <w:rFonts w:ascii="Times New Roman" w:hAnsi="Times New Roman" w:eastAsia="Times New Roman" w:cs="Times New Roman"/>
                <w:spacing w:val="-4"/>
                <w:position w:val="2"/>
                <w:sz w:val="20"/>
                <w:szCs w:val="20"/>
              </w:rPr>
              <w:t>0.22t/a</w:t>
            </w:r>
          </w:p>
        </w:tc>
        <w:tc>
          <w:tcPr>
            <w:tcW w:w="3534" w:type="dxa"/>
            <w:vAlign w:val="top"/>
          </w:tcPr>
          <w:p w14:paraId="6B476156">
            <w:pPr>
              <w:spacing w:before="65" w:line="227" w:lineRule="auto"/>
              <w:ind w:left="1001"/>
              <w:rPr>
                <w:rFonts w:ascii="宋体" w:hAnsi="宋体" w:eastAsia="宋体" w:cs="宋体"/>
                <w:sz w:val="20"/>
                <w:szCs w:val="20"/>
              </w:rPr>
            </w:pPr>
            <w:r>
              <w:rPr>
                <w:rFonts w:ascii="宋体" w:hAnsi="宋体" w:eastAsia="宋体" w:cs="宋体"/>
                <w:spacing w:val="-4"/>
                <w:sz w:val="20"/>
                <w:szCs w:val="20"/>
              </w:rPr>
              <w:t>当地市场择优采购</w:t>
            </w:r>
          </w:p>
        </w:tc>
        <w:tc>
          <w:tcPr>
            <w:tcW w:w="852" w:type="dxa"/>
            <w:vAlign w:val="top"/>
          </w:tcPr>
          <w:p w14:paraId="71492AD0">
            <w:pPr>
              <w:spacing w:before="65" w:line="228" w:lineRule="auto"/>
              <w:ind w:left="237"/>
              <w:rPr>
                <w:rFonts w:ascii="宋体" w:hAnsi="宋体" w:eastAsia="宋体" w:cs="宋体"/>
                <w:sz w:val="20"/>
                <w:szCs w:val="20"/>
              </w:rPr>
            </w:pPr>
            <w:r>
              <w:rPr>
                <w:rFonts w:ascii="宋体" w:hAnsi="宋体" w:eastAsia="宋体" w:cs="宋体"/>
                <w:spacing w:val="-1"/>
                <w:sz w:val="20"/>
                <w:szCs w:val="20"/>
              </w:rPr>
              <w:t>火</w:t>
            </w:r>
            <w:r>
              <w:rPr>
                <w:rFonts w:ascii="宋体" w:hAnsi="宋体" w:eastAsia="宋体" w:cs="宋体"/>
                <w:sz w:val="20"/>
                <w:szCs w:val="20"/>
              </w:rPr>
              <w:t>碱</w:t>
            </w:r>
          </w:p>
        </w:tc>
        <w:tc>
          <w:tcPr>
            <w:tcW w:w="1899" w:type="dxa"/>
            <w:tcBorders>
              <w:right w:val="nil"/>
            </w:tcBorders>
            <w:vAlign w:val="top"/>
          </w:tcPr>
          <w:p w14:paraId="0AD87ABD">
            <w:pPr>
              <w:spacing w:before="28" w:line="281" w:lineRule="exact"/>
              <w:ind w:left="343"/>
              <w:rPr>
                <w:rFonts w:ascii="宋体" w:hAnsi="宋体" w:eastAsia="宋体" w:cs="宋体"/>
                <w:sz w:val="20"/>
                <w:szCs w:val="20"/>
              </w:rPr>
            </w:pPr>
            <w:r>
              <w:rPr>
                <w:rFonts w:ascii="宋体" w:hAnsi="宋体" w:eastAsia="宋体" w:cs="宋体"/>
                <w:spacing w:val="-4"/>
                <w:position w:val="2"/>
                <w:sz w:val="20"/>
                <w:szCs w:val="20"/>
              </w:rPr>
              <w:t>袋</w:t>
            </w:r>
            <w:r>
              <w:rPr>
                <w:rFonts w:ascii="宋体" w:hAnsi="宋体" w:eastAsia="宋体" w:cs="宋体"/>
                <w:spacing w:val="-3"/>
                <w:position w:val="2"/>
                <w:sz w:val="20"/>
                <w:szCs w:val="20"/>
              </w:rPr>
              <w:t>装</w:t>
            </w:r>
            <w:r>
              <w:rPr>
                <w:rFonts w:ascii="宋体" w:hAnsi="宋体" w:eastAsia="宋体" w:cs="宋体"/>
                <w:spacing w:val="-2"/>
                <w:position w:val="2"/>
                <w:sz w:val="20"/>
                <w:szCs w:val="20"/>
              </w:rPr>
              <w:t>，</w:t>
            </w:r>
            <w:r>
              <w:rPr>
                <w:rFonts w:ascii="Times New Roman" w:hAnsi="Times New Roman" w:eastAsia="Times New Roman" w:cs="Times New Roman"/>
                <w:spacing w:val="-2"/>
                <w:position w:val="2"/>
                <w:sz w:val="20"/>
                <w:szCs w:val="20"/>
              </w:rPr>
              <w:t>30kg/</w:t>
            </w:r>
            <w:r>
              <w:rPr>
                <w:rFonts w:ascii="宋体" w:hAnsi="宋体" w:eastAsia="宋体" w:cs="宋体"/>
                <w:spacing w:val="-2"/>
                <w:position w:val="2"/>
                <w:sz w:val="20"/>
                <w:szCs w:val="20"/>
              </w:rPr>
              <w:t>袋</w:t>
            </w:r>
          </w:p>
        </w:tc>
      </w:tr>
      <w:tr w14:paraId="71965C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103" w:type="dxa"/>
            <w:tcBorders>
              <w:left w:val="nil"/>
            </w:tcBorders>
            <w:vAlign w:val="top"/>
          </w:tcPr>
          <w:p w14:paraId="77D59AE0">
            <w:pPr>
              <w:spacing w:before="66" w:line="233" w:lineRule="auto"/>
              <w:ind w:left="486"/>
              <w:rPr>
                <w:rFonts w:ascii="宋体" w:hAnsi="宋体" w:eastAsia="宋体" w:cs="宋体"/>
                <w:sz w:val="20"/>
                <w:szCs w:val="20"/>
              </w:rPr>
            </w:pPr>
            <w:r>
              <w:rPr>
                <w:rFonts w:ascii="宋体" w:hAnsi="宋体" w:eastAsia="宋体" w:cs="宋体"/>
                <w:sz w:val="20"/>
                <w:szCs w:val="20"/>
              </w:rPr>
              <w:t>电</w:t>
            </w:r>
          </w:p>
        </w:tc>
        <w:tc>
          <w:tcPr>
            <w:tcW w:w="1133" w:type="dxa"/>
            <w:vAlign w:val="top"/>
          </w:tcPr>
          <w:p w14:paraId="5266A543">
            <w:pPr>
              <w:spacing w:before="28" w:line="281" w:lineRule="exact"/>
              <w:ind w:left="49"/>
              <w:rPr>
                <w:rFonts w:ascii="Times New Roman" w:hAnsi="Times New Roman" w:eastAsia="Times New Roman" w:cs="Times New Roman"/>
                <w:sz w:val="20"/>
                <w:szCs w:val="20"/>
              </w:rPr>
            </w:pPr>
            <w:r>
              <w:rPr>
                <w:rFonts w:ascii="Times New Roman" w:hAnsi="Times New Roman" w:eastAsia="Times New Roman" w:cs="Times New Roman"/>
                <w:spacing w:val="-12"/>
                <w:position w:val="2"/>
                <w:sz w:val="20"/>
                <w:szCs w:val="20"/>
              </w:rPr>
              <w:t>1</w:t>
            </w:r>
            <w:r>
              <w:rPr>
                <w:rFonts w:ascii="Times New Roman" w:hAnsi="Times New Roman" w:eastAsia="Times New Roman" w:cs="Times New Roman"/>
                <w:spacing w:val="-7"/>
                <w:position w:val="2"/>
                <w:sz w:val="20"/>
                <w:szCs w:val="20"/>
              </w:rPr>
              <w:t xml:space="preserve">300 </w:t>
            </w:r>
            <w:r>
              <w:rPr>
                <w:rFonts w:ascii="宋体" w:hAnsi="宋体" w:eastAsia="宋体" w:cs="宋体"/>
                <w:spacing w:val="-7"/>
                <w:position w:val="2"/>
                <w:sz w:val="20"/>
                <w:szCs w:val="20"/>
              </w:rPr>
              <w:t xml:space="preserve">万 </w:t>
            </w:r>
            <w:r>
              <w:rPr>
                <w:rFonts w:ascii="Times New Roman" w:hAnsi="Times New Roman" w:eastAsia="Times New Roman" w:cs="Times New Roman"/>
                <w:spacing w:val="-7"/>
                <w:position w:val="2"/>
                <w:sz w:val="20"/>
                <w:szCs w:val="20"/>
              </w:rPr>
              <w:t>Kwh</w:t>
            </w:r>
          </w:p>
        </w:tc>
        <w:tc>
          <w:tcPr>
            <w:tcW w:w="3534" w:type="dxa"/>
            <w:vAlign w:val="top"/>
          </w:tcPr>
          <w:p w14:paraId="1F123450">
            <w:pPr>
              <w:spacing w:before="65" w:line="227" w:lineRule="auto"/>
              <w:ind w:left="1001"/>
              <w:rPr>
                <w:rFonts w:ascii="宋体" w:hAnsi="宋体" w:eastAsia="宋体" w:cs="宋体"/>
                <w:sz w:val="20"/>
                <w:szCs w:val="20"/>
              </w:rPr>
            </w:pPr>
            <w:r>
              <w:rPr>
                <w:rFonts w:ascii="宋体" w:hAnsi="宋体" w:eastAsia="宋体" w:cs="宋体"/>
                <w:spacing w:val="-4"/>
                <w:sz w:val="20"/>
                <w:szCs w:val="20"/>
              </w:rPr>
              <w:t>当地供电电网引入</w:t>
            </w:r>
          </w:p>
        </w:tc>
        <w:tc>
          <w:tcPr>
            <w:tcW w:w="852" w:type="dxa"/>
            <w:vAlign w:val="top"/>
          </w:tcPr>
          <w:p w14:paraId="41024BBB">
            <w:pPr>
              <w:spacing w:before="28" w:line="281" w:lineRule="exact"/>
              <w:ind w:left="39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899" w:type="dxa"/>
            <w:tcBorders>
              <w:right w:val="nil"/>
            </w:tcBorders>
            <w:vAlign w:val="top"/>
          </w:tcPr>
          <w:p w14:paraId="727CA116">
            <w:pPr>
              <w:spacing w:before="28" w:line="281" w:lineRule="exact"/>
              <w:ind w:left="92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4E69E6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1103" w:type="dxa"/>
            <w:tcBorders>
              <w:left w:val="nil"/>
            </w:tcBorders>
            <w:vAlign w:val="top"/>
          </w:tcPr>
          <w:p w14:paraId="04C2A558">
            <w:pPr>
              <w:spacing w:before="65" w:line="228" w:lineRule="auto"/>
              <w:ind w:left="464"/>
              <w:rPr>
                <w:rFonts w:ascii="宋体" w:hAnsi="宋体" w:eastAsia="宋体" w:cs="宋体"/>
                <w:sz w:val="20"/>
                <w:szCs w:val="20"/>
              </w:rPr>
            </w:pPr>
            <w:r>
              <w:rPr>
                <w:rFonts w:ascii="宋体" w:hAnsi="宋体" w:eastAsia="宋体" w:cs="宋体"/>
                <w:sz w:val="20"/>
                <w:szCs w:val="20"/>
              </w:rPr>
              <w:t>水</w:t>
            </w:r>
          </w:p>
        </w:tc>
        <w:tc>
          <w:tcPr>
            <w:tcW w:w="1133" w:type="dxa"/>
            <w:vAlign w:val="top"/>
          </w:tcPr>
          <w:p w14:paraId="166C15C0">
            <w:pPr>
              <w:spacing w:before="28" w:line="281" w:lineRule="exact"/>
              <w:ind w:left="199"/>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3732</w:t>
            </w:r>
            <w:r>
              <w:rPr>
                <w:rFonts w:ascii="Times New Roman" w:hAnsi="Times New Roman" w:eastAsia="Times New Roman" w:cs="Times New Roman"/>
                <w:spacing w:val="-1"/>
                <w:position w:val="1"/>
                <w:sz w:val="20"/>
                <w:szCs w:val="20"/>
              </w:rPr>
              <w:t>m</w:t>
            </w:r>
            <w:r>
              <w:rPr>
                <w:rFonts w:ascii="Times New Roman" w:hAnsi="Times New Roman" w:eastAsia="Times New Roman" w:cs="Times New Roman"/>
                <w:spacing w:val="-2"/>
                <w:position w:val="7"/>
                <w:sz w:val="13"/>
                <w:szCs w:val="13"/>
              </w:rPr>
              <w:t>3</w:t>
            </w:r>
            <w:r>
              <w:rPr>
                <w:rFonts w:ascii="Times New Roman" w:hAnsi="Times New Roman" w:eastAsia="Times New Roman" w:cs="Times New Roman"/>
                <w:spacing w:val="-2"/>
                <w:position w:val="1"/>
                <w:sz w:val="20"/>
                <w:szCs w:val="20"/>
              </w:rPr>
              <w:t>/</w:t>
            </w:r>
            <w:r>
              <w:rPr>
                <w:rFonts w:ascii="Times New Roman" w:hAnsi="Times New Roman" w:eastAsia="Times New Roman" w:cs="Times New Roman"/>
                <w:spacing w:val="-1"/>
                <w:position w:val="1"/>
                <w:sz w:val="20"/>
                <w:szCs w:val="20"/>
              </w:rPr>
              <w:t>a</w:t>
            </w:r>
          </w:p>
        </w:tc>
        <w:tc>
          <w:tcPr>
            <w:tcW w:w="3534" w:type="dxa"/>
            <w:vAlign w:val="top"/>
          </w:tcPr>
          <w:p w14:paraId="0165CDFB">
            <w:pPr>
              <w:spacing w:before="65" w:line="227" w:lineRule="auto"/>
              <w:ind w:left="818"/>
              <w:rPr>
                <w:rFonts w:ascii="宋体" w:hAnsi="宋体" w:eastAsia="宋体" w:cs="宋体"/>
                <w:sz w:val="20"/>
                <w:szCs w:val="20"/>
              </w:rPr>
            </w:pPr>
            <w:r>
              <w:rPr>
                <w:rFonts w:ascii="宋体" w:hAnsi="宋体" w:eastAsia="宋体" w:cs="宋体"/>
                <w:spacing w:val="-8"/>
                <w:sz w:val="20"/>
                <w:szCs w:val="20"/>
              </w:rPr>
              <w:t>由</w:t>
            </w:r>
            <w:r>
              <w:rPr>
                <w:rFonts w:ascii="宋体" w:hAnsi="宋体" w:eastAsia="宋体" w:cs="宋体"/>
                <w:spacing w:val="-5"/>
                <w:sz w:val="20"/>
                <w:szCs w:val="20"/>
              </w:rPr>
              <w:t>当地自来水管网提供</w:t>
            </w:r>
          </w:p>
        </w:tc>
        <w:tc>
          <w:tcPr>
            <w:tcW w:w="852" w:type="dxa"/>
            <w:vAlign w:val="top"/>
          </w:tcPr>
          <w:p w14:paraId="6A6764AE">
            <w:pPr>
              <w:spacing w:before="28" w:line="281" w:lineRule="exact"/>
              <w:ind w:left="39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899" w:type="dxa"/>
            <w:tcBorders>
              <w:right w:val="nil"/>
            </w:tcBorders>
            <w:vAlign w:val="top"/>
          </w:tcPr>
          <w:p w14:paraId="12D4D09B">
            <w:pPr>
              <w:spacing w:before="28" w:line="281" w:lineRule="exact"/>
              <w:ind w:left="92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bl>
    <w:p w14:paraId="3C072930">
      <w:pPr>
        <w:spacing w:line="270" w:lineRule="auto"/>
        <w:rPr>
          <w:rFonts w:ascii="Arial"/>
          <w:sz w:val="21"/>
        </w:rPr>
      </w:pPr>
    </w:p>
    <w:p w14:paraId="4A0915DE">
      <w:pPr>
        <w:spacing w:before="75" w:line="228" w:lineRule="auto"/>
        <w:ind w:left="2614"/>
        <w:rPr>
          <w:rFonts w:ascii="宋体" w:hAnsi="宋体" w:eastAsia="宋体" w:cs="宋体"/>
          <w:sz w:val="23"/>
          <w:szCs w:val="23"/>
        </w:rPr>
      </w:pPr>
      <w:r>
        <w:rPr>
          <w:rFonts w:ascii="宋体" w:hAnsi="宋体" w:eastAsia="宋体" w:cs="宋体"/>
          <w:spacing w:val="4"/>
          <w:sz w:val="23"/>
          <w:szCs w:val="23"/>
          <w14:textOutline w14:w="4358" w14:cap="sq" w14:cmpd="sng">
            <w14:solidFill>
              <w14:srgbClr w14:val="000000"/>
            </w14:solidFill>
            <w14:prstDash w14:val="solid"/>
            <w14:bevel/>
          </w14:textOutline>
        </w:rPr>
        <w:t>表</w:t>
      </w:r>
      <w:r>
        <w:rPr>
          <w:rFonts w:ascii="宋体" w:hAnsi="宋体" w:eastAsia="宋体" w:cs="宋体"/>
          <w:spacing w:val="4"/>
          <w:sz w:val="23"/>
          <w:szCs w:val="23"/>
        </w:rPr>
        <w:t xml:space="preserve"> </w:t>
      </w:r>
      <w:r>
        <w:rPr>
          <w:rFonts w:ascii="Times New Roman" w:hAnsi="Times New Roman" w:eastAsia="Times New Roman" w:cs="Times New Roman"/>
          <w:b/>
          <w:bCs/>
          <w:spacing w:val="4"/>
          <w:sz w:val="23"/>
          <w:szCs w:val="23"/>
        </w:rPr>
        <w:t>3-6</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原料理化性质情况</w:t>
      </w:r>
      <w:r>
        <w:rPr>
          <w:rFonts w:ascii="宋体" w:hAnsi="宋体" w:eastAsia="宋体" w:cs="宋体"/>
          <w:spacing w:val="2"/>
          <w:sz w:val="23"/>
          <w:szCs w:val="23"/>
          <w14:textOutline w14:w="4358" w14:cap="sq" w14:cmpd="sng">
            <w14:solidFill>
              <w14:srgbClr w14:val="000000"/>
            </w14:solidFill>
            <w14:prstDash w14:val="solid"/>
            <w14:bevel/>
          </w14:textOutline>
        </w:rPr>
        <w:t>表</w:t>
      </w:r>
    </w:p>
    <w:p w14:paraId="0DAD5D03">
      <w:pPr>
        <w:spacing w:line="17" w:lineRule="exact"/>
      </w:pPr>
    </w:p>
    <w:tbl>
      <w:tblPr>
        <w:tblStyle w:val="4"/>
        <w:tblW w:w="852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1"/>
        <w:gridCol w:w="4711"/>
        <w:gridCol w:w="1716"/>
        <w:gridCol w:w="1113"/>
      </w:tblGrid>
      <w:tr w14:paraId="03B090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81" w:type="dxa"/>
            <w:tcBorders>
              <w:left w:val="nil"/>
            </w:tcBorders>
            <w:vAlign w:val="top"/>
          </w:tcPr>
          <w:p w14:paraId="4FF86584">
            <w:pPr>
              <w:spacing w:before="85" w:line="230" w:lineRule="auto"/>
              <w:ind w:left="303"/>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名称</w:t>
            </w:r>
          </w:p>
        </w:tc>
        <w:tc>
          <w:tcPr>
            <w:tcW w:w="4711" w:type="dxa"/>
            <w:vAlign w:val="top"/>
          </w:tcPr>
          <w:p w14:paraId="4058E823">
            <w:pPr>
              <w:spacing w:before="84" w:line="228" w:lineRule="auto"/>
              <w:ind w:left="1969"/>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理化</w:t>
            </w:r>
            <w:r>
              <w:rPr>
                <w:rFonts w:ascii="宋体" w:hAnsi="宋体" w:eastAsia="宋体" w:cs="宋体"/>
                <w:spacing w:val="-1"/>
                <w:sz w:val="20"/>
                <w:szCs w:val="20"/>
                <w14:textOutline w14:w="3795" w14:cap="sq" w14:cmpd="sng">
                  <w14:solidFill>
                    <w14:srgbClr w14:val="000000"/>
                  </w14:solidFill>
                  <w14:prstDash w14:val="solid"/>
                  <w14:bevel/>
                </w14:textOutline>
              </w:rPr>
              <w:t>特性</w:t>
            </w:r>
          </w:p>
        </w:tc>
        <w:tc>
          <w:tcPr>
            <w:tcW w:w="1716" w:type="dxa"/>
            <w:vAlign w:val="top"/>
          </w:tcPr>
          <w:p w14:paraId="41C98F60">
            <w:pPr>
              <w:spacing w:before="85" w:line="226" w:lineRule="auto"/>
              <w:ind w:left="372"/>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燃烧爆</w:t>
            </w:r>
            <w:r>
              <w:rPr>
                <w:rFonts w:ascii="宋体" w:hAnsi="宋体" w:eastAsia="宋体" w:cs="宋体"/>
                <w:spacing w:val="-1"/>
                <w:sz w:val="20"/>
                <w:szCs w:val="20"/>
                <w14:textOutline w14:w="3795" w14:cap="sq" w14:cmpd="sng">
                  <w14:solidFill>
                    <w14:srgbClr w14:val="000000"/>
                  </w14:solidFill>
                  <w14:prstDash w14:val="solid"/>
                  <w14:bevel/>
                </w14:textOutline>
              </w:rPr>
              <w:t>炸性</w:t>
            </w:r>
          </w:p>
        </w:tc>
        <w:tc>
          <w:tcPr>
            <w:tcW w:w="1113" w:type="dxa"/>
            <w:tcBorders>
              <w:right w:val="nil"/>
            </w:tcBorders>
            <w:vAlign w:val="top"/>
          </w:tcPr>
          <w:p w14:paraId="40CCB41C">
            <w:pPr>
              <w:spacing w:before="84" w:line="228" w:lineRule="auto"/>
              <w:ind w:left="171"/>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毒</w:t>
            </w:r>
            <w:r>
              <w:rPr>
                <w:rFonts w:ascii="宋体" w:hAnsi="宋体" w:eastAsia="宋体" w:cs="宋体"/>
                <w:spacing w:val="-1"/>
                <w:sz w:val="20"/>
                <w:szCs w:val="20"/>
                <w14:textOutline w14:w="3795" w14:cap="sq" w14:cmpd="sng">
                  <w14:solidFill>
                    <w14:srgbClr w14:val="000000"/>
                  </w14:solidFill>
                  <w14:prstDash w14:val="solid"/>
                  <w14:bevel/>
                </w14:textOutline>
              </w:rPr>
              <w:t>性毒理</w:t>
            </w:r>
          </w:p>
        </w:tc>
      </w:tr>
      <w:tr w14:paraId="1026BF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8" w:hRule="atLeast"/>
        </w:trPr>
        <w:tc>
          <w:tcPr>
            <w:tcW w:w="981" w:type="dxa"/>
            <w:tcBorders>
              <w:left w:val="nil"/>
            </w:tcBorders>
            <w:vAlign w:val="top"/>
          </w:tcPr>
          <w:p w14:paraId="17A0C2E0">
            <w:pPr>
              <w:spacing w:line="328" w:lineRule="auto"/>
              <w:rPr>
                <w:rFonts w:ascii="Arial"/>
                <w:sz w:val="21"/>
              </w:rPr>
            </w:pPr>
          </w:p>
          <w:p w14:paraId="6BDD350D">
            <w:pPr>
              <w:spacing w:line="328" w:lineRule="auto"/>
              <w:rPr>
                <w:rFonts w:ascii="Arial"/>
                <w:sz w:val="21"/>
              </w:rPr>
            </w:pPr>
          </w:p>
          <w:p w14:paraId="22E25D79">
            <w:pPr>
              <w:spacing w:before="65" w:line="228" w:lineRule="auto"/>
              <w:ind w:left="213"/>
              <w:rPr>
                <w:rFonts w:ascii="宋体" w:hAnsi="宋体" w:eastAsia="宋体" w:cs="宋体"/>
                <w:sz w:val="20"/>
                <w:szCs w:val="20"/>
              </w:rPr>
            </w:pPr>
            <w:r>
              <w:rPr>
                <w:rFonts w:ascii="宋体" w:hAnsi="宋体" w:eastAsia="宋体" w:cs="宋体"/>
                <w:spacing w:val="-5"/>
                <w:sz w:val="20"/>
                <w:szCs w:val="20"/>
              </w:rPr>
              <w:t>聚</w:t>
            </w:r>
            <w:r>
              <w:rPr>
                <w:rFonts w:ascii="宋体" w:hAnsi="宋体" w:eastAsia="宋体" w:cs="宋体"/>
                <w:spacing w:val="-3"/>
                <w:sz w:val="20"/>
                <w:szCs w:val="20"/>
              </w:rPr>
              <w:t>乙烯</w:t>
            </w:r>
          </w:p>
        </w:tc>
        <w:tc>
          <w:tcPr>
            <w:tcW w:w="4711" w:type="dxa"/>
            <w:vAlign w:val="top"/>
          </w:tcPr>
          <w:p w14:paraId="7D1A695B">
            <w:pPr>
              <w:spacing w:before="25" w:line="309" w:lineRule="auto"/>
              <w:ind w:left="38" w:firstLine="26"/>
              <w:rPr>
                <w:rFonts w:ascii="宋体" w:hAnsi="宋体" w:eastAsia="宋体" w:cs="宋体"/>
                <w:sz w:val="20"/>
                <w:szCs w:val="20"/>
              </w:rPr>
            </w:pPr>
            <w:r>
              <w:rPr>
                <w:rFonts w:ascii="宋体" w:hAnsi="宋体" w:eastAsia="宋体" w:cs="宋体"/>
                <w:spacing w:val="-12"/>
                <w:sz w:val="20"/>
                <w:szCs w:val="20"/>
              </w:rPr>
              <w:t>比重</w:t>
            </w:r>
            <w:r>
              <w:rPr>
                <w:rFonts w:ascii="宋体" w:hAnsi="宋体" w:eastAsia="宋体" w:cs="宋体"/>
                <w:spacing w:val="-6"/>
                <w:sz w:val="20"/>
                <w:szCs w:val="20"/>
              </w:rPr>
              <w:t xml:space="preserve">约 </w:t>
            </w:r>
            <w:r>
              <w:rPr>
                <w:rFonts w:ascii="Times New Roman" w:hAnsi="Times New Roman" w:eastAsia="Times New Roman" w:cs="Times New Roman"/>
                <w:spacing w:val="-6"/>
                <w:sz w:val="20"/>
                <w:szCs w:val="20"/>
              </w:rPr>
              <w:t>0.94~0.96g/cm</w:t>
            </w:r>
            <w:r>
              <w:rPr>
                <w:rFonts w:ascii="Times New Roman" w:hAnsi="Times New Roman" w:eastAsia="Times New Roman" w:cs="Times New Roman"/>
                <w:spacing w:val="-6"/>
                <w:position w:val="6"/>
                <w:sz w:val="13"/>
                <w:szCs w:val="13"/>
              </w:rPr>
              <w:t xml:space="preserve">3 </w:t>
            </w:r>
            <w:r>
              <w:rPr>
                <w:rFonts w:ascii="宋体" w:hAnsi="宋体" w:eastAsia="宋体" w:cs="宋体"/>
                <w:spacing w:val="-6"/>
                <w:sz w:val="20"/>
                <w:szCs w:val="20"/>
              </w:rPr>
              <w:t xml:space="preserve">，成型收缩率 </w:t>
            </w:r>
            <w:r>
              <w:rPr>
                <w:rFonts w:ascii="Times New Roman" w:hAnsi="Times New Roman" w:eastAsia="Times New Roman" w:cs="Times New Roman"/>
                <w:spacing w:val="-6"/>
                <w:sz w:val="20"/>
                <w:szCs w:val="20"/>
              </w:rPr>
              <w:t>1.5~3.6%</w:t>
            </w:r>
            <w:r>
              <w:rPr>
                <w:rFonts w:ascii="宋体" w:hAnsi="宋体" w:eastAsia="宋体" w:cs="宋体"/>
                <w:spacing w:val="-6"/>
                <w:sz w:val="20"/>
                <w:szCs w:val="20"/>
              </w:rPr>
              <w:t>，成型温</w:t>
            </w:r>
            <w:r>
              <w:rPr>
                <w:rFonts w:ascii="宋体" w:hAnsi="宋体" w:eastAsia="宋体" w:cs="宋体"/>
                <w:sz w:val="20"/>
                <w:szCs w:val="20"/>
              </w:rPr>
              <w:t xml:space="preserve"> </w:t>
            </w:r>
            <w:r>
              <w:rPr>
                <w:rFonts w:ascii="宋体" w:hAnsi="宋体" w:eastAsia="宋体" w:cs="宋体"/>
                <w:spacing w:val="-10"/>
                <w:sz w:val="20"/>
                <w:szCs w:val="20"/>
              </w:rPr>
              <w:t xml:space="preserve">度 </w:t>
            </w:r>
            <w:r>
              <w:rPr>
                <w:rFonts w:ascii="Times New Roman" w:hAnsi="Times New Roman" w:eastAsia="Times New Roman" w:cs="Times New Roman"/>
                <w:spacing w:val="-6"/>
                <w:sz w:val="20"/>
                <w:szCs w:val="20"/>
              </w:rPr>
              <w:t>1</w:t>
            </w:r>
            <w:r>
              <w:rPr>
                <w:rFonts w:ascii="Times New Roman" w:hAnsi="Times New Roman" w:eastAsia="Times New Roman" w:cs="Times New Roman"/>
                <w:spacing w:val="-5"/>
                <w:sz w:val="20"/>
                <w:szCs w:val="20"/>
              </w:rPr>
              <w:t xml:space="preserve">40~220℃ </w:t>
            </w:r>
            <w:r>
              <w:rPr>
                <w:rFonts w:ascii="宋体" w:hAnsi="宋体" w:eastAsia="宋体" w:cs="宋体"/>
                <w:spacing w:val="-5"/>
                <w:sz w:val="20"/>
                <w:szCs w:val="20"/>
              </w:rPr>
              <w:t>，分解温度</w:t>
            </w:r>
            <w:r>
              <w:rPr>
                <w:rFonts w:ascii="Times New Roman" w:hAnsi="Times New Roman" w:eastAsia="Times New Roman" w:cs="Times New Roman"/>
                <w:spacing w:val="-5"/>
                <w:sz w:val="20"/>
                <w:szCs w:val="20"/>
              </w:rPr>
              <w:t xml:space="preserve">&gt;320℃ </w:t>
            </w:r>
            <w:r>
              <w:rPr>
                <w:rFonts w:ascii="宋体" w:hAnsi="宋体" w:eastAsia="宋体" w:cs="宋体"/>
                <w:spacing w:val="-5"/>
                <w:sz w:val="20"/>
                <w:szCs w:val="20"/>
              </w:rPr>
              <w:t>。</w:t>
            </w:r>
            <w:r>
              <w:rPr>
                <w:rFonts w:ascii="Times New Roman" w:hAnsi="Times New Roman" w:eastAsia="Times New Roman" w:cs="Times New Roman"/>
                <w:spacing w:val="-5"/>
                <w:sz w:val="20"/>
                <w:szCs w:val="20"/>
              </w:rPr>
              <w:t xml:space="preserve">PE </w:t>
            </w:r>
            <w:r>
              <w:rPr>
                <w:rFonts w:ascii="宋体" w:hAnsi="宋体" w:eastAsia="宋体" w:cs="宋体"/>
                <w:spacing w:val="-5"/>
                <w:sz w:val="20"/>
                <w:szCs w:val="20"/>
              </w:rPr>
              <w:t>塑料加工温度范</w:t>
            </w:r>
            <w:r>
              <w:rPr>
                <w:rFonts w:ascii="宋体" w:hAnsi="宋体" w:eastAsia="宋体" w:cs="宋体"/>
                <w:sz w:val="20"/>
                <w:szCs w:val="20"/>
              </w:rPr>
              <w:t xml:space="preserve"> </w:t>
            </w:r>
            <w:r>
              <w:rPr>
                <w:rFonts w:ascii="宋体" w:hAnsi="宋体" w:eastAsia="宋体" w:cs="宋体"/>
                <w:spacing w:val="-2"/>
                <w:sz w:val="20"/>
                <w:szCs w:val="20"/>
              </w:rPr>
              <w:t>围很宽，不易分解，热解过程 (</w:t>
            </w:r>
            <w:r>
              <w:rPr>
                <w:rFonts w:ascii="Times New Roman" w:hAnsi="Times New Roman" w:eastAsia="Times New Roman" w:cs="Times New Roman"/>
                <w:spacing w:val="-2"/>
                <w:sz w:val="20"/>
                <w:szCs w:val="20"/>
              </w:rPr>
              <w:t>160~210℃</w:t>
            </w:r>
            <w:r>
              <w:rPr>
                <w:rFonts w:ascii="宋体" w:hAnsi="宋体" w:eastAsia="宋体" w:cs="宋体"/>
                <w:spacing w:val="-2"/>
                <w:sz w:val="20"/>
                <w:szCs w:val="20"/>
              </w:rPr>
              <w:t>) ，由</w:t>
            </w:r>
            <w:r>
              <w:rPr>
                <w:rFonts w:ascii="宋体" w:hAnsi="宋体" w:eastAsia="宋体" w:cs="宋体"/>
                <w:spacing w:val="-1"/>
                <w:sz w:val="20"/>
                <w:szCs w:val="20"/>
              </w:rPr>
              <w:t>于</w:t>
            </w:r>
            <w:r>
              <w:rPr>
                <w:rFonts w:ascii="宋体" w:hAnsi="宋体" w:eastAsia="宋体" w:cs="宋体"/>
                <w:sz w:val="20"/>
                <w:szCs w:val="20"/>
              </w:rPr>
              <w:t xml:space="preserve">分 </w:t>
            </w:r>
            <w:r>
              <w:rPr>
                <w:rFonts w:ascii="宋体" w:hAnsi="宋体" w:eastAsia="宋体" w:cs="宋体"/>
                <w:spacing w:val="-10"/>
                <w:sz w:val="20"/>
                <w:szCs w:val="20"/>
              </w:rPr>
              <w:t>子间</w:t>
            </w:r>
            <w:r>
              <w:rPr>
                <w:rFonts w:ascii="宋体" w:hAnsi="宋体" w:eastAsia="宋体" w:cs="宋体"/>
                <w:spacing w:val="-8"/>
                <w:sz w:val="20"/>
                <w:szCs w:val="20"/>
              </w:rPr>
              <w:t>的</w:t>
            </w:r>
            <w:r>
              <w:rPr>
                <w:rFonts w:ascii="宋体" w:hAnsi="宋体" w:eastAsia="宋体" w:cs="宋体"/>
                <w:spacing w:val="-5"/>
                <w:sz w:val="20"/>
                <w:szCs w:val="20"/>
              </w:rPr>
              <w:t>剪切挤压下发生断链、分解、降解过程中产生游</w:t>
            </w:r>
          </w:p>
          <w:p w14:paraId="0545DB8E">
            <w:pPr>
              <w:spacing w:before="29" w:line="228" w:lineRule="auto"/>
              <w:ind w:left="895"/>
              <w:rPr>
                <w:rFonts w:ascii="宋体" w:hAnsi="宋体" w:eastAsia="宋体" w:cs="宋体"/>
                <w:sz w:val="20"/>
                <w:szCs w:val="20"/>
              </w:rPr>
            </w:pPr>
            <w:r>
              <w:rPr>
                <w:rFonts w:ascii="宋体" w:hAnsi="宋体" w:eastAsia="宋体" w:cs="宋体"/>
                <w:spacing w:val="-3"/>
                <w:sz w:val="20"/>
                <w:szCs w:val="20"/>
              </w:rPr>
              <w:t>离单体废气，主要为非甲烷总烃。</w:t>
            </w:r>
          </w:p>
        </w:tc>
        <w:tc>
          <w:tcPr>
            <w:tcW w:w="1716" w:type="dxa"/>
            <w:vAlign w:val="top"/>
          </w:tcPr>
          <w:p w14:paraId="4EF3C536">
            <w:pPr>
              <w:spacing w:line="328" w:lineRule="auto"/>
              <w:rPr>
                <w:rFonts w:ascii="Arial"/>
                <w:sz w:val="21"/>
              </w:rPr>
            </w:pPr>
          </w:p>
          <w:p w14:paraId="295A804F">
            <w:pPr>
              <w:spacing w:line="328" w:lineRule="auto"/>
              <w:rPr>
                <w:rFonts w:ascii="Arial"/>
                <w:sz w:val="21"/>
              </w:rPr>
            </w:pPr>
          </w:p>
          <w:p w14:paraId="024B9D11">
            <w:pPr>
              <w:spacing w:before="65" w:line="228" w:lineRule="auto"/>
              <w:ind w:left="79"/>
              <w:rPr>
                <w:rFonts w:ascii="宋体" w:hAnsi="宋体" w:eastAsia="宋体" w:cs="宋体"/>
                <w:sz w:val="20"/>
                <w:szCs w:val="20"/>
              </w:rPr>
            </w:pPr>
            <w:r>
              <w:rPr>
                <w:rFonts w:ascii="宋体" w:hAnsi="宋体" w:eastAsia="宋体" w:cs="宋体"/>
                <w:spacing w:val="-4"/>
                <w:sz w:val="20"/>
                <w:szCs w:val="20"/>
              </w:rPr>
              <w:t>遇</w:t>
            </w:r>
            <w:r>
              <w:rPr>
                <w:rFonts w:ascii="宋体" w:hAnsi="宋体" w:eastAsia="宋体" w:cs="宋体"/>
                <w:spacing w:val="-2"/>
                <w:sz w:val="20"/>
                <w:szCs w:val="20"/>
              </w:rPr>
              <w:t>高温、明火可燃</w:t>
            </w:r>
          </w:p>
        </w:tc>
        <w:tc>
          <w:tcPr>
            <w:tcW w:w="1113" w:type="dxa"/>
            <w:tcBorders>
              <w:right w:val="nil"/>
            </w:tcBorders>
            <w:vAlign w:val="top"/>
          </w:tcPr>
          <w:p w14:paraId="2EE99FEB">
            <w:pPr>
              <w:spacing w:line="328" w:lineRule="auto"/>
              <w:rPr>
                <w:rFonts w:ascii="Arial"/>
                <w:sz w:val="21"/>
              </w:rPr>
            </w:pPr>
          </w:p>
          <w:p w14:paraId="6495042B">
            <w:pPr>
              <w:spacing w:line="328" w:lineRule="auto"/>
              <w:rPr>
                <w:rFonts w:ascii="Arial"/>
                <w:sz w:val="21"/>
              </w:rPr>
            </w:pPr>
          </w:p>
          <w:p w14:paraId="7DE7766D">
            <w:pPr>
              <w:spacing w:before="65" w:line="228" w:lineRule="auto"/>
              <w:ind w:left="171"/>
              <w:rPr>
                <w:rFonts w:ascii="宋体" w:hAnsi="宋体" w:eastAsia="宋体" w:cs="宋体"/>
                <w:sz w:val="20"/>
                <w:szCs w:val="20"/>
              </w:rPr>
            </w:pPr>
            <w:r>
              <w:rPr>
                <w:rFonts w:ascii="宋体" w:hAnsi="宋体" w:eastAsia="宋体" w:cs="宋体"/>
                <w:spacing w:val="-2"/>
                <w:sz w:val="20"/>
                <w:szCs w:val="20"/>
              </w:rPr>
              <w:t>无臭无毒</w:t>
            </w:r>
          </w:p>
        </w:tc>
      </w:tr>
      <w:tr w14:paraId="6EC64D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6" w:hRule="atLeast"/>
        </w:trPr>
        <w:tc>
          <w:tcPr>
            <w:tcW w:w="981" w:type="dxa"/>
            <w:tcBorders>
              <w:left w:val="nil"/>
            </w:tcBorders>
            <w:vAlign w:val="top"/>
          </w:tcPr>
          <w:p w14:paraId="330740BC">
            <w:pPr>
              <w:spacing w:line="247" w:lineRule="auto"/>
              <w:rPr>
                <w:rFonts w:ascii="Arial"/>
                <w:sz w:val="21"/>
              </w:rPr>
            </w:pPr>
          </w:p>
          <w:p w14:paraId="12DC2F54">
            <w:pPr>
              <w:spacing w:line="247" w:lineRule="auto"/>
              <w:rPr>
                <w:rFonts w:ascii="Arial"/>
                <w:sz w:val="21"/>
              </w:rPr>
            </w:pPr>
          </w:p>
          <w:p w14:paraId="128C6798">
            <w:pPr>
              <w:spacing w:before="65" w:line="228" w:lineRule="auto"/>
              <w:ind w:left="213"/>
              <w:rPr>
                <w:rFonts w:ascii="宋体" w:hAnsi="宋体" w:eastAsia="宋体" w:cs="宋体"/>
                <w:sz w:val="20"/>
                <w:szCs w:val="20"/>
              </w:rPr>
            </w:pPr>
            <w:r>
              <w:rPr>
                <w:rFonts w:ascii="宋体" w:hAnsi="宋体" w:eastAsia="宋体" w:cs="宋体"/>
                <w:spacing w:val="-5"/>
                <w:sz w:val="20"/>
                <w:szCs w:val="20"/>
              </w:rPr>
              <w:t>聚</w:t>
            </w:r>
            <w:r>
              <w:rPr>
                <w:rFonts w:ascii="宋体" w:hAnsi="宋体" w:eastAsia="宋体" w:cs="宋体"/>
                <w:spacing w:val="-3"/>
                <w:sz w:val="20"/>
                <w:szCs w:val="20"/>
              </w:rPr>
              <w:t>丙烯</w:t>
            </w:r>
          </w:p>
        </w:tc>
        <w:tc>
          <w:tcPr>
            <w:tcW w:w="4711" w:type="dxa"/>
            <w:vAlign w:val="top"/>
          </w:tcPr>
          <w:p w14:paraId="069E228B">
            <w:pPr>
              <w:spacing w:before="26" w:line="296" w:lineRule="auto"/>
              <w:ind w:left="32" w:firstLine="17"/>
              <w:rPr>
                <w:rFonts w:ascii="宋体" w:hAnsi="宋体" w:eastAsia="宋体" w:cs="宋体"/>
                <w:sz w:val="20"/>
                <w:szCs w:val="20"/>
              </w:rPr>
            </w:pPr>
            <w:r>
              <w:rPr>
                <w:rFonts w:ascii="宋体" w:hAnsi="宋体" w:eastAsia="宋体" w:cs="宋体"/>
                <w:spacing w:val="-12"/>
                <w:sz w:val="20"/>
                <w:szCs w:val="20"/>
              </w:rPr>
              <w:t>比</w:t>
            </w:r>
            <w:r>
              <w:rPr>
                <w:rFonts w:ascii="宋体" w:hAnsi="宋体" w:eastAsia="宋体" w:cs="宋体"/>
                <w:spacing w:val="-10"/>
                <w:sz w:val="20"/>
                <w:szCs w:val="20"/>
              </w:rPr>
              <w:t>重</w:t>
            </w:r>
            <w:r>
              <w:rPr>
                <w:rFonts w:ascii="宋体" w:hAnsi="宋体" w:eastAsia="宋体" w:cs="宋体"/>
                <w:spacing w:val="-6"/>
                <w:sz w:val="20"/>
                <w:szCs w:val="20"/>
              </w:rPr>
              <w:t xml:space="preserve">约 </w:t>
            </w:r>
            <w:r>
              <w:rPr>
                <w:rFonts w:ascii="Times New Roman" w:hAnsi="Times New Roman" w:eastAsia="Times New Roman" w:cs="Times New Roman"/>
                <w:spacing w:val="-6"/>
                <w:sz w:val="20"/>
                <w:szCs w:val="20"/>
              </w:rPr>
              <w:t>0.9~0.91g/cm</w:t>
            </w:r>
            <w:r>
              <w:rPr>
                <w:rFonts w:ascii="Times New Roman" w:hAnsi="Times New Roman" w:eastAsia="Times New Roman" w:cs="Times New Roman"/>
                <w:spacing w:val="-6"/>
                <w:position w:val="6"/>
                <w:sz w:val="13"/>
                <w:szCs w:val="13"/>
              </w:rPr>
              <w:t xml:space="preserve">3 </w:t>
            </w:r>
            <w:r>
              <w:rPr>
                <w:rFonts w:ascii="宋体" w:hAnsi="宋体" w:eastAsia="宋体" w:cs="宋体"/>
                <w:spacing w:val="-6"/>
                <w:sz w:val="20"/>
                <w:szCs w:val="20"/>
              </w:rPr>
              <w:t xml:space="preserve">，成型收缩率 </w:t>
            </w:r>
            <w:r>
              <w:rPr>
                <w:rFonts w:ascii="Times New Roman" w:hAnsi="Times New Roman" w:eastAsia="Times New Roman" w:cs="Times New Roman"/>
                <w:spacing w:val="-6"/>
                <w:sz w:val="20"/>
                <w:szCs w:val="20"/>
              </w:rPr>
              <w:t>1~2.5%</w:t>
            </w:r>
            <w:r>
              <w:rPr>
                <w:rFonts w:ascii="宋体" w:hAnsi="宋体" w:eastAsia="宋体" w:cs="宋体"/>
                <w:spacing w:val="-6"/>
                <w:sz w:val="20"/>
                <w:szCs w:val="20"/>
              </w:rPr>
              <w:t>，成型温度</w:t>
            </w:r>
            <w:r>
              <w:rPr>
                <w:rFonts w:ascii="宋体" w:hAnsi="宋体" w:eastAsia="宋体" w:cs="宋体"/>
                <w:sz w:val="20"/>
                <w:szCs w:val="20"/>
              </w:rPr>
              <w:t xml:space="preserve"> </w:t>
            </w:r>
            <w:r>
              <w:rPr>
                <w:rFonts w:ascii="Times New Roman" w:hAnsi="Times New Roman" w:eastAsia="Times New Roman" w:cs="Times New Roman"/>
                <w:spacing w:val="-14"/>
                <w:sz w:val="20"/>
                <w:szCs w:val="20"/>
              </w:rPr>
              <w:t>1</w:t>
            </w:r>
            <w:r>
              <w:rPr>
                <w:rFonts w:ascii="Times New Roman" w:hAnsi="Times New Roman" w:eastAsia="Times New Roman" w:cs="Times New Roman"/>
                <w:spacing w:val="-10"/>
                <w:sz w:val="20"/>
                <w:szCs w:val="20"/>
              </w:rPr>
              <w:t>6</w:t>
            </w:r>
            <w:r>
              <w:rPr>
                <w:rFonts w:ascii="Times New Roman" w:hAnsi="Times New Roman" w:eastAsia="Times New Roman" w:cs="Times New Roman"/>
                <w:spacing w:val="-7"/>
                <w:sz w:val="20"/>
                <w:szCs w:val="20"/>
              </w:rPr>
              <w:t xml:space="preserve">4~170℃ </w:t>
            </w:r>
            <w:r>
              <w:rPr>
                <w:rFonts w:ascii="宋体" w:hAnsi="宋体" w:eastAsia="宋体" w:cs="宋体"/>
                <w:spacing w:val="-7"/>
                <w:sz w:val="20"/>
                <w:szCs w:val="20"/>
              </w:rPr>
              <w:t>，成型性好，但因收缩率大</w:t>
            </w:r>
            <w:r>
              <w:rPr>
                <w:rFonts w:ascii="Times New Roman" w:hAnsi="Times New Roman" w:eastAsia="Times New Roman" w:cs="Times New Roman"/>
                <w:spacing w:val="-7"/>
                <w:sz w:val="20"/>
                <w:szCs w:val="20"/>
              </w:rPr>
              <w:t>(</w:t>
            </w:r>
            <w:r>
              <w:rPr>
                <w:rFonts w:ascii="宋体" w:hAnsi="宋体" w:eastAsia="宋体" w:cs="宋体"/>
                <w:spacing w:val="-7"/>
                <w:sz w:val="20"/>
                <w:szCs w:val="20"/>
              </w:rPr>
              <w:t xml:space="preserve">为 </w:t>
            </w:r>
            <w:r>
              <w:rPr>
                <w:rFonts w:ascii="Times New Roman" w:hAnsi="Times New Roman" w:eastAsia="Times New Roman" w:cs="Times New Roman"/>
                <w:spacing w:val="-7"/>
                <w:sz w:val="20"/>
                <w:szCs w:val="20"/>
              </w:rPr>
              <w:t>1%~2.5%</w:t>
            </w:r>
            <w:r>
              <w:rPr>
                <w:rFonts w:ascii="宋体" w:hAnsi="宋体" w:eastAsia="宋体" w:cs="宋体"/>
                <w:spacing w:val="-7"/>
                <w:sz w:val="20"/>
                <w:szCs w:val="20"/>
              </w:rPr>
              <w:t>) 。</w:t>
            </w:r>
            <w:r>
              <w:rPr>
                <w:rFonts w:ascii="宋体" w:hAnsi="宋体" w:eastAsia="宋体" w:cs="宋体"/>
                <w:sz w:val="20"/>
                <w:szCs w:val="20"/>
              </w:rPr>
              <w:t xml:space="preserve"> </w:t>
            </w:r>
            <w:r>
              <w:rPr>
                <w:rFonts w:ascii="宋体" w:hAnsi="宋体" w:eastAsia="宋体" w:cs="宋体"/>
                <w:spacing w:val="-14"/>
                <w:sz w:val="20"/>
                <w:szCs w:val="20"/>
              </w:rPr>
              <w:t>厚</w:t>
            </w:r>
            <w:r>
              <w:rPr>
                <w:rFonts w:ascii="宋体" w:hAnsi="宋体" w:eastAsia="宋体" w:cs="宋体"/>
                <w:spacing w:val="-13"/>
                <w:sz w:val="20"/>
                <w:szCs w:val="20"/>
              </w:rPr>
              <w:t>壁</w:t>
            </w:r>
            <w:r>
              <w:rPr>
                <w:rFonts w:ascii="宋体" w:hAnsi="宋体" w:eastAsia="宋体" w:cs="宋体"/>
                <w:spacing w:val="-7"/>
                <w:sz w:val="20"/>
                <w:szCs w:val="20"/>
              </w:rPr>
              <w:t>制品易凹陷，对一些尺寸精度较高零件，很难于达</w:t>
            </w:r>
            <w:r>
              <w:rPr>
                <w:rFonts w:ascii="宋体" w:hAnsi="宋体" w:eastAsia="宋体" w:cs="宋体"/>
                <w:sz w:val="20"/>
                <w:szCs w:val="20"/>
              </w:rPr>
              <w:t xml:space="preserve"> </w:t>
            </w:r>
            <w:r>
              <w:rPr>
                <w:rFonts w:ascii="宋体" w:hAnsi="宋体" w:eastAsia="宋体" w:cs="宋体"/>
                <w:spacing w:val="-10"/>
                <w:sz w:val="20"/>
                <w:szCs w:val="20"/>
              </w:rPr>
              <w:t>到</w:t>
            </w:r>
            <w:r>
              <w:rPr>
                <w:rFonts w:ascii="宋体" w:hAnsi="宋体" w:eastAsia="宋体" w:cs="宋体"/>
                <w:spacing w:val="-6"/>
                <w:sz w:val="20"/>
                <w:szCs w:val="20"/>
              </w:rPr>
              <w:t>要</w:t>
            </w:r>
            <w:r>
              <w:rPr>
                <w:rFonts w:ascii="宋体" w:hAnsi="宋体" w:eastAsia="宋体" w:cs="宋体"/>
                <w:spacing w:val="-5"/>
                <w:sz w:val="20"/>
                <w:szCs w:val="20"/>
              </w:rPr>
              <w:t>求，制品表面光泽好。</w:t>
            </w:r>
          </w:p>
        </w:tc>
        <w:tc>
          <w:tcPr>
            <w:tcW w:w="1716" w:type="dxa"/>
            <w:vAlign w:val="top"/>
          </w:tcPr>
          <w:p w14:paraId="3D77E02E">
            <w:pPr>
              <w:spacing w:line="247" w:lineRule="auto"/>
              <w:rPr>
                <w:rFonts w:ascii="Arial"/>
                <w:sz w:val="21"/>
              </w:rPr>
            </w:pPr>
          </w:p>
          <w:p w14:paraId="08B9149E">
            <w:pPr>
              <w:spacing w:line="247" w:lineRule="auto"/>
              <w:rPr>
                <w:rFonts w:ascii="Arial"/>
                <w:sz w:val="21"/>
              </w:rPr>
            </w:pPr>
          </w:p>
          <w:p w14:paraId="681D4F40">
            <w:pPr>
              <w:spacing w:before="65" w:line="228" w:lineRule="auto"/>
              <w:ind w:left="79"/>
              <w:rPr>
                <w:rFonts w:ascii="宋体" w:hAnsi="宋体" w:eastAsia="宋体" w:cs="宋体"/>
                <w:sz w:val="20"/>
                <w:szCs w:val="20"/>
              </w:rPr>
            </w:pPr>
            <w:r>
              <w:rPr>
                <w:rFonts w:ascii="宋体" w:hAnsi="宋体" w:eastAsia="宋体" w:cs="宋体"/>
                <w:spacing w:val="-4"/>
                <w:sz w:val="20"/>
                <w:szCs w:val="20"/>
              </w:rPr>
              <w:t>遇</w:t>
            </w:r>
            <w:r>
              <w:rPr>
                <w:rFonts w:ascii="宋体" w:hAnsi="宋体" w:eastAsia="宋体" w:cs="宋体"/>
                <w:spacing w:val="-2"/>
                <w:sz w:val="20"/>
                <w:szCs w:val="20"/>
              </w:rPr>
              <w:t>高温、明火可燃</w:t>
            </w:r>
          </w:p>
        </w:tc>
        <w:tc>
          <w:tcPr>
            <w:tcW w:w="1113" w:type="dxa"/>
            <w:tcBorders>
              <w:right w:val="nil"/>
            </w:tcBorders>
            <w:vAlign w:val="top"/>
          </w:tcPr>
          <w:p w14:paraId="36EE2CCB">
            <w:pPr>
              <w:spacing w:line="247" w:lineRule="auto"/>
              <w:rPr>
                <w:rFonts w:ascii="Arial"/>
                <w:sz w:val="21"/>
              </w:rPr>
            </w:pPr>
          </w:p>
          <w:p w14:paraId="4379432B">
            <w:pPr>
              <w:spacing w:line="247" w:lineRule="auto"/>
              <w:rPr>
                <w:rFonts w:ascii="Arial"/>
                <w:sz w:val="21"/>
              </w:rPr>
            </w:pPr>
          </w:p>
          <w:p w14:paraId="4ECD48FA">
            <w:pPr>
              <w:spacing w:before="65" w:line="228" w:lineRule="auto"/>
              <w:ind w:left="171"/>
              <w:rPr>
                <w:rFonts w:ascii="宋体" w:hAnsi="宋体" w:eastAsia="宋体" w:cs="宋体"/>
                <w:sz w:val="20"/>
                <w:szCs w:val="20"/>
              </w:rPr>
            </w:pPr>
            <w:r>
              <w:rPr>
                <w:rFonts w:ascii="宋体" w:hAnsi="宋体" w:eastAsia="宋体" w:cs="宋体"/>
                <w:spacing w:val="-2"/>
                <w:sz w:val="20"/>
                <w:szCs w:val="20"/>
              </w:rPr>
              <w:t>无臭无毒</w:t>
            </w:r>
          </w:p>
        </w:tc>
      </w:tr>
      <w:tr w14:paraId="4E7258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9" w:hRule="atLeast"/>
        </w:trPr>
        <w:tc>
          <w:tcPr>
            <w:tcW w:w="981" w:type="dxa"/>
            <w:tcBorders>
              <w:left w:val="nil"/>
            </w:tcBorders>
            <w:vAlign w:val="top"/>
          </w:tcPr>
          <w:p w14:paraId="4716FAF8">
            <w:pPr>
              <w:spacing w:line="247" w:lineRule="auto"/>
              <w:rPr>
                <w:rFonts w:ascii="Arial"/>
                <w:sz w:val="21"/>
              </w:rPr>
            </w:pPr>
          </w:p>
          <w:p w14:paraId="789020D6">
            <w:pPr>
              <w:spacing w:line="248" w:lineRule="auto"/>
              <w:rPr>
                <w:rFonts w:ascii="Arial"/>
                <w:sz w:val="21"/>
              </w:rPr>
            </w:pPr>
          </w:p>
          <w:p w14:paraId="4186F47C">
            <w:pPr>
              <w:spacing w:before="65" w:line="228" w:lineRule="auto"/>
              <w:ind w:left="302"/>
              <w:rPr>
                <w:rFonts w:ascii="宋体" w:hAnsi="宋体" w:eastAsia="宋体" w:cs="宋体"/>
                <w:sz w:val="20"/>
                <w:szCs w:val="20"/>
              </w:rPr>
            </w:pPr>
            <w:r>
              <w:rPr>
                <w:rFonts w:ascii="宋体" w:hAnsi="宋体" w:eastAsia="宋体" w:cs="宋体"/>
                <w:spacing w:val="-1"/>
                <w:sz w:val="20"/>
                <w:szCs w:val="20"/>
              </w:rPr>
              <w:t>火</w:t>
            </w:r>
            <w:r>
              <w:rPr>
                <w:rFonts w:ascii="宋体" w:hAnsi="宋体" w:eastAsia="宋体" w:cs="宋体"/>
                <w:sz w:val="20"/>
                <w:szCs w:val="20"/>
              </w:rPr>
              <w:t>碱</w:t>
            </w:r>
          </w:p>
        </w:tc>
        <w:tc>
          <w:tcPr>
            <w:tcW w:w="4711" w:type="dxa"/>
            <w:vAlign w:val="top"/>
          </w:tcPr>
          <w:p w14:paraId="4EB410BE">
            <w:pPr>
              <w:spacing w:before="4" w:line="301" w:lineRule="auto"/>
              <w:ind w:left="29" w:hanging="2"/>
              <w:rPr>
                <w:rFonts w:ascii="宋体" w:hAnsi="宋体" w:eastAsia="宋体" w:cs="宋体"/>
                <w:sz w:val="20"/>
                <w:szCs w:val="20"/>
              </w:rPr>
            </w:pPr>
            <w:r>
              <w:rPr>
                <w:rFonts w:ascii="宋体" w:hAnsi="宋体" w:eastAsia="宋体" w:cs="宋体"/>
                <w:spacing w:val="-18"/>
                <w:sz w:val="20"/>
                <w:szCs w:val="20"/>
              </w:rPr>
              <w:t>氢</w:t>
            </w:r>
            <w:r>
              <w:rPr>
                <w:rFonts w:ascii="宋体" w:hAnsi="宋体" w:eastAsia="宋体" w:cs="宋体"/>
                <w:spacing w:val="-10"/>
                <w:sz w:val="20"/>
                <w:szCs w:val="20"/>
              </w:rPr>
              <w:t>氧</w:t>
            </w:r>
            <w:r>
              <w:rPr>
                <w:rFonts w:ascii="宋体" w:hAnsi="宋体" w:eastAsia="宋体" w:cs="宋体"/>
                <w:spacing w:val="-9"/>
                <w:sz w:val="20"/>
                <w:szCs w:val="20"/>
              </w:rPr>
              <w:t>化钠，</w:t>
            </w:r>
            <w:r>
              <w:fldChar w:fldCharType="begin"/>
            </w:r>
            <w:r>
              <w:instrText xml:space="preserve"> HYPERLINK "https://baike.baidu.com/item/%E5%8C%96%E5%AD%A6%E5%BC%8F/2609855" </w:instrText>
            </w:r>
            <w:r>
              <w:fldChar w:fldCharType="separate"/>
            </w:r>
            <w:r>
              <w:rPr>
                <w:rFonts w:ascii="宋体" w:hAnsi="宋体" w:eastAsia="宋体" w:cs="宋体"/>
                <w:spacing w:val="-9"/>
                <w:sz w:val="20"/>
                <w:szCs w:val="20"/>
              </w:rPr>
              <w:t>化学式</w:t>
            </w:r>
            <w:r>
              <w:rPr>
                <w:rFonts w:ascii="宋体" w:hAnsi="宋体" w:eastAsia="宋体" w:cs="宋体"/>
                <w:spacing w:val="-9"/>
                <w:sz w:val="20"/>
                <w:szCs w:val="20"/>
              </w:rPr>
              <w:fldChar w:fldCharType="end"/>
            </w:r>
            <w:r>
              <w:rPr>
                <w:rFonts w:ascii="宋体" w:hAnsi="宋体" w:eastAsia="宋体" w:cs="宋体"/>
                <w:spacing w:val="-9"/>
                <w:sz w:val="20"/>
                <w:szCs w:val="20"/>
              </w:rPr>
              <w:t>为</w:t>
            </w:r>
            <w:r>
              <w:rPr>
                <w:rFonts w:ascii="Times New Roman" w:hAnsi="Times New Roman" w:eastAsia="Times New Roman" w:cs="Times New Roman"/>
                <w:spacing w:val="-9"/>
                <w:sz w:val="20"/>
                <w:szCs w:val="20"/>
              </w:rPr>
              <w:t>NaOH</w:t>
            </w:r>
            <w:r>
              <w:rPr>
                <w:rFonts w:ascii="宋体" w:hAnsi="宋体" w:eastAsia="宋体" w:cs="宋体"/>
                <w:spacing w:val="-9"/>
                <w:sz w:val="20"/>
                <w:szCs w:val="20"/>
              </w:rPr>
              <w:t>，俗称烧碱、火碱、苛性钠，</w:t>
            </w:r>
            <w:r>
              <w:rPr>
                <w:rFonts w:ascii="宋体" w:hAnsi="宋体" w:eastAsia="宋体" w:cs="宋体"/>
                <w:sz w:val="20"/>
                <w:szCs w:val="20"/>
              </w:rPr>
              <w:t xml:space="preserve"> </w:t>
            </w:r>
            <w:r>
              <w:rPr>
                <w:rFonts w:ascii="宋体" w:hAnsi="宋体" w:eastAsia="宋体" w:cs="宋体"/>
                <w:spacing w:val="-10"/>
                <w:sz w:val="20"/>
                <w:szCs w:val="20"/>
              </w:rPr>
              <w:t>为</w:t>
            </w:r>
            <w:r>
              <w:rPr>
                <w:rFonts w:ascii="宋体" w:hAnsi="宋体" w:eastAsia="宋体" w:cs="宋体"/>
                <w:spacing w:val="-5"/>
                <w:sz w:val="20"/>
                <w:szCs w:val="20"/>
              </w:rPr>
              <w:t>一种具有强</w:t>
            </w:r>
            <w:r>
              <w:fldChar w:fldCharType="begin"/>
            </w:r>
            <w:r>
              <w:instrText xml:space="preserve"> HYPERLINK "https://baike.baidu.com/item/%E8%85%90%E8%9A%80%E6%80%A7/770500" </w:instrText>
            </w:r>
            <w:r>
              <w:fldChar w:fldCharType="separate"/>
            </w:r>
            <w:r>
              <w:rPr>
                <w:rFonts w:ascii="宋体" w:hAnsi="宋体" w:eastAsia="宋体" w:cs="宋体"/>
                <w:spacing w:val="-5"/>
                <w:sz w:val="20"/>
                <w:szCs w:val="20"/>
              </w:rPr>
              <w:t>腐蚀性</w:t>
            </w:r>
            <w:r>
              <w:rPr>
                <w:rFonts w:ascii="宋体" w:hAnsi="宋体" w:eastAsia="宋体" w:cs="宋体"/>
                <w:spacing w:val="-5"/>
                <w:sz w:val="20"/>
                <w:szCs w:val="20"/>
              </w:rPr>
              <w:fldChar w:fldCharType="end"/>
            </w:r>
            <w:r>
              <w:rPr>
                <w:rFonts w:ascii="宋体" w:hAnsi="宋体" w:eastAsia="宋体" w:cs="宋体"/>
                <w:spacing w:val="-5"/>
                <w:sz w:val="20"/>
                <w:szCs w:val="20"/>
              </w:rPr>
              <w:t>的</w:t>
            </w:r>
            <w:r>
              <w:fldChar w:fldCharType="begin"/>
            </w:r>
            <w:r>
              <w:instrText xml:space="preserve"> HYPERLINK "https://baike.baidu.com/item/%E5%BC%BA%E7%A2%B1/9177996" </w:instrText>
            </w:r>
            <w:r>
              <w:fldChar w:fldCharType="separate"/>
            </w:r>
            <w:r>
              <w:rPr>
                <w:rFonts w:ascii="宋体" w:hAnsi="宋体" w:eastAsia="宋体" w:cs="宋体"/>
                <w:spacing w:val="-5"/>
                <w:sz w:val="20"/>
                <w:szCs w:val="20"/>
              </w:rPr>
              <w:t>强碱</w:t>
            </w:r>
            <w:r>
              <w:rPr>
                <w:rFonts w:ascii="宋体" w:hAnsi="宋体" w:eastAsia="宋体" w:cs="宋体"/>
                <w:spacing w:val="-5"/>
                <w:sz w:val="20"/>
                <w:szCs w:val="20"/>
              </w:rPr>
              <w:fldChar w:fldCharType="end"/>
            </w:r>
            <w:r>
              <w:rPr>
                <w:rFonts w:ascii="宋体" w:hAnsi="宋体" w:eastAsia="宋体" w:cs="宋体"/>
                <w:spacing w:val="-5"/>
                <w:sz w:val="20"/>
                <w:szCs w:val="20"/>
              </w:rPr>
              <w:t>，一般为片状或块状形态，</w:t>
            </w:r>
            <w:r>
              <w:rPr>
                <w:rFonts w:ascii="宋体" w:hAnsi="宋体" w:eastAsia="宋体" w:cs="宋体"/>
                <w:sz w:val="20"/>
                <w:szCs w:val="20"/>
              </w:rPr>
              <w:t xml:space="preserve"> </w:t>
            </w:r>
            <w:r>
              <w:rPr>
                <w:rFonts w:ascii="宋体" w:hAnsi="宋体" w:eastAsia="宋体" w:cs="宋体"/>
                <w:spacing w:val="-12"/>
                <w:sz w:val="20"/>
                <w:szCs w:val="20"/>
              </w:rPr>
              <w:t>易溶</w:t>
            </w:r>
            <w:r>
              <w:rPr>
                <w:rFonts w:ascii="宋体" w:hAnsi="宋体" w:eastAsia="宋体" w:cs="宋体"/>
                <w:spacing w:val="-9"/>
                <w:sz w:val="20"/>
                <w:szCs w:val="20"/>
              </w:rPr>
              <w:t>于</w:t>
            </w:r>
            <w:r>
              <w:rPr>
                <w:rFonts w:ascii="宋体" w:hAnsi="宋体" w:eastAsia="宋体" w:cs="宋体"/>
                <w:spacing w:val="-6"/>
                <w:sz w:val="20"/>
                <w:szCs w:val="20"/>
              </w:rPr>
              <w:t>水 (溶于水时放热) 并形成碱性溶液，另有</w:t>
            </w:r>
            <w:r>
              <w:fldChar w:fldCharType="begin"/>
            </w:r>
            <w:r>
              <w:instrText xml:space="preserve"> HYPERLINK "https://baike.baidu.com/item/%E6%BD%AE%E8%A7%A3%E6%80%A7/9184881" </w:instrText>
            </w:r>
            <w:r>
              <w:fldChar w:fldCharType="separate"/>
            </w:r>
            <w:r>
              <w:rPr>
                <w:rFonts w:ascii="宋体" w:hAnsi="宋体" w:eastAsia="宋体" w:cs="宋体"/>
                <w:spacing w:val="-6"/>
                <w:sz w:val="20"/>
                <w:szCs w:val="20"/>
              </w:rPr>
              <w:t>潮解</w:t>
            </w:r>
            <w:r>
              <w:rPr>
                <w:rFonts w:ascii="宋体" w:hAnsi="宋体" w:eastAsia="宋体" w:cs="宋体"/>
                <w:spacing w:val="-6"/>
                <w:sz w:val="20"/>
                <w:szCs w:val="20"/>
              </w:rPr>
              <w:fldChar w:fldCharType="end"/>
            </w:r>
            <w:r>
              <w:rPr>
                <w:rFonts w:ascii="宋体" w:hAnsi="宋体" w:eastAsia="宋体" w:cs="宋体"/>
                <w:sz w:val="20"/>
                <w:szCs w:val="20"/>
              </w:rPr>
              <w:t xml:space="preserve"> </w:t>
            </w:r>
            <w:r>
              <w:rPr>
                <w:rFonts w:ascii="宋体" w:hAnsi="宋体" w:eastAsia="宋体" w:cs="宋体"/>
                <w:spacing w:val="-8"/>
                <w:sz w:val="20"/>
                <w:szCs w:val="20"/>
              </w:rPr>
              <w:t>性，易吸取</w:t>
            </w:r>
            <w:r>
              <w:fldChar w:fldCharType="begin"/>
            </w:r>
            <w:r>
              <w:instrText xml:space="preserve"> HYPERLINK "https://baike.baidu.com/item/%E7%A9%BA%E6%B0%94/2735809" </w:instrText>
            </w:r>
            <w:r>
              <w:fldChar w:fldCharType="separate"/>
            </w:r>
            <w:r>
              <w:rPr>
                <w:rFonts w:ascii="宋体" w:hAnsi="宋体" w:eastAsia="宋体" w:cs="宋体"/>
                <w:spacing w:val="-5"/>
                <w:sz w:val="20"/>
                <w:szCs w:val="20"/>
              </w:rPr>
              <w:t>空</w:t>
            </w:r>
            <w:r>
              <w:rPr>
                <w:rFonts w:ascii="宋体" w:hAnsi="宋体" w:eastAsia="宋体" w:cs="宋体"/>
                <w:spacing w:val="-4"/>
                <w:sz w:val="20"/>
                <w:szCs w:val="20"/>
              </w:rPr>
              <w:t>气</w:t>
            </w:r>
            <w:r>
              <w:rPr>
                <w:rFonts w:ascii="宋体" w:hAnsi="宋体" w:eastAsia="宋体" w:cs="宋体"/>
                <w:spacing w:val="-4"/>
                <w:sz w:val="20"/>
                <w:szCs w:val="20"/>
              </w:rPr>
              <w:fldChar w:fldCharType="end"/>
            </w:r>
            <w:r>
              <w:rPr>
                <w:rFonts w:ascii="宋体" w:hAnsi="宋体" w:eastAsia="宋体" w:cs="宋体"/>
                <w:spacing w:val="-4"/>
                <w:sz w:val="20"/>
                <w:szCs w:val="20"/>
              </w:rPr>
              <w:t>中的水蒸气(潮解)和二氧化碳(变质)。</w:t>
            </w:r>
          </w:p>
        </w:tc>
        <w:tc>
          <w:tcPr>
            <w:tcW w:w="1716" w:type="dxa"/>
            <w:vAlign w:val="top"/>
          </w:tcPr>
          <w:p w14:paraId="4E61BF34">
            <w:pPr>
              <w:spacing w:line="247" w:lineRule="auto"/>
              <w:rPr>
                <w:rFonts w:ascii="Arial"/>
                <w:sz w:val="21"/>
              </w:rPr>
            </w:pPr>
          </w:p>
          <w:p w14:paraId="52A9BBE1">
            <w:pPr>
              <w:spacing w:line="247" w:lineRule="auto"/>
              <w:rPr>
                <w:rFonts w:ascii="Arial"/>
                <w:sz w:val="21"/>
              </w:rPr>
            </w:pPr>
          </w:p>
          <w:p w14:paraId="7D217951">
            <w:pPr>
              <w:spacing w:before="65" w:line="231" w:lineRule="auto"/>
              <w:ind w:left="672"/>
              <w:rPr>
                <w:rFonts w:ascii="宋体" w:hAnsi="宋体" w:eastAsia="宋体" w:cs="宋体"/>
                <w:sz w:val="20"/>
                <w:szCs w:val="20"/>
              </w:rPr>
            </w:pPr>
            <w:r>
              <w:rPr>
                <w:rFonts w:ascii="宋体" w:hAnsi="宋体" w:eastAsia="宋体" w:cs="宋体"/>
                <w:spacing w:val="-2"/>
                <w:sz w:val="20"/>
                <w:szCs w:val="20"/>
              </w:rPr>
              <w:t>不</w:t>
            </w:r>
            <w:r>
              <w:rPr>
                <w:rFonts w:ascii="宋体" w:hAnsi="宋体" w:eastAsia="宋体" w:cs="宋体"/>
                <w:spacing w:val="-1"/>
                <w:sz w:val="20"/>
                <w:szCs w:val="20"/>
              </w:rPr>
              <w:t>燃</w:t>
            </w:r>
          </w:p>
        </w:tc>
        <w:tc>
          <w:tcPr>
            <w:tcW w:w="1113" w:type="dxa"/>
            <w:tcBorders>
              <w:right w:val="nil"/>
            </w:tcBorders>
            <w:vAlign w:val="top"/>
          </w:tcPr>
          <w:p w14:paraId="7E41566A">
            <w:pPr>
              <w:spacing w:line="247" w:lineRule="auto"/>
              <w:rPr>
                <w:rFonts w:ascii="Arial"/>
                <w:sz w:val="21"/>
              </w:rPr>
            </w:pPr>
          </w:p>
          <w:p w14:paraId="46E58C89">
            <w:pPr>
              <w:spacing w:line="248" w:lineRule="auto"/>
              <w:rPr>
                <w:rFonts w:ascii="Arial"/>
                <w:sz w:val="21"/>
              </w:rPr>
            </w:pPr>
          </w:p>
          <w:p w14:paraId="1BF53872">
            <w:pPr>
              <w:spacing w:before="65" w:line="228" w:lineRule="auto"/>
              <w:ind w:left="171"/>
              <w:rPr>
                <w:rFonts w:ascii="宋体" w:hAnsi="宋体" w:eastAsia="宋体" w:cs="宋体"/>
                <w:sz w:val="20"/>
                <w:szCs w:val="20"/>
              </w:rPr>
            </w:pPr>
            <w:r>
              <w:rPr>
                <w:rFonts w:ascii="宋体" w:hAnsi="宋体" w:eastAsia="宋体" w:cs="宋体"/>
                <w:spacing w:val="-2"/>
                <w:sz w:val="20"/>
                <w:szCs w:val="20"/>
              </w:rPr>
              <w:t>无臭无毒</w:t>
            </w:r>
          </w:p>
        </w:tc>
      </w:tr>
    </w:tbl>
    <w:p w14:paraId="3CACAD73">
      <w:pPr>
        <w:spacing w:line="269" w:lineRule="auto"/>
        <w:rPr>
          <w:rFonts w:ascii="Arial"/>
          <w:sz w:val="21"/>
        </w:rPr>
      </w:pPr>
    </w:p>
    <w:p w14:paraId="503DF997">
      <w:pPr>
        <w:spacing w:before="75" w:line="227" w:lineRule="auto"/>
        <w:ind w:left="596"/>
        <w:rPr>
          <w:rFonts w:ascii="宋体" w:hAnsi="宋体" w:eastAsia="宋体" w:cs="宋体"/>
          <w:sz w:val="23"/>
          <w:szCs w:val="23"/>
        </w:rPr>
      </w:pPr>
      <w:r>
        <w:rPr>
          <w:rFonts w:ascii="宋体" w:hAnsi="宋体" w:eastAsia="宋体" w:cs="宋体"/>
          <w:spacing w:val="9"/>
          <w:sz w:val="23"/>
          <w:szCs w:val="23"/>
        </w:rPr>
        <w:t>废</w:t>
      </w:r>
      <w:r>
        <w:rPr>
          <w:rFonts w:ascii="宋体" w:hAnsi="宋体" w:eastAsia="宋体" w:cs="宋体"/>
          <w:spacing w:val="7"/>
          <w:sz w:val="23"/>
          <w:szCs w:val="23"/>
        </w:rPr>
        <w:t>塑料回收和贮存要求：</w:t>
      </w:r>
    </w:p>
    <w:p w14:paraId="0996F1DC">
      <w:pPr>
        <w:spacing w:line="286" w:lineRule="auto"/>
        <w:rPr>
          <w:rFonts w:ascii="Arial"/>
          <w:sz w:val="21"/>
        </w:rPr>
      </w:pPr>
    </w:p>
    <w:p w14:paraId="3987D97C">
      <w:pPr>
        <w:spacing w:before="75" w:line="388" w:lineRule="auto"/>
        <w:ind w:left="115" w:right="122" w:firstLine="493"/>
        <w:rPr>
          <w:rFonts w:ascii="宋体" w:hAnsi="宋体" w:eastAsia="宋体" w:cs="宋体"/>
          <w:sz w:val="23"/>
          <w:szCs w:val="23"/>
        </w:rPr>
      </w:pPr>
      <w:r>
        <w:rPr>
          <w:rFonts w:ascii="宋体" w:hAnsi="宋体" w:eastAsia="宋体" w:cs="宋体"/>
          <w:spacing w:val="24"/>
          <w:sz w:val="23"/>
          <w:szCs w:val="23"/>
        </w:rPr>
        <w:t>(</w:t>
      </w:r>
      <w:r>
        <w:rPr>
          <w:rFonts w:ascii="Times New Roman" w:hAnsi="Times New Roman" w:eastAsia="Times New Roman" w:cs="Times New Roman"/>
          <w:spacing w:val="18"/>
          <w:sz w:val="23"/>
          <w:szCs w:val="23"/>
        </w:rPr>
        <w:t>1</w:t>
      </w:r>
      <w:r>
        <w:rPr>
          <w:rFonts w:ascii="宋体" w:hAnsi="宋体" w:eastAsia="宋体" w:cs="宋体"/>
          <w:spacing w:val="12"/>
          <w:sz w:val="23"/>
          <w:szCs w:val="23"/>
        </w:rPr>
        <w:t>) 废塑料的回收应按原料树脂种类进行分类回收，并严格区分废塑料来</w:t>
      </w:r>
      <w:r>
        <w:rPr>
          <w:rFonts w:ascii="宋体" w:hAnsi="宋体" w:eastAsia="宋体" w:cs="宋体"/>
          <w:sz w:val="23"/>
          <w:szCs w:val="23"/>
        </w:rPr>
        <w:t xml:space="preserve"> </w:t>
      </w:r>
      <w:r>
        <w:rPr>
          <w:rFonts w:ascii="宋体" w:hAnsi="宋体" w:eastAsia="宋体" w:cs="宋体"/>
          <w:spacing w:val="12"/>
          <w:sz w:val="23"/>
          <w:szCs w:val="23"/>
        </w:rPr>
        <w:t>源和原</w:t>
      </w:r>
      <w:r>
        <w:rPr>
          <w:rFonts w:ascii="宋体" w:hAnsi="宋体" w:eastAsia="宋体" w:cs="宋体"/>
          <w:spacing w:val="10"/>
          <w:sz w:val="23"/>
          <w:szCs w:val="23"/>
        </w:rPr>
        <w:t>用</w:t>
      </w:r>
      <w:r>
        <w:rPr>
          <w:rFonts w:ascii="宋体" w:hAnsi="宋体" w:eastAsia="宋体" w:cs="宋体"/>
          <w:spacing w:val="6"/>
          <w:sz w:val="23"/>
          <w:szCs w:val="23"/>
        </w:rPr>
        <w:t>途。不得回收和再生利用属于医疗废物和危险废物的废塑料。禁止使用</w:t>
      </w:r>
      <w:r>
        <w:rPr>
          <w:rFonts w:ascii="宋体" w:hAnsi="宋体" w:eastAsia="宋体" w:cs="宋体"/>
          <w:sz w:val="23"/>
          <w:szCs w:val="23"/>
        </w:rPr>
        <w:t xml:space="preserve"> </w:t>
      </w:r>
      <w:r>
        <w:rPr>
          <w:rFonts w:ascii="宋体" w:hAnsi="宋体" w:eastAsia="宋体" w:cs="宋体"/>
          <w:spacing w:val="12"/>
          <w:sz w:val="23"/>
          <w:szCs w:val="23"/>
        </w:rPr>
        <w:t>进口废塑</w:t>
      </w:r>
      <w:r>
        <w:rPr>
          <w:rFonts w:ascii="宋体" w:hAnsi="宋体" w:eastAsia="宋体" w:cs="宋体"/>
          <w:spacing w:val="6"/>
          <w:sz w:val="23"/>
          <w:szCs w:val="23"/>
        </w:rPr>
        <w:t>料。该项目所在地钢铁业发达，废旧编织袋原用途主要为钢铁公司所用</w:t>
      </w:r>
      <w:r>
        <w:rPr>
          <w:rFonts w:ascii="宋体" w:hAnsi="宋体" w:eastAsia="宋体" w:cs="宋体"/>
          <w:sz w:val="23"/>
          <w:szCs w:val="23"/>
        </w:rPr>
        <w:t xml:space="preserve"> </w:t>
      </w:r>
      <w:r>
        <w:rPr>
          <w:rFonts w:ascii="宋体" w:hAnsi="宋体" w:eastAsia="宋体" w:cs="宋体"/>
          <w:spacing w:val="12"/>
          <w:sz w:val="23"/>
          <w:szCs w:val="23"/>
        </w:rPr>
        <w:t>原料合金</w:t>
      </w:r>
      <w:r>
        <w:rPr>
          <w:rFonts w:ascii="宋体" w:hAnsi="宋体" w:eastAsia="宋体" w:cs="宋体"/>
          <w:spacing w:val="6"/>
          <w:sz w:val="23"/>
          <w:szCs w:val="23"/>
        </w:rPr>
        <w:t>铁及铝锭的包装袋及平山区利安建材城所销售砂子的包装袋，原料中仅</w:t>
      </w:r>
      <w:r>
        <w:rPr>
          <w:rFonts w:ascii="宋体" w:hAnsi="宋体" w:eastAsia="宋体" w:cs="宋体"/>
          <w:sz w:val="23"/>
          <w:szCs w:val="23"/>
        </w:rPr>
        <w:t xml:space="preserve"> </w:t>
      </w:r>
      <w:r>
        <w:rPr>
          <w:rFonts w:ascii="宋体" w:hAnsi="宋体" w:eastAsia="宋体" w:cs="宋体"/>
          <w:spacing w:val="11"/>
          <w:sz w:val="23"/>
          <w:szCs w:val="23"/>
        </w:rPr>
        <w:t>夹带泥土等杂质，不在国家危险废物名录之列，均为</w:t>
      </w:r>
      <w:r>
        <w:rPr>
          <w:rFonts w:ascii="Times New Roman" w:hAnsi="Times New Roman" w:eastAsia="Times New Roman" w:cs="Times New Roman"/>
          <w:spacing w:val="11"/>
          <w:sz w:val="23"/>
          <w:szCs w:val="23"/>
        </w:rPr>
        <w:t>Ⅰ</w:t>
      </w:r>
      <w:r>
        <w:rPr>
          <w:rFonts w:ascii="宋体" w:hAnsi="宋体" w:eastAsia="宋体" w:cs="宋体"/>
          <w:spacing w:val="11"/>
          <w:sz w:val="23"/>
          <w:szCs w:val="23"/>
        </w:rPr>
        <w:t>类一般固体废物。本项目</w:t>
      </w:r>
      <w:r>
        <w:rPr>
          <w:rFonts w:ascii="宋体" w:hAnsi="宋体" w:eastAsia="宋体" w:cs="宋体"/>
          <w:sz w:val="23"/>
          <w:szCs w:val="23"/>
        </w:rPr>
        <w:t xml:space="preserve"> </w:t>
      </w:r>
      <w:r>
        <w:rPr>
          <w:rFonts w:ascii="宋体" w:hAnsi="宋体" w:eastAsia="宋体" w:cs="宋体"/>
          <w:spacing w:val="8"/>
          <w:sz w:val="23"/>
          <w:szCs w:val="23"/>
        </w:rPr>
        <w:t>收购的废旧编织袋不包含化肥包装袋</w:t>
      </w:r>
      <w:r>
        <w:rPr>
          <w:rFonts w:ascii="宋体" w:hAnsi="宋体" w:eastAsia="宋体" w:cs="宋体"/>
          <w:spacing w:val="5"/>
          <w:sz w:val="23"/>
          <w:szCs w:val="23"/>
        </w:rPr>
        <w:t>。</w:t>
      </w:r>
    </w:p>
    <w:p w14:paraId="411B1453">
      <w:pPr>
        <w:spacing w:before="147" w:line="393" w:lineRule="auto"/>
        <w:ind w:left="122" w:right="124" w:firstLine="486"/>
        <w:rPr>
          <w:rFonts w:ascii="宋体" w:hAnsi="宋体" w:eastAsia="宋体" w:cs="宋体"/>
          <w:sz w:val="23"/>
          <w:szCs w:val="23"/>
        </w:rPr>
      </w:pPr>
      <w:r>
        <w:rPr>
          <w:rFonts w:ascii="宋体" w:hAnsi="宋体" w:eastAsia="宋体" w:cs="宋体"/>
          <w:spacing w:val="24"/>
          <w:sz w:val="23"/>
          <w:szCs w:val="23"/>
        </w:rPr>
        <w:t>(</w:t>
      </w:r>
      <w:r>
        <w:rPr>
          <w:rFonts w:ascii="Times New Roman" w:hAnsi="Times New Roman" w:eastAsia="Times New Roman" w:cs="Times New Roman"/>
          <w:spacing w:val="15"/>
          <w:sz w:val="23"/>
          <w:szCs w:val="23"/>
        </w:rPr>
        <w:t>2</w:t>
      </w:r>
      <w:r>
        <w:rPr>
          <w:rFonts w:ascii="宋体" w:hAnsi="宋体" w:eastAsia="宋体" w:cs="宋体"/>
          <w:spacing w:val="12"/>
          <w:sz w:val="23"/>
          <w:szCs w:val="23"/>
        </w:rPr>
        <w:t>) 企业必须配备废塑料分类存放场所。原料、产品、本企业不能利用废</w:t>
      </w:r>
      <w:r>
        <w:rPr>
          <w:rFonts w:ascii="宋体" w:hAnsi="宋体" w:eastAsia="宋体" w:cs="宋体"/>
          <w:sz w:val="23"/>
          <w:szCs w:val="23"/>
        </w:rPr>
        <w:t xml:space="preserve"> </w:t>
      </w:r>
      <w:r>
        <w:rPr>
          <w:rFonts w:ascii="宋体" w:hAnsi="宋体" w:eastAsia="宋体" w:cs="宋体"/>
          <w:spacing w:val="12"/>
          <w:sz w:val="23"/>
          <w:szCs w:val="23"/>
        </w:rPr>
        <w:t>塑料</w:t>
      </w:r>
      <w:r>
        <w:rPr>
          <w:rFonts w:ascii="宋体" w:hAnsi="宋体" w:eastAsia="宋体" w:cs="宋体"/>
          <w:spacing w:val="9"/>
          <w:sz w:val="23"/>
          <w:szCs w:val="23"/>
        </w:rPr>
        <w:t>及</w:t>
      </w:r>
      <w:r>
        <w:rPr>
          <w:rFonts w:ascii="宋体" w:hAnsi="宋体" w:eastAsia="宋体" w:cs="宋体"/>
          <w:spacing w:val="6"/>
          <w:sz w:val="23"/>
          <w:szCs w:val="23"/>
        </w:rPr>
        <w:t>不可利用废物贮存在具有防雨、防风、防渗等功能的厂房或加盖雨棚的专</w:t>
      </w:r>
    </w:p>
    <w:p w14:paraId="5ED063FB">
      <w:pPr>
        <w:sectPr>
          <w:footerReference r:id="rId96" w:type="default"/>
          <w:pgSz w:w="11906" w:h="16839"/>
          <w:pgMar w:top="1132" w:right="1691" w:bottom="1156" w:left="1691" w:header="878" w:footer="996" w:gutter="0"/>
          <w:cols w:space="720" w:num="1"/>
        </w:sectPr>
      </w:pPr>
    </w:p>
    <w:p w14:paraId="1A533F27">
      <w:pPr>
        <w:spacing w:line="14"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61"/>
        <w:gridCol w:w="4261"/>
      </w:tblGrid>
      <w:tr w14:paraId="78E47B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7" w:hRule="atLeast"/>
        </w:trPr>
        <w:tc>
          <w:tcPr>
            <w:tcW w:w="8522" w:type="dxa"/>
            <w:gridSpan w:val="2"/>
            <w:tcBorders>
              <w:left w:val="nil"/>
              <w:right w:val="nil"/>
            </w:tcBorders>
            <w:vAlign w:val="top"/>
          </w:tcPr>
          <w:p w14:paraId="5B64DB0D">
            <w:pPr>
              <w:spacing w:line="389" w:lineRule="auto"/>
              <w:rPr>
                <w:rFonts w:ascii="Arial"/>
                <w:sz w:val="21"/>
              </w:rPr>
            </w:pPr>
          </w:p>
          <w:p w14:paraId="2D1DC833">
            <w:pPr>
              <w:spacing w:before="75" w:line="227" w:lineRule="auto"/>
              <w:ind w:left="144"/>
              <w:rPr>
                <w:rFonts w:ascii="宋体" w:hAnsi="宋体" w:eastAsia="宋体" w:cs="宋体"/>
                <w:sz w:val="23"/>
                <w:szCs w:val="23"/>
              </w:rPr>
            </w:pPr>
            <w:r>
              <w:rPr>
                <w:rFonts w:ascii="宋体" w:hAnsi="宋体" w:eastAsia="宋体" w:cs="宋体"/>
                <w:spacing w:val="10"/>
                <w:sz w:val="23"/>
                <w:szCs w:val="23"/>
              </w:rPr>
              <w:t>门贮</w:t>
            </w:r>
            <w:r>
              <w:rPr>
                <w:rFonts w:ascii="宋体" w:hAnsi="宋体" w:eastAsia="宋体" w:cs="宋体"/>
                <w:spacing w:val="6"/>
                <w:sz w:val="23"/>
                <w:szCs w:val="23"/>
              </w:rPr>
              <w:t>存</w:t>
            </w:r>
            <w:r>
              <w:rPr>
                <w:rFonts w:ascii="宋体" w:hAnsi="宋体" w:eastAsia="宋体" w:cs="宋体"/>
                <w:spacing w:val="5"/>
                <w:sz w:val="23"/>
                <w:szCs w:val="23"/>
              </w:rPr>
              <w:t>场地内，无露天堆放现象。</w:t>
            </w:r>
          </w:p>
          <w:p w14:paraId="1B0252BA">
            <w:pPr>
              <w:spacing w:line="288" w:lineRule="auto"/>
              <w:rPr>
                <w:rFonts w:ascii="Arial"/>
                <w:sz w:val="21"/>
              </w:rPr>
            </w:pPr>
          </w:p>
          <w:p w14:paraId="5E4527B8">
            <w:pPr>
              <w:spacing w:before="75" w:line="227" w:lineRule="auto"/>
              <w:ind w:left="608"/>
              <w:rPr>
                <w:rFonts w:ascii="宋体" w:hAnsi="宋体" w:eastAsia="宋体" w:cs="宋体"/>
                <w:sz w:val="23"/>
                <w:szCs w:val="23"/>
              </w:rPr>
            </w:pPr>
            <w:r>
              <w:rPr>
                <w:rFonts w:ascii="宋体" w:hAnsi="宋体" w:eastAsia="宋体" w:cs="宋体"/>
                <w:spacing w:val="12"/>
                <w:sz w:val="23"/>
                <w:szCs w:val="23"/>
              </w:rPr>
              <w:t>(</w:t>
            </w:r>
            <w:r>
              <w:rPr>
                <w:rFonts w:ascii="Times New Roman" w:hAnsi="Times New Roman" w:eastAsia="Times New Roman" w:cs="Times New Roman"/>
                <w:spacing w:val="12"/>
                <w:sz w:val="23"/>
                <w:szCs w:val="23"/>
              </w:rPr>
              <w:t>3</w:t>
            </w:r>
            <w:r>
              <w:rPr>
                <w:rFonts w:ascii="宋体" w:hAnsi="宋体" w:eastAsia="宋体" w:cs="宋体"/>
                <w:spacing w:val="12"/>
                <w:sz w:val="23"/>
                <w:szCs w:val="23"/>
              </w:rPr>
              <w:t>) 不同种类、不同来源的废塑料，应分开存放</w:t>
            </w:r>
            <w:r>
              <w:rPr>
                <w:rFonts w:ascii="宋体" w:hAnsi="宋体" w:eastAsia="宋体" w:cs="宋体"/>
                <w:spacing w:val="11"/>
                <w:sz w:val="23"/>
                <w:szCs w:val="23"/>
              </w:rPr>
              <w:t>。</w:t>
            </w:r>
          </w:p>
          <w:p w14:paraId="102C15A4">
            <w:pPr>
              <w:spacing w:line="286" w:lineRule="auto"/>
              <w:rPr>
                <w:rFonts w:ascii="Arial"/>
                <w:sz w:val="21"/>
              </w:rPr>
            </w:pPr>
          </w:p>
          <w:p w14:paraId="29ECB190">
            <w:pPr>
              <w:spacing w:before="75" w:line="227" w:lineRule="auto"/>
              <w:ind w:left="606"/>
              <w:rPr>
                <w:rFonts w:ascii="宋体" w:hAnsi="宋体" w:eastAsia="宋体" w:cs="宋体"/>
                <w:sz w:val="23"/>
                <w:szCs w:val="23"/>
              </w:rPr>
            </w:pPr>
            <w:r>
              <w:rPr>
                <w:rFonts w:ascii="宋体" w:hAnsi="宋体" w:eastAsia="宋体" w:cs="宋体"/>
                <w:spacing w:val="50"/>
                <w:sz w:val="20"/>
                <w:szCs w:val="20"/>
              </w:rPr>
              <w:t>(</w:t>
            </w:r>
            <w:r>
              <w:rPr>
                <w:rFonts w:ascii="Times New Roman" w:hAnsi="Times New Roman" w:eastAsia="Times New Roman" w:cs="Times New Roman"/>
                <w:spacing w:val="28"/>
                <w:sz w:val="20"/>
                <w:szCs w:val="20"/>
              </w:rPr>
              <w:t>4</w:t>
            </w:r>
            <w:r>
              <w:rPr>
                <w:rFonts w:ascii="宋体" w:hAnsi="宋体" w:eastAsia="宋体" w:cs="宋体"/>
                <w:spacing w:val="28"/>
                <w:sz w:val="20"/>
                <w:szCs w:val="20"/>
              </w:rPr>
              <w:t xml:space="preserve">) </w:t>
            </w:r>
            <w:r>
              <w:rPr>
                <w:rFonts w:ascii="宋体" w:hAnsi="宋体" w:eastAsia="宋体" w:cs="宋体"/>
                <w:spacing w:val="28"/>
                <w:sz w:val="23"/>
                <w:szCs w:val="23"/>
              </w:rPr>
              <w:t>禁止在居民 区加工利用废塑料 。禁止利用废塑料生产厚度小于</w:t>
            </w:r>
          </w:p>
          <w:p w14:paraId="6E9B71AA">
            <w:pPr>
              <w:spacing w:before="196" w:line="393" w:lineRule="auto"/>
              <w:ind w:left="118" w:right="124" w:hanging="2"/>
              <w:rPr>
                <w:rFonts w:ascii="宋体" w:hAnsi="宋体" w:eastAsia="宋体" w:cs="宋体"/>
                <w:sz w:val="23"/>
                <w:szCs w:val="23"/>
              </w:rPr>
            </w:pPr>
            <w:r>
              <w:rPr>
                <w:rFonts w:ascii="Times New Roman" w:hAnsi="Times New Roman" w:eastAsia="Times New Roman" w:cs="Times New Roman"/>
                <w:spacing w:val="16"/>
                <w:sz w:val="23"/>
                <w:szCs w:val="23"/>
              </w:rPr>
              <w:t>0</w:t>
            </w:r>
            <w:r>
              <w:rPr>
                <w:rFonts w:ascii="Times New Roman" w:hAnsi="Times New Roman" w:eastAsia="Times New Roman" w:cs="Times New Roman"/>
                <w:spacing w:val="8"/>
                <w:sz w:val="23"/>
                <w:szCs w:val="23"/>
              </w:rPr>
              <w:t>.025</w:t>
            </w:r>
            <w:r>
              <w:rPr>
                <w:rFonts w:ascii="Times New Roman" w:hAnsi="Times New Roman" w:eastAsia="Times New Roman" w:cs="Times New Roman"/>
                <w:sz w:val="23"/>
                <w:szCs w:val="23"/>
              </w:rPr>
              <w:t>mm</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 xml:space="preserve">的超薄塑料购物袋和厚度小于 </w:t>
            </w:r>
            <w:r>
              <w:rPr>
                <w:rFonts w:ascii="Times New Roman" w:hAnsi="Times New Roman" w:eastAsia="Times New Roman" w:cs="Times New Roman"/>
                <w:spacing w:val="8"/>
                <w:sz w:val="23"/>
                <w:szCs w:val="23"/>
              </w:rPr>
              <w:t>0.015</w:t>
            </w:r>
            <w:r>
              <w:rPr>
                <w:rFonts w:ascii="Times New Roman" w:hAnsi="Times New Roman" w:eastAsia="Times New Roman" w:cs="Times New Roman"/>
                <w:sz w:val="23"/>
                <w:szCs w:val="23"/>
              </w:rPr>
              <w:t>mm</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超薄塑料袋。禁止利用废塑料</w:t>
            </w:r>
            <w:r>
              <w:rPr>
                <w:rFonts w:ascii="宋体" w:hAnsi="宋体" w:eastAsia="宋体" w:cs="宋体"/>
                <w:sz w:val="23"/>
                <w:szCs w:val="23"/>
              </w:rPr>
              <w:t xml:space="preserve"> </w:t>
            </w:r>
            <w:r>
              <w:rPr>
                <w:rFonts w:ascii="宋体" w:hAnsi="宋体" w:eastAsia="宋体" w:cs="宋体"/>
                <w:spacing w:val="11"/>
                <w:sz w:val="23"/>
                <w:szCs w:val="23"/>
              </w:rPr>
              <w:t>生</w:t>
            </w:r>
            <w:r>
              <w:rPr>
                <w:rFonts w:ascii="宋体" w:hAnsi="宋体" w:eastAsia="宋体" w:cs="宋体"/>
                <w:spacing w:val="6"/>
                <w:sz w:val="23"/>
                <w:szCs w:val="23"/>
              </w:rPr>
              <w:t>产食品用塑料袋。</w:t>
            </w:r>
          </w:p>
          <w:p w14:paraId="4EEEFA1A">
            <w:pPr>
              <w:spacing w:before="148" w:line="226" w:lineRule="auto"/>
              <w:ind w:left="568"/>
              <w:rPr>
                <w:rFonts w:ascii="宋体" w:hAnsi="宋体" w:eastAsia="宋体" w:cs="宋体"/>
                <w:sz w:val="23"/>
                <w:szCs w:val="23"/>
              </w:rPr>
            </w:pPr>
            <w:r>
              <w:rPr>
                <w:rFonts w:ascii="宋体" w:hAnsi="宋体" w:eastAsia="宋体" w:cs="宋体"/>
                <w:spacing w:val="-5"/>
                <w:sz w:val="23"/>
                <w:szCs w:val="23"/>
              </w:rPr>
              <w:t xml:space="preserve">根据企业提供的拟采取生物质成型燃料检验报告，其组分见表 </w:t>
            </w:r>
            <w:r>
              <w:rPr>
                <w:rFonts w:ascii="Times New Roman" w:hAnsi="Times New Roman" w:eastAsia="Times New Roman" w:cs="Times New Roman"/>
                <w:spacing w:val="-5"/>
                <w:sz w:val="23"/>
                <w:szCs w:val="23"/>
              </w:rPr>
              <w:t>3-7</w:t>
            </w:r>
            <w:r>
              <w:rPr>
                <w:rFonts w:ascii="宋体" w:hAnsi="宋体" w:eastAsia="宋体" w:cs="宋体"/>
                <w:spacing w:val="-2"/>
                <w:sz w:val="23"/>
                <w:szCs w:val="23"/>
              </w:rPr>
              <w:t>。</w:t>
            </w:r>
          </w:p>
          <w:p w14:paraId="58C8C3D9">
            <w:pPr>
              <w:spacing w:line="288" w:lineRule="auto"/>
              <w:rPr>
                <w:rFonts w:ascii="Arial"/>
                <w:sz w:val="21"/>
              </w:rPr>
            </w:pPr>
          </w:p>
          <w:p w14:paraId="3C0B6E44">
            <w:pPr>
              <w:spacing w:before="75" w:line="227" w:lineRule="auto"/>
              <w:ind w:left="2482"/>
              <w:rPr>
                <w:rFonts w:ascii="宋体" w:hAnsi="宋体" w:eastAsia="宋体" w:cs="宋体"/>
                <w:sz w:val="23"/>
                <w:szCs w:val="23"/>
              </w:rPr>
            </w:pPr>
            <w:r>
              <w:rPr>
                <w:rFonts w:ascii="宋体" w:hAnsi="宋体" w:eastAsia="宋体" w:cs="宋体"/>
                <w:spacing w:val="-2"/>
                <w:sz w:val="23"/>
                <w:szCs w:val="23"/>
                <w14:textOutline w14:w="4358" w14:cap="sq" w14:cmpd="sng">
                  <w14:solidFill>
                    <w14:srgbClr w14:val="000000"/>
                  </w14:solidFill>
                  <w14:prstDash w14:val="solid"/>
                  <w14:bevel/>
                </w14:textOutline>
              </w:rPr>
              <w:t>表</w:t>
            </w:r>
            <w:r>
              <w:rPr>
                <w:rFonts w:ascii="宋体" w:hAnsi="宋体" w:eastAsia="宋体" w:cs="宋体"/>
                <w:spacing w:val="-2"/>
                <w:sz w:val="23"/>
                <w:szCs w:val="23"/>
              </w:rPr>
              <w:t xml:space="preserve"> </w:t>
            </w:r>
            <w:r>
              <w:rPr>
                <w:rFonts w:ascii="Times New Roman" w:hAnsi="Times New Roman" w:eastAsia="Times New Roman" w:cs="Times New Roman"/>
                <w:b/>
                <w:bCs/>
                <w:spacing w:val="-2"/>
                <w:sz w:val="23"/>
                <w:szCs w:val="23"/>
              </w:rPr>
              <w:t>3-7</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14:textOutline w14:w="4358" w14:cap="sq" w14:cmpd="sng">
                  <w14:solidFill>
                    <w14:srgbClr w14:val="000000"/>
                  </w14:solidFill>
                  <w14:prstDash w14:val="solid"/>
                  <w14:bevel/>
                </w14:textOutline>
              </w:rPr>
              <w:t>生物</w:t>
            </w:r>
            <w:r>
              <w:rPr>
                <w:rFonts w:ascii="宋体" w:hAnsi="宋体" w:eastAsia="宋体" w:cs="宋体"/>
                <w:spacing w:val="-1"/>
                <w:sz w:val="23"/>
                <w:szCs w:val="23"/>
                <w14:textOutline w14:w="4358" w14:cap="sq" w14:cmpd="sng">
                  <w14:solidFill>
                    <w14:srgbClr w14:val="000000"/>
                  </w14:solidFill>
                  <w14:prstDash w14:val="solid"/>
                  <w14:bevel/>
                </w14:textOutline>
              </w:rPr>
              <w:t>质成型燃料检验结果</w:t>
            </w:r>
          </w:p>
        </w:tc>
      </w:tr>
      <w:tr w14:paraId="123F89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4261" w:type="dxa"/>
            <w:tcBorders>
              <w:left w:val="nil"/>
            </w:tcBorders>
            <w:vAlign w:val="top"/>
          </w:tcPr>
          <w:p w14:paraId="4ACBDAD3">
            <w:pPr>
              <w:spacing w:before="76" w:line="228" w:lineRule="auto"/>
              <w:ind w:left="1746"/>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项目名</w:t>
            </w:r>
            <w:r>
              <w:rPr>
                <w:rFonts w:ascii="宋体" w:hAnsi="宋体" w:eastAsia="宋体" w:cs="宋体"/>
                <w:spacing w:val="-1"/>
                <w:sz w:val="20"/>
                <w:szCs w:val="20"/>
                <w14:textOutline w14:w="3795" w14:cap="sq" w14:cmpd="sng">
                  <w14:solidFill>
                    <w14:srgbClr w14:val="000000"/>
                  </w14:solidFill>
                  <w14:prstDash w14:val="solid"/>
                  <w14:bevel/>
                </w14:textOutline>
              </w:rPr>
              <w:t>称</w:t>
            </w:r>
          </w:p>
        </w:tc>
        <w:tc>
          <w:tcPr>
            <w:tcW w:w="4261" w:type="dxa"/>
            <w:tcBorders>
              <w:right w:val="nil"/>
            </w:tcBorders>
            <w:vAlign w:val="top"/>
          </w:tcPr>
          <w:p w14:paraId="5FC6E4C1">
            <w:pPr>
              <w:spacing w:before="76" w:line="228" w:lineRule="auto"/>
              <w:ind w:left="1944"/>
              <w:rPr>
                <w:rFonts w:ascii="宋体" w:hAnsi="宋体" w:eastAsia="宋体" w:cs="宋体"/>
                <w:sz w:val="20"/>
                <w:szCs w:val="20"/>
              </w:rPr>
            </w:pPr>
            <w:r>
              <w:rPr>
                <w:rFonts w:ascii="宋体" w:hAnsi="宋体" w:eastAsia="宋体" w:cs="宋体"/>
                <w:spacing w:val="-3"/>
                <w:sz w:val="20"/>
                <w:szCs w:val="20"/>
                <w14:textOutline w14:w="3795" w14:cap="sq" w14:cmpd="sng">
                  <w14:solidFill>
                    <w14:srgbClr w14:val="000000"/>
                  </w14:solidFill>
                  <w14:prstDash w14:val="solid"/>
                  <w14:bevel/>
                </w14:textOutline>
              </w:rPr>
              <w:t>结</w:t>
            </w:r>
            <w:r>
              <w:rPr>
                <w:rFonts w:ascii="宋体" w:hAnsi="宋体" w:eastAsia="宋体" w:cs="宋体"/>
                <w:spacing w:val="-2"/>
                <w:sz w:val="20"/>
                <w:szCs w:val="20"/>
                <w14:textOutline w14:w="3795" w14:cap="sq" w14:cmpd="sng">
                  <w14:solidFill>
                    <w14:srgbClr w14:val="000000"/>
                  </w14:solidFill>
                  <w14:prstDash w14:val="solid"/>
                  <w14:bevel/>
                </w14:textOutline>
              </w:rPr>
              <w:t>果</w:t>
            </w:r>
          </w:p>
        </w:tc>
      </w:tr>
      <w:tr w14:paraId="43ABE2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4261" w:type="dxa"/>
            <w:tcBorders>
              <w:left w:val="nil"/>
            </w:tcBorders>
            <w:vAlign w:val="top"/>
          </w:tcPr>
          <w:p w14:paraId="79F70110">
            <w:pPr>
              <w:spacing w:before="27" w:line="281" w:lineRule="exact"/>
              <w:ind w:left="881"/>
              <w:rPr>
                <w:rFonts w:ascii="宋体" w:hAnsi="宋体" w:eastAsia="宋体" w:cs="宋体"/>
                <w:sz w:val="20"/>
                <w:szCs w:val="20"/>
              </w:rPr>
            </w:pPr>
            <w:r>
              <w:rPr>
                <w:rFonts w:ascii="宋体" w:hAnsi="宋体" w:eastAsia="宋体" w:cs="宋体"/>
                <w:spacing w:val="-3"/>
                <w:position w:val="2"/>
                <w:sz w:val="20"/>
                <w:szCs w:val="20"/>
              </w:rPr>
              <w:t>收到基低位发热量 (</w:t>
            </w:r>
            <w:r>
              <w:rPr>
                <w:rFonts w:ascii="Times New Roman" w:hAnsi="Times New Roman" w:eastAsia="Times New Roman" w:cs="Times New Roman"/>
                <w:spacing w:val="-3"/>
                <w:position w:val="2"/>
                <w:sz w:val="20"/>
                <w:szCs w:val="20"/>
              </w:rPr>
              <w:t>kcal/kg</w:t>
            </w:r>
            <w:r>
              <w:rPr>
                <w:rFonts w:ascii="宋体" w:hAnsi="宋体" w:eastAsia="宋体" w:cs="宋体"/>
                <w:spacing w:val="-3"/>
                <w:position w:val="2"/>
                <w:sz w:val="20"/>
                <w:szCs w:val="20"/>
              </w:rPr>
              <w:t>)</w:t>
            </w:r>
          </w:p>
        </w:tc>
        <w:tc>
          <w:tcPr>
            <w:tcW w:w="4261" w:type="dxa"/>
            <w:tcBorders>
              <w:right w:val="nil"/>
            </w:tcBorders>
            <w:vAlign w:val="top"/>
          </w:tcPr>
          <w:p w14:paraId="08A56B27">
            <w:pPr>
              <w:spacing w:before="100" w:line="195" w:lineRule="auto"/>
              <w:ind w:left="193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w:t>
            </w:r>
            <w:r>
              <w:rPr>
                <w:rFonts w:ascii="Times New Roman" w:hAnsi="Times New Roman" w:eastAsia="Times New Roman" w:cs="Times New Roman"/>
                <w:spacing w:val="-1"/>
                <w:sz w:val="20"/>
                <w:szCs w:val="20"/>
              </w:rPr>
              <w:t>782</w:t>
            </w:r>
          </w:p>
        </w:tc>
      </w:tr>
      <w:tr w14:paraId="2BF96D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4261" w:type="dxa"/>
            <w:tcBorders>
              <w:left w:val="nil"/>
            </w:tcBorders>
            <w:vAlign w:val="top"/>
          </w:tcPr>
          <w:p w14:paraId="17AD695B">
            <w:pPr>
              <w:spacing w:before="29" w:line="281" w:lineRule="exact"/>
              <w:ind w:left="1124"/>
              <w:rPr>
                <w:rFonts w:ascii="宋体" w:hAnsi="宋体" w:eastAsia="宋体" w:cs="宋体"/>
                <w:sz w:val="20"/>
                <w:szCs w:val="20"/>
              </w:rPr>
            </w:pPr>
            <w:r>
              <w:rPr>
                <w:rFonts w:ascii="宋体" w:hAnsi="宋体" w:eastAsia="宋体" w:cs="宋体"/>
                <w:spacing w:val="-6"/>
                <w:position w:val="1"/>
                <w:sz w:val="20"/>
                <w:szCs w:val="20"/>
              </w:rPr>
              <w:t xml:space="preserve">收到基全硫 </w:t>
            </w:r>
            <w:r>
              <w:rPr>
                <w:rFonts w:ascii="Times New Roman" w:hAnsi="Times New Roman" w:eastAsia="Times New Roman" w:cs="Times New Roman"/>
                <w:spacing w:val="-6"/>
                <w:position w:val="1"/>
                <w:sz w:val="20"/>
                <w:szCs w:val="20"/>
              </w:rPr>
              <w:t>St</w:t>
            </w:r>
            <w:r>
              <w:rPr>
                <w:rFonts w:ascii="宋体" w:hAnsi="宋体" w:eastAsia="宋体" w:cs="宋体"/>
                <w:spacing w:val="-6"/>
                <w:position w:val="1"/>
                <w:sz w:val="20"/>
                <w:szCs w:val="20"/>
              </w:rPr>
              <w:t>，</w:t>
            </w:r>
            <w:r>
              <w:rPr>
                <w:rFonts w:ascii="Times New Roman" w:hAnsi="Times New Roman" w:eastAsia="Times New Roman" w:cs="Times New Roman"/>
                <w:spacing w:val="-6"/>
                <w:position w:val="1"/>
                <w:sz w:val="20"/>
                <w:szCs w:val="20"/>
              </w:rPr>
              <w:t xml:space="preserve">d  </w:t>
            </w:r>
            <w:r>
              <w:rPr>
                <w:rFonts w:ascii="宋体" w:hAnsi="宋体" w:eastAsia="宋体" w:cs="宋体"/>
                <w:spacing w:val="-6"/>
                <w:position w:val="1"/>
                <w:sz w:val="20"/>
                <w:szCs w:val="20"/>
              </w:rPr>
              <w:t>(</w:t>
            </w:r>
            <w:r>
              <w:rPr>
                <w:rFonts w:ascii="Times New Roman" w:hAnsi="Times New Roman" w:eastAsia="Times New Roman" w:cs="Times New Roman"/>
                <w:spacing w:val="-6"/>
                <w:position w:val="1"/>
                <w:sz w:val="20"/>
                <w:szCs w:val="20"/>
              </w:rPr>
              <w:t>%</w:t>
            </w:r>
            <w:r>
              <w:rPr>
                <w:rFonts w:ascii="宋体" w:hAnsi="宋体" w:eastAsia="宋体" w:cs="宋体"/>
                <w:spacing w:val="-6"/>
                <w:position w:val="1"/>
                <w:sz w:val="20"/>
                <w:szCs w:val="20"/>
              </w:rPr>
              <w:t>)</w:t>
            </w:r>
          </w:p>
        </w:tc>
        <w:tc>
          <w:tcPr>
            <w:tcW w:w="4261" w:type="dxa"/>
            <w:tcBorders>
              <w:right w:val="nil"/>
            </w:tcBorders>
            <w:vAlign w:val="top"/>
          </w:tcPr>
          <w:p w14:paraId="2EDF3475">
            <w:pPr>
              <w:spacing w:before="102" w:line="195" w:lineRule="auto"/>
              <w:ind w:left="1964"/>
              <w:rPr>
                <w:rFonts w:ascii="Times New Roman" w:hAnsi="Times New Roman" w:eastAsia="Times New Roman" w:cs="Times New Roman"/>
                <w:sz w:val="20"/>
                <w:szCs w:val="20"/>
              </w:rPr>
            </w:pPr>
            <w:r>
              <w:rPr>
                <w:rFonts w:ascii="Times New Roman" w:hAnsi="Times New Roman" w:eastAsia="Times New Roman" w:cs="Times New Roman"/>
                <w:spacing w:val="-11"/>
                <w:sz w:val="20"/>
                <w:szCs w:val="20"/>
              </w:rPr>
              <w:t>0. 10</w:t>
            </w:r>
          </w:p>
        </w:tc>
      </w:tr>
      <w:tr w14:paraId="3B8FC0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4261" w:type="dxa"/>
            <w:tcBorders>
              <w:left w:val="nil"/>
            </w:tcBorders>
            <w:vAlign w:val="top"/>
          </w:tcPr>
          <w:p w14:paraId="13DAC42B">
            <w:pPr>
              <w:spacing w:before="27" w:line="281" w:lineRule="exact"/>
              <w:ind w:left="1136"/>
              <w:rPr>
                <w:rFonts w:ascii="宋体" w:hAnsi="宋体" w:eastAsia="宋体" w:cs="宋体"/>
                <w:sz w:val="20"/>
                <w:szCs w:val="20"/>
              </w:rPr>
            </w:pPr>
            <w:r>
              <w:rPr>
                <w:rFonts w:ascii="宋体" w:hAnsi="宋体" w:eastAsia="宋体" w:cs="宋体"/>
                <w:spacing w:val="-6"/>
                <w:position w:val="1"/>
                <w:sz w:val="20"/>
                <w:szCs w:val="20"/>
              </w:rPr>
              <w:t xml:space="preserve">收到基全水分 </w:t>
            </w:r>
            <w:r>
              <w:rPr>
                <w:rFonts w:ascii="Times New Roman" w:hAnsi="Times New Roman" w:eastAsia="Times New Roman" w:cs="Times New Roman"/>
                <w:spacing w:val="-6"/>
                <w:position w:val="1"/>
                <w:sz w:val="20"/>
                <w:szCs w:val="20"/>
              </w:rPr>
              <w:t>M</w:t>
            </w:r>
            <w:r>
              <w:rPr>
                <w:rFonts w:ascii="Times New Roman" w:hAnsi="Times New Roman" w:eastAsia="Times New Roman" w:cs="Times New Roman"/>
                <w:spacing w:val="-5"/>
                <w:position w:val="1"/>
                <w:sz w:val="20"/>
                <w:szCs w:val="20"/>
              </w:rPr>
              <w:t>t</w:t>
            </w:r>
            <w:r>
              <w:rPr>
                <w:rFonts w:ascii="Times New Roman" w:hAnsi="Times New Roman" w:eastAsia="Times New Roman" w:cs="Times New Roman"/>
                <w:spacing w:val="-6"/>
                <w:position w:val="1"/>
                <w:sz w:val="20"/>
                <w:szCs w:val="20"/>
              </w:rPr>
              <w:t xml:space="preserve">  </w:t>
            </w:r>
            <w:r>
              <w:rPr>
                <w:rFonts w:ascii="宋体" w:hAnsi="宋体" w:eastAsia="宋体" w:cs="宋体"/>
                <w:spacing w:val="-6"/>
                <w:position w:val="1"/>
                <w:sz w:val="20"/>
                <w:szCs w:val="20"/>
              </w:rPr>
              <w:t>(</w:t>
            </w:r>
            <w:r>
              <w:rPr>
                <w:rFonts w:ascii="Times New Roman" w:hAnsi="Times New Roman" w:eastAsia="Times New Roman" w:cs="Times New Roman"/>
                <w:spacing w:val="-6"/>
                <w:position w:val="1"/>
                <w:sz w:val="20"/>
                <w:szCs w:val="20"/>
              </w:rPr>
              <w:t>%</w:t>
            </w:r>
            <w:r>
              <w:rPr>
                <w:rFonts w:ascii="宋体" w:hAnsi="宋体" w:eastAsia="宋体" w:cs="宋体"/>
                <w:spacing w:val="-6"/>
                <w:position w:val="1"/>
                <w:sz w:val="20"/>
                <w:szCs w:val="20"/>
              </w:rPr>
              <w:t>)</w:t>
            </w:r>
          </w:p>
        </w:tc>
        <w:tc>
          <w:tcPr>
            <w:tcW w:w="4261" w:type="dxa"/>
            <w:tcBorders>
              <w:right w:val="nil"/>
            </w:tcBorders>
            <w:vAlign w:val="top"/>
          </w:tcPr>
          <w:p w14:paraId="26F73E0B">
            <w:pPr>
              <w:spacing w:before="100" w:line="195" w:lineRule="auto"/>
              <w:ind w:left="201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w:t>
            </w:r>
            <w:r>
              <w:rPr>
                <w:rFonts w:ascii="Times New Roman" w:hAnsi="Times New Roman" w:eastAsia="Times New Roman" w:cs="Times New Roman"/>
                <w:spacing w:val="-1"/>
                <w:sz w:val="20"/>
                <w:szCs w:val="20"/>
              </w:rPr>
              <w:t>0</w:t>
            </w:r>
          </w:p>
        </w:tc>
      </w:tr>
      <w:tr w14:paraId="311C4D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4261" w:type="dxa"/>
            <w:tcBorders>
              <w:left w:val="nil"/>
            </w:tcBorders>
            <w:vAlign w:val="top"/>
          </w:tcPr>
          <w:p w14:paraId="47AD5FD3">
            <w:pPr>
              <w:spacing w:before="28" w:line="281" w:lineRule="exact"/>
              <w:ind w:left="1123"/>
              <w:rPr>
                <w:rFonts w:ascii="宋体" w:hAnsi="宋体" w:eastAsia="宋体" w:cs="宋体"/>
                <w:sz w:val="20"/>
                <w:szCs w:val="20"/>
              </w:rPr>
            </w:pPr>
            <w:r>
              <w:rPr>
                <w:rFonts w:ascii="宋体" w:hAnsi="宋体" w:eastAsia="宋体" w:cs="宋体"/>
                <w:spacing w:val="3"/>
                <w:position w:val="1"/>
                <w:sz w:val="20"/>
                <w:szCs w:val="20"/>
              </w:rPr>
              <w:t>干</w:t>
            </w:r>
            <w:r>
              <w:rPr>
                <w:rFonts w:ascii="宋体" w:hAnsi="宋体" w:eastAsia="宋体" w:cs="宋体"/>
                <w:spacing w:val="2"/>
                <w:position w:val="1"/>
                <w:sz w:val="20"/>
                <w:szCs w:val="20"/>
              </w:rPr>
              <w:t>燥基挥发分</w:t>
            </w:r>
            <w:r>
              <w:rPr>
                <w:rFonts w:ascii="Times New Roman" w:hAnsi="Times New Roman" w:eastAsia="Times New Roman" w:cs="Times New Roman"/>
                <w:position w:val="1"/>
                <w:sz w:val="20"/>
                <w:szCs w:val="20"/>
              </w:rPr>
              <w:t>Vd</w:t>
            </w:r>
            <w:r>
              <w:rPr>
                <w:rFonts w:ascii="Times New Roman" w:hAnsi="Times New Roman" w:eastAsia="Times New Roman" w:cs="Times New Roman"/>
                <w:spacing w:val="2"/>
                <w:position w:val="1"/>
                <w:sz w:val="20"/>
                <w:szCs w:val="20"/>
              </w:rPr>
              <w:t xml:space="preserve">  </w:t>
            </w:r>
            <w:r>
              <w:rPr>
                <w:rFonts w:ascii="宋体" w:hAnsi="宋体" w:eastAsia="宋体" w:cs="宋体"/>
                <w:spacing w:val="2"/>
                <w:position w:val="1"/>
                <w:sz w:val="20"/>
                <w:szCs w:val="20"/>
              </w:rPr>
              <w:t>(</w:t>
            </w:r>
            <w:r>
              <w:rPr>
                <w:rFonts w:ascii="Times New Roman" w:hAnsi="Times New Roman" w:eastAsia="Times New Roman" w:cs="Times New Roman"/>
                <w:spacing w:val="2"/>
                <w:position w:val="1"/>
                <w:sz w:val="20"/>
                <w:szCs w:val="20"/>
              </w:rPr>
              <w:t>%</w:t>
            </w:r>
            <w:r>
              <w:rPr>
                <w:rFonts w:ascii="宋体" w:hAnsi="宋体" w:eastAsia="宋体" w:cs="宋体"/>
                <w:spacing w:val="2"/>
                <w:position w:val="1"/>
                <w:sz w:val="20"/>
                <w:szCs w:val="20"/>
              </w:rPr>
              <w:t>)</w:t>
            </w:r>
          </w:p>
        </w:tc>
        <w:tc>
          <w:tcPr>
            <w:tcW w:w="4261" w:type="dxa"/>
            <w:tcBorders>
              <w:right w:val="nil"/>
            </w:tcBorders>
            <w:vAlign w:val="top"/>
          </w:tcPr>
          <w:p w14:paraId="46A43B6F">
            <w:pPr>
              <w:spacing w:before="101" w:line="195" w:lineRule="auto"/>
              <w:ind w:left="191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69.</w:t>
            </w:r>
            <w:r>
              <w:rPr>
                <w:rFonts w:ascii="Times New Roman" w:hAnsi="Times New Roman" w:eastAsia="Times New Roman" w:cs="Times New Roman"/>
                <w:spacing w:val="-1"/>
                <w:sz w:val="20"/>
                <w:szCs w:val="20"/>
              </w:rPr>
              <w:t>98</w:t>
            </w:r>
          </w:p>
        </w:tc>
      </w:tr>
      <w:tr w14:paraId="7AE5E3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4261" w:type="dxa"/>
            <w:tcBorders>
              <w:left w:val="nil"/>
            </w:tcBorders>
            <w:vAlign w:val="top"/>
          </w:tcPr>
          <w:p w14:paraId="53B1A9B3">
            <w:pPr>
              <w:spacing w:before="29" w:line="281" w:lineRule="exact"/>
              <w:ind w:left="1221"/>
              <w:rPr>
                <w:rFonts w:ascii="宋体" w:hAnsi="宋体" w:eastAsia="宋体" w:cs="宋体"/>
                <w:sz w:val="20"/>
                <w:szCs w:val="20"/>
              </w:rPr>
            </w:pPr>
            <w:r>
              <w:rPr>
                <w:rFonts w:ascii="宋体" w:hAnsi="宋体" w:eastAsia="宋体" w:cs="宋体"/>
                <w:spacing w:val="3"/>
                <w:position w:val="1"/>
                <w:sz w:val="20"/>
                <w:szCs w:val="20"/>
              </w:rPr>
              <w:t>干燥基灰分</w:t>
            </w:r>
            <w:r>
              <w:rPr>
                <w:rFonts w:ascii="Times New Roman" w:hAnsi="Times New Roman" w:eastAsia="Times New Roman" w:cs="Times New Roman"/>
                <w:position w:val="1"/>
                <w:sz w:val="20"/>
                <w:szCs w:val="20"/>
              </w:rPr>
              <w:t>Ad</w:t>
            </w:r>
            <w:r>
              <w:rPr>
                <w:rFonts w:ascii="Times New Roman" w:hAnsi="Times New Roman" w:eastAsia="Times New Roman" w:cs="Times New Roman"/>
                <w:spacing w:val="3"/>
                <w:position w:val="1"/>
                <w:sz w:val="20"/>
                <w:szCs w:val="20"/>
              </w:rPr>
              <w:t xml:space="preserve">  </w:t>
            </w:r>
            <w:r>
              <w:rPr>
                <w:rFonts w:ascii="宋体" w:hAnsi="宋体" w:eastAsia="宋体" w:cs="宋体"/>
                <w:spacing w:val="3"/>
                <w:position w:val="1"/>
                <w:sz w:val="20"/>
                <w:szCs w:val="20"/>
              </w:rPr>
              <w:t>(</w:t>
            </w:r>
            <w:r>
              <w:rPr>
                <w:rFonts w:ascii="Times New Roman" w:hAnsi="Times New Roman" w:eastAsia="Times New Roman" w:cs="Times New Roman"/>
                <w:spacing w:val="3"/>
                <w:position w:val="1"/>
                <w:sz w:val="20"/>
                <w:szCs w:val="20"/>
              </w:rPr>
              <w:t>%</w:t>
            </w:r>
            <w:r>
              <w:rPr>
                <w:rFonts w:ascii="宋体" w:hAnsi="宋体" w:eastAsia="宋体" w:cs="宋体"/>
                <w:spacing w:val="2"/>
                <w:position w:val="1"/>
                <w:sz w:val="20"/>
                <w:szCs w:val="20"/>
              </w:rPr>
              <w:t>)</w:t>
            </w:r>
          </w:p>
        </w:tc>
        <w:tc>
          <w:tcPr>
            <w:tcW w:w="4261" w:type="dxa"/>
            <w:tcBorders>
              <w:right w:val="nil"/>
            </w:tcBorders>
            <w:vAlign w:val="top"/>
          </w:tcPr>
          <w:p w14:paraId="02B70E8F">
            <w:pPr>
              <w:spacing w:before="102" w:line="195" w:lineRule="auto"/>
              <w:ind w:left="19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w:t>
            </w:r>
            <w:r>
              <w:rPr>
                <w:rFonts w:ascii="Times New Roman" w:hAnsi="Times New Roman" w:eastAsia="Times New Roman" w:cs="Times New Roman"/>
                <w:spacing w:val="-1"/>
                <w:sz w:val="20"/>
                <w:szCs w:val="20"/>
              </w:rPr>
              <w:t>.24</w:t>
            </w:r>
          </w:p>
        </w:tc>
      </w:tr>
    </w:tbl>
    <w:p w14:paraId="3E19F10E">
      <w:pPr>
        <w:rPr>
          <w:rFonts w:ascii="Arial"/>
          <w:sz w:val="21"/>
        </w:rPr>
      </w:pPr>
    </w:p>
    <w:p w14:paraId="46A340B9">
      <w:pPr>
        <w:sectPr>
          <w:footerReference r:id="rId97" w:type="default"/>
          <w:pgSz w:w="11906" w:h="16839"/>
          <w:pgMar w:top="1132" w:right="1691" w:bottom="1156" w:left="1691" w:header="878" w:footer="996" w:gutter="0"/>
          <w:cols w:space="720" w:num="1"/>
        </w:sectPr>
      </w:pPr>
    </w:p>
    <w:p w14:paraId="7966FA64">
      <w:r>
        <w:pict>
          <v:shape id="_x0000_s1139" o:spid="_x0000_s1139" style="position:absolute;left:0pt;margin-left:72pt;margin-top:57.35pt;height:0.75pt;width:697.95pt;mso-position-horizontal-relative:page;mso-position-vertical-relative:page;z-index:251773952;mso-width-relative:page;mso-height-relative:page;" fillcolor="#000000" filled="t" stroked="f" coordsize="13959,15" o:allowincell="f" path="m0,0l13958,0,13958,14,0,14,0,0xe">
            <v:path/>
            <v:fill on="t" focussize="0,0"/>
            <v:stroke on="f"/>
            <v:imagedata o:title=""/>
            <o:lock v:ext="edit"/>
          </v:shape>
        </w:pict>
      </w:r>
    </w:p>
    <w:p w14:paraId="720FCAA1"/>
    <w:p w14:paraId="7AA3D7E5">
      <w:pPr>
        <w:spacing w:line="59" w:lineRule="exact"/>
      </w:pPr>
    </w:p>
    <w:tbl>
      <w:tblPr>
        <w:tblStyle w:val="4"/>
        <w:tblW w:w="14013" w:type="dxa"/>
        <w:tblInd w:w="104" w:type="dxa"/>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Layout w:type="fixed"/>
        <w:tblCellMar>
          <w:top w:w="0" w:type="dxa"/>
          <w:left w:w="0" w:type="dxa"/>
          <w:bottom w:w="0" w:type="dxa"/>
          <w:right w:w="0" w:type="dxa"/>
        </w:tblCellMar>
      </w:tblPr>
      <w:tblGrid>
        <w:gridCol w:w="14013"/>
      </w:tblGrid>
      <w:tr w14:paraId="09121812">
        <w:tblPrEx>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CellMar>
            <w:top w:w="0" w:type="dxa"/>
            <w:left w:w="0" w:type="dxa"/>
            <w:bottom w:w="0" w:type="dxa"/>
            <w:right w:w="0" w:type="dxa"/>
          </w:tblCellMar>
        </w:tblPrEx>
        <w:trPr>
          <w:trHeight w:val="7980" w:hRule="atLeast"/>
        </w:trPr>
        <w:tc>
          <w:tcPr>
            <w:tcW w:w="14013" w:type="dxa"/>
            <w:vAlign w:val="top"/>
          </w:tcPr>
          <w:p w14:paraId="73386DFA">
            <w:pPr>
              <w:spacing w:line="1490" w:lineRule="exact"/>
              <w:textAlignment w:val="center"/>
            </w:pPr>
            <w:r>
              <w:drawing>
                <wp:anchor distT="0" distB="0" distL="0" distR="0" simplePos="0" relativeHeight="251777024" behindDoc="0" locked="0" layoutInCell="1" allowOverlap="1">
                  <wp:simplePos x="0" y="0"/>
                  <wp:positionH relativeFrom="rightMargin">
                    <wp:posOffset>-639445</wp:posOffset>
                  </wp:positionH>
                  <wp:positionV relativeFrom="topMargin">
                    <wp:posOffset>4594225</wp:posOffset>
                  </wp:positionV>
                  <wp:extent cx="562610" cy="334010"/>
                  <wp:effectExtent l="0" t="0" r="0" b="0"/>
                  <wp:wrapNone/>
                  <wp:docPr id="45" name="IM 45"/>
                  <wp:cNvGraphicFramePr/>
                  <a:graphic xmlns:a="http://schemas.openxmlformats.org/drawingml/2006/main">
                    <a:graphicData uri="http://schemas.openxmlformats.org/drawingml/2006/picture">
                      <pic:pic xmlns:pic="http://schemas.openxmlformats.org/drawingml/2006/picture">
                        <pic:nvPicPr>
                          <pic:cNvPr id="45" name="IM 45"/>
                          <pic:cNvPicPr/>
                        </pic:nvPicPr>
                        <pic:blipFill>
                          <a:blip r:embed="rId429"/>
                          <a:stretch>
                            <a:fillRect/>
                          </a:stretch>
                        </pic:blipFill>
                        <pic:spPr>
                          <a:xfrm>
                            <a:off x="0" y="0"/>
                            <a:ext cx="562356" cy="333755"/>
                          </a:xfrm>
                          <a:prstGeom prst="rect">
                            <a:avLst/>
                          </a:prstGeom>
                        </pic:spPr>
                      </pic:pic>
                    </a:graphicData>
                  </a:graphic>
                </wp:anchor>
              </w:drawing>
            </w:r>
            <w:r>
              <w:drawing>
                <wp:inline distT="0" distB="0" distL="0" distR="0">
                  <wp:extent cx="924560" cy="946150"/>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430"/>
                          <a:stretch>
                            <a:fillRect/>
                          </a:stretch>
                        </pic:blipFill>
                        <pic:spPr>
                          <a:xfrm>
                            <a:off x="0" y="0"/>
                            <a:ext cx="925068" cy="946403"/>
                          </a:xfrm>
                          <a:prstGeom prst="rect">
                            <a:avLst/>
                          </a:prstGeom>
                        </pic:spPr>
                      </pic:pic>
                    </a:graphicData>
                  </a:graphic>
                </wp:inline>
              </w:drawing>
            </w:r>
          </w:p>
          <w:p w14:paraId="56F9FFA9">
            <w:pPr>
              <w:spacing w:line="277" w:lineRule="auto"/>
              <w:rPr>
                <w:rFonts w:ascii="Arial"/>
                <w:sz w:val="21"/>
              </w:rPr>
            </w:pPr>
          </w:p>
          <w:p w14:paraId="55D66777">
            <w:pPr>
              <w:spacing w:line="277" w:lineRule="auto"/>
              <w:rPr>
                <w:rFonts w:ascii="Arial"/>
                <w:sz w:val="21"/>
              </w:rPr>
            </w:pPr>
          </w:p>
          <w:p w14:paraId="52A8F281">
            <w:pPr>
              <w:spacing w:line="277" w:lineRule="auto"/>
              <w:rPr>
                <w:rFonts w:ascii="Arial"/>
                <w:sz w:val="21"/>
              </w:rPr>
            </w:pPr>
          </w:p>
          <w:p w14:paraId="380383D2">
            <w:pPr>
              <w:spacing w:line="277" w:lineRule="auto"/>
              <w:rPr>
                <w:rFonts w:ascii="Arial"/>
                <w:sz w:val="21"/>
              </w:rPr>
            </w:pPr>
          </w:p>
          <w:p w14:paraId="2E2E93A6">
            <w:pPr>
              <w:spacing w:line="277" w:lineRule="auto"/>
              <w:rPr>
                <w:rFonts w:ascii="Arial"/>
                <w:sz w:val="21"/>
              </w:rPr>
            </w:pPr>
          </w:p>
          <w:p w14:paraId="364470CD">
            <w:pPr>
              <w:spacing w:line="278" w:lineRule="auto"/>
              <w:rPr>
                <w:rFonts w:ascii="Arial"/>
                <w:sz w:val="21"/>
              </w:rPr>
            </w:pPr>
          </w:p>
          <w:p w14:paraId="1A7DEFAD">
            <w:pPr>
              <w:spacing w:line="472" w:lineRule="exact"/>
              <w:ind w:firstLine="3714"/>
              <w:textAlignment w:val="center"/>
            </w:pPr>
            <w:r>
              <w:pict>
                <v:group id="_x0000_s1140" o:spid="_x0000_s1140" o:spt="203" style="height:23.65pt;width:135.25pt;" coordsize="2705,472">
                  <o:lock v:ext="edit"/>
                  <v:shape id="_x0000_s1141" o:spid="_x0000_s1141" o:spt="75" type="#_x0000_t75" style="position:absolute;left:0;top:0;height:472;width:2521;" filled="f" stroked="f" coordsize="21600,21600">
                    <v:path/>
                    <v:fill on="f" focussize="0,0"/>
                    <v:stroke on="f"/>
                    <v:imagedata r:id="rId431" o:title=""/>
                    <o:lock v:ext="edit" aspectratio="t"/>
                  </v:shape>
                  <v:shape id="_x0000_s1142" o:spid="_x0000_s1142" o:spt="202" type="#_x0000_t202" style="position:absolute;left:282;top:138;height:287;width:1498;" filled="f" stroked="f" coordsize="21600,21600">
                    <v:path/>
                    <v:fill on="f" focussize="0,0"/>
                    <v:stroke on="f"/>
                    <v:imagedata o:title=""/>
                    <o:lock v:ext="edit" aspectratio="f"/>
                    <v:textbox inset="0mm,0mm,0mm,0mm">
                      <w:txbxContent>
                        <w:p w14:paraId="02B7146E">
                          <w:pPr>
                            <w:spacing w:before="20" w:line="228" w:lineRule="auto"/>
                            <w:ind w:left="20"/>
                            <w:rPr>
                              <w:rFonts w:ascii="宋体" w:hAnsi="宋体" w:eastAsia="宋体" w:cs="宋体"/>
                              <w:sz w:val="20"/>
                              <w:szCs w:val="20"/>
                            </w:rPr>
                          </w:pPr>
                          <w:r>
                            <w:rPr>
                              <w:rFonts w:ascii="宋体" w:hAnsi="宋体" w:eastAsia="宋体" w:cs="宋体"/>
                              <w:spacing w:val="9"/>
                              <w:sz w:val="20"/>
                              <w:szCs w:val="20"/>
                            </w:rPr>
                            <w:t>项</w:t>
                          </w:r>
                          <w:r>
                            <w:rPr>
                              <w:rFonts w:ascii="宋体" w:hAnsi="宋体" w:eastAsia="宋体" w:cs="宋体"/>
                              <w:spacing w:val="8"/>
                              <w:sz w:val="20"/>
                              <w:szCs w:val="20"/>
                            </w:rPr>
                            <w:t>目建设所在地</w:t>
                          </w:r>
                        </w:p>
                      </w:txbxContent>
                    </v:textbox>
                  </v:shape>
                  <v:shape id="_x0000_s1143" o:spid="_x0000_s1143" o:spt="75" type="#_x0000_t75" style="position:absolute;left:2442;top:29;height:228;width:262;" filled="f" stroked="f" coordsize="21600,21600">
                    <v:path/>
                    <v:fill on="f" focussize="0,0"/>
                    <v:stroke on="f"/>
                    <v:imagedata r:id="rId432" o:title=""/>
                    <o:lock v:ext="edit" aspectratio="t"/>
                  </v:shape>
                  <w10:wrap type="none"/>
                  <w10:anchorlock/>
                </v:group>
              </w:pict>
            </w:r>
          </w:p>
          <w:p w14:paraId="7CE2C7A0"/>
          <w:p w14:paraId="0BD911EB"/>
          <w:p w14:paraId="7543CA4C"/>
          <w:p w14:paraId="68F6864C"/>
          <w:p w14:paraId="30ECC4FF"/>
          <w:p w14:paraId="754FC7CF"/>
          <w:p w14:paraId="6314E569"/>
          <w:p w14:paraId="0B961BE5"/>
          <w:p w14:paraId="7DD32CC2"/>
          <w:p w14:paraId="23B8E65D"/>
          <w:p w14:paraId="635D221B"/>
          <w:p w14:paraId="652C125B"/>
          <w:p w14:paraId="3D9A78CB"/>
          <w:p w14:paraId="242DB866">
            <w:pPr>
              <w:spacing w:line="79" w:lineRule="exact"/>
            </w:pPr>
          </w:p>
          <w:tbl>
            <w:tblPr>
              <w:tblStyle w:val="4"/>
              <w:tblW w:w="2348" w:type="dxa"/>
              <w:tblInd w:w="10"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2348"/>
            </w:tblGrid>
            <w:tr w14:paraId="05D109C9">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1083" w:hRule="atLeast"/>
              </w:trPr>
              <w:tc>
                <w:tcPr>
                  <w:tcW w:w="2348" w:type="dxa"/>
                  <w:shd w:val="clear" w:color="auto" w:fill="FFFFFF"/>
                  <w:vAlign w:val="top"/>
                </w:tcPr>
                <w:p w14:paraId="704F0429">
                  <w:pPr>
                    <w:spacing w:before="198" w:line="229" w:lineRule="auto"/>
                    <w:ind w:left="828"/>
                    <w:rPr>
                      <w:rFonts w:ascii="宋体" w:hAnsi="宋体" w:eastAsia="宋体" w:cs="宋体"/>
                      <w:sz w:val="23"/>
                      <w:szCs w:val="23"/>
                    </w:rPr>
                  </w:pPr>
                  <w:r>
                    <w:drawing>
                      <wp:anchor distT="0" distB="0" distL="0" distR="0" simplePos="0" relativeHeight="251772928" behindDoc="1" locked="0" layoutInCell="1" allowOverlap="1">
                        <wp:simplePos x="0" y="0"/>
                        <wp:positionH relativeFrom="column">
                          <wp:posOffset>-12700</wp:posOffset>
                        </wp:positionH>
                        <wp:positionV relativeFrom="paragraph">
                          <wp:posOffset>-4365625</wp:posOffset>
                        </wp:positionV>
                        <wp:extent cx="8860790" cy="5067300"/>
                        <wp:effectExtent l="0" t="0" r="0" b="0"/>
                        <wp:wrapNone/>
                        <wp:docPr id="47" name="IM 47"/>
                        <wp:cNvGraphicFramePr/>
                        <a:graphic xmlns:a="http://schemas.openxmlformats.org/drawingml/2006/main">
                          <a:graphicData uri="http://schemas.openxmlformats.org/drawingml/2006/picture">
                            <pic:pic xmlns:pic="http://schemas.openxmlformats.org/drawingml/2006/picture">
                              <pic:nvPicPr>
                                <pic:cNvPr id="47" name="IM 47"/>
                                <pic:cNvPicPr/>
                              </pic:nvPicPr>
                              <pic:blipFill>
                                <a:blip r:embed="rId433"/>
                                <a:stretch>
                                  <a:fillRect/>
                                </a:stretch>
                              </pic:blipFill>
                              <pic:spPr>
                                <a:xfrm>
                                  <a:off x="0" y="0"/>
                                  <a:ext cx="8860535" cy="5067300"/>
                                </a:xfrm>
                                <a:prstGeom prst="rect">
                                  <a:avLst/>
                                </a:prstGeom>
                              </pic:spPr>
                            </pic:pic>
                          </a:graphicData>
                        </a:graphic>
                      </wp:anchor>
                    </w:drawing>
                  </w:r>
                  <w:r>
                    <w:pict>
                      <v:shape id="_x0000_s1144" o:spid="_x0000_s1144" style="position:absolute;left:0pt;margin-left:39.75pt;margin-top:21.35pt;height:1.25pt;width:36pt;z-index:251776000;mso-width-relative:page;mso-height-relative:page;" filled="f" stroked="t" coordsize="720,25" path="m0,12l720,12e">
                        <v:fill on="f" focussize="0,0"/>
                        <v:stroke weight="1.2pt" color="#000000" miterlimit="2" joinstyle="bevel"/>
                        <v:imagedata o:title=""/>
                        <o:lock v:ext="edit"/>
                      </v:shape>
                    </w:pict>
                  </w:r>
                  <w:r>
                    <w:drawing>
                      <wp:anchor distT="0" distB="0" distL="0" distR="0" simplePos="0" relativeHeight="251774976" behindDoc="0" locked="0" layoutInCell="1" allowOverlap="1">
                        <wp:simplePos x="0" y="0"/>
                        <wp:positionH relativeFrom="rightMargin">
                          <wp:posOffset>-1453515</wp:posOffset>
                        </wp:positionH>
                        <wp:positionV relativeFrom="topMargin">
                          <wp:posOffset>446405</wp:posOffset>
                        </wp:positionV>
                        <wp:extent cx="228600" cy="133350"/>
                        <wp:effectExtent l="0" t="0" r="0" b="0"/>
                        <wp:wrapNone/>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434"/>
                                <a:stretch>
                                  <a:fillRect/>
                                </a:stretch>
                              </pic:blipFill>
                              <pic:spPr>
                                <a:xfrm>
                                  <a:off x="0" y="0"/>
                                  <a:ext cx="228600" cy="133350"/>
                                </a:xfrm>
                                <a:prstGeom prst="rect">
                                  <a:avLst/>
                                </a:prstGeom>
                              </pic:spPr>
                            </pic:pic>
                          </a:graphicData>
                        </a:graphic>
                      </wp:anchor>
                    </w:drawing>
                  </w:r>
                  <w:r>
                    <w:rPr>
                      <w:rFonts w:ascii="宋体" w:hAnsi="宋体" w:eastAsia="宋体" w:cs="宋体"/>
                      <w:spacing w:val="-1"/>
                      <w:sz w:val="23"/>
                      <w:szCs w:val="23"/>
                      <w14:textOutline w14:w="4358" w14:cap="sq" w14:cmpd="sng">
                        <w14:solidFill>
                          <w14:srgbClr w14:val="000000"/>
                        </w14:solidFill>
                        <w14:prstDash w14:val="solid"/>
                        <w14:bevel/>
                      </w14:textOutline>
                    </w:rPr>
                    <w:t>图</w:t>
                  </w:r>
                  <w:r>
                    <w:rPr>
                      <w:rFonts w:ascii="宋体" w:hAnsi="宋体" w:eastAsia="宋体" w:cs="宋体"/>
                      <w:spacing w:val="-1"/>
                      <w:sz w:val="23"/>
                      <w:szCs w:val="23"/>
                    </w:rPr>
                    <w:t xml:space="preserve">  </w:t>
                  </w:r>
                  <w:r>
                    <w:rPr>
                      <w:rFonts w:ascii="宋体" w:hAnsi="宋体" w:eastAsia="宋体" w:cs="宋体"/>
                      <w:sz w:val="23"/>
                      <w:szCs w:val="23"/>
                      <w14:textOutline w14:w="4358" w14:cap="sq" w14:cmpd="sng">
                        <w14:solidFill>
                          <w14:srgbClr w14:val="000000"/>
                        </w14:solidFill>
                        <w14:prstDash w14:val="solid"/>
                        <w14:bevel/>
                      </w14:textOutline>
                    </w:rPr>
                    <w:t>例</w:t>
                  </w:r>
                </w:p>
                <w:p w14:paraId="64F462F8">
                  <w:pPr>
                    <w:spacing w:before="214" w:line="228" w:lineRule="auto"/>
                    <w:ind w:left="508"/>
                    <w:rPr>
                      <w:rFonts w:ascii="宋体" w:hAnsi="宋体" w:eastAsia="宋体" w:cs="宋体"/>
                      <w:sz w:val="23"/>
                      <w:szCs w:val="23"/>
                    </w:rPr>
                  </w:pPr>
                  <w:r>
                    <w:rPr>
                      <w:rFonts w:ascii="宋体" w:hAnsi="宋体" w:eastAsia="宋体" w:cs="宋体"/>
                      <w:spacing w:val="9"/>
                      <w:sz w:val="23"/>
                      <w:szCs w:val="23"/>
                    </w:rPr>
                    <w:t>建</w:t>
                  </w:r>
                  <w:r>
                    <w:rPr>
                      <w:rFonts w:ascii="宋体" w:hAnsi="宋体" w:eastAsia="宋体" w:cs="宋体"/>
                      <w:spacing w:val="8"/>
                      <w:sz w:val="23"/>
                      <w:szCs w:val="23"/>
                    </w:rPr>
                    <w:t>设项目所在地</w:t>
                  </w:r>
                </w:p>
              </w:tc>
            </w:tr>
          </w:tbl>
          <w:p w14:paraId="6941B86C">
            <w:pPr>
              <w:spacing w:line="14" w:lineRule="auto"/>
              <w:rPr>
                <w:rFonts w:ascii="Arial"/>
                <w:sz w:val="2"/>
              </w:rPr>
            </w:pPr>
          </w:p>
        </w:tc>
      </w:tr>
    </w:tbl>
    <w:p w14:paraId="1B77846A">
      <w:pPr>
        <w:spacing w:before="138" w:line="228" w:lineRule="auto"/>
        <w:ind w:left="5317"/>
        <w:rPr>
          <w:rFonts w:ascii="宋体" w:hAnsi="宋体" w:eastAsia="宋体" w:cs="宋体"/>
          <w:sz w:val="23"/>
          <w:szCs w:val="23"/>
        </w:rPr>
      </w:pPr>
      <w:r>
        <w:rPr>
          <w:rFonts w:ascii="宋体" w:hAnsi="宋体" w:eastAsia="宋体" w:cs="宋体"/>
          <w:spacing w:val="8"/>
          <w:sz w:val="23"/>
          <w:szCs w:val="23"/>
          <w14:textOutline w14:w="4358" w14:cap="sq" w14:cmpd="sng">
            <w14:solidFill>
              <w14:srgbClr w14:val="000000"/>
            </w14:solidFill>
            <w14:prstDash w14:val="solid"/>
            <w14:bevel/>
          </w14:textOutline>
        </w:rPr>
        <w:t>图</w:t>
      </w:r>
      <w:r>
        <w:rPr>
          <w:rFonts w:ascii="宋体" w:hAnsi="宋体" w:eastAsia="宋体" w:cs="宋体"/>
          <w:spacing w:val="8"/>
          <w:sz w:val="23"/>
          <w:szCs w:val="23"/>
        </w:rPr>
        <w:t xml:space="preserve"> </w:t>
      </w:r>
      <w:r>
        <w:rPr>
          <w:rFonts w:ascii="Times New Roman" w:hAnsi="Times New Roman" w:eastAsia="Times New Roman" w:cs="Times New Roman"/>
          <w:b/>
          <w:bCs/>
          <w:spacing w:val="8"/>
          <w:sz w:val="23"/>
          <w:szCs w:val="23"/>
        </w:rPr>
        <w:t>3</w:t>
      </w:r>
      <w:r>
        <w:rPr>
          <w:rFonts w:ascii="Times New Roman" w:hAnsi="Times New Roman" w:eastAsia="Times New Roman" w:cs="Times New Roman"/>
          <w:b/>
          <w:bCs/>
          <w:spacing w:val="7"/>
          <w:sz w:val="23"/>
          <w:szCs w:val="23"/>
        </w:rPr>
        <w:t>-</w:t>
      </w:r>
      <w:r>
        <w:rPr>
          <w:rFonts w:ascii="Times New Roman" w:hAnsi="Times New Roman" w:eastAsia="Times New Roman" w:cs="Times New Roman"/>
          <w:spacing w:val="4"/>
          <w:sz w:val="23"/>
          <w:szCs w:val="23"/>
        </w:rPr>
        <w:t xml:space="preserve"> </w:t>
      </w:r>
      <w:r>
        <w:rPr>
          <w:rFonts w:ascii="Times New Roman" w:hAnsi="Times New Roman" w:eastAsia="Times New Roman" w:cs="Times New Roman"/>
          <w:b/>
          <w:bCs/>
          <w:spacing w:val="4"/>
          <w:sz w:val="23"/>
          <w:szCs w:val="23"/>
        </w:rPr>
        <w:t>1</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建设项</w:t>
      </w:r>
      <w:r>
        <w:rPr>
          <w:rFonts w:ascii="宋体" w:hAnsi="宋体" w:eastAsia="宋体" w:cs="宋体"/>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目地理位置图</w:t>
      </w:r>
    </w:p>
    <w:p w14:paraId="731A1E8B">
      <w:pPr>
        <w:sectPr>
          <w:headerReference r:id="rId98" w:type="default"/>
          <w:footerReference r:id="rId99" w:type="default"/>
          <w:pgSz w:w="16839" w:h="11906"/>
          <w:pgMar w:top="1132" w:right="1250" w:bottom="1156" w:left="1440" w:header="878" w:footer="996" w:gutter="0"/>
          <w:cols w:space="720" w:num="1"/>
        </w:sectPr>
      </w:pPr>
    </w:p>
    <w:p w14:paraId="5F8FC231">
      <w:pPr>
        <w:spacing w:line="246" w:lineRule="auto"/>
        <w:rPr>
          <w:rFonts w:ascii="Arial"/>
          <w:sz w:val="21"/>
        </w:rPr>
      </w:pPr>
      <w:r>
        <w:pict>
          <v:shape id="_x0000_s1145" o:spid="_x0000_s1145" style="position:absolute;left:0pt;margin-left:90pt;margin-top:57.35pt;height:0.75pt;width:415.3pt;mso-position-horizontal-relative:page;mso-position-vertical-relative:page;z-index:251778048;mso-width-relative:page;mso-height-relative:page;" fillcolor="#000000" filled="t" stroked="f" coordsize="8305,15" o:allowincell="f" path="m0,0l8305,0,8305,14,0,14,0,0xe">
            <v:path/>
            <v:fill on="t" focussize="0,0"/>
            <v:stroke on="f"/>
            <v:imagedata o:title=""/>
            <o:lock v:ext="edit"/>
          </v:shape>
        </w:pict>
      </w:r>
    </w:p>
    <w:p w14:paraId="67C7026B">
      <w:pPr>
        <w:spacing w:line="247" w:lineRule="auto"/>
        <w:rPr>
          <w:rFonts w:ascii="Arial"/>
          <w:sz w:val="21"/>
        </w:rPr>
      </w:pPr>
    </w:p>
    <w:p w14:paraId="230382CC">
      <w:pPr>
        <w:spacing w:before="95" w:line="226" w:lineRule="auto"/>
        <w:ind w:left="112"/>
        <w:outlineLvl w:val="2"/>
        <w:rPr>
          <w:rFonts w:ascii="宋体" w:hAnsi="宋体" w:eastAsia="宋体" w:cs="宋体"/>
          <w:sz w:val="29"/>
          <w:szCs w:val="29"/>
        </w:rPr>
      </w:pPr>
      <w:r>
        <w:rPr>
          <w:rFonts w:ascii="Times New Roman" w:hAnsi="Times New Roman" w:eastAsia="Times New Roman" w:cs="Times New Roman"/>
          <w:b/>
          <w:bCs/>
          <w:spacing w:val="11"/>
          <w:sz w:val="29"/>
          <w:szCs w:val="29"/>
        </w:rPr>
        <w:t>3</w:t>
      </w:r>
      <w:r>
        <w:rPr>
          <w:rFonts w:ascii="Times New Roman" w:hAnsi="Times New Roman" w:eastAsia="Times New Roman" w:cs="Times New Roman"/>
          <w:b/>
          <w:bCs/>
          <w:spacing w:val="6"/>
          <w:sz w:val="29"/>
          <w:szCs w:val="29"/>
        </w:rPr>
        <w:t>.1.5</w:t>
      </w:r>
      <w:r>
        <w:rPr>
          <w:rFonts w:ascii="Times New Roman" w:hAnsi="Times New Roman" w:eastAsia="Times New Roman" w:cs="Times New Roman"/>
          <w:spacing w:val="6"/>
          <w:sz w:val="29"/>
          <w:szCs w:val="29"/>
        </w:rPr>
        <w:t xml:space="preserve">  </w:t>
      </w:r>
      <w:r>
        <w:rPr>
          <w:rFonts w:ascii="宋体" w:hAnsi="宋体" w:eastAsia="宋体" w:cs="宋体"/>
          <w:spacing w:val="6"/>
          <w:sz w:val="29"/>
          <w:szCs w:val="29"/>
          <w14:textOutline w14:w="5448" w14:cap="sq" w14:cmpd="sng">
            <w14:solidFill>
              <w14:srgbClr w14:val="000000"/>
            </w14:solidFill>
            <w14:prstDash w14:val="solid"/>
            <w14:bevel/>
          </w14:textOutline>
        </w:rPr>
        <w:t>主要设备清单</w:t>
      </w:r>
    </w:p>
    <w:p w14:paraId="03640A1D">
      <w:pPr>
        <w:spacing w:before="284" w:line="227" w:lineRule="auto"/>
        <w:ind w:left="625"/>
        <w:rPr>
          <w:rFonts w:ascii="宋体" w:hAnsi="宋体" w:eastAsia="宋体" w:cs="宋体"/>
          <w:sz w:val="23"/>
          <w:szCs w:val="23"/>
        </w:rPr>
      </w:pPr>
      <w:r>
        <w:rPr>
          <w:rFonts w:ascii="宋体" w:hAnsi="宋体" w:eastAsia="宋体" w:cs="宋体"/>
          <w:spacing w:val="10"/>
          <w:sz w:val="23"/>
          <w:szCs w:val="23"/>
        </w:rPr>
        <w:t xml:space="preserve">项目主要生产设备清单详见表 </w:t>
      </w:r>
      <w:r>
        <w:rPr>
          <w:rFonts w:ascii="Times New Roman" w:hAnsi="Times New Roman" w:eastAsia="Times New Roman" w:cs="Times New Roman"/>
          <w:spacing w:val="10"/>
          <w:sz w:val="23"/>
          <w:szCs w:val="23"/>
        </w:rPr>
        <w:t>3- 8</w:t>
      </w:r>
      <w:r>
        <w:rPr>
          <w:rFonts w:ascii="宋体" w:hAnsi="宋体" w:eastAsia="宋体" w:cs="宋体"/>
          <w:spacing w:val="7"/>
          <w:sz w:val="23"/>
          <w:szCs w:val="23"/>
        </w:rPr>
        <w:t>。</w:t>
      </w:r>
    </w:p>
    <w:p w14:paraId="0B10329A">
      <w:pPr>
        <w:spacing w:before="293" w:line="227" w:lineRule="auto"/>
        <w:ind w:left="2672"/>
        <w:rPr>
          <w:rFonts w:ascii="宋体" w:hAnsi="宋体" w:eastAsia="宋体" w:cs="宋体"/>
          <w:sz w:val="23"/>
          <w:szCs w:val="23"/>
        </w:rPr>
      </w:pPr>
      <w:r>
        <w:rPr>
          <w:rFonts w:ascii="宋体" w:hAnsi="宋体" w:eastAsia="宋体" w:cs="宋体"/>
          <w:spacing w:val="8"/>
          <w:sz w:val="23"/>
          <w:szCs w:val="23"/>
          <w14:textOutline w14:w="4358" w14:cap="sq" w14:cmpd="sng">
            <w14:solidFill>
              <w14:srgbClr w14:val="000000"/>
            </w14:solidFill>
            <w14:prstDash w14:val="solid"/>
            <w14:bevel/>
          </w14:textOutline>
        </w:rPr>
        <w:t>表</w:t>
      </w:r>
      <w:r>
        <w:rPr>
          <w:rFonts w:ascii="宋体" w:hAnsi="宋体" w:eastAsia="宋体" w:cs="宋体"/>
          <w:spacing w:val="8"/>
          <w:sz w:val="23"/>
          <w:szCs w:val="23"/>
        </w:rPr>
        <w:t xml:space="preserve"> </w:t>
      </w:r>
      <w:r>
        <w:rPr>
          <w:rFonts w:ascii="Times New Roman" w:hAnsi="Times New Roman" w:eastAsia="Times New Roman" w:cs="Times New Roman"/>
          <w:b/>
          <w:bCs/>
          <w:spacing w:val="8"/>
          <w:sz w:val="23"/>
          <w:szCs w:val="23"/>
        </w:rPr>
        <w:t>3-8</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14:textOutline w14:w="4358" w14:cap="sq" w14:cmpd="sng">
            <w14:solidFill>
              <w14:srgbClr w14:val="000000"/>
            </w14:solidFill>
            <w14:prstDash w14:val="solid"/>
            <w14:bevel/>
          </w14:textOutline>
        </w:rPr>
        <w:t>主要生产设备清</w:t>
      </w:r>
      <w:r>
        <w:rPr>
          <w:rFonts w:ascii="宋体" w:hAnsi="宋体" w:eastAsia="宋体" w:cs="宋体"/>
          <w:spacing w:val="6"/>
          <w:sz w:val="23"/>
          <w:szCs w:val="23"/>
          <w14:textOutline w14:w="4358" w14:cap="sq" w14:cmpd="sng">
            <w14:solidFill>
              <w14:srgbClr w14:val="000000"/>
            </w14:solidFill>
            <w14:prstDash w14:val="solid"/>
            <w14:bevel/>
          </w14:textOutline>
        </w:rPr>
        <w:t>单</w:t>
      </w:r>
    </w:p>
    <w:p w14:paraId="2766D159">
      <w:pPr>
        <w:spacing w:line="61" w:lineRule="auto"/>
        <w:rPr>
          <w:rFonts w:ascii="Arial"/>
          <w:sz w:val="2"/>
        </w:rPr>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6"/>
        <w:gridCol w:w="1625"/>
        <w:gridCol w:w="836"/>
        <w:gridCol w:w="4272"/>
        <w:gridCol w:w="943"/>
      </w:tblGrid>
      <w:tr w14:paraId="71105C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846" w:type="dxa"/>
            <w:tcBorders>
              <w:left w:val="nil"/>
            </w:tcBorders>
            <w:vAlign w:val="top"/>
          </w:tcPr>
          <w:p w14:paraId="4DC3F75B">
            <w:pPr>
              <w:spacing w:before="75" w:line="229" w:lineRule="auto"/>
              <w:ind w:left="220"/>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序号</w:t>
            </w:r>
          </w:p>
        </w:tc>
        <w:tc>
          <w:tcPr>
            <w:tcW w:w="1625" w:type="dxa"/>
            <w:vAlign w:val="top"/>
          </w:tcPr>
          <w:p w14:paraId="36136960">
            <w:pPr>
              <w:spacing w:before="75" w:line="229" w:lineRule="auto"/>
              <w:ind w:left="401"/>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设</w:t>
            </w:r>
            <w:r>
              <w:rPr>
                <w:rFonts w:ascii="宋体" w:hAnsi="宋体" w:eastAsia="宋体" w:cs="宋体"/>
                <w:spacing w:val="7"/>
                <w:sz w:val="20"/>
                <w:szCs w:val="20"/>
                <w14:textOutline w14:w="3795" w14:cap="sq" w14:cmpd="sng">
                  <w14:solidFill>
                    <w14:srgbClr w14:val="000000"/>
                  </w14:solidFill>
                  <w14:prstDash w14:val="solid"/>
                  <w14:bevel/>
                </w14:textOutline>
              </w:rPr>
              <w:t>备名称</w:t>
            </w:r>
          </w:p>
        </w:tc>
        <w:tc>
          <w:tcPr>
            <w:tcW w:w="836" w:type="dxa"/>
            <w:vAlign w:val="top"/>
          </w:tcPr>
          <w:p w14:paraId="13E2AA8E">
            <w:pPr>
              <w:spacing w:before="75" w:line="228" w:lineRule="auto"/>
              <w:ind w:left="214"/>
              <w:rPr>
                <w:rFonts w:ascii="宋体" w:hAnsi="宋体" w:eastAsia="宋体" w:cs="宋体"/>
                <w:sz w:val="20"/>
                <w:szCs w:val="20"/>
              </w:rPr>
            </w:pPr>
            <w:r>
              <w:rPr>
                <w:rFonts w:ascii="宋体" w:hAnsi="宋体" w:eastAsia="宋体" w:cs="宋体"/>
                <w:spacing w:val="5"/>
                <w:sz w:val="20"/>
                <w:szCs w:val="20"/>
                <w14:textOutline w14:w="3795" w14:cap="sq" w14:cmpd="sng">
                  <w14:solidFill>
                    <w14:srgbClr w14:val="000000"/>
                  </w14:solidFill>
                  <w14:prstDash w14:val="solid"/>
                  <w14:bevel/>
                </w14:textOutline>
              </w:rPr>
              <w:t>数量</w:t>
            </w:r>
          </w:p>
        </w:tc>
        <w:tc>
          <w:tcPr>
            <w:tcW w:w="4272" w:type="dxa"/>
            <w:vAlign w:val="top"/>
          </w:tcPr>
          <w:p w14:paraId="1AFEC912">
            <w:pPr>
              <w:spacing w:before="75" w:line="228" w:lineRule="auto"/>
              <w:ind w:left="1722"/>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规</w:t>
            </w:r>
            <w:r>
              <w:rPr>
                <w:rFonts w:ascii="宋体" w:hAnsi="宋体" w:eastAsia="宋体" w:cs="宋体"/>
                <w:spacing w:val="8"/>
                <w:sz w:val="20"/>
                <w:szCs w:val="20"/>
                <w14:textOutline w14:w="3795" w14:cap="sq" w14:cmpd="sng">
                  <w14:solidFill>
                    <w14:srgbClr w14:val="000000"/>
                  </w14:solidFill>
                  <w14:prstDash w14:val="solid"/>
                  <w14:bevel/>
                </w14:textOutline>
              </w:rPr>
              <w:t>格型号</w:t>
            </w:r>
          </w:p>
        </w:tc>
        <w:tc>
          <w:tcPr>
            <w:tcW w:w="943" w:type="dxa"/>
            <w:tcBorders>
              <w:right w:val="nil"/>
            </w:tcBorders>
            <w:vAlign w:val="top"/>
          </w:tcPr>
          <w:p w14:paraId="4A589BC0">
            <w:pPr>
              <w:spacing w:before="75" w:line="229" w:lineRule="auto"/>
              <w:ind w:left="269"/>
              <w:rPr>
                <w:rFonts w:ascii="宋体" w:hAnsi="宋体" w:eastAsia="宋体" w:cs="宋体"/>
                <w:sz w:val="20"/>
                <w:szCs w:val="20"/>
              </w:rPr>
            </w:pPr>
            <w:r>
              <w:rPr>
                <w:rFonts w:ascii="宋体" w:hAnsi="宋体" w:eastAsia="宋体" w:cs="宋体"/>
                <w:spacing w:val="5"/>
                <w:sz w:val="20"/>
                <w:szCs w:val="20"/>
                <w14:textOutline w14:w="3795" w14:cap="sq" w14:cmpd="sng">
                  <w14:solidFill>
                    <w14:srgbClr w14:val="000000"/>
                  </w14:solidFill>
                  <w14:prstDash w14:val="solid"/>
                  <w14:bevel/>
                </w14:textOutline>
              </w:rPr>
              <w:t>工</w:t>
            </w:r>
            <w:r>
              <w:rPr>
                <w:rFonts w:ascii="宋体" w:hAnsi="宋体" w:eastAsia="宋体" w:cs="宋体"/>
                <w:spacing w:val="4"/>
                <w:sz w:val="20"/>
                <w:szCs w:val="20"/>
                <w14:textOutline w14:w="3795" w14:cap="sq" w14:cmpd="sng">
                  <w14:solidFill>
                    <w14:srgbClr w14:val="000000"/>
                  </w14:solidFill>
                  <w14:prstDash w14:val="solid"/>
                  <w14:bevel/>
                </w14:textOutline>
              </w:rPr>
              <w:t>序</w:t>
            </w:r>
          </w:p>
        </w:tc>
      </w:tr>
      <w:tr w14:paraId="50D7FE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46" w:type="dxa"/>
            <w:tcBorders>
              <w:left w:val="nil"/>
            </w:tcBorders>
            <w:vAlign w:val="top"/>
          </w:tcPr>
          <w:p w14:paraId="68671496">
            <w:pPr>
              <w:spacing w:before="87" w:line="195" w:lineRule="auto"/>
              <w:ind w:left="394"/>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625" w:type="dxa"/>
            <w:vAlign w:val="top"/>
          </w:tcPr>
          <w:p w14:paraId="17BA1D70">
            <w:pPr>
              <w:spacing w:before="51" w:line="227" w:lineRule="auto"/>
              <w:ind w:left="504"/>
              <w:rPr>
                <w:rFonts w:ascii="宋体" w:hAnsi="宋体" w:eastAsia="宋体" w:cs="宋体"/>
                <w:sz w:val="20"/>
                <w:szCs w:val="20"/>
              </w:rPr>
            </w:pPr>
            <w:r>
              <w:rPr>
                <w:rFonts w:ascii="宋体" w:hAnsi="宋体" w:eastAsia="宋体" w:cs="宋体"/>
                <w:spacing w:val="7"/>
                <w:sz w:val="20"/>
                <w:szCs w:val="20"/>
              </w:rPr>
              <w:t>提</w:t>
            </w:r>
            <w:r>
              <w:rPr>
                <w:rFonts w:ascii="宋体" w:hAnsi="宋体" w:eastAsia="宋体" w:cs="宋体"/>
                <w:spacing w:val="6"/>
                <w:sz w:val="20"/>
                <w:szCs w:val="20"/>
              </w:rPr>
              <w:t>料机</w:t>
            </w:r>
          </w:p>
        </w:tc>
        <w:tc>
          <w:tcPr>
            <w:tcW w:w="836" w:type="dxa"/>
            <w:vAlign w:val="top"/>
          </w:tcPr>
          <w:p w14:paraId="5FDEB62A">
            <w:pPr>
              <w:spacing w:before="51" w:line="230" w:lineRule="auto"/>
              <w:ind w:left="202"/>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 xml:space="preserve">0 </w:t>
            </w:r>
            <w:r>
              <w:rPr>
                <w:rFonts w:ascii="宋体" w:hAnsi="宋体" w:eastAsia="宋体" w:cs="宋体"/>
                <w:spacing w:val="3"/>
                <w:sz w:val="20"/>
                <w:szCs w:val="20"/>
              </w:rPr>
              <w:t>台</w:t>
            </w:r>
          </w:p>
        </w:tc>
        <w:tc>
          <w:tcPr>
            <w:tcW w:w="4272" w:type="dxa"/>
            <w:vAlign w:val="top"/>
          </w:tcPr>
          <w:p w14:paraId="229FB154">
            <w:pPr>
              <w:spacing w:before="13" w:line="281" w:lineRule="exact"/>
              <w:ind w:left="1325"/>
              <w:rPr>
                <w:rFonts w:ascii="Times New Roman" w:hAnsi="Times New Roman" w:eastAsia="Times New Roman" w:cs="Times New Roman"/>
                <w:sz w:val="20"/>
                <w:szCs w:val="20"/>
              </w:rPr>
            </w:pPr>
            <w:r>
              <w:rPr>
                <w:rFonts w:ascii="宋体" w:hAnsi="宋体" w:eastAsia="宋体" w:cs="宋体"/>
                <w:spacing w:val="2"/>
                <w:position w:val="1"/>
                <w:sz w:val="20"/>
                <w:szCs w:val="20"/>
              </w:rPr>
              <w:t>单位生产能</w:t>
            </w:r>
            <w:r>
              <w:rPr>
                <w:rFonts w:ascii="宋体" w:hAnsi="宋体" w:eastAsia="宋体" w:cs="宋体"/>
                <w:spacing w:val="1"/>
                <w:position w:val="1"/>
                <w:sz w:val="20"/>
                <w:szCs w:val="20"/>
              </w:rPr>
              <w:t xml:space="preserve">力 </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1"/>
                <w:position w:val="1"/>
                <w:sz w:val="20"/>
                <w:szCs w:val="20"/>
              </w:rPr>
              <w:t>/</w:t>
            </w:r>
            <w:r>
              <w:rPr>
                <w:rFonts w:ascii="Times New Roman" w:hAnsi="Times New Roman" w:eastAsia="Times New Roman" w:cs="Times New Roman"/>
                <w:position w:val="1"/>
                <w:sz w:val="20"/>
                <w:szCs w:val="20"/>
              </w:rPr>
              <w:t>h</w:t>
            </w:r>
          </w:p>
        </w:tc>
        <w:tc>
          <w:tcPr>
            <w:tcW w:w="943" w:type="dxa"/>
            <w:tcBorders>
              <w:right w:val="nil"/>
            </w:tcBorders>
            <w:vAlign w:val="top"/>
          </w:tcPr>
          <w:p w14:paraId="7562EC8E">
            <w:pPr>
              <w:spacing w:before="50" w:line="228" w:lineRule="auto"/>
              <w:ind w:left="55"/>
              <w:rPr>
                <w:rFonts w:ascii="宋体" w:hAnsi="宋体" w:eastAsia="宋体" w:cs="宋体"/>
                <w:sz w:val="20"/>
                <w:szCs w:val="20"/>
              </w:rPr>
            </w:pPr>
            <w:r>
              <w:rPr>
                <w:rFonts w:ascii="宋体" w:hAnsi="宋体" w:eastAsia="宋体" w:cs="宋体"/>
                <w:spacing w:val="9"/>
                <w:sz w:val="20"/>
                <w:szCs w:val="20"/>
              </w:rPr>
              <w:t>破</w:t>
            </w:r>
            <w:r>
              <w:rPr>
                <w:rFonts w:ascii="宋体" w:hAnsi="宋体" w:eastAsia="宋体" w:cs="宋体"/>
                <w:spacing w:val="7"/>
                <w:sz w:val="20"/>
                <w:szCs w:val="20"/>
              </w:rPr>
              <w:t>碎上料</w:t>
            </w:r>
          </w:p>
        </w:tc>
      </w:tr>
      <w:tr w14:paraId="1F864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846" w:type="dxa"/>
            <w:tcBorders>
              <w:left w:val="nil"/>
            </w:tcBorders>
            <w:vAlign w:val="top"/>
          </w:tcPr>
          <w:p w14:paraId="5CC44CD6">
            <w:pPr>
              <w:spacing w:before="89" w:line="195" w:lineRule="auto"/>
              <w:ind w:left="373"/>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625" w:type="dxa"/>
            <w:vAlign w:val="top"/>
          </w:tcPr>
          <w:p w14:paraId="7F7C95B4">
            <w:pPr>
              <w:spacing w:before="53" w:line="227" w:lineRule="auto"/>
              <w:ind w:left="502"/>
              <w:rPr>
                <w:rFonts w:ascii="宋体" w:hAnsi="宋体" w:eastAsia="宋体" w:cs="宋体"/>
                <w:sz w:val="20"/>
                <w:szCs w:val="20"/>
              </w:rPr>
            </w:pPr>
            <w:r>
              <w:rPr>
                <w:rFonts w:ascii="宋体" w:hAnsi="宋体" w:eastAsia="宋体" w:cs="宋体"/>
                <w:spacing w:val="7"/>
                <w:sz w:val="20"/>
                <w:szCs w:val="20"/>
              </w:rPr>
              <w:t>粉</w:t>
            </w:r>
            <w:r>
              <w:rPr>
                <w:rFonts w:ascii="宋体" w:hAnsi="宋体" w:eastAsia="宋体" w:cs="宋体"/>
                <w:spacing w:val="6"/>
                <w:sz w:val="20"/>
                <w:szCs w:val="20"/>
              </w:rPr>
              <w:t>碎机</w:t>
            </w:r>
          </w:p>
        </w:tc>
        <w:tc>
          <w:tcPr>
            <w:tcW w:w="836" w:type="dxa"/>
            <w:vAlign w:val="top"/>
          </w:tcPr>
          <w:p w14:paraId="18C716AC">
            <w:pPr>
              <w:spacing w:before="53" w:line="230" w:lineRule="auto"/>
              <w:ind w:left="202"/>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 xml:space="preserve">0 </w:t>
            </w:r>
            <w:r>
              <w:rPr>
                <w:rFonts w:ascii="宋体" w:hAnsi="宋体" w:eastAsia="宋体" w:cs="宋体"/>
                <w:spacing w:val="3"/>
                <w:sz w:val="20"/>
                <w:szCs w:val="20"/>
              </w:rPr>
              <w:t>台</w:t>
            </w:r>
          </w:p>
        </w:tc>
        <w:tc>
          <w:tcPr>
            <w:tcW w:w="4272" w:type="dxa"/>
            <w:vAlign w:val="top"/>
          </w:tcPr>
          <w:p w14:paraId="353ACC14">
            <w:pPr>
              <w:spacing w:before="15" w:line="281" w:lineRule="exact"/>
              <w:ind w:left="893"/>
              <w:rPr>
                <w:rFonts w:ascii="Times New Roman" w:hAnsi="Times New Roman" w:eastAsia="Times New Roman" w:cs="Times New Roman"/>
                <w:sz w:val="20"/>
                <w:szCs w:val="20"/>
              </w:rPr>
            </w:pPr>
            <w:r>
              <w:rPr>
                <w:rFonts w:ascii="Times New Roman" w:hAnsi="Times New Roman" w:eastAsia="Times New Roman" w:cs="Times New Roman"/>
                <w:spacing w:val="4"/>
                <w:position w:val="1"/>
                <w:sz w:val="20"/>
                <w:szCs w:val="20"/>
              </w:rPr>
              <w:t xml:space="preserve">1200 </w:t>
            </w:r>
            <w:r>
              <w:rPr>
                <w:rFonts w:ascii="宋体" w:hAnsi="宋体" w:eastAsia="宋体" w:cs="宋体"/>
                <w:spacing w:val="2"/>
                <w:position w:val="1"/>
                <w:sz w:val="20"/>
                <w:szCs w:val="20"/>
              </w:rPr>
              <w:t xml:space="preserve">型、单位生产能力 </w:t>
            </w:r>
            <w:r>
              <w:rPr>
                <w:rFonts w:ascii="Times New Roman" w:hAnsi="Times New Roman" w:eastAsia="Times New Roman" w:cs="Times New Roman"/>
                <w:spacing w:val="2"/>
                <w:position w:val="1"/>
                <w:sz w:val="20"/>
                <w:szCs w:val="20"/>
              </w:rPr>
              <w:t>1</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2"/>
                <w:position w:val="1"/>
                <w:sz w:val="20"/>
                <w:szCs w:val="20"/>
              </w:rPr>
              <w:t>/</w:t>
            </w:r>
            <w:r>
              <w:rPr>
                <w:rFonts w:ascii="Times New Roman" w:hAnsi="Times New Roman" w:eastAsia="Times New Roman" w:cs="Times New Roman"/>
                <w:position w:val="1"/>
                <w:sz w:val="20"/>
                <w:szCs w:val="20"/>
              </w:rPr>
              <w:t>h</w:t>
            </w:r>
          </w:p>
        </w:tc>
        <w:tc>
          <w:tcPr>
            <w:tcW w:w="943" w:type="dxa"/>
            <w:tcBorders>
              <w:right w:val="nil"/>
            </w:tcBorders>
            <w:vAlign w:val="top"/>
          </w:tcPr>
          <w:p w14:paraId="7CC74753">
            <w:pPr>
              <w:spacing w:before="52" w:line="228" w:lineRule="auto"/>
              <w:ind w:left="266"/>
              <w:rPr>
                <w:rFonts w:ascii="宋体" w:hAnsi="宋体" w:eastAsia="宋体" w:cs="宋体"/>
                <w:sz w:val="20"/>
                <w:szCs w:val="20"/>
              </w:rPr>
            </w:pPr>
            <w:r>
              <w:rPr>
                <w:rFonts w:ascii="宋体" w:hAnsi="宋体" w:eastAsia="宋体" w:cs="宋体"/>
                <w:spacing w:val="5"/>
                <w:sz w:val="20"/>
                <w:szCs w:val="20"/>
              </w:rPr>
              <w:t>破碎</w:t>
            </w:r>
          </w:p>
        </w:tc>
      </w:tr>
      <w:tr w14:paraId="1689EC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846" w:type="dxa"/>
            <w:tcBorders>
              <w:left w:val="nil"/>
            </w:tcBorders>
            <w:vAlign w:val="top"/>
          </w:tcPr>
          <w:p w14:paraId="5772DACA">
            <w:pPr>
              <w:spacing w:before="87" w:line="195" w:lineRule="auto"/>
              <w:ind w:left="378"/>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625" w:type="dxa"/>
            <w:vAlign w:val="top"/>
          </w:tcPr>
          <w:p w14:paraId="5698AFA0">
            <w:pPr>
              <w:spacing w:before="54" w:line="227" w:lineRule="auto"/>
              <w:ind w:left="292"/>
              <w:rPr>
                <w:rFonts w:ascii="宋体" w:hAnsi="宋体" w:eastAsia="宋体" w:cs="宋体"/>
                <w:sz w:val="20"/>
                <w:szCs w:val="20"/>
              </w:rPr>
            </w:pPr>
            <w:r>
              <w:rPr>
                <w:rFonts w:ascii="宋体" w:hAnsi="宋体" w:eastAsia="宋体" w:cs="宋体"/>
                <w:spacing w:val="8"/>
                <w:sz w:val="20"/>
                <w:szCs w:val="20"/>
              </w:rPr>
              <w:t>偏心清洗机</w:t>
            </w:r>
          </w:p>
        </w:tc>
        <w:tc>
          <w:tcPr>
            <w:tcW w:w="836" w:type="dxa"/>
            <w:vAlign w:val="top"/>
          </w:tcPr>
          <w:p w14:paraId="07E21084">
            <w:pPr>
              <w:spacing w:before="54" w:line="230" w:lineRule="auto"/>
              <w:ind w:left="202"/>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 xml:space="preserve">0 </w:t>
            </w:r>
            <w:r>
              <w:rPr>
                <w:rFonts w:ascii="宋体" w:hAnsi="宋体" w:eastAsia="宋体" w:cs="宋体"/>
                <w:spacing w:val="3"/>
                <w:sz w:val="20"/>
                <w:szCs w:val="20"/>
              </w:rPr>
              <w:t>台</w:t>
            </w:r>
          </w:p>
        </w:tc>
        <w:tc>
          <w:tcPr>
            <w:tcW w:w="4272" w:type="dxa"/>
            <w:vAlign w:val="top"/>
          </w:tcPr>
          <w:p w14:paraId="0C40DC61">
            <w:pPr>
              <w:spacing w:before="16" w:line="281" w:lineRule="exact"/>
              <w:ind w:left="1325"/>
              <w:rPr>
                <w:rFonts w:ascii="Times New Roman" w:hAnsi="Times New Roman" w:eastAsia="Times New Roman" w:cs="Times New Roman"/>
                <w:sz w:val="20"/>
                <w:szCs w:val="20"/>
              </w:rPr>
            </w:pPr>
            <w:r>
              <w:rPr>
                <w:rFonts w:ascii="宋体" w:hAnsi="宋体" w:eastAsia="宋体" w:cs="宋体"/>
                <w:spacing w:val="2"/>
                <w:position w:val="1"/>
                <w:sz w:val="20"/>
                <w:szCs w:val="20"/>
              </w:rPr>
              <w:t>单位生产能</w:t>
            </w:r>
            <w:r>
              <w:rPr>
                <w:rFonts w:ascii="宋体" w:hAnsi="宋体" w:eastAsia="宋体" w:cs="宋体"/>
                <w:spacing w:val="1"/>
                <w:position w:val="1"/>
                <w:sz w:val="20"/>
                <w:szCs w:val="20"/>
              </w:rPr>
              <w:t xml:space="preserve">力 </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1"/>
                <w:position w:val="1"/>
                <w:sz w:val="20"/>
                <w:szCs w:val="20"/>
              </w:rPr>
              <w:t>/</w:t>
            </w:r>
            <w:r>
              <w:rPr>
                <w:rFonts w:ascii="Times New Roman" w:hAnsi="Times New Roman" w:eastAsia="Times New Roman" w:cs="Times New Roman"/>
                <w:position w:val="1"/>
                <w:sz w:val="20"/>
                <w:szCs w:val="20"/>
              </w:rPr>
              <w:t>h</w:t>
            </w:r>
          </w:p>
        </w:tc>
        <w:tc>
          <w:tcPr>
            <w:tcW w:w="943" w:type="dxa"/>
            <w:vMerge w:val="restart"/>
            <w:tcBorders>
              <w:bottom w:val="nil"/>
              <w:right w:val="nil"/>
            </w:tcBorders>
            <w:vAlign w:val="top"/>
          </w:tcPr>
          <w:p w14:paraId="083E791B">
            <w:pPr>
              <w:spacing w:line="309" w:lineRule="auto"/>
              <w:rPr>
                <w:rFonts w:ascii="Arial"/>
                <w:sz w:val="21"/>
              </w:rPr>
            </w:pPr>
          </w:p>
          <w:p w14:paraId="3C32705D">
            <w:pPr>
              <w:spacing w:before="65" w:line="229" w:lineRule="auto"/>
              <w:ind w:left="266"/>
              <w:rPr>
                <w:rFonts w:ascii="宋体" w:hAnsi="宋体" w:eastAsia="宋体" w:cs="宋体"/>
                <w:sz w:val="20"/>
                <w:szCs w:val="20"/>
              </w:rPr>
            </w:pPr>
            <w:r>
              <w:rPr>
                <w:rFonts w:ascii="宋体" w:hAnsi="宋体" w:eastAsia="宋体" w:cs="宋体"/>
                <w:spacing w:val="5"/>
                <w:sz w:val="20"/>
                <w:szCs w:val="20"/>
              </w:rPr>
              <w:t>初洗</w:t>
            </w:r>
          </w:p>
        </w:tc>
      </w:tr>
      <w:tr w14:paraId="3A61A5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846" w:type="dxa"/>
            <w:tcBorders>
              <w:left w:val="nil"/>
            </w:tcBorders>
            <w:vAlign w:val="top"/>
          </w:tcPr>
          <w:p w14:paraId="1E925820">
            <w:pPr>
              <w:spacing w:before="88" w:line="195" w:lineRule="auto"/>
              <w:ind w:left="37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625" w:type="dxa"/>
            <w:vAlign w:val="top"/>
          </w:tcPr>
          <w:p w14:paraId="15C9967E">
            <w:pPr>
              <w:spacing w:before="52" w:line="228" w:lineRule="auto"/>
              <w:ind w:left="186"/>
              <w:rPr>
                <w:rFonts w:ascii="宋体" w:hAnsi="宋体" w:eastAsia="宋体" w:cs="宋体"/>
                <w:sz w:val="20"/>
                <w:szCs w:val="20"/>
              </w:rPr>
            </w:pPr>
            <w:r>
              <w:rPr>
                <w:rFonts w:ascii="宋体" w:hAnsi="宋体" w:eastAsia="宋体" w:cs="宋体"/>
                <w:spacing w:val="9"/>
                <w:sz w:val="20"/>
                <w:szCs w:val="20"/>
              </w:rPr>
              <w:t>沉</w:t>
            </w:r>
            <w:r>
              <w:rPr>
                <w:rFonts w:ascii="宋体" w:hAnsi="宋体" w:eastAsia="宋体" w:cs="宋体"/>
                <w:spacing w:val="8"/>
                <w:sz w:val="20"/>
                <w:szCs w:val="20"/>
              </w:rPr>
              <w:t>浮分离水槽</w:t>
            </w:r>
          </w:p>
        </w:tc>
        <w:tc>
          <w:tcPr>
            <w:tcW w:w="836" w:type="dxa"/>
            <w:vAlign w:val="top"/>
          </w:tcPr>
          <w:p w14:paraId="4A5D9843">
            <w:pPr>
              <w:spacing w:before="52" w:line="230" w:lineRule="auto"/>
              <w:ind w:left="202"/>
              <w:rPr>
                <w:rFonts w:ascii="宋体" w:hAnsi="宋体" w:eastAsia="宋体" w:cs="宋体"/>
                <w:sz w:val="20"/>
                <w:szCs w:val="20"/>
              </w:rPr>
            </w:pPr>
            <w:r>
              <w:rPr>
                <w:rFonts w:ascii="Times New Roman" w:hAnsi="Times New Roman" w:eastAsia="Times New Roman" w:cs="Times New Roman"/>
                <w:spacing w:val="-1"/>
                <w:sz w:val="20"/>
                <w:szCs w:val="20"/>
              </w:rPr>
              <w:t>1</w:t>
            </w:r>
            <w:r>
              <w:rPr>
                <w:rFonts w:ascii="Times New Roman" w:hAnsi="Times New Roman" w:eastAsia="Times New Roman" w:cs="Times New Roman"/>
                <w:sz w:val="20"/>
                <w:szCs w:val="20"/>
              </w:rPr>
              <w:t xml:space="preserve">0 </w:t>
            </w:r>
            <w:r>
              <w:rPr>
                <w:rFonts w:ascii="宋体" w:hAnsi="宋体" w:eastAsia="宋体" w:cs="宋体"/>
                <w:sz w:val="20"/>
                <w:szCs w:val="20"/>
              </w:rPr>
              <w:t>座</w:t>
            </w:r>
          </w:p>
        </w:tc>
        <w:tc>
          <w:tcPr>
            <w:tcW w:w="4272" w:type="dxa"/>
            <w:vAlign w:val="top"/>
          </w:tcPr>
          <w:p w14:paraId="5789F61C">
            <w:pPr>
              <w:spacing w:before="15" w:line="281" w:lineRule="exact"/>
              <w:ind w:left="403"/>
              <w:rPr>
                <w:rFonts w:ascii="宋体" w:hAnsi="宋体" w:eastAsia="宋体" w:cs="宋体"/>
                <w:sz w:val="20"/>
                <w:szCs w:val="20"/>
              </w:rPr>
            </w:pPr>
            <w:r>
              <w:rPr>
                <w:rFonts w:ascii="宋体" w:hAnsi="宋体" w:eastAsia="宋体" w:cs="宋体"/>
                <w:spacing w:val="6"/>
                <w:position w:val="1"/>
                <w:sz w:val="20"/>
                <w:szCs w:val="20"/>
              </w:rPr>
              <w:t>单</w:t>
            </w:r>
            <w:r>
              <w:rPr>
                <w:rFonts w:ascii="宋体" w:hAnsi="宋体" w:eastAsia="宋体" w:cs="宋体"/>
                <w:spacing w:val="4"/>
                <w:position w:val="1"/>
                <w:sz w:val="20"/>
                <w:szCs w:val="20"/>
              </w:rPr>
              <w:t xml:space="preserve">座容积 </w:t>
            </w:r>
            <w:r>
              <w:rPr>
                <w:rFonts w:ascii="Times New Roman" w:hAnsi="Times New Roman" w:eastAsia="Times New Roman" w:cs="Times New Roman"/>
                <w:spacing w:val="4"/>
                <w:position w:val="1"/>
                <w:sz w:val="20"/>
                <w:szCs w:val="20"/>
              </w:rPr>
              <w:t>27</w:t>
            </w:r>
            <w:r>
              <w:rPr>
                <w:rFonts w:ascii="Times New Roman" w:hAnsi="Times New Roman" w:eastAsia="Times New Roman" w:cs="Times New Roman"/>
                <w:position w:val="1"/>
                <w:sz w:val="20"/>
                <w:szCs w:val="20"/>
              </w:rPr>
              <w:t>m</w:t>
            </w:r>
            <w:r>
              <w:rPr>
                <w:rFonts w:ascii="Times New Roman" w:hAnsi="Times New Roman" w:eastAsia="Times New Roman" w:cs="Times New Roman"/>
                <w:spacing w:val="4"/>
                <w:position w:val="7"/>
                <w:sz w:val="13"/>
                <w:szCs w:val="13"/>
              </w:rPr>
              <w:t>3</w:t>
            </w:r>
            <w:r>
              <w:rPr>
                <w:rFonts w:ascii="Times New Roman" w:hAnsi="Times New Roman" w:eastAsia="Times New Roman" w:cs="Times New Roman"/>
                <w:spacing w:val="4"/>
                <w:position w:val="1"/>
                <w:sz w:val="20"/>
                <w:szCs w:val="20"/>
              </w:rPr>
              <w:t>/</w:t>
            </w:r>
            <w:r>
              <w:rPr>
                <w:rFonts w:ascii="宋体" w:hAnsi="宋体" w:eastAsia="宋体" w:cs="宋体"/>
                <w:spacing w:val="4"/>
                <w:position w:val="1"/>
                <w:sz w:val="20"/>
                <w:szCs w:val="20"/>
              </w:rPr>
              <w:t>座 (</w:t>
            </w:r>
            <w:r>
              <w:rPr>
                <w:rFonts w:ascii="Times New Roman" w:hAnsi="Times New Roman" w:eastAsia="Times New Roman" w:cs="Times New Roman"/>
                <w:spacing w:val="4"/>
                <w:position w:val="1"/>
                <w:sz w:val="20"/>
                <w:szCs w:val="20"/>
              </w:rPr>
              <w:t>15</w:t>
            </w:r>
            <w:r>
              <w:rPr>
                <w:rFonts w:ascii="Times New Roman" w:hAnsi="Times New Roman" w:eastAsia="Times New Roman" w:cs="Times New Roman"/>
                <w:position w:val="1"/>
                <w:sz w:val="20"/>
                <w:szCs w:val="20"/>
              </w:rPr>
              <w:t>m</w:t>
            </w:r>
            <w:r>
              <w:rPr>
                <w:rFonts w:ascii="Times New Roman" w:hAnsi="Times New Roman" w:eastAsia="Times New Roman" w:cs="Times New Roman"/>
                <w:spacing w:val="4"/>
                <w:position w:val="1"/>
                <w:sz w:val="20"/>
                <w:szCs w:val="20"/>
              </w:rPr>
              <w:t>×1.2</w:t>
            </w:r>
            <w:r>
              <w:rPr>
                <w:rFonts w:ascii="Times New Roman" w:hAnsi="Times New Roman" w:eastAsia="Times New Roman" w:cs="Times New Roman"/>
                <w:position w:val="1"/>
                <w:sz w:val="20"/>
                <w:szCs w:val="20"/>
              </w:rPr>
              <w:t>m</w:t>
            </w:r>
            <w:r>
              <w:rPr>
                <w:rFonts w:ascii="Times New Roman" w:hAnsi="Times New Roman" w:eastAsia="Times New Roman" w:cs="Times New Roman"/>
                <w:spacing w:val="4"/>
                <w:position w:val="1"/>
                <w:sz w:val="20"/>
                <w:szCs w:val="20"/>
              </w:rPr>
              <w:t>×1.5</w:t>
            </w:r>
            <w:r>
              <w:rPr>
                <w:rFonts w:ascii="Times New Roman" w:hAnsi="Times New Roman" w:eastAsia="Times New Roman" w:cs="Times New Roman"/>
                <w:position w:val="1"/>
                <w:sz w:val="20"/>
                <w:szCs w:val="20"/>
              </w:rPr>
              <w:t>m</w:t>
            </w:r>
            <w:r>
              <w:rPr>
                <w:rFonts w:ascii="宋体" w:hAnsi="宋体" w:eastAsia="宋体" w:cs="宋体"/>
                <w:spacing w:val="4"/>
                <w:position w:val="1"/>
                <w:sz w:val="20"/>
                <w:szCs w:val="20"/>
              </w:rPr>
              <w:t>)</w:t>
            </w:r>
          </w:p>
        </w:tc>
        <w:tc>
          <w:tcPr>
            <w:tcW w:w="943" w:type="dxa"/>
            <w:vMerge w:val="continue"/>
            <w:tcBorders>
              <w:top w:val="nil"/>
              <w:bottom w:val="nil"/>
              <w:right w:val="nil"/>
            </w:tcBorders>
            <w:vAlign w:val="top"/>
          </w:tcPr>
          <w:p w14:paraId="085B10E2">
            <w:pPr>
              <w:rPr>
                <w:rFonts w:ascii="Arial"/>
                <w:sz w:val="21"/>
              </w:rPr>
            </w:pPr>
          </w:p>
        </w:tc>
      </w:tr>
      <w:tr w14:paraId="72E160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46" w:type="dxa"/>
            <w:tcBorders>
              <w:left w:val="nil"/>
            </w:tcBorders>
            <w:vAlign w:val="top"/>
          </w:tcPr>
          <w:p w14:paraId="36158293">
            <w:pPr>
              <w:spacing w:before="90" w:line="192" w:lineRule="auto"/>
              <w:ind w:left="379"/>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625" w:type="dxa"/>
            <w:vAlign w:val="top"/>
          </w:tcPr>
          <w:p w14:paraId="6F6A14E2">
            <w:pPr>
              <w:spacing w:before="51" w:line="227" w:lineRule="auto"/>
              <w:ind w:left="291"/>
              <w:rPr>
                <w:rFonts w:ascii="宋体" w:hAnsi="宋体" w:eastAsia="宋体" w:cs="宋体"/>
                <w:sz w:val="20"/>
                <w:szCs w:val="20"/>
              </w:rPr>
            </w:pPr>
            <w:r>
              <w:rPr>
                <w:rFonts w:ascii="宋体" w:hAnsi="宋体" w:eastAsia="宋体" w:cs="宋体"/>
                <w:spacing w:val="9"/>
                <w:sz w:val="20"/>
                <w:szCs w:val="20"/>
              </w:rPr>
              <w:t>链</w:t>
            </w:r>
            <w:r>
              <w:rPr>
                <w:rFonts w:ascii="宋体" w:hAnsi="宋体" w:eastAsia="宋体" w:cs="宋体"/>
                <w:spacing w:val="8"/>
                <w:sz w:val="20"/>
                <w:szCs w:val="20"/>
              </w:rPr>
              <w:t>条挖料机</w:t>
            </w:r>
          </w:p>
        </w:tc>
        <w:tc>
          <w:tcPr>
            <w:tcW w:w="836" w:type="dxa"/>
            <w:vAlign w:val="top"/>
          </w:tcPr>
          <w:p w14:paraId="5C244124">
            <w:pPr>
              <w:spacing w:before="51" w:line="230" w:lineRule="auto"/>
              <w:ind w:left="202"/>
              <w:rPr>
                <w:rFonts w:ascii="宋体" w:hAnsi="宋体" w:eastAsia="宋体" w:cs="宋体"/>
                <w:sz w:val="20"/>
                <w:szCs w:val="20"/>
              </w:rPr>
            </w:pPr>
            <w:r>
              <w:rPr>
                <w:rFonts w:ascii="Times New Roman" w:hAnsi="Times New Roman" w:eastAsia="Times New Roman" w:cs="Times New Roman"/>
                <w:spacing w:val="-1"/>
                <w:sz w:val="20"/>
                <w:szCs w:val="20"/>
              </w:rPr>
              <w:t>1</w:t>
            </w:r>
            <w:r>
              <w:rPr>
                <w:rFonts w:ascii="Times New Roman" w:hAnsi="Times New Roman" w:eastAsia="Times New Roman" w:cs="Times New Roman"/>
                <w:sz w:val="20"/>
                <w:szCs w:val="20"/>
              </w:rPr>
              <w:t xml:space="preserve">0 </w:t>
            </w:r>
            <w:r>
              <w:rPr>
                <w:rFonts w:ascii="宋体" w:hAnsi="宋体" w:eastAsia="宋体" w:cs="宋体"/>
                <w:sz w:val="20"/>
                <w:szCs w:val="20"/>
              </w:rPr>
              <w:t>座</w:t>
            </w:r>
          </w:p>
        </w:tc>
        <w:tc>
          <w:tcPr>
            <w:tcW w:w="4272" w:type="dxa"/>
            <w:vAlign w:val="top"/>
          </w:tcPr>
          <w:p w14:paraId="2BC3C010">
            <w:pPr>
              <w:spacing w:before="13" w:line="281" w:lineRule="exact"/>
              <w:ind w:left="1325"/>
              <w:rPr>
                <w:rFonts w:ascii="Times New Roman" w:hAnsi="Times New Roman" w:eastAsia="Times New Roman" w:cs="Times New Roman"/>
                <w:sz w:val="20"/>
                <w:szCs w:val="20"/>
              </w:rPr>
            </w:pPr>
            <w:r>
              <w:rPr>
                <w:rFonts w:ascii="宋体" w:hAnsi="宋体" w:eastAsia="宋体" w:cs="宋体"/>
                <w:spacing w:val="2"/>
                <w:position w:val="1"/>
                <w:sz w:val="20"/>
                <w:szCs w:val="20"/>
              </w:rPr>
              <w:t>单位生产能</w:t>
            </w:r>
            <w:r>
              <w:rPr>
                <w:rFonts w:ascii="宋体" w:hAnsi="宋体" w:eastAsia="宋体" w:cs="宋体"/>
                <w:spacing w:val="1"/>
                <w:position w:val="1"/>
                <w:sz w:val="20"/>
                <w:szCs w:val="20"/>
              </w:rPr>
              <w:t xml:space="preserve">力 </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1"/>
                <w:position w:val="1"/>
                <w:sz w:val="20"/>
                <w:szCs w:val="20"/>
              </w:rPr>
              <w:t>/</w:t>
            </w:r>
            <w:r>
              <w:rPr>
                <w:rFonts w:ascii="Times New Roman" w:hAnsi="Times New Roman" w:eastAsia="Times New Roman" w:cs="Times New Roman"/>
                <w:position w:val="1"/>
                <w:sz w:val="20"/>
                <w:szCs w:val="20"/>
              </w:rPr>
              <w:t>h</w:t>
            </w:r>
          </w:p>
        </w:tc>
        <w:tc>
          <w:tcPr>
            <w:tcW w:w="943" w:type="dxa"/>
            <w:vMerge w:val="continue"/>
            <w:tcBorders>
              <w:top w:val="nil"/>
              <w:right w:val="nil"/>
            </w:tcBorders>
            <w:vAlign w:val="top"/>
          </w:tcPr>
          <w:p w14:paraId="16DD08A9">
            <w:pPr>
              <w:rPr>
                <w:rFonts w:ascii="Arial"/>
                <w:sz w:val="21"/>
              </w:rPr>
            </w:pPr>
          </w:p>
        </w:tc>
      </w:tr>
      <w:tr w14:paraId="566FC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846" w:type="dxa"/>
            <w:tcBorders>
              <w:left w:val="nil"/>
            </w:tcBorders>
            <w:vAlign w:val="top"/>
          </w:tcPr>
          <w:p w14:paraId="2FF1AE4F">
            <w:pPr>
              <w:spacing w:before="89" w:line="195" w:lineRule="auto"/>
              <w:ind w:left="378"/>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625" w:type="dxa"/>
            <w:vAlign w:val="top"/>
          </w:tcPr>
          <w:p w14:paraId="2C3D48F7">
            <w:pPr>
              <w:spacing w:before="53" w:line="227" w:lineRule="auto"/>
              <w:ind w:left="607"/>
              <w:rPr>
                <w:rFonts w:ascii="宋体" w:hAnsi="宋体" w:eastAsia="宋体" w:cs="宋体"/>
                <w:sz w:val="20"/>
                <w:szCs w:val="20"/>
              </w:rPr>
            </w:pPr>
            <w:r>
              <w:rPr>
                <w:rFonts w:ascii="宋体" w:hAnsi="宋体" w:eastAsia="宋体" w:cs="宋体"/>
                <w:spacing w:val="4"/>
                <w:sz w:val="20"/>
                <w:szCs w:val="20"/>
              </w:rPr>
              <w:t>风机</w:t>
            </w:r>
          </w:p>
        </w:tc>
        <w:tc>
          <w:tcPr>
            <w:tcW w:w="836" w:type="dxa"/>
            <w:vAlign w:val="top"/>
          </w:tcPr>
          <w:p w14:paraId="45F5CBA3">
            <w:pPr>
              <w:spacing w:before="53" w:line="230" w:lineRule="auto"/>
              <w:ind w:left="255"/>
              <w:rPr>
                <w:rFonts w:ascii="宋体" w:hAnsi="宋体" w:eastAsia="宋体" w:cs="宋体"/>
                <w:sz w:val="20"/>
                <w:szCs w:val="20"/>
              </w:rPr>
            </w:pPr>
            <w:r>
              <w:rPr>
                <w:rFonts w:ascii="Times New Roman" w:hAnsi="Times New Roman" w:eastAsia="Times New Roman" w:cs="Times New Roman"/>
                <w:spacing w:val="2"/>
                <w:sz w:val="20"/>
                <w:szCs w:val="20"/>
              </w:rPr>
              <w:t xml:space="preserve">1 </w:t>
            </w:r>
            <w:r>
              <w:rPr>
                <w:rFonts w:ascii="宋体" w:hAnsi="宋体" w:eastAsia="宋体" w:cs="宋体"/>
                <w:spacing w:val="2"/>
                <w:sz w:val="20"/>
                <w:szCs w:val="20"/>
              </w:rPr>
              <w:t>台</w:t>
            </w:r>
          </w:p>
        </w:tc>
        <w:tc>
          <w:tcPr>
            <w:tcW w:w="4272" w:type="dxa"/>
            <w:vAlign w:val="top"/>
          </w:tcPr>
          <w:p w14:paraId="0E2EE331">
            <w:pPr>
              <w:spacing w:before="15" w:line="281" w:lineRule="exact"/>
              <w:ind w:left="2105"/>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943" w:type="dxa"/>
            <w:vMerge w:val="restart"/>
            <w:tcBorders>
              <w:bottom w:val="nil"/>
              <w:right w:val="nil"/>
            </w:tcBorders>
            <w:vAlign w:val="top"/>
          </w:tcPr>
          <w:p w14:paraId="70FF4E3C">
            <w:pPr>
              <w:spacing w:line="469" w:lineRule="auto"/>
              <w:rPr>
                <w:rFonts w:ascii="Arial"/>
                <w:sz w:val="21"/>
              </w:rPr>
            </w:pPr>
          </w:p>
          <w:p w14:paraId="257AF7D0">
            <w:pPr>
              <w:spacing w:before="65" w:line="228" w:lineRule="auto"/>
              <w:ind w:left="266"/>
              <w:rPr>
                <w:rFonts w:ascii="宋体" w:hAnsi="宋体" w:eastAsia="宋体" w:cs="宋体"/>
                <w:sz w:val="20"/>
                <w:szCs w:val="20"/>
              </w:rPr>
            </w:pPr>
            <w:r>
              <w:rPr>
                <w:rFonts w:ascii="宋体" w:hAnsi="宋体" w:eastAsia="宋体" w:cs="宋体"/>
                <w:spacing w:val="5"/>
                <w:sz w:val="20"/>
                <w:szCs w:val="20"/>
              </w:rPr>
              <w:t>洗字</w:t>
            </w:r>
          </w:p>
        </w:tc>
      </w:tr>
      <w:tr w14:paraId="65135F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846" w:type="dxa"/>
            <w:tcBorders>
              <w:left w:val="nil"/>
            </w:tcBorders>
            <w:vAlign w:val="top"/>
          </w:tcPr>
          <w:p w14:paraId="49AD696B">
            <w:pPr>
              <w:spacing w:before="93" w:line="192" w:lineRule="auto"/>
              <w:ind w:left="377"/>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625" w:type="dxa"/>
            <w:vAlign w:val="top"/>
          </w:tcPr>
          <w:p w14:paraId="2F8D982C">
            <w:pPr>
              <w:spacing w:before="54" w:line="228" w:lineRule="auto"/>
              <w:ind w:left="507"/>
              <w:rPr>
                <w:rFonts w:ascii="宋体" w:hAnsi="宋体" w:eastAsia="宋体" w:cs="宋体"/>
                <w:sz w:val="20"/>
                <w:szCs w:val="20"/>
              </w:rPr>
            </w:pPr>
            <w:r>
              <w:rPr>
                <w:rFonts w:ascii="宋体" w:hAnsi="宋体" w:eastAsia="宋体" w:cs="宋体"/>
                <w:spacing w:val="6"/>
                <w:sz w:val="20"/>
                <w:szCs w:val="20"/>
              </w:rPr>
              <w:t>热</w:t>
            </w:r>
            <w:r>
              <w:rPr>
                <w:rFonts w:ascii="宋体" w:hAnsi="宋体" w:eastAsia="宋体" w:cs="宋体"/>
                <w:spacing w:val="5"/>
                <w:sz w:val="20"/>
                <w:szCs w:val="20"/>
              </w:rPr>
              <w:t>风炉</w:t>
            </w:r>
          </w:p>
        </w:tc>
        <w:tc>
          <w:tcPr>
            <w:tcW w:w="836" w:type="dxa"/>
            <w:vAlign w:val="top"/>
          </w:tcPr>
          <w:p w14:paraId="333C58A1">
            <w:pPr>
              <w:spacing w:before="54" w:line="230" w:lineRule="auto"/>
              <w:ind w:left="255"/>
              <w:rPr>
                <w:rFonts w:ascii="宋体" w:hAnsi="宋体" w:eastAsia="宋体" w:cs="宋体"/>
                <w:sz w:val="20"/>
                <w:szCs w:val="20"/>
              </w:rPr>
            </w:pPr>
            <w:r>
              <w:rPr>
                <w:rFonts w:ascii="Times New Roman" w:hAnsi="Times New Roman" w:eastAsia="Times New Roman" w:cs="Times New Roman"/>
                <w:spacing w:val="2"/>
                <w:sz w:val="20"/>
                <w:szCs w:val="20"/>
              </w:rPr>
              <w:t xml:space="preserve">1 </w:t>
            </w:r>
            <w:r>
              <w:rPr>
                <w:rFonts w:ascii="宋体" w:hAnsi="宋体" w:eastAsia="宋体" w:cs="宋体"/>
                <w:spacing w:val="2"/>
                <w:sz w:val="20"/>
                <w:szCs w:val="20"/>
              </w:rPr>
              <w:t>台</w:t>
            </w:r>
          </w:p>
        </w:tc>
        <w:tc>
          <w:tcPr>
            <w:tcW w:w="4272" w:type="dxa"/>
            <w:vAlign w:val="top"/>
          </w:tcPr>
          <w:p w14:paraId="0A627967">
            <w:pPr>
              <w:spacing w:before="16" w:line="281" w:lineRule="exact"/>
              <w:ind w:left="1974"/>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2</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position w:val="2"/>
                <w:sz w:val="20"/>
                <w:szCs w:val="20"/>
              </w:rPr>
              <w:t>h</w:t>
            </w:r>
          </w:p>
        </w:tc>
        <w:tc>
          <w:tcPr>
            <w:tcW w:w="943" w:type="dxa"/>
            <w:vMerge w:val="continue"/>
            <w:tcBorders>
              <w:top w:val="nil"/>
              <w:bottom w:val="nil"/>
              <w:right w:val="nil"/>
            </w:tcBorders>
            <w:vAlign w:val="top"/>
          </w:tcPr>
          <w:p w14:paraId="2733ECCB">
            <w:pPr>
              <w:rPr>
                <w:rFonts w:ascii="Arial"/>
                <w:sz w:val="21"/>
              </w:rPr>
            </w:pPr>
          </w:p>
        </w:tc>
      </w:tr>
      <w:tr w14:paraId="428C1E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846" w:type="dxa"/>
            <w:tcBorders>
              <w:left w:val="nil"/>
            </w:tcBorders>
            <w:vAlign w:val="top"/>
          </w:tcPr>
          <w:p w14:paraId="12A36198">
            <w:pPr>
              <w:spacing w:before="88" w:line="195" w:lineRule="auto"/>
              <w:ind w:left="382"/>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625" w:type="dxa"/>
            <w:vAlign w:val="top"/>
          </w:tcPr>
          <w:p w14:paraId="6F38BC25">
            <w:pPr>
              <w:spacing w:before="52" w:line="227" w:lineRule="auto"/>
              <w:ind w:left="292"/>
              <w:rPr>
                <w:rFonts w:ascii="宋体" w:hAnsi="宋体" w:eastAsia="宋体" w:cs="宋体"/>
                <w:sz w:val="20"/>
                <w:szCs w:val="20"/>
              </w:rPr>
            </w:pPr>
            <w:r>
              <w:rPr>
                <w:rFonts w:ascii="宋体" w:hAnsi="宋体" w:eastAsia="宋体" w:cs="宋体"/>
                <w:spacing w:val="8"/>
                <w:sz w:val="20"/>
                <w:szCs w:val="20"/>
              </w:rPr>
              <w:t>布袋除尘器</w:t>
            </w:r>
          </w:p>
        </w:tc>
        <w:tc>
          <w:tcPr>
            <w:tcW w:w="836" w:type="dxa"/>
            <w:vAlign w:val="top"/>
          </w:tcPr>
          <w:p w14:paraId="2C7B52F8">
            <w:pPr>
              <w:spacing w:before="52" w:line="230" w:lineRule="auto"/>
              <w:ind w:left="255"/>
              <w:rPr>
                <w:rFonts w:ascii="宋体" w:hAnsi="宋体" w:eastAsia="宋体" w:cs="宋体"/>
                <w:sz w:val="20"/>
                <w:szCs w:val="20"/>
              </w:rPr>
            </w:pPr>
            <w:r>
              <w:rPr>
                <w:rFonts w:ascii="Times New Roman" w:hAnsi="Times New Roman" w:eastAsia="Times New Roman" w:cs="Times New Roman"/>
                <w:spacing w:val="2"/>
                <w:sz w:val="20"/>
                <w:szCs w:val="20"/>
              </w:rPr>
              <w:t xml:space="preserve">1 </w:t>
            </w:r>
            <w:r>
              <w:rPr>
                <w:rFonts w:ascii="宋体" w:hAnsi="宋体" w:eastAsia="宋体" w:cs="宋体"/>
                <w:spacing w:val="2"/>
                <w:sz w:val="20"/>
                <w:szCs w:val="20"/>
              </w:rPr>
              <w:t>台</w:t>
            </w:r>
          </w:p>
        </w:tc>
        <w:tc>
          <w:tcPr>
            <w:tcW w:w="4272" w:type="dxa"/>
            <w:vAlign w:val="top"/>
          </w:tcPr>
          <w:p w14:paraId="12E5A2CE">
            <w:pPr>
              <w:spacing w:before="88" w:line="195" w:lineRule="auto"/>
              <w:ind w:left="164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LXMC- 100</w:t>
            </w:r>
          </w:p>
        </w:tc>
        <w:tc>
          <w:tcPr>
            <w:tcW w:w="943" w:type="dxa"/>
            <w:vMerge w:val="continue"/>
            <w:tcBorders>
              <w:top w:val="nil"/>
              <w:bottom w:val="nil"/>
              <w:right w:val="nil"/>
            </w:tcBorders>
            <w:vAlign w:val="top"/>
          </w:tcPr>
          <w:p w14:paraId="57927572">
            <w:pPr>
              <w:rPr>
                <w:rFonts w:ascii="Arial"/>
                <w:sz w:val="21"/>
              </w:rPr>
            </w:pPr>
          </w:p>
        </w:tc>
      </w:tr>
      <w:tr w14:paraId="5B1A2E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846" w:type="dxa"/>
            <w:tcBorders>
              <w:left w:val="nil"/>
            </w:tcBorders>
            <w:vAlign w:val="top"/>
          </w:tcPr>
          <w:p w14:paraId="2A6C6366">
            <w:pPr>
              <w:spacing w:before="89" w:line="195" w:lineRule="auto"/>
              <w:ind w:left="377"/>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625" w:type="dxa"/>
            <w:vAlign w:val="top"/>
          </w:tcPr>
          <w:p w14:paraId="79D4C4AD">
            <w:pPr>
              <w:spacing w:before="56" w:line="228" w:lineRule="auto"/>
              <w:ind w:left="502"/>
              <w:rPr>
                <w:rFonts w:ascii="宋体" w:hAnsi="宋体" w:eastAsia="宋体" w:cs="宋体"/>
                <w:sz w:val="20"/>
                <w:szCs w:val="20"/>
              </w:rPr>
            </w:pPr>
            <w:r>
              <w:rPr>
                <w:rFonts w:ascii="宋体" w:hAnsi="宋体" w:eastAsia="宋体" w:cs="宋体"/>
                <w:spacing w:val="7"/>
                <w:sz w:val="20"/>
                <w:szCs w:val="20"/>
              </w:rPr>
              <w:t>洗字槽</w:t>
            </w:r>
          </w:p>
        </w:tc>
        <w:tc>
          <w:tcPr>
            <w:tcW w:w="836" w:type="dxa"/>
            <w:vAlign w:val="top"/>
          </w:tcPr>
          <w:p w14:paraId="4708DFAC">
            <w:pPr>
              <w:spacing w:before="56" w:line="230" w:lineRule="auto"/>
              <w:ind w:left="202"/>
              <w:rPr>
                <w:rFonts w:ascii="宋体" w:hAnsi="宋体" w:eastAsia="宋体" w:cs="宋体"/>
                <w:sz w:val="20"/>
                <w:szCs w:val="20"/>
              </w:rPr>
            </w:pPr>
            <w:r>
              <w:rPr>
                <w:rFonts w:ascii="Times New Roman" w:hAnsi="Times New Roman" w:eastAsia="Times New Roman" w:cs="Times New Roman"/>
                <w:spacing w:val="-1"/>
                <w:sz w:val="20"/>
                <w:szCs w:val="20"/>
              </w:rPr>
              <w:t>1</w:t>
            </w:r>
            <w:r>
              <w:rPr>
                <w:rFonts w:ascii="Times New Roman" w:hAnsi="Times New Roman" w:eastAsia="Times New Roman" w:cs="Times New Roman"/>
                <w:sz w:val="20"/>
                <w:szCs w:val="20"/>
              </w:rPr>
              <w:t xml:space="preserve">0 </w:t>
            </w:r>
            <w:r>
              <w:rPr>
                <w:rFonts w:ascii="宋体" w:hAnsi="宋体" w:eastAsia="宋体" w:cs="宋体"/>
                <w:sz w:val="20"/>
                <w:szCs w:val="20"/>
              </w:rPr>
              <w:t>座</w:t>
            </w:r>
          </w:p>
        </w:tc>
        <w:tc>
          <w:tcPr>
            <w:tcW w:w="4272" w:type="dxa"/>
            <w:vAlign w:val="top"/>
          </w:tcPr>
          <w:p w14:paraId="1F669429">
            <w:pPr>
              <w:spacing w:before="18" w:line="281" w:lineRule="exact"/>
              <w:ind w:left="718"/>
              <w:rPr>
                <w:rFonts w:ascii="宋体" w:hAnsi="宋体" w:eastAsia="宋体" w:cs="宋体"/>
                <w:sz w:val="20"/>
                <w:szCs w:val="20"/>
              </w:rPr>
            </w:pPr>
            <w:r>
              <w:rPr>
                <w:rFonts w:ascii="宋体" w:hAnsi="宋体" w:eastAsia="宋体" w:cs="宋体"/>
                <w:spacing w:val="6"/>
                <w:position w:val="1"/>
                <w:sz w:val="20"/>
                <w:szCs w:val="20"/>
              </w:rPr>
              <w:t>容积</w:t>
            </w:r>
            <w:r>
              <w:rPr>
                <w:rFonts w:ascii="宋体" w:hAnsi="宋体" w:eastAsia="宋体" w:cs="宋体"/>
                <w:spacing w:val="4"/>
                <w:position w:val="1"/>
                <w:sz w:val="20"/>
                <w:szCs w:val="20"/>
              </w:rPr>
              <w:t xml:space="preserve"> </w:t>
            </w:r>
            <w:r>
              <w:rPr>
                <w:rFonts w:ascii="Times New Roman" w:hAnsi="Times New Roman" w:eastAsia="Times New Roman" w:cs="Times New Roman"/>
                <w:spacing w:val="3"/>
                <w:position w:val="1"/>
                <w:sz w:val="20"/>
                <w:szCs w:val="20"/>
              </w:rPr>
              <w:t>6</w:t>
            </w:r>
            <w:r>
              <w:rPr>
                <w:rFonts w:ascii="Times New Roman" w:hAnsi="Times New Roman" w:eastAsia="Times New Roman" w:cs="Times New Roman"/>
                <w:position w:val="1"/>
                <w:sz w:val="20"/>
                <w:szCs w:val="20"/>
              </w:rPr>
              <w:t>m</w:t>
            </w:r>
            <w:r>
              <w:rPr>
                <w:rFonts w:ascii="Times New Roman" w:hAnsi="Times New Roman" w:eastAsia="Times New Roman" w:cs="Times New Roman"/>
                <w:spacing w:val="3"/>
                <w:position w:val="7"/>
                <w:sz w:val="13"/>
                <w:szCs w:val="13"/>
              </w:rPr>
              <w:t>3</w:t>
            </w:r>
            <w:r>
              <w:rPr>
                <w:rFonts w:ascii="Times New Roman" w:hAnsi="Times New Roman" w:eastAsia="Times New Roman" w:cs="Times New Roman"/>
                <w:spacing w:val="3"/>
                <w:position w:val="1"/>
                <w:sz w:val="20"/>
                <w:szCs w:val="20"/>
              </w:rPr>
              <w:t>/</w:t>
            </w:r>
            <w:r>
              <w:rPr>
                <w:rFonts w:ascii="宋体" w:hAnsi="宋体" w:eastAsia="宋体" w:cs="宋体"/>
                <w:spacing w:val="3"/>
                <w:position w:val="1"/>
                <w:sz w:val="20"/>
                <w:szCs w:val="20"/>
              </w:rPr>
              <w:t>座 (</w:t>
            </w:r>
            <w:r>
              <w:rPr>
                <w:rFonts w:ascii="Times New Roman" w:hAnsi="Times New Roman" w:eastAsia="Times New Roman" w:cs="Times New Roman"/>
                <w:spacing w:val="3"/>
                <w:position w:val="1"/>
                <w:sz w:val="20"/>
                <w:szCs w:val="20"/>
              </w:rPr>
              <w:t>2.5</w:t>
            </w:r>
            <w:r>
              <w:rPr>
                <w:rFonts w:ascii="Times New Roman" w:hAnsi="Times New Roman" w:eastAsia="Times New Roman" w:cs="Times New Roman"/>
                <w:position w:val="1"/>
                <w:sz w:val="20"/>
                <w:szCs w:val="20"/>
              </w:rPr>
              <w:t>m</w:t>
            </w:r>
            <w:r>
              <w:rPr>
                <w:rFonts w:ascii="Times New Roman" w:hAnsi="Times New Roman" w:eastAsia="Times New Roman" w:cs="Times New Roman"/>
                <w:spacing w:val="3"/>
                <w:position w:val="1"/>
                <w:sz w:val="20"/>
                <w:szCs w:val="20"/>
              </w:rPr>
              <w:t>×1.2</w:t>
            </w:r>
            <w:r>
              <w:rPr>
                <w:rFonts w:ascii="Times New Roman" w:hAnsi="Times New Roman" w:eastAsia="Times New Roman" w:cs="Times New Roman"/>
                <w:position w:val="1"/>
                <w:sz w:val="20"/>
                <w:szCs w:val="20"/>
              </w:rPr>
              <w:t>m</w:t>
            </w:r>
            <w:r>
              <w:rPr>
                <w:rFonts w:ascii="Times New Roman" w:hAnsi="Times New Roman" w:eastAsia="Times New Roman" w:cs="Times New Roman"/>
                <w:spacing w:val="3"/>
                <w:position w:val="1"/>
                <w:sz w:val="20"/>
                <w:szCs w:val="20"/>
              </w:rPr>
              <w:t>×2</w:t>
            </w:r>
            <w:r>
              <w:rPr>
                <w:rFonts w:ascii="Times New Roman" w:hAnsi="Times New Roman" w:eastAsia="Times New Roman" w:cs="Times New Roman"/>
                <w:position w:val="1"/>
                <w:sz w:val="20"/>
                <w:szCs w:val="20"/>
              </w:rPr>
              <w:t>m</w:t>
            </w:r>
            <w:r>
              <w:rPr>
                <w:rFonts w:ascii="宋体" w:hAnsi="宋体" w:eastAsia="宋体" w:cs="宋体"/>
                <w:spacing w:val="3"/>
                <w:position w:val="1"/>
                <w:sz w:val="20"/>
                <w:szCs w:val="20"/>
              </w:rPr>
              <w:t>)</w:t>
            </w:r>
          </w:p>
        </w:tc>
        <w:tc>
          <w:tcPr>
            <w:tcW w:w="943" w:type="dxa"/>
            <w:vMerge w:val="continue"/>
            <w:tcBorders>
              <w:top w:val="nil"/>
              <w:right w:val="nil"/>
            </w:tcBorders>
            <w:vAlign w:val="top"/>
          </w:tcPr>
          <w:p w14:paraId="63987ECD">
            <w:pPr>
              <w:rPr>
                <w:rFonts w:ascii="Arial"/>
                <w:sz w:val="21"/>
              </w:rPr>
            </w:pPr>
          </w:p>
        </w:tc>
      </w:tr>
      <w:tr w14:paraId="24D726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46" w:type="dxa"/>
            <w:tcBorders>
              <w:left w:val="nil"/>
            </w:tcBorders>
            <w:vAlign w:val="top"/>
          </w:tcPr>
          <w:p w14:paraId="753F06D1">
            <w:pPr>
              <w:spacing w:before="88" w:line="195" w:lineRule="auto"/>
              <w:ind w:left="34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1625" w:type="dxa"/>
            <w:vAlign w:val="top"/>
          </w:tcPr>
          <w:p w14:paraId="0B5AA852">
            <w:pPr>
              <w:spacing w:before="57" w:line="227" w:lineRule="auto"/>
              <w:ind w:left="292"/>
              <w:rPr>
                <w:rFonts w:ascii="宋体" w:hAnsi="宋体" w:eastAsia="宋体" w:cs="宋体"/>
                <w:sz w:val="20"/>
                <w:szCs w:val="20"/>
              </w:rPr>
            </w:pPr>
            <w:r>
              <w:rPr>
                <w:rFonts w:ascii="宋体" w:hAnsi="宋体" w:eastAsia="宋体" w:cs="宋体"/>
                <w:spacing w:val="8"/>
                <w:sz w:val="20"/>
                <w:szCs w:val="20"/>
              </w:rPr>
              <w:t>偏心清洗机</w:t>
            </w:r>
          </w:p>
        </w:tc>
        <w:tc>
          <w:tcPr>
            <w:tcW w:w="836" w:type="dxa"/>
            <w:vAlign w:val="top"/>
          </w:tcPr>
          <w:p w14:paraId="3B1653EB">
            <w:pPr>
              <w:spacing w:before="57" w:line="230" w:lineRule="auto"/>
              <w:ind w:left="202"/>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 xml:space="preserve">0 </w:t>
            </w:r>
            <w:r>
              <w:rPr>
                <w:rFonts w:ascii="宋体" w:hAnsi="宋体" w:eastAsia="宋体" w:cs="宋体"/>
                <w:spacing w:val="3"/>
                <w:sz w:val="20"/>
                <w:szCs w:val="20"/>
              </w:rPr>
              <w:t>台</w:t>
            </w:r>
          </w:p>
        </w:tc>
        <w:tc>
          <w:tcPr>
            <w:tcW w:w="4272" w:type="dxa"/>
            <w:vAlign w:val="top"/>
          </w:tcPr>
          <w:p w14:paraId="17E7AF89">
            <w:pPr>
              <w:spacing w:before="19" w:line="281" w:lineRule="exact"/>
              <w:ind w:left="1325"/>
              <w:rPr>
                <w:rFonts w:ascii="Times New Roman" w:hAnsi="Times New Roman" w:eastAsia="Times New Roman" w:cs="Times New Roman"/>
                <w:sz w:val="20"/>
                <w:szCs w:val="20"/>
              </w:rPr>
            </w:pPr>
            <w:r>
              <w:rPr>
                <w:rFonts w:ascii="宋体" w:hAnsi="宋体" w:eastAsia="宋体" w:cs="宋体"/>
                <w:spacing w:val="2"/>
                <w:position w:val="1"/>
                <w:sz w:val="20"/>
                <w:szCs w:val="20"/>
              </w:rPr>
              <w:t>单位生产能</w:t>
            </w:r>
            <w:r>
              <w:rPr>
                <w:rFonts w:ascii="宋体" w:hAnsi="宋体" w:eastAsia="宋体" w:cs="宋体"/>
                <w:spacing w:val="1"/>
                <w:position w:val="1"/>
                <w:sz w:val="20"/>
                <w:szCs w:val="20"/>
              </w:rPr>
              <w:t xml:space="preserve">力 </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1"/>
                <w:position w:val="1"/>
                <w:sz w:val="20"/>
                <w:szCs w:val="20"/>
              </w:rPr>
              <w:t>/</w:t>
            </w:r>
            <w:r>
              <w:rPr>
                <w:rFonts w:ascii="Times New Roman" w:hAnsi="Times New Roman" w:eastAsia="Times New Roman" w:cs="Times New Roman"/>
                <w:position w:val="1"/>
                <w:sz w:val="20"/>
                <w:szCs w:val="20"/>
              </w:rPr>
              <w:t>h</w:t>
            </w:r>
          </w:p>
        </w:tc>
        <w:tc>
          <w:tcPr>
            <w:tcW w:w="943" w:type="dxa"/>
            <w:vMerge w:val="restart"/>
            <w:tcBorders>
              <w:bottom w:val="nil"/>
              <w:right w:val="nil"/>
            </w:tcBorders>
            <w:vAlign w:val="top"/>
          </w:tcPr>
          <w:p w14:paraId="374CE8AB">
            <w:pPr>
              <w:spacing w:before="213" w:line="228" w:lineRule="auto"/>
              <w:ind w:left="267"/>
              <w:rPr>
                <w:rFonts w:ascii="宋体" w:hAnsi="宋体" w:eastAsia="宋体" w:cs="宋体"/>
                <w:sz w:val="20"/>
                <w:szCs w:val="20"/>
              </w:rPr>
            </w:pPr>
            <w:r>
              <w:rPr>
                <w:rFonts w:ascii="宋体" w:hAnsi="宋体" w:eastAsia="宋体" w:cs="宋体"/>
                <w:spacing w:val="5"/>
                <w:sz w:val="20"/>
                <w:szCs w:val="20"/>
              </w:rPr>
              <w:t>清</w:t>
            </w:r>
            <w:r>
              <w:rPr>
                <w:rFonts w:ascii="宋体" w:hAnsi="宋体" w:eastAsia="宋体" w:cs="宋体"/>
                <w:spacing w:val="4"/>
                <w:sz w:val="20"/>
                <w:szCs w:val="20"/>
              </w:rPr>
              <w:t>洗</w:t>
            </w:r>
          </w:p>
        </w:tc>
      </w:tr>
      <w:tr w14:paraId="2018BF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46" w:type="dxa"/>
            <w:tcBorders>
              <w:left w:val="nil"/>
            </w:tcBorders>
            <w:vAlign w:val="top"/>
          </w:tcPr>
          <w:p w14:paraId="44590C56">
            <w:pPr>
              <w:spacing w:before="88" w:line="195" w:lineRule="auto"/>
              <w:ind w:left="346"/>
              <w:rPr>
                <w:rFonts w:ascii="Times New Roman" w:hAnsi="Times New Roman" w:eastAsia="Times New Roman" w:cs="Times New Roman"/>
                <w:sz w:val="20"/>
                <w:szCs w:val="20"/>
              </w:rPr>
            </w:pPr>
            <w:r>
              <w:rPr>
                <w:rFonts w:ascii="Times New Roman" w:hAnsi="Times New Roman" w:eastAsia="Times New Roman" w:cs="Times New Roman"/>
                <w:spacing w:val="-11"/>
                <w:sz w:val="20"/>
                <w:szCs w:val="20"/>
              </w:rPr>
              <w:t>1</w:t>
            </w:r>
            <w:r>
              <w:rPr>
                <w:rFonts w:ascii="Times New Roman" w:hAnsi="Times New Roman" w:eastAsia="Times New Roman" w:cs="Times New Roman"/>
                <w:spacing w:val="-9"/>
                <w:sz w:val="20"/>
                <w:szCs w:val="20"/>
              </w:rPr>
              <w:t>1</w:t>
            </w:r>
          </w:p>
        </w:tc>
        <w:tc>
          <w:tcPr>
            <w:tcW w:w="1625" w:type="dxa"/>
            <w:vAlign w:val="top"/>
          </w:tcPr>
          <w:p w14:paraId="1EDEE6E4">
            <w:pPr>
              <w:spacing w:before="51" w:line="228" w:lineRule="auto"/>
              <w:ind w:left="186"/>
              <w:rPr>
                <w:rFonts w:ascii="宋体" w:hAnsi="宋体" w:eastAsia="宋体" w:cs="宋体"/>
                <w:sz w:val="20"/>
                <w:szCs w:val="20"/>
              </w:rPr>
            </w:pPr>
            <w:r>
              <w:rPr>
                <w:rFonts w:ascii="宋体" w:hAnsi="宋体" w:eastAsia="宋体" w:cs="宋体"/>
                <w:spacing w:val="9"/>
                <w:sz w:val="20"/>
                <w:szCs w:val="20"/>
              </w:rPr>
              <w:t>沉</w:t>
            </w:r>
            <w:r>
              <w:rPr>
                <w:rFonts w:ascii="宋体" w:hAnsi="宋体" w:eastAsia="宋体" w:cs="宋体"/>
                <w:spacing w:val="8"/>
                <w:sz w:val="20"/>
                <w:szCs w:val="20"/>
              </w:rPr>
              <w:t>浮分离水槽</w:t>
            </w:r>
          </w:p>
        </w:tc>
        <w:tc>
          <w:tcPr>
            <w:tcW w:w="836" w:type="dxa"/>
            <w:vAlign w:val="top"/>
          </w:tcPr>
          <w:p w14:paraId="5B5ACD8D">
            <w:pPr>
              <w:spacing w:before="52" w:line="230" w:lineRule="auto"/>
              <w:ind w:left="202"/>
              <w:rPr>
                <w:rFonts w:ascii="宋体" w:hAnsi="宋体" w:eastAsia="宋体" w:cs="宋体"/>
                <w:sz w:val="20"/>
                <w:szCs w:val="20"/>
              </w:rPr>
            </w:pPr>
            <w:r>
              <w:rPr>
                <w:rFonts w:ascii="Times New Roman" w:hAnsi="Times New Roman" w:eastAsia="Times New Roman" w:cs="Times New Roman"/>
                <w:spacing w:val="-1"/>
                <w:sz w:val="20"/>
                <w:szCs w:val="20"/>
              </w:rPr>
              <w:t>1</w:t>
            </w:r>
            <w:r>
              <w:rPr>
                <w:rFonts w:ascii="Times New Roman" w:hAnsi="Times New Roman" w:eastAsia="Times New Roman" w:cs="Times New Roman"/>
                <w:sz w:val="20"/>
                <w:szCs w:val="20"/>
              </w:rPr>
              <w:t xml:space="preserve">0 </w:t>
            </w:r>
            <w:r>
              <w:rPr>
                <w:rFonts w:ascii="宋体" w:hAnsi="宋体" w:eastAsia="宋体" w:cs="宋体"/>
                <w:sz w:val="20"/>
                <w:szCs w:val="20"/>
              </w:rPr>
              <w:t>座</w:t>
            </w:r>
          </w:p>
        </w:tc>
        <w:tc>
          <w:tcPr>
            <w:tcW w:w="4272" w:type="dxa"/>
            <w:vAlign w:val="top"/>
          </w:tcPr>
          <w:p w14:paraId="46F3E24B">
            <w:pPr>
              <w:spacing w:before="14" w:line="281" w:lineRule="exact"/>
              <w:ind w:left="403"/>
              <w:rPr>
                <w:rFonts w:ascii="宋体" w:hAnsi="宋体" w:eastAsia="宋体" w:cs="宋体"/>
                <w:sz w:val="20"/>
                <w:szCs w:val="20"/>
              </w:rPr>
            </w:pPr>
            <w:r>
              <w:rPr>
                <w:rFonts w:ascii="宋体" w:hAnsi="宋体" w:eastAsia="宋体" w:cs="宋体"/>
                <w:spacing w:val="6"/>
                <w:position w:val="1"/>
                <w:sz w:val="20"/>
                <w:szCs w:val="20"/>
              </w:rPr>
              <w:t>单</w:t>
            </w:r>
            <w:r>
              <w:rPr>
                <w:rFonts w:ascii="宋体" w:hAnsi="宋体" w:eastAsia="宋体" w:cs="宋体"/>
                <w:spacing w:val="4"/>
                <w:position w:val="1"/>
                <w:sz w:val="20"/>
                <w:szCs w:val="20"/>
              </w:rPr>
              <w:t xml:space="preserve">座容积 </w:t>
            </w:r>
            <w:r>
              <w:rPr>
                <w:rFonts w:ascii="Times New Roman" w:hAnsi="Times New Roman" w:eastAsia="Times New Roman" w:cs="Times New Roman"/>
                <w:spacing w:val="4"/>
                <w:position w:val="1"/>
                <w:sz w:val="20"/>
                <w:szCs w:val="20"/>
              </w:rPr>
              <w:t>27</w:t>
            </w:r>
            <w:r>
              <w:rPr>
                <w:rFonts w:ascii="Times New Roman" w:hAnsi="Times New Roman" w:eastAsia="Times New Roman" w:cs="Times New Roman"/>
                <w:position w:val="1"/>
                <w:sz w:val="20"/>
                <w:szCs w:val="20"/>
              </w:rPr>
              <w:t>m</w:t>
            </w:r>
            <w:r>
              <w:rPr>
                <w:rFonts w:ascii="Times New Roman" w:hAnsi="Times New Roman" w:eastAsia="Times New Roman" w:cs="Times New Roman"/>
                <w:spacing w:val="4"/>
                <w:position w:val="7"/>
                <w:sz w:val="13"/>
                <w:szCs w:val="13"/>
              </w:rPr>
              <w:t>3</w:t>
            </w:r>
            <w:r>
              <w:rPr>
                <w:rFonts w:ascii="Times New Roman" w:hAnsi="Times New Roman" w:eastAsia="Times New Roman" w:cs="Times New Roman"/>
                <w:spacing w:val="4"/>
                <w:position w:val="1"/>
                <w:sz w:val="20"/>
                <w:szCs w:val="20"/>
              </w:rPr>
              <w:t>/</w:t>
            </w:r>
            <w:r>
              <w:rPr>
                <w:rFonts w:ascii="宋体" w:hAnsi="宋体" w:eastAsia="宋体" w:cs="宋体"/>
                <w:spacing w:val="4"/>
                <w:position w:val="1"/>
                <w:sz w:val="20"/>
                <w:szCs w:val="20"/>
              </w:rPr>
              <w:t>座 (</w:t>
            </w:r>
            <w:r>
              <w:rPr>
                <w:rFonts w:ascii="Times New Roman" w:hAnsi="Times New Roman" w:eastAsia="Times New Roman" w:cs="Times New Roman"/>
                <w:spacing w:val="4"/>
                <w:position w:val="1"/>
                <w:sz w:val="20"/>
                <w:szCs w:val="20"/>
              </w:rPr>
              <w:t>15</w:t>
            </w:r>
            <w:r>
              <w:rPr>
                <w:rFonts w:ascii="Times New Roman" w:hAnsi="Times New Roman" w:eastAsia="Times New Roman" w:cs="Times New Roman"/>
                <w:position w:val="1"/>
                <w:sz w:val="20"/>
                <w:szCs w:val="20"/>
              </w:rPr>
              <w:t>m</w:t>
            </w:r>
            <w:r>
              <w:rPr>
                <w:rFonts w:ascii="Times New Roman" w:hAnsi="Times New Roman" w:eastAsia="Times New Roman" w:cs="Times New Roman"/>
                <w:spacing w:val="4"/>
                <w:position w:val="1"/>
                <w:sz w:val="20"/>
                <w:szCs w:val="20"/>
              </w:rPr>
              <w:t>×1.2</w:t>
            </w:r>
            <w:r>
              <w:rPr>
                <w:rFonts w:ascii="Times New Roman" w:hAnsi="Times New Roman" w:eastAsia="Times New Roman" w:cs="Times New Roman"/>
                <w:position w:val="1"/>
                <w:sz w:val="20"/>
                <w:szCs w:val="20"/>
              </w:rPr>
              <w:t>m</w:t>
            </w:r>
            <w:r>
              <w:rPr>
                <w:rFonts w:ascii="Times New Roman" w:hAnsi="Times New Roman" w:eastAsia="Times New Roman" w:cs="Times New Roman"/>
                <w:spacing w:val="4"/>
                <w:position w:val="1"/>
                <w:sz w:val="20"/>
                <w:szCs w:val="20"/>
              </w:rPr>
              <w:t>×1.5</w:t>
            </w:r>
            <w:r>
              <w:rPr>
                <w:rFonts w:ascii="Times New Roman" w:hAnsi="Times New Roman" w:eastAsia="Times New Roman" w:cs="Times New Roman"/>
                <w:position w:val="1"/>
                <w:sz w:val="20"/>
                <w:szCs w:val="20"/>
              </w:rPr>
              <w:t>m</w:t>
            </w:r>
            <w:r>
              <w:rPr>
                <w:rFonts w:ascii="宋体" w:hAnsi="宋体" w:eastAsia="宋体" w:cs="宋体"/>
                <w:spacing w:val="4"/>
                <w:position w:val="1"/>
                <w:sz w:val="20"/>
                <w:szCs w:val="20"/>
              </w:rPr>
              <w:t>)</w:t>
            </w:r>
          </w:p>
        </w:tc>
        <w:tc>
          <w:tcPr>
            <w:tcW w:w="943" w:type="dxa"/>
            <w:vMerge w:val="continue"/>
            <w:tcBorders>
              <w:top w:val="nil"/>
              <w:right w:val="nil"/>
            </w:tcBorders>
            <w:vAlign w:val="top"/>
          </w:tcPr>
          <w:p w14:paraId="7B5BF53A">
            <w:pPr>
              <w:rPr>
                <w:rFonts w:ascii="Arial"/>
                <w:sz w:val="21"/>
              </w:rPr>
            </w:pPr>
          </w:p>
        </w:tc>
      </w:tr>
      <w:tr w14:paraId="239983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46" w:type="dxa"/>
            <w:tcBorders>
              <w:left w:val="nil"/>
            </w:tcBorders>
            <w:vAlign w:val="top"/>
          </w:tcPr>
          <w:p w14:paraId="7D53B108">
            <w:pPr>
              <w:spacing w:before="90" w:line="195" w:lineRule="auto"/>
              <w:ind w:left="34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2</w:t>
            </w:r>
          </w:p>
        </w:tc>
        <w:tc>
          <w:tcPr>
            <w:tcW w:w="1625" w:type="dxa"/>
            <w:vAlign w:val="top"/>
          </w:tcPr>
          <w:p w14:paraId="3ECE03A7">
            <w:pPr>
              <w:spacing w:before="54" w:line="227" w:lineRule="auto"/>
              <w:ind w:left="292"/>
              <w:rPr>
                <w:rFonts w:ascii="宋体" w:hAnsi="宋体" w:eastAsia="宋体" w:cs="宋体"/>
                <w:sz w:val="20"/>
                <w:szCs w:val="20"/>
              </w:rPr>
            </w:pPr>
            <w:r>
              <w:rPr>
                <w:rFonts w:ascii="宋体" w:hAnsi="宋体" w:eastAsia="宋体" w:cs="宋体"/>
                <w:spacing w:val="8"/>
                <w:sz w:val="20"/>
                <w:szCs w:val="20"/>
              </w:rPr>
              <w:t>立式脱水机</w:t>
            </w:r>
          </w:p>
        </w:tc>
        <w:tc>
          <w:tcPr>
            <w:tcW w:w="836" w:type="dxa"/>
            <w:vAlign w:val="top"/>
          </w:tcPr>
          <w:p w14:paraId="29E98D6B">
            <w:pPr>
              <w:spacing w:before="54" w:line="230" w:lineRule="auto"/>
              <w:ind w:left="202"/>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 xml:space="preserve">0 </w:t>
            </w:r>
            <w:r>
              <w:rPr>
                <w:rFonts w:ascii="宋体" w:hAnsi="宋体" w:eastAsia="宋体" w:cs="宋体"/>
                <w:spacing w:val="3"/>
                <w:sz w:val="20"/>
                <w:szCs w:val="20"/>
              </w:rPr>
              <w:t>台</w:t>
            </w:r>
          </w:p>
        </w:tc>
        <w:tc>
          <w:tcPr>
            <w:tcW w:w="4272" w:type="dxa"/>
            <w:vAlign w:val="top"/>
          </w:tcPr>
          <w:p w14:paraId="34BEBAA2">
            <w:pPr>
              <w:spacing w:before="90" w:line="197" w:lineRule="auto"/>
              <w:ind w:left="1655"/>
              <w:rPr>
                <w:rFonts w:ascii="Times New Roman" w:hAnsi="Times New Roman" w:eastAsia="Times New Roman" w:cs="Times New Roman"/>
                <w:sz w:val="20"/>
                <w:szCs w:val="20"/>
              </w:rPr>
            </w:pPr>
            <w:r>
              <w:rPr>
                <w:rFonts w:ascii="Times New Roman" w:hAnsi="Times New Roman" w:eastAsia="Times New Roman" w:cs="Times New Roman"/>
                <w:sz w:val="20"/>
                <w:szCs w:val="20"/>
              </w:rPr>
              <w:t>LHDD</w:t>
            </w:r>
            <w:r>
              <w:rPr>
                <w:rFonts w:ascii="Times New Roman" w:hAnsi="Times New Roman" w:eastAsia="Times New Roman" w:cs="Times New Roman"/>
                <w:spacing w:val="10"/>
                <w:sz w:val="20"/>
                <w:szCs w:val="20"/>
              </w:rPr>
              <w:t>-50</w:t>
            </w:r>
            <w:r>
              <w:rPr>
                <w:rFonts w:ascii="Times New Roman" w:hAnsi="Times New Roman" w:eastAsia="Times New Roman" w:cs="Times New Roman"/>
                <w:spacing w:val="9"/>
                <w:sz w:val="20"/>
                <w:szCs w:val="20"/>
              </w:rPr>
              <w:t>0</w:t>
            </w:r>
          </w:p>
        </w:tc>
        <w:tc>
          <w:tcPr>
            <w:tcW w:w="943" w:type="dxa"/>
            <w:tcBorders>
              <w:right w:val="nil"/>
            </w:tcBorders>
            <w:vAlign w:val="top"/>
          </w:tcPr>
          <w:p w14:paraId="159B61CE">
            <w:pPr>
              <w:spacing w:before="53" w:line="228" w:lineRule="auto"/>
              <w:ind w:left="268"/>
              <w:rPr>
                <w:rFonts w:ascii="宋体" w:hAnsi="宋体" w:eastAsia="宋体" w:cs="宋体"/>
                <w:sz w:val="20"/>
                <w:szCs w:val="20"/>
              </w:rPr>
            </w:pPr>
            <w:r>
              <w:rPr>
                <w:rFonts w:ascii="宋体" w:hAnsi="宋体" w:eastAsia="宋体" w:cs="宋体"/>
                <w:spacing w:val="4"/>
                <w:sz w:val="20"/>
                <w:szCs w:val="20"/>
              </w:rPr>
              <w:t>脱水</w:t>
            </w:r>
          </w:p>
        </w:tc>
      </w:tr>
      <w:tr w14:paraId="1B5B2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46" w:type="dxa"/>
            <w:tcBorders>
              <w:left w:val="nil"/>
            </w:tcBorders>
            <w:vAlign w:val="top"/>
          </w:tcPr>
          <w:p w14:paraId="498E1758">
            <w:pPr>
              <w:spacing w:before="89" w:line="195" w:lineRule="auto"/>
              <w:ind w:left="34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3</w:t>
            </w:r>
          </w:p>
        </w:tc>
        <w:tc>
          <w:tcPr>
            <w:tcW w:w="1625" w:type="dxa"/>
            <w:vAlign w:val="top"/>
          </w:tcPr>
          <w:p w14:paraId="345C460C">
            <w:pPr>
              <w:spacing w:before="53" w:line="227" w:lineRule="auto"/>
              <w:ind w:left="504"/>
              <w:rPr>
                <w:rFonts w:ascii="宋体" w:hAnsi="宋体" w:eastAsia="宋体" w:cs="宋体"/>
                <w:sz w:val="20"/>
                <w:szCs w:val="20"/>
              </w:rPr>
            </w:pPr>
            <w:r>
              <w:rPr>
                <w:rFonts w:ascii="宋体" w:hAnsi="宋体" w:eastAsia="宋体" w:cs="宋体"/>
                <w:spacing w:val="7"/>
                <w:sz w:val="20"/>
                <w:szCs w:val="20"/>
              </w:rPr>
              <w:t>提</w:t>
            </w:r>
            <w:r>
              <w:rPr>
                <w:rFonts w:ascii="宋体" w:hAnsi="宋体" w:eastAsia="宋体" w:cs="宋体"/>
                <w:spacing w:val="6"/>
                <w:sz w:val="20"/>
                <w:szCs w:val="20"/>
              </w:rPr>
              <w:t>料机</w:t>
            </w:r>
          </w:p>
        </w:tc>
        <w:tc>
          <w:tcPr>
            <w:tcW w:w="836" w:type="dxa"/>
            <w:vAlign w:val="top"/>
          </w:tcPr>
          <w:p w14:paraId="47504C15">
            <w:pPr>
              <w:spacing w:before="53" w:line="230" w:lineRule="auto"/>
              <w:ind w:left="202"/>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 xml:space="preserve">0 </w:t>
            </w:r>
            <w:r>
              <w:rPr>
                <w:rFonts w:ascii="宋体" w:hAnsi="宋体" w:eastAsia="宋体" w:cs="宋体"/>
                <w:spacing w:val="3"/>
                <w:sz w:val="20"/>
                <w:szCs w:val="20"/>
              </w:rPr>
              <w:t>台</w:t>
            </w:r>
          </w:p>
        </w:tc>
        <w:tc>
          <w:tcPr>
            <w:tcW w:w="4272" w:type="dxa"/>
            <w:vAlign w:val="top"/>
          </w:tcPr>
          <w:p w14:paraId="4BA584B8">
            <w:pPr>
              <w:spacing w:before="16" w:line="281" w:lineRule="exact"/>
              <w:ind w:left="1325"/>
              <w:rPr>
                <w:rFonts w:ascii="Times New Roman" w:hAnsi="Times New Roman" w:eastAsia="Times New Roman" w:cs="Times New Roman"/>
                <w:sz w:val="20"/>
                <w:szCs w:val="20"/>
              </w:rPr>
            </w:pPr>
            <w:r>
              <w:rPr>
                <w:rFonts w:ascii="宋体" w:hAnsi="宋体" w:eastAsia="宋体" w:cs="宋体"/>
                <w:spacing w:val="2"/>
                <w:position w:val="1"/>
                <w:sz w:val="20"/>
                <w:szCs w:val="20"/>
              </w:rPr>
              <w:t>单位生产能</w:t>
            </w:r>
            <w:r>
              <w:rPr>
                <w:rFonts w:ascii="宋体" w:hAnsi="宋体" w:eastAsia="宋体" w:cs="宋体"/>
                <w:spacing w:val="1"/>
                <w:position w:val="1"/>
                <w:sz w:val="20"/>
                <w:szCs w:val="20"/>
              </w:rPr>
              <w:t xml:space="preserve">力 </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1"/>
                <w:position w:val="1"/>
                <w:sz w:val="20"/>
                <w:szCs w:val="20"/>
              </w:rPr>
              <w:t>/</w:t>
            </w:r>
            <w:r>
              <w:rPr>
                <w:rFonts w:ascii="Times New Roman" w:hAnsi="Times New Roman" w:eastAsia="Times New Roman" w:cs="Times New Roman"/>
                <w:position w:val="1"/>
                <w:sz w:val="20"/>
                <w:szCs w:val="20"/>
              </w:rPr>
              <w:t>h</w:t>
            </w:r>
          </w:p>
        </w:tc>
        <w:tc>
          <w:tcPr>
            <w:tcW w:w="943" w:type="dxa"/>
            <w:tcBorders>
              <w:right w:val="nil"/>
            </w:tcBorders>
            <w:vAlign w:val="top"/>
          </w:tcPr>
          <w:p w14:paraId="69BAB435">
            <w:pPr>
              <w:spacing w:before="53" w:line="228" w:lineRule="auto"/>
              <w:ind w:left="55"/>
              <w:rPr>
                <w:rFonts w:ascii="宋体" w:hAnsi="宋体" w:eastAsia="宋体" w:cs="宋体"/>
                <w:sz w:val="20"/>
                <w:szCs w:val="20"/>
              </w:rPr>
            </w:pPr>
            <w:r>
              <w:rPr>
                <w:rFonts w:ascii="宋体" w:hAnsi="宋体" w:eastAsia="宋体" w:cs="宋体"/>
                <w:spacing w:val="9"/>
                <w:sz w:val="20"/>
                <w:szCs w:val="20"/>
              </w:rPr>
              <w:t>破</w:t>
            </w:r>
            <w:r>
              <w:rPr>
                <w:rFonts w:ascii="宋体" w:hAnsi="宋体" w:eastAsia="宋体" w:cs="宋体"/>
                <w:spacing w:val="7"/>
                <w:sz w:val="20"/>
                <w:szCs w:val="20"/>
              </w:rPr>
              <w:t>碎上料</w:t>
            </w:r>
          </w:p>
        </w:tc>
      </w:tr>
      <w:tr w14:paraId="64D0E6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46" w:type="dxa"/>
            <w:tcBorders>
              <w:left w:val="nil"/>
            </w:tcBorders>
            <w:vAlign w:val="top"/>
          </w:tcPr>
          <w:p w14:paraId="0901F4C9">
            <w:pPr>
              <w:spacing w:before="89" w:line="195" w:lineRule="auto"/>
              <w:ind w:left="34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4</w:t>
            </w:r>
          </w:p>
        </w:tc>
        <w:tc>
          <w:tcPr>
            <w:tcW w:w="1625" w:type="dxa"/>
            <w:vAlign w:val="top"/>
          </w:tcPr>
          <w:p w14:paraId="2660F45F">
            <w:pPr>
              <w:spacing w:before="53" w:line="227" w:lineRule="auto"/>
              <w:ind w:left="514"/>
              <w:rPr>
                <w:rFonts w:ascii="宋体" w:hAnsi="宋体" w:eastAsia="宋体" w:cs="宋体"/>
                <w:sz w:val="20"/>
                <w:szCs w:val="20"/>
              </w:rPr>
            </w:pPr>
            <w:r>
              <w:rPr>
                <w:rFonts w:ascii="宋体" w:hAnsi="宋体" w:eastAsia="宋体" w:cs="宋体"/>
                <w:spacing w:val="4"/>
                <w:sz w:val="20"/>
                <w:szCs w:val="20"/>
              </w:rPr>
              <w:t>喂</w:t>
            </w:r>
            <w:r>
              <w:rPr>
                <w:rFonts w:ascii="宋体" w:hAnsi="宋体" w:eastAsia="宋体" w:cs="宋体"/>
                <w:spacing w:val="3"/>
                <w:sz w:val="20"/>
                <w:szCs w:val="20"/>
              </w:rPr>
              <w:t>料机</w:t>
            </w:r>
          </w:p>
        </w:tc>
        <w:tc>
          <w:tcPr>
            <w:tcW w:w="836" w:type="dxa"/>
            <w:vAlign w:val="top"/>
          </w:tcPr>
          <w:p w14:paraId="365A5E22">
            <w:pPr>
              <w:spacing w:before="53" w:line="230" w:lineRule="auto"/>
              <w:ind w:left="202"/>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 xml:space="preserve">0 </w:t>
            </w:r>
            <w:r>
              <w:rPr>
                <w:rFonts w:ascii="宋体" w:hAnsi="宋体" w:eastAsia="宋体" w:cs="宋体"/>
                <w:spacing w:val="3"/>
                <w:sz w:val="20"/>
                <w:szCs w:val="20"/>
              </w:rPr>
              <w:t>台</w:t>
            </w:r>
          </w:p>
        </w:tc>
        <w:tc>
          <w:tcPr>
            <w:tcW w:w="4272" w:type="dxa"/>
            <w:vAlign w:val="top"/>
          </w:tcPr>
          <w:p w14:paraId="58C2DDD1">
            <w:pPr>
              <w:spacing w:before="15" w:line="281" w:lineRule="exact"/>
              <w:ind w:left="1325"/>
              <w:rPr>
                <w:rFonts w:ascii="Times New Roman" w:hAnsi="Times New Roman" w:eastAsia="Times New Roman" w:cs="Times New Roman"/>
                <w:sz w:val="20"/>
                <w:szCs w:val="20"/>
              </w:rPr>
            </w:pPr>
            <w:r>
              <w:rPr>
                <w:rFonts w:ascii="宋体" w:hAnsi="宋体" w:eastAsia="宋体" w:cs="宋体"/>
                <w:spacing w:val="2"/>
                <w:position w:val="1"/>
                <w:sz w:val="20"/>
                <w:szCs w:val="20"/>
              </w:rPr>
              <w:t>单位生产能</w:t>
            </w:r>
            <w:r>
              <w:rPr>
                <w:rFonts w:ascii="宋体" w:hAnsi="宋体" w:eastAsia="宋体" w:cs="宋体"/>
                <w:spacing w:val="1"/>
                <w:position w:val="1"/>
                <w:sz w:val="20"/>
                <w:szCs w:val="20"/>
              </w:rPr>
              <w:t xml:space="preserve">力 </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1"/>
                <w:position w:val="1"/>
                <w:sz w:val="20"/>
                <w:szCs w:val="20"/>
              </w:rPr>
              <w:t>/</w:t>
            </w:r>
            <w:r>
              <w:rPr>
                <w:rFonts w:ascii="Times New Roman" w:hAnsi="Times New Roman" w:eastAsia="Times New Roman" w:cs="Times New Roman"/>
                <w:position w:val="1"/>
                <w:sz w:val="20"/>
                <w:szCs w:val="20"/>
              </w:rPr>
              <w:t>h</w:t>
            </w:r>
          </w:p>
        </w:tc>
        <w:tc>
          <w:tcPr>
            <w:tcW w:w="943" w:type="dxa"/>
            <w:tcBorders>
              <w:right w:val="nil"/>
            </w:tcBorders>
            <w:vAlign w:val="top"/>
          </w:tcPr>
          <w:p w14:paraId="07B1ABBD">
            <w:pPr>
              <w:spacing w:before="53" w:line="228" w:lineRule="auto"/>
              <w:ind w:left="56"/>
              <w:rPr>
                <w:rFonts w:ascii="宋体" w:hAnsi="宋体" w:eastAsia="宋体" w:cs="宋体"/>
                <w:sz w:val="20"/>
                <w:szCs w:val="20"/>
              </w:rPr>
            </w:pPr>
            <w:r>
              <w:rPr>
                <w:rFonts w:ascii="宋体" w:hAnsi="宋体" w:eastAsia="宋体" w:cs="宋体"/>
                <w:spacing w:val="8"/>
                <w:sz w:val="20"/>
                <w:szCs w:val="20"/>
              </w:rPr>
              <w:t>挤</w:t>
            </w:r>
            <w:r>
              <w:rPr>
                <w:rFonts w:ascii="宋体" w:hAnsi="宋体" w:eastAsia="宋体" w:cs="宋体"/>
                <w:spacing w:val="7"/>
                <w:sz w:val="20"/>
                <w:szCs w:val="20"/>
              </w:rPr>
              <w:t>出上料</w:t>
            </w:r>
          </w:p>
        </w:tc>
      </w:tr>
      <w:tr w14:paraId="26ABC5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46" w:type="dxa"/>
            <w:tcBorders>
              <w:left w:val="nil"/>
            </w:tcBorders>
            <w:vAlign w:val="top"/>
          </w:tcPr>
          <w:p w14:paraId="5E22BAF6">
            <w:pPr>
              <w:spacing w:before="88" w:line="195" w:lineRule="auto"/>
              <w:ind w:left="34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c>
          <w:tcPr>
            <w:tcW w:w="1625" w:type="dxa"/>
            <w:vAlign w:val="top"/>
          </w:tcPr>
          <w:p w14:paraId="255CAC4A">
            <w:pPr>
              <w:spacing w:before="52" w:line="227" w:lineRule="auto"/>
              <w:ind w:left="507"/>
              <w:rPr>
                <w:rFonts w:ascii="宋体" w:hAnsi="宋体" w:eastAsia="宋体" w:cs="宋体"/>
                <w:sz w:val="20"/>
                <w:szCs w:val="20"/>
              </w:rPr>
            </w:pPr>
            <w:r>
              <w:rPr>
                <w:rFonts w:ascii="宋体" w:hAnsi="宋体" w:eastAsia="宋体" w:cs="宋体"/>
                <w:spacing w:val="6"/>
                <w:sz w:val="20"/>
                <w:szCs w:val="20"/>
              </w:rPr>
              <w:t>热</w:t>
            </w:r>
            <w:r>
              <w:rPr>
                <w:rFonts w:ascii="宋体" w:hAnsi="宋体" w:eastAsia="宋体" w:cs="宋体"/>
                <w:spacing w:val="5"/>
                <w:sz w:val="20"/>
                <w:szCs w:val="20"/>
              </w:rPr>
              <w:t>混机</w:t>
            </w:r>
          </w:p>
        </w:tc>
        <w:tc>
          <w:tcPr>
            <w:tcW w:w="836" w:type="dxa"/>
            <w:vAlign w:val="top"/>
          </w:tcPr>
          <w:p w14:paraId="1BE20027">
            <w:pPr>
              <w:spacing w:before="52" w:line="230" w:lineRule="auto"/>
              <w:ind w:left="202"/>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 xml:space="preserve">0 </w:t>
            </w:r>
            <w:r>
              <w:rPr>
                <w:rFonts w:ascii="宋体" w:hAnsi="宋体" w:eastAsia="宋体" w:cs="宋体"/>
                <w:spacing w:val="3"/>
                <w:sz w:val="20"/>
                <w:szCs w:val="20"/>
              </w:rPr>
              <w:t>台</w:t>
            </w:r>
          </w:p>
        </w:tc>
        <w:tc>
          <w:tcPr>
            <w:tcW w:w="4272" w:type="dxa"/>
            <w:vAlign w:val="top"/>
          </w:tcPr>
          <w:p w14:paraId="6EE2387A">
            <w:pPr>
              <w:spacing w:before="15" w:line="281" w:lineRule="exact"/>
              <w:ind w:left="1325"/>
              <w:rPr>
                <w:rFonts w:ascii="Times New Roman" w:hAnsi="Times New Roman" w:eastAsia="Times New Roman" w:cs="Times New Roman"/>
                <w:sz w:val="20"/>
                <w:szCs w:val="20"/>
              </w:rPr>
            </w:pPr>
            <w:r>
              <w:rPr>
                <w:rFonts w:ascii="宋体" w:hAnsi="宋体" w:eastAsia="宋体" w:cs="宋体"/>
                <w:spacing w:val="2"/>
                <w:position w:val="1"/>
                <w:sz w:val="20"/>
                <w:szCs w:val="20"/>
              </w:rPr>
              <w:t>单位生产能</w:t>
            </w:r>
            <w:r>
              <w:rPr>
                <w:rFonts w:ascii="宋体" w:hAnsi="宋体" w:eastAsia="宋体" w:cs="宋体"/>
                <w:spacing w:val="1"/>
                <w:position w:val="1"/>
                <w:sz w:val="20"/>
                <w:szCs w:val="20"/>
              </w:rPr>
              <w:t xml:space="preserve">力 </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1"/>
                <w:position w:val="1"/>
                <w:sz w:val="20"/>
                <w:szCs w:val="20"/>
              </w:rPr>
              <w:t>/</w:t>
            </w:r>
            <w:r>
              <w:rPr>
                <w:rFonts w:ascii="Times New Roman" w:hAnsi="Times New Roman" w:eastAsia="Times New Roman" w:cs="Times New Roman"/>
                <w:position w:val="1"/>
                <w:sz w:val="20"/>
                <w:szCs w:val="20"/>
              </w:rPr>
              <w:t>h</w:t>
            </w:r>
          </w:p>
        </w:tc>
        <w:tc>
          <w:tcPr>
            <w:tcW w:w="943" w:type="dxa"/>
            <w:vMerge w:val="restart"/>
            <w:tcBorders>
              <w:bottom w:val="nil"/>
              <w:right w:val="nil"/>
            </w:tcBorders>
            <w:vAlign w:val="top"/>
          </w:tcPr>
          <w:p w14:paraId="225AA2C4">
            <w:pPr>
              <w:spacing w:before="214" w:line="228" w:lineRule="auto"/>
              <w:ind w:left="267"/>
              <w:rPr>
                <w:rFonts w:ascii="宋体" w:hAnsi="宋体" w:eastAsia="宋体" w:cs="宋体"/>
                <w:sz w:val="20"/>
                <w:szCs w:val="20"/>
              </w:rPr>
            </w:pPr>
            <w:r>
              <w:rPr>
                <w:rFonts w:ascii="宋体" w:hAnsi="宋体" w:eastAsia="宋体" w:cs="宋体"/>
                <w:spacing w:val="5"/>
                <w:sz w:val="20"/>
                <w:szCs w:val="20"/>
              </w:rPr>
              <w:t>挤</w:t>
            </w:r>
            <w:r>
              <w:rPr>
                <w:rFonts w:ascii="宋体" w:hAnsi="宋体" w:eastAsia="宋体" w:cs="宋体"/>
                <w:spacing w:val="4"/>
                <w:sz w:val="20"/>
                <w:szCs w:val="20"/>
              </w:rPr>
              <w:t>出</w:t>
            </w:r>
          </w:p>
        </w:tc>
      </w:tr>
      <w:tr w14:paraId="47F3B1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46" w:type="dxa"/>
            <w:tcBorders>
              <w:left w:val="nil"/>
            </w:tcBorders>
            <w:vAlign w:val="top"/>
          </w:tcPr>
          <w:p w14:paraId="4DDD10FD">
            <w:pPr>
              <w:spacing w:before="88" w:line="195" w:lineRule="auto"/>
              <w:ind w:left="34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6</w:t>
            </w:r>
          </w:p>
        </w:tc>
        <w:tc>
          <w:tcPr>
            <w:tcW w:w="1625" w:type="dxa"/>
            <w:vAlign w:val="top"/>
          </w:tcPr>
          <w:p w14:paraId="48687406">
            <w:pPr>
              <w:spacing w:before="52" w:line="227" w:lineRule="auto"/>
              <w:ind w:left="503"/>
              <w:rPr>
                <w:rFonts w:ascii="宋体" w:hAnsi="宋体" w:eastAsia="宋体" w:cs="宋体"/>
                <w:sz w:val="20"/>
                <w:szCs w:val="20"/>
              </w:rPr>
            </w:pPr>
            <w:r>
              <w:rPr>
                <w:rFonts w:ascii="宋体" w:hAnsi="宋体" w:eastAsia="宋体" w:cs="宋体"/>
                <w:spacing w:val="7"/>
                <w:sz w:val="20"/>
                <w:szCs w:val="20"/>
              </w:rPr>
              <w:t>挤出</w:t>
            </w:r>
            <w:r>
              <w:rPr>
                <w:rFonts w:ascii="宋体" w:hAnsi="宋体" w:eastAsia="宋体" w:cs="宋体"/>
                <w:spacing w:val="6"/>
                <w:sz w:val="20"/>
                <w:szCs w:val="20"/>
              </w:rPr>
              <w:t>机</w:t>
            </w:r>
          </w:p>
        </w:tc>
        <w:tc>
          <w:tcPr>
            <w:tcW w:w="836" w:type="dxa"/>
            <w:vAlign w:val="top"/>
          </w:tcPr>
          <w:p w14:paraId="33E2CBB9">
            <w:pPr>
              <w:spacing w:before="52" w:line="230" w:lineRule="auto"/>
              <w:ind w:left="202"/>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 xml:space="preserve">0 </w:t>
            </w:r>
            <w:r>
              <w:rPr>
                <w:rFonts w:ascii="宋体" w:hAnsi="宋体" w:eastAsia="宋体" w:cs="宋体"/>
                <w:spacing w:val="3"/>
                <w:sz w:val="20"/>
                <w:szCs w:val="20"/>
              </w:rPr>
              <w:t>台</w:t>
            </w:r>
          </w:p>
        </w:tc>
        <w:tc>
          <w:tcPr>
            <w:tcW w:w="4272" w:type="dxa"/>
            <w:vAlign w:val="top"/>
          </w:tcPr>
          <w:p w14:paraId="3BAE76CF">
            <w:pPr>
              <w:spacing w:before="15" w:line="281" w:lineRule="exact"/>
              <w:ind w:left="1325"/>
              <w:rPr>
                <w:rFonts w:ascii="Times New Roman" w:hAnsi="Times New Roman" w:eastAsia="Times New Roman" w:cs="Times New Roman"/>
                <w:sz w:val="20"/>
                <w:szCs w:val="20"/>
              </w:rPr>
            </w:pPr>
            <w:r>
              <w:rPr>
                <w:rFonts w:ascii="宋体" w:hAnsi="宋体" w:eastAsia="宋体" w:cs="宋体"/>
                <w:spacing w:val="2"/>
                <w:position w:val="1"/>
                <w:sz w:val="20"/>
                <w:szCs w:val="20"/>
              </w:rPr>
              <w:t>单位生产能</w:t>
            </w:r>
            <w:r>
              <w:rPr>
                <w:rFonts w:ascii="宋体" w:hAnsi="宋体" w:eastAsia="宋体" w:cs="宋体"/>
                <w:spacing w:val="1"/>
                <w:position w:val="1"/>
                <w:sz w:val="20"/>
                <w:szCs w:val="20"/>
              </w:rPr>
              <w:t xml:space="preserve">力 </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1"/>
                <w:position w:val="1"/>
                <w:sz w:val="20"/>
                <w:szCs w:val="20"/>
              </w:rPr>
              <w:t>/</w:t>
            </w:r>
            <w:r>
              <w:rPr>
                <w:rFonts w:ascii="Times New Roman" w:hAnsi="Times New Roman" w:eastAsia="Times New Roman" w:cs="Times New Roman"/>
                <w:position w:val="1"/>
                <w:sz w:val="20"/>
                <w:szCs w:val="20"/>
              </w:rPr>
              <w:t>h</w:t>
            </w:r>
          </w:p>
        </w:tc>
        <w:tc>
          <w:tcPr>
            <w:tcW w:w="943" w:type="dxa"/>
            <w:vMerge w:val="continue"/>
            <w:tcBorders>
              <w:top w:val="nil"/>
              <w:right w:val="nil"/>
            </w:tcBorders>
            <w:vAlign w:val="top"/>
          </w:tcPr>
          <w:p w14:paraId="38D3FC55">
            <w:pPr>
              <w:rPr>
                <w:rFonts w:ascii="Arial"/>
                <w:sz w:val="21"/>
              </w:rPr>
            </w:pPr>
          </w:p>
        </w:tc>
      </w:tr>
      <w:tr w14:paraId="254805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46" w:type="dxa"/>
            <w:tcBorders>
              <w:left w:val="nil"/>
            </w:tcBorders>
            <w:vAlign w:val="top"/>
          </w:tcPr>
          <w:p w14:paraId="764F4806">
            <w:pPr>
              <w:spacing w:before="88" w:line="195" w:lineRule="auto"/>
              <w:ind w:left="34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7</w:t>
            </w:r>
          </w:p>
        </w:tc>
        <w:tc>
          <w:tcPr>
            <w:tcW w:w="1625" w:type="dxa"/>
            <w:vAlign w:val="top"/>
          </w:tcPr>
          <w:p w14:paraId="3F21A8D4">
            <w:pPr>
              <w:spacing w:before="52" w:line="227" w:lineRule="auto"/>
              <w:ind w:left="505"/>
              <w:rPr>
                <w:rFonts w:ascii="宋体" w:hAnsi="宋体" w:eastAsia="宋体" w:cs="宋体"/>
                <w:sz w:val="20"/>
                <w:szCs w:val="20"/>
              </w:rPr>
            </w:pPr>
            <w:r>
              <w:rPr>
                <w:rFonts w:ascii="宋体" w:hAnsi="宋体" w:eastAsia="宋体" w:cs="宋体"/>
                <w:spacing w:val="7"/>
                <w:sz w:val="20"/>
                <w:szCs w:val="20"/>
              </w:rPr>
              <w:t>拉</w:t>
            </w:r>
            <w:r>
              <w:rPr>
                <w:rFonts w:ascii="宋体" w:hAnsi="宋体" w:eastAsia="宋体" w:cs="宋体"/>
                <w:spacing w:val="6"/>
                <w:sz w:val="20"/>
                <w:szCs w:val="20"/>
              </w:rPr>
              <w:t>丝机</w:t>
            </w:r>
          </w:p>
        </w:tc>
        <w:tc>
          <w:tcPr>
            <w:tcW w:w="836" w:type="dxa"/>
            <w:vAlign w:val="top"/>
          </w:tcPr>
          <w:p w14:paraId="58FB83D0">
            <w:pPr>
              <w:spacing w:before="52" w:line="230" w:lineRule="auto"/>
              <w:ind w:left="202"/>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 xml:space="preserve">0 </w:t>
            </w:r>
            <w:r>
              <w:rPr>
                <w:rFonts w:ascii="宋体" w:hAnsi="宋体" w:eastAsia="宋体" w:cs="宋体"/>
                <w:spacing w:val="3"/>
                <w:sz w:val="20"/>
                <w:szCs w:val="20"/>
              </w:rPr>
              <w:t>台</w:t>
            </w:r>
          </w:p>
        </w:tc>
        <w:tc>
          <w:tcPr>
            <w:tcW w:w="4272" w:type="dxa"/>
            <w:vAlign w:val="top"/>
          </w:tcPr>
          <w:p w14:paraId="61D13119">
            <w:pPr>
              <w:spacing w:before="14" w:line="281" w:lineRule="exact"/>
              <w:ind w:left="2105"/>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943" w:type="dxa"/>
            <w:tcBorders>
              <w:right w:val="nil"/>
            </w:tcBorders>
            <w:vAlign w:val="top"/>
          </w:tcPr>
          <w:p w14:paraId="24D46A46">
            <w:pPr>
              <w:spacing w:before="52" w:line="227" w:lineRule="auto"/>
              <w:ind w:left="269"/>
              <w:rPr>
                <w:rFonts w:ascii="宋体" w:hAnsi="宋体" w:eastAsia="宋体" w:cs="宋体"/>
                <w:sz w:val="20"/>
                <w:szCs w:val="20"/>
              </w:rPr>
            </w:pPr>
            <w:r>
              <w:rPr>
                <w:rFonts w:ascii="宋体" w:hAnsi="宋体" w:eastAsia="宋体" w:cs="宋体"/>
                <w:spacing w:val="4"/>
                <w:sz w:val="20"/>
                <w:szCs w:val="20"/>
              </w:rPr>
              <w:t>牵</w:t>
            </w:r>
            <w:r>
              <w:rPr>
                <w:rFonts w:ascii="宋体" w:hAnsi="宋体" w:eastAsia="宋体" w:cs="宋体"/>
                <w:spacing w:val="3"/>
                <w:sz w:val="20"/>
                <w:szCs w:val="20"/>
              </w:rPr>
              <w:t>引</w:t>
            </w:r>
          </w:p>
        </w:tc>
      </w:tr>
      <w:tr w14:paraId="6A2D06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46" w:type="dxa"/>
            <w:tcBorders>
              <w:left w:val="nil"/>
            </w:tcBorders>
            <w:vAlign w:val="top"/>
          </w:tcPr>
          <w:p w14:paraId="26F689F5">
            <w:pPr>
              <w:spacing w:before="90" w:line="195" w:lineRule="auto"/>
              <w:ind w:left="34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8</w:t>
            </w:r>
          </w:p>
        </w:tc>
        <w:tc>
          <w:tcPr>
            <w:tcW w:w="1625" w:type="dxa"/>
            <w:vAlign w:val="top"/>
          </w:tcPr>
          <w:p w14:paraId="555593AD">
            <w:pPr>
              <w:spacing w:before="54" w:line="230" w:lineRule="auto"/>
              <w:ind w:left="505"/>
              <w:rPr>
                <w:rFonts w:ascii="宋体" w:hAnsi="宋体" w:eastAsia="宋体" w:cs="宋体"/>
                <w:sz w:val="20"/>
                <w:szCs w:val="20"/>
              </w:rPr>
            </w:pPr>
            <w:r>
              <w:rPr>
                <w:rFonts w:ascii="宋体" w:hAnsi="宋体" w:eastAsia="宋体" w:cs="宋体"/>
                <w:spacing w:val="7"/>
                <w:sz w:val="20"/>
                <w:szCs w:val="20"/>
              </w:rPr>
              <w:t>冷</w:t>
            </w:r>
            <w:r>
              <w:rPr>
                <w:rFonts w:ascii="宋体" w:hAnsi="宋体" w:eastAsia="宋体" w:cs="宋体"/>
                <w:spacing w:val="6"/>
                <w:sz w:val="20"/>
                <w:szCs w:val="20"/>
              </w:rPr>
              <w:t>却池</w:t>
            </w:r>
          </w:p>
        </w:tc>
        <w:tc>
          <w:tcPr>
            <w:tcW w:w="836" w:type="dxa"/>
            <w:vAlign w:val="top"/>
          </w:tcPr>
          <w:p w14:paraId="200F9F00">
            <w:pPr>
              <w:spacing w:before="54" w:line="230" w:lineRule="auto"/>
              <w:ind w:left="202"/>
              <w:rPr>
                <w:rFonts w:ascii="宋体" w:hAnsi="宋体" w:eastAsia="宋体" w:cs="宋体"/>
                <w:sz w:val="20"/>
                <w:szCs w:val="20"/>
              </w:rPr>
            </w:pPr>
            <w:r>
              <w:rPr>
                <w:rFonts w:ascii="Times New Roman" w:hAnsi="Times New Roman" w:eastAsia="Times New Roman" w:cs="Times New Roman"/>
                <w:spacing w:val="-1"/>
                <w:sz w:val="20"/>
                <w:szCs w:val="20"/>
              </w:rPr>
              <w:t>1</w:t>
            </w:r>
            <w:r>
              <w:rPr>
                <w:rFonts w:ascii="Times New Roman" w:hAnsi="Times New Roman" w:eastAsia="Times New Roman" w:cs="Times New Roman"/>
                <w:sz w:val="20"/>
                <w:szCs w:val="20"/>
              </w:rPr>
              <w:t xml:space="preserve">0 </w:t>
            </w:r>
            <w:r>
              <w:rPr>
                <w:rFonts w:ascii="宋体" w:hAnsi="宋体" w:eastAsia="宋体" w:cs="宋体"/>
                <w:sz w:val="20"/>
                <w:szCs w:val="20"/>
              </w:rPr>
              <w:t>座</w:t>
            </w:r>
          </w:p>
        </w:tc>
        <w:tc>
          <w:tcPr>
            <w:tcW w:w="4272" w:type="dxa"/>
            <w:vAlign w:val="top"/>
          </w:tcPr>
          <w:p w14:paraId="366BF28D">
            <w:pPr>
              <w:spacing w:before="16" w:line="281" w:lineRule="exact"/>
              <w:ind w:left="457"/>
              <w:rPr>
                <w:rFonts w:ascii="宋体" w:hAnsi="宋体" w:eastAsia="宋体" w:cs="宋体"/>
                <w:sz w:val="20"/>
                <w:szCs w:val="20"/>
              </w:rPr>
            </w:pPr>
            <w:r>
              <w:rPr>
                <w:rFonts w:ascii="宋体" w:hAnsi="宋体" w:eastAsia="宋体" w:cs="宋体"/>
                <w:spacing w:val="6"/>
                <w:position w:val="1"/>
                <w:sz w:val="20"/>
                <w:szCs w:val="20"/>
              </w:rPr>
              <w:t xml:space="preserve">容积 </w:t>
            </w:r>
            <w:r>
              <w:rPr>
                <w:rFonts w:ascii="Times New Roman" w:hAnsi="Times New Roman" w:eastAsia="Times New Roman" w:cs="Times New Roman"/>
                <w:spacing w:val="6"/>
                <w:position w:val="1"/>
                <w:sz w:val="20"/>
                <w:szCs w:val="20"/>
              </w:rPr>
              <w:t>0.</w:t>
            </w:r>
            <w:r>
              <w:rPr>
                <w:rFonts w:ascii="Times New Roman" w:hAnsi="Times New Roman" w:eastAsia="Times New Roman" w:cs="Times New Roman"/>
                <w:spacing w:val="3"/>
                <w:position w:val="1"/>
                <w:sz w:val="20"/>
                <w:szCs w:val="20"/>
              </w:rPr>
              <w:t>79</w:t>
            </w:r>
            <w:r>
              <w:rPr>
                <w:rFonts w:ascii="Times New Roman" w:hAnsi="Times New Roman" w:eastAsia="Times New Roman" w:cs="Times New Roman"/>
                <w:position w:val="1"/>
                <w:sz w:val="20"/>
                <w:szCs w:val="20"/>
              </w:rPr>
              <w:t>m</w:t>
            </w:r>
            <w:r>
              <w:rPr>
                <w:rFonts w:ascii="Times New Roman" w:hAnsi="Times New Roman" w:eastAsia="Times New Roman" w:cs="Times New Roman"/>
                <w:spacing w:val="3"/>
                <w:position w:val="7"/>
                <w:sz w:val="13"/>
                <w:szCs w:val="13"/>
              </w:rPr>
              <w:t>3</w:t>
            </w:r>
            <w:r>
              <w:rPr>
                <w:rFonts w:ascii="Times New Roman" w:hAnsi="Times New Roman" w:eastAsia="Times New Roman" w:cs="Times New Roman"/>
                <w:spacing w:val="3"/>
                <w:position w:val="1"/>
                <w:sz w:val="20"/>
                <w:szCs w:val="20"/>
              </w:rPr>
              <w:t>/</w:t>
            </w:r>
            <w:r>
              <w:rPr>
                <w:rFonts w:ascii="宋体" w:hAnsi="宋体" w:eastAsia="宋体" w:cs="宋体"/>
                <w:spacing w:val="3"/>
                <w:position w:val="1"/>
                <w:sz w:val="20"/>
                <w:szCs w:val="20"/>
              </w:rPr>
              <w:t>座 (</w:t>
            </w:r>
            <w:r>
              <w:rPr>
                <w:rFonts w:ascii="Times New Roman" w:hAnsi="Times New Roman" w:eastAsia="Times New Roman" w:cs="Times New Roman"/>
                <w:spacing w:val="3"/>
                <w:position w:val="1"/>
                <w:sz w:val="20"/>
                <w:szCs w:val="20"/>
              </w:rPr>
              <w:t>4.5</w:t>
            </w:r>
            <w:r>
              <w:rPr>
                <w:rFonts w:ascii="Times New Roman" w:hAnsi="Times New Roman" w:eastAsia="Times New Roman" w:cs="Times New Roman"/>
                <w:position w:val="1"/>
                <w:sz w:val="20"/>
                <w:szCs w:val="20"/>
              </w:rPr>
              <w:t>m</w:t>
            </w:r>
            <w:r>
              <w:rPr>
                <w:rFonts w:ascii="Times New Roman" w:hAnsi="Times New Roman" w:eastAsia="Times New Roman" w:cs="Times New Roman"/>
                <w:spacing w:val="3"/>
                <w:position w:val="1"/>
                <w:sz w:val="20"/>
                <w:szCs w:val="20"/>
              </w:rPr>
              <w:t>×0.5</w:t>
            </w:r>
            <w:r>
              <w:rPr>
                <w:rFonts w:ascii="Times New Roman" w:hAnsi="Times New Roman" w:eastAsia="Times New Roman" w:cs="Times New Roman"/>
                <w:position w:val="1"/>
                <w:sz w:val="20"/>
                <w:szCs w:val="20"/>
              </w:rPr>
              <w:t>m</w:t>
            </w:r>
            <w:r>
              <w:rPr>
                <w:rFonts w:ascii="Times New Roman" w:hAnsi="Times New Roman" w:eastAsia="Times New Roman" w:cs="Times New Roman"/>
                <w:spacing w:val="3"/>
                <w:position w:val="1"/>
                <w:sz w:val="20"/>
                <w:szCs w:val="20"/>
              </w:rPr>
              <w:t>×0.35</w:t>
            </w:r>
            <w:r>
              <w:rPr>
                <w:rFonts w:ascii="Times New Roman" w:hAnsi="Times New Roman" w:eastAsia="Times New Roman" w:cs="Times New Roman"/>
                <w:position w:val="1"/>
                <w:sz w:val="20"/>
                <w:szCs w:val="20"/>
              </w:rPr>
              <w:t>m</w:t>
            </w:r>
            <w:r>
              <w:rPr>
                <w:rFonts w:ascii="宋体" w:hAnsi="宋体" w:eastAsia="宋体" w:cs="宋体"/>
                <w:spacing w:val="3"/>
                <w:position w:val="1"/>
                <w:sz w:val="20"/>
                <w:szCs w:val="20"/>
              </w:rPr>
              <w:t>)</w:t>
            </w:r>
          </w:p>
        </w:tc>
        <w:tc>
          <w:tcPr>
            <w:tcW w:w="943" w:type="dxa"/>
            <w:tcBorders>
              <w:right w:val="nil"/>
            </w:tcBorders>
            <w:vAlign w:val="top"/>
          </w:tcPr>
          <w:p w14:paraId="55518B34">
            <w:pPr>
              <w:spacing w:before="54" w:line="230" w:lineRule="auto"/>
              <w:ind w:left="269"/>
              <w:rPr>
                <w:rFonts w:ascii="宋体" w:hAnsi="宋体" w:eastAsia="宋体" w:cs="宋体"/>
                <w:sz w:val="20"/>
                <w:szCs w:val="20"/>
              </w:rPr>
            </w:pPr>
            <w:r>
              <w:rPr>
                <w:rFonts w:ascii="宋体" w:hAnsi="宋体" w:eastAsia="宋体" w:cs="宋体"/>
                <w:spacing w:val="4"/>
                <w:sz w:val="20"/>
                <w:szCs w:val="20"/>
              </w:rPr>
              <w:t>冷</w:t>
            </w:r>
            <w:r>
              <w:rPr>
                <w:rFonts w:ascii="宋体" w:hAnsi="宋体" w:eastAsia="宋体" w:cs="宋体"/>
                <w:spacing w:val="3"/>
                <w:sz w:val="20"/>
                <w:szCs w:val="20"/>
              </w:rPr>
              <w:t>却</w:t>
            </w:r>
          </w:p>
        </w:tc>
      </w:tr>
      <w:tr w14:paraId="26D53F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46" w:type="dxa"/>
            <w:tcBorders>
              <w:left w:val="nil"/>
            </w:tcBorders>
            <w:vAlign w:val="top"/>
          </w:tcPr>
          <w:p w14:paraId="4FC8C98F">
            <w:pPr>
              <w:spacing w:before="89" w:line="195" w:lineRule="auto"/>
              <w:ind w:left="34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9</w:t>
            </w:r>
          </w:p>
        </w:tc>
        <w:tc>
          <w:tcPr>
            <w:tcW w:w="1625" w:type="dxa"/>
            <w:vAlign w:val="top"/>
          </w:tcPr>
          <w:p w14:paraId="227B78FD">
            <w:pPr>
              <w:spacing w:before="53" w:line="227" w:lineRule="auto"/>
              <w:ind w:left="502"/>
              <w:rPr>
                <w:rFonts w:ascii="宋体" w:hAnsi="宋体" w:eastAsia="宋体" w:cs="宋体"/>
                <w:sz w:val="20"/>
                <w:szCs w:val="20"/>
              </w:rPr>
            </w:pPr>
            <w:r>
              <w:rPr>
                <w:rFonts w:ascii="宋体" w:hAnsi="宋体" w:eastAsia="宋体" w:cs="宋体"/>
                <w:spacing w:val="7"/>
                <w:sz w:val="20"/>
                <w:szCs w:val="20"/>
              </w:rPr>
              <w:t>切粒机</w:t>
            </w:r>
          </w:p>
        </w:tc>
        <w:tc>
          <w:tcPr>
            <w:tcW w:w="836" w:type="dxa"/>
            <w:vAlign w:val="top"/>
          </w:tcPr>
          <w:p w14:paraId="5C40A872">
            <w:pPr>
              <w:spacing w:before="53" w:line="230" w:lineRule="auto"/>
              <w:ind w:left="202"/>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 xml:space="preserve">0 </w:t>
            </w:r>
            <w:r>
              <w:rPr>
                <w:rFonts w:ascii="宋体" w:hAnsi="宋体" w:eastAsia="宋体" w:cs="宋体"/>
                <w:spacing w:val="3"/>
                <w:sz w:val="20"/>
                <w:szCs w:val="20"/>
              </w:rPr>
              <w:t>台</w:t>
            </w:r>
          </w:p>
        </w:tc>
        <w:tc>
          <w:tcPr>
            <w:tcW w:w="4272" w:type="dxa"/>
            <w:vAlign w:val="top"/>
          </w:tcPr>
          <w:p w14:paraId="61AE0A9F">
            <w:pPr>
              <w:spacing w:before="16" w:line="281" w:lineRule="exact"/>
              <w:ind w:left="1325"/>
              <w:rPr>
                <w:rFonts w:ascii="Times New Roman" w:hAnsi="Times New Roman" w:eastAsia="Times New Roman" w:cs="Times New Roman"/>
                <w:sz w:val="20"/>
                <w:szCs w:val="20"/>
              </w:rPr>
            </w:pPr>
            <w:r>
              <w:rPr>
                <w:rFonts w:ascii="宋体" w:hAnsi="宋体" w:eastAsia="宋体" w:cs="宋体"/>
                <w:spacing w:val="2"/>
                <w:position w:val="1"/>
                <w:sz w:val="20"/>
                <w:szCs w:val="20"/>
              </w:rPr>
              <w:t>单位生产能</w:t>
            </w:r>
            <w:r>
              <w:rPr>
                <w:rFonts w:ascii="宋体" w:hAnsi="宋体" w:eastAsia="宋体" w:cs="宋体"/>
                <w:spacing w:val="1"/>
                <w:position w:val="1"/>
                <w:sz w:val="20"/>
                <w:szCs w:val="20"/>
              </w:rPr>
              <w:t xml:space="preserve">力 </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1"/>
                <w:position w:val="1"/>
                <w:sz w:val="20"/>
                <w:szCs w:val="20"/>
              </w:rPr>
              <w:t>/</w:t>
            </w:r>
            <w:r>
              <w:rPr>
                <w:rFonts w:ascii="Times New Roman" w:hAnsi="Times New Roman" w:eastAsia="Times New Roman" w:cs="Times New Roman"/>
                <w:position w:val="1"/>
                <w:sz w:val="20"/>
                <w:szCs w:val="20"/>
              </w:rPr>
              <w:t>h</w:t>
            </w:r>
          </w:p>
        </w:tc>
        <w:tc>
          <w:tcPr>
            <w:tcW w:w="943" w:type="dxa"/>
            <w:vMerge w:val="restart"/>
            <w:tcBorders>
              <w:bottom w:val="nil"/>
              <w:right w:val="nil"/>
            </w:tcBorders>
            <w:vAlign w:val="top"/>
          </w:tcPr>
          <w:p w14:paraId="2A80100C">
            <w:pPr>
              <w:spacing w:before="215" w:line="228" w:lineRule="auto"/>
              <w:ind w:left="266"/>
              <w:rPr>
                <w:rFonts w:ascii="宋体" w:hAnsi="宋体" w:eastAsia="宋体" w:cs="宋体"/>
                <w:sz w:val="20"/>
                <w:szCs w:val="20"/>
              </w:rPr>
            </w:pPr>
            <w:r>
              <w:rPr>
                <w:rFonts w:ascii="宋体" w:hAnsi="宋体" w:eastAsia="宋体" w:cs="宋体"/>
                <w:spacing w:val="5"/>
                <w:sz w:val="20"/>
                <w:szCs w:val="20"/>
              </w:rPr>
              <w:t>切粒</w:t>
            </w:r>
          </w:p>
        </w:tc>
      </w:tr>
      <w:tr w14:paraId="401275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46" w:type="dxa"/>
            <w:tcBorders>
              <w:left w:val="nil"/>
            </w:tcBorders>
            <w:vAlign w:val="top"/>
          </w:tcPr>
          <w:p w14:paraId="28FE9E50">
            <w:pPr>
              <w:spacing w:before="89" w:line="195" w:lineRule="auto"/>
              <w:ind w:left="32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0</w:t>
            </w:r>
          </w:p>
        </w:tc>
        <w:tc>
          <w:tcPr>
            <w:tcW w:w="1625" w:type="dxa"/>
            <w:vAlign w:val="top"/>
          </w:tcPr>
          <w:p w14:paraId="51D2B0DA">
            <w:pPr>
              <w:spacing w:before="53" w:line="228" w:lineRule="auto"/>
              <w:ind w:left="502"/>
              <w:rPr>
                <w:rFonts w:ascii="宋体" w:hAnsi="宋体" w:eastAsia="宋体" w:cs="宋体"/>
                <w:sz w:val="20"/>
                <w:szCs w:val="20"/>
              </w:rPr>
            </w:pPr>
            <w:r>
              <w:rPr>
                <w:rFonts w:ascii="宋体" w:hAnsi="宋体" w:eastAsia="宋体" w:cs="宋体"/>
                <w:spacing w:val="7"/>
                <w:sz w:val="20"/>
                <w:szCs w:val="20"/>
              </w:rPr>
              <w:t>输送带</w:t>
            </w:r>
          </w:p>
        </w:tc>
        <w:tc>
          <w:tcPr>
            <w:tcW w:w="836" w:type="dxa"/>
            <w:vAlign w:val="top"/>
          </w:tcPr>
          <w:p w14:paraId="3C9E6B03">
            <w:pPr>
              <w:spacing w:before="53" w:line="230" w:lineRule="auto"/>
              <w:ind w:left="202"/>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 xml:space="preserve">0 </w:t>
            </w:r>
            <w:r>
              <w:rPr>
                <w:rFonts w:ascii="宋体" w:hAnsi="宋体" w:eastAsia="宋体" w:cs="宋体"/>
                <w:spacing w:val="3"/>
                <w:sz w:val="20"/>
                <w:szCs w:val="20"/>
              </w:rPr>
              <w:t>台</w:t>
            </w:r>
          </w:p>
        </w:tc>
        <w:tc>
          <w:tcPr>
            <w:tcW w:w="4272" w:type="dxa"/>
            <w:vAlign w:val="top"/>
          </w:tcPr>
          <w:p w14:paraId="435979F2">
            <w:pPr>
              <w:spacing w:before="15" w:line="281" w:lineRule="exact"/>
              <w:ind w:left="2105"/>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943" w:type="dxa"/>
            <w:vMerge w:val="continue"/>
            <w:tcBorders>
              <w:top w:val="nil"/>
              <w:right w:val="nil"/>
            </w:tcBorders>
            <w:vAlign w:val="top"/>
          </w:tcPr>
          <w:p w14:paraId="7AEC43A0">
            <w:pPr>
              <w:rPr>
                <w:rFonts w:ascii="Arial"/>
                <w:sz w:val="21"/>
              </w:rPr>
            </w:pPr>
          </w:p>
        </w:tc>
      </w:tr>
      <w:tr w14:paraId="0FBFE2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46" w:type="dxa"/>
            <w:tcBorders>
              <w:left w:val="nil"/>
            </w:tcBorders>
            <w:vAlign w:val="top"/>
          </w:tcPr>
          <w:p w14:paraId="03F279D8">
            <w:pPr>
              <w:spacing w:before="244" w:line="195" w:lineRule="auto"/>
              <w:ind w:left="32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1</w:t>
            </w:r>
          </w:p>
        </w:tc>
        <w:tc>
          <w:tcPr>
            <w:tcW w:w="1625" w:type="dxa"/>
            <w:vAlign w:val="top"/>
          </w:tcPr>
          <w:p w14:paraId="177109A3">
            <w:pPr>
              <w:spacing w:before="208" w:line="228" w:lineRule="auto"/>
              <w:ind w:left="503"/>
              <w:rPr>
                <w:rFonts w:ascii="宋体" w:hAnsi="宋体" w:eastAsia="宋体" w:cs="宋体"/>
                <w:sz w:val="20"/>
                <w:szCs w:val="20"/>
              </w:rPr>
            </w:pPr>
            <w:r>
              <w:rPr>
                <w:rFonts w:ascii="宋体" w:hAnsi="宋体" w:eastAsia="宋体" w:cs="宋体"/>
                <w:spacing w:val="7"/>
                <w:sz w:val="20"/>
                <w:szCs w:val="20"/>
              </w:rPr>
              <w:t>集气</w:t>
            </w:r>
            <w:r>
              <w:rPr>
                <w:rFonts w:ascii="宋体" w:hAnsi="宋体" w:eastAsia="宋体" w:cs="宋体"/>
                <w:spacing w:val="6"/>
                <w:sz w:val="20"/>
                <w:szCs w:val="20"/>
              </w:rPr>
              <w:t>罩</w:t>
            </w:r>
          </w:p>
        </w:tc>
        <w:tc>
          <w:tcPr>
            <w:tcW w:w="836" w:type="dxa"/>
            <w:vAlign w:val="top"/>
          </w:tcPr>
          <w:p w14:paraId="511CA048">
            <w:pPr>
              <w:spacing w:before="208" w:line="228" w:lineRule="auto"/>
              <w:ind w:left="202"/>
              <w:rPr>
                <w:rFonts w:ascii="宋体" w:hAnsi="宋体" w:eastAsia="宋体" w:cs="宋体"/>
                <w:sz w:val="20"/>
                <w:szCs w:val="20"/>
              </w:rPr>
            </w:pPr>
            <w:r>
              <w:rPr>
                <w:rFonts w:ascii="Times New Roman" w:hAnsi="Times New Roman" w:eastAsia="Times New Roman" w:cs="Times New Roman"/>
                <w:spacing w:val="-1"/>
                <w:sz w:val="20"/>
                <w:szCs w:val="20"/>
              </w:rPr>
              <w:t>10</w:t>
            </w:r>
            <w:r>
              <w:rPr>
                <w:rFonts w:ascii="Times New Roman" w:hAnsi="Times New Roman" w:eastAsia="Times New Roman" w:cs="Times New Roman"/>
                <w:sz w:val="20"/>
                <w:szCs w:val="20"/>
              </w:rPr>
              <w:t xml:space="preserve"> </w:t>
            </w:r>
            <w:r>
              <w:rPr>
                <w:rFonts w:ascii="宋体" w:hAnsi="宋体" w:eastAsia="宋体" w:cs="宋体"/>
                <w:sz w:val="20"/>
                <w:szCs w:val="20"/>
              </w:rPr>
              <w:t>个</w:t>
            </w:r>
          </w:p>
        </w:tc>
        <w:tc>
          <w:tcPr>
            <w:tcW w:w="4272" w:type="dxa"/>
            <w:vAlign w:val="top"/>
          </w:tcPr>
          <w:p w14:paraId="5FD28A77">
            <w:pPr>
              <w:spacing w:before="52" w:line="228" w:lineRule="auto"/>
              <w:ind w:left="881"/>
              <w:rPr>
                <w:rFonts w:ascii="宋体" w:hAnsi="宋体" w:eastAsia="宋体" w:cs="宋体"/>
                <w:sz w:val="20"/>
                <w:szCs w:val="20"/>
              </w:rPr>
            </w:pPr>
            <w:r>
              <w:rPr>
                <w:rFonts w:ascii="宋体" w:hAnsi="宋体" w:eastAsia="宋体" w:cs="宋体"/>
                <w:spacing w:val="6"/>
                <w:sz w:val="20"/>
                <w:szCs w:val="20"/>
              </w:rPr>
              <w:t>每条</w:t>
            </w:r>
            <w:r>
              <w:rPr>
                <w:rFonts w:ascii="宋体" w:hAnsi="宋体" w:eastAsia="宋体" w:cs="宋体"/>
                <w:spacing w:val="3"/>
                <w:sz w:val="20"/>
                <w:szCs w:val="20"/>
              </w:rPr>
              <w:t xml:space="preserve">生产线设 </w:t>
            </w:r>
            <w:r>
              <w:rPr>
                <w:rFonts w:ascii="Times New Roman" w:hAnsi="Times New Roman" w:eastAsia="Times New Roman" w:cs="Times New Roman"/>
                <w:spacing w:val="3"/>
                <w:sz w:val="20"/>
                <w:szCs w:val="20"/>
              </w:rPr>
              <w:t xml:space="preserve">1 </w:t>
            </w:r>
            <w:r>
              <w:rPr>
                <w:rFonts w:ascii="宋体" w:hAnsi="宋体" w:eastAsia="宋体" w:cs="宋体"/>
                <w:spacing w:val="3"/>
                <w:sz w:val="20"/>
                <w:szCs w:val="20"/>
              </w:rPr>
              <w:t>个集气罩，</w:t>
            </w:r>
          </w:p>
          <w:p w14:paraId="2936F608">
            <w:pPr>
              <w:spacing w:before="64" w:line="228" w:lineRule="auto"/>
              <w:ind w:left="1248"/>
              <w:rPr>
                <w:rFonts w:ascii="宋体" w:hAnsi="宋体" w:eastAsia="宋体" w:cs="宋体"/>
                <w:sz w:val="20"/>
                <w:szCs w:val="20"/>
              </w:rPr>
            </w:pPr>
            <w:r>
              <w:rPr>
                <w:rFonts w:ascii="宋体" w:hAnsi="宋体" w:eastAsia="宋体" w:cs="宋体"/>
                <w:spacing w:val="2"/>
                <w:sz w:val="20"/>
                <w:szCs w:val="20"/>
              </w:rPr>
              <w:t xml:space="preserve">共设 </w:t>
            </w:r>
            <w:r>
              <w:rPr>
                <w:rFonts w:ascii="Times New Roman" w:hAnsi="Times New Roman" w:eastAsia="Times New Roman" w:cs="Times New Roman"/>
                <w:spacing w:val="1"/>
                <w:sz w:val="20"/>
                <w:szCs w:val="20"/>
              </w:rPr>
              <w:t xml:space="preserve">10 </w:t>
            </w:r>
            <w:r>
              <w:rPr>
                <w:rFonts w:ascii="宋体" w:hAnsi="宋体" w:eastAsia="宋体" w:cs="宋体"/>
                <w:spacing w:val="1"/>
                <w:sz w:val="20"/>
                <w:szCs w:val="20"/>
              </w:rPr>
              <w:t>个集气罩。</w:t>
            </w:r>
          </w:p>
        </w:tc>
        <w:tc>
          <w:tcPr>
            <w:tcW w:w="943" w:type="dxa"/>
            <w:vMerge w:val="restart"/>
            <w:tcBorders>
              <w:bottom w:val="nil"/>
              <w:right w:val="nil"/>
            </w:tcBorders>
            <w:vAlign w:val="top"/>
          </w:tcPr>
          <w:p w14:paraId="560913E7">
            <w:pPr>
              <w:spacing w:line="311" w:lineRule="auto"/>
              <w:rPr>
                <w:rFonts w:ascii="Arial"/>
                <w:sz w:val="21"/>
              </w:rPr>
            </w:pPr>
          </w:p>
          <w:p w14:paraId="55E1AB2C">
            <w:pPr>
              <w:spacing w:line="311" w:lineRule="auto"/>
              <w:rPr>
                <w:rFonts w:ascii="Arial"/>
                <w:sz w:val="21"/>
              </w:rPr>
            </w:pPr>
          </w:p>
          <w:p w14:paraId="24F9662A">
            <w:pPr>
              <w:spacing w:before="65" w:line="312" w:lineRule="exact"/>
              <w:ind w:left="266"/>
              <w:rPr>
                <w:rFonts w:ascii="宋体" w:hAnsi="宋体" w:eastAsia="宋体" w:cs="宋体"/>
                <w:sz w:val="20"/>
                <w:szCs w:val="20"/>
              </w:rPr>
            </w:pPr>
            <w:r>
              <w:rPr>
                <w:rFonts w:ascii="宋体" w:hAnsi="宋体" w:eastAsia="宋体" w:cs="宋体"/>
                <w:spacing w:val="5"/>
                <w:position w:val="7"/>
                <w:sz w:val="20"/>
                <w:szCs w:val="20"/>
              </w:rPr>
              <w:t>废气</w:t>
            </w:r>
          </w:p>
          <w:p w14:paraId="1F1DF3D1">
            <w:pPr>
              <w:spacing w:line="232" w:lineRule="auto"/>
              <w:ind w:left="272"/>
              <w:rPr>
                <w:rFonts w:ascii="宋体" w:hAnsi="宋体" w:eastAsia="宋体" w:cs="宋体"/>
                <w:sz w:val="20"/>
                <w:szCs w:val="20"/>
              </w:rPr>
            </w:pPr>
            <w:r>
              <w:rPr>
                <w:rFonts w:ascii="宋体" w:hAnsi="宋体" w:eastAsia="宋体" w:cs="宋体"/>
                <w:spacing w:val="2"/>
                <w:sz w:val="20"/>
                <w:szCs w:val="20"/>
              </w:rPr>
              <w:t>治理</w:t>
            </w:r>
          </w:p>
          <w:p w14:paraId="51E2DD19">
            <w:pPr>
              <w:spacing w:before="60" w:line="229" w:lineRule="auto"/>
              <w:ind w:left="270"/>
              <w:rPr>
                <w:rFonts w:ascii="宋体" w:hAnsi="宋体" w:eastAsia="宋体" w:cs="宋体"/>
                <w:sz w:val="20"/>
                <w:szCs w:val="20"/>
              </w:rPr>
            </w:pPr>
            <w:r>
              <w:rPr>
                <w:rFonts w:ascii="宋体" w:hAnsi="宋体" w:eastAsia="宋体" w:cs="宋体"/>
                <w:spacing w:val="3"/>
                <w:sz w:val="20"/>
                <w:szCs w:val="20"/>
              </w:rPr>
              <w:t>设备</w:t>
            </w:r>
          </w:p>
        </w:tc>
      </w:tr>
      <w:tr w14:paraId="14A0DE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46" w:type="dxa"/>
            <w:tcBorders>
              <w:left w:val="nil"/>
            </w:tcBorders>
            <w:vAlign w:val="top"/>
          </w:tcPr>
          <w:p w14:paraId="29F7585F">
            <w:pPr>
              <w:spacing w:before="245" w:line="195" w:lineRule="auto"/>
              <w:ind w:left="32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2</w:t>
            </w:r>
          </w:p>
        </w:tc>
        <w:tc>
          <w:tcPr>
            <w:tcW w:w="1625" w:type="dxa"/>
            <w:vAlign w:val="top"/>
          </w:tcPr>
          <w:p w14:paraId="1707C9B4">
            <w:pPr>
              <w:spacing w:before="54" w:line="258" w:lineRule="auto"/>
              <w:ind w:left="292" w:right="109" w:hanging="185"/>
              <w:rPr>
                <w:rFonts w:ascii="宋体" w:hAnsi="宋体" w:eastAsia="宋体" w:cs="宋体"/>
                <w:sz w:val="20"/>
                <w:szCs w:val="20"/>
              </w:rPr>
            </w:pPr>
            <w:r>
              <w:rPr>
                <w:rFonts w:ascii="Times New Roman" w:hAnsi="Times New Roman" w:eastAsia="Times New Roman" w:cs="Times New Roman"/>
                <w:sz w:val="20"/>
                <w:szCs w:val="20"/>
              </w:rPr>
              <w:t>UV</w:t>
            </w:r>
            <w:r>
              <w:rPr>
                <w:rFonts w:ascii="Times New Roman" w:hAnsi="Times New Roman" w:eastAsia="Times New Roman" w:cs="Times New Roman"/>
                <w:spacing w:val="14"/>
                <w:sz w:val="20"/>
                <w:szCs w:val="20"/>
              </w:rPr>
              <w:t xml:space="preserve"> </w:t>
            </w:r>
            <w:r>
              <w:rPr>
                <w:rFonts w:ascii="宋体" w:hAnsi="宋体" w:eastAsia="宋体" w:cs="宋体"/>
                <w:spacing w:val="10"/>
                <w:sz w:val="20"/>
                <w:szCs w:val="20"/>
              </w:rPr>
              <w:t>光氧催化废</w:t>
            </w:r>
            <w:r>
              <w:rPr>
                <w:rFonts w:ascii="宋体" w:hAnsi="宋体" w:eastAsia="宋体" w:cs="宋体"/>
                <w:sz w:val="20"/>
                <w:szCs w:val="20"/>
              </w:rPr>
              <w:t xml:space="preserve"> </w:t>
            </w:r>
            <w:r>
              <w:rPr>
                <w:rFonts w:ascii="宋体" w:hAnsi="宋体" w:eastAsia="宋体" w:cs="宋体"/>
                <w:spacing w:val="8"/>
                <w:sz w:val="20"/>
                <w:szCs w:val="20"/>
              </w:rPr>
              <w:t>气处理装</w:t>
            </w:r>
            <w:r>
              <w:rPr>
                <w:rFonts w:ascii="宋体" w:hAnsi="宋体" w:eastAsia="宋体" w:cs="宋体"/>
                <w:spacing w:val="7"/>
                <w:sz w:val="20"/>
                <w:szCs w:val="20"/>
              </w:rPr>
              <w:t>置</w:t>
            </w:r>
          </w:p>
        </w:tc>
        <w:tc>
          <w:tcPr>
            <w:tcW w:w="836" w:type="dxa"/>
            <w:vAlign w:val="top"/>
          </w:tcPr>
          <w:p w14:paraId="7A0A1F01">
            <w:pPr>
              <w:spacing w:before="209" w:line="230" w:lineRule="auto"/>
              <w:ind w:left="235"/>
              <w:rPr>
                <w:rFonts w:ascii="宋体" w:hAnsi="宋体" w:eastAsia="宋体" w:cs="宋体"/>
                <w:sz w:val="20"/>
                <w:szCs w:val="20"/>
              </w:rPr>
            </w:pPr>
            <w:r>
              <w:rPr>
                <w:rFonts w:ascii="Times New Roman" w:hAnsi="Times New Roman" w:eastAsia="Times New Roman" w:cs="Times New Roman"/>
                <w:spacing w:val="10"/>
                <w:sz w:val="20"/>
                <w:szCs w:val="20"/>
              </w:rPr>
              <w:t>2</w:t>
            </w:r>
            <w:r>
              <w:rPr>
                <w:rFonts w:ascii="Times New Roman" w:hAnsi="Times New Roman" w:eastAsia="Times New Roman" w:cs="Times New Roman"/>
                <w:spacing w:val="8"/>
                <w:sz w:val="20"/>
                <w:szCs w:val="20"/>
              </w:rPr>
              <w:t xml:space="preserve"> </w:t>
            </w:r>
            <w:r>
              <w:rPr>
                <w:rFonts w:ascii="宋体" w:hAnsi="宋体" w:eastAsia="宋体" w:cs="宋体"/>
                <w:spacing w:val="8"/>
                <w:sz w:val="20"/>
                <w:szCs w:val="20"/>
              </w:rPr>
              <w:t>台</w:t>
            </w:r>
          </w:p>
        </w:tc>
        <w:tc>
          <w:tcPr>
            <w:tcW w:w="4272" w:type="dxa"/>
            <w:vAlign w:val="top"/>
          </w:tcPr>
          <w:p w14:paraId="6B9D61BB">
            <w:pPr>
              <w:spacing w:before="54" w:line="257" w:lineRule="auto"/>
              <w:ind w:left="49" w:right="40"/>
              <w:rPr>
                <w:rFonts w:ascii="宋体" w:hAnsi="宋体" w:eastAsia="宋体" w:cs="宋体"/>
                <w:sz w:val="20"/>
                <w:szCs w:val="20"/>
              </w:rPr>
            </w:pPr>
            <w:r>
              <w:rPr>
                <w:rFonts w:ascii="宋体" w:hAnsi="宋体" w:eastAsia="宋体" w:cs="宋体"/>
                <w:spacing w:val="2"/>
                <w:sz w:val="20"/>
                <w:szCs w:val="20"/>
              </w:rPr>
              <w:t xml:space="preserve">每 </w:t>
            </w:r>
            <w:r>
              <w:rPr>
                <w:rFonts w:ascii="Times New Roman" w:hAnsi="Times New Roman" w:eastAsia="Times New Roman" w:cs="Times New Roman"/>
                <w:spacing w:val="2"/>
                <w:sz w:val="20"/>
                <w:szCs w:val="20"/>
              </w:rPr>
              <w:t xml:space="preserve">5 </w:t>
            </w:r>
            <w:r>
              <w:rPr>
                <w:rFonts w:ascii="宋体" w:hAnsi="宋体" w:eastAsia="宋体" w:cs="宋体"/>
                <w:spacing w:val="2"/>
                <w:sz w:val="20"/>
                <w:szCs w:val="20"/>
              </w:rPr>
              <w:t xml:space="preserve">条生产线共用 </w:t>
            </w:r>
            <w:r>
              <w:rPr>
                <w:rFonts w:ascii="Times New Roman" w:hAnsi="Times New Roman" w:eastAsia="Times New Roman" w:cs="Times New Roman"/>
                <w:spacing w:val="2"/>
                <w:sz w:val="20"/>
                <w:szCs w:val="20"/>
              </w:rPr>
              <w:t xml:space="preserve">1 </w:t>
            </w:r>
            <w:r>
              <w:rPr>
                <w:rFonts w:ascii="宋体" w:hAnsi="宋体" w:eastAsia="宋体" w:cs="宋体"/>
                <w:spacing w:val="2"/>
                <w:sz w:val="20"/>
                <w:szCs w:val="20"/>
              </w:rPr>
              <w:t>台</w:t>
            </w:r>
            <w:r>
              <w:rPr>
                <w:rFonts w:ascii="宋体" w:hAnsi="宋体" w:eastAsia="宋体" w:cs="宋体"/>
                <w:spacing w:val="1"/>
                <w:sz w:val="20"/>
                <w:szCs w:val="20"/>
              </w:rPr>
              <w:t xml:space="preserve"> </w:t>
            </w:r>
            <w:r>
              <w:rPr>
                <w:rFonts w:ascii="Times New Roman" w:hAnsi="Times New Roman" w:eastAsia="Times New Roman" w:cs="Times New Roman"/>
                <w:sz w:val="20"/>
                <w:szCs w:val="20"/>
              </w:rPr>
              <w:t>UV</w:t>
            </w:r>
            <w:r>
              <w:rPr>
                <w:rFonts w:ascii="Times New Roman" w:hAnsi="Times New Roman" w:eastAsia="Times New Roman" w:cs="Times New Roman"/>
                <w:spacing w:val="1"/>
                <w:sz w:val="20"/>
                <w:szCs w:val="20"/>
              </w:rPr>
              <w:t xml:space="preserve"> </w:t>
            </w:r>
            <w:r>
              <w:rPr>
                <w:rFonts w:ascii="宋体" w:hAnsi="宋体" w:eastAsia="宋体" w:cs="宋体"/>
                <w:spacing w:val="1"/>
                <w:sz w:val="20"/>
                <w:szCs w:val="20"/>
              </w:rPr>
              <w:t>光氧催化废气处理</w:t>
            </w:r>
            <w:r>
              <w:rPr>
                <w:rFonts w:ascii="宋体" w:hAnsi="宋体" w:eastAsia="宋体" w:cs="宋体"/>
                <w:sz w:val="20"/>
                <w:szCs w:val="20"/>
              </w:rPr>
              <w:t xml:space="preserve"> </w:t>
            </w:r>
            <w:r>
              <w:rPr>
                <w:rFonts w:ascii="宋体" w:hAnsi="宋体" w:eastAsia="宋体" w:cs="宋体"/>
                <w:spacing w:val="6"/>
                <w:sz w:val="20"/>
                <w:szCs w:val="20"/>
              </w:rPr>
              <w:t>装置，</w:t>
            </w:r>
            <w:r>
              <w:rPr>
                <w:rFonts w:ascii="宋体" w:hAnsi="宋体" w:eastAsia="宋体" w:cs="宋体"/>
                <w:spacing w:val="5"/>
                <w:sz w:val="20"/>
                <w:szCs w:val="20"/>
              </w:rPr>
              <w:t>共</w:t>
            </w:r>
            <w:r>
              <w:rPr>
                <w:rFonts w:ascii="宋体" w:hAnsi="宋体" w:eastAsia="宋体" w:cs="宋体"/>
                <w:spacing w:val="3"/>
                <w:sz w:val="20"/>
                <w:szCs w:val="20"/>
              </w:rPr>
              <w:t xml:space="preserve">设 </w:t>
            </w:r>
            <w:r>
              <w:rPr>
                <w:rFonts w:ascii="Times New Roman" w:hAnsi="Times New Roman" w:eastAsia="Times New Roman" w:cs="Times New Roman"/>
                <w:spacing w:val="3"/>
                <w:sz w:val="20"/>
                <w:szCs w:val="20"/>
              </w:rPr>
              <w:t xml:space="preserve">2 </w:t>
            </w:r>
            <w:r>
              <w:rPr>
                <w:rFonts w:ascii="宋体" w:hAnsi="宋体" w:eastAsia="宋体" w:cs="宋体"/>
                <w:spacing w:val="3"/>
                <w:sz w:val="20"/>
                <w:szCs w:val="20"/>
              </w:rPr>
              <w:t xml:space="preserve">台 </w:t>
            </w:r>
            <w:r>
              <w:rPr>
                <w:rFonts w:ascii="Times New Roman" w:hAnsi="Times New Roman" w:eastAsia="Times New Roman" w:cs="Times New Roman"/>
                <w:sz w:val="20"/>
                <w:szCs w:val="20"/>
              </w:rPr>
              <w:t>UV</w:t>
            </w:r>
            <w:r>
              <w:rPr>
                <w:rFonts w:ascii="Times New Roman" w:hAnsi="Times New Roman" w:eastAsia="Times New Roman" w:cs="Times New Roman"/>
                <w:spacing w:val="3"/>
                <w:sz w:val="20"/>
                <w:szCs w:val="20"/>
              </w:rPr>
              <w:t xml:space="preserve"> </w:t>
            </w:r>
            <w:r>
              <w:rPr>
                <w:rFonts w:ascii="宋体" w:hAnsi="宋体" w:eastAsia="宋体" w:cs="宋体"/>
                <w:spacing w:val="3"/>
                <w:sz w:val="20"/>
                <w:szCs w:val="20"/>
              </w:rPr>
              <w:t>光氧催化废气处理装置。</w:t>
            </w:r>
          </w:p>
        </w:tc>
        <w:tc>
          <w:tcPr>
            <w:tcW w:w="943" w:type="dxa"/>
            <w:vMerge w:val="continue"/>
            <w:tcBorders>
              <w:top w:val="nil"/>
              <w:bottom w:val="nil"/>
              <w:right w:val="nil"/>
            </w:tcBorders>
            <w:vAlign w:val="top"/>
          </w:tcPr>
          <w:p w14:paraId="7D85734A">
            <w:pPr>
              <w:rPr>
                <w:rFonts w:ascii="Arial"/>
                <w:sz w:val="21"/>
              </w:rPr>
            </w:pPr>
          </w:p>
        </w:tc>
      </w:tr>
      <w:tr w14:paraId="14750E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46" w:type="dxa"/>
            <w:tcBorders>
              <w:left w:val="nil"/>
            </w:tcBorders>
            <w:vAlign w:val="top"/>
          </w:tcPr>
          <w:p w14:paraId="2BA082E1">
            <w:pPr>
              <w:spacing w:before="246" w:line="195" w:lineRule="auto"/>
              <w:ind w:left="32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3</w:t>
            </w:r>
          </w:p>
        </w:tc>
        <w:tc>
          <w:tcPr>
            <w:tcW w:w="1625" w:type="dxa"/>
            <w:vAlign w:val="top"/>
          </w:tcPr>
          <w:p w14:paraId="35776222">
            <w:pPr>
              <w:spacing w:before="210" w:line="227" w:lineRule="auto"/>
              <w:ind w:left="86"/>
              <w:rPr>
                <w:rFonts w:ascii="宋体" w:hAnsi="宋体" w:eastAsia="宋体" w:cs="宋体"/>
                <w:sz w:val="20"/>
                <w:szCs w:val="20"/>
              </w:rPr>
            </w:pPr>
            <w:r>
              <w:rPr>
                <w:rFonts w:ascii="宋体" w:hAnsi="宋体" w:eastAsia="宋体" w:cs="宋体"/>
                <w:spacing w:val="9"/>
                <w:sz w:val="20"/>
                <w:szCs w:val="20"/>
              </w:rPr>
              <w:t>活</w:t>
            </w:r>
            <w:r>
              <w:rPr>
                <w:rFonts w:ascii="宋体" w:hAnsi="宋体" w:eastAsia="宋体" w:cs="宋体"/>
                <w:spacing w:val="8"/>
                <w:sz w:val="20"/>
                <w:szCs w:val="20"/>
              </w:rPr>
              <w:t>性炭吸附装置</w:t>
            </w:r>
          </w:p>
        </w:tc>
        <w:tc>
          <w:tcPr>
            <w:tcW w:w="836" w:type="dxa"/>
            <w:vAlign w:val="top"/>
          </w:tcPr>
          <w:p w14:paraId="5DCAAF53">
            <w:pPr>
              <w:spacing w:before="210" w:line="230" w:lineRule="auto"/>
              <w:ind w:left="235"/>
              <w:rPr>
                <w:rFonts w:ascii="宋体" w:hAnsi="宋体" w:eastAsia="宋体" w:cs="宋体"/>
                <w:sz w:val="20"/>
                <w:szCs w:val="20"/>
              </w:rPr>
            </w:pPr>
            <w:r>
              <w:rPr>
                <w:rFonts w:ascii="Times New Roman" w:hAnsi="Times New Roman" w:eastAsia="Times New Roman" w:cs="Times New Roman"/>
                <w:spacing w:val="10"/>
                <w:sz w:val="20"/>
                <w:szCs w:val="20"/>
              </w:rPr>
              <w:t>2</w:t>
            </w:r>
            <w:r>
              <w:rPr>
                <w:rFonts w:ascii="Times New Roman" w:hAnsi="Times New Roman" w:eastAsia="Times New Roman" w:cs="Times New Roman"/>
                <w:spacing w:val="8"/>
                <w:sz w:val="20"/>
                <w:szCs w:val="20"/>
              </w:rPr>
              <w:t xml:space="preserve"> </w:t>
            </w:r>
            <w:r>
              <w:rPr>
                <w:rFonts w:ascii="宋体" w:hAnsi="宋体" w:eastAsia="宋体" w:cs="宋体"/>
                <w:spacing w:val="8"/>
                <w:sz w:val="20"/>
                <w:szCs w:val="20"/>
              </w:rPr>
              <w:t>台</w:t>
            </w:r>
          </w:p>
        </w:tc>
        <w:tc>
          <w:tcPr>
            <w:tcW w:w="4272" w:type="dxa"/>
            <w:vAlign w:val="top"/>
          </w:tcPr>
          <w:p w14:paraId="14B95632">
            <w:pPr>
              <w:spacing w:before="55" w:line="257" w:lineRule="auto"/>
              <w:ind w:left="23" w:right="45" w:firstLine="3"/>
              <w:rPr>
                <w:rFonts w:ascii="宋体" w:hAnsi="宋体" w:eastAsia="宋体" w:cs="宋体"/>
                <w:sz w:val="20"/>
                <w:szCs w:val="20"/>
              </w:rPr>
            </w:pPr>
            <w:r>
              <w:rPr>
                <w:rFonts w:ascii="宋体" w:hAnsi="宋体" w:eastAsia="宋体" w:cs="宋体"/>
                <w:spacing w:val="4"/>
                <w:sz w:val="20"/>
                <w:szCs w:val="20"/>
              </w:rPr>
              <w:t xml:space="preserve">每 </w:t>
            </w:r>
            <w:r>
              <w:rPr>
                <w:rFonts w:ascii="Times New Roman" w:hAnsi="Times New Roman" w:eastAsia="Times New Roman" w:cs="Times New Roman"/>
                <w:spacing w:val="4"/>
                <w:sz w:val="20"/>
                <w:szCs w:val="20"/>
              </w:rPr>
              <w:t xml:space="preserve">5 </w:t>
            </w:r>
            <w:r>
              <w:rPr>
                <w:rFonts w:ascii="宋体" w:hAnsi="宋体" w:eastAsia="宋体" w:cs="宋体"/>
                <w:spacing w:val="4"/>
                <w:sz w:val="20"/>
                <w:szCs w:val="20"/>
              </w:rPr>
              <w:t xml:space="preserve">条生产线共用 </w:t>
            </w:r>
            <w:r>
              <w:rPr>
                <w:rFonts w:ascii="Times New Roman" w:hAnsi="Times New Roman" w:eastAsia="Times New Roman" w:cs="Times New Roman"/>
                <w:spacing w:val="4"/>
                <w:sz w:val="20"/>
                <w:szCs w:val="20"/>
              </w:rPr>
              <w:t xml:space="preserve">1 </w:t>
            </w:r>
            <w:r>
              <w:rPr>
                <w:rFonts w:ascii="宋体" w:hAnsi="宋体" w:eastAsia="宋体" w:cs="宋体"/>
                <w:spacing w:val="4"/>
                <w:sz w:val="20"/>
                <w:szCs w:val="20"/>
              </w:rPr>
              <w:t>台活性炭吸附装置，共</w:t>
            </w:r>
            <w:r>
              <w:rPr>
                <w:rFonts w:ascii="宋体" w:hAnsi="宋体" w:eastAsia="宋体" w:cs="宋体"/>
                <w:spacing w:val="2"/>
                <w:sz w:val="20"/>
                <w:szCs w:val="20"/>
              </w:rPr>
              <w:t>设</w:t>
            </w:r>
            <w:r>
              <w:rPr>
                <w:rFonts w:ascii="宋体" w:hAnsi="宋体" w:eastAsia="宋体" w:cs="宋体"/>
                <w:sz w:val="20"/>
                <w:szCs w:val="20"/>
              </w:rPr>
              <w:t xml:space="preserve"> </w:t>
            </w:r>
            <w:r>
              <w:rPr>
                <w:rFonts w:ascii="Times New Roman" w:hAnsi="Times New Roman" w:eastAsia="Times New Roman" w:cs="Times New Roman"/>
                <w:spacing w:val="11"/>
                <w:sz w:val="20"/>
                <w:szCs w:val="20"/>
              </w:rPr>
              <w:t>2</w:t>
            </w:r>
            <w:r>
              <w:rPr>
                <w:rFonts w:ascii="Times New Roman" w:hAnsi="Times New Roman" w:eastAsia="Times New Roman" w:cs="Times New Roman"/>
                <w:spacing w:val="7"/>
                <w:sz w:val="20"/>
                <w:szCs w:val="20"/>
              </w:rPr>
              <w:t xml:space="preserve"> </w:t>
            </w:r>
            <w:r>
              <w:rPr>
                <w:rFonts w:ascii="宋体" w:hAnsi="宋体" w:eastAsia="宋体" w:cs="宋体"/>
                <w:spacing w:val="7"/>
                <w:sz w:val="20"/>
                <w:szCs w:val="20"/>
              </w:rPr>
              <w:t>台活性炭吸附装置。</w:t>
            </w:r>
          </w:p>
        </w:tc>
        <w:tc>
          <w:tcPr>
            <w:tcW w:w="943" w:type="dxa"/>
            <w:vMerge w:val="continue"/>
            <w:tcBorders>
              <w:top w:val="nil"/>
              <w:bottom w:val="nil"/>
              <w:right w:val="nil"/>
            </w:tcBorders>
            <w:vAlign w:val="top"/>
          </w:tcPr>
          <w:p w14:paraId="339D7893">
            <w:pPr>
              <w:rPr>
                <w:rFonts w:ascii="Arial"/>
                <w:sz w:val="21"/>
              </w:rPr>
            </w:pPr>
          </w:p>
        </w:tc>
      </w:tr>
      <w:tr w14:paraId="28C86B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46" w:type="dxa"/>
            <w:tcBorders>
              <w:left w:val="nil"/>
            </w:tcBorders>
            <w:vAlign w:val="top"/>
          </w:tcPr>
          <w:p w14:paraId="53C44172">
            <w:pPr>
              <w:spacing w:before="93" w:line="195" w:lineRule="auto"/>
              <w:ind w:left="32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4</w:t>
            </w:r>
          </w:p>
        </w:tc>
        <w:tc>
          <w:tcPr>
            <w:tcW w:w="1625" w:type="dxa"/>
            <w:vAlign w:val="top"/>
          </w:tcPr>
          <w:p w14:paraId="4389C58C">
            <w:pPr>
              <w:spacing w:before="57" w:line="227" w:lineRule="auto"/>
              <w:ind w:left="607"/>
              <w:rPr>
                <w:rFonts w:ascii="宋体" w:hAnsi="宋体" w:eastAsia="宋体" w:cs="宋体"/>
                <w:sz w:val="20"/>
                <w:szCs w:val="20"/>
              </w:rPr>
            </w:pPr>
            <w:r>
              <w:rPr>
                <w:rFonts w:ascii="宋体" w:hAnsi="宋体" w:eastAsia="宋体" w:cs="宋体"/>
                <w:spacing w:val="4"/>
                <w:sz w:val="20"/>
                <w:szCs w:val="20"/>
              </w:rPr>
              <w:t>风机</w:t>
            </w:r>
          </w:p>
        </w:tc>
        <w:tc>
          <w:tcPr>
            <w:tcW w:w="836" w:type="dxa"/>
            <w:vAlign w:val="top"/>
          </w:tcPr>
          <w:p w14:paraId="15FEF24F">
            <w:pPr>
              <w:spacing w:before="57" w:line="230" w:lineRule="auto"/>
              <w:ind w:left="235"/>
              <w:rPr>
                <w:rFonts w:ascii="宋体" w:hAnsi="宋体" w:eastAsia="宋体" w:cs="宋体"/>
                <w:sz w:val="20"/>
                <w:szCs w:val="20"/>
              </w:rPr>
            </w:pPr>
            <w:r>
              <w:rPr>
                <w:rFonts w:ascii="Times New Roman" w:hAnsi="Times New Roman" w:eastAsia="Times New Roman" w:cs="Times New Roman"/>
                <w:spacing w:val="10"/>
                <w:sz w:val="20"/>
                <w:szCs w:val="20"/>
              </w:rPr>
              <w:t>2</w:t>
            </w:r>
            <w:r>
              <w:rPr>
                <w:rFonts w:ascii="Times New Roman" w:hAnsi="Times New Roman" w:eastAsia="Times New Roman" w:cs="Times New Roman"/>
                <w:spacing w:val="8"/>
                <w:sz w:val="20"/>
                <w:szCs w:val="20"/>
              </w:rPr>
              <w:t xml:space="preserve"> </w:t>
            </w:r>
            <w:r>
              <w:rPr>
                <w:rFonts w:ascii="宋体" w:hAnsi="宋体" w:eastAsia="宋体" w:cs="宋体"/>
                <w:spacing w:val="8"/>
                <w:sz w:val="20"/>
                <w:szCs w:val="20"/>
              </w:rPr>
              <w:t>台</w:t>
            </w:r>
          </w:p>
        </w:tc>
        <w:tc>
          <w:tcPr>
            <w:tcW w:w="4272" w:type="dxa"/>
            <w:vAlign w:val="top"/>
          </w:tcPr>
          <w:p w14:paraId="7BEC7770">
            <w:pPr>
              <w:spacing w:before="19" w:line="281" w:lineRule="exact"/>
              <w:ind w:left="2105"/>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943" w:type="dxa"/>
            <w:vMerge w:val="continue"/>
            <w:tcBorders>
              <w:top w:val="nil"/>
              <w:right w:val="nil"/>
            </w:tcBorders>
            <w:vAlign w:val="top"/>
          </w:tcPr>
          <w:p w14:paraId="4A85F127">
            <w:pPr>
              <w:rPr>
                <w:rFonts w:ascii="Arial"/>
                <w:sz w:val="21"/>
              </w:rPr>
            </w:pPr>
          </w:p>
        </w:tc>
      </w:tr>
      <w:tr w14:paraId="4B48AF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46" w:type="dxa"/>
            <w:tcBorders>
              <w:left w:val="nil"/>
            </w:tcBorders>
            <w:vAlign w:val="top"/>
          </w:tcPr>
          <w:p w14:paraId="06961344">
            <w:pPr>
              <w:spacing w:before="92" w:line="195" w:lineRule="auto"/>
              <w:ind w:left="32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5</w:t>
            </w:r>
          </w:p>
        </w:tc>
        <w:tc>
          <w:tcPr>
            <w:tcW w:w="1625" w:type="dxa"/>
            <w:vAlign w:val="top"/>
          </w:tcPr>
          <w:p w14:paraId="714E8D4A">
            <w:pPr>
              <w:spacing w:before="57" w:line="228" w:lineRule="auto"/>
              <w:ind w:left="292"/>
              <w:rPr>
                <w:rFonts w:ascii="宋体" w:hAnsi="宋体" w:eastAsia="宋体" w:cs="宋体"/>
                <w:sz w:val="20"/>
                <w:szCs w:val="20"/>
              </w:rPr>
            </w:pPr>
            <w:r>
              <w:rPr>
                <w:rFonts w:ascii="宋体" w:hAnsi="宋体" w:eastAsia="宋体" w:cs="宋体"/>
                <w:spacing w:val="8"/>
                <w:sz w:val="20"/>
                <w:szCs w:val="20"/>
              </w:rPr>
              <w:t>三级沉淀池</w:t>
            </w:r>
          </w:p>
        </w:tc>
        <w:tc>
          <w:tcPr>
            <w:tcW w:w="836" w:type="dxa"/>
            <w:vAlign w:val="top"/>
          </w:tcPr>
          <w:p w14:paraId="24BEC4DE">
            <w:pPr>
              <w:spacing w:before="56" w:line="228" w:lineRule="auto"/>
              <w:ind w:left="255"/>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 xml:space="preserve"> </w:t>
            </w:r>
            <w:r>
              <w:rPr>
                <w:rFonts w:ascii="宋体" w:hAnsi="宋体" w:eastAsia="宋体" w:cs="宋体"/>
                <w:spacing w:val="-3"/>
                <w:sz w:val="20"/>
                <w:szCs w:val="20"/>
              </w:rPr>
              <w:t>个</w:t>
            </w:r>
          </w:p>
        </w:tc>
        <w:tc>
          <w:tcPr>
            <w:tcW w:w="4272" w:type="dxa"/>
            <w:vAlign w:val="top"/>
          </w:tcPr>
          <w:p w14:paraId="2B8E99EA">
            <w:pPr>
              <w:spacing w:before="57" w:line="228" w:lineRule="auto"/>
              <w:ind w:left="773"/>
              <w:rPr>
                <w:rFonts w:ascii="宋体" w:hAnsi="宋体" w:eastAsia="宋体" w:cs="宋体"/>
                <w:sz w:val="20"/>
                <w:szCs w:val="20"/>
              </w:rPr>
            </w:pPr>
            <w:r>
              <w:rPr>
                <w:rFonts w:ascii="宋体" w:hAnsi="宋体" w:eastAsia="宋体" w:cs="宋体"/>
                <w:spacing w:val="5"/>
                <w:sz w:val="20"/>
                <w:szCs w:val="20"/>
              </w:rPr>
              <w:t>容</w:t>
            </w:r>
            <w:r>
              <w:rPr>
                <w:rFonts w:ascii="宋体" w:hAnsi="宋体" w:eastAsia="宋体" w:cs="宋体"/>
                <w:spacing w:val="3"/>
                <w:sz w:val="20"/>
                <w:szCs w:val="20"/>
              </w:rPr>
              <w:t xml:space="preserve">积 </w:t>
            </w:r>
            <w:r>
              <w:rPr>
                <w:rFonts w:ascii="Times New Roman" w:hAnsi="Times New Roman" w:eastAsia="Times New Roman" w:cs="Times New Roman"/>
                <w:spacing w:val="3"/>
                <w:sz w:val="20"/>
                <w:szCs w:val="20"/>
              </w:rPr>
              <w:t>324</w:t>
            </w:r>
            <w:r>
              <w:rPr>
                <w:rFonts w:ascii="Times New Roman" w:hAnsi="Times New Roman" w:eastAsia="Times New Roman" w:cs="Times New Roman"/>
                <w:sz w:val="20"/>
                <w:szCs w:val="20"/>
              </w:rPr>
              <w:t>m</w:t>
            </w:r>
            <w:r>
              <w:rPr>
                <w:rFonts w:ascii="Times New Roman" w:hAnsi="Times New Roman" w:eastAsia="Times New Roman" w:cs="Times New Roman"/>
                <w:spacing w:val="3"/>
                <w:position w:val="6"/>
                <w:sz w:val="13"/>
                <w:szCs w:val="13"/>
              </w:rPr>
              <w:t xml:space="preserve">3   </w:t>
            </w:r>
            <w:r>
              <w:rPr>
                <w:rFonts w:ascii="宋体" w:hAnsi="宋体" w:eastAsia="宋体" w:cs="宋体"/>
                <w:spacing w:val="3"/>
                <w:sz w:val="20"/>
                <w:szCs w:val="20"/>
              </w:rPr>
              <w:t>(</w:t>
            </w:r>
            <w:r>
              <w:rPr>
                <w:rFonts w:ascii="Times New Roman" w:hAnsi="Times New Roman" w:eastAsia="Times New Roman" w:cs="Times New Roman"/>
                <w:spacing w:val="3"/>
                <w:sz w:val="20"/>
                <w:szCs w:val="20"/>
              </w:rPr>
              <w:t>12</w:t>
            </w:r>
            <w:r>
              <w:rPr>
                <w:rFonts w:ascii="Times New Roman" w:hAnsi="Times New Roman" w:eastAsia="Times New Roman" w:cs="Times New Roman"/>
                <w:sz w:val="20"/>
                <w:szCs w:val="20"/>
              </w:rPr>
              <w:t>m</w:t>
            </w:r>
            <w:r>
              <w:rPr>
                <w:rFonts w:ascii="Times New Roman" w:hAnsi="Times New Roman" w:eastAsia="Times New Roman" w:cs="Times New Roman"/>
                <w:spacing w:val="3"/>
                <w:sz w:val="20"/>
                <w:szCs w:val="20"/>
              </w:rPr>
              <w:t>×6</w:t>
            </w:r>
            <w:r>
              <w:rPr>
                <w:rFonts w:ascii="Times New Roman" w:hAnsi="Times New Roman" w:eastAsia="Times New Roman" w:cs="Times New Roman"/>
                <w:sz w:val="20"/>
                <w:szCs w:val="20"/>
              </w:rPr>
              <w:t>m</w:t>
            </w:r>
            <w:r>
              <w:rPr>
                <w:rFonts w:ascii="Times New Roman" w:hAnsi="Times New Roman" w:eastAsia="Times New Roman" w:cs="Times New Roman"/>
                <w:spacing w:val="3"/>
                <w:sz w:val="20"/>
                <w:szCs w:val="20"/>
              </w:rPr>
              <w:t>×4.5</w:t>
            </w:r>
            <w:r>
              <w:rPr>
                <w:rFonts w:ascii="Times New Roman" w:hAnsi="Times New Roman" w:eastAsia="Times New Roman" w:cs="Times New Roman"/>
                <w:sz w:val="20"/>
                <w:szCs w:val="20"/>
              </w:rPr>
              <w:t>m</w:t>
            </w:r>
            <w:r>
              <w:rPr>
                <w:rFonts w:ascii="宋体" w:hAnsi="宋体" w:eastAsia="宋体" w:cs="宋体"/>
                <w:spacing w:val="3"/>
                <w:sz w:val="20"/>
                <w:szCs w:val="20"/>
              </w:rPr>
              <w:t>)</w:t>
            </w:r>
          </w:p>
        </w:tc>
        <w:tc>
          <w:tcPr>
            <w:tcW w:w="943" w:type="dxa"/>
            <w:vMerge w:val="restart"/>
            <w:tcBorders>
              <w:bottom w:val="nil"/>
              <w:right w:val="nil"/>
            </w:tcBorders>
            <w:vAlign w:val="top"/>
          </w:tcPr>
          <w:p w14:paraId="4669DB89">
            <w:pPr>
              <w:spacing w:line="312" w:lineRule="auto"/>
              <w:rPr>
                <w:rFonts w:ascii="Arial"/>
                <w:sz w:val="21"/>
              </w:rPr>
            </w:pPr>
          </w:p>
          <w:p w14:paraId="63DAB41A">
            <w:pPr>
              <w:spacing w:before="65" w:line="301" w:lineRule="auto"/>
              <w:ind w:left="271" w:right="54" w:hanging="216"/>
              <w:rPr>
                <w:rFonts w:ascii="宋体" w:hAnsi="宋体" w:eastAsia="宋体" w:cs="宋体"/>
                <w:sz w:val="20"/>
                <w:szCs w:val="20"/>
              </w:rPr>
            </w:pPr>
            <w:r>
              <w:rPr>
                <w:rFonts w:ascii="宋体" w:hAnsi="宋体" w:eastAsia="宋体" w:cs="宋体"/>
                <w:spacing w:val="9"/>
                <w:sz w:val="20"/>
                <w:szCs w:val="20"/>
              </w:rPr>
              <w:t>废</w:t>
            </w:r>
            <w:r>
              <w:rPr>
                <w:rFonts w:ascii="宋体" w:hAnsi="宋体" w:eastAsia="宋体" w:cs="宋体"/>
                <w:spacing w:val="7"/>
                <w:sz w:val="20"/>
                <w:szCs w:val="20"/>
              </w:rPr>
              <w:t>水处理</w:t>
            </w:r>
            <w:r>
              <w:rPr>
                <w:rFonts w:ascii="宋体" w:hAnsi="宋体" w:eastAsia="宋体" w:cs="宋体"/>
                <w:sz w:val="20"/>
                <w:szCs w:val="20"/>
              </w:rPr>
              <w:t xml:space="preserve"> </w:t>
            </w:r>
            <w:r>
              <w:rPr>
                <w:rFonts w:ascii="宋体" w:hAnsi="宋体" w:eastAsia="宋体" w:cs="宋体"/>
                <w:spacing w:val="3"/>
                <w:sz w:val="20"/>
                <w:szCs w:val="20"/>
              </w:rPr>
              <w:t>系</w:t>
            </w:r>
            <w:r>
              <w:rPr>
                <w:rFonts w:ascii="宋体" w:hAnsi="宋体" w:eastAsia="宋体" w:cs="宋体"/>
                <w:spacing w:val="2"/>
                <w:sz w:val="20"/>
                <w:szCs w:val="20"/>
              </w:rPr>
              <w:t>统</w:t>
            </w:r>
          </w:p>
        </w:tc>
      </w:tr>
      <w:tr w14:paraId="3941E6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46" w:type="dxa"/>
            <w:tcBorders>
              <w:left w:val="nil"/>
            </w:tcBorders>
            <w:vAlign w:val="top"/>
          </w:tcPr>
          <w:p w14:paraId="4D19BD36">
            <w:pPr>
              <w:spacing w:before="92" w:line="195" w:lineRule="auto"/>
              <w:ind w:left="32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6</w:t>
            </w:r>
          </w:p>
        </w:tc>
        <w:tc>
          <w:tcPr>
            <w:tcW w:w="1625" w:type="dxa"/>
            <w:vAlign w:val="top"/>
          </w:tcPr>
          <w:p w14:paraId="6D704866">
            <w:pPr>
              <w:spacing w:before="56" w:line="228" w:lineRule="auto"/>
              <w:ind w:left="398"/>
              <w:rPr>
                <w:rFonts w:ascii="宋体" w:hAnsi="宋体" w:eastAsia="宋体" w:cs="宋体"/>
                <w:sz w:val="20"/>
                <w:szCs w:val="20"/>
              </w:rPr>
            </w:pPr>
            <w:r>
              <w:rPr>
                <w:rFonts w:ascii="宋体" w:hAnsi="宋体" w:eastAsia="宋体" w:cs="宋体"/>
                <w:spacing w:val="8"/>
                <w:sz w:val="20"/>
                <w:szCs w:val="20"/>
              </w:rPr>
              <w:t>循</w:t>
            </w:r>
            <w:r>
              <w:rPr>
                <w:rFonts w:ascii="宋体" w:hAnsi="宋体" w:eastAsia="宋体" w:cs="宋体"/>
                <w:spacing w:val="7"/>
                <w:sz w:val="20"/>
                <w:szCs w:val="20"/>
              </w:rPr>
              <w:t>环水泵</w:t>
            </w:r>
          </w:p>
        </w:tc>
        <w:tc>
          <w:tcPr>
            <w:tcW w:w="836" w:type="dxa"/>
            <w:vAlign w:val="top"/>
          </w:tcPr>
          <w:p w14:paraId="03129A20">
            <w:pPr>
              <w:spacing w:before="56" w:line="230" w:lineRule="auto"/>
              <w:ind w:left="235"/>
              <w:rPr>
                <w:rFonts w:ascii="宋体" w:hAnsi="宋体" w:eastAsia="宋体" w:cs="宋体"/>
                <w:sz w:val="20"/>
                <w:szCs w:val="20"/>
              </w:rPr>
            </w:pPr>
            <w:r>
              <w:rPr>
                <w:rFonts w:ascii="Times New Roman" w:hAnsi="Times New Roman" w:eastAsia="Times New Roman" w:cs="Times New Roman"/>
                <w:spacing w:val="10"/>
                <w:sz w:val="20"/>
                <w:szCs w:val="20"/>
              </w:rPr>
              <w:t>2</w:t>
            </w:r>
            <w:r>
              <w:rPr>
                <w:rFonts w:ascii="Times New Roman" w:hAnsi="Times New Roman" w:eastAsia="Times New Roman" w:cs="Times New Roman"/>
                <w:spacing w:val="8"/>
                <w:sz w:val="20"/>
                <w:szCs w:val="20"/>
              </w:rPr>
              <w:t xml:space="preserve"> </w:t>
            </w:r>
            <w:r>
              <w:rPr>
                <w:rFonts w:ascii="宋体" w:hAnsi="宋体" w:eastAsia="宋体" w:cs="宋体"/>
                <w:spacing w:val="8"/>
                <w:sz w:val="20"/>
                <w:szCs w:val="20"/>
              </w:rPr>
              <w:t>台</w:t>
            </w:r>
          </w:p>
        </w:tc>
        <w:tc>
          <w:tcPr>
            <w:tcW w:w="4272" w:type="dxa"/>
            <w:vAlign w:val="top"/>
          </w:tcPr>
          <w:p w14:paraId="3DC85E8E">
            <w:pPr>
              <w:spacing w:before="18" w:line="281" w:lineRule="exact"/>
              <w:ind w:left="2105"/>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943" w:type="dxa"/>
            <w:vMerge w:val="continue"/>
            <w:tcBorders>
              <w:top w:val="nil"/>
              <w:bottom w:val="nil"/>
              <w:right w:val="nil"/>
            </w:tcBorders>
            <w:vAlign w:val="top"/>
          </w:tcPr>
          <w:p w14:paraId="71FC05FB">
            <w:pPr>
              <w:rPr>
                <w:rFonts w:ascii="Arial"/>
                <w:sz w:val="21"/>
              </w:rPr>
            </w:pPr>
          </w:p>
        </w:tc>
      </w:tr>
      <w:tr w14:paraId="14F856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846" w:type="dxa"/>
            <w:tcBorders>
              <w:left w:val="nil"/>
            </w:tcBorders>
            <w:vAlign w:val="top"/>
          </w:tcPr>
          <w:p w14:paraId="155EB0BE">
            <w:pPr>
              <w:spacing w:before="247" w:line="195" w:lineRule="auto"/>
              <w:ind w:left="32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7</w:t>
            </w:r>
          </w:p>
        </w:tc>
        <w:tc>
          <w:tcPr>
            <w:tcW w:w="1625" w:type="dxa"/>
            <w:vAlign w:val="top"/>
          </w:tcPr>
          <w:p w14:paraId="080B0329">
            <w:pPr>
              <w:spacing w:before="55" w:line="259" w:lineRule="auto"/>
              <w:ind w:left="505" w:right="75" w:hanging="419"/>
              <w:rPr>
                <w:rFonts w:ascii="宋体" w:hAnsi="宋体" w:eastAsia="宋体" w:cs="宋体"/>
                <w:sz w:val="20"/>
                <w:szCs w:val="20"/>
              </w:rPr>
            </w:pPr>
            <w:r>
              <w:rPr>
                <w:rFonts w:ascii="宋体" w:hAnsi="宋体" w:eastAsia="宋体" w:cs="宋体"/>
                <w:spacing w:val="9"/>
                <w:sz w:val="20"/>
                <w:szCs w:val="20"/>
              </w:rPr>
              <w:t>一</w:t>
            </w:r>
            <w:r>
              <w:rPr>
                <w:rFonts w:ascii="宋体" w:hAnsi="宋体" w:eastAsia="宋体" w:cs="宋体"/>
                <w:spacing w:val="8"/>
                <w:sz w:val="20"/>
                <w:szCs w:val="20"/>
              </w:rPr>
              <w:t>体化污水预处</w:t>
            </w:r>
            <w:r>
              <w:rPr>
                <w:rFonts w:ascii="宋体" w:hAnsi="宋体" w:eastAsia="宋体" w:cs="宋体"/>
                <w:sz w:val="20"/>
                <w:szCs w:val="20"/>
              </w:rPr>
              <w:t xml:space="preserve"> </w:t>
            </w:r>
            <w:r>
              <w:rPr>
                <w:rFonts w:ascii="宋体" w:hAnsi="宋体" w:eastAsia="宋体" w:cs="宋体"/>
                <w:spacing w:val="6"/>
                <w:sz w:val="20"/>
                <w:szCs w:val="20"/>
              </w:rPr>
              <w:t>理设备</w:t>
            </w:r>
          </w:p>
        </w:tc>
        <w:tc>
          <w:tcPr>
            <w:tcW w:w="836" w:type="dxa"/>
            <w:vAlign w:val="top"/>
          </w:tcPr>
          <w:p w14:paraId="0881294F">
            <w:pPr>
              <w:spacing w:before="211" w:line="230" w:lineRule="auto"/>
              <w:ind w:left="255"/>
              <w:rPr>
                <w:rFonts w:ascii="宋体" w:hAnsi="宋体" w:eastAsia="宋体" w:cs="宋体"/>
                <w:sz w:val="20"/>
                <w:szCs w:val="20"/>
              </w:rPr>
            </w:pPr>
            <w:r>
              <w:rPr>
                <w:rFonts w:ascii="Times New Roman" w:hAnsi="Times New Roman" w:eastAsia="Times New Roman" w:cs="Times New Roman"/>
                <w:spacing w:val="2"/>
                <w:sz w:val="20"/>
                <w:szCs w:val="20"/>
              </w:rPr>
              <w:t xml:space="preserve">1 </w:t>
            </w:r>
            <w:r>
              <w:rPr>
                <w:rFonts w:ascii="宋体" w:hAnsi="宋体" w:eastAsia="宋体" w:cs="宋体"/>
                <w:spacing w:val="2"/>
                <w:sz w:val="20"/>
                <w:szCs w:val="20"/>
              </w:rPr>
              <w:t>台</w:t>
            </w:r>
          </w:p>
        </w:tc>
        <w:tc>
          <w:tcPr>
            <w:tcW w:w="4272" w:type="dxa"/>
            <w:vAlign w:val="top"/>
          </w:tcPr>
          <w:p w14:paraId="6D710369">
            <w:pPr>
              <w:spacing w:before="174" w:line="281" w:lineRule="exact"/>
              <w:ind w:left="173"/>
              <w:rPr>
                <w:rFonts w:ascii="Times New Roman" w:hAnsi="Times New Roman" w:eastAsia="Times New Roman" w:cs="Times New Roman"/>
                <w:sz w:val="20"/>
                <w:szCs w:val="20"/>
              </w:rPr>
            </w:pPr>
            <w:r>
              <w:rPr>
                <w:rFonts w:ascii="宋体" w:hAnsi="宋体" w:eastAsia="宋体" w:cs="宋体"/>
                <w:spacing w:val="2"/>
                <w:position w:val="1"/>
                <w:sz w:val="20"/>
                <w:szCs w:val="20"/>
              </w:rPr>
              <w:t>调节</w:t>
            </w:r>
            <w:r>
              <w:rPr>
                <w:rFonts w:ascii="Times New Roman" w:hAnsi="Times New Roman" w:eastAsia="Times New Roman" w:cs="Times New Roman"/>
                <w:spacing w:val="2"/>
                <w:position w:val="1"/>
                <w:sz w:val="20"/>
                <w:szCs w:val="20"/>
              </w:rPr>
              <w:t>+</w:t>
            </w:r>
            <w:r>
              <w:rPr>
                <w:rFonts w:ascii="宋体" w:hAnsi="宋体" w:eastAsia="宋体" w:cs="宋体"/>
                <w:spacing w:val="1"/>
                <w:position w:val="1"/>
                <w:sz w:val="20"/>
                <w:szCs w:val="20"/>
              </w:rPr>
              <w:t>混凝</w:t>
            </w:r>
            <w:r>
              <w:rPr>
                <w:rFonts w:ascii="Times New Roman" w:hAnsi="Times New Roman" w:eastAsia="Times New Roman" w:cs="Times New Roman"/>
                <w:spacing w:val="1"/>
                <w:position w:val="1"/>
                <w:sz w:val="20"/>
                <w:szCs w:val="20"/>
              </w:rPr>
              <w:t>+</w:t>
            </w:r>
            <w:r>
              <w:rPr>
                <w:rFonts w:ascii="宋体" w:hAnsi="宋体" w:eastAsia="宋体" w:cs="宋体"/>
                <w:spacing w:val="1"/>
                <w:position w:val="1"/>
                <w:sz w:val="20"/>
                <w:szCs w:val="20"/>
              </w:rPr>
              <w:t xml:space="preserve">气浮工艺， 日处理水量 </w:t>
            </w:r>
            <w:r>
              <w:rPr>
                <w:rFonts w:ascii="Times New Roman" w:hAnsi="Times New Roman" w:eastAsia="Times New Roman" w:cs="Times New Roman"/>
                <w:spacing w:val="1"/>
                <w:position w:val="1"/>
                <w:sz w:val="20"/>
                <w:szCs w:val="20"/>
              </w:rPr>
              <w:t>150</w:t>
            </w:r>
            <w:r>
              <w:rPr>
                <w:rFonts w:ascii="Times New Roman" w:hAnsi="Times New Roman" w:eastAsia="Times New Roman" w:cs="Times New Roman"/>
                <w:position w:val="1"/>
                <w:sz w:val="20"/>
                <w:szCs w:val="20"/>
              </w:rPr>
              <w:t>m</w:t>
            </w:r>
            <w:r>
              <w:rPr>
                <w:rFonts w:ascii="Times New Roman" w:hAnsi="Times New Roman" w:eastAsia="Times New Roman" w:cs="Times New Roman"/>
                <w:spacing w:val="1"/>
                <w:position w:val="7"/>
                <w:sz w:val="13"/>
                <w:szCs w:val="13"/>
              </w:rPr>
              <w:t>3</w:t>
            </w:r>
            <w:r>
              <w:rPr>
                <w:rFonts w:ascii="Times New Roman" w:hAnsi="Times New Roman" w:eastAsia="Times New Roman" w:cs="Times New Roman"/>
                <w:spacing w:val="1"/>
                <w:position w:val="1"/>
                <w:sz w:val="20"/>
                <w:szCs w:val="20"/>
              </w:rPr>
              <w:t>/</w:t>
            </w:r>
            <w:r>
              <w:rPr>
                <w:rFonts w:ascii="Times New Roman" w:hAnsi="Times New Roman" w:eastAsia="Times New Roman" w:cs="Times New Roman"/>
                <w:position w:val="1"/>
                <w:sz w:val="20"/>
                <w:szCs w:val="20"/>
              </w:rPr>
              <w:t>d</w:t>
            </w:r>
          </w:p>
        </w:tc>
        <w:tc>
          <w:tcPr>
            <w:tcW w:w="943" w:type="dxa"/>
            <w:vMerge w:val="continue"/>
            <w:tcBorders>
              <w:top w:val="nil"/>
              <w:right w:val="nil"/>
            </w:tcBorders>
            <w:vAlign w:val="top"/>
          </w:tcPr>
          <w:p w14:paraId="718E3C4B">
            <w:pPr>
              <w:rPr>
                <w:rFonts w:ascii="Arial"/>
                <w:sz w:val="21"/>
              </w:rPr>
            </w:pPr>
          </w:p>
        </w:tc>
      </w:tr>
    </w:tbl>
    <w:p w14:paraId="53404528">
      <w:pPr>
        <w:spacing w:before="287" w:line="227" w:lineRule="auto"/>
        <w:ind w:left="620"/>
        <w:rPr>
          <w:rFonts w:ascii="宋体" w:hAnsi="宋体" w:eastAsia="宋体" w:cs="宋体"/>
          <w:sz w:val="23"/>
          <w:szCs w:val="23"/>
        </w:rPr>
      </w:pPr>
      <w:r>
        <w:rPr>
          <w:rFonts w:ascii="宋体" w:hAnsi="宋体" w:eastAsia="宋体" w:cs="宋体"/>
          <w:spacing w:val="46"/>
          <w:sz w:val="23"/>
          <w:szCs w:val="23"/>
        </w:rPr>
        <w:t>破</w:t>
      </w:r>
      <w:r>
        <w:rPr>
          <w:rFonts w:ascii="宋体" w:hAnsi="宋体" w:eastAsia="宋体" w:cs="宋体"/>
          <w:spacing w:val="24"/>
          <w:sz w:val="23"/>
          <w:szCs w:val="23"/>
        </w:rPr>
        <w:t>碎及清洗设备： 破碎工序应采用具有减振与降噪功能的密闭破碎设</w:t>
      </w:r>
    </w:p>
    <w:p w14:paraId="422113AB">
      <w:pPr>
        <w:spacing w:before="139" w:line="338" w:lineRule="auto"/>
        <w:ind w:left="116" w:right="119" w:firstLine="3"/>
        <w:rPr>
          <w:rFonts w:ascii="宋体" w:hAnsi="宋体" w:eastAsia="宋体" w:cs="宋体"/>
          <w:sz w:val="23"/>
          <w:szCs w:val="23"/>
        </w:rPr>
      </w:pPr>
      <w:r>
        <w:rPr>
          <w:rFonts w:ascii="宋体" w:hAnsi="宋体" w:eastAsia="宋体" w:cs="宋体"/>
          <w:spacing w:val="15"/>
          <w:sz w:val="23"/>
          <w:szCs w:val="23"/>
        </w:rPr>
        <w:t>备</w:t>
      </w:r>
      <w:r>
        <w:rPr>
          <w:rFonts w:ascii="宋体" w:hAnsi="宋体" w:eastAsia="宋体" w:cs="宋体"/>
          <w:spacing w:val="14"/>
          <w:sz w:val="23"/>
          <w:szCs w:val="23"/>
        </w:rPr>
        <w:t xml:space="preserve"> ；清洗工序采用自动控制和清洗水循环利用 。拟建项目配套 </w:t>
      </w:r>
      <w:r>
        <w:rPr>
          <w:rFonts w:ascii="Times New Roman" w:hAnsi="Times New Roman" w:eastAsia="Times New Roman" w:cs="Times New Roman"/>
          <w:spacing w:val="14"/>
          <w:sz w:val="23"/>
          <w:szCs w:val="23"/>
        </w:rPr>
        <w:t xml:space="preserve">10 </w:t>
      </w:r>
      <w:r>
        <w:rPr>
          <w:rFonts w:ascii="宋体" w:hAnsi="宋体" w:eastAsia="宋体" w:cs="宋体"/>
          <w:spacing w:val="14"/>
          <w:sz w:val="23"/>
          <w:szCs w:val="23"/>
        </w:rPr>
        <w:t>条破碎清</w:t>
      </w:r>
      <w:r>
        <w:rPr>
          <w:rFonts w:ascii="宋体" w:hAnsi="宋体" w:eastAsia="宋体" w:cs="宋体"/>
          <w:sz w:val="23"/>
          <w:szCs w:val="23"/>
        </w:rPr>
        <w:t xml:space="preserve"> </w:t>
      </w:r>
      <w:r>
        <w:rPr>
          <w:rFonts w:ascii="宋体" w:hAnsi="宋体" w:eastAsia="宋体" w:cs="宋体"/>
          <w:spacing w:val="13"/>
          <w:sz w:val="23"/>
          <w:szCs w:val="23"/>
        </w:rPr>
        <w:t xml:space="preserve">洗线及 </w:t>
      </w:r>
      <w:r>
        <w:rPr>
          <w:rFonts w:ascii="Times New Roman" w:hAnsi="Times New Roman" w:eastAsia="Times New Roman" w:cs="Times New Roman"/>
          <w:spacing w:val="13"/>
          <w:sz w:val="23"/>
          <w:szCs w:val="23"/>
        </w:rPr>
        <w:t xml:space="preserve">10 </w:t>
      </w:r>
      <w:r>
        <w:rPr>
          <w:rFonts w:ascii="宋体" w:hAnsi="宋体" w:eastAsia="宋体" w:cs="宋体"/>
          <w:spacing w:val="13"/>
          <w:sz w:val="23"/>
          <w:szCs w:val="23"/>
        </w:rPr>
        <w:t xml:space="preserve">条造粒生产线 。用于清洗破碎的原料为 </w:t>
      </w:r>
      <w:r>
        <w:rPr>
          <w:rFonts w:ascii="Times New Roman" w:hAnsi="Times New Roman" w:eastAsia="Times New Roman" w:cs="Times New Roman"/>
          <w:spacing w:val="13"/>
          <w:sz w:val="23"/>
          <w:szCs w:val="23"/>
        </w:rPr>
        <w:t>51100</w:t>
      </w:r>
      <w:r>
        <w:rPr>
          <w:rFonts w:ascii="Times New Roman" w:hAnsi="Times New Roman" w:eastAsia="Times New Roman" w:cs="Times New Roman"/>
          <w:sz w:val="23"/>
          <w:szCs w:val="23"/>
        </w:rPr>
        <w:t>t</w:t>
      </w:r>
      <w:r>
        <w:rPr>
          <w:rFonts w:ascii="Times New Roman" w:hAnsi="Times New Roman" w:eastAsia="Times New Roman" w:cs="Times New Roman"/>
          <w:spacing w:val="13"/>
          <w:sz w:val="23"/>
          <w:szCs w:val="23"/>
        </w:rPr>
        <w:t xml:space="preserve"> </w:t>
      </w:r>
      <w:r>
        <w:rPr>
          <w:rFonts w:ascii="宋体" w:hAnsi="宋体" w:eastAsia="宋体" w:cs="宋体"/>
          <w:spacing w:val="13"/>
          <w:sz w:val="23"/>
          <w:szCs w:val="23"/>
        </w:rPr>
        <w:t>，每条破碎清洗</w:t>
      </w:r>
      <w:r>
        <w:rPr>
          <w:rFonts w:ascii="宋体" w:hAnsi="宋体" w:eastAsia="宋体" w:cs="宋体"/>
          <w:spacing w:val="10"/>
          <w:sz w:val="23"/>
          <w:szCs w:val="23"/>
        </w:rPr>
        <w:t>线</w:t>
      </w:r>
      <w:r>
        <w:rPr>
          <w:rFonts w:ascii="宋体" w:hAnsi="宋体" w:eastAsia="宋体" w:cs="宋体"/>
          <w:sz w:val="23"/>
          <w:szCs w:val="23"/>
        </w:rPr>
        <w:t xml:space="preserve"> </w:t>
      </w:r>
      <w:r>
        <w:rPr>
          <w:rFonts w:ascii="宋体" w:hAnsi="宋体" w:eastAsia="宋体" w:cs="宋体"/>
          <w:spacing w:val="8"/>
          <w:sz w:val="23"/>
          <w:szCs w:val="23"/>
        </w:rPr>
        <w:t xml:space="preserve">的工作能力可达 </w:t>
      </w:r>
      <w:r>
        <w:rPr>
          <w:rFonts w:ascii="Times New Roman" w:hAnsi="Times New Roman" w:eastAsia="Times New Roman" w:cs="Times New Roman"/>
          <w:spacing w:val="8"/>
          <w:sz w:val="23"/>
          <w:szCs w:val="23"/>
        </w:rPr>
        <w:t>1</w:t>
      </w:r>
      <w:r>
        <w:rPr>
          <w:rFonts w:ascii="Times New Roman" w:hAnsi="Times New Roman" w:eastAsia="Times New Roman" w:cs="Times New Roman"/>
          <w:sz w:val="23"/>
          <w:szCs w:val="23"/>
        </w:rPr>
        <w:t>t</w:t>
      </w:r>
      <w:r>
        <w:rPr>
          <w:rFonts w:ascii="Times New Roman" w:hAnsi="Times New Roman" w:eastAsia="Times New Roman" w:cs="Times New Roman"/>
          <w:spacing w:val="8"/>
          <w:sz w:val="23"/>
          <w:szCs w:val="23"/>
        </w:rPr>
        <w:t>/</w:t>
      </w:r>
      <w:r>
        <w:rPr>
          <w:rFonts w:ascii="Times New Roman" w:hAnsi="Times New Roman" w:eastAsia="Times New Roman" w:cs="Times New Roman"/>
          <w:sz w:val="23"/>
          <w:szCs w:val="23"/>
        </w:rPr>
        <w:t>h</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 xml:space="preserve">，一年 </w:t>
      </w:r>
      <w:r>
        <w:rPr>
          <w:rFonts w:ascii="Times New Roman" w:hAnsi="Times New Roman" w:eastAsia="Times New Roman" w:cs="Times New Roman"/>
          <w:spacing w:val="8"/>
          <w:sz w:val="23"/>
          <w:szCs w:val="23"/>
        </w:rPr>
        <w:t>300</w:t>
      </w:r>
      <w:r>
        <w:rPr>
          <w:rFonts w:ascii="Times New Roman" w:hAnsi="Times New Roman" w:eastAsia="Times New Roman" w:cs="Times New Roman"/>
          <w:sz w:val="23"/>
          <w:szCs w:val="23"/>
        </w:rPr>
        <w:t>d</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 xml:space="preserve">，一天 </w:t>
      </w:r>
      <w:r>
        <w:rPr>
          <w:rFonts w:ascii="Times New Roman" w:hAnsi="Times New Roman" w:eastAsia="Times New Roman" w:cs="Times New Roman"/>
          <w:spacing w:val="8"/>
          <w:sz w:val="23"/>
          <w:szCs w:val="23"/>
        </w:rPr>
        <w:t>24</w:t>
      </w:r>
      <w:r>
        <w:rPr>
          <w:rFonts w:ascii="Times New Roman" w:hAnsi="Times New Roman" w:eastAsia="Times New Roman" w:cs="Times New Roman"/>
          <w:sz w:val="23"/>
          <w:szCs w:val="23"/>
        </w:rPr>
        <w:t>h</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 xml:space="preserve">计算 ， </w:t>
      </w:r>
      <w:r>
        <w:rPr>
          <w:rFonts w:ascii="Times New Roman" w:hAnsi="Times New Roman" w:eastAsia="Times New Roman" w:cs="Times New Roman"/>
          <w:spacing w:val="8"/>
          <w:sz w:val="23"/>
          <w:szCs w:val="23"/>
        </w:rPr>
        <w:t xml:space="preserve">10 </w:t>
      </w:r>
      <w:r>
        <w:rPr>
          <w:rFonts w:ascii="宋体" w:hAnsi="宋体" w:eastAsia="宋体" w:cs="宋体"/>
          <w:spacing w:val="8"/>
          <w:sz w:val="23"/>
          <w:szCs w:val="23"/>
        </w:rPr>
        <w:t>条破碎清洗可以达</w:t>
      </w:r>
      <w:r>
        <w:rPr>
          <w:rFonts w:ascii="宋体" w:hAnsi="宋体" w:eastAsia="宋体" w:cs="宋体"/>
          <w:spacing w:val="2"/>
          <w:sz w:val="23"/>
          <w:szCs w:val="23"/>
        </w:rPr>
        <w:t>到</w:t>
      </w:r>
    </w:p>
    <w:p w14:paraId="3071933E">
      <w:pPr>
        <w:sectPr>
          <w:headerReference r:id="rId100" w:type="default"/>
          <w:footerReference r:id="rId101" w:type="default"/>
          <w:pgSz w:w="11906" w:h="16839"/>
          <w:pgMar w:top="1132" w:right="1691" w:bottom="1182" w:left="1691" w:header="878" w:footer="1022" w:gutter="0"/>
          <w:cols w:space="720" w:num="1"/>
        </w:sectPr>
      </w:pPr>
    </w:p>
    <w:p w14:paraId="11930701">
      <w:pPr>
        <w:spacing w:line="318" w:lineRule="auto"/>
        <w:rPr>
          <w:rFonts w:ascii="Arial"/>
          <w:sz w:val="21"/>
        </w:rPr>
      </w:pPr>
      <w:r>
        <w:pict>
          <v:shape id="_x0000_s1146" o:spid="_x0000_s1146" style="position:absolute;left:0pt;margin-left:90pt;margin-top:57.35pt;height:0.75pt;width:415.3pt;mso-position-horizontal-relative:page;mso-position-vertical-relative:page;z-index:251779072;mso-width-relative:page;mso-height-relative:page;" fillcolor="#000000" filled="t" stroked="f" coordsize="8305,15" o:allowincell="f" path="m0,0l8305,0,8305,14,0,14,0,0xe">
            <v:path/>
            <v:fill on="t" focussize="0,0"/>
            <v:stroke on="f"/>
            <v:imagedata o:title=""/>
            <o:lock v:ext="edit"/>
          </v:shape>
        </w:pict>
      </w:r>
    </w:p>
    <w:p w14:paraId="50AC158F">
      <w:pPr>
        <w:spacing w:before="74" w:line="323" w:lineRule="exact"/>
        <w:ind w:left="22"/>
        <w:rPr>
          <w:rFonts w:ascii="宋体" w:hAnsi="宋体" w:eastAsia="宋体" w:cs="宋体"/>
          <w:sz w:val="23"/>
          <w:szCs w:val="23"/>
        </w:rPr>
      </w:pPr>
      <w:r>
        <w:rPr>
          <w:rFonts w:ascii="Times New Roman" w:hAnsi="Times New Roman" w:eastAsia="Times New Roman" w:cs="Times New Roman"/>
          <w:spacing w:val="20"/>
          <w:position w:val="1"/>
          <w:sz w:val="23"/>
          <w:szCs w:val="23"/>
        </w:rPr>
        <w:t>7</w:t>
      </w:r>
      <w:r>
        <w:rPr>
          <w:rFonts w:ascii="Times New Roman" w:hAnsi="Times New Roman" w:eastAsia="Times New Roman" w:cs="Times New Roman"/>
          <w:spacing w:val="18"/>
          <w:position w:val="1"/>
          <w:sz w:val="23"/>
          <w:szCs w:val="23"/>
        </w:rPr>
        <w:t>2000</w:t>
      </w:r>
      <w:r>
        <w:rPr>
          <w:rFonts w:ascii="Times New Roman" w:hAnsi="Times New Roman" w:eastAsia="Times New Roman" w:cs="Times New Roman"/>
          <w:position w:val="1"/>
          <w:sz w:val="23"/>
          <w:szCs w:val="23"/>
        </w:rPr>
        <w:t>t</w:t>
      </w:r>
      <w:r>
        <w:rPr>
          <w:rFonts w:ascii="Times New Roman" w:hAnsi="Times New Roman" w:eastAsia="Times New Roman" w:cs="Times New Roman"/>
          <w:spacing w:val="18"/>
          <w:position w:val="1"/>
          <w:sz w:val="23"/>
          <w:szCs w:val="23"/>
        </w:rPr>
        <w:t xml:space="preserve"> </w:t>
      </w:r>
      <w:r>
        <w:rPr>
          <w:rFonts w:ascii="宋体" w:hAnsi="宋体" w:eastAsia="宋体" w:cs="宋体"/>
          <w:spacing w:val="18"/>
          <w:position w:val="1"/>
          <w:sz w:val="23"/>
          <w:szCs w:val="23"/>
        </w:rPr>
        <w:t>原料，远远满足该项目的原料破碎及清洗能力。</w:t>
      </w:r>
    </w:p>
    <w:p w14:paraId="206B2817">
      <w:pPr>
        <w:spacing w:before="296" w:line="228" w:lineRule="auto"/>
        <w:ind w:left="526"/>
        <w:rPr>
          <w:rFonts w:ascii="宋体" w:hAnsi="宋体" w:eastAsia="宋体" w:cs="宋体"/>
          <w:sz w:val="23"/>
          <w:szCs w:val="23"/>
        </w:rPr>
      </w:pPr>
      <w:r>
        <w:rPr>
          <w:rFonts w:ascii="宋体" w:hAnsi="宋体" w:eastAsia="宋体" w:cs="宋体"/>
          <w:spacing w:val="21"/>
          <w:sz w:val="23"/>
          <w:szCs w:val="23"/>
        </w:rPr>
        <w:t>造粒设备：采用分体全自动配电系统，充分利用高压摩擦不间断升温系</w:t>
      </w:r>
    </w:p>
    <w:p w14:paraId="69C042B9">
      <w:pPr>
        <w:spacing w:before="137" w:line="337" w:lineRule="auto"/>
        <w:ind w:left="22" w:right="25" w:firstLine="6"/>
        <w:rPr>
          <w:rFonts w:ascii="宋体" w:hAnsi="宋体" w:eastAsia="宋体" w:cs="宋体"/>
          <w:sz w:val="23"/>
          <w:szCs w:val="23"/>
        </w:rPr>
      </w:pPr>
      <w:r>
        <w:rPr>
          <w:rFonts w:ascii="宋体" w:hAnsi="宋体" w:eastAsia="宋体" w:cs="宋体"/>
          <w:spacing w:val="15"/>
          <w:sz w:val="23"/>
          <w:szCs w:val="23"/>
        </w:rPr>
        <w:t>统</w:t>
      </w:r>
      <w:r>
        <w:rPr>
          <w:rFonts w:ascii="宋体" w:hAnsi="宋体" w:eastAsia="宋体" w:cs="宋体"/>
          <w:spacing w:val="14"/>
          <w:sz w:val="23"/>
          <w:szCs w:val="23"/>
        </w:rPr>
        <w:t>，  自动加热生产，避免了连续加热。从上料到造粒过程均为自动化生产。</w:t>
      </w:r>
      <w:r>
        <w:rPr>
          <w:rFonts w:ascii="宋体" w:hAnsi="宋体" w:eastAsia="宋体" w:cs="宋体"/>
          <w:sz w:val="23"/>
          <w:szCs w:val="23"/>
        </w:rPr>
        <w:t xml:space="preserve"> </w:t>
      </w:r>
      <w:r>
        <w:rPr>
          <w:rFonts w:ascii="宋体" w:hAnsi="宋体" w:eastAsia="宋体" w:cs="宋体"/>
          <w:spacing w:val="19"/>
          <w:sz w:val="23"/>
          <w:szCs w:val="23"/>
        </w:rPr>
        <w:t>造</w:t>
      </w:r>
      <w:r>
        <w:rPr>
          <w:rFonts w:ascii="宋体" w:hAnsi="宋体" w:eastAsia="宋体" w:cs="宋体"/>
          <w:spacing w:val="10"/>
          <w:sz w:val="23"/>
          <w:szCs w:val="23"/>
        </w:rPr>
        <w:t xml:space="preserve">粒生产线共 </w:t>
      </w:r>
      <w:r>
        <w:rPr>
          <w:rFonts w:ascii="Times New Roman" w:hAnsi="Times New Roman" w:eastAsia="Times New Roman" w:cs="Times New Roman"/>
          <w:spacing w:val="10"/>
          <w:sz w:val="23"/>
          <w:szCs w:val="23"/>
        </w:rPr>
        <w:t xml:space="preserve">10 </w:t>
      </w:r>
      <w:r>
        <w:rPr>
          <w:rFonts w:ascii="宋体" w:hAnsi="宋体" w:eastAsia="宋体" w:cs="宋体"/>
          <w:spacing w:val="10"/>
          <w:sz w:val="23"/>
          <w:szCs w:val="23"/>
        </w:rPr>
        <w:t xml:space="preserve">条，每条生产线配备 </w:t>
      </w:r>
      <w:r>
        <w:rPr>
          <w:rFonts w:ascii="Times New Roman" w:hAnsi="Times New Roman" w:eastAsia="Times New Roman" w:cs="Times New Roman"/>
          <w:spacing w:val="10"/>
          <w:sz w:val="23"/>
          <w:szCs w:val="23"/>
        </w:rPr>
        <w:t xml:space="preserve">1 </w:t>
      </w:r>
      <w:r>
        <w:rPr>
          <w:rFonts w:ascii="宋体" w:hAnsi="宋体" w:eastAsia="宋体" w:cs="宋体"/>
          <w:spacing w:val="10"/>
          <w:sz w:val="23"/>
          <w:szCs w:val="23"/>
        </w:rPr>
        <w:t>台热混机、</w:t>
      </w:r>
      <w:r>
        <w:rPr>
          <w:rFonts w:ascii="Times New Roman" w:hAnsi="Times New Roman" w:eastAsia="Times New Roman" w:cs="Times New Roman"/>
          <w:spacing w:val="10"/>
          <w:sz w:val="23"/>
          <w:szCs w:val="23"/>
        </w:rPr>
        <w:t xml:space="preserve">1 </w:t>
      </w:r>
      <w:r>
        <w:rPr>
          <w:rFonts w:ascii="宋体" w:hAnsi="宋体" w:eastAsia="宋体" w:cs="宋体"/>
          <w:spacing w:val="10"/>
          <w:sz w:val="23"/>
          <w:szCs w:val="23"/>
        </w:rPr>
        <w:t>台挤出机、</w:t>
      </w:r>
      <w:r>
        <w:rPr>
          <w:rFonts w:ascii="Times New Roman" w:hAnsi="Times New Roman" w:eastAsia="Times New Roman" w:cs="Times New Roman"/>
          <w:spacing w:val="10"/>
          <w:sz w:val="23"/>
          <w:szCs w:val="23"/>
        </w:rPr>
        <w:t xml:space="preserve">1 </w:t>
      </w:r>
      <w:r>
        <w:rPr>
          <w:rFonts w:ascii="宋体" w:hAnsi="宋体" w:eastAsia="宋体" w:cs="宋体"/>
          <w:spacing w:val="10"/>
          <w:sz w:val="23"/>
          <w:szCs w:val="23"/>
        </w:rPr>
        <w:t>台切粒机，</w:t>
      </w:r>
      <w:r>
        <w:rPr>
          <w:rFonts w:ascii="宋体" w:hAnsi="宋体" w:eastAsia="宋体" w:cs="宋体"/>
          <w:sz w:val="23"/>
          <w:szCs w:val="23"/>
        </w:rPr>
        <w:t xml:space="preserve"> </w:t>
      </w:r>
      <w:r>
        <w:rPr>
          <w:rFonts w:ascii="宋体" w:hAnsi="宋体" w:eastAsia="宋体" w:cs="宋体"/>
          <w:spacing w:val="23"/>
          <w:sz w:val="23"/>
          <w:szCs w:val="23"/>
        </w:rPr>
        <w:t>每</w:t>
      </w:r>
      <w:r>
        <w:rPr>
          <w:rFonts w:ascii="宋体" w:hAnsi="宋体" w:eastAsia="宋体" w:cs="宋体"/>
          <w:spacing w:val="13"/>
          <w:sz w:val="23"/>
          <w:szCs w:val="23"/>
        </w:rPr>
        <w:t xml:space="preserve">条生产线的生产能力均能达到 </w:t>
      </w:r>
      <w:r>
        <w:rPr>
          <w:rFonts w:ascii="Times New Roman" w:hAnsi="Times New Roman" w:eastAsia="Times New Roman" w:cs="Times New Roman"/>
          <w:spacing w:val="13"/>
          <w:sz w:val="23"/>
          <w:szCs w:val="23"/>
        </w:rPr>
        <w:t>1</w:t>
      </w:r>
      <w:r>
        <w:rPr>
          <w:rFonts w:ascii="Times New Roman" w:hAnsi="Times New Roman" w:eastAsia="Times New Roman" w:cs="Times New Roman"/>
          <w:sz w:val="23"/>
          <w:szCs w:val="23"/>
        </w:rPr>
        <w:t>t</w:t>
      </w:r>
      <w:r>
        <w:rPr>
          <w:rFonts w:ascii="Times New Roman" w:hAnsi="Times New Roman" w:eastAsia="Times New Roman" w:cs="Times New Roman"/>
          <w:spacing w:val="13"/>
          <w:sz w:val="23"/>
          <w:szCs w:val="23"/>
        </w:rPr>
        <w:t>/</w:t>
      </w:r>
      <w:r>
        <w:rPr>
          <w:rFonts w:ascii="Times New Roman" w:hAnsi="Times New Roman" w:eastAsia="Times New Roman" w:cs="Times New Roman"/>
          <w:sz w:val="23"/>
          <w:szCs w:val="23"/>
        </w:rPr>
        <w:t>h</w:t>
      </w:r>
      <w:r>
        <w:rPr>
          <w:rFonts w:ascii="宋体" w:hAnsi="宋体" w:eastAsia="宋体" w:cs="宋体"/>
          <w:spacing w:val="13"/>
          <w:sz w:val="23"/>
          <w:szCs w:val="23"/>
        </w:rPr>
        <w:t>，</w:t>
      </w:r>
      <w:r>
        <w:rPr>
          <w:rFonts w:ascii="Times New Roman" w:hAnsi="Times New Roman" w:eastAsia="Times New Roman" w:cs="Times New Roman"/>
          <w:spacing w:val="13"/>
          <w:sz w:val="23"/>
          <w:szCs w:val="23"/>
        </w:rPr>
        <w:t xml:space="preserve">10 </w:t>
      </w:r>
      <w:r>
        <w:rPr>
          <w:rFonts w:ascii="宋体" w:hAnsi="宋体" w:eastAsia="宋体" w:cs="宋体"/>
          <w:spacing w:val="13"/>
          <w:sz w:val="23"/>
          <w:szCs w:val="23"/>
        </w:rPr>
        <w:t xml:space="preserve">条造粒生产线可以满足年产近 </w:t>
      </w:r>
      <w:r>
        <w:rPr>
          <w:rFonts w:ascii="Times New Roman" w:hAnsi="Times New Roman" w:eastAsia="Times New Roman" w:cs="Times New Roman"/>
          <w:spacing w:val="13"/>
          <w:sz w:val="23"/>
          <w:szCs w:val="23"/>
        </w:rPr>
        <w:t>7200</w:t>
      </w:r>
      <w:r>
        <w:rPr>
          <w:rFonts w:ascii="Times New Roman" w:hAnsi="Times New Roman" w:eastAsia="Times New Roman" w:cs="Times New Roman"/>
          <w:sz w:val="23"/>
          <w:szCs w:val="23"/>
        </w:rPr>
        <w:t xml:space="preserve"> </w:t>
      </w:r>
      <w:r>
        <w:rPr>
          <w:rFonts w:ascii="宋体" w:hAnsi="宋体" w:eastAsia="宋体" w:cs="宋体"/>
          <w:spacing w:val="19"/>
          <w:sz w:val="23"/>
          <w:szCs w:val="23"/>
        </w:rPr>
        <w:t>吨</w:t>
      </w:r>
      <w:r>
        <w:rPr>
          <w:rFonts w:ascii="宋体" w:hAnsi="宋体" w:eastAsia="宋体" w:cs="宋体"/>
          <w:spacing w:val="17"/>
          <w:sz w:val="23"/>
          <w:szCs w:val="23"/>
        </w:rPr>
        <w:t>的再生塑料颗粒。</w:t>
      </w:r>
    </w:p>
    <w:p w14:paraId="1239B66B">
      <w:pPr>
        <w:spacing w:before="202" w:line="228" w:lineRule="auto"/>
        <w:ind w:left="17"/>
        <w:outlineLvl w:val="2"/>
        <w:rPr>
          <w:rFonts w:ascii="宋体" w:hAnsi="宋体" w:eastAsia="宋体" w:cs="宋体"/>
          <w:sz w:val="23"/>
          <w:szCs w:val="23"/>
        </w:rPr>
      </w:pPr>
      <w:r>
        <w:rPr>
          <w:rFonts w:ascii="Times New Roman" w:hAnsi="Times New Roman" w:eastAsia="Times New Roman" w:cs="Times New Roman"/>
          <w:b/>
          <w:bCs/>
          <w:spacing w:val="10"/>
          <w:sz w:val="23"/>
          <w:szCs w:val="23"/>
        </w:rPr>
        <w:t>3</w:t>
      </w:r>
      <w:r>
        <w:rPr>
          <w:rFonts w:ascii="Times New Roman" w:hAnsi="Times New Roman" w:eastAsia="Times New Roman" w:cs="Times New Roman"/>
          <w:b/>
          <w:bCs/>
          <w:spacing w:val="8"/>
          <w:sz w:val="23"/>
          <w:szCs w:val="23"/>
        </w:rPr>
        <w:t>.</w:t>
      </w:r>
      <w:r>
        <w:rPr>
          <w:rFonts w:ascii="Times New Roman" w:hAnsi="Times New Roman" w:eastAsia="Times New Roman" w:cs="Times New Roman"/>
          <w:b/>
          <w:bCs/>
          <w:spacing w:val="5"/>
          <w:sz w:val="23"/>
          <w:szCs w:val="23"/>
        </w:rPr>
        <w:t>1.6</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14:textOutline w14:w="4358" w14:cap="sq" w14:cmpd="sng">
            <w14:solidFill>
              <w14:srgbClr w14:val="000000"/>
            </w14:solidFill>
            <w14:prstDash w14:val="solid"/>
            <w14:bevel/>
          </w14:textOutline>
        </w:rPr>
        <w:t>公用工程</w:t>
      </w:r>
    </w:p>
    <w:p w14:paraId="796796B8">
      <w:pPr>
        <w:spacing w:line="275" w:lineRule="auto"/>
        <w:rPr>
          <w:rFonts w:ascii="Arial"/>
          <w:sz w:val="21"/>
        </w:rPr>
      </w:pPr>
    </w:p>
    <w:p w14:paraId="09B5ED7F">
      <w:pPr>
        <w:spacing w:before="76" w:line="227" w:lineRule="auto"/>
        <w:ind w:left="514"/>
        <w:rPr>
          <w:rFonts w:ascii="宋体" w:hAnsi="宋体" w:eastAsia="宋体" w:cs="宋体"/>
          <w:sz w:val="23"/>
          <w:szCs w:val="23"/>
        </w:rPr>
      </w:pPr>
      <w:r>
        <w:rPr>
          <w:rFonts w:ascii="宋体" w:hAnsi="宋体" w:eastAsia="宋体" w:cs="宋体"/>
          <w:spacing w:val="24"/>
          <w:sz w:val="23"/>
          <w:szCs w:val="23"/>
        </w:rPr>
        <w:t>(</w:t>
      </w:r>
      <w:r>
        <w:rPr>
          <w:rFonts w:ascii="Times New Roman" w:hAnsi="Times New Roman" w:eastAsia="Times New Roman" w:cs="Times New Roman"/>
          <w:spacing w:val="23"/>
          <w:sz w:val="23"/>
          <w:szCs w:val="23"/>
        </w:rPr>
        <w:t>1</w:t>
      </w:r>
      <w:r>
        <w:rPr>
          <w:rFonts w:ascii="宋体" w:hAnsi="宋体" w:eastAsia="宋体" w:cs="宋体"/>
          <w:spacing w:val="23"/>
          <w:sz w:val="23"/>
          <w:szCs w:val="23"/>
        </w:rPr>
        <w:t>) 给水</w:t>
      </w:r>
    </w:p>
    <w:p w14:paraId="6BB50453">
      <w:pPr>
        <w:spacing w:line="276" w:lineRule="auto"/>
        <w:rPr>
          <w:rFonts w:ascii="Arial"/>
          <w:sz w:val="21"/>
        </w:rPr>
      </w:pPr>
    </w:p>
    <w:p w14:paraId="4C92B316">
      <w:pPr>
        <w:spacing w:before="75" w:line="396" w:lineRule="auto"/>
        <w:ind w:left="26" w:firstLine="480"/>
        <w:rPr>
          <w:rFonts w:ascii="宋体" w:hAnsi="宋体" w:eastAsia="宋体" w:cs="宋体"/>
          <w:sz w:val="23"/>
          <w:szCs w:val="23"/>
        </w:rPr>
      </w:pPr>
      <w:r>
        <w:rPr>
          <w:rFonts w:ascii="宋体" w:hAnsi="宋体" w:eastAsia="宋体" w:cs="宋体"/>
          <w:spacing w:val="19"/>
          <w:sz w:val="23"/>
          <w:szCs w:val="23"/>
        </w:rPr>
        <w:t>该</w:t>
      </w:r>
      <w:r>
        <w:rPr>
          <w:rFonts w:ascii="宋体" w:hAnsi="宋体" w:eastAsia="宋体" w:cs="宋体"/>
          <w:spacing w:val="14"/>
          <w:sz w:val="23"/>
          <w:szCs w:val="23"/>
        </w:rPr>
        <w:t>用水主要用水为生活用水以及生产用水，其中生产用水包括破碎工序用</w:t>
      </w:r>
      <w:r>
        <w:rPr>
          <w:rFonts w:ascii="宋体" w:hAnsi="宋体" w:eastAsia="宋体" w:cs="宋体"/>
          <w:sz w:val="23"/>
          <w:szCs w:val="23"/>
        </w:rPr>
        <w:t xml:space="preserve"> </w:t>
      </w:r>
      <w:r>
        <w:rPr>
          <w:rFonts w:ascii="宋体" w:hAnsi="宋体" w:eastAsia="宋体" w:cs="宋体"/>
          <w:spacing w:val="4"/>
          <w:sz w:val="23"/>
          <w:szCs w:val="23"/>
        </w:rPr>
        <w:t>水、原料原料初洗工序用水</w:t>
      </w:r>
      <w:r>
        <w:rPr>
          <w:rFonts w:ascii="宋体" w:hAnsi="宋体" w:eastAsia="宋体" w:cs="宋体"/>
          <w:spacing w:val="2"/>
          <w:sz w:val="23"/>
          <w:szCs w:val="23"/>
        </w:rPr>
        <w:t>、洗字工序用水、二次清洗工序用水以及循环冷却水。</w:t>
      </w:r>
      <w:r>
        <w:rPr>
          <w:rFonts w:ascii="宋体" w:hAnsi="宋体" w:eastAsia="宋体" w:cs="宋体"/>
          <w:sz w:val="23"/>
          <w:szCs w:val="23"/>
        </w:rPr>
        <w:t xml:space="preserve"> </w:t>
      </w:r>
      <w:r>
        <w:rPr>
          <w:rFonts w:ascii="宋体" w:hAnsi="宋体" w:eastAsia="宋体" w:cs="宋体"/>
          <w:spacing w:val="8"/>
          <w:sz w:val="23"/>
          <w:szCs w:val="23"/>
        </w:rPr>
        <w:t>该项目新鲜水</w:t>
      </w:r>
      <w:r>
        <w:rPr>
          <w:rFonts w:ascii="宋体" w:hAnsi="宋体" w:eastAsia="宋体" w:cs="宋体"/>
          <w:spacing w:val="6"/>
          <w:sz w:val="23"/>
          <w:szCs w:val="23"/>
        </w:rPr>
        <w:t>总</w:t>
      </w:r>
      <w:r>
        <w:rPr>
          <w:rFonts w:ascii="宋体" w:hAnsi="宋体" w:eastAsia="宋体" w:cs="宋体"/>
          <w:spacing w:val="4"/>
          <w:sz w:val="23"/>
          <w:szCs w:val="23"/>
        </w:rPr>
        <w:t xml:space="preserve">用量为 </w:t>
      </w:r>
      <w:r>
        <w:rPr>
          <w:rFonts w:ascii="Times New Roman" w:hAnsi="Times New Roman" w:eastAsia="Times New Roman" w:cs="Times New Roman"/>
          <w:spacing w:val="4"/>
          <w:sz w:val="23"/>
          <w:szCs w:val="23"/>
        </w:rPr>
        <w:t>3732</w:t>
      </w:r>
      <w:r>
        <w:rPr>
          <w:rFonts w:ascii="Times New Roman" w:hAnsi="Times New Roman" w:eastAsia="Times New Roman" w:cs="Times New Roman"/>
          <w:sz w:val="23"/>
          <w:szCs w:val="23"/>
        </w:rPr>
        <w:t>m</w:t>
      </w:r>
      <w:r>
        <w:rPr>
          <w:rFonts w:ascii="Times New Roman" w:hAnsi="Times New Roman" w:eastAsia="Times New Roman" w:cs="Times New Roman"/>
          <w:spacing w:val="4"/>
          <w:position w:val="8"/>
          <w:sz w:val="15"/>
          <w:szCs w:val="15"/>
        </w:rPr>
        <w:t>3</w:t>
      </w:r>
      <w:r>
        <w:rPr>
          <w:rFonts w:ascii="Times New Roman" w:hAnsi="Times New Roman" w:eastAsia="Times New Roman" w:cs="Times New Roman"/>
          <w:spacing w:val="4"/>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，新鲜水均由当地自来水管网提供。</w:t>
      </w:r>
    </w:p>
    <w:p w14:paraId="00C6ADCB">
      <w:pPr>
        <w:spacing w:before="116" w:line="227" w:lineRule="auto"/>
        <w:ind w:left="514"/>
        <w:rPr>
          <w:rFonts w:ascii="宋体" w:hAnsi="宋体" w:eastAsia="宋体" w:cs="宋体"/>
          <w:sz w:val="23"/>
          <w:szCs w:val="23"/>
        </w:rPr>
      </w:pPr>
      <w:r>
        <w:rPr>
          <w:rFonts w:ascii="宋体" w:hAnsi="宋体" w:eastAsia="宋体" w:cs="宋体"/>
          <w:spacing w:val="24"/>
          <w:sz w:val="23"/>
          <w:szCs w:val="23"/>
        </w:rPr>
        <w:t>(</w:t>
      </w:r>
      <w:r>
        <w:rPr>
          <w:rFonts w:ascii="Times New Roman" w:hAnsi="Times New Roman" w:eastAsia="Times New Roman" w:cs="Times New Roman"/>
          <w:spacing w:val="23"/>
          <w:sz w:val="23"/>
          <w:szCs w:val="23"/>
        </w:rPr>
        <w:t>2</w:t>
      </w:r>
      <w:r>
        <w:rPr>
          <w:rFonts w:ascii="宋体" w:hAnsi="宋体" w:eastAsia="宋体" w:cs="宋体"/>
          <w:spacing w:val="23"/>
          <w:sz w:val="23"/>
          <w:szCs w:val="23"/>
        </w:rPr>
        <w:t>) 排水</w:t>
      </w:r>
    </w:p>
    <w:p w14:paraId="1FA27DB7">
      <w:pPr>
        <w:spacing w:line="277" w:lineRule="auto"/>
        <w:rPr>
          <w:rFonts w:ascii="Arial"/>
          <w:sz w:val="21"/>
        </w:rPr>
      </w:pPr>
    </w:p>
    <w:p w14:paraId="32139C50">
      <w:pPr>
        <w:spacing w:before="76" w:line="386" w:lineRule="auto"/>
        <w:ind w:left="22" w:right="68" w:firstLine="460"/>
        <w:rPr>
          <w:rFonts w:ascii="宋体" w:hAnsi="宋体" w:eastAsia="宋体" w:cs="宋体"/>
          <w:sz w:val="23"/>
          <w:szCs w:val="23"/>
        </w:rPr>
      </w:pPr>
      <w:r>
        <w:rPr>
          <w:rFonts w:ascii="宋体" w:hAnsi="宋体" w:eastAsia="宋体" w:cs="宋体"/>
          <w:spacing w:val="14"/>
          <w:sz w:val="23"/>
          <w:szCs w:val="23"/>
        </w:rPr>
        <w:t>该</w:t>
      </w:r>
      <w:r>
        <w:rPr>
          <w:rFonts w:ascii="宋体" w:hAnsi="宋体" w:eastAsia="宋体" w:cs="宋体"/>
          <w:spacing w:val="13"/>
          <w:sz w:val="23"/>
          <w:szCs w:val="23"/>
        </w:rPr>
        <w:t>项</w:t>
      </w:r>
      <w:r>
        <w:rPr>
          <w:rFonts w:ascii="宋体" w:hAnsi="宋体" w:eastAsia="宋体" w:cs="宋体"/>
          <w:spacing w:val="7"/>
          <w:sz w:val="23"/>
          <w:szCs w:val="23"/>
        </w:rPr>
        <w:t>目排水主要包括生活污水以及生产废水，其中生产废水主要包括破碎工</w:t>
      </w:r>
      <w:r>
        <w:rPr>
          <w:rFonts w:ascii="宋体" w:hAnsi="宋体" w:eastAsia="宋体" w:cs="宋体"/>
          <w:sz w:val="23"/>
          <w:szCs w:val="23"/>
        </w:rPr>
        <w:t xml:space="preserve"> </w:t>
      </w:r>
      <w:r>
        <w:rPr>
          <w:rFonts w:ascii="宋体" w:hAnsi="宋体" w:eastAsia="宋体" w:cs="宋体"/>
          <w:spacing w:val="9"/>
          <w:sz w:val="23"/>
          <w:szCs w:val="23"/>
        </w:rPr>
        <w:t>序</w:t>
      </w:r>
      <w:r>
        <w:rPr>
          <w:rFonts w:ascii="宋体" w:hAnsi="宋体" w:eastAsia="宋体" w:cs="宋体"/>
          <w:spacing w:val="7"/>
          <w:sz w:val="23"/>
          <w:szCs w:val="23"/>
        </w:rPr>
        <w:t>产生的废水，原料初洗工序、洗字工序、二次清洗工序产生的清洗废水、脱水</w:t>
      </w:r>
      <w:r>
        <w:rPr>
          <w:rFonts w:ascii="宋体" w:hAnsi="宋体" w:eastAsia="宋体" w:cs="宋体"/>
          <w:sz w:val="23"/>
          <w:szCs w:val="23"/>
        </w:rPr>
        <w:t xml:space="preserve"> </w:t>
      </w:r>
      <w:r>
        <w:rPr>
          <w:rFonts w:ascii="宋体" w:hAnsi="宋体" w:eastAsia="宋体" w:cs="宋体"/>
          <w:spacing w:val="7"/>
          <w:sz w:val="23"/>
          <w:szCs w:val="23"/>
        </w:rPr>
        <w:t xml:space="preserve">工序产生的废水以及循环冷却废水，总排水量为 </w:t>
      </w:r>
      <w:r>
        <w:rPr>
          <w:rFonts w:ascii="Times New Roman" w:hAnsi="Times New Roman" w:eastAsia="Times New Roman" w:cs="Times New Roman"/>
          <w:spacing w:val="7"/>
          <w:sz w:val="23"/>
          <w:szCs w:val="23"/>
        </w:rPr>
        <w:t>2483.52</w:t>
      </w:r>
      <w:r>
        <w:rPr>
          <w:rFonts w:ascii="Times New Roman" w:hAnsi="Times New Roman" w:eastAsia="Times New Roman" w:cs="Times New Roman"/>
          <w:sz w:val="23"/>
          <w:szCs w:val="23"/>
        </w:rPr>
        <w:t>m</w:t>
      </w:r>
      <w:r>
        <w:rPr>
          <w:rFonts w:ascii="Times New Roman" w:hAnsi="Times New Roman" w:eastAsia="Times New Roman" w:cs="Times New Roman"/>
          <w:spacing w:val="7"/>
          <w:position w:val="8"/>
          <w:sz w:val="15"/>
          <w:szCs w:val="15"/>
        </w:rPr>
        <w:t>3</w:t>
      </w:r>
      <w:r>
        <w:rPr>
          <w:rFonts w:ascii="Times New Roman" w:hAnsi="Times New Roman" w:eastAsia="Times New Roman" w:cs="Times New Roman"/>
          <w:spacing w:val="7"/>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。该项目在厂区</w:t>
      </w:r>
      <w:r>
        <w:rPr>
          <w:rFonts w:ascii="宋体" w:hAnsi="宋体" w:eastAsia="宋体" w:cs="宋体"/>
          <w:spacing w:val="5"/>
          <w:sz w:val="23"/>
          <w:szCs w:val="23"/>
        </w:rPr>
        <w:t>东</w:t>
      </w:r>
      <w:r>
        <w:rPr>
          <w:rFonts w:ascii="宋体" w:hAnsi="宋体" w:eastAsia="宋体" w:cs="宋体"/>
          <w:sz w:val="23"/>
          <w:szCs w:val="23"/>
        </w:rPr>
        <w:t xml:space="preserve"> </w:t>
      </w:r>
      <w:r>
        <w:rPr>
          <w:rFonts w:ascii="宋体" w:hAnsi="宋体" w:eastAsia="宋体" w:cs="宋体"/>
          <w:spacing w:val="12"/>
          <w:sz w:val="23"/>
          <w:szCs w:val="23"/>
        </w:rPr>
        <w:t xml:space="preserve">南侧设有旱厕，员工使用防渗旱厕，定期清掏，不外排；项目设有 </w:t>
      </w:r>
      <w:r>
        <w:rPr>
          <w:rFonts w:ascii="Times New Roman" w:hAnsi="Times New Roman" w:eastAsia="Times New Roman" w:cs="Times New Roman"/>
          <w:spacing w:val="12"/>
          <w:sz w:val="23"/>
          <w:szCs w:val="23"/>
        </w:rPr>
        <w:t xml:space="preserve">1 </w:t>
      </w:r>
      <w:r>
        <w:rPr>
          <w:rFonts w:ascii="宋体" w:hAnsi="宋体" w:eastAsia="宋体" w:cs="宋体"/>
          <w:spacing w:val="12"/>
          <w:sz w:val="23"/>
          <w:szCs w:val="23"/>
        </w:rPr>
        <w:t>座容积为</w:t>
      </w:r>
      <w:r>
        <w:rPr>
          <w:rFonts w:ascii="宋体" w:hAnsi="宋体" w:eastAsia="宋体" w:cs="宋体"/>
          <w:sz w:val="23"/>
          <w:szCs w:val="23"/>
        </w:rPr>
        <w:t xml:space="preserve"> </w:t>
      </w:r>
      <w:r>
        <w:rPr>
          <w:rFonts w:ascii="Times New Roman" w:hAnsi="Times New Roman" w:eastAsia="Times New Roman" w:cs="Times New Roman"/>
          <w:spacing w:val="8"/>
          <w:sz w:val="23"/>
          <w:szCs w:val="23"/>
        </w:rPr>
        <w:t>324</w:t>
      </w:r>
      <w:r>
        <w:rPr>
          <w:rFonts w:ascii="Times New Roman" w:hAnsi="Times New Roman" w:eastAsia="Times New Roman" w:cs="Times New Roman"/>
          <w:sz w:val="23"/>
          <w:szCs w:val="23"/>
        </w:rPr>
        <w:t>m</w:t>
      </w:r>
      <w:r>
        <w:rPr>
          <w:rFonts w:ascii="Times New Roman" w:hAnsi="Times New Roman" w:eastAsia="Times New Roman" w:cs="Times New Roman"/>
          <w:spacing w:val="8"/>
          <w:position w:val="8"/>
          <w:sz w:val="15"/>
          <w:szCs w:val="15"/>
        </w:rPr>
        <w:t xml:space="preserve">3 </w:t>
      </w:r>
      <w:r>
        <w:rPr>
          <w:rFonts w:ascii="宋体" w:hAnsi="宋体" w:eastAsia="宋体" w:cs="宋体"/>
          <w:spacing w:val="8"/>
          <w:sz w:val="23"/>
          <w:szCs w:val="23"/>
        </w:rPr>
        <w:t>的三</w:t>
      </w:r>
      <w:r>
        <w:rPr>
          <w:rFonts w:ascii="宋体" w:hAnsi="宋体" w:eastAsia="宋体" w:cs="宋体"/>
          <w:spacing w:val="4"/>
          <w:sz w:val="23"/>
          <w:szCs w:val="23"/>
        </w:rPr>
        <w:t>级沉淀池 (</w:t>
      </w:r>
      <w:r>
        <w:rPr>
          <w:rFonts w:ascii="Times New Roman" w:hAnsi="Times New Roman" w:eastAsia="Times New Roman" w:cs="Times New Roman"/>
          <w:spacing w:val="4"/>
          <w:sz w:val="23"/>
          <w:szCs w:val="23"/>
        </w:rPr>
        <w:t>12</w:t>
      </w:r>
      <w:r>
        <w:rPr>
          <w:rFonts w:ascii="Times New Roman" w:hAnsi="Times New Roman" w:eastAsia="Times New Roman" w:cs="Times New Roman"/>
          <w:sz w:val="23"/>
          <w:szCs w:val="23"/>
        </w:rPr>
        <w:t>m</w:t>
      </w:r>
      <w:r>
        <w:rPr>
          <w:rFonts w:ascii="Times New Roman" w:hAnsi="Times New Roman" w:eastAsia="Times New Roman" w:cs="Times New Roman"/>
          <w:spacing w:val="4"/>
          <w:sz w:val="23"/>
          <w:szCs w:val="23"/>
        </w:rPr>
        <w:t>×6</w:t>
      </w:r>
      <w:r>
        <w:rPr>
          <w:rFonts w:ascii="Times New Roman" w:hAnsi="Times New Roman" w:eastAsia="Times New Roman" w:cs="Times New Roman"/>
          <w:sz w:val="23"/>
          <w:szCs w:val="23"/>
        </w:rPr>
        <w:t>m</w:t>
      </w:r>
      <w:r>
        <w:rPr>
          <w:rFonts w:ascii="Times New Roman" w:hAnsi="Times New Roman" w:eastAsia="Times New Roman" w:cs="Times New Roman"/>
          <w:spacing w:val="4"/>
          <w:sz w:val="23"/>
          <w:szCs w:val="23"/>
        </w:rPr>
        <w:t>×4.5</w:t>
      </w:r>
      <w:r>
        <w:rPr>
          <w:rFonts w:ascii="Times New Roman" w:hAnsi="Times New Roman" w:eastAsia="Times New Roman" w:cs="Times New Roman"/>
          <w:sz w:val="23"/>
          <w:szCs w:val="23"/>
        </w:rPr>
        <w:t>m</w:t>
      </w:r>
      <w:r>
        <w:rPr>
          <w:rFonts w:ascii="宋体" w:hAnsi="宋体" w:eastAsia="宋体" w:cs="宋体"/>
          <w:spacing w:val="4"/>
          <w:sz w:val="23"/>
          <w:szCs w:val="23"/>
        </w:rPr>
        <w:t xml:space="preserve">) ，同时配套设有 </w:t>
      </w:r>
      <w:r>
        <w:rPr>
          <w:rFonts w:ascii="Times New Roman" w:hAnsi="Times New Roman" w:eastAsia="Times New Roman" w:cs="Times New Roman"/>
          <w:spacing w:val="4"/>
          <w:sz w:val="23"/>
          <w:szCs w:val="23"/>
        </w:rPr>
        <w:t xml:space="preserve">1 </w:t>
      </w:r>
      <w:r>
        <w:rPr>
          <w:rFonts w:ascii="宋体" w:hAnsi="宋体" w:eastAsia="宋体" w:cs="宋体"/>
          <w:spacing w:val="4"/>
          <w:sz w:val="23"/>
          <w:szCs w:val="23"/>
        </w:rPr>
        <w:t>台一体化污水预处理设</w:t>
      </w:r>
      <w:r>
        <w:rPr>
          <w:rFonts w:ascii="宋体" w:hAnsi="宋体" w:eastAsia="宋体" w:cs="宋体"/>
          <w:sz w:val="23"/>
          <w:szCs w:val="23"/>
        </w:rPr>
        <w:t xml:space="preserve"> </w:t>
      </w:r>
      <w:r>
        <w:rPr>
          <w:rFonts w:ascii="宋体" w:hAnsi="宋体" w:eastAsia="宋体" w:cs="宋体"/>
          <w:spacing w:val="9"/>
          <w:sz w:val="23"/>
          <w:szCs w:val="23"/>
        </w:rPr>
        <w:t>备</w:t>
      </w:r>
      <w:r>
        <w:rPr>
          <w:rFonts w:ascii="宋体" w:hAnsi="宋体" w:eastAsia="宋体" w:cs="宋体"/>
          <w:spacing w:val="7"/>
          <w:sz w:val="23"/>
          <w:szCs w:val="23"/>
        </w:rPr>
        <w:t>，均位于生产厂房西南侧，产生的生产废水经一体化污水预处理设备处理后排</w:t>
      </w:r>
      <w:r>
        <w:rPr>
          <w:rFonts w:ascii="宋体" w:hAnsi="宋体" w:eastAsia="宋体" w:cs="宋体"/>
          <w:sz w:val="23"/>
          <w:szCs w:val="23"/>
        </w:rPr>
        <w:t xml:space="preserve"> </w:t>
      </w:r>
      <w:r>
        <w:rPr>
          <w:rFonts w:ascii="宋体" w:hAnsi="宋体" w:eastAsia="宋体" w:cs="宋体"/>
          <w:spacing w:val="10"/>
          <w:sz w:val="23"/>
          <w:szCs w:val="23"/>
        </w:rPr>
        <w:t>入三级</w:t>
      </w:r>
      <w:r>
        <w:rPr>
          <w:rFonts w:ascii="宋体" w:hAnsi="宋体" w:eastAsia="宋体" w:cs="宋体"/>
          <w:spacing w:val="8"/>
          <w:sz w:val="23"/>
          <w:szCs w:val="23"/>
        </w:rPr>
        <w:t>沉</w:t>
      </w:r>
      <w:r>
        <w:rPr>
          <w:rFonts w:ascii="宋体" w:hAnsi="宋体" w:eastAsia="宋体" w:cs="宋体"/>
          <w:spacing w:val="5"/>
          <w:sz w:val="23"/>
          <w:szCs w:val="23"/>
        </w:rPr>
        <w:t>淀池 (</w:t>
      </w:r>
      <w:r>
        <w:rPr>
          <w:rFonts w:ascii="Times New Roman" w:hAnsi="Times New Roman" w:eastAsia="Times New Roman" w:cs="Times New Roman"/>
          <w:spacing w:val="5"/>
          <w:sz w:val="23"/>
          <w:szCs w:val="23"/>
        </w:rPr>
        <w:t>12</w:t>
      </w:r>
      <w:r>
        <w:rPr>
          <w:rFonts w:ascii="Times New Roman" w:hAnsi="Times New Roman" w:eastAsia="Times New Roman" w:cs="Times New Roman"/>
          <w:sz w:val="23"/>
          <w:szCs w:val="23"/>
        </w:rPr>
        <w:t>m</w:t>
      </w:r>
      <w:r>
        <w:rPr>
          <w:rFonts w:ascii="Times New Roman" w:hAnsi="Times New Roman" w:eastAsia="Times New Roman" w:cs="Times New Roman"/>
          <w:spacing w:val="5"/>
          <w:sz w:val="23"/>
          <w:szCs w:val="23"/>
        </w:rPr>
        <w:t>×6</w:t>
      </w:r>
      <w:r>
        <w:rPr>
          <w:rFonts w:ascii="Times New Roman" w:hAnsi="Times New Roman" w:eastAsia="Times New Roman" w:cs="Times New Roman"/>
          <w:sz w:val="23"/>
          <w:szCs w:val="23"/>
        </w:rPr>
        <w:t>m</w:t>
      </w:r>
      <w:r>
        <w:rPr>
          <w:rFonts w:ascii="Times New Roman" w:hAnsi="Times New Roman" w:eastAsia="Times New Roman" w:cs="Times New Roman"/>
          <w:spacing w:val="5"/>
          <w:sz w:val="23"/>
          <w:szCs w:val="23"/>
        </w:rPr>
        <w:t>×4.5</w:t>
      </w:r>
      <w:r>
        <w:rPr>
          <w:rFonts w:ascii="Times New Roman" w:hAnsi="Times New Roman" w:eastAsia="Times New Roman" w:cs="Times New Roman"/>
          <w:sz w:val="23"/>
          <w:szCs w:val="23"/>
        </w:rPr>
        <w:t>m</w:t>
      </w:r>
      <w:r>
        <w:rPr>
          <w:rFonts w:ascii="宋体" w:hAnsi="宋体" w:eastAsia="宋体" w:cs="宋体"/>
          <w:spacing w:val="5"/>
          <w:sz w:val="23"/>
          <w:szCs w:val="23"/>
        </w:rPr>
        <w:t>) 沉淀处理，随后循环使用。污水处理设施废水每</w:t>
      </w:r>
      <w:r>
        <w:rPr>
          <w:rFonts w:ascii="宋体" w:hAnsi="宋体" w:eastAsia="宋体" w:cs="宋体"/>
          <w:sz w:val="23"/>
          <w:szCs w:val="23"/>
        </w:rPr>
        <w:t xml:space="preserve"> </w:t>
      </w:r>
      <w:r>
        <w:rPr>
          <w:rFonts w:ascii="宋体" w:hAnsi="宋体" w:eastAsia="宋体" w:cs="宋体"/>
          <w:spacing w:val="-1"/>
          <w:sz w:val="23"/>
          <w:szCs w:val="23"/>
        </w:rPr>
        <w:t xml:space="preserve">月更换 </w:t>
      </w:r>
      <w:r>
        <w:rPr>
          <w:rFonts w:ascii="Times New Roman" w:hAnsi="Times New Roman" w:eastAsia="Times New Roman" w:cs="Times New Roman"/>
          <w:spacing w:val="-1"/>
          <w:sz w:val="23"/>
          <w:szCs w:val="23"/>
        </w:rPr>
        <w:t xml:space="preserve">1 </w:t>
      </w:r>
      <w:r>
        <w:rPr>
          <w:rFonts w:ascii="宋体" w:hAnsi="宋体" w:eastAsia="宋体" w:cs="宋体"/>
          <w:spacing w:val="-1"/>
          <w:sz w:val="23"/>
          <w:szCs w:val="23"/>
        </w:rPr>
        <w:t xml:space="preserve">次，则该项目全年更换废水量为 </w:t>
      </w:r>
      <w:r>
        <w:rPr>
          <w:rFonts w:ascii="Times New Roman" w:hAnsi="Times New Roman" w:eastAsia="Times New Roman" w:cs="Times New Roman"/>
          <w:spacing w:val="-1"/>
          <w:sz w:val="23"/>
          <w:szCs w:val="23"/>
        </w:rPr>
        <w:t>1523.52</w:t>
      </w:r>
      <w:r>
        <w:rPr>
          <w:rFonts w:ascii="Times New Roman" w:hAnsi="Times New Roman" w:eastAsia="Times New Roman" w:cs="Times New Roman"/>
          <w:sz w:val="23"/>
          <w:szCs w:val="23"/>
        </w:rPr>
        <w:t>m</w:t>
      </w:r>
      <w:r>
        <w:rPr>
          <w:rFonts w:ascii="Times New Roman" w:hAnsi="Times New Roman" w:eastAsia="Times New Roman" w:cs="Times New Roman"/>
          <w:spacing w:val="-1"/>
          <w:position w:val="8"/>
          <w:sz w:val="15"/>
          <w:szCs w:val="15"/>
        </w:rPr>
        <w:t xml:space="preserve">3 </w:t>
      </w:r>
      <w:r>
        <w:rPr>
          <w:rFonts w:ascii="宋体" w:hAnsi="宋体" w:eastAsia="宋体" w:cs="宋体"/>
          <w:spacing w:val="-1"/>
          <w:sz w:val="23"/>
          <w:szCs w:val="23"/>
        </w:rPr>
        <w:t>，更</w:t>
      </w:r>
      <w:r>
        <w:rPr>
          <w:rFonts w:ascii="宋体" w:hAnsi="宋体" w:eastAsia="宋体" w:cs="宋体"/>
          <w:sz w:val="23"/>
          <w:szCs w:val="23"/>
        </w:rPr>
        <w:t xml:space="preserve">换过程产生的废水经吸污 </w:t>
      </w:r>
      <w:r>
        <w:rPr>
          <w:rFonts w:ascii="宋体" w:hAnsi="宋体" w:eastAsia="宋体" w:cs="宋体"/>
          <w:spacing w:val="-2"/>
          <w:sz w:val="23"/>
          <w:szCs w:val="23"/>
        </w:rPr>
        <w:t>车运送至本溪市科态污水处理有限责任公司</w:t>
      </w:r>
      <w:r>
        <w:rPr>
          <w:rFonts w:ascii="宋体" w:hAnsi="宋体" w:eastAsia="宋体" w:cs="宋体"/>
          <w:spacing w:val="-1"/>
          <w:sz w:val="23"/>
          <w:szCs w:val="23"/>
        </w:rPr>
        <w:t>统一处理。</w:t>
      </w:r>
    </w:p>
    <w:p w14:paraId="269AA7D4">
      <w:pPr>
        <w:spacing w:before="146" w:line="227" w:lineRule="auto"/>
        <w:ind w:left="514"/>
        <w:rPr>
          <w:rFonts w:ascii="宋体" w:hAnsi="宋体" w:eastAsia="宋体" w:cs="宋体"/>
          <w:sz w:val="23"/>
          <w:szCs w:val="23"/>
        </w:rPr>
      </w:pPr>
      <w:r>
        <w:rPr>
          <w:rFonts w:ascii="宋体" w:hAnsi="宋体" w:eastAsia="宋体" w:cs="宋体"/>
          <w:spacing w:val="24"/>
          <w:sz w:val="23"/>
          <w:szCs w:val="23"/>
        </w:rPr>
        <w:t>(</w:t>
      </w:r>
      <w:r>
        <w:rPr>
          <w:rFonts w:ascii="Times New Roman" w:hAnsi="Times New Roman" w:eastAsia="Times New Roman" w:cs="Times New Roman"/>
          <w:spacing w:val="23"/>
          <w:sz w:val="23"/>
          <w:szCs w:val="23"/>
        </w:rPr>
        <w:t>3</w:t>
      </w:r>
      <w:r>
        <w:rPr>
          <w:rFonts w:ascii="宋体" w:hAnsi="宋体" w:eastAsia="宋体" w:cs="宋体"/>
          <w:spacing w:val="23"/>
          <w:sz w:val="23"/>
          <w:szCs w:val="23"/>
        </w:rPr>
        <w:t>) 供热</w:t>
      </w:r>
    </w:p>
    <w:p w14:paraId="229DBBE8">
      <w:pPr>
        <w:spacing w:line="277" w:lineRule="auto"/>
        <w:rPr>
          <w:rFonts w:ascii="Arial"/>
          <w:sz w:val="21"/>
        </w:rPr>
      </w:pPr>
    </w:p>
    <w:p w14:paraId="1490697F">
      <w:pPr>
        <w:spacing w:before="75" w:line="393" w:lineRule="auto"/>
        <w:ind w:left="28" w:right="82" w:firstLine="479"/>
        <w:rPr>
          <w:rFonts w:ascii="宋体" w:hAnsi="宋体" w:eastAsia="宋体" w:cs="宋体"/>
          <w:sz w:val="23"/>
          <w:szCs w:val="23"/>
        </w:rPr>
      </w:pPr>
      <w:r>
        <w:rPr>
          <w:rFonts w:ascii="宋体" w:hAnsi="宋体" w:eastAsia="宋体" w:cs="宋体"/>
          <w:spacing w:val="12"/>
          <w:sz w:val="23"/>
          <w:szCs w:val="23"/>
        </w:rPr>
        <w:t>该项目生</w:t>
      </w:r>
      <w:r>
        <w:rPr>
          <w:rFonts w:ascii="宋体" w:hAnsi="宋体" w:eastAsia="宋体" w:cs="宋体"/>
          <w:spacing w:val="7"/>
          <w:sz w:val="23"/>
          <w:szCs w:val="23"/>
        </w:rPr>
        <w:t>产</w:t>
      </w:r>
      <w:r>
        <w:rPr>
          <w:rFonts w:ascii="宋体" w:hAnsi="宋体" w:eastAsia="宋体" w:cs="宋体"/>
          <w:spacing w:val="6"/>
          <w:sz w:val="23"/>
          <w:szCs w:val="23"/>
        </w:rPr>
        <w:t>厂房无需供暖，办公室及员工休息室供暖采用电取暖。洗字槽加</w:t>
      </w:r>
      <w:r>
        <w:rPr>
          <w:rFonts w:ascii="宋体" w:hAnsi="宋体" w:eastAsia="宋体" w:cs="宋体"/>
          <w:sz w:val="23"/>
          <w:szCs w:val="23"/>
        </w:rPr>
        <w:t xml:space="preserve"> </w:t>
      </w:r>
      <w:r>
        <w:rPr>
          <w:rFonts w:ascii="宋体" w:hAnsi="宋体" w:eastAsia="宋体" w:cs="宋体"/>
          <w:spacing w:val="4"/>
          <w:sz w:val="23"/>
          <w:szCs w:val="23"/>
        </w:rPr>
        <w:t>热由</w:t>
      </w:r>
      <w:r>
        <w:rPr>
          <w:rFonts w:ascii="宋体" w:hAnsi="宋体" w:eastAsia="宋体" w:cs="宋体"/>
          <w:spacing w:val="2"/>
          <w:sz w:val="23"/>
          <w:szCs w:val="23"/>
        </w:rPr>
        <w:t xml:space="preserve">生产厂房内的 </w:t>
      </w:r>
      <w:r>
        <w:rPr>
          <w:rFonts w:ascii="Times New Roman" w:hAnsi="Times New Roman" w:eastAsia="Times New Roman" w:cs="Times New Roman"/>
          <w:spacing w:val="2"/>
          <w:sz w:val="23"/>
          <w:szCs w:val="23"/>
        </w:rPr>
        <w:t xml:space="preserve">1 </w:t>
      </w:r>
      <w:r>
        <w:rPr>
          <w:rFonts w:ascii="宋体" w:hAnsi="宋体" w:eastAsia="宋体" w:cs="宋体"/>
          <w:spacing w:val="2"/>
          <w:sz w:val="23"/>
          <w:szCs w:val="23"/>
        </w:rPr>
        <w:t xml:space="preserve">台 </w:t>
      </w:r>
      <w:r>
        <w:rPr>
          <w:rFonts w:ascii="Times New Roman" w:hAnsi="Times New Roman" w:eastAsia="Times New Roman" w:cs="Times New Roman"/>
          <w:spacing w:val="2"/>
          <w:sz w:val="23"/>
          <w:szCs w:val="23"/>
        </w:rPr>
        <w:t>2</w:t>
      </w:r>
      <w:r>
        <w:rPr>
          <w:rFonts w:ascii="Times New Roman" w:hAnsi="Times New Roman" w:eastAsia="Times New Roman" w:cs="Times New Roman"/>
          <w:sz w:val="23"/>
          <w:szCs w:val="23"/>
        </w:rPr>
        <w:t>t</w:t>
      </w:r>
      <w:r>
        <w:rPr>
          <w:rFonts w:ascii="Times New Roman" w:hAnsi="Times New Roman" w:eastAsia="Times New Roman" w:cs="Times New Roman"/>
          <w:spacing w:val="2"/>
          <w:sz w:val="23"/>
          <w:szCs w:val="23"/>
        </w:rPr>
        <w:t>/</w:t>
      </w:r>
      <w:r>
        <w:rPr>
          <w:rFonts w:ascii="Times New Roman" w:hAnsi="Times New Roman" w:eastAsia="Times New Roman" w:cs="Times New Roman"/>
          <w:sz w:val="23"/>
          <w:szCs w:val="23"/>
        </w:rPr>
        <w:t>h</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的热风炉提供。</w:t>
      </w:r>
    </w:p>
    <w:p w14:paraId="7DC31759">
      <w:pPr>
        <w:spacing w:before="136" w:line="227" w:lineRule="auto"/>
        <w:ind w:left="514"/>
        <w:rPr>
          <w:rFonts w:ascii="宋体" w:hAnsi="宋体" w:eastAsia="宋体" w:cs="宋体"/>
          <w:sz w:val="23"/>
          <w:szCs w:val="23"/>
        </w:rPr>
      </w:pPr>
      <w:r>
        <w:rPr>
          <w:rFonts w:ascii="宋体" w:hAnsi="宋体" w:eastAsia="宋体" w:cs="宋体"/>
          <w:spacing w:val="24"/>
          <w:sz w:val="23"/>
          <w:szCs w:val="23"/>
        </w:rPr>
        <w:t>(</w:t>
      </w:r>
      <w:r>
        <w:rPr>
          <w:rFonts w:ascii="Times New Roman" w:hAnsi="Times New Roman" w:eastAsia="Times New Roman" w:cs="Times New Roman"/>
          <w:spacing w:val="23"/>
          <w:sz w:val="23"/>
          <w:szCs w:val="23"/>
        </w:rPr>
        <w:t>4</w:t>
      </w:r>
      <w:r>
        <w:rPr>
          <w:rFonts w:ascii="宋体" w:hAnsi="宋体" w:eastAsia="宋体" w:cs="宋体"/>
          <w:spacing w:val="23"/>
          <w:sz w:val="23"/>
          <w:szCs w:val="23"/>
        </w:rPr>
        <w:t>) 供电</w:t>
      </w:r>
    </w:p>
    <w:p w14:paraId="61229002">
      <w:pPr>
        <w:spacing w:before="311" w:line="322" w:lineRule="exact"/>
        <w:ind w:left="507"/>
        <w:rPr>
          <w:rFonts w:ascii="宋体" w:hAnsi="宋体" w:eastAsia="宋体" w:cs="宋体"/>
          <w:sz w:val="23"/>
          <w:szCs w:val="23"/>
        </w:rPr>
      </w:pPr>
      <w:r>
        <w:rPr>
          <w:rFonts w:ascii="宋体" w:hAnsi="宋体" w:eastAsia="宋体" w:cs="宋体"/>
          <w:spacing w:val="4"/>
          <w:position w:val="2"/>
          <w:sz w:val="23"/>
          <w:szCs w:val="23"/>
        </w:rPr>
        <w:t xml:space="preserve">该项目供电由当地电网引入，年用电量 </w:t>
      </w:r>
      <w:r>
        <w:rPr>
          <w:rFonts w:ascii="Times New Roman" w:hAnsi="Times New Roman" w:eastAsia="Times New Roman" w:cs="Times New Roman"/>
          <w:spacing w:val="4"/>
          <w:position w:val="2"/>
          <w:sz w:val="23"/>
          <w:szCs w:val="23"/>
        </w:rPr>
        <w:t xml:space="preserve">1300 </w:t>
      </w:r>
      <w:r>
        <w:rPr>
          <w:rFonts w:ascii="宋体" w:hAnsi="宋体" w:eastAsia="宋体" w:cs="宋体"/>
          <w:spacing w:val="4"/>
          <w:position w:val="2"/>
          <w:sz w:val="23"/>
          <w:szCs w:val="23"/>
        </w:rPr>
        <w:t xml:space="preserve">万 </w:t>
      </w:r>
      <w:r>
        <w:rPr>
          <w:rFonts w:ascii="Times New Roman" w:hAnsi="Times New Roman" w:eastAsia="Times New Roman" w:cs="Times New Roman"/>
          <w:position w:val="2"/>
          <w:sz w:val="23"/>
          <w:szCs w:val="23"/>
        </w:rPr>
        <w:t>kWh</w:t>
      </w:r>
      <w:r>
        <w:rPr>
          <w:rFonts w:ascii="宋体" w:hAnsi="宋体" w:eastAsia="宋体" w:cs="宋体"/>
          <w:position w:val="2"/>
          <w:sz w:val="23"/>
          <w:szCs w:val="23"/>
        </w:rPr>
        <w:t>。</w:t>
      </w:r>
    </w:p>
    <w:p w14:paraId="548F6617">
      <w:pPr>
        <w:sectPr>
          <w:headerReference r:id="rId102" w:type="default"/>
          <w:footerReference r:id="rId103" w:type="default"/>
          <w:pgSz w:w="11906" w:h="16839"/>
          <w:pgMar w:top="1132" w:right="1716" w:bottom="1182" w:left="1785" w:header="878" w:footer="1022" w:gutter="0"/>
          <w:cols w:space="720" w:num="1"/>
        </w:sectPr>
      </w:pPr>
    </w:p>
    <w:p w14:paraId="20BD90D9">
      <w:pPr>
        <w:spacing w:line="337" w:lineRule="auto"/>
        <w:rPr>
          <w:rFonts w:ascii="Arial"/>
          <w:sz w:val="21"/>
        </w:rPr>
      </w:pPr>
      <w:r>
        <w:pict>
          <v:shape id="_x0000_s1147" o:spid="_x0000_s1147" style="position:absolute;left:0pt;margin-left:90pt;margin-top:57.35pt;height:0.75pt;width:415.3pt;mso-position-horizontal-relative:page;mso-position-vertical-relative:page;z-index:251781120;mso-width-relative:page;mso-height-relative:page;" fillcolor="#000000" filled="t" stroked="f" coordsize="8305,15" o:allowincell="f" path="m0,0l8305,0,8305,14,0,14,0,0xe">
            <v:path/>
            <v:fill on="t" focussize="0,0"/>
            <v:stroke on="f"/>
            <v:imagedata o:title=""/>
            <o:lock v:ext="edit"/>
          </v:shape>
        </w:pict>
      </w:r>
      <w:r>
        <w:pict>
          <v:shape id="_x0000_s1148" o:spid="_x0000_s1148" o:spt="202" type="#_x0000_t202" style="position:absolute;left:0pt;margin-left:354.2pt;margin-top:354.15pt;height:233.5pt;width:88.9pt;mso-position-horizontal-relative:page;mso-position-vertical-relative:page;z-index:251780096;mso-width-relative:page;mso-height-relative:page;" filled="f" stroked="f" coordsize="21600,21600" o:allowincell="f">
            <v:path/>
            <v:fill on="f" focussize="0,0"/>
            <v:stroke on="f"/>
            <v:imagedata o:title=""/>
            <o:lock v:ext="edit" aspectratio="f"/>
            <v:textbox inset="0mm,0mm,0mm,0mm">
              <w:txbxContent>
                <w:p w14:paraId="2FBE7F39">
                  <w:pPr>
                    <w:spacing w:before="20" w:line="228" w:lineRule="auto"/>
                    <w:ind w:left="49"/>
                    <w:rPr>
                      <w:rFonts w:ascii="宋体" w:hAnsi="宋体" w:eastAsia="宋体" w:cs="宋体"/>
                      <w:sz w:val="20"/>
                      <w:szCs w:val="20"/>
                    </w:rPr>
                  </w:pPr>
                  <w:r>
                    <w:rPr>
                      <w:rFonts w:ascii="宋体" w:hAnsi="宋体" w:eastAsia="宋体" w:cs="宋体"/>
                      <w:spacing w:val="10"/>
                      <w:sz w:val="20"/>
                      <w:szCs w:val="20"/>
                    </w:rPr>
                    <w:t>噪</w:t>
                  </w:r>
                  <w:r>
                    <w:rPr>
                      <w:rFonts w:ascii="宋体" w:hAnsi="宋体" w:eastAsia="宋体" w:cs="宋体"/>
                      <w:spacing w:val="7"/>
                      <w:sz w:val="20"/>
                      <w:szCs w:val="20"/>
                    </w:rPr>
                    <w:t>声、扬尘、固废</w:t>
                  </w:r>
                </w:p>
                <w:p w14:paraId="39414B6B">
                  <w:pPr>
                    <w:spacing w:line="369" w:lineRule="auto"/>
                    <w:rPr>
                      <w:rFonts w:ascii="Arial"/>
                      <w:sz w:val="21"/>
                    </w:rPr>
                  </w:pPr>
                </w:p>
                <w:p w14:paraId="1AEC421B">
                  <w:pPr>
                    <w:spacing w:before="65" w:line="230" w:lineRule="auto"/>
                    <w:ind w:left="20"/>
                    <w:rPr>
                      <w:rFonts w:ascii="宋体" w:hAnsi="宋体" w:eastAsia="宋体" w:cs="宋体"/>
                      <w:sz w:val="20"/>
                      <w:szCs w:val="20"/>
                    </w:rPr>
                  </w:pPr>
                  <w:r>
                    <w:rPr>
                      <w:rFonts w:ascii="宋体" w:hAnsi="宋体" w:eastAsia="宋体" w:cs="宋体"/>
                      <w:spacing w:val="9"/>
                      <w:sz w:val="20"/>
                      <w:szCs w:val="20"/>
                    </w:rPr>
                    <w:t>扬尘、固废、噪</w:t>
                  </w:r>
                  <w:r>
                    <w:rPr>
                      <w:rFonts w:ascii="宋体" w:hAnsi="宋体" w:eastAsia="宋体" w:cs="宋体"/>
                      <w:spacing w:val="7"/>
                      <w:sz w:val="20"/>
                      <w:szCs w:val="20"/>
                    </w:rPr>
                    <w:t>声</w:t>
                  </w:r>
                </w:p>
                <w:p w14:paraId="54AC88A6">
                  <w:pPr>
                    <w:spacing w:line="241" w:lineRule="auto"/>
                    <w:rPr>
                      <w:rFonts w:ascii="Arial"/>
                      <w:sz w:val="21"/>
                    </w:rPr>
                  </w:pPr>
                </w:p>
                <w:p w14:paraId="6255F706">
                  <w:pPr>
                    <w:spacing w:line="241" w:lineRule="auto"/>
                    <w:rPr>
                      <w:rFonts w:ascii="Arial"/>
                      <w:sz w:val="21"/>
                    </w:rPr>
                  </w:pPr>
                </w:p>
                <w:p w14:paraId="35D82379">
                  <w:pPr>
                    <w:spacing w:before="65" w:line="228" w:lineRule="auto"/>
                    <w:ind w:left="97"/>
                    <w:rPr>
                      <w:rFonts w:ascii="宋体" w:hAnsi="宋体" w:eastAsia="宋体" w:cs="宋体"/>
                      <w:sz w:val="20"/>
                      <w:szCs w:val="20"/>
                    </w:rPr>
                  </w:pPr>
                  <w:r>
                    <w:rPr>
                      <w:rFonts w:ascii="宋体" w:hAnsi="宋体" w:eastAsia="宋体" w:cs="宋体"/>
                      <w:spacing w:val="10"/>
                      <w:sz w:val="20"/>
                      <w:szCs w:val="20"/>
                    </w:rPr>
                    <w:t>噪</w:t>
                  </w:r>
                  <w:r>
                    <w:rPr>
                      <w:rFonts w:ascii="宋体" w:hAnsi="宋体" w:eastAsia="宋体" w:cs="宋体"/>
                      <w:spacing w:val="7"/>
                      <w:sz w:val="20"/>
                      <w:szCs w:val="20"/>
                    </w:rPr>
                    <w:t>声、固废、扬尘</w:t>
                  </w:r>
                </w:p>
                <w:p w14:paraId="0810C855">
                  <w:pPr>
                    <w:spacing w:line="443" w:lineRule="auto"/>
                    <w:rPr>
                      <w:rFonts w:ascii="Arial"/>
                      <w:sz w:val="21"/>
                    </w:rPr>
                  </w:pPr>
                </w:p>
                <w:p w14:paraId="73CBBABA">
                  <w:pPr>
                    <w:spacing w:before="65" w:line="228" w:lineRule="auto"/>
                    <w:ind w:left="97"/>
                    <w:rPr>
                      <w:rFonts w:ascii="宋体" w:hAnsi="宋体" w:eastAsia="宋体" w:cs="宋体"/>
                      <w:sz w:val="20"/>
                      <w:szCs w:val="20"/>
                    </w:rPr>
                  </w:pPr>
                  <w:r>
                    <w:rPr>
                      <w:rFonts w:ascii="宋体" w:hAnsi="宋体" w:eastAsia="宋体" w:cs="宋体"/>
                      <w:spacing w:val="10"/>
                      <w:sz w:val="20"/>
                      <w:szCs w:val="20"/>
                    </w:rPr>
                    <w:t>噪</w:t>
                  </w:r>
                  <w:r>
                    <w:rPr>
                      <w:rFonts w:ascii="宋体" w:hAnsi="宋体" w:eastAsia="宋体" w:cs="宋体"/>
                      <w:spacing w:val="7"/>
                      <w:sz w:val="20"/>
                      <w:szCs w:val="20"/>
                    </w:rPr>
                    <w:t>声、固废、扬尘</w:t>
                  </w:r>
                </w:p>
                <w:p w14:paraId="7833CDC2">
                  <w:pPr>
                    <w:spacing w:line="388" w:lineRule="auto"/>
                    <w:rPr>
                      <w:rFonts w:ascii="Arial"/>
                      <w:sz w:val="21"/>
                    </w:rPr>
                  </w:pPr>
                </w:p>
                <w:p w14:paraId="1C3DB310">
                  <w:pPr>
                    <w:spacing w:before="65" w:line="228" w:lineRule="auto"/>
                    <w:ind w:left="97"/>
                    <w:rPr>
                      <w:rFonts w:ascii="宋体" w:hAnsi="宋体" w:eastAsia="宋体" w:cs="宋体"/>
                      <w:sz w:val="20"/>
                      <w:szCs w:val="20"/>
                    </w:rPr>
                  </w:pPr>
                  <w:r>
                    <w:rPr>
                      <w:rFonts w:ascii="宋体" w:hAnsi="宋体" w:eastAsia="宋体" w:cs="宋体"/>
                      <w:spacing w:val="-1"/>
                      <w:sz w:val="20"/>
                      <w:szCs w:val="20"/>
                    </w:rPr>
                    <w:t>噪</w:t>
                  </w:r>
                  <w:r>
                    <w:rPr>
                      <w:rFonts w:ascii="宋体" w:hAnsi="宋体" w:eastAsia="宋体" w:cs="宋体"/>
                      <w:sz w:val="20"/>
                      <w:szCs w:val="20"/>
                    </w:rPr>
                    <w:t>声</w:t>
                  </w:r>
                </w:p>
                <w:p w14:paraId="4F39F199">
                  <w:pPr>
                    <w:spacing w:line="431" w:lineRule="auto"/>
                    <w:rPr>
                      <w:rFonts w:ascii="Arial"/>
                      <w:sz w:val="21"/>
                    </w:rPr>
                  </w:pPr>
                </w:p>
                <w:p w14:paraId="2732B27A">
                  <w:pPr>
                    <w:spacing w:before="66" w:line="228" w:lineRule="auto"/>
                    <w:ind w:left="71"/>
                    <w:rPr>
                      <w:rFonts w:ascii="宋体" w:hAnsi="宋体" w:eastAsia="宋体" w:cs="宋体"/>
                      <w:sz w:val="20"/>
                      <w:szCs w:val="20"/>
                    </w:rPr>
                  </w:pPr>
                  <w:r>
                    <w:rPr>
                      <w:rFonts w:ascii="宋体" w:hAnsi="宋体" w:eastAsia="宋体" w:cs="宋体"/>
                      <w:spacing w:val="6"/>
                      <w:sz w:val="20"/>
                      <w:szCs w:val="20"/>
                    </w:rPr>
                    <w:t>噪声、固废</w:t>
                  </w:r>
                </w:p>
                <w:p w14:paraId="6C8002A7">
                  <w:pPr>
                    <w:spacing w:line="376" w:lineRule="auto"/>
                    <w:rPr>
                      <w:rFonts w:ascii="Arial"/>
                      <w:sz w:val="21"/>
                    </w:rPr>
                  </w:pPr>
                </w:p>
                <w:p w14:paraId="4442367C">
                  <w:pPr>
                    <w:spacing w:before="66" w:line="228" w:lineRule="auto"/>
                    <w:ind w:left="124"/>
                    <w:rPr>
                      <w:rFonts w:ascii="宋体" w:hAnsi="宋体" w:eastAsia="宋体" w:cs="宋体"/>
                      <w:sz w:val="20"/>
                      <w:szCs w:val="20"/>
                    </w:rPr>
                  </w:pPr>
                  <w:r>
                    <w:rPr>
                      <w:rFonts w:ascii="宋体" w:hAnsi="宋体" w:eastAsia="宋体" w:cs="宋体"/>
                      <w:spacing w:val="6"/>
                      <w:sz w:val="20"/>
                      <w:szCs w:val="20"/>
                    </w:rPr>
                    <w:t>噪声、固废</w:t>
                  </w:r>
                </w:p>
              </w:txbxContent>
            </v:textbox>
          </v:shape>
        </w:pict>
      </w:r>
      <w:r>
        <w:drawing>
          <wp:anchor distT="0" distB="0" distL="0" distR="0" simplePos="0" relativeHeight="251789312" behindDoc="0" locked="0" layoutInCell="0" allowOverlap="1">
            <wp:simplePos x="0" y="0"/>
            <wp:positionH relativeFrom="page">
              <wp:posOffset>4109720</wp:posOffset>
            </wp:positionH>
            <wp:positionV relativeFrom="page">
              <wp:posOffset>4554220</wp:posOffset>
            </wp:positionV>
            <wp:extent cx="244475" cy="22860"/>
            <wp:effectExtent l="0" t="0" r="0" b="0"/>
            <wp:wrapNone/>
            <wp:docPr id="49" name="IM 49"/>
            <wp:cNvGraphicFramePr/>
            <a:graphic xmlns:a="http://schemas.openxmlformats.org/drawingml/2006/main">
              <a:graphicData uri="http://schemas.openxmlformats.org/drawingml/2006/picture">
                <pic:pic xmlns:pic="http://schemas.openxmlformats.org/drawingml/2006/picture">
                  <pic:nvPicPr>
                    <pic:cNvPr id="49" name="IM 49"/>
                    <pic:cNvPicPr/>
                  </pic:nvPicPr>
                  <pic:blipFill>
                    <a:blip r:embed="rId435"/>
                    <a:stretch>
                      <a:fillRect/>
                    </a:stretch>
                  </pic:blipFill>
                  <pic:spPr>
                    <a:xfrm>
                      <a:off x="0" y="0"/>
                      <a:ext cx="244500" cy="22643"/>
                    </a:xfrm>
                    <a:prstGeom prst="rect">
                      <a:avLst/>
                    </a:prstGeom>
                  </pic:spPr>
                </pic:pic>
              </a:graphicData>
            </a:graphic>
          </wp:anchor>
        </w:drawing>
      </w:r>
      <w:r>
        <w:drawing>
          <wp:anchor distT="0" distB="0" distL="0" distR="0" simplePos="0" relativeHeight="251782144" behindDoc="0" locked="0" layoutInCell="0" allowOverlap="1">
            <wp:simplePos x="0" y="0"/>
            <wp:positionH relativeFrom="page">
              <wp:posOffset>4370070</wp:posOffset>
            </wp:positionH>
            <wp:positionV relativeFrom="page">
              <wp:posOffset>4527550</wp:posOffset>
            </wp:positionV>
            <wp:extent cx="99695" cy="76200"/>
            <wp:effectExtent l="0" t="0" r="0" b="0"/>
            <wp:wrapNone/>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436"/>
                    <a:stretch>
                      <a:fillRect/>
                    </a:stretch>
                  </pic:blipFill>
                  <pic:spPr>
                    <a:xfrm>
                      <a:off x="0" y="0"/>
                      <a:ext cx="99707" cy="76200"/>
                    </a:xfrm>
                    <a:prstGeom prst="rect">
                      <a:avLst/>
                    </a:prstGeom>
                  </pic:spPr>
                </pic:pic>
              </a:graphicData>
            </a:graphic>
          </wp:anchor>
        </w:drawing>
      </w:r>
      <w:r>
        <w:drawing>
          <wp:anchor distT="0" distB="0" distL="0" distR="0" simplePos="0" relativeHeight="251794432" behindDoc="0" locked="0" layoutInCell="0" allowOverlap="1">
            <wp:simplePos x="0" y="0"/>
            <wp:positionH relativeFrom="page">
              <wp:posOffset>4111625</wp:posOffset>
            </wp:positionH>
            <wp:positionV relativeFrom="page">
              <wp:posOffset>4992370</wp:posOffset>
            </wp:positionV>
            <wp:extent cx="244475" cy="22225"/>
            <wp:effectExtent l="0" t="0" r="0" b="0"/>
            <wp:wrapNone/>
            <wp:docPr id="51" name="IM 51"/>
            <wp:cNvGraphicFramePr/>
            <a:graphic xmlns:a="http://schemas.openxmlformats.org/drawingml/2006/main">
              <a:graphicData uri="http://schemas.openxmlformats.org/drawingml/2006/picture">
                <pic:pic xmlns:pic="http://schemas.openxmlformats.org/drawingml/2006/picture">
                  <pic:nvPicPr>
                    <pic:cNvPr id="51" name="IM 51"/>
                    <pic:cNvPicPr/>
                  </pic:nvPicPr>
                  <pic:blipFill>
                    <a:blip r:embed="rId437"/>
                    <a:stretch>
                      <a:fillRect/>
                    </a:stretch>
                  </pic:blipFill>
                  <pic:spPr>
                    <a:xfrm>
                      <a:off x="0" y="0"/>
                      <a:ext cx="244475" cy="22225"/>
                    </a:xfrm>
                    <a:prstGeom prst="rect">
                      <a:avLst/>
                    </a:prstGeom>
                  </pic:spPr>
                </pic:pic>
              </a:graphicData>
            </a:graphic>
          </wp:anchor>
        </w:drawing>
      </w:r>
      <w:r>
        <w:drawing>
          <wp:anchor distT="0" distB="0" distL="0" distR="0" simplePos="0" relativeHeight="251783168" behindDoc="0" locked="0" layoutInCell="0" allowOverlap="1">
            <wp:simplePos x="0" y="0"/>
            <wp:positionH relativeFrom="page">
              <wp:posOffset>4371975</wp:posOffset>
            </wp:positionH>
            <wp:positionV relativeFrom="page">
              <wp:posOffset>4965700</wp:posOffset>
            </wp:positionV>
            <wp:extent cx="99695" cy="76200"/>
            <wp:effectExtent l="0" t="0" r="0" b="0"/>
            <wp:wrapNone/>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438"/>
                    <a:stretch>
                      <a:fillRect/>
                    </a:stretch>
                  </pic:blipFill>
                  <pic:spPr>
                    <a:xfrm>
                      <a:off x="0" y="0"/>
                      <a:ext cx="99695" cy="76200"/>
                    </a:xfrm>
                    <a:prstGeom prst="rect">
                      <a:avLst/>
                    </a:prstGeom>
                  </pic:spPr>
                </pic:pic>
              </a:graphicData>
            </a:graphic>
          </wp:anchor>
        </w:drawing>
      </w:r>
      <w:r>
        <w:drawing>
          <wp:anchor distT="0" distB="0" distL="0" distR="0" simplePos="0" relativeHeight="251792384" behindDoc="0" locked="0" layoutInCell="0" allowOverlap="1">
            <wp:simplePos x="0" y="0"/>
            <wp:positionH relativeFrom="page">
              <wp:posOffset>4117340</wp:posOffset>
            </wp:positionH>
            <wp:positionV relativeFrom="page">
              <wp:posOffset>5485130</wp:posOffset>
            </wp:positionV>
            <wp:extent cx="244475" cy="22225"/>
            <wp:effectExtent l="0" t="0" r="0" b="0"/>
            <wp:wrapNone/>
            <wp:docPr id="53" name="IM 53"/>
            <wp:cNvGraphicFramePr/>
            <a:graphic xmlns:a="http://schemas.openxmlformats.org/drawingml/2006/main">
              <a:graphicData uri="http://schemas.openxmlformats.org/drawingml/2006/picture">
                <pic:pic xmlns:pic="http://schemas.openxmlformats.org/drawingml/2006/picture">
                  <pic:nvPicPr>
                    <pic:cNvPr id="53" name="IM 53"/>
                    <pic:cNvPicPr/>
                  </pic:nvPicPr>
                  <pic:blipFill>
                    <a:blip r:embed="rId439"/>
                    <a:stretch>
                      <a:fillRect/>
                    </a:stretch>
                  </pic:blipFill>
                  <pic:spPr>
                    <a:xfrm>
                      <a:off x="0" y="0"/>
                      <a:ext cx="244474" cy="22225"/>
                    </a:xfrm>
                    <a:prstGeom prst="rect">
                      <a:avLst/>
                    </a:prstGeom>
                  </pic:spPr>
                </pic:pic>
              </a:graphicData>
            </a:graphic>
          </wp:anchor>
        </w:drawing>
      </w:r>
      <w:r>
        <w:drawing>
          <wp:anchor distT="0" distB="0" distL="0" distR="0" simplePos="0" relativeHeight="251785216" behindDoc="0" locked="0" layoutInCell="0" allowOverlap="1">
            <wp:simplePos x="0" y="0"/>
            <wp:positionH relativeFrom="page">
              <wp:posOffset>4377690</wp:posOffset>
            </wp:positionH>
            <wp:positionV relativeFrom="page">
              <wp:posOffset>5457825</wp:posOffset>
            </wp:positionV>
            <wp:extent cx="99695" cy="76200"/>
            <wp:effectExtent l="0" t="0" r="0" b="0"/>
            <wp:wrapNone/>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440"/>
                    <a:stretch>
                      <a:fillRect/>
                    </a:stretch>
                  </pic:blipFill>
                  <pic:spPr>
                    <a:xfrm>
                      <a:off x="0" y="0"/>
                      <a:ext cx="99694" cy="76200"/>
                    </a:xfrm>
                    <a:prstGeom prst="rect">
                      <a:avLst/>
                    </a:prstGeom>
                  </pic:spPr>
                </pic:pic>
              </a:graphicData>
            </a:graphic>
          </wp:anchor>
        </w:drawing>
      </w:r>
      <w:r>
        <w:drawing>
          <wp:anchor distT="0" distB="0" distL="0" distR="0" simplePos="0" relativeHeight="251790336" behindDoc="0" locked="0" layoutInCell="0" allowOverlap="1">
            <wp:simplePos x="0" y="0"/>
            <wp:positionH relativeFrom="page">
              <wp:posOffset>4108450</wp:posOffset>
            </wp:positionH>
            <wp:positionV relativeFrom="page">
              <wp:posOffset>5955030</wp:posOffset>
            </wp:positionV>
            <wp:extent cx="244475" cy="22225"/>
            <wp:effectExtent l="0" t="0" r="0" b="0"/>
            <wp:wrapNone/>
            <wp:docPr id="55" name="IM 55"/>
            <wp:cNvGraphicFramePr/>
            <a:graphic xmlns:a="http://schemas.openxmlformats.org/drawingml/2006/main">
              <a:graphicData uri="http://schemas.openxmlformats.org/drawingml/2006/picture">
                <pic:pic xmlns:pic="http://schemas.openxmlformats.org/drawingml/2006/picture">
                  <pic:nvPicPr>
                    <pic:cNvPr id="55" name="IM 55"/>
                    <pic:cNvPicPr/>
                  </pic:nvPicPr>
                  <pic:blipFill>
                    <a:blip r:embed="rId441"/>
                    <a:stretch>
                      <a:fillRect/>
                    </a:stretch>
                  </pic:blipFill>
                  <pic:spPr>
                    <a:xfrm>
                      <a:off x="0" y="0"/>
                      <a:ext cx="244475" cy="22225"/>
                    </a:xfrm>
                    <a:prstGeom prst="rect">
                      <a:avLst/>
                    </a:prstGeom>
                  </pic:spPr>
                </pic:pic>
              </a:graphicData>
            </a:graphic>
          </wp:anchor>
        </w:drawing>
      </w:r>
      <w:r>
        <w:drawing>
          <wp:anchor distT="0" distB="0" distL="0" distR="0" simplePos="0" relativeHeight="251787264" behindDoc="0" locked="0" layoutInCell="0" allowOverlap="1">
            <wp:simplePos x="0" y="0"/>
            <wp:positionH relativeFrom="page">
              <wp:posOffset>4368800</wp:posOffset>
            </wp:positionH>
            <wp:positionV relativeFrom="page">
              <wp:posOffset>5927725</wp:posOffset>
            </wp:positionV>
            <wp:extent cx="99695" cy="76200"/>
            <wp:effectExtent l="0" t="0" r="0" b="0"/>
            <wp:wrapNone/>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442"/>
                    <a:stretch>
                      <a:fillRect/>
                    </a:stretch>
                  </pic:blipFill>
                  <pic:spPr>
                    <a:xfrm>
                      <a:off x="0" y="0"/>
                      <a:ext cx="99694" cy="76200"/>
                    </a:xfrm>
                    <a:prstGeom prst="rect">
                      <a:avLst/>
                    </a:prstGeom>
                  </pic:spPr>
                </pic:pic>
              </a:graphicData>
            </a:graphic>
          </wp:anchor>
        </w:drawing>
      </w:r>
      <w:r>
        <w:drawing>
          <wp:anchor distT="0" distB="0" distL="0" distR="0" simplePos="0" relativeHeight="251791360" behindDoc="0" locked="0" layoutInCell="0" allowOverlap="1">
            <wp:simplePos x="0" y="0"/>
            <wp:positionH relativeFrom="page">
              <wp:posOffset>4108450</wp:posOffset>
            </wp:positionH>
            <wp:positionV relativeFrom="page">
              <wp:posOffset>6413500</wp:posOffset>
            </wp:positionV>
            <wp:extent cx="244475" cy="22225"/>
            <wp:effectExtent l="0" t="0" r="0" b="0"/>
            <wp:wrapNone/>
            <wp:docPr id="57" name="IM 57"/>
            <wp:cNvGraphicFramePr/>
            <a:graphic xmlns:a="http://schemas.openxmlformats.org/drawingml/2006/main">
              <a:graphicData uri="http://schemas.openxmlformats.org/drawingml/2006/picture">
                <pic:pic xmlns:pic="http://schemas.openxmlformats.org/drawingml/2006/picture">
                  <pic:nvPicPr>
                    <pic:cNvPr id="57" name="IM 57"/>
                    <pic:cNvPicPr/>
                  </pic:nvPicPr>
                  <pic:blipFill>
                    <a:blip r:embed="rId443"/>
                    <a:stretch>
                      <a:fillRect/>
                    </a:stretch>
                  </pic:blipFill>
                  <pic:spPr>
                    <a:xfrm>
                      <a:off x="0" y="0"/>
                      <a:ext cx="244475" cy="22225"/>
                    </a:xfrm>
                    <a:prstGeom prst="rect">
                      <a:avLst/>
                    </a:prstGeom>
                  </pic:spPr>
                </pic:pic>
              </a:graphicData>
            </a:graphic>
          </wp:anchor>
        </w:drawing>
      </w:r>
      <w:r>
        <w:drawing>
          <wp:anchor distT="0" distB="0" distL="0" distR="0" simplePos="0" relativeHeight="251786240" behindDoc="0" locked="0" layoutInCell="0" allowOverlap="1">
            <wp:simplePos x="0" y="0"/>
            <wp:positionH relativeFrom="page">
              <wp:posOffset>4368800</wp:posOffset>
            </wp:positionH>
            <wp:positionV relativeFrom="page">
              <wp:posOffset>6386195</wp:posOffset>
            </wp:positionV>
            <wp:extent cx="99695" cy="76200"/>
            <wp:effectExtent l="0" t="0" r="0" b="0"/>
            <wp:wrapNone/>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444"/>
                    <a:stretch>
                      <a:fillRect/>
                    </a:stretch>
                  </pic:blipFill>
                  <pic:spPr>
                    <a:xfrm>
                      <a:off x="0" y="0"/>
                      <a:ext cx="99694" cy="76200"/>
                    </a:xfrm>
                    <a:prstGeom prst="rect">
                      <a:avLst/>
                    </a:prstGeom>
                  </pic:spPr>
                </pic:pic>
              </a:graphicData>
            </a:graphic>
          </wp:anchor>
        </w:drawing>
      </w:r>
      <w:r>
        <w:drawing>
          <wp:anchor distT="0" distB="0" distL="0" distR="0" simplePos="0" relativeHeight="251793408" behindDoc="0" locked="0" layoutInCell="0" allowOverlap="1">
            <wp:simplePos x="0" y="0"/>
            <wp:positionH relativeFrom="page">
              <wp:posOffset>4105910</wp:posOffset>
            </wp:positionH>
            <wp:positionV relativeFrom="page">
              <wp:posOffset>6879590</wp:posOffset>
            </wp:positionV>
            <wp:extent cx="244475" cy="22225"/>
            <wp:effectExtent l="0" t="0" r="0" b="0"/>
            <wp:wrapNone/>
            <wp:docPr id="59" name="IM 59"/>
            <wp:cNvGraphicFramePr/>
            <a:graphic xmlns:a="http://schemas.openxmlformats.org/drawingml/2006/main">
              <a:graphicData uri="http://schemas.openxmlformats.org/drawingml/2006/picture">
                <pic:pic xmlns:pic="http://schemas.openxmlformats.org/drawingml/2006/picture">
                  <pic:nvPicPr>
                    <pic:cNvPr id="59" name="IM 59"/>
                    <pic:cNvPicPr/>
                  </pic:nvPicPr>
                  <pic:blipFill>
                    <a:blip r:embed="rId445"/>
                    <a:stretch>
                      <a:fillRect/>
                    </a:stretch>
                  </pic:blipFill>
                  <pic:spPr>
                    <a:xfrm>
                      <a:off x="0" y="0"/>
                      <a:ext cx="244475" cy="22225"/>
                    </a:xfrm>
                    <a:prstGeom prst="rect">
                      <a:avLst/>
                    </a:prstGeom>
                  </pic:spPr>
                </pic:pic>
              </a:graphicData>
            </a:graphic>
          </wp:anchor>
        </w:drawing>
      </w:r>
      <w:r>
        <w:drawing>
          <wp:anchor distT="0" distB="0" distL="0" distR="0" simplePos="0" relativeHeight="251788288" behindDoc="0" locked="0" layoutInCell="0" allowOverlap="1">
            <wp:simplePos x="0" y="0"/>
            <wp:positionH relativeFrom="page">
              <wp:posOffset>4366260</wp:posOffset>
            </wp:positionH>
            <wp:positionV relativeFrom="page">
              <wp:posOffset>6852285</wp:posOffset>
            </wp:positionV>
            <wp:extent cx="99060" cy="76200"/>
            <wp:effectExtent l="0" t="0" r="0" b="0"/>
            <wp:wrapNone/>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446"/>
                    <a:stretch>
                      <a:fillRect/>
                    </a:stretch>
                  </pic:blipFill>
                  <pic:spPr>
                    <a:xfrm>
                      <a:off x="0" y="0"/>
                      <a:ext cx="99060" cy="76200"/>
                    </a:xfrm>
                    <a:prstGeom prst="rect">
                      <a:avLst/>
                    </a:prstGeom>
                  </pic:spPr>
                </pic:pic>
              </a:graphicData>
            </a:graphic>
          </wp:anchor>
        </w:drawing>
      </w:r>
      <w:r>
        <w:drawing>
          <wp:anchor distT="0" distB="0" distL="0" distR="0" simplePos="0" relativeHeight="251795456" behindDoc="0" locked="0" layoutInCell="0" allowOverlap="1">
            <wp:simplePos x="0" y="0"/>
            <wp:positionH relativeFrom="page">
              <wp:posOffset>4109720</wp:posOffset>
            </wp:positionH>
            <wp:positionV relativeFrom="page">
              <wp:posOffset>7336790</wp:posOffset>
            </wp:positionV>
            <wp:extent cx="244475" cy="22225"/>
            <wp:effectExtent l="0" t="0" r="0" b="0"/>
            <wp:wrapNone/>
            <wp:docPr id="61" name="IM 61"/>
            <wp:cNvGraphicFramePr/>
            <a:graphic xmlns:a="http://schemas.openxmlformats.org/drawingml/2006/main">
              <a:graphicData uri="http://schemas.openxmlformats.org/drawingml/2006/picture">
                <pic:pic xmlns:pic="http://schemas.openxmlformats.org/drawingml/2006/picture">
                  <pic:nvPicPr>
                    <pic:cNvPr id="61" name="IM 61"/>
                    <pic:cNvPicPr/>
                  </pic:nvPicPr>
                  <pic:blipFill>
                    <a:blip r:embed="rId447"/>
                    <a:stretch>
                      <a:fillRect/>
                    </a:stretch>
                  </pic:blipFill>
                  <pic:spPr>
                    <a:xfrm>
                      <a:off x="0" y="0"/>
                      <a:ext cx="244474" cy="22225"/>
                    </a:xfrm>
                    <a:prstGeom prst="rect">
                      <a:avLst/>
                    </a:prstGeom>
                  </pic:spPr>
                </pic:pic>
              </a:graphicData>
            </a:graphic>
          </wp:anchor>
        </w:drawing>
      </w:r>
      <w:r>
        <w:drawing>
          <wp:anchor distT="0" distB="0" distL="0" distR="0" simplePos="0" relativeHeight="251784192" behindDoc="0" locked="0" layoutInCell="0" allowOverlap="1">
            <wp:simplePos x="0" y="0"/>
            <wp:positionH relativeFrom="page">
              <wp:posOffset>4370070</wp:posOffset>
            </wp:positionH>
            <wp:positionV relativeFrom="page">
              <wp:posOffset>7309485</wp:posOffset>
            </wp:positionV>
            <wp:extent cx="99695" cy="76200"/>
            <wp:effectExtent l="0" t="0" r="0" b="0"/>
            <wp:wrapNone/>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448"/>
                    <a:stretch>
                      <a:fillRect/>
                    </a:stretch>
                  </pic:blipFill>
                  <pic:spPr>
                    <a:xfrm>
                      <a:off x="0" y="0"/>
                      <a:ext cx="99694" cy="76200"/>
                    </a:xfrm>
                    <a:prstGeom prst="rect">
                      <a:avLst/>
                    </a:prstGeom>
                  </pic:spPr>
                </pic:pic>
              </a:graphicData>
            </a:graphic>
          </wp:anchor>
        </w:drawing>
      </w:r>
    </w:p>
    <w:p w14:paraId="0854A541">
      <w:pPr>
        <w:spacing w:before="94" w:line="226" w:lineRule="auto"/>
        <w:ind w:left="18"/>
        <w:outlineLvl w:val="2"/>
        <w:rPr>
          <w:rFonts w:ascii="宋体" w:hAnsi="宋体" w:eastAsia="宋体" w:cs="宋体"/>
          <w:sz w:val="29"/>
          <w:szCs w:val="29"/>
        </w:rPr>
      </w:pPr>
      <w:r>
        <w:rPr>
          <w:rFonts w:ascii="Times New Roman" w:hAnsi="Times New Roman" w:eastAsia="Times New Roman" w:cs="Times New Roman"/>
          <w:b/>
          <w:bCs/>
          <w:spacing w:val="13"/>
          <w:sz w:val="29"/>
          <w:szCs w:val="29"/>
        </w:rPr>
        <w:t>3</w:t>
      </w:r>
      <w:r>
        <w:rPr>
          <w:rFonts w:ascii="Times New Roman" w:hAnsi="Times New Roman" w:eastAsia="Times New Roman" w:cs="Times New Roman"/>
          <w:b/>
          <w:bCs/>
          <w:spacing w:val="7"/>
          <w:sz w:val="29"/>
          <w:szCs w:val="29"/>
        </w:rPr>
        <w:t>.1.7</w:t>
      </w:r>
      <w:r>
        <w:rPr>
          <w:rFonts w:ascii="Times New Roman" w:hAnsi="Times New Roman" w:eastAsia="Times New Roman" w:cs="Times New Roman"/>
          <w:spacing w:val="7"/>
          <w:sz w:val="29"/>
          <w:szCs w:val="29"/>
        </w:rPr>
        <w:t xml:space="preserve">  </w:t>
      </w:r>
      <w:r>
        <w:rPr>
          <w:rFonts w:ascii="宋体" w:hAnsi="宋体" w:eastAsia="宋体" w:cs="宋体"/>
          <w:spacing w:val="7"/>
          <w:sz w:val="29"/>
          <w:szCs w:val="29"/>
          <w14:textOutline w14:w="5448" w14:cap="sq" w14:cmpd="sng">
            <w14:solidFill>
              <w14:srgbClr w14:val="000000"/>
            </w14:solidFill>
            <w14:prstDash w14:val="solid"/>
            <w14:bevel/>
          </w14:textOutline>
        </w:rPr>
        <w:t>劳动定员及工作制度</w:t>
      </w:r>
    </w:p>
    <w:p w14:paraId="47DC332A">
      <w:pPr>
        <w:spacing w:line="257" w:lineRule="auto"/>
        <w:rPr>
          <w:rFonts w:ascii="Arial"/>
          <w:sz w:val="21"/>
        </w:rPr>
      </w:pPr>
    </w:p>
    <w:p w14:paraId="62F75F22">
      <w:pPr>
        <w:spacing w:before="74" w:line="227" w:lineRule="auto"/>
        <w:ind w:left="507"/>
        <w:rPr>
          <w:rFonts w:ascii="宋体" w:hAnsi="宋体" w:eastAsia="宋体" w:cs="宋体"/>
          <w:sz w:val="23"/>
          <w:szCs w:val="23"/>
        </w:rPr>
      </w:pPr>
      <w:r>
        <w:rPr>
          <w:rFonts w:ascii="宋体" w:hAnsi="宋体" w:eastAsia="宋体" w:cs="宋体"/>
          <w:spacing w:val="14"/>
          <w:sz w:val="23"/>
          <w:szCs w:val="23"/>
        </w:rPr>
        <w:t>项目</w:t>
      </w:r>
      <w:r>
        <w:rPr>
          <w:rFonts w:ascii="宋体" w:hAnsi="宋体" w:eastAsia="宋体" w:cs="宋体"/>
          <w:spacing w:val="9"/>
          <w:sz w:val="23"/>
          <w:szCs w:val="23"/>
        </w:rPr>
        <w:t>劳</w:t>
      </w:r>
      <w:r>
        <w:rPr>
          <w:rFonts w:ascii="宋体" w:hAnsi="宋体" w:eastAsia="宋体" w:cs="宋体"/>
          <w:spacing w:val="7"/>
          <w:sz w:val="23"/>
          <w:szCs w:val="23"/>
        </w:rPr>
        <w:t xml:space="preserve">动定员 </w:t>
      </w:r>
      <w:r>
        <w:rPr>
          <w:rFonts w:ascii="Times New Roman" w:hAnsi="Times New Roman" w:eastAsia="Times New Roman" w:cs="Times New Roman"/>
          <w:spacing w:val="7"/>
          <w:sz w:val="23"/>
          <w:szCs w:val="23"/>
        </w:rPr>
        <w:t xml:space="preserve">80 </w:t>
      </w:r>
      <w:r>
        <w:rPr>
          <w:rFonts w:ascii="宋体" w:hAnsi="宋体" w:eastAsia="宋体" w:cs="宋体"/>
          <w:spacing w:val="7"/>
          <w:sz w:val="23"/>
          <w:szCs w:val="23"/>
        </w:rPr>
        <w:t>人。采用</w:t>
      </w:r>
      <w:r>
        <w:rPr>
          <w:rFonts w:ascii="Times New Roman" w:hAnsi="Times New Roman" w:eastAsia="Times New Roman" w:cs="Times New Roman"/>
          <w:spacing w:val="7"/>
          <w:sz w:val="23"/>
          <w:szCs w:val="23"/>
        </w:rPr>
        <w:t xml:space="preserve">2 </w:t>
      </w:r>
      <w:r>
        <w:rPr>
          <w:rFonts w:ascii="宋体" w:hAnsi="宋体" w:eastAsia="宋体" w:cs="宋体"/>
          <w:spacing w:val="7"/>
          <w:sz w:val="23"/>
          <w:szCs w:val="23"/>
        </w:rPr>
        <w:t xml:space="preserve">班工作制，每班 </w:t>
      </w:r>
      <w:r>
        <w:rPr>
          <w:rFonts w:ascii="Times New Roman" w:hAnsi="Times New Roman" w:eastAsia="Times New Roman" w:cs="Times New Roman"/>
          <w:spacing w:val="7"/>
          <w:sz w:val="23"/>
          <w:szCs w:val="23"/>
        </w:rPr>
        <w:t xml:space="preserve">12 </w:t>
      </w:r>
      <w:r>
        <w:rPr>
          <w:rFonts w:ascii="宋体" w:hAnsi="宋体" w:eastAsia="宋体" w:cs="宋体"/>
          <w:spacing w:val="7"/>
          <w:sz w:val="23"/>
          <w:szCs w:val="23"/>
        </w:rPr>
        <w:t>小时，全年运营</w:t>
      </w:r>
      <w:r>
        <w:rPr>
          <w:rFonts w:ascii="Times New Roman" w:hAnsi="Times New Roman" w:eastAsia="Times New Roman" w:cs="Times New Roman"/>
          <w:spacing w:val="7"/>
          <w:sz w:val="23"/>
          <w:szCs w:val="23"/>
        </w:rPr>
        <w:t xml:space="preserve">300 </w:t>
      </w:r>
      <w:r>
        <w:rPr>
          <w:rFonts w:ascii="宋体" w:hAnsi="宋体" w:eastAsia="宋体" w:cs="宋体"/>
          <w:spacing w:val="7"/>
          <w:sz w:val="23"/>
          <w:szCs w:val="23"/>
        </w:rPr>
        <w:t>天。</w:t>
      </w:r>
    </w:p>
    <w:p w14:paraId="24660E0C">
      <w:pPr>
        <w:spacing w:before="300" w:line="226" w:lineRule="auto"/>
        <w:ind w:left="18"/>
        <w:outlineLvl w:val="2"/>
        <w:rPr>
          <w:rFonts w:ascii="宋体" w:hAnsi="宋体" w:eastAsia="宋体" w:cs="宋体"/>
          <w:sz w:val="29"/>
          <w:szCs w:val="29"/>
        </w:rPr>
      </w:pPr>
      <w:r>
        <w:rPr>
          <w:rFonts w:ascii="Times New Roman" w:hAnsi="Times New Roman" w:eastAsia="Times New Roman" w:cs="Times New Roman"/>
          <w:b/>
          <w:bCs/>
          <w:spacing w:val="8"/>
          <w:sz w:val="29"/>
          <w:szCs w:val="29"/>
        </w:rPr>
        <w:t>3.1.8</w:t>
      </w:r>
      <w:r>
        <w:rPr>
          <w:rFonts w:ascii="Times New Roman" w:hAnsi="Times New Roman" w:eastAsia="Times New Roman" w:cs="Times New Roman"/>
          <w:spacing w:val="8"/>
          <w:sz w:val="29"/>
          <w:szCs w:val="29"/>
        </w:rPr>
        <w:t xml:space="preserve">  </w:t>
      </w:r>
      <w:r>
        <w:rPr>
          <w:rFonts w:ascii="宋体" w:hAnsi="宋体" w:eastAsia="宋体" w:cs="宋体"/>
          <w:spacing w:val="8"/>
          <w:sz w:val="29"/>
          <w:szCs w:val="29"/>
          <w14:textOutline w14:w="5448" w14:cap="sq" w14:cmpd="sng">
            <w14:solidFill>
              <w14:srgbClr w14:val="000000"/>
            </w14:solidFill>
            <w14:prstDash w14:val="solid"/>
            <w14:bevel/>
          </w14:textOutline>
        </w:rPr>
        <w:t>项目运输方式及运输路</w:t>
      </w:r>
      <w:r>
        <w:rPr>
          <w:rFonts w:ascii="宋体" w:hAnsi="宋体" w:eastAsia="宋体" w:cs="宋体"/>
          <w:spacing w:val="4"/>
          <w:sz w:val="29"/>
          <w:szCs w:val="29"/>
          <w14:textOutline w14:w="5448" w14:cap="sq" w14:cmpd="sng">
            <w14:solidFill>
              <w14:srgbClr w14:val="000000"/>
            </w14:solidFill>
            <w14:prstDash w14:val="solid"/>
            <w14:bevel/>
          </w14:textOutline>
        </w:rPr>
        <w:t>线</w:t>
      </w:r>
    </w:p>
    <w:p w14:paraId="2035BC7C">
      <w:pPr>
        <w:spacing w:before="316" w:line="227" w:lineRule="auto"/>
        <w:ind w:left="506"/>
        <w:rPr>
          <w:rFonts w:ascii="宋体" w:hAnsi="宋体" w:eastAsia="宋体" w:cs="宋体"/>
          <w:sz w:val="23"/>
          <w:szCs w:val="23"/>
        </w:rPr>
      </w:pPr>
      <w:r>
        <w:rPr>
          <w:rFonts w:ascii="宋体" w:hAnsi="宋体" w:eastAsia="宋体" w:cs="宋体"/>
          <w:spacing w:val="9"/>
          <w:sz w:val="23"/>
          <w:szCs w:val="23"/>
        </w:rPr>
        <w:t>厂区西侧紧邻沈本线，输方式采用汽车，运输方便。</w:t>
      </w:r>
    </w:p>
    <w:p w14:paraId="3EAAA190">
      <w:pPr>
        <w:spacing w:before="284" w:line="225" w:lineRule="auto"/>
        <w:ind w:left="19"/>
        <w:outlineLvl w:val="1"/>
        <w:rPr>
          <w:rFonts w:ascii="宋体" w:hAnsi="宋体" w:eastAsia="宋体" w:cs="宋体"/>
          <w:sz w:val="31"/>
          <w:szCs w:val="31"/>
        </w:rPr>
      </w:pPr>
      <w:bookmarkStart w:id="16" w:name="_bookmark17"/>
      <w:bookmarkEnd w:id="16"/>
      <w:r>
        <w:rPr>
          <w:rFonts w:ascii="Times New Roman" w:hAnsi="Times New Roman" w:eastAsia="Times New Roman" w:cs="Times New Roman"/>
          <w:b/>
          <w:bCs/>
          <w:spacing w:val="7"/>
          <w:sz w:val="31"/>
          <w:szCs w:val="31"/>
        </w:rPr>
        <w:t>3</w:t>
      </w:r>
      <w:r>
        <w:rPr>
          <w:rFonts w:ascii="Times New Roman" w:hAnsi="Times New Roman" w:eastAsia="Times New Roman" w:cs="Times New Roman"/>
          <w:b/>
          <w:bCs/>
          <w:spacing w:val="6"/>
          <w:sz w:val="31"/>
          <w:szCs w:val="31"/>
        </w:rPr>
        <w:t>.2</w:t>
      </w:r>
      <w:r>
        <w:rPr>
          <w:rFonts w:ascii="Times New Roman" w:hAnsi="Times New Roman" w:eastAsia="Times New Roman" w:cs="Times New Roman"/>
          <w:spacing w:val="6"/>
          <w:sz w:val="31"/>
          <w:szCs w:val="31"/>
        </w:rPr>
        <w:t xml:space="preserve">  </w:t>
      </w:r>
      <w:r>
        <w:rPr>
          <w:rFonts w:ascii="宋体" w:hAnsi="宋体" w:eastAsia="宋体" w:cs="宋体"/>
          <w:spacing w:val="6"/>
          <w:sz w:val="31"/>
          <w:szCs w:val="31"/>
          <w14:textOutline w14:w="5793" w14:cap="sq" w14:cmpd="sng">
            <w14:solidFill>
              <w14:srgbClr w14:val="000000"/>
            </w14:solidFill>
            <w14:prstDash w14:val="solid"/>
            <w14:bevel/>
          </w14:textOutline>
        </w:rPr>
        <w:t>工程分析</w:t>
      </w:r>
    </w:p>
    <w:p w14:paraId="4FF4C62F">
      <w:pPr>
        <w:spacing w:before="274" w:line="226" w:lineRule="auto"/>
        <w:ind w:left="18"/>
        <w:outlineLvl w:val="2"/>
        <w:rPr>
          <w:rFonts w:ascii="宋体" w:hAnsi="宋体" w:eastAsia="宋体" w:cs="宋体"/>
          <w:sz w:val="29"/>
          <w:szCs w:val="29"/>
        </w:rPr>
      </w:pPr>
      <w:r>
        <w:rPr>
          <w:rFonts w:ascii="Times New Roman" w:hAnsi="Times New Roman" w:eastAsia="Times New Roman" w:cs="Times New Roman"/>
          <w:b/>
          <w:bCs/>
          <w:spacing w:val="7"/>
          <w:sz w:val="29"/>
          <w:szCs w:val="29"/>
        </w:rPr>
        <w:t>3.2.1</w:t>
      </w:r>
      <w:r>
        <w:rPr>
          <w:rFonts w:ascii="Times New Roman" w:hAnsi="Times New Roman" w:eastAsia="Times New Roman" w:cs="Times New Roman"/>
          <w:spacing w:val="7"/>
          <w:sz w:val="29"/>
          <w:szCs w:val="29"/>
        </w:rPr>
        <w:t xml:space="preserve">  </w:t>
      </w:r>
      <w:r>
        <w:rPr>
          <w:rFonts w:ascii="宋体" w:hAnsi="宋体" w:eastAsia="宋体" w:cs="宋体"/>
          <w:spacing w:val="7"/>
          <w:sz w:val="29"/>
          <w:szCs w:val="29"/>
          <w14:textOutline w14:w="5448" w14:cap="sq" w14:cmpd="sng">
            <w14:solidFill>
              <w14:srgbClr w14:val="000000"/>
            </w14:solidFill>
            <w14:prstDash w14:val="solid"/>
            <w14:bevel/>
          </w14:textOutline>
        </w:rPr>
        <w:t>施工期工程分</w:t>
      </w:r>
      <w:r>
        <w:rPr>
          <w:rFonts w:ascii="宋体" w:hAnsi="宋体" w:eastAsia="宋体" w:cs="宋体"/>
          <w:spacing w:val="5"/>
          <w:sz w:val="29"/>
          <w:szCs w:val="29"/>
          <w14:textOutline w14:w="5448" w14:cap="sq" w14:cmpd="sng">
            <w14:solidFill>
              <w14:srgbClr w14:val="000000"/>
            </w14:solidFill>
            <w14:prstDash w14:val="solid"/>
            <w14:bevel/>
          </w14:textOutline>
        </w:rPr>
        <w:t>析</w:t>
      </w:r>
    </w:p>
    <w:p w14:paraId="19F05E70">
      <w:pPr>
        <w:spacing w:before="297" w:line="221" w:lineRule="auto"/>
        <w:ind w:left="18"/>
        <w:outlineLvl w:val="1"/>
        <w:rPr>
          <w:rFonts w:ascii="宋体" w:hAnsi="宋体" w:eastAsia="宋体" w:cs="宋体"/>
          <w:sz w:val="28"/>
          <w:szCs w:val="28"/>
        </w:rPr>
      </w:pPr>
      <w:r>
        <w:rPr>
          <w:rFonts w:ascii="Times New Roman" w:hAnsi="Times New Roman" w:eastAsia="Times New Roman" w:cs="Times New Roman"/>
          <w:b/>
          <w:bCs/>
          <w:spacing w:val="10"/>
          <w:sz w:val="28"/>
          <w:szCs w:val="28"/>
        </w:rPr>
        <w:t>3</w:t>
      </w:r>
      <w:r>
        <w:rPr>
          <w:rFonts w:ascii="Times New Roman" w:hAnsi="Times New Roman" w:eastAsia="Times New Roman" w:cs="Times New Roman"/>
          <w:b/>
          <w:bCs/>
          <w:spacing w:val="8"/>
          <w:sz w:val="28"/>
          <w:szCs w:val="28"/>
        </w:rPr>
        <w:t>.2.2.1</w:t>
      </w:r>
      <w:r>
        <w:rPr>
          <w:rFonts w:ascii="Times New Roman" w:hAnsi="Times New Roman" w:eastAsia="Times New Roman" w:cs="Times New Roman"/>
          <w:spacing w:val="8"/>
          <w:sz w:val="28"/>
          <w:szCs w:val="28"/>
        </w:rPr>
        <w:t xml:space="preserve">  </w:t>
      </w:r>
      <w:r>
        <w:rPr>
          <w:rFonts w:ascii="宋体" w:hAnsi="宋体" w:eastAsia="宋体" w:cs="宋体"/>
          <w:spacing w:val="8"/>
          <w:sz w:val="28"/>
          <w:szCs w:val="28"/>
          <w14:textOutline w14:w="5103" w14:cap="sq" w14:cmpd="sng">
            <w14:solidFill>
              <w14:srgbClr w14:val="000000"/>
            </w14:solidFill>
            <w14:prstDash w14:val="solid"/>
            <w14:bevel/>
          </w14:textOutline>
        </w:rPr>
        <w:t>施工期工艺流程</w:t>
      </w:r>
    </w:p>
    <w:p w14:paraId="2E2B03B9">
      <w:pPr>
        <w:spacing w:line="260" w:lineRule="auto"/>
        <w:rPr>
          <w:rFonts w:ascii="Arial"/>
          <w:sz w:val="21"/>
        </w:rPr>
      </w:pPr>
    </w:p>
    <w:p w14:paraId="15FACC74">
      <w:pPr>
        <w:spacing w:before="74" w:line="480" w:lineRule="exact"/>
        <w:ind w:left="612"/>
        <w:rPr>
          <w:rFonts w:ascii="宋体" w:hAnsi="宋体" w:eastAsia="宋体" w:cs="宋体"/>
          <w:sz w:val="23"/>
          <w:szCs w:val="23"/>
        </w:rPr>
      </w:pPr>
      <w:r>
        <w:rPr>
          <w:rFonts w:ascii="宋体" w:hAnsi="宋体" w:eastAsia="宋体" w:cs="宋体"/>
          <w:spacing w:val="11"/>
          <w:position w:val="18"/>
          <w:sz w:val="23"/>
          <w:szCs w:val="23"/>
        </w:rPr>
        <w:t>该项目施工期需对闲置办公用房进行翻新，并将原来生产厂房扩建，同</w:t>
      </w:r>
      <w:r>
        <w:rPr>
          <w:rFonts w:ascii="宋体" w:hAnsi="宋体" w:eastAsia="宋体" w:cs="宋体"/>
          <w:spacing w:val="6"/>
          <w:position w:val="18"/>
          <w:sz w:val="23"/>
          <w:szCs w:val="23"/>
        </w:rPr>
        <w:t>时</w:t>
      </w:r>
    </w:p>
    <w:p w14:paraId="60C268BE">
      <w:pPr>
        <w:spacing w:before="1" w:line="227" w:lineRule="auto"/>
        <w:ind w:left="23"/>
        <w:rPr>
          <w:rFonts w:ascii="宋体" w:hAnsi="宋体" w:eastAsia="宋体" w:cs="宋体"/>
          <w:sz w:val="23"/>
          <w:szCs w:val="23"/>
        </w:rPr>
      </w:pPr>
      <w:r>
        <w:rPr>
          <w:rFonts w:ascii="宋体" w:hAnsi="宋体" w:eastAsia="宋体" w:cs="宋体"/>
          <w:spacing w:val="2"/>
          <w:sz w:val="23"/>
          <w:szCs w:val="23"/>
        </w:rPr>
        <w:t xml:space="preserve">做好厂区防渗处理，则生产厂房涉及土建工程，施工期工艺流程如下图 </w:t>
      </w:r>
      <w:r>
        <w:rPr>
          <w:rFonts w:ascii="Times New Roman" w:hAnsi="Times New Roman" w:eastAsia="Times New Roman" w:cs="Times New Roman"/>
          <w:spacing w:val="2"/>
          <w:sz w:val="23"/>
          <w:szCs w:val="23"/>
        </w:rPr>
        <w:t xml:space="preserve">3-2 </w:t>
      </w:r>
      <w:r>
        <w:rPr>
          <w:rFonts w:ascii="宋体" w:hAnsi="宋体" w:eastAsia="宋体" w:cs="宋体"/>
          <w:spacing w:val="2"/>
          <w:sz w:val="23"/>
          <w:szCs w:val="23"/>
        </w:rPr>
        <w:t>所示。</w:t>
      </w:r>
    </w:p>
    <w:p w14:paraId="0A61BC26">
      <w:pPr>
        <w:spacing w:line="120" w:lineRule="exact"/>
      </w:pPr>
    </w:p>
    <w:tbl>
      <w:tblPr>
        <w:tblStyle w:val="4"/>
        <w:tblW w:w="1821" w:type="dxa"/>
        <w:tblInd w:w="2855" w:type="dxa"/>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1821"/>
      </w:tblGrid>
      <w:tr w14:paraId="3D303CEC">
        <w:tblPrEx>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CellMar>
            <w:top w:w="0" w:type="dxa"/>
            <w:left w:w="0" w:type="dxa"/>
            <w:bottom w:w="0" w:type="dxa"/>
            <w:right w:w="0" w:type="dxa"/>
          </w:tblCellMar>
        </w:tblPrEx>
        <w:trPr>
          <w:trHeight w:val="423" w:hRule="atLeast"/>
        </w:trPr>
        <w:tc>
          <w:tcPr>
            <w:tcW w:w="1821" w:type="dxa"/>
            <w:vAlign w:val="top"/>
          </w:tcPr>
          <w:p w14:paraId="73C49A83">
            <w:pPr>
              <w:spacing w:before="100" w:line="228" w:lineRule="auto"/>
              <w:ind w:left="426"/>
              <w:rPr>
                <w:rFonts w:ascii="宋体" w:hAnsi="宋体" w:eastAsia="宋体" w:cs="宋体"/>
                <w:sz w:val="23"/>
                <w:szCs w:val="23"/>
              </w:rPr>
            </w:pPr>
            <w:r>
              <w:rPr>
                <w:rFonts w:ascii="宋体" w:hAnsi="宋体" w:eastAsia="宋体" w:cs="宋体"/>
                <w:spacing w:val="8"/>
                <w:sz w:val="23"/>
                <w:szCs w:val="23"/>
              </w:rPr>
              <w:t>平整场</w:t>
            </w:r>
            <w:r>
              <w:rPr>
                <w:rFonts w:ascii="宋体" w:hAnsi="宋体" w:eastAsia="宋体" w:cs="宋体"/>
                <w:spacing w:val="7"/>
                <w:sz w:val="23"/>
                <w:szCs w:val="23"/>
              </w:rPr>
              <w:t>地</w:t>
            </w:r>
          </w:p>
        </w:tc>
      </w:tr>
    </w:tbl>
    <w:p w14:paraId="63C172DC">
      <w:pPr>
        <w:spacing w:line="261" w:lineRule="exact"/>
        <w:ind w:firstLine="3725"/>
        <w:textAlignment w:val="center"/>
      </w:pPr>
      <w:r>
        <w:drawing>
          <wp:inline distT="0" distB="0" distL="0" distR="0">
            <wp:extent cx="50800" cy="165735"/>
            <wp:effectExtent l="0" t="0" r="0" b="0"/>
            <wp:docPr id="63" name="IM 63"/>
            <wp:cNvGraphicFramePr/>
            <a:graphic xmlns:a="http://schemas.openxmlformats.org/drawingml/2006/main">
              <a:graphicData uri="http://schemas.openxmlformats.org/drawingml/2006/picture">
                <pic:pic xmlns:pic="http://schemas.openxmlformats.org/drawingml/2006/picture">
                  <pic:nvPicPr>
                    <pic:cNvPr id="63" name="IM 63"/>
                    <pic:cNvPicPr/>
                  </pic:nvPicPr>
                  <pic:blipFill>
                    <a:blip r:embed="rId449"/>
                    <a:stretch>
                      <a:fillRect/>
                    </a:stretch>
                  </pic:blipFill>
                  <pic:spPr>
                    <a:xfrm>
                      <a:off x="0" y="0"/>
                      <a:ext cx="50800" cy="166071"/>
                    </a:xfrm>
                    <a:prstGeom prst="rect">
                      <a:avLst/>
                    </a:prstGeom>
                  </pic:spPr>
                </pic:pic>
              </a:graphicData>
            </a:graphic>
          </wp:inline>
        </w:drawing>
      </w:r>
    </w:p>
    <w:tbl>
      <w:tblPr>
        <w:tblStyle w:val="4"/>
        <w:tblW w:w="1821" w:type="dxa"/>
        <w:tblInd w:w="2855" w:type="dxa"/>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1821"/>
      </w:tblGrid>
      <w:tr w14:paraId="28CA366E">
        <w:tblPrEx>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CellMar>
            <w:top w:w="0" w:type="dxa"/>
            <w:left w:w="0" w:type="dxa"/>
            <w:bottom w:w="0" w:type="dxa"/>
            <w:right w:w="0" w:type="dxa"/>
          </w:tblCellMar>
        </w:tblPrEx>
        <w:trPr>
          <w:trHeight w:val="404" w:hRule="atLeast"/>
        </w:trPr>
        <w:tc>
          <w:tcPr>
            <w:tcW w:w="1821" w:type="dxa"/>
            <w:vAlign w:val="top"/>
          </w:tcPr>
          <w:p w14:paraId="3CD6E0DE">
            <w:pPr>
              <w:spacing w:before="80" w:line="227" w:lineRule="auto"/>
              <w:ind w:left="428"/>
              <w:rPr>
                <w:rFonts w:ascii="宋体" w:hAnsi="宋体" w:eastAsia="宋体" w:cs="宋体"/>
                <w:sz w:val="23"/>
                <w:szCs w:val="23"/>
              </w:rPr>
            </w:pPr>
            <w:r>
              <w:rPr>
                <w:rFonts w:ascii="宋体" w:hAnsi="宋体" w:eastAsia="宋体" w:cs="宋体"/>
                <w:spacing w:val="8"/>
                <w:sz w:val="23"/>
                <w:szCs w:val="23"/>
              </w:rPr>
              <w:t>开</w:t>
            </w:r>
            <w:r>
              <w:rPr>
                <w:rFonts w:ascii="宋体" w:hAnsi="宋体" w:eastAsia="宋体" w:cs="宋体"/>
                <w:spacing w:val="7"/>
                <w:sz w:val="23"/>
                <w:szCs w:val="23"/>
              </w:rPr>
              <w:t>挖基槽</w:t>
            </w:r>
          </w:p>
        </w:tc>
      </w:tr>
    </w:tbl>
    <w:p w14:paraId="0BA876D7">
      <w:pPr>
        <w:spacing w:before="19" w:line="278" w:lineRule="exact"/>
        <w:ind w:firstLine="3725"/>
        <w:textAlignment w:val="center"/>
      </w:pPr>
      <w:r>
        <w:drawing>
          <wp:inline distT="0" distB="0" distL="0" distR="0">
            <wp:extent cx="50800" cy="175895"/>
            <wp:effectExtent l="0" t="0" r="0" b="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450"/>
                    <a:stretch>
                      <a:fillRect/>
                    </a:stretch>
                  </pic:blipFill>
                  <pic:spPr>
                    <a:xfrm>
                      <a:off x="0" y="0"/>
                      <a:ext cx="50800" cy="176091"/>
                    </a:xfrm>
                    <a:prstGeom prst="rect">
                      <a:avLst/>
                    </a:prstGeom>
                  </pic:spPr>
                </pic:pic>
              </a:graphicData>
            </a:graphic>
          </wp:inline>
        </w:drawing>
      </w:r>
    </w:p>
    <w:tbl>
      <w:tblPr>
        <w:tblStyle w:val="4"/>
        <w:tblW w:w="1821" w:type="dxa"/>
        <w:tblInd w:w="2855" w:type="dxa"/>
        <w:tblBorders>
          <w:top w:val="single" w:color="000000" w:sz="8"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1821"/>
      </w:tblGrid>
      <w:tr w14:paraId="7D75DDCC">
        <w:tblPrEx>
          <w:tblBorders>
            <w:top w:val="single" w:color="000000" w:sz="8" w:space="0"/>
            <w:left w:val="single" w:color="000000" w:sz="10" w:space="0"/>
            <w:bottom w:val="single" w:color="000000" w:sz="10" w:space="0"/>
            <w:right w:val="single" w:color="000000" w:sz="10" w:space="0"/>
            <w:insideH w:val="none" w:color="auto" w:sz="0" w:space="0"/>
            <w:insideV w:val="none" w:color="auto" w:sz="0" w:space="0"/>
          </w:tblBorders>
          <w:tblCellMar>
            <w:top w:w="0" w:type="dxa"/>
            <w:left w:w="0" w:type="dxa"/>
            <w:bottom w:w="0" w:type="dxa"/>
            <w:right w:w="0" w:type="dxa"/>
          </w:tblCellMar>
        </w:tblPrEx>
        <w:trPr>
          <w:trHeight w:val="423" w:hRule="atLeast"/>
        </w:trPr>
        <w:tc>
          <w:tcPr>
            <w:tcW w:w="1821" w:type="dxa"/>
            <w:vAlign w:val="top"/>
          </w:tcPr>
          <w:p w14:paraId="612FB493">
            <w:pPr>
              <w:spacing w:before="99" w:line="228" w:lineRule="auto"/>
              <w:ind w:left="427"/>
              <w:rPr>
                <w:rFonts w:ascii="宋体" w:hAnsi="宋体" w:eastAsia="宋体" w:cs="宋体"/>
                <w:sz w:val="23"/>
                <w:szCs w:val="23"/>
              </w:rPr>
            </w:pPr>
            <w:r>
              <w:rPr>
                <w:rFonts w:ascii="宋体" w:hAnsi="宋体" w:eastAsia="宋体" w:cs="宋体"/>
                <w:spacing w:val="9"/>
                <w:sz w:val="23"/>
                <w:szCs w:val="23"/>
              </w:rPr>
              <w:t>基</w:t>
            </w:r>
            <w:r>
              <w:rPr>
                <w:rFonts w:ascii="宋体" w:hAnsi="宋体" w:eastAsia="宋体" w:cs="宋体"/>
                <w:spacing w:val="7"/>
                <w:sz w:val="23"/>
                <w:szCs w:val="23"/>
              </w:rPr>
              <w:t>础砌筑</w:t>
            </w:r>
          </w:p>
        </w:tc>
      </w:tr>
    </w:tbl>
    <w:p w14:paraId="71CD1C95">
      <w:pPr>
        <w:spacing w:before="6" w:line="269" w:lineRule="exact"/>
        <w:ind w:firstLine="3725"/>
        <w:textAlignment w:val="center"/>
      </w:pPr>
      <w:r>
        <w:drawing>
          <wp:inline distT="0" distB="0" distL="0" distR="0">
            <wp:extent cx="50800" cy="170180"/>
            <wp:effectExtent l="0" t="0" r="0" b="0"/>
            <wp:docPr id="65" name="IM 65"/>
            <wp:cNvGraphicFramePr/>
            <a:graphic xmlns:a="http://schemas.openxmlformats.org/drawingml/2006/main">
              <a:graphicData uri="http://schemas.openxmlformats.org/drawingml/2006/picture">
                <pic:pic xmlns:pic="http://schemas.openxmlformats.org/drawingml/2006/picture">
                  <pic:nvPicPr>
                    <pic:cNvPr id="65" name="IM 65"/>
                    <pic:cNvPicPr/>
                  </pic:nvPicPr>
                  <pic:blipFill>
                    <a:blip r:embed="rId451"/>
                    <a:stretch>
                      <a:fillRect/>
                    </a:stretch>
                  </pic:blipFill>
                  <pic:spPr>
                    <a:xfrm>
                      <a:off x="0" y="0"/>
                      <a:ext cx="50800" cy="170694"/>
                    </a:xfrm>
                    <a:prstGeom prst="rect">
                      <a:avLst/>
                    </a:prstGeom>
                  </pic:spPr>
                </pic:pic>
              </a:graphicData>
            </a:graphic>
          </wp:inline>
        </w:drawing>
      </w:r>
    </w:p>
    <w:tbl>
      <w:tblPr>
        <w:tblStyle w:val="4"/>
        <w:tblW w:w="1821" w:type="dxa"/>
        <w:tblInd w:w="2855" w:type="dxa"/>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1821"/>
      </w:tblGrid>
      <w:tr w14:paraId="05E68CC4">
        <w:tblPrEx>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PrEx>
        <w:trPr>
          <w:trHeight w:val="405" w:hRule="atLeast"/>
        </w:trPr>
        <w:tc>
          <w:tcPr>
            <w:tcW w:w="1821" w:type="dxa"/>
            <w:vAlign w:val="top"/>
          </w:tcPr>
          <w:p w14:paraId="5BD99F6E">
            <w:pPr>
              <w:spacing w:before="84" w:line="229" w:lineRule="auto"/>
              <w:ind w:left="428"/>
              <w:rPr>
                <w:rFonts w:ascii="宋体" w:hAnsi="宋体" w:eastAsia="宋体" w:cs="宋体"/>
                <w:sz w:val="23"/>
                <w:szCs w:val="23"/>
              </w:rPr>
            </w:pPr>
            <w:r>
              <w:rPr>
                <w:rFonts w:ascii="宋体" w:hAnsi="宋体" w:eastAsia="宋体" w:cs="宋体"/>
                <w:spacing w:val="7"/>
                <w:sz w:val="23"/>
                <w:szCs w:val="23"/>
              </w:rPr>
              <w:t>主体施工</w:t>
            </w:r>
          </w:p>
        </w:tc>
      </w:tr>
    </w:tbl>
    <w:p w14:paraId="037289BB">
      <w:pPr>
        <w:spacing w:line="263" w:lineRule="exact"/>
        <w:ind w:firstLine="3725"/>
        <w:textAlignment w:val="center"/>
      </w:pPr>
      <w:r>
        <w:drawing>
          <wp:inline distT="0" distB="0" distL="0" distR="0">
            <wp:extent cx="50800" cy="166370"/>
            <wp:effectExtent l="0" t="0" r="0" b="0"/>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451"/>
                    <a:stretch>
                      <a:fillRect/>
                    </a:stretch>
                  </pic:blipFill>
                  <pic:spPr>
                    <a:xfrm>
                      <a:off x="0" y="0"/>
                      <a:ext cx="50800" cy="166706"/>
                    </a:xfrm>
                    <a:prstGeom prst="rect">
                      <a:avLst/>
                    </a:prstGeom>
                  </pic:spPr>
                </pic:pic>
              </a:graphicData>
            </a:graphic>
          </wp:inline>
        </w:drawing>
      </w:r>
    </w:p>
    <w:tbl>
      <w:tblPr>
        <w:tblStyle w:val="4"/>
        <w:tblW w:w="1821" w:type="dxa"/>
        <w:tblInd w:w="2855" w:type="dxa"/>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1821"/>
      </w:tblGrid>
      <w:tr w14:paraId="4345F306">
        <w:tblPrEx>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PrEx>
        <w:trPr>
          <w:trHeight w:val="389" w:hRule="atLeast"/>
        </w:trPr>
        <w:tc>
          <w:tcPr>
            <w:tcW w:w="1821" w:type="dxa"/>
            <w:vAlign w:val="top"/>
          </w:tcPr>
          <w:p w14:paraId="238E6665">
            <w:pPr>
              <w:spacing w:before="82" w:line="228" w:lineRule="auto"/>
              <w:ind w:left="430"/>
              <w:rPr>
                <w:rFonts w:ascii="宋体" w:hAnsi="宋体" w:eastAsia="宋体" w:cs="宋体"/>
                <w:sz w:val="23"/>
                <w:szCs w:val="23"/>
              </w:rPr>
            </w:pPr>
            <w:r>
              <w:rPr>
                <w:rFonts w:ascii="宋体" w:hAnsi="宋体" w:eastAsia="宋体" w:cs="宋体"/>
                <w:spacing w:val="8"/>
                <w:sz w:val="23"/>
                <w:szCs w:val="23"/>
              </w:rPr>
              <w:t>设</w:t>
            </w:r>
            <w:r>
              <w:rPr>
                <w:rFonts w:ascii="宋体" w:hAnsi="宋体" w:eastAsia="宋体" w:cs="宋体"/>
                <w:spacing w:val="6"/>
                <w:sz w:val="23"/>
                <w:szCs w:val="23"/>
              </w:rPr>
              <w:t>备安装</w:t>
            </w:r>
          </w:p>
        </w:tc>
      </w:tr>
    </w:tbl>
    <w:p w14:paraId="6610B321">
      <w:pPr>
        <w:spacing w:line="263" w:lineRule="exact"/>
        <w:ind w:firstLine="3725"/>
        <w:textAlignment w:val="center"/>
      </w:pPr>
      <w:r>
        <w:drawing>
          <wp:inline distT="0" distB="0" distL="0" distR="0">
            <wp:extent cx="50800" cy="167005"/>
            <wp:effectExtent l="0" t="0" r="0" b="0"/>
            <wp:docPr id="67" name="IM 67"/>
            <wp:cNvGraphicFramePr/>
            <a:graphic xmlns:a="http://schemas.openxmlformats.org/drawingml/2006/main">
              <a:graphicData uri="http://schemas.openxmlformats.org/drawingml/2006/picture">
                <pic:pic xmlns:pic="http://schemas.openxmlformats.org/drawingml/2006/picture">
                  <pic:nvPicPr>
                    <pic:cNvPr id="67" name="IM 67"/>
                    <pic:cNvPicPr/>
                  </pic:nvPicPr>
                  <pic:blipFill>
                    <a:blip r:embed="rId452"/>
                    <a:stretch>
                      <a:fillRect/>
                    </a:stretch>
                  </pic:blipFill>
                  <pic:spPr>
                    <a:xfrm>
                      <a:off x="0" y="0"/>
                      <a:ext cx="50800" cy="167023"/>
                    </a:xfrm>
                    <a:prstGeom prst="rect">
                      <a:avLst/>
                    </a:prstGeom>
                  </pic:spPr>
                </pic:pic>
              </a:graphicData>
            </a:graphic>
          </wp:inline>
        </w:drawing>
      </w:r>
    </w:p>
    <w:tbl>
      <w:tblPr>
        <w:tblStyle w:val="4"/>
        <w:tblW w:w="1821" w:type="dxa"/>
        <w:tblInd w:w="2855" w:type="dxa"/>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1821"/>
      </w:tblGrid>
      <w:tr w14:paraId="5AA81241">
        <w:tblPrEx>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PrEx>
        <w:trPr>
          <w:trHeight w:val="421" w:hRule="atLeast"/>
        </w:trPr>
        <w:tc>
          <w:tcPr>
            <w:tcW w:w="1821" w:type="dxa"/>
            <w:vAlign w:val="top"/>
          </w:tcPr>
          <w:p w14:paraId="64C51292">
            <w:pPr>
              <w:spacing w:before="96" w:line="228" w:lineRule="auto"/>
              <w:ind w:left="187"/>
              <w:rPr>
                <w:rFonts w:ascii="宋体" w:hAnsi="宋体" w:eastAsia="宋体" w:cs="宋体"/>
                <w:sz w:val="23"/>
                <w:szCs w:val="23"/>
              </w:rPr>
            </w:pPr>
            <w:r>
              <w:rPr>
                <w:rFonts w:ascii="宋体" w:hAnsi="宋体" w:eastAsia="宋体" w:cs="宋体"/>
                <w:spacing w:val="10"/>
                <w:sz w:val="23"/>
                <w:szCs w:val="23"/>
              </w:rPr>
              <w:t>配</w:t>
            </w:r>
            <w:r>
              <w:rPr>
                <w:rFonts w:ascii="宋体" w:hAnsi="宋体" w:eastAsia="宋体" w:cs="宋体"/>
                <w:spacing w:val="8"/>
                <w:sz w:val="23"/>
                <w:szCs w:val="23"/>
              </w:rPr>
              <w:t>套设施施工</w:t>
            </w:r>
          </w:p>
        </w:tc>
      </w:tr>
    </w:tbl>
    <w:p w14:paraId="54ACC06F">
      <w:pPr>
        <w:spacing w:line="273" w:lineRule="exact"/>
        <w:ind w:firstLine="3725"/>
        <w:textAlignment w:val="center"/>
      </w:pPr>
      <w:r>
        <w:drawing>
          <wp:inline distT="0" distB="0" distL="0" distR="0">
            <wp:extent cx="50800" cy="173355"/>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451"/>
                    <a:stretch>
                      <a:fillRect/>
                    </a:stretch>
                  </pic:blipFill>
                  <pic:spPr>
                    <a:xfrm>
                      <a:off x="0" y="0"/>
                      <a:ext cx="50800" cy="173690"/>
                    </a:xfrm>
                    <a:prstGeom prst="rect">
                      <a:avLst/>
                    </a:prstGeom>
                  </pic:spPr>
                </pic:pic>
              </a:graphicData>
            </a:graphic>
          </wp:inline>
        </w:drawing>
      </w:r>
    </w:p>
    <w:tbl>
      <w:tblPr>
        <w:tblStyle w:val="4"/>
        <w:tblW w:w="1821" w:type="dxa"/>
        <w:tblInd w:w="2855" w:type="dxa"/>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1821"/>
      </w:tblGrid>
      <w:tr w14:paraId="5ABA4DFF">
        <w:tblPrEx>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CellMar>
            <w:top w:w="0" w:type="dxa"/>
            <w:left w:w="0" w:type="dxa"/>
            <w:bottom w:w="0" w:type="dxa"/>
            <w:right w:w="0" w:type="dxa"/>
          </w:tblCellMar>
        </w:tblPrEx>
        <w:trPr>
          <w:trHeight w:val="416" w:hRule="atLeast"/>
        </w:trPr>
        <w:tc>
          <w:tcPr>
            <w:tcW w:w="1821" w:type="dxa"/>
            <w:vAlign w:val="top"/>
          </w:tcPr>
          <w:p w14:paraId="033085D8">
            <w:pPr>
              <w:spacing w:before="91" w:line="227" w:lineRule="auto"/>
              <w:ind w:left="428"/>
              <w:rPr>
                <w:rFonts w:ascii="宋体" w:hAnsi="宋体" w:eastAsia="宋体" w:cs="宋体"/>
                <w:sz w:val="23"/>
                <w:szCs w:val="23"/>
              </w:rPr>
            </w:pPr>
            <w:r>
              <w:rPr>
                <w:rFonts w:ascii="宋体" w:hAnsi="宋体" w:eastAsia="宋体" w:cs="宋体"/>
                <w:spacing w:val="8"/>
                <w:sz w:val="23"/>
                <w:szCs w:val="23"/>
              </w:rPr>
              <w:t>竣</w:t>
            </w:r>
            <w:r>
              <w:rPr>
                <w:rFonts w:ascii="宋体" w:hAnsi="宋体" w:eastAsia="宋体" w:cs="宋体"/>
                <w:spacing w:val="7"/>
                <w:sz w:val="23"/>
                <w:szCs w:val="23"/>
              </w:rPr>
              <w:t>工使用</w:t>
            </w:r>
          </w:p>
        </w:tc>
      </w:tr>
    </w:tbl>
    <w:p w14:paraId="4D06885B">
      <w:pPr>
        <w:rPr>
          <w:rFonts w:ascii="Arial"/>
          <w:sz w:val="21"/>
        </w:rPr>
      </w:pPr>
    </w:p>
    <w:p w14:paraId="4A527ACE">
      <w:pPr>
        <w:spacing w:before="75" w:line="228" w:lineRule="auto"/>
        <w:ind w:left="2329"/>
        <w:rPr>
          <w:rFonts w:ascii="宋体" w:hAnsi="宋体" w:eastAsia="宋体" w:cs="宋体"/>
          <w:sz w:val="23"/>
          <w:szCs w:val="23"/>
        </w:rPr>
      </w:pPr>
      <w:r>
        <w:rPr>
          <w:rFonts w:ascii="宋体" w:hAnsi="宋体" w:eastAsia="宋体" w:cs="宋体"/>
          <w:spacing w:val="6"/>
          <w:sz w:val="23"/>
          <w:szCs w:val="23"/>
          <w14:textOutline w14:w="4358" w14:cap="sq" w14:cmpd="sng">
            <w14:solidFill>
              <w14:srgbClr w14:val="000000"/>
            </w14:solidFill>
            <w14:prstDash w14:val="solid"/>
            <w14:bevel/>
          </w14:textOutline>
        </w:rPr>
        <w:t>图</w:t>
      </w:r>
      <w:r>
        <w:rPr>
          <w:rFonts w:ascii="宋体" w:hAnsi="宋体" w:eastAsia="宋体" w:cs="宋体"/>
          <w:spacing w:val="4"/>
          <w:sz w:val="23"/>
          <w:szCs w:val="23"/>
        </w:rPr>
        <w:t xml:space="preserve"> </w:t>
      </w:r>
      <w:r>
        <w:rPr>
          <w:rFonts w:ascii="Times New Roman" w:hAnsi="Times New Roman" w:eastAsia="Times New Roman" w:cs="Times New Roman"/>
          <w:b/>
          <w:bCs/>
          <w:spacing w:val="3"/>
          <w:sz w:val="23"/>
          <w:szCs w:val="23"/>
        </w:rPr>
        <w:t>3-2</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14:textOutline w14:w="4358" w14:cap="sq" w14:cmpd="sng">
            <w14:solidFill>
              <w14:srgbClr w14:val="000000"/>
            </w14:solidFill>
            <w14:prstDash w14:val="solid"/>
            <w14:bevel/>
          </w14:textOutline>
        </w:rPr>
        <w:t>施工期工艺及污染节点图</w:t>
      </w:r>
    </w:p>
    <w:p w14:paraId="03049D08">
      <w:pPr>
        <w:spacing w:before="297" w:line="221" w:lineRule="auto"/>
        <w:ind w:left="18"/>
        <w:outlineLvl w:val="2"/>
        <w:rPr>
          <w:rFonts w:ascii="宋体" w:hAnsi="宋体" w:eastAsia="宋体" w:cs="宋体"/>
          <w:sz w:val="28"/>
          <w:szCs w:val="28"/>
        </w:rPr>
      </w:pPr>
      <w:r>
        <w:rPr>
          <w:rFonts w:ascii="Times New Roman" w:hAnsi="Times New Roman" w:eastAsia="Times New Roman" w:cs="Times New Roman"/>
          <w:b/>
          <w:bCs/>
          <w:spacing w:val="9"/>
          <w:sz w:val="28"/>
          <w:szCs w:val="28"/>
        </w:rPr>
        <w:t>3.2.2.2</w:t>
      </w:r>
      <w:r>
        <w:rPr>
          <w:rFonts w:ascii="Times New Roman" w:hAnsi="Times New Roman" w:eastAsia="Times New Roman" w:cs="Times New Roman"/>
          <w:spacing w:val="9"/>
          <w:sz w:val="28"/>
          <w:szCs w:val="28"/>
        </w:rPr>
        <w:t xml:space="preserve"> </w:t>
      </w:r>
      <w:r>
        <w:rPr>
          <w:rFonts w:ascii="宋体" w:hAnsi="宋体" w:eastAsia="宋体" w:cs="宋体"/>
          <w:spacing w:val="9"/>
          <w:sz w:val="28"/>
          <w:szCs w:val="28"/>
          <w14:textOutline w14:w="5103" w14:cap="sq" w14:cmpd="sng">
            <w14:solidFill>
              <w14:srgbClr w14:val="000000"/>
            </w14:solidFill>
            <w14:prstDash w14:val="solid"/>
            <w14:bevel/>
          </w14:textOutline>
        </w:rPr>
        <w:t>施工期污染物排放分</w:t>
      </w:r>
      <w:r>
        <w:rPr>
          <w:rFonts w:ascii="宋体" w:hAnsi="宋体" w:eastAsia="宋体" w:cs="宋体"/>
          <w:spacing w:val="6"/>
          <w:sz w:val="28"/>
          <w:szCs w:val="28"/>
          <w14:textOutline w14:w="5103" w14:cap="sq" w14:cmpd="sng">
            <w14:solidFill>
              <w14:srgbClr w14:val="000000"/>
            </w14:solidFill>
            <w14:prstDash w14:val="solid"/>
            <w14:bevel/>
          </w14:textOutline>
        </w:rPr>
        <w:t>析</w:t>
      </w:r>
    </w:p>
    <w:p w14:paraId="22A113D7">
      <w:pPr>
        <w:spacing w:before="315" w:line="228" w:lineRule="auto"/>
        <w:ind w:left="538"/>
        <w:rPr>
          <w:rFonts w:ascii="宋体" w:hAnsi="宋体" w:eastAsia="宋体" w:cs="宋体"/>
          <w:sz w:val="23"/>
          <w:szCs w:val="23"/>
        </w:rPr>
      </w:pPr>
      <w:r>
        <w:rPr>
          <w:rFonts w:ascii="宋体" w:hAnsi="宋体" w:eastAsia="宋体" w:cs="宋体"/>
          <w:spacing w:val="25"/>
          <w:sz w:val="23"/>
          <w:szCs w:val="23"/>
        </w:rPr>
        <w:t>(</w:t>
      </w:r>
      <w:r>
        <w:rPr>
          <w:rFonts w:ascii="Times New Roman" w:hAnsi="Times New Roman" w:eastAsia="Times New Roman" w:cs="Times New Roman"/>
          <w:spacing w:val="25"/>
          <w:sz w:val="23"/>
          <w:szCs w:val="23"/>
        </w:rPr>
        <w:t>1</w:t>
      </w:r>
      <w:r>
        <w:rPr>
          <w:rFonts w:ascii="宋体" w:hAnsi="宋体" w:eastAsia="宋体" w:cs="宋体"/>
          <w:spacing w:val="25"/>
          <w:sz w:val="23"/>
          <w:szCs w:val="23"/>
        </w:rPr>
        <w:t>) 大气污染源及污染物排放分</w:t>
      </w:r>
      <w:r>
        <w:rPr>
          <w:rFonts w:ascii="宋体" w:hAnsi="宋体" w:eastAsia="宋体" w:cs="宋体"/>
          <w:spacing w:val="21"/>
          <w:sz w:val="23"/>
          <w:szCs w:val="23"/>
        </w:rPr>
        <w:t>析</w:t>
      </w:r>
    </w:p>
    <w:p w14:paraId="12D6E573">
      <w:pPr>
        <w:spacing w:line="255" w:lineRule="auto"/>
        <w:rPr>
          <w:rFonts w:ascii="Arial"/>
          <w:sz w:val="21"/>
        </w:rPr>
      </w:pPr>
    </w:p>
    <w:p w14:paraId="04D4EC5F">
      <w:pPr>
        <w:spacing w:before="75" w:line="375" w:lineRule="auto"/>
        <w:ind w:left="22" w:right="80" w:firstLine="480"/>
        <w:rPr>
          <w:rFonts w:ascii="宋体" w:hAnsi="宋体" w:eastAsia="宋体" w:cs="宋体"/>
          <w:sz w:val="23"/>
          <w:szCs w:val="23"/>
        </w:rPr>
      </w:pPr>
      <w:r>
        <w:rPr>
          <w:rFonts w:ascii="宋体" w:hAnsi="宋体" w:eastAsia="宋体" w:cs="宋体"/>
          <w:spacing w:val="7"/>
          <w:sz w:val="23"/>
          <w:szCs w:val="23"/>
        </w:rPr>
        <w:t>根据项目工程分析，项目施工期大气污染源主要为扬尘源和机动车尾气污</w:t>
      </w:r>
      <w:r>
        <w:rPr>
          <w:rFonts w:ascii="宋体" w:hAnsi="宋体" w:eastAsia="宋体" w:cs="宋体"/>
          <w:spacing w:val="3"/>
          <w:sz w:val="23"/>
          <w:szCs w:val="23"/>
        </w:rPr>
        <w:t>染</w:t>
      </w:r>
      <w:r>
        <w:rPr>
          <w:rFonts w:ascii="宋体" w:hAnsi="宋体" w:eastAsia="宋体" w:cs="宋体"/>
          <w:sz w:val="23"/>
          <w:szCs w:val="23"/>
        </w:rPr>
        <w:t xml:space="preserve"> </w:t>
      </w:r>
      <w:r>
        <w:rPr>
          <w:rFonts w:ascii="宋体" w:hAnsi="宋体" w:eastAsia="宋体" w:cs="宋体"/>
          <w:spacing w:val="9"/>
          <w:sz w:val="23"/>
          <w:szCs w:val="23"/>
        </w:rPr>
        <w:t>源</w:t>
      </w:r>
      <w:r>
        <w:rPr>
          <w:rFonts w:ascii="宋体" w:hAnsi="宋体" w:eastAsia="宋体" w:cs="宋体"/>
          <w:spacing w:val="7"/>
          <w:sz w:val="23"/>
          <w:szCs w:val="23"/>
        </w:rPr>
        <w:t>。扬尘源主要来自土方的挖掘、管沟开挖及回填、运输及现场堆放；建筑材料</w:t>
      </w:r>
      <w:r>
        <w:rPr>
          <w:rFonts w:ascii="宋体" w:hAnsi="宋体" w:eastAsia="宋体" w:cs="宋体"/>
          <w:sz w:val="23"/>
          <w:szCs w:val="23"/>
        </w:rPr>
        <w:t xml:space="preserve"> </w:t>
      </w:r>
      <w:r>
        <w:rPr>
          <w:rFonts w:ascii="宋体" w:hAnsi="宋体" w:eastAsia="宋体" w:cs="宋体"/>
          <w:spacing w:val="9"/>
          <w:sz w:val="23"/>
          <w:szCs w:val="23"/>
        </w:rPr>
        <w:t>的</w:t>
      </w:r>
      <w:r>
        <w:rPr>
          <w:rFonts w:ascii="宋体" w:hAnsi="宋体" w:eastAsia="宋体" w:cs="宋体"/>
          <w:spacing w:val="7"/>
          <w:sz w:val="23"/>
          <w:szCs w:val="23"/>
        </w:rPr>
        <w:t>运输及堆放；施工垃圾的运输及堆放，以及临时施工道路和裸露地面的风致扬</w:t>
      </w:r>
    </w:p>
    <w:p w14:paraId="1470E2EA">
      <w:pPr>
        <w:sectPr>
          <w:headerReference r:id="rId104" w:type="default"/>
          <w:footerReference r:id="rId105" w:type="default"/>
          <w:pgSz w:w="11906" w:h="16839"/>
          <w:pgMar w:top="1132" w:right="1719" w:bottom="1182" w:left="1785" w:header="878" w:footer="1022" w:gutter="0"/>
          <w:cols w:space="720" w:num="1"/>
        </w:sectPr>
      </w:pPr>
    </w:p>
    <w:p w14:paraId="5915E514">
      <w:pPr>
        <w:spacing w:line="392" w:lineRule="auto"/>
        <w:rPr>
          <w:rFonts w:ascii="Arial"/>
          <w:sz w:val="21"/>
        </w:rPr>
      </w:pPr>
      <w:r>
        <w:pict>
          <v:shape id="_x0000_s1149" o:spid="_x0000_s1149" style="position:absolute;left:0pt;margin-left:90pt;margin-top:57.35pt;height:0.75pt;width:415.3pt;mso-position-horizontal-relative:page;mso-position-vertical-relative:page;z-index:251796480;mso-width-relative:page;mso-height-relative:page;" fillcolor="#000000" filled="t" stroked="f" coordsize="8305,15" o:allowincell="f" path="m0,0l8305,0,8305,14,0,14,0,0xe">
            <v:path/>
            <v:fill on="t" focussize="0,0"/>
            <v:stroke on="f"/>
            <v:imagedata o:title=""/>
            <o:lock v:ext="edit"/>
          </v:shape>
        </w:pict>
      </w:r>
    </w:p>
    <w:p w14:paraId="5BA667E1">
      <w:pPr>
        <w:spacing w:before="75" w:line="379" w:lineRule="auto"/>
        <w:ind w:left="118" w:right="107"/>
        <w:rPr>
          <w:rFonts w:ascii="宋体" w:hAnsi="宋体" w:eastAsia="宋体" w:cs="宋体"/>
          <w:sz w:val="23"/>
          <w:szCs w:val="23"/>
        </w:rPr>
      </w:pPr>
      <w:r>
        <w:rPr>
          <w:rFonts w:ascii="宋体" w:hAnsi="宋体" w:eastAsia="宋体" w:cs="宋体"/>
          <w:spacing w:val="20"/>
          <w:sz w:val="23"/>
          <w:szCs w:val="23"/>
        </w:rPr>
        <w:t>尘，</w:t>
      </w:r>
      <w:r>
        <w:rPr>
          <w:rFonts w:ascii="宋体" w:hAnsi="宋体" w:eastAsia="宋体" w:cs="宋体"/>
          <w:spacing w:val="16"/>
          <w:sz w:val="23"/>
          <w:szCs w:val="23"/>
        </w:rPr>
        <w:t>主</w:t>
      </w:r>
      <w:r>
        <w:rPr>
          <w:rFonts w:ascii="宋体" w:hAnsi="宋体" w:eastAsia="宋体" w:cs="宋体"/>
          <w:spacing w:val="10"/>
          <w:sz w:val="23"/>
          <w:szCs w:val="23"/>
        </w:rPr>
        <w:t xml:space="preserve">要污染物是 </w:t>
      </w:r>
      <w:r>
        <w:rPr>
          <w:rFonts w:ascii="Times New Roman" w:hAnsi="Times New Roman" w:eastAsia="Times New Roman" w:cs="Times New Roman"/>
          <w:sz w:val="23"/>
          <w:szCs w:val="23"/>
        </w:rPr>
        <w:t>TSP</w:t>
      </w:r>
      <w:r>
        <w:rPr>
          <w:rFonts w:ascii="Times New Roman" w:hAnsi="Times New Roman" w:eastAsia="Times New Roman" w:cs="Times New Roman"/>
          <w:spacing w:val="10"/>
          <w:sz w:val="23"/>
          <w:szCs w:val="23"/>
        </w:rPr>
        <w:t xml:space="preserve"> </w:t>
      </w:r>
      <w:r>
        <w:rPr>
          <w:rFonts w:ascii="宋体" w:hAnsi="宋体" w:eastAsia="宋体" w:cs="宋体"/>
          <w:spacing w:val="10"/>
          <w:sz w:val="23"/>
          <w:szCs w:val="23"/>
        </w:rPr>
        <w:t>等。机动车尾气污染源主要是施工机械和车辆排放的尾</w:t>
      </w:r>
      <w:r>
        <w:rPr>
          <w:rFonts w:ascii="宋体" w:hAnsi="宋体" w:eastAsia="宋体" w:cs="宋体"/>
          <w:sz w:val="23"/>
          <w:szCs w:val="23"/>
        </w:rPr>
        <w:t xml:space="preserve"> </w:t>
      </w:r>
      <w:r>
        <w:rPr>
          <w:rFonts w:ascii="宋体" w:hAnsi="宋体" w:eastAsia="宋体" w:cs="宋体"/>
          <w:spacing w:val="-1"/>
          <w:sz w:val="23"/>
          <w:szCs w:val="23"/>
        </w:rPr>
        <w:t xml:space="preserve">气，主要污染物是 </w:t>
      </w:r>
      <w:r>
        <w:rPr>
          <w:rFonts w:ascii="Times New Roman" w:hAnsi="Times New Roman" w:eastAsia="Times New Roman" w:cs="Times New Roman"/>
          <w:spacing w:val="-1"/>
          <w:sz w:val="23"/>
          <w:szCs w:val="23"/>
        </w:rPr>
        <w:t>NO</w:t>
      </w:r>
      <w:r>
        <w:rPr>
          <w:rFonts w:ascii="Times New Roman" w:hAnsi="Times New Roman" w:eastAsia="Times New Roman" w:cs="Times New Roman"/>
          <w:spacing w:val="-1"/>
          <w:position w:val="-1"/>
          <w:sz w:val="15"/>
          <w:szCs w:val="15"/>
        </w:rPr>
        <w:t xml:space="preserve">x </w:t>
      </w:r>
      <w:r>
        <w:rPr>
          <w:rFonts w:ascii="宋体" w:hAnsi="宋体" w:eastAsia="宋体" w:cs="宋体"/>
          <w:spacing w:val="-1"/>
          <w:sz w:val="23"/>
          <w:szCs w:val="23"/>
        </w:rPr>
        <w:t>、</w:t>
      </w:r>
      <w:r>
        <w:rPr>
          <w:rFonts w:ascii="Times New Roman" w:hAnsi="Times New Roman" w:eastAsia="Times New Roman" w:cs="Times New Roman"/>
          <w:spacing w:val="-1"/>
          <w:sz w:val="23"/>
          <w:szCs w:val="23"/>
        </w:rPr>
        <w:t>C</w:t>
      </w:r>
      <w:r>
        <w:rPr>
          <w:rFonts w:ascii="Times New Roman" w:hAnsi="Times New Roman" w:eastAsia="Times New Roman" w:cs="Times New Roman"/>
          <w:sz w:val="23"/>
          <w:szCs w:val="23"/>
        </w:rPr>
        <w:t>O</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w:t>
      </w:r>
      <w:r>
        <w:rPr>
          <w:rFonts w:ascii="Times New Roman" w:hAnsi="Times New Roman" w:eastAsia="Times New Roman" w:cs="Times New Roman"/>
          <w:sz w:val="23"/>
          <w:szCs w:val="23"/>
        </w:rPr>
        <w:t>HC</w:t>
      </w:r>
      <w:r>
        <w:rPr>
          <w:rFonts w:ascii="宋体" w:hAnsi="宋体" w:eastAsia="宋体" w:cs="宋体"/>
          <w:spacing w:val="-1"/>
          <w:sz w:val="23"/>
          <w:szCs w:val="23"/>
        </w:rPr>
        <w:t>。</w:t>
      </w:r>
    </w:p>
    <w:p w14:paraId="24EA94A1">
      <w:pPr>
        <w:spacing w:before="133" w:line="225" w:lineRule="auto"/>
        <w:ind w:left="596"/>
        <w:rPr>
          <w:rFonts w:ascii="宋体" w:hAnsi="宋体" w:eastAsia="宋体" w:cs="宋体"/>
          <w:sz w:val="23"/>
          <w:szCs w:val="23"/>
        </w:rPr>
      </w:pPr>
      <w:r>
        <w:rPr>
          <w:rFonts w:ascii="宋体" w:hAnsi="宋体" w:eastAsia="宋体" w:cs="宋体"/>
          <w:spacing w:val="9"/>
          <w:sz w:val="23"/>
          <w:szCs w:val="23"/>
        </w:rPr>
        <w:t>①扬尘排放分</w:t>
      </w:r>
      <w:r>
        <w:rPr>
          <w:rFonts w:ascii="宋体" w:hAnsi="宋体" w:eastAsia="宋体" w:cs="宋体"/>
          <w:spacing w:val="7"/>
          <w:sz w:val="23"/>
          <w:szCs w:val="23"/>
        </w:rPr>
        <w:t>析</w:t>
      </w:r>
    </w:p>
    <w:p w14:paraId="6B7818AE">
      <w:pPr>
        <w:spacing w:before="291" w:line="375" w:lineRule="auto"/>
        <w:ind w:left="116" w:right="107" w:firstLine="481"/>
        <w:rPr>
          <w:rFonts w:ascii="宋体" w:hAnsi="宋体" w:eastAsia="宋体" w:cs="宋体"/>
          <w:sz w:val="23"/>
          <w:szCs w:val="23"/>
        </w:rPr>
      </w:pPr>
      <w:r>
        <w:rPr>
          <w:rFonts w:ascii="宋体" w:hAnsi="宋体" w:eastAsia="宋体" w:cs="宋体"/>
          <w:spacing w:val="22"/>
          <w:sz w:val="23"/>
          <w:szCs w:val="23"/>
        </w:rPr>
        <w:t>本</w:t>
      </w:r>
      <w:r>
        <w:rPr>
          <w:rFonts w:ascii="宋体" w:hAnsi="宋体" w:eastAsia="宋体" w:cs="宋体"/>
          <w:spacing w:val="16"/>
          <w:sz w:val="23"/>
          <w:szCs w:val="23"/>
        </w:rPr>
        <w:t>项</w:t>
      </w:r>
      <w:r>
        <w:rPr>
          <w:rFonts w:ascii="宋体" w:hAnsi="宋体" w:eastAsia="宋体" w:cs="宋体"/>
          <w:spacing w:val="11"/>
          <w:sz w:val="23"/>
          <w:szCs w:val="23"/>
        </w:rPr>
        <w:t>目主要在开挖基槽等阶段产生扬尘，扬尘产生大小与气象条件</w:t>
      </w:r>
      <w:r>
        <w:rPr>
          <w:rFonts w:ascii="Times New Roman" w:hAnsi="Times New Roman" w:eastAsia="Times New Roman" w:cs="Times New Roman"/>
          <w:spacing w:val="11"/>
          <w:sz w:val="23"/>
          <w:szCs w:val="23"/>
        </w:rPr>
        <w:t>(</w:t>
      </w:r>
      <w:r>
        <w:rPr>
          <w:rFonts w:ascii="宋体" w:hAnsi="宋体" w:eastAsia="宋体" w:cs="宋体"/>
          <w:spacing w:val="11"/>
          <w:sz w:val="23"/>
          <w:szCs w:val="23"/>
        </w:rPr>
        <w:t>特别是</w:t>
      </w:r>
      <w:r>
        <w:rPr>
          <w:rFonts w:ascii="宋体" w:hAnsi="宋体" w:eastAsia="宋体" w:cs="宋体"/>
          <w:sz w:val="23"/>
          <w:szCs w:val="23"/>
        </w:rPr>
        <w:t xml:space="preserve"> </w:t>
      </w:r>
      <w:r>
        <w:rPr>
          <w:rFonts w:ascii="宋体" w:hAnsi="宋体" w:eastAsia="宋体" w:cs="宋体"/>
          <w:spacing w:val="18"/>
          <w:sz w:val="23"/>
          <w:szCs w:val="23"/>
        </w:rPr>
        <w:t>风速</w:t>
      </w:r>
      <w:r>
        <w:rPr>
          <w:rFonts w:ascii="宋体" w:hAnsi="宋体" w:eastAsia="宋体" w:cs="宋体"/>
          <w:spacing w:val="10"/>
          <w:sz w:val="23"/>
          <w:szCs w:val="23"/>
        </w:rPr>
        <w:t>和</w:t>
      </w:r>
      <w:r>
        <w:rPr>
          <w:rFonts w:ascii="宋体" w:hAnsi="宋体" w:eastAsia="宋体" w:cs="宋体"/>
          <w:spacing w:val="9"/>
          <w:sz w:val="23"/>
          <w:szCs w:val="23"/>
        </w:rPr>
        <w:t>降水</w:t>
      </w:r>
      <w:r>
        <w:rPr>
          <w:rFonts w:ascii="Times New Roman" w:hAnsi="Times New Roman" w:eastAsia="Times New Roman" w:cs="Times New Roman"/>
          <w:spacing w:val="9"/>
          <w:sz w:val="23"/>
          <w:szCs w:val="23"/>
        </w:rPr>
        <w:t xml:space="preserve">) </w:t>
      </w:r>
      <w:r>
        <w:rPr>
          <w:rFonts w:ascii="宋体" w:hAnsi="宋体" w:eastAsia="宋体" w:cs="宋体"/>
          <w:spacing w:val="9"/>
          <w:sz w:val="23"/>
          <w:szCs w:val="23"/>
        </w:rPr>
        <w:t>、施工场地状况及管理等密切相关，一般在春秋季节较为严重，是</w:t>
      </w:r>
      <w:r>
        <w:rPr>
          <w:rFonts w:ascii="宋体" w:hAnsi="宋体" w:eastAsia="宋体" w:cs="宋体"/>
          <w:sz w:val="23"/>
          <w:szCs w:val="23"/>
        </w:rPr>
        <w:t xml:space="preserve"> </w:t>
      </w:r>
      <w:r>
        <w:rPr>
          <w:rFonts w:ascii="宋体" w:hAnsi="宋体" w:eastAsia="宋体" w:cs="宋体"/>
          <w:spacing w:val="15"/>
          <w:sz w:val="23"/>
          <w:szCs w:val="23"/>
        </w:rPr>
        <w:t>施</w:t>
      </w:r>
      <w:r>
        <w:rPr>
          <w:rFonts w:ascii="宋体" w:hAnsi="宋体" w:eastAsia="宋体" w:cs="宋体"/>
          <w:spacing w:val="14"/>
          <w:sz w:val="23"/>
          <w:szCs w:val="23"/>
        </w:rPr>
        <w:t>工期的主要大气污染源。采取施工场地洒水的方式抑制扬尘是有效的抑尘方</w:t>
      </w:r>
      <w:r>
        <w:rPr>
          <w:rFonts w:ascii="宋体" w:hAnsi="宋体" w:eastAsia="宋体" w:cs="宋体"/>
          <w:sz w:val="23"/>
          <w:szCs w:val="23"/>
        </w:rPr>
        <w:t xml:space="preserve"> </w:t>
      </w:r>
      <w:r>
        <w:rPr>
          <w:rFonts w:ascii="宋体" w:hAnsi="宋体" w:eastAsia="宋体" w:cs="宋体"/>
          <w:spacing w:val="9"/>
          <w:sz w:val="23"/>
          <w:szCs w:val="23"/>
        </w:rPr>
        <w:t>式</w:t>
      </w:r>
      <w:r>
        <w:rPr>
          <w:rFonts w:ascii="宋体" w:hAnsi="宋体" w:eastAsia="宋体" w:cs="宋体"/>
          <w:spacing w:val="5"/>
          <w:sz w:val="23"/>
          <w:szCs w:val="23"/>
        </w:rPr>
        <w:t xml:space="preserve">，施工场地洒水抑尘试验结果见表 </w:t>
      </w:r>
      <w:r>
        <w:rPr>
          <w:rFonts w:ascii="Times New Roman" w:hAnsi="Times New Roman" w:eastAsia="Times New Roman" w:cs="Times New Roman"/>
          <w:spacing w:val="5"/>
          <w:sz w:val="23"/>
          <w:szCs w:val="23"/>
        </w:rPr>
        <w:t>3-9</w:t>
      </w:r>
      <w:r>
        <w:rPr>
          <w:rFonts w:ascii="宋体" w:hAnsi="宋体" w:eastAsia="宋体" w:cs="宋体"/>
          <w:spacing w:val="5"/>
          <w:sz w:val="23"/>
          <w:szCs w:val="23"/>
        </w:rPr>
        <w:t>。</w:t>
      </w:r>
    </w:p>
    <w:p w14:paraId="54723419">
      <w:pPr>
        <w:spacing w:before="170" w:line="227" w:lineRule="auto"/>
        <w:ind w:left="2278"/>
        <w:rPr>
          <w:rFonts w:ascii="宋体" w:hAnsi="宋体" w:eastAsia="宋体" w:cs="宋体"/>
          <w:sz w:val="23"/>
          <w:szCs w:val="23"/>
        </w:rPr>
      </w:pPr>
      <w:r>
        <w:rPr>
          <w:rFonts w:ascii="宋体" w:hAnsi="宋体" w:eastAsia="宋体" w:cs="宋体"/>
          <w:spacing w:val="8"/>
          <w:sz w:val="23"/>
          <w:szCs w:val="23"/>
          <w14:textOutline w14:w="4358" w14:cap="sq" w14:cmpd="sng">
            <w14:solidFill>
              <w14:srgbClr w14:val="000000"/>
            </w14:solidFill>
            <w14:prstDash w14:val="solid"/>
            <w14:bevel/>
          </w14:textOutline>
        </w:rPr>
        <w:t>表</w:t>
      </w:r>
      <w:r>
        <w:rPr>
          <w:rFonts w:ascii="宋体" w:hAnsi="宋体" w:eastAsia="宋体" w:cs="宋体"/>
          <w:spacing w:val="8"/>
          <w:sz w:val="23"/>
          <w:szCs w:val="23"/>
        </w:rPr>
        <w:t xml:space="preserve"> </w:t>
      </w:r>
      <w:r>
        <w:rPr>
          <w:rFonts w:ascii="Times New Roman" w:hAnsi="Times New Roman" w:eastAsia="Times New Roman" w:cs="Times New Roman"/>
          <w:b/>
          <w:bCs/>
          <w:spacing w:val="7"/>
          <w:sz w:val="23"/>
          <w:szCs w:val="23"/>
        </w:rPr>
        <w:t>3</w:t>
      </w:r>
      <w:r>
        <w:rPr>
          <w:rFonts w:ascii="Times New Roman" w:hAnsi="Times New Roman" w:eastAsia="Times New Roman" w:cs="Times New Roman"/>
          <w:b/>
          <w:bCs/>
          <w:spacing w:val="4"/>
          <w:sz w:val="23"/>
          <w:szCs w:val="23"/>
        </w:rPr>
        <w:t>-9</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施工场地洒水抑尘试验结果</w:t>
      </w:r>
    </w:p>
    <w:p w14:paraId="657579F2">
      <w:pPr>
        <w:spacing w:line="145" w:lineRule="auto"/>
        <w:rPr>
          <w:rFonts w:ascii="Arial"/>
          <w:sz w:val="2"/>
        </w:rPr>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2"/>
        <w:gridCol w:w="1810"/>
        <w:gridCol w:w="1384"/>
        <w:gridCol w:w="1253"/>
        <w:gridCol w:w="1253"/>
        <w:gridCol w:w="1250"/>
      </w:tblGrid>
      <w:tr w14:paraId="6ED180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382" w:type="dxa"/>
            <w:gridSpan w:val="2"/>
            <w:tcBorders>
              <w:left w:val="nil"/>
              <w:right w:val="single" w:color="000000" w:sz="4" w:space="0"/>
            </w:tcBorders>
            <w:vAlign w:val="top"/>
          </w:tcPr>
          <w:p w14:paraId="599832FD">
            <w:pPr>
              <w:spacing w:before="36" w:line="289" w:lineRule="exact"/>
              <w:ind w:left="1279"/>
              <w:rPr>
                <w:rFonts w:ascii="Times New Roman" w:hAnsi="Times New Roman" w:eastAsia="Times New Roman" w:cs="Times New Roman"/>
                <w:sz w:val="20"/>
                <w:szCs w:val="20"/>
              </w:rPr>
            </w:pPr>
            <w:r>
              <w:rPr>
                <w:rFonts w:ascii="宋体" w:hAnsi="宋体" w:eastAsia="宋体" w:cs="宋体"/>
                <w:spacing w:val="8"/>
                <w:position w:val="2"/>
                <w:sz w:val="20"/>
                <w:szCs w:val="20"/>
                <w14:textOutline w14:w="3795" w14:cap="sq" w14:cmpd="sng">
                  <w14:solidFill>
                    <w14:srgbClr w14:val="000000"/>
                  </w14:solidFill>
                  <w14:prstDash w14:val="solid"/>
                  <w14:bevel/>
                </w14:textOutline>
              </w:rPr>
              <w:t>距</w:t>
            </w:r>
            <w:r>
              <w:rPr>
                <w:rFonts w:ascii="宋体" w:hAnsi="宋体" w:eastAsia="宋体" w:cs="宋体"/>
                <w:spacing w:val="6"/>
                <w:position w:val="2"/>
                <w:sz w:val="20"/>
                <w:szCs w:val="20"/>
                <w14:textOutline w14:w="3795" w14:cap="sq" w14:cmpd="sng">
                  <w14:solidFill>
                    <w14:srgbClr w14:val="000000"/>
                  </w14:solidFill>
                  <w14:prstDash w14:val="solid"/>
                  <w14:bevel/>
                </w14:textOutline>
              </w:rPr>
              <w:t>离</w:t>
            </w:r>
            <w:r>
              <w:rPr>
                <w:rFonts w:ascii="宋体" w:hAnsi="宋体" w:eastAsia="宋体" w:cs="宋体"/>
                <w:spacing w:val="6"/>
                <w:position w:val="2"/>
                <w:sz w:val="20"/>
                <w:szCs w:val="20"/>
              </w:rPr>
              <w:t xml:space="preserve"> </w:t>
            </w:r>
            <w:r>
              <w:rPr>
                <w:rFonts w:ascii="Times New Roman" w:hAnsi="Times New Roman" w:eastAsia="Times New Roman" w:cs="Times New Roman"/>
                <w:b/>
                <w:bCs/>
                <w:spacing w:val="6"/>
                <w:position w:val="2"/>
                <w:sz w:val="20"/>
                <w:szCs w:val="20"/>
              </w:rPr>
              <w:t>(</w:t>
            </w:r>
            <w:r>
              <w:rPr>
                <w:rFonts w:ascii="Times New Roman" w:hAnsi="Times New Roman" w:eastAsia="Times New Roman" w:cs="Times New Roman"/>
                <w:b/>
                <w:bCs/>
                <w:position w:val="2"/>
                <w:sz w:val="20"/>
                <w:szCs w:val="20"/>
              </w:rPr>
              <w:t>m</w:t>
            </w:r>
            <w:r>
              <w:rPr>
                <w:rFonts w:ascii="Times New Roman" w:hAnsi="Times New Roman" w:eastAsia="Times New Roman" w:cs="Times New Roman"/>
                <w:b/>
                <w:bCs/>
                <w:spacing w:val="6"/>
                <w:position w:val="2"/>
                <w:sz w:val="20"/>
                <w:szCs w:val="20"/>
              </w:rPr>
              <w:t>)</w:t>
            </w:r>
          </w:p>
        </w:tc>
        <w:tc>
          <w:tcPr>
            <w:tcW w:w="1384" w:type="dxa"/>
            <w:tcBorders>
              <w:left w:val="single" w:color="000000" w:sz="4" w:space="0"/>
              <w:right w:val="single" w:color="000000" w:sz="4" w:space="0"/>
            </w:tcBorders>
            <w:vAlign w:val="top"/>
          </w:tcPr>
          <w:p w14:paraId="5F459832">
            <w:pPr>
              <w:spacing w:before="116" w:line="192" w:lineRule="auto"/>
              <w:ind w:left="640"/>
              <w:rPr>
                <w:rFonts w:ascii="Times New Roman" w:hAnsi="Times New Roman" w:eastAsia="Times New Roman" w:cs="Times New Roman"/>
                <w:sz w:val="20"/>
                <w:szCs w:val="20"/>
              </w:rPr>
            </w:pPr>
            <w:r>
              <w:rPr>
                <w:rFonts w:ascii="Times New Roman" w:hAnsi="Times New Roman" w:eastAsia="Times New Roman" w:cs="Times New Roman"/>
                <w:b/>
                <w:bCs/>
                <w:sz w:val="20"/>
                <w:szCs w:val="20"/>
              </w:rPr>
              <w:t>5</w:t>
            </w:r>
          </w:p>
        </w:tc>
        <w:tc>
          <w:tcPr>
            <w:tcW w:w="1253" w:type="dxa"/>
            <w:tcBorders>
              <w:left w:val="single" w:color="000000" w:sz="4" w:space="0"/>
              <w:right w:val="single" w:color="000000" w:sz="4" w:space="0"/>
            </w:tcBorders>
            <w:vAlign w:val="top"/>
          </w:tcPr>
          <w:p w14:paraId="3E24B1C7">
            <w:pPr>
              <w:spacing w:before="113" w:line="195" w:lineRule="auto"/>
              <w:ind w:left="521"/>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2</w:t>
            </w:r>
            <w:r>
              <w:rPr>
                <w:rFonts w:ascii="Times New Roman" w:hAnsi="Times New Roman" w:eastAsia="Times New Roman" w:cs="Times New Roman"/>
                <w:b/>
                <w:bCs/>
                <w:spacing w:val="2"/>
                <w:sz w:val="20"/>
                <w:szCs w:val="20"/>
              </w:rPr>
              <w:t>0</w:t>
            </w:r>
          </w:p>
        </w:tc>
        <w:tc>
          <w:tcPr>
            <w:tcW w:w="1253" w:type="dxa"/>
            <w:tcBorders>
              <w:left w:val="single" w:color="000000" w:sz="4" w:space="0"/>
              <w:right w:val="single" w:color="000000" w:sz="4" w:space="0"/>
            </w:tcBorders>
            <w:vAlign w:val="top"/>
          </w:tcPr>
          <w:p w14:paraId="0273243D">
            <w:pPr>
              <w:spacing w:before="113" w:line="195" w:lineRule="auto"/>
              <w:ind w:left="523"/>
              <w:rPr>
                <w:rFonts w:ascii="Times New Roman" w:hAnsi="Times New Roman" w:eastAsia="Times New Roman" w:cs="Times New Roman"/>
                <w:sz w:val="20"/>
                <w:szCs w:val="20"/>
              </w:rPr>
            </w:pPr>
            <w:r>
              <w:rPr>
                <w:rFonts w:ascii="Times New Roman" w:hAnsi="Times New Roman" w:eastAsia="Times New Roman" w:cs="Times New Roman"/>
                <w:b/>
                <w:bCs/>
                <w:spacing w:val="1"/>
                <w:sz w:val="20"/>
                <w:szCs w:val="20"/>
              </w:rPr>
              <w:t>50</w:t>
            </w:r>
          </w:p>
        </w:tc>
        <w:tc>
          <w:tcPr>
            <w:tcW w:w="1250" w:type="dxa"/>
            <w:tcBorders>
              <w:left w:val="single" w:color="000000" w:sz="4" w:space="0"/>
              <w:right w:val="nil"/>
            </w:tcBorders>
            <w:vAlign w:val="top"/>
          </w:tcPr>
          <w:p w14:paraId="13BEC397">
            <w:pPr>
              <w:spacing w:before="113" w:line="195" w:lineRule="auto"/>
              <w:ind w:left="476"/>
              <w:rPr>
                <w:rFonts w:ascii="Times New Roman" w:hAnsi="Times New Roman" w:eastAsia="Times New Roman" w:cs="Times New Roman"/>
                <w:sz w:val="20"/>
                <w:szCs w:val="20"/>
              </w:rPr>
            </w:pPr>
            <w:r>
              <w:rPr>
                <w:rFonts w:ascii="Times New Roman" w:hAnsi="Times New Roman" w:eastAsia="Times New Roman" w:cs="Times New Roman"/>
                <w:b/>
                <w:bCs/>
                <w:spacing w:val="1"/>
                <w:sz w:val="20"/>
                <w:szCs w:val="20"/>
              </w:rPr>
              <w:t>1</w:t>
            </w:r>
            <w:r>
              <w:rPr>
                <w:rFonts w:ascii="Times New Roman" w:hAnsi="Times New Roman" w:eastAsia="Times New Roman" w:cs="Times New Roman"/>
                <w:b/>
                <w:bCs/>
                <w:sz w:val="20"/>
                <w:szCs w:val="20"/>
              </w:rPr>
              <w:t>00</w:t>
            </w:r>
          </w:p>
        </w:tc>
      </w:tr>
      <w:tr w14:paraId="40ED60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572" w:type="dxa"/>
            <w:vMerge w:val="restart"/>
            <w:tcBorders>
              <w:left w:val="nil"/>
              <w:bottom w:val="nil"/>
              <w:right w:val="single" w:color="000000" w:sz="4" w:space="0"/>
            </w:tcBorders>
            <w:vAlign w:val="top"/>
          </w:tcPr>
          <w:p w14:paraId="096CAAFF">
            <w:pPr>
              <w:spacing w:before="75" w:line="285" w:lineRule="auto"/>
              <w:ind w:left="235" w:right="155" w:hanging="71"/>
              <w:rPr>
                <w:rFonts w:ascii="Times New Roman" w:hAnsi="Times New Roman" w:eastAsia="Times New Roman" w:cs="Times New Roman"/>
                <w:sz w:val="20"/>
                <w:szCs w:val="20"/>
              </w:rPr>
            </w:pPr>
            <w:r>
              <w:rPr>
                <w:rFonts w:ascii="Times New Roman" w:hAnsi="Times New Roman" w:eastAsia="Times New Roman" w:cs="Times New Roman"/>
                <w:sz w:val="20"/>
                <w:szCs w:val="20"/>
              </w:rPr>
              <w:t>TSP</w:t>
            </w:r>
            <w:r>
              <w:rPr>
                <w:rFonts w:ascii="Times New Roman" w:hAnsi="Times New Roman" w:eastAsia="Times New Roman" w:cs="Times New Roman"/>
                <w:spacing w:val="12"/>
                <w:sz w:val="20"/>
                <w:szCs w:val="20"/>
              </w:rPr>
              <w:t xml:space="preserve"> </w:t>
            </w:r>
            <w:r>
              <w:rPr>
                <w:rFonts w:ascii="宋体" w:hAnsi="宋体" w:eastAsia="宋体" w:cs="宋体"/>
                <w:spacing w:val="10"/>
                <w:sz w:val="20"/>
                <w:szCs w:val="20"/>
              </w:rPr>
              <w:t>小时平均</w:t>
            </w:r>
            <w:r>
              <w:rPr>
                <w:rFonts w:ascii="宋体" w:hAnsi="宋体" w:eastAsia="宋体" w:cs="宋体"/>
                <w:sz w:val="20"/>
                <w:szCs w:val="20"/>
              </w:rPr>
              <w:t xml:space="preserve"> </w:t>
            </w:r>
            <w:r>
              <w:rPr>
                <w:rFonts w:ascii="宋体" w:hAnsi="宋体" w:eastAsia="宋体" w:cs="宋体"/>
                <w:spacing w:val="7"/>
                <w:sz w:val="20"/>
                <w:szCs w:val="20"/>
              </w:rPr>
              <w:t>浓度</w:t>
            </w:r>
            <w:r>
              <w:rPr>
                <w:rFonts w:ascii="Times New Roman" w:hAnsi="Times New Roman" w:eastAsia="Times New Roman" w:cs="Times New Roman"/>
                <w:spacing w:val="7"/>
                <w:sz w:val="20"/>
                <w:szCs w:val="20"/>
              </w:rPr>
              <w:t>(</w:t>
            </w:r>
            <w:r>
              <w:rPr>
                <w:rFonts w:ascii="Times New Roman" w:hAnsi="Times New Roman" w:eastAsia="Times New Roman" w:cs="Times New Roman"/>
                <w:sz w:val="20"/>
                <w:szCs w:val="20"/>
              </w:rPr>
              <w:t>mg</w:t>
            </w:r>
            <w:r>
              <w:rPr>
                <w:rFonts w:ascii="Times New Roman" w:hAnsi="Times New Roman" w:eastAsia="Times New Roman" w:cs="Times New Roman"/>
                <w:spacing w:val="7"/>
                <w:sz w:val="20"/>
                <w:szCs w:val="20"/>
              </w:rPr>
              <w:t>/</w:t>
            </w:r>
            <w:r>
              <w:rPr>
                <w:rFonts w:ascii="Times New Roman" w:hAnsi="Times New Roman" w:eastAsia="Times New Roman" w:cs="Times New Roman"/>
                <w:sz w:val="20"/>
                <w:szCs w:val="20"/>
              </w:rPr>
              <w:t>m</w:t>
            </w:r>
            <w:r>
              <w:rPr>
                <w:rFonts w:ascii="Times New Roman" w:hAnsi="Times New Roman" w:eastAsia="Times New Roman" w:cs="Times New Roman"/>
                <w:spacing w:val="7"/>
                <w:position w:val="6"/>
                <w:sz w:val="13"/>
                <w:szCs w:val="13"/>
              </w:rPr>
              <w:t>3</w:t>
            </w:r>
            <w:r>
              <w:rPr>
                <w:rFonts w:ascii="Times New Roman" w:hAnsi="Times New Roman" w:eastAsia="Times New Roman" w:cs="Times New Roman"/>
                <w:spacing w:val="7"/>
                <w:sz w:val="20"/>
                <w:szCs w:val="20"/>
              </w:rPr>
              <w:t>)</w:t>
            </w:r>
          </w:p>
        </w:tc>
        <w:tc>
          <w:tcPr>
            <w:tcW w:w="1810" w:type="dxa"/>
            <w:tcBorders>
              <w:left w:val="single" w:color="000000" w:sz="4" w:space="0"/>
              <w:right w:val="single" w:color="000000" w:sz="4" w:space="0"/>
            </w:tcBorders>
            <w:vAlign w:val="top"/>
          </w:tcPr>
          <w:p w14:paraId="4D48486C">
            <w:pPr>
              <w:spacing w:before="63" w:line="228" w:lineRule="auto"/>
              <w:ind w:left="596"/>
              <w:rPr>
                <w:rFonts w:ascii="宋体" w:hAnsi="宋体" w:eastAsia="宋体" w:cs="宋体"/>
                <w:sz w:val="20"/>
                <w:szCs w:val="20"/>
              </w:rPr>
            </w:pPr>
            <w:r>
              <w:rPr>
                <w:rFonts w:ascii="宋体" w:hAnsi="宋体" w:eastAsia="宋体" w:cs="宋体"/>
                <w:spacing w:val="6"/>
                <w:sz w:val="20"/>
                <w:szCs w:val="20"/>
              </w:rPr>
              <w:t>不洒</w:t>
            </w:r>
            <w:r>
              <w:rPr>
                <w:rFonts w:ascii="宋体" w:hAnsi="宋体" w:eastAsia="宋体" w:cs="宋体"/>
                <w:spacing w:val="5"/>
                <w:sz w:val="20"/>
                <w:szCs w:val="20"/>
              </w:rPr>
              <w:t>水</w:t>
            </w:r>
          </w:p>
        </w:tc>
        <w:tc>
          <w:tcPr>
            <w:tcW w:w="1384" w:type="dxa"/>
            <w:tcBorders>
              <w:left w:val="single" w:color="000000" w:sz="4" w:space="0"/>
              <w:right w:val="single" w:color="000000" w:sz="4" w:space="0"/>
            </w:tcBorders>
            <w:vAlign w:val="top"/>
          </w:tcPr>
          <w:p w14:paraId="2CFBC4E0">
            <w:pPr>
              <w:spacing w:before="99" w:line="195" w:lineRule="auto"/>
              <w:ind w:left="475"/>
              <w:rPr>
                <w:rFonts w:ascii="Times New Roman" w:hAnsi="Times New Roman" w:eastAsia="Times New Roman" w:cs="Times New Roman"/>
                <w:sz w:val="20"/>
                <w:szCs w:val="20"/>
              </w:rPr>
            </w:pPr>
            <w:r>
              <w:rPr>
                <w:rFonts w:ascii="Times New Roman" w:hAnsi="Times New Roman" w:eastAsia="Times New Roman" w:cs="Times New Roman"/>
                <w:spacing w:val="-11"/>
                <w:sz w:val="20"/>
                <w:szCs w:val="20"/>
              </w:rPr>
              <w:t>1</w:t>
            </w:r>
            <w:r>
              <w:rPr>
                <w:rFonts w:ascii="Times New Roman" w:hAnsi="Times New Roman" w:eastAsia="Times New Roman" w:cs="Times New Roman"/>
                <w:spacing w:val="-8"/>
                <w:sz w:val="20"/>
                <w:szCs w:val="20"/>
              </w:rPr>
              <w:t>0. 14</w:t>
            </w:r>
          </w:p>
        </w:tc>
        <w:tc>
          <w:tcPr>
            <w:tcW w:w="1253" w:type="dxa"/>
            <w:tcBorders>
              <w:left w:val="single" w:color="000000" w:sz="4" w:space="0"/>
              <w:right w:val="single" w:color="000000" w:sz="4" w:space="0"/>
            </w:tcBorders>
            <w:vAlign w:val="top"/>
          </w:tcPr>
          <w:p w14:paraId="6BC21F08">
            <w:pPr>
              <w:spacing w:before="99" w:line="198" w:lineRule="auto"/>
              <w:ind w:left="441"/>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.89</w:t>
            </w:r>
          </w:p>
        </w:tc>
        <w:tc>
          <w:tcPr>
            <w:tcW w:w="1253" w:type="dxa"/>
            <w:tcBorders>
              <w:left w:val="single" w:color="000000" w:sz="4" w:space="0"/>
              <w:right w:val="single" w:color="000000" w:sz="4" w:space="0"/>
            </w:tcBorders>
            <w:vAlign w:val="top"/>
          </w:tcPr>
          <w:p w14:paraId="7874339E">
            <w:pPr>
              <w:spacing w:before="99" w:line="195" w:lineRule="auto"/>
              <w:ind w:left="461"/>
              <w:rPr>
                <w:rFonts w:ascii="Times New Roman" w:hAnsi="Times New Roman" w:eastAsia="Times New Roman" w:cs="Times New Roman"/>
                <w:sz w:val="20"/>
                <w:szCs w:val="20"/>
              </w:rPr>
            </w:pPr>
            <w:r>
              <w:rPr>
                <w:rFonts w:ascii="Times New Roman" w:hAnsi="Times New Roman" w:eastAsia="Times New Roman" w:cs="Times New Roman"/>
                <w:spacing w:val="-12"/>
                <w:sz w:val="20"/>
                <w:szCs w:val="20"/>
              </w:rPr>
              <w:t>1</w:t>
            </w:r>
            <w:r>
              <w:rPr>
                <w:rFonts w:ascii="Times New Roman" w:hAnsi="Times New Roman" w:eastAsia="Times New Roman" w:cs="Times New Roman"/>
                <w:spacing w:val="-11"/>
                <w:sz w:val="20"/>
                <w:szCs w:val="20"/>
              </w:rPr>
              <w:t>. 15</w:t>
            </w:r>
          </w:p>
        </w:tc>
        <w:tc>
          <w:tcPr>
            <w:tcW w:w="1250" w:type="dxa"/>
            <w:tcBorders>
              <w:left w:val="single" w:color="000000" w:sz="4" w:space="0"/>
              <w:right w:val="nil"/>
            </w:tcBorders>
            <w:vAlign w:val="top"/>
          </w:tcPr>
          <w:p w14:paraId="375D0133">
            <w:pPr>
              <w:spacing w:before="99" w:line="195" w:lineRule="auto"/>
              <w:ind w:left="44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.86</w:t>
            </w:r>
          </w:p>
        </w:tc>
      </w:tr>
      <w:tr w14:paraId="2871B3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1572" w:type="dxa"/>
            <w:vMerge w:val="continue"/>
            <w:tcBorders>
              <w:top w:val="nil"/>
              <w:left w:val="nil"/>
              <w:right w:val="single" w:color="000000" w:sz="4" w:space="0"/>
            </w:tcBorders>
            <w:vAlign w:val="top"/>
          </w:tcPr>
          <w:p w14:paraId="7C18FC7A">
            <w:pPr>
              <w:rPr>
                <w:rFonts w:ascii="Arial"/>
                <w:sz w:val="21"/>
              </w:rPr>
            </w:pPr>
          </w:p>
        </w:tc>
        <w:tc>
          <w:tcPr>
            <w:tcW w:w="1810" w:type="dxa"/>
            <w:tcBorders>
              <w:left w:val="single" w:color="000000" w:sz="4" w:space="0"/>
              <w:right w:val="single" w:color="000000" w:sz="4" w:space="0"/>
            </w:tcBorders>
            <w:vAlign w:val="top"/>
          </w:tcPr>
          <w:p w14:paraId="441CB24F">
            <w:pPr>
              <w:spacing w:before="63" w:line="228" w:lineRule="auto"/>
              <w:ind w:left="701"/>
              <w:rPr>
                <w:rFonts w:ascii="宋体" w:hAnsi="宋体" w:eastAsia="宋体" w:cs="宋体"/>
                <w:sz w:val="20"/>
                <w:szCs w:val="20"/>
              </w:rPr>
            </w:pPr>
            <w:r>
              <w:rPr>
                <w:rFonts w:ascii="宋体" w:hAnsi="宋体" w:eastAsia="宋体" w:cs="宋体"/>
                <w:spacing w:val="4"/>
                <w:sz w:val="20"/>
                <w:szCs w:val="20"/>
              </w:rPr>
              <w:t>洒</w:t>
            </w:r>
            <w:r>
              <w:rPr>
                <w:rFonts w:ascii="宋体" w:hAnsi="宋体" w:eastAsia="宋体" w:cs="宋体"/>
                <w:spacing w:val="3"/>
                <w:sz w:val="20"/>
                <w:szCs w:val="20"/>
              </w:rPr>
              <w:t>水</w:t>
            </w:r>
          </w:p>
        </w:tc>
        <w:tc>
          <w:tcPr>
            <w:tcW w:w="1384" w:type="dxa"/>
            <w:tcBorders>
              <w:left w:val="single" w:color="000000" w:sz="4" w:space="0"/>
              <w:right w:val="single" w:color="000000" w:sz="4" w:space="0"/>
            </w:tcBorders>
            <w:vAlign w:val="top"/>
          </w:tcPr>
          <w:p w14:paraId="3BE01AEC">
            <w:pPr>
              <w:spacing w:before="99" w:line="198" w:lineRule="auto"/>
              <w:ind w:left="507"/>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.01</w:t>
            </w:r>
          </w:p>
        </w:tc>
        <w:tc>
          <w:tcPr>
            <w:tcW w:w="1253" w:type="dxa"/>
            <w:tcBorders>
              <w:left w:val="single" w:color="000000" w:sz="4" w:space="0"/>
              <w:right w:val="single" w:color="000000" w:sz="4" w:space="0"/>
            </w:tcBorders>
            <w:vAlign w:val="top"/>
          </w:tcPr>
          <w:p w14:paraId="6E776ED5">
            <w:pPr>
              <w:spacing w:before="99" w:line="198" w:lineRule="auto"/>
              <w:ind w:left="46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40</w:t>
            </w:r>
          </w:p>
        </w:tc>
        <w:tc>
          <w:tcPr>
            <w:tcW w:w="1253" w:type="dxa"/>
            <w:tcBorders>
              <w:left w:val="single" w:color="000000" w:sz="4" w:space="0"/>
              <w:right w:val="single" w:color="000000" w:sz="4" w:space="0"/>
            </w:tcBorders>
            <w:vAlign w:val="top"/>
          </w:tcPr>
          <w:p w14:paraId="5E6AF61F">
            <w:pPr>
              <w:spacing w:before="100" w:line="195" w:lineRule="auto"/>
              <w:ind w:left="44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.67</w:t>
            </w:r>
          </w:p>
        </w:tc>
        <w:tc>
          <w:tcPr>
            <w:tcW w:w="1250" w:type="dxa"/>
            <w:tcBorders>
              <w:left w:val="single" w:color="000000" w:sz="4" w:space="0"/>
              <w:right w:val="nil"/>
            </w:tcBorders>
            <w:vAlign w:val="top"/>
          </w:tcPr>
          <w:p w14:paraId="2736E76D">
            <w:pPr>
              <w:spacing w:before="100" w:line="195" w:lineRule="auto"/>
              <w:ind w:left="44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.27</w:t>
            </w:r>
          </w:p>
        </w:tc>
      </w:tr>
    </w:tbl>
    <w:p w14:paraId="336815E6">
      <w:pPr>
        <w:spacing w:line="249" w:lineRule="auto"/>
        <w:rPr>
          <w:rFonts w:ascii="Arial"/>
          <w:sz w:val="21"/>
        </w:rPr>
      </w:pPr>
    </w:p>
    <w:p w14:paraId="2C47B9DB">
      <w:pPr>
        <w:spacing w:before="75" w:line="376" w:lineRule="auto"/>
        <w:ind w:left="116" w:right="107" w:firstLine="481"/>
        <w:rPr>
          <w:rFonts w:ascii="宋体" w:hAnsi="宋体" w:eastAsia="宋体" w:cs="宋体"/>
          <w:sz w:val="23"/>
          <w:szCs w:val="23"/>
        </w:rPr>
      </w:pPr>
      <w:r>
        <w:rPr>
          <w:rFonts w:ascii="宋体" w:hAnsi="宋体" w:eastAsia="宋体" w:cs="宋体"/>
          <w:spacing w:val="7"/>
          <w:sz w:val="23"/>
          <w:szCs w:val="23"/>
        </w:rPr>
        <w:t>本项目施工过程产生的扬尘，按辽宁省环保厅制定的《辽宁省城区建筑施</w:t>
      </w:r>
      <w:r>
        <w:rPr>
          <w:rFonts w:ascii="宋体" w:hAnsi="宋体" w:eastAsia="宋体" w:cs="宋体"/>
          <w:spacing w:val="2"/>
          <w:sz w:val="23"/>
          <w:szCs w:val="23"/>
        </w:rPr>
        <w:t>工</w:t>
      </w:r>
      <w:r>
        <w:rPr>
          <w:rFonts w:ascii="宋体" w:hAnsi="宋体" w:eastAsia="宋体" w:cs="宋体"/>
          <w:sz w:val="23"/>
          <w:szCs w:val="23"/>
        </w:rPr>
        <w:t xml:space="preserve"> </w:t>
      </w:r>
      <w:r>
        <w:rPr>
          <w:rFonts w:ascii="宋体" w:hAnsi="宋体" w:eastAsia="宋体" w:cs="宋体"/>
          <w:spacing w:val="6"/>
          <w:sz w:val="23"/>
          <w:szCs w:val="23"/>
        </w:rPr>
        <w:t>扬尘排放量计算方法》</w:t>
      </w:r>
      <w:r>
        <w:rPr>
          <w:rFonts w:ascii="Times New Roman" w:hAnsi="Times New Roman" w:eastAsia="Times New Roman" w:cs="Times New Roman"/>
          <w:spacing w:val="6"/>
          <w:sz w:val="23"/>
          <w:szCs w:val="23"/>
        </w:rPr>
        <w:t>(</w:t>
      </w:r>
      <w:r>
        <w:rPr>
          <w:rFonts w:ascii="宋体" w:hAnsi="宋体" w:eastAsia="宋体" w:cs="宋体"/>
          <w:spacing w:val="6"/>
          <w:sz w:val="23"/>
          <w:szCs w:val="23"/>
        </w:rPr>
        <w:t>试行</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，扬尘量按下式估算</w:t>
      </w:r>
      <w:r>
        <w:rPr>
          <w:rFonts w:ascii="宋体" w:hAnsi="宋体" w:eastAsia="宋体" w:cs="宋体"/>
          <w:spacing w:val="5"/>
          <w:sz w:val="23"/>
          <w:szCs w:val="23"/>
        </w:rPr>
        <w:t>：</w:t>
      </w:r>
    </w:p>
    <w:p w14:paraId="6D281196">
      <w:pPr>
        <w:spacing w:before="160" w:line="304" w:lineRule="exact"/>
        <w:ind w:left="591"/>
        <w:rPr>
          <w:rFonts w:ascii="Times New Roman" w:hAnsi="Times New Roman" w:eastAsia="Times New Roman" w:cs="Times New Roman"/>
          <w:sz w:val="23"/>
          <w:szCs w:val="23"/>
        </w:rPr>
      </w:pPr>
      <w:r>
        <w:rPr>
          <w:rFonts w:ascii="Times New Roman" w:hAnsi="Times New Roman" w:eastAsia="Times New Roman" w:cs="Times New Roman"/>
          <w:position w:val="1"/>
          <w:sz w:val="23"/>
          <w:szCs w:val="23"/>
        </w:rPr>
        <w:t>W</w:t>
      </w:r>
      <w:r>
        <w:rPr>
          <w:rFonts w:ascii="宋体" w:hAnsi="宋体" w:eastAsia="宋体" w:cs="宋体"/>
          <w:spacing w:val="31"/>
          <w:position w:val="1"/>
          <w:sz w:val="23"/>
          <w:szCs w:val="23"/>
        </w:rPr>
        <w:t>＝</w:t>
      </w:r>
      <w:r>
        <w:rPr>
          <w:rFonts w:ascii="Times New Roman" w:hAnsi="Times New Roman" w:eastAsia="Times New Roman" w:cs="Times New Roman"/>
          <w:position w:val="1"/>
          <w:sz w:val="23"/>
          <w:szCs w:val="23"/>
        </w:rPr>
        <w:t>WB</w:t>
      </w:r>
      <w:r>
        <w:rPr>
          <w:rFonts w:ascii="宋体" w:hAnsi="宋体" w:eastAsia="宋体" w:cs="宋体"/>
          <w:spacing w:val="30"/>
          <w:position w:val="1"/>
          <w:sz w:val="23"/>
          <w:szCs w:val="23"/>
        </w:rPr>
        <w:t>＋</w:t>
      </w:r>
      <w:r>
        <w:rPr>
          <w:rFonts w:ascii="Times New Roman" w:hAnsi="Times New Roman" w:eastAsia="Times New Roman" w:cs="Times New Roman"/>
          <w:position w:val="1"/>
          <w:sz w:val="23"/>
          <w:szCs w:val="23"/>
        </w:rPr>
        <w:t>WK</w:t>
      </w:r>
    </w:p>
    <w:p w14:paraId="4DFA3C00">
      <w:pPr>
        <w:spacing w:line="287" w:lineRule="auto"/>
        <w:rPr>
          <w:rFonts w:ascii="Arial"/>
          <w:sz w:val="21"/>
        </w:rPr>
      </w:pPr>
    </w:p>
    <w:p w14:paraId="1ED13402">
      <w:pPr>
        <w:spacing w:before="75" w:line="186" w:lineRule="auto"/>
        <w:ind w:left="591"/>
        <w:rPr>
          <w:rFonts w:ascii="Times New Roman" w:hAnsi="Times New Roman" w:eastAsia="Times New Roman" w:cs="Times New Roman"/>
          <w:sz w:val="23"/>
          <w:szCs w:val="23"/>
        </w:rPr>
      </w:pPr>
      <w:r>
        <w:rPr>
          <w:rFonts w:ascii="Times New Roman" w:hAnsi="Times New Roman" w:eastAsia="Times New Roman" w:cs="Times New Roman"/>
          <w:sz w:val="23"/>
          <w:szCs w:val="23"/>
        </w:rPr>
        <w:t>WB</w:t>
      </w:r>
      <w:r>
        <w:rPr>
          <w:rFonts w:ascii="宋体" w:hAnsi="宋体" w:eastAsia="宋体" w:cs="宋体"/>
          <w:spacing w:val="18"/>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17"/>
          <w:sz w:val="23"/>
          <w:szCs w:val="23"/>
        </w:rPr>
        <w:t>×</w:t>
      </w:r>
      <w:r>
        <w:rPr>
          <w:rFonts w:ascii="Times New Roman" w:hAnsi="Times New Roman" w:eastAsia="Times New Roman" w:cs="Times New Roman"/>
          <w:sz w:val="23"/>
          <w:szCs w:val="23"/>
        </w:rPr>
        <w:t>B</w:t>
      </w:r>
      <w:r>
        <w:rPr>
          <w:rFonts w:ascii="Times New Roman" w:hAnsi="Times New Roman" w:eastAsia="Times New Roman" w:cs="Times New Roman"/>
          <w:spacing w:val="17"/>
          <w:sz w:val="23"/>
          <w:szCs w:val="23"/>
        </w:rPr>
        <w:t>×</w:t>
      </w:r>
      <w:r>
        <w:rPr>
          <w:rFonts w:ascii="Times New Roman" w:hAnsi="Times New Roman" w:eastAsia="Times New Roman" w:cs="Times New Roman"/>
          <w:sz w:val="23"/>
          <w:szCs w:val="23"/>
        </w:rPr>
        <w:t>T</w:t>
      </w:r>
    </w:p>
    <w:p w14:paraId="1B65EF04">
      <w:pPr>
        <w:spacing w:before="308" w:line="627" w:lineRule="exact"/>
        <w:ind w:left="591"/>
        <w:rPr>
          <w:rFonts w:ascii="Times New Roman" w:hAnsi="Times New Roman" w:eastAsia="Times New Roman" w:cs="Times New Roman"/>
          <w:sz w:val="23"/>
          <w:szCs w:val="23"/>
        </w:rPr>
      </w:pPr>
      <w:r>
        <w:rPr>
          <w:rFonts w:ascii="Times New Roman" w:hAnsi="Times New Roman" w:eastAsia="Times New Roman" w:cs="Times New Roman"/>
          <w:position w:val="28"/>
          <w:sz w:val="23"/>
          <w:szCs w:val="23"/>
        </w:rPr>
        <w:t>WK</w:t>
      </w:r>
      <w:r>
        <w:rPr>
          <w:rFonts w:ascii="宋体" w:hAnsi="宋体" w:eastAsia="宋体" w:cs="宋体"/>
          <w:spacing w:val="9"/>
          <w:position w:val="28"/>
          <w:sz w:val="23"/>
          <w:szCs w:val="23"/>
        </w:rPr>
        <w:t>＝</w:t>
      </w:r>
      <w:r>
        <w:rPr>
          <w:rFonts w:ascii="Times New Roman" w:hAnsi="Times New Roman" w:eastAsia="Times New Roman" w:cs="Times New Roman"/>
          <w:position w:val="28"/>
          <w:sz w:val="23"/>
          <w:szCs w:val="23"/>
        </w:rPr>
        <w:t>A</w:t>
      </w:r>
      <w:r>
        <w:rPr>
          <w:rFonts w:ascii="Times New Roman" w:hAnsi="Times New Roman" w:eastAsia="Times New Roman" w:cs="Times New Roman"/>
          <w:spacing w:val="6"/>
          <w:position w:val="28"/>
          <w:sz w:val="23"/>
          <w:szCs w:val="23"/>
        </w:rPr>
        <w:t>×(</w:t>
      </w:r>
      <w:r>
        <w:rPr>
          <w:rFonts w:ascii="Times New Roman" w:hAnsi="Times New Roman" w:eastAsia="Times New Roman" w:cs="Times New Roman"/>
          <w:position w:val="28"/>
          <w:sz w:val="23"/>
          <w:szCs w:val="23"/>
        </w:rPr>
        <w:t>P</w:t>
      </w:r>
      <w:r>
        <w:rPr>
          <w:rFonts w:ascii="Times New Roman" w:hAnsi="Times New Roman" w:eastAsia="Times New Roman" w:cs="Times New Roman"/>
          <w:spacing w:val="6"/>
          <w:position w:val="28"/>
          <w:sz w:val="23"/>
          <w:szCs w:val="23"/>
        </w:rPr>
        <w:t>11</w:t>
      </w:r>
      <w:r>
        <w:rPr>
          <w:rFonts w:ascii="宋体" w:hAnsi="宋体" w:eastAsia="宋体" w:cs="宋体"/>
          <w:spacing w:val="6"/>
          <w:position w:val="28"/>
          <w:sz w:val="23"/>
          <w:szCs w:val="23"/>
        </w:rPr>
        <w:t>＋</w:t>
      </w:r>
      <w:r>
        <w:rPr>
          <w:rFonts w:ascii="Times New Roman" w:hAnsi="Times New Roman" w:eastAsia="Times New Roman" w:cs="Times New Roman"/>
          <w:position w:val="28"/>
          <w:sz w:val="23"/>
          <w:szCs w:val="23"/>
        </w:rPr>
        <w:t>P</w:t>
      </w:r>
      <w:r>
        <w:rPr>
          <w:rFonts w:ascii="Times New Roman" w:hAnsi="Times New Roman" w:eastAsia="Times New Roman" w:cs="Times New Roman"/>
          <w:spacing w:val="6"/>
          <w:position w:val="28"/>
          <w:sz w:val="23"/>
          <w:szCs w:val="23"/>
        </w:rPr>
        <w:t>12</w:t>
      </w:r>
      <w:r>
        <w:rPr>
          <w:rFonts w:ascii="宋体" w:hAnsi="宋体" w:eastAsia="宋体" w:cs="宋体"/>
          <w:spacing w:val="6"/>
          <w:position w:val="28"/>
          <w:sz w:val="23"/>
          <w:szCs w:val="23"/>
        </w:rPr>
        <w:t>＋</w:t>
      </w:r>
      <w:r>
        <w:rPr>
          <w:rFonts w:ascii="Times New Roman" w:hAnsi="Times New Roman" w:eastAsia="Times New Roman" w:cs="Times New Roman"/>
          <w:position w:val="28"/>
          <w:sz w:val="23"/>
          <w:szCs w:val="23"/>
        </w:rPr>
        <w:t>P</w:t>
      </w:r>
      <w:r>
        <w:rPr>
          <w:rFonts w:ascii="Times New Roman" w:hAnsi="Times New Roman" w:eastAsia="Times New Roman" w:cs="Times New Roman"/>
          <w:spacing w:val="6"/>
          <w:position w:val="28"/>
          <w:sz w:val="23"/>
          <w:szCs w:val="23"/>
        </w:rPr>
        <w:t>13</w:t>
      </w:r>
      <w:r>
        <w:rPr>
          <w:rFonts w:ascii="宋体" w:hAnsi="宋体" w:eastAsia="宋体" w:cs="宋体"/>
          <w:spacing w:val="6"/>
          <w:position w:val="28"/>
          <w:sz w:val="23"/>
          <w:szCs w:val="23"/>
        </w:rPr>
        <w:t>＋</w:t>
      </w:r>
      <w:r>
        <w:rPr>
          <w:rFonts w:ascii="Times New Roman" w:hAnsi="Times New Roman" w:eastAsia="Times New Roman" w:cs="Times New Roman"/>
          <w:position w:val="28"/>
          <w:sz w:val="23"/>
          <w:szCs w:val="23"/>
        </w:rPr>
        <w:t>P</w:t>
      </w:r>
      <w:r>
        <w:rPr>
          <w:rFonts w:ascii="Times New Roman" w:hAnsi="Times New Roman" w:eastAsia="Times New Roman" w:cs="Times New Roman"/>
          <w:spacing w:val="6"/>
          <w:position w:val="28"/>
          <w:sz w:val="23"/>
          <w:szCs w:val="23"/>
        </w:rPr>
        <w:t>14</w:t>
      </w:r>
      <w:r>
        <w:rPr>
          <w:rFonts w:ascii="宋体" w:hAnsi="宋体" w:eastAsia="宋体" w:cs="宋体"/>
          <w:spacing w:val="6"/>
          <w:position w:val="28"/>
          <w:sz w:val="23"/>
          <w:szCs w:val="23"/>
        </w:rPr>
        <w:t>＋</w:t>
      </w:r>
      <w:r>
        <w:rPr>
          <w:rFonts w:ascii="Times New Roman" w:hAnsi="Times New Roman" w:eastAsia="Times New Roman" w:cs="Times New Roman"/>
          <w:position w:val="28"/>
          <w:sz w:val="23"/>
          <w:szCs w:val="23"/>
        </w:rPr>
        <w:t>P</w:t>
      </w:r>
      <w:r>
        <w:rPr>
          <w:rFonts w:ascii="Times New Roman" w:hAnsi="Times New Roman" w:eastAsia="Times New Roman" w:cs="Times New Roman"/>
          <w:spacing w:val="6"/>
          <w:position w:val="28"/>
          <w:sz w:val="23"/>
          <w:szCs w:val="23"/>
        </w:rPr>
        <w:t>15</w:t>
      </w:r>
      <w:r>
        <w:rPr>
          <w:rFonts w:ascii="宋体" w:hAnsi="宋体" w:eastAsia="宋体" w:cs="宋体"/>
          <w:spacing w:val="6"/>
          <w:position w:val="28"/>
          <w:sz w:val="23"/>
          <w:szCs w:val="23"/>
        </w:rPr>
        <w:t>＋</w:t>
      </w:r>
      <w:r>
        <w:rPr>
          <w:rFonts w:ascii="Times New Roman" w:hAnsi="Times New Roman" w:eastAsia="Times New Roman" w:cs="Times New Roman"/>
          <w:position w:val="28"/>
          <w:sz w:val="23"/>
          <w:szCs w:val="23"/>
        </w:rPr>
        <w:t>P</w:t>
      </w:r>
      <w:r>
        <w:rPr>
          <w:rFonts w:ascii="Times New Roman" w:hAnsi="Times New Roman" w:eastAsia="Times New Roman" w:cs="Times New Roman"/>
          <w:spacing w:val="6"/>
          <w:position w:val="28"/>
          <w:sz w:val="23"/>
          <w:szCs w:val="23"/>
        </w:rPr>
        <w:t>2) ×</w:t>
      </w:r>
      <w:r>
        <w:rPr>
          <w:rFonts w:ascii="Times New Roman" w:hAnsi="Times New Roman" w:eastAsia="Times New Roman" w:cs="Times New Roman"/>
          <w:position w:val="28"/>
          <w:sz w:val="23"/>
          <w:szCs w:val="23"/>
        </w:rPr>
        <w:t>T</w:t>
      </w:r>
    </w:p>
    <w:p w14:paraId="393D82C6">
      <w:pPr>
        <w:spacing w:line="322" w:lineRule="exact"/>
        <w:ind w:left="602"/>
        <w:rPr>
          <w:rFonts w:ascii="宋体" w:hAnsi="宋体" w:eastAsia="宋体" w:cs="宋体"/>
          <w:sz w:val="23"/>
          <w:szCs w:val="23"/>
        </w:rPr>
      </w:pPr>
      <w:r>
        <w:rPr>
          <w:rFonts w:ascii="宋体" w:hAnsi="宋体" w:eastAsia="宋体" w:cs="宋体"/>
          <w:spacing w:val="11"/>
          <w:position w:val="1"/>
          <w:sz w:val="23"/>
          <w:szCs w:val="23"/>
        </w:rPr>
        <w:t>式</w:t>
      </w:r>
      <w:r>
        <w:rPr>
          <w:rFonts w:ascii="宋体" w:hAnsi="宋体" w:eastAsia="宋体" w:cs="宋体"/>
          <w:spacing w:val="9"/>
          <w:position w:val="1"/>
          <w:sz w:val="23"/>
          <w:szCs w:val="23"/>
        </w:rPr>
        <w:t>中：</w:t>
      </w:r>
      <w:r>
        <w:rPr>
          <w:rFonts w:ascii="Times New Roman" w:hAnsi="Times New Roman" w:eastAsia="Times New Roman" w:cs="Times New Roman"/>
          <w:position w:val="1"/>
          <w:sz w:val="23"/>
          <w:szCs w:val="23"/>
        </w:rPr>
        <w:t>W</w:t>
      </w:r>
      <w:r>
        <w:rPr>
          <w:rFonts w:ascii="宋体" w:hAnsi="宋体" w:eastAsia="宋体" w:cs="宋体"/>
          <w:spacing w:val="9"/>
          <w:position w:val="1"/>
          <w:sz w:val="23"/>
          <w:szCs w:val="23"/>
        </w:rPr>
        <w:t>：施工工地扬尘排放量，</w:t>
      </w:r>
      <w:r>
        <w:rPr>
          <w:rFonts w:ascii="Times New Roman" w:hAnsi="Times New Roman" w:eastAsia="Times New Roman" w:cs="Times New Roman"/>
          <w:position w:val="1"/>
          <w:sz w:val="23"/>
          <w:szCs w:val="23"/>
        </w:rPr>
        <w:t>t</w:t>
      </w:r>
      <w:r>
        <w:rPr>
          <w:rFonts w:ascii="宋体" w:hAnsi="宋体" w:eastAsia="宋体" w:cs="宋体"/>
          <w:spacing w:val="9"/>
          <w:position w:val="1"/>
          <w:sz w:val="23"/>
          <w:szCs w:val="23"/>
        </w:rPr>
        <w:t>；</w:t>
      </w:r>
    </w:p>
    <w:p w14:paraId="6132BCF8">
      <w:pPr>
        <w:spacing w:before="304" w:line="626" w:lineRule="exact"/>
        <w:ind w:left="1311"/>
        <w:rPr>
          <w:rFonts w:ascii="宋体" w:hAnsi="宋体" w:eastAsia="宋体" w:cs="宋体"/>
          <w:sz w:val="23"/>
          <w:szCs w:val="23"/>
        </w:rPr>
      </w:pPr>
      <w:r>
        <w:rPr>
          <w:rFonts w:ascii="Times New Roman" w:hAnsi="Times New Roman" w:eastAsia="Times New Roman" w:cs="Times New Roman"/>
          <w:position w:val="27"/>
          <w:sz w:val="23"/>
          <w:szCs w:val="23"/>
        </w:rPr>
        <w:t>WB</w:t>
      </w:r>
      <w:r>
        <w:rPr>
          <w:rFonts w:ascii="宋体" w:hAnsi="宋体" w:eastAsia="宋体" w:cs="宋体"/>
          <w:spacing w:val="15"/>
          <w:position w:val="27"/>
          <w:sz w:val="23"/>
          <w:szCs w:val="23"/>
        </w:rPr>
        <w:t>：</w:t>
      </w:r>
      <w:r>
        <w:rPr>
          <w:rFonts w:ascii="宋体" w:hAnsi="宋体" w:eastAsia="宋体" w:cs="宋体"/>
          <w:spacing w:val="10"/>
          <w:position w:val="27"/>
          <w:sz w:val="23"/>
          <w:szCs w:val="23"/>
        </w:rPr>
        <w:t>基本排放量，</w:t>
      </w:r>
      <w:r>
        <w:rPr>
          <w:rFonts w:ascii="Times New Roman" w:hAnsi="Times New Roman" w:eastAsia="Times New Roman" w:cs="Times New Roman"/>
          <w:position w:val="27"/>
          <w:sz w:val="23"/>
          <w:szCs w:val="23"/>
        </w:rPr>
        <w:t>t</w:t>
      </w:r>
      <w:r>
        <w:rPr>
          <w:rFonts w:ascii="宋体" w:hAnsi="宋体" w:eastAsia="宋体" w:cs="宋体"/>
          <w:spacing w:val="10"/>
          <w:position w:val="27"/>
          <w:sz w:val="23"/>
          <w:szCs w:val="23"/>
        </w:rPr>
        <w:t>；</w:t>
      </w:r>
    </w:p>
    <w:p w14:paraId="22229F82">
      <w:pPr>
        <w:spacing w:line="323" w:lineRule="exact"/>
        <w:ind w:left="1311"/>
        <w:rPr>
          <w:rFonts w:ascii="宋体" w:hAnsi="宋体" w:eastAsia="宋体" w:cs="宋体"/>
          <w:sz w:val="23"/>
          <w:szCs w:val="23"/>
        </w:rPr>
      </w:pPr>
      <w:r>
        <w:rPr>
          <w:rFonts w:ascii="Times New Roman" w:hAnsi="Times New Roman" w:eastAsia="Times New Roman" w:cs="Times New Roman"/>
          <w:position w:val="3"/>
          <w:sz w:val="23"/>
          <w:szCs w:val="23"/>
        </w:rPr>
        <w:t>WK</w:t>
      </w:r>
      <w:r>
        <w:rPr>
          <w:rFonts w:ascii="宋体" w:hAnsi="宋体" w:eastAsia="宋体" w:cs="宋体"/>
          <w:spacing w:val="15"/>
          <w:position w:val="3"/>
          <w:sz w:val="23"/>
          <w:szCs w:val="23"/>
        </w:rPr>
        <w:t>：</w:t>
      </w:r>
      <w:r>
        <w:rPr>
          <w:rFonts w:ascii="宋体" w:hAnsi="宋体" w:eastAsia="宋体" w:cs="宋体"/>
          <w:spacing w:val="10"/>
          <w:position w:val="3"/>
          <w:sz w:val="23"/>
          <w:szCs w:val="23"/>
        </w:rPr>
        <w:t>可控排放量，</w:t>
      </w:r>
      <w:r>
        <w:rPr>
          <w:rFonts w:ascii="Times New Roman" w:hAnsi="Times New Roman" w:eastAsia="Times New Roman" w:cs="Times New Roman"/>
          <w:position w:val="3"/>
          <w:sz w:val="23"/>
          <w:szCs w:val="23"/>
        </w:rPr>
        <w:t>t</w:t>
      </w:r>
      <w:r>
        <w:rPr>
          <w:rFonts w:ascii="宋体" w:hAnsi="宋体" w:eastAsia="宋体" w:cs="宋体"/>
          <w:spacing w:val="10"/>
          <w:position w:val="3"/>
          <w:sz w:val="23"/>
          <w:szCs w:val="23"/>
        </w:rPr>
        <w:t>；</w:t>
      </w:r>
    </w:p>
    <w:p w14:paraId="33B06EF9">
      <w:pPr>
        <w:spacing w:before="304" w:line="323" w:lineRule="exact"/>
        <w:ind w:left="1309"/>
        <w:rPr>
          <w:rFonts w:ascii="宋体" w:hAnsi="宋体" w:eastAsia="宋体" w:cs="宋体"/>
          <w:sz w:val="23"/>
          <w:szCs w:val="23"/>
        </w:rPr>
      </w:pPr>
      <w:r>
        <w:rPr>
          <w:rFonts w:ascii="Times New Roman" w:hAnsi="Times New Roman" w:eastAsia="Times New Roman" w:cs="Times New Roman"/>
          <w:position w:val="3"/>
          <w:sz w:val="23"/>
          <w:szCs w:val="23"/>
        </w:rPr>
        <w:t>A</w:t>
      </w:r>
      <w:r>
        <w:rPr>
          <w:rFonts w:ascii="宋体" w:hAnsi="宋体" w:eastAsia="宋体" w:cs="宋体"/>
          <w:spacing w:val="5"/>
          <w:position w:val="3"/>
          <w:sz w:val="23"/>
          <w:szCs w:val="23"/>
        </w:rPr>
        <w:t>：</w:t>
      </w:r>
      <w:r>
        <w:rPr>
          <w:rFonts w:ascii="宋体" w:hAnsi="宋体" w:eastAsia="宋体" w:cs="宋体"/>
          <w:spacing w:val="3"/>
          <w:position w:val="3"/>
          <w:sz w:val="23"/>
          <w:szCs w:val="23"/>
        </w:rPr>
        <w:t>建筑面积</w:t>
      </w:r>
      <w:r>
        <w:rPr>
          <w:rFonts w:ascii="Times New Roman" w:hAnsi="Times New Roman" w:eastAsia="Times New Roman" w:cs="Times New Roman"/>
          <w:spacing w:val="3"/>
          <w:position w:val="3"/>
          <w:sz w:val="23"/>
          <w:szCs w:val="23"/>
        </w:rPr>
        <w:t>(</w:t>
      </w:r>
      <w:r>
        <w:rPr>
          <w:rFonts w:ascii="宋体" w:hAnsi="宋体" w:eastAsia="宋体" w:cs="宋体"/>
          <w:spacing w:val="3"/>
          <w:position w:val="3"/>
          <w:sz w:val="23"/>
          <w:szCs w:val="23"/>
        </w:rPr>
        <w:t>建筑工地按施工面积</w:t>
      </w:r>
      <w:r>
        <w:rPr>
          <w:rFonts w:ascii="Times New Roman" w:hAnsi="Times New Roman" w:eastAsia="Times New Roman" w:cs="Times New Roman"/>
          <w:spacing w:val="3"/>
          <w:position w:val="3"/>
          <w:sz w:val="23"/>
          <w:szCs w:val="23"/>
        </w:rPr>
        <w:t xml:space="preserve">) </w:t>
      </w:r>
      <w:r>
        <w:rPr>
          <w:rFonts w:ascii="宋体" w:hAnsi="宋体" w:eastAsia="宋体" w:cs="宋体"/>
          <w:spacing w:val="3"/>
          <w:position w:val="3"/>
          <w:sz w:val="23"/>
          <w:szCs w:val="23"/>
        </w:rPr>
        <w:t xml:space="preserve">，万 </w:t>
      </w:r>
      <w:r>
        <w:rPr>
          <w:rFonts w:ascii="Times New Roman" w:hAnsi="Times New Roman" w:eastAsia="Times New Roman" w:cs="Times New Roman"/>
          <w:position w:val="3"/>
          <w:sz w:val="23"/>
          <w:szCs w:val="23"/>
        </w:rPr>
        <w:t>m</w:t>
      </w:r>
      <w:r>
        <w:rPr>
          <w:rFonts w:ascii="Times New Roman" w:hAnsi="Times New Roman" w:eastAsia="Times New Roman" w:cs="Times New Roman"/>
          <w:spacing w:val="3"/>
          <w:position w:val="11"/>
          <w:sz w:val="15"/>
          <w:szCs w:val="15"/>
        </w:rPr>
        <w:t>2</w:t>
      </w:r>
      <w:r>
        <w:rPr>
          <w:rFonts w:ascii="宋体" w:hAnsi="宋体" w:eastAsia="宋体" w:cs="宋体"/>
          <w:spacing w:val="3"/>
          <w:position w:val="3"/>
          <w:sz w:val="23"/>
          <w:szCs w:val="23"/>
        </w:rPr>
        <w:t>；</w:t>
      </w:r>
    </w:p>
    <w:p w14:paraId="655E3293">
      <w:pPr>
        <w:spacing w:before="303" w:line="323" w:lineRule="exact"/>
        <w:ind w:left="1312"/>
        <w:rPr>
          <w:rFonts w:ascii="宋体" w:hAnsi="宋体" w:eastAsia="宋体" w:cs="宋体"/>
          <w:sz w:val="23"/>
          <w:szCs w:val="23"/>
        </w:rPr>
      </w:pPr>
      <w:r>
        <w:rPr>
          <w:rFonts w:ascii="Times New Roman" w:hAnsi="Times New Roman" w:eastAsia="Times New Roman" w:cs="Times New Roman"/>
          <w:spacing w:val="-8"/>
          <w:position w:val="2"/>
          <w:sz w:val="23"/>
          <w:szCs w:val="23"/>
        </w:rPr>
        <w:t>B</w:t>
      </w:r>
      <w:r>
        <w:rPr>
          <w:rFonts w:ascii="Times New Roman" w:hAnsi="Times New Roman" w:eastAsia="Times New Roman" w:cs="Times New Roman"/>
          <w:spacing w:val="-16"/>
          <w:position w:val="2"/>
          <w:sz w:val="23"/>
          <w:szCs w:val="23"/>
        </w:rPr>
        <w:t xml:space="preserve"> </w:t>
      </w:r>
      <w:r>
        <w:rPr>
          <w:rFonts w:ascii="宋体" w:hAnsi="宋体" w:eastAsia="宋体" w:cs="宋体"/>
          <w:spacing w:val="-16"/>
          <w:position w:val="2"/>
          <w:sz w:val="23"/>
          <w:szCs w:val="23"/>
        </w:rPr>
        <w:t>：基</w:t>
      </w:r>
      <w:r>
        <w:rPr>
          <w:rFonts w:ascii="宋体" w:hAnsi="宋体" w:eastAsia="宋体" w:cs="宋体"/>
          <w:spacing w:val="-10"/>
          <w:position w:val="2"/>
          <w:sz w:val="23"/>
          <w:szCs w:val="23"/>
        </w:rPr>
        <w:t>本</w:t>
      </w:r>
      <w:r>
        <w:rPr>
          <w:rFonts w:ascii="宋体" w:hAnsi="宋体" w:eastAsia="宋体" w:cs="宋体"/>
          <w:spacing w:val="-8"/>
          <w:position w:val="2"/>
          <w:sz w:val="23"/>
          <w:szCs w:val="23"/>
        </w:rPr>
        <w:t>排放量排放系数，</w:t>
      </w:r>
      <w:r>
        <w:rPr>
          <w:rFonts w:ascii="Times New Roman" w:hAnsi="Times New Roman" w:eastAsia="Times New Roman" w:cs="Times New Roman"/>
          <w:spacing w:val="-8"/>
          <w:position w:val="2"/>
          <w:sz w:val="23"/>
          <w:szCs w:val="23"/>
        </w:rPr>
        <w:t>t/</w:t>
      </w:r>
      <w:r>
        <w:rPr>
          <w:rFonts w:ascii="宋体" w:hAnsi="宋体" w:eastAsia="宋体" w:cs="宋体"/>
          <w:spacing w:val="-8"/>
          <w:position w:val="2"/>
          <w:sz w:val="23"/>
          <w:szCs w:val="23"/>
        </w:rPr>
        <w:t xml:space="preserve">万 </w:t>
      </w:r>
      <w:r>
        <w:rPr>
          <w:rFonts w:ascii="Times New Roman" w:hAnsi="Times New Roman" w:eastAsia="Times New Roman" w:cs="Times New Roman"/>
          <w:spacing w:val="-8"/>
          <w:position w:val="2"/>
          <w:sz w:val="23"/>
          <w:szCs w:val="23"/>
        </w:rPr>
        <w:t>m</w:t>
      </w:r>
      <w:r>
        <w:rPr>
          <w:rFonts w:ascii="Times New Roman" w:hAnsi="Times New Roman" w:eastAsia="Times New Roman" w:cs="Times New Roman"/>
          <w:spacing w:val="-8"/>
          <w:position w:val="10"/>
          <w:sz w:val="15"/>
          <w:szCs w:val="15"/>
        </w:rPr>
        <w:t xml:space="preserve">2 </w:t>
      </w:r>
      <w:r>
        <w:rPr>
          <w:rFonts w:ascii="Wingdings" w:hAnsi="Wingdings" w:eastAsia="Wingdings" w:cs="Wingdings"/>
          <w:spacing w:val="-8"/>
          <w:position w:val="2"/>
          <w:sz w:val="23"/>
          <w:szCs w:val="23"/>
        </w:rPr>
        <w:t>1</w:t>
      </w:r>
      <w:r>
        <w:rPr>
          <w:rFonts w:ascii="宋体" w:hAnsi="宋体" w:eastAsia="宋体" w:cs="宋体"/>
          <w:spacing w:val="-8"/>
          <w:position w:val="2"/>
          <w:sz w:val="23"/>
          <w:szCs w:val="23"/>
        </w:rPr>
        <w:t xml:space="preserve">月，详见表 </w:t>
      </w:r>
      <w:r>
        <w:rPr>
          <w:rFonts w:ascii="Times New Roman" w:hAnsi="Times New Roman" w:eastAsia="Times New Roman" w:cs="Times New Roman"/>
          <w:spacing w:val="-8"/>
          <w:position w:val="2"/>
          <w:sz w:val="23"/>
          <w:szCs w:val="23"/>
        </w:rPr>
        <w:t>3- 10</w:t>
      </w:r>
      <w:r>
        <w:rPr>
          <w:rFonts w:ascii="宋体" w:hAnsi="宋体" w:eastAsia="宋体" w:cs="宋体"/>
          <w:spacing w:val="-8"/>
          <w:position w:val="2"/>
          <w:sz w:val="23"/>
          <w:szCs w:val="23"/>
        </w:rPr>
        <w:t>；</w:t>
      </w:r>
    </w:p>
    <w:p w14:paraId="223E707A">
      <w:pPr>
        <w:spacing w:line="268" w:lineRule="auto"/>
        <w:rPr>
          <w:rFonts w:ascii="Arial"/>
          <w:sz w:val="21"/>
        </w:rPr>
      </w:pPr>
    </w:p>
    <w:p w14:paraId="3BF41469">
      <w:pPr>
        <w:spacing w:before="75" w:line="378" w:lineRule="auto"/>
        <w:ind w:left="116" w:right="100" w:firstLine="1195"/>
        <w:rPr>
          <w:rFonts w:ascii="宋体" w:hAnsi="宋体" w:eastAsia="宋体" w:cs="宋体"/>
          <w:sz w:val="23"/>
          <w:szCs w:val="23"/>
        </w:rPr>
      </w:pPr>
      <w:r>
        <w:rPr>
          <w:rFonts w:ascii="Times New Roman" w:hAnsi="Times New Roman" w:eastAsia="Times New Roman" w:cs="Times New Roman"/>
          <w:sz w:val="23"/>
          <w:szCs w:val="23"/>
        </w:rPr>
        <w:t>P</w:t>
      </w:r>
      <w:r>
        <w:rPr>
          <w:rFonts w:ascii="Times New Roman" w:hAnsi="Times New Roman" w:eastAsia="Times New Roman" w:cs="Times New Roman"/>
          <w:spacing w:val="1"/>
          <w:sz w:val="23"/>
          <w:szCs w:val="23"/>
        </w:rPr>
        <w:t xml:space="preserve">11 </w:t>
      </w:r>
      <w:r>
        <w:rPr>
          <w:rFonts w:ascii="宋体" w:hAnsi="宋体" w:eastAsia="宋体" w:cs="宋体"/>
          <w:spacing w:val="1"/>
          <w:sz w:val="23"/>
          <w:szCs w:val="23"/>
        </w:rPr>
        <w:t>、</w:t>
      </w:r>
      <w:r>
        <w:rPr>
          <w:rFonts w:ascii="Times New Roman" w:hAnsi="Times New Roman" w:eastAsia="Times New Roman" w:cs="Times New Roman"/>
          <w:sz w:val="23"/>
          <w:szCs w:val="23"/>
        </w:rPr>
        <w:t>P</w:t>
      </w:r>
      <w:r>
        <w:rPr>
          <w:rFonts w:ascii="Times New Roman" w:hAnsi="Times New Roman" w:eastAsia="Times New Roman" w:cs="Times New Roman"/>
          <w:spacing w:val="1"/>
          <w:sz w:val="23"/>
          <w:szCs w:val="23"/>
        </w:rPr>
        <w:t xml:space="preserve">12 </w:t>
      </w:r>
      <w:r>
        <w:rPr>
          <w:rFonts w:ascii="宋体" w:hAnsi="宋体" w:eastAsia="宋体" w:cs="宋体"/>
          <w:spacing w:val="1"/>
          <w:sz w:val="23"/>
          <w:szCs w:val="23"/>
        </w:rPr>
        <w:t>、</w:t>
      </w:r>
      <w:r>
        <w:rPr>
          <w:rFonts w:ascii="Times New Roman" w:hAnsi="Times New Roman" w:eastAsia="Times New Roman" w:cs="Times New Roman"/>
          <w:sz w:val="23"/>
          <w:szCs w:val="23"/>
        </w:rPr>
        <w:t>P</w:t>
      </w:r>
      <w:r>
        <w:rPr>
          <w:rFonts w:ascii="Times New Roman" w:hAnsi="Times New Roman" w:eastAsia="Times New Roman" w:cs="Times New Roman"/>
          <w:spacing w:val="1"/>
          <w:sz w:val="23"/>
          <w:szCs w:val="23"/>
        </w:rPr>
        <w:t xml:space="preserve">13 </w:t>
      </w:r>
      <w:r>
        <w:rPr>
          <w:rFonts w:ascii="宋体" w:hAnsi="宋体" w:eastAsia="宋体" w:cs="宋体"/>
          <w:spacing w:val="1"/>
          <w:sz w:val="23"/>
          <w:szCs w:val="23"/>
        </w:rPr>
        <w:t>、</w:t>
      </w:r>
      <w:r>
        <w:rPr>
          <w:rFonts w:ascii="Times New Roman" w:hAnsi="Times New Roman" w:eastAsia="Times New Roman" w:cs="Times New Roman"/>
          <w:sz w:val="23"/>
          <w:szCs w:val="23"/>
        </w:rPr>
        <w:t>P</w:t>
      </w:r>
      <w:r>
        <w:rPr>
          <w:rFonts w:ascii="Times New Roman" w:hAnsi="Times New Roman" w:eastAsia="Times New Roman" w:cs="Times New Roman"/>
          <w:spacing w:val="1"/>
          <w:sz w:val="23"/>
          <w:szCs w:val="23"/>
        </w:rPr>
        <w:t xml:space="preserve">14 </w:t>
      </w:r>
      <w:r>
        <w:rPr>
          <w:rFonts w:ascii="宋体" w:hAnsi="宋体" w:eastAsia="宋体" w:cs="宋体"/>
          <w:spacing w:val="1"/>
          <w:sz w:val="23"/>
          <w:szCs w:val="23"/>
        </w:rPr>
        <w:t>、</w:t>
      </w:r>
      <w:r>
        <w:rPr>
          <w:rFonts w:ascii="Times New Roman" w:hAnsi="Times New Roman" w:eastAsia="Times New Roman" w:cs="Times New Roman"/>
          <w:sz w:val="23"/>
          <w:szCs w:val="23"/>
        </w:rPr>
        <w:t>P</w:t>
      </w:r>
      <w:r>
        <w:rPr>
          <w:rFonts w:ascii="Times New Roman" w:hAnsi="Times New Roman" w:eastAsia="Times New Roman" w:cs="Times New Roman"/>
          <w:spacing w:val="1"/>
          <w:sz w:val="23"/>
          <w:szCs w:val="23"/>
        </w:rPr>
        <w:t>15</w:t>
      </w:r>
      <w:r>
        <w:rPr>
          <w:rFonts w:ascii="宋体" w:hAnsi="宋体" w:eastAsia="宋体" w:cs="宋体"/>
          <w:spacing w:val="1"/>
          <w:sz w:val="23"/>
          <w:szCs w:val="23"/>
        </w:rPr>
        <w:t>：各项控制扬尘措施所对</w:t>
      </w:r>
      <w:r>
        <w:rPr>
          <w:rFonts w:ascii="宋体" w:hAnsi="宋体" w:eastAsia="宋体" w:cs="宋体"/>
          <w:sz w:val="23"/>
          <w:szCs w:val="23"/>
        </w:rPr>
        <w:t xml:space="preserve">应的一次扬尘可 </w:t>
      </w:r>
      <w:r>
        <w:rPr>
          <w:rFonts w:ascii="宋体" w:hAnsi="宋体" w:eastAsia="宋体" w:cs="宋体"/>
          <w:spacing w:val="4"/>
          <w:sz w:val="23"/>
          <w:szCs w:val="23"/>
        </w:rPr>
        <w:t>控排放量排</w:t>
      </w:r>
      <w:r>
        <w:rPr>
          <w:rFonts w:ascii="宋体" w:hAnsi="宋体" w:eastAsia="宋体" w:cs="宋体"/>
          <w:spacing w:val="2"/>
          <w:sz w:val="23"/>
          <w:szCs w:val="23"/>
        </w:rPr>
        <w:t>污系数，</w:t>
      </w:r>
      <w:r>
        <w:rPr>
          <w:rFonts w:ascii="Times New Roman" w:hAnsi="Times New Roman" w:eastAsia="Times New Roman" w:cs="Times New Roman"/>
          <w:sz w:val="23"/>
          <w:szCs w:val="23"/>
        </w:rPr>
        <w:t>t</w:t>
      </w:r>
      <w:r>
        <w:rPr>
          <w:rFonts w:ascii="Times New Roman" w:hAnsi="Times New Roman" w:eastAsia="Times New Roman" w:cs="Times New Roman"/>
          <w:spacing w:val="2"/>
          <w:sz w:val="23"/>
          <w:szCs w:val="23"/>
        </w:rPr>
        <w:t>/</w:t>
      </w:r>
      <w:r>
        <w:rPr>
          <w:rFonts w:ascii="宋体" w:hAnsi="宋体" w:eastAsia="宋体" w:cs="宋体"/>
          <w:spacing w:val="2"/>
          <w:sz w:val="23"/>
          <w:szCs w:val="23"/>
        </w:rPr>
        <w:t xml:space="preserve">万 </w:t>
      </w:r>
      <w:r>
        <w:rPr>
          <w:rFonts w:ascii="Times New Roman" w:hAnsi="Times New Roman" w:eastAsia="Times New Roman" w:cs="Times New Roman"/>
          <w:sz w:val="23"/>
          <w:szCs w:val="23"/>
        </w:rPr>
        <w:t>m</w:t>
      </w:r>
      <w:r>
        <w:rPr>
          <w:rFonts w:ascii="Times New Roman" w:hAnsi="Times New Roman" w:eastAsia="Times New Roman" w:cs="Times New Roman"/>
          <w:spacing w:val="2"/>
          <w:position w:val="8"/>
          <w:sz w:val="15"/>
          <w:szCs w:val="15"/>
        </w:rPr>
        <w:t xml:space="preserve">2 </w:t>
      </w:r>
      <w:r>
        <w:rPr>
          <w:rFonts w:ascii="Wingdings" w:hAnsi="Wingdings" w:eastAsia="Wingdings" w:cs="Wingdings"/>
          <w:spacing w:val="2"/>
          <w:sz w:val="23"/>
          <w:szCs w:val="23"/>
        </w:rPr>
        <w:t>1</w:t>
      </w:r>
      <w:r>
        <w:rPr>
          <w:rFonts w:ascii="宋体" w:hAnsi="宋体" w:eastAsia="宋体" w:cs="宋体"/>
          <w:spacing w:val="2"/>
          <w:sz w:val="23"/>
          <w:szCs w:val="23"/>
        </w:rPr>
        <w:t>月，</w:t>
      </w:r>
      <w:r>
        <w:rPr>
          <w:rFonts w:ascii="Times New Roman" w:hAnsi="Times New Roman" w:eastAsia="Times New Roman" w:cs="Times New Roman"/>
          <w:sz w:val="23"/>
          <w:szCs w:val="23"/>
        </w:rPr>
        <w:t>P</w:t>
      </w:r>
      <w:r>
        <w:rPr>
          <w:rFonts w:ascii="Times New Roman" w:hAnsi="Times New Roman" w:eastAsia="Times New Roman" w:cs="Times New Roman"/>
          <w:spacing w:val="2"/>
          <w:sz w:val="23"/>
          <w:szCs w:val="23"/>
        </w:rPr>
        <w:t>2</w:t>
      </w:r>
      <w:r>
        <w:rPr>
          <w:rFonts w:ascii="宋体" w:hAnsi="宋体" w:eastAsia="宋体" w:cs="宋体"/>
          <w:spacing w:val="2"/>
          <w:sz w:val="23"/>
          <w:szCs w:val="23"/>
        </w:rPr>
        <w:t>：控制运输车辆扬尘所对应二次扬尘可控排</w:t>
      </w:r>
      <w:r>
        <w:rPr>
          <w:rFonts w:ascii="宋体" w:hAnsi="宋体" w:eastAsia="宋体" w:cs="宋体"/>
          <w:sz w:val="23"/>
          <w:szCs w:val="23"/>
        </w:rPr>
        <w:t xml:space="preserve"> </w:t>
      </w:r>
      <w:r>
        <w:rPr>
          <w:rFonts w:ascii="宋体" w:hAnsi="宋体" w:eastAsia="宋体" w:cs="宋体"/>
          <w:spacing w:val="-16"/>
          <w:sz w:val="23"/>
          <w:szCs w:val="23"/>
        </w:rPr>
        <w:t>放</w:t>
      </w:r>
      <w:r>
        <w:rPr>
          <w:rFonts w:ascii="宋体" w:hAnsi="宋体" w:eastAsia="宋体" w:cs="宋体"/>
          <w:spacing w:val="-12"/>
          <w:sz w:val="23"/>
          <w:szCs w:val="23"/>
        </w:rPr>
        <w:t>量系数，</w:t>
      </w:r>
      <w:r>
        <w:rPr>
          <w:rFonts w:ascii="Times New Roman" w:hAnsi="Times New Roman" w:eastAsia="Times New Roman" w:cs="Times New Roman"/>
          <w:spacing w:val="-12"/>
          <w:sz w:val="23"/>
          <w:szCs w:val="23"/>
        </w:rPr>
        <w:t>t/</w:t>
      </w:r>
      <w:r>
        <w:rPr>
          <w:rFonts w:ascii="宋体" w:hAnsi="宋体" w:eastAsia="宋体" w:cs="宋体"/>
          <w:spacing w:val="-12"/>
          <w:sz w:val="23"/>
          <w:szCs w:val="23"/>
        </w:rPr>
        <w:t xml:space="preserve">万 </w:t>
      </w:r>
      <w:r>
        <w:rPr>
          <w:rFonts w:ascii="Times New Roman" w:hAnsi="Times New Roman" w:eastAsia="Times New Roman" w:cs="Times New Roman"/>
          <w:spacing w:val="-12"/>
          <w:sz w:val="23"/>
          <w:szCs w:val="23"/>
        </w:rPr>
        <w:t>m</w:t>
      </w:r>
      <w:r>
        <w:rPr>
          <w:rFonts w:ascii="Times New Roman" w:hAnsi="Times New Roman" w:eastAsia="Times New Roman" w:cs="Times New Roman"/>
          <w:spacing w:val="-12"/>
          <w:position w:val="7"/>
          <w:sz w:val="15"/>
          <w:szCs w:val="15"/>
        </w:rPr>
        <w:t xml:space="preserve">2 </w:t>
      </w:r>
      <w:r>
        <w:rPr>
          <w:rFonts w:ascii="Wingdings" w:hAnsi="Wingdings" w:eastAsia="Wingdings" w:cs="Wingdings"/>
          <w:spacing w:val="-12"/>
          <w:sz w:val="23"/>
          <w:szCs w:val="23"/>
        </w:rPr>
        <w:t>1</w:t>
      </w:r>
      <w:r>
        <w:rPr>
          <w:rFonts w:ascii="宋体" w:hAnsi="宋体" w:eastAsia="宋体" w:cs="宋体"/>
          <w:spacing w:val="-12"/>
          <w:sz w:val="23"/>
          <w:szCs w:val="23"/>
        </w:rPr>
        <w:t xml:space="preserve">月，详见表 </w:t>
      </w:r>
      <w:r>
        <w:rPr>
          <w:rFonts w:ascii="Times New Roman" w:hAnsi="Times New Roman" w:eastAsia="Times New Roman" w:cs="Times New Roman"/>
          <w:spacing w:val="-12"/>
          <w:sz w:val="23"/>
          <w:szCs w:val="23"/>
        </w:rPr>
        <w:t>3- 11</w:t>
      </w:r>
      <w:r>
        <w:rPr>
          <w:rFonts w:ascii="宋体" w:hAnsi="宋体" w:eastAsia="宋体" w:cs="宋体"/>
          <w:spacing w:val="-12"/>
          <w:sz w:val="23"/>
          <w:szCs w:val="23"/>
        </w:rPr>
        <w:t>。</w:t>
      </w:r>
    </w:p>
    <w:p w14:paraId="4537B5A3">
      <w:pPr>
        <w:spacing w:before="154" w:line="303" w:lineRule="exact"/>
        <w:ind w:left="1315"/>
        <w:rPr>
          <w:rFonts w:ascii="宋体" w:hAnsi="宋体" w:eastAsia="宋体" w:cs="宋体"/>
          <w:sz w:val="23"/>
          <w:szCs w:val="23"/>
        </w:rPr>
      </w:pPr>
      <w:r>
        <w:rPr>
          <w:rFonts w:ascii="Times New Roman" w:hAnsi="Times New Roman" w:eastAsia="Times New Roman" w:cs="Times New Roman"/>
          <w:position w:val="2"/>
          <w:sz w:val="23"/>
          <w:szCs w:val="23"/>
        </w:rPr>
        <w:t>T</w:t>
      </w:r>
      <w:r>
        <w:rPr>
          <w:rFonts w:ascii="Times New Roman" w:hAnsi="Times New Roman" w:eastAsia="Times New Roman" w:cs="Times New Roman"/>
          <w:spacing w:val="1"/>
          <w:position w:val="2"/>
          <w:sz w:val="23"/>
          <w:szCs w:val="23"/>
        </w:rPr>
        <w:t xml:space="preserve"> </w:t>
      </w:r>
      <w:r>
        <w:rPr>
          <w:rFonts w:ascii="宋体" w:hAnsi="宋体" w:eastAsia="宋体" w:cs="宋体"/>
          <w:position w:val="2"/>
          <w:sz w:val="23"/>
          <w:szCs w:val="23"/>
        </w:rPr>
        <w:t>：施工期，月。</w:t>
      </w:r>
    </w:p>
    <w:p w14:paraId="2E5695FA">
      <w:pPr>
        <w:sectPr>
          <w:headerReference r:id="rId106" w:type="default"/>
          <w:footerReference r:id="rId107" w:type="default"/>
          <w:pgSz w:w="11906" w:h="16839"/>
          <w:pgMar w:top="1132" w:right="1691" w:bottom="1182" w:left="1691" w:header="878" w:footer="1022" w:gutter="0"/>
          <w:cols w:space="720" w:num="1"/>
        </w:sectPr>
      </w:pPr>
    </w:p>
    <w:p w14:paraId="2882A3E4">
      <w:pPr>
        <w:spacing w:line="401" w:lineRule="auto"/>
        <w:rPr>
          <w:rFonts w:ascii="Arial"/>
          <w:sz w:val="21"/>
        </w:rPr>
      </w:pPr>
      <w:r>
        <w:pict>
          <v:shape id="_x0000_s1150" o:spid="_x0000_s1150" style="position:absolute;left:0pt;margin-left:90pt;margin-top:57.35pt;height:0.75pt;width:415.3pt;mso-position-horizontal-relative:page;mso-position-vertical-relative:page;z-index:251797504;mso-width-relative:page;mso-height-relative:page;" fillcolor="#000000" filled="t" stroked="f" coordsize="8305,15" o:allowincell="f" path="m0,0l8305,0,8305,14,0,14,0,0xe">
            <v:path/>
            <v:fill on="t" focussize="0,0"/>
            <v:stroke on="f"/>
            <v:imagedata o:title=""/>
            <o:lock v:ext="edit"/>
          </v:shape>
        </w:pict>
      </w:r>
    </w:p>
    <w:p w14:paraId="7DE263F9">
      <w:pPr>
        <w:spacing w:before="74" w:line="227" w:lineRule="auto"/>
        <w:ind w:left="2124"/>
        <w:rPr>
          <w:rFonts w:ascii="宋体" w:hAnsi="宋体" w:eastAsia="宋体" w:cs="宋体"/>
          <w:sz w:val="23"/>
          <w:szCs w:val="23"/>
        </w:rPr>
      </w:pPr>
      <w:r>
        <w:rPr>
          <w:rFonts w:ascii="宋体" w:hAnsi="宋体" w:eastAsia="宋体" w:cs="宋体"/>
          <w:spacing w:val="8"/>
          <w:sz w:val="23"/>
          <w:szCs w:val="23"/>
          <w14:textOutline w14:w="4358" w14:cap="sq" w14:cmpd="sng">
            <w14:solidFill>
              <w14:srgbClr w14:val="000000"/>
            </w14:solidFill>
            <w14:prstDash w14:val="solid"/>
            <w14:bevel/>
          </w14:textOutline>
        </w:rPr>
        <w:t>表</w:t>
      </w:r>
      <w:r>
        <w:rPr>
          <w:rFonts w:ascii="宋体" w:hAnsi="宋体" w:eastAsia="宋体" w:cs="宋体"/>
          <w:spacing w:val="8"/>
          <w:sz w:val="23"/>
          <w:szCs w:val="23"/>
        </w:rPr>
        <w:t xml:space="preserve"> </w:t>
      </w:r>
      <w:r>
        <w:rPr>
          <w:rFonts w:ascii="Times New Roman" w:hAnsi="Times New Roman" w:eastAsia="Times New Roman" w:cs="Times New Roman"/>
          <w:b/>
          <w:bCs/>
          <w:spacing w:val="8"/>
          <w:sz w:val="23"/>
          <w:szCs w:val="23"/>
        </w:rPr>
        <w:t>3</w:t>
      </w:r>
      <w:r>
        <w:rPr>
          <w:rFonts w:ascii="Times New Roman" w:hAnsi="Times New Roman" w:eastAsia="Times New Roman" w:cs="Times New Roman"/>
          <w:b/>
          <w:bCs/>
          <w:spacing w:val="4"/>
          <w:sz w:val="23"/>
          <w:szCs w:val="23"/>
        </w:rPr>
        <w:t>-10</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施工工地扬尘基本排放系数</w:t>
      </w:r>
    </w:p>
    <w:p w14:paraId="4FB6637D">
      <w:pPr>
        <w:spacing w:line="16" w:lineRule="exact"/>
      </w:pPr>
    </w:p>
    <w:tbl>
      <w:tblPr>
        <w:tblStyle w:val="4"/>
        <w:tblW w:w="8305"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263"/>
        <w:gridCol w:w="5042"/>
      </w:tblGrid>
      <w:tr w14:paraId="655347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3263" w:type="dxa"/>
            <w:tcBorders>
              <w:left w:val="nil"/>
              <w:right w:val="single" w:color="000000" w:sz="4" w:space="0"/>
            </w:tcBorders>
            <w:vAlign w:val="top"/>
          </w:tcPr>
          <w:p w14:paraId="581B3F24">
            <w:pPr>
              <w:spacing w:before="104" w:line="228" w:lineRule="auto"/>
              <w:ind w:left="1217"/>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工地类</w:t>
            </w:r>
            <w:r>
              <w:rPr>
                <w:rFonts w:ascii="宋体" w:hAnsi="宋体" w:eastAsia="宋体" w:cs="宋体"/>
                <w:spacing w:val="7"/>
                <w:sz w:val="20"/>
                <w:szCs w:val="20"/>
                <w14:textOutline w14:w="3795" w14:cap="sq" w14:cmpd="sng">
                  <w14:solidFill>
                    <w14:srgbClr w14:val="000000"/>
                  </w14:solidFill>
                  <w14:prstDash w14:val="solid"/>
                  <w14:bevel/>
                </w14:textOutline>
              </w:rPr>
              <w:t>型</w:t>
            </w:r>
          </w:p>
        </w:tc>
        <w:tc>
          <w:tcPr>
            <w:tcW w:w="5042" w:type="dxa"/>
            <w:tcBorders>
              <w:left w:val="single" w:color="000000" w:sz="4" w:space="0"/>
              <w:right w:val="nil"/>
            </w:tcBorders>
            <w:vAlign w:val="top"/>
          </w:tcPr>
          <w:p w14:paraId="29A82DE0">
            <w:pPr>
              <w:spacing w:before="63" w:line="289" w:lineRule="exact"/>
              <w:ind w:left="937"/>
              <w:rPr>
                <w:rFonts w:ascii="Times New Roman" w:hAnsi="Times New Roman" w:eastAsia="Times New Roman" w:cs="Times New Roman"/>
                <w:sz w:val="20"/>
                <w:szCs w:val="20"/>
              </w:rPr>
            </w:pPr>
            <w:r>
              <w:rPr>
                <w:rFonts w:ascii="宋体" w:hAnsi="宋体" w:eastAsia="宋体" w:cs="宋体"/>
                <w:spacing w:val="-12"/>
                <w:position w:val="2"/>
                <w:sz w:val="20"/>
                <w:szCs w:val="20"/>
                <w14:textOutline w14:w="3795" w14:cap="sq" w14:cmpd="sng">
                  <w14:solidFill>
                    <w14:srgbClr w14:val="000000"/>
                  </w14:solidFill>
                  <w14:prstDash w14:val="solid"/>
                  <w14:bevel/>
                </w14:textOutline>
              </w:rPr>
              <w:t>基</w:t>
            </w:r>
            <w:r>
              <w:rPr>
                <w:rFonts w:ascii="宋体" w:hAnsi="宋体" w:eastAsia="宋体" w:cs="宋体"/>
                <w:spacing w:val="-8"/>
                <w:position w:val="2"/>
                <w:sz w:val="20"/>
                <w:szCs w:val="20"/>
                <w14:textOutline w14:w="3795" w14:cap="sq" w14:cmpd="sng">
                  <w14:solidFill>
                    <w14:srgbClr w14:val="000000"/>
                  </w14:solidFill>
                  <w14:prstDash w14:val="solid"/>
                  <w14:bevel/>
                </w14:textOutline>
              </w:rPr>
              <w:t>本排放量排放系数</w:t>
            </w:r>
            <w:r>
              <w:rPr>
                <w:rFonts w:ascii="宋体" w:hAnsi="宋体" w:eastAsia="宋体" w:cs="宋体"/>
                <w:spacing w:val="-8"/>
                <w:position w:val="2"/>
                <w:sz w:val="20"/>
                <w:szCs w:val="20"/>
              </w:rPr>
              <w:t xml:space="preserve"> </w:t>
            </w:r>
            <w:r>
              <w:rPr>
                <w:rFonts w:ascii="Times New Roman" w:hAnsi="Times New Roman" w:eastAsia="Times New Roman" w:cs="Times New Roman"/>
                <w:b/>
                <w:bCs/>
                <w:spacing w:val="-8"/>
                <w:position w:val="2"/>
                <w:sz w:val="20"/>
                <w:szCs w:val="20"/>
              </w:rPr>
              <w:t>B</w:t>
            </w:r>
            <w:r>
              <w:rPr>
                <w:rFonts w:ascii="Times New Roman" w:hAnsi="Times New Roman" w:eastAsia="Times New Roman" w:cs="Times New Roman"/>
                <w:spacing w:val="-8"/>
                <w:position w:val="2"/>
                <w:sz w:val="20"/>
                <w:szCs w:val="20"/>
              </w:rPr>
              <w:t xml:space="preserve"> </w:t>
            </w:r>
            <w:r>
              <w:rPr>
                <w:rFonts w:ascii="Times New Roman" w:hAnsi="Times New Roman" w:eastAsia="Times New Roman" w:cs="Times New Roman"/>
                <w:b/>
                <w:bCs/>
                <w:spacing w:val="-8"/>
                <w:position w:val="2"/>
                <w:sz w:val="20"/>
                <w:szCs w:val="20"/>
              </w:rPr>
              <w:t>(t/</w:t>
            </w:r>
            <w:r>
              <w:rPr>
                <w:rFonts w:ascii="宋体" w:hAnsi="宋体" w:eastAsia="宋体" w:cs="宋体"/>
                <w:spacing w:val="-8"/>
                <w:position w:val="2"/>
                <w:sz w:val="20"/>
                <w:szCs w:val="20"/>
                <w14:textOutline w14:w="3795" w14:cap="sq" w14:cmpd="sng">
                  <w14:solidFill>
                    <w14:srgbClr w14:val="000000"/>
                  </w14:solidFill>
                  <w14:prstDash w14:val="solid"/>
                  <w14:bevel/>
                </w14:textOutline>
              </w:rPr>
              <w:t>万</w:t>
            </w:r>
            <w:r>
              <w:rPr>
                <w:rFonts w:ascii="宋体" w:hAnsi="宋体" w:eastAsia="宋体" w:cs="宋体"/>
                <w:spacing w:val="-8"/>
                <w:position w:val="2"/>
                <w:sz w:val="20"/>
                <w:szCs w:val="20"/>
              </w:rPr>
              <w:t xml:space="preserve"> </w:t>
            </w:r>
            <w:r>
              <w:rPr>
                <w:rFonts w:ascii="Times New Roman" w:hAnsi="Times New Roman" w:eastAsia="Times New Roman" w:cs="Times New Roman"/>
                <w:b/>
                <w:bCs/>
                <w:spacing w:val="-8"/>
                <w:position w:val="2"/>
                <w:sz w:val="20"/>
                <w:szCs w:val="20"/>
              </w:rPr>
              <w:t>m</w:t>
            </w:r>
            <w:r>
              <w:rPr>
                <w:rFonts w:ascii="Times New Roman" w:hAnsi="Times New Roman" w:eastAsia="Times New Roman" w:cs="Times New Roman"/>
                <w:b/>
                <w:bCs/>
                <w:spacing w:val="-8"/>
                <w:position w:val="8"/>
                <w:sz w:val="13"/>
                <w:szCs w:val="13"/>
              </w:rPr>
              <w:t>2</w:t>
            </w:r>
            <w:r>
              <w:rPr>
                <w:rFonts w:ascii="Times New Roman" w:hAnsi="Times New Roman" w:eastAsia="Times New Roman" w:cs="Times New Roman"/>
                <w:spacing w:val="-8"/>
                <w:position w:val="8"/>
                <w:sz w:val="13"/>
                <w:szCs w:val="13"/>
              </w:rPr>
              <w:t xml:space="preserve"> </w:t>
            </w:r>
            <w:r>
              <w:rPr>
                <w:rFonts w:ascii="Wingdings" w:hAnsi="Wingdings" w:eastAsia="Wingdings" w:cs="Wingdings"/>
                <w:spacing w:val="-8"/>
                <w:position w:val="2"/>
                <w:sz w:val="20"/>
                <w:szCs w:val="20"/>
              </w:rPr>
              <w:t>1</w:t>
            </w:r>
            <w:r>
              <w:rPr>
                <w:rFonts w:ascii="宋体" w:hAnsi="宋体" w:eastAsia="宋体" w:cs="宋体"/>
                <w:spacing w:val="-8"/>
                <w:position w:val="2"/>
                <w:sz w:val="20"/>
                <w:szCs w:val="20"/>
                <w14:textOutline w14:w="3795" w14:cap="sq" w14:cmpd="sng">
                  <w14:solidFill>
                    <w14:srgbClr w14:val="000000"/>
                  </w14:solidFill>
                  <w14:prstDash w14:val="solid"/>
                  <w14:bevel/>
                </w14:textOutline>
              </w:rPr>
              <w:t>月</w:t>
            </w:r>
            <w:r>
              <w:rPr>
                <w:rFonts w:ascii="Times New Roman" w:hAnsi="Times New Roman" w:eastAsia="Times New Roman" w:cs="Times New Roman"/>
                <w:b/>
                <w:bCs/>
                <w:spacing w:val="-8"/>
                <w:position w:val="2"/>
                <w:sz w:val="20"/>
                <w:szCs w:val="20"/>
              </w:rPr>
              <w:t>)</w:t>
            </w:r>
          </w:p>
        </w:tc>
      </w:tr>
      <w:tr w14:paraId="43C0AC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3263" w:type="dxa"/>
            <w:tcBorders>
              <w:left w:val="nil"/>
              <w:right w:val="single" w:color="000000" w:sz="4" w:space="0"/>
            </w:tcBorders>
            <w:vAlign w:val="top"/>
          </w:tcPr>
          <w:p w14:paraId="3387C1F0">
            <w:pPr>
              <w:spacing w:before="63" w:line="228" w:lineRule="auto"/>
              <w:ind w:left="1217"/>
              <w:rPr>
                <w:rFonts w:ascii="宋体" w:hAnsi="宋体" w:eastAsia="宋体" w:cs="宋体"/>
                <w:sz w:val="20"/>
                <w:szCs w:val="20"/>
              </w:rPr>
            </w:pPr>
            <w:r>
              <w:rPr>
                <w:rFonts w:ascii="宋体" w:hAnsi="宋体" w:eastAsia="宋体" w:cs="宋体"/>
                <w:spacing w:val="9"/>
                <w:sz w:val="20"/>
                <w:szCs w:val="20"/>
              </w:rPr>
              <w:t>建</w:t>
            </w:r>
            <w:r>
              <w:rPr>
                <w:rFonts w:ascii="宋体" w:hAnsi="宋体" w:eastAsia="宋体" w:cs="宋体"/>
                <w:spacing w:val="6"/>
                <w:sz w:val="20"/>
                <w:szCs w:val="20"/>
              </w:rPr>
              <w:t>筑工地</w:t>
            </w:r>
          </w:p>
        </w:tc>
        <w:tc>
          <w:tcPr>
            <w:tcW w:w="5042" w:type="dxa"/>
            <w:tcBorders>
              <w:left w:val="single" w:color="000000" w:sz="4" w:space="0"/>
              <w:right w:val="nil"/>
            </w:tcBorders>
            <w:vAlign w:val="top"/>
          </w:tcPr>
          <w:p w14:paraId="5FD40A19">
            <w:pPr>
              <w:spacing w:before="99" w:line="198" w:lineRule="auto"/>
              <w:ind w:left="2339"/>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4</w:t>
            </w:r>
            <w:r>
              <w:rPr>
                <w:rFonts w:ascii="Times New Roman" w:hAnsi="Times New Roman" w:eastAsia="Times New Roman" w:cs="Times New Roman"/>
                <w:spacing w:val="3"/>
                <w:sz w:val="20"/>
                <w:szCs w:val="20"/>
              </w:rPr>
              <w:t>.80</w:t>
            </w:r>
          </w:p>
        </w:tc>
      </w:tr>
    </w:tbl>
    <w:p w14:paraId="301D741D">
      <w:pPr>
        <w:spacing w:before="287" w:line="332" w:lineRule="exact"/>
        <w:ind w:left="1474"/>
        <w:rPr>
          <w:rFonts w:ascii="Times New Roman" w:hAnsi="Times New Roman" w:eastAsia="Times New Roman" w:cs="Times New Roman"/>
          <w:sz w:val="23"/>
          <w:szCs w:val="23"/>
        </w:rPr>
      </w:pPr>
      <w:r>
        <w:rPr>
          <w:rFonts w:ascii="宋体" w:hAnsi="宋体" w:eastAsia="宋体" w:cs="宋体"/>
          <w:spacing w:val="-8"/>
          <w:position w:val="3"/>
          <w:sz w:val="23"/>
          <w:szCs w:val="23"/>
          <w14:textOutline w14:w="4358" w14:cap="sq" w14:cmpd="sng">
            <w14:solidFill>
              <w14:srgbClr w14:val="000000"/>
            </w14:solidFill>
            <w14:prstDash w14:val="solid"/>
            <w14:bevel/>
          </w14:textOutline>
        </w:rPr>
        <w:t>表</w:t>
      </w:r>
      <w:r>
        <w:rPr>
          <w:rFonts w:ascii="宋体" w:hAnsi="宋体" w:eastAsia="宋体" w:cs="宋体"/>
          <w:spacing w:val="-8"/>
          <w:position w:val="3"/>
          <w:sz w:val="23"/>
          <w:szCs w:val="23"/>
        </w:rPr>
        <w:t xml:space="preserve"> </w:t>
      </w:r>
      <w:r>
        <w:rPr>
          <w:rFonts w:ascii="Times New Roman" w:hAnsi="Times New Roman" w:eastAsia="Times New Roman" w:cs="Times New Roman"/>
          <w:b/>
          <w:bCs/>
          <w:spacing w:val="-8"/>
          <w:position w:val="3"/>
          <w:sz w:val="23"/>
          <w:szCs w:val="23"/>
        </w:rPr>
        <w:t>3-1</w:t>
      </w:r>
      <w:r>
        <w:rPr>
          <w:rFonts w:ascii="Times New Roman" w:hAnsi="Times New Roman" w:eastAsia="Times New Roman" w:cs="Times New Roman"/>
          <w:b/>
          <w:bCs/>
          <w:spacing w:val="-4"/>
          <w:position w:val="3"/>
          <w:sz w:val="23"/>
          <w:szCs w:val="23"/>
        </w:rPr>
        <w:t>1</w:t>
      </w:r>
      <w:r>
        <w:rPr>
          <w:rFonts w:ascii="Times New Roman" w:hAnsi="Times New Roman" w:eastAsia="Times New Roman" w:cs="Times New Roman"/>
          <w:spacing w:val="-4"/>
          <w:position w:val="3"/>
          <w:sz w:val="23"/>
          <w:szCs w:val="23"/>
        </w:rPr>
        <w:t xml:space="preserve">        </w:t>
      </w:r>
      <w:r>
        <w:rPr>
          <w:rFonts w:ascii="宋体" w:hAnsi="宋体" w:eastAsia="宋体" w:cs="宋体"/>
          <w:spacing w:val="-4"/>
          <w:position w:val="3"/>
          <w:sz w:val="23"/>
          <w:szCs w:val="23"/>
          <w14:textOutline w14:w="4358" w14:cap="sq" w14:cmpd="sng">
            <w14:solidFill>
              <w14:srgbClr w14:val="000000"/>
            </w14:solidFill>
            <w14:prstDash w14:val="solid"/>
            <w14:bevel/>
          </w14:textOutline>
        </w:rPr>
        <w:t>施工工地扬尘可控排放系数</w:t>
      </w:r>
      <w:r>
        <w:rPr>
          <w:rFonts w:ascii="宋体" w:hAnsi="宋体" w:eastAsia="宋体" w:cs="宋体"/>
          <w:spacing w:val="-4"/>
          <w:position w:val="3"/>
          <w:sz w:val="23"/>
          <w:szCs w:val="23"/>
        </w:rPr>
        <w:t xml:space="preserve"> </w:t>
      </w:r>
      <w:r>
        <w:rPr>
          <w:rFonts w:ascii="Times New Roman" w:hAnsi="Times New Roman" w:eastAsia="Times New Roman" w:cs="Times New Roman"/>
          <w:b/>
          <w:bCs/>
          <w:spacing w:val="-4"/>
          <w:position w:val="3"/>
          <w:sz w:val="23"/>
          <w:szCs w:val="23"/>
        </w:rPr>
        <w:t>(t/</w:t>
      </w:r>
      <w:r>
        <w:rPr>
          <w:rFonts w:ascii="宋体" w:hAnsi="宋体" w:eastAsia="宋体" w:cs="宋体"/>
          <w:spacing w:val="-4"/>
          <w:position w:val="3"/>
          <w:sz w:val="23"/>
          <w:szCs w:val="23"/>
          <w14:textOutline w14:w="4358" w14:cap="sq" w14:cmpd="sng">
            <w14:solidFill>
              <w14:srgbClr w14:val="000000"/>
            </w14:solidFill>
            <w14:prstDash w14:val="solid"/>
            <w14:bevel/>
          </w14:textOutline>
        </w:rPr>
        <w:t>万</w:t>
      </w:r>
      <w:r>
        <w:rPr>
          <w:rFonts w:ascii="宋体" w:hAnsi="宋体" w:eastAsia="宋体" w:cs="宋体"/>
          <w:spacing w:val="-4"/>
          <w:position w:val="3"/>
          <w:sz w:val="23"/>
          <w:szCs w:val="23"/>
        </w:rPr>
        <w:t xml:space="preserve"> </w:t>
      </w:r>
      <w:r>
        <w:rPr>
          <w:rFonts w:ascii="Times New Roman" w:hAnsi="Times New Roman" w:eastAsia="Times New Roman" w:cs="Times New Roman"/>
          <w:b/>
          <w:bCs/>
          <w:spacing w:val="-4"/>
          <w:position w:val="3"/>
          <w:sz w:val="23"/>
          <w:szCs w:val="23"/>
        </w:rPr>
        <w:t>m</w:t>
      </w:r>
      <w:r>
        <w:rPr>
          <w:rFonts w:ascii="Times New Roman" w:hAnsi="Times New Roman" w:eastAsia="Times New Roman" w:cs="Times New Roman"/>
          <w:b/>
          <w:bCs/>
          <w:spacing w:val="-4"/>
          <w:position w:val="11"/>
          <w:sz w:val="15"/>
          <w:szCs w:val="15"/>
        </w:rPr>
        <w:t>2</w:t>
      </w:r>
      <w:r>
        <w:rPr>
          <w:rFonts w:ascii="Times New Roman" w:hAnsi="Times New Roman" w:eastAsia="Times New Roman" w:cs="Times New Roman"/>
          <w:spacing w:val="-4"/>
          <w:position w:val="11"/>
          <w:sz w:val="15"/>
          <w:szCs w:val="15"/>
        </w:rPr>
        <w:t xml:space="preserve"> </w:t>
      </w:r>
      <w:r>
        <w:rPr>
          <w:rFonts w:ascii="Wingdings" w:hAnsi="Wingdings" w:eastAsia="Wingdings" w:cs="Wingdings"/>
          <w:spacing w:val="-4"/>
          <w:position w:val="3"/>
          <w:sz w:val="23"/>
          <w:szCs w:val="23"/>
          <w14:textOutline w14:w="4358" w14:cap="sq" w14:cmpd="sng">
            <w14:solidFill>
              <w14:srgbClr w14:val="000000"/>
            </w14:solidFill>
            <w14:prstDash w14:val="solid"/>
            <w14:bevel/>
          </w14:textOutline>
        </w:rPr>
        <w:t>1</w:t>
      </w:r>
      <w:r>
        <w:rPr>
          <w:rFonts w:ascii="宋体" w:hAnsi="宋体" w:eastAsia="宋体" w:cs="宋体"/>
          <w:spacing w:val="-4"/>
          <w:position w:val="3"/>
          <w:sz w:val="23"/>
          <w:szCs w:val="23"/>
          <w14:textOutline w14:w="4358" w14:cap="sq" w14:cmpd="sng">
            <w14:solidFill>
              <w14:srgbClr w14:val="000000"/>
            </w14:solidFill>
            <w14:prstDash w14:val="solid"/>
            <w14:bevel/>
          </w14:textOutline>
        </w:rPr>
        <w:t>月</w:t>
      </w:r>
      <w:r>
        <w:rPr>
          <w:rFonts w:ascii="Times New Roman" w:hAnsi="Times New Roman" w:eastAsia="Times New Roman" w:cs="Times New Roman"/>
          <w:b/>
          <w:bCs/>
          <w:spacing w:val="-4"/>
          <w:position w:val="3"/>
          <w:sz w:val="23"/>
          <w:szCs w:val="23"/>
        </w:rPr>
        <w:t>)</w:t>
      </w:r>
    </w:p>
    <w:p w14:paraId="65747A89">
      <w:pPr>
        <w:spacing w:line="18" w:lineRule="exact"/>
      </w:pPr>
    </w:p>
    <w:tbl>
      <w:tblPr>
        <w:tblStyle w:val="4"/>
        <w:tblW w:w="8306"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74"/>
        <w:gridCol w:w="1735"/>
        <w:gridCol w:w="2664"/>
        <w:gridCol w:w="895"/>
        <w:gridCol w:w="920"/>
        <w:gridCol w:w="918"/>
      </w:tblGrid>
      <w:tr w14:paraId="2C27F2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1174" w:type="dxa"/>
            <w:vMerge w:val="restart"/>
            <w:tcBorders>
              <w:left w:val="nil"/>
              <w:bottom w:val="nil"/>
              <w:right w:val="single" w:color="000000" w:sz="4" w:space="0"/>
            </w:tcBorders>
            <w:vAlign w:val="top"/>
          </w:tcPr>
          <w:p w14:paraId="7E745D1E">
            <w:pPr>
              <w:spacing w:line="347" w:lineRule="auto"/>
              <w:rPr>
                <w:rFonts w:ascii="Arial"/>
                <w:sz w:val="21"/>
              </w:rPr>
            </w:pPr>
          </w:p>
          <w:p w14:paraId="353EA593">
            <w:pPr>
              <w:spacing w:before="65" w:line="228" w:lineRule="auto"/>
              <w:ind w:left="173"/>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工地类</w:t>
            </w:r>
            <w:r>
              <w:rPr>
                <w:rFonts w:ascii="宋体" w:hAnsi="宋体" w:eastAsia="宋体" w:cs="宋体"/>
                <w:spacing w:val="7"/>
                <w:sz w:val="20"/>
                <w:szCs w:val="20"/>
                <w14:textOutline w14:w="3795" w14:cap="sq" w14:cmpd="sng">
                  <w14:solidFill>
                    <w14:srgbClr w14:val="000000"/>
                  </w14:solidFill>
                  <w14:prstDash w14:val="solid"/>
                  <w14:bevel/>
                </w14:textOutline>
              </w:rPr>
              <w:t>型</w:t>
            </w:r>
          </w:p>
        </w:tc>
        <w:tc>
          <w:tcPr>
            <w:tcW w:w="1735" w:type="dxa"/>
            <w:vMerge w:val="restart"/>
            <w:tcBorders>
              <w:left w:val="single" w:color="000000" w:sz="4" w:space="0"/>
              <w:bottom w:val="nil"/>
              <w:right w:val="single" w:color="000000" w:sz="4" w:space="0"/>
            </w:tcBorders>
            <w:vAlign w:val="top"/>
          </w:tcPr>
          <w:p w14:paraId="23E8A59F">
            <w:pPr>
              <w:spacing w:line="347" w:lineRule="auto"/>
              <w:rPr>
                <w:rFonts w:ascii="Arial"/>
                <w:sz w:val="21"/>
              </w:rPr>
            </w:pPr>
          </w:p>
          <w:p w14:paraId="1E20646E">
            <w:pPr>
              <w:spacing w:before="65" w:line="228" w:lineRule="auto"/>
              <w:ind w:left="448"/>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扬尘类</w:t>
            </w:r>
            <w:r>
              <w:rPr>
                <w:rFonts w:ascii="宋体" w:hAnsi="宋体" w:eastAsia="宋体" w:cs="宋体"/>
                <w:spacing w:val="8"/>
                <w:sz w:val="20"/>
                <w:szCs w:val="20"/>
                <w14:textOutline w14:w="3795" w14:cap="sq" w14:cmpd="sng">
                  <w14:solidFill>
                    <w14:srgbClr w14:val="000000"/>
                  </w14:solidFill>
                  <w14:prstDash w14:val="solid"/>
                  <w14:bevel/>
                </w14:textOutline>
              </w:rPr>
              <w:t>型</w:t>
            </w:r>
          </w:p>
        </w:tc>
        <w:tc>
          <w:tcPr>
            <w:tcW w:w="2664" w:type="dxa"/>
            <w:vMerge w:val="restart"/>
            <w:tcBorders>
              <w:left w:val="single" w:color="000000" w:sz="4" w:space="0"/>
              <w:bottom w:val="nil"/>
              <w:right w:val="single" w:color="000000" w:sz="4" w:space="0"/>
            </w:tcBorders>
            <w:vAlign w:val="top"/>
          </w:tcPr>
          <w:p w14:paraId="1A344C6F">
            <w:pPr>
              <w:spacing w:line="348" w:lineRule="auto"/>
              <w:rPr>
                <w:rFonts w:ascii="Arial"/>
                <w:sz w:val="21"/>
              </w:rPr>
            </w:pPr>
          </w:p>
          <w:p w14:paraId="2287A10E">
            <w:pPr>
              <w:spacing w:before="65" w:line="228" w:lineRule="auto"/>
              <w:ind w:left="494"/>
              <w:rPr>
                <w:rFonts w:ascii="宋体" w:hAnsi="宋体" w:eastAsia="宋体" w:cs="宋体"/>
                <w:sz w:val="20"/>
                <w:szCs w:val="20"/>
              </w:rPr>
            </w:pPr>
            <w:r>
              <w:rPr>
                <w:rFonts w:ascii="宋体" w:hAnsi="宋体" w:eastAsia="宋体" w:cs="宋体"/>
                <w:spacing w:val="14"/>
                <w:sz w:val="20"/>
                <w:szCs w:val="20"/>
                <w14:textOutline w14:w="3795" w14:cap="sq" w14:cmpd="sng">
                  <w14:solidFill>
                    <w14:srgbClr w14:val="000000"/>
                  </w14:solidFill>
                  <w14:prstDash w14:val="solid"/>
                  <w14:bevel/>
                </w14:textOutline>
              </w:rPr>
              <w:t>扬</w:t>
            </w:r>
            <w:r>
              <w:rPr>
                <w:rFonts w:ascii="宋体" w:hAnsi="宋体" w:eastAsia="宋体" w:cs="宋体"/>
                <w:spacing w:val="9"/>
                <w:sz w:val="20"/>
                <w:szCs w:val="20"/>
                <w14:textOutline w14:w="3795" w14:cap="sq" w14:cmpd="sng">
                  <w14:solidFill>
                    <w14:srgbClr w14:val="000000"/>
                  </w14:solidFill>
                  <w14:prstDash w14:val="solid"/>
                  <w14:bevel/>
                </w14:textOutline>
              </w:rPr>
              <w:t>尘污染控制措施</w:t>
            </w:r>
          </w:p>
        </w:tc>
        <w:tc>
          <w:tcPr>
            <w:tcW w:w="2733" w:type="dxa"/>
            <w:gridSpan w:val="3"/>
            <w:tcBorders>
              <w:left w:val="single" w:color="000000" w:sz="4" w:space="0"/>
              <w:right w:val="nil"/>
            </w:tcBorders>
            <w:vAlign w:val="top"/>
          </w:tcPr>
          <w:p w14:paraId="418B648E">
            <w:pPr>
              <w:spacing w:before="76" w:line="228" w:lineRule="auto"/>
              <w:ind w:left="429"/>
              <w:rPr>
                <w:rFonts w:ascii="宋体" w:hAnsi="宋体" w:eastAsia="宋体" w:cs="宋体"/>
                <w:sz w:val="20"/>
                <w:szCs w:val="20"/>
              </w:rPr>
            </w:pPr>
            <w:r>
              <w:rPr>
                <w:rFonts w:ascii="宋体" w:hAnsi="宋体" w:eastAsia="宋体" w:cs="宋体"/>
                <w:spacing w:val="14"/>
                <w:sz w:val="20"/>
                <w:szCs w:val="20"/>
                <w14:textOutline w14:w="3795" w14:cap="sq" w14:cmpd="sng">
                  <w14:solidFill>
                    <w14:srgbClr w14:val="000000"/>
                  </w14:solidFill>
                  <w14:prstDash w14:val="solid"/>
                  <w14:bevel/>
                </w14:textOutline>
              </w:rPr>
              <w:t>可</w:t>
            </w:r>
            <w:r>
              <w:rPr>
                <w:rFonts w:ascii="宋体" w:hAnsi="宋体" w:eastAsia="宋体" w:cs="宋体"/>
                <w:spacing w:val="9"/>
                <w:sz w:val="20"/>
                <w:szCs w:val="20"/>
                <w14:textOutline w14:w="3795" w14:cap="sq" w14:cmpd="sng">
                  <w14:solidFill>
                    <w14:srgbClr w14:val="000000"/>
                  </w14:solidFill>
                  <w14:prstDash w14:val="solid"/>
                  <w14:bevel/>
                </w14:textOutline>
              </w:rPr>
              <w:t>控排放量排放系数</w:t>
            </w:r>
          </w:p>
        </w:tc>
      </w:tr>
      <w:tr w14:paraId="5BF7DC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174" w:type="dxa"/>
            <w:vMerge w:val="continue"/>
            <w:tcBorders>
              <w:top w:val="nil"/>
              <w:left w:val="nil"/>
              <w:bottom w:val="nil"/>
              <w:right w:val="single" w:color="000000" w:sz="4" w:space="0"/>
            </w:tcBorders>
            <w:vAlign w:val="top"/>
          </w:tcPr>
          <w:p w14:paraId="02CA3BAD">
            <w:pPr>
              <w:rPr>
                <w:rFonts w:ascii="Arial"/>
                <w:sz w:val="21"/>
              </w:rPr>
            </w:pPr>
          </w:p>
        </w:tc>
        <w:tc>
          <w:tcPr>
            <w:tcW w:w="1735" w:type="dxa"/>
            <w:vMerge w:val="continue"/>
            <w:tcBorders>
              <w:top w:val="nil"/>
              <w:left w:val="single" w:color="000000" w:sz="4" w:space="0"/>
              <w:bottom w:val="nil"/>
              <w:right w:val="single" w:color="000000" w:sz="4" w:space="0"/>
            </w:tcBorders>
            <w:vAlign w:val="top"/>
          </w:tcPr>
          <w:p w14:paraId="05DE5018">
            <w:pPr>
              <w:rPr>
                <w:rFonts w:ascii="Arial"/>
                <w:sz w:val="21"/>
              </w:rPr>
            </w:pPr>
          </w:p>
        </w:tc>
        <w:tc>
          <w:tcPr>
            <w:tcW w:w="2664" w:type="dxa"/>
            <w:vMerge w:val="continue"/>
            <w:tcBorders>
              <w:top w:val="nil"/>
              <w:left w:val="single" w:color="000000" w:sz="4" w:space="0"/>
              <w:bottom w:val="nil"/>
              <w:right w:val="single" w:color="000000" w:sz="4" w:space="0"/>
            </w:tcBorders>
            <w:vAlign w:val="top"/>
          </w:tcPr>
          <w:p w14:paraId="68FFB04C">
            <w:pPr>
              <w:rPr>
                <w:rFonts w:ascii="Arial"/>
                <w:sz w:val="21"/>
              </w:rPr>
            </w:pPr>
          </w:p>
        </w:tc>
        <w:tc>
          <w:tcPr>
            <w:tcW w:w="895" w:type="dxa"/>
            <w:vMerge w:val="restart"/>
            <w:tcBorders>
              <w:left w:val="single" w:color="000000" w:sz="4" w:space="0"/>
              <w:bottom w:val="nil"/>
              <w:right w:val="single" w:color="000000" w:sz="4" w:space="0"/>
            </w:tcBorders>
            <w:vAlign w:val="top"/>
          </w:tcPr>
          <w:p w14:paraId="1A978B7F">
            <w:pPr>
              <w:spacing w:before="230" w:line="228" w:lineRule="auto"/>
              <w:ind w:left="239"/>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代码</w:t>
            </w:r>
          </w:p>
        </w:tc>
        <w:tc>
          <w:tcPr>
            <w:tcW w:w="1838" w:type="dxa"/>
            <w:gridSpan w:val="2"/>
            <w:tcBorders>
              <w:left w:val="single" w:color="000000" w:sz="4" w:space="0"/>
              <w:right w:val="nil"/>
            </w:tcBorders>
            <w:vAlign w:val="top"/>
          </w:tcPr>
          <w:p w14:paraId="122A6775">
            <w:pPr>
              <w:spacing w:before="61" w:line="228" w:lineRule="auto"/>
              <w:ind w:left="504"/>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措</w:t>
            </w:r>
            <w:r>
              <w:rPr>
                <w:rFonts w:ascii="宋体" w:hAnsi="宋体" w:eastAsia="宋体" w:cs="宋体"/>
                <w:spacing w:val="8"/>
                <w:sz w:val="20"/>
                <w:szCs w:val="20"/>
                <w14:textOutline w14:w="3795" w14:cap="sq" w14:cmpd="sng">
                  <w14:solidFill>
                    <w14:srgbClr w14:val="000000"/>
                  </w14:solidFill>
                  <w14:prstDash w14:val="solid"/>
                  <w14:bevel/>
                </w14:textOutline>
              </w:rPr>
              <w:t>施达标</w:t>
            </w:r>
          </w:p>
        </w:tc>
      </w:tr>
      <w:tr w14:paraId="37C0C4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174" w:type="dxa"/>
            <w:vMerge w:val="continue"/>
            <w:tcBorders>
              <w:top w:val="nil"/>
              <w:left w:val="nil"/>
              <w:right w:val="single" w:color="000000" w:sz="4" w:space="0"/>
            </w:tcBorders>
            <w:vAlign w:val="top"/>
          </w:tcPr>
          <w:p w14:paraId="0F58B4F2">
            <w:pPr>
              <w:rPr>
                <w:rFonts w:ascii="Arial"/>
                <w:sz w:val="21"/>
              </w:rPr>
            </w:pPr>
          </w:p>
        </w:tc>
        <w:tc>
          <w:tcPr>
            <w:tcW w:w="1735" w:type="dxa"/>
            <w:vMerge w:val="continue"/>
            <w:tcBorders>
              <w:top w:val="nil"/>
              <w:left w:val="single" w:color="000000" w:sz="4" w:space="0"/>
              <w:right w:val="single" w:color="000000" w:sz="4" w:space="0"/>
            </w:tcBorders>
            <w:vAlign w:val="top"/>
          </w:tcPr>
          <w:p w14:paraId="616770A6">
            <w:pPr>
              <w:rPr>
                <w:rFonts w:ascii="Arial"/>
                <w:sz w:val="21"/>
              </w:rPr>
            </w:pPr>
          </w:p>
        </w:tc>
        <w:tc>
          <w:tcPr>
            <w:tcW w:w="2664" w:type="dxa"/>
            <w:vMerge w:val="continue"/>
            <w:tcBorders>
              <w:top w:val="nil"/>
              <w:left w:val="single" w:color="000000" w:sz="4" w:space="0"/>
              <w:right w:val="single" w:color="000000" w:sz="4" w:space="0"/>
            </w:tcBorders>
            <w:vAlign w:val="top"/>
          </w:tcPr>
          <w:p w14:paraId="28AF1682">
            <w:pPr>
              <w:rPr>
                <w:rFonts w:ascii="Arial"/>
                <w:sz w:val="21"/>
              </w:rPr>
            </w:pPr>
          </w:p>
        </w:tc>
        <w:tc>
          <w:tcPr>
            <w:tcW w:w="895" w:type="dxa"/>
            <w:vMerge w:val="continue"/>
            <w:tcBorders>
              <w:top w:val="nil"/>
              <w:left w:val="single" w:color="000000" w:sz="4" w:space="0"/>
              <w:right w:val="single" w:color="000000" w:sz="4" w:space="0"/>
            </w:tcBorders>
            <w:vAlign w:val="top"/>
          </w:tcPr>
          <w:p w14:paraId="7F8817DE">
            <w:pPr>
              <w:rPr>
                <w:rFonts w:ascii="Arial"/>
                <w:sz w:val="21"/>
              </w:rPr>
            </w:pPr>
          </w:p>
        </w:tc>
        <w:tc>
          <w:tcPr>
            <w:tcW w:w="920" w:type="dxa"/>
            <w:tcBorders>
              <w:left w:val="single" w:color="000000" w:sz="4" w:space="0"/>
              <w:right w:val="single" w:color="000000" w:sz="4" w:space="0"/>
            </w:tcBorders>
            <w:vAlign w:val="top"/>
          </w:tcPr>
          <w:p w14:paraId="491FBC51">
            <w:pPr>
              <w:spacing w:before="62" w:line="231" w:lineRule="auto"/>
              <w:ind w:left="361"/>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是</w:t>
            </w:r>
          </w:p>
        </w:tc>
        <w:tc>
          <w:tcPr>
            <w:tcW w:w="918" w:type="dxa"/>
            <w:tcBorders>
              <w:left w:val="single" w:color="000000" w:sz="4" w:space="0"/>
              <w:right w:val="nil"/>
            </w:tcBorders>
            <w:vAlign w:val="top"/>
          </w:tcPr>
          <w:p w14:paraId="4081E0C2">
            <w:pPr>
              <w:spacing w:before="62" w:line="228" w:lineRule="auto"/>
              <w:ind w:left="366"/>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否</w:t>
            </w:r>
          </w:p>
        </w:tc>
      </w:tr>
      <w:tr w14:paraId="67D1F7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174" w:type="dxa"/>
            <w:vMerge w:val="restart"/>
            <w:tcBorders>
              <w:left w:val="nil"/>
              <w:bottom w:val="nil"/>
              <w:right w:val="single" w:color="000000" w:sz="4" w:space="0"/>
            </w:tcBorders>
            <w:vAlign w:val="top"/>
          </w:tcPr>
          <w:p w14:paraId="36733F55">
            <w:pPr>
              <w:spacing w:line="247" w:lineRule="auto"/>
              <w:rPr>
                <w:rFonts w:ascii="Arial"/>
                <w:sz w:val="21"/>
              </w:rPr>
            </w:pPr>
          </w:p>
          <w:p w14:paraId="1EB09104">
            <w:pPr>
              <w:spacing w:line="248" w:lineRule="auto"/>
              <w:rPr>
                <w:rFonts w:ascii="Arial"/>
                <w:sz w:val="21"/>
              </w:rPr>
            </w:pPr>
          </w:p>
          <w:p w14:paraId="0C51251B">
            <w:pPr>
              <w:spacing w:line="248" w:lineRule="auto"/>
              <w:rPr>
                <w:rFonts w:ascii="Arial"/>
                <w:sz w:val="21"/>
              </w:rPr>
            </w:pPr>
          </w:p>
          <w:p w14:paraId="7B722D51">
            <w:pPr>
              <w:spacing w:line="248" w:lineRule="auto"/>
              <w:rPr>
                <w:rFonts w:ascii="Arial"/>
                <w:sz w:val="21"/>
              </w:rPr>
            </w:pPr>
          </w:p>
          <w:p w14:paraId="5C35ECA2">
            <w:pPr>
              <w:spacing w:before="65" w:line="228" w:lineRule="auto"/>
              <w:ind w:left="173"/>
              <w:rPr>
                <w:rFonts w:ascii="宋体" w:hAnsi="宋体" w:eastAsia="宋体" w:cs="宋体"/>
                <w:sz w:val="20"/>
                <w:szCs w:val="20"/>
              </w:rPr>
            </w:pPr>
            <w:r>
              <w:rPr>
                <w:rFonts w:ascii="宋体" w:hAnsi="宋体" w:eastAsia="宋体" w:cs="宋体"/>
                <w:spacing w:val="9"/>
                <w:sz w:val="20"/>
                <w:szCs w:val="20"/>
              </w:rPr>
              <w:t>建</w:t>
            </w:r>
            <w:r>
              <w:rPr>
                <w:rFonts w:ascii="宋体" w:hAnsi="宋体" w:eastAsia="宋体" w:cs="宋体"/>
                <w:spacing w:val="6"/>
                <w:sz w:val="20"/>
                <w:szCs w:val="20"/>
              </w:rPr>
              <w:t>筑工地</w:t>
            </w:r>
          </w:p>
        </w:tc>
        <w:tc>
          <w:tcPr>
            <w:tcW w:w="1735" w:type="dxa"/>
            <w:vMerge w:val="restart"/>
            <w:tcBorders>
              <w:left w:val="single" w:color="000000" w:sz="4" w:space="0"/>
              <w:bottom w:val="nil"/>
              <w:right w:val="single" w:color="000000" w:sz="4" w:space="0"/>
            </w:tcBorders>
            <w:vAlign w:val="top"/>
          </w:tcPr>
          <w:p w14:paraId="35FCBFA3">
            <w:pPr>
              <w:spacing w:line="259" w:lineRule="auto"/>
              <w:rPr>
                <w:rFonts w:ascii="Arial"/>
                <w:sz w:val="21"/>
              </w:rPr>
            </w:pPr>
          </w:p>
          <w:p w14:paraId="4C7735C8">
            <w:pPr>
              <w:spacing w:line="260" w:lineRule="auto"/>
              <w:rPr>
                <w:rFonts w:ascii="Arial"/>
                <w:sz w:val="21"/>
              </w:rPr>
            </w:pPr>
          </w:p>
          <w:p w14:paraId="1B29630C">
            <w:pPr>
              <w:spacing w:before="65" w:line="274" w:lineRule="exact"/>
              <w:ind w:left="452"/>
              <w:rPr>
                <w:rFonts w:ascii="宋体" w:hAnsi="宋体" w:eastAsia="宋体" w:cs="宋体"/>
                <w:sz w:val="20"/>
                <w:szCs w:val="20"/>
              </w:rPr>
            </w:pPr>
            <w:r>
              <w:rPr>
                <w:rFonts w:ascii="宋体" w:hAnsi="宋体" w:eastAsia="宋体" w:cs="宋体"/>
                <w:spacing w:val="8"/>
                <w:position w:val="3"/>
                <w:sz w:val="20"/>
                <w:szCs w:val="20"/>
              </w:rPr>
              <w:t>一</w:t>
            </w:r>
            <w:r>
              <w:rPr>
                <w:rFonts w:ascii="宋体" w:hAnsi="宋体" w:eastAsia="宋体" w:cs="宋体"/>
                <w:spacing w:val="6"/>
                <w:position w:val="3"/>
                <w:sz w:val="20"/>
                <w:szCs w:val="20"/>
              </w:rPr>
              <w:t>次扬尘</w:t>
            </w:r>
          </w:p>
          <w:p w14:paraId="47CF9328">
            <w:pPr>
              <w:spacing w:line="281" w:lineRule="exact"/>
              <w:ind w:left="382"/>
              <w:rPr>
                <w:rFonts w:ascii="Times New Roman" w:hAnsi="Times New Roman" w:eastAsia="Times New Roman" w:cs="Times New Roman"/>
                <w:sz w:val="20"/>
                <w:szCs w:val="20"/>
              </w:rPr>
            </w:pPr>
            <w:r>
              <w:rPr>
                <w:rFonts w:ascii="Times New Roman" w:hAnsi="Times New Roman" w:eastAsia="Times New Roman" w:cs="Times New Roman"/>
                <w:spacing w:val="6"/>
                <w:position w:val="2"/>
                <w:sz w:val="20"/>
                <w:szCs w:val="20"/>
              </w:rPr>
              <w:t>(</w:t>
            </w:r>
            <w:r>
              <w:rPr>
                <w:rFonts w:ascii="宋体" w:hAnsi="宋体" w:eastAsia="宋体" w:cs="宋体"/>
                <w:spacing w:val="6"/>
                <w:position w:val="2"/>
                <w:sz w:val="20"/>
                <w:szCs w:val="20"/>
              </w:rPr>
              <w:t>累计计算</w:t>
            </w:r>
            <w:r>
              <w:rPr>
                <w:rFonts w:ascii="Times New Roman" w:hAnsi="Times New Roman" w:eastAsia="Times New Roman" w:cs="Times New Roman"/>
                <w:spacing w:val="5"/>
                <w:position w:val="2"/>
                <w:sz w:val="20"/>
                <w:szCs w:val="20"/>
              </w:rPr>
              <w:t>)</w:t>
            </w:r>
          </w:p>
        </w:tc>
        <w:tc>
          <w:tcPr>
            <w:tcW w:w="2664" w:type="dxa"/>
            <w:tcBorders>
              <w:left w:val="single" w:color="000000" w:sz="4" w:space="0"/>
              <w:right w:val="single" w:color="000000" w:sz="4" w:space="0"/>
            </w:tcBorders>
            <w:vAlign w:val="top"/>
          </w:tcPr>
          <w:p w14:paraId="4943DBCC">
            <w:pPr>
              <w:spacing w:before="61" w:line="228" w:lineRule="auto"/>
              <w:ind w:left="599"/>
              <w:rPr>
                <w:rFonts w:ascii="宋体" w:hAnsi="宋体" w:eastAsia="宋体" w:cs="宋体"/>
                <w:sz w:val="20"/>
                <w:szCs w:val="20"/>
              </w:rPr>
            </w:pPr>
            <w:r>
              <w:rPr>
                <w:rFonts w:ascii="宋体" w:hAnsi="宋体" w:eastAsia="宋体" w:cs="宋体"/>
                <w:spacing w:val="9"/>
                <w:sz w:val="20"/>
                <w:szCs w:val="20"/>
              </w:rPr>
              <w:t>道路硬化与管</w:t>
            </w:r>
            <w:r>
              <w:rPr>
                <w:rFonts w:ascii="宋体" w:hAnsi="宋体" w:eastAsia="宋体" w:cs="宋体"/>
                <w:spacing w:val="7"/>
                <w:sz w:val="20"/>
                <w:szCs w:val="20"/>
              </w:rPr>
              <w:t>理</w:t>
            </w:r>
          </w:p>
        </w:tc>
        <w:tc>
          <w:tcPr>
            <w:tcW w:w="895" w:type="dxa"/>
            <w:tcBorders>
              <w:left w:val="single" w:color="000000" w:sz="4" w:space="0"/>
              <w:right w:val="single" w:color="000000" w:sz="4" w:space="0"/>
            </w:tcBorders>
            <w:vAlign w:val="top"/>
          </w:tcPr>
          <w:p w14:paraId="737D7C63">
            <w:pPr>
              <w:spacing w:before="97" w:line="195" w:lineRule="auto"/>
              <w:ind w:left="281"/>
              <w:rPr>
                <w:rFonts w:ascii="Times New Roman" w:hAnsi="Times New Roman" w:eastAsia="Times New Roman" w:cs="Times New Roman"/>
                <w:sz w:val="20"/>
                <w:szCs w:val="20"/>
              </w:rPr>
            </w:pPr>
            <w:r>
              <w:rPr>
                <w:rFonts w:ascii="Times New Roman" w:hAnsi="Times New Roman" w:eastAsia="Times New Roman" w:cs="Times New Roman"/>
                <w:sz w:val="20"/>
                <w:szCs w:val="20"/>
              </w:rPr>
              <w:t>P</w:t>
            </w:r>
            <w:r>
              <w:rPr>
                <w:rFonts w:ascii="Times New Roman" w:hAnsi="Times New Roman" w:eastAsia="Times New Roman" w:cs="Times New Roman"/>
                <w:spacing w:val="5"/>
                <w:sz w:val="20"/>
                <w:szCs w:val="20"/>
              </w:rPr>
              <w:t>11</w:t>
            </w:r>
          </w:p>
        </w:tc>
        <w:tc>
          <w:tcPr>
            <w:tcW w:w="920" w:type="dxa"/>
            <w:tcBorders>
              <w:left w:val="single" w:color="000000" w:sz="4" w:space="0"/>
              <w:right w:val="single" w:color="000000" w:sz="4" w:space="0"/>
            </w:tcBorders>
            <w:vAlign w:val="top"/>
          </w:tcPr>
          <w:p w14:paraId="7049BC7F">
            <w:pPr>
              <w:spacing w:before="97" w:line="195" w:lineRule="auto"/>
              <w:ind w:left="41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918" w:type="dxa"/>
            <w:tcBorders>
              <w:left w:val="single" w:color="000000" w:sz="4" w:space="0"/>
              <w:right w:val="nil"/>
            </w:tcBorders>
            <w:vAlign w:val="top"/>
          </w:tcPr>
          <w:p w14:paraId="355E1886">
            <w:pPr>
              <w:spacing w:before="98" w:line="195" w:lineRule="auto"/>
              <w:ind w:left="28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0.71</w:t>
            </w:r>
          </w:p>
        </w:tc>
      </w:tr>
      <w:tr w14:paraId="26BE13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174" w:type="dxa"/>
            <w:vMerge w:val="continue"/>
            <w:tcBorders>
              <w:top w:val="nil"/>
              <w:left w:val="nil"/>
              <w:bottom w:val="nil"/>
              <w:right w:val="single" w:color="000000" w:sz="4" w:space="0"/>
            </w:tcBorders>
            <w:vAlign w:val="top"/>
          </w:tcPr>
          <w:p w14:paraId="671BFE5C">
            <w:pPr>
              <w:rPr>
                <w:rFonts w:ascii="Arial"/>
                <w:sz w:val="21"/>
              </w:rPr>
            </w:pPr>
          </w:p>
        </w:tc>
        <w:tc>
          <w:tcPr>
            <w:tcW w:w="1735" w:type="dxa"/>
            <w:vMerge w:val="continue"/>
            <w:tcBorders>
              <w:top w:val="nil"/>
              <w:left w:val="single" w:color="000000" w:sz="4" w:space="0"/>
              <w:bottom w:val="nil"/>
              <w:right w:val="single" w:color="000000" w:sz="4" w:space="0"/>
            </w:tcBorders>
            <w:vAlign w:val="top"/>
          </w:tcPr>
          <w:p w14:paraId="606C9924">
            <w:pPr>
              <w:rPr>
                <w:rFonts w:ascii="Arial"/>
                <w:sz w:val="21"/>
              </w:rPr>
            </w:pPr>
          </w:p>
        </w:tc>
        <w:tc>
          <w:tcPr>
            <w:tcW w:w="2664" w:type="dxa"/>
            <w:tcBorders>
              <w:left w:val="single" w:color="000000" w:sz="4" w:space="0"/>
              <w:right w:val="single" w:color="000000" w:sz="4" w:space="0"/>
            </w:tcBorders>
            <w:vAlign w:val="top"/>
          </w:tcPr>
          <w:p w14:paraId="5527DCAA">
            <w:pPr>
              <w:spacing w:before="62" w:line="228" w:lineRule="auto"/>
              <w:ind w:left="914"/>
              <w:rPr>
                <w:rFonts w:ascii="宋体" w:hAnsi="宋体" w:eastAsia="宋体" w:cs="宋体"/>
                <w:sz w:val="20"/>
                <w:szCs w:val="20"/>
              </w:rPr>
            </w:pPr>
            <w:r>
              <w:rPr>
                <w:rFonts w:ascii="宋体" w:hAnsi="宋体" w:eastAsia="宋体" w:cs="宋体"/>
                <w:spacing w:val="9"/>
                <w:sz w:val="20"/>
                <w:szCs w:val="20"/>
              </w:rPr>
              <w:t>边</w:t>
            </w:r>
            <w:r>
              <w:rPr>
                <w:rFonts w:ascii="宋体" w:hAnsi="宋体" w:eastAsia="宋体" w:cs="宋体"/>
                <w:spacing w:val="7"/>
                <w:sz w:val="20"/>
                <w:szCs w:val="20"/>
              </w:rPr>
              <w:t>界围挡</w:t>
            </w:r>
          </w:p>
        </w:tc>
        <w:tc>
          <w:tcPr>
            <w:tcW w:w="895" w:type="dxa"/>
            <w:tcBorders>
              <w:left w:val="single" w:color="000000" w:sz="4" w:space="0"/>
              <w:right w:val="single" w:color="000000" w:sz="4" w:space="0"/>
            </w:tcBorders>
            <w:vAlign w:val="top"/>
          </w:tcPr>
          <w:p w14:paraId="00B0E983">
            <w:pPr>
              <w:spacing w:before="98" w:line="195" w:lineRule="auto"/>
              <w:ind w:left="281"/>
              <w:rPr>
                <w:rFonts w:ascii="Times New Roman" w:hAnsi="Times New Roman" w:eastAsia="Times New Roman" w:cs="Times New Roman"/>
                <w:sz w:val="20"/>
                <w:szCs w:val="20"/>
              </w:rPr>
            </w:pPr>
            <w:r>
              <w:rPr>
                <w:rFonts w:ascii="Times New Roman" w:hAnsi="Times New Roman" w:eastAsia="Times New Roman" w:cs="Times New Roman"/>
                <w:sz w:val="20"/>
                <w:szCs w:val="20"/>
              </w:rPr>
              <w:t>P</w:t>
            </w:r>
            <w:r>
              <w:rPr>
                <w:rFonts w:ascii="Times New Roman" w:hAnsi="Times New Roman" w:eastAsia="Times New Roman" w:cs="Times New Roman"/>
                <w:spacing w:val="5"/>
                <w:sz w:val="20"/>
                <w:szCs w:val="20"/>
              </w:rPr>
              <w:t>12</w:t>
            </w:r>
          </w:p>
        </w:tc>
        <w:tc>
          <w:tcPr>
            <w:tcW w:w="920" w:type="dxa"/>
            <w:tcBorders>
              <w:left w:val="single" w:color="000000" w:sz="4" w:space="0"/>
              <w:right w:val="single" w:color="000000" w:sz="4" w:space="0"/>
            </w:tcBorders>
            <w:vAlign w:val="top"/>
          </w:tcPr>
          <w:p w14:paraId="688119AD">
            <w:pPr>
              <w:spacing w:before="98" w:line="195" w:lineRule="auto"/>
              <w:ind w:left="41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918" w:type="dxa"/>
            <w:tcBorders>
              <w:left w:val="single" w:color="000000" w:sz="4" w:space="0"/>
              <w:right w:val="nil"/>
            </w:tcBorders>
            <w:vAlign w:val="top"/>
          </w:tcPr>
          <w:p w14:paraId="3CABD932">
            <w:pPr>
              <w:spacing w:before="98" w:line="195" w:lineRule="auto"/>
              <w:ind w:left="28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0.47</w:t>
            </w:r>
          </w:p>
        </w:tc>
      </w:tr>
      <w:tr w14:paraId="401C4F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174" w:type="dxa"/>
            <w:vMerge w:val="continue"/>
            <w:tcBorders>
              <w:top w:val="nil"/>
              <w:left w:val="nil"/>
              <w:bottom w:val="nil"/>
              <w:right w:val="single" w:color="000000" w:sz="4" w:space="0"/>
            </w:tcBorders>
            <w:vAlign w:val="top"/>
          </w:tcPr>
          <w:p w14:paraId="188628B8">
            <w:pPr>
              <w:rPr>
                <w:rFonts w:ascii="Arial"/>
                <w:sz w:val="21"/>
              </w:rPr>
            </w:pPr>
          </w:p>
        </w:tc>
        <w:tc>
          <w:tcPr>
            <w:tcW w:w="1735" w:type="dxa"/>
            <w:vMerge w:val="continue"/>
            <w:tcBorders>
              <w:top w:val="nil"/>
              <w:left w:val="single" w:color="000000" w:sz="4" w:space="0"/>
              <w:bottom w:val="nil"/>
              <w:right w:val="single" w:color="000000" w:sz="4" w:space="0"/>
            </w:tcBorders>
            <w:vAlign w:val="top"/>
          </w:tcPr>
          <w:p w14:paraId="7A0A06E0">
            <w:pPr>
              <w:rPr>
                <w:rFonts w:ascii="Arial"/>
                <w:sz w:val="21"/>
              </w:rPr>
            </w:pPr>
          </w:p>
        </w:tc>
        <w:tc>
          <w:tcPr>
            <w:tcW w:w="2664" w:type="dxa"/>
            <w:tcBorders>
              <w:left w:val="single" w:color="000000" w:sz="4" w:space="0"/>
              <w:right w:val="single" w:color="000000" w:sz="4" w:space="0"/>
            </w:tcBorders>
            <w:vAlign w:val="top"/>
          </w:tcPr>
          <w:p w14:paraId="30B6C9ED">
            <w:pPr>
              <w:spacing w:before="64" w:line="228" w:lineRule="auto"/>
              <w:ind w:left="706"/>
              <w:rPr>
                <w:rFonts w:ascii="宋体" w:hAnsi="宋体" w:eastAsia="宋体" w:cs="宋体"/>
                <w:sz w:val="20"/>
                <w:szCs w:val="20"/>
              </w:rPr>
            </w:pPr>
            <w:r>
              <w:rPr>
                <w:rFonts w:ascii="宋体" w:hAnsi="宋体" w:eastAsia="宋体" w:cs="宋体"/>
                <w:spacing w:val="9"/>
                <w:sz w:val="20"/>
                <w:szCs w:val="20"/>
              </w:rPr>
              <w:t>裸</w:t>
            </w:r>
            <w:r>
              <w:rPr>
                <w:rFonts w:ascii="宋体" w:hAnsi="宋体" w:eastAsia="宋体" w:cs="宋体"/>
                <w:spacing w:val="8"/>
                <w:sz w:val="20"/>
                <w:szCs w:val="20"/>
              </w:rPr>
              <w:t>露地面覆盖</w:t>
            </w:r>
          </w:p>
        </w:tc>
        <w:tc>
          <w:tcPr>
            <w:tcW w:w="895" w:type="dxa"/>
            <w:tcBorders>
              <w:left w:val="single" w:color="000000" w:sz="4" w:space="0"/>
              <w:right w:val="single" w:color="000000" w:sz="4" w:space="0"/>
            </w:tcBorders>
            <w:vAlign w:val="top"/>
          </w:tcPr>
          <w:p w14:paraId="7931DD28">
            <w:pPr>
              <w:spacing w:before="100" w:line="195" w:lineRule="auto"/>
              <w:ind w:left="281"/>
              <w:rPr>
                <w:rFonts w:ascii="Times New Roman" w:hAnsi="Times New Roman" w:eastAsia="Times New Roman" w:cs="Times New Roman"/>
                <w:sz w:val="20"/>
                <w:szCs w:val="20"/>
              </w:rPr>
            </w:pPr>
            <w:r>
              <w:rPr>
                <w:rFonts w:ascii="Times New Roman" w:hAnsi="Times New Roman" w:eastAsia="Times New Roman" w:cs="Times New Roman"/>
                <w:sz w:val="20"/>
                <w:szCs w:val="20"/>
              </w:rPr>
              <w:t>P</w:t>
            </w:r>
            <w:r>
              <w:rPr>
                <w:rFonts w:ascii="Times New Roman" w:hAnsi="Times New Roman" w:eastAsia="Times New Roman" w:cs="Times New Roman"/>
                <w:spacing w:val="5"/>
                <w:sz w:val="20"/>
                <w:szCs w:val="20"/>
              </w:rPr>
              <w:t>13</w:t>
            </w:r>
          </w:p>
        </w:tc>
        <w:tc>
          <w:tcPr>
            <w:tcW w:w="920" w:type="dxa"/>
            <w:tcBorders>
              <w:left w:val="single" w:color="000000" w:sz="4" w:space="0"/>
              <w:right w:val="single" w:color="000000" w:sz="4" w:space="0"/>
            </w:tcBorders>
            <w:vAlign w:val="top"/>
          </w:tcPr>
          <w:p w14:paraId="3B16F894">
            <w:pPr>
              <w:spacing w:before="100" w:line="195" w:lineRule="auto"/>
              <w:ind w:left="41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918" w:type="dxa"/>
            <w:tcBorders>
              <w:left w:val="single" w:color="000000" w:sz="4" w:space="0"/>
              <w:right w:val="nil"/>
            </w:tcBorders>
            <w:vAlign w:val="top"/>
          </w:tcPr>
          <w:p w14:paraId="0AAB7AC0">
            <w:pPr>
              <w:spacing w:before="100" w:line="195" w:lineRule="auto"/>
              <w:ind w:left="28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0.47</w:t>
            </w:r>
          </w:p>
        </w:tc>
      </w:tr>
      <w:tr w14:paraId="6B9631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174" w:type="dxa"/>
            <w:vMerge w:val="continue"/>
            <w:tcBorders>
              <w:top w:val="nil"/>
              <w:left w:val="nil"/>
              <w:bottom w:val="nil"/>
              <w:right w:val="single" w:color="000000" w:sz="4" w:space="0"/>
            </w:tcBorders>
            <w:vAlign w:val="top"/>
          </w:tcPr>
          <w:p w14:paraId="28872084">
            <w:pPr>
              <w:rPr>
                <w:rFonts w:ascii="Arial"/>
                <w:sz w:val="21"/>
              </w:rPr>
            </w:pPr>
          </w:p>
        </w:tc>
        <w:tc>
          <w:tcPr>
            <w:tcW w:w="1735" w:type="dxa"/>
            <w:vMerge w:val="continue"/>
            <w:tcBorders>
              <w:top w:val="nil"/>
              <w:left w:val="single" w:color="000000" w:sz="4" w:space="0"/>
              <w:bottom w:val="nil"/>
              <w:right w:val="single" w:color="000000" w:sz="4" w:space="0"/>
            </w:tcBorders>
            <w:vAlign w:val="top"/>
          </w:tcPr>
          <w:p w14:paraId="3C1E2D23">
            <w:pPr>
              <w:rPr>
                <w:rFonts w:ascii="Arial"/>
                <w:sz w:val="21"/>
              </w:rPr>
            </w:pPr>
          </w:p>
        </w:tc>
        <w:tc>
          <w:tcPr>
            <w:tcW w:w="2664" w:type="dxa"/>
            <w:tcBorders>
              <w:left w:val="single" w:color="000000" w:sz="4" w:space="0"/>
              <w:right w:val="single" w:color="000000" w:sz="4" w:space="0"/>
            </w:tcBorders>
            <w:vAlign w:val="top"/>
          </w:tcPr>
          <w:p w14:paraId="3FA2683C">
            <w:pPr>
              <w:spacing w:before="64" w:line="228" w:lineRule="auto"/>
              <w:ind w:left="614"/>
              <w:rPr>
                <w:rFonts w:ascii="宋体" w:hAnsi="宋体" w:eastAsia="宋体" w:cs="宋体"/>
                <w:sz w:val="20"/>
                <w:szCs w:val="20"/>
              </w:rPr>
            </w:pPr>
            <w:r>
              <w:rPr>
                <w:rFonts w:ascii="宋体" w:hAnsi="宋体" w:eastAsia="宋体" w:cs="宋体"/>
                <w:spacing w:val="11"/>
                <w:sz w:val="20"/>
                <w:szCs w:val="20"/>
              </w:rPr>
              <w:t>易</w:t>
            </w:r>
            <w:r>
              <w:rPr>
                <w:rFonts w:ascii="宋体" w:hAnsi="宋体" w:eastAsia="宋体" w:cs="宋体"/>
                <w:spacing w:val="6"/>
                <w:sz w:val="20"/>
                <w:szCs w:val="20"/>
              </w:rPr>
              <w:t>扬尘物料覆盖</w:t>
            </w:r>
          </w:p>
        </w:tc>
        <w:tc>
          <w:tcPr>
            <w:tcW w:w="895" w:type="dxa"/>
            <w:tcBorders>
              <w:left w:val="single" w:color="000000" w:sz="4" w:space="0"/>
              <w:right w:val="single" w:color="000000" w:sz="4" w:space="0"/>
            </w:tcBorders>
            <w:vAlign w:val="top"/>
          </w:tcPr>
          <w:p w14:paraId="2037DAB6">
            <w:pPr>
              <w:spacing w:before="99" w:line="195" w:lineRule="auto"/>
              <w:ind w:left="281"/>
              <w:rPr>
                <w:rFonts w:ascii="Times New Roman" w:hAnsi="Times New Roman" w:eastAsia="Times New Roman" w:cs="Times New Roman"/>
                <w:sz w:val="20"/>
                <w:szCs w:val="20"/>
              </w:rPr>
            </w:pPr>
            <w:r>
              <w:rPr>
                <w:rFonts w:ascii="Times New Roman" w:hAnsi="Times New Roman" w:eastAsia="Times New Roman" w:cs="Times New Roman"/>
                <w:sz w:val="20"/>
                <w:szCs w:val="20"/>
              </w:rPr>
              <w:t>P</w:t>
            </w:r>
            <w:r>
              <w:rPr>
                <w:rFonts w:ascii="Times New Roman" w:hAnsi="Times New Roman" w:eastAsia="Times New Roman" w:cs="Times New Roman"/>
                <w:spacing w:val="5"/>
                <w:sz w:val="20"/>
                <w:szCs w:val="20"/>
              </w:rPr>
              <w:t>14</w:t>
            </w:r>
          </w:p>
        </w:tc>
        <w:tc>
          <w:tcPr>
            <w:tcW w:w="920" w:type="dxa"/>
            <w:tcBorders>
              <w:left w:val="single" w:color="000000" w:sz="4" w:space="0"/>
              <w:right w:val="single" w:color="000000" w:sz="4" w:space="0"/>
            </w:tcBorders>
            <w:vAlign w:val="top"/>
          </w:tcPr>
          <w:p w14:paraId="0E9E605F">
            <w:pPr>
              <w:spacing w:before="99" w:line="195" w:lineRule="auto"/>
              <w:ind w:left="41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918" w:type="dxa"/>
            <w:tcBorders>
              <w:left w:val="single" w:color="000000" w:sz="4" w:space="0"/>
              <w:right w:val="nil"/>
            </w:tcBorders>
            <w:vAlign w:val="top"/>
          </w:tcPr>
          <w:p w14:paraId="29B71FF7">
            <w:pPr>
              <w:spacing w:before="100" w:line="195" w:lineRule="auto"/>
              <w:ind w:left="28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0.25</w:t>
            </w:r>
          </w:p>
        </w:tc>
      </w:tr>
      <w:tr w14:paraId="22BECA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174" w:type="dxa"/>
            <w:vMerge w:val="continue"/>
            <w:tcBorders>
              <w:top w:val="nil"/>
              <w:left w:val="nil"/>
              <w:bottom w:val="nil"/>
              <w:right w:val="single" w:color="000000" w:sz="4" w:space="0"/>
            </w:tcBorders>
            <w:vAlign w:val="top"/>
          </w:tcPr>
          <w:p w14:paraId="4A7158C4">
            <w:pPr>
              <w:rPr>
                <w:rFonts w:ascii="Arial"/>
                <w:sz w:val="21"/>
              </w:rPr>
            </w:pPr>
          </w:p>
        </w:tc>
        <w:tc>
          <w:tcPr>
            <w:tcW w:w="1735" w:type="dxa"/>
            <w:vMerge w:val="continue"/>
            <w:tcBorders>
              <w:top w:val="nil"/>
              <w:left w:val="single" w:color="000000" w:sz="4" w:space="0"/>
              <w:right w:val="single" w:color="000000" w:sz="4" w:space="0"/>
            </w:tcBorders>
            <w:vAlign w:val="top"/>
          </w:tcPr>
          <w:p w14:paraId="569C6B66">
            <w:pPr>
              <w:rPr>
                <w:rFonts w:ascii="Arial"/>
                <w:sz w:val="21"/>
              </w:rPr>
            </w:pPr>
          </w:p>
        </w:tc>
        <w:tc>
          <w:tcPr>
            <w:tcW w:w="2664" w:type="dxa"/>
            <w:tcBorders>
              <w:left w:val="single" w:color="000000" w:sz="4" w:space="0"/>
              <w:right w:val="single" w:color="000000" w:sz="4" w:space="0"/>
            </w:tcBorders>
            <w:vAlign w:val="top"/>
          </w:tcPr>
          <w:p w14:paraId="287C425D">
            <w:pPr>
              <w:spacing w:before="64" w:line="227" w:lineRule="auto"/>
              <w:ind w:left="605"/>
              <w:rPr>
                <w:rFonts w:ascii="宋体" w:hAnsi="宋体" w:eastAsia="宋体" w:cs="宋体"/>
                <w:sz w:val="20"/>
                <w:szCs w:val="20"/>
              </w:rPr>
            </w:pPr>
            <w:r>
              <w:rPr>
                <w:rFonts w:ascii="宋体" w:hAnsi="宋体" w:eastAsia="宋体" w:cs="宋体"/>
                <w:spacing w:val="8"/>
                <w:sz w:val="20"/>
                <w:szCs w:val="20"/>
              </w:rPr>
              <w:t>定期喷洒抑制</w:t>
            </w:r>
            <w:r>
              <w:rPr>
                <w:rFonts w:ascii="宋体" w:hAnsi="宋体" w:eastAsia="宋体" w:cs="宋体"/>
                <w:spacing w:val="7"/>
                <w:sz w:val="20"/>
                <w:szCs w:val="20"/>
              </w:rPr>
              <w:t>剂</w:t>
            </w:r>
          </w:p>
        </w:tc>
        <w:tc>
          <w:tcPr>
            <w:tcW w:w="895" w:type="dxa"/>
            <w:tcBorders>
              <w:left w:val="single" w:color="000000" w:sz="4" w:space="0"/>
              <w:right w:val="single" w:color="000000" w:sz="4" w:space="0"/>
            </w:tcBorders>
            <w:vAlign w:val="top"/>
          </w:tcPr>
          <w:p w14:paraId="70792EE7">
            <w:pPr>
              <w:spacing w:before="100" w:line="195" w:lineRule="auto"/>
              <w:ind w:left="281"/>
              <w:rPr>
                <w:rFonts w:ascii="Times New Roman" w:hAnsi="Times New Roman" w:eastAsia="Times New Roman" w:cs="Times New Roman"/>
                <w:sz w:val="20"/>
                <w:szCs w:val="20"/>
              </w:rPr>
            </w:pPr>
            <w:r>
              <w:rPr>
                <w:rFonts w:ascii="Times New Roman" w:hAnsi="Times New Roman" w:eastAsia="Times New Roman" w:cs="Times New Roman"/>
                <w:sz w:val="20"/>
                <w:szCs w:val="20"/>
              </w:rPr>
              <w:t>P</w:t>
            </w:r>
            <w:r>
              <w:rPr>
                <w:rFonts w:ascii="Times New Roman" w:hAnsi="Times New Roman" w:eastAsia="Times New Roman" w:cs="Times New Roman"/>
                <w:spacing w:val="5"/>
                <w:sz w:val="20"/>
                <w:szCs w:val="20"/>
              </w:rPr>
              <w:t>15</w:t>
            </w:r>
          </w:p>
        </w:tc>
        <w:tc>
          <w:tcPr>
            <w:tcW w:w="920" w:type="dxa"/>
            <w:tcBorders>
              <w:left w:val="single" w:color="000000" w:sz="4" w:space="0"/>
              <w:right w:val="single" w:color="000000" w:sz="4" w:space="0"/>
            </w:tcBorders>
            <w:vAlign w:val="top"/>
          </w:tcPr>
          <w:p w14:paraId="3F9D60AF">
            <w:pPr>
              <w:spacing w:before="100" w:line="195" w:lineRule="auto"/>
              <w:ind w:left="41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918" w:type="dxa"/>
            <w:tcBorders>
              <w:left w:val="single" w:color="000000" w:sz="4" w:space="0"/>
              <w:right w:val="nil"/>
            </w:tcBorders>
            <w:vAlign w:val="top"/>
          </w:tcPr>
          <w:p w14:paraId="27F012F0">
            <w:pPr>
              <w:spacing w:before="100" w:line="195" w:lineRule="auto"/>
              <w:ind w:left="33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w:t>
            </w:r>
          </w:p>
        </w:tc>
      </w:tr>
      <w:tr w14:paraId="249B6B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1174" w:type="dxa"/>
            <w:vMerge w:val="continue"/>
            <w:tcBorders>
              <w:top w:val="nil"/>
              <w:left w:val="nil"/>
              <w:right w:val="single" w:color="000000" w:sz="4" w:space="0"/>
            </w:tcBorders>
            <w:vAlign w:val="top"/>
          </w:tcPr>
          <w:p w14:paraId="2E4204B1">
            <w:pPr>
              <w:rPr>
                <w:rFonts w:ascii="Arial"/>
                <w:sz w:val="21"/>
              </w:rPr>
            </w:pPr>
          </w:p>
        </w:tc>
        <w:tc>
          <w:tcPr>
            <w:tcW w:w="1735" w:type="dxa"/>
            <w:tcBorders>
              <w:left w:val="single" w:color="000000" w:sz="4" w:space="0"/>
              <w:right w:val="single" w:color="000000" w:sz="4" w:space="0"/>
            </w:tcBorders>
            <w:vAlign w:val="top"/>
          </w:tcPr>
          <w:p w14:paraId="04A5E376">
            <w:pPr>
              <w:spacing w:before="60" w:line="263" w:lineRule="auto"/>
              <w:ind w:left="276" w:right="268" w:firstLine="175"/>
              <w:rPr>
                <w:rFonts w:ascii="Times New Roman" w:hAnsi="Times New Roman" w:eastAsia="Times New Roman" w:cs="Times New Roman"/>
                <w:sz w:val="20"/>
                <w:szCs w:val="20"/>
              </w:rPr>
            </w:pPr>
            <w:r>
              <w:rPr>
                <w:rFonts w:ascii="宋体" w:hAnsi="宋体" w:eastAsia="宋体" w:cs="宋体"/>
                <w:spacing w:val="8"/>
                <w:sz w:val="20"/>
                <w:szCs w:val="20"/>
              </w:rPr>
              <w:t>二</w:t>
            </w:r>
            <w:r>
              <w:rPr>
                <w:rFonts w:ascii="宋体" w:hAnsi="宋体" w:eastAsia="宋体" w:cs="宋体"/>
                <w:spacing w:val="6"/>
                <w:sz w:val="20"/>
                <w:szCs w:val="20"/>
              </w:rPr>
              <w:t>次扬尘</w:t>
            </w:r>
            <w:r>
              <w:rPr>
                <w:rFonts w:ascii="宋体" w:hAnsi="宋体" w:eastAsia="宋体" w:cs="宋体"/>
                <w:sz w:val="20"/>
                <w:szCs w:val="20"/>
              </w:rPr>
              <w:t xml:space="preserve"> </w:t>
            </w:r>
            <w:r>
              <w:rPr>
                <w:rFonts w:ascii="Times New Roman" w:hAnsi="Times New Roman" w:eastAsia="Times New Roman" w:cs="Times New Roman"/>
                <w:spacing w:val="10"/>
                <w:sz w:val="20"/>
                <w:szCs w:val="20"/>
              </w:rPr>
              <w:t>(</w:t>
            </w:r>
            <w:r>
              <w:rPr>
                <w:rFonts w:ascii="宋体" w:hAnsi="宋体" w:eastAsia="宋体" w:cs="宋体"/>
                <w:spacing w:val="6"/>
                <w:sz w:val="20"/>
                <w:szCs w:val="20"/>
              </w:rPr>
              <w:t>不累计计算</w:t>
            </w:r>
            <w:r>
              <w:rPr>
                <w:rFonts w:ascii="Times New Roman" w:hAnsi="Times New Roman" w:eastAsia="Times New Roman" w:cs="Times New Roman"/>
                <w:spacing w:val="6"/>
                <w:sz w:val="20"/>
                <w:szCs w:val="20"/>
              </w:rPr>
              <w:t>)</w:t>
            </w:r>
          </w:p>
        </w:tc>
        <w:tc>
          <w:tcPr>
            <w:tcW w:w="2664" w:type="dxa"/>
            <w:tcBorders>
              <w:left w:val="single" w:color="000000" w:sz="4" w:space="0"/>
              <w:right w:val="single" w:color="000000" w:sz="4" w:space="0"/>
            </w:tcBorders>
            <w:vAlign w:val="top"/>
          </w:tcPr>
          <w:p w14:paraId="661F83ED">
            <w:pPr>
              <w:spacing w:before="215" w:line="227" w:lineRule="auto"/>
              <w:ind w:left="286"/>
              <w:rPr>
                <w:rFonts w:ascii="宋体" w:hAnsi="宋体" w:eastAsia="宋体" w:cs="宋体"/>
                <w:sz w:val="20"/>
                <w:szCs w:val="20"/>
              </w:rPr>
            </w:pPr>
            <w:r>
              <w:rPr>
                <w:rFonts w:ascii="宋体" w:hAnsi="宋体" w:eastAsia="宋体" w:cs="宋体"/>
                <w:spacing w:val="9"/>
                <w:sz w:val="20"/>
                <w:szCs w:val="20"/>
              </w:rPr>
              <w:t>运输车辆简易冲洗装</w:t>
            </w:r>
            <w:r>
              <w:rPr>
                <w:rFonts w:ascii="宋体" w:hAnsi="宋体" w:eastAsia="宋体" w:cs="宋体"/>
                <w:spacing w:val="8"/>
                <w:sz w:val="20"/>
                <w:szCs w:val="20"/>
              </w:rPr>
              <w:t>置</w:t>
            </w:r>
          </w:p>
        </w:tc>
        <w:tc>
          <w:tcPr>
            <w:tcW w:w="895" w:type="dxa"/>
            <w:tcBorders>
              <w:left w:val="single" w:color="000000" w:sz="4" w:space="0"/>
              <w:right w:val="single" w:color="000000" w:sz="4" w:space="0"/>
            </w:tcBorders>
            <w:vAlign w:val="top"/>
          </w:tcPr>
          <w:p w14:paraId="0B2C1FC5">
            <w:pPr>
              <w:spacing w:before="251" w:line="195" w:lineRule="auto"/>
              <w:ind w:left="334"/>
              <w:rPr>
                <w:rFonts w:ascii="Times New Roman" w:hAnsi="Times New Roman" w:eastAsia="Times New Roman" w:cs="Times New Roman"/>
                <w:sz w:val="20"/>
                <w:szCs w:val="20"/>
              </w:rPr>
            </w:pPr>
            <w:r>
              <w:rPr>
                <w:rFonts w:ascii="Times New Roman" w:hAnsi="Times New Roman" w:eastAsia="Times New Roman" w:cs="Times New Roman"/>
                <w:sz w:val="20"/>
                <w:szCs w:val="20"/>
              </w:rPr>
              <w:t>P</w:t>
            </w:r>
            <w:r>
              <w:rPr>
                <w:rFonts w:ascii="Times New Roman" w:hAnsi="Times New Roman" w:eastAsia="Times New Roman" w:cs="Times New Roman"/>
                <w:spacing w:val="4"/>
                <w:sz w:val="20"/>
                <w:szCs w:val="20"/>
              </w:rPr>
              <w:t>2</w:t>
            </w:r>
          </w:p>
        </w:tc>
        <w:tc>
          <w:tcPr>
            <w:tcW w:w="920" w:type="dxa"/>
            <w:tcBorders>
              <w:left w:val="single" w:color="000000" w:sz="4" w:space="0"/>
              <w:right w:val="single" w:color="000000" w:sz="4" w:space="0"/>
            </w:tcBorders>
            <w:vAlign w:val="top"/>
          </w:tcPr>
          <w:p w14:paraId="14BD6639">
            <w:pPr>
              <w:spacing w:before="251" w:line="198" w:lineRule="auto"/>
              <w:ind w:left="29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55</w:t>
            </w:r>
          </w:p>
        </w:tc>
        <w:tc>
          <w:tcPr>
            <w:tcW w:w="918" w:type="dxa"/>
            <w:tcBorders>
              <w:left w:val="single" w:color="000000" w:sz="4" w:space="0"/>
              <w:right w:val="nil"/>
            </w:tcBorders>
            <w:vAlign w:val="top"/>
          </w:tcPr>
          <w:p w14:paraId="5FFAF861">
            <w:pPr>
              <w:spacing w:before="251" w:line="195" w:lineRule="auto"/>
              <w:ind w:left="33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3.1</w:t>
            </w:r>
          </w:p>
        </w:tc>
      </w:tr>
    </w:tbl>
    <w:p w14:paraId="176B7F63">
      <w:pPr>
        <w:spacing w:before="57" w:line="232" w:lineRule="auto"/>
        <w:ind w:left="21"/>
        <w:rPr>
          <w:rFonts w:ascii="宋体" w:hAnsi="宋体" w:eastAsia="宋体" w:cs="宋体"/>
          <w:sz w:val="19"/>
          <w:szCs w:val="19"/>
        </w:rPr>
      </w:pPr>
      <w:r>
        <w:rPr>
          <w:rFonts w:ascii="宋体" w:hAnsi="宋体" w:eastAsia="宋体" w:cs="宋体"/>
          <w:spacing w:val="19"/>
          <w:sz w:val="19"/>
          <w:szCs w:val="19"/>
          <w14:textOutline w14:w="3614" w14:cap="sq" w14:cmpd="sng">
            <w14:solidFill>
              <w14:srgbClr w14:val="000000"/>
            </w14:solidFill>
            <w14:prstDash w14:val="solid"/>
            <w14:bevel/>
          </w14:textOutline>
        </w:rPr>
        <w:t>注</w:t>
      </w:r>
      <w:r>
        <w:rPr>
          <w:rFonts w:ascii="宋体" w:hAnsi="宋体" w:eastAsia="宋体" w:cs="宋体"/>
          <w:spacing w:val="13"/>
          <w:sz w:val="19"/>
          <w:szCs w:val="19"/>
          <w14:textOutline w14:w="3614" w14:cap="sq" w14:cmpd="sng">
            <w14:solidFill>
              <w14:srgbClr w14:val="000000"/>
            </w14:solidFill>
            <w14:prstDash w14:val="solid"/>
            <w14:bevel/>
          </w14:textOutline>
        </w:rPr>
        <w:t>：运输车辆冲洗采用机械冲洗装置，未达到其基本要求时，按简易冲洗装置的基本要求进行</w:t>
      </w:r>
    </w:p>
    <w:p w14:paraId="4407187E">
      <w:pPr>
        <w:spacing w:before="72" w:line="228" w:lineRule="auto"/>
        <w:ind w:left="24"/>
        <w:rPr>
          <w:rFonts w:ascii="宋体" w:hAnsi="宋体" w:eastAsia="宋体" w:cs="宋体"/>
          <w:sz w:val="19"/>
          <w:szCs w:val="19"/>
        </w:rPr>
      </w:pPr>
      <w:r>
        <w:rPr>
          <w:rFonts w:ascii="宋体" w:hAnsi="宋体" w:eastAsia="宋体" w:cs="宋体"/>
          <w:spacing w:val="4"/>
          <w:sz w:val="19"/>
          <w:szCs w:val="19"/>
          <w14:textOutline w14:w="3614" w14:cap="sq" w14:cmpd="sng">
            <w14:solidFill>
              <w14:srgbClr w14:val="000000"/>
            </w14:solidFill>
            <w14:prstDash w14:val="solid"/>
            <w14:bevel/>
          </w14:textOutline>
        </w:rPr>
        <w:t>核</w:t>
      </w:r>
      <w:r>
        <w:rPr>
          <w:rFonts w:ascii="宋体" w:hAnsi="宋体" w:eastAsia="宋体" w:cs="宋体"/>
          <w:spacing w:val="3"/>
          <w:sz w:val="19"/>
          <w:szCs w:val="19"/>
          <w14:textOutline w14:w="3614" w14:cap="sq" w14:cmpd="sng">
            <w14:solidFill>
              <w14:srgbClr w14:val="000000"/>
            </w14:solidFill>
            <w14:prstDash w14:val="solid"/>
            <w14:bevel/>
          </w14:textOutline>
        </w:rPr>
        <w:t>算。</w:t>
      </w:r>
    </w:p>
    <w:p w14:paraId="72C23121">
      <w:pPr>
        <w:spacing w:before="311" w:line="323" w:lineRule="exact"/>
        <w:ind w:left="503"/>
        <w:rPr>
          <w:rFonts w:ascii="Wingdings" w:hAnsi="Wingdings" w:eastAsia="Wingdings" w:cs="Wingdings"/>
          <w:sz w:val="23"/>
          <w:szCs w:val="23"/>
        </w:rPr>
      </w:pPr>
      <w:r>
        <w:rPr>
          <w:rFonts w:ascii="宋体" w:hAnsi="宋体" w:eastAsia="宋体" w:cs="宋体"/>
          <w:spacing w:val="-2"/>
          <w:position w:val="1"/>
          <w:sz w:val="23"/>
          <w:szCs w:val="23"/>
        </w:rPr>
        <w:t>根据上述公式计算扬尘量为：</w:t>
      </w:r>
      <w:r>
        <w:rPr>
          <w:rFonts w:ascii="Times New Roman" w:hAnsi="Times New Roman" w:eastAsia="Times New Roman" w:cs="Times New Roman"/>
          <w:spacing w:val="-2"/>
          <w:position w:val="1"/>
          <w:sz w:val="23"/>
          <w:szCs w:val="23"/>
        </w:rPr>
        <w:t xml:space="preserve">B </w:t>
      </w:r>
      <w:r>
        <w:rPr>
          <w:rFonts w:ascii="宋体" w:hAnsi="宋体" w:eastAsia="宋体" w:cs="宋体"/>
          <w:spacing w:val="-2"/>
          <w:position w:val="1"/>
          <w:sz w:val="23"/>
          <w:szCs w:val="23"/>
        </w:rPr>
        <w:t xml:space="preserve">基本排放量排放系数取建筑工地 </w:t>
      </w:r>
      <w:r>
        <w:rPr>
          <w:rFonts w:ascii="Times New Roman" w:hAnsi="Times New Roman" w:eastAsia="Times New Roman" w:cs="Times New Roman"/>
          <w:spacing w:val="-2"/>
          <w:position w:val="1"/>
          <w:sz w:val="23"/>
          <w:szCs w:val="23"/>
        </w:rPr>
        <w:t>4.8t/</w:t>
      </w:r>
      <w:r>
        <w:rPr>
          <w:rFonts w:ascii="宋体" w:hAnsi="宋体" w:eastAsia="宋体" w:cs="宋体"/>
          <w:spacing w:val="-2"/>
          <w:position w:val="1"/>
          <w:sz w:val="23"/>
          <w:szCs w:val="23"/>
        </w:rPr>
        <w:t xml:space="preserve">万 </w:t>
      </w:r>
      <w:r>
        <w:rPr>
          <w:rFonts w:ascii="Times New Roman" w:hAnsi="Times New Roman" w:eastAsia="Times New Roman" w:cs="Times New Roman"/>
          <w:position w:val="1"/>
          <w:sz w:val="23"/>
          <w:szCs w:val="23"/>
        </w:rPr>
        <w:t>m</w:t>
      </w:r>
      <w:r>
        <w:rPr>
          <w:rFonts w:ascii="Times New Roman" w:hAnsi="Times New Roman" w:eastAsia="Times New Roman" w:cs="Times New Roman"/>
          <w:spacing w:val="-2"/>
          <w:position w:val="9"/>
          <w:sz w:val="15"/>
          <w:szCs w:val="15"/>
        </w:rPr>
        <w:t xml:space="preserve">2 </w:t>
      </w:r>
      <w:r>
        <w:rPr>
          <w:rFonts w:ascii="Wingdings" w:hAnsi="Wingdings" w:eastAsia="Wingdings" w:cs="Wingdings"/>
          <w:spacing w:val="-2"/>
          <w:position w:val="1"/>
          <w:sz w:val="23"/>
          <w:szCs w:val="23"/>
        </w:rPr>
        <w:t>1</w:t>
      </w:r>
    </w:p>
    <w:p w14:paraId="0A713749">
      <w:pPr>
        <w:spacing w:before="203" w:line="227" w:lineRule="auto"/>
        <w:ind w:left="29"/>
        <w:rPr>
          <w:rFonts w:ascii="宋体" w:hAnsi="宋体" w:eastAsia="宋体" w:cs="宋体"/>
          <w:sz w:val="23"/>
          <w:szCs w:val="23"/>
        </w:rPr>
      </w:pPr>
      <w:r>
        <w:rPr>
          <w:rFonts w:ascii="宋体" w:hAnsi="宋体" w:eastAsia="宋体" w:cs="宋体"/>
          <w:spacing w:val="3"/>
          <w:sz w:val="23"/>
          <w:szCs w:val="23"/>
        </w:rPr>
        <w:t>月</w:t>
      </w:r>
      <w:r>
        <w:rPr>
          <w:rFonts w:ascii="宋体" w:hAnsi="宋体" w:eastAsia="宋体" w:cs="宋体"/>
          <w:spacing w:val="2"/>
          <w:sz w:val="23"/>
          <w:szCs w:val="23"/>
        </w:rPr>
        <w:t>；</w:t>
      </w:r>
      <w:r>
        <w:rPr>
          <w:rFonts w:ascii="Times New Roman" w:hAnsi="Times New Roman" w:eastAsia="Times New Roman" w:cs="Times New Roman"/>
          <w:sz w:val="23"/>
          <w:szCs w:val="23"/>
        </w:rPr>
        <w:t>T</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 xml:space="preserve">施工期 </w:t>
      </w:r>
      <w:r>
        <w:rPr>
          <w:rFonts w:ascii="Times New Roman" w:hAnsi="Times New Roman" w:eastAsia="Times New Roman" w:cs="Times New Roman"/>
          <w:spacing w:val="2"/>
          <w:sz w:val="23"/>
          <w:szCs w:val="23"/>
        </w:rPr>
        <w:t xml:space="preserve">6 </w:t>
      </w:r>
      <w:r>
        <w:rPr>
          <w:rFonts w:ascii="宋体" w:hAnsi="宋体" w:eastAsia="宋体" w:cs="宋体"/>
          <w:spacing w:val="2"/>
          <w:sz w:val="23"/>
          <w:szCs w:val="23"/>
        </w:rPr>
        <w:t xml:space="preserve">个月；施工面积为 </w:t>
      </w:r>
      <w:r>
        <w:rPr>
          <w:rFonts w:ascii="Times New Roman" w:hAnsi="Times New Roman" w:eastAsia="Times New Roman" w:cs="Times New Roman"/>
          <w:spacing w:val="2"/>
          <w:sz w:val="23"/>
          <w:szCs w:val="23"/>
        </w:rPr>
        <w:t>600</w:t>
      </w:r>
      <w:r>
        <w:rPr>
          <w:rFonts w:ascii="Times New Roman" w:hAnsi="Times New Roman" w:eastAsia="Times New Roman" w:cs="Times New Roman"/>
          <w:sz w:val="23"/>
          <w:szCs w:val="23"/>
        </w:rPr>
        <w:t>m</w:t>
      </w:r>
      <w:r>
        <w:rPr>
          <w:rFonts w:ascii="Times New Roman" w:hAnsi="Times New Roman" w:eastAsia="Times New Roman" w:cs="Times New Roman"/>
          <w:spacing w:val="2"/>
          <w:position w:val="8"/>
          <w:sz w:val="15"/>
          <w:szCs w:val="15"/>
        </w:rPr>
        <w:t>2</w:t>
      </w:r>
      <w:r>
        <w:rPr>
          <w:rFonts w:ascii="宋体" w:hAnsi="宋体" w:eastAsia="宋体" w:cs="宋体"/>
          <w:spacing w:val="2"/>
          <w:sz w:val="23"/>
          <w:szCs w:val="23"/>
        </w:rPr>
        <w:t>；</w:t>
      </w:r>
    </w:p>
    <w:p w14:paraId="17E9CE78">
      <w:pPr>
        <w:spacing w:line="276" w:lineRule="auto"/>
        <w:rPr>
          <w:rFonts w:ascii="Arial"/>
          <w:sz w:val="21"/>
        </w:rPr>
      </w:pPr>
    </w:p>
    <w:p w14:paraId="6EFE190E">
      <w:pPr>
        <w:spacing w:before="76" w:line="225" w:lineRule="auto"/>
        <w:ind w:left="502"/>
        <w:rPr>
          <w:rFonts w:ascii="宋体" w:hAnsi="宋体" w:eastAsia="宋体" w:cs="宋体"/>
          <w:sz w:val="23"/>
          <w:szCs w:val="23"/>
        </w:rPr>
      </w:pPr>
      <w:r>
        <w:rPr>
          <w:rFonts w:ascii="宋体" w:hAnsi="宋体" w:eastAsia="宋体" w:cs="宋体"/>
          <w:spacing w:val="16"/>
          <w:sz w:val="23"/>
          <w:szCs w:val="23"/>
        </w:rPr>
        <w:t>①</w:t>
      </w:r>
      <w:r>
        <w:rPr>
          <w:rFonts w:ascii="宋体" w:hAnsi="宋体" w:eastAsia="宋体" w:cs="宋体"/>
          <w:spacing w:val="11"/>
          <w:sz w:val="23"/>
          <w:szCs w:val="23"/>
        </w:rPr>
        <w:t>本</w:t>
      </w:r>
      <w:r>
        <w:rPr>
          <w:rFonts w:ascii="宋体" w:hAnsi="宋体" w:eastAsia="宋体" w:cs="宋体"/>
          <w:spacing w:val="8"/>
          <w:sz w:val="23"/>
          <w:szCs w:val="23"/>
        </w:rPr>
        <w:t>项目建筑施工扬尘产生量为：</w:t>
      </w:r>
    </w:p>
    <w:p w14:paraId="4A09A659">
      <w:pPr>
        <w:spacing w:line="278" w:lineRule="auto"/>
        <w:rPr>
          <w:rFonts w:ascii="Arial"/>
          <w:sz w:val="21"/>
        </w:rPr>
      </w:pPr>
    </w:p>
    <w:p w14:paraId="091602F1">
      <w:pPr>
        <w:spacing w:before="75" w:line="237" w:lineRule="auto"/>
        <w:ind w:left="497"/>
        <w:rPr>
          <w:rFonts w:ascii="宋体" w:hAnsi="宋体" w:eastAsia="宋体" w:cs="宋体"/>
          <w:sz w:val="23"/>
          <w:szCs w:val="23"/>
        </w:rPr>
      </w:pPr>
      <w:r>
        <w:rPr>
          <w:rFonts w:ascii="Times New Roman" w:hAnsi="Times New Roman" w:eastAsia="Times New Roman" w:cs="Times New Roman"/>
          <w:sz w:val="23"/>
          <w:szCs w:val="23"/>
        </w:rPr>
        <w:t>WB</w:t>
      </w:r>
      <w:r>
        <w:rPr>
          <w:rFonts w:ascii="宋体" w:hAnsi="宋体" w:eastAsia="宋体" w:cs="宋体"/>
          <w:spacing w:val="1"/>
          <w:sz w:val="23"/>
          <w:szCs w:val="23"/>
        </w:rPr>
        <w:t xml:space="preserve">：基本排放量为 </w:t>
      </w:r>
      <w:r>
        <w:rPr>
          <w:rFonts w:ascii="Times New Roman" w:hAnsi="Times New Roman" w:eastAsia="Times New Roman" w:cs="Times New Roman"/>
          <w:spacing w:val="1"/>
          <w:sz w:val="23"/>
          <w:szCs w:val="23"/>
        </w:rPr>
        <w:t xml:space="preserve">1.73 </w:t>
      </w:r>
      <w:r>
        <w:rPr>
          <w:rFonts w:ascii="宋体" w:hAnsi="宋体" w:eastAsia="宋体" w:cs="宋体"/>
          <w:spacing w:val="1"/>
          <w:sz w:val="23"/>
          <w:szCs w:val="23"/>
        </w:rPr>
        <w:t xml:space="preserve">吨；     </w:t>
      </w:r>
      <w:r>
        <w:rPr>
          <w:rFonts w:ascii="Times New Roman" w:hAnsi="Times New Roman" w:eastAsia="Times New Roman" w:cs="Times New Roman"/>
          <w:sz w:val="23"/>
          <w:szCs w:val="23"/>
        </w:rPr>
        <w:t>WK</w:t>
      </w:r>
      <w:r>
        <w:rPr>
          <w:rFonts w:ascii="宋体" w:hAnsi="宋体" w:eastAsia="宋体" w:cs="宋体"/>
          <w:spacing w:val="1"/>
          <w:sz w:val="23"/>
          <w:szCs w:val="23"/>
        </w:rPr>
        <w:t xml:space="preserve">：可控排放量为 </w:t>
      </w:r>
      <w:r>
        <w:rPr>
          <w:rFonts w:ascii="Times New Roman" w:hAnsi="Times New Roman" w:eastAsia="Times New Roman" w:cs="Times New Roman"/>
          <w:spacing w:val="1"/>
          <w:sz w:val="23"/>
          <w:szCs w:val="23"/>
        </w:rPr>
        <w:t>1.</w:t>
      </w:r>
      <w:r>
        <w:rPr>
          <w:rFonts w:ascii="Times New Roman" w:hAnsi="Times New Roman" w:eastAsia="Times New Roman" w:cs="Times New Roman"/>
          <w:sz w:val="23"/>
          <w:szCs w:val="23"/>
        </w:rPr>
        <w:t xml:space="preserve">91 </w:t>
      </w:r>
      <w:r>
        <w:rPr>
          <w:rFonts w:ascii="宋体" w:hAnsi="宋体" w:eastAsia="宋体" w:cs="宋体"/>
          <w:sz w:val="23"/>
          <w:szCs w:val="23"/>
        </w:rPr>
        <w:t>吨；</w:t>
      </w:r>
    </w:p>
    <w:p w14:paraId="422724E6">
      <w:pPr>
        <w:spacing w:line="264" w:lineRule="auto"/>
        <w:rPr>
          <w:rFonts w:ascii="Arial"/>
          <w:sz w:val="21"/>
        </w:rPr>
      </w:pPr>
    </w:p>
    <w:p w14:paraId="02163C30">
      <w:pPr>
        <w:spacing w:before="75" w:line="237" w:lineRule="auto"/>
        <w:ind w:left="497"/>
        <w:rPr>
          <w:rFonts w:ascii="宋体" w:hAnsi="宋体" w:eastAsia="宋体" w:cs="宋体"/>
          <w:sz w:val="23"/>
          <w:szCs w:val="23"/>
        </w:rPr>
      </w:pPr>
      <w:r>
        <w:rPr>
          <w:rFonts w:ascii="Times New Roman" w:hAnsi="Times New Roman" w:eastAsia="Times New Roman" w:cs="Times New Roman"/>
          <w:sz w:val="23"/>
          <w:szCs w:val="23"/>
        </w:rPr>
        <w:t>W</w:t>
      </w:r>
      <w:r>
        <w:rPr>
          <w:rFonts w:ascii="宋体" w:hAnsi="宋体" w:eastAsia="宋体" w:cs="宋体"/>
          <w:spacing w:val="8"/>
          <w:sz w:val="23"/>
          <w:szCs w:val="23"/>
        </w:rPr>
        <w:t>：施工</w:t>
      </w:r>
      <w:r>
        <w:rPr>
          <w:rFonts w:ascii="宋体" w:hAnsi="宋体" w:eastAsia="宋体" w:cs="宋体"/>
          <w:spacing w:val="6"/>
          <w:sz w:val="23"/>
          <w:szCs w:val="23"/>
        </w:rPr>
        <w:t>工</w:t>
      </w:r>
      <w:r>
        <w:rPr>
          <w:rFonts w:ascii="宋体" w:hAnsi="宋体" w:eastAsia="宋体" w:cs="宋体"/>
          <w:spacing w:val="4"/>
          <w:sz w:val="23"/>
          <w:szCs w:val="23"/>
        </w:rPr>
        <w:t xml:space="preserve">地扬尘排放量为 </w:t>
      </w:r>
      <w:r>
        <w:rPr>
          <w:rFonts w:ascii="Times New Roman" w:hAnsi="Times New Roman" w:eastAsia="Times New Roman" w:cs="Times New Roman"/>
          <w:spacing w:val="4"/>
          <w:sz w:val="23"/>
          <w:szCs w:val="23"/>
        </w:rPr>
        <w:t xml:space="preserve">3.64 </w:t>
      </w:r>
      <w:r>
        <w:rPr>
          <w:rFonts w:ascii="宋体" w:hAnsi="宋体" w:eastAsia="宋体" w:cs="宋体"/>
          <w:spacing w:val="4"/>
          <w:sz w:val="23"/>
          <w:szCs w:val="23"/>
        </w:rPr>
        <w:t>吨。</w:t>
      </w:r>
    </w:p>
    <w:p w14:paraId="5C2C8DFC">
      <w:pPr>
        <w:spacing w:line="264" w:lineRule="auto"/>
        <w:rPr>
          <w:rFonts w:ascii="Arial"/>
          <w:sz w:val="21"/>
        </w:rPr>
      </w:pPr>
    </w:p>
    <w:p w14:paraId="0E2703D2">
      <w:pPr>
        <w:spacing w:before="75" w:line="393" w:lineRule="auto"/>
        <w:ind w:left="29" w:firstLine="472"/>
        <w:rPr>
          <w:rFonts w:ascii="宋体" w:hAnsi="宋体" w:eastAsia="宋体" w:cs="宋体"/>
          <w:sz w:val="23"/>
          <w:szCs w:val="23"/>
        </w:rPr>
      </w:pPr>
      <w:r>
        <w:rPr>
          <w:rFonts w:ascii="宋体" w:hAnsi="宋体" w:eastAsia="宋体" w:cs="宋体"/>
          <w:spacing w:val="4"/>
          <w:sz w:val="23"/>
          <w:szCs w:val="23"/>
        </w:rPr>
        <w:t>②本项目采</w:t>
      </w:r>
      <w:r>
        <w:rPr>
          <w:rFonts w:ascii="宋体" w:hAnsi="宋体" w:eastAsia="宋体" w:cs="宋体"/>
          <w:spacing w:val="3"/>
          <w:sz w:val="23"/>
          <w:szCs w:val="23"/>
        </w:rPr>
        <w:t>取</w:t>
      </w:r>
      <w:r>
        <w:rPr>
          <w:rFonts w:ascii="宋体" w:hAnsi="宋体" w:eastAsia="宋体" w:cs="宋体"/>
          <w:spacing w:val="2"/>
          <w:sz w:val="23"/>
          <w:szCs w:val="23"/>
        </w:rPr>
        <w:t>道路硬化与管理、边界围挡、裸露地面覆盖、易扬尘物料覆盖、</w:t>
      </w:r>
      <w:r>
        <w:rPr>
          <w:rFonts w:ascii="宋体" w:hAnsi="宋体" w:eastAsia="宋体" w:cs="宋体"/>
          <w:sz w:val="23"/>
          <w:szCs w:val="23"/>
        </w:rPr>
        <w:t xml:space="preserve"> </w:t>
      </w:r>
      <w:r>
        <w:rPr>
          <w:rFonts w:ascii="宋体" w:hAnsi="宋体" w:eastAsia="宋体" w:cs="宋体"/>
          <w:spacing w:val="8"/>
          <w:sz w:val="23"/>
          <w:szCs w:val="23"/>
        </w:rPr>
        <w:t>定期喷洒抑制剂措施，采取以上措施后，计算本项目建筑施工扬尘的排放量为</w:t>
      </w:r>
      <w:r>
        <w:rPr>
          <w:rFonts w:ascii="宋体" w:hAnsi="宋体" w:eastAsia="宋体" w:cs="宋体"/>
          <w:spacing w:val="2"/>
          <w:sz w:val="23"/>
          <w:szCs w:val="23"/>
        </w:rPr>
        <w:t>：</w:t>
      </w:r>
    </w:p>
    <w:p w14:paraId="6A5C8D50">
      <w:pPr>
        <w:spacing w:before="137" w:line="237" w:lineRule="auto"/>
        <w:ind w:left="497"/>
        <w:rPr>
          <w:rFonts w:ascii="宋体" w:hAnsi="宋体" w:eastAsia="宋体" w:cs="宋体"/>
          <w:sz w:val="23"/>
          <w:szCs w:val="23"/>
        </w:rPr>
      </w:pPr>
      <w:r>
        <w:rPr>
          <w:rFonts w:ascii="Times New Roman" w:hAnsi="Times New Roman" w:eastAsia="Times New Roman" w:cs="Times New Roman"/>
          <w:sz w:val="23"/>
          <w:szCs w:val="23"/>
        </w:rPr>
        <w:t>WB</w:t>
      </w:r>
      <w:r>
        <w:rPr>
          <w:rFonts w:ascii="宋体" w:hAnsi="宋体" w:eastAsia="宋体" w:cs="宋体"/>
          <w:spacing w:val="1"/>
          <w:sz w:val="23"/>
          <w:szCs w:val="23"/>
        </w:rPr>
        <w:t xml:space="preserve">：基本排放量为 </w:t>
      </w:r>
      <w:r>
        <w:rPr>
          <w:rFonts w:ascii="Times New Roman" w:hAnsi="Times New Roman" w:eastAsia="Times New Roman" w:cs="Times New Roman"/>
          <w:spacing w:val="1"/>
          <w:sz w:val="23"/>
          <w:szCs w:val="23"/>
        </w:rPr>
        <w:t xml:space="preserve">1.73 </w:t>
      </w:r>
      <w:r>
        <w:rPr>
          <w:rFonts w:ascii="宋体" w:hAnsi="宋体" w:eastAsia="宋体" w:cs="宋体"/>
          <w:spacing w:val="1"/>
          <w:sz w:val="23"/>
          <w:szCs w:val="23"/>
        </w:rPr>
        <w:t xml:space="preserve">吨；     </w:t>
      </w:r>
      <w:r>
        <w:rPr>
          <w:rFonts w:ascii="Times New Roman" w:hAnsi="Times New Roman" w:eastAsia="Times New Roman" w:cs="Times New Roman"/>
          <w:sz w:val="23"/>
          <w:szCs w:val="23"/>
        </w:rPr>
        <w:t>WK</w:t>
      </w:r>
      <w:r>
        <w:rPr>
          <w:rFonts w:ascii="宋体" w:hAnsi="宋体" w:eastAsia="宋体" w:cs="宋体"/>
          <w:spacing w:val="1"/>
          <w:sz w:val="23"/>
          <w:szCs w:val="23"/>
        </w:rPr>
        <w:t xml:space="preserve">：可控排放量为 </w:t>
      </w:r>
      <w:r>
        <w:rPr>
          <w:rFonts w:ascii="Times New Roman" w:hAnsi="Times New Roman" w:eastAsia="Times New Roman" w:cs="Times New Roman"/>
          <w:spacing w:val="1"/>
          <w:sz w:val="23"/>
          <w:szCs w:val="23"/>
        </w:rPr>
        <w:t>0.</w:t>
      </w:r>
      <w:r>
        <w:rPr>
          <w:rFonts w:ascii="Times New Roman" w:hAnsi="Times New Roman" w:eastAsia="Times New Roman" w:cs="Times New Roman"/>
          <w:sz w:val="23"/>
          <w:szCs w:val="23"/>
        </w:rPr>
        <w:t xml:space="preserve">56 </w:t>
      </w:r>
      <w:r>
        <w:rPr>
          <w:rFonts w:ascii="宋体" w:hAnsi="宋体" w:eastAsia="宋体" w:cs="宋体"/>
          <w:sz w:val="23"/>
          <w:szCs w:val="23"/>
        </w:rPr>
        <w:t>吨；</w:t>
      </w:r>
    </w:p>
    <w:p w14:paraId="3221FA8D">
      <w:pPr>
        <w:spacing w:line="264" w:lineRule="auto"/>
        <w:rPr>
          <w:rFonts w:ascii="Arial"/>
          <w:sz w:val="21"/>
        </w:rPr>
      </w:pPr>
    </w:p>
    <w:p w14:paraId="372707C0">
      <w:pPr>
        <w:spacing w:before="75" w:line="237" w:lineRule="auto"/>
        <w:ind w:left="497"/>
        <w:rPr>
          <w:rFonts w:ascii="宋体" w:hAnsi="宋体" w:eastAsia="宋体" w:cs="宋体"/>
          <w:sz w:val="23"/>
          <w:szCs w:val="23"/>
        </w:rPr>
      </w:pPr>
      <w:r>
        <w:rPr>
          <w:rFonts w:ascii="Times New Roman" w:hAnsi="Times New Roman" w:eastAsia="Times New Roman" w:cs="Times New Roman"/>
          <w:sz w:val="23"/>
          <w:szCs w:val="23"/>
        </w:rPr>
        <w:t>W</w:t>
      </w:r>
      <w:r>
        <w:rPr>
          <w:rFonts w:ascii="宋体" w:hAnsi="宋体" w:eastAsia="宋体" w:cs="宋体"/>
          <w:spacing w:val="8"/>
          <w:sz w:val="23"/>
          <w:szCs w:val="23"/>
        </w:rPr>
        <w:t>：施工</w:t>
      </w:r>
      <w:r>
        <w:rPr>
          <w:rFonts w:ascii="宋体" w:hAnsi="宋体" w:eastAsia="宋体" w:cs="宋体"/>
          <w:spacing w:val="6"/>
          <w:sz w:val="23"/>
          <w:szCs w:val="23"/>
        </w:rPr>
        <w:t>工</w:t>
      </w:r>
      <w:r>
        <w:rPr>
          <w:rFonts w:ascii="宋体" w:hAnsi="宋体" w:eastAsia="宋体" w:cs="宋体"/>
          <w:spacing w:val="4"/>
          <w:sz w:val="23"/>
          <w:szCs w:val="23"/>
        </w:rPr>
        <w:t xml:space="preserve">地扬尘排放量为 </w:t>
      </w:r>
      <w:r>
        <w:rPr>
          <w:rFonts w:ascii="Times New Roman" w:hAnsi="Times New Roman" w:eastAsia="Times New Roman" w:cs="Times New Roman"/>
          <w:spacing w:val="4"/>
          <w:sz w:val="23"/>
          <w:szCs w:val="23"/>
        </w:rPr>
        <w:t xml:space="preserve">2.29 </w:t>
      </w:r>
      <w:r>
        <w:rPr>
          <w:rFonts w:ascii="宋体" w:hAnsi="宋体" w:eastAsia="宋体" w:cs="宋体"/>
          <w:spacing w:val="4"/>
          <w:sz w:val="23"/>
          <w:szCs w:val="23"/>
        </w:rPr>
        <w:t>吨。</w:t>
      </w:r>
    </w:p>
    <w:p w14:paraId="1519F966">
      <w:pPr>
        <w:spacing w:line="264" w:lineRule="auto"/>
        <w:rPr>
          <w:rFonts w:ascii="Arial"/>
          <w:sz w:val="21"/>
        </w:rPr>
      </w:pPr>
    </w:p>
    <w:p w14:paraId="79D37F3F">
      <w:pPr>
        <w:spacing w:before="76" w:line="225" w:lineRule="auto"/>
        <w:ind w:left="501"/>
        <w:rPr>
          <w:rFonts w:ascii="宋体" w:hAnsi="宋体" w:eastAsia="宋体" w:cs="宋体"/>
          <w:sz w:val="23"/>
          <w:szCs w:val="23"/>
        </w:rPr>
      </w:pPr>
      <w:r>
        <w:rPr>
          <w:rFonts w:ascii="宋体" w:hAnsi="宋体" w:eastAsia="宋体" w:cs="宋体"/>
          <w:spacing w:val="9"/>
          <w:sz w:val="23"/>
          <w:szCs w:val="23"/>
        </w:rPr>
        <w:t>②机动车尾气分析</w:t>
      </w:r>
    </w:p>
    <w:p w14:paraId="27CDFA7D">
      <w:pPr>
        <w:spacing w:line="278" w:lineRule="auto"/>
        <w:rPr>
          <w:rFonts w:ascii="Arial"/>
          <w:sz w:val="21"/>
        </w:rPr>
      </w:pPr>
    </w:p>
    <w:p w14:paraId="7D52FBBD">
      <w:pPr>
        <w:spacing w:before="75" w:line="388" w:lineRule="auto"/>
        <w:ind w:left="25" w:right="80" w:firstLine="477"/>
        <w:rPr>
          <w:rFonts w:ascii="宋体" w:hAnsi="宋体" w:eastAsia="宋体" w:cs="宋体"/>
          <w:sz w:val="23"/>
          <w:szCs w:val="23"/>
        </w:rPr>
      </w:pPr>
      <w:r>
        <w:rPr>
          <w:rFonts w:ascii="宋体" w:hAnsi="宋体" w:eastAsia="宋体" w:cs="宋体"/>
          <w:spacing w:val="18"/>
          <w:sz w:val="23"/>
          <w:szCs w:val="23"/>
        </w:rPr>
        <w:t>施工</w:t>
      </w:r>
      <w:r>
        <w:rPr>
          <w:rFonts w:ascii="宋体" w:hAnsi="宋体" w:eastAsia="宋体" w:cs="宋体"/>
          <w:spacing w:val="12"/>
          <w:sz w:val="23"/>
          <w:szCs w:val="23"/>
        </w:rPr>
        <w:t>机</w:t>
      </w:r>
      <w:r>
        <w:rPr>
          <w:rFonts w:ascii="宋体" w:hAnsi="宋体" w:eastAsia="宋体" w:cs="宋体"/>
          <w:spacing w:val="9"/>
          <w:sz w:val="23"/>
          <w:szCs w:val="23"/>
        </w:rPr>
        <w:t xml:space="preserve">械和运输车辆基本都以燃油为主，燃烧尾气中含有 </w:t>
      </w:r>
      <w:r>
        <w:rPr>
          <w:rFonts w:ascii="Times New Roman" w:hAnsi="Times New Roman" w:eastAsia="Times New Roman" w:cs="Times New Roman"/>
          <w:sz w:val="23"/>
          <w:szCs w:val="23"/>
        </w:rPr>
        <w:t>CO</w:t>
      </w:r>
      <w:r>
        <w:rPr>
          <w:rFonts w:ascii="Times New Roman" w:hAnsi="Times New Roman" w:eastAsia="Times New Roman" w:cs="Times New Roman"/>
          <w:spacing w:val="9"/>
          <w:sz w:val="23"/>
          <w:szCs w:val="23"/>
        </w:rPr>
        <w:t xml:space="preserve"> </w:t>
      </w:r>
      <w:r>
        <w:rPr>
          <w:rFonts w:ascii="宋体" w:hAnsi="宋体" w:eastAsia="宋体" w:cs="宋体"/>
          <w:spacing w:val="9"/>
          <w:sz w:val="23"/>
          <w:szCs w:val="23"/>
        </w:rPr>
        <w:t>、</w:t>
      </w:r>
      <w:r>
        <w:rPr>
          <w:rFonts w:ascii="Times New Roman" w:hAnsi="Times New Roman" w:eastAsia="Times New Roman" w:cs="Times New Roman"/>
          <w:sz w:val="23"/>
          <w:szCs w:val="23"/>
        </w:rPr>
        <w:t>HC</w:t>
      </w:r>
      <w:r>
        <w:rPr>
          <w:rFonts w:ascii="Times New Roman" w:hAnsi="Times New Roman" w:eastAsia="Times New Roman" w:cs="Times New Roman"/>
          <w:spacing w:val="9"/>
          <w:sz w:val="23"/>
          <w:szCs w:val="23"/>
        </w:rPr>
        <w:t xml:space="preserve"> </w:t>
      </w:r>
      <w:r>
        <w:rPr>
          <w:rFonts w:ascii="宋体" w:hAnsi="宋体" w:eastAsia="宋体" w:cs="宋体"/>
          <w:spacing w:val="9"/>
          <w:sz w:val="23"/>
          <w:szCs w:val="23"/>
        </w:rPr>
        <w:t>、</w:t>
      </w:r>
      <w:r>
        <w:rPr>
          <w:rFonts w:ascii="Times New Roman" w:hAnsi="Times New Roman" w:eastAsia="Times New Roman" w:cs="Times New Roman"/>
          <w:sz w:val="23"/>
          <w:szCs w:val="23"/>
        </w:rPr>
        <w:t xml:space="preserve">NOx </w:t>
      </w:r>
      <w:r>
        <w:rPr>
          <w:rFonts w:ascii="宋体" w:hAnsi="宋体" w:eastAsia="宋体" w:cs="宋体"/>
          <w:spacing w:val="6"/>
          <w:sz w:val="23"/>
          <w:szCs w:val="23"/>
        </w:rPr>
        <w:t>等大气污</w:t>
      </w:r>
      <w:r>
        <w:rPr>
          <w:rFonts w:ascii="宋体" w:hAnsi="宋体" w:eastAsia="宋体" w:cs="宋体"/>
          <w:spacing w:val="4"/>
          <w:sz w:val="23"/>
          <w:szCs w:val="23"/>
        </w:rPr>
        <w:t>染</w:t>
      </w:r>
      <w:r>
        <w:rPr>
          <w:rFonts w:ascii="宋体" w:hAnsi="宋体" w:eastAsia="宋体" w:cs="宋体"/>
          <w:spacing w:val="3"/>
          <w:sz w:val="23"/>
          <w:szCs w:val="23"/>
        </w:rPr>
        <w:t xml:space="preserve">物。施工期预计使用燃柴油施工机械 </w:t>
      </w:r>
      <w:r>
        <w:rPr>
          <w:rFonts w:ascii="Times New Roman" w:hAnsi="Times New Roman" w:eastAsia="Times New Roman" w:cs="Times New Roman"/>
          <w:spacing w:val="3"/>
          <w:sz w:val="23"/>
          <w:szCs w:val="23"/>
        </w:rPr>
        <w:t xml:space="preserve">4 </w:t>
      </w:r>
      <w:r>
        <w:rPr>
          <w:rFonts w:ascii="宋体" w:hAnsi="宋体" w:eastAsia="宋体" w:cs="宋体"/>
          <w:spacing w:val="3"/>
          <w:sz w:val="23"/>
          <w:szCs w:val="23"/>
        </w:rPr>
        <w:t xml:space="preserve">台、重型运输汽车 </w:t>
      </w:r>
      <w:r>
        <w:rPr>
          <w:rFonts w:ascii="Times New Roman" w:hAnsi="Times New Roman" w:eastAsia="Times New Roman" w:cs="Times New Roman"/>
          <w:spacing w:val="3"/>
          <w:sz w:val="23"/>
          <w:szCs w:val="23"/>
        </w:rPr>
        <w:t xml:space="preserve">2 </w:t>
      </w:r>
      <w:r>
        <w:rPr>
          <w:rFonts w:ascii="宋体" w:hAnsi="宋体" w:eastAsia="宋体" w:cs="宋体"/>
          <w:spacing w:val="3"/>
          <w:sz w:val="23"/>
          <w:szCs w:val="23"/>
        </w:rPr>
        <w:t>辆，预测</w:t>
      </w:r>
      <w:r>
        <w:rPr>
          <w:rFonts w:ascii="宋体" w:hAnsi="宋体" w:eastAsia="宋体" w:cs="宋体"/>
          <w:sz w:val="23"/>
          <w:szCs w:val="23"/>
        </w:rPr>
        <w:t xml:space="preserve"> </w:t>
      </w:r>
      <w:r>
        <w:rPr>
          <w:rFonts w:ascii="宋体" w:hAnsi="宋体" w:eastAsia="宋体" w:cs="宋体"/>
          <w:spacing w:val="2"/>
          <w:sz w:val="23"/>
          <w:szCs w:val="23"/>
        </w:rPr>
        <w:t xml:space="preserve">日耗柴油量为 </w:t>
      </w:r>
      <w:r>
        <w:rPr>
          <w:rFonts w:ascii="Times New Roman" w:hAnsi="Times New Roman" w:eastAsia="Times New Roman" w:cs="Times New Roman"/>
          <w:spacing w:val="2"/>
          <w:sz w:val="23"/>
          <w:szCs w:val="23"/>
        </w:rPr>
        <w:t>140</w:t>
      </w:r>
      <w:r>
        <w:rPr>
          <w:rFonts w:ascii="Times New Roman" w:hAnsi="Times New Roman" w:eastAsia="Times New Roman" w:cs="Times New Roman"/>
          <w:sz w:val="23"/>
          <w:szCs w:val="23"/>
        </w:rPr>
        <w:t>kg</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 xml:space="preserve">，其汽车尾气主要污染物排放负荷预测结果见表 </w:t>
      </w:r>
      <w:r>
        <w:rPr>
          <w:rFonts w:ascii="Times New Roman" w:hAnsi="Times New Roman" w:eastAsia="Times New Roman" w:cs="Times New Roman"/>
          <w:spacing w:val="2"/>
          <w:sz w:val="23"/>
          <w:szCs w:val="23"/>
        </w:rPr>
        <w:t>3- 12</w:t>
      </w:r>
      <w:r>
        <w:rPr>
          <w:rFonts w:ascii="宋体" w:hAnsi="宋体" w:eastAsia="宋体" w:cs="宋体"/>
          <w:sz w:val="23"/>
          <w:szCs w:val="23"/>
        </w:rPr>
        <w:t>。</w:t>
      </w:r>
    </w:p>
    <w:p w14:paraId="6C2A6A9C">
      <w:pPr>
        <w:sectPr>
          <w:headerReference r:id="rId108" w:type="default"/>
          <w:footerReference r:id="rId109" w:type="default"/>
          <w:pgSz w:w="11906" w:h="16839"/>
          <w:pgMar w:top="1132" w:right="1719" w:bottom="1182" w:left="1785" w:header="878" w:footer="1022" w:gutter="0"/>
          <w:cols w:space="720" w:num="1"/>
        </w:sectPr>
      </w:pPr>
    </w:p>
    <w:p w14:paraId="45215CAD">
      <w:pPr>
        <w:spacing w:line="409" w:lineRule="auto"/>
        <w:rPr>
          <w:rFonts w:ascii="Arial"/>
          <w:sz w:val="21"/>
        </w:rPr>
      </w:pPr>
      <w:r>
        <w:pict>
          <v:shape id="_x0000_s1151" o:spid="_x0000_s1151" style="position:absolute;left:0pt;margin-left:90pt;margin-top:57.35pt;height:0.75pt;width:415.3pt;mso-position-horizontal-relative:page;mso-position-vertical-relative:page;z-index:251798528;mso-width-relative:page;mso-height-relative:page;" fillcolor="#000000" filled="t" stroked="f" coordsize="8305,15" o:allowincell="f" path="m0,0l8305,0,8305,14,0,14,0,0xe">
            <v:path/>
            <v:fill on="t" focussize="0,0"/>
            <v:stroke on="f"/>
            <v:imagedata o:title=""/>
            <o:lock v:ext="edit"/>
          </v:shape>
        </w:pict>
      </w:r>
    </w:p>
    <w:p w14:paraId="24774CC8">
      <w:pPr>
        <w:spacing w:before="74" w:line="227" w:lineRule="auto"/>
        <w:ind w:left="1738"/>
        <w:rPr>
          <w:rFonts w:ascii="宋体" w:hAnsi="宋体" w:eastAsia="宋体" w:cs="宋体"/>
          <w:sz w:val="23"/>
          <w:szCs w:val="23"/>
        </w:rPr>
      </w:pPr>
      <w:r>
        <w:rPr>
          <w:rFonts w:ascii="宋体" w:hAnsi="宋体" w:eastAsia="宋体" w:cs="宋体"/>
          <w:spacing w:val="10"/>
          <w:sz w:val="23"/>
          <w:szCs w:val="23"/>
          <w14:textOutline w14:w="4358" w14:cap="sq" w14:cmpd="sng">
            <w14:solidFill>
              <w14:srgbClr w14:val="000000"/>
            </w14:solidFill>
            <w14:prstDash w14:val="solid"/>
            <w14:bevel/>
          </w14:textOutline>
        </w:rPr>
        <w:t>表</w:t>
      </w:r>
      <w:r>
        <w:rPr>
          <w:rFonts w:ascii="宋体" w:hAnsi="宋体" w:eastAsia="宋体" w:cs="宋体"/>
          <w:spacing w:val="10"/>
          <w:sz w:val="23"/>
          <w:szCs w:val="23"/>
        </w:rPr>
        <w:t xml:space="preserve"> </w:t>
      </w:r>
      <w:r>
        <w:rPr>
          <w:rFonts w:ascii="Times New Roman" w:hAnsi="Times New Roman" w:eastAsia="Times New Roman" w:cs="Times New Roman"/>
          <w:b/>
          <w:bCs/>
          <w:spacing w:val="5"/>
          <w:sz w:val="23"/>
          <w:szCs w:val="23"/>
        </w:rPr>
        <w:t>3-12</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14:textOutline w14:w="4358" w14:cap="sq" w14:cmpd="sng">
            <w14:solidFill>
              <w14:srgbClr w14:val="000000"/>
            </w14:solidFill>
            <w14:prstDash w14:val="solid"/>
            <w14:bevel/>
          </w14:textOutline>
        </w:rPr>
        <w:t>施工期汽车尾气污染物负荷预测结果</w:t>
      </w:r>
    </w:p>
    <w:p w14:paraId="3BA935D0">
      <w:pPr>
        <w:spacing w:line="17"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62"/>
        <w:gridCol w:w="2121"/>
        <w:gridCol w:w="2120"/>
        <w:gridCol w:w="2119"/>
      </w:tblGrid>
      <w:tr w14:paraId="42A2D2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2162" w:type="dxa"/>
            <w:tcBorders>
              <w:left w:val="nil"/>
            </w:tcBorders>
            <w:vAlign w:val="top"/>
          </w:tcPr>
          <w:p w14:paraId="2E91C200">
            <w:pPr>
              <w:spacing w:before="76" w:line="228" w:lineRule="auto"/>
              <w:ind w:left="775"/>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污染物</w:t>
            </w:r>
          </w:p>
        </w:tc>
        <w:tc>
          <w:tcPr>
            <w:tcW w:w="2121" w:type="dxa"/>
            <w:vAlign w:val="top"/>
          </w:tcPr>
          <w:p w14:paraId="4F0DCCC4">
            <w:pPr>
              <w:spacing w:before="111" w:line="195" w:lineRule="auto"/>
              <w:ind w:left="850"/>
              <w:rPr>
                <w:rFonts w:ascii="Times New Roman" w:hAnsi="Times New Roman" w:eastAsia="Times New Roman" w:cs="Times New Roman"/>
                <w:sz w:val="20"/>
                <w:szCs w:val="20"/>
              </w:rPr>
            </w:pPr>
            <w:r>
              <w:rPr>
                <w:rFonts w:ascii="Times New Roman" w:hAnsi="Times New Roman" w:eastAsia="Times New Roman" w:cs="Times New Roman"/>
                <w:b/>
                <w:bCs/>
                <w:spacing w:val="5"/>
                <w:sz w:val="20"/>
                <w:szCs w:val="20"/>
              </w:rPr>
              <w:t>NOx</w:t>
            </w:r>
          </w:p>
        </w:tc>
        <w:tc>
          <w:tcPr>
            <w:tcW w:w="2120" w:type="dxa"/>
            <w:vAlign w:val="top"/>
          </w:tcPr>
          <w:p w14:paraId="2379C990">
            <w:pPr>
              <w:spacing w:before="111" w:line="195" w:lineRule="auto"/>
              <w:ind w:left="909"/>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C</w:t>
            </w:r>
            <w:r>
              <w:rPr>
                <w:rFonts w:ascii="Times New Roman" w:hAnsi="Times New Roman" w:eastAsia="Times New Roman" w:cs="Times New Roman"/>
                <w:b/>
                <w:bCs/>
                <w:spacing w:val="2"/>
                <w:sz w:val="20"/>
                <w:szCs w:val="20"/>
              </w:rPr>
              <w:t>O</w:t>
            </w:r>
          </w:p>
        </w:tc>
        <w:tc>
          <w:tcPr>
            <w:tcW w:w="2119" w:type="dxa"/>
            <w:tcBorders>
              <w:right w:val="nil"/>
            </w:tcBorders>
            <w:vAlign w:val="top"/>
          </w:tcPr>
          <w:p w14:paraId="7E0AC35E">
            <w:pPr>
              <w:spacing w:before="111" w:line="195" w:lineRule="auto"/>
              <w:ind w:left="838"/>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THC</w:t>
            </w:r>
          </w:p>
        </w:tc>
      </w:tr>
      <w:tr w14:paraId="571A6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2162" w:type="dxa"/>
            <w:tcBorders>
              <w:left w:val="nil"/>
            </w:tcBorders>
            <w:vAlign w:val="top"/>
          </w:tcPr>
          <w:p w14:paraId="5BAC69B3">
            <w:pPr>
              <w:spacing w:before="24" w:line="281" w:lineRule="exact"/>
              <w:ind w:left="377"/>
              <w:rPr>
                <w:rFonts w:ascii="宋体" w:hAnsi="宋体" w:eastAsia="宋体" w:cs="宋体"/>
                <w:sz w:val="20"/>
                <w:szCs w:val="20"/>
              </w:rPr>
            </w:pPr>
            <w:r>
              <w:rPr>
                <w:rFonts w:ascii="宋体" w:hAnsi="宋体" w:eastAsia="宋体" w:cs="宋体"/>
                <w:spacing w:val="11"/>
                <w:position w:val="2"/>
                <w:sz w:val="20"/>
                <w:szCs w:val="20"/>
              </w:rPr>
              <w:t>排</w:t>
            </w:r>
            <w:r>
              <w:rPr>
                <w:rFonts w:ascii="宋体" w:hAnsi="宋体" w:eastAsia="宋体" w:cs="宋体"/>
                <w:spacing w:val="6"/>
                <w:position w:val="2"/>
                <w:sz w:val="20"/>
                <w:szCs w:val="20"/>
              </w:rPr>
              <w:t>放量 (</w:t>
            </w:r>
            <w:r>
              <w:rPr>
                <w:rFonts w:ascii="Times New Roman" w:hAnsi="Times New Roman" w:eastAsia="Times New Roman" w:cs="Times New Roman"/>
                <w:position w:val="2"/>
                <w:sz w:val="20"/>
                <w:szCs w:val="20"/>
              </w:rPr>
              <w:t>kg</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d</w:t>
            </w:r>
            <w:r>
              <w:rPr>
                <w:rFonts w:ascii="宋体" w:hAnsi="宋体" w:eastAsia="宋体" w:cs="宋体"/>
                <w:spacing w:val="6"/>
                <w:position w:val="2"/>
                <w:sz w:val="20"/>
                <w:szCs w:val="20"/>
              </w:rPr>
              <w:t>)</w:t>
            </w:r>
          </w:p>
        </w:tc>
        <w:tc>
          <w:tcPr>
            <w:tcW w:w="2121" w:type="dxa"/>
            <w:vAlign w:val="top"/>
          </w:tcPr>
          <w:p w14:paraId="6537CCCA">
            <w:pPr>
              <w:spacing w:before="98" w:line="195" w:lineRule="auto"/>
              <w:ind w:left="88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5.35</w:t>
            </w:r>
          </w:p>
        </w:tc>
        <w:tc>
          <w:tcPr>
            <w:tcW w:w="2120" w:type="dxa"/>
            <w:vAlign w:val="top"/>
          </w:tcPr>
          <w:p w14:paraId="69E8DB6A">
            <w:pPr>
              <w:spacing w:before="98" w:line="195" w:lineRule="auto"/>
              <w:ind w:left="93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.7</w:t>
            </w:r>
          </w:p>
        </w:tc>
        <w:tc>
          <w:tcPr>
            <w:tcW w:w="2119" w:type="dxa"/>
            <w:tcBorders>
              <w:right w:val="nil"/>
            </w:tcBorders>
            <w:vAlign w:val="top"/>
          </w:tcPr>
          <w:p w14:paraId="731FD4AF">
            <w:pPr>
              <w:spacing w:before="98" w:line="198" w:lineRule="auto"/>
              <w:ind w:left="95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2"/>
                <w:sz w:val="20"/>
                <w:szCs w:val="20"/>
              </w:rPr>
              <w:t>.1</w:t>
            </w:r>
          </w:p>
        </w:tc>
      </w:tr>
    </w:tbl>
    <w:p w14:paraId="4C218B43">
      <w:pPr>
        <w:spacing w:line="247" w:lineRule="auto"/>
        <w:rPr>
          <w:rFonts w:ascii="Arial"/>
          <w:sz w:val="21"/>
        </w:rPr>
      </w:pPr>
    </w:p>
    <w:p w14:paraId="374C09EF">
      <w:pPr>
        <w:spacing w:before="74" w:line="378" w:lineRule="auto"/>
        <w:ind w:left="118" w:right="107" w:firstLine="482"/>
        <w:rPr>
          <w:rFonts w:ascii="宋体" w:hAnsi="宋体" w:eastAsia="宋体" w:cs="宋体"/>
          <w:sz w:val="23"/>
          <w:szCs w:val="23"/>
        </w:rPr>
      </w:pPr>
      <w:r>
        <w:rPr>
          <w:rFonts w:ascii="宋体" w:hAnsi="宋体" w:eastAsia="宋体" w:cs="宋体"/>
          <w:spacing w:val="12"/>
          <w:sz w:val="23"/>
          <w:szCs w:val="23"/>
        </w:rPr>
        <w:t>项目原材</w:t>
      </w:r>
      <w:r>
        <w:rPr>
          <w:rFonts w:ascii="宋体" w:hAnsi="宋体" w:eastAsia="宋体" w:cs="宋体"/>
          <w:spacing w:val="7"/>
          <w:sz w:val="23"/>
          <w:szCs w:val="23"/>
        </w:rPr>
        <w:t>料</w:t>
      </w:r>
      <w:r>
        <w:rPr>
          <w:rFonts w:ascii="宋体" w:hAnsi="宋体" w:eastAsia="宋体" w:cs="宋体"/>
          <w:spacing w:val="6"/>
          <w:sz w:val="23"/>
          <w:szCs w:val="23"/>
        </w:rPr>
        <w:t>运输进入施工区内行使距离短，污染物源强不大，且具有流动性</w:t>
      </w:r>
      <w:r>
        <w:rPr>
          <w:rFonts w:ascii="宋体" w:hAnsi="宋体" w:eastAsia="宋体" w:cs="宋体"/>
          <w:sz w:val="23"/>
          <w:szCs w:val="23"/>
        </w:rPr>
        <w:t xml:space="preserve"> </w:t>
      </w:r>
      <w:r>
        <w:rPr>
          <w:rFonts w:ascii="宋体" w:hAnsi="宋体" w:eastAsia="宋体" w:cs="宋体"/>
          <w:spacing w:val="8"/>
          <w:sz w:val="23"/>
          <w:szCs w:val="23"/>
        </w:rPr>
        <w:t>和</w:t>
      </w:r>
      <w:r>
        <w:rPr>
          <w:rFonts w:ascii="宋体" w:hAnsi="宋体" w:eastAsia="宋体" w:cs="宋体"/>
          <w:spacing w:val="7"/>
          <w:sz w:val="23"/>
          <w:szCs w:val="23"/>
        </w:rPr>
        <w:t>间歇性的特点，随着施工结束，此类影响可随之消失，不会对该区域大气环境</w:t>
      </w:r>
      <w:r>
        <w:rPr>
          <w:rFonts w:ascii="宋体" w:hAnsi="宋体" w:eastAsia="宋体" w:cs="宋体"/>
          <w:sz w:val="23"/>
          <w:szCs w:val="23"/>
        </w:rPr>
        <w:t xml:space="preserve"> </w:t>
      </w:r>
      <w:r>
        <w:rPr>
          <w:rFonts w:ascii="宋体" w:hAnsi="宋体" w:eastAsia="宋体" w:cs="宋体"/>
          <w:spacing w:val="8"/>
          <w:sz w:val="23"/>
          <w:szCs w:val="23"/>
        </w:rPr>
        <w:t>质量产生持久性危害</w:t>
      </w:r>
      <w:r>
        <w:rPr>
          <w:rFonts w:ascii="宋体" w:hAnsi="宋体" w:eastAsia="宋体" w:cs="宋体"/>
          <w:spacing w:val="7"/>
          <w:sz w:val="23"/>
          <w:szCs w:val="23"/>
        </w:rPr>
        <w:t>。</w:t>
      </w:r>
    </w:p>
    <w:p w14:paraId="74C8F604">
      <w:pPr>
        <w:spacing w:before="135" w:line="227" w:lineRule="auto"/>
        <w:ind w:left="632"/>
        <w:rPr>
          <w:rFonts w:ascii="宋体" w:hAnsi="宋体" w:eastAsia="宋体" w:cs="宋体"/>
          <w:sz w:val="23"/>
          <w:szCs w:val="23"/>
        </w:rPr>
      </w:pPr>
      <w:r>
        <w:rPr>
          <w:rFonts w:ascii="宋体" w:hAnsi="宋体" w:eastAsia="宋体" w:cs="宋体"/>
          <w:spacing w:val="26"/>
          <w:sz w:val="23"/>
          <w:szCs w:val="23"/>
        </w:rPr>
        <w:t>(</w:t>
      </w:r>
      <w:r>
        <w:rPr>
          <w:rFonts w:ascii="Times New Roman" w:hAnsi="Times New Roman" w:eastAsia="Times New Roman" w:cs="Times New Roman"/>
          <w:spacing w:val="26"/>
          <w:sz w:val="23"/>
          <w:szCs w:val="23"/>
        </w:rPr>
        <w:t>2</w:t>
      </w:r>
      <w:r>
        <w:rPr>
          <w:rFonts w:ascii="宋体" w:hAnsi="宋体" w:eastAsia="宋体" w:cs="宋体"/>
          <w:spacing w:val="26"/>
          <w:sz w:val="23"/>
          <w:szCs w:val="23"/>
        </w:rPr>
        <w:t>) 水污染物排放分</w:t>
      </w:r>
      <w:r>
        <w:rPr>
          <w:rFonts w:ascii="宋体" w:hAnsi="宋体" w:eastAsia="宋体" w:cs="宋体"/>
          <w:spacing w:val="25"/>
          <w:sz w:val="23"/>
          <w:szCs w:val="23"/>
        </w:rPr>
        <w:t>析</w:t>
      </w:r>
    </w:p>
    <w:p w14:paraId="352B9869">
      <w:pPr>
        <w:spacing w:line="262" w:lineRule="auto"/>
        <w:rPr>
          <w:rFonts w:ascii="Arial"/>
          <w:sz w:val="21"/>
        </w:rPr>
      </w:pPr>
    </w:p>
    <w:p w14:paraId="29F64EB0">
      <w:pPr>
        <w:spacing w:before="75" w:line="227" w:lineRule="auto"/>
        <w:ind w:left="620"/>
        <w:rPr>
          <w:rFonts w:ascii="宋体" w:hAnsi="宋体" w:eastAsia="宋体" w:cs="宋体"/>
          <w:sz w:val="23"/>
          <w:szCs w:val="23"/>
        </w:rPr>
      </w:pPr>
      <w:r>
        <w:rPr>
          <w:rFonts w:ascii="宋体" w:hAnsi="宋体" w:eastAsia="宋体" w:cs="宋体"/>
          <w:spacing w:val="21"/>
          <w:sz w:val="23"/>
          <w:szCs w:val="23"/>
        </w:rPr>
        <w:t>施</w:t>
      </w:r>
      <w:r>
        <w:rPr>
          <w:rFonts w:ascii="宋体" w:hAnsi="宋体" w:eastAsia="宋体" w:cs="宋体"/>
          <w:spacing w:val="20"/>
          <w:sz w:val="23"/>
          <w:szCs w:val="23"/>
        </w:rPr>
        <w:t>工期产生的废水主要包括施工废水和生活污水。</w:t>
      </w:r>
    </w:p>
    <w:p w14:paraId="6CAC12B0">
      <w:pPr>
        <w:spacing w:line="260" w:lineRule="auto"/>
        <w:rPr>
          <w:rFonts w:ascii="Arial"/>
          <w:sz w:val="21"/>
        </w:rPr>
      </w:pPr>
    </w:p>
    <w:p w14:paraId="4CE68C6C">
      <w:pPr>
        <w:spacing w:before="75" w:line="368" w:lineRule="auto"/>
        <w:ind w:left="116" w:right="114" w:firstLine="506"/>
        <w:rPr>
          <w:rFonts w:ascii="宋体" w:hAnsi="宋体" w:eastAsia="宋体" w:cs="宋体"/>
          <w:sz w:val="23"/>
          <w:szCs w:val="23"/>
        </w:rPr>
      </w:pPr>
      <w:r>
        <w:rPr>
          <w:rFonts w:ascii="宋体" w:hAnsi="宋体" w:eastAsia="宋体" w:cs="宋体"/>
          <w:spacing w:val="12"/>
          <w:sz w:val="23"/>
          <w:szCs w:val="23"/>
        </w:rPr>
        <w:t>生</w:t>
      </w:r>
      <w:r>
        <w:rPr>
          <w:rFonts w:ascii="宋体" w:hAnsi="宋体" w:eastAsia="宋体" w:cs="宋体"/>
          <w:spacing w:val="7"/>
          <w:sz w:val="23"/>
          <w:szCs w:val="23"/>
        </w:rPr>
        <w:t xml:space="preserve">活污水： 施工期人数 </w:t>
      </w:r>
      <w:r>
        <w:rPr>
          <w:rFonts w:ascii="Times New Roman" w:hAnsi="Times New Roman" w:eastAsia="Times New Roman" w:cs="Times New Roman"/>
          <w:spacing w:val="7"/>
          <w:sz w:val="23"/>
          <w:szCs w:val="23"/>
        </w:rPr>
        <w:t xml:space="preserve">30 </w:t>
      </w:r>
      <w:r>
        <w:rPr>
          <w:rFonts w:ascii="宋体" w:hAnsi="宋体" w:eastAsia="宋体" w:cs="宋体"/>
          <w:spacing w:val="7"/>
          <w:sz w:val="23"/>
          <w:szCs w:val="23"/>
        </w:rPr>
        <w:t xml:space="preserve">人 ，用水量以每人每天 </w:t>
      </w:r>
      <w:r>
        <w:rPr>
          <w:rFonts w:ascii="Times New Roman" w:hAnsi="Times New Roman" w:eastAsia="Times New Roman" w:cs="Times New Roman"/>
          <w:spacing w:val="7"/>
          <w:sz w:val="23"/>
          <w:szCs w:val="23"/>
        </w:rPr>
        <w:t>25</w:t>
      </w:r>
      <w:r>
        <w:rPr>
          <w:rFonts w:ascii="Times New Roman" w:hAnsi="Times New Roman" w:eastAsia="Times New Roman" w:cs="Times New Roman"/>
          <w:sz w:val="23"/>
          <w:szCs w:val="23"/>
        </w:rPr>
        <w:t>L</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计 ，  日用水量</w:t>
      </w:r>
      <w:r>
        <w:rPr>
          <w:rFonts w:ascii="宋体" w:hAnsi="宋体" w:eastAsia="宋体" w:cs="宋体"/>
          <w:sz w:val="23"/>
          <w:szCs w:val="23"/>
        </w:rPr>
        <w:t xml:space="preserve"> </w:t>
      </w:r>
      <w:r>
        <w:rPr>
          <w:rFonts w:ascii="Times New Roman" w:hAnsi="Times New Roman" w:eastAsia="Times New Roman" w:cs="Times New Roman"/>
          <w:spacing w:val="20"/>
          <w:sz w:val="23"/>
          <w:szCs w:val="23"/>
        </w:rPr>
        <w:t>0.</w:t>
      </w:r>
      <w:r>
        <w:rPr>
          <w:rFonts w:ascii="Times New Roman" w:hAnsi="Times New Roman" w:eastAsia="Times New Roman" w:cs="Times New Roman"/>
          <w:spacing w:val="18"/>
          <w:sz w:val="23"/>
          <w:szCs w:val="23"/>
        </w:rPr>
        <w:t>7</w:t>
      </w:r>
      <w:r>
        <w:rPr>
          <w:rFonts w:ascii="Times New Roman" w:hAnsi="Times New Roman" w:eastAsia="Times New Roman" w:cs="Times New Roman"/>
          <w:spacing w:val="10"/>
          <w:sz w:val="23"/>
          <w:szCs w:val="23"/>
        </w:rPr>
        <w:t>5</w:t>
      </w:r>
      <w:r>
        <w:rPr>
          <w:rFonts w:ascii="Times New Roman" w:hAnsi="Times New Roman" w:eastAsia="Times New Roman" w:cs="Times New Roman"/>
          <w:sz w:val="23"/>
          <w:szCs w:val="23"/>
        </w:rPr>
        <w:t>m</w:t>
      </w:r>
      <w:r>
        <w:rPr>
          <w:rFonts w:ascii="Times New Roman" w:hAnsi="Times New Roman" w:eastAsia="Times New Roman" w:cs="Times New Roman"/>
          <w:spacing w:val="10"/>
          <w:position w:val="7"/>
          <w:sz w:val="15"/>
          <w:szCs w:val="15"/>
        </w:rPr>
        <w:t>3</w:t>
      </w:r>
      <w:r>
        <w:rPr>
          <w:rFonts w:ascii="Times New Roman" w:hAnsi="Times New Roman" w:eastAsia="Times New Roman" w:cs="Times New Roman"/>
          <w:spacing w:val="10"/>
          <w:sz w:val="23"/>
          <w:szCs w:val="23"/>
        </w:rPr>
        <w:t>/</w:t>
      </w:r>
      <w:r>
        <w:rPr>
          <w:rFonts w:ascii="Times New Roman" w:hAnsi="Times New Roman" w:eastAsia="Times New Roman" w:cs="Times New Roman"/>
          <w:sz w:val="23"/>
          <w:szCs w:val="23"/>
        </w:rPr>
        <w:t>d</w:t>
      </w:r>
      <w:r>
        <w:rPr>
          <w:rFonts w:ascii="Times New Roman" w:hAnsi="Times New Roman" w:eastAsia="Times New Roman" w:cs="Times New Roman"/>
          <w:spacing w:val="10"/>
          <w:sz w:val="23"/>
          <w:szCs w:val="23"/>
        </w:rPr>
        <w:t xml:space="preserve"> </w:t>
      </w:r>
      <w:r>
        <w:rPr>
          <w:rFonts w:ascii="宋体" w:hAnsi="宋体" w:eastAsia="宋体" w:cs="宋体"/>
          <w:spacing w:val="10"/>
          <w:sz w:val="23"/>
          <w:szCs w:val="23"/>
        </w:rPr>
        <w:t xml:space="preserve">，排水量以用水量的 </w:t>
      </w:r>
      <w:r>
        <w:rPr>
          <w:rFonts w:ascii="Times New Roman" w:hAnsi="Times New Roman" w:eastAsia="Times New Roman" w:cs="Times New Roman"/>
          <w:spacing w:val="10"/>
          <w:sz w:val="23"/>
          <w:szCs w:val="23"/>
        </w:rPr>
        <w:t>80%</w:t>
      </w:r>
      <w:r>
        <w:rPr>
          <w:rFonts w:ascii="宋体" w:hAnsi="宋体" w:eastAsia="宋体" w:cs="宋体"/>
          <w:spacing w:val="10"/>
          <w:sz w:val="23"/>
          <w:szCs w:val="23"/>
        </w:rPr>
        <w:t xml:space="preserve">计算，排污量为 </w:t>
      </w:r>
      <w:r>
        <w:rPr>
          <w:rFonts w:ascii="Times New Roman" w:hAnsi="Times New Roman" w:eastAsia="Times New Roman" w:cs="Times New Roman"/>
          <w:spacing w:val="10"/>
          <w:sz w:val="23"/>
          <w:szCs w:val="23"/>
        </w:rPr>
        <w:t>0.6</w:t>
      </w:r>
      <w:r>
        <w:rPr>
          <w:rFonts w:ascii="Times New Roman" w:hAnsi="Times New Roman" w:eastAsia="Times New Roman" w:cs="Times New Roman"/>
          <w:sz w:val="23"/>
          <w:szCs w:val="23"/>
        </w:rPr>
        <w:t>m</w:t>
      </w:r>
      <w:r>
        <w:rPr>
          <w:rFonts w:ascii="Times New Roman" w:hAnsi="Times New Roman" w:eastAsia="Times New Roman" w:cs="Times New Roman"/>
          <w:spacing w:val="10"/>
          <w:position w:val="7"/>
          <w:sz w:val="15"/>
          <w:szCs w:val="15"/>
        </w:rPr>
        <w:t>3</w:t>
      </w:r>
      <w:r>
        <w:rPr>
          <w:rFonts w:ascii="Times New Roman" w:hAnsi="Times New Roman" w:eastAsia="Times New Roman" w:cs="Times New Roman"/>
          <w:spacing w:val="10"/>
          <w:sz w:val="23"/>
          <w:szCs w:val="23"/>
        </w:rPr>
        <w:t>/</w:t>
      </w:r>
      <w:r>
        <w:rPr>
          <w:rFonts w:ascii="Times New Roman" w:hAnsi="Times New Roman" w:eastAsia="Times New Roman" w:cs="Times New Roman"/>
          <w:sz w:val="23"/>
          <w:szCs w:val="23"/>
        </w:rPr>
        <w:t>d</w:t>
      </w:r>
      <w:r>
        <w:rPr>
          <w:rFonts w:ascii="Times New Roman" w:hAnsi="Times New Roman" w:eastAsia="Times New Roman" w:cs="Times New Roman"/>
          <w:spacing w:val="10"/>
          <w:sz w:val="23"/>
          <w:szCs w:val="23"/>
        </w:rPr>
        <w:t xml:space="preserve"> </w:t>
      </w:r>
      <w:r>
        <w:rPr>
          <w:rFonts w:ascii="宋体" w:hAnsi="宋体" w:eastAsia="宋体" w:cs="宋体"/>
          <w:spacing w:val="10"/>
          <w:sz w:val="23"/>
          <w:szCs w:val="23"/>
        </w:rPr>
        <w:t>。生活污水主要成</w:t>
      </w:r>
      <w:r>
        <w:rPr>
          <w:rFonts w:ascii="宋体" w:hAnsi="宋体" w:eastAsia="宋体" w:cs="宋体"/>
          <w:sz w:val="23"/>
          <w:szCs w:val="23"/>
        </w:rPr>
        <w:t xml:space="preserve"> </w:t>
      </w:r>
      <w:r>
        <w:rPr>
          <w:rFonts w:ascii="宋体" w:hAnsi="宋体" w:eastAsia="宋体" w:cs="宋体"/>
          <w:spacing w:val="32"/>
          <w:sz w:val="23"/>
          <w:szCs w:val="23"/>
        </w:rPr>
        <w:t>分</w:t>
      </w:r>
      <w:r>
        <w:rPr>
          <w:rFonts w:ascii="宋体" w:hAnsi="宋体" w:eastAsia="宋体" w:cs="宋体"/>
          <w:spacing w:val="17"/>
          <w:sz w:val="23"/>
          <w:szCs w:val="23"/>
        </w:rPr>
        <w:t xml:space="preserve">为 </w:t>
      </w:r>
      <w:r>
        <w:rPr>
          <w:rFonts w:ascii="Times New Roman" w:hAnsi="Times New Roman" w:eastAsia="Times New Roman" w:cs="Times New Roman"/>
          <w:sz w:val="23"/>
          <w:szCs w:val="23"/>
        </w:rPr>
        <w:t>COD</w:t>
      </w:r>
      <w:r>
        <w:rPr>
          <w:rFonts w:ascii="Times New Roman" w:hAnsi="Times New Roman" w:eastAsia="Times New Roman" w:cs="Times New Roman"/>
          <w:spacing w:val="17"/>
          <w:sz w:val="23"/>
          <w:szCs w:val="23"/>
        </w:rPr>
        <w:t xml:space="preserve"> </w:t>
      </w:r>
      <w:r>
        <w:rPr>
          <w:rFonts w:ascii="宋体" w:hAnsi="宋体" w:eastAsia="宋体" w:cs="宋体"/>
          <w:spacing w:val="17"/>
          <w:sz w:val="23"/>
          <w:szCs w:val="23"/>
        </w:rPr>
        <w:t>和氨氮，排入自建防渗旱厕，定期清掏。</w:t>
      </w:r>
    </w:p>
    <w:p w14:paraId="626AE769">
      <w:pPr>
        <w:spacing w:before="170" w:line="372" w:lineRule="auto"/>
        <w:ind w:left="116" w:right="117" w:firstLine="503"/>
        <w:rPr>
          <w:rFonts w:ascii="宋体" w:hAnsi="宋体" w:eastAsia="宋体" w:cs="宋体"/>
          <w:sz w:val="23"/>
          <w:szCs w:val="23"/>
        </w:rPr>
      </w:pPr>
      <w:r>
        <w:rPr>
          <w:rFonts w:ascii="宋体" w:hAnsi="宋体" w:eastAsia="宋体" w:cs="宋体"/>
          <w:spacing w:val="22"/>
          <w:sz w:val="23"/>
          <w:szCs w:val="23"/>
        </w:rPr>
        <w:t>施</w:t>
      </w:r>
      <w:r>
        <w:rPr>
          <w:rFonts w:ascii="宋体" w:hAnsi="宋体" w:eastAsia="宋体" w:cs="宋体"/>
          <w:spacing w:val="21"/>
          <w:sz w:val="23"/>
          <w:szCs w:val="23"/>
        </w:rPr>
        <w:t>工废水：施工临时用地如储料厂、施工机械、车辆停放区等，其中施</w:t>
      </w:r>
      <w:r>
        <w:rPr>
          <w:rFonts w:ascii="宋体" w:hAnsi="宋体" w:eastAsia="宋体" w:cs="宋体"/>
          <w:sz w:val="23"/>
          <w:szCs w:val="23"/>
        </w:rPr>
        <w:t xml:space="preserve"> </w:t>
      </w:r>
      <w:r>
        <w:rPr>
          <w:rFonts w:ascii="宋体" w:hAnsi="宋体" w:eastAsia="宋体" w:cs="宋体"/>
          <w:spacing w:val="26"/>
          <w:sz w:val="23"/>
          <w:szCs w:val="23"/>
        </w:rPr>
        <w:t>工</w:t>
      </w:r>
      <w:r>
        <w:rPr>
          <w:rFonts w:ascii="宋体" w:hAnsi="宋体" w:eastAsia="宋体" w:cs="宋体"/>
          <w:spacing w:val="22"/>
          <w:sz w:val="23"/>
          <w:szCs w:val="23"/>
        </w:rPr>
        <w:t xml:space="preserve">机械、车辆停放维修区在设备冲洗时将产生含石油类物质和 </w:t>
      </w:r>
      <w:r>
        <w:rPr>
          <w:rFonts w:ascii="Times New Roman" w:hAnsi="Times New Roman" w:eastAsia="Times New Roman" w:cs="Times New Roman"/>
          <w:sz w:val="23"/>
          <w:szCs w:val="23"/>
        </w:rPr>
        <w:t>SS</w:t>
      </w:r>
      <w:r>
        <w:rPr>
          <w:rFonts w:ascii="Times New Roman" w:hAnsi="Times New Roman" w:eastAsia="Times New Roman" w:cs="Times New Roman"/>
          <w:spacing w:val="22"/>
          <w:sz w:val="23"/>
          <w:szCs w:val="23"/>
        </w:rPr>
        <w:t xml:space="preserve"> </w:t>
      </w:r>
      <w:r>
        <w:rPr>
          <w:rFonts w:ascii="宋体" w:hAnsi="宋体" w:eastAsia="宋体" w:cs="宋体"/>
          <w:spacing w:val="22"/>
          <w:sz w:val="23"/>
          <w:szCs w:val="23"/>
        </w:rPr>
        <w:t>的废水，</w:t>
      </w:r>
      <w:r>
        <w:rPr>
          <w:rFonts w:ascii="宋体" w:hAnsi="宋体" w:eastAsia="宋体" w:cs="宋体"/>
          <w:sz w:val="23"/>
          <w:szCs w:val="23"/>
        </w:rPr>
        <w:t xml:space="preserve"> </w:t>
      </w:r>
      <w:r>
        <w:rPr>
          <w:rFonts w:ascii="宋体" w:hAnsi="宋体" w:eastAsia="宋体" w:cs="宋体"/>
          <w:spacing w:val="26"/>
          <w:sz w:val="23"/>
          <w:szCs w:val="23"/>
        </w:rPr>
        <w:t>施</w:t>
      </w:r>
      <w:r>
        <w:rPr>
          <w:rFonts w:ascii="宋体" w:hAnsi="宋体" w:eastAsia="宋体" w:cs="宋体"/>
          <w:spacing w:val="14"/>
          <w:sz w:val="23"/>
          <w:szCs w:val="23"/>
        </w:rPr>
        <w:t>工</w:t>
      </w:r>
      <w:r>
        <w:rPr>
          <w:rFonts w:ascii="宋体" w:hAnsi="宋体" w:eastAsia="宋体" w:cs="宋体"/>
          <w:spacing w:val="13"/>
          <w:sz w:val="23"/>
          <w:szCs w:val="23"/>
        </w:rPr>
        <w:t xml:space="preserve">产生的污水量 </w:t>
      </w:r>
      <w:r>
        <w:rPr>
          <w:rFonts w:ascii="Times New Roman" w:hAnsi="Times New Roman" w:eastAsia="Times New Roman" w:cs="Times New Roman"/>
          <w:spacing w:val="13"/>
          <w:sz w:val="23"/>
          <w:szCs w:val="23"/>
        </w:rPr>
        <w:t>0.5</w:t>
      </w:r>
      <w:r>
        <w:rPr>
          <w:rFonts w:ascii="Times New Roman" w:hAnsi="Times New Roman" w:eastAsia="Times New Roman" w:cs="Times New Roman"/>
          <w:sz w:val="23"/>
          <w:szCs w:val="23"/>
        </w:rPr>
        <w:t>m</w:t>
      </w:r>
      <w:r>
        <w:rPr>
          <w:rFonts w:ascii="Times New Roman" w:hAnsi="Times New Roman" w:eastAsia="Times New Roman" w:cs="Times New Roman"/>
          <w:spacing w:val="13"/>
          <w:position w:val="8"/>
          <w:sz w:val="15"/>
          <w:szCs w:val="15"/>
        </w:rPr>
        <w:t>3</w:t>
      </w:r>
      <w:r>
        <w:rPr>
          <w:rFonts w:ascii="Times New Roman" w:hAnsi="Times New Roman" w:eastAsia="Times New Roman" w:cs="Times New Roman"/>
          <w:spacing w:val="13"/>
          <w:sz w:val="23"/>
          <w:szCs w:val="23"/>
        </w:rPr>
        <w:t>/</w:t>
      </w:r>
      <w:r>
        <w:rPr>
          <w:rFonts w:ascii="Times New Roman" w:hAnsi="Times New Roman" w:eastAsia="Times New Roman" w:cs="Times New Roman"/>
          <w:sz w:val="23"/>
          <w:szCs w:val="23"/>
        </w:rPr>
        <w:t>d</w:t>
      </w:r>
      <w:r>
        <w:rPr>
          <w:rFonts w:ascii="Times New Roman" w:hAnsi="Times New Roman" w:eastAsia="Times New Roman" w:cs="Times New Roman"/>
          <w:spacing w:val="13"/>
          <w:sz w:val="23"/>
          <w:szCs w:val="23"/>
        </w:rPr>
        <w:t xml:space="preserve"> </w:t>
      </w:r>
      <w:r>
        <w:rPr>
          <w:rFonts w:ascii="宋体" w:hAnsi="宋体" w:eastAsia="宋体" w:cs="宋体"/>
          <w:spacing w:val="13"/>
          <w:sz w:val="23"/>
          <w:szCs w:val="23"/>
        </w:rPr>
        <w:t>，经隔油、沉淀后用于厂区洒水降尘，不会对周围</w:t>
      </w:r>
      <w:r>
        <w:rPr>
          <w:rFonts w:ascii="宋体" w:hAnsi="宋体" w:eastAsia="宋体" w:cs="宋体"/>
          <w:sz w:val="23"/>
          <w:szCs w:val="23"/>
        </w:rPr>
        <w:t xml:space="preserve"> </w:t>
      </w:r>
      <w:r>
        <w:rPr>
          <w:rFonts w:ascii="宋体" w:hAnsi="宋体" w:eastAsia="宋体" w:cs="宋体"/>
          <w:spacing w:val="31"/>
          <w:sz w:val="23"/>
          <w:szCs w:val="23"/>
        </w:rPr>
        <w:t>水</w:t>
      </w:r>
      <w:r>
        <w:rPr>
          <w:rFonts w:ascii="宋体" w:hAnsi="宋体" w:eastAsia="宋体" w:cs="宋体"/>
          <w:spacing w:val="20"/>
          <w:sz w:val="23"/>
          <w:szCs w:val="23"/>
        </w:rPr>
        <w:t>体造成不良影响，并且随着施工的结束该影响也随着结束。</w:t>
      </w:r>
    </w:p>
    <w:p w14:paraId="0C0F226B">
      <w:pPr>
        <w:spacing w:before="159" w:line="228" w:lineRule="auto"/>
        <w:ind w:left="632"/>
        <w:rPr>
          <w:rFonts w:ascii="宋体" w:hAnsi="宋体" w:eastAsia="宋体" w:cs="宋体"/>
          <w:sz w:val="23"/>
          <w:szCs w:val="23"/>
        </w:rPr>
      </w:pPr>
      <w:r>
        <w:rPr>
          <w:rFonts w:ascii="宋体" w:hAnsi="宋体" w:eastAsia="宋体" w:cs="宋体"/>
          <w:spacing w:val="28"/>
          <w:sz w:val="23"/>
          <w:szCs w:val="23"/>
        </w:rPr>
        <w:t>(</w:t>
      </w:r>
      <w:r>
        <w:rPr>
          <w:rFonts w:ascii="Times New Roman" w:hAnsi="Times New Roman" w:eastAsia="Times New Roman" w:cs="Times New Roman"/>
          <w:spacing w:val="28"/>
          <w:sz w:val="23"/>
          <w:szCs w:val="23"/>
        </w:rPr>
        <w:t>3</w:t>
      </w:r>
      <w:r>
        <w:rPr>
          <w:rFonts w:ascii="宋体" w:hAnsi="宋体" w:eastAsia="宋体" w:cs="宋体"/>
          <w:spacing w:val="28"/>
          <w:sz w:val="23"/>
          <w:szCs w:val="23"/>
        </w:rPr>
        <w:t>) 噪声分</w:t>
      </w:r>
      <w:r>
        <w:rPr>
          <w:rFonts w:ascii="宋体" w:hAnsi="宋体" w:eastAsia="宋体" w:cs="宋体"/>
          <w:spacing w:val="27"/>
          <w:sz w:val="23"/>
          <w:szCs w:val="23"/>
        </w:rPr>
        <w:t>析</w:t>
      </w:r>
    </w:p>
    <w:p w14:paraId="34E4B43C">
      <w:pPr>
        <w:spacing w:line="260" w:lineRule="auto"/>
        <w:rPr>
          <w:rFonts w:ascii="Arial"/>
          <w:sz w:val="21"/>
        </w:rPr>
      </w:pPr>
    </w:p>
    <w:p w14:paraId="365B98F5">
      <w:pPr>
        <w:spacing w:before="75" w:line="372" w:lineRule="auto"/>
        <w:ind w:left="118" w:right="43" w:firstLine="482"/>
        <w:rPr>
          <w:rFonts w:ascii="宋体" w:hAnsi="宋体" w:eastAsia="宋体" w:cs="宋体"/>
          <w:sz w:val="23"/>
          <w:szCs w:val="23"/>
        </w:rPr>
      </w:pPr>
      <w:r>
        <w:rPr>
          <w:rFonts w:ascii="宋体" w:hAnsi="宋体" w:eastAsia="宋体" w:cs="宋体"/>
          <w:spacing w:val="12"/>
          <w:sz w:val="23"/>
          <w:szCs w:val="23"/>
        </w:rPr>
        <w:t>项目施工</w:t>
      </w:r>
      <w:r>
        <w:rPr>
          <w:rFonts w:ascii="宋体" w:hAnsi="宋体" w:eastAsia="宋体" w:cs="宋体"/>
          <w:spacing w:val="7"/>
          <w:sz w:val="23"/>
          <w:szCs w:val="23"/>
        </w:rPr>
        <w:t>期</w:t>
      </w:r>
      <w:r>
        <w:rPr>
          <w:rFonts w:ascii="宋体" w:hAnsi="宋体" w:eastAsia="宋体" w:cs="宋体"/>
          <w:spacing w:val="6"/>
          <w:sz w:val="23"/>
          <w:szCs w:val="23"/>
        </w:rPr>
        <w:t>噪声主要是施工现场的机械设备运行及作业中产生的噪声，以及</w:t>
      </w:r>
      <w:r>
        <w:rPr>
          <w:rFonts w:ascii="宋体" w:hAnsi="宋体" w:eastAsia="宋体" w:cs="宋体"/>
          <w:sz w:val="23"/>
          <w:szCs w:val="23"/>
        </w:rPr>
        <w:t xml:space="preserve"> </w:t>
      </w:r>
      <w:r>
        <w:rPr>
          <w:rFonts w:ascii="宋体" w:hAnsi="宋体" w:eastAsia="宋体" w:cs="宋体"/>
          <w:spacing w:val="4"/>
          <w:sz w:val="23"/>
          <w:szCs w:val="23"/>
        </w:rPr>
        <w:t>车辆运</w:t>
      </w:r>
      <w:r>
        <w:rPr>
          <w:rFonts w:ascii="宋体" w:hAnsi="宋体" w:eastAsia="宋体" w:cs="宋体"/>
          <w:spacing w:val="3"/>
          <w:sz w:val="23"/>
          <w:szCs w:val="23"/>
        </w:rPr>
        <w:t>输</w:t>
      </w:r>
      <w:r>
        <w:rPr>
          <w:rFonts w:ascii="宋体" w:hAnsi="宋体" w:eastAsia="宋体" w:cs="宋体"/>
          <w:spacing w:val="2"/>
          <w:sz w:val="23"/>
          <w:szCs w:val="23"/>
        </w:rPr>
        <w:t>产生的噪声，这些噪声源的数量和种类较多，既有固定源，也有流动源，</w:t>
      </w:r>
      <w:r>
        <w:rPr>
          <w:rFonts w:ascii="宋体" w:hAnsi="宋体" w:eastAsia="宋体" w:cs="宋体"/>
          <w:sz w:val="23"/>
          <w:szCs w:val="23"/>
        </w:rPr>
        <w:t xml:space="preserve"> </w:t>
      </w:r>
      <w:r>
        <w:rPr>
          <w:rFonts w:ascii="宋体" w:hAnsi="宋体" w:eastAsia="宋体" w:cs="宋体"/>
          <w:spacing w:val="14"/>
          <w:sz w:val="23"/>
          <w:szCs w:val="23"/>
        </w:rPr>
        <w:t>有</w:t>
      </w:r>
      <w:r>
        <w:rPr>
          <w:rFonts w:ascii="宋体" w:hAnsi="宋体" w:eastAsia="宋体" w:cs="宋体"/>
          <w:spacing w:val="8"/>
          <w:sz w:val="23"/>
          <w:szCs w:val="23"/>
        </w:rPr>
        <w:t>的</w:t>
      </w:r>
      <w:r>
        <w:rPr>
          <w:rFonts w:ascii="宋体" w:hAnsi="宋体" w:eastAsia="宋体" w:cs="宋体"/>
          <w:spacing w:val="7"/>
          <w:sz w:val="23"/>
          <w:szCs w:val="23"/>
        </w:rPr>
        <w:t>是连续源，也有不少属瞬时源</w:t>
      </w:r>
      <w:r>
        <w:rPr>
          <w:rFonts w:ascii="Times New Roman" w:hAnsi="Times New Roman" w:eastAsia="Times New Roman" w:cs="Times New Roman"/>
          <w:spacing w:val="7"/>
          <w:sz w:val="23"/>
          <w:szCs w:val="23"/>
        </w:rPr>
        <w:t>(</w:t>
      </w:r>
      <w:r>
        <w:rPr>
          <w:rFonts w:ascii="宋体" w:hAnsi="宋体" w:eastAsia="宋体" w:cs="宋体"/>
          <w:spacing w:val="7"/>
          <w:sz w:val="23"/>
          <w:szCs w:val="23"/>
        </w:rPr>
        <w:t>突发性噪声</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，且一般噪声源强较大，根据类</w:t>
      </w:r>
      <w:r>
        <w:rPr>
          <w:rFonts w:ascii="宋体" w:hAnsi="宋体" w:eastAsia="宋体" w:cs="宋体"/>
          <w:sz w:val="23"/>
          <w:szCs w:val="23"/>
        </w:rPr>
        <w:t xml:space="preserve"> </w:t>
      </w:r>
      <w:r>
        <w:rPr>
          <w:rFonts w:ascii="宋体" w:hAnsi="宋体" w:eastAsia="宋体" w:cs="宋体"/>
          <w:spacing w:val="4"/>
          <w:sz w:val="23"/>
          <w:szCs w:val="23"/>
        </w:rPr>
        <w:t xml:space="preserve">比相关资料，各施工段主要使用设备噪声源强见表 </w:t>
      </w:r>
      <w:r>
        <w:rPr>
          <w:rFonts w:ascii="Times New Roman" w:hAnsi="Times New Roman" w:eastAsia="Times New Roman" w:cs="Times New Roman"/>
          <w:spacing w:val="4"/>
          <w:sz w:val="23"/>
          <w:szCs w:val="23"/>
        </w:rPr>
        <w:t>3- 13</w:t>
      </w:r>
      <w:r>
        <w:rPr>
          <w:rFonts w:ascii="宋体" w:hAnsi="宋体" w:eastAsia="宋体" w:cs="宋体"/>
          <w:spacing w:val="2"/>
          <w:sz w:val="23"/>
          <w:szCs w:val="23"/>
        </w:rPr>
        <w:t>。</w:t>
      </w:r>
    </w:p>
    <w:p w14:paraId="5F22DF73">
      <w:pPr>
        <w:spacing w:before="159" w:line="228" w:lineRule="auto"/>
        <w:ind w:left="2698"/>
        <w:rPr>
          <w:rFonts w:ascii="宋体" w:hAnsi="宋体" w:eastAsia="宋体" w:cs="宋体"/>
          <w:sz w:val="23"/>
          <w:szCs w:val="23"/>
        </w:rPr>
      </w:pPr>
      <w:r>
        <w:rPr>
          <w:rFonts w:ascii="宋体" w:hAnsi="宋体" w:eastAsia="宋体" w:cs="宋体"/>
          <w:spacing w:val="6"/>
          <w:sz w:val="23"/>
          <w:szCs w:val="23"/>
          <w14:textOutline w14:w="4358" w14:cap="sq" w14:cmpd="sng">
            <w14:solidFill>
              <w14:srgbClr w14:val="000000"/>
            </w14:solidFill>
            <w14:prstDash w14:val="solid"/>
            <w14:bevel/>
          </w14:textOutline>
        </w:rPr>
        <w:t>表</w:t>
      </w:r>
      <w:r>
        <w:rPr>
          <w:rFonts w:ascii="宋体" w:hAnsi="宋体" w:eastAsia="宋体" w:cs="宋体"/>
          <w:spacing w:val="6"/>
          <w:sz w:val="23"/>
          <w:szCs w:val="23"/>
        </w:rPr>
        <w:t xml:space="preserve"> </w:t>
      </w:r>
      <w:r>
        <w:rPr>
          <w:rFonts w:ascii="Times New Roman" w:hAnsi="Times New Roman" w:eastAsia="Times New Roman" w:cs="Times New Roman"/>
          <w:b/>
          <w:bCs/>
          <w:spacing w:val="4"/>
          <w:sz w:val="23"/>
          <w:szCs w:val="23"/>
        </w:rPr>
        <w:t>3</w:t>
      </w:r>
      <w:r>
        <w:rPr>
          <w:rFonts w:ascii="Times New Roman" w:hAnsi="Times New Roman" w:eastAsia="Times New Roman" w:cs="Times New Roman"/>
          <w:b/>
          <w:bCs/>
          <w:spacing w:val="3"/>
          <w:sz w:val="23"/>
          <w:szCs w:val="23"/>
        </w:rPr>
        <w:t>-13</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14:textOutline w14:w="4358" w14:cap="sq" w14:cmpd="sng">
            <w14:solidFill>
              <w14:srgbClr w14:val="000000"/>
            </w14:solidFill>
            <w14:prstDash w14:val="solid"/>
            <w14:bevel/>
          </w14:textOutline>
        </w:rPr>
        <w:t>施工设备噪声源强</w:t>
      </w:r>
    </w:p>
    <w:p w14:paraId="51D2040D">
      <w:pPr>
        <w:spacing w:line="14"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4"/>
        <w:gridCol w:w="3005"/>
        <w:gridCol w:w="2284"/>
        <w:gridCol w:w="2289"/>
      </w:tblGrid>
      <w:tr w14:paraId="7E40D7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944" w:type="dxa"/>
            <w:vMerge w:val="restart"/>
            <w:tcBorders>
              <w:left w:val="nil"/>
              <w:bottom w:val="nil"/>
            </w:tcBorders>
            <w:vAlign w:val="top"/>
          </w:tcPr>
          <w:p w14:paraId="4257A2CF">
            <w:pPr>
              <w:spacing w:before="217" w:line="229" w:lineRule="auto"/>
              <w:ind w:left="268"/>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序号</w:t>
            </w:r>
          </w:p>
        </w:tc>
        <w:tc>
          <w:tcPr>
            <w:tcW w:w="3005" w:type="dxa"/>
            <w:vMerge w:val="restart"/>
            <w:tcBorders>
              <w:bottom w:val="nil"/>
            </w:tcBorders>
            <w:vAlign w:val="top"/>
          </w:tcPr>
          <w:p w14:paraId="0984FB7A">
            <w:pPr>
              <w:spacing w:before="217" w:line="229" w:lineRule="auto"/>
              <w:ind w:left="880"/>
              <w:rPr>
                <w:rFonts w:ascii="宋体" w:hAnsi="宋体" w:eastAsia="宋体" w:cs="宋体"/>
                <w:sz w:val="20"/>
                <w:szCs w:val="20"/>
              </w:rPr>
            </w:pPr>
            <w:r>
              <w:rPr>
                <w:rFonts w:ascii="宋体" w:hAnsi="宋体" w:eastAsia="宋体" w:cs="宋体"/>
                <w:spacing w:val="12"/>
                <w:sz w:val="20"/>
                <w:szCs w:val="20"/>
                <w14:textOutline w14:w="3795" w14:cap="sq" w14:cmpd="sng">
                  <w14:solidFill>
                    <w14:srgbClr w14:val="000000"/>
                  </w14:solidFill>
                  <w14:prstDash w14:val="solid"/>
                  <w14:bevel/>
                </w14:textOutline>
              </w:rPr>
              <w:t>主</w:t>
            </w:r>
            <w:r>
              <w:rPr>
                <w:rFonts w:ascii="宋体" w:hAnsi="宋体" w:eastAsia="宋体" w:cs="宋体"/>
                <w:spacing w:val="8"/>
                <w:sz w:val="20"/>
                <w:szCs w:val="20"/>
                <w14:textOutline w14:w="3795" w14:cap="sq" w14:cmpd="sng">
                  <w14:solidFill>
                    <w14:srgbClr w14:val="000000"/>
                  </w14:solidFill>
                  <w14:prstDash w14:val="solid"/>
                  <w14:bevel/>
                </w14:textOutline>
              </w:rPr>
              <w:t>要设备名称</w:t>
            </w:r>
          </w:p>
        </w:tc>
        <w:tc>
          <w:tcPr>
            <w:tcW w:w="4573" w:type="dxa"/>
            <w:gridSpan w:val="2"/>
            <w:tcBorders>
              <w:right w:val="nil"/>
            </w:tcBorders>
            <w:vAlign w:val="top"/>
          </w:tcPr>
          <w:p w14:paraId="7C4A77F3">
            <w:pPr>
              <w:spacing w:before="75" w:line="217" w:lineRule="auto"/>
              <w:ind w:left="2029"/>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源</w:t>
            </w:r>
            <w:r>
              <w:rPr>
                <w:rFonts w:ascii="宋体" w:hAnsi="宋体" w:eastAsia="宋体" w:cs="宋体"/>
                <w:spacing w:val="6"/>
                <w:sz w:val="20"/>
                <w:szCs w:val="20"/>
              </w:rPr>
              <w:t xml:space="preserve"> </w:t>
            </w:r>
            <w:r>
              <w:rPr>
                <w:rFonts w:ascii="宋体" w:hAnsi="宋体" w:eastAsia="宋体" w:cs="宋体"/>
                <w:spacing w:val="6"/>
                <w:sz w:val="20"/>
                <w:szCs w:val="20"/>
                <w14:textOutline w14:w="3795" w14:cap="sq" w14:cmpd="sng">
                  <w14:solidFill>
                    <w14:srgbClr w14:val="000000"/>
                  </w14:solidFill>
                  <w14:prstDash w14:val="solid"/>
                  <w14:bevel/>
                </w14:textOutline>
              </w:rPr>
              <w:t>强</w:t>
            </w:r>
          </w:p>
        </w:tc>
      </w:tr>
      <w:tr w14:paraId="74758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944" w:type="dxa"/>
            <w:vMerge w:val="continue"/>
            <w:tcBorders>
              <w:top w:val="nil"/>
              <w:left w:val="nil"/>
            </w:tcBorders>
            <w:vAlign w:val="top"/>
          </w:tcPr>
          <w:p w14:paraId="26BF94C9">
            <w:pPr>
              <w:rPr>
                <w:rFonts w:ascii="Arial"/>
                <w:sz w:val="21"/>
              </w:rPr>
            </w:pPr>
          </w:p>
        </w:tc>
        <w:tc>
          <w:tcPr>
            <w:tcW w:w="3005" w:type="dxa"/>
            <w:vMerge w:val="continue"/>
            <w:tcBorders>
              <w:top w:val="nil"/>
            </w:tcBorders>
            <w:vAlign w:val="top"/>
          </w:tcPr>
          <w:p w14:paraId="7E385EBD">
            <w:pPr>
              <w:rPr>
                <w:rFonts w:ascii="Arial"/>
                <w:sz w:val="21"/>
              </w:rPr>
            </w:pPr>
          </w:p>
        </w:tc>
        <w:tc>
          <w:tcPr>
            <w:tcW w:w="2284" w:type="dxa"/>
            <w:vAlign w:val="top"/>
          </w:tcPr>
          <w:p w14:paraId="4B59E3C1">
            <w:pPr>
              <w:spacing w:before="52" w:line="229" w:lineRule="auto"/>
              <w:ind w:left="641"/>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测距</w:t>
            </w:r>
            <w:r>
              <w:rPr>
                <w:rFonts w:ascii="宋体" w:hAnsi="宋体" w:eastAsia="宋体" w:cs="宋体"/>
                <w:spacing w:val="2"/>
                <w:sz w:val="20"/>
                <w:szCs w:val="20"/>
              </w:rPr>
              <w:t xml:space="preserve"> </w:t>
            </w:r>
            <w:r>
              <w:rPr>
                <w:rFonts w:ascii="宋体" w:hAnsi="宋体" w:eastAsia="宋体" w:cs="宋体"/>
                <w:spacing w:val="2"/>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sz w:val="20"/>
                <w:szCs w:val="20"/>
              </w:rPr>
              <w:t>m</w:t>
            </w:r>
            <w:r>
              <w:rPr>
                <w:rFonts w:ascii="Times New Roman" w:hAnsi="Times New Roman" w:eastAsia="Times New Roman" w:cs="Times New Roman"/>
                <w:spacing w:val="2"/>
                <w:sz w:val="20"/>
                <w:szCs w:val="20"/>
              </w:rPr>
              <w:t xml:space="preserve"> </w:t>
            </w:r>
            <w:r>
              <w:rPr>
                <w:rFonts w:ascii="宋体" w:hAnsi="宋体" w:eastAsia="宋体" w:cs="宋体"/>
                <w:spacing w:val="1"/>
                <w:sz w:val="20"/>
                <w:szCs w:val="20"/>
                <w14:textOutline w14:w="3795" w14:cap="sq" w14:cmpd="sng">
                  <w14:solidFill>
                    <w14:srgbClr w14:val="000000"/>
                  </w14:solidFill>
                  <w14:prstDash w14:val="solid"/>
                  <w14:bevel/>
                </w14:textOutline>
              </w:rPr>
              <w:t>)</w:t>
            </w:r>
          </w:p>
        </w:tc>
        <w:tc>
          <w:tcPr>
            <w:tcW w:w="2289" w:type="dxa"/>
            <w:tcBorders>
              <w:right w:val="nil"/>
            </w:tcBorders>
            <w:vAlign w:val="top"/>
          </w:tcPr>
          <w:p w14:paraId="2F015DF3">
            <w:pPr>
              <w:spacing w:before="11" w:line="289" w:lineRule="exact"/>
              <w:ind w:left="488"/>
              <w:rPr>
                <w:rFonts w:ascii="宋体" w:hAnsi="宋体" w:eastAsia="宋体" w:cs="宋体"/>
                <w:sz w:val="20"/>
                <w:szCs w:val="20"/>
              </w:rPr>
            </w:pPr>
            <w:r>
              <w:rPr>
                <w:rFonts w:ascii="Times New Roman" w:hAnsi="Times New Roman" w:eastAsia="Times New Roman" w:cs="Times New Roman"/>
                <w:b/>
                <w:bCs/>
                <w:position w:val="3"/>
                <w:sz w:val="20"/>
                <w:szCs w:val="20"/>
              </w:rPr>
              <w:t>Lpmax</w:t>
            </w:r>
            <w:r>
              <w:rPr>
                <w:rFonts w:ascii="Times New Roman" w:hAnsi="Times New Roman" w:eastAsia="Times New Roman" w:cs="Times New Roman"/>
                <w:spacing w:val="13"/>
                <w:position w:val="3"/>
                <w:sz w:val="20"/>
                <w:szCs w:val="20"/>
              </w:rPr>
              <w:t xml:space="preserve"> </w:t>
            </w:r>
            <w:r>
              <w:rPr>
                <w:rFonts w:ascii="Times New Roman" w:hAnsi="Times New Roman" w:eastAsia="Times New Roman" w:cs="Times New Roman"/>
                <w:spacing w:val="11"/>
                <w:position w:val="3"/>
                <w:sz w:val="20"/>
                <w:szCs w:val="20"/>
              </w:rPr>
              <w:t xml:space="preserve"> </w:t>
            </w:r>
            <w:r>
              <w:rPr>
                <w:rFonts w:ascii="宋体" w:hAnsi="宋体" w:eastAsia="宋体" w:cs="宋体"/>
                <w:spacing w:val="11"/>
                <w:position w:val="3"/>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position w:val="3"/>
                <w:sz w:val="20"/>
                <w:szCs w:val="20"/>
              </w:rPr>
              <w:t>dB</w:t>
            </w:r>
            <w:r>
              <w:rPr>
                <w:rFonts w:ascii="宋体" w:hAnsi="宋体" w:eastAsia="宋体" w:cs="宋体"/>
                <w:spacing w:val="11"/>
                <w:position w:val="3"/>
                <w:sz w:val="20"/>
                <w:szCs w:val="20"/>
                <w14:textOutline w14:w="3795" w14:cap="sq" w14:cmpd="sng">
                  <w14:solidFill>
                    <w14:srgbClr w14:val="000000"/>
                  </w14:solidFill>
                  <w14:prstDash w14:val="solid"/>
                  <w14:bevel/>
                </w14:textOutline>
              </w:rPr>
              <w:t>)</w:t>
            </w:r>
          </w:p>
        </w:tc>
      </w:tr>
      <w:tr w14:paraId="31C071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 w:hRule="atLeast"/>
        </w:trPr>
        <w:tc>
          <w:tcPr>
            <w:tcW w:w="944" w:type="dxa"/>
            <w:tcBorders>
              <w:left w:val="nil"/>
            </w:tcBorders>
            <w:vAlign w:val="top"/>
          </w:tcPr>
          <w:p w14:paraId="7456C3D3">
            <w:pPr>
              <w:spacing w:before="88" w:line="195" w:lineRule="auto"/>
              <w:ind w:left="444"/>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3005" w:type="dxa"/>
            <w:vAlign w:val="top"/>
          </w:tcPr>
          <w:p w14:paraId="04A293B1">
            <w:pPr>
              <w:spacing w:before="53" w:line="224" w:lineRule="auto"/>
              <w:ind w:left="1191"/>
              <w:rPr>
                <w:rFonts w:ascii="宋体" w:hAnsi="宋体" w:eastAsia="宋体" w:cs="宋体"/>
                <w:sz w:val="20"/>
                <w:szCs w:val="20"/>
              </w:rPr>
            </w:pPr>
            <w:r>
              <w:rPr>
                <w:rFonts w:ascii="宋体" w:hAnsi="宋体" w:eastAsia="宋体" w:cs="宋体"/>
                <w:spacing w:val="7"/>
                <w:sz w:val="20"/>
                <w:szCs w:val="20"/>
              </w:rPr>
              <w:t>挖掘机</w:t>
            </w:r>
          </w:p>
        </w:tc>
        <w:tc>
          <w:tcPr>
            <w:tcW w:w="2284" w:type="dxa"/>
            <w:vAlign w:val="top"/>
          </w:tcPr>
          <w:p w14:paraId="2A42F5EE">
            <w:pPr>
              <w:spacing w:before="88" w:line="195" w:lineRule="auto"/>
              <w:ind w:left="101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 xml:space="preserve">5 </w:t>
            </w:r>
            <w:r>
              <w:rPr>
                <w:rFonts w:ascii="Times New Roman" w:hAnsi="Times New Roman" w:eastAsia="Times New Roman" w:cs="Times New Roman"/>
                <w:spacing w:val="1"/>
                <w:sz w:val="20"/>
                <w:szCs w:val="20"/>
              </w:rPr>
              <w:t>0</w:t>
            </w:r>
          </w:p>
        </w:tc>
        <w:tc>
          <w:tcPr>
            <w:tcW w:w="2289" w:type="dxa"/>
            <w:tcBorders>
              <w:right w:val="nil"/>
            </w:tcBorders>
            <w:vAlign w:val="top"/>
          </w:tcPr>
          <w:p w14:paraId="534382CE">
            <w:pPr>
              <w:spacing w:before="88" w:line="195" w:lineRule="auto"/>
              <w:ind w:left="104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w:t>
            </w:r>
            <w:r>
              <w:rPr>
                <w:rFonts w:ascii="Times New Roman" w:hAnsi="Times New Roman" w:eastAsia="Times New Roman" w:cs="Times New Roman"/>
                <w:spacing w:val="-1"/>
                <w:sz w:val="20"/>
                <w:szCs w:val="20"/>
              </w:rPr>
              <w:t>5</w:t>
            </w:r>
          </w:p>
        </w:tc>
      </w:tr>
      <w:tr w14:paraId="50FB01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944" w:type="dxa"/>
            <w:tcBorders>
              <w:left w:val="nil"/>
            </w:tcBorders>
            <w:vAlign w:val="top"/>
          </w:tcPr>
          <w:p w14:paraId="09E8A791">
            <w:pPr>
              <w:spacing w:before="99" w:line="195" w:lineRule="auto"/>
              <w:ind w:left="424"/>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3005" w:type="dxa"/>
            <w:vAlign w:val="top"/>
          </w:tcPr>
          <w:p w14:paraId="7FB3F265">
            <w:pPr>
              <w:spacing w:before="64" w:line="224" w:lineRule="auto"/>
              <w:ind w:left="984"/>
              <w:rPr>
                <w:rFonts w:ascii="宋体" w:hAnsi="宋体" w:eastAsia="宋体" w:cs="宋体"/>
                <w:sz w:val="20"/>
                <w:szCs w:val="20"/>
              </w:rPr>
            </w:pPr>
            <w:r>
              <w:rPr>
                <w:rFonts w:ascii="宋体" w:hAnsi="宋体" w:eastAsia="宋体" w:cs="宋体"/>
                <w:spacing w:val="10"/>
                <w:sz w:val="20"/>
                <w:szCs w:val="20"/>
              </w:rPr>
              <w:t>混</w:t>
            </w:r>
            <w:r>
              <w:rPr>
                <w:rFonts w:ascii="宋体" w:hAnsi="宋体" w:eastAsia="宋体" w:cs="宋体"/>
                <w:spacing w:val="7"/>
                <w:sz w:val="20"/>
                <w:szCs w:val="20"/>
              </w:rPr>
              <w:t>凝土泵车</w:t>
            </w:r>
          </w:p>
        </w:tc>
        <w:tc>
          <w:tcPr>
            <w:tcW w:w="2284" w:type="dxa"/>
            <w:vAlign w:val="top"/>
          </w:tcPr>
          <w:p w14:paraId="6A4BB7DF">
            <w:pPr>
              <w:spacing w:before="99" w:line="195" w:lineRule="auto"/>
              <w:ind w:left="101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 xml:space="preserve">5 </w:t>
            </w:r>
            <w:r>
              <w:rPr>
                <w:rFonts w:ascii="Times New Roman" w:hAnsi="Times New Roman" w:eastAsia="Times New Roman" w:cs="Times New Roman"/>
                <w:spacing w:val="1"/>
                <w:sz w:val="20"/>
                <w:szCs w:val="20"/>
              </w:rPr>
              <w:t>0</w:t>
            </w:r>
          </w:p>
        </w:tc>
        <w:tc>
          <w:tcPr>
            <w:tcW w:w="2289" w:type="dxa"/>
            <w:tcBorders>
              <w:right w:val="nil"/>
            </w:tcBorders>
            <w:vAlign w:val="top"/>
          </w:tcPr>
          <w:p w14:paraId="2C2B36EB">
            <w:pPr>
              <w:spacing w:before="99" w:line="195" w:lineRule="auto"/>
              <w:ind w:left="104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w:t>
            </w:r>
            <w:r>
              <w:rPr>
                <w:rFonts w:ascii="Times New Roman" w:hAnsi="Times New Roman" w:eastAsia="Times New Roman" w:cs="Times New Roman"/>
                <w:spacing w:val="-1"/>
                <w:sz w:val="20"/>
                <w:szCs w:val="20"/>
              </w:rPr>
              <w:t>5</w:t>
            </w:r>
          </w:p>
        </w:tc>
      </w:tr>
      <w:tr w14:paraId="07FCD2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944" w:type="dxa"/>
            <w:tcBorders>
              <w:left w:val="nil"/>
            </w:tcBorders>
            <w:vAlign w:val="top"/>
          </w:tcPr>
          <w:p w14:paraId="047DF59D">
            <w:pPr>
              <w:spacing w:before="99" w:line="195" w:lineRule="auto"/>
              <w:ind w:left="428"/>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3005" w:type="dxa"/>
            <w:vAlign w:val="top"/>
          </w:tcPr>
          <w:p w14:paraId="3BB89A44">
            <w:pPr>
              <w:spacing w:before="63" w:line="224" w:lineRule="auto"/>
              <w:ind w:left="1217"/>
              <w:rPr>
                <w:rFonts w:ascii="宋体" w:hAnsi="宋体" w:eastAsia="宋体" w:cs="宋体"/>
                <w:sz w:val="20"/>
                <w:szCs w:val="20"/>
              </w:rPr>
            </w:pPr>
            <w:r>
              <w:rPr>
                <w:rFonts w:ascii="宋体" w:hAnsi="宋体" w:eastAsia="宋体" w:cs="宋体"/>
                <w:spacing w:val="-2"/>
                <w:sz w:val="20"/>
                <w:szCs w:val="20"/>
              </w:rPr>
              <w:t>电</w:t>
            </w:r>
            <w:r>
              <w:rPr>
                <w:rFonts w:ascii="宋体" w:hAnsi="宋体" w:eastAsia="宋体" w:cs="宋体"/>
                <w:spacing w:val="-1"/>
                <w:sz w:val="20"/>
                <w:szCs w:val="20"/>
              </w:rPr>
              <w:t>焊机</w:t>
            </w:r>
          </w:p>
        </w:tc>
        <w:tc>
          <w:tcPr>
            <w:tcW w:w="2284" w:type="dxa"/>
            <w:vAlign w:val="top"/>
          </w:tcPr>
          <w:p w14:paraId="3D549ABA">
            <w:pPr>
              <w:spacing w:before="99" w:line="195" w:lineRule="auto"/>
              <w:ind w:left="103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1 0</w:t>
            </w:r>
          </w:p>
        </w:tc>
        <w:tc>
          <w:tcPr>
            <w:tcW w:w="2289" w:type="dxa"/>
            <w:tcBorders>
              <w:right w:val="nil"/>
            </w:tcBorders>
            <w:vAlign w:val="top"/>
          </w:tcPr>
          <w:p w14:paraId="78635D7C">
            <w:pPr>
              <w:spacing w:before="99" w:line="195" w:lineRule="auto"/>
              <w:ind w:left="104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w:t>
            </w:r>
            <w:r>
              <w:rPr>
                <w:rFonts w:ascii="Times New Roman" w:hAnsi="Times New Roman" w:eastAsia="Times New Roman" w:cs="Times New Roman"/>
                <w:spacing w:val="-1"/>
                <w:sz w:val="20"/>
                <w:szCs w:val="20"/>
              </w:rPr>
              <w:t>5</w:t>
            </w:r>
          </w:p>
        </w:tc>
      </w:tr>
      <w:tr w14:paraId="47E8A2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944" w:type="dxa"/>
            <w:tcBorders>
              <w:left w:val="nil"/>
            </w:tcBorders>
            <w:vAlign w:val="top"/>
          </w:tcPr>
          <w:p w14:paraId="2F6A508A">
            <w:pPr>
              <w:spacing w:before="100" w:line="195" w:lineRule="auto"/>
              <w:ind w:left="42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3005" w:type="dxa"/>
            <w:vAlign w:val="top"/>
          </w:tcPr>
          <w:p w14:paraId="7DCBF59F">
            <w:pPr>
              <w:spacing w:before="64" w:line="223" w:lineRule="auto"/>
              <w:ind w:left="979"/>
              <w:rPr>
                <w:rFonts w:ascii="宋体" w:hAnsi="宋体" w:eastAsia="宋体" w:cs="宋体"/>
                <w:sz w:val="20"/>
                <w:szCs w:val="20"/>
              </w:rPr>
            </w:pPr>
            <w:r>
              <w:rPr>
                <w:rFonts w:ascii="宋体" w:hAnsi="宋体" w:eastAsia="宋体" w:cs="宋体"/>
                <w:spacing w:val="10"/>
                <w:sz w:val="20"/>
                <w:szCs w:val="20"/>
              </w:rPr>
              <w:t>钢</w:t>
            </w:r>
            <w:r>
              <w:rPr>
                <w:rFonts w:ascii="宋体" w:hAnsi="宋体" w:eastAsia="宋体" w:cs="宋体"/>
                <w:spacing w:val="8"/>
                <w:sz w:val="20"/>
                <w:szCs w:val="20"/>
              </w:rPr>
              <w:t>筋切断机</w:t>
            </w:r>
          </w:p>
        </w:tc>
        <w:tc>
          <w:tcPr>
            <w:tcW w:w="2284" w:type="dxa"/>
            <w:vAlign w:val="top"/>
          </w:tcPr>
          <w:p w14:paraId="5BA67190">
            <w:pPr>
              <w:spacing w:before="100" w:line="195" w:lineRule="auto"/>
              <w:ind w:left="101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7</w:t>
            </w:r>
            <w:r>
              <w:rPr>
                <w:rFonts w:ascii="Times New Roman" w:hAnsi="Times New Roman" w:eastAsia="Times New Roman" w:cs="Times New Roman"/>
                <w:spacing w:val="2"/>
                <w:sz w:val="20"/>
                <w:szCs w:val="20"/>
              </w:rPr>
              <w:t xml:space="preserve"> 0</w:t>
            </w:r>
          </w:p>
        </w:tc>
        <w:tc>
          <w:tcPr>
            <w:tcW w:w="2289" w:type="dxa"/>
            <w:tcBorders>
              <w:right w:val="nil"/>
            </w:tcBorders>
            <w:vAlign w:val="top"/>
          </w:tcPr>
          <w:p w14:paraId="2A620E4C">
            <w:pPr>
              <w:spacing w:before="103" w:line="192" w:lineRule="auto"/>
              <w:ind w:left="104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77</w:t>
            </w:r>
          </w:p>
        </w:tc>
      </w:tr>
      <w:tr w14:paraId="589C25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944" w:type="dxa"/>
            <w:tcBorders>
              <w:left w:val="nil"/>
            </w:tcBorders>
            <w:vAlign w:val="top"/>
          </w:tcPr>
          <w:p w14:paraId="1BEED6FE">
            <w:pPr>
              <w:spacing w:before="104" w:line="192" w:lineRule="auto"/>
              <w:ind w:left="430"/>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3005" w:type="dxa"/>
            <w:vAlign w:val="top"/>
          </w:tcPr>
          <w:p w14:paraId="625E2757">
            <w:pPr>
              <w:spacing w:before="65" w:line="223" w:lineRule="auto"/>
              <w:ind w:left="1194"/>
              <w:rPr>
                <w:rFonts w:ascii="宋体" w:hAnsi="宋体" w:eastAsia="宋体" w:cs="宋体"/>
                <w:sz w:val="20"/>
                <w:szCs w:val="20"/>
              </w:rPr>
            </w:pPr>
            <w:r>
              <w:rPr>
                <w:rFonts w:ascii="宋体" w:hAnsi="宋体" w:eastAsia="宋体" w:cs="宋体"/>
                <w:spacing w:val="7"/>
                <w:sz w:val="20"/>
                <w:szCs w:val="20"/>
              </w:rPr>
              <w:t>折</w:t>
            </w:r>
            <w:r>
              <w:rPr>
                <w:rFonts w:ascii="宋体" w:hAnsi="宋体" w:eastAsia="宋体" w:cs="宋体"/>
                <w:spacing w:val="6"/>
                <w:sz w:val="20"/>
                <w:szCs w:val="20"/>
              </w:rPr>
              <w:t>弯机</w:t>
            </w:r>
          </w:p>
        </w:tc>
        <w:tc>
          <w:tcPr>
            <w:tcW w:w="2284" w:type="dxa"/>
            <w:vAlign w:val="top"/>
          </w:tcPr>
          <w:p w14:paraId="24ADC457">
            <w:pPr>
              <w:spacing w:before="101" w:line="195" w:lineRule="auto"/>
              <w:ind w:left="103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1 0</w:t>
            </w:r>
          </w:p>
        </w:tc>
        <w:tc>
          <w:tcPr>
            <w:tcW w:w="2289" w:type="dxa"/>
            <w:tcBorders>
              <w:right w:val="nil"/>
            </w:tcBorders>
            <w:vAlign w:val="top"/>
          </w:tcPr>
          <w:p w14:paraId="0F95D24D">
            <w:pPr>
              <w:spacing w:before="101" w:line="195" w:lineRule="auto"/>
              <w:ind w:left="104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9</w:t>
            </w:r>
            <w:r>
              <w:rPr>
                <w:rFonts w:ascii="Times New Roman" w:hAnsi="Times New Roman" w:eastAsia="Times New Roman" w:cs="Times New Roman"/>
                <w:sz w:val="20"/>
                <w:szCs w:val="20"/>
              </w:rPr>
              <w:t>5</w:t>
            </w:r>
          </w:p>
        </w:tc>
      </w:tr>
      <w:tr w14:paraId="6134FF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944" w:type="dxa"/>
            <w:tcBorders>
              <w:left w:val="nil"/>
            </w:tcBorders>
            <w:vAlign w:val="top"/>
          </w:tcPr>
          <w:p w14:paraId="4356F4ED">
            <w:pPr>
              <w:spacing w:before="101" w:line="195" w:lineRule="auto"/>
              <w:ind w:left="428"/>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3005" w:type="dxa"/>
            <w:vAlign w:val="top"/>
          </w:tcPr>
          <w:p w14:paraId="0D4A9E10">
            <w:pPr>
              <w:spacing w:before="65" w:line="222" w:lineRule="auto"/>
              <w:ind w:left="880"/>
              <w:rPr>
                <w:rFonts w:ascii="宋体" w:hAnsi="宋体" w:eastAsia="宋体" w:cs="宋体"/>
                <w:sz w:val="20"/>
                <w:szCs w:val="20"/>
              </w:rPr>
            </w:pPr>
            <w:r>
              <w:rPr>
                <w:rFonts w:ascii="宋体" w:hAnsi="宋体" w:eastAsia="宋体" w:cs="宋体"/>
                <w:spacing w:val="8"/>
                <w:sz w:val="20"/>
                <w:szCs w:val="20"/>
              </w:rPr>
              <w:t>混凝土搅拌</w:t>
            </w:r>
            <w:r>
              <w:rPr>
                <w:rFonts w:ascii="宋体" w:hAnsi="宋体" w:eastAsia="宋体" w:cs="宋体"/>
                <w:spacing w:val="7"/>
                <w:sz w:val="20"/>
                <w:szCs w:val="20"/>
              </w:rPr>
              <w:t>车</w:t>
            </w:r>
          </w:p>
        </w:tc>
        <w:tc>
          <w:tcPr>
            <w:tcW w:w="2284" w:type="dxa"/>
            <w:vAlign w:val="top"/>
          </w:tcPr>
          <w:p w14:paraId="457A38C2">
            <w:pPr>
              <w:spacing w:before="101" w:line="195" w:lineRule="auto"/>
              <w:ind w:left="101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 xml:space="preserve"> 0</w:t>
            </w:r>
          </w:p>
        </w:tc>
        <w:tc>
          <w:tcPr>
            <w:tcW w:w="2289" w:type="dxa"/>
            <w:tcBorders>
              <w:right w:val="nil"/>
            </w:tcBorders>
            <w:vAlign w:val="top"/>
          </w:tcPr>
          <w:p w14:paraId="5E91C3AC">
            <w:pPr>
              <w:spacing w:before="101" w:line="195" w:lineRule="auto"/>
              <w:ind w:left="104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72</w:t>
            </w:r>
          </w:p>
        </w:tc>
      </w:tr>
      <w:tr w14:paraId="29119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944" w:type="dxa"/>
            <w:tcBorders>
              <w:left w:val="nil"/>
            </w:tcBorders>
            <w:vAlign w:val="top"/>
          </w:tcPr>
          <w:p w14:paraId="6F54951A">
            <w:pPr>
              <w:spacing w:before="105" w:line="192" w:lineRule="auto"/>
              <w:ind w:left="427"/>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3005" w:type="dxa"/>
            <w:vAlign w:val="top"/>
          </w:tcPr>
          <w:p w14:paraId="0F3DE530">
            <w:pPr>
              <w:spacing w:before="66" w:line="221" w:lineRule="auto"/>
              <w:ind w:left="1193"/>
              <w:rPr>
                <w:rFonts w:ascii="宋体" w:hAnsi="宋体" w:eastAsia="宋体" w:cs="宋体"/>
                <w:sz w:val="20"/>
                <w:szCs w:val="20"/>
              </w:rPr>
            </w:pPr>
            <w:r>
              <w:rPr>
                <w:rFonts w:ascii="宋体" w:hAnsi="宋体" w:eastAsia="宋体" w:cs="宋体"/>
                <w:spacing w:val="7"/>
                <w:sz w:val="20"/>
                <w:szCs w:val="20"/>
              </w:rPr>
              <w:t>木</w:t>
            </w:r>
            <w:r>
              <w:rPr>
                <w:rFonts w:ascii="宋体" w:hAnsi="宋体" w:eastAsia="宋体" w:cs="宋体"/>
                <w:spacing w:val="6"/>
                <w:sz w:val="20"/>
                <w:szCs w:val="20"/>
              </w:rPr>
              <w:t>工刨</w:t>
            </w:r>
          </w:p>
        </w:tc>
        <w:tc>
          <w:tcPr>
            <w:tcW w:w="2284" w:type="dxa"/>
            <w:vAlign w:val="top"/>
          </w:tcPr>
          <w:p w14:paraId="7A2BEABA">
            <w:pPr>
              <w:spacing w:before="102" w:line="195" w:lineRule="auto"/>
              <w:ind w:left="103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1 0</w:t>
            </w:r>
          </w:p>
        </w:tc>
        <w:tc>
          <w:tcPr>
            <w:tcW w:w="2289" w:type="dxa"/>
            <w:tcBorders>
              <w:right w:val="nil"/>
            </w:tcBorders>
            <w:vAlign w:val="top"/>
          </w:tcPr>
          <w:p w14:paraId="36696303">
            <w:pPr>
              <w:spacing w:before="102" w:line="195" w:lineRule="auto"/>
              <w:ind w:left="100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100</w:t>
            </w:r>
          </w:p>
        </w:tc>
      </w:tr>
      <w:tr w14:paraId="0B1D50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944" w:type="dxa"/>
            <w:tcBorders>
              <w:left w:val="nil"/>
            </w:tcBorders>
            <w:vAlign w:val="top"/>
          </w:tcPr>
          <w:p w14:paraId="69821D46">
            <w:pPr>
              <w:spacing w:before="103" w:line="195" w:lineRule="auto"/>
              <w:ind w:left="432"/>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3005" w:type="dxa"/>
            <w:vAlign w:val="top"/>
          </w:tcPr>
          <w:p w14:paraId="14F16817">
            <w:pPr>
              <w:spacing w:before="67" w:line="230" w:lineRule="auto"/>
              <w:ind w:left="1322"/>
              <w:rPr>
                <w:rFonts w:ascii="宋体" w:hAnsi="宋体" w:eastAsia="宋体" w:cs="宋体"/>
                <w:sz w:val="20"/>
                <w:szCs w:val="20"/>
              </w:rPr>
            </w:pPr>
            <w:r>
              <w:rPr>
                <w:rFonts w:ascii="宋体" w:hAnsi="宋体" w:eastAsia="宋体" w:cs="宋体"/>
                <w:spacing w:val="-8"/>
                <w:sz w:val="20"/>
                <w:szCs w:val="20"/>
              </w:rPr>
              <w:t>电</w:t>
            </w:r>
            <w:r>
              <w:rPr>
                <w:rFonts w:ascii="宋体" w:hAnsi="宋体" w:eastAsia="宋体" w:cs="宋体"/>
                <w:spacing w:val="-7"/>
                <w:sz w:val="20"/>
                <w:szCs w:val="20"/>
              </w:rPr>
              <w:t>锯</w:t>
            </w:r>
          </w:p>
        </w:tc>
        <w:tc>
          <w:tcPr>
            <w:tcW w:w="2284" w:type="dxa"/>
            <w:vAlign w:val="top"/>
          </w:tcPr>
          <w:p w14:paraId="35A2AD83">
            <w:pPr>
              <w:spacing w:before="103" w:line="198" w:lineRule="auto"/>
              <w:ind w:left="103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w:t>
            </w:r>
          </w:p>
        </w:tc>
        <w:tc>
          <w:tcPr>
            <w:tcW w:w="2289" w:type="dxa"/>
            <w:tcBorders>
              <w:right w:val="nil"/>
            </w:tcBorders>
            <w:vAlign w:val="top"/>
          </w:tcPr>
          <w:p w14:paraId="3C34C407">
            <w:pPr>
              <w:spacing w:before="103" w:line="195" w:lineRule="auto"/>
              <w:ind w:left="100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102</w:t>
            </w:r>
          </w:p>
        </w:tc>
      </w:tr>
    </w:tbl>
    <w:p w14:paraId="0023FB51">
      <w:pPr>
        <w:rPr>
          <w:rFonts w:ascii="Arial"/>
          <w:sz w:val="21"/>
        </w:rPr>
      </w:pPr>
    </w:p>
    <w:p w14:paraId="398CDBBE">
      <w:pPr>
        <w:sectPr>
          <w:headerReference r:id="rId110" w:type="default"/>
          <w:footerReference r:id="rId111" w:type="default"/>
          <w:pgSz w:w="11906" w:h="16839"/>
          <w:pgMar w:top="1132" w:right="1691" w:bottom="1182" w:left="1691" w:header="878" w:footer="1022" w:gutter="0"/>
          <w:cols w:space="720" w:num="1"/>
        </w:sectPr>
      </w:pPr>
    </w:p>
    <w:p w14:paraId="7525AEF6">
      <w:pPr>
        <w:spacing w:line="402" w:lineRule="auto"/>
        <w:rPr>
          <w:rFonts w:ascii="Arial"/>
          <w:sz w:val="21"/>
        </w:rPr>
      </w:pPr>
      <w:r>
        <w:pict>
          <v:shape id="_x0000_s1152" o:spid="_x0000_s1152" style="position:absolute;left:0pt;margin-left:90pt;margin-top:57.35pt;height:0.75pt;width:415.3pt;mso-position-horizontal-relative:page;mso-position-vertical-relative:page;z-index:251799552;mso-width-relative:page;mso-height-relative:page;" fillcolor="#000000" filled="t" stroked="f" coordsize="8305,15" o:allowincell="f" path="m0,0l8305,0,8305,14,0,14,0,0xe">
            <v:path/>
            <v:fill on="t" focussize="0,0"/>
            <v:stroke on="f"/>
            <v:imagedata o:title=""/>
            <o:lock v:ext="edit"/>
          </v:shape>
        </w:pict>
      </w:r>
    </w:p>
    <w:p w14:paraId="3819513E">
      <w:pPr>
        <w:spacing w:before="74" w:line="227" w:lineRule="auto"/>
        <w:ind w:left="538"/>
        <w:rPr>
          <w:rFonts w:ascii="宋体" w:hAnsi="宋体" w:eastAsia="宋体" w:cs="宋体"/>
          <w:sz w:val="23"/>
          <w:szCs w:val="23"/>
        </w:rPr>
      </w:pPr>
      <w:r>
        <w:rPr>
          <w:rFonts w:ascii="宋体" w:hAnsi="宋体" w:eastAsia="宋体" w:cs="宋体"/>
          <w:spacing w:val="26"/>
          <w:sz w:val="23"/>
          <w:szCs w:val="23"/>
        </w:rPr>
        <w:t>(</w:t>
      </w:r>
      <w:r>
        <w:rPr>
          <w:rFonts w:ascii="Times New Roman" w:hAnsi="Times New Roman" w:eastAsia="Times New Roman" w:cs="Times New Roman"/>
          <w:spacing w:val="26"/>
          <w:sz w:val="23"/>
          <w:szCs w:val="23"/>
        </w:rPr>
        <w:t>4</w:t>
      </w:r>
      <w:r>
        <w:rPr>
          <w:rFonts w:ascii="宋体" w:hAnsi="宋体" w:eastAsia="宋体" w:cs="宋体"/>
          <w:spacing w:val="26"/>
          <w:sz w:val="23"/>
          <w:szCs w:val="23"/>
        </w:rPr>
        <w:t>) 固体废物产生分</w:t>
      </w:r>
      <w:r>
        <w:rPr>
          <w:rFonts w:ascii="宋体" w:hAnsi="宋体" w:eastAsia="宋体" w:cs="宋体"/>
          <w:spacing w:val="25"/>
          <w:sz w:val="23"/>
          <w:szCs w:val="23"/>
        </w:rPr>
        <w:t>析</w:t>
      </w:r>
    </w:p>
    <w:p w14:paraId="74A5DA48">
      <w:pPr>
        <w:spacing w:line="264" w:lineRule="auto"/>
        <w:rPr>
          <w:rFonts w:ascii="Arial"/>
          <w:sz w:val="21"/>
        </w:rPr>
      </w:pPr>
    </w:p>
    <w:p w14:paraId="1BBB3C20">
      <w:pPr>
        <w:spacing w:before="75" w:line="225" w:lineRule="auto"/>
        <w:ind w:left="526"/>
        <w:rPr>
          <w:rFonts w:ascii="宋体" w:hAnsi="宋体" w:eastAsia="宋体" w:cs="宋体"/>
          <w:sz w:val="23"/>
          <w:szCs w:val="23"/>
        </w:rPr>
      </w:pPr>
      <w:r>
        <w:rPr>
          <w:rFonts w:ascii="宋体" w:hAnsi="宋体" w:eastAsia="宋体" w:cs="宋体"/>
          <w:spacing w:val="21"/>
          <w:sz w:val="23"/>
          <w:szCs w:val="23"/>
        </w:rPr>
        <w:t>①</w:t>
      </w:r>
      <w:r>
        <w:rPr>
          <w:rFonts w:ascii="宋体" w:hAnsi="宋体" w:eastAsia="宋体" w:cs="宋体"/>
          <w:spacing w:val="19"/>
          <w:sz w:val="23"/>
          <w:szCs w:val="23"/>
        </w:rPr>
        <w:t>施工人员的生活垃圾</w:t>
      </w:r>
    </w:p>
    <w:p w14:paraId="718A7AFE">
      <w:pPr>
        <w:spacing w:before="302" w:line="389" w:lineRule="auto"/>
        <w:ind w:left="22" w:right="25" w:firstLine="503"/>
        <w:rPr>
          <w:rFonts w:ascii="宋体" w:hAnsi="宋体" w:eastAsia="宋体" w:cs="宋体"/>
          <w:sz w:val="23"/>
          <w:szCs w:val="23"/>
        </w:rPr>
      </w:pPr>
      <w:r>
        <w:rPr>
          <w:rFonts w:ascii="宋体" w:hAnsi="宋体" w:eastAsia="宋体" w:cs="宋体"/>
          <w:spacing w:val="16"/>
          <w:sz w:val="23"/>
          <w:szCs w:val="23"/>
        </w:rPr>
        <w:t>施工</w:t>
      </w:r>
      <w:r>
        <w:rPr>
          <w:rFonts w:ascii="宋体" w:hAnsi="宋体" w:eastAsia="宋体" w:cs="宋体"/>
          <w:spacing w:val="11"/>
          <w:sz w:val="23"/>
          <w:szCs w:val="23"/>
        </w:rPr>
        <w:t>人</w:t>
      </w:r>
      <w:r>
        <w:rPr>
          <w:rFonts w:ascii="宋体" w:hAnsi="宋体" w:eastAsia="宋体" w:cs="宋体"/>
          <w:spacing w:val="8"/>
          <w:sz w:val="23"/>
          <w:szCs w:val="23"/>
        </w:rPr>
        <w:t xml:space="preserve">员生活垃圾产生量按每人每日 </w:t>
      </w:r>
      <w:r>
        <w:rPr>
          <w:rFonts w:ascii="Times New Roman" w:hAnsi="Times New Roman" w:eastAsia="Times New Roman" w:cs="Times New Roman"/>
          <w:spacing w:val="8"/>
          <w:sz w:val="23"/>
          <w:szCs w:val="23"/>
        </w:rPr>
        <w:t>0.7</w:t>
      </w:r>
      <w:r>
        <w:rPr>
          <w:rFonts w:ascii="Times New Roman" w:hAnsi="Times New Roman" w:eastAsia="Times New Roman" w:cs="Times New Roman"/>
          <w:sz w:val="23"/>
          <w:szCs w:val="23"/>
        </w:rPr>
        <w:t>kg</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 xml:space="preserve">计，施工人员平均按 </w:t>
      </w:r>
      <w:r>
        <w:rPr>
          <w:rFonts w:ascii="Times New Roman" w:hAnsi="Times New Roman" w:eastAsia="Times New Roman" w:cs="Times New Roman"/>
          <w:spacing w:val="8"/>
          <w:sz w:val="23"/>
          <w:szCs w:val="23"/>
        </w:rPr>
        <w:t xml:space="preserve">30 </w:t>
      </w:r>
      <w:r>
        <w:rPr>
          <w:rFonts w:ascii="宋体" w:hAnsi="宋体" w:eastAsia="宋体" w:cs="宋体"/>
          <w:spacing w:val="8"/>
          <w:sz w:val="23"/>
          <w:szCs w:val="23"/>
        </w:rPr>
        <w:t>人计，</w:t>
      </w:r>
      <w:r>
        <w:rPr>
          <w:rFonts w:ascii="宋体" w:hAnsi="宋体" w:eastAsia="宋体" w:cs="宋体"/>
          <w:sz w:val="23"/>
          <w:szCs w:val="23"/>
        </w:rPr>
        <w:t xml:space="preserve"> </w:t>
      </w:r>
      <w:r>
        <w:rPr>
          <w:rFonts w:ascii="宋体" w:hAnsi="宋体" w:eastAsia="宋体" w:cs="宋体"/>
          <w:spacing w:val="16"/>
          <w:sz w:val="23"/>
          <w:szCs w:val="23"/>
        </w:rPr>
        <w:t xml:space="preserve">共产生生活垃圾 </w:t>
      </w:r>
      <w:r>
        <w:rPr>
          <w:rFonts w:ascii="Times New Roman" w:hAnsi="Times New Roman" w:eastAsia="Times New Roman" w:cs="Times New Roman"/>
          <w:spacing w:val="16"/>
          <w:sz w:val="23"/>
          <w:szCs w:val="23"/>
        </w:rPr>
        <w:t>21</w:t>
      </w:r>
      <w:r>
        <w:rPr>
          <w:rFonts w:ascii="Times New Roman" w:hAnsi="Times New Roman" w:eastAsia="Times New Roman" w:cs="Times New Roman"/>
          <w:sz w:val="23"/>
          <w:szCs w:val="23"/>
        </w:rPr>
        <w:t>kg</w:t>
      </w:r>
      <w:r>
        <w:rPr>
          <w:rFonts w:ascii="Times New Roman" w:hAnsi="Times New Roman" w:eastAsia="Times New Roman" w:cs="Times New Roman"/>
          <w:spacing w:val="16"/>
          <w:sz w:val="23"/>
          <w:szCs w:val="23"/>
        </w:rPr>
        <w:t>/</w:t>
      </w:r>
      <w:r>
        <w:rPr>
          <w:rFonts w:ascii="Times New Roman" w:hAnsi="Times New Roman" w:eastAsia="Times New Roman" w:cs="Times New Roman"/>
          <w:sz w:val="23"/>
          <w:szCs w:val="23"/>
        </w:rPr>
        <w:t>d</w:t>
      </w:r>
      <w:r>
        <w:rPr>
          <w:rFonts w:ascii="Times New Roman" w:hAnsi="Times New Roman" w:eastAsia="Times New Roman" w:cs="Times New Roman"/>
          <w:spacing w:val="16"/>
          <w:sz w:val="23"/>
          <w:szCs w:val="23"/>
        </w:rPr>
        <w:t xml:space="preserve"> </w:t>
      </w:r>
      <w:r>
        <w:rPr>
          <w:rFonts w:ascii="宋体" w:hAnsi="宋体" w:eastAsia="宋体" w:cs="宋体"/>
          <w:spacing w:val="16"/>
          <w:sz w:val="23"/>
          <w:szCs w:val="23"/>
        </w:rPr>
        <w:t>，集中收集，定期由市政环卫部门统一处理</w:t>
      </w:r>
      <w:r>
        <w:rPr>
          <w:rFonts w:ascii="宋体" w:hAnsi="宋体" w:eastAsia="宋体" w:cs="宋体"/>
          <w:spacing w:val="9"/>
          <w:sz w:val="23"/>
          <w:szCs w:val="23"/>
        </w:rPr>
        <w:t>。</w:t>
      </w:r>
    </w:p>
    <w:p w14:paraId="45489E1B">
      <w:pPr>
        <w:spacing w:before="170" w:line="225" w:lineRule="auto"/>
        <w:ind w:left="525"/>
        <w:rPr>
          <w:rFonts w:ascii="宋体" w:hAnsi="宋体" w:eastAsia="宋体" w:cs="宋体"/>
          <w:sz w:val="23"/>
          <w:szCs w:val="23"/>
        </w:rPr>
      </w:pPr>
      <w:r>
        <w:rPr>
          <w:rFonts w:ascii="宋体" w:hAnsi="宋体" w:eastAsia="宋体" w:cs="宋体"/>
          <w:spacing w:val="19"/>
          <w:sz w:val="23"/>
          <w:szCs w:val="23"/>
        </w:rPr>
        <w:t>②</w:t>
      </w:r>
      <w:r>
        <w:rPr>
          <w:rFonts w:ascii="宋体" w:hAnsi="宋体" w:eastAsia="宋体" w:cs="宋体"/>
          <w:spacing w:val="16"/>
          <w:sz w:val="23"/>
          <w:szCs w:val="23"/>
        </w:rPr>
        <w:t>建筑垃圾</w:t>
      </w:r>
    </w:p>
    <w:p w14:paraId="1A66DC69">
      <w:pPr>
        <w:spacing w:line="269" w:lineRule="auto"/>
        <w:rPr>
          <w:rFonts w:ascii="Arial"/>
          <w:sz w:val="21"/>
        </w:rPr>
      </w:pPr>
    </w:p>
    <w:p w14:paraId="6E791573">
      <w:pPr>
        <w:spacing w:before="76" w:line="376" w:lineRule="auto"/>
        <w:ind w:left="24" w:right="80" w:firstLine="478"/>
        <w:rPr>
          <w:rFonts w:ascii="宋体" w:hAnsi="宋体" w:eastAsia="宋体" w:cs="宋体"/>
          <w:sz w:val="23"/>
          <w:szCs w:val="23"/>
        </w:rPr>
      </w:pPr>
      <w:r>
        <w:rPr>
          <w:rFonts w:ascii="宋体" w:hAnsi="宋体" w:eastAsia="宋体" w:cs="宋体"/>
          <w:spacing w:val="7"/>
          <w:sz w:val="23"/>
          <w:szCs w:val="23"/>
        </w:rPr>
        <w:t>施工期平整厂地、工程建设产生弃土、弃石等建筑垃圾，建筑垃圾的产生</w:t>
      </w:r>
      <w:r>
        <w:rPr>
          <w:rFonts w:ascii="宋体" w:hAnsi="宋体" w:eastAsia="宋体" w:cs="宋体"/>
          <w:spacing w:val="3"/>
          <w:sz w:val="23"/>
          <w:szCs w:val="23"/>
        </w:rPr>
        <w:t>量</w:t>
      </w:r>
      <w:r>
        <w:rPr>
          <w:rFonts w:ascii="宋体" w:hAnsi="宋体" w:eastAsia="宋体" w:cs="宋体"/>
          <w:sz w:val="23"/>
          <w:szCs w:val="23"/>
        </w:rPr>
        <w:t xml:space="preserve"> </w:t>
      </w:r>
      <w:r>
        <w:rPr>
          <w:rFonts w:ascii="宋体" w:hAnsi="宋体" w:eastAsia="宋体" w:cs="宋体"/>
          <w:spacing w:val="8"/>
          <w:sz w:val="23"/>
          <w:szCs w:val="23"/>
        </w:rPr>
        <w:t>与</w:t>
      </w:r>
      <w:r>
        <w:rPr>
          <w:rFonts w:ascii="宋体" w:hAnsi="宋体" w:eastAsia="宋体" w:cs="宋体"/>
          <w:spacing w:val="7"/>
          <w:sz w:val="23"/>
          <w:szCs w:val="23"/>
        </w:rPr>
        <w:t>施工水平、管理水平、建筑类型有直接的联系，根据同类工程调查，每平方米</w:t>
      </w:r>
      <w:r>
        <w:rPr>
          <w:rFonts w:ascii="宋体" w:hAnsi="宋体" w:eastAsia="宋体" w:cs="宋体"/>
          <w:sz w:val="23"/>
          <w:szCs w:val="23"/>
        </w:rPr>
        <w:t xml:space="preserve"> </w:t>
      </w:r>
      <w:r>
        <w:rPr>
          <w:rFonts w:ascii="宋体" w:hAnsi="宋体" w:eastAsia="宋体" w:cs="宋体"/>
          <w:spacing w:val="40"/>
          <w:sz w:val="23"/>
          <w:szCs w:val="23"/>
        </w:rPr>
        <w:t>建</w:t>
      </w:r>
      <w:r>
        <w:rPr>
          <w:rFonts w:ascii="宋体" w:hAnsi="宋体" w:eastAsia="宋体" w:cs="宋体"/>
          <w:spacing w:val="21"/>
          <w:sz w:val="23"/>
          <w:szCs w:val="23"/>
        </w:rPr>
        <w:t>筑</w:t>
      </w:r>
      <w:r>
        <w:rPr>
          <w:rFonts w:ascii="宋体" w:hAnsi="宋体" w:eastAsia="宋体" w:cs="宋体"/>
          <w:spacing w:val="20"/>
          <w:sz w:val="23"/>
          <w:szCs w:val="23"/>
        </w:rPr>
        <w:t xml:space="preserve">面积将产生 </w:t>
      </w:r>
      <w:r>
        <w:rPr>
          <w:rFonts w:ascii="Times New Roman" w:hAnsi="Times New Roman" w:eastAsia="Times New Roman" w:cs="Times New Roman"/>
          <w:spacing w:val="20"/>
          <w:sz w:val="23"/>
          <w:szCs w:val="23"/>
        </w:rPr>
        <w:t>0.5</w:t>
      </w:r>
      <w:r>
        <w:rPr>
          <w:rFonts w:ascii="宋体" w:hAnsi="宋体" w:eastAsia="宋体" w:cs="宋体"/>
          <w:spacing w:val="20"/>
          <w:sz w:val="23"/>
          <w:szCs w:val="23"/>
        </w:rPr>
        <w:t>~</w:t>
      </w:r>
      <w:r>
        <w:rPr>
          <w:rFonts w:ascii="Times New Roman" w:hAnsi="Times New Roman" w:eastAsia="Times New Roman" w:cs="Times New Roman"/>
          <w:spacing w:val="20"/>
          <w:sz w:val="23"/>
          <w:szCs w:val="23"/>
        </w:rPr>
        <w:t>1.0</w:t>
      </w:r>
      <w:r>
        <w:rPr>
          <w:rFonts w:ascii="Times New Roman" w:hAnsi="Times New Roman" w:eastAsia="Times New Roman" w:cs="Times New Roman"/>
          <w:sz w:val="23"/>
          <w:szCs w:val="23"/>
        </w:rPr>
        <w:t>kg</w:t>
      </w:r>
      <w:r>
        <w:rPr>
          <w:rFonts w:ascii="Times New Roman" w:hAnsi="Times New Roman" w:eastAsia="Times New Roman" w:cs="Times New Roman"/>
          <w:spacing w:val="20"/>
          <w:sz w:val="23"/>
          <w:szCs w:val="23"/>
        </w:rPr>
        <w:t xml:space="preserve"> </w:t>
      </w:r>
      <w:r>
        <w:rPr>
          <w:rFonts w:ascii="宋体" w:hAnsi="宋体" w:eastAsia="宋体" w:cs="宋体"/>
          <w:spacing w:val="20"/>
          <w:sz w:val="23"/>
          <w:szCs w:val="23"/>
        </w:rPr>
        <w:t>的建筑垃圾，本次评价取每平方米建筑面积产生</w:t>
      </w:r>
      <w:r>
        <w:rPr>
          <w:rFonts w:ascii="宋体" w:hAnsi="宋体" w:eastAsia="宋体" w:cs="宋体"/>
          <w:sz w:val="23"/>
          <w:szCs w:val="23"/>
        </w:rPr>
        <w:t xml:space="preserve"> </w:t>
      </w:r>
      <w:r>
        <w:rPr>
          <w:rFonts w:ascii="Times New Roman" w:hAnsi="Times New Roman" w:eastAsia="Times New Roman" w:cs="Times New Roman"/>
          <w:spacing w:val="8"/>
          <w:sz w:val="23"/>
          <w:szCs w:val="23"/>
        </w:rPr>
        <w:t>1.0</w:t>
      </w:r>
      <w:r>
        <w:rPr>
          <w:rFonts w:ascii="Times New Roman" w:hAnsi="Times New Roman" w:eastAsia="Times New Roman" w:cs="Times New Roman"/>
          <w:sz w:val="23"/>
          <w:szCs w:val="23"/>
        </w:rPr>
        <w:t>kg</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建</w:t>
      </w:r>
      <w:r>
        <w:rPr>
          <w:rFonts w:ascii="宋体" w:hAnsi="宋体" w:eastAsia="宋体" w:cs="宋体"/>
          <w:spacing w:val="6"/>
          <w:sz w:val="23"/>
          <w:szCs w:val="23"/>
        </w:rPr>
        <w:t>筑</w:t>
      </w:r>
      <w:r>
        <w:rPr>
          <w:rFonts w:ascii="宋体" w:hAnsi="宋体" w:eastAsia="宋体" w:cs="宋体"/>
          <w:spacing w:val="4"/>
          <w:sz w:val="23"/>
          <w:szCs w:val="23"/>
        </w:rPr>
        <w:t xml:space="preserve">垃圾。项目施工期建筑垃圾产生总量约为 </w:t>
      </w:r>
      <w:r>
        <w:rPr>
          <w:rFonts w:ascii="Times New Roman" w:hAnsi="Times New Roman" w:eastAsia="Times New Roman" w:cs="Times New Roman"/>
          <w:spacing w:val="4"/>
          <w:sz w:val="23"/>
          <w:szCs w:val="23"/>
        </w:rPr>
        <w:t>2.71</w:t>
      </w:r>
      <w:r>
        <w:rPr>
          <w:rFonts w:ascii="Times New Roman" w:hAnsi="Times New Roman" w:eastAsia="Times New Roman" w:cs="Times New Roman"/>
          <w:sz w:val="23"/>
          <w:szCs w:val="23"/>
        </w:rPr>
        <w:t>t</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。建筑垃圾、施工建设</w:t>
      </w:r>
      <w:r>
        <w:rPr>
          <w:rFonts w:ascii="宋体" w:hAnsi="宋体" w:eastAsia="宋体" w:cs="宋体"/>
          <w:sz w:val="23"/>
          <w:szCs w:val="23"/>
        </w:rPr>
        <w:t xml:space="preserve"> </w:t>
      </w:r>
      <w:r>
        <w:rPr>
          <w:rFonts w:ascii="宋体" w:hAnsi="宋体" w:eastAsia="宋体" w:cs="宋体"/>
          <w:spacing w:val="8"/>
          <w:sz w:val="23"/>
          <w:szCs w:val="23"/>
        </w:rPr>
        <w:t>过</w:t>
      </w:r>
      <w:r>
        <w:rPr>
          <w:rFonts w:ascii="宋体" w:hAnsi="宋体" w:eastAsia="宋体" w:cs="宋体"/>
          <w:spacing w:val="7"/>
          <w:sz w:val="23"/>
          <w:szCs w:val="23"/>
        </w:rPr>
        <w:t>程中产生的废弃装饰建筑材料，集中收集，尽量回用，不能回用的送至建筑垃</w:t>
      </w:r>
      <w:r>
        <w:rPr>
          <w:rFonts w:ascii="宋体" w:hAnsi="宋体" w:eastAsia="宋体" w:cs="宋体"/>
          <w:sz w:val="23"/>
          <w:szCs w:val="23"/>
        </w:rPr>
        <w:t xml:space="preserve"> </w:t>
      </w:r>
      <w:r>
        <w:rPr>
          <w:rFonts w:ascii="宋体" w:hAnsi="宋体" w:eastAsia="宋体" w:cs="宋体"/>
          <w:spacing w:val="16"/>
          <w:sz w:val="23"/>
          <w:szCs w:val="23"/>
        </w:rPr>
        <w:t>圾</w:t>
      </w:r>
      <w:r>
        <w:rPr>
          <w:rFonts w:ascii="宋体" w:hAnsi="宋体" w:eastAsia="宋体" w:cs="宋体"/>
          <w:spacing w:val="9"/>
          <w:sz w:val="23"/>
          <w:szCs w:val="23"/>
        </w:rPr>
        <w:t>填埋场。施工期产生少量弃土，场地平整过程中可全部回用。</w:t>
      </w:r>
    </w:p>
    <w:p w14:paraId="53F20D48">
      <w:pPr>
        <w:spacing w:before="114" w:line="226" w:lineRule="auto"/>
        <w:ind w:left="18"/>
        <w:outlineLvl w:val="2"/>
        <w:rPr>
          <w:rFonts w:ascii="宋体" w:hAnsi="宋体" w:eastAsia="宋体" w:cs="宋体"/>
          <w:sz w:val="29"/>
          <w:szCs w:val="29"/>
        </w:rPr>
      </w:pPr>
      <w:r>
        <w:rPr>
          <w:rFonts w:ascii="Times New Roman" w:hAnsi="Times New Roman" w:eastAsia="Times New Roman" w:cs="Times New Roman"/>
          <w:b/>
          <w:bCs/>
          <w:spacing w:val="7"/>
          <w:sz w:val="29"/>
          <w:szCs w:val="29"/>
        </w:rPr>
        <w:t>3.2.2</w:t>
      </w:r>
      <w:r>
        <w:rPr>
          <w:rFonts w:ascii="Times New Roman" w:hAnsi="Times New Roman" w:eastAsia="Times New Roman" w:cs="Times New Roman"/>
          <w:spacing w:val="7"/>
          <w:sz w:val="29"/>
          <w:szCs w:val="29"/>
        </w:rPr>
        <w:t xml:space="preserve">  </w:t>
      </w:r>
      <w:r>
        <w:rPr>
          <w:rFonts w:ascii="宋体" w:hAnsi="宋体" w:eastAsia="宋体" w:cs="宋体"/>
          <w:spacing w:val="7"/>
          <w:sz w:val="29"/>
          <w:szCs w:val="29"/>
          <w14:textOutline w14:w="5448" w14:cap="sq" w14:cmpd="sng">
            <w14:solidFill>
              <w14:srgbClr w14:val="000000"/>
            </w14:solidFill>
            <w14:prstDash w14:val="solid"/>
            <w14:bevel/>
          </w14:textOutline>
        </w:rPr>
        <w:t>运营期工程分</w:t>
      </w:r>
      <w:r>
        <w:rPr>
          <w:rFonts w:ascii="宋体" w:hAnsi="宋体" w:eastAsia="宋体" w:cs="宋体"/>
          <w:spacing w:val="5"/>
          <w:sz w:val="29"/>
          <w:szCs w:val="29"/>
          <w14:textOutline w14:w="5448" w14:cap="sq" w14:cmpd="sng">
            <w14:solidFill>
              <w14:srgbClr w14:val="000000"/>
            </w14:solidFill>
            <w14:prstDash w14:val="solid"/>
            <w14:bevel/>
          </w14:textOutline>
        </w:rPr>
        <w:t>析</w:t>
      </w:r>
    </w:p>
    <w:p w14:paraId="2352020F">
      <w:pPr>
        <w:spacing w:before="287" w:line="221" w:lineRule="auto"/>
        <w:ind w:left="18"/>
        <w:outlineLvl w:val="3"/>
        <w:rPr>
          <w:rFonts w:ascii="宋体" w:hAnsi="宋体" w:eastAsia="宋体" w:cs="宋体"/>
          <w:sz w:val="28"/>
          <w:szCs w:val="28"/>
        </w:rPr>
      </w:pPr>
      <w:r>
        <w:rPr>
          <w:rFonts w:ascii="Times New Roman" w:hAnsi="Times New Roman" w:eastAsia="Times New Roman" w:cs="Times New Roman"/>
          <w:b/>
          <w:bCs/>
          <w:spacing w:val="7"/>
          <w:sz w:val="28"/>
          <w:szCs w:val="28"/>
        </w:rPr>
        <w:t>3.2.2.1</w:t>
      </w:r>
      <w:r>
        <w:rPr>
          <w:rFonts w:ascii="Times New Roman" w:hAnsi="Times New Roman" w:eastAsia="Times New Roman" w:cs="Times New Roman"/>
          <w:spacing w:val="7"/>
          <w:sz w:val="28"/>
          <w:szCs w:val="28"/>
        </w:rPr>
        <w:t xml:space="preserve">  </w:t>
      </w:r>
      <w:r>
        <w:rPr>
          <w:rFonts w:ascii="宋体" w:hAnsi="宋体" w:eastAsia="宋体" w:cs="宋体"/>
          <w:spacing w:val="7"/>
          <w:sz w:val="28"/>
          <w:szCs w:val="28"/>
          <w14:textOutline w14:w="5103" w14:cap="sq" w14:cmpd="sng">
            <w14:solidFill>
              <w14:srgbClr w14:val="000000"/>
            </w14:solidFill>
            <w14:prstDash w14:val="solid"/>
            <w14:bevel/>
          </w14:textOutline>
        </w:rPr>
        <w:t>工艺流</w:t>
      </w:r>
      <w:r>
        <w:rPr>
          <w:rFonts w:ascii="宋体" w:hAnsi="宋体" w:eastAsia="宋体" w:cs="宋体"/>
          <w:spacing w:val="5"/>
          <w:sz w:val="28"/>
          <w:szCs w:val="28"/>
          <w14:textOutline w14:w="5103" w14:cap="sq" w14:cmpd="sng">
            <w14:solidFill>
              <w14:srgbClr w14:val="000000"/>
            </w14:solidFill>
            <w14:prstDash w14:val="solid"/>
            <w14:bevel/>
          </w14:textOutline>
        </w:rPr>
        <w:t>程</w:t>
      </w:r>
    </w:p>
    <w:p w14:paraId="559E92C0">
      <w:pPr>
        <w:spacing w:line="247" w:lineRule="auto"/>
        <w:rPr>
          <w:rFonts w:ascii="Arial"/>
          <w:sz w:val="21"/>
        </w:rPr>
      </w:pPr>
    </w:p>
    <w:p w14:paraId="17396691">
      <w:pPr>
        <w:spacing w:before="75" w:line="386" w:lineRule="auto"/>
        <w:ind w:left="22" w:firstLine="484"/>
        <w:rPr>
          <w:rFonts w:ascii="宋体" w:hAnsi="宋体" w:eastAsia="宋体" w:cs="宋体"/>
          <w:sz w:val="23"/>
          <w:szCs w:val="23"/>
        </w:rPr>
      </w:pPr>
      <w:r>
        <w:rPr>
          <w:rFonts w:ascii="宋体" w:hAnsi="宋体" w:eastAsia="宋体" w:cs="宋体"/>
          <w:spacing w:val="15"/>
          <w:sz w:val="23"/>
          <w:szCs w:val="23"/>
        </w:rPr>
        <w:t>该</w:t>
      </w:r>
      <w:r>
        <w:rPr>
          <w:rFonts w:ascii="宋体" w:hAnsi="宋体" w:eastAsia="宋体" w:cs="宋体"/>
          <w:spacing w:val="9"/>
          <w:sz w:val="23"/>
          <w:szCs w:val="23"/>
        </w:rPr>
        <w:t>项目以外购的合金铁、铝锭及砂子的废包装袋为原料，通过分选、清洗、</w:t>
      </w:r>
      <w:r>
        <w:rPr>
          <w:rFonts w:ascii="宋体" w:hAnsi="宋体" w:eastAsia="宋体" w:cs="宋体"/>
          <w:sz w:val="23"/>
          <w:szCs w:val="23"/>
        </w:rPr>
        <w:t xml:space="preserve"> </w:t>
      </w:r>
      <w:r>
        <w:rPr>
          <w:rFonts w:ascii="宋体" w:hAnsi="宋体" w:eastAsia="宋体" w:cs="宋体"/>
          <w:spacing w:val="18"/>
          <w:sz w:val="23"/>
          <w:szCs w:val="23"/>
        </w:rPr>
        <w:t>粉</w:t>
      </w:r>
      <w:r>
        <w:rPr>
          <w:rFonts w:ascii="宋体" w:hAnsi="宋体" w:eastAsia="宋体" w:cs="宋体"/>
          <w:spacing w:val="9"/>
          <w:sz w:val="23"/>
          <w:szCs w:val="23"/>
        </w:rPr>
        <w:t>碎、造粒等工序生产再生塑料颗粒，具体生产工艺流程如下：</w:t>
      </w:r>
    </w:p>
    <w:p w14:paraId="41CB1EF0">
      <w:pPr>
        <w:spacing w:before="136" w:line="303" w:lineRule="exact"/>
        <w:ind w:left="522"/>
        <w:rPr>
          <w:rFonts w:ascii="宋体" w:hAnsi="宋体" w:eastAsia="宋体" w:cs="宋体"/>
          <w:sz w:val="23"/>
          <w:szCs w:val="23"/>
        </w:rPr>
      </w:pPr>
      <w:r>
        <w:rPr>
          <w:rFonts w:ascii="Times New Roman" w:hAnsi="Times New Roman" w:eastAsia="Times New Roman" w:cs="Times New Roman"/>
          <w:spacing w:val="-11"/>
          <w:position w:val="1"/>
          <w:sz w:val="23"/>
          <w:szCs w:val="23"/>
        </w:rPr>
        <w:t>1</w:t>
      </w:r>
      <w:r>
        <w:rPr>
          <w:rFonts w:ascii="Times New Roman" w:hAnsi="Times New Roman" w:eastAsia="Times New Roman" w:cs="Times New Roman"/>
          <w:spacing w:val="-10"/>
          <w:position w:val="1"/>
          <w:sz w:val="23"/>
          <w:szCs w:val="23"/>
        </w:rPr>
        <w:t xml:space="preserve"> </w:t>
      </w:r>
      <w:r>
        <w:rPr>
          <w:rFonts w:ascii="宋体" w:hAnsi="宋体" w:eastAsia="宋体" w:cs="宋体"/>
          <w:spacing w:val="-10"/>
          <w:position w:val="1"/>
          <w:sz w:val="23"/>
          <w:szCs w:val="23"/>
        </w:rPr>
        <w:t>、分拣</w:t>
      </w:r>
    </w:p>
    <w:p w14:paraId="19A94F93">
      <w:pPr>
        <w:spacing w:line="250" w:lineRule="auto"/>
        <w:rPr>
          <w:rFonts w:ascii="Arial"/>
          <w:sz w:val="21"/>
        </w:rPr>
      </w:pPr>
    </w:p>
    <w:p w14:paraId="191AA351">
      <w:pPr>
        <w:spacing w:before="75" w:line="379" w:lineRule="auto"/>
        <w:ind w:left="21" w:right="80" w:firstLine="485"/>
        <w:rPr>
          <w:rFonts w:ascii="宋体" w:hAnsi="宋体" w:eastAsia="宋体" w:cs="宋体"/>
          <w:sz w:val="23"/>
          <w:szCs w:val="23"/>
        </w:rPr>
      </w:pPr>
      <w:r>
        <w:rPr>
          <w:rFonts w:ascii="宋体" w:hAnsi="宋体" w:eastAsia="宋体" w:cs="宋体"/>
          <w:spacing w:val="12"/>
          <w:sz w:val="23"/>
          <w:szCs w:val="23"/>
        </w:rPr>
        <w:t>项目的使</w:t>
      </w:r>
      <w:r>
        <w:rPr>
          <w:rFonts w:ascii="宋体" w:hAnsi="宋体" w:eastAsia="宋体" w:cs="宋体"/>
          <w:spacing w:val="7"/>
          <w:sz w:val="23"/>
          <w:szCs w:val="23"/>
        </w:rPr>
        <w:t>用</w:t>
      </w:r>
      <w:r>
        <w:rPr>
          <w:rFonts w:ascii="宋体" w:hAnsi="宋体" w:eastAsia="宋体" w:cs="宋体"/>
          <w:spacing w:val="6"/>
          <w:sz w:val="23"/>
          <w:szCs w:val="23"/>
        </w:rPr>
        <w:t>原料为废旧塑料编织袋，均外购于本溪宏远集团北台再生资源有</w:t>
      </w:r>
      <w:r>
        <w:rPr>
          <w:rFonts w:ascii="宋体" w:hAnsi="宋体" w:eastAsia="宋体" w:cs="宋体"/>
          <w:sz w:val="23"/>
          <w:szCs w:val="23"/>
        </w:rPr>
        <w:t xml:space="preserve"> </w:t>
      </w:r>
      <w:r>
        <w:rPr>
          <w:rFonts w:ascii="宋体" w:hAnsi="宋体" w:eastAsia="宋体" w:cs="宋体"/>
          <w:spacing w:val="10"/>
          <w:sz w:val="23"/>
          <w:szCs w:val="23"/>
        </w:rPr>
        <w:t>限</w:t>
      </w:r>
      <w:r>
        <w:rPr>
          <w:rFonts w:ascii="宋体" w:hAnsi="宋体" w:eastAsia="宋体" w:cs="宋体"/>
          <w:spacing w:val="7"/>
          <w:sz w:val="23"/>
          <w:szCs w:val="23"/>
        </w:rPr>
        <w:t>责任公司及平山区利安建材城，为本溪宏远集团北台再生资源有限责任公司收</w:t>
      </w:r>
      <w:r>
        <w:rPr>
          <w:rFonts w:ascii="宋体" w:hAnsi="宋体" w:eastAsia="宋体" w:cs="宋体"/>
          <w:sz w:val="23"/>
          <w:szCs w:val="23"/>
        </w:rPr>
        <w:t xml:space="preserve"> </w:t>
      </w:r>
      <w:r>
        <w:rPr>
          <w:rFonts w:ascii="宋体" w:hAnsi="宋体" w:eastAsia="宋体" w:cs="宋体"/>
          <w:spacing w:val="12"/>
          <w:sz w:val="23"/>
          <w:szCs w:val="23"/>
        </w:rPr>
        <w:t>购北台钢</w:t>
      </w:r>
      <w:r>
        <w:rPr>
          <w:rFonts w:ascii="宋体" w:hAnsi="宋体" w:eastAsia="宋体" w:cs="宋体"/>
          <w:spacing w:val="8"/>
          <w:sz w:val="23"/>
          <w:szCs w:val="23"/>
        </w:rPr>
        <w:t>铁</w:t>
      </w:r>
      <w:r>
        <w:rPr>
          <w:rFonts w:ascii="宋体" w:hAnsi="宋体" w:eastAsia="宋体" w:cs="宋体"/>
          <w:spacing w:val="6"/>
          <w:sz w:val="23"/>
          <w:szCs w:val="23"/>
        </w:rPr>
        <w:t xml:space="preserve"> (集团) 有限责任公司所用原料合金铁及铝锭的废包装袋及平山区利</w:t>
      </w:r>
      <w:r>
        <w:rPr>
          <w:rFonts w:ascii="宋体" w:hAnsi="宋体" w:eastAsia="宋体" w:cs="宋体"/>
          <w:sz w:val="23"/>
          <w:szCs w:val="23"/>
        </w:rPr>
        <w:t xml:space="preserve"> </w:t>
      </w:r>
      <w:r>
        <w:rPr>
          <w:rFonts w:ascii="宋体" w:hAnsi="宋体" w:eastAsia="宋体" w:cs="宋体"/>
          <w:spacing w:val="10"/>
          <w:sz w:val="23"/>
          <w:szCs w:val="23"/>
        </w:rPr>
        <w:t>安</w:t>
      </w:r>
      <w:r>
        <w:rPr>
          <w:rFonts w:ascii="宋体" w:hAnsi="宋体" w:eastAsia="宋体" w:cs="宋体"/>
          <w:spacing w:val="7"/>
          <w:sz w:val="23"/>
          <w:szCs w:val="23"/>
        </w:rPr>
        <w:t>建材城所销售砂子的废包装袋，主要成分为聚乙烯、聚丙烯。购进的原料已经</w:t>
      </w:r>
      <w:r>
        <w:rPr>
          <w:rFonts w:ascii="宋体" w:hAnsi="宋体" w:eastAsia="宋体" w:cs="宋体"/>
          <w:sz w:val="23"/>
          <w:szCs w:val="23"/>
        </w:rPr>
        <w:t xml:space="preserve"> </w:t>
      </w:r>
      <w:r>
        <w:rPr>
          <w:rFonts w:ascii="宋体" w:hAnsi="宋体" w:eastAsia="宋体" w:cs="宋体"/>
          <w:spacing w:val="10"/>
          <w:sz w:val="23"/>
          <w:szCs w:val="23"/>
        </w:rPr>
        <w:t>经</w:t>
      </w:r>
      <w:r>
        <w:rPr>
          <w:rFonts w:ascii="宋体" w:hAnsi="宋体" w:eastAsia="宋体" w:cs="宋体"/>
          <w:spacing w:val="7"/>
          <w:sz w:val="23"/>
          <w:szCs w:val="23"/>
        </w:rPr>
        <w:t>过初步的分选，为了保证产品质量，外购的废旧塑料编织袋投入生产之前需要</w:t>
      </w:r>
      <w:r>
        <w:rPr>
          <w:rFonts w:ascii="宋体" w:hAnsi="宋体" w:eastAsia="宋体" w:cs="宋体"/>
          <w:sz w:val="23"/>
          <w:szCs w:val="23"/>
        </w:rPr>
        <w:t xml:space="preserve"> </w:t>
      </w:r>
      <w:r>
        <w:rPr>
          <w:rFonts w:ascii="宋体" w:hAnsi="宋体" w:eastAsia="宋体" w:cs="宋体"/>
          <w:spacing w:val="10"/>
          <w:sz w:val="23"/>
          <w:szCs w:val="23"/>
        </w:rPr>
        <w:t>进</w:t>
      </w:r>
      <w:r>
        <w:rPr>
          <w:rFonts w:ascii="宋体" w:hAnsi="宋体" w:eastAsia="宋体" w:cs="宋体"/>
          <w:spacing w:val="7"/>
          <w:sz w:val="23"/>
          <w:szCs w:val="23"/>
        </w:rPr>
        <w:t>一步人工分选，通过人工分拣，主要将废旧编织袋中的杂质剔除，并按照塑料</w:t>
      </w:r>
      <w:r>
        <w:rPr>
          <w:rFonts w:ascii="宋体" w:hAnsi="宋体" w:eastAsia="宋体" w:cs="宋体"/>
          <w:sz w:val="23"/>
          <w:szCs w:val="23"/>
        </w:rPr>
        <w:t xml:space="preserve"> </w:t>
      </w:r>
      <w:r>
        <w:rPr>
          <w:rFonts w:ascii="宋体" w:hAnsi="宋体" w:eastAsia="宋体" w:cs="宋体"/>
          <w:spacing w:val="10"/>
          <w:sz w:val="23"/>
          <w:szCs w:val="23"/>
        </w:rPr>
        <w:t>种</w:t>
      </w:r>
      <w:r>
        <w:rPr>
          <w:rFonts w:ascii="宋体" w:hAnsi="宋体" w:eastAsia="宋体" w:cs="宋体"/>
          <w:spacing w:val="7"/>
          <w:sz w:val="23"/>
          <w:szCs w:val="23"/>
        </w:rPr>
        <w:t>类、颜色分开存放。该生产工序会产生一定量的杂物和粉尘，其杂物主要一般</w:t>
      </w:r>
      <w:r>
        <w:rPr>
          <w:rFonts w:ascii="宋体" w:hAnsi="宋体" w:eastAsia="宋体" w:cs="宋体"/>
          <w:sz w:val="23"/>
          <w:szCs w:val="23"/>
        </w:rPr>
        <w:t xml:space="preserve"> </w:t>
      </w:r>
      <w:r>
        <w:rPr>
          <w:rFonts w:ascii="宋体" w:hAnsi="宋体" w:eastAsia="宋体" w:cs="宋体"/>
          <w:spacing w:val="9"/>
          <w:sz w:val="23"/>
          <w:szCs w:val="23"/>
        </w:rPr>
        <w:t>为绑扎带以及土石块，属于一般废物</w:t>
      </w:r>
      <w:r>
        <w:rPr>
          <w:rFonts w:ascii="宋体" w:hAnsi="宋体" w:eastAsia="宋体" w:cs="宋体"/>
          <w:spacing w:val="8"/>
          <w:sz w:val="23"/>
          <w:szCs w:val="23"/>
        </w:rPr>
        <w:t>。</w:t>
      </w:r>
    </w:p>
    <w:p w14:paraId="0F25F1BB">
      <w:pPr>
        <w:spacing w:before="136" w:line="303" w:lineRule="exact"/>
        <w:ind w:left="499"/>
        <w:rPr>
          <w:rFonts w:ascii="宋体" w:hAnsi="宋体" w:eastAsia="宋体" w:cs="宋体"/>
          <w:sz w:val="23"/>
          <w:szCs w:val="23"/>
        </w:rPr>
      </w:pPr>
      <w:r>
        <w:rPr>
          <w:rFonts w:ascii="Times New Roman" w:hAnsi="Times New Roman" w:eastAsia="Times New Roman" w:cs="Times New Roman"/>
          <w:spacing w:val="-8"/>
          <w:position w:val="1"/>
          <w:sz w:val="23"/>
          <w:szCs w:val="23"/>
        </w:rPr>
        <w:t>2</w:t>
      </w:r>
      <w:r>
        <w:rPr>
          <w:rFonts w:ascii="Times New Roman" w:hAnsi="Times New Roman" w:eastAsia="Times New Roman" w:cs="Times New Roman"/>
          <w:spacing w:val="-5"/>
          <w:position w:val="1"/>
          <w:sz w:val="23"/>
          <w:szCs w:val="23"/>
        </w:rPr>
        <w:t xml:space="preserve"> </w:t>
      </w:r>
      <w:r>
        <w:rPr>
          <w:rFonts w:ascii="宋体" w:hAnsi="宋体" w:eastAsia="宋体" w:cs="宋体"/>
          <w:spacing w:val="-5"/>
          <w:position w:val="1"/>
          <w:sz w:val="23"/>
          <w:szCs w:val="23"/>
        </w:rPr>
        <w:t>、破碎</w:t>
      </w:r>
    </w:p>
    <w:p w14:paraId="5273AC06">
      <w:pPr>
        <w:spacing w:line="244" w:lineRule="auto"/>
        <w:rPr>
          <w:rFonts w:ascii="Arial"/>
          <w:sz w:val="21"/>
        </w:rPr>
      </w:pPr>
    </w:p>
    <w:p w14:paraId="60064317">
      <w:pPr>
        <w:spacing w:before="75" w:line="227" w:lineRule="auto"/>
        <w:ind w:left="505"/>
        <w:rPr>
          <w:rFonts w:ascii="宋体" w:hAnsi="宋体" w:eastAsia="宋体" w:cs="宋体"/>
          <w:sz w:val="23"/>
          <w:szCs w:val="23"/>
        </w:rPr>
      </w:pPr>
      <w:r>
        <w:rPr>
          <w:rFonts w:ascii="宋体" w:hAnsi="宋体" w:eastAsia="宋体" w:cs="宋体"/>
          <w:spacing w:val="7"/>
          <w:sz w:val="23"/>
          <w:szCs w:val="23"/>
        </w:rPr>
        <w:t>人工分拣好的废旧塑料编织袋由提料机自动送入粉碎机进行破碎。废旧塑</w:t>
      </w:r>
      <w:r>
        <w:rPr>
          <w:rFonts w:ascii="宋体" w:hAnsi="宋体" w:eastAsia="宋体" w:cs="宋体"/>
          <w:spacing w:val="1"/>
          <w:sz w:val="23"/>
          <w:szCs w:val="23"/>
        </w:rPr>
        <w:t>料</w:t>
      </w:r>
    </w:p>
    <w:p w14:paraId="34A54C9F">
      <w:pPr>
        <w:sectPr>
          <w:headerReference r:id="rId112" w:type="default"/>
          <w:footerReference r:id="rId113" w:type="default"/>
          <w:pgSz w:w="11906" w:h="16839"/>
          <w:pgMar w:top="1132" w:right="1719" w:bottom="1180" w:left="1785" w:header="878" w:footer="1022" w:gutter="0"/>
          <w:cols w:space="720" w:num="1"/>
        </w:sectPr>
      </w:pPr>
    </w:p>
    <w:p w14:paraId="09EFC74B">
      <w:pPr>
        <w:spacing w:line="401" w:lineRule="auto"/>
        <w:rPr>
          <w:rFonts w:ascii="Arial"/>
          <w:sz w:val="21"/>
        </w:rPr>
      </w:pPr>
      <w:r>
        <w:pict>
          <v:shape id="_x0000_s1153" o:spid="_x0000_s1153" style="position:absolute;left:0pt;margin-left:90pt;margin-top:57.35pt;height:0.75pt;width:415.3pt;mso-position-horizontal-relative:page;mso-position-vertical-relative:page;z-index:251800576;mso-width-relative:page;mso-height-relative:page;" fillcolor="#000000" filled="t" stroked="f" coordsize="8305,15" o:allowincell="f" path="m0,0l8305,0,8305,14,0,14,0,0xe">
            <v:path/>
            <v:fill on="t" focussize="0,0"/>
            <v:stroke on="f"/>
            <v:imagedata o:title=""/>
            <o:lock v:ext="edit"/>
          </v:shape>
        </w:pict>
      </w:r>
    </w:p>
    <w:p w14:paraId="1E3EC8E6">
      <w:pPr>
        <w:spacing w:before="75" w:line="381" w:lineRule="auto"/>
        <w:ind w:left="22" w:right="13"/>
        <w:rPr>
          <w:rFonts w:ascii="宋体" w:hAnsi="宋体" w:eastAsia="宋体" w:cs="宋体"/>
          <w:sz w:val="23"/>
          <w:szCs w:val="23"/>
        </w:rPr>
      </w:pPr>
      <w:r>
        <w:rPr>
          <w:rFonts w:ascii="宋体" w:hAnsi="宋体" w:eastAsia="宋体" w:cs="宋体"/>
          <w:spacing w:val="12"/>
          <w:sz w:val="23"/>
          <w:szCs w:val="23"/>
        </w:rPr>
        <w:t>破碎过程</w:t>
      </w:r>
      <w:r>
        <w:rPr>
          <w:rFonts w:ascii="宋体" w:hAnsi="宋体" w:eastAsia="宋体" w:cs="宋体"/>
          <w:spacing w:val="7"/>
          <w:sz w:val="23"/>
          <w:szCs w:val="23"/>
        </w:rPr>
        <w:t>采</w:t>
      </w:r>
      <w:r>
        <w:rPr>
          <w:rFonts w:ascii="宋体" w:hAnsi="宋体" w:eastAsia="宋体" w:cs="宋体"/>
          <w:spacing w:val="6"/>
          <w:sz w:val="23"/>
          <w:szCs w:val="23"/>
        </w:rPr>
        <w:t>用湿式破碎的方法 (破碎机含有加水口) ，湿式破碎可以防止破碎过</w:t>
      </w:r>
      <w:r>
        <w:rPr>
          <w:rFonts w:ascii="宋体" w:hAnsi="宋体" w:eastAsia="宋体" w:cs="宋体"/>
          <w:sz w:val="23"/>
          <w:szCs w:val="23"/>
        </w:rPr>
        <w:t xml:space="preserve"> </w:t>
      </w:r>
      <w:r>
        <w:rPr>
          <w:rFonts w:ascii="宋体" w:hAnsi="宋体" w:eastAsia="宋体" w:cs="宋体"/>
          <w:spacing w:val="9"/>
          <w:sz w:val="23"/>
          <w:szCs w:val="23"/>
        </w:rPr>
        <w:t>程</w:t>
      </w:r>
      <w:r>
        <w:rPr>
          <w:rFonts w:ascii="宋体" w:hAnsi="宋体" w:eastAsia="宋体" w:cs="宋体"/>
          <w:spacing w:val="7"/>
          <w:sz w:val="23"/>
          <w:szCs w:val="23"/>
        </w:rPr>
        <w:t>温度升高造成塑料结块，也可以有效杜绝破碎过程粉尘产生。破碎工序应采用</w:t>
      </w:r>
      <w:r>
        <w:rPr>
          <w:rFonts w:ascii="宋体" w:hAnsi="宋体" w:eastAsia="宋体" w:cs="宋体"/>
          <w:sz w:val="23"/>
          <w:szCs w:val="23"/>
        </w:rPr>
        <w:t xml:space="preserve"> </w:t>
      </w:r>
      <w:r>
        <w:rPr>
          <w:rFonts w:ascii="宋体" w:hAnsi="宋体" w:eastAsia="宋体" w:cs="宋体"/>
          <w:spacing w:val="9"/>
          <w:sz w:val="23"/>
          <w:szCs w:val="23"/>
        </w:rPr>
        <w:t>具</w:t>
      </w:r>
      <w:r>
        <w:rPr>
          <w:rFonts w:ascii="宋体" w:hAnsi="宋体" w:eastAsia="宋体" w:cs="宋体"/>
          <w:spacing w:val="7"/>
          <w:sz w:val="23"/>
          <w:szCs w:val="23"/>
        </w:rPr>
        <w:t>有减振与降噪功能的密闭破碎设备；带水破碎过程带有一定的清洗功能，因此</w:t>
      </w:r>
      <w:r>
        <w:rPr>
          <w:rFonts w:ascii="宋体" w:hAnsi="宋体" w:eastAsia="宋体" w:cs="宋体"/>
          <w:sz w:val="23"/>
          <w:szCs w:val="23"/>
        </w:rPr>
        <w:t xml:space="preserve"> </w:t>
      </w:r>
      <w:r>
        <w:rPr>
          <w:rFonts w:ascii="宋体" w:hAnsi="宋体" w:eastAsia="宋体" w:cs="宋体"/>
          <w:spacing w:val="16"/>
          <w:sz w:val="23"/>
          <w:szCs w:val="23"/>
        </w:rPr>
        <w:t>项</w:t>
      </w:r>
      <w:r>
        <w:rPr>
          <w:rFonts w:ascii="宋体" w:hAnsi="宋体" w:eastAsia="宋体" w:cs="宋体"/>
          <w:spacing w:val="11"/>
          <w:sz w:val="23"/>
          <w:szCs w:val="23"/>
        </w:rPr>
        <w:t>目</w:t>
      </w:r>
      <w:r>
        <w:rPr>
          <w:rFonts w:ascii="宋体" w:hAnsi="宋体" w:eastAsia="宋体" w:cs="宋体"/>
          <w:spacing w:val="8"/>
          <w:sz w:val="23"/>
          <w:szCs w:val="23"/>
        </w:rPr>
        <w:t>破碎过程中无破碎粉尘产生。</w:t>
      </w:r>
    </w:p>
    <w:p w14:paraId="45B94B48">
      <w:pPr>
        <w:spacing w:before="136" w:line="303" w:lineRule="exact"/>
        <w:ind w:left="499"/>
        <w:rPr>
          <w:rFonts w:ascii="宋体" w:hAnsi="宋体" w:eastAsia="宋体" w:cs="宋体"/>
          <w:sz w:val="23"/>
          <w:szCs w:val="23"/>
        </w:rPr>
      </w:pPr>
      <w:r>
        <w:rPr>
          <w:rFonts w:ascii="Times New Roman" w:hAnsi="Times New Roman" w:eastAsia="Times New Roman" w:cs="Times New Roman"/>
          <w:spacing w:val="-8"/>
          <w:position w:val="1"/>
          <w:sz w:val="23"/>
          <w:szCs w:val="23"/>
        </w:rPr>
        <w:t>2</w:t>
      </w:r>
      <w:r>
        <w:rPr>
          <w:rFonts w:ascii="Times New Roman" w:hAnsi="Times New Roman" w:eastAsia="Times New Roman" w:cs="Times New Roman"/>
          <w:spacing w:val="-5"/>
          <w:position w:val="1"/>
          <w:sz w:val="23"/>
          <w:szCs w:val="23"/>
        </w:rPr>
        <w:t xml:space="preserve"> </w:t>
      </w:r>
      <w:r>
        <w:rPr>
          <w:rFonts w:ascii="宋体" w:hAnsi="宋体" w:eastAsia="宋体" w:cs="宋体"/>
          <w:spacing w:val="-5"/>
          <w:position w:val="1"/>
          <w:sz w:val="23"/>
          <w:szCs w:val="23"/>
        </w:rPr>
        <w:t>、初洗</w:t>
      </w:r>
    </w:p>
    <w:p w14:paraId="373100DB">
      <w:pPr>
        <w:spacing w:line="249" w:lineRule="auto"/>
        <w:rPr>
          <w:rFonts w:ascii="Arial"/>
          <w:sz w:val="21"/>
        </w:rPr>
      </w:pPr>
    </w:p>
    <w:p w14:paraId="7445986C">
      <w:pPr>
        <w:spacing w:before="75" w:line="380" w:lineRule="auto"/>
        <w:ind w:left="23" w:right="8" w:firstLine="479"/>
        <w:rPr>
          <w:rFonts w:ascii="宋体" w:hAnsi="宋体" w:eastAsia="宋体" w:cs="宋体"/>
          <w:sz w:val="23"/>
          <w:szCs w:val="23"/>
        </w:rPr>
      </w:pPr>
      <w:r>
        <w:rPr>
          <w:rFonts w:ascii="宋体" w:hAnsi="宋体" w:eastAsia="宋体" w:cs="宋体"/>
          <w:spacing w:val="7"/>
          <w:sz w:val="23"/>
          <w:szCs w:val="23"/>
        </w:rPr>
        <w:t>破碎后的废旧塑料编织袋送至偏心清洗机内，对原料进行初洗。初洗后的</w:t>
      </w:r>
      <w:r>
        <w:rPr>
          <w:rFonts w:ascii="宋体" w:hAnsi="宋体" w:eastAsia="宋体" w:cs="宋体"/>
          <w:spacing w:val="3"/>
          <w:sz w:val="23"/>
          <w:szCs w:val="23"/>
        </w:rPr>
        <w:t>物</w:t>
      </w:r>
      <w:r>
        <w:rPr>
          <w:rFonts w:ascii="宋体" w:hAnsi="宋体" w:eastAsia="宋体" w:cs="宋体"/>
          <w:sz w:val="23"/>
          <w:szCs w:val="23"/>
        </w:rPr>
        <w:t xml:space="preserve"> </w:t>
      </w:r>
      <w:r>
        <w:rPr>
          <w:rFonts w:ascii="宋体" w:hAnsi="宋体" w:eastAsia="宋体" w:cs="宋体"/>
          <w:spacing w:val="12"/>
          <w:sz w:val="23"/>
          <w:szCs w:val="23"/>
        </w:rPr>
        <w:t>料经沉</w:t>
      </w:r>
      <w:r>
        <w:rPr>
          <w:rFonts w:ascii="宋体" w:hAnsi="宋体" w:eastAsia="宋体" w:cs="宋体"/>
          <w:spacing w:val="8"/>
          <w:sz w:val="23"/>
          <w:szCs w:val="23"/>
        </w:rPr>
        <w:t>浮</w:t>
      </w:r>
      <w:r>
        <w:rPr>
          <w:rFonts w:ascii="宋体" w:hAnsi="宋体" w:eastAsia="宋体" w:cs="宋体"/>
          <w:spacing w:val="6"/>
          <w:sz w:val="23"/>
          <w:szCs w:val="23"/>
        </w:rPr>
        <w:t>分离水槽 (</w:t>
      </w:r>
      <w:r>
        <w:rPr>
          <w:rFonts w:ascii="Times New Roman" w:hAnsi="Times New Roman" w:eastAsia="Times New Roman" w:cs="Times New Roman"/>
          <w:spacing w:val="6"/>
          <w:sz w:val="23"/>
          <w:szCs w:val="23"/>
        </w:rPr>
        <w:t>15</w:t>
      </w:r>
      <w:r>
        <w:rPr>
          <w:rFonts w:ascii="Times New Roman" w:hAnsi="Times New Roman" w:eastAsia="Times New Roman" w:cs="Times New Roman"/>
          <w:sz w:val="23"/>
          <w:szCs w:val="23"/>
        </w:rPr>
        <w:t>m</w:t>
      </w:r>
      <w:r>
        <w:rPr>
          <w:rFonts w:ascii="Times New Roman" w:hAnsi="Times New Roman" w:eastAsia="Times New Roman" w:cs="Times New Roman"/>
          <w:spacing w:val="6"/>
          <w:sz w:val="23"/>
          <w:szCs w:val="23"/>
        </w:rPr>
        <w:t>×1.2</w:t>
      </w:r>
      <w:r>
        <w:rPr>
          <w:rFonts w:ascii="Times New Roman" w:hAnsi="Times New Roman" w:eastAsia="Times New Roman" w:cs="Times New Roman"/>
          <w:sz w:val="23"/>
          <w:szCs w:val="23"/>
        </w:rPr>
        <w:t>m</w:t>
      </w:r>
      <w:r>
        <w:rPr>
          <w:rFonts w:ascii="Times New Roman" w:hAnsi="Times New Roman" w:eastAsia="Times New Roman" w:cs="Times New Roman"/>
          <w:spacing w:val="6"/>
          <w:sz w:val="23"/>
          <w:szCs w:val="23"/>
        </w:rPr>
        <w:t>×1.5</w:t>
      </w:r>
      <w:r>
        <w:rPr>
          <w:rFonts w:ascii="Times New Roman" w:hAnsi="Times New Roman" w:eastAsia="Times New Roman" w:cs="Times New Roman"/>
          <w:sz w:val="23"/>
          <w:szCs w:val="23"/>
        </w:rPr>
        <w:t>m</w:t>
      </w:r>
      <w:r>
        <w:rPr>
          <w:rFonts w:ascii="宋体" w:hAnsi="宋体" w:eastAsia="宋体" w:cs="宋体"/>
          <w:spacing w:val="6"/>
          <w:sz w:val="23"/>
          <w:szCs w:val="23"/>
        </w:rPr>
        <w:t>) 将洗好的料分离出来，随后由链条挖料机</w:t>
      </w:r>
      <w:r>
        <w:rPr>
          <w:rFonts w:ascii="宋体" w:hAnsi="宋体" w:eastAsia="宋体" w:cs="宋体"/>
          <w:sz w:val="23"/>
          <w:szCs w:val="23"/>
        </w:rPr>
        <w:t xml:space="preserve"> </w:t>
      </w:r>
      <w:r>
        <w:rPr>
          <w:rFonts w:ascii="宋体" w:hAnsi="宋体" w:eastAsia="宋体" w:cs="宋体"/>
          <w:spacing w:val="9"/>
          <w:sz w:val="23"/>
          <w:szCs w:val="23"/>
        </w:rPr>
        <w:t>再</w:t>
      </w:r>
      <w:r>
        <w:rPr>
          <w:rFonts w:ascii="宋体" w:hAnsi="宋体" w:eastAsia="宋体" w:cs="宋体"/>
          <w:spacing w:val="7"/>
          <w:sz w:val="23"/>
          <w:szCs w:val="23"/>
        </w:rPr>
        <w:t>送至洗字槽。清洗工序采用自动控制和清洗水循环利用。清洗过程中不用任何</w:t>
      </w:r>
      <w:r>
        <w:rPr>
          <w:rFonts w:ascii="宋体" w:hAnsi="宋体" w:eastAsia="宋体" w:cs="宋体"/>
          <w:sz w:val="23"/>
          <w:szCs w:val="23"/>
        </w:rPr>
        <w:t xml:space="preserve"> </w:t>
      </w:r>
      <w:r>
        <w:rPr>
          <w:rFonts w:ascii="宋体" w:hAnsi="宋体" w:eastAsia="宋体" w:cs="宋体"/>
          <w:spacing w:val="9"/>
          <w:sz w:val="23"/>
          <w:szCs w:val="23"/>
        </w:rPr>
        <w:t>的</w:t>
      </w:r>
      <w:r>
        <w:rPr>
          <w:rFonts w:ascii="宋体" w:hAnsi="宋体" w:eastAsia="宋体" w:cs="宋体"/>
          <w:spacing w:val="7"/>
          <w:sz w:val="23"/>
          <w:szCs w:val="23"/>
        </w:rPr>
        <w:t>清洗剂，废旧塑料编织袋的清洗主要去除的破碎后的粘附的灰尘。该生产工序</w:t>
      </w:r>
      <w:r>
        <w:rPr>
          <w:rFonts w:ascii="宋体" w:hAnsi="宋体" w:eastAsia="宋体" w:cs="宋体"/>
          <w:sz w:val="23"/>
          <w:szCs w:val="23"/>
        </w:rPr>
        <w:t xml:space="preserve"> </w:t>
      </w:r>
      <w:r>
        <w:rPr>
          <w:rFonts w:ascii="宋体" w:hAnsi="宋体" w:eastAsia="宋体" w:cs="宋体"/>
          <w:spacing w:val="9"/>
          <w:sz w:val="23"/>
          <w:szCs w:val="23"/>
        </w:rPr>
        <w:t>产</w:t>
      </w:r>
      <w:r>
        <w:rPr>
          <w:rFonts w:ascii="宋体" w:hAnsi="宋体" w:eastAsia="宋体" w:cs="宋体"/>
          <w:spacing w:val="7"/>
          <w:sz w:val="23"/>
          <w:szCs w:val="23"/>
        </w:rPr>
        <w:t xml:space="preserve">生的主要污染物为初洗清洗废水，主要污染因子为 </w:t>
      </w:r>
      <w:r>
        <w:rPr>
          <w:rFonts w:ascii="Times New Roman" w:hAnsi="Times New Roman" w:eastAsia="Times New Roman" w:cs="Times New Roman"/>
          <w:sz w:val="23"/>
          <w:szCs w:val="23"/>
        </w:rPr>
        <w:t>SS</w:t>
      </w:r>
      <w:r>
        <w:rPr>
          <w:rFonts w:ascii="宋体" w:hAnsi="宋体" w:eastAsia="宋体" w:cs="宋体"/>
          <w:spacing w:val="7"/>
          <w:sz w:val="23"/>
          <w:szCs w:val="23"/>
        </w:rPr>
        <w:t>。</w:t>
      </w:r>
    </w:p>
    <w:p w14:paraId="4D4B9CD3">
      <w:pPr>
        <w:spacing w:before="136" w:line="303" w:lineRule="exact"/>
        <w:ind w:left="443"/>
        <w:rPr>
          <w:rFonts w:ascii="宋体" w:hAnsi="宋体" w:eastAsia="宋体" w:cs="宋体"/>
          <w:sz w:val="23"/>
          <w:szCs w:val="23"/>
        </w:rPr>
      </w:pPr>
      <w:r>
        <w:rPr>
          <w:rFonts w:ascii="Times New Roman" w:hAnsi="Times New Roman" w:eastAsia="Times New Roman" w:cs="Times New Roman"/>
          <w:spacing w:val="-9"/>
          <w:position w:val="1"/>
          <w:sz w:val="23"/>
          <w:szCs w:val="23"/>
        </w:rPr>
        <w:t>3</w:t>
      </w:r>
      <w:r>
        <w:rPr>
          <w:rFonts w:ascii="Times New Roman" w:hAnsi="Times New Roman" w:eastAsia="Times New Roman" w:cs="Times New Roman"/>
          <w:spacing w:val="-6"/>
          <w:position w:val="1"/>
          <w:sz w:val="23"/>
          <w:szCs w:val="23"/>
        </w:rPr>
        <w:t xml:space="preserve"> </w:t>
      </w:r>
      <w:r>
        <w:rPr>
          <w:rFonts w:ascii="宋体" w:hAnsi="宋体" w:eastAsia="宋体" w:cs="宋体"/>
          <w:spacing w:val="-6"/>
          <w:position w:val="1"/>
          <w:sz w:val="23"/>
          <w:szCs w:val="23"/>
        </w:rPr>
        <w:t>、洗字</w:t>
      </w:r>
    </w:p>
    <w:p w14:paraId="0354641F">
      <w:pPr>
        <w:spacing w:line="249" w:lineRule="auto"/>
        <w:rPr>
          <w:rFonts w:ascii="Arial"/>
          <w:sz w:val="21"/>
        </w:rPr>
      </w:pPr>
    </w:p>
    <w:p w14:paraId="01946F75">
      <w:pPr>
        <w:spacing w:before="75" w:line="374" w:lineRule="auto"/>
        <w:ind w:left="22" w:right="11" w:firstLine="480"/>
        <w:rPr>
          <w:rFonts w:ascii="宋体" w:hAnsi="宋体" w:eastAsia="宋体" w:cs="宋体"/>
          <w:sz w:val="23"/>
          <w:szCs w:val="23"/>
        </w:rPr>
      </w:pPr>
      <w:r>
        <w:rPr>
          <w:rFonts w:ascii="宋体" w:hAnsi="宋体" w:eastAsia="宋体" w:cs="宋体"/>
          <w:spacing w:val="14"/>
          <w:sz w:val="23"/>
          <w:szCs w:val="23"/>
        </w:rPr>
        <w:t>初洗</w:t>
      </w:r>
      <w:r>
        <w:rPr>
          <w:rFonts w:ascii="宋体" w:hAnsi="宋体" w:eastAsia="宋体" w:cs="宋体"/>
          <w:spacing w:val="12"/>
          <w:sz w:val="23"/>
          <w:szCs w:val="23"/>
        </w:rPr>
        <w:t>后</w:t>
      </w:r>
      <w:r>
        <w:rPr>
          <w:rFonts w:ascii="宋体" w:hAnsi="宋体" w:eastAsia="宋体" w:cs="宋体"/>
          <w:spacing w:val="7"/>
          <w:sz w:val="23"/>
          <w:szCs w:val="23"/>
        </w:rPr>
        <w:t xml:space="preserve">的破碎料由链条挖料机再送至 </w:t>
      </w:r>
      <w:r>
        <w:rPr>
          <w:rFonts w:ascii="Times New Roman" w:hAnsi="Times New Roman" w:eastAsia="Times New Roman" w:cs="Times New Roman"/>
          <w:spacing w:val="7"/>
          <w:sz w:val="23"/>
          <w:szCs w:val="23"/>
        </w:rPr>
        <w:t>6</w:t>
      </w:r>
      <w:r>
        <w:rPr>
          <w:rFonts w:ascii="Times New Roman" w:hAnsi="Times New Roman" w:eastAsia="Times New Roman" w:cs="Times New Roman"/>
          <w:sz w:val="23"/>
          <w:szCs w:val="23"/>
        </w:rPr>
        <w:t>m</w:t>
      </w:r>
      <w:r>
        <w:rPr>
          <w:rFonts w:ascii="Times New Roman" w:hAnsi="Times New Roman" w:eastAsia="Times New Roman" w:cs="Times New Roman"/>
          <w:spacing w:val="7"/>
          <w:position w:val="8"/>
          <w:sz w:val="15"/>
          <w:szCs w:val="15"/>
        </w:rPr>
        <w:t xml:space="preserve">3 </w:t>
      </w:r>
      <w:r>
        <w:rPr>
          <w:rFonts w:ascii="宋体" w:hAnsi="宋体" w:eastAsia="宋体" w:cs="宋体"/>
          <w:spacing w:val="7"/>
          <w:sz w:val="23"/>
          <w:szCs w:val="23"/>
        </w:rPr>
        <w:t>的洗字槽 (</w:t>
      </w:r>
      <w:r>
        <w:rPr>
          <w:rFonts w:ascii="Times New Roman" w:hAnsi="Times New Roman" w:eastAsia="Times New Roman" w:cs="Times New Roman"/>
          <w:spacing w:val="7"/>
          <w:sz w:val="23"/>
          <w:szCs w:val="23"/>
        </w:rPr>
        <w:t>2.5</w:t>
      </w:r>
      <w:r>
        <w:rPr>
          <w:rFonts w:ascii="Times New Roman" w:hAnsi="Times New Roman" w:eastAsia="Times New Roman" w:cs="Times New Roman"/>
          <w:sz w:val="23"/>
          <w:szCs w:val="23"/>
        </w:rPr>
        <w:t>m</w:t>
      </w:r>
      <w:r>
        <w:rPr>
          <w:rFonts w:ascii="Times New Roman" w:hAnsi="Times New Roman" w:eastAsia="Times New Roman" w:cs="Times New Roman"/>
          <w:spacing w:val="7"/>
          <w:sz w:val="23"/>
          <w:szCs w:val="23"/>
        </w:rPr>
        <w:t>×1.2</w:t>
      </w:r>
      <w:r>
        <w:rPr>
          <w:rFonts w:ascii="Times New Roman" w:hAnsi="Times New Roman" w:eastAsia="Times New Roman" w:cs="Times New Roman"/>
          <w:sz w:val="23"/>
          <w:szCs w:val="23"/>
        </w:rPr>
        <w:t>m</w:t>
      </w:r>
      <w:r>
        <w:rPr>
          <w:rFonts w:ascii="Times New Roman" w:hAnsi="Times New Roman" w:eastAsia="Times New Roman" w:cs="Times New Roman"/>
          <w:spacing w:val="7"/>
          <w:sz w:val="23"/>
          <w:szCs w:val="23"/>
        </w:rPr>
        <w:t>×2</w:t>
      </w:r>
      <w:r>
        <w:rPr>
          <w:rFonts w:ascii="Times New Roman" w:hAnsi="Times New Roman" w:eastAsia="Times New Roman" w:cs="Times New Roman"/>
          <w:sz w:val="23"/>
          <w:szCs w:val="23"/>
        </w:rPr>
        <w:t>m</w:t>
      </w:r>
      <w:r>
        <w:rPr>
          <w:rFonts w:ascii="宋体" w:hAnsi="宋体" w:eastAsia="宋体" w:cs="宋体"/>
          <w:spacing w:val="7"/>
          <w:sz w:val="23"/>
          <w:szCs w:val="23"/>
        </w:rPr>
        <w:t>) 进行</w:t>
      </w:r>
      <w:r>
        <w:rPr>
          <w:rFonts w:ascii="宋体" w:hAnsi="宋体" w:eastAsia="宋体" w:cs="宋体"/>
          <w:sz w:val="23"/>
          <w:szCs w:val="23"/>
        </w:rPr>
        <w:t xml:space="preserve"> </w:t>
      </w:r>
      <w:r>
        <w:rPr>
          <w:rFonts w:ascii="宋体" w:hAnsi="宋体" w:eastAsia="宋体" w:cs="宋体"/>
          <w:spacing w:val="6"/>
          <w:sz w:val="23"/>
          <w:szCs w:val="23"/>
        </w:rPr>
        <w:t>洗</w:t>
      </w:r>
      <w:r>
        <w:rPr>
          <w:rFonts w:ascii="宋体" w:hAnsi="宋体" w:eastAsia="宋体" w:cs="宋体"/>
          <w:spacing w:val="3"/>
          <w:sz w:val="23"/>
          <w:szCs w:val="23"/>
        </w:rPr>
        <w:t xml:space="preserve">字处理。该项目设有 </w:t>
      </w:r>
      <w:r>
        <w:rPr>
          <w:rFonts w:ascii="Times New Roman" w:hAnsi="Times New Roman" w:eastAsia="Times New Roman" w:cs="Times New Roman"/>
          <w:spacing w:val="3"/>
          <w:sz w:val="23"/>
          <w:szCs w:val="23"/>
        </w:rPr>
        <w:t xml:space="preserve">1 </w:t>
      </w:r>
      <w:r>
        <w:rPr>
          <w:rFonts w:ascii="宋体" w:hAnsi="宋体" w:eastAsia="宋体" w:cs="宋体"/>
          <w:spacing w:val="3"/>
          <w:sz w:val="23"/>
          <w:szCs w:val="23"/>
        </w:rPr>
        <w:t xml:space="preserve">台 </w:t>
      </w:r>
      <w:r>
        <w:rPr>
          <w:rFonts w:ascii="Times New Roman" w:hAnsi="Times New Roman" w:eastAsia="Times New Roman" w:cs="Times New Roman"/>
          <w:spacing w:val="3"/>
          <w:sz w:val="23"/>
          <w:szCs w:val="23"/>
        </w:rPr>
        <w:t>2</w:t>
      </w:r>
      <w:r>
        <w:rPr>
          <w:rFonts w:ascii="Times New Roman" w:hAnsi="Times New Roman" w:eastAsia="Times New Roman" w:cs="Times New Roman"/>
          <w:sz w:val="23"/>
          <w:szCs w:val="23"/>
        </w:rPr>
        <w:t>t</w:t>
      </w:r>
      <w:r>
        <w:rPr>
          <w:rFonts w:ascii="Times New Roman" w:hAnsi="Times New Roman" w:eastAsia="Times New Roman" w:cs="Times New Roman"/>
          <w:spacing w:val="3"/>
          <w:sz w:val="23"/>
          <w:szCs w:val="23"/>
        </w:rPr>
        <w:t>/</w:t>
      </w:r>
      <w:r>
        <w:rPr>
          <w:rFonts w:ascii="Times New Roman" w:hAnsi="Times New Roman" w:eastAsia="Times New Roman" w:cs="Times New Roman"/>
          <w:sz w:val="23"/>
          <w:szCs w:val="23"/>
        </w:rPr>
        <w:t>h</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的热风炉，用于洗字槽加热，洗字过程需将洗字</w:t>
      </w:r>
      <w:r>
        <w:rPr>
          <w:rFonts w:ascii="宋体" w:hAnsi="宋体" w:eastAsia="宋体" w:cs="宋体"/>
          <w:sz w:val="23"/>
          <w:szCs w:val="23"/>
        </w:rPr>
        <w:t xml:space="preserve"> </w:t>
      </w:r>
      <w:r>
        <w:rPr>
          <w:rFonts w:ascii="宋体" w:hAnsi="宋体" w:eastAsia="宋体" w:cs="宋体"/>
          <w:spacing w:val="15"/>
          <w:sz w:val="23"/>
          <w:szCs w:val="23"/>
        </w:rPr>
        <w:t>槽</w:t>
      </w:r>
      <w:r>
        <w:rPr>
          <w:rFonts w:ascii="宋体" w:hAnsi="宋体" w:eastAsia="宋体" w:cs="宋体"/>
          <w:spacing w:val="8"/>
          <w:sz w:val="23"/>
          <w:szCs w:val="23"/>
        </w:rPr>
        <w:t xml:space="preserve">中的水加热至 </w:t>
      </w:r>
      <w:r>
        <w:rPr>
          <w:rFonts w:ascii="Times New Roman" w:hAnsi="Times New Roman" w:eastAsia="Times New Roman" w:cs="Times New Roman"/>
          <w:spacing w:val="8"/>
          <w:sz w:val="23"/>
          <w:szCs w:val="23"/>
        </w:rPr>
        <w:t>60-80℃</w:t>
      </w:r>
      <w:r>
        <w:rPr>
          <w:rFonts w:ascii="宋体" w:hAnsi="宋体" w:eastAsia="宋体" w:cs="宋体"/>
          <w:spacing w:val="8"/>
          <w:sz w:val="23"/>
          <w:szCs w:val="23"/>
        </w:rPr>
        <w:t xml:space="preserve">左右，随后加入清洗剂，将热水调配成浓度为 </w:t>
      </w:r>
      <w:r>
        <w:rPr>
          <w:rFonts w:ascii="Times New Roman" w:hAnsi="Times New Roman" w:eastAsia="Times New Roman" w:cs="Times New Roman"/>
          <w:spacing w:val="8"/>
          <w:sz w:val="23"/>
          <w:szCs w:val="23"/>
        </w:rPr>
        <w:t>1%</w:t>
      </w:r>
      <w:r>
        <w:rPr>
          <w:rFonts w:ascii="宋体" w:hAnsi="宋体" w:eastAsia="宋体" w:cs="宋体"/>
          <w:spacing w:val="8"/>
          <w:sz w:val="23"/>
          <w:szCs w:val="23"/>
        </w:rPr>
        <w:t>的清</w:t>
      </w:r>
      <w:r>
        <w:rPr>
          <w:rFonts w:ascii="宋体" w:hAnsi="宋体" w:eastAsia="宋体" w:cs="宋体"/>
          <w:sz w:val="23"/>
          <w:szCs w:val="23"/>
        </w:rPr>
        <w:t xml:space="preserve"> </w:t>
      </w:r>
      <w:r>
        <w:rPr>
          <w:rFonts w:ascii="宋体" w:hAnsi="宋体" w:eastAsia="宋体" w:cs="宋体"/>
          <w:spacing w:val="9"/>
          <w:sz w:val="23"/>
          <w:szCs w:val="23"/>
        </w:rPr>
        <w:t>洗</w:t>
      </w:r>
      <w:r>
        <w:rPr>
          <w:rFonts w:ascii="宋体" w:hAnsi="宋体" w:eastAsia="宋体" w:cs="宋体"/>
          <w:spacing w:val="7"/>
          <w:sz w:val="23"/>
          <w:szCs w:val="23"/>
        </w:rPr>
        <w:t>剂水溶液，待清洗剂完全溶解后，将破碎料放入其中浸泡，以达到去除废旧塑</w:t>
      </w:r>
      <w:r>
        <w:rPr>
          <w:rFonts w:ascii="宋体" w:hAnsi="宋体" w:eastAsia="宋体" w:cs="宋体"/>
          <w:sz w:val="23"/>
          <w:szCs w:val="23"/>
        </w:rPr>
        <w:t xml:space="preserve"> </w:t>
      </w:r>
      <w:r>
        <w:rPr>
          <w:rFonts w:ascii="宋体" w:hAnsi="宋体" w:eastAsia="宋体" w:cs="宋体"/>
          <w:spacing w:val="9"/>
          <w:sz w:val="23"/>
          <w:szCs w:val="23"/>
        </w:rPr>
        <w:t>料</w:t>
      </w:r>
      <w:r>
        <w:rPr>
          <w:rFonts w:ascii="宋体" w:hAnsi="宋体" w:eastAsia="宋体" w:cs="宋体"/>
          <w:spacing w:val="7"/>
          <w:sz w:val="23"/>
          <w:szCs w:val="23"/>
        </w:rPr>
        <w:t>编织袋表面油墨字迹的作用。该生产工序产生的主要污染物为热风炉产生的废</w:t>
      </w:r>
    </w:p>
    <w:p w14:paraId="145B423B">
      <w:pPr>
        <w:spacing w:before="18" w:line="386" w:lineRule="auto"/>
        <w:ind w:left="24" w:right="13"/>
        <w:rPr>
          <w:rFonts w:ascii="宋体" w:hAnsi="宋体" w:eastAsia="宋体" w:cs="宋体"/>
          <w:sz w:val="23"/>
          <w:szCs w:val="23"/>
        </w:rPr>
      </w:pPr>
      <w:r>
        <w:rPr>
          <w:rFonts w:ascii="宋体" w:hAnsi="宋体" w:eastAsia="宋体" w:cs="宋体"/>
          <w:spacing w:val="8"/>
          <w:sz w:val="23"/>
          <w:szCs w:val="23"/>
        </w:rPr>
        <w:t>气</w:t>
      </w:r>
      <w:r>
        <w:rPr>
          <w:rFonts w:ascii="宋体" w:hAnsi="宋体" w:eastAsia="宋体" w:cs="宋体"/>
          <w:spacing w:val="7"/>
          <w:sz w:val="23"/>
          <w:szCs w:val="23"/>
        </w:rPr>
        <w:t>以及洗字清洗废水，其中热风炉烟气主要污染因子为颗粒物、二氧化硫、氮氧</w:t>
      </w:r>
      <w:r>
        <w:rPr>
          <w:rFonts w:ascii="宋体" w:hAnsi="宋体" w:eastAsia="宋体" w:cs="宋体"/>
          <w:sz w:val="23"/>
          <w:szCs w:val="23"/>
        </w:rPr>
        <w:t xml:space="preserve"> </w:t>
      </w:r>
      <w:r>
        <w:rPr>
          <w:rFonts w:ascii="宋体" w:hAnsi="宋体" w:eastAsia="宋体" w:cs="宋体"/>
          <w:spacing w:val="12"/>
          <w:sz w:val="23"/>
          <w:szCs w:val="23"/>
        </w:rPr>
        <w:t>化物</w:t>
      </w:r>
      <w:r>
        <w:rPr>
          <w:rFonts w:ascii="宋体" w:hAnsi="宋体" w:eastAsia="宋体" w:cs="宋体"/>
          <w:spacing w:val="8"/>
          <w:sz w:val="23"/>
          <w:szCs w:val="23"/>
        </w:rPr>
        <w:t>，</w:t>
      </w:r>
      <w:r>
        <w:rPr>
          <w:rFonts w:ascii="宋体" w:hAnsi="宋体" w:eastAsia="宋体" w:cs="宋体"/>
          <w:spacing w:val="6"/>
          <w:sz w:val="23"/>
          <w:szCs w:val="23"/>
        </w:rPr>
        <w:t xml:space="preserve">洗字清洗废水呈碱性，主要污染因子为 </w:t>
      </w:r>
      <w:r>
        <w:rPr>
          <w:rFonts w:ascii="Times New Roman" w:hAnsi="Times New Roman" w:eastAsia="Times New Roman" w:cs="Times New Roman"/>
          <w:sz w:val="23"/>
          <w:szCs w:val="23"/>
        </w:rPr>
        <w:t>SS</w:t>
      </w:r>
      <w:r>
        <w:rPr>
          <w:rFonts w:ascii="宋体" w:hAnsi="宋体" w:eastAsia="宋体" w:cs="宋体"/>
          <w:spacing w:val="6"/>
          <w:sz w:val="23"/>
          <w:szCs w:val="23"/>
        </w:rPr>
        <w:t>。</w:t>
      </w:r>
    </w:p>
    <w:p w14:paraId="4C60C729">
      <w:pPr>
        <w:spacing w:before="134" w:line="303" w:lineRule="exact"/>
        <w:ind w:left="497"/>
        <w:rPr>
          <w:rFonts w:ascii="宋体" w:hAnsi="宋体" w:eastAsia="宋体" w:cs="宋体"/>
          <w:sz w:val="23"/>
          <w:szCs w:val="23"/>
        </w:rPr>
      </w:pPr>
      <w:r>
        <w:rPr>
          <w:rFonts w:ascii="Times New Roman" w:hAnsi="Times New Roman" w:eastAsia="Times New Roman" w:cs="Times New Roman"/>
          <w:spacing w:val="-1"/>
          <w:position w:val="1"/>
          <w:sz w:val="23"/>
          <w:szCs w:val="23"/>
        </w:rPr>
        <w:t xml:space="preserve">4 </w:t>
      </w:r>
      <w:r>
        <w:rPr>
          <w:rFonts w:ascii="宋体" w:hAnsi="宋体" w:eastAsia="宋体" w:cs="宋体"/>
          <w:spacing w:val="-1"/>
          <w:position w:val="1"/>
          <w:sz w:val="23"/>
          <w:szCs w:val="23"/>
        </w:rPr>
        <w:t>、二级清洗</w:t>
      </w:r>
    </w:p>
    <w:p w14:paraId="762CA60C">
      <w:pPr>
        <w:spacing w:line="243" w:lineRule="auto"/>
        <w:rPr>
          <w:rFonts w:ascii="Arial"/>
          <w:sz w:val="21"/>
        </w:rPr>
      </w:pPr>
    </w:p>
    <w:p w14:paraId="0083825E">
      <w:pPr>
        <w:spacing w:before="75" w:line="381" w:lineRule="auto"/>
        <w:ind w:left="23" w:right="8" w:firstLine="479"/>
        <w:rPr>
          <w:rFonts w:ascii="宋体" w:hAnsi="宋体" w:eastAsia="宋体" w:cs="宋体"/>
          <w:sz w:val="23"/>
          <w:szCs w:val="23"/>
        </w:rPr>
      </w:pPr>
      <w:r>
        <w:rPr>
          <w:rFonts w:ascii="宋体" w:hAnsi="宋体" w:eastAsia="宋体" w:cs="宋体"/>
          <w:spacing w:val="7"/>
          <w:sz w:val="23"/>
          <w:szCs w:val="23"/>
        </w:rPr>
        <w:t>洗掉字的破碎料送至偏心清洗机内，对原料进行二次清洗。二次清洗后的</w:t>
      </w:r>
      <w:r>
        <w:rPr>
          <w:rFonts w:ascii="宋体" w:hAnsi="宋体" w:eastAsia="宋体" w:cs="宋体"/>
          <w:spacing w:val="3"/>
          <w:sz w:val="23"/>
          <w:szCs w:val="23"/>
        </w:rPr>
        <w:t>物</w:t>
      </w:r>
      <w:r>
        <w:rPr>
          <w:rFonts w:ascii="宋体" w:hAnsi="宋体" w:eastAsia="宋体" w:cs="宋体"/>
          <w:sz w:val="23"/>
          <w:szCs w:val="23"/>
        </w:rPr>
        <w:t xml:space="preserve"> </w:t>
      </w:r>
      <w:r>
        <w:rPr>
          <w:rFonts w:ascii="宋体" w:hAnsi="宋体" w:eastAsia="宋体" w:cs="宋体"/>
          <w:spacing w:val="12"/>
          <w:sz w:val="23"/>
          <w:szCs w:val="23"/>
        </w:rPr>
        <w:t>料经沉</w:t>
      </w:r>
      <w:r>
        <w:rPr>
          <w:rFonts w:ascii="宋体" w:hAnsi="宋体" w:eastAsia="宋体" w:cs="宋体"/>
          <w:spacing w:val="8"/>
          <w:sz w:val="23"/>
          <w:szCs w:val="23"/>
        </w:rPr>
        <w:t>浮</w:t>
      </w:r>
      <w:r>
        <w:rPr>
          <w:rFonts w:ascii="宋体" w:hAnsi="宋体" w:eastAsia="宋体" w:cs="宋体"/>
          <w:spacing w:val="6"/>
          <w:sz w:val="23"/>
          <w:szCs w:val="23"/>
        </w:rPr>
        <w:t>分离水槽 (</w:t>
      </w:r>
      <w:r>
        <w:rPr>
          <w:rFonts w:ascii="Times New Roman" w:hAnsi="Times New Roman" w:eastAsia="Times New Roman" w:cs="Times New Roman"/>
          <w:spacing w:val="6"/>
          <w:sz w:val="23"/>
          <w:szCs w:val="23"/>
        </w:rPr>
        <w:t>15</w:t>
      </w:r>
      <w:r>
        <w:rPr>
          <w:rFonts w:ascii="Times New Roman" w:hAnsi="Times New Roman" w:eastAsia="Times New Roman" w:cs="Times New Roman"/>
          <w:sz w:val="23"/>
          <w:szCs w:val="23"/>
        </w:rPr>
        <w:t>m</w:t>
      </w:r>
      <w:r>
        <w:rPr>
          <w:rFonts w:ascii="Times New Roman" w:hAnsi="Times New Roman" w:eastAsia="Times New Roman" w:cs="Times New Roman"/>
          <w:spacing w:val="6"/>
          <w:sz w:val="23"/>
          <w:szCs w:val="23"/>
        </w:rPr>
        <w:t>×1.2</w:t>
      </w:r>
      <w:r>
        <w:rPr>
          <w:rFonts w:ascii="Times New Roman" w:hAnsi="Times New Roman" w:eastAsia="Times New Roman" w:cs="Times New Roman"/>
          <w:sz w:val="23"/>
          <w:szCs w:val="23"/>
        </w:rPr>
        <w:t>m</w:t>
      </w:r>
      <w:r>
        <w:rPr>
          <w:rFonts w:ascii="Times New Roman" w:hAnsi="Times New Roman" w:eastAsia="Times New Roman" w:cs="Times New Roman"/>
          <w:spacing w:val="6"/>
          <w:sz w:val="23"/>
          <w:szCs w:val="23"/>
        </w:rPr>
        <w:t>×1.5</w:t>
      </w:r>
      <w:r>
        <w:rPr>
          <w:rFonts w:ascii="Times New Roman" w:hAnsi="Times New Roman" w:eastAsia="Times New Roman" w:cs="Times New Roman"/>
          <w:sz w:val="23"/>
          <w:szCs w:val="23"/>
        </w:rPr>
        <w:t>m</w:t>
      </w:r>
      <w:r>
        <w:rPr>
          <w:rFonts w:ascii="宋体" w:hAnsi="宋体" w:eastAsia="宋体" w:cs="宋体"/>
          <w:spacing w:val="6"/>
          <w:sz w:val="23"/>
          <w:szCs w:val="23"/>
        </w:rPr>
        <w:t>) 将洗好的料分离出来，随后送至脱水机进</w:t>
      </w:r>
      <w:r>
        <w:rPr>
          <w:rFonts w:ascii="宋体" w:hAnsi="宋体" w:eastAsia="宋体" w:cs="宋体"/>
          <w:sz w:val="23"/>
          <w:szCs w:val="23"/>
        </w:rPr>
        <w:t xml:space="preserve"> </w:t>
      </w:r>
      <w:r>
        <w:rPr>
          <w:rFonts w:ascii="宋体" w:hAnsi="宋体" w:eastAsia="宋体" w:cs="宋体"/>
          <w:spacing w:val="9"/>
          <w:sz w:val="23"/>
          <w:szCs w:val="23"/>
        </w:rPr>
        <w:t>行</w:t>
      </w:r>
      <w:r>
        <w:rPr>
          <w:rFonts w:ascii="宋体" w:hAnsi="宋体" w:eastAsia="宋体" w:cs="宋体"/>
          <w:spacing w:val="7"/>
          <w:sz w:val="23"/>
          <w:szCs w:val="23"/>
        </w:rPr>
        <w:t>脱水。清洗工序采用自动控制和清洗水循环利用。清洗过程中不用任何的清洗</w:t>
      </w:r>
      <w:r>
        <w:rPr>
          <w:rFonts w:ascii="宋体" w:hAnsi="宋体" w:eastAsia="宋体" w:cs="宋体"/>
          <w:sz w:val="23"/>
          <w:szCs w:val="23"/>
        </w:rPr>
        <w:t xml:space="preserve"> </w:t>
      </w:r>
      <w:r>
        <w:rPr>
          <w:rFonts w:ascii="宋体" w:hAnsi="宋体" w:eastAsia="宋体" w:cs="宋体"/>
          <w:spacing w:val="9"/>
          <w:sz w:val="23"/>
          <w:szCs w:val="23"/>
        </w:rPr>
        <w:t>剂</w:t>
      </w:r>
      <w:r>
        <w:rPr>
          <w:rFonts w:ascii="宋体" w:hAnsi="宋体" w:eastAsia="宋体" w:cs="宋体"/>
          <w:spacing w:val="7"/>
          <w:sz w:val="23"/>
          <w:szCs w:val="23"/>
        </w:rPr>
        <w:t>，废旧塑料编织袋的清洗主要去除的破碎后的粘附的灰尘。该生产工序产生的</w:t>
      </w:r>
      <w:r>
        <w:rPr>
          <w:rFonts w:ascii="宋体" w:hAnsi="宋体" w:eastAsia="宋体" w:cs="宋体"/>
          <w:sz w:val="23"/>
          <w:szCs w:val="23"/>
        </w:rPr>
        <w:t xml:space="preserve"> </w:t>
      </w:r>
      <w:r>
        <w:rPr>
          <w:rFonts w:ascii="宋体" w:hAnsi="宋体" w:eastAsia="宋体" w:cs="宋体"/>
          <w:spacing w:val="12"/>
          <w:sz w:val="23"/>
          <w:szCs w:val="23"/>
        </w:rPr>
        <w:t>主要</w:t>
      </w:r>
      <w:r>
        <w:rPr>
          <w:rFonts w:ascii="宋体" w:hAnsi="宋体" w:eastAsia="宋体" w:cs="宋体"/>
          <w:spacing w:val="9"/>
          <w:sz w:val="23"/>
          <w:szCs w:val="23"/>
        </w:rPr>
        <w:t>污</w:t>
      </w:r>
      <w:r>
        <w:rPr>
          <w:rFonts w:ascii="宋体" w:hAnsi="宋体" w:eastAsia="宋体" w:cs="宋体"/>
          <w:spacing w:val="6"/>
          <w:sz w:val="23"/>
          <w:szCs w:val="23"/>
        </w:rPr>
        <w:t xml:space="preserve">染物为二级清洗废水，主要污染因子为 </w:t>
      </w:r>
      <w:r>
        <w:rPr>
          <w:rFonts w:ascii="Times New Roman" w:hAnsi="Times New Roman" w:eastAsia="Times New Roman" w:cs="Times New Roman"/>
          <w:sz w:val="23"/>
          <w:szCs w:val="23"/>
        </w:rPr>
        <w:t>SS</w:t>
      </w:r>
      <w:r>
        <w:rPr>
          <w:rFonts w:ascii="宋体" w:hAnsi="宋体" w:eastAsia="宋体" w:cs="宋体"/>
          <w:spacing w:val="6"/>
          <w:sz w:val="23"/>
          <w:szCs w:val="23"/>
        </w:rPr>
        <w:t>。</w:t>
      </w:r>
    </w:p>
    <w:p w14:paraId="7E84451C">
      <w:pPr>
        <w:spacing w:before="143" w:line="303" w:lineRule="exact"/>
        <w:ind w:left="505"/>
        <w:rPr>
          <w:rFonts w:ascii="宋体" w:hAnsi="宋体" w:eastAsia="宋体" w:cs="宋体"/>
          <w:sz w:val="23"/>
          <w:szCs w:val="23"/>
        </w:rPr>
      </w:pPr>
      <w:r>
        <w:rPr>
          <w:rFonts w:ascii="Times New Roman" w:hAnsi="Times New Roman" w:eastAsia="Times New Roman" w:cs="Times New Roman"/>
          <w:spacing w:val="-7"/>
          <w:position w:val="2"/>
          <w:sz w:val="23"/>
          <w:szCs w:val="23"/>
        </w:rPr>
        <w:t xml:space="preserve">5 </w:t>
      </w:r>
      <w:r>
        <w:rPr>
          <w:rFonts w:ascii="宋体" w:hAnsi="宋体" w:eastAsia="宋体" w:cs="宋体"/>
          <w:spacing w:val="-7"/>
          <w:position w:val="2"/>
          <w:sz w:val="23"/>
          <w:szCs w:val="23"/>
        </w:rPr>
        <w:t>、脱水</w:t>
      </w:r>
    </w:p>
    <w:p w14:paraId="0287A659">
      <w:pPr>
        <w:spacing w:line="256" w:lineRule="auto"/>
        <w:rPr>
          <w:rFonts w:ascii="Arial"/>
          <w:sz w:val="21"/>
        </w:rPr>
      </w:pPr>
    </w:p>
    <w:p w14:paraId="581EB16B">
      <w:pPr>
        <w:spacing w:before="75" w:line="227" w:lineRule="auto"/>
        <w:ind w:left="503"/>
        <w:rPr>
          <w:rFonts w:ascii="宋体" w:hAnsi="宋体" w:eastAsia="宋体" w:cs="宋体"/>
          <w:sz w:val="23"/>
          <w:szCs w:val="23"/>
        </w:rPr>
      </w:pPr>
      <w:r>
        <w:rPr>
          <w:rFonts w:ascii="宋体" w:hAnsi="宋体" w:eastAsia="宋体" w:cs="宋体"/>
          <w:spacing w:val="7"/>
          <w:sz w:val="23"/>
          <w:szCs w:val="23"/>
        </w:rPr>
        <w:t>清洗后的废塑料送进脱水机去除物料中的水分，甩出废水流入一体化污水</w:t>
      </w:r>
      <w:r>
        <w:rPr>
          <w:rFonts w:ascii="宋体" w:hAnsi="宋体" w:eastAsia="宋体" w:cs="宋体"/>
          <w:spacing w:val="3"/>
          <w:sz w:val="23"/>
          <w:szCs w:val="23"/>
        </w:rPr>
        <w:t>预</w:t>
      </w:r>
    </w:p>
    <w:p w14:paraId="248DD1A8">
      <w:pPr>
        <w:sectPr>
          <w:headerReference r:id="rId114" w:type="default"/>
          <w:footerReference r:id="rId115" w:type="default"/>
          <w:pgSz w:w="11906" w:h="16839"/>
          <w:pgMar w:top="1132" w:right="1785" w:bottom="1182" w:left="1785" w:header="878" w:footer="1022" w:gutter="0"/>
          <w:cols w:space="720" w:num="1"/>
        </w:sectPr>
      </w:pPr>
    </w:p>
    <w:p w14:paraId="73471371">
      <w:pPr>
        <w:spacing w:line="409" w:lineRule="auto"/>
        <w:rPr>
          <w:rFonts w:ascii="Arial"/>
          <w:sz w:val="21"/>
        </w:rPr>
      </w:pPr>
      <w:r>
        <w:pict>
          <v:shape id="_x0000_s1154" o:spid="_x0000_s1154" style="position:absolute;left:0pt;margin-left:90pt;margin-top:57.35pt;height:0.75pt;width:415.3pt;mso-position-horizontal-relative:page;mso-position-vertical-relative:page;z-index:251801600;mso-width-relative:page;mso-height-relative:page;" fillcolor="#000000" filled="t" stroked="f" coordsize="8305,15" o:allowincell="f" path="m0,0l8305,0,8305,14,0,14,0,0xe">
            <v:path/>
            <v:fill on="t" focussize="0,0"/>
            <v:stroke on="f"/>
            <v:imagedata o:title=""/>
            <o:lock v:ext="edit"/>
          </v:shape>
        </w:pict>
      </w:r>
    </w:p>
    <w:p w14:paraId="2C64A6E2">
      <w:pPr>
        <w:spacing w:before="74" w:line="393" w:lineRule="auto"/>
        <w:ind w:left="22" w:right="82" w:firstLine="5"/>
        <w:rPr>
          <w:rFonts w:ascii="宋体" w:hAnsi="宋体" w:eastAsia="宋体" w:cs="宋体"/>
          <w:sz w:val="23"/>
          <w:szCs w:val="23"/>
        </w:rPr>
      </w:pPr>
      <w:r>
        <w:rPr>
          <w:rFonts w:ascii="宋体" w:hAnsi="宋体" w:eastAsia="宋体" w:cs="宋体"/>
          <w:spacing w:val="7"/>
          <w:sz w:val="23"/>
          <w:szCs w:val="23"/>
        </w:rPr>
        <w:t>处理设备及三级沉淀池处理后循环使用。脱水后的物料暂存至生产厂房中部的</w:t>
      </w:r>
      <w:r>
        <w:rPr>
          <w:rFonts w:ascii="宋体" w:hAnsi="宋体" w:eastAsia="宋体" w:cs="宋体"/>
          <w:spacing w:val="4"/>
          <w:sz w:val="23"/>
          <w:szCs w:val="23"/>
        </w:rPr>
        <w:t>破</w:t>
      </w:r>
      <w:r>
        <w:rPr>
          <w:rFonts w:ascii="宋体" w:hAnsi="宋体" w:eastAsia="宋体" w:cs="宋体"/>
          <w:sz w:val="23"/>
          <w:szCs w:val="23"/>
        </w:rPr>
        <w:t xml:space="preserve"> </w:t>
      </w:r>
      <w:r>
        <w:rPr>
          <w:rFonts w:ascii="宋体" w:hAnsi="宋体" w:eastAsia="宋体" w:cs="宋体"/>
          <w:spacing w:val="6"/>
          <w:sz w:val="23"/>
          <w:szCs w:val="23"/>
        </w:rPr>
        <w:t>碎</w:t>
      </w:r>
      <w:r>
        <w:rPr>
          <w:rFonts w:ascii="宋体" w:hAnsi="宋体" w:eastAsia="宋体" w:cs="宋体"/>
          <w:spacing w:val="5"/>
          <w:sz w:val="23"/>
          <w:szCs w:val="23"/>
        </w:rPr>
        <w:t>料堆。</w:t>
      </w:r>
    </w:p>
    <w:p w14:paraId="708986E1">
      <w:pPr>
        <w:spacing w:before="136" w:line="303" w:lineRule="exact"/>
        <w:ind w:left="504"/>
        <w:rPr>
          <w:rFonts w:ascii="宋体" w:hAnsi="宋体" w:eastAsia="宋体" w:cs="宋体"/>
          <w:sz w:val="23"/>
          <w:szCs w:val="23"/>
        </w:rPr>
      </w:pPr>
      <w:r>
        <w:rPr>
          <w:rFonts w:ascii="Times New Roman" w:hAnsi="Times New Roman" w:eastAsia="Times New Roman" w:cs="Times New Roman"/>
          <w:spacing w:val="-9"/>
          <w:position w:val="1"/>
          <w:sz w:val="23"/>
          <w:szCs w:val="23"/>
        </w:rPr>
        <w:t>6</w:t>
      </w:r>
      <w:r>
        <w:rPr>
          <w:rFonts w:ascii="Times New Roman" w:hAnsi="Times New Roman" w:eastAsia="Times New Roman" w:cs="Times New Roman"/>
          <w:spacing w:val="-6"/>
          <w:position w:val="1"/>
          <w:sz w:val="23"/>
          <w:szCs w:val="23"/>
        </w:rPr>
        <w:t xml:space="preserve"> </w:t>
      </w:r>
      <w:r>
        <w:rPr>
          <w:rFonts w:ascii="宋体" w:hAnsi="宋体" w:eastAsia="宋体" w:cs="宋体"/>
          <w:spacing w:val="-6"/>
          <w:position w:val="1"/>
          <w:sz w:val="23"/>
          <w:szCs w:val="23"/>
        </w:rPr>
        <w:t>、上料</w:t>
      </w:r>
    </w:p>
    <w:p w14:paraId="1A735AA4">
      <w:pPr>
        <w:spacing w:line="257" w:lineRule="auto"/>
        <w:rPr>
          <w:rFonts w:ascii="Arial"/>
          <w:sz w:val="21"/>
        </w:rPr>
      </w:pPr>
    </w:p>
    <w:p w14:paraId="6CCD0AE4">
      <w:pPr>
        <w:spacing w:before="75" w:line="393" w:lineRule="auto"/>
        <w:ind w:left="35" w:right="82" w:firstLine="468"/>
        <w:rPr>
          <w:rFonts w:ascii="宋体" w:hAnsi="宋体" w:eastAsia="宋体" w:cs="宋体"/>
          <w:sz w:val="23"/>
          <w:szCs w:val="23"/>
        </w:rPr>
      </w:pPr>
      <w:r>
        <w:rPr>
          <w:rFonts w:ascii="宋体" w:hAnsi="宋体" w:eastAsia="宋体" w:cs="宋体"/>
          <w:spacing w:val="7"/>
          <w:sz w:val="23"/>
          <w:szCs w:val="23"/>
        </w:rPr>
        <w:t>脱水后的废旧塑料原料自动上料，通过提料机将其提送到皮带上进行运输</w:t>
      </w:r>
      <w:r>
        <w:rPr>
          <w:rFonts w:ascii="宋体" w:hAnsi="宋体" w:eastAsia="宋体" w:cs="宋体"/>
          <w:spacing w:val="2"/>
          <w:sz w:val="23"/>
          <w:szCs w:val="23"/>
        </w:rPr>
        <w:t>到</w:t>
      </w:r>
      <w:r>
        <w:rPr>
          <w:rFonts w:ascii="宋体" w:hAnsi="宋体" w:eastAsia="宋体" w:cs="宋体"/>
          <w:sz w:val="23"/>
          <w:szCs w:val="23"/>
        </w:rPr>
        <w:t xml:space="preserve"> </w:t>
      </w:r>
      <w:r>
        <w:rPr>
          <w:rFonts w:ascii="宋体" w:hAnsi="宋体" w:eastAsia="宋体" w:cs="宋体"/>
          <w:spacing w:val="2"/>
          <w:sz w:val="23"/>
          <w:szCs w:val="23"/>
        </w:rPr>
        <w:t>喂料口。</w:t>
      </w:r>
    </w:p>
    <w:p w14:paraId="67F74FB3">
      <w:pPr>
        <w:spacing w:before="135" w:line="303" w:lineRule="exact"/>
        <w:ind w:left="502"/>
        <w:rPr>
          <w:rFonts w:ascii="宋体" w:hAnsi="宋体" w:eastAsia="宋体" w:cs="宋体"/>
          <w:sz w:val="23"/>
          <w:szCs w:val="23"/>
        </w:rPr>
      </w:pPr>
      <w:r>
        <w:rPr>
          <w:rFonts w:ascii="Times New Roman" w:hAnsi="Times New Roman" w:eastAsia="Times New Roman" w:cs="Times New Roman"/>
          <w:spacing w:val="-1"/>
          <w:position w:val="2"/>
          <w:sz w:val="23"/>
          <w:szCs w:val="23"/>
        </w:rPr>
        <w:t xml:space="preserve">7 </w:t>
      </w:r>
      <w:r>
        <w:rPr>
          <w:rFonts w:ascii="宋体" w:hAnsi="宋体" w:eastAsia="宋体" w:cs="宋体"/>
          <w:position w:val="2"/>
          <w:sz w:val="23"/>
          <w:szCs w:val="23"/>
        </w:rPr>
        <w:t>、挤出、造粒</w:t>
      </w:r>
    </w:p>
    <w:p w14:paraId="67D5E449">
      <w:pPr>
        <w:spacing w:line="255" w:lineRule="auto"/>
        <w:rPr>
          <w:rFonts w:ascii="Arial"/>
          <w:sz w:val="21"/>
        </w:rPr>
      </w:pPr>
    </w:p>
    <w:p w14:paraId="47F73987">
      <w:pPr>
        <w:spacing w:before="76" w:line="384" w:lineRule="auto"/>
        <w:ind w:left="23" w:firstLine="479"/>
        <w:rPr>
          <w:rFonts w:ascii="宋体" w:hAnsi="宋体" w:eastAsia="宋体" w:cs="宋体"/>
          <w:sz w:val="23"/>
          <w:szCs w:val="23"/>
        </w:rPr>
      </w:pPr>
      <w:r>
        <w:rPr>
          <w:rFonts w:ascii="宋体" w:hAnsi="宋体" w:eastAsia="宋体" w:cs="宋体"/>
          <w:spacing w:val="25"/>
          <w:sz w:val="23"/>
          <w:szCs w:val="23"/>
        </w:rPr>
        <w:t>破</w:t>
      </w:r>
      <w:r>
        <w:rPr>
          <w:rFonts w:ascii="宋体" w:hAnsi="宋体" w:eastAsia="宋体" w:cs="宋体"/>
          <w:spacing w:val="22"/>
          <w:sz w:val="23"/>
          <w:szCs w:val="23"/>
        </w:rPr>
        <w:t>碎后的废旧塑料通过喂料口进入电磁加热设备热混机进行加热，达到</w:t>
      </w:r>
      <w:r>
        <w:rPr>
          <w:rFonts w:ascii="宋体" w:hAnsi="宋体" w:eastAsia="宋体" w:cs="宋体"/>
          <w:sz w:val="23"/>
          <w:szCs w:val="23"/>
        </w:rPr>
        <w:t xml:space="preserve"> </w:t>
      </w:r>
      <w:r>
        <w:rPr>
          <w:rFonts w:ascii="Times New Roman" w:hAnsi="Times New Roman" w:eastAsia="Times New Roman" w:cs="Times New Roman"/>
          <w:spacing w:val="14"/>
          <w:sz w:val="23"/>
          <w:szCs w:val="23"/>
        </w:rPr>
        <w:t>1</w:t>
      </w:r>
      <w:r>
        <w:rPr>
          <w:rFonts w:ascii="Times New Roman" w:hAnsi="Times New Roman" w:eastAsia="Times New Roman" w:cs="Times New Roman"/>
          <w:spacing w:val="9"/>
          <w:sz w:val="23"/>
          <w:szCs w:val="23"/>
        </w:rPr>
        <w:t>50~220℃</w:t>
      </w:r>
      <w:r>
        <w:rPr>
          <w:rFonts w:ascii="宋体" w:hAnsi="宋体" w:eastAsia="宋体" w:cs="宋体"/>
          <w:spacing w:val="9"/>
          <w:sz w:val="23"/>
          <w:szCs w:val="23"/>
        </w:rPr>
        <w:t>的物料通过单螺杆挤出机将熔融状态的塑料挤出。该项目热混机及挤</w:t>
      </w:r>
      <w:r>
        <w:rPr>
          <w:rFonts w:ascii="宋体" w:hAnsi="宋体" w:eastAsia="宋体" w:cs="宋体"/>
          <w:sz w:val="23"/>
          <w:szCs w:val="23"/>
        </w:rPr>
        <w:t xml:space="preserve"> </w:t>
      </w:r>
      <w:r>
        <w:rPr>
          <w:rFonts w:ascii="宋体" w:hAnsi="宋体" w:eastAsia="宋体" w:cs="宋体"/>
          <w:spacing w:val="9"/>
          <w:sz w:val="23"/>
          <w:szCs w:val="23"/>
        </w:rPr>
        <w:t>出</w:t>
      </w:r>
      <w:r>
        <w:rPr>
          <w:rFonts w:ascii="宋体" w:hAnsi="宋体" w:eastAsia="宋体" w:cs="宋体"/>
          <w:spacing w:val="7"/>
          <w:sz w:val="23"/>
          <w:szCs w:val="23"/>
        </w:rPr>
        <w:t>机采用分体全自动配电系统，充分利用高压摩擦不间断升温系统，自动加热生</w:t>
      </w:r>
      <w:r>
        <w:rPr>
          <w:rFonts w:ascii="宋体" w:hAnsi="宋体" w:eastAsia="宋体" w:cs="宋体"/>
          <w:sz w:val="23"/>
          <w:szCs w:val="23"/>
        </w:rPr>
        <w:t xml:space="preserve"> </w:t>
      </w:r>
      <w:r>
        <w:rPr>
          <w:rFonts w:ascii="宋体" w:hAnsi="宋体" w:eastAsia="宋体" w:cs="宋体"/>
          <w:spacing w:val="7"/>
          <w:sz w:val="23"/>
          <w:szCs w:val="23"/>
        </w:rPr>
        <w:t>产，避免了连续加热。在此控制温度下，塑料颗粒不会发生分解反应 (分解温</w:t>
      </w:r>
      <w:r>
        <w:rPr>
          <w:rFonts w:ascii="宋体" w:hAnsi="宋体" w:eastAsia="宋体" w:cs="宋体"/>
          <w:spacing w:val="2"/>
          <w:sz w:val="23"/>
          <w:szCs w:val="23"/>
        </w:rPr>
        <w:t>度</w:t>
      </w:r>
      <w:r>
        <w:rPr>
          <w:rFonts w:ascii="宋体" w:hAnsi="宋体" w:eastAsia="宋体" w:cs="宋体"/>
          <w:sz w:val="23"/>
          <w:szCs w:val="23"/>
        </w:rPr>
        <w:t xml:space="preserve"> </w:t>
      </w:r>
      <w:r>
        <w:rPr>
          <w:rFonts w:ascii="宋体" w:hAnsi="宋体" w:eastAsia="宋体" w:cs="宋体"/>
          <w:spacing w:val="4"/>
          <w:sz w:val="23"/>
          <w:szCs w:val="23"/>
        </w:rPr>
        <w:t>为</w:t>
      </w:r>
      <w:r>
        <w:rPr>
          <w:rFonts w:ascii="宋体" w:hAnsi="宋体" w:eastAsia="宋体" w:cs="宋体"/>
          <w:spacing w:val="2"/>
          <w:sz w:val="23"/>
          <w:szCs w:val="23"/>
        </w:rPr>
        <w:t xml:space="preserve"> </w:t>
      </w:r>
      <w:r>
        <w:rPr>
          <w:rFonts w:ascii="Times New Roman" w:hAnsi="Times New Roman" w:eastAsia="Times New Roman" w:cs="Times New Roman"/>
          <w:spacing w:val="2"/>
          <w:sz w:val="23"/>
          <w:szCs w:val="23"/>
        </w:rPr>
        <w:t>328~410℃</w:t>
      </w:r>
      <w:r>
        <w:rPr>
          <w:rFonts w:ascii="宋体" w:hAnsi="宋体" w:eastAsia="宋体" w:cs="宋体"/>
          <w:spacing w:val="2"/>
          <w:sz w:val="23"/>
          <w:szCs w:val="23"/>
        </w:rPr>
        <w:t>) 。本项目塑化加热会产生少量的有机废气，以非甲烷总烃气体计。</w:t>
      </w:r>
      <w:r>
        <w:rPr>
          <w:rFonts w:ascii="宋体" w:hAnsi="宋体" w:eastAsia="宋体" w:cs="宋体"/>
          <w:sz w:val="23"/>
          <w:szCs w:val="23"/>
        </w:rPr>
        <w:t xml:space="preserve"> </w:t>
      </w:r>
      <w:r>
        <w:rPr>
          <w:rFonts w:ascii="宋体" w:hAnsi="宋体" w:eastAsia="宋体" w:cs="宋体"/>
          <w:spacing w:val="12"/>
          <w:sz w:val="23"/>
          <w:szCs w:val="23"/>
        </w:rPr>
        <w:t>该</w:t>
      </w:r>
      <w:r>
        <w:rPr>
          <w:rFonts w:ascii="宋体" w:hAnsi="宋体" w:eastAsia="宋体" w:cs="宋体"/>
          <w:spacing w:val="9"/>
          <w:sz w:val="23"/>
          <w:szCs w:val="23"/>
        </w:rPr>
        <w:t>生产工序过程产生的主要污染为非甲烷总烃气体。</w:t>
      </w:r>
    </w:p>
    <w:p w14:paraId="571F7665">
      <w:pPr>
        <w:spacing w:before="166" w:line="303" w:lineRule="exact"/>
        <w:ind w:left="508"/>
        <w:rPr>
          <w:rFonts w:ascii="宋体" w:hAnsi="宋体" w:eastAsia="宋体" w:cs="宋体"/>
          <w:sz w:val="23"/>
          <w:szCs w:val="23"/>
        </w:rPr>
      </w:pPr>
      <w:r>
        <w:rPr>
          <w:rFonts w:ascii="Times New Roman" w:hAnsi="Times New Roman" w:eastAsia="Times New Roman" w:cs="Times New Roman"/>
          <w:spacing w:val="-10"/>
          <w:position w:val="1"/>
          <w:sz w:val="23"/>
          <w:szCs w:val="23"/>
        </w:rPr>
        <w:t>8</w:t>
      </w:r>
      <w:r>
        <w:rPr>
          <w:rFonts w:ascii="Times New Roman" w:hAnsi="Times New Roman" w:eastAsia="Times New Roman" w:cs="Times New Roman"/>
          <w:spacing w:val="-7"/>
          <w:position w:val="1"/>
          <w:sz w:val="23"/>
          <w:szCs w:val="23"/>
        </w:rPr>
        <w:t xml:space="preserve"> </w:t>
      </w:r>
      <w:r>
        <w:rPr>
          <w:rFonts w:ascii="宋体" w:hAnsi="宋体" w:eastAsia="宋体" w:cs="宋体"/>
          <w:spacing w:val="-7"/>
          <w:position w:val="1"/>
          <w:sz w:val="23"/>
          <w:szCs w:val="23"/>
        </w:rPr>
        <w:t>、拉丝</w:t>
      </w:r>
    </w:p>
    <w:p w14:paraId="33F53159">
      <w:pPr>
        <w:spacing w:line="255" w:lineRule="auto"/>
        <w:rPr>
          <w:rFonts w:ascii="Arial"/>
          <w:sz w:val="21"/>
        </w:rPr>
      </w:pPr>
    </w:p>
    <w:p w14:paraId="2DEFE332">
      <w:pPr>
        <w:spacing w:before="76" w:line="393" w:lineRule="auto"/>
        <w:ind w:left="25" w:right="82" w:firstLine="478"/>
        <w:rPr>
          <w:rFonts w:ascii="宋体" w:hAnsi="宋体" w:eastAsia="宋体" w:cs="宋体"/>
          <w:sz w:val="23"/>
          <w:szCs w:val="23"/>
        </w:rPr>
      </w:pPr>
      <w:r>
        <w:rPr>
          <w:rFonts w:ascii="宋体" w:hAnsi="宋体" w:eastAsia="宋体" w:cs="宋体"/>
          <w:spacing w:val="7"/>
          <w:sz w:val="23"/>
          <w:szCs w:val="23"/>
        </w:rPr>
        <w:t>挤出的熔融状态塑料通过料口进入拉丝机进行拉丝。该生产工序过程产生</w:t>
      </w:r>
      <w:r>
        <w:rPr>
          <w:rFonts w:ascii="宋体" w:hAnsi="宋体" w:eastAsia="宋体" w:cs="宋体"/>
          <w:spacing w:val="3"/>
          <w:sz w:val="23"/>
          <w:szCs w:val="23"/>
        </w:rPr>
        <w:t>的</w:t>
      </w:r>
      <w:r>
        <w:rPr>
          <w:rFonts w:ascii="宋体" w:hAnsi="宋体" w:eastAsia="宋体" w:cs="宋体"/>
          <w:sz w:val="23"/>
          <w:szCs w:val="23"/>
        </w:rPr>
        <w:t xml:space="preserve"> </w:t>
      </w:r>
      <w:r>
        <w:rPr>
          <w:rFonts w:ascii="宋体" w:hAnsi="宋体" w:eastAsia="宋体" w:cs="宋体"/>
          <w:spacing w:val="9"/>
          <w:sz w:val="23"/>
          <w:szCs w:val="23"/>
        </w:rPr>
        <w:t>主要污染物为非甲烷总烃气体以及边角料</w:t>
      </w:r>
      <w:r>
        <w:rPr>
          <w:rFonts w:ascii="宋体" w:hAnsi="宋体" w:eastAsia="宋体" w:cs="宋体"/>
          <w:spacing w:val="6"/>
          <w:sz w:val="23"/>
          <w:szCs w:val="23"/>
        </w:rPr>
        <w:t>。</w:t>
      </w:r>
    </w:p>
    <w:p w14:paraId="553865F7">
      <w:pPr>
        <w:spacing w:before="137" w:line="303" w:lineRule="exact"/>
        <w:ind w:left="503"/>
        <w:rPr>
          <w:rFonts w:ascii="宋体" w:hAnsi="宋体" w:eastAsia="宋体" w:cs="宋体"/>
          <w:sz w:val="23"/>
          <w:szCs w:val="23"/>
        </w:rPr>
      </w:pPr>
      <w:r>
        <w:rPr>
          <w:rFonts w:ascii="Times New Roman" w:hAnsi="Times New Roman" w:eastAsia="Times New Roman" w:cs="Times New Roman"/>
          <w:spacing w:val="-9"/>
          <w:position w:val="1"/>
          <w:sz w:val="23"/>
          <w:szCs w:val="23"/>
        </w:rPr>
        <w:t>9</w:t>
      </w:r>
      <w:r>
        <w:rPr>
          <w:rFonts w:ascii="Times New Roman" w:hAnsi="Times New Roman" w:eastAsia="Times New Roman" w:cs="Times New Roman"/>
          <w:spacing w:val="-6"/>
          <w:position w:val="1"/>
          <w:sz w:val="23"/>
          <w:szCs w:val="23"/>
        </w:rPr>
        <w:t xml:space="preserve"> </w:t>
      </w:r>
      <w:r>
        <w:rPr>
          <w:rFonts w:ascii="宋体" w:hAnsi="宋体" w:eastAsia="宋体" w:cs="宋体"/>
          <w:spacing w:val="-6"/>
          <w:position w:val="1"/>
          <w:sz w:val="23"/>
          <w:szCs w:val="23"/>
        </w:rPr>
        <w:t>、冷却</w:t>
      </w:r>
    </w:p>
    <w:p w14:paraId="5F74D067">
      <w:pPr>
        <w:spacing w:line="257" w:lineRule="auto"/>
        <w:rPr>
          <w:rFonts w:ascii="Arial"/>
          <w:sz w:val="21"/>
        </w:rPr>
      </w:pPr>
    </w:p>
    <w:p w14:paraId="741D9ED9">
      <w:pPr>
        <w:spacing w:before="76" w:line="389" w:lineRule="auto"/>
        <w:ind w:left="23" w:right="21" w:firstLine="485"/>
        <w:rPr>
          <w:rFonts w:ascii="宋体" w:hAnsi="宋体" w:eastAsia="宋体" w:cs="宋体"/>
          <w:sz w:val="23"/>
          <w:szCs w:val="23"/>
        </w:rPr>
      </w:pPr>
      <w:r>
        <w:rPr>
          <w:rFonts w:ascii="宋体" w:hAnsi="宋体" w:eastAsia="宋体" w:cs="宋体"/>
          <w:spacing w:val="2"/>
          <w:sz w:val="23"/>
          <w:szCs w:val="23"/>
        </w:rPr>
        <w:t>原料在单螺杆挤出机经过模头挤出成条状</w:t>
      </w:r>
      <w:r>
        <w:rPr>
          <w:rFonts w:ascii="宋体" w:hAnsi="宋体" w:eastAsia="宋体" w:cs="宋体"/>
          <w:spacing w:val="1"/>
          <w:sz w:val="23"/>
          <w:szCs w:val="23"/>
        </w:rPr>
        <w:t>，在熔融挤出时，要经过铁丝滤网，</w:t>
      </w:r>
      <w:r>
        <w:rPr>
          <w:rFonts w:ascii="宋体" w:hAnsi="宋体" w:eastAsia="宋体" w:cs="宋体"/>
          <w:sz w:val="23"/>
          <w:szCs w:val="23"/>
        </w:rPr>
        <w:t xml:space="preserve"> </w:t>
      </w:r>
      <w:r>
        <w:rPr>
          <w:rFonts w:ascii="宋体" w:hAnsi="宋体" w:eastAsia="宋体" w:cs="宋体"/>
          <w:spacing w:val="9"/>
          <w:sz w:val="23"/>
          <w:szCs w:val="23"/>
        </w:rPr>
        <w:t>过滤掉物料中的杂质，铁丝滤网定期更换，经滤网过滤后的物料被挤压成丝状</w:t>
      </w:r>
      <w:r>
        <w:rPr>
          <w:rFonts w:ascii="宋体" w:hAnsi="宋体" w:eastAsia="宋体" w:cs="宋体"/>
          <w:spacing w:val="2"/>
          <w:sz w:val="23"/>
          <w:szCs w:val="23"/>
        </w:rPr>
        <w:t>，</w:t>
      </w:r>
      <w:r>
        <w:rPr>
          <w:rFonts w:ascii="宋体" w:hAnsi="宋体" w:eastAsia="宋体" w:cs="宋体"/>
          <w:sz w:val="23"/>
          <w:szCs w:val="23"/>
        </w:rPr>
        <w:t xml:space="preserve"> </w:t>
      </w:r>
      <w:r>
        <w:rPr>
          <w:rFonts w:ascii="宋体" w:hAnsi="宋体" w:eastAsia="宋体" w:cs="宋体"/>
          <w:spacing w:val="9"/>
          <w:sz w:val="23"/>
          <w:szCs w:val="23"/>
        </w:rPr>
        <w:t>再</w:t>
      </w:r>
      <w:r>
        <w:rPr>
          <w:rFonts w:ascii="宋体" w:hAnsi="宋体" w:eastAsia="宋体" w:cs="宋体"/>
          <w:spacing w:val="7"/>
          <w:sz w:val="23"/>
          <w:szCs w:val="23"/>
        </w:rPr>
        <w:t>经过冷却池冷却，并用鼓风机风干。此过程中，冷却水是经过冷却循环水池循</w:t>
      </w:r>
      <w:r>
        <w:rPr>
          <w:rFonts w:ascii="宋体" w:hAnsi="宋体" w:eastAsia="宋体" w:cs="宋体"/>
          <w:sz w:val="23"/>
          <w:szCs w:val="23"/>
        </w:rPr>
        <w:t xml:space="preserve"> </w:t>
      </w:r>
      <w:r>
        <w:rPr>
          <w:rFonts w:ascii="宋体" w:hAnsi="宋体" w:eastAsia="宋体" w:cs="宋体"/>
          <w:spacing w:val="18"/>
          <w:sz w:val="23"/>
          <w:szCs w:val="23"/>
        </w:rPr>
        <w:t>环</w:t>
      </w:r>
      <w:r>
        <w:rPr>
          <w:rFonts w:ascii="宋体" w:hAnsi="宋体" w:eastAsia="宋体" w:cs="宋体"/>
          <w:spacing w:val="10"/>
          <w:sz w:val="23"/>
          <w:szCs w:val="23"/>
        </w:rPr>
        <w:t>使</w:t>
      </w:r>
      <w:r>
        <w:rPr>
          <w:rFonts w:ascii="宋体" w:hAnsi="宋体" w:eastAsia="宋体" w:cs="宋体"/>
          <w:spacing w:val="9"/>
          <w:sz w:val="23"/>
          <w:szCs w:val="23"/>
        </w:rPr>
        <w:t>用，使水温保持低温，循环冷却水循环使用不排放，定期补充。</w:t>
      </w:r>
    </w:p>
    <w:p w14:paraId="5D237E2E">
      <w:pPr>
        <w:spacing w:before="136" w:line="303" w:lineRule="exact"/>
        <w:ind w:left="522"/>
        <w:rPr>
          <w:rFonts w:ascii="宋体" w:hAnsi="宋体" w:eastAsia="宋体" w:cs="宋体"/>
          <w:sz w:val="23"/>
          <w:szCs w:val="23"/>
        </w:rPr>
      </w:pPr>
      <w:r>
        <w:rPr>
          <w:rFonts w:ascii="Times New Roman" w:hAnsi="Times New Roman" w:eastAsia="Times New Roman" w:cs="Times New Roman"/>
          <w:spacing w:val="-11"/>
          <w:position w:val="1"/>
          <w:sz w:val="23"/>
          <w:szCs w:val="23"/>
        </w:rPr>
        <w:t>1</w:t>
      </w:r>
      <w:r>
        <w:rPr>
          <w:rFonts w:ascii="Times New Roman" w:hAnsi="Times New Roman" w:eastAsia="Times New Roman" w:cs="Times New Roman"/>
          <w:spacing w:val="-7"/>
          <w:position w:val="1"/>
          <w:sz w:val="23"/>
          <w:szCs w:val="23"/>
        </w:rPr>
        <w:t xml:space="preserve">0 </w:t>
      </w:r>
      <w:r>
        <w:rPr>
          <w:rFonts w:ascii="宋体" w:hAnsi="宋体" w:eastAsia="宋体" w:cs="宋体"/>
          <w:spacing w:val="-7"/>
          <w:position w:val="1"/>
          <w:sz w:val="23"/>
          <w:szCs w:val="23"/>
        </w:rPr>
        <w:t>、切粒</w:t>
      </w:r>
    </w:p>
    <w:p w14:paraId="7888EED2">
      <w:pPr>
        <w:spacing w:line="256" w:lineRule="auto"/>
        <w:rPr>
          <w:rFonts w:ascii="Arial"/>
          <w:sz w:val="21"/>
        </w:rPr>
      </w:pPr>
    </w:p>
    <w:p w14:paraId="1BE95A59">
      <w:pPr>
        <w:spacing w:before="76" w:line="393" w:lineRule="auto"/>
        <w:ind w:left="22" w:right="82" w:firstLine="482"/>
        <w:rPr>
          <w:rFonts w:ascii="宋体" w:hAnsi="宋体" w:eastAsia="宋体" w:cs="宋体"/>
          <w:sz w:val="23"/>
          <w:szCs w:val="23"/>
        </w:rPr>
      </w:pPr>
      <w:r>
        <w:rPr>
          <w:rFonts w:ascii="宋体" w:hAnsi="宋体" w:eastAsia="宋体" w:cs="宋体"/>
          <w:spacing w:val="26"/>
          <w:sz w:val="23"/>
          <w:szCs w:val="23"/>
        </w:rPr>
        <w:t>冷却后的塑料丝进入切粒机切成圆柱状颗粒 。再生塑料颗粒的粒径</w:t>
      </w:r>
      <w:r>
        <w:rPr>
          <w:rFonts w:ascii="宋体" w:hAnsi="宋体" w:eastAsia="宋体" w:cs="宋体"/>
          <w:spacing w:val="20"/>
          <w:sz w:val="23"/>
          <w:szCs w:val="23"/>
        </w:rPr>
        <w:t>在</w:t>
      </w:r>
      <w:r>
        <w:rPr>
          <w:rFonts w:ascii="宋体" w:hAnsi="宋体" w:eastAsia="宋体" w:cs="宋体"/>
          <w:sz w:val="23"/>
          <w:szCs w:val="23"/>
        </w:rPr>
        <w:t xml:space="preserve"> </w:t>
      </w:r>
      <w:r>
        <w:rPr>
          <w:rFonts w:ascii="Times New Roman" w:hAnsi="Times New Roman" w:eastAsia="Times New Roman" w:cs="Times New Roman"/>
          <w:spacing w:val="12"/>
          <w:sz w:val="23"/>
          <w:szCs w:val="23"/>
        </w:rPr>
        <w:t>0.7</w:t>
      </w:r>
      <w:r>
        <w:rPr>
          <w:rFonts w:ascii="Times New Roman" w:hAnsi="Times New Roman" w:eastAsia="Times New Roman" w:cs="Times New Roman"/>
          <w:spacing w:val="8"/>
          <w:sz w:val="23"/>
          <w:szCs w:val="23"/>
        </w:rPr>
        <w:t>-</w:t>
      </w:r>
      <w:r>
        <w:rPr>
          <w:rFonts w:ascii="Times New Roman" w:hAnsi="Times New Roman" w:eastAsia="Times New Roman" w:cs="Times New Roman"/>
          <w:spacing w:val="6"/>
          <w:sz w:val="23"/>
          <w:szCs w:val="23"/>
        </w:rPr>
        <w:t xml:space="preserve"> 1.5</w:t>
      </w:r>
      <w:r>
        <w:rPr>
          <w:rFonts w:ascii="Times New Roman" w:hAnsi="Times New Roman" w:eastAsia="Times New Roman" w:cs="Times New Roman"/>
          <w:sz w:val="23"/>
          <w:szCs w:val="23"/>
        </w:rPr>
        <w:t>mm</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范围内，塑料颗粒由于粒径较大，因此不会蓬散到空气中。</w:t>
      </w:r>
    </w:p>
    <w:p w14:paraId="11B71886">
      <w:pPr>
        <w:spacing w:before="136" w:line="303" w:lineRule="exact"/>
        <w:ind w:left="522"/>
        <w:rPr>
          <w:rFonts w:ascii="宋体" w:hAnsi="宋体" w:eastAsia="宋体" w:cs="宋体"/>
          <w:sz w:val="23"/>
          <w:szCs w:val="23"/>
        </w:rPr>
      </w:pPr>
      <w:r>
        <w:rPr>
          <w:rFonts w:ascii="Times New Roman" w:hAnsi="Times New Roman" w:eastAsia="Times New Roman" w:cs="Times New Roman"/>
          <w:spacing w:val="-8"/>
          <w:position w:val="1"/>
          <w:sz w:val="23"/>
          <w:szCs w:val="23"/>
        </w:rPr>
        <w:t>1</w:t>
      </w:r>
      <w:r>
        <w:rPr>
          <w:rFonts w:ascii="Times New Roman" w:hAnsi="Times New Roman" w:eastAsia="Times New Roman" w:cs="Times New Roman"/>
          <w:spacing w:val="-4"/>
          <w:position w:val="1"/>
          <w:sz w:val="23"/>
          <w:szCs w:val="23"/>
        </w:rPr>
        <w:t xml:space="preserve">1 </w:t>
      </w:r>
      <w:r>
        <w:rPr>
          <w:rFonts w:ascii="宋体" w:hAnsi="宋体" w:eastAsia="宋体" w:cs="宋体"/>
          <w:spacing w:val="-4"/>
          <w:position w:val="1"/>
          <w:sz w:val="23"/>
          <w:szCs w:val="23"/>
        </w:rPr>
        <w:t>、包装入库</w:t>
      </w:r>
    </w:p>
    <w:p w14:paraId="5E3D6C0F">
      <w:pPr>
        <w:spacing w:before="290" w:line="323" w:lineRule="exact"/>
        <w:ind w:left="504"/>
        <w:rPr>
          <w:rFonts w:ascii="宋体" w:hAnsi="宋体" w:eastAsia="宋体" w:cs="宋体"/>
          <w:sz w:val="23"/>
          <w:szCs w:val="23"/>
        </w:rPr>
      </w:pPr>
      <w:r>
        <w:rPr>
          <w:rFonts w:ascii="宋体" w:hAnsi="宋体" w:eastAsia="宋体" w:cs="宋体"/>
          <w:spacing w:val="7"/>
          <w:position w:val="3"/>
          <w:sz w:val="23"/>
          <w:szCs w:val="23"/>
        </w:rPr>
        <w:t xml:space="preserve">制成的塑料颗粒采用人工装袋方式装入 </w:t>
      </w:r>
      <w:r>
        <w:rPr>
          <w:rFonts w:ascii="Times New Roman" w:hAnsi="Times New Roman" w:eastAsia="Times New Roman" w:cs="Times New Roman"/>
          <w:spacing w:val="7"/>
          <w:position w:val="3"/>
          <w:sz w:val="23"/>
          <w:szCs w:val="23"/>
        </w:rPr>
        <w:t>25</w:t>
      </w:r>
      <w:r>
        <w:rPr>
          <w:rFonts w:ascii="Times New Roman" w:hAnsi="Times New Roman" w:eastAsia="Times New Roman" w:cs="Times New Roman"/>
          <w:position w:val="3"/>
          <w:sz w:val="23"/>
          <w:szCs w:val="23"/>
        </w:rPr>
        <w:t>kg</w:t>
      </w:r>
      <w:r>
        <w:rPr>
          <w:rFonts w:ascii="Times New Roman" w:hAnsi="Times New Roman" w:eastAsia="Times New Roman" w:cs="Times New Roman"/>
          <w:spacing w:val="7"/>
          <w:position w:val="3"/>
          <w:sz w:val="23"/>
          <w:szCs w:val="23"/>
        </w:rPr>
        <w:t xml:space="preserve"> </w:t>
      </w:r>
      <w:r>
        <w:rPr>
          <w:rFonts w:ascii="宋体" w:hAnsi="宋体" w:eastAsia="宋体" w:cs="宋体"/>
          <w:spacing w:val="7"/>
          <w:position w:val="3"/>
          <w:sz w:val="23"/>
          <w:szCs w:val="23"/>
        </w:rPr>
        <w:t>包装袋内，入库待售。</w:t>
      </w:r>
    </w:p>
    <w:p w14:paraId="789851FB">
      <w:pPr>
        <w:sectPr>
          <w:headerReference r:id="rId116" w:type="default"/>
          <w:footerReference r:id="rId117" w:type="default"/>
          <w:pgSz w:w="11906" w:h="16839"/>
          <w:pgMar w:top="1132" w:right="1716" w:bottom="1180" w:left="1785" w:header="878" w:footer="1022" w:gutter="0"/>
          <w:cols w:space="720" w:num="1"/>
        </w:sectPr>
      </w:pPr>
    </w:p>
    <w:p w14:paraId="6E996918">
      <w:pPr>
        <w:spacing w:line="420" w:lineRule="auto"/>
        <w:rPr>
          <w:rFonts w:ascii="Arial"/>
          <w:sz w:val="21"/>
        </w:rPr>
      </w:pPr>
      <w:r>
        <w:drawing>
          <wp:anchor distT="0" distB="0" distL="0" distR="0" simplePos="0" relativeHeight="251802624" behindDoc="1" locked="0" layoutInCell="0" allowOverlap="1">
            <wp:simplePos x="0" y="0"/>
            <wp:positionH relativeFrom="page">
              <wp:posOffset>2183765</wp:posOffset>
            </wp:positionH>
            <wp:positionV relativeFrom="page">
              <wp:posOffset>1981200</wp:posOffset>
            </wp:positionV>
            <wp:extent cx="2982595" cy="636905"/>
            <wp:effectExtent l="0" t="0" r="0" b="0"/>
            <wp:wrapNone/>
            <wp:docPr id="69" name="IM 69"/>
            <wp:cNvGraphicFramePr/>
            <a:graphic xmlns:a="http://schemas.openxmlformats.org/drawingml/2006/main">
              <a:graphicData uri="http://schemas.openxmlformats.org/drawingml/2006/picture">
                <pic:pic xmlns:pic="http://schemas.openxmlformats.org/drawingml/2006/picture">
                  <pic:nvPicPr>
                    <pic:cNvPr id="69" name="IM 69"/>
                    <pic:cNvPicPr/>
                  </pic:nvPicPr>
                  <pic:blipFill>
                    <a:blip r:embed="rId453"/>
                    <a:stretch>
                      <a:fillRect/>
                    </a:stretch>
                  </pic:blipFill>
                  <pic:spPr>
                    <a:xfrm>
                      <a:off x="0" y="0"/>
                      <a:ext cx="2982467" cy="637031"/>
                    </a:xfrm>
                    <a:prstGeom prst="rect">
                      <a:avLst/>
                    </a:prstGeom>
                  </pic:spPr>
                </pic:pic>
              </a:graphicData>
            </a:graphic>
          </wp:anchor>
        </w:drawing>
      </w:r>
      <w:r>
        <w:drawing>
          <wp:anchor distT="0" distB="0" distL="0" distR="0" simplePos="0" relativeHeight="251807744" behindDoc="0" locked="0" layoutInCell="0" allowOverlap="1">
            <wp:simplePos x="0" y="0"/>
            <wp:positionH relativeFrom="page">
              <wp:posOffset>3438525</wp:posOffset>
            </wp:positionH>
            <wp:positionV relativeFrom="page">
              <wp:posOffset>3083560</wp:posOffset>
            </wp:positionV>
            <wp:extent cx="76200" cy="252095"/>
            <wp:effectExtent l="0" t="0" r="0" b="0"/>
            <wp:wrapNone/>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454"/>
                    <a:stretch>
                      <a:fillRect/>
                    </a:stretch>
                  </pic:blipFill>
                  <pic:spPr>
                    <a:xfrm>
                      <a:off x="0" y="0"/>
                      <a:ext cx="76200" cy="252107"/>
                    </a:xfrm>
                    <a:prstGeom prst="rect">
                      <a:avLst/>
                    </a:prstGeom>
                  </pic:spPr>
                </pic:pic>
              </a:graphicData>
            </a:graphic>
          </wp:anchor>
        </w:drawing>
      </w:r>
      <w:r>
        <w:pict>
          <v:shape id="_x0000_s1155" o:spid="_x0000_s1155" o:spt="202" type="#_x0000_t202" style="position:absolute;left:0pt;margin-left:216.1pt;margin-top:258.25pt;height:14.35pt;width:11.95pt;mso-position-horizontal-relative:page;mso-position-vertical-relative:page;z-index:251804672;mso-width-relative:page;mso-height-relative:page;" filled="f" stroked="f" coordsize="21600,21600" o:allowincell="f">
            <v:path/>
            <v:fill on="f" focussize="0,0"/>
            <v:stroke on="f"/>
            <v:imagedata o:title=""/>
            <o:lock v:ext="edit" aspectratio="f"/>
            <v:textbox inset="0mm,0mm,0mm,0mm">
              <w:txbxContent>
                <w:p w14:paraId="253F19E4">
                  <w:pPr>
                    <w:spacing w:before="19" w:line="228" w:lineRule="auto"/>
                    <w:ind w:left="20"/>
                    <w:rPr>
                      <w:rFonts w:ascii="宋体" w:hAnsi="宋体" w:eastAsia="宋体" w:cs="宋体"/>
                      <w:sz w:val="20"/>
                      <w:szCs w:val="20"/>
                    </w:rPr>
                  </w:pPr>
                  <w:r>
                    <w:rPr>
                      <w:rFonts w:ascii="宋体" w:hAnsi="宋体" w:eastAsia="宋体" w:cs="宋体"/>
                      <w:sz w:val="20"/>
                      <w:szCs w:val="20"/>
                    </w:rPr>
                    <w:t>水</w:t>
                  </w:r>
                </w:p>
              </w:txbxContent>
            </v:textbox>
          </v:shape>
        </w:pict>
      </w:r>
      <w:r>
        <w:pict>
          <v:shape id="_x0000_s1156" o:spid="_x0000_s1156" o:spt="202" type="#_x0000_t202" style="position:absolute;left:0pt;margin-left:263pt;margin-top:267.95pt;height:17.65pt;width:146.95pt;mso-position-horizontal-relative:page;mso-position-vertical-relative:page;z-index:251806720;mso-width-relative:page;mso-height-relative:page;" filled="f" stroked="f" coordsize="21600,21600" o:allowincell="f">
            <v:path/>
            <v:fill on="f" focussize="0,0"/>
            <v:stroke on="f"/>
            <v:imagedata o:title=""/>
            <o:lock v:ext="edit" aspectratio="f"/>
            <v:textbox inset="0mm,0mm,0mm,0mm">
              <w:txbxContent>
                <w:p w14:paraId="4E97D4E8">
                  <w:pPr>
                    <w:spacing w:before="20" w:line="312" w:lineRule="exact"/>
                    <w:ind w:left="20"/>
                    <w:rPr>
                      <w:rFonts w:ascii="宋体" w:hAnsi="宋体" w:eastAsia="宋体" w:cs="宋体"/>
                      <w:sz w:val="19"/>
                      <w:szCs w:val="19"/>
                    </w:rPr>
                  </w:pPr>
                  <w:r>
                    <w:rPr>
                      <w:rFonts w:ascii="宋体" w:hAnsi="宋体" w:eastAsia="宋体" w:cs="宋体"/>
                      <w:spacing w:val="6"/>
                      <w:position w:val="3"/>
                      <w:sz w:val="20"/>
                      <w:szCs w:val="20"/>
                    </w:rPr>
                    <w:t xml:space="preserve">洗字  </w:t>
                  </w:r>
                  <w:r>
                    <w:rPr>
                      <w:rFonts w:ascii="宋体" w:hAnsi="宋体" w:eastAsia="宋体" w:cs="宋体"/>
                      <w:spacing w:val="5"/>
                      <w:position w:val="3"/>
                      <w:sz w:val="20"/>
                      <w:szCs w:val="20"/>
                    </w:rPr>
                    <w:t xml:space="preserve"> </w:t>
                  </w:r>
                  <w:r>
                    <w:rPr>
                      <w:rFonts w:ascii="宋体" w:hAnsi="宋体" w:eastAsia="宋体" w:cs="宋体"/>
                      <w:spacing w:val="3"/>
                      <w:position w:val="3"/>
                      <w:sz w:val="20"/>
                      <w:szCs w:val="20"/>
                    </w:rPr>
                    <w:t xml:space="preserve">         </w:t>
                  </w:r>
                  <w:r>
                    <w:rPr>
                      <w:rFonts w:ascii="Times New Roman" w:hAnsi="Times New Roman" w:eastAsia="Times New Roman" w:cs="Times New Roman"/>
                      <w:position w:val="-1"/>
                      <w:sz w:val="19"/>
                      <w:szCs w:val="19"/>
                    </w:rPr>
                    <w:t>W</w:t>
                  </w:r>
                  <w:r>
                    <w:rPr>
                      <w:rFonts w:ascii="Times New Roman" w:hAnsi="Times New Roman" w:eastAsia="Times New Roman" w:cs="Times New Roman"/>
                      <w:spacing w:val="3"/>
                      <w:position w:val="-1"/>
                      <w:sz w:val="19"/>
                      <w:szCs w:val="19"/>
                    </w:rPr>
                    <w:t>3</w:t>
                  </w:r>
                  <w:r>
                    <w:rPr>
                      <w:rFonts w:ascii="宋体" w:hAnsi="宋体" w:eastAsia="宋体" w:cs="宋体"/>
                      <w:spacing w:val="3"/>
                      <w:position w:val="-1"/>
                      <w:sz w:val="19"/>
                      <w:szCs w:val="19"/>
                    </w:rPr>
                    <w:t>：清洗废水</w:t>
                  </w:r>
                </w:p>
              </w:txbxContent>
            </v:textbox>
          </v:shape>
        </w:pict>
      </w:r>
      <w:r>
        <w:drawing>
          <wp:anchor distT="0" distB="0" distL="0" distR="0" simplePos="0" relativeHeight="251803648" behindDoc="0" locked="0" layoutInCell="0" allowOverlap="1">
            <wp:simplePos x="0" y="0"/>
            <wp:positionH relativeFrom="page">
              <wp:posOffset>2612390</wp:posOffset>
            </wp:positionH>
            <wp:positionV relativeFrom="page">
              <wp:posOffset>3474085</wp:posOffset>
            </wp:positionV>
            <wp:extent cx="464820" cy="76200"/>
            <wp:effectExtent l="0" t="0" r="0" b="0"/>
            <wp:wrapNone/>
            <wp:docPr id="71" name="IM 71"/>
            <wp:cNvGraphicFramePr/>
            <a:graphic xmlns:a="http://schemas.openxmlformats.org/drawingml/2006/main">
              <a:graphicData uri="http://schemas.openxmlformats.org/drawingml/2006/picture">
                <pic:pic xmlns:pic="http://schemas.openxmlformats.org/drawingml/2006/picture">
                  <pic:nvPicPr>
                    <pic:cNvPr id="71" name="IM 71"/>
                    <pic:cNvPicPr/>
                  </pic:nvPicPr>
                  <pic:blipFill>
                    <a:blip r:embed="rId455"/>
                    <a:stretch>
                      <a:fillRect/>
                    </a:stretch>
                  </pic:blipFill>
                  <pic:spPr>
                    <a:xfrm>
                      <a:off x="0" y="0"/>
                      <a:ext cx="464832" cy="76200"/>
                    </a:xfrm>
                    <a:prstGeom prst="rect">
                      <a:avLst/>
                    </a:prstGeom>
                  </pic:spPr>
                </pic:pic>
              </a:graphicData>
            </a:graphic>
          </wp:anchor>
        </w:drawing>
      </w:r>
      <w:r>
        <w:drawing>
          <wp:anchor distT="0" distB="0" distL="0" distR="0" simplePos="0" relativeHeight="251805696" behindDoc="0" locked="0" layoutInCell="0" allowOverlap="1">
            <wp:simplePos x="0" y="0"/>
            <wp:positionH relativeFrom="page">
              <wp:posOffset>4251960</wp:posOffset>
            </wp:positionH>
            <wp:positionV relativeFrom="page">
              <wp:posOffset>3474085</wp:posOffset>
            </wp:positionV>
            <wp:extent cx="82550" cy="76200"/>
            <wp:effectExtent l="0" t="0" r="0" b="0"/>
            <wp:wrapNone/>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456"/>
                    <a:stretch>
                      <a:fillRect/>
                    </a:stretch>
                  </pic:blipFill>
                  <pic:spPr>
                    <a:xfrm>
                      <a:off x="0" y="0"/>
                      <a:ext cx="82600" cy="76200"/>
                    </a:xfrm>
                    <a:prstGeom prst="rect">
                      <a:avLst/>
                    </a:prstGeom>
                  </pic:spPr>
                </pic:pic>
              </a:graphicData>
            </a:graphic>
          </wp:anchor>
        </w:drawing>
      </w:r>
    </w:p>
    <w:p w14:paraId="78000ABE">
      <w:pPr>
        <w:spacing w:before="55" w:line="229"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5E4BC923">
      <w:pPr>
        <w:spacing w:before="14" w:line="58" w:lineRule="exact"/>
        <w:ind w:firstLine="14"/>
        <w:textAlignment w:val="center"/>
      </w:pPr>
      <w:r>
        <w:pict>
          <v:shape id="_x0000_s1157" o:spid="_x0000_s1157" style="height:2.9pt;width:415.3pt;" fillcolor="#000000" filled="t" stroked="f" coordsize="8305,58" path="m0,0l8305,0,8305,28,0,28,0,0xem0,43l8305,43,8305,57,0,57,0,43xe">
            <v:path/>
            <v:fill on="t" focussize="0,0"/>
            <v:stroke on="f"/>
            <v:imagedata o:title=""/>
            <o:lock v:ext="edit"/>
            <w10:wrap type="none"/>
            <w10:anchorlock/>
          </v:shape>
        </w:pict>
      </w:r>
    </w:p>
    <w:p w14:paraId="5DF9AAF7">
      <w:pPr>
        <w:spacing w:before="11" w:line="2316" w:lineRule="exact"/>
        <w:ind w:firstLine="2682"/>
        <w:textAlignment w:val="center"/>
      </w:pPr>
      <w:r>
        <w:drawing>
          <wp:inline distT="0" distB="0" distL="0" distR="0">
            <wp:extent cx="2681605" cy="1470025"/>
            <wp:effectExtent l="0" t="0" r="0" b="0"/>
            <wp:docPr id="73" name="IM 73"/>
            <wp:cNvGraphicFramePr/>
            <a:graphic xmlns:a="http://schemas.openxmlformats.org/drawingml/2006/main">
              <a:graphicData uri="http://schemas.openxmlformats.org/drawingml/2006/picture">
                <pic:pic xmlns:pic="http://schemas.openxmlformats.org/drawingml/2006/picture">
                  <pic:nvPicPr>
                    <pic:cNvPr id="73" name="IM 73"/>
                    <pic:cNvPicPr/>
                  </pic:nvPicPr>
                  <pic:blipFill>
                    <a:blip r:embed="rId457"/>
                    <a:stretch>
                      <a:fillRect/>
                    </a:stretch>
                  </pic:blipFill>
                  <pic:spPr>
                    <a:xfrm>
                      <a:off x="0" y="0"/>
                      <a:ext cx="2682239" cy="1470659"/>
                    </a:xfrm>
                    <a:prstGeom prst="rect">
                      <a:avLst/>
                    </a:prstGeom>
                  </pic:spPr>
                </pic:pic>
              </a:graphicData>
            </a:graphic>
          </wp:inline>
        </w:drawing>
      </w:r>
    </w:p>
    <w:p w14:paraId="38892F05">
      <w:pPr>
        <w:spacing w:line="249" w:lineRule="auto"/>
        <w:rPr>
          <w:rFonts w:ascii="Arial"/>
          <w:sz w:val="21"/>
        </w:rPr>
      </w:pPr>
    </w:p>
    <w:p w14:paraId="2A561F3A">
      <w:pPr>
        <w:spacing w:line="249" w:lineRule="auto"/>
        <w:rPr>
          <w:rFonts w:ascii="Arial"/>
          <w:sz w:val="21"/>
        </w:rPr>
      </w:pPr>
    </w:p>
    <w:p w14:paraId="32BE0468">
      <w:pPr>
        <w:spacing w:line="958" w:lineRule="exact"/>
        <w:ind w:firstLine="558"/>
        <w:textAlignment w:val="center"/>
      </w:pPr>
      <w:r>
        <w:pict>
          <v:group id="_x0000_s1158" o:spid="_x0000_s1158" o:spt="203" style="height:47.9pt;width:408pt;" coordsize="8160,958">
            <o:lock v:ext="edit"/>
            <v:shape id="_x0000_s1159" o:spid="_x0000_s1159" o:spt="75" type="#_x0000_t75" style="position:absolute;left:0;top:0;height:958;width:8160;" filled="f" stroked="f" coordsize="21600,21600">
              <v:path/>
              <v:fill on="f" focussize="0,0"/>
              <v:stroke on="f"/>
              <v:imagedata r:id="rId458" o:title=""/>
              <o:lock v:ext="edit" aspectratio="t"/>
            </v:shape>
            <v:rect id="_x0000_s1160" o:spid="_x0000_s1160" o:spt="1" style="position:absolute;left:4389;top:439;height:495;width:1636;" fillcolor="#FFFFFF" filled="t" stroked="f" coordsize="21600,21600">
              <v:path/>
              <v:fill on="t" focussize="0,0"/>
              <v:stroke on="f"/>
              <v:imagedata o:title=""/>
              <o:lock v:ext="edit"/>
            </v:rect>
            <v:shape id="_x0000_s1161" o:spid="_x0000_s1161" o:spt="202" type="#_x0000_t202" style="position:absolute;left:4501;top:23;height:815;width:1338;" filled="f" stroked="f" coordsize="21600,21600">
              <v:path/>
              <v:fill on="f" focussize="0,0"/>
              <v:stroke on="f"/>
              <v:imagedata o:title=""/>
              <o:lock v:ext="edit" aspectratio="f"/>
              <v:textbox inset="0mm,0mm,0mm,0mm">
                <w:txbxContent>
                  <w:p w14:paraId="0C3AF163">
                    <w:pPr>
                      <w:spacing w:before="20" w:line="251" w:lineRule="exact"/>
                      <w:ind w:left="20"/>
                      <w:rPr>
                        <w:rFonts w:ascii="宋体" w:hAnsi="宋体" w:eastAsia="宋体" w:cs="宋体"/>
                        <w:sz w:val="19"/>
                        <w:szCs w:val="19"/>
                      </w:rPr>
                    </w:pPr>
                    <w:r>
                      <w:rPr>
                        <w:rFonts w:ascii="Times New Roman" w:hAnsi="Times New Roman" w:eastAsia="Times New Roman" w:cs="Times New Roman"/>
                        <w:position w:val="1"/>
                        <w:sz w:val="19"/>
                        <w:szCs w:val="19"/>
                      </w:rPr>
                      <w:t>W</w:t>
                    </w:r>
                    <w:r>
                      <w:rPr>
                        <w:rFonts w:ascii="Times New Roman" w:hAnsi="Times New Roman" w:eastAsia="Times New Roman" w:cs="Times New Roman"/>
                        <w:spacing w:val="10"/>
                        <w:position w:val="1"/>
                        <w:sz w:val="19"/>
                        <w:szCs w:val="19"/>
                      </w:rPr>
                      <w:t>1</w:t>
                    </w:r>
                    <w:r>
                      <w:rPr>
                        <w:rFonts w:ascii="宋体" w:hAnsi="宋体" w:eastAsia="宋体" w:cs="宋体"/>
                        <w:spacing w:val="10"/>
                        <w:position w:val="1"/>
                        <w:sz w:val="19"/>
                        <w:szCs w:val="19"/>
                      </w:rPr>
                      <w:t>：废水</w:t>
                    </w:r>
                  </w:p>
                  <w:p w14:paraId="694BD943">
                    <w:pPr>
                      <w:spacing w:before="272" w:line="251" w:lineRule="exact"/>
                      <w:ind w:left="34"/>
                      <w:rPr>
                        <w:rFonts w:ascii="宋体" w:hAnsi="宋体" w:eastAsia="宋体" w:cs="宋体"/>
                        <w:sz w:val="19"/>
                        <w:szCs w:val="19"/>
                      </w:rPr>
                    </w:pPr>
                    <w:r>
                      <w:rPr>
                        <w:rFonts w:ascii="Times New Roman" w:hAnsi="Times New Roman" w:eastAsia="Times New Roman" w:cs="Times New Roman"/>
                        <w:position w:val="1"/>
                        <w:sz w:val="19"/>
                        <w:szCs w:val="19"/>
                      </w:rPr>
                      <w:t>W</w:t>
                    </w:r>
                    <w:r>
                      <w:rPr>
                        <w:rFonts w:ascii="Times New Roman" w:hAnsi="Times New Roman" w:eastAsia="Times New Roman" w:cs="Times New Roman"/>
                        <w:spacing w:val="10"/>
                        <w:position w:val="1"/>
                        <w:sz w:val="19"/>
                        <w:szCs w:val="19"/>
                      </w:rPr>
                      <w:t>2</w:t>
                    </w:r>
                    <w:r>
                      <w:rPr>
                        <w:rFonts w:ascii="宋体" w:hAnsi="宋体" w:eastAsia="宋体" w:cs="宋体"/>
                        <w:spacing w:val="10"/>
                        <w:position w:val="1"/>
                        <w:sz w:val="19"/>
                        <w:szCs w:val="19"/>
                      </w:rPr>
                      <w:t>：清洗废</w:t>
                    </w:r>
                    <w:r>
                      <w:rPr>
                        <w:rFonts w:ascii="宋体" w:hAnsi="宋体" w:eastAsia="宋体" w:cs="宋体"/>
                        <w:spacing w:val="9"/>
                        <w:position w:val="1"/>
                        <w:sz w:val="19"/>
                        <w:szCs w:val="19"/>
                      </w:rPr>
                      <w:t>水</w:t>
                    </w:r>
                  </w:p>
                </w:txbxContent>
              </v:textbox>
            </v:shape>
            <v:rect id="_x0000_s1162" o:spid="_x0000_s1162" o:spt="1" style="position:absolute;left:2680;top:475;height:317;width:929;" fillcolor="#FFFFFF" filled="t" stroked="f" coordsize="21600,21600">
              <v:path/>
              <v:fill on="t" focussize="0,0"/>
              <v:stroke on="f"/>
              <v:imagedata o:title=""/>
              <o:lock v:ext="edit"/>
            </v:rect>
            <v:shape id="_x0000_s1163" o:spid="_x0000_s1163" o:spt="202" type="#_x0000_t202" style="position:absolute;left:2922;top:507;height:288;width:450;" filled="f" stroked="f" coordsize="21600,21600">
              <v:path/>
              <v:fill on="f" focussize="0,0"/>
              <v:stroke on="f"/>
              <v:imagedata o:title=""/>
              <o:lock v:ext="edit" aspectratio="f"/>
              <v:textbox inset="0mm,0mm,0mm,0mm">
                <w:txbxContent>
                  <w:p w14:paraId="1F51B4C0">
                    <w:pPr>
                      <w:spacing w:before="20" w:line="229" w:lineRule="auto"/>
                      <w:ind w:left="20"/>
                      <w:rPr>
                        <w:rFonts w:ascii="宋体" w:hAnsi="宋体" w:eastAsia="宋体" w:cs="宋体"/>
                        <w:sz w:val="20"/>
                        <w:szCs w:val="20"/>
                      </w:rPr>
                    </w:pPr>
                    <w:r>
                      <w:rPr>
                        <w:rFonts w:ascii="宋体" w:hAnsi="宋体" w:eastAsia="宋体" w:cs="宋体"/>
                        <w:spacing w:val="5"/>
                        <w:sz w:val="20"/>
                        <w:szCs w:val="20"/>
                      </w:rPr>
                      <w:t>初洗</w:t>
                    </w:r>
                  </w:p>
                </w:txbxContent>
              </v:textbox>
            </v:shape>
            <w10:wrap type="none"/>
            <w10:anchorlock/>
          </v:group>
        </w:pict>
      </w:r>
    </w:p>
    <w:p w14:paraId="2B82C30E">
      <w:pPr>
        <w:spacing w:line="290" w:lineRule="auto"/>
        <w:rPr>
          <w:rFonts w:ascii="Arial"/>
          <w:sz w:val="21"/>
        </w:rPr>
      </w:pPr>
    </w:p>
    <w:p w14:paraId="7FBF929E">
      <w:pPr>
        <w:spacing w:before="1" w:line="9112" w:lineRule="exact"/>
        <w:ind w:firstLine="558"/>
        <w:textAlignment w:val="center"/>
      </w:pPr>
      <w:r>
        <w:pict>
          <v:group id="_x0000_s1164" o:spid="_x0000_s1164" o:spt="203" style="height:456.4pt;width:408pt;" coordsize="8160,9127">
            <o:lock v:ext="edit"/>
            <v:shape id="_x0000_s1165" o:spid="_x0000_s1165" o:spt="75" type="#_x0000_t75" style="position:absolute;left:0;top:489;height:8637;width:8160;" filled="f" stroked="f" coordsize="21600,21600">
              <v:path/>
              <v:fill on="f" focussize="0,0"/>
              <v:stroke on="f"/>
              <v:imagedata r:id="rId459" o:title=""/>
              <o:lock v:ext="edit" aspectratio="t"/>
            </v:shape>
            <v:rect id="_x0000_s1166" o:spid="_x0000_s1166" o:spt="1" style="position:absolute;left:4420;top:2008;height:495;width:1635;" fillcolor="#FFFFFF" filled="t" stroked="f" coordsize="21600,21600">
              <v:path/>
              <v:fill on="t" focussize="0,0"/>
              <v:stroke on="f"/>
              <v:imagedata o:title=""/>
              <o:lock v:ext="edit"/>
            </v:rect>
            <v:rect id="_x0000_s1167" o:spid="_x0000_s1167" o:spt="1" style="position:absolute;left:4420;top:1017;height:497;width:1635;" fillcolor="#FFFFFF" filled="t" stroked="f" coordsize="21600,21600">
              <v:path/>
              <v:fill on="t" focussize="0,0"/>
              <v:stroke on="f"/>
              <v:imagedata o:title=""/>
              <o:lock v:ext="edit"/>
            </v:rect>
            <v:shape id="_x0000_s1168" o:spid="_x0000_s1168" o:spt="202" type="#_x0000_t202" style="position:absolute;left:2486;top:-20;height:2428;width:3385;" filled="f" stroked="f" coordsize="21600,21600">
              <v:path/>
              <v:fill on="f" focussize="0,0"/>
              <v:stroke on="f"/>
              <v:imagedata o:title=""/>
              <o:lock v:ext="edit" aspectratio="f"/>
              <v:textbox inset="0mm,0mm,0mm,0mm">
                <w:txbxContent>
                  <w:p w14:paraId="754C14DD">
                    <w:pPr>
                      <w:spacing w:before="20" w:line="472" w:lineRule="exact"/>
                      <w:ind w:firstLine="20"/>
                      <w:textAlignment w:val="center"/>
                    </w:pPr>
                    <w:r>
                      <w:drawing>
                        <wp:inline distT="0" distB="0" distL="0" distR="0">
                          <wp:extent cx="801370" cy="299720"/>
                          <wp:effectExtent l="0" t="0" r="0" b="0"/>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461"/>
                                  <a:stretch>
                                    <a:fillRect/>
                                  </a:stretch>
                                </pic:blipFill>
                                <pic:spPr>
                                  <a:xfrm>
                                    <a:off x="0" y="0"/>
                                    <a:ext cx="801370" cy="299720"/>
                                  </a:xfrm>
                                  <a:prstGeom prst="rect">
                                    <a:avLst/>
                                  </a:prstGeom>
                                </pic:spPr>
                              </pic:pic>
                            </a:graphicData>
                          </a:graphic>
                        </wp:inline>
                      </w:drawing>
                    </w:r>
                  </w:p>
                  <w:p w14:paraId="5E2D494E">
                    <w:pPr>
                      <w:spacing w:line="305" w:lineRule="auto"/>
                      <w:rPr>
                        <w:rFonts w:ascii="Arial"/>
                        <w:sz w:val="21"/>
                      </w:rPr>
                    </w:pPr>
                  </w:p>
                  <w:p w14:paraId="65708CEB">
                    <w:pPr>
                      <w:spacing w:line="305" w:lineRule="auto"/>
                      <w:rPr>
                        <w:rFonts w:ascii="Arial"/>
                        <w:sz w:val="21"/>
                      </w:rPr>
                    </w:pPr>
                  </w:p>
                  <w:p w14:paraId="265F08F6">
                    <w:pPr>
                      <w:spacing w:before="61" w:line="252" w:lineRule="exact"/>
                      <w:ind w:right="20"/>
                      <w:jc w:val="right"/>
                      <w:rPr>
                        <w:rFonts w:ascii="宋体" w:hAnsi="宋体" w:eastAsia="宋体" w:cs="宋体"/>
                        <w:sz w:val="19"/>
                        <w:szCs w:val="19"/>
                      </w:rPr>
                    </w:pPr>
                    <w:r>
                      <w:rPr>
                        <w:rFonts w:ascii="Times New Roman" w:hAnsi="Times New Roman" w:eastAsia="Times New Roman" w:cs="Times New Roman"/>
                        <w:position w:val="1"/>
                        <w:sz w:val="19"/>
                        <w:szCs w:val="19"/>
                      </w:rPr>
                      <w:t>W</w:t>
                    </w:r>
                    <w:r>
                      <w:rPr>
                        <w:rFonts w:ascii="Times New Roman" w:hAnsi="Times New Roman" w:eastAsia="Times New Roman" w:cs="Times New Roman"/>
                        <w:spacing w:val="10"/>
                        <w:position w:val="1"/>
                        <w:sz w:val="19"/>
                        <w:szCs w:val="19"/>
                      </w:rPr>
                      <w:t>4</w:t>
                    </w:r>
                    <w:r>
                      <w:rPr>
                        <w:rFonts w:ascii="宋体" w:hAnsi="宋体" w:eastAsia="宋体" w:cs="宋体"/>
                        <w:spacing w:val="10"/>
                        <w:position w:val="1"/>
                        <w:sz w:val="19"/>
                        <w:szCs w:val="19"/>
                      </w:rPr>
                      <w:t>：清洗废</w:t>
                    </w:r>
                    <w:r>
                      <w:rPr>
                        <w:rFonts w:ascii="宋体" w:hAnsi="宋体" w:eastAsia="宋体" w:cs="宋体"/>
                        <w:spacing w:val="9"/>
                        <w:position w:val="1"/>
                        <w:sz w:val="19"/>
                        <w:szCs w:val="19"/>
                      </w:rPr>
                      <w:t>水</w:t>
                    </w:r>
                  </w:p>
                  <w:p w14:paraId="291338CC">
                    <w:pPr>
                      <w:spacing w:line="335" w:lineRule="auto"/>
                      <w:rPr>
                        <w:rFonts w:ascii="Arial"/>
                        <w:sz w:val="21"/>
                      </w:rPr>
                    </w:pPr>
                  </w:p>
                  <w:p w14:paraId="7E8ABEE5">
                    <w:pPr>
                      <w:spacing w:line="336" w:lineRule="auto"/>
                      <w:rPr>
                        <w:rFonts w:ascii="Arial"/>
                        <w:sz w:val="21"/>
                      </w:rPr>
                    </w:pPr>
                  </w:p>
                  <w:p w14:paraId="66BA8680">
                    <w:pPr>
                      <w:spacing w:before="62" w:line="251" w:lineRule="exact"/>
                      <w:ind w:right="20"/>
                      <w:jc w:val="right"/>
                      <w:rPr>
                        <w:rFonts w:ascii="宋体" w:hAnsi="宋体" w:eastAsia="宋体" w:cs="宋体"/>
                        <w:sz w:val="19"/>
                        <w:szCs w:val="19"/>
                      </w:rPr>
                    </w:pPr>
                    <w:r>
                      <w:rPr>
                        <w:rFonts w:ascii="Times New Roman" w:hAnsi="Times New Roman" w:eastAsia="Times New Roman" w:cs="Times New Roman"/>
                        <w:position w:val="1"/>
                        <w:sz w:val="19"/>
                        <w:szCs w:val="19"/>
                      </w:rPr>
                      <w:t>W</w:t>
                    </w:r>
                    <w:r>
                      <w:rPr>
                        <w:rFonts w:ascii="Times New Roman" w:hAnsi="Times New Roman" w:eastAsia="Times New Roman" w:cs="Times New Roman"/>
                        <w:spacing w:val="10"/>
                        <w:position w:val="1"/>
                        <w:sz w:val="19"/>
                        <w:szCs w:val="19"/>
                      </w:rPr>
                      <w:t>5</w:t>
                    </w:r>
                    <w:r>
                      <w:rPr>
                        <w:rFonts w:ascii="宋体" w:hAnsi="宋体" w:eastAsia="宋体" w:cs="宋体"/>
                        <w:spacing w:val="10"/>
                        <w:position w:val="1"/>
                        <w:sz w:val="19"/>
                        <w:szCs w:val="19"/>
                      </w:rPr>
                      <w:t>：脱水废</w:t>
                    </w:r>
                    <w:r>
                      <w:rPr>
                        <w:rFonts w:ascii="宋体" w:hAnsi="宋体" w:eastAsia="宋体" w:cs="宋体"/>
                        <w:spacing w:val="9"/>
                        <w:position w:val="1"/>
                        <w:sz w:val="19"/>
                        <w:szCs w:val="19"/>
                      </w:rPr>
                      <w:t>水</w:t>
                    </w:r>
                  </w:p>
                </w:txbxContent>
              </v:textbox>
            </v:shape>
            <v:shape id="_x0000_s1169" o:spid="_x0000_s1169" o:spt="75" type="#_x0000_t75" style="position:absolute;left:3750;top:272;height:35;width:595;" filled="f" stroked="f" coordsize="21600,21600">
              <v:path/>
              <v:fill on="f" focussize="0,0"/>
              <v:stroke on="f"/>
              <v:imagedata r:id="rId460" o:title=""/>
              <o:lock v:ext="edit" aspectratio="t"/>
            </v:shape>
            <w10:wrap type="none"/>
            <w10:anchorlock/>
          </v:group>
        </w:pict>
      </w:r>
    </w:p>
    <w:p w14:paraId="1F645F76">
      <w:pPr>
        <w:spacing w:before="1" w:line="223" w:lineRule="auto"/>
        <w:ind w:left="2689"/>
        <w:rPr>
          <w:rFonts w:ascii="宋体" w:hAnsi="宋体" w:eastAsia="宋体" w:cs="宋体"/>
          <w:sz w:val="22"/>
          <w:szCs w:val="22"/>
        </w:rPr>
      </w:pPr>
      <w:r>
        <w:rPr>
          <w:rFonts w:ascii="宋体" w:hAnsi="宋体" w:eastAsia="宋体" w:cs="宋体"/>
          <w:spacing w:val="14"/>
          <w:sz w:val="22"/>
          <w:szCs w:val="22"/>
          <w14:textOutline w14:w="4086" w14:cap="sq" w14:cmpd="sng">
            <w14:solidFill>
              <w14:srgbClr w14:val="000000"/>
            </w14:solidFill>
            <w14:prstDash w14:val="solid"/>
            <w14:bevel/>
          </w14:textOutline>
        </w:rPr>
        <w:t>图</w:t>
      </w:r>
      <w:r>
        <w:rPr>
          <w:rFonts w:ascii="宋体" w:hAnsi="宋体" w:eastAsia="宋体" w:cs="宋体"/>
          <w:spacing w:val="9"/>
          <w:sz w:val="22"/>
          <w:szCs w:val="22"/>
        </w:rPr>
        <w:t xml:space="preserve"> </w:t>
      </w:r>
      <w:r>
        <w:rPr>
          <w:rFonts w:ascii="Times New Roman" w:hAnsi="Times New Roman" w:eastAsia="Times New Roman" w:cs="Times New Roman"/>
          <w:b/>
          <w:bCs/>
          <w:spacing w:val="9"/>
          <w:sz w:val="22"/>
          <w:szCs w:val="22"/>
        </w:rPr>
        <w:t>3-3</w:t>
      </w:r>
      <w:r>
        <w:rPr>
          <w:rFonts w:ascii="Times New Roman" w:hAnsi="Times New Roman" w:eastAsia="Times New Roman" w:cs="Times New Roman"/>
          <w:spacing w:val="9"/>
          <w:sz w:val="22"/>
          <w:szCs w:val="22"/>
        </w:rPr>
        <w:t xml:space="preserve">        </w:t>
      </w:r>
      <w:r>
        <w:rPr>
          <w:rFonts w:ascii="宋体" w:hAnsi="宋体" w:eastAsia="宋体" w:cs="宋体"/>
          <w:spacing w:val="9"/>
          <w:sz w:val="22"/>
          <w:szCs w:val="22"/>
          <w14:textOutline w14:w="4086" w14:cap="sq" w14:cmpd="sng">
            <w14:solidFill>
              <w14:srgbClr w14:val="000000"/>
            </w14:solidFill>
            <w14:prstDash w14:val="solid"/>
            <w14:bevel/>
          </w14:textOutline>
        </w:rPr>
        <w:t>工艺流程及产污节点图</w:t>
      </w:r>
    </w:p>
    <w:p w14:paraId="2B6DBE36">
      <w:pPr>
        <w:sectPr>
          <w:headerReference r:id="rId118" w:type="default"/>
          <w:footerReference r:id="rId119" w:type="default"/>
          <w:pgSz w:w="11906" w:h="16839"/>
          <w:pgMar w:top="400" w:right="1401" w:bottom="1182" w:left="1785" w:header="0" w:footer="1022" w:gutter="0"/>
          <w:cols w:space="720" w:num="1"/>
        </w:sectPr>
      </w:pPr>
    </w:p>
    <w:p w14:paraId="7A647C77">
      <w:pPr>
        <w:spacing w:line="357" w:lineRule="auto"/>
        <w:rPr>
          <w:rFonts w:ascii="Arial"/>
          <w:sz w:val="21"/>
        </w:rPr>
      </w:pPr>
      <w:r>
        <w:pict>
          <v:shape id="_x0000_s1170" o:spid="_x0000_s1170" style="position:absolute;left:0pt;margin-left:90pt;margin-top:57.35pt;height:0.75pt;width:415.3pt;mso-position-horizontal-relative:page;mso-position-vertical-relative:page;z-index:251808768;mso-width-relative:page;mso-height-relative:page;" fillcolor="#000000" filled="t" stroked="f" coordsize="8305,15" o:allowincell="f" path="m0,0l8305,0,8305,14,0,14,0,0xe">
            <v:path/>
            <v:fill on="t" focussize="0,0"/>
            <v:stroke on="f"/>
            <v:imagedata o:title=""/>
            <o:lock v:ext="edit"/>
          </v:shape>
        </w:pict>
      </w:r>
    </w:p>
    <w:p w14:paraId="0533CA7A">
      <w:pPr>
        <w:spacing w:before="91" w:line="220" w:lineRule="auto"/>
        <w:ind w:left="112"/>
        <w:outlineLvl w:val="3"/>
        <w:rPr>
          <w:rFonts w:ascii="宋体" w:hAnsi="宋体" w:eastAsia="宋体" w:cs="宋体"/>
          <w:sz w:val="28"/>
          <w:szCs w:val="28"/>
        </w:rPr>
      </w:pPr>
      <w:r>
        <w:rPr>
          <w:rFonts w:ascii="Times New Roman" w:hAnsi="Times New Roman" w:eastAsia="Times New Roman" w:cs="Times New Roman"/>
          <w:b/>
          <w:bCs/>
          <w:spacing w:val="8"/>
          <w:sz w:val="28"/>
          <w:szCs w:val="28"/>
        </w:rPr>
        <w:t>3.2.2.2</w:t>
      </w:r>
      <w:r>
        <w:rPr>
          <w:rFonts w:ascii="Times New Roman" w:hAnsi="Times New Roman" w:eastAsia="Times New Roman" w:cs="Times New Roman"/>
          <w:spacing w:val="8"/>
          <w:sz w:val="28"/>
          <w:szCs w:val="28"/>
        </w:rPr>
        <w:t xml:space="preserve">  </w:t>
      </w:r>
      <w:r>
        <w:rPr>
          <w:rFonts w:ascii="宋体" w:hAnsi="宋体" w:eastAsia="宋体" w:cs="宋体"/>
          <w:spacing w:val="8"/>
          <w:sz w:val="28"/>
          <w:szCs w:val="28"/>
          <w14:textOutline w14:w="5103" w14:cap="sq" w14:cmpd="sng">
            <w14:solidFill>
              <w14:srgbClr w14:val="000000"/>
            </w14:solidFill>
            <w14:prstDash w14:val="solid"/>
            <w14:bevel/>
          </w14:textOutline>
        </w:rPr>
        <w:t>产污环节分</w:t>
      </w:r>
      <w:r>
        <w:rPr>
          <w:rFonts w:ascii="宋体" w:hAnsi="宋体" w:eastAsia="宋体" w:cs="宋体"/>
          <w:spacing w:val="5"/>
          <w:sz w:val="28"/>
          <w:szCs w:val="28"/>
          <w14:textOutline w14:w="5103" w14:cap="sq" w14:cmpd="sng">
            <w14:solidFill>
              <w14:srgbClr w14:val="000000"/>
            </w14:solidFill>
            <w14:prstDash w14:val="solid"/>
            <w14:bevel/>
          </w14:textOutline>
        </w:rPr>
        <w:t>析</w:t>
      </w:r>
    </w:p>
    <w:p w14:paraId="14C6D15C">
      <w:pPr>
        <w:spacing w:line="261" w:lineRule="auto"/>
        <w:rPr>
          <w:rFonts w:ascii="Arial"/>
          <w:sz w:val="21"/>
        </w:rPr>
      </w:pPr>
    </w:p>
    <w:p w14:paraId="425407C5">
      <w:pPr>
        <w:spacing w:before="75" w:line="393" w:lineRule="auto"/>
        <w:ind w:left="120" w:right="27" w:firstLine="476"/>
        <w:rPr>
          <w:rFonts w:ascii="宋体" w:hAnsi="宋体" w:eastAsia="宋体" w:cs="宋体"/>
          <w:sz w:val="23"/>
          <w:szCs w:val="23"/>
        </w:rPr>
      </w:pPr>
      <w:r>
        <w:rPr>
          <w:rFonts w:ascii="宋体" w:hAnsi="宋体" w:eastAsia="宋体" w:cs="宋体"/>
          <w:spacing w:val="10"/>
          <w:sz w:val="23"/>
          <w:szCs w:val="23"/>
        </w:rPr>
        <w:t>① 废气</w:t>
      </w:r>
      <w:r>
        <w:rPr>
          <w:rFonts w:ascii="宋体" w:hAnsi="宋体" w:eastAsia="宋体" w:cs="宋体"/>
          <w:spacing w:val="8"/>
          <w:sz w:val="23"/>
          <w:szCs w:val="23"/>
        </w:rPr>
        <w:t>：</w:t>
      </w:r>
      <w:r>
        <w:rPr>
          <w:rFonts w:ascii="宋体" w:hAnsi="宋体" w:eastAsia="宋体" w:cs="宋体"/>
          <w:spacing w:val="5"/>
          <w:sz w:val="23"/>
          <w:szCs w:val="23"/>
        </w:rPr>
        <w:t>该项目运营期大气污染物主要有洗字工序所用热风炉产生的烟气、</w:t>
      </w:r>
      <w:r>
        <w:rPr>
          <w:rFonts w:ascii="宋体" w:hAnsi="宋体" w:eastAsia="宋体" w:cs="宋体"/>
          <w:sz w:val="23"/>
          <w:szCs w:val="23"/>
        </w:rPr>
        <w:t xml:space="preserve"> </w:t>
      </w:r>
      <w:r>
        <w:rPr>
          <w:rFonts w:ascii="宋体" w:hAnsi="宋体" w:eastAsia="宋体" w:cs="宋体"/>
          <w:spacing w:val="9"/>
          <w:sz w:val="23"/>
          <w:szCs w:val="23"/>
        </w:rPr>
        <w:t>分</w:t>
      </w:r>
      <w:r>
        <w:rPr>
          <w:rFonts w:ascii="宋体" w:hAnsi="宋体" w:eastAsia="宋体" w:cs="宋体"/>
          <w:spacing w:val="8"/>
          <w:sz w:val="23"/>
          <w:szCs w:val="23"/>
        </w:rPr>
        <w:t>拣工序产生粉尘以及热熔、造粒工序产生挥发性有机物 (以非甲烷总烃计) 。</w:t>
      </w:r>
    </w:p>
    <w:p w14:paraId="39361DD7">
      <w:pPr>
        <w:spacing w:before="138" w:line="390" w:lineRule="auto"/>
        <w:ind w:left="117" w:right="107" w:firstLine="478"/>
        <w:rPr>
          <w:rFonts w:ascii="宋体" w:hAnsi="宋体" w:eastAsia="宋体" w:cs="宋体"/>
          <w:sz w:val="23"/>
          <w:szCs w:val="23"/>
        </w:rPr>
      </w:pPr>
      <w:r>
        <w:rPr>
          <w:rFonts w:ascii="宋体" w:hAnsi="宋体" w:eastAsia="宋体" w:cs="宋体"/>
          <w:spacing w:val="20"/>
          <w:sz w:val="23"/>
          <w:szCs w:val="23"/>
        </w:rPr>
        <w:t>②</w:t>
      </w:r>
      <w:r>
        <w:rPr>
          <w:rFonts w:ascii="宋体" w:hAnsi="宋体" w:eastAsia="宋体" w:cs="宋体"/>
          <w:spacing w:val="11"/>
          <w:sz w:val="23"/>
          <w:szCs w:val="23"/>
        </w:rPr>
        <w:t xml:space="preserve"> </w:t>
      </w:r>
      <w:r>
        <w:rPr>
          <w:rFonts w:ascii="宋体" w:hAnsi="宋体" w:eastAsia="宋体" w:cs="宋体"/>
          <w:spacing w:val="10"/>
          <w:sz w:val="23"/>
          <w:szCs w:val="23"/>
        </w:rPr>
        <w:t>废水：该项目废水主要为生活污水以及生产废水，其中生产废水主要包</w:t>
      </w:r>
      <w:r>
        <w:rPr>
          <w:rFonts w:ascii="宋体" w:hAnsi="宋体" w:eastAsia="宋体" w:cs="宋体"/>
          <w:sz w:val="23"/>
          <w:szCs w:val="23"/>
        </w:rPr>
        <w:t xml:space="preserve"> </w:t>
      </w:r>
      <w:r>
        <w:rPr>
          <w:rFonts w:ascii="宋体" w:hAnsi="宋体" w:eastAsia="宋体" w:cs="宋体"/>
          <w:spacing w:val="9"/>
          <w:sz w:val="23"/>
          <w:szCs w:val="23"/>
        </w:rPr>
        <w:t>括</w:t>
      </w:r>
      <w:r>
        <w:rPr>
          <w:rFonts w:ascii="宋体" w:hAnsi="宋体" w:eastAsia="宋体" w:cs="宋体"/>
          <w:spacing w:val="7"/>
          <w:sz w:val="23"/>
          <w:szCs w:val="23"/>
        </w:rPr>
        <w:t>破碎工序产生的废水，原料初洗工序、洗字工序、二次清洗工序产生的清洗废</w:t>
      </w:r>
      <w:r>
        <w:rPr>
          <w:rFonts w:ascii="宋体" w:hAnsi="宋体" w:eastAsia="宋体" w:cs="宋体"/>
          <w:sz w:val="23"/>
          <w:szCs w:val="23"/>
        </w:rPr>
        <w:t xml:space="preserve"> </w:t>
      </w:r>
      <w:r>
        <w:rPr>
          <w:rFonts w:ascii="宋体" w:hAnsi="宋体" w:eastAsia="宋体" w:cs="宋体"/>
          <w:spacing w:val="9"/>
          <w:sz w:val="23"/>
          <w:szCs w:val="23"/>
        </w:rPr>
        <w:t>水、脱水工序产生的废水以及循环冷却废水。</w:t>
      </w:r>
    </w:p>
    <w:p w14:paraId="7AC03D82">
      <w:pPr>
        <w:spacing w:before="135" w:line="393" w:lineRule="auto"/>
        <w:ind w:left="122" w:right="107" w:firstLine="473"/>
        <w:rPr>
          <w:rFonts w:ascii="宋体" w:hAnsi="宋体" w:eastAsia="宋体" w:cs="宋体"/>
          <w:sz w:val="23"/>
          <w:szCs w:val="23"/>
        </w:rPr>
      </w:pPr>
      <w:r>
        <w:rPr>
          <w:rFonts w:ascii="宋体" w:hAnsi="宋体" w:eastAsia="宋体" w:cs="宋体"/>
          <w:spacing w:val="20"/>
          <w:sz w:val="23"/>
          <w:szCs w:val="23"/>
        </w:rPr>
        <w:t>③</w:t>
      </w:r>
      <w:r>
        <w:rPr>
          <w:rFonts w:ascii="宋体" w:hAnsi="宋体" w:eastAsia="宋体" w:cs="宋体"/>
          <w:spacing w:val="13"/>
          <w:sz w:val="23"/>
          <w:szCs w:val="23"/>
        </w:rPr>
        <w:t xml:space="preserve"> </w:t>
      </w:r>
      <w:r>
        <w:rPr>
          <w:rFonts w:ascii="宋体" w:hAnsi="宋体" w:eastAsia="宋体" w:cs="宋体"/>
          <w:spacing w:val="10"/>
          <w:sz w:val="23"/>
          <w:szCs w:val="23"/>
        </w:rPr>
        <w:t>噪声：该项目噪声主要为生产设备运行中辐射噪声，产生较大噪声的噪</w:t>
      </w:r>
      <w:r>
        <w:rPr>
          <w:rFonts w:ascii="宋体" w:hAnsi="宋体" w:eastAsia="宋体" w:cs="宋体"/>
          <w:sz w:val="23"/>
          <w:szCs w:val="23"/>
        </w:rPr>
        <w:t xml:space="preserve"> </w:t>
      </w:r>
      <w:r>
        <w:rPr>
          <w:rFonts w:ascii="宋体" w:hAnsi="宋体" w:eastAsia="宋体" w:cs="宋体"/>
          <w:spacing w:val="9"/>
          <w:sz w:val="23"/>
          <w:szCs w:val="23"/>
        </w:rPr>
        <w:t>声源主要有各喂料机、偏心清洗机、粉碎机等设备</w:t>
      </w:r>
      <w:r>
        <w:rPr>
          <w:rFonts w:ascii="宋体" w:hAnsi="宋体" w:eastAsia="宋体" w:cs="宋体"/>
          <w:spacing w:val="7"/>
          <w:sz w:val="23"/>
          <w:szCs w:val="23"/>
        </w:rPr>
        <w:t>。</w:t>
      </w:r>
    </w:p>
    <w:p w14:paraId="0943667F">
      <w:pPr>
        <w:spacing w:before="139" w:line="390" w:lineRule="auto"/>
        <w:ind w:left="120" w:right="110" w:firstLine="475"/>
        <w:rPr>
          <w:rFonts w:ascii="宋体" w:hAnsi="宋体" w:eastAsia="宋体" w:cs="宋体"/>
          <w:sz w:val="23"/>
          <w:szCs w:val="23"/>
        </w:rPr>
      </w:pPr>
      <w:r>
        <w:rPr>
          <w:rFonts w:ascii="宋体" w:hAnsi="宋体" w:eastAsia="宋体" w:cs="宋体"/>
          <w:spacing w:val="20"/>
          <w:sz w:val="23"/>
          <w:szCs w:val="23"/>
        </w:rPr>
        <w:t>④</w:t>
      </w:r>
      <w:r>
        <w:rPr>
          <w:rFonts w:ascii="宋体" w:hAnsi="宋体" w:eastAsia="宋体" w:cs="宋体"/>
          <w:spacing w:val="11"/>
          <w:sz w:val="23"/>
          <w:szCs w:val="23"/>
        </w:rPr>
        <w:t xml:space="preserve"> </w:t>
      </w:r>
      <w:r>
        <w:rPr>
          <w:rFonts w:ascii="宋体" w:hAnsi="宋体" w:eastAsia="宋体" w:cs="宋体"/>
          <w:spacing w:val="10"/>
          <w:sz w:val="23"/>
          <w:szCs w:val="23"/>
        </w:rPr>
        <w:t>固废：该项目固体废物主要为员工产生的生活垃圾、危险废物以及一般</w:t>
      </w:r>
      <w:r>
        <w:rPr>
          <w:rFonts w:ascii="宋体" w:hAnsi="宋体" w:eastAsia="宋体" w:cs="宋体"/>
          <w:sz w:val="23"/>
          <w:szCs w:val="23"/>
        </w:rPr>
        <w:t xml:space="preserve"> </w:t>
      </w:r>
      <w:r>
        <w:rPr>
          <w:rFonts w:ascii="宋体" w:hAnsi="宋体" w:eastAsia="宋体" w:cs="宋体"/>
          <w:spacing w:val="26"/>
          <w:sz w:val="23"/>
          <w:szCs w:val="23"/>
        </w:rPr>
        <w:t>工</w:t>
      </w:r>
      <w:r>
        <w:rPr>
          <w:rFonts w:ascii="宋体" w:hAnsi="宋体" w:eastAsia="宋体" w:cs="宋体"/>
          <w:spacing w:val="20"/>
          <w:sz w:val="23"/>
          <w:szCs w:val="23"/>
        </w:rPr>
        <w:t>业</w:t>
      </w:r>
      <w:r>
        <w:rPr>
          <w:rFonts w:ascii="宋体" w:hAnsi="宋体" w:eastAsia="宋体" w:cs="宋体"/>
          <w:spacing w:val="13"/>
          <w:sz w:val="23"/>
          <w:szCs w:val="23"/>
        </w:rPr>
        <w:t>固体废物，其中一般工业固体废物包括杂质、沉淀池污泥、废滤网、热风</w:t>
      </w:r>
      <w:r>
        <w:rPr>
          <w:rFonts w:ascii="宋体" w:hAnsi="宋体" w:eastAsia="宋体" w:cs="宋体"/>
          <w:sz w:val="23"/>
          <w:szCs w:val="23"/>
        </w:rPr>
        <w:t xml:space="preserve"> </w:t>
      </w:r>
      <w:r>
        <w:rPr>
          <w:rFonts w:ascii="宋体" w:hAnsi="宋体" w:eastAsia="宋体" w:cs="宋体"/>
          <w:spacing w:val="15"/>
          <w:sz w:val="23"/>
          <w:szCs w:val="23"/>
        </w:rPr>
        <w:t>炉</w:t>
      </w:r>
      <w:r>
        <w:rPr>
          <w:rFonts w:ascii="宋体" w:hAnsi="宋体" w:eastAsia="宋体" w:cs="宋体"/>
          <w:spacing w:val="12"/>
          <w:sz w:val="23"/>
          <w:szCs w:val="23"/>
        </w:rPr>
        <w:t xml:space="preserve">炉渣以及除尘器收集的粉尘，危险废物主要为废活性炭、废 </w:t>
      </w:r>
      <w:r>
        <w:rPr>
          <w:rFonts w:ascii="Times New Roman" w:hAnsi="Times New Roman" w:eastAsia="Times New Roman" w:cs="Times New Roman"/>
          <w:sz w:val="23"/>
          <w:szCs w:val="23"/>
        </w:rPr>
        <w:t>uv</w:t>
      </w:r>
      <w:r>
        <w:rPr>
          <w:rFonts w:ascii="Times New Roman" w:hAnsi="Times New Roman" w:eastAsia="Times New Roman" w:cs="Times New Roman"/>
          <w:spacing w:val="12"/>
          <w:sz w:val="23"/>
          <w:szCs w:val="23"/>
        </w:rPr>
        <w:t xml:space="preserve"> </w:t>
      </w:r>
      <w:r>
        <w:rPr>
          <w:rFonts w:ascii="宋体" w:hAnsi="宋体" w:eastAsia="宋体" w:cs="宋体"/>
          <w:spacing w:val="12"/>
          <w:sz w:val="23"/>
          <w:szCs w:val="23"/>
        </w:rPr>
        <w:t>光解灯管。</w:t>
      </w:r>
    </w:p>
    <w:p w14:paraId="00ED2EEE">
      <w:pPr>
        <w:spacing w:before="137" w:line="227" w:lineRule="auto"/>
        <w:ind w:left="601"/>
        <w:rPr>
          <w:rFonts w:ascii="宋体" w:hAnsi="宋体" w:eastAsia="宋体" w:cs="宋体"/>
          <w:sz w:val="23"/>
          <w:szCs w:val="23"/>
        </w:rPr>
      </w:pPr>
      <w:r>
        <w:rPr>
          <w:rFonts w:ascii="宋体" w:hAnsi="宋体" w:eastAsia="宋体" w:cs="宋体"/>
          <w:spacing w:val="1"/>
          <w:sz w:val="23"/>
          <w:szCs w:val="23"/>
        </w:rPr>
        <w:t>该</w:t>
      </w:r>
      <w:r>
        <w:rPr>
          <w:rFonts w:ascii="宋体" w:hAnsi="宋体" w:eastAsia="宋体" w:cs="宋体"/>
          <w:sz w:val="23"/>
          <w:szCs w:val="23"/>
        </w:rPr>
        <w:t xml:space="preserve">项目污染因子汇总见表 </w:t>
      </w:r>
      <w:r>
        <w:rPr>
          <w:rFonts w:ascii="Times New Roman" w:hAnsi="Times New Roman" w:eastAsia="Times New Roman" w:cs="Times New Roman"/>
          <w:sz w:val="23"/>
          <w:szCs w:val="23"/>
        </w:rPr>
        <w:t>3- 14</w:t>
      </w:r>
      <w:r>
        <w:rPr>
          <w:rFonts w:ascii="宋体" w:hAnsi="宋体" w:eastAsia="宋体" w:cs="宋体"/>
          <w:sz w:val="23"/>
          <w:szCs w:val="23"/>
        </w:rPr>
        <w:t>。</w:t>
      </w:r>
    </w:p>
    <w:p w14:paraId="31402FC4">
      <w:pPr>
        <w:spacing w:line="276" w:lineRule="auto"/>
        <w:rPr>
          <w:rFonts w:ascii="Arial"/>
          <w:sz w:val="21"/>
        </w:rPr>
      </w:pPr>
    </w:p>
    <w:p w14:paraId="61B30209">
      <w:pPr>
        <w:spacing w:before="75" w:line="228" w:lineRule="auto"/>
        <w:ind w:left="3058"/>
        <w:rPr>
          <w:rFonts w:ascii="宋体" w:hAnsi="宋体" w:eastAsia="宋体" w:cs="宋体"/>
          <w:sz w:val="23"/>
          <w:szCs w:val="23"/>
        </w:rPr>
      </w:pPr>
      <w:r>
        <w:rPr>
          <w:rFonts w:ascii="宋体" w:hAnsi="宋体" w:eastAsia="宋体" w:cs="宋体"/>
          <w:spacing w:val="3"/>
          <w:sz w:val="23"/>
          <w:szCs w:val="23"/>
          <w14:textOutline w14:w="4358" w14:cap="sq" w14:cmpd="sng">
            <w14:solidFill>
              <w14:srgbClr w14:val="000000"/>
            </w14:solidFill>
            <w14:prstDash w14:val="solid"/>
            <w14:bevel/>
          </w14:textOutline>
        </w:rPr>
        <w:t>表</w:t>
      </w:r>
      <w:r>
        <w:rPr>
          <w:rFonts w:ascii="宋体" w:hAnsi="宋体" w:eastAsia="宋体" w:cs="宋体"/>
          <w:spacing w:val="3"/>
          <w:sz w:val="23"/>
          <w:szCs w:val="23"/>
        </w:rPr>
        <w:t xml:space="preserve"> </w:t>
      </w:r>
      <w:r>
        <w:rPr>
          <w:rFonts w:ascii="Times New Roman" w:hAnsi="Times New Roman" w:eastAsia="Times New Roman" w:cs="Times New Roman"/>
          <w:b/>
          <w:bCs/>
          <w:spacing w:val="3"/>
          <w:sz w:val="23"/>
          <w:szCs w:val="23"/>
        </w:rPr>
        <w:t>3-14</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14:textOutline w14:w="4358" w14:cap="sq" w14:cmpd="sng">
            <w14:solidFill>
              <w14:srgbClr w14:val="000000"/>
            </w14:solidFill>
            <w14:prstDash w14:val="solid"/>
            <w14:bevel/>
          </w14:textOutline>
        </w:rPr>
        <w:t>污染因子一览</w:t>
      </w:r>
      <w:r>
        <w:rPr>
          <w:rFonts w:ascii="宋体" w:hAnsi="宋体" w:eastAsia="宋体" w:cs="宋体"/>
          <w:spacing w:val="1"/>
          <w:sz w:val="23"/>
          <w:szCs w:val="23"/>
          <w14:textOutline w14:w="4358" w14:cap="sq" w14:cmpd="sng">
            <w14:solidFill>
              <w14:srgbClr w14:val="000000"/>
            </w14:solidFill>
            <w14:prstDash w14:val="solid"/>
            <w14:bevel/>
          </w14:textOutline>
        </w:rPr>
        <w:t>表</w:t>
      </w:r>
    </w:p>
    <w:p w14:paraId="5EFEC2E3">
      <w:pPr>
        <w:spacing w:line="18" w:lineRule="exact"/>
      </w:pPr>
    </w:p>
    <w:tbl>
      <w:tblPr>
        <w:tblStyle w:val="4"/>
        <w:tblW w:w="852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3"/>
        <w:gridCol w:w="938"/>
        <w:gridCol w:w="1854"/>
        <w:gridCol w:w="1432"/>
        <w:gridCol w:w="2135"/>
        <w:gridCol w:w="1519"/>
      </w:tblGrid>
      <w:tr w14:paraId="6F0AB2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43" w:type="dxa"/>
            <w:tcBorders>
              <w:left w:val="nil"/>
            </w:tcBorders>
            <w:vAlign w:val="top"/>
          </w:tcPr>
          <w:p w14:paraId="007B40DD">
            <w:pPr>
              <w:spacing w:before="76" w:line="258" w:lineRule="auto"/>
              <w:ind w:left="134" w:right="109" w:hanging="14"/>
              <w:rPr>
                <w:rFonts w:ascii="宋体" w:hAnsi="宋体" w:eastAsia="宋体" w:cs="宋体"/>
                <w:sz w:val="20"/>
                <w:szCs w:val="20"/>
              </w:rPr>
            </w:pPr>
            <w:r>
              <w:rPr>
                <w:rFonts w:ascii="宋体" w:hAnsi="宋体" w:eastAsia="宋体" w:cs="宋体"/>
                <w:spacing w:val="5"/>
                <w:sz w:val="20"/>
                <w:szCs w:val="20"/>
                <w14:textOutline w14:w="3795" w14:cap="sq" w14:cmpd="sng">
                  <w14:solidFill>
                    <w14:srgbClr w14:val="000000"/>
                  </w14:solidFill>
                  <w14:prstDash w14:val="solid"/>
                  <w14:bevel/>
                </w14:textOutline>
              </w:rPr>
              <w:t>污染</w:t>
            </w:r>
            <w:r>
              <w:rPr>
                <w:rFonts w:ascii="宋体" w:hAnsi="宋体" w:eastAsia="宋体" w:cs="宋体"/>
                <w:sz w:val="20"/>
                <w:szCs w:val="20"/>
              </w:rPr>
              <w:t xml:space="preserve"> </w:t>
            </w:r>
            <w:r>
              <w:rPr>
                <w:rFonts w:ascii="宋体" w:hAnsi="宋体" w:eastAsia="宋体" w:cs="宋体"/>
                <w:spacing w:val="-3"/>
                <w:sz w:val="20"/>
                <w:szCs w:val="20"/>
                <w14:textOutline w14:w="3795" w14:cap="sq" w14:cmpd="sng">
                  <w14:solidFill>
                    <w14:srgbClr w14:val="000000"/>
                  </w14:solidFill>
                  <w14:prstDash w14:val="solid"/>
                  <w14:bevel/>
                </w14:textOutline>
              </w:rPr>
              <w:t>因</w:t>
            </w:r>
            <w:r>
              <w:rPr>
                <w:rFonts w:ascii="宋体" w:hAnsi="宋体" w:eastAsia="宋体" w:cs="宋体"/>
                <w:spacing w:val="-2"/>
                <w:sz w:val="20"/>
                <w:szCs w:val="20"/>
                <w14:textOutline w14:w="3795" w14:cap="sq" w14:cmpd="sng">
                  <w14:solidFill>
                    <w14:srgbClr w14:val="000000"/>
                  </w14:solidFill>
                  <w14:prstDash w14:val="solid"/>
                  <w14:bevel/>
                </w14:textOutline>
              </w:rPr>
              <w:t>素</w:t>
            </w:r>
          </w:p>
        </w:tc>
        <w:tc>
          <w:tcPr>
            <w:tcW w:w="938" w:type="dxa"/>
            <w:vAlign w:val="top"/>
          </w:tcPr>
          <w:p w14:paraId="5B6190E4">
            <w:pPr>
              <w:spacing w:before="232" w:line="228" w:lineRule="auto"/>
              <w:ind w:left="53"/>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产</w:t>
            </w:r>
            <w:r>
              <w:rPr>
                <w:rFonts w:ascii="宋体" w:hAnsi="宋体" w:eastAsia="宋体" w:cs="宋体"/>
                <w:spacing w:val="8"/>
                <w:sz w:val="20"/>
                <w:szCs w:val="20"/>
                <w14:textOutline w14:w="3795" w14:cap="sq" w14:cmpd="sng">
                  <w14:solidFill>
                    <w14:srgbClr w14:val="000000"/>
                  </w14:solidFill>
                  <w14:prstDash w14:val="solid"/>
                  <w14:bevel/>
                </w14:textOutline>
              </w:rPr>
              <w:t>污节点</w:t>
            </w:r>
          </w:p>
        </w:tc>
        <w:tc>
          <w:tcPr>
            <w:tcW w:w="1854" w:type="dxa"/>
            <w:vAlign w:val="top"/>
          </w:tcPr>
          <w:p w14:paraId="51C540BC">
            <w:pPr>
              <w:spacing w:before="232" w:line="228" w:lineRule="auto"/>
              <w:ind w:left="512"/>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产</w:t>
            </w:r>
            <w:r>
              <w:rPr>
                <w:rFonts w:ascii="宋体" w:hAnsi="宋体" w:eastAsia="宋体" w:cs="宋体"/>
                <w:spacing w:val="8"/>
                <w:sz w:val="20"/>
                <w:szCs w:val="20"/>
                <w14:textOutline w14:w="3795" w14:cap="sq" w14:cmpd="sng">
                  <w14:solidFill>
                    <w14:srgbClr w14:val="000000"/>
                  </w14:solidFill>
                  <w14:prstDash w14:val="solid"/>
                  <w14:bevel/>
                </w14:textOutline>
              </w:rPr>
              <w:t>污环节</w:t>
            </w:r>
          </w:p>
        </w:tc>
        <w:tc>
          <w:tcPr>
            <w:tcW w:w="1432" w:type="dxa"/>
            <w:vAlign w:val="top"/>
          </w:tcPr>
          <w:p w14:paraId="6300C6EF">
            <w:pPr>
              <w:spacing w:before="233" w:line="228" w:lineRule="auto"/>
              <w:ind w:left="304"/>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污染因子</w:t>
            </w:r>
          </w:p>
        </w:tc>
        <w:tc>
          <w:tcPr>
            <w:tcW w:w="2135" w:type="dxa"/>
            <w:vAlign w:val="top"/>
          </w:tcPr>
          <w:p w14:paraId="75C0BFA3">
            <w:pPr>
              <w:spacing w:before="233" w:line="229" w:lineRule="auto"/>
              <w:ind w:left="658"/>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处</w:t>
            </w:r>
            <w:r>
              <w:rPr>
                <w:rFonts w:ascii="宋体" w:hAnsi="宋体" w:eastAsia="宋体" w:cs="宋体"/>
                <w:spacing w:val="7"/>
                <w:sz w:val="20"/>
                <w:szCs w:val="20"/>
                <w14:textOutline w14:w="3795" w14:cap="sq" w14:cmpd="sng">
                  <w14:solidFill>
                    <w14:srgbClr w14:val="000000"/>
                  </w14:solidFill>
                  <w14:prstDash w14:val="solid"/>
                  <w14:bevel/>
                </w14:textOutline>
              </w:rPr>
              <w:t>理方式</w:t>
            </w:r>
          </w:p>
        </w:tc>
        <w:tc>
          <w:tcPr>
            <w:tcW w:w="1519" w:type="dxa"/>
            <w:tcBorders>
              <w:right w:val="nil"/>
            </w:tcBorders>
            <w:vAlign w:val="top"/>
          </w:tcPr>
          <w:p w14:paraId="36E58480">
            <w:pPr>
              <w:spacing w:before="233" w:line="229" w:lineRule="auto"/>
              <w:ind w:left="345"/>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排</w:t>
            </w:r>
            <w:r>
              <w:rPr>
                <w:rFonts w:ascii="宋体" w:hAnsi="宋体" w:eastAsia="宋体" w:cs="宋体"/>
                <w:spacing w:val="8"/>
                <w:sz w:val="20"/>
                <w:szCs w:val="20"/>
                <w14:textOutline w14:w="3795" w14:cap="sq" w14:cmpd="sng">
                  <w14:solidFill>
                    <w14:srgbClr w14:val="000000"/>
                  </w14:solidFill>
                  <w14:prstDash w14:val="solid"/>
                  <w14:bevel/>
                </w14:textOutline>
              </w:rPr>
              <w:t>放去向</w:t>
            </w:r>
          </w:p>
        </w:tc>
      </w:tr>
      <w:tr w14:paraId="7E2F80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43" w:type="dxa"/>
            <w:vMerge w:val="restart"/>
            <w:tcBorders>
              <w:left w:val="nil"/>
              <w:bottom w:val="nil"/>
            </w:tcBorders>
            <w:vAlign w:val="top"/>
          </w:tcPr>
          <w:p w14:paraId="44FA0303">
            <w:pPr>
              <w:spacing w:line="257" w:lineRule="auto"/>
              <w:rPr>
                <w:rFonts w:ascii="Arial"/>
                <w:sz w:val="21"/>
              </w:rPr>
            </w:pPr>
          </w:p>
          <w:p w14:paraId="4B8BED4A">
            <w:pPr>
              <w:spacing w:line="257" w:lineRule="auto"/>
              <w:rPr>
                <w:rFonts w:ascii="Arial"/>
                <w:sz w:val="21"/>
              </w:rPr>
            </w:pPr>
          </w:p>
          <w:p w14:paraId="07441386">
            <w:pPr>
              <w:spacing w:line="258" w:lineRule="auto"/>
              <w:rPr>
                <w:rFonts w:ascii="Arial"/>
                <w:sz w:val="21"/>
              </w:rPr>
            </w:pPr>
          </w:p>
          <w:p w14:paraId="79A56577">
            <w:pPr>
              <w:spacing w:before="65" w:line="228" w:lineRule="auto"/>
              <w:ind w:left="117"/>
              <w:rPr>
                <w:rFonts w:ascii="宋体" w:hAnsi="宋体" w:eastAsia="宋体" w:cs="宋体"/>
                <w:sz w:val="20"/>
                <w:szCs w:val="20"/>
              </w:rPr>
            </w:pPr>
            <w:r>
              <w:rPr>
                <w:rFonts w:ascii="宋体" w:hAnsi="宋体" w:eastAsia="宋体" w:cs="宋体"/>
                <w:spacing w:val="5"/>
                <w:sz w:val="20"/>
                <w:szCs w:val="20"/>
              </w:rPr>
              <w:t>废气</w:t>
            </w:r>
          </w:p>
        </w:tc>
        <w:tc>
          <w:tcPr>
            <w:tcW w:w="938" w:type="dxa"/>
            <w:vAlign w:val="top"/>
          </w:tcPr>
          <w:p w14:paraId="7A988A22">
            <w:pPr>
              <w:spacing w:before="88" w:line="195" w:lineRule="auto"/>
              <w:ind w:left="345"/>
              <w:rPr>
                <w:rFonts w:ascii="Times New Roman" w:hAnsi="Times New Roman" w:eastAsia="Times New Roman" w:cs="Times New Roman"/>
                <w:sz w:val="20"/>
                <w:szCs w:val="20"/>
              </w:rPr>
            </w:pPr>
            <w:r>
              <w:rPr>
                <w:rFonts w:ascii="Times New Roman" w:hAnsi="Times New Roman" w:eastAsia="Times New Roman" w:cs="Times New Roman"/>
                <w:sz w:val="20"/>
                <w:szCs w:val="20"/>
              </w:rPr>
              <w:t>G</w:t>
            </w:r>
            <w:r>
              <w:rPr>
                <w:rFonts w:ascii="Times New Roman" w:hAnsi="Times New Roman" w:eastAsia="Times New Roman" w:cs="Times New Roman"/>
                <w:spacing w:val="3"/>
                <w:sz w:val="20"/>
                <w:szCs w:val="20"/>
              </w:rPr>
              <w:t>1</w:t>
            </w:r>
          </w:p>
        </w:tc>
        <w:tc>
          <w:tcPr>
            <w:tcW w:w="1854" w:type="dxa"/>
            <w:vAlign w:val="top"/>
          </w:tcPr>
          <w:p w14:paraId="25DC3D03">
            <w:pPr>
              <w:spacing w:before="52" w:line="228" w:lineRule="auto"/>
              <w:ind w:left="723"/>
              <w:rPr>
                <w:rFonts w:ascii="宋体" w:hAnsi="宋体" w:eastAsia="宋体" w:cs="宋体"/>
                <w:sz w:val="20"/>
                <w:szCs w:val="20"/>
              </w:rPr>
            </w:pPr>
            <w:r>
              <w:rPr>
                <w:rFonts w:ascii="宋体" w:hAnsi="宋体" w:eastAsia="宋体" w:cs="宋体"/>
                <w:spacing w:val="4"/>
                <w:sz w:val="20"/>
                <w:szCs w:val="20"/>
              </w:rPr>
              <w:t>分</w:t>
            </w:r>
            <w:r>
              <w:rPr>
                <w:rFonts w:ascii="宋体" w:hAnsi="宋体" w:eastAsia="宋体" w:cs="宋体"/>
                <w:spacing w:val="3"/>
                <w:sz w:val="20"/>
                <w:szCs w:val="20"/>
              </w:rPr>
              <w:t>拣</w:t>
            </w:r>
          </w:p>
        </w:tc>
        <w:tc>
          <w:tcPr>
            <w:tcW w:w="1432" w:type="dxa"/>
            <w:vAlign w:val="top"/>
          </w:tcPr>
          <w:p w14:paraId="04B6AD49">
            <w:pPr>
              <w:spacing w:before="52" w:line="228" w:lineRule="auto"/>
              <w:ind w:left="510"/>
              <w:rPr>
                <w:rFonts w:ascii="宋体" w:hAnsi="宋体" w:eastAsia="宋体" w:cs="宋体"/>
                <w:sz w:val="20"/>
                <w:szCs w:val="20"/>
              </w:rPr>
            </w:pPr>
            <w:r>
              <w:rPr>
                <w:rFonts w:ascii="宋体" w:hAnsi="宋体" w:eastAsia="宋体" w:cs="宋体"/>
                <w:spacing w:val="5"/>
                <w:sz w:val="20"/>
                <w:szCs w:val="20"/>
              </w:rPr>
              <w:t>粉尘</w:t>
            </w:r>
          </w:p>
        </w:tc>
        <w:tc>
          <w:tcPr>
            <w:tcW w:w="2135" w:type="dxa"/>
            <w:vAlign w:val="top"/>
          </w:tcPr>
          <w:p w14:paraId="67DB46E9">
            <w:pPr>
              <w:spacing w:before="53" w:line="228" w:lineRule="auto"/>
              <w:ind w:left="653"/>
              <w:rPr>
                <w:rFonts w:ascii="宋体" w:hAnsi="宋体" w:eastAsia="宋体" w:cs="宋体"/>
                <w:sz w:val="20"/>
                <w:szCs w:val="20"/>
              </w:rPr>
            </w:pPr>
            <w:r>
              <w:rPr>
                <w:rFonts w:ascii="宋体" w:hAnsi="宋体" w:eastAsia="宋体" w:cs="宋体"/>
                <w:spacing w:val="8"/>
                <w:sz w:val="20"/>
                <w:szCs w:val="20"/>
              </w:rPr>
              <w:t>加</w:t>
            </w:r>
            <w:r>
              <w:rPr>
                <w:rFonts w:ascii="宋体" w:hAnsi="宋体" w:eastAsia="宋体" w:cs="宋体"/>
                <w:spacing w:val="7"/>
                <w:sz w:val="20"/>
                <w:szCs w:val="20"/>
              </w:rPr>
              <w:t>强通风</w:t>
            </w:r>
          </w:p>
        </w:tc>
        <w:tc>
          <w:tcPr>
            <w:tcW w:w="1519" w:type="dxa"/>
            <w:tcBorders>
              <w:right w:val="nil"/>
            </w:tcBorders>
            <w:vAlign w:val="top"/>
          </w:tcPr>
          <w:p w14:paraId="0EE9EB0B">
            <w:pPr>
              <w:spacing w:before="53" w:line="228" w:lineRule="auto"/>
              <w:ind w:left="241"/>
              <w:rPr>
                <w:rFonts w:ascii="宋体" w:hAnsi="宋体" w:eastAsia="宋体" w:cs="宋体"/>
                <w:sz w:val="20"/>
                <w:szCs w:val="20"/>
              </w:rPr>
            </w:pPr>
            <w:r>
              <w:rPr>
                <w:rFonts w:ascii="宋体" w:hAnsi="宋体" w:eastAsia="宋体" w:cs="宋体"/>
                <w:spacing w:val="8"/>
                <w:sz w:val="20"/>
                <w:szCs w:val="20"/>
              </w:rPr>
              <w:t>无组织排</w:t>
            </w:r>
            <w:r>
              <w:rPr>
                <w:rFonts w:ascii="宋体" w:hAnsi="宋体" w:eastAsia="宋体" w:cs="宋体"/>
                <w:spacing w:val="7"/>
                <w:sz w:val="20"/>
                <w:szCs w:val="20"/>
              </w:rPr>
              <w:t>放</w:t>
            </w:r>
          </w:p>
        </w:tc>
      </w:tr>
      <w:tr w14:paraId="0AEA8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43" w:type="dxa"/>
            <w:vMerge w:val="continue"/>
            <w:tcBorders>
              <w:top w:val="nil"/>
              <w:left w:val="nil"/>
              <w:bottom w:val="nil"/>
            </w:tcBorders>
            <w:vAlign w:val="top"/>
          </w:tcPr>
          <w:p w14:paraId="2A36681B">
            <w:pPr>
              <w:rPr>
                <w:rFonts w:ascii="Arial"/>
                <w:sz w:val="21"/>
              </w:rPr>
            </w:pPr>
          </w:p>
        </w:tc>
        <w:tc>
          <w:tcPr>
            <w:tcW w:w="938" w:type="dxa"/>
            <w:vAlign w:val="top"/>
          </w:tcPr>
          <w:p w14:paraId="02847D61">
            <w:pPr>
              <w:spacing w:line="340" w:lineRule="auto"/>
              <w:rPr>
                <w:rFonts w:ascii="Arial"/>
                <w:sz w:val="21"/>
              </w:rPr>
            </w:pPr>
          </w:p>
          <w:p w14:paraId="1904860F">
            <w:pPr>
              <w:spacing w:before="58" w:line="195" w:lineRule="auto"/>
              <w:ind w:left="345"/>
              <w:rPr>
                <w:rFonts w:ascii="Times New Roman" w:hAnsi="Times New Roman" w:eastAsia="Times New Roman" w:cs="Times New Roman"/>
                <w:sz w:val="20"/>
                <w:szCs w:val="20"/>
              </w:rPr>
            </w:pPr>
            <w:r>
              <w:rPr>
                <w:rFonts w:ascii="Times New Roman" w:hAnsi="Times New Roman" w:eastAsia="Times New Roman" w:cs="Times New Roman"/>
                <w:sz w:val="20"/>
                <w:szCs w:val="20"/>
              </w:rPr>
              <w:t>G</w:t>
            </w:r>
            <w:r>
              <w:rPr>
                <w:rFonts w:ascii="Times New Roman" w:hAnsi="Times New Roman" w:eastAsia="Times New Roman" w:cs="Times New Roman"/>
                <w:spacing w:val="3"/>
                <w:sz w:val="20"/>
                <w:szCs w:val="20"/>
              </w:rPr>
              <w:t>2</w:t>
            </w:r>
          </w:p>
        </w:tc>
        <w:tc>
          <w:tcPr>
            <w:tcW w:w="1854" w:type="dxa"/>
            <w:vAlign w:val="top"/>
          </w:tcPr>
          <w:p w14:paraId="196D7D82">
            <w:pPr>
              <w:spacing w:line="297" w:lineRule="auto"/>
              <w:rPr>
                <w:rFonts w:ascii="Arial"/>
                <w:sz w:val="21"/>
              </w:rPr>
            </w:pPr>
          </w:p>
          <w:p w14:paraId="0977F368">
            <w:pPr>
              <w:spacing w:before="65" w:line="228" w:lineRule="auto"/>
              <w:ind w:left="411"/>
              <w:rPr>
                <w:rFonts w:ascii="宋体" w:hAnsi="宋体" w:eastAsia="宋体" w:cs="宋体"/>
                <w:sz w:val="20"/>
                <w:szCs w:val="20"/>
              </w:rPr>
            </w:pPr>
            <w:r>
              <w:rPr>
                <w:rFonts w:ascii="宋体" w:hAnsi="宋体" w:eastAsia="宋体" w:cs="宋体"/>
                <w:spacing w:val="8"/>
                <w:sz w:val="20"/>
                <w:szCs w:val="20"/>
              </w:rPr>
              <w:t>热</w:t>
            </w:r>
            <w:r>
              <w:rPr>
                <w:rFonts w:ascii="宋体" w:hAnsi="宋体" w:eastAsia="宋体" w:cs="宋体"/>
                <w:spacing w:val="7"/>
                <w:sz w:val="20"/>
                <w:szCs w:val="20"/>
              </w:rPr>
              <w:t>熔、造粒</w:t>
            </w:r>
          </w:p>
        </w:tc>
        <w:tc>
          <w:tcPr>
            <w:tcW w:w="1432" w:type="dxa"/>
            <w:vAlign w:val="top"/>
          </w:tcPr>
          <w:p w14:paraId="6AE1EDC1">
            <w:pPr>
              <w:spacing w:line="297" w:lineRule="auto"/>
              <w:rPr>
                <w:rFonts w:ascii="Arial"/>
                <w:sz w:val="21"/>
              </w:rPr>
            </w:pPr>
          </w:p>
          <w:p w14:paraId="61A8AC48">
            <w:pPr>
              <w:spacing w:before="65" w:line="228" w:lineRule="auto"/>
              <w:ind w:left="200"/>
              <w:rPr>
                <w:rFonts w:ascii="宋体" w:hAnsi="宋体" w:eastAsia="宋体" w:cs="宋体"/>
                <w:sz w:val="20"/>
                <w:szCs w:val="20"/>
              </w:rPr>
            </w:pPr>
            <w:r>
              <w:rPr>
                <w:rFonts w:ascii="宋体" w:hAnsi="宋体" w:eastAsia="宋体" w:cs="宋体"/>
                <w:spacing w:val="9"/>
                <w:sz w:val="20"/>
                <w:szCs w:val="20"/>
              </w:rPr>
              <w:t>非</w:t>
            </w:r>
            <w:r>
              <w:rPr>
                <w:rFonts w:ascii="宋体" w:hAnsi="宋体" w:eastAsia="宋体" w:cs="宋体"/>
                <w:spacing w:val="7"/>
                <w:sz w:val="20"/>
                <w:szCs w:val="20"/>
              </w:rPr>
              <w:t>甲烷总烃</w:t>
            </w:r>
          </w:p>
        </w:tc>
        <w:tc>
          <w:tcPr>
            <w:tcW w:w="2135" w:type="dxa"/>
            <w:vAlign w:val="top"/>
          </w:tcPr>
          <w:p w14:paraId="06B0339E">
            <w:pPr>
              <w:spacing w:before="14" w:line="281" w:lineRule="exact"/>
              <w:ind w:left="101"/>
              <w:rPr>
                <w:rFonts w:ascii="宋体" w:hAnsi="宋体" w:eastAsia="宋体" w:cs="宋体"/>
                <w:sz w:val="20"/>
                <w:szCs w:val="20"/>
              </w:rPr>
            </w:pPr>
            <w:r>
              <w:rPr>
                <w:rFonts w:ascii="宋体" w:hAnsi="宋体" w:eastAsia="宋体" w:cs="宋体"/>
                <w:spacing w:val="9"/>
                <w:position w:val="1"/>
                <w:sz w:val="20"/>
                <w:szCs w:val="20"/>
              </w:rPr>
              <w:t>集气罩</w:t>
            </w:r>
            <w:r>
              <w:rPr>
                <w:rFonts w:ascii="Times New Roman" w:hAnsi="Times New Roman" w:eastAsia="Times New Roman" w:cs="Times New Roman"/>
                <w:spacing w:val="9"/>
                <w:position w:val="1"/>
                <w:sz w:val="20"/>
                <w:szCs w:val="20"/>
              </w:rPr>
              <w:t>+</w:t>
            </w:r>
            <w:r>
              <w:rPr>
                <w:rFonts w:ascii="Times New Roman" w:hAnsi="Times New Roman" w:eastAsia="Times New Roman" w:cs="Times New Roman"/>
                <w:position w:val="1"/>
                <w:sz w:val="20"/>
                <w:szCs w:val="20"/>
              </w:rPr>
              <w:t>UV</w:t>
            </w:r>
            <w:r>
              <w:rPr>
                <w:rFonts w:ascii="Times New Roman" w:hAnsi="Times New Roman" w:eastAsia="Times New Roman" w:cs="Times New Roman"/>
                <w:spacing w:val="9"/>
                <w:position w:val="1"/>
                <w:sz w:val="20"/>
                <w:szCs w:val="20"/>
              </w:rPr>
              <w:t xml:space="preserve"> </w:t>
            </w:r>
            <w:r>
              <w:rPr>
                <w:rFonts w:ascii="宋体" w:hAnsi="宋体" w:eastAsia="宋体" w:cs="宋体"/>
                <w:spacing w:val="9"/>
                <w:position w:val="1"/>
                <w:sz w:val="20"/>
                <w:szCs w:val="20"/>
              </w:rPr>
              <w:t>光氧催化</w:t>
            </w:r>
          </w:p>
          <w:p w14:paraId="5F34A755">
            <w:pPr>
              <w:spacing w:before="30" w:line="282" w:lineRule="exact"/>
              <w:ind w:left="69"/>
              <w:rPr>
                <w:rFonts w:ascii="宋体" w:hAnsi="宋体" w:eastAsia="宋体" w:cs="宋体"/>
                <w:sz w:val="20"/>
                <w:szCs w:val="20"/>
              </w:rPr>
            </w:pPr>
            <w:r>
              <w:rPr>
                <w:rFonts w:ascii="宋体" w:hAnsi="宋体" w:eastAsia="宋体" w:cs="宋体"/>
                <w:spacing w:val="14"/>
                <w:position w:val="1"/>
                <w:sz w:val="20"/>
                <w:szCs w:val="20"/>
              </w:rPr>
              <w:t>废</w:t>
            </w:r>
            <w:r>
              <w:rPr>
                <w:rFonts w:ascii="宋体" w:hAnsi="宋体" w:eastAsia="宋体" w:cs="宋体"/>
                <w:spacing w:val="8"/>
                <w:position w:val="1"/>
                <w:sz w:val="20"/>
                <w:szCs w:val="20"/>
              </w:rPr>
              <w:t>气处理装置</w:t>
            </w:r>
            <w:r>
              <w:rPr>
                <w:rFonts w:ascii="Times New Roman" w:hAnsi="Times New Roman" w:eastAsia="Times New Roman" w:cs="Times New Roman"/>
                <w:spacing w:val="8"/>
                <w:position w:val="1"/>
                <w:sz w:val="20"/>
                <w:szCs w:val="20"/>
              </w:rPr>
              <w:t>+</w:t>
            </w:r>
            <w:r>
              <w:rPr>
                <w:rFonts w:ascii="宋体" w:hAnsi="宋体" w:eastAsia="宋体" w:cs="宋体"/>
                <w:spacing w:val="8"/>
                <w:position w:val="1"/>
                <w:sz w:val="20"/>
                <w:szCs w:val="20"/>
              </w:rPr>
              <w:t>活性炭</w:t>
            </w:r>
          </w:p>
          <w:p w14:paraId="45E2DF04">
            <w:pPr>
              <w:spacing w:before="68" w:line="227" w:lineRule="auto"/>
              <w:ind w:left="661"/>
              <w:rPr>
                <w:rFonts w:ascii="宋体" w:hAnsi="宋体" w:eastAsia="宋体" w:cs="宋体"/>
                <w:sz w:val="20"/>
                <w:szCs w:val="20"/>
              </w:rPr>
            </w:pPr>
            <w:r>
              <w:rPr>
                <w:rFonts w:ascii="宋体" w:hAnsi="宋体" w:eastAsia="宋体" w:cs="宋体"/>
                <w:spacing w:val="6"/>
                <w:sz w:val="20"/>
                <w:szCs w:val="20"/>
              </w:rPr>
              <w:t>吸</w:t>
            </w:r>
            <w:r>
              <w:rPr>
                <w:rFonts w:ascii="宋体" w:hAnsi="宋体" w:eastAsia="宋体" w:cs="宋体"/>
                <w:spacing w:val="5"/>
                <w:sz w:val="20"/>
                <w:szCs w:val="20"/>
              </w:rPr>
              <w:t>附装置</w:t>
            </w:r>
          </w:p>
        </w:tc>
        <w:tc>
          <w:tcPr>
            <w:tcW w:w="1519" w:type="dxa"/>
            <w:tcBorders>
              <w:right w:val="nil"/>
            </w:tcBorders>
            <w:vAlign w:val="top"/>
          </w:tcPr>
          <w:p w14:paraId="7E554EE9">
            <w:pPr>
              <w:spacing w:before="207" w:line="301" w:lineRule="auto"/>
              <w:ind w:left="134" w:right="24" w:hanging="103"/>
              <w:rPr>
                <w:rFonts w:ascii="Times New Roman" w:hAnsi="Times New Roman" w:eastAsia="Times New Roman" w:cs="Times New Roman"/>
                <w:sz w:val="20"/>
                <w:szCs w:val="20"/>
              </w:rPr>
            </w:pPr>
            <w:r>
              <w:rPr>
                <w:rFonts w:ascii="宋体" w:hAnsi="宋体" w:eastAsia="宋体" w:cs="宋体"/>
                <w:spacing w:val="11"/>
                <w:sz w:val="20"/>
                <w:szCs w:val="20"/>
              </w:rPr>
              <w:t>有</w:t>
            </w:r>
            <w:r>
              <w:rPr>
                <w:rFonts w:ascii="宋体" w:hAnsi="宋体" w:eastAsia="宋体" w:cs="宋体"/>
                <w:spacing w:val="8"/>
                <w:sz w:val="20"/>
                <w:szCs w:val="20"/>
              </w:rPr>
              <w:t>组织排放，排</w:t>
            </w:r>
            <w:r>
              <w:rPr>
                <w:rFonts w:ascii="宋体" w:hAnsi="宋体" w:eastAsia="宋体" w:cs="宋体"/>
                <w:sz w:val="20"/>
                <w:szCs w:val="20"/>
              </w:rPr>
              <w:t xml:space="preserve"> </w:t>
            </w:r>
            <w:r>
              <w:rPr>
                <w:rFonts w:ascii="宋体" w:hAnsi="宋体" w:eastAsia="宋体" w:cs="宋体"/>
                <w:spacing w:val="-1"/>
                <w:sz w:val="20"/>
                <w:szCs w:val="20"/>
              </w:rPr>
              <w:t>气</w:t>
            </w:r>
            <w:r>
              <w:rPr>
                <w:rFonts w:ascii="宋体" w:hAnsi="宋体" w:eastAsia="宋体" w:cs="宋体"/>
                <w:sz w:val="20"/>
                <w:szCs w:val="20"/>
              </w:rPr>
              <w:t xml:space="preserve">筒高度 </w:t>
            </w:r>
            <w:r>
              <w:rPr>
                <w:rFonts w:ascii="Times New Roman" w:hAnsi="Times New Roman" w:eastAsia="Times New Roman" w:cs="Times New Roman"/>
                <w:sz w:val="20"/>
                <w:szCs w:val="20"/>
              </w:rPr>
              <w:t>15m</w:t>
            </w:r>
          </w:p>
        </w:tc>
      </w:tr>
      <w:tr w14:paraId="30BCCD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43" w:type="dxa"/>
            <w:vMerge w:val="continue"/>
            <w:tcBorders>
              <w:top w:val="nil"/>
              <w:left w:val="nil"/>
            </w:tcBorders>
            <w:vAlign w:val="top"/>
          </w:tcPr>
          <w:p w14:paraId="2BFA8AAA">
            <w:pPr>
              <w:rPr>
                <w:rFonts w:ascii="Arial"/>
                <w:sz w:val="21"/>
              </w:rPr>
            </w:pPr>
          </w:p>
        </w:tc>
        <w:tc>
          <w:tcPr>
            <w:tcW w:w="938" w:type="dxa"/>
            <w:vAlign w:val="top"/>
          </w:tcPr>
          <w:p w14:paraId="5B4244A1">
            <w:pPr>
              <w:spacing w:before="244" w:line="195" w:lineRule="auto"/>
              <w:ind w:left="345"/>
              <w:rPr>
                <w:rFonts w:ascii="Times New Roman" w:hAnsi="Times New Roman" w:eastAsia="Times New Roman" w:cs="Times New Roman"/>
                <w:sz w:val="20"/>
                <w:szCs w:val="20"/>
              </w:rPr>
            </w:pPr>
            <w:r>
              <w:rPr>
                <w:rFonts w:ascii="Times New Roman" w:hAnsi="Times New Roman" w:eastAsia="Times New Roman" w:cs="Times New Roman"/>
                <w:sz w:val="20"/>
                <w:szCs w:val="20"/>
              </w:rPr>
              <w:t>G</w:t>
            </w:r>
            <w:r>
              <w:rPr>
                <w:rFonts w:ascii="Times New Roman" w:hAnsi="Times New Roman" w:eastAsia="Times New Roman" w:cs="Times New Roman"/>
                <w:spacing w:val="3"/>
                <w:sz w:val="20"/>
                <w:szCs w:val="20"/>
              </w:rPr>
              <w:t>3</w:t>
            </w:r>
          </w:p>
        </w:tc>
        <w:tc>
          <w:tcPr>
            <w:tcW w:w="1854" w:type="dxa"/>
            <w:vAlign w:val="top"/>
          </w:tcPr>
          <w:p w14:paraId="72CB34BC">
            <w:pPr>
              <w:spacing w:before="209" w:line="228" w:lineRule="auto"/>
              <w:ind w:left="622"/>
              <w:rPr>
                <w:rFonts w:ascii="宋体" w:hAnsi="宋体" w:eastAsia="宋体" w:cs="宋体"/>
                <w:sz w:val="20"/>
                <w:szCs w:val="20"/>
              </w:rPr>
            </w:pPr>
            <w:r>
              <w:rPr>
                <w:rFonts w:ascii="宋体" w:hAnsi="宋体" w:eastAsia="宋体" w:cs="宋体"/>
                <w:spacing w:val="6"/>
                <w:sz w:val="20"/>
                <w:szCs w:val="20"/>
              </w:rPr>
              <w:t>热</w:t>
            </w:r>
            <w:r>
              <w:rPr>
                <w:rFonts w:ascii="宋体" w:hAnsi="宋体" w:eastAsia="宋体" w:cs="宋体"/>
                <w:spacing w:val="5"/>
                <w:sz w:val="20"/>
                <w:szCs w:val="20"/>
              </w:rPr>
              <w:t>风炉</w:t>
            </w:r>
          </w:p>
        </w:tc>
        <w:tc>
          <w:tcPr>
            <w:tcW w:w="1432" w:type="dxa"/>
            <w:vAlign w:val="top"/>
          </w:tcPr>
          <w:p w14:paraId="1B48F7F0">
            <w:pPr>
              <w:spacing w:before="52" w:line="262" w:lineRule="auto"/>
              <w:ind w:left="507" w:right="55" w:hanging="479"/>
              <w:rPr>
                <w:rFonts w:ascii="Times New Roman" w:hAnsi="Times New Roman" w:eastAsia="Times New Roman" w:cs="Times New Roman"/>
                <w:sz w:val="20"/>
                <w:szCs w:val="20"/>
              </w:rPr>
            </w:pPr>
            <w:r>
              <w:rPr>
                <w:rFonts w:ascii="宋体" w:hAnsi="宋体" w:eastAsia="宋体" w:cs="宋体"/>
                <w:spacing w:val="6"/>
                <w:sz w:val="20"/>
                <w:szCs w:val="20"/>
              </w:rPr>
              <w:t>颗</w:t>
            </w:r>
            <w:r>
              <w:rPr>
                <w:rFonts w:ascii="宋体" w:hAnsi="宋体" w:eastAsia="宋体" w:cs="宋体"/>
                <w:spacing w:val="4"/>
                <w:sz w:val="20"/>
                <w:szCs w:val="20"/>
              </w:rPr>
              <w:t>粒</w:t>
            </w:r>
            <w:r>
              <w:rPr>
                <w:rFonts w:ascii="宋体" w:hAnsi="宋体" w:eastAsia="宋体" w:cs="宋体"/>
                <w:spacing w:val="3"/>
                <w:sz w:val="20"/>
                <w:szCs w:val="20"/>
              </w:rPr>
              <w:t>物、</w:t>
            </w:r>
            <w:r>
              <w:rPr>
                <w:rFonts w:ascii="Times New Roman" w:hAnsi="Times New Roman" w:eastAsia="Times New Roman" w:cs="Times New Roman"/>
                <w:sz w:val="20"/>
                <w:szCs w:val="20"/>
              </w:rPr>
              <w:t>SO</w:t>
            </w:r>
            <w:r>
              <w:rPr>
                <w:rFonts w:ascii="Times New Roman" w:hAnsi="Times New Roman" w:eastAsia="Times New Roman" w:cs="Times New Roman"/>
                <w:spacing w:val="3"/>
                <w:position w:val="-1"/>
                <w:sz w:val="13"/>
                <w:szCs w:val="13"/>
              </w:rPr>
              <w:t>2</w:t>
            </w:r>
            <w:r>
              <w:rPr>
                <w:rFonts w:ascii="宋体" w:hAnsi="宋体" w:eastAsia="宋体" w:cs="宋体"/>
                <w:spacing w:val="3"/>
                <w:sz w:val="20"/>
                <w:szCs w:val="20"/>
              </w:rPr>
              <w:t>、</w:t>
            </w:r>
            <w:r>
              <w:rPr>
                <w:rFonts w:ascii="宋体" w:hAnsi="宋体" w:eastAsia="宋体" w:cs="宋体"/>
                <w:sz w:val="20"/>
                <w:szCs w:val="20"/>
              </w:rPr>
              <w:t xml:space="preserve"> </w:t>
            </w:r>
            <w:r>
              <w:rPr>
                <w:rFonts w:ascii="Times New Roman" w:hAnsi="Times New Roman" w:eastAsia="Times New Roman" w:cs="Times New Roman"/>
                <w:spacing w:val="7"/>
                <w:sz w:val="20"/>
                <w:szCs w:val="20"/>
              </w:rPr>
              <w:t>NO</w:t>
            </w:r>
            <w:r>
              <w:rPr>
                <w:rFonts w:ascii="Times New Roman" w:hAnsi="Times New Roman" w:eastAsia="Times New Roman" w:cs="Times New Roman"/>
                <w:spacing w:val="6"/>
                <w:sz w:val="20"/>
                <w:szCs w:val="20"/>
              </w:rPr>
              <w:t>x</w:t>
            </w:r>
          </w:p>
        </w:tc>
        <w:tc>
          <w:tcPr>
            <w:tcW w:w="2135" w:type="dxa"/>
            <w:vAlign w:val="top"/>
          </w:tcPr>
          <w:p w14:paraId="05A95590">
            <w:pPr>
              <w:spacing w:before="208" w:line="227" w:lineRule="auto"/>
              <w:ind w:left="548"/>
              <w:rPr>
                <w:rFonts w:ascii="宋体" w:hAnsi="宋体" w:eastAsia="宋体" w:cs="宋体"/>
                <w:sz w:val="20"/>
                <w:szCs w:val="20"/>
              </w:rPr>
            </w:pPr>
            <w:r>
              <w:rPr>
                <w:rFonts w:ascii="宋体" w:hAnsi="宋体" w:eastAsia="宋体" w:cs="宋体"/>
                <w:spacing w:val="8"/>
                <w:sz w:val="20"/>
                <w:szCs w:val="20"/>
              </w:rPr>
              <w:t>布袋除尘器</w:t>
            </w:r>
          </w:p>
        </w:tc>
        <w:tc>
          <w:tcPr>
            <w:tcW w:w="1519" w:type="dxa"/>
            <w:tcBorders>
              <w:right w:val="nil"/>
            </w:tcBorders>
            <w:vAlign w:val="top"/>
          </w:tcPr>
          <w:p w14:paraId="3CAD43F6">
            <w:pPr>
              <w:spacing w:before="52" w:line="258" w:lineRule="auto"/>
              <w:ind w:left="134" w:right="24" w:hanging="103"/>
              <w:rPr>
                <w:rFonts w:ascii="Times New Roman" w:hAnsi="Times New Roman" w:eastAsia="Times New Roman" w:cs="Times New Roman"/>
                <w:sz w:val="20"/>
                <w:szCs w:val="20"/>
              </w:rPr>
            </w:pPr>
            <w:r>
              <w:rPr>
                <w:rFonts w:ascii="宋体" w:hAnsi="宋体" w:eastAsia="宋体" w:cs="宋体"/>
                <w:spacing w:val="11"/>
                <w:sz w:val="20"/>
                <w:szCs w:val="20"/>
              </w:rPr>
              <w:t>有</w:t>
            </w:r>
            <w:r>
              <w:rPr>
                <w:rFonts w:ascii="宋体" w:hAnsi="宋体" w:eastAsia="宋体" w:cs="宋体"/>
                <w:spacing w:val="8"/>
                <w:sz w:val="20"/>
                <w:szCs w:val="20"/>
              </w:rPr>
              <w:t>组织排放，排</w:t>
            </w:r>
            <w:r>
              <w:rPr>
                <w:rFonts w:ascii="宋体" w:hAnsi="宋体" w:eastAsia="宋体" w:cs="宋体"/>
                <w:sz w:val="20"/>
                <w:szCs w:val="20"/>
              </w:rPr>
              <w:t xml:space="preserve"> </w:t>
            </w:r>
            <w:r>
              <w:rPr>
                <w:rFonts w:ascii="宋体" w:hAnsi="宋体" w:eastAsia="宋体" w:cs="宋体"/>
                <w:spacing w:val="-1"/>
                <w:sz w:val="20"/>
                <w:szCs w:val="20"/>
              </w:rPr>
              <w:t>气</w:t>
            </w:r>
            <w:r>
              <w:rPr>
                <w:rFonts w:ascii="宋体" w:hAnsi="宋体" w:eastAsia="宋体" w:cs="宋体"/>
                <w:sz w:val="20"/>
                <w:szCs w:val="20"/>
              </w:rPr>
              <w:t xml:space="preserve">筒高度 </w:t>
            </w:r>
            <w:r>
              <w:rPr>
                <w:rFonts w:ascii="Times New Roman" w:hAnsi="Times New Roman" w:eastAsia="Times New Roman" w:cs="Times New Roman"/>
                <w:sz w:val="20"/>
                <w:szCs w:val="20"/>
              </w:rPr>
              <w:t>30m</w:t>
            </w:r>
          </w:p>
        </w:tc>
      </w:tr>
      <w:tr w14:paraId="344802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43" w:type="dxa"/>
            <w:vMerge w:val="restart"/>
            <w:tcBorders>
              <w:left w:val="nil"/>
              <w:bottom w:val="nil"/>
            </w:tcBorders>
            <w:vAlign w:val="top"/>
          </w:tcPr>
          <w:p w14:paraId="14466505">
            <w:pPr>
              <w:spacing w:line="256" w:lineRule="auto"/>
              <w:rPr>
                <w:rFonts w:ascii="Arial"/>
                <w:sz w:val="21"/>
              </w:rPr>
            </w:pPr>
          </w:p>
          <w:p w14:paraId="26E9676E">
            <w:pPr>
              <w:spacing w:line="256" w:lineRule="auto"/>
              <w:rPr>
                <w:rFonts w:ascii="Arial"/>
                <w:sz w:val="21"/>
              </w:rPr>
            </w:pPr>
          </w:p>
          <w:p w14:paraId="2FAACD57">
            <w:pPr>
              <w:spacing w:line="256" w:lineRule="auto"/>
              <w:rPr>
                <w:rFonts w:ascii="Arial"/>
                <w:sz w:val="21"/>
              </w:rPr>
            </w:pPr>
          </w:p>
          <w:p w14:paraId="12C2C48E">
            <w:pPr>
              <w:spacing w:before="65" w:line="228" w:lineRule="auto"/>
              <w:ind w:left="117"/>
              <w:rPr>
                <w:rFonts w:ascii="宋体" w:hAnsi="宋体" w:eastAsia="宋体" w:cs="宋体"/>
                <w:sz w:val="20"/>
                <w:szCs w:val="20"/>
              </w:rPr>
            </w:pPr>
            <w:r>
              <w:rPr>
                <w:rFonts w:ascii="宋体" w:hAnsi="宋体" w:eastAsia="宋体" w:cs="宋体"/>
                <w:spacing w:val="5"/>
                <w:sz w:val="20"/>
                <w:szCs w:val="20"/>
              </w:rPr>
              <w:t>废水</w:t>
            </w:r>
          </w:p>
        </w:tc>
        <w:tc>
          <w:tcPr>
            <w:tcW w:w="938" w:type="dxa"/>
            <w:vAlign w:val="top"/>
          </w:tcPr>
          <w:p w14:paraId="382F0FBC">
            <w:pPr>
              <w:spacing w:before="245" w:line="193" w:lineRule="auto"/>
              <w:ind w:left="22"/>
              <w:rPr>
                <w:rFonts w:ascii="宋体" w:hAnsi="宋体" w:eastAsia="宋体" w:cs="宋体"/>
                <w:sz w:val="19"/>
                <w:szCs w:val="19"/>
              </w:rPr>
            </w:pPr>
            <w:r>
              <w:rPr>
                <w:rFonts w:ascii="Times New Roman" w:hAnsi="Times New Roman" w:eastAsia="Times New Roman" w:cs="Times New Roman"/>
                <w:spacing w:val="-3"/>
                <w:sz w:val="19"/>
                <w:szCs w:val="19"/>
              </w:rPr>
              <w:t>W1</w:t>
            </w:r>
            <w:r>
              <w:rPr>
                <w:rFonts w:ascii="宋体" w:hAnsi="宋体" w:eastAsia="宋体" w:cs="宋体"/>
                <w:spacing w:val="-3"/>
                <w:sz w:val="19"/>
                <w:szCs w:val="19"/>
              </w:rPr>
              <w:t>、</w:t>
            </w:r>
            <w:r>
              <w:rPr>
                <w:rFonts w:ascii="Times New Roman" w:hAnsi="Times New Roman" w:eastAsia="Times New Roman" w:cs="Times New Roman"/>
                <w:spacing w:val="-3"/>
                <w:sz w:val="19"/>
                <w:szCs w:val="19"/>
              </w:rPr>
              <w:t>W2</w:t>
            </w:r>
            <w:r>
              <w:rPr>
                <w:rFonts w:ascii="宋体" w:hAnsi="宋体" w:eastAsia="宋体" w:cs="宋体"/>
                <w:spacing w:val="-3"/>
                <w:sz w:val="19"/>
                <w:szCs w:val="19"/>
              </w:rPr>
              <w:t>、</w:t>
            </w:r>
          </w:p>
          <w:p w14:paraId="7319804B">
            <w:pPr>
              <w:spacing w:before="113" w:line="193" w:lineRule="auto"/>
              <w:ind w:left="22"/>
              <w:rPr>
                <w:rFonts w:ascii="宋体" w:hAnsi="宋体" w:eastAsia="宋体" w:cs="宋体"/>
                <w:sz w:val="19"/>
                <w:szCs w:val="19"/>
              </w:rPr>
            </w:pPr>
            <w:r>
              <w:rPr>
                <w:rFonts w:ascii="Times New Roman" w:hAnsi="Times New Roman" w:eastAsia="Times New Roman" w:cs="Times New Roman"/>
                <w:spacing w:val="-3"/>
                <w:sz w:val="19"/>
                <w:szCs w:val="19"/>
              </w:rPr>
              <w:t>W3</w:t>
            </w:r>
            <w:r>
              <w:rPr>
                <w:rFonts w:ascii="宋体" w:hAnsi="宋体" w:eastAsia="宋体" w:cs="宋体"/>
                <w:spacing w:val="-3"/>
                <w:sz w:val="19"/>
                <w:szCs w:val="19"/>
              </w:rPr>
              <w:t>、</w:t>
            </w:r>
            <w:r>
              <w:rPr>
                <w:rFonts w:ascii="Times New Roman" w:hAnsi="Times New Roman" w:eastAsia="Times New Roman" w:cs="Times New Roman"/>
                <w:spacing w:val="-3"/>
                <w:sz w:val="19"/>
                <w:szCs w:val="19"/>
              </w:rPr>
              <w:t>W4</w:t>
            </w:r>
            <w:r>
              <w:rPr>
                <w:rFonts w:ascii="宋体" w:hAnsi="宋体" w:eastAsia="宋体" w:cs="宋体"/>
                <w:spacing w:val="-3"/>
                <w:sz w:val="19"/>
                <w:szCs w:val="19"/>
              </w:rPr>
              <w:t>、</w:t>
            </w:r>
          </w:p>
          <w:p w14:paraId="0DBC4C89">
            <w:pPr>
              <w:spacing w:before="115" w:line="192" w:lineRule="auto"/>
              <w:ind w:left="317"/>
              <w:rPr>
                <w:rFonts w:ascii="Times New Roman" w:hAnsi="Times New Roman" w:eastAsia="Times New Roman" w:cs="Times New Roman"/>
                <w:sz w:val="20"/>
                <w:szCs w:val="20"/>
              </w:rPr>
            </w:pPr>
            <w:r>
              <w:rPr>
                <w:rFonts w:ascii="Times New Roman" w:hAnsi="Times New Roman" w:eastAsia="Times New Roman" w:cs="Times New Roman"/>
                <w:sz w:val="20"/>
                <w:szCs w:val="20"/>
              </w:rPr>
              <w:t>W</w:t>
            </w:r>
            <w:r>
              <w:rPr>
                <w:rFonts w:ascii="Times New Roman" w:hAnsi="Times New Roman" w:eastAsia="Times New Roman" w:cs="Times New Roman"/>
                <w:spacing w:val="9"/>
                <w:sz w:val="20"/>
                <w:szCs w:val="20"/>
              </w:rPr>
              <w:t>5</w:t>
            </w:r>
          </w:p>
        </w:tc>
        <w:tc>
          <w:tcPr>
            <w:tcW w:w="1854" w:type="dxa"/>
            <w:vAlign w:val="top"/>
          </w:tcPr>
          <w:p w14:paraId="62A78FDA">
            <w:pPr>
              <w:spacing w:before="53" w:line="288" w:lineRule="auto"/>
              <w:ind w:left="90" w:right="21" w:hanging="64"/>
              <w:rPr>
                <w:rFonts w:ascii="宋体" w:hAnsi="宋体" w:eastAsia="宋体" w:cs="宋体"/>
                <w:sz w:val="20"/>
                <w:szCs w:val="20"/>
              </w:rPr>
            </w:pPr>
            <w:r>
              <w:rPr>
                <w:rFonts w:ascii="宋体" w:hAnsi="宋体" w:eastAsia="宋体" w:cs="宋体"/>
                <w:sz w:val="20"/>
                <w:szCs w:val="20"/>
              </w:rPr>
              <w:t xml:space="preserve">破碎废水、初洗清洗 </w:t>
            </w:r>
            <w:r>
              <w:rPr>
                <w:rFonts w:ascii="宋体" w:hAnsi="宋体" w:eastAsia="宋体" w:cs="宋体"/>
                <w:spacing w:val="9"/>
                <w:sz w:val="20"/>
                <w:szCs w:val="20"/>
              </w:rPr>
              <w:t>废水、洗字清洗</w:t>
            </w:r>
            <w:r>
              <w:rPr>
                <w:rFonts w:ascii="宋体" w:hAnsi="宋体" w:eastAsia="宋体" w:cs="宋体"/>
                <w:spacing w:val="7"/>
                <w:sz w:val="20"/>
                <w:szCs w:val="20"/>
              </w:rPr>
              <w:t>废</w:t>
            </w:r>
          </w:p>
          <w:p w14:paraId="44C0EAB1">
            <w:pPr>
              <w:spacing w:before="1" w:line="257" w:lineRule="auto"/>
              <w:ind w:left="297" w:hanging="267"/>
              <w:rPr>
                <w:rFonts w:ascii="宋体" w:hAnsi="宋体" w:eastAsia="宋体" w:cs="宋体"/>
                <w:sz w:val="20"/>
                <w:szCs w:val="20"/>
              </w:rPr>
            </w:pPr>
            <w:r>
              <w:rPr>
                <w:rFonts w:ascii="宋体" w:hAnsi="宋体" w:eastAsia="宋体" w:cs="宋体"/>
                <w:spacing w:val="2"/>
                <w:sz w:val="20"/>
                <w:szCs w:val="20"/>
              </w:rPr>
              <w:t>水、二级清洗废水、</w:t>
            </w:r>
            <w:r>
              <w:rPr>
                <w:rFonts w:ascii="宋体" w:hAnsi="宋体" w:eastAsia="宋体" w:cs="宋体"/>
                <w:sz w:val="20"/>
                <w:szCs w:val="20"/>
              </w:rPr>
              <w:t xml:space="preserve"> </w:t>
            </w:r>
            <w:r>
              <w:rPr>
                <w:rFonts w:ascii="宋体" w:hAnsi="宋体" w:eastAsia="宋体" w:cs="宋体"/>
                <w:spacing w:val="7"/>
                <w:sz w:val="20"/>
                <w:szCs w:val="20"/>
              </w:rPr>
              <w:t>循</w:t>
            </w:r>
            <w:r>
              <w:rPr>
                <w:rFonts w:ascii="宋体" w:hAnsi="宋体" w:eastAsia="宋体" w:cs="宋体"/>
                <w:spacing w:val="5"/>
                <w:sz w:val="20"/>
                <w:szCs w:val="20"/>
              </w:rPr>
              <w:t>环冷却废水</w:t>
            </w:r>
          </w:p>
        </w:tc>
        <w:tc>
          <w:tcPr>
            <w:tcW w:w="1432" w:type="dxa"/>
            <w:vAlign w:val="top"/>
          </w:tcPr>
          <w:p w14:paraId="36AF2068">
            <w:pPr>
              <w:spacing w:line="297" w:lineRule="auto"/>
              <w:rPr>
                <w:rFonts w:ascii="Arial"/>
                <w:sz w:val="21"/>
              </w:rPr>
            </w:pPr>
          </w:p>
          <w:p w14:paraId="2E2E071D">
            <w:pPr>
              <w:spacing w:before="65" w:line="309" w:lineRule="auto"/>
              <w:ind w:left="189" w:right="106" w:hanging="111"/>
              <w:rPr>
                <w:rFonts w:ascii="宋体" w:hAnsi="宋体" w:eastAsia="宋体" w:cs="宋体"/>
                <w:sz w:val="20"/>
                <w:szCs w:val="20"/>
              </w:rPr>
            </w:pPr>
            <w:r>
              <w:rPr>
                <w:rFonts w:ascii="Times New Roman" w:hAnsi="Times New Roman" w:eastAsia="Times New Roman" w:cs="Times New Roman"/>
                <w:spacing w:val="-4"/>
                <w:sz w:val="20"/>
                <w:szCs w:val="20"/>
              </w:rPr>
              <w:t>CO</w:t>
            </w:r>
            <w:r>
              <w:rPr>
                <w:rFonts w:ascii="Times New Roman" w:hAnsi="Times New Roman" w:eastAsia="Times New Roman" w:cs="Times New Roman"/>
                <w:spacing w:val="-3"/>
                <w:sz w:val="20"/>
                <w:szCs w:val="20"/>
              </w:rPr>
              <w:t>D</w:t>
            </w:r>
            <w:r>
              <w:rPr>
                <w:rFonts w:ascii="Times New Roman" w:hAnsi="Times New Roman" w:eastAsia="Times New Roman" w:cs="Times New Roman"/>
                <w:spacing w:val="-4"/>
                <w:sz w:val="20"/>
                <w:szCs w:val="20"/>
              </w:rPr>
              <w:t xml:space="preserve"> </w:t>
            </w:r>
            <w:r>
              <w:rPr>
                <w:rFonts w:ascii="宋体" w:hAnsi="宋体" w:eastAsia="宋体" w:cs="宋体"/>
                <w:spacing w:val="-4"/>
                <w:sz w:val="20"/>
                <w:szCs w:val="20"/>
              </w:rPr>
              <w:t>、氨氮、</w:t>
            </w:r>
            <w:r>
              <w:rPr>
                <w:rFonts w:ascii="宋体" w:hAnsi="宋体" w:eastAsia="宋体" w:cs="宋体"/>
                <w:sz w:val="20"/>
                <w:szCs w:val="20"/>
              </w:rPr>
              <w:t xml:space="preserve"> </w:t>
            </w:r>
            <w:r>
              <w:rPr>
                <w:rFonts w:ascii="Times New Roman" w:hAnsi="Times New Roman" w:eastAsia="Times New Roman" w:cs="Times New Roman"/>
                <w:spacing w:val="-2"/>
                <w:sz w:val="20"/>
                <w:szCs w:val="20"/>
              </w:rPr>
              <w:t>SS</w:t>
            </w:r>
            <w:r>
              <w:rPr>
                <w:rFonts w:ascii="Times New Roman" w:hAnsi="Times New Roman" w:eastAsia="Times New Roman" w:cs="Times New Roman"/>
                <w:spacing w:val="-4"/>
                <w:sz w:val="20"/>
                <w:szCs w:val="20"/>
              </w:rPr>
              <w:t xml:space="preserve"> </w:t>
            </w:r>
            <w:r>
              <w:rPr>
                <w:rFonts w:ascii="宋体" w:hAnsi="宋体" w:eastAsia="宋体" w:cs="宋体"/>
                <w:spacing w:val="-2"/>
                <w:sz w:val="20"/>
                <w:szCs w:val="20"/>
              </w:rPr>
              <w:t>、石油类</w:t>
            </w:r>
          </w:p>
        </w:tc>
        <w:tc>
          <w:tcPr>
            <w:tcW w:w="2135" w:type="dxa"/>
            <w:vAlign w:val="top"/>
          </w:tcPr>
          <w:p w14:paraId="7D755A83">
            <w:pPr>
              <w:spacing w:line="299" w:lineRule="auto"/>
              <w:rPr>
                <w:rFonts w:ascii="Arial"/>
                <w:sz w:val="21"/>
              </w:rPr>
            </w:pPr>
          </w:p>
          <w:p w14:paraId="32EF54D6">
            <w:pPr>
              <w:spacing w:before="65" w:line="301" w:lineRule="auto"/>
              <w:ind w:left="341" w:right="120" w:hanging="210"/>
              <w:rPr>
                <w:rFonts w:ascii="宋体" w:hAnsi="宋体" w:eastAsia="宋体" w:cs="宋体"/>
                <w:sz w:val="20"/>
                <w:szCs w:val="20"/>
              </w:rPr>
            </w:pPr>
            <w:r>
              <w:rPr>
                <w:rFonts w:ascii="宋体" w:hAnsi="宋体" w:eastAsia="宋体" w:cs="宋体"/>
                <w:spacing w:val="13"/>
                <w:sz w:val="20"/>
                <w:szCs w:val="20"/>
              </w:rPr>
              <w:t>一</w:t>
            </w:r>
            <w:r>
              <w:rPr>
                <w:rFonts w:ascii="宋体" w:hAnsi="宋体" w:eastAsia="宋体" w:cs="宋体"/>
                <w:spacing w:val="8"/>
                <w:sz w:val="20"/>
                <w:szCs w:val="20"/>
              </w:rPr>
              <w:t>体化污水预处理设</w:t>
            </w:r>
            <w:r>
              <w:rPr>
                <w:rFonts w:ascii="宋体" w:hAnsi="宋体" w:eastAsia="宋体" w:cs="宋体"/>
                <w:sz w:val="20"/>
                <w:szCs w:val="20"/>
              </w:rPr>
              <w:t xml:space="preserve"> </w:t>
            </w:r>
            <w:r>
              <w:rPr>
                <w:rFonts w:ascii="宋体" w:hAnsi="宋体" w:eastAsia="宋体" w:cs="宋体"/>
                <w:spacing w:val="10"/>
                <w:sz w:val="20"/>
                <w:szCs w:val="20"/>
              </w:rPr>
              <w:t>备</w:t>
            </w:r>
            <w:r>
              <w:rPr>
                <w:rFonts w:ascii="宋体" w:hAnsi="宋体" w:eastAsia="宋体" w:cs="宋体"/>
                <w:spacing w:val="8"/>
                <w:sz w:val="20"/>
                <w:szCs w:val="20"/>
              </w:rPr>
              <w:t>、三级沉淀池</w:t>
            </w:r>
          </w:p>
        </w:tc>
        <w:tc>
          <w:tcPr>
            <w:tcW w:w="1519" w:type="dxa"/>
            <w:tcBorders>
              <w:right w:val="nil"/>
            </w:tcBorders>
            <w:vAlign w:val="top"/>
          </w:tcPr>
          <w:p w14:paraId="6CDE2650">
            <w:pPr>
              <w:spacing w:line="298" w:lineRule="auto"/>
              <w:rPr>
                <w:rFonts w:ascii="Arial"/>
                <w:sz w:val="21"/>
              </w:rPr>
            </w:pPr>
          </w:p>
          <w:p w14:paraId="51F48DBF">
            <w:pPr>
              <w:spacing w:before="65" w:line="301" w:lineRule="auto"/>
              <w:ind w:left="349" w:right="270" w:hanging="110"/>
              <w:rPr>
                <w:rFonts w:ascii="宋体" w:hAnsi="宋体" w:eastAsia="宋体" w:cs="宋体"/>
                <w:sz w:val="20"/>
                <w:szCs w:val="20"/>
              </w:rPr>
            </w:pPr>
            <w:r>
              <w:rPr>
                <w:rFonts w:ascii="宋体" w:hAnsi="宋体" w:eastAsia="宋体" w:cs="宋体"/>
                <w:spacing w:val="2"/>
                <w:sz w:val="20"/>
                <w:szCs w:val="20"/>
              </w:rPr>
              <w:t>循</w:t>
            </w:r>
            <w:r>
              <w:rPr>
                <w:rFonts w:ascii="宋体" w:hAnsi="宋体" w:eastAsia="宋体" w:cs="宋体"/>
                <w:spacing w:val="1"/>
                <w:sz w:val="20"/>
                <w:szCs w:val="20"/>
              </w:rPr>
              <w:t>环使用、</w:t>
            </w:r>
            <w:r>
              <w:rPr>
                <w:rFonts w:ascii="宋体" w:hAnsi="宋体" w:eastAsia="宋体" w:cs="宋体"/>
                <w:sz w:val="20"/>
                <w:szCs w:val="20"/>
              </w:rPr>
              <w:t xml:space="preserve"> </w:t>
            </w:r>
            <w:r>
              <w:rPr>
                <w:rFonts w:ascii="宋体" w:hAnsi="宋体" w:eastAsia="宋体" w:cs="宋体"/>
                <w:spacing w:val="6"/>
                <w:sz w:val="20"/>
                <w:szCs w:val="20"/>
              </w:rPr>
              <w:t>定期更换</w:t>
            </w:r>
          </w:p>
        </w:tc>
      </w:tr>
      <w:tr w14:paraId="7C35D1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43" w:type="dxa"/>
            <w:vMerge w:val="continue"/>
            <w:tcBorders>
              <w:top w:val="nil"/>
              <w:left w:val="nil"/>
            </w:tcBorders>
            <w:vAlign w:val="top"/>
          </w:tcPr>
          <w:p w14:paraId="0441236D">
            <w:pPr>
              <w:rPr>
                <w:rFonts w:ascii="Arial"/>
                <w:sz w:val="21"/>
              </w:rPr>
            </w:pPr>
          </w:p>
        </w:tc>
        <w:tc>
          <w:tcPr>
            <w:tcW w:w="938" w:type="dxa"/>
            <w:vAlign w:val="top"/>
          </w:tcPr>
          <w:p w14:paraId="3CA69E19">
            <w:pPr>
              <w:spacing w:before="248" w:line="195" w:lineRule="auto"/>
              <w:ind w:left="317"/>
              <w:rPr>
                <w:rFonts w:ascii="Times New Roman" w:hAnsi="Times New Roman" w:eastAsia="Times New Roman" w:cs="Times New Roman"/>
                <w:sz w:val="20"/>
                <w:szCs w:val="20"/>
              </w:rPr>
            </w:pPr>
            <w:r>
              <w:rPr>
                <w:rFonts w:ascii="Times New Roman" w:hAnsi="Times New Roman" w:eastAsia="Times New Roman" w:cs="Times New Roman"/>
                <w:sz w:val="20"/>
                <w:szCs w:val="20"/>
              </w:rPr>
              <w:t>W</w:t>
            </w:r>
            <w:r>
              <w:rPr>
                <w:rFonts w:ascii="Times New Roman" w:hAnsi="Times New Roman" w:eastAsia="Times New Roman" w:cs="Times New Roman"/>
                <w:spacing w:val="9"/>
                <w:sz w:val="20"/>
                <w:szCs w:val="20"/>
              </w:rPr>
              <w:t>6</w:t>
            </w:r>
          </w:p>
        </w:tc>
        <w:tc>
          <w:tcPr>
            <w:tcW w:w="1854" w:type="dxa"/>
            <w:vAlign w:val="top"/>
          </w:tcPr>
          <w:p w14:paraId="0C20F2DD">
            <w:pPr>
              <w:spacing w:before="212" w:line="228" w:lineRule="auto"/>
              <w:ind w:left="514"/>
              <w:rPr>
                <w:rFonts w:ascii="宋体" w:hAnsi="宋体" w:eastAsia="宋体" w:cs="宋体"/>
                <w:sz w:val="20"/>
                <w:szCs w:val="20"/>
              </w:rPr>
            </w:pPr>
            <w:r>
              <w:rPr>
                <w:rFonts w:ascii="宋体" w:hAnsi="宋体" w:eastAsia="宋体" w:cs="宋体"/>
                <w:spacing w:val="7"/>
                <w:sz w:val="20"/>
                <w:szCs w:val="20"/>
              </w:rPr>
              <w:t>生活污</w:t>
            </w:r>
            <w:r>
              <w:rPr>
                <w:rFonts w:ascii="宋体" w:hAnsi="宋体" w:eastAsia="宋体" w:cs="宋体"/>
                <w:spacing w:val="6"/>
                <w:sz w:val="20"/>
                <w:szCs w:val="20"/>
              </w:rPr>
              <w:t>水</w:t>
            </w:r>
          </w:p>
        </w:tc>
        <w:tc>
          <w:tcPr>
            <w:tcW w:w="1432" w:type="dxa"/>
            <w:vAlign w:val="top"/>
          </w:tcPr>
          <w:p w14:paraId="20E0248C">
            <w:pPr>
              <w:spacing w:before="56" w:line="264" w:lineRule="auto"/>
              <w:ind w:left="83" w:right="71" w:hanging="5"/>
              <w:rPr>
                <w:rFonts w:ascii="宋体" w:hAnsi="宋体" w:eastAsia="宋体" w:cs="宋体"/>
                <w:sz w:val="20"/>
                <w:szCs w:val="20"/>
              </w:rPr>
            </w:pPr>
            <w:r>
              <w:rPr>
                <w:rFonts w:ascii="Times New Roman" w:hAnsi="Times New Roman" w:eastAsia="Times New Roman" w:cs="Times New Roman"/>
                <w:sz w:val="20"/>
                <w:szCs w:val="20"/>
              </w:rPr>
              <w:t>COD</w:t>
            </w:r>
            <w:r>
              <w:rPr>
                <w:rFonts w:ascii="Times New Roman" w:hAnsi="Times New Roman" w:eastAsia="Times New Roman" w:cs="Times New Roman"/>
                <w:spacing w:val="1"/>
                <w:sz w:val="20"/>
                <w:szCs w:val="20"/>
              </w:rPr>
              <w:t xml:space="preserve"> </w:t>
            </w:r>
            <w:r>
              <w:rPr>
                <w:rFonts w:ascii="宋体" w:hAnsi="宋体" w:eastAsia="宋体" w:cs="宋体"/>
                <w:spacing w:val="1"/>
                <w:sz w:val="20"/>
                <w:szCs w:val="20"/>
              </w:rPr>
              <w:t>、氨氮</w:t>
            </w:r>
            <w:r>
              <w:rPr>
                <w:rFonts w:ascii="宋体" w:hAnsi="宋体" w:eastAsia="宋体" w:cs="宋体"/>
                <w:sz w:val="20"/>
                <w:szCs w:val="20"/>
              </w:rPr>
              <w:t xml:space="preserve">、 </w:t>
            </w:r>
            <w:r>
              <w:rPr>
                <w:rFonts w:ascii="Times New Roman" w:hAnsi="Times New Roman" w:eastAsia="Times New Roman" w:cs="Times New Roman"/>
                <w:sz w:val="20"/>
                <w:szCs w:val="20"/>
              </w:rPr>
              <w:t>SS</w:t>
            </w:r>
            <w:r>
              <w:rPr>
                <w:rFonts w:ascii="Times New Roman" w:hAnsi="Times New Roman" w:eastAsia="Times New Roman" w:cs="Times New Roman"/>
                <w:spacing w:val="-1"/>
                <w:sz w:val="20"/>
                <w:szCs w:val="20"/>
              </w:rPr>
              <w:t xml:space="preserve"> </w:t>
            </w:r>
            <w:r>
              <w:rPr>
                <w:rFonts w:ascii="宋体" w:hAnsi="宋体" w:eastAsia="宋体" w:cs="宋体"/>
                <w:spacing w:val="-1"/>
                <w:sz w:val="20"/>
                <w:szCs w:val="20"/>
              </w:rPr>
              <w:t>、</w:t>
            </w:r>
            <w:r>
              <w:rPr>
                <w:rFonts w:ascii="宋体" w:hAnsi="宋体" w:eastAsia="宋体" w:cs="宋体"/>
                <w:sz w:val="20"/>
                <w:szCs w:val="20"/>
              </w:rPr>
              <w:t>动植物油</w:t>
            </w:r>
          </w:p>
        </w:tc>
        <w:tc>
          <w:tcPr>
            <w:tcW w:w="2135" w:type="dxa"/>
            <w:vAlign w:val="top"/>
          </w:tcPr>
          <w:p w14:paraId="4654B4B7">
            <w:pPr>
              <w:spacing w:before="212" w:line="229" w:lineRule="auto"/>
              <w:ind w:left="865"/>
              <w:rPr>
                <w:rFonts w:ascii="宋体" w:hAnsi="宋体" w:eastAsia="宋体" w:cs="宋体"/>
                <w:sz w:val="20"/>
                <w:szCs w:val="20"/>
              </w:rPr>
            </w:pPr>
            <w:r>
              <w:rPr>
                <w:rFonts w:ascii="宋体" w:hAnsi="宋体" w:eastAsia="宋体" w:cs="宋体"/>
                <w:spacing w:val="4"/>
                <w:sz w:val="20"/>
                <w:szCs w:val="20"/>
              </w:rPr>
              <w:t>旱</w:t>
            </w:r>
            <w:r>
              <w:rPr>
                <w:rFonts w:ascii="宋体" w:hAnsi="宋体" w:eastAsia="宋体" w:cs="宋体"/>
                <w:spacing w:val="3"/>
                <w:sz w:val="20"/>
                <w:szCs w:val="20"/>
              </w:rPr>
              <w:t>厕</w:t>
            </w:r>
          </w:p>
        </w:tc>
        <w:tc>
          <w:tcPr>
            <w:tcW w:w="1519" w:type="dxa"/>
            <w:tcBorders>
              <w:right w:val="nil"/>
            </w:tcBorders>
            <w:vAlign w:val="top"/>
          </w:tcPr>
          <w:p w14:paraId="23BD34D8">
            <w:pPr>
              <w:spacing w:before="212" w:line="228" w:lineRule="auto"/>
              <w:ind w:left="454"/>
              <w:rPr>
                <w:rFonts w:ascii="宋体" w:hAnsi="宋体" w:eastAsia="宋体" w:cs="宋体"/>
                <w:sz w:val="20"/>
                <w:szCs w:val="20"/>
              </w:rPr>
            </w:pPr>
            <w:r>
              <w:rPr>
                <w:rFonts w:ascii="宋体" w:hAnsi="宋体" w:eastAsia="宋体" w:cs="宋体"/>
                <w:spacing w:val="6"/>
                <w:sz w:val="20"/>
                <w:szCs w:val="20"/>
              </w:rPr>
              <w:t>不外</w:t>
            </w:r>
            <w:r>
              <w:rPr>
                <w:rFonts w:ascii="宋体" w:hAnsi="宋体" w:eastAsia="宋体" w:cs="宋体"/>
                <w:spacing w:val="5"/>
                <w:sz w:val="20"/>
                <w:szCs w:val="20"/>
              </w:rPr>
              <w:t>排</w:t>
            </w:r>
          </w:p>
        </w:tc>
      </w:tr>
      <w:tr w14:paraId="162157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43" w:type="dxa"/>
            <w:vMerge w:val="restart"/>
            <w:tcBorders>
              <w:left w:val="nil"/>
              <w:bottom w:val="nil"/>
            </w:tcBorders>
            <w:vAlign w:val="top"/>
          </w:tcPr>
          <w:p w14:paraId="2291807D">
            <w:pPr>
              <w:spacing w:line="312" w:lineRule="auto"/>
              <w:rPr>
                <w:rFonts w:ascii="Arial"/>
                <w:sz w:val="21"/>
              </w:rPr>
            </w:pPr>
          </w:p>
          <w:p w14:paraId="686ABDE7">
            <w:pPr>
              <w:spacing w:line="312" w:lineRule="auto"/>
              <w:rPr>
                <w:rFonts w:ascii="Arial"/>
                <w:sz w:val="21"/>
              </w:rPr>
            </w:pPr>
          </w:p>
          <w:p w14:paraId="0F58AB87">
            <w:pPr>
              <w:spacing w:line="312" w:lineRule="auto"/>
              <w:rPr>
                <w:rFonts w:ascii="Arial"/>
                <w:sz w:val="21"/>
              </w:rPr>
            </w:pPr>
          </w:p>
          <w:p w14:paraId="385C1074">
            <w:pPr>
              <w:spacing w:before="65" w:line="228" w:lineRule="auto"/>
              <w:ind w:left="136"/>
              <w:rPr>
                <w:rFonts w:ascii="宋体" w:hAnsi="宋体" w:eastAsia="宋体" w:cs="宋体"/>
                <w:sz w:val="20"/>
                <w:szCs w:val="20"/>
              </w:rPr>
            </w:pPr>
            <w:r>
              <w:rPr>
                <w:rFonts w:ascii="宋体" w:hAnsi="宋体" w:eastAsia="宋体" w:cs="宋体"/>
                <w:spacing w:val="-5"/>
                <w:sz w:val="20"/>
                <w:szCs w:val="20"/>
              </w:rPr>
              <w:t>固</w:t>
            </w:r>
            <w:r>
              <w:rPr>
                <w:rFonts w:ascii="宋体" w:hAnsi="宋体" w:eastAsia="宋体" w:cs="宋体"/>
                <w:spacing w:val="-4"/>
                <w:sz w:val="20"/>
                <w:szCs w:val="20"/>
              </w:rPr>
              <w:t>废</w:t>
            </w:r>
          </w:p>
        </w:tc>
        <w:tc>
          <w:tcPr>
            <w:tcW w:w="938" w:type="dxa"/>
            <w:vAlign w:val="top"/>
          </w:tcPr>
          <w:p w14:paraId="4EE8F631">
            <w:pPr>
              <w:spacing w:before="247" w:line="195" w:lineRule="auto"/>
              <w:ind w:left="36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S</w:t>
            </w:r>
            <w:r>
              <w:rPr>
                <w:rFonts w:ascii="Times New Roman" w:hAnsi="Times New Roman" w:eastAsia="Times New Roman" w:cs="Times New Roman"/>
                <w:spacing w:val="-3"/>
                <w:sz w:val="20"/>
                <w:szCs w:val="20"/>
              </w:rPr>
              <w:t>1</w:t>
            </w:r>
          </w:p>
        </w:tc>
        <w:tc>
          <w:tcPr>
            <w:tcW w:w="1854" w:type="dxa"/>
            <w:vAlign w:val="top"/>
          </w:tcPr>
          <w:p w14:paraId="4DDFA395">
            <w:pPr>
              <w:spacing w:before="211" w:line="228" w:lineRule="auto"/>
              <w:ind w:left="723"/>
              <w:rPr>
                <w:rFonts w:ascii="宋体" w:hAnsi="宋体" w:eastAsia="宋体" w:cs="宋体"/>
                <w:sz w:val="20"/>
                <w:szCs w:val="20"/>
              </w:rPr>
            </w:pPr>
            <w:r>
              <w:rPr>
                <w:rFonts w:ascii="宋体" w:hAnsi="宋体" w:eastAsia="宋体" w:cs="宋体"/>
                <w:spacing w:val="4"/>
                <w:sz w:val="20"/>
                <w:szCs w:val="20"/>
              </w:rPr>
              <w:t>分</w:t>
            </w:r>
            <w:r>
              <w:rPr>
                <w:rFonts w:ascii="宋体" w:hAnsi="宋体" w:eastAsia="宋体" w:cs="宋体"/>
                <w:spacing w:val="3"/>
                <w:sz w:val="20"/>
                <w:szCs w:val="20"/>
              </w:rPr>
              <w:t>拣</w:t>
            </w:r>
          </w:p>
        </w:tc>
        <w:tc>
          <w:tcPr>
            <w:tcW w:w="1432" w:type="dxa"/>
            <w:vAlign w:val="top"/>
          </w:tcPr>
          <w:p w14:paraId="0AE21CDB">
            <w:pPr>
              <w:spacing w:before="211" w:line="228" w:lineRule="auto"/>
              <w:ind w:left="513"/>
              <w:rPr>
                <w:rFonts w:ascii="宋体" w:hAnsi="宋体" w:eastAsia="宋体" w:cs="宋体"/>
                <w:sz w:val="20"/>
                <w:szCs w:val="20"/>
              </w:rPr>
            </w:pPr>
            <w:r>
              <w:rPr>
                <w:rFonts w:ascii="宋体" w:hAnsi="宋体" w:eastAsia="宋体" w:cs="宋体"/>
                <w:spacing w:val="4"/>
                <w:sz w:val="20"/>
                <w:szCs w:val="20"/>
              </w:rPr>
              <w:t>杂</w:t>
            </w:r>
            <w:r>
              <w:rPr>
                <w:rFonts w:ascii="宋体" w:hAnsi="宋体" w:eastAsia="宋体" w:cs="宋体"/>
                <w:spacing w:val="3"/>
                <w:sz w:val="20"/>
                <w:szCs w:val="20"/>
              </w:rPr>
              <w:t>质</w:t>
            </w:r>
          </w:p>
        </w:tc>
        <w:tc>
          <w:tcPr>
            <w:tcW w:w="2135" w:type="dxa"/>
            <w:vAlign w:val="top"/>
          </w:tcPr>
          <w:p w14:paraId="05374D39">
            <w:pPr>
              <w:spacing w:before="55" w:line="259" w:lineRule="auto"/>
              <w:ind w:left="558" w:right="120" w:hanging="432"/>
              <w:rPr>
                <w:rFonts w:ascii="宋体" w:hAnsi="宋体" w:eastAsia="宋体" w:cs="宋体"/>
                <w:sz w:val="20"/>
                <w:szCs w:val="20"/>
              </w:rPr>
            </w:pPr>
            <w:r>
              <w:rPr>
                <w:rFonts w:ascii="宋体" w:hAnsi="宋体" w:eastAsia="宋体" w:cs="宋体"/>
                <w:spacing w:val="10"/>
                <w:sz w:val="20"/>
                <w:szCs w:val="20"/>
              </w:rPr>
              <w:t>送</w:t>
            </w:r>
            <w:r>
              <w:rPr>
                <w:rFonts w:ascii="宋体" w:hAnsi="宋体" w:eastAsia="宋体" w:cs="宋体"/>
                <w:spacing w:val="9"/>
                <w:sz w:val="20"/>
                <w:szCs w:val="20"/>
              </w:rPr>
              <w:t>至环卫部门指定地</w:t>
            </w:r>
            <w:r>
              <w:rPr>
                <w:rFonts w:ascii="宋体" w:hAnsi="宋体" w:eastAsia="宋体" w:cs="宋体"/>
                <w:sz w:val="20"/>
                <w:szCs w:val="20"/>
              </w:rPr>
              <w:t xml:space="preserve"> </w:t>
            </w:r>
            <w:r>
              <w:rPr>
                <w:rFonts w:ascii="宋体" w:hAnsi="宋体" w:eastAsia="宋体" w:cs="宋体"/>
                <w:spacing w:val="6"/>
                <w:sz w:val="20"/>
                <w:szCs w:val="20"/>
              </w:rPr>
              <w:t>点统一处理</w:t>
            </w:r>
          </w:p>
        </w:tc>
        <w:tc>
          <w:tcPr>
            <w:tcW w:w="1519" w:type="dxa"/>
            <w:tcBorders>
              <w:right w:val="nil"/>
            </w:tcBorders>
            <w:vAlign w:val="top"/>
          </w:tcPr>
          <w:p w14:paraId="2B93D2D1">
            <w:pPr>
              <w:spacing w:before="212" w:line="228" w:lineRule="auto"/>
              <w:ind w:left="454"/>
              <w:rPr>
                <w:rFonts w:ascii="宋体" w:hAnsi="宋体" w:eastAsia="宋体" w:cs="宋体"/>
                <w:sz w:val="20"/>
                <w:szCs w:val="20"/>
              </w:rPr>
            </w:pPr>
            <w:r>
              <w:rPr>
                <w:rFonts w:ascii="宋体" w:hAnsi="宋体" w:eastAsia="宋体" w:cs="宋体"/>
                <w:spacing w:val="6"/>
                <w:sz w:val="20"/>
                <w:szCs w:val="20"/>
              </w:rPr>
              <w:t>不外</w:t>
            </w:r>
            <w:r>
              <w:rPr>
                <w:rFonts w:ascii="宋体" w:hAnsi="宋体" w:eastAsia="宋体" w:cs="宋体"/>
                <w:spacing w:val="5"/>
                <w:sz w:val="20"/>
                <w:szCs w:val="20"/>
              </w:rPr>
              <w:t>排</w:t>
            </w:r>
          </w:p>
        </w:tc>
      </w:tr>
      <w:tr w14:paraId="72EA3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43" w:type="dxa"/>
            <w:vMerge w:val="continue"/>
            <w:tcBorders>
              <w:top w:val="nil"/>
              <w:left w:val="nil"/>
              <w:bottom w:val="nil"/>
            </w:tcBorders>
            <w:vAlign w:val="top"/>
          </w:tcPr>
          <w:p w14:paraId="0BB597A1">
            <w:pPr>
              <w:rPr>
                <w:rFonts w:ascii="Arial"/>
                <w:sz w:val="21"/>
              </w:rPr>
            </w:pPr>
          </w:p>
        </w:tc>
        <w:tc>
          <w:tcPr>
            <w:tcW w:w="938" w:type="dxa"/>
            <w:vAlign w:val="top"/>
          </w:tcPr>
          <w:p w14:paraId="0582B818">
            <w:pPr>
              <w:spacing w:before="248" w:line="195" w:lineRule="auto"/>
              <w:ind w:left="36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S</w:t>
            </w:r>
            <w:r>
              <w:rPr>
                <w:rFonts w:ascii="Times New Roman" w:hAnsi="Times New Roman" w:eastAsia="Times New Roman" w:cs="Times New Roman"/>
                <w:spacing w:val="-3"/>
                <w:sz w:val="20"/>
                <w:szCs w:val="20"/>
              </w:rPr>
              <w:t>2</w:t>
            </w:r>
          </w:p>
        </w:tc>
        <w:tc>
          <w:tcPr>
            <w:tcW w:w="1854" w:type="dxa"/>
            <w:vAlign w:val="top"/>
          </w:tcPr>
          <w:p w14:paraId="0D341214">
            <w:pPr>
              <w:spacing w:before="213" w:line="228" w:lineRule="auto"/>
              <w:ind w:left="618"/>
              <w:rPr>
                <w:rFonts w:ascii="宋体" w:hAnsi="宋体" w:eastAsia="宋体" w:cs="宋体"/>
                <w:sz w:val="20"/>
                <w:szCs w:val="20"/>
              </w:rPr>
            </w:pPr>
            <w:r>
              <w:rPr>
                <w:rFonts w:ascii="宋体" w:hAnsi="宋体" w:eastAsia="宋体" w:cs="宋体"/>
                <w:spacing w:val="7"/>
                <w:sz w:val="20"/>
                <w:szCs w:val="20"/>
              </w:rPr>
              <w:t>沉淀</w:t>
            </w:r>
            <w:r>
              <w:rPr>
                <w:rFonts w:ascii="宋体" w:hAnsi="宋体" w:eastAsia="宋体" w:cs="宋体"/>
                <w:spacing w:val="6"/>
                <w:sz w:val="20"/>
                <w:szCs w:val="20"/>
              </w:rPr>
              <w:t>池</w:t>
            </w:r>
          </w:p>
        </w:tc>
        <w:tc>
          <w:tcPr>
            <w:tcW w:w="1432" w:type="dxa"/>
            <w:vAlign w:val="top"/>
          </w:tcPr>
          <w:p w14:paraId="74342709">
            <w:pPr>
              <w:spacing w:before="212" w:line="230" w:lineRule="auto"/>
              <w:ind w:left="513"/>
              <w:rPr>
                <w:rFonts w:ascii="宋体" w:hAnsi="宋体" w:eastAsia="宋体" w:cs="宋体"/>
                <w:sz w:val="20"/>
                <w:szCs w:val="20"/>
              </w:rPr>
            </w:pPr>
            <w:r>
              <w:rPr>
                <w:rFonts w:ascii="宋体" w:hAnsi="宋体" w:eastAsia="宋体" w:cs="宋体"/>
                <w:spacing w:val="4"/>
                <w:sz w:val="20"/>
                <w:szCs w:val="20"/>
              </w:rPr>
              <w:t>污</w:t>
            </w:r>
            <w:r>
              <w:rPr>
                <w:rFonts w:ascii="宋体" w:hAnsi="宋体" w:eastAsia="宋体" w:cs="宋体"/>
                <w:spacing w:val="3"/>
                <w:sz w:val="20"/>
                <w:szCs w:val="20"/>
              </w:rPr>
              <w:t>泥</w:t>
            </w:r>
          </w:p>
        </w:tc>
        <w:tc>
          <w:tcPr>
            <w:tcW w:w="2135" w:type="dxa"/>
            <w:vAlign w:val="top"/>
          </w:tcPr>
          <w:p w14:paraId="29F52A3F">
            <w:pPr>
              <w:spacing w:before="55" w:line="259" w:lineRule="auto"/>
              <w:ind w:left="558" w:right="120" w:hanging="432"/>
              <w:rPr>
                <w:rFonts w:ascii="宋体" w:hAnsi="宋体" w:eastAsia="宋体" w:cs="宋体"/>
                <w:sz w:val="20"/>
                <w:szCs w:val="20"/>
              </w:rPr>
            </w:pPr>
            <w:r>
              <w:rPr>
                <w:rFonts w:ascii="宋体" w:hAnsi="宋体" w:eastAsia="宋体" w:cs="宋体"/>
                <w:spacing w:val="10"/>
                <w:sz w:val="20"/>
                <w:szCs w:val="20"/>
              </w:rPr>
              <w:t>送</w:t>
            </w:r>
            <w:r>
              <w:rPr>
                <w:rFonts w:ascii="宋体" w:hAnsi="宋体" w:eastAsia="宋体" w:cs="宋体"/>
                <w:spacing w:val="9"/>
                <w:sz w:val="20"/>
                <w:szCs w:val="20"/>
              </w:rPr>
              <w:t>至环卫部门指定地</w:t>
            </w:r>
            <w:r>
              <w:rPr>
                <w:rFonts w:ascii="宋体" w:hAnsi="宋体" w:eastAsia="宋体" w:cs="宋体"/>
                <w:sz w:val="20"/>
                <w:szCs w:val="20"/>
              </w:rPr>
              <w:t xml:space="preserve"> </w:t>
            </w:r>
            <w:r>
              <w:rPr>
                <w:rFonts w:ascii="宋体" w:hAnsi="宋体" w:eastAsia="宋体" w:cs="宋体"/>
                <w:spacing w:val="6"/>
                <w:sz w:val="20"/>
                <w:szCs w:val="20"/>
              </w:rPr>
              <w:t>点统一处理</w:t>
            </w:r>
          </w:p>
        </w:tc>
        <w:tc>
          <w:tcPr>
            <w:tcW w:w="1519" w:type="dxa"/>
            <w:tcBorders>
              <w:right w:val="nil"/>
            </w:tcBorders>
            <w:vAlign w:val="top"/>
          </w:tcPr>
          <w:p w14:paraId="78B1C620">
            <w:pPr>
              <w:spacing w:before="213" w:line="228" w:lineRule="auto"/>
              <w:ind w:left="454"/>
              <w:rPr>
                <w:rFonts w:ascii="宋体" w:hAnsi="宋体" w:eastAsia="宋体" w:cs="宋体"/>
                <w:sz w:val="20"/>
                <w:szCs w:val="20"/>
              </w:rPr>
            </w:pPr>
            <w:r>
              <w:rPr>
                <w:rFonts w:ascii="宋体" w:hAnsi="宋体" w:eastAsia="宋体" w:cs="宋体"/>
                <w:spacing w:val="6"/>
                <w:sz w:val="20"/>
                <w:szCs w:val="20"/>
              </w:rPr>
              <w:t>不外</w:t>
            </w:r>
            <w:r>
              <w:rPr>
                <w:rFonts w:ascii="宋体" w:hAnsi="宋体" w:eastAsia="宋体" w:cs="宋体"/>
                <w:spacing w:val="5"/>
                <w:sz w:val="20"/>
                <w:szCs w:val="20"/>
              </w:rPr>
              <w:t>排</w:t>
            </w:r>
          </w:p>
        </w:tc>
      </w:tr>
      <w:tr w14:paraId="78D510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43" w:type="dxa"/>
            <w:vMerge w:val="continue"/>
            <w:tcBorders>
              <w:top w:val="nil"/>
              <w:left w:val="nil"/>
              <w:bottom w:val="nil"/>
            </w:tcBorders>
            <w:vAlign w:val="top"/>
          </w:tcPr>
          <w:p w14:paraId="2E964B51">
            <w:pPr>
              <w:rPr>
                <w:rFonts w:ascii="Arial"/>
                <w:sz w:val="21"/>
              </w:rPr>
            </w:pPr>
          </w:p>
        </w:tc>
        <w:tc>
          <w:tcPr>
            <w:tcW w:w="938" w:type="dxa"/>
            <w:vAlign w:val="top"/>
          </w:tcPr>
          <w:p w14:paraId="6F63B521">
            <w:pPr>
              <w:spacing w:before="92" w:line="195" w:lineRule="auto"/>
              <w:ind w:left="36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S</w:t>
            </w:r>
            <w:r>
              <w:rPr>
                <w:rFonts w:ascii="Times New Roman" w:hAnsi="Times New Roman" w:eastAsia="Times New Roman" w:cs="Times New Roman"/>
                <w:spacing w:val="-3"/>
                <w:sz w:val="20"/>
                <w:szCs w:val="20"/>
              </w:rPr>
              <w:t>3</w:t>
            </w:r>
          </w:p>
        </w:tc>
        <w:tc>
          <w:tcPr>
            <w:tcW w:w="1854" w:type="dxa"/>
            <w:vAlign w:val="top"/>
          </w:tcPr>
          <w:p w14:paraId="544D778F">
            <w:pPr>
              <w:spacing w:before="56" w:line="229" w:lineRule="auto"/>
              <w:ind w:left="723"/>
              <w:rPr>
                <w:rFonts w:ascii="宋体" w:hAnsi="宋体" w:eastAsia="宋体" w:cs="宋体"/>
                <w:sz w:val="20"/>
                <w:szCs w:val="20"/>
              </w:rPr>
            </w:pPr>
            <w:r>
              <w:rPr>
                <w:rFonts w:ascii="宋体" w:hAnsi="宋体" w:eastAsia="宋体" w:cs="宋体"/>
                <w:spacing w:val="4"/>
                <w:sz w:val="20"/>
                <w:szCs w:val="20"/>
              </w:rPr>
              <w:t>拉</w:t>
            </w:r>
            <w:r>
              <w:rPr>
                <w:rFonts w:ascii="宋体" w:hAnsi="宋体" w:eastAsia="宋体" w:cs="宋体"/>
                <w:spacing w:val="3"/>
                <w:sz w:val="20"/>
                <w:szCs w:val="20"/>
              </w:rPr>
              <w:t>丝</w:t>
            </w:r>
          </w:p>
        </w:tc>
        <w:tc>
          <w:tcPr>
            <w:tcW w:w="1432" w:type="dxa"/>
            <w:vAlign w:val="top"/>
          </w:tcPr>
          <w:p w14:paraId="15A091D1">
            <w:pPr>
              <w:spacing w:before="56" w:line="228" w:lineRule="auto"/>
              <w:ind w:left="404"/>
              <w:rPr>
                <w:rFonts w:ascii="宋体" w:hAnsi="宋体" w:eastAsia="宋体" w:cs="宋体"/>
                <w:sz w:val="20"/>
                <w:szCs w:val="20"/>
              </w:rPr>
            </w:pPr>
            <w:r>
              <w:rPr>
                <w:rFonts w:ascii="宋体" w:hAnsi="宋体" w:eastAsia="宋体" w:cs="宋体"/>
                <w:spacing w:val="7"/>
                <w:sz w:val="20"/>
                <w:szCs w:val="20"/>
              </w:rPr>
              <w:t>废滤网</w:t>
            </w:r>
          </w:p>
        </w:tc>
        <w:tc>
          <w:tcPr>
            <w:tcW w:w="2135" w:type="dxa"/>
            <w:vAlign w:val="top"/>
          </w:tcPr>
          <w:p w14:paraId="65E9D565">
            <w:pPr>
              <w:spacing w:before="55" w:line="228" w:lineRule="auto"/>
              <w:ind w:left="656"/>
              <w:rPr>
                <w:rFonts w:ascii="宋体" w:hAnsi="宋体" w:eastAsia="宋体" w:cs="宋体"/>
                <w:sz w:val="20"/>
                <w:szCs w:val="20"/>
              </w:rPr>
            </w:pPr>
            <w:r>
              <w:rPr>
                <w:rFonts w:ascii="宋体" w:hAnsi="宋体" w:eastAsia="宋体" w:cs="宋体"/>
                <w:spacing w:val="9"/>
                <w:sz w:val="20"/>
                <w:szCs w:val="20"/>
              </w:rPr>
              <w:t>厂</w:t>
            </w:r>
            <w:r>
              <w:rPr>
                <w:rFonts w:ascii="宋体" w:hAnsi="宋体" w:eastAsia="宋体" w:cs="宋体"/>
                <w:spacing w:val="6"/>
                <w:sz w:val="20"/>
                <w:szCs w:val="20"/>
              </w:rPr>
              <w:t>家回收</w:t>
            </w:r>
          </w:p>
        </w:tc>
        <w:tc>
          <w:tcPr>
            <w:tcW w:w="1519" w:type="dxa"/>
            <w:tcBorders>
              <w:right w:val="nil"/>
            </w:tcBorders>
            <w:vAlign w:val="top"/>
          </w:tcPr>
          <w:p w14:paraId="38F6CD25">
            <w:pPr>
              <w:spacing w:before="56" w:line="228" w:lineRule="auto"/>
              <w:ind w:left="454"/>
              <w:rPr>
                <w:rFonts w:ascii="宋体" w:hAnsi="宋体" w:eastAsia="宋体" w:cs="宋体"/>
                <w:sz w:val="20"/>
                <w:szCs w:val="20"/>
              </w:rPr>
            </w:pPr>
            <w:r>
              <w:rPr>
                <w:rFonts w:ascii="宋体" w:hAnsi="宋体" w:eastAsia="宋体" w:cs="宋体"/>
                <w:spacing w:val="6"/>
                <w:sz w:val="20"/>
                <w:szCs w:val="20"/>
              </w:rPr>
              <w:t>不外</w:t>
            </w:r>
            <w:r>
              <w:rPr>
                <w:rFonts w:ascii="宋体" w:hAnsi="宋体" w:eastAsia="宋体" w:cs="宋体"/>
                <w:spacing w:val="5"/>
                <w:sz w:val="20"/>
                <w:szCs w:val="20"/>
              </w:rPr>
              <w:t>排</w:t>
            </w:r>
          </w:p>
        </w:tc>
      </w:tr>
      <w:tr w14:paraId="18F553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643" w:type="dxa"/>
            <w:vMerge w:val="continue"/>
            <w:tcBorders>
              <w:top w:val="nil"/>
              <w:left w:val="nil"/>
            </w:tcBorders>
            <w:vAlign w:val="top"/>
          </w:tcPr>
          <w:p w14:paraId="27F611F2">
            <w:pPr>
              <w:rPr>
                <w:rFonts w:ascii="Arial"/>
                <w:sz w:val="21"/>
              </w:rPr>
            </w:pPr>
          </w:p>
        </w:tc>
        <w:tc>
          <w:tcPr>
            <w:tcW w:w="938" w:type="dxa"/>
            <w:vAlign w:val="top"/>
          </w:tcPr>
          <w:p w14:paraId="44B5941B">
            <w:pPr>
              <w:spacing w:before="247" w:line="195" w:lineRule="auto"/>
              <w:ind w:left="36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S</w:t>
            </w:r>
            <w:r>
              <w:rPr>
                <w:rFonts w:ascii="Times New Roman" w:hAnsi="Times New Roman" w:eastAsia="Times New Roman" w:cs="Times New Roman"/>
                <w:spacing w:val="-3"/>
                <w:sz w:val="20"/>
                <w:szCs w:val="20"/>
              </w:rPr>
              <w:t>4</w:t>
            </w:r>
          </w:p>
        </w:tc>
        <w:tc>
          <w:tcPr>
            <w:tcW w:w="1854" w:type="dxa"/>
            <w:vAlign w:val="top"/>
          </w:tcPr>
          <w:p w14:paraId="5344A1F6">
            <w:pPr>
              <w:spacing w:before="212" w:line="228" w:lineRule="auto"/>
              <w:ind w:left="513"/>
              <w:rPr>
                <w:rFonts w:ascii="宋体" w:hAnsi="宋体" w:eastAsia="宋体" w:cs="宋体"/>
                <w:sz w:val="20"/>
                <w:szCs w:val="20"/>
              </w:rPr>
            </w:pPr>
            <w:r>
              <w:rPr>
                <w:rFonts w:ascii="宋体" w:hAnsi="宋体" w:eastAsia="宋体" w:cs="宋体"/>
                <w:spacing w:val="7"/>
                <w:sz w:val="20"/>
                <w:szCs w:val="20"/>
              </w:rPr>
              <w:t>职工生活</w:t>
            </w:r>
          </w:p>
        </w:tc>
        <w:tc>
          <w:tcPr>
            <w:tcW w:w="1432" w:type="dxa"/>
            <w:vAlign w:val="top"/>
          </w:tcPr>
          <w:p w14:paraId="16F42931">
            <w:pPr>
              <w:spacing w:before="212" w:line="228" w:lineRule="auto"/>
              <w:ind w:left="304"/>
              <w:rPr>
                <w:rFonts w:ascii="宋体" w:hAnsi="宋体" w:eastAsia="宋体" w:cs="宋体"/>
                <w:sz w:val="20"/>
                <w:szCs w:val="20"/>
              </w:rPr>
            </w:pPr>
            <w:r>
              <w:rPr>
                <w:rFonts w:ascii="宋体" w:hAnsi="宋体" w:eastAsia="宋体" w:cs="宋体"/>
                <w:spacing w:val="7"/>
                <w:sz w:val="20"/>
                <w:szCs w:val="20"/>
              </w:rPr>
              <w:t>生活垃</w:t>
            </w:r>
            <w:r>
              <w:rPr>
                <w:rFonts w:ascii="宋体" w:hAnsi="宋体" w:eastAsia="宋体" w:cs="宋体"/>
                <w:spacing w:val="6"/>
                <w:sz w:val="20"/>
                <w:szCs w:val="20"/>
              </w:rPr>
              <w:t>圾</w:t>
            </w:r>
          </w:p>
        </w:tc>
        <w:tc>
          <w:tcPr>
            <w:tcW w:w="2135" w:type="dxa"/>
            <w:vAlign w:val="top"/>
          </w:tcPr>
          <w:p w14:paraId="02D7DE45">
            <w:pPr>
              <w:spacing w:before="54" w:line="259" w:lineRule="auto"/>
              <w:ind w:left="558" w:right="120" w:hanging="432"/>
              <w:rPr>
                <w:rFonts w:ascii="宋体" w:hAnsi="宋体" w:eastAsia="宋体" w:cs="宋体"/>
                <w:sz w:val="20"/>
                <w:szCs w:val="20"/>
              </w:rPr>
            </w:pPr>
            <w:r>
              <w:rPr>
                <w:rFonts w:ascii="宋体" w:hAnsi="宋体" w:eastAsia="宋体" w:cs="宋体"/>
                <w:spacing w:val="10"/>
                <w:sz w:val="20"/>
                <w:szCs w:val="20"/>
              </w:rPr>
              <w:t>送</w:t>
            </w:r>
            <w:r>
              <w:rPr>
                <w:rFonts w:ascii="宋体" w:hAnsi="宋体" w:eastAsia="宋体" w:cs="宋体"/>
                <w:spacing w:val="9"/>
                <w:sz w:val="20"/>
                <w:szCs w:val="20"/>
              </w:rPr>
              <w:t>至环卫部门指定地</w:t>
            </w:r>
            <w:r>
              <w:rPr>
                <w:rFonts w:ascii="宋体" w:hAnsi="宋体" w:eastAsia="宋体" w:cs="宋体"/>
                <w:sz w:val="20"/>
                <w:szCs w:val="20"/>
              </w:rPr>
              <w:t xml:space="preserve"> </w:t>
            </w:r>
            <w:r>
              <w:rPr>
                <w:rFonts w:ascii="宋体" w:hAnsi="宋体" w:eastAsia="宋体" w:cs="宋体"/>
                <w:spacing w:val="6"/>
                <w:sz w:val="20"/>
                <w:szCs w:val="20"/>
              </w:rPr>
              <w:t>点统一处理</w:t>
            </w:r>
          </w:p>
        </w:tc>
        <w:tc>
          <w:tcPr>
            <w:tcW w:w="1519" w:type="dxa"/>
            <w:tcBorders>
              <w:right w:val="nil"/>
            </w:tcBorders>
            <w:vAlign w:val="top"/>
          </w:tcPr>
          <w:p w14:paraId="6D699129">
            <w:pPr>
              <w:spacing w:before="212" w:line="228" w:lineRule="auto"/>
              <w:ind w:left="454"/>
              <w:rPr>
                <w:rFonts w:ascii="宋体" w:hAnsi="宋体" w:eastAsia="宋体" w:cs="宋体"/>
                <w:sz w:val="20"/>
                <w:szCs w:val="20"/>
              </w:rPr>
            </w:pPr>
            <w:r>
              <w:rPr>
                <w:rFonts w:ascii="宋体" w:hAnsi="宋体" w:eastAsia="宋体" w:cs="宋体"/>
                <w:spacing w:val="6"/>
                <w:sz w:val="20"/>
                <w:szCs w:val="20"/>
              </w:rPr>
              <w:t>不外</w:t>
            </w:r>
            <w:r>
              <w:rPr>
                <w:rFonts w:ascii="宋体" w:hAnsi="宋体" w:eastAsia="宋体" w:cs="宋体"/>
                <w:spacing w:val="5"/>
                <w:sz w:val="20"/>
                <w:szCs w:val="20"/>
              </w:rPr>
              <w:t>排</w:t>
            </w:r>
          </w:p>
        </w:tc>
      </w:tr>
    </w:tbl>
    <w:p w14:paraId="6B5F5D43">
      <w:pPr>
        <w:rPr>
          <w:rFonts w:ascii="Arial"/>
          <w:sz w:val="21"/>
        </w:rPr>
      </w:pPr>
    </w:p>
    <w:p w14:paraId="6334B9F7">
      <w:pPr>
        <w:sectPr>
          <w:headerReference r:id="rId120" w:type="default"/>
          <w:footerReference r:id="rId121" w:type="default"/>
          <w:pgSz w:w="11906" w:h="16839"/>
          <w:pgMar w:top="1132" w:right="1691" w:bottom="1182" w:left="1691" w:header="878" w:footer="1022" w:gutter="0"/>
          <w:cols w:space="720" w:num="1"/>
        </w:sectPr>
      </w:pPr>
    </w:p>
    <w:p w14:paraId="36DC22BE">
      <w:r>
        <w:pict>
          <v:shape id="_x0000_s1171" o:spid="_x0000_s1171" style="position:absolute;left:0pt;margin-left:90pt;margin-top:57.35pt;height:0.75pt;width:415.3pt;mso-position-horizontal-relative:page;mso-position-vertical-relative:page;z-index:251809792;mso-width-relative:page;mso-height-relative:page;" fillcolor="#000000" filled="t" stroked="f" coordsize="8305,15" o:allowincell="f" path="m0,0l8305,0,8305,14,0,14,0,0xe">
            <v:path/>
            <v:fill on="t" focussize="0,0"/>
            <v:stroke on="f"/>
            <v:imagedata o:title=""/>
            <o:lock v:ext="edit"/>
          </v:shape>
        </w:pict>
      </w:r>
    </w:p>
    <w:p w14:paraId="66985FB9">
      <w:pPr>
        <w:spacing w:line="65"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3"/>
        <w:gridCol w:w="938"/>
        <w:gridCol w:w="1854"/>
        <w:gridCol w:w="1432"/>
        <w:gridCol w:w="2136"/>
        <w:gridCol w:w="1519"/>
      </w:tblGrid>
      <w:tr w14:paraId="4EA251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643" w:type="dxa"/>
            <w:vMerge w:val="restart"/>
            <w:tcBorders>
              <w:left w:val="nil"/>
              <w:bottom w:val="nil"/>
            </w:tcBorders>
            <w:vAlign w:val="top"/>
          </w:tcPr>
          <w:p w14:paraId="5B0618D1">
            <w:pPr>
              <w:rPr>
                <w:rFonts w:ascii="Arial"/>
                <w:sz w:val="21"/>
              </w:rPr>
            </w:pPr>
          </w:p>
        </w:tc>
        <w:tc>
          <w:tcPr>
            <w:tcW w:w="938" w:type="dxa"/>
            <w:vAlign w:val="top"/>
          </w:tcPr>
          <w:p w14:paraId="315A7F40">
            <w:pPr>
              <w:spacing w:before="267" w:line="195" w:lineRule="auto"/>
              <w:ind w:left="36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S</w:t>
            </w:r>
            <w:r>
              <w:rPr>
                <w:rFonts w:ascii="Times New Roman" w:hAnsi="Times New Roman" w:eastAsia="Times New Roman" w:cs="Times New Roman"/>
                <w:spacing w:val="-3"/>
                <w:sz w:val="20"/>
                <w:szCs w:val="20"/>
              </w:rPr>
              <w:t>5</w:t>
            </w:r>
          </w:p>
        </w:tc>
        <w:tc>
          <w:tcPr>
            <w:tcW w:w="1854" w:type="dxa"/>
            <w:vAlign w:val="top"/>
          </w:tcPr>
          <w:p w14:paraId="75238723">
            <w:pPr>
              <w:spacing w:before="232" w:line="228" w:lineRule="auto"/>
              <w:ind w:left="622"/>
              <w:rPr>
                <w:rFonts w:ascii="宋体" w:hAnsi="宋体" w:eastAsia="宋体" w:cs="宋体"/>
                <w:sz w:val="20"/>
                <w:szCs w:val="20"/>
              </w:rPr>
            </w:pPr>
            <w:r>
              <w:rPr>
                <w:rFonts w:ascii="宋体" w:hAnsi="宋体" w:eastAsia="宋体" w:cs="宋体"/>
                <w:spacing w:val="6"/>
                <w:sz w:val="20"/>
                <w:szCs w:val="20"/>
              </w:rPr>
              <w:t>热</w:t>
            </w:r>
            <w:r>
              <w:rPr>
                <w:rFonts w:ascii="宋体" w:hAnsi="宋体" w:eastAsia="宋体" w:cs="宋体"/>
                <w:spacing w:val="5"/>
                <w:sz w:val="20"/>
                <w:szCs w:val="20"/>
              </w:rPr>
              <w:t>风炉</w:t>
            </w:r>
          </w:p>
        </w:tc>
        <w:tc>
          <w:tcPr>
            <w:tcW w:w="1432" w:type="dxa"/>
            <w:vAlign w:val="top"/>
          </w:tcPr>
          <w:p w14:paraId="24A61F22">
            <w:pPr>
              <w:spacing w:before="232" w:line="228" w:lineRule="auto"/>
              <w:ind w:left="513"/>
              <w:rPr>
                <w:rFonts w:ascii="宋体" w:hAnsi="宋体" w:eastAsia="宋体" w:cs="宋体"/>
                <w:sz w:val="20"/>
                <w:szCs w:val="20"/>
              </w:rPr>
            </w:pPr>
            <w:r>
              <w:rPr>
                <w:rFonts w:ascii="宋体" w:hAnsi="宋体" w:eastAsia="宋体" w:cs="宋体"/>
                <w:spacing w:val="4"/>
                <w:sz w:val="20"/>
                <w:szCs w:val="20"/>
              </w:rPr>
              <w:t>炉</w:t>
            </w:r>
            <w:r>
              <w:rPr>
                <w:rFonts w:ascii="宋体" w:hAnsi="宋体" w:eastAsia="宋体" w:cs="宋体"/>
                <w:spacing w:val="3"/>
                <w:sz w:val="20"/>
                <w:szCs w:val="20"/>
              </w:rPr>
              <w:t>渣</w:t>
            </w:r>
          </w:p>
        </w:tc>
        <w:tc>
          <w:tcPr>
            <w:tcW w:w="2136" w:type="dxa"/>
            <w:vAlign w:val="top"/>
          </w:tcPr>
          <w:p w14:paraId="199094EE">
            <w:pPr>
              <w:spacing w:before="76" w:line="258" w:lineRule="auto"/>
              <w:ind w:left="551" w:right="121" w:hanging="418"/>
              <w:rPr>
                <w:rFonts w:ascii="宋体" w:hAnsi="宋体" w:eastAsia="宋体" w:cs="宋体"/>
                <w:sz w:val="20"/>
                <w:szCs w:val="20"/>
              </w:rPr>
            </w:pPr>
            <w:r>
              <w:rPr>
                <w:rFonts w:ascii="宋体" w:hAnsi="宋体" w:eastAsia="宋体" w:cs="宋体"/>
                <w:spacing w:val="11"/>
                <w:sz w:val="20"/>
                <w:szCs w:val="20"/>
              </w:rPr>
              <w:t>定</w:t>
            </w:r>
            <w:r>
              <w:rPr>
                <w:rFonts w:ascii="宋体" w:hAnsi="宋体" w:eastAsia="宋体" w:cs="宋体"/>
                <w:spacing w:val="8"/>
                <w:sz w:val="20"/>
                <w:szCs w:val="20"/>
              </w:rPr>
              <w:t>期外卖给农肥厂进</w:t>
            </w:r>
            <w:r>
              <w:rPr>
                <w:rFonts w:ascii="宋体" w:hAnsi="宋体" w:eastAsia="宋体" w:cs="宋体"/>
                <w:sz w:val="20"/>
                <w:szCs w:val="20"/>
              </w:rPr>
              <w:t xml:space="preserve"> </w:t>
            </w:r>
            <w:r>
              <w:rPr>
                <w:rFonts w:ascii="宋体" w:hAnsi="宋体" w:eastAsia="宋体" w:cs="宋体"/>
                <w:spacing w:val="9"/>
                <w:sz w:val="20"/>
                <w:szCs w:val="20"/>
              </w:rPr>
              <w:t>行</w:t>
            </w:r>
            <w:r>
              <w:rPr>
                <w:rFonts w:ascii="宋体" w:hAnsi="宋体" w:eastAsia="宋体" w:cs="宋体"/>
                <w:spacing w:val="7"/>
                <w:sz w:val="20"/>
                <w:szCs w:val="20"/>
              </w:rPr>
              <w:t>综合利用</w:t>
            </w:r>
          </w:p>
        </w:tc>
        <w:tc>
          <w:tcPr>
            <w:tcW w:w="1519" w:type="dxa"/>
            <w:tcBorders>
              <w:right w:val="nil"/>
            </w:tcBorders>
            <w:vAlign w:val="top"/>
          </w:tcPr>
          <w:p w14:paraId="291DB324">
            <w:pPr>
              <w:spacing w:before="232" w:line="228" w:lineRule="auto"/>
              <w:ind w:left="453"/>
              <w:rPr>
                <w:rFonts w:ascii="宋体" w:hAnsi="宋体" w:eastAsia="宋体" w:cs="宋体"/>
                <w:sz w:val="20"/>
                <w:szCs w:val="20"/>
              </w:rPr>
            </w:pPr>
            <w:r>
              <w:rPr>
                <w:rFonts w:ascii="宋体" w:hAnsi="宋体" w:eastAsia="宋体" w:cs="宋体"/>
                <w:spacing w:val="6"/>
                <w:sz w:val="20"/>
                <w:szCs w:val="20"/>
              </w:rPr>
              <w:t>不外</w:t>
            </w:r>
            <w:r>
              <w:rPr>
                <w:rFonts w:ascii="宋体" w:hAnsi="宋体" w:eastAsia="宋体" w:cs="宋体"/>
                <w:spacing w:val="5"/>
                <w:sz w:val="20"/>
                <w:szCs w:val="20"/>
              </w:rPr>
              <w:t>排</w:t>
            </w:r>
          </w:p>
        </w:tc>
      </w:tr>
      <w:tr w14:paraId="03BADC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43" w:type="dxa"/>
            <w:vMerge w:val="continue"/>
            <w:tcBorders>
              <w:top w:val="nil"/>
              <w:left w:val="nil"/>
              <w:bottom w:val="nil"/>
            </w:tcBorders>
            <w:vAlign w:val="top"/>
          </w:tcPr>
          <w:p w14:paraId="351B56C7">
            <w:pPr>
              <w:rPr>
                <w:rFonts w:ascii="Arial"/>
                <w:sz w:val="21"/>
              </w:rPr>
            </w:pPr>
          </w:p>
        </w:tc>
        <w:tc>
          <w:tcPr>
            <w:tcW w:w="938" w:type="dxa"/>
            <w:vAlign w:val="top"/>
          </w:tcPr>
          <w:p w14:paraId="226CC9C6">
            <w:pPr>
              <w:spacing w:before="244" w:line="195" w:lineRule="auto"/>
              <w:ind w:left="36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S</w:t>
            </w:r>
            <w:r>
              <w:rPr>
                <w:rFonts w:ascii="Times New Roman" w:hAnsi="Times New Roman" w:eastAsia="Times New Roman" w:cs="Times New Roman"/>
                <w:spacing w:val="-3"/>
                <w:sz w:val="20"/>
                <w:szCs w:val="20"/>
              </w:rPr>
              <w:t>6</w:t>
            </w:r>
          </w:p>
        </w:tc>
        <w:tc>
          <w:tcPr>
            <w:tcW w:w="1854" w:type="dxa"/>
            <w:vAlign w:val="top"/>
          </w:tcPr>
          <w:p w14:paraId="3E67C080">
            <w:pPr>
              <w:spacing w:before="208" w:line="227" w:lineRule="auto"/>
              <w:ind w:left="407"/>
              <w:rPr>
                <w:rFonts w:ascii="宋体" w:hAnsi="宋体" w:eastAsia="宋体" w:cs="宋体"/>
                <w:sz w:val="20"/>
                <w:szCs w:val="20"/>
              </w:rPr>
            </w:pPr>
            <w:r>
              <w:rPr>
                <w:rFonts w:ascii="宋体" w:hAnsi="宋体" w:eastAsia="宋体" w:cs="宋体"/>
                <w:spacing w:val="8"/>
                <w:sz w:val="20"/>
                <w:szCs w:val="20"/>
              </w:rPr>
              <w:t>布袋除尘器</w:t>
            </w:r>
          </w:p>
        </w:tc>
        <w:tc>
          <w:tcPr>
            <w:tcW w:w="1432" w:type="dxa"/>
            <w:vAlign w:val="top"/>
          </w:tcPr>
          <w:p w14:paraId="352A1187">
            <w:pPr>
              <w:spacing w:before="207" w:line="228" w:lineRule="auto"/>
              <w:ind w:left="510"/>
              <w:rPr>
                <w:rFonts w:ascii="宋体" w:hAnsi="宋体" w:eastAsia="宋体" w:cs="宋体"/>
                <w:sz w:val="20"/>
                <w:szCs w:val="20"/>
              </w:rPr>
            </w:pPr>
            <w:r>
              <w:rPr>
                <w:rFonts w:ascii="宋体" w:hAnsi="宋体" w:eastAsia="宋体" w:cs="宋体"/>
                <w:spacing w:val="5"/>
                <w:sz w:val="20"/>
                <w:szCs w:val="20"/>
              </w:rPr>
              <w:t>粉尘</w:t>
            </w:r>
          </w:p>
        </w:tc>
        <w:tc>
          <w:tcPr>
            <w:tcW w:w="2136" w:type="dxa"/>
            <w:vAlign w:val="top"/>
          </w:tcPr>
          <w:p w14:paraId="48E7C297">
            <w:pPr>
              <w:spacing w:before="52" w:line="258" w:lineRule="auto"/>
              <w:ind w:left="551" w:right="121" w:hanging="418"/>
              <w:rPr>
                <w:rFonts w:ascii="宋体" w:hAnsi="宋体" w:eastAsia="宋体" w:cs="宋体"/>
                <w:sz w:val="20"/>
                <w:szCs w:val="20"/>
              </w:rPr>
            </w:pPr>
            <w:r>
              <w:rPr>
                <w:rFonts w:ascii="宋体" w:hAnsi="宋体" w:eastAsia="宋体" w:cs="宋体"/>
                <w:spacing w:val="11"/>
                <w:sz w:val="20"/>
                <w:szCs w:val="20"/>
              </w:rPr>
              <w:t>定</w:t>
            </w:r>
            <w:r>
              <w:rPr>
                <w:rFonts w:ascii="宋体" w:hAnsi="宋体" w:eastAsia="宋体" w:cs="宋体"/>
                <w:spacing w:val="8"/>
                <w:sz w:val="20"/>
                <w:szCs w:val="20"/>
              </w:rPr>
              <w:t>期外卖给农肥厂进</w:t>
            </w:r>
            <w:r>
              <w:rPr>
                <w:rFonts w:ascii="宋体" w:hAnsi="宋体" w:eastAsia="宋体" w:cs="宋体"/>
                <w:sz w:val="20"/>
                <w:szCs w:val="20"/>
              </w:rPr>
              <w:t xml:space="preserve"> </w:t>
            </w:r>
            <w:r>
              <w:rPr>
                <w:rFonts w:ascii="宋体" w:hAnsi="宋体" w:eastAsia="宋体" w:cs="宋体"/>
                <w:spacing w:val="9"/>
                <w:sz w:val="20"/>
                <w:szCs w:val="20"/>
              </w:rPr>
              <w:t>行</w:t>
            </w:r>
            <w:r>
              <w:rPr>
                <w:rFonts w:ascii="宋体" w:hAnsi="宋体" w:eastAsia="宋体" w:cs="宋体"/>
                <w:spacing w:val="7"/>
                <w:sz w:val="20"/>
                <w:szCs w:val="20"/>
              </w:rPr>
              <w:t>综合利用</w:t>
            </w:r>
          </w:p>
        </w:tc>
        <w:tc>
          <w:tcPr>
            <w:tcW w:w="1519" w:type="dxa"/>
            <w:tcBorders>
              <w:right w:val="nil"/>
            </w:tcBorders>
            <w:vAlign w:val="top"/>
          </w:tcPr>
          <w:p w14:paraId="52F4E420">
            <w:pPr>
              <w:spacing w:before="208" w:line="228" w:lineRule="auto"/>
              <w:ind w:left="453"/>
              <w:rPr>
                <w:rFonts w:ascii="宋体" w:hAnsi="宋体" w:eastAsia="宋体" w:cs="宋体"/>
                <w:sz w:val="20"/>
                <w:szCs w:val="20"/>
              </w:rPr>
            </w:pPr>
            <w:r>
              <w:rPr>
                <w:rFonts w:ascii="宋体" w:hAnsi="宋体" w:eastAsia="宋体" w:cs="宋体"/>
                <w:spacing w:val="6"/>
                <w:sz w:val="20"/>
                <w:szCs w:val="20"/>
              </w:rPr>
              <w:t>不外</w:t>
            </w:r>
            <w:r>
              <w:rPr>
                <w:rFonts w:ascii="宋体" w:hAnsi="宋体" w:eastAsia="宋体" w:cs="宋体"/>
                <w:spacing w:val="5"/>
                <w:sz w:val="20"/>
                <w:szCs w:val="20"/>
              </w:rPr>
              <w:t>排</w:t>
            </w:r>
          </w:p>
        </w:tc>
      </w:tr>
      <w:tr w14:paraId="43C5E9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43" w:type="dxa"/>
            <w:vMerge w:val="continue"/>
            <w:tcBorders>
              <w:top w:val="nil"/>
              <w:left w:val="nil"/>
              <w:bottom w:val="nil"/>
            </w:tcBorders>
            <w:vAlign w:val="top"/>
          </w:tcPr>
          <w:p w14:paraId="04E76004">
            <w:pPr>
              <w:rPr>
                <w:rFonts w:ascii="Arial"/>
                <w:sz w:val="21"/>
              </w:rPr>
            </w:pPr>
          </w:p>
        </w:tc>
        <w:tc>
          <w:tcPr>
            <w:tcW w:w="938" w:type="dxa"/>
            <w:vAlign w:val="top"/>
          </w:tcPr>
          <w:p w14:paraId="7323CEC8">
            <w:pPr>
              <w:spacing w:before="91" w:line="195" w:lineRule="auto"/>
              <w:ind w:left="36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S</w:t>
            </w:r>
            <w:r>
              <w:rPr>
                <w:rFonts w:ascii="Times New Roman" w:hAnsi="Times New Roman" w:eastAsia="Times New Roman" w:cs="Times New Roman"/>
                <w:spacing w:val="-3"/>
                <w:sz w:val="20"/>
                <w:szCs w:val="20"/>
              </w:rPr>
              <w:t>7</w:t>
            </w:r>
          </w:p>
        </w:tc>
        <w:tc>
          <w:tcPr>
            <w:tcW w:w="1854" w:type="dxa"/>
            <w:vAlign w:val="top"/>
          </w:tcPr>
          <w:p w14:paraId="57B7B431">
            <w:pPr>
              <w:spacing w:before="55" w:line="228" w:lineRule="auto"/>
              <w:ind w:left="511"/>
              <w:rPr>
                <w:rFonts w:ascii="宋体" w:hAnsi="宋体" w:eastAsia="宋体" w:cs="宋体"/>
                <w:sz w:val="20"/>
                <w:szCs w:val="20"/>
              </w:rPr>
            </w:pPr>
            <w:r>
              <w:rPr>
                <w:rFonts w:ascii="宋体" w:hAnsi="宋体" w:eastAsia="宋体" w:cs="宋体"/>
                <w:spacing w:val="9"/>
                <w:sz w:val="20"/>
                <w:szCs w:val="20"/>
              </w:rPr>
              <w:t>废</w:t>
            </w:r>
            <w:r>
              <w:rPr>
                <w:rFonts w:ascii="宋体" w:hAnsi="宋体" w:eastAsia="宋体" w:cs="宋体"/>
                <w:spacing w:val="7"/>
                <w:sz w:val="20"/>
                <w:szCs w:val="20"/>
              </w:rPr>
              <w:t>气处理</w:t>
            </w:r>
          </w:p>
        </w:tc>
        <w:tc>
          <w:tcPr>
            <w:tcW w:w="1432" w:type="dxa"/>
            <w:vAlign w:val="top"/>
          </w:tcPr>
          <w:p w14:paraId="3AC59009">
            <w:pPr>
              <w:spacing w:before="55" w:line="228" w:lineRule="auto"/>
              <w:ind w:left="301"/>
              <w:rPr>
                <w:rFonts w:ascii="宋体" w:hAnsi="宋体" w:eastAsia="宋体" w:cs="宋体"/>
                <w:sz w:val="20"/>
                <w:szCs w:val="20"/>
              </w:rPr>
            </w:pPr>
            <w:r>
              <w:rPr>
                <w:rFonts w:ascii="宋体" w:hAnsi="宋体" w:eastAsia="宋体" w:cs="宋体"/>
                <w:spacing w:val="9"/>
                <w:sz w:val="20"/>
                <w:szCs w:val="20"/>
              </w:rPr>
              <w:t>废</w:t>
            </w:r>
            <w:r>
              <w:rPr>
                <w:rFonts w:ascii="宋体" w:hAnsi="宋体" w:eastAsia="宋体" w:cs="宋体"/>
                <w:spacing w:val="7"/>
                <w:sz w:val="20"/>
                <w:szCs w:val="20"/>
              </w:rPr>
              <w:t>活性炭</w:t>
            </w:r>
          </w:p>
        </w:tc>
        <w:tc>
          <w:tcPr>
            <w:tcW w:w="2136" w:type="dxa"/>
            <w:vAlign w:val="top"/>
          </w:tcPr>
          <w:p w14:paraId="37F6B65D">
            <w:pPr>
              <w:spacing w:before="55" w:line="228" w:lineRule="auto"/>
              <w:ind w:left="132"/>
              <w:rPr>
                <w:rFonts w:ascii="宋体" w:hAnsi="宋体" w:eastAsia="宋体" w:cs="宋体"/>
                <w:sz w:val="20"/>
                <w:szCs w:val="20"/>
              </w:rPr>
            </w:pPr>
            <w:r>
              <w:rPr>
                <w:rFonts w:ascii="宋体" w:hAnsi="宋体" w:eastAsia="宋体" w:cs="宋体"/>
                <w:spacing w:val="12"/>
                <w:sz w:val="20"/>
                <w:szCs w:val="20"/>
              </w:rPr>
              <w:t>交</w:t>
            </w:r>
            <w:r>
              <w:rPr>
                <w:rFonts w:ascii="宋体" w:hAnsi="宋体" w:eastAsia="宋体" w:cs="宋体"/>
                <w:spacing w:val="8"/>
                <w:sz w:val="20"/>
                <w:szCs w:val="20"/>
              </w:rPr>
              <w:t>由有资质单位处理</w:t>
            </w:r>
          </w:p>
        </w:tc>
        <w:tc>
          <w:tcPr>
            <w:tcW w:w="1519" w:type="dxa"/>
            <w:tcBorders>
              <w:right w:val="nil"/>
            </w:tcBorders>
            <w:vAlign w:val="top"/>
          </w:tcPr>
          <w:p w14:paraId="792210EE">
            <w:pPr>
              <w:spacing w:before="55" w:line="228" w:lineRule="auto"/>
              <w:ind w:left="453"/>
              <w:rPr>
                <w:rFonts w:ascii="宋体" w:hAnsi="宋体" w:eastAsia="宋体" w:cs="宋体"/>
                <w:sz w:val="20"/>
                <w:szCs w:val="20"/>
              </w:rPr>
            </w:pPr>
            <w:r>
              <w:rPr>
                <w:rFonts w:ascii="宋体" w:hAnsi="宋体" w:eastAsia="宋体" w:cs="宋体"/>
                <w:spacing w:val="6"/>
                <w:sz w:val="20"/>
                <w:szCs w:val="20"/>
              </w:rPr>
              <w:t>不外</w:t>
            </w:r>
            <w:r>
              <w:rPr>
                <w:rFonts w:ascii="宋体" w:hAnsi="宋体" w:eastAsia="宋体" w:cs="宋体"/>
                <w:spacing w:val="5"/>
                <w:sz w:val="20"/>
                <w:szCs w:val="20"/>
              </w:rPr>
              <w:t>排</w:t>
            </w:r>
          </w:p>
        </w:tc>
      </w:tr>
      <w:tr w14:paraId="616CA3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43" w:type="dxa"/>
            <w:vMerge w:val="continue"/>
            <w:tcBorders>
              <w:top w:val="nil"/>
              <w:left w:val="nil"/>
            </w:tcBorders>
            <w:vAlign w:val="top"/>
          </w:tcPr>
          <w:p w14:paraId="11766299">
            <w:pPr>
              <w:rPr>
                <w:rFonts w:ascii="Arial"/>
                <w:sz w:val="21"/>
              </w:rPr>
            </w:pPr>
          </w:p>
        </w:tc>
        <w:tc>
          <w:tcPr>
            <w:tcW w:w="938" w:type="dxa"/>
            <w:vAlign w:val="top"/>
          </w:tcPr>
          <w:p w14:paraId="4BF08053">
            <w:pPr>
              <w:spacing w:before="91" w:line="195" w:lineRule="auto"/>
              <w:ind w:left="36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S</w:t>
            </w:r>
            <w:r>
              <w:rPr>
                <w:rFonts w:ascii="Times New Roman" w:hAnsi="Times New Roman" w:eastAsia="Times New Roman" w:cs="Times New Roman"/>
                <w:spacing w:val="-3"/>
                <w:sz w:val="20"/>
                <w:szCs w:val="20"/>
              </w:rPr>
              <w:t>8</w:t>
            </w:r>
          </w:p>
        </w:tc>
        <w:tc>
          <w:tcPr>
            <w:tcW w:w="1854" w:type="dxa"/>
            <w:vAlign w:val="top"/>
          </w:tcPr>
          <w:p w14:paraId="676E3428">
            <w:pPr>
              <w:spacing w:before="56" w:line="228" w:lineRule="auto"/>
              <w:ind w:left="511"/>
              <w:rPr>
                <w:rFonts w:ascii="宋体" w:hAnsi="宋体" w:eastAsia="宋体" w:cs="宋体"/>
                <w:sz w:val="20"/>
                <w:szCs w:val="20"/>
              </w:rPr>
            </w:pPr>
            <w:r>
              <w:rPr>
                <w:rFonts w:ascii="宋体" w:hAnsi="宋体" w:eastAsia="宋体" w:cs="宋体"/>
                <w:spacing w:val="9"/>
                <w:sz w:val="20"/>
                <w:szCs w:val="20"/>
              </w:rPr>
              <w:t>废</w:t>
            </w:r>
            <w:r>
              <w:rPr>
                <w:rFonts w:ascii="宋体" w:hAnsi="宋体" w:eastAsia="宋体" w:cs="宋体"/>
                <w:spacing w:val="7"/>
                <w:sz w:val="20"/>
                <w:szCs w:val="20"/>
              </w:rPr>
              <w:t>气处理</w:t>
            </w:r>
          </w:p>
        </w:tc>
        <w:tc>
          <w:tcPr>
            <w:tcW w:w="1432" w:type="dxa"/>
            <w:vAlign w:val="top"/>
          </w:tcPr>
          <w:p w14:paraId="72B71BB0">
            <w:pPr>
              <w:spacing w:before="55" w:line="228" w:lineRule="auto"/>
              <w:ind w:left="37"/>
              <w:rPr>
                <w:rFonts w:ascii="宋体" w:hAnsi="宋体" w:eastAsia="宋体" w:cs="宋体"/>
                <w:sz w:val="20"/>
                <w:szCs w:val="20"/>
              </w:rPr>
            </w:pPr>
            <w:r>
              <w:rPr>
                <w:rFonts w:ascii="宋体" w:hAnsi="宋体" w:eastAsia="宋体" w:cs="宋体"/>
                <w:spacing w:val="1"/>
                <w:sz w:val="20"/>
                <w:szCs w:val="20"/>
              </w:rPr>
              <w:t xml:space="preserve">废 </w:t>
            </w:r>
            <w:r>
              <w:rPr>
                <w:rFonts w:ascii="Times New Roman" w:hAnsi="Times New Roman" w:eastAsia="Times New Roman" w:cs="Times New Roman"/>
                <w:sz w:val="20"/>
                <w:szCs w:val="20"/>
              </w:rPr>
              <w:t>uv</w:t>
            </w:r>
            <w:r>
              <w:rPr>
                <w:rFonts w:ascii="Times New Roman" w:hAnsi="Times New Roman" w:eastAsia="Times New Roman" w:cs="Times New Roman"/>
                <w:spacing w:val="1"/>
                <w:sz w:val="20"/>
                <w:szCs w:val="20"/>
              </w:rPr>
              <w:t xml:space="preserve"> </w:t>
            </w:r>
            <w:r>
              <w:rPr>
                <w:rFonts w:ascii="宋体" w:hAnsi="宋体" w:eastAsia="宋体" w:cs="宋体"/>
                <w:spacing w:val="1"/>
                <w:sz w:val="20"/>
                <w:szCs w:val="20"/>
              </w:rPr>
              <w:t>光解灯</w:t>
            </w:r>
            <w:r>
              <w:rPr>
                <w:rFonts w:ascii="宋体" w:hAnsi="宋体" w:eastAsia="宋体" w:cs="宋体"/>
                <w:sz w:val="20"/>
                <w:szCs w:val="20"/>
              </w:rPr>
              <w:t>管</w:t>
            </w:r>
          </w:p>
        </w:tc>
        <w:tc>
          <w:tcPr>
            <w:tcW w:w="2136" w:type="dxa"/>
            <w:vAlign w:val="top"/>
          </w:tcPr>
          <w:p w14:paraId="1D8B12A4">
            <w:pPr>
              <w:spacing w:before="56" w:line="228" w:lineRule="auto"/>
              <w:ind w:left="132"/>
              <w:rPr>
                <w:rFonts w:ascii="宋体" w:hAnsi="宋体" w:eastAsia="宋体" w:cs="宋体"/>
                <w:sz w:val="20"/>
                <w:szCs w:val="20"/>
              </w:rPr>
            </w:pPr>
            <w:r>
              <w:rPr>
                <w:rFonts w:ascii="宋体" w:hAnsi="宋体" w:eastAsia="宋体" w:cs="宋体"/>
                <w:spacing w:val="12"/>
                <w:sz w:val="20"/>
                <w:szCs w:val="20"/>
              </w:rPr>
              <w:t>交</w:t>
            </w:r>
            <w:r>
              <w:rPr>
                <w:rFonts w:ascii="宋体" w:hAnsi="宋体" w:eastAsia="宋体" w:cs="宋体"/>
                <w:spacing w:val="8"/>
                <w:sz w:val="20"/>
                <w:szCs w:val="20"/>
              </w:rPr>
              <w:t>由有资质单位处理</w:t>
            </w:r>
          </w:p>
        </w:tc>
        <w:tc>
          <w:tcPr>
            <w:tcW w:w="1519" w:type="dxa"/>
            <w:tcBorders>
              <w:right w:val="nil"/>
            </w:tcBorders>
            <w:vAlign w:val="top"/>
          </w:tcPr>
          <w:p w14:paraId="61AADA9A">
            <w:pPr>
              <w:spacing w:before="56" w:line="228" w:lineRule="auto"/>
              <w:ind w:left="453"/>
              <w:rPr>
                <w:rFonts w:ascii="宋体" w:hAnsi="宋体" w:eastAsia="宋体" w:cs="宋体"/>
                <w:sz w:val="20"/>
                <w:szCs w:val="20"/>
              </w:rPr>
            </w:pPr>
            <w:r>
              <w:rPr>
                <w:rFonts w:ascii="宋体" w:hAnsi="宋体" w:eastAsia="宋体" w:cs="宋体"/>
                <w:spacing w:val="6"/>
                <w:sz w:val="20"/>
                <w:szCs w:val="20"/>
              </w:rPr>
              <w:t>不外</w:t>
            </w:r>
            <w:r>
              <w:rPr>
                <w:rFonts w:ascii="宋体" w:hAnsi="宋体" w:eastAsia="宋体" w:cs="宋体"/>
                <w:spacing w:val="5"/>
                <w:sz w:val="20"/>
                <w:szCs w:val="20"/>
              </w:rPr>
              <w:t>排</w:t>
            </w:r>
          </w:p>
        </w:tc>
      </w:tr>
      <w:tr w14:paraId="79C099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643" w:type="dxa"/>
            <w:tcBorders>
              <w:left w:val="nil"/>
            </w:tcBorders>
            <w:vAlign w:val="top"/>
          </w:tcPr>
          <w:p w14:paraId="71D2D2EA">
            <w:pPr>
              <w:spacing w:before="56" w:line="228" w:lineRule="auto"/>
              <w:ind w:left="128"/>
              <w:rPr>
                <w:rFonts w:ascii="宋体" w:hAnsi="宋体" w:eastAsia="宋体" w:cs="宋体"/>
                <w:sz w:val="20"/>
                <w:szCs w:val="20"/>
              </w:rPr>
            </w:pPr>
            <w:r>
              <w:rPr>
                <w:rFonts w:ascii="宋体" w:hAnsi="宋体" w:eastAsia="宋体" w:cs="宋体"/>
                <w:spacing w:val="-1"/>
                <w:sz w:val="20"/>
                <w:szCs w:val="20"/>
              </w:rPr>
              <w:t>噪</w:t>
            </w:r>
            <w:r>
              <w:rPr>
                <w:rFonts w:ascii="宋体" w:hAnsi="宋体" w:eastAsia="宋体" w:cs="宋体"/>
                <w:sz w:val="20"/>
                <w:szCs w:val="20"/>
              </w:rPr>
              <w:t>声</w:t>
            </w:r>
          </w:p>
        </w:tc>
        <w:tc>
          <w:tcPr>
            <w:tcW w:w="2792" w:type="dxa"/>
            <w:gridSpan w:val="2"/>
            <w:vAlign w:val="top"/>
          </w:tcPr>
          <w:p w14:paraId="1B3349E3">
            <w:pPr>
              <w:spacing w:before="56" w:line="228" w:lineRule="auto"/>
              <w:ind w:left="985"/>
              <w:rPr>
                <w:rFonts w:ascii="宋体" w:hAnsi="宋体" w:eastAsia="宋体" w:cs="宋体"/>
                <w:sz w:val="20"/>
                <w:szCs w:val="20"/>
              </w:rPr>
            </w:pPr>
            <w:r>
              <w:rPr>
                <w:rFonts w:ascii="宋体" w:hAnsi="宋体" w:eastAsia="宋体" w:cs="宋体"/>
                <w:spacing w:val="8"/>
                <w:sz w:val="20"/>
                <w:szCs w:val="20"/>
              </w:rPr>
              <w:t>设</w:t>
            </w:r>
            <w:r>
              <w:rPr>
                <w:rFonts w:ascii="宋体" w:hAnsi="宋体" w:eastAsia="宋体" w:cs="宋体"/>
                <w:spacing w:val="6"/>
                <w:sz w:val="20"/>
                <w:szCs w:val="20"/>
              </w:rPr>
              <w:t>备噪声</w:t>
            </w:r>
          </w:p>
        </w:tc>
        <w:tc>
          <w:tcPr>
            <w:tcW w:w="1432" w:type="dxa"/>
            <w:vAlign w:val="top"/>
          </w:tcPr>
          <w:p w14:paraId="19693BB3">
            <w:pPr>
              <w:spacing w:before="18" w:line="281" w:lineRule="exact"/>
              <w:ind w:left="28"/>
              <w:rPr>
                <w:rFonts w:ascii="宋体" w:hAnsi="宋体" w:eastAsia="宋体" w:cs="宋体"/>
                <w:sz w:val="20"/>
                <w:szCs w:val="20"/>
              </w:rPr>
            </w:pPr>
            <w:r>
              <w:rPr>
                <w:rFonts w:ascii="Times New Roman" w:hAnsi="Times New Roman" w:eastAsia="Times New Roman" w:cs="Times New Roman"/>
                <w:spacing w:val="17"/>
                <w:position w:val="1"/>
                <w:sz w:val="20"/>
                <w:szCs w:val="20"/>
              </w:rPr>
              <w:t>7</w:t>
            </w:r>
            <w:r>
              <w:rPr>
                <w:rFonts w:ascii="Times New Roman" w:hAnsi="Times New Roman" w:eastAsia="Times New Roman" w:cs="Times New Roman"/>
                <w:spacing w:val="13"/>
                <w:position w:val="1"/>
                <w:sz w:val="20"/>
                <w:szCs w:val="20"/>
              </w:rPr>
              <w:t>0</w:t>
            </w:r>
            <w:r>
              <w:rPr>
                <w:rFonts w:ascii="宋体" w:hAnsi="宋体" w:eastAsia="宋体" w:cs="宋体"/>
                <w:spacing w:val="13"/>
                <w:position w:val="1"/>
                <w:sz w:val="20"/>
                <w:szCs w:val="20"/>
              </w:rPr>
              <w:t>~</w:t>
            </w:r>
            <w:r>
              <w:rPr>
                <w:rFonts w:ascii="Times New Roman" w:hAnsi="Times New Roman" w:eastAsia="Times New Roman" w:cs="Times New Roman"/>
                <w:spacing w:val="13"/>
                <w:position w:val="1"/>
                <w:sz w:val="20"/>
                <w:szCs w:val="20"/>
              </w:rPr>
              <w:t>80</w:t>
            </w:r>
            <w:r>
              <w:rPr>
                <w:rFonts w:ascii="Times New Roman" w:hAnsi="Times New Roman" w:eastAsia="Times New Roman" w:cs="Times New Roman"/>
                <w:position w:val="1"/>
                <w:sz w:val="20"/>
                <w:szCs w:val="20"/>
              </w:rPr>
              <w:t>dB</w:t>
            </w:r>
            <w:r>
              <w:rPr>
                <w:rFonts w:ascii="Times New Roman" w:hAnsi="Times New Roman" w:eastAsia="Times New Roman" w:cs="Times New Roman"/>
                <w:spacing w:val="13"/>
                <w:position w:val="1"/>
                <w:sz w:val="20"/>
                <w:szCs w:val="20"/>
              </w:rPr>
              <w:t xml:space="preserve">  </w:t>
            </w:r>
            <w:r>
              <w:rPr>
                <w:rFonts w:ascii="宋体" w:hAnsi="宋体" w:eastAsia="宋体" w:cs="宋体"/>
                <w:spacing w:val="13"/>
                <w:position w:val="1"/>
                <w:sz w:val="20"/>
                <w:szCs w:val="20"/>
              </w:rPr>
              <w:t>(</w:t>
            </w:r>
            <w:r>
              <w:rPr>
                <w:rFonts w:ascii="Times New Roman" w:hAnsi="Times New Roman" w:eastAsia="Times New Roman" w:cs="Times New Roman"/>
                <w:position w:val="1"/>
                <w:sz w:val="20"/>
                <w:szCs w:val="20"/>
              </w:rPr>
              <w:t>A</w:t>
            </w:r>
            <w:r>
              <w:rPr>
                <w:rFonts w:ascii="宋体" w:hAnsi="宋体" w:eastAsia="宋体" w:cs="宋体"/>
                <w:spacing w:val="13"/>
                <w:position w:val="1"/>
                <w:sz w:val="20"/>
                <w:szCs w:val="20"/>
              </w:rPr>
              <w:t>)</w:t>
            </w:r>
          </w:p>
        </w:tc>
        <w:tc>
          <w:tcPr>
            <w:tcW w:w="2136" w:type="dxa"/>
            <w:vAlign w:val="top"/>
          </w:tcPr>
          <w:p w14:paraId="4902F56C">
            <w:pPr>
              <w:spacing w:before="56" w:line="227" w:lineRule="auto"/>
              <w:ind w:left="127"/>
              <w:rPr>
                <w:rFonts w:ascii="宋体" w:hAnsi="宋体" w:eastAsia="宋体" w:cs="宋体"/>
                <w:sz w:val="20"/>
                <w:szCs w:val="20"/>
              </w:rPr>
            </w:pPr>
            <w:r>
              <w:rPr>
                <w:rFonts w:ascii="宋体" w:hAnsi="宋体" w:eastAsia="宋体" w:cs="宋体"/>
                <w:spacing w:val="9"/>
                <w:sz w:val="20"/>
                <w:szCs w:val="20"/>
              </w:rPr>
              <w:t>采取隔声、减振措施</w:t>
            </w:r>
          </w:p>
        </w:tc>
        <w:tc>
          <w:tcPr>
            <w:tcW w:w="1519" w:type="dxa"/>
            <w:tcBorders>
              <w:right w:val="nil"/>
            </w:tcBorders>
            <w:vAlign w:val="top"/>
          </w:tcPr>
          <w:p w14:paraId="69179505">
            <w:pPr>
              <w:spacing w:before="56" w:line="228" w:lineRule="auto"/>
              <w:ind w:left="343"/>
              <w:rPr>
                <w:rFonts w:ascii="宋体" w:hAnsi="宋体" w:eastAsia="宋体" w:cs="宋体"/>
                <w:sz w:val="20"/>
                <w:szCs w:val="20"/>
              </w:rPr>
            </w:pPr>
            <w:r>
              <w:rPr>
                <w:rFonts w:ascii="宋体" w:hAnsi="宋体" w:eastAsia="宋体" w:cs="宋体"/>
                <w:spacing w:val="9"/>
                <w:sz w:val="20"/>
                <w:szCs w:val="20"/>
              </w:rPr>
              <w:t>达</w:t>
            </w:r>
            <w:r>
              <w:rPr>
                <w:rFonts w:ascii="宋体" w:hAnsi="宋体" w:eastAsia="宋体" w:cs="宋体"/>
                <w:spacing w:val="7"/>
                <w:sz w:val="20"/>
                <w:szCs w:val="20"/>
              </w:rPr>
              <w:t>标排放</w:t>
            </w:r>
          </w:p>
        </w:tc>
      </w:tr>
    </w:tbl>
    <w:p w14:paraId="2107E1FE">
      <w:pPr>
        <w:spacing w:before="301" w:line="221" w:lineRule="auto"/>
        <w:ind w:left="112"/>
        <w:outlineLvl w:val="3"/>
        <w:rPr>
          <w:rFonts w:ascii="宋体" w:hAnsi="宋体" w:eastAsia="宋体" w:cs="宋体"/>
          <w:sz w:val="28"/>
          <w:szCs w:val="28"/>
        </w:rPr>
      </w:pPr>
      <w:r>
        <w:rPr>
          <w:rFonts w:ascii="Times New Roman" w:hAnsi="Times New Roman" w:eastAsia="Times New Roman" w:cs="Times New Roman"/>
          <w:b/>
          <w:bCs/>
          <w:spacing w:val="7"/>
          <w:sz w:val="28"/>
          <w:szCs w:val="28"/>
        </w:rPr>
        <w:t>3.2.2.3</w:t>
      </w:r>
      <w:r>
        <w:rPr>
          <w:rFonts w:ascii="Times New Roman" w:hAnsi="Times New Roman" w:eastAsia="Times New Roman" w:cs="Times New Roman"/>
          <w:spacing w:val="7"/>
          <w:sz w:val="28"/>
          <w:szCs w:val="28"/>
        </w:rPr>
        <w:t xml:space="preserve">  </w:t>
      </w:r>
      <w:r>
        <w:rPr>
          <w:rFonts w:ascii="宋体" w:hAnsi="宋体" w:eastAsia="宋体" w:cs="宋体"/>
          <w:spacing w:val="7"/>
          <w:sz w:val="28"/>
          <w:szCs w:val="28"/>
          <w14:textOutline w14:w="5103" w14:cap="sq" w14:cmpd="sng">
            <w14:solidFill>
              <w14:srgbClr w14:val="000000"/>
            </w14:solidFill>
            <w14:prstDash w14:val="solid"/>
            <w14:bevel/>
          </w14:textOutline>
        </w:rPr>
        <w:t>物料平</w:t>
      </w:r>
      <w:r>
        <w:rPr>
          <w:rFonts w:ascii="宋体" w:hAnsi="宋体" w:eastAsia="宋体" w:cs="宋体"/>
          <w:spacing w:val="5"/>
          <w:sz w:val="28"/>
          <w:szCs w:val="28"/>
          <w14:textOutline w14:w="5103" w14:cap="sq" w14:cmpd="sng">
            <w14:solidFill>
              <w14:srgbClr w14:val="000000"/>
            </w14:solidFill>
            <w14:prstDash w14:val="solid"/>
            <w14:bevel/>
          </w14:textOutline>
        </w:rPr>
        <w:t>衡</w:t>
      </w:r>
    </w:p>
    <w:p w14:paraId="5F326F08">
      <w:pPr>
        <w:spacing w:before="293" w:line="323" w:lineRule="exact"/>
        <w:ind w:left="601"/>
        <w:rPr>
          <w:rFonts w:ascii="Times New Roman" w:hAnsi="Times New Roman" w:eastAsia="Times New Roman" w:cs="Times New Roman"/>
          <w:sz w:val="23"/>
          <w:szCs w:val="23"/>
        </w:rPr>
      </w:pPr>
      <w:r>
        <w:rPr>
          <w:rFonts w:ascii="宋体" w:hAnsi="宋体" w:eastAsia="宋体" w:cs="宋体"/>
          <w:spacing w:val="10"/>
          <w:position w:val="1"/>
          <w:sz w:val="23"/>
          <w:szCs w:val="23"/>
        </w:rPr>
        <w:t>该项</w:t>
      </w:r>
      <w:r>
        <w:rPr>
          <w:rFonts w:ascii="宋体" w:hAnsi="宋体" w:eastAsia="宋体" w:cs="宋体"/>
          <w:spacing w:val="9"/>
          <w:position w:val="1"/>
          <w:sz w:val="23"/>
          <w:szCs w:val="23"/>
        </w:rPr>
        <w:t>目</w:t>
      </w:r>
      <w:r>
        <w:rPr>
          <w:rFonts w:ascii="宋体" w:hAnsi="宋体" w:eastAsia="宋体" w:cs="宋体"/>
          <w:spacing w:val="5"/>
          <w:position w:val="1"/>
          <w:sz w:val="23"/>
          <w:szCs w:val="23"/>
        </w:rPr>
        <w:t xml:space="preserve">废旧塑料编织袋原料用量为 </w:t>
      </w:r>
      <w:r>
        <w:rPr>
          <w:rFonts w:ascii="Times New Roman" w:hAnsi="Times New Roman" w:eastAsia="Times New Roman" w:cs="Times New Roman"/>
          <w:spacing w:val="5"/>
          <w:position w:val="1"/>
          <w:sz w:val="23"/>
          <w:szCs w:val="23"/>
        </w:rPr>
        <w:t>51100</w:t>
      </w:r>
      <w:r>
        <w:rPr>
          <w:rFonts w:ascii="Times New Roman" w:hAnsi="Times New Roman" w:eastAsia="Times New Roman" w:cs="Times New Roman"/>
          <w:position w:val="1"/>
          <w:sz w:val="23"/>
          <w:szCs w:val="23"/>
        </w:rPr>
        <w:t>t</w:t>
      </w:r>
      <w:r>
        <w:rPr>
          <w:rFonts w:ascii="Times New Roman" w:hAnsi="Times New Roman" w:eastAsia="Times New Roman" w:cs="Times New Roman"/>
          <w:spacing w:val="5"/>
          <w:position w:val="1"/>
          <w:sz w:val="23"/>
          <w:szCs w:val="23"/>
        </w:rPr>
        <w:t>/</w:t>
      </w:r>
      <w:r>
        <w:rPr>
          <w:rFonts w:ascii="Times New Roman" w:hAnsi="Times New Roman" w:eastAsia="Times New Roman" w:cs="Times New Roman"/>
          <w:position w:val="1"/>
          <w:sz w:val="23"/>
          <w:szCs w:val="23"/>
        </w:rPr>
        <w:t>a</w:t>
      </w:r>
      <w:r>
        <w:rPr>
          <w:rFonts w:ascii="Times New Roman" w:hAnsi="Times New Roman" w:eastAsia="Times New Roman" w:cs="Times New Roman"/>
          <w:spacing w:val="5"/>
          <w:position w:val="1"/>
          <w:sz w:val="23"/>
          <w:szCs w:val="23"/>
        </w:rPr>
        <w:t xml:space="preserve"> </w:t>
      </w:r>
      <w:r>
        <w:rPr>
          <w:rFonts w:ascii="宋体" w:hAnsi="宋体" w:eastAsia="宋体" w:cs="宋体"/>
          <w:spacing w:val="5"/>
          <w:position w:val="1"/>
          <w:sz w:val="23"/>
          <w:szCs w:val="23"/>
        </w:rPr>
        <w:t xml:space="preserve">，分拣出的杂质按原料量的 </w:t>
      </w:r>
      <w:r>
        <w:rPr>
          <w:rFonts w:ascii="Times New Roman" w:hAnsi="Times New Roman" w:eastAsia="Times New Roman" w:cs="Times New Roman"/>
          <w:spacing w:val="5"/>
          <w:position w:val="1"/>
          <w:sz w:val="23"/>
          <w:szCs w:val="23"/>
        </w:rPr>
        <w:t>2%</w:t>
      </w:r>
    </w:p>
    <w:p w14:paraId="555B1902">
      <w:pPr>
        <w:spacing w:before="157" w:line="393" w:lineRule="auto"/>
        <w:ind w:left="118" w:right="103" w:hanging="1"/>
        <w:rPr>
          <w:rFonts w:ascii="宋体" w:hAnsi="宋体" w:eastAsia="宋体" w:cs="宋体"/>
          <w:sz w:val="23"/>
          <w:szCs w:val="23"/>
        </w:rPr>
      </w:pPr>
      <w:r>
        <w:rPr>
          <w:rFonts w:ascii="宋体" w:hAnsi="宋体" w:eastAsia="宋体" w:cs="宋体"/>
          <w:spacing w:val="6"/>
          <w:sz w:val="23"/>
          <w:szCs w:val="23"/>
        </w:rPr>
        <w:t>计，则</w:t>
      </w:r>
      <w:r>
        <w:rPr>
          <w:rFonts w:ascii="宋体" w:hAnsi="宋体" w:eastAsia="宋体" w:cs="宋体"/>
          <w:spacing w:val="5"/>
          <w:sz w:val="23"/>
          <w:szCs w:val="23"/>
        </w:rPr>
        <w:t>杂</w:t>
      </w:r>
      <w:r>
        <w:rPr>
          <w:rFonts w:ascii="宋体" w:hAnsi="宋体" w:eastAsia="宋体" w:cs="宋体"/>
          <w:spacing w:val="3"/>
          <w:sz w:val="23"/>
          <w:szCs w:val="23"/>
        </w:rPr>
        <w:t xml:space="preserve">质产生量为 </w:t>
      </w:r>
      <w:r>
        <w:rPr>
          <w:rFonts w:ascii="Times New Roman" w:hAnsi="Times New Roman" w:eastAsia="Times New Roman" w:cs="Times New Roman"/>
          <w:spacing w:val="3"/>
          <w:sz w:val="23"/>
          <w:szCs w:val="23"/>
        </w:rPr>
        <w:t>1022</w:t>
      </w:r>
      <w:r>
        <w:rPr>
          <w:rFonts w:ascii="Times New Roman" w:hAnsi="Times New Roman" w:eastAsia="Times New Roman" w:cs="Times New Roman"/>
          <w:sz w:val="23"/>
          <w:szCs w:val="23"/>
        </w:rPr>
        <w:t>t</w:t>
      </w:r>
      <w:r>
        <w:rPr>
          <w:rFonts w:ascii="Times New Roman" w:hAnsi="Times New Roman" w:eastAsia="Times New Roman" w:cs="Times New Roman"/>
          <w:spacing w:val="3"/>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 xml:space="preserve">，循环水沉淀产生的污泥量约为 </w:t>
      </w:r>
      <w:r>
        <w:rPr>
          <w:rFonts w:ascii="Times New Roman" w:hAnsi="Times New Roman" w:eastAsia="Times New Roman" w:cs="Times New Roman"/>
          <w:spacing w:val="3"/>
          <w:sz w:val="23"/>
          <w:szCs w:val="23"/>
        </w:rPr>
        <w:t>60</w:t>
      </w:r>
      <w:r>
        <w:rPr>
          <w:rFonts w:ascii="Times New Roman" w:hAnsi="Times New Roman" w:eastAsia="Times New Roman" w:cs="Times New Roman"/>
          <w:sz w:val="23"/>
          <w:szCs w:val="23"/>
        </w:rPr>
        <w:t>t</w:t>
      </w:r>
      <w:r>
        <w:rPr>
          <w:rFonts w:ascii="Times New Roman" w:hAnsi="Times New Roman" w:eastAsia="Times New Roman" w:cs="Times New Roman"/>
          <w:spacing w:val="3"/>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；粉尘产生量</w:t>
      </w:r>
      <w:r>
        <w:rPr>
          <w:rFonts w:ascii="宋体" w:hAnsi="宋体" w:eastAsia="宋体" w:cs="宋体"/>
          <w:sz w:val="23"/>
          <w:szCs w:val="23"/>
        </w:rPr>
        <w:t xml:space="preserve"> </w:t>
      </w:r>
      <w:r>
        <w:rPr>
          <w:rFonts w:ascii="宋体" w:hAnsi="宋体" w:eastAsia="宋体" w:cs="宋体"/>
          <w:spacing w:val="4"/>
          <w:sz w:val="23"/>
          <w:szCs w:val="23"/>
        </w:rPr>
        <w:t xml:space="preserve">按原料量的 </w:t>
      </w:r>
      <w:r>
        <w:rPr>
          <w:rFonts w:ascii="Times New Roman" w:hAnsi="Times New Roman" w:eastAsia="Times New Roman" w:cs="Times New Roman"/>
          <w:spacing w:val="4"/>
          <w:sz w:val="23"/>
          <w:szCs w:val="23"/>
        </w:rPr>
        <w:t>0</w:t>
      </w:r>
      <w:r>
        <w:rPr>
          <w:rFonts w:ascii="Times New Roman" w:hAnsi="Times New Roman" w:eastAsia="Times New Roman" w:cs="Times New Roman"/>
          <w:spacing w:val="2"/>
          <w:sz w:val="23"/>
          <w:szCs w:val="23"/>
        </w:rPr>
        <w:t>.002%</w:t>
      </w:r>
      <w:r>
        <w:rPr>
          <w:rFonts w:ascii="宋体" w:hAnsi="宋体" w:eastAsia="宋体" w:cs="宋体"/>
          <w:spacing w:val="2"/>
          <w:sz w:val="23"/>
          <w:szCs w:val="23"/>
        </w:rPr>
        <w:t xml:space="preserve">计，则粉尘产生放量为 </w:t>
      </w:r>
      <w:r>
        <w:rPr>
          <w:rFonts w:ascii="Times New Roman" w:hAnsi="Times New Roman" w:eastAsia="Times New Roman" w:cs="Times New Roman"/>
          <w:spacing w:val="2"/>
          <w:sz w:val="23"/>
          <w:szCs w:val="23"/>
        </w:rPr>
        <w:t>1.02</w:t>
      </w:r>
      <w:r>
        <w:rPr>
          <w:rFonts w:ascii="Times New Roman" w:hAnsi="Times New Roman" w:eastAsia="Times New Roman" w:cs="Times New Roman"/>
          <w:sz w:val="23"/>
          <w:szCs w:val="23"/>
        </w:rPr>
        <w:t>t</w:t>
      </w:r>
      <w:r>
        <w:rPr>
          <w:rFonts w:ascii="Times New Roman" w:hAnsi="Times New Roman" w:eastAsia="Times New Roman" w:cs="Times New Roman"/>
          <w:spacing w:val="2"/>
          <w:sz w:val="23"/>
          <w:szCs w:val="23"/>
        </w:rPr>
        <w:t>/</w:t>
      </w:r>
      <w:r>
        <w:rPr>
          <w:rFonts w:ascii="Times New Roman" w:hAnsi="Times New Roman" w:eastAsia="Times New Roman" w:cs="Times New Roman"/>
          <w:sz w:val="23"/>
          <w:szCs w:val="23"/>
        </w:rPr>
        <w:t>a</w:t>
      </w:r>
      <w:r>
        <w:rPr>
          <w:rFonts w:ascii="宋体" w:hAnsi="宋体" w:eastAsia="宋体" w:cs="宋体"/>
          <w:spacing w:val="2"/>
          <w:sz w:val="23"/>
          <w:szCs w:val="23"/>
        </w:rPr>
        <w:t xml:space="preserve">，非甲烷总烃产生量按 </w:t>
      </w:r>
      <w:r>
        <w:rPr>
          <w:rFonts w:ascii="Times New Roman" w:hAnsi="Times New Roman" w:eastAsia="Times New Roman" w:cs="Times New Roman"/>
          <w:spacing w:val="2"/>
          <w:sz w:val="23"/>
          <w:szCs w:val="23"/>
        </w:rPr>
        <w:t>0.35</w:t>
      </w:r>
      <w:r>
        <w:rPr>
          <w:rFonts w:ascii="Times New Roman" w:hAnsi="Times New Roman" w:eastAsia="Times New Roman" w:cs="Times New Roman"/>
          <w:sz w:val="23"/>
          <w:szCs w:val="23"/>
        </w:rPr>
        <w:t>kg</w:t>
      </w:r>
      <w:r>
        <w:rPr>
          <w:rFonts w:ascii="Times New Roman" w:hAnsi="Times New Roman" w:eastAsia="Times New Roman" w:cs="Times New Roman"/>
          <w:spacing w:val="2"/>
          <w:sz w:val="23"/>
          <w:szCs w:val="23"/>
        </w:rPr>
        <w:t>/</w:t>
      </w:r>
      <w:r>
        <w:rPr>
          <w:rFonts w:ascii="Times New Roman" w:hAnsi="Times New Roman" w:eastAsia="Times New Roman" w:cs="Times New Roman"/>
          <w:sz w:val="23"/>
          <w:szCs w:val="23"/>
        </w:rPr>
        <w:t xml:space="preserve">t </w:t>
      </w:r>
      <w:r>
        <w:rPr>
          <w:rFonts w:ascii="宋体" w:hAnsi="宋体" w:eastAsia="宋体" w:cs="宋体"/>
          <w:spacing w:val="1"/>
          <w:sz w:val="23"/>
          <w:szCs w:val="23"/>
        </w:rPr>
        <w:t xml:space="preserve">原料计，则非甲烷总烃产生量为 </w:t>
      </w:r>
      <w:r>
        <w:rPr>
          <w:rFonts w:ascii="Times New Roman" w:hAnsi="Times New Roman" w:eastAsia="Times New Roman" w:cs="Times New Roman"/>
          <w:spacing w:val="1"/>
          <w:sz w:val="23"/>
          <w:szCs w:val="23"/>
        </w:rPr>
        <w:t>17.88</w:t>
      </w:r>
      <w:r>
        <w:rPr>
          <w:rFonts w:ascii="Times New Roman" w:hAnsi="Times New Roman" w:eastAsia="Times New Roman" w:cs="Times New Roman"/>
          <w:sz w:val="23"/>
          <w:szCs w:val="23"/>
        </w:rPr>
        <w:t>t</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 xml:space="preserve">。项目物料平衡见表 </w:t>
      </w:r>
      <w:r>
        <w:rPr>
          <w:rFonts w:ascii="Times New Roman" w:hAnsi="Times New Roman" w:eastAsia="Times New Roman" w:cs="Times New Roman"/>
          <w:spacing w:val="1"/>
          <w:sz w:val="23"/>
          <w:szCs w:val="23"/>
        </w:rPr>
        <w:t xml:space="preserve">3- </w:t>
      </w:r>
      <w:r>
        <w:rPr>
          <w:rFonts w:ascii="Times New Roman" w:hAnsi="Times New Roman" w:eastAsia="Times New Roman" w:cs="Times New Roman"/>
          <w:sz w:val="23"/>
          <w:szCs w:val="23"/>
        </w:rPr>
        <w:t>15</w:t>
      </w:r>
      <w:r>
        <w:rPr>
          <w:rFonts w:ascii="宋体" w:hAnsi="宋体" w:eastAsia="宋体" w:cs="宋体"/>
          <w:sz w:val="23"/>
          <w:szCs w:val="23"/>
        </w:rPr>
        <w:t>。</w:t>
      </w:r>
    </w:p>
    <w:p w14:paraId="6734B9F9">
      <w:pPr>
        <w:spacing w:before="170" w:line="227" w:lineRule="auto"/>
        <w:ind w:left="2698"/>
        <w:rPr>
          <w:rFonts w:ascii="宋体" w:hAnsi="宋体" w:eastAsia="宋体" w:cs="宋体"/>
          <w:sz w:val="23"/>
          <w:szCs w:val="23"/>
        </w:rPr>
      </w:pPr>
      <w:r>
        <w:rPr>
          <w:rFonts w:ascii="宋体" w:hAnsi="宋体" w:eastAsia="宋体" w:cs="宋体"/>
          <w:spacing w:val="6"/>
          <w:sz w:val="23"/>
          <w:szCs w:val="23"/>
          <w14:textOutline w14:w="4358" w14:cap="sq" w14:cmpd="sng">
            <w14:solidFill>
              <w14:srgbClr w14:val="000000"/>
            </w14:solidFill>
            <w14:prstDash w14:val="solid"/>
            <w14:bevel/>
          </w14:textOutline>
        </w:rPr>
        <w:t>表</w:t>
      </w:r>
      <w:r>
        <w:rPr>
          <w:rFonts w:ascii="宋体" w:hAnsi="宋体" w:eastAsia="宋体" w:cs="宋体"/>
          <w:spacing w:val="5"/>
          <w:sz w:val="23"/>
          <w:szCs w:val="23"/>
        </w:rPr>
        <w:t xml:space="preserve"> </w:t>
      </w:r>
      <w:r>
        <w:rPr>
          <w:rFonts w:ascii="Times New Roman" w:hAnsi="Times New Roman" w:eastAsia="Times New Roman" w:cs="Times New Roman"/>
          <w:b/>
          <w:bCs/>
          <w:spacing w:val="3"/>
          <w:sz w:val="23"/>
          <w:szCs w:val="23"/>
        </w:rPr>
        <w:t>3-15</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14:textOutline w14:w="4358" w14:cap="sq" w14:cmpd="sng">
            <w14:solidFill>
              <w14:srgbClr w14:val="000000"/>
            </w14:solidFill>
            <w14:prstDash w14:val="solid"/>
            <w14:bevel/>
          </w14:textOutline>
        </w:rPr>
        <w:t>生产工艺物料平衡</w:t>
      </w:r>
    </w:p>
    <w:p w14:paraId="217C66B4">
      <w:pPr>
        <w:spacing w:line="18"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0"/>
        <w:gridCol w:w="2130"/>
        <w:gridCol w:w="2130"/>
        <w:gridCol w:w="2132"/>
      </w:tblGrid>
      <w:tr w14:paraId="5DAA2D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4260" w:type="dxa"/>
            <w:gridSpan w:val="2"/>
            <w:tcBorders>
              <w:left w:val="nil"/>
              <w:right w:val="single" w:color="000000" w:sz="4" w:space="0"/>
            </w:tcBorders>
            <w:vAlign w:val="top"/>
          </w:tcPr>
          <w:p w14:paraId="276E1643">
            <w:pPr>
              <w:spacing w:before="75" w:line="228" w:lineRule="auto"/>
              <w:ind w:left="1930"/>
              <w:rPr>
                <w:rFonts w:ascii="宋体" w:hAnsi="宋体" w:eastAsia="宋体" w:cs="宋体"/>
                <w:sz w:val="20"/>
                <w:szCs w:val="20"/>
              </w:rPr>
            </w:pPr>
            <w:r>
              <w:rPr>
                <w:rFonts w:ascii="宋体" w:hAnsi="宋体" w:eastAsia="宋体" w:cs="宋体"/>
                <w:spacing w:val="5"/>
                <w:sz w:val="20"/>
                <w:szCs w:val="20"/>
                <w14:textOutline w14:w="3795" w14:cap="sq" w14:cmpd="sng">
                  <w14:solidFill>
                    <w14:srgbClr w14:val="000000"/>
                  </w14:solidFill>
                  <w14:prstDash w14:val="solid"/>
                  <w14:bevel/>
                </w14:textOutline>
              </w:rPr>
              <w:t>投</w:t>
            </w:r>
            <w:r>
              <w:rPr>
                <w:rFonts w:ascii="宋体" w:hAnsi="宋体" w:eastAsia="宋体" w:cs="宋体"/>
                <w:spacing w:val="4"/>
                <w:sz w:val="20"/>
                <w:szCs w:val="20"/>
                <w14:textOutline w14:w="3795" w14:cap="sq" w14:cmpd="sng">
                  <w14:solidFill>
                    <w14:srgbClr w14:val="000000"/>
                  </w14:solidFill>
                  <w14:prstDash w14:val="solid"/>
                  <w14:bevel/>
                </w14:textOutline>
              </w:rPr>
              <w:t>入</w:t>
            </w:r>
          </w:p>
        </w:tc>
        <w:tc>
          <w:tcPr>
            <w:tcW w:w="4262" w:type="dxa"/>
            <w:gridSpan w:val="2"/>
            <w:tcBorders>
              <w:left w:val="single" w:color="000000" w:sz="4" w:space="0"/>
              <w:right w:val="nil"/>
            </w:tcBorders>
            <w:vAlign w:val="top"/>
          </w:tcPr>
          <w:p w14:paraId="332AF1D7">
            <w:pPr>
              <w:spacing w:before="75" w:line="228" w:lineRule="auto"/>
              <w:ind w:left="1923"/>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产出</w:t>
            </w:r>
          </w:p>
        </w:tc>
      </w:tr>
      <w:tr w14:paraId="73F06C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130" w:type="dxa"/>
            <w:tcBorders>
              <w:left w:val="nil"/>
              <w:right w:val="single" w:color="000000" w:sz="4" w:space="0"/>
            </w:tcBorders>
            <w:vAlign w:val="top"/>
          </w:tcPr>
          <w:p w14:paraId="18A9720F">
            <w:pPr>
              <w:spacing w:before="55" w:line="228" w:lineRule="auto"/>
              <w:ind w:left="653"/>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物</w:t>
            </w:r>
            <w:r>
              <w:rPr>
                <w:rFonts w:ascii="宋体" w:hAnsi="宋体" w:eastAsia="宋体" w:cs="宋体"/>
                <w:spacing w:val="8"/>
                <w:sz w:val="20"/>
                <w:szCs w:val="20"/>
                <w14:textOutline w14:w="3795" w14:cap="sq" w14:cmpd="sng">
                  <w14:solidFill>
                    <w14:srgbClr w14:val="000000"/>
                  </w14:solidFill>
                  <w14:prstDash w14:val="solid"/>
                  <w14:bevel/>
                </w14:textOutline>
              </w:rPr>
              <w:t>料名称</w:t>
            </w:r>
          </w:p>
        </w:tc>
        <w:tc>
          <w:tcPr>
            <w:tcW w:w="2130" w:type="dxa"/>
            <w:tcBorders>
              <w:left w:val="single" w:color="000000" w:sz="4" w:space="0"/>
              <w:right w:val="single" w:color="000000" w:sz="4" w:space="0"/>
            </w:tcBorders>
            <w:vAlign w:val="top"/>
          </w:tcPr>
          <w:p w14:paraId="766711E4">
            <w:pPr>
              <w:spacing w:before="14" w:line="289" w:lineRule="exact"/>
              <w:ind w:left="534"/>
              <w:rPr>
                <w:rFonts w:ascii="宋体" w:hAnsi="宋体" w:eastAsia="宋体" w:cs="宋体"/>
                <w:sz w:val="20"/>
                <w:szCs w:val="20"/>
              </w:rPr>
            </w:pPr>
            <w:r>
              <w:rPr>
                <w:rFonts w:ascii="宋体" w:hAnsi="宋体" w:eastAsia="宋体" w:cs="宋体"/>
                <w:spacing w:val="2"/>
                <w:position w:val="2"/>
                <w:sz w:val="20"/>
                <w:szCs w:val="20"/>
                <w14:textOutline w14:w="3795" w14:cap="sq" w14:cmpd="sng">
                  <w14:solidFill>
                    <w14:srgbClr w14:val="000000"/>
                  </w14:solidFill>
                  <w14:prstDash w14:val="solid"/>
                  <w14:bevel/>
                </w14:textOutline>
              </w:rPr>
              <w:t>用量</w:t>
            </w:r>
            <w:r>
              <w:rPr>
                <w:rFonts w:ascii="宋体" w:hAnsi="宋体" w:eastAsia="宋体" w:cs="宋体"/>
                <w:spacing w:val="2"/>
                <w:position w:val="2"/>
                <w:sz w:val="20"/>
                <w:szCs w:val="20"/>
              </w:rPr>
              <w:t xml:space="preserve"> </w:t>
            </w:r>
            <w:r>
              <w:rPr>
                <w:rFonts w:ascii="宋体" w:hAnsi="宋体" w:eastAsia="宋体" w:cs="宋体"/>
                <w:spacing w:val="2"/>
                <w:position w:val="2"/>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position w:val="2"/>
                <w:sz w:val="20"/>
                <w:szCs w:val="20"/>
              </w:rPr>
              <w:t>t</w:t>
            </w:r>
            <w:r>
              <w:rPr>
                <w:rFonts w:ascii="Times New Roman" w:hAnsi="Times New Roman" w:eastAsia="Times New Roman" w:cs="Times New Roman"/>
                <w:b/>
                <w:bCs/>
                <w:spacing w:val="2"/>
                <w:position w:val="2"/>
                <w:sz w:val="20"/>
                <w:szCs w:val="20"/>
              </w:rPr>
              <w:t>/</w:t>
            </w:r>
            <w:r>
              <w:rPr>
                <w:rFonts w:ascii="Times New Roman" w:hAnsi="Times New Roman" w:eastAsia="Times New Roman" w:cs="Times New Roman"/>
                <w:b/>
                <w:bCs/>
                <w:position w:val="2"/>
                <w:sz w:val="20"/>
                <w:szCs w:val="20"/>
              </w:rPr>
              <w:t>a</w:t>
            </w:r>
            <w:r>
              <w:rPr>
                <w:rFonts w:ascii="Times New Roman" w:hAnsi="Times New Roman" w:eastAsia="Times New Roman" w:cs="Times New Roman"/>
                <w:spacing w:val="1"/>
                <w:position w:val="2"/>
                <w:sz w:val="20"/>
                <w:szCs w:val="20"/>
              </w:rPr>
              <w:t xml:space="preserve"> </w:t>
            </w:r>
            <w:r>
              <w:rPr>
                <w:rFonts w:ascii="宋体" w:hAnsi="宋体" w:eastAsia="宋体" w:cs="宋体"/>
                <w:spacing w:val="1"/>
                <w:position w:val="2"/>
                <w:sz w:val="20"/>
                <w:szCs w:val="20"/>
                <w14:textOutline w14:w="3795" w14:cap="sq" w14:cmpd="sng">
                  <w14:solidFill>
                    <w14:srgbClr w14:val="000000"/>
                  </w14:solidFill>
                  <w14:prstDash w14:val="solid"/>
                  <w14:bevel/>
                </w14:textOutline>
              </w:rPr>
              <w:t>)</w:t>
            </w:r>
          </w:p>
        </w:tc>
        <w:tc>
          <w:tcPr>
            <w:tcW w:w="2130" w:type="dxa"/>
            <w:tcBorders>
              <w:left w:val="single" w:color="000000" w:sz="4" w:space="0"/>
              <w:right w:val="single" w:color="000000" w:sz="4" w:space="0"/>
            </w:tcBorders>
            <w:vAlign w:val="top"/>
          </w:tcPr>
          <w:p w14:paraId="452228C9">
            <w:pPr>
              <w:spacing w:before="55" w:line="228" w:lineRule="auto"/>
              <w:ind w:left="648"/>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物</w:t>
            </w:r>
            <w:r>
              <w:rPr>
                <w:rFonts w:ascii="宋体" w:hAnsi="宋体" w:eastAsia="宋体" w:cs="宋体"/>
                <w:spacing w:val="8"/>
                <w:sz w:val="20"/>
                <w:szCs w:val="20"/>
                <w14:textOutline w14:w="3795" w14:cap="sq" w14:cmpd="sng">
                  <w14:solidFill>
                    <w14:srgbClr w14:val="000000"/>
                  </w14:solidFill>
                  <w14:prstDash w14:val="solid"/>
                  <w14:bevel/>
                </w14:textOutline>
              </w:rPr>
              <w:t>料名称</w:t>
            </w:r>
          </w:p>
        </w:tc>
        <w:tc>
          <w:tcPr>
            <w:tcW w:w="2132" w:type="dxa"/>
            <w:tcBorders>
              <w:left w:val="single" w:color="000000" w:sz="4" w:space="0"/>
              <w:right w:val="nil"/>
            </w:tcBorders>
            <w:vAlign w:val="top"/>
          </w:tcPr>
          <w:p w14:paraId="25698DBB">
            <w:pPr>
              <w:spacing w:before="14" w:line="289" w:lineRule="exact"/>
              <w:ind w:left="532"/>
              <w:rPr>
                <w:rFonts w:ascii="宋体" w:hAnsi="宋体" w:eastAsia="宋体" w:cs="宋体"/>
                <w:sz w:val="20"/>
                <w:szCs w:val="20"/>
              </w:rPr>
            </w:pPr>
            <w:r>
              <w:rPr>
                <w:rFonts w:ascii="宋体" w:hAnsi="宋体" w:eastAsia="宋体" w:cs="宋体"/>
                <w:spacing w:val="4"/>
                <w:position w:val="1"/>
                <w:sz w:val="20"/>
                <w:szCs w:val="20"/>
                <w14:textOutline w14:w="3795" w14:cap="sq" w14:cmpd="sng">
                  <w14:solidFill>
                    <w14:srgbClr w14:val="000000"/>
                  </w14:solidFill>
                  <w14:prstDash w14:val="solid"/>
                  <w14:bevel/>
                </w14:textOutline>
              </w:rPr>
              <w:t>产</w:t>
            </w:r>
            <w:r>
              <w:rPr>
                <w:rFonts w:ascii="宋体" w:hAnsi="宋体" w:eastAsia="宋体" w:cs="宋体"/>
                <w:spacing w:val="2"/>
                <w:position w:val="1"/>
                <w:sz w:val="20"/>
                <w:szCs w:val="20"/>
                <w14:textOutline w14:w="3795" w14:cap="sq" w14:cmpd="sng">
                  <w14:solidFill>
                    <w14:srgbClr w14:val="000000"/>
                  </w14:solidFill>
                  <w14:prstDash w14:val="solid"/>
                  <w14:bevel/>
                </w14:textOutline>
              </w:rPr>
              <w:t>量</w:t>
            </w:r>
            <w:r>
              <w:rPr>
                <w:rFonts w:ascii="宋体" w:hAnsi="宋体" w:eastAsia="宋体" w:cs="宋体"/>
                <w:spacing w:val="2"/>
                <w:position w:val="1"/>
                <w:sz w:val="20"/>
                <w:szCs w:val="20"/>
              </w:rPr>
              <w:t xml:space="preserve"> </w:t>
            </w:r>
            <w:r>
              <w:rPr>
                <w:rFonts w:ascii="宋体" w:hAnsi="宋体" w:eastAsia="宋体" w:cs="宋体"/>
                <w:spacing w:val="2"/>
                <w:position w:val="1"/>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position w:val="1"/>
                <w:sz w:val="20"/>
                <w:szCs w:val="20"/>
              </w:rPr>
              <w:t>t</w:t>
            </w:r>
            <w:r>
              <w:rPr>
                <w:rFonts w:ascii="Times New Roman" w:hAnsi="Times New Roman" w:eastAsia="Times New Roman" w:cs="Times New Roman"/>
                <w:b/>
                <w:bCs/>
                <w:spacing w:val="2"/>
                <w:position w:val="1"/>
                <w:sz w:val="20"/>
                <w:szCs w:val="20"/>
              </w:rPr>
              <w:t>/</w:t>
            </w:r>
            <w:r>
              <w:rPr>
                <w:rFonts w:ascii="Times New Roman" w:hAnsi="Times New Roman" w:eastAsia="Times New Roman" w:cs="Times New Roman"/>
                <w:b/>
                <w:bCs/>
                <w:position w:val="1"/>
                <w:sz w:val="20"/>
                <w:szCs w:val="20"/>
              </w:rPr>
              <w:t>a</w:t>
            </w:r>
            <w:r>
              <w:rPr>
                <w:rFonts w:ascii="Times New Roman" w:hAnsi="Times New Roman" w:eastAsia="Times New Roman" w:cs="Times New Roman"/>
                <w:spacing w:val="2"/>
                <w:position w:val="1"/>
                <w:sz w:val="20"/>
                <w:szCs w:val="20"/>
              </w:rPr>
              <w:t xml:space="preserve"> </w:t>
            </w:r>
            <w:r>
              <w:rPr>
                <w:rFonts w:ascii="宋体" w:hAnsi="宋体" w:eastAsia="宋体" w:cs="宋体"/>
                <w:spacing w:val="2"/>
                <w:position w:val="1"/>
                <w:sz w:val="20"/>
                <w:szCs w:val="20"/>
                <w14:textOutline w14:w="3795" w14:cap="sq" w14:cmpd="sng">
                  <w14:solidFill>
                    <w14:srgbClr w14:val="000000"/>
                  </w14:solidFill>
                  <w14:prstDash w14:val="solid"/>
                  <w14:bevel/>
                </w14:textOutline>
              </w:rPr>
              <w:t>)</w:t>
            </w:r>
          </w:p>
        </w:tc>
      </w:tr>
      <w:tr w14:paraId="4FB653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130" w:type="dxa"/>
            <w:vMerge w:val="restart"/>
            <w:tcBorders>
              <w:left w:val="nil"/>
              <w:bottom w:val="nil"/>
              <w:right w:val="single" w:color="000000" w:sz="4" w:space="0"/>
            </w:tcBorders>
            <w:vAlign w:val="top"/>
          </w:tcPr>
          <w:p w14:paraId="2CD1830D">
            <w:pPr>
              <w:spacing w:line="319" w:lineRule="auto"/>
              <w:rPr>
                <w:rFonts w:ascii="Arial"/>
                <w:sz w:val="21"/>
              </w:rPr>
            </w:pPr>
          </w:p>
          <w:p w14:paraId="55787DEB">
            <w:pPr>
              <w:spacing w:line="320" w:lineRule="auto"/>
              <w:rPr>
                <w:rFonts w:ascii="Arial"/>
                <w:sz w:val="21"/>
              </w:rPr>
            </w:pPr>
          </w:p>
          <w:p w14:paraId="665F41D6">
            <w:pPr>
              <w:spacing w:before="65" w:line="228" w:lineRule="auto"/>
              <w:ind w:left="336"/>
              <w:rPr>
                <w:rFonts w:ascii="宋体" w:hAnsi="宋体" w:eastAsia="宋体" w:cs="宋体"/>
                <w:sz w:val="20"/>
                <w:szCs w:val="20"/>
              </w:rPr>
            </w:pPr>
            <w:r>
              <w:rPr>
                <w:rFonts w:ascii="宋体" w:hAnsi="宋体" w:eastAsia="宋体" w:cs="宋体"/>
                <w:spacing w:val="9"/>
                <w:sz w:val="20"/>
                <w:szCs w:val="20"/>
              </w:rPr>
              <w:t>废旧塑料编织</w:t>
            </w:r>
            <w:r>
              <w:rPr>
                <w:rFonts w:ascii="宋体" w:hAnsi="宋体" w:eastAsia="宋体" w:cs="宋体"/>
                <w:spacing w:val="7"/>
                <w:sz w:val="20"/>
                <w:szCs w:val="20"/>
              </w:rPr>
              <w:t>袋</w:t>
            </w:r>
          </w:p>
        </w:tc>
        <w:tc>
          <w:tcPr>
            <w:tcW w:w="2130" w:type="dxa"/>
            <w:vMerge w:val="restart"/>
            <w:tcBorders>
              <w:left w:val="single" w:color="000000" w:sz="4" w:space="0"/>
              <w:bottom w:val="nil"/>
              <w:right w:val="single" w:color="000000" w:sz="4" w:space="0"/>
            </w:tcBorders>
            <w:vAlign w:val="top"/>
          </w:tcPr>
          <w:p w14:paraId="7D6CC588">
            <w:pPr>
              <w:spacing w:line="341" w:lineRule="auto"/>
              <w:rPr>
                <w:rFonts w:ascii="Arial"/>
                <w:sz w:val="21"/>
              </w:rPr>
            </w:pPr>
          </w:p>
          <w:p w14:paraId="0B33DA48">
            <w:pPr>
              <w:spacing w:line="341" w:lineRule="auto"/>
              <w:rPr>
                <w:rFonts w:ascii="Arial"/>
                <w:sz w:val="21"/>
              </w:rPr>
            </w:pPr>
          </w:p>
          <w:p w14:paraId="0B9540BB">
            <w:pPr>
              <w:spacing w:before="58" w:line="195" w:lineRule="auto"/>
              <w:ind w:left="81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51</w:t>
            </w:r>
            <w:r>
              <w:rPr>
                <w:rFonts w:ascii="Times New Roman" w:hAnsi="Times New Roman" w:eastAsia="Times New Roman" w:cs="Times New Roman"/>
                <w:spacing w:val="1"/>
                <w:sz w:val="20"/>
                <w:szCs w:val="20"/>
              </w:rPr>
              <w:t>100</w:t>
            </w:r>
          </w:p>
        </w:tc>
        <w:tc>
          <w:tcPr>
            <w:tcW w:w="2130" w:type="dxa"/>
            <w:tcBorders>
              <w:left w:val="single" w:color="000000" w:sz="4" w:space="0"/>
              <w:right w:val="single" w:color="000000" w:sz="4" w:space="0"/>
            </w:tcBorders>
            <w:vAlign w:val="top"/>
          </w:tcPr>
          <w:p w14:paraId="3B4812B7">
            <w:pPr>
              <w:spacing w:before="56" w:line="228" w:lineRule="auto"/>
              <w:ind w:left="441"/>
              <w:rPr>
                <w:rFonts w:ascii="宋体" w:hAnsi="宋体" w:eastAsia="宋体" w:cs="宋体"/>
                <w:sz w:val="20"/>
                <w:szCs w:val="20"/>
              </w:rPr>
            </w:pPr>
            <w:r>
              <w:rPr>
                <w:rFonts w:ascii="宋体" w:hAnsi="宋体" w:eastAsia="宋体" w:cs="宋体"/>
                <w:spacing w:val="10"/>
                <w:sz w:val="20"/>
                <w:szCs w:val="20"/>
              </w:rPr>
              <w:t>塑</w:t>
            </w:r>
            <w:r>
              <w:rPr>
                <w:rFonts w:ascii="宋体" w:hAnsi="宋体" w:eastAsia="宋体" w:cs="宋体"/>
                <w:spacing w:val="7"/>
                <w:sz w:val="20"/>
                <w:szCs w:val="20"/>
              </w:rPr>
              <w:t>料再生颗粒</w:t>
            </w:r>
          </w:p>
        </w:tc>
        <w:tc>
          <w:tcPr>
            <w:tcW w:w="2132" w:type="dxa"/>
            <w:tcBorders>
              <w:left w:val="single" w:color="000000" w:sz="4" w:space="0"/>
              <w:right w:val="nil"/>
            </w:tcBorders>
            <w:vAlign w:val="top"/>
          </w:tcPr>
          <w:p w14:paraId="0E497723">
            <w:pPr>
              <w:spacing w:before="91" w:line="195" w:lineRule="auto"/>
              <w:ind w:left="72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r>
              <w:rPr>
                <w:rFonts w:ascii="Times New Roman" w:hAnsi="Times New Roman" w:eastAsia="Times New Roman" w:cs="Times New Roman"/>
                <w:sz w:val="20"/>
                <w:szCs w:val="20"/>
              </w:rPr>
              <w:t>9999. 1</w:t>
            </w:r>
          </w:p>
        </w:tc>
      </w:tr>
      <w:tr w14:paraId="499ADA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130" w:type="dxa"/>
            <w:vMerge w:val="continue"/>
            <w:tcBorders>
              <w:top w:val="nil"/>
              <w:left w:val="nil"/>
              <w:bottom w:val="nil"/>
              <w:right w:val="single" w:color="000000" w:sz="4" w:space="0"/>
            </w:tcBorders>
            <w:vAlign w:val="top"/>
          </w:tcPr>
          <w:p w14:paraId="0C46F75A">
            <w:pPr>
              <w:rPr>
                <w:rFonts w:ascii="Arial"/>
                <w:sz w:val="21"/>
              </w:rPr>
            </w:pPr>
          </w:p>
        </w:tc>
        <w:tc>
          <w:tcPr>
            <w:tcW w:w="2130" w:type="dxa"/>
            <w:vMerge w:val="continue"/>
            <w:tcBorders>
              <w:top w:val="nil"/>
              <w:left w:val="single" w:color="000000" w:sz="4" w:space="0"/>
              <w:bottom w:val="nil"/>
              <w:right w:val="single" w:color="000000" w:sz="4" w:space="0"/>
            </w:tcBorders>
            <w:vAlign w:val="top"/>
          </w:tcPr>
          <w:p w14:paraId="335626C0">
            <w:pPr>
              <w:rPr>
                <w:rFonts w:ascii="Arial"/>
                <w:sz w:val="21"/>
              </w:rPr>
            </w:pPr>
          </w:p>
        </w:tc>
        <w:tc>
          <w:tcPr>
            <w:tcW w:w="2130" w:type="dxa"/>
            <w:tcBorders>
              <w:left w:val="single" w:color="000000" w:sz="4" w:space="0"/>
              <w:right w:val="single" w:color="000000" w:sz="4" w:space="0"/>
            </w:tcBorders>
            <w:vAlign w:val="top"/>
          </w:tcPr>
          <w:p w14:paraId="4C3413AA">
            <w:pPr>
              <w:spacing w:before="55" w:line="228" w:lineRule="auto"/>
              <w:ind w:left="859"/>
              <w:rPr>
                <w:rFonts w:ascii="宋体" w:hAnsi="宋体" w:eastAsia="宋体" w:cs="宋体"/>
                <w:sz w:val="20"/>
                <w:szCs w:val="20"/>
              </w:rPr>
            </w:pPr>
            <w:r>
              <w:rPr>
                <w:rFonts w:ascii="宋体" w:hAnsi="宋体" w:eastAsia="宋体" w:cs="宋体"/>
                <w:spacing w:val="4"/>
                <w:sz w:val="20"/>
                <w:szCs w:val="20"/>
              </w:rPr>
              <w:t>杂</w:t>
            </w:r>
            <w:r>
              <w:rPr>
                <w:rFonts w:ascii="宋体" w:hAnsi="宋体" w:eastAsia="宋体" w:cs="宋体"/>
                <w:spacing w:val="3"/>
                <w:sz w:val="20"/>
                <w:szCs w:val="20"/>
              </w:rPr>
              <w:t>质</w:t>
            </w:r>
          </w:p>
        </w:tc>
        <w:tc>
          <w:tcPr>
            <w:tcW w:w="2132" w:type="dxa"/>
            <w:tcBorders>
              <w:left w:val="single" w:color="000000" w:sz="4" w:space="0"/>
              <w:right w:val="nil"/>
            </w:tcBorders>
            <w:vAlign w:val="top"/>
          </w:tcPr>
          <w:p w14:paraId="4A9AEF94">
            <w:pPr>
              <w:spacing w:before="91" w:line="195" w:lineRule="auto"/>
              <w:ind w:left="8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1022</w:t>
            </w:r>
          </w:p>
        </w:tc>
      </w:tr>
      <w:tr w14:paraId="074B62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130" w:type="dxa"/>
            <w:vMerge w:val="continue"/>
            <w:tcBorders>
              <w:top w:val="nil"/>
              <w:left w:val="nil"/>
              <w:bottom w:val="nil"/>
              <w:right w:val="single" w:color="000000" w:sz="4" w:space="0"/>
            </w:tcBorders>
            <w:vAlign w:val="top"/>
          </w:tcPr>
          <w:p w14:paraId="3EAD0F6E">
            <w:pPr>
              <w:rPr>
                <w:rFonts w:ascii="Arial"/>
                <w:sz w:val="21"/>
              </w:rPr>
            </w:pPr>
          </w:p>
        </w:tc>
        <w:tc>
          <w:tcPr>
            <w:tcW w:w="2130" w:type="dxa"/>
            <w:vMerge w:val="continue"/>
            <w:tcBorders>
              <w:top w:val="nil"/>
              <w:left w:val="single" w:color="000000" w:sz="4" w:space="0"/>
              <w:bottom w:val="nil"/>
              <w:right w:val="single" w:color="000000" w:sz="4" w:space="0"/>
            </w:tcBorders>
            <w:vAlign w:val="top"/>
          </w:tcPr>
          <w:p w14:paraId="0BE3FA22">
            <w:pPr>
              <w:rPr>
                <w:rFonts w:ascii="Arial"/>
                <w:sz w:val="21"/>
              </w:rPr>
            </w:pPr>
          </w:p>
        </w:tc>
        <w:tc>
          <w:tcPr>
            <w:tcW w:w="2130" w:type="dxa"/>
            <w:tcBorders>
              <w:left w:val="single" w:color="000000" w:sz="4" w:space="0"/>
              <w:right w:val="single" w:color="000000" w:sz="4" w:space="0"/>
            </w:tcBorders>
            <w:vAlign w:val="top"/>
          </w:tcPr>
          <w:p w14:paraId="5EDBB6E7">
            <w:pPr>
              <w:spacing w:before="56" w:line="228" w:lineRule="auto"/>
              <w:ind w:left="856"/>
              <w:rPr>
                <w:rFonts w:ascii="宋体" w:hAnsi="宋体" w:eastAsia="宋体" w:cs="宋体"/>
                <w:sz w:val="20"/>
                <w:szCs w:val="20"/>
              </w:rPr>
            </w:pPr>
            <w:r>
              <w:rPr>
                <w:rFonts w:ascii="宋体" w:hAnsi="宋体" w:eastAsia="宋体" w:cs="宋体"/>
                <w:spacing w:val="5"/>
                <w:sz w:val="20"/>
                <w:szCs w:val="20"/>
              </w:rPr>
              <w:t>粉尘</w:t>
            </w:r>
          </w:p>
        </w:tc>
        <w:tc>
          <w:tcPr>
            <w:tcW w:w="2132" w:type="dxa"/>
            <w:tcBorders>
              <w:left w:val="single" w:color="000000" w:sz="4" w:space="0"/>
              <w:right w:val="nil"/>
            </w:tcBorders>
            <w:vAlign w:val="top"/>
          </w:tcPr>
          <w:p w14:paraId="4F9A4D61">
            <w:pPr>
              <w:spacing w:before="92" w:line="198" w:lineRule="auto"/>
              <w:ind w:left="90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02</w:t>
            </w:r>
          </w:p>
        </w:tc>
      </w:tr>
      <w:tr w14:paraId="15AA7B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130" w:type="dxa"/>
            <w:vMerge w:val="continue"/>
            <w:tcBorders>
              <w:top w:val="nil"/>
              <w:left w:val="nil"/>
              <w:bottom w:val="nil"/>
              <w:right w:val="single" w:color="000000" w:sz="4" w:space="0"/>
            </w:tcBorders>
            <w:vAlign w:val="top"/>
          </w:tcPr>
          <w:p w14:paraId="302F38F9">
            <w:pPr>
              <w:rPr>
                <w:rFonts w:ascii="Arial"/>
                <w:sz w:val="21"/>
              </w:rPr>
            </w:pPr>
          </w:p>
        </w:tc>
        <w:tc>
          <w:tcPr>
            <w:tcW w:w="2130" w:type="dxa"/>
            <w:vMerge w:val="continue"/>
            <w:tcBorders>
              <w:top w:val="nil"/>
              <w:left w:val="single" w:color="000000" w:sz="4" w:space="0"/>
              <w:bottom w:val="nil"/>
              <w:right w:val="single" w:color="000000" w:sz="4" w:space="0"/>
            </w:tcBorders>
            <w:vAlign w:val="top"/>
          </w:tcPr>
          <w:p w14:paraId="56BB0F38">
            <w:pPr>
              <w:rPr>
                <w:rFonts w:ascii="Arial"/>
                <w:sz w:val="21"/>
              </w:rPr>
            </w:pPr>
          </w:p>
        </w:tc>
        <w:tc>
          <w:tcPr>
            <w:tcW w:w="2130" w:type="dxa"/>
            <w:tcBorders>
              <w:left w:val="single" w:color="000000" w:sz="4" w:space="0"/>
              <w:right w:val="single" w:color="000000" w:sz="4" w:space="0"/>
            </w:tcBorders>
            <w:vAlign w:val="top"/>
          </w:tcPr>
          <w:p w14:paraId="5EE41D91">
            <w:pPr>
              <w:spacing w:before="59" w:line="230" w:lineRule="auto"/>
              <w:ind w:left="859"/>
              <w:rPr>
                <w:rFonts w:ascii="宋体" w:hAnsi="宋体" w:eastAsia="宋体" w:cs="宋体"/>
                <w:sz w:val="20"/>
                <w:szCs w:val="20"/>
              </w:rPr>
            </w:pPr>
            <w:r>
              <w:rPr>
                <w:rFonts w:ascii="宋体" w:hAnsi="宋体" w:eastAsia="宋体" w:cs="宋体"/>
                <w:spacing w:val="4"/>
                <w:sz w:val="20"/>
                <w:szCs w:val="20"/>
              </w:rPr>
              <w:t>污</w:t>
            </w:r>
            <w:r>
              <w:rPr>
                <w:rFonts w:ascii="宋体" w:hAnsi="宋体" w:eastAsia="宋体" w:cs="宋体"/>
                <w:spacing w:val="3"/>
                <w:sz w:val="20"/>
                <w:szCs w:val="20"/>
              </w:rPr>
              <w:t>泥</w:t>
            </w:r>
          </w:p>
        </w:tc>
        <w:tc>
          <w:tcPr>
            <w:tcW w:w="2132" w:type="dxa"/>
            <w:tcBorders>
              <w:left w:val="single" w:color="000000" w:sz="4" w:space="0"/>
              <w:right w:val="nil"/>
            </w:tcBorders>
            <w:vAlign w:val="top"/>
          </w:tcPr>
          <w:p w14:paraId="27B30516">
            <w:pPr>
              <w:spacing w:before="95" w:line="195" w:lineRule="auto"/>
              <w:ind w:left="96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0</w:t>
            </w:r>
          </w:p>
        </w:tc>
      </w:tr>
      <w:tr w14:paraId="1EBB7F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130" w:type="dxa"/>
            <w:vMerge w:val="continue"/>
            <w:tcBorders>
              <w:top w:val="nil"/>
              <w:left w:val="nil"/>
              <w:right w:val="single" w:color="000000" w:sz="4" w:space="0"/>
            </w:tcBorders>
            <w:vAlign w:val="top"/>
          </w:tcPr>
          <w:p w14:paraId="54F58C5C">
            <w:pPr>
              <w:rPr>
                <w:rFonts w:ascii="Arial"/>
                <w:sz w:val="21"/>
              </w:rPr>
            </w:pPr>
          </w:p>
        </w:tc>
        <w:tc>
          <w:tcPr>
            <w:tcW w:w="2130" w:type="dxa"/>
            <w:vMerge w:val="continue"/>
            <w:tcBorders>
              <w:top w:val="nil"/>
              <w:left w:val="single" w:color="000000" w:sz="4" w:space="0"/>
              <w:right w:val="single" w:color="000000" w:sz="4" w:space="0"/>
            </w:tcBorders>
            <w:vAlign w:val="top"/>
          </w:tcPr>
          <w:p w14:paraId="3C8F61C9">
            <w:pPr>
              <w:rPr>
                <w:rFonts w:ascii="Arial"/>
                <w:sz w:val="21"/>
              </w:rPr>
            </w:pPr>
          </w:p>
        </w:tc>
        <w:tc>
          <w:tcPr>
            <w:tcW w:w="2130" w:type="dxa"/>
            <w:tcBorders>
              <w:left w:val="single" w:color="000000" w:sz="4" w:space="0"/>
              <w:right w:val="single" w:color="000000" w:sz="4" w:space="0"/>
            </w:tcBorders>
            <w:vAlign w:val="top"/>
          </w:tcPr>
          <w:p w14:paraId="63161E90">
            <w:pPr>
              <w:spacing w:before="60" w:line="228" w:lineRule="auto"/>
              <w:ind w:left="546"/>
              <w:rPr>
                <w:rFonts w:ascii="宋体" w:hAnsi="宋体" w:eastAsia="宋体" w:cs="宋体"/>
                <w:sz w:val="20"/>
                <w:szCs w:val="20"/>
              </w:rPr>
            </w:pPr>
            <w:r>
              <w:rPr>
                <w:rFonts w:ascii="宋体" w:hAnsi="宋体" w:eastAsia="宋体" w:cs="宋体"/>
                <w:spacing w:val="9"/>
                <w:sz w:val="20"/>
                <w:szCs w:val="20"/>
              </w:rPr>
              <w:t>非</w:t>
            </w:r>
            <w:r>
              <w:rPr>
                <w:rFonts w:ascii="宋体" w:hAnsi="宋体" w:eastAsia="宋体" w:cs="宋体"/>
                <w:spacing w:val="7"/>
                <w:sz w:val="20"/>
                <w:szCs w:val="20"/>
              </w:rPr>
              <w:t>甲烷总烃</w:t>
            </w:r>
          </w:p>
        </w:tc>
        <w:tc>
          <w:tcPr>
            <w:tcW w:w="2132" w:type="dxa"/>
            <w:tcBorders>
              <w:left w:val="single" w:color="000000" w:sz="4" w:space="0"/>
              <w:right w:val="nil"/>
            </w:tcBorders>
            <w:vAlign w:val="top"/>
          </w:tcPr>
          <w:p w14:paraId="6FECA52F">
            <w:pPr>
              <w:spacing w:before="95" w:line="195" w:lineRule="auto"/>
              <w:ind w:left="84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w:t>
            </w:r>
            <w:r>
              <w:rPr>
                <w:rFonts w:ascii="Times New Roman" w:hAnsi="Times New Roman" w:eastAsia="Times New Roman" w:cs="Times New Roman"/>
                <w:sz w:val="20"/>
                <w:szCs w:val="20"/>
              </w:rPr>
              <w:t>7.88</w:t>
            </w:r>
          </w:p>
        </w:tc>
      </w:tr>
      <w:tr w14:paraId="30F087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2130" w:type="dxa"/>
            <w:tcBorders>
              <w:left w:val="nil"/>
              <w:right w:val="single" w:color="000000" w:sz="4" w:space="0"/>
            </w:tcBorders>
            <w:vAlign w:val="top"/>
          </w:tcPr>
          <w:p w14:paraId="1931329A">
            <w:pPr>
              <w:spacing w:before="59" w:line="229" w:lineRule="auto"/>
              <w:ind w:left="868"/>
              <w:rPr>
                <w:rFonts w:ascii="宋体" w:hAnsi="宋体" w:eastAsia="宋体" w:cs="宋体"/>
                <w:sz w:val="20"/>
                <w:szCs w:val="20"/>
              </w:rPr>
            </w:pPr>
            <w:r>
              <w:rPr>
                <w:rFonts w:ascii="宋体" w:hAnsi="宋体" w:eastAsia="宋体" w:cs="宋体"/>
                <w:spacing w:val="2"/>
                <w:sz w:val="20"/>
                <w:szCs w:val="20"/>
              </w:rPr>
              <w:t>总计</w:t>
            </w:r>
          </w:p>
        </w:tc>
        <w:tc>
          <w:tcPr>
            <w:tcW w:w="2130" w:type="dxa"/>
            <w:tcBorders>
              <w:left w:val="single" w:color="000000" w:sz="4" w:space="0"/>
              <w:right w:val="single" w:color="000000" w:sz="4" w:space="0"/>
            </w:tcBorders>
            <w:vAlign w:val="top"/>
          </w:tcPr>
          <w:p w14:paraId="065D5DD8">
            <w:pPr>
              <w:spacing w:before="94" w:line="195" w:lineRule="auto"/>
              <w:ind w:left="81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51</w:t>
            </w:r>
            <w:r>
              <w:rPr>
                <w:rFonts w:ascii="Times New Roman" w:hAnsi="Times New Roman" w:eastAsia="Times New Roman" w:cs="Times New Roman"/>
                <w:spacing w:val="1"/>
                <w:sz w:val="20"/>
                <w:szCs w:val="20"/>
              </w:rPr>
              <w:t>100</w:t>
            </w:r>
          </w:p>
        </w:tc>
        <w:tc>
          <w:tcPr>
            <w:tcW w:w="2130" w:type="dxa"/>
            <w:tcBorders>
              <w:left w:val="single" w:color="000000" w:sz="4" w:space="0"/>
              <w:right w:val="single" w:color="000000" w:sz="4" w:space="0"/>
            </w:tcBorders>
            <w:vAlign w:val="top"/>
          </w:tcPr>
          <w:p w14:paraId="312FBFF0">
            <w:pPr>
              <w:spacing w:before="59" w:line="229" w:lineRule="auto"/>
              <w:ind w:left="863"/>
              <w:rPr>
                <w:rFonts w:ascii="宋体" w:hAnsi="宋体" w:eastAsia="宋体" w:cs="宋体"/>
                <w:sz w:val="20"/>
                <w:szCs w:val="20"/>
              </w:rPr>
            </w:pPr>
            <w:r>
              <w:rPr>
                <w:rFonts w:ascii="宋体" w:hAnsi="宋体" w:eastAsia="宋体" w:cs="宋体"/>
                <w:spacing w:val="2"/>
                <w:sz w:val="20"/>
                <w:szCs w:val="20"/>
              </w:rPr>
              <w:t>总计</w:t>
            </w:r>
          </w:p>
        </w:tc>
        <w:tc>
          <w:tcPr>
            <w:tcW w:w="2132" w:type="dxa"/>
            <w:tcBorders>
              <w:left w:val="single" w:color="000000" w:sz="4" w:space="0"/>
              <w:right w:val="nil"/>
            </w:tcBorders>
            <w:vAlign w:val="top"/>
          </w:tcPr>
          <w:p w14:paraId="020E59AE">
            <w:pPr>
              <w:spacing w:before="94" w:line="195" w:lineRule="auto"/>
              <w:ind w:left="81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51</w:t>
            </w:r>
            <w:r>
              <w:rPr>
                <w:rFonts w:ascii="Times New Roman" w:hAnsi="Times New Roman" w:eastAsia="Times New Roman" w:cs="Times New Roman"/>
                <w:spacing w:val="1"/>
                <w:sz w:val="20"/>
                <w:szCs w:val="20"/>
              </w:rPr>
              <w:t>100</w:t>
            </w:r>
          </w:p>
        </w:tc>
      </w:tr>
    </w:tbl>
    <w:p w14:paraId="4A3F23A4">
      <w:pPr>
        <w:spacing w:before="300" w:line="221" w:lineRule="auto"/>
        <w:ind w:left="112"/>
        <w:outlineLvl w:val="3"/>
        <w:rPr>
          <w:rFonts w:ascii="宋体" w:hAnsi="宋体" w:eastAsia="宋体" w:cs="宋体"/>
          <w:sz w:val="28"/>
          <w:szCs w:val="28"/>
        </w:rPr>
      </w:pPr>
      <w:r>
        <w:rPr>
          <w:rFonts w:ascii="Times New Roman" w:hAnsi="Times New Roman" w:eastAsia="Times New Roman" w:cs="Times New Roman"/>
          <w:b/>
          <w:bCs/>
          <w:spacing w:val="8"/>
          <w:sz w:val="28"/>
          <w:szCs w:val="28"/>
        </w:rPr>
        <w:t>3.2.2.4</w:t>
      </w:r>
      <w:r>
        <w:rPr>
          <w:rFonts w:ascii="Times New Roman" w:hAnsi="Times New Roman" w:eastAsia="Times New Roman" w:cs="Times New Roman"/>
          <w:spacing w:val="8"/>
          <w:sz w:val="28"/>
          <w:szCs w:val="28"/>
        </w:rPr>
        <w:t xml:space="preserve">  </w:t>
      </w:r>
      <w:r>
        <w:rPr>
          <w:rFonts w:ascii="宋体" w:hAnsi="宋体" w:eastAsia="宋体" w:cs="宋体"/>
          <w:spacing w:val="8"/>
          <w:sz w:val="28"/>
          <w:szCs w:val="28"/>
          <w14:textOutline w14:w="5103" w14:cap="sq" w14:cmpd="sng">
            <w14:solidFill>
              <w14:srgbClr w14:val="000000"/>
            </w14:solidFill>
            <w14:prstDash w14:val="solid"/>
            <w14:bevel/>
          </w14:textOutline>
        </w:rPr>
        <w:t>污染源强分</w:t>
      </w:r>
      <w:r>
        <w:rPr>
          <w:rFonts w:ascii="宋体" w:hAnsi="宋体" w:eastAsia="宋体" w:cs="宋体"/>
          <w:spacing w:val="5"/>
          <w:sz w:val="28"/>
          <w:szCs w:val="28"/>
          <w14:textOutline w14:w="5103" w14:cap="sq" w14:cmpd="sng">
            <w14:solidFill>
              <w14:srgbClr w14:val="000000"/>
            </w14:solidFill>
            <w14:prstDash w14:val="solid"/>
            <w14:bevel/>
          </w14:textOutline>
        </w:rPr>
        <w:t>析</w:t>
      </w:r>
    </w:p>
    <w:p w14:paraId="1A3EEC8D">
      <w:pPr>
        <w:spacing w:line="260" w:lineRule="auto"/>
        <w:rPr>
          <w:rFonts w:ascii="Arial"/>
          <w:sz w:val="21"/>
        </w:rPr>
      </w:pPr>
    </w:p>
    <w:p w14:paraId="52A21D4C">
      <w:pPr>
        <w:spacing w:before="75" w:line="228" w:lineRule="auto"/>
        <w:ind w:left="608"/>
        <w:rPr>
          <w:rFonts w:ascii="宋体" w:hAnsi="宋体" w:eastAsia="宋体" w:cs="宋体"/>
          <w:sz w:val="23"/>
          <w:szCs w:val="23"/>
        </w:rPr>
      </w:pPr>
      <w:r>
        <w:rPr>
          <w:rFonts w:ascii="宋体" w:hAnsi="宋体" w:eastAsia="宋体" w:cs="宋体"/>
          <w:spacing w:val="17"/>
          <w:sz w:val="23"/>
          <w:szCs w:val="23"/>
          <w14:textOutline w14:w="4358" w14:cap="sq" w14:cmpd="sng">
            <w14:solidFill>
              <w14:srgbClr w14:val="000000"/>
            </w14:solidFill>
            <w14:prstDash w14:val="solid"/>
            <w14:bevel/>
          </w14:textOutline>
        </w:rPr>
        <w:t>(</w:t>
      </w:r>
      <w:r>
        <w:rPr>
          <w:rFonts w:ascii="Times New Roman" w:hAnsi="Times New Roman" w:eastAsia="Times New Roman" w:cs="Times New Roman"/>
          <w:b/>
          <w:bCs/>
          <w:spacing w:val="17"/>
          <w:sz w:val="23"/>
          <w:szCs w:val="23"/>
        </w:rPr>
        <w:t>1</w:t>
      </w:r>
      <w:r>
        <w:rPr>
          <w:rFonts w:ascii="宋体" w:hAnsi="宋体" w:eastAsia="宋体" w:cs="宋体"/>
          <w:spacing w:val="17"/>
          <w:sz w:val="23"/>
          <w:szCs w:val="23"/>
          <w14:textOutline w14:w="4358" w14:cap="sq" w14:cmpd="sng">
            <w14:solidFill>
              <w14:srgbClr w14:val="000000"/>
            </w14:solidFill>
            <w14:prstDash w14:val="solid"/>
            <w14:bevel/>
          </w14:textOutline>
        </w:rPr>
        <w:t>)</w:t>
      </w:r>
      <w:r>
        <w:rPr>
          <w:rFonts w:ascii="宋体" w:hAnsi="宋体" w:eastAsia="宋体" w:cs="宋体"/>
          <w:spacing w:val="17"/>
          <w:sz w:val="23"/>
          <w:szCs w:val="23"/>
        </w:rPr>
        <w:t xml:space="preserve"> </w:t>
      </w:r>
      <w:r>
        <w:rPr>
          <w:rFonts w:ascii="宋体" w:hAnsi="宋体" w:eastAsia="宋体" w:cs="宋体"/>
          <w:spacing w:val="17"/>
          <w:sz w:val="23"/>
          <w:szCs w:val="23"/>
          <w14:textOutline w14:w="4358" w14:cap="sq" w14:cmpd="sng">
            <w14:solidFill>
              <w14:srgbClr w14:val="000000"/>
            </w14:solidFill>
            <w14:prstDash w14:val="solid"/>
            <w14:bevel/>
          </w14:textOutline>
        </w:rPr>
        <w:t>大气污染物排放分</w:t>
      </w:r>
      <w:r>
        <w:rPr>
          <w:rFonts w:ascii="宋体" w:hAnsi="宋体" w:eastAsia="宋体" w:cs="宋体"/>
          <w:spacing w:val="14"/>
          <w:sz w:val="23"/>
          <w:szCs w:val="23"/>
          <w14:textOutline w14:w="4358" w14:cap="sq" w14:cmpd="sng">
            <w14:solidFill>
              <w14:srgbClr w14:val="000000"/>
            </w14:solidFill>
            <w14:prstDash w14:val="solid"/>
            <w14:bevel/>
          </w14:textOutline>
        </w:rPr>
        <w:t>析</w:t>
      </w:r>
    </w:p>
    <w:p w14:paraId="76D80ABD">
      <w:pPr>
        <w:spacing w:line="275" w:lineRule="auto"/>
        <w:rPr>
          <w:rFonts w:ascii="Arial"/>
          <w:sz w:val="21"/>
        </w:rPr>
      </w:pPr>
    </w:p>
    <w:p w14:paraId="442C744E">
      <w:pPr>
        <w:spacing w:before="76" w:line="393" w:lineRule="auto"/>
        <w:ind w:left="122" w:right="27" w:firstLine="475"/>
        <w:rPr>
          <w:rFonts w:ascii="宋体" w:hAnsi="宋体" w:eastAsia="宋体" w:cs="宋体"/>
          <w:sz w:val="23"/>
          <w:szCs w:val="23"/>
        </w:rPr>
      </w:pPr>
      <w:r>
        <w:rPr>
          <w:rFonts w:ascii="宋体" w:hAnsi="宋体" w:eastAsia="宋体" w:cs="宋体"/>
          <w:spacing w:val="14"/>
          <w:sz w:val="23"/>
          <w:szCs w:val="23"/>
        </w:rPr>
        <w:t>根</w:t>
      </w:r>
      <w:r>
        <w:rPr>
          <w:rFonts w:ascii="宋体" w:hAnsi="宋体" w:eastAsia="宋体" w:cs="宋体"/>
          <w:spacing w:val="11"/>
          <w:sz w:val="23"/>
          <w:szCs w:val="23"/>
        </w:rPr>
        <w:t>据</w:t>
      </w:r>
      <w:r>
        <w:rPr>
          <w:rFonts w:ascii="宋体" w:hAnsi="宋体" w:eastAsia="宋体" w:cs="宋体"/>
          <w:spacing w:val="7"/>
          <w:sz w:val="23"/>
          <w:szCs w:val="23"/>
        </w:rPr>
        <w:t>工程分析，该项目运营期大气污染物主要有分拣工序产生粉尘 (</w:t>
      </w:r>
      <w:r>
        <w:rPr>
          <w:rFonts w:ascii="Times New Roman" w:hAnsi="Times New Roman" w:eastAsia="Times New Roman" w:cs="Times New Roman"/>
          <w:sz w:val="23"/>
          <w:szCs w:val="23"/>
        </w:rPr>
        <w:t>G</w:t>
      </w:r>
      <w:r>
        <w:rPr>
          <w:rFonts w:ascii="Times New Roman" w:hAnsi="Times New Roman" w:eastAsia="Times New Roman" w:cs="Times New Roman"/>
          <w:spacing w:val="7"/>
          <w:sz w:val="23"/>
          <w:szCs w:val="23"/>
        </w:rPr>
        <w:t>1</w:t>
      </w:r>
      <w:r>
        <w:rPr>
          <w:rFonts w:ascii="宋体" w:hAnsi="宋体" w:eastAsia="宋体" w:cs="宋体"/>
          <w:spacing w:val="7"/>
          <w:sz w:val="23"/>
          <w:szCs w:val="23"/>
        </w:rPr>
        <w:t>) 、</w:t>
      </w:r>
      <w:r>
        <w:rPr>
          <w:rFonts w:ascii="宋体" w:hAnsi="宋体" w:eastAsia="宋体" w:cs="宋体"/>
          <w:sz w:val="23"/>
          <w:szCs w:val="23"/>
        </w:rPr>
        <w:t xml:space="preserve"> </w:t>
      </w:r>
      <w:r>
        <w:rPr>
          <w:rFonts w:ascii="宋体" w:hAnsi="宋体" w:eastAsia="宋体" w:cs="宋体"/>
          <w:spacing w:val="6"/>
          <w:sz w:val="23"/>
          <w:szCs w:val="23"/>
        </w:rPr>
        <w:t>热熔、造粒工序产生非甲烷总烃(</w:t>
      </w:r>
      <w:r>
        <w:rPr>
          <w:rFonts w:ascii="Times New Roman" w:hAnsi="Times New Roman" w:eastAsia="Times New Roman" w:cs="Times New Roman"/>
          <w:sz w:val="23"/>
          <w:szCs w:val="23"/>
        </w:rPr>
        <w:t>G</w:t>
      </w:r>
      <w:r>
        <w:rPr>
          <w:rFonts w:ascii="Times New Roman" w:hAnsi="Times New Roman" w:eastAsia="Times New Roman" w:cs="Times New Roman"/>
          <w:spacing w:val="6"/>
          <w:sz w:val="23"/>
          <w:szCs w:val="23"/>
        </w:rPr>
        <w:t>2</w:t>
      </w:r>
      <w:r>
        <w:rPr>
          <w:rFonts w:ascii="宋体" w:hAnsi="宋体" w:eastAsia="宋体" w:cs="宋体"/>
          <w:spacing w:val="6"/>
          <w:sz w:val="23"/>
          <w:szCs w:val="23"/>
        </w:rPr>
        <w:t>)以及洗字工序所用热风炉产生的烟气(</w:t>
      </w:r>
      <w:r>
        <w:rPr>
          <w:rFonts w:ascii="Times New Roman" w:hAnsi="Times New Roman" w:eastAsia="Times New Roman" w:cs="Times New Roman"/>
          <w:sz w:val="23"/>
          <w:szCs w:val="23"/>
        </w:rPr>
        <w:t>G</w:t>
      </w:r>
      <w:r>
        <w:rPr>
          <w:rFonts w:ascii="Times New Roman" w:hAnsi="Times New Roman" w:eastAsia="Times New Roman" w:cs="Times New Roman"/>
          <w:spacing w:val="6"/>
          <w:sz w:val="23"/>
          <w:szCs w:val="23"/>
        </w:rPr>
        <w:t>3</w:t>
      </w:r>
      <w:r>
        <w:rPr>
          <w:rFonts w:ascii="宋体" w:hAnsi="宋体" w:eastAsia="宋体" w:cs="宋体"/>
          <w:spacing w:val="6"/>
          <w:sz w:val="23"/>
          <w:szCs w:val="23"/>
        </w:rPr>
        <w:t>)</w:t>
      </w:r>
      <w:r>
        <w:rPr>
          <w:rFonts w:ascii="宋体" w:hAnsi="宋体" w:eastAsia="宋体" w:cs="宋体"/>
          <w:spacing w:val="4"/>
          <w:sz w:val="23"/>
          <w:szCs w:val="23"/>
        </w:rPr>
        <w:t>。</w:t>
      </w:r>
    </w:p>
    <w:p w14:paraId="3E03B315">
      <w:pPr>
        <w:spacing w:before="136" w:line="225" w:lineRule="auto"/>
        <w:ind w:left="596"/>
        <w:rPr>
          <w:rFonts w:ascii="宋体" w:hAnsi="宋体" w:eastAsia="宋体" w:cs="宋体"/>
          <w:sz w:val="23"/>
          <w:szCs w:val="23"/>
        </w:rPr>
      </w:pPr>
      <w:r>
        <w:rPr>
          <w:rFonts w:ascii="宋体" w:hAnsi="宋体" w:eastAsia="宋体" w:cs="宋体"/>
          <w:spacing w:val="7"/>
          <w:sz w:val="23"/>
          <w:szCs w:val="23"/>
        </w:rPr>
        <w:t>①分拣粉尘 (</w:t>
      </w:r>
      <w:r>
        <w:rPr>
          <w:rFonts w:ascii="Times New Roman" w:hAnsi="Times New Roman" w:eastAsia="Times New Roman" w:cs="Times New Roman"/>
          <w:sz w:val="23"/>
          <w:szCs w:val="23"/>
        </w:rPr>
        <w:t>G</w:t>
      </w:r>
      <w:r>
        <w:rPr>
          <w:rFonts w:ascii="Times New Roman" w:hAnsi="Times New Roman" w:eastAsia="Times New Roman" w:cs="Times New Roman"/>
          <w:spacing w:val="7"/>
          <w:sz w:val="23"/>
          <w:szCs w:val="23"/>
        </w:rPr>
        <w:t>1</w:t>
      </w:r>
      <w:r>
        <w:rPr>
          <w:rFonts w:ascii="宋体" w:hAnsi="宋体" w:eastAsia="宋体" w:cs="宋体"/>
          <w:spacing w:val="7"/>
          <w:sz w:val="23"/>
          <w:szCs w:val="23"/>
        </w:rPr>
        <w:t>)</w:t>
      </w:r>
    </w:p>
    <w:p w14:paraId="3EFB2ED1">
      <w:pPr>
        <w:spacing w:line="280" w:lineRule="auto"/>
        <w:rPr>
          <w:rFonts w:ascii="Arial"/>
          <w:sz w:val="21"/>
        </w:rPr>
      </w:pPr>
    </w:p>
    <w:p w14:paraId="7E660F1C">
      <w:pPr>
        <w:spacing w:before="76" w:line="385" w:lineRule="auto"/>
        <w:ind w:left="116" w:right="25" w:firstLine="484"/>
        <w:rPr>
          <w:rFonts w:ascii="宋体" w:hAnsi="宋体" w:eastAsia="宋体" w:cs="宋体"/>
          <w:sz w:val="23"/>
          <w:szCs w:val="23"/>
        </w:rPr>
      </w:pPr>
      <w:r>
        <w:rPr>
          <w:rFonts w:ascii="宋体" w:hAnsi="宋体" w:eastAsia="宋体" w:cs="宋体"/>
          <w:spacing w:val="10"/>
          <w:sz w:val="23"/>
          <w:szCs w:val="23"/>
        </w:rPr>
        <w:t>该项目原料</w:t>
      </w:r>
      <w:r>
        <w:rPr>
          <w:rFonts w:ascii="宋体" w:hAnsi="宋体" w:eastAsia="宋体" w:cs="宋体"/>
          <w:spacing w:val="9"/>
          <w:sz w:val="23"/>
          <w:szCs w:val="23"/>
        </w:rPr>
        <w:t>库</w:t>
      </w:r>
      <w:r>
        <w:rPr>
          <w:rFonts w:ascii="宋体" w:hAnsi="宋体" w:eastAsia="宋体" w:cs="宋体"/>
          <w:spacing w:val="5"/>
          <w:sz w:val="23"/>
          <w:szCs w:val="23"/>
        </w:rPr>
        <w:t xml:space="preserve">房位于生产厂房东北侧，建筑面积 </w:t>
      </w:r>
      <w:r>
        <w:rPr>
          <w:rFonts w:ascii="Times New Roman" w:hAnsi="Times New Roman" w:eastAsia="Times New Roman" w:cs="Times New Roman"/>
          <w:spacing w:val="5"/>
          <w:sz w:val="23"/>
          <w:szCs w:val="23"/>
        </w:rPr>
        <w:t>200</w:t>
      </w:r>
      <w:r>
        <w:rPr>
          <w:rFonts w:ascii="Times New Roman" w:hAnsi="Times New Roman" w:eastAsia="Times New Roman" w:cs="Times New Roman"/>
          <w:sz w:val="23"/>
          <w:szCs w:val="23"/>
        </w:rPr>
        <w:t>m</w:t>
      </w:r>
      <w:r>
        <w:rPr>
          <w:rFonts w:ascii="Times New Roman" w:hAnsi="Times New Roman" w:eastAsia="Times New Roman" w:cs="Times New Roman"/>
          <w:spacing w:val="5"/>
          <w:position w:val="8"/>
          <w:sz w:val="15"/>
          <w:szCs w:val="15"/>
        </w:rPr>
        <w:t xml:space="preserve">2 </w:t>
      </w:r>
      <w:r>
        <w:rPr>
          <w:rFonts w:ascii="宋体" w:hAnsi="宋体" w:eastAsia="宋体" w:cs="宋体"/>
          <w:spacing w:val="5"/>
          <w:sz w:val="23"/>
          <w:szCs w:val="23"/>
        </w:rPr>
        <w:t xml:space="preserve">，用于存储 </w:t>
      </w:r>
      <w:r>
        <w:rPr>
          <w:rFonts w:ascii="Times New Roman" w:hAnsi="Times New Roman" w:eastAsia="Times New Roman" w:cs="Times New Roman"/>
          <w:spacing w:val="5"/>
          <w:sz w:val="23"/>
          <w:szCs w:val="23"/>
        </w:rPr>
        <w:t xml:space="preserve">10 </w:t>
      </w:r>
      <w:r>
        <w:rPr>
          <w:rFonts w:ascii="宋体" w:hAnsi="宋体" w:eastAsia="宋体" w:cs="宋体"/>
          <w:spacing w:val="5"/>
          <w:sz w:val="23"/>
          <w:szCs w:val="23"/>
        </w:rPr>
        <w:t>条生</w:t>
      </w:r>
      <w:r>
        <w:rPr>
          <w:rFonts w:ascii="宋体" w:hAnsi="宋体" w:eastAsia="宋体" w:cs="宋体"/>
          <w:sz w:val="23"/>
          <w:szCs w:val="23"/>
        </w:rPr>
        <w:t xml:space="preserve"> </w:t>
      </w:r>
      <w:r>
        <w:rPr>
          <w:rFonts w:ascii="宋体" w:hAnsi="宋体" w:eastAsia="宋体" w:cs="宋体"/>
          <w:spacing w:val="-1"/>
          <w:sz w:val="23"/>
          <w:szCs w:val="23"/>
        </w:rPr>
        <w:t>产线所用原料 (废旧塑料编织袋) ，堆存量</w:t>
      </w:r>
      <w:r>
        <w:rPr>
          <w:rFonts w:ascii="宋体" w:hAnsi="宋体" w:eastAsia="宋体" w:cs="宋体"/>
          <w:sz w:val="23"/>
          <w:szCs w:val="23"/>
        </w:rPr>
        <w:t xml:space="preserve">为 </w:t>
      </w:r>
      <w:r>
        <w:rPr>
          <w:rFonts w:ascii="Times New Roman" w:hAnsi="Times New Roman" w:eastAsia="Times New Roman" w:cs="Times New Roman"/>
          <w:sz w:val="23"/>
          <w:szCs w:val="23"/>
        </w:rPr>
        <w:t xml:space="preserve">400t </w:t>
      </w:r>
      <w:r>
        <w:rPr>
          <w:rFonts w:ascii="宋体" w:hAnsi="宋体" w:eastAsia="宋体" w:cs="宋体"/>
          <w:sz w:val="23"/>
          <w:szCs w:val="23"/>
        </w:rPr>
        <w:t xml:space="preserve">，可供 </w:t>
      </w:r>
      <w:r>
        <w:rPr>
          <w:rFonts w:ascii="Times New Roman" w:hAnsi="Times New Roman" w:eastAsia="Times New Roman" w:cs="Times New Roman"/>
          <w:sz w:val="23"/>
          <w:szCs w:val="23"/>
        </w:rPr>
        <w:t xml:space="preserve">10 </w:t>
      </w:r>
      <w:r>
        <w:rPr>
          <w:rFonts w:ascii="宋体" w:hAnsi="宋体" w:eastAsia="宋体" w:cs="宋体"/>
          <w:sz w:val="23"/>
          <w:szCs w:val="23"/>
        </w:rPr>
        <w:t xml:space="preserve">条生产线生产 </w:t>
      </w:r>
      <w:r>
        <w:rPr>
          <w:rFonts w:ascii="Times New Roman" w:hAnsi="Times New Roman" w:eastAsia="Times New Roman" w:cs="Times New Roman"/>
          <w:sz w:val="23"/>
          <w:szCs w:val="23"/>
        </w:rPr>
        <w:t xml:space="preserve">2 </w:t>
      </w:r>
      <w:r>
        <w:rPr>
          <w:rFonts w:ascii="宋体" w:hAnsi="宋体" w:eastAsia="宋体" w:cs="宋体"/>
          <w:sz w:val="23"/>
          <w:szCs w:val="23"/>
        </w:rPr>
        <w:t xml:space="preserve">天。 </w:t>
      </w:r>
      <w:r>
        <w:rPr>
          <w:rFonts w:ascii="宋体" w:hAnsi="宋体" w:eastAsia="宋体" w:cs="宋体"/>
          <w:spacing w:val="10"/>
          <w:sz w:val="23"/>
          <w:szCs w:val="23"/>
        </w:rPr>
        <w:t>项</w:t>
      </w:r>
      <w:r>
        <w:rPr>
          <w:rFonts w:ascii="宋体" w:hAnsi="宋体" w:eastAsia="宋体" w:cs="宋体"/>
          <w:spacing w:val="7"/>
          <w:sz w:val="23"/>
          <w:szCs w:val="23"/>
        </w:rPr>
        <w:t>目所用原料为废塑料编织袋，均外购于本溪宏远集团北台再生资源有限责任公</w:t>
      </w:r>
      <w:r>
        <w:rPr>
          <w:rFonts w:ascii="宋体" w:hAnsi="宋体" w:eastAsia="宋体" w:cs="宋体"/>
          <w:sz w:val="23"/>
          <w:szCs w:val="23"/>
        </w:rPr>
        <w:t xml:space="preserve"> </w:t>
      </w:r>
      <w:r>
        <w:rPr>
          <w:rFonts w:ascii="宋体" w:hAnsi="宋体" w:eastAsia="宋体" w:cs="宋体"/>
          <w:spacing w:val="9"/>
          <w:sz w:val="23"/>
          <w:szCs w:val="23"/>
        </w:rPr>
        <w:t>司</w:t>
      </w:r>
      <w:r>
        <w:rPr>
          <w:rFonts w:ascii="宋体" w:hAnsi="宋体" w:eastAsia="宋体" w:cs="宋体"/>
          <w:spacing w:val="7"/>
          <w:sz w:val="23"/>
          <w:szCs w:val="23"/>
        </w:rPr>
        <w:t>及平山区利安建材城，为本溪宏远集团北台再生资源有限责任公司收购北台钢</w:t>
      </w:r>
      <w:r>
        <w:rPr>
          <w:rFonts w:ascii="宋体" w:hAnsi="宋体" w:eastAsia="宋体" w:cs="宋体"/>
          <w:sz w:val="23"/>
          <w:szCs w:val="23"/>
        </w:rPr>
        <w:t xml:space="preserve"> </w:t>
      </w:r>
      <w:r>
        <w:rPr>
          <w:rFonts w:ascii="宋体" w:hAnsi="宋体" w:eastAsia="宋体" w:cs="宋体"/>
          <w:spacing w:val="12"/>
          <w:sz w:val="23"/>
          <w:szCs w:val="23"/>
        </w:rPr>
        <w:t>铁 (集</w:t>
      </w:r>
      <w:r>
        <w:rPr>
          <w:rFonts w:ascii="宋体" w:hAnsi="宋体" w:eastAsia="宋体" w:cs="宋体"/>
          <w:spacing w:val="7"/>
          <w:sz w:val="23"/>
          <w:szCs w:val="23"/>
        </w:rPr>
        <w:t>团</w:t>
      </w:r>
      <w:r>
        <w:rPr>
          <w:rFonts w:ascii="宋体" w:hAnsi="宋体" w:eastAsia="宋体" w:cs="宋体"/>
          <w:spacing w:val="6"/>
          <w:sz w:val="23"/>
          <w:szCs w:val="23"/>
        </w:rPr>
        <w:t>) 有限责任公司所用原料合金铁及铝锭的废包装袋及平山区利安建材城</w:t>
      </w:r>
    </w:p>
    <w:p w14:paraId="18B3C872">
      <w:pPr>
        <w:sectPr>
          <w:footerReference r:id="rId122" w:type="default"/>
          <w:pgSz w:w="11906" w:h="16839"/>
          <w:pgMar w:top="1132" w:right="1691" w:bottom="1182" w:left="1691" w:header="878" w:footer="1022" w:gutter="0"/>
          <w:cols w:space="720" w:num="1"/>
        </w:sectPr>
      </w:pPr>
    </w:p>
    <w:p w14:paraId="352AAC4D">
      <w:pPr>
        <w:spacing w:line="407" w:lineRule="auto"/>
        <w:rPr>
          <w:rFonts w:ascii="Arial"/>
          <w:sz w:val="21"/>
        </w:rPr>
      </w:pPr>
      <w:r>
        <w:pict>
          <v:shape id="_x0000_s1172" o:spid="_x0000_s1172" style="position:absolute;left:0pt;margin-left:90pt;margin-top:57.35pt;height:0.75pt;width:415.3pt;mso-position-horizontal-relative:page;mso-position-vertical-relative:page;z-index:251810816;mso-width-relative:page;mso-height-relative:page;" fillcolor="#000000" filled="t" stroked="f" coordsize="8305,15" o:allowincell="f" path="m0,0l8305,0,8305,14,0,14,0,0xe">
            <v:path/>
            <v:fill on="t" focussize="0,0"/>
            <v:stroke on="f"/>
            <v:imagedata o:title=""/>
            <o:lock v:ext="edit"/>
          </v:shape>
        </w:pict>
      </w:r>
    </w:p>
    <w:p w14:paraId="7B885ADD">
      <w:pPr>
        <w:spacing w:before="75" w:line="391" w:lineRule="auto"/>
        <w:ind w:left="25" w:right="35" w:hanging="2"/>
        <w:rPr>
          <w:rFonts w:ascii="宋体" w:hAnsi="宋体" w:eastAsia="宋体" w:cs="宋体"/>
          <w:sz w:val="23"/>
          <w:szCs w:val="23"/>
        </w:rPr>
      </w:pPr>
      <w:r>
        <w:rPr>
          <w:rFonts w:ascii="宋体" w:hAnsi="宋体" w:eastAsia="宋体" w:cs="宋体"/>
          <w:spacing w:val="9"/>
          <w:sz w:val="23"/>
          <w:szCs w:val="23"/>
        </w:rPr>
        <w:t>所</w:t>
      </w:r>
      <w:r>
        <w:rPr>
          <w:rFonts w:ascii="宋体" w:hAnsi="宋体" w:eastAsia="宋体" w:cs="宋体"/>
          <w:spacing w:val="7"/>
          <w:sz w:val="23"/>
          <w:szCs w:val="23"/>
        </w:rPr>
        <w:t>销售砂子的废包装袋，主要成分为聚乙烯、聚丙烯。购进的原料已经经过初步</w:t>
      </w:r>
      <w:r>
        <w:rPr>
          <w:rFonts w:ascii="宋体" w:hAnsi="宋体" w:eastAsia="宋体" w:cs="宋体"/>
          <w:sz w:val="23"/>
          <w:szCs w:val="23"/>
        </w:rPr>
        <w:t xml:space="preserve"> </w:t>
      </w:r>
      <w:r>
        <w:rPr>
          <w:rFonts w:ascii="宋体" w:hAnsi="宋体" w:eastAsia="宋体" w:cs="宋体"/>
          <w:spacing w:val="7"/>
          <w:sz w:val="23"/>
          <w:szCs w:val="23"/>
        </w:rPr>
        <w:t>的分选，为了保证产品质量，外购的废旧塑料编织袋投入生产之前需要进一步</w:t>
      </w:r>
      <w:r>
        <w:rPr>
          <w:rFonts w:ascii="宋体" w:hAnsi="宋体" w:eastAsia="宋体" w:cs="宋体"/>
          <w:spacing w:val="6"/>
          <w:sz w:val="23"/>
          <w:szCs w:val="23"/>
        </w:rPr>
        <w:t>人</w:t>
      </w:r>
      <w:r>
        <w:rPr>
          <w:rFonts w:ascii="宋体" w:hAnsi="宋体" w:eastAsia="宋体" w:cs="宋体"/>
          <w:sz w:val="23"/>
          <w:szCs w:val="23"/>
        </w:rPr>
        <w:t xml:space="preserve"> </w:t>
      </w:r>
      <w:r>
        <w:rPr>
          <w:rFonts w:ascii="宋体" w:hAnsi="宋体" w:eastAsia="宋体" w:cs="宋体"/>
          <w:spacing w:val="5"/>
          <w:sz w:val="23"/>
          <w:szCs w:val="23"/>
        </w:rPr>
        <w:t>工</w:t>
      </w:r>
      <w:r>
        <w:rPr>
          <w:rFonts w:ascii="宋体" w:hAnsi="宋体" w:eastAsia="宋体" w:cs="宋体"/>
          <w:spacing w:val="4"/>
          <w:sz w:val="23"/>
          <w:szCs w:val="23"/>
        </w:rPr>
        <w:t>分选。</w:t>
      </w:r>
    </w:p>
    <w:p w14:paraId="2063A07E">
      <w:pPr>
        <w:spacing w:before="136" w:line="385" w:lineRule="auto"/>
        <w:ind w:left="25" w:right="35" w:firstLine="481"/>
        <w:rPr>
          <w:rFonts w:ascii="宋体" w:hAnsi="宋体" w:eastAsia="宋体" w:cs="宋体"/>
          <w:sz w:val="23"/>
          <w:szCs w:val="23"/>
        </w:rPr>
      </w:pPr>
      <w:r>
        <w:rPr>
          <w:rFonts w:ascii="宋体" w:hAnsi="宋体" w:eastAsia="宋体" w:cs="宋体"/>
          <w:spacing w:val="12"/>
          <w:sz w:val="23"/>
          <w:szCs w:val="23"/>
        </w:rPr>
        <w:t>项目所用</w:t>
      </w:r>
      <w:r>
        <w:rPr>
          <w:rFonts w:ascii="宋体" w:hAnsi="宋体" w:eastAsia="宋体" w:cs="宋体"/>
          <w:spacing w:val="7"/>
          <w:sz w:val="23"/>
          <w:szCs w:val="23"/>
        </w:rPr>
        <w:t>原</w:t>
      </w:r>
      <w:r>
        <w:rPr>
          <w:rFonts w:ascii="宋体" w:hAnsi="宋体" w:eastAsia="宋体" w:cs="宋体"/>
          <w:spacing w:val="6"/>
          <w:sz w:val="23"/>
          <w:szCs w:val="23"/>
        </w:rPr>
        <w:t>料在原料库进行人工分拣作业，将废旧编织袋中的杂质去除，并</w:t>
      </w:r>
      <w:r>
        <w:rPr>
          <w:rFonts w:ascii="宋体" w:hAnsi="宋体" w:eastAsia="宋体" w:cs="宋体"/>
          <w:sz w:val="23"/>
          <w:szCs w:val="23"/>
        </w:rPr>
        <w:t xml:space="preserve"> </w:t>
      </w:r>
      <w:r>
        <w:rPr>
          <w:rFonts w:ascii="宋体" w:hAnsi="宋体" w:eastAsia="宋体" w:cs="宋体"/>
          <w:spacing w:val="7"/>
          <w:sz w:val="23"/>
          <w:szCs w:val="23"/>
        </w:rPr>
        <w:t>按照塑料种类、颜色分开存放。因为分拣作业为人工分拣，粉尘产生量很少，类</w:t>
      </w:r>
      <w:r>
        <w:rPr>
          <w:rFonts w:ascii="宋体" w:hAnsi="宋体" w:eastAsia="宋体" w:cs="宋体"/>
          <w:sz w:val="23"/>
          <w:szCs w:val="23"/>
        </w:rPr>
        <w:t xml:space="preserve"> </w:t>
      </w:r>
      <w:r>
        <w:rPr>
          <w:rFonts w:ascii="宋体" w:hAnsi="宋体" w:eastAsia="宋体" w:cs="宋体"/>
          <w:spacing w:val="14"/>
          <w:sz w:val="23"/>
          <w:szCs w:val="23"/>
        </w:rPr>
        <w:t>比《安徽福茂再生资源循环科技有限公司废旧塑料再制成品项目环境影响报</w:t>
      </w:r>
      <w:r>
        <w:rPr>
          <w:rFonts w:ascii="宋体" w:hAnsi="宋体" w:eastAsia="宋体" w:cs="宋体"/>
          <w:spacing w:val="12"/>
          <w:sz w:val="23"/>
          <w:szCs w:val="23"/>
        </w:rPr>
        <w:t>告</w:t>
      </w:r>
    </w:p>
    <w:p w14:paraId="3B541412">
      <w:pPr>
        <w:spacing w:line="226" w:lineRule="auto"/>
        <w:ind w:left="28"/>
        <w:rPr>
          <w:rFonts w:ascii="宋体" w:hAnsi="宋体" w:eastAsia="宋体" w:cs="宋体"/>
          <w:sz w:val="23"/>
          <w:szCs w:val="23"/>
        </w:rPr>
      </w:pPr>
      <w:r>
        <w:rPr>
          <w:rFonts w:ascii="宋体" w:hAnsi="宋体" w:eastAsia="宋体" w:cs="宋体"/>
          <w:spacing w:val="12"/>
          <w:sz w:val="23"/>
          <w:szCs w:val="23"/>
        </w:rPr>
        <w:t xml:space="preserve">书》 </w:t>
      </w:r>
      <w:r>
        <w:rPr>
          <w:rFonts w:ascii="宋体" w:hAnsi="宋体" w:eastAsia="宋体" w:cs="宋体"/>
          <w:spacing w:val="8"/>
          <w:sz w:val="23"/>
          <w:szCs w:val="23"/>
        </w:rPr>
        <w:t>(</w:t>
      </w:r>
      <w:r>
        <w:rPr>
          <w:rFonts w:ascii="宋体" w:hAnsi="宋体" w:eastAsia="宋体" w:cs="宋体"/>
          <w:spacing w:val="6"/>
          <w:sz w:val="23"/>
          <w:szCs w:val="23"/>
        </w:rPr>
        <w:t>类比项目与本项目原材料、产量、工艺均基本相同) 污染物产生及物料衡</w:t>
      </w:r>
    </w:p>
    <w:p w14:paraId="0F054D4D">
      <w:pPr>
        <w:spacing w:before="154" w:line="386" w:lineRule="auto"/>
        <w:ind w:left="24" w:right="32"/>
        <w:rPr>
          <w:rFonts w:ascii="宋体" w:hAnsi="宋体" w:eastAsia="宋体" w:cs="宋体"/>
          <w:sz w:val="23"/>
          <w:szCs w:val="23"/>
        </w:rPr>
      </w:pPr>
      <w:r>
        <w:rPr>
          <w:rFonts w:ascii="宋体" w:hAnsi="宋体" w:eastAsia="宋体" w:cs="宋体"/>
          <w:spacing w:val="10"/>
          <w:sz w:val="23"/>
          <w:szCs w:val="23"/>
        </w:rPr>
        <w:t>算情况</w:t>
      </w:r>
      <w:r>
        <w:rPr>
          <w:rFonts w:ascii="宋体" w:hAnsi="宋体" w:eastAsia="宋体" w:cs="宋体"/>
          <w:spacing w:val="8"/>
          <w:sz w:val="23"/>
          <w:szCs w:val="23"/>
        </w:rPr>
        <w:t>可</w:t>
      </w:r>
      <w:r>
        <w:rPr>
          <w:rFonts w:ascii="宋体" w:hAnsi="宋体" w:eastAsia="宋体" w:cs="宋体"/>
          <w:spacing w:val="5"/>
          <w:sz w:val="23"/>
          <w:szCs w:val="23"/>
        </w:rPr>
        <w:t xml:space="preserve">知，粉尘量按原料的 </w:t>
      </w:r>
      <w:r>
        <w:rPr>
          <w:rFonts w:ascii="Times New Roman" w:hAnsi="Times New Roman" w:eastAsia="Times New Roman" w:cs="Times New Roman"/>
          <w:spacing w:val="5"/>
          <w:sz w:val="23"/>
          <w:szCs w:val="23"/>
        </w:rPr>
        <w:t>0.002%</w:t>
      </w:r>
      <w:r>
        <w:rPr>
          <w:rFonts w:ascii="宋体" w:hAnsi="宋体" w:eastAsia="宋体" w:cs="宋体"/>
          <w:spacing w:val="5"/>
          <w:sz w:val="23"/>
          <w:szCs w:val="23"/>
        </w:rPr>
        <w:t xml:space="preserve">计，则粉尘无组织排放量为 </w:t>
      </w:r>
      <w:r>
        <w:rPr>
          <w:rFonts w:ascii="Times New Roman" w:hAnsi="Times New Roman" w:eastAsia="Times New Roman" w:cs="Times New Roman"/>
          <w:spacing w:val="5"/>
          <w:sz w:val="23"/>
          <w:szCs w:val="23"/>
        </w:rPr>
        <w:t>1.02</w:t>
      </w:r>
      <w:r>
        <w:rPr>
          <w:rFonts w:ascii="Times New Roman" w:hAnsi="Times New Roman" w:eastAsia="Times New Roman" w:cs="Times New Roman"/>
          <w:sz w:val="23"/>
          <w:szCs w:val="23"/>
        </w:rPr>
        <w:t>t</w:t>
      </w:r>
      <w:r>
        <w:rPr>
          <w:rFonts w:ascii="Times New Roman" w:hAnsi="Times New Roman" w:eastAsia="Times New Roman" w:cs="Times New Roman"/>
          <w:spacing w:val="5"/>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rPr>
        <w:t>，分拣</w:t>
      </w:r>
      <w:r>
        <w:rPr>
          <w:rFonts w:ascii="宋体" w:hAnsi="宋体" w:eastAsia="宋体" w:cs="宋体"/>
          <w:sz w:val="23"/>
          <w:szCs w:val="23"/>
        </w:rPr>
        <w:t xml:space="preserve"> </w:t>
      </w:r>
      <w:r>
        <w:rPr>
          <w:rFonts w:ascii="宋体" w:hAnsi="宋体" w:eastAsia="宋体" w:cs="宋体"/>
          <w:spacing w:val="-2"/>
          <w:sz w:val="23"/>
          <w:szCs w:val="23"/>
        </w:rPr>
        <w:t>年工作时间</w:t>
      </w:r>
      <w:r>
        <w:rPr>
          <w:rFonts w:ascii="宋体" w:hAnsi="宋体" w:eastAsia="宋体" w:cs="宋体"/>
          <w:spacing w:val="-1"/>
          <w:sz w:val="23"/>
          <w:szCs w:val="23"/>
        </w:rPr>
        <w:t xml:space="preserve">为 </w:t>
      </w:r>
      <w:r>
        <w:rPr>
          <w:rFonts w:ascii="Times New Roman" w:hAnsi="Times New Roman" w:eastAsia="Times New Roman" w:cs="Times New Roman"/>
          <w:spacing w:val="-1"/>
          <w:sz w:val="23"/>
          <w:szCs w:val="23"/>
        </w:rPr>
        <w:t xml:space="preserve">7200h </w:t>
      </w:r>
      <w:r>
        <w:rPr>
          <w:rFonts w:ascii="宋体" w:hAnsi="宋体" w:eastAsia="宋体" w:cs="宋体"/>
          <w:spacing w:val="-1"/>
          <w:sz w:val="23"/>
          <w:szCs w:val="23"/>
        </w:rPr>
        <w:t xml:space="preserve">，粉尘排放速率为 </w:t>
      </w:r>
      <w:r>
        <w:rPr>
          <w:rFonts w:ascii="Times New Roman" w:hAnsi="Times New Roman" w:eastAsia="Times New Roman" w:cs="Times New Roman"/>
          <w:spacing w:val="-1"/>
          <w:sz w:val="23"/>
          <w:szCs w:val="23"/>
        </w:rPr>
        <w:t>0. 14kg/h</w:t>
      </w:r>
      <w:r>
        <w:rPr>
          <w:rFonts w:ascii="宋体" w:hAnsi="宋体" w:eastAsia="宋体" w:cs="宋体"/>
          <w:spacing w:val="-1"/>
          <w:sz w:val="23"/>
          <w:szCs w:val="23"/>
        </w:rPr>
        <w:t>。</w:t>
      </w:r>
    </w:p>
    <w:p w14:paraId="160AE9DB">
      <w:pPr>
        <w:spacing w:before="200" w:line="388" w:lineRule="auto"/>
        <w:ind w:left="23" w:right="35" w:firstLine="480"/>
        <w:rPr>
          <w:rFonts w:ascii="宋体" w:hAnsi="宋体" w:eastAsia="宋体" w:cs="宋体"/>
          <w:sz w:val="23"/>
          <w:szCs w:val="23"/>
        </w:rPr>
      </w:pPr>
      <w:r>
        <w:rPr>
          <w:rFonts w:ascii="宋体" w:hAnsi="宋体" w:eastAsia="宋体" w:cs="宋体"/>
          <w:spacing w:val="7"/>
          <w:sz w:val="23"/>
          <w:szCs w:val="23"/>
        </w:rPr>
        <w:t>根据对这类粉尘的分析可知，此类粉尘粒径较小，在人工分拣时产生的粉</w:t>
      </w:r>
      <w:r>
        <w:rPr>
          <w:rFonts w:ascii="宋体" w:hAnsi="宋体" w:eastAsia="宋体" w:cs="宋体"/>
          <w:spacing w:val="3"/>
          <w:sz w:val="23"/>
          <w:szCs w:val="23"/>
        </w:rPr>
        <w:t>尘</w:t>
      </w:r>
      <w:r>
        <w:rPr>
          <w:rFonts w:ascii="宋体" w:hAnsi="宋体" w:eastAsia="宋体" w:cs="宋体"/>
          <w:sz w:val="23"/>
          <w:szCs w:val="23"/>
        </w:rPr>
        <w:t xml:space="preserve"> </w:t>
      </w:r>
      <w:r>
        <w:rPr>
          <w:rFonts w:ascii="宋体" w:hAnsi="宋体" w:eastAsia="宋体" w:cs="宋体"/>
          <w:spacing w:val="9"/>
          <w:sz w:val="23"/>
          <w:szCs w:val="23"/>
        </w:rPr>
        <w:t>极</w:t>
      </w:r>
      <w:r>
        <w:rPr>
          <w:rFonts w:ascii="宋体" w:hAnsi="宋体" w:eastAsia="宋体" w:cs="宋体"/>
          <w:spacing w:val="7"/>
          <w:sz w:val="23"/>
          <w:szCs w:val="23"/>
        </w:rPr>
        <w:t>易刺激皮肤引起皮炎，进入眼内引起结膜炎、角膜炎，对员工身体健康影响较</w:t>
      </w:r>
      <w:r>
        <w:rPr>
          <w:rFonts w:ascii="宋体" w:hAnsi="宋体" w:eastAsia="宋体" w:cs="宋体"/>
          <w:sz w:val="23"/>
          <w:szCs w:val="23"/>
        </w:rPr>
        <w:t xml:space="preserve"> </w:t>
      </w:r>
      <w:r>
        <w:rPr>
          <w:rFonts w:ascii="宋体" w:hAnsi="宋体" w:eastAsia="宋体" w:cs="宋体"/>
          <w:spacing w:val="9"/>
          <w:sz w:val="23"/>
          <w:szCs w:val="23"/>
        </w:rPr>
        <w:t>大</w:t>
      </w:r>
      <w:r>
        <w:rPr>
          <w:rFonts w:ascii="宋体" w:hAnsi="宋体" w:eastAsia="宋体" w:cs="宋体"/>
          <w:spacing w:val="7"/>
          <w:sz w:val="23"/>
          <w:szCs w:val="23"/>
        </w:rPr>
        <w:t>，此类粉尘较难收集处理，其主要影响是对工作员工的影响，评价要求建设单</w:t>
      </w:r>
      <w:r>
        <w:rPr>
          <w:rFonts w:ascii="宋体" w:hAnsi="宋体" w:eastAsia="宋体" w:cs="宋体"/>
          <w:sz w:val="23"/>
          <w:szCs w:val="23"/>
        </w:rPr>
        <w:t xml:space="preserve"> </w:t>
      </w:r>
      <w:r>
        <w:rPr>
          <w:rFonts w:ascii="宋体" w:hAnsi="宋体" w:eastAsia="宋体" w:cs="宋体"/>
          <w:spacing w:val="9"/>
          <w:sz w:val="23"/>
          <w:szCs w:val="23"/>
        </w:rPr>
        <w:t>位</w:t>
      </w:r>
      <w:r>
        <w:rPr>
          <w:rFonts w:ascii="宋体" w:hAnsi="宋体" w:eastAsia="宋体" w:cs="宋体"/>
          <w:spacing w:val="7"/>
          <w:sz w:val="23"/>
          <w:szCs w:val="23"/>
        </w:rPr>
        <w:t>加强人工分拣及运输过程中劳动人员的个人防护，如配发防尘口罩及防护服等</w:t>
      </w:r>
      <w:r>
        <w:rPr>
          <w:rFonts w:ascii="宋体" w:hAnsi="宋体" w:eastAsia="宋体" w:cs="宋体"/>
          <w:sz w:val="23"/>
          <w:szCs w:val="23"/>
        </w:rPr>
        <w:t xml:space="preserve"> </w:t>
      </w:r>
      <w:r>
        <w:rPr>
          <w:rFonts w:ascii="宋体" w:hAnsi="宋体" w:eastAsia="宋体" w:cs="宋体"/>
          <w:spacing w:val="16"/>
          <w:sz w:val="23"/>
          <w:szCs w:val="23"/>
        </w:rPr>
        <w:t>以</w:t>
      </w:r>
      <w:r>
        <w:rPr>
          <w:rFonts w:ascii="宋体" w:hAnsi="宋体" w:eastAsia="宋体" w:cs="宋体"/>
          <w:spacing w:val="12"/>
          <w:sz w:val="23"/>
          <w:szCs w:val="23"/>
        </w:rPr>
        <w:t>降</w:t>
      </w:r>
      <w:r>
        <w:rPr>
          <w:rFonts w:ascii="宋体" w:hAnsi="宋体" w:eastAsia="宋体" w:cs="宋体"/>
          <w:spacing w:val="8"/>
          <w:sz w:val="23"/>
          <w:szCs w:val="23"/>
        </w:rPr>
        <w:t>低此类粉尘对工作员工的影响。</w:t>
      </w:r>
    </w:p>
    <w:p w14:paraId="530C2858">
      <w:pPr>
        <w:spacing w:before="137" w:line="225" w:lineRule="auto"/>
        <w:ind w:left="501"/>
        <w:rPr>
          <w:rFonts w:ascii="宋体" w:hAnsi="宋体" w:eastAsia="宋体" w:cs="宋体"/>
          <w:sz w:val="23"/>
          <w:szCs w:val="23"/>
        </w:rPr>
      </w:pPr>
      <w:r>
        <w:rPr>
          <w:rFonts w:ascii="宋体" w:hAnsi="宋体" w:eastAsia="宋体" w:cs="宋体"/>
          <w:spacing w:val="12"/>
          <w:sz w:val="23"/>
          <w:szCs w:val="23"/>
        </w:rPr>
        <w:t>②</w:t>
      </w:r>
      <w:r>
        <w:rPr>
          <w:rFonts w:ascii="宋体" w:hAnsi="宋体" w:eastAsia="宋体" w:cs="宋体"/>
          <w:spacing w:val="8"/>
          <w:sz w:val="23"/>
          <w:szCs w:val="23"/>
        </w:rPr>
        <w:t>非甲烷总烃</w:t>
      </w:r>
    </w:p>
    <w:p w14:paraId="66AF2268">
      <w:pPr>
        <w:spacing w:line="280" w:lineRule="auto"/>
        <w:rPr>
          <w:rFonts w:ascii="Arial"/>
          <w:sz w:val="21"/>
        </w:rPr>
      </w:pPr>
    </w:p>
    <w:p w14:paraId="4CE473D6">
      <w:pPr>
        <w:spacing w:before="75" w:line="386" w:lineRule="auto"/>
        <w:ind w:left="22" w:firstLine="484"/>
        <w:rPr>
          <w:rFonts w:ascii="宋体" w:hAnsi="宋体" w:eastAsia="宋体" w:cs="宋体"/>
          <w:sz w:val="23"/>
          <w:szCs w:val="23"/>
        </w:rPr>
      </w:pPr>
      <w:r>
        <w:rPr>
          <w:rFonts w:ascii="宋体" w:hAnsi="宋体" w:eastAsia="宋体" w:cs="宋体"/>
          <w:spacing w:val="12"/>
          <w:sz w:val="23"/>
          <w:szCs w:val="23"/>
        </w:rPr>
        <w:t>项目所用</w:t>
      </w:r>
      <w:r>
        <w:rPr>
          <w:rFonts w:ascii="宋体" w:hAnsi="宋体" w:eastAsia="宋体" w:cs="宋体"/>
          <w:spacing w:val="7"/>
          <w:sz w:val="23"/>
          <w:szCs w:val="23"/>
        </w:rPr>
        <w:t>原</w:t>
      </w:r>
      <w:r>
        <w:rPr>
          <w:rFonts w:ascii="宋体" w:hAnsi="宋体" w:eastAsia="宋体" w:cs="宋体"/>
          <w:spacing w:val="6"/>
          <w:sz w:val="23"/>
          <w:szCs w:val="23"/>
        </w:rPr>
        <w:t>料为废塑料编织袋，均外购于本溪宏远集团北台再生资源有限责</w:t>
      </w:r>
      <w:r>
        <w:rPr>
          <w:rFonts w:ascii="宋体" w:hAnsi="宋体" w:eastAsia="宋体" w:cs="宋体"/>
          <w:sz w:val="23"/>
          <w:szCs w:val="23"/>
        </w:rPr>
        <w:t xml:space="preserve"> </w:t>
      </w:r>
      <w:r>
        <w:rPr>
          <w:rFonts w:ascii="宋体" w:hAnsi="宋体" w:eastAsia="宋体" w:cs="宋体"/>
          <w:spacing w:val="9"/>
          <w:sz w:val="23"/>
          <w:szCs w:val="23"/>
        </w:rPr>
        <w:t>任</w:t>
      </w:r>
      <w:r>
        <w:rPr>
          <w:rFonts w:ascii="宋体" w:hAnsi="宋体" w:eastAsia="宋体" w:cs="宋体"/>
          <w:spacing w:val="7"/>
          <w:sz w:val="23"/>
          <w:szCs w:val="23"/>
        </w:rPr>
        <w:t>公司及平山区利安建材城，为本溪宏远集团北台再生资源有限责任公司收购北</w:t>
      </w:r>
      <w:r>
        <w:rPr>
          <w:rFonts w:ascii="宋体" w:hAnsi="宋体" w:eastAsia="宋体" w:cs="宋体"/>
          <w:sz w:val="23"/>
          <w:szCs w:val="23"/>
        </w:rPr>
        <w:t xml:space="preserve"> </w:t>
      </w:r>
      <w:r>
        <w:rPr>
          <w:rFonts w:ascii="宋体" w:hAnsi="宋体" w:eastAsia="宋体" w:cs="宋体"/>
          <w:spacing w:val="12"/>
          <w:sz w:val="23"/>
          <w:szCs w:val="23"/>
        </w:rPr>
        <w:t xml:space="preserve">台钢铁 </w:t>
      </w:r>
      <w:r>
        <w:rPr>
          <w:rFonts w:ascii="宋体" w:hAnsi="宋体" w:eastAsia="宋体" w:cs="宋体"/>
          <w:spacing w:val="7"/>
          <w:sz w:val="23"/>
          <w:szCs w:val="23"/>
        </w:rPr>
        <w:t>(</w:t>
      </w:r>
      <w:r>
        <w:rPr>
          <w:rFonts w:ascii="宋体" w:hAnsi="宋体" w:eastAsia="宋体" w:cs="宋体"/>
          <w:spacing w:val="6"/>
          <w:sz w:val="23"/>
          <w:szCs w:val="23"/>
        </w:rPr>
        <w:t>集团) 有限责任公司所用原料合金铁及铝锭的废包装袋及平山区利安建</w:t>
      </w:r>
      <w:r>
        <w:rPr>
          <w:rFonts w:ascii="宋体" w:hAnsi="宋体" w:eastAsia="宋体" w:cs="宋体"/>
          <w:sz w:val="23"/>
          <w:szCs w:val="23"/>
        </w:rPr>
        <w:t xml:space="preserve"> </w:t>
      </w:r>
      <w:r>
        <w:rPr>
          <w:rFonts w:ascii="宋体" w:hAnsi="宋体" w:eastAsia="宋体" w:cs="宋体"/>
          <w:spacing w:val="7"/>
          <w:sz w:val="23"/>
          <w:szCs w:val="23"/>
        </w:rPr>
        <w:t>材</w:t>
      </w:r>
      <w:r>
        <w:rPr>
          <w:rFonts w:ascii="宋体" w:hAnsi="宋体" w:eastAsia="宋体" w:cs="宋体"/>
          <w:spacing w:val="6"/>
          <w:sz w:val="23"/>
          <w:szCs w:val="23"/>
        </w:rPr>
        <w:t xml:space="preserve">城所销售砂子的废包装袋，主要成分为聚乙烯、聚丙烯，加热至 </w:t>
      </w:r>
      <w:r>
        <w:rPr>
          <w:rFonts w:ascii="Times New Roman" w:hAnsi="Times New Roman" w:eastAsia="Times New Roman" w:cs="Times New Roman"/>
          <w:spacing w:val="6"/>
          <w:sz w:val="23"/>
          <w:szCs w:val="23"/>
        </w:rPr>
        <w:t>150~220℃</w:t>
      </w:r>
      <w:r>
        <w:rPr>
          <w:rFonts w:ascii="宋体" w:hAnsi="宋体" w:eastAsia="宋体" w:cs="宋体"/>
          <w:spacing w:val="6"/>
          <w:sz w:val="23"/>
          <w:szCs w:val="23"/>
        </w:rPr>
        <w:t>时</w:t>
      </w:r>
      <w:r>
        <w:rPr>
          <w:rFonts w:ascii="宋体" w:hAnsi="宋体" w:eastAsia="宋体" w:cs="宋体"/>
          <w:sz w:val="23"/>
          <w:szCs w:val="23"/>
        </w:rPr>
        <w:t xml:space="preserve"> </w:t>
      </w:r>
      <w:r>
        <w:rPr>
          <w:rFonts w:ascii="宋体" w:hAnsi="宋体" w:eastAsia="宋体" w:cs="宋体"/>
          <w:spacing w:val="7"/>
          <w:sz w:val="23"/>
          <w:szCs w:val="23"/>
        </w:rPr>
        <w:t>热解产生酸、酯、不饱和烃、过氧化物、 甲醛、乙醛、</w:t>
      </w:r>
      <w:r>
        <w:rPr>
          <w:rFonts w:ascii="Times New Roman" w:hAnsi="Times New Roman" w:eastAsia="Times New Roman" w:cs="Times New Roman"/>
          <w:sz w:val="23"/>
          <w:szCs w:val="23"/>
        </w:rPr>
        <w:t>CO</w:t>
      </w:r>
      <w:r>
        <w:rPr>
          <w:rFonts w:ascii="Times New Roman" w:hAnsi="Times New Roman" w:eastAsia="Times New Roman" w:cs="Times New Roman"/>
          <w:spacing w:val="7"/>
          <w:position w:val="-1"/>
          <w:sz w:val="15"/>
          <w:szCs w:val="15"/>
        </w:rPr>
        <w:t xml:space="preserve">2 </w:t>
      </w:r>
      <w:r>
        <w:rPr>
          <w:rFonts w:ascii="宋体" w:hAnsi="宋体" w:eastAsia="宋体" w:cs="宋体"/>
          <w:spacing w:val="7"/>
          <w:sz w:val="23"/>
          <w:szCs w:val="23"/>
        </w:rPr>
        <w:t>、</w:t>
      </w:r>
      <w:r>
        <w:rPr>
          <w:rFonts w:ascii="Times New Roman" w:hAnsi="Times New Roman" w:eastAsia="Times New Roman" w:cs="Times New Roman"/>
          <w:sz w:val="23"/>
          <w:szCs w:val="23"/>
        </w:rPr>
        <w:t>CO</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等。热熔过</w:t>
      </w:r>
      <w:r>
        <w:rPr>
          <w:rFonts w:ascii="宋体" w:hAnsi="宋体" w:eastAsia="宋体" w:cs="宋体"/>
          <w:spacing w:val="5"/>
          <w:sz w:val="23"/>
          <w:szCs w:val="23"/>
        </w:rPr>
        <w:t>程</w:t>
      </w:r>
      <w:r>
        <w:rPr>
          <w:rFonts w:ascii="宋体" w:hAnsi="宋体" w:eastAsia="宋体" w:cs="宋体"/>
          <w:sz w:val="23"/>
          <w:szCs w:val="23"/>
        </w:rPr>
        <w:t xml:space="preserve"> </w:t>
      </w:r>
      <w:r>
        <w:rPr>
          <w:rFonts w:ascii="宋体" w:hAnsi="宋体" w:eastAsia="宋体" w:cs="宋体"/>
          <w:spacing w:val="11"/>
          <w:sz w:val="23"/>
          <w:szCs w:val="23"/>
        </w:rPr>
        <w:t>塑</w:t>
      </w:r>
      <w:r>
        <w:rPr>
          <w:rFonts w:ascii="宋体" w:hAnsi="宋体" w:eastAsia="宋体" w:cs="宋体"/>
          <w:spacing w:val="8"/>
          <w:sz w:val="23"/>
          <w:szCs w:val="23"/>
        </w:rPr>
        <w:t>料不发生裂解，只发生物理形态变形，由于聚乙烯、聚丙烯为高分子聚合物，</w:t>
      </w:r>
      <w:r>
        <w:rPr>
          <w:rFonts w:ascii="宋体" w:hAnsi="宋体" w:eastAsia="宋体" w:cs="宋体"/>
          <w:sz w:val="23"/>
          <w:szCs w:val="23"/>
        </w:rPr>
        <w:t xml:space="preserve"> </w:t>
      </w:r>
      <w:r>
        <w:rPr>
          <w:rFonts w:ascii="宋体" w:hAnsi="宋体" w:eastAsia="宋体" w:cs="宋体"/>
          <w:spacing w:val="9"/>
          <w:sz w:val="23"/>
          <w:szCs w:val="23"/>
        </w:rPr>
        <w:t>包</w:t>
      </w:r>
      <w:r>
        <w:rPr>
          <w:rFonts w:ascii="宋体" w:hAnsi="宋体" w:eastAsia="宋体" w:cs="宋体"/>
          <w:spacing w:val="7"/>
          <w:sz w:val="23"/>
          <w:szCs w:val="23"/>
        </w:rPr>
        <w:t>括各种改善性能的添加剂，在受热情况下，原料中残存未聚合的反应单体及从</w:t>
      </w:r>
      <w:r>
        <w:rPr>
          <w:rFonts w:ascii="宋体" w:hAnsi="宋体" w:eastAsia="宋体" w:cs="宋体"/>
          <w:sz w:val="23"/>
          <w:szCs w:val="23"/>
        </w:rPr>
        <w:t xml:space="preserve"> </w:t>
      </w:r>
      <w:r>
        <w:rPr>
          <w:rFonts w:ascii="宋体" w:hAnsi="宋体" w:eastAsia="宋体" w:cs="宋体"/>
          <w:spacing w:val="11"/>
          <w:sz w:val="23"/>
          <w:szCs w:val="23"/>
        </w:rPr>
        <w:t>聚</w:t>
      </w:r>
      <w:r>
        <w:rPr>
          <w:rFonts w:ascii="宋体" w:hAnsi="宋体" w:eastAsia="宋体" w:cs="宋体"/>
          <w:spacing w:val="8"/>
          <w:sz w:val="23"/>
          <w:szCs w:val="23"/>
        </w:rPr>
        <w:t>合物中分解的单体可挥发至空气中，从而形成有机废气，主要为非甲烷烃类，</w:t>
      </w:r>
      <w:r>
        <w:rPr>
          <w:rFonts w:ascii="宋体" w:hAnsi="宋体" w:eastAsia="宋体" w:cs="宋体"/>
          <w:sz w:val="23"/>
          <w:szCs w:val="23"/>
        </w:rPr>
        <w:t xml:space="preserve"> </w:t>
      </w:r>
      <w:r>
        <w:rPr>
          <w:rFonts w:ascii="宋体" w:hAnsi="宋体" w:eastAsia="宋体" w:cs="宋体"/>
          <w:spacing w:val="11"/>
          <w:sz w:val="23"/>
          <w:szCs w:val="23"/>
        </w:rPr>
        <w:t>本</w:t>
      </w:r>
      <w:r>
        <w:rPr>
          <w:rFonts w:ascii="宋体" w:hAnsi="宋体" w:eastAsia="宋体" w:cs="宋体"/>
          <w:spacing w:val="8"/>
          <w:sz w:val="23"/>
          <w:szCs w:val="23"/>
        </w:rPr>
        <w:t>环评以非甲烷总烃计。</w:t>
      </w:r>
    </w:p>
    <w:p w14:paraId="1125E197">
      <w:pPr>
        <w:spacing w:before="104" w:line="387" w:lineRule="auto"/>
        <w:ind w:left="24" w:right="32" w:firstLine="480"/>
        <w:rPr>
          <w:rFonts w:ascii="宋体" w:hAnsi="宋体" w:eastAsia="宋体" w:cs="宋体"/>
          <w:sz w:val="23"/>
          <w:szCs w:val="23"/>
        </w:rPr>
      </w:pPr>
      <w:r>
        <w:rPr>
          <w:rFonts w:ascii="宋体" w:hAnsi="宋体" w:eastAsia="宋体" w:cs="宋体"/>
          <w:spacing w:val="9"/>
          <w:sz w:val="23"/>
          <w:szCs w:val="23"/>
        </w:rPr>
        <w:t>参考《空气污染物排放和控制手册》</w:t>
      </w:r>
      <w:r>
        <w:rPr>
          <w:rFonts w:ascii="Times New Roman" w:hAnsi="Times New Roman" w:eastAsia="Times New Roman" w:cs="Times New Roman"/>
          <w:spacing w:val="9"/>
          <w:sz w:val="23"/>
          <w:szCs w:val="23"/>
        </w:rPr>
        <w:t>(</w:t>
      </w:r>
      <w:r>
        <w:rPr>
          <w:rFonts w:ascii="宋体" w:hAnsi="宋体" w:eastAsia="宋体" w:cs="宋体"/>
          <w:spacing w:val="9"/>
          <w:sz w:val="23"/>
          <w:szCs w:val="23"/>
        </w:rPr>
        <w:t>美国国家环保局</w:t>
      </w:r>
      <w:r>
        <w:rPr>
          <w:rFonts w:ascii="Times New Roman" w:hAnsi="Times New Roman" w:eastAsia="Times New Roman" w:cs="Times New Roman"/>
          <w:spacing w:val="9"/>
          <w:sz w:val="23"/>
          <w:szCs w:val="23"/>
        </w:rPr>
        <w:t>)</w:t>
      </w:r>
      <w:r>
        <w:rPr>
          <w:rFonts w:ascii="宋体" w:hAnsi="宋体" w:eastAsia="宋体" w:cs="宋体"/>
          <w:spacing w:val="9"/>
          <w:sz w:val="23"/>
          <w:szCs w:val="23"/>
        </w:rPr>
        <w:t>中推荐的公式，非</w:t>
      </w:r>
      <w:r>
        <w:rPr>
          <w:rFonts w:ascii="宋体" w:hAnsi="宋体" w:eastAsia="宋体" w:cs="宋体"/>
          <w:spacing w:val="7"/>
          <w:sz w:val="23"/>
          <w:szCs w:val="23"/>
        </w:rPr>
        <w:t>甲</w:t>
      </w:r>
      <w:r>
        <w:rPr>
          <w:rFonts w:ascii="宋体" w:hAnsi="宋体" w:eastAsia="宋体" w:cs="宋体"/>
          <w:sz w:val="23"/>
          <w:szCs w:val="23"/>
        </w:rPr>
        <w:t xml:space="preserve"> </w:t>
      </w:r>
      <w:r>
        <w:rPr>
          <w:rFonts w:ascii="宋体" w:hAnsi="宋体" w:eastAsia="宋体" w:cs="宋体"/>
          <w:spacing w:val="8"/>
          <w:sz w:val="23"/>
          <w:szCs w:val="23"/>
        </w:rPr>
        <w:t>烷总</w:t>
      </w:r>
      <w:r>
        <w:rPr>
          <w:rFonts w:ascii="宋体" w:hAnsi="宋体" w:eastAsia="宋体" w:cs="宋体"/>
          <w:spacing w:val="6"/>
          <w:sz w:val="23"/>
          <w:szCs w:val="23"/>
        </w:rPr>
        <w:t>烃</w:t>
      </w:r>
      <w:r>
        <w:rPr>
          <w:rFonts w:ascii="宋体" w:hAnsi="宋体" w:eastAsia="宋体" w:cs="宋体"/>
          <w:spacing w:val="4"/>
          <w:sz w:val="23"/>
          <w:szCs w:val="23"/>
        </w:rPr>
        <w:t xml:space="preserve">产生量按 </w:t>
      </w:r>
      <w:r>
        <w:rPr>
          <w:rFonts w:ascii="Times New Roman" w:hAnsi="Times New Roman" w:eastAsia="Times New Roman" w:cs="Times New Roman"/>
          <w:spacing w:val="4"/>
          <w:sz w:val="23"/>
          <w:szCs w:val="23"/>
        </w:rPr>
        <w:t>0.35</w:t>
      </w:r>
      <w:r>
        <w:rPr>
          <w:rFonts w:ascii="Times New Roman" w:hAnsi="Times New Roman" w:eastAsia="Times New Roman" w:cs="Times New Roman"/>
          <w:sz w:val="23"/>
          <w:szCs w:val="23"/>
        </w:rPr>
        <w:t>kg</w:t>
      </w:r>
      <w:r>
        <w:rPr>
          <w:rFonts w:ascii="Times New Roman" w:hAnsi="Times New Roman" w:eastAsia="Times New Roman" w:cs="Times New Roman"/>
          <w:spacing w:val="4"/>
          <w:sz w:val="23"/>
          <w:szCs w:val="23"/>
        </w:rPr>
        <w:t>/</w:t>
      </w:r>
      <w:r>
        <w:rPr>
          <w:rFonts w:ascii="Times New Roman" w:hAnsi="Times New Roman" w:eastAsia="Times New Roman" w:cs="Times New Roman"/>
          <w:sz w:val="23"/>
          <w:szCs w:val="23"/>
        </w:rPr>
        <w:t>t</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 xml:space="preserve">原料计，本项目造粒工序年熔融废塑料约为 </w:t>
      </w:r>
      <w:r>
        <w:rPr>
          <w:rFonts w:ascii="Times New Roman" w:hAnsi="Times New Roman" w:eastAsia="Times New Roman" w:cs="Times New Roman"/>
          <w:spacing w:val="4"/>
          <w:sz w:val="23"/>
          <w:szCs w:val="23"/>
        </w:rPr>
        <w:t>51100</w:t>
      </w:r>
      <w:r>
        <w:rPr>
          <w:rFonts w:ascii="Times New Roman" w:hAnsi="Times New Roman" w:eastAsia="Times New Roman" w:cs="Times New Roman"/>
          <w:sz w:val="23"/>
          <w:szCs w:val="23"/>
        </w:rPr>
        <w:t>t</w:t>
      </w:r>
      <w:r>
        <w:rPr>
          <w:rFonts w:ascii="Times New Roman" w:hAnsi="Times New Roman" w:eastAsia="Times New Roman" w:cs="Times New Roman"/>
          <w:spacing w:val="4"/>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w:t>
      </w:r>
      <w:r>
        <w:rPr>
          <w:rFonts w:ascii="宋体" w:hAnsi="宋体" w:eastAsia="宋体" w:cs="宋体"/>
          <w:sz w:val="23"/>
          <w:szCs w:val="23"/>
        </w:rPr>
        <w:t xml:space="preserve"> </w:t>
      </w:r>
      <w:r>
        <w:rPr>
          <w:rFonts w:ascii="宋体" w:hAnsi="宋体" w:eastAsia="宋体" w:cs="宋体"/>
          <w:spacing w:val="8"/>
          <w:sz w:val="23"/>
          <w:szCs w:val="23"/>
        </w:rPr>
        <w:t xml:space="preserve">塑料颗粒每年生产 </w:t>
      </w:r>
      <w:r>
        <w:rPr>
          <w:rFonts w:ascii="Times New Roman" w:hAnsi="Times New Roman" w:eastAsia="Times New Roman" w:cs="Times New Roman"/>
          <w:spacing w:val="8"/>
          <w:sz w:val="23"/>
          <w:szCs w:val="23"/>
        </w:rPr>
        <w:t xml:space="preserve">7200 </w:t>
      </w:r>
      <w:r>
        <w:rPr>
          <w:rFonts w:ascii="宋体" w:hAnsi="宋体" w:eastAsia="宋体" w:cs="宋体"/>
          <w:spacing w:val="8"/>
          <w:sz w:val="23"/>
          <w:szCs w:val="23"/>
        </w:rPr>
        <w:t>小时，则本项目废塑料熔融加热产生的非甲烷总烃总</w:t>
      </w:r>
      <w:r>
        <w:rPr>
          <w:rFonts w:ascii="宋体" w:hAnsi="宋体" w:eastAsia="宋体" w:cs="宋体"/>
          <w:spacing w:val="7"/>
          <w:sz w:val="23"/>
          <w:szCs w:val="23"/>
        </w:rPr>
        <w:t>量</w:t>
      </w:r>
    </w:p>
    <w:p w14:paraId="71090600">
      <w:pPr>
        <w:sectPr>
          <w:headerReference r:id="rId123" w:type="default"/>
          <w:footerReference r:id="rId124" w:type="default"/>
          <w:pgSz w:w="11906" w:h="16839"/>
          <w:pgMar w:top="1132" w:right="1764" w:bottom="1182" w:left="1785" w:header="878" w:footer="1022" w:gutter="0"/>
          <w:cols w:space="720" w:num="1"/>
        </w:sectPr>
      </w:pPr>
    </w:p>
    <w:p w14:paraId="5CC73EFB">
      <w:pPr>
        <w:spacing w:line="365" w:lineRule="auto"/>
        <w:rPr>
          <w:rFonts w:ascii="Arial"/>
          <w:sz w:val="21"/>
        </w:rPr>
      </w:pPr>
      <w:r>
        <w:pict>
          <v:shape id="_x0000_s1173" o:spid="_x0000_s1173" style="position:absolute;left:0pt;margin-left:90pt;margin-top:57.35pt;height:0.75pt;width:415.3pt;mso-position-horizontal-relative:page;mso-position-vertical-relative:page;z-index:251811840;mso-width-relative:page;mso-height-relative:page;" fillcolor="#000000" filled="t" stroked="f" coordsize="8305,15" o:allowincell="f" path="m0,0l8305,0,8305,14,0,14,0,0xe">
            <v:path/>
            <v:fill on="t" focussize="0,0"/>
            <v:stroke on="f"/>
            <v:imagedata o:title=""/>
            <o:lock v:ext="edit"/>
          </v:shape>
        </w:pict>
      </w:r>
    </w:p>
    <w:p w14:paraId="3A0D3F89">
      <w:pPr>
        <w:spacing w:before="75" w:line="323" w:lineRule="exact"/>
        <w:ind w:left="26"/>
        <w:rPr>
          <w:rFonts w:ascii="宋体" w:hAnsi="宋体" w:eastAsia="宋体" w:cs="宋体"/>
          <w:sz w:val="23"/>
          <w:szCs w:val="23"/>
        </w:rPr>
      </w:pPr>
      <w:r>
        <w:rPr>
          <w:rFonts w:ascii="宋体" w:hAnsi="宋体" w:eastAsia="宋体" w:cs="宋体"/>
          <w:spacing w:val="-4"/>
          <w:position w:val="1"/>
          <w:sz w:val="23"/>
          <w:szCs w:val="23"/>
        </w:rPr>
        <w:t>为</w:t>
      </w:r>
      <w:r>
        <w:rPr>
          <w:rFonts w:ascii="宋体" w:hAnsi="宋体" w:eastAsia="宋体" w:cs="宋体"/>
          <w:spacing w:val="-3"/>
          <w:position w:val="1"/>
          <w:sz w:val="23"/>
          <w:szCs w:val="23"/>
        </w:rPr>
        <w:t xml:space="preserve"> </w:t>
      </w:r>
      <w:r>
        <w:rPr>
          <w:rFonts w:ascii="Times New Roman" w:hAnsi="Times New Roman" w:eastAsia="Times New Roman" w:cs="Times New Roman"/>
          <w:spacing w:val="-2"/>
          <w:position w:val="1"/>
          <w:sz w:val="23"/>
          <w:szCs w:val="23"/>
        </w:rPr>
        <w:t xml:space="preserve">17.88t </w:t>
      </w:r>
      <w:r>
        <w:rPr>
          <w:rFonts w:ascii="宋体" w:hAnsi="宋体" w:eastAsia="宋体" w:cs="宋体"/>
          <w:spacing w:val="-2"/>
          <w:position w:val="1"/>
          <w:sz w:val="23"/>
          <w:szCs w:val="23"/>
        </w:rPr>
        <w:t xml:space="preserve">，产生速率为 </w:t>
      </w:r>
      <w:r>
        <w:rPr>
          <w:rFonts w:ascii="Times New Roman" w:hAnsi="Times New Roman" w:eastAsia="Times New Roman" w:cs="Times New Roman"/>
          <w:spacing w:val="-2"/>
          <w:position w:val="1"/>
          <w:sz w:val="23"/>
          <w:szCs w:val="23"/>
        </w:rPr>
        <w:t>2.48kg/h</w:t>
      </w:r>
      <w:r>
        <w:rPr>
          <w:rFonts w:ascii="宋体" w:hAnsi="宋体" w:eastAsia="宋体" w:cs="宋体"/>
          <w:spacing w:val="-2"/>
          <w:position w:val="1"/>
          <w:sz w:val="23"/>
          <w:szCs w:val="23"/>
        </w:rPr>
        <w:t>。</w:t>
      </w:r>
    </w:p>
    <w:p w14:paraId="7074D3C1">
      <w:pPr>
        <w:spacing w:line="279" w:lineRule="auto"/>
        <w:rPr>
          <w:rFonts w:ascii="Arial"/>
          <w:sz w:val="21"/>
        </w:rPr>
      </w:pPr>
    </w:p>
    <w:p w14:paraId="28749A8A">
      <w:pPr>
        <w:spacing w:before="75" w:line="227" w:lineRule="auto"/>
        <w:ind w:left="507"/>
        <w:rPr>
          <w:rFonts w:ascii="宋体" w:hAnsi="宋体" w:eastAsia="宋体" w:cs="宋体"/>
          <w:sz w:val="23"/>
          <w:szCs w:val="23"/>
        </w:rPr>
      </w:pPr>
      <w:r>
        <w:rPr>
          <w:rFonts w:ascii="宋体" w:hAnsi="宋体" w:eastAsia="宋体" w:cs="宋体"/>
          <w:spacing w:val="21"/>
          <w:sz w:val="23"/>
          <w:szCs w:val="23"/>
        </w:rPr>
        <w:t>该</w:t>
      </w:r>
      <w:r>
        <w:rPr>
          <w:rFonts w:ascii="宋体" w:hAnsi="宋体" w:eastAsia="宋体" w:cs="宋体"/>
          <w:spacing w:val="11"/>
          <w:sz w:val="23"/>
          <w:szCs w:val="23"/>
        </w:rPr>
        <w:t xml:space="preserve">项目在每条生产线的热熔造粒工序均设置 </w:t>
      </w:r>
      <w:r>
        <w:rPr>
          <w:rFonts w:ascii="Times New Roman" w:hAnsi="Times New Roman" w:eastAsia="Times New Roman" w:cs="Times New Roman"/>
          <w:spacing w:val="11"/>
          <w:sz w:val="23"/>
          <w:szCs w:val="23"/>
        </w:rPr>
        <w:t xml:space="preserve">1 </w:t>
      </w:r>
      <w:r>
        <w:rPr>
          <w:rFonts w:ascii="宋体" w:hAnsi="宋体" w:eastAsia="宋体" w:cs="宋体"/>
          <w:spacing w:val="11"/>
          <w:sz w:val="23"/>
          <w:szCs w:val="23"/>
        </w:rPr>
        <w:t>个集气罩 (集气罩采用伞形</w:t>
      </w:r>
    </w:p>
    <w:p w14:paraId="0F272FED">
      <w:pPr>
        <w:spacing w:before="154" w:line="389" w:lineRule="auto"/>
        <w:ind w:left="21" w:firstLine="1"/>
        <w:rPr>
          <w:rFonts w:ascii="宋体" w:hAnsi="宋体" w:eastAsia="宋体" w:cs="宋体"/>
          <w:sz w:val="23"/>
          <w:szCs w:val="23"/>
        </w:rPr>
      </w:pPr>
      <w:r>
        <w:rPr>
          <w:rFonts w:ascii="宋体" w:hAnsi="宋体" w:eastAsia="宋体" w:cs="宋体"/>
          <w:spacing w:val="12"/>
          <w:sz w:val="23"/>
          <w:szCs w:val="23"/>
        </w:rPr>
        <w:t>罩</w:t>
      </w:r>
      <w:r>
        <w:rPr>
          <w:rFonts w:ascii="宋体" w:hAnsi="宋体" w:eastAsia="宋体" w:cs="宋体"/>
          <w:spacing w:val="11"/>
          <w:sz w:val="23"/>
          <w:szCs w:val="23"/>
        </w:rPr>
        <w:t>，</w:t>
      </w:r>
      <w:r>
        <w:rPr>
          <w:rFonts w:ascii="宋体" w:hAnsi="宋体" w:eastAsia="宋体" w:cs="宋体"/>
          <w:spacing w:val="6"/>
          <w:sz w:val="23"/>
          <w:szCs w:val="23"/>
        </w:rPr>
        <w:t xml:space="preserve">在设备约 </w:t>
      </w:r>
      <w:r>
        <w:rPr>
          <w:rFonts w:ascii="Times New Roman" w:hAnsi="Times New Roman" w:eastAsia="Times New Roman" w:cs="Times New Roman"/>
          <w:spacing w:val="6"/>
          <w:sz w:val="23"/>
          <w:szCs w:val="23"/>
        </w:rPr>
        <w:t>30</w:t>
      </w:r>
      <w:r>
        <w:rPr>
          <w:rFonts w:ascii="Times New Roman" w:hAnsi="Times New Roman" w:eastAsia="Times New Roman" w:cs="Times New Roman"/>
          <w:sz w:val="23"/>
          <w:szCs w:val="23"/>
        </w:rPr>
        <w:t>cm</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 xml:space="preserve">的正上方，集气罩集气效率为 </w:t>
      </w:r>
      <w:r>
        <w:rPr>
          <w:rFonts w:ascii="Times New Roman" w:hAnsi="Times New Roman" w:eastAsia="Times New Roman" w:cs="Times New Roman"/>
          <w:spacing w:val="6"/>
          <w:sz w:val="23"/>
          <w:szCs w:val="23"/>
        </w:rPr>
        <w:t>90%</w:t>
      </w:r>
      <w:r>
        <w:rPr>
          <w:rFonts w:ascii="宋体" w:hAnsi="宋体" w:eastAsia="宋体" w:cs="宋体"/>
          <w:spacing w:val="6"/>
          <w:sz w:val="23"/>
          <w:szCs w:val="23"/>
        </w:rPr>
        <w:t xml:space="preserve">) ，共计 </w:t>
      </w:r>
      <w:r>
        <w:rPr>
          <w:rFonts w:ascii="Times New Roman" w:hAnsi="Times New Roman" w:eastAsia="Times New Roman" w:cs="Times New Roman"/>
          <w:spacing w:val="6"/>
          <w:sz w:val="23"/>
          <w:szCs w:val="23"/>
        </w:rPr>
        <w:t xml:space="preserve">10 </w:t>
      </w:r>
      <w:r>
        <w:rPr>
          <w:rFonts w:ascii="宋体" w:hAnsi="宋体" w:eastAsia="宋体" w:cs="宋体"/>
          <w:spacing w:val="6"/>
          <w:sz w:val="23"/>
          <w:szCs w:val="23"/>
        </w:rPr>
        <w:t>个集气罩。</w:t>
      </w:r>
      <w:r>
        <w:rPr>
          <w:rFonts w:ascii="宋体" w:hAnsi="宋体" w:eastAsia="宋体" w:cs="宋体"/>
          <w:sz w:val="23"/>
          <w:szCs w:val="23"/>
        </w:rPr>
        <w:t xml:space="preserve"> </w:t>
      </w:r>
      <w:r>
        <w:rPr>
          <w:rFonts w:ascii="宋体" w:hAnsi="宋体" w:eastAsia="宋体" w:cs="宋体"/>
          <w:spacing w:val="6"/>
          <w:sz w:val="23"/>
          <w:szCs w:val="23"/>
        </w:rPr>
        <w:t>与此同时，项</w:t>
      </w:r>
      <w:r>
        <w:rPr>
          <w:rFonts w:ascii="宋体" w:hAnsi="宋体" w:eastAsia="宋体" w:cs="宋体"/>
          <w:spacing w:val="5"/>
          <w:sz w:val="23"/>
          <w:szCs w:val="23"/>
        </w:rPr>
        <w:t>目</w:t>
      </w:r>
      <w:r>
        <w:rPr>
          <w:rFonts w:ascii="宋体" w:hAnsi="宋体" w:eastAsia="宋体" w:cs="宋体"/>
          <w:spacing w:val="3"/>
          <w:sz w:val="23"/>
          <w:szCs w:val="23"/>
        </w:rPr>
        <w:t xml:space="preserve">设有 </w:t>
      </w:r>
      <w:r>
        <w:rPr>
          <w:rFonts w:ascii="Times New Roman" w:hAnsi="Times New Roman" w:eastAsia="Times New Roman" w:cs="Times New Roman"/>
          <w:spacing w:val="3"/>
          <w:sz w:val="23"/>
          <w:szCs w:val="23"/>
        </w:rPr>
        <w:t xml:space="preserve">2 </w:t>
      </w:r>
      <w:r>
        <w:rPr>
          <w:rFonts w:ascii="宋体" w:hAnsi="宋体" w:eastAsia="宋体" w:cs="宋体"/>
          <w:spacing w:val="3"/>
          <w:sz w:val="23"/>
          <w:szCs w:val="23"/>
        </w:rPr>
        <w:t xml:space="preserve">台 </w:t>
      </w:r>
      <w:r>
        <w:rPr>
          <w:rFonts w:ascii="Times New Roman" w:hAnsi="Times New Roman" w:eastAsia="Times New Roman" w:cs="Times New Roman"/>
          <w:sz w:val="23"/>
          <w:szCs w:val="23"/>
        </w:rPr>
        <w:t>UV</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 xml:space="preserve">光氧催化废气处理装置以及 </w:t>
      </w:r>
      <w:r>
        <w:rPr>
          <w:rFonts w:ascii="Times New Roman" w:hAnsi="Times New Roman" w:eastAsia="Times New Roman" w:cs="Times New Roman"/>
          <w:spacing w:val="3"/>
          <w:sz w:val="23"/>
          <w:szCs w:val="23"/>
        </w:rPr>
        <w:t xml:space="preserve">2 </w:t>
      </w:r>
      <w:r>
        <w:rPr>
          <w:rFonts w:ascii="宋体" w:hAnsi="宋体" w:eastAsia="宋体" w:cs="宋体"/>
          <w:spacing w:val="3"/>
          <w:sz w:val="23"/>
          <w:szCs w:val="23"/>
        </w:rPr>
        <w:t>台活性炭吸附装置，</w:t>
      </w:r>
      <w:r>
        <w:rPr>
          <w:rFonts w:ascii="宋体" w:hAnsi="宋体" w:eastAsia="宋体" w:cs="宋体"/>
          <w:sz w:val="23"/>
          <w:szCs w:val="23"/>
        </w:rPr>
        <w:t xml:space="preserve"> </w:t>
      </w:r>
      <w:r>
        <w:rPr>
          <w:rFonts w:ascii="Times New Roman" w:hAnsi="Times New Roman" w:eastAsia="Times New Roman" w:cs="Times New Roman"/>
          <w:spacing w:val="8"/>
          <w:sz w:val="23"/>
          <w:szCs w:val="23"/>
        </w:rPr>
        <w:t>1</w:t>
      </w:r>
      <w:r>
        <w:rPr>
          <w:rFonts w:ascii="Times New Roman" w:hAnsi="Times New Roman" w:eastAsia="Times New Roman" w:cs="Times New Roman"/>
          <w:spacing w:val="5"/>
          <w:sz w:val="23"/>
          <w:szCs w:val="23"/>
        </w:rPr>
        <w:t xml:space="preserve"> </w:t>
      </w:r>
      <w:r>
        <w:rPr>
          <w:rFonts w:ascii="宋体" w:hAnsi="宋体" w:eastAsia="宋体" w:cs="宋体"/>
          <w:spacing w:val="4"/>
          <w:sz w:val="23"/>
          <w:szCs w:val="23"/>
        </w:rPr>
        <w:t xml:space="preserve">台 </w:t>
      </w:r>
      <w:r>
        <w:rPr>
          <w:rFonts w:ascii="Times New Roman" w:hAnsi="Times New Roman" w:eastAsia="Times New Roman" w:cs="Times New Roman"/>
          <w:sz w:val="23"/>
          <w:szCs w:val="23"/>
        </w:rPr>
        <w:t>UV</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 xml:space="preserve">光氧催化废气处理装置和 </w:t>
      </w:r>
      <w:r>
        <w:rPr>
          <w:rFonts w:ascii="Times New Roman" w:hAnsi="Times New Roman" w:eastAsia="Times New Roman" w:cs="Times New Roman"/>
          <w:spacing w:val="4"/>
          <w:sz w:val="23"/>
          <w:szCs w:val="23"/>
        </w:rPr>
        <w:t xml:space="preserve">1 </w:t>
      </w:r>
      <w:r>
        <w:rPr>
          <w:rFonts w:ascii="宋体" w:hAnsi="宋体" w:eastAsia="宋体" w:cs="宋体"/>
          <w:spacing w:val="4"/>
          <w:sz w:val="23"/>
          <w:szCs w:val="23"/>
        </w:rPr>
        <w:t xml:space="preserve">台活性炭吸附装置组成 </w:t>
      </w:r>
      <w:r>
        <w:rPr>
          <w:rFonts w:ascii="Times New Roman" w:hAnsi="Times New Roman" w:eastAsia="Times New Roman" w:cs="Times New Roman"/>
          <w:spacing w:val="4"/>
          <w:sz w:val="23"/>
          <w:szCs w:val="23"/>
        </w:rPr>
        <w:t xml:space="preserve">1 </w:t>
      </w:r>
      <w:r>
        <w:rPr>
          <w:rFonts w:ascii="宋体" w:hAnsi="宋体" w:eastAsia="宋体" w:cs="宋体"/>
          <w:spacing w:val="4"/>
          <w:sz w:val="23"/>
          <w:szCs w:val="23"/>
        </w:rPr>
        <w:t>套废气治理装置，</w:t>
      </w:r>
      <w:r>
        <w:rPr>
          <w:rFonts w:ascii="宋体" w:hAnsi="宋体" w:eastAsia="宋体" w:cs="宋体"/>
          <w:sz w:val="23"/>
          <w:szCs w:val="23"/>
        </w:rPr>
        <w:t xml:space="preserve"> </w:t>
      </w:r>
      <w:r>
        <w:rPr>
          <w:rFonts w:ascii="宋体" w:hAnsi="宋体" w:eastAsia="宋体" w:cs="宋体"/>
          <w:spacing w:val="10"/>
          <w:sz w:val="23"/>
          <w:szCs w:val="23"/>
        </w:rPr>
        <w:t>则</w:t>
      </w:r>
      <w:r>
        <w:rPr>
          <w:rFonts w:ascii="宋体" w:hAnsi="宋体" w:eastAsia="宋体" w:cs="宋体"/>
          <w:spacing w:val="6"/>
          <w:sz w:val="23"/>
          <w:szCs w:val="23"/>
        </w:rPr>
        <w:t>厂</w:t>
      </w:r>
      <w:r>
        <w:rPr>
          <w:rFonts w:ascii="宋体" w:hAnsi="宋体" w:eastAsia="宋体" w:cs="宋体"/>
          <w:spacing w:val="5"/>
          <w:sz w:val="23"/>
          <w:szCs w:val="23"/>
        </w:rPr>
        <w:t xml:space="preserve">区内共计 </w:t>
      </w:r>
      <w:r>
        <w:rPr>
          <w:rFonts w:ascii="Times New Roman" w:hAnsi="Times New Roman" w:eastAsia="Times New Roman" w:cs="Times New Roman"/>
          <w:spacing w:val="5"/>
          <w:sz w:val="23"/>
          <w:szCs w:val="23"/>
        </w:rPr>
        <w:t xml:space="preserve">2 </w:t>
      </w:r>
      <w:r>
        <w:rPr>
          <w:rFonts w:ascii="宋体" w:hAnsi="宋体" w:eastAsia="宋体" w:cs="宋体"/>
          <w:spacing w:val="5"/>
          <w:sz w:val="23"/>
          <w:szCs w:val="23"/>
        </w:rPr>
        <w:t>套废气治理装置，分别位于生产厂房东侧、西侧中部。该项目每</w:t>
      </w:r>
      <w:r>
        <w:rPr>
          <w:rFonts w:ascii="宋体" w:hAnsi="宋体" w:eastAsia="宋体" w:cs="宋体"/>
          <w:sz w:val="23"/>
          <w:szCs w:val="23"/>
        </w:rPr>
        <w:t xml:space="preserve"> </w:t>
      </w:r>
      <w:r>
        <w:rPr>
          <w:rFonts w:ascii="Times New Roman" w:hAnsi="Times New Roman" w:eastAsia="Times New Roman" w:cs="Times New Roman"/>
          <w:spacing w:val="23"/>
          <w:sz w:val="23"/>
          <w:szCs w:val="23"/>
        </w:rPr>
        <w:t xml:space="preserve">5 </w:t>
      </w:r>
      <w:r>
        <w:rPr>
          <w:rFonts w:ascii="宋体" w:hAnsi="宋体" w:eastAsia="宋体" w:cs="宋体"/>
          <w:spacing w:val="23"/>
          <w:sz w:val="23"/>
          <w:szCs w:val="23"/>
        </w:rPr>
        <w:t xml:space="preserve">条生产线共用 </w:t>
      </w:r>
      <w:r>
        <w:rPr>
          <w:rFonts w:ascii="Times New Roman" w:hAnsi="Times New Roman" w:eastAsia="Times New Roman" w:cs="Times New Roman"/>
          <w:spacing w:val="23"/>
          <w:sz w:val="23"/>
          <w:szCs w:val="23"/>
        </w:rPr>
        <w:t xml:space="preserve">1 </w:t>
      </w:r>
      <w:r>
        <w:rPr>
          <w:rFonts w:ascii="宋体" w:hAnsi="宋体" w:eastAsia="宋体" w:cs="宋体"/>
          <w:spacing w:val="23"/>
          <w:sz w:val="23"/>
          <w:szCs w:val="23"/>
        </w:rPr>
        <w:t>套废气处理设施 ，集气罩收集后的有机废气经由风量</w:t>
      </w:r>
      <w:r>
        <w:rPr>
          <w:rFonts w:ascii="宋体" w:hAnsi="宋体" w:eastAsia="宋体" w:cs="宋体"/>
          <w:spacing w:val="16"/>
          <w:sz w:val="23"/>
          <w:szCs w:val="23"/>
        </w:rPr>
        <w:t>为</w:t>
      </w:r>
      <w:r>
        <w:rPr>
          <w:rFonts w:ascii="宋体" w:hAnsi="宋体" w:eastAsia="宋体" w:cs="宋体"/>
          <w:sz w:val="23"/>
          <w:szCs w:val="23"/>
        </w:rPr>
        <w:t xml:space="preserve"> </w:t>
      </w:r>
      <w:r>
        <w:rPr>
          <w:rFonts w:ascii="Times New Roman" w:hAnsi="Times New Roman" w:eastAsia="Times New Roman" w:cs="Times New Roman"/>
          <w:spacing w:val="8"/>
          <w:sz w:val="23"/>
          <w:szCs w:val="23"/>
        </w:rPr>
        <w:t>5000</w:t>
      </w:r>
      <w:r>
        <w:rPr>
          <w:rFonts w:ascii="Times New Roman" w:hAnsi="Times New Roman" w:eastAsia="Times New Roman" w:cs="Times New Roman"/>
          <w:sz w:val="23"/>
          <w:szCs w:val="23"/>
        </w:rPr>
        <w:t>m</w:t>
      </w:r>
      <w:r>
        <w:rPr>
          <w:rFonts w:ascii="Times New Roman" w:hAnsi="Times New Roman" w:eastAsia="Times New Roman" w:cs="Times New Roman"/>
          <w:spacing w:val="8"/>
          <w:position w:val="8"/>
          <w:sz w:val="15"/>
          <w:szCs w:val="15"/>
        </w:rPr>
        <w:t>3</w:t>
      </w:r>
      <w:r>
        <w:rPr>
          <w:rFonts w:ascii="Times New Roman" w:hAnsi="Times New Roman" w:eastAsia="Times New Roman" w:cs="Times New Roman"/>
          <w:spacing w:val="8"/>
          <w:sz w:val="23"/>
          <w:szCs w:val="23"/>
        </w:rPr>
        <w:t>/</w:t>
      </w:r>
      <w:r>
        <w:rPr>
          <w:rFonts w:ascii="Times New Roman" w:hAnsi="Times New Roman" w:eastAsia="Times New Roman" w:cs="Times New Roman"/>
          <w:sz w:val="23"/>
          <w:szCs w:val="23"/>
        </w:rPr>
        <w:t>h</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 xml:space="preserve">的引风机抽入每个厂房内各自设置的废气治理装置中，经过 </w:t>
      </w:r>
      <w:r>
        <w:rPr>
          <w:rFonts w:ascii="Times New Roman" w:hAnsi="Times New Roman" w:eastAsia="Times New Roman" w:cs="Times New Roman"/>
          <w:sz w:val="23"/>
          <w:szCs w:val="23"/>
        </w:rPr>
        <w:t>UV</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光氧催</w:t>
      </w:r>
      <w:r>
        <w:rPr>
          <w:rFonts w:ascii="宋体" w:hAnsi="宋体" w:eastAsia="宋体" w:cs="宋体"/>
          <w:sz w:val="23"/>
          <w:szCs w:val="23"/>
        </w:rPr>
        <w:t xml:space="preserve"> </w:t>
      </w:r>
      <w:r>
        <w:rPr>
          <w:rFonts w:ascii="宋体" w:hAnsi="宋体" w:eastAsia="宋体" w:cs="宋体"/>
          <w:spacing w:val="6"/>
          <w:sz w:val="23"/>
          <w:szCs w:val="23"/>
        </w:rPr>
        <w:t>化废气处理装置</w:t>
      </w:r>
      <w:r>
        <w:rPr>
          <w:rFonts w:ascii="Times New Roman" w:hAnsi="Times New Roman" w:eastAsia="Times New Roman" w:cs="Times New Roman"/>
          <w:spacing w:val="6"/>
          <w:sz w:val="23"/>
          <w:szCs w:val="23"/>
        </w:rPr>
        <w:t>+</w:t>
      </w:r>
      <w:r>
        <w:rPr>
          <w:rFonts w:ascii="宋体" w:hAnsi="宋体" w:eastAsia="宋体" w:cs="宋体"/>
          <w:spacing w:val="6"/>
          <w:sz w:val="23"/>
          <w:szCs w:val="23"/>
        </w:rPr>
        <w:t xml:space="preserve">活性炭吸附装置处理后通过 </w:t>
      </w:r>
      <w:r>
        <w:rPr>
          <w:rFonts w:ascii="Times New Roman" w:hAnsi="Times New Roman" w:eastAsia="Times New Roman" w:cs="Times New Roman"/>
          <w:spacing w:val="6"/>
          <w:sz w:val="23"/>
          <w:szCs w:val="23"/>
        </w:rPr>
        <w:t>15</w:t>
      </w:r>
      <w:r>
        <w:rPr>
          <w:rFonts w:ascii="Times New Roman" w:hAnsi="Times New Roman" w:eastAsia="Times New Roman" w:cs="Times New Roman"/>
          <w:sz w:val="23"/>
          <w:szCs w:val="23"/>
        </w:rPr>
        <w:t>m</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 xml:space="preserve">高排气筒有组织排放，共计 </w:t>
      </w:r>
      <w:r>
        <w:rPr>
          <w:rFonts w:ascii="Times New Roman" w:hAnsi="Times New Roman" w:eastAsia="Times New Roman" w:cs="Times New Roman"/>
          <w:spacing w:val="3"/>
          <w:sz w:val="23"/>
          <w:szCs w:val="23"/>
        </w:rPr>
        <w:t>2</w:t>
      </w:r>
      <w:r>
        <w:rPr>
          <w:rFonts w:ascii="Times New Roman" w:hAnsi="Times New Roman" w:eastAsia="Times New Roman" w:cs="Times New Roman"/>
          <w:sz w:val="23"/>
          <w:szCs w:val="23"/>
        </w:rPr>
        <w:t xml:space="preserve"> </w:t>
      </w:r>
      <w:r>
        <w:rPr>
          <w:rFonts w:ascii="宋体" w:hAnsi="宋体" w:eastAsia="宋体" w:cs="宋体"/>
          <w:spacing w:val="12"/>
          <w:sz w:val="23"/>
          <w:szCs w:val="23"/>
        </w:rPr>
        <w:t>个</w:t>
      </w:r>
      <w:r>
        <w:rPr>
          <w:rFonts w:ascii="宋体" w:hAnsi="宋体" w:eastAsia="宋体" w:cs="宋体"/>
          <w:spacing w:val="11"/>
          <w:sz w:val="23"/>
          <w:szCs w:val="23"/>
        </w:rPr>
        <w:t>排气筒 (</w:t>
      </w:r>
      <w:r>
        <w:rPr>
          <w:rFonts w:ascii="Times New Roman" w:hAnsi="Times New Roman" w:eastAsia="Times New Roman" w:cs="Times New Roman"/>
          <w:spacing w:val="11"/>
          <w:sz w:val="23"/>
          <w:szCs w:val="23"/>
        </w:rPr>
        <w:t>1#</w:t>
      </w:r>
      <w:r>
        <w:rPr>
          <w:rFonts w:ascii="宋体" w:hAnsi="宋体" w:eastAsia="宋体" w:cs="宋体"/>
          <w:spacing w:val="11"/>
          <w:sz w:val="23"/>
          <w:szCs w:val="23"/>
        </w:rPr>
        <w:t>排气筒、</w:t>
      </w:r>
      <w:r>
        <w:rPr>
          <w:rFonts w:ascii="Times New Roman" w:hAnsi="Times New Roman" w:eastAsia="Times New Roman" w:cs="Times New Roman"/>
          <w:spacing w:val="11"/>
          <w:sz w:val="23"/>
          <w:szCs w:val="23"/>
        </w:rPr>
        <w:t>2#</w:t>
      </w:r>
      <w:r>
        <w:rPr>
          <w:rFonts w:ascii="宋体" w:hAnsi="宋体" w:eastAsia="宋体" w:cs="宋体"/>
          <w:spacing w:val="11"/>
          <w:sz w:val="23"/>
          <w:szCs w:val="23"/>
        </w:rPr>
        <w:t>排气筒) 。</w:t>
      </w:r>
      <w:r>
        <w:rPr>
          <w:rFonts w:ascii="Times New Roman" w:hAnsi="Times New Roman" w:eastAsia="Times New Roman" w:cs="Times New Roman"/>
          <w:sz w:val="23"/>
          <w:szCs w:val="23"/>
        </w:rPr>
        <w:t>UV</w:t>
      </w:r>
      <w:r>
        <w:rPr>
          <w:rFonts w:ascii="Times New Roman" w:hAnsi="Times New Roman" w:eastAsia="Times New Roman" w:cs="Times New Roman"/>
          <w:spacing w:val="11"/>
          <w:sz w:val="23"/>
          <w:szCs w:val="23"/>
        </w:rPr>
        <w:t xml:space="preserve"> </w:t>
      </w:r>
      <w:r>
        <w:rPr>
          <w:rFonts w:ascii="宋体" w:hAnsi="宋体" w:eastAsia="宋体" w:cs="宋体"/>
          <w:spacing w:val="11"/>
          <w:sz w:val="23"/>
          <w:szCs w:val="23"/>
        </w:rPr>
        <w:t>光氧催化废气处理装置</w:t>
      </w:r>
      <w:r>
        <w:rPr>
          <w:rFonts w:ascii="Times New Roman" w:hAnsi="Times New Roman" w:eastAsia="Times New Roman" w:cs="Times New Roman"/>
          <w:spacing w:val="11"/>
          <w:sz w:val="23"/>
          <w:szCs w:val="23"/>
        </w:rPr>
        <w:t>+</w:t>
      </w:r>
      <w:r>
        <w:rPr>
          <w:rFonts w:ascii="宋体" w:hAnsi="宋体" w:eastAsia="宋体" w:cs="宋体"/>
          <w:spacing w:val="11"/>
          <w:sz w:val="23"/>
          <w:szCs w:val="23"/>
        </w:rPr>
        <w:t>活性炭吸附装</w:t>
      </w:r>
      <w:r>
        <w:rPr>
          <w:rFonts w:ascii="宋体" w:hAnsi="宋体" w:eastAsia="宋体" w:cs="宋体"/>
          <w:sz w:val="23"/>
          <w:szCs w:val="23"/>
        </w:rPr>
        <w:t xml:space="preserve"> </w:t>
      </w:r>
      <w:r>
        <w:rPr>
          <w:rFonts w:ascii="宋体" w:hAnsi="宋体" w:eastAsia="宋体" w:cs="宋体"/>
          <w:spacing w:val="3"/>
          <w:sz w:val="23"/>
          <w:szCs w:val="23"/>
        </w:rPr>
        <w:t xml:space="preserve">置对非甲烷总烃的处理效率为 </w:t>
      </w:r>
      <w:r>
        <w:rPr>
          <w:rFonts w:ascii="Times New Roman" w:hAnsi="Times New Roman" w:eastAsia="Times New Roman" w:cs="Times New Roman"/>
          <w:spacing w:val="3"/>
          <w:sz w:val="23"/>
          <w:szCs w:val="23"/>
        </w:rPr>
        <w:t>85%</w:t>
      </w:r>
      <w:r>
        <w:rPr>
          <w:rFonts w:ascii="宋体" w:hAnsi="宋体" w:eastAsia="宋体" w:cs="宋体"/>
          <w:spacing w:val="3"/>
          <w:sz w:val="23"/>
          <w:szCs w:val="23"/>
        </w:rPr>
        <w:t xml:space="preserve">。则非甲烷总烃有组织排放量为 </w:t>
      </w:r>
      <w:r>
        <w:rPr>
          <w:rFonts w:ascii="Times New Roman" w:hAnsi="Times New Roman" w:eastAsia="Times New Roman" w:cs="Times New Roman"/>
          <w:spacing w:val="3"/>
          <w:sz w:val="23"/>
          <w:szCs w:val="23"/>
        </w:rPr>
        <w:t>2.41</w:t>
      </w:r>
      <w:r>
        <w:rPr>
          <w:rFonts w:ascii="Times New Roman" w:hAnsi="Times New Roman" w:eastAsia="Times New Roman" w:cs="Times New Roman"/>
          <w:sz w:val="23"/>
          <w:szCs w:val="23"/>
        </w:rPr>
        <w:t>t</w:t>
      </w:r>
      <w:r>
        <w:rPr>
          <w:rFonts w:ascii="Times New Roman" w:hAnsi="Times New Roman" w:eastAsia="Times New Roman" w:cs="Times New Roman"/>
          <w:spacing w:val="3"/>
          <w:sz w:val="23"/>
          <w:szCs w:val="23"/>
        </w:rPr>
        <w:t>/</w:t>
      </w:r>
      <w:r>
        <w:rPr>
          <w:rFonts w:ascii="Times New Roman" w:hAnsi="Times New Roman" w:eastAsia="Times New Roman" w:cs="Times New Roman"/>
          <w:sz w:val="23"/>
          <w:szCs w:val="23"/>
        </w:rPr>
        <w:t>a</w:t>
      </w:r>
      <w:r>
        <w:rPr>
          <w:rFonts w:ascii="宋体" w:hAnsi="宋体" w:eastAsia="宋体" w:cs="宋体"/>
          <w:spacing w:val="3"/>
          <w:sz w:val="23"/>
          <w:szCs w:val="23"/>
        </w:rPr>
        <w:t>，排</w:t>
      </w:r>
      <w:r>
        <w:rPr>
          <w:rFonts w:ascii="宋体" w:hAnsi="宋体" w:eastAsia="宋体" w:cs="宋体"/>
          <w:sz w:val="23"/>
          <w:szCs w:val="23"/>
        </w:rPr>
        <w:t xml:space="preserve">放 </w:t>
      </w:r>
      <w:r>
        <w:rPr>
          <w:rFonts w:ascii="宋体" w:hAnsi="宋体" w:eastAsia="宋体" w:cs="宋体"/>
          <w:spacing w:val="3"/>
          <w:sz w:val="23"/>
          <w:szCs w:val="23"/>
        </w:rPr>
        <w:t xml:space="preserve">速率为 </w:t>
      </w:r>
      <w:r>
        <w:rPr>
          <w:rFonts w:ascii="Times New Roman" w:hAnsi="Times New Roman" w:eastAsia="Times New Roman" w:cs="Times New Roman"/>
          <w:spacing w:val="3"/>
          <w:sz w:val="23"/>
          <w:szCs w:val="23"/>
        </w:rPr>
        <w:t>0.33</w:t>
      </w:r>
      <w:r>
        <w:rPr>
          <w:rFonts w:ascii="Times New Roman" w:hAnsi="Times New Roman" w:eastAsia="Times New Roman" w:cs="Times New Roman"/>
          <w:sz w:val="23"/>
          <w:szCs w:val="23"/>
        </w:rPr>
        <w:t>kg</w:t>
      </w:r>
      <w:r>
        <w:rPr>
          <w:rFonts w:ascii="Times New Roman" w:hAnsi="Times New Roman" w:eastAsia="Times New Roman" w:cs="Times New Roman"/>
          <w:spacing w:val="3"/>
          <w:sz w:val="23"/>
          <w:szCs w:val="23"/>
        </w:rPr>
        <w:t>/</w:t>
      </w:r>
      <w:r>
        <w:rPr>
          <w:rFonts w:ascii="Times New Roman" w:hAnsi="Times New Roman" w:eastAsia="Times New Roman" w:cs="Times New Roman"/>
          <w:sz w:val="23"/>
          <w:szCs w:val="23"/>
        </w:rPr>
        <w:t>h</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 xml:space="preserve">，排放浓度为 </w:t>
      </w:r>
      <w:r>
        <w:rPr>
          <w:rFonts w:ascii="Times New Roman" w:hAnsi="Times New Roman" w:eastAsia="Times New Roman" w:cs="Times New Roman"/>
          <w:spacing w:val="3"/>
          <w:sz w:val="23"/>
          <w:szCs w:val="23"/>
        </w:rPr>
        <w:t>66</w:t>
      </w:r>
      <w:r>
        <w:rPr>
          <w:rFonts w:ascii="Times New Roman" w:hAnsi="Times New Roman" w:eastAsia="Times New Roman" w:cs="Times New Roman"/>
          <w:sz w:val="23"/>
          <w:szCs w:val="23"/>
        </w:rPr>
        <w:t>mg</w:t>
      </w:r>
      <w:r>
        <w:rPr>
          <w:rFonts w:ascii="Times New Roman" w:hAnsi="Times New Roman" w:eastAsia="Times New Roman" w:cs="Times New Roman"/>
          <w:spacing w:val="3"/>
          <w:sz w:val="23"/>
          <w:szCs w:val="23"/>
        </w:rPr>
        <w:t>/</w:t>
      </w:r>
      <w:r>
        <w:rPr>
          <w:rFonts w:ascii="Times New Roman" w:hAnsi="Times New Roman" w:eastAsia="Times New Roman" w:cs="Times New Roman"/>
          <w:sz w:val="23"/>
          <w:szCs w:val="23"/>
        </w:rPr>
        <w:t>m</w:t>
      </w:r>
      <w:r>
        <w:rPr>
          <w:rFonts w:ascii="Times New Roman" w:hAnsi="Times New Roman" w:eastAsia="Times New Roman" w:cs="Times New Roman"/>
          <w:spacing w:val="3"/>
          <w:position w:val="8"/>
          <w:sz w:val="15"/>
          <w:szCs w:val="15"/>
        </w:rPr>
        <w:t xml:space="preserve">3 </w:t>
      </w:r>
      <w:r>
        <w:rPr>
          <w:rFonts w:ascii="宋体" w:hAnsi="宋体" w:eastAsia="宋体" w:cs="宋体"/>
          <w:spacing w:val="3"/>
          <w:sz w:val="23"/>
          <w:szCs w:val="23"/>
        </w:rPr>
        <w:t>，排放浓度可以达到《合成树脂工业</w:t>
      </w:r>
      <w:r>
        <w:rPr>
          <w:rFonts w:ascii="宋体" w:hAnsi="宋体" w:eastAsia="宋体" w:cs="宋体"/>
          <w:spacing w:val="1"/>
          <w:sz w:val="23"/>
          <w:szCs w:val="23"/>
        </w:rPr>
        <w:t>污</w:t>
      </w:r>
      <w:r>
        <w:rPr>
          <w:rFonts w:ascii="宋体" w:hAnsi="宋体" w:eastAsia="宋体" w:cs="宋体"/>
          <w:sz w:val="23"/>
          <w:szCs w:val="23"/>
        </w:rPr>
        <w:t xml:space="preserve">染 </w:t>
      </w:r>
      <w:r>
        <w:rPr>
          <w:rFonts w:ascii="宋体" w:hAnsi="宋体" w:eastAsia="宋体" w:cs="宋体"/>
          <w:spacing w:val="1"/>
          <w:sz w:val="23"/>
          <w:szCs w:val="23"/>
        </w:rPr>
        <w:t>物排放标准》 (</w:t>
      </w:r>
      <w:r>
        <w:rPr>
          <w:rFonts w:ascii="Times New Roman" w:hAnsi="Times New Roman" w:eastAsia="Times New Roman" w:cs="Times New Roman"/>
          <w:sz w:val="23"/>
          <w:szCs w:val="23"/>
        </w:rPr>
        <w:t>GB</w:t>
      </w:r>
      <w:r>
        <w:rPr>
          <w:rFonts w:ascii="Times New Roman" w:hAnsi="Times New Roman" w:eastAsia="Times New Roman" w:cs="Times New Roman"/>
          <w:spacing w:val="1"/>
          <w:sz w:val="23"/>
          <w:szCs w:val="23"/>
        </w:rPr>
        <w:t>31572-2015</w:t>
      </w:r>
      <w:r>
        <w:rPr>
          <w:rFonts w:ascii="宋体" w:hAnsi="宋体" w:eastAsia="宋体" w:cs="宋体"/>
          <w:spacing w:val="1"/>
          <w:sz w:val="23"/>
          <w:szCs w:val="23"/>
        </w:rPr>
        <w:t xml:space="preserve">) 表 </w:t>
      </w:r>
      <w:r>
        <w:rPr>
          <w:rFonts w:ascii="Times New Roman" w:hAnsi="Times New Roman" w:eastAsia="Times New Roman" w:cs="Times New Roman"/>
          <w:spacing w:val="1"/>
          <w:sz w:val="23"/>
          <w:szCs w:val="23"/>
        </w:rPr>
        <w:t xml:space="preserve">4 </w:t>
      </w:r>
      <w:r>
        <w:rPr>
          <w:rFonts w:ascii="宋体" w:hAnsi="宋体" w:eastAsia="宋体" w:cs="宋体"/>
          <w:spacing w:val="1"/>
          <w:sz w:val="23"/>
          <w:szCs w:val="23"/>
        </w:rPr>
        <w:t>中标准限值要求 (</w:t>
      </w:r>
      <w:r>
        <w:rPr>
          <w:rFonts w:ascii="宋体" w:hAnsi="宋体" w:eastAsia="宋体" w:cs="宋体"/>
          <w:sz w:val="23"/>
          <w:szCs w:val="23"/>
        </w:rPr>
        <w:t>非甲烷总烃：</w:t>
      </w:r>
      <w:r>
        <w:rPr>
          <w:rFonts w:ascii="Times New Roman" w:hAnsi="Times New Roman" w:eastAsia="Times New Roman" w:cs="Times New Roman"/>
          <w:sz w:val="23"/>
          <w:szCs w:val="23"/>
        </w:rPr>
        <w:t>100mg/m</w:t>
      </w:r>
      <w:r>
        <w:rPr>
          <w:rFonts w:ascii="Times New Roman" w:hAnsi="Times New Roman" w:eastAsia="Times New Roman" w:cs="Times New Roman"/>
          <w:position w:val="8"/>
          <w:sz w:val="15"/>
          <w:szCs w:val="15"/>
        </w:rPr>
        <w:t xml:space="preserve">3 </w:t>
      </w:r>
      <w:r>
        <w:rPr>
          <w:rFonts w:ascii="宋体" w:hAnsi="宋体" w:eastAsia="宋体" w:cs="宋体"/>
          <w:sz w:val="23"/>
          <w:szCs w:val="23"/>
        </w:rPr>
        <w:t xml:space="preserve">)。 </w:t>
      </w:r>
      <w:r>
        <w:rPr>
          <w:rFonts w:ascii="宋体" w:hAnsi="宋体" w:eastAsia="宋体" w:cs="宋体"/>
          <w:spacing w:val="10"/>
          <w:sz w:val="23"/>
          <w:szCs w:val="23"/>
        </w:rPr>
        <w:t>该</w:t>
      </w:r>
      <w:r>
        <w:rPr>
          <w:rFonts w:ascii="宋体" w:hAnsi="宋体" w:eastAsia="宋体" w:cs="宋体"/>
          <w:spacing w:val="7"/>
          <w:sz w:val="23"/>
          <w:szCs w:val="23"/>
        </w:rPr>
        <w:t>项目未被集气罩收集的非甲烷总烃以无组织排放形式在车间自然扩散。无组织</w:t>
      </w:r>
      <w:r>
        <w:rPr>
          <w:rFonts w:ascii="宋体" w:hAnsi="宋体" w:eastAsia="宋体" w:cs="宋体"/>
          <w:sz w:val="23"/>
          <w:szCs w:val="23"/>
        </w:rPr>
        <w:t xml:space="preserve"> </w:t>
      </w:r>
      <w:r>
        <w:rPr>
          <w:rFonts w:ascii="宋体" w:hAnsi="宋体" w:eastAsia="宋体" w:cs="宋体"/>
          <w:spacing w:val="-1"/>
          <w:sz w:val="23"/>
          <w:szCs w:val="23"/>
        </w:rPr>
        <w:t xml:space="preserve">排放量为 </w:t>
      </w:r>
      <w:r>
        <w:rPr>
          <w:rFonts w:ascii="Times New Roman" w:hAnsi="Times New Roman" w:eastAsia="Times New Roman" w:cs="Times New Roman"/>
          <w:spacing w:val="-1"/>
          <w:sz w:val="23"/>
          <w:szCs w:val="23"/>
        </w:rPr>
        <w:t>1.79</w:t>
      </w:r>
      <w:r>
        <w:rPr>
          <w:rFonts w:ascii="Times New Roman" w:hAnsi="Times New Roman" w:eastAsia="Times New Roman" w:cs="Times New Roman"/>
          <w:sz w:val="23"/>
          <w:szCs w:val="23"/>
        </w:rPr>
        <w:t>t</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，排放</w:t>
      </w:r>
      <w:r>
        <w:rPr>
          <w:rFonts w:ascii="宋体" w:hAnsi="宋体" w:eastAsia="宋体" w:cs="宋体"/>
          <w:sz w:val="23"/>
          <w:szCs w:val="23"/>
        </w:rPr>
        <w:t xml:space="preserve">速率为 </w:t>
      </w:r>
      <w:r>
        <w:rPr>
          <w:rFonts w:ascii="Times New Roman" w:hAnsi="Times New Roman" w:eastAsia="Times New Roman" w:cs="Times New Roman"/>
          <w:sz w:val="23"/>
          <w:szCs w:val="23"/>
        </w:rPr>
        <w:t>0.25kg/h</w:t>
      </w:r>
      <w:r>
        <w:rPr>
          <w:rFonts w:ascii="宋体" w:hAnsi="宋体" w:eastAsia="宋体" w:cs="宋体"/>
          <w:sz w:val="23"/>
          <w:szCs w:val="23"/>
        </w:rPr>
        <w:t>。</w:t>
      </w:r>
    </w:p>
    <w:p w14:paraId="32F22642">
      <w:pPr>
        <w:spacing w:before="138" w:line="225" w:lineRule="auto"/>
        <w:ind w:left="501"/>
        <w:rPr>
          <w:rFonts w:ascii="宋体" w:hAnsi="宋体" w:eastAsia="宋体" w:cs="宋体"/>
          <w:sz w:val="23"/>
          <w:szCs w:val="23"/>
        </w:rPr>
      </w:pPr>
      <w:r>
        <w:rPr>
          <w:rFonts w:ascii="宋体" w:hAnsi="宋体" w:eastAsia="宋体" w:cs="宋体"/>
          <w:spacing w:val="12"/>
          <w:sz w:val="23"/>
          <w:szCs w:val="23"/>
        </w:rPr>
        <w:t>③</w:t>
      </w:r>
      <w:r>
        <w:rPr>
          <w:rFonts w:ascii="宋体" w:hAnsi="宋体" w:eastAsia="宋体" w:cs="宋体"/>
          <w:spacing w:val="8"/>
          <w:sz w:val="23"/>
          <w:szCs w:val="23"/>
        </w:rPr>
        <w:t>热风炉烟气</w:t>
      </w:r>
    </w:p>
    <w:p w14:paraId="36760F7A">
      <w:pPr>
        <w:spacing w:line="280" w:lineRule="auto"/>
        <w:rPr>
          <w:rFonts w:ascii="Arial"/>
          <w:sz w:val="21"/>
        </w:rPr>
      </w:pPr>
    </w:p>
    <w:p w14:paraId="29BAE54E">
      <w:pPr>
        <w:spacing w:before="76" w:line="383" w:lineRule="auto"/>
        <w:ind w:left="22" w:right="70" w:firstLine="484"/>
        <w:rPr>
          <w:rFonts w:ascii="宋体" w:hAnsi="宋体" w:eastAsia="宋体" w:cs="宋体"/>
          <w:sz w:val="23"/>
          <w:szCs w:val="23"/>
        </w:rPr>
      </w:pPr>
      <w:r>
        <w:rPr>
          <w:rFonts w:ascii="宋体" w:hAnsi="宋体" w:eastAsia="宋体" w:cs="宋体"/>
          <w:spacing w:val="10"/>
          <w:sz w:val="23"/>
          <w:szCs w:val="23"/>
        </w:rPr>
        <w:t>该项目洗字</w:t>
      </w:r>
      <w:r>
        <w:rPr>
          <w:rFonts w:ascii="宋体" w:hAnsi="宋体" w:eastAsia="宋体" w:cs="宋体"/>
          <w:spacing w:val="5"/>
          <w:sz w:val="23"/>
          <w:szCs w:val="23"/>
        </w:rPr>
        <w:t xml:space="preserve">工序设有 </w:t>
      </w:r>
      <w:r>
        <w:rPr>
          <w:rFonts w:ascii="Times New Roman" w:hAnsi="Times New Roman" w:eastAsia="Times New Roman" w:cs="Times New Roman"/>
          <w:spacing w:val="5"/>
          <w:sz w:val="23"/>
          <w:szCs w:val="23"/>
        </w:rPr>
        <w:t xml:space="preserve">1 </w:t>
      </w:r>
      <w:r>
        <w:rPr>
          <w:rFonts w:ascii="宋体" w:hAnsi="宋体" w:eastAsia="宋体" w:cs="宋体"/>
          <w:spacing w:val="5"/>
          <w:sz w:val="23"/>
          <w:szCs w:val="23"/>
        </w:rPr>
        <w:t xml:space="preserve">个容积为 </w:t>
      </w:r>
      <w:r>
        <w:rPr>
          <w:rFonts w:ascii="Times New Roman" w:hAnsi="Times New Roman" w:eastAsia="Times New Roman" w:cs="Times New Roman"/>
          <w:spacing w:val="5"/>
          <w:sz w:val="23"/>
          <w:szCs w:val="23"/>
        </w:rPr>
        <w:t>6</w:t>
      </w:r>
      <w:r>
        <w:rPr>
          <w:rFonts w:ascii="Times New Roman" w:hAnsi="Times New Roman" w:eastAsia="Times New Roman" w:cs="Times New Roman"/>
          <w:sz w:val="23"/>
          <w:szCs w:val="23"/>
        </w:rPr>
        <w:t>m</w:t>
      </w:r>
      <w:r>
        <w:rPr>
          <w:rFonts w:ascii="Times New Roman" w:hAnsi="Times New Roman" w:eastAsia="Times New Roman" w:cs="Times New Roman"/>
          <w:spacing w:val="5"/>
          <w:position w:val="8"/>
          <w:sz w:val="15"/>
          <w:szCs w:val="15"/>
        </w:rPr>
        <w:t xml:space="preserve">3 </w:t>
      </w:r>
      <w:r>
        <w:rPr>
          <w:rFonts w:ascii="宋体" w:hAnsi="宋体" w:eastAsia="宋体" w:cs="宋体"/>
          <w:spacing w:val="5"/>
          <w:sz w:val="23"/>
          <w:szCs w:val="23"/>
        </w:rPr>
        <w:t>的洗字槽 (</w:t>
      </w:r>
      <w:r>
        <w:rPr>
          <w:rFonts w:ascii="Times New Roman" w:hAnsi="Times New Roman" w:eastAsia="Times New Roman" w:cs="Times New Roman"/>
          <w:spacing w:val="5"/>
          <w:sz w:val="23"/>
          <w:szCs w:val="23"/>
        </w:rPr>
        <w:t>2.5</w:t>
      </w:r>
      <w:r>
        <w:rPr>
          <w:rFonts w:ascii="Times New Roman" w:hAnsi="Times New Roman" w:eastAsia="Times New Roman" w:cs="Times New Roman"/>
          <w:sz w:val="23"/>
          <w:szCs w:val="23"/>
        </w:rPr>
        <w:t>m</w:t>
      </w:r>
      <w:r>
        <w:rPr>
          <w:rFonts w:ascii="Times New Roman" w:hAnsi="Times New Roman" w:eastAsia="Times New Roman" w:cs="Times New Roman"/>
          <w:spacing w:val="5"/>
          <w:sz w:val="23"/>
          <w:szCs w:val="23"/>
        </w:rPr>
        <w:t>×1.2</w:t>
      </w:r>
      <w:r>
        <w:rPr>
          <w:rFonts w:ascii="Times New Roman" w:hAnsi="Times New Roman" w:eastAsia="Times New Roman" w:cs="Times New Roman"/>
          <w:sz w:val="23"/>
          <w:szCs w:val="23"/>
        </w:rPr>
        <w:t>m</w:t>
      </w:r>
      <w:r>
        <w:rPr>
          <w:rFonts w:ascii="Times New Roman" w:hAnsi="Times New Roman" w:eastAsia="Times New Roman" w:cs="Times New Roman"/>
          <w:spacing w:val="5"/>
          <w:sz w:val="23"/>
          <w:szCs w:val="23"/>
        </w:rPr>
        <w:t>×2</w:t>
      </w:r>
      <w:r>
        <w:rPr>
          <w:rFonts w:ascii="Times New Roman" w:hAnsi="Times New Roman" w:eastAsia="Times New Roman" w:cs="Times New Roman"/>
          <w:sz w:val="23"/>
          <w:szCs w:val="23"/>
        </w:rPr>
        <w:t>m</w:t>
      </w:r>
      <w:r>
        <w:rPr>
          <w:rFonts w:ascii="宋体" w:hAnsi="宋体" w:eastAsia="宋体" w:cs="宋体"/>
          <w:spacing w:val="5"/>
          <w:sz w:val="23"/>
          <w:szCs w:val="23"/>
        </w:rPr>
        <w:t>) ，配套设</w:t>
      </w:r>
      <w:r>
        <w:rPr>
          <w:rFonts w:ascii="宋体" w:hAnsi="宋体" w:eastAsia="宋体" w:cs="宋体"/>
          <w:sz w:val="23"/>
          <w:szCs w:val="23"/>
        </w:rPr>
        <w:t xml:space="preserve"> </w:t>
      </w:r>
      <w:r>
        <w:rPr>
          <w:rFonts w:ascii="宋体" w:hAnsi="宋体" w:eastAsia="宋体" w:cs="宋体"/>
          <w:spacing w:val="12"/>
          <w:sz w:val="23"/>
          <w:szCs w:val="23"/>
        </w:rPr>
        <w:t xml:space="preserve">有 </w:t>
      </w:r>
      <w:r>
        <w:rPr>
          <w:rFonts w:ascii="Times New Roman" w:hAnsi="Times New Roman" w:eastAsia="Times New Roman" w:cs="Times New Roman"/>
          <w:spacing w:val="8"/>
          <w:sz w:val="23"/>
          <w:szCs w:val="23"/>
        </w:rPr>
        <w:t>1</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 xml:space="preserve">台 </w:t>
      </w:r>
      <w:r>
        <w:rPr>
          <w:rFonts w:ascii="Times New Roman" w:hAnsi="Times New Roman" w:eastAsia="Times New Roman" w:cs="Times New Roman"/>
          <w:spacing w:val="6"/>
          <w:sz w:val="23"/>
          <w:szCs w:val="23"/>
        </w:rPr>
        <w:t>2</w:t>
      </w:r>
      <w:r>
        <w:rPr>
          <w:rFonts w:ascii="Times New Roman" w:hAnsi="Times New Roman" w:eastAsia="Times New Roman" w:cs="Times New Roman"/>
          <w:sz w:val="23"/>
          <w:szCs w:val="23"/>
        </w:rPr>
        <w:t>t</w:t>
      </w:r>
      <w:r>
        <w:rPr>
          <w:rFonts w:ascii="Times New Roman" w:hAnsi="Times New Roman" w:eastAsia="Times New Roman" w:cs="Times New Roman"/>
          <w:spacing w:val="6"/>
          <w:sz w:val="23"/>
          <w:szCs w:val="23"/>
        </w:rPr>
        <w:t>/</w:t>
      </w:r>
      <w:r>
        <w:rPr>
          <w:rFonts w:ascii="Times New Roman" w:hAnsi="Times New Roman" w:eastAsia="Times New Roman" w:cs="Times New Roman"/>
          <w:sz w:val="23"/>
          <w:szCs w:val="23"/>
        </w:rPr>
        <w:t>h</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的热风炉，用于加热洗字槽内的洗字用水，燃烧燃料为</w:t>
      </w:r>
      <w:r>
        <w:rPr>
          <w:rFonts w:ascii="Times New Roman" w:hAnsi="Times New Roman" w:eastAsia="Times New Roman" w:cs="Times New Roman"/>
          <w:spacing w:val="6"/>
          <w:sz w:val="23"/>
          <w:szCs w:val="23"/>
        </w:rPr>
        <w:t>“</w:t>
      </w:r>
      <w:r>
        <w:rPr>
          <w:rFonts w:ascii="宋体" w:hAnsi="宋体" w:eastAsia="宋体" w:cs="宋体"/>
          <w:spacing w:val="6"/>
          <w:sz w:val="23"/>
          <w:szCs w:val="23"/>
        </w:rPr>
        <w:t>国家能源局</w:t>
      </w:r>
      <w:r>
        <w:rPr>
          <w:rFonts w:ascii="宋体" w:hAnsi="宋体" w:eastAsia="宋体" w:cs="宋体"/>
          <w:sz w:val="23"/>
          <w:szCs w:val="23"/>
        </w:rPr>
        <w:t xml:space="preserve"> </w:t>
      </w:r>
      <w:r>
        <w:rPr>
          <w:rFonts w:ascii="宋体" w:hAnsi="宋体" w:eastAsia="宋体" w:cs="宋体"/>
          <w:spacing w:val="12"/>
          <w:sz w:val="23"/>
          <w:szCs w:val="23"/>
        </w:rPr>
        <w:t>及环境保</w:t>
      </w:r>
      <w:r>
        <w:rPr>
          <w:rFonts w:ascii="宋体" w:hAnsi="宋体" w:eastAsia="宋体" w:cs="宋体"/>
          <w:spacing w:val="6"/>
          <w:sz w:val="23"/>
          <w:szCs w:val="23"/>
        </w:rPr>
        <w:t>护部文件 (国能新能</w:t>
      </w:r>
      <w:r>
        <w:rPr>
          <w:rFonts w:ascii="Times New Roman" w:hAnsi="Times New Roman" w:eastAsia="Times New Roman" w:cs="Times New Roman"/>
          <w:spacing w:val="6"/>
          <w:sz w:val="23"/>
          <w:szCs w:val="23"/>
        </w:rPr>
        <w:t xml:space="preserve">[2014]520 </w:t>
      </w:r>
      <w:r>
        <w:rPr>
          <w:rFonts w:ascii="宋体" w:hAnsi="宋体" w:eastAsia="宋体" w:cs="宋体"/>
          <w:spacing w:val="6"/>
          <w:sz w:val="23"/>
          <w:szCs w:val="23"/>
        </w:rPr>
        <w:t xml:space="preserve">号) </w:t>
      </w:r>
      <w:r>
        <w:rPr>
          <w:rFonts w:ascii="Times New Roman" w:hAnsi="Times New Roman" w:eastAsia="Times New Roman" w:cs="Times New Roman"/>
          <w:spacing w:val="6"/>
          <w:sz w:val="23"/>
          <w:szCs w:val="23"/>
        </w:rPr>
        <w:t>”</w:t>
      </w:r>
      <w:r>
        <w:rPr>
          <w:rFonts w:ascii="宋体" w:hAnsi="宋体" w:eastAsia="宋体" w:cs="宋体"/>
          <w:spacing w:val="6"/>
          <w:sz w:val="23"/>
          <w:szCs w:val="23"/>
        </w:rPr>
        <w:t>文件中推荐的生物质成型燃料。新</w:t>
      </w:r>
      <w:r>
        <w:rPr>
          <w:rFonts w:ascii="宋体" w:hAnsi="宋体" w:eastAsia="宋体" w:cs="宋体"/>
          <w:sz w:val="23"/>
          <w:szCs w:val="23"/>
        </w:rPr>
        <w:t xml:space="preserve"> </w:t>
      </w:r>
      <w:r>
        <w:rPr>
          <w:rFonts w:ascii="宋体" w:hAnsi="宋体" w:eastAsia="宋体" w:cs="宋体"/>
          <w:spacing w:val="6"/>
          <w:sz w:val="23"/>
          <w:szCs w:val="23"/>
        </w:rPr>
        <w:t>建热风炉配</w:t>
      </w:r>
      <w:r>
        <w:rPr>
          <w:rFonts w:ascii="宋体" w:hAnsi="宋体" w:eastAsia="宋体" w:cs="宋体"/>
          <w:spacing w:val="3"/>
          <w:sz w:val="23"/>
          <w:szCs w:val="23"/>
        </w:rPr>
        <w:t xml:space="preserve">套设施有除尘器 </w:t>
      </w:r>
      <w:r>
        <w:rPr>
          <w:rFonts w:ascii="Times New Roman" w:hAnsi="Times New Roman" w:eastAsia="Times New Roman" w:cs="Times New Roman"/>
          <w:spacing w:val="3"/>
          <w:sz w:val="23"/>
          <w:szCs w:val="23"/>
        </w:rPr>
        <w:t xml:space="preserve">1 </w:t>
      </w:r>
      <w:r>
        <w:rPr>
          <w:rFonts w:ascii="宋体" w:hAnsi="宋体" w:eastAsia="宋体" w:cs="宋体"/>
          <w:spacing w:val="3"/>
          <w:sz w:val="23"/>
          <w:szCs w:val="23"/>
        </w:rPr>
        <w:t xml:space="preserve">套、风机 </w:t>
      </w:r>
      <w:r>
        <w:rPr>
          <w:rFonts w:ascii="Times New Roman" w:hAnsi="Times New Roman" w:eastAsia="Times New Roman" w:cs="Times New Roman"/>
          <w:spacing w:val="3"/>
          <w:sz w:val="23"/>
          <w:szCs w:val="23"/>
        </w:rPr>
        <w:t xml:space="preserve">1 </w:t>
      </w:r>
      <w:r>
        <w:rPr>
          <w:rFonts w:ascii="宋体" w:hAnsi="宋体" w:eastAsia="宋体" w:cs="宋体"/>
          <w:spacing w:val="3"/>
          <w:sz w:val="23"/>
          <w:szCs w:val="23"/>
        </w:rPr>
        <w:t>台等。热风炉配备布袋除尘器，除尘效</w:t>
      </w:r>
      <w:r>
        <w:rPr>
          <w:rFonts w:ascii="宋体" w:hAnsi="宋体" w:eastAsia="宋体" w:cs="宋体"/>
          <w:sz w:val="23"/>
          <w:szCs w:val="23"/>
        </w:rPr>
        <w:t xml:space="preserve"> </w:t>
      </w:r>
      <w:r>
        <w:rPr>
          <w:rFonts w:ascii="宋体" w:hAnsi="宋体" w:eastAsia="宋体" w:cs="宋体"/>
          <w:spacing w:val="6"/>
          <w:sz w:val="23"/>
          <w:szCs w:val="23"/>
        </w:rPr>
        <w:t xml:space="preserve">率大于 </w:t>
      </w:r>
      <w:r>
        <w:rPr>
          <w:rFonts w:ascii="Times New Roman" w:hAnsi="Times New Roman" w:eastAsia="Times New Roman" w:cs="Times New Roman"/>
          <w:spacing w:val="6"/>
          <w:sz w:val="23"/>
          <w:szCs w:val="23"/>
        </w:rPr>
        <w:t xml:space="preserve">99% </w:t>
      </w:r>
      <w:r>
        <w:rPr>
          <w:rFonts w:ascii="宋体" w:hAnsi="宋体" w:eastAsia="宋体" w:cs="宋体"/>
          <w:spacing w:val="6"/>
          <w:sz w:val="23"/>
          <w:szCs w:val="23"/>
        </w:rPr>
        <w:t>，</w:t>
      </w:r>
      <w:r>
        <w:rPr>
          <w:rFonts w:ascii="宋体" w:hAnsi="宋体" w:eastAsia="宋体" w:cs="宋体"/>
          <w:spacing w:val="5"/>
          <w:sz w:val="23"/>
          <w:szCs w:val="23"/>
        </w:rPr>
        <w:t>排</w:t>
      </w:r>
      <w:r>
        <w:rPr>
          <w:rFonts w:ascii="宋体" w:hAnsi="宋体" w:eastAsia="宋体" w:cs="宋体"/>
          <w:spacing w:val="3"/>
          <w:sz w:val="23"/>
          <w:szCs w:val="23"/>
        </w:rPr>
        <w:t>气筒 (</w:t>
      </w:r>
      <w:r>
        <w:rPr>
          <w:rFonts w:ascii="Times New Roman" w:hAnsi="Times New Roman" w:eastAsia="Times New Roman" w:cs="Times New Roman"/>
          <w:spacing w:val="3"/>
          <w:sz w:val="23"/>
          <w:szCs w:val="23"/>
        </w:rPr>
        <w:t>3#</w:t>
      </w:r>
      <w:r>
        <w:rPr>
          <w:rFonts w:ascii="宋体" w:hAnsi="宋体" w:eastAsia="宋体" w:cs="宋体"/>
          <w:spacing w:val="3"/>
          <w:sz w:val="23"/>
          <w:szCs w:val="23"/>
        </w:rPr>
        <w:t xml:space="preserve">) 高度为 </w:t>
      </w:r>
      <w:r>
        <w:rPr>
          <w:rFonts w:ascii="Times New Roman" w:hAnsi="Times New Roman" w:eastAsia="Times New Roman" w:cs="Times New Roman"/>
          <w:spacing w:val="3"/>
          <w:sz w:val="23"/>
          <w:szCs w:val="23"/>
        </w:rPr>
        <w:t>30</w:t>
      </w:r>
      <w:r>
        <w:rPr>
          <w:rFonts w:ascii="Times New Roman" w:hAnsi="Times New Roman" w:eastAsia="Times New Roman" w:cs="Times New Roman"/>
          <w:sz w:val="23"/>
          <w:szCs w:val="23"/>
        </w:rPr>
        <w:t>m</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 xml:space="preserve">。热风炉全年运行时间为 </w:t>
      </w:r>
      <w:r>
        <w:rPr>
          <w:rFonts w:ascii="Times New Roman" w:hAnsi="Times New Roman" w:eastAsia="Times New Roman" w:cs="Times New Roman"/>
          <w:spacing w:val="3"/>
          <w:sz w:val="23"/>
          <w:szCs w:val="23"/>
        </w:rPr>
        <w:t xml:space="preserve">300 </w:t>
      </w:r>
      <w:r>
        <w:rPr>
          <w:rFonts w:ascii="宋体" w:hAnsi="宋体" w:eastAsia="宋体" w:cs="宋体"/>
          <w:spacing w:val="3"/>
          <w:sz w:val="23"/>
          <w:szCs w:val="23"/>
        </w:rPr>
        <w:t>天，每天</w:t>
      </w:r>
      <w:r>
        <w:rPr>
          <w:rFonts w:ascii="宋体" w:hAnsi="宋体" w:eastAsia="宋体" w:cs="宋体"/>
          <w:sz w:val="23"/>
          <w:szCs w:val="23"/>
        </w:rPr>
        <w:t xml:space="preserve"> </w:t>
      </w:r>
      <w:r>
        <w:rPr>
          <w:rFonts w:ascii="宋体" w:hAnsi="宋体" w:eastAsia="宋体" w:cs="宋体"/>
          <w:spacing w:val="9"/>
          <w:sz w:val="23"/>
          <w:szCs w:val="23"/>
        </w:rPr>
        <w:t>工作</w:t>
      </w:r>
      <w:r>
        <w:rPr>
          <w:rFonts w:ascii="Times New Roman" w:hAnsi="Times New Roman" w:eastAsia="Times New Roman" w:cs="Times New Roman"/>
          <w:spacing w:val="9"/>
          <w:sz w:val="23"/>
          <w:szCs w:val="23"/>
        </w:rPr>
        <w:t xml:space="preserve">6 </w:t>
      </w:r>
      <w:r>
        <w:rPr>
          <w:rFonts w:ascii="宋体" w:hAnsi="宋体" w:eastAsia="宋体" w:cs="宋体"/>
          <w:spacing w:val="9"/>
          <w:sz w:val="23"/>
          <w:szCs w:val="23"/>
        </w:rPr>
        <w:t>小时。根据企业提供的拟采取生物质成型燃料检验报告，进行燃料消耗</w:t>
      </w:r>
      <w:r>
        <w:rPr>
          <w:rFonts w:ascii="宋体" w:hAnsi="宋体" w:eastAsia="宋体" w:cs="宋体"/>
          <w:spacing w:val="2"/>
          <w:sz w:val="23"/>
          <w:szCs w:val="23"/>
        </w:rPr>
        <w:t>量</w:t>
      </w:r>
      <w:r>
        <w:rPr>
          <w:rFonts w:ascii="宋体" w:hAnsi="宋体" w:eastAsia="宋体" w:cs="宋体"/>
          <w:sz w:val="23"/>
          <w:szCs w:val="23"/>
        </w:rPr>
        <w:t xml:space="preserve"> </w:t>
      </w:r>
      <w:r>
        <w:rPr>
          <w:rFonts w:ascii="宋体" w:hAnsi="宋体" w:eastAsia="宋体" w:cs="宋体"/>
          <w:spacing w:val="-2"/>
          <w:sz w:val="23"/>
          <w:szCs w:val="23"/>
        </w:rPr>
        <w:t>计算，计算</w:t>
      </w:r>
      <w:r>
        <w:rPr>
          <w:rFonts w:ascii="宋体" w:hAnsi="宋体" w:eastAsia="宋体" w:cs="宋体"/>
          <w:spacing w:val="-1"/>
          <w:sz w:val="23"/>
          <w:szCs w:val="23"/>
        </w:rPr>
        <w:t>公式如下：</w:t>
      </w:r>
    </w:p>
    <w:p w14:paraId="5C5A075D">
      <w:pPr>
        <w:spacing w:before="130" w:line="323" w:lineRule="exact"/>
        <w:ind w:left="1218"/>
        <w:rPr>
          <w:rFonts w:ascii="宋体" w:hAnsi="宋体" w:eastAsia="宋体" w:cs="宋体"/>
          <w:sz w:val="23"/>
          <w:szCs w:val="23"/>
        </w:rPr>
      </w:pPr>
      <w:r>
        <w:rPr>
          <w:rFonts w:ascii="Times New Roman" w:hAnsi="Times New Roman" w:eastAsia="Times New Roman" w:cs="Times New Roman"/>
          <w:position w:val="3"/>
          <w:sz w:val="23"/>
          <w:szCs w:val="23"/>
        </w:rPr>
        <w:t>Bw</w:t>
      </w:r>
      <w:r>
        <w:rPr>
          <w:rFonts w:ascii="Times New Roman" w:hAnsi="Times New Roman" w:eastAsia="Times New Roman" w:cs="Times New Roman"/>
          <w:spacing w:val="6"/>
          <w:position w:val="3"/>
          <w:sz w:val="23"/>
          <w:szCs w:val="23"/>
        </w:rPr>
        <w:t>=</w:t>
      </w:r>
      <w:r>
        <w:rPr>
          <w:rFonts w:ascii="Times New Roman" w:hAnsi="Times New Roman" w:eastAsia="Times New Roman" w:cs="Times New Roman"/>
          <w:position w:val="3"/>
          <w:sz w:val="23"/>
          <w:szCs w:val="23"/>
        </w:rPr>
        <w:t>F</w:t>
      </w:r>
      <w:r>
        <w:rPr>
          <w:rFonts w:ascii="Times New Roman" w:hAnsi="Times New Roman" w:eastAsia="Times New Roman" w:cs="Times New Roman"/>
          <w:spacing w:val="6"/>
          <w:position w:val="3"/>
          <w:sz w:val="23"/>
          <w:szCs w:val="23"/>
        </w:rPr>
        <w:t xml:space="preserve">×3600/  </w:t>
      </w:r>
      <w:r>
        <w:rPr>
          <w:rFonts w:ascii="宋体" w:hAnsi="宋体" w:eastAsia="宋体" w:cs="宋体"/>
          <w:spacing w:val="6"/>
          <w:position w:val="3"/>
          <w:sz w:val="23"/>
          <w:szCs w:val="23"/>
        </w:rPr>
        <w:t>(</w:t>
      </w:r>
      <w:r>
        <w:rPr>
          <w:rFonts w:ascii="Times New Roman" w:hAnsi="Times New Roman" w:eastAsia="Times New Roman" w:cs="Times New Roman"/>
          <w:position w:val="3"/>
          <w:sz w:val="23"/>
          <w:szCs w:val="23"/>
        </w:rPr>
        <w:t>Q</w:t>
      </w:r>
      <w:r>
        <w:rPr>
          <w:rFonts w:ascii="Times New Roman" w:hAnsi="Times New Roman" w:eastAsia="Times New Roman" w:cs="Times New Roman"/>
          <w:spacing w:val="6"/>
          <w:position w:val="3"/>
          <w:sz w:val="23"/>
          <w:szCs w:val="23"/>
        </w:rPr>
        <w:t>×η</w:t>
      </w:r>
      <w:r>
        <w:rPr>
          <w:rFonts w:ascii="宋体" w:hAnsi="宋体" w:eastAsia="宋体" w:cs="宋体"/>
          <w:spacing w:val="3"/>
          <w:position w:val="3"/>
          <w:sz w:val="23"/>
          <w:szCs w:val="23"/>
        </w:rPr>
        <w:t>)</w:t>
      </w:r>
    </w:p>
    <w:p w14:paraId="3317909B">
      <w:pPr>
        <w:spacing w:before="313" w:line="323" w:lineRule="exact"/>
        <w:ind w:left="504"/>
        <w:rPr>
          <w:rFonts w:ascii="宋体" w:hAnsi="宋体" w:eastAsia="宋体" w:cs="宋体"/>
          <w:sz w:val="23"/>
          <w:szCs w:val="23"/>
        </w:rPr>
      </w:pPr>
      <w:r>
        <w:rPr>
          <w:rFonts w:ascii="宋体" w:hAnsi="宋体" w:eastAsia="宋体" w:cs="宋体"/>
          <w:spacing w:val="17"/>
          <w:position w:val="3"/>
          <w:sz w:val="23"/>
          <w:szCs w:val="23"/>
        </w:rPr>
        <w:t>其</w:t>
      </w:r>
      <w:r>
        <w:rPr>
          <w:rFonts w:ascii="宋体" w:hAnsi="宋体" w:eastAsia="宋体" w:cs="宋体"/>
          <w:spacing w:val="9"/>
          <w:position w:val="3"/>
          <w:sz w:val="23"/>
          <w:szCs w:val="23"/>
        </w:rPr>
        <w:t>中：</w:t>
      </w:r>
      <w:r>
        <w:rPr>
          <w:rFonts w:ascii="Times New Roman" w:hAnsi="Times New Roman" w:eastAsia="Times New Roman" w:cs="Times New Roman"/>
          <w:position w:val="3"/>
          <w:sz w:val="23"/>
          <w:szCs w:val="23"/>
        </w:rPr>
        <w:t>B</w:t>
      </w:r>
      <w:r>
        <w:rPr>
          <w:rFonts w:ascii="Times New Roman" w:hAnsi="Times New Roman" w:eastAsia="Times New Roman" w:cs="Times New Roman"/>
          <w:spacing w:val="9"/>
          <w:position w:val="3"/>
          <w:sz w:val="23"/>
          <w:szCs w:val="23"/>
        </w:rPr>
        <w:t>—</w:t>
      </w:r>
      <w:r>
        <w:rPr>
          <w:rFonts w:ascii="宋体" w:hAnsi="宋体" w:eastAsia="宋体" w:cs="宋体"/>
          <w:spacing w:val="9"/>
          <w:position w:val="3"/>
          <w:sz w:val="23"/>
          <w:szCs w:val="23"/>
        </w:rPr>
        <w:t>耗成型生物质燃料量，</w:t>
      </w:r>
      <w:r>
        <w:rPr>
          <w:rFonts w:ascii="Times New Roman" w:hAnsi="Times New Roman" w:eastAsia="Times New Roman" w:cs="Times New Roman"/>
          <w:position w:val="3"/>
          <w:sz w:val="23"/>
          <w:szCs w:val="23"/>
        </w:rPr>
        <w:t>kg</w:t>
      </w:r>
      <w:r>
        <w:rPr>
          <w:rFonts w:ascii="Times New Roman" w:hAnsi="Times New Roman" w:eastAsia="Times New Roman" w:cs="Times New Roman"/>
          <w:spacing w:val="9"/>
          <w:position w:val="3"/>
          <w:sz w:val="23"/>
          <w:szCs w:val="23"/>
        </w:rPr>
        <w:t>/</w:t>
      </w:r>
      <w:r>
        <w:rPr>
          <w:rFonts w:ascii="Times New Roman" w:hAnsi="Times New Roman" w:eastAsia="Times New Roman" w:cs="Times New Roman"/>
          <w:position w:val="3"/>
          <w:sz w:val="23"/>
          <w:szCs w:val="23"/>
        </w:rPr>
        <w:t>h</w:t>
      </w:r>
      <w:r>
        <w:rPr>
          <w:rFonts w:ascii="宋体" w:hAnsi="宋体" w:eastAsia="宋体" w:cs="宋体"/>
          <w:spacing w:val="9"/>
          <w:position w:val="3"/>
          <w:sz w:val="23"/>
          <w:szCs w:val="23"/>
        </w:rPr>
        <w:t>；</w:t>
      </w:r>
    </w:p>
    <w:p w14:paraId="706B5226">
      <w:pPr>
        <w:spacing w:before="313" w:line="323" w:lineRule="exact"/>
        <w:ind w:left="1217"/>
        <w:rPr>
          <w:rFonts w:ascii="宋体" w:hAnsi="宋体" w:eastAsia="宋体" w:cs="宋体"/>
          <w:sz w:val="23"/>
          <w:szCs w:val="23"/>
        </w:rPr>
      </w:pPr>
      <w:r>
        <w:rPr>
          <w:rFonts w:ascii="Times New Roman" w:hAnsi="Times New Roman" w:eastAsia="Times New Roman" w:cs="Times New Roman"/>
          <w:position w:val="1"/>
          <w:sz w:val="23"/>
          <w:szCs w:val="23"/>
        </w:rPr>
        <w:t>F</w:t>
      </w:r>
      <w:r>
        <w:rPr>
          <w:rFonts w:ascii="Times New Roman" w:hAnsi="Times New Roman" w:eastAsia="Times New Roman" w:cs="Times New Roman"/>
          <w:spacing w:val="7"/>
          <w:position w:val="1"/>
          <w:sz w:val="23"/>
          <w:szCs w:val="23"/>
        </w:rPr>
        <w:t>—</w:t>
      </w:r>
      <w:r>
        <w:rPr>
          <w:rFonts w:ascii="宋体" w:hAnsi="宋体" w:eastAsia="宋体" w:cs="宋体"/>
          <w:spacing w:val="6"/>
          <w:position w:val="1"/>
          <w:sz w:val="23"/>
          <w:szCs w:val="23"/>
        </w:rPr>
        <w:t xml:space="preserve">锅炉功率，本项目热风炉功率为 </w:t>
      </w:r>
      <w:r>
        <w:rPr>
          <w:rFonts w:ascii="Times New Roman" w:hAnsi="Times New Roman" w:eastAsia="Times New Roman" w:cs="Times New Roman"/>
          <w:spacing w:val="6"/>
          <w:position w:val="1"/>
          <w:sz w:val="23"/>
          <w:szCs w:val="23"/>
        </w:rPr>
        <w:t>1400</w:t>
      </w:r>
      <w:r>
        <w:rPr>
          <w:rFonts w:ascii="Times New Roman" w:hAnsi="Times New Roman" w:eastAsia="Times New Roman" w:cs="Times New Roman"/>
          <w:position w:val="1"/>
          <w:sz w:val="23"/>
          <w:szCs w:val="23"/>
        </w:rPr>
        <w:t>kw</w:t>
      </w:r>
      <w:r>
        <w:rPr>
          <w:rFonts w:ascii="宋体" w:hAnsi="宋体" w:eastAsia="宋体" w:cs="宋体"/>
          <w:spacing w:val="6"/>
          <w:position w:val="1"/>
          <w:sz w:val="23"/>
          <w:szCs w:val="23"/>
        </w:rPr>
        <w:t>；</w:t>
      </w:r>
    </w:p>
    <w:p w14:paraId="4647B699">
      <w:pPr>
        <w:sectPr>
          <w:headerReference r:id="rId125" w:type="default"/>
          <w:footerReference r:id="rId126" w:type="default"/>
          <w:pgSz w:w="11906" w:h="16839"/>
          <w:pgMar w:top="1132" w:right="1716" w:bottom="1182" w:left="1785" w:header="878" w:footer="1022" w:gutter="0"/>
          <w:cols w:space="720" w:num="1"/>
        </w:sectPr>
      </w:pPr>
    </w:p>
    <w:p w14:paraId="59872510">
      <w:pPr>
        <w:spacing w:line="364" w:lineRule="auto"/>
        <w:rPr>
          <w:rFonts w:ascii="Arial"/>
          <w:sz w:val="21"/>
        </w:rPr>
      </w:pPr>
      <w:r>
        <w:pict>
          <v:shape id="_x0000_s1174" o:spid="_x0000_s1174" style="position:absolute;left:0pt;margin-left:90pt;margin-top:57.35pt;height:0.75pt;width:415.3pt;mso-position-horizontal-relative:page;mso-position-vertical-relative:page;z-index:251812864;mso-width-relative:page;mso-height-relative:page;" fillcolor="#000000" filled="t" stroked="f" coordsize="8305,15" o:allowincell="f" path="m0,0l8305,0,8305,14,0,14,0,0xe">
            <v:path/>
            <v:fill on="t" focussize="0,0"/>
            <v:stroke on="f"/>
            <v:imagedata o:title=""/>
            <o:lock v:ext="edit"/>
          </v:shape>
        </w:pict>
      </w:r>
    </w:p>
    <w:p w14:paraId="008B10CA">
      <w:pPr>
        <w:spacing w:before="75" w:line="398" w:lineRule="auto"/>
        <w:ind w:left="42" w:right="11" w:firstLine="1180"/>
        <w:rPr>
          <w:rFonts w:ascii="宋体" w:hAnsi="宋体" w:eastAsia="宋体" w:cs="宋体"/>
          <w:sz w:val="23"/>
          <w:szCs w:val="23"/>
        </w:rPr>
      </w:pPr>
      <w:r>
        <w:rPr>
          <w:rFonts w:ascii="Times New Roman" w:hAnsi="Times New Roman" w:eastAsia="Times New Roman" w:cs="Times New Roman"/>
          <w:spacing w:val="-1"/>
          <w:sz w:val="23"/>
          <w:szCs w:val="23"/>
        </w:rPr>
        <w:t>Q</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基低位发热值 ， 本项 目 收 到基低位发热量</w:t>
      </w:r>
      <w:r>
        <w:rPr>
          <w:rFonts w:ascii="宋体" w:hAnsi="宋体" w:eastAsia="宋体" w:cs="宋体"/>
          <w:spacing w:val="-1"/>
          <w:sz w:val="23"/>
          <w:szCs w:val="23"/>
        </w:rPr>
        <w:t xml:space="preserve"> </w:t>
      </w:r>
      <w:r>
        <w:rPr>
          <w:rFonts w:ascii="Times New Roman" w:hAnsi="Times New Roman" w:eastAsia="Times New Roman" w:cs="Times New Roman"/>
          <w:spacing w:val="-1"/>
          <w:sz w:val="23"/>
          <w:szCs w:val="23"/>
        </w:rPr>
        <w:t xml:space="preserve">3782kcal/kg </w:t>
      </w:r>
      <w:r>
        <w:rPr>
          <w:rFonts w:ascii="宋体" w:hAnsi="宋体" w:eastAsia="宋体" w:cs="宋体"/>
          <w:spacing w:val="-1"/>
          <w:sz w:val="23"/>
          <w:szCs w:val="23"/>
        </w:rPr>
        <w:t>，  即</w:t>
      </w:r>
      <w:r>
        <w:rPr>
          <w:rFonts w:ascii="宋体" w:hAnsi="宋体" w:eastAsia="宋体" w:cs="宋体"/>
          <w:sz w:val="23"/>
          <w:szCs w:val="23"/>
        </w:rPr>
        <w:t xml:space="preserve"> </w:t>
      </w:r>
      <w:r>
        <w:rPr>
          <w:rFonts w:ascii="Times New Roman" w:hAnsi="Times New Roman" w:eastAsia="Times New Roman" w:cs="Times New Roman"/>
          <w:spacing w:val="4"/>
          <w:sz w:val="23"/>
          <w:szCs w:val="23"/>
        </w:rPr>
        <w:t>15</w:t>
      </w:r>
      <w:r>
        <w:rPr>
          <w:rFonts w:ascii="Times New Roman" w:hAnsi="Times New Roman" w:eastAsia="Times New Roman" w:cs="Times New Roman"/>
          <w:spacing w:val="3"/>
          <w:sz w:val="23"/>
          <w:szCs w:val="23"/>
        </w:rPr>
        <w:t>8</w:t>
      </w:r>
      <w:r>
        <w:rPr>
          <w:rFonts w:ascii="Times New Roman" w:hAnsi="Times New Roman" w:eastAsia="Times New Roman" w:cs="Times New Roman"/>
          <w:spacing w:val="2"/>
          <w:sz w:val="23"/>
          <w:szCs w:val="23"/>
        </w:rPr>
        <w:t>34.5</w:t>
      </w:r>
      <w:r>
        <w:rPr>
          <w:rFonts w:ascii="Times New Roman" w:hAnsi="Times New Roman" w:eastAsia="Times New Roman" w:cs="Times New Roman"/>
          <w:sz w:val="23"/>
          <w:szCs w:val="23"/>
        </w:rPr>
        <w:t>kj</w:t>
      </w:r>
      <w:r>
        <w:rPr>
          <w:rFonts w:ascii="Times New Roman" w:hAnsi="Times New Roman" w:eastAsia="Times New Roman" w:cs="Times New Roman"/>
          <w:spacing w:val="2"/>
          <w:sz w:val="23"/>
          <w:szCs w:val="23"/>
        </w:rPr>
        <w:t>/</w:t>
      </w:r>
      <w:r>
        <w:rPr>
          <w:rFonts w:ascii="Times New Roman" w:hAnsi="Times New Roman" w:eastAsia="Times New Roman" w:cs="Times New Roman"/>
          <w:sz w:val="23"/>
          <w:szCs w:val="23"/>
        </w:rPr>
        <w:t>kg</w:t>
      </w:r>
      <w:r>
        <w:rPr>
          <w:rFonts w:ascii="宋体" w:hAnsi="宋体" w:eastAsia="宋体" w:cs="宋体"/>
          <w:spacing w:val="2"/>
          <w:sz w:val="23"/>
          <w:szCs w:val="23"/>
        </w:rPr>
        <w:t>；</w:t>
      </w:r>
    </w:p>
    <w:p w14:paraId="25002879">
      <w:pPr>
        <w:spacing w:before="125" w:line="323" w:lineRule="exact"/>
        <w:ind w:left="1215"/>
        <w:rPr>
          <w:rFonts w:ascii="宋体" w:hAnsi="宋体" w:eastAsia="宋体" w:cs="宋体"/>
          <w:sz w:val="23"/>
          <w:szCs w:val="23"/>
        </w:rPr>
      </w:pPr>
      <w:r>
        <w:rPr>
          <w:rFonts w:ascii="Times New Roman" w:hAnsi="Times New Roman" w:eastAsia="Times New Roman" w:cs="Times New Roman"/>
          <w:spacing w:val="4"/>
          <w:position w:val="3"/>
          <w:sz w:val="23"/>
          <w:szCs w:val="23"/>
        </w:rPr>
        <w:t>η</w:t>
      </w:r>
      <w:r>
        <w:rPr>
          <w:rFonts w:ascii="Times New Roman" w:hAnsi="Times New Roman" w:eastAsia="Times New Roman" w:cs="Times New Roman"/>
          <w:spacing w:val="2"/>
          <w:position w:val="3"/>
          <w:sz w:val="23"/>
          <w:szCs w:val="23"/>
        </w:rPr>
        <w:t>—</w:t>
      </w:r>
      <w:r>
        <w:rPr>
          <w:rFonts w:ascii="宋体" w:hAnsi="宋体" w:eastAsia="宋体" w:cs="宋体"/>
          <w:spacing w:val="2"/>
          <w:position w:val="3"/>
          <w:sz w:val="23"/>
          <w:szCs w:val="23"/>
        </w:rPr>
        <w:t xml:space="preserve">热效率，取 </w:t>
      </w:r>
      <w:r>
        <w:rPr>
          <w:rFonts w:ascii="Times New Roman" w:hAnsi="Times New Roman" w:eastAsia="Times New Roman" w:cs="Times New Roman"/>
          <w:spacing w:val="2"/>
          <w:position w:val="3"/>
          <w:sz w:val="23"/>
          <w:szCs w:val="23"/>
        </w:rPr>
        <w:t>85%</w:t>
      </w:r>
      <w:r>
        <w:rPr>
          <w:rFonts w:ascii="宋体" w:hAnsi="宋体" w:eastAsia="宋体" w:cs="宋体"/>
          <w:spacing w:val="2"/>
          <w:position w:val="3"/>
          <w:sz w:val="23"/>
          <w:szCs w:val="23"/>
        </w:rPr>
        <w:t>。</w:t>
      </w:r>
    </w:p>
    <w:p w14:paraId="1D1CA6FC">
      <w:pPr>
        <w:spacing w:before="312" w:line="397" w:lineRule="auto"/>
        <w:ind w:left="43" w:right="13" w:firstLine="462"/>
        <w:rPr>
          <w:rFonts w:ascii="宋体" w:hAnsi="宋体" w:eastAsia="宋体" w:cs="宋体"/>
          <w:sz w:val="23"/>
          <w:szCs w:val="23"/>
        </w:rPr>
      </w:pPr>
      <w:r>
        <w:rPr>
          <w:rFonts w:ascii="宋体" w:hAnsi="宋体" w:eastAsia="宋体" w:cs="宋体"/>
          <w:spacing w:val="10"/>
          <w:sz w:val="23"/>
          <w:szCs w:val="23"/>
        </w:rPr>
        <w:t>经计算</w:t>
      </w:r>
      <w:r>
        <w:rPr>
          <w:rFonts w:ascii="宋体" w:hAnsi="宋体" w:eastAsia="宋体" w:cs="宋体"/>
          <w:spacing w:val="5"/>
          <w:sz w:val="23"/>
          <w:szCs w:val="23"/>
        </w:rPr>
        <w:t xml:space="preserve">，本项目所用 </w:t>
      </w:r>
      <w:r>
        <w:rPr>
          <w:rFonts w:ascii="Times New Roman" w:hAnsi="Times New Roman" w:eastAsia="Times New Roman" w:cs="Times New Roman"/>
          <w:spacing w:val="5"/>
          <w:sz w:val="23"/>
          <w:szCs w:val="23"/>
        </w:rPr>
        <w:t>2</w:t>
      </w:r>
      <w:r>
        <w:rPr>
          <w:rFonts w:ascii="Times New Roman" w:hAnsi="Times New Roman" w:eastAsia="Times New Roman" w:cs="Times New Roman"/>
          <w:sz w:val="23"/>
          <w:szCs w:val="23"/>
        </w:rPr>
        <w:t>t</w:t>
      </w:r>
      <w:r>
        <w:rPr>
          <w:rFonts w:ascii="Times New Roman" w:hAnsi="Times New Roman" w:eastAsia="Times New Roman" w:cs="Times New Roman"/>
          <w:spacing w:val="5"/>
          <w:sz w:val="23"/>
          <w:szCs w:val="23"/>
        </w:rPr>
        <w:t>/</w:t>
      </w:r>
      <w:r>
        <w:rPr>
          <w:rFonts w:ascii="Times New Roman" w:hAnsi="Times New Roman" w:eastAsia="Times New Roman" w:cs="Times New Roman"/>
          <w:sz w:val="23"/>
          <w:szCs w:val="23"/>
        </w:rPr>
        <w:t>h</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rPr>
        <w:t xml:space="preserve">的热风炉燃料消耗量约为 </w:t>
      </w:r>
      <w:r>
        <w:rPr>
          <w:rFonts w:ascii="Times New Roman" w:hAnsi="Times New Roman" w:eastAsia="Times New Roman" w:cs="Times New Roman"/>
          <w:spacing w:val="5"/>
          <w:sz w:val="23"/>
          <w:szCs w:val="23"/>
        </w:rPr>
        <w:t>374.5</w:t>
      </w:r>
      <w:r>
        <w:rPr>
          <w:rFonts w:ascii="Times New Roman" w:hAnsi="Times New Roman" w:eastAsia="Times New Roman" w:cs="Times New Roman"/>
          <w:sz w:val="23"/>
          <w:szCs w:val="23"/>
        </w:rPr>
        <w:t>kg</w:t>
      </w:r>
      <w:r>
        <w:rPr>
          <w:rFonts w:ascii="Times New Roman" w:hAnsi="Times New Roman" w:eastAsia="Times New Roman" w:cs="Times New Roman"/>
          <w:spacing w:val="5"/>
          <w:sz w:val="23"/>
          <w:szCs w:val="23"/>
        </w:rPr>
        <w:t>/</w:t>
      </w:r>
      <w:r>
        <w:rPr>
          <w:rFonts w:ascii="Times New Roman" w:hAnsi="Times New Roman" w:eastAsia="Times New Roman" w:cs="Times New Roman"/>
          <w:sz w:val="23"/>
          <w:szCs w:val="23"/>
        </w:rPr>
        <w:t>h</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rPr>
        <w:t>，每天需加热</w:t>
      </w:r>
      <w:r>
        <w:rPr>
          <w:rFonts w:ascii="宋体" w:hAnsi="宋体" w:eastAsia="宋体" w:cs="宋体"/>
          <w:sz w:val="23"/>
          <w:szCs w:val="23"/>
        </w:rPr>
        <w:t xml:space="preserve"> </w:t>
      </w:r>
      <w:r>
        <w:rPr>
          <w:rFonts w:ascii="宋体" w:hAnsi="宋体" w:eastAsia="宋体" w:cs="宋体"/>
          <w:spacing w:val="-1"/>
          <w:sz w:val="23"/>
          <w:szCs w:val="23"/>
        </w:rPr>
        <w:t xml:space="preserve">的时间约为 </w:t>
      </w:r>
      <w:r>
        <w:rPr>
          <w:rFonts w:ascii="Times New Roman" w:hAnsi="Times New Roman" w:eastAsia="Times New Roman" w:cs="Times New Roman"/>
          <w:spacing w:val="-1"/>
          <w:sz w:val="23"/>
          <w:szCs w:val="23"/>
        </w:rPr>
        <w:t>6</w:t>
      </w:r>
      <w:r>
        <w:rPr>
          <w:rFonts w:ascii="Times New Roman" w:hAnsi="Times New Roman" w:eastAsia="Times New Roman" w:cs="Times New Roman"/>
          <w:sz w:val="23"/>
          <w:szCs w:val="23"/>
        </w:rPr>
        <w:t>h</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 xml:space="preserve">，年营运期为 </w:t>
      </w:r>
      <w:r>
        <w:rPr>
          <w:rFonts w:ascii="Times New Roman" w:hAnsi="Times New Roman" w:eastAsia="Times New Roman" w:cs="Times New Roman"/>
          <w:spacing w:val="-1"/>
          <w:sz w:val="23"/>
          <w:szCs w:val="23"/>
        </w:rPr>
        <w:t xml:space="preserve">300 </w:t>
      </w:r>
      <w:r>
        <w:rPr>
          <w:rFonts w:ascii="宋体" w:hAnsi="宋体" w:eastAsia="宋体" w:cs="宋体"/>
          <w:spacing w:val="-1"/>
          <w:sz w:val="23"/>
          <w:szCs w:val="23"/>
        </w:rPr>
        <w:t>天，即消耗生物质燃料</w:t>
      </w:r>
      <w:r>
        <w:rPr>
          <w:rFonts w:ascii="宋体" w:hAnsi="宋体" w:eastAsia="宋体" w:cs="宋体"/>
          <w:sz w:val="23"/>
          <w:szCs w:val="23"/>
        </w:rPr>
        <w:t xml:space="preserve">约 </w:t>
      </w:r>
      <w:r>
        <w:rPr>
          <w:rFonts w:ascii="Times New Roman" w:hAnsi="Times New Roman" w:eastAsia="Times New Roman" w:cs="Times New Roman"/>
          <w:sz w:val="23"/>
          <w:szCs w:val="23"/>
        </w:rPr>
        <w:t>674. 1t/a</w:t>
      </w:r>
      <w:r>
        <w:rPr>
          <w:rFonts w:ascii="宋体" w:hAnsi="宋体" w:eastAsia="宋体" w:cs="宋体"/>
          <w:sz w:val="23"/>
          <w:szCs w:val="23"/>
        </w:rPr>
        <w:t>。</w:t>
      </w:r>
    </w:p>
    <w:p w14:paraId="0A388196">
      <w:pPr>
        <w:spacing w:before="172" w:line="380" w:lineRule="auto"/>
        <w:ind w:left="23" w:right="13" w:firstLine="480"/>
        <w:rPr>
          <w:rFonts w:ascii="宋体" w:hAnsi="宋体" w:eastAsia="宋体" w:cs="宋体"/>
          <w:sz w:val="23"/>
          <w:szCs w:val="23"/>
        </w:rPr>
      </w:pPr>
      <w:r>
        <w:rPr>
          <w:rFonts w:ascii="宋体" w:hAnsi="宋体" w:eastAsia="宋体" w:cs="宋体"/>
          <w:spacing w:val="6"/>
          <w:sz w:val="23"/>
          <w:szCs w:val="23"/>
        </w:rPr>
        <w:t>根据《污染源源</w:t>
      </w:r>
      <w:r>
        <w:rPr>
          <w:rFonts w:ascii="宋体" w:hAnsi="宋体" w:eastAsia="宋体" w:cs="宋体"/>
          <w:spacing w:val="5"/>
          <w:sz w:val="23"/>
          <w:szCs w:val="23"/>
        </w:rPr>
        <w:t>强</w:t>
      </w:r>
      <w:r>
        <w:rPr>
          <w:rFonts w:ascii="宋体" w:hAnsi="宋体" w:eastAsia="宋体" w:cs="宋体"/>
          <w:spacing w:val="3"/>
          <w:sz w:val="23"/>
          <w:szCs w:val="23"/>
        </w:rPr>
        <w:t>核算技术指南 锅炉》  (</w:t>
      </w:r>
      <w:r>
        <w:rPr>
          <w:rFonts w:ascii="Times New Roman" w:hAnsi="Times New Roman" w:eastAsia="Times New Roman" w:cs="Times New Roman"/>
          <w:sz w:val="23"/>
          <w:szCs w:val="23"/>
        </w:rPr>
        <w:t>HJ</w:t>
      </w:r>
      <w:r>
        <w:rPr>
          <w:rFonts w:ascii="Times New Roman" w:hAnsi="Times New Roman" w:eastAsia="Times New Roman" w:cs="Times New Roman"/>
          <w:spacing w:val="3"/>
          <w:sz w:val="23"/>
          <w:szCs w:val="23"/>
        </w:rPr>
        <w:t>991-2018</w:t>
      </w:r>
      <w:r>
        <w:rPr>
          <w:rFonts w:ascii="宋体" w:hAnsi="宋体" w:eastAsia="宋体" w:cs="宋体"/>
          <w:spacing w:val="3"/>
          <w:sz w:val="23"/>
          <w:szCs w:val="23"/>
        </w:rPr>
        <w:t xml:space="preserve">) 附录 </w:t>
      </w:r>
      <w:r>
        <w:rPr>
          <w:rFonts w:ascii="Times New Roman" w:hAnsi="Times New Roman" w:eastAsia="Times New Roman" w:cs="Times New Roman"/>
          <w:sz w:val="23"/>
          <w:szCs w:val="23"/>
        </w:rPr>
        <w:t>C</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中烟气量的</w:t>
      </w:r>
      <w:r>
        <w:rPr>
          <w:rFonts w:ascii="宋体" w:hAnsi="宋体" w:eastAsia="宋体" w:cs="宋体"/>
          <w:sz w:val="23"/>
          <w:szCs w:val="23"/>
        </w:rPr>
        <w:t xml:space="preserve"> </w:t>
      </w:r>
      <w:r>
        <w:rPr>
          <w:rFonts w:ascii="宋体" w:hAnsi="宋体" w:eastAsia="宋体" w:cs="宋体"/>
          <w:spacing w:val="14"/>
          <w:sz w:val="23"/>
          <w:szCs w:val="23"/>
        </w:rPr>
        <w:t>计</w:t>
      </w:r>
      <w:r>
        <w:rPr>
          <w:rFonts w:ascii="宋体" w:hAnsi="宋体" w:eastAsia="宋体" w:cs="宋体"/>
          <w:spacing w:val="12"/>
          <w:sz w:val="23"/>
          <w:szCs w:val="23"/>
        </w:rPr>
        <w:t>算</w:t>
      </w:r>
      <w:r>
        <w:rPr>
          <w:rFonts w:ascii="宋体" w:hAnsi="宋体" w:eastAsia="宋体" w:cs="宋体"/>
          <w:spacing w:val="7"/>
          <w:sz w:val="23"/>
          <w:szCs w:val="23"/>
        </w:rPr>
        <w:t xml:space="preserve">，对于 </w:t>
      </w:r>
      <w:r>
        <w:rPr>
          <w:rFonts w:ascii="Times New Roman" w:hAnsi="Times New Roman" w:eastAsia="Times New Roman" w:cs="Times New Roman"/>
          <w:spacing w:val="7"/>
          <w:sz w:val="23"/>
          <w:szCs w:val="23"/>
        </w:rPr>
        <w:t>1</w:t>
      </w:r>
      <w:r>
        <w:rPr>
          <w:rFonts w:ascii="Times New Roman" w:hAnsi="Times New Roman" w:eastAsia="Times New Roman" w:cs="Times New Roman"/>
          <w:sz w:val="23"/>
          <w:szCs w:val="23"/>
        </w:rPr>
        <w:t>kg</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固体或液体燃料，有元素成分分析时理论空气量用式 (</w:t>
      </w:r>
      <w:r>
        <w:rPr>
          <w:rFonts w:ascii="Times New Roman" w:hAnsi="Times New Roman" w:eastAsia="Times New Roman" w:cs="Times New Roman"/>
          <w:sz w:val="23"/>
          <w:szCs w:val="23"/>
        </w:rPr>
        <w:t>C</w:t>
      </w:r>
      <w:r>
        <w:rPr>
          <w:rFonts w:ascii="Times New Roman" w:hAnsi="Times New Roman" w:eastAsia="Times New Roman" w:cs="Times New Roman"/>
          <w:spacing w:val="7"/>
          <w:sz w:val="23"/>
          <w:szCs w:val="23"/>
        </w:rPr>
        <w:t>.2</w:t>
      </w:r>
      <w:r>
        <w:rPr>
          <w:rFonts w:ascii="宋体" w:hAnsi="宋体" w:eastAsia="宋体" w:cs="宋体"/>
          <w:spacing w:val="7"/>
          <w:sz w:val="23"/>
          <w:szCs w:val="23"/>
        </w:rPr>
        <w:t>) 计</w:t>
      </w:r>
      <w:r>
        <w:rPr>
          <w:rFonts w:ascii="宋体" w:hAnsi="宋体" w:eastAsia="宋体" w:cs="宋体"/>
          <w:sz w:val="23"/>
          <w:szCs w:val="23"/>
        </w:rPr>
        <w:t xml:space="preserve"> 算。</w:t>
      </w:r>
    </w:p>
    <w:p w14:paraId="7CC7A1C6">
      <w:pPr>
        <w:spacing w:before="130" w:line="323" w:lineRule="exact"/>
        <w:ind w:left="1674"/>
        <w:rPr>
          <w:rFonts w:ascii="Times New Roman" w:hAnsi="Times New Roman" w:eastAsia="Times New Roman" w:cs="Times New Roman"/>
          <w:sz w:val="23"/>
          <w:szCs w:val="23"/>
        </w:rPr>
      </w:pPr>
      <w:r>
        <w:rPr>
          <w:rFonts w:ascii="Times New Roman" w:hAnsi="Times New Roman" w:eastAsia="Times New Roman" w:cs="Times New Roman"/>
          <w:position w:val="1"/>
          <w:sz w:val="23"/>
          <w:szCs w:val="23"/>
        </w:rPr>
        <w:t>V</w:t>
      </w:r>
      <w:r>
        <w:rPr>
          <w:rFonts w:ascii="Times New Roman" w:hAnsi="Times New Roman" w:eastAsia="Times New Roman" w:cs="Times New Roman"/>
          <w:spacing w:val="12"/>
          <w:sz w:val="15"/>
          <w:szCs w:val="15"/>
        </w:rPr>
        <w:t>0</w:t>
      </w:r>
      <w:r>
        <w:rPr>
          <w:rFonts w:ascii="Times New Roman" w:hAnsi="Times New Roman" w:eastAsia="Times New Roman" w:cs="Times New Roman"/>
          <w:spacing w:val="7"/>
          <w:position w:val="1"/>
          <w:sz w:val="23"/>
          <w:szCs w:val="23"/>
        </w:rPr>
        <w:t>=</w:t>
      </w:r>
      <w:r>
        <w:rPr>
          <w:rFonts w:ascii="Times New Roman" w:hAnsi="Times New Roman" w:eastAsia="Times New Roman" w:cs="Times New Roman"/>
          <w:spacing w:val="6"/>
          <w:position w:val="1"/>
          <w:sz w:val="23"/>
          <w:szCs w:val="23"/>
        </w:rPr>
        <w:t xml:space="preserve">0.0889  </w:t>
      </w:r>
      <w:r>
        <w:rPr>
          <w:rFonts w:ascii="宋体" w:hAnsi="宋体" w:eastAsia="宋体" w:cs="宋体"/>
          <w:spacing w:val="6"/>
          <w:position w:val="1"/>
          <w:sz w:val="23"/>
          <w:szCs w:val="23"/>
        </w:rPr>
        <w:t>(</w:t>
      </w:r>
      <w:r>
        <w:rPr>
          <w:rFonts w:ascii="Times New Roman" w:hAnsi="Times New Roman" w:eastAsia="Times New Roman" w:cs="Times New Roman"/>
          <w:position w:val="1"/>
          <w:sz w:val="23"/>
          <w:szCs w:val="23"/>
        </w:rPr>
        <w:t>Car</w:t>
      </w:r>
      <w:r>
        <w:rPr>
          <w:rFonts w:ascii="Times New Roman" w:hAnsi="Times New Roman" w:eastAsia="Times New Roman" w:cs="Times New Roman"/>
          <w:spacing w:val="6"/>
          <w:position w:val="1"/>
          <w:sz w:val="23"/>
          <w:szCs w:val="23"/>
        </w:rPr>
        <w:t>+0.375</w:t>
      </w:r>
      <w:r>
        <w:rPr>
          <w:rFonts w:ascii="Times New Roman" w:hAnsi="Times New Roman" w:eastAsia="Times New Roman" w:cs="Times New Roman"/>
          <w:position w:val="1"/>
          <w:sz w:val="23"/>
          <w:szCs w:val="23"/>
        </w:rPr>
        <w:t>Sar</w:t>
      </w:r>
      <w:r>
        <w:rPr>
          <w:rFonts w:ascii="宋体" w:hAnsi="宋体" w:eastAsia="宋体" w:cs="宋体"/>
          <w:spacing w:val="6"/>
          <w:position w:val="1"/>
          <w:sz w:val="23"/>
          <w:szCs w:val="23"/>
        </w:rPr>
        <w:t xml:space="preserve">) </w:t>
      </w:r>
      <w:r>
        <w:rPr>
          <w:rFonts w:ascii="Times New Roman" w:hAnsi="Times New Roman" w:eastAsia="Times New Roman" w:cs="Times New Roman"/>
          <w:spacing w:val="6"/>
          <w:position w:val="1"/>
          <w:sz w:val="23"/>
          <w:szCs w:val="23"/>
        </w:rPr>
        <w:t>+0.265</w:t>
      </w:r>
      <w:r>
        <w:rPr>
          <w:rFonts w:ascii="Times New Roman" w:hAnsi="Times New Roman" w:eastAsia="Times New Roman" w:cs="Times New Roman"/>
          <w:position w:val="1"/>
          <w:sz w:val="23"/>
          <w:szCs w:val="23"/>
        </w:rPr>
        <w:t>Har</w:t>
      </w:r>
      <w:r>
        <w:rPr>
          <w:rFonts w:ascii="Times New Roman" w:hAnsi="Times New Roman" w:eastAsia="Times New Roman" w:cs="Times New Roman"/>
          <w:spacing w:val="6"/>
          <w:position w:val="1"/>
          <w:sz w:val="23"/>
          <w:szCs w:val="23"/>
        </w:rPr>
        <w:t>-0.0333</w:t>
      </w:r>
      <w:r>
        <w:rPr>
          <w:rFonts w:ascii="Times New Roman" w:hAnsi="Times New Roman" w:eastAsia="Times New Roman" w:cs="Times New Roman"/>
          <w:position w:val="1"/>
          <w:sz w:val="23"/>
          <w:szCs w:val="23"/>
        </w:rPr>
        <w:t>Oar</w:t>
      </w:r>
    </w:p>
    <w:p w14:paraId="33B42B46">
      <w:pPr>
        <w:spacing w:before="313" w:line="323" w:lineRule="exact"/>
        <w:ind w:left="508"/>
        <w:rPr>
          <w:rFonts w:ascii="宋体" w:hAnsi="宋体" w:eastAsia="宋体" w:cs="宋体"/>
          <w:sz w:val="23"/>
          <w:szCs w:val="23"/>
        </w:rPr>
      </w:pPr>
      <w:r>
        <w:rPr>
          <w:rFonts w:ascii="宋体" w:hAnsi="宋体" w:eastAsia="宋体" w:cs="宋体"/>
          <w:spacing w:val="16"/>
          <w:position w:val="3"/>
          <w:sz w:val="23"/>
          <w:szCs w:val="23"/>
        </w:rPr>
        <w:t>式</w:t>
      </w:r>
      <w:r>
        <w:rPr>
          <w:rFonts w:ascii="宋体" w:hAnsi="宋体" w:eastAsia="宋体" w:cs="宋体"/>
          <w:spacing w:val="9"/>
          <w:position w:val="3"/>
          <w:sz w:val="23"/>
          <w:szCs w:val="23"/>
        </w:rPr>
        <w:t>中：</w:t>
      </w:r>
      <w:r>
        <w:rPr>
          <w:rFonts w:ascii="Times New Roman" w:hAnsi="Times New Roman" w:eastAsia="Times New Roman" w:cs="Times New Roman"/>
          <w:position w:val="3"/>
          <w:sz w:val="23"/>
          <w:szCs w:val="23"/>
        </w:rPr>
        <w:t>V</w:t>
      </w:r>
      <w:r>
        <w:rPr>
          <w:rFonts w:ascii="Times New Roman" w:hAnsi="Times New Roman" w:eastAsia="Times New Roman" w:cs="Times New Roman"/>
          <w:spacing w:val="9"/>
          <w:position w:val="2"/>
          <w:sz w:val="15"/>
          <w:szCs w:val="15"/>
        </w:rPr>
        <w:t xml:space="preserve">0 </w:t>
      </w:r>
      <w:r>
        <w:rPr>
          <w:rFonts w:ascii="Times New Roman" w:hAnsi="Times New Roman" w:eastAsia="Times New Roman" w:cs="Times New Roman"/>
          <w:spacing w:val="9"/>
          <w:position w:val="3"/>
          <w:sz w:val="23"/>
          <w:szCs w:val="23"/>
        </w:rPr>
        <w:t>—</w:t>
      </w:r>
      <w:r>
        <w:rPr>
          <w:rFonts w:ascii="宋体" w:hAnsi="宋体" w:eastAsia="宋体" w:cs="宋体"/>
          <w:spacing w:val="9"/>
          <w:position w:val="3"/>
          <w:sz w:val="23"/>
          <w:szCs w:val="23"/>
        </w:rPr>
        <w:t>理论空气量，</w:t>
      </w:r>
      <w:r>
        <w:rPr>
          <w:rFonts w:ascii="Times New Roman" w:hAnsi="Times New Roman" w:eastAsia="Times New Roman" w:cs="Times New Roman"/>
          <w:position w:val="3"/>
          <w:sz w:val="23"/>
          <w:szCs w:val="23"/>
        </w:rPr>
        <w:t>m</w:t>
      </w:r>
      <w:r>
        <w:rPr>
          <w:rFonts w:ascii="Times New Roman" w:hAnsi="Times New Roman" w:eastAsia="Times New Roman" w:cs="Times New Roman"/>
          <w:spacing w:val="9"/>
          <w:position w:val="11"/>
          <w:sz w:val="15"/>
          <w:szCs w:val="15"/>
        </w:rPr>
        <w:t>3</w:t>
      </w:r>
      <w:r>
        <w:rPr>
          <w:rFonts w:ascii="Times New Roman" w:hAnsi="Times New Roman" w:eastAsia="Times New Roman" w:cs="Times New Roman"/>
          <w:spacing w:val="9"/>
          <w:position w:val="3"/>
          <w:sz w:val="23"/>
          <w:szCs w:val="23"/>
        </w:rPr>
        <w:t>/</w:t>
      </w:r>
      <w:r>
        <w:rPr>
          <w:rFonts w:ascii="Times New Roman" w:hAnsi="Times New Roman" w:eastAsia="Times New Roman" w:cs="Times New Roman"/>
          <w:position w:val="3"/>
          <w:sz w:val="23"/>
          <w:szCs w:val="23"/>
        </w:rPr>
        <w:t>kg</w:t>
      </w:r>
      <w:r>
        <w:rPr>
          <w:rFonts w:ascii="宋体" w:hAnsi="宋体" w:eastAsia="宋体" w:cs="宋体"/>
          <w:spacing w:val="9"/>
          <w:position w:val="3"/>
          <w:sz w:val="23"/>
          <w:szCs w:val="23"/>
        </w:rPr>
        <w:t>；</w:t>
      </w:r>
    </w:p>
    <w:p w14:paraId="6CBCD634">
      <w:pPr>
        <w:spacing w:before="157" w:line="480" w:lineRule="exact"/>
        <w:ind w:left="1255"/>
        <w:rPr>
          <w:rFonts w:ascii="宋体" w:hAnsi="宋体" w:eastAsia="宋体" w:cs="宋体"/>
          <w:sz w:val="23"/>
          <w:szCs w:val="23"/>
        </w:rPr>
      </w:pPr>
      <w:r>
        <w:rPr>
          <w:rFonts w:ascii="Times New Roman" w:hAnsi="Times New Roman" w:eastAsia="Times New Roman" w:cs="Times New Roman"/>
          <w:position w:val="11"/>
          <w:sz w:val="23"/>
          <w:szCs w:val="23"/>
        </w:rPr>
        <w:t>C</w:t>
      </w:r>
      <w:r>
        <w:rPr>
          <w:rFonts w:ascii="Times New Roman" w:hAnsi="Times New Roman" w:eastAsia="Times New Roman" w:cs="Times New Roman"/>
          <w:position w:val="11"/>
          <w:sz w:val="13"/>
          <w:szCs w:val="13"/>
        </w:rPr>
        <w:t>ar</w:t>
      </w:r>
      <w:r>
        <w:rPr>
          <w:rFonts w:ascii="Times New Roman" w:hAnsi="Times New Roman" w:eastAsia="Times New Roman" w:cs="Times New Roman"/>
          <w:spacing w:val="8"/>
          <w:position w:val="11"/>
          <w:sz w:val="13"/>
          <w:szCs w:val="13"/>
        </w:rPr>
        <w:t xml:space="preserve"> </w:t>
      </w:r>
      <w:r>
        <w:rPr>
          <w:rFonts w:ascii="Times New Roman" w:hAnsi="Times New Roman" w:eastAsia="Times New Roman" w:cs="Times New Roman"/>
          <w:spacing w:val="6"/>
          <w:position w:val="14"/>
          <w:sz w:val="23"/>
          <w:szCs w:val="23"/>
        </w:rPr>
        <w:t xml:space="preserve">— </w:t>
      </w:r>
      <w:r>
        <w:rPr>
          <w:rFonts w:ascii="宋体" w:hAnsi="宋体" w:eastAsia="宋体" w:cs="宋体"/>
          <w:spacing w:val="6"/>
          <w:position w:val="14"/>
          <w:sz w:val="23"/>
          <w:szCs w:val="23"/>
        </w:rPr>
        <w:t>收到基碳的质量分数，</w:t>
      </w:r>
      <w:r>
        <w:rPr>
          <w:rFonts w:ascii="Times New Roman" w:hAnsi="Times New Roman" w:eastAsia="Times New Roman" w:cs="Times New Roman"/>
          <w:spacing w:val="6"/>
          <w:position w:val="14"/>
          <w:sz w:val="23"/>
          <w:szCs w:val="23"/>
        </w:rPr>
        <w:t>%</w:t>
      </w:r>
      <w:r>
        <w:rPr>
          <w:rFonts w:ascii="宋体" w:hAnsi="宋体" w:eastAsia="宋体" w:cs="宋体"/>
          <w:spacing w:val="6"/>
          <w:position w:val="14"/>
          <w:sz w:val="23"/>
          <w:szCs w:val="23"/>
        </w:rPr>
        <w:t>；</w:t>
      </w:r>
    </w:p>
    <w:p w14:paraId="33EF3862">
      <w:pPr>
        <w:spacing w:line="323" w:lineRule="exact"/>
        <w:ind w:left="1254"/>
        <w:rPr>
          <w:rFonts w:ascii="宋体" w:hAnsi="宋体" w:eastAsia="宋体" w:cs="宋体"/>
          <w:sz w:val="23"/>
          <w:szCs w:val="23"/>
        </w:rPr>
      </w:pPr>
      <w:r>
        <w:rPr>
          <w:rFonts w:ascii="Times New Roman" w:hAnsi="Times New Roman" w:eastAsia="Times New Roman" w:cs="Times New Roman"/>
          <w:position w:val="-1"/>
          <w:sz w:val="23"/>
          <w:szCs w:val="23"/>
        </w:rPr>
        <w:t>S</w:t>
      </w:r>
      <w:r>
        <w:rPr>
          <w:rFonts w:ascii="Times New Roman" w:hAnsi="Times New Roman" w:eastAsia="Times New Roman" w:cs="Times New Roman"/>
          <w:position w:val="-1"/>
          <w:sz w:val="13"/>
          <w:szCs w:val="13"/>
        </w:rPr>
        <w:t>ar</w:t>
      </w:r>
      <w:r>
        <w:rPr>
          <w:rFonts w:ascii="Times New Roman" w:hAnsi="Times New Roman" w:eastAsia="Times New Roman" w:cs="Times New Roman"/>
          <w:spacing w:val="8"/>
          <w:position w:val="-1"/>
          <w:sz w:val="13"/>
          <w:szCs w:val="13"/>
        </w:rPr>
        <w:t xml:space="preserve"> </w:t>
      </w:r>
      <w:r>
        <w:rPr>
          <w:rFonts w:ascii="Times New Roman" w:hAnsi="Times New Roman" w:eastAsia="Times New Roman" w:cs="Times New Roman"/>
          <w:spacing w:val="5"/>
          <w:position w:val="2"/>
          <w:sz w:val="23"/>
          <w:szCs w:val="23"/>
        </w:rPr>
        <w:t xml:space="preserve">— </w:t>
      </w:r>
      <w:r>
        <w:rPr>
          <w:rFonts w:ascii="宋体" w:hAnsi="宋体" w:eastAsia="宋体" w:cs="宋体"/>
          <w:spacing w:val="5"/>
          <w:position w:val="2"/>
          <w:sz w:val="23"/>
          <w:szCs w:val="23"/>
        </w:rPr>
        <w:t>收到基硫的质量分数，</w:t>
      </w:r>
      <w:r>
        <w:rPr>
          <w:rFonts w:ascii="Times New Roman" w:hAnsi="Times New Roman" w:eastAsia="Times New Roman" w:cs="Times New Roman"/>
          <w:spacing w:val="5"/>
          <w:position w:val="2"/>
          <w:sz w:val="23"/>
          <w:szCs w:val="23"/>
        </w:rPr>
        <w:t>%</w:t>
      </w:r>
      <w:r>
        <w:rPr>
          <w:rFonts w:ascii="宋体" w:hAnsi="宋体" w:eastAsia="宋体" w:cs="宋体"/>
          <w:spacing w:val="5"/>
          <w:position w:val="2"/>
          <w:sz w:val="23"/>
          <w:szCs w:val="23"/>
        </w:rPr>
        <w:t>；</w:t>
      </w:r>
    </w:p>
    <w:p w14:paraId="198427DD">
      <w:pPr>
        <w:spacing w:before="157" w:line="323" w:lineRule="exact"/>
        <w:ind w:left="1218"/>
        <w:rPr>
          <w:rFonts w:ascii="宋体" w:hAnsi="宋体" w:eastAsia="宋体" w:cs="宋体"/>
          <w:sz w:val="23"/>
          <w:szCs w:val="23"/>
        </w:rPr>
      </w:pPr>
      <w:r>
        <w:rPr>
          <w:rFonts w:ascii="Times New Roman" w:hAnsi="Times New Roman" w:eastAsia="Times New Roman" w:cs="Times New Roman"/>
          <w:position w:val="1"/>
          <w:sz w:val="23"/>
          <w:szCs w:val="23"/>
        </w:rPr>
        <w:t>H</w:t>
      </w:r>
      <w:r>
        <w:rPr>
          <w:rFonts w:ascii="Times New Roman" w:hAnsi="Times New Roman" w:eastAsia="Times New Roman" w:cs="Times New Roman"/>
          <w:sz w:val="15"/>
          <w:szCs w:val="15"/>
        </w:rPr>
        <w:t>ar</w:t>
      </w:r>
      <w:r>
        <w:rPr>
          <w:rFonts w:ascii="Times New Roman" w:hAnsi="Times New Roman" w:eastAsia="Times New Roman" w:cs="Times New Roman"/>
          <w:spacing w:val="8"/>
          <w:position w:val="1"/>
          <w:sz w:val="23"/>
          <w:szCs w:val="23"/>
        </w:rPr>
        <w:t xml:space="preserve">— </w:t>
      </w:r>
      <w:r>
        <w:rPr>
          <w:rFonts w:ascii="宋体" w:hAnsi="宋体" w:eastAsia="宋体" w:cs="宋体"/>
          <w:spacing w:val="6"/>
          <w:position w:val="1"/>
          <w:sz w:val="23"/>
          <w:szCs w:val="23"/>
        </w:rPr>
        <w:t>收</w:t>
      </w:r>
      <w:r>
        <w:rPr>
          <w:rFonts w:ascii="宋体" w:hAnsi="宋体" w:eastAsia="宋体" w:cs="宋体"/>
          <w:spacing w:val="4"/>
          <w:position w:val="1"/>
          <w:sz w:val="23"/>
          <w:szCs w:val="23"/>
        </w:rPr>
        <w:t>到基氢的质量分数，</w:t>
      </w:r>
      <w:r>
        <w:rPr>
          <w:rFonts w:ascii="Times New Roman" w:hAnsi="Times New Roman" w:eastAsia="Times New Roman" w:cs="Times New Roman"/>
          <w:spacing w:val="4"/>
          <w:position w:val="1"/>
          <w:sz w:val="23"/>
          <w:szCs w:val="23"/>
        </w:rPr>
        <w:t>%</w:t>
      </w:r>
      <w:r>
        <w:rPr>
          <w:rFonts w:ascii="宋体" w:hAnsi="宋体" w:eastAsia="宋体" w:cs="宋体"/>
          <w:spacing w:val="4"/>
          <w:position w:val="1"/>
          <w:sz w:val="23"/>
          <w:szCs w:val="23"/>
        </w:rPr>
        <w:t>；</w:t>
      </w:r>
    </w:p>
    <w:p w14:paraId="1E35DCD9">
      <w:pPr>
        <w:spacing w:before="157" w:line="323" w:lineRule="exact"/>
        <w:ind w:left="1222"/>
        <w:rPr>
          <w:rFonts w:ascii="宋体" w:hAnsi="宋体" w:eastAsia="宋体" w:cs="宋体"/>
          <w:sz w:val="23"/>
          <w:szCs w:val="23"/>
        </w:rPr>
      </w:pPr>
      <w:r>
        <w:rPr>
          <w:rFonts w:ascii="Times New Roman" w:hAnsi="Times New Roman" w:eastAsia="Times New Roman" w:cs="Times New Roman"/>
          <w:position w:val="1"/>
          <w:sz w:val="23"/>
          <w:szCs w:val="23"/>
        </w:rPr>
        <w:t>Oar</w:t>
      </w:r>
      <w:r>
        <w:rPr>
          <w:rFonts w:ascii="Times New Roman" w:hAnsi="Times New Roman" w:eastAsia="Times New Roman" w:cs="Times New Roman"/>
          <w:spacing w:val="5"/>
          <w:position w:val="1"/>
          <w:sz w:val="23"/>
          <w:szCs w:val="23"/>
        </w:rPr>
        <w:t xml:space="preserve">— </w:t>
      </w:r>
      <w:r>
        <w:rPr>
          <w:rFonts w:ascii="宋体" w:hAnsi="宋体" w:eastAsia="宋体" w:cs="宋体"/>
          <w:spacing w:val="5"/>
          <w:position w:val="1"/>
          <w:sz w:val="23"/>
          <w:szCs w:val="23"/>
        </w:rPr>
        <w:t>收到基氧的质量分数，</w:t>
      </w:r>
      <w:r>
        <w:rPr>
          <w:rFonts w:ascii="Times New Roman" w:hAnsi="Times New Roman" w:eastAsia="Times New Roman" w:cs="Times New Roman"/>
          <w:spacing w:val="5"/>
          <w:position w:val="1"/>
          <w:sz w:val="23"/>
          <w:szCs w:val="23"/>
        </w:rPr>
        <w:t>%</w:t>
      </w:r>
      <w:r>
        <w:rPr>
          <w:rFonts w:ascii="宋体" w:hAnsi="宋体" w:eastAsia="宋体" w:cs="宋体"/>
          <w:spacing w:val="2"/>
          <w:position w:val="1"/>
          <w:sz w:val="23"/>
          <w:szCs w:val="23"/>
        </w:rPr>
        <w:t>。</w:t>
      </w:r>
    </w:p>
    <w:p w14:paraId="78694B41">
      <w:pPr>
        <w:spacing w:before="313" w:line="390" w:lineRule="auto"/>
        <w:ind w:left="23" w:right="13" w:firstLine="480"/>
        <w:rPr>
          <w:rFonts w:ascii="宋体" w:hAnsi="宋体" w:eastAsia="宋体" w:cs="宋体"/>
          <w:sz w:val="23"/>
          <w:szCs w:val="23"/>
        </w:rPr>
      </w:pPr>
      <w:r>
        <w:rPr>
          <w:rFonts w:ascii="宋体" w:hAnsi="宋体" w:eastAsia="宋体" w:cs="宋体"/>
          <w:spacing w:val="12"/>
          <w:sz w:val="23"/>
          <w:szCs w:val="23"/>
        </w:rPr>
        <w:t>锅</w:t>
      </w:r>
      <w:r>
        <w:rPr>
          <w:rFonts w:ascii="宋体" w:hAnsi="宋体" w:eastAsia="宋体" w:cs="宋体"/>
          <w:spacing w:val="11"/>
          <w:sz w:val="23"/>
          <w:szCs w:val="23"/>
        </w:rPr>
        <w:t>炉</w:t>
      </w:r>
      <w:r>
        <w:rPr>
          <w:rFonts w:ascii="宋体" w:hAnsi="宋体" w:eastAsia="宋体" w:cs="宋体"/>
          <w:spacing w:val="6"/>
          <w:sz w:val="23"/>
          <w:szCs w:val="23"/>
        </w:rPr>
        <w:t>中实际燃烧过程是在过量空气系数</w:t>
      </w:r>
      <w:r>
        <w:rPr>
          <w:rFonts w:ascii="Times New Roman" w:hAnsi="Times New Roman" w:eastAsia="Times New Roman" w:cs="Times New Roman"/>
          <w:spacing w:val="6"/>
          <w:sz w:val="23"/>
          <w:szCs w:val="23"/>
        </w:rPr>
        <w:t>α</w:t>
      </w:r>
      <w:r>
        <w:rPr>
          <w:rFonts w:ascii="宋体" w:hAnsi="宋体" w:eastAsia="宋体" w:cs="宋体"/>
          <w:spacing w:val="6"/>
          <w:sz w:val="23"/>
          <w:szCs w:val="23"/>
        </w:rPr>
        <w:t>＞</w:t>
      </w:r>
      <w:r>
        <w:rPr>
          <w:rFonts w:ascii="Times New Roman" w:hAnsi="Times New Roman" w:eastAsia="Times New Roman" w:cs="Times New Roman"/>
          <w:spacing w:val="6"/>
          <w:sz w:val="23"/>
          <w:szCs w:val="23"/>
        </w:rPr>
        <w:t xml:space="preserve">1 </w:t>
      </w:r>
      <w:r>
        <w:rPr>
          <w:rFonts w:ascii="宋体" w:hAnsi="宋体" w:eastAsia="宋体" w:cs="宋体"/>
          <w:spacing w:val="6"/>
          <w:sz w:val="23"/>
          <w:szCs w:val="23"/>
        </w:rPr>
        <w:t>的条件下进行的，</w:t>
      </w:r>
      <w:r>
        <w:rPr>
          <w:rFonts w:ascii="Times New Roman" w:hAnsi="Times New Roman" w:eastAsia="Times New Roman" w:cs="Times New Roman"/>
          <w:spacing w:val="6"/>
          <w:sz w:val="23"/>
          <w:szCs w:val="23"/>
        </w:rPr>
        <w:t>1</w:t>
      </w:r>
      <w:r>
        <w:rPr>
          <w:rFonts w:ascii="Times New Roman" w:hAnsi="Times New Roman" w:eastAsia="Times New Roman" w:cs="Times New Roman"/>
          <w:sz w:val="23"/>
          <w:szCs w:val="23"/>
        </w:rPr>
        <w:t>kg</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固体或液</w:t>
      </w:r>
      <w:r>
        <w:rPr>
          <w:rFonts w:ascii="宋体" w:hAnsi="宋体" w:eastAsia="宋体" w:cs="宋体"/>
          <w:sz w:val="23"/>
          <w:szCs w:val="23"/>
        </w:rPr>
        <w:t xml:space="preserve"> </w:t>
      </w:r>
      <w:r>
        <w:rPr>
          <w:rFonts w:ascii="宋体" w:hAnsi="宋体" w:eastAsia="宋体" w:cs="宋体"/>
          <w:spacing w:val="16"/>
          <w:sz w:val="23"/>
          <w:szCs w:val="23"/>
        </w:rPr>
        <w:t>体燃</w:t>
      </w:r>
      <w:r>
        <w:rPr>
          <w:rFonts w:ascii="宋体" w:hAnsi="宋体" w:eastAsia="宋体" w:cs="宋体"/>
          <w:spacing w:val="9"/>
          <w:sz w:val="23"/>
          <w:szCs w:val="23"/>
        </w:rPr>
        <w:t>料</w:t>
      </w:r>
      <w:r>
        <w:rPr>
          <w:rFonts w:ascii="宋体" w:hAnsi="宋体" w:eastAsia="宋体" w:cs="宋体"/>
          <w:spacing w:val="8"/>
          <w:sz w:val="23"/>
          <w:szCs w:val="23"/>
        </w:rPr>
        <w:t>，产生的烟气排放量可用式 (</w:t>
      </w:r>
      <w:r>
        <w:rPr>
          <w:rFonts w:ascii="Times New Roman" w:hAnsi="Times New Roman" w:eastAsia="Times New Roman" w:cs="Times New Roman"/>
          <w:sz w:val="23"/>
          <w:szCs w:val="23"/>
        </w:rPr>
        <w:t>C</w:t>
      </w:r>
      <w:r>
        <w:rPr>
          <w:rFonts w:ascii="Times New Roman" w:hAnsi="Times New Roman" w:eastAsia="Times New Roman" w:cs="Times New Roman"/>
          <w:spacing w:val="8"/>
          <w:sz w:val="23"/>
          <w:szCs w:val="23"/>
        </w:rPr>
        <w:t>.4</w:t>
      </w:r>
      <w:r>
        <w:rPr>
          <w:rFonts w:ascii="宋体" w:hAnsi="宋体" w:eastAsia="宋体" w:cs="宋体"/>
          <w:spacing w:val="8"/>
          <w:sz w:val="23"/>
          <w:szCs w:val="23"/>
        </w:rPr>
        <w:t>) 计算，计算公式如下：</w:t>
      </w:r>
    </w:p>
    <w:p w14:paraId="63161CE8">
      <w:pPr>
        <w:spacing w:line="298" w:lineRule="auto"/>
        <w:ind w:left="3963"/>
        <w:rPr>
          <w:rFonts w:ascii="Times New Roman" w:hAnsi="Times New Roman" w:eastAsia="Times New Roman" w:cs="Times New Roman"/>
          <w:sz w:val="13"/>
          <w:szCs w:val="13"/>
        </w:rPr>
      </w:pPr>
      <w:r>
        <w:rPr>
          <w:rFonts w:ascii="Times New Roman" w:hAnsi="Times New Roman" w:eastAsia="Times New Roman" w:cs="Times New Roman"/>
          <w:sz w:val="23"/>
          <w:szCs w:val="23"/>
          <w:u w:val="single" w:color="auto"/>
        </w:rPr>
        <w:t>C</w:t>
      </w:r>
      <w:r>
        <w:rPr>
          <w:rFonts w:ascii="Times New Roman" w:hAnsi="Times New Roman" w:eastAsia="Times New Roman" w:cs="Times New Roman"/>
          <w:sz w:val="13"/>
          <w:szCs w:val="13"/>
          <w:u w:val="single" w:color="auto"/>
        </w:rPr>
        <w:t>ar</w:t>
      </w:r>
      <w:r>
        <w:rPr>
          <w:rFonts w:ascii="Times New Roman" w:hAnsi="Times New Roman" w:eastAsia="Times New Roman" w:cs="Times New Roman"/>
          <w:spacing w:val="7"/>
          <w:sz w:val="13"/>
          <w:szCs w:val="13"/>
          <w:u w:val="single" w:color="auto"/>
        </w:rPr>
        <w:t xml:space="preserve"> </w:t>
      </w:r>
      <w:r>
        <w:rPr>
          <w:rFonts w:ascii="Symbol" w:hAnsi="Symbol" w:eastAsia="Symbol" w:cs="Symbol"/>
          <w:spacing w:val="4"/>
          <w:sz w:val="23"/>
          <w:szCs w:val="23"/>
          <w:u w:val="single" w:color="auto"/>
        </w:rPr>
        <w:t xml:space="preserve">+ </w:t>
      </w:r>
      <w:r>
        <w:rPr>
          <w:rFonts w:ascii="Times New Roman" w:hAnsi="Times New Roman" w:eastAsia="Times New Roman" w:cs="Times New Roman"/>
          <w:spacing w:val="4"/>
          <w:sz w:val="23"/>
          <w:szCs w:val="23"/>
          <w:u w:val="single" w:color="auto"/>
        </w:rPr>
        <w:t>0.375</w:t>
      </w:r>
      <w:r>
        <w:rPr>
          <w:rFonts w:ascii="Times New Roman" w:hAnsi="Times New Roman" w:eastAsia="Times New Roman" w:cs="Times New Roman"/>
          <w:sz w:val="23"/>
          <w:szCs w:val="23"/>
          <w:u w:val="single" w:color="auto"/>
        </w:rPr>
        <w:t>S</w:t>
      </w:r>
      <w:r>
        <w:rPr>
          <w:rFonts w:ascii="Times New Roman" w:hAnsi="Times New Roman" w:eastAsia="Times New Roman" w:cs="Times New Roman"/>
          <w:sz w:val="13"/>
          <w:szCs w:val="13"/>
          <w:u w:val="single" w:color="auto"/>
        </w:rPr>
        <w:t>ar</w:t>
      </w:r>
    </w:p>
    <w:p w14:paraId="02288177">
      <w:pPr>
        <w:spacing w:line="79" w:lineRule="exact"/>
        <w:ind w:left="1252"/>
        <w:rPr>
          <w:sz w:val="23"/>
          <w:szCs w:val="23"/>
        </w:rPr>
      </w:pPr>
      <w:r>
        <w:rPr>
          <w:rFonts w:ascii="Times New Roman" w:hAnsi="Times New Roman" w:eastAsia="Times New Roman" w:cs="Times New Roman"/>
          <w:position w:val="-3"/>
          <w:sz w:val="23"/>
          <w:szCs w:val="23"/>
        </w:rPr>
        <w:t>V</w:t>
      </w:r>
      <w:r>
        <w:rPr>
          <w:rFonts w:ascii="Times New Roman" w:hAnsi="Times New Roman" w:eastAsia="Times New Roman" w:cs="Times New Roman"/>
          <w:position w:val="-3"/>
          <w:sz w:val="13"/>
          <w:szCs w:val="13"/>
        </w:rPr>
        <w:t>RO</w:t>
      </w:r>
      <w:r>
        <w:rPr>
          <w:rFonts w:ascii="Times New Roman" w:hAnsi="Times New Roman" w:eastAsia="Times New Roman" w:cs="Times New Roman"/>
          <w:spacing w:val="12"/>
          <w:position w:val="-3"/>
          <w:sz w:val="9"/>
          <w:szCs w:val="9"/>
        </w:rPr>
        <w:t>2</w:t>
      </w:r>
      <w:r>
        <w:rPr>
          <w:rFonts w:ascii="Times New Roman" w:hAnsi="Times New Roman" w:eastAsia="Times New Roman" w:cs="Times New Roman"/>
          <w:spacing w:val="11"/>
          <w:position w:val="-3"/>
          <w:sz w:val="9"/>
          <w:szCs w:val="9"/>
        </w:rPr>
        <w:t xml:space="preserve"> </w:t>
      </w:r>
      <w:r>
        <w:rPr>
          <w:rFonts w:ascii="Times New Roman" w:hAnsi="Times New Roman" w:eastAsia="Times New Roman" w:cs="Times New Roman"/>
          <w:spacing w:val="6"/>
          <w:position w:val="-3"/>
          <w:sz w:val="9"/>
          <w:szCs w:val="9"/>
        </w:rPr>
        <w:t xml:space="preserve"> </w:t>
      </w:r>
      <w:r>
        <w:rPr>
          <w:rFonts w:ascii="Symbol" w:hAnsi="Symbol" w:eastAsia="Symbol" w:cs="Symbol"/>
          <w:spacing w:val="6"/>
          <w:position w:val="-3"/>
          <w:sz w:val="23"/>
          <w:szCs w:val="23"/>
        </w:rPr>
        <w:t xml:space="preserve">= </w:t>
      </w:r>
      <w:r>
        <w:rPr>
          <w:rFonts w:ascii="Times New Roman" w:hAnsi="Times New Roman" w:eastAsia="Times New Roman" w:cs="Times New Roman"/>
          <w:position w:val="-3"/>
          <w:sz w:val="23"/>
          <w:szCs w:val="23"/>
        </w:rPr>
        <w:t>V</w:t>
      </w:r>
      <w:r>
        <w:rPr>
          <w:rFonts w:ascii="Times New Roman" w:hAnsi="Times New Roman" w:eastAsia="Times New Roman" w:cs="Times New Roman"/>
          <w:position w:val="-3"/>
          <w:sz w:val="13"/>
          <w:szCs w:val="13"/>
        </w:rPr>
        <w:t>CO</w:t>
      </w:r>
      <w:r>
        <w:rPr>
          <w:rFonts w:ascii="Times New Roman" w:hAnsi="Times New Roman" w:eastAsia="Times New Roman" w:cs="Times New Roman"/>
          <w:spacing w:val="6"/>
          <w:position w:val="-3"/>
          <w:sz w:val="9"/>
          <w:szCs w:val="9"/>
        </w:rPr>
        <w:t xml:space="preserve">2  </w:t>
      </w:r>
      <w:r>
        <w:rPr>
          <w:rFonts w:ascii="Symbol" w:hAnsi="Symbol" w:eastAsia="Symbol" w:cs="Symbol"/>
          <w:spacing w:val="6"/>
          <w:position w:val="-3"/>
          <w:sz w:val="23"/>
          <w:szCs w:val="23"/>
        </w:rPr>
        <w:t xml:space="preserve">+ </w:t>
      </w:r>
      <w:r>
        <w:rPr>
          <w:rFonts w:ascii="Times New Roman" w:hAnsi="Times New Roman" w:eastAsia="Times New Roman" w:cs="Times New Roman"/>
          <w:position w:val="-3"/>
          <w:sz w:val="23"/>
          <w:szCs w:val="23"/>
        </w:rPr>
        <w:t>V</w:t>
      </w:r>
      <w:r>
        <w:rPr>
          <w:rFonts w:ascii="Times New Roman" w:hAnsi="Times New Roman" w:eastAsia="Times New Roman" w:cs="Times New Roman"/>
          <w:position w:val="-3"/>
          <w:sz w:val="13"/>
          <w:szCs w:val="13"/>
        </w:rPr>
        <w:t>SO</w:t>
      </w:r>
      <w:r>
        <w:rPr>
          <w:rFonts w:ascii="Times New Roman" w:hAnsi="Times New Roman" w:eastAsia="Times New Roman" w:cs="Times New Roman"/>
          <w:spacing w:val="6"/>
          <w:position w:val="-3"/>
          <w:sz w:val="9"/>
          <w:szCs w:val="9"/>
        </w:rPr>
        <w:t xml:space="preserve">2  </w:t>
      </w:r>
      <w:r>
        <w:rPr>
          <w:rFonts w:ascii="Symbol" w:hAnsi="Symbol" w:eastAsia="Symbol" w:cs="Symbol"/>
          <w:spacing w:val="6"/>
          <w:position w:val="-3"/>
          <w:sz w:val="23"/>
          <w:szCs w:val="23"/>
        </w:rPr>
        <w:t xml:space="preserve">= </w:t>
      </w:r>
      <w:r>
        <w:rPr>
          <w:rFonts w:ascii="Times New Roman" w:hAnsi="Times New Roman" w:eastAsia="Times New Roman" w:cs="Times New Roman"/>
          <w:spacing w:val="6"/>
          <w:position w:val="-3"/>
          <w:sz w:val="23"/>
          <w:szCs w:val="23"/>
        </w:rPr>
        <w:t>1.866</w:t>
      </w:r>
      <w:r>
        <w:rPr>
          <w:position w:val="-8"/>
          <w:sz w:val="23"/>
          <w:szCs w:val="23"/>
        </w:rPr>
        <w:drawing>
          <wp:inline distT="0" distB="0" distL="0" distR="0">
            <wp:extent cx="90170" cy="49530"/>
            <wp:effectExtent l="0" t="0" r="0" b="0"/>
            <wp:docPr id="75" name="IM 75"/>
            <wp:cNvGraphicFramePr/>
            <a:graphic xmlns:a="http://schemas.openxmlformats.org/drawingml/2006/main">
              <a:graphicData uri="http://schemas.openxmlformats.org/drawingml/2006/picture">
                <pic:pic xmlns:pic="http://schemas.openxmlformats.org/drawingml/2006/picture">
                  <pic:nvPicPr>
                    <pic:cNvPr id="75" name="IM 75"/>
                    <pic:cNvPicPr/>
                  </pic:nvPicPr>
                  <pic:blipFill>
                    <a:blip r:embed="rId462"/>
                    <a:stretch>
                      <a:fillRect/>
                    </a:stretch>
                  </pic:blipFill>
                  <pic:spPr>
                    <a:xfrm>
                      <a:off x="0" y="0"/>
                      <a:ext cx="90194" cy="49683"/>
                    </a:xfrm>
                    <a:prstGeom prst="rect">
                      <a:avLst/>
                    </a:prstGeom>
                  </pic:spPr>
                </pic:pic>
              </a:graphicData>
            </a:graphic>
          </wp:inline>
        </w:drawing>
      </w:r>
    </w:p>
    <w:p w14:paraId="64E9B77A">
      <w:pPr>
        <w:spacing w:line="193" w:lineRule="auto"/>
        <w:ind w:left="4427"/>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w:t>
      </w:r>
      <w:r>
        <w:rPr>
          <w:rFonts w:ascii="Times New Roman" w:hAnsi="Times New Roman" w:eastAsia="Times New Roman" w:cs="Times New Roman"/>
          <w:spacing w:val="4"/>
          <w:sz w:val="21"/>
          <w:szCs w:val="21"/>
        </w:rPr>
        <w:t>00</w:t>
      </w:r>
    </w:p>
    <w:p w14:paraId="3FC811C5">
      <w:pPr>
        <w:spacing w:before="237"/>
        <w:ind w:left="1252"/>
        <w:rPr>
          <w:sz w:val="23"/>
          <w:szCs w:val="23"/>
        </w:rPr>
      </w:pPr>
      <w:r>
        <w:rPr>
          <w:rFonts w:ascii="Times New Roman" w:hAnsi="Times New Roman" w:eastAsia="Times New Roman" w:cs="Times New Roman"/>
          <w:position w:val="1"/>
          <w:sz w:val="23"/>
          <w:szCs w:val="23"/>
        </w:rPr>
        <w:t>V</w:t>
      </w:r>
      <w:r>
        <w:rPr>
          <w:rFonts w:ascii="Times New Roman" w:hAnsi="Times New Roman" w:eastAsia="Times New Roman" w:cs="Times New Roman"/>
          <w:position w:val="1"/>
          <w:sz w:val="13"/>
          <w:szCs w:val="13"/>
        </w:rPr>
        <w:t>N</w:t>
      </w:r>
      <w:r>
        <w:rPr>
          <w:rFonts w:ascii="Times New Roman" w:hAnsi="Times New Roman" w:eastAsia="Times New Roman" w:cs="Times New Roman"/>
          <w:spacing w:val="2"/>
          <w:position w:val="1"/>
          <w:sz w:val="13"/>
          <w:szCs w:val="13"/>
        </w:rPr>
        <w:t xml:space="preserve"> </w:t>
      </w:r>
      <w:r>
        <w:rPr>
          <w:rFonts w:ascii="Times New Roman" w:hAnsi="Times New Roman" w:eastAsia="Times New Roman" w:cs="Times New Roman"/>
          <w:spacing w:val="2"/>
          <w:position w:val="1"/>
          <w:sz w:val="9"/>
          <w:szCs w:val="9"/>
        </w:rPr>
        <w:t xml:space="preserve">2  </w:t>
      </w:r>
      <w:r>
        <w:rPr>
          <w:rFonts w:ascii="Symbol" w:hAnsi="Symbol" w:eastAsia="Symbol" w:cs="Symbol"/>
          <w:spacing w:val="2"/>
          <w:position w:val="1"/>
          <w:sz w:val="23"/>
          <w:szCs w:val="23"/>
        </w:rPr>
        <w:t xml:space="preserve">= </w:t>
      </w:r>
      <w:r>
        <w:rPr>
          <w:rFonts w:ascii="Times New Roman" w:hAnsi="Times New Roman" w:eastAsia="Times New Roman" w:cs="Times New Roman"/>
          <w:spacing w:val="2"/>
          <w:position w:val="1"/>
          <w:sz w:val="23"/>
          <w:szCs w:val="23"/>
        </w:rPr>
        <w:t>0.79</w:t>
      </w:r>
      <w:r>
        <w:rPr>
          <w:rFonts w:ascii="Times New Roman" w:hAnsi="Times New Roman" w:eastAsia="Times New Roman" w:cs="Times New Roman"/>
          <w:position w:val="1"/>
          <w:sz w:val="23"/>
          <w:szCs w:val="23"/>
        </w:rPr>
        <w:t>V</w:t>
      </w:r>
      <w:r>
        <w:rPr>
          <w:rFonts w:ascii="Times New Roman" w:hAnsi="Times New Roman" w:eastAsia="Times New Roman" w:cs="Times New Roman"/>
          <w:spacing w:val="2"/>
          <w:position w:val="1"/>
          <w:sz w:val="13"/>
          <w:szCs w:val="13"/>
        </w:rPr>
        <w:t xml:space="preserve">0 </w:t>
      </w:r>
      <w:r>
        <w:rPr>
          <w:rFonts w:ascii="Symbol" w:hAnsi="Symbol" w:eastAsia="Symbol" w:cs="Symbol"/>
          <w:spacing w:val="1"/>
          <w:position w:val="1"/>
          <w:sz w:val="23"/>
          <w:szCs w:val="23"/>
        </w:rPr>
        <w:t xml:space="preserve">+ </w:t>
      </w:r>
      <w:r>
        <w:rPr>
          <w:rFonts w:ascii="Times New Roman" w:hAnsi="Times New Roman" w:eastAsia="Times New Roman" w:cs="Times New Roman"/>
          <w:spacing w:val="1"/>
          <w:position w:val="1"/>
          <w:sz w:val="23"/>
          <w:szCs w:val="23"/>
        </w:rPr>
        <w:t xml:space="preserve">0.8 </w:t>
      </w:r>
      <w:r>
        <w:rPr>
          <w:position w:val="-3"/>
          <w:sz w:val="23"/>
          <w:szCs w:val="23"/>
        </w:rPr>
        <w:drawing>
          <wp:inline distT="0" distB="0" distL="0" distR="0">
            <wp:extent cx="64770" cy="184785"/>
            <wp:effectExtent l="0" t="0" r="0" b="0"/>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463"/>
                    <a:stretch>
                      <a:fillRect/>
                    </a:stretch>
                  </pic:blipFill>
                  <pic:spPr>
                    <a:xfrm>
                      <a:off x="0" y="0"/>
                      <a:ext cx="65159" cy="185045"/>
                    </a:xfrm>
                    <a:prstGeom prst="rect">
                      <a:avLst/>
                    </a:prstGeom>
                  </pic:spPr>
                </pic:pic>
              </a:graphicData>
            </a:graphic>
          </wp:inline>
        </w:drawing>
      </w:r>
      <w:r>
        <w:rPr>
          <w:rFonts w:ascii="Times New Roman" w:hAnsi="Times New Roman" w:eastAsia="Times New Roman" w:cs="Times New Roman"/>
          <w:spacing w:val="1"/>
          <w:position w:val="1"/>
          <w:sz w:val="23"/>
          <w:szCs w:val="23"/>
        </w:rPr>
        <w:t xml:space="preserve"> </w:t>
      </w:r>
      <w:r>
        <w:rPr>
          <w:position w:val="-17"/>
          <w:sz w:val="23"/>
          <w:szCs w:val="23"/>
        </w:rPr>
        <w:drawing>
          <wp:inline distT="0" distB="0" distL="0" distR="0">
            <wp:extent cx="233680" cy="317500"/>
            <wp:effectExtent l="0" t="0" r="0" b="0"/>
            <wp:docPr id="77" name="IM 77"/>
            <wp:cNvGraphicFramePr/>
            <a:graphic xmlns:a="http://schemas.openxmlformats.org/drawingml/2006/main">
              <a:graphicData uri="http://schemas.openxmlformats.org/drawingml/2006/picture">
                <pic:pic xmlns:pic="http://schemas.openxmlformats.org/drawingml/2006/picture">
                  <pic:nvPicPr>
                    <pic:cNvPr id="77" name="IM 77"/>
                    <pic:cNvPicPr/>
                  </pic:nvPicPr>
                  <pic:blipFill>
                    <a:blip r:embed="rId464"/>
                    <a:stretch>
                      <a:fillRect/>
                    </a:stretch>
                  </pic:blipFill>
                  <pic:spPr>
                    <a:xfrm>
                      <a:off x="0" y="0"/>
                      <a:ext cx="234162" cy="318013"/>
                    </a:xfrm>
                    <a:prstGeom prst="rect">
                      <a:avLst/>
                    </a:prstGeom>
                  </pic:spPr>
                </pic:pic>
              </a:graphicData>
            </a:graphic>
          </wp:inline>
        </w:drawing>
      </w:r>
    </w:p>
    <w:p w14:paraId="6A9F7292">
      <w:pPr>
        <w:spacing w:line="283" w:lineRule="auto"/>
        <w:rPr>
          <w:rFonts w:ascii="Arial"/>
          <w:sz w:val="21"/>
        </w:rPr>
      </w:pPr>
    </w:p>
    <w:p w14:paraId="371875E9">
      <w:pPr>
        <w:spacing w:before="75" w:line="330" w:lineRule="exact"/>
        <w:ind w:left="1252"/>
        <w:rPr>
          <w:rFonts w:ascii="Times New Roman" w:hAnsi="Times New Roman" w:eastAsia="Times New Roman" w:cs="Times New Roman"/>
          <w:sz w:val="13"/>
          <w:szCs w:val="13"/>
        </w:rPr>
      </w:pPr>
      <w:r>
        <w:rPr>
          <w:rFonts w:ascii="Times New Roman" w:hAnsi="Times New Roman" w:eastAsia="Times New Roman" w:cs="Times New Roman"/>
          <w:spacing w:val="-5"/>
          <w:position w:val="2"/>
          <w:sz w:val="23"/>
          <w:szCs w:val="23"/>
        </w:rPr>
        <w:t>V</w:t>
      </w:r>
      <w:r>
        <w:rPr>
          <w:rFonts w:ascii="Times New Roman" w:hAnsi="Times New Roman" w:eastAsia="Times New Roman" w:cs="Times New Roman"/>
          <w:spacing w:val="-5"/>
          <w:position w:val="2"/>
          <w:sz w:val="13"/>
          <w:szCs w:val="13"/>
        </w:rPr>
        <w:t>g</w:t>
      </w:r>
      <w:r>
        <w:rPr>
          <w:rFonts w:ascii="Times New Roman" w:hAnsi="Times New Roman" w:eastAsia="Times New Roman" w:cs="Times New Roman"/>
          <w:spacing w:val="-10"/>
          <w:position w:val="2"/>
          <w:sz w:val="13"/>
          <w:szCs w:val="13"/>
        </w:rPr>
        <w:t xml:space="preserve">  </w:t>
      </w:r>
      <w:r>
        <w:rPr>
          <w:rFonts w:ascii="Symbol" w:hAnsi="Symbol" w:eastAsia="Symbol" w:cs="Symbol"/>
          <w:spacing w:val="-6"/>
          <w:position w:val="2"/>
          <w:sz w:val="23"/>
          <w:szCs w:val="23"/>
        </w:rPr>
        <w:t>=</w:t>
      </w:r>
      <w:r>
        <w:rPr>
          <w:rFonts w:ascii="Symbol" w:hAnsi="Symbol" w:eastAsia="Symbol" w:cs="Symbol"/>
          <w:spacing w:val="-5"/>
          <w:position w:val="2"/>
          <w:sz w:val="23"/>
          <w:szCs w:val="23"/>
        </w:rPr>
        <w:t xml:space="preserve"> </w:t>
      </w:r>
      <w:r>
        <w:rPr>
          <w:rFonts w:ascii="Times New Roman" w:hAnsi="Times New Roman" w:eastAsia="Times New Roman" w:cs="Times New Roman"/>
          <w:spacing w:val="-5"/>
          <w:position w:val="2"/>
          <w:sz w:val="23"/>
          <w:szCs w:val="23"/>
        </w:rPr>
        <w:t>V</w:t>
      </w:r>
      <w:r>
        <w:rPr>
          <w:rFonts w:ascii="Times New Roman" w:hAnsi="Times New Roman" w:eastAsia="Times New Roman" w:cs="Times New Roman"/>
          <w:spacing w:val="-5"/>
          <w:position w:val="2"/>
          <w:sz w:val="13"/>
          <w:szCs w:val="13"/>
        </w:rPr>
        <w:t>RO</w:t>
      </w:r>
      <w:r>
        <w:rPr>
          <w:rFonts w:ascii="Times New Roman" w:hAnsi="Times New Roman" w:eastAsia="Times New Roman" w:cs="Times New Roman"/>
          <w:spacing w:val="-5"/>
          <w:position w:val="2"/>
          <w:sz w:val="9"/>
          <w:szCs w:val="9"/>
        </w:rPr>
        <w:t xml:space="preserve">2  </w:t>
      </w:r>
      <w:r>
        <w:rPr>
          <w:rFonts w:ascii="Symbol" w:hAnsi="Symbol" w:eastAsia="Symbol" w:cs="Symbol"/>
          <w:spacing w:val="-5"/>
          <w:position w:val="2"/>
          <w:sz w:val="23"/>
          <w:szCs w:val="23"/>
        </w:rPr>
        <w:t xml:space="preserve">+ </w:t>
      </w:r>
      <w:r>
        <w:rPr>
          <w:rFonts w:ascii="Times New Roman" w:hAnsi="Times New Roman" w:eastAsia="Times New Roman" w:cs="Times New Roman"/>
          <w:spacing w:val="-5"/>
          <w:position w:val="2"/>
          <w:sz w:val="23"/>
          <w:szCs w:val="23"/>
        </w:rPr>
        <w:t>V</w:t>
      </w:r>
      <w:r>
        <w:rPr>
          <w:rFonts w:ascii="Times New Roman" w:hAnsi="Times New Roman" w:eastAsia="Times New Roman" w:cs="Times New Roman"/>
          <w:spacing w:val="-5"/>
          <w:position w:val="2"/>
          <w:sz w:val="13"/>
          <w:szCs w:val="13"/>
        </w:rPr>
        <w:t xml:space="preserve">N </w:t>
      </w:r>
      <w:r>
        <w:rPr>
          <w:rFonts w:ascii="Times New Roman" w:hAnsi="Times New Roman" w:eastAsia="Times New Roman" w:cs="Times New Roman"/>
          <w:spacing w:val="-5"/>
          <w:position w:val="2"/>
          <w:sz w:val="9"/>
          <w:szCs w:val="9"/>
        </w:rPr>
        <w:t xml:space="preserve">2  </w:t>
      </w:r>
      <w:r>
        <w:rPr>
          <w:rFonts w:ascii="Symbol" w:hAnsi="Symbol" w:eastAsia="Symbol" w:cs="Symbol"/>
          <w:spacing w:val="-5"/>
          <w:position w:val="2"/>
          <w:sz w:val="23"/>
          <w:szCs w:val="23"/>
        </w:rPr>
        <w:t>+</w:t>
      </w:r>
      <w:r>
        <w:rPr>
          <w:rFonts w:ascii="宋体" w:hAnsi="宋体" w:eastAsia="宋体" w:cs="宋体"/>
          <w:spacing w:val="-5"/>
          <w:position w:val="2"/>
          <w:sz w:val="23"/>
          <w:szCs w:val="23"/>
        </w:rPr>
        <w:t xml:space="preserve">( </w:t>
      </w:r>
      <w:r>
        <w:rPr>
          <w:position w:val="2"/>
          <w:sz w:val="23"/>
          <w:szCs w:val="23"/>
        </w:rPr>
        <w:drawing>
          <wp:inline distT="0" distB="0" distL="0" distR="0">
            <wp:extent cx="108585" cy="72390"/>
            <wp:effectExtent l="0" t="0" r="0" b="0"/>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465"/>
                    <a:stretch>
                      <a:fillRect/>
                    </a:stretch>
                  </pic:blipFill>
                  <pic:spPr>
                    <a:xfrm>
                      <a:off x="0" y="0"/>
                      <a:ext cx="108772" cy="72869"/>
                    </a:xfrm>
                    <a:prstGeom prst="rect">
                      <a:avLst/>
                    </a:prstGeom>
                  </pic:spPr>
                </pic:pic>
              </a:graphicData>
            </a:graphic>
          </wp:inline>
        </w:drawing>
      </w:r>
      <w:r>
        <w:rPr>
          <w:rFonts w:ascii="宋体" w:hAnsi="宋体" w:eastAsia="宋体" w:cs="宋体"/>
          <w:spacing w:val="-5"/>
          <w:position w:val="2"/>
          <w:sz w:val="23"/>
          <w:szCs w:val="23"/>
        </w:rPr>
        <w:t xml:space="preserve"> </w:t>
      </w:r>
      <w:r>
        <w:rPr>
          <w:rFonts w:ascii="Times New Roman" w:hAnsi="Times New Roman" w:eastAsia="Times New Roman" w:cs="Times New Roman"/>
          <w:spacing w:val="-5"/>
          <w:position w:val="2"/>
          <w:sz w:val="23"/>
          <w:szCs w:val="23"/>
        </w:rPr>
        <w:t>- 1</w:t>
      </w:r>
      <w:r>
        <w:rPr>
          <w:rFonts w:ascii="宋体" w:hAnsi="宋体" w:eastAsia="宋体" w:cs="宋体"/>
          <w:spacing w:val="-5"/>
          <w:position w:val="2"/>
          <w:sz w:val="23"/>
          <w:szCs w:val="23"/>
        </w:rPr>
        <w:t xml:space="preserve">) </w:t>
      </w:r>
      <w:r>
        <w:rPr>
          <w:rFonts w:ascii="Times New Roman" w:hAnsi="Times New Roman" w:eastAsia="Times New Roman" w:cs="Times New Roman"/>
          <w:spacing w:val="-5"/>
          <w:position w:val="2"/>
          <w:sz w:val="23"/>
          <w:szCs w:val="23"/>
        </w:rPr>
        <w:t>V</w:t>
      </w:r>
      <w:r>
        <w:rPr>
          <w:rFonts w:ascii="Times New Roman" w:hAnsi="Times New Roman" w:eastAsia="Times New Roman" w:cs="Times New Roman"/>
          <w:spacing w:val="-5"/>
          <w:position w:val="2"/>
          <w:sz w:val="13"/>
          <w:szCs w:val="13"/>
        </w:rPr>
        <w:t>0</w:t>
      </w:r>
    </w:p>
    <w:p w14:paraId="361C3D9F">
      <w:pPr>
        <w:spacing w:line="365" w:lineRule="auto"/>
        <w:rPr>
          <w:rFonts w:ascii="Arial"/>
          <w:sz w:val="21"/>
        </w:rPr>
      </w:pPr>
    </w:p>
    <w:p w14:paraId="4C76B81F">
      <w:pPr>
        <w:spacing w:before="75"/>
        <w:ind w:left="1252"/>
        <w:rPr>
          <w:rFonts w:ascii="Times New Roman" w:hAnsi="Times New Roman" w:eastAsia="Times New Roman" w:cs="Times New Roman"/>
          <w:sz w:val="13"/>
          <w:szCs w:val="13"/>
        </w:rPr>
      </w:pPr>
      <w:r>
        <w:rPr>
          <w:rFonts w:ascii="Times New Roman" w:hAnsi="Times New Roman" w:eastAsia="Times New Roman" w:cs="Times New Roman"/>
          <w:spacing w:val="-4"/>
          <w:sz w:val="23"/>
          <w:szCs w:val="23"/>
        </w:rPr>
        <w:t>Vs</w:t>
      </w:r>
      <w:r>
        <w:rPr>
          <w:rFonts w:ascii="Times New Roman" w:hAnsi="Times New Roman" w:eastAsia="Times New Roman" w:cs="Times New Roman"/>
          <w:spacing w:val="-8"/>
          <w:sz w:val="23"/>
          <w:szCs w:val="23"/>
        </w:rPr>
        <w:t xml:space="preserve"> </w:t>
      </w:r>
      <w:r>
        <w:rPr>
          <w:rFonts w:ascii="Symbol" w:hAnsi="Symbol" w:eastAsia="Symbol" w:cs="Symbol"/>
          <w:spacing w:val="-8"/>
          <w:sz w:val="23"/>
          <w:szCs w:val="23"/>
        </w:rPr>
        <w:t xml:space="preserve">= </w:t>
      </w:r>
      <w:r>
        <w:rPr>
          <w:rFonts w:ascii="Times New Roman" w:hAnsi="Times New Roman" w:eastAsia="Times New Roman" w:cs="Times New Roman"/>
          <w:spacing w:val="-4"/>
          <w:sz w:val="23"/>
          <w:szCs w:val="23"/>
        </w:rPr>
        <w:t>Vg</w:t>
      </w:r>
      <w:r>
        <w:rPr>
          <w:rFonts w:ascii="Times New Roman" w:hAnsi="Times New Roman" w:eastAsia="Times New Roman" w:cs="Times New Roman"/>
          <w:spacing w:val="-8"/>
          <w:sz w:val="23"/>
          <w:szCs w:val="23"/>
        </w:rPr>
        <w:t xml:space="preserve"> </w:t>
      </w:r>
      <w:r>
        <w:rPr>
          <w:rFonts w:ascii="Symbol" w:hAnsi="Symbol" w:eastAsia="Symbol" w:cs="Symbol"/>
          <w:spacing w:val="-8"/>
          <w:sz w:val="23"/>
          <w:szCs w:val="23"/>
        </w:rPr>
        <w:t>+</w:t>
      </w:r>
      <w:r>
        <w:rPr>
          <w:rFonts w:ascii="Symbol" w:hAnsi="Symbol" w:eastAsia="Symbol" w:cs="Symbol"/>
          <w:spacing w:val="-6"/>
          <w:sz w:val="23"/>
          <w:szCs w:val="23"/>
        </w:rPr>
        <w:t xml:space="preserve"> </w:t>
      </w:r>
      <w:r>
        <w:rPr>
          <w:rFonts w:ascii="Times New Roman" w:hAnsi="Times New Roman" w:eastAsia="Times New Roman" w:cs="Times New Roman"/>
          <w:spacing w:val="-4"/>
          <w:sz w:val="23"/>
          <w:szCs w:val="23"/>
        </w:rPr>
        <w:t>V</w:t>
      </w:r>
      <w:r>
        <w:rPr>
          <w:rFonts w:ascii="Times New Roman" w:hAnsi="Times New Roman" w:eastAsia="Times New Roman" w:cs="Times New Roman"/>
          <w:spacing w:val="-4"/>
          <w:sz w:val="13"/>
          <w:szCs w:val="13"/>
        </w:rPr>
        <w:t>H</w:t>
      </w:r>
      <w:r>
        <w:rPr>
          <w:rFonts w:ascii="Times New Roman" w:hAnsi="Times New Roman" w:eastAsia="Times New Roman" w:cs="Times New Roman"/>
          <w:spacing w:val="-4"/>
          <w:sz w:val="9"/>
          <w:szCs w:val="9"/>
        </w:rPr>
        <w:t>2</w:t>
      </w:r>
      <w:r>
        <w:rPr>
          <w:rFonts w:ascii="Times New Roman" w:hAnsi="Times New Roman" w:eastAsia="Times New Roman" w:cs="Times New Roman"/>
          <w:spacing w:val="-4"/>
          <w:sz w:val="13"/>
          <w:szCs w:val="13"/>
        </w:rPr>
        <w:t xml:space="preserve">O </w:t>
      </w:r>
      <w:r>
        <w:rPr>
          <w:rFonts w:ascii="Symbol" w:hAnsi="Symbol" w:eastAsia="Symbol" w:cs="Symbol"/>
          <w:spacing w:val="-4"/>
          <w:sz w:val="23"/>
          <w:szCs w:val="23"/>
        </w:rPr>
        <w:t xml:space="preserve">+ </w:t>
      </w:r>
      <w:r>
        <w:rPr>
          <w:rFonts w:ascii="Times New Roman" w:hAnsi="Times New Roman" w:eastAsia="Times New Roman" w:cs="Times New Roman"/>
          <w:spacing w:val="-4"/>
          <w:sz w:val="23"/>
          <w:szCs w:val="23"/>
        </w:rPr>
        <w:t>0.0161</w:t>
      </w:r>
      <w:r>
        <w:rPr>
          <w:position w:val="-5"/>
          <w:sz w:val="23"/>
          <w:szCs w:val="23"/>
        </w:rPr>
        <w:drawing>
          <wp:inline distT="0" distB="0" distL="0" distR="0">
            <wp:extent cx="69850" cy="184785"/>
            <wp:effectExtent l="0" t="0" r="0" b="0"/>
            <wp:docPr id="79" name="IM 79"/>
            <wp:cNvGraphicFramePr/>
            <a:graphic xmlns:a="http://schemas.openxmlformats.org/drawingml/2006/main">
              <a:graphicData uri="http://schemas.openxmlformats.org/drawingml/2006/picture">
                <pic:pic xmlns:pic="http://schemas.openxmlformats.org/drawingml/2006/picture">
                  <pic:nvPicPr>
                    <pic:cNvPr id="79" name="IM 79"/>
                    <pic:cNvPicPr/>
                  </pic:nvPicPr>
                  <pic:blipFill>
                    <a:blip r:embed="rId463"/>
                    <a:stretch>
                      <a:fillRect/>
                    </a:stretch>
                  </pic:blipFill>
                  <pic:spPr>
                    <a:xfrm>
                      <a:off x="0" y="0"/>
                      <a:ext cx="70308" cy="185045"/>
                    </a:xfrm>
                    <a:prstGeom prst="rect">
                      <a:avLst/>
                    </a:prstGeom>
                  </pic:spPr>
                </pic:pic>
              </a:graphicData>
            </a:graphic>
          </wp:inline>
        </w:drawing>
      </w:r>
      <w:r>
        <w:rPr>
          <w:rFonts w:ascii="宋体" w:hAnsi="宋体" w:eastAsia="宋体" w:cs="宋体"/>
          <w:spacing w:val="-4"/>
          <w:sz w:val="23"/>
          <w:szCs w:val="23"/>
        </w:rPr>
        <w:t xml:space="preserve">( </w:t>
      </w:r>
      <w:r>
        <w:rPr>
          <w:sz w:val="23"/>
          <w:szCs w:val="23"/>
        </w:rPr>
        <w:drawing>
          <wp:inline distT="0" distB="0" distL="0" distR="0">
            <wp:extent cx="116840" cy="72390"/>
            <wp:effectExtent l="0" t="0" r="0" b="0"/>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465"/>
                    <a:stretch>
                      <a:fillRect/>
                    </a:stretch>
                  </pic:blipFill>
                  <pic:spPr>
                    <a:xfrm>
                      <a:off x="0" y="0"/>
                      <a:ext cx="117368" cy="72869"/>
                    </a:xfrm>
                    <a:prstGeom prst="rect">
                      <a:avLst/>
                    </a:prstGeom>
                  </pic:spPr>
                </pic:pic>
              </a:graphicData>
            </a:graphic>
          </wp:inline>
        </w:drawing>
      </w:r>
      <w:r>
        <w:rPr>
          <w:rFonts w:ascii="宋体" w:hAnsi="宋体" w:eastAsia="宋体" w:cs="宋体"/>
          <w:spacing w:val="-4"/>
          <w:sz w:val="23"/>
          <w:szCs w:val="23"/>
        </w:rPr>
        <w:t xml:space="preserve"> </w:t>
      </w:r>
      <w:r>
        <w:rPr>
          <w:rFonts w:ascii="Times New Roman" w:hAnsi="Times New Roman" w:eastAsia="Times New Roman" w:cs="Times New Roman"/>
          <w:spacing w:val="-4"/>
          <w:sz w:val="23"/>
          <w:szCs w:val="23"/>
        </w:rPr>
        <w:t>- 1</w:t>
      </w:r>
      <w:r>
        <w:rPr>
          <w:rFonts w:ascii="宋体" w:hAnsi="宋体" w:eastAsia="宋体" w:cs="宋体"/>
          <w:spacing w:val="-4"/>
          <w:sz w:val="23"/>
          <w:szCs w:val="23"/>
        </w:rPr>
        <w:t xml:space="preserve">) </w:t>
      </w:r>
      <w:r>
        <w:rPr>
          <w:rFonts w:ascii="Times New Roman" w:hAnsi="Times New Roman" w:eastAsia="Times New Roman" w:cs="Times New Roman"/>
          <w:spacing w:val="-4"/>
          <w:sz w:val="23"/>
          <w:szCs w:val="23"/>
        </w:rPr>
        <w:t>V</w:t>
      </w:r>
      <w:r>
        <w:rPr>
          <w:rFonts w:ascii="Times New Roman" w:hAnsi="Times New Roman" w:eastAsia="Times New Roman" w:cs="Times New Roman"/>
          <w:spacing w:val="-4"/>
          <w:sz w:val="13"/>
          <w:szCs w:val="13"/>
        </w:rPr>
        <w:t>0</w:t>
      </w:r>
    </w:p>
    <w:p w14:paraId="433697BC">
      <w:pPr>
        <w:spacing w:line="252" w:lineRule="auto"/>
        <w:rPr>
          <w:rFonts w:ascii="Arial"/>
          <w:sz w:val="21"/>
        </w:rPr>
      </w:pPr>
    </w:p>
    <w:p w14:paraId="4CD837F8">
      <w:pPr>
        <w:spacing w:before="71" w:line="291" w:lineRule="exact"/>
        <w:ind w:left="1252"/>
        <w:rPr>
          <w:rFonts w:ascii="Times New Roman" w:hAnsi="Times New Roman" w:eastAsia="Times New Roman" w:cs="Times New Roman"/>
          <w:sz w:val="13"/>
          <w:szCs w:val="13"/>
        </w:rPr>
      </w:pPr>
      <w:r>
        <w:rPr>
          <w:rFonts w:ascii="Times New Roman" w:hAnsi="Times New Roman" w:eastAsia="Times New Roman" w:cs="Times New Roman"/>
          <w:position w:val="1"/>
          <w:sz w:val="23"/>
          <w:szCs w:val="23"/>
        </w:rPr>
        <w:t>V</w:t>
      </w:r>
      <w:r>
        <w:rPr>
          <w:rFonts w:ascii="Times New Roman" w:hAnsi="Times New Roman" w:eastAsia="Times New Roman" w:cs="Times New Roman"/>
          <w:position w:val="1"/>
          <w:sz w:val="13"/>
          <w:szCs w:val="13"/>
        </w:rPr>
        <w:t>H</w:t>
      </w:r>
      <w:r>
        <w:rPr>
          <w:rFonts w:ascii="Times New Roman" w:hAnsi="Times New Roman" w:eastAsia="Times New Roman" w:cs="Times New Roman"/>
          <w:spacing w:val="4"/>
          <w:position w:val="1"/>
          <w:sz w:val="13"/>
          <w:szCs w:val="13"/>
        </w:rPr>
        <w:t xml:space="preserve"> </w:t>
      </w:r>
      <w:r>
        <w:rPr>
          <w:rFonts w:ascii="Times New Roman" w:hAnsi="Times New Roman" w:eastAsia="Times New Roman" w:cs="Times New Roman"/>
          <w:spacing w:val="4"/>
          <w:position w:val="1"/>
          <w:sz w:val="9"/>
          <w:szCs w:val="9"/>
        </w:rPr>
        <w:t xml:space="preserve">2 </w:t>
      </w:r>
      <w:r>
        <w:rPr>
          <w:rFonts w:ascii="Times New Roman" w:hAnsi="Times New Roman" w:eastAsia="Times New Roman" w:cs="Times New Roman"/>
          <w:position w:val="1"/>
          <w:sz w:val="13"/>
          <w:szCs w:val="13"/>
        </w:rPr>
        <w:t>O</w:t>
      </w:r>
      <w:r>
        <w:rPr>
          <w:rFonts w:ascii="Times New Roman" w:hAnsi="Times New Roman" w:eastAsia="Times New Roman" w:cs="Times New Roman"/>
          <w:spacing w:val="2"/>
          <w:position w:val="1"/>
          <w:sz w:val="13"/>
          <w:szCs w:val="13"/>
        </w:rPr>
        <w:t xml:space="preserve"> </w:t>
      </w:r>
      <w:r>
        <w:rPr>
          <w:rFonts w:ascii="Symbol" w:hAnsi="Symbol" w:eastAsia="Symbol" w:cs="Symbol"/>
          <w:spacing w:val="2"/>
          <w:position w:val="1"/>
          <w:sz w:val="23"/>
          <w:szCs w:val="23"/>
        </w:rPr>
        <w:t xml:space="preserve">= </w:t>
      </w:r>
      <w:r>
        <w:rPr>
          <w:rFonts w:ascii="Times New Roman" w:hAnsi="Times New Roman" w:eastAsia="Times New Roman" w:cs="Times New Roman"/>
          <w:spacing w:val="2"/>
          <w:position w:val="1"/>
          <w:sz w:val="23"/>
          <w:szCs w:val="23"/>
        </w:rPr>
        <w:t>0. 111</w:t>
      </w:r>
      <w:r>
        <w:rPr>
          <w:rFonts w:ascii="Times New Roman" w:hAnsi="Times New Roman" w:eastAsia="Times New Roman" w:cs="Times New Roman"/>
          <w:position w:val="1"/>
          <w:sz w:val="23"/>
          <w:szCs w:val="23"/>
        </w:rPr>
        <w:t>H</w:t>
      </w:r>
      <w:r>
        <w:rPr>
          <w:rFonts w:ascii="Times New Roman" w:hAnsi="Times New Roman" w:eastAsia="Times New Roman" w:cs="Times New Roman"/>
          <w:position w:val="1"/>
          <w:sz w:val="13"/>
          <w:szCs w:val="13"/>
        </w:rPr>
        <w:t>ar</w:t>
      </w:r>
      <w:r>
        <w:rPr>
          <w:rFonts w:ascii="Times New Roman" w:hAnsi="Times New Roman" w:eastAsia="Times New Roman" w:cs="Times New Roman"/>
          <w:spacing w:val="2"/>
          <w:position w:val="1"/>
          <w:sz w:val="13"/>
          <w:szCs w:val="13"/>
        </w:rPr>
        <w:t xml:space="preserve"> </w:t>
      </w:r>
      <w:r>
        <w:rPr>
          <w:rFonts w:ascii="Symbol" w:hAnsi="Symbol" w:eastAsia="Symbol" w:cs="Symbol"/>
          <w:spacing w:val="2"/>
          <w:position w:val="1"/>
          <w:sz w:val="23"/>
          <w:szCs w:val="23"/>
        </w:rPr>
        <w:t xml:space="preserve">+ </w:t>
      </w:r>
      <w:r>
        <w:rPr>
          <w:rFonts w:ascii="Times New Roman" w:hAnsi="Times New Roman" w:eastAsia="Times New Roman" w:cs="Times New Roman"/>
          <w:spacing w:val="2"/>
          <w:position w:val="1"/>
          <w:sz w:val="23"/>
          <w:szCs w:val="23"/>
        </w:rPr>
        <w:t>0.0124</w:t>
      </w:r>
      <w:r>
        <w:rPr>
          <w:rFonts w:ascii="Times New Roman" w:hAnsi="Times New Roman" w:eastAsia="Times New Roman" w:cs="Times New Roman"/>
          <w:position w:val="1"/>
          <w:sz w:val="23"/>
          <w:szCs w:val="23"/>
        </w:rPr>
        <w:t>M</w:t>
      </w:r>
      <w:r>
        <w:rPr>
          <w:rFonts w:ascii="Times New Roman" w:hAnsi="Times New Roman" w:eastAsia="Times New Roman" w:cs="Times New Roman"/>
          <w:position w:val="1"/>
          <w:sz w:val="13"/>
          <w:szCs w:val="13"/>
        </w:rPr>
        <w:t>ar</w:t>
      </w:r>
      <w:r>
        <w:rPr>
          <w:rFonts w:ascii="Times New Roman" w:hAnsi="Times New Roman" w:eastAsia="Times New Roman" w:cs="Times New Roman"/>
          <w:spacing w:val="2"/>
          <w:position w:val="1"/>
          <w:sz w:val="13"/>
          <w:szCs w:val="13"/>
        </w:rPr>
        <w:t xml:space="preserve"> </w:t>
      </w:r>
      <w:r>
        <w:rPr>
          <w:rFonts w:ascii="Symbol" w:hAnsi="Symbol" w:eastAsia="Symbol" w:cs="Symbol"/>
          <w:spacing w:val="2"/>
          <w:position w:val="1"/>
          <w:sz w:val="23"/>
          <w:szCs w:val="23"/>
        </w:rPr>
        <w:t xml:space="preserve">+ </w:t>
      </w:r>
      <w:r>
        <w:rPr>
          <w:rFonts w:ascii="Times New Roman" w:hAnsi="Times New Roman" w:eastAsia="Times New Roman" w:cs="Times New Roman"/>
          <w:spacing w:val="2"/>
          <w:position w:val="1"/>
          <w:sz w:val="23"/>
          <w:szCs w:val="23"/>
        </w:rPr>
        <w:t>0.0161</w:t>
      </w:r>
      <w:r>
        <w:rPr>
          <w:rFonts w:ascii="Times New Roman" w:hAnsi="Times New Roman" w:eastAsia="Times New Roman" w:cs="Times New Roman"/>
          <w:position w:val="1"/>
          <w:sz w:val="23"/>
          <w:szCs w:val="23"/>
        </w:rPr>
        <w:t>V</w:t>
      </w:r>
      <w:r>
        <w:rPr>
          <w:rFonts w:ascii="Times New Roman" w:hAnsi="Times New Roman" w:eastAsia="Times New Roman" w:cs="Times New Roman"/>
          <w:spacing w:val="2"/>
          <w:position w:val="1"/>
          <w:sz w:val="13"/>
          <w:szCs w:val="13"/>
        </w:rPr>
        <w:t xml:space="preserve">0 </w:t>
      </w:r>
      <w:r>
        <w:rPr>
          <w:rFonts w:ascii="Symbol" w:hAnsi="Symbol" w:eastAsia="Symbol" w:cs="Symbol"/>
          <w:spacing w:val="2"/>
          <w:position w:val="1"/>
          <w:sz w:val="23"/>
          <w:szCs w:val="23"/>
        </w:rPr>
        <w:t xml:space="preserve">+ </w:t>
      </w:r>
      <w:r>
        <w:rPr>
          <w:rFonts w:ascii="Times New Roman" w:hAnsi="Times New Roman" w:eastAsia="Times New Roman" w:cs="Times New Roman"/>
          <w:spacing w:val="2"/>
          <w:position w:val="1"/>
          <w:sz w:val="23"/>
          <w:szCs w:val="23"/>
        </w:rPr>
        <w:t>1.24</w:t>
      </w:r>
      <w:r>
        <w:rPr>
          <w:rFonts w:ascii="Times New Roman" w:hAnsi="Times New Roman" w:eastAsia="Times New Roman" w:cs="Times New Roman"/>
          <w:position w:val="1"/>
          <w:sz w:val="23"/>
          <w:szCs w:val="23"/>
        </w:rPr>
        <w:t>G</w:t>
      </w:r>
      <w:r>
        <w:rPr>
          <w:rFonts w:ascii="Times New Roman" w:hAnsi="Times New Roman" w:eastAsia="Times New Roman" w:cs="Times New Roman"/>
          <w:position w:val="1"/>
          <w:sz w:val="13"/>
          <w:szCs w:val="13"/>
        </w:rPr>
        <w:t>wh</w:t>
      </w:r>
    </w:p>
    <w:p w14:paraId="346565A6">
      <w:pPr>
        <w:spacing w:before="316" w:line="322" w:lineRule="exact"/>
        <w:ind w:left="508"/>
        <w:rPr>
          <w:rFonts w:ascii="宋体" w:hAnsi="宋体" w:eastAsia="宋体" w:cs="宋体"/>
          <w:sz w:val="23"/>
          <w:szCs w:val="23"/>
        </w:rPr>
      </w:pPr>
      <w:r>
        <w:rPr>
          <w:rFonts w:ascii="宋体" w:hAnsi="宋体" w:eastAsia="宋体" w:cs="宋体"/>
          <w:spacing w:val="18"/>
          <w:position w:val="3"/>
          <w:sz w:val="23"/>
          <w:szCs w:val="23"/>
        </w:rPr>
        <w:t>式</w:t>
      </w:r>
      <w:r>
        <w:rPr>
          <w:rFonts w:ascii="宋体" w:hAnsi="宋体" w:eastAsia="宋体" w:cs="宋体"/>
          <w:spacing w:val="10"/>
          <w:position w:val="3"/>
          <w:sz w:val="23"/>
          <w:szCs w:val="23"/>
        </w:rPr>
        <w:t>中</w:t>
      </w:r>
      <w:r>
        <w:rPr>
          <w:rFonts w:ascii="宋体" w:hAnsi="宋体" w:eastAsia="宋体" w:cs="宋体"/>
          <w:spacing w:val="9"/>
          <w:position w:val="3"/>
          <w:sz w:val="23"/>
          <w:szCs w:val="23"/>
        </w:rPr>
        <w:t>：</w:t>
      </w:r>
      <w:r>
        <w:rPr>
          <w:rFonts w:ascii="Times New Roman" w:hAnsi="Times New Roman" w:eastAsia="Times New Roman" w:cs="Times New Roman"/>
          <w:position w:val="3"/>
          <w:sz w:val="23"/>
          <w:szCs w:val="23"/>
        </w:rPr>
        <w:t>V</w:t>
      </w:r>
      <w:r>
        <w:rPr>
          <w:rFonts w:ascii="Times New Roman" w:hAnsi="Times New Roman" w:eastAsia="Times New Roman" w:cs="Times New Roman"/>
          <w:position w:val="2"/>
          <w:sz w:val="15"/>
          <w:szCs w:val="15"/>
        </w:rPr>
        <w:t>RO</w:t>
      </w:r>
      <w:r>
        <w:rPr>
          <w:rFonts w:ascii="Times New Roman" w:hAnsi="Times New Roman" w:eastAsia="Times New Roman" w:cs="Times New Roman"/>
          <w:spacing w:val="9"/>
          <w:position w:val="2"/>
          <w:sz w:val="15"/>
          <w:szCs w:val="15"/>
        </w:rPr>
        <w:t>2</w:t>
      </w:r>
      <w:r>
        <w:rPr>
          <w:rFonts w:ascii="Times New Roman" w:hAnsi="Times New Roman" w:eastAsia="Times New Roman" w:cs="Times New Roman"/>
          <w:spacing w:val="9"/>
          <w:position w:val="3"/>
          <w:sz w:val="23"/>
          <w:szCs w:val="23"/>
        </w:rPr>
        <w:t>—</w:t>
      </w:r>
      <w:r>
        <w:rPr>
          <w:rFonts w:ascii="宋体" w:hAnsi="宋体" w:eastAsia="宋体" w:cs="宋体"/>
          <w:spacing w:val="9"/>
          <w:position w:val="3"/>
          <w:sz w:val="23"/>
          <w:szCs w:val="23"/>
        </w:rPr>
        <w:t>烟气中二氧化碳和二氧化硫容积之和，</w:t>
      </w:r>
      <w:r>
        <w:rPr>
          <w:rFonts w:ascii="Times New Roman" w:hAnsi="Times New Roman" w:eastAsia="Times New Roman" w:cs="Times New Roman"/>
          <w:position w:val="3"/>
          <w:sz w:val="23"/>
          <w:szCs w:val="23"/>
        </w:rPr>
        <w:t>m</w:t>
      </w:r>
      <w:r>
        <w:rPr>
          <w:rFonts w:ascii="Times New Roman" w:hAnsi="Times New Roman" w:eastAsia="Times New Roman" w:cs="Times New Roman"/>
          <w:spacing w:val="9"/>
          <w:position w:val="11"/>
          <w:sz w:val="15"/>
          <w:szCs w:val="15"/>
        </w:rPr>
        <w:t>3</w:t>
      </w:r>
      <w:r>
        <w:rPr>
          <w:rFonts w:ascii="Times New Roman" w:hAnsi="Times New Roman" w:eastAsia="Times New Roman" w:cs="Times New Roman"/>
          <w:spacing w:val="9"/>
          <w:position w:val="3"/>
          <w:sz w:val="23"/>
          <w:szCs w:val="23"/>
        </w:rPr>
        <w:t>/</w:t>
      </w:r>
      <w:r>
        <w:rPr>
          <w:rFonts w:ascii="Times New Roman" w:hAnsi="Times New Roman" w:eastAsia="Times New Roman" w:cs="Times New Roman"/>
          <w:position w:val="3"/>
          <w:sz w:val="23"/>
          <w:szCs w:val="23"/>
        </w:rPr>
        <w:t>kg</w:t>
      </w:r>
      <w:r>
        <w:rPr>
          <w:rFonts w:ascii="宋体" w:hAnsi="宋体" w:eastAsia="宋体" w:cs="宋体"/>
          <w:spacing w:val="9"/>
          <w:position w:val="3"/>
          <w:sz w:val="23"/>
          <w:szCs w:val="23"/>
        </w:rPr>
        <w:t>；</w:t>
      </w:r>
    </w:p>
    <w:p w14:paraId="28BC9E75">
      <w:pPr>
        <w:spacing w:before="158" w:line="480" w:lineRule="exact"/>
        <w:ind w:left="1325"/>
        <w:rPr>
          <w:rFonts w:ascii="宋体" w:hAnsi="宋体" w:eastAsia="宋体" w:cs="宋体"/>
          <w:sz w:val="23"/>
          <w:szCs w:val="23"/>
        </w:rPr>
      </w:pPr>
      <w:r>
        <w:rPr>
          <w:rFonts w:ascii="Times New Roman" w:hAnsi="Times New Roman" w:eastAsia="Times New Roman" w:cs="Times New Roman"/>
          <w:position w:val="9"/>
          <w:sz w:val="23"/>
          <w:szCs w:val="23"/>
        </w:rPr>
        <w:t>C</w:t>
      </w:r>
      <w:r>
        <w:rPr>
          <w:rFonts w:ascii="Times New Roman" w:hAnsi="Times New Roman" w:eastAsia="Times New Roman" w:cs="Times New Roman"/>
          <w:position w:val="9"/>
          <w:sz w:val="13"/>
          <w:szCs w:val="13"/>
        </w:rPr>
        <w:t>ar</w:t>
      </w:r>
      <w:r>
        <w:rPr>
          <w:rFonts w:ascii="Times New Roman" w:hAnsi="Times New Roman" w:eastAsia="Times New Roman" w:cs="Times New Roman"/>
          <w:spacing w:val="8"/>
          <w:position w:val="9"/>
          <w:sz w:val="13"/>
          <w:szCs w:val="13"/>
        </w:rPr>
        <w:t xml:space="preserve"> </w:t>
      </w:r>
      <w:r>
        <w:rPr>
          <w:rFonts w:ascii="Times New Roman" w:hAnsi="Times New Roman" w:eastAsia="Times New Roman" w:cs="Times New Roman"/>
          <w:spacing w:val="6"/>
          <w:position w:val="9"/>
          <w:sz w:val="13"/>
          <w:szCs w:val="13"/>
        </w:rPr>
        <w:t xml:space="preserve"> </w:t>
      </w:r>
      <w:r>
        <w:rPr>
          <w:rFonts w:ascii="Times New Roman" w:hAnsi="Times New Roman" w:eastAsia="Times New Roman" w:cs="Times New Roman"/>
          <w:spacing w:val="4"/>
          <w:position w:val="9"/>
          <w:sz w:val="13"/>
          <w:szCs w:val="13"/>
        </w:rPr>
        <w:t xml:space="preserve">  </w:t>
      </w:r>
      <w:r>
        <w:rPr>
          <w:rFonts w:ascii="Times New Roman" w:hAnsi="Times New Roman" w:eastAsia="Times New Roman" w:cs="Times New Roman"/>
          <w:spacing w:val="4"/>
          <w:position w:val="16"/>
          <w:sz w:val="23"/>
          <w:szCs w:val="23"/>
        </w:rPr>
        <w:t xml:space="preserve">— </w:t>
      </w:r>
      <w:r>
        <w:rPr>
          <w:rFonts w:ascii="宋体" w:hAnsi="宋体" w:eastAsia="宋体" w:cs="宋体"/>
          <w:spacing w:val="4"/>
          <w:position w:val="16"/>
          <w:sz w:val="23"/>
          <w:szCs w:val="23"/>
        </w:rPr>
        <w:t>收到基碳的质量分数，</w:t>
      </w:r>
      <w:r>
        <w:rPr>
          <w:rFonts w:ascii="Times New Roman" w:hAnsi="Times New Roman" w:eastAsia="Times New Roman" w:cs="Times New Roman"/>
          <w:spacing w:val="4"/>
          <w:position w:val="16"/>
          <w:sz w:val="23"/>
          <w:szCs w:val="23"/>
        </w:rPr>
        <w:t>%</w:t>
      </w:r>
      <w:r>
        <w:rPr>
          <w:rFonts w:ascii="宋体" w:hAnsi="宋体" w:eastAsia="宋体" w:cs="宋体"/>
          <w:spacing w:val="4"/>
          <w:position w:val="16"/>
          <w:sz w:val="23"/>
          <w:szCs w:val="23"/>
        </w:rPr>
        <w:t>；</w:t>
      </w:r>
    </w:p>
    <w:p w14:paraId="376D12CD">
      <w:pPr>
        <w:spacing w:line="378" w:lineRule="exact"/>
        <w:ind w:left="1345"/>
        <w:rPr>
          <w:rFonts w:ascii="宋体" w:hAnsi="宋体" w:eastAsia="宋体" w:cs="宋体"/>
          <w:sz w:val="23"/>
          <w:szCs w:val="23"/>
        </w:rPr>
      </w:pPr>
      <w:r>
        <w:rPr>
          <w:rFonts w:ascii="Times New Roman" w:hAnsi="Times New Roman" w:eastAsia="Times New Roman" w:cs="Times New Roman"/>
          <w:position w:val="-1"/>
          <w:sz w:val="23"/>
          <w:szCs w:val="23"/>
        </w:rPr>
        <w:t>S</w:t>
      </w:r>
      <w:r>
        <w:rPr>
          <w:rFonts w:ascii="Times New Roman" w:hAnsi="Times New Roman" w:eastAsia="Times New Roman" w:cs="Times New Roman"/>
          <w:position w:val="-1"/>
          <w:sz w:val="13"/>
          <w:szCs w:val="13"/>
        </w:rPr>
        <w:t>ar</w:t>
      </w:r>
      <w:r>
        <w:rPr>
          <w:rFonts w:ascii="Times New Roman" w:hAnsi="Times New Roman" w:eastAsia="Times New Roman" w:cs="Times New Roman"/>
          <w:spacing w:val="5"/>
          <w:position w:val="-1"/>
          <w:sz w:val="13"/>
          <w:szCs w:val="13"/>
        </w:rPr>
        <w:t xml:space="preserve">   </w:t>
      </w:r>
      <w:r>
        <w:rPr>
          <w:rFonts w:ascii="Times New Roman" w:hAnsi="Times New Roman" w:eastAsia="Times New Roman" w:cs="Times New Roman"/>
          <w:spacing w:val="5"/>
          <w:position w:val="6"/>
          <w:sz w:val="23"/>
          <w:szCs w:val="23"/>
        </w:rPr>
        <w:t xml:space="preserve">— </w:t>
      </w:r>
      <w:r>
        <w:rPr>
          <w:rFonts w:ascii="宋体" w:hAnsi="宋体" w:eastAsia="宋体" w:cs="宋体"/>
          <w:spacing w:val="5"/>
          <w:position w:val="6"/>
          <w:sz w:val="23"/>
          <w:szCs w:val="23"/>
        </w:rPr>
        <w:t>收到基硫的质量分数，</w:t>
      </w:r>
      <w:r>
        <w:rPr>
          <w:rFonts w:ascii="Times New Roman" w:hAnsi="Times New Roman" w:eastAsia="Times New Roman" w:cs="Times New Roman"/>
          <w:spacing w:val="5"/>
          <w:position w:val="6"/>
          <w:sz w:val="23"/>
          <w:szCs w:val="23"/>
        </w:rPr>
        <w:t>%</w:t>
      </w:r>
      <w:r>
        <w:rPr>
          <w:rFonts w:ascii="宋体" w:hAnsi="宋体" w:eastAsia="宋体" w:cs="宋体"/>
          <w:spacing w:val="3"/>
          <w:position w:val="6"/>
          <w:sz w:val="23"/>
          <w:szCs w:val="23"/>
        </w:rPr>
        <w:t>；</w:t>
      </w:r>
    </w:p>
    <w:p w14:paraId="2BE4BE52">
      <w:pPr>
        <w:sectPr>
          <w:headerReference r:id="rId127" w:type="default"/>
          <w:footerReference r:id="rId128" w:type="default"/>
          <w:pgSz w:w="11906" w:h="16839"/>
          <w:pgMar w:top="1132" w:right="1785" w:bottom="1182" w:left="1785" w:header="878" w:footer="1022" w:gutter="0"/>
          <w:cols w:space="720" w:num="1"/>
        </w:sectPr>
      </w:pPr>
    </w:p>
    <w:p w14:paraId="334BB856">
      <w:pPr>
        <w:spacing w:line="365" w:lineRule="auto"/>
        <w:rPr>
          <w:rFonts w:ascii="Arial"/>
          <w:sz w:val="21"/>
        </w:rPr>
      </w:pPr>
      <w:r>
        <w:pict>
          <v:shape id="_x0000_s1175" o:spid="_x0000_s1175" style="position:absolute;left:0pt;margin-left:90pt;margin-top:57.35pt;height:0.75pt;width:415.3pt;mso-position-horizontal-relative:page;mso-position-vertical-relative:page;z-index:251813888;mso-width-relative:page;mso-height-relative:page;" fillcolor="#000000" filled="t" stroked="f" coordsize="8305,15" o:allowincell="f" path="m0,0l8305,0,8305,14,0,14,0,0xe">
            <v:path/>
            <v:fill on="t" focussize="0,0"/>
            <v:stroke on="f"/>
            <v:imagedata o:title=""/>
            <o:lock v:ext="edit"/>
          </v:shape>
        </w:pict>
      </w:r>
    </w:p>
    <w:p w14:paraId="0D70C554">
      <w:pPr>
        <w:spacing w:before="75" w:line="480" w:lineRule="exact"/>
        <w:ind w:left="1387"/>
        <w:rPr>
          <w:rFonts w:ascii="宋体" w:hAnsi="宋体" w:eastAsia="宋体" w:cs="宋体"/>
          <w:sz w:val="23"/>
          <w:szCs w:val="23"/>
        </w:rPr>
      </w:pPr>
      <w:r>
        <w:rPr>
          <w:rFonts w:ascii="Times New Roman" w:hAnsi="Times New Roman" w:eastAsia="Times New Roman" w:cs="Times New Roman"/>
          <w:position w:val="6"/>
          <w:sz w:val="23"/>
          <w:szCs w:val="23"/>
        </w:rPr>
        <w:t>V</w:t>
      </w:r>
      <w:r>
        <w:rPr>
          <w:rFonts w:ascii="Times New Roman" w:hAnsi="Times New Roman" w:eastAsia="Times New Roman" w:cs="Times New Roman"/>
          <w:position w:val="6"/>
          <w:sz w:val="13"/>
          <w:szCs w:val="13"/>
        </w:rPr>
        <w:t>N</w:t>
      </w:r>
      <w:r>
        <w:rPr>
          <w:rFonts w:ascii="Times New Roman" w:hAnsi="Times New Roman" w:eastAsia="Times New Roman" w:cs="Times New Roman"/>
          <w:spacing w:val="9"/>
          <w:position w:val="6"/>
          <w:sz w:val="13"/>
          <w:szCs w:val="13"/>
        </w:rPr>
        <w:t xml:space="preserve"> </w:t>
      </w:r>
      <w:r>
        <w:rPr>
          <w:rFonts w:ascii="Times New Roman" w:hAnsi="Times New Roman" w:eastAsia="Times New Roman" w:cs="Times New Roman"/>
          <w:spacing w:val="8"/>
          <w:position w:val="6"/>
          <w:sz w:val="9"/>
          <w:szCs w:val="9"/>
        </w:rPr>
        <w:t xml:space="preserve">2  </w:t>
      </w:r>
      <w:r>
        <w:rPr>
          <w:rFonts w:ascii="Times New Roman" w:hAnsi="Times New Roman" w:eastAsia="Times New Roman" w:cs="Times New Roman"/>
          <w:spacing w:val="8"/>
          <w:position w:val="16"/>
          <w:sz w:val="23"/>
          <w:szCs w:val="23"/>
        </w:rPr>
        <w:t>—</w:t>
      </w:r>
      <w:r>
        <w:rPr>
          <w:rFonts w:ascii="宋体" w:hAnsi="宋体" w:eastAsia="宋体" w:cs="宋体"/>
          <w:spacing w:val="8"/>
          <w:position w:val="16"/>
          <w:sz w:val="23"/>
          <w:szCs w:val="23"/>
        </w:rPr>
        <w:t>烟气中氮气量，</w:t>
      </w:r>
      <w:r>
        <w:rPr>
          <w:rFonts w:ascii="Times New Roman" w:hAnsi="Times New Roman" w:eastAsia="Times New Roman" w:cs="Times New Roman"/>
          <w:position w:val="16"/>
          <w:sz w:val="23"/>
          <w:szCs w:val="23"/>
        </w:rPr>
        <w:t>m</w:t>
      </w:r>
      <w:r>
        <w:rPr>
          <w:rFonts w:ascii="Times New Roman" w:hAnsi="Times New Roman" w:eastAsia="Times New Roman" w:cs="Times New Roman"/>
          <w:spacing w:val="8"/>
          <w:position w:val="24"/>
          <w:sz w:val="15"/>
          <w:szCs w:val="15"/>
        </w:rPr>
        <w:t>3</w:t>
      </w:r>
      <w:r>
        <w:rPr>
          <w:rFonts w:ascii="Times New Roman" w:hAnsi="Times New Roman" w:eastAsia="Times New Roman" w:cs="Times New Roman"/>
          <w:spacing w:val="8"/>
          <w:position w:val="16"/>
          <w:sz w:val="23"/>
          <w:szCs w:val="23"/>
        </w:rPr>
        <w:t>/</w:t>
      </w:r>
      <w:r>
        <w:rPr>
          <w:rFonts w:ascii="Times New Roman" w:hAnsi="Times New Roman" w:eastAsia="Times New Roman" w:cs="Times New Roman"/>
          <w:position w:val="16"/>
          <w:sz w:val="23"/>
          <w:szCs w:val="23"/>
        </w:rPr>
        <w:t>kg</w:t>
      </w:r>
      <w:r>
        <w:rPr>
          <w:rFonts w:ascii="宋体" w:hAnsi="宋体" w:eastAsia="宋体" w:cs="宋体"/>
          <w:spacing w:val="8"/>
          <w:position w:val="16"/>
          <w:sz w:val="23"/>
          <w:szCs w:val="23"/>
        </w:rPr>
        <w:t>；</w:t>
      </w:r>
    </w:p>
    <w:p w14:paraId="3BBB088C">
      <w:pPr>
        <w:spacing w:line="370" w:lineRule="exact"/>
        <w:ind w:left="1408"/>
        <w:rPr>
          <w:rFonts w:ascii="宋体" w:hAnsi="宋体" w:eastAsia="宋体" w:cs="宋体"/>
          <w:sz w:val="23"/>
          <w:szCs w:val="23"/>
        </w:rPr>
      </w:pPr>
      <w:r>
        <w:rPr>
          <w:rFonts w:ascii="Times New Roman" w:hAnsi="Times New Roman" w:eastAsia="Times New Roman" w:cs="Times New Roman"/>
          <w:position w:val="-1"/>
          <w:sz w:val="23"/>
          <w:szCs w:val="23"/>
        </w:rPr>
        <w:t>N</w:t>
      </w:r>
      <w:r>
        <w:rPr>
          <w:rFonts w:ascii="Times New Roman" w:hAnsi="Times New Roman" w:eastAsia="Times New Roman" w:cs="Times New Roman"/>
          <w:position w:val="-1"/>
          <w:sz w:val="13"/>
          <w:szCs w:val="13"/>
        </w:rPr>
        <w:t>ar</w:t>
      </w:r>
      <w:r>
        <w:rPr>
          <w:rFonts w:ascii="Times New Roman" w:hAnsi="Times New Roman" w:eastAsia="Times New Roman" w:cs="Times New Roman"/>
          <w:spacing w:val="12"/>
          <w:position w:val="-1"/>
          <w:sz w:val="13"/>
          <w:szCs w:val="13"/>
        </w:rPr>
        <w:t xml:space="preserve"> </w:t>
      </w:r>
      <w:r>
        <w:rPr>
          <w:rFonts w:ascii="Times New Roman" w:hAnsi="Times New Roman" w:eastAsia="Times New Roman" w:cs="Times New Roman"/>
          <w:spacing w:val="11"/>
          <w:position w:val="-1"/>
          <w:sz w:val="13"/>
          <w:szCs w:val="13"/>
        </w:rPr>
        <w:t xml:space="preserve"> </w:t>
      </w:r>
      <w:r>
        <w:rPr>
          <w:rFonts w:ascii="Times New Roman" w:hAnsi="Times New Roman" w:eastAsia="Times New Roman" w:cs="Times New Roman"/>
          <w:spacing w:val="6"/>
          <w:position w:val="4"/>
          <w:sz w:val="23"/>
          <w:szCs w:val="23"/>
        </w:rPr>
        <w:t xml:space="preserve">— </w:t>
      </w:r>
      <w:r>
        <w:rPr>
          <w:rFonts w:ascii="宋体" w:hAnsi="宋体" w:eastAsia="宋体" w:cs="宋体"/>
          <w:spacing w:val="6"/>
          <w:position w:val="4"/>
          <w:sz w:val="23"/>
          <w:szCs w:val="23"/>
        </w:rPr>
        <w:t>收到基氮的质量分数，</w:t>
      </w:r>
      <w:r>
        <w:rPr>
          <w:rFonts w:ascii="Times New Roman" w:hAnsi="Times New Roman" w:eastAsia="Times New Roman" w:cs="Times New Roman"/>
          <w:spacing w:val="6"/>
          <w:position w:val="4"/>
          <w:sz w:val="23"/>
          <w:szCs w:val="23"/>
        </w:rPr>
        <w:t>%</w:t>
      </w:r>
      <w:r>
        <w:rPr>
          <w:rFonts w:ascii="宋体" w:hAnsi="宋体" w:eastAsia="宋体" w:cs="宋体"/>
          <w:spacing w:val="6"/>
          <w:position w:val="4"/>
          <w:sz w:val="23"/>
          <w:szCs w:val="23"/>
        </w:rPr>
        <w:t>；</w:t>
      </w:r>
    </w:p>
    <w:p w14:paraId="179B2E51">
      <w:pPr>
        <w:spacing w:before="109" w:line="323" w:lineRule="exact"/>
        <w:ind w:left="1430"/>
        <w:rPr>
          <w:rFonts w:ascii="宋体" w:hAnsi="宋体" w:eastAsia="宋体" w:cs="宋体"/>
          <w:sz w:val="23"/>
          <w:szCs w:val="23"/>
        </w:rPr>
      </w:pPr>
      <w:r>
        <w:rPr>
          <w:rFonts w:ascii="Times New Roman" w:hAnsi="Times New Roman" w:eastAsia="Times New Roman" w:cs="Times New Roman"/>
          <w:position w:val="3"/>
          <w:sz w:val="23"/>
          <w:szCs w:val="23"/>
        </w:rPr>
        <w:t>V</w:t>
      </w:r>
      <w:r>
        <w:rPr>
          <w:rFonts w:ascii="Times New Roman" w:hAnsi="Times New Roman" w:eastAsia="Times New Roman" w:cs="Times New Roman"/>
          <w:spacing w:val="12"/>
          <w:position w:val="2"/>
          <w:sz w:val="15"/>
          <w:szCs w:val="15"/>
        </w:rPr>
        <w:t>0</w:t>
      </w:r>
      <w:r>
        <w:rPr>
          <w:rFonts w:ascii="Times New Roman" w:hAnsi="Times New Roman" w:eastAsia="Times New Roman" w:cs="Times New Roman"/>
          <w:spacing w:val="9"/>
          <w:position w:val="3"/>
          <w:sz w:val="23"/>
          <w:szCs w:val="23"/>
        </w:rPr>
        <w:t>—</w:t>
      </w:r>
      <w:r>
        <w:rPr>
          <w:rFonts w:ascii="宋体" w:hAnsi="宋体" w:eastAsia="宋体" w:cs="宋体"/>
          <w:spacing w:val="9"/>
          <w:position w:val="3"/>
          <w:sz w:val="23"/>
          <w:szCs w:val="23"/>
        </w:rPr>
        <w:t>理论空气量，</w:t>
      </w:r>
      <w:r>
        <w:rPr>
          <w:rFonts w:ascii="Times New Roman" w:hAnsi="Times New Roman" w:eastAsia="Times New Roman" w:cs="Times New Roman"/>
          <w:position w:val="3"/>
          <w:sz w:val="23"/>
          <w:szCs w:val="23"/>
        </w:rPr>
        <w:t>m</w:t>
      </w:r>
      <w:r>
        <w:rPr>
          <w:rFonts w:ascii="Times New Roman" w:hAnsi="Times New Roman" w:eastAsia="Times New Roman" w:cs="Times New Roman"/>
          <w:spacing w:val="9"/>
          <w:position w:val="11"/>
          <w:sz w:val="15"/>
          <w:szCs w:val="15"/>
        </w:rPr>
        <w:t>3</w:t>
      </w:r>
      <w:r>
        <w:rPr>
          <w:rFonts w:ascii="Times New Roman" w:hAnsi="Times New Roman" w:eastAsia="Times New Roman" w:cs="Times New Roman"/>
          <w:spacing w:val="9"/>
          <w:position w:val="3"/>
          <w:sz w:val="23"/>
          <w:szCs w:val="23"/>
        </w:rPr>
        <w:t>/</w:t>
      </w:r>
      <w:r>
        <w:rPr>
          <w:rFonts w:ascii="Times New Roman" w:hAnsi="Times New Roman" w:eastAsia="Times New Roman" w:cs="Times New Roman"/>
          <w:position w:val="3"/>
          <w:sz w:val="23"/>
          <w:szCs w:val="23"/>
        </w:rPr>
        <w:t>kg</w:t>
      </w:r>
      <w:r>
        <w:rPr>
          <w:rFonts w:ascii="宋体" w:hAnsi="宋体" w:eastAsia="宋体" w:cs="宋体"/>
          <w:spacing w:val="9"/>
          <w:position w:val="3"/>
          <w:sz w:val="23"/>
          <w:szCs w:val="23"/>
        </w:rPr>
        <w:t>；</w:t>
      </w:r>
    </w:p>
    <w:p w14:paraId="6D13BA75">
      <w:pPr>
        <w:spacing w:before="157" w:line="322" w:lineRule="exact"/>
        <w:ind w:left="1430"/>
        <w:rPr>
          <w:rFonts w:ascii="宋体" w:hAnsi="宋体" w:eastAsia="宋体" w:cs="宋体"/>
          <w:sz w:val="23"/>
          <w:szCs w:val="23"/>
        </w:rPr>
      </w:pPr>
      <w:r>
        <w:rPr>
          <w:rFonts w:ascii="Times New Roman" w:hAnsi="Times New Roman" w:eastAsia="Times New Roman" w:cs="Times New Roman"/>
          <w:position w:val="3"/>
          <w:sz w:val="23"/>
          <w:szCs w:val="23"/>
        </w:rPr>
        <w:t>Vg</w:t>
      </w:r>
      <w:r>
        <w:rPr>
          <w:rFonts w:ascii="Times New Roman" w:hAnsi="Times New Roman" w:eastAsia="Times New Roman" w:cs="Times New Roman"/>
          <w:spacing w:val="12"/>
          <w:position w:val="3"/>
          <w:sz w:val="23"/>
          <w:szCs w:val="23"/>
        </w:rPr>
        <w:t>—</w:t>
      </w:r>
      <w:r>
        <w:rPr>
          <w:rFonts w:ascii="宋体" w:hAnsi="宋体" w:eastAsia="宋体" w:cs="宋体"/>
          <w:spacing w:val="10"/>
          <w:position w:val="3"/>
          <w:sz w:val="23"/>
          <w:szCs w:val="23"/>
        </w:rPr>
        <w:t>干烟气排放量，</w:t>
      </w:r>
      <w:r>
        <w:rPr>
          <w:rFonts w:ascii="Times New Roman" w:hAnsi="Times New Roman" w:eastAsia="Times New Roman" w:cs="Times New Roman"/>
          <w:position w:val="3"/>
          <w:sz w:val="23"/>
          <w:szCs w:val="23"/>
        </w:rPr>
        <w:t>m</w:t>
      </w:r>
      <w:r>
        <w:rPr>
          <w:rFonts w:ascii="Times New Roman" w:hAnsi="Times New Roman" w:eastAsia="Times New Roman" w:cs="Times New Roman"/>
          <w:spacing w:val="10"/>
          <w:position w:val="11"/>
          <w:sz w:val="15"/>
          <w:szCs w:val="15"/>
        </w:rPr>
        <w:t>3</w:t>
      </w:r>
      <w:r>
        <w:rPr>
          <w:rFonts w:ascii="Times New Roman" w:hAnsi="Times New Roman" w:eastAsia="Times New Roman" w:cs="Times New Roman"/>
          <w:spacing w:val="10"/>
          <w:position w:val="3"/>
          <w:sz w:val="23"/>
          <w:szCs w:val="23"/>
        </w:rPr>
        <w:t>/</w:t>
      </w:r>
      <w:r>
        <w:rPr>
          <w:rFonts w:ascii="Times New Roman" w:hAnsi="Times New Roman" w:eastAsia="Times New Roman" w:cs="Times New Roman"/>
          <w:position w:val="3"/>
          <w:sz w:val="23"/>
          <w:szCs w:val="23"/>
        </w:rPr>
        <w:t>kg</w:t>
      </w:r>
      <w:r>
        <w:rPr>
          <w:rFonts w:ascii="宋体" w:hAnsi="宋体" w:eastAsia="宋体" w:cs="宋体"/>
          <w:spacing w:val="10"/>
          <w:position w:val="3"/>
          <w:sz w:val="23"/>
          <w:szCs w:val="23"/>
        </w:rPr>
        <w:t>；</w:t>
      </w:r>
    </w:p>
    <w:p w14:paraId="3D98D956">
      <w:pPr>
        <w:spacing w:before="201" w:line="385" w:lineRule="auto"/>
        <w:ind w:left="143" w:right="107" w:firstLine="1294"/>
        <w:rPr>
          <w:rFonts w:ascii="宋体" w:hAnsi="宋体" w:eastAsia="宋体" w:cs="宋体"/>
          <w:sz w:val="23"/>
          <w:szCs w:val="23"/>
        </w:rPr>
      </w:pPr>
      <w:r>
        <w:rPr>
          <w:rFonts w:ascii="Times New Roman" w:hAnsi="Times New Roman" w:eastAsia="Times New Roman" w:cs="Times New Roman"/>
          <w:spacing w:val="11"/>
          <w:sz w:val="23"/>
          <w:szCs w:val="23"/>
        </w:rPr>
        <w:t>α</w:t>
      </w:r>
      <w:r>
        <w:rPr>
          <w:rFonts w:ascii="Times New Roman" w:hAnsi="Times New Roman" w:eastAsia="Times New Roman" w:cs="Times New Roman"/>
          <w:spacing w:val="6"/>
          <w:sz w:val="23"/>
          <w:szCs w:val="23"/>
        </w:rPr>
        <w:t>—</w:t>
      </w:r>
      <w:r>
        <w:rPr>
          <w:rFonts w:ascii="宋体" w:hAnsi="宋体" w:eastAsia="宋体" w:cs="宋体"/>
          <w:spacing w:val="6"/>
          <w:sz w:val="23"/>
          <w:szCs w:val="23"/>
        </w:rPr>
        <w:t>过量空气系数，燃料燃烧时实际空气供给量与理论空气需要量之</w:t>
      </w:r>
      <w:r>
        <w:rPr>
          <w:rFonts w:ascii="宋体" w:hAnsi="宋体" w:eastAsia="宋体" w:cs="宋体"/>
          <w:sz w:val="23"/>
          <w:szCs w:val="23"/>
        </w:rPr>
        <w:t xml:space="preserve"> </w:t>
      </w:r>
      <w:r>
        <w:rPr>
          <w:rFonts w:ascii="宋体" w:hAnsi="宋体" w:eastAsia="宋体" w:cs="宋体"/>
          <w:spacing w:val="12"/>
          <w:sz w:val="23"/>
          <w:szCs w:val="23"/>
        </w:rPr>
        <w:t>比值，燃</w:t>
      </w:r>
      <w:r>
        <w:rPr>
          <w:rFonts w:ascii="宋体" w:hAnsi="宋体" w:eastAsia="宋体" w:cs="宋体"/>
          <w:spacing w:val="7"/>
          <w:sz w:val="23"/>
          <w:szCs w:val="23"/>
        </w:rPr>
        <w:t>煤</w:t>
      </w:r>
      <w:r>
        <w:rPr>
          <w:rFonts w:ascii="宋体" w:hAnsi="宋体" w:eastAsia="宋体" w:cs="宋体"/>
          <w:spacing w:val="6"/>
          <w:sz w:val="23"/>
          <w:szCs w:val="23"/>
        </w:rPr>
        <w:t xml:space="preserve">锅炉、燃油锅炉及燃气锅炉的规定过量空气系数分别为 </w:t>
      </w:r>
      <w:r>
        <w:rPr>
          <w:rFonts w:ascii="Times New Roman" w:hAnsi="Times New Roman" w:eastAsia="Times New Roman" w:cs="Times New Roman"/>
          <w:spacing w:val="6"/>
          <w:sz w:val="23"/>
          <w:szCs w:val="23"/>
        </w:rPr>
        <w:t xml:space="preserve">1.75 </w:t>
      </w:r>
      <w:r>
        <w:rPr>
          <w:rFonts w:ascii="宋体" w:hAnsi="宋体" w:eastAsia="宋体" w:cs="宋体"/>
          <w:spacing w:val="6"/>
          <w:sz w:val="23"/>
          <w:szCs w:val="23"/>
        </w:rPr>
        <w:t>、</w:t>
      </w:r>
      <w:r>
        <w:rPr>
          <w:rFonts w:ascii="Times New Roman" w:hAnsi="Times New Roman" w:eastAsia="Times New Roman" w:cs="Times New Roman"/>
          <w:spacing w:val="6"/>
          <w:sz w:val="23"/>
          <w:szCs w:val="23"/>
        </w:rPr>
        <w:t>1.2</w:t>
      </w:r>
      <w:r>
        <w:rPr>
          <w:rFonts w:ascii="宋体" w:hAnsi="宋体" w:eastAsia="宋体" w:cs="宋体"/>
          <w:spacing w:val="6"/>
          <w:sz w:val="23"/>
          <w:szCs w:val="23"/>
        </w:rPr>
        <w:t>，</w:t>
      </w:r>
    </w:p>
    <w:p w14:paraId="46FD7611">
      <w:pPr>
        <w:spacing w:line="227" w:lineRule="auto"/>
        <w:ind w:left="122"/>
        <w:rPr>
          <w:rFonts w:ascii="宋体" w:hAnsi="宋体" w:eastAsia="宋体" w:cs="宋体"/>
          <w:sz w:val="23"/>
          <w:szCs w:val="23"/>
        </w:rPr>
      </w:pPr>
      <w:r>
        <w:rPr>
          <w:rFonts w:ascii="宋体" w:hAnsi="宋体" w:eastAsia="宋体" w:cs="宋体"/>
          <w:spacing w:val="6"/>
          <w:sz w:val="23"/>
          <w:szCs w:val="23"/>
        </w:rPr>
        <w:t>则该</w:t>
      </w:r>
      <w:r>
        <w:rPr>
          <w:rFonts w:ascii="宋体" w:hAnsi="宋体" w:eastAsia="宋体" w:cs="宋体"/>
          <w:spacing w:val="4"/>
          <w:sz w:val="23"/>
          <w:szCs w:val="23"/>
        </w:rPr>
        <w:t>项</w:t>
      </w:r>
      <w:r>
        <w:rPr>
          <w:rFonts w:ascii="宋体" w:hAnsi="宋体" w:eastAsia="宋体" w:cs="宋体"/>
          <w:spacing w:val="3"/>
          <w:sz w:val="23"/>
          <w:szCs w:val="23"/>
        </w:rPr>
        <w:t xml:space="preserve">目过量空气系数取 </w:t>
      </w:r>
      <w:r>
        <w:rPr>
          <w:rFonts w:ascii="Times New Roman" w:hAnsi="Times New Roman" w:eastAsia="Times New Roman" w:cs="Times New Roman"/>
          <w:spacing w:val="3"/>
          <w:sz w:val="23"/>
          <w:szCs w:val="23"/>
        </w:rPr>
        <w:t>1.75</w:t>
      </w:r>
      <w:r>
        <w:rPr>
          <w:rFonts w:ascii="宋体" w:hAnsi="宋体" w:eastAsia="宋体" w:cs="宋体"/>
          <w:spacing w:val="3"/>
          <w:sz w:val="23"/>
          <w:szCs w:val="23"/>
        </w:rPr>
        <w:t>。</w:t>
      </w:r>
    </w:p>
    <w:p w14:paraId="445936C7">
      <w:pPr>
        <w:spacing w:before="154" w:line="480" w:lineRule="exact"/>
        <w:ind w:left="1310"/>
        <w:rPr>
          <w:rFonts w:ascii="宋体" w:hAnsi="宋体" w:eastAsia="宋体" w:cs="宋体"/>
          <w:sz w:val="23"/>
          <w:szCs w:val="23"/>
        </w:rPr>
      </w:pPr>
      <w:r>
        <w:rPr>
          <w:rFonts w:ascii="Times New Roman" w:hAnsi="Times New Roman" w:eastAsia="Times New Roman" w:cs="Times New Roman"/>
          <w:position w:val="15"/>
          <w:sz w:val="23"/>
          <w:szCs w:val="23"/>
        </w:rPr>
        <w:t>V</w:t>
      </w:r>
      <w:r>
        <w:rPr>
          <w:rFonts w:ascii="Times New Roman" w:hAnsi="Times New Roman" w:eastAsia="Times New Roman" w:cs="Times New Roman"/>
          <w:position w:val="14"/>
          <w:sz w:val="15"/>
          <w:szCs w:val="15"/>
        </w:rPr>
        <w:t>H</w:t>
      </w:r>
      <w:r>
        <w:rPr>
          <w:rFonts w:ascii="Times New Roman" w:hAnsi="Times New Roman" w:eastAsia="Times New Roman" w:cs="Times New Roman"/>
          <w:spacing w:val="9"/>
          <w:position w:val="14"/>
          <w:sz w:val="15"/>
          <w:szCs w:val="15"/>
        </w:rPr>
        <w:t>20</w:t>
      </w:r>
      <w:r>
        <w:rPr>
          <w:rFonts w:ascii="Times New Roman" w:hAnsi="Times New Roman" w:eastAsia="Times New Roman" w:cs="Times New Roman"/>
          <w:spacing w:val="9"/>
          <w:position w:val="15"/>
          <w:sz w:val="23"/>
          <w:szCs w:val="23"/>
        </w:rPr>
        <w:t>—</w:t>
      </w:r>
      <w:r>
        <w:rPr>
          <w:rFonts w:ascii="宋体" w:hAnsi="宋体" w:eastAsia="宋体" w:cs="宋体"/>
          <w:spacing w:val="9"/>
          <w:position w:val="15"/>
          <w:sz w:val="23"/>
          <w:szCs w:val="23"/>
        </w:rPr>
        <w:t>烟气中水蒸气量，</w:t>
      </w:r>
      <w:r>
        <w:rPr>
          <w:rFonts w:ascii="Times New Roman" w:hAnsi="Times New Roman" w:eastAsia="Times New Roman" w:cs="Times New Roman"/>
          <w:position w:val="15"/>
          <w:sz w:val="23"/>
          <w:szCs w:val="23"/>
        </w:rPr>
        <w:t>m</w:t>
      </w:r>
      <w:r>
        <w:rPr>
          <w:rFonts w:ascii="Times New Roman" w:hAnsi="Times New Roman" w:eastAsia="Times New Roman" w:cs="Times New Roman"/>
          <w:spacing w:val="9"/>
          <w:position w:val="23"/>
          <w:sz w:val="15"/>
          <w:szCs w:val="15"/>
        </w:rPr>
        <w:t>3</w:t>
      </w:r>
      <w:r>
        <w:rPr>
          <w:rFonts w:ascii="Times New Roman" w:hAnsi="Times New Roman" w:eastAsia="Times New Roman" w:cs="Times New Roman"/>
          <w:spacing w:val="9"/>
          <w:position w:val="15"/>
          <w:sz w:val="23"/>
          <w:szCs w:val="23"/>
        </w:rPr>
        <w:t>/</w:t>
      </w:r>
      <w:r>
        <w:rPr>
          <w:rFonts w:ascii="Times New Roman" w:hAnsi="Times New Roman" w:eastAsia="Times New Roman" w:cs="Times New Roman"/>
          <w:position w:val="15"/>
          <w:sz w:val="23"/>
          <w:szCs w:val="23"/>
        </w:rPr>
        <w:t>kg</w:t>
      </w:r>
      <w:r>
        <w:rPr>
          <w:rFonts w:ascii="宋体" w:hAnsi="宋体" w:eastAsia="宋体" w:cs="宋体"/>
          <w:spacing w:val="8"/>
          <w:position w:val="15"/>
          <w:sz w:val="23"/>
          <w:szCs w:val="23"/>
        </w:rPr>
        <w:t>；</w:t>
      </w:r>
    </w:p>
    <w:p w14:paraId="689942F8">
      <w:pPr>
        <w:spacing w:line="323" w:lineRule="exact"/>
        <w:ind w:left="1312"/>
        <w:rPr>
          <w:rFonts w:ascii="宋体" w:hAnsi="宋体" w:eastAsia="宋体" w:cs="宋体"/>
          <w:sz w:val="23"/>
          <w:szCs w:val="23"/>
        </w:rPr>
      </w:pPr>
      <w:r>
        <w:rPr>
          <w:rFonts w:ascii="Times New Roman" w:hAnsi="Times New Roman" w:eastAsia="Times New Roman" w:cs="Times New Roman"/>
          <w:position w:val="1"/>
          <w:sz w:val="23"/>
          <w:szCs w:val="23"/>
        </w:rPr>
        <w:t>H</w:t>
      </w:r>
      <w:r>
        <w:rPr>
          <w:rFonts w:ascii="Times New Roman" w:hAnsi="Times New Roman" w:eastAsia="Times New Roman" w:cs="Times New Roman"/>
          <w:sz w:val="15"/>
          <w:szCs w:val="15"/>
        </w:rPr>
        <w:t>ar</w:t>
      </w:r>
      <w:r>
        <w:rPr>
          <w:rFonts w:ascii="Times New Roman" w:hAnsi="Times New Roman" w:eastAsia="Times New Roman" w:cs="Times New Roman"/>
          <w:spacing w:val="8"/>
          <w:position w:val="1"/>
          <w:sz w:val="23"/>
          <w:szCs w:val="23"/>
        </w:rPr>
        <w:t xml:space="preserve">— </w:t>
      </w:r>
      <w:r>
        <w:rPr>
          <w:rFonts w:ascii="宋体" w:hAnsi="宋体" w:eastAsia="宋体" w:cs="宋体"/>
          <w:spacing w:val="6"/>
          <w:position w:val="1"/>
          <w:sz w:val="23"/>
          <w:szCs w:val="23"/>
        </w:rPr>
        <w:t>收</w:t>
      </w:r>
      <w:r>
        <w:rPr>
          <w:rFonts w:ascii="宋体" w:hAnsi="宋体" w:eastAsia="宋体" w:cs="宋体"/>
          <w:spacing w:val="4"/>
          <w:position w:val="1"/>
          <w:sz w:val="23"/>
          <w:szCs w:val="23"/>
        </w:rPr>
        <w:t>到基氢的质量分数，</w:t>
      </w:r>
      <w:r>
        <w:rPr>
          <w:rFonts w:ascii="Times New Roman" w:hAnsi="Times New Roman" w:eastAsia="Times New Roman" w:cs="Times New Roman"/>
          <w:spacing w:val="4"/>
          <w:position w:val="1"/>
          <w:sz w:val="23"/>
          <w:szCs w:val="23"/>
        </w:rPr>
        <w:t>%</w:t>
      </w:r>
      <w:r>
        <w:rPr>
          <w:rFonts w:ascii="宋体" w:hAnsi="宋体" w:eastAsia="宋体" w:cs="宋体"/>
          <w:spacing w:val="4"/>
          <w:position w:val="1"/>
          <w:sz w:val="23"/>
          <w:szCs w:val="23"/>
        </w:rPr>
        <w:t>；</w:t>
      </w:r>
    </w:p>
    <w:p w14:paraId="74D3ED70">
      <w:pPr>
        <w:spacing w:before="157" w:line="323" w:lineRule="exact"/>
        <w:ind w:left="1312"/>
        <w:rPr>
          <w:rFonts w:ascii="宋体" w:hAnsi="宋体" w:eastAsia="宋体" w:cs="宋体"/>
          <w:sz w:val="23"/>
          <w:szCs w:val="23"/>
        </w:rPr>
      </w:pPr>
      <w:r>
        <w:rPr>
          <w:rFonts w:ascii="Times New Roman" w:hAnsi="Times New Roman" w:eastAsia="Times New Roman" w:cs="Times New Roman"/>
          <w:position w:val="1"/>
          <w:sz w:val="23"/>
          <w:szCs w:val="23"/>
        </w:rPr>
        <w:t>M</w:t>
      </w:r>
      <w:r>
        <w:rPr>
          <w:rFonts w:ascii="Times New Roman" w:hAnsi="Times New Roman" w:eastAsia="Times New Roman" w:cs="Times New Roman"/>
          <w:sz w:val="15"/>
          <w:szCs w:val="15"/>
        </w:rPr>
        <w:t>ar</w:t>
      </w:r>
      <w:r>
        <w:rPr>
          <w:rFonts w:ascii="Times New Roman" w:hAnsi="Times New Roman" w:eastAsia="Times New Roman" w:cs="Times New Roman"/>
          <w:spacing w:val="9"/>
          <w:position w:val="1"/>
          <w:sz w:val="23"/>
          <w:szCs w:val="23"/>
        </w:rPr>
        <w:t>—</w:t>
      </w:r>
      <w:r>
        <w:rPr>
          <w:rFonts w:ascii="Times New Roman" w:hAnsi="Times New Roman" w:eastAsia="Times New Roman" w:cs="Times New Roman"/>
          <w:spacing w:val="5"/>
          <w:position w:val="1"/>
          <w:sz w:val="23"/>
          <w:szCs w:val="23"/>
        </w:rPr>
        <w:t xml:space="preserve"> </w:t>
      </w:r>
      <w:r>
        <w:rPr>
          <w:rFonts w:ascii="宋体" w:hAnsi="宋体" w:eastAsia="宋体" w:cs="宋体"/>
          <w:spacing w:val="5"/>
          <w:position w:val="1"/>
          <w:sz w:val="23"/>
          <w:szCs w:val="23"/>
        </w:rPr>
        <w:t>收到基水分的质量分数，</w:t>
      </w:r>
      <w:r>
        <w:rPr>
          <w:rFonts w:ascii="Times New Roman" w:hAnsi="Times New Roman" w:eastAsia="Times New Roman" w:cs="Times New Roman"/>
          <w:spacing w:val="5"/>
          <w:position w:val="1"/>
          <w:sz w:val="23"/>
          <w:szCs w:val="23"/>
        </w:rPr>
        <w:t>%</w:t>
      </w:r>
      <w:r>
        <w:rPr>
          <w:rFonts w:ascii="宋体" w:hAnsi="宋体" w:eastAsia="宋体" w:cs="宋体"/>
          <w:spacing w:val="5"/>
          <w:position w:val="1"/>
          <w:sz w:val="23"/>
          <w:szCs w:val="23"/>
        </w:rPr>
        <w:t>；</w:t>
      </w:r>
    </w:p>
    <w:p w14:paraId="64952448">
      <w:pPr>
        <w:spacing w:before="157" w:line="480" w:lineRule="exact"/>
        <w:ind w:left="1316"/>
        <w:rPr>
          <w:rFonts w:ascii="宋体" w:hAnsi="宋体" w:eastAsia="宋体" w:cs="宋体"/>
          <w:sz w:val="23"/>
          <w:szCs w:val="23"/>
        </w:rPr>
      </w:pPr>
      <w:r>
        <w:rPr>
          <w:rFonts w:ascii="Times New Roman" w:hAnsi="Times New Roman" w:eastAsia="Times New Roman" w:cs="Times New Roman"/>
          <w:position w:val="15"/>
          <w:sz w:val="23"/>
          <w:szCs w:val="23"/>
        </w:rPr>
        <w:t>G</w:t>
      </w:r>
      <w:r>
        <w:rPr>
          <w:rFonts w:ascii="Times New Roman" w:hAnsi="Times New Roman" w:eastAsia="Times New Roman" w:cs="Times New Roman"/>
          <w:position w:val="14"/>
          <w:sz w:val="15"/>
          <w:szCs w:val="15"/>
        </w:rPr>
        <w:t>wh</w:t>
      </w:r>
      <w:r>
        <w:rPr>
          <w:rFonts w:ascii="Times New Roman" w:hAnsi="Times New Roman" w:eastAsia="Times New Roman" w:cs="Times New Roman"/>
          <w:spacing w:val="15"/>
          <w:position w:val="15"/>
          <w:sz w:val="23"/>
          <w:szCs w:val="23"/>
        </w:rPr>
        <w:t>—</w:t>
      </w:r>
      <w:r>
        <w:rPr>
          <w:rFonts w:ascii="宋体" w:hAnsi="宋体" w:eastAsia="宋体" w:cs="宋体"/>
          <w:spacing w:val="10"/>
          <w:position w:val="15"/>
          <w:sz w:val="23"/>
          <w:szCs w:val="23"/>
        </w:rPr>
        <w:t>雾化燃油时消耗的蒸汽量，</w:t>
      </w:r>
      <w:r>
        <w:rPr>
          <w:rFonts w:ascii="Times New Roman" w:hAnsi="Times New Roman" w:eastAsia="Times New Roman" w:cs="Times New Roman"/>
          <w:position w:val="15"/>
          <w:sz w:val="23"/>
          <w:szCs w:val="23"/>
        </w:rPr>
        <w:t>kg</w:t>
      </w:r>
      <w:r>
        <w:rPr>
          <w:rFonts w:ascii="Times New Roman" w:hAnsi="Times New Roman" w:eastAsia="Times New Roman" w:cs="Times New Roman"/>
          <w:spacing w:val="10"/>
          <w:position w:val="15"/>
          <w:sz w:val="23"/>
          <w:szCs w:val="23"/>
        </w:rPr>
        <w:t>/</w:t>
      </w:r>
      <w:r>
        <w:rPr>
          <w:rFonts w:ascii="Times New Roman" w:hAnsi="Times New Roman" w:eastAsia="Times New Roman" w:cs="Times New Roman"/>
          <w:position w:val="15"/>
          <w:sz w:val="23"/>
          <w:szCs w:val="23"/>
        </w:rPr>
        <w:t>kg</w:t>
      </w:r>
      <w:r>
        <w:rPr>
          <w:rFonts w:ascii="宋体" w:hAnsi="宋体" w:eastAsia="宋体" w:cs="宋体"/>
          <w:spacing w:val="10"/>
          <w:position w:val="15"/>
          <w:sz w:val="23"/>
          <w:szCs w:val="23"/>
        </w:rPr>
        <w:t>；</w:t>
      </w:r>
    </w:p>
    <w:p w14:paraId="3248E2CA">
      <w:pPr>
        <w:spacing w:line="323" w:lineRule="exact"/>
        <w:ind w:left="1310"/>
        <w:rPr>
          <w:rFonts w:ascii="宋体" w:hAnsi="宋体" w:eastAsia="宋体" w:cs="宋体"/>
          <w:sz w:val="23"/>
          <w:szCs w:val="23"/>
        </w:rPr>
      </w:pPr>
      <w:r>
        <w:rPr>
          <w:rFonts w:ascii="Times New Roman" w:hAnsi="Times New Roman" w:eastAsia="Times New Roman" w:cs="Times New Roman"/>
          <w:position w:val="3"/>
          <w:sz w:val="23"/>
          <w:szCs w:val="23"/>
        </w:rPr>
        <w:t>Vs</w:t>
      </w:r>
      <w:r>
        <w:rPr>
          <w:rFonts w:ascii="Times New Roman" w:hAnsi="Times New Roman" w:eastAsia="Times New Roman" w:cs="Times New Roman"/>
          <w:spacing w:val="12"/>
          <w:position w:val="3"/>
          <w:sz w:val="23"/>
          <w:szCs w:val="23"/>
        </w:rPr>
        <w:t>—</w:t>
      </w:r>
      <w:r>
        <w:rPr>
          <w:rFonts w:ascii="宋体" w:hAnsi="宋体" w:eastAsia="宋体" w:cs="宋体"/>
          <w:spacing w:val="10"/>
          <w:position w:val="3"/>
          <w:sz w:val="23"/>
          <w:szCs w:val="23"/>
        </w:rPr>
        <w:t>湿烟气排放量，</w:t>
      </w:r>
      <w:r>
        <w:rPr>
          <w:rFonts w:ascii="Times New Roman" w:hAnsi="Times New Roman" w:eastAsia="Times New Roman" w:cs="Times New Roman"/>
          <w:position w:val="3"/>
          <w:sz w:val="23"/>
          <w:szCs w:val="23"/>
        </w:rPr>
        <w:t>m</w:t>
      </w:r>
      <w:r>
        <w:rPr>
          <w:rFonts w:ascii="Times New Roman" w:hAnsi="Times New Roman" w:eastAsia="Times New Roman" w:cs="Times New Roman"/>
          <w:spacing w:val="10"/>
          <w:position w:val="11"/>
          <w:sz w:val="15"/>
          <w:szCs w:val="15"/>
        </w:rPr>
        <w:t>3</w:t>
      </w:r>
      <w:r>
        <w:rPr>
          <w:rFonts w:ascii="Times New Roman" w:hAnsi="Times New Roman" w:eastAsia="Times New Roman" w:cs="Times New Roman"/>
          <w:spacing w:val="10"/>
          <w:position w:val="3"/>
          <w:sz w:val="23"/>
          <w:szCs w:val="23"/>
        </w:rPr>
        <w:t>/</w:t>
      </w:r>
      <w:r>
        <w:rPr>
          <w:rFonts w:ascii="Times New Roman" w:hAnsi="Times New Roman" w:eastAsia="Times New Roman" w:cs="Times New Roman"/>
          <w:position w:val="3"/>
          <w:sz w:val="23"/>
          <w:szCs w:val="23"/>
        </w:rPr>
        <w:t>kg</w:t>
      </w:r>
      <w:r>
        <w:rPr>
          <w:rFonts w:ascii="宋体" w:hAnsi="宋体" w:eastAsia="宋体" w:cs="宋体"/>
          <w:spacing w:val="10"/>
          <w:position w:val="3"/>
          <w:sz w:val="23"/>
          <w:szCs w:val="23"/>
        </w:rPr>
        <w:t>。</w:t>
      </w:r>
    </w:p>
    <w:p w14:paraId="53C99959">
      <w:pPr>
        <w:spacing w:before="313" w:line="398" w:lineRule="auto"/>
        <w:ind w:left="118" w:right="102" w:firstLine="480"/>
        <w:rPr>
          <w:rFonts w:ascii="宋体" w:hAnsi="宋体" w:eastAsia="宋体" w:cs="宋体"/>
          <w:sz w:val="23"/>
          <w:szCs w:val="23"/>
        </w:rPr>
      </w:pPr>
      <w:r>
        <w:rPr>
          <w:rFonts w:ascii="宋体" w:hAnsi="宋体" w:eastAsia="宋体" w:cs="宋体"/>
          <w:spacing w:val="2"/>
          <w:sz w:val="23"/>
          <w:szCs w:val="23"/>
        </w:rPr>
        <w:t xml:space="preserve">经计算得出该项目产生的烟气量为 </w:t>
      </w:r>
      <w:r>
        <w:rPr>
          <w:rFonts w:ascii="Times New Roman" w:hAnsi="Times New Roman" w:eastAsia="Times New Roman" w:cs="Times New Roman"/>
          <w:spacing w:val="2"/>
          <w:sz w:val="23"/>
          <w:szCs w:val="23"/>
        </w:rPr>
        <w:t>8.96</w:t>
      </w:r>
      <w:r>
        <w:rPr>
          <w:rFonts w:ascii="Times New Roman" w:hAnsi="Times New Roman" w:eastAsia="Times New Roman" w:cs="Times New Roman"/>
          <w:sz w:val="23"/>
          <w:szCs w:val="23"/>
        </w:rPr>
        <w:t>m</w:t>
      </w:r>
      <w:r>
        <w:rPr>
          <w:rFonts w:ascii="Times New Roman" w:hAnsi="Times New Roman" w:eastAsia="Times New Roman" w:cs="Times New Roman"/>
          <w:spacing w:val="2"/>
          <w:position w:val="8"/>
          <w:sz w:val="15"/>
          <w:szCs w:val="15"/>
        </w:rPr>
        <w:t>3</w:t>
      </w:r>
      <w:r>
        <w:rPr>
          <w:rFonts w:ascii="Times New Roman" w:hAnsi="Times New Roman" w:eastAsia="Times New Roman" w:cs="Times New Roman"/>
          <w:spacing w:val="2"/>
          <w:sz w:val="23"/>
          <w:szCs w:val="23"/>
        </w:rPr>
        <w:t>/</w:t>
      </w:r>
      <w:r>
        <w:rPr>
          <w:rFonts w:ascii="Times New Roman" w:hAnsi="Times New Roman" w:eastAsia="Times New Roman" w:cs="Times New Roman"/>
          <w:sz w:val="23"/>
          <w:szCs w:val="23"/>
        </w:rPr>
        <w:t>kg</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(燃料) 。该</w:t>
      </w:r>
      <w:r>
        <w:rPr>
          <w:rFonts w:ascii="宋体" w:hAnsi="宋体" w:eastAsia="宋体" w:cs="宋体"/>
          <w:spacing w:val="1"/>
          <w:sz w:val="23"/>
          <w:szCs w:val="23"/>
        </w:rPr>
        <w:t xml:space="preserve">项目设有 </w:t>
      </w:r>
      <w:r>
        <w:rPr>
          <w:rFonts w:ascii="Times New Roman" w:hAnsi="Times New Roman" w:eastAsia="Times New Roman" w:cs="Times New Roman"/>
          <w:spacing w:val="1"/>
          <w:sz w:val="23"/>
          <w:szCs w:val="23"/>
        </w:rPr>
        <w:t xml:space="preserve">1 </w:t>
      </w:r>
      <w:r>
        <w:rPr>
          <w:rFonts w:ascii="宋体" w:hAnsi="宋体" w:eastAsia="宋体" w:cs="宋体"/>
          <w:spacing w:val="1"/>
          <w:sz w:val="23"/>
          <w:szCs w:val="23"/>
        </w:rPr>
        <w:t xml:space="preserve">台 </w:t>
      </w:r>
      <w:r>
        <w:rPr>
          <w:rFonts w:ascii="Times New Roman" w:hAnsi="Times New Roman" w:eastAsia="Times New Roman" w:cs="Times New Roman"/>
          <w:spacing w:val="1"/>
          <w:sz w:val="23"/>
          <w:szCs w:val="23"/>
        </w:rPr>
        <w:t>2</w:t>
      </w:r>
      <w:r>
        <w:rPr>
          <w:rFonts w:ascii="Times New Roman" w:hAnsi="Times New Roman" w:eastAsia="Times New Roman" w:cs="Times New Roman"/>
          <w:sz w:val="23"/>
          <w:szCs w:val="23"/>
        </w:rPr>
        <w:t>t</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 xml:space="preserve">h </w:t>
      </w:r>
      <w:r>
        <w:rPr>
          <w:rFonts w:ascii="宋体" w:hAnsi="宋体" w:eastAsia="宋体" w:cs="宋体"/>
          <w:spacing w:val="6"/>
          <w:sz w:val="23"/>
          <w:szCs w:val="23"/>
        </w:rPr>
        <w:t>的</w:t>
      </w:r>
      <w:r>
        <w:rPr>
          <w:rFonts w:ascii="宋体" w:hAnsi="宋体" w:eastAsia="宋体" w:cs="宋体"/>
          <w:spacing w:val="4"/>
          <w:sz w:val="23"/>
          <w:szCs w:val="23"/>
        </w:rPr>
        <w:t xml:space="preserve">热风炉，消耗生物质燃料约 </w:t>
      </w:r>
      <w:r>
        <w:rPr>
          <w:rFonts w:ascii="Times New Roman" w:hAnsi="Times New Roman" w:eastAsia="Times New Roman" w:cs="Times New Roman"/>
          <w:spacing w:val="4"/>
          <w:sz w:val="23"/>
          <w:szCs w:val="23"/>
        </w:rPr>
        <w:t>674. 1</w:t>
      </w:r>
      <w:r>
        <w:rPr>
          <w:rFonts w:ascii="Times New Roman" w:hAnsi="Times New Roman" w:eastAsia="Times New Roman" w:cs="Times New Roman"/>
          <w:sz w:val="23"/>
          <w:szCs w:val="23"/>
        </w:rPr>
        <w:t>t</w:t>
      </w:r>
      <w:r>
        <w:rPr>
          <w:rFonts w:ascii="Times New Roman" w:hAnsi="Times New Roman" w:eastAsia="Times New Roman" w:cs="Times New Roman"/>
          <w:spacing w:val="4"/>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。经计算，本项目热风炉产生的废气量为</w:t>
      </w:r>
      <w:r>
        <w:rPr>
          <w:rFonts w:ascii="宋体" w:hAnsi="宋体" w:eastAsia="宋体" w:cs="宋体"/>
          <w:sz w:val="23"/>
          <w:szCs w:val="23"/>
        </w:rPr>
        <w:t xml:space="preserve"> </w:t>
      </w:r>
      <w:r>
        <w:rPr>
          <w:rFonts w:ascii="Times New Roman" w:hAnsi="Times New Roman" w:eastAsia="Times New Roman" w:cs="Times New Roman"/>
          <w:spacing w:val="4"/>
          <w:sz w:val="23"/>
          <w:szCs w:val="23"/>
        </w:rPr>
        <w:t>6.0×10</w:t>
      </w:r>
      <w:r>
        <w:rPr>
          <w:rFonts w:ascii="Times New Roman" w:hAnsi="Times New Roman" w:eastAsia="Times New Roman" w:cs="Times New Roman"/>
          <w:spacing w:val="4"/>
          <w:position w:val="7"/>
          <w:sz w:val="15"/>
          <w:szCs w:val="15"/>
        </w:rPr>
        <w:t>6</w:t>
      </w:r>
      <w:r>
        <w:rPr>
          <w:rFonts w:ascii="Times New Roman" w:hAnsi="Times New Roman" w:eastAsia="Times New Roman" w:cs="Times New Roman"/>
          <w:sz w:val="23"/>
          <w:szCs w:val="23"/>
        </w:rPr>
        <w:t>m</w:t>
      </w:r>
      <w:r>
        <w:rPr>
          <w:rFonts w:ascii="Times New Roman" w:hAnsi="Times New Roman" w:eastAsia="Times New Roman" w:cs="Times New Roman"/>
          <w:spacing w:val="4"/>
          <w:position w:val="7"/>
          <w:sz w:val="15"/>
          <w:szCs w:val="15"/>
        </w:rPr>
        <w:t>3</w:t>
      </w:r>
      <w:r>
        <w:rPr>
          <w:rFonts w:ascii="Times New Roman" w:hAnsi="Times New Roman" w:eastAsia="Times New Roman" w:cs="Times New Roman"/>
          <w:spacing w:val="4"/>
          <w:sz w:val="23"/>
          <w:szCs w:val="23"/>
        </w:rPr>
        <w:t>/</w:t>
      </w:r>
      <w:r>
        <w:rPr>
          <w:rFonts w:ascii="Times New Roman" w:hAnsi="Times New Roman" w:eastAsia="Times New Roman" w:cs="Times New Roman"/>
          <w:sz w:val="23"/>
          <w:szCs w:val="23"/>
        </w:rPr>
        <w:t>a</w:t>
      </w:r>
      <w:r>
        <w:rPr>
          <w:rFonts w:ascii="宋体" w:hAnsi="宋体" w:eastAsia="宋体" w:cs="宋体"/>
          <w:spacing w:val="2"/>
          <w:sz w:val="23"/>
          <w:szCs w:val="23"/>
        </w:rPr>
        <w:t>。</w:t>
      </w:r>
    </w:p>
    <w:p w14:paraId="37F9F770">
      <w:pPr>
        <w:spacing w:before="152" w:line="393" w:lineRule="auto"/>
        <w:ind w:left="118" w:right="105" w:firstLine="479"/>
        <w:rPr>
          <w:rFonts w:ascii="宋体" w:hAnsi="宋体" w:eastAsia="宋体" w:cs="宋体"/>
          <w:sz w:val="23"/>
          <w:szCs w:val="23"/>
        </w:rPr>
      </w:pPr>
      <w:r>
        <w:rPr>
          <w:rFonts w:ascii="宋体" w:hAnsi="宋体" w:eastAsia="宋体" w:cs="宋体"/>
          <w:spacing w:val="2"/>
          <w:sz w:val="23"/>
          <w:szCs w:val="23"/>
        </w:rPr>
        <w:t>根据《污染源源强核算技术指南 锅炉》  (</w:t>
      </w:r>
      <w:r>
        <w:rPr>
          <w:rFonts w:ascii="Times New Roman" w:hAnsi="Times New Roman" w:eastAsia="Times New Roman" w:cs="Times New Roman"/>
          <w:sz w:val="23"/>
          <w:szCs w:val="23"/>
        </w:rPr>
        <w:t>HJ</w:t>
      </w:r>
      <w:r>
        <w:rPr>
          <w:rFonts w:ascii="Times New Roman" w:hAnsi="Times New Roman" w:eastAsia="Times New Roman" w:cs="Times New Roman"/>
          <w:spacing w:val="2"/>
          <w:sz w:val="23"/>
          <w:szCs w:val="23"/>
        </w:rPr>
        <w:t>991-2018</w:t>
      </w:r>
      <w:r>
        <w:rPr>
          <w:rFonts w:ascii="宋体" w:hAnsi="宋体" w:eastAsia="宋体" w:cs="宋体"/>
          <w:spacing w:val="2"/>
          <w:sz w:val="23"/>
          <w:szCs w:val="23"/>
        </w:rPr>
        <w:t xml:space="preserve">) </w:t>
      </w:r>
      <w:r>
        <w:rPr>
          <w:rFonts w:ascii="Times New Roman" w:hAnsi="Times New Roman" w:eastAsia="Times New Roman" w:cs="Times New Roman"/>
          <w:spacing w:val="2"/>
          <w:sz w:val="23"/>
          <w:szCs w:val="23"/>
        </w:rPr>
        <w:t>“9.2.</w:t>
      </w:r>
      <w:r>
        <w:rPr>
          <w:rFonts w:ascii="Times New Roman" w:hAnsi="Times New Roman" w:eastAsia="Times New Roman" w:cs="Times New Roman"/>
          <w:spacing w:val="1"/>
          <w:sz w:val="23"/>
          <w:szCs w:val="23"/>
        </w:rPr>
        <w:t xml:space="preserve"> 1.3 </w:t>
      </w:r>
      <w:r>
        <w:rPr>
          <w:rFonts w:ascii="宋体" w:hAnsi="宋体" w:eastAsia="宋体" w:cs="宋体"/>
          <w:spacing w:val="1"/>
          <w:sz w:val="23"/>
          <w:szCs w:val="23"/>
        </w:rPr>
        <w:t>产排污系数</w:t>
      </w:r>
      <w:r>
        <w:rPr>
          <w:rFonts w:ascii="宋体" w:hAnsi="宋体" w:eastAsia="宋体" w:cs="宋体"/>
          <w:sz w:val="23"/>
          <w:szCs w:val="23"/>
        </w:rPr>
        <w:t xml:space="preserve"> </w:t>
      </w:r>
      <w:r>
        <w:rPr>
          <w:rFonts w:ascii="宋体" w:hAnsi="宋体" w:eastAsia="宋体" w:cs="宋体"/>
          <w:spacing w:val="16"/>
          <w:sz w:val="23"/>
          <w:szCs w:val="23"/>
        </w:rPr>
        <w:t>法</w:t>
      </w:r>
      <w:r>
        <w:rPr>
          <w:rFonts w:ascii="Times New Roman" w:hAnsi="Times New Roman" w:eastAsia="Times New Roman" w:cs="Times New Roman"/>
          <w:spacing w:val="9"/>
          <w:sz w:val="23"/>
          <w:szCs w:val="23"/>
        </w:rPr>
        <w:t>”</w:t>
      </w:r>
      <w:r>
        <w:rPr>
          <w:rFonts w:ascii="宋体" w:hAnsi="宋体" w:eastAsia="宋体" w:cs="宋体"/>
          <w:spacing w:val="9"/>
          <w:sz w:val="23"/>
          <w:szCs w:val="23"/>
        </w:rPr>
        <w:t>核算热风炉颗粒物、二氧化硫、氮氧化物的实际排放量，计算公式如下：</w:t>
      </w:r>
    </w:p>
    <w:p w14:paraId="01A587FF">
      <w:pPr>
        <w:spacing w:before="105" w:line="222" w:lineRule="auto"/>
        <w:ind w:left="3483"/>
        <w:rPr>
          <w:rFonts w:ascii="Times New Roman" w:hAnsi="Times New Roman" w:eastAsia="Times New Roman" w:cs="Times New Roman"/>
          <w:sz w:val="13"/>
          <w:szCs w:val="13"/>
        </w:rPr>
      </w:pPr>
      <w:r>
        <w:rPr>
          <w:rFonts w:ascii="Times New Roman" w:hAnsi="Times New Roman" w:eastAsia="Times New Roman" w:cs="Times New Roman"/>
          <w:sz w:val="23"/>
          <w:szCs w:val="23"/>
        </w:rPr>
        <w:t>E</w:t>
      </w:r>
      <w:r>
        <w:rPr>
          <w:rFonts w:ascii="Times New Roman" w:hAnsi="Times New Roman" w:eastAsia="Times New Roman" w:cs="Times New Roman"/>
          <w:sz w:val="13"/>
          <w:szCs w:val="13"/>
        </w:rPr>
        <w:t>j</w:t>
      </w:r>
      <w:r>
        <w:rPr>
          <w:rFonts w:ascii="Times New Roman" w:hAnsi="Times New Roman" w:eastAsia="Times New Roman" w:cs="Times New Roman"/>
          <w:spacing w:val="-1"/>
          <w:sz w:val="13"/>
          <w:szCs w:val="13"/>
        </w:rPr>
        <w:t xml:space="preserve"> </w:t>
      </w:r>
      <w:r>
        <w:rPr>
          <w:rFonts w:ascii="Symbol" w:hAnsi="Symbol" w:eastAsia="Symbol" w:cs="Symbol"/>
          <w:spacing w:val="-1"/>
          <w:sz w:val="23"/>
          <w:szCs w:val="23"/>
        </w:rPr>
        <w:t xml:space="preserve">= </w:t>
      </w:r>
      <w:r>
        <w:rPr>
          <w:rFonts w:ascii="Times New Roman" w:hAnsi="Times New Roman" w:eastAsia="Times New Roman" w:cs="Times New Roman"/>
          <w:sz w:val="23"/>
          <w:szCs w:val="23"/>
        </w:rPr>
        <w:t>R</w:t>
      </w:r>
      <w:r>
        <w:rPr>
          <w:rFonts w:ascii="Times New Roman" w:hAnsi="Times New Roman" w:eastAsia="Times New Roman" w:cs="Times New Roman"/>
          <w:spacing w:val="-1"/>
          <w:sz w:val="23"/>
          <w:szCs w:val="23"/>
        </w:rPr>
        <w:t xml:space="preserve"> </w:t>
      </w:r>
      <w:r>
        <w:rPr>
          <w:position w:val="-5"/>
          <w:sz w:val="23"/>
          <w:szCs w:val="23"/>
        </w:rPr>
        <w:drawing>
          <wp:inline distT="0" distB="0" distL="0" distR="0">
            <wp:extent cx="64770" cy="184785"/>
            <wp:effectExtent l="0" t="0" r="0" b="0"/>
            <wp:docPr id="81" name="IM 81"/>
            <wp:cNvGraphicFramePr/>
            <a:graphic xmlns:a="http://schemas.openxmlformats.org/drawingml/2006/main">
              <a:graphicData uri="http://schemas.openxmlformats.org/drawingml/2006/picture">
                <pic:pic xmlns:pic="http://schemas.openxmlformats.org/drawingml/2006/picture">
                  <pic:nvPicPr>
                    <pic:cNvPr id="81" name="IM 81"/>
                    <pic:cNvPicPr/>
                  </pic:nvPicPr>
                  <pic:blipFill>
                    <a:blip r:embed="rId466"/>
                    <a:stretch>
                      <a:fillRect/>
                    </a:stretch>
                  </pic:blipFill>
                  <pic:spPr>
                    <a:xfrm>
                      <a:off x="0" y="0"/>
                      <a:ext cx="65158" cy="185045"/>
                    </a:xfrm>
                    <a:prstGeom prst="rect">
                      <a:avLst/>
                    </a:prstGeom>
                  </pic:spPr>
                </pic:pic>
              </a:graphicData>
            </a:graphic>
          </wp:inline>
        </w:drawing>
      </w:r>
      <w:r>
        <w:rPr>
          <w:rFonts w:ascii="宋体" w:hAnsi="宋体" w:eastAsia="宋体" w:cs="宋体"/>
          <w:spacing w:val="-1"/>
          <w:sz w:val="23"/>
          <w:szCs w:val="23"/>
        </w:rPr>
        <w:t>β</w:t>
      </w:r>
      <w:r>
        <w:rPr>
          <w:rFonts w:ascii="Times New Roman" w:hAnsi="Times New Roman" w:eastAsia="Times New Roman" w:cs="Times New Roman"/>
          <w:sz w:val="13"/>
          <w:szCs w:val="13"/>
        </w:rPr>
        <w:t>j</w:t>
      </w:r>
      <w:r>
        <w:rPr>
          <w:rFonts w:ascii="Times New Roman" w:hAnsi="Times New Roman" w:eastAsia="Times New Roman" w:cs="Times New Roman"/>
          <w:spacing w:val="-1"/>
          <w:sz w:val="13"/>
          <w:szCs w:val="13"/>
        </w:rPr>
        <w:t xml:space="preserve"> </w:t>
      </w:r>
      <w:r>
        <w:rPr>
          <w:position w:val="-5"/>
          <w:sz w:val="13"/>
          <w:szCs w:val="13"/>
        </w:rPr>
        <w:drawing>
          <wp:inline distT="0" distB="0" distL="0" distR="0">
            <wp:extent cx="64770" cy="184785"/>
            <wp:effectExtent l="0" t="0" r="0" b="0"/>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467"/>
                    <a:stretch>
                      <a:fillRect/>
                    </a:stretch>
                  </pic:blipFill>
                  <pic:spPr>
                    <a:xfrm>
                      <a:off x="0" y="0"/>
                      <a:ext cx="65158" cy="185045"/>
                    </a:xfrm>
                    <a:prstGeom prst="rect">
                      <a:avLst/>
                    </a:prstGeom>
                  </pic:spPr>
                </pic:pic>
              </a:graphicData>
            </a:graphic>
          </wp:inline>
        </w:drawing>
      </w:r>
      <w:r>
        <w:rPr>
          <w:rFonts w:ascii="Times New Roman" w:hAnsi="Times New Roman" w:eastAsia="Times New Roman" w:cs="Times New Roman"/>
          <w:sz w:val="13"/>
          <w:szCs w:val="13"/>
        </w:rPr>
        <w:t xml:space="preserve"> </w:t>
      </w:r>
      <w:r>
        <w:rPr>
          <w:rFonts w:ascii="Times New Roman" w:hAnsi="Times New Roman" w:eastAsia="Times New Roman" w:cs="Times New Roman"/>
          <w:sz w:val="23"/>
          <w:szCs w:val="23"/>
        </w:rPr>
        <w:t>10</w:t>
      </w:r>
      <w:r>
        <w:rPr>
          <w:rFonts w:ascii="微软雅黑" w:hAnsi="微软雅黑" w:eastAsia="微软雅黑" w:cs="微软雅黑"/>
          <w:position w:val="10"/>
          <w:sz w:val="13"/>
          <w:szCs w:val="13"/>
        </w:rPr>
        <w:t>一</w:t>
      </w:r>
      <w:r>
        <w:rPr>
          <w:rFonts w:ascii="Times New Roman" w:hAnsi="Times New Roman" w:eastAsia="Times New Roman" w:cs="Times New Roman"/>
          <w:position w:val="10"/>
          <w:sz w:val="13"/>
          <w:szCs w:val="13"/>
        </w:rPr>
        <w:t>3</w:t>
      </w:r>
    </w:p>
    <w:p w14:paraId="0CEA0B87">
      <w:pPr>
        <w:rPr>
          <w:rFonts w:ascii="Arial"/>
          <w:sz w:val="21"/>
        </w:rPr>
      </w:pPr>
    </w:p>
    <w:p w14:paraId="139479ED">
      <w:pPr>
        <w:spacing w:before="75" w:line="323" w:lineRule="exact"/>
        <w:ind w:left="602"/>
        <w:rPr>
          <w:rFonts w:ascii="宋体" w:hAnsi="宋体" w:eastAsia="宋体" w:cs="宋体"/>
          <w:sz w:val="23"/>
          <w:szCs w:val="23"/>
        </w:rPr>
      </w:pPr>
      <w:r>
        <w:rPr>
          <w:rFonts w:ascii="宋体" w:hAnsi="宋体" w:eastAsia="宋体" w:cs="宋体"/>
          <w:spacing w:val="21"/>
          <w:position w:val="3"/>
          <w:sz w:val="23"/>
          <w:szCs w:val="23"/>
        </w:rPr>
        <w:t>式</w:t>
      </w:r>
      <w:r>
        <w:rPr>
          <w:rFonts w:ascii="宋体" w:hAnsi="宋体" w:eastAsia="宋体" w:cs="宋体"/>
          <w:spacing w:val="11"/>
          <w:position w:val="3"/>
          <w:sz w:val="23"/>
          <w:szCs w:val="23"/>
        </w:rPr>
        <w:t>中：</w:t>
      </w:r>
      <w:r>
        <w:rPr>
          <w:rFonts w:ascii="Times New Roman" w:hAnsi="Times New Roman" w:eastAsia="Times New Roman" w:cs="Times New Roman"/>
          <w:position w:val="3"/>
          <w:sz w:val="23"/>
          <w:szCs w:val="23"/>
        </w:rPr>
        <w:t>E</w:t>
      </w:r>
      <w:r>
        <w:rPr>
          <w:rFonts w:ascii="Times New Roman" w:hAnsi="Times New Roman" w:eastAsia="Times New Roman" w:cs="Times New Roman"/>
          <w:position w:val="2"/>
          <w:sz w:val="15"/>
          <w:szCs w:val="15"/>
        </w:rPr>
        <w:t>j</w:t>
      </w:r>
      <w:r>
        <w:rPr>
          <w:rFonts w:ascii="Times New Roman" w:hAnsi="Times New Roman" w:eastAsia="Times New Roman" w:cs="Times New Roman"/>
          <w:spacing w:val="11"/>
          <w:position w:val="3"/>
          <w:sz w:val="23"/>
          <w:szCs w:val="23"/>
        </w:rPr>
        <w:t>-</w:t>
      </w:r>
      <w:r>
        <w:rPr>
          <w:rFonts w:ascii="宋体" w:hAnsi="宋体" w:eastAsia="宋体" w:cs="宋体"/>
          <w:spacing w:val="11"/>
          <w:position w:val="3"/>
          <w:sz w:val="23"/>
          <w:szCs w:val="23"/>
        </w:rPr>
        <w:t>核算时段内第</w:t>
      </w:r>
      <w:r>
        <w:rPr>
          <w:rFonts w:ascii="Times New Roman" w:hAnsi="Times New Roman" w:eastAsia="Times New Roman" w:cs="Times New Roman"/>
          <w:position w:val="3"/>
          <w:sz w:val="23"/>
          <w:szCs w:val="23"/>
        </w:rPr>
        <w:t>j</w:t>
      </w:r>
      <w:r>
        <w:rPr>
          <w:rFonts w:ascii="Times New Roman" w:hAnsi="Times New Roman" w:eastAsia="Times New Roman" w:cs="Times New Roman"/>
          <w:spacing w:val="11"/>
          <w:position w:val="3"/>
          <w:sz w:val="23"/>
          <w:szCs w:val="23"/>
        </w:rPr>
        <w:t xml:space="preserve"> </w:t>
      </w:r>
      <w:r>
        <w:rPr>
          <w:rFonts w:ascii="宋体" w:hAnsi="宋体" w:eastAsia="宋体" w:cs="宋体"/>
          <w:spacing w:val="11"/>
          <w:position w:val="3"/>
          <w:sz w:val="23"/>
          <w:szCs w:val="23"/>
        </w:rPr>
        <w:t>种污染物的排放量，</w:t>
      </w:r>
      <w:r>
        <w:rPr>
          <w:rFonts w:ascii="Times New Roman" w:hAnsi="Times New Roman" w:eastAsia="Times New Roman" w:cs="Times New Roman"/>
          <w:position w:val="3"/>
          <w:sz w:val="23"/>
          <w:szCs w:val="23"/>
        </w:rPr>
        <w:t>t</w:t>
      </w:r>
      <w:r>
        <w:rPr>
          <w:rFonts w:ascii="Times New Roman" w:hAnsi="Times New Roman" w:eastAsia="Times New Roman" w:cs="Times New Roman"/>
          <w:spacing w:val="11"/>
          <w:position w:val="3"/>
          <w:sz w:val="23"/>
          <w:szCs w:val="23"/>
        </w:rPr>
        <w:t>/</w:t>
      </w:r>
      <w:r>
        <w:rPr>
          <w:rFonts w:ascii="Times New Roman" w:hAnsi="Times New Roman" w:eastAsia="Times New Roman" w:cs="Times New Roman"/>
          <w:position w:val="3"/>
          <w:sz w:val="23"/>
          <w:szCs w:val="23"/>
        </w:rPr>
        <w:t>a</w:t>
      </w:r>
      <w:r>
        <w:rPr>
          <w:rFonts w:ascii="宋体" w:hAnsi="宋体" w:eastAsia="宋体" w:cs="宋体"/>
          <w:spacing w:val="11"/>
          <w:position w:val="3"/>
          <w:sz w:val="23"/>
          <w:szCs w:val="23"/>
        </w:rPr>
        <w:t>；</w:t>
      </w:r>
    </w:p>
    <w:p w14:paraId="5AD49557">
      <w:pPr>
        <w:spacing w:before="313" w:line="323" w:lineRule="exact"/>
        <w:ind w:left="1312"/>
        <w:rPr>
          <w:rFonts w:ascii="宋体" w:hAnsi="宋体" w:eastAsia="宋体" w:cs="宋体"/>
          <w:sz w:val="23"/>
          <w:szCs w:val="23"/>
        </w:rPr>
      </w:pPr>
      <w:r>
        <w:rPr>
          <w:rFonts w:ascii="Times New Roman" w:hAnsi="Times New Roman" w:eastAsia="Times New Roman" w:cs="Times New Roman"/>
          <w:position w:val="1"/>
          <w:sz w:val="23"/>
          <w:szCs w:val="23"/>
        </w:rPr>
        <w:t>R</w:t>
      </w:r>
      <w:r>
        <w:rPr>
          <w:rFonts w:ascii="Times New Roman" w:hAnsi="Times New Roman" w:eastAsia="Times New Roman" w:cs="Times New Roman"/>
          <w:spacing w:val="10"/>
          <w:position w:val="1"/>
          <w:sz w:val="23"/>
          <w:szCs w:val="23"/>
        </w:rPr>
        <w:t>-</w:t>
      </w:r>
      <w:r>
        <w:rPr>
          <w:rFonts w:ascii="宋体" w:hAnsi="宋体" w:eastAsia="宋体" w:cs="宋体"/>
          <w:spacing w:val="9"/>
          <w:position w:val="1"/>
          <w:sz w:val="23"/>
          <w:szCs w:val="23"/>
        </w:rPr>
        <w:t>核算时段内锅炉燃料耗量，</w:t>
      </w:r>
      <w:r>
        <w:rPr>
          <w:rFonts w:ascii="Times New Roman" w:hAnsi="Times New Roman" w:eastAsia="Times New Roman" w:cs="Times New Roman"/>
          <w:position w:val="1"/>
          <w:sz w:val="23"/>
          <w:szCs w:val="23"/>
        </w:rPr>
        <w:t>t</w:t>
      </w:r>
      <w:r>
        <w:rPr>
          <w:rFonts w:ascii="Times New Roman" w:hAnsi="Times New Roman" w:eastAsia="Times New Roman" w:cs="Times New Roman"/>
          <w:spacing w:val="9"/>
          <w:position w:val="1"/>
          <w:sz w:val="23"/>
          <w:szCs w:val="23"/>
        </w:rPr>
        <w:t>/</w:t>
      </w:r>
      <w:r>
        <w:rPr>
          <w:rFonts w:ascii="Times New Roman" w:hAnsi="Times New Roman" w:eastAsia="Times New Roman" w:cs="Times New Roman"/>
          <w:position w:val="1"/>
          <w:sz w:val="23"/>
          <w:szCs w:val="23"/>
        </w:rPr>
        <w:t>a</w:t>
      </w:r>
      <w:r>
        <w:rPr>
          <w:rFonts w:ascii="宋体" w:hAnsi="宋体" w:eastAsia="宋体" w:cs="宋体"/>
          <w:spacing w:val="9"/>
          <w:position w:val="1"/>
          <w:sz w:val="23"/>
          <w:szCs w:val="23"/>
        </w:rPr>
        <w:t>；</w:t>
      </w:r>
    </w:p>
    <w:p w14:paraId="70985AEA">
      <w:pPr>
        <w:spacing w:before="313" w:line="679" w:lineRule="exact"/>
        <w:ind w:left="1320"/>
        <w:rPr>
          <w:rFonts w:ascii="宋体" w:hAnsi="宋体" w:eastAsia="宋体" w:cs="宋体"/>
          <w:sz w:val="23"/>
          <w:szCs w:val="23"/>
        </w:rPr>
      </w:pPr>
      <w:r>
        <w:rPr>
          <w:rFonts w:ascii="Times New Roman" w:hAnsi="Times New Roman" w:eastAsia="Times New Roman" w:cs="Times New Roman"/>
          <w:spacing w:val="22"/>
          <w:position w:val="31"/>
          <w:sz w:val="23"/>
          <w:szCs w:val="23"/>
        </w:rPr>
        <w:t>β</w:t>
      </w:r>
      <w:r>
        <w:rPr>
          <w:rFonts w:ascii="Times New Roman" w:hAnsi="Times New Roman" w:eastAsia="Times New Roman" w:cs="Times New Roman"/>
          <w:position w:val="30"/>
          <w:sz w:val="15"/>
          <w:szCs w:val="15"/>
        </w:rPr>
        <w:t>j</w:t>
      </w:r>
      <w:r>
        <w:rPr>
          <w:rFonts w:ascii="Times New Roman" w:hAnsi="Times New Roman" w:eastAsia="Times New Roman" w:cs="Times New Roman"/>
          <w:spacing w:val="13"/>
          <w:position w:val="31"/>
          <w:sz w:val="23"/>
          <w:szCs w:val="23"/>
        </w:rPr>
        <w:t>-</w:t>
      </w:r>
      <w:r>
        <w:rPr>
          <w:rFonts w:ascii="宋体" w:hAnsi="宋体" w:eastAsia="宋体" w:cs="宋体"/>
          <w:spacing w:val="13"/>
          <w:position w:val="31"/>
          <w:sz w:val="23"/>
          <w:szCs w:val="23"/>
        </w:rPr>
        <w:t>第</w:t>
      </w:r>
      <w:r>
        <w:rPr>
          <w:rFonts w:ascii="Times New Roman" w:hAnsi="Times New Roman" w:eastAsia="Times New Roman" w:cs="Times New Roman"/>
          <w:position w:val="31"/>
          <w:sz w:val="23"/>
          <w:szCs w:val="23"/>
        </w:rPr>
        <w:t>j</w:t>
      </w:r>
      <w:r>
        <w:rPr>
          <w:rFonts w:ascii="Times New Roman" w:hAnsi="Times New Roman" w:eastAsia="Times New Roman" w:cs="Times New Roman"/>
          <w:spacing w:val="13"/>
          <w:position w:val="31"/>
          <w:sz w:val="23"/>
          <w:szCs w:val="23"/>
        </w:rPr>
        <w:t xml:space="preserve"> </w:t>
      </w:r>
      <w:r>
        <w:rPr>
          <w:rFonts w:ascii="宋体" w:hAnsi="宋体" w:eastAsia="宋体" w:cs="宋体"/>
          <w:spacing w:val="13"/>
          <w:position w:val="31"/>
          <w:sz w:val="23"/>
          <w:szCs w:val="23"/>
        </w:rPr>
        <w:t>种污染物产排污系数，</w:t>
      </w:r>
      <w:r>
        <w:rPr>
          <w:rFonts w:ascii="Times New Roman" w:hAnsi="Times New Roman" w:eastAsia="Times New Roman" w:cs="Times New Roman"/>
          <w:position w:val="31"/>
          <w:sz w:val="23"/>
          <w:szCs w:val="23"/>
        </w:rPr>
        <w:t>kg</w:t>
      </w:r>
      <w:r>
        <w:rPr>
          <w:rFonts w:ascii="Times New Roman" w:hAnsi="Times New Roman" w:eastAsia="Times New Roman" w:cs="Times New Roman"/>
          <w:spacing w:val="13"/>
          <w:position w:val="31"/>
          <w:sz w:val="23"/>
          <w:szCs w:val="23"/>
        </w:rPr>
        <w:t>/</w:t>
      </w:r>
      <w:r>
        <w:rPr>
          <w:rFonts w:ascii="Times New Roman" w:hAnsi="Times New Roman" w:eastAsia="Times New Roman" w:cs="Times New Roman"/>
          <w:position w:val="31"/>
          <w:sz w:val="23"/>
          <w:szCs w:val="23"/>
        </w:rPr>
        <w:t>t</w:t>
      </w:r>
      <w:r>
        <w:rPr>
          <w:rFonts w:ascii="Times New Roman" w:hAnsi="Times New Roman" w:eastAsia="Times New Roman" w:cs="Times New Roman"/>
          <w:spacing w:val="13"/>
          <w:position w:val="31"/>
          <w:sz w:val="23"/>
          <w:szCs w:val="23"/>
        </w:rPr>
        <w:t>-</w:t>
      </w:r>
      <w:r>
        <w:rPr>
          <w:rFonts w:ascii="宋体" w:hAnsi="宋体" w:eastAsia="宋体" w:cs="宋体"/>
          <w:spacing w:val="13"/>
          <w:position w:val="31"/>
          <w:sz w:val="23"/>
          <w:szCs w:val="23"/>
        </w:rPr>
        <w:t>燃料，取值参见附录</w:t>
      </w:r>
      <w:r>
        <w:rPr>
          <w:rFonts w:ascii="Times New Roman" w:hAnsi="Times New Roman" w:eastAsia="Times New Roman" w:cs="Times New Roman"/>
          <w:position w:val="31"/>
          <w:sz w:val="23"/>
          <w:szCs w:val="23"/>
        </w:rPr>
        <w:t>F</w:t>
      </w:r>
      <w:r>
        <w:rPr>
          <w:rFonts w:ascii="宋体" w:hAnsi="宋体" w:eastAsia="宋体" w:cs="宋体"/>
          <w:spacing w:val="13"/>
          <w:position w:val="31"/>
          <w:sz w:val="23"/>
          <w:szCs w:val="23"/>
        </w:rPr>
        <w:t>；</w:t>
      </w:r>
    </w:p>
    <w:p w14:paraId="2BBC6442">
      <w:pPr>
        <w:spacing w:before="1" w:line="227" w:lineRule="auto"/>
        <w:ind w:left="597"/>
        <w:rPr>
          <w:rFonts w:ascii="宋体" w:hAnsi="宋体" w:eastAsia="宋体" w:cs="宋体"/>
          <w:sz w:val="23"/>
          <w:szCs w:val="23"/>
        </w:rPr>
      </w:pPr>
      <w:r>
        <w:rPr>
          <w:rFonts w:ascii="宋体" w:hAnsi="宋体" w:eastAsia="宋体" w:cs="宋体"/>
          <w:spacing w:val="-2"/>
          <w:sz w:val="23"/>
          <w:szCs w:val="23"/>
        </w:rPr>
        <w:t xml:space="preserve">产污系数情况见表 </w:t>
      </w:r>
      <w:r>
        <w:rPr>
          <w:rFonts w:ascii="Times New Roman" w:hAnsi="Times New Roman" w:eastAsia="Times New Roman" w:cs="Times New Roman"/>
          <w:spacing w:val="-2"/>
          <w:sz w:val="23"/>
          <w:szCs w:val="23"/>
        </w:rPr>
        <w:t>3</w:t>
      </w:r>
      <w:r>
        <w:rPr>
          <w:rFonts w:ascii="Times New Roman" w:hAnsi="Times New Roman" w:eastAsia="Times New Roman" w:cs="Times New Roman"/>
          <w:spacing w:val="-1"/>
          <w:sz w:val="23"/>
          <w:szCs w:val="23"/>
        </w:rPr>
        <w:t>- 16</w:t>
      </w:r>
      <w:r>
        <w:rPr>
          <w:rFonts w:ascii="宋体" w:hAnsi="宋体" w:eastAsia="宋体" w:cs="宋体"/>
          <w:spacing w:val="-1"/>
          <w:sz w:val="23"/>
          <w:szCs w:val="23"/>
        </w:rPr>
        <w:t>。</w:t>
      </w:r>
    </w:p>
    <w:p w14:paraId="69C9DE89">
      <w:pPr>
        <w:spacing w:line="117" w:lineRule="exact"/>
      </w:pPr>
    </w:p>
    <w:p w14:paraId="3902F530">
      <w:pPr>
        <w:sectPr>
          <w:headerReference r:id="rId129" w:type="default"/>
          <w:footerReference r:id="rId130" w:type="default"/>
          <w:pgSz w:w="11906" w:h="16839"/>
          <w:pgMar w:top="1132" w:right="1691" w:bottom="1182" w:left="1691" w:header="878" w:footer="1022" w:gutter="0"/>
          <w:cols w:equalWidth="0" w:num="1">
            <w:col w:w="8523"/>
          </w:cols>
        </w:sectPr>
      </w:pPr>
    </w:p>
    <w:p w14:paraId="51613934">
      <w:pPr>
        <w:spacing w:before="49" w:line="192" w:lineRule="auto"/>
        <w:ind w:left="116"/>
        <w:rPr>
          <w:rFonts w:ascii="Times New Roman" w:hAnsi="Times New Roman" w:eastAsia="Times New Roman" w:cs="Times New Roman"/>
          <w:sz w:val="23"/>
          <w:szCs w:val="23"/>
        </w:rPr>
      </w:pPr>
      <w:r>
        <w:rPr>
          <w:rFonts w:ascii="宋体" w:hAnsi="宋体" w:eastAsia="宋体" w:cs="宋体"/>
          <w:spacing w:val="-6"/>
          <w:sz w:val="23"/>
          <w:szCs w:val="23"/>
          <w14:textOutline w14:w="4358" w14:cap="sq" w14:cmpd="sng">
            <w14:solidFill>
              <w14:srgbClr w14:val="000000"/>
            </w14:solidFill>
            <w14:prstDash w14:val="solid"/>
            <w14:bevel/>
          </w14:textOutline>
        </w:rPr>
        <w:t>表</w:t>
      </w:r>
      <w:r>
        <w:rPr>
          <w:rFonts w:ascii="宋体" w:hAnsi="宋体" w:eastAsia="宋体" w:cs="宋体"/>
          <w:spacing w:val="-6"/>
          <w:sz w:val="23"/>
          <w:szCs w:val="23"/>
        </w:rPr>
        <w:t xml:space="preserve"> </w:t>
      </w:r>
      <w:r>
        <w:rPr>
          <w:rFonts w:ascii="Times New Roman" w:hAnsi="Times New Roman" w:eastAsia="Times New Roman" w:cs="Times New Roman"/>
          <w:b/>
          <w:bCs/>
          <w:spacing w:val="-6"/>
          <w:sz w:val="23"/>
          <w:szCs w:val="23"/>
        </w:rPr>
        <w:t>3-16</w:t>
      </w:r>
    </w:p>
    <w:p w14:paraId="0788844A">
      <w:pPr>
        <w:spacing w:line="14" w:lineRule="auto"/>
        <w:rPr>
          <w:rFonts w:ascii="Arial"/>
          <w:sz w:val="2"/>
        </w:rPr>
      </w:pPr>
      <w:r>
        <w:rPr>
          <w:rFonts w:ascii="Arial" w:hAnsi="Arial" w:eastAsia="Arial" w:cs="Arial"/>
          <w:sz w:val="2"/>
          <w:szCs w:val="2"/>
        </w:rPr>
        <w:br w:type="column"/>
      </w:r>
    </w:p>
    <w:p w14:paraId="585CBA87">
      <w:pPr>
        <w:spacing w:before="47" w:line="192" w:lineRule="auto"/>
        <w:rPr>
          <w:rFonts w:ascii="宋体" w:hAnsi="宋体" w:eastAsia="宋体" w:cs="宋体"/>
          <w:sz w:val="23"/>
          <w:szCs w:val="23"/>
        </w:rPr>
      </w:pPr>
      <w:r>
        <w:rPr>
          <w:rFonts w:ascii="宋体" w:hAnsi="宋体" w:eastAsia="宋体" w:cs="宋体"/>
          <w:spacing w:val="10"/>
          <w:sz w:val="23"/>
          <w:szCs w:val="23"/>
          <w14:textOutline w14:w="4358" w14:cap="sq" w14:cmpd="sng">
            <w14:solidFill>
              <w14:srgbClr w14:val="000000"/>
            </w14:solidFill>
            <w14:prstDash w14:val="solid"/>
            <w14:bevel/>
          </w14:textOutline>
        </w:rPr>
        <w:t>热</w:t>
      </w:r>
      <w:r>
        <w:rPr>
          <w:rFonts w:ascii="宋体" w:hAnsi="宋体" w:eastAsia="宋体" w:cs="宋体"/>
          <w:spacing w:val="9"/>
          <w:sz w:val="23"/>
          <w:szCs w:val="23"/>
          <w14:textOutline w14:w="4358" w14:cap="sq" w14:cmpd="sng">
            <w14:solidFill>
              <w14:srgbClr w14:val="000000"/>
            </w14:solidFill>
            <w14:prstDash w14:val="solid"/>
            <w14:bevel/>
          </w14:textOutline>
        </w:rPr>
        <w:t>风炉产污系数表</w:t>
      </w:r>
    </w:p>
    <w:p w14:paraId="4D15917D">
      <w:pPr>
        <w:sectPr>
          <w:type w:val="continuous"/>
          <w:pgSz w:w="11906" w:h="16839"/>
          <w:pgMar w:top="1132" w:right="1691" w:bottom="1182" w:left="1691" w:header="878" w:footer="1022" w:gutter="0"/>
          <w:cols w:equalWidth="0" w:num="2">
            <w:col w:w="3162" w:space="100"/>
            <w:col w:w="5261"/>
          </w:cols>
        </w:sectPr>
      </w:pPr>
    </w:p>
    <w:p w14:paraId="20C88213">
      <w:pPr>
        <w:spacing w:line="52"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72"/>
        <w:gridCol w:w="3066"/>
        <w:gridCol w:w="1984"/>
      </w:tblGrid>
      <w:tr w14:paraId="4AC585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 w:hRule="atLeast"/>
        </w:trPr>
        <w:tc>
          <w:tcPr>
            <w:tcW w:w="3472" w:type="dxa"/>
            <w:tcBorders>
              <w:left w:val="nil"/>
            </w:tcBorders>
            <w:vAlign w:val="top"/>
          </w:tcPr>
          <w:p w14:paraId="46F714AD">
            <w:pPr>
              <w:spacing w:before="55" w:line="226" w:lineRule="auto"/>
              <w:ind w:left="1221"/>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污</w:t>
            </w:r>
            <w:r>
              <w:rPr>
                <w:rFonts w:ascii="宋体" w:hAnsi="宋体" w:eastAsia="宋体" w:cs="宋体"/>
                <w:spacing w:val="8"/>
                <w:sz w:val="20"/>
                <w:szCs w:val="20"/>
                <w14:textOutline w14:w="3795" w14:cap="sq" w14:cmpd="sng">
                  <w14:solidFill>
                    <w14:srgbClr w14:val="000000"/>
                  </w14:solidFill>
                  <w14:prstDash w14:val="solid"/>
                  <w14:bevel/>
                </w14:textOutline>
              </w:rPr>
              <w:t>染物指标</w:t>
            </w:r>
          </w:p>
        </w:tc>
        <w:tc>
          <w:tcPr>
            <w:tcW w:w="3066" w:type="dxa"/>
            <w:vAlign w:val="top"/>
          </w:tcPr>
          <w:p w14:paraId="5763BAF5">
            <w:pPr>
              <w:spacing w:before="55" w:line="226" w:lineRule="auto"/>
              <w:ind w:left="1383"/>
              <w:rPr>
                <w:rFonts w:ascii="宋体" w:hAnsi="宋体" w:eastAsia="宋体" w:cs="宋体"/>
                <w:sz w:val="20"/>
                <w:szCs w:val="20"/>
              </w:rPr>
            </w:pPr>
            <w:r>
              <w:rPr>
                <w:rFonts w:ascii="宋体" w:hAnsi="宋体" w:eastAsia="宋体" w:cs="宋体"/>
                <w:spacing w:val="5"/>
                <w:sz w:val="20"/>
                <w:szCs w:val="20"/>
                <w14:textOutline w14:w="3795" w14:cap="sq" w14:cmpd="sng">
                  <w14:solidFill>
                    <w14:srgbClr w14:val="000000"/>
                  </w14:solidFill>
                  <w14:prstDash w14:val="solid"/>
                  <w14:bevel/>
                </w14:textOutline>
              </w:rPr>
              <w:t>单位</w:t>
            </w:r>
          </w:p>
        </w:tc>
        <w:tc>
          <w:tcPr>
            <w:tcW w:w="1984" w:type="dxa"/>
            <w:tcBorders>
              <w:right w:val="nil"/>
            </w:tcBorders>
            <w:vAlign w:val="top"/>
          </w:tcPr>
          <w:p w14:paraId="60B05307">
            <w:pPr>
              <w:spacing w:before="55" w:line="226" w:lineRule="auto"/>
              <w:ind w:left="576"/>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产</w:t>
            </w:r>
            <w:r>
              <w:rPr>
                <w:rFonts w:ascii="宋体" w:hAnsi="宋体" w:eastAsia="宋体" w:cs="宋体"/>
                <w:spacing w:val="8"/>
                <w:sz w:val="20"/>
                <w:szCs w:val="20"/>
                <w14:textOutline w14:w="3795" w14:cap="sq" w14:cmpd="sng">
                  <w14:solidFill>
                    <w14:srgbClr w14:val="000000"/>
                  </w14:solidFill>
                  <w14:prstDash w14:val="solid"/>
                  <w14:bevel/>
                </w14:textOutline>
              </w:rPr>
              <w:t>污系数</w:t>
            </w:r>
          </w:p>
        </w:tc>
      </w:tr>
      <w:tr w14:paraId="2F7AD7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472" w:type="dxa"/>
            <w:tcBorders>
              <w:left w:val="nil"/>
            </w:tcBorders>
            <w:vAlign w:val="top"/>
          </w:tcPr>
          <w:p w14:paraId="35E47CE7">
            <w:pPr>
              <w:spacing w:before="34" w:line="224" w:lineRule="auto"/>
              <w:ind w:left="1326"/>
              <w:rPr>
                <w:rFonts w:ascii="宋体" w:hAnsi="宋体" w:eastAsia="宋体" w:cs="宋体"/>
                <w:sz w:val="20"/>
                <w:szCs w:val="20"/>
              </w:rPr>
            </w:pPr>
            <w:r>
              <w:rPr>
                <w:rFonts w:ascii="宋体" w:hAnsi="宋体" w:eastAsia="宋体" w:cs="宋体"/>
                <w:spacing w:val="8"/>
                <w:sz w:val="20"/>
                <w:szCs w:val="20"/>
              </w:rPr>
              <w:t>二</w:t>
            </w:r>
            <w:r>
              <w:rPr>
                <w:rFonts w:ascii="宋体" w:hAnsi="宋体" w:eastAsia="宋体" w:cs="宋体"/>
                <w:spacing w:val="6"/>
                <w:sz w:val="20"/>
                <w:szCs w:val="20"/>
              </w:rPr>
              <w:t>氧化硫</w:t>
            </w:r>
          </w:p>
        </w:tc>
        <w:tc>
          <w:tcPr>
            <w:tcW w:w="3066" w:type="dxa"/>
            <w:vAlign w:val="top"/>
          </w:tcPr>
          <w:p w14:paraId="10A5B34B">
            <w:pPr>
              <w:spacing w:line="277" w:lineRule="exact"/>
              <w:ind w:left="1123"/>
              <w:rPr>
                <w:rFonts w:ascii="宋体" w:hAnsi="宋体" w:eastAsia="宋体" w:cs="宋体"/>
                <w:sz w:val="20"/>
                <w:szCs w:val="20"/>
              </w:rPr>
            </w:pPr>
            <w:r>
              <w:rPr>
                <w:rFonts w:ascii="Times New Roman" w:hAnsi="Times New Roman" w:eastAsia="Times New Roman" w:cs="Times New Roman"/>
                <w:position w:val="2"/>
                <w:sz w:val="20"/>
                <w:szCs w:val="20"/>
              </w:rPr>
              <w:t>kg</w:t>
            </w:r>
            <w:r>
              <w:rPr>
                <w:rFonts w:ascii="Times New Roman" w:hAnsi="Times New Roman" w:eastAsia="Times New Roman" w:cs="Times New Roman"/>
                <w:spacing w:val="9"/>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9"/>
                <w:position w:val="2"/>
                <w:sz w:val="20"/>
                <w:szCs w:val="20"/>
              </w:rPr>
              <w:t>-</w:t>
            </w:r>
            <w:r>
              <w:rPr>
                <w:rFonts w:ascii="宋体" w:hAnsi="宋体" w:eastAsia="宋体" w:cs="宋体"/>
                <w:spacing w:val="9"/>
                <w:position w:val="2"/>
                <w:sz w:val="20"/>
                <w:szCs w:val="20"/>
              </w:rPr>
              <w:t>燃料</w:t>
            </w:r>
          </w:p>
        </w:tc>
        <w:tc>
          <w:tcPr>
            <w:tcW w:w="1984" w:type="dxa"/>
            <w:tcBorders>
              <w:right w:val="nil"/>
            </w:tcBorders>
            <w:vAlign w:val="top"/>
          </w:tcPr>
          <w:p w14:paraId="57ECD65A">
            <w:pPr>
              <w:spacing w:before="69" w:line="195" w:lineRule="auto"/>
              <w:ind w:left="85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7</w:t>
            </w:r>
            <w:r>
              <w:rPr>
                <w:rFonts w:ascii="Times New Roman" w:hAnsi="Times New Roman" w:eastAsia="Times New Roman" w:cs="Times New Roman"/>
                <w:spacing w:val="-2"/>
                <w:sz w:val="20"/>
                <w:szCs w:val="20"/>
              </w:rPr>
              <w:t>S</w:t>
            </w:r>
          </w:p>
        </w:tc>
      </w:tr>
      <w:tr w14:paraId="2108BC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3472" w:type="dxa"/>
            <w:tcBorders>
              <w:left w:val="nil"/>
            </w:tcBorders>
            <w:vAlign w:val="top"/>
          </w:tcPr>
          <w:p w14:paraId="45F4B038">
            <w:pPr>
              <w:spacing w:before="32" w:line="225" w:lineRule="auto"/>
              <w:ind w:left="1115"/>
              <w:rPr>
                <w:rFonts w:ascii="宋体" w:hAnsi="宋体" w:eastAsia="宋体" w:cs="宋体"/>
                <w:sz w:val="20"/>
                <w:szCs w:val="20"/>
              </w:rPr>
            </w:pPr>
            <w:r>
              <w:rPr>
                <w:rFonts w:ascii="宋体" w:hAnsi="宋体" w:eastAsia="宋体" w:cs="宋体"/>
                <w:spacing w:val="9"/>
                <w:sz w:val="20"/>
                <w:szCs w:val="20"/>
              </w:rPr>
              <w:t>烟</w:t>
            </w:r>
            <w:r>
              <w:rPr>
                <w:rFonts w:ascii="宋体" w:hAnsi="宋体" w:eastAsia="宋体" w:cs="宋体"/>
                <w:spacing w:val="5"/>
                <w:sz w:val="20"/>
                <w:szCs w:val="20"/>
              </w:rPr>
              <w:t>尘 (压块)</w:t>
            </w:r>
          </w:p>
        </w:tc>
        <w:tc>
          <w:tcPr>
            <w:tcW w:w="3066" w:type="dxa"/>
            <w:vAlign w:val="top"/>
          </w:tcPr>
          <w:p w14:paraId="6B303BB9">
            <w:pPr>
              <w:spacing w:line="276" w:lineRule="exact"/>
              <w:ind w:left="1123"/>
              <w:rPr>
                <w:rFonts w:ascii="宋体" w:hAnsi="宋体" w:eastAsia="宋体" w:cs="宋体"/>
                <w:sz w:val="20"/>
                <w:szCs w:val="20"/>
              </w:rPr>
            </w:pPr>
            <w:r>
              <w:rPr>
                <w:rFonts w:ascii="Times New Roman" w:hAnsi="Times New Roman" w:eastAsia="Times New Roman" w:cs="Times New Roman"/>
                <w:position w:val="2"/>
                <w:sz w:val="20"/>
                <w:szCs w:val="20"/>
              </w:rPr>
              <w:t>kg</w:t>
            </w:r>
            <w:r>
              <w:rPr>
                <w:rFonts w:ascii="Times New Roman" w:hAnsi="Times New Roman" w:eastAsia="Times New Roman" w:cs="Times New Roman"/>
                <w:spacing w:val="9"/>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9"/>
                <w:position w:val="2"/>
                <w:sz w:val="20"/>
                <w:szCs w:val="20"/>
              </w:rPr>
              <w:t>-</w:t>
            </w:r>
            <w:r>
              <w:rPr>
                <w:rFonts w:ascii="宋体" w:hAnsi="宋体" w:eastAsia="宋体" w:cs="宋体"/>
                <w:spacing w:val="9"/>
                <w:position w:val="2"/>
                <w:sz w:val="20"/>
                <w:szCs w:val="20"/>
              </w:rPr>
              <w:t>燃料</w:t>
            </w:r>
          </w:p>
        </w:tc>
        <w:tc>
          <w:tcPr>
            <w:tcW w:w="1984" w:type="dxa"/>
            <w:tcBorders>
              <w:right w:val="nil"/>
            </w:tcBorders>
            <w:vAlign w:val="top"/>
          </w:tcPr>
          <w:p w14:paraId="7A2DE667">
            <w:pPr>
              <w:spacing w:before="68" w:line="195" w:lineRule="auto"/>
              <w:ind w:left="86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.5</w:t>
            </w:r>
          </w:p>
        </w:tc>
      </w:tr>
      <w:tr w14:paraId="649927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 w:hRule="atLeast"/>
        </w:trPr>
        <w:tc>
          <w:tcPr>
            <w:tcW w:w="3472" w:type="dxa"/>
            <w:tcBorders>
              <w:left w:val="nil"/>
            </w:tcBorders>
            <w:vAlign w:val="top"/>
          </w:tcPr>
          <w:p w14:paraId="45E0EBE7">
            <w:pPr>
              <w:spacing w:before="34" w:line="227" w:lineRule="auto"/>
              <w:ind w:left="1321"/>
              <w:rPr>
                <w:rFonts w:ascii="宋体" w:hAnsi="宋体" w:eastAsia="宋体" w:cs="宋体"/>
                <w:sz w:val="20"/>
                <w:szCs w:val="20"/>
              </w:rPr>
            </w:pPr>
            <w:r>
              <w:rPr>
                <w:rFonts w:ascii="宋体" w:hAnsi="宋体" w:eastAsia="宋体" w:cs="宋体"/>
                <w:spacing w:val="8"/>
                <w:sz w:val="20"/>
                <w:szCs w:val="20"/>
              </w:rPr>
              <w:t>氮氧化</w:t>
            </w:r>
            <w:r>
              <w:rPr>
                <w:rFonts w:ascii="宋体" w:hAnsi="宋体" w:eastAsia="宋体" w:cs="宋体"/>
                <w:spacing w:val="7"/>
                <w:sz w:val="20"/>
                <w:szCs w:val="20"/>
              </w:rPr>
              <w:t>物</w:t>
            </w:r>
          </w:p>
        </w:tc>
        <w:tc>
          <w:tcPr>
            <w:tcW w:w="3066" w:type="dxa"/>
            <w:vAlign w:val="top"/>
          </w:tcPr>
          <w:p w14:paraId="1EB57EBF">
            <w:pPr>
              <w:spacing w:line="278" w:lineRule="exact"/>
              <w:ind w:left="1123"/>
              <w:rPr>
                <w:rFonts w:ascii="宋体" w:hAnsi="宋体" w:eastAsia="宋体" w:cs="宋体"/>
                <w:sz w:val="20"/>
                <w:szCs w:val="20"/>
              </w:rPr>
            </w:pPr>
            <w:r>
              <w:rPr>
                <w:rFonts w:ascii="Times New Roman" w:hAnsi="Times New Roman" w:eastAsia="Times New Roman" w:cs="Times New Roman"/>
                <w:position w:val="2"/>
                <w:sz w:val="20"/>
                <w:szCs w:val="20"/>
              </w:rPr>
              <w:t>kg</w:t>
            </w:r>
            <w:r>
              <w:rPr>
                <w:rFonts w:ascii="Times New Roman" w:hAnsi="Times New Roman" w:eastAsia="Times New Roman" w:cs="Times New Roman"/>
                <w:spacing w:val="9"/>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9"/>
                <w:position w:val="2"/>
                <w:sz w:val="20"/>
                <w:szCs w:val="20"/>
              </w:rPr>
              <w:t>-</w:t>
            </w:r>
            <w:r>
              <w:rPr>
                <w:rFonts w:ascii="宋体" w:hAnsi="宋体" w:eastAsia="宋体" w:cs="宋体"/>
                <w:spacing w:val="9"/>
                <w:position w:val="2"/>
                <w:sz w:val="20"/>
                <w:szCs w:val="20"/>
              </w:rPr>
              <w:t>燃料</w:t>
            </w:r>
          </w:p>
        </w:tc>
        <w:tc>
          <w:tcPr>
            <w:tcW w:w="1984" w:type="dxa"/>
            <w:tcBorders>
              <w:right w:val="nil"/>
            </w:tcBorders>
            <w:vAlign w:val="top"/>
          </w:tcPr>
          <w:p w14:paraId="646F1558">
            <w:pPr>
              <w:spacing w:before="70" w:line="198" w:lineRule="auto"/>
              <w:ind w:left="83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02</w:t>
            </w:r>
          </w:p>
        </w:tc>
      </w:tr>
    </w:tbl>
    <w:p w14:paraId="5AAB4B7D">
      <w:pPr>
        <w:spacing w:before="292" w:line="323" w:lineRule="exact"/>
        <w:ind w:left="599"/>
        <w:rPr>
          <w:rFonts w:ascii="宋体" w:hAnsi="宋体" w:eastAsia="宋体" w:cs="宋体"/>
          <w:sz w:val="23"/>
          <w:szCs w:val="23"/>
        </w:rPr>
      </w:pPr>
      <w:r>
        <w:rPr>
          <w:rFonts w:ascii="宋体" w:hAnsi="宋体" w:eastAsia="宋体" w:cs="宋体"/>
          <w:spacing w:val="4"/>
          <w:position w:val="3"/>
          <w:sz w:val="23"/>
          <w:szCs w:val="23"/>
        </w:rPr>
        <w:t>经</w:t>
      </w:r>
      <w:r>
        <w:rPr>
          <w:rFonts w:ascii="宋体" w:hAnsi="宋体" w:eastAsia="宋体" w:cs="宋体"/>
          <w:spacing w:val="3"/>
          <w:position w:val="3"/>
          <w:sz w:val="23"/>
          <w:szCs w:val="23"/>
        </w:rPr>
        <w:t>过</w:t>
      </w:r>
      <w:r>
        <w:rPr>
          <w:rFonts w:ascii="宋体" w:hAnsi="宋体" w:eastAsia="宋体" w:cs="宋体"/>
          <w:spacing w:val="2"/>
          <w:position w:val="3"/>
          <w:sz w:val="23"/>
          <w:szCs w:val="23"/>
        </w:rPr>
        <w:t xml:space="preserve">计算得出 </w:t>
      </w:r>
      <w:r>
        <w:rPr>
          <w:rFonts w:ascii="Times New Roman" w:hAnsi="Times New Roman" w:eastAsia="Times New Roman" w:cs="Times New Roman"/>
          <w:spacing w:val="2"/>
          <w:position w:val="3"/>
          <w:sz w:val="23"/>
          <w:szCs w:val="23"/>
        </w:rPr>
        <w:t>2</w:t>
      </w:r>
      <w:r>
        <w:rPr>
          <w:rFonts w:ascii="Times New Roman" w:hAnsi="Times New Roman" w:eastAsia="Times New Roman" w:cs="Times New Roman"/>
          <w:position w:val="3"/>
          <w:sz w:val="23"/>
          <w:szCs w:val="23"/>
        </w:rPr>
        <w:t>t</w:t>
      </w:r>
      <w:r>
        <w:rPr>
          <w:rFonts w:ascii="Times New Roman" w:hAnsi="Times New Roman" w:eastAsia="Times New Roman" w:cs="Times New Roman"/>
          <w:spacing w:val="2"/>
          <w:position w:val="3"/>
          <w:sz w:val="23"/>
          <w:szCs w:val="23"/>
        </w:rPr>
        <w:t>/</w:t>
      </w:r>
      <w:r>
        <w:rPr>
          <w:rFonts w:ascii="Times New Roman" w:hAnsi="Times New Roman" w:eastAsia="Times New Roman" w:cs="Times New Roman"/>
          <w:position w:val="3"/>
          <w:sz w:val="23"/>
          <w:szCs w:val="23"/>
        </w:rPr>
        <w:t>h</w:t>
      </w:r>
      <w:r>
        <w:rPr>
          <w:rFonts w:ascii="Times New Roman" w:hAnsi="Times New Roman" w:eastAsia="Times New Roman" w:cs="Times New Roman"/>
          <w:spacing w:val="2"/>
          <w:position w:val="3"/>
          <w:sz w:val="23"/>
          <w:szCs w:val="23"/>
        </w:rPr>
        <w:t xml:space="preserve"> </w:t>
      </w:r>
      <w:r>
        <w:rPr>
          <w:rFonts w:ascii="宋体" w:hAnsi="宋体" w:eastAsia="宋体" w:cs="宋体"/>
          <w:spacing w:val="2"/>
          <w:position w:val="3"/>
          <w:sz w:val="23"/>
          <w:szCs w:val="23"/>
        </w:rPr>
        <w:t xml:space="preserve">的热风炉颗粒物产生量为 </w:t>
      </w:r>
      <w:r>
        <w:rPr>
          <w:rFonts w:ascii="Times New Roman" w:hAnsi="Times New Roman" w:eastAsia="Times New Roman" w:cs="Times New Roman"/>
          <w:spacing w:val="2"/>
          <w:position w:val="3"/>
          <w:sz w:val="23"/>
          <w:szCs w:val="23"/>
        </w:rPr>
        <w:t>0.34</w:t>
      </w:r>
      <w:r>
        <w:rPr>
          <w:rFonts w:ascii="Times New Roman" w:hAnsi="Times New Roman" w:eastAsia="Times New Roman" w:cs="Times New Roman"/>
          <w:position w:val="3"/>
          <w:sz w:val="23"/>
          <w:szCs w:val="23"/>
        </w:rPr>
        <w:t>t</w:t>
      </w:r>
      <w:r>
        <w:rPr>
          <w:rFonts w:ascii="Times New Roman" w:hAnsi="Times New Roman" w:eastAsia="Times New Roman" w:cs="Times New Roman"/>
          <w:spacing w:val="2"/>
          <w:position w:val="3"/>
          <w:sz w:val="23"/>
          <w:szCs w:val="23"/>
        </w:rPr>
        <w:t>/</w:t>
      </w:r>
      <w:r>
        <w:rPr>
          <w:rFonts w:ascii="Times New Roman" w:hAnsi="Times New Roman" w:eastAsia="Times New Roman" w:cs="Times New Roman"/>
          <w:position w:val="3"/>
          <w:sz w:val="23"/>
          <w:szCs w:val="23"/>
        </w:rPr>
        <w:t>a</w:t>
      </w:r>
      <w:r>
        <w:rPr>
          <w:rFonts w:ascii="Times New Roman" w:hAnsi="Times New Roman" w:eastAsia="Times New Roman" w:cs="Times New Roman"/>
          <w:spacing w:val="2"/>
          <w:position w:val="3"/>
          <w:sz w:val="23"/>
          <w:szCs w:val="23"/>
        </w:rPr>
        <w:t xml:space="preserve"> </w:t>
      </w:r>
      <w:r>
        <w:rPr>
          <w:rFonts w:ascii="宋体" w:hAnsi="宋体" w:eastAsia="宋体" w:cs="宋体"/>
          <w:spacing w:val="2"/>
          <w:position w:val="3"/>
          <w:sz w:val="23"/>
          <w:szCs w:val="23"/>
        </w:rPr>
        <w:t xml:space="preserve">，产生浓度为 </w:t>
      </w:r>
      <w:r>
        <w:rPr>
          <w:rFonts w:ascii="Times New Roman" w:hAnsi="Times New Roman" w:eastAsia="Times New Roman" w:cs="Times New Roman"/>
          <w:spacing w:val="2"/>
          <w:position w:val="3"/>
          <w:sz w:val="23"/>
          <w:szCs w:val="23"/>
        </w:rPr>
        <w:t>57</w:t>
      </w:r>
      <w:r>
        <w:rPr>
          <w:rFonts w:ascii="Times New Roman" w:hAnsi="Times New Roman" w:eastAsia="Times New Roman" w:cs="Times New Roman"/>
          <w:position w:val="3"/>
          <w:sz w:val="23"/>
          <w:szCs w:val="23"/>
        </w:rPr>
        <w:t>mg</w:t>
      </w:r>
      <w:r>
        <w:rPr>
          <w:rFonts w:ascii="Times New Roman" w:hAnsi="Times New Roman" w:eastAsia="Times New Roman" w:cs="Times New Roman"/>
          <w:spacing w:val="2"/>
          <w:position w:val="3"/>
          <w:sz w:val="23"/>
          <w:szCs w:val="23"/>
        </w:rPr>
        <w:t>/</w:t>
      </w:r>
      <w:r>
        <w:rPr>
          <w:rFonts w:ascii="Times New Roman" w:hAnsi="Times New Roman" w:eastAsia="Times New Roman" w:cs="Times New Roman"/>
          <w:position w:val="3"/>
          <w:sz w:val="23"/>
          <w:szCs w:val="23"/>
        </w:rPr>
        <w:t>m</w:t>
      </w:r>
      <w:r>
        <w:rPr>
          <w:rFonts w:ascii="Times New Roman" w:hAnsi="Times New Roman" w:eastAsia="Times New Roman" w:cs="Times New Roman"/>
          <w:spacing w:val="2"/>
          <w:position w:val="11"/>
          <w:sz w:val="15"/>
          <w:szCs w:val="15"/>
        </w:rPr>
        <w:t>3</w:t>
      </w:r>
      <w:r>
        <w:rPr>
          <w:rFonts w:ascii="宋体" w:hAnsi="宋体" w:eastAsia="宋体" w:cs="宋体"/>
          <w:spacing w:val="2"/>
          <w:position w:val="3"/>
          <w:sz w:val="23"/>
          <w:szCs w:val="23"/>
        </w:rPr>
        <w:t>；</w:t>
      </w:r>
    </w:p>
    <w:p w14:paraId="700998DA">
      <w:pPr>
        <w:sectPr>
          <w:type w:val="continuous"/>
          <w:pgSz w:w="11906" w:h="16839"/>
          <w:pgMar w:top="1132" w:right="1691" w:bottom="1182" w:left="1691" w:header="878" w:footer="1022" w:gutter="0"/>
          <w:cols w:equalWidth="0" w:num="1">
            <w:col w:w="8523"/>
          </w:cols>
        </w:sectPr>
      </w:pPr>
    </w:p>
    <w:p w14:paraId="3EFB0FC4">
      <w:pPr>
        <w:spacing w:line="365" w:lineRule="auto"/>
        <w:rPr>
          <w:rFonts w:ascii="Arial"/>
          <w:sz w:val="21"/>
        </w:rPr>
      </w:pPr>
      <w:r>
        <w:pict>
          <v:shape id="_x0000_s1176" o:spid="_x0000_s1176" style="position:absolute;left:0pt;margin-left:90pt;margin-top:57.35pt;height:0.75pt;width:415.3pt;mso-position-horizontal-relative:page;mso-position-vertical-relative:page;z-index:251814912;mso-width-relative:page;mso-height-relative:page;" fillcolor="#000000" filled="t" stroked="f" coordsize="8305,15" o:allowincell="f" path="m0,0l8305,0,8305,14,0,14,0,0xe">
            <v:path/>
            <v:fill on="t" focussize="0,0"/>
            <v:stroke on="f"/>
            <v:imagedata o:title=""/>
            <o:lock v:ext="edit"/>
          </v:shape>
        </w:pict>
      </w:r>
    </w:p>
    <w:p w14:paraId="04EA2053">
      <w:pPr>
        <w:spacing w:before="75" w:line="386" w:lineRule="auto"/>
        <w:ind w:left="24" w:right="7" w:firstLine="5"/>
        <w:rPr>
          <w:rFonts w:ascii="宋体" w:hAnsi="宋体" w:eastAsia="宋体" w:cs="宋体"/>
          <w:sz w:val="23"/>
          <w:szCs w:val="23"/>
        </w:rPr>
      </w:pPr>
      <w:r>
        <w:rPr>
          <w:rFonts w:ascii="Times New Roman" w:hAnsi="Times New Roman" w:eastAsia="Times New Roman" w:cs="Times New Roman"/>
          <w:sz w:val="23"/>
          <w:szCs w:val="23"/>
        </w:rPr>
        <w:t>SO</w:t>
      </w:r>
      <w:r>
        <w:rPr>
          <w:rFonts w:ascii="Times New Roman" w:hAnsi="Times New Roman" w:eastAsia="Times New Roman" w:cs="Times New Roman"/>
          <w:spacing w:val="2"/>
          <w:position w:val="-1"/>
          <w:sz w:val="15"/>
          <w:szCs w:val="15"/>
        </w:rPr>
        <w:t xml:space="preserve">2 </w:t>
      </w:r>
      <w:r>
        <w:rPr>
          <w:rFonts w:ascii="宋体" w:hAnsi="宋体" w:eastAsia="宋体" w:cs="宋体"/>
          <w:spacing w:val="2"/>
          <w:sz w:val="23"/>
          <w:szCs w:val="23"/>
        </w:rPr>
        <w:t xml:space="preserve">产生量为 </w:t>
      </w:r>
      <w:r>
        <w:rPr>
          <w:rFonts w:ascii="Times New Roman" w:hAnsi="Times New Roman" w:eastAsia="Times New Roman" w:cs="Times New Roman"/>
          <w:spacing w:val="2"/>
          <w:sz w:val="23"/>
          <w:szCs w:val="23"/>
        </w:rPr>
        <w:t>1.</w:t>
      </w:r>
      <w:r>
        <w:rPr>
          <w:rFonts w:ascii="Times New Roman" w:hAnsi="Times New Roman" w:eastAsia="Times New Roman" w:cs="Times New Roman"/>
          <w:spacing w:val="1"/>
          <w:sz w:val="23"/>
          <w:szCs w:val="23"/>
        </w:rPr>
        <w:t xml:space="preserve"> 14</w:t>
      </w:r>
      <w:r>
        <w:rPr>
          <w:rFonts w:ascii="Times New Roman" w:hAnsi="Times New Roman" w:eastAsia="Times New Roman" w:cs="Times New Roman"/>
          <w:sz w:val="23"/>
          <w:szCs w:val="23"/>
        </w:rPr>
        <w:t>t</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 xml:space="preserve">，产生浓度为 </w:t>
      </w:r>
      <w:r>
        <w:rPr>
          <w:rFonts w:ascii="Times New Roman" w:hAnsi="Times New Roman" w:eastAsia="Times New Roman" w:cs="Times New Roman"/>
          <w:spacing w:val="1"/>
          <w:sz w:val="23"/>
          <w:szCs w:val="23"/>
        </w:rPr>
        <w:t>190</w:t>
      </w:r>
      <w:r>
        <w:rPr>
          <w:rFonts w:ascii="Times New Roman" w:hAnsi="Times New Roman" w:eastAsia="Times New Roman" w:cs="Times New Roman"/>
          <w:sz w:val="23"/>
          <w:szCs w:val="23"/>
        </w:rPr>
        <w:t>mg</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m</w:t>
      </w:r>
      <w:r>
        <w:rPr>
          <w:rFonts w:ascii="Times New Roman" w:hAnsi="Times New Roman" w:eastAsia="Times New Roman" w:cs="Times New Roman"/>
          <w:spacing w:val="1"/>
          <w:position w:val="8"/>
          <w:sz w:val="15"/>
          <w:szCs w:val="15"/>
        </w:rPr>
        <w:t xml:space="preserve">3 </w:t>
      </w:r>
      <w:r>
        <w:rPr>
          <w:rFonts w:ascii="宋体" w:hAnsi="宋体" w:eastAsia="宋体" w:cs="宋体"/>
          <w:spacing w:val="1"/>
          <w:sz w:val="23"/>
          <w:szCs w:val="23"/>
        </w:rPr>
        <w:t xml:space="preserve">；氮氧化物产生量为 </w:t>
      </w:r>
      <w:r>
        <w:rPr>
          <w:rFonts w:ascii="Times New Roman" w:hAnsi="Times New Roman" w:eastAsia="Times New Roman" w:cs="Times New Roman"/>
          <w:spacing w:val="1"/>
          <w:sz w:val="23"/>
          <w:szCs w:val="23"/>
        </w:rPr>
        <w:t>0.69</w:t>
      </w:r>
      <w:r>
        <w:rPr>
          <w:rFonts w:ascii="Times New Roman" w:hAnsi="Times New Roman" w:eastAsia="Times New Roman" w:cs="Times New Roman"/>
          <w:sz w:val="23"/>
          <w:szCs w:val="23"/>
        </w:rPr>
        <w:t>t</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，产生</w:t>
      </w:r>
      <w:r>
        <w:rPr>
          <w:rFonts w:ascii="宋体" w:hAnsi="宋体" w:eastAsia="宋体" w:cs="宋体"/>
          <w:sz w:val="23"/>
          <w:szCs w:val="23"/>
        </w:rPr>
        <w:t xml:space="preserve"> </w:t>
      </w:r>
      <w:r>
        <w:rPr>
          <w:rFonts w:ascii="宋体" w:hAnsi="宋体" w:eastAsia="宋体" w:cs="宋体"/>
          <w:spacing w:val="-1"/>
          <w:sz w:val="23"/>
          <w:szCs w:val="23"/>
        </w:rPr>
        <w:t>浓度</w:t>
      </w:r>
      <w:r>
        <w:rPr>
          <w:rFonts w:ascii="宋体" w:hAnsi="宋体" w:eastAsia="宋体" w:cs="宋体"/>
          <w:sz w:val="23"/>
          <w:szCs w:val="23"/>
        </w:rPr>
        <w:t xml:space="preserve">为 </w:t>
      </w:r>
      <w:r>
        <w:rPr>
          <w:rFonts w:ascii="Times New Roman" w:hAnsi="Times New Roman" w:eastAsia="Times New Roman" w:cs="Times New Roman"/>
          <w:sz w:val="23"/>
          <w:szCs w:val="23"/>
        </w:rPr>
        <w:t>115mg/m</w:t>
      </w:r>
      <w:r>
        <w:rPr>
          <w:rFonts w:ascii="Times New Roman" w:hAnsi="Times New Roman" w:eastAsia="Times New Roman" w:cs="Times New Roman"/>
          <w:position w:val="7"/>
          <w:sz w:val="15"/>
          <w:szCs w:val="15"/>
        </w:rPr>
        <w:t>3</w:t>
      </w:r>
      <w:r>
        <w:rPr>
          <w:rFonts w:ascii="宋体" w:hAnsi="宋体" w:eastAsia="宋体" w:cs="宋体"/>
          <w:sz w:val="23"/>
          <w:szCs w:val="23"/>
        </w:rPr>
        <w:t>。</w:t>
      </w:r>
    </w:p>
    <w:p w14:paraId="490BB587">
      <w:pPr>
        <w:spacing w:before="153" w:line="396" w:lineRule="auto"/>
        <w:ind w:left="28" w:right="12" w:firstLine="480"/>
        <w:rPr>
          <w:rFonts w:ascii="宋体" w:hAnsi="宋体" w:eastAsia="宋体" w:cs="宋体"/>
          <w:sz w:val="23"/>
          <w:szCs w:val="23"/>
        </w:rPr>
      </w:pPr>
      <w:r>
        <w:rPr>
          <w:rFonts w:ascii="宋体" w:hAnsi="宋体" w:eastAsia="宋体" w:cs="宋体"/>
          <w:spacing w:val="1"/>
          <w:sz w:val="23"/>
          <w:szCs w:val="23"/>
        </w:rPr>
        <w:t xml:space="preserve">该项目新建的 </w:t>
      </w:r>
      <w:r>
        <w:rPr>
          <w:rFonts w:ascii="Times New Roman" w:hAnsi="Times New Roman" w:eastAsia="Times New Roman" w:cs="Times New Roman"/>
          <w:spacing w:val="1"/>
          <w:sz w:val="23"/>
          <w:szCs w:val="23"/>
        </w:rPr>
        <w:t>2</w:t>
      </w:r>
      <w:r>
        <w:rPr>
          <w:rFonts w:ascii="Times New Roman" w:hAnsi="Times New Roman" w:eastAsia="Times New Roman" w:cs="Times New Roman"/>
          <w:sz w:val="23"/>
          <w:szCs w:val="23"/>
        </w:rPr>
        <w:t>t</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h</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 xml:space="preserve">的热风炉配套设有旋风布袋除尘器 </w:t>
      </w:r>
      <w:r>
        <w:rPr>
          <w:rFonts w:ascii="Times New Roman" w:hAnsi="Times New Roman" w:eastAsia="Times New Roman" w:cs="Times New Roman"/>
          <w:spacing w:val="1"/>
          <w:sz w:val="23"/>
          <w:szCs w:val="23"/>
        </w:rPr>
        <w:t xml:space="preserve">1 </w:t>
      </w:r>
      <w:r>
        <w:rPr>
          <w:rFonts w:ascii="宋体" w:hAnsi="宋体" w:eastAsia="宋体" w:cs="宋体"/>
          <w:spacing w:val="1"/>
          <w:sz w:val="23"/>
          <w:szCs w:val="23"/>
        </w:rPr>
        <w:t xml:space="preserve">套、风机 </w:t>
      </w:r>
      <w:r>
        <w:rPr>
          <w:rFonts w:ascii="Times New Roman" w:hAnsi="Times New Roman" w:eastAsia="Times New Roman" w:cs="Times New Roman"/>
          <w:spacing w:val="1"/>
          <w:sz w:val="23"/>
          <w:szCs w:val="23"/>
        </w:rPr>
        <w:t xml:space="preserve">1 </w:t>
      </w:r>
      <w:r>
        <w:rPr>
          <w:rFonts w:ascii="宋体" w:hAnsi="宋体" w:eastAsia="宋体" w:cs="宋体"/>
          <w:spacing w:val="1"/>
          <w:sz w:val="23"/>
          <w:szCs w:val="23"/>
        </w:rPr>
        <w:t>台，</w:t>
      </w:r>
      <w:r>
        <w:rPr>
          <w:rFonts w:ascii="宋体" w:hAnsi="宋体" w:eastAsia="宋体" w:cs="宋体"/>
          <w:sz w:val="23"/>
          <w:szCs w:val="23"/>
        </w:rPr>
        <w:t xml:space="preserve">除尘 </w:t>
      </w:r>
      <w:r>
        <w:rPr>
          <w:rFonts w:ascii="宋体" w:hAnsi="宋体" w:eastAsia="宋体" w:cs="宋体"/>
          <w:spacing w:val="4"/>
          <w:sz w:val="23"/>
          <w:szCs w:val="23"/>
        </w:rPr>
        <w:t>效率大于</w:t>
      </w:r>
      <w:r>
        <w:rPr>
          <w:rFonts w:ascii="宋体" w:hAnsi="宋体" w:eastAsia="宋体" w:cs="宋体"/>
          <w:spacing w:val="2"/>
          <w:sz w:val="23"/>
          <w:szCs w:val="23"/>
        </w:rPr>
        <w:t xml:space="preserve"> </w:t>
      </w:r>
      <w:r>
        <w:rPr>
          <w:rFonts w:ascii="Times New Roman" w:hAnsi="Times New Roman" w:eastAsia="Times New Roman" w:cs="Times New Roman"/>
          <w:spacing w:val="2"/>
          <w:sz w:val="23"/>
          <w:szCs w:val="23"/>
        </w:rPr>
        <w:t xml:space="preserve">99% </w:t>
      </w:r>
      <w:r>
        <w:rPr>
          <w:rFonts w:ascii="宋体" w:hAnsi="宋体" w:eastAsia="宋体" w:cs="宋体"/>
          <w:spacing w:val="2"/>
          <w:sz w:val="23"/>
          <w:szCs w:val="23"/>
        </w:rPr>
        <w:t>，排气筒 (</w:t>
      </w:r>
      <w:r>
        <w:rPr>
          <w:rFonts w:ascii="Times New Roman" w:hAnsi="Times New Roman" w:eastAsia="Times New Roman" w:cs="Times New Roman"/>
          <w:spacing w:val="2"/>
          <w:sz w:val="23"/>
          <w:szCs w:val="23"/>
        </w:rPr>
        <w:t>3#</w:t>
      </w:r>
      <w:r>
        <w:rPr>
          <w:rFonts w:ascii="宋体" w:hAnsi="宋体" w:eastAsia="宋体" w:cs="宋体"/>
          <w:spacing w:val="2"/>
          <w:sz w:val="23"/>
          <w:szCs w:val="23"/>
        </w:rPr>
        <w:t xml:space="preserve">) 高度为 </w:t>
      </w:r>
      <w:r>
        <w:rPr>
          <w:rFonts w:ascii="Times New Roman" w:hAnsi="Times New Roman" w:eastAsia="Times New Roman" w:cs="Times New Roman"/>
          <w:spacing w:val="2"/>
          <w:sz w:val="23"/>
          <w:szCs w:val="23"/>
        </w:rPr>
        <w:t>30</w:t>
      </w:r>
      <w:r>
        <w:rPr>
          <w:rFonts w:ascii="Times New Roman" w:hAnsi="Times New Roman" w:eastAsia="Times New Roman" w:cs="Times New Roman"/>
          <w:sz w:val="23"/>
          <w:szCs w:val="23"/>
        </w:rPr>
        <w:t>m</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 xml:space="preserve">(新建锅炉房的烟囱周围半径 </w:t>
      </w:r>
      <w:r>
        <w:rPr>
          <w:rFonts w:ascii="Times New Roman" w:hAnsi="Times New Roman" w:eastAsia="Times New Roman" w:cs="Times New Roman"/>
          <w:spacing w:val="2"/>
          <w:sz w:val="23"/>
          <w:szCs w:val="23"/>
        </w:rPr>
        <w:t>200</w:t>
      </w:r>
      <w:r>
        <w:rPr>
          <w:rFonts w:ascii="Times New Roman" w:hAnsi="Times New Roman" w:eastAsia="Times New Roman" w:cs="Times New Roman"/>
          <w:sz w:val="23"/>
          <w:szCs w:val="23"/>
        </w:rPr>
        <w:t>m</w:t>
      </w:r>
      <w:r>
        <w:rPr>
          <w:rFonts w:ascii="宋体" w:hAnsi="宋体" w:eastAsia="宋体" w:cs="宋体"/>
          <w:spacing w:val="2"/>
          <w:sz w:val="23"/>
          <w:szCs w:val="23"/>
        </w:rPr>
        <w:t>距</w:t>
      </w:r>
      <w:r>
        <w:rPr>
          <w:rFonts w:ascii="宋体" w:hAnsi="宋体" w:eastAsia="宋体" w:cs="宋体"/>
          <w:sz w:val="23"/>
          <w:szCs w:val="23"/>
        </w:rPr>
        <w:t xml:space="preserve"> </w:t>
      </w:r>
      <w:r>
        <w:rPr>
          <w:rFonts w:ascii="宋体" w:hAnsi="宋体" w:eastAsia="宋体" w:cs="宋体"/>
          <w:spacing w:val="12"/>
          <w:sz w:val="23"/>
          <w:szCs w:val="23"/>
        </w:rPr>
        <w:t>离内</w:t>
      </w:r>
      <w:r>
        <w:rPr>
          <w:rFonts w:ascii="宋体" w:hAnsi="宋体" w:eastAsia="宋体" w:cs="宋体"/>
          <w:spacing w:val="8"/>
          <w:sz w:val="23"/>
          <w:szCs w:val="23"/>
        </w:rPr>
        <w:t>有</w:t>
      </w:r>
      <w:r>
        <w:rPr>
          <w:rFonts w:ascii="宋体" w:hAnsi="宋体" w:eastAsia="宋体" w:cs="宋体"/>
          <w:spacing w:val="6"/>
          <w:sz w:val="23"/>
          <w:szCs w:val="23"/>
        </w:rPr>
        <w:t xml:space="preserve">建筑物时，其烟囱应高出最高建筑物 </w:t>
      </w:r>
      <w:r>
        <w:rPr>
          <w:rFonts w:ascii="Times New Roman" w:hAnsi="Times New Roman" w:eastAsia="Times New Roman" w:cs="Times New Roman"/>
          <w:spacing w:val="6"/>
          <w:sz w:val="23"/>
          <w:szCs w:val="23"/>
        </w:rPr>
        <w:t>3</w:t>
      </w:r>
      <w:r>
        <w:rPr>
          <w:rFonts w:ascii="Times New Roman" w:hAnsi="Times New Roman" w:eastAsia="Times New Roman" w:cs="Times New Roman"/>
          <w:sz w:val="23"/>
          <w:szCs w:val="23"/>
        </w:rPr>
        <w:t>m</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以上) 。该项目旋风布袋除尘器</w:t>
      </w:r>
      <w:r>
        <w:rPr>
          <w:rFonts w:ascii="宋体" w:hAnsi="宋体" w:eastAsia="宋体" w:cs="宋体"/>
          <w:sz w:val="23"/>
          <w:szCs w:val="23"/>
        </w:rPr>
        <w:t xml:space="preserve"> </w:t>
      </w:r>
      <w:r>
        <w:rPr>
          <w:rFonts w:ascii="宋体" w:hAnsi="宋体" w:eastAsia="宋体" w:cs="宋体"/>
          <w:spacing w:val="20"/>
          <w:sz w:val="23"/>
          <w:szCs w:val="23"/>
        </w:rPr>
        <w:t>去</w:t>
      </w:r>
      <w:r>
        <w:rPr>
          <w:rFonts w:ascii="宋体" w:hAnsi="宋体" w:eastAsia="宋体" w:cs="宋体"/>
          <w:spacing w:val="16"/>
          <w:sz w:val="23"/>
          <w:szCs w:val="23"/>
        </w:rPr>
        <w:t>除</w:t>
      </w:r>
      <w:r>
        <w:rPr>
          <w:rFonts w:ascii="宋体" w:hAnsi="宋体" w:eastAsia="宋体" w:cs="宋体"/>
          <w:spacing w:val="10"/>
          <w:sz w:val="23"/>
          <w:szCs w:val="23"/>
        </w:rPr>
        <w:t xml:space="preserve"> </w:t>
      </w:r>
      <w:r>
        <w:rPr>
          <w:rFonts w:ascii="Times New Roman" w:hAnsi="Times New Roman" w:eastAsia="Times New Roman" w:cs="Times New Roman"/>
          <w:sz w:val="23"/>
          <w:szCs w:val="23"/>
        </w:rPr>
        <w:t>PM</w:t>
      </w:r>
      <w:r>
        <w:rPr>
          <w:rFonts w:ascii="Times New Roman" w:hAnsi="Times New Roman" w:eastAsia="Times New Roman" w:cs="Times New Roman"/>
          <w:spacing w:val="10"/>
          <w:position w:val="-1"/>
          <w:sz w:val="15"/>
          <w:szCs w:val="15"/>
        </w:rPr>
        <w:t xml:space="preserve">10 </w:t>
      </w:r>
      <w:r>
        <w:rPr>
          <w:rFonts w:ascii="宋体" w:hAnsi="宋体" w:eastAsia="宋体" w:cs="宋体"/>
          <w:spacing w:val="10"/>
          <w:sz w:val="23"/>
          <w:szCs w:val="23"/>
        </w:rPr>
        <w:t xml:space="preserve">效率为 </w:t>
      </w:r>
      <w:r>
        <w:rPr>
          <w:rFonts w:ascii="Times New Roman" w:hAnsi="Times New Roman" w:eastAsia="Times New Roman" w:cs="Times New Roman"/>
          <w:spacing w:val="10"/>
          <w:sz w:val="23"/>
          <w:szCs w:val="23"/>
        </w:rPr>
        <w:t xml:space="preserve">99% </w:t>
      </w:r>
      <w:r>
        <w:rPr>
          <w:rFonts w:ascii="宋体" w:hAnsi="宋体" w:eastAsia="宋体" w:cs="宋体"/>
          <w:spacing w:val="10"/>
          <w:sz w:val="23"/>
          <w:szCs w:val="23"/>
        </w:rPr>
        <w:t>，无脱硫脱氮效果，则该项目热烟气具体产排情况见表</w:t>
      </w:r>
    </w:p>
    <w:p w14:paraId="31FF6787">
      <w:pPr>
        <w:spacing w:before="31" w:line="186" w:lineRule="auto"/>
        <w:ind w:left="24"/>
        <w:rPr>
          <w:rFonts w:ascii="宋体" w:hAnsi="宋体" w:eastAsia="宋体" w:cs="宋体"/>
          <w:sz w:val="23"/>
          <w:szCs w:val="23"/>
        </w:rPr>
      </w:pPr>
      <w:r>
        <w:rPr>
          <w:rFonts w:ascii="Times New Roman" w:hAnsi="Times New Roman" w:eastAsia="Times New Roman" w:cs="Times New Roman"/>
          <w:spacing w:val="-10"/>
          <w:sz w:val="23"/>
          <w:szCs w:val="23"/>
        </w:rPr>
        <w:t>3</w:t>
      </w:r>
      <w:r>
        <w:rPr>
          <w:rFonts w:ascii="Times New Roman" w:hAnsi="Times New Roman" w:eastAsia="Times New Roman" w:cs="Times New Roman"/>
          <w:spacing w:val="-8"/>
          <w:sz w:val="23"/>
          <w:szCs w:val="23"/>
        </w:rPr>
        <w:t>- 17</w:t>
      </w:r>
      <w:r>
        <w:rPr>
          <w:rFonts w:ascii="宋体" w:hAnsi="宋体" w:eastAsia="宋体" w:cs="宋体"/>
          <w:spacing w:val="-8"/>
          <w:sz w:val="23"/>
          <w:szCs w:val="23"/>
        </w:rPr>
        <w:t>。</w:t>
      </w:r>
    </w:p>
    <w:p w14:paraId="6AFD86CE">
      <w:pPr>
        <w:spacing w:line="286" w:lineRule="auto"/>
        <w:rPr>
          <w:rFonts w:ascii="Arial"/>
          <w:sz w:val="21"/>
        </w:rPr>
      </w:pPr>
    </w:p>
    <w:p w14:paraId="264C9DCC">
      <w:pPr>
        <w:spacing w:before="74" w:line="227" w:lineRule="auto"/>
        <w:ind w:left="1765"/>
        <w:rPr>
          <w:rFonts w:ascii="宋体" w:hAnsi="宋体" w:eastAsia="宋体" w:cs="宋体"/>
          <w:sz w:val="23"/>
          <w:szCs w:val="23"/>
        </w:rPr>
      </w:pPr>
      <w:r>
        <w:rPr>
          <w:rFonts w:ascii="宋体" w:hAnsi="宋体" w:eastAsia="宋体" w:cs="宋体"/>
          <w:spacing w:val="8"/>
          <w:sz w:val="23"/>
          <w:szCs w:val="23"/>
          <w14:textOutline w14:w="4358" w14:cap="sq" w14:cmpd="sng">
            <w14:solidFill>
              <w14:srgbClr w14:val="000000"/>
            </w14:solidFill>
            <w14:prstDash w14:val="solid"/>
            <w14:bevel/>
          </w14:textOutline>
        </w:rPr>
        <w:t>表</w:t>
      </w:r>
      <w:r>
        <w:rPr>
          <w:rFonts w:ascii="宋体" w:hAnsi="宋体" w:eastAsia="宋体" w:cs="宋体"/>
          <w:spacing w:val="5"/>
          <w:sz w:val="23"/>
          <w:szCs w:val="23"/>
        </w:rPr>
        <w:t xml:space="preserve"> </w:t>
      </w:r>
      <w:r>
        <w:rPr>
          <w:rFonts w:ascii="Times New Roman" w:hAnsi="Times New Roman" w:eastAsia="Times New Roman" w:cs="Times New Roman"/>
          <w:b/>
          <w:bCs/>
          <w:spacing w:val="5"/>
          <w:sz w:val="23"/>
          <w:szCs w:val="23"/>
        </w:rPr>
        <w:t>3-17</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14:textOutline w14:w="4358" w14:cap="sq" w14:cmpd="sng">
            <w14:solidFill>
              <w14:srgbClr w14:val="000000"/>
            </w14:solidFill>
            <w14:prstDash w14:val="solid"/>
            <w14:bevel/>
          </w14:textOutline>
        </w:rPr>
        <w:t>本项目热风炉大气污染物排放情况</w:t>
      </w:r>
    </w:p>
    <w:p w14:paraId="178C9C3E">
      <w:pPr>
        <w:spacing w:line="19" w:lineRule="exact"/>
      </w:pPr>
    </w:p>
    <w:tbl>
      <w:tblPr>
        <w:tblStyle w:val="4"/>
        <w:tblW w:w="833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79"/>
        <w:gridCol w:w="1477"/>
        <w:gridCol w:w="1827"/>
        <w:gridCol w:w="1479"/>
        <w:gridCol w:w="2074"/>
      </w:tblGrid>
      <w:tr w14:paraId="25B9E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 w:hRule="atLeast"/>
        </w:trPr>
        <w:tc>
          <w:tcPr>
            <w:tcW w:w="2956" w:type="dxa"/>
            <w:gridSpan w:val="2"/>
            <w:tcBorders>
              <w:left w:val="nil"/>
            </w:tcBorders>
            <w:vAlign w:val="top"/>
          </w:tcPr>
          <w:p w14:paraId="10713FED">
            <w:pPr>
              <w:spacing w:before="70" w:line="209" w:lineRule="auto"/>
              <w:ind w:left="1068"/>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污染因子</w:t>
            </w:r>
          </w:p>
        </w:tc>
        <w:tc>
          <w:tcPr>
            <w:tcW w:w="1827" w:type="dxa"/>
            <w:vAlign w:val="top"/>
          </w:tcPr>
          <w:p w14:paraId="4B8C3404">
            <w:pPr>
              <w:spacing w:before="70" w:line="209" w:lineRule="auto"/>
              <w:ind w:left="708"/>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烟</w:t>
            </w:r>
            <w:r>
              <w:rPr>
                <w:rFonts w:ascii="宋体" w:hAnsi="宋体" w:eastAsia="宋体" w:cs="宋体"/>
                <w:spacing w:val="5"/>
                <w:sz w:val="20"/>
                <w:szCs w:val="20"/>
                <w14:textOutline w14:w="3795" w14:cap="sq" w14:cmpd="sng">
                  <w14:solidFill>
                    <w14:srgbClr w14:val="000000"/>
                  </w14:solidFill>
                  <w14:prstDash w14:val="solid"/>
                  <w14:bevel/>
                </w14:textOutline>
              </w:rPr>
              <w:t>尘</w:t>
            </w:r>
          </w:p>
        </w:tc>
        <w:tc>
          <w:tcPr>
            <w:tcW w:w="1479" w:type="dxa"/>
            <w:vAlign w:val="top"/>
          </w:tcPr>
          <w:p w14:paraId="78DE6D5F">
            <w:pPr>
              <w:spacing w:before="92" w:line="202" w:lineRule="auto"/>
              <w:ind w:left="573"/>
              <w:rPr>
                <w:rFonts w:ascii="Times New Roman" w:hAnsi="Times New Roman" w:eastAsia="Times New Roman" w:cs="Times New Roman"/>
                <w:sz w:val="13"/>
                <w:szCs w:val="13"/>
              </w:rPr>
            </w:pPr>
            <w:r>
              <w:rPr>
                <w:rFonts w:ascii="Times New Roman" w:hAnsi="Times New Roman" w:eastAsia="Times New Roman" w:cs="Times New Roman"/>
                <w:b/>
                <w:bCs/>
                <w:sz w:val="20"/>
                <w:szCs w:val="20"/>
              </w:rPr>
              <w:t>SO</w:t>
            </w:r>
            <w:r>
              <w:rPr>
                <w:rFonts w:ascii="Times New Roman" w:hAnsi="Times New Roman" w:eastAsia="Times New Roman" w:cs="Times New Roman"/>
                <w:b/>
                <w:bCs/>
                <w:spacing w:val="6"/>
                <w:position w:val="-1"/>
                <w:sz w:val="13"/>
                <w:szCs w:val="13"/>
              </w:rPr>
              <w:t>2</w:t>
            </w:r>
          </w:p>
        </w:tc>
        <w:tc>
          <w:tcPr>
            <w:tcW w:w="2074" w:type="dxa"/>
            <w:tcBorders>
              <w:right w:val="nil"/>
            </w:tcBorders>
            <w:vAlign w:val="top"/>
          </w:tcPr>
          <w:p w14:paraId="66B8678C">
            <w:pPr>
              <w:spacing w:before="92" w:line="195" w:lineRule="auto"/>
              <w:ind w:left="826"/>
              <w:rPr>
                <w:rFonts w:ascii="Times New Roman" w:hAnsi="Times New Roman" w:eastAsia="Times New Roman" w:cs="Times New Roman"/>
                <w:sz w:val="20"/>
                <w:szCs w:val="20"/>
              </w:rPr>
            </w:pPr>
            <w:r>
              <w:rPr>
                <w:rFonts w:ascii="Times New Roman" w:hAnsi="Times New Roman" w:eastAsia="Times New Roman" w:cs="Times New Roman"/>
                <w:b/>
                <w:bCs/>
                <w:spacing w:val="5"/>
                <w:sz w:val="20"/>
                <w:szCs w:val="20"/>
              </w:rPr>
              <w:t>NOx</w:t>
            </w:r>
          </w:p>
        </w:tc>
      </w:tr>
      <w:tr w14:paraId="09DC0A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 w:hRule="atLeast"/>
        </w:trPr>
        <w:tc>
          <w:tcPr>
            <w:tcW w:w="1479" w:type="dxa"/>
            <w:vMerge w:val="restart"/>
            <w:tcBorders>
              <w:left w:val="nil"/>
              <w:bottom w:val="nil"/>
            </w:tcBorders>
            <w:vAlign w:val="top"/>
          </w:tcPr>
          <w:p w14:paraId="359CDF22">
            <w:pPr>
              <w:spacing w:before="188" w:line="228" w:lineRule="auto"/>
              <w:ind w:left="118"/>
              <w:rPr>
                <w:rFonts w:ascii="宋体" w:hAnsi="宋体" w:eastAsia="宋体" w:cs="宋体"/>
                <w:sz w:val="20"/>
                <w:szCs w:val="20"/>
              </w:rPr>
            </w:pPr>
            <w:r>
              <w:rPr>
                <w:rFonts w:ascii="宋体" w:hAnsi="宋体" w:eastAsia="宋体" w:cs="宋体"/>
                <w:spacing w:val="8"/>
                <w:sz w:val="20"/>
                <w:szCs w:val="20"/>
              </w:rPr>
              <w:t>污染物产生</w:t>
            </w:r>
            <w:r>
              <w:rPr>
                <w:rFonts w:ascii="宋体" w:hAnsi="宋体" w:eastAsia="宋体" w:cs="宋体"/>
                <w:spacing w:val="7"/>
                <w:sz w:val="20"/>
                <w:szCs w:val="20"/>
              </w:rPr>
              <w:t>量</w:t>
            </w:r>
          </w:p>
        </w:tc>
        <w:tc>
          <w:tcPr>
            <w:tcW w:w="1477" w:type="dxa"/>
            <w:vAlign w:val="top"/>
          </w:tcPr>
          <w:p w14:paraId="35449B65">
            <w:pPr>
              <w:spacing w:before="2" w:line="281" w:lineRule="exact"/>
              <w:ind w:left="551"/>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kg</w:t>
            </w:r>
            <w:r>
              <w:rPr>
                <w:rFonts w:ascii="Times New Roman" w:hAnsi="Times New Roman" w:eastAsia="Times New Roman" w:cs="Times New Roman"/>
                <w:spacing w:val="13"/>
                <w:position w:val="4"/>
                <w:sz w:val="20"/>
                <w:szCs w:val="20"/>
              </w:rPr>
              <w:t>/</w:t>
            </w:r>
            <w:r>
              <w:rPr>
                <w:rFonts w:ascii="Times New Roman" w:hAnsi="Times New Roman" w:eastAsia="Times New Roman" w:cs="Times New Roman"/>
                <w:position w:val="4"/>
                <w:sz w:val="20"/>
                <w:szCs w:val="20"/>
              </w:rPr>
              <w:t>h</w:t>
            </w:r>
          </w:p>
        </w:tc>
        <w:tc>
          <w:tcPr>
            <w:tcW w:w="1827" w:type="dxa"/>
            <w:vAlign w:val="top"/>
          </w:tcPr>
          <w:p w14:paraId="56950BD7">
            <w:pPr>
              <w:spacing w:before="75" w:line="195" w:lineRule="auto"/>
              <w:ind w:left="736"/>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0</w:t>
            </w:r>
            <w:r>
              <w:rPr>
                <w:rFonts w:ascii="Times New Roman" w:hAnsi="Times New Roman" w:eastAsia="Times New Roman" w:cs="Times New Roman"/>
                <w:spacing w:val="-8"/>
                <w:sz w:val="20"/>
                <w:szCs w:val="20"/>
              </w:rPr>
              <w:t>. 19</w:t>
            </w:r>
          </w:p>
        </w:tc>
        <w:tc>
          <w:tcPr>
            <w:tcW w:w="1479" w:type="dxa"/>
            <w:vAlign w:val="top"/>
          </w:tcPr>
          <w:p w14:paraId="62FF5412">
            <w:pPr>
              <w:spacing w:before="76" w:line="195" w:lineRule="auto"/>
              <w:ind w:left="56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.63</w:t>
            </w:r>
          </w:p>
        </w:tc>
        <w:tc>
          <w:tcPr>
            <w:tcW w:w="2074" w:type="dxa"/>
            <w:tcBorders>
              <w:right w:val="nil"/>
            </w:tcBorders>
            <w:vAlign w:val="top"/>
          </w:tcPr>
          <w:p w14:paraId="36A3CD85">
            <w:pPr>
              <w:spacing w:before="76" w:line="195" w:lineRule="auto"/>
              <w:ind w:left="85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.38</w:t>
            </w:r>
          </w:p>
        </w:tc>
      </w:tr>
      <w:tr w14:paraId="349282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 w:hRule="atLeast"/>
        </w:trPr>
        <w:tc>
          <w:tcPr>
            <w:tcW w:w="1479" w:type="dxa"/>
            <w:vMerge w:val="continue"/>
            <w:tcBorders>
              <w:top w:val="nil"/>
              <w:left w:val="nil"/>
            </w:tcBorders>
            <w:vAlign w:val="top"/>
          </w:tcPr>
          <w:p w14:paraId="2617835E">
            <w:pPr>
              <w:rPr>
                <w:rFonts w:ascii="Arial"/>
                <w:sz w:val="21"/>
              </w:rPr>
            </w:pPr>
          </w:p>
        </w:tc>
        <w:tc>
          <w:tcPr>
            <w:tcW w:w="1477" w:type="dxa"/>
            <w:vAlign w:val="top"/>
          </w:tcPr>
          <w:p w14:paraId="4A959ED8">
            <w:pPr>
              <w:spacing w:before="121" w:line="141" w:lineRule="exact"/>
              <w:ind w:left="753"/>
              <w:rPr>
                <w:rFonts w:ascii="Times New Roman" w:hAnsi="Times New Roman" w:eastAsia="Times New Roman" w:cs="Times New Roman"/>
                <w:sz w:val="20"/>
                <w:szCs w:val="20"/>
              </w:rPr>
            </w:pPr>
            <w:r>
              <w:pict>
                <v:shape id="_x0000_s1177" o:spid="_x0000_s1177" o:spt="202" type="#_x0000_t202" style="position:absolute;left:0pt;margin-left:30.85pt;margin-top:-0.6pt;height:16.1pt;width:7.75pt;mso-position-horizontal-relative:page;mso-position-vertical-relative:page;z-index:251814912;mso-width-relative:page;mso-height-relative:page;" filled="f" stroked="f" coordsize="21600,21600">
                  <v:path/>
                  <v:fill on="f" focussize="0,0"/>
                  <v:stroke on="f"/>
                  <v:imagedata o:title=""/>
                  <o:lock v:ext="edit" aspectratio="f"/>
                  <v:textbox inset="0mm,0mm,0mm,0mm">
                    <w:txbxContent>
                      <w:p w14:paraId="01A22089">
                        <w:pPr>
                          <w:spacing w:before="20" w:line="281" w:lineRule="exact"/>
                          <w:ind w:left="20"/>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t</w:t>
                        </w:r>
                        <w:r>
                          <w:rPr>
                            <w:rFonts w:ascii="Times New Roman" w:hAnsi="Times New Roman" w:eastAsia="Times New Roman" w:cs="Times New Roman"/>
                            <w:spacing w:val="2"/>
                            <w:position w:val="2"/>
                            <w:sz w:val="20"/>
                            <w:szCs w:val="20"/>
                          </w:rPr>
                          <w:t>/</w:t>
                        </w:r>
                      </w:p>
                    </w:txbxContent>
                  </v:textbox>
                </v:shape>
              </w:pict>
            </w:r>
            <w:r>
              <w:rPr>
                <w:rFonts w:ascii="Times New Roman" w:hAnsi="Times New Roman" w:eastAsia="Times New Roman" w:cs="Times New Roman"/>
                <w:sz w:val="20"/>
                <w:szCs w:val="20"/>
              </w:rPr>
              <w:t>a</w:t>
            </w:r>
          </w:p>
        </w:tc>
        <w:tc>
          <w:tcPr>
            <w:tcW w:w="1827" w:type="dxa"/>
            <w:vAlign w:val="top"/>
          </w:tcPr>
          <w:p w14:paraId="721038B8">
            <w:pPr>
              <w:spacing w:before="75" w:line="195" w:lineRule="auto"/>
              <w:ind w:left="73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0.34</w:t>
            </w:r>
          </w:p>
        </w:tc>
        <w:tc>
          <w:tcPr>
            <w:tcW w:w="1479" w:type="dxa"/>
            <w:vAlign w:val="top"/>
          </w:tcPr>
          <w:p w14:paraId="3F1C7605">
            <w:pPr>
              <w:spacing w:before="75" w:line="198" w:lineRule="auto"/>
              <w:ind w:left="577"/>
              <w:rPr>
                <w:rFonts w:ascii="Times New Roman" w:hAnsi="Times New Roman" w:eastAsia="Times New Roman" w:cs="Times New Roman"/>
                <w:sz w:val="20"/>
                <w:szCs w:val="20"/>
              </w:rPr>
            </w:pPr>
            <w:r>
              <w:rPr>
                <w:rFonts w:ascii="Times New Roman" w:hAnsi="Times New Roman" w:eastAsia="Times New Roman" w:cs="Times New Roman"/>
                <w:spacing w:val="-12"/>
                <w:sz w:val="20"/>
                <w:szCs w:val="20"/>
              </w:rPr>
              <w:t>1</w:t>
            </w:r>
            <w:r>
              <w:rPr>
                <w:rFonts w:ascii="Times New Roman" w:hAnsi="Times New Roman" w:eastAsia="Times New Roman" w:cs="Times New Roman"/>
                <w:spacing w:val="-11"/>
                <w:sz w:val="20"/>
                <w:szCs w:val="20"/>
              </w:rPr>
              <w:t>. 14</w:t>
            </w:r>
          </w:p>
        </w:tc>
        <w:tc>
          <w:tcPr>
            <w:tcW w:w="2074" w:type="dxa"/>
            <w:tcBorders>
              <w:right w:val="nil"/>
            </w:tcBorders>
            <w:vAlign w:val="top"/>
          </w:tcPr>
          <w:p w14:paraId="3CF1DDB0">
            <w:pPr>
              <w:spacing w:before="75" w:line="195" w:lineRule="auto"/>
              <w:ind w:left="85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.69</w:t>
            </w:r>
          </w:p>
        </w:tc>
      </w:tr>
      <w:tr w14:paraId="2DB59A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1479" w:type="dxa"/>
            <w:tcBorders>
              <w:left w:val="nil"/>
            </w:tcBorders>
            <w:vAlign w:val="top"/>
          </w:tcPr>
          <w:p w14:paraId="7202F331">
            <w:pPr>
              <w:spacing w:before="46" w:line="227" w:lineRule="auto"/>
              <w:ind w:left="327"/>
              <w:rPr>
                <w:rFonts w:ascii="宋体" w:hAnsi="宋体" w:eastAsia="宋体" w:cs="宋体"/>
                <w:sz w:val="20"/>
                <w:szCs w:val="20"/>
              </w:rPr>
            </w:pPr>
            <w:r>
              <w:rPr>
                <w:rFonts w:ascii="宋体" w:hAnsi="宋体" w:eastAsia="宋体" w:cs="宋体"/>
                <w:spacing w:val="8"/>
                <w:sz w:val="20"/>
                <w:szCs w:val="20"/>
              </w:rPr>
              <w:t>产</w:t>
            </w:r>
            <w:r>
              <w:rPr>
                <w:rFonts w:ascii="宋体" w:hAnsi="宋体" w:eastAsia="宋体" w:cs="宋体"/>
                <w:spacing w:val="7"/>
                <w:sz w:val="20"/>
                <w:szCs w:val="20"/>
              </w:rPr>
              <w:t>生浓度</w:t>
            </w:r>
          </w:p>
        </w:tc>
        <w:tc>
          <w:tcPr>
            <w:tcW w:w="1477" w:type="dxa"/>
            <w:vAlign w:val="top"/>
          </w:tcPr>
          <w:p w14:paraId="769C195E">
            <w:pPr>
              <w:spacing w:before="1" w:line="281" w:lineRule="exact"/>
              <w:ind w:left="459"/>
              <w:rPr>
                <w:rFonts w:ascii="Times New Roman" w:hAnsi="Times New Roman" w:eastAsia="Times New Roman" w:cs="Times New Roman"/>
                <w:sz w:val="13"/>
                <w:szCs w:val="13"/>
              </w:rPr>
            </w:pPr>
            <w:r>
              <w:rPr>
                <w:rFonts w:ascii="Times New Roman" w:hAnsi="Times New Roman" w:eastAsia="Times New Roman" w:cs="Times New Roman"/>
                <w:position w:val="3"/>
                <w:sz w:val="20"/>
                <w:szCs w:val="20"/>
              </w:rPr>
              <w:t>mg</w:t>
            </w:r>
            <w:r>
              <w:rPr>
                <w:rFonts w:ascii="Times New Roman" w:hAnsi="Times New Roman" w:eastAsia="Times New Roman" w:cs="Times New Roman"/>
                <w:spacing w:val="12"/>
                <w:position w:val="3"/>
                <w:sz w:val="20"/>
                <w:szCs w:val="20"/>
              </w:rPr>
              <w:t>/</w:t>
            </w:r>
            <w:r>
              <w:rPr>
                <w:rFonts w:ascii="Times New Roman" w:hAnsi="Times New Roman" w:eastAsia="Times New Roman" w:cs="Times New Roman"/>
                <w:position w:val="3"/>
                <w:sz w:val="20"/>
                <w:szCs w:val="20"/>
              </w:rPr>
              <w:t>m</w:t>
            </w:r>
            <w:r>
              <w:rPr>
                <w:rFonts w:ascii="Times New Roman" w:hAnsi="Times New Roman" w:eastAsia="Times New Roman" w:cs="Times New Roman"/>
                <w:spacing w:val="12"/>
                <w:position w:val="9"/>
                <w:sz w:val="13"/>
                <w:szCs w:val="13"/>
              </w:rPr>
              <w:t>3</w:t>
            </w:r>
          </w:p>
        </w:tc>
        <w:tc>
          <w:tcPr>
            <w:tcW w:w="1827" w:type="dxa"/>
            <w:vAlign w:val="top"/>
          </w:tcPr>
          <w:p w14:paraId="19F3022B">
            <w:pPr>
              <w:spacing w:before="78" w:line="192" w:lineRule="auto"/>
              <w:ind w:left="815"/>
              <w:rPr>
                <w:rFonts w:ascii="Times New Roman" w:hAnsi="Times New Roman" w:eastAsia="Times New Roman" w:cs="Times New Roman"/>
                <w:sz w:val="20"/>
                <w:szCs w:val="20"/>
              </w:rPr>
            </w:pPr>
            <w:r>
              <w:rPr>
                <w:rFonts w:ascii="Times New Roman" w:hAnsi="Times New Roman" w:eastAsia="Times New Roman" w:cs="Times New Roman"/>
                <w:sz w:val="20"/>
                <w:szCs w:val="20"/>
              </w:rPr>
              <w:t>57</w:t>
            </w:r>
          </w:p>
        </w:tc>
        <w:tc>
          <w:tcPr>
            <w:tcW w:w="1479" w:type="dxa"/>
            <w:vAlign w:val="top"/>
          </w:tcPr>
          <w:p w14:paraId="0E8DDCD8">
            <w:pPr>
              <w:spacing w:before="75" w:line="195" w:lineRule="auto"/>
              <w:ind w:left="60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190</w:t>
            </w:r>
          </w:p>
        </w:tc>
        <w:tc>
          <w:tcPr>
            <w:tcW w:w="2074" w:type="dxa"/>
            <w:tcBorders>
              <w:right w:val="nil"/>
            </w:tcBorders>
            <w:vAlign w:val="top"/>
          </w:tcPr>
          <w:p w14:paraId="761685E9">
            <w:pPr>
              <w:spacing w:before="75" w:line="195" w:lineRule="auto"/>
              <w:ind w:left="90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5"/>
                <w:sz w:val="20"/>
                <w:szCs w:val="20"/>
              </w:rPr>
              <w:t>15</w:t>
            </w:r>
          </w:p>
        </w:tc>
      </w:tr>
      <w:tr w14:paraId="470EF3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1479" w:type="dxa"/>
            <w:vMerge w:val="restart"/>
            <w:tcBorders>
              <w:left w:val="nil"/>
              <w:bottom w:val="nil"/>
            </w:tcBorders>
            <w:vAlign w:val="top"/>
          </w:tcPr>
          <w:p w14:paraId="66F8BF05">
            <w:pPr>
              <w:spacing w:before="189" w:line="228" w:lineRule="auto"/>
              <w:ind w:left="118"/>
              <w:rPr>
                <w:rFonts w:ascii="宋体" w:hAnsi="宋体" w:eastAsia="宋体" w:cs="宋体"/>
                <w:sz w:val="20"/>
                <w:szCs w:val="20"/>
              </w:rPr>
            </w:pPr>
            <w:r>
              <w:rPr>
                <w:rFonts w:ascii="宋体" w:hAnsi="宋体" w:eastAsia="宋体" w:cs="宋体"/>
                <w:spacing w:val="8"/>
                <w:sz w:val="20"/>
                <w:szCs w:val="20"/>
              </w:rPr>
              <w:t>污染物排放</w:t>
            </w:r>
            <w:r>
              <w:rPr>
                <w:rFonts w:ascii="宋体" w:hAnsi="宋体" w:eastAsia="宋体" w:cs="宋体"/>
                <w:spacing w:val="7"/>
                <w:sz w:val="20"/>
                <w:szCs w:val="20"/>
              </w:rPr>
              <w:t>量</w:t>
            </w:r>
          </w:p>
        </w:tc>
        <w:tc>
          <w:tcPr>
            <w:tcW w:w="1477" w:type="dxa"/>
            <w:vAlign w:val="top"/>
          </w:tcPr>
          <w:p w14:paraId="1CC6ECE0">
            <w:pPr>
              <w:spacing w:before="4" w:line="281" w:lineRule="exact"/>
              <w:ind w:left="551"/>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kg</w:t>
            </w:r>
            <w:r>
              <w:rPr>
                <w:rFonts w:ascii="Times New Roman" w:hAnsi="Times New Roman" w:eastAsia="Times New Roman" w:cs="Times New Roman"/>
                <w:spacing w:val="13"/>
                <w:position w:val="4"/>
                <w:sz w:val="20"/>
                <w:szCs w:val="20"/>
              </w:rPr>
              <w:t>/</w:t>
            </w:r>
            <w:r>
              <w:rPr>
                <w:rFonts w:ascii="Times New Roman" w:hAnsi="Times New Roman" w:eastAsia="Times New Roman" w:cs="Times New Roman"/>
                <w:position w:val="4"/>
                <w:sz w:val="20"/>
                <w:szCs w:val="20"/>
              </w:rPr>
              <w:t>h</w:t>
            </w:r>
          </w:p>
        </w:tc>
        <w:tc>
          <w:tcPr>
            <w:tcW w:w="1827" w:type="dxa"/>
            <w:vAlign w:val="top"/>
          </w:tcPr>
          <w:p w14:paraId="73023E01">
            <w:pPr>
              <w:spacing w:before="78" w:line="195" w:lineRule="auto"/>
              <w:ind w:left="68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.001</w:t>
            </w:r>
          </w:p>
        </w:tc>
        <w:tc>
          <w:tcPr>
            <w:tcW w:w="1479" w:type="dxa"/>
            <w:vAlign w:val="top"/>
          </w:tcPr>
          <w:p w14:paraId="0DB8D023">
            <w:pPr>
              <w:spacing w:before="78" w:line="195" w:lineRule="auto"/>
              <w:ind w:left="56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.63</w:t>
            </w:r>
          </w:p>
        </w:tc>
        <w:tc>
          <w:tcPr>
            <w:tcW w:w="2074" w:type="dxa"/>
            <w:tcBorders>
              <w:right w:val="nil"/>
            </w:tcBorders>
            <w:vAlign w:val="top"/>
          </w:tcPr>
          <w:p w14:paraId="397E3007">
            <w:pPr>
              <w:spacing w:before="78" w:line="195" w:lineRule="auto"/>
              <w:ind w:left="85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.38</w:t>
            </w:r>
          </w:p>
        </w:tc>
      </w:tr>
      <w:tr w14:paraId="5B499A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 w:hRule="atLeast"/>
        </w:trPr>
        <w:tc>
          <w:tcPr>
            <w:tcW w:w="1479" w:type="dxa"/>
            <w:vMerge w:val="continue"/>
            <w:tcBorders>
              <w:top w:val="nil"/>
              <w:left w:val="nil"/>
            </w:tcBorders>
            <w:vAlign w:val="top"/>
          </w:tcPr>
          <w:p w14:paraId="12A38192">
            <w:pPr>
              <w:rPr>
                <w:rFonts w:ascii="Arial"/>
                <w:sz w:val="21"/>
              </w:rPr>
            </w:pPr>
          </w:p>
        </w:tc>
        <w:tc>
          <w:tcPr>
            <w:tcW w:w="1477" w:type="dxa"/>
            <w:vAlign w:val="top"/>
          </w:tcPr>
          <w:p w14:paraId="6FD49AED">
            <w:pPr>
              <w:spacing w:before="124" w:line="141" w:lineRule="exact"/>
              <w:ind w:left="753"/>
              <w:rPr>
                <w:rFonts w:ascii="Times New Roman" w:hAnsi="Times New Roman" w:eastAsia="Times New Roman" w:cs="Times New Roman"/>
                <w:sz w:val="20"/>
                <w:szCs w:val="20"/>
              </w:rPr>
            </w:pPr>
            <w:r>
              <w:pict>
                <v:shape id="_x0000_s1178" o:spid="_x0000_s1178" o:spt="202" type="#_x0000_t202" style="position:absolute;left:0pt;margin-left:30.85pt;margin-top:-0.45pt;height:16.1pt;width:7.75pt;mso-position-horizontal-relative:page;mso-position-vertical-relative:page;z-index:251814912;mso-width-relative:page;mso-height-relative:page;" filled="f" stroked="f" coordsize="21600,21600">
                  <v:path/>
                  <v:fill on="f" focussize="0,0"/>
                  <v:stroke on="f"/>
                  <v:imagedata o:title=""/>
                  <o:lock v:ext="edit" aspectratio="f"/>
                  <v:textbox inset="0mm,0mm,0mm,0mm">
                    <w:txbxContent>
                      <w:p w14:paraId="55310CC9">
                        <w:pPr>
                          <w:spacing w:before="20" w:line="281" w:lineRule="exact"/>
                          <w:ind w:left="20"/>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t</w:t>
                        </w:r>
                        <w:r>
                          <w:rPr>
                            <w:rFonts w:ascii="Times New Roman" w:hAnsi="Times New Roman" w:eastAsia="Times New Roman" w:cs="Times New Roman"/>
                            <w:spacing w:val="2"/>
                            <w:position w:val="2"/>
                            <w:sz w:val="20"/>
                            <w:szCs w:val="20"/>
                          </w:rPr>
                          <w:t>/</w:t>
                        </w:r>
                      </w:p>
                    </w:txbxContent>
                  </v:textbox>
                </v:shape>
              </w:pict>
            </w:r>
            <w:r>
              <w:rPr>
                <w:rFonts w:ascii="Times New Roman" w:hAnsi="Times New Roman" w:eastAsia="Times New Roman" w:cs="Times New Roman"/>
                <w:sz w:val="20"/>
                <w:szCs w:val="20"/>
              </w:rPr>
              <w:t>a</w:t>
            </w:r>
          </w:p>
        </w:tc>
        <w:tc>
          <w:tcPr>
            <w:tcW w:w="1827" w:type="dxa"/>
            <w:vAlign w:val="top"/>
          </w:tcPr>
          <w:p w14:paraId="7B2E29A2">
            <w:pPr>
              <w:spacing w:before="79" w:line="195" w:lineRule="auto"/>
              <w:ind w:left="68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.003</w:t>
            </w:r>
          </w:p>
        </w:tc>
        <w:tc>
          <w:tcPr>
            <w:tcW w:w="1479" w:type="dxa"/>
            <w:vAlign w:val="top"/>
          </w:tcPr>
          <w:p w14:paraId="2BDAA7DC">
            <w:pPr>
              <w:spacing w:before="78" w:line="198" w:lineRule="auto"/>
              <w:ind w:left="577"/>
              <w:rPr>
                <w:rFonts w:ascii="Times New Roman" w:hAnsi="Times New Roman" w:eastAsia="Times New Roman" w:cs="Times New Roman"/>
                <w:sz w:val="20"/>
                <w:szCs w:val="20"/>
              </w:rPr>
            </w:pPr>
            <w:r>
              <w:rPr>
                <w:rFonts w:ascii="Times New Roman" w:hAnsi="Times New Roman" w:eastAsia="Times New Roman" w:cs="Times New Roman"/>
                <w:spacing w:val="-12"/>
                <w:sz w:val="20"/>
                <w:szCs w:val="20"/>
              </w:rPr>
              <w:t>1</w:t>
            </w:r>
            <w:r>
              <w:rPr>
                <w:rFonts w:ascii="Times New Roman" w:hAnsi="Times New Roman" w:eastAsia="Times New Roman" w:cs="Times New Roman"/>
                <w:spacing w:val="-11"/>
                <w:sz w:val="20"/>
                <w:szCs w:val="20"/>
              </w:rPr>
              <w:t>. 14</w:t>
            </w:r>
          </w:p>
        </w:tc>
        <w:tc>
          <w:tcPr>
            <w:tcW w:w="2074" w:type="dxa"/>
            <w:tcBorders>
              <w:right w:val="nil"/>
            </w:tcBorders>
            <w:vAlign w:val="top"/>
          </w:tcPr>
          <w:p w14:paraId="2E35E268">
            <w:pPr>
              <w:spacing w:before="79" w:line="195" w:lineRule="auto"/>
              <w:ind w:left="85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.69</w:t>
            </w:r>
          </w:p>
        </w:tc>
      </w:tr>
      <w:tr w14:paraId="6CF010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1479" w:type="dxa"/>
            <w:tcBorders>
              <w:left w:val="nil"/>
            </w:tcBorders>
            <w:vAlign w:val="top"/>
          </w:tcPr>
          <w:p w14:paraId="563A70AC">
            <w:pPr>
              <w:spacing w:before="49" w:line="224" w:lineRule="auto"/>
              <w:ind w:left="327"/>
              <w:rPr>
                <w:rFonts w:ascii="宋体" w:hAnsi="宋体" w:eastAsia="宋体" w:cs="宋体"/>
                <w:sz w:val="20"/>
                <w:szCs w:val="20"/>
              </w:rPr>
            </w:pPr>
            <w:r>
              <w:rPr>
                <w:rFonts w:ascii="宋体" w:hAnsi="宋体" w:eastAsia="宋体" w:cs="宋体"/>
                <w:spacing w:val="8"/>
                <w:sz w:val="20"/>
                <w:szCs w:val="20"/>
              </w:rPr>
              <w:t>排</w:t>
            </w:r>
            <w:r>
              <w:rPr>
                <w:rFonts w:ascii="宋体" w:hAnsi="宋体" w:eastAsia="宋体" w:cs="宋体"/>
                <w:spacing w:val="7"/>
                <w:sz w:val="20"/>
                <w:szCs w:val="20"/>
              </w:rPr>
              <w:t>放浓度</w:t>
            </w:r>
          </w:p>
        </w:tc>
        <w:tc>
          <w:tcPr>
            <w:tcW w:w="1477" w:type="dxa"/>
            <w:vAlign w:val="top"/>
          </w:tcPr>
          <w:p w14:paraId="51A4D108">
            <w:pPr>
              <w:spacing w:before="4" w:line="281" w:lineRule="exact"/>
              <w:ind w:left="459"/>
              <w:rPr>
                <w:rFonts w:ascii="Times New Roman" w:hAnsi="Times New Roman" w:eastAsia="Times New Roman" w:cs="Times New Roman"/>
                <w:sz w:val="13"/>
                <w:szCs w:val="13"/>
              </w:rPr>
            </w:pPr>
            <w:r>
              <w:rPr>
                <w:rFonts w:ascii="Times New Roman" w:hAnsi="Times New Roman" w:eastAsia="Times New Roman" w:cs="Times New Roman"/>
                <w:position w:val="3"/>
                <w:sz w:val="20"/>
                <w:szCs w:val="20"/>
              </w:rPr>
              <w:t>mg</w:t>
            </w:r>
            <w:r>
              <w:rPr>
                <w:rFonts w:ascii="Times New Roman" w:hAnsi="Times New Roman" w:eastAsia="Times New Roman" w:cs="Times New Roman"/>
                <w:spacing w:val="12"/>
                <w:position w:val="3"/>
                <w:sz w:val="20"/>
                <w:szCs w:val="20"/>
              </w:rPr>
              <w:t>/</w:t>
            </w:r>
            <w:r>
              <w:rPr>
                <w:rFonts w:ascii="Times New Roman" w:hAnsi="Times New Roman" w:eastAsia="Times New Roman" w:cs="Times New Roman"/>
                <w:position w:val="3"/>
                <w:sz w:val="20"/>
                <w:szCs w:val="20"/>
              </w:rPr>
              <w:t>m</w:t>
            </w:r>
            <w:r>
              <w:rPr>
                <w:rFonts w:ascii="Times New Roman" w:hAnsi="Times New Roman" w:eastAsia="Times New Roman" w:cs="Times New Roman"/>
                <w:spacing w:val="12"/>
                <w:position w:val="9"/>
                <w:sz w:val="13"/>
                <w:szCs w:val="13"/>
              </w:rPr>
              <w:t>3</w:t>
            </w:r>
          </w:p>
        </w:tc>
        <w:tc>
          <w:tcPr>
            <w:tcW w:w="1827" w:type="dxa"/>
            <w:vAlign w:val="top"/>
          </w:tcPr>
          <w:p w14:paraId="45D1E6E3">
            <w:pPr>
              <w:spacing w:before="78" w:line="195" w:lineRule="auto"/>
              <w:ind w:left="882"/>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479" w:type="dxa"/>
            <w:vAlign w:val="top"/>
          </w:tcPr>
          <w:p w14:paraId="10D5F5C0">
            <w:pPr>
              <w:spacing w:before="78" w:line="195" w:lineRule="auto"/>
              <w:ind w:left="60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190</w:t>
            </w:r>
          </w:p>
        </w:tc>
        <w:tc>
          <w:tcPr>
            <w:tcW w:w="2074" w:type="dxa"/>
            <w:tcBorders>
              <w:right w:val="nil"/>
            </w:tcBorders>
            <w:vAlign w:val="top"/>
          </w:tcPr>
          <w:p w14:paraId="323D8DD5">
            <w:pPr>
              <w:spacing w:before="78" w:line="195" w:lineRule="auto"/>
              <w:ind w:left="90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5"/>
                <w:sz w:val="20"/>
                <w:szCs w:val="20"/>
              </w:rPr>
              <w:t>15</w:t>
            </w:r>
          </w:p>
        </w:tc>
      </w:tr>
      <w:tr w14:paraId="6EF7AC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1479" w:type="dxa"/>
            <w:tcBorders>
              <w:left w:val="nil"/>
            </w:tcBorders>
            <w:vAlign w:val="top"/>
          </w:tcPr>
          <w:p w14:paraId="2BBB6A3B">
            <w:pPr>
              <w:spacing w:before="50" w:line="223" w:lineRule="auto"/>
              <w:ind w:left="222"/>
              <w:rPr>
                <w:rFonts w:ascii="宋体" w:hAnsi="宋体" w:eastAsia="宋体" w:cs="宋体"/>
                <w:sz w:val="20"/>
                <w:szCs w:val="20"/>
              </w:rPr>
            </w:pPr>
            <w:r>
              <w:rPr>
                <w:rFonts w:ascii="宋体" w:hAnsi="宋体" w:eastAsia="宋体" w:cs="宋体"/>
                <w:spacing w:val="8"/>
                <w:sz w:val="20"/>
                <w:szCs w:val="20"/>
              </w:rPr>
              <w:t>排放烟气量</w:t>
            </w:r>
          </w:p>
        </w:tc>
        <w:tc>
          <w:tcPr>
            <w:tcW w:w="1477" w:type="dxa"/>
            <w:vAlign w:val="top"/>
          </w:tcPr>
          <w:p w14:paraId="00B21CFF">
            <w:pPr>
              <w:spacing w:before="5" w:line="281" w:lineRule="exact"/>
              <w:ind w:left="539"/>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m</w:t>
            </w:r>
            <w:r>
              <w:rPr>
                <w:rFonts w:ascii="Times New Roman" w:hAnsi="Times New Roman" w:eastAsia="Times New Roman" w:cs="Times New Roman"/>
                <w:spacing w:val="9"/>
                <w:position w:val="7"/>
                <w:sz w:val="13"/>
                <w:szCs w:val="13"/>
              </w:rPr>
              <w:t>3</w:t>
            </w:r>
            <w:r>
              <w:rPr>
                <w:rFonts w:ascii="Times New Roman" w:hAnsi="Times New Roman" w:eastAsia="Times New Roman" w:cs="Times New Roman"/>
                <w:spacing w:val="8"/>
                <w:position w:val="1"/>
                <w:sz w:val="20"/>
                <w:szCs w:val="20"/>
              </w:rPr>
              <w:t>/</w:t>
            </w:r>
            <w:r>
              <w:rPr>
                <w:rFonts w:ascii="Times New Roman" w:hAnsi="Times New Roman" w:eastAsia="Times New Roman" w:cs="Times New Roman"/>
                <w:position w:val="1"/>
                <w:sz w:val="20"/>
                <w:szCs w:val="20"/>
              </w:rPr>
              <w:t>h</w:t>
            </w:r>
          </w:p>
        </w:tc>
        <w:tc>
          <w:tcPr>
            <w:tcW w:w="5380" w:type="dxa"/>
            <w:gridSpan w:val="3"/>
            <w:tcBorders>
              <w:right w:val="nil"/>
            </w:tcBorders>
            <w:vAlign w:val="top"/>
          </w:tcPr>
          <w:p w14:paraId="7AC93E03">
            <w:pPr>
              <w:spacing w:before="78" w:line="195" w:lineRule="auto"/>
              <w:ind w:left="248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3</w:t>
            </w:r>
            <w:r>
              <w:rPr>
                <w:rFonts w:ascii="Times New Roman" w:hAnsi="Times New Roman" w:eastAsia="Times New Roman" w:cs="Times New Roman"/>
                <w:spacing w:val="2"/>
                <w:sz w:val="20"/>
                <w:szCs w:val="20"/>
              </w:rPr>
              <w:t>333</w:t>
            </w:r>
          </w:p>
        </w:tc>
      </w:tr>
      <w:tr w14:paraId="6186DD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479" w:type="dxa"/>
            <w:tcBorders>
              <w:left w:val="nil"/>
            </w:tcBorders>
            <w:vAlign w:val="top"/>
          </w:tcPr>
          <w:p w14:paraId="4EDCC5F5">
            <w:pPr>
              <w:spacing w:before="50" w:line="228" w:lineRule="auto"/>
              <w:ind w:left="328"/>
              <w:rPr>
                <w:rFonts w:ascii="宋体" w:hAnsi="宋体" w:eastAsia="宋体" w:cs="宋体"/>
                <w:sz w:val="20"/>
                <w:szCs w:val="20"/>
              </w:rPr>
            </w:pPr>
            <w:r>
              <w:rPr>
                <w:rFonts w:ascii="宋体" w:hAnsi="宋体" w:eastAsia="宋体" w:cs="宋体"/>
                <w:spacing w:val="7"/>
                <w:sz w:val="20"/>
                <w:szCs w:val="20"/>
              </w:rPr>
              <w:t>标准限值</w:t>
            </w:r>
          </w:p>
        </w:tc>
        <w:tc>
          <w:tcPr>
            <w:tcW w:w="1477" w:type="dxa"/>
            <w:vAlign w:val="top"/>
          </w:tcPr>
          <w:p w14:paraId="6CF3E6BC">
            <w:pPr>
              <w:spacing w:before="6" w:line="281" w:lineRule="exact"/>
              <w:ind w:left="459"/>
              <w:rPr>
                <w:rFonts w:ascii="Times New Roman" w:hAnsi="Times New Roman" w:eastAsia="Times New Roman" w:cs="Times New Roman"/>
                <w:sz w:val="13"/>
                <w:szCs w:val="13"/>
              </w:rPr>
            </w:pPr>
            <w:r>
              <w:rPr>
                <w:rFonts w:ascii="Times New Roman" w:hAnsi="Times New Roman" w:eastAsia="Times New Roman" w:cs="Times New Roman"/>
                <w:position w:val="3"/>
                <w:sz w:val="20"/>
                <w:szCs w:val="20"/>
              </w:rPr>
              <w:t>mg</w:t>
            </w:r>
            <w:r>
              <w:rPr>
                <w:rFonts w:ascii="Times New Roman" w:hAnsi="Times New Roman" w:eastAsia="Times New Roman" w:cs="Times New Roman"/>
                <w:spacing w:val="12"/>
                <w:position w:val="3"/>
                <w:sz w:val="20"/>
                <w:szCs w:val="20"/>
              </w:rPr>
              <w:t>/</w:t>
            </w:r>
            <w:r>
              <w:rPr>
                <w:rFonts w:ascii="Times New Roman" w:hAnsi="Times New Roman" w:eastAsia="Times New Roman" w:cs="Times New Roman"/>
                <w:position w:val="3"/>
                <w:sz w:val="20"/>
                <w:szCs w:val="20"/>
              </w:rPr>
              <w:t>m</w:t>
            </w:r>
            <w:r>
              <w:rPr>
                <w:rFonts w:ascii="Times New Roman" w:hAnsi="Times New Roman" w:eastAsia="Times New Roman" w:cs="Times New Roman"/>
                <w:spacing w:val="12"/>
                <w:position w:val="9"/>
                <w:sz w:val="13"/>
                <w:szCs w:val="13"/>
              </w:rPr>
              <w:t>3</w:t>
            </w:r>
          </w:p>
        </w:tc>
        <w:tc>
          <w:tcPr>
            <w:tcW w:w="1827" w:type="dxa"/>
            <w:vAlign w:val="top"/>
          </w:tcPr>
          <w:p w14:paraId="6CF73615">
            <w:pPr>
              <w:spacing w:before="79" w:line="195" w:lineRule="auto"/>
              <w:ind w:left="81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0</w:t>
            </w:r>
          </w:p>
        </w:tc>
        <w:tc>
          <w:tcPr>
            <w:tcW w:w="1479" w:type="dxa"/>
            <w:vAlign w:val="top"/>
          </w:tcPr>
          <w:p w14:paraId="72DD5D7F">
            <w:pPr>
              <w:spacing w:before="79" w:line="195" w:lineRule="auto"/>
              <w:ind w:left="58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00</w:t>
            </w:r>
          </w:p>
        </w:tc>
        <w:tc>
          <w:tcPr>
            <w:tcW w:w="2074" w:type="dxa"/>
            <w:tcBorders>
              <w:right w:val="nil"/>
            </w:tcBorders>
            <w:vAlign w:val="top"/>
          </w:tcPr>
          <w:p w14:paraId="1F57CB4C">
            <w:pPr>
              <w:spacing w:before="79" w:line="195" w:lineRule="auto"/>
              <w:ind w:left="880"/>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00</w:t>
            </w:r>
          </w:p>
        </w:tc>
      </w:tr>
    </w:tbl>
    <w:p w14:paraId="0DBA5319">
      <w:pPr>
        <w:spacing w:line="259" w:lineRule="auto"/>
        <w:rPr>
          <w:rFonts w:ascii="Arial"/>
          <w:sz w:val="21"/>
        </w:rPr>
      </w:pPr>
    </w:p>
    <w:p w14:paraId="33182AB2">
      <w:pPr>
        <w:spacing w:before="75" w:line="383" w:lineRule="auto"/>
        <w:ind w:left="25" w:right="5" w:firstLine="508"/>
        <w:rPr>
          <w:rFonts w:ascii="宋体" w:hAnsi="宋体" w:eastAsia="宋体" w:cs="宋体"/>
          <w:sz w:val="23"/>
          <w:szCs w:val="23"/>
        </w:rPr>
      </w:pPr>
      <w:r>
        <w:rPr>
          <w:rFonts w:ascii="宋体" w:hAnsi="宋体" w:eastAsia="宋体" w:cs="宋体"/>
          <w:spacing w:val="6"/>
          <w:sz w:val="23"/>
          <w:szCs w:val="23"/>
        </w:rPr>
        <w:t xml:space="preserve">由表 </w:t>
      </w:r>
      <w:r>
        <w:rPr>
          <w:rFonts w:ascii="Times New Roman" w:hAnsi="Times New Roman" w:eastAsia="Times New Roman" w:cs="Times New Roman"/>
          <w:spacing w:val="6"/>
          <w:sz w:val="23"/>
          <w:szCs w:val="23"/>
        </w:rPr>
        <w:t>3- 1</w:t>
      </w:r>
      <w:r>
        <w:rPr>
          <w:rFonts w:ascii="Times New Roman" w:hAnsi="Times New Roman" w:eastAsia="Times New Roman" w:cs="Times New Roman"/>
          <w:spacing w:val="3"/>
          <w:sz w:val="23"/>
          <w:szCs w:val="23"/>
        </w:rPr>
        <w:t xml:space="preserve">7 </w:t>
      </w:r>
      <w:r>
        <w:rPr>
          <w:rFonts w:ascii="宋体" w:hAnsi="宋体" w:eastAsia="宋体" w:cs="宋体"/>
          <w:spacing w:val="3"/>
          <w:sz w:val="23"/>
          <w:szCs w:val="23"/>
        </w:rPr>
        <w:t>可见，主要污染物烟尘、</w:t>
      </w:r>
      <w:r>
        <w:rPr>
          <w:rFonts w:ascii="Times New Roman" w:hAnsi="Times New Roman" w:eastAsia="Times New Roman" w:cs="Times New Roman"/>
          <w:sz w:val="23"/>
          <w:szCs w:val="23"/>
        </w:rPr>
        <w:t>NOx</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 xml:space="preserve">和 </w:t>
      </w:r>
      <w:r>
        <w:rPr>
          <w:rFonts w:ascii="Times New Roman" w:hAnsi="Times New Roman" w:eastAsia="Times New Roman" w:cs="Times New Roman"/>
          <w:sz w:val="23"/>
          <w:szCs w:val="23"/>
        </w:rPr>
        <w:t>SO</w:t>
      </w:r>
      <w:r>
        <w:rPr>
          <w:rFonts w:ascii="Times New Roman" w:hAnsi="Times New Roman" w:eastAsia="Times New Roman" w:cs="Times New Roman"/>
          <w:spacing w:val="3"/>
          <w:position w:val="-1"/>
          <w:sz w:val="15"/>
          <w:szCs w:val="15"/>
        </w:rPr>
        <w:t xml:space="preserve">2 </w:t>
      </w:r>
      <w:r>
        <w:rPr>
          <w:rFonts w:ascii="宋体" w:hAnsi="宋体" w:eastAsia="宋体" w:cs="宋体"/>
          <w:spacing w:val="3"/>
          <w:sz w:val="23"/>
          <w:szCs w:val="23"/>
        </w:rPr>
        <w:t>排放浓度可以达到《锅炉大</w:t>
      </w:r>
      <w:r>
        <w:rPr>
          <w:rFonts w:ascii="宋体" w:hAnsi="宋体" w:eastAsia="宋体" w:cs="宋体"/>
          <w:sz w:val="23"/>
          <w:szCs w:val="23"/>
        </w:rPr>
        <w:t xml:space="preserve"> </w:t>
      </w:r>
      <w:r>
        <w:rPr>
          <w:rFonts w:ascii="宋体" w:hAnsi="宋体" w:eastAsia="宋体" w:cs="宋体"/>
          <w:spacing w:val="2"/>
          <w:sz w:val="23"/>
          <w:szCs w:val="23"/>
        </w:rPr>
        <w:t>气污染物排放标准》  (</w:t>
      </w:r>
      <w:r>
        <w:rPr>
          <w:rFonts w:ascii="Times New Roman" w:hAnsi="Times New Roman" w:eastAsia="Times New Roman" w:cs="Times New Roman"/>
          <w:sz w:val="23"/>
          <w:szCs w:val="23"/>
        </w:rPr>
        <w:t>GB</w:t>
      </w:r>
      <w:r>
        <w:rPr>
          <w:rFonts w:ascii="Times New Roman" w:hAnsi="Times New Roman" w:eastAsia="Times New Roman" w:cs="Times New Roman"/>
          <w:spacing w:val="2"/>
          <w:sz w:val="23"/>
          <w:szCs w:val="23"/>
        </w:rPr>
        <w:t>13271-2</w:t>
      </w:r>
      <w:r>
        <w:rPr>
          <w:rFonts w:ascii="Times New Roman" w:hAnsi="Times New Roman" w:eastAsia="Times New Roman" w:cs="Times New Roman"/>
          <w:spacing w:val="1"/>
          <w:sz w:val="23"/>
          <w:szCs w:val="23"/>
        </w:rPr>
        <w:t>014</w:t>
      </w:r>
      <w:r>
        <w:rPr>
          <w:rFonts w:ascii="宋体" w:hAnsi="宋体" w:eastAsia="宋体" w:cs="宋体"/>
          <w:spacing w:val="1"/>
          <w:sz w:val="23"/>
          <w:szCs w:val="23"/>
        </w:rPr>
        <w:t xml:space="preserve">) 表 </w:t>
      </w:r>
      <w:r>
        <w:rPr>
          <w:rFonts w:ascii="Times New Roman" w:hAnsi="Times New Roman" w:eastAsia="Times New Roman" w:cs="Times New Roman"/>
          <w:spacing w:val="1"/>
          <w:sz w:val="23"/>
          <w:szCs w:val="23"/>
        </w:rPr>
        <w:t xml:space="preserve">3 </w:t>
      </w:r>
      <w:r>
        <w:rPr>
          <w:rFonts w:ascii="宋体" w:hAnsi="宋体" w:eastAsia="宋体" w:cs="宋体"/>
          <w:spacing w:val="1"/>
          <w:sz w:val="23"/>
          <w:szCs w:val="23"/>
        </w:rPr>
        <w:t>标准要求 (颗粒物：</w:t>
      </w:r>
      <w:r>
        <w:rPr>
          <w:rFonts w:ascii="Times New Roman" w:hAnsi="Times New Roman" w:eastAsia="Times New Roman" w:cs="Times New Roman"/>
          <w:spacing w:val="1"/>
          <w:sz w:val="23"/>
          <w:szCs w:val="23"/>
        </w:rPr>
        <w:t>30</w:t>
      </w:r>
      <w:r>
        <w:rPr>
          <w:rFonts w:ascii="Times New Roman" w:hAnsi="Times New Roman" w:eastAsia="Times New Roman" w:cs="Times New Roman"/>
          <w:sz w:val="23"/>
          <w:szCs w:val="23"/>
        </w:rPr>
        <w:t>mg</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m</w:t>
      </w:r>
      <w:r>
        <w:rPr>
          <w:rFonts w:ascii="Times New Roman" w:hAnsi="Times New Roman" w:eastAsia="Times New Roman" w:cs="Times New Roman"/>
          <w:spacing w:val="1"/>
          <w:position w:val="8"/>
          <w:sz w:val="15"/>
          <w:szCs w:val="15"/>
        </w:rPr>
        <w:t xml:space="preserve">3 </w:t>
      </w:r>
      <w:r>
        <w:rPr>
          <w:rFonts w:ascii="宋体" w:hAnsi="宋体" w:eastAsia="宋体" w:cs="宋体"/>
          <w:spacing w:val="1"/>
          <w:sz w:val="23"/>
          <w:szCs w:val="23"/>
        </w:rPr>
        <w:t>，氮氧</w:t>
      </w:r>
      <w:r>
        <w:rPr>
          <w:rFonts w:ascii="宋体" w:hAnsi="宋体" w:eastAsia="宋体" w:cs="宋体"/>
          <w:sz w:val="23"/>
          <w:szCs w:val="23"/>
        </w:rPr>
        <w:t xml:space="preserve"> </w:t>
      </w:r>
      <w:r>
        <w:rPr>
          <w:rFonts w:ascii="宋体" w:hAnsi="宋体" w:eastAsia="宋体" w:cs="宋体"/>
          <w:spacing w:val="4"/>
          <w:sz w:val="23"/>
          <w:szCs w:val="23"/>
        </w:rPr>
        <w:t>化物：</w:t>
      </w:r>
      <w:r>
        <w:rPr>
          <w:rFonts w:ascii="Times New Roman" w:hAnsi="Times New Roman" w:eastAsia="Times New Roman" w:cs="Times New Roman"/>
          <w:spacing w:val="4"/>
          <w:sz w:val="23"/>
          <w:szCs w:val="23"/>
        </w:rPr>
        <w:t>20</w:t>
      </w:r>
      <w:r>
        <w:rPr>
          <w:rFonts w:ascii="Times New Roman" w:hAnsi="Times New Roman" w:eastAsia="Times New Roman" w:cs="Times New Roman"/>
          <w:spacing w:val="2"/>
          <w:sz w:val="23"/>
          <w:szCs w:val="23"/>
        </w:rPr>
        <w:t>0</w:t>
      </w:r>
      <w:r>
        <w:rPr>
          <w:rFonts w:ascii="Times New Roman" w:hAnsi="Times New Roman" w:eastAsia="Times New Roman" w:cs="Times New Roman"/>
          <w:sz w:val="23"/>
          <w:szCs w:val="23"/>
        </w:rPr>
        <w:t>mg</w:t>
      </w:r>
      <w:r>
        <w:rPr>
          <w:rFonts w:ascii="Times New Roman" w:hAnsi="Times New Roman" w:eastAsia="Times New Roman" w:cs="Times New Roman"/>
          <w:spacing w:val="2"/>
          <w:sz w:val="23"/>
          <w:szCs w:val="23"/>
        </w:rPr>
        <w:t>/</w:t>
      </w:r>
      <w:r>
        <w:rPr>
          <w:rFonts w:ascii="Times New Roman" w:hAnsi="Times New Roman" w:eastAsia="Times New Roman" w:cs="Times New Roman"/>
          <w:sz w:val="23"/>
          <w:szCs w:val="23"/>
        </w:rPr>
        <w:t>m</w:t>
      </w:r>
      <w:r>
        <w:rPr>
          <w:rFonts w:ascii="Times New Roman" w:hAnsi="Times New Roman" w:eastAsia="Times New Roman" w:cs="Times New Roman"/>
          <w:spacing w:val="2"/>
          <w:position w:val="8"/>
          <w:sz w:val="15"/>
          <w:szCs w:val="15"/>
        </w:rPr>
        <w:t xml:space="preserve">3 </w:t>
      </w:r>
      <w:r>
        <w:rPr>
          <w:rFonts w:ascii="宋体" w:hAnsi="宋体" w:eastAsia="宋体" w:cs="宋体"/>
          <w:spacing w:val="2"/>
          <w:sz w:val="23"/>
          <w:szCs w:val="23"/>
        </w:rPr>
        <w:t>，</w:t>
      </w:r>
      <w:r>
        <w:rPr>
          <w:rFonts w:ascii="Times New Roman" w:hAnsi="Times New Roman" w:eastAsia="Times New Roman" w:cs="Times New Roman"/>
          <w:sz w:val="23"/>
          <w:szCs w:val="23"/>
        </w:rPr>
        <w:t>SO</w:t>
      </w:r>
      <w:r>
        <w:rPr>
          <w:rFonts w:ascii="Times New Roman" w:hAnsi="Times New Roman" w:eastAsia="Times New Roman" w:cs="Times New Roman"/>
          <w:spacing w:val="2"/>
          <w:position w:val="-1"/>
          <w:sz w:val="15"/>
          <w:szCs w:val="15"/>
        </w:rPr>
        <w:t xml:space="preserve">2 </w:t>
      </w:r>
      <w:r>
        <w:rPr>
          <w:rFonts w:ascii="宋体" w:hAnsi="宋体" w:eastAsia="宋体" w:cs="宋体"/>
          <w:spacing w:val="2"/>
          <w:sz w:val="23"/>
          <w:szCs w:val="23"/>
        </w:rPr>
        <w:t>：</w:t>
      </w:r>
      <w:r>
        <w:rPr>
          <w:rFonts w:ascii="Times New Roman" w:hAnsi="Times New Roman" w:eastAsia="Times New Roman" w:cs="Times New Roman"/>
          <w:spacing w:val="2"/>
          <w:sz w:val="23"/>
          <w:szCs w:val="23"/>
        </w:rPr>
        <w:t>200</w:t>
      </w:r>
      <w:r>
        <w:rPr>
          <w:rFonts w:ascii="Times New Roman" w:hAnsi="Times New Roman" w:eastAsia="Times New Roman" w:cs="Times New Roman"/>
          <w:sz w:val="23"/>
          <w:szCs w:val="23"/>
        </w:rPr>
        <w:t>mg</w:t>
      </w:r>
      <w:r>
        <w:rPr>
          <w:rFonts w:ascii="Times New Roman" w:hAnsi="Times New Roman" w:eastAsia="Times New Roman" w:cs="Times New Roman"/>
          <w:spacing w:val="2"/>
          <w:sz w:val="23"/>
          <w:szCs w:val="23"/>
        </w:rPr>
        <w:t>/</w:t>
      </w:r>
      <w:r>
        <w:rPr>
          <w:rFonts w:ascii="Times New Roman" w:hAnsi="Times New Roman" w:eastAsia="Times New Roman" w:cs="Times New Roman"/>
          <w:sz w:val="23"/>
          <w:szCs w:val="23"/>
        </w:rPr>
        <w:t>m</w:t>
      </w:r>
      <w:r>
        <w:rPr>
          <w:rFonts w:ascii="Times New Roman" w:hAnsi="Times New Roman" w:eastAsia="Times New Roman" w:cs="Times New Roman"/>
          <w:spacing w:val="2"/>
          <w:position w:val="8"/>
          <w:sz w:val="15"/>
          <w:szCs w:val="15"/>
        </w:rPr>
        <w:t xml:space="preserve">3 </w:t>
      </w:r>
      <w:r>
        <w:rPr>
          <w:rFonts w:ascii="宋体" w:hAnsi="宋体" w:eastAsia="宋体" w:cs="宋体"/>
          <w:spacing w:val="2"/>
          <w:sz w:val="23"/>
          <w:szCs w:val="23"/>
        </w:rPr>
        <w:t xml:space="preserve">) ，热风炉设计烟囱高度最低为 </w:t>
      </w:r>
      <w:r>
        <w:rPr>
          <w:rFonts w:ascii="Times New Roman" w:hAnsi="Times New Roman" w:eastAsia="Times New Roman" w:cs="Times New Roman"/>
          <w:spacing w:val="2"/>
          <w:sz w:val="23"/>
          <w:szCs w:val="23"/>
        </w:rPr>
        <w:t>30</w:t>
      </w:r>
      <w:r>
        <w:rPr>
          <w:rFonts w:ascii="Times New Roman" w:hAnsi="Times New Roman" w:eastAsia="Times New Roman" w:cs="Times New Roman"/>
          <w:sz w:val="23"/>
          <w:szCs w:val="23"/>
        </w:rPr>
        <w:t>m</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(新建锅</w:t>
      </w:r>
      <w:r>
        <w:rPr>
          <w:rFonts w:ascii="宋体" w:hAnsi="宋体" w:eastAsia="宋体" w:cs="宋体"/>
          <w:sz w:val="23"/>
          <w:szCs w:val="23"/>
        </w:rPr>
        <w:t xml:space="preserve"> </w:t>
      </w:r>
      <w:r>
        <w:rPr>
          <w:rFonts w:ascii="宋体" w:hAnsi="宋体" w:eastAsia="宋体" w:cs="宋体"/>
          <w:spacing w:val="8"/>
          <w:sz w:val="23"/>
          <w:szCs w:val="23"/>
        </w:rPr>
        <w:t xml:space="preserve">炉房的烟囱周围半径 </w:t>
      </w:r>
      <w:r>
        <w:rPr>
          <w:rFonts w:ascii="Times New Roman" w:hAnsi="Times New Roman" w:eastAsia="Times New Roman" w:cs="Times New Roman"/>
          <w:spacing w:val="8"/>
          <w:sz w:val="23"/>
          <w:szCs w:val="23"/>
        </w:rPr>
        <w:t>200</w:t>
      </w:r>
      <w:r>
        <w:rPr>
          <w:rFonts w:ascii="Times New Roman" w:hAnsi="Times New Roman" w:eastAsia="Times New Roman" w:cs="Times New Roman"/>
          <w:sz w:val="23"/>
          <w:szCs w:val="23"/>
        </w:rPr>
        <w:t>m</w:t>
      </w:r>
      <w:r>
        <w:rPr>
          <w:rFonts w:ascii="宋体" w:hAnsi="宋体" w:eastAsia="宋体" w:cs="宋体"/>
          <w:spacing w:val="8"/>
          <w:sz w:val="23"/>
          <w:szCs w:val="23"/>
        </w:rPr>
        <w:t xml:space="preserve">距离内有建筑物时，其烟囱应高出最高建筑物 </w:t>
      </w:r>
      <w:r>
        <w:rPr>
          <w:rFonts w:ascii="Times New Roman" w:hAnsi="Times New Roman" w:eastAsia="Times New Roman" w:cs="Times New Roman"/>
          <w:spacing w:val="8"/>
          <w:sz w:val="23"/>
          <w:szCs w:val="23"/>
        </w:rPr>
        <w:t>3</w:t>
      </w:r>
      <w:r>
        <w:rPr>
          <w:rFonts w:ascii="Times New Roman" w:hAnsi="Times New Roman" w:eastAsia="Times New Roman" w:cs="Times New Roman"/>
          <w:sz w:val="23"/>
          <w:szCs w:val="23"/>
        </w:rPr>
        <w:t>m</w:t>
      </w:r>
      <w:r>
        <w:rPr>
          <w:rFonts w:ascii="Times New Roman" w:hAnsi="Times New Roman" w:eastAsia="Times New Roman" w:cs="Times New Roman"/>
          <w:spacing w:val="8"/>
          <w:sz w:val="23"/>
          <w:szCs w:val="23"/>
        </w:rPr>
        <w:t xml:space="preserve"> </w:t>
      </w:r>
      <w:r>
        <w:rPr>
          <w:rFonts w:ascii="宋体" w:hAnsi="宋体" w:eastAsia="宋体" w:cs="宋体"/>
          <w:spacing w:val="2"/>
          <w:sz w:val="23"/>
          <w:szCs w:val="23"/>
        </w:rPr>
        <w:t>以</w:t>
      </w:r>
      <w:r>
        <w:rPr>
          <w:rFonts w:ascii="宋体" w:hAnsi="宋体" w:eastAsia="宋体" w:cs="宋体"/>
          <w:sz w:val="23"/>
          <w:szCs w:val="23"/>
        </w:rPr>
        <w:t xml:space="preserve"> </w:t>
      </w:r>
      <w:r>
        <w:rPr>
          <w:rFonts w:ascii="宋体" w:hAnsi="宋体" w:eastAsia="宋体" w:cs="宋体"/>
          <w:spacing w:val="9"/>
          <w:sz w:val="23"/>
          <w:szCs w:val="23"/>
        </w:rPr>
        <w:t>上</w:t>
      </w:r>
      <w:r>
        <w:rPr>
          <w:rFonts w:ascii="宋体" w:hAnsi="宋体" w:eastAsia="宋体" w:cs="宋体"/>
          <w:spacing w:val="7"/>
          <w:sz w:val="23"/>
          <w:szCs w:val="23"/>
        </w:rPr>
        <w:t>) ，实现达标排放。</w:t>
      </w:r>
    </w:p>
    <w:p w14:paraId="19C4AD14">
      <w:pPr>
        <w:spacing w:before="171" w:line="227" w:lineRule="auto"/>
        <w:ind w:left="515"/>
        <w:rPr>
          <w:rFonts w:ascii="宋体" w:hAnsi="宋体" w:eastAsia="宋体" w:cs="宋体"/>
          <w:sz w:val="23"/>
          <w:szCs w:val="23"/>
        </w:rPr>
      </w:pPr>
      <w:r>
        <w:rPr>
          <w:rFonts w:ascii="宋体" w:hAnsi="宋体" w:eastAsia="宋体" w:cs="宋体"/>
          <w:spacing w:val="23"/>
          <w:sz w:val="23"/>
          <w:szCs w:val="23"/>
        </w:rPr>
        <w:t>(</w:t>
      </w:r>
      <w:r>
        <w:rPr>
          <w:rFonts w:ascii="Times New Roman" w:hAnsi="Times New Roman" w:eastAsia="Times New Roman" w:cs="Times New Roman"/>
          <w:spacing w:val="16"/>
          <w:sz w:val="23"/>
          <w:szCs w:val="23"/>
        </w:rPr>
        <w:t>2</w:t>
      </w:r>
      <w:r>
        <w:rPr>
          <w:rFonts w:ascii="宋体" w:hAnsi="宋体" w:eastAsia="宋体" w:cs="宋体"/>
          <w:spacing w:val="16"/>
          <w:sz w:val="23"/>
          <w:szCs w:val="23"/>
        </w:rPr>
        <w:t>) 水污染物排放分析</w:t>
      </w:r>
    </w:p>
    <w:p w14:paraId="06C683E7">
      <w:pPr>
        <w:spacing w:line="277" w:lineRule="auto"/>
        <w:rPr>
          <w:rFonts w:ascii="Arial"/>
          <w:sz w:val="21"/>
        </w:rPr>
      </w:pPr>
    </w:p>
    <w:p w14:paraId="6D8BCF69">
      <w:pPr>
        <w:spacing w:before="75" w:line="390" w:lineRule="auto"/>
        <w:ind w:left="23" w:right="12" w:firstLine="484"/>
        <w:rPr>
          <w:rFonts w:ascii="宋体" w:hAnsi="宋体" w:eastAsia="宋体" w:cs="宋体"/>
          <w:sz w:val="23"/>
          <w:szCs w:val="23"/>
        </w:rPr>
      </w:pPr>
      <w:r>
        <w:rPr>
          <w:rFonts w:ascii="宋体" w:hAnsi="宋体" w:eastAsia="宋体" w:cs="宋体"/>
          <w:spacing w:val="12"/>
          <w:sz w:val="23"/>
          <w:szCs w:val="23"/>
        </w:rPr>
        <w:t>该项目用</w:t>
      </w:r>
      <w:r>
        <w:rPr>
          <w:rFonts w:ascii="宋体" w:hAnsi="宋体" w:eastAsia="宋体" w:cs="宋体"/>
          <w:spacing w:val="7"/>
          <w:sz w:val="23"/>
          <w:szCs w:val="23"/>
        </w:rPr>
        <w:t>水</w:t>
      </w:r>
      <w:r>
        <w:rPr>
          <w:rFonts w:ascii="宋体" w:hAnsi="宋体" w:eastAsia="宋体" w:cs="宋体"/>
          <w:spacing w:val="6"/>
          <w:sz w:val="23"/>
          <w:szCs w:val="23"/>
        </w:rPr>
        <w:t>主要用水为生活用水以及生产用水，其中生产用水包括破碎工序</w:t>
      </w:r>
      <w:r>
        <w:rPr>
          <w:rFonts w:ascii="宋体" w:hAnsi="宋体" w:eastAsia="宋体" w:cs="宋体"/>
          <w:sz w:val="23"/>
          <w:szCs w:val="23"/>
        </w:rPr>
        <w:t xml:space="preserve"> </w:t>
      </w:r>
      <w:r>
        <w:rPr>
          <w:rFonts w:ascii="宋体" w:hAnsi="宋体" w:eastAsia="宋体" w:cs="宋体"/>
          <w:spacing w:val="9"/>
          <w:sz w:val="23"/>
          <w:szCs w:val="23"/>
        </w:rPr>
        <w:t>用</w:t>
      </w:r>
      <w:r>
        <w:rPr>
          <w:rFonts w:ascii="宋体" w:hAnsi="宋体" w:eastAsia="宋体" w:cs="宋体"/>
          <w:spacing w:val="7"/>
          <w:sz w:val="23"/>
          <w:szCs w:val="23"/>
        </w:rPr>
        <w:t>水、原料原料初洗工序用水、洗字工序用水、二次清洗工序用水以及循环冷却</w:t>
      </w:r>
      <w:r>
        <w:rPr>
          <w:rFonts w:ascii="宋体" w:hAnsi="宋体" w:eastAsia="宋体" w:cs="宋体"/>
          <w:sz w:val="23"/>
          <w:szCs w:val="23"/>
        </w:rPr>
        <w:t xml:space="preserve"> </w:t>
      </w:r>
      <w:r>
        <w:rPr>
          <w:rFonts w:ascii="宋体" w:hAnsi="宋体" w:eastAsia="宋体" w:cs="宋体"/>
          <w:spacing w:val="8"/>
          <w:sz w:val="23"/>
          <w:szCs w:val="23"/>
        </w:rPr>
        <w:t>水。该项目</w:t>
      </w:r>
      <w:r>
        <w:rPr>
          <w:rFonts w:ascii="宋体" w:hAnsi="宋体" w:eastAsia="宋体" w:cs="宋体"/>
          <w:spacing w:val="7"/>
          <w:sz w:val="23"/>
          <w:szCs w:val="23"/>
        </w:rPr>
        <w:t>新</w:t>
      </w:r>
      <w:r>
        <w:rPr>
          <w:rFonts w:ascii="宋体" w:hAnsi="宋体" w:eastAsia="宋体" w:cs="宋体"/>
          <w:spacing w:val="4"/>
          <w:sz w:val="23"/>
          <w:szCs w:val="23"/>
        </w:rPr>
        <w:t xml:space="preserve">鲜水总用量为 </w:t>
      </w:r>
      <w:r>
        <w:rPr>
          <w:rFonts w:ascii="Times New Roman" w:hAnsi="Times New Roman" w:eastAsia="Times New Roman" w:cs="Times New Roman"/>
          <w:spacing w:val="4"/>
          <w:sz w:val="23"/>
          <w:szCs w:val="23"/>
        </w:rPr>
        <w:t>3732</w:t>
      </w:r>
      <w:r>
        <w:rPr>
          <w:rFonts w:ascii="Times New Roman" w:hAnsi="Times New Roman" w:eastAsia="Times New Roman" w:cs="Times New Roman"/>
          <w:sz w:val="23"/>
          <w:szCs w:val="23"/>
        </w:rPr>
        <w:t>m</w:t>
      </w:r>
      <w:r>
        <w:rPr>
          <w:rFonts w:ascii="Times New Roman" w:hAnsi="Times New Roman" w:eastAsia="Times New Roman" w:cs="Times New Roman"/>
          <w:spacing w:val="4"/>
          <w:position w:val="8"/>
          <w:sz w:val="15"/>
          <w:szCs w:val="15"/>
        </w:rPr>
        <w:t>3</w:t>
      </w:r>
      <w:r>
        <w:rPr>
          <w:rFonts w:ascii="Times New Roman" w:hAnsi="Times New Roman" w:eastAsia="Times New Roman" w:cs="Times New Roman"/>
          <w:spacing w:val="4"/>
          <w:sz w:val="23"/>
          <w:szCs w:val="23"/>
        </w:rPr>
        <w:t>/</w:t>
      </w:r>
      <w:r>
        <w:rPr>
          <w:rFonts w:ascii="Times New Roman" w:hAnsi="Times New Roman" w:eastAsia="Times New Roman" w:cs="Times New Roman"/>
          <w:sz w:val="23"/>
          <w:szCs w:val="23"/>
        </w:rPr>
        <w:t>a</w:t>
      </w:r>
      <w:r>
        <w:rPr>
          <w:rFonts w:ascii="宋体" w:hAnsi="宋体" w:eastAsia="宋体" w:cs="宋体"/>
          <w:spacing w:val="4"/>
          <w:sz w:val="23"/>
          <w:szCs w:val="23"/>
        </w:rPr>
        <w:t>，新鲜水均由当地自来水管网提供。该项目</w:t>
      </w:r>
      <w:r>
        <w:rPr>
          <w:rFonts w:ascii="宋体" w:hAnsi="宋体" w:eastAsia="宋体" w:cs="宋体"/>
          <w:sz w:val="23"/>
          <w:szCs w:val="23"/>
        </w:rPr>
        <w:t xml:space="preserve"> </w:t>
      </w:r>
      <w:r>
        <w:rPr>
          <w:rFonts w:ascii="宋体" w:hAnsi="宋体" w:eastAsia="宋体" w:cs="宋体"/>
          <w:spacing w:val="14"/>
          <w:sz w:val="23"/>
          <w:szCs w:val="23"/>
        </w:rPr>
        <w:t>废水主要为生活污水以及生产废水，其中生产废水主要包括破碎工序产生的</w:t>
      </w:r>
      <w:r>
        <w:rPr>
          <w:rFonts w:ascii="宋体" w:hAnsi="宋体" w:eastAsia="宋体" w:cs="宋体"/>
          <w:spacing w:val="13"/>
          <w:sz w:val="23"/>
          <w:szCs w:val="23"/>
        </w:rPr>
        <w:t>废</w:t>
      </w:r>
      <w:r>
        <w:rPr>
          <w:rFonts w:ascii="宋体" w:hAnsi="宋体" w:eastAsia="宋体" w:cs="宋体"/>
          <w:sz w:val="23"/>
          <w:szCs w:val="23"/>
        </w:rPr>
        <w:t xml:space="preserve"> </w:t>
      </w:r>
      <w:r>
        <w:rPr>
          <w:rFonts w:ascii="宋体" w:hAnsi="宋体" w:eastAsia="宋体" w:cs="宋体"/>
          <w:spacing w:val="9"/>
          <w:sz w:val="23"/>
          <w:szCs w:val="23"/>
        </w:rPr>
        <w:t>水</w:t>
      </w:r>
      <w:r>
        <w:rPr>
          <w:rFonts w:ascii="宋体" w:hAnsi="宋体" w:eastAsia="宋体" w:cs="宋体"/>
          <w:spacing w:val="7"/>
          <w:sz w:val="23"/>
          <w:szCs w:val="23"/>
        </w:rPr>
        <w:t>，原料初洗工序、洗字工序、二次清洗工序产生的清洗废水、脱水工序产生的</w:t>
      </w:r>
      <w:r>
        <w:rPr>
          <w:rFonts w:ascii="宋体" w:hAnsi="宋体" w:eastAsia="宋体" w:cs="宋体"/>
          <w:sz w:val="23"/>
          <w:szCs w:val="23"/>
        </w:rPr>
        <w:t xml:space="preserve"> </w:t>
      </w:r>
      <w:r>
        <w:rPr>
          <w:rFonts w:ascii="宋体" w:hAnsi="宋体" w:eastAsia="宋体" w:cs="宋体"/>
          <w:spacing w:val="10"/>
          <w:sz w:val="23"/>
          <w:szCs w:val="23"/>
        </w:rPr>
        <w:t>废水</w:t>
      </w:r>
      <w:r>
        <w:rPr>
          <w:rFonts w:ascii="宋体" w:hAnsi="宋体" w:eastAsia="宋体" w:cs="宋体"/>
          <w:spacing w:val="6"/>
          <w:sz w:val="23"/>
          <w:szCs w:val="23"/>
        </w:rPr>
        <w:t>以</w:t>
      </w:r>
      <w:r>
        <w:rPr>
          <w:rFonts w:ascii="宋体" w:hAnsi="宋体" w:eastAsia="宋体" w:cs="宋体"/>
          <w:spacing w:val="5"/>
          <w:sz w:val="23"/>
          <w:szCs w:val="23"/>
        </w:rPr>
        <w:t xml:space="preserve">及循环冷却废水，总排水量为 </w:t>
      </w:r>
      <w:r>
        <w:rPr>
          <w:rFonts w:ascii="Times New Roman" w:hAnsi="Times New Roman" w:eastAsia="Times New Roman" w:cs="Times New Roman"/>
          <w:spacing w:val="5"/>
          <w:sz w:val="23"/>
          <w:szCs w:val="23"/>
        </w:rPr>
        <w:t>2483.52</w:t>
      </w:r>
      <w:r>
        <w:rPr>
          <w:rFonts w:ascii="Times New Roman" w:hAnsi="Times New Roman" w:eastAsia="Times New Roman" w:cs="Times New Roman"/>
          <w:sz w:val="23"/>
          <w:szCs w:val="23"/>
        </w:rPr>
        <w:t>m</w:t>
      </w:r>
      <w:r>
        <w:rPr>
          <w:rFonts w:ascii="Times New Roman" w:hAnsi="Times New Roman" w:eastAsia="Times New Roman" w:cs="Times New Roman"/>
          <w:spacing w:val="5"/>
          <w:position w:val="8"/>
          <w:sz w:val="15"/>
          <w:szCs w:val="15"/>
        </w:rPr>
        <w:t>3</w:t>
      </w:r>
      <w:r>
        <w:rPr>
          <w:rFonts w:ascii="Times New Roman" w:hAnsi="Times New Roman" w:eastAsia="Times New Roman" w:cs="Times New Roman"/>
          <w:spacing w:val="5"/>
          <w:sz w:val="23"/>
          <w:szCs w:val="23"/>
        </w:rPr>
        <w:t>/</w:t>
      </w:r>
      <w:r>
        <w:rPr>
          <w:rFonts w:ascii="Times New Roman" w:hAnsi="Times New Roman" w:eastAsia="Times New Roman" w:cs="Times New Roman"/>
          <w:sz w:val="23"/>
          <w:szCs w:val="23"/>
        </w:rPr>
        <w:t>a</w:t>
      </w:r>
      <w:r>
        <w:rPr>
          <w:rFonts w:ascii="宋体" w:hAnsi="宋体" w:eastAsia="宋体" w:cs="宋体"/>
          <w:spacing w:val="5"/>
          <w:sz w:val="23"/>
          <w:szCs w:val="23"/>
        </w:rPr>
        <w:t>。</w:t>
      </w:r>
    </w:p>
    <w:p w14:paraId="469A5795">
      <w:pPr>
        <w:sectPr>
          <w:headerReference r:id="rId131" w:type="default"/>
          <w:footerReference r:id="rId132" w:type="default"/>
          <w:pgSz w:w="11906" w:h="16839"/>
          <w:pgMar w:top="1132" w:right="1784" w:bottom="1182" w:left="1785" w:header="878" w:footer="1022" w:gutter="0"/>
          <w:cols w:space="720" w:num="1"/>
        </w:sectPr>
      </w:pPr>
    </w:p>
    <w:p w14:paraId="4E40DB07">
      <w:pPr>
        <w:spacing w:line="409" w:lineRule="auto"/>
        <w:rPr>
          <w:rFonts w:ascii="Arial"/>
          <w:sz w:val="21"/>
        </w:rPr>
      </w:pPr>
      <w:r>
        <w:pict>
          <v:shape id="_x0000_s1179" o:spid="_x0000_s1179" style="position:absolute;left:0pt;margin-left:90pt;margin-top:57.35pt;height:0.75pt;width:415.3pt;mso-position-horizontal-relative:page;mso-position-vertical-relative:page;z-index:251815936;mso-width-relative:page;mso-height-relative:page;" fillcolor="#000000" filled="t" stroked="f" coordsize="8305,15" o:allowincell="f" path="m0,0l8305,0,8305,14,0,14,0,0xe">
            <v:path/>
            <v:fill on="t" focussize="0,0"/>
            <v:stroke on="f"/>
            <v:imagedata o:title=""/>
            <o:lock v:ext="edit"/>
          </v:shape>
        </w:pict>
      </w:r>
    </w:p>
    <w:p w14:paraId="146D3449">
      <w:pPr>
        <w:spacing w:before="74" w:line="227" w:lineRule="auto"/>
        <w:ind w:left="502"/>
        <w:rPr>
          <w:rFonts w:ascii="宋体" w:hAnsi="宋体" w:eastAsia="宋体" w:cs="宋体"/>
          <w:sz w:val="23"/>
          <w:szCs w:val="23"/>
        </w:rPr>
      </w:pPr>
      <w:r>
        <w:rPr>
          <w:rFonts w:ascii="Times New Roman" w:hAnsi="Times New Roman" w:eastAsia="Times New Roman" w:cs="Times New Roman"/>
          <w:sz w:val="23"/>
          <w:szCs w:val="23"/>
        </w:rPr>
        <w:t>a</w:t>
      </w:r>
      <w:r>
        <w:rPr>
          <w:rFonts w:ascii="Times New Roman" w:hAnsi="Times New Roman" w:eastAsia="Times New Roman" w:cs="Times New Roman"/>
          <w:spacing w:val="9"/>
          <w:sz w:val="23"/>
          <w:szCs w:val="23"/>
        </w:rPr>
        <w:t>.</w:t>
      </w:r>
      <w:r>
        <w:rPr>
          <w:rFonts w:ascii="宋体" w:hAnsi="宋体" w:eastAsia="宋体" w:cs="宋体"/>
          <w:spacing w:val="7"/>
          <w:sz w:val="23"/>
          <w:szCs w:val="23"/>
        </w:rPr>
        <w:t>生活用水</w:t>
      </w:r>
    </w:p>
    <w:p w14:paraId="6CC97F06">
      <w:pPr>
        <w:spacing w:line="276" w:lineRule="auto"/>
        <w:rPr>
          <w:rFonts w:ascii="Arial"/>
          <w:sz w:val="21"/>
        </w:rPr>
      </w:pPr>
    </w:p>
    <w:p w14:paraId="02119458">
      <w:pPr>
        <w:spacing w:before="75" w:line="382" w:lineRule="auto"/>
        <w:ind w:left="23" w:firstLine="483"/>
        <w:rPr>
          <w:rFonts w:ascii="宋体" w:hAnsi="宋体" w:eastAsia="宋体" w:cs="宋体"/>
          <w:sz w:val="23"/>
          <w:szCs w:val="23"/>
        </w:rPr>
      </w:pPr>
      <w:r>
        <w:rPr>
          <w:rFonts w:ascii="宋体" w:hAnsi="宋体" w:eastAsia="宋体" w:cs="宋体"/>
          <w:spacing w:val="8"/>
          <w:sz w:val="23"/>
          <w:szCs w:val="23"/>
        </w:rPr>
        <w:t>该项目劳动定员</w:t>
      </w:r>
      <w:r>
        <w:rPr>
          <w:rFonts w:ascii="宋体" w:hAnsi="宋体" w:eastAsia="宋体" w:cs="宋体"/>
          <w:spacing w:val="5"/>
          <w:sz w:val="23"/>
          <w:szCs w:val="23"/>
        </w:rPr>
        <w:t>为</w:t>
      </w:r>
      <w:r>
        <w:rPr>
          <w:rFonts w:ascii="宋体" w:hAnsi="宋体" w:eastAsia="宋体" w:cs="宋体"/>
          <w:spacing w:val="4"/>
          <w:sz w:val="23"/>
          <w:szCs w:val="23"/>
        </w:rPr>
        <w:t xml:space="preserve"> </w:t>
      </w:r>
      <w:r>
        <w:rPr>
          <w:rFonts w:ascii="Times New Roman" w:hAnsi="Times New Roman" w:eastAsia="Times New Roman" w:cs="Times New Roman"/>
          <w:spacing w:val="4"/>
          <w:sz w:val="23"/>
          <w:szCs w:val="23"/>
        </w:rPr>
        <w:t xml:space="preserve">80 </w:t>
      </w:r>
      <w:r>
        <w:rPr>
          <w:rFonts w:ascii="宋体" w:hAnsi="宋体" w:eastAsia="宋体" w:cs="宋体"/>
          <w:spacing w:val="4"/>
          <w:sz w:val="23"/>
          <w:szCs w:val="23"/>
        </w:rPr>
        <w:t>人，年工作</w:t>
      </w:r>
      <w:r>
        <w:rPr>
          <w:rFonts w:ascii="Times New Roman" w:hAnsi="Times New Roman" w:eastAsia="Times New Roman" w:cs="Times New Roman"/>
          <w:spacing w:val="4"/>
          <w:sz w:val="23"/>
          <w:szCs w:val="23"/>
        </w:rPr>
        <w:t xml:space="preserve">300 </w:t>
      </w:r>
      <w:r>
        <w:rPr>
          <w:rFonts w:ascii="宋体" w:hAnsi="宋体" w:eastAsia="宋体" w:cs="宋体"/>
          <w:spacing w:val="4"/>
          <w:sz w:val="23"/>
          <w:szCs w:val="23"/>
        </w:rPr>
        <w:t xml:space="preserve">天，实行 </w:t>
      </w:r>
      <w:r>
        <w:rPr>
          <w:rFonts w:ascii="Times New Roman" w:hAnsi="Times New Roman" w:eastAsia="Times New Roman" w:cs="Times New Roman"/>
          <w:spacing w:val="4"/>
          <w:sz w:val="23"/>
          <w:szCs w:val="23"/>
        </w:rPr>
        <w:t xml:space="preserve">2 </w:t>
      </w:r>
      <w:r>
        <w:rPr>
          <w:rFonts w:ascii="宋体" w:hAnsi="宋体" w:eastAsia="宋体" w:cs="宋体"/>
          <w:spacing w:val="4"/>
          <w:sz w:val="23"/>
          <w:szCs w:val="23"/>
        </w:rPr>
        <w:t xml:space="preserve">班制，每班工作 </w:t>
      </w:r>
      <w:r>
        <w:rPr>
          <w:rFonts w:ascii="Times New Roman" w:hAnsi="Times New Roman" w:eastAsia="Times New Roman" w:cs="Times New Roman"/>
          <w:spacing w:val="4"/>
          <w:sz w:val="23"/>
          <w:szCs w:val="23"/>
        </w:rPr>
        <w:t xml:space="preserve">12 </w:t>
      </w:r>
      <w:r>
        <w:rPr>
          <w:rFonts w:ascii="宋体" w:hAnsi="宋体" w:eastAsia="宋体" w:cs="宋体"/>
          <w:spacing w:val="4"/>
          <w:sz w:val="23"/>
          <w:szCs w:val="23"/>
        </w:rPr>
        <w:t>小时。</w:t>
      </w:r>
      <w:r>
        <w:rPr>
          <w:rFonts w:ascii="宋体" w:hAnsi="宋体" w:eastAsia="宋体" w:cs="宋体"/>
          <w:sz w:val="23"/>
          <w:szCs w:val="23"/>
        </w:rPr>
        <w:t xml:space="preserve"> </w:t>
      </w:r>
      <w:r>
        <w:rPr>
          <w:rFonts w:ascii="宋体" w:hAnsi="宋体" w:eastAsia="宋体" w:cs="宋体"/>
          <w:spacing w:val="16"/>
          <w:sz w:val="23"/>
          <w:szCs w:val="23"/>
        </w:rPr>
        <w:t>根</w:t>
      </w:r>
      <w:r>
        <w:rPr>
          <w:rFonts w:ascii="宋体" w:hAnsi="宋体" w:eastAsia="宋体" w:cs="宋体"/>
          <w:spacing w:val="14"/>
          <w:sz w:val="23"/>
          <w:szCs w:val="23"/>
        </w:rPr>
        <w:t>据</w:t>
      </w:r>
      <w:r>
        <w:rPr>
          <w:rFonts w:ascii="宋体" w:hAnsi="宋体" w:eastAsia="宋体" w:cs="宋体"/>
          <w:spacing w:val="8"/>
          <w:sz w:val="23"/>
          <w:szCs w:val="23"/>
        </w:rPr>
        <w:t>《辽宁省行业用水定额》</w:t>
      </w:r>
      <w:r>
        <w:rPr>
          <w:rFonts w:ascii="Times New Roman" w:hAnsi="Times New Roman" w:eastAsia="Times New Roman" w:cs="Times New Roman"/>
          <w:spacing w:val="8"/>
          <w:sz w:val="23"/>
          <w:szCs w:val="23"/>
        </w:rPr>
        <w:t>(</w:t>
      </w:r>
      <w:r>
        <w:rPr>
          <w:rFonts w:ascii="Times New Roman" w:hAnsi="Times New Roman" w:eastAsia="Times New Roman" w:cs="Times New Roman"/>
          <w:sz w:val="23"/>
          <w:szCs w:val="23"/>
        </w:rPr>
        <w:t>DB</w:t>
      </w:r>
      <w:r>
        <w:rPr>
          <w:rFonts w:ascii="Times New Roman" w:hAnsi="Times New Roman" w:eastAsia="Times New Roman" w:cs="Times New Roman"/>
          <w:spacing w:val="8"/>
          <w:sz w:val="23"/>
          <w:szCs w:val="23"/>
        </w:rPr>
        <w:t>21/</w:t>
      </w:r>
      <w:r>
        <w:rPr>
          <w:rFonts w:ascii="Times New Roman" w:hAnsi="Times New Roman" w:eastAsia="Times New Roman" w:cs="Times New Roman"/>
          <w:sz w:val="23"/>
          <w:szCs w:val="23"/>
        </w:rPr>
        <w:t>T</w:t>
      </w:r>
      <w:r>
        <w:rPr>
          <w:rFonts w:ascii="Times New Roman" w:hAnsi="Times New Roman" w:eastAsia="Times New Roman" w:cs="Times New Roman"/>
          <w:spacing w:val="8"/>
          <w:sz w:val="23"/>
          <w:szCs w:val="23"/>
        </w:rPr>
        <w:t>1237-2015)</w:t>
      </w:r>
      <w:r>
        <w:rPr>
          <w:rFonts w:ascii="宋体" w:hAnsi="宋体" w:eastAsia="宋体" w:cs="宋体"/>
          <w:spacing w:val="8"/>
          <w:sz w:val="23"/>
          <w:szCs w:val="23"/>
        </w:rPr>
        <w:t xml:space="preserve">表 </w:t>
      </w:r>
      <w:r>
        <w:rPr>
          <w:rFonts w:ascii="Times New Roman" w:hAnsi="Times New Roman" w:eastAsia="Times New Roman" w:cs="Times New Roman"/>
          <w:spacing w:val="8"/>
          <w:sz w:val="23"/>
          <w:szCs w:val="23"/>
        </w:rPr>
        <w:t xml:space="preserve">168 </w:t>
      </w:r>
      <w:r>
        <w:rPr>
          <w:rFonts w:ascii="宋体" w:hAnsi="宋体" w:eastAsia="宋体" w:cs="宋体"/>
          <w:spacing w:val="8"/>
          <w:sz w:val="23"/>
          <w:szCs w:val="23"/>
        </w:rPr>
        <w:t>，员工生活用水定额取</w:t>
      </w:r>
      <w:r>
        <w:rPr>
          <w:rFonts w:ascii="宋体" w:hAnsi="宋体" w:eastAsia="宋体" w:cs="宋体"/>
          <w:sz w:val="23"/>
          <w:szCs w:val="23"/>
        </w:rPr>
        <w:t xml:space="preserve"> </w:t>
      </w:r>
      <w:r>
        <w:rPr>
          <w:rFonts w:ascii="Times New Roman" w:hAnsi="Times New Roman" w:eastAsia="Times New Roman" w:cs="Times New Roman"/>
          <w:spacing w:val="1"/>
          <w:sz w:val="23"/>
          <w:szCs w:val="23"/>
        </w:rPr>
        <w:t>50</w:t>
      </w:r>
      <w:r>
        <w:rPr>
          <w:rFonts w:ascii="Times New Roman" w:hAnsi="Times New Roman" w:eastAsia="Times New Roman" w:cs="Times New Roman"/>
          <w:sz w:val="23"/>
          <w:szCs w:val="23"/>
        </w:rPr>
        <w:t>L</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 xml:space="preserve">(人 </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d</w:t>
      </w:r>
      <w:r>
        <w:rPr>
          <w:rFonts w:ascii="宋体" w:hAnsi="宋体" w:eastAsia="宋体" w:cs="宋体"/>
          <w:spacing w:val="1"/>
          <w:sz w:val="23"/>
          <w:szCs w:val="23"/>
        </w:rPr>
        <w:t xml:space="preserve">) ，则员工生活用水量约为 </w:t>
      </w:r>
      <w:r>
        <w:rPr>
          <w:rFonts w:ascii="Times New Roman" w:hAnsi="Times New Roman" w:eastAsia="Times New Roman" w:cs="Times New Roman"/>
          <w:spacing w:val="1"/>
          <w:sz w:val="23"/>
          <w:szCs w:val="23"/>
        </w:rPr>
        <w:t>4</w:t>
      </w:r>
      <w:r>
        <w:rPr>
          <w:rFonts w:ascii="Times New Roman" w:hAnsi="Times New Roman" w:eastAsia="Times New Roman" w:cs="Times New Roman"/>
          <w:sz w:val="23"/>
          <w:szCs w:val="23"/>
        </w:rPr>
        <w:t>m</w:t>
      </w:r>
      <w:r>
        <w:rPr>
          <w:rFonts w:ascii="Times New Roman" w:hAnsi="Times New Roman" w:eastAsia="Times New Roman" w:cs="Times New Roman"/>
          <w:spacing w:val="1"/>
          <w:position w:val="8"/>
          <w:sz w:val="15"/>
          <w:szCs w:val="15"/>
        </w:rPr>
        <w:t>3</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d</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 xml:space="preserve">，即 </w:t>
      </w:r>
      <w:r>
        <w:rPr>
          <w:rFonts w:ascii="Times New Roman" w:hAnsi="Times New Roman" w:eastAsia="Times New Roman" w:cs="Times New Roman"/>
          <w:spacing w:val="1"/>
          <w:sz w:val="23"/>
          <w:szCs w:val="23"/>
        </w:rPr>
        <w:t>1200</w:t>
      </w:r>
      <w:r>
        <w:rPr>
          <w:rFonts w:ascii="Times New Roman" w:hAnsi="Times New Roman" w:eastAsia="Times New Roman" w:cs="Times New Roman"/>
          <w:sz w:val="23"/>
          <w:szCs w:val="23"/>
        </w:rPr>
        <w:t>m</w:t>
      </w:r>
      <w:r>
        <w:rPr>
          <w:rFonts w:ascii="Times New Roman" w:hAnsi="Times New Roman" w:eastAsia="Times New Roman" w:cs="Times New Roman"/>
          <w:spacing w:val="1"/>
          <w:position w:val="8"/>
          <w:sz w:val="15"/>
          <w:szCs w:val="15"/>
        </w:rPr>
        <w:t>3</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w:t>
      </w:r>
      <w:r>
        <w:rPr>
          <w:rFonts w:ascii="宋体" w:hAnsi="宋体" w:eastAsia="宋体" w:cs="宋体"/>
          <w:sz w:val="23"/>
          <w:szCs w:val="23"/>
        </w:rPr>
        <w:t xml:space="preserve">排放系数按 </w:t>
      </w:r>
      <w:r>
        <w:rPr>
          <w:rFonts w:ascii="Times New Roman" w:hAnsi="Times New Roman" w:eastAsia="Times New Roman" w:cs="Times New Roman"/>
          <w:sz w:val="23"/>
          <w:szCs w:val="23"/>
        </w:rPr>
        <w:t xml:space="preserve">0.8 </w:t>
      </w:r>
      <w:r>
        <w:rPr>
          <w:rFonts w:ascii="宋体" w:hAnsi="宋体" w:eastAsia="宋体" w:cs="宋体"/>
          <w:sz w:val="23"/>
          <w:szCs w:val="23"/>
        </w:rPr>
        <w:t xml:space="preserve">计 </w:t>
      </w:r>
      <w:r>
        <w:rPr>
          <w:rFonts w:ascii="宋体" w:hAnsi="宋体" w:eastAsia="宋体" w:cs="宋体"/>
          <w:spacing w:val="-2"/>
          <w:sz w:val="23"/>
          <w:szCs w:val="23"/>
        </w:rPr>
        <w:t xml:space="preserve">算，则生活污水产生量为 </w:t>
      </w:r>
      <w:r>
        <w:rPr>
          <w:rFonts w:ascii="Times New Roman" w:hAnsi="Times New Roman" w:eastAsia="Times New Roman" w:cs="Times New Roman"/>
          <w:spacing w:val="-2"/>
          <w:sz w:val="23"/>
          <w:szCs w:val="23"/>
        </w:rPr>
        <w:t>3.2</w:t>
      </w:r>
      <w:r>
        <w:rPr>
          <w:rFonts w:ascii="Times New Roman" w:hAnsi="Times New Roman" w:eastAsia="Times New Roman" w:cs="Times New Roman"/>
          <w:spacing w:val="-1"/>
          <w:sz w:val="23"/>
          <w:szCs w:val="23"/>
        </w:rPr>
        <w:t>m</w:t>
      </w:r>
      <w:r>
        <w:rPr>
          <w:rFonts w:ascii="Times New Roman" w:hAnsi="Times New Roman" w:eastAsia="Times New Roman" w:cs="Times New Roman"/>
          <w:spacing w:val="-2"/>
          <w:position w:val="8"/>
          <w:sz w:val="15"/>
          <w:szCs w:val="15"/>
        </w:rPr>
        <w:t>3</w:t>
      </w:r>
      <w:r>
        <w:rPr>
          <w:rFonts w:ascii="Times New Roman" w:hAnsi="Times New Roman" w:eastAsia="Times New Roman" w:cs="Times New Roman"/>
          <w:spacing w:val="-2"/>
          <w:sz w:val="23"/>
          <w:szCs w:val="23"/>
        </w:rPr>
        <w:t>/</w:t>
      </w:r>
      <w:r>
        <w:rPr>
          <w:rFonts w:ascii="Times New Roman" w:hAnsi="Times New Roman" w:eastAsia="Times New Roman" w:cs="Times New Roman"/>
          <w:spacing w:val="-1"/>
          <w:sz w:val="23"/>
          <w:szCs w:val="23"/>
        </w:rPr>
        <w:t>d</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w:t>
      </w:r>
      <w:r>
        <w:rPr>
          <w:rFonts w:ascii="宋体" w:hAnsi="宋体" w:eastAsia="宋体" w:cs="宋体"/>
          <w:spacing w:val="-1"/>
          <w:sz w:val="23"/>
          <w:szCs w:val="23"/>
        </w:rPr>
        <w:t xml:space="preserve">即 </w:t>
      </w:r>
      <w:r>
        <w:rPr>
          <w:rFonts w:ascii="Times New Roman" w:hAnsi="Times New Roman" w:eastAsia="Times New Roman" w:cs="Times New Roman"/>
          <w:spacing w:val="-1"/>
          <w:sz w:val="23"/>
          <w:szCs w:val="23"/>
        </w:rPr>
        <w:t>960m</w:t>
      </w:r>
      <w:r>
        <w:rPr>
          <w:rFonts w:ascii="Times New Roman" w:hAnsi="Times New Roman" w:eastAsia="Times New Roman" w:cs="Times New Roman"/>
          <w:spacing w:val="-1"/>
          <w:position w:val="8"/>
          <w:sz w:val="15"/>
          <w:szCs w:val="15"/>
        </w:rPr>
        <w:t>3</w:t>
      </w:r>
      <w:r>
        <w:rPr>
          <w:rFonts w:ascii="Times New Roman" w:hAnsi="Times New Roman" w:eastAsia="Times New Roman" w:cs="Times New Roman"/>
          <w:spacing w:val="-1"/>
          <w:sz w:val="23"/>
          <w:szCs w:val="23"/>
        </w:rPr>
        <w:t>/a</w:t>
      </w:r>
      <w:r>
        <w:rPr>
          <w:rFonts w:ascii="宋体" w:hAnsi="宋体" w:eastAsia="宋体" w:cs="宋体"/>
          <w:spacing w:val="-1"/>
          <w:sz w:val="23"/>
          <w:szCs w:val="23"/>
        </w:rPr>
        <w:t xml:space="preserve">。废水中主要污染物 </w:t>
      </w:r>
      <w:r>
        <w:rPr>
          <w:rFonts w:ascii="Times New Roman" w:hAnsi="Times New Roman" w:eastAsia="Times New Roman" w:cs="Times New Roman"/>
          <w:spacing w:val="-1"/>
          <w:sz w:val="23"/>
          <w:szCs w:val="23"/>
        </w:rPr>
        <w:t>COD</w:t>
      </w:r>
      <w:r>
        <w:rPr>
          <w:rFonts w:ascii="宋体" w:hAnsi="宋体" w:eastAsia="宋体" w:cs="宋体"/>
          <w:spacing w:val="-1"/>
          <w:sz w:val="23"/>
          <w:szCs w:val="23"/>
        </w:rPr>
        <w:t>、</w:t>
      </w:r>
      <w:r>
        <w:rPr>
          <w:rFonts w:ascii="Times New Roman" w:hAnsi="Times New Roman" w:eastAsia="Times New Roman" w:cs="Times New Roman"/>
          <w:spacing w:val="-1"/>
          <w:sz w:val="23"/>
          <w:szCs w:val="23"/>
        </w:rPr>
        <w:t>BOD</w:t>
      </w:r>
      <w:r>
        <w:rPr>
          <w:rFonts w:ascii="Times New Roman" w:hAnsi="Times New Roman" w:eastAsia="Times New Roman" w:cs="Times New Roman"/>
          <w:spacing w:val="-1"/>
          <w:position w:val="-1"/>
          <w:sz w:val="15"/>
          <w:szCs w:val="15"/>
        </w:rPr>
        <w:t>5</w:t>
      </w:r>
      <w:r>
        <w:rPr>
          <w:rFonts w:ascii="宋体" w:hAnsi="宋体" w:eastAsia="宋体" w:cs="宋体"/>
          <w:spacing w:val="-1"/>
          <w:sz w:val="23"/>
          <w:szCs w:val="23"/>
        </w:rPr>
        <w:t>、</w:t>
      </w:r>
      <w:r>
        <w:rPr>
          <w:rFonts w:ascii="宋体" w:hAnsi="宋体" w:eastAsia="宋体" w:cs="宋体"/>
          <w:sz w:val="23"/>
          <w:szCs w:val="23"/>
        </w:rPr>
        <w:t xml:space="preserve"> </w:t>
      </w:r>
      <w:r>
        <w:rPr>
          <w:rFonts w:ascii="Times New Roman" w:hAnsi="Times New Roman" w:eastAsia="Times New Roman" w:cs="Times New Roman"/>
          <w:sz w:val="23"/>
          <w:szCs w:val="23"/>
        </w:rPr>
        <w:t>SS</w:t>
      </w:r>
      <w:r>
        <w:rPr>
          <w:rFonts w:ascii="Times New Roman" w:hAnsi="Times New Roman" w:eastAsia="Times New Roman" w:cs="Times New Roman"/>
          <w:spacing w:val="26"/>
          <w:sz w:val="23"/>
          <w:szCs w:val="23"/>
        </w:rPr>
        <w:t xml:space="preserve"> </w:t>
      </w:r>
      <w:r>
        <w:rPr>
          <w:rFonts w:ascii="宋体" w:hAnsi="宋体" w:eastAsia="宋体" w:cs="宋体"/>
          <w:spacing w:val="24"/>
          <w:sz w:val="23"/>
          <w:szCs w:val="23"/>
        </w:rPr>
        <w:t>、</w:t>
      </w:r>
      <w:r>
        <w:rPr>
          <w:rFonts w:ascii="Times New Roman" w:hAnsi="Times New Roman" w:eastAsia="Times New Roman" w:cs="Times New Roman"/>
          <w:sz w:val="23"/>
          <w:szCs w:val="23"/>
        </w:rPr>
        <w:t>NH</w:t>
      </w:r>
      <w:r>
        <w:rPr>
          <w:rFonts w:ascii="Times New Roman" w:hAnsi="Times New Roman" w:eastAsia="Times New Roman" w:cs="Times New Roman"/>
          <w:spacing w:val="13"/>
          <w:position w:val="-1"/>
          <w:sz w:val="15"/>
          <w:szCs w:val="15"/>
        </w:rPr>
        <w:t>3</w:t>
      </w:r>
      <w:r>
        <w:rPr>
          <w:rFonts w:ascii="Times New Roman" w:hAnsi="Times New Roman" w:eastAsia="Times New Roman" w:cs="Times New Roman"/>
          <w:spacing w:val="13"/>
          <w:sz w:val="23"/>
          <w:szCs w:val="23"/>
        </w:rPr>
        <w:t>-</w:t>
      </w:r>
      <w:r>
        <w:rPr>
          <w:rFonts w:ascii="Times New Roman" w:hAnsi="Times New Roman" w:eastAsia="Times New Roman" w:cs="Times New Roman"/>
          <w:sz w:val="23"/>
          <w:szCs w:val="23"/>
        </w:rPr>
        <w:t>N</w:t>
      </w:r>
      <w:r>
        <w:rPr>
          <w:rFonts w:ascii="Times New Roman" w:hAnsi="Times New Roman" w:eastAsia="Times New Roman" w:cs="Times New Roman"/>
          <w:spacing w:val="13"/>
          <w:sz w:val="23"/>
          <w:szCs w:val="23"/>
        </w:rPr>
        <w:t xml:space="preserve"> </w:t>
      </w:r>
      <w:r>
        <w:rPr>
          <w:rFonts w:ascii="宋体" w:hAnsi="宋体" w:eastAsia="宋体" w:cs="宋体"/>
          <w:spacing w:val="13"/>
          <w:sz w:val="23"/>
          <w:szCs w:val="23"/>
        </w:rPr>
        <w:t>。该项目在厂区东南侧设有旱厕，员工使用防渗旱厕，定期清掏，</w:t>
      </w:r>
      <w:r>
        <w:rPr>
          <w:rFonts w:ascii="宋体" w:hAnsi="宋体" w:eastAsia="宋体" w:cs="宋体"/>
          <w:sz w:val="23"/>
          <w:szCs w:val="23"/>
        </w:rPr>
        <w:t xml:space="preserve"> </w:t>
      </w:r>
      <w:r>
        <w:rPr>
          <w:rFonts w:ascii="宋体" w:hAnsi="宋体" w:eastAsia="宋体" w:cs="宋体"/>
          <w:spacing w:val="11"/>
          <w:sz w:val="23"/>
          <w:szCs w:val="23"/>
        </w:rPr>
        <w:t>不外排。</w:t>
      </w:r>
    </w:p>
    <w:p w14:paraId="4AD9D987">
      <w:pPr>
        <w:spacing w:before="137" w:line="323" w:lineRule="exact"/>
        <w:ind w:left="496"/>
        <w:rPr>
          <w:rFonts w:ascii="宋体" w:hAnsi="宋体" w:eastAsia="宋体" w:cs="宋体"/>
          <w:sz w:val="23"/>
          <w:szCs w:val="23"/>
        </w:rPr>
      </w:pPr>
      <w:r>
        <w:rPr>
          <w:rFonts w:ascii="Times New Roman" w:hAnsi="Times New Roman" w:eastAsia="Times New Roman" w:cs="Times New Roman"/>
          <w:position w:val="1"/>
          <w:sz w:val="23"/>
          <w:szCs w:val="23"/>
        </w:rPr>
        <w:t>b</w:t>
      </w:r>
      <w:r>
        <w:rPr>
          <w:rFonts w:ascii="Times New Roman" w:hAnsi="Times New Roman" w:eastAsia="Times New Roman" w:cs="Times New Roman"/>
          <w:spacing w:val="13"/>
          <w:position w:val="1"/>
          <w:sz w:val="23"/>
          <w:szCs w:val="23"/>
        </w:rPr>
        <w:t>.</w:t>
      </w:r>
      <w:r>
        <w:rPr>
          <w:rFonts w:ascii="宋体" w:hAnsi="宋体" w:eastAsia="宋体" w:cs="宋体"/>
          <w:spacing w:val="9"/>
          <w:position w:val="1"/>
          <w:sz w:val="23"/>
          <w:szCs w:val="23"/>
        </w:rPr>
        <w:t>破碎工序用水</w:t>
      </w:r>
    </w:p>
    <w:p w14:paraId="5EFFB152">
      <w:pPr>
        <w:spacing w:before="309" w:line="385" w:lineRule="auto"/>
        <w:ind w:left="22" w:right="28" w:firstLine="484"/>
        <w:rPr>
          <w:rFonts w:ascii="宋体" w:hAnsi="宋体" w:eastAsia="宋体" w:cs="宋体"/>
          <w:sz w:val="23"/>
          <w:szCs w:val="23"/>
        </w:rPr>
      </w:pPr>
      <w:r>
        <w:rPr>
          <w:rFonts w:ascii="宋体" w:hAnsi="宋体" w:eastAsia="宋体" w:cs="宋体"/>
          <w:spacing w:val="4"/>
          <w:sz w:val="23"/>
          <w:szCs w:val="23"/>
        </w:rPr>
        <w:t>该项目用</w:t>
      </w:r>
      <w:r>
        <w:rPr>
          <w:rFonts w:ascii="宋体" w:hAnsi="宋体" w:eastAsia="宋体" w:cs="宋体"/>
          <w:spacing w:val="3"/>
          <w:sz w:val="23"/>
          <w:szCs w:val="23"/>
        </w:rPr>
        <w:t>于</w:t>
      </w:r>
      <w:r>
        <w:rPr>
          <w:rFonts w:ascii="宋体" w:hAnsi="宋体" w:eastAsia="宋体" w:cs="宋体"/>
          <w:spacing w:val="2"/>
          <w:sz w:val="23"/>
          <w:szCs w:val="23"/>
        </w:rPr>
        <w:t xml:space="preserve">破碎的原料为 </w:t>
      </w:r>
      <w:r>
        <w:rPr>
          <w:rFonts w:ascii="Times New Roman" w:hAnsi="Times New Roman" w:eastAsia="Times New Roman" w:cs="Times New Roman"/>
          <w:spacing w:val="2"/>
          <w:sz w:val="23"/>
          <w:szCs w:val="23"/>
        </w:rPr>
        <w:t>170</w:t>
      </w:r>
      <w:r>
        <w:rPr>
          <w:rFonts w:ascii="Times New Roman" w:hAnsi="Times New Roman" w:eastAsia="Times New Roman" w:cs="Times New Roman"/>
          <w:sz w:val="23"/>
          <w:szCs w:val="23"/>
        </w:rPr>
        <w:t>t</w:t>
      </w:r>
      <w:r>
        <w:rPr>
          <w:rFonts w:ascii="Times New Roman" w:hAnsi="Times New Roman" w:eastAsia="Times New Roman" w:cs="Times New Roman"/>
          <w:spacing w:val="2"/>
          <w:sz w:val="23"/>
          <w:szCs w:val="23"/>
        </w:rPr>
        <w:t>/</w:t>
      </w:r>
      <w:r>
        <w:rPr>
          <w:rFonts w:ascii="Times New Roman" w:hAnsi="Times New Roman" w:eastAsia="Times New Roman" w:cs="Times New Roman"/>
          <w:sz w:val="23"/>
          <w:szCs w:val="23"/>
        </w:rPr>
        <w:t>d</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w:t>
      </w:r>
      <w:r>
        <w:rPr>
          <w:rFonts w:ascii="Times New Roman" w:hAnsi="Times New Roman" w:eastAsia="Times New Roman" w:cs="Times New Roman"/>
          <w:spacing w:val="2"/>
          <w:sz w:val="23"/>
          <w:szCs w:val="23"/>
        </w:rPr>
        <w:t>51100</w:t>
      </w:r>
      <w:r>
        <w:rPr>
          <w:rFonts w:ascii="Times New Roman" w:hAnsi="Times New Roman" w:eastAsia="Times New Roman" w:cs="Times New Roman"/>
          <w:sz w:val="23"/>
          <w:szCs w:val="23"/>
        </w:rPr>
        <w:t>t</w:t>
      </w:r>
      <w:r>
        <w:rPr>
          <w:rFonts w:ascii="Times New Roman" w:hAnsi="Times New Roman" w:eastAsia="Times New Roman" w:cs="Times New Roman"/>
          <w:spacing w:val="2"/>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 xml:space="preserve">) ，生产厂房内共设有 </w:t>
      </w:r>
      <w:r>
        <w:rPr>
          <w:rFonts w:ascii="Times New Roman" w:hAnsi="Times New Roman" w:eastAsia="Times New Roman" w:cs="Times New Roman"/>
          <w:spacing w:val="2"/>
          <w:sz w:val="23"/>
          <w:szCs w:val="23"/>
        </w:rPr>
        <w:t xml:space="preserve">10 </w:t>
      </w:r>
      <w:r>
        <w:rPr>
          <w:rFonts w:ascii="宋体" w:hAnsi="宋体" w:eastAsia="宋体" w:cs="宋体"/>
          <w:spacing w:val="2"/>
          <w:sz w:val="23"/>
          <w:szCs w:val="23"/>
        </w:rPr>
        <w:t>条破碎</w:t>
      </w:r>
      <w:r>
        <w:rPr>
          <w:rFonts w:ascii="宋体" w:hAnsi="宋体" w:eastAsia="宋体" w:cs="宋体"/>
          <w:sz w:val="23"/>
          <w:szCs w:val="23"/>
        </w:rPr>
        <w:t xml:space="preserve"> </w:t>
      </w:r>
      <w:r>
        <w:rPr>
          <w:rFonts w:ascii="宋体" w:hAnsi="宋体" w:eastAsia="宋体" w:cs="宋体"/>
          <w:spacing w:val="2"/>
          <w:sz w:val="23"/>
          <w:szCs w:val="23"/>
        </w:rPr>
        <w:t xml:space="preserve">线，每条破碎线的破碎能力为 </w:t>
      </w:r>
      <w:r>
        <w:rPr>
          <w:rFonts w:ascii="Times New Roman" w:hAnsi="Times New Roman" w:eastAsia="Times New Roman" w:cs="Times New Roman"/>
          <w:spacing w:val="2"/>
          <w:sz w:val="23"/>
          <w:szCs w:val="23"/>
        </w:rPr>
        <w:t>1</w:t>
      </w:r>
      <w:r>
        <w:rPr>
          <w:rFonts w:ascii="Times New Roman" w:hAnsi="Times New Roman" w:eastAsia="Times New Roman" w:cs="Times New Roman"/>
          <w:sz w:val="23"/>
          <w:szCs w:val="23"/>
        </w:rPr>
        <w:t>t</w:t>
      </w:r>
      <w:r>
        <w:rPr>
          <w:rFonts w:ascii="Times New Roman" w:hAnsi="Times New Roman" w:eastAsia="Times New Roman" w:cs="Times New Roman"/>
          <w:spacing w:val="2"/>
          <w:sz w:val="23"/>
          <w:szCs w:val="23"/>
        </w:rPr>
        <w:t>/</w:t>
      </w:r>
      <w:r>
        <w:rPr>
          <w:rFonts w:ascii="Times New Roman" w:hAnsi="Times New Roman" w:eastAsia="Times New Roman" w:cs="Times New Roman"/>
          <w:sz w:val="23"/>
          <w:szCs w:val="23"/>
        </w:rPr>
        <w:t>h</w:t>
      </w:r>
      <w:r>
        <w:rPr>
          <w:rFonts w:ascii="宋体" w:hAnsi="宋体" w:eastAsia="宋体" w:cs="宋体"/>
          <w:spacing w:val="2"/>
          <w:sz w:val="23"/>
          <w:szCs w:val="23"/>
        </w:rPr>
        <w:t>。按照《废塑料综合利用行业规范条件</w:t>
      </w:r>
      <w:r>
        <w:rPr>
          <w:rFonts w:ascii="宋体" w:hAnsi="宋体" w:eastAsia="宋体" w:cs="宋体"/>
          <w:sz w:val="23"/>
          <w:szCs w:val="23"/>
        </w:rPr>
        <w:t xml:space="preserve">》要求， </w:t>
      </w:r>
      <w:r>
        <w:rPr>
          <w:rFonts w:ascii="宋体" w:hAnsi="宋体" w:eastAsia="宋体" w:cs="宋体"/>
          <w:spacing w:val="8"/>
          <w:sz w:val="23"/>
          <w:szCs w:val="23"/>
        </w:rPr>
        <w:t>废塑料破碎、清</w:t>
      </w:r>
      <w:r>
        <w:rPr>
          <w:rFonts w:ascii="宋体" w:hAnsi="宋体" w:eastAsia="宋体" w:cs="宋体"/>
          <w:spacing w:val="4"/>
          <w:sz w:val="23"/>
          <w:szCs w:val="23"/>
        </w:rPr>
        <w:t xml:space="preserve">洗、分选类企业的综合新水消耗应低于 </w:t>
      </w:r>
      <w:r>
        <w:rPr>
          <w:rFonts w:ascii="Times New Roman" w:hAnsi="Times New Roman" w:eastAsia="Times New Roman" w:cs="Times New Roman"/>
          <w:spacing w:val="4"/>
          <w:sz w:val="23"/>
          <w:szCs w:val="23"/>
        </w:rPr>
        <w:t xml:space="preserve">1.5 </w:t>
      </w:r>
      <w:r>
        <w:rPr>
          <w:rFonts w:ascii="宋体" w:hAnsi="宋体" w:eastAsia="宋体" w:cs="宋体"/>
          <w:spacing w:val="4"/>
          <w:sz w:val="23"/>
          <w:szCs w:val="23"/>
        </w:rPr>
        <w:t>吨</w:t>
      </w:r>
      <w:r>
        <w:rPr>
          <w:rFonts w:ascii="Times New Roman" w:hAnsi="Times New Roman" w:eastAsia="Times New Roman" w:cs="Times New Roman"/>
          <w:spacing w:val="4"/>
          <w:sz w:val="23"/>
          <w:szCs w:val="23"/>
        </w:rPr>
        <w:t>/</w:t>
      </w:r>
      <w:r>
        <w:rPr>
          <w:rFonts w:ascii="宋体" w:hAnsi="宋体" w:eastAsia="宋体" w:cs="宋体"/>
          <w:spacing w:val="4"/>
          <w:sz w:val="23"/>
          <w:szCs w:val="23"/>
        </w:rPr>
        <w:t>吨废塑料。根据建</w:t>
      </w:r>
      <w:r>
        <w:rPr>
          <w:rFonts w:ascii="宋体" w:hAnsi="宋体" w:eastAsia="宋体" w:cs="宋体"/>
          <w:sz w:val="23"/>
          <w:szCs w:val="23"/>
        </w:rPr>
        <w:t xml:space="preserve"> </w:t>
      </w:r>
      <w:r>
        <w:rPr>
          <w:rFonts w:ascii="宋体" w:hAnsi="宋体" w:eastAsia="宋体" w:cs="宋体"/>
          <w:spacing w:val="17"/>
          <w:sz w:val="23"/>
          <w:szCs w:val="23"/>
        </w:rPr>
        <w:t>设</w:t>
      </w:r>
      <w:r>
        <w:rPr>
          <w:rFonts w:ascii="宋体" w:hAnsi="宋体" w:eastAsia="宋体" w:cs="宋体"/>
          <w:spacing w:val="9"/>
          <w:sz w:val="23"/>
          <w:szCs w:val="23"/>
        </w:rPr>
        <w:t xml:space="preserve">单位和生产设备单位提供的技术资料，该项目破碎用水量为 </w:t>
      </w:r>
      <w:r>
        <w:rPr>
          <w:rFonts w:ascii="Times New Roman" w:hAnsi="Times New Roman" w:eastAsia="Times New Roman" w:cs="Times New Roman"/>
          <w:spacing w:val="9"/>
          <w:sz w:val="23"/>
          <w:szCs w:val="23"/>
        </w:rPr>
        <w:t>0. 1</w:t>
      </w:r>
      <w:r>
        <w:rPr>
          <w:rFonts w:ascii="Times New Roman" w:hAnsi="Times New Roman" w:eastAsia="Times New Roman" w:cs="Times New Roman"/>
          <w:sz w:val="23"/>
          <w:szCs w:val="23"/>
        </w:rPr>
        <w:t>t</w:t>
      </w:r>
      <w:r>
        <w:rPr>
          <w:rFonts w:ascii="Times New Roman" w:hAnsi="Times New Roman" w:eastAsia="Times New Roman" w:cs="Times New Roman"/>
          <w:spacing w:val="9"/>
          <w:sz w:val="23"/>
          <w:szCs w:val="23"/>
        </w:rPr>
        <w:t>/</w:t>
      </w:r>
      <w:r>
        <w:rPr>
          <w:rFonts w:ascii="宋体" w:hAnsi="宋体" w:eastAsia="宋体" w:cs="宋体"/>
          <w:spacing w:val="9"/>
          <w:sz w:val="23"/>
          <w:szCs w:val="23"/>
        </w:rPr>
        <w:t>吨原料，即</w:t>
      </w:r>
      <w:r>
        <w:rPr>
          <w:rFonts w:ascii="宋体" w:hAnsi="宋体" w:eastAsia="宋体" w:cs="宋体"/>
          <w:sz w:val="23"/>
          <w:szCs w:val="23"/>
        </w:rPr>
        <w:t xml:space="preserve"> </w:t>
      </w:r>
      <w:r>
        <w:rPr>
          <w:rFonts w:ascii="Times New Roman" w:hAnsi="Times New Roman" w:eastAsia="Times New Roman" w:cs="Times New Roman"/>
          <w:spacing w:val="6"/>
          <w:sz w:val="23"/>
          <w:szCs w:val="23"/>
        </w:rPr>
        <w:t xml:space="preserve">0. </w:t>
      </w:r>
      <w:r>
        <w:rPr>
          <w:rFonts w:ascii="Times New Roman" w:hAnsi="Times New Roman" w:eastAsia="Times New Roman" w:cs="Times New Roman"/>
          <w:spacing w:val="5"/>
          <w:sz w:val="23"/>
          <w:szCs w:val="23"/>
        </w:rPr>
        <w:t>1</w:t>
      </w:r>
      <w:r>
        <w:rPr>
          <w:rFonts w:ascii="Times New Roman" w:hAnsi="Times New Roman" w:eastAsia="Times New Roman" w:cs="Times New Roman"/>
          <w:sz w:val="23"/>
          <w:szCs w:val="23"/>
        </w:rPr>
        <w:t>m</w:t>
      </w:r>
      <w:r>
        <w:rPr>
          <w:rFonts w:ascii="Times New Roman" w:hAnsi="Times New Roman" w:eastAsia="Times New Roman" w:cs="Times New Roman"/>
          <w:spacing w:val="3"/>
          <w:position w:val="8"/>
          <w:sz w:val="15"/>
          <w:szCs w:val="15"/>
        </w:rPr>
        <w:t>3</w:t>
      </w:r>
      <w:r>
        <w:rPr>
          <w:rFonts w:ascii="Times New Roman" w:hAnsi="Times New Roman" w:eastAsia="Times New Roman" w:cs="Times New Roman"/>
          <w:spacing w:val="3"/>
          <w:sz w:val="23"/>
          <w:szCs w:val="23"/>
        </w:rPr>
        <w:t>/</w:t>
      </w:r>
      <w:r>
        <w:rPr>
          <w:rFonts w:ascii="宋体" w:hAnsi="宋体" w:eastAsia="宋体" w:cs="宋体"/>
          <w:spacing w:val="3"/>
          <w:sz w:val="23"/>
          <w:szCs w:val="23"/>
        </w:rPr>
        <w:t xml:space="preserve">吨原料，则破碎工序用水量为 </w:t>
      </w:r>
      <w:r>
        <w:rPr>
          <w:rFonts w:ascii="Times New Roman" w:hAnsi="Times New Roman" w:eastAsia="Times New Roman" w:cs="Times New Roman"/>
          <w:spacing w:val="3"/>
          <w:sz w:val="23"/>
          <w:szCs w:val="23"/>
        </w:rPr>
        <w:t>17</w:t>
      </w:r>
      <w:r>
        <w:rPr>
          <w:rFonts w:ascii="Times New Roman" w:hAnsi="Times New Roman" w:eastAsia="Times New Roman" w:cs="Times New Roman"/>
          <w:sz w:val="23"/>
          <w:szCs w:val="23"/>
        </w:rPr>
        <w:t>m</w:t>
      </w:r>
      <w:r>
        <w:rPr>
          <w:rFonts w:ascii="Times New Roman" w:hAnsi="Times New Roman" w:eastAsia="Times New Roman" w:cs="Times New Roman"/>
          <w:spacing w:val="3"/>
          <w:position w:val="8"/>
          <w:sz w:val="15"/>
          <w:szCs w:val="15"/>
        </w:rPr>
        <w:t>3</w:t>
      </w:r>
      <w:r>
        <w:rPr>
          <w:rFonts w:ascii="Times New Roman" w:hAnsi="Times New Roman" w:eastAsia="Times New Roman" w:cs="Times New Roman"/>
          <w:spacing w:val="3"/>
          <w:sz w:val="23"/>
          <w:szCs w:val="23"/>
        </w:rPr>
        <w:t>/</w:t>
      </w:r>
      <w:r>
        <w:rPr>
          <w:rFonts w:ascii="Times New Roman" w:hAnsi="Times New Roman" w:eastAsia="Times New Roman" w:cs="Times New Roman"/>
          <w:sz w:val="23"/>
          <w:szCs w:val="23"/>
        </w:rPr>
        <w:t>d</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。破碎过程中水挥发量按破碎用水量</w:t>
      </w:r>
      <w:r>
        <w:rPr>
          <w:rFonts w:ascii="宋体" w:hAnsi="宋体" w:eastAsia="宋体" w:cs="宋体"/>
          <w:sz w:val="23"/>
          <w:szCs w:val="23"/>
        </w:rPr>
        <w:t xml:space="preserve"> </w:t>
      </w:r>
      <w:r>
        <w:rPr>
          <w:rFonts w:ascii="宋体" w:hAnsi="宋体" w:eastAsia="宋体" w:cs="宋体"/>
          <w:spacing w:val="1"/>
          <w:sz w:val="23"/>
          <w:szCs w:val="23"/>
        </w:rPr>
        <w:t xml:space="preserve">的 </w:t>
      </w:r>
      <w:r>
        <w:rPr>
          <w:rFonts w:ascii="Times New Roman" w:hAnsi="Times New Roman" w:eastAsia="Times New Roman" w:cs="Times New Roman"/>
          <w:spacing w:val="1"/>
          <w:sz w:val="23"/>
          <w:szCs w:val="23"/>
        </w:rPr>
        <w:t>5%</w:t>
      </w:r>
      <w:r>
        <w:rPr>
          <w:rFonts w:ascii="宋体" w:hAnsi="宋体" w:eastAsia="宋体" w:cs="宋体"/>
          <w:spacing w:val="1"/>
          <w:sz w:val="23"/>
          <w:szCs w:val="23"/>
        </w:rPr>
        <w:t xml:space="preserve">计，则补水量为 </w:t>
      </w:r>
      <w:r>
        <w:rPr>
          <w:rFonts w:ascii="Times New Roman" w:hAnsi="Times New Roman" w:eastAsia="Times New Roman" w:cs="Times New Roman"/>
          <w:spacing w:val="1"/>
          <w:sz w:val="23"/>
          <w:szCs w:val="23"/>
        </w:rPr>
        <w:t>0.8</w:t>
      </w:r>
      <w:r>
        <w:rPr>
          <w:rFonts w:ascii="Times New Roman" w:hAnsi="Times New Roman" w:eastAsia="Times New Roman" w:cs="Times New Roman"/>
          <w:sz w:val="23"/>
          <w:szCs w:val="23"/>
        </w:rPr>
        <w:t>5m</w:t>
      </w:r>
      <w:r>
        <w:rPr>
          <w:rFonts w:ascii="Times New Roman" w:hAnsi="Times New Roman" w:eastAsia="Times New Roman" w:cs="Times New Roman"/>
          <w:position w:val="8"/>
          <w:sz w:val="15"/>
          <w:szCs w:val="15"/>
        </w:rPr>
        <w:t>3</w:t>
      </w:r>
      <w:r>
        <w:rPr>
          <w:rFonts w:ascii="Times New Roman" w:hAnsi="Times New Roman" w:eastAsia="Times New Roman" w:cs="Times New Roman"/>
          <w:sz w:val="23"/>
          <w:szCs w:val="23"/>
        </w:rPr>
        <w:t xml:space="preserve">/d </w:t>
      </w:r>
      <w:r>
        <w:rPr>
          <w:rFonts w:ascii="宋体" w:hAnsi="宋体" w:eastAsia="宋体" w:cs="宋体"/>
          <w:sz w:val="23"/>
          <w:szCs w:val="23"/>
        </w:rPr>
        <w:t xml:space="preserve">，即 </w:t>
      </w:r>
      <w:r>
        <w:rPr>
          <w:rFonts w:ascii="Times New Roman" w:hAnsi="Times New Roman" w:eastAsia="Times New Roman" w:cs="Times New Roman"/>
          <w:sz w:val="23"/>
          <w:szCs w:val="23"/>
        </w:rPr>
        <w:t>255m</w:t>
      </w:r>
      <w:r>
        <w:rPr>
          <w:rFonts w:ascii="Times New Roman" w:hAnsi="Times New Roman" w:eastAsia="Times New Roman" w:cs="Times New Roman"/>
          <w:position w:val="8"/>
          <w:sz w:val="15"/>
          <w:szCs w:val="15"/>
        </w:rPr>
        <w:t>3</w:t>
      </w:r>
      <w:r>
        <w:rPr>
          <w:rFonts w:ascii="Times New Roman" w:hAnsi="Times New Roman" w:eastAsia="Times New Roman" w:cs="Times New Roman"/>
          <w:sz w:val="23"/>
          <w:szCs w:val="23"/>
        </w:rPr>
        <w:t>/a</w:t>
      </w:r>
      <w:r>
        <w:rPr>
          <w:rFonts w:ascii="宋体" w:hAnsi="宋体" w:eastAsia="宋体" w:cs="宋体"/>
          <w:sz w:val="23"/>
          <w:szCs w:val="23"/>
        </w:rPr>
        <w:t xml:space="preserve">。综上所述，该项目排入沉淀池的循 </w:t>
      </w:r>
      <w:r>
        <w:rPr>
          <w:rFonts w:ascii="宋体" w:hAnsi="宋体" w:eastAsia="宋体" w:cs="宋体"/>
          <w:spacing w:val="6"/>
          <w:sz w:val="23"/>
          <w:szCs w:val="23"/>
        </w:rPr>
        <w:t xml:space="preserve">环水量为 </w:t>
      </w:r>
      <w:r>
        <w:rPr>
          <w:rFonts w:ascii="Times New Roman" w:hAnsi="Times New Roman" w:eastAsia="Times New Roman" w:cs="Times New Roman"/>
          <w:spacing w:val="5"/>
          <w:sz w:val="23"/>
          <w:szCs w:val="23"/>
        </w:rPr>
        <w:t>1</w:t>
      </w:r>
      <w:r>
        <w:rPr>
          <w:rFonts w:ascii="Times New Roman" w:hAnsi="Times New Roman" w:eastAsia="Times New Roman" w:cs="Times New Roman"/>
          <w:spacing w:val="3"/>
          <w:sz w:val="23"/>
          <w:szCs w:val="23"/>
        </w:rPr>
        <w:t>6. 15</w:t>
      </w:r>
      <w:r>
        <w:rPr>
          <w:rFonts w:ascii="Times New Roman" w:hAnsi="Times New Roman" w:eastAsia="Times New Roman" w:cs="Times New Roman"/>
          <w:sz w:val="23"/>
          <w:szCs w:val="23"/>
        </w:rPr>
        <w:t>m</w:t>
      </w:r>
      <w:r>
        <w:rPr>
          <w:rFonts w:ascii="Times New Roman" w:hAnsi="Times New Roman" w:eastAsia="Times New Roman" w:cs="Times New Roman"/>
          <w:spacing w:val="3"/>
          <w:position w:val="8"/>
          <w:sz w:val="15"/>
          <w:szCs w:val="15"/>
        </w:rPr>
        <w:t>3</w:t>
      </w:r>
      <w:r>
        <w:rPr>
          <w:rFonts w:ascii="Times New Roman" w:hAnsi="Times New Roman" w:eastAsia="Times New Roman" w:cs="Times New Roman"/>
          <w:spacing w:val="3"/>
          <w:sz w:val="23"/>
          <w:szCs w:val="23"/>
        </w:rPr>
        <w:t>/</w:t>
      </w:r>
      <w:r>
        <w:rPr>
          <w:rFonts w:ascii="Times New Roman" w:hAnsi="Times New Roman" w:eastAsia="Times New Roman" w:cs="Times New Roman"/>
          <w:sz w:val="23"/>
          <w:szCs w:val="23"/>
        </w:rPr>
        <w:t>d</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 xml:space="preserve">，其中 </w:t>
      </w:r>
      <w:r>
        <w:rPr>
          <w:rFonts w:ascii="Times New Roman" w:hAnsi="Times New Roman" w:eastAsia="Times New Roman" w:cs="Times New Roman"/>
          <w:spacing w:val="3"/>
          <w:sz w:val="23"/>
          <w:szCs w:val="23"/>
        </w:rPr>
        <w:t>20%</w:t>
      </w:r>
      <w:r>
        <w:rPr>
          <w:rFonts w:ascii="宋体" w:hAnsi="宋体" w:eastAsia="宋体" w:cs="宋体"/>
          <w:spacing w:val="3"/>
          <w:sz w:val="23"/>
          <w:szCs w:val="23"/>
        </w:rPr>
        <w:t>的废水由破碎机直接排入沉淀池，其余由脱水机</w:t>
      </w:r>
      <w:r>
        <w:rPr>
          <w:rFonts w:ascii="宋体" w:hAnsi="宋体" w:eastAsia="宋体" w:cs="宋体"/>
          <w:sz w:val="23"/>
          <w:szCs w:val="23"/>
        </w:rPr>
        <w:t xml:space="preserve"> </w:t>
      </w:r>
      <w:r>
        <w:rPr>
          <w:rFonts w:ascii="宋体" w:hAnsi="宋体" w:eastAsia="宋体" w:cs="宋体"/>
          <w:spacing w:val="8"/>
          <w:sz w:val="23"/>
          <w:szCs w:val="23"/>
        </w:rPr>
        <w:t>脱水后排入沉淀池</w:t>
      </w:r>
      <w:r>
        <w:rPr>
          <w:rFonts w:ascii="宋体" w:hAnsi="宋体" w:eastAsia="宋体" w:cs="宋体"/>
          <w:spacing w:val="7"/>
          <w:sz w:val="23"/>
          <w:szCs w:val="23"/>
        </w:rPr>
        <w:t>。</w:t>
      </w:r>
    </w:p>
    <w:p w14:paraId="6EEBCA79">
      <w:pPr>
        <w:spacing w:before="205" w:line="636" w:lineRule="exact"/>
        <w:ind w:left="502"/>
        <w:rPr>
          <w:rFonts w:ascii="宋体" w:hAnsi="宋体" w:eastAsia="宋体" w:cs="宋体"/>
          <w:sz w:val="23"/>
          <w:szCs w:val="23"/>
        </w:rPr>
      </w:pPr>
      <w:r>
        <w:rPr>
          <w:rFonts w:ascii="Times New Roman" w:hAnsi="Times New Roman" w:eastAsia="Times New Roman" w:cs="Times New Roman"/>
          <w:position w:val="31"/>
          <w:sz w:val="23"/>
          <w:szCs w:val="23"/>
        </w:rPr>
        <w:t>c</w:t>
      </w:r>
      <w:r>
        <w:rPr>
          <w:rFonts w:ascii="Times New Roman" w:hAnsi="Times New Roman" w:eastAsia="Times New Roman" w:cs="Times New Roman"/>
          <w:spacing w:val="9"/>
          <w:position w:val="31"/>
          <w:sz w:val="23"/>
          <w:szCs w:val="23"/>
        </w:rPr>
        <w:t>.</w:t>
      </w:r>
      <w:r>
        <w:rPr>
          <w:rFonts w:ascii="宋体" w:hAnsi="宋体" w:eastAsia="宋体" w:cs="宋体"/>
          <w:spacing w:val="8"/>
          <w:position w:val="31"/>
          <w:sz w:val="23"/>
          <w:szCs w:val="23"/>
        </w:rPr>
        <w:t>原料清洗用水</w:t>
      </w:r>
    </w:p>
    <w:p w14:paraId="4D7AC276">
      <w:pPr>
        <w:spacing w:line="227" w:lineRule="auto"/>
        <w:ind w:left="522"/>
        <w:rPr>
          <w:rFonts w:ascii="宋体" w:hAnsi="宋体" w:eastAsia="宋体" w:cs="宋体"/>
          <w:sz w:val="23"/>
          <w:szCs w:val="23"/>
        </w:rPr>
      </w:pPr>
      <w:r>
        <w:rPr>
          <w:rFonts w:ascii="Times New Roman" w:hAnsi="Times New Roman" w:eastAsia="Times New Roman" w:cs="Times New Roman"/>
          <w:spacing w:val="4"/>
          <w:sz w:val="23"/>
          <w:szCs w:val="23"/>
        </w:rPr>
        <w:t>1</w:t>
      </w:r>
      <w:r>
        <w:rPr>
          <w:rFonts w:ascii="宋体" w:hAnsi="宋体" w:eastAsia="宋体" w:cs="宋体"/>
          <w:spacing w:val="4"/>
          <w:sz w:val="23"/>
          <w:szCs w:val="23"/>
        </w:rPr>
        <w:t>) 洗字工</w:t>
      </w:r>
      <w:r>
        <w:rPr>
          <w:rFonts w:ascii="宋体" w:hAnsi="宋体" w:eastAsia="宋体" w:cs="宋体"/>
          <w:spacing w:val="2"/>
          <w:sz w:val="23"/>
          <w:szCs w:val="23"/>
        </w:rPr>
        <w:t>序</w:t>
      </w:r>
    </w:p>
    <w:p w14:paraId="631798D3">
      <w:pPr>
        <w:spacing w:line="277" w:lineRule="auto"/>
        <w:rPr>
          <w:rFonts w:ascii="Arial"/>
          <w:sz w:val="21"/>
        </w:rPr>
      </w:pPr>
    </w:p>
    <w:p w14:paraId="2F564F68">
      <w:pPr>
        <w:spacing w:before="76" w:line="386" w:lineRule="auto"/>
        <w:ind w:left="22" w:right="7" w:firstLine="480"/>
        <w:rPr>
          <w:rFonts w:ascii="宋体" w:hAnsi="宋体" w:eastAsia="宋体" w:cs="宋体"/>
          <w:sz w:val="23"/>
          <w:szCs w:val="23"/>
        </w:rPr>
      </w:pPr>
      <w:r>
        <w:rPr>
          <w:rFonts w:ascii="宋体" w:hAnsi="宋体" w:eastAsia="宋体" w:cs="宋体"/>
          <w:spacing w:val="14"/>
          <w:sz w:val="23"/>
          <w:szCs w:val="23"/>
        </w:rPr>
        <w:t>初洗后</w:t>
      </w:r>
      <w:r>
        <w:rPr>
          <w:rFonts w:ascii="宋体" w:hAnsi="宋体" w:eastAsia="宋体" w:cs="宋体"/>
          <w:spacing w:val="7"/>
          <w:sz w:val="23"/>
          <w:szCs w:val="23"/>
        </w:rPr>
        <w:t>的破碎料</w:t>
      </w:r>
      <w:r>
        <w:rPr>
          <w:rFonts w:ascii="宋体" w:hAnsi="宋体" w:eastAsia="宋体" w:cs="宋体"/>
          <w:spacing w:val="7"/>
          <w:sz w:val="20"/>
          <w:szCs w:val="20"/>
        </w:rPr>
        <w:t xml:space="preserve">由链条挖料机再送至 </w:t>
      </w:r>
      <w:r>
        <w:rPr>
          <w:rFonts w:ascii="Times New Roman" w:hAnsi="Times New Roman" w:eastAsia="Times New Roman" w:cs="Times New Roman"/>
          <w:spacing w:val="7"/>
          <w:sz w:val="20"/>
          <w:szCs w:val="20"/>
        </w:rPr>
        <w:t>6</w:t>
      </w:r>
      <w:r>
        <w:rPr>
          <w:rFonts w:ascii="Times New Roman" w:hAnsi="Times New Roman" w:eastAsia="Times New Roman" w:cs="Times New Roman"/>
          <w:sz w:val="20"/>
          <w:szCs w:val="20"/>
        </w:rPr>
        <w:t>m</w:t>
      </w:r>
      <w:r>
        <w:rPr>
          <w:rFonts w:ascii="Times New Roman" w:hAnsi="Times New Roman" w:eastAsia="Times New Roman" w:cs="Times New Roman"/>
          <w:spacing w:val="7"/>
          <w:position w:val="6"/>
          <w:sz w:val="13"/>
          <w:szCs w:val="13"/>
        </w:rPr>
        <w:t xml:space="preserve">3 </w:t>
      </w:r>
      <w:r>
        <w:rPr>
          <w:rFonts w:ascii="宋体" w:hAnsi="宋体" w:eastAsia="宋体" w:cs="宋体"/>
          <w:spacing w:val="7"/>
          <w:sz w:val="20"/>
          <w:szCs w:val="20"/>
        </w:rPr>
        <w:t>的洗字槽(</w:t>
      </w:r>
      <w:r>
        <w:rPr>
          <w:rFonts w:ascii="Times New Roman" w:hAnsi="Times New Roman" w:eastAsia="Times New Roman" w:cs="Times New Roman"/>
          <w:spacing w:val="7"/>
          <w:sz w:val="20"/>
          <w:szCs w:val="20"/>
        </w:rPr>
        <w:t>2.5</w:t>
      </w:r>
      <w:r>
        <w:rPr>
          <w:rFonts w:ascii="Times New Roman" w:hAnsi="Times New Roman" w:eastAsia="Times New Roman" w:cs="Times New Roman"/>
          <w:sz w:val="20"/>
          <w:szCs w:val="20"/>
        </w:rPr>
        <w:t>m</w:t>
      </w:r>
      <w:r>
        <w:rPr>
          <w:rFonts w:ascii="Times New Roman" w:hAnsi="Times New Roman" w:eastAsia="Times New Roman" w:cs="Times New Roman"/>
          <w:spacing w:val="7"/>
          <w:sz w:val="20"/>
          <w:szCs w:val="20"/>
        </w:rPr>
        <w:t>×1.2</w:t>
      </w:r>
      <w:r>
        <w:rPr>
          <w:rFonts w:ascii="Times New Roman" w:hAnsi="Times New Roman" w:eastAsia="Times New Roman" w:cs="Times New Roman"/>
          <w:sz w:val="20"/>
          <w:szCs w:val="20"/>
        </w:rPr>
        <w:t>m</w:t>
      </w:r>
      <w:r>
        <w:rPr>
          <w:rFonts w:ascii="Times New Roman" w:hAnsi="Times New Roman" w:eastAsia="Times New Roman" w:cs="Times New Roman"/>
          <w:spacing w:val="7"/>
          <w:sz w:val="20"/>
          <w:szCs w:val="20"/>
        </w:rPr>
        <w:t>×2</w:t>
      </w:r>
      <w:r>
        <w:rPr>
          <w:rFonts w:ascii="Times New Roman" w:hAnsi="Times New Roman" w:eastAsia="Times New Roman" w:cs="Times New Roman"/>
          <w:sz w:val="20"/>
          <w:szCs w:val="20"/>
        </w:rPr>
        <w:t>m</w:t>
      </w:r>
      <w:r>
        <w:rPr>
          <w:rFonts w:ascii="宋体" w:hAnsi="宋体" w:eastAsia="宋体" w:cs="宋体"/>
          <w:spacing w:val="7"/>
          <w:sz w:val="20"/>
          <w:szCs w:val="20"/>
        </w:rPr>
        <w:t>)进行洗字处理</w:t>
      </w:r>
      <w:r>
        <w:rPr>
          <w:rFonts w:ascii="宋体" w:hAnsi="宋体" w:eastAsia="宋体" w:cs="宋体"/>
          <w:spacing w:val="7"/>
          <w:sz w:val="23"/>
          <w:szCs w:val="23"/>
        </w:rPr>
        <w:t>。</w:t>
      </w:r>
      <w:r>
        <w:rPr>
          <w:rFonts w:ascii="宋体" w:hAnsi="宋体" w:eastAsia="宋体" w:cs="宋体"/>
          <w:sz w:val="23"/>
          <w:szCs w:val="23"/>
        </w:rPr>
        <w:t xml:space="preserve"> </w:t>
      </w:r>
      <w:r>
        <w:rPr>
          <w:rFonts w:ascii="宋体" w:hAnsi="宋体" w:eastAsia="宋体" w:cs="宋体"/>
          <w:spacing w:val="6"/>
          <w:sz w:val="23"/>
          <w:szCs w:val="23"/>
        </w:rPr>
        <w:t>该</w:t>
      </w:r>
      <w:r>
        <w:rPr>
          <w:rFonts w:ascii="宋体" w:hAnsi="宋体" w:eastAsia="宋体" w:cs="宋体"/>
          <w:spacing w:val="3"/>
          <w:sz w:val="23"/>
          <w:szCs w:val="23"/>
        </w:rPr>
        <w:t xml:space="preserve">项目设有 </w:t>
      </w:r>
      <w:r>
        <w:rPr>
          <w:rFonts w:ascii="Times New Roman" w:hAnsi="Times New Roman" w:eastAsia="Times New Roman" w:cs="Times New Roman"/>
          <w:spacing w:val="3"/>
          <w:sz w:val="23"/>
          <w:szCs w:val="23"/>
        </w:rPr>
        <w:t xml:space="preserve">1 </w:t>
      </w:r>
      <w:r>
        <w:rPr>
          <w:rFonts w:ascii="宋体" w:hAnsi="宋体" w:eastAsia="宋体" w:cs="宋体"/>
          <w:spacing w:val="3"/>
          <w:sz w:val="23"/>
          <w:szCs w:val="23"/>
        </w:rPr>
        <w:t xml:space="preserve">台 </w:t>
      </w:r>
      <w:r>
        <w:rPr>
          <w:rFonts w:ascii="Times New Roman" w:hAnsi="Times New Roman" w:eastAsia="Times New Roman" w:cs="Times New Roman"/>
          <w:spacing w:val="3"/>
          <w:sz w:val="23"/>
          <w:szCs w:val="23"/>
        </w:rPr>
        <w:t>2</w:t>
      </w:r>
      <w:r>
        <w:rPr>
          <w:rFonts w:ascii="Times New Roman" w:hAnsi="Times New Roman" w:eastAsia="Times New Roman" w:cs="Times New Roman"/>
          <w:sz w:val="23"/>
          <w:szCs w:val="23"/>
        </w:rPr>
        <w:t>t</w:t>
      </w:r>
      <w:r>
        <w:rPr>
          <w:rFonts w:ascii="Times New Roman" w:hAnsi="Times New Roman" w:eastAsia="Times New Roman" w:cs="Times New Roman"/>
          <w:spacing w:val="3"/>
          <w:sz w:val="23"/>
          <w:szCs w:val="23"/>
        </w:rPr>
        <w:t>/</w:t>
      </w:r>
      <w:r>
        <w:rPr>
          <w:rFonts w:ascii="Times New Roman" w:hAnsi="Times New Roman" w:eastAsia="Times New Roman" w:cs="Times New Roman"/>
          <w:sz w:val="23"/>
          <w:szCs w:val="23"/>
        </w:rPr>
        <w:t>h</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的热风炉，用于洗字槽加热，洗字过程需将洗字槽中的水加</w:t>
      </w:r>
      <w:r>
        <w:rPr>
          <w:rFonts w:ascii="宋体" w:hAnsi="宋体" w:eastAsia="宋体" w:cs="宋体"/>
          <w:sz w:val="23"/>
          <w:szCs w:val="23"/>
        </w:rPr>
        <w:t xml:space="preserve"> </w:t>
      </w:r>
      <w:r>
        <w:rPr>
          <w:rFonts w:ascii="宋体" w:hAnsi="宋体" w:eastAsia="宋体" w:cs="宋体"/>
          <w:spacing w:val="8"/>
          <w:sz w:val="23"/>
          <w:szCs w:val="23"/>
        </w:rPr>
        <w:t>热至</w:t>
      </w:r>
      <w:r>
        <w:rPr>
          <w:rFonts w:ascii="宋体" w:hAnsi="宋体" w:eastAsia="宋体" w:cs="宋体"/>
          <w:spacing w:val="7"/>
          <w:sz w:val="23"/>
          <w:szCs w:val="23"/>
        </w:rPr>
        <w:t xml:space="preserve"> </w:t>
      </w:r>
      <w:r>
        <w:rPr>
          <w:rFonts w:ascii="Times New Roman" w:hAnsi="Times New Roman" w:eastAsia="Times New Roman" w:cs="Times New Roman"/>
          <w:spacing w:val="4"/>
          <w:sz w:val="23"/>
          <w:szCs w:val="23"/>
        </w:rPr>
        <w:t>60-80℃</w:t>
      </w:r>
      <w:r>
        <w:rPr>
          <w:rFonts w:ascii="宋体" w:hAnsi="宋体" w:eastAsia="宋体" w:cs="宋体"/>
          <w:spacing w:val="4"/>
          <w:sz w:val="23"/>
          <w:szCs w:val="23"/>
        </w:rPr>
        <w:t xml:space="preserve">左右，随后加入清洗剂，将热水调配成浓度为 </w:t>
      </w:r>
      <w:r>
        <w:rPr>
          <w:rFonts w:ascii="Times New Roman" w:hAnsi="Times New Roman" w:eastAsia="Times New Roman" w:cs="Times New Roman"/>
          <w:spacing w:val="4"/>
          <w:sz w:val="23"/>
          <w:szCs w:val="23"/>
        </w:rPr>
        <w:t>1%</w:t>
      </w:r>
      <w:r>
        <w:rPr>
          <w:rFonts w:ascii="宋体" w:hAnsi="宋体" w:eastAsia="宋体" w:cs="宋体"/>
          <w:spacing w:val="4"/>
          <w:sz w:val="23"/>
          <w:szCs w:val="23"/>
        </w:rPr>
        <w:t>的清洗剂水溶液，</w:t>
      </w:r>
      <w:r>
        <w:rPr>
          <w:rFonts w:ascii="宋体" w:hAnsi="宋体" w:eastAsia="宋体" w:cs="宋体"/>
          <w:sz w:val="23"/>
          <w:szCs w:val="23"/>
        </w:rPr>
        <w:t xml:space="preserve"> </w:t>
      </w:r>
      <w:r>
        <w:rPr>
          <w:rFonts w:ascii="宋体" w:hAnsi="宋体" w:eastAsia="宋体" w:cs="宋体"/>
          <w:spacing w:val="9"/>
          <w:sz w:val="23"/>
          <w:szCs w:val="23"/>
        </w:rPr>
        <w:t>待</w:t>
      </w:r>
      <w:r>
        <w:rPr>
          <w:rFonts w:ascii="宋体" w:hAnsi="宋体" w:eastAsia="宋体" w:cs="宋体"/>
          <w:spacing w:val="7"/>
          <w:sz w:val="23"/>
          <w:szCs w:val="23"/>
        </w:rPr>
        <w:t>清洗剂完全溶解后，将破碎料放入其中浸泡，以达到去除废旧塑料编织袋表面</w:t>
      </w:r>
      <w:r>
        <w:rPr>
          <w:rFonts w:ascii="宋体" w:hAnsi="宋体" w:eastAsia="宋体" w:cs="宋体"/>
          <w:sz w:val="23"/>
          <w:szCs w:val="23"/>
        </w:rPr>
        <w:t xml:space="preserve"> </w:t>
      </w:r>
      <w:r>
        <w:rPr>
          <w:rFonts w:ascii="宋体" w:hAnsi="宋体" w:eastAsia="宋体" w:cs="宋体"/>
          <w:spacing w:val="9"/>
          <w:sz w:val="23"/>
          <w:szCs w:val="23"/>
        </w:rPr>
        <w:t>油</w:t>
      </w:r>
      <w:r>
        <w:rPr>
          <w:rFonts w:ascii="宋体" w:hAnsi="宋体" w:eastAsia="宋体" w:cs="宋体"/>
          <w:spacing w:val="7"/>
          <w:sz w:val="23"/>
          <w:szCs w:val="23"/>
        </w:rPr>
        <w:t>墨字迹的作用。根据建设单位和生产设备单位提供的技术资料，该项目洗字工</w:t>
      </w:r>
      <w:r>
        <w:rPr>
          <w:rFonts w:ascii="宋体" w:hAnsi="宋体" w:eastAsia="宋体" w:cs="宋体"/>
          <w:sz w:val="23"/>
          <w:szCs w:val="23"/>
        </w:rPr>
        <w:t xml:space="preserve"> </w:t>
      </w:r>
      <w:r>
        <w:rPr>
          <w:rFonts w:ascii="宋体" w:hAnsi="宋体" w:eastAsia="宋体" w:cs="宋体"/>
          <w:spacing w:val="6"/>
          <w:sz w:val="23"/>
          <w:szCs w:val="23"/>
        </w:rPr>
        <w:t>序清洗剂</w:t>
      </w:r>
      <w:r>
        <w:rPr>
          <w:rFonts w:ascii="宋体" w:hAnsi="宋体" w:eastAsia="宋体" w:cs="宋体"/>
          <w:spacing w:val="4"/>
          <w:sz w:val="23"/>
          <w:szCs w:val="23"/>
        </w:rPr>
        <w:t>用</w:t>
      </w:r>
      <w:r>
        <w:rPr>
          <w:rFonts w:ascii="宋体" w:hAnsi="宋体" w:eastAsia="宋体" w:cs="宋体"/>
          <w:spacing w:val="3"/>
          <w:sz w:val="23"/>
          <w:szCs w:val="23"/>
        </w:rPr>
        <w:t xml:space="preserve">量为 </w:t>
      </w:r>
      <w:r>
        <w:rPr>
          <w:rFonts w:ascii="Times New Roman" w:hAnsi="Times New Roman" w:eastAsia="Times New Roman" w:cs="Times New Roman"/>
          <w:spacing w:val="3"/>
          <w:sz w:val="23"/>
          <w:szCs w:val="23"/>
        </w:rPr>
        <w:t>0.2</w:t>
      </w:r>
      <w:r>
        <w:rPr>
          <w:rFonts w:ascii="Times New Roman" w:hAnsi="Times New Roman" w:eastAsia="Times New Roman" w:cs="Times New Roman"/>
          <w:sz w:val="23"/>
          <w:szCs w:val="23"/>
        </w:rPr>
        <w:t>kg</w:t>
      </w:r>
      <w:r>
        <w:rPr>
          <w:rFonts w:ascii="Times New Roman" w:hAnsi="Times New Roman" w:eastAsia="Times New Roman" w:cs="Times New Roman"/>
          <w:spacing w:val="3"/>
          <w:sz w:val="23"/>
          <w:szCs w:val="23"/>
        </w:rPr>
        <w:t>/</w:t>
      </w:r>
      <w:r>
        <w:rPr>
          <w:rFonts w:ascii="宋体" w:hAnsi="宋体" w:eastAsia="宋体" w:cs="宋体"/>
          <w:spacing w:val="3"/>
          <w:sz w:val="23"/>
          <w:szCs w:val="23"/>
        </w:rPr>
        <w:t xml:space="preserve">吨原料，用水量为 </w:t>
      </w:r>
      <w:r>
        <w:rPr>
          <w:rFonts w:ascii="Times New Roman" w:hAnsi="Times New Roman" w:eastAsia="Times New Roman" w:cs="Times New Roman"/>
          <w:spacing w:val="3"/>
          <w:sz w:val="23"/>
          <w:szCs w:val="23"/>
        </w:rPr>
        <w:t>0.02</w:t>
      </w:r>
      <w:r>
        <w:rPr>
          <w:rFonts w:ascii="Times New Roman" w:hAnsi="Times New Roman" w:eastAsia="Times New Roman" w:cs="Times New Roman"/>
          <w:sz w:val="23"/>
          <w:szCs w:val="23"/>
        </w:rPr>
        <w:t>t</w:t>
      </w:r>
      <w:r>
        <w:rPr>
          <w:rFonts w:ascii="Times New Roman" w:hAnsi="Times New Roman" w:eastAsia="Times New Roman" w:cs="Times New Roman"/>
          <w:spacing w:val="3"/>
          <w:sz w:val="23"/>
          <w:szCs w:val="23"/>
        </w:rPr>
        <w:t>/</w:t>
      </w:r>
      <w:r>
        <w:rPr>
          <w:rFonts w:ascii="宋体" w:hAnsi="宋体" w:eastAsia="宋体" w:cs="宋体"/>
          <w:spacing w:val="3"/>
          <w:sz w:val="23"/>
          <w:szCs w:val="23"/>
        </w:rPr>
        <w:t xml:space="preserve">吨原料，即 </w:t>
      </w:r>
      <w:r>
        <w:rPr>
          <w:rFonts w:ascii="Times New Roman" w:hAnsi="Times New Roman" w:eastAsia="Times New Roman" w:cs="Times New Roman"/>
          <w:spacing w:val="3"/>
          <w:sz w:val="23"/>
          <w:szCs w:val="23"/>
        </w:rPr>
        <w:t>0.02</w:t>
      </w:r>
      <w:r>
        <w:rPr>
          <w:rFonts w:ascii="Times New Roman" w:hAnsi="Times New Roman" w:eastAsia="Times New Roman" w:cs="Times New Roman"/>
          <w:sz w:val="23"/>
          <w:szCs w:val="23"/>
        </w:rPr>
        <w:t>m</w:t>
      </w:r>
      <w:r>
        <w:rPr>
          <w:rFonts w:ascii="Times New Roman" w:hAnsi="Times New Roman" w:eastAsia="Times New Roman" w:cs="Times New Roman"/>
          <w:spacing w:val="3"/>
          <w:position w:val="8"/>
          <w:sz w:val="15"/>
          <w:szCs w:val="15"/>
        </w:rPr>
        <w:t>3</w:t>
      </w:r>
      <w:r>
        <w:rPr>
          <w:rFonts w:ascii="Times New Roman" w:hAnsi="Times New Roman" w:eastAsia="Times New Roman" w:cs="Times New Roman"/>
          <w:spacing w:val="3"/>
          <w:sz w:val="23"/>
          <w:szCs w:val="23"/>
        </w:rPr>
        <w:t>/</w:t>
      </w:r>
      <w:r>
        <w:rPr>
          <w:rFonts w:ascii="宋体" w:hAnsi="宋体" w:eastAsia="宋体" w:cs="宋体"/>
          <w:spacing w:val="3"/>
          <w:sz w:val="23"/>
          <w:szCs w:val="23"/>
        </w:rPr>
        <w:t>吨原料，该项</w:t>
      </w:r>
      <w:r>
        <w:rPr>
          <w:rFonts w:ascii="宋体" w:hAnsi="宋体" w:eastAsia="宋体" w:cs="宋体"/>
          <w:sz w:val="23"/>
          <w:szCs w:val="23"/>
        </w:rPr>
        <w:t xml:space="preserve"> </w:t>
      </w:r>
      <w:r>
        <w:rPr>
          <w:rFonts w:ascii="宋体" w:hAnsi="宋体" w:eastAsia="宋体" w:cs="宋体"/>
          <w:spacing w:val="4"/>
          <w:sz w:val="23"/>
          <w:szCs w:val="23"/>
        </w:rPr>
        <w:t>目</w:t>
      </w:r>
      <w:r>
        <w:rPr>
          <w:rFonts w:ascii="宋体" w:hAnsi="宋体" w:eastAsia="宋体" w:cs="宋体"/>
          <w:spacing w:val="3"/>
          <w:sz w:val="23"/>
          <w:szCs w:val="23"/>
        </w:rPr>
        <w:t>进</w:t>
      </w:r>
      <w:r>
        <w:rPr>
          <w:rFonts w:ascii="宋体" w:hAnsi="宋体" w:eastAsia="宋体" w:cs="宋体"/>
          <w:spacing w:val="2"/>
          <w:sz w:val="23"/>
          <w:szCs w:val="23"/>
        </w:rPr>
        <w:t xml:space="preserve">入洗字工序的原料为 </w:t>
      </w:r>
      <w:r>
        <w:rPr>
          <w:rFonts w:ascii="Times New Roman" w:hAnsi="Times New Roman" w:eastAsia="Times New Roman" w:cs="Times New Roman"/>
          <w:spacing w:val="2"/>
          <w:sz w:val="23"/>
          <w:szCs w:val="23"/>
        </w:rPr>
        <w:t>170</w:t>
      </w:r>
      <w:r>
        <w:rPr>
          <w:rFonts w:ascii="Times New Roman" w:hAnsi="Times New Roman" w:eastAsia="Times New Roman" w:cs="Times New Roman"/>
          <w:sz w:val="23"/>
          <w:szCs w:val="23"/>
        </w:rPr>
        <w:t>t</w:t>
      </w:r>
      <w:r>
        <w:rPr>
          <w:rFonts w:ascii="Times New Roman" w:hAnsi="Times New Roman" w:eastAsia="Times New Roman" w:cs="Times New Roman"/>
          <w:spacing w:val="2"/>
          <w:sz w:val="23"/>
          <w:szCs w:val="23"/>
        </w:rPr>
        <w:t>/</w:t>
      </w:r>
      <w:r>
        <w:rPr>
          <w:rFonts w:ascii="Times New Roman" w:hAnsi="Times New Roman" w:eastAsia="Times New Roman" w:cs="Times New Roman"/>
          <w:sz w:val="23"/>
          <w:szCs w:val="23"/>
        </w:rPr>
        <w:t>d</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w:t>
      </w:r>
      <w:r>
        <w:rPr>
          <w:rFonts w:ascii="Times New Roman" w:hAnsi="Times New Roman" w:eastAsia="Times New Roman" w:cs="Times New Roman"/>
          <w:spacing w:val="2"/>
          <w:sz w:val="23"/>
          <w:szCs w:val="23"/>
        </w:rPr>
        <w:t>51100</w:t>
      </w:r>
      <w:r>
        <w:rPr>
          <w:rFonts w:ascii="Times New Roman" w:hAnsi="Times New Roman" w:eastAsia="Times New Roman" w:cs="Times New Roman"/>
          <w:sz w:val="23"/>
          <w:szCs w:val="23"/>
        </w:rPr>
        <w:t>t</w:t>
      </w:r>
      <w:r>
        <w:rPr>
          <w:rFonts w:ascii="Times New Roman" w:hAnsi="Times New Roman" w:eastAsia="Times New Roman" w:cs="Times New Roman"/>
          <w:spacing w:val="2"/>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 xml:space="preserve">) ，则洗字工序用水量为 </w:t>
      </w:r>
      <w:r>
        <w:rPr>
          <w:rFonts w:ascii="Times New Roman" w:hAnsi="Times New Roman" w:eastAsia="Times New Roman" w:cs="Times New Roman"/>
          <w:spacing w:val="2"/>
          <w:sz w:val="23"/>
          <w:szCs w:val="23"/>
        </w:rPr>
        <w:t>3.4</w:t>
      </w:r>
      <w:r>
        <w:rPr>
          <w:rFonts w:ascii="Times New Roman" w:hAnsi="Times New Roman" w:eastAsia="Times New Roman" w:cs="Times New Roman"/>
          <w:sz w:val="23"/>
          <w:szCs w:val="23"/>
        </w:rPr>
        <w:t>m</w:t>
      </w:r>
      <w:r>
        <w:rPr>
          <w:rFonts w:ascii="Times New Roman" w:hAnsi="Times New Roman" w:eastAsia="Times New Roman" w:cs="Times New Roman"/>
          <w:spacing w:val="2"/>
          <w:position w:val="8"/>
          <w:sz w:val="15"/>
          <w:szCs w:val="15"/>
        </w:rPr>
        <w:t>3</w:t>
      </w:r>
      <w:r>
        <w:rPr>
          <w:rFonts w:ascii="Times New Roman" w:hAnsi="Times New Roman" w:eastAsia="Times New Roman" w:cs="Times New Roman"/>
          <w:spacing w:val="2"/>
          <w:sz w:val="23"/>
          <w:szCs w:val="23"/>
        </w:rPr>
        <w:t>/</w:t>
      </w:r>
      <w:r>
        <w:rPr>
          <w:rFonts w:ascii="Times New Roman" w:hAnsi="Times New Roman" w:eastAsia="Times New Roman" w:cs="Times New Roman"/>
          <w:sz w:val="23"/>
          <w:szCs w:val="23"/>
        </w:rPr>
        <w:t>d</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，即</w:t>
      </w:r>
      <w:r>
        <w:rPr>
          <w:rFonts w:ascii="宋体" w:hAnsi="宋体" w:eastAsia="宋体" w:cs="宋体"/>
          <w:sz w:val="23"/>
          <w:szCs w:val="23"/>
        </w:rPr>
        <w:t xml:space="preserve"> </w:t>
      </w:r>
      <w:r>
        <w:rPr>
          <w:rFonts w:ascii="Times New Roman" w:hAnsi="Times New Roman" w:eastAsia="Times New Roman" w:cs="Times New Roman"/>
          <w:spacing w:val="10"/>
          <w:sz w:val="23"/>
          <w:szCs w:val="23"/>
        </w:rPr>
        <w:t>102</w:t>
      </w:r>
      <w:r>
        <w:rPr>
          <w:rFonts w:ascii="Times New Roman" w:hAnsi="Times New Roman" w:eastAsia="Times New Roman" w:cs="Times New Roman"/>
          <w:spacing w:val="8"/>
          <w:sz w:val="23"/>
          <w:szCs w:val="23"/>
        </w:rPr>
        <w:t>0</w:t>
      </w:r>
      <w:r>
        <w:rPr>
          <w:rFonts w:ascii="Times New Roman" w:hAnsi="Times New Roman" w:eastAsia="Times New Roman" w:cs="Times New Roman"/>
          <w:sz w:val="23"/>
          <w:szCs w:val="23"/>
        </w:rPr>
        <w:t>m</w:t>
      </w:r>
      <w:r>
        <w:rPr>
          <w:rFonts w:ascii="Times New Roman" w:hAnsi="Times New Roman" w:eastAsia="Times New Roman" w:cs="Times New Roman"/>
          <w:spacing w:val="5"/>
          <w:position w:val="8"/>
          <w:sz w:val="15"/>
          <w:szCs w:val="15"/>
        </w:rPr>
        <w:t>3</w:t>
      </w:r>
      <w:r>
        <w:rPr>
          <w:rFonts w:ascii="Times New Roman" w:hAnsi="Times New Roman" w:eastAsia="Times New Roman" w:cs="Times New Roman"/>
          <w:spacing w:val="5"/>
          <w:sz w:val="23"/>
          <w:szCs w:val="23"/>
        </w:rPr>
        <w:t>/</w:t>
      </w:r>
      <w:r>
        <w:rPr>
          <w:rFonts w:ascii="Times New Roman" w:hAnsi="Times New Roman" w:eastAsia="Times New Roman" w:cs="Times New Roman"/>
          <w:sz w:val="23"/>
          <w:szCs w:val="23"/>
        </w:rPr>
        <w:t>a</w:t>
      </w:r>
      <w:r>
        <w:rPr>
          <w:rFonts w:ascii="宋体" w:hAnsi="宋体" w:eastAsia="宋体" w:cs="宋体"/>
          <w:spacing w:val="5"/>
          <w:sz w:val="23"/>
          <w:szCs w:val="23"/>
        </w:rPr>
        <w:t xml:space="preserve">。洗字过程中水挥发量按初洗用水用量的 </w:t>
      </w:r>
      <w:r>
        <w:rPr>
          <w:rFonts w:ascii="Times New Roman" w:hAnsi="Times New Roman" w:eastAsia="Times New Roman" w:cs="Times New Roman"/>
          <w:spacing w:val="5"/>
          <w:sz w:val="23"/>
          <w:szCs w:val="23"/>
        </w:rPr>
        <w:t>10%</w:t>
      </w:r>
      <w:r>
        <w:rPr>
          <w:rFonts w:ascii="宋体" w:hAnsi="宋体" w:eastAsia="宋体" w:cs="宋体"/>
          <w:spacing w:val="5"/>
          <w:sz w:val="23"/>
          <w:szCs w:val="23"/>
        </w:rPr>
        <w:t>计，则洗字工序补水量量</w:t>
      </w:r>
      <w:r>
        <w:rPr>
          <w:rFonts w:ascii="宋体" w:hAnsi="宋体" w:eastAsia="宋体" w:cs="宋体"/>
          <w:sz w:val="23"/>
          <w:szCs w:val="23"/>
        </w:rPr>
        <w:t xml:space="preserve"> </w:t>
      </w:r>
      <w:r>
        <w:rPr>
          <w:rFonts w:ascii="宋体" w:hAnsi="宋体" w:eastAsia="宋体" w:cs="宋体"/>
          <w:spacing w:val="-1"/>
          <w:sz w:val="23"/>
          <w:szCs w:val="23"/>
        </w:rPr>
        <w:t xml:space="preserve">为 </w:t>
      </w:r>
      <w:r>
        <w:rPr>
          <w:rFonts w:ascii="Times New Roman" w:hAnsi="Times New Roman" w:eastAsia="Times New Roman" w:cs="Times New Roman"/>
          <w:spacing w:val="-1"/>
          <w:sz w:val="23"/>
          <w:szCs w:val="23"/>
        </w:rPr>
        <w:t>0.34</w:t>
      </w:r>
      <w:r>
        <w:rPr>
          <w:rFonts w:ascii="Times New Roman" w:hAnsi="Times New Roman" w:eastAsia="Times New Roman" w:cs="Times New Roman"/>
          <w:sz w:val="23"/>
          <w:szCs w:val="23"/>
        </w:rPr>
        <w:t>m</w:t>
      </w:r>
      <w:r>
        <w:rPr>
          <w:rFonts w:ascii="Times New Roman" w:hAnsi="Times New Roman" w:eastAsia="Times New Roman" w:cs="Times New Roman"/>
          <w:spacing w:val="-1"/>
          <w:position w:val="8"/>
          <w:sz w:val="15"/>
          <w:szCs w:val="15"/>
        </w:rPr>
        <w:t>3</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d</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 xml:space="preserve">，即 </w:t>
      </w:r>
      <w:r>
        <w:rPr>
          <w:rFonts w:ascii="Times New Roman" w:hAnsi="Times New Roman" w:eastAsia="Times New Roman" w:cs="Times New Roman"/>
          <w:spacing w:val="-1"/>
          <w:sz w:val="23"/>
          <w:szCs w:val="23"/>
        </w:rPr>
        <w:t>102</w:t>
      </w:r>
      <w:r>
        <w:rPr>
          <w:rFonts w:ascii="Times New Roman" w:hAnsi="Times New Roman" w:eastAsia="Times New Roman" w:cs="Times New Roman"/>
          <w:sz w:val="23"/>
          <w:szCs w:val="23"/>
        </w:rPr>
        <w:t>m</w:t>
      </w:r>
      <w:r>
        <w:rPr>
          <w:rFonts w:ascii="Times New Roman" w:hAnsi="Times New Roman" w:eastAsia="Times New Roman" w:cs="Times New Roman"/>
          <w:spacing w:val="-1"/>
          <w:position w:val="8"/>
          <w:sz w:val="15"/>
          <w:szCs w:val="15"/>
        </w:rPr>
        <w:t>3</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。综上所述，该项目排入沉淀池的循环水量为</w:t>
      </w:r>
      <w:r>
        <w:rPr>
          <w:rFonts w:ascii="宋体" w:hAnsi="宋体" w:eastAsia="宋体" w:cs="宋体"/>
          <w:sz w:val="23"/>
          <w:szCs w:val="23"/>
        </w:rPr>
        <w:t xml:space="preserve"> </w:t>
      </w:r>
      <w:r>
        <w:rPr>
          <w:rFonts w:ascii="Times New Roman" w:hAnsi="Times New Roman" w:eastAsia="Times New Roman" w:cs="Times New Roman"/>
          <w:sz w:val="23"/>
          <w:szCs w:val="23"/>
        </w:rPr>
        <w:t>3.06m</w:t>
      </w:r>
      <w:r>
        <w:rPr>
          <w:rFonts w:ascii="Times New Roman" w:hAnsi="Times New Roman" w:eastAsia="Times New Roman" w:cs="Times New Roman"/>
          <w:position w:val="8"/>
          <w:sz w:val="15"/>
          <w:szCs w:val="15"/>
        </w:rPr>
        <w:t>3</w:t>
      </w:r>
      <w:r>
        <w:rPr>
          <w:rFonts w:ascii="Times New Roman" w:hAnsi="Times New Roman" w:eastAsia="Times New Roman" w:cs="Times New Roman"/>
          <w:sz w:val="23"/>
          <w:szCs w:val="23"/>
        </w:rPr>
        <w:t>/d</w:t>
      </w:r>
      <w:r>
        <w:rPr>
          <w:rFonts w:ascii="宋体" w:hAnsi="宋体" w:eastAsia="宋体" w:cs="宋体"/>
          <w:sz w:val="23"/>
          <w:szCs w:val="23"/>
        </w:rPr>
        <w:t>。</w:t>
      </w:r>
    </w:p>
    <w:p w14:paraId="1054C9F4">
      <w:pPr>
        <w:sectPr>
          <w:headerReference r:id="rId133" w:type="default"/>
          <w:footerReference r:id="rId134" w:type="default"/>
          <w:pgSz w:w="11906" w:h="16839"/>
          <w:pgMar w:top="1132" w:right="1709" w:bottom="1182" w:left="1785" w:header="878" w:footer="1022" w:gutter="0"/>
          <w:cols w:space="720" w:num="1"/>
        </w:sectPr>
      </w:pPr>
    </w:p>
    <w:p w14:paraId="6F24F1AA">
      <w:pPr>
        <w:spacing w:line="408" w:lineRule="auto"/>
        <w:rPr>
          <w:rFonts w:ascii="Arial"/>
          <w:sz w:val="21"/>
        </w:rPr>
      </w:pPr>
      <w:r>
        <w:pict>
          <v:shape id="_x0000_s1180" o:spid="_x0000_s1180" style="position:absolute;left:0pt;margin-left:90pt;margin-top:57.35pt;height:0.75pt;width:415.3pt;mso-position-horizontal-relative:page;mso-position-vertical-relative:page;z-index:251816960;mso-width-relative:page;mso-height-relative:page;" fillcolor="#000000" filled="t" stroked="f" coordsize="8305,15" o:allowincell="f" path="m0,0l8305,0,8305,14,0,14,0,0xe">
            <v:path/>
            <v:fill on="t" focussize="0,0"/>
            <v:stroke on="f"/>
            <v:imagedata o:title=""/>
            <o:lock v:ext="edit"/>
          </v:shape>
        </w:pict>
      </w:r>
    </w:p>
    <w:p w14:paraId="4EC72471">
      <w:pPr>
        <w:spacing w:before="75" w:line="228" w:lineRule="auto"/>
        <w:ind w:left="499"/>
        <w:rPr>
          <w:rFonts w:ascii="宋体" w:hAnsi="宋体" w:eastAsia="宋体" w:cs="宋体"/>
          <w:sz w:val="23"/>
          <w:szCs w:val="23"/>
        </w:rPr>
      </w:pPr>
      <w:r>
        <w:rPr>
          <w:rFonts w:ascii="Times New Roman" w:hAnsi="Times New Roman" w:eastAsia="Times New Roman" w:cs="Times New Roman"/>
          <w:spacing w:val="7"/>
          <w:sz w:val="23"/>
          <w:szCs w:val="23"/>
        </w:rPr>
        <w:t>2</w:t>
      </w:r>
      <w:r>
        <w:rPr>
          <w:rFonts w:ascii="宋体" w:hAnsi="宋体" w:eastAsia="宋体" w:cs="宋体"/>
          <w:spacing w:val="7"/>
          <w:sz w:val="23"/>
          <w:szCs w:val="23"/>
        </w:rPr>
        <w:t>) 清洗工序</w:t>
      </w:r>
    </w:p>
    <w:p w14:paraId="43AE43CD">
      <w:pPr>
        <w:spacing w:line="274" w:lineRule="auto"/>
        <w:rPr>
          <w:rFonts w:ascii="Arial"/>
          <w:sz w:val="21"/>
        </w:rPr>
      </w:pPr>
    </w:p>
    <w:p w14:paraId="60152753">
      <w:pPr>
        <w:spacing w:before="75" w:line="227" w:lineRule="auto"/>
        <w:ind w:left="507"/>
        <w:rPr>
          <w:rFonts w:ascii="宋体" w:hAnsi="宋体" w:eastAsia="宋体" w:cs="宋体"/>
          <w:sz w:val="23"/>
          <w:szCs w:val="23"/>
        </w:rPr>
      </w:pPr>
      <w:r>
        <w:rPr>
          <w:rFonts w:ascii="宋体" w:hAnsi="宋体" w:eastAsia="宋体" w:cs="宋体"/>
          <w:spacing w:val="12"/>
          <w:sz w:val="23"/>
          <w:szCs w:val="23"/>
        </w:rPr>
        <w:t>该项目清</w:t>
      </w:r>
      <w:r>
        <w:rPr>
          <w:rFonts w:ascii="宋体" w:hAnsi="宋体" w:eastAsia="宋体" w:cs="宋体"/>
          <w:spacing w:val="7"/>
          <w:sz w:val="23"/>
          <w:szCs w:val="23"/>
        </w:rPr>
        <w:t>洗</w:t>
      </w:r>
      <w:r>
        <w:rPr>
          <w:rFonts w:ascii="宋体" w:hAnsi="宋体" w:eastAsia="宋体" w:cs="宋体"/>
          <w:spacing w:val="6"/>
          <w:sz w:val="23"/>
          <w:szCs w:val="23"/>
        </w:rPr>
        <w:t>方式采用偏心清洗机，不加热、不加清洗剂，按照《废塑料综合</w:t>
      </w:r>
    </w:p>
    <w:p w14:paraId="2B189F8A">
      <w:pPr>
        <w:tabs>
          <w:tab w:val="left" w:pos="148"/>
        </w:tabs>
        <w:spacing w:before="201" w:line="380" w:lineRule="auto"/>
        <w:ind w:left="22" w:right="32" w:firstLine="1"/>
        <w:rPr>
          <w:rFonts w:ascii="宋体" w:hAnsi="宋体" w:eastAsia="宋体" w:cs="宋体"/>
          <w:sz w:val="23"/>
          <w:szCs w:val="23"/>
        </w:rPr>
      </w:pPr>
      <w:r>
        <w:rPr>
          <w:rFonts w:ascii="宋体" w:hAnsi="宋体" w:eastAsia="宋体" w:cs="宋体"/>
          <w:spacing w:val="8"/>
          <w:sz w:val="23"/>
          <w:szCs w:val="23"/>
        </w:rPr>
        <w:t>利</w:t>
      </w:r>
      <w:r>
        <w:rPr>
          <w:rFonts w:ascii="宋体" w:hAnsi="宋体" w:eastAsia="宋体" w:cs="宋体"/>
          <w:spacing w:val="7"/>
          <w:sz w:val="23"/>
          <w:szCs w:val="23"/>
        </w:rPr>
        <w:t>用行业规范条件》要求，废塑料破碎、清洗、分选类企业的综合新水消耗低于</w:t>
      </w:r>
      <w:r>
        <w:rPr>
          <w:rFonts w:ascii="宋体" w:hAnsi="宋体" w:eastAsia="宋体" w:cs="宋体"/>
          <w:sz w:val="23"/>
          <w:szCs w:val="23"/>
        </w:rPr>
        <w:t xml:space="preserve"> </w:t>
      </w:r>
      <w:r>
        <w:rPr>
          <w:rFonts w:ascii="Times New Roman" w:hAnsi="Times New Roman" w:eastAsia="Times New Roman" w:cs="Times New Roman"/>
          <w:spacing w:val="8"/>
          <w:sz w:val="23"/>
          <w:szCs w:val="23"/>
        </w:rPr>
        <w:t xml:space="preserve">1.5 </w:t>
      </w:r>
      <w:r>
        <w:rPr>
          <w:rFonts w:ascii="宋体" w:hAnsi="宋体" w:eastAsia="宋体" w:cs="宋体"/>
          <w:spacing w:val="8"/>
          <w:sz w:val="23"/>
          <w:szCs w:val="23"/>
        </w:rPr>
        <w:t>吨</w:t>
      </w:r>
      <w:r>
        <w:rPr>
          <w:rFonts w:ascii="Times New Roman" w:hAnsi="Times New Roman" w:eastAsia="Times New Roman" w:cs="Times New Roman"/>
          <w:spacing w:val="8"/>
          <w:sz w:val="23"/>
          <w:szCs w:val="23"/>
        </w:rPr>
        <w:t>/</w:t>
      </w:r>
      <w:r>
        <w:rPr>
          <w:rFonts w:ascii="宋体" w:hAnsi="宋体" w:eastAsia="宋体" w:cs="宋体"/>
          <w:spacing w:val="8"/>
          <w:sz w:val="23"/>
          <w:szCs w:val="23"/>
        </w:rPr>
        <w:t>吨废塑料。根据建设单位和生产设备单位提供的技术资料，该项目两段</w:t>
      </w:r>
      <w:r>
        <w:rPr>
          <w:rFonts w:ascii="宋体" w:hAnsi="宋体" w:eastAsia="宋体" w:cs="宋体"/>
          <w:spacing w:val="3"/>
          <w:sz w:val="23"/>
          <w:szCs w:val="23"/>
        </w:rPr>
        <w:t>清</w:t>
      </w:r>
      <w:r>
        <w:rPr>
          <w:rFonts w:ascii="宋体" w:hAnsi="宋体" w:eastAsia="宋体" w:cs="宋体"/>
          <w:sz w:val="23"/>
          <w:szCs w:val="23"/>
        </w:rPr>
        <w:t xml:space="preserve"> </w:t>
      </w:r>
      <w:r>
        <w:rPr>
          <w:rFonts w:ascii="宋体" w:hAnsi="宋体" w:eastAsia="宋体" w:cs="宋体"/>
          <w:spacing w:val="6"/>
          <w:sz w:val="23"/>
          <w:szCs w:val="23"/>
        </w:rPr>
        <w:t>洗工序</w:t>
      </w:r>
      <w:r>
        <w:rPr>
          <w:rFonts w:ascii="宋体" w:hAnsi="宋体" w:eastAsia="宋体" w:cs="宋体"/>
          <w:spacing w:val="4"/>
          <w:sz w:val="23"/>
          <w:szCs w:val="23"/>
        </w:rPr>
        <w:t>用</w:t>
      </w:r>
      <w:r>
        <w:rPr>
          <w:rFonts w:ascii="宋体" w:hAnsi="宋体" w:eastAsia="宋体" w:cs="宋体"/>
          <w:spacing w:val="3"/>
          <w:sz w:val="23"/>
          <w:szCs w:val="23"/>
        </w:rPr>
        <w:t xml:space="preserve">水量为 </w:t>
      </w:r>
      <w:r>
        <w:rPr>
          <w:rFonts w:ascii="Times New Roman" w:hAnsi="Times New Roman" w:eastAsia="Times New Roman" w:cs="Times New Roman"/>
          <w:spacing w:val="3"/>
          <w:sz w:val="23"/>
          <w:szCs w:val="23"/>
        </w:rPr>
        <w:t>0.5</w:t>
      </w:r>
      <w:r>
        <w:rPr>
          <w:rFonts w:ascii="Times New Roman" w:hAnsi="Times New Roman" w:eastAsia="Times New Roman" w:cs="Times New Roman"/>
          <w:sz w:val="23"/>
          <w:szCs w:val="23"/>
        </w:rPr>
        <w:t>t</w:t>
      </w:r>
      <w:r>
        <w:rPr>
          <w:rFonts w:ascii="Times New Roman" w:hAnsi="Times New Roman" w:eastAsia="Times New Roman" w:cs="Times New Roman"/>
          <w:spacing w:val="3"/>
          <w:sz w:val="23"/>
          <w:szCs w:val="23"/>
        </w:rPr>
        <w:t>/</w:t>
      </w:r>
      <w:r>
        <w:rPr>
          <w:rFonts w:ascii="宋体" w:hAnsi="宋体" w:eastAsia="宋体" w:cs="宋体"/>
          <w:spacing w:val="3"/>
          <w:sz w:val="23"/>
          <w:szCs w:val="23"/>
        </w:rPr>
        <w:t xml:space="preserve">吨原料，即 </w:t>
      </w:r>
      <w:r>
        <w:rPr>
          <w:rFonts w:ascii="Times New Roman" w:hAnsi="Times New Roman" w:eastAsia="Times New Roman" w:cs="Times New Roman"/>
          <w:spacing w:val="3"/>
          <w:sz w:val="23"/>
          <w:szCs w:val="23"/>
        </w:rPr>
        <w:t>0.5</w:t>
      </w:r>
      <w:r>
        <w:rPr>
          <w:rFonts w:ascii="Times New Roman" w:hAnsi="Times New Roman" w:eastAsia="Times New Roman" w:cs="Times New Roman"/>
          <w:sz w:val="23"/>
          <w:szCs w:val="23"/>
        </w:rPr>
        <w:t>m</w:t>
      </w:r>
      <w:r>
        <w:rPr>
          <w:rFonts w:ascii="Times New Roman" w:hAnsi="Times New Roman" w:eastAsia="Times New Roman" w:cs="Times New Roman"/>
          <w:spacing w:val="3"/>
          <w:position w:val="8"/>
          <w:sz w:val="15"/>
          <w:szCs w:val="15"/>
        </w:rPr>
        <w:t>3</w:t>
      </w:r>
      <w:r>
        <w:rPr>
          <w:rFonts w:ascii="Times New Roman" w:hAnsi="Times New Roman" w:eastAsia="Times New Roman" w:cs="Times New Roman"/>
          <w:spacing w:val="3"/>
          <w:sz w:val="23"/>
          <w:szCs w:val="23"/>
        </w:rPr>
        <w:t>/</w:t>
      </w:r>
      <w:r>
        <w:rPr>
          <w:rFonts w:ascii="宋体" w:hAnsi="宋体" w:eastAsia="宋体" w:cs="宋体"/>
          <w:spacing w:val="3"/>
          <w:sz w:val="23"/>
          <w:szCs w:val="23"/>
        </w:rPr>
        <w:t xml:space="preserve">吨原料。项目需要清洗的原料约为 </w:t>
      </w:r>
      <w:r>
        <w:rPr>
          <w:rFonts w:ascii="Times New Roman" w:hAnsi="Times New Roman" w:eastAsia="Times New Roman" w:cs="Times New Roman"/>
          <w:spacing w:val="3"/>
          <w:sz w:val="23"/>
          <w:szCs w:val="23"/>
        </w:rPr>
        <w:t>170</w:t>
      </w:r>
      <w:r>
        <w:rPr>
          <w:rFonts w:ascii="Times New Roman" w:hAnsi="Times New Roman" w:eastAsia="Times New Roman" w:cs="Times New Roman"/>
          <w:sz w:val="23"/>
          <w:szCs w:val="23"/>
        </w:rPr>
        <w:t>t</w:t>
      </w:r>
      <w:r>
        <w:rPr>
          <w:rFonts w:ascii="Times New Roman" w:hAnsi="Times New Roman" w:eastAsia="Times New Roman" w:cs="Times New Roman"/>
          <w:spacing w:val="3"/>
          <w:sz w:val="23"/>
          <w:szCs w:val="23"/>
        </w:rPr>
        <w:t>/</w:t>
      </w:r>
      <w:r>
        <w:rPr>
          <w:rFonts w:ascii="Times New Roman" w:hAnsi="Times New Roman" w:eastAsia="Times New Roman" w:cs="Times New Roman"/>
          <w:sz w:val="23"/>
          <w:szCs w:val="23"/>
        </w:rPr>
        <w:t xml:space="preserve">d </w:t>
      </w:r>
      <w:r>
        <w:rPr>
          <w:rFonts w:ascii="宋体" w:hAnsi="宋体" w:eastAsia="宋体" w:cs="宋体"/>
          <w:sz w:val="23"/>
          <w:szCs w:val="23"/>
        </w:rPr>
        <w:tab/>
      </w:r>
      <w:r>
        <w:rPr>
          <w:rFonts w:ascii="宋体" w:hAnsi="宋体" w:eastAsia="宋体" w:cs="宋体"/>
          <w:spacing w:val="6"/>
          <w:sz w:val="23"/>
          <w:szCs w:val="23"/>
        </w:rPr>
        <w:t>(</w:t>
      </w:r>
      <w:r>
        <w:rPr>
          <w:rFonts w:ascii="Times New Roman" w:hAnsi="Times New Roman" w:eastAsia="Times New Roman" w:cs="Times New Roman"/>
          <w:spacing w:val="6"/>
          <w:sz w:val="23"/>
          <w:szCs w:val="23"/>
        </w:rPr>
        <w:t>51100</w:t>
      </w:r>
      <w:r>
        <w:rPr>
          <w:rFonts w:ascii="Times New Roman" w:hAnsi="Times New Roman" w:eastAsia="Times New Roman" w:cs="Times New Roman"/>
          <w:sz w:val="23"/>
          <w:szCs w:val="23"/>
        </w:rPr>
        <w:t>t</w:t>
      </w:r>
      <w:r>
        <w:rPr>
          <w:rFonts w:ascii="Times New Roman" w:hAnsi="Times New Roman" w:eastAsia="Times New Roman" w:cs="Times New Roman"/>
          <w:spacing w:val="6"/>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6"/>
          <w:sz w:val="23"/>
          <w:szCs w:val="23"/>
        </w:rPr>
        <w:t xml:space="preserve"> </w:t>
      </w:r>
      <w:r>
        <w:rPr>
          <w:rFonts w:ascii="宋体" w:hAnsi="宋体" w:eastAsia="宋体" w:cs="宋体"/>
          <w:spacing w:val="4"/>
          <w:sz w:val="23"/>
          <w:szCs w:val="23"/>
        </w:rPr>
        <w:t>)</w:t>
      </w:r>
      <w:r>
        <w:rPr>
          <w:rFonts w:ascii="宋体" w:hAnsi="宋体" w:eastAsia="宋体" w:cs="宋体"/>
          <w:spacing w:val="3"/>
          <w:sz w:val="23"/>
          <w:szCs w:val="23"/>
        </w:rPr>
        <w:t xml:space="preserve"> ，则初洗工序及二级清洗工序用水量为 </w:t>
      </w:r>
      <w:r>
        <w:rPr>
          <w:rFonts w:ascii="Times New Roman" w:hAnsi="Times New Roman" w:eastAsia="Times New Roman" w:cs="Times New Roman"/>
          <w:spacing w:val="3"/>
          <w:sz w:val="23"/>
          <w:szCs w:val="23"/>
        </w:rPr>
        <w:t>85</w:t>
      </w:r>
      <w:r>
        <w:rPr>
          <w:rFonts w:ascii="Times New Roman" w:hAnsi="Times New Roman" w:eastAsia="Times New Roman" w:cs="Times New Roman"/>
          <w:sz w:val="23"/>
          <w:szCs w:val="23"/>
        </w:rPr>
        <w:t>m</w:t>
      </w:r>
      <w:r>
        <w:rPr>
          <w:rFonts w:ascii="Times New Roman" w:hAnsi="Times New Roman" w:eastAsia="Times New Roman" w:cs="Times New Roman"/>
          <w:spacing w:val="3"/>
          <w:position w:val="8"/>
          <w:sz w:val="15"/>
          <w:szCs w:val="15"/>
        </w:rPr>
        <w:t>3</w:t>
      </w:r>
      <w:r>
        <w:rPr>
          <w:rFonts w:ascii="Times New Roman" w:hAnsi="Times New Roman" w:eastAsia="Times New Roman" w:cs="Times New Roman"/>
          <w:spacing w:val="3"/>
          <w:sz w:val="23"/>
          <w:szCs w:val="23"/>
        </w:rPr>
        <w:t>/</w:t>
      </w:r>
      <w:r>
        <w:rPr>
          <w:rFonts w:ascii="Times New Roman" w:hAnsi="Times New Roman" w:eastAsia="Times New Roman" w:cs="Times New Roman"/>
          <w:sz w:val="23"/>
          <w:szCs w:val="23"/>
        </w:rPr>
        <w:t>d</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。清洗过程中水挥发</w:t>
      </w:r>
      <w:r>
        <w:rPr>
          <w:rFonts w:ascii="宋体" w:hAnsi="宋体" w:eastAsia="宋体" w:cs="宋体"/>
          <w:sz w:val="23"/>
          <w:szCs w:val="23"/>
        </w:rPr>
        <w:t xml:space="preserve"> </w:t>
      </w:r>
      <w:r>
        <w:rPr>
          <w:rFonts w:ascii="宋体" w:hAnsi="宋体" w:eastAsia="宋体" w:cs="宋体"/>
          <w:spacing w:val="2"/>
          <w:sz w:val="23"/>
          <w:szCs w:val="23"/>
        </w:rPr>
        <w:t xml:space="preserve">量按清洗水用量的 </w:t>
      </w:r>
      <w:r>
        <w:rPr>
          <w:rFonts w:ascii="Times New Roman" w:hAnsi="Times New Roman" w:eastAsia="Times New Roman" w:cs="Times New Roman"/>
          <w:spacing w:val="2"/>
          <w:sz w:val="23"/>
          <w:szCs w:val="23"/>
        </w:rPr>
        <w:t>5%</w:t>
      </w:r>
      <w:r>
        <w:rPr>
          <w:rFonts w:ascii="宋体" w:hAnsi="宋体" w:eastAsia="宋体" w:cs="宋体"/>
          <w:spacing w:val="2"/>
          <w:sz w:val="23"/>
          <w:szCs w:val="23"/>
        </w:rPr>
        <w:t xml:space="preserve">计，则新水补水量为 </w:t>
      </w:r>
      <w:r>
        <w:rPr>
          <w:rFonts w:ascii="Times New Roman" w:hAnsi="Times New Roman" w:eastAsia="Times New Roman" w:cs="Times New Roman"/>
          <w:spacing w:val="2"/>
          <w:sz w:val="23"/>
          <w:szCs w:val="23"/>
        </w:rPr>
        <w:t>4.25</w:t>
      </w:r>
      <w:r>
        <w:rPr>
          <w:rFonts w:ascii="Times New Roman" w:hAnsi="Times New Roman" w:eastAsia="Times New Roman" w:cs="Times New Roman"/>
          <w:sz w:val="23"/>
          <w:szCs w:val="23"/>
        </w:rPr>
        <w:t>m</w:t>
      </w:r>
      <w:r>
        <w:rPr>
          <w:rFonts w:ascii="Times New Roman" w:hAnsi="Times New Roman" w:eastAsia="Times New Roman" w:cs="Times New Roman"/>
          <w:spacing w:val="2"/>
          <w:position w:val="8"/>
          <w:sz w:val="15"/>
          <w:szCs w:val="15"/>
        </w:rPr>
        <w:t>3</w:t>
      </w:r>
      <w:r>
        <w:rPr>
          <w:rFonts w:ascii="Times New Roman" w:hAnsi="Times New Roman" w:eastAsia="Times New Roman" w:cs="Times New Roman"/>
          <w:spacing w:val="2"/>
          <w:sz w:val="23"/>
          <w:szCs w:val="23"/>
        </w:rPr>
        <w:t>/</w:t>
      </w:r>
      <w:r>
        <w:rPr>
          <w:rFonts w:ascii="Times New Roman" w:hAnsi="Times New Roman" w:eastAsia="Times New Roman" w:cs="Times New Roman"/>
          <w:sz w:val="23"/>
          <w:szCs w:val="23"/>
        </w:rPr>
        <w:t>d</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 xml:space="preserve">，即 </w:t>
      </w:r>
      <w:r>
        <w:rPr>
          <w:rFonts w:ascii="Times New Roman" w:hAnsi="Times New Roman" w:eastAsia="Times New Roman" w:cs="Times New Roman"/>
          <w:spacing w:val="1"/>
          <w:sz w:val="23"/>
          <w:szCs w:val="23"/>
        </w:rPr>
        <w:t>1275</w:t>
      </w:r>
      <w:r>
        <w:rPr>
          <w:rFonts w:ascii="Times New Roman" w:hAnsi="Times New Roman" w:eastAsia="Times New Roman" w:cs="Times New Roman"/>
          <w:sz w:val="23"/>
          <w:szCs w:val="23"/>
        </w:rPr>
        <w:t>m</w:t>
      </w:r>
      <w:r>
        <w:rPr>
          <w:rFonts w:ascii="Times New Roman" w:hAnsi="Times New Roman" w:eastAsia="Times New Roman" w:cs="Times New Roman"/>
          <w:spacing w:val="1"/>
          <w:position w:val="8"/>
          <w:sz w:val="15"/>
          <w:szCs w:val="15"/>
        </w:rPr>
        <w:t>3</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。综上所述，</w:t>
      </w:r>
      <w:r>
        <w:rPr>
          <w:rFonts w:ascii="宋体" w:hAnsi="宋体" w:eastAsia="宋体" w:cs="宋体"/>
          <w:sz w:val="23"/>
          <w:szCs w:val="23"/>
        </w:rPr>
        <w:t xml:space="preserve"> </w:t>
      </w:r>
      <w:r>
        <w:rPr>
          <w:rFonts w:ascii="宋体" w:hAnsi="宋体" w:eastAsia="宋体" w:cs="宋体"/>
          <w:spacing w:val="5"/>
          <w:sz w:val="23"/>
          <w:szCs w:val="23"/>
        </w:rPr>
        <w:t xml:space="preserve">该项目排入到沉淀池的清洗废水为 </w:t>
      </w:r>
      <w:r>
        <w:rPr>
          <w:rFonts w:ascii="Times New Roman" w:hAnsi="Times New Roman" w:eastAsia="Times New Roman" w:cs="Times New Roman"/>
          <w:spacing w:val="5"/>
          <w:sz w:val="23"/>
          <w:szCs w:val="23"/>
        </w:rPr>
        <w:t>80.75</w:t>
      </w:r>
      <w:r>
        <w:rPr>
          <w:rFonts w:ascii="Times New Roman" w:hAnsi="Times New Roman" w:eastAsia="Times New Roman" w:cs="Times New Roman"/>
          <w:sz w:val="23"/>
          <w:szCs w:val="23"/>
        </w:rPr>
        <w:t>m</w:t>
      </w:r>
      <w:r>
        <w:rPr>
          <w:rFonts w:ascii="Times New Roman" w:hAnsi="Times New Roman" w:eastAsia="Times New Roman" w:cs="Times New Roman"/>
          <w:spacing w:val="5"/>
          <w:position w:val="8"/>
          <w:sz w:val="15"/>
          <w:szCs w:val="15"/>
        </w:rPr>
        <w:t>3</w:t>
      </w:r>
      <w:r>
        <w:rPr>
          <w:rFonts w:ascii="Times New Roman" w:hAnsi="Times New Roman" w:eastAsia="Times New Roman" w:cs="Times New Roman"/>
          <w:spacing w:val="5"/>
          <w:sz w:val="23"/>
          <w:szCs w:val="23"/>
        </w:rPr>
        <w:t>/</w:t>
      </w:r>
      <w:r>
        <w:rPr>
          <w:rFonts w:ascii="Times New Roman" w:hAnsi="Times New Roman" w:eastAsia="Times New Roman" w:cs="Times New Roman"/>
          <w:sz w:val="23"/>
          <w:szCs w:val="23"/>
        </w:rPr>
        <w:t>d</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rPr>
        <w:t xml:space="preserve">，其中 </w:t>
      </w:r>
      <w:r>
        <w:rPr>
          <w:rFonts w:ascii="Times New Roman" w:hAnsi="Times New Roman" w:eastAsia="Times New Roman" w:cs="Times New Roman"/>
          <w:spacing w:val="5"/>
          <w:sz w:val="23"/>
          <w:szCs w:val="23"/>
        </w:rPr>
        <w:t>60%</w:t>
      </w:r>
      <w:r>
        <w:rPr>
          <w:rFonts w:ascii="宋体" w:hAnsi="宋体" w:eastAsia="宋体" w:cs="宋体"/>
          <w:spacing w:val="5"/>
          <w:sz w:val="23"/>
          <w:szCs w:val="23"/>
        </w:rPr>
        <w:t>的废水由偏心清洗机</w:t>
      </w:r>
      <w:r>
        <w:rPr>
          <w:rFonts w:ascii="宋体" w:hAnsi="宋体" w:eastAsia="宋体" w:cs="宋体"/>
          <w:spacing w:val="1"/>
          <w:sz w:val="23"/>
          <w:szCs w:val="23"/>
        </w:rPr>
        <w:t>直</w:t>
      </w:r>
      <w:r>
        <w:rPr>
          <w:rFonts w:ascii="宋体" w:hAnsi="宋体" w:eastAsia="宋体" w:cs="宋体"/>
          <w:sz w:val="23"/>
          <w:szCs w:val="23"/>
        </w:rPr>
        <w:t xml:space="preserve"> </w:t>
      </w:r>
      <w:r>
        <w:rPr>
          <w:rFonts w:ascii="宋体" w:hAnsi="宋体" w:eastAsia="宋体" w:cs="宋体"/>
          <w:spacing w:val="12"/>
          <w:sz w:val="23"/>
          <w:szCs w:val="23"/>
        </w:rPr>
        <w:t>接</w:t>
      </w:r>
      <w:r>
        <w:rPr>
          <w:rFonts w:ascii="宋体" w:hAnsi="宋体" w:eastAsia="宋体" w:cs="宋体"/>
          <w:spacing w:val="9"/>
          <w:sz w:val="23"/>
          <w:szCs w:val="23"/>
        </w:rPr>
        <w:t>排入沉淀池，其余由脱水机脱水后排入沉淀池。</w:t>
      </w:r>
    </w:p>
    <w:p w14:paraId="5AE4F818">
      <w:pPr>
        <w:spacing w:before="154" w:line="323" w:lineRule="exact"/>
        <w:ind w:left="502"/>
        <w:rPr>
          <w:rFonts w:ascii="宋体" w:hAnsi="宋体" w:eastAsia="宋体" w:cs="宋体"/>
          <w:sz w:val="23"/>
          <w:szCs w:val="23"/>
        </w:rPr>
      </w:pPr>
      <w:r>
        <w:rPr>
          <w:rFonts w:ascii="Times New Roman" w:hAnsi="Times New Roman" w:eastAsia="Times New Roman" w:cs="Times New Roman"/>
          <w:position w:val="1"/>
          <w:sz w:val="23"/>
          <w:szCs w:val="23"/>
        </w:rPr>
        <w:t>d</w:t>
      </w:r>
      <w:r>
        <w:rPr>
          <w:rFonts w:ascii="Times New Roman" w:hAnsi="Times New Roman" w:eastAsia="Times New Roman" w:cs="Times New Roman"/>
          <w:spacing w:val="9"/>
          <w:position w:val="1"/>
          <w:sz w:val="23"/>
          <w:szCs w:val="23"/>
        </w:rPr>
        <w:t>.</w:t>
      </w:r>
      <w:r>
        <w:rPr>
          <w:rFonts w:ascii="宋体" w:hAnsi="宋体" w:eastAsia="宋体" w:cs="宋体"/>
          <w:spacing w:val="8"/>
          <w:position w:val="1"/>
          <w:sz w:val="23"/>
          <w:szCs w:val="23"/>
        </w:rPr>
        <w:t>循环冷却水</w:t>
      </w:r>
    </w:p>
    <w:p w14:paraId="588B1683">
      <w:pPr>
        <w:spacing w:line="280" w:lineRule="auto"/>
        <w:rPr>
          <w:rFonts w:ascii="Arial"/>
          <w:sz w:val="21"/>
        </w:rPr>
      </w:pPr>
    </w:p>
    <w:p w14:paraId="7E8D5C4D">
      <w:pPr>
        <w:spacing w:before="76" w:line="385" w:lineRule="auto"/>
        <w:ind w:left="21" w:right="35" w:firstLine="485"/>
        <w:rPr>
          <w:rFonts w:ascii="宋体" w:hAnsi="宋体" w:eastAsia="宋体" w:cs="宋体"/>
          <w:sz w:val="23"/>
          <w:szCs w:val="23"/>
        </w:rPr>
      </w:pPr>
      <w:r>
        <w:rPr>
          <w:rFonts w:ascii="宋体" w:hAnsi="宋体" w:eastAsia="宋体" w:cs="宋体"/>
          <w:spacing w:val="3"/>
          <w:sz w:val="23"/>
          <w:szCs w:val="23"/>
        </w:rPr>
        <w:t xml:space="preserve">该项目每条造粒生产线均设有 </w:t>
      </w:r>
      <w:r>
        <w:rPr>
          <w:rFonts w:ascii="Times New Roman" w:hAnsi="Times New Roman" w:eastAsia="Times New Roman" w:cs="Times New Roman"/>
          <w:spacing w:val="3"/>
          <w:sz w:val="23"/>
          <w:szCs w:val="23"/>
        </w:rPr>
        <w:t xml:space="preserve">1 </w:t>
      </w:r>
      <w:r>
        <w:rPr>
          <w:rFonts w:ascii="宋体" w:hAnsi="宋体" w:eastAsia="宋体" w:cs="宋体"/>
          <w:spacing w:val="3"/>
          <w:sz w:val="23"/>
          <w:szCs w:val="23"/>
        </w:rPr>
        <w:t xml:space="preserve">台拉丝机，每台拉丝机配套设有 </w:t>
      </w:r>
      <w:r>
        <w:rPr>
          <w:rFonts w:ascii="Times New Roman" w:hAnsi="Times New Roman" w:eastAsia="Times New Roman" w:cs="Times New Roman"/>
          <w:spacing w:val="3"/>
          <w:sz w:val="23"/>
          <w:szCs w:val="23"/>
        </w:rPr>
        <w:t xml:space="preserve">1 </w:t>
      </w:r>
      <w:r>
        <w:rPr>
          <w:rFonts w:ascii="宋体" w:hAnsi="宋体" w:eastAsia="宋体" w:cs="宋体"/>
          <w:spacing w:val="3"/>
          <w:sz w:val="23"/>
          <w:szCs w:val="23"/>
        </w:rPr>
        <w:t>座容积</w:t>
      </w:r>
      <w:r>
        <w:rPr>
          <w:rFonts w:ascii="宋体" w:hAnsi="宋体" w:eastAsia="宋体" w:cs="宋体"/>
          <w:sz w:val="23"/>
          <w:szCs w:val="23"/>
        </w:rPr>
        <w:t xml:space="preserve">为 </w:t>
      </w:r>
      <w:r>
        <w:rPr>
          <w:rFonts w:ascii="Times New Roman" w:hAnsi="Times New Roman" w:eastAsia="Times New Roman" w:cs="Times New Roman"/>
          <w:spacing w:val="8"/>
          <w:sz w:val="23"/>
          <w:szCs w:val="23"/>
        </w:rPr>
        <w:t>0.79</w:t>
      </w:r>
      <w:r>
        <w:rPr>
          <w:rFonts w:ascii="Times New Roman" w:hAnsi="Times New Roman" w:eastAsia="Times New Roman" w:cs="Times New Roman"/>
          <w:sz w:val="23"/>
          <w:szCs w:val="23"/>
        </w:rPr>
        <w:t>m</w:t>
      </w:r>
      <w:r>
        <w:rPr>
          <w:rFonts w:ascii="Times New Roman" w:hAnsi="Times New Roman" w:eastAsia="Times New Roman" w:cs="Times New Roman"/>
          <w:spacing w:val="8"/>
          <w:position w:val="8"/>
          <w:sz w:val="15"/>
          <w:szCs w:val="15"/>
        </w:rPr>
        <w:t xml:space="preserve">3   </w:t>
      </w:r>
      <w:r>
        <w:rPr>
          <w:rFonts w:ascii="宋体" w:hAnsi="宋体" w:eastAsia="宋体" w:cs="宋体"/>
          <w:spacing w:val="8"/>
          <w:sz w:val="23"/>
          <w:szCs w:val="23"/>
        </w:rPr>
        <w:t>(</w:t>
      </w:r>
      <w:r>
        <w:rPr>
          <w:rFonts w:ascii="Times New Roman" w:hAnsi="Times New Roman" w:eastAsia="Times New Roman" w:cs="Times New Roman"/>
          <w:spacing w:val="8"/>
          <w:sz w:val="23"/>
          <w:szCs w:val="23"/>
        </w:rPr>
        <w:t>4.5</w:t>
      </w:r>
      <w:r>
        <w:rPr>
          <w:rFonts w:ascii="Times New Roman" w:hAnsi="Times New Roman" w:eastAsia="Times New Roman" w:cs="Times New Roman"/>
          <w:sz w:val="23"/>
          <w:szCs w:val="23"/>
        </w:rPr>
        <w:t>m</w:t>
      </w:r>
      <w:r>
        <w:rPr>
          <w:rFonts w:ascii="Times New Roman" w:hAnsi="Times New Roman" w:eastAsia="Times New Roman" w:cs="Times New Roman"/>
          <w:spacing w:val="8"/>
          <w:sz w:val="23"/>
          <w:szCs w:val="23"/>
        </w:rPr>
        <w:t>×0.5</w:t>
      </w:r>
      <w:r>
        <w:rPr>
          <w:rFonts w:ascii="Times New Roman" w:hAnsi="Times New Roman" w:eastAsia="Times New Roman" w:cs="Times New Roman"/>
          <w:sz w:val="23"/>
          <w:szCs w:val="23"/>
        </w:rPr>
        <w:t>m</w:t>
      </w:r>
      <w:r>
        <w:rPr>
          <w:rFonts w:ascii="Times New Roman" w:hAnsi="Times New Roman" w:eastAsia="Times New Roman" w:cs="Times New Roman"/>
          <w:spacing w:val="8"/>
          <w:sz w:val="23"/>
          <w:szCs w:val="23"/>
        </w:rPr>
        <w:t>×0.35</w:t>
      </w:r>
      <w:r>
        <w:rPr>
          <w:rFonts w:ascii="Times New Roman" w:hAnsi="Times New Roman" w:eastAsia="Times New Roman" w:cs="Times New Roman"/>
          <w:sz w:val="23"/>
          <w:szCs w:val="23"/>
        </w:rPr>
        <w:t>m</w:t>
      </w:r>
      <w:r>
        <w:rPr>
          <w:rFonts w:ascii="宋体" w:hAnsi="宋体" w:eastAsia="宋体" w:cs="宋体"/>
          <w:spacing w:val="8"/>
          <w:sz w:val="23"/>
          <w:szCs w:val="23"/>
        </w:rPr>
        <w:t>) 的冷却池，物料在挤出成型过程中需要用水对物</w:t>
      </w:r>
      <w:r>
        <w:rPr>
          <w:rFonts w:ascii="宋体" w:hAnsi="宋体" w:eastAsia="宋体" w:cs="宋体"/>
          <w:spacing w:val="1"/>
          <w:sz w:val="23"/>
          <w:szCs w:val="23"/>
        </w:rPr>
        <w:t>料</w:t>
      </w:r>
      <w:r>
        <w:rPr>
          <w:rFonts w:ascii="宋体" w:hAnsi="宋体" w:eastAsia="宋体" w:cs="宋体"/>
          <w:sz w:val="23"/>
          <w:szCs w:val="23"/>
        </w:rPr>
        <w:t xml:space="preserve"> </w:t>
      </w:r>
      <w:r>
        <w:rPr>
          <w:rFonts w:ascii="宋体" w:hAnsi="宋体" w:eastAsia="宋体" w:cs="宋体"/>
          <w:spacing w:val="10"/>
          <w:sz w:val="23"/>
          <w:szCs w:val="23"/>
        </w:rPr>
        <w:t>进</w:t>
      </w:r>
      <w:r>
        <w:rPr>
          <w:rFonts w:ascii="宋体" w:hAnsi="宋体" w:eastAsia="宋体" w:cs="宋体"/>
          <w:spacing w:val="7"/>
          <w:sz w:val="23"/>
          <w:szCs w:val="23"/>
        </w:rPr>
        <w:t>行冷却，该冷却废水的水质基本没有受到污染，仅水温高并含有冷却产生的塑</w:t>
      </w:r>
    </w:p>
    <w:p w14:paraId="5A1DCA17">
      <w:pPr>
        <w:spacing w:line="228" w:lineRule="auto"/>
        <w:ind w:left="23"/>
        <w:rPr>
          <w:rFonts w:ascii="宋体" w:hAnsi="宋体" w:eastAsia="宋体" w:cs="宋体"/>
          <w:sz w:val="23"/>
          <w:szCs w:val="23"/>
        </w:rPr>
      </w:pPr>
      <w:r>
        <w:rPr>
          <w:rFonts w:ascii="宋体" w:hAnsi="宋体" w:eastAsia="宋体" w:cs="宋体"/>
          <w:spacing w:val="14"/>
          <w:sz w:val="23"/>
          <w:szCs w:val="23"/>
        </w:rPr>
        <w:t>料渣，可排入沉淀池沉淀后回用，不外排。该项目项目塑料挤出冷却用水量</w:t>
      </w:r>
      <w:r>
        <w:rPr>
          <w:rFonts w:ascii="宋体" w:hAnsi="宋体" w:eastAsia="宋体" w:cs="宋体"/>
          <w:spacing w:val="12"/>
          <w:sz w:val="23"/>
          <w:szCs w:val="23"/>
        </w:rPr>
        <w:t>为</w:t>
      </w:r>
    </w:p>
    <w:p w14:paraId="09A9A6F8">
      <w:pPr>
        <w:spacing w:before="153" w:line="399" w:lineRule="auto"/>
        <w:ind w:left="23" w:right="35"/>
        <w:rPr>
          <w:rFonts w:ascii="宋体" w:hAnsi="宋体" w:eastAsia="宋体" w:cs="宋体"/>
          <w:sz w:val="23"/>
          <w:szCs w:val="23"/>
        </w:rPr>
      </w:pPr>
      <w:r>
        <w:rPr>
          <w:rFonts w:ascii="Times New Roman" w:hAnsi="Times New Roman" w:eastAsia="Times New Roman" w:cs="Times New Roman"/>
          <w:spacing w:val="10"/>
          <w:sz w:val="23"/>
          <w:szCs w:val="23"/>
        </w:rPr>
        <w:t>3</w:t>
      </w:r>
      <w:r>
        <w:rPr>
          <w:rFonts w:ascii="Times New Roman" w:hAnsi="Times New Roman" w:eastAsia="Times New Roman" w:cs="Times New Roman"/>
          <w:spacing w:val="9"/>
          <w:sz w:val="23"/>
          <w:szCs w:val="23"/>
        </w:rPr>
        <w:t>0</w:t>
      </w:r>
      <w:r>
        <w:rPr>
          <w:rFonts w:ascii="Times New Roman" w:hAnsi="Times New Roman" w:eastAsia="Times New Roman" w:cs="Times New Roman"/>
          <w:sz w:val="23"/>
          <w:szCs w:val="23"/>
        </w:rPr>
        <w:t>m</w:t>
      </w:r>
      <w:r>
        <w:rPr>
          <w:rFonts w:ascii="Times New Roman" w:hAnsi="Times New Roman" w:eastAsia="Times New Roman" w:cs="Times New Roman"/>
          <w:spacing w:val="5"/>
          <w:position w:val="8"/>
          <w:sz w:val="15"/>
          <w:szCs w:val="15"/>
        </w:rPr>
        <w:t>3</w:t>
      </w:r>
      <w:r>
        <w:rPr>
          <w:rFonts w:ascii="Times New Roman" w:hAnsi="Times New Roman" w:eastAsia="Times New Roman" w:cs="Times New Roman"/>
          <w:spacing w:val="5"/>
          <w:sz w:val="23"/>
          <w:szCs w:val="23"/>
        </w:rPr>
        <w:t>/</w:t>
      </w:r>
      <w:r>
        <w:rPr>
          <w:rFonts w:ascii="Times New Roman" w:hAnsi="Times New Roman" w:eastAsia="Times New Roman" w:cs="Times New Roman"/>
          <w:sz w:val="23"/>
          <w:szCs w:val="23"/>
        </w:rPr>
        <w:t>d</w:t>
      </w:r>
      <w:r>
        <w:rPr>
          <w:rFonts w:ascii="宋体" w:hAnsi="宋体" w:eastAsia="宋体" w:cs="宋体"/>
          <w:spacing w:val="5"/>
          <w:sz w:val="23"/>
          <w:szCs w:val="23"/>
        </w:rPr>
        <w:t xml:space="preserve">，冷却过程中水汽蒸发损耗，按用水量的 </w:t>
      </w:r>
      <w:r>
        <w:rPr>
          <w:rFonts w:ascii="Times New Roman" w:hAnsi="Times New Roman" w:eastAsia="Times New Roman" w:cs="Times New Roman"/>
          <w:spacing w:val="5"/>
          <w:sz w:val="23"/>
          <w:szCs w:val="23"/>
        </w:rPr>
        <w:t>10%</w:t>
      </w:r>
      <w:r>
        <w:rPr>
          <w:rFonts w:ascii="宋体" w:hAnsi="宋体" w:eastAsia="宋体" w:cs="宋体"/>
          <w:spacing w:val="5"/>
          <w:sz w:val="23"/>
          <w:szCs w:val="23"/>
        </w:rPr>
        <w:t>计，则该项目需补充新鲜水</w:t>
      </w:r>
      <w:r>
        <w:rPr>
          <w:rFonts w:ascii="宋体" w:hAnsi="宋体" w:eastAsia="宋体" w:cs="宋体"/>
          <w:sz w:val="23"/>
          <w:szCs w:val="23"/>
        </w:rPr>
        <w:t xml:space="preserve"> </w:t>
      </w:r>
      <w:r>
        <w:rPr>
          <w:rFonts w:ascii="宋体" w:hAnsi="宋体" w:eastAsia="宋体" w:cs="宋体"/>
          <w:spacing w:val="-1"/>
          <w:sz w:val="23"/>
          <w:szCs w:val="23"/>
        </w:rPr>
        <w:t xml:space="preserve">量 </w:t>
      </w:r>
      <w:r>
        <w:rPr>
          <w:rFonts w:ascii="Times New Roman" w:hAnsi="Times New Roman" w:eastAsia="Times New Roman" w:cs="Times New Roman"/>
          <w:spacing w:val="-1"/>
          <w:sz w:val="23"/>
          <w:szCs w:val="23"/>
        </w:rPr>
        <w:t>3</w:t>
      </w:r>
      <w:r>
        <w:rPr>
          <w:rFonts w:ascii="Times New Roman" w:hAnsi="Times New Roman" w:eastAsia="Times New Roman" w:cs="Times New Roman"/>
          <w:sz w:val="23"/>
          <w:szCs w:val="23"/>
        </w:rPr>
        <w:t>m</w:t>
      </w:r>
      <w:r>
        <w:rPr>
          <w:rFonts w:ascii="Times New Roman" w:hAnsi="Times New Roman" w:eastAsia="Times New Roman" w:cs="Times New Roman"/>
          <w:spacing w:val="-1"/>
          <w:position w:val="8"/>
          <w:sz w:val="15"/>
          <w:szCs w:val="15"/>
        </w:rPr>
        <w:t>3</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d</w:t>
      </w:r>
      <w:r>
        <w:rPr>
          <w:rFonts w:ascii="Times New Roman" w:hAnsi="Times New Roman" w:eastAsia="Times New Roman" w:cs="Times New Roman"/>
          <w:spacing w:val="-1"/>
          <w:sz w:val="23"/>
          <w:szCs w:val="23"/>
        </w:rPr>
        <w:t xml:space="preserve"> </w:t>
      </w:r>
      <w:r>
        <w:rPr>
          <w:rFonts w:ascii="宋体" w:hAnsi="宋体" w:eastAsia="宋体" w:cs="宋体"/>
          <w:sz w:val="23"/>
          <w:szCs w:val="23"/>
        </w:rPr>
        <w:t xml:space="preserve">，即 </w:t>
      </w:r>
      <w:r>
        <w:rPr>
          <w:rFonts w:ascii="Times New Roman" w:hAnsi="Times New Roman" w:eastAsia="Times New Roman" w:cs="Times New Roman"/>
          <w:sz w:val="23"/>
          <w:szCs w:val="23"/>
        </w:rPr>
        <w:t>900m</w:t>
      </w:r>
      <w:r>
        <w:rPr>
          <w:rFonts w:ascii="Times New Roman" w:hAnsi="Times New Roman" w:eastAsia="Times New Roman" w:cs="Times New Roman"/>
          <w:position w:val="8"/>
          <w:sz w:val="15"/>
          <w:szCs w:val="15"/>
        </w:rPr>
        <w:t>3</w:t>
      </w:r>
      <w:r>
        <w:rPr>
          <w:rFonts w:ascii="Times New Roman" w:hAnsi="Times New Roman" w:eastAsia="Times New Roman" w:cs="Times New Roman"/>
          <w:sz w:val="23"/>
          <w:szCs w:val="23"/>
        </w:rPr>
        <w:t xml:space="preserve">/a </w:t>
      </w:r>
      <w:r>
        <w:rPr>
          <w:rFonts w:ascii="宋体" w:hAnsi="宋体" w:eastAsia="宋体" w:cs="宋体"/>
          <w:sz w:val="23"/>
          <w:szCs w:val="23"/>
        </w:rPr>
        <w:t xml:space="preserve">。该项目排入到沉淀池的循环冷却水为 </w:t>
      </w:r>
      <w:r>
        <w:rPr>
          <w:rFonts w:ascii="Times New Roman" w:hAnsi="Times New Roman" w:eastAsia="Times New Roman" w:cs="Times New Roman"/>
          <w:sz w:val="23"/>
          <w:szCs w:val="23"/>
        </w:rPr>
        <w:t>27m</w:t>
      </w:r>
      <w:r>
        <w:rPr>
          <w:rFonts w:ascii="Times New Roman" w:hAnsi="Times New Roman" w:eastAsia="Times New Roman" w:cs="Times New Roman"/>
          <w:position w:val="8"/>
          <w:sz w:val="15"/>
          <w:szCs w:val="15"/>
        </w:rPr>
        <w:t>3</w:t>
      </w:r>
      <w:r>
        <w:rPr>
          <w:rFonts w:ascii="Times New Roman" w:hAnsi="Times New Roman" w:eastAsia="Times New Roman" w:cs="Times New Roman"/>
          <w:sz w:val="23"/>
          <w:szCs w:val="23"/>
        </w:rPr>
        <w:t>/d</w:t>
      </w:r>
      <w:r>
        <w:rPr>
          <w:rFonts w:ascii="宋体" w:hAnsi="宋体" w:eastAsia="宋体" w:cs="宋体"/>
          <w:sz w:val="23"/>
          <w:szCs w:val="23"/>
        </w:rPr>
        <w:t>。</w:t>
      </w:r>
    </w:p>
    <w:p w14:paraId="6BBD2926">
      <w:pPr>
        <w:spacing w:before="166" w:line="388" w:lineRule="auto"/>
        <w:ind w:left="24" w:firstLine="485"/>
        <w:rPr>
          <w:rFonts w:ascii="宋体" w:hAnsi="宋体" w:eastAsia="宋体" w:cs="宋体"/>
          <w:sz w:val="23"/>
          <w:szCs w:val="23"/>
        </w:rPr>
      </w:pPr>
      <w:r>
        <w:rPr>
          <w:rFonts w:ascii="宋体" w:hAnsi="宋体" w:eastAsia="宋体" w:cs="宋体"/>
          <w:spacing w:val="2"/>
          <w:sz w:val="23"/>
          <w:szCs w:val="23"/>
        </w:rPr>
        <w:t xml:space="preserve">该项目设有 </w:t>
      </w:r>
      <w:r>
        <w:rPr>
          <w:rFonts w:ascii="Times New Roman" w:hAnsi="Times New Roman" w:eastAsia="Times New Roman" w:cs="Times New Roman"/>
          <w:spacing w:val="2"/>
          <w:sz w:val="23"/>
          <w:szCs w:val="23"/>
        </w:rPr>
        <w:t xml:space="preserve">1 </w:t>
      </w:r>
      <w:r>
        <w:rPr>
          <w:rFonts w:ascii="宋体" w:hAnsi="宋体" w:eastAsia="宋体" w:cs="宋体"/>
          <w:spacing w:val="2"/>
          <w:sz w:val="23"/>
          <w:szCs w:val="23"/>
        </w:rPr>
        <w:t xml:space="preserve">座容积为 </w:t>
      </w:r>
      <w:r>
        <w:rPr>
          <w:rFonts w:ascii="Times New Roman" w:hAnsi="Times New Roman" w:eastAsia="Times New Roman" w:cs="Times New Roman"/>
          <w:spacing w:val="1"/>
          <w:sz w:val="23"/>
          <w:szCs w:val="23"/>
        </w:rPr>
        <w:t>324</w:t>
      </w:r>
      <w:r>
        <w:rPr>
          <w:rFonts w:ascii="Times New Roman" w:hAnsi="Times New Roman" w:eastAsia="Times New Roman" w:cs="Times New Roman"/>
          <w:sz w:val="23"/>
          <w:szCs w:val="23"/>
        </w:rPr>
        <w:t>m</w:t>
      </w:r>
      <w:r>
        <w:rPr>
          <w:rFonts w:ascii="Times New Roman" w:hAnsi="Times New Roman" w:eastAsia="Times New Roman" w:cs="Times New Roman"/>
          <w:spacing w:val="1"/>
          <w:position w:val="8"/>
          <w:sz w:val="15"/>
          <w:szCs w:val="15"/>
        </w:rPr>
        <w:t xml:space="preserve">3 </w:t>
      </w:r>
      <w:r>
        <w:rPr>
          <w:rFonts w:ascii="宋体" w:hAnsi="宋体" w:eastAsia="宋体" w:cs="宋体"/>
          <w:spacing w:val="1"/>
          <w:sz w:val="23"/>
          <w:szCs w:val="23"/>
        </w:rPr>
        <w:t>的三级沉淀池 (</w:t>
      </w:r>
      <w:r>
        <w:rPr>
          <w:rFonts w:ascii="Times New Roman" w:hAnsi="Times New Roman" w:eastAsia="Times New Roman" w:cs="Times New Roman"/>
          <w:spacing w:val="1"/>
          <w:sz w:val="23"/>
          <w:szCs w:val="23"/>
        </w:rPr>
        <w:t>12</w:t>
      </w:r>
      <w:r>
        <w:rPr>
          <w:rFonts w:ascii="Times New Roman" w:hAnsi="Times New Roman" w:eastAsia="Times New Roman" w:cs="Times New Roman"/>
          <w:sz w:val="23"/>
          <w:szCs w:val="23"/>
        </w:rPr>
        <w:t>m</w:t>
      </w:r>
      <w:r>
        <w:rPr>
          <w:rFonts w:ascii="Times New Roman" w:hAnsi="Times New Roman" w:eastAsia="Times New Roman" w:cs="Times New Roman"/>
          <w:spacing w:val="1"/>
          <w:sz w:val="23"/>
          <w:szCs w:val="23"/>
        </w:rPr>
        <w:t>×6</w:t>
      </w:r>
      <w:r>
        <w:rPr>
          <w:rFonts w:ascii="Times New Roman" w:hAnsi="Times New Roman" w:eastAsia="Times New Roman" w:cs="Times New Roman"/>
          <w:sz w:val="23"/>
          <w:szCs w:val="23"/>
        </w:rPr>
        <w:t>m</w:t>
      </w:r>
      <w:r>
        <w:rPr>
          <w:rFonts w:ascii="Times New Roman" w:hAnsi="Times New Roman" w:eastAsia="Times New Roman" w:cs="Times New Roman"/>
          <w:spacing w:val="1"/>
          <w:sz w:val="23"/>
          <w:szCs w:val="23"/>
        </w:rPr>
        <w:t>×4.5</w:t>
      </w:r>
      <w:r>
        <w:rPr>
          <w:rFonts w:ascii="Times New Roman" w:hAnsi="Times New Roman" w:eastAsia="Times New Roman" w:cs="Times New Roman"/>
          <w:sz w:val="23"/>
          <w:szCs w:val="23"/>
        </w:rPr>
        <w:t>m</w:t>
      </w:r>
      <w:r>
        <w:rPr>
          <w:rFonts w:ascii="宋体" w:hAnsi="宋体" w:eastAsia="宋体" w:cs="宋体"/>
          <w:spacing w:val="1"/>
          <w:sz w:val="23"/>
          <w:szCs w:val="23"/>
        </w:rPr>
        <w:t>) ，同时配套设</w:t>
      </w:r>
      <w:r>
        <w:rPr>
          <w:rFonts w:ascii="宋体" w:hAnsi="宋体" w:eastAsia="宋体" w:cs="宋体"/>
          <w:sz w:val="23"/>
          <w:szCs w:val="23"/>
        </w:rPr>
        <w:t xml:space="preserve"> </w:t>
      </w:r>
      <w:r>
        <w:rPr>
          <w:rFonts w:ascii="宋体" w:hAnsi="宋体" w:eastAsia="宋体" w:cs="宋体"/>
          <w:spacing w:val="8"/>
          <w:sz w:val="23"/>
          <w:szCs w:val="23"/>
        </w:rPr>
        <w:t>有</w:t>
      </w:r>
      <w:r>
        <w:rPr>
          <w:rFonts w:ascii="宋体" w:hAnsi="宋体" w:eastAsia="宋体" w:cs="宋体"/>
          <w:spacing w:val="5"/>
          <w:sz w:val="23"/>
          <w:szCs w:val="23"/>
        </w:rPr>
        <w:t xml:space="preserve"> </w:t>
      </w:r>
      <w:r>
        <w:rPr>
          <w:rFonts w:ascii="Times New Roman" w:hAnsi="Times New Roman" w:eastAsia="Times New Roman" w:cs="Times New Roman"/>
          <w:spacing w:val="5"/>
          <w:sz w:val="23"/>
          <w:szCs w:val="23"/>
        </w:rPr>
        <w:t xml:space="preserve">1 </w:t>
      </w:r>
      <w:r>
        <w:rPr>
          <w:rFonts w:ascii="宋体" w:hAnsi="宋体" w:eastAsia="宋体" w:cs="宋体"/>
          <w:spacing w:val="5"/>
          <w:sz w:val="23"/>
          <w:szCs w:val="23"/>
        </w:rPr>
        <w:t>台一体化污水预处理设备，均位于生产厂房西南侧，产生的生产废水经一体</w:t>
      </w:r>
      <w:r>
        <w:rPr>
          <w:rFonts w:ascii="宋体" w:hAnsi="宋体" w:eastAsia="宋体" w:cs="宋体"/>
          <w:sz w:val="23"/>
          <w:szCs w:val="23"/>
        </w:rPr>
        <w:t xml:space="preserve"> </w:t>
      </w:r>
      <w:r>
        <w:rPr>
          <w:rFonts w:ascii="宋体" w:hAnsi="宋体" w:eastAsia="宋体" w:cs="宋体"/>
          <w:spacing w:val="10"/>
          <w:sz w:val="23"/>
          <w:szCs w:val="23"/>
        </w:rPr>
        <w:t>化污水</w:t>
      </w:r>
      <w:r>
        <w:rPr>
          <w:rFonts w:ascii="宋体" w:hAnsi="宋体" w:eastAsia="宋体" w:cs="宋体"/>
          <w:spacing w:val="6"/>
          <w:sz w:val="23"/>
          <w:szCs w:val="23"/>
        </w:rPr>
        <w:t>预</w:t>
      </w:r>
      <w:r>
        <w:rPr>
          <w:rFonts w:ascii="宋体" w:hAnsi="宋体" w:eastAsia="宋体" w:cs="宋体"/>
          <w:spacing w:val="5"/>
          <w:sz w:val="23"/>
          <w:szCs w:val="23"/>
        </w:rPr>
        <w:t>处理设备处理后排入三级沉淀池 (</w:t>
      </w:r>
      <w:r>
        <w:rPr>
          <w:rFonts w:ascii="Times New Roman" w:hAnsi="Times New Roman" w:eastAsia="Times New Roman" w:cs="Times New Roman"/>
          <w:spacing w:val="5"/>
          <w:sz w:val="23"/>
          <w:szCs w:val="23"/>
        </w:rPr>
        <w:t>12</w:t>
      </w:r>
      <w:r>
        <w:rPr>
          <w:rFonts w:ascii="Times New Roman" w:hAnsi="Times New Roman" w:eastAsia="Times New Roman" w:cs="Times New Roman"/>
          <w:sz w:val="23"/>
          <w:szCs w:val="23"/>
        </w:rPr>
        <w:t>m</w:t>
      </w:r>
      <w:r>
        <w:rPr>
          <w:rFonts w:ascii="Times New Roman" w:hAnsi="Times New Roman" w:eastAsia="Times New Roman" w:cs="Times New Roman"/>
          <w:spacing w:val="5"/>
          <w:sz w:val="23"/>
          <w:szCs w:val="23"/>
        </w:rPr>
        <w:t>×6</w:t>
      </w:r>
      <w:r>
        <w:rPr>
          <w:rFonts w:ascii="Times New Roman" w:hAnsi="Times New Roman" w:eastAsia="Times New Roman" w:cs="Times New Roman"/>
          <w:sz w:val="23"/>
          <w:szCs w:val="23"/>
        </w:rPr>
        <w:t>m</w:t>
      </w:r>
      <w:r>
        <w:rPr>
          <w:rFonts w:ascii="Times New Roman" w:hAnsi="Times New Roman" w:eastAsia="Times New Roman" w:cs="Times New Roman"/>
          <w:spacing w:val="5"/>
          <w:sz w:val="23"/>
          <w:szCs w:val="23"/>
        </w:rPr>
        <w:t>×4.5</w:t>
      </w:r>
      <w:r>
        <w:rPr>
          <w:rFonts w:ascii="Times New Roman" w:hAnsi="Times New Roman" w:eastAsia="Times New Roman" w:cs="Times New Roman"/>
          <w:sz w:val="23"/>
          <w:szCs w:val="23"/>
        </w:rPr>
        <w:t>m</w:t>
      </w:r>
      <w:r>
        <w:rPr>
          <w:rFonts w:ascii="宋体" w:hAnsi="宋体" w:eastAsia="宋体" w:cs="宋体"/>
          <w:spacing w:val="5"/>
          <w:sz w:val="23"/>
          <w:szCs w:val="23"/>
        </w:rPr>
        <w:t>) 沉淀处理，随后循环</w:t>
      </w:r>
      <w:r>
        <w:rPr>
          <w:rFonts w:ascii="宋体" w:hAnsi="宋体" w:eastAsia="宋体" w:cs="宋体"/>
          <w:sz w:val="23"/>
          <w:szCs w:val="23"/>
        </w:rPr>
        <w:t xml:space="preserve"> </w:t>
      </w:r>
      <w:r>
        <w:rPr>
          <w:rFonts w:ascii="宋体" w:hAnsi="宋体" w:eastAsia="宋体" w:cs="宋体"/>
          <w:spacing w:val="1"/>
          <w:sz w:val="23"/>
          <w:szCs w:val="23"/>
        </w:rPr>
        <w:t xml:space="preserve">使用。污水处理设施废水每月更换 </w:t>
      </w:r>
      <w:r>
        <w:rPr>
          <w:rFonts w:ascii="Times New Roman" w:hAnsi="Times New Roman" w:eastAsia="Times New Roman" w:cs="Times New Roman"/>
          <w:spacing w:val="1"/>
          <w:sz w:val="23"/>
          <w:szCs w:val="23"/>
        </w:rPr>
        <w:t xml:space="preserve">1 </w:t>
      </w:r>
      <w:r>
        <w:rPr>
          <w:rFonts w:ascii="宋体" w:hAnsi="宋体" w:eastAsia="宋体" w:cs="宋体"/>
          <w:spacing w:val="1"/>
          <w:sz w:val="23"/>
          <w:szCs w:val="23"/>
        </w:rPr>
        <w:t>次，则该项目全年更换废</w:t>
      </w:r>
      <w:r>
        <w:rPr>
          <w:rFonts w:ascii="宋体" w:hAnsi="宋体" w:eastAsia="宋体" w:cs="宋体"/>
          <w:sz w:val="23"/>
          <w:szCs w:val="23"/>
        </w:rPr>
        <w:t xml:space="preserve">水量为 </w:t>
      </w:r>
      <w:r>
        <w:rPr>
          <w:rFonts w:ascii="Times New Roman" w:hAnsi="Times New Roman" w:eastAsia="Times New Roman" w:cs="Times New Roman"/>
          <w:sz w:val="23"/>
          <w:szCs w:val="23"/>
        </w:rPr>
        <w:t>1523.52m</w:t>
      </w:r>
      <w:r>
        <w:rPr>
          <w:rFonts w:ascii="Times New Roman" w:hAnsi="Times New Roman" w:eastAsia="Times New Roman" w:cs="Times New Roman"/>
          <w:position w:val="8"/>
          <w:sz w:val="15"/>
          <w:szCs w:val="15"/>
        </w:rPr>
        <w:t>3</w:t>
      </w:r>
      <w:r>
        <w:rPr>
          <w:rFonts w:ascii="宋体" w:hAnsi="宋体" w:eastAsia="宋体" w:cs="宋体"/>
          <w:sz w:val="23"/>
          <w:szCs w:val="23"/>
        </w:rPr>
        <w:t xml:space="preserve">， </w:t>
      </w:r>
      <w:r>
        <w:rPr>
          <w:rFonts w:ascii="宋体" w:hAnsi="宋体" w:eastAsia="宋体" w:cs="宋体"/>
          <w:spacing w:val="-2"/>
          <w:sz w:val="23"/>
          <w:szCs w:val="23"/>
        </w:rPr>
        <w:t>更换过程产生的废水经吸污车运送至本溪市科态污水处理有限责任公司统一处</w:t>
      </w:r>
      <w:r>
        <w:rPr>
          <w:rFonts w:ascii="宋体" w:hAnsi="宋体" w:eastAsia="宋体" w:cs="宋体"/>
          <w:spacing w:val="-1"/>
          <w:sz w:val="23"/>
          <w:szCs w:val="23"/>
        </w:rPr>
        <w:t>理</w:t>
      </w:r>
      <w:r>
        <w:rPr>
          <w:rFonts w:ascii="宋体" w:hAnsi="宋体" w:eastAsia="宋体" w:cs="宋体"/>
          <w:sz w:val="23"/>
          <w:szCs w:val="23"/>
        </w:rPr>
        <w:t>。</w:t>
      </w:r>
    </w:p>
    <w:p w14:paraId="2001E565">
      <w:pPr>
        <w:spacing w:before="139" w:line="384" w:lineRule="auto"/>
        <w:ind w:left="23" w:right="23" w:firstLine="459"/>
        <w:rPr>
          <w:rFonts w:ascii="宋体" w:hAnsi="宋体" w:eastAsia="宋体" w:cs="宋体"/>
          <w:sz w:val="23"/>
          <w:szCs w:val="23"/>
        </w:rPr>
      </w:pPr>
      <w:r>
        <w:rPr>
          <w:rFonts w:ascii="宋体" w:hAnsi="宋体" w:eastAsia="宋体" w:cs="宋体"/>
          <w:spacing w:val="1"/>
          <w:sz w:val="23"/>
          <w:szCs w:val="23"/>
        </w:rPr>
        <w:t>该项目生产废水经一体化污水预处理设备及三级沉淀池处理后循环</w:t>
      </w:r>
      <w:r>
        <w:rPr>
          <w:rFonts w:ascii="宋体" w:hAnsi="宋体" w:eastAsia="宋体" w:cs="宋体"/>
          <w:sz w:val="23"/>
          <w:szCs w:val="23"/>
        </w:rPr>
        <w:t xml:space="preserve">使用，污水 </w:t>
      </w:r>
      <w:r>
        <w:rPr>
          <w:rFonts w:ascii="宋体" w:hAnsi="宋体" w:eastAsia="宋体" w:cs="宋体"/>
          <w:spacing w:val="-8"/>
          <w:sz w:val="23"/>
          <w:szCs w:val="23"/>
        </w:rPr>
        <w:t>处理设施废水每</w:t>
      </w:r>
      <w:r>
        <w:rPr>
          <w:rFonts w:ascii="宋体" w:hAnsi="宋体" w:eastAsia="宋体" w:cs="宋体"/>
          <w:spacing w:val="-5"/>
          <w:sz w:val="23"/>
          <w:szCs w:val="23"/>
        </w:rPr>
        <w:t>月</w:t>
      </w:r>
      <w:r>
        <w:rPr>
          <w:rFonts w:ascii="宋体" w:hAnsi="宋体" w:eastAsia="宋体" w:cs="宋体"/>
          <w:spacing w:val="-4"/>
          <w:sz w:val="23"/>
          <w:szCs w:val="23"/>
        </w:rPr>
        <w:t xml:space="preserve">更换 </w:t>
      </w:r>
      <w:r>
        <w:rPr>
          <w:rFonts w:ascii="Times New Roman" w:hAnsi="Times New Roman" w:eastAsia="Times New Roman" w:cs="Times New Roman"/>
          <w:spacing w:val="-4"/>
          <w:sz w:val="23"/>
          <w:szCs w:val="23"/>
        </w:rPr>
        <w:t xml:space="preserve">1 </w:t>
      </w:r>
      <w:r>
        <w:rPr>
          <w:rFonts w:ascii="宋体" w:hAnsi="宋体" w:eastAsia="宋体" w:cs="宋体"/>
          <w:spacing w:val="-4"/>
          <w:sz w:val="23"/>
          <w:szCs w:val="23"/>
        </w:rPr>
        <w:t xml:space="preserve">次，该部分更换的生产废水主要污染物为 </w:t>
      </w:r>
      <w:r>
        <w:rPr>
          <w:rFonts w:ascii="Times New Roman" w:hAnsi="Times New Roman" w:eastAsia="Times New Roman" w:cs="Times New Roman"/>
          <w:spacing w:val="-4"/>
          <w:sz w:val="23"/>
          <w:szCs w:val="23"/>
        </w:rPr>
        <w:t>COD</w:t>
      </w:r>
      <w:r>
        <w:rPr>
          <w:rFonts w:ascii="宋体" w:hAnsi="宋体" w:eastAsia="宋体" w:cs="宋体"/>
          <w:spacing w:val="-4"/>
          <w:sz w:val="23"/>
          <w:szCs w:val="23"/>
        </w:rPr>
        <w:t>、</w:t>
      </w:r>
      <w:r>
        <w:rPr>
          <w:rFonts w:ascii="Times New Roman" w:hAnsi="Times New Roman" w:eastAsia="Times New Roman" w:cs="Times New Roman"/>
          <w:spacing w:val="-4"/>
          <w:sz w:val="23"/>
          <w:szCs w:val="23"/>
        </w:rPr>
        <w:t>SS</w:t>
      </w:r>
      <w:r>
        <w:rPr>
          <w:rFonts w:ascii="宋体" w:hAnsi="宋体" w:eastAsia="宋体" w:cs="宋体"/>
          <w:spacing w:val="-4"/>
          <w:sz w:val="23"/>
          <w:szCs w:val="23"/>
        </w:rPr>
        <w:t>、石油</w:t>
      </w:r>
      <w:r>
        <w:rPr>
          <w:rFonts w:ascii="宋体" w:hAnsi="宋体" w:eastAsia="宋体" w:cs="宋体"/>
          <w:sz w:val="23"/>
          <w:szCs w:val="23"/>
        </w:rPr>
        <w:t xml:space="preserve"> </w:t>
      </w:r>
      <w:r>
        <w:rPr>
          <w:rFonts w:ascii="宋体" w:hAnsi="宋体" w:eastAsia="宋体" w:cs="宋体"/>
          <w:spacing w:val="-6"/>
          <w:sz w:val="23"/>
          <w:szCs w:val="23"/>
        </w:rPr>
        <w:t>类</w:t>
      </w:r>
      <w:r>
        <w:rPr>
          <w:rFonts w:ascii="宋体" w:hAnsi="宋体" w:eastAsia="宋体" w:cs="宋体"/>
          <w:spacing w:val="-3"/>
          <w:sz w:val="23"/>
          <w:szCs w:val="23"/>
        </w:rPr>
        <w:t>，能够达到《辽宁省污水综合排放标准》  (</w:t>
      </w:r>
      <w:r>
        <w:rPr>
          <w:rFonts w:ascii="Times New Roman" w:hAnsi="Times New Roman" w:eastAsia="Times New Roman" w:cs="Times New Roman"/>
          <w:spacing w:val="-3"/>
          <w:sz w:val="23"/>
          <w:szCs w:val="23"/>
        </w:rPr>
        <w:t>DB21/ 1627-2008</w:t>
      </w:r>
      <w:r>
        <w:rPr>
          <w:rFonts w:ascii="宋体" w:hAnsi="宋体" w:eastAsia="宋体" w:cs="宋体"/>
          <w:spacing w:val="-3"/>
          <w:sz w:val="23"/>
          <w:szCs w:val="23"/>
        </w:rPr>
        <w:t>) 中排入污水处理厂</w:t>
      </w:r>
      <w:r>
        <w:rPr>
          <w:rFonts w:ascii="宋体" w:hAnsi="宋体" w:eastAsia="宋体" w:cs="宋体"/>
          <w:sz w:val="23"/>
          <w:szCs w:val="23"/>
        </w:rPr>
        <w:t xml:space="preserve"> </w:t>
      </w:r>
      <w:r>
        <w:rPr>
          <w:rFonts w:ascii="宋体" w:hAnsi="宋体" w:eastAsia="宋体" w:cs="宋体"/>
          <w:spacing w:val="-2"/>
          <w:sz w:val="23"/>
          <w:szCs w:val="23"/>
        </w:rPr>
        <w:t>的水污染物最高允许排放浓度限制要求，具体排放情况见下</w:t>
      </w:r>
      <w:r>
        <w:rPr>
          <w:rFonts w:ascii="宋体" w:hAnsi="宋体" w:eastAsia="宋体" w:cs="宋体"/>
          <w:sz w:val="23"/>
          <w:szCs w:val="23"/>
        </w:rPr>
        <w:t>表。</w:t>
      </w:r>
    </w:p>
    <w:p w14:paraId="430BDBAE">
      <w:pPr>
        <w:sectPr>
          <w:headerReference r:id="rId135" w:type="default"/>
          <w:footerReference r:id="rId136" w:type="default"/>
          <w:pgSz w:w="11906" w:h="16839"/>
          <w:pgMar w:top="1132" w:right="1762" w:bottom="1182" w:left="1785" w:header="878" w:footer="1022" w:gutter="0"/>
          <w:cols w:space="720" w:num="1"/>
        </w:sectPr>
      </w:pPr>
    </w:p>
    <w:p w14:paraId="6CB5E74C">
      <w:pPr>
        <w:spacing w:line="409" w:lineRule="auto"/>
        <w:rPr>
          <w:rFonts w:ascii="Arial"/>
          <w:sz w:val="21"/>
        </w:rPr>
      </w:pPr>
      <w:r>
        <w:pict>
          <v:shape id="_x0000_s1181" o:spid="_x0000_s1181" style="position:absolute;left:0pt;margin-left:90pt;margin-top:57.35pt;height:0.75pt;width:415.3pt;mso-position-horizontal-relative:page;mso-position-vertical-relative:page;z-index:251822080;mso-width-relative:page;mso-height-relative:page;" fillcolor="#000000" filled="t" stroked="f" coordsize="8305,15" o:allowincell="f" path="m0,0l8305,0,8305,14,0,14,0,0xe">
            <v:path/>
            <v:fill on="t" focussize="0,0"/>
            <v:stroke on="f"/>
            <v:imagedata o:title=""/>
            <o:lock v:ext="edit"/>
          </v:shape>
        </w:pict>
      </w:r>
    </w:p>
    <w:p w14:paraId="7C6C3A38">
      <w:pPr>
        <w:spacing w:before="74" w:line="227" w:lineRule="auto"/>
        <w:ind w:left="1858"/>
        <w:rPr>
          <w:rFonts w:ascii="宋体" w:hAnsi="宋体" w:eastAsia="宋体" w:cs="宋体"/>
          <w:sz w:val="23"/>
          <w:szCs w:val="23"/>
        </w:rPr>
      </w:pPr>
      <w:r>
        <w:rPr>
          <w:rFonts w:ascii="宋体" w:hAnsi="宋体" w:eastAsia="宋体" w:cs="宋体"/>
          <w:spacing w:val="8"/>
          <w:sz w:val="23"/>
          <w:szCs w:val="23"/>
          <w14:textOutline w14:w="4358" w14:cap="sq" w14:cmpd="sng">
            <w14:solidFill>
              <w14:srgbClr w14:val="000000"/>
            </w14:solidFill>
            <w14:prstDash w14:val="solid"/>
            <w14:bevel/>
          </w14:textOutline>
        </w:rPr>
        <w:t>表</w:t>
      </w:r>
      <w:r>
        <w:rPr>
          <w:rFonts w:ascii="宋体" w:hAnsi="宋体" w:eastAsia="宋体" w:cs="宋体"/>
          <w:spacing w:val="5"/>
          <w:sz w:val="23"/>
          <w:szCs w:val="23"/>
        </w:rPr>
        <w:t xml:space="preserve"> </w:t>
      </w:r>
      <w:r>
        <w:rPr>
          <w:rFonts w:ascii="Times New Roman" w:hAnsi="Times New Roman" w:eastAsia="Times New Roman" w:cs="Times New Roman"/>
          <w:b/>
          <w:bCs/>
          <w:spacing w:val="5"/>
          <w:sz w:val="23"/>
          <w:szCs w:val="23"/>
        </w:rPr>
        <w:t>3-18</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14:textOutline w14:w="4358" w14:cap="sq" w14:cmpd="sng">
            <w14:solidFill>
              <w14:srgbClr w14:val="000000"/>
            </w14:solidFill>
            <w14:prstDash w14:val="solid"/>
            <w14:bevel/>
          </w14:textOutline>
        </w:rPr>
        <w:t>生产废水污染物产生及排放情况表</w:t>
      </w:r>
    </w:p>
    <w:p w14:paraId="3A03793B">
      <w:pPr>
        <w:spacing w:line="17" w:lineRule="exact"/>
      </w:pPr>
    </w:p>
    <w:tbl>
      <w:tblPr>
        <w:tblStyle w:val="4"/>
        <w:tblW w:w="852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5"/>
        <w:gridCol w:w="754"/>
        <w:gridCol w:w="638"/>
        <w:gridCol w:w="743"/>
        <w:gridCol w:w="656"/>
        <w:gridCol w:w="825"/>
        <w:gridCol w:w="738"/>
        <w:gridCol w:w="718"/>
        <w:gridCol w:w="618"/>
        <w:gridCol w:w="672"/>
        <w:gridCol w:w="1134"/>
      </w:tblGrid>
      <w:tr w14:paraId="2AC46F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1025" w:type="dxa"/>
            <w:vMerge w:val="restart"/>
            <w:tcBorders>
              <w:left w:val="nil"/>
              <w:bottom w:val="nil"/>
            </w:tcBorders>
            <w:vAlign w:val="top"/>
          </w:tcPr>
          <w:p w14:paraId="01BEE124">
            <w:pPr>
              <w:spacing w:before="236" w:line="312" w:lineRule="exact"/>
              <w:ind w:left="313"/>
              <w:rPr>
                <w:rFonts w:ascii="宋体" w:hAnsi="宋体" w:eastAsia="宋体" w:cs="宋体"/>
                <w:sz w:val="20"/>
                <w:szCs w:val="20"/>
              </w:rPr>
            </w:pPr>
            <w:r>
              <w:rPr>
                <w:rFonts w:ascii="宋体" w:hAnsi="宋体" w:eastAsia="宋体" w:cs="宋体"/>
                <w:spacing w:val="4"/>
                <w:position w:val="7"/>
                <w:sz w:val="20"/>
                <w:szCs w:val="20"/>
                <w14:textOutline w14:w="3795" w14:cap="sq" w14:cmpd="sng">
                  <w14:solidFill>
                    <w14:srgbClr w14:val="000000"/>
                  </w14:solidFill>
                  <w14:prstDash w14:val="solid"/>
                  <w14:bevel/>
                </w14:textOutline>
              </w:rPr>
              <w:t>项目</w:t>
            </w:r>
          </w:p>
          <w:p w14:paraId="5268121F">
            <w:pPr>
              <w:spacing w:line="227" w:lineRule="auto"/>
              <w:ind w:left="310"/>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状态</w:t>
            </w:r>
          </w:p>
        </w:tc>
        <w:tc>
          <w:tcPr>
            <w:tcW w:w="754" w:type="dxa"/>
            <w:vMerge w:val="restart"/>
            <w:tcBorders>
              <w:bottom w:val="nil"/>
            </w:tcBorders>
            <w:vAlign w:val="top"/>
          </w:tcPr>
          <w:p w14:paraId="26FE21BD">
            <w:pPr>
              <w:spacing w:before="237" w:line="321" w:lineRule="auto"/>
              <w:ind w:left="179" w:right="57" w:hanging="113"/>
              <w:rPr>
                <w:rFonts w:ascii="Times New Roman" w:hAnsi="Times New Roman" w:eastAsia="Times New Roman" w:cs="Times New Roman"/>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废水量</w:t>
            </w:r>
            <w:r>
              <w:rPr>
                <w:rFonts w:ascii="宋体" w:hAnsi="宋体" w:eastAsia="宋体" w:cs="宋体"/>
                <w:sz w:val="20"/>
                <w:szCs w:val="20"/>
              </w:rPr>
              <w:t xml:space="preserve"> </w:t>
            </w:r>
            <w:r>
              <w:rPr>
                <w:rFonts w:ascii="Times New Roman" w:hAnsi="Times New Roman" w:eastAsia="Times New Roman" w:cs="Times New Roman"/>
                <w:b/>
                <w:bCs/>
                <w:sz w:val="20"/>
                <w:szCs w:val="20"/>
              </w:rPr>
              <w:t>m</w:t>
            </w:r>
            <w:r>
              <w:rPr>
                <w:rFonts w:ascii="Times New Roman" w:hAnsi="Times New Roman" w:eastAsia="Times New Roman" w:cs="Times New Roman"/>
                <w:b/>
                <w:bCs/>
                <w:spacing w:val="4"/>
                <w:position w:val="6"/>
                <w:sz w:val="13"/>
                <w:szCs w:val="13"/>
              </w:rPr>
              <w:t>3</w:t>
            </w:r>
            <w:r>
              <w:rPr>
                <w:rFonts w:ascii="Times New Roman" w:hAnsi="Times New Roman" w:eastAsia="Times New Roman" w:cs="Times New Roman"/>
                <w:b/>
                <w:bCs/>
                <w:spacing w:val="3"/>
                <w:sz w:val="20"/>
                <w:szCs w:val="20"/>
              </w:rPr>
              <w:t>/</w:t>
            </w:r>
            <w:r>
              <w:rPr>
                <w:rFonts w:ascii="Times New Roman" w:hAnsi="Times New Roman" w:eastAsia="Times New Roman" w:cs="Times New Roman"/>
                <w:b/>
                <w:bCs/>
                <w:sz w:val="20"/>
                <w:szCs w:val="20"/>
              </w:rPr>
              <w:t>a</w:t>
            </w:r>
          </w:p>
        </w:tc>
        <w:tc>
          <w:tcPr>
            <w:tcW w:w="1381" w:type="dxa"/>
            <w:gridSpan w:val="2"/>
            <w:vAlign w:val="top"/>
          </w:tcPr>
          <w:p w14:paraId="750B764F">
            <w:pPr>
              <w:spacing w:before="111" w:line="195" w:lineRule="auto"/>
              <w:ind w:left="463"/>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COD</w:t>
            </w:r>
          </w:p>
        </w:tc>
        <w:tc>
          <w:tcPr>
            <w:tcW w:w="1481" w:type="dxa"/>
            <w:gridSpan w:val="2"/>
            <w:vAlign w:val="top"/>
          </w:tcPr>
          <w:p w14:paraId="476A39BC">
            <w:pPr>
              <w:spacing w:before="111" w:line="195" w:lineRule="auto"/>
              <w:ind w:left="633"/>
              <w:rPr>
                <w:rFonts w:ascii="Times New Roman" w:hAnsi="Times New Roman" w:eastAsia="Times New Roman" w:cs="Times New Roman"/>
                <w:sz w:val="20"/>
                <w:szCs w:val="20"/>
              </w:rPr>
            </w:pPr>
            <w:r>
              <w:rPr>
                <w:rFonts w:ascii="Times New Roman" w:hAnsi="Times New Roman" w:eastAsia="Times New Roman" w:cs="Times New Roman"/>
                <w:b/>
                <w:bCs/>
                <w:spacing w:val="-1"/>
                <w:sz w:val="20"/>
                <w:szCs w:val="20"/>
              </w:rPr>
              <w:t>SS</w:t>
            </w:r>
          </w:p>
        </w:tc>
        <w:tc>
          <w:tcPr>
            <w:tcW w:w="1456" w:type="dxa"/>
            <w:gridSpan w:val="2"/>
            <w:vAlign w:val="top"/>
          </w:tcPr>
          <w:p w14:paraId="6550F281">
            <w:pPr>
              <w:spacing w:before="75" w:line="228" w:lineRule="auto"/>
              <w:ind w:left="419"/>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石</w:t>
            </w:r>
            <w:r>
              <w:rPr>
                <w:rFonts w:ascii="宋体" w:hAnsi="宋体" w:eastAsia="宋体" w:cs="宋体"/>
                <w:spacing w:val="7"/>
                <w:sz w:val="20"/>
                <w:szCs w:val="20"/>
                <w14:textOutline w14:w="3795" w14:cap="sq" w14:cmpd="sng">
                  <w14:solidFill>
                    <w14:srgbClr w14:val="000000"/>
                  </w14:solidFill>
                  <w14:prstDash w14:val="solid"/>
                  <w14:bevel/>
                </w14:textOutline>
              </w:rPr>
              <w:t>油类</w:t>
            </w:r>
          </w:p>
        </w:tc>
        <w:tc>
          <w:tcPr>
            <w:tcW w:w="1290" w:type="dxa"/>
            <w:gridSpan w:val="2"/>
            <w:vAlign w:val="top"/>
          </w:tcPr>
          <w:p w14:paraId="513C3EDC">
            <w:pPr>
              <w:spacing w:before="114" w:line="199" w:lineRule="auto"/>
              <w:ind w:left="345"/>
              <w:rPr>
                <w:rFonts w:ascii="Times New Roman" w:hAnsi="Times New Roman" w:eastAsia="Times New Roman" w:cs="Times New Roman"/>
                <w:sz w:val="20"/>
                <w:szCs w:val="20"/>
              </w:rPr>
            </w:pPr>
            <w:r>
              <w:rPr>
                <w:rFonts w:ascii="Times New Roman" w:hAnsi="Times New Roman" w:eastAsia="Times New Roman" w:cs="Times New Roman"/>
                <w:b/>
                <w:bCs/>
                <w:sz w:val="20"/>
                <w:szCs w:val="20"/>
              </w:rPr>
              <w:t>NH</w:t>
            </w:r>
            <w:r>
              <w:rPr>
                <w:rFonts w:ascii="Times New Roman" w:hAnsi="Times New Roman" w:eastAsia="Times New Roman" w:cs="Times New Roman"/>
                <w:b/>
                <w:bCs/>
                <w:spacing w:val="13"/>
                <w:position w:val="-1"/>
                <w:sz w:val="13"/>
                <w:szCs w:val="13"/>
              </w:rPr>
              <w:t>3</w:t>
            </w:r>
            <w:r>
              <w:rPr>
                <w:rFonts w:ascii="Times New Roman" w:hAnsi="Times New Roman" w:eastAsia="Times New Roman" w:cs="Times New Roman"/>
                <w:b/>
                <w:bCs/>
                <w:spacing w:val="12"/>
                <w:sz w:val="20"/>
                <w:szCs w:val="20"/>
              </w:rPr>
              <w:t>-</w:t>
            </w:r>
            <w:r>
              <w:rPr>
                <w:rFonts w:ascii="Times New Roman" w:hAnsi="Times New Roman" w:eastAsia="Times New Roman" w:cs="Times New Roman"/>
                <w:b/>
                <w:bCs/>
                <w:sz w:val="20"/>
                <w:szCs w:val="20"/>
              </w:rPr>
              <w:t>N</w:t>
            </w:r>
          </w:p>
        </w:tc>
        <w:tc>
          <w:tcPr>
            <w:tcW w:w="1134" w:type="dxa"/>
            <w:tcBorders>
              <w:right w:val="nil"/>
            </w:tcBorders>
            <w:vAlign w:val="top"/>
          </w:tcPr>
          <w:p w14:paraId="3B645A7F">
            <w:pPr>
              <w:spacing w:before="75" w:line="229" w:lineRule="auto"/>
              <w:ind w:left="365"/>
              <w:rPr>
                <w:rFonts w:ascii="宋体" w:hAnsi="宋体" w:eastAsia="宋体" w:cs="宋体"/>
                <w:sz w:val="20"/>
                <w:szCs w:val="20"/>
              </w:rPr>
            </w:pPr>
            <w:r>
              <w:rPr>
                <w:rFonts w:ascii="宋体" w:hAnsi="宋体" w:eastAsia="宋体" w:cs="宋体"/>
                <w:spacing w:val="5"/>
                <w:sz w:val="20"/>
                <w:szCs w:val="20"/>
                <w14:textOutline w14:w="3795" w14:cap="sq" w14:cmpd="sng">
                  <w14:solidFill>
                    <w14:srgbClr w14:val="000000"/>
                  </w14:solidFill>
                  <w14:prstDash w14:val="solid"/>
                  <w14:bevel/>
                </w14:textOutline>
              </w:rPr>
              <w:t>备</w:t>
            </w:r>
            <w:r>
              <w:rPr>
                <w:rFonts w:ascii="宋体" w:hAnsi="宋体" w:eastAsia="宋体" w:cs="宋体"/>
                <w:spacing w:val="4"/>
                <w:sz w:val="20"/>
                <w:szCs w:val="20"/>
                <w14:textOutline w14:w="3795" w14:cap="sq" w14:cmpd="sng">
                  <w14:solidFill>
                    <w14:srgbClr w14:val="000000"/>
                  </w14:solidFill>
                  <w14:prstDash w14:val="solid"/>
                  <w14:bevel/>
                </w14:textOutline>
              </w:rPr>
              <w:t>注</w:t>
            </w:r>
          </w:p>
        </w:tc>
      </w:tr>
      <w:tr w14:paraId="40C6D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25" w:type="dxa"/>
            <w:vMerge w:val="continue"/>
            <w:tcBorders>
              <w:top w:val="nil"/>
              <w:left w:val="nil"/>
            </w:tcBorders>
            <w:vAlign w:val="top"/>
          </w:tcPr>
          <w:p w14:paraId="2C011105">
            <w:pPr>
              <w:rPr>
                <w:rFonts w:ascii="Arial"/>
                <w:sz w:val="21"/>
              </w:rPr>
            </w:pPr>
          </w:p>
        </w:tc>
        <w:tc>
          <w:tcPr>
            <w:tcW w:w="754" w:type="dxa"/>
            <w:vMerge w:val="continue"/>
            <w:tcBorders>
              <w:top w:val="nil"/>
            </w:tcBorders>
            <w:vAlign w:val="top"/>
          </w:tcPr>
          <w:p w14:paraId="1D223B15">
            <w:pPr>
              <w:rPr>
                <w:rFonts w:ascii="Arial"/>
                <w:sz w:val="21"/>
              </w:rPr>
            </w:pPr>
          </w:p>
        </w:tc>
        <w:tc>
          <w:tcPr>
            <w:tcW w:w="638" w:type="dxa"/>
            <w:vAlign w:val="top"/>
          </w:tcPr>
          <w:p w14:paraId="635C5E4F">
            <w:pPr>
              <w:spacing w:before="51" w:line="274" w:lineRule="auto"/>
              <w:ind w:left="86" w:right="79" w:firstLine="29"/>
              <w:rPr>
                <w:rFonts w:ascii="Times New Roman" w:hAnsi="Times New Roman" w:eastAsia="Times New Roman" w:cs="Times New Roman"/>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浓度</w:t>
            </w:r>
            <w:r>
              <w:rPr>
                <w:rFonts w:ascii="宋体" w:hAnsi="宋体" w:eastAsia="宋体" w:cs="宋体"/>
                <w:sz w:val="20"/>
                <w:szCs w:val="20"/>
              </w:rPr>
              <w:t xml:space="preserve"> </w:t>
            </w:r>
            <w:r>
              <w:rPr>
                <w:rFonts w:ascii="Times New Roman" w:hAnsi="Times New Roman" w:eastAsia="Times New Roman" w:cs="Times New Roman"/>
                <w:b/>
                <w:bCs/>
                <w:sz w:val="20"/>
                <w:szCs w:val="20"/>
              </w:rPr>
              <w:t>mg</w:t>
            </w:r>
            <w:r>
              <w:rPr>
                <w:rFonts w:ascii="Times New Roman" w:hAnsi="Times New Roman" w:eastAsia="Times New Roman" w:cs="Times New Roman"/>
                <w:b/>
                <w:bCs/>
                <w:spacing w:val="11"/>
                <w:sz w:val="20"/>
                <w:szCs w:val="20"/>
              </w:rPr>
              <w:t>/</w:t>
            </w:r>
            <w:r>
              <w:rPr>
                <w:rFonts w:ascii="Times New Roman" w:hAnsi="Times New Roman" w:eastAsia="Times New Roman" w:cs="Times New Roman"/>
                <w:b/>
                <w:bCs/>
                <w:sz w:val="20"/>
                <w:szCs w:val="20"/>
              </w:rPr>
              <w:t>L</w:t>
            </w:r>
          </w:p>
        </w:tc>
        <w:tc>
          <w:tcPr>
            <w:tcW w:w="743" w:type="dxa"/>
            <w:vAlign w:val="top"/>
          </w:tcPr>
          <w:p w14:paraId="2D43A124">
            <w:pPr>
              <w:spacing w:before="52" w:line="282" w:lineRule="auto"/>
              <w:ind w:left="255" w:right="54" w:hanging="195"/>
              <w:rPr>
                <w:rFonts w:ascii="Times New Roman" w:hAnsi="Times New Roman" w:eastAsia="Times New Roman" w:cs="Times New Roman"/>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排</w:t>
            </w:r>
            <w:r>
              <w:rPr>
                <w:rFonts w:ascii="宋体" w:hAnsi="宋体" w:eastAsia="宋体" w:cs="宋体"/>
                <w:spacing w:val="7"/>
                <w:sz w:val="20"/>
                <w:szCs w:val="20"/>
                <w14:textOutline w14:w="3795" w14:cap="sq" w14:cmpd="sng">
                  <w14:solidFill>
                    <w14:srgbClr w14:val="000000"/>
                  </w14:solidFill>
                  <w14:prstDash w14:val="solid"/>
                  <w14:bevel/>
                </w14:textOutline>
              </w:rPr>
              <w:t>放量</w:t>
            </w:r>
            <w:r>
              <w:rPr>
                <w:rFonts w:ascii="宋体" w:hAnsi="宋体" w:eastAsia="宋体" w:cs="宋体"/>
                <w:sz w:val="20"/>
                <w:szCs w:val="20"/>
              </w:rPr>
              <w:t xml:space="preserve"> </w:t>
            </w:r>
            <w:r>
              <w:rPr>
                <w:rFonts w:ascii="Times New Roman" w:hAnsi="Times New Roman" w:eastAsia="Times New Roman" w:cs="Times New Roman"/>
                <w:b/>
                <w:bCs/>
                <w:sz w:val="20"/>
                <w:szCs w:val="20"/>
              </w:rPr>
              <w:t>t</w:t>
            </w:r>
            <w:r>
              <w:rPr>
                <w:rFonts w:ascii="Times New Roman" w:hAnsi="Times New Roman" w:eastAsia="Times New Roman" w:cs="Times New Roman"/>
                <w:b/>
                <w:bCs/>
                <w:spacing w:val="5"/>
                <w:sz w:val="20"/>
                <w:szCs w:val="20"/>
              </w:rPr>
              <w:t>/</w:t>
            </w:r>
            <w:r>
              <w:rPr>
                <w:rFonts w:ascii="Times New Roman" w:hAnsi="Times New Roman" w:eastAsia="Times New Roman" w:cs="Times New Roman"/>
                <w:b/>
                <w:bCs/>
                <w:sz w:val="20"/>
                <w:szCs w:val="20"/>
              </w:rPr>
              <w:t>a</w:t>
            </w:r>
          </w:p>
        </w:tc>
        <w:tc>
          <w:tcPr>
            <w:tcW w:w="656" w:type="dxa"/>
            <w:vAlign w:val="top"/>
          </w:tcPr>
          <w:p w14:paraId="7D8ACE71">
            <w:pPr>
              <w:spacing w:before="51" w:line="274" w:lineRule="auto"/>
              <w:ind w:left="94" w:right="88" w:firstLine="29"/>
              <w:rPr>
                <w:rFonts w:ascii="Times New Roman" w:hAnsi="Times New Roman" w:eastAsia="Times New Roman" w:cs="Times New Roman"/>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浓度</w:t>
            </w:r>
            <w:r>
              <w:rPr>
                <w:rFonts w:ascii="宋体" w:hAnsi="宋体" w:eastAsia="宋体" w:cs="宋体"/>
                <w:sz w:val="20"/>
                <w:szCs w:val="20"/>
              </w:rPr>
              <w:t xml:space="preserve"> </w:t>
            </w:r>
            <w:r>
              <w:rPr>
                <w:rFonts w:ascii="Times New Roman" w:hAnsi="Times New Roman" w:eastAsia="Times New Roman" w:cs="Times New Roman"/>
                <w:b/>
                <w:bCs/>
                <w:sz w:val="20"/>
                <w:szCs w:val="20"/>
              </w:rPr>
              <w:t>mg</w:t>
            </w:r>
            <w:r>
              <w:rPr>
                <w:rFonts w:ascii="Times New Roman" w:hAnsi="Times New Roman" w:eastAsia="Times New Roman" w:cs="Times New Roman"/>
                <w:b/>
                <w:bCs/>
                <w:spacing w:val="11"/>
                <w:sz w:val="20"/>
                <w:szCs w:val="20"/>
              </w:rPr>
              <w:t>/</w:t>
            </w:r>
            <w:r>
              <w:rPr>
                <w:rFonts w:ascii="Times New Roman" w:hAnsi="Times New Roman" w:eastAsia="Times New Roman" w:cs="Times New Roman"/>
                <w:b/>
                <w:bCs/>
                <w:sz w:val="20"/>
                <w:szCs w:val="20"/>
              </w:rPr>
              <w:t>L</w:t>
            </w:r>
          </w:p>
        </w:tc>
        <w:tc>
          <w:tcPr>
            <w:tcW w:w="825" w:type="dxa"/>
            <w:vAlign w:val="top"/>
          </w:tcPr>
          <w:p w14:paraId="089EC877">
            <w:pPr>
              <w:spacing w:before="52" w:line="282" w:lineRule="auto"/>
              <w:ind w:left="299" w:right="95" w:hanging="195"/>
              <w:rPr>
                <w:rFonts w:ascii="Times New Roman" w:hAnsi="Times New Roman" w:eastAsia="Times New Roman" w:cs="Times New Roman"/>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排放</w:t>
            </w:r>
            <w:r>
              <w:rPr>
                <w:rFonts w:ascii="宋体" w:hAnsi="宋体" w:eastAsia="宋体" w:cs="宋体"/>
                <w:spacing w:val="6"/>
                <w:sz w:val="20"/>
                <w:szCs w:val="20"/>
                <w14:textOutline w14:w="3795" w14:cap="sq" w14:cmpd="sng">
                  <w14:solidFill>
                    <w14:srgbClr w14:val="000000"/>
                  </w14:solidFill>
                  <w14:prstDash w14:val="solid"/>
                  <w14:bevel/>
                </w14:textOutline>
              </w:rPr>
              <w:t>量</w:t>
            </w:r>
            <w:r>
              <w:rPr>
                <w:rFonts w:ascii="宋体" w:hAnsi="宋体" w:eastAsia="宋体" w:cs="宋体"/>
                <w:sz w:val="20"/>
                <w:szCs w:val="20"/>
              </w:rPr>
              <w:t xml:space="preserve"> </w:t>
            </w:r>
            <w:r>
              <w:rPr>
                <w:rFonts w:ascii="Times New Roman" w:hAnsi="Times New Roman" w:eastAsia="Times New Roman" w:cs="Times New Roman"/>
                <w:b/>
                <w:bCs/>
                <w:sz w:val="20"/>
                <w:szCs w:val="20"/>
              </w:rPr>
              <w:t>t</w:t>
            </w:r>
            <w:r>
              <w:rPr>
                <w:rFonts w:ascii="Times New Roman" w:hAnsi="Times New Roman" w:eastAsia="Times New Roman" w:cs="Times New Roman"/>
                <w:b/>
                <w:bCs/>
                <w:spacing w:val="5"/>
                <w:sz w:val="20"/>
                <w:szCs w:val="20"/>
              </w:rPr>
              <w:t>/</w:t>
            </w:r>
            <w:r>
              <w:rPr>
                <w:rFonts w:ascii="Times New Roman" w:hAnsi="Times New Roman" w:eastAsia="Times New Roman" w:cs="Times New Roman"/>
                <w:b/>
                <w:bCs/>
                <w:sz w:val="20"/>
                <w:szCs w:val="20"/>
              </w:rPr>
              <w:t>a</w:t>
            </w:r>
          </w:p>
        </w:tc>
        <w:tc>
          <w:tcPr>
            <w:tcW w:w="738" w:type="dxa"/>
            <w:vAlign w:val="top"/>
          </w:tcPr>
          <w:p w14:paraId="4D32F8CD">
            <w:pPr>
              <w:spacing w:before="51" w:line="274" w:lineRule="auto"/>
              <w:ind w:left="135" w:right="130" w:firstLine="29"/>
              <w:rPr>
                <w:rFonts w:ascii="Times New Roman" w:hAnsi="Times New Roman" w:eastAsia="Times New Roman" w:cs="Times New Roman"/>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浓度</w:t>
            </w:r>
            <w:r>
              <w:rPr>
                <w:rFonts w:ascii="宋体" w:hAnsi="宋体" w:eastAsia="宋体" w:cs="宋体"/>
                <w:sz w:val="20"/>
                <w:szCs w:val="20"/>
              </w:rPr>
              <w:t xml:space="preserve"> </w:t>
            </w:r>
            <w:r>
              <w:rPr>
                <w:rFonts w:ascii="Times New Roman" w:hAnsi="Times New Roman" w:eastAsia="Times New Roman" w:cs="Times New Roman"/>
                <w:b/>
                <w:bCs/>
                <w:sz w:val="20"/>
                <w:szCs w:val="20"/>
              </w:rPr>
              <w:t>mg</w:t>
            </w:r>
            <w:r>
              <w:rPr>
                <w:rFonts w:ascii="Times New Roman" w:hAnsi="Times New Roman" w:eastAsia="Times New Roman" w:cs="Times New Roman"/>
                <w:b/>
                <w:bCs/>
                <w:spacing w:val="11"/>
                <w:sz w:val="20"/>
                <w:szCs w:val="20"/>
              </w:rPr>
              <w:t>/</w:t>
            </w:r>
            <w:r>
              <w:rPr>
                <w:rFonts w:ascii="Times New Roman" w:hAnsi="Times New Roman" w:eastAsia="Times New Roman" w:cs="Times New Roman"/>
                <w:b/>
                <w:bCs/>
                <w:sz w:val="20"/>
                <w:szCs w:val="20"/>
              </w:rPr>
              <w:t>L</w:t>
            </w:r>
          </w:p>
        </w:tc>
        <w:tc>
          <w:tcPr>
            <w:tcW w:w="718" w:type="dxa"/>
            <w:vAlign w:val="top"/>
          </w:tcPr>
          <w:p w14:paraId="3513C19A">
            <w:pPr>
              <w:spacing w:before="52" w:line="282" w:lineRule="auto"/>
              <w:ind w:left="245" w:right="60" w:hanging="214"/>
              <w:rPr>
                <w:rFonts w:ascii="Times New Roman" w:hAnsi="Times New Roman" w:eastAsia="Times New Roman" w:cs="Times New Roman"/>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排放</w:t>
            </w:r>
            <w:r>
              <w:rPr>
                <w:rFonts w:ascii="宋体" w:hAnsi="宋体" w:eastAsia="宋体" w:cs="宋体"/>
                <w:spacing w:val="6"/>
                <w:sz w:val="20"/>
                <w:szCs w:val="20"/>
                <w14:textOutline w14:w="3795" w14:cap="sq" w14:cmpd="sng">
                  <w14:solidFill>
                    <w14:srgbClr w14:val="000000"/>
                  </w14:solidFill>
                  <w14:prstDash w14:val="solid"/>
                  <w14:bevel/>
                </w14:textOutline>
              </w:rPr>
              <w:t>量</w:t>
            </w:r>
            <w:r>
              <w:rPr>
                <w:rFonts w:ascii="宋体" w:hAnsi="宋体" w:eastAsia="宋体" w:cs="宋体"/>
                <w:sz w:val="20"/>
                <w:szCs w:val="20"/>
              </w:rPr>
              <w:t xml:space="preserve"> </w:t>
            </w:r>
            <w:r>
              <w:rPr>
                <w:rFonts w:ascii="Times New Roman" w:hAnsi="Times New Roman" w:eastAsia="Times New Roman" w:cs="Times New Roman"/>
                <w:b/>
                <w:bCs/>
                <w:sz w:val="20"/>
                <w:szCs w:val="20"/>
              </w:rPr>
              <w:t>t</w:t>
            </w:r>
            <w:r>
              <w:rPr>
                <w:rFonts w:ascii="Times New Roman" w:hAnsi="Times New Roman" w:eastAsia="Times New Roman" w:cs="Times New Roman"/>
                <w:b/>
                <w:bCs/>
                <w:spacing w:val="5"/>
                <w:sz w:val="20"/>
                <w:szCs w:val="20"/>
              </w:rPr>
              <w:t>/</w:t>
            </w:r>
            <w:r>
              <w:rPr>
                <w:rFonts w:ascii="Times New Roman" w:hAnsi="Times New Roman" w:eastAsia="Times New Roman" w:cs="Times New Roman"/>
                <w:b/>
                <w:bCs/>
                <w:sz w:val="20"/>
                <w:szCs w:val="20"/>
              </w:rPr>
              <w:t>a</w:t>
            </w:r>
          </w:p>
        </w:tc>
        <w:tc>
          <w:tcPr>
            <w:tcW w:w="618" w:type="dxa"/>
            <w:vAlign w:val="top"/>
          </w:tcPr>
          <w:p w14:paraId="617A415A">
            <w:pPr>
              <w:spacing w:before="51" w:line="274" w:lineRule="auto"/>
              <w:ind w:left="76" w:right="69" w:firstLine="29"/>
              <w:rPr>
                <w:rFonts w:ascii="Times New Roman" w:hAnsi="Times New Roman" w:eastAsia="Times New Roman" w:cs="Times New Roman"/>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浓度</w:t>
            </w:r>
            <w:r>
              <w:rPr>
                <w:rFonts w:ascii="宋体" w:hAnsi="宋体" w:eastAsia="宋体" w:cs="宋体"/>
                <w:sz w:val="20"/>
                <w:szCs w:val="20"/>
              </w:rPr>
              <w:t xml:space="preserve"> </w:t>
            </w:r>
            <w:r>
              <w:rPr>
                <w:rFonts w:ascii="Times New Roman" w:hAnsi="Times New Roman" w:eastAsia="Times New Roman" w:cs="Times New Roman"/>
                <w:b/>
                <w:bCs/>
                <w:sz w:val="20"/>
                <w:szCs w:val="20"/>
              </w:rPr>
              <w:t>mg</w:t>
            </w:r>
            <w:r>
              <w:rPr>
                <w:rFonts w:ascii="Times New Roman" w:hAnsi="Times New Roman" w:eastAsia="Times New Roman" w:cs="Times New Roman"/>
                <w:b/>
                <w:bCs/>
                <w:spacing w:val="11"/>
                <w:sz w:val="20"/>
                <w:szCs w:val="20"/>
              </w:rPr>
              <w:t>/</w:t>
            </w:r>
            <w:r>
              <w:rPr>
                <w:rFonts w:ascii="Times New Roman" w:hAnsi="Times New Roman" w:eastAsia="Times New Roman" w:cs="Times New Roman"/>
                <w:b/>
                <w:bCs/>
                <w:sz w:val="20"/>
                <w:szCs w:val="20"/>
              </w:rPr>
              <w:t>L</w:t>
            </w:r>
          </w:p>
        </w:tc>
        <w:tc>
          <w:tcPr>
            <w:tcW w:w="672" w:type="dxa"/>
            <w:vAlign w:val="top"/>
          </w:tcPr>
          <w:p w14:paraId="1FEB558F">
            <w:pPr>
              <w:spacing w:before="51" w:line="266" w:lineRule="auto"/>
              <w:ind w:left="94" w:right="84" w:firstLine="38"/>
              <w:rPr>
                <w:rFonts w:ascii="Times New Roman" w:hAnsi="Times New Roman" w:eastAsia="Times New Roman" w:cs="Times New Roman"/>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排放</w:t>
            </w:r>
            <w:r>
              <w:rPr>
                <w:rFonts w:ascii="宋体" w:hAnsi="宋体" w:eastAsia="宋体" w:cs="宋体"/>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量</w:t>
            </w:r>
            <w:r>
              <w:rPr>
                <w:rFonts w:ascii="宋体" w:hAnsi="宋体" w:eastAsia="宋体" w:cs="宋体"/>
                <w:spacing w:val="-7"/>
                <w:sz w:val="20"/>
                <w:szCs w:val="20"/>
              </w:rPr>
              <w:t xml:space="preserve"> </w:t>
            </w:r>
            <w:r>
              <w:rPr>
                <w:rFonts w:ascii="Times New Roman" w:hAnsi="Times New Roman" w:eastAsia="Times New Roman" w:cs="Times New Roman"/>
                <w:b/>
                <w:bCs/>
                <w:spacing w:val="-7"/>
                <w:sz w:val="20"/>
                <w:szCs w:val="20"/>
              </w:rPr>
              <w:t>t/a</w:t>
            </w:r>
          </w:p>
        </w:tc>
        <w:tc>
          <w:tcPr>
            <w:tcW w:w="1134" w:type="dxa"/>
            <w:tcBorders>
              <w:right w:val="nil"/>
            </w:tcBorders>
            <w:vAlign w:val="top"/>
          </w:tcPr>
          <w:p w14:paraId="7F5A112A">
            <w:pPr>
              <w:spacing w:line="268" w:lineRule="auto"/>
              <w:rPr>
                <w:rFonts w:ascii="Arial"/>
                <w:sz w:val="21"/>
              </w:rPr>
            </w:pPr>
          </w:p>
          <w:p w14:paraId="2E693E70">
            <w:pPr>
              <w:spacing w:before="57" w:line="139" w:lineRule="exact"/>
              <w:ind w:left="501"/>
              <w:rPr>
                <w:rFonts w:ascii="Times New Roman" w:hAnsi="Times New Roman" w:eastAsia="Times New Roman" w:cs="Times New Roman"/>
                <w:sz w:val="20"/>
                <w:szCs w:val="20"/>
              </w:rPr>
            </w:pPr>
            <w:r>
              <w:rPr>
                <w:rFonts w:ascii="Times New Roman" w:hAnsi="Times New Roman" w:eastAsia="Times New Roman" w:cs="Times New Roman"/>
                <w:b/>
                <w:bCs/>
                <w:sz w:val="20"/>
                <w:szCs w:val="20"/>
              </w:rPr>
              <w:t>--</w:t>
            </w:r>
          </w:p>
        </w:tc>
      </w:tr>
      <w:tr w14:paraId="50B65A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025" w:type="dxa"/>
            <w:tcBorders>
              <w:left w:val="nil"/>
            </w:tcBorders>
            <w:vAlign w:val="top"/>
          </w:tcPr>
          <w:p w14:paraId="3E721487">
            <w:pPr>
              <w:spacing w:before="54" w:line="230" w:lineRule="auto"/>
              <w:ind w:left="209"/>
              <w:rPr>
                <w:rFonts w:ascii="宋体" w:hAnsi="宋体" w:eastAsia="宋体" w:cs="宋体"/>
                <w:sz w:val="20"/>
                <w:szCs w:val="20"/>
              </w:rPr>
            </w:pPr>
            <w:r>
              <w:rPr>
                <w:rFonts w:ascii="宋体" w:hAnsi="宋体" w:eastAsia="宋体" w:cs="宋体"/>
                <w:spacing w:val="6"/>
                <w:sz w:val="20"/>
                <w:szCs w:val="20"/>
              </w:rPr>
              <w:t>处</w:t>
            </w:r>
            <w:r>
              <w:rPr>
                <w:rFonts w:ascii="宋体" w:hAnsi="宋体" w:eastAsia="宋体" w:cs="宋体"/>
                <w:spacing w:val="5"/>
                <w:sz w:val="20"/>
                <w:szCs w:val="20"/>
              </w:rPr>
              <w:t>理前</w:t>
            </w:r>
          </w:p>
        </w:tc>
        <w:tc>
          <w:tcPr>
            <w:tcW w:w="754" w:type="dxa"/>
            <w:vMerge w:val="restart"/>
            <w:tcBorders>
              <w:bottom w:val="nil"/>
            </w:tcBorders>
            <w:vAlign w:val="top"/>
          </w:tcPr>
          <w:p w14:paraId="6296EE06">
            <w:pPr>
              <w:spacing w:before="251" w:line="195" w:lineRule="auto"/>
              <w:ind w:left="5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523.52</w:t>
            </w:r>
          </w:p>
        </w:tc>
        <w:tc>
          <w:tcPr>
            <w:tcW w:w="638" w:type="dxa"/>
            <w:vAlign w:val="top"/>
          </w:tcPr>
          <w:p w14:paraId="799F18B9">
            <w:pPr>
              <w:spacing w:before="90" w:line="195" w:lineRule="auto"/>
              <w:ind w:left="16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00</w:t>
            </w:r>
          </w:p>
        </w:tc>
        <w:tc>
          <w:tcPr>
            <w:tcW w:w="743" w:type="dxa"/>
            <w:vAlign w:val="top"/>
          </w:tcPr>
          <w:p w14:paraId="6601D9CF">
            <w:pPr>
              <w:spacing w:before="90" w:line="195" w:lineRule="auto"/>
              <w:ind w:left="19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.46</w:t>
            </w:r>
          </w:p>
        </w:tc>
        <w:tc>
          <w:tcPr>
            <w:tcW w:w="656" w:type="dxa"/>
            <w:vAlign w:val="top"/>
          </w:tcPr>
          <w:p w14:paraId="6E9517B9">
            <w:pPr>
              <w:spacing w:before="90" w:line="195" w:lineRule="auto"/>
              <w:ind w:left="1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w:t>
            </w:r>
            <w:r>
              <w:rPr>
                <w:rFonts w:ascii="Times New Roman" w:hAnsi="Times New Roman" w:eastAsia="Times New Roman" w:cs="Times New Roman"/>
                <w:spacing w:val="1"/>
                <w:sz w:val="20"/>
                <w:szCs w:val="20"/>
              </w:rPr>
              <w:t>20</w:t>
            </w:r>
          </w:p>
        </w:tc>
        <w:tc>
          <w:tcPr>
            <w:tcW w:w="825" w:type="dxa"/>
            <w:vAlign w:val="top"/>
          </w:tcPr>
          <w:p w14:paraId="62220798">
            <w:pPr>
              <w:spacing w:before="90" w:line="195" w:lineRule="auto"/>
              <w:ind w:left="23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.49</w:t>
            </w:r>
          </w:p>
        </w:tc>
        <w:tc>
          <w:tcPr>
            <w:tcW w:w="738" w:type="dxa"/>
            <w:vAlign w:val="top"/>
          </w:tcPr>
          <w:p w14:paraId="518073B6">
            <w:pPr>
              <w:spacing w:before="93" w:line="192" w:lineRule="auto"/>
              <w:ind w:left="324"/>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718" w:type="dxa"/>
            <w:vAlign w:val="top"/>
          </w:tcPr>
          <w:p w14:paraId="4FB9AAC2">
            <w:pPr>
              <w:spacing w:before="90" w:line="195" w:lineRule="auto"/>
              <w:ind w:left="12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.008</w:t>
            </w:r>
          </w:p>
        </w:tc>
        <w:tc>
          <w:tcPr>
            <w:tcW w:w="618" w:type="dxa"/>
            <w:vAlign w:val="top"/>
          </w:tcPr>
          <w:p w14:paraId="6FF85B7A">
            <w:pPr>
              <w:spacing w:before="90" w:line="195" w:lineRule="auto"/>
              <w:ind w:left="227"/>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8</w:t>
            </w:r>
          </w:p>
        </w:tc>
        <w:tc>
          <w:tcPr>
            <w:tcW w:w="672" w:type="dxa"/>
            <w:vAlign w:val="top"/>
          </w:tcPr>
          <w:p w14:paraId="4B932FD7">
            <w:pPr>
              <w:spacing w:before="90"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.03</w:t>
            </w:r>
          </w:p>
        </w:tc>
        <w:tc>
          <w:tcPr>
            <w:tcW w:w="1134" w:type="dxa"/>
            <w:tcBorders>
              <w:right w:val="nil"/>
            </w:tcBorders>
            <w:vAlign w:val="top"/>
          </w:tcPr>
          <w:p w14:paraId="23899445">
            <w:pPr>
              <w:spacing w:before="178" w:line="136" w:lineRule="exact"/>
              <w:ind w:left="5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w:t>
            </w:r>
            <w:r>
              <w:rPr>
                <w:rFonts w:ascii="Times New Roman" w:hAnsi="Times New Roman" w:eastAsia="Times New Roman" w:cs="Times New Roman"/>
                <w:spacing w:val="-2"/>
                <w:sz w:val="20"/>
                <w:szCs w:val="20"/>
              </w:rPr>
              <w:t>-</w:t>
            </w:r>
          </w:p>
        </w:tc>
      </w:tr>
      <w:tr w14:paraId="66684D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1025" w:type="dxa"/>
            <w:tcBorders>
              <w:left w:val="nil"/>
            </w:tcBorders>
            <w:vAlign w:val="top"/>
          </w:tcPr>
          <w:p w14:paraId="2AB27536">
            <w:pPr>
              <w:spacing w:before="55" w:line="228" w:lineRule="auto"/>
              <w:ind w:left="209"/>
              <w:rPr>
                <w:rFonts w:ascii="宋体" w:hAnsi="宋体" w:eastAsia="宋体" w:cs="宋体"/>
                <w:sz w:val="20"/>
                <w:szCs w:val="20"/>
              </w:rPr>
            </w:pPr>
            <w:r>
              <w:rPr>
                <w:rFonts w:ascii="宋体" w:hAnsi="宋体" w:eastAsia="宋体" w:cs="宋体"/>
                <w:spacing w:val="6"/>
                <w:sz w:val="20"/>
                <w:szCs w:val="20"/>
              </w:rPr>
              <w:t>处</w:t>
            </w:r>
            <w:r>
              <w:rPr>
                <w:rFonts w:ascii="宋体" w:hAnsi="宋体" w:eastAsia="宋体" w:cs="宋体"/>
                <w:spacing w:val="5"/>
                <w:sz w:val="20"/>
                <w:szCs w:val="20"/>
              </w:rPr>
              <w:t>理后</w:t>
            </w:r>
          </w:p>
        </w:tc>
        <w:tc>
          <w:tcPr>
            <w:tcW w:w="754" w:type="dxa"/>
            <w:vMerge w:val="continue"/>
            <w:tcBorders>
              <w:top w:val="nil"/>
            </w:tcBorders>
            <w:vAlign w:val="top"/>
          </w:tcPr>
          <w:p w14:paraId="5AC1C9BD">
            <w:pPr>
              <w:rPr>
                <w:rFonts w:ascii="Arial"/>
                <w:sz w:val="21"/>
              </w:rPr>
            </w:pPr>
          </w:p>
        </w:tc>
        <w:tc>
          <w:tcPr>
            <w:tcW w:w="638" w:type="dxa"/>
            <w:vAlign w:val="top"/>
          </w:tcPr>
          <w:p w14:paraId="453982D0">
            <w:pPr>
              <w:spacing w:before="90" w:line="195" w:lineRule="auto"/>
              <w:ind w:left="18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150</w:t>
            </w:r>
          </w:p>
        </w:tc>
        <w:tc>
          <w:tcPr>
            <w:tcW w:w="743" w:type="dxa"/>
            <w:vAlign w:val="top"/>
          </w:tcPr>
          <w:p w14:paraId="0385D181">
            <w:pPr>
              <w:spacing w:before="91" w:line="195" w:lineRule="auto"/>
              <w:ind w:left="19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.23</w:t>
            </w:r>
          </w:p>
        </w:tc>
        <w:tc>
          <w:tcPr>
            <w:tcW w:w="656" w:type="dxa"/>
            <w:vAlign w:val="top"/>
          </w:tcPr>
          <w:p w14:paraId="74E52F47">
            <w:pPr>
              <w:spacing w:before="90" w:line="195" w:lineRule="auto"/>
              <w:ind w:left="23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0</w:t>
            </w:r>
          </w:p>
        </w:tc>
        <w:tc>
          <w:tcPr>
            <w:tcW w:w="825" w:type="dxa"/>
            <w:vAlign w:val="top"/>
          </w:tcPr>
          <w:p w14:paraId="3A6BDC5F">
            <w:pPr>
              <w:spacing w:before="91" w:line="195" w:lineRule="auto"/>
              <w:ind w:left="23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.05</w:t>
            </w:r>
          </w:p>
        </w:tc>
        <w:tc>
          <w:tcPr>
            <w:tcW w:w="738" w:type="dxa"/>
            <w:vAlign w:val="top"/>
          </w:tcPr>
          <w:p w14:paraId="4629A831">
            <w:pPr>
              <w:spacing w:before="93" w:line="192" w:lineRule="auto"/>
              <w:ind w:left="324"/>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718" w:type="dxa"/>
            <w:vAlign w:val="top"/>
          </w:tcPr>
          <w:p w14:paraId="310CEF51">
            <w:pPr>
              <w:spacing w:before="91" w:line="195" w:lineRule="auto"/>
              <w:ind w:left="12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.008</w:t>
            </w:r>
          </w:p>
        </w:tc>
        <w:tc>
          <w:tcPr>
            <w:tcW w:w="618" w:type="dxa"/>
            <w:vAlign w:val="top"/>
          </w:tcPr>
          <w:p w14:paraId="0641604F">
            <w:pPr>
              <w:spacing w:before="90" w:line="195" w:lineRule="auto"/>
              <w:ind w:left="227"/>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7</w:t>
            </w:r>
          </w:p>
        </w:tc>
        <w:tc>
          <w:tcPr>
            <w:tcW w:w="672" w:type="dxa"/>
            <w:vAlign w:val="top"/>
          </w:tcPr>
          <w:p w14:paraId="66F2F72B">
            <w:pPr>
              <w:spacing w:before="91"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.03</w:t>
            </w:r>
          </w:p>
        </w:tc>
        <w:tc>
          <w:tcPr>
            <w:tcW w:w="1134" w:type="dxa"/>
            <w:tcBorders>
              <w:right w:val="nil"/>
            </w:tcBorders>
            <w:vAlign w:val="top"/>
          </w:tcPr>
          <w:p w14:paraId="0397D8A0">
            <w:pPr>
              <w:spacing w:before="179" w:line="136" w:lineRule="exact"/>
              <w:ind w:left="5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w:t>
            </w:r>
            <w:r>
              <w:rPr>
                <w:rFonts w:ascii="Times New Roman" w:hAnsi="Times New Roman" w:eastAsia="Times New Roman" w:cs="Times New Roman"/>
                <w:spacing w:val="-2"/>
                <w:sz w:val="20"/>
                <w:szCs w:val="20"/>
              </w:rPr>
              <w:t>-</w:t>
            </w:r>
          </w:p>
        </w:tc>
      </w:tr>
      <w:tr w14:paraId="40A5A8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025" w:type="dxa"/>
            <w:tcBorders>
              <w:left w:val="nil"/>
            </w:tcBorders>
            <w:vAlign w:val="top"/>
          </w:tcPr>
          <w:p w14:paraId="649DBC45">
            <w:pPr>
              <w:spacing w:before="55" w:line="228" w:lineRule="auto"/>
              <w:ind w:left="103"/>
              <w:rPr>
                <w:rFonts w:ascii="宋体" w:hAnsi="宋体" w:eastAsia="宋体" w:cs="宋体"/>
                <w:sz w:val="20"/>
                <w:szCs w:val="20"/>
              </w:rPr>
            </w:pPr>
            <w:r>
              <w:rPr>
                <w:rFonts w:ascii="宋体" w:hAnsi="宋体" w:eastAsia="宋体" w:cs="宋体"/>
                <w:spacing w:val="7"/>
                <w:sz w:val="20"/>
                <w:szCs w:val="20"/>
              </w:rPr>
              <w:t>处</w:t>
            </w:r>
            <w:r>
              <w:rPr>
                <w:rFonts w:ascii="宋体" w:hAnsi="宋体" w:eastAsia="宋体" w:cs="宋体"/>
                <w:spacing w:val="6"/>
                <w:sz w:val="20"/>
                <w:szCs w:val="20"/>
              </w:rPr>
              <w:t>理效率</w:t>
            </w:r>
          </w:p>
        </w:tc>
        <w:tc>
          <w:tcPr>
            <w:tcW w:w="754" w:type="dxa"/>
            <w:vAlign w:val="top"/>
          </w:tcPr>
          <w:p w14:paraId="1DB538C8">
            <w:pPr>
              <w:spacing w:before="180" w:line="135" w:lineRule="exact"/>
              <w:ind w:left="31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r>
              <w:rPr>
                <w:rFonts w:ascii="Times New Roman" w:hAnsi="Times New Roman" w:eastAsia="Times New Roman" w:cs="Times New Roman"/>
                <w:spacing w:val="-1"/>
                <w:sz w:val="20"/>
                <w:szCs w:val="20"/>
              </w:rPr>
              <w:t>-</w:t>
            </w:r>
          </w:p>
        </w:tc>
        <w:tc>
          <w:tcPr>
            <w:tcW w:w="1381" w:type="dxa"/>
            <w:gridSpan w:val="2"/>
            <w:vAlign w:val="top"/>
          </w:tcPr>
          <w:p w14:paraId="4A5FBFE6">
            <w:pPr>
              <w:spacing w:before="18" w:line="281" w:lineRule="exact"/>
              <w:ind w:left="506"/>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50</w:t>
            </w:r>
            <w:r>
              <w:rPr>
                <w:rFonts w:ascii="Times New Roman" w:hAnsi="Times New Roman" w:eastAsia="Times New Roman" w:cs="Times New Roman"/>
                <w:spacing w:val="2"/>
                <w:position w:val="2"/>
                <w:sz w:val="20"/>
                <w:szCs w:val="20"/>
              </w:rPr>
              <w:t>%</w:t>
            </w:r>
          </w:p>
        </w:tc>
        <w:tc>
          <w:tcPr>
            <w:tcW w:w="1481" w:type="dxa"/>
            <w:gridSpan w:val="2"/>
            <w:vAlign w:val="top"/>
          </w:tcPr>
          <w:p w14:paraId="7EED2475">
            <w:pPr>
              <w:spacing w:before="18" w:line="281" w:lineRule="exact"/>
              <w:ind w:left="553"/>
              <w:rPr>
                <w:rFonts w:ascii="Times New Roman" w:hAnsi="Times New Roman" w:eastAsia="Times New Roman" w:cs="Times New Roman"/>
                <w:sz w:val="20"/>
                <w:szCs w:val="20"/>
              </w:rPr>
            </w:pPr>
            <w:r>
              <w:rPr>
                <w:rFonts w:ascii="Times New Roman" w:hAnsi="Times New Roman" w:eastAsia="Times New Roman" w:cs="Times New Roman"/>
                <w:spacing w:val="4"/>
                <w:position w:val="2"/>
                <w:sz w:val="20"/>
                <w:szCs w:val="20"/>
              </w:rPr>
              <w:t>9</w:t>
            </w:r>
            <w:r>
              <w:rPr>
                <w:rFonts w:ascii="Times New Roman" w:hAnsi="Times New Roman" w:eastAsia="Times New Roman" w:cs="Times New Roman"/>
                <w:spacing w:val="3"/>
                <w:position w:val="2"/>
                <w:sz w:val="20"/>
                <w:szCs w:val="20"/>
              </w:rPr>
              <w:t>0%</w:t>
            </w:r>
          </w:p>
        </w:tc>
        <w:tc>
          <w:tcPr>
            <w:tcW w:w="1456" w:type="dxa"/>
            <w:gridSpan w:val="2"/>
            <w:vAlign w:val="top"/>
          </w:tcPr>
          <w:p w14:paraId="6115FE7E">
            <w:pPr>
              <w:spacing w:before="180" w:line="135" w:lineRule="exact"/>
              <w:ind w:left="66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w:t>
            </w:r>
            <w:r>
              <w:rPr>
                <w:rFonts w:ascii="Times New Roman" w:hAnsi="Times New Roman" w:eastAsia="Times New Roman" w:cs="Times New Roman"/>
                <w:spacing w:val="-2"/>
                <w:sz w:val="20"/>
                <w:szCs w:val="20"/>
              </w:rPr>
              <w:t>-</w:t>
            </w:r>
          </w:p>
        </w:tc>
        <w:tc>
          <w:tcPr>
            <w:tcW w:w="1290" w:type="dxa"/>
            <w:gridSpan w:val="2"/>
            <w:vAlign w:val="top"/>
          </w:tcPr>
          <w:p w14:paraId="46177511">
            <w:pPr>
              <w:spacing w:before="18" w:line="281" w:lineRule="exact"/>
              <w:ind w:left="51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5</w:t>
            </w:r>
            <w:r>
              <w:rPr>
                <w:rFonts w:ascii="Times New Roman" w:hAnsi="Times New Roman" w:eastAsia="Times New Roman" w:cs="Times New Roman"/>
                <w:spacing w:val="1"/>
                <w:position w:val="2"/>
                <w:sz w:val="20"/>
                <w:szCs w:val="20"/>
              </w:rPr>
              <w:t>%</w:t>
            </w:r>
          </w:p>
        </w:tc>
        <w:tc>
          <w:tcPr>
            <w:tcW w:w="1134" w:type="dxa"/>
            <w:tcBorders>
              <w:right w:val="nil"/>
            </w:tcBorders>
            <w:vAlign w:val="top"/>
          </w:tcPr>
          <w:p w14:paraId="6555503E">
            <w:pPr>
              <w:spacing w:before="180" w:line="135" w:lineRule="exact"/>
              <w:ind w:left="5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w:t>
            </w:r>
            <w:r>
              <w:rPr>
                <w:rFonts w:ascii="Times New Roman" w:hAnsi="Times New Roman" w:eastAsia="Times New Roman" w:cs="Times New Roman"/>
                <w:spacing w:val="-2"/>
                <w:sz w:val="20"/>
                <w:szCs w:val="20"/>
              </w:rPr>
              <w:t>-</w:t>
            </w:r>
          </w:p>
        </w:tc>
      </w:tr>
      <w:tr w14:paraId="33F52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025" w:type="dxa"/>
            <w:tcBorders>
              <w:left w:val="nil"/>
            </w:tcBorders>
            <w:vAlign w:val="top"/>
          </w:tcPr>
          <w:p w14:paraId="1A4C26A5">
            <w:pPr>
              <w:spacing w:before="212" w:line="228" w:lineRule="auto"/>
              <w:ind w:left="99"/>
              <w:rPr>
                <w:rFonts w:ascii="宋体" w:hAnsi="宋体" w:eastAsia="宋体" w:cs="宋体"/>
                <w:sz w:val="20"/>
                <w:szCs w:val="20"/>
              </w:rPr>
            </w:pPr>
            <w:r>
              <w:rPr>
                <w:rFonts w:ascii="宋体" w:hAnsi="宋体" w:eastAsia="宋体" w:cs="宋体"/>
                <w:spacing w:val="8"/>
                <w:sz w:val="20"/>
                <w:szCs w:val="20"/>
              </w:rPr>
              <w:t>排</w:t>
            </w:r>
            <w:r>
              <w:rPr>
                <w:rFonts w:ascii="宋体" w:hAnsi="宋体" w:eastAsia="宋体" w:cs="宋体"/>
                <w:spacing w:val="7"/>
                <w:sz w:val="20"/>
                <w:szCs w:val="20"/>
              </w:rPr>
              <w:t>水标准</w:t>
            </w:r>
          </w:p>
        </w:tc>
        <w:tc>
          <w:tcPr>
            <w:tcW w:w="754" w:type="dxa"/>
            <w:vAlign w:val="top"/>
          </w:tcPr>
          <w:p w14:paraId="764BB2BA">
            <w:pPr>
              <w:spacing w:line="277" w:lineRule="auto"/>
              <w:rPr>
                <w:rFonts w:ascii="Arial"/>
                <w:sz w:val="21"/>
              </w:rPr>
            </w:pPr>
          </w:p>
          <w:p w14:paraId="0A3DC429">
            <w:pPr>
              <w:spacing w:before="57" w:line="137" w:lineRule="exact"/>
              <w:ind w:left="31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r>
              <w:rPr>
                <w:rFonts w:ascii="Times New Roman" w:hAnsi="Times New Roman" w:eastAsia="Times New Roman" w:cs="Times New Roman"/>
                <w:spacing w:val="-1"/>
                <w:sz w:val="20"/>
                <w:szCs w:val="20"/>
              </w:rPr>
              <w:t>-</w:t>
            </w:r>
          </w:p>
        </w:tc>
        <w:tc>
          <w:tcPr>
            <w:tcW w:w="1381" w:type="dxa"/>
            <w:gridSpan w:val="2"/>
            <w:vAlign w:val="top"/>
          </w:tcPr>
          <w:p w14:paraId="57E64617">
            <w:pPr>
              <w:spacing w:before="248" w:line="195" w:lineRule="auto"/>
              <w:ind w:left="53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00</w:t>
            </w:r>
          </w:p>
        </w:tc>
        <w:tc>
          <w:tcPr>
            <w:tcW w:w="1481" w:type="dxa"/>
            <w:gridSpan w:val="2"/>
            <w:vAlign w:val="top"/>
          </w:tcPr>
          <w:p w14:paraId="54E44EAD">
            <w:pPr>
              <w:spacing w:before="248" w:line="195" w:lineRule="auto"/>
              <w:ind w:left="59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00</w:t>
            </w:r>
          </w:p>
        </w:tc>
        <w:tc>
          <w:tcPr>
            <w:tcW w:w="1456" w:type="dxa"/>
            <w:gridSpan w:val="2"/>
            <w:vAlign w:val="top"/>
          </w:tcPr>
          <w:p w14:paraId="4042C7CD">
            <w:pPr>
              <w:spacing w:before="248" w:line="195" w:lineRule="auto"/>
              <w:ind w:left="62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0</w:t>
            </w:r>
          </w:p>
        </w:tc>
        <w:tc>
          <w:tcPr>
            <w:tcW w:w="1290" w:type="dxa"/>
            <w:gridSpan w:val="2"/>
            <w:vAlign w:val="top"/>
          </w:tcPr>
          <w:p w14:paraId="6E285B05">
            <w:pPr>
              <w:spacing w:before="248" w:line="195" w:lineRule="auto"/>
              <w:ind w:left="54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0</w:t>
            </w:r>
          </w:p>
        </w:tc>
        <w:tc>
          <w:tcPr>
            <w:tcW w:w="1134" w:type="dxa"/>
            <w:tcBorders>
              <w:right w:val="nil"/>
            </w:tcBorders>
            <w:vAlign w:val="top"/>
          </w:tcPr>
          <w:p w14:paraId="0B513D25">
            <w:pPr>
              <w:spacing w:before="19" w:line="292" w:lineRule="auto"/>
              <w:ind w:left="170" w:right="23" w:hanging="128"/>
              <w:rPr>
                <w:rFonts w:ascii="宋体" w:hAnsi="宋体" w:eastAsia="宋体" w:cs="宋体"/>
                <w:sz w:val="20"/>
                <w:szCs w:val="20"/>
              </w:rPr>
            </w:pPr>
            <w:r>
              <w:rPr>
                <w:rFonts w:ascii="宋体" w:hAnsi="宋体" w:eastAsia="宋体" w:cs="宋体"/>
                <w:spacing w:val="11"/>
                <w:sz w:val="20"/>
                <w:szCs w:val="20"/>
              </w:rPr>
              <w:t>(</w:t>
            </w:r>
            <w:r>
              <w:rPr>
                <w:rFonts w:ascii="Times New Roman" w:hAnsi="Times New Roman" w:eastAsia="Times New Roman" w:cs="Times New Roman"/>
                <w:sz w:val="20"/>
                <w:szCs w:val="20"/>
              </w:rPr>
              <w:t>DB</w:t>
            </w:r>
            <w:r>
              <w:rPr>
                <w:rFonts w:ascii="Times New Roman" w:hAnsi="Times New Roman" w:eastAsia="Times New Roman" w:cs="Times New Roman"/>
                <w:spacing w:val="10"/>
                <w:sz w:val="20"/>
                <w:szCs w:val="20"/>
              </w:rPr>
              <w:t>21/ 162</w:t>
            </w:r>
            <w:r>
              <w:rPr>
                <w:rFonts w:ascii="Times New Roman" w:hAnsi="Times New Roman" w:eastAsia="Times New Roman" w:cs="Times New Roman"/>
                <w:sz w:val="20"/>
                <w:szCs w:val="20"/>
              </w:rPr>
              <w:t xml:space="preserve"> </w:t>
            </w:r>
            <w:r>
              <w:rPr>
                <w:rFonts w:ascii="Times New Roman" w:hAnsi="Times New Roman" w:eastAsia="Times New Roman" w:cs="Times New Roman"/>
                <w:spacing w:val="3"/>
                <w:sz w:val="20"/>
                <w:szCs w:val="20"/>
              </w:rPr>
              <w:t>7-2008</w:t>
            </w:r>
            <w:r>
              <w:rPr>
                <w:rFonts w:ascii="宋体" w:hAnsi="宋体" w:eastAsia="宋体" w:cs="宋体"/>
                <w:spacing w:val="1"/>
                <w:sz w:val="20"/>
                <w:szCs w:val="20"/>
              </w:rPr>
              <w:t>)</w:t>
            </w:r>
          </w:p>
        </w:tc>
      </w:tr>
    </w:tbl>
    <w:p w14:paraId="386A02DE">
      <w:pPr>
        <w:spacing w:line="260" w:lineRule="auto"/>
        <w:rPr>
          <w:rFonts w:ascii="Arial"/>
          <w:sz w:val="21"/>
        </w:rPr>
      </w:pPr>
    </w:p>
    <w:p w14:paraId="3FC4FD21">
      <w:pPr>
        <w:spacing w:before="75" w:line="227" w:lineRule="auto"/>
        <w:ind w:left="601"/>
        <w:rPr>
          <w:rFonts w:ascii="宋体" w:hAnsi="宋体" w:eastAsia="宋体" w:cs="宋体"/>
          <w:sz w:val="23"/>
          <w:szCs w:val="23"/>
        </w:rPr>
      </w:pPr>
      <w:r>
        <w:rPr>
          <w:rFonts w:ascii="宋体" w:hAnsi="宋体" w:eastAsia="宋体" w:cs="宋体"/>
          <w:spacing w:val="4"/>
          <w:sz w:val="23"/>
          <w:szCs w:val="23"/>
        </w:rPr>
        <w:t>该项目</w:t>
      </w:r>
      <w:r>
        <w:rPr>
          <w:rFonts w:ascii="宋体" w:hAnsi="宋体" w:eastAsia="宋体" w:cs="宋体"/>
          <w:spacing w:val="2"/>
          <w:sz w:val="23"/>
          <w:szCs w:val="23"/>
        </w:rPr>
        <w:t xml:space="preserve">水平衡图见图 </w:t>
      </w:r>
      <w:r>
        <w:rPr>
          <w:rFonts w:ascii="Times New Roman" w:hAnsi="Times New Roman" w:eastAsia="Times New Roman" w:cs="Times New Roman"/>
          <w:spacing w:val="2"/>
          <w:sz w:val="23"/>
          <w:szCs w:val="23"/>
        </w:rPr>
        <w:t>3-4</w:t>
      </w:r>
      <w:r>
        <w:rPr>
          <w:rFonts w:ascii="宋体" w:hAnsi="宋体" w:eastAsia="宋体" w:cs="宋体"/>
          <w:spacing w:val="2"/>
          <w:sz w:val="23"/>
          <w:szCs w:val="23"/>
        </w:rPr>
        <w:t>。</w:t>
      </w:r>
    </w:p>
    <w:p w14:paraId="57F07CDB">
      <w:pPr>
        <w:spacing w:line="145" w:lineRule="exact"/>
      </w:pPr>
    </w:p>
    <w:tbl>
      <w:tblPr>
        <w:tblStyle w:val="4"/>
        <w:tblW w:w="8605" w:type="dxa"/>
        <w:tblInd w:w="118"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8605"/>
      </w:tblGrid>
      <w:tr w14:paraId="5823BB98">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7194" w:hRule="atLeast"/>
        </w:trPr>
        <w:tc>
          <w:tcPr>
            <w:tcW w:w="8605" w:type="dxa"/>
            <w:vAlign w:val="top"/>
          </w:tcPr>
          <w:p w14:paraId="2CC428F7">
            <w:pPr>
              <w:spacing w:before="147" w:line="195" w:lineRule="auto"/>
              <w:ind w:left="2821"/>
              <w:rPr>
                <w:rFonts w:ascii="Times New Roman" w:hAnsi="Times New Roman" w:eastAsia="Times New Roman" w:cs="Times New Roman"/>
                <w:sz w:val="20"/>
                <w:szCs w:val="20"/>
              </w:rPr>
            </w:pPr>
            <w:r>
              <w:pict>
                <v:rect id="_x0000_s1182" o:spid="_x0000_s1182" o:spt="1" style="position:absolute;left:0pt;margin-left:54.55pt;margin-top:38.45pt;height:301.9pt;width:0.75pt;mso-position-horizontal-relative:page;mso-position-vertical-relative:page;z-index:251846656;mso-width-relative:page;mso-height-relative:page;" fillcolor="#000000" filled="t" stroked="f" coordsize="21600,21600">
                  <v:path/>
                  <v:fill on="t" focussize="0,0"/>
                  <v:stroke on="f"/>
                  <v:imagedata o:title=""/>
                  <o:lock v:ext="edit"/>
                </v:rect>
              </w:pict>
            </w:r>
            <w:r>
              <w:drawing>
                <wp:anchor distT="0" distB="0" distL="0" distR="0" simplePos="0" relativeHeight="251837440" behindDoc="0" locked="0" layoutInCell="1" allowOverlap="1">
                  <wp:simplePos x="0" y="0"/>
                  <wp:positionH relativeFrom="rightMargin">
                    <wp:posOffset>-3930015</wp:posOffset>
                  </wp:positionH>
                  <wp:positionV relativeFrom="topMargin">
                    <wp:posOffset>140335</wp:posOffset>
                  </wp:positionV>
                  <wp:extent cx="179070" cy="207010"/>
                  <wp:effectExtent l="0" t="0" r="0" b="0"/>
                  <wp:wrapNone/>
                  <wp:docPr id="83" name="IM 83"/>
                  <wp:cNvGraphicFramePr/>
                  <a:graphic xmlns:a="http://schemas.openxmlformats.org/drawingml/2006/main">
                    <a:graphicData uri="http://schemas.openxmlformats.org/drawingml/2006/picture">
                      <pic:pic xmlns:pic="http://schemas.openxmlformats.org/drawingml/2006/picture">
                        <pic:nvPicPr>
                          <pic:cNvPr id="83" name="IM 83"/>
                          <pic:cNvPicPr/>
                        </pic:nvPicPr>
                        <pic:blipFill>
                          <a:blip r:embed="rId468"/>
                          <a:stretch>
                            <a:fillRect/>
                          </a:stretch>
                        </pic:blipFill>
                        <pic:spPr>
                          <a:xfrm>
                            <a:off x="0" y="0"/>
                            <a:ext cx="179374" cy="207174"/>
                          </a:xfrm>
                          <a:prstGeom prst="rect">
                            <a:avLst/>
                          </a:prstGeom>
                        </pic:spPr>
                      </pic:pic>
                    </a:graphicData>
                  </a:graphic>
                </wp:anchor>
              </w:drawing>
            </w:r>
            <w:r>
              <w:pict>
                <v:shape id="_x0000_s1183" o:spid="_x0000_s1183" o:spt="202" type="#_x0000_t202" style="position:absolute;left:0pt;margin-left:63.8pt;margin-top:28.35pt;height:11.4pt;width:20.05pt;mso-position-horizontal-relative:page;mso-position-vertical-relative:page;z-index:251839488;mso-width-relative:page;mso-height-relative:page;" filled="f" stroked="f" coordsize="21600,21600">
                  <v:path/>
                  <v:fill on="f" focussize="0,0"/>
                  <v:stroke on="f"/>
                  <v:imagedata o:title=""/>
                  <o:lock v:ext="edit" aspectratio="f"/>
                  <v:textbox inset="0mm,0mm,0mm,0mm">
                    <w:txbxContent>
                      <w:p w14:paraId="6901EEBB">
                        <w:pPr>
                          <w:spacing w:before="20" w:line="195" w:lineRule="auto"/>
                          <w:ind w:left="2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.85</w:t>
                        </w:r>
                      </w:p>
                    </w:txbxContent>
                  </v:textbox>
                </v:shape>
              </w:pict>
            </w:r>
            <w:r>
              <w:drawing>
                <wp:anchor distT="0" distB="0" distL="0" distR="0" simplePos="0" relativeHeight="251819008" behindDoc="1" locked="0" layoutInCell="1" allowOverlap="1">
                  <wp:simplePos x="0" y="0"/>
                  <wp:positionH relativeFrom="rightMargin">
                    <wp:posOffset>-3390265</wp:posOffset>
                  </wp:positionH>
                  <wp:positionV relativeFrom="topMargin">
                    <wp:posOffset>510540</wp:posOffset>
                  </wp:positionV>
                  <wp:extent cx="1047115" cy="300990"/>
                  <wp:effectExtent l="0" t="0" r="0" b="0"/>
                  <wp:wrapNone/>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469"/>
                          <a:stretch>
                            <a:fillRect/>
                          </a:stretch>
                        </pic:blipFill>
                        <pic:spPr>
                          <a:xfrm>
                            <a:off x="0" y="0"/>
                            <a:ext cx="1047114" cy="301307"/>
                          </a:xfrm>
                          <a:prstGeom prst="rect">
                            <a:avLst/>
                          </a:prstGeom>
                        </pic:spPr>
                      </pic:pic>
                    </a:graphicData>
                  </a:graphic>
                </wp:anchor>
              </w:drawing>
            </w:r>
            <w:r>
              <w:drawing>
                <wp:anchor distT="0" distB="0" distL="0" distR="0" simplePos="0" relativeHeight="251853824" behindDoc="0" locked="0" layoutInCell="1" allowOverlap="1">
                  <wp:simplePos x="0" y="0"/>
                  <wp:positionH relativeFrom="rightMargin">
                    <wp:posOffset>-4754245</wp:posOffset>
                  </wp:positionH>
                  <wp:positionV relativeFrom="topMargin">
                    <wp:posOffset>447040</wp:posOffset>
                  </wp:positionV>
                  <wp:extent cx="514350" cy="76200"/>
                  <wp:effectExtent l="0" t="0" r="0" b="0"/>
                  <wp:wrapNone/>
                  <wp:docPr id="85" name="IM 85"/>
                  <wp:cNvGraphicFramePr/>
                  <a:graphic xmlns:a="http://schemas.openxmlformats.org/drawingml/2006/main">
                    <a:graphicData uri="http://schemas.openxmlformats.org/drawingml/2006/picture">
                      <pic:pic xmlns:pic="http://schemas.openxmlformats.org/drawingml/2006/picture">
                        <pic:nvPicPr>
                          <pic:cNvPr id="85" name="IM 85"/>
                          <pic:cNvPicPr/>
                        </pic:nvPicPr>
                        <pic:blipFill>
                          <a:blip r:embed="rId470"/>
                          <a:stretch>
                            <a:fillRect/>
                          </a:stretch>
                        </pic:blipFill>
                        <pic:spPr>
                          <a:xfrm>
                            <a:off x="0" y="0"/>
                            <a:ext cx="514350" cy="76200"/>
                          </a:xfrm>
                          <a:prstGeom prst="rect">
                            <a:avLst/>
                          </a:prstGeom>
                        </pic:spPr>
                      </pic:pic>
                    </a:graphicData>
                  </a:graphic>
                </wp:anchor>
              </w:drawing>
            </w:r>
            <w:r>
              <w:pict>
                <v:group id="_x0000_s1184" o:spid="_x0000_s1184" o:spt="203" style="position:absolute;left:0pt;margin-left:138.05pt;margin-top:52.7pt;height:23.75pt;width:84pt;mso-position-horizontal-relative:page;mso-position-vertical-relative:page;z-index:251850752;mso-width-relative:page;mso-height-relative:page;" coordsize="1680,475">
                  <o:lock v:ext="edit"/>
                  <v:shape id="_x0000_s1185" o:spid="_x0000_s1185" o:spt="75" type="#_x0000_t75" style="position:absolute;left:0;top:0;height:475;width:1680;" filled="f" stroked="f" coordsize="21600,21600">
                    <v:path/>
                    <v:fill on="f" focussize="0,0"/>
                    <v:stroke on="f"/>
                    <v:imagedata r:id="rId471" o:title=""/>
                    <o:lock v:ext="edit" aspectratio="t"/>
                  </v:shape>
                  <v:shape id="_x0000_s1186" o:spid="_x0000_s1186" o:spt="202" type="#_x0000_t202" style="position:absolute;left:-20;top:-20;height:552;width:1720;" filled="f" stroked="f" coordsize="21600,21600">
                    <v:path/>
                    <v:fill on="f" focussize="0,0"/>
                    <v:stroke on="f"/>
                    <v:imagedata o:title=""/>
                    <o:lock v:ext="edit" aspectratio="f"/>
                    <v:textbox inset="0mm,0mm,0mm,0mm">
                      <w:txbxContent>
                        <w:p w14:paraId="76DB0FDC">
                          <w:pPr>
                            <w:spacing w:before="217" w:line="228" w:lineRule="auto"/>
                            <w:ind w:left="295"/>
                            <w:rPr>
                              <w:rFonts w:ascii="Times New Roman" w:hAnsi="Times New Roman" w:eastAsia="Times New Roman" w:cs="Times New Roman"/>
                              <w:sz w:val="20"/>
                              <w:szCs w:val="20"/>
                            </w:rPr>
                          </w:pPr>
                          <w:r>
                            <w:rPr>
                              <w:rFonts w:ascii="宋体" w:hAnsi="宋体" w:eastAsia="宋体" w:cs="宋体"/>
                              <w:spacing w:val="-8"/>
                              <w:sz w:val="20"/>
                              <w:szCs w:val="20"/>
                            </w:rPr>
                            <w:t>循</w:t>
                          </w:r>
                          <w:r>
                            <w:rPr>
                              <w:rFonts w:ascii="宋体" w:hAnsi="宋体" w:eastAsia="宋体" w:cs="宋体"/>
                              <w:spacing w:val="-5"/>
                              <w:sz w:val="20"/>
                              <w:szCs w:val="20"/>
                            </w:rPr>
                            <w:t xml:space="preserve">环水 </w:t>
                          </w:r>
                          <w:r>
                            <w:rPr>
                              <w:rFonts w:ascii="Times New Roman" w:hAnsi="Times New Roman" w:eastAsia="Times New Roman" w:cs="Times New Roman"/>
                              <w:spacing w:val="-5"/>
                              <w:sz w:val="20"/>
                              <w:szCs w:val="20"/>
                            </w:rPr>
                            <w:t>16. 15</w:t>
                          </w:r>
                        </w:p>
                      </w:txbxContent>
                    </v:textbox>
                  </v:shape>
                </v:group>
              </w:pict>
            </w:r>
            <w:r>
              <w:pict>
                <v:shape id="_x0000_s1187" o:spid="_x0000_s1187" o:spt="202" type="#_x0000_t202" style="position:absolute;left:0pt;margin-left:114.7pt;margin-top:103.35pt;height:11.5pt;width:20.3pt;mso-position-horizontal-relative:page;mso-position-vertical-relative:page;z-index:251833344;mso-width-relative:page;mso-height-relative:page;" filled="f" stroked="f" coordsize="21600,21600">
                  <v:path/>
                  <v:fill on="f" focussize="0,0"/>
                  <v:stroke on="f"/>
                  <v:imagedata o:title=""/>
                  <o:lock v:ext="edit" aspectratio="f"/>
                  <v:textbox inset="0mm,0mm,0mm,0mm">
                    <w:txbxContent>
                      <w:p w14:paraId="02507684">
                        <w:pPr>
                          <w:spacing w:before="19" w:line="198" w:lineRule="auto"/>
                          <w:ind w:left="2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4</w:t>
                        </w:r>
                        <w:r>
                          <w:rPr>
                            <w:rFonts w:ascii="Times New Roman" w:hAnsi="Times New Roman" w:eastAsia="Times New Roman" w:cs="Times New Roman"/>
                            <w:spacing w:val="3"/>
                            <w:sz w:val="20"/>
                            <w:szCs w:val="20"/>
                          </w:rPr>
                          <w:t>.25</w:t>
                        </w:r>
                      </w:p>
                    </w:txbxContent>
                  </v:textbox>
                </v:shape>
              </w:pict>
            </w:r>
            <w:r>
              <w:pict>
                <v:shape id="_x0000_s1188" o:spid="_x0000_s1188" o:spt="202" type="#_x0000_t202" style="position:absolute;left:0pt;margin-left:143.15pt;margin-top:109.1pt;height:65.25pt;width:185.95pt;mso-position-horizontal-relative:page;mso-position-vertical-relative:page;z-index:251843584;mso-width-relative:page;mso-height-relative:page;" filled="f" stroked="f" coordsize="21600,21600">
                  <v:path/>
                  <v:fill on="f" focussize="0,0"/>
                  <v:stroke on="f"/>
                  <v:imagedata o:title=""/>
                  <o:lock v:ext="edit" aspectratio="f"/>
                  <v:textbox inset="0mm,0mm,0mm,0mm">
                    <w:txbxContent>
                      <w:p w14:paraId="39661A65">
                        <w:pPr>
                          <w:spacing w:before="19" w:line="228" w:lineRule="auto"/>
                          <w:ind w:left="158"/>
                          <w:rPr>
                            <w:rFonts w:ascii="Times New Roman" w:hAnsi="Times New Roman" w:eastAsia="Times New Roman" w:cs="Times New Roman"/>
                            <w:sz w:val="20"/>
                            <w:szCs w:val="20"/>
                          </w:rPr>
                        </w:pPr>
                        <w:r>
                          <w:rPr>
                            <w:rFonts w:ascii="宋体" w:hAnsi="宋体" w:eastAsia="宋体" w:cs="宋体"/>
                            <w:spacing w:val="-1"/>
                            <w:sz w:val="20"/>
                            <w:szCs w:val="20"/>
                          </w:rPr>
                          <w:t>循环水</w:t>
                        </w:r>
                        <w:r>
                          <w:rPr>
                            <w:rFonts w:ascii="宋体" w:hAnsi="宋体" w:eastAsia="宋体" w:cs="宋体"/>
                            <w:sz w:val="20"/>
                            <w:szCs w:val="20"/>
                          </w:rPr>
                          <w:t xml:space="preserve"> </w:t>
                        </w:r>
                        <w:r>
                          <w:rPr>
                            <w:rFonts w:ascii="Times New Roman" w:hAnsi="Times New Roman" w:eastAsia="Times New Roman" w:cs="Times New Roman"/>
                            <w:sz w:val="20"/>
                            <w:szCs w:val="20"/>
                          </w:rPr>
                          <w:t>80.75</w:t>
                        </w:r>
                      </w:p>
                      <w:p w14:paraId="0F7A51DD">
                        <w:pPr>
                          <w:spacing w:line="250" w:lineRule="auto"/>
                          <w:rPr>
                            <w:rFonts w:ascii="Arial"/>
                            <w:sz w:val="21"/>
                          </w:rPr>
                        </w:pPr>
                      </w:p>
                      <w:p w14:paraId="7ABC5B3A">
                        <w:pPr>
                          <w:spacing w:line="250" w:lineRule="auto"/>
                          <w:rPr>
                            <w:rFonts w:ascii="Arial"/>
                            <w:sz w:val="21"/>
                          </w:rPr>
                        </w:pPr>
                      </w:p>
                      <w:p w14:paraId="3879B001">
                        <w:pPr>
                          <w:spacing w:before="65" w:line="220" w:lineRule="auto"/>
                          <w:ind w:left="20" w:right="20" w:firstLine="2853"/>
                          <w:rPr>
                            <w:rFonts w:ascii="Times New Roman" w:hAnsi="Times New Roman" w:eastAsia="Times New Roman" w:cs="Times New Roman"/>
                            <w:sz w:val="20"/>
                            <w:szCs w:val="20"/>
                          </w:rPr>
                        </w:pPr>
                        <w:r>
                          <w:rPr>
                            <w:rFonts w:ascii="宋体" w:hAnsi="宋体" w:eastAsia="宋体" w:cs="宋体"/>
                            <w:spacing w:val="6"/>
                            <w:sz w:val="20"/>
                            <w:szCs w:val="20"/>
                          </w:rPr>
                          <w:t>定期排放</w:t>
                        </w:r>
                        <w:r>
                          <w:rPr>
                            <w:rFonts w:ascii="宋体" w:hAnsi="宋体" w:eastAsia="宋体" w:cs="宋体"/>
                            <w:sz w:val="20"/>
                            <w:szCs w:val="20"/>
                          </w:rPr>
                          <w:t xml:space="preserve"> </w:t>
                        </w:r>
                        <w:r>
                          <w:rPr>
                            <w:rFonts w:ascii="Times New Roman" w:hAnsi="Times New Roman" w:eastAsia="Times New Roman" w:cs="Times New Roman"/>
                            <w:sz w:val="20"/>
                            <w:szCs w:val="20"/>
                          </w:rPr>
                          <w:t>3</w:t>
                        </w:r>
                      </w:p>
                    </w:txbxContent>
                  </v:textbox>
                </v:shape>
              </w:pict>
            </w:r>
            <w:r>
              <w:pict>
                <v:shape id="_x0000_s1189" o:spid="_x0000_s1189" o:spt="202" type="#_x0000_t202" style="position:absolute;left:0pt;margin-left:96.65pt;margin-top:129.25pt;height:24.75pt;width:69pt;mso-position-horizontal-relative:page;mso-position-vertical-relative:page;z-index:251832320;mso-width-relative:page;mso-height-relative:page;" filled="f" stroked="f" coordsize="21600,21600">
                  <v:path/>
                  <v:fill on="f" focussize="0,0"/>
                  <v:stroke on="f"/>
                  <v:imagedata o:title=""/>
                  <o:lock v:ext="edit" aspectratio="f"/>
                  <v:textbox inset="0mm,0mm,0mm,0mm">
                    <w:txbxContent>
                      <w:p w14:paraId="55F94145">
                        <w:pPr>
                          <w:spacing w:line="20" w:lineRule="exact"/>
                        </w:pPr>
                      </w:p>
                      <w:tbl>
                        <w:tblPr>
                          <w:tblStyle w:val="4"/>
                          <w:tblW w:w="1317" w:type="dxa"/>
                          <w:tblInd w:w="30" w:type="dxa"/>
                          <w:tblBorders>
                            <w:top w:val="single" w:color="000000" w:sz="10" w:space="0"/>
                            <w:left w:val="single" w:color="000000" w:sz="8" w:space="0"/>
                            <w:bottom w:val="single" w:color="000000" w:sz="8"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1317"/>
                        </w:tblGrid>
                        <w:tr w14:paraId="5E79222F">
                          <w:tblPrEx>
                            <w:tblBorders>
                              <w:top w:val="single" w:color="000000" w:sz="10" w:space="0"/>
                              <w:left w:val="single" w:color="000000" w:sz="8" w:space="0"/>
                              <w:bottom w:val="single" w:color="000000" w:sz="8" w:space="0"/>
                              <w:right w:val="single" w:color="000000" w:sz="10" w:space="0"/>
                              <w:insideH w:val="none" w:color="auto" w:sz="0" w:space="0"/>
                              <w:insideV w:val="none" w:color="auto" w:sz="0" w:space="0"/>
                            </w:tblBorders>
                            <w:tblCellMar>
                              <w:top w:w="0" w:type="dxa"/>
                              <w:left w:w="0" w:type="dxa"/>
                              <w:bottom w:w="0" w:type="dxa"/>
                              <w:right w:w="0" w:type="dxa"/>
                            </w:tblCellMar>
                          </w:tblPrEx>
                          <w:trPr>
                            <w:trHeight w:val="409" w:hRule="atLeast"/>
                          </w:trPr>
                          <w:tc>
                            <w:tcPr>
                              <w:tcW w:w="1317" w:type="dxa"/>
                              <w:vAlign w:val="top"/>
                            </w:tcPr>
                            <w:p w14:paraId="7D9B65B0">
                              <w:pPr>
                                <w:spacing w:before="112" w:line="228" w:lineRule="auto"/>
                                <w:ind w:left="237"/>
                                <w:rPr>
                                  <w:rFonts w:ascii="宋体" w:hAnsi="宋体" w:eastAsia="宋体" w:cs="宋体"/>
                                  <w:sz w:val="20"/>
                                  <w:szCs w:val="20"/>
                                </w:rPr>
                              </w:pPr>
                              <w:r>
                                <w:rPr>
                                  <w:rFonts w:ascii="宋体" w:hAnsi="宋体" w:eastAsia="宋体" w:cs="宋体"/>
                                  <w:spacing w:val="8"/>
                                  <w:sz w:val="20"/>
                                  <w:szCs w:val="20"/>
                                </w:rPr>
                                <w:t>清</w:t>
                              </w:r>
                              <w:r>
                                <w:rPr>
                                  <w:rFonts w:ascii="宋体" w:hAnsi="宋体" w:eastAsia="宋体" w:cs="宋体"/>
                                  <w:spacing w:val="7"/>
                                  <w:sz w:val="20"/>
                                  <w:szCs w:val="20"/>
                                </w:rPr>
                                <w:t>洗用水</w:t>
                              </w:r>
                            </w:p>
                          </w:tc>
                        </w:tr>
                      </w:tbl>
                      <w:p w14:paraId="7EBC9920">
                        <w:pPr>
                          <w:rPr>
                            <w:rFonts w:ascii="Arial"/>
                            <w:sz w:val="21"/>
                          </w:rPr>
                        </w:pPr>
                      </w:p>
                    </w:txbxContent>
                  </v:textbox>
                </v:shape>
              </w:pict>
            </w:r>
            <w:r>
              <w:pict>
                <v:shape id="_x0000_s1190" o:spid="_x0000_s1190" o:spt="202" type="#_x0000_t202" style="position:absolute;left:0pt;margin-left:66.25pt;margin-top:129.5pt;height:11.5pt;width:20.3pt;mso-position-horizontal-relative:page;mso-position-vertical-relative:page;z-index:251831296;mso-width-relative:page;mso-height-relative:page;" filled="f" stroked="f" coordsize="21600,21600">
                  <v:path/>
                  <v:fill on="f" focussize="0,0"/>
                  <v:stroke on="f"/>
                  <v:imagedata o:title=""/>
                  <o:lock v:ext="edit" aspectratio="f"/>
                  <v:textbox inset="0mm,0mm,0mm,0mm">
                    <w:txbxContent>
                      <w:p w14:paraId="1ED10D95">
                        <w:pPr>
                          <w:spacing w:before="19" w:line="198" w:lineRule="auto"/>
                          <w:ind w:left="2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4</w:t>
                        </w:r>
                        <w:r>
                          <w:rPr>
                            <w:rFonts w:ascii="Times New Roman" w:hAnsi="Times New Roman" w:eastAsia="Times New Roman" w:cs="Times New Roman"/>
                            <w:spacing w:val="3"/>
                            <w:sz w:val="20"/>
                            <w:szCs w:val="20"/>
                          </w:rPr>
                          <w:t>.25</w:t>
                        </w:r>
                      </w:p>
                    </w:txbxContent>
                  </v:textbox>
                </v:shape>
              </w:pict>
            </w:r>
            <w:r>
              <w:pict>
                <v:shape id="_x0000_s1191" o:spid="_x0000_s1191" o:spt="202" type="#_x0000_t202" style="position:absolute;left:0pt;margin-left:343.65pt;margin-top:136.8pt;height:54.65pt;width:77.65pt;mso-position-horizontal-relative:page;mso-position-vertical-relative:page;z-index:251830272;mso-width-relative:page;mso-height-relative:page;" filled="f" stroked="f" coordsize="21600,21600">
                  <v:path/>
                  <v:fill on="f" focussize="0,0"/>
                  <v:stroke on="f"/>
                  <v:imagedata o:title=""/>
                  <o:lock v:ext="edit" aspectratio="f"/>
                  <v:textbox inset="0mm,0mm,0mm,0mm">
                    <w:txbxContent>
                      <w:p w14:paraId="241AA05E">
                        <w:pPr>
                          <w:spacing w:line="20" w:lineRule="exact"/>
                        </w:pPr>
                      </w:p>
                      <w:tbl>
                        <w:tblPr>
                          <w:tblStyle w:val="4"/>
                          <w:tblW w:w="1492" w:type="dxa"/>
                          <w:tblInd w:w="30"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1492"/>
                        </w:tblGrid>
                        <w:tr w14:paraId="07AA046B">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1012" w:hRule="atLeast"/>
                          </w:trPr>
                          <w:tc>
                            <w:tcPr>
                              <w:tcW w:w="1492" w:type="dxa"/>
                              <w:vAlign w:val="top"/>
                            </w:tcPr>
                            <w:p w14:paraId="55AEE05E">
                              <w:pPr>
                                <w:spacing w:before="117" w:line="268" w:lineRule="auto"/>
                                <w:ind w:left="146" w:right="127" w:firstLine="1"/>
                                <w:rPr>
                                  <w:rFonts w:ascii="宋体" w:hAnsi="宋体" w:eastAsia="宋体" w:cs="宋体"/>
                                  <w:sz w:val="20"/>
                                  <w:szCs w:val="20"/>
                                </w:rPr>
                              </w:pPr>
                              <w:r>
                                <w:rPr>
                                  <w:rFonts w:ascii="宋体" w:hAnsi="宋体" w:eastAsia="宋体" w:cs="宋体"/>
                                  <w:spacing w:val="-1"/>
                                  <w:sz w:val="20"/>
                                  <w:szCs w:val="20"/>
                                </w:rPr>
                                <w:t>本溪市科态</w:t>
                              </w:r>
                              <w:r>
                                <w:rPr>
                                  <w:rFonts w:ascii="宋体" w:hAnsi="宋体" w:eastAsia="宋体" w:cs="宋体"/>
                                  <w:sz w:val="20"/>
                                  <w:szCs w:val="20"/>
                                </w:rPr>
                                <w:t xml:space="preserve">污 </w:t>
                              </w:r>
                              <w:r>
                                <w:rPr>
                                  <w:rFonts w:ascii="宋体" w:hAnsi="宋体" w:eastAsia="宋体" w:cs="宋体"/>
                                  <w:spacing w:val="-1"/>
                                  <w:sz w:val="20"/>
                                  <w:szCs w:val="20"/>
                                </w:rPr>
                                <w:t>水处理</w:t>
                              </w:r>
                              <w:r>
                                <w:rPr>
                                  <w:rFonts w:ascii="宋体" w:hAnsi="宋体" w:eastAsia="宋体" w:cs="宋体"/>
                                  <w:sz w:val="20"/>
                                  <w:szCs w:val="20"/>
                                </w:rPr>
                                <w:t xml:space="preserve">有限责 </w:t>
                              </w:r>
                              <w:r>
                                <w:rPr>
                                  <w:rFonts w:ascii="宋体" w:hAnsi="宋体" w:eastAsia="宋体" w:cs="宋体"/>
                                  <w:spacing w:val="-1"/>
                                  <w:sz w:val="20"/>
                                  <w:szCs w:val="20"/>
                                </w:rPr>
                                <w:t>任公</w:t>
                              </w:r>
                              <w:r>
                                <w:rPr>
                                  <w:rFonts w:ascii="宋体" w:hAnsi="宋体" w:eastAsia="宋体" w:cs="宋体"/>
                                  <w:sz w:val="20"/>
                                  <w:szCs w:val="20"/>
                                </w:rPr>
                                <w:t>司</w:t>
                              </w:r>
                            </w:p>
                          </w:tc>
                        </w:tr>
                      </w:tbl>
                      <w:p w14:paraId="660EE01F">
                        <w:pPr>
                          <w:rPr>
                            <w:rFonts w:ascii="Arial"/>
                            <w:sz w:val="21"/>
                          </w:rPr>
                        </w:pPr>
                      </w:p>
                    </w:txbxContent>
                  </v:textbox>
                </v:shape>
              </w:pict>
            </w:r>
            <w:r>
              <w:pict>
                <v:shape id="_x0000_s1192" o:spid="_x0000_s1192" o:spt="202" type="#_x0000_t202" style="position:absolute;left:0pt;margin-left:16.85pt;margin-top:160.35pt;height:28.9pt;width:33.05pt;mso-position-horizontal-relative:page;mso-position-vertical-relative:page;z-index:251824128;mso-width-relative:page;mso-height-relative:page;" filled="f" stroked="f" coordsize="21600,21600">
                  <v:path/>
                  <v:fill on="f" focussize="0,0"/>
                  <v:stroke on="f"/>
                  <v:imagedata o:title=""/>
                  <o:lock v:ext="edit" aspectratio="f"/>
                  <v:textbox inset="0mm,0mm,0mm,0mm">
                    <w:txbxContent>
                      <w:p w14:paraId="54ABC972">
                        <w:pPr>
                          <w:spacing w:before="20" w:line="263" w:lineRule="auto"/>
                          <w:ind w:left="113" w:right="20" w:hanging="94"/>
                          <w:rPr>
                            <w:rFonts w:ascii="Times New Roman" w:hAnsi="Times New Roman" w:eastAsia="Times New Roman" w:cs="Times New Roman"/>
                            <w:sz w:val="20"/>
                            <w:szCs w:val="20"/>
                          </w:rPr>
                        </w:pPr>
                        <w:r>
                          <w:rPr>
                            <w:rFonts w:ascii="宋体" w:hAnsi="宋体" w:eastAsia="宋体" w:cs="宋体"/>
                            <w:spacing w:val="8"/>
                            <w:sz w:val="20"/>
                            <w:szCs w:val="20"/>
                          </w:rPr>
                          <w:t>新</w:t>
                        </w:r>
                        <w:r>
                          <w:rPr>
                            <w:rFonts w:ascii="宋体" w:hAnsi="宋体" w:eastAsia="宋体" w:cs="宋体"/>
                            <w:spacing w:val="6"/>
                            <w:sz w:val="20"/>
                            <w:szCs w:val="20"/>
                          </w:rPr>
                          <w:t>鲜水</w:t>
                        </w:r>
                        <w:r>
                          <w:rPr>
                            <w:rFonts w:ascii="宋体" w:hAnsi="宋体" w:eastAsia="宋体" w:cs="宋体"/>
                            <w:sz w:val="20"/>
                            <w:szCs w:val="20"/>
                          </w:rPr>
                          <w:t xml:space="preserve"> </w:t>
                        </w:r>
                        <w:r>
                          <w:rPr>
                            <w:rFonts w:ascii="Times New Roman" w:hAnsi="Times New Roman" w:eastAsia="Times New Roman" w:cs="Times New Roman"/>
                            <w:spacing w:val="-1"/>
                            <w:sz w:val="20"/>
                            <w:szCs w:val="20"/>
                          </w:rPr>
                          <w:t>12.</w:t>
                        </w:r>
                        <w:r>
                          <w:rPr>
                            <w:rFonts w:ascii="Times New Roman" w:hAnsi="Times New Roman" w:eastAsia="Times New Roman" w:cs="Times New Roman"/>
                            <w:sz w:val="20"/>
                            <w:szCs w:val="20"/>
                          </w:rPr>
                          <w:t>44</w:t>
                        </w:r>
                      </w:p>
                    </w:txbxContent>
                  </v:textbox>
                </v:shape>
              </w:pict>
            </w:r>
            <w:r>
              <w:pict>
                <v:shape id="_x0000_s1193" o:spid="_x0000_s1193" o:spt="202" type="#_x0000_t202" style="position:absolute;left:0pt;margin-left:96.8pt;margin-top:178.05pt;height:25.5pt;width:70.6pt;mso-position-horizontal-relative:page;mso-position-vertical-relative:page;z-index:251825152;mso-width-relative:page;mso-height-relative:page;" filled="f" stroked="f" coordsize="21600,21600">
                  <v:path/>
                  <v:fill on="f" focussize="0,0"/>
                  <v:stroke on="f"/>
                  <v:imagedata o:title=""/>
                  <o:lock v:ext="edit" aspectratio="f"/>
                  <v:textbox inset="0mm,0mm,0mm,0mm">
                    <w:txbxContent>
                      <w:p w14:paraId="252D983A">
                        <w:pPr>
                          <w:spacing w:line="20" w:lineRule="exact"/>
                        </w:pPr>
                      </w:p>
                      <w:tbl>
                        <w:tblPr>
                          <w:tblStyle w:val="4"/>
                          <w:tblW w:w="1349" w:type="dxa"/>
                          <w:tblInd w:w="32" w:type="dxa"/>
                          <w:tblBorders>
                            <w:top w:val="single" w:color="000000" w:sz="10" w:space="0"/>
                            <w:left w:val="single" w:color="000000" w:sz="10" w:space="0"/>
                            <w:bottom w:val="single" w:color="000000" w:sz="10"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1349"/>
                        </w:tblGrid>
                        <w:tr w14:paraId="3B071AB7">
                          <w:tblPrEx>
                            <w:tblBorders>
                              <w:top w:val="single" w:color="000000" w:sz="10" w:space="0"/>
                              <w:left w:val="single" w:color="000000" w:sz="10" w:space="0"/>
                              <w:bottom w:val="single" w:color="000000" w:sz="10"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419" w:hRule="atLeast"/>
                          </w:trPr>
                          <w:tc>
                            <w:tcPr>
                              <w:tcW w:w="1349" w:type="dxa"/>
                              <w:vAlign w:val="top"/>
                            </w:tcPr>
                            <w:p w14:paraId="4608FC02">
                              <w:pPr>
                                <w:spacing w:before="113" w:line="228" w:lineRule="auto"/>
                                <w:ind w:left="250"/>
                                <w:rPr>
                                  <w:rFonts w:ascii="宋体" w:hAnsi="宋体" w:eastAsia="宋体" w:cs="宋体"/>
                                  <w:sz w:val="20"/>
                                  <w:szCs w:val="20"/>
                                </w:rPr>
                              </w:pPr>
                              <w:r>
                                <w:rPr>
                                  <w:rFonts w:ascii="宋体" w:hAnsi="宋体" w:eastAsia="宋体" w:cs="宋体"/>
                                  <w:spacing w:val="7"/>
                                  <w:sz w:val="20"/>
                                  <w:szCs w:val="20"/>
                                </w:rPr>
                                <w:t>冷却用</w:t>
                              </w:r>
                              <w:r>
                                <w:rPr>
                                  <w:rFonts w:ascii="宋体" w:hAnsi="宋体" w:eastAsia="宋体" w:cs="宋体"/>
                                  <w:spacing w:val="6"/>
                                  <w:sz w:val="20"/>
                                  <w:szCs w:val="20"/>
                                </w:rPr>
                                <w:t>水</w:t>
                              </w:r>
                            </w:p>
                          </w:tc>
                        </w:tr>
                      </w:tbl>
                      <w:p w14:paraId="694CDC03">
                        <w:pPr>
                          <w:rPr>
                            <w:rFonts w:ascii="Arial"/>
                            <w:sz w:val="21"/>
                          </w:rPr>
                        </w:pPr>
                      </w:p>
                    </w:txbxContent>
                  </v:textbox>
                </v:shape>
              </w:pict>
            </w:r>
            <w:r>
              <w:pict>
                <v:shape id="_x0000_s1194" o:spid="_x0000_s1194" o:spt="202" type="#_x0000_t202" style="position:absolute;left:0pt;margin-left:72.25pt;margin-top:180.9pt;height:11.35pt;width:6.8pt;mso-position-horizontal-relative:page;mso-position-vertical-relative:page;z-index:251826176;mso-width-relative:page;mso-height-relative:page;" filled="f" stroked="f" coordsize="21600,21600">
                  <v:path/>
                  <v:fill on="f" focussize="0,0"/>
                  <v:stroke on="f"/>
                  <v:imagedata o:title=""/>
                  <o:lock v:ext="edit" aspectratio="f"/>
                  <v:textbox inset="0mm,0mm,0mm,0mm">
                    <w:txbxContent>
                      <w:p w14:paraId="6F3E633F">
                        <w:pPr>
                          <w:spacing w:before="19" w:line="195" w:lineRule="auto"/>
                          <w:ind w:left="20"/>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xbxContent>
                  </v:textbox>
                </v:shape>
              </w:pict>
            </w:r>
            <w:r>
              <w:pict>
                <v:shape id="_x0000_s1195" o:spid="_x0000_s1195" o:spt="202" type="#_x0000_t202" style="position:absolute;left:0pt;margin-left:165.25pt;margin-top:213.65pt;height:14.35pt;width:46.2pt;mso-position-horizontal-relative:page;mso-position-vertical-relative:page;z-index:251836416;mso-width-relative:page;mso-height-relative:page;" filled="f" stroked="f" coordsize="21600,21600">
                  <v:path/>
                  <v:fill on="f" focussize="0,0"/>
                  <v:stroke on="f"/>
                  <v:imagedata o:title=""/>
                  <o:lock v:ext="edit" aspectratio="f"/>
                  <v:textbox inset="0mm,0mm,0mm,0mm">
                    <w:txbxContent>
                      <w:p w14:paraId="15C37E27">
                        <w:pPr>
                          <w:spacing w:before="19" w:line="228" w:lineRule="auto"/>
                          <w:ind w:left="20"/>
                          <w:rPr>
                            <w:rFonts w:ascii="Times New Roman" w:hAnsi="Times New Roman" w:eastAsia="Times New Roman" w:cs="Times New Roman"/>
                            <w:sz w:val="20"/>
                            <w:szCs w:val="20"/>
                          </w:rPr>
                        </w:pPr>
                        <w:r>
                          <w:rPr>
                            <w:rFonts w:ascii="宋体" w:hAnsi="宋体" w:eastAsia="宋体" w:cs="宋体"/>
                            <w:spacing w:val="-4"/>
                            <w:sz w:val="20"/>
                            <w:szCs w:val="20"/>
                          </w:rPr>
                          <w:t>循环</w:t>
                        </w:r>
                        <w:r>
                          <w:rPr>
                            <w:rFonts w:ascii="宋体" w:hAnsi="宋体" w:eastAsia="宋体" w:cs="宋体"/>
                            <w:spacing w:val="-3"/>
                            <w:sz w:val="20"/>
                            <w:szCs w:val="20"/>
                          </w:rPr>
                          <w:t>水</w:t>
                        </w:r>
                        <w:r>
                          <w:rPr>
                            <w:rFonts w:ascii="宋体" w:hAnsi="宋体" w:eastAsia="宋体" w:cs="宋体"/>
                            <w:spacing w:val="-2"/>
                            <w:sz w:val="20"/>
                            <w:szCs w:val="20"/>
                          </w:rPr>
                          <w:t xml:space="preserve"> </w:t>
                        </w:r>
                        <w:r>
                          <w:rPr>
                            <w:rFonts w:ascii="Times New Roman" w:hAnsi="Times New Roman" w:eastAsia="Times New Roman" w:cs="Times New Roman"/>
                            <w:spacing w:val="-2"/>
                            <w:sz w:val="20"/>
                            <w:szCs w:val="20"/>
                          </w:rPr>
                          <w:t>27</w:t>
                        </w:r>
                      </w:p>
                    </w:txbxContent>
                  </v:textbox>
                </v:shape>
              </w:pict>
            </w:r>
            <w:r>
              <w:pict>
                <v:group id="_x0000_s1196" o:spid="_x0000_s1196" o:spt="203" style="position:absolute;left:0pt;margin-left:150.95pt;margin-top:251.8pt;height:23.7pt;width:71.85pt;mso-position-horizontal-relative:page;mso-position-vertical-relative:page;z-index:251851776;mso-width-relative:page;mso-height-relative:page;" coordsize="1436,474">
                  <o:lock v:ext="edit"/>
                  <v:shape id="_x0000_s1197" o:spid="_x0000_s1197" o:spt="75" type="#_x0000_t75" style="position:absolute;left:0;top:0;height:474;width:1436;" filled="f" stroked="f" coordsize="21600,21600">
                    <v:path/>
                    <v:fill on="f" focussize="0,0"/>
                    <v:stroke on="f"/>
                    <v:imagedata r:id="rId472" o:title=""/>
                    <o:lock v:ext="edit" aspectratio="t"/>
                  </v:shape>
                  <v:shape id="_x0000_s1198" o:spid="_x0000_s1198" o:spt="202" type="#_x0000_t202" style="position:absolute;left:-20;top:-20;height:552;width:1476;" filled="f" stroked="f" coordsize="21600,21600">
                    <v:path/>
                    <v:fill on="f" focussize="0,0"/>
                    <v:stroke on="f"/>
                    <v:imagedata o:title=""/>
                    <o:lock v:ext="edit" aspectratio="f"/>
                    <v:textbox inset="0mm,0mm,0mm,0mm">
                      <w:txbxContent>
                        <w:p w14:paraId="4A338005">
                          <w:pPr>
                            <w:spacing w:before="150" w:line="228" w:lineRule="auto"/>
                            <w:ind w:left="251"/>
                            <w:rPr>
                              <w:rFonts w:ascii="Times New Roman" w:hAnsi="Times New Roman" w:eastAsia="Times New Roman" w:cs="Times New Roman"/>
                              <w:sz w:val="20"/>
                              <w:szCs w:val="20"/>
                            </w:rPr>
                          </w:pPr>
                          <w:r>
                            <w:rPr>
                              <w:rFonts w:ascii="宋体" w:hAnsi="宋体" w:eastAsia="宋体" w:cs="宋体"/>
                              <w:spacing w:val="-2"/>
                              <w:sz w:val="20"/>
                              <w:szCs w:val="20"/>
                            </w:rPr>
                            <w:t>循</w:t>
                          </w:r>
                          <w:r>
                            <w:rPr>
                              <w:rFonts w:ascii="宋体" w:hAnsi="宋体" w:eastAsia="宋体" w:cs="宋体"/>
                              <w:spacing w:val="-1"/>
                              <w:sz w:val="20"/>
                              <w:szCs w:val="20"/>
                            </w:rPr>
                            <w:t xml:space="preserve">环水 </w:t>
                          </w:r>
                          <w:r>
                            <w:rPr>
                              <w:rFonts w:ascii="Times New Roman" w:hAnsi="Times New Roman" w:eastAsia="Times New Roman" w:cs="Times New Roman"/>
                              <w:spacing w:val="-1"/>
                              <w:sz w:val="20"/>
                              <w:szCs w:val="20"/>
                            </w:rPr>
                            <w:t>3.06</w:t>
                          </w:r>
                        </w:p>
                      </w:txbxContent>
                    </v:textbox>
                  </v:shape>
                </v:group>
              </w:pict>
            </w:r>
            <w:r>
              <w:pict>
                <v:shape id="_x0000_s1199" o:spid="_x0000_s1199" o:spt="202" type="#_x0000_t202" style="position:absolute;left:0pt;margin-left:130.05pt;margin-top:258.05pt;height:11.4pt;width:20.05pt;mso-position-horizontal-relative:page;mso-position-vertical-relative:page;z-index:251823104;mso-width-relative:page;mso-height-relative:page;" filled="f" stroked="f" coordsize="21600,21600">
                  <v:path/>
                  <v:fill on="f" focussize="0,0"/>
                  <v:stroke on="f"/>
                  <v:imagedata o:title=""/>
                  <o:lock v:ext="edit" aspectratio="f"/>
                  <v:textbox inset="0mm,0mm,0mm,0mm">
                    <w:txbxContent>
                      <w:p w14:paraId="5B98E482">
                        <w:pPr>
                          <w:spacing w:before="20" w:line="195" w:lineRule="auto"/>
                          <w:ind w:left="2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.34</w:t>
                        </w:r>
                      </w:p>
                    </w:txbxContent>
                  </v:textbox>
                </v:shape>
              </w:pict>
            </w:r>
            <w:r>
              <w:drawing>
                <wp:anchor distT="0" distB="0" distL="0" distR="0" simplePos="0" relativeHeight="251852800" behindDoc="0" locked="0" layoutInCell="1" allowOverlap="1">
                  <wp:simplePos x="0" y="0"/>
                  <wp:positionH relativeFrom="rightMargin">
                    <wp:posOffset>-5308600</wp:posOffset>
                  </wp:positionH>
                  <wp:positionV relativeFrom="topMargin">
                    <wp:posOffset>2381885</wp:posOffset>
                  </wp:positionV>
                  <wp:extent cx="516890" cy="76200"/>
                  <wp:effectExtent l="0" t="0" r="0" b="0"/>
                  <wp:wrapNone/>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473"/>
                          <a:stretch>
                            <a:fillRect/>
                          </a:stretch>
                        </pic:blipFill>
                        <pic:spPr>
                          <a:xfrm>
                            <a:off x="0" y="0"/>
                            <a:ext cx="516889" cy="76200"/>
                          </a:xfrm>
                          <a:prstGeom prst="rect">
                            <a:avLst/>
                          </a:prstGeom>
                        </pic:spPr>
                      </pic:pic>
                    </a:graphicData>
                  </a:graphic>
                </wp:anchor>
              </w:drawing>
            </w:r>
            <w:r>
              <w:drawing>
                <wp:anchor distT="0" distB="0" distL="0" distR="0" simplePos="0" relativeHeight="251845632" behindDoc="0" locked="0" layoutInCell="1" allowOverlap="1">
                  <wp:simplePos x="0" y="0"/>
                  <wp:positionH relativeFrom="rightMargin">
                    <wp:posOffset>-3990975</wp:posOffset>
                  </wp:positionH>
                  <wp:positionV relativeFrom="topMargin">
                    <wp:posOffset>3317875</wp:posOffset>
                  </wp:positionV>
                  <wp:extent cx="179070" cy="191770"/>
                  <wp:effectExtent l="0" t="0" r="0" b="0"/>
                  <wp:wrapNone/>
                  <wp:docPr id="87" name="IM 87"/>
                  <wp:cNvGraphicFramePr/>
                  <a:graphic xmlns:a="http://schemas.openxmlformats.org/drawingml/2006/main">
                    <a:graphicData uri="http://schemas.openxmlformats.org/drawingml/2006/picture">
                      <pic:pic xmlns:pic="http://schemas.openxmlformats.org/drawingml/2006/picture">
                        <pic:nvPicPr>
                          <pic:cNvPr id="87" name="IM 87"/>
                          <pic:cNvPicPr/>
                        </pic:nvPicPr>
                        <pic:blipFill>
                          <a:blip r:embed="rId474"/>
                          <a:stretch>
                            <a:fillRect/>
                          </a:stretch>
                        </pic:blipFill>
                        <pic:spPr>
                          <a:xfrm>
                            <a:off x="0" y="0"/>
                            <a:ext cx="179184" cy="191592"/>
                          </a:xfrm>
                          <a:prstGeom prst="rect">
                            <a:avLst/>
                          </a:prstGeom>
                        </pic:spPr>
                      </pic:pic>
                    </a:graphicData>
                  </a:graphic>
                </wp:anchor>
              </w:drawing>
            </w:r>
            <w:r>
              <w:drawing>
                <wp:anchor distT="0" distB="0" distL="0" distR="0" simplePos="0" relativeHeight="251838464" behindDoc="0" locked="0" layoutInCell="1" allowOverlap="1">
                  <wp:simplePos x="0" y="0"/>
                  <wp:positionH relativeFrom="rightMargin">
                    <wp:posOffset>-1963420</wp:posOffset>
                  </wp:positionH>
                  <wp:positionV relativeFrom="topMargin">
                    <wp:posOffset>2042160</wp:posOffset>
                  </wp:positionV>
                  <wp:extent cx="864235" cy="76200"/>
                  <wp:effectExtent l="0" t="0" r="0" b="0"/>
                  <wp:wrapNone/>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475"/>
                          <a:stretch>
                            <a:fillRect/>
                          </a:stretch>
                        </pic:blipFill>
                        <pic:spPr>
                          <a:xfrm>
                            <a:off x="0" y="0"/>
                            <a:ext cx="864235" cy="76200"/>
                          </a:xfrm>
                          <a:prstGeom prst="rect">
                            <a:avLst/>
                          </a:prstGeom>
                        </pic:spPr>
                      </pic:pic>
                    </a:graphicData>
                  </a:graphic>
                </wp:anchor>
              </w:drawing>
            </w:r>
            <w:r>
              <w:drawing>
                <wp:anchor distT="0" distB="0" distL="0" distR="0" simplePos="0" relativeHeight="251849728" behindDoc="0" locked="0" layoutInCell="1" allowOverlap="1">
                  <wp:simplePos x="0" y="0"/>
                  <wp:positionH relativeFrom="rightMargin">
                    <wp:posOffset>-4124325</wp:posOffset>
                  </wp:positionH>
                  <wp:positionV relativeFrom="topMargin">
                    <wp:posOffset>1437640</wp:posOffset>
                  </wp:positionV>
                  <wp:extent cx="179070" cy="201930"/>
                  <wp:effectExtent l="0" t="0" r="0" b="0"/>
                  <wp:wrapNone/>
                  <wp:docPr id="89" name="IM 89"/>
                  <wp:cNvGraphicFramePr/>
                  <a:graphic xmlns:a="http://schemas.openxmlformats.org/drawingml/2006/main">
                    <a:graphicData uri="http://schemas.openxmlformats.org/drawingml/2006/picture">
                      <pic:pic xmlns:pic="http://schemas.openxmlformats.org/drawingml/2006/picture">
                        <pic:nvPicPr>
                          <pic:cNvPr id="89" name="IM 89"/>
                          <pic:cNvPicPr/>
                        </pic:nvPicPr>
                        <pic:blipFill>
                          <a:blip r:embed="rId476"/>
                          <a:stretch>
                            <a:fillRect/>
                          </a:stretch>
                        </pic:blipFill>
                        <pic:spPr>
                          <a:xfrm>
                            <a:off x="0" y="0"/>
                            <a:ext cx="179324" cy="201777"/>
                          </a:xfrm>
                          <a:prstGeom prst="rect">
                            <a:avLst/>
                          </a:prstGeom>
                        </pic:spPr>
                      </pic:pic>
                    </a:graphicData>
                  </a:graphic>
                </wp:anchor>
              </w:drawing>
            </w:r>
            <w:r>
              <w:drawing>
                <wp:anchor distT="0" distB="0" distL="0" distR="0" simplePos="0" relativeHeight="251841536" behindDoc="0" locked="0" layoutInCell="1" allowOverlap="1">
                  <wp:simplePos x="0" y="0"/>
                  <wp:positionH relativeFrom="rightMargin">
                    <wp:posOffset>-3842385</wp:posOffset>
                  </wp:positionH>
                  <wp:positionV relativeFrom="topMargin">
                    <wp:posOffset>2081530</wp:posOffset>
                  </wp:positionV>
                  <wp:extent cx="179070" cy="191135"/>
                  <wp:effectExtent l="0" t="0" r="0" b="0"/>
                  <wp:wrapNone/>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477"/>
                          <a:stretch>
                            <a:fillRect/>
                          </a:stretch>
                        </pic:blipFill>
                        <pic:spPr>
                          <a:xfrm>
                            <a:off x="0" y="0"/>
                            <a:ext cx="179184" cy="191058"/>
                          </a:xfrm>
                          <a:prstGeom prst="rect">
                            <a:avLst/>
                          </a:prstGeom>
                        </pic:spPr>
                      </pic:pic>
                    </a:graphicData>
                  </a:graphic>
                </wp:anchor>
              </w:drawing>
            </w:r>
            <w:r>
              <w:drawing>
                <wp:anchor distT="0" distB="0" distL="0" distR="0" simplePos="0" relativeHeight="251820032" behindDoc="1" locked="0" layoutInCell="1" allowOverlap="1">
                  <wp:simplePos x="0" y="0"/>
                  <wp:positionH relativeFrom="rightMargin">
                    <wp:posOffset>-3733165</wp:posOffset>
                  </wp:positionH>
                  <wp:positionV relativeFrom="topMargin">
                    <wp:posOffset>1330960</wp:posOffset>
                  </wp:positionV>
                  <wp:extent cx="1085850" cy="300990"/>
                  <wp:effectExtent l="0" t="0" r="0" b="0"/>
                  <wp:wrapNone/>
                  <wp:docPr id="91" name="IM 91"/>
                  <wp:cNvGraphicFramePr/>
                  <a:graphic xmlns:a="http://schemas.openxmlformats.org/drawingml/2006/main">
                    <a:graphicData uri="http://schemas.openxmlformats.org/drawingml/2006/picture">
                      <pic:pic xmlns:pic="http://schemas.openxmlformats.org/drawingml/2006/picture">
                        <pic:nvPicPr>
                          <pic:cNvPr id="91" name="IM 91"/>
                          <pic:cNvPicPr/>
                        </pic:nvPicPr>
                        <pic:blipFill>
                          <a:blip r:embed="rId478"/>
                          <a:stretch>
                            <a:fillRect/>
                          </a:stretch>
                        </pic:blipFill>
                        <pic:spPr>
                          <a:xfrm>
                            <a:off x="0" y="0"/>
                            <a:ext cx="1085849" cy="301307"/>
                          </a:xfrm>
                          <a:prstGeom prst="rect">
                            <a:avLst/>
                          </a:prstGeom>
                        </pic:spPr>
                      </pic:pic>
                    </a:graphicData>
                  </a:graphic>
                </wp:anchor>
              </w:drawing>
            </w:r>
            <w:r>
              <w:drawing>
                <wp:anchor distT="0" distB="0" distL="0" distR="0" simplePos="0" relativeHeight="251848704" behindDoc="0" locked="0" layoutInCell="1" allowOverlap="1">
                  <wp:simplePos x="0" y="0"/>
                  <wp:positionH relativeFrom="rightMargin">
                    <wp:posOffset>-3340735</wp:posOffset>
                  </wp:positionH>
                  <wp:positionV relativeFrom="topMargin">
                    <wp:posOffset>1760855</wp:posOffset>
                  </wp:positionV>
                  <wp:extent cx="704850" cy="76200"/>
                  <wp:effectExtent l="0" t="0" r="0" b="0"/>
                  <wp:wrapNone/>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479"/>
                          <a:stretch>
                            <a:fillRect/>
                          </a:stretch>
                        </pic:blipFill>
                        <pic:spPr>
                          <a:xfrm>
                            <a:off x="0" y="0"/>
                            <a:ext cx="704850" cy="76200"/>
                          </a:xfrm>
                          <a:prstGeom prst="rect">
                            <a:avLst/>
                          </a:prstGeom>
                        </pic:spPr>
                      </pic:pic>
                    </a:graphicData>
                  </a:graphic>
                </wp:anchor>
              </w:drawing>
            </w:r>
            <w:r>
              <w:drawing>
                <wp:anchor distT="0" distB="0" distL="0" distR="0" simplePos="0" relativeHeight="251821056" behindDoc="1" locked="0" layoutInCell="1" allowOverlap="1">
                  <wp:simplePos x="0" y="0"/>
                  <wp:positionH relativeFrom="rightMargin">
                    <wp:posOffset>-3550285</wp:posOffset>
                  </wp:positionH>
                  <wp:positionV relativeFrom="topMargin">
                    <wp:posOffset>2559050</wp:posOffset>
                  </wp:positionV>
                  <wp:extent cx="922020" cy="337820"/>
                  <wp:effectExtent l="0" t="0" r="0" b="0"/>
                  <wp:wrapNone/>
                  <wp:docPr id="93" name="IM 93"/>
                  <wp:cNvGraphicFramePr/>
                  <a:graphic xmlns:a="http://schemas.openxmlformats.org/drawingml/2006/main">
                    <a:graphicData uri="http://schemas.openxmlformats.org/drawingml/2006/picture">
                      <pic:pic xmlns:pic="http://schemas.openxmlformats.org/drawingml/2006/picture">
                        <pic:nvPicPr>
                          <pic:cNvPr id="93" name="IM 93"/>
                          <pic:cNvPicPr/>
                        </pic:nvPicPr>
                        <pic:blipFill>
                          <a:blip r:embed="rId480"/>
                          <a:stretch>
                            <a:fillRect/>
                          </a:stretch>
                        </pic:blipFill>
                        <pic:spPr>
                          <a:xfrm>
                            <a:off x="0" y="0"/>
                            <a:ext cx="922019" cy="338137"/>
                          </a:xfrm>
                          <a:prstGeom prst="rect">
                            <a:avLst/>
                          </a:prstGeom>
                        </pic:spPr>
                      </pic:pic>
                    </a:graphicData>
                  </a:graphic>
                </wp:anchor>
              </w:drawing>
            </w:r>
            <w:r>
              <w:drawing>
                <wp:anchor distT="0" distB="0" distL="0" distR="0" simplePos="0" relativeHeight="251842560" behindDoc="0" locked="0" layoutInCell="1" allowOverlap="1">
                  <wp:simplePos x="0" y="0"/>
                  <wp:positionH relativeFrom="rightMargin">
                    <wp:posOffset>-3321685</wp:posOffset>
                  </wp:positionH>
                  <wp:positionV relativeFrom="topMargin">
                    <wp:posOffset>2370455</wp:posOffset>
                  </wp:positionV>
                  <wp:extent cx="698500" cy="76200"/>
                  <wp:effectExtent l="0" t="0" r="0" b="0"/>
                  <wp:wrapNone/>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r:embed="rId481"/>
                          <a:stretch>
                            <a:fillRect/>
                          </a:stretch>
                        </pic:blipFill>
                        <pic:spPr>
                          <a:xfrm>
                            <a:off x="0" y="0"/>
                            <a:ext cx="698500" cy="76200"/>
                          </a:xfrm>
                          <a:prstGeom prst="rect">
                            <a:avLst/>
                          </a:prstGeom>
                        </pic:spPr>
                      </pic:pic>
                    </a:graphicData>
                  </a:graphic>
                </wp:anchor>
              </w:drawing>
            </w:r>
            <w:r>
              <w:drawing>
                <wp:anchor distT="0" distB="0" distL="0" distR="0" simplePos="0" relativeHeight="251840512" behindDoc="0" locked="0" layoutInCell="1" allowOverlap="1">
                  <wp:simplePos x="0" y="0"/>
                  <wp:positionH relativeFrom="rightMargin">
                    <wp:posOffset>-4741545</wp:posOffset>
                  </wp:positionH>
                  <wp:positionV relativeFrom="topMargin">
                    <wp:posOffset>1739900</wp:posOffset>
                  </wp:positionV>
                  <wp:extent cx="508000" cy="76200"/>
                  <wp:effectExtent l="0" t="0" r="0" b="0"/>
                  <wp:wrapNone/>
                  <wp:docPr id="95" name="IM 95"/>
                  <wp:cNvGraphicFramePr/>
                  <a:graphic xmlns:a="http://schemas.openxmlformats.org/drawingml/2006/main">
                    <a:graphicData uri="http://schemas.openxmlformats.org/drawingml/2006/picture">
                      <pic:pic xmlns:pic="http://schemas.openxmlformats.org/drawingml/2006/picture">
                        <pic:nvPicPr>
                          <pic:cNvPr id="95" name="IM 95"/>
                          <pic:cNvPicPr/>
                        </pic:nvPicPr>
                        <pic:blipFill>
                          <a:blip r:embed="rId482"/>
                          <a:stretch>
                            <a:fillRect/>
                          </a:stretch>
                        </pic:blipFill>
                        <pic:spPr>
                          <a:xfrm>
                            <a:off x="0" y="0"/>
                            <a:ext cx="508000" cy="76200"/>
                          </a:xfrm>
                          <a:prstGeom prst="rect">
                            <a:avLst/>
                          </a:prstGeom>
                        </pic:spPr>
                      </pic:pic>
                    </a:graphicData>
                  </a:graphic>
                </wp:anchor>
              </w:drawing>
            </w:r>
            <w:r>
              <w:drawing>
                <wp:anchor distT="0" distB="0" distL="0" distR="0" simplePos="0" relativeHeight="251847680" behindDoc="0" locked="0" layoutInCell="1" allowOverlap="1">
                  <wp:simplePos x="0" y="0"/>
                  <wp:positionH relativeFrom="rightMargin">
                    <wp:posOffset>-4758055</wp:posOffset>
                  </wp:positionH>
                  <wp:positionV relativeFrom="topMargin">
                    <wp:posOffset>2385060</wp:posOffset>
                  </wp:positionV>
                  <wp:extent cx="539750" cy="76200"/>
                  <wp:effectExtent l="0" t="0" r="0" b="0"/>
                  <wp:wrapNone/>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r:embed="rId483"/>
                          <a:stretch>
                            <a:fillRect/>
                          </a:stretch>
                        </pic:blipFill>
                        <pic:spPr>
                          <a:xfrm>
                            <a:off x="0" y="0"/>
                            <a:ext cx="539750" cy="76200"/>
                          </a:xfrm>
                          <a:prstGeom prst="rect">
                            <a:avLst/>
                          </a:prstGeom>
                        </pic:spPr>
                      </pic:pic>
                    </a:graphicData>
                  </a:graphic>
                </wp:anchor>
              </w:drawing>
            </w:r>
            <w:r>
              <w:drawing>
                <wp:anchor distT="0" distB="0" distL="0" distR="0" simplePos="0" relativeHeight="251817984" behindDoc="1" locked="0" layoutInCell="1" allowOverlap="1">
                  <wp:simplePos x="0" y="0"/>
                  <wp:positionH relativeFrom="rightMargin">
                    <wp:posOffset>-3326130</wp:posOffset>
                  </wp:positionH>
                  <wp:positionV relativeFrom="topMargin">
                    <wp:posOffset>3388995</wp:posOffset>
                  </wp:positionV>
                  <wp:extent cx="976630" cy="300355"/>
                  <wp:effectExtent l="0" t="0" r="0" b="0"/>
                  <wp:wrapNone/>
                  <wp:docPr id="97" name="IM 97"/>
                  <wp:cNvGraphicFramePr/>
                  <a:graphic xmlns:a="http://schemas.openxmlformats.org/drawingml/2006/main">
                    <a:graphicData uri="http://schemas.openxmlformats.org/drawingml/2006/picture">
                      <pic:pic xmlns:pic="http://schemas.openxmlformats.org/drawingml/2006/picture">
                        <pic:nvPicPr>
                          <pic:cNvPr id="97" name="IM 97"/>
                          <pic:cNvPicPr/>
                        </pic:nvPicPr>
                        <pic:blipFill>
                          <a:blip r:embed="rId484"/>
                          <a:stretch>
                            <a:fillRect/>
                          </a:stretch>
                        </pic:blipFill>
                        <pic:spPr>
                          <a:xfrm>
                            <a:off x="0" y="0"/>
                            <a:ext cx="976630" cy="300672"/>
                          </a:xfrm>
                          <a:prstGeom prst="rect">
                            <a:avLst/>
                          </a:prstGeom>
                        </pic:spPr>
                      </pic:pic>
                    </a:graphicData>
                  </a:graphic>
                </wp:anchor>
              </w:drawing>
            </w:r>
            <w:r>
              <w:drawing>
                <wp:anchor distT="0" distB="0" distL="0" distR="0" simplePos="0" relativeHeight="251844608" behindDoc="0" locked="0" layoutInCell="1" allowOverlap="1">
                  <wp:simplePos x="0" y="0"/>
                  <wp:positionH relativeFrom="rightMargin">
                    <wp:posOffset>-3918585</wp:posOffset>
                  </wp:positionH>
                  <wp:positionV relativeFrom="topMargin">
                    <wp:posOffset>3989070</wp:posOffset>
                  </wp:positionV>
                  <wp:extent cx="179070" cy="182245"/>
                  <wp:effectExtent l="0" t="0" r="0" b="0"/>
                  <wp:wrapNone/>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485"/>
                          <a:stretch>
                            <a:fillRect/>
                          </a:stretch>
                        </pic:blipFill>
                        <pic:spPr>
                          <a:xfrm>
                            <a:off x="0" y="0"/>
                            <a:ext cx="179108" cy="181952"/>
                          </a:xfrm>
                          <a:prstGeom prst="rect">
                            <a:avLst/>
                          </a:prstGeom>
                        </pic:spPr>
                      </pic:pic>
                    </a:graphicData>
                  </a:graphic>
                </wp:anchor>
              </w:drawing>
            </w:r>
            <w:r>
              <w:pict>
                <v:shape id="_x0000_s1200" o:spid="_x0000_s1200" o:spt="202" type="#_x0000_t202" style="position:absolute;left:0pt;margin-left:72.35pt;margin-top:328.6pt;height:11.35pt;width:7.1pt;mso-position-horizontal-relative:page;mso-position-vertical-relative:page;z-index:251829248;mso-width-relative:page;mso-height-relative:page;" filled="f" stroked="f" coordsize="21600,21600">
                  <v:path/>
                  <v:fill on="f" focussize="0,0"/>
                  <v:stroke on="f"/>
                  <v:imagedata o:title=""/>
                  <o:lock v:ext="edit" aspectratio="f"/>
                  <v:textbox inset="0mm,0mm,0mm,0mm">
                    <w:txbxContent>
                      <w:p w14:paraId="5F776312">
                        <w:pPr>
                          <w:spacing w:before="19" w:line="195" w:lineRule="auto"/>
                          <w:ind w:left="2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xbxContent>
                  </v:textbox>
                </v:shape>
              </w:pict>
            </w:r>
            <w:r>
              <w:pict>
                <v:shape id="_x0000_s1201" o:spid="_x0000_s1201" o:spt="202" type="#_x0000_t202" style="position:absolute;left:0pt;margin-left:94.45pt;margin-top:329.1pt;height:23.85pt;width:69.15pt;mso-position-horizontal-relative:page;mso-position-vertical-relative:page;z-index:251828224;mso-width-relative:page;mso-height-relative:page;" filled="f" stroked="f" coordsize="21600,21600">
                  <v:path/>
                  <v:fill on="f" focussize="0,0"/>
                  <v:stroke on="f"/>
                  <v:imagedata o:title=""/>
                  <o:lock v:ext="edit" aspectratio="f"/>
                  <v:textbox inset="0mm,0mm,0mm,0mm">
                    <w:txbxContent>
                      <w:p w14:paraId="217F06BE">
                        <w:pPr>
                          <w:spacing w:line="20" w:lineRule="exact"/>
                        </w:pPr>
                      </w:p>
                      <w:tbl>
                        <w:tblPr>
                          <w:tblStyle w:val="4"/>
                          <w:tblW w:w="1317" w:type="dxa"/>
                          <w:tblInd w:w="32" w:type="dxa"/>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1317"/>
                        </w:tblGrid>
                        <w:tr w14:paraId="11F8F1D8">
                          <w:tblPrEx>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CellMar>
                              <w:top w:w="0" w:type="dxa"/>
                              <w:left w:w="0" w:type="dxa"/>
                              <w:bottom w:w="0" w:type="dxa"/>
                              <w:right w:w="0" w:type="dxa"/>
                            </w:tblCellMar>
                          </w:tblPrEx>
                          <w:trPr>
                            <w:trHeight w:val="386" w:hRule="atLeast"/>
                          </w:trPr>
                          <w:tc>
                            <w:tcPr>
                              <w:tcW w:w="1317" w:type="dxa"/>
                              <w:vAlign w:val="top"/>
                            </w:tcPr>
                            <w:p w14:paraId="497FA7C1">
                              <w:pPr>
                                <w:spacing w:before="113" w:line="228" w:lineRule="auto"/>
                                <w:ind w:left="234"/>
                                <w:rPr>
                                  <w:rFonts w:ascii="宋体" w:hAnsi="宋体" w:eastAsia="宋体" w:cs="宋体"/>
                                  <w:sz w:val="20"/>
                                  <w:szCs w:val="20"/>
                                </w:rPr>
                              </w:pPr>
                              <w:r>
                                <w:rPr>
                                  <w:rFonts w:ascii="宋体" w:hAnsi="宋体" w:eastAsia="宋体" w:cs="宋体"/>
                                  <w:spacing w:val="7"/>
                                  <w:sz w:val="20"/>
                                  <w:szCs w:val="20"/>
                                </w:rPr>
                                <w:t>生活用</w:t>
                              </w:r>
                              <w:r>
                                <w:rPr>
                                  <w:rFonts w:ascii="宋体" w:hAnsi="宋体" w:eastAsia="宋体" w:cs="宋体"/>
                                  <w:spacing w:val="6"/>
                                  <w:sz w:val="20"/>
                                  <w:szCs w:val="20"/>
                                </w:rPr>
                                <w:t>水</w:t>
                              </w:r>
                            </w:p>
                          </w:tc>
                        </w:tr>
                      </w:tbl>
                      <w:p w14:paraId="18F309A5">
                        <w:pPr>
                          <w:rPr>
                            <w:rFonts w:ascii="Arial"/>
                            <w:sz w:val="21"/>
                          </w:rPr>
                        </w:pPr>
                      </w:p>
                    </w:txbxContent>
                  </v:textbox>
                </v:shape>
              </w:pict>
            </w:r>
            <w:r>
              <w:drawing>
                <wp:anchor distT="0" distB="0" distL="0" distR="0" simplePos="0" relativeHeight="251835392" behindDoc="0" locked="0" layoutInCell="1" allowOverlap="1">
                  <wp:simplePos x="0" y="0"/>
                  <wp:positionH relativeFrom="rightMargin">
                    <wp:posOffset>-3369310</wp:posOffset>
                  </wp:positionH>
                  <wp:positionV relativeFrom="topMargin">
                    <wp:posOffset>4274185</wp:posOffset>
                  </wp:positionV>
                  <wp:extent cx="323850" cy="76200"/>
                  <wp:effectExtent l="0" t="0" r="0" b="0"/>
                  <wp:wrapNone/>
                  <wp:docPr id="99" name="IM 99"/>
                  <wp:cNvGraphicFramePr/>
                  <a:graphic xmlns:a="http://schemas.openxmlformats.org/drawingml/2006/main">
                    <a:graphicData uri="http://schemas.openxmlformats.org/drawingml/2006/picture">
                      <pic:pic xmlns:pic="http://schemas.openxmlformats.org/drawingml/2006/picture">
                        <pic:nvPicPr>
                          <pic:cNvPr id="99" name="IM 99"/>
                          <pic:cNvPicPr/>
                        </pic:nvPicPr>
                        <pic:blipFill>
                          <a:blip r:embed="rId486"/>
                          <a:stretch>
                            <a:fillRect/>
                          </a:stretch>
                        </pic:blipFill>
                        <pic:spPr>
                          <a:xfrm>
                            <a:off x="0" y="0"/>
                            <a:ext cx="323862" cy="76200"/>
                          </a:xfrm>
                          <a:prstGeom prst="rect">
                            <a:avLst/>
                          </a:prstGeom>
                        </pic:spPr>
                      </pic:pic>
                    </a:graphicData>
                  </a:graphic>
                </wp:anchor>
              </w:drawing>
            </w:r>
            <w:r>
              <w:drawing>
                <wp:anchor distT="0" distB="0" distL="0" distR="0" simplePos="0" relativeHeight="251834368" behindDoc="0" locked="0" layoutInCell="1" allowOverlap="1">
                  <wp:simplePos x="0" y="0"/>
                  <wp:positionH relativeFrom="rightMargin">
                    <wp:posOffset>-4742815</wp:posOffset>
                  </wp:positionH>
                  <wp:positionV relativeFrom="topMargin">
                    <wp:posOffset>4275455</wp:posOffset>
                  </wp:positionV>
                  <wp:extent cx="495300" cy="76200"/>
                  <wp:effectExtent l="0" t="0" r="0" b="0"/>
                  <wp:wrapNone/>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487"/>
                          <a:stretch>
                            <a:fillRect/>
                          </a:stretch>
                        </pic:blipFill>
                        <pic:spPr>
                          <a:xfrm>
                            <a:off x="0" y="0"/>
                            <a:ext cx="495300" cy="76200"/>
                          </a:xfrm>
                          <a:prstGeom prst="rect">
                            <a:avLst/>
                          </a:prstGeom>
                        </pic:spPr>
                      </pic:pic>
                    </a:graphicData>
                  </a:graphic>
                </wp:anchor>
              </w:drawing>
            </w: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.85</w:t>
            </w:r>
          </w:p>
          <w:p w14:paraId="29A1C5E6">
            <w:pPr>
              <w:spacing w:line="196" w:lineRule="exact"/>
            </w:pPr>
          </w:p>
          <w:tbl>
            <w:tblPr>
              <w:tblStyle w:val="4"/>
              <w:tblW w:w="1276" w:type="dxa"/>
              <w:tblInd w:w="1904" w:type="dxa"/>
              <w:tblBorders>
                <w:top w:val="single" w:color="000000" w:sz="10" w:space="0"/>
                <w:left w:val="single" w:color="000000" w:sz="10" w:space="0"/>
                <w:bottom w:val="single" w:color="000000" w:sz="8"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1276"/>
            </w:tblGrid>
            <w:tr w14:paraId="5CB3A4EB">
              <w:tblPrEx>
                <w:tblBorders>
                  <w:top w:val="single" w:color="000000" w:sz="10" w:space="0"/>
                  <w:left w:val="single" w:color="000000" w:sz="10" w:space="0"/>
                  <w:bottom w:val="single" w:color="000000" w:sz="8" w:space="0"/>
                  <w:right w:val="single" w:color="000000" w:sz="10" w:space="0"/>
                  <w:insideH w:val="none" w:color="auto" w:sz="0" w:space="0"/>
                  <w:insideV w:val="none" w:color="auto" w:sz="0" w:space="0"/>
                </w:tblBorders>
                <w:tblCellMar>
                  <w:top w:w="0" w:type="dxa"/>
                  <w:left w:w="0" w:type="dxa"/>
                  <w:bottom w:w="0" w:type="dxa"/>
                  <w:right w:w="0" w:type="dxa"/>
                </w:tblCellMar>
              </w:tblPrEx>
              <w:trPr>
                <w:trHeight w:val="428" w:hRule="atLeast"/>
              </w:trPr>
              <w:tc>
                <w:tcPr>
                  <w:tcW w:w="1276" w:type="dxa"/>
                  <w:vAlign w:val="top"/>
                </w:tcPr>
                <w:p w14:paraId="55A5389C">
                  <w:pPr>
                    <w:spacing w:before="114" w:line="228" w:lineRule="auto"/>
                    <w:ind w:left="212"/>
                    <w:rPr>
                      <w:rFonts w:ascii="宋体" w:hAnsi="宋体" w:eastAsia="宋体" w:cs="宋体"/>
                      <w:sz w:val="20"/>
                      <w:szCs w:val="20"/>
                    </w:rPr>
                  </w:pPr>
                  <w:r>
                    <w:rPr>
                      <w:rFonts w:ascii="宋体" w:hAnsi="宋体" w:eastAsia="宋体" w:cs="宋体"/>
                      <w:spacing w:val="9"/>
                      <w:sz w:val="20"/>
                      <w:szCs w:val="20"/>
                    </w:rPr>
                    <w:t>破</w:t>
                  </w:r>
                  <w:r>
                    <w:rPr>
                      <w:rFonts w:ascii="宋体" w:hAnsi="宋体" w:eastAsia="宋体" w:cs="宋体"/>
                      <w:spacing w:val="7"/>
                      <w:sz w:val="20"/>
                      <w:szCs w:val="20"/>
                    </w:rPr>
                    <w:t>碎工序</w:t>
                  </w:r>
                </w:p>
              </w:tc>
            </w:tr>
          </w:tbl>
          <w:p w14:paraId="66837D02"/>
          <w:p w14:paraId="550E3235">
            <w:pPr>
              <w:spacing w:line="77" w:lineRule="exact"/>
            </w:pPr>
          </w:p>
          <w:tbl>
            <w:tblPr>
              <w:tblStyle w:val="4"/>
              <w:tblW w:w="937" w:type="dxa"/>
              <w:tblInd w:w="4493" w:type="dxa"/>
              <w:tblBorders>
                <w:top w:val="single" w:color="000000" w:sz="8" w:space="0"/>
                <w:left w:val="single" w:color="000000" w:sz="8" w:space="0"/>
                <w:bottom w:val="single" w:color="000000" w:sz="8"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937"/>
            </w:tblGrid>
            <w:tr w14:paraId="0DCB79AF">
              <w:tblPrEx>
                <w:tblBorders>
                  <w:top w:val="single" w:color="000000" w:sz="8" w:space="0"/>
                  <w:left w:val="single" w:color="000000" w:sz="8" w:space="0"/>
                  <w:bottom w:val="single" w:color="000000" w:sz="8" w:space="0"/>
                  <w:right w:val="single" w:color="000000" w:sz="10" w:space="0"/>
                  <w:insideH w:val="none" w:color="auto" w:sz="0" w:space="0"/>
                  <w:insideV w:val="none" w:color="auto" w:sz="0" w:space="0"/>
                </w:tblBorders>
              </w:tblPrEx>
              <w:trPr>
                <w:trHeight w:val="3907" w:hRule="atLeast"/>
              </w:trPr>
              <w:tc>
                <w:tcPr>
                  <w:tcW w:w="937" w:type="dxa"/>
                  <w:vAlign w:val="top"/>
                </w:tcPr>
                <w:p w14:paraId="47CB147E">
                  <w:pPr>
                    <w:spacing w:line="323" w:lineRule="auto"/>
                    <w:rPr>
                      <w:rFonts w:ascii="Arial"/>
                      <w:sz w:val="21"/>
                    </w:rPr>
                  </w:pPr>
                </w:p>
                <w:p w14:paraId="6D479E72">
                  <w:pPr>
                    <w:spacing w:line="324" w:lineRule="auto"/>
                    <w:rPr>
                      <w:rFonts w:ascii="Arial"/>
                      <w:sz w:val="21"/>
                    </w:rPr>
                  </w:pPr>
                </w:p>
                <w:p w14:paraId="3A4D5D5E">
                  <w:pPr>
                    <w:spacing w:before="65" w:line="229" w:lineRule="auto"/>
                    <w:ind w:left="261"/>
                    <w:rPr>
                      <w:rFonts w:ascii="宋体" w:hAnsi="宋体" w:eastAsia="宋体" w:cs="宋体"/>
                      <w:sz w:val="20"/>
                      <w:szCs w:val="20"/>
                    </w:rPr>
                  </w:pPr>
                  <w:r>
                    <w:rPr>
                      <w:rFonts w:ascii="宋体" w:hAnsi="宋体" w:eastAsia="宋体" w:cs="宋体"/>
                      <w:spacing w:val="3"/>
                      <w:sz w:val="20"/>
                      <w:szCs w:val="20"/>
                    </w:rPr>
                    <w:t>一体</w:t>
                  </w:r>
                </w:p>
                <w:p w14:paraId="0C18D23F">
                  <w:pPr>
                    <w:spacing w:before="63" w:line="229" w:lineRule="auto"/>
                    <w:ind w:left="259"/>
                    <w:rPr>
                      <w:rFonts w:ascii="宋体" w:hAnsi="宋体" w:eastAsia="宋体" w:cs="宋体"/>
                      <w:sz w:val="20"/>
                      <w:szCs w:val="20"/>
                    </w:rPr>
                  </w:pPr>
                  <w:r>
                    <w:rPr>
                      <w:rFonts w:ascii="宋体" w:hAnsi="宋体" w:eastAsia="宋体" w:cs="宋体"/>
                      <w:spacing w:val="4"/>
                      <w:sz w:val="20"/>
                      <w:szCs w:val="20"/>
                    </w:rPr>
                    <w:t>化污</w:t>
                  </w:r>
                </w:p>
                <w:p w14:paraId="06E9C721">
                  <w:pPr>
                    <w:spacing w:before="63" w:line="228" w:lineRule="auto"/>
                    <w:ind w:left="260"/>
                    <w:rPr>
                      <w:rFonts w:ascii="宋体" w:hAnsi="宋体" w:eastAsia="宋体" w:cs="宋体"/>
                      <w:sz w:val="20"/>
                      <w:szCs w:val="20"/>
                    </w:rPr>
                  </w:pPr>
                  <w:r>
                    <w:rPr>
                      <w:rFonts w:ascii="宋体" w:hAnsi="宋体" w:eastAsia="宋体" w:cs="宋体"/>
                      <w:spacing w:val="4"/>
                      <w:sz w:val="20"/>
                      <w:szCs w:val="20"/>
                    </w:rPr>
                    <w:t>水</w:t>
                  </w:r>
                  <w:r>
                    <w:rPr>
                      <w:rFonts w:ascii="宋体" w:hAnsi="宋体" w:eastAsia="宋体" w:cs="宋体"/>
                      <w:spacing w:val="3"/>
                      <w:sz w:val="20"/>
                      <w:szCs w:val="20"/>
                    </w:rPr>
                    <w:t>预</w:t>
                  </w:r>
                </w:p>
                <w:p w14:paraId="048CCFF5">
                  <w:pPr>
                    <w:spacing w:before="65" w:line="232" w:lineRule="auto"/>
                    <w:ind w:left="262"/>
                    <w:rPr>
                      <w:rFonts w:ascii="宋体" w:hAnsi="宋体" w:eastAsia="宋体" w:cs="宋体"/>
                      <w:sz w:val="20"/>
                      <w:szCs w:val="20"/>
                    </w:rPr>
                  </w:pPr>
                  <w:r>
                    <w:rPr>
                      <w:rFonts w:ascii="宋体" w:hAnsi="宋体" w:eastAsia="宋体" w:cs="宋体"/>
                      <w:spacing w:val="3"/>
                      <w:sz w:val="20"/>
                      <w:szCs w:val="20"/>
                    </w:rPr>
                    <w:t>处</w:t>
                  </w:r>
                  <w:r>
                    <w:rPr>
                      <w:rFonts w:ascii="宋体" w:hAnsi="宋体" w:eastAsia="宋体" w:cs="宋体"/>
                      <w:spacing w:val="2"/>
                      <w:sz w:val="20"/>
                      <w:szCs w:val="20"/>
                    </w:rPr>
                    <w:t>理</w:t>
                  </w:r>
                </w:p>
                <w:p w14:paraId="74C8A690">
                  <w:pPr>
                    <w:spacing w:before="60" w:line="229" w:lineRule="auto"/>
                    <w:ind w:left="261"/>
                    <w:rPr>
                      <w:rFonts w:ascii="宋体" w:hAnsi="宋体" w:eastAsia="宋体" w:cs="宋体"/>
                      <w:sz w:val="20"/>
                      <w:szCs w:val="20"/>
                    </w:rPr>
                  </w:pPr>
                  <w:r>
                    <w:rPr>
                      <w:rFonts w:ascii="宋体" w:hAnsi="宋体" w:eastAsia="宋体" w:cs="宋体"/>
                      <w:spacing w:val="3"/>
                      <w:sz w:val="20"/>
                      <w:szCs w:val="20"/>
                    </w:rPr>
                    <w:t>设备</w:t>
                  </w:r>
                </w:p>
                <w:p w14:paraId="0CA21CC9">
                  <w:pPr>
                    <w:spacing w:before="27" w:line="281" w:lineRule="exact"/>
                    <w:ind w:left="405"/>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w:t>
                  </w:r>
                </w:p>
                <w:p w14:paraId="6770A2F7">
                  <w:pPr>
                    <w:spacing w:before="68" w:line="230" w:lineRule="auto"/>
                    <w:ind w:left="258"/>
                    <w:rPr>
                      <w:rFonts w:ascii="宋体" w:hAnsi="宋体" w:eastAsia="宋体" w:cs="宋体"/>
                      <w:sz w:val="20"/>
                      <w:szCs w:val="20"/>
                    </w:rPr>
                  </w:pPr>
                  <w:r>
                    <w:rPr>
                      <w:rFonts w:ascii="宋体" w:hAnsi="宋体" w:eastAsia="宋体" w:cs="宋体"/>
                      <w:spacing w:val="5"/>
                      <w:sz w:val="20"/>
                      <w:szCs w:val="20"/>
                    </w:rPr>
                    <w:t>三</w:t>
                  </w:r>
                  <w:r>
                    <w:rPr>
                      <w:rFonts w:ascii="宋体" w:hAnsi="宋体" w:eastAsia="宋体" w:cs="宋体"/>
                      <w:spacing w:val="4"/>
                      <w:sz w:val="20"/>
                      <w:szCs w:val="20"/>
                    </w:rPr>
                    <w:t>级</w:t>
                  </w:r>
                </w:p>
                <w:p w14:paraId="52208C3C">
                  <w:pPr>
                    <w:spacing w:before="64" w:line="228" w:lineRule="auto"/>
                    <w:ind w:left="258"/>
                    <w:rPr>
                      <w:rFonts w:ascii="宋体" w:hAnsi="宋体" w:eastAsia="宋体" w:cs="宋体"/>
                      <w:sz w:val="20"/>
                      <w:szCs w:val="20"/>
                    </w:rPr>
                  </w:pPr>
                  <w:r>
                    <w:rPr>
                      <w:rFonts w:ascii="宋体" w:hAnsi="宋体" w:eastAsia="宋体" w:cs="宋体"/>
                      <w:spacing w:val="5"/>
                      <w:sz w:val="20"/>
                      <w:szCs w:val="20"/>
                    </w:rPr>
                    <w:t>沉</w:t>
                  </w:r>
                  <w:r>
                    <w:rPr>
                      <w:rFonts w:ascii="宋体" w:hAnsi="宋体" w:eastAsia="宋体" w:cs="宋体"/>
                      <w:spacing w:val="4"/>
                      <w:sz w:val="20"/>
                      <w:szCs w:val="20"/>
                    </w:rPr>
                    <w:t>淀</w:t>
                  </w:r>
                </w:p>
                <w:p w14:paraId="147301C4">
                  <w:pPr>
                    <w:spacing w:before="64" w:line="237" w:lineRule="auto"/>
                    <w:ind w:left="361"/>
                    <w:rPr>
                      <w:rFonts w:ascii="宋体" w:hAnsi="宋体" w:eastAsia="宋体" w:cs="宋体"/>
                      <w:sz w:val="20"/>
                      <w:szCs w:val="20"/>
                    </w:rPr>
                  </w:pPr>
                  <w:r>
                    <w:rPr>
                      <w:rFonts w:ascii="宋体" w:hAnsi="宋体" w:eastAsia="宋体" w:cs="宋体"/>
                      <w:sz w:val="20"/>
                      <w:szCs w:val="20"/>
                    </w:rPr>
                    <w:t>池</w:t>
                  </w:r>
                </w:p>
              </w:tc>
            </w:tr>
          </w:tbl>
          <w:p w14:paraId="43C4618A">
            <w:pPr>
              <w:spacing w:before="260" w:line="177" w:lineRule="auto"/>
              <w:ind w:left="1323"/>
              <w:rPr>
                <w:rFonts w:ascii="Times New Roman" w:hAnsi="Times New Roman" w:eastAsia="Times New Roman" w:cs="Times New Roman"/>
                <w:sz w:val="20"/>
                <w:szCs w:val="20"/>
              </w:rPr>
            </w:pPr>
            <w:r>
              <w:pict>
                <v:shape id="_x0000_s1202" o:spid="_x0000_s1202" o:spt="202" type="#_x0000_t202" style="position:absolute;left:0pt;margin-left:95.4pt;margin-top:11.45pt;height:23.9pt;width:70.6pt;z-index:251827200;mso-width-relative:page;mso-height-relative:page;" filled="f" stroked="f" coordsize="21600,21600">
                  <v:path/>
                  <v:fill on="f" focussize="0,0"/>
                  <v:stroke on="f"/>
                  <v:imagedata o:title=""/>
                  <o:lock v:ext="edit" aspectratio="f"/>
                  <v:textbox inset="0mm,0mm,0mm,0mm">
                    <w:txbxContent>
                      <w:p w14:paraId="03FA85F6">
                        <w:pPr>
                          <w:spacing w:line="20" w:lineRule="exact"/>
                        </w:pPr>
                      </w:p>
                      <w:tbl>
                        <w:tblPr>
                          <w:tblStyle w:val="4"/>
                          <w:tblW w:w="1349" w:type="dxa"/>
                          <w:tblInd w:w="32" w:type="dxa"/>
                          <w:tblBorders>
                            <w:top w:val="single" w:color="000000" w:sz="10" w:space="0"/>
                            <w:left w:val="single" w:color="000000" w:sz="10" w:space="0"/>
                            <w:bottom w:val="single" w:color="000000" w:sz="10"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1349"/>
                        </w:tblGrid>
                        <w:tr w14:paraId="374A837F">
                          <w:tblPrEx>
                            <w:tblBorders>
                              <w:top w:val="single" w:color="000000" w:sz="10" w:space="0"/>
                              <w:left w:val="single" w:color="000000" w:sz="10" w:space="0"/>
                              <w:bottom w:val="single" w:color="000000" w:sz="10"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387" w:hRule="atLeast"/>
                          </w:trPr>
                          <w:tc>
                            <w:tcPr>
                              <w:tcW w:w="1349" w:type="dxa"/>
                              <w:vAlign w:val="top"/>
                            </w:tcPr>
                            <w:p w14:paraId="2239FAB8">
                              <w:pPr>
                                <w:spacing w:before="112" w:line="228" w:lineRule="auto"/>
                                <w:ind w:left="246"/>
                                <w:rPr>
                                  <w:rFonts w:ascii="宋体" w:hAnsi="宋体" w:eastAsia="宋体" w:cs="宋体"/>
                                  <w:sz w:val="20"/>
                                  <w:szCs w:val="20"/>
                                </w:rPr>
                              </w:pPr>
                              <w:r>
                                <w:rPr>
                                  <w:rFonts w:ascii="宋体" w:hAnsi="宋体" w:eastAsia="宋体" w:cs="宋体"/>
                                  <w:spacing w:val="9"/>
                                  <w:sz w:val="20"/>
                                  <w:szCs w:val="20"/>
                                </w:rPr>
                                <w:t>洗</w:t>
                              </w:r>
                              <w:r>
                                <w:rPr>
                                  <w:rFonts w:ascii="宋体" w:hAnsi="宋体" w:eastAsia="宋体" w:cs="宋体"/>
                                  <w:spacing w:val="7"/>
                                  <w:sz w:val="20"/>
                                  <w:szCs w:val="20"/>
                                </w:rPr>
                                <w:t>字工序</w:t>
                              </w:r>
                            </w:p>
                          </w:tc>
                        </w:tr>
                      </w:tbl>
                      <w:p w14:paraId="1BC2CAD1">
                        <w:pPr>
                          <w:rPr>
                            <w:rFonts w:ascii="Arial"/>
                            <w:sz w:val="21"/>
                          </w:rPr>
                        </w:pPr>
                      </w:p>
                    </w:txbxContent>
                  </v:textbox>
                </v:shape>
              </w:pict>
            </w: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.34</w:t>
            </w:r>
          </w:p>
          <w:p w14:paraId="0F5F4EC6">
            <w:pPr>
              <w:spacing w:line="120" w:lineRule="exact"/>
              <w:ind w:firstLine="1103"/>
              <w:textAlignment w:val="center"/>
            </w:pPr>
            <w:r>
              <w:drawing>
                <wp:inline distT="0" distB="0" distL="0" distR="0">
                  <wp:extent cx="516255" cy="76200"/>
                  <wp:effectExtent l="0" t="0" r="0" b="0"/>
                  <wp:docPr id="101" name="IM 101"/>
                  <wp:cNvGraphicFramePr/>
                  <a:graphic xmlns:a="http://schemas.openxmlformats.org/drawingml/2006/main">
                    <a:graphicData uri="http://schemas.openxmlformats.org/drawingml/2006/picture">
                      <pic:pic xmlns:pic="http://schemas.openxmlformats.org/drawingml/2006/picture">
                        <pic:nvPicPr>
                          <pic:cNvPr id="101" name="IM 101"/>
                          <pic:cNvPicPr/>
                        </pic:nvPicPr>
                        <pic:blipFill>
                          <a:blip r:embed="rId488"/>
                          <a:stretch>
                            <a:fillRect/>
                          </a:stretch>
                        </pic:blipFill>
                        <pic:spPr>
                          <a:xfrm>
                            <a:off x="0" y="0"/>
                            <a:ext cx="516889" cy="76200"/>
                          </a:xfrm>
                          <a:prstGeom prst="rect">
                            <a:avLst/>
                          </a:prstGeom>
                        </pic:spPr>
                      </pic:pic>
                    </a:graphicData>
                  </a:graphic>
                </wp:inline>
              </w:drawing>
            </w:r>
          </w:p>
          <w:p w14:paraId="11C425EC">
            <w:pPr>
              <w:spacing w:line="292" w:lineRule="auto"/>
              <w:rPr>
                <w:rFonts w:ascii="Arial"/>
                <w:sz w:val="21"/>
              </w:rPr>
            </w:pPr>
          </w:p>
          <w:p w14:paraId="1FB2BB17">
            <w:pPr>
              <w:spacing w:before="58" w:line="195" w:lineRule="auto"/>
              <w:ind w:left="2811"/>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0</w:t>
            </w:r>
            <w:r>
              <w:rPr>
                <w:rFonts w:ascii="Times New Roman" w:hAnsi="Times New Roman" w:eastAsia="Times New Roman" w:cs="Times New Roman"/>
                <w:spacing w:val="4"/>
                <w:sz w:val="20"/>
                <w:szCs w:val="20"/>
              </w:rPr>
              <w:t>.8</w:t>
            </w:r>
          </w:p>
          <w:p w14:paraId="0CDB65C4">
            <w:pPr>
              <w:spacing w:before="94" w:line="144" w:lineRule="exact"/>
              <w:ind w:left="3444"/>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3</w:t>
            </w:r>
            <w:r>
              <w:rPr>
                <w:rFonts w:ascii="Times New Roman" w:hAnsi="Times New Roman" w:eastAsia="Times New Roman" w:cs="Times New Roman"/>
                <w:spacing w:val="1"/>
                <w:position w:val="-2"/>
                <w:sz w:val="20"/>
                <w:szCs w:val="20"/>
              </w:rPr>
              <w:t>.2</w:t>
            </w:r>
          </w:p>
          <w:tbl>
            <w:tblPr>
              <w:tblStyle w:val="4"/>
              <w:tblW w:w="3019" w:type="dxa"/>
              <w:tblInd w:w="3820" w:type="dxa"/>
              <w:tblBorders>
                <w:top w:val="single" w:color="000000" w:sz="8" w:space="0"/>
                <w:left w:val="single" w:color="000000" w:sz="10" w:space="0"/>
                <w:bottom w:val="single" w:color="000000" w:sz="10"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3019"/>
            </w:tblGrid>
            <w:tr w14:paraId="6239504D">
              <w:tblPrEx>
                <w:tblBorders>
                  <w:top w:val="single" w:color="000000" w:sz="8" w:space="0"/>
                  <w:left w:val="single" w:color="000000" w:sz="10" w:space="0"/>
                  <w:bottom w:val="single" w:color="000000" w:sz="10" w:space="0"/>
                  <w:right w:val="single" w:color="000000" w:sz="8" w:space="0"/>
                  <w:insideH w:val="none" w:color="auto" w:sz="0" w:space="0"/>
                  <w:insideV w:val="none" w:color="auto" w:sz="0" w:space="0"/>
                </w:tblBorders>
              </w:tblPrEx>
              <w:trPr>
                <w:trHeight w:val="388" w:hRule="atLeast"/>
              </w:trPr>
              <w:tc>
                <w:tcPr>
                  <w:tcW w:w="3019" w:type="dxa"/>
                  <w:vAlign w:val="top"/>
                </w:tcPr>
                <w:p w14:paraId="56CC434A">
                  <w:pPr>
                    <w:spacing w:before="116" w:line="228" w:lineRule="auto"/>
                    <w:ind w:left="151"/>
                    <w:rPr>
                      <w:rFonts w:ascii="宋体" w:hAnsi="宋体" w:eastAsia="宋体" w:cs="宋体"/>
                      <w:sz w:val="20"/>
                      <w:szCs w:val="20"/>
                    </w:rPr>
                  </w:pPr>
                  <w:r>
                    <w:rPr>
                      <w:rFonts w:ascii="宋体" w:hAnsi="宋体" w:eastAsia="宋体" w:cs="宋体"/>
                      <w:spacing w:val="11"/>
                      <w:sz w:val="20"/>
                      <w:szCs w:val="20"/>
                    </w:rPr>
                    <w:t>防</w:t>
                  </w:r>
                  <w:r>
                    <w:rPr>
                      <w:rFonts w:ascii="宋体" w:hAnsi="宋体" w:eastAsia="宋体" w:cs="宋体"/>
                      <w:spacing w:val="8"/>
                      <w:sz w:val="20"/>
                      <w:szCs w:val="20"/>
                    </w:rPr>
                    <w:t>渗旱厕，定期清掏，不外排</w:t>
                  </w:r>
                </w:p>
              </w:tc>
            </w:tr>
          </w:tbl>
          <w:p w14:paraId="76DAC7CF">
            <w:pPr>
              <w:spacing w:line="161" w:lineRule="exact"/>
              <w:rPr>
                <w:rFonts w:ascii="Arial"/>
                <w:sz w:val="14"/>
              </w:rPr>
            </w:pPr>
          </w:p>
        </w:tc>
      </w:tr>
    </w:tbl>
    <w:p w14:paraId="01F30B3F">
      <w:pPr>
        <w:spacing w:before="115" w:line="331" w:lineRule="exact"/>
        <w:ind w:left="1676"/>
        <w:rPr>
          <w:rFonts w:ascii="宋体" w:hAnsi="宋体" w:eastAsia="宋体" w:cs="宋体"/>
          <w:sz w:val="23"/>
          <w:szCs w:val="23"/>
        </w:rPr>
      </w:pPr>
      <w:r>
        <w:rPr>
          <w:rFonts w:ascii="宋体" w:hAnsi="宋体" w:eastAsia="宋体" w:cs="宋体"/>
          <w:spacing w:val="4"/>
          <w:position w:val="2"/>
          <w:sz w:val="23"/>
          <w:szCs w:val="23"/>
          <w14:textOutline w14:w="4358" w14:cap="sq" w14:cmpd="sng">
            <w14:solidFill>
              <w14:srgbClr w14:val="000000"/>
            </w14:solidFill>
            <w14:prstDash w14:val="solid"/>
            <w14:bevel/>
          </w14:textOutline>
        </w:rPr>
        <w:t>图</w:t>
      </w:r>
      <w:r>
        <w:rPr>
          <w:rFonts w:ascii="宋体" w:hAnsi="宋体" w:eastAsia="宋体" w:cs="宋体"/>
          <w:spacing w:val="4"/>
          <w:position w:val="2"/>
          <w:sz w:val="23"/>
          <w:szCs w:val="23"/>
        </w:rPr>
        <w:t xml:space="preserve"> </w:t>
      </w:r>
      <w:r>
        <w:rPr>
          <w:rFonts w:ascii="Times New Roman" w:hAnsi="Times New Roman" w:eastAsia="Times New Roman" w:cs="Times New Roman"/>
          <w:b/>
          <w:bCs/>
          <w:spacing w:val="4"/>
          <w:position w:val="2"/>
          <w:sz w:val="23"/>
          <w:szCs w:val="23"/>
        </w:rPr>
        <w:t>3-</w:t>
      </w:r>
      <w:r>
        <w:rPr>
          <w:rFonts w:ascii="Times New Roman" w:hAnsi="Times New Roman" w:eastAsia="Times New Roman" w:cs="Times New Roman"/>
          <w:b/>
          <w:bCs/>
          <w:spacing w:val="2"/>
          <w:position w:val="2"/>
          <w:sz w:val="23"/>
          <w:szCs w:val="23"/>
        </w:rPr>
        <w:t>4</w:t>
      </w:r>
      <w:r>
        <w:rPr>
          <w:rFonts w:ascii="Times New Roman" w:hAnsi="Times New Roman" w:eastAsia="Times New Roman" w:cs="Times New Roman"/>
          <w:spacing w:val="2"/>
          <w:position w:val="2"/>
          <w:sz w:val="23"/>
          <w:szCs w:val="23"/>
        </w:rPr>
        <w:t xml:space="preserve">        </w:t>
      </w:r>
      <w:r>
        <w:rPr>
          <w:rFonts w:ascii="宋体" w:hAnsi="宋体" w:eastAsia="宋体" w:cs="宋体"/>
          <w:spacing w:val="2"/>
          <w:position w:val="2"/>
          <w:sz w:val="23"/>
          <w:szCs w:val="23"/>
          <w14:textOutline w14:w="4358" w14:cap="sq" w14:cmpd="sng">
            <w14:solidFill>
              <w14:srgbClr w14:val="000000"/>
            </w14:solidFill>
            <w14:prstDash w14:val="solid"/>
            <w14:bevel/>
          </w14:textOutline>
        </w:rPr>
        <w:t>本项目给排水水量平衡图</w:t>
      </w:r>
      <w:r>
        <w:rPr>
          <w:rFonts w:ascii="宋体" w:hAnsi="宋体" w:eastAsia="宋体" w:cs="宋体"/>
          <w:spacing w:val="2"/>
          <w:position w:val="2"/>
          <w:sz w:val="23"/>
          <w:szCs w:val="23"/>
        </w:rPr>
        <w:t xml:space="preserve"> </w:t>
      </w:r>
      <w:r>
        <w:rPr>
          <w:rFonts w:ascii="宋体" w:hAnsi="宋体" w:eastAsia="宋体" w:cs="宋体"/>
          <w:spacing w:val="2"/>
          <w:position w:val="2"/>
          <w:sz w:val="23"/>
          <w:szCs w:val="23"/>
          <w14:textOutline w14:w="4358" w14:cap="sq" w14:cmpd="sng">
            <w14:solidFill>
              <w14:srgbClr w14:val="000000"/>
            </w14:solidFill>
            <w14:prstDash w14:val="solid"/>
            <w14:bevel/>
          </w14:textOutline>
        </w:rPr>
        <w:t>(单位</w:t>
      </w:r>
      <w:r>
        <w:rPr>
          <w:rFonts w:ascii="宋体" w:hAnsi="宋体" w:eastAsia="宋体" w:cs="宋体"/>
          <w:spacing w:val="2"/>
          <w:position w:val="2"/>
          <w:sz w:val="23"/>
          <w:szCs w:val="23"/>
        </w:rPr>
        <w:t xml:space="preserve"> </w:t>
      </w:r>
      <w:r>
        <w:rPr>
          <w:rFonts w:ascii="Times New Roman" w:hAnsi="Times New Roman" w:eastAsia="Times New Roman" w:cs="Times New Roman"/>
          <w:b/>
          <w:bCs/>
          <w:position w:val="2"/>
          <w:sz w:val="23"/>
          <w:szCs w:val="23"/>
        </w:rPr>
        <w:t>m</w:t>
      </w:r>
      <w:r>
        <w:rPr>
          <w:rFonts w:ascii="Times New Roman" w:hAnsi="Times New Roman" w:eastAsia="Times New Roman" w:cs="Times New Roman"/>
          <w:b/>
          <w:bCs/>
          <w:spacing w:val="2"/>
          <w:position w:val="9"/>
          <w:sz w:val="15"/>
          <w:szCs w:val="15"/>
        </w:rPr>
        <w:t>3</w:t>
      </w:r>
      <w:r>
        <w:rPr>
          <w:rFonts w:ascii="Times New Roman" w:hAnsi="Times New Roman" w:eastAsia="Times New Roman" w:cs="Times New Roman"/>
          <w:b/>
          <w:bCs/>
          <w:spacing w:val="2"/>
          <w:position w:val="2"/>
          <w:sz w:val="23"/>
          <w:szCs w:val="23"/>
        </w:rPr>
        <w:t>/</w:t>
      </w:r>
      <w:r>
        <w:rPr>
          <w:rFonts w:ascii="Times New Roman" w:hAnsi="Times New Roman" w:eastAsia="Times New Roman" w:cs="Times New Roman"/>
          <w:b/>
          <w:bCs/>
          <w:position w:val="2"/>
          <w:sz w:val="23"/>
          <w:szCs w:val="23"/>
        </w:rPr>
        <w:t>d</w:t>
      </w:r>
      <w:r>
        <w:rPr>
          <w:rFonts w:ascii="宋体" w:hAnsi="宋体" w:eastAsia="宋体" w:cs="宋体"/>
          <w:spacing w:val="2"/>
          <w:position w:val="2"/>
          <w:sz w:val="23"/>
          <w:szCs w:val="23"/>
          <w14:textOutline w14:w="4358" w14:cap="sq" w14:cmpd="sng">
            <w14:solidFill>
              <w14:srgbClr w14:val="000000"/>
            </w14:solidFill>
            <w14:prstDash w14:val="solid"/>
            <w14:bevel/>
          </w14:textOutline>
        </w:rPr>
        <w:t>)</w:t>
      </w:r>
    </w:p>
    <w:p w14:paraId="1EF0ABBA">
      <w:pPr>
        <w:spacing w:line="251" w:lineRule="auto"/>
        <w:rPr>
          <w:rFonts w:ascii="Arial"/>
          <w:sz w:val="21"/>
        </w:rPr>
      </w:pPr>
    </w:p>
    <w:p w14:paraId="79BD3DAB">
      <w:pPr>
        <w:spacing w:before="75" w:line="228" w:lineRule="auto"/>
        <w:ind w:left="608"/>
        <w:rPr>
          <w:rFonts w:ascii="宋体" w:hAnsi="宋体" w:eastAsia="宋体" w:cs="宋体"/>
          <w:sz w:val="23"/>
          <w:szCs w:val="23"/>
        </w:rPr>
      </w:pPr>
      <w:r>
        <w:rPr>
          <w:rFonts w:ascii="宋体" w:hAnsi="宋体" w:eastAsia="宋体" w:cs="宋体"/>
          <w:spacing w:val="20"/>
          <w:sz w:val="23"/>
          <w:szCs w:val="23"/>
        </w:rPr>
        <w:t>(</w:t>
      </w:r>
      <w:r>
        <w:rPr>
          <w:rFonts w:ascii="Times New Roman" w:hAnsi="Times New Roman" w:eastAsia="Times New Roman" w:cs="Times New Roman"/>
          <w:spacing w:val="20"/>
          <w:sz w:val="23"/>
          <w:szCs w:val="23"/>
        </w:rPr>
        <w:t>3</w:t>
      </w:r>
      <w:r>
        <w:rPr>
          <w:rFonts w:ascii="宋体" w:hAnsi="宋体" w:eastAsia="宋体" w:cs="宋体"/>
          <w:spacing w:val="20"/>
          <w:sz w:val="23"/>
          <w:szCs w:val="23"/>
        </w:rPr>
        <w:t>) 噪声分</w:t>
      </w:r>
      <w:r>
        <w:rPr>
          <w:rFonts w:ascii="宋体" w:hAnsi="宋体" w:eastAsia="宋体" w:cs="宋体"/>
          <w:spacing w:val="19"/>
          <w:sz w:val="23"/>
          <w:szCs w:val="23"/>
        </w:rPr>
        <w:t>析</w:t>
      </w:r>
    </w:p>
    <w:p w14:paraId="39BF4C19">
      <w:pPr>
        <w:spacing w:line="274" w:lineRule="auto"/>
        <w:rPr>
          <w:rFonts w:ascii="Arial"/>
          <w:sz w:val="21"/>
        </w:rPr>
      </w:pPr>
    </w:p>
    <w:p w14:paraId="12190593">
      <w:pPr>
        <w:spacing w:before="76" w:line="391" w:lineRule="auto"/>
        <w:ind w:left="129" w:right="319" w:firstLine="471"/>
        <w:rPr>
          <w:rFonts w:ascii="宋体" w:hAnsi="宋体" w:eastAsia="宋体" w:cs="宋体"/>
          <w:sz w:val="23"/>
          <w:szCs w:val="23"/>
        </w:rPr>
      </w:pPr>
      <w:r>
        <w:rPr>
          <w:rFonts w:ascii="宋体" w:hAnsi="宋体" w:eastAsia="宋体" w:cs="宋体"/>
          <w:spacing w:val="12"/>
          <w:sz w:val="23"/>
          <w:szCs w:val="23"/>
        </w:rPr>
        <w:t>项目噪声</w:t>
      </w:r>
      <w:r>
        <w:rPr>
          <w:rFonts w:ascii="宋体" w:hAnsi="宋体" w:eastAsia="宋体" w:cs="宋体"/>
          <w:spacing w:val="7"/>
          <w:sz w:val="23"/>
          <w:szCs w:val="23"/>
        </w:rPr>
        <w:t>主</w:t>
      </w:r>
      <w:r>
        <w:rPr>
          <w:rFonts w:ascii="宋体" w:hAnsi="宋体" w:eastAsia="宋体" w:cs="宋体"/>
          <w:spacing w:val="6"/>
          <w:sz w:val="23"/>
          <w:szCs w:val="23"/>
        </w:rPr>
        <w:t>要为生产设备运行中辐射噪声，产生较大噪声的噪声源主要有各</w:t>
      </w:r>
      <w:r>
        <w:rPr>
          <w:rFonts w:ascii="宋体" w:hAnsi="宋体" w:eastAsia="宋体" w:cs="宋体"/>
          <w:sz w:val="23"/>
          <w:szCs w:val="23"/>
        </w:rPr>
        <w:t xml:space="preserve"> </w:t>
      </w:r>
      <w:r>
        <w:rPr>
          <w:rFonts w:ascii="宋体" w:hAnsi="宋体" w:eastAsia="宋体" w:cs="宋体"/>
          <w:spacing w:val="12"/>
          <w:sz w:val="23"/>
          <w:szCs w:val="23"/>
        </w:rPr>
        <w:t>喂料机、</w:t>
      </w:r>
      <w:r>
        <w:rPr>
          <w:rFonts w:ascii="宋体" w:hAnsi="宋体" w:eastAsia="宋体" w:cs="宋体"/>
          <w:spacing w:val="6"/>
          <w:sz w:val="23"/>
          <w:szCs w:val="23"/>
        </w:rPr>
        <w:t>偏心清洗机、粉碎机等设备。项目所有噪声源均置于室内，根据相关类</w:t>
      </w:r>
      <w:r>
        <w:rPr>
          <w:rFonts w:ascii="宋体" w:hAnsi="宋体" w:eastAsia="宋体" w:cs="宋体"/>
          <w:sz w:val="23"/>
          <w:szCs w:val="23"/>
        </w:rPr>
        <w:t xml:space="preserve"> </w:t>
      </w:r>
      <w:r>
        <w:rPr>
          <w:rFonts w:ascii="宋体" w:hAnsi="宋体" w:eastAsia="宋体" w:cs="宋体"/>
          <w:spacing w:val="3"/>
          <w:sz w:val="23"/>
          <w:szCs w:val="23"/>
        </w:rPr>
        <w:t xml:space="preserve">比资料，本项目新增主要噪声源及源强见表 </w:t>
      </w:r>
      <w:r>
        <w:rPr>
          <w:rFonts w:ascii="Times New Roman" w:hAnsi="Times New Roman" w:eastAsia="Times New Roman" w:cs="Times New Roman"/>
          <w:spacing w:val="3"/>
          <w:sz w:val="23"/>
          <w:szCs w:val="23"/>
        </w:rPr>
        <w:t>3- 1</w:t>
      </w:r>
      <w:r>
        <w:rPr>
          <w:rFonts w:ascii="Times New Roman" w:hAnsi="Times New Roman" w:eastAsia="Times New Roman" w:cs="Times New Roman"/>
          <w:spacing w:val="1"/>
          <w:sz w:val="23"/>
          <w:szCs w:val="23"/>
        </w:rPr>
        <w:t>9</w:t>
      </w:r>
      <w:r>
        <w:rPr>
          <w:rFonts w:ascii="宋体" w:hAnsi="宋体" w:eastAsia="宋体" w:cs="宋体"/>
          <w:sz w:val="23"/>
          <w:szCs w:val="23"/>
        </w:rPr>
        <w:t>：</w:t>
      </w:r>
    </w:p>
    <w:p w14:paraId="0C45415E">
      <w:pPr>
        <w:sectPr>
          <w:headerReference r:id="rId137" w:type="default"/>
          <w:footerReference r:id="rId138" w:type="default"/>
          <w:pgSz w:w="11906" w:h="16839"/>
          <w:pgMar w:top="1132" w:right="1480" w:bottom="1182" w:left="1691" w:header="878" w:footer="1022" w:gutter="0"/>
          <w:cols w:space="720" w:num="1"/>
        </w:sectPr>
      </w:pPr>
    </w:p>
    <w:p w14:paraId="7EDDE9E7">
      <w:pPr>
        <w:spacing w:line="408" w:lineRule="auto"/>
        <w:rPr>
          <w:rFonts w:ascii="Arial"/>
          <w:sz w:val="21"/>
        </w:rPr>
      </w:pPr>
      <w:r>
        <w:pict>
          <v:shape id="_x0000_s1203" o:spid="_x0000_s1203" style="position:absolute;left:0pt;margin-left:90pt;margin-top:57.35pt;height:0.75pt;width:415.3pt;mso-position-horizontal-relative:page;mso-position-vertical-relative:page;z-index:251854848;mso-width-relative:page;mso-height-relative:page;" fillcolor="#000000" filled="t" stroked="f" coordsize="8305,15" o:allowincell="f" path="m0,0l8305,0,8305,14,0,14,0,0xe">
            <v:path/>
            <v:fill on="t" focussize="0,0"/>
            <v:stroke on="f"/>
            <v:imagedata o:title=""/>
            <o:lock v:ext="edit"/>
          </v:shape>
        </w:pict>
      </w:r>
    </w:p>
    <w:p w14:paraId="4F565502">
      <w:pPr>
        <w:spacing w:before="75" w:line="228" w:lineRule="auto"/>
        <w:ind w:left="3063"/>
        <w:rPr>
          <w:rFonts w:ascii="宋体" w:hAnsi="宋体" w:eastAsia="宋体" w:cs="宋体"/>
          <w:sz w:val="23"/>
          <w:szCs w:val="23"/>
        </w:rPr>
      </w:pPr>
      <w:r>
        <w:rPr>
          <w:rFonts w:ascii="宋体" w:hAnsi="宋体" w:eastAsia="宋体" w:cs="宋体"/>
          <w:spacing w:val="4"/>
          <w:sz w:val="23"/>
          <w:szCs w:val="23"/>
          <w14:textOutline w14:w="4358" w14:cap="sq" w14:cmpd="sng">
            <w14:solidFill>
              <w14:srgbClr w14:val="000000"/>
            </w14:solidFill>
            <w14:prstDash w14:val="solid"/>
            <w14:bevel/>
          </w14:textOutline>
        </w:rPr>
        <w:t>表</w:t>
      </w:r>
      <w:r>
        <w:rPr>
          <w:rFonts w:ascii="宋体" w:hAnsi="宋体" w:eastAsia="宋体" w:cs="宋体"/>
          <w:spacing w:val="4"/>
          <w:sz w:val="23"/>
          <w:szCs w:val="23"/>
        </w:rPr>
        <w:t xml:space="preserve"> </w:t>
      </w:r>
      <w:r>
        <w:rPr>
          <w:rFonts w:ascii="Times New Roman" w:hAnsi="Times New Roman" w:eastAsia="Times New Roman" w:cs="Times New Roman"/>
          <w:b/>
          <w:bCs/>
          <w:spacing w:val="4"/>
          <w:sz w:val="23"/>
          <w:szCs w:val="23"/>
        </w:rPr>
        <w:t>3-1</w:t>
      </w:r>
      <w:r>
        <w:rPr>
          <w:rFonts w:ascii="Times New Roman" w:hAnsi="Times New Roman" w:eastAsia="Times New Roman" w:cs="Times New Roman"/>
          <w:b/>
          <w:bCs/>
          <w:spacing w:val="3"/>
          <w:sz w:val="23"/>
          <w:szCs w:val="23"/>
        </w:rPr>
        <w:t>9</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14:textOutline w14:w="4358" w14:cap="sq" w14:cmpd="sng">
            <w14:solidFill>
              <w14:srgbClr w14:val="000000"/>
            </w14:solidFill>
            <w14:prstDash w14:val="solid"/>
            <w14:bevel/>
          </w14:textOutline>
        </w:rPr>
        <w:t>主要噪声源强</w:t>
      </w:r>
    </w:p>
    <w:p w14:paraId="0525CF48">
      <w:pPr>
        <w:spacing w:line="17" w:lineRule="exact"/>
      </w:pPr>
    </w:p>
    <w:tbl>
      <w:tblPr>
        <w:tblStyle w:val="4"/>
        <w:tblW w:w="853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0"/>
        <w:gridCol w:w="1865"/>
        <w:gridCol w:w="1422"/>
        <w:gridCol w:w="1422"/>
        <w:gridCol w:w="1422"/>
        <w:gridCol w:w="1419"/>
      </w:tblGrid>
      <w:tr w14:paraId="5B7DD3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980" w:type="dxa"/>
            <w:tcBorders>
              <w:left w:val="nil"/>
            </w:tcBorders>
            <w:vAlign w:val="top"/>
          </w:tcPr>
          <w:p w14:paraId="0582A602">
            <w:pPr>
              <w:spacing w:before="75" w:line="229" w:lineRule="auto"/>
              <w:ind w:left="288"/>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序号</w:t>
            </w:r>
          </w:p>
        </w:tc>
        <w:tc>
          <w:tcPr>
            <w:tcW w:w="1865" w:type="dxa"/>
            <w:vAlign w:val="top"/>
          </w:tcPr>
          <w:p w14:paraId="2BB3B37A">
            <w:pPr>
              <w:spacing w:before="76" w:line="228" w:lineRule="auto"/>
              <w:ind w:left="414"/>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主</w:t>
            </w:r>
            <w:r>
              <w:rPr>
                <w:rFonts w:ascii="宋体" w:hAnsi="宋体" w:eastAsia="宋体" w:cs="宋体"/>
                <w:spacing w:val="8"/>
                <w:sz w:val="20"/>
                <w:szCs w:val="20"/>
                <w14:textOutline w14:w="3795" w14:cap="sq" w14:cmpd="sng">
                  <w14:solidFill>
                    <w14:srgbClr w14:val="000000"/>
                  </w14:solidFill>
                  <w14:prstDash w14:val="solid"/>
                  <w14:bevel/>
                </w14:textOutline>
              </w:rPr>
              <w:t>要噪声源</w:t>
            </w:r>
          </w:p>
        </w:tc>
        <w:tc>
          <w:tcPr>
            <w:tcW w:w="1422" w:type="dxa"/>
            <w:vAlign w:val="top"/>
          </w:tcPr>
          <w:p w14:paraId="3300B4F4">
            <w:pPr>
              <w:spacing w:before="75" w:line="228" w:lineRule="auto"/>
              <w:ind w:left="193"/>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数</w:t>
            </w:r>
            <w:r>
              <w:rPr>
                <w:rFonts w:ascii="宋体" w:hAnsi="宋体" w:eastAsia="宋体" w:cs="宋体"/>
                <w:spacing w:val="5"/>
                <w:sz w:val="20"/>
                <w:szCs w:val="20"/>
                <w14:textOutline w14:w="3795" w14:cap="sq" w14:cmpd="sng">
                  <w14:solidFill>
                    <w14:srgbClr w14:val="000000"/>
                  </w14:solidFill>
                  <w14:prstDash w14:val="solid"/>
                  <w14:bevel/>
                </w14:textOutline>
              </w:rPr>
              <w:t>量</w:t>
            </w:r>
            <w:r>
              <w:rPr>
                <w:rFonts w:ascii="宋体" w:hAnsi="宋体" w:eastAsia="宋体" w:cs="宋体"/>
                <w:spacing w:val="5"/>
                <w:sz w:val="20"/>
                <w:szCs w:val="20"/>
              </w:rPr>
              <w:t xml:space="preserve"> </w:t>
            </w:r>
            <w:r>
              <w:rPr>
                <w:rFonts w:ascii="宋体" w:hAnsi="宋体" w:eastAsia="宋体" w:cs="宋体"/>
                <w:spacing w:val="5"/>
                <w:sz w:val="20"/>
                <w:szCs w:val="20"/>
                <w14:textOutline w14:w="3795" w14:cap="sq" w14:cmpd="sng">
                  <w14:solidFill>
                    <w14:srgbClr w14:val="000000"/>
                  </w14:solidFill>
                  <w14:prstDash w14:val="solid"/>
                  <w14:bevel/>
                </w14:textOutline>
              </w:rPr>
              <w:t>(台)</w:t>
            </w:r>
          </w:p>
        </w:tc>
        <w:tc>
          <w:tcPr>
            <w:tcW w:w="1422" w:type="dxa"/>
            <w:vAlign w:val="top"/>
          </w:tcPr>
          <w:p w14:paraId="02B3111A">
            <w:pPr>
              <w:spacing w:before="34" w:line="289" w:lineRule="exact"/>
              <w:ind w:left="168"/>
              <w:rPr>
                <w:rFonts w:ascii="宋体" w:hAnsi="宋体" w:eastAsia="宋体" w:cs="宋体"/>
                <w:sz w:val="20"/>
                <w:szCs w:val="20"/>
              </w:rPr>
            </w:pPr>
            <w:r>
              <w:rPr>
                <w:rFonts w:ascii="宋体" w:hAnsi="宋体" w:eastAsia="宋体" w:cs="宋体"/>
                <w:spacing w:val="9"/>
                <w:position w:val="1"/>
                <w:sz w:val="20"/>
                <w:szCs w:val="20"/>
                <w14:textOutline w14:w="3795" w14:cap="sq" w14:cmpd="sng">
                  <w14:solidFill>
                    <w14:srgbClr w14:val="000000"/>
                  </w14:solidFill>
                  <w14:prstDash w14:val="solid"/>
                  <w14:bevel/>
                </w14:textOutline>
              </w:rPr>
              <w:t>源</w:t>
            </w:r>
            <w:r>
              <w:rPr>
                <w:rFonts w:ascii="宋体" w:hAnsi="宋体" w:eastAsia="宋体" w:cs="宋体"/>
                <w:spacing w:val="6"/>
                <w:position w:val="1"/>
                <w:sz w:val="20"/>
                <w:szCs w:val="20"/>
                <w14:textOutline w14:w="3795" w14:cap="sq" w14:cmpd="sng">
                  <w14:solidFill>
                    <w14:srgbClr w14:val="000000"/>
                  </w14:solidFill>
                  <w14:prstDash w14:val="solid"/>
                  <w14:bevel/>
                </w14:textOutline>
              </w:rPr>
              <w:t>强</w:t>
            </w:r>
            <w:r>
              <w:rPr>
                <w:rFonts w:ascii="宋体" w:hAnsi="宋体" w:eastAsia="宋体" w:cs="宋体"/>
                <w:spacing w:val="6"/>
                <w:position w:val="1"/>
                <w:sz w:val="20"/>
                <w:szCs w:val="20"/>
              </w:rPr>
              <w:t xml:space="preserve"> </w:t>
            </w:r>
            <w:r>
              <w:rPr>
                <w:rFonts w:ascii="宋体" w:hAnsi="宋体" w:eastAsia="宋体" w:cs="宋体"/>
                <w:spacing w:val="6"/>
                <w:position w:val="1"/>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position w:val="1"/>
                <w:sz w:val="20"/>
                <w:szCs w:val="20"/>
              </w:rPr>
              <w:t>dB</w:t>
            </w:r>
            <w:r>
              <w:rPr>
                <w:rFonts w:ascii="宋体" w:hAnsi="宋体" w:eastAsia="宋体" w:cs="宋体"/>
                <w:spacing w:val="6"/>
                <w:position w:val="1"/>
                <w:sz w:val="20"/>
                <w:szCs w:val="20"/>
                <w14:textOutline w14:w="3795" w14:cap="sq" w14:cmpd="sng">
                  <w14:solidFill>
                    <w14:srgbClr w14:val="000000"/>
                  </w14:solidFill>
                  <w14:prstDash w14:val="solid"/>
                  <w14:bevel/>
                </w14:textOutline>
              </w:rPr>
              <w:t>)</w:t>
            </w:r>
          </w:p>
        </w:tc>
        <w:tc>
          <w:tcPr>
            <w:tcW w:w="1422" w:type="dxa"/>
            <w:vAlign w:val="top"/>
          </w:tcPr>
          <w:p w14:paraId="323D2F32">
            <w:pPr>
              <w:spacing w:before="76" w:line="228" w:lineRule="auto"/>
              <w:ind w:left="193"/>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污</w:t>
            </w:r>
            <w:r>
              <w:rPr>
                <w:rFonts w:ascii="宋体" w:hAnsi="宋体" w:eastAsia="宋体" w:cs="宋体"/>
                <w:spacing w:val="8"/>
                <w:sz w:val="20"/>
                <w:szCs w:val="20"/>
                <w14:textOutline w14:w="3795" w14:cap="sq" w14:cmpd="sng">
                  <w14:solidFill>
                    <w14:srgbClr w14:val="000000"/>
                  </w14:solidFill>
                  <w14:prstDash w14:val="solid"/>
                  <w14:bevel/>
                </w14:textOutline>
              </w:rPr>
              <w:t>染防治措</w:t>
            </w:r>
          </w:p>
        </w:tc>
        <w:tc>
          <w:tcPr>
            <w:tcW w:w="1419" w:type="dxa"/>
            <w:tcBorders>
              <w:right w:val="nil"/>
            </w:tcBorders>
            <w:vAlign w:val="top"/>
          </w:tcPr>
          <w:p w14:paraId="711B2E92">
            <w:pPr>
              <w:spacing w:before="75" w:line="229" w:lineRule="auto"/>
              <w:ind w:left="505"/>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位置</w:t>
            </w:r>
          </w:p>
        </w:tc>
      </w:tr>
      <w:tr w14:paraId="0BCC63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980" w:type="dxa"/>
            <w:tcBorders>
              <w:left w:val="nil"/>
            </w:tcBorders>
            <w:vAlign w:val="top"/>
          </w:tcPr>
          <w:p w14:paraId="01FCB89A">
            <w:pPr>
              <w:spacing w:before="89" w:line="195" w:lineRule="auto"/>
              <w:ind w:left="461"/>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865" w:type="dxa"/>
            <w:vAlign w:val="top"/>
          </w:tcPr>
          <w:p w14:paraId="65B42090">
            <w:pPr>
              <w:spacing w:before="53" w:line="227" w:lineRule="auto"/>
              <w:ind w:left="632"/>
              <w:rPr>
                <w:rFonts w:ascii="宋体" w:hAnsi="宋体" w:eastAsia="宋体" w:cs="宋体"/>
                <w:sz w:val="20"/>
                <w:szCs w:val="20"/>
              </w:rPr>
            </w:pPr>
            <w:r>
              <w:rPr>
                <w:rFonts w:ascii="宋体" w:hAnsi="宋体" w:eastAsia="宋体" w:cs="宋体"/>
                <w:spacing w:val="4"/>
                <w:sz w:val="20"/>
                <w:szCs w:val="20"/>
              </w:rPr>
              <w:t>喂</w:t>
            </w:r>
            <w:r>
              <w:rPr>
                <w:rFonts w:ascii="宋体" w:hAnsi="宋体" w:eastAsia="宋体" w:cs="宋体"/>
                <w:spacing w:val="3"/>
                <w:sz w:val="20"/>
                <w:szCs w:val="20"/>
              </w:rPr>
              <w:t>料机</w:t>
            </w:r>
          </w:p>
        </w:tc>
        <w:tc>
          <w:tcPr>
            <w:tcW w:w="1422" w:type="dxa"/>
            <w:vAlign w:val="top"/>
          </w:tcPr>
          <w:p w14:paraId="48228455">
            <w:pPr>
              <w:spacing w:before="89" w:line="195" w:lineRule="auto"/>
              <w:ind w:left="62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1422" w:type="dxa"/>
            <w:vAlign w:val="top"/>
          </w:tcPr>
          <w:p w14:paraId="2E5F9D29">
            <w:pPr>
              <w:spacing w:before="92" w:line="192" w:lineRule="auto"/>
              <w:ind w:left="61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75</w:t>
            </w:r>
          </w:p>
        </w:tc>
        <w:tc>
          <w:tcPr>
            <w:tcW w:w="1422" w:type="dxa"/>
            <w:vMerge w:val="restart"/>
            <w:tcBorders>
              <w:bottom w:val="nil"/>
            </w:tcBorders>
            <w:vAlign w:val="top"/>
          </w:tcPr>
          <w:p w14:paraId="0AE161C2">
            <w:pPr>
              <w:spacing w:line="293" w:lineRule="auto"/>
              <w:rPr>
                <w:rFonts w:ascii="Arial"/>
                <w:sz w:val="21"/>
              </w:rPr>
            </w:pPr>
          </w:p>
          <w:p w14:paraId="03F7776A">
            <w:pPr>
              <w:spacing w:before="65" w:line="228" w:lineRule="auto"/>
              <w:ind w:left="191"/>
              <w:rPr>
                <w:rFonts w:ascii="宋体" w:hAnsi="宋体" w:eastAsia="宋体" w:cs="宋体"/>
                <w:sz w:val="20"/>
                <w:szCs w:val="20"/>
              </w:rPr>
            </w:pPr>
            <w:r>
              <w:rPr>
                <w:rFonts w:ascii="宋体" w:hAnsi="宋体" w:eastAsia="宋体" w:cs="宋体"/>
                <w:spacing w:val="9"/>
                <w:sz w:val="20"/>
                <w:szCs w:val="20"/>
              </w:rPr>
              <w:t>优</w:t>
            </w:r>
            <w:r>
              <w:rPr>
                <w:rFonts w:ascii="宋体" w:hAnsi="宋体" w:eastAsia="宋体" w:cs="宋体"/>
                <w:spacing w:val="8"/>
                <w:sz w:val="20"/>
                <w:szCs w:val="20"/>
              </w:rPr>
              <w:t>先选用低</w:t>
            </w:r>
          </w:p>
          <w:p w14:paraId="6B02DD23">
            <w:pPr>
              <w:spacing w:before="65" w:line="228" w:lineRule="auto"/>
              <w:ind w:left="125"/>
              <w:rPr>
                <w:rFonts w:ascii="宋体" w:hAnsi="宋体" w:eastAsia="宋体" w:cs="宋体"/>
                <w:sz w:val="20"/>
                <w:szCs w:val="20"/>
              </w:rPr>
            </w:pPr>
            <w:r>
              <w:rPr>
                <w:rFonts w:ascii="宋体" w:hAnsi="宋体" w:eastAsia="宋体" w:cs="宋体"/>
                <w:spacing w:val="-3"/>
                <w:sz w:val="20"/>
                <w:szCs w:val="20"/>
              </w:rPr>
              <w:t>噪</w:t>
            </w:r>
            <w:r>
              <w:rPr>
                <w:rFonts w:ascii="宋体" w:hAnsi="宋体" w:eastAsia="宋体" w:cs="宋体"/>
                <w:spacing w:val="-2"/>
                <w:sz w:val="20"/>
                <w:szCs w:val="20"/>
              </w:rPr>
              <w:t>声设备，对</w:t>
            </w:r>
          </w:p>
          <w:p w14:paraId="16B1839A">
            <w:pPr>
              <w:spacing w:before="65" w:line="228" w:lineRule="auto"/>
              <w:ind w:left="201"/>
              <w:rPr>
                <w:rFonts w:ascii="宋体" w:hAnsi="宋体" w:eastAsia="宋体" w:cs="宋体"/>
                <w:sz w:val="20"/>
                <w:szCs w:val="20"/>
              </w:rPr>
            </w:pPr>
            <w:r>
              <w:rPr>
                <w:rFonts w:ascii="宋体" w:hAnsi="宋体" w:eastAsia="宋体" w:cs="宋体"/>
                <w:spacing w:val="6"/>
                <w:sz w:val="20"/>
                <w:szCs w:val="20"/>
              </w:rPr>
              <w:t>噪声设备进</w:t>
            </w:r>
          </w:p>
          <w:p w14:paraId="656D7536">
            <w:pPr>
              <w:spacing w:before="64" w:line="288" w:lineRule="auto"/>
              <w:ind w:left="118" w:right="103"/>
              <w:jc w:val="right"/>
              <w:rPr>
                <w:rFonts w:ascii="宋体" w:hAnsi="宋体" w:eastAsia="宋体" w:cs="宋体"/>
                <w:sz w:val="20"/>
                <w:szCs w:val="20"/>
              </w:rPr>
            </w:pPr>
            <w:r>
              <w:rPr>
                <w:rFonts w:ascii="宋体" w:hAnsi="宋体" w:eastAsia="宋体" w:cs="宋体"/>
                <w:spacing w:val="-1"/>
                <w:sz w:val="20"/>
                <w:szCs w:val="20"/>
              </w:rPr>
              <w:t>行减震处理</w:t>
            </w:r>
            <w:r>
              <w:rPr>
                <w:rFonts w:ascii="宋体" w:hAnsi="宋体" w:eastAsia="宋体" w:cs="宋体"/>
                <w:sz w:val="20"/>
                <w:szCs w:val="20"/>
              </w:rPr>
              <w:t xml:space="preserve">， </w:t>
            </w:r>
            <w:r>
              <w:rPr>
                <w:rFonts w:ascii="宋体" w:hAnsi="宋体" w:eastAsia="宋体" w:cs="宋体"/>
                <w:spacing w:val="7"/>
                <w:sz w:val="20"/>
                <w:szCs w:val="20"/>
              </w:rPr>
              <w:t>并设置在封</w:t>
            </w:r>
          </w:p>
          <w:p w14:paraId="7C683D8C">
            <w:pPr>
              <w:spacing w:line="301" w:lineRule="auto"/>
              <w:ind w:left="298" w:right="104" w:hanging="163"/>
              <w:rPr>
                <w:rFonts w:ascii="宋体" w:hAnsi="宋体" w:eastAsia="宋体" w:cs="宋体"/>
                <w:sz w:val="20"/>
                <w:szCs w:val="20"/>
              </w:rPr>
            </w:pPr>
            <w:r>
              <w:rPr>
                <w:rFonts w:ascii="宋体" w:hAnsi="宋体" w:eastAsia="宋体" w:cs="宋体"/>
                <w:spacing w:val="-4"/>
                <w:sz w:val="20"/>
                <w:szCs w:val="20"/>
              </w:rPr>
              <w:t>闭厂房中，建</w:t>
            </w:r>
            <w:r>
              <w:rPr>
                <w:rFonts w:ascii="宋体" w:hAnsi="宋体" w:eastAsia="宋体" w:cs="宋体"/>
                <w:sz w:val="20"/>
                <w:szCs w:val="20"/>
              </w:rPr>
              <w:t xml:space="preserve"> </w:t>
            </w:r>
            <w:r>
              <w:rPr>
                <w:rFonts w:ascii="宋体" w:hAnsi="宋体" w:eastAsia="宋体" w:cs="宋体"/>
                <w:spacing w:val="7"/>
                <w:sz w:val="20"/>
                <w:szCs w:val="20"/>
              </w:rPr>
              <w:t>筑</w:t>
            </w:r>
            <w:r>
              <w:rPr>
                <w:rFonts w:ascii="宋体" w:hAnsi="宋体" w:eastAsia="宋体" w:cs="宋体"/>
                <w:spacing w:val="4"/>
                <w:sz w:val="20"/>
                <w:szCs w:val="20"/>
              </w:rPr>
              <w:t>隔声。</w:t>
            </w:r>
          </w:p>
        </w:tc>
        <w:tc>
          <w:tcPr>
            <w:tcW w:w="1419" w:type="dxa"/>
            <w:vMerge w:val="restart"/>
            <w:tcBorders>
              <w:bottom w:val="nil"/>
              <w:right w:val="nil"/>
            </w:tcBorders>
            <w:vAlign w:val="top"/>
          </w:tcPr>
          <w:p w14:paraId="15F05EA6">
            <w:pPr>
              <w:spacing w:line="244" w:lineRule="auto"/>
              <w:rPr>
                <w:rFonts w:ascii="Arial"/>
                <w:sz w:val="21"/>
              </w:rPr>
            </w:pPr>
          </w:p>
          <w:p w14:paraId="4B6B74E0">
            <w:pPr>
              <w:spacing w:line="244" w:lineRule="auto"/>
              <w:rPr>
                <w:rFonts w:ascii="Arial"/>
                <w:sz w:val="21"/>
              </w:rPr>
            </w:pPr>
          </w:p>
          <w:p w14:paraId="2169C302">
            <w:pPr>
              <w:spacing w:line="245" w:lineRule="auto"/>
              <w:rPr>
                <w:rFonts w:ascii="Arial"/>
                <w:sz w:val="21"/>
              </w:rPr>
            </w:pPr>
          </w:p>
          <w:p w14:paraId="57D33365">
            <w:pPr>
              <w:spacing w:line="245" w:lineRule="auto"/>
              <w:rPr>
                <w:rFonts w:ascii="Arial"/>
                <w:sz w:val="21"/>
              </w:rPr>
            </w:pPr>
          </w:p>
          <w:p w14:paraId="7B3A263B">
            <w:pPr>
              <w:spacing w:line="245" w:lineRule="auto"/>
              <w:rPr>
                <w:rFonts w:ascii="Arial"/>
                <w:sz w:val="21"/>
              </w:rPr>
            </w:pPr>
          </w:p>
          <w:p w14:paraId="433A53CC">
            <w:pPr>
              <w:spacing w:before="65" w:line="228" w:lineRule="auto"/>
              <w:ind w:left="298"/>
              <w:rPr>
                <w:rFonts w:ascii="宋体" w:hAnsi="宋体" w:eastAsia="宋体" w:cs="宋体"/>
                <w:sz w:val="20"/>
                <w:szCs w:val="20"/>
              </w:rPr>
            </w:pPr>
            <w:r>
              <w:rPr>
                <w:rFonts w:ascii="宋体" w:hAnsi="宋体" w:eastAsia="宋体" w:cs="宋体"/>
                <w:spacing w:val="7"/>
                <w:sz w:val="20"/>
                <w:szCs w:val="20"/>
              </w:rPr>
              <w:t>生产厂</w:t>
            </w:r>
            <w:r>
              <w:rPr>
                <w:rFonts w:ascii="宋体" w:hAnsi="宋体" w:eastAsia="宋体" w:cs="宋体"/>
                <w:spacing w:val="6"/>
                <w:sz w:val="20"/>
                <w:szCs w:val="20"/>
              </w:rPr>
              <w:t>房</w:t>
            </w:r>
          </w:p>
        </w:tc>
      </w:tr>
      <w:tr w14:paraId="3D6D98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980" w:type="dxa"/>
            <w:tcBorders>
              <w:left w:val="nil"/>
            </w:tcBorders>
            <w:vAlign w:val="top"/>
          </w:tcPr>
          <w:p w14:paraId="22D096F2">
            <w:pPr>
              <w:spacing w:before="90" w:line="195" w:lineRule="auto"/>
              <w:ind w:left="441"/>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865" w:type="dxa"/>
            <w:vAlign w:val="top"/>
          </w:tcPr>
          <w:p w14:paraId="0ECD5B3B">
            <w:pPr>
              <w:spacing w:before="54" w:line="227" w:lineRule="auto"/>
              <w:ind w:left="620"/>
              <w:rPr>
                <w:rFonts w:ascii="宋体" w:hAnsi="宋体" w:eastAsia="宋体" w:cs="宋体"/>
                <w:sz w:val="20"/>
                <w:szCs w:val="20"/>
              </w:rPr>
            </w:pPr>
            <w:r>
              <w:rPr>
                <w:rFonts w:ascii="宋体" w:hAnsi="宋体" w:eastAsia="宋体" w:cs="宋体"/>
                <w:spacing w:val="7"/>
                <w:sz w:val="20"/>
                <w:szCs w:val="20"/>
              </w:rPr>
              <w:t>粉碎机</w:t>
            </w:r>
          </w:p>
        </w:tc>
        <w:tc>
          <w:tcPr>
            <w:tcW w:w="1422" w:type="dxa"/>
            <w:vAlign w:val="top"/>
          </w:tcPr>
          <w:p w14:paraId="07E56EA5">
            <w:pPr>
              <w:spacing w:before="90" w:line="195" w:lineRule="auto"/>
              <w:ind w:left="62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1422" w:type="dxa"/>
            <w:vAlign w:val="top"/>
          </w:tcPr>
          <w:p w14:paraId="62F27832">
            <w:pPr>
              <w:spacing w:before="90" w:line="195" w:lineRule="auto"/>
              <w:ind w:left="61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w:t>
            </w:r>
            <w:r>
              <w:rPr>
                <w:rFonts w:ascii="Times New Roman" w:hAnsi="Times New Roman" w:eastAsia="Times New Roman" w:cs="Times New Roman"/>
                <w:spacing w:val="-1"/>
                <w:sz w:val="20"/>
                <w:szCs w:val="20"/>
              </w:rPr>
              <w:t>0</w:t>
            </w:r>
          </w:p>
        </w:tc>
        <w:tc>
          <w:tcPr>
            <w:tcW w:w="1422" w:type="dxa"/>
            <w:vMerge w:val="continue"/>
            <w:tcBorders>
              <w:top w:val="nil"/>
              <w:bottom w:val="nil"/>
            </w:tcBorders>
            <w:vAlign w:val="top"/>
          </w:tcPr>
          <w:p w14:paraId="1470248B">
            <w:pPr>
              <w:rPr>
                <w:rFonts w:ascii="Arial"/>
                <w:sz w:val="21"/>
              </w:rPr>
            </w:pPr>
          </w:p>
        </w:tc>
        <w:tc>
          <w:tcPr>
            <w:tcW w:w="1419" w:type="dxa"/>
            <w:vMerge w:val="continue"/>
            <w:tcBorders>
              <w:top w:val="nil"/>
              <w:bottom w:val="nil"/>
              <w:right w:val="nil"/>
            </w:tcBorders>
            <w:vAlign w:val="top"/>
          </w:tcPr>
          <w:p w14:paraId="53D637EC">
            <w:pPr>
              <w:rPr>
                <w:rFonts w:ascii="Arial"/>
                <w:sz w:val="21"/>
              </w:rPr>
            </w:pPr>
          </w:p>
        </w:tc>
      </w:tr>
      <w:tr w14:paraId="7CCEFB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980" w:type="dxa"/>
            <w:tcBorders>
              <w:left w:val="nil"/>
            </w:tcBorders>
            <w:vAlign w:val="top"/>
          </w:tcPr>
          <w:p w14:paraId="5A9B8A81">
            <w:pPr>
              <w:spacing w:before="91" w:line="195" w:lineRule="auto"/>
              <w:ind w:left="445"/>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865" w:type="dxa"/>
            <w:vAlign w:val="top"/>
          </w:tcPr>
          <w:p w14:paraId="38DAA79C">
            <w:pPr>
              <w:spacing w:before="55" w:line="227" w:lineRule="auto"/>
              <w:ind w:left="413"/>
              <w:rPr>
                <w:rFonts w:ascii="宋体" w:hAnsi="宋体" w:eastAsia="宋体" w:cs="宋体"/>
                <w:sz w:val="20"/>
                <w:szCs w:val="20"/>
              </w:rPr>
            </w:pPr>
            <w:r>
              <w:rPr>
                <w:rFonts w:ascii="宋体" w:hAnsi="宋体" w:eastAsia="宋体" w:cs="宋体"/>
                <w:spacing w:val="8"/>
                <w:sz w:val="20"/>
                <w:szCs w:val="20"/>
              </w:rPr>
              <w:t>偏心清洗机</w:t>
            </w:r>
          </w:p>
        </w:tc>
        <w:tc>
          <w:tcPr>
            <w:tcW w:w="1422" w:type="dxa"/>
            <w:vAlign w:val="top"/>
          </w:tcPr>
          <w:p w14:paraId="454E2C91">
            <w:pPr>
              <w:spacing w:before="91" w:line="195" w:lineRule="auto"/>
              <w:ind w:left="60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0</w:t>
            </w:r>
          </w:p>
        </w:tc>
        <w:tc>
          <w:tcPr>
            <w:tcW w:w="1422" w:type="dxa"/>
            <w:vAlign w:val="top"/>
          </w:tcPr>
          <w:p w14:paraId="016A377D">
            <w:pPr>
              <w:spacing w:before="91" w:line="195" w:lineRule="auto"/>
              <w:ind w:left="61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w:t>
            </w:r>
          </w:p>
        </w:tc>
        <w:tc>
          <w:tcPr>
            <w:tcW w:w="1422" w:type="dxa"/>
            <w:vMerge w:val="continue"/>
            <w:tcBorders>
              <w:top w:val="nil"/>
              <w:bottom w:val="nil"/>
            </w:tcBorders>
            <w:vAlign w:val="top"/>
          </w:tcPr>
          <w:p w14:paraId="058C2E8E">
            <w:pPr>
              <w:rPr>
                <w:rFonts w:ascii="Arial"/>
                <w:sz w:val="21"/>
              </w:rPr>
            </w:pPr>
          </w:p>
        </w:tc>
        <w:tc>
          <w:tcPr>
            <w:tcW w:w="1419" w:type="dxa"/>
            <w:vMerge w:val="continue"/>
            <w:tcBorders>
              <w:top w:val="nil"/>
              <w:bottom w:val="nil"/>
              <w:right w:val="nil"/>
            </w:tcBorders>
            <w:vAlign w:val="top"/>
          </w:tcPr>
          <w:p w14:paraId="6BB2D046">
            <w:pPr>
              <w:rPr>
                <w:rFonts w:ascii="Arial"/>
                <w:sz w:val="21"/>
              </w:rPr>
            </w:pPr>
          </w:p>
        </w:tc>
      </w:tr>
      <w:tr w14:paraId="798014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980" w:type="dxa"/>
            <w:tcBorders>
              <w:left w:val="nil"/>
            </w:tcBorders>
            <w:vAlign w:val="top"/>
          </w:tcPr>
          <w:p w14:paraId="265EA6C2">
            <w:pPr>
              <w:spacing w:before="91" w:line="195" w:lineRule="auto"/>
              <w:ind w:left="44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865" w:type="dxa"/>
            <w:vAlign w:val="top"/>
          </w:tcPr>
          <w:p w14:paraId="1DF6ECFC">
            <w:pPr>
              <w:spacing w:before="55" w:line="227" w:lineRule="auto"/>
              <w:ind w:left="413"/>
              <w:rPr>
                <w:rFonts w:ascii="宋体" w:hAnsi="宋体" w:eastAsia="宋体" w:cs="宋体"/>
                <w:sz w:val="20"/>
                <w:szCs w:val="20"/>
              </w:rPr>
            </w:pPr>
            <w:r>
              <w:rPr>
                <w:rFonts w:ascii="宋体" w:hAnsi="宋体" w:eastAsia="宋体" w:cs="宋体"/>
                <w:spacing w:val="8"/>
                <w:sz w:val="20"/>
                <w:szCs w:val="20"/>
              </w:rPr>
              <w:t>立式脱水机</w:t>
            </w:r>
          </w:p>
        </w:tc>
        <w:tc>
          <w:tcPr>
            <w:tcW w:w="1422" w:type="dxa"/>
            <w:vAlign w:val="top"/>
          </w:tcPr>
          <w:p w14:paraId="08B7B9EF">
            <w:pPr>
              <w:spacing w:before="91" w:line="195" w:lineRule="auto"/>
              <w:ind w:left="62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1422" w:type="dxa"/>
            <w:vAlign w:val="top"/>
          </w:tcPr>
          <w:p w14:paraId="16F42F77">
            <w:pPr>
              <w:spacing w:before="94" w:line="192" w:lineRule="auto"/>
              <w:ind w:left="61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75</w:t>
            </w:r>
          </w:p>
        </w:tc>
        <w:tc>
          <w:tcPr>
            <w:tcW w:w="1422" w:type="dxa"/>
            <w:vMerge w:val="continue"/>
            <w:tcBorders>
              <w:top w:val="nil"/>
              <w:bottom w:val="nil"/>
            </w:tcBorders>
            <w:vAlign w:val="top"/>
          </w:tcPr>
          <w:p w14:paraId="55917B4B">
            <w:pPr>
              <w:rPr>
                <w:rFonts w:ascii="Arial"/>
                <w:sz w:val="21"/>
              </w:rPr>
            </w:pPr>
          </w:p>
        </w:tc>
        <w:tc>
          <w:tcPr>
            <w:tcW w:w="1419" w:type="dxa"/>
            <w:vMerge w:val="continue"/>
            <w:tcBorders>
              <w:top w:val="nil"/>
              <w:bottom w:val="nil"/>
              <w:right w:val="nil"/>
            </w:tcBorders>
            <w:vAlign w:val="top"/>
          </w:tcPr>
          <w:p w14:paraId="4D5B3461">
            <w:pPr>
              <w:rPr>
                <w:rFonts w:ascii="Arial"/>
                <w:sz w:val="21"/>
              </w:rPr>
            </w:pPr>
          </w:p>
        </w:tc>
      </w:tr>
      <w:tr w14:paraId="161A93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980" w:type="dxa"/>
            <w:tcBorders>
              <w:left w:val="nil"/>
            </w:tcBorders>
            <w:vAlign w:val="top"/>
          </w:tcPr>
          <w:p w14:paraId="3822BF50">
            <w:pPr>
              <w:spacing w:before="95" w:line="192" w:lineRule="auto"/>
              <w:ind w:left="447"/>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865" w:type="dxa"/>
            <w:vAlign w:val="top"/>
          </w:tcPr>
          <w:p w14:paraId="35254006">
            <w:pPr>
              <w:spacing w:before="56" w:line="227" w:lineRule="auto"/>
              <w:ind w:left="621"/>
              <w:rPr>
                <w:rFonts w:ascii="宋体" w:hAnsi="宋体" w:eastAsia="宋体" w:cs="宋体"/>
                <w:sz w:val="20"/>
                <w:szCs w:val="20"/>
              </w:rPr>
            </w:pPr>
            <w:r>
              <w:rPr>
                <w:rFonts w:ascii="宋体" w:hAnsi="宋体" w:eastAsia="宋体" w:cs="宋体"/>
                <w:spacing w:val="7"/>
                <w:sz w:val="20"/>
                <w:szCs w:val="20"/>
              </w:rPr>
              <w:t>挤出</w:t>
            </w:r>
            <w:r>
              <w:rPr>
                <w:rFonts w:ascii="宋体" w:hAnsi="宋体" w:eastAsia="宋体" w:cs="宋体"/>
                <w:spacing w:val="6"/>
                <w:sz w:val="20"/>
                <w:szCs w:val="20"/>
              </w:rPr>
              <w:t>机</w:t>
            </w:r>
          </w:p>
        </w:tc>
        <w:tc>
          <w:tcPr>
            <w:tcW w:w="1422" w:type="dxa"/>
            <w:vAlign w:val="top"/>
          </w:tcPr>
          <w:p w14:paraId="351B0DAD">
            <w:pPr>
              <w:spacing w:before="92" w:line="195" w:lineRule="auto"/>
              <w:ind w:left="62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1422" w:type="dxa"/>
            <w:vAlign w:val="top"/>
          </w:tcPr>
          <w:p w14:paraId="5239E324">
            <w:pPr>
              <w:spacing w:before="92" w:line="195" w:lineRule="auto"/>
              <w:ind w:left="61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w:t>
            </w:r>
          </w:p>
        </w:tc>
        <w:tc>
          <w:tcPr>
            <w:tcW w:w="1422" w:type="dxa"/>
            <w:vMerge w:val="continue"/>
            <w:tcBorders>
              <w:top w:val="nil"/>
              <w:bottom w:val="nil"/>
            </w:tcBorders>
            <w:vAlign w:val="top"/>
          </w:tcPr>
          <w:p w14:paraId="33E274F3">
            <w:pPr>
              <w:rPr>
                <w:rFonts w:ascii="Arial"/>
                <w:sz w:val="21"/>
              </w:rPr>
            </w:pPr>
          </w:p>
        </w:tc>
        <w:tc>
          <w:tcPr>
            <w:tcW w:w="1419" w:type="dxa"/>
            <w:vMerge w:val="continue"/>
            <w:tcBorders>
              <w:top w:val="nil"/>
              <w:bottom w:val="nil"/>
              <w:right w:val="nil"/>
            </w:tcBorders>
            <w:vAlign w:val="top"/>
          </w:tcPr>
          <w:p w14:paraId="2775B3CA">
            <w:pPr>
              <w:rPr>
                <w:rFonts w:ascii="Arial"/>
                <w:sz w:val="21"/>
              </w:rPr>
            </w:pPr>
          </w:p>
        </w:tc>
      </w:tr>
      <w:tr w14:paraId="14748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980" w:type="dxa"/>
            <w:tcBorders>
              <w:left w:val="nil"/>
            </w:tcBorders>
            <w:vAlign w:val="top"/>
          </w:tcPr>
          <w:p w14:paraId="0392F5B6">
            <w:pPr>
              <w:spacing w:before="93" w:line="195" w:lineRule="auto"/>
              <w:ind w:left="445"/>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865" w:type="dxa"/>
            <w:vAlign w:val="top"/>
          </w:tcPr>
          <w:p w14:paraId="40BF4B60">
            <w:pPr>
              <w:spacing w:before="57" w:line="227" w:lineRule="auto"/>
              <w:ind w:left="623"/>
              <w:rPr>
                <w:rFonts w:ascii="宋体" w:hAnsi="宋体" w:eastAsia="宋体" w:cs="宋体"/>
                <w:sz w:val="20"/>
                <w:szCs w:val="20"/>
              </w:rPr>
            </w:pPr>
            <w:r>
              <w:rPr>
                <w:rFonts w:ascii="宋体" w:hAnsi="宋体" w:eastAsia="宋体" w:cs="宋体"/>
                <w:spacing w:val="7"/>
                <w:sz w:val="20"/>
                <w:szCs w:val="20"/>
              </w:rPr>
              <w:t>拉</w:t>
            </w:r>
            <w:r>
              <w:rPr>
                <w:rFonts w:ascii="宋体" w:hAnsi="宋体" w:eastAsia="宋体" w:cs="宋体"/>
                <w:spacing w:val="6"/>
                <w:sz w:val="20"/>
                <w:szCs w:val="20"/>
              </w:rPr>
              <w:t>丝机</w:t>
            </w:r>
          </w:p>
        </w:tc>
        <w:tc>
          <w:tcPr>
            <w:tcW w:w="1422" w:type="dxa"/>
            <w:vAlign w:val="top"/>
          </w:tcPr>
          <w:p w14:paraId="39BEF77F">
            <w:pPr>
              <w:spacing w:before="93" w:line="195" w:lineRule="auto"/>
              <w:ind w:left="62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1422" w:type="dxa"/>
            <w:vAlign w:val="top"/>
          </w:tcPr>
          <w:p w14:paraId="67E16637">
            <w:pPr>
              <w:spacing w:before="93" w:line="195" w:lineRule="auto"/>
              <w:ind w:left="61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w:t>
            </w:r>
          </w:p>
        </w:tc>
        <w:tc>
          <w:tcPr>
            <w:tcW w:w="1422" w:type="dxa"/>
            <w:vMerge w:val="continue"/>
            <w:tcBorders>
              <w:top w:val="nil"/>
              <w:bottom w:val="nil"/>
            </w:tcBorders>
            <w:vAlign w:val="top"/>
          </w:tcPr>
          <w:p w14:paraId="01E495F8">
            <w:pPr>
              <w:rPr>
                <w:rFonts w:ascii="Arial"/>
                <w:sz w:val="21"/>
              </w:rPr>
            </w:pPr>
          </w:p>
        </w:tc>
        <w:tc>
          <w:tcPr>
            <w:tcW w:w="1419" w:type="dxa"/>
            <w:vMerge w:val="continue"/>
            <w:tcBorders>
              <w:top w:val="nil"/>
              <w:bottom w:val="nil"/>
              <w:right w:val="nil"/>
            </w:tcBorders>
            <w:vAlign w:val="top"/>
          </w:tcPr>
          <w:p w14:paraId="144981BE">
            <w:pPr>
              <w:rPr>
                <w:rFonts w:ascii="Arial"/>
                <w:sz w:val="21"/>
              </w:rPr>
            </w:pPr>
          </w:p>
        </w:tc>
      </w:tr>
      <w:tr w14:paraId="5DAF62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980" w:type="dxa"/>
            <w:tcBorders>
              <w:left w:val="nil"/>
            </w:tcBorders>
            <w:vAlign w:val="top"/>
          </w:tcPr>
          <w:p w14:paraId="05B9811D">
            <w:pPr>
              <w:spacing w:before="96" w:line="192" w:lineRule="auto"/>
              <w:ind w:left="444"/>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865" w:type="dxa"/>
            <w:vAlign w:val="top"/>
          </w:tcPr>
          <w:p w14:paraId="528CC093">
            <w:pPr>
              <w:spacing w:before="57" w:line="227" w:lineRule="auto"/>
              <w:ind w:left="620"/>
              <w:rPr>
                <w:rFonts w:ascii="宋体" w:hAnsi="宋体" w:eastAsia="宋体" w:cs="宋体"/>
                <w:sz w:val="20"/>
                <w:szCs w:val="20"/>
              </w:rPr>
            </w:pPr>
            <w:r>
              <w:rPr>
                <w:rFonts w:ascii="宋体" w:hAnsi="宋体" w:eastAsia="宋体" w:cs="宋体"/>
                <w:spacing w:val="7"/>
                <w:sz w:val="20"/>
                <w:szCs w:val="20"/>
              </w:rPr>
              <w:t>切粒机</w:t>
            </w:r>
          </w:p>
        </w:tc>
        <w:tc>
          <w:tcPr>
            <w:tcW w:w="1422" w:type="dxa"/>
            <w:vAlign w:val="top"/>
          </w:tcPr>
          <w:p w14:paraId="4FE0BE12">
            <w:pPr>
              <w:spacing w:before="93" w:line="195" w:lineRule="auto"/>
              <w:ind w:left="62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1422" w:type="dxa"/>
            <w:vAlign w:val="top"/>
          </w:tcPr>
          <w:p w14:paraId="3096C178">
            <w:pPr>
              <w:spacing w:before="96" w:line="192" w:lineRule="auto"/>
              <w:ind w:left="61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75</w:t>
            </w:r>
          </w:p>
        </w:tc>
        <w:tc>
          <w:tcPr>
            <w:tcW w:w="1422" w:type="dxa"/>
            <w:vMerge w:val="continue"/>
            <w:tcBorders>
              <w:top w:val="nil"/>
              <w:bottom w:val="nil"/>
            </w:tcBorders>
            <w:vAlign w:val="top"/>
          </w:tcPr>
          <w:p w14:paraId="25AFAB7B">
            <w:pPr>
              <w:rPr>
                <w:rFonts w:ascii="Arial"/>
                <w:sz w:val="21"/>
              </w:rPr>
            </w:pPr>
          </w:p>
        </w:tc>
        <w:tc>
          <w:tcPr>
            <w:tcW w:w="1419" w:type="dxa"/>
            <w:vMerge w:val="continue"/>
            <w:tcBorders>
              <w:top w:val="nil"/>
              <w:bottom w:val="nil"/>
              <w:right w:val="nil"/>
            </w:tcBorders>
            <w:vAlign w:val="top"/>
          </w:tcPr>
          <w:p w14:paraId="5C02F100">
            <w:pPr>
              <w:rPr>
                <w:rFonts w:ascii="Arial"/>
                <w:sz w:val="21"/>
              </w:rPr>
            </w:pPr>
          </w:p>
        </w:tc>
      </w:tr>
      <w:tr w14:paraId="155CAE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980" w:type="dxa"/>
            <w:tcBorders>
              <w:left w:val="nil"/>
            </w:tcBorders>
            <w:vAlign w:val="top"/>
          </w:tcPr>
          <w:p w14:paraId="732A2CFC">
            <w:pPr>
              <w:spacing w:before="93" w:line="195" w:lineRule="auto"/>
              <w:ind w:left="449"/>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865" w:type="dxa"/>
            <w:vAlign w:val="top"/>
          </w:tcPr>
          <w:p w14:paraId="31BFE6A5">
            <w:pPr>
              <w:spacing w:before="57" w:line="227" w:lineRule="auto"/>
              <w:ind w:left="728"/>
              <w:rPr>
                <w:rFonts w:ascii="宋体" w:hAnsi="宋体" w:eastAsia="宋体" w:cs="宋体"/>
                <w:sz w:val="20"/>
                <w:szCs w:val="20"/>
              </w:rPr>
            </w:pPr>
            <w:r>
              <w:rPr>
                <w:rFonts w:ascii="宋体" w:hAnsi="宋体" w:eastAsia="宋体" w:cs="宋体"/>
                <w:spacing w:val="4"/>
                <w:sz w:val="20"/>
                <w:szCs w:val="20"/>
              </w:rPr>
              <w:t>风机</w:t>
            </w:r>
          </w:p>
        </w:tc>
        <w:tc>
          <w:tcPr>
            <w:tcW w:w="1422" w:type="dxa"/>
            <w:vAlign w:val="top"/>
          </w:tcPr>
          <w:p w14:paraId="49F2CA1B">
            <w:pPr>
              <w:spacing w:before="93" w:line="195" w:lineRule="auto"/>
              <w:ind w:left="662"/>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422" w:type="dxa"/>
            <w:vAlign w:val="top"/>
          </w:tcPr>
          <w:p w14:paraId="56E498BC">
            <w:pPr>
              <w:spacing w:before="96" w:line="192" w:lineRule="auto"/>
              <w:ind w:left="61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75</w:t>
            </w:r>
          </w:p>
        </w:tc>
        <w:tc>
          <w:tcPr>
            <w:tcW w:w="1422" w:type="dxa"/>
            <w:vMerge w:val="continue"/>
            <w:tcBorders>
              <w:top w:val="nil"/>
              <w:bottom w:val="nil"/>
            </w:tcBorders>
            <w:vAlign w:val="top"/>
          </w:tcPr>
          <w:p w14:paraId="78EEFC46">
            <w:pPr>
              <w:rPr>
                <w:rFonts w:ascii="Arial"/>
                <w:sz w:val="21"/>
              </w:rPr>
            </w:pPr>
          </w:p>
        </w:tc>
        <w:tc>
          <w:tcPr>
            <w:tcW w:w="1419" w:type="dxa"/>
            <w:vMerge w:val="continue"/>
            <w:tcBorders>
              <w:top w:val="nil"/>
              <w:bottom w:val="nil"/>
              <w:right w:val="nil"/>
            </w:tcBorders>
            <w:vAlign w:val="top"/>
          </w:tcPr>
          <w:p w14:paraId="755334B7">
            <w:pPr>
              <w:rPr>
                <w:rFonts w:ascii="Arial"/>
                <w:sz w:val="21"/>
              </w:rPr>
            </w:pPr>
          </w:p>
        </w:tc>
      </w:tr>
      <w:tr w14:paraId="389BB5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980" w:type="dxa"/>
            <w:tcBorders>
              <w:left w:val="nil"/>
            </w:tcBorders>
            <w:vAlign w:val="top"/>
          </w:tcPr>
          <w:p w14:paraId="4D603372">
            <w:pPr>
              <w:spacing w:before="93" w:line="195" w:lineRule="auto"/>
              <w:ind w:left="445"/>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865" w:type="dxa"/>
            <w:vAlign w:val="top"/>
          </w:tcPr>
          <w:p w14:paraId="615357E2">
            <w:pPr>
              <w:spacing w:before="56" w:line="228" w:lineRule="auto"/>
              <w:ind w:left="518"/>
              <w:rPr>
                <w:rFonts w:ascii="宋体" w:hAnsi="宋体" w:eastAsia="宋体" w:cs="宋体"/>
                <w:sz w:val="20"/>
                <w:szCs w:val="20"/>
              </w:rPr>
            </w:pPr>
            <w:r>
              <w:rPr>
                <w:rFonts w:ascii="宋体" w:hAnsi="宋体" w:eastAsia="宋体" w:cs="宋体"/>
                <w:spacing w:val="8"/>
                <w:sz w:val="20"/>
                <w:szCs w:val="20"/>
              </w:rPr>
              <w:t>循</w:t>
            </w:r>
            <w:r>
              <w:rPr>
                <w:rFonts w:ascii="宋体" w:hAnsi="宋体" w:eastAsia="宋体" w:cs="宋体"/>
                <w:spacing w:val="7"/>
                <w:sz w:val="20"/>
                <w:szCs w:val="20"/>
              </w:rPr>
              <w:t>环水泵</w:t>
            </w:r>
          </w:p>
        </w:tc>
        <w:tc>
          <w:tcPr>
            <w:tcW w:w="1422" w:type="dxa"/>
            <w:vAlign w:val="top"/>
          </w:tcPr>
          <w:p w14:paraId="5277768C">
            <w:pPr>
              <w:spacing w:before="93" w:line="195" w:lineRule="auto"/>
              <w:ind w:left="65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422" w:type="dxa"/>
            <w:vAlign w:val="top"/>
          </w:tcPr>
          <w:p w14:paraId="42843A69">
            <w:pPr>
              <w:spacing w:before="93" w:line="195" w:lineRule="auto"/>
              <w:ind w:left="61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w:t>
            </w:r>
            <w:r>
              <w:rPr>
                <w:rFonts w:ascii="Times New Roman" w:hAnsi="Times New Roman" w:eastAsia="Times New Roman" w:cs="Times New Roman"/>
                <w:spacing w:val="-1"/>
                <w:sz w:val="20"/>
                <w:szCs w:val="20"/>
              </w:rPr>
              <w:t>0</w:t>
            </w:r>
          </w:p>
        </w:tc>
        <w:tc>
          <w:tcPr>
            <w:tcW w:w="1422" w:type="dxa"/>
            <w:vMerge w:val="continue"/>
            <w:tcBorders>
              <w:top w:val="nil"/>
            </w:tcBorders>
            <w:vAlign w:val="top"/>
          </w:tcPr>
          <w:p w14:paraId="2C6D4A70">
            <w:pPr>
              <w:rPr>
                <w:rFonts w:ascii="Arial"/>
                <w:sz w:val="21"/>
              </w:rPr>
            </w:pPr>
          </w:p>
        </w:tc>
        <w:tc>
          <w:tcPr>
            <w:tcW w:w="1419" w:type="dxa"/>
            <w:vMerge w:val="continue"/>
            <w:tcBorders>
              <w:top w:val="nil"/>
              <w:right w:val="nil"/>
            </w:tcBorders>
            <w:vAlign w:val="top"/>
          </w:tcPr>
          <w:p w14:paraId="79F49ADC">
            <w:pPr>
              <w:rPr>
                <w:rFonts w:ascii="Arial"/>
                <w:sz w:val="21"/>
              </w:rPr>
            </w:pPr>
          </w:p>
        </w:tc>
      </w:tr>
    </w:tbl>
    <w:p w14:paraId="400293EB">
      <w:pPr>
        <w:spacing w:line="259" w:lineRule="auto"/>
        <w:rPr>
          <w:rFonts w:ascii="Arial"/>
          <w:sz w:val="21"/>
        </w:rPr>
      </w:pPr>
    </w:p>
    <w:p w14:paraId="11CDC35B">
      <w:pPr>
        <w:spacing w:before="75" w:line="228" w:lineRule="auto"/>
        <w:ind w:left="613"/>
        <w:rPr>
          <w:rFonts w:ascii="宋体" w:hAnsi="宋体" w:eastAsia="宋体" w:cs="宋体"/>
          <w:sz w:val="23"/>
          <w:szCs w:val="23"/>
        </w:rPr>
      </w:pPr>
      <w:r>
        <w:rPr>
          <w:rFonts w:ascii="宋体" w:hAnsi="宋体" w:eastAsia="宋体" w:cs="宋体"/>
          <w:spacing w:val="23"/>
          <w:sz w:val="23"/>
          <w:szCs w:val="23"/>
        </w:rPr>
        <w:t>(</w:t>
      </w:r>
      <w:r>
        <w:rPr>
          <w:rFonts w:ascii="Times New Roman" w:hAnsi="Times New Roman" w:eastAsia="Times New Roman" w:cs="Times New Roman"/>
          <w:spacing w:val="16"/>
          <w:sz w:val="23"/>
          <w:szCs w:val="23"/>
        </w:rPr>
        <w:t>4</w:t>
      </w:r>
      <w:r>
        <w:rPr>
          <w:rFonts w:ascii="宋体" w:hAnsi="宋体" w:eastAsia="宋体" w:cs="宋体"/>
          <w:spacing w:val="16"/>
          <w:sz w:val="23"/>
          <w:szCs w:val="23"/>
        </w:rPr>
        <w:t>) 固体废物排放分析</w:t>
      </w:r>
    </w:p>
    <w:p w14:paraId="26B1CE32">
      <w:pPr>
        <w:spacing w:line="244" w:lineRule="auto"/>
        <w:rPr>
          <w:rFonts w:ascii="Arial"/>
          <w:sz w:val="21"/>
        </w:rPr>
      </w:pPr>
    </w:p>
    <w:p w14:paraId="3DF7EA82">
      <w:pPr>
        <w:spacing w:before="75" w:line="227" w:lineRule="auto"/>
        <w:ind w:left="606"/>
        <w:rPr>
          <w:rFonts w:ascii="宋体" w:hAnsi="宋体" w:eastAsia="宋体" w:cs="宋体"/>
          <w:sz w:val="23"/>
          <w:szCs w:val="23"/>
        </w:rPr>
      </w:pPr>
      <w:r>
        <w:rPr>
          <w:rFonts w:ascii="宋体" w:hAnsi="宋体" w:eastAsia="宋体" w:cs="宋体"/>
          <w:spacing w:val="12"/>
          <w:sz w:val="23"/>
          <w:szCs w:val="23"/>
        </w:rPr>
        <w:t>该项目固</w:t>
      </w:r>
      <w:r>
        <w:rPr>
          <w:rFonts w:ascii="宋体" w:hAnsi="宋体" w:eastAsia="宋体" w:cs="宋体"/>
          <w:spacing w:val="7"/>
          <w:sz w:val="23"/>
          <w:szCs w:val="23"/>
        </w:rPr>
        <w:t>体</w:t>
      </w:r>
      <w:r>
        <w:rPr>
          <w:rFonts w:ascii="宋体" w:hAnsi="宋体" w:eastAsia="宋体" w:cs="宋体"/>
          <w:spacing w:val="6"/>
          <w:sz w:val="23"/>
          <w:szCs w:val="23"/>
        </w:rPr>
        <w:t>废物主要为员工产生的生活垃圾、危险废物以及一般工业固体废</w:t>
      </w:r>
    </w:p>
    <w:p w14:paraId="66804AC4">
      <w:pPr>
        <w:spacing w:before="155" w:line="362" w:lineRule="auto"/>
        <w:ind w:left="136" w:right="126" w:hanging="14"/>
        <w:rPr>
          <w:rFonts w:ascii="宋体" w:hAnsi="宋体" w:eastAsia="宋体" w:cs="宋体"/>
          <w:sz w:val="23"/>
          <w:szCs w:val="23"/>
        </w:rPr>
      </w:pPr>
      <w:r>
        <w:rPr>
          <w:rFonts w:ascii="宋体" w:hAnsi="宋体" w:eastAsia="宋体" w:cs="宋体"/>
          <w:spacing w:val="26"/>
          <w:sz w:val="23"/>
          <w:szCs w:val="23"/>
        </w:rPr>
        <w:t>物</w:t>
      </w:r>
      <w:r>
        <w:rPr>
          <w:rFonts w:ascii="宋体" w:hAnsi="宋体" w:eastAsia="宋体" w:cs="宋体"/>
          <w:spacing w:val="20"/>
          <w:sz w:val="23"/>
          <w:szCs w:val="23"/>
        </w:rPr>
        <w:t>，</w:t>
      </w:r>
      <w:r>
        <w:rPr>
          <w:rFonts w:ascii="宋体" w:hAnsi="宋体" w:eastAsia="宋体" w:cs="宋体"/>
          <w:spacing w:val="13"/>
          <w:sz w:val="23"/>
          <w:szCs w:val="23"/>
        </w:rPr>
        <w:t>其中一般工业固体废物包括杂质、沉淀池污泥、废滤网、热风炉炉渣以及</w:t>
      </w:r>
      <w:r>
        <w:rPr>
          <w:rFonts w:ascii="宋体" w:hAnsi="宋体" w:eastAsia="宋体" w:cs="宋体"/>
          <w:sz w:val="23"/>
          <w:szCs w:val="23"/>
        </w:rPr>
        <w:t xml:space="preserve"> </w:t>
      </w:r>
      <w:r>
        <w:rPr>
          <w:rFonts w:ascii="宋体" w:hAnsi="宋体" w:eastAsia="宋体" w:cs="宋体"/>
          <w:spacing w:val="10"/>
          <w:sz w:val="23"/>
          <w:szCs w:val="23"/>
        </w:rPr>
        <w:t xml:space="preserve">除尘器收集的粉尘，危险废物主要为废活性炭、废 </w:t>
      </w:r>
      <w:r>
        <w:rPr>
          <w:rFonts w:ascii="Times New Roman" w:hAnsi="Times New Roman" w:eastAsia="Times New Roman" w:cs="Times New Roman"/>
          <w:sz w:val="23"/>
          <w:szCs w:val="23"/>
        </w:rPr>
        <w:t>uv</w:t>
      </w:r>
      <w:r>
        <w:rPr>
          <w:rFonts w:ascii="Times New Roman" w:hAnsi="Times New Roman" w:eastAsia="Times New Roman" w:cs="Times New Roman"/>
          <w:spacing w:val="10"/>
          <w:sz w:val="23"/>
          <w:szCs w:val="23"/>
        </w:rPr>
        <w:t xml:space="preserve"> </w:t>
      </w:r>
      <w:r>
        <w:rPr>
          <w:rFonts w:ascii="宋体" w:hAnsi="宋体" w:eastAsia="宋体" w:cs="宋体"/>
          <w:spacing w:val="10"/>
          <w:sz w:val="23"/>
          <w:szCs w:val="23"/>
        </w:rPr>
        <w:t>光解灯管</w:t>
      </w:r>
      <w:r>
        <w:rPr>
          <w:rFonts w:ascii="宋体" w:hAnsi="宋体" w:eastAsia="宋体" w:cs="宋体"/>
          <w:spacing w:val="9"/>
          <w:sz w:val="23"/>
          <w:szCs w:val="23"/>
        </w:rPr>
        <w:t>。</w:t>
      </w:r>
    </w:p>
    <w:p w14:paraId="7DE6BDD1">
      <w:pPr>
        <w:spacing w:before="135" w:line="225" w:lineRule="auto"/>
        <w:ind w:left="601"/>
        <w:rPr>
          <w:rFonts w:ascii="宋体" w:hAnsi="宋体" w:eastAsia="宋体" w:cs="宋体"/>
          <w:sz w:val="23"/>
          <w:szCs w:val="23"/>
        </w:rPr>
      </w:pPr>
      <w:r>
        <w:rPr>
          <w:rFonts w:ascii="宋体" w:hAnsi="宋体" w:eastAsia="宋体" w:cs="宋体"/>
          <w:spacing w:val="9"/>
          <w:sz w:val="23"/>
          <w:szCs w:val="23"/>
        </w:rPr>
        <w:t>①</w:t>
      </w:r>
      <w:r>
        <w:rPr>
          <w:rFonts w:ascii="宋体" w:hAnsi="宋体" w:eastAsia="宋体" w:cs="宋体"/>
          <w:spacing w:val="8"/>
          <w:sz w:val="23"/>
          <w:szCs w:val="23"/>
        </w:rPr>
        <w:t>生活垃圾</w:t>
      </w:r>
    </w:p>
    <w:p w14:paraId="345B7B8F">
      <w:pPr>
        <w:spacing w:before="271" w:line="367" w:lineRule="auto"/>
        <w:ind w:left="122" w:right="109" w:firstLine="483"/>
        <w:rPr>
          <w:rFonts w:ascii="宋体" w:hAnsi="宋体" w:eastAsia="宋体" w:cs="宋体"/>
          <w:sz w:val="23"/>
          <w:szCs w:val="23"/>
        </w:rPr>
      </w:pPr>
      <w:r>
        <w:rPr>
          <w:rFonts w:ascii="宋体" w:hAnsi="宋体" w:eastAsia="宋体" w:cs="宋体"/>
          <w:spacing w:val="4"/>
          <w:sz w:val="23"/>
          <w:szCs w:val="23"/>
        </w:rPr>
        <w:t>该项目职工生活垃圾人均产生量</w:t>
      </w:r>
      <w:r>
        <w:rPr>
          <w:rFonts w:ascii="宋体" w:hAnsi="宋体" w:eastAsia="宋体" w:cs="宋体"/>
          <w:spacing w:val="2"/>
          <w:sz w:val="23"/>
          <w:szCs w:val="23"/>
        </w:rPr>
        <w:t xml:space="preserve"> </w:t>
      </w:r>
      <w:r>
        <w:rPr>
          <w:rFonts w:ascii="Times New Roman" w:hAnsi="Times New Roman" w:eastAsia="Times New Roman" w:cs="Times New Roman"/>
          <w:spacing w:val="2"/>
          <w:sz w:val="23"/>
          <w:szCs w:val="23"/>
        </w:rPr>
        <w:t>0.5</w:t>
      </w:r>
      <w:r>
        <w:rPr>
          <w:rFonts w:ascii="Times New Roman" w:hAnsi="Times New Roman" w:eastAsia="Times New Roman" w:cs="Times New Roman"/>
          <w:sz w:val="23"/>
          <w:szCs w:val="23"/>
        </w:rPr>
        <w:t>kg</w:t>
      </w:r>
      <w:r>
        <w:rPr>
          <w:rFonts w:ascii="Times New Roman" w:hAnsi="Times New Roman" w:eastAsia="Times New Roman" w:cs="Times New Roman"/>
          <w:spacing w:val="2"/>
          <w:sz w:val="23"/>
          <w:szCs w:val="23"/>
        </w:rPr>
        <w:t>/</w:t>
      </w:r>
      <w:r>
        <w:rPr>
          <w:rFonts w:ascii="Times New Roman" w:hAnsi="Times New Roman" w:eastAsia="Times New Roman" w:cs="Times New Roman"/>
          <w:sz w:val="23"/>
          <w:szCs w:val="23"/>
        </w:rPr>
        <w:t>d</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 xml:space="preserve">，则产生量约 </w:t>
      </w:r>
      <w:r>
        <w:rPr>
          <w:rFonts w:ascii="Times New Roman" w:hAnsi="Times New Roman" w:eastAsia="Times New Roman" w:cs="Times New Roman"/>
          <w:spacing w:val="2"/>
          <w:sz w:val="23"/>
          <w:szCs w:val="23"/>
        </w:rPr>
        <w:t>12</w:t>
      </w:r>
      <w:r>
        <w:rPr>
          <w:rFonts w:ascii="Times New Roman" w:hAnsi="Times New Roman" w:eastAsia="Times New Roman" w:cs="Times New Roman"/>
          <w:sz w:val="23"/>
          <w:szCs w:val="23"/>
        </w:rPr>
        <w:t>t</w:t>
      </w:r>
      <w:r>
        <w:rPr>
          <w:rFonts w:ascii="Times New Roman" w:hAnsi="Times New Roman" w:eastAsia="Times New Roman" w:cs="Times New Roman"/>
          <w:spacing w:val="2"/>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，在厂区内设置</w:t>
      </w:r>
      <w:r>
        <w:rPr>
          <w:rFonts w:ascii="宋体" w:hAnsi="宋体" w:eastAsia="宋体" w:cs="宋体"/>
          <w:sz w:val="23"/>
          <w:szCs w:val="23"/>
        </w:rPr>
        <w:t xml:space="preserve"> </w:t>
      </w:r>
      <w:r>
        <w:rPr>
          <w:rFonts w:ascii="宋体" w:hAnsi="宋体" w:eastAsia="宋体" w:cs="宋体"/>
          <w:spacing w:val="9"/>
          <w:sz w:val="23"/>
          <w:szCs w:val="23"/>
        </w:rPr>
        <w:t>集</w:t>
      </w:r>
      <w:r>
        <w:rPr>
          <w:rFonts w:ascii="宋体" w:hAnsi="宋体" w:eastAsia="宋体" w:cs="宋体"/>
          <w:spacing w:val="7"/>
          <w:sz w:val="23"/>
          <w:szCs w:val="23"/>
        </w:rPr>
        <w:t>中收集垃圾箱，员工生活垃圾收集到指定垃圾箱内，随后运送至环卫部门指定</w:t>
      </w:r>
      <w:r>
        <w:rPr>
          <w:rFonts w:ascii="宋体" w:hAnsi="宋体" w:eastAsia="宋体" w:cs="宋体"/>
          <w:sz w:val="23"/>
          <w:szCs w:val="23"/>
        </w:rPr>
        <w:t xml:space="preserve"> </w:t>
      </w:r>
      <w:r>
        <w:rPr>
          <w:rFonts w:ascii="宋体" w:hAnsi="宋体" w:eastAsia="宋体" w:cs="宋体"/>
          <w:spacing w:val="8"/>
          <w:sz w:val="23"/>
          <w:szCs w:val="23"/>
        </w:rPr>
        <w:t>地</w:t>
      </w:r>
      <w:r>
        <w:rPr>
          <w:rFonts w:ascii="宋体" w:hAnsi="宋体" w:eastAsia="宋体" w:cs="宋体"/>
          <w:spacing w:val="7"/>
          <w:sz w:val="23"/>
          <w:szCs w:val="23"/>
        </w:rPr>
        <w:t>点统一处理。</w:t>
      </w:r>
    </w:p>
    <w:p w14:paraId="7ECFDAEC">
      <w:pPr>
        <w:spacing w:before="148" w:line="225" w:lineRule="auto"/>
        <w:ind w:left="600"/>
        <w:rPr>
          <w:rFonts w:ascii="宋体" w:hAnsi="宋体" w:eastAsia="宋体" w:cs="宋体"/>
          <w:sz w:val="23"/>
          <w:szCs w:val="23"/>
        </w:rPr>
      </w:pPr>
      <w:r>
        <w:rPr>
          <w:rFonts w:ascii="宋体" w:hAnsi="宋体" w:eastAsia="宋体" w:cs="宋体"/>
          <w:spacing w:val="8"/>
          <w:sz w:val="23"/>
          <w:szCs w:val="23"/>
        </w:rPr>
        <w:t>②</w:t>
      </w:r>
      <w:r>
        <w:rPr>
          <w:rFonts w:ascii="宋体" w:hAnsi="宋体" w:eastAsia="宋体" w:cs="宋体"/>
          <w:spacing w:val="7"/>
          <w:sz w:val="23"/>
          <w:szCs w:val="23"/>
        </w:rPr>
        <w:t>杂质</w:t>
      </w:r>
    </w:p>
    <w:p w14:paraId="6B233AAC">
      <w:pPr>
        <w:spacing w:before="316" w:line="358" w:lineRule="auto"/>
        <w:ind w:left="122" w:right="31" w:firstLine="483"/>
        <w:rPr>
          <w:rFonts w:ascii="宋体" w:hAnsi="宋体" w:eastAsia="宋体" w:cs="宋体"/>
          <w:sz w:val="23"/>
          <w:szCs w:val="23"/>
        </w:rPr>
      </w:pPr>
      <w:r>
        <w:rPr>
          <w:rFonts w:ascii="宋体" w:hAnsi="宋体" w:eastAsia="宋体" w:cs="宋体"/>
          <w:spacing w:val="12"/>
          <w:sz w:val="23"/>
          <w:szCs w:val="23"/>
        </w:rPr>
        <w:t>该项目为</w:t>
      </w:r>
      <w:r>
        <w:rPr>
          <w:rFonts w:ascii="宋体" w:hAnsi="宋体" w:eastAsia="宋体" w:cs="宋体"/>
          <w:spacing w:val="7"/>
          <w:sz w:val="23"/>
          <w:szCs w:val="23"/>
        </w:rPr>
        <w:t>了</w:t>
      </w:r>
      <w:r>
        <w:rPr>
          <w:rFonts w:ascii="宋体" w:hAnsi="宋体" w:eastAsia="宋体" w:cs="宋体"/>
          <w:spacing w:val="6"/>
          <w:sz w:val="23"/>
          <w:szCs w:val="23"/>
        </w:rPr>
        <w:t>保证产品质量，外购的废旧塑料编织袋投入生产之前需要进一步</w:t>
      </w:r>
      <w:r>
        <w:rPr>
          <w:rFonts w:ascii="宋体" w:hAnsi="宋体" w:eastAsia="宋体" w:cs="宋体"/>
          <w:sz w:val="23"/>
          <w:szCs w:val="23"/>
        </w:rPr>
        <w:t xml:space="preserve"> </w:t>
      </w:r>
      <w:r>
        <w:rPr>
          <w:rFonts w:ascii="宋体" w:hAnsi="宋体" w:eastAsia="宋体" w:cs="宋体"/>
          <w:spacing w:val="9"/>
          <w:sz w:val="23"/>
          <w:szCs w:val="23"/>
        </w:rPr>
        <w:t>人</w:t>
      </w:r>
      <w:r>
        <w:rPr>
          <w:rFonts w:ascii="宋体" w:hAnsi="宋体" w:eastAsia="宋体" w:cs="宋体"/>
          <w:spacing w:val="7"/>
          <w:sz w:val="23"/>
          <w:szCs w:val="23"/>
        </w:rPr>
        <w:t>工分选，通过人工分拣，主要将废旧编织袋中的非塑料杂质剔除，并按照塑料</w:t>
      </w:r>
      <w:r>
        <w:rPr>
          <w:rFonts w:ascii="宋体" w:hAnsi="宋体" w:eastAsia="宋体" w:cs="宋体"/>
          <w:sz w:val="23"/>
          <w:szCs w:val="23"/>
        </w:rPr>
        <w:t xml:space="preserve"> </w:t>
      </w:r>
      <w:r>
        <w:rPr>
          <w:rFonts w:ascii="宋体" w:hAnsi="宋体" w:eastAsia="宋体" w:cs="宋体"/>
          <w:spacing w:val="12"/>
          <w:sz w:val="23"/>
          <w:szCs w:val="23"/>
        </w:rPr>
        <w:t>种类、颜</w:t>
      </w:r>
      <w:r>
        <w:rPr>
          <w:rFonts w:ascii="宋体" w:hAnsi="宋体" w:eastAsia="宋体" w:cs="宋体"/>
          <w:spacing w:val="6"/>
          <w:sz w:val="23"/>
          <w:szCs w:val="23"/>
        </w:rPr>
        <w:t xml:space="preserve">色分开存放。根据建设单位提供资料，杂质含量约占原料总量的 </w:t>
      </w:r>
      <w:r>
        <w:rPr>
          <w:rFonts w:ascii="Times New Roman" w:hAnsi="Times New Roman" w:eastAsia="Times New Roman" w:cs="Times New Roman"/>
          <w:spacing w:val="6"/>
          <w:sz w:val="23"/>
          <w:szCs w:val="23"/>
        </w:rPr>
        <w:t xml:space="preserve">2% </w:t>
      </w:r>
      <w:r>
        <w:rPr>
          <w:rFonts w:ascii="宋体" w:hAnsi="宋体" w:eastAsia="宋体" w:cs="宋体"/>
          <w:spacing w:val="6"/>
          <w:sz w:val="23"/>
          <w:szCs w:val="23"/>
        </w:rPr>
        <w:t>，</w:t>
      </w:r>
      <w:r>
        <w:rPr>
          <w:rFonts w:ascii="宋体" w:hAnsi="宋体" w:eastAsia="宋体" w:cs="宋体"/>
          <w:sz w:val="23"/>
          <w:szCs w:val="23"/>
        </w:rPr>
        <w:t xml:space="preserve"> </w:t>
      </w:r>
      <w:r>
        <w:rPr>
          <w:rFonts w:ascii="宋体" w:hAnsi="宋体" w:eastAsia="宋体" w:cs="宋体"/>
          <w:spacing w:val="10"/>
          <w:sz w:val="23"/>
          <w:szCs w:val="23"/>
        </w:rPr>
        <w:t>则杂质产</w:t>
      </w:r>
      <w:r>
        <w:rPr>
          <w:rFonts w:ascii="宋体" w:hAnsi="宋体" w:eastAsia="宋体" w:cs="宋体"/>
          <w:spacing w:val="7"/>
          <w:sz w:val="23"/>
          <w:szCs w:val="23"/>
        </w:rPr>
        <w:t>生</w:t>
      </w:r>
      <w:r>
        <w:rPr>
          <w:rFonts w:ascii="宋体" w:hAnsi="宋体" w:eastAsia="宋体" w:cs="宋体"/>
          <w:spacing w:val="5"/>
          <w:sz w:val="23"/>
          <w:szCs w:val="23"/>
        </w:rPr>
        <w:t xml:space="preserve">量约为 </w:t>
      </w:r>
      <w:r>
        <w:rPr>
          <w:rFonts w:ascii="Times New Roman" w:hAnsi="Times New Roman" w:eastAsia="Times New Roman" w:cs="Times New Roman"/>
          <w:spacing w:val="5"/>
          <w:sz w:val="23"/>
          <w:szCs w:val="23"/>
        </w:rPr>
        <w:t>1022</w:t>
      </w:r>
      <w:r>
        <w:rPr>
          <w:rFonts w:ascii="Times New Roman" w:hAnsi="Times New Roman" w:eastAsia="Times New Roman" w:cs="Times New Roman"/>
          <w:sz w:val="23"/>
          <w:szCs w:val="23"/>
        </w:rPr>
        <w:t>t</w:t>
      </w:r>
      <w:r>
        <w:rPr>
          <w:rFonts w:ascii="Times New Roman" w:hAnsi="Times New Roman" w:eastAsia="Times New Roman" w:cs="Times New Roman"/>
          <w:spacing w:val="5"/>
          <w:sz w:val="23"/>
          <w:szCs w:val="23"/>
        </w:rPr>
        <w:t>/</w:t>
      </w:r>
      <w:r>
        <w:rPr>
          <w:rFonts w:ascii="Times New Roman" w:hAnsi="Times New Roman" w:eastAsia="Times New Roman" w:cs="Times New Roman"/>
          <w:sz w:val="23"/>
          <w:szCs w:val="23"/>
        </w:rPr>
        <w:t>a</w:t>
      </w:r>
      <w:r>
        <w:rPr>
          <w:rFonts w:ascii="宋体" w:hAnsi="宋体" w:eastAsia="宋体" w:cs="宋体"/>
          <w:spacing w:val="5"/>
          <w:sz w:val="23"/>
          <w:szCs w:val="23"/>
        </w:rPr>
        <w:t>，与生活垃圾统一运送至环卫部门指定地点统一处理。</w:t>
      </w:r>
    </w:p>
    <w:p w14:paraId="0BE0E646">
      <w:pPr>
        <w:spacing w:before="164" w:line="225" w:lineRule="auto"/>
        <w:ind w:left="600"/>
        <w:rPr>
          <w:rFonts w:ascii="宋体" w:hAnsi="宋体" w:eastAsia="宋体" w:cs="宋体"/>
          <w:sz w:val="23"/>
          <w:szCs w:val="23"/>
        </w:rPr>
      </w:pPr>
      <w:r>
        <w:rPr>
          <w:rFonts w:ascii="宋体" w:hAnsi="宋体" w:eastAsia="宋体" w:cs="宋体"/>
          <w:spacing w:val="12"/>
          <w:sz w:val="23"/>
          <w:szCs w:val="23"/>
        </w:rPr>
        <w:t>③</w:t>
      </w:r>
      <w:r>
        <w:rPr>
          <w:rFonts w:ascii="宋体" w:hAnsi="宋体" w:eastAsia="宋体" w:cs="宋体"/>
          <w:spacing w:val="8"/>
          <w:sz w:val="23"/>
          <w:szCs w:val="23"/>
        </w:rPr>
        <w:t>沉淀池污泥</w:t>
      </w:r>
    </w:p>
    <w:p w14:paraId="74822B12">
      <w:pPr>
        <w:spacing w:line="281" w:lineRule="auto"/>
        <w:rPr>
          <w:rFonts w:ascii="Arial"/>
          <w:sz w:val="21"/>
        </w:rPr>
      </w:pPr>
    </w:p>
    <w:p w14:paraId="244DD2D0">
      <w:pPr>
        <w:spacing w:before="75" w:line="388" w:lineRule="auto"/>
        <w:ind w:left="121" w:right="10" w:firstLine="487"/>
        <w:rPr>
          <w:rFonts w:ascii="宋体" w:hAnsi="宋体" w:eastAsia="宋体" w:cs="宋体"/>
          <w:sz w:val="23"/>
          <w:szCs w:val="23"/>
        </w:rPr>
      </w:pPr>
      <w:r>
        <w:rPr>
          <w:rFonts w:ascii="宋体" w:hAnsi="宋体" w:eastAsia="宋体" w:cs="宋体"/>
          <w:spacing w:val="2"/>
          <w:sz w:val="23"/>
          <w:szCs w:val="23"/>
        </w:rPr>
        <w:t xml:space="preserve">该设有 </w:t>
      </w:r>
      <w:r>
        <w:rPr>
          <w:rFonts w:ascii="Times New Roman" w:hAnsi="Times New Roman" w:eastAsia="Times New Roman" w:cs="Times New Roman"/>
          <w:spacing w:val="2"/>
          <w:sz w:val="23"/>
          <w:szCs w:val="23"/>
        </w:rPr>
        <w:t xml:space="preserve">1 </w:t>
      </w:r>
      <w:r>
        <w:rPr>
          <w:rFonts w:ascii="宋体" w:hAnsi="宋体" w:eastAsia="宋体" w:cs="宋体"/>
          <w:spacing w:val="2"/>
          <w:sz w:val="23"/>
          <w:szCs w:val="23"/>
        </w:rPr>
        <w:t xml:space="preserve">座容积为 </w:t>
      </w:r>
      <w:r>
        <w:rPr>
          <w:rFonts w:ascii="Times New Roman" w:hAnsi="Times New Roman" w:eastAsia="Times New Roman" w:cs="Times New Roman"/>
          <w:spacing w:val="2"/>
          <w:sz w:val="23"/>
          <w:szCs w:val="23"/>
        </w:rPr>
        <w:t>32</w:t>
      </w:r>
      <w:r>
        <w:rPr>
          <w:rFonts w:ascii="Times New Roman" w:hAnsi="Times New Roman" w:eastAsia="Times New Roman" w:cs="Times New Roman"/>
          <w:spacing w:val="1"/>
          <w:sz w:val="23"/>
          <w:szCs w:val="23"/>
        </w:rPr>
        <w:t>4</w:t>
      </w:r>
      <w:r>
        <w:rPr>
          <w:rFonts w:ascii="Times New Roman" w:hAnsi="Times New Roman" w:eastAsia="Times New Roman" w:cs="Times New Roman"/>
          <w:sz w:val="23"/>
          <w:szCs w:val="23"/>
        </w:rPr>
        <w:t>m</w:t>
      </w:r>
      <w:r>
        <w:rPr>
          <w:rFonts w:ascii="Times New Roman" w:hAnsi="Times New Roman" w:eastAsia="Times New Roman" w:cs="Times New Roman"/>
          <w:spacing w:val="1"/>
          <w:position w:val="8"/>
          <w:sz w:val="15"/>
          <w:szCs w:val="15"/>
        </w:rPr>
        <w:t xml:space="preserve">3 </w:t>
      </w:r>
      <w:r>
        <w:rPr>
          <w:rFonts w:ascii="宋体" w:hAnsi="宋体" w:eastAsia="宋体" w:cs="宋体"/>
          <w:spacing w:val="1"/>
          <w:sz w:val="23"/>
          <w:szCs w:val="23"/>
        </w:rPr>
        <w:t>的三级沉淀池 (</w:t>
      </w:r>
      <w:r>
        <w:rPr>
          <w:rFonts w:ascii="Times New Roman" w:hAnsi="Times New Roman" w:eastAsia="Times New Roman" w:cs="Times New Roman"/>
          <w:spacing w:val="1"/>
          <w:sz w:val="23"/>
          <w:szCs w:val="23"/>
        </w:rPr>
        <w:t>12</w:t>
      </w:r>
      <w:r>
        <w:rPr>
          <w:rFonts w:ascii="Times New Roman" w:hAnsi="Times New Roman" w:eastAsia="Times New Roman" w:cs="Times New Roman"/>
          <w:sz w:val="23"/>
          <w:szCs w:val="23"/>
        </w:rPr>
        <w:t>m</w:t>
      </w:r>
      <w:r>
        <w:rPr>
          <w:rFonts w:ascii="Times New Roman" w:hAnsi="Times New Roman" w:eastAsia="Times New Roman" w:cs="Times New Roman"/>
          <w:spacing w:val="1"/>
          <w:sz w:val="23"/>
          <w:szCs w:val="23"/>
        </w:rPr>
        <w:t>×6</w:t>
      </w:r>
      <w:r>
        <w:rPr>
          <w:rFonts w:ascii="Times New Roman" w:hAnsi="Times New Roman" w:eastAsia="Times New Roman" w:cs="Times New Roman"/>
          <w:sz w:val="23"/>
          <w:szCs w:val="23"/>
        </w:rPr>
        <w:t>m</w:t>
      </w:r>
      <w:r>
        <w:rPr>
          <w:rFonts w:ascii="Times New Roman" w:hAnsi="Times New Roman" w:eastAsia="Times New Roman" w:cs="Times New Roman"/>
          <w:spacing w:val="1"/>
          <w:sz w:val="23"/>
          <w:szCs w:val="23"/>
        </w:rPr>
        <w:t>×4.5</w:t>
      </w:r>
      <w:r>
        <w:rPr>
          <w:rFonts w:ascii="Times New Roman" w:hAnsi="Times New Roman" w:eastAsia="Times New Roman" w:cs="Times New Roman"/>
          <w:sz w:val="23"/>
          <w:szCs w:val="23"/>
        </w:rPr>
        <w:t>m</w:t>
      </w:r>
      <w:r>
        <w:rPr>
          <w:rFonts w:ascii="宋体" w:hAnsi="宋体" w:eastAsia="宋体" w:cs="宋体"/>
          <w:spacing w:val="1"/>
          <w:sz w:val="23"/>
          <w:szCs w:val="23"/>
        </w:rPr>
        <w:t>) ，位于生产厂房西</w:t>
      </w:r>
      <w:r>
        <w:rPr>
          <w:rFonts w:ascii="宋体" w:hAnsi="宋体" w:eastAsia="宋体" w:cs="宋体"/>
          <w:sz w:val="23"/>
          <w:szCs w:val="23"/>
        </w:rPr>
        <w:t xml:space="preserve"> </w:t>
      </w:r>
      <w:r>
        <w:rPr>
          <w:rFonts w:ascii="宋体" w:hAnsi="宋体" w:eastAsia="宋体" w:cs="宋体"/>
          <w:spacing w:val="5"/>
          <w:sz w:val="23"/>
          <w:szCs w:val="23"/>
        </w:rPr>
        <w:t>南侧，生产废水经一体化污水预处理设备处理后排入三级沉淀池(</w:t>
      </w:r>
      <w:r>
        <w:rPr>
          <w:rFonts w:ascii="Times New Roman" w:hAnsi="Times New Roman" w:eastAsia="Times New Roman" w:cs="Times New Roman"/>
          <w:spacing w:val="5"/>
          <w:sz w:val="23"/>
          <w:szCs w:val="23"/>
        </w:rPr>
        <w:t>12</w:t>
      </w:r>
      <w:r>
        <w:rPr>
          <w:rFonts w:ascii="Times New Roman" w:hAnsi="Times New Roman" w:eastAsia="Times New Roman" w:cs="Times New Roman"/>
          <w:sz w:val="23"/>
          <w:szCs w:val="23"/>
        </w:rPr>
        <w:t>m</w:t>
      </w:r>
      <w:r>
        <w:rPr>
          <w:rFonts w:ascii="Times New Roman" w:hAnsi="Times New Roman" w:eastAsia="Times New Roman" w:cs="Times New Roman"/>
          <w:spacing w:val="5"/>
          <w:sz w:val="23"/>
          <w:szCs w:val="23"/>
        </w:rPr>
        <w:t>×6</w:t>
      </w:r>
      <w:r>
        <w:rPr>
          <w:rFonts w:ascii="Times New Roman" w:hAnsi="Times New Roman" w:eastAsia="Times New Roman" w:cs="Times New Roman"/>
          <w:sz w:val="23"/>
          <w:szCs w:val="23"/>
        </w:rPr>
        <w:t>m</w:t>
      </w:r>
      <w:r>
        <w:rPr>
          <w:rFonts w:ascii="Times New Roman" w:hAnsi="Times New Roman" w:eastAsia="Times New Roman" w:cs="Times New Roman"/>
          <w:spacing w:val="5"/>
          <w:sz w:val="23"/>
          <w:szCs w:val="23"/>
        </w:rPr>
        <w:t>×4.5</w:t>
      </w:r>
      <w:r>
        <w:rPr>
          <w:rFonts w:ascii="Times New Roman" w:hAnsi="Times New Roman" w:eastAsia="Times New Roman" w:cs="Times New Roman"/>
          <w:sz w:val="23"/>
          <w:szCs w:val="23"/>
        </w:rPr>
        <w:t>m</w:t>
      </w:r>
      <w:r>
        <w:rPr>
          <w:rFonts w:ascii="宋体" w:hAnsi="宋体" w:eastAsia="宋体" w:cs="宋体"/>
          <w:sz w:val="23"/>
          <w:szCs w:val="23"/>
        </w:rPr>
        <w:t xml:space="preserve">) </w:t>
      </w:r>
      <w:r>
        <w:rPr>
          <w:rFonts w:ascii="宋体" w:hAnsi="宋体" w:eastAsia="宋体" w:cs="宋体"/>
          <w:spacing w:val="8"/>
          <w:sz w:val="23"/>
          <w:szCs w:val="23"/>
        </w:rPr>
        <w:t>沉</w:t>
      </w:r>
      <w:r>
        <w:rPr>
          <w:rFonts w:ascii="宋体" w:hAnsi="宋体" w:eastAsia="宋体" w:cs="宋体"/>
          <w:spacing w:val="5"/>
          <w:sz w:val="23"/>
          <w:szCs w:val="23"/>
        </w:rPr>
        <w:t xml:space="preserve">淀处理，随后循环使用。污水处理设施废水每月更换 </w:t>
      </w:r>
      <w:r>
        <w:rPr>
          <w:rFonts w:ascii="Times New Roman" w:hAnsi="Times New Roman" w:eastAsia="Times New Roman" w:cs="Times New Roman"/>
          <w:spacing w:val="5"/>
          <w:sz w:val="23"/>
          <w:szCs w:val="23"/>
        </w:rPr>
        <w:t xml:space="preserve">1 </w:t>
      </w:r>
      <w:r>
        <w:rPr>
          <w:rFonts w:ascii="宋体" w:hAnsi="宋体" w:eastAsia="宋体" w:cs="宋体"/>
          <w:spacing w:val="5"/>
          <w:sz w:val="23"/>
          <w:szCs w:val="23"/>
        </w:rPr>
        <w:t>次，则该项目全年更换</w:t>
      </w:r>
      <w:r>
        <w:rPr>
          <w:rFonts w:ascii="宋体" w:hAnsi="宋体" w:eastAsia="宋体" w:cs="宋体"/>
          <w:sz w:val="23"/>
          <w:szCs w:val="23"/>
        </w:rPr>
        <w:t xml:space="preserve"> </w:t>
      </w:r>
      <w:r>
        <w:rPr>
          <w:rFonts w:ascii="宋体" w:hAnsi="宋体" w:eastAsia="宋体" w:cs="宋体"/>
          <w:spacing w:val="1"/>
          <w:sz w:val="23"/>
          <w:szCs w:val="23"/>
        </w:rPr>
        <w:t xml:space="preserve">废水量为 </w:t>
      </w:r>
      <w:r>
        <w:rPr>
          <w:rFonts w:ascii="Times New Roman" w:hAnsi="Times New Roman" w:eastAsia="Times New Roman" w:cs="Times New Roman"/>
          <w:spacing w:val="1"/>
          <w:sz w:val="23"/>
          <w:szCs w:val="23"/>
        </w:rPr>
        <w:t>1523.52</w:t>
      </w:r>
      <w:r>
        <w:rPr>
          <w:rFonts w:ascii="Times New Roman" w:hAnsi="Times New Roman" w:eastAsia="Times New Roman" w:cs="Times New Roman"/>
          <w:sz w:val="23"/>
          <w:szCs w:val="23"/>
        </w:rPr>
        <w:t>m</w:t>
      </w:r>
      <w:r>
        <w:rPr>
          <w:rFonts w:ascii="Times New Roman" w:hAnsi="Times New Roman" w:eastAsia="Times New Roman" w:cs="Times New Roman"/>
          <w:spacing w:val="1"/>
          <w:position w:val="8"/>
          <w:sz w:val="15"/>
          <w:szCs w:val="15"/>
        </w:rPr>
        <w:t xml:space="preserve">3 </w:t>
      </w:r>
      <w:r>
        <w:rPr>
          <w:rFonts w:ascii="宋体" w:hAnsi="宋体" w:eastAsia="宋体" w:cs="宋体"/>
          <w:spacing w:val="1"/>
          <w:sz w:val="23"/>
          <w:szCs w:val="23"/>
        </w:rPr>
        <w:t>，更换过程产生的废水经</w:t>
      </w:r>
      <w:r>
        <w:rPr>
          <w:rFonts w:ascii="宋体" w:hAnsi="宋体" w:eastAsia="宋体" w:cs="宋体"/>
          <w:sz w:val="23"/>
          <w:szCs w:val="23"/>
        </w:rPr>
        <w:t xml:space="preserve">吸污车运送至本溪市科态污水处理有 </w:t>
      </w:r>
      <w:r>
        <w:rPr>
          <w:rFonts w:ascii="宋体" w:hAnsi="宋体" w:eastAsia="宋体" w:cs="宋体"/>
          <w:spacing w:val="7"/>
          <w:sz w:val="23"/>
          <w:szCs w:val="23"/>
        </w:rPr>
        <w:t>限责任公司统一处理。该项目生产废水处理过程将产生一定量污泥，污泥量按照</w:t>
      </w:r>
    </w:p>
    <w:p w14:paraId="454F01FF">
      <w:pPr>
        <w:sectPr>
          <w:headerReference r:id="rId139" w:type="default"/>
          <w:footerReference r:id="rId140" w:type="default"/>
          <w:pgSz w:w="11906" w:h="16839"/>
          <w:pgMar w:top="1132" w:right="1687" w:bottom="1182" w:left="1686" w:header="878" w:footer="1022" w:gutter="0"/>
          <w:cols w:space="720" w:num="1"/>
        </w:sectPr>
      </w:pPr>
    </w:p>
    <w:p w14:paraId="53369596">
      <w:pPr>
        <w:spacing w:line="408" w:lineRule="auto"/>
        <w:rPr>
          <w:rFonts w:ascii="Arial"/>
          <w:sz w:val="21"/>
        </w:rPr>
      </w:pPr>
      <w:r>
        <w:pict>
          <v:shape id="_x0000_s1204" o:spid="_x0000_s1204" style="position:absolute;left:0pt;margin-left:90pt;margin-top:57.35pt;height:0.75pt;width:415.3pt;mso-position-horizontal-relative:page;mso-position-vertical-relative:page;z-index:251855872;mso-width-relative:page;mso-height-relative:page;" fillcolor="#000000" filled="t" stroked="f" coordsize="8305,15" o:allowincell="f" path="m0,0l8305,0,8305,14,0,14,0,0xe">
            <v:path/>
            <v:fill on="t" focussize="0,0"/>
            <v:stroke on="f"/>
            <v:imagedata o:title=""/>
            <o:lock v:ext="edit"/>
          </v:shape>
        </w:pict>
      </w:r>
    </w:p>
    <w:p w14:paraId="52A7A5D5">
      <w:pPr>
        <w:spacing w:before="75" w:line="226" w:lineRule="auto"/>
        <w:ind w:left="30"/>
        <w:rPr>
          <w:rFonts w:ascii="宋体" w:hAnsi="宋体" w:eastAsia="宋体" w:cs="宋体"/>
          <w:sz w:val="23"/>
          <w:szCs w:val="23"/>
        </w:rPr>
      </w:pPr>
      <w:r>
        <w:rPr>
          <w:rFonts w:ascii="宋体" w:hAnsi="宋体" w:eastAsia="宋体" w:cs="宋体"/>
          <w:spacing w:val="7"/>
          <w:sz w:val="23"/>
          <w:szCs w:val="23"/>
        </w:rPr>
        <w:t>下</w:t>
      </w:r>
      <w:r>
        <w:rPr>
          <w:rFonts w:ascii="宋体" w:hAnsi="宋体" w:eastAsia="宋体" w:cs="宋体"/>
          <w:spacing w:val="4"/>
          <w:sz w:val="23"/>
          <w:szCs w:val="23"/>
        </w:rPr>
        <w:t>式估算：</w:t>
      </w:r>
    </w:p>
    <w:p w14:paraId="6601E557">
      <w:pPr>
        <w:spacing w:line="243" w:lineRule="auto"/>
        <w:rPr>
          <w:rFonts w:ascii="Arial"/>
          <w:sz w:val="21"/>
        </w:rPr>
      </w:pPr>
    </w:p>
    <w:p w14:paraId="3340CB69">
      <w:pPr>
        <w:spacing w:before="66" w:line="323" w:lineRule="exact"/>
        <w:ind w:left="1217"/>
        <w:rPr>
          <w:rFonts w:ascii="Times New Roman" w:hAnsi="Times New Roman" w:eastAsia="Times New Roman" w:cs="Times New Roman"/>
          <w:sz w:val="15"/>
          <w:szCs w:val="15"/>
        </w:rPr>
      </w:pPr>
      <w:r>
        <w:rPr>
          <w:rFonts w:ascii="Times New Roman" w:hAnsi="Times New Roman" w:eastAsia="Times New Roman" w:cs="Times New Roman"/>
          <w:spacing w:val="-2"/>
          <w:position w:val="4"/>
          <w:sz w:val="23"/>
          <w:szCs w:val="23"/>
        </w:rPr>
        <w:t>W</w:t>
      </w:r>
      <w:r>
        <w:rPr>
          <w:rFonts w:ascii="Times New Roman" w:hAnsi="Times New Roman" w:eastAsia="Times New Roman" w:cs="Times New Roman"/>
          <w:spacing w:val="-4"/>
          <w:position w:val="4"/>
          <w:sz w:val="23"/>
          <w:szCs w:val="23"/>
        </w:rPr>
        <w:t>=</w:t>
      </w:r>
      <w:r>
        <w:rPr>
          <w:rFonts w:ascii="Times New Roman" w:hAnsi="Times New Roman" w:eastAsia="Times New Roman" w:cs="Times New Roman"/>
          <w:spacing w:val="-2"/>
          <w:position w:val="4"/>
          <w:sz w:val="23"/>
          <w:szCs w:val="23"/>
        </w:rPr>
        <w:t>Q</w:t>
      </w:r>
      <w:r>
        <w:rPr>
          <w:rFonts w:ascii="Times New Roman" w:hAnsi="Times New Roman" w:eastAsia="Times New Roman" w:cs="Times New Roman"/>
          <w:spacing w:val="-4"/>
          <w:position w:val="4"/>
          <w:sz w:val="23"/>
          <w:szCs w:val="23"/>
        </w:rPr>
        <w:t>·(</w:t>
      </w:r>
      <w:r>
        <w:rPr>
          <w:rFonts w:ascii="Times New Roman" w:hAnsi="Times New Roman" w:eastAsia="Times New Roman" w:cs="Times New Roman"/>
          <w:spacing w:val="-2"/>
          <w:position w:val="4"/>
          <w:sz w:val="23"/>
          <w:szCs w:val="23"/>
        </w:rPr>
        <w:t>C</w:t>
      </w:r>
      <w:r>
        <w:rPr>
          <w:rFonts w:ascii="Times New Roman" w:hAnsi="Times New Roman" w:eastAsia="Times New Roman" w:cs="Times New Roman"/>
          <w:spacing w:val="-4"/>
          <w:position w:val="4"/>
          <w:sz w:val="23"/>
          <w:szCs w:val="23"/>
        </w:rPr>
        <w:t>1</w:t>
      </w:r>
      <w:r>
        <w:rPr>
          <w:rFonts w:ascii="Times New Roman" w:hAnsi="Times New Roman" w:eastAsia="Times New Roman" w:cs="Times New Roman"/>
          <w:spacing w:val="-3"/>
          <w:position w:val="4"/>
          <w:sz w:val="23"/>
          <w:szCs w:val="23"/>
        </w:rPr>
        <w:t>-</w:t>
      </w:r>
      <w:r>
        <w:rPr>
          <w:rFonts w:ascii="Times New Roman" w:hAnsi="Times New Roman" w:eastAsia="Times New Roman" w:cs="Times New Roman"/>
          <w:spacing w:val="-2"/>
          <w:position w:val="4"/>
          <w:sz w:val="23"/>
          <w:szCs w:val="23"/>
        </w:rPr>
        <w:t>C2) · 10</w:t>
      </w:r>
      <w:r>
        <w:rPr>
          <w:rFonts w:ascii="Times New Roman" w:hAnsi="Times New Roman" w:eastAsia="Times New Roman" w:cs="Times New Roman"/>
          <w:spacing w:val="-2"/>
          <w:position w:val="11"/>
          <w:sz w:val="15"/>
          <w:szCs w:val="15"/>
        </w:rPr>
        <w:t>-6</w:t>
      </w:r>
    </w:p>
    <w:p w14:paraId="4EC618A3">
      <w:pPr>
        <w:spacing w:before="313" w:line="322" w:lineRule="exact"/>
        <w:ind w:left="508"/>
        <w:rPr>
          <w:rFonts w:ascii="宋体" w:hAnsi="宋体" w:eastAsia="宋体" w:cs="宋体"/>
          <w:sz w:val="23"/>
          <w:szCs w:val="23"/>
        </w:rPr>
      </w:pPr>
      <w:r>
        <w:rPr>
          <w:rFonts w:ascii="宋体" w:hAnsi="宋体" w:eastAsia="宋体" w:cs="宋体"/>
          <w:spacing w:val="9"/>
          <w:position w:val="1"/>
          <w:sz w:val="23"/>
          <w:szCs w:val="23"/>
        </w:rPr>
        <w:t>式中：</w:t>
      </w:r>
      <w:r>
        <w:rPr>
          <w:rFonts w:ascii="Times New Roman" w:hAnsi="Times New Roman" w:eastAsia="Times New Roman" w:cs="Times New Roman"/>
          <w:position w:val="1"/>
          <w:sz w:val="23"/>
          <w:szCs w:val="23"/>
        </w:rPr>
        <w:t>W</w:t>
      </w:r>
      <w:r>
        <w:rPr>
          <w:rFonts w:ascii="Times New Roman" w:hAnsi="Times New Roman" w:eastAsia="Times New Roman" w:cs="Times New Roman"/>
          <w:spacing w:val="9"/>
          <w:position w:val="1"/>
          <w:sz w:val="23"/>
          <w:szCs w:val="23"/>
        </w:rPr>
        <w:t>——</w:t>
      </w:r>
      <w:r>
        <w:rPr>
          <w:rFonts w:ascii="宋体" w:hAnsi="宋体" w:eastAsia="宋体" w:cs="宋体"/>
          <w:spacing w:val="9"/>
          <w:position w:val="1"/>
          <w:sz w:val="23"/>
          <w:szCs w:val="23"/>
        </w:rPr>
        <w:t>沉淀污泥产生量，</w:t>
      </w:r>
      <w:r>
        <w:rPr>
          <w:rFonts w:ascii="Times New Roman" w:hAnsi="Times New Roman" w:eastAsia="Times New Roman" w:cs="Times New Roman"/>
          <w:position w:val="1"/>
          <w:sz w:val="23"/>
          <w:szCs w:val="23"/>
        </w:rPr>
        <w:t>t</w:t>
      </w:r>
      <w:r>
        <w:rPr>
          <w:rFonts w:ascii="Times New Roman" w:hAnsi="Times New Roman" w:eastAsia="Times New Roman" w:cs="Times New Roman"/>
          <w:spacing w:val="9"/>
          <w:position w:val="1"/>
          <w:sz w:val="23"/>
          <w:szCs w:val="23"/>
        </w:rPr>
        <w:t>/</w:t>
      </w:r>
      <w:r>
        <w:rPr>
          <w:rFonts w:ascii="Times New Roman" w:hAnsi="Times New Roman" w:eastAsia="Times New Roman" w:cs="Times New Roman"/>
          <w:position w:val="1"/>
          <w:sz w:val="23"/>
          <w:szCs w:val="23"/>
        </w:rPr>
        <w:t>a</w:t>
      </w:r>
      <w:r>
        <w:rPr>
          <w:rFonts w:ascii="宋体" w:hAnsi="宋体" w:eastAsia="宋体" w:cs="宋体"/>
          <w:spacing w:val="9"/>
          <w:position w:val="1"/>
          <w:sz w:val="23"/>
          <w:szCs w:val="23"/>
        </w:rPr>
        <w:t>；</w:t>
      </w:r>
    </w:p>
    <w:p w14:paraId="7D910752">
      <w:pPr>
        <w:spacing w:before="157" w:line="323" w:lineRule="exact"/>
        <w:ind w:left="1224"/>
        <w:rPr>
          <w:rFonts w:ascii="宋体" w:hAnsi="宋体" w:eastAsia="宋体" w:cs="宋体"/>
          <w:sz w:val="23"/>
          <w:szCs w:val="23"/>
        </w:rPr>
      </w:pPr>
      <w:r>
        <w:rPr>
          <w:rFonts w:ascii="Times New Roman" w:hAnsi="Times New Roman" w:eastAsia="Times New Roman" w:cs="Times New Roman"/>
          <w:position w:val="2"/>
          <w:sz w:val="23"/>
          <w:szCs w:val="23"/>
        </w:rPr>
        <w:t>Q</w:t>
      </w:r>
      <w:r>
        <w:rPr>
          <w:rFonts w:ascii="Times New Roman" w:hAnsi="Times New Roman" w:eastAsia="Times New Roman" w:cs="Times New Roman"/>
          <w:spacing w:val="12"/>
          <w:position w:val="2"/>
          <w:sz w:val="23"/>
          <w:szCs w:val="23"/>
        </w:rPr>
        <w:t>—</w:t>
      </w:r>
      <w:r>
        <w:rPr>
          <w:rFonts w:ascii="Times New Roman" w:hAnsi="Times New Roman" w:eastAsia="Times New Roman" w:cs="Times New Roman"/>
          <w:spacing w:val="7"/>
          <w:position w:val="2"/>
          <w:sz w:val="23"/>
          <w:szCs w:val="23"/>
        </w:rPr>
        <w:t>—</w:t>
      </w:r>
      <w:r>
        <w:rPr>
          <w:rFonts w:ascii="宋体" w:hAnsi="宋体" w:eastAsia="宋体" w:cs="宋体"/>
          <w:spacing w:val="7"/>
          <w:position w:val="2"/>
          <w:sz w:val="23"/>
          <w:szCs w:val="23"/>
        </w:rPr>
        <w:t>废水处理量，</w:t>
      </w:r>
      <w:r>
        <w:rPr>
          <w:rFonts w:ascii="Times New Roman" w:hAnsi="Times New Roman" w:eastAsia="Times New Roman" w:cs="Times New Roman"/>
          <w:spacing w:val="7"/>
          <w:position w:val="2"/>
          <w:sz w:val="23"/>
          <w:szCs w:val="23"/>
        </w:rPr>
        <w:t>126.96</w:t>
      </w:r>
      <w:r>
        <w:rPr>
          <w:rFonts w:ascii="Times New Roman" w:hAnsi="Times New Roman" w:eastAsia="Times New Roman" w:cs="Times New Roman"/>
          <w:position w:val="2"/>
          <w:sz w:val="23"/>
          <w:szCs w:val="23"/>
        </w:rPr>
        <w:t>t</w:t>
      </w:r>
      <w:r>
        <w:rPr>
          <w:rFonts w:ascii="Times New Roman" w:hAnsi="Times New Roman" w:eastAsia="Times New Roman" w:cs="Times New Roman"/>
          <w:spacing w:val="7"/>
          <w:position w:val="2"/>
          <w:sz w:val="23"/>
          <w:szCs w:val="23"/>
        </w:rPr>
        <w:t>/</w:t>
      </w:r>
      <w:r>
        <w:rPr>
          <w:rFonts w:ascii="Times New Roman" w:hAnsi="Times New Roman" w:eastAsia="Times New Roman" w:cs="Times New Roman"/>
          <w:position w:val="2"/>
          <w:sz w:val="23"/>
          <w:szCs w:val="23"/>
        </w:rPr>
        <w:t>d</w:t>
      </w:r>
      <w:r>
        <w:rPr>
          <w:rFonts w:ascii="宋体" w:hAnsi="宋体" w:eastAsia="宋体" w:cs="宋体"/>
          <w:spacing w:val="7"/>
          <w:position w:val="2"/>
          <w:sz w:val="23"/>
          <w:szCs w:val="23"/>
        </w:rPr>
        <w:t>；</w:t>
      </w:r>
    </w:p>
    <w:p w14:paraId="3AF2B717">
      <w:pPr>
        <w:spacing w:before="157" w:line="323" w:lineRule="exact"/>
        <w:jc w:val="right"/>
        <w:rPr>
          <w:rFonts w:ascii="宋体" w:hAnsi="宋体" w:eastAsia="宋体" w:cs="宋体"/>
          <w:sz w:val="23"/>
          <w:szCs w:val="23"/>
        </w:rPr>
      </w:pPr>
      <w:r>
        <w:rPr>
          <w:rFonts w:ascii="Times New Roman" w:hAnsi="Times New Roman" w:eastAsia="Times New Roman" w:cs="Times New Roman"/>
          <w:position w:val="3"/>
          <w:sz w:val="23"/>
          <w:szCs w:val="23"/>
        </w:rPr>
        <w:t>C</w:t>
      </w:r>
      <w:r>
        <w:rPr>
          <w:rFonts w:ascii="Times New Roman" w:hAnsi="Times New Roman" w:eastAsia="Times New Roman" w:cs="Times New Roman"/>
          <w:spacing w:val="1"/>
          <w:position w:val="3"/>
          <w:sz w:val="23"/>
          <w:szCs w:val="23"/>
        </w:rPr>
        <w:t>1</w:t>
      </w:r>
      <w:r>
        <w:rPr>
          <w:rFonts w:ascii="宋体" w:hAnsi="宋体" w:eastAsia="宋体" w:cs="宋体"/>
          <w:spacing w:val="1"/>
          <w:position w:val="3"/>
          <w:sz w:val="23"/>
          <w:szCs w:val="23"/>
        </w:rPr>
        <w:t>、</w:t>
      </w:r>
      <w:r>
        <w:rPr>
          <w:rFonts w:ascii="Times New Roman" w:hAnsi="Times New Roman" w:eastAsia="Times New Roman" w:cs="Times New Roman"/>
          <w:position w:val="3"/>
          <w:sz w:val="23"/>
          <w:szCs w:val="23"/>
        </w:rPr>
        <w:t>C</w:t>
      </w:r>
      <w:r>
        <w:rPr>
          <w:rFonts w:ascii="Times New Roman" w:hAnsi="Times New Roman" w:eastAsia="Times New Roman" w:cs="Times New Roman"/>
          <w:spacing w:val="1"/>
          <w:position w:val="3"/>
          <w:sz w:val="23"/>
          <w:szCs w:val="23"/>
        </w:rPr>
        <w:t>2——</w:t>
      </w:r>
      <w:r>
        <w:rPr>
          <w:rFonts w:ascii="宋体" w:hAnsi="宋体" w:eastAsia="宋体" w:cs="宋体"/>
          <w:spacing w:val="1"/>
          <w:position w:val="3"/>
          <w:sz w:val="23"/>
          <w:szCs w:val="23"/>
        </w:rPr>
        <w:t>污水</w:t>
      </w:r>
      <w:r>
        <w:rPr>
          <w:rFonts w:ascii="宋体" w:hAnsi="宋体" w:eastAsia="宋体" w:cs="宋体"/>
          <w:position w:val="3"/>
          <w:sz w:val="23"/>
          <w:szCs w:val="23"/>
        </w:rPr>
        <w:t>处理设施进、出口悬浮物的浓度，</w:t>
      </w:r>
      <w:r>
        <w:rPr>
          <w:rFonts w:ascii="Times New Roman" w:hAnsi="Times New Roman" w:eastAsia="Times New Roman" w:cs="Times New Roman"/>
          <w:position w:val="3"/>
          <w:sz w:val="23"/>
          <w:szCs w:val="23"/>
        </w:rPr>
        <w:t>500mg/L</w:t>
      </w:r>
      <w:r>
        <w:rPr>
          <w:rFonts w:ascii="宋体" w:hAnsi="宋体" w:eastAsia="宋体" w:cs="宋体"/>
          <w:position w:val="3"/>
          <w:sz w:val="23"/>
          <w:szCs w:val="23"/>
        </w:rPr>
        <w:t>、</w:t>
      </w:r>
      <w:r>
        <w:rPr>
          <w:rFonts w:ascii="Times New Roman" w:hAnsi="Times New Roman" w:eastAsia="Times New Roman" w:cs="Times New Roman"/>
          <w:position w:val="3"/>
          <w:sz w:val="23"/>
          <w:szCs w:val="23"/>
        </w:rPr>
        <w:t>25mg/L</w:t>
      </w:r>
      <w:r>
        <w:rPr>
          <w:rFonts w:ascii="宋体" w:hAnsi="宋体" w:eastAsia="宋体" w:cs="宋体"/>
          <w:position w:val="3"/>
          <w:sz w:val="23"/>
          <w:szCs w:val="23"/>
        </w:rPr>
        <w:t>。</w:t>
      </w:r>
    </w:p>
    <w:p w14:paraId="2D7EC979">
      <w:pPr>
        <w:spacing w:before="315" w:line="390" w:lineRule="auto"/>
        <w:ind w:left="23" w:right="77" w:firstLine="481"/>
        <w:rPr>
          <w:rFonts w:ascii="宋体" w:hAnsi="宋体" w:eastAsia="宋体" w:cs="宋体"/>
          <w:sz w:val="23"/>
          <w:szCs w:val="23"/>
        </w:rPr>
      </w:pPr>
      <w:r>
        <w:rPr>
          <w:rFonts w:ascii="宋体" w:hAnsi="宋体" w:eastAsia="宋体" w:cs="宋体"/>
          <w:spacing w:val="12"/>
          <w:sz w:val="23"/>
          <w:szCs w:val="23"/>
        </w:rPr>
        <w:t>经</w:t>
      </w:r>
      <w:r>
        <w:rPr>
          <w:rFonts w:ascii="宋体" w:hAnsi="宋体" w:eastAsia="宋体" w:cs="宋体"/>
          <w:spacing w:val="11"/>
          <w:sz w:val="23"/>
          <w:szCs w:val="23"/>
        </w:rPr>
        <w:t>计</w:t>
      </w:r>
      <w:r>
        <w:rPr>
          <w:rFonts w:ascii="宋体" w:hAnsi="宋体" w:eastAsia="宋体" w:cs="宋体"/>
          <w:spacing w:val="6"/>
          <w:sz w:val="23"/>
          <w:szCs w:val="23"/>
        </w:rPr>
        <w:t>算，</w:t>
      </w:r>
      <w:r>
        <w:rPr>
          <w:rFonts w:ascii="Times New Roman" w:hAnsi="Times New Roman" w:eastAsia="Times New Roman" w:cs="Times New Roman"/>
          <w:sz w:val="23"/>
          <w:szCs w:val="23"/>
        </w:rPr>
        <w:t>W</w:t>
      </w:r>
      <w:r>
        <w:rPr>
          <w:rFonts w:ascii="Times New Roman" w:hAnsi="Times New Roman" w:eastAsia="Times New Roman" w:cs="Times New Roman"/>
          <w:spacing w:val="6"/>
          <w:sz w:val="23"/>
          <w:szCs w:val="23"/>
        </w:rPr>
        <w:t>=0.06</w:t>
      </w:r>
      <w:r>
        <w:rPr>
          <w:rFonts w:ascii="Times New Roman" w:hAnsi="Times New Roman" w:eastAsia="Times New Roman" w:cs="Times New Roman"/>
          <w:sz w:val="23"/>
          <w:szCs w:val="23"/>
        </w:rPr>
        <w:t>t</w:t>
      </w:r>
      <w:r>
        <w:rPr>
          <w:rFonts w:ascii="Times New Roman" w:hAnsi="Times New Roman" w:eastAsia="Times New Roman" w:cs="Times New Roman"/>
          <w:spacing w:val="6"/>
          <w:sz w:val="23"/>
          <w:szCs w:val="23"/>
        </w:rPr>
        <w:t>/</w:t>
      </w:r>
      <w:r>
        <w:rPr>
          <w:rFonts w:ascii="Times New Roman" w:hAnsi="Times New Roman" w:eastAsia="Times New Roman" w:cs="Times New Roman"/>
          <w:sz w:val="23"/>
          <w:szCs w:val="23"/>
        </w:rPr>
        <w:t>d</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 xml:space="preserve">(绝干污泥) ，干化后的污泥含水率取 </w:t>
      </w:r>
      <w:r>
        <w:rPr>
          <w:rFonts w:ascii="Times New Roman" w:hAnsi="Times New Roman" w:eastAsia="Times New Roman" w:cs="Times New Roman"/>
          <w:spacing w:val="6"/>
          <w:sz w:val="23"/>
          <w:szCs w:val="23"/>
        </w:rPr>
        <w:t xml:space="preserve">70% </w:t>
      </w:r>
      <w:r>
        <w:rPr>
          <w:rFonts w:ascii="宋体" w:hAnsi="宋体" w:eastAsia="宋体" w:cs="宋体"/>
          <w:spacing w:val="6"/>
          <w:sz w:val="23"/>
          <w:szCs w:val="23"/>
        </w:rPr>
        <w:t>，则项目生</w:t>
      </w:r>
      <w:r>
        <w:rPr>
          <w:rFonts w:ascii="宋体" w:hAnsi="宋体" w:eastAsia="宋体" w:cs="宋体"/>
          <w:sz w:val="23"/>
          <w:szCs w:val="23"/>
        </w:rPr>
        <w:t xml:space="preserve"> </w:t>
      </w:r>
      <w:r>
        <w:rPr>
          <w:rFonts w:ascii="宋体" w:hAnsi="宋体" w:eastAsia="宋体" w:cs="宋体"/>
          <w:spacing w:val="2"/>
          <w:sz w:val="23"/>
          <w:szCs w:val="23"/>
        </w:rPr>
        <w:t xml:space="preserve">产废水处理产生的污泥量约为 </w:t>
      </w:r>
      <w:r>
        <w:rPr>
          <w:rFonts w:ascii="Times New Roman" w:hAnsi="Times New Roman" w:eastAsia="Times New Roman" w:cs="Times New Roman"/>
          <w:spacing w:val="2"/>
          <w:sz w:val="23"/>
          <w:szCs w:val="23"/>
        </w:rPr>
        <w:t>0.2</w:t>
      </w:r>
      <w:r>
        <w:rPr>
          <w:rFonts w:ascii="Times New Roman" w:hAnsi="Times New Roman" w:eastAsia="Times New Roman" w:cs="Times New Roman"/>
          <w:sz w:val="23"/>
          <w:szCs w:val="23"/>
        </w:rPr>
        <w:t>t</w:t>
      </w:r>
      <w:r>
        <w:rPr>
          <w:rFonts w:ascii="Times New Roman" w:hAnsi="Times New Roman" w:eastAsia="Times New Roman" w:cs="Times New Roman"/>
          <w:spacing w:val="2"/>
          <w:sz w:val="23"/>
          <w:szCs w:val="23"/>
        </w:rPr>
        <w:t>/</w:t>
      </w:r>
      <w:r>
        <w:rPr>
          <w:rFonts w:ascii="Times New Roman" w:hAnsi="Times New Roman" w:eastAsia="Times New Roman" w:cs="Times New Roman"/>
          <w:sz w:val="23"/>
          <w:szCs w:val="23"/>
        </w:rPr>
        <w:t>d</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 xml:space="preserve">，即 </w:t>
      </w:r>
      <w:r>
        <w:rPr>
          <w:rFonts w:ascii="Times New Roman" w:hAnsi="Times New Roman" w:eastAsia="Times New Roman" w:cs="Times New Roman"/>
          <w:spacing w:val="2"/>
          <w:sz w:val="23"/>
          <w:szCs w:val="23"/>
        </w:rPr>
        <w:t>6</w:t>
      </w:r>
      <w:r>
        <w:rPr>
          <w:rFonts w:ascii="Times New Roman" w:hAnsi="Times New Roman" w:eastAsia="Times New Roman" w:cs="Times New Roman"/>
          <w:spacing w:val="1"/>
          <w:sz w:val="23"/>
          <w:szCs w:val="23"/>
        </w:rPr>
        <w:t>0</w:t>
      </w:r>
      <w:r>
        <w:rPr>
          <w:rFonts w:ascii="Times New Roman" w:hAnsi="Times New Roman" w:eastAsia="Times New Roman" w:cs="Times New Roman"/>
          <w:sz w:val="23"/>
          <w:szCs w:val="23"/>
        </w:rPr>
        <w:t>t</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。项目原料为一般固废，污泥中主</w:t>
      </w:r>
      <w:r>
        <w:rPr>
          <w:rFonts w:ascii="宋体" w:hAnsi="宋体" w:eastAsia="宋体" w:cs="宋体"/>
          <w:sz w:val="23"/>
          <w:szCs w:val="23"/>
        </w:rPr>
        <w:t xml:space="preserve"> </w:t>
      </w:r>
      <w:r>
        <w:rPr>
          <w:rFonts w:ascii="宋体" w:hAnsi="宋体" w:eastAsia="宋体" w:cs="宋体"/>
          <w:spacing w:val="9"/>
          <w:sz w:val="23"/>
          <w:szCs w:val="23"/>
        </w:rPr>
        <w:t>要</w:t>
      </w:r>
      <w:r>
        <w:rPr>
          <w:rFonts w:ascii="宋体" w:hAnsi="宋体" w:eastAsia="宋体" w:cs="宋体"/>
          <w:spacing w:val="7"/>
          <w:sz w:val="23"/>
          <w:szCs w:val="23"/>
        </w:rPr>
        <w:t>成份为泥沙及塑料纤维，属于普通固废，因此该污泥经压滤后可与生活垃圾一</w:t>
      </w:r>
      <w:r>
        <w:rPr>
          <w:rFonts w:ascii="宋体" w:hAnsi="宋体" w:eastAsia="宋体" w:cs="宋体"/>
          <w:sz w:val="23"/>
          <w:szCs w:val="23"/>
        </w:rPr>
        <w:t xml:space="preserve"> </w:t>
      </w:r>
      <w:r>
        <w:rPr>
          <w:rFonts w:ascii="宋体" w:hAnsi="宋体" w:eastAsia="宋体" w:cs="宋体"/>
          <w:spacing w:val="9"/>
          <w:sz w:val="23"/>
          <w:szCs w:val="23"/>
        </w:rPr>
        <w:t>起运送至环卫部门指定地点统一处理</w:t>
      </w:r>
      <w:r>
        <w:rPr>
          <w:rFonts w:ascii="宋体" w:hAnsi="宋体" w:eastAsia="宋体" w:cs="宋体"/>
          <w:spacing w:val="6"/>
          <w:sz w:val="23"/>
          <w:szCs w:val="23"/>
        </w:rPr>
        <w:t>。</w:t>
      </w:r>
    </w:p>
    <w:p w14:paraId="3A9CBF48">
      <w:pPr>
        <w:spacing w:before="174" w:line="225" w:lineRule="auto"/>
        <w:ind w:left="501"/>
        <w:rPr>
          <w:rFonts w:ascii="宋体" w:hAnsi="宋体" w:eastAsia="宋体" w:cs="宋体"/>
          <w:sz w:val="23"/>
          <w:szCs w:val="23"/>
        </w:rPr>
      </w:pPr>
      <w:r>
        <w:rPr>
          <w:rFonts w:ascii="宋体" w:hAnsi="宋体" w:eastAsia="宋体" w:cs="宋体"/>
          <w:spacing w:val="8"/>
          <w:sz w:val="23"/>
          <w:szCs w:val="23"/>
        </w:rPr>
        <w:t>④废滤网</w:t>
      </w:r>
    </w:p>
    <w:p w14:paraId="6C91EACA">
      <w:pPr>
        <w:spacing w:line="246" w:lineRule="auto"/>
        <w:rPr>
          <w:rFonts w:ascii="Arial"/>
          <w:sz w:val="21"/>
        </w:rPr>
      </w:pPr>
    </w:p>
    <w:p w14:paraId="1827FAB2">
      <w:pPr>
        <w:spacing w:before="75" w:line="358" w:lineRule="auto"/>
        <w:ind w:left="23" w:right="45" w:firstLine="483"/>
        <w:rPr>
          <w:rFonts w:ascii="宋体" w:hAnsi="宋体" w:eastAsia="宋体" w:cs="宋体"/>
          <w:sz w:val="23"/>
          <w:szCs w:val="23"/>
        </w:rPr>
      </w:pPr>
      <w:r>
        <w:rPr>
          <w:rFonts w:ascii="宋体" w:hAnsi="宋体" w:eastAsia="宋体" w:cs="宋体"/>
          <w:spacing w:val="8"/>
          <w:sz w:val="23"/>
          <w:szCs w:val="23"/>
        </w:rPr>
        <w:t>该项目物料被加热熔融挤出时，要经过铁丝过滤网，过滤掉物料中的杂质</w:t>
      </w:r>
      <w:r>
        <w:rPr>
          <w:rFonts w:ascii="宋体" w:hAnsi="宋体" w:eastAsia="宋体" w:cs="宋体"/>
          <w:spacing w:val="2"/>
          <w:sz w:val="23"/>
          <w:szCs w:val="23"/>
        </w:rPr>
        <w:t>，</w:t>
      </w:r>
      <w:r>
        <w:rPr>
          <w:rFonts w:ascii="宋体" w:hAnsi="宋体" w:eastAsia="宋体" w:cs="宋体"/>
          <w:sz w:val="23"/>
          <w:szCs w:val="23"/>
        </w:rPr>
        <w:t xml:space="preserve"> </w:t>
      </w:r>
      <w:r>
        <w:rPr>
          <w:rFonts w:ascii="宋体" w:hAnsi="宋体" w:eastAsia="宋体" w:cs="宋体"/>
          <w:spacing w:val="9"/>
          <w:sz w:val="23"/>
          <w:szCs w:val="23"/>
        </w:rPr>
        <w:t>过</w:t>
      </w:r>
      <w:r>
        <w:rPr>
          <w:rFonts w:ascii="宋体" w:hAnsi="宋体" w:eastAsia="宋体" w:cs="宋体"/>
          <w:spacing w:val="7"/>
          <w:sz w:val="23"/>
          <w:szCs w:val="23"/>
        </w:rPr>
        <w:t>滤网也须要定期更换。根据建设单位提供的资料，生产过程中每年需更换滤网</w:t>
      </w:r>
      <w:r>
        <w:rPr>
          <w:rFonts w:ascii="宋体" w:hAnsi="宋体" w:eastAsia="宋体" w:cs="宋体"/>
          <w:sz w:val="23"/>
          <w:szCs w:val="23"/>
        </w:rPr>
        <w:t xml:space="preserve"> </w:t>
      </w:r>
      <w:r>
        <w:rPr>
          <w:rFonts w:ascii="Times New Roman" w:hAnsi="Times New Roman" w:eastAsia="Times New Roman" w:cs="Times New Roman"/>
          <w:spacing w:val="2"/>
          <w:sz w:val="23"/>
          <w:szCs w:val="23"/>
        </w:rPr>
        <w:t xml:space="preserve">80 </w:t>
      </w:r>
      <w:r>
        <w:rPr>
          <w:rFonts w:ascii="宋体" w:hAnsi="宋体" w:eastAsia="宋体" w:cs="宋体"/>
          <w:spacing w:val="2"/>
          <w:sz w:val="23"/>
          <w:szCs w:val="23"/>
        </w:rPr>
        <w:t xml:space="preserve">个，则废滤网产生量为 </w:t>
      </w:r>
      <w:r>
        <w:rPr>
          <w:rFonts w:ascii="Times New Roman" w:hAnsi="Times New Roman" w:eastAsia="Times New Roman" w:cs="Times New Roman"/>
          <w:spacing w:val="2"/>
          <w:sz w:val="23"/>
          <w:szCs w:val="23"/>
        </w:rPr>
        <w:t xml:space="preserve">80 </w:t>
      </w:r>
      <w:r>
        <w:rPr>
          <w:rFonts w:ascii="宋体" w:hAnsi="宋体" w:eastAsia="宋体" w:cs="宋体"/>
          <w:spacing w:val="2"/>
          <w:sz w:val="23"/>
          <w:szCs w:val="23"/>
        </w:rPr>
        <w:t>个，每个废滤网上均附</w:t>
      </w:r>
      <w:r>
        <w:rPr>
          <w:rFonts w:ascii="宋体" w:hAnsi="宋体" w:eastAsia="宋体" w:cs="宋体"/>
          <w:spacing w:val="1"/>
          <w:sz w:val="23"/>
          <w:szCs w:val="23"/>
        </w:rPr>
        <w:t xml:space="preserve">着一定量的物料，则按 </w:t>
      </w:r>
      <w:r>
        <w:rPr>
          <w:rFonts w:ascii="Times New Roman" w:hAnsi="Times New Roman" w:eastAsia="Times New Roman" w:cs="Times New Roman"/>
          <w:spacing w:val="1"/>
          <w:sz w:val="23"/>
          <w:szCs w:val="23"/>
        </w:rPr>
        <w:t>10</w:t>
      </w:r>
      <w:r>
        <w:rPr>
          <w:rFonts w:ascii="Times New Roman" w:hAnsi="Times New Roman" w:eastAsia="Times New Roman" w:cs="Times New Roman"/>
          <w:sz w:val="23"/>
          <w:szCs w:val="23"/>
        </w:rPr>
        <w:t>kg</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 xml:space="preserve"> </w:t>
      </w:r>
      <w:r>
        <w:rPr>
          <w:rFonts w:ascii="宋体" w:hAnsi="宋体" w:eastAsia="宋体" w:cs="宋体"/>
          <w:spacing w:val="5"/>
          <w:sz w:val="23"/>
          <w:szCs w:val="23"/>
        </w:rPr>
        <w:t xml:space="preserve">个计，则废滤网产生量为 </w:t>
      </w:r>
      <w:r>
        <w:rPr>
          <w:rFonts w:ascii="Times New Roman" w:hAnsi="Times New Roman" w:eastAsia="Times New Roman" w:cs="Times New Roman"/>
          <w:spacing w:val="5"/>
          <w:sz w:val="23"/>
          <w:szCs w:val="23"/>
        </w:rPr>
        <w:t>0.8</w:t>
      </w:r>
      <w:r>
        <w:rPr>
          <w:rFonts w:ascii="Times New Roman" w:hAnsi="Times New Roman" w:eastAsia="Times New Roman" w:cs="Times New Roman"/>
          <w:sz w:val="23"/>
          <w:szCs w:val="23"/>
        </w:rPr>
        <w:t>t</w:t>
      </w:r>
      <w:r>
        <w:rPr>
          <w:rFonts w:ascii="Times New Roman" w:hAnsi="Times New Roman" w:eastAsia="Times New Roman" w:cs="Times New Roman"/>
          <w:spacing w:val="5"/>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rPr>
        <w:t>。产生的废滤网均由厂家定期回收</w:t>
      </w:r>
      <w:r>
        <w:rPr>
          <w:rFonts w:ascii="宋体" w:hAnsi="宋体" w:eastAsia="宋体" w:cs="宋体"/>
          <w:sz w:val="23"/>
          <w:szCs w:val="23"/>
        </w:rPr>
        <w:t>。</w:t>
      </w:r>
    </w:p>
    <w:p w14:paraId="47C42B3C">
      <w:pPr>
        <w:spacing w:before="164" w:line="225" w:lineRule="auto"/>
        <w:ind w:left="501"/>
        <w:rPr>
          <w:rFonts w:ascii="宋体" w:hAnsi="宋体" w:eastAsia="宋体" w:cs="宋体"/>
          <w:sz w:val="23"/>
          <w:szCs w:val="23"/>
        </w:rPr>
      </w:pPr>
      <w:r>
        <w:rPr>
          <w:rFonts w:ascii="宋体" w:hAnsi="宋体" w:eastAsia="宋体" w:cs="宋体"/>
          <w:spacing w:val="18"/>
          <w:sz w:val="23"/>
          <w:szCs w:val="23"/>
        </w:rPr>
        <w:t>⑤</w:t>
      </w:r>
      <w:r>
        <w:rPr>
          <w:rFonts w:ascii="宋体" w:hAnsi="宋体" w:eastAsia="宋体" w:cs="宋体"/>
          <w:spacing w:val="9"/>
          <w:sz w:val="23"/>
          <w:szCs w:val="23"/>
        </w:rPr>
        <w:t>热风炉燃料炉渣及除尘器收集的粉尘</w:t>
      </w:r>
    </w:p>
    <w:p w14:paraId="5E3CB5D6">
      <w:pPr>
        <w:spacing w:line="278" w:lineRule="auto"/>
        <w:rPr>
          <w:rFonts w:ascii="Arial"/>
          <w:sz w:val="21"/>
        </w:rPr>
      </w:pPr>
    </w:p>
    <w:p w14:paraId="53BF869B">
      <w:pPr>
        <w:spacing w:before="75" w:line="385" w:lineRule="auto"/>
        <w:ind w:left="17" w:right="77" w:firstLine="489"/>
        <w:rPr>
          <w:rFonts w:ascii="宋体" w:hAnsi="宋体" w:eastAsia="宋体" w:cs="宋体"/>
          <w:sz w:val="23"/>
          <w:szCs w:val="23"/>
        </w:rPr>
      </w:pPr>
      <w:r>
        <w:rPr>
          <w:rFonts w:ascii="宋体" w:hAnsi="宋体" w:eastAsia="宋体" w:cs="宋体"/>
          <w:spacing w:val="16"/>
          <w:sz w:val="23"/>
          <w:szCs w:val="23"/>
        </w:rPr>
        <w:t>项</w:t>
      </w:r>
      <w:r>
        <w:rPr>
          <w:rFonts w:ascii="宋体" w:hAnsi="宋体" w:eastAsia="宋体" w:cs="宋体"/>
          <w:spacing w:val="14"/>
          <w:sz w:val="23"/>
          <w:szCs w:val="23"/>
        </w:rPr>
        <w:t>目产生的固体废弃物中热风炉燃烧生物质产生的炉渣数量根据生物质燃</w:t>
      </w:r>
      <w:r>
        <w:rPr>
          <w:rFonts w:ascii="宋体" w:hAnsi="宋体" w:eastAsia="宋体" w:cs="宋体"/>
          <w:sz w:val="23"/>
          <w:szCs w:val="23"/>
        </w:rPr>
        <w:t xml:space="preserve"> </w:t>
      </w:r>
      <w:r>
        <w:rPr>
          <w:rFonts w:ascii="宋体" w:hAnsi="宋体" w:eastAsia="宋体" w:cs="宋体"/>
          <w:spacing w:val="4"/>
          <w:sz w:val="23"/>
          <w:szCs w:val="23"/>
        </w:rPr>
        <w:t xml:space="preserve">料干燥基灰分含量为 </w:t>
      </w:r>
      <w:r>
        <w:rPr>
          <w:rFonts w:ascii="Times New Roman" w:hAnsi="Times New Roman" w:eastAsia="Times New Roman" w:cs="Times New Roman"/>
          <w:spacing w:val="4"/>
          <w:sz w:val="23"/>
          <w:szCs w:val="23"/>
        </w:rPr>
        <w:t>7.24</w:t>
      </w:r>
      <w:r>
        <w:rPr>
          <w:rFonts w:ascii="Times New Roman" w:hAnsi="Times New Roman" w:eastAsia="Times New Roman" w:cs="Times New Roman"/>
          <w:spacing w:val="2"/>
          <w:sz w:val="23"/>
          <w:szCs w:val="23"/>
        </w:rPr>
        <w:t>%</w:t>
      </w:r>
      <w:r>
        <w:rPr>
          <w:rFonts w:ascii="宋体" w:hAnsi="宋体" w:eastAsia="宋体" w:cs="宋体"/>
          <w:spacing w:val="2"/>
          <w:sz w:val="23"/>
          <w:szCs w:val="23"/>
        </w:rPr>
        <w:t xml:space="preserve">计算，项目年消耗生物质燃料 </w:t>
      </w:r>
      <w:r>
        <w:rPr>
          <w:rFonts w:ascii="Times New Roman" w:hAnsi="Times New Roman" w:eastAsia="Times New Roman" w:cs="Times New Roman"/>
          <w:spacing w:val="2"/>
          <w:sz w:val="23"/>
          <w:szCs w:val="23"/>
        </w:rPr>
        <w:t>674. 1</w:t>
      </w:r>
      <w:r>
        <w:rPr>
          <w:rFonts w:ascii="Times New Roman" w:hAnsi="Times New Roman" w:eastAsia="Times New Roman" w:cs="Times New Roman"/>
          <w:sz w:val="23"/>
          <w:szCs w:val="23"/>
        </w:rPr>
        <w:t>t</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，炉渣产生量为</w:t>
      </w:r>
      <w:r>
        <w:rPr>
          <w:rFonts w:ascii="宋体" w:hAnsi="宋体" w:eastAsia="宋体" w:cs="宋体"/>
          <w:sz w:val="23"/>
          <w:szCs w:val="23"/>
        </w:rPr>
        <w:t xml:space="preserve"> </w:t>
      </w:r>
      <w:r>
        <w:rPr>
          <w:rFonts w:ascii="Times New Roman" w:hAnsi="Times New Roman" w:eastAsia="Times New Roman" w:cs="Times New Roman"/>
          <w:spacing w:val="7"/>
          <w:sz w:val="23"/>
          <w:szCs w:val="23"/>
        </w:rPr>
        <w:t>4</w:t>
      </w:r>
      <w:r>
        <w:rPr>
          <w:rFonts w:ascii="Times New Roman" w:hAnsi="Times New Roman" w:eastAsia="Times New Roman" w:cs="Times New Roman"/>
          <w:spacing w:val="6"/>
          <w:sz w:val="23"/>
          <w:szCs w:val="23"/>
        </w:rPr>
        <w:t>8.8</w:t>
      </w:r>
      <w:r>
        <w:rPr>
          <w:rFonts w:ascii="Times New Roman" w:hAnsi="Times New Roman" w:eastAsia="Times New Roman" w:cs="Times New Roman"/>
          <w:sz w:val="23"/>
          <w:szCs w:val="23"/>
        </w:rPr>
        <w:t>t</w:t>
      </w:r>
      <w:r>
        <w:rPr>
          <w:rFonts w:ascii="Times New Roman" w:hAnsi="Times New Roman" w:eastAsia="Times New Roman" w:cs="Times New Roman"/>
          <w:spacing w:val="6"/>
          <w:sz w:val="23"/>
          <w:szCs w:val="23"/>
        </w:rPr>
        <w:t>/</w:t>
      </w:r>
      <w:r>
        <w:rPr>
          <w:rFonts w:ascii="Times New Roman" w:hAnsi="Times New Roman" w:eastAsia="Times New Roman" w:cs="Times New Roman"/>
          <w:sz w:val="23"/>
          <w:szCs w:val="23"/>
        </w:rPr>
        <w:t>a</w:t>
      </w:r>
      <w:r>
        <w:rPr>
          <w:rFonts w:ascii="宋体" w:hAnsi="宋体" w:eastAsia="宋体" w:cs="宋体"/>
          <w:spacing w:val="6"/>
          <w:sz w:val="23"/>
          <w:szCs w:val="23"/>
        </w:rPr>
        <w:t xml:space="preserve">；灰渣数量根据项目设计除尘器除尘效率不小于 </w:t>
      </w:r>
      <w:r>
        <w:rPr>
          <w:rFonts w:ascii="Times New Roman" w:hAnsi="Times New Roman" w:eastAsia="Times New Roman" w:cs="Times New Roman"/>
          <w:spacing w:val="6"/>
          <w:sz w:val="23"/>
          <w:szCs w:val="23"/>
        </w:rPr>
        <w:t>99%</w:t>
      </w:r>
      <w:r>
        <w:rPr>
          <w:rFonts w:ascii="宋体" w:hAnsi="宋体" w:eastAsia="宋体" w:cs="宋体"/>
          <w:spacing w:val="6"/>
          <w:sz w:val="23"/>
          <w:szCs w:val="23"/>
        </w:rPr>
        <w:t>计算，除尘灰渣产生</w:t>
      </w:r>
      <w:r>
        <w:rPr>
          <w:rFonts w:ascii="宋体" w:hAnsi="宋体" w:eastAsia="宋体" w:cs="宋体"/>
          <w:sz w:val="23"/>
          <w:szCs w:val="23"/>
        </w:rPr>
        <w:t xml:space="preserve"> </w:t>
      </w:r>
      <w:r>
        <w:rPr>
          <w:rFonts w:ascii="宋体" w:hAnsi="宋体" w:eastAsia="宋体" w:cs="宋体"/>
          <w:spacing w:val="5"/>
          <w:sz w:val="23"/>
          <w:szCs w:val="23"/>
        </w:rPr>
        <w:t xml:space="preserve">量为 </w:t>
      </w:r>
      <w:r>
        <w:rPr>
          <w:rFonts w:ascii="Times New Roman" w:hAnsi="Times New Roman" w:eastAsia="Times New Roman" w:cs="Times New Roman"/>
          <w:spacing w:val="5"/>
          <w:sz w:val="23"/>
          <w:szCs w:val="23"/>
        </w:rPr>
        <w:t>0.337</w:t>
      </w:r>
      <w:r>
        <w:rPr>
          <w:rFonts w:ascii="Times New Roman" w:hAnsi="Times New Roman" w:eastAsia="Times New Roman" w:cs="Times New Roman"/>
          <w:sz w:val="23"/>
          <w:szCs w:val="23"/>
        </w:rPr>
        <w:t>t</w:t>
      </w:r>
      <w:r>
        <w:rPr>
          <w:rFonts w:ascii="Times New Roman" w:hAnsi="Times New Roman" w:eastAsia="Times New Roman" w:cs="Times New Roman"/>
          <w:spacing w:val="5"/>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rPr>
        <w:t>。炉渣及粉尘收集后定期外卖给农肥厂进行综合利用</w:t>
      </w:r>
      <w:r>
        <w:rPr>
          <w:rFonts w:ascii="宋体" w:hAnsi="宋体" w:eastAsia="宋体" w:cs="宋体"/>
          <w:spacing w:val="1"/>
          <w:sz w:val="23"/>
          <w:szCs w:val="23"/>
        </w:rPr>
        <w:t>。</w:t>
      </w:r>
    </w:p>
    <w:p w14:paraId="16786653">
      <w:pPr>
        <w:spacing w:before="127" w:line="612" w:lineRule="exact"/>
        <w:ind w:left="501"/>
        <w:rPr>
          <w:rFonts w:ascii="宋体" w:hAnsi="宋体" w:eastAsia="宋体" w:cs="宋体"/>
          <w:sz w:val="23"/>
          <w:szCs w:val="23"/>
        </w:rPr>
      </w:pPr>
      <w:r>
        <w:rPr>
          <w:rFonts w:ascii="宋体" w:hAnsi="宋体" w:eastAsia="宋体" w:cs="宋体"/>
          <w:spacing w:val="10"/>
          <w:position w:val="29"/>
          <w:sz w:val="23"/>
          <w:szCs w:val="23"/>
        </w:rPr>
        <w:t>⑥</w:t>
      </w:r>
      <w:r>
        <w:rPr>
          <w:rFonts w:ascii="宋体" w:hAnsi="宋体" w:eastAsia="宋体" w:cs="宋体"/>
          <w:spacing w:val="8"/>
          <w:position w:val="29"/>
          <w:sz w:val="23"/>
          <w:szCs w:val="23"/>
        </w:rPr>
        <w:t>危险废物</w:t>
      </w:r>
    </w:p>
    <w:p w14:paraId="068211AE">
      <w:pPr>
        <w:spacing w:line="228" w:lineRule="auto"/>
        <w:ind w:left="496"/>
        <w:rPr>
          <w:rFonts w:ascii="宋体" w:hAnsi="宋体" w:eastAsia="宋体" w:cs="宋体"/>
          <w:sz w:val="23"/>
          <w:szCs w:val="23"/>
        </w:rPr>
      </w:pPr>
      <w:r>
        <w:rPr>
          <w:rFonts w:ascii="Times New Roman" w:hAnsi="Times New Roman" w:eastAsia="Times New Roman" w:cs="Times New Roman"/>
          <w:sz w:val="23"/>
          <w:szCs w:val="23"/>
        </w:rPr>
        <w:t>A</w:t>
      </w:r>
      <w:r>
        <w:rPr>
          <w:rFonts w:ascii="Times New Roman" w:hAnsi="Times New Roman" w:eastAsia="Times New Roman" w:cs="Times New Roman"/>
          <w:spacing w:val="11"/>
          <w:sz w:val="23"/>
          <w:szCs w:val="23"/>
        </w:rPr>
        <w:t>.</w:t>
      </w:r>
      <w:r>
        <w:rPr>
          <w:rFonts w:ascii="宋体" w:hAnsi="宋体" w:eastAsia="宋体" w:cs="宋体"/>
          <w:spacing w:val="9"/>
          <w:sz w:val="23"/>
          <w:szCs w:val="23"/>
        </w:rPr>
        <w:t>废活性炭</w:t>
      </w:r>
    </w:p>
    <w:p w14:paraId="569FEA36">
      <w:pPr>
        <w:spacing w:line="258" w:lineRule="auto"/>
        <w:rPr>
          <w:rFonts w:ascii="Arial"/>
          <w:sz w:val="21"/>
        </w:rPr>
      </w:pPr>
    </w:p>
    <w:p w14:paraId="59FC43DA">
      <w:pPr>
        <w:spacing w:before="75" w:line="366" w:lineRule="auto"/>
        <w:ind w:left="23" w:right="72" w:firstLine="480"/>
        <w:rPr>
          <w:rFonts w:ascii="宋体" w:hAnsi="宋体" w:eastAsia="宋体" w:cs="宋体"/>
          <w:sz w:val="23"/>
          <w:szCs w:val="23"/>
        </w:rPr>
      </w:pPr>
      <w:r>
        <w:rPr>
          <w:rFonts w:ascii="宋体" w:hAnsi="宋体" w:eastAsia="宋体" w:cs="宋体"/>
          <w:spacing w:val="14"/>
          <w:sz w:val="23"/>
          <w:szCs w:val="23"/>
        </w:rPr>
        <w:t>根据工程分析可知，该项目进入活性炭吸附装置的非甲烷总烃量为速率</w:t>
      </w:r>
      <w:r>
        <w:rPr>
          <w:rFonts w:ascii="宋体" w:hAnsi="宋体" w:eastAsia="宋体" w:cs="宋体"/>
          <w:spacing w:val="11"/>
          <w:sz w:val="23"/>
          <w:szCs w:val="23"/>
        </w:rPr>
        <w:t>为</w:t>
      </w:r>
      <w:r>
        <w:rPr>
          <w:rFonts w:ascii="宋体" w:hAnsi="宋体" w:eastAsia="宋体" w:cs="宋体"/>
          <w:sz w:val="23"/>
          <w:szCs w:val="23"/>
        </w:rPr>
        <w:t xml:space="preserve"> </w:t>
      </w:r>
      <w:r>
        <w:rPr>
          <w:rFonts w:ascii="Times New Roman" w:hAnsi="Times New Roman" w:eastAsia="Times New Roman" w:cs="Times New Roman"/>
          <w:spacing w:val="18"/>
          <w:sz w:val="23"/>
          <w:szCs w:val="23"/>
        </w:rPr>
        <w:t>5.</w:t>
      </w:r>
      <w:r>
        <w:rPr>
          <w:rFonts w:ascii="Times New Roman" w:hAnsi="Times New Roman" w:eastAsia="Times New Roman" w:cs="Times New Roman"/>
          <w:spacing w:val="10"/>
          <w:sz w:val="23"/>
          <w:szCs w:val="23"/>
        </w:rPr>
        <w:t>3</w:t>
      </w:r>
      <w:r>
        <w:rPr>
          <w:rFonts w:ascii="Times New Roman" w:hAnsi="Times New Roman" w:eastAsia="Times New Roman" w:cs="Times New Roman"/>
          <w:spacing w:val="9"/>
          <w:sz w:val="23"/>
          <w:szCs w:val="23"/>
        </w:rPr>
        <w:t>6</w:t>
      </w:r>
      <w:r>
        <w:rPr>
          <w:rFonts w:ascii="Times New Roman" w:hAnsi="Times New Roman" w:eastAsia="Times New Roman" w:cs="Times New Roman"/>
          <w:sz w:val="23"/>
          <w:szCs w:val="23"/>
        </w:rPr>
        <w:t>t</w:t>
      </w:r>
      <w:r>
        <w:rPr>
          <w:rFonts w:ascii="Times New Roman" w:hAnsi="Times New Roman" w:eastAsia="Times New Roman" w:cs="Times New Roman"/>
          <w:spacing w:val="9"/>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9"/>
          <w:sz w:val="23"/>
          <w:szCs w:val="23"/>
        </w:rPr>
        <w:t xml:space="preserve"> </w:t>
      </w:r>
      <w:r>
        <w:rPr>
          <w:rFonts w:ascii="宋体" w:hAnsi="宋体" w:eastAsia="宋体" w:cs="宋体"/>
          <w:spacing w:val="9"/>
          <w:sz w:val="23"/>
          <w:szCs w:val="23"/>
        </w:rPr>
        <w:t xml:space="preserve">，即 </w:t>
      </w:r>
      <w:r>
        <w:rPr>
          <w:rFonts w:ascii="Times New Roman" w:hAnsi="Times New Roman" w:eastAsia="Times New Roman" w:cs="Times New Roman"/>
          <w:spacing w:val="9"/>
          <w:sz w:val="23"/>
          <w:szCs w:val="23"/>
        </w:rPr>
        <w:t>0.74</w:t>
      </w:r>
      <w:r>
        <w:rPr>
          <w:rFonts w:ascii="Times New Roman" w:hAnsi="Times New Roman" w:eastAsia="Times New Roman" w:cs="Times New Roman"/>
          <w:sz w:val="23"/>
          <w:szCs w:val="23"/>
        </w:rPr>
        <w:t>kg</w:t>
      </w:r>
      <w:r>
        <w:rPr>
          <w:rFonts w:ascii="Times New Roman" w:hAnsi="Times New Roman" w:eastAsia="Times New Roman" w:cs="Times New Roman"/>
          <w:spacing w:val="9"/>
          <w:sz w:val="23"/>
          <w:szCs w:val="23"/>
        </w:rPr>
        <w:t>/</w:t>
      </w:r>
      <w:r>
        <w:rPr>
          <w:rFonts w:ascii="Times New Roman" w:hAnsi="Times New Roman" w:eastAsia="Times New Roman" w:cs="Times New Roman"/>
          <w:sz w:val="23"/>
          <w:szCs w:val="23"/>
        </w:rPr>
        <w:t>h</w:t>
      </w:r>
      <w:r>
        <w:rPr>
          <w:rFonts w:ascii="宋体" w:hAnsi="宋体" w:eastAsia="宋体" w:cs="宋体"/>
          <w:spacing w:val="9"/>
          <w:sz w:val="23"/>
          <w:szCs w:val="23"/>
        </w:rPr>
        <w:t xml:space="preserve">。每 </w:t>
      </w:r>
      <w:r>
        <w:rPr>
          <w:rFonts w:ascii="Times New Roman" w:hAnsi="Times New Roman" w:eastAsia="Times New Roman" w:cs="Times New Roman"/>
          <w:spacing w:val="9"/>
          <w:sz w:val="23"/>
          <w:szCs w:val="23"/>
        </w:rPr>
        <w:t>1</w:t>
      </w:r>
      <w:r>
        <w:rPr>
          <w:rFonts w:ascii="Times New Roman" w:hAnsi="Times New Roman" w:eastAsia="Times New Roman" w:cs="Times New Roman"/>
          <w:sz w:val="23"/>
          <w:szCs w:val="23"/>
        </w:rPr>
        <w:t>g</w:t>
      </w:r>
      <w:r>
        <w:rPr>
          <w:rFonts w:ascii="Times New Roman" w:hAnsi="Times New Roman" w:eastAsia="Times New Roman" w:cs="Times New Roman"/>
          <w:spacing w:val="9"/>
          <w:sz w:val="23"/>
          <w:szCs w:val="23"/>
        </w:rPr>
        <w:t xml:space="preserve"> </w:t>
      </w:r>
      <w:r>
        <w:rPr>
          <w:rFonts w:ascii="宋体" w:hAnsi="宋体" w:eastAsia="宋体" w:cs="宋体"/>
          <w:spacing w:val="9"/>
          <w:sz w:val="23"/>
          <w:szCs w:val="23"/>
        </w:rPr>
        <w:t xml:space="preserve">活性炭可吸附 </w:t>
      </w:r>
      <w:r>
        <w:rPr>
          <w:rFonts w:ascii="Times New Roman" w:hAnsi="Times New Roman" w:eastAsia="Times New Roman" w:cs="Times New Roman"/>
          <w:spacing w:val="9"/>
          <w:sz w:val="23"/>
          <w:szCs w:val="23"/>
        </w:rPr>
        <w:t>600</w:t>
      </w:r>
      <w:r>
        <w:rPr>
          <w:rFonts w:ascii="Times New Roman" w:hAnsi="Times New Roman" w:eastAsia="Times New Roman" w:cs="Times New Roman"/>
          <w:sz w:val="23"/>
          <w:szCs w:val="23"/>
        </w:rPr>
        <w:t>mg</w:t>
      </w:r>
      <w:r>
        <w:rPr>
          <w:rFonts w:ascii="Times New Roman" w:hAnsi="Times New Roman" w:eastAsia="Times New Roman" w:cs="Times New Roman"/>
          <w:spacing w:val="9"/>
          <w:sz w:val="23"/>
          <w:szCs w:val="23"/>
        </w:rPr>
        <w:t xml:space="preserve"> </w:t>
      </w:r>
      <w:r>
        <w:rPr>
          <w:rFonts w:ascii="宋体" w:hAnsi="宋体" w:eastAsia="宋体" w:cs="宋体"/>
          <w:spacing w:val="9"/>
          <w:sz w:val="23"/>
          <w:szCs w:val="23"/>
        </w:rPr>
        <w:t>的有机废气，则该项目年使</w:t>
      </w:r>
      <w:r>
        <w:rPr>
          <w:rFonts w:ascii="宋体" w:hAnsi="宋体" w:eastAsia="宋体" w:cs="宋体"/>
          <w:sz w:val="23"/>
          <w:szCs w:val="23"/>
        </w:rPr>
        <w:t xml:space="preserve"> </w:t>
      </w:r>
      <w:r>
        <w:rPr>
          <w:rFonts w:ascii="宋体" w:hAnsi="宋体" w:eastAsia="宋体" w:cs="宋体"/>
          <w:spacing w:val="2"/>
          <w:sz w:val="23"/>
          <w:szCs w:val="23"/>
        </w:rPr>
        <w:t xml:space="preserve">用活性炭约 </w:t>
      </w:r>
      <w:r>
        <w:rPr>
          <w:rFonts w:ascii="Times New Roman" w:hAnsi="Times New Roman" w:eastAsia="Times New Roman" w:cs="Times New Roman"/>
          <w:spacing w:val="2"/>
          <w:sz w:val="23"/>
          <w:szCs w:val="23"/>
        </w:rPr>
        <w:t>3.22</w:t>
      </w:r>
      <w:r>
        <w:rPr>
          <w:rFonts w:ascii="Times New Roman" w:hAnsi="Times New Roman" w:eastAsia="Times New Roman" w:cs="Times New Roman"/>
          <w:sz w:val="23"/>
          <w:szCs w:val="23"/>
        </w:rPr>
        <w:t>t</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 xml:space="preserve">，产生的废活性炭约 </w:t>
      </w:r>
      <w:r>
        <w:rPr>
          <w:rFonts w:ascii="Times New Roman" w:hAnsi="Times New Roman" w:eastAsia="Times New Roman" w:cs="Times New Roman"/>
          <w:spacing w:val="2"/>
          <w:sz w:val="23"/>
          <w:szCs w:val="23"/>
        </w:rPr>
        <w:t>3.22</w:t>
      </w:r>
      <w:r>
        <w:rPr>
          <w:rFonts w:ascii="Times New Roman" w:hAnsi="Times New Roman" w:eastAsia="Times New Roman" w:cs="Times New Roman"/>
          <w:sz w:val="23"/>
          <w:szCs w:val="23"/>
        </w:rPr>
        <w:t>t</w:t>
      </w:r>
      <w:r>
        <w:rPr>
          <w:rFonts w:ascii="Times New Roman" w:hAnsi="Times New Roman" w:eastAsia="Times New Roman" w:cs="Times New Roman"/>
          <w:spacing w:val="2"/>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。根据《</w:t>
      </w:r>
      <w:r>
        <w:rPr>
          <w:rFonts w:ascii="宋体" w:hAnsi="宋体" w:eastAsia="宋体" w:cs="宋体"/>
          <w:spacing w:val="1"/>
          <w:sz w:val="23"/>
          <w:szCs w:val="23"/>
        </w:rPr>
        <w:t>国家危险废物名录》  (环</w:t>
      </w:r>
      <w:r>
        <w:rPr>
          <w:rFonts w:ascii="宋体" w:hAnsi="宋体" w:eastAsia="宋体" w:cs="宋体"/>
          <w:sz w:val="23"/>
          <w:szCs w:val="23"/>
        </w:rPr>
        <w:t xml:space="preserve"> </w:t>
      </w:r>
      <w:r>
        <w:rPr>
          <w:rFonts w:ascii="宋体" w:hAnsi="宋体" w:eastAsia="宋体" w:cs="宋体"/>
          <w:spacing w:val="-1"/>
          <w:sz w:val="23"/>
          <w:szCs w:val="23"/>
        </w:rPr>
        <w:t>境保护部部令</w:t>
      </w:r>
      <w:r>
        <w:rPr>
          <w:rFonts w:ascii="宋体" w:hAnsi="宋体" w:eastAsia="宋体" w:cs="宋体"/>
          <w:sz w:val="23"/>
          <w:szCs w:val="23"/>
        </w:rPr>
        <w:t xml:space="preserve">第 </w:t>
      </w:r>
      <w:r>
        <w:rPr>
          <w:rFonts w:ascii="Times New Roman" w:hAnsi="Times New Roman" w:eastAsia="Times New Roman" w:cs="Times New Roman"/>
          <w:sz w:val="23"/>
          <w:szCs w:val="23"/>
        </w:rPr>
        <w:t xml:space="preserve">39 </w:t>
      </w:r>
      <w:r>
        <w:rPr>
          <w:rFonts w:ascii="宋体" w:hAnsi="宋体" w:eastAsia="宋体" w:cs="宋体"/>
          <w:sz w:val="23"/>
          <w:szCs w:val="23"/>
        </w:rPr>
        <w:t xml:space="preserve">号， 自 </w:t>
      </w:r>
      <w:r>
        <w:rPr>
          <w:rFonts w:ascii="Times New Roman" w:hAnsi="Times New Roman" w:eastAsia="Times New Roman" w:cs="Times New Roman"/>
          <w:sz w:val="23"/>
          <w:szCs w:val="23"/>
        </w:rPr>
        <w:t xml:space="preserve">2016 </w:t>
      </w:r>
      <w:r>
        <w:rPr>
          <w:rFonts w:ascii="宋体" w:hAnsi="宋体" w:eastAsia="宋体" w:cs="宋体"/>
          <w:sz w:val="23"/>
          <w:szCs w:val="23"/>
        </w:rPr>
        <w:t xml:space="preserve">年 </w:t>
      </w:r>
      <w:r>
        <w:rPr>
          <w:rFonts w:ascii="Times New Roman" w:hAnsi="Times New Roman" w:eastAsia="Times New Roman" w:cs="Times New Roman"/>
          <w:sz w:val="23"/>
          <w:szCs w:val="23"/>
        </w:rPr>
        <w:t xml:space="preserve">8 </w:t>
      </w:r>
      <w:r>
        <w:rPr>
          <w:rFonts w:ascii="宋体" w:hAnsi="宋体" w:eastAsia="宋体" w:cs="宋体"/>
          <w:sz w:val="23"/>
          <w:szCs w:val="23"/>
        </w:rPr>
        <w:t xml:space="preserve">月 </w:t>
      </w:r>
      <w:r>
        <w:rPr>
          <w:rFonts w:ascii="Times New Roman" w:hAnsi="Times New Roman" w:eastAsia="Times New Roman" w:cs="Times New Roman"/>
          <w:sz w:val="23"/>
          <w:szCs w:val="23"/>
        </w:rPr>
        <w:t xml:space="preserve">1 </w:t>
      </w:r>
      <w:r>
        <w:rPr>
          <w:rFonts w:ascii="宋体" w:hAnsi="宋体" w:eastAsia="宋体" w:cs="宋体"/>
          <w:sz w:val="23"/>
          <w:szCs w:val="23"/>
        </w:rPr>
        <w:t>日起施行) ，废活性炭属于</w:t>
      </w:r>
      <w:r>
        <w:rPr>
          <w:rFonts w:ascii="Times New Roman" w:hAnsi="Times New Roman" w:eastAsia="Times New Roman" w:cs="Times New Roman"/>
          <w:sz w:val="23"/>
          <w:szCs w:val="23"/>
        </w:rPr>
        <w:t xml:space="preserve">“HW49  </w:t>
      </w:r>
      <w:r>
        <w:rPr>
          <w:rFonts w:ascii="宋体" w:hAnsi="宋体" w:eastAsia="宋体" w:cs="宋体"/>
          <w:sz w:val="23"/>
          <w:szCs w:val="23"/>
        </w:rPr>
        <w:t xml:space="preserve">其 </w:t>
      </w:r>
      <w:r>
        <w:rPr>
          <w:rFonts w:ascii="宋体" w:hAnsi="宋体" w:eastAsia="宋体" w:cs="宋体"/>
          <w:spacing w:val="4"/>
          <w:sz w:val="23"/>
          <w:szCs w:val="23"/>
        </w:rPr>
        <w:t>他废物</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 xml:space="preserve">，废物代码为 </w:t>
      </w:r>
      <w:r>
        <w:rPr>
          <w:rFonts w:ascii="Times New Roman" w:hAnsi="Times New Roman" w:eastAsia="Times New Roman" w:cs="Times New Roman"/>
          <w:spacing w:val="4"/>
          <w:sz w:val="23"/>
          <w:szCs w:val="23"/>
        </w:rPr>
        <w:t>900-0</w:t>
      </w:r>
      <w:r>
        <w:rPr>
          <w:rFonts w:ascii="Times New Roman" w:hAnsi="Times New Roman" w:eastAsia="Times New Roman" w:cs="Times New Roman"/>
          <w:spacing w:val="2"/>
          <w:sz w:val="23"/>
          <w:szCs w:val="23"/>
        </w:rPr>
        <w:t xml:space="preserve">41-49 </w:t>
      </w:r>
      <w:r>
        <w:rPr>
          <w:rFonts w:ascii="宋体" w:hAnsi="宋体" w:eastAsia="宋体" w:cs="宋体"/>
          <w:spacing w:val="2"/>
          <w:sz w:val="23"/>
          <w:szCs w:val="23"/>
        </w:rPr>
        <w:t>，即</w:t>
      </w:r>
      <w:r>
        <w:rPr>
          <w:rFonts w:ascii="Times New Roman" w:hAnsi="Times New Roman" w:eastAsia="Times New Roman" w:cs="Times New Roman"/>
          <w:spacing w:val="2"/>
          <w:sz w:val="23"/>
          <w:szCs w:val="23"/>
        </w:rPr>
        <w:t>“</w:t>
      </w:r>
      <w:r>
        <w:rPr>
          <w:rFonts w:ascii="宋体" w:hAnsi="宋体" w:eastAsia="宋体" w:cs="宋体"/>
          <w:spacing w:val="2"/>
          <w:sz w:val="23"/>
          <w:szCs w:val="23"/>
        </w:rPr>
        <w:t>含有或沾染毒性、感染性危险废物的废弃</w:t>
      </w:r>
    </w:p>
    <w:p w14:paraId="4ECFEC3E">
      <w:pPr>
        <w:sectPr>
          <w:headerReference r:id="rId141" w:type="default"/>
          <w:footerReference r:id="rId142" w:type="default"/>
          <w:pgSz w:w="11906" w:h="16839"/>
          <w:pgMar w:top="1132" w:right="1719" w:bottom="1182" w:left="1785" w:header="878" w:footer="1022" w:gutter="0"/>
          <w:cols w:space="720" w:num="1"/>
        </w:sectPr>
      </w:pPr>
    </w:p>
    <w:p w14:paraId="07419352">
      <w:pPr>
        <w:spacing w:line="391" w:lineRule="auto"/>
        <w:rPr>
          <w:rFonts w:ascii="Arial"/>
          <w:sz w:val="21"/>
        </w:rPr>
      </w:pPr>
      <w:r>
        <w:pict>
          <v:shape id="_x0000_s1205" o:spid="_x0000_s1205" style="position:absolute;left:0pt;margin-left:90pt;margin-top:57.35pt;height:0.75pt;width:415.3pt;mso-position-horizontal-relative:page;mso-position-vertical-relative:page;z-index:251856896;mso-width-relative:page;mso-height-relative:page;" fillcolor="#000000" filled="t" stroked="f" coordsize="8305,15" o:allowincell="f" path="m0,0l8305,0,8305,14,0,14,0,0xe">
            <v:path/>
            <v:fill on="t" focussize="0,0"/>
            <v:stroke on="f"/>
            <v:imagedata o:title=""/>
            <o:lock v:ext="edit"/>
          </v:shape>
        </w:pict>
      </w:r>
    </w:p>
    <w:p w14:paraId="040C7BCC">
      <w:pPr>
        <w:spacing w:before="75" w:line="376" w:lineRule="auto"/>
        <w:ind w:left="118" w:right="100" w:hanging="1"/>
        <w:rPr>
          <w:rFonts w:ascii="宋体" w:hAnsi="宋体" w:eastAsia="宋体" w:cs="宋体"/>
          <w:sz w:val="23"/>
          <w:szCs w:val="23"/>
        </w:rPr>
      </w:pPr>
      <w:r>
        <w:rPr>
          <w:rFonts w:ascii="宋体" w:hAnsi="宋体" w:eastAsia="宋体" w:cs="宋体"/>
          <w:spacing w:val="8"/>
          <w:sz w:val="23"/>
          <w:szCs w:val="23"/>
        </w:rPr>
        <w:t>包装物、</w:t>
      </w:r>
      <w:r>
        <w:rPr>
          <w:rFonts w:ascii="宋体" w:hAnsi="宋体" w:eastAsia="宋体" w:cs="宋体"/>
          <w:spacing w:val="6"/>
          <w:sz w:val="23"/>
          <w:szCs w:val="23"/>
        </w:rPr>
        <w:t>容</w:t>
      </w:r>
      <w:r>
        <w:rPr>
          <w:rFonts w:ascii="宋体" w:hAnsi="宋体" w:eastAsia="宋体" w:cs="宋体"/>
          <w:spacing w:val="4"/>
          <w:sz w:val="23"/>
          <w:szCs w:val="23"/>
        </w:rPr>
        <w:t>器、过滤吸附介质</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，危险特性为</w:t>
      </w:r>
      <w:r>
        <w:rPr>
          <w:rFonts w:ascii="Times New Roman" w:hAnsi="Times New Roman" w:eastAsia="Times New Roman" w:cs="Times New Roman"/>
          <w:spacing w:val="4"/>
          <w:sz w:val="23"/>
          <w:szCs w:val="23"/>
        </w:rPr>
        <w:t>“</w:t>
      </w:r>
      <w:r>
        <w:rPr>
          <w:rFonts w:ascii="Times New Roman" w:hAnsi="Times New Roman" w:eastAsia="Times New Roman" w:cs="Times New Roman"/>
          <w:sz w:val="23"/>
          <w:szCs w:val="23"/>
        </w:rPr>
        <w:t>T</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(毒性) ，</w:t>
      </w:r>
      <w:r>
        <w:rPr>
          <w:rFonts w:ascii="Times New Roman" w:hAnsi="Times New Roman" w:eastAsia="Times New Roman" w:cs="Times New Roman"/>
          <w:sz w:val="23"/>
          <w:szCs w:val="23"/>
        </w:rPr>
        <w:t>In</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 xml:space="preserve">(感染性) </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。建设</w:t>
      </w:r>
      <w:r>
        <w:rPr>
          <w:rFonts w:ascii="宋体" w:hAnsi="宋体" w:eastAsia="宋体" w:cs="宋体"/>
          <w:sz w:val="23"/>
          <w:szCs w:val="23"/>
        </w:rPr>
        <w:t xml:space="preserve"> </w:t>
      </w:r>
      <w:r>
        <w:rPr>
          <w:rFonts w:ascii="宋体" w:hAnsi="宋体" w:eastAsia="宋体" w:cs="宋体"/>
          <w:spacing w:val="7"/>
          <w:sz w:val="23"/>
          <w:szCs w:val="23"/>
        </w:rPr>
        <w:t>单位应将废活性炭集中收集后存放在固定容器中单独存放，积攒到一定数量后交</w:t>
      </w:r>
      <w:r>
        <w:rPr>
          <w:rFonts w:ascii="宋体" w:hAnsi="宋体" w:eastAsia="宋体" w:cs="宋体"/>
          <w:sz w:val="23"/>
          <w:szCs w:val="23"/>
        </w:rPr>
        <w:t xml:space="preserve"> </w:t>
      </w:r>
      <w:r>
        <w:rPr>
          <w:rFonts w:ascii="宋体" w:hAnsi="宋体" w:eastAsia="宋体" w:cs="宋体"/>
          <w:spacing w:val="13"/>
          <w:sz w:val="23"/>
          <w:szCs w:val="23"/>
        </w:rPr>
        <w:t>由</w:t>
      </w:r>
      <w:r>
        <w:rPr>
          <w:rFonts w:ascii="宋体" w:hAnsi="宋体" w:eastAsia="宋体" w:cs="宋体"/>
          <w:spacing w:val="9"/>
          <w:sz w:val="23"/>
          <w:szCs w:val="23"/>
        </w:rPr>
        <w:t>有资质单位处理，禁止作为一般固体废物随意丢弃排放。</w:t>
      </w:r>
    </w:p>
    <w:p w14:paraId="010ED164">
      <w:pPr>
        <w:spacing w:before="131" w:line="227" w:lineRule="auto"/>
        <w:ind w:left="592"/>
        <w:rPr>
          <w:rFonts w:ascii="宋体" w:hAnsi="宋体" w:eastAsia="宋体" w:cs="宋体"/>
          <w:sz w:val="23"/>
          <w:szCs w:val="23"/>
        </w:rPr>
      </w:pPr>
      <w:r>
        <w:rPr>
          <w:rFonts w:ascii="Times New Roman" w:hAnsi="Times New Roman" w:eastAsia="Times New Roman" w:cs="Times New Roman"/>
          <w:sz w:val="23"/>
          <w:szCs w:val="23"/>
        </w:rPr>
        <w:t>B</w:t>
      </w:r>
      <w:r>
        <w:rPr>
          <w:rFonts w:ascii="Times New Roman" w:hAnsi="Times New Roman" w:eastAsia="Times New Roman" w:cs="Times New Roman"/>
          <w:spacing w:val="2"/>
          <w:sz w:val="23"/>
          <w:szCs w:val="23"/>
        </w:rPr>
        <w:t>.</w:t>
      </w:r>
      <w:r>
        <w:rPr>
          <w:rFonts w:ascii="宋体" w:hAnsi="宋体" w:eastAsia="宋体" w:cs="宋体"/>
          <w:spacing w:val="2"/>
          <w:sz w:val="23"/>
          <w:szCs w:val="23"/>
        </w:rPr>
        <w:t xml:space="preserve">废 </w:t>
      </w:r>
      <w:r>
        <w:rPr>
          <w:rFonts w:ascii="Times New Roman" w:hAnsi="Times New Roman" w:eastAsia="Times New Roman" w:cs="Times New Roman"/>
          <w:sz w:val="23"/>
          <w:szCs w:val="23"/>
        </w:rPr>
        <w:t>uv</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光</w:t>
      </w:r>
      <w:r>
        <w:rPr>
          <w:rFonts w:ascii="宋体" w:hAnsi="宋体" w:eastAsia="宋体" w:cs="宋体"/>
          <w:spacing w:val="1"/>
          <w:sz w:val="23"/>
          <w:szCs w:val="23"/>
        </w:rPr>
        <w:t>解灯管</w:t>
      </w:r>
    </w:p>
    <w:p w14:paraId="2B8AA29C">
      <w:pPr>
        <w:spacing w:before="91" w:line="380" w:lineRule="auto"/>
        <w:ind w:left="116" w:right="102" w:firstLine="484"/>
        <w:rPr>
          <w:rFonts w:ascii="宋体" w:hAnsi="宋体" w:eastAsia="宋体" w:cs="宋体"/>
          <w:sz w:val="23"/>
          <w:szCs w:val="23"/>
        </w:rPr>
      </w:pPr>
      <w:r>
        <w:rPr>
          <w:rFonts w:ascii="宋体" w:hAnsi="宋体" w:eastAsia="宋体" w:cs="宋体"/>
          <w:spacing w:val="-1"/>
          <w:sz w:val="23"/>
          <w:szCs w:val="23"/>
        </w:rPr>
        <w:t xml:space="preserve">该项目所设 </w:t>
      </w:r>
      <w:r>
        <w:rPr>
          <w:rFonts w:ascii="Times New Roman" w:hAnsi="Times New Roman" w:eastAsia="Times New Roman" w:cs="Times New Roman"/>
          <w:sz w:val="23"/>
          <w:szCs w:val="23"/>
        </w:rPr>
        <w:t>UV</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 xml:space="preserve">光氧催化废气处理装置风量为 </w:t>
      </w:r>
      <w:r>
        <w:rPr>
          <w:rFonts w:ascii="Times New Roman" w:hAnsi="Times New Roman" w:eastAsia="Times New Roman" w:cs="Times New Roman"/>
          <w:spacing w:val="-1"/>
          <w:sz w:val="23"/>
          <w:szCs w:val="23"/>
        </w:rPr>
        <w:t>5</w:t>
      </w:r>
      <w:r>
        <w:rPr>
          <w:rFonts w:ascii="Times New Roman" w:hAnsi="Times New Roman" w:eastAsia="Times New Roman" w:cs="Times New Roman"/>
          <w:sz w:val="23"/>
          <w:szCs w:val="23"/>
        </w:rPr>
        <w:t>000m</w:t>
      </w:r>
      <w:r>
        <w:rPr>
          <w:rFonts w:ascii="Times New Roman" w:hAnsi="Times New Roman" w:eastAsia="Times New Roman" w:cs="Times New Roman"/>
          <w:position w:val="8"/>
          <w:sz w:val="15"/>
          <w:szCs w:val="15"/>
        </w:rPr>
        <w:t>3</w:t>
      </w:r>
      <w:r>
        <w:rPr>
          <w:rFonts w:ascii="Times New Roman" w:hAnsi="Times New Roman" w:eastAsia="Times New Roman" w:cs="Times New Roman"/>
          <w:sz w:val="23"/>
          <w:szCs w:val="23"/>
        </w:rPr>
        <w:t>/h</w:t>
      </w:r>
      <w:r>
        <w:rPr>
          <w:rFonts w:ascii="宋体" w:hAnsi="宋体" w:eastAsia="宋体" w:cs="宋体"/>
          <w:sz w:val="23"/>
          <w:szCs w:val="23"/>
        </w:rPr>
        <w:t xml:space="preserve">，共设 </w:t>
      </w:r>
      <w:r>
        <w:rPr>
          <w:rFonts w:ascii="Times New Roman" w:hAnsi="Times New Roman" w:eastAsia="Times New Roman" w:cs="Times New Roman"/>
          <w:sz w:val="23"/>
          <w:szCs w:val="23"/>
        </w:rPr>
        <w:t xml:space="preserve">20 </w:t>
      </w:r>
      <w:r>
        <w:rPr>
          <w:rFonts w:ascii="宋体" w:hAnsi="宋体" w:eastAsia="宋体" w:cs="宋体"/>
          <w:sz w:val="23"/>
          <w:szCs w:val="23"/>
        </w:rPr>
        <w:t xml:space="preserve">根 </w:t>
      </w:r>
      <w:r>
        <w:rPr>
          <w:rFonts w:ascii="Times New Roman" w:hAnsi="Times New Roman" w:eastAsia="Times New Roman" w:cs="Times New Roman"/>
          <w:sz w:val="23"/>
          <w:szCs w:val="23"/>
        </w:rPr>
        <w:t xml:space="preserve">uv </w:t>
      </w:r>
      <w:r>
        <w:rPr>
          <w:rFonts w:ascii="宋体" w:hAnsi="宋体" w:eastAsia="宋体" w:cs="宋体"/>
          <w:sz w:val="23"/>
          <w:szCs w:val="23"/>
        </w:rPr>
        <w:t xml:space="preserve">光解 </w:t>
      </w:r>
      <w:r>
        <w:rPr>
          <w:rFonts w:ascii="宋体" w:hAnsi="宋体" w:eastAsia="宋体" w:cs="宋体"/>
          <w:spacing w:val="10"/>
          <w:sz w:val="23"/>
          <w:szCs w:val="23"/>
        </w:rPr>
        <w:t>灯</w:t>
      </w:r>
      <w:r>
        <w:rPr>
          <w:rFonts w:ascii="宋体" w:hAnsi="宋体" w:eastAsia="宋体" w:cs="宋体"/>
          <w:spacing w:val="5"/>
          <w:sz w:val="23"/>
          <w:szCs w:val="23"/>
        </w:rPr>
        <w:t>管，根据建设单位提供的材料，</w:t>
      </w:r>
      <w:r>
        <w:rPr>
          <w:rFonts w:ascii="Times New Roman" w:hAnsi="Times New Roman" w:eastAsia="Times New Roman" w:cs="Times New Roman"/>
          <w:sz w:val="23"/>
          <w:szCs w:val="23"/>
        </w:rPr>
        <w:t>uv</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rPr>
        <w:t xml:space="preserve">光解灯管每年更换 </w:t>
      </w:r>
      <w:r>
        <w:rPr>
          <w:rFonts w:ascii="Times New Roman" w:hAnsi="Times New Roman" w:eastAsia="Times New Roman" w:cs="Times New Roman"/>
          <w:spacing w:val="5"/>
          <w:sz w:val="23"/>
          <w:szCs w:val="23"/>
        </w:rPr>
        <w:t xml:space="preserve">1 </w:t>
      </w:r>
      <w:r>
        <w:rPr>
          <w:rFonts w:ascii="宋体" w:hAnsi="宋体" w:eastAsia="宋体" w:cs="宋体"/>
          <w:spacing w:val="5"/>
          <w:sz w:val="23"/>
          <w:szCs w:val="23"/>
        </w:rPr>
        <w:t xml:space="preserve">次，则废 </w:t>
      </w:r>
      <w:r>
        <w:rPr>
          <w:rFonts w:ascii="Times New Roman" w:hAnsi="Times New Roman" w:eastAsia="Times New Roman" w:cs="Times New Roman"/>
          <w:sz w:val="23"/>
          <w:szCs w:val="23"/>
        </w:rPr>
        <w:t>uv</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rPr>
        <w:t>光解灯管</w:t>
      </w:r>
      <w:r>
        <w:rPr>
          <w:rFonts w:ascii="宋体" w:hAnsi="宋体" w:eastAsia="宋体" w:cs="宋体"/>
          <w:sz w:val="23"/>
          <w:szCs w:val="23"/>
        </w:rPr>
        <w:t xml:space="preserve"> </w:t>
      </w:r>
      <w:r>
        <w:rPr>
          <w:rFonts w:ascii="宋体" w:hAnsi="宋体" w:eastAsia="宋体" w:cs="宋体"/>
          <w:spacing w:val="-1"/>
          <w:sz w:val="23"/>
          <w:szCs w:val="23"/>
        </w:rPr>
        <w:t xml:space="preserve">产生量为 </w:t>
      </w:r>
      <w:r>
        <w:rPr>
          <w:rFonts w:ascii="Times New Roman" w:hAnsi="Times New Roman" w:eastAsia="Times New Roman" w:cs="Times New Roman"/>
          <w:spacing w:val="-1"/>
          <w:sz w:val="23"/>
          <w:szCs w:val="23"/>
        </w:rPr>
        <w:t xml:space="preserve">20 </w:t>
      </w:r>
      <w:r>
        <w:rPr>
          <w:rFonts w:ascii="宋体" w:hAnsi="宋体" w:eastAsia="宋体" w:cs="宋体"/>
          <w:spacing w:val="-1"/>
          <w:sz w:val="23"/>
          <w:szCs w:val="23"/>
        </w:rPr>
        <w:t>根</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 xml:space="preserve">，约 </w:t>
      </w:r>
      <w:r>
        <w:rPr>
          <w:rFonts w:ascii="Times New Roman" w:hAnsi="Times New Roman" w:eastAsia="Times New Roman" w:cs="Times New Roman"/>
          <w:spacing w:val="-1"/>
          <w:sz w:val="23"/>
          <w:szCs w:val="23"/>
        </w:rPr>
        <w:t>0.4</w:t>
      </w:r>
      <w:r>
        <w:rPr>
          <w:rFonts w:ascii="Times New Roman" w:hAnsi="Times New Roman" w:eastAsia="Times New Roman" w:cs="Times New Roman"/>
          <w:sz w:val="23"/>
          <w:szCs w:val="23"/>
        </w:rPr>
        <w:t>t</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。根据《国家危险废物</w:t>
      </w:r>
      <w:r>
        <w:rPr>
          <w:rFonts w:ascii="宋体" w:hAnsi="宋体" w:eastAsia="宋体" w:cs="宋体"/>
          <w:sz w:val="23"/>
          <w:szCs w:val="23"/>
        </w:rPr>
        <w:t xml:space="preserve">名录》 (环境保护部部令第 </w:t>
      </w:r>
      <w:r>
        <w:rPr>
          <w:rFonts w:ascii="Times New Roman" w:hAnsi="Times New Roman" w:eastAsia="Times New Roman" w:cs="Times New Roman"/>
          <w:sz w:val="23"/>
          <w:szCs w:val="23"/>
        </w:rPr>
        <w:t xml:space="preserve">39 </w:t>
      </w:r>
      <w:r>
        <w:rPr>
          <w:rFonts w:ascii="宋体" w:hAnsi="宋体" w:eastAsia="宋体" w:cs="宋体"/>
          <w:spacing w:val="1"/>
          <w:sz w:val="23"/>
          <w:szCs w:val="23"/>
        </w:rPr>
        <w:t xml:space="preserve">号，自 </w:t>
      </w:r>
      <w:r>
        <w:rPr>
          <w:rFonts w:ascii="Times New Roman" w:hAnsi="Times New Roman" w:eastAsia="Times New Roman" w:cs="Times New Roman"/>
          <w:spacing w:val="1"/>
          <w:sz w:val="23"/>
          <w:szCs w:val="23"/>
        </w:rPr>
        <w:t>2016</w:t>
      </w:r>
      <w:r>
        <w:rPr>
          <w:rFonts w:ascii="Times New Roman" w:hAnsi="Times New Roman" w:eastAsia="Times New Roman" w:cs="Times New Roman"/>
          <w:sz w:val="23"/>
          <w:szCs w:val="23"/>
        </w:rPr>
        <w:t xml:space="preserve"> </w:t>
      </w:r>
      <w:r>
        <w:rPr>
          <w:rFonts w:ascii="宋体" w:hAnsi="宋体" w:eastAsia="宋体" w:cs="宋体"/>
          <w:sz w:val="23"/>
          <w:szCs w:val="23"/>
        </w:rPr>
        <w:t xml:space="preserve">年 </w:t>
      </w:r>
      <w:r>
        <w:rPr>
          <w:rFonts w:ascii="Times New Roman" w:hAnsi="Times New Roman" w:eastAsia="Times New Roman" w:cs="Times New Roman"/>
          <w:sz w:val="23"/>
          <w:szCs w:val="23"/>
        </w:rPr>
        <w:t xml:space="preserve">8 </w:t>
      </w:r>
      <w:r>
        <w:rPr>
          <w:rFonts w:ascii="宋体" w:hAnsi="宋体" w:eastAsia="宋体" w:cs="宋体"/>
          <w:sz w:val="23"/>
          <w:szCs w:val="23"/>
        </w:rPr>
        <w:t xml:space="preserve">月 </w:t>
      </w:r>
      <w:r>
        <w:rPr>
          <w:rFonts w:ascii="Times New Roman" w:hAnsi="Times New Roman" w:eastAsia="Times New Roman" w:cs="Times New Roman"/>
          <w:sz w:val="23"/>
          <w:szCs w:val="23"/>
        </w:rPr>
        <w:t xml:space="preserve">1 </w:t>
      </w:r>
      <w:r>
        <w:rPr>
          <w:rFonts w:ascii="宋体" w:hAnsi="宋体" w:eastAsia="宋体" w:cs="宋体"/>
          <w:sz w:val="23"/>
          <w:szCs w:val="23"/>
        </w:rPr>
        <w:t xml:space="preserve">日起施行) ，废 </w:t>
      </w:r>
      <w:r>
        <w:rPr>
          <w:rFonts w:ascii="Times New Roman" w:hAnsi="Times New Roman" w:eastAsia="Times New Roman" w:cs="Times New Roman"/>
          <w:sz w:val="23"/>
          <w:szCs w:val="23"/>
        </w:rPr>
        <w:t xml:space="preserve">uv </w:t>
      </w:r>
      <w:r>
        <w:rPr>
          <w:rFonts w:ascii="宋体" w:hAnsi="宋体" w:eastAsia="宋体" w:cs="宋体"/>
          <w:sz w:val="23"/>
          <w:szCs w:val="23"/>
        </w:rPr>
        <w:t>光解灯管属于</w:t>
      </w:r>
      <w:r>
        <w:rPr>
          <w:rFonts w:ascii="Times New Roman" w:hAnsi="Times New Roman" w:eastAsia="Times New Roman" w:cs="Times New Roman"/>
          <w:sz w:val="23"/>
          <w:szCs w:val="23"/>
        </w:rPr>
        <w:t xml:space="preserve">“HW29  </w:t>
      </w:r>
      <w:r>
        <w:rPr>
          <w:rFonts w:ascii="宋体" w:hAnsi="宋体" w:eastAsia="宋体" w:cs="宋体"/>
          <w:sz w:val="23"/>
          <w:szCs w:val="23"/>
        </w:rPr>
        <w:t>含汞废物</w:t>
      </w:r>
      <w:r>
        <w:rPr>
          <w:rFonts w:ascii="Times New Roman" w:hAnsi="Times New Roman" w:eastAsia="Times New Roman" w:cs="Times New Roman"/>
          <w:sz w:val="23"/>
          <w:szCs w:val="23"/>
        </w:rPr>
        <w:t>”</w:t>
      </w:r>
      <w:r>
        <w:rPr>
          <w:rFonts w:ascii="宋体" w:hAnsi="宋体" w:eastAsia="宋体" w:cs="宋体"/>
          <w:sz w:val="23"/>
          <w:szCs w:val="23"/>
        </w:rPr>
        <w:t xml:space="preserve">，废物 </w:t>
      </w:r>
      <w:r>
        <w:rPr>
          <w:rFonts w:ascii="宋体" w:hAnsi="宋体" w:eastAsia="宋体" w:cs="宋体"/>
          <w:spacing w:val="12"/>
          <w:sz w:val="23"/>
          <w:szCs w:val="23"/>
        </w:rPr>
        <w:t xml:space="preserve">代码为 </w:t>
      </w:r>
      <w:r>
        <w:rPr>
          <w:rFonts w:ascii="Times New Roman" w:hAnsi="Times New Roman" w:eastAsia="Times New Roman" w:cs="Times New Roman"/>
          <w:spacing w:val="12"/>
          <w:sz w:val="23"/>
          <w:szCs w:val="23"/>
        </w:rPr>
        <w:t>9</w:t>
      </w:r>
      <w:r>
        <w:rPr>
          <w:rFonts w:ascii="Times New Roman" w:hAnsi="Times New Roman" w:eastAsia="Times New Roman" w:cs="Times New Roman"/>
          <w:spacing w:val="6"/>
          <w:sz w:val="23"/>
          <w:szCs w:val="23"/>
        </w:rPr>
        <w:t xml:space="preserve">00-023-29 </w:t>
      </w:r>
      <w:r>
        <w:rPr>
          <w:rFonts w:ascii="宋体" w:hAnsi="宋体" w:eastAsia="宋体" w:cs="宋体"/>
          <w:spacing w:val="6"/>
          <w:sz w:val="23"/>
          <w:szCs w:val="23"/>
        </w:rPr>
        <w:t>，即</w:t>
      </w:r>
      <w:r>
        <w:rPr>
          <w:rFonts w:ascii="Times New Roman" w:hAnsi="Times New Roman" w:eastAsia="Times New Roman" w:cs="Times New Roman"/>
          <w:spacing w:val="6"/>
          <w:sz w:val="23"/>
          <w:szCs w:val="23"/>
        </w:rPr>
        <w:t>“</w:t>
      </w:r>
      <w:r>
        <w:rPr>
          <w:rFonts w:ascii="宋体" w:hAnsi="宋体" w:eastAsia="宋体" w:cs="宋体"/>
          <w:spacing w:val="6"/>
          <w:sz w:val="23"/>
          <w:szCs w:val="23"/>
        </w:rPr>
        <w:t>生产、销售及使用过程中产生的废含汞荧光灯管及其他</w:t>
      </w:r>
      <w:r>
        <w:rPr>
          <w:rFonts w:ascii="宋体" w:hAnsi="宋体" w:eastAsia="宋体" w:cs="宋体"/>
          <w:sz w:val="23"/>
          <w:szCs w:val="23"/>
        </w:rPr>
        <w:t xml:space="preserve"> </w:t>
      </w:r>
      <w:r>
        <w:rPr>
          <w:rFonts w:ascii="宋体" w:hAnsi="宋体" w:eastAsia="宋体" w:cs="宋体"/>
          <w:spacing w:val="5"/>
          <w:sz w:val="23"/>
          <w:szCs w:val="23"/>
        </w:rPr>
        <w:t>废含汞电光源</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rPr>
        <w:t>，危险特性为</w:t>
      </w:r>
      <w:r>
        <w:rPr>
          <w:rFonts w:ascii="Times New Roman" w:hAnsi="Times New Roman" w:eastAsia="Times New Roman" w:cs="Times New Roman"/>
          <w:spacing w:val="5"/>
          <w:sz w:val="23"/>
          <w:szCs w:val="23"/>
        </w:rPr>
        <w:t>“</w:t>
      </w:r>
      <w:r>
        <w:rPr>
          <w:rFonts w:ascii="Times New Roman" w:hAnsi="Times New Roman" w:eastAsia="Times New Roman" w:cs="Times New Roman"/>
          <w:sz w:val="23"/>
          <w:szCs w:val="23"/>
        </w:rPr>
        <w:t>T</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rPr>
        <w:t xml:space="preserve">(毒性) </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rPr>
        <w:t xml:space="preserve">。建设单位应将废 </w:t>
      </w:r>
      <w:r>
        <w:rPr>
          <w:rFonts w:ascii="Times New Roman" w:hAnsi="Times New Roman" w:eastAsia="Times New Roman" w:cs="Times New Roman"/>
          <w:sz w:val="23"/>
          <w:szCs w:val="23"/>
        </w:rPr>
        <w:t>uv</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rPr>
        <w:t>光解灯管集中</w:t>
      </w:r>
      <w:r>
        <w:rPr>
          <w:rFonts w:ascii="宋体" w:hAnsi="宋体" w:eastAsia="宋体" w:cs="宋体"/>
          <w:spacing w:val="3"/>
          <w:sz w:val="23"/>
          <w:szCs w:val="23"/>
        </w:rPr>
        <w:t>收</w:t>
      </w:r>
      <w:r>
        <w:rPr>
          <w:rFonts w:ascii="宋体" w:hAnsi="宋体" w:eastAsia="宋体" w:cs="宋体"/>
          <w:sz w:val="23"/>
          <w:szCs w:val="23"/>
        </w:rPr>
        <w:t xml:space="preserve"> </w:t>
      </w:r>
      <w:r>
        <w:rPr>
          <w:rFonts w:ascii="宋体" w:hAnsi="宋体" w:eastAsia="宋体" w:cs="宋体"/>
          <w:spacing w:val="9"/>
          <w:sz w:val="23"/>
          <w:szCs w:val="23"/>
        </w:rPr>
        <w:t>集</w:t>
      </w:r>
      <w:r>
        <w:rPr>
          <w:rFonts w:ascii="宋体" w:hAnsi="宋体" w:eastAsia="宋体" w:cs="宋体"/>
          <w:spacing w:val="7"/>
          <w:sz w:val="23"/>
          <w:szCs w:val="23"/>
        </w:rPr>
        <w:t>后存放在固定容器中单独存放，积攒到一定数量后交由有资质单位处理，禁止</w:t>
      </w:r>
      <w:r>
        <w:rPr>
          <w:rFonts w:ascii="宋体" w:hAnsi="宋体" w:eastAsia="宋体" w:cs="宋体"/>
          <w:sz w:val="23"/>
          <w:szCs w:val="23"/>
        </w:rPr>
        <w:t xml:space="preserve"> </w:t>
      </w:r>
      <w:r>
        <w:rPr>
          <w:rFonts w:ascii="宋体" w:hAnsi="宋体" w:eastAsia="宋体" w:cs="宋体"/>
          <w:spacing w:val="16"/>
          <w:sz w:val="23"/>
          <w:szCs w:val="23"/>
        </w:rPr>
        <w:t>作</w:t>
      </w:r>
      <w:r>
        <w:rPr>
          <w:rFonts w:ascii="宋体" w:hAnsi="宋体" w:eastAsia="宋体" w:cs="宋体"/>
          <w:spacing w:val="11"/>
          <w:sz w:val="23"/>
          <w:szCs w:val="23"/>
        </w:rPr>
        <w:t>为</w:t>
      </w:r>
      <w:r>
        <w:rPr>
          <w:rFonts w:ascii="宋体" w:hAnsi="宋体" w:eastAsia="宋体" w:cs="宋体"/>
          <w:spacing w:val="8"/>
          <w:sz w:val="23"/>
          <w:szCs w:val="23"/>
        </w:rPr>
        <w:t>一般固体废物随意丢弃排放。</w:t>
      </w:r>
    </w:p>
    <w:p w14:paraId="7A123E6B">
      <w:pPr>
        <w:spacing w:before="197" w:line="374" w:lineRule="auto"/>
        <w:ind w:left="117" w:right="105" w:firstLine="483"/>
        <w:rPr>
          <w:rFonts w:ascii="宋体" w:hAnsi="宋体" w:eastAsia="宋体" w:cs="宋体"/>
          <w:sz w:val="23"/>
          <w:szCs w:val="23"/>
        </w:rPr>
      </w:pPr>
      <w:r>
        <w:rPr>
          <w:rFonts w:ascii="宋体" w:hAnsi="宋体" w:eastAsia="宋体" w:cs="宋体"/>
          <w:spacing w:val="6"/>
          <w:sz w:val="23"/>
          <w:szCs w:val="23"/>
        </w:rPr>
        <w:t xml:space="preserve">该项目拟在备品备件库西侧设置一间危废暂存间，面积约 </w:t>
      </w:r>
      <w:r>
        <w:rPr>
          <w:rFonts w:ascii="Times New Roman" w:hAnsi="Times New Roman" w:eastAsia="Times New Roman" w:cs="Times New Roman"/>
          <w:spacing w:val="6"/>
          <w:sz w:val="23"/>
          <w:szCs w:val="23"/>
        </w:rPr>
        <w:t>5</w:t>
      </w:r>
      <w:r>
        <w:rPr>
          <w:rFonts w:ascii="Times New Roman" w:hAnsi="Times New Roman" w:eastAsia="Times New Roman" w:cs="Times New Roman"/>
          <w:sz w:val="23"/>
          <w:szCs w:val="23"/>
        </w:rPr>
        <w:t>m</w:t>
      </w:r>
      <w:r>
        <w:rPr>
          <w:rFonts w:ascii="Times New Roman" w:hAnsi="Times New Roman" w:eastAsia="Times New Roman" w:cs="Times New Roman"/>
          <w:spacing w:val="6"/>
          <w:position w:val="8"/>
          <w:sz w:val="15"/>
          <w:szCs w:val="15"/>
        </w:rPr>
        <w:t>2</w:t>
      </w:r>
      <w:r>
        <w:rPr>
          <w:rFonts w:ascii="宋体" w:hAnsi="宋体" w:eastAsia="宋体" w:cs="宋体"/>
          <w:spacing w:val="6"/>
          <w:sz w:val="23"/>
          <w:szCs w:val="23"/>
        </w:rPr>
        <w:t>，产生的废</w:t>
      </w:r>
      <w:r>
        <w:rPr>
          <w:rFonts w:ascii="宋体" w:hAnsi="宋体" w:eastAsia="宋体" w:cs="宋体"/>
          <w:spacing w:val="3"/>
          <w:sz w:val="23"/>
          <w:szCs w:val="23"/>
        </w:rPr>
        <w:t>活</w:t>
      </w:r>
      <w:r>
        <w:rPr>
          <w:rFonts w:ascii="宋体" w:hAnsi="宋体" w:eastAsia="宋体" w:cs="宋体"/>
          <w:sz w:val="23"/>
          <w:szCs w:val="23"/>
        </w:rPr>
        <w:t xml:space="preserve"> </w:t>
      </w:r>
      <w:r>
        <w:rPr>
          <w:rFonts w:ascii="宋体" w:hAnsi="宋体" w:eastAsia="宋体" w:cs="宋体"/>
          <w:spacing w:val="16"/>
          <w:sz w:val="23"/>
          <w:szCs w:val="23"/>
        </w:rPr>
        <w:t>性炭、</w:t>
      </w:r>
      <w:r>
        <w:rPr>
          <w:rFonts w:ascii="宋体" w:hAnsi="宋体" w:eastAsia="宋体" w:cs="宋体"/>
          <w:spacing w:val="8"/>
          <w:sz w:val="23"/>
          <w:szCs w:val="23"/>
        </w:rPr>
        <w:t xml:space="preserve">废 </w:t>
      </w:r>
      <w:r>
        <w:rPr>
          <w:rFonts w:ascii="Times New Roman" w:hAnsi="Times New Roman" w:eastAsia="Times New Roman" w:cs="Times New Roman"/>
          <w:sz w:val="23"/>
          <w:szCs w:val="23"/>
        </w:rPr>
        <w:t>uv</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光解灯管均设有固定容器单独暂存于危险暂存间内，积攒到一定数</w:t>
      </w:r>
      <w:r>
        <w:rPr>
          <w:rFonts w:ascii="宋体" w:hAnsi="宋体" w:eastAsia="宋体" w:cs="宋体"/>
          <w:sz w:val="23"/>
          <w:szCs w:val="23"/>
        </w:rPr>
        <w:t xml:space="preserve"> </w:t>
      </w:r>
      <w:r>
        <w:rPr>
          <w:rFonts w:ascii="宋体" w:hAnsi="宋体" w:eastAsia="宋体" w:cs="宋体"/>
          <w:spacing w:val="9"/>
          <w:sz w:val="23"/>
          <w:szCs w:val="23"/>
        </w:rPr>
        <w:t>量</w:t>
      </w:r>
      <w:r>
        <w:rPr>
          <w:rFonts w:ascii="宋体" w:hAnsi="宋体" w:eastAsia="宋体" w:cs="宋体"/>
          <w:spacing w:val="7"/>
          <w:sz w:val="23"/>
          <w:szCs w:val="23"/>
        </w:rPr>
        <w:t>后交由有资质单位处理。为了防止二次污染，危险废物的转移、利用或处置执</w:t>
      </w:r>
      <w:r>
        <w:rPr>
          <w:rFonts w:ascii="宋体" w:hAnsi="宋体" w:eastAsia="宋体" w:cs="宋体"/>
          <w:sz w:val="23"/>
          <w:szCs w:val="23"/>
        </w:rPr>
        <w:t xml:space="preserve"> </w:t>
      </w:r>
      <w:r>
        <w:rPr>
          <w:rFonts w:ascii="宋体" w:hAnsi="宋体" w:eastAsia="宋体" w:cs="宋体"/>
          <w:spacing w:val="13"/>
          <w:sz w:val="23"/>
          <w:szCs w:val="23"/>
        </w:rPr>
        <w:t>行</w:t>
      </w:r>
      <w:r>
        <w:rPr>
          <w:rFonts w:ascii="宋体" w:hAnsi="宋体" w:eastAsia="宋体" w:cs="宋体"/>
          <w:spacing w:val="9"/>
          <w:sz w:val="23"/>
          <w:szCs w:val="23"/>
        </w:rPr>
        <w:t>危险废物转移联单制度，按规定办理环保备案手续。</w:t>
      </w:r>
    </w:p>
    <w:p w14:paraId="193126FC">
      <w:pPr>
        <w:tabs>
          <w:tab w:val="left" w:pos="242"/>
        </w:tabs>
        <w:spacing w:before="135" w:line="364" w:lineRule="auto"/>
        <w:ind w:left="113" w:right="43" w:firstLine="483"/>
        <w:rPr>
          <w:rFonts w:ascii="宋体" w:hAnsi="宋体" w:eastAsia="宋体" w:cs="宋体"/>
          <w:sz w:val="23"/>
          <w:szCs w:val="23"/>
        </w:rPr>
      </w:pPr>
      <w:r>
        <w:rPr>
          <w:rFonts w:ascii="宋体" w:hAnsi="宋体" w:eastAsia="宋体" w:cs="宋体"/>
          <w:spacing w:val="15"/>
          <w:sz w:val="23"/>
          <w:szCs w:val="23"/>
        </w:rPr>
        <w:t>废</w:t>
      </w:r>
      <w:r>
        <w:rPr>
          <w:rFonts w:ascii="宋体" w:hAnsi="宋体" w:eastAsia="宋体" w:cs="宋体"/>
          <w:spacing w:val="8"/>
          <w:sz w:val="23"/>
          <w:szCs w:val="23"/>
        </w:rPr>
        <w:t xml:space="preserve">活性炭、废 </w:t>
      </w:r>
      <w:r>
        <w:rPr>
          <w:rFonts w:ascii="Times New Roman" w:hAnsi="Times New Roman" w:eastAsia="Times New Roman" w:cs="Times New Roman"/>
          <w:sz w:val="23"/>
          <w:szCs w:val="23"/>
        </w:rPr>
        <w:t>uv</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光解灯管临时储存应执行《危险废物贮存污染控制标准》</w:t>
      </w:r>
      <w:r>
        <w:rPr>
          <w:rFonts w:ascii="宋体" w:hAnsi="宋体" w:eastAsia="宋体" w:cs="宋体"/>
          <w:sz w:val="23"/>
          <w:szCs w:val="23"/>
        </w:rPr>
        <w:t xml:space="preserve"> </w:t>
      </w:r>
      <w:r>
        <w:rPr>
          <w:rFonts w:ascii="宋体" w:hAnsi="宋体" w:eastAsia="宋体" w:cs="宋体"/>
          <w:sz w:val="23"/>
          <w:szCs w:val="23"/>
        </w:rPr>
        <w:tab/>
      </w:r>
      <w:r>
        <w:rPr>
          <w:rFonts w:ascii="宋体" w:hAnsi="宋体" w:eastAsia="宋体" w:cs="宋体"/>
          <w:spacing w:val="3"/>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3"/>
          <w:sz w:val="23"/>
          <w:szCs w:val="23"/>
        </w:rPr>
        <w:t>18597-2001</w:t>
      </w:r>
      <w:r>
        <w:rPr>
          <w:rFonts w:ascii="宋体" w:hAnsi="宋体" w:eastAsia="宋体" w:cs="宋体"/>
          <w:spacing w:val="3"/>
          <w:sz w:val="23"/>
          <w:szCs w:val="23"/>
        </w:rPr>
        <w:t xml:space="preserve">) 及其修改单的公告 (环境保护部公告，公告 </w:t>
      </w:r>
      <w:r>
        <w:rPr>
          <w:rFonts w:ascii="Times New Roman" w:hAnsi="Times New Roman" w:eastAsia="Times New Roman" w:cs="Times New Roman"/>
          <w:spacing w:val="3"/>
          <w:sz w:val="23"/>
          <w:szCs w:val="23"/>
        </w:rPr>
        <w:t xml:space="preserve">2013 </w:t>
      </w:r>
      <w:r>
        <w:rPr>
          <w:rFonts w:ascii="宋体" w:hAnsi="宋体" w:eastAsia="宋体" w:cs="宋体"/>
          <w:spacing w:val="3"/>
          <w:sz w:val="23"/>
          <w:szCs w:val="23"/>
        </w:rPr>
        <w:t xml:space="preserve">年第 </w:t>
      </w:r>
      <w:r>
        <w:rPr>
          <w:rFonts w:ascii="Times New Roman" w:hAnsi="Times New Roman" w:eastAsia="Times New Roman" w:cs="Times New Roman"/>
          <w:spacing w:val="3"/>
          <w:sz w:val="23"/>
          <w:szCs w:val="23"/>
        </w:rPr>
        <w:t>36</w:t>
      </w:r>
      <w:r>
        <w:rPr>
          <w:rFonts w:ascii="Times New Roman" w:hAnsi="Times New Roman" w:eastAsia="Times New Roman" w:cs="Times New Roman"/>
          <w:spacing w:val="2"/>
          <w:sz w:val="23"/>
          <w:szCs w:val="23"/>
        </w:rPr>
        <w:t xml:space="preserve"> </w:t>
      </w:r>
      <w:r>
        <w:rPr>
          <w:rFonts w:ascii="宋体" w:hAnsi="宋体" w:eastAsia="宋体" w:cs="宋体"/>
          <w:sz w:val="23"/>
          <w:szCs w:val="23"/>
        </w:rPr>
        <w:t xml:space="preserve">号， </w:t>
      </w:r>
      <w:r>
        <w:rPr>
          <w:rFonts w:ascii="Times New Roman" w:hAnsi="Times New Roman" w:eastAsia="Times New Roman" w:cs="Times New Roman"/>
          <w:spacing w:val="14"/>
          <w:sz w:val="23"/>
          <w:szCs w:val="23"/>
        </w:rPr>
        <w:t>2</w:t>
      </w:r>
      <w:r>
        <w:rPr>
          <w:rFonts w:ascii="Times New Roman" w:hAnsi="Times New Roman" w:eastAsia="Times New Roman" w:cs="Times New Roman"/>
          <w:spacing w:val="12"/>
          <w:sz w:val="23"/>
          <w:szCs w:val="23"/>
        </w:rPr>
        <w:t>0</w:t>
      </w:r>
      <w:r>
        <w:rPr>
          <w:rFonts w:ascii="Times New Roman" w:hAnsi="Times New Roman" w:eastAsia="Times New Roman" w:cs="Times New Roman"/>
          <w:spacing w:val="7"/>
          <w:sz w:val="23"/>
          <w:szCs w:val="23"/>
        </w:rPr>
        <w:t xml:space="preserve">13 </w:t>
      </w:r>
      <w:r>
        <w:rPr>
          <w:rFonts w:ascii="宋体" w:hAnsi="宋体" w:eastAsia="宋体" w:cs="宋体"/>
          <w:spacing w:val="7"/>
          <w:sz w:val="23"/>
          <w:szCs w:val="23"/>
        </w:rPr>
        <w:t xml:space="preserve">年 </w:t>
      </w:r>
      <w:r>
        <w:rPr>
          <w:rFonts w:ascii="Times New Roman" w:hAnsi="Times New Roman" w:eastAsia="Times New Roman" w:cs="Times New Roman"/>
          <w:spacing w:val="7"/>
          <w:sz w:val="23"/>
          <w:szCs w:val="23"/>
        </w:rPr>
        <w:t xml:space="preserve">6 </w:t>
      </w:r>
      <w:r>
        <w:rPr>
          <w:rFonts w:ascii="宋体" w:hAnsi="宋体" w:eastAsia="宋体" w:cs="宋体"/>
          <w:spacing w:val="7"/>
          <w:sz w:val="23"/>
          <w:szCs w:val="23"/>
        </w:rPr>
        <w:t xml:space="preserve">月 </w:t>
      </w:r>
      <w:r>
        <w:rPr>
          <w:rFonts w:ascii="Times New Roman" w:hAnsi="Times New Roman" w:eastAsia="Times New Roman" w:cs="Times New Roman"/>
          <w:spacing w:val="7"/>
          <w:sz w:val="23"/>
          <w:szCs w:val="23"/>
        </w:rPr>
        <w:t xml:space="preserve">8 </w:t>
      </w:r>
      <w:r>
        <w:rPr>
          <w:rFonts w:ascii="宋体" w:hAnsi="宋体" w:eastAsia="宋体" w:cs="宋体"/>
          <w:spacing w:val="7"/>
          <w:sz w:val="23"/>
          <w:szCs w:val="23"/>
        </w:rPr>
        <w:t>日) ，建设单位应加强对危险废弃物产生源的监督管理，应建造</w:t>
      </w:r>
      <w:r>
        <w:rPr>
          <w:rFonts w:ascii="宋体" w:hAnsi="宋体" w:eastAsia="宋体" w:cs="宋体"/>
          <w:sz w:val="23"/>
          <w:szCs w:val="23"/>
        </w:rPr>
        <w:t xml:space="preserve"> </w:t>
      </w:r>
      <w:r>
        <w:rPr>
          <w:rFonts w:ascii="宋体" w:hAnsi="宋体" w:eastAsia="宋体" w:cs="宋体"/>
          <w:spacing w:val="13"/>
          <w:sz w:val="23"/>
          <w:szCs w:val="23"/>
        </w:rPr>
        <w:t>专</w:t>
      </w:r>
      <w:r>
        <w:rPr>
          <w:rFonts w:ascii="宋体" w:hAnsi="宋体" w:eastAsia="宋体" w:cs="宋体"/>
          <w:spacing w:val="7"/>
          <w:sz w:val="23"/>
          <w:szCs w:val="23"/>
        </w:rPr>
        <w:t>用的危险废弃物贮存设施，贮存、处置场所等设施必须设置警示标志等，同时</w:t>
      </w:r>
      <w:r>
        <w:rPr>
          <w:rFonts w:ascii="宋体" w:hAnsi="宋体" w:eastAsia="宋体" w:cs="宋体"/>
          <w:sz w:val="23"/>
          <w:szCs w:val="23"/>
        </w:rPr>
        <w:t xml:space="preserve"> </w:t>
      </w:r>
      <w:r>
        <w:rPr>
          <w:rFonts w:ascii="宋体" w:hAnsi="宋体" w:eastAsia="宋体" w:cs="宋体"/>
          <w:spacing w:val="14"/>
          <w:sz w:val="23"/>
          <w:szCs w:val="23"/>
        </w:rPr>
        <w:t>制定</w:t>
      </w:r>
      <w:r>
        <w:rPr>
          <w:rFonts w:ascii="宋体" w:hAnsi="宋体" w:eastAsia="宋体" w:cs="宋体"/>
          <w:spacing w:val="8"/>
          <w:sz w:val="23"/>
          <w:szCs w:val="23"/>
        </w:rPr>
        <w:t>防</w:t>
      </w:r>
      <w:r>
        <w:rPr>
          <w:rFonts w:ascii="宋体" w:hAnsi="宋体" w:eastAsia="宋体" w:cs="宋体"/>
          <w:spacing w:val="7"/>
          <w:sz w:val="23"/>
          <w:szCs w:val="23"/>
        </w:rPr>
        <w:t>止泄漏、散失的安全措施。同时要求对危废暂存间做防渗处理，并设置危</w:t>
      </w:r>
      <w:r>
        <w:rPr>
          <w:rFonts w:ascii="宋体" w:hAnsi="宋体" w:eastAsia="宋体" w:cs="宋体"/>
          <w:sz w:val="23"/>
          <w:szCs w:val="23"/>
        </w:rPr>
        <w:t xml:space="preserve"> </w:t>
      </w:r>
      <w:r>
        <w:rPr>
          <w:rFonts w:ascii="宋体" w:hAnsi="宋体" w:eastAsia="宋体" w:cs="宋体"/>
          <w:spacing w:val="8"/>
          <w:sz w:val="23"/>
          <w:szCs w:val="23"/>
        </w:rPr>
        <w:t xml:space="preserve">险废物警示标志，危废暂存间底部铺设 </w:t>
      </w:r>
      <w:r>
        <w:rPr>
          <w:rFonts w:ascii="Times New Roman" w:hAnsi="Times New Roman" w:eastAsia="Times New Roman" w:cs="Times New Roman"/>
          <w:spacing w:val="8"/>
          <w:sz w:val="23"/>
          <w:szCs w:val="23"/>
        </w:rPr>
        <w:t>300</w:t>
      </w:r>
      <w:r>
        <w:rPr>
          <w:rFonts w:ascii="Times New Roman" w:hAnsi="Times New Roman" w:eastAsia="Times New Roman" w:cs="Times New Roman"/>
          <w:sz w:val="23"/>
          <w:szCs w:val="23"/>
        </w:rPr>
        <w:t>mm</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黏土层 (保护层，同时作为辅</w:t>
      </w:r>
      <w:r>
        <w:rPr>
          <w:rFonts w:ascii="宋体" w:hAnsi="宋体" w:eastAsia="宋体" w:cs="宋体"/>
          <w:spacing w:val="7"/>
          <w:sz w:val="23"/>
          <w:szCs w:val="23"/>
        </w:rPr>
        <w:t>助</w:t>
      </w:r>
      <w:r>
        <w:rPr>
          <w:rFonts w:ascii="宋体" w:hAnsi="宋体" w:eastAsia="宋体" w:cs="宋体"/>
          <w:sz w:val="23"/>
          <w:szCs w:val="23"/>
        </w:rPr>
        <w:t xml:space="preserve"> </w:t>
      </w:r>
      <w:r>
        <w:rPr>
          <w:rFonts w:ascii="宋体" w:hAnsi="宋体" w:eastAsia="宋体" w:cs="宋体"/>
          <w:spacing w:val="14"/>
          <w:sz w:val="23"/>
          <w:szCs w:val="23"/>
        </w:rPr>
        <w:t>防渗</w:t>
      </w:r>
      <w:r>
        <w:rPr>
          <w:rFonts w:ascii="宋体" w:hAnsi="宋体" w:eastAsia="宋体" w:cs="宋体"/>
          <w:spacing w:val="11"/>
          <w:sz w:val="23"/>
          <w:szCs w:val="23"/>
        </w:rPr>
        <w:t>层</w:t>
      </w:r>
      <w:r>
        <w:rPr>
          <w:rFonts w:ascii="宋体" w:hAnsi="宋体" w:eastAsia="宋体" w:cs="宋体"/>
          <w:spacing w:val="7"/>
          <w:sz w:val="23"/>
          <w:szCs w:val="23"/>
        </w:rPr>
        <w:t xml:space="preserve">) 压实平整，黏土层上铺设 </w:t>
      </w:r>
      <w:r>
        <w:rPr>
          <w:rFonts w:ascii="Times New Roman" w:hAnsi="Times New Roman" w:eastAsia="Times New Roman" w:cs="Times New Roman"/>
          <w:sz w:val="23"/>
          <w:szCs w:val="23"/>
        </w:rPr>
        <w:t>HDPE</w:t>
      </w:r>
      <w:r>
        <w:rPr>
          <w:rFonts w:ascii="Times New Roman" w:hAnsi="Times New Roman" w:eastAsia="Times New Roman" w:cs="Times New Roman"/>
          <w:spacing w:val="7"/>
          <w:sz w:val="23"/>
          <w:szCs w:val="23"/>
        </w:rPr>
        <w:t>-</w:t>
      </w:r>
      <w:r>
        <w:rPr>
          <w:rFonts w:ascii="Times New Roman" w:hAnsi="Times New Roman" w:eastAsia="Times New Roman" w:cs="Times New Roman"/>
          <w:sz w:val="23"/>
          <w:szCs w:val="23"/>
        </w:rPr>
        <w:t>GCL</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复合防渗系统 (</w:t>
      </w:r>
      <w:r>
        <w:rPr>
          <w:rFonts w:ascii="Times New Roman" w:hAnsi="Times New Roman" w:eastAsia="Times New Roman" w:cs="Times New Roman"/>
          <w:spacing w:val="7"/>
          <w:sz w:val="23"/>
          <w:szCs w:val="23"/>
        </w:rPr>
        <w:t>2</w:t>
      </w:r>
      <w:r>
        <w:rPr>
          <w:rFonts w:ascii="Times New Roman" w:hAnsi="Times New Roman" w:eastAsia="Times New Roman" w:cs="Times New Roman"/>
          <w:sz w:val="23"/>
          <w:szCs w:val="23"/>
        </w:rPr>
        <w:t>mm</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厚的高密度</w:t>
      </w:r>
    </w:p>
    <w:p w14:paraId="084BE819">
      <w:pPr>
        <w:spacing w:line="322" w:lineRule="exact"/>
        <w:ind w:left="126"/>
        <w:rPr>
          <w:rFonts w:ascii="宋体" w:hAnsi="宋体" w:eastAsia="宋体" w:cs="宋体"/>
          <w:sz w:val="23"/>
          <w:szCs w:val="23"/>
        </w:rPr>
      </w:pPr>
      <w:r>
        <w:rPr>
          <w:rFonts w:ascii="宋体" w:hAnsi="宋体" w:eastAsia="宋体" w:cs="宋体"/>
          <w:spacing w:val="4"/>
          <w:position w:val="3"/>
          <w:sz w:val="23"/>
          <w:szCs w:val="23"/>
        </w:rPr>
        <w:t>聚乙烯膜、</w:t>
      </w:r>
      <w:r>
        <w:rPr>
          <w:rFonts w:ascii="Times New Roman" w:hAnsi="Times New Roman" w:eastAsia="Times New Roman" w:cs="Times New Roman"/>
          <w:spacing w:val="4"/>
          <w:position w:val="3"/>
          <w:sz w:val="23"/>
          <w:szCs w:val="23"/>
        </w:rPr>
        <w:t>300</w:t>
      </w:r>
      <w:r>
        <w:rPr>
          <w:rFonts w:ascii="Times New Roman" w:hAnsi="Times New Roman" w:eastAsia="Times New Roman" w:cs="Times New Roman"/>
          <w:position w:val="3"/>
          <w:sz w:val="23"/>
          <w:szCs w:val="23"/>
        </w:rPr>
        <w:t>g</w:t>
      </w:r>
      <w:r>
        <w:rPr>
          <w:rFonts w:ascii="Times New Roman" w:hAnsi="Times New Roman" w:eastAsia="Times New Roman" w:cs="Times New Roman"/>
          <w:spacing w:val="4"/>
          <w:position w:val="3"/>
          <w:sz w:val="23"/>
          <w:szCs w:val="23"/>
        </w:rPr>
        <w:t>/</w:t>
      </w:r>
      <w:r>
        <w:rPr>
          <w:rFonts w:ascii="Times New Roman" w:hAnsi="Times New Roman" w:eastAsia="Times New Roman" w:cs="Times New Roman"/>
          <w:position w:val="3"/>
          <w:sz w:val="23"/>
          <w:szCs w:val="23"/>
        </w:rPr>
        <w:t>m</w:t>
      </w:r>
      <w:r>
        <w:rPr>
          <w:rFonts w:ascii="Times New Roman" w:hAnsi="Times New Roman" w:eastAsia="Times New Roman" w:cs="Times New Roman"/>
          <w:spacing w:val="4"/>
          <w:position w:val="10"/>
          <w:sz w:val="15"/>
          <w:szCs w:val="15"/>
        </w:rPr>
        <w:t xml:space="preserve">2 </w:t>
      </w:r>
      <w:r>
        <w:rPr>
          <w:rFonts w:ascii="宋体" w:hAnsi="宋体" w:eastAsia="宋体" w:cs="宋体"/>
          <w:spacing w:val="4"/>
          <w:position w:val="3"/>
          <w:sz w:val="23"/>
          <w:szCs w:val="23"/>
        </w:rPr>
        <w:t>土</w:t>
      </w:r>
      <w:r>
        <w:rPr>
          <w:rFonts w:ascii="宋体" w:hAnsi="宋体" w:eastAsia="宋体" w:cs="宋体"/>
          <w:spacing w:val="3"/>
          <w:position w:val="3"/>
          <w:sz w:val="23"/>
          <w:szCs w:val="23"/>
        </w:rPr>
        <w:t>工</w:t>
      </w:r>
      <w:r>
        <w:rPr>
          <w:rFonts w:ascii="宋体" w:hAnsi="宋体" w:eastAsia="宋体" w:cs="宋体"/>
          <w:spacing w:val="2"/>
          <w:position w:val="3"/>
          <w:sz w:val="23"/>
          <w:szCs w:val="23"/>
        </w:rPr>
        <w:t xml:space="preserve">织物膨润土垫) ，上部外加耐腐蚀混凝土 </w:t>
      </w:r>
      <w:r>
        <w:rPr>
          <w:rFonts w:ascii="Times New Roman" w:hAnsi="Times New Roman" w:eastAsia="Times New Roman" w:cs="Times New Roman"/>
          <w:spacing w:val="2"/>
          <w:position w:val="3"/>
          <w:sz w:val="23"/>
          <w:szCs w:val="23"/>
        </w:rPr>
        <w:t>15</w:t>
      </w:r>
      <w:r>
        <w:rPr>
          <w:rFonts w:ascii="Times New Roman" w:hAnsi="Times New Roman" w:eastAsia="Times New Roman" w:cs="Times New Roman"/>
          <w:position w:val="3"/>
          <w:sz w:val="23"/>
          <w:szCs w:val="23"/>
        </w:rPr>
        <w:t>cm</w:t>
      </w:r>
      <w:r>
        <w:rPr>
          <w:rFonts w:ascii="Times New Roman" w:hAnsi="Times New Roman" w:eastAsia="Times New Roman" w:cs="Times New Roman"/>
          <w:spacing w:val="2"/>
          <w:position w:val="3"/>
          <w:sz w:val="23"/>
          <w:szCs w:val="23"/>
        </w:rPr>
        <w:t xml:space="preserve"> </w:t>
      </w:r>
      <w:r>
        <w:rPr>
          <w:rFonts w:ascii="宋体" w:hAnsi="宋体" w:eastAsia="宋体" w:cs="宋体"/>
          <w:spacing w:val="2"/>
          <w:position w:val="3"/>
          <w:sz w:val="23"/>
          <w:szCs w:val="23"/>
        </w:rPr>
        <w:t>(保护层)</w:t>
      </w:r>
    </w:p>
    <w:p w14:paraId="75E5EDA6">
      <w:pPr>
        <w:spacing w:before="137" w:line="488" w:lineRule="auto"/>
        <w:ind w:left="600" w:right="22" w:hanging="481"/>
        <w:rPr>
          <w:rFonts w:ascii="宋体" w:hAnsi="宋体" w:eastAsia="宋体" w:cs="宋体"/>
          <w:sz w:val="23"/>
          <w:szCs w:val="23"/>
        </w:rPr>
      </w:pPr>
      <w:r>
        <w:rPr>
          <w:rFonts w:ascii="宋体" w:hAnsi="宋体" w:eastAsia="宋体" w:cs="宋体"/>
          <w:spacing w:val="1"/>
          <w:sz w:val="23"/>
          <w:szCs w:val="23"/>
        </w:rPr>
        <w:t>等防渗</w:t>
      </w:r>
      <w:r>
        <w:rPr>
          <w:rFonts w:ascii="宋体" w:hAnsi="宋体" w:eastAsia="宋体" w:cs="宋体"/>
          <w:sz w:val="23"/>
          <w:szCs w:val="23"/>
        </w:rPr>
        <w:t xml:space="preserve">，侧壁均设防渗墙。采取上述防渗措施后，防渗层渗透系数小于 </w:t>
      </w:r>
      <w:r>
        <w:rPr>
          <w:rFonts w:ascii="Times New Roman" w:hAnsi="Times New Roman" w:eastAsia="Times New Roman" w:cs="Times New Roman"/>
          <w:sz w:val="23"/>
          <w:szCs w:val="23"/>
        </w:rPr>
        <w:t>10</w:t>
      </w:r>
      <w:r>
        <w:rPr>
          <w:rFonts w:ascii="Times New Roman" w:hAnsi="Times New Roman" w:eastAsia="Times New Roman" w:cs="Times New Roman"/>
          <w:position w:val="8"/>
          <w:sz w:val="15"/>
          <w:szCs w:val="15"/>
        </w:rPr>
        <w:t>- 10</w:t>
      </w:r>
      <w:r>
        <w:rPr>
          <w:rFonts w:ascii="Times New Roman" w:hAnsi="Times New Roman" w:eastAsia="Times New Roman" w:cs="Times New Roman"/>
          <w:sz w:val="23"/>
          <w:szCs w:val="23"/>
        </w:rPr>
        <w:t>cm/s</w:t>
      </w:r>
      <w:r>
        <w:rPr>
          <w:rFonts w:ascii="宋体" w:hAnsi="宋体" w:eastAsia="宋体" w:cs="宋体"/>
          <w:sz w:val="23"/>
          <w:szCs w:val="23"/>
        </w:rPr>
        <w:t xml:space="preserve">。 </w:t>
      </w:r>
      <w:r>
        <w:rPr>
          <w:rFonts w:ascii="宋体" w:hAnsi="宋体" w:eastAsia="宋体" w:cs="宋体"/>
          <w:spacing w:val="7"/>
          <w:sz w:val="23"/>
          <w:szCs w:val="23"/>
        </w:rPr>
        <w:t>该</w:t>
      </w:r>
      <w:r>
        <w:rPr>
          <w:rFonts w:ascii="宋体" w:hAnsi="宋体" w:eastAsia="宋体" w:cs="宋体"/>
          <w:spacing w:val="4"/>
          <w:sz w:val="23"/>
          <w:szCs w:val="23"/>
        </w:rPr>
        <w:t xml:space="preserve">项目固体废物产生量详见表 </w:t>
      </w:r>
      <w:r>
        <w:rPr>
          <w:rFonts w:ascii="Times New Roman" w:hAnsi="Times New Roman" w:eastAsia="Times New Roman" w:cs="Times New Roman"/>
          <w:spacing w:val="4"/>
          <w:sz w:val="23"/>
          <w:szCs w:val="23"/>
        </w:rPr>
        <w:t>3-20</w:t>
      </w:r>
      <w:r>
        <w:rPr>
          <w:rFonts w:ascii="宋体" w:hAnsi="宋体" w:eastAsia="宋体" w:cs="宋体"/>
          <w:spacing w:val="4"/>
          <w:sz w:val="23"/>
          <w:szCs w:val="23"/>
        </w:rPr>
        <w:t>。</w:t>
      </w:r>
    </w:p>
    <w:p w14:paraId="2CCBB16D">
      <w:pPr>
        <w:spacing w:before="58" w:line="227" w:lineRule="auto"/>
        <w:ind w:left="2818"/>
        <w:rPr>
          <w:rFonts w:ascii="宋体" w:hAnsi="宋体" w:eastAsia="宋体" w:cs="宋体"/>
          <w:sz w:val="23"/>
          <w:szCs w:val="23"/>
        </w:rPr>
      </w:pPr>
      <w:r>
        <w:rPr>
          <w:rFonts w:ascii="宋体" w:hAnsi="宋体" w:eastAsia="宋体" w:cs="宋体"/>
          <w:spacing w:val="6"/>
          <w:sz w:val="23"/>
          <w:szCs w:val="23"/>
          <w14:textOutline w14:w="4358" w14:cap="sq" w14:cmpd="sng">
            <w14:solidFill>
              <w14:srgbClr w14:val="000000"/>
            </w14:solidFill>
            <w14:prstDash w14:val="solid"/>
            <w14:bevel/>
          </w14:textOutline>
        </w:rPr>
        <w:t>表</w:t>
      </w:r>
      <w:r>
        <w:rPr>
          <w:rFonts w:ascii="宋体" w:hAnsi="宋体" w:eastAsia="宋体" w:cs="宋体"/>
          <w:spacing w:val="6"/>
          <w:sz w:val="23"/>
          <w:szCs w:val="23"/>
        </w:rPr>
        <w:t xml:space="preserve"> </w:t>
      </w:r>
      <w:r>
        <w:rPr>
          <w:rFonts w:ascii="Times New Roman" w:hAnsi="Times New Roman" w:eastAsia="Times New Roman" w:cs="Times New Roman"/>
          <w:b/>
          <w:bCs/>
          <w:spacing w:val="6"/>
          <w:sz w:val="23"/>
          <w:szCs w:val="23"/>
        </w:rPr>
        <w:t>3-</w:t>
      </w:r>
      <w:r>
        <w:rPr>
          <w:rFonts w:ascii="Times New Roman" w:hAnsi="Times New Roman" w:eastAsia="Times New Roman" w:cs="Times New Roman"/>
          <w:b/>
          <w:bCs/>
          <w:spacing w:val="5"/>
          <w:sz w:val="23"/>
          <w:szCs w:val="23"/>
        </w:rPr>
        <w:t>2</w:t>
      </w:r>
      <w:r>
        <w:rPr>
          <w:rFonts w:ascii="Times New Roman" w:hAnsi="Times New Roman" w:eastAsia="Times New Roman" w:cs="Times New Roman"/>
          <w:b/>
          <w:bCs/>
          <w:spacing w:val="3"/>
          <w:sz w:val="23"/>
          <w:szCs w:val="23"/>
        </w:rPr>
        <w:t>0</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14:textOutline w14:w="4358" w14:cap="sq" w14:cmpd="sng">
            <w14:solidFill>
              <w14:srgbClr w14:val="000000"/>
            </w14:solidFill>
            <w14:prstDash w14:val="solid"/>
            <w14:bevel/>
          </w14:textOutline>
        </w:rPr>
        <w:t>项目固体废物产生量</w:t>
      </w:r>
    </w:p>
    <w:p w14:paraId="2656BCC0">
      <w:pPr>
        <w:spacing w:line="17"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5"/>
        <w:gridCol w:w="1640"/>
        <w:gridCol w:w="1173"/>
        <w:gridCol w:w="933"/>
        <w:gridCol w:w="4271"/>
      </w:tblGrid>
      <w:tr w14:paraId="61F7CA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505" w:type="dxa"/>
            <w:tcBorders>
              <w:left w:val="nil"/>
            </w:tcBorders>
            <w:vAlign w:val="top"/>
          </w:tcPr>
          <w:p w14:paraId="60C519E0">
            <w:pPr>
              <w:spacing w:before="76" w:line="229" w:lineRule="auto"/>
              <w:ind w:left="48"/>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序号</w:t>
            </w:r>
          </w:p>
        </w:tc>
        <w:tc>
          <w:tcPr>
            <w:tcW w:w="1640" w:type="dxa"/>
            <w:vAlign w:val="top"/>
          </w:tcPr>
          <w:p w14:paraId="2FB6A31A">
            <w:pPr>
              <w:spacing w:before="76" w:line="228" w:lineRule="auto"/>
              <w:ind w:left="214"/>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固体废物种类</w:t>
            </w:r>
          </w:p>
        </w:tc>
        <w:tc>
          <w:tcPr>
            <w:tcW w:w="1173" w:type="dxa"/>
            <w:vAlign w:val="top"/>
          </w:tcPr>
          <w:p w14:paraId="56F5B19F">
            <w:pPr>
              <w:spacing w:before="35" w:line="289" w:lineRule="exact"/>
              <w:ind w:left="30"/>
              <w:rPr>
                <w:rFonts w:ascii="宋体" w:hAnsi="宋体" w:eastAsia="宋体" w:cs="宋体"/>
                <w:sz w:val="19"/>
                <w:szCs w:val="19"/>
              </w:rPr>
            </w:pPr>
            <w:r>
              <w:rPr>
                <w:rFonts w:ascii="宋体" w:hAnsi="宋体" w:eastAsia="宋体" w:cs="宋体"/>
                <w:spacing w:val="-8"/>
                <w:position w:val="2"/>
                <w:sz w:val="19"/>
                <w:szCs w:val="19"/>
                <w14:textOutline w14:w="3583" w14:cap="sq" w14:cmpd="sng">
                  <w14:solidFill>
                    <w14:srgbClr w14:val="000000"/>
                  </w14:solidFill>
                  <w14:prstDash w14:val="solid"/>
                  <w14:bevel/>
                </w14:textOutline>
              </w:rPr>
              <w:t>产</w:t>
            </w:r>
            <w:r>
              <w:rPr>
                <w:rFonts w:ascii="宋体" w:hAnsi="宋体" w:eastAsia="宋体" w:cs="宋体"/>
                <w:spacing w:val="-7"/>
                <w:position w:val="2"/>
                <w:sz w:val="19"/>
                <w:szCs w:val="19"/>
                <w14:textOutline w14:w="3583" w14:cap="sq" w14:cmpd="sng">
                  <w14:solidFill>
                    <w14:srgbClr w14:val="000000"/>
                  </w14:solidFill>
                  <w14:prstDash w14:val="solid"/>
                  <w14:bevel/>
                </w14:textOutline>
              </w:rPr>
              <w:t>生量</w:t>
            </w:r>
            <w:r>
              <w:rPr>
                <w:rFonts w:ascii="宋体" w:hAnsi="宋体" w:eastAsia="宋体" w:cs="宋体"/>
                <w:spacing w:val="-7"/>
                <w:position w:val="2"/>
                <w:sz w:val="19"/>
                <w:szCs w:val="19"/>
              </w:rPr>
              <w:t xml:space="preserve"> </w:t>
            </w:r>
            <w:r>
              <w:rPr>
                <w:rFonts w:ascii="宋体" w:hAnsi="宋体" w:eastAsia="宋体" w:cs="宋体"/>
                <w:spacing w:val="-7"/>
                <w:position w:val="2"/>
                <w:sz w:val="19"/>
                <w:szCs w:val="19"/>
                <w14:textOutline w14:w="3583" w14:cap="sq" w14:cmpd="sng">
                  <w14:solidFill>
                    <w14:srgbClr w14:val="000000"/>
                  </w14:solidFill>
                  <w14:prstDash w14:val="solid"/>
                  <w14:bevel/>
                </w14:textOutline>
              </w:rPr>
              <w:t>(</w:t>
            </w:r>
            <w:r>
              <w:rPr>
                <w:rFonts w:ascii="Times New Roman" w:hAnsi="Times New Roman" w:eastAsia="Times New Roman" w:cs="Times New Roman"/>
                <w:b/>
                <w:bCs/>
                <w:spacing w:val="-7"/>
                <w:position w:val="2"/>
                <w:sz w:val="19"/>
                <w:szCs w:val="19"/>
              </w:rPr>
              <w:t>t/a</w:t>
            </w:r>
            <w:r>
              <w:rPr>
                <w:rFonts w:ascii="Times New Roman" w:hAnsi="Times New Roman" w:eastAsia="Times New Roman" w:cs="Times New Roman"/>
                <w:spacing w:val="-7"/>
                <w:position w:val="2"/>
                <w:sz w:val="19"/>
                <w:szCs w:val="19"/>
              </w:rPr>
              <w:t xml:space="preserve"> </w:t>
            </w:r>
            <w:r>
              <w:rPr>
                <w:rFonts w:ascii="宋体" w:hAnsi="宋体" w:eastAsia="宋体" w:cs="宋体"/>
                <w:spacing w:val="-7"/>
                <w:position w:val="2"/>
                <w:sz w:val="19"/>
                <w:szCs w:val="19"/>
                <w14:textOutline w14:w="3583" w14:cap="sq" w14:cmpd="sng">
                  <w14:solidFill>
                    <w14:srgbClr w14:val="000000"/>
                  </w14:solidFill>
                  <w14:prstDash w14:val="solid"/>
                  <w14:bevel/>
                </w14:textOutline>
              </w:rPr>
              <w:t>)</w:t>
            </w:r>
          </w:p>
        </w:tc>
        <w:tc>
          <w:tcPr>
            <w:tcW w:w="933" w:type="dxa"/>
            <w:vAlign w:val="top"/>
          </w:tcPr>
          <w:p w14:paraId="4CF39817">
            <w:pPr>
              <w:spacing w:before="76" w:line="228" w:lineRule="auto"/>
              <w:ind w:left="263"/>
              <w:rPr>
                <w:rFonts w:ascii="宋体" w:hAnsi="宋体" w:eastAsia="宋体" w:cs="宋体"/>
                <w:sz w:val="20"/>
                <w:szCs w:val="20"/>
              </w:rPr>
            </w:pPr>
            <w:r>
              <w:rPr>
                <w:rFonts w:ascii="宋体" w:hAnsi="宋体" w:eastAsia="宋体" w:cs="宋体"/>
                <w:spacing w:val="5"/>
                <w:sz w:val="20"/>
                <w:szCs w:val="20"/>
                <w14:textOutline w14:w="3795" w14:cap="sq" w14:cmpd="sng">
                  <w14:solidFill>
                    <w14:srgbClr w14:val="000000"/>
                  </w14:solidFill>
                  <w14:prstDash w14:val="solid"/>
                  <w14:bevel/>
                </w14:textOutline>
              </w:rPr>
              <w:t>分</w:t>
            </w:r>
            <w:r>
              <w:rPr>
                <w:rFonts w:ascii="宋体" w:hAnsi="宋体" w:eastAsia="宋体" w:cs="宋体"/>
                <w:spacing w:val="4"/>
                <w:sz w:val="20"/>
                <w:szCs w:val="20"/>
                <w14:textOutline w14:w="3795" w14:cap="sq" w14:cmpd="sng">
                  <w14:solidFill>
                    <w14:srgbClr w14:val="000000"/>
                  </w14:solidFill>
                  <w14:prstDash w14:val="solid"/>
                  <w14:bevel/>
                </w14:textOutline>
              </w:rPr>
              <w:t>类</w:t>
            </w:r>
          </w:p>
        </w:tc>
        <w:tc>
          <w:tcPr>
            <w:tcW w:w="4271" w:type="dxa"/>
            <w:tcBorders>
              <w:right w:val="nil"/>
            </w:tcBorders>
            <w:vAlign w:val="top"/>
          </w:tcPr>
          <w:p w14:paraId="365A8E5E">
            <w:pPr>
              <w:spacing w:before="76" w:line="228" w:lineRule="auto"/>
              <w:ind w:left="1725"/>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处</w:t>
            </w:r>
            <w:r>
              <w:rPr>
                <w:rFonts w:ascii="宋体" w:hAnsi="宋体" w:eastAsia="宋体" w:cs="宋体"/>
                <w:spacing w:val="7"/>
                <w:sz w:val="20"/>
                <w:szCs w:val="20"/>
                <w14:textOutline w14:w="3795" w14:cap="sq" w14:cmpd="sng">
                  <w14:solidFill>
                    <w14:srgbClr w14:val="000000"/>
                  </w14:solidFill>
                  <w14:prstDash w14:val="solid"/>
                  <w14:bevel/>
                </w14:textOutline>
              </w:rPr>
              <w:t>置措施</w:t>
            </w:r>
          </w:p>
        </w:tc>
      </w:tr>
      <w:tr w14:paraId="0BDBEA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505" w:type="dxa"/>
            <w:tcBorders>
              <w:left w:val="nil"/>
            </w:tcBorders>
            <w:vAlign w:val="top"/>
          </w:tcPr>
          <w:p w14:paraId="0B0B8AE8">
            <w:pPr>
              <w:spacing w:before="90" w:line="195" w:lineRule="auto"/>
              <w:ind w:left="223"/>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640" w:type="dxa"/>
            <w:vAlign w:val="top"/>
          </w:tcPr>
          <w:p w14:paraId="4BB2901B">
            <w:pPr>
              <w:spacing w:before="54" w:line="228" w:lineRule="auto"/>
              <w:ind w:left="407"/>
              <w:rPr>
                <w:rFonts w:ascii="宋体" w:hAnsi="宋体" w:eastAsia="宋体" w:cs="宋体"/>
                <w:sz w:val="20"/>
                <w:szCs w:val="20"/>
              </w:rPr>
            </w:pPr>
            <w:r>
              <w:rPr>
                <w:rFonts w:ascii="宋体" w:hAnsi="宋体" w:eastAsia="宋体" w:cs="宋体"/>
                <w:spacing w:val="7"/>
                <w:sz w:val="20"/>
                <w:szCs w:val="20"/>
              </w:rPr>
              <w:t>生活垃</w:t>
            </w:r>
            <w:r>
              <w:rPr>
                <w:rFonts w:ascii="宋体" w:hAnsi="宋体" w:eastAsia="宋体" w:cs="宋体"/>
                <w:spacing w:val="6"/>
                <w:sz w:val="20"/>
                <w:szCs w:val="20"/>
              </w:rPr>
              <w:t>圾</w:t>
            </w:r>
          </w:p>
        </w:tc>
        <w:tc>
          <w:tcPr>
            <w:tcW w:w="1173" w:type="dxa"/>
            <w:vAlign w:val="top"/>
          </w:tcPr>
          <w:p w14:paraId="49E75730">
            <w:pPr>
              <w:spacing w:before="90" w:line="195" w:lineRule="auto"/>
              <w:ind w:left="502"/>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2</w:t>
            </w:r>
          </w:p>
        </w:tc>
        <w:tc>
          <w:tcPr>
            <w:tcW w:w="933" w:type="dxa"/>
            <w:vAlign w:val="top"/>
          </w:tcPr>
          <w:p w14:paraId="65671728">
            <w:pPr>
              <w:spacing w:before="54" w:line="228" w:lineRule="auto"/>
              <w:ind w:left="55"/>
              <w:rPr>
                <w:rFonts w:ascii="宋体" w:hAnsi="宋体" w:eastAsia="宋体" w:cs="宋体"/>
                <w:sz w:val="20"/>
                <w:szCs w:val="20"/>
              </w:rPr>
            </w:pPr>
            <w:r>
              <w:rPr>
                <w:rFonts w:ascii="宋体" w:hAnsi="宋体" w:eastAsia="宋体" w:cs="宋体"/>
                <w:spacing w:val="8"/>
                <w:sz w:val="20"/>
                <w:szCs w:val="20"/>
              </w:rPr>
              <w:t>一</w:t>
            </w:r>
            <w:r>
              <w:rPr>
                <w:rFonts w:ascii="宋体" w:hAnsi="宋体" w:eastAsia="宋体" w:cs="宋体"/>
                <w:spacing w:val="6"/>
                <w:sz w:val="20"/>
                <w:szCs w:val="20"/>
              </w:rPr>
              <w:t>般固废</w:t>
            </w:r>
          </w:p>
        </w:tc>
        <w:tc>
          <w:tcPr>
            <w:tcW w:w="4271" w:type="dxa"/>
            <w:tcBorders>
              <w:right w:val="nil"/>
            </w:tcBorders>
            <w:vAlign w:val="top"/>
          </w:tcPr>
          <w:p w14:paraId="5F2593F0">
            <w:pPr>
              <w:spacing w:before="53" w:line="228" w:lineRule="auto"/>
              <w:ind w:left="41"/>
              <w:rPr>
                <w:rFonts w:ascii="宋体" w:hAnsi="宋体" w:eastAsia="宋体" w:cs="宋体"/>
                <w:sz w:val="20"/>
                <w:szCs w:val="20"/>
              </w:rPr>
            </w:pPr>
            <w:r>
              <w:rPr>
                <w:rFonts w:ascii="宋体" w:hAnsi="宋体" w:eastAsia="宋体" w:cs="宋体"/>
                <w:spacing w:val="18"/>
                <w:sz w:val="20"/>
                <w:szCs w:val="20"/>
              </w:rPr>
              <w:t>集</w:t>
            </w:r>
            <w:r>
              <w:rPr>
                <w:rFonts w:ascii="宋体" w:hAnsi="宋体" w:eastAsia="宋体" w:cs="宋体"/>
                <w:spacing w:val="9"/>
                <w:sz w:val="20"/>
                <w:szCs w:val="20"/>
              </w:rPr>
              <w:t>中收集后运送至环卫部门指定地点统一处理</w:t>
            </w:r>
          </w:p>
        </w:tc>
      </w:tr>
    </w:tbl>
    <w:p w14:paraId="6432CDE7">
      <w:pPr>
        <w:rPr>
          <w:rFonts w:ascii="Arial"/>
          <w:sz w:val="21"/>
        </w:rPr>
      </w:pPr>
    </w:p>
    <w:p w14:paraId="38AD3348">
      <w:pPr>
        <w:sectPr>
          <w:headerReference r:id="rId143" w:type="default"/>
          <w:footerReference r:id="rId144" w:type="default"/>
          <w:pgSz w:w="11906" w:h="16839"/>
          <w:pgMar w:top="1132" w:right="1691" w:bottom="1182" w:left="1691" w:header="878" w:footer="1022" w:gutter="0"/>
          <w:cols w:space="720" w:num="1"/>
        </w:sectPr>
      </w:pPr>
    </w:p>
    <w:p w14:paraId="39FDDEC0">
      <w:r>
        <w:pict>
          <v:rect id="_x0000_s1206" o:spid="_x0000_s1206" o:spt="1" style="position:absolute;left:0pt;margin-left:90pt;margin-top:57.35pt;height:0.75pt;width:415.3pt;mso-position-horizontal-relative:page;mso-position-vertical-relative:page;z-index:251857920;mso-width-relative:page;mso-height-relative:page;" fillcolor="#000000" filled="t" stroked="f" coordsize="21600,21600" o:allowincell="f">
            <v:path/>
            <v:fill on="t" focussize="0,0"/>
            <v:stroke on="f"/>
            <v:imagedata o:title=""/>
            <o:lock v:ext="edit"/>
          </v:rect>
        </w:pict>
      </w:r>
    </w:p>
    <w:p w14:paraId="4C9C8F34">
      <w:pPr>
        <w:spacing w:line="65" w:lineRule="exact"/>
      </w:pPr>
    </w:p>
    <w:tbl>
      <w:tblPr>
        <w:tblStyle w:val="4"/>
        <w:tblW w:w="852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5"/>
        <w:gridCol w:w="1640"/>
        <w:gridCol w:w="1173"/>
        <w:gridCol w:w="932"/>
        <w:gridCol w:w="4271"/>
      </w:tblGrid>
      <w:tr w14:paraId="30E735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505" w:type="dxa"/>
            <w:tcBorders>
              <w:left w:val="nil"/>
            </w:tcBorders>
            <w:vAlign w:val="top"/>
          </w:tcPr>
          <w:p w14:paraId="58E7A1AC">
            <w:pPr>
              <w:spacing w:before="111" w:line="195" w:lineRule="auto"/>
              <w:ind w:left="203"/>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640" w:type="dxa"/>
            <w:vAlign w:val="top"/>
          </w:tcPr>
          <w:p w14:paraId="4F909237">
            <w:pPr>
              <w:spacing w:before="75" w:line="228" w:lineRule="auto"/>
              <w:ind w:left="618"/>
              <w:rPr>
                <w:rFonts w:ascii="宋体" w:hAnsi="宋体" w:eastAsia="宋体" w:cs="宋体"/>
                <w:sz w:val="20"/>
                <w:szCs w:val="20"/>
              </w:rPr>
            </w:pPr>
            <w:r>
              <w:rPr>
                <w:rFonts w:ascii="宋体" w:hAnsi="宋体" w:eastAsia="宋体" w:cs="宋体"/>
                <w:spacing w:val="4"/>
                <w:sz w:val="20"/>
                <w:szCs w:val="20"/>
              </w:rPr>
              <w:t>杂</w:t>
            </w:r>
            <w:r>
              <w:rPr>
                <w:rFonts w:ascii="宋体" w:hAnsi="宋体" w:eastAsia="宋体" w:cs="宋体"/>
                <w:spacing w:val="3"/>
                <w:sz w:val="20"/>
                <w:szCs w:val="20"/>
              </w:rPr>
              <w:t>质</w:t>
            </w:r>
          </w:p>
        </w:tc>
        <w:tc>
          <w:tcPr>
            <w:tcW w:w="1173" w:type="dxa"/>
            <w:vAlign w:val="top"/>
          </w:tcPr>
          <w:p w14:paraId="001CD842">
            <w:pPr>
              <w:spacing w:before="111" w:line="195" w:lineRule="auto"/>
              <w:ind w:left="39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1022</w:t>
            </w:r>
          </w:p>
        </w:tc>
        <w:tc>
          <w:tcPr>
            <w:tcW w:w="932" w:type="dxa"/>
            <w:vAlign w:val="top"/>
          </w:tcPr>
          <w:p w14:paraId="39E778D3">
            <w:pPr>
              <w:spacing w:before="76" w:line="228" w:lineRule="auto"/>
              <w:ind w:left="55"/>
              <w:rPr>
                <w:rFonts w:ascii="宋体" w:hAnsi="宋体" w:eastAsia="宋体" w:cs="宋体"/>
                <w:sz w:val="20"/>
                <w:szCs w:val="20"/>
              </w:rPr>
            </w:pPr>
            <w:r>
              <w:rPr>
                <w:rFonts w:ascii="宋体" w:hAnsi="宋体" w:eastAsia="宋体" w:cs="宋体"/>
                <w:spacing w:val="8"/>
                <w:sz w:val="20"/>
                <w:szCs w:val="20"/>
              </w:rPr>
              <w:t>一</w:t>
            </w:r>
            <w:r>
              <w:rPr>
                <w:rFonts w:ascii="宋体" w:hAnsi="宋体" w:eastAsia="宋体" w:cs="宋体"/>
                <w:spacing w:val="6"/>
                <w:sz w:val="20"/>
                <w:szCs w:val="20"/>
              </w:rPr>
              <w:t>般固废</w:t>
            </w:r>
          </w:p>
        </w:tc>
        <w:tc>
          <w:tcPr>
            <w:tcW w:w="4271" w:type="dxa"/>
            <w:tcBorders>
              <w:right w:val="nil"/>
            </w:tcBorders>
            <w:vAlign w:val="top"/>
          </w:tcPr>
          <w:p w14:paraId="13EB6944">
            <w:pPr>
              <w:spacing w:before="75" w:line="228" w:lineRule="auto"/>
              <w:ind w:left="42"/>
              <w:rPr>
                <w:rFonts w:ascii="宋体" w:hAnsi="宋体" w:eastAsia="宋体" w:cs="宋体"/>
                <w:sz w:val="20"/>
                <w:szCs w:val="20"/>
              </w:rPr>
            </w:pPr>
            <w:r>
              <w:rPr>
                <w:rFonts w:ascii="宋体" w:hAnsi="宋体" w:eastAsia="宋体" w:cs="宋体"/>
                <w:spacing w:val="18"/>
                <w:sz w:val="20"/>
                <w:szCs w:val="20"/>
              </w:rPr>
              <w:t>集</w:t>
            </w:r>
            <w:r>
              <w:rPr>
                <w:rFonts w:ascii="宋体" w:hAnsi="宋体" w:eastAsia="宋体" w:cs="宋体"/>
                <w:spacing w:val="9"/>
                <w:sz w:val="20"/>
                <w:szCs w:val="20"/>
              </w:rPr>
              <w:t>中收集后运送至环卫部门指定地点统一处理</w:t>
            </w:r>
          </w:p>
        </w:tc>
      </w:tr>
      <w:tr w14:paraId="355DF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05" w:type="dxa"/>
            <w:tcBorders>
              <w:left w:val="nil"/>
            </w:tcBorders>
            <w:vAlign w:val="top"/>
          </w:tcPr>
          <w:p w14:paraId="53AC672D">
            <w:pPr>
              <w:spacing w:before="87" w:line="195" w:lineRule="auto"/>
              <w:ind w:left="207"/>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640" w:type="dxa"/>
            <w:vAlign w:val="top"/>
          </w:tcPr>
          <w:p w14:paraId="0AA6C445">
            <w:pPr>
              <w:spacing w:before="51" w:line="228" w:lineRule="auto"/>
              <w:ind w:left="299"/>
              <w:rPr>
                <w:rFonts w:ascii="宋体" w:hAnsi="宋体" w:eastAsia="宋体" w:cs="宋体"/>
                <w:sz w:val="20"/>
                <w:szCs w:val="20"/>
              </w:rPr>
            </w:pPr>
            <w:r>
              <w:rPr>
                <w:rFonts w:ascii="宋体" w:hAnsi="宋体" w:eastAsia="宋体" w:cs="宋体"/>
                <w:spacing w:val="8"/>
                <w:sz w:val="20"/>
                <w:szCs w:val="20"/>
              </w:rPr>
              <w:t>沉淀池污泥</w:t>
            </w:r>
          </w:p>
        </w:tc>
        <w:tc>
          <w:tcPr>
            <w:tcW w:w="1173" w:type="dxa"/>
            <w:vAlign w:val="top"/>
          </w:tcPr>
          <w:p w14:paraId="5C3B424C">
            <w:pPr>
              <w:spacing w:before="87" w:line="195" w:lineRule="auto"/>
              <w:ind w:left="48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0</w:t>
            </w:r>
          </w:p>
        </w:tc>
        <w:tc>
          <w:tcPr>
            <w:tcW w:w="932" w:type="dxa"/>
            <w:vAlign w:val="top"/>
          </w:tcPr>
          <w:p w14:paraId="6B89CEE7">
            <w:pPr>
              <w:spacing w:before="51" w:line="228" w:lineRule="auto"/>
              <w:ind w:left="55"/>
              <w:rPr>
                <w:rFonts w:ascii="宋体" w:hAnsi="宋体" w:eastAsia="宋体" w:cs="宋体"/>
                <w:sz w:val="20"/>
                <w:szCs w:val="20"/>
              </w:rPr>
            </w:pPr>
            <w:r>
              <w:rPr>
                <w:rFonts w:ascii="宋体" w:hAnsi="宋体" w:eastAsia="宋体" w:cs="宋体"/>
                <w:spacing w:val="8"/>
                <w:sz w:val="20"/>
                <w:szCs w:val="20"/>
              </w:rPr>
              <w:t>一</w:t>
            </w:r>
            <w:r>
              <w:rPr>
                <w:rFonts w:ascii="宋体" w:hAnsi="宋体" w:eastAsia="宋体" w:cs="宋体"/>
                <w:spacing w:val="6"/>
                <w:sz w:val="20"/>
                <w:szCs w:val="20"/>
              </w:rPr>
              <w:t>般固废</w:t>
            </w:r>
          </w:p>
        </w:tc>
        <w:tc>
          <w:tcPr>
            <w:tcW w:w="4271" w:type="dxa"/>
            <w:tcBorders>
              <w:right w:val="nil"/>
            </w:tcBorders>
            <w:vAlign w:val="top"/>
          </w:tcPr>
          <w:p w14:paraId="78F33583">
            <w:pPr>
              <w:spacing w:before="50" w:line="228" w:lineRule="auto"/>
              <w:ind w:left="42"/>
              <w:rPr>
                <w:rFonts w:ascii="宋体" w:hAnsi="宋体" w:eastAsia="宋体" w:cs="宋体"/>
                <w:sz w:val="20"/>
                <w:szCs w:val="20"/>
              </w:rPr>
            </w:pPr>
            <w:r>
              <w:rPr>
                <w:rFonts w:ascii="宋体" w:hAnsi="宋体" w:eastAsia="宋体" w:cs="宋体"/>
                <w:spacing w:val="18"/>
                <w:sz w:val="20"/>
                <w:szCs w:val="20"/>
              </w:rPr>
              <w:t>集</w:t>
            </w:r>
            <w:r>
              <w:rPr>
                <w:rFonts w:ascii="宋体" w:hAnsi="宋体" w:eastAsia="宋体" w:cs="宋体"/>
                <w:spacing w:val="9"/>
                <w:sz w:val="20"/>
                <w:szCs w:val="20"/>
              </w:rPr>
              <w:t>中收集后运送至环卫部门指定地点统一处理</w:t>
            </w:r>
          </w:p>
        </w:tc>
      </w:tr>
      <w:tr w14:paraId="6A2EB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05" w:type="dxa"/>
            <w:tcBorders>
              <w:left w:val="nil"/>
            </w:tcBorders>
            <w:vAlign w:val="top"/>
          </w:tcPr>
          <w:p w14:paraId="3F14FD56">
            <w:pPr>
              <w:spacing w:before="90" w:line="195" w:lineRule="auto"/>
              <w:ind w:left="20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640" w:type="dxa"/>
            <w:vAlign w:val="top"/>
          </w:tcPr>
          <w:p w14:paraId="22A84339">
            <w:pPr>
              <w:spacing w:before="54" w:line="228" w:lineRule="auto"/>
              <w:ind w:left="510"/>
              <w:rPr>
                <w:rFonts w:ascii="宋体" w:hAnsi="宋体" w:eastAsia="宋体" w:cs="宋体"/>
                <w:sz w:val="20"/>
                <w:szCs w:val="20"/>
              </w:rPr>
            </w:pPr>
            <w:r>
              <w:rPr>
                <w:rFonts w:ascii="宋体" w:hAnsi="宋体" w:eastAsia="宋体" w:cs="宋体"/>
                <w:spacing w:val="7"/>
                <w:sz w:val="20"/>
                <w:szCs w:val="20"/>
              </w:rPr>
              <w:t>废滤网</w:t>
            </w:r>
          </w:p>
        </w:tc>
        <w:tc>
          <w:tcPr>
            <w:tcW w:w="1173" w:type="dxa"/>
            <w:vAlign w:val="top"/>
          </w:tcPr>
          <w:p w14:paraId="7507AF39">
            <w:pPr>
              <w:spacing w:before="90" w:line="195" w:lineRule="auto"/>
              <w:ind w:left="45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0</w:t>
            </w:r>
            <w:r>
              <w:rPr>
                <w:rFonts w:ascii="Times New Roman" w:hAnsi="Times New Roman" w:eastAsia="Times New Roman" w:cs="Times New Roman"/>
                <w:spacing w:val="4"/>
                <w:sz w:val="20"/>
                <w:szCs w:val="20"/>
              </w:rPr>
              <w:t>.8</w:t>
            </w:r>
          </w:p>
        </w:tc>
        <w:tc>
          <w:tcPr>
            <w:tcW w:w="932" w:type="dxa"/>
            <w:vAlign w:val="top"/>
          </w:tcPr>
          <w:p w14:paraId="3A5E3807">
            <w:pPr>
              <w:spacing w:before="54" w:line="228" w:lineRule="auto"/>
              <w:ind w:left="55"/>
              <w:rPr>
                <w:rFonts w:ascii="宋体" w:hAnsi="宋体" w:eastAsia="宋体" w:cs="宋体"/>
                <w:sz w:val="20"/>
                <w:szCs w:val="20"/>
              </w:rPr>
            </w:pPr>
            <w:r>
              <w:rPr>
                <w:rFonts w:ascii="宋体" w:hAnsi="宋体" w:eastAsia="宋体" w:cs="宋体"/>
                <w:spacing w:val="8"/>
                <w:sz w:val="20"/>
                <w:szCs w:val="20"/>
              </w:rPr>
              <w:t>一</w:t>
            </w:r>
            <w:r>
              <w:rPr>
                <w:rFonts w:ascii="宋体" w:hAnsi="宋体" w:eastAsia="宋体" w:cs="宋体"/>
                <w:spacing w:val="6"/>
                <w:sz w:val="20"/>
                <w:szCs w:val="20"/>
              </w:rPr>
              <w:t>般固废</w:t>
            </w:r>
          </w:p>
        </w:tc>
        <w:tc>
          <w:tcPr>
            <w:tcW w:w="4271" w:type="dxa"/>
            <w:tcBorders>
              <w:right w:val="nil"/>
            </w:tcBorders>
            <w:vAlign w:val="top"/>
          </w:tcPr>
          <w:p w14:paraId="236D6C1C">
            <w:pPr>
              <w:spacing w:before="53" w:line="228" w:lineRule="auto"/>
              <w:ind w:left="670"/>
              <w:rPr>
                <w:rFonts w:ascii="宋体" w:hAnsi="宋体" w:eastAsia="宋体" w:cs="宋体"/>
                <w:sz w:val="20"/>
                <w:szCs w:val="20"/>
              </w:rPr>
            </w:pPr>
            <w:r>
              <w:rPr>
                <w:rFonts w:ascii="宋体" w:hAnsi="宋体" w:eastAsia="宋体" w:cs="宋体"/>
                <w:spacing w:val="12"/>
                <w:sz w:val="20"/>
                <w:szCs w:val="20"/>
              </w:rPr>
              <w:t>集</w:t>
            </w:r>
            <w:r>
              <w:rPr>
                <w:rFonts w:ascii="宋体" w:hAnsi="宋体" w:eastAsia="宋体" w:cs="宋体"/>
                <w:spacing w:val="9"/>
                <w:sz w:val="20"/>
                <w:szCs w:val="20"/>
              </w:rPr>
              <w:t>中收集后由厂家定期回收处理</w:t>
            </w:r>
          </w:p>
        </w:tc>
      </w:tr>
      <w:tr w14:paraId="4E2E54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05" w:type="dxa"/>
            <w:tcBorders>
              <w:left w:val="nil"/>
            </w:tcBorders>
            <w:vAlign w:val="top"/>
          </w:tcPr>
          <w:p w14:paraId="26D87629">
            <w:pPr>
              <w:spacing w:before="92" w:line="192" w:lineRule="auto"/>
              <w:ind w:left="209"/>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640" w:type="dxa"/>
            <w:vAlign w:val="top"/>
          </w:tcPr>
          <w:p w14:paraId="2CB6F19D">
            <w:pPr>
              <w:spacing w:before="54" w:line="228" w:lineRule="auto"/>
              <w:ind w:left="95"/>
              <w:rPr>
                <w:rFonts w:ascii="宋体" w:hAnsi="宋体" w:eastAsia="宋体" w:cs="宋体"/>
                <w:sz w:val="20"/>
                <w:szCs w:val="20"/>
              </w:rPr>
            </w:pPr>
            <w:r>
              <w:rPr>
                <w:rFonts w:ascii="宋体" w:hAnsi="宋体" w:eastAsia="宋体" w:cs="宋体"/>
                <w:spacing w:val="12"/>
                <w:sz w:val="20"/>
                <w:szCs w:val="20"/>
              </w:rPr>
              <w:t>热</w:t>
            </w:r>
            <w:r>
              <w:rPr>
                <w:rFonts w:ascii="宋体" w:hAnsi="宋体" w:eastAsia="宋体" w:cs="宋体"/>
                <w:spacing w:val="7"/>
                <w:sz w:val="20"/>
                <w:szCs w:val="20"/>
              </w:rPr>
              <w:t>风炉燃料炉渣</w:t>
            </w:r>
          </w:p>
        </w:tc>
        <w:tc>
          <w:tcPr>
            <w:tcW w:w="1173" w:type="dxa"/>
            <w:vAlign w:val="top"/>
          </w:tcPr>
          <w:p w14:paraId="33E90294">
            <w:pPr>
              <w:spacing w:before="90" w:line="195" w:lineRule="auto"/>
              <w:ind w:left="40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48.</w:t>
            </w:r>
            <w:r>
              <w:rPr>
                <w:rFonts w:ascii="Times New Roman" w:hAnsi="Times New Roman" w:eastAsia="Times New Roman" w:cs="Times New Roman"/>
                <w:spacing w:val="5"/>
                <w:sz w:val="20"/>
                <w:szCs w:val="20"/>
              </w:rPr>
              <w:t>8</w:t>
            </w:r>
          </w:p>
        </w:tc>
        <w:tc>
          <w:tcPr>
            <w:tcW w:w="932" w:type="dxa"/>
            <w:vAlign w:val="top"/>
          </w:tcPr>
          <w:p w14:paraId="093F6660">
            <w:pPr>
              <w:spacing w:before="54" w:line="228" w:lineRule="auto"/>
              <w:ind w:left="55"/>
              <w:rPr>
                <w:rFonts w:ascii="宋体" w:hAnsi="宋体" w:eastAsia="宋体" w:cs="宋体"/>
                <w:sz w:val="20"/>
                <w:szCs w:val="20"/>
              </w:rPr>
            </w:pPr>
            <w:r>
              <w:rPr>
                <w:rFonts w:ascii="宋体" w:hAnsi="宋体" w:eastAsia="宋体" w:cs="宋体"/>
                <w:spacing w:val="8"/>
                <w:sz w:val="20"/>
                <w:szCs w:val="20"/>
              </w:rPr>
              <w:t>一</w:t>
            </w:r>
            <w:r>
              <w:rPr>
                <w:rFonts w:ascii="宋体" w:hAnsi="宋体" w:eastAsia="宋体" w:cs="宋体"/>
                <w:spacing w:val="6"/>
                <w:sz w:val="20"/>
                <w:szCs w:val="20"/>
              </w:rPr>
              <w:t>般固废</w:t>
            </w:r>
          </w:p>
        </w:tc>
        <w:tc>
          <w:tcPr>
            <w:tcW w:w="4271" w:type="dxa"/>
            <w:tcBorders>
              <w:right w:val="nil"/>
            </w:tcBorders>
            <w:vAlign w:val="top"/>
          </w:tcPr>
          <w:p w14:paraId="74099169">
            <w:pPr>
              <w:spacing w:before="53" w:line="227" w:lineRule="auto"/>
              <w:ind w:left="147"/>
              <w:rPr>
                <w:rFonts w:ascii="宋体" w:hAnsi="宋体" w:eastAsia="宋体" w:cs="宋体"/>
                <w:sz w:val="20"/>
                <w:szCs w:val="20"/>
              </w:rPr>
            </w:pPr>
            <w:r>
              <w:rPr>
                <w:rFonts w:ascii="宋体" w:hAnsi="宋体" w:eastAsia="宋体" w:cs="宋体"/>
                <w:spacing w:val="18"/>
                <w:sz w:val="20"/>
                <w:szCs w:val="20"/>
              </w:rPr>
              <w:t>集</w:t>
            </w:r>
            <w:r>
              <w:rPr>
                <w:rFonts w:ascii="宋体" w:hAnsi="宋体" w:eastAsia="宋体" w:cs="宋体"/>
                <w:spacing w:val="9"/>
                <w:sz w:val="20"/>
                <w:szCs w:val="20"/>
              </w:rPr>
              <w:t>中收集后定期外卖给农肥厂进行综合利用</w:t>
            </w:r>
          </w:p>
        </w:tc>
      </w:tr>
      <w:tr w14:paraId="3B60EF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05" w:type="dxa"/>
            <w:tcBorders>
              <w:left w:val="nil"/>
            </w:tcBorders>
            <w:vAlign w:val="top"/>
          </w:tcPr>
          <w:p w14:paraId="4087E884">
            <w:pPr>
              <w:spacing w:before="90" w:line="195" w:lineRule="auto"/>
              <w:ind w:left="208"/>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640" w:type="dxa"/>
            <w:vAlign w:val="top"/>
          </w:tcPr>
          <w:p w14:paraId="53C951E1">
            <w:pPr>
              <w:spacing w:before="54" w:line="228" w:lineRule="auto"/>
              <w:ind w:left="45"/>
              <w:rPr>
                <w:rFonts w:ascii="宋体" w:hAnsi="宋体" w:eastAsia="宋体" w:cs="宋体"/>
                <w:sz w:val="20"/>
                <w:szCs w:val="20"/>
              </w:rPr>
            </w:pPr>
            <w:r>
              <w:rPr>
                <w:rFonts w:ascii="宋体" w:hAnsi="宋体" w:eastAsia="宋体" w:cs="宋体"/>
                <w:spacing w:val="-3"/>
                <w:sz w:val="20"/>
                <w:szCs w:val="20"/>
              </w:rPr>
              <w:t>除尘器收集的粉尘</w:t>
            </w:r>
          </w:p>
        </w:tc>
        <w:tc>
          <w:tcPr>
            <w:tcW w:w="1173" w:type="dxa"/>
            <w:vAlign w:val="top"/>
          </w:tcPr>
          <w:p w14:paraId="62A6FA91">
            <w:pPr>
              <w:spacing w:before="90" w:line="195" w:lineRule="auto"/>
              <w:ind w:left="35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0.33</w:t>
            </w:r>
            <w:r>
              <w:rPr>
                <w:rFonts w:ascii="Times New Roman" w:hAnsi="Times New Roman" w:eastAsia="Times New Roman" w:cs="Times New Roman"/>
                <w:spacing w:val="2"/>
                <w:sz w:val="20"/>
                <w:szCs w:val="20"/>
              </w:rPr>
              <w:t>7</w:t>
            </w:r>
          </w:p>
        </w:tc>
        <w:tc>
          <w:tcPr>
            <w:tcW w:w="932" w:type="dxa"/>
            <w:vAlign w:val="top"/>
          </w:tcPr>
          <w:p w14:paraId="264ED566">
            <w:pPr>
              <w:spacing w:before="54" w:line="228" w:lineRule="auto"/>
              <w:ind w:left="55"/>
              <w:rPr>
                <w:rFonts w:ascii="宋体" w:hAnsi="宋体" w:eastAsia="宋体" w:cs="宋体"/>
                <w:sz w:val="20"/>
                <w:szCs w:val="20"/>
              </w:rPr>
            </w:pPr>
            <w:r>
              <w:rPr>
                <w:rFonts w:ascii="宋体" w:hAnsi="宋体" w:eastAsia="宋体" w:cs="宋体"/>
                <w:spacing w:val="8"/>
                <w:sz w:val="20"/>
                <w:szCs w:val="20"/>
              </w:rPr>
              <w:t>一</w:t>
            </w:r>
            <w:r>
              <w:rPr>
                <w:rFonts w:ascii="宋体" w:hAnsi="宋体" w:eastAsia="宋体" w:cs="宋体"/>
                <w:spacing w:val="6"/>
                <w:sz w:val="20"/>
                <w:szCs w:val="20"/>
              </w:rPr>
              <w:t>般固废</w:t>
            </w:r>
          </w:p>
        </w:tc>
        <w:tc>
          <w:tcPr>
            <w:tcW w:w="4271" w:type="dxa"/>
            <w:tcBorders>
              <w:right w:val="nil"/>
            </w:tcBorders>
            <w:vAlign w:val="top"/>
          </w:tcPr>
          <w:p w14:paraId="14EA2FD7">
            <w:pPr>
              <w:spacing w:before="54" w:line="227" w:lineRule="auto"/>
              <w:ind w:left="147"/>
              <w:rPr>
                <w:rFonts w:ascii="宋体" w:hAnsi="宋体" w:eastAsia="宋体" w:cs="宋体"/>
                <w:sz w:val="20"/>
                <w:szCs w:val="20"/>
              </w:rPr>
            </w:pPr>
            <w:r>
              <w:rPr>
                <w:rFonts w:ascii="宋体" w:hAnsi="宋体" w:eastAsia="宋体" w:cs="宋体"/>
                <w:spacing w:val="18"/>
                <w:sz w:val="20"/>
                <w:szCs w:val="20"/>
              </w:rPr>
              <w:t>集</w:t>
            </w:r>
            <w:r>
              <w:rPr>
                <w:rFonts w:ascii="宋体" w:hAnsi="宋体" w:eastAsia="宋体" w:cs="宋体"/>
                <w:spacing w:val="9"/>
                <w:sz w:val="20"/>
                <w:szCs w:val="20"/>
              </w:rPr>
              <w:t>中收集后定期外卖给农肥厂进行综合利用</w:t>
            </w:r>
          </w:p>
        </w:tc>
      </w:tr>
      <w:tr w14:paraId="119E0D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05" w:type="dxa"/>
            <w:tcBorders>
              <w:left w:val="nil"/>
            </w:tcBorders>
            <w:vAlign w:val="top"/>
          </w:tcPr>
          <w:p w14:paraId="64372559">
            <w:pPr>
              <w:spacing w:before="249" w:line="192" w:lineRule="auto"/>
              <w:ind w:left="206"/>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640" w:type="dxa"/>
            <w:vAlign w:val="top"/>
          </w:tcPr>
          <w:p w14:paraId="5D085613">
            <w:pPr>
              <w:spacing w:before="211" w:line="228" w:lineRule="auto"/>
              <w:ind w:left="404"/>
              <w:rPr>
                <w:rFonts w:ascii="宋体" w:hAnsi="宋体" w:eastAsia="宋体" w:cs="宋体"/>
                <w:sz w:val="20"/>
                <w:szCs w:val="20"/>
              </w:rPr>
            </w:pPr>
            <w:r>
              <w:rPr>
                <w:rFonts w:ascii="宋体" w:hAnsi="宋体" w:eastAsia="宋体" w:cs="宋体"/>
                <w:spacing w:val="9"/>
                <w:sz w:val="20"/>
                <w:szCs w:val="20"/>
              </w:rPr>
              <w:t>废</w:t>
            </w:r>
            <w:r>
              <w:rPr>
                <w:rFonts w:ascii="宋体" w:hAnsi="宋体" w:eastAsia="宋体" w:cs="宋体"/>
                <w:spacing w:val="7"/>
                <w:sz w:val="20"/>
                <w:szCs w:val="20"/>
              </w:rPr>
              <w:t>活性炭</w:t>
            </w:r>
          </w:p>
        </w:tc>
        <w:tc>
          <w:tcPr>
            <w:tcW w:w="1173" w:type="dxa"/>
            <w:vAlign w:val="top"/>
          </w:tcPr>
          <w:p w14:paraId="286EA309">
            <w:pPr>
              <w:spacing w:before="247" w:line="195" w:lineRule="auto"/>
              <w:ind w:left="40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.22</w:t>
            </w:r>
          </w:p>
        </w:tc>
        <w:tc>
          <w:tcPr>
            <w:tcW w:w="932" w:type="dxa"/>
            <w:vAlign w:val="top"/>
          </w:tcPr>
          <w:p w14:paraId="41449933">
            <w:pPr>
              <w:spacing w:before="211" w:line="228" w:lineRule="auto"/>
              <w:ind w:left="54"/>
              <w:rPr>
                <w:rFonts w:ascii="宋体" w:hAnsi="宋体" w:eastAsia="宋体" w:cs="宋体"/>
                <w:sz w:val="20"/>
                <w:szCs w:val="20"/>
              </w:rPr>
            </w:pPr>
            <w:r>
              <w:rPr>
                <w:rFonts w:ascii="宋体" w:hAnsi="宋体" w:eastAsia="宋体" w:cs="宋体"/>
                <w:spacing w:val="9"/>
                <w:sz w:val="20"/>
                <w:szCs w:val="20"/>
              </w:rPr>
              <w:t>危</w:t>
            </w:r>
            <w:r>
              <w:rPr>
                <w:rFonts w:ascii="宋体" w:hAnsi="宋体" w:eastAsia="宋体" w:cs="宋体"/>
                <w:spacing w:val="6"/>
                <w:sz w:val="20"/>
                <w:szCs w:val="20"/>
              </w:rPr>
              <w:t>险固废</w:t>
            </w:r>
          </w:p>
        </w:tc>
        <w:tc>
          <w:tcPr>
            <w:tcW w:w="4271" w:type="dxa"/>
            <w:tcBorders>
              <w:right w:val="nil"/>
            </w:tcBorders>
            <w:vAlign w:val="top"/>
          </w:tcPr>
          <w:p w14:paraId="3E5909D0">
            <w:pPr>
              <w:spacing w:before="54" w:line="258" w:lineRule="auto"/>
              <w:ind w:left="35" w:right="22" w:hanging="5"/>
              <w:rPr>
                <w:rFonts w:ascii="宋体" w:hAnsi="宋体" w:eastAsia="宋体" w:cs="宋体"/>
                <w:sz w:val="20"/>
                <w:szCs w:val="20"/>
              </w:rPr>
            </w:pPr>
            <w:r>
              <w:rPr>
                <w:rFonts w:ascii="宋体" w:hAnsi="宋体" w:eastAsia="宋体" w:cs="宋体"/>
                <w:spacing w:val="20"/>
                <w:sz w:val="20"/>
                <w:szCs w:val="20"/>
              </w:rPr>
              <w:t>集</w:t>
            </w:r>
            <w:r>
              <w:rPr>
                <w:rFonts w:ascii="宋体" w:hAnsi="宋体" w:eastAsia="宋体" w:cs="宋体"/>
                <w:spacing w:val="15"/>
                <w:sz w:val="20"/>
                <w:szCs w:val="20"/>
              </w:rPr>
              <w:t>中</w:t>
            </w:r>
            <w:r>
              <w:rPr>
                <w:rFonts w:ascii="宋体" w:hAnsi="宋体" w:eastAsia="宋体" w:cs="宋体"/>
                <w:spacing w:val="10"/>
                <w:sz w:val="20"/>
                <w:szCs w:val="20"/>
              </w:rPr>
              <w:t>收集后在固定容器中单独存放，积攒到一</w:t>
            </w:r>
            <w:r>
              <w:rPr>
                <w:rFonts w:ascii="宋体" w:hAnsi="宋体" w:eastAsia="宋体" w:cs="宋体"/>
                <w:sz w:val="20"/>
                <w:szCs w:val="20"/>
              </w:rPr>
              <w:t xml:space="preserve"> </w:t>
            </w:r>
            <w:r>
              <w:rPr>
                <w:rFonts w:ascii="宋体" w:hAnsi="宋体" w:eastAsia="宋体" w:cs="宋体"/>
                <w:spacing w:val="11"/>
                <w:sz w:val="20"/>
                <w:szCs w:val="20"/>
              </w:rPr>
              <w:t>定</w:t>
            </w:r>
            <w:r>
              <w:rPr>
                <w:rFonts w:ascii="宋体" w:hAnsi="宋体" w:eastAsia="宋体" w:cs="宋体"/>
                <w:spacing w:val="8"/>
                <w:sz w:val="20"/>
                <w:szCs w:val="20"/>
              </w:rPr>
              <w:t>数量后交由有资质单位处理。</w:t>
            </w:r>
          </w:p>
        </w:tc>
      </w:tr>
      <w:tr w14:paraId="64BB3D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505" w:type="dxa"/>
            <w:tcBorders>
              <w:left w:val="nil"/>
            </w:tcBorders>
            <w:vAlign w:val="top"/>
          </w:tcPr>
          <w:p w14:paraId="1C40E185">
            <w:pPr>
              <w:spacing w:before="247" w:line="195" w:lineRule="auto"/>
              <w:ind w:left="211"/>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640" w:type="dxa"/>
            <w:vAlign w:val="top"/>
          </w:tcPr>
          <w:p w14:paraId="37DB59F4">
            <w:pPr>
              <w:spacing w:before="211" w:line="228" w:lineRule="auto"/>
              <w:ind w:left="142"/>
              <w:rPr>
                <w:rFonts w:ascii="宋体" w:hAnsi="宋体" w:eastAsia="宋体" w:cs="宋体"/>
                <w:sz w:val="20"/>
                <w:szCs w:val="20"/>
              </w:rPr>
            </w:pPr>
            <w:r>
              <w:rPr>
                <w:rFonts w:ascii="宋体" w:hAnsi="宋体" w:eastAsia="宋体" w:cs="宋体"/>
                <w:spacing w:val="1"/>
                <w:sz w:val="20"/>
                <w:szCs w:val="20"/>
              </w:rPr>
              <w:t xml:space="preserve">废 </w:t>
            </w:r>
            <w:r>
              <w:rPr>
                <w:rFonts w:ascii="Times New Roman" w:hAnsi="Times New Roman" w:eastAsia="Times New Roman" w:cs="Times New Roman"/>
                <w:sz w:val="20"/>
                <w:szCs w:val="20"/>
              </w:rPr>
              <w:t>uv</w:t>
            </w:r>
            <w:r>
              <w:rPr>
                <w:rFonts w:ascii="Times New Roman" w:hAnsi="Times New Roman" w:eastAsia="Times New Roman" w:cs="Times New Roman"/>
                <w:spacing w:val="1"/>
                <w:sz w:val="20"/>
                <w:szCs w:val="20"/>
              </w:rPr>
              <w:t xml:space="preserve"> </w:t>
            </w:r>
            <w:r>
              <w:rPr>
                <w:rFonts w:ascii="宋体" w:hAnsi="宋体" w:eastAsia="宋体" w:cs="宋体"/>
                <w:spacing w:val="1"/>
                <w:sz w:val="20"/>
                <w:szCs w:val="20"/>
              </w:rPr>
              <w:t>光解灯</w:t>
            </w:r>
            <w:r>
              <w:rPr>
                <w:rFonts w:ascii="宋体" w:hAnsi="宋体" w:eastAsia="宋体" w:cs="宋体"/>
                <w:sz w:val="20"/>
                <w:szCs w:val="20"/>
              </w:rPr>
              <w:t>管</w:t>
            </w:r>
          </w:p>
        </w:tc>
        <w:tc>
          <w:tcPr>
            <w:tcW w:w="1173" w:type="dxa"/>
            <w:vAlign w:val="top"/>
          </w:tcPr>
          <w:p w14:paraId="0ADB1F56">
            <w:pPr>
              <w:spacing w:before="247" w:line="195" w:lineRule="auto"/>
              <w:ind w:left="45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w:t>
            </w:r>
            <w:r>
              <w:rPr>
                <w:rFonts w:ascii="Times New Roman" w:hAnsi="Times New Roman" w:eastAsia="Times New Roman" w:cs="Times New Roman"/>
                <w:spacing w:val="1"/>
                <w:sz w:val="20"/>
                <w:szCs w:val="20"/>
              </w:rPr>
              <w:t>4</w:t>
            </w:r>
          </w:p>
        </w:tc>
        <w:tc>
          <w:tcPr>
            <w:tcW w:w="932" w:type="dxa"/>
            <w:vAlign w:val="top"/>
          </w:tcPr>
          <w:p w14:paraId="05A7B142">
            <w:pPr>
              <w:spacing w:before="212" w:line="228" w:lineRule="auto"/>
              <w:ind w:left="54"/>
              <w:rPr>
                <w:rFonts w:ascii="宋体" w:hAnsi="宋体" w:eastAsia="宋体" w:cs="宋体"/>
                <w:sz w:val="20"/>
                <w:szCs w:val="20"/>
              </w:rPr>
            </w:pPr>
            <w:r>
              <w:rPr>
                <w:rFonts w:ascii="宋体" w:hAnsi="宋体" w:eastAsia="宋体" w:cs="宋体"/>
                <w:spacing w:val="9"/>
                <w:sz w:val="20"/>
                <w:szCs w:val="20"/>
              </w:rPr>
              <w:t>危</w:t>
            </w:r>
            <w:r>
              <w:rPr>
                <w:rFonts w:ascii="宋体" w:hAnsi="宋体" w:eastAsia="宋体" w:cs="宋体"/>
                <w:spacing w:val="6"/>
                <w:sz w:val="20"/>
                <w:szCs w:val="20"/>
              </w:rPr>
              <w:t>险固废</w:t>
            </w:r>
          </w:p>
        </w:tc>
        <w:tc>
          <w:tcPr>
            <w:tcW w:w="4271" w:type="dxa"/>
            <w:tcBorders>
              <w:right w:val="nil"/>
            </w:tcBorders>
            <w:vAlign w:val="top"/>
          </w:tcPr>
          <w:p w14:paraId="3BA870BC">
            <w:pPr>
              <w:spacing w:before="55" w:line="258" w:lineRule="auto"/>
              <w:ind w:left="35" w:right="22" w:hanging="5"/>
              <w:rPr>
                <w:rFonts w:ascii="宋体" w:hAnsi="宋体" w:eastAsia="宋体" w:cs="宋体"/>
                <w:sz w:val="20"/>
                <w:szCs w:val="20"/>
              </w:rPr>
            </w:pPr>
            <w:r>
              <w:rPr>
                <w:rFonts w:ascii="宋体" w:hAnsi="宋体" w:eastAsia="宋体" w:cs="宋体"/>
                <w:spacing w:val="20"/>
                <w:sz w:val="20"/>
                <w:szCs w:val="20"/>
              </w:rPr>
              <w:t>集</w:t>
            </w:r>
            <w:r>
              <w:rPr>
                <w:rFonts w:ascii="宋体" w:hAnsi="宋体" w:eastAsia="宋体" w:cs="宋体"/>
                <w:spacing w:val="15"/>
                <w:sz w:val="20"/>
                <w:szCs w:val="20"/>
              </w:rPr>
              <w:t>中</w:t>
            </w:r>
            <w:r>
              <w:rPr>
                <w:rFonts w:ascii="宋体" w:hAnsi="宋体" w:eastAsia="宋体" w:cs="宋体"/>
                <w:spacing w:val="10"/>
                <w:sz w:val="20"/>
                <w:szCs w:val="20"/>
              </w:rPr>
              <w:t>收集后在固定容器中单独存放，积攒到一</w:t>
            </w:r>
            <w:r>
              <w:rPr>
                <w:rFonts w:ascii="宋体" w:hAnsi="宋体" w:eastAsia="宋体" w:cs="宋体"/>
                <w:sz w:val="20"/>
                <w:szCs w:val="20"/>
              </w:rPr>
              <w:t xml:space="preserve"> </w:t>
            </w:r>
            <w:r>
              <w:rPr>
                <w:rFonts w:ascii="宋体" w:hAnsi="宋体" w:eastAsia="宋体" w:cs="宋体"/>
                <w:spacing w:val="11"/>
                <w:sz w:val="20"/>
                <w:szCs w:val="20"/>
              </w:rPr>
              <w:t>定</w:t>
            </w:r>
            <w:r>
              <w:rPr>
                <w:rFonts w:ascii="宋体" w:hAnsi="宋体" w:eastAsia="宋体" w:cs="宋体"/>
                <w:spacing w:val="8"/>
                <w:sz w:val="20"/>
                <w:szCs w:val="20"/>
              </w:rPr>
              <w:t>数量后交由有资质单位处理。</w:t>
            </w:r>
          </w:p>
        </w:tc>
      </w:tr>
    </w:tbl>
    <w:p w14:paraId="275B4136">
      <w:pPr>
        <w:spacing w:line="260" w:lineRule="auto"/>
        <w:rPr>
          <w:rFonts w:ascii="Arial"/>
          <w:sz w:val="21"/>
        </w:rPr>
      </w:pPr>
    </w:p>
    <w:p w14:paraId="52A48AAA">
      <w:pPr>
        <w:tabs>
          <w:tab w:val="left" w:pos="242"/>
        </w:tabs>
        <w:spacing w:before="75" w:line="389" w:lineRule="auto"/>
        <w:ind w:left="113" w:right="65" w:firstLine="487"/>
        <w:rPr>
          <w:rFonts w:ascii="宋体" w:hAnsi="宋体" w:eastAsia="宋体" w:cs="宋体"/>
          <w:sz w:val="23"/>
          <w:szCs w:val="23"/>
        </w:rPr>
      </w:pPr>
      <w:r>
        <w:rPr>
          <w:rFonts w:ascii="宋体" w:hAnsi="宋体" w:eastAsia="宋体" w:cs="宋体"/>
          <w:spacing w:val="1"/>
          <w:sz w:val="23"/>
          <w:szCs w:val="23"/>
        </w:rPr>
        <w:t>从结果可以</w:t>
      </w:r>
      <w:r>
        <w:rPr>
          <w:rFonts w:ascii="宋体" w:hAnsi="宋体" w:eastAsia="宋体" w:cs="宋体"/>
          <w:sz w:val="23"/>
          <w:szCs w:val="23"/>
        </w:rPr>
        <w:t xml:space="preserve">看出，本项目固体废弃物处置符合《辽宁省工业固体废物污染控制 </w:t>
      </w:r>
      <w:r>
        <w:rPr>
          <w:rFonts w:ascii="宋体" w:hAnsi="宋体" w:eastAsia="宋体" w:cs="宋体"/>
          <w:spacing w:val="16"/>
          <w:sz w:val="23"/>
          <w:szCs w:val="23"/>
        </w:rPr>
        <w:t>标</w:t>
      </w:r>
      <w:r>
        <w:rPr>
          <w:rFonts w:ascii="宋体" w:hAnsi="宋体" w:eastAsia="宋体" w:cs="宋体"/>
          <w:spacing w:val="13"/>
          <w:sz w:val="23"/>
          <w:szCs w:val="23"/>
        </w:rPr>
        <w:t>准</w:t>
      </w:r>
      <w:r>
        <w:rPr>
          <w:rFonts w:ascii="宋体" w:hAnsi="宋体" w:eastAsia="宋体" w:cs="宋体"/>
          <w:spacing w:val="8"/>
          <w:sz w:val="23"/>
          <w:szCs w:val="23"/>
        </w:rPr>
        <w:t>》  (</w:t>
      </w:r>
      <w:r>
        <w:rPr>
          <w:rFonts w:ascii="Times New Roman" w:hAnsi="Times New Roman" w:eastAsia="Times New Roman" w:cs="Times New Roman"/>
          <w:sz w:val="23"/>
          <w:szCs w:val="23"/>
        </w:rPr>
        <w:t>DB</w:t>
      </w:r>
      <w:r>
        <w:rPr>
          <w:rFonts w:ascii="Times New Roman" w:hAnsi="Times New Roman" w:eastAsia="Times New Roman" w:cs="Times New Roman"/>
          <w:spacing w:val="8"/>
          <w:sz w:val="23"/>
          <w:szCs w:val="23"/>
        </w:rPr>
        <w:t>21-777-94</w:t>
      </w:r>
      <w:r>
        <w:rPr>
          <w:rFonts w:ascii="宋体" w:hAnsi="宋体" w:eastAsia="宋体" w:cs="宋体"/>
          <w:spacing w:val="8"/>
          <w:sz w:val="23"/>
          <w:szCs w:val="23"/>
        </w:rPr>
        <w:t>) 、《 一般工业固体废物贮存、处置场污染控制标准》</w:t>
      </w:r>
      <w:r>
        <w:rPr>
          <w:rFonts w:ascii="宋体" w:hAnsi="宋体" w:eastAsia="宋体" w:cs="宋体"/>
          <w:sz w:val="23"/>
          <w:szCs w:val="23"/>
        </w:rPr>
        <w:t xml:space="preserve"> </w:t>
      </w:r>
      <w:r>
        <w:rPr>
          <w:rFonts w:ascii="宋体" w:hAnsi="宋体" w:eastAsia="宋体" w:cs="宋体"/>
          <w:sz w:val="23"/>
          <w:szCs w:val="23"/>
        </w:rPr>
        <w:tab/>
      </w:r>
      <w:r>
        <w:rPr>
          <w:rFonts w:ascii="宋体" w:hAnsi="宋体" w:eastAsia="宋体" w:cs="宋体"/>
          <w:spacing w:val="7"/>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7"/>
          <w:sz w:val="23"/>
          <w:szCs w:val="23"/>
        </w:rPr>
        <w:t>18599-2001</w:t>
      </w:r>
      <w:r>
        <w:rPr>
          <w:rFonts w:ascii="宋体" w:hAnsi="宋体" w:eastAsia="宋体" w:cs="宋体"/>
          <w:spacing w:val="7"/>
          <w:sz w:val="23"/>
          <w:szCs w:val="23"/>
        </w:rPr>
        <w:t xml:space="preserve">) 及其修改单公告 (环境保护部公告，公告 </w:t>
      </w:r>
      <w:r>
        <w:rPr>
          <w:rFonts w:ascii="Times New Roman" w:hAnsi="Times New Roman" w:eastAsia="Times New Roman" w:cs="Times New Roman"/>
          <w:spacing w:val="7"/>
          <w:sz w:val="23"/>
          <w:szCs w:val="23"/>
        </w:rPr>
        <w:t xml:space="preserve">2013 </w:t>
      </w:r>
      <w:r>
        <w:rPr>
          <w:rFonts w:ascii="宋体" w:hAnsi="宋体" w:eastAsia="宋体" w:cs="宋体"/>
          <w:spacing w:val="7"/>
          <w:sz w:val="23"/>
          <w:szCs w:val="23"/>
        </w:rPr>
        <w:t xml:space="preserve">年第 </w:t>
      </w:r>
      <w:r>
        <w:rPr>
          <w:rFonts w:ascii="Times New Roman" w:hAnsi="Times New Roman" w:eastAsia="Times New Roman" w:cs="Times New Roman"/>
          <w:spacing w:val="7"/>
          <w:sz w:val="23"/>
          <w:szCs w:val="23"/>
        </w:rPr>
        <w:t xml:space="preserve">36 </w:t>
      </w:r>
      <w:r>
        <w:rPr>
          <w:rFonts w:ascii="宋体" w:hAnsi="宋体" w:eastAsia="宋体" w:cs="宋体"/>
          <w:spacing w:val="7"/>
          <w:sz w:val="23"/>
          <w:szCs w:val="23"/>
        </w:rPr>
        <w:t>号</w:t>
      </w:r>
      <w:r>
        <w:rPr>
          <w:rFonts w:ascii="宋体" w:hAnsi="宋体" w:eastAsia="宋体" w:cs="宋体"/>
          <w:spacing w:val="6"/>
          <w:sz w:val="23"/>
          <w:szCs w:val="23"/>
        </w:rPr>
        <w:t>，</w:t>
      </w:r>
      <w:r>
        <w:rPr>
          <w:rFonts w:ascii="宋体" w:hAnsi="宋体" w:eastAsia="宋体" w:cs="宋体"/>
          <w:sz w:val="23"/>
          <w:szCs w:val="23"/>
        </w:rPr>
        <w:t xml:space="preserve"> </w:t>
      </w:r>
      <w:r>
        <w:rPr>
          <w:rFonts w:ascii="Times New Roman" w:hAnsi="Times New Roman" w:eastAsia="Times New Roman" w:cs="Times New Roman"/>
          <w:spacing w:val="-4"/>
          <w:sz w:val="23"/>
          <w:szCs w:val="23"/>
        </w:rPr>
        <w:t xml:space="preserve">2013 </w:t>
      </w:r>
      <w:r>
        <w:rPr>
          <w:rFonts w:ascii="宋体" w:hAnsi="宋体" w:eastAsia="宋体" w:cs="宋体"/>
          <w:spacing w:val="-4"/>
          <w:sz w:val="23"/>
          <w:szCs w:val="23"/>
        </w:rPr>
        <w:t xml:space="preserve">年 </w:t>
      </w:r>
      <w:r>
        <w:rPr>
          <w:rFonts w:ascii="Times New Roman" w:hAnsi="Times New Roman" w:eastAsia="Times New Roman" w:cs="Times New Roman"/>
          <w:spacing w:val="-4"/>
          <w:sz w:val="23"/>
          <w:szCs w:val="23"/>
        </w:rPr>
        <w:t xml:space="preserve">6 </w:t>
      </w:r>
      <w:r>
        <w:rPr>
          <w:rFonts w:ascii="宋体" w:hAnsi="宋体" w:eastAsia="宋体" w:cs="宋体"/>
          <w:spacing w:val="-4"/>
          <w:sz w:val="23"/>
          <w:szCs w:val="23"/>
        </w:rPr>
        <w:t xml:space="preserve">月 </w:t>
      </w:r>
      <w:r>
        <w:rPr>
          <w:rFonts w:ascii="Times New Roman" w:hAnsi="Times New Roman" w:eastAsia="Times New Roman" w:cs="Times New Roman"/>
          <w:spacing w:val="-2"/>
          <w:sz w:val="23"/>
          <w:szCs w:val="23"/>
        </w:rPr>
        <w:t xml:space="preserve">8 </w:t>
      </w:r>
      <w:r>
        <w:rPr>
          <w:rFonts w:ascii="宋体" w:hAnsi="宋体" w:eastAsia="宋体" w:cs="宋体"/>
          <w:spacing w:val="-2"/>
          <w:sz w:val="23"/>
          <w:szCs w:val="23"/>
        </w:rPr>
        <w:t>日) 的相关规定。项目产生的固体废弃物对区域环境质量影响不大。</w:t>
      </w:r>
    </w:p>
    <w:p w14:paraId="087B81C6">
      <w:pPr>
        <w:spacing w:before="100" w:line="221" w:lineRule="auto"/>
        <w:ind w:left="112"/>
        <w:outlineLvl w:val="3"/>
        <w:rPr>
          <w:rFonts w:ascii="宋体" w:hAnsi="宋体" w:eastAsia="宋体" w:cs="宋体"/>
          <w:sz w:val="28"/>
          <w:szCs w:val="28"/>
        </w:rPr>
      </w:pPr>
      <w:r>
        <w:rPr>
          <w:rFonts w:ascii="Times New Roman" w:hAnsi="Times New Roman" w:eastAsia="Times New Roman" w:cs="Times New Roman"/>
          <w:b/>
          <w:bCs/>
          <w:spacing w:val="14"/>
          <w:sz w:val="28"/>
          <w:szCs w:val="28"/>
        </w:rPr>
        <w:t>3</w:t>
      </w:r>
      <w:r>
        <w:rPr>
          <w:rFonts w:ascii="Times New Roman" w:hAnsi="Times New Roman" w:eastAsia="Times New Roman" w:cs="Times New Roman"/>
          <w:b/>
          <w:bCs/>
          <w:spacing w:val="10"/>
          <w:sz w:val="28"/>
          <w:szCs w:val="28"/>
        </w:rPr>
        <w:t>.</w:t>
      </w:r>
      <w:r>
        <w:rPr>
          <w:rFonts w:ascii="Times New Roman" w:hAnsi="Times New Roman" w:eastAsia="Times New Roman" w:cs="Times New Roman"/>
          <w:b/>
          <w:bCs/>
          <w:spacing w:val="7"/>
          <w:sz w:val="28"/>
          <w:szCs w:val="28"/>
        </w:rPr>
        <w:t>2.2.5</w:t>
      </w:r>
      <w:r>
        <w:rPr>
          <w:rFonts w:ascii="Times New Roman" w:hAnsi="Times New Roman" w:eastAsia="Times New Roman" w:cs="Times New Roman"/>
          <w:spacing w:val="7"/>
          <w:sz w:val="28"/>
          <w:szCs w:val="28"/>
        </w:rPr>
        <w:t xml:space="preserve"> </w:t>
      </w:r>
      <w:r>
        <w:rPr>
          <w:rFonts w:ascii="宋体" w:hAnsi="宋体" w:eastAsia="宋体" w:cs="宋体"/>
          <w:spacing w:val="7"/>
          <w:sz w:val="28"/>
          <w:szCs w:val="28"/>
          <w14:textOutline w14:w="5103" w14:cap="sq" w14:cmpd="sng">
            <w14:solidFill>
              <w14:srgbClr w14:val="000000"/>
            </w14:solidFill>
            <w14:prstDash w14:val="solid"/>
            <w14:bevel/>
          </w14:textOutline>
        </w:rPr>
        <w:t>污染源强汇总</w:t>
      </w:r>
    </w:p>
    <w:p w14:paraId="3CF72C93">
      <w:pPr>
        <w:spacing w:line="260" w:lineRule="auto"/>
        <w:rPr>
          <w:rFonts w:ascii="Arial"/>
          <w:sz w:val="21"/>
        </w:rPr>
      </w:pPr>
    </w:p>
    <w:p w14:paraId="44F49865">
      <w:pPr>
        <w:spacing w:before="75" w:line="227" w:lineRule="auto"/>
        <w:ind w:left="601"/>
        <w:rPr>
          <w:rFonts w:ascii="宋体" w:hAnsi="宋体" w:eastAsia="宋体" w:cs="宋体"/>
          <w:sz w:val="23"/>
          <w:szCs w:val="23"/>
        </w:rPr>
      </w:pPr>
      <w:r>
        <w:rPr>
          <w:rFonts w:ascii="宋体" w:hAnsi="宋体" w:eastAsia="宋体" w:cs="宋体"/>
          <w:spacing w:val="5"/>
          <w:sz w:val="23"/>
          <w:szCs w:val="23"/>
        </w:rPr>
        <w:t xml:space="preserve">该项目个污染物产生和排放情况见表 </w:t>
      </w:r>
      <w:r>
        <w:rPr>
          <w:rFonts w:ascii="Times New Roman" w:hAnsi="Times New Roman" w:eastAsia="Times New Roman" w:cs="Times New Roman"/>
          <w:spacing w:val="5"/>
          <w:sz w:val="23"/>
          <w:szCs w:val="23"/>
        </w:rPr>
        <w:t>3-21</w:t>
      </w:r>
      <w:r>
        <w:rPr>
          <w:rFonts w:ascii="宋体" w:hAnsi="宋体" w:eastAsia="宋体" w:cs="宋体"/>
          <w:spacing w:val="4"/>
          <w:sz w:val="23"/>
          <w:szCs w:val="23"/>
        </w:rPr>
        <w:t>。</w:t>
      </w:r>
    </w:p>
    <w:p w14:paraId="2395633F">
      <w:pPr>
        <w:spacing w:line="276" w:lineRule="auto"/>
        <w:rPr>
          <w:rFonts w:ascii="Arial"/>
          <w:sz w:val="21"/>
        </w:rPr>
      </w:pPr>
    </w:p>
    <w:p w14:paraId="15494A3B">
      <w:pPr>
        <w:spacing w:before="75" w:line="228" w:lineRule="auto"/>
        <w:ind w:left="2458"/>
        <w:rPr>
          <w:rFonts w:ascii="宋体" w:hAnsi="宋体" w:eastAsia="宋体" w:cs="宋体"/>
          <w:sz w:val="23"/>
          <w:szCs w:val="23"/>
        </w:rPr>
      </w:pPr>
      <w:r>
        <w:rPr>
          <w:rFonts w:ascii="宋体" w:hAnsi="宋体" w:eastAsia="宋体" w:cs="宋体"/>
          <w:spacing w:val="4"/>
          <w:sz w:val="23"/>
          <w:szCs w:val="23"/>
          <w14:textOutline w14:w="4358" w14:cap="sq" w14:cmpd="sng">
            <w14:solidFill>
              <w14:srgbClr w14:val="000000"/>
            </w14:solidFill>
            <w14:prstDash w14:val="solid"/>
            <w14:bevel/>
          </w14:textOutline>
        </w:rPr>
        <w:t>表</w:t>
      </w:r>
      <w:r>
        <w:rPr>
          <w:rFonts w:ascii="宋体" w:hAnsi="宋体" w:eastAsia="宋体" w:cs="宋体"/>
          <w:spacing w:val="4"/>
          <w:sz w:val="23"/>
          <w:szCs w:val="23"/>
        </w:rPr>
        <w:t xml:space="preserve"> </w:t>
      </w:r>
      <w:r>
        <w:rPr>
          <w:rFonts w:ascii="Times New Roman" w:hAnsi="Times New Roman" w:eastAsia="Times New Roman" w:cs="Times New Roman"/>
          <w:b/>
          <w:bCs/>
          <w:spacing w:val="4"/>
          <w:sz w:val="23"/>
          <w:szCs w:val="23"/>
        </w:rPr>
        <w:t>3-21</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污染物排放情况汇总表</w:t>
      </w:r>
    </w:p>
    <w:p w14:paraId="5A18E103">
      <w:pPr>
        <w:spacing w:line="17" w:lineRule="exact"/>
      </w:pPr>
    </w:p>
    <w:tbl>
      <w:tblPr>
        <w:tblStyle w:val="4"/>
        <w:tblW w:w="8305"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3"/>
        <w:gridCol w:w="269"/>
        <w:gridCol w:w="1705"/>
        <w:gridCol w:w="1578"/>
        <w:gridCol w:w="1361"/>
        <w:gridCol w:w="1530"/>
        <w:gridCol w:w="1419"/>
      </w:tblGrid>
      <w:tr w14:paraId="4CB61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443" w:type="dxa"/>
            <w:tcBorders>
              <w:left w:val="nil"/>
            </w:tcBorders>
            <w:vAlign w:val="top"/>
          </w:tcPr>
          <w:p w14:paraId="7B6B2F90">
            <w:pPr>
              <w:spacing w:before="75" w:line="229" w:lineRule="auto"/>
              <w:ind w:left="31"/>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序</w:t>
            </w:r>
            <w:r>
              <w:rPr>
                <w:rFonts w:ascii="宋体" w:hAnsi="宋体" w:eastAsia="宋体" w:cs="宋体"/>
                <w:sz w:val="20"/>
                <w:szCs w:val="20"/>
                <w14:textOutline w14:w="3795" w14:cap="sq" w14:cmpd="sng">
                  <w14:solidFill>
                    <w14:srgbClr w14:val="000000"/>
                  </w14:solidFill>
                  <w14:prstDash w14:val="solid"/>
                  <w14:bevel/>
                </w14:textOutline>
              </w:rPr>
              <w:t>号</w:t>
            </w:r>
          </w:p>
        </w:tc>
        <w:tc>
          <w:tcPr>
            <w:tcW w:w="1974" w:type="dxa"/>
            <w:gridSpan w:val="2"/>
            <w:vAlign w:val="top"/>
          </w:tcPr>
          <w:p w14:paraId="53C756D7">
            <w:pPr>
              <w:spacing w:before="75" w:line="230" w:lineRule="auto"/>
              <w:ind w:left="796"/>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名称</w:t>
            </w:r>
          </w:p>
        </w:tc>
        <w:tc>
          <w:tcPr>
            <w:tcW w:w="1578" w:type="dxa"/>
            <w:vAlign w:val="top"/>
          </w:tcPr>
          <w:p w14:paraId="618043E2">
            <w:pPr>
              <w:spacing w:before="75" w:line="228" w:lineRule="auto"/>
              <w:ind w:left="399"/>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产</w:t>
            </w:r>
            <w:r>
              <w:rPr>
                <w:rFonts w:ascii="宋体" w:hAnsi="宋体" w:eastAsia="宋体" w:cs="宋体"/>
                <w:sz w:val="20"/>
                <w:szCs w:val="20"/>
                <w14:textOutline w14:w="3795" w14:cap="sq" w14:cmpd="sng">
                  <w14:solidFill>
                    <w14:srgbClr w14:val="000000"/>
                  </w14:solidFill>
                  <w14:prstDash w14:val="solid"/>
                  <w14:bevel/>
                </w14:textOutline>
              </w:rPr>
              <w:t>生浓度</w:t>
            </w:r>
          </w:p>
        </w:tc>
        <w:tc>
          <w:tcPr>
            <w:tcW w:w="1361" w:type="dxa"/>
            <w:vAlign w:val="top"/>
          </w:tcPr>
          <w:p w14:paraId="7977BD30">
            <w:pPr>
              <w:spacing w:before="75" w:line="228" w:lineRule="auto"/>
              <w:ind w:left="390"/>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产生量</w:t>
            </w:r>
          </w:p>
        </w:tc>
        <w:tc>
          <w:tcPr>
            <w:tcW w:w="1530" w:type="dxa"/>
            <w:vAlign w:val="top"/>
          </w:tcPr>
          <w:p w14:paraId="0BEEF708">
            <w:pPr>
              <w:spacing w:before="76" w:line="228" w:lineRule="auto"/>
              <w:ind w:left="376"/>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排</w:t>
            </w:r>
            <w:r>
              <w:rPr>
                <w:rFonts w:ascii="宋体" w:hAnsi="宋体" w:eastAsia="宋体" w:cs="宋体"/>
                <w:sz w:val="20"/>
                <w:szCs w:val="20"/>
                <w14:textOutline w14:w="3795" w14:cap="sq" w14:cmpd="sng">
                  <w14:solidFill>
                    <w14:srgbClr w14:val="000000"/>
                  </w14:solidFill>
                  <w14:prstDash w14:val="solid"/>
                  <w14:bevel/>
                </w14:textOutline>
              </w:rPr>
              <w:t>放浓度</w:t>
            </w:r>
          </w:p>
        </w:tc>
        <w:tc>
          <w:tcPr>
            <w:tcW w:w="1419" w:type="dxa"/>
            <w:tcBorders>
              <w:right w:val="nil"/>
            </w:tcBorders>
            <w:vAlign w:val="top"/>
          </w:tcPr>
          <w:p w14:paraId="1D1567B3">
            <w:pPr>
              <w:spacing w:before="75" w:line="229" w:lineRule="auto"/>
              <w:ind w:left="418"/>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排放量</w:t>
            </w:r>
          </w:p>
        </w:tc>
      </w:tr>
      <w:tr w14:paraId="221F3B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443" w:type="dxa"/>
            <w:vMerge w:val="restart"/>
            <w:tcBorders>
              <w:left w:val="nil"/>
              <w:bottom w:val="nil"/>
            </w:tcBorders>
            <w:vAlign w:val="top"/>
          </w:tcPr>
          <w:p w14:paraId="13E1FEA9">
            <w:pPr>
              <w:spacing w:line="295" w:lineRule="auto"/>
              <w:rPr>
                <w:rFonts w:ascii="Arial"/>
                <w:sz w:val="21"/>
              </w:rPr>
            </w:pPr>
          </w:p>
          <w:p w14:paraId="5587BF37">
            <w:pPr>
              <w:spacing w:line="295" w:lineRule="auto"/>
              <w:rPr>
                <w:rFonts w:ascii="Arial"/>
                <w:sz w:val="21"/>
              </w:rPr>
            </w:pPr>
          </w:p>
          <w:p w14:paraId="7CE3F2EF">
            <w:pPr>
              <w:spacing w:before="57" w:line="195" w:lineRule="auto"/>
              <w:ind w:left="192"/>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69" w:type="dxa"/>
            <w:vMerge w:val="restart"/>
            <w:tcBorders>
              <w:bottom w:val="nil"/>
            </w:tcBorders>
            <w:textDirection w:val="tbRlV"/>
            <w:vAlign w:val="top"/>
          </w:tcPr>
          <w:p w14:paraId="7A1FE645">
            <w:pPr>
              <w:spacing w:before="27" w:line="217" w:lineRule="auto"/>
              <w:ind w:left="459"/>
              <w:rPr>
                <w:rFonts w:ascii="宋体" w:hAnsi="宋体" w:eastAsia="宋体" w:cs="宋体"/>
                <w:sz w:val="20"/>
                <w:szCs w:val="20"/>
              </w:rPr>
            </w:pPr>
            <w:r>
              <w:rPr>
                <w:rFonts w:ascii="宋体" w:hAnsi="宋体" w:eastAsia="宋体" w:cs="宋体"/>
                <w:spacing w:val="7"/>
                <w:sz w:val="20"/>
                <w:szCs w:val="20"/>
              </w:rPr>
              <w:t xml:space="preserve">废 </w:t>
            </w:r>
            <w:r>
              <w:rPr>
                <w:rFonts w:ascii="宋体" w:hAnsi="宋体" w:eastAsia="宋体" w:cs="宋体"/>
                <w:spacing w:val="6"/>
                <w:sz w:val="20"/>
                <w:szCs w:val="20"/>
              </w:rPr>
              <w:t>气</w:t>
            </w:r>
          </w:p>
        </w:tc>
        <w:tc>
          <w:tcPr>
            <w:tcW w:w="1705" w:type="dxa"/>
            <w:vAlign w:val="top"/>
          </w:tcPr>
          <w:p w14:paraId="1FCEC7B7">
            <w:pPr>
              <w:spacing w:before="46" w:line="220" w:lineRule="auto"/>
              <w:ind w:left="646"/>
              <w:rPr>
                <w:rFonts w:ascii="宋体" w:hAnsi="宋体" w:eastAsia="宋体" w:cs="宋体"/>
                <w:sz w:val="20"/>
                <w:szCs w:val="20"/>
              </w:rPr>
            </w:pPr>
            <w:r>
              <w:rPr>
                <w:rFonts w:ascii="宋体" w:hAnsi="宋体" w:eastAsia="宋体" w:cs="宋体"/>
                <w:spacing w:val="5"/>
                <w:sz w:val="20"/>
                <w:szCs w:val="20"/>
              </w:rPr>
              <w:t>粉尘</w:t>
            </w:r>
          </w:p>
        </w:tc>
        <w:tc>
          <w:tcPr>
            <w:tcW w:w="1578" w:type="dxa"/>
            <w:vAlign w:val="top"/>
          </w:tcPr>
          <w:p w14:paraId="77581E05">
            <w:pPr>
              <w:spacing w:before="8" w:line="277" w:lineRule="exact"/>
              <w:ind w:left="758"/>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1361" w:type="dxa"/>
            <w:vAlign w:val="top"/>
          </w:tcPr>
          <w:p w14:paraId="137EB171">
            <w:pPr>
              <w:spacing w:before="8" w:line="277" w:lineRule="exact"/>
              <w:ind w:left="41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1.02t/a</w:t>
            </w:r>
          </w:p>
        </w:tc>
        <w:tc>
          <w:tcPr>
            <w:tcW w:w="1530" w:type="dxa"/>
            <w:vAlign w:val="top"/>
          </w:tcPr>
          <w:p w14:paraId="245654D9">
            <w:pPr>
              <w:spacing w:before="8" w:line="277" w:lineRule="exact"/>
              <w:ind w:left="735"/>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1419" w:type="dxa"/>
            <w:tcBorders>
              <w:right w:val="nil"/>
            </w:tcBorders>
            <w:vAlign w:val="top"/>
          </w:tcPr>
          <w:p w14:paraId="450B5BE7">
            <w:pPr>
              <w:spacing w:before="8" w:line="277" w:lineRule="exact"/>
              <w:ind w:left="443"/>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1.02t/a</w:t>
            </w:r>
          </w:p>
        </w:tc>
      </w:tr>
      <w:tr w14:paraId="7B84F0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43" w:type="dxa"/>
            <w:vMerge w:val="continue"/>
            <w:tcBorders>
              <w:top w:val="nil"/>
              <w:left w:val="nil"/>
              <w:bottom w:val="nil"/>
            </w:tcBorders>
            <w:vAlign w:val="top"/>
          </w:tcPr>
          <w:p w14:paraId="751A5F65">
            <w:pPr>
              <w:rPr>
                <w:rFonts w:ascii="Arial"/>
                <w:sz w:val="21"/>
              </w:rPr>
            </w:pPr>
          </w:p>
        </w:tc>
        <w:tc>
          <w:tcPr>
            <w:tcW w:w="269" w:type="dxa"/>
            <w:vMerge w:val="continue"/>
            <w:tcBorders>
              <w:top w:val="nil"/>
              <w:bottom w:val="nil"/>
            </w:tcBorders>
            <w:textDirection w:val="tbRlV"/>
            <w:vAlign w:val="top"/>
          </w:tcPr>
          <w:p w14:paraId="19FD6636">
            <w:pPr>
              <w:rPr>
                <w:rFonts w:ascii="Arial"/>
                <w:sz w:val="21"/>
              </w:rPr>
            </w:pPr>
          </w:p>
        </w:tc>
        <w:tc>
          <w:tcPr>
            <w:tcW w:w="1705" w:type="dxa"/>
            <w:vAlign w:val="top"/>
          </w:tcPr>
          <w:p w14:paraId="347F035F">
            <w:pPr>
              <w:spacing w:before="44" w:line="215" w:lineRule="auto"/>
              <w:ind w:left="336"/>
              <w:rPr>
                <w:rFonts w:ascii="宋体" w:hAnsi="宋体" w:eastAsia="宋体" w:cs="宋体"/>
                <w:sz w:val="20"/>
                <w:szCs w:val="20"/>
              </w:rPr>
            </w:pPr>
            <w:r>
              <w:rPr>
                <w:rFonts w:ascii="宋体" w:hAnsi="宋体" w:eastAsia="宋体" w:cs="宋体"/>
                <w:spacing w:val="9"/>
                <w:sz w:val="20"/>
                <w:szCs w:val="20"/>
              </w:rPr>
              <w:t>非</w:t>
            </w:r>
            <w:r>
              <w:rPr>
                <w:rFonts w:ascii="宋体" w:hAnsi="宋体" w:eastAsia="宋体" w:cs="宋体"/>
                <w:spacing w:val="7"/>
                <w:sz w:val="20"/>
                <w:szCs w:val="20"/>
              </w:rPr>
              <w:t>甲烷总烃</w:t>
            </w:r>
          </w:p>
        </w:tc>
        <w:tc>
          <w:tcPr>
            <w:tcW w:w="1578" w:type="dxa"/>
            <w:vAlign w:val="top"/>
          </w:tcPr>
          <w:p w14:paraId="7381DB62">
            <w:pPr>
              <w:spacing w:before="6" w:line="271" w:lineRule="exact"/>
              <w:ind w:left="354"/>
              <w:rPr>
                <w:rFonts w:ascii="Times New Roman" w:hAnsi="Times New Roman" w:eastAsia="Times New Roman" w:cs="Times New Roman"/>
                <w:sz w:val="13"/>
                <w:szCs w:val="13"/>
              </w:rPr>
            </w:pPr>
            <w:r>
              <w:rPr>
                <w:rFonts w:ascii="Times New Roman" w:hAnsi="Times New Roman" w:eastAsia="Times New Roman" w:cs="Times New Roman"/>
                <w:spacing w:val="10"/>
                <w:position w:val="3"/>
                <w:sz w:val="20"/>
                <w:szCs w:val="20"/>
              </w:rPr>
              <w:t>2</w:t>
            </w:r>
            <w:r>
              <w:rPr>
                <w:rFonts w:ascii="Times New Roman" w:hAnsi="Times New Roman" w:eastAsia="Times New Roman" w:cs="Times New Roman"/>
                <w:spacing w:val="7"/>
                <w:position w:val="3"/>
                <w:sz w:val="20"/>
                <w:szCs w:val="20"/>
              </w:rPr>
              <w:t>48</w:t>
            </w:r>
            <w:r>
              <w:rPr>
                <w:rFonts w:ascii="Times New Roman" w:hAnsi="Times New Roman" w:eastAsia="Times New Roman" w:cs="Times New Roman"/>
                <w:position w:val="3"/>
                <w:sz w:val="20"/>
                <w:szCs w:val="20"/>
              </w:rPr>
              <w:t>mg</w:t>
            </w:r>
            <w:r>
              <w:rPr>
                <w:rFonts w:ascii="Times New Roman" w:hAnsi="Times New Roman" w:eastAsia="Times New Roman" w:cs="Times New Roman"/>
                <w:spacing w:val="7"/>
                <w:position w:val="3"/>
                <w:sz w:val="20"/>
                <w:szCs w:val="20"/>
              </w:rPr>
              <w:t>/</w:t>
            </w:r>
            <w:r>
              <w:rPr>
                <w:rFonts w:ascii="Times New Roman" w:hAnsi="Times New Roman" w:eastAsia="Times New Roman" w:cs="Times New Roman"/>
                <w:position w:val="3"/>
                <w:sz w:val="20"/>
                <w:szCs w:val="20"/>
              </w:rPr>
              <w:t>m</w:t>
            </w:r>
            <w:r>
              <w:rPr>
                <w:rFonts w:ascii="Times New Roman" w:hAnsi="Times New Roman" w:eastAsia="Times New Roman" w:cs="Times New Roman"/>
                <w:spacing w:val="7"/>
                <w:position w:val="9"/>
                <w:sz w:val="13"/>
                <w:szCs w:val="13"/>
              </w:rPr>
              <w:t>3</w:t>
            </w:r>
          </w:p>
        </w:tc>
        <w:tc>
          <w:tcPr>
            <w:tcW w:w="1361" w:type="dxa"/>
            <w:vAlign w:val="top"/>
          </w:tcPr>
          <w:p w14:paraId="48DE7801">
            <w:pPr>
              <w:spacing w:before="6" w:line="271" w:lineRule="exact"/>
              <w:ind w:left="363"/>
              <w:rPr>
                <w:rFonts w:ascii="Times New Roman" w:hAnsi="Times New Roman" w:eastAsia="Times New Roman" w:cs="Times New Roman"/>
                <w:sz w:val="20"/>
                <w:szCs w:val="20"/>
              </w:rPr>
            </w:pPr>
            <w:r>
              <w:rPr>
                <w:rFonts w:ascii="Times New Roman" w:hAnsi="Times New Roman" w:eastAsia="Times New Roman" w:cs="Times New Roman"/>
                <w:spacing w:val="1"/>
                <w:position w:val="1"/>
                <w:sz w:val="20"/>
                <w:szCs w:val="20"/>
              </w:rPr>
              <w:t xml:space="preserve">17 </w:t>
            </w:r>
            <w:r>
              <w:rPr>
                <w:rFonts w:ascii="Times New Roman" w:hAnsi="Times New Roman" w:eastAsia="Times New Roman" w:cs="Times New Roman"/>
                <w:position w:val="1"/>
                <w:sz w:val="20"/>
                <w:szCs w:val="20"/>
              </w:rPr>
              <w:t>88t/a</w:t>
            </w:r>
          </w:p>
        </w:tc>
        <w:tc>
          <w:tcPr>
            <w:tcW w:w="1530" w:type="dxa"/>
            <w:vAlign w:val="top"/>
          </w:tcPr>
          <w:p w14:paraId="25D13C7A">
            <w:pPr>
              <w:spacing w:before="6" w:line="271" w:lineRule="exact"/>
              <w:ind w:left="388"/>
              <w:rPr>
                <w:rFonts w:ascii="Times New Roman" w:hAnsi="Times New Roman" w:eastAsia="Times New Roman" w:cs="Times New Roman"/>
                <w:sz w:val="13"/>
                <w:szCs w:val="13"/>
              </w:rPr>
            </w:pPr>
            <w:r>
              <w:rPr>
                <w:rFonts w:ascii="Times New Roman" w:hAnsi="Times New Roman" w:eastAsia="Times New Roman" w:cs="Times New Roman"/>
                <w:spacing w:val="8"/>
                <w:position w:val="3"/>
                <w:sz w:val="20"/>
                <w:szCs w:val="20"/>
              </w:rPr>
              <w:t>6</w:t>
            </w:r>
            <w:r>
              <w:rPr>
                <w:rFonts w:ascii="Times New Roman" w:hAnsi="Times New Roman" w:eastAsia="Times New Roman" w:cs="Times New Roman"/>
                <w:spacing w:val="6"/>
                <w:position w:val="3"/>
                <w:sz w:val="20"/>
                <w:szCs w:val="20"/>
              </w:rPr>
              <w:t>6</w:t>
            </w:r>
            <w:r>
              <w:rPr>
                <w:rFonts w:ascii="Times New Roman" w:hAnsi="Times New Roman" w:eastAsia="Times New Roman" w:cs="Times New Roman"/>
                <w:position w:val="3"/>
                <w:sz w:val="20"/>
                <w:szCs w:val="20"/>
              </w:rPr>
              <w:t>mg</w:t>
            </w:r>
            <w:r>
              <w:rPr>
                <w:rFonts w:ascii="Times New Roman" w:hAnsi="Times New Roman" w:eastAsia="Times New Roman" w:cs="Times New Roman"/>
                <w:spacing w:val="6"/>
                <w:position w:val="3"/>
                <w:sz w:val="20"/>
                <w:szCs w:val="20"/>
              </w:rPr>
              <w:t>/</w:t>
            </w:r>
            <w:r>
              <w:rPr>
                <w:rFonts w:ascii="Times New Roman" w:hAnsi="Times New Roman" w:eastAsia="Times New Roman" w:cs="Times New Roman"/>
                <w:position w:val="3"/>
                <w:sz w:val="20"/>
                <w:szCs w:val="20"/>
              </w:rPr>
              <w:t>m</w:t>
            </w:r>
            <w:r>
              <w:rPr>
                <w:rFonts w:ascii="Times New Roman" w:hAnsi="Times New Roman" w:eastAsia="Times New Roman" w:cs="Times New Roman"/>
                <w:spacing w:val="6"/>
                <w:position w:val="9"/>
                <w:sz w:val="13"/>
                <w:szCs w:val="13"/>
              </w:rPr>
              <w:t>3</w:t>
            </w:r>
          </w:p>
        </w:tc>
        <w:tc>
          <w:tcPr>
            <w:tcW w:w="1419" w:type="dxa"/>
            <w:tcBorders>
              <w:right w:val="nil"/>
            </w:tcBorders>
            <w:vAlign w:val="top"/>
          </w:tcPr>
          <w:p w14:paraId="6735AD24">
            <w:pPr>
              <w:spacing w:before="6" w:line="271" w:lineRule="exact"/>
              <w:ind w:left="423"/>
              <w:rPr>
                <w:rFonts w:ascii="Times New Roman" w:hAnsi="Times New Roman" w:eastAsia="Times New Roman" w:cs="Times New Roman"/>
                <w:sz w:val="20"/>
                <w:szCs w:val="20"/>
              </w:rPr>
            </w:pPr>
            <w:r>
              <w:rPr>
                <w:rFonts w:ascii="Times New Roman" w:hAnsi="Times New Roman" w:eastAsia="Times New Roman" w:cs="Times New Roman"/>
                <w:spacing w:val="4"/>
                <w:position w:val="1"/>
                <w:sz w:val="20"/>
                <w:szCs w:val="20"/>
              </w:rPr>
              <w:t>2 41</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4"/>
                <w:position w:val="1"/>
                <w:sz w:val="20"/>
                <w:szCs w:val="20"/>
              </w:rPr>
              <w:t>/</w:t>
            </w:r>
            <w:r>
              <w:rPr>
                <w:rFonts w:ascii="Times New Roman" w:hAnsi="Times New Roman" w:eastAsia="Times New Roman" w:cs="Times New Roman"/>
                <w:position w:val="1"/>
                <w:sz w:val="20"/>
                <w:szCs w:val="20"/>
              </w:rPr>
              <w:t>a</w:t>
            </w:r>
          </w:p>
        </w:tc>
      </w:tr>
      <w:tr w14:paraId="538082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443" w:type="dxa"/>
            <w:vMerge w:val="continue"/>
            <w:tcBorders>
              <w:top w:val="nil"/>
              <w:left w:val="nil"/>
              <w:bottom w:val="nil"/>
            </w:tcBorders>
            <w:vAlign w:val="top"/>
          </w:tcPr>
          <w:p w14:paraId="25AF9F35">
            <w:pPr>
              <w:rPr>
                <w:rFonts w:ascii="Arial"/>
                <w:sz w:val="21"/>
              </w:rPr>
            </w:pPr>
          </w:p>
        </w:tc>
        <w:tc>
          <w:tcPr>
            <w:tcW w:w="269" w:type="dxa"/>
            <w:vMerge w:val="continue"/>
            <w:tcBorders>
              <w:top w:val="nil"/>
              <w:bottom w:val="nil"/>
            </w:tcBorders>
            <w:textDirection w:val="tbRlV"/>
            <w:vAlign w:val="top"/>
          </w:tcPr>
          <w:p w14:paraId="668DB86F">
            <w:pPr>
              <w:rPr>
                <w:rFonts w:ascii="Arial"/>
                <w:sz w:val="21"/>
              </w:rPr>
            </w:pPr>
          </w:p>
        </w:tc>
        <w:tc>
          <w:tcPr>
            <w:tcW w:w="1705" w:type="dxa"/>
            <w:vAlign w:val="top"/>
          </w:tcPr>
          <w:p w14:paraId="1C8DFB3E">
            <w:pPr>
              <w:spacing w:before="52" w:line="221" w:lineRule="auto"/>
              <w:ind w:left="540"/>
              <w:rPr>
                <w:rFonts w:ascii="宋体" w:hAnsi="宋体" w:eastAsia="宋体" w:cs="宋体"/>
                <w:sz w:val="20"/>
                <w:szCs w:val="20"/>
              </w:rPr>
            </w:pPr>
            <w:r>
              <w:rPr>
                <w:rFonts w:ascii="宋体" w:hAnsi="宋体" w:eastAsia="宋体" w:cs="宋体"/>
                <w:spacing w:val="7"/>
                <w:sz w:val="20"/>
                <w:szCs w:val="20"/>
              </w:rPr>
              <w:t>颗粒物</w:t>
            </w:r>
          </w:p>
        </w:tc>
        <w:tc>
          <w:tcPr>
            <w:tcW w:w="1578" w:type="dxa"/>
            <w:vAlign w:val="top"/>
          </w:tcPr>
          <w:p w14:paraId="08E7A339">
            <w:pPr>
              <w:spacing w:before="15" w:line="277" w:lineRule="exact"/>
              <w:ind w:left="412"/>
              <w:rPr>
                <w:rFonts w:ascii="Times New Roman" w:hAnsi="Times New Roman" w:eastAsia="Times New Roman" w:cs="Times New Roman"/>
                <w:sz w:val="13"/>
                <w:szCs w:val="13"/>
              </w:rPr>
            </w:pPr>
            <w:r>
              <w:rPr>
                <w:rFonts w:ascii="Times New Roman" w:hAnsi="Times New Roman" w:eastAsia="Times New Roman" w:cs="Times New Roman"/>
                <w:spacing w:val="7"/>
                <w:position w:val="3"/>
                <w:sz w:val="20"/>
                <w:szCs w:val="20"/>
              </w:rPr>
              <w:t>57</w:t>
            </w:r>
            <w:r>
              <w:rPr>
                <w:rFonts w:ascii="Times New Roman" w:hAnsi="Times New Roman" w:eastAsia="Times New Roman" w:cs="Times New Roman"/>
                <w:position w:val="3"/>
                <w:sz w:val="20"/>
                <w:szCs w:val="20"/>
              </w:rPr>
              <w:t>mg</w:t>
            </w:r>
            <w:r>
              <w:rPr>
                <w:rFonts w:ascii="Times New Roman" w:hAnsi="Times New Roman" w:eastAsia="Times New Roman" w:cs="Times New Roman"/>
                <w:spacing w:val="7"/>
                <w:position w:val="3"/>
                <w:sz w:val="20"/>
                <w:szCs w:val="20"/>
              </w:rPr>
              <w:t>/</w:t>
            </w:r>
            <w:r>
              <w:rPr>
                <w:rFonts w:ascii="Times New Roman" w:hAnsi="Times New Roman" w:eastAsia="Times New Roman" w:cs="Times New Roman"/>
                <w:position w:val="3"/>
                <w:sz w:val="20"/>
                <w:szCs w:val="20"/>
              </w:rPr>
              <w:t>m</w:t>
            </w:r>
            <w:r>
              <w:rPr>
                <w:rFonts w:ascii="Times New Roman" w:hAnsi="Times New Roman" w:eastAsia="Times New Roman" w:cs="Times New Roman"/>
                <w:spacing w:val="6"/>
                <w:position w:val="9"/>
                <w:sz w:val="13"/>
                <w:szCs w:val="13"/>
              </w:rPr>
              <w:t>3</w:t>
            </w:r>
          </w:p>
        </w:tc>
        <w:tc>
          <w:tcPr>
            <w:tcW w:w="1361" w:type="dxa"/>
            <w:vAlign w:val="top"/>
          </w:tcPr>
          <w:p w14:paraId="0BA74A08">
            <w:pPr>
              <w:spacing w:before="15" w:line="277" w:lineRule="exact"/>
              <w:ind w:left="397"/>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0</w:t>
            </w:r>
            <w:r>
              <w:rPr>
                <w:rFonts w:ascii="Times New Roman" w:hAnsi="Times New Roman" w:eastAsia="Times New Roman" w:cs="Times New Roman"/>
                <w:spacing w:val="3"/>
                <w:position w:val="2"/>
                <w:sz w:val="20"/>
                <w:szCs w:val="20"/>
              </w:rPr>
              <w:t>.34</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a</w:t>
            </w:r>
          </w:p>
        </w:tc>
        <w:tc>
          <w:tcPr>
            <w:tcW w:w="1530" w:type="dxa"/>
            <w:vAlign w:val="top"/>
          </w:tcPr>
          <w:p w14:paraId="731DD498">
            <w:pPr>
              <w:spacing w:before="15" w:line="277" w:lineRule="exact"/>
              <w:ind w:left="457"/>
              <w:rPr>
                <w:rFonts w:ascii="Times New Roman" w:hAnsi="Times New Roman" w:eastAsia="Times New Roman" w:cs="Times New Roman"/>
                <w:sz w:val="13"/>
                <w:szCs w:val="13"/>
              </w:rPr>
            </w:pPr>
            <w:r>
              <w:rPr>
                <w:rFonts w:ascii="Times New Roman" w:hAnsi="Times New Roman" w:eastAsia="Times New Roman" w:cs="Times New Roman"/>
                <w:spacing w:val="3"/>
                <w:position w:val="3"/>
                <w:sz w:val="20"/>
                <w:szCs w:val="20"/>
              </w:rPr>
              <w:t>1</w:t>
            </w:r>
            <w:r>
              <w:rPr>
                <w:rFonts w:ascii="Times New Roman" w:hAnsi="Times New Roman" w:eastAsia="Times New Roman" w:cs="Times New Roman"/>
                <w:position w:val="3"/>
                <w:sz w:val="20"/>
                <w:szCs w:val="20"/>
              </w:rPr>
              <w:t>mg</w:t>
            </w:r>
            <w:r>
              <w:rPr>
                <w:rFonts w:ascii="Times New Roman" w:hAnsi="Times New Roman" w:eastAsia="Times New Roman" w:cs="Times New Roman"/>
                <w:spacing w:val="2"/>
                <w:position w:val="3"/>
                <w:sz w:val="20"/>
                <w:szCs w:val="20"/>
              </w:rPr>
              <w:t>/</w:t>
            </w:r>
            <w:r>
              <w:rPr>
                <w:rFonts w:ascii="Times New Roman" w:hAnsi="Times New Roman" w:eastAsia="Times New Roman" w:cs="Times New Roman"/>
                <w:position w:val="3"/>
                <w:sz w:val="20"/>
                <w:szCs w:val="20"/>
              </w:rPr>
              <w:t>m</w:t>
            </w:r>
            <w:r>
              <w:rPr>
                <w:rFonts w:ascii="Times New Roman" w:hAnsi="Times New Roman" w:eastAsia="Times New Roman" w:cs="Times New Roman"/>
                <w:spacing w:val="2"/>
                <w:position w:val="9"/>
                <w:sz w:val="13"/>
                <w:szCs w:val="13"/>
              </w:rPr>
              <w:t>3</w:t>
            </w:r>
          </w:p>
        </w:tc>
        <w:tc>
          <w:tcPr>
            <w:tcW w:w="1419" w:type="dxa"/>
            <w:tcBorders>
              <w:right w:val="nil"/>
            </w:tcBorders>
            <w:vAlign w:val="top"/>
          </w:tcPr>
          <w:p w14:paraId="00A9975B">
            <w:pPr>
              <w:spacing w:before="15" w:line="277" w:lineRule="exact"/>
              <w:ind w:left="374"/>
              <w:rPr>
                <w:rFonts w:ascii="Times New Roman" w:hAnsi="Times New Roman" w:eastAsia="Times New Roman" w:cs="Times New Roman"/>
                <w:sz w:val="20"/>
                <w:szCs w:val="20"/>
              </w:rPr>
            </w:pPr>
            <w:r>
              <w:rPr>
                <w:rFonts w:ascii="Times New Roman" w:hAnsi="Times New Roman" w:eastAsia="Times New Roman" w:cs="Times New Roman"/>
                <w:spacing w:val="4"/>
                <w:position w:val="2"/>
                <w:sz w:val="20"/>
                <w:szCs w:val="20"/>
              </w:rPr>
              <w:t>0.003</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a</w:t>
            </w:r>
          </w:p>
        </w:tc>
      </w:tr>
      <w:tr w14:paraId="08EE8C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443" w:type="dxa"/>
            <w:vMerge w:val="continue"/>
            <w:tcBorders>
              <w:top w:val="nil"/>
              <w:left w:val="nil"/>
              <w:bottom w:val="nil"/>
            </w:tcBorders>
            <w:vAlign w:val="top"/>
          </w:tcPr>
          <w:p w14:paraId="07DEC5EF">
            <w:pPr>
              <w:rPr>
                <w:rFonts w:ascii="Arial"/>
                <w:sz w:val="21"/>
              </w:rPr>
            </w:pPr>
          </w:p>
        </w:tc>
        <w:tc>
          <w:tcPr>
            <w:tcW w:w="269" w:type="dxa"/>
            <w:vMerge w:val="continue"/>
            <w:tcBorders>
              <w:top w:val="nil"/>
              <w:bottom w:val="nil"/>
            </w:tcBorders>
            <w:textDirection w:val="tbRlV"/>
            <w:vAlign w:val="top"/>
          </w:tcPr>
          <w:p w14:paraId="63E11410">
            <w:pPr>
              <w:rPr>
                <w:rFonts w:ascii="Arial"/>
                <w:sz w:val="21"/>
              </w:rPr>
            </w:pPr>
          </w:p>
        </w:tc>
        <w:tc>
          <w:tcPr>
            <w:tcW w:w="1705" w:type="dxa"/>
            <w:vAlign w:val="top"/>
          </w:tcPr>
          <w:p w14:paraId="16DC5DCD">
            <w:pPr>
              <w:spacing w:before="82" w:line="202" w:lineRule="auto"/>
              <w:ind w:left="695"/>
              <w:rPr>
                <w:rFonts w:ascii="Times New Roman" w:hAnsi="Times New Roman" w:eastAsia="Times New Roman" w:cs="Times New Roman"/>
                <w:sz w:val="13"/>
                <w:szCs w:val="13"/>
              </w:rPr>
            </w:pPr>
            <w:r>
              <w:rPr>
                <w:rFonts w:ascii="Times New Roman" w:hAnsi="Times New Roman" w:eastAsia="Times New Roman" w:cs="Times New Roman"/>
                <w:sz w:val="20"/>
                <w:szCs w:val="20"/>
              </w:rPr>
              <w:t>SO</w:t>
            </w:r>
            <w:r>
              <w:rPr>
                <w:rFonts w:ascii="Times New Roman" w:hAnsi="Times New Roman" w:eastAsia="Times New Roman" w:cs="Times New Roman"/>
                <w:spacing w:val="3"/>
                <w:position w:val="-1"/>
                <w:sz w:val="13"/>
                <w:szCs w:val="13"/>
              </w:rPr>
              <w:t>2</w:t>
            </w:r>
          </w:p>
        </w:tc>
        <w:tc>
          <w:tcPr>
            <w:tcW w:w="1578" w:type="dxa"/>
            <w:vAlign w:val="top"/>
          </w:tcPr>
          <w:p w14:paraId="78B12666">
            <w:pPr>
              <w:spacing w:before="8" w:line="277" w:lineRule="exact"/>
              <w:ind w:left="374"/>
              <w:rPr>
                <w:rFonts w:ascii="Times New Roman" w:hAnsi="Times New Roman" w:eastAsia="Times New Roman" w:cs="Times New Roman"/>
                <w:sz w:val="13"/>
                <w:szCs w:val="13"/>
              </w:rPr>
            </w:pPr>
            <w:r>
              <w:rPr>
                <w:rFonts w:ascii="Times New Roman" w:hAnsi="Times New Roman" w:eastAsia="Times New Roman" w:cs="Times New Roman"/>
                <w:spacing w:val="6"/>
                <w:position w:val="3"/>
                <w:sz w:val="20"/>
                <w:szCs w:val="20"/>
              </w:rPr>
              <w:t>1</w:t>
            </w:r>
            <w:r>
              <w:rPr>
                <w:rFonts w:ascii="Times New Roman" w:hAnsi="Times New Roman" w:eastAsia="Times New Roman" w:cs="Times New Roman"/>
                <w:spacing w:val="3"/>
                <w:position w:val="3"/>
                <w:sz w:val="20"/>
                <w:szCs w:val="20"/>
              </w:rPr>
              <w:t>90</w:t>
            </w:r>
            <w:r>
              <w:rPr>
                <w:rFonts w:ascii="Times New Roman" w:hAnsi="Times New Roman" w:eastAsia="Times New Roman" w:cs="Times New Roman"/>
                <w:position w:val="3"/>
                <w:sz w:val="20"/>
                <w:szCs w:val="20"/>
              </w:rPr>
              <w:t>mg</w:t>
            </w:r>
            <w:r>
              <w:rPr>
                <w:rFonts w:ascii="Times New Roman" w:hAnsi="Times New Roman" w:eastAsia="Times New Roman" w:cs="Times New Roman"/>
                <w:spacing w:val="3"/>
                <w:position w:val="3"/>
                <w:sz w:val="20"/>
                <w:szCs w:val="20"/>
              </w:rPr>
              <w:t>/</w:t>
            </w:r>
            <w:r>
              <w:rPr>
                <w:rFonts w:ascii="Times New Roman" w:hAnsi="Times New Roman" w:eastAsia="Times New Roman" w:cs="Times New Roman"/>
                <w:position w:val="3"/>
                <w:sz w:val="20"/>
                <w:szCs w:val="20"/>
              </w:rPr>
              <w:t>m</w:t>
            </w:r>
            <w:r>
              <w:rPr>
                <w:rFonts w:ascii="Times New Roman" w:hAnsi="Times New Roman" w:eastAsia="Times New Roman" w:cs="Times New Roman"/>
                <w:spacing w:val="3"/>
                <w:position w:val="9"/>
                <w:sz w:val="13"/>
                <w:szCs w:val="13"/>
              </w:rPr>
              <w:t>3</w:t>
            </w:r>
          </w:p>
        </w:tc>
        <w:tc>
          <w:tcPr>
            <w:tcW w:w="1361" w:type="dxa"/>
            <w:vAlign w:val="top"/>
          </w:tcPr>
          <w:p w14:paraId="007673D5">
            <w:pPr>
              <w:spacing w:before="8" w:line="277" w:lineRule="exact"/>
              <w:ind w:left="414"/>
              <w:rPr>
                <w:rFonts w:ascii="Times New Roman" w:hAnsi="Times New Roman" w:eastAsia="Times New Roman" w:cs="Times New Roman"/>
                <w:sz w:val="20"/>
                <w:szCs w:val="20"/>
              </w:rPr>
            </w:pPr>
            <w:r>
              <w:rPr>
                <w:rFonts w:ascii="Times New Roman" w:hAnsi="Times New Roman" w:eastAsia="Times New Roman" w:cs="Times New Roman"/>
                <w:spacing w:val="-8"/>
                <w:position w:val="1"/>
                <w:sz w:val="20"/>
                <w:szCs w:val="20"/>
              </w:rPr>
              <w:t>1</w:t>
            </w:r>
            <w:r>
              <w:rPr>
                <w:rFonts w:ascii="Times New Roman" w:hAnsi="Times New Roman" w:eastAsia="Times New Roman" w:cs="Times New Roman"/>
                <w:spacing w:val="-6"/>
                <w:position w:val="1"/>
                <w:sz w:val="20"/>
                <w:szCs w:val="20"/>
              </w:rPr>
              <w:t>. 14t/a</w:t>
            </w:r>
          </w:p>
        </w:tc>
        <w:tc>
          <w:tcPr>
            <w:tcW w:w="1530" w:type="dxa"/>
            <w:vAlign w:val="top"/>
          </w:tcPr>
          <w:p w14:paraId="57663F96">
            <w:pPr>
              <w:spacing w:before="8" w:line="277" w:lineRule="exact"/>
              <w:ind w:left="351"/>
              <w:rPr>
                <w:rFonts w:ascii="Times New Roman" w:hAnsi="Times New Roman" w:eastAsia="Times New Roman" w:cs="Times New Roman"/>
                <w:sz w:val="13"/>
                <w:szCs w:val="13"/>
              </w:rPr>
            </w:pPr>
            <w:r>
              <w:rPr>
                <w:rFonts w:ascii="Times New Roman" w:hAnsi="Times New Roman" w:eastAsia="Times New Roman" w:cs="Times New Roman"/>
                <w:spacing w:val="6"/>
                <w:position w:val="3"/>
                <w:sz w:val="20"/>
                <w:szCs w:val="20"/>
              </w:rPr>
              <w:t>1</w:t>
            </w:r>
            <w:r>
              <w:rPr>
                <w:rFonts w:ascii="Times New Roman" w:hAnsi="Times New Roman" w:eastAsia="Times New Roman" w:cs="Times New Roman"/>
                <w:spacing w:val="3"/>
                <w:position w:val="3"/>
                <w:sz w:val="20"/>
                <w:szCs w:val="20"/>
              </w:rPr>
              <w:t>90</w:t>
            </w:r>
            <w:r>
              <w:rPr>
                <w:rFonts w:ascii="Times New Roman" w:hAnsi="Times New Roman" w:eastAsia="Times New Roman" w:cs="Times New Roman"/>
                <w:position w:val="3"/>
                <w:sz w:val="20"/>
                <w:szCs w:val="20"/>
              </w:rPr>
              <w:t>mg</w:t>
            </w:r>
            <w:r>
              <w:rPr>
                <w:rFonts w:ascii="Times New Roman" w:hAnsi="Times New Roman" w:eastAsia="Times New Roman" w:cs="Times New Roman"/>
                <w:spacing w:val="3"/>
                <w:position w:val="3"/>
                <w:sz w:val="20"/>
                <w:szCs w:val="20"/>
              </w:rPr>
              <w:t>/</w:t>
            </w:r>
            <w:r>
              <w:rPr>
                <w:rFonts w:ascii="Times New Roman" w:hAnsi="Times New Roman" w:eastAsia="Times New Roman" w:cs="Times New Roman"/>
                <w:position w:val="3"/>
                <w:sz w:val="20"/>
                <w:szCs w:val="20"/>
              </w:rPr>
              <w:t>m</w:t>
            </w:r>
            <w:r>
              <w:rPr>
                <w:rFonts w:ascii="Times New Roman" w:hAnsi="Times New Roman" w:eastAsia="Times New Roman" w:cs="Times New Roman"/>
                <w:spacing w:val="3"/>
                <w:position w:val="9"/>
                <w:sz w:val="13"/>
                <w:szCs w:val="13"/>
              </w:rPr>
              <w:t>3</w:t>
            </w:r>
          </w:p>
        </w:tc>
        <w:tc>
          <w:tcPr>
            <w:tcW w:w="1419" w:type="dxa"/>
            <w:tcBorders>
              <w:right w:val="nil"/>
            </w:tcBorders>
            <w:vAlign w:val="top"/>
          </w:tcPr>
          <w:p w14:paraId="70CB356A">
            <w:pPr>
              <w:spacing w:before="8" w:line="277" w:lineRule="exact"/>
              <w:ind w:left="443"/>
              <w:rPr>
                <w:rFonts w:ascii="Times New Roman" w:hAnsi="Times New Roman" w:eastAsia="Times New Roman" w:cs="Times New Roman"/>
                <w:sz w:val="20"/>
                <w:szCs w:val="20"/>
              </w:rPr>
            </w:pPr>
            <w:r>
              <w:rPr>
                <w:rFonts w:ascii="Times New Roman" w:hAnsi="Times New Roman" w:eastAsia="Times New Roman" w:cs="Times New Roman"/>
                <w:spacing w:val="-8"/>
                <w:position w:val="1"/>
                <w:sz w:val="20"/>
                <w:szCs w:val="20"/>
              </w:rPr>
              <w:t>1</w:t>
            </w:r>
            <w:r>
              <w:rPr>
                <w:rFonts w:ascii="Times New Roman" w:hAnsi="Times New Roman" w:eastAsia="Times New Roman" w:cs="Times New Roman"/>
                <w:spacing w:val="-6"/>
                <w:position w:val="1"/>
                <w:sz w:val="20"/>
                <w:szCs w:val="20"/>
              </w:rPr>
              <w:t>. 14t/a</w:t>
            </w:r>
          </w:p>
        </w:tc>
      </w:tr>
      <w:tr w14:paraId="19BFA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443" w:type="dxa"/>
            <w:vMerge w:val="continue"/>
            <w:tcBorders>
              <w:top w:val="nil"/>
              <w:left w:val="nil"/>
            </w:tcBorders>
            <w:vAlign w:val="top"/>
          </w:tcPr>
          <w:p w14:paraId="751CA3A1">
            <w:pPr>
              <w:rPr>
                <w:rFonts w:ascii="Arial"/>
                <w:sz w:val="21"/>
              </w:rPr>
            </w:pPr>
          </w:p>
        </w:tc>
        <w:tc>
          <w:tcPr>
            <w:tcW w:w="269" w:type="dxa"/>
            <w:vMerge w:val="continue"/>
            <w:tcBorders>
              <w:top w:val="nil"/>
            </w:tcBorders>
            <w:textDirection w:val="tbRlV"/>
            <w:vAlign w:val="top"/>
          </w:tcPr>
          <w:p w14:paraId="6A76B0B3">
            <w:pPr>
              <w:rPr>
                <w:rFonts w:ascii="Arial"/>
                <w:sz w:val="21"/>
              </w:rPr>
            </w:pPr>
          </w:p>
        </w:tc>
        <w:tc>
          <w:tcPr>
            <w:tcW w:w="1705" w:type="dxa"/>
            <w:vAlign w:val="top"/>
          </w:tcPr>
          <w:p w14:paraId="1B242A83">
            <w:pPr>
              <w:spacing w:before="82" w:line="195" w:lineRule="auto"/>
              <w:ind w:left="643"/>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NO</w:t>
            </w:r>
            <w:r>
              <w:rPr>
                <w:rFonts w:ascii="Times New Roman" w:hAnsi="Times New Roman" w:eastAsia="Times New Roman" w:cs="Times New Roman"/>
                <w:spacing w:val="6"/>
                <w:sz w:val="20"/>
                <w:szCs w:val="20"/>
              </w:rPr>
              <w:t>x</w:t>
            </w:r>
          </w:p>
        </w:tc>
        <w:tc>
          <w:tcPr>
            <w:tcW w:w="1578" w:type="dxa"/>
            <w:vAlign w:val="top"/>
          </w:tcPr>
          <w:p w14:paraId="517991E5">
            <w:pPr>
              <w:spacing w:before="9" w:line="276" w:lineRule="exact"/>
              <w:ind w:left="379"/>
              <w:rPr>
                <w:rFonts w:ascii="Times New Roman" w:hAnsi="Times New Roman" w:eastAsia="Times New Roman" w:cs="Times New Roman"/>
                <w:sz w:val="13"/>
                <w:szCs w:val="13"/>
              </w:rPr>
            </w:pPr>
            <w:r>
              <w:rPr>
                <w:rFonts w:ascii="Times New Roman" w:hAnsi="Times New Roman" w:eastAsia="Times New Roman" w:cs="Times New Roman"/>
                <w:spacing w:val="2"/>
                <w:position w:val="3"/>
                <w:sz w:val="20"/>
                <w:szCs w:val="20"/>
              </w:rPr>
              <w:t>115</w:t>
            </w:r>
            <w:r>
              <w:rPr>
                <w:rFonts w:ascii="Times New Roman" w:hAnsi="Times New Roman" w:eastAsia="Times New Roman" w:cs="Times New Roman"/>
                <w:position w:val="3"/>
                <w:sz w:val="20"/>
                <w:szCs w:val="20"/>
              </w:rPr>
              <w:t>mg</w:t>
            </w:r>
            <w:r>
              <w:rPr>
                <w:rFonts w:ascii="Times New Roman" w:hAnsi="Times New Roman" w:eastAsia="Times New Roman" w:cs="Times New Roman"/>
                <w:spacing w:val="2"/>
                <w:position w:val="3"/>
                <w:sz w:val="20"/>
                <w:szCs w:val="20"/>
              </w:rPr>
              <w:t>/</w:t>
            </w:r>
            <w:r>
              <w:rPr>
                <w:rFonts w:ascii="Times New Roman" w:hAnsi="Times New Roman" w:eastAsia="Times New Roman" w:cs="Times New Roman"/>
                <w:position w:val="3"/>
                <w:sz w:val="20"/>
                <w:szCs w:val="20"/>
              </w:rPr>
              <w:t>m</w:t>
            </w:r>
            <w:r>
              <w:rPr>
                <w:rFonts w:ascii="Times New Roman" w:hAnsi="Times New Roman" w:eastAsia="Times New Roman" w:cs="Times New Roman"/>
                <w:spacing w:val="1"/>
                <w:position w:val="9"/>
                <w:sz w:val="13"/>
                <w:szCs w:val="13"/>
              </w:rPr>
              <w:t>3</w:t>
            </w:r>
          </w:p>
        </w:tc>
        <w:tc>
          <w:tcPr>
            <w:tcW w:w="1361" w:type="dxa"/>
            <w:vAlign w:val="top"/>
          </w:tcPr>
          <w:p w14:paraId="4B2D5A45">
            <w:pPr>
              <w:spacing w:before="9" w:line="276" w:lineRule="exact"/>
              <w:ind w:left="397"/>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0</w:t>
            </w:r>
            <w:r>
              <w:rPr>
                <w:rFonts w:ascii="Times New Roman" w:hAnsi="Times New Roman" w:eastAsia="Times New Roman" w:cs="Times New Roman"/>
                <w:spacing w:val="3"/>
                <w:position w:val="2"/>
                <w:sz w:val="20"/>
                <w:szCs w:val="20"/>
              </w:rPr>
              <w:t>.69</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a</w:t>
            </w:r>
          </w:p>
        </w:tc>
        <w:tc>
          <w:tcPr>
            <w:tcW w:w="1530" w:type="dxa"/>
            <w:vAlign w:val="top"/>
          </w:tcPr>
          <w:p w14:paraId="233B603E">
            <w:pPr>
              <w:spacing w:before="9" w:line="276" w:lineRule="exact"/>
              <w:ind w:left="356"/>
              <w:rPr>
                <w:rFonts w:ascii="Times New Roman" w:hAnsi="Times New Roman" w:eastAsia="Times New Roman" w:cs="Times New Roman"/>
                <w:sz w:val="13"/>
                <w:szCs w:val="13"/>
              </w:rPr>
            </w:pPr>
            <w:r>
              <w:rPr>
                <w:rFonts w:ascii="Times New Roman" w:hAnsi="Times New Roman" w:eastAsia="Times New Roman" w:cs="Times New Roman"/>
                <w:spacing w:val="2"/>
                <w:position w:val="3"/>
                <w:sz w:val="20"/>
                <w:szCs w:val="20"/>
              </w:rPr>
              <w:t>115</w:t>
            </w:r>
            <w:r>
              <w:rPr>
                <w:rFonts w:ascii="Times New Roman" w:hAnsi="Times New Roman" w:eastAsia="Times New Roman" w:cs="Times New Roman"/>
                <w:position w:val="3"/>
                <w:sz w:val="20"/>
                <w:szCs w:val="20"/>
              </w:rPr>
              <w:t>mg</w:t>
            </w:r>
            <w:r>
              <w:rPr>
                <w:rFonts w:ascii="Times New Roman" w:hAnsi="Times New Roman" w:eastAsia="Times New Roman" w:cs="Times New Roman"/>
                <w:spacing w:val="2"/>
                <w:position w:val="3"/>
                <w:sz w:val="20"/>
                <w:szCs w:val="20"/>
              </w:rPr>
              <w:t>/</w:t>
            </w:r>
            <w:r>
              <w:rPr>
                <w:rFonts w:ascii="Times New Roman" w:hAnsi="Times New Roman" w:eastAsia="Times New Roman" w:cs="Times New Roman"/>
                <w:position w:val="3"/>
                <w:sz w:val="20"/>
                <w:szCs w:val="20"/>
              </w:rPr>
              <w:t>m</w:t>
            </w:r>
            <w:r>
              <w:rPr>
                <w:rFonts w:ascii="Times New Roman" w:hAnsi="Times New Roman" w:eastAsia="Times New Roman" w:cs="Times New Roman"/>
                <w:spacing w:val="1"/>
                <w:position w:val="9"/>
                <w:sz w:val="13"/>
                <w:szCs w:val="13"/>
              </w:rPr>
              <w:t>3</w:t>
            </w:r>
          </w:p>
        </w:tc>
        <w:tc>
          <w:tcPr>
            <w:tcW w:w="1419" w:type="dxa"/>
            <w:tcBorders>
              <w:right w:val="nil"/>
            </w:tcBorders>
            <w:vAlign w:val="top"/>
          </w:tcPr>
          <w:p w14:paraId="52874252">
            <w:pPr>
              <w:spacing w:before="9" w:line="276" w:lineRule="exact"/>
              <w:ind w:left="427"/>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0</w:t>
            </w:r>
            <w:r>
              <w:rPr>
                <w:rFonts w:ascii="Times New Roman" w:hAnsi="Times New Roman" w:eastAsia="Times New Roman" w:cs="Times New Roman"/>
                <w:spacing w:val="3"/>
                <w:position w:val="2"/>
                <w:sz w:val="20"/>
                <w:szCs w:val="20"/>
              </w:rPr>
              <w:t>.69</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a</w:t>
            </w:r>
          </w:p>
        </w:tc>
      </w:tr>
      <w:tr w14:paraId="1F4600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443" w:type="dxa"/>
            <w:vMerge w:val="restart"/>
            <w:tcBorders>
              <w:left w:val="nil"/>
              <w:bottom w:val="nil"/>
            </w:tcBorders>
            <w:vAlign w:val="top"/>
          </w:tcPr>
          <w:p w14:paraId="31E700AA">
            <w:pPr>
              <w:spacing w:line="287" w:lineRule="auto"/>
              <w:rPr>
                <w:rFonts w:ascii="Arial"/>
                <w:sz w:val="21"/>
              </w:rPr>
            </w:pPr>
          </w:p>
          <w:p w14:paraId="4A6AC9AA">
            <w:pPr>
              <w:spacing w:line="288" w:lineRule="auto"/>
              <w:rPr>
                <w:rFonts w:ascii="Arial"/>
                <w:sz w:val="21"/>
              </w:rPr>
            </w:pPr>
          </w:p>
          <w:p w14:paraId="767AD7DE">
            <w:pPr>
              <w:spacing w:line="288" w:lineRule="auto"/>
              <w:rPr>
                <w:rFonts w:ascii="Arial"/>
                <w:sz w:val="21"/>
              </w:rPr>
            </w:pPr>
          </w:p>
          <w:p w14:paraId="311EA9F1">
            <w:pPr>
              <w:spacing w:line="288" w:lineRule="auto"/>
              <w:rPr>
                <w:rFonts w:ascii="Arial"/>
                <w:sz w:val="21"/>
              </w:rPr>
            </w:pPr>
          </w:p>
          <w:p w14:paraId="448DCF7B">
            <w:pPr>
              <w:spacing w:before="57" w:line="195" w:lineRule="auto"/>
              <w:ind w:left="172"/>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69" w:type="dxa"/>
            <w:vMerge w:val="restart"/>
            <w:tcBorders>
              <w:bottom w:val="nil"/>
            </w:tcBorders>
            <w:textDirection w:val="tbRlV"/>
            <w:vAlign w:val="top"/>
          </w:tcPr>
          <w:p w14:paraId="1B79A6D6">
            <w:pPr>
              <w:spacing w:before="28" w:line="216" w:lineRule="auto"/>
              <w:ind w:left="1023"/>
              <w:rPr>
                <w:rFonts w:ascii="宋体" w:hAnsi="宋体" w:eastAsia="宋体" w:cs="宋体"/>
                <w:sz w:val="20"/>
                <w:szCs w:val="20"/>
              </w:rPr>
            </w:pPr>
            <w:r>
              <w:rPr>
                <w:rFonts w:ascii="宋体" w:hAnsi="宋体" w:eastAsia="宋体" w:cs="宋体"/>
                <w:spacing w:val="7"/>
                <w:sz w:val="20"/>
                <w:szCs w:val="20"/>
              </w:rPr>
              <w:t xml:space="preserve">废 </w:t>
            </w:r>
            <w:r>
              <w:rPr>
                <w:rFonts w:ascii="宋体" w:hAnsi="宋体" w:eastAsia="宋体" w:cs="宋体"/>
                <w:spacing w:val="6"/>
                <w:sz w:val="20"/>
                <w:szCs w:val="20"/>
              </w:rPr>
              <w:t>水</w:t>
            </w:r>
          </w:p>
        </w:tc>
        <w:tc>
          <w:tcPr>
            <w:tcW w:w="1705" w:type="dxa"/>
            <w:vMerge w:val="restart"/>
            <w:tcBorders>
              <w:bottom w:val="nil"/>
            </w:tcBorders>
            <w:vAlign w:val="top"/>
          </w:tcPr>
          <w:p w14:paraId="40191436">
            <w:pPr>
              <w:spacing w:line="312" w:lineRule="auto"/>
              <w:rPr>
                <w:rFonts w:ascii="Arial"/>
                <w:sz w:val="21"/>
              </w:rPr>
            </w:pPr>
          </w:p>
          <w:p w14:paraId="3CCF0448">
            <w:pPr>
              <w:spacing w:before="65" w:line="303" w:lineRule="auto"/>
              <w:ind w:left="124" w:right="126" w:firstLine="315"/>
              <w:rPr>
                <w:rFonts w:ascii="宋体" w:hAnsi="宋体" w:eastAsia="宋体" w:cs="宋体"/>
                <w:sz w:val="20"/>
                <w:szCs w:val="20"/>
              </w:rPr>
            </w:pPr>
            <w:r>
              <w:rPr>
                <w:rFonts w:ascii="宋体" w:hAnsi="宋体" w:eastAsia="宋体" w:cs="宋体"/>
                <w:spacing w:val="7"/>
                <w:sz w:val="20"/>
                <w:szCs w:val="20"/>
              </w:rPr>
              <w:t>生产废</w:t>
            </w:r>
            <w:r>
              <w:rPr>
                <w:rFonts w:ascii="宋体" w:hAnsi="宋体" w:eastAsia="宋体" w:cs="宋体"/>
                <w:spacing w:val="6"/>
                <w:sz w:val="20"/>
                <w:szCs w:val="20"/>
              </w:rPr>
              <w:t>水</w:t>
            </w:r>
            <w:r>
              <w:rPr>
                <w:rFonts w:ascii="宋体" w:hAnsi="宋体" w:eastAsia="宋体" w:cs="宋体"/>
                <w:sz w:val="20"/>
                <w:szCs w:val="20"/>
              </w:rPr>
              <w:t xml:space="preserve">   </w:t>
            </w:r>
            <w:r>
              <w:rPr>
                <w:rFonts w:ascii="宋体" w:hAnsi="宋体" w:eastAsia="宋体" w:cs="宋体"/>
                <w:spacing w:val="7"/>
                <w:sz w:val="20"/>
                <w:szCs w:val="20"/>
              </w:rPr>
              <w:t>(</w:t>
            </w:r>
            <w:r>
              <w:rPr>
                <w:rFonts w:ascii="Times New Roman" w:hAnsi="Times New Roman" w:eastAsia="Times New Roman" w:cs="Times New Roman"/>
                <w:spacing w:val="7"/>
                <w:sz w:val="20"/>
                <w:szCs w:val="20"/>
              </w:rPr>
              <w:t>1523.52</w:t>
            </w:r>
            <w:r>
              <w:rPr>
                <w:rFonts w:ascii="Times New Roman" w:hAnsi="Times New Roman" w:eastAsia="Times New Roman" w:cs="Times New Roman"/>
                <w:sz w:val="20"/>
                <w:szCs w:val="20"/>
              </w:rPr>
              <w:t>m</w:t>
            </w:r>
            <w:r>
              <w:rPr>
                <w:rFonts w:ascii="Times New Roman" w:hAnsi="Times New Roman" w:eastAsia="Times New Roman" w:cs="Times New Roman"/>
                <w:spacing w:val="7"/>
                <w:position w:val="6"/>
                <w:sz w:val="13"/>
                <w:szCs w:val="13"/>
              </w:rPr>
              <w:t>3</w:t>
            </w:r>
            <w:r>
              <w:rPr>
                <w:rFonts w:ascii="Times New Roman" w:hAnsi="Times New Roman" w:eastAsia="Times New Roman" w:cs="Times New Roman"/>
                <w:spacing w:val="7"/>
                <w:sz w:val="20"/>
                <w:szCs w:val="20"/>
              </w:rPr>
              <w:t>/</w:t>
            </w:r>
            <w:r>
              <w:rPr>
                <w:rFonts w:ascii="Times New Roman" w:hAnsi="Times New Roman" w:eastAsia="Times New Roman" w:cs="Times New Roman"/>
                <w:sz w:val="20"/>
                <w:szCs w:val="20"/>
              </w:rPr>
              <w:t>a</w:t>
            </w:r>
            <w:r>
              <w:rPr>
                <w:rFonts w:ascii="Times New Roman" w:hAnsi="Times New Roman" w:eastAsia="Times New Roman" w:cs="Times New Roman"/>
                <w:spacing w:val="7"/>
                <w:sz w:val="20"/>
                <w:szCs w:val="20"/>
              </w:rPr>
              <w:t xml:space="preserve"> </w:t>
            </w:r>
            <w:r>
              <w:rPr>
                <w:rFonts w:ascii="宋体" w:hAnsi="宋体" w:eastAsia="宋体" w:cs="宋体"/>
                <w:spacing w:val="7"/>
                <w:sz w:val="20"/>
                <w:szCs w:val="20"/>
              </w:rPr>
              <w:t>)</w:t>
            </w:r>
          </w:p>
        </w:tc>
        <w:tc>
          <w:tcPr>
            <w:tcW w:w="1578" w:type="dxa"/>
            <w:vAlign w:val="top"/>
          </w:tcPr>
          <w:p w14:paraId="6B393BB4">
            <w:pPr>
              <w:spacing w:before="16" w:line="281" w:lineRule="exact"/>
              <w:ind w:left="163"/>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COD</w:t>
            </w:r>
            <w:r>
              <w:rPr>
                <w:rFonts w:ascii="Times New Roman" w:hAnsi="Times New Roman" w:eastAsia="Times New Roman" w:cs="Times New Roman"/>
                <w:spacing w:val="11"/>
                <w:position w:val="4"/>
                <w:sz w:val="20"/>
                <w:szCs w:val="20"/>
              </w:rPr>
              <w:t>:</w:t>
            </w:r>
            <w:r>
              <w:rPr>
                <w:rFonts w:ascii="Times New Roman" w:hAnsi="Times New Roman" w:eastAsia="Times New Roman" w:cs="Times New Roman"/>
                <w:spacing w:val="10"/>
                <w:position w:val="4"/>
                <w:sz w:val="20"/>
                <w:szCs w:val="20"/>
              </w:rPr>
              <w:t>300</w:t>
            </w:r>
            <w:r>
              <w:rPr>
                <w:rFonts w:ascii="Times New Roman" w:hAnsi="Times New Roman" w:eastAsia="Times New Roman" w:cs="Times New Roman"/>
                <w:position w:val="4"/>
                <w:sz w:val="20"/>
                <w:szCs w:val="20"/>
              </w:rPr>
              <w:t>mg</w:t>
            </w:r>
            <w:r>
              <w:rPr>
                <w:rFonts w:ascii="Times New Roman" w:hAnsi="Times New Roman" w:eastAsia="Times New Roman" w:cs="Times New Roman"/>
                <w:spacing w:val="10"/>
                <w:position w:val="4"/>
                <w:sz w:val="20"/>
                <w:szCs w:val="20"/>
              </w:rPr>
              <w:t>/</w:t>
            </w:r>
            <w:r>
              <w:rPr>
                <w:rFonts w:ascii="Times New Roman" w:hAnsi="Times New Roman" w:eastAsia="Times New Roman" w:cs="Times New Roman"/>
                <w:position w:val="4"/>
                <w:sz w:val="20"/>
                <w:szCs w:val="20"/>
              </w:rPr>
              <w:t>L</w:t>
            </w:r>
          </w:p>
        </w:tc>
        <w:tc>
          <w:tcPr>
            <w:tcW w:w="1361" w:type="dxa"/>
            <w:vAlign w:val="top"/>
          </w:tcPr>
          <w:p w14:paraId="74AC4356">
            <w:pPr>
              <w:spacing w:before="16" w:line="281" w:lineRule="exact"/>
              <w:ind w:left="397"/>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0</w:t>
            </w:r>
            <w:r>
              <w:rPr>
                <w:rFonts w:ascii="Times New Roman" w:hAnsi="Times New Roman" w:eastAsia="Times New Roman" w:cs="Times New Roman"/>
                <w:spacing w:val="3"/>
                <w:position w:val="2"/>
                <w:sz w:val="20"/>
                <w:szCs w:val="20"/>
              </w:rPr>
              <w:t>.46</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a</w:t>
            </w:r>
          </w:p>
        </w:tc>
        <w:tc>
          <w:tcPr>
            <w:tcW w:w="1530" w:type="dxa"/>
            <w:vAlign w:val="top"/>
          </w:tcPr>
          <w:p w14:paraId="49DA530E">
            <w:pPr>
              <w:spacing w:before="16" w:line="281" w:lineRule="exact"/>
              <w:ind w:left="140"/>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COD</w:t>
            </w:r>
            <w:r>
              <w:rPr>
                <w:rFonts w:ascii="Times New Roman" w:hAnsi="Times New Roman" w:eastAsia="Times New Roman" w:cs="Times New Roman"/>
                <w:spacing w:val="12"/>
                <w:position w:val="4"/>
                <w:sz w:val="20"/>
                <w:szCs w:val="20"/>
              </w:rPr>
              <w:t>:</w:t>
            </w:r>
            <w:r>
              <w:rPr>
                <w:rFonts w:ascii="Times New Roman" w:hAnsi="Times New Roman" w:eastAsia="Times New Roman" w:cs="Times New Roman"/>
                <w:spacing w:val="9"/>
                <w:position w:val="4"/>
                <w:sz w:val="20"/>
                <w:szCs w:val="20"/>
              </w:rPr>
              <w:t>150</w:t>
            </w:r>
            <w:r>
              <w:rPr>
                <w:rFonts w:ascii="Times New Roman" w:hAnsi="Times New Roman" w:eastAsia="Times New Roman" w:cs="Times New Roman"/>
                <w:position w:val="4"/>
                <w:sz w:val="20"/>
                <w:szCs w:val="20"/>
              </w:rPr>
              <w:t>mg</w:t>
            </w:r>
            <w:r>
              <w:rPr>
                <w:rFonts w:ascii="Times New Roman" w:hAnsi="Times New Roman" w:eastAsia="Times New Roman" w:cs="Times New Roman"/>
                <w:spacing w:val="9"/>
                <w:position w:val="4"/>
                <w:sz w:val="20"/>
                <w:szCs w:val="20"/>
              </w:rPr>
              <w:t>/</w:t>
            </w:r>
            <w:r>
              <w:rPr>
                <w:rFonts w:ascii="Times New Roman" w:hAnsi="Times New Roman" w:eastAsia="Times New Roman" w:cs="Times New Roman"/>
                <w:position w:val="4"/>
                <w:sz w:val="20"/>
                <w:szCs w:val="20"/>
              </w:rPr>
              <w:t>L</w:t>
            </w:r>
          </w:p>
        </w:tc>
        <w:tc>
          <w:tcPr>
            <w:tcW w:w="1419" w:type="dxa"/>
            <w:tcBorders>
              <w:right w:val="nil"/>
            </w:tcBorders>
            <w:vAlign w:val="top"/>
          </w:tcPr>
          <w:p w14:paraId="4ADDE7E0">
            <w:pPr>
              <w:spacing w:before="16" w:line="281" w:lineRule="exact"/>
              <w:ind w:left="427"/>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0</w:t>
            </w:r>
            <w:r>
              <w:rPr>
                <w:rFonts w:ascii="Times New Roman" w:hAnsi="Times New Roman" w:eastAsia="Times New Roman" w:cs="Times New Roman"/>
                <w:spacing w:val="3"/>
                <w:position w:val="2"/>
                <w:sz w:val="20"/>
                <w:szCs w:val="20"/>
              </w:rPr>
              <w:t>.23</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a</w:t>
            </w:r>
          </w:p>
        </w:tc>
      </w:tr>
      <w:tr w14:paraId="53451B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3" w:type="dxa"/>
            <w:vMerge w:val="continue"/>
            <w:tcBorders>
              <w:top w:val="nil"/>
              <w:left w:val="nil"/>
              <w:bottom w:val="nil"/>
            </w:tcBorders>
            <w:vAlign w:val="top"/>
          </w:tcPr>
          <w:p w14:paraId="3BF9C500">
            <w:pPr>
              <w:rPr>
                <w:rFonts w:ascii="Arial"/>
                <w:sz w:val="21"/>
              </w:rPr>
            </w:pPr>
          </w:p>
        </w:tc>
        <w:tc>
          <w:tcPr>
            <w:tcW w:w="269" w:type="dxa"/>
            <w:vMerge w:val="continue"/>
            <w:tcBorders>
              <w:top w:val="nil"/>
              <w:bottom w:val="nil"/>
            </w:tcBorders>
            <w:textDirection w:val="tbRlV"/>
            <w:vAlign w:val="top"/>
          </w:tcPr>
          <w:p w14:paraId="56C3A1D7">
            <w:pPr>
              <w:rPr>
                <w:rFonts w:ascii="Arial"/>
                <w:sz w:val="21"/>
              </w:rPr>
            </w:pPr>
          </w:p>
        </w:tc>
        <w:tc>
          <w:tcPr>
            <w:tcW w:w="1705" w:type="dxa"/>
            <w:vMerge w:val="continue"/>
            <w:tcBorders>
              <w:top w:val="nil"/>
              <w:bottom w:val="nil"/>
            </w:tcBorders>
            <w:vAlign w:val="top"/>
          </w:tcPr>
          <w:p w14:paraId="28B4A89A">
            <w:pPr>
              <w:rPr>
                <w:rFonts w:ascii="Arial"/>
                <w:sz w:val="21"/>
              </w:rPr>
            </w:pPr>
          </w:p>
        </w:tc>
        <w:tc>
          <w:tcPr>
            <w:tcW w:w="1578" w:type="dxa"/>
            <w:vAlign w:val="top"/>
          </w:tcPr>
          <w:p w14:paraId="3848BDA1">
            <w:pPr>
              <w:spacing w:before="17" w:line="281" w:lineRule="exact"/>
              <w:ind w:left="176"/>
              <w:rPr>
                <w:rFonts w:ascii="Times New Roman" w:hAnsi="Times New Roman" w:eastAsia="Times New Roman" w:cs="Times New Roman"/>
                <w:sz w:val="20"/>
                <w:szCs w:val="20"/>
              </w:rPr>
            </w:pPr>
            <w:r>
              <w:rPr>
                <w:rFonts w:ascii="宋体" w:hAnsi="宋体" w:eastAsia="宋体" w:cs="宋体"/>
                <w:spacing w:val="8"/>
                <w:position w:val="2"/>
                <w:sz w:val="20"/>
                <w:szCs w:val="20"/>
              </w:rPr>
              <w:t>石油类</w:t>
            </w:r>
            <w:r>
              <w:rPr>
                <w:rFonts w:ascii="Times New Roman" w:hAnsi="Times New Roman" w:eastAsia="Times New Roman" w:cs="Times New Roman"/>
                <w:spacing w:val="8"/>
                <w:position w:val="2"/>
                <w:sz w:val="20"/>
                <w:szCs w:val="20"/>
              </w:rPr>
              <w:t>:5</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8"/>
                <w:position w:val="2"/>
                <w:sz w:val="20"/>
                <w:szCs w:val="20"/>
              </w:rPr>
              <w:t>/</w:t>
            </w:r>
            <w:r>
              <w:rPr>
                <w:rFonts w:ascii="Times New Roman" w:hAnsi="Times New Roman" w:eastAsia="Times New Roman" w:cs="Times New Roman"/>
                <w:position w:val="2"/>
                <w:sz w:val="20"/>
                <w:szCs w:val="20"/>
              </w:rPr>
              <w:t>L</w:t>
            </w:r>
          </w:p>
        </w:tc>
        <w:tc>
          <w:tcPr>
            <w:tcW w:w="1361" w:type="dxa"/>
            <w:vAlign w:val="top"/>
          </w:tcPr>
          <w:p w14:paraId="6AF4BDB4">
            <w:pPr>
              <w:spacing w:before="17" w:line="281" w:lineRule="exact"/>
              <w:ind w:left="346"/>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0</w:t>
            </w:r>
            <w:r>
              <w:rPr>
                <w:rFonts w:ascii="Times New Roman" w:hAnsi="Times New Roman" w:eastAsia="Times New Roman" w:cs="Times New Roman"/>
                <w:spacing w:val="3"/>
                <w:position w:val="2"/>
                <w:sz w:val="20"/>
                <w:szCs w:val="20"/>
              </w:rPr>
              <w:t>.008</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a</w:t>
            </w:r>
          </w:p>
        </w:tc>
        <w:tc>
          <w:tcPr>
            <w:tcW w:w="1530" w:type="dxa"/>
            <w:vAlign w:val="top"/>
          </w:tcPr>
          <w:p w14:paraId="307B7F25">
            <w:pPr>
              <w:spacing w:before="17" w:line="281" w:lineRule="exact"/>
              <w:ind w:left="151"/>
              <w:rPr>
                <w:rFonts w:ascii="Times New Roman" w:hAnsi="Times New Roman" w:eastAsia="Times New Roman" w:cs="Times New Roman"/>
                <w:sz w:val="20"/>
                <w:szCs w:val="20"/>
              </w:rPr>
            </w:pPr>
            <w:r>
              <w:rPr>
                <w:rFonts w:ascii="宋体" w:hAnsi="宋体" w:eastAsia="宋体" w:cs="宋体"/>
                <w:spacing w:val="8"/>
                <w:position w:val="2"/>
                <w:sz w:val="20"/>
                <w:szCs w:val="20"/>
              </w:rPr>
              <w:t>石油类</w:t>
            </w:r>
            <w:r>
              <w:rPr>
                <w:rFonts w:ascii="Times New Roman" w:hAnsi="Times New Roman" w:eastAsia="Times New Roman" w:cs="Times New Roman"/>
                <w:spacing w:val="8"/>
                <w:position w:val="2"/>
                <w:sz w:val="20"/>
                <w:szCs w:val="20"/>
              </w:rPr>
              <w:t>:5</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8"/>
                <w:position w:val="2"/>
                <w:sz w:val="20"/>
                <w:szCs w:val="20"/>
              </w:rPr>
              <w:t>/</w:t>
            </w:r>
            <w:r>
              <w:rPr>
                <w:rFonts w:ascii="Times New Roman" w:hAnsi="Times New Roman" w:eastAsia="Times New Roman" w:cs="Times New Roman"/>
                <w:position w:val="2"/>
                <w:sz w:val="20"/>
                <w:szCs w:val="20"/>
              </w:rPr>
              <w:t>L</w:t>
            </w:r>
          </w:p>
        </w:tc>
        <w:tc>
          <w:tcPr>
            <w:tcW w:w="1419" w:type="dxa"/>
            <w:tcBorders>
              <w:right w:val="nil"/>
            </w:tcBorders>
            <w:vAlign w:val="top"/>
          </w:tcPr>
          <w:p w14:paraId="62A333B5">
            <w:pPr>
              <w:spacing w:before="17" w:line="281" w:lineRule="exact"/>
              <w:ind w:left="374"/>
              <w:rPr>
                <w:rFonts w:ascii="Times New Roman" w:hAnsi="Times New Roman" w:eastAsia="Times New Roman" w:cs="Times New Roman"/>
                <w:sz w:val="20"/>
                <w:szCs w:val="20"/>
              </w:rPr>
            </w:pPr>
            <w:r>
              <w:rPr>
                <w:rFonts w:ascii="Times New Roman" w:hAnsi="Times New Roman" w:eastAsia="Times New Roman" w:cs="Times New Roman"/>
                <w:spacing w:val="4"/>
                <w:position w:val="2"/>
                <w:sz w:val="20"/>
                <w:szCs w:val="20"/>
              </w:rPr>
              <w:t>0.008</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a</w:t>
            </w:r>
          </w:p>
        </w:tc>
      </w:tr>
      <w:tr w14:paraId="6D8559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3" w:type="dxa"/>
            <w:vMerge w:val="continue"/>
            <w:tcBorders>
              <w:top w:val="nil"/>
              <w:left w:val="nil"/>
              <w:bottom w:val="nil"/>
            </w:tcBorders>
            <w:vAlign w:val="top"/>
          </w:tcPr>
          <w:p w14:paraId="722F7E43">
            <w:pPr>
              <w:rPr>
                <w:rFonts w:ascii="Arial"/>
                <w:sz w:val="21"/>
              </w:rPr>
            </w:pPr>
          </w:p>
        </w:tc>
        <w:tc>
          <w:tcPr>
            <w:tcW w:w="269" w:type="dxa"/>
            <w:vMerge w:val="continue"/>
            <w:tcBorders>
              <w:top w:val="nil"/>
              <w:bottom w:val="nil"/>
            </w:tcBorders>
            <w:textDirection w:val="tbRlV"/>
            <w:vAlign w:val="top"/>
          </w:tcPr>
          <w:p w14:paraId="3296ABAE">
            <w:pPr>
              <w:rPr>
                <w:rFonts w:ascii="Arial"/>
                <w:sz w:val="21"/>
              </w:rPr>
            </w:pPr>
          </w:p>
        </w:tc>
        <w:tc>
          <w:tcPr>
            <w:tcW w:w="1705" w:type="dxa"/>
            <w:vMerge w:val="continue"/>
            <w:tcBorders>
              <w:top w:val="nil"/>
              <w:bottom w:val="nil"/>
            </w:tcBorders>
            <w:vAlign w:val="top"/>
          </w:tcPr>
          <w:p w14:paraId="2A80C8F3">
            <w:pPr>
              <w:rPr>
                <w:rFonts w:ascii="Arial"/>
                <w:sz w:val="21"/>
              </w:rPr>
            </w:pPr>
          </w:p>
        </w:tc>
        <w:tc>
          <w:tcPr>
            <w:tcW w:w="1578" w:type="dxa"/>
            <w:vAlign w:val="top"/>
          </w:tcPr>
          <w:p w14:paraId="39D6BFEB">
            <w:pPr>
              <w:spacing w:before="16" w:line="281" w:lineRule="exact"/>
              <w:ind w:left="248"/>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SS</w:t>
            </w:r>
            <w:r>
              <w:rPr>
                <w:rFonts w:ascii="Times New Roman" w:hAnsi="Times New Roman" w:eastAsia="Times New Roman" w:cs="Times New Roman"/>
                <w:spacing w:val="6"/>
                <w:position w:val="4"/>
                <w:sz w:val="20"/>
                <w:szCs w:val="20"/>
              </w:rPr>
              <w:t xml:space="preserve"> :300</w:t>
            </w:r>
            <w:r>
              <w:rPr>
                <w:rFonts w:ascii="Times New Roman" w:hAnsi="Times New Roman" w:eastAsia="Times New Roman" w:cs="Times New Roman"/>
                <w:position w:val="4"/>
                <w:sz w:val="20"/>
                <w:szCs w:val="20"/>
              </w:rPr>
              <w:t>mg</w:t>
            </w:r>
            <w:r>
              <w:rPr>
                <w:rFonts w:ascii="Times New Roman" w:hAnsi="Times New Roman" w:eastAsia="Times New Roman" w:cs="Times New Roman"/>
                <w:spacing w:val="6"/>
                <w:position w:val="4"/>
                <w:sz w:val="20"/>
                <w:szCs w:val="20"/>
              </w:rPr>
              <w:t>/</w:t>
            </w:r>
            <w:r>
              <w:rPr>
                <w:rFonts w:ascii="Times New Roman" w:hAnsi="Times New Roman" w:eastAsia="Times New Roman" w:cs="Times New Roman"/>
                <w:position w:val="4"/>
                <w:sz w:val="20"/>
                <w:szCs w:val="20"/>
              </w:rPr>
              <w:t>L</w:t>
            </w:r>
          </w:p>
        </w:tc>
        <w:tc>
          <w:tcPr>
            <w:tcW w:w="1361" w:type="dxa"/>
            <w:vAlign w:val="top"/>
          </w:tcPr>
          <w:p w14:paraId="55669CB1">
            <w:pPr>
              <w:spacing w:before="16" w:line="281" w:lineRule="exact"/>
              <w:ind w:left="397"/>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0</w:t>
            </w:r>
            <w:r>
              <w:rPr>
                <w:rFonts w:ascii="Times New Roman" w:hAnsi="Times New Roman" w:eastAsia="Times New Roman" w:cs="Times New Roman"/>
                <w:spacing w:val="3"/>
                <w:position w:val="2"/>
                <w:sz w:val="20"/>
                <w:szCs w:val="20"/>
              </w:rPr>
              <w:t>.46</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a</w:t>
            </w:r>
          </w:p>
        </w:tc>
        <w:tc>
          <w:tcPr>
            <w:tcW w:w="1530" w:type="dxa"/>
            <w:vAlign w:val="top"/>
          </w:tcPr>
          <w:p w14:paraId="6B6D7061">
            <w:pPr>
              <w:spacing w:before="16" w:line="281" w:lineRule="exact"/>
              <w:ind w:left="277"/>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SS</w:t>
            </w:r>
            <w:r>
              <w:rPr>
                <w:rFonts w:ascii="Times New Roman" w:hAnsi="Times New Roman" w:eastAsia="Times New Roman" w:cs="Times New Roman"/>
                <w:spacing w:val="7"/>
                <w:position w:val="4"/>
                <w:sz w:val="20"/>
                <w:szCs w:val="20"/>
              </w:rPr>
              <w:t xml:space="preserve"> </w:t>
            </w:r>
            <w:r>
              <w:rPr>
                <w:rFonts w:ascii="Times New Roman" w:hAnsi="Times New Roman" w:eastAsia="Times New Roman" w:cs="Times New Roman"/>
                <w:spacing w:val="6"/>
                <w:position w:val="4"/>
                <w:sz w:val="20"/>
                <w:szCs w:val="20"/>
              </w:rPr>
              <w:t>:30</w:t>
            </w:r>
            <w:r>
              <w:rPr>
                <w:rFonts w:ascii="Times New Roman" w:hAnsi="Times New Roman" w:eastAsia="Times New Roman" w:cs="Times New Roman"/>
                <w:position w:val="4"/>
                <w:sz w:val="20"/>
                <w:szCs w:val="20"/>
              </w:rPr>
              <w:t>mg</w:t>
            </w:r>
            <w:r>
              <w:rPr>
                <w:rFonts w:ascii="Times New Roman" w:hAnsi="Times New Roman" w:eastAsia="Times New Roman" w:cs="Times New Roman"/>
                <w:spacing w:val="6"/>
                <w:position w:val="4"/>
                <w:sz w:val="20"/>
                <w:szCs w:val="20"/>
              </w:rPr>
              <w:t>/</w:t>
            </w:r>
            <w:r>
              <w:rPr>
                <w:rFonts w:ascii="Times New Roman" w:hAnsi="Times New Roman" w:eastAsia="Times New Roman" w:cs="Times New Roman"/>
                <w:position w:val="4"/>
                <w:sz w:val="20"/>
                <w:szCs w:val="20"/>
              </w:rPr>
              <w:t>L</w:t>
            </w:r>
          </w:p>
        </w:tc>
        <w:tc>
          <w:tcPr>
            <w:tcW w:w="1419" w:type="dxa"/>
            <w:tcBorders>
              <w:right w:val="nil"/>
            </w:tcBorders>
            <w:vAlign w:val="top"/>
          </w:tcPr>
          <w:p w14:paraId="32B2F38F">
            <w:pPr>
              <w:spacing w:before="16" w:line="281" w:lineRule="exact"/>
              <w:ind w:left="427"/>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0</w:t>
            </w:r>
            <w:r>
              <w:rPr>
                <w:rFonts w:ascii="Times New Roman" w:hAnsi="Times New Roman" w:eastAsia="Times New Roman" w:cs="Times New Roman"/>
                <w:spacing w:val="3"/>
                <w:position w:val="2"/>
                <w:sz w:val="20"/>
                <w:szCs w:val="20"/>
              </w:rPr>
              <w:t>.05</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a</w:t>
            </w:r>
          </w:p>
        </w:tc>
      </w:tr>
      <w:tr w14:paraId="0D308E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443" w:type="dxa"/>
            <w:vMerge w:val="continue"/>
            <w:tcBorders>
              <w:top w:val="nil"/>
              <w:left w:val="nil"/>
              <w:bottom w:val="nil"/>
            </w:tcBorders>
            <w:vAlign w:val="top"/>
          </w:tcPr>
          <w:p w14:paraId="2F2D8C01">
            <w:pPr>
              <w:rPr>
                <w:rFonts w:ascii="Arial"/>
                <w:sz w:val="21"/>
              </w:rPr>
            </w:pPr>
          </w:p>
        </w:tc>
        <w:tc>
          <w:tcPr>
            <w:tcW w:w="269" w:type="dxa"/>
            <w:vMerge w:val="continue"/>
            <w:tcBorders>
              <w:top w:val="nil"/>
              <w:bottom w:val="nil"/>
            </w:tcBorders>
            <w:textDirection w:val="tbRlV"/>
            <w:vAlign w:val="top"/>
          </w:tcPr>
          <w:p w14:paraId="2C9FCFB7">
            <w:pPr>
              <w:rPr>
                <w:rFonts w:ascii="Arial"/>
                <w:sz w:val="21"/>
              </w:rPr>
            </w:pPr>
          </w:p>
        </w:tc>
        <w:tc>
          <w:tcPr>
            <w:tcW w:w="1705" w:type="dxa"/>
            <w:vMerge w:val="continue"/>
            <w:tcBorders>
              <w:top w:val="nil"/>
            </w:tcBorders>
            <w:vAlign w:val="top"/>
          </w:tcPr>
          <w:p w14:paraId="66BCAB7F">
            <w:pPr>
              <w:rPr>
                <w:rFonts w:ascii="Arial"/>
                <w:sz w:val="21"/>
              </w:rPr>
            </w:pPr>
          </w:p>
        </w:tc>
        <w:tc>
          <w:tcPr>
            <w:tcW w:w="1578" w:type="dxa"/>
            <w:vAlign w:val="top"/>
          </w:tcPr>
          <w:p w14:paraId="296AA741">
            <w:pPr>
              <w:spacing w:before="16" w:line="281" w:lineRule="exact"/>
              <w:ind w:left="131"/>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NH</w:t>
            </w:r>
            <w:r>
              <w:rPr>
                <w:rFonts w:ascii="Times New Roman" w:hAnsi="Times New Roman" w:eastAsia="Times New Roman" w:cs="Times New Roman"/>
                <w:spacing w:val="11"/>
                <w:position w:val="3"/>
                <w:sz w:val="13"/>
                <w:szCs w:val="13"/>
              </w:rPr>
              <w:t>3</w:t>
            </w:r>
            <w:r>
              <w:rPr>
                <w:rFonts w:ascii="Times New Roman" w:hAnsi="Times New Roman" w:eastAsia="Times New Roman" w:cs="Times New Roman"/>
                <w:spacing w:val="10"/>
                <w:position w:val="4"/>
                <w:sz w:val="20"/>
                <w:szCs w:val="20"/>
              </w:rPr>
              <w:t>-</w:t>
            </w:r>
            <w:r>
              <w:rPr>
                <w:rFonts w:ascii="Times New Roman" w:hAnsi="Times New Roman" w:eastAsia="Times New Roman" w:cs="Times New Roman"/>
                <w:position w:val="4"/>
                <w:sz w:val="20"/>
                <w:szCs w:val="20"/>
              </w:rPr>
              <w:t>N</w:t>
            </w:r>
            <w:r>
              <w:rPr>
                <w:rFonts w:ascii="Times New Roman" w:hAnsi="Times New Roman" w:eastAsia="Times New Roman" w:cs="Times New Roman"/>
                <w:spacing w:val="10"/>
                <w:position w:val="4"/>
                <w:sz w:val="20"/>
                <w:szCs w:val="20"/>
              </w:rPr>
              <w:t>:18</w:t>
            </w:r>
            <w:r>
              <w:rPr>
                <w:rFonts w:ascii="Times New Roman" w:hAnsi="Times New Roman" w:eastAsia="Times New Roman" w:cs="Times New Roman"/>
                <w:position w:val="4"/>
                <w:sz w:val="20"/>
                <w:szCs w:val="20"/>
              </w:rPr>
              <w:t>mg</w:t>
            </w:r>
            <w:r>
              <w:rPr>
                <w:rFonts w:ascii="Times New Roman" w:hAnsi="Times New Roman" w:eastAsia="Times New Roman" w:cs="Times New Roman"/>
                <w:spacing w:val="10"/>
                <w:position w:val="4"/>
                <w:sz w:val="20"/>
                <w:szCs w:val="20"/>
              </w:rPr>
              <w:t>/</w:t>
            </w:r>
            <w:r>
              <w:rPr>
                <w:rFonts w:ascii="Times New Roman" w:hAnsi="Times New Roman" w:eastAsia="Times New Roman" w:cs="Times New Roman"/>
                <w:position w:val="4"/>
                <w:sz w:val="20"/>
                <w:szCs w:val="20"/>
              </w:rPr>
              <w:t>L</w:t>
            </w:r>
          </w:p>
        </w:tc>
        <w:tc>
          <w:tcPr>
            <w:tcW w:w="1361" w:type="dxa"/>
            <w:vAlign w:val="top"/>
          </w:tcPr>
          <w:p w14:paraId="19188F68">
            <w:pPr>
              <w:spacing w:before="16" w:line="281" w:lineRule="exact"/>
              <w:ind w:left="397"/>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0</w:t>
            </w:r>
            <w:r>
              <w:rPr>
                <w:rFonts w:ascii="Times New Roman" w:hAnsi="Times New Roman" w:eastAsia="Times New Roman" w:cs="Times New Roman"/>
                <w:spacing w:val="3"/>
                <w:position w:val="2"/>
                <w:sz w:val="20"/>
                <w:szCs w:val="20"/>
              </w:rPr>
              <w:t>.03</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a</w:t>
            </w:r>
          </w:p>
        </w:tc>
        <w:tc>
          <w:tcPr>
            <w:tcW w:w="1530" w:type="dxa"/>
            <w:vAlign w:val="top"/>
          </w:tcPr>
          <w:p w14:paraId="2A0DA1EB">
            <w:pPr>
              <w:spacing w:before="16" w:line="281" w:lineRule="exact"/>
              <w:ind w:left="108"/>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NH</w:t>
            </w:r>
            <w:r>
              <w:rPr>
                <w:rFonts w:ascii="Times New Roman" w:hAnsi="Times New Roman" w:eastAsia="Times New Roman" w:cs="Times New Roman"/>
                <w:spacing w:val="11"/>
                <w:position w:val="3"/>
                <w:sz w:val="13"/>
                <w:szCs w:val="13"/>
              </w:rPr>
              <w:t>3</w:t>
            </w:r>
            <w:r>
              <w:rPr>
                <w:rFonts w:ascii="Times New Roman" w:hAnsi="Times New Roman" w:eastAsia="Times New Roman" w:cs="Times New Roman"/>
                <w:spacing w:val="10"/>
                <w:position w:val="4"/>
                <w:sz w:val="20"/>
                <w:szCs w:val="20"/>
              </w:rPr>
              <w:t>-</w:t>
            </w:r>
            <w:r>
              <w:rPr>
                <w:rFonts w:ascii="Times New Roman" w:hAnsi="Times New Roman" w:eastAsia="Times New Roman" w:cs="Times New Roman"/>
                <w:position w:val="4"/>
                <w:sz w:val="20"/>
                <w:szCs w:val="20"/>
              </w:rPr>
              <w:t>N</w:t>
            </w:r>
            <w:r>
              <w:rPr>
                <w:rFonts w:ascii="Times New Roman" w:hAnsi="Times New Roman" w:eastAsia="Times New Roman" w:cs="Times New Roman"/>
                <w:spacing w:val="10"/>
                <w:position w:val="4"/>
                <w:sz w:val="20"/>
                <w:szCs w:val="20"/>
              </w:rPr>
              <w:t>:17</w:t>
            </w:r>
            <w:r>
              <w:rPr>
                <w:rFonts w:ascii="Times New Roman" w:hAnsi="Times New Roman" w:eastAsia="Times New Roman" w:cs="Times New Roman"/>
                <w:position w:val="4"/>
                <w:sz w:val="20"/>
                <w:szCs w:val="20"/>
              </w:rPr>
              <w:t>mg</w:t>
            </w:r>
            <w:r>
              <w:rPr>
                <w:rFonts w:ascii="Times New Roman" w:hAnsi="Times New Roman" w:eastAsia="Times New Roman" w:cs="Times New Roman"/>
                <w:spacing w:val="10"/>
                <w:position w:val="4"/>
                <w:sz w:val="20"/>
                <w:szCs w:val="20"/>
              </w:rPr>
              <w:t>/</w:t>
            </w:r>
            <w:r>
              <w:rPr>
                <w:rFonts w:ascii="Times New Roman" w:hAnsi="Times New Roman" w:eastAsia="Times New Roman" w:cs="Times New Roman"/>
                <w:position w:val="4"/>
                <w:sz w:val="20"/>
                <w:szCs w:val="20"/>
              </w:rPr>
              <w:t>L</w:t>
            </w:r>
          </w:p>
        </w:tc>
        <w:tc>
          <w:tcPr>
            <w:tcW w:w="1419" w:type="dxa"/>
            <w:tcBorders>
              <w:right w:val="nil"/>
            </w:tcBorders>
            <w:vAlign w:val="top"/>
          </w:tcPr>
          <w:p w14:paraId="75804965">
            <w:pPr>
              <w:spacing w:before="16" w:line="281" w:lineRule="exact"/>
              <w:ind w:left="427"/>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0</w:t>
            </w:r>
            <w:r>
              <w:rPr>
                <w:rFonts w:ascii="Times New Roman" w:hAnsi="Times New Roman" w:eastAsia="Times New Roman" w:cs="Times New Roman"/>
                <w:spacing w:val="3"/>
                <w:position w:val="2"/>
                <w:sz w:val="20"/>
                <w:szCs w:val="20"/>
              </w:rPr>
              <w:t>.03</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a</w:t>
            </w:r>
          </w:p>
        </w:tc>
      </w:tr>
      <w:tr w14:paraId="744B6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3" w:type="dxa"/>
            <w:vMerge w:val="continue"/>
            <w:tcBorders>
              <w:top w:val="nil"/>
              <w:left w:val="nil"/>
              <w:bottom w:val="nil"/>
            </w:tcBorders>
            <w:vAlign w:val="top"/>
          </w:tcPr>
          <w:p w14:paraId="56F5E2A0">
            <w:pPr>
              <w:rPr>
                <w:rFonts w:ascii="Arial"/>
                <w:sz w:val="21"/>
              </w:rPr>
            </w:pPr>
          </w:p>
        </w:tc>
        <w:tc>
          <w:tcPr>
            <w:tcW w:w="269" w:type="dxa"/>
            <w:vMerge w:val="continue"/>
            <w:tcBorders>
              <w:top w:val="nil"/>
              <w:bottom w:val="nil"/>
            </w:tcBorders>
            <w:textDirection w:val="tbRlV"/>
            <w:vAlign w:val="top"/>
          </w:tcPr>
          <w:p w14:paraId="0478E804">
            <w:pPr>
              <w:rPr>
                <w:rFonts w:ascii="Arial"/>
                <w:sz w:val="21"/>
              </w:rPr>
            </w:pPr>
          </w:p>
        </w:tc>
        <w:tc>
          <w:tcPr>
            <w:tcW w:w="1705" w:type="dxa"/>
            <w:vMerge w:val="restart"/>
            <w:tcBorders>
              <w:bottom w:val="nil"/>
            </w:tcBorders>
            <w:vAlign w:val="top"/>
          </w:tcPr>
          <w:p w14:paraId="668E8E71">
            <w:pPr>
              <w:spacing w:line="313" w:lineRule="auto"/>
              <w:rPr>
                <w:rFonts w:ascii="Arial"/>
                <w:sz w:val="21"/>
              </w:rPr>
            </w:pPr>
          </w:p>
          <w:p w14:paraId="3F0DAFBC">
            <w:pPr>
              <w:spacing w:before="65" w:line="286" w:lineRule="auto"/>
              <w:ind w:left="309" w:right="310" w:firstLine="130"/>
              <w:rPr>
                <w:rFonts w:ascii="宋体" w:hAnsi="宋体" w:eastAsia="宋体" w:cs="宋体"/>
                <w:sz w:val="20"/>
                <w:szCs w:val="20"/>
              </w:rPr>
            </w:pPr>
            <w:r>
              <w:rPr>
                <w:rFonts w:ascii="宋体" w:hAnsi="宋体" w:eastAsia="宋体" w:cs="宋体"/>
                <w:spacing w:val="7"/>
                <w:sz w:val="20"/>
                <w:szCs w:val="20"/>
              </w:rPr>
              <w:t>生活污</w:t>
            </w:r>
            <w:r>
              <w:rPr>
                <w:rFonts w:ascii="宋体" w:hAnsi="宋体" w:eastAsia="宋体" w:cs="宋体"/>
                <w:spacing w:val="6"/>
                <w:sz w:val="20"/>
                <w:szCs w:val="20"/>
              </w:rPr>
              <w:t>水</w:t>
            </w:r>
            <w:r>
              <w:rPr>
                <w:rFonts w:ascii="宋体" w:hAnsi="宋体" w:eastAsia="宋体" w:cs="宋体"/>
                <w:sz w:val="20"/>
                <w:szCs w:val="20"/>
              </w:rPr>
              <w:t xml:space="preserve"> </w:t>
            </w:r>
            <w:r>
              <w:rPr>
                <w:rFonts w:ascii="宋体" w:hAnsi="宋体" w:eastAsia="宋体" w:cs="宋体"/>
                <w:spacing w:val="8"/>
                <w:sz w:val="20"/>
                <w:szCs w:val="20"/>
              </w:rPr>
              <w:t>(</w:t>
            </w:r>
            <w:r>
              <w:rPr>
                <w:rFonts w:ascii="Times New Roman" w:hAnsi="Times New Roman" w:eastAsia="Times New Roman" w:cs="Times New Roman"/>
                <w:spacing w:val="8"/>
                <w:sz w:val="20"/>
                <w:szCs w:val="20"/>
              </w:rPr>
              <w:t>960</w:t>
            </w:r>
            <w:r>
              <w:rPr>
                <w:rFonts w:ascii="Times New Roman" w:hAnsi="Times New Roman" w:eastAsia="Times New Roman" w:cs="Times New Roman"/>
                <w:sz w:val="20"/>
                <w:szCs w:val="20"/>
              </w:rPr>
              <w:t>m</w:t>
            </w:r>
            <w:r>
              <w:rPr>
                <w:rFonts w:ascii="Times New Roman" w:hAnsi="Times New Roman" w:eastAsia="Times New Roman" w:cs="Times New Roman"/>
                <w:spacing w:val="8"/>
                <w:position w:val="6"/>
                <w:sz w:val="13"/>
                <w:szCs w:val="13"/>
              </w:rPr>
              <w:t>3</w:t>
            </w:r>
            <w:r>
              <w:rPr>
                <w:rFonts w:ascii="Times New Roman" w:hAnsi="Times New Roman" w:eastAsia="Times New Roman" w:cs="Times New Roman"/>
                <w:spacing w:val="8"/>
                <w:sz w:val="20"/>
                <w:szCs w:val="20"/>
              </w:rPr>
              <w:t>/</w:t>
            </w:r>
            <w:r>
              <w:rPr>
                <w:rFonts w:ascii="Times New Roman" w:hAnsi="Times New Roman" w:eastAsia="Times New Roman" w:cs="Times New Roman"/>
                <w:sz w:val="20"/>
                <w:szCs w:val="20"/>
              </w:rPr>
              <w:t>a</w:t>
            </w:r>
            <w:r>
              <w:rPr>
                <w:rFonts w:ascii="Times New Roman" w:hAnsi="Times New Roman" w:eastAsia="Times New Roman" w:cs="Times New Roman"/>
                <w:spacing w:val="8"/>
                <w:sz w:val="20"/>
                <w:szCs w:val="20"/>
              </w:rPr>
              <w:t xml:space="preserve"> </w:t>
            </w:r>
            <w:r>
              <w:rPr>
                <w:rFonts w:ascii="宋体" w:hAnsi="宋体" w:eastAsia="宋体" w:cs="宋体"/>
                <w:spacing w:val="8"/>
                <w:sz w:val="20"/>
                <w:szCs w:val="20"/>
              </w:rPr>
              <w:t>)</w:t>
            </w:r>
          </w:p>
        </w:tc>
        <w:tc>
          <w:tcPr>
            <w:tcW w:w="1578" w:type="dxa"/>
            <w:vAlign w:val="top"/>
          </w:tcPr>
          <w:p w14:paraId="4AD82742">
            <w:pPr>
              <w:spacing w:before="17" w:line="281" w:lineRule="exact"/>
              <w:ind w:left="163"/>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COD</w:t>
            </w:r>
            <w:r>
              <w:rPr>
                <w:rFonts w:ascii="Times New Roman" w:hAnsi="Times New Roman" w:eastAsia="Times New Roman" w:cs="Times New Roman"/>
                <w:spacing w:val="11"/>
                <w:position w:val="4"/>
                <w:sz w:val="20"/>
                <w:szCs w:val="20"/>
              </w:rPr>
              <w:t>:</w:t>
            </w:r>
            <w:r>
              <w:rPr>
                <w:rFonts w:ascii="Times New Roman" w:hAnsi="Times New Roman" w:eastAsia="Times New Roman" w:cs="Times New Roman"/>
                <w:spacing w:val="10"/>
                <w:position w:val="4"/>
                <w:sz w:val="20"/>
                <w:szCs w:val="20"/>
              </w:rPr>
              <w:t>350</w:t>
            </w:r>
            <w:r>
              <w:rPr>
                <w:rFonts w:ascii="Times New Roman" w:hAnsi="Times New Roman" w:eastAsia="Times New Roman" w:cs="Times New Roman"/>
                <w:position w:val="4"/>
                <w:sz w:val="20"/>
                <w:szCs w:val="20"/>
              </w:rPr>
              <w:t>mg</w:t>
            </w:r>
            <w:r>
              <w:rPr>
                <w:rFonts w:ascii="Times New Roman" w:hAnsi="Times New Roman" w:eastAsia="Times New Roman" w:cs="Times New Roman"/>
                <w:spacing w:val="10"/>
                <w:position w:val="4"/>
                <w:sz w:val="20"/>
                <w:szCs w:val="20"/>
              </w:rPr>
              <w:t>/</w:t>
            </w:r>
            <w:r>
              <w:rPr>
                <w:rFonts w:ascii="Times New Roman" w:hAnsi="Times New Roman" w:eastAsia="Times New Roman" w:cs="Times New Roman"/>
                <w:position w:val="4"/>
                <w:sz w:val="20"/>
                <w:szCs w:val="20"/>
              </w:rPr>
              <w:t>L</w:t>
            </w:r>
          </w:p>
        </w:tc>
        <w:tc>
          <w:tcPr>
            <w:tcW w:w="1361" w:type="dxa"/>
            <w:vAlign w:val="top"/>
          </w:tcPr>
          <w:p w14:paraId="54748446">
            <w:pPr>
              <w:spacing w:before="17" w:line="281" w:lineRule="exact"/>
              <w:ind w:left="397"/>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0</w:t>
            </w:r>
            <w:r>
              <w:rPr>
                <w:rFonts w:ascii="Times New Roman" w:hAnsi="Times New Roman" w:eastAsia="Times New Roman" w:cs="Times New Roman"/>
                <w:spacing w:val="3"/>
                <w:position w:val="2"/>
                <w:sz w:val="20"/>
                <w:szCs w:val="20"/>
              </w:rPr>
              <w:t>.24</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a</w:t>
            </w:r>
          </w:p>
        </w:tc>
        <w:tc>
          <w:tcPr>
            <w:tcW w:w="1530" w:type="dxa"/>
            <w:vAlign w:val="top"/>
          </w:tcPr>
          <w:p w14:paraId="5792A9C9">
            <w:pPr>
              <w:spacing w:before="17" w:line="281" w:lineRule="exact"/>
              <w:ind w:left="735"/>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19" w:type="dxa"/>
            <w:tcBorders>
              <w:right w:val="nil"/>
            </w:tcBorders>
            <w:vAlign w:val="top"/>
          </w:tcPr>
          <w:p w14:paraId="3A2DE31C">
            <w:pPr>
              <w:spacing w:before="17" w:line="281" w:lineRule="exact"/>
              <w:ind w:left="55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0</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1"/>
                <w:position w:val="2"/>
                <w:sz w:val="20"/>
                <w:szCs w:val="20"/>
              </w:rPr>
              <w:t>/</w:t>
            </w:r>
            <w:r>
              <w:rPr>
                <w:rFonts w:ascii="Times New Roman" w:hAnsi="Times New Roman" w:eastAsia="Times New Roman" w:cs="Times New Roman"/>
                <w:position w:val="2"/>
                <w:sz w:val="20"/>
                <w:szCs w:val="20"/>
              </w:rPr>
              <w:t>a</w:t>
            </w:r>
          </w:p>
        </w:tc>
      </w:tr>
      <w:tr w14:paraId="17DE4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443" w:type="dxa"/>
            <w:vMerge w:val="continue"/>
            <w:tcBorders>
              <w:top w:val="nil"/>
              <w:left w:val="nil"/>
              <w:bottom w:val="nil"/>
            </w:tcBorders>
            <w:vAlign w:val="top"/>
          </w:tcPr>
          <w:p w14:paraId="29B32FB5">
            <w:pPr>
              <w:rPr>
                <w:rFonts w:ascii="Arial"/>
                <w:sz w:val="21"/>
              </w:rPr>
            </w:pPr>
          </w:p>
        </w:tc>
        <w:tc>
          <w:tcPr>
            <w:tcW w:w="269" w:type="dxa"/>
            <w:vMerge w:val="continue"/>
            <w:tcBorders>
              <w:top w:val="nil"/>
              <w:bottom w:val="nil"/>
            </w:tcBorders>
            <w:textDirection w:val="tbRlV"/>
            <w:vAlign w:val="top"/>
          </w:tcPr>
          <w:p w14:paraId="2F0DBF17">
            <w:pPr>
              <w:rPr>
                <w:rFonts w:ascii="Arial"/>
                <w:sz w:val="21"/>
              </w:rPr>
            </w:pPr>
          </w:p>
        </w:tc>
        <w:tc>
          <w:tcPr>
            <w:tcW w:w="1705" w:type="dxa"/>
            <w:vMerge w:val="continue"/>
            <w:tcBorders>
              <w:top w:val="nil"/>
              <w:bottom w:val="nil"/>
            </w:tcBorders>
            <w:vAlign w:val="top"/>
          </w:tcPr>
          <w:p w14:paraId="272BB698">
            <w:pPr>
              <w:rPr>
                <w:rFonts w:ascii="Arial"/>
                <w:sz w:val="21"/>
              </w:rPr>
            </w:pPr>
          </w:p>
        </w:tc>
        <w:tc>
          <w:tcPr>
            <w:tcW w:w="1578" w:type="dxa"/>
            <w:vAlign w:val="top"/>
          </w:tcPr>
          <w:p w14:paraId="3B38B65E">
            <w:pPr>
              <w:spacing w:before="16" w:line="281" w:lineRule="exact"/>
              <w:ind w:left="123"/>
              <w:rPr>
                <w:rFonts w:ascii="Times New Roman" w:hAnsi="Times New Roman" w:eastAsia="Times New Roman" w:cs="Times New Roman"/>
                <w:sz w:val="20"/>
                <w:szCs w:val="20"/>
              </w:rPr>
            </w:pPr>
            <w:r>
              <w:rPr>
                <w:rFonts w:ascii="宋体" w:hAnsi="宋体" w:eastAsia="宋体" w:cs="宋体"/>
                <w:spacing w:val="11"/>
                <w:position w:val="2"/>
                <w:sz w:val="20"/>
                <w:szCs w:val="20"/>
              </w:rPr>
              <w:t>石</w:t>
            </w:r>
            <w:r>
              <w:rPr>
                <w:rFonts w:ascii="宋体" w:hAnsi="宋体" w:eastAsia="宋体" w:cs="宋体"/>
                <w:spacing w:val="7"/>
                <w:position w:val="2"/>
                <w:sz w:val="20"/>
                <w:szCs w:val="20"/>
              </w:rPr>
              <w:t>油类</w:t>
            </w:r>
            <w:r>
              <w:rPr>
                <w:rFonts w:ascii="Times New Roman" w:hAnsi="Times New Roman" w:eastAsia="Times New Roman" w:cs="Times New Roman"/>
                <w:spacing w:val="7"/>
                <w:position w:val="2"/>
                <w:sz w:val="20"/>
                <w:szCs w:val="20"/>
              </w:rPr>
              <w:t>:15</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7"/>
                <w:position w:val="2"/>
                <w:sz w:val="20"/>
                <w:szCs w:val="20"/>
              </w:rPr>
              <w:t>/</w:t>
            </w:r>
            <w:r>
              <w:rPr>
                <w:rFonts w:ascii="Times New Roman" w:hAnsi="Times New Roman" w:eastAsia="Times New Roman" w:cs="Times New Roman"/>
                <w:position w:val="2"/>
                <w:sz w:val="20"/>
                <w:szCs w:val="20"/>
              </w:rPr>
              <w:t>L</w:t>
            </w:r>
          </w:p>
        </w:tc>
        <w:tc>
          <w:tcPr>
            <w:tcW w:w="1361" w:type="dxa"/>
            <w:vAlign w:val="top"/>
          </w:tcPr>
          <w:p w14:paraId="3677A461">
            <w:pPr>
              <w:spacing w:before="16" w:line="281" w:lineRule="exact"/>
              <w:ind w:left="397"/>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0</w:t>
            </w:r>
            <w:r>
              <w:rPr>
                <w:rFonts w:ascii="Times New Roman" w:hAnsi="Times New Roman" w:eastAsia="Times New Roman" w:cs="Times New Roman"/>
                <w:spacing w:val="3"/>
                <w:position w:val="2"/>
                <w:sz w:val="20"/>
                <w:szCs w:val="20"/>
              </w:rPr>
              <w:t>.01</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a</w:t>
            </w:r>
          </w:p>
        </w:tc>
        <w:tc>
          <w:tcPr>
            <w:tcW w:w="1530" w:type="dxa"/>
            <w:vAlign w:val="top"/>
          </w:tcPr>
          <w:p w14:paraId="23C44609">
            <w:pPr>
              <w:spacing w:before="16" w:line="281" w:lineRule="exact"/>
              <w:ind w:left="735"/>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19" w:type="dxa"/>
            <w:tcBorders>
              <w:right w:val="nil"/>
            </w:tcBorders>
            <w:vAlign w:val="top"/>
          </w:tcPr>
          <w:p w14:paraId="4FA27510">
            <w:pPr>
              <w:spacing w:before="16" w:line="281" w:lineRule="exact"/>
              <w:ind w:left="55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0</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1"/>
                <w:position w:val="2"/>
                <w:sz w:val="20"/>
                <w:szCs w:val="20"/>
              </w:rPr>
              <w:t>/</w:t>
            </w:r>
            <w:r>
              <w:rPr>
                <w:rFonts w:ascii="Times New Roman" w:hAnsi="Times New Roman" w:eastAsia="Times New Roman" w:cs="Times New Roman"/>
                <w:position w:val="2"/>
                <w:sz w:val="20"/>
                <w:szCs w:val="20"/>
              </w:rPr>
              <w:t>a</w:t>
            </w:r>
          </w:p>
        </w:tc>
      </w:tr>
      <w:tr w14:paraId="6FF661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3" w:type="dxa"/>
            <w:vMerge w:val="continue"/>
            <w:tcBorders>
              <w:top w:val="nil"/>
              <w:left w:val="nil"/>
              <w:bottom w:val="nil"/>
            </w:tcBorders>
            <w:vAlign w:val="top"/>
          </w:tcPr>
          <w:p w14:paraId="6B609368">
            <w:pPr>
              <w:rPr>
                <w:rFonts w:ascii="Arial"/>
                <w:sz w:val="21"/>
              </w:rPr>
            </w:pPr>
          </w:p>
        </w:tc>
        <w:tc>
          <w:tcPr>
            <w:tcW w:w="269" w:type="dxa"/>
            <w:vMerge w:val="continue"/>
            <w:tcBorders>
              <w:top w:val="nil"/>
              <w:bottom w:val="nil"/>
            </w:tcBorders>
            <w:textDirection w:val="tbRlV"/>
            <w:vAlign w:val="top"/>
          </w:tcPr>
          <w:p w14:paraId="11FE85AC">
            <w:pPr>
              <w:rPr>
                <w:rFonts w:ascii="Arial"/>
                <w:sz w:val="21"/>
              </w:rPr>
            </w:pPr>
          </w:p>
        </w:tc>
        <w:tc>
          <w:tcPr>
            <w:tcW w:w="1705" w:type="dxa"/>
            <w:vMerge w:val="continue"/>
            <w:tcBorders>
              <w:top w:val="nil"/>
              <w:bottom w:val="nil"/>
            </w:tcBorders>
            <w:vAlign w:val="top"/>
          </w:tcPr>
          <w:p w14:paraId="032382CB">
            <w:pPr>
              <w:rPr>
                <w:rFonts w:ascii="Arial"/>
                <w:sz w:val="21"/>
              </w:rPr>
            </w:pPr>
          </w:p>
        </w:tc>
        <w:tc>
          <w:tcPr>
            <w:tcW w:w="1578" w:type="dxa"/>
            <w:vAlign w:val="top"/>
          </w:tcPr>
          <w:p w14:paraId="425B57B7">
            <w:pPr>
              <w:spacing w:before="19" w:line="281" w:lineRule="exact"/>
              <w:ind w:left="248"/>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SS</w:t>
            </w:r>
            <w:r>
              <w:rPr>
                <w:rFonts w:ascii="Times New Roman" w:hAnsi="Times New Roman" w:eastAsia="Times New Roman" w:cs="Times New Roman"/>
                <w:spacing w:val="6"/>
                <w:position w:val="4"/>
                <w:sz w:val="20"/>
                <w:szCs w:val="20"/>
              </w:rPr>
              <w:t xml:space="preserve"> :200</w:t>
            </w:r>
            <w:r>
              <w:rPr>
                <w:rFonts w:ascii="Times New Roman" w:hAnsi="Times New Roman" w:eastAsia="Times New Roman" w:cs="Times New Roman"/>
                <w:position w:val="4"/>
                <w:sz w:val="20"/>
                <w:szCs w:val="20"/>
              </w:rPr>
              <w:t>mg</w:t>
            </w:r>
            <w:r>
              <w:rPr>
                <w:rFonts w:ascii="Times New Roman" w:hAnsi="Times New Roman" w:eastAsia="Times New Roman" w:cs="Times New Roman"/>
                <w:spacing w:val="6"/>
                <w:position w:val="4"/>
                <w:sz w:val="20"/>
                <w:szCs w:val="20"/>
              </w:rPr>
              <w:t>/</w:t>
            </w:r>
            <w:r>
              <w:rPr>
                <w:rFonts w:ascii="Times New Roman" w:hAnsi="Times New Roman" w:eastAsia="Times New Roman" w:cs="Times New Roman"/>
                <w:position w:val="4"/>
                <w:sz w:val="20"/>
                <w:szCs w:val="20"/>
              </w:rPr>
              <w:t>L</w:t>
            </w:r>
          </w:p>
        </w:tc>
        <w:tc>
          <w:tcPr>
            <w:tcW w:w="1361" w:type="dxa"/>
            <w:vAlign w:val="top"/>
          </w:tcPr>
          <w:p w14:paraId="5F0BE49F">
            <w:pPr>
              <w:spacing w:before="19" w:line="281" w:lineRule="exact"/>
              <w:ind w:left="397"/>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0</w:t>
            </w:r>
            <w:r>
              <w:rPr>
                <w:rFonts w:ascii="Times New Roman" w:hAnsi="Times New Roman" w:eastAsia="Times New Roman" w:cs="Times New Roman"/>
                <w:spacing w:val="-4"/>
                <w:position w:val="2"/>
                <w:sz w:val="20"/>
                <w:szCs w:val="20"/>
              </w:rPr>
              <w:t>. 19t/a</w:t>
            </w:r>
          </w:p>
        </w:tc>
        <w:tc>
          <w:tcPr>
            <w:tcW w:w="1530" w:type="dxa"/>
            <w:vAlign w:val="top"/>
          </w:tcPr>
          <w:p w14:paraId="0BF8C30C">
            <w:pPr>
              <w:spacing w:before="19" w:line="281" w:lineRule="exact"/>
              <w:ind w:left="735"/>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19" w:type="dxa"/>
            <w:tcBorders>
              <w:right w:val="nil"/>
            </w:tcBorders>
            <w:vAlign w:val="top"/>
          </w:tcPr>
          <w:p w14:paraId="31166B3F">
            <w:pPr>
              <w:spacing w:before="19" w:line="281" w:lineRule="exact"/>
              <w:ind w:left="55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0</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1"/>
                <w:position w:val="2"/>
                <w:sz w:val="20"/>
                <w:szCs w:val="20"/>
              </w:rPr>
              <w:t>/</w:t>
            </w:r>
            <w:r>
              <w:rPr>
                <w:rFonts w:ascii="Times New Roman" w:hAnsi="Times New Roman" w:eastAsia="Times New Roman" w:cs="Times New Roman"/>
                <w:position w:val="2"/>
                <w:sz w:val="20"/>
                <w:szCs w:val="20"/>
              </w:rPr>
              <w:t>a</w:t>
            </w:r>
          </w:p>
        </w:tc>
      </w:tr>
      <w:tr w14:paraId="040E7E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3" w:type="dxa"/>
            <w:vMerge w:val="continue"/>
            <w:tcBorders>
              <w:top w:val="nil"/>
              <w:left w:val="nil"/>
            </w:tcBorders>
            <w:vAlign w:val="top"/>
          </w:tcPr>
          <w:p w14:paraId="2AA12D3A">
            <w:pPr>
              <w:rPr>
                <w:rFonts w:ascii="Arial"/>
                <w:sz w:val="21"/>
              </w:rPr>
            </w:pPr>
          </w:p>
        </w:tc>
        <w:tc>
          <w:tcPr>
            <w:tcW w:w="269" w:type="dxa"/>
            <w:vMerge w:val="continue"/>
            <w:tcBorders>
              <w:top w:val="nil"/>
            </w:tcBorders>
            <w:textDirection w:val="tbRlV"/>
            <w:vAlign w:val="top"/>
          </w:tcPr>
          <w:p w14:paraId="211F88F4">
            <w:pPr>
              <w:rPr>
                <w:rFonts w:ascii="Arial"/>
                <w:sz w:val="21"/>
              </w:rPr>
            </w:pPr>
          </w:p>
        </w:tc>
        <w:tc>
          <w:tcPr>
            <w:tcW w:w="1705" w:type="dxa"/>
            <w:vMerge w:val="continue"/>
            <w:tcBorders>
              <w:top w:val="nil"/>
            </w:tcBorders>
            <w:vAlign w:val="top"/>
          </w:tcPr>
          <w:p w14:paraId="59B01E25">
            <w:pPr>
              <w:rPr>
                <w:rFonts w:ascii="Arial"/>
                <w:sz w:val="21"/>
              </w:rPr>
            </w:pPr>
          </w:p>
        </w:tc>
        <w:tc>
          <w:tcPr>
            <w:tcW w:w="1578" w:type="dxa"/>
            <w:vAlign w:val="top"/>
          </w:tcPr>
          <w:p w14:paraId="1A0FC44C">
            <w:pPr>
              <w:spacing w:before="19" w:line="281" w:lineRule="exact"/>
              <w:ind w:left="131"/>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NH</w:t>
            </w:r>
            <w:r>
              <w:rPr>
                <w:rFonts w:ascii="Times New Roman" w:hAnsi="Times New Roman" w:eastAsia="Times New Roman" w:cs="Times New Roman"/>
                <w:spacing w:val="11"/>
                <w:position w:val="3"/>
                <w:sz w:val="13"/>
                <w:szCs w:val="13"/>
              </w:rPr>
              <w:t>3</w:t>
            </w:r>
            <w:r>
              <w:rPr>
                <w:rFonts w:ascii="Times New Roman" w:hAnsi="Times New Roman" w:eastAsia="Times New Roman" w:cs="Times New Roman"/>
                <w:spacing w:val="10"/>
                <w:position w:val="4"/>
                <w:sz w:val="20"/>
                <w:szCs w:val="20"/>
              </w:rPr>
              <w:t>-</w:t>
            </w:r>
            <w:r>
              <w:rPr>
                <w:rFonts w:ascii="Times New Roman" w:hAnsi="Times New Roman" w:eastAsia="Times New Roman" w:cs="Times New Roman"/>
                <w:position w:val="4"/>
                <w:sz w:val="20"/>
                <w:szCs w:val="20"/>
              </w:rPr>
              <w:t>N</w:t>
            </w:r>
            <w:r>
              <w:rPr>
                <w:rFonts w:ascii="Times New Roman" w:hAnsi="Times New Roman" w:eastAsia="Times New Roman" w:cs="Times New Roman"/>
                <w:spacing w:val="10"/>
                <w:position w:val="4"/>
                <w:sz w:val="20"/>
                <w:szCs w:val="20"/>
              </w:rPr>
              <w:t>:28</w:t>
            </w:r>
            <w:r>
              <w:rPr>
                <w:rFonts w:ascii="Times New Roman" w:hAnsi="Times New Roman" w:eastAsia="Times New Roman" w:cs="Times New Roman"/>
                <w:position w:val="4"/>
                <w:sz w:val="20"/>
                <w:szCs w:val="20"/>
              </w:rPr>
              <w:t>mg</w:t>
            </w:r>
            <w:r>
              <w:rPr>
                <w:rFonts w:ascii="Times New Roman" w:hAnsi="Times New Roman" w:eastAsia="Times New Roman" w:cs="Times New Roman"/>
                <w:spacing w:val="10"/>
                <w:position w:val="4"/>
                <w:sz w:val="20"/>
                <w:szCs w:val="20"/>
              </w:rPr>
              <w:t>/</w:t>
            </w:r>
            <w:r>
              <w:rPr>
                <w:rFonts w:ascii="Times New Roman" w:hAnsi="Times New Roman" w:eastAsia="Times New Roman" w:cs="Times New Roman"/>
                <w:position w:val="4"/>
                <w:sz w:val="20"/>
                <w:szCs w:val="20"/>
              </w:rPr>
              <w:t>L</w:t>
            </w:r>
          </w:p>
        </w:tc>
        <w:tc>
          <w:tcPr>
            <w:tcW w:w="1361" w:type="dxa"/>
            <w:vAlign w:val="top"/>
          </w:tcPr>
          <w:p w14:paraId="2F8B8479">
            <w:pPr>
              <w:spacing w:before="19" w:line="281" w:lineRule="exact"/>
              <w:ind w:left="397"/>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0</w:t>
            </w:r>
            <w:r>
              <w:rPr>
                <w:rFonts w:ascii="Times New Roman" w:hAnsi="Times New Roman" w:eastAsia="Times New Roman" w:cs="Times New Roman"/>
                <w:spacing w:val="3"/>
                <w:position w:val="2"/>
                <w:sz w:val="20"/>
                <w:szCs w:val="20"/>
              </w:rPr>
              <w:t>.03</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a</w:t>
            </w:r>
          </w:p>
        </w:tc>
        <w:tc>
          <w:tcPr>
            <w:tcW w:w="1530" w:type="dxa"/>
            <w:vAlign w:val="top"/>
          </w:tcPr>
          <w:p w14:paraId="353E645F">
            <w:pPr>
              <w:spacing w:before="19" w:line="281" w:lineRule="exact"/>
              <w:ind w:left="735"/>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19" w:type="dxa"/>
            <w:tcBorders>
              <w:right w:val="nil"/>
            </w:tcBorders>
            <w:vAlign w:val="top"/>
          </w:tcPr>
          <w:p w14:paraId="727D2310">
            <w:pPr>
              <w:spacing w:before="19" w:line="281" w:lineRule="exact"/>
              <w:ind w:left="55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0</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1"/>
                <w:position w:val="2"/>
                <w:sz w:val="20"/>
                <w:szCs w:val="20"/>
              </w:rPr>
              <w:t>/</w:t>
            </w:r>
            <w:r>
              <w:rPr>
                <w:rFonts w:ascii="Times New Roman" w:hAnsi="Times New Roman" w:eastAsia="Times New Roman" w:cs="Times New Roman"/>
                <w:position w:val="2"/>
                <w:sz w:val="20"/>
                <w:szCs w:val="20"/>
              </w:rPr>
              <w:t>a</w:t>
            </w:r>
          </w:p>
        </w:tc>
      </w:tr>
      <w:tr w14:paraId="6CE4C7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3" w:type="dxa"/>
            <w:vMerge w:val="restart"/>
            <w:tcBorders>
              <w:left w:val="nil"/>
              <w:bottom w:val="nil"/>
            </w:tcBorders>
            <w:vAlign w:val="top"/>
          </w:tcPr>
          <w:p w14:paraId="23A47D0A">
            <w:pPr>
              <w:spacing w:line="288" w:lineRule="auto"/>
              <w:rPr>
                <w:rFonts w:ascii="Arial"/>
                <w:sz w:val="21"/>
              </w:rPr>
            </w:pPr>
          </w:p>
          <w:p w14:paraId="75C86592">
            <w:pPr>
              <w:spacing w:line="289" w:lineRule="auto"/>
              <w:rPr>
                <w:rFonts w:ascii="Arial"/>
                <w:sz w:val="21"/>
              </w:rPr>
            </w:pPr>
          </w:p>
          <w:p w14:paraId="16CC2F62">
            <w:pPr>
              <w:spacing w:line="289" w:lineRule="auto"/>
              <w:rPr>
                <w:rFonts w:ascii="Arial"/>
                <w:sz w:val="21"/>
              </w:rPr>
            </w:pPr>
          </w:p>
          <w:p w14:paraId="61BD32D5">
            <w:pPr>
              <w:spacing w:line="289" w:lineRule="auto"/>
              <w:rPr>
                <w:rFonts w:ascii="Arial"/>
                <w:sz w:val="21"/>
              </w:rPr>
            </w:pPr>
          </w:p>
          <w:p w14:paraId="40A6A688">
            <w:pPr>
              <w:spacing w:before="58" w:line="195" w:lineRule="auto"/>
              <w:ind w:left="176"/>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69" w:type="dxa"/>
            <w:vMerge w:val="restart"/>
            <w:tcBorders>
              <w:bottom w:val="nil"/>
            </w:tcBorders>
            <w:textDirection w:val="tbRlV"/>
            <w:vAlign w:val="top"/>
          </w:tcPr>
          <w:p w14:paraId="6D7585DF">
            <w:pPr>
              <w:spacing w:before="27" w:line="213" w:lineRule="auto"/>
              <w:ind w:left="1028"/>
              <w:rPr>
                <w:rFonts w:ascii="宋体" w:hAnsi="宋体" w:eastAsia="宋体" w:cs="宋体"/>
                <w:sz w:val="20"/>
                <w:szCs w:val="20"/>
              </w:rPr>
            </w:pPr>
            <w:r>
              <w:rPr>
                <w:rFonts w:ascii="宋体" w:hAnsi="宋体" w:eastAsia="宋体" w:cs="宋体"/>
                <w:spacing w:val="7"/>
                <w:sz w:val="20"/>
                <w:szCs w:val="20"/>
              </w:rPr>
              <w:t xml:space="preserve">噪 </w:t>
            </w:r>
            <w:r>
              <w:rPr>
                <w:rFonts w:ascii="宋体" w:hAnsi="宋体" w:eastAsia="宋体" w:cs="宋体"/>
                <w:spacing w:val="6"/>
                <w:sz w:val="20"/>
                <w:szCs w:val="20"/>
              </w:rPr>
              <w:t>声</w:t>
            </w:r>
          </w:p>
        </w:tc>
        <w:tc>
          <w:tcPr>
            <w:tcW w:w="1705" w:type="dxa"/>
            <w:vAlign w:val="top"/>
          </w:tcPr>
          <w:p w14:paraId="76CEAA3F">
            <w:pPr>
              <w:spacing w:before="56" w:line="227" w:lineRule="auto"/>
              <w:ind w:left="552"/>
              <w:rPr>
                <w:rFonts w:ascii="宋体" w:hAnsi="宋体" w:eastAsia="宋体" w:cs="宋体"/>
                <w:sz w:val="20"/>
                <w:szCs w:val="20"/>
              </w:rPr>
            </w:pPr>
            <w:r>
              <w:rPr>
                <w:rFonts w:ascii="宋体" w:hAnsi="宋体" w:eastAsia="宋体" w:cs="宋体"/>
                <w:spacing w:val="4"/>
                <w:sz w:val="20"/>
                <w:szCs w:val="20"/>
              </w:rPr>
              <w:t>喂</w:t>
            </w:r>
            <w:r>
              <w:rPr>
                <w:rFonts w:ascii="宋体" w:hAnsi="宋体" w:eastAsia="宋体" w:cs="宋体"/>
                <w:spacing w:val="3"/>
                <w:sz w:val="20"/>
                <w:szCs w:val="20"/>
              </w:rPr>
              <w:t>料机</w:t>
            </w:r>
          </w:p>
        </w:tc>
        <w:tc>
          <w:tcPr>
            <w:tcW w:w="2939" w:type="dxa"/>
            <w:gridSpan w:val="2"/>
            <w:vAlign w:val="top"/>
          </w:tcPr>
          <w:p w14:paraId="462E1A23">
            <w:pPr>
              <w:spacing w:before="18" w:line="281" w:lineRule="exact"/>
              <w:ind w:left="962"/>
              <w:rPr>
                <w:rFonts w:ascii="宋体" w:hAnsi="宋体" w:eastAsia="宋体" w:cs="宋体"/>
                <w:sz w:val="20"/>
                <w:szCs w:val="20"/>
              </w:rPr>
            </w:pPr>
            <w:r>
              <w:rPr>
                <w:rFonts w:ascii="Times New Roman" w:hAnsi="Times New Roman" w:eastAsia="Times New Roman" w:cs="Times New Roman"/>
                <w:spacing w:val="5"/>
                <w:position w:val="1"/>
                <w:sz w:val="20"/>
                <w:szCs w:val="20"/>
              </w:rPr>
              <w:t>75</w:t>
            </w:r>
            <w:r>
              <w:rPr>
                <w:rFonts w:ascii="Times New Roman" w:hAnsi="Times New Roman" w:eastAsia="Times New Roman" w:cs="Times New Roman"/>
                <w:position w:val="1"/>
                <w:sz w:val="20"/>
                <w:szCs w:val="20"/>
              </w:rPr>
              <w:t>dB</w:t>
            </w:r>
            <w:r>
              <w:rPr>
                <w:rFonts w:ascii="Times New Roman" w:hAnsi="Times New Roman" w:eastAsia="Times New Roman" w:cs="Times New Roman"/>
                <w:spacing w:val="5"/>
                <w:position w:val="1"/>
                <w:sz w:val="20"/>
                <w:szCs w:val="20"/>
              </w:rPr>
              <w:t xml:space="preserve">  </w:t>
            </w:r>
            <w:r>
              <w:rPr>
                <w:rFonts w:ascii="宋体" w:hAnsi="宋体" w:eastAsia="宋体" w:cs="宋体"/>
                <w:spacing w:val="5"/>
                <w:position w:val="1"/>
                <w:sz w:val="20"/>
                <w:szCs w:val="20"/>
              </w:rPr>
              <w:t>(</w:t>
            </w:r>
            <w:r>
              <w:rPr>
                <w:rFonts w:ascii="Times New Roman" w:hAnsi="Times New Roman" w:eastAsia="Times New Roman" w:cs="Times New Roman"/>
                <w:position w:val="1"/>
                <w:sz w:val="20"/>
                <w:szCs w:val="20"/>
              </w:rPr>
              <w:t>A</w:t>
            </w:r>
            <w:r>
              <w:rPr>
                <w:rFonts w:ascii="宋体" w:hAnsi="宋体" w:eastAsia="宋体" w:cs="宋体"/>
                <w:spacing w:val="5"/>
                <w:position w:val="1"/>
                <w:sz w:val="20"/>
                <w:szCs w:val="20"/>
              </w:rPr>
              <w:t>)</w:t>
            </w:r>
          </w:p>
        </w:tc>
        <w:tc>
          <w:tcPr>
            <w:tcW w:w="2949" w:type="dxa"/>
            <w:gridSpan w:val="2"/>
            <w:tcBorders>
              <w:right w:val="nil"/>
            </w:tcBorders>
            <w:vAlign w:val="top"/>
          </w:tcPr>
          <w:p w14:paraId="62E31196">
            <w:pPr>
              <w:spacing w:before="18" w:line="281" w:lineRule="exact"/>
              <w:ind w:left="144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1838A5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3" w:type="dxa"/>
            <w:vMerge w:val="continue"/>
            <w:tcBorders>
              <w:top w:val="nil"/>
              <w:left w:val="nil"/>
              <w:bottom w:val="nil"/>
            </w:tcBorders>
            <w:vAlign w:val="top"/>
          </w:tcPr>
          <w:p w14:paraId="0B898A6F">
            <w:pPr>
              <w:rPr>
                <w:rFonts w:ascii="Arial"/>
                <w:sz w:val="21"/>
              </w:rPr>
            </w:pPr>
          </w:p>
        </w:tc>
        <w:tc>
          <w:tcPr>
            <w:tcW w:w="269" w:type="dxa"/>
            <w:vMerge w:val="continue"/>
            <w:tcBorders>
              <w:top w:val="nil"/>
              <w:bottom w:val="nil"/>
            </w:tcBorders>
            <w:textDirection w:val="tbRlV"/>
            <w:vAlign w:val="top"/>
          </w:tcPr>
          <w:p w14:paraId="07A3CBD2">
            <w:pPr>
              <w:rPr>
                <w:rFonts w:ascii="Arial"/>
                <w:sz w:val="21"/>
              </w:rPr>
            </w:pPr>
          </w:p>
        </w:tc>
        <w:tc>
          <w:tcPr>
            <w:tcW w:w="1705" w:type="dxa"/>
            <w:vAlign w:val="top"/>
          </w:tcPr>
          <w:p w14:paraId="1387C6E1">
            <w:pPr>
              <w:spacing w:before="55" w:line="227" w:lineRule="auto"/>
              <w:ind w:left="540"/>
              <w:rPr>
                <w:rFonts w:ascii="宋体" w:hAnsi="宋体" w:eastAsia="宋体" w:cs="宋体"/>
                <w:sz w:val="20"/>
                <w:szCs w:val="20"/>
              </w:rPr>
            </w:pPr>
            <w:r>
              <w:rPr>
                <w:rFonts w:ascii="宋体" w:hAnsi="宋体" w:eastAsia="宋体" w:cs="宋体"/>
                <w:spacing w:val="7"/>
                <w:sz w:val="20"/>
                <w:szCs w:val="20"/>
              </w:rPr>
              <w:t>粉碎机</w:t>
            </w:r>
          </w:p>
        </w:tc>
        <w:tc>
          <w:tcPr>
            <w:tcW w:w="2939" w:type="dxa"/>
            <w:gridSpan w:val="2"/>
            <w:vAlign w:val="top"/>
          </w:tcPr>
          <w:p w14:paraId="40A8C1D3">
            <w:pPr>
              <w:spacing w:before="18" w:line="281" w:lineRule="exact"/>
              <w:ind w:left="967"/>
              <w:rPr>
                <w:rFonts w:ascii="宋体" w:hAnsi="宋体" w:eastAsia="宋体" w:cs="宋体"/>
                <w:sz w:val="20"/>
                <w:szCs w:val="20"/>
              </w:rPr>
            </w:pPr>
            <w:r>
              <w:rPr>
                <w:rFonts w:ascii="Times New Roman" w:hAnsi="Times New Roman" w:eastAsia="Times New Roman" w:cs="Times New Roman"/>
                <w:spacing w:val="5"/>
                <w:position w:val="1"/>
                <w:sz w:val="20"/>
                <w:szCs w:val="20"/>
              </w:rPr>
              <w:t>8</w:t>
            </w:r>
            <w:r>
              <w:rPr>
                <w:rFonts w:ascii="Times New Roman" w:hAnsi="Times New Roman" w:eastAsia="Times New Roman" w:cs="Times New Roman"/>
                <w:spacing w:val="4"/>
                <w:position w:val="1"/>
                <w:sz w:val="20"/>
                <w:szCs w:val="20"/>
              </w:rPr>
              <w:t>0</w:t>
            </w:r>
            <w:r>
              <w:rPr>
                <w:rFonts w:ascii="Times New Roman" w:hAnsi="Times New Roman" w:eastAsia="Times New Roman" w:cs="Times New Roman"/>
                <w:position w:val="1"/>
                <w:sz w:val="20"/>
                <w:szCs w:val="20"/>
              </w:rPr>
              <w:t>dB</w:t>
            </w:r>
            <w:r>
              <w:rPr>
                <w:rFonts w:ascii="Times New Roman" w:hAnsi="Times New Roman" w:eastAsia="Times New Roman" w:cs="Times New Roman"/>
                <w:spacing w:val="4"/>
                <w:position w:val="1"/>
                <w:sz w:val="20"/>
                <w:szCs w:val="20"/>
              </w:rPr>
              <w:t xml:space="preserve">  </w:t>
            </w:r>
            <w:r>
              <w:rPr>
                <w:rFonts w:ascii="宋体" w:hAnsi="宋体" w:eastAsia="宋体" w:cs="宋体"/>
                <w:spacing w:val="4"/>
                <w:position w:val="1"/>
                <w:sz w:val="20"/>
                <w:szCs w:val="20"/>
              </w:rPr>
              <w:t>(</w:t>
            </w:r>
            <w:r>
              <w:rPr>
                <w:rFonts w:ascii="Times New Roman" w:hAnsi="Times New Roman" w:eastAsia="Times New Roman" w:cs="Times New Roman"/>
                <w:position w:val="1"/>
                <w:sz w:val="20"/>
                <w:szCs w:val="20"/>
              </w:rPr>
              <w:t>A</w:t>
            </w:r>
            <w:r>
              <w:rPr>
                <w:rFonts w:ascii="宋体" w:hAnsi="宋体" w:eastAsia="宋体" w:cs="宋体"/>
                <w:spacing w:val="4"/>
                <w:position w:val="1"/>
                <w:sz w:val="20"/>
                <w:szCs w:val="20"/>
              </w:rPr>
              <w:t>)</w:t>
            </w:r>
          </w:p>
        </w:tc>
        <w:tc>
          <w:tcPr>
            <w:tcW w:w="2949" w:type="dxa"/>
            <w:gridSpan w:val="2"/>
            <w:tcBorders>
              <w:right w:val="nil"/>
            </w:tcBorders>
            <w:vAlign w:val="top"/>
          </w:tcPr>
          <w:p w14:paraId="3771C463">
            <w:pPr>
              <w:spacing w:before="18" w:line="281" w:lineRule="exact"/>
              <w:ind w:left="144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7F1095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3" w:type="dxa"/>
            <w:vMerge w:val="continue"/>
            <w:tcBorders>
              <w:top w:val="nil"/>
              <w:left w:val="nil"/>
              <w:bottom w:val="nil"/>
            </w:tcBorders>
            <w:vAlign w:val="top"/>
          </w:tcPr>
          <w:p w14:paraId="095264EA">
            <w:pPr>
              <w:rPr>
                <w:rFonts w:ascii="Arial"/>
                <w:sz w:val="21"/>
              </w:rPr>
            </w:pPr>
          </w:p>
        </w:tc>
        <w:tc>
          <w:tcPr>
            <w:tcW w:w="269" w:type="dxa"/>
            <w:vMerge w:val="continue"/>
            <w:tcBorders>
              <w:top w:val="nil"/>
              <w:bottom w:val="nil"/>
            </w:tcBorders>
            <w:textDirection w:val="tbRlV"/>
            <w:vAlign w:val="top"/>
          </w:tcPr>
          <w:p w14:paraId="4DE5446C">
            <w:pPr>
              <w:rPr>
                <w:rFonts w:ascii="Arial"/>
                <w:sz w:val="21"/>
              </w:rPr>
            </w:pPr>
          </w:p>
        </w:tc>
        <w:tc>
          <w:tcPr>
            <w:tcW w:w="1705" w:type="dxa"/>
            <w:vAlign w:val="top"/>
          </w:tcPr>
          <w:p w14:paraId="591BEBB0">
            <w:pPr>
              <w:spacing w:before="55" w:line="227" w:lineRule="auto"/>
              <w:ind w:left="332"/>
              <w:rPr>
                <w:rFonts w:ascii="宋体" w:hAnsi="宋体" w:eastAsia="宋体" w:cs="宋体"/>
                <w:sz w:val="20"/>
                <w:szCs w:val="20"/>
              </w:rPr>
            </w:pPr>
            <w:r>
              <w:rPr>
                <w:rFonts w:ascii="宋体" w:hAnsi="宋体" w:eastAsia="宋体" w:cs="宋体"/>
                <w:spacing w:val="8"/>
                <w:sz w:val="20"/>
                <w:szCs w:val="20"/>
              </w:rPr>
              <w:t>偏心清洗机</w:t>
            </w:r>
          </w:p>
        </w:tc>
        <w:tc>
          <w:tcPr>
            <w:tcW w:w="2939" w:type="dxa"/>
            <w:gridSpan w:val="2"/>
            <w:vAlign w:val="top"/>
          </w:tcPr>
          <w:p w14:paraId="70735902">
            <w:pPr>
              <w:spacing w:before="18" w:line="281" w:lineRule="exact"/>
              <w:ind w:left="962"/>
              <w:rPr>
                <w:rFonts w:ascii="宋体" w:hAnsi="宋体" w:eastAsia="宋体" w:cs="宋体"/>
                <w:sz w:val="20"/>
                <w:szCs w:val="20"/>
              </w:rPr>
            </w:pPr>
            <w:r>
              <w:rPr>
                <w:rFonts w:ascii="Times New Roman" w:hAnsi="Times New Roman" w:eastAsia="Times New Roman" w:cs="Times New Roman"/>
                <w:spacing w:val="5"/>
                <w:position w:val="1"/>
                <w:sz w:val="20"/>
                <w:szCs w:val="20"/>
              </w:rPr>
              <w:t>70</w:t>
            </w:r>
            <w:r>
              <w:rPr>
                <w:rFonts w:ascii="Times New Roman" w:hAnsi="Times New Roman" w:eastAsia="Times New Roman" w:cs="Times New Roman"/>
                <w:position w:val="1"/>
                <w:sz w:val="20"/>
                <w:szCs w:val="20"/>
              </w:rPr>
              <w:t>dB</w:t>
            </w:r>
            <w:r>
              <w:rPr>
                <w:rFonts w:ascii="Times New Roman" w:hAnsi="Times New Roman" w:eastAsia="Times New Roman" w:cs="Times New Roman"/>
                <w:spacing w:val="5"/>
                <w:position w:val="1"/>
                <w:sz w:val="20"/>
                <w:szCs w:val="20"/>
              </w:rPr>
              <w:t xml:space="preserve">  </w:t>
            </w:r>
            <w:r>
              <w:rPr>
                <w:rFonts w:ascii="宋体" w:hAnsi="宋体" w:eastAsia="宋体" w:cs="宋体"/>
                <w:spacing w:val="5"/>
                <w:position w:val="1"/>
                <w:sz w:val="20"/>
                <w:szCs w:val="20"/>
              </w:rPr>
              <w:t>(</w:t>
            </w:r>
            <w:r>
              <w:rPr>
                <w:rFonts w:ascii="Times New Roman" w:hAnsi="Times New Roman" w:eastAsia="Times New Roman" w:cs="Times New Roman"/>
                <w:position w:val="1"/>
                <w:sz w:val="20"/>
                <w:szCs w:val="20"/>
              </w:rPr>
              <w:t>A</w:t>
            </w:r>
            <w:r>
              <w:rPr>
                <w:rFonts w:ascii="宋体" w:hAnsi="宋体" w:eastAsia="宋体" w:cs="宋体"/>
                <w:spacing w:val="5"/>
                <w:position w:val="1"/>
                <w:sz w:val="20"/>
                <w:szCs w:val="20"/>
              </w:rPr>
              <w:t>)</w:t>
            </w:r>
          </w:p>
        </w:tc>
        <w:tc>
          <w:tcPr>
            <w:tcW w:w="2949" w:type="dxa"/>
            <w:gridSpan w:val="2"/>
            <w:tcBorders>
              <w:right w:val="nil"/>
            </w:tcBorders>
            <w:vAlign w:val="top"/>
          </w:tcPr>
          <w:p w14:paraId="7DB6749E">
            <w:pPr>
              <w:spacing w:before="18" w:line="281" w:lineRule="exact"/>
              <w:ind w:left="144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512422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3" w:type="dxa"/>
            <w:vMerge w:val="continue"/>
            <w:tcBorders>
              <w:top w:val="nil"/>
              <w:left w:val="nil"/>
              <w:bottom w:val="nil"/>
            </w:tcBorders>
            <w:vAlign w:val="top"/>
          </w:tcPr>
          <w:p w14:paraId="48092760">
            <w:pPr>
              <w:rPr>
                <w:rFonts w:ascii="Arial"/>
                <w:sz w:val="21"/>
              </w:rPr>
            </w:pPr>
          </w:p>
        </w:tc>
        <w:tc>
          <w:tcPr>
            <w:tcW w:w="269" w:type="dxa"/>
            <w:vMerge w:val="continue"/>
            <w:tcBorders>
              <w:top w:val="nil"/>
              <w:bottom w:val="nil"/>
            </w:tcBorders>
            <w:textDirection w:val="tbRlV"/>
            <w:vAlign w:val="top"/>
          </w:tcPr>
          <w:p w14:paraId="4517C859">
            <w:pPr>
              <w:rPr>
                <w:rFonts w:ascii="Arial"/>
                <w:sz w:val="21"/>
              </w:rPr>
            </w:pPr>
          </w:p>
        </w:tc>
        <w:tc>
          <w:tcPr>
            <w:tcW w:w="1705" w:type="dxa"/>
            <w:vAlign w:val="top"/>
          </w:tcPr>
          <w:p w14:paraId="611078CB">
            <w:pPr>
              <w:spacing w:before="55" w:line="227" w:lineRule="auto"/>
              <w:ind w:left="332"/>
              <w:rPr>
                <w:rFonts w:ascii="宋体" w:hAnsi="宋体" w:eastAsia="宋体" w:cs="宋体"/>
                <w:sz w:val="20"/>
                <w:szCs w:val="20"/>
              </w:rPr>
            </w:pPr>
            <w:r>
              <w:rPr>
                <w:rFonts w:ascii="宋体" w:hAnsi="宋体" w:eastAsia="宋体" w:cs="宋体"/>
                <w:spacing w:val="8"/>
                <w:sz w:val="20"/>
                <w:szCs w:val="20"/>
              </w:rPr>
              <w:t>立式脱水机</w:t>
            </w:r>
          </w:p>
        </w:tc>
        <w:tc>
          <w:tcPr>
            <w:tcW w:w="2939" w:type="dxa"/>
            <w:gridSpan w:val="2"/>
            <w:vAlign w:val="top"/>
          </w:tcPr>
          <w:p w14:paraId="31A3FB7E">
            <w:pPr>
              <w:spacing w:before="17" w:line="281" w:lineRule="exact"/>
              <w:ind w:left="962"/>
              <w:rPr>
                <w:rFonts w:ascii="宋体" w:hAnsi="宋体" w:eastAsia="宋体" w:cs="宋体"/>
                <w:sz w:val="20"/>
                <w:szCs w:val="20"/>
              </w:rPr>
            </w:pPr>
            <w:r>
              <w:rPr>
                <w:rFonts w:ascii="Times New Roman" w:hAnsi="Times New Roman" w:eastAsia="Times New Roman" w:cs="Times New Roman"/>
                <w:spacing w:val="5"/>
                <w:position w:val="1"/>
                <w:sz w:val="20"/>
                <w:szCs w:val="20"/>
              </w:rPr>
              <w:t>75</w:t>
            </w:r>
            <w:r>
              <w:rPr>
                <w:rFonts w:ascii="Times New Roman" w:hAnsi="Times New Roman" w:eastAsia="Times New Roman" w:cs="Times New Roman"/>
                <w:position w:val="1"/>
                <w:sz w:val="20"/>
                <w:szCs w:val="20"/>
              </w:rPr>
              <w:t>dB</w:t>
            </w:r>
            <w:r>
              <w:rPr>
                <w:rFonts w:ascii="Times New Roman" w:hAnsi="Times New Roman" w:eastAsia="Times New Roman" w:cs="Times New Roman"/>
                <w:spacing w:val="5"/>
                <w:position w:val="1"/>
                <w:sz w:val="20"/>
                <w:szCs w:val="20"/>
              </w:rPr>
              <w:t xml:space="preserve">  </w:t>
            </w:r>
            <w:r>
              <w:rPr>
                <w:rFonts w:ascii="宋体" w:hAnsi="宋体" w:eastAsia="宋体" w:cs="宋体"/>
                <w:spacing w:val="5"/>
                <w:position w:val="1"/>
                <w:sz w:val="20"/>
                <w:szCs w:val="20"/>
              </w:rPr>
              <w:t>(</w:t>
            </w:r>
            <w:r>
              <w:rPr>
                <w:rFonts w:ascii="Times New Roman" w:hAnsi="Times New Roman" w:eastAsia="Times New Roman" w:cs="Times New Roman"/>
                <w:position w:val="1"/>
                <w:sz w:val="20"/>
                <w:szCs w:val="20"/>
              </w:rPr>
              <w:t>A</w:t>
            </w:r>
            <w:r>
              <w:rPr>
                <w:rFonts w:ascii="宋体" w:hAnsi="宋体" w:eastAsia="宋体" w:cs="宋体"/>
                <w:spacing w:val="5"/>
                <w:position w:val="1"/>
                <w:sz w:val="20"/>
                <w:szCs w:val="20"/>
              </w:rPr>
              <w:t>)</w:t>
            </w:r>
          </w:p>
        </w:tc>
        <w:tc>
          <w:tcPr>
            <w:tcW w:w="2949" w:type="dxa"/>
            <w:gridSpan w:val="2"/>
            <w:tcBorders>
              <w:right w:val="nil"/>
            </w:tcBorders>
            <w:vAlign w:val="top"/>
          </w:tcPr>
          <w:p w14:paraId="0361F33F">
            <w:pPr>
              <w:spacing w:before="17" w:line="281" w:lineRule="exact"/>
              <w:ind w:left="144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63858C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3" w:type="dxa"/>
            <w:vMerge w:val="continue"/>
            <w:tcBorders>
              <w:top w:val="nil"/>
              <w:left w:val="nil"/>
              <w:bottom w:val="nil"/>
            </w:tcBorders>
            <w:vAlign w:val="top"/>
          </w:tcPr>
          <w:p w14:paraId="637EB303">
            <w:pPr>
              <w:rPr>
                <w:rFonts w:ascii="Arial"/>
                <w:sz w:val="21"/>
              </w:rPr>
            </w:pPr>
          </w:p>
        </w:tc>
        <w:tc>
          <w:tcPr>
            <w:tcW w:w="269" w:type="dxa"/>
            <w:vMerge w:val="continue"/>
            <w:tcBorders>
              <w:top w:val="nil"/>
              <w:bottom w:val="nil"/>
            </w:tcBorders>
            <w:textDirection w:val="tbRlV"/>
            <w:vAlign w:val="top"/>
          </w:tcPr>
          <w:p w14:paraId="7A5D1D88">
            <w:pPr>
              <w:rPr>
                <w:rFonts w:ascii="Arial"/>
                <w:sz w:val="21"/>
              </w:rPr>
            </w:pPr>
          </w:p>
        </w:tc>
        <w:tc>
          <w:tcPr>
            <w:tcW w:w="1705" w:type="dxa"/>
            <w:vAlign w:val="top"/>
          </w:tcPr>
          <w:p w14:paraId="4A5174BB">
            <w:pPr>
              <w:spacing w:before="57" w:line="227" w:lineRule="auto"/>
              <w:ind w:left="541"/>
              <w:rPr>
                <w:rFonts w:ascii="宋体" w:hAnsi="宋体" w:eastAsia="宋体" w:cs="宋体"/>
                <w:sz w:val="20"/>
                <w:szCs w:val="20"/>
              </w:rPr>
            </w:pPr>
            <w:r>
              <w:rPr>
                <w:rFonts w:ascii="宋体" w:hAnsi="宋体" w:eastAsia="宋体" w:cs="宋体"/>
                <w:spacing w:val="7"/>
                <w:sz w:val="20"/>
                <w:szCs w:val="20"/>
              </w:rPr>
              <w:t>挤出</w:t>
            </w:r>
            <w:r>
              <w:rPr>
                <w:rFonts w:ascii="宋体" w:hAnsi="宋体" w:eastAsia="宋体" w:cs="宋体"/>
                <w:spacing w:val="6"/>
                <w:sz w:val="20"/>
                <w:szCs w:val="20"/>
              </w:rPr>
              <w:t>机</w:t>
            </w:r>
          </w:p>
        </w:tc>
        <w:tc>
          <w:tcPr>
            <w:tcW w:w="2939" w:type="dxa"/>
            <w:gridSpan w:val="2"/>
            <w:vAlign w:val="top"/>
          </w:tcPr>
          <w:p w14:paraId="2EF54700">
            <w:pPr>
              <w:spacing w:before="19" w:line="281" w:lineRule="exact"/>
              <w:ind w:left="962"/>
              <w:rPr>
                <w:rFonts w:ascii="宋体" w:hAnsi="宋体" w:eastAsia="宋体" w:cs="宋体"/>
                <w:sz w:val="20"/>
                <w:szCs w:val="20"/>
              </w:rPr>
            </w:pPr>
            <w:r>
              <w:rPr>
                <w:rFonts w:ascii="Times New Roman" w:hAnsi="Times New Roman" w:eastAsia="Times New Roman" w:cs="Times New Roman"/>
                <w:spacing w:val="5"/>
                <w:position w:val="1"/>
                <w:sz w:val="20"/>
                <w:szCs w:val="20"/>
              </w:rPr>
              <w:t>70</w:t>
            </w:r>
            <w:r>
              <w:rPr>
                <w:rFonts w:ascii="Times New Roman" w:hAnsi="Times New Roman" w:eastAsia="Times New Roman" w:cs="Times New Roman"/>
                <w:position w:val="1"/>
                <w:sz w:val="20"/>
                <w:szCs w:val="20"/>
              </w:rPr>
              <w:t>dB</w:t>
            </w:r>
            <w:r>
              <w:rPr>
                <w:rFonts w:ascii="Times New Roman" w:hAnsi="Times New Roman" w:eastAsia="Times New Roman" w:cs="Times New Roman"/>
                <w:spacing w:val="5"/>
                <w:position w:val="1"/>
                <w:sz w:val="20"/>
                <w:szCs w:val="20"/>
              </w:rPr>
              <w:t xml:space="preserve">  </w:t>
            </w:r>
            <w:r>
              <w:rPr>
                <w:rFonts w:ascii="宋体" w:hAnsi="宋体" w:eastAsia="宋体" w:cs="宋体"/>
                <w:spacing w:val="5"/>
                <w:position w:val="1"/>
                <w:sz w:val="20"/>
                <w:szCs w:val="20"/>
              </w:rPr>
              <w:t>(</w:t>
            </w:r>
            <w:r>
              <w:rPr>
                <w:rFonts w:ascii="Times New Roman" w:hAnsi="Times New Roman" w:eastAsia="Times New Roman" w:cs="Times New Roman"/>
                <w:position w:val="1"/>
                <w:sz w:val="20"/>
                <w:szCs w:val="20"/>
              </w:rPr>
              <w:t>A</w:t>
            </w:r>
            <w:r>
              <w:rPr>
                <w:rFonts w:ascii="宋体" w:hAnsi="宋体" w:eastAsia="宋体" w:cs="宋体"/>
                <w:spacing w:val="5"/>
                <w:position w:val="1"/>
                <w:sz w:val="20"/>
                <w:szCs w:val="20"/>
              </w:rPr>
              <w:t>)</w:t>
            </w:r>
          </w:p>
        </w:tc>
        <w:tc>
          <w:tcPr>
            <w:tcW w:w="2949" w:type="dxa"/>
            <w:gridSpan w:val="2"/>
            <w:tcBorders>
              <w:right w:val="nil"/>
            </w:tcBorders>
            <w:vAlign w:val="top"/>
          </w:tcPr>
          <w:p w14:paraId="0223E760">
            <w:pPr>
              <w:spacing w:before="19" w:line="281" w:lineRule="exact"/>
              <w:ind w:left="144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281FF1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3" w:type="dxa"/>
            <w:vMerge w:val="continue"/>
            <w:tcBorders>
              <w:top w:val="nil"/>
              <w:left w:val="nil"/>
              <w:bottom w:val="nil"/>
            </w:tcBorders>
            <w:vAlign w:val="top"/>
          </w:tcPr>
          <w:p w14:paraId="1CE5503E">
            <w:pPr>
              <w:rPr>
                <w:rFonts w:ascii="Arial"/>
                <w:sz w:val="21"/>
              </w:rPr>
            </w:pPr>
          </w:p>
        </w:tc>
        <w:tc>
          <w:tcPr>
            <w:tcW w:w="269" w:type="dxa"/>
            <w:vMerge w:val="continue"/>
            <w:tcBorders>
              <w:top w:val="nil"/>
              <w:bottom w:val="nil"/>
            </w:tcBorders>
            <w:textDirection w:val="tbRlV"/>
            <w:vAlign w:val="top"/>
          </w:tcPr>
          <w:p w14:paraId="647E2553">
            <w:pPr>
              <w:rPr>
                <w:rFonts w:ascii="Arial"/>
                <w:sz w:val="21"/>
              </w:rPr>
            </w:pPr>
          </w:p>
        </w:tc>
        <w:tc>
          <w:tcPr>
            <w:tcW w:w="1705" w:type="dxa"/>
            <w:vAlign w:val="top"/>
          </w:tcPr>
          <w:p w14:paraId="680C083F">
            <w:pPr>
              <w:spacing w:before="56" w:line="227" w:lineRule="auto"/>
              <w:ind w:left="543"/>
              <w:rPr>
                <w:rFonts w:ascii="宋体" w:hAnsi="宋体" w:eastAsia="宋体" w:cs="宋体"/>
                <w:sz w:val="20"/>
                <w:szCs w:val="20"/>
              </w:rPr>
            </w:pPr>
            <w:r>
              <w:rPr>
                <w:rFonts w:ascii="宋体" w:hAnsi="宋体" w:eastAsia="宋体" w:cs="宋体"/>
                <w:spacing w:val="7"/>
                <w:sz w:val="20"/>
                <w:szCs w:val="20"/>
              </w:rPr>
              <w:t>拉</w:t>
            </w:r>
            <w:r>
              <w:rPr>
                <w:rFonts w:ascii="宋体" w:hAnsi="宋体" w:eastAsia="宋体" w:cs="宋体"/>
                <w:spacing w:val="6"/>
                <w:sz w:val="20"/>
                <w:szCs w:val="20"/>
              </w:rPr>
              <w:t>丝机</w:t>
            </w:r>
          </w:p>
        </w:tc>
        <w:tc>
          <w:tcPr>
            <w:tcW w:w="2939" w:type="dxa"/>
            <w:gridSpan w:val="2"/>
            <w:vAlign w:val="top"/>
          </w:tcPr>
          <w:p w14:paraId="6B8955B3">
            <w:pPr>
              <w:spacing w:before="19" w:line="281" w:lineRule="exact"/>
              <w:ind w:left="962"/>
              <w:rPr>
                <w:rFonts w:ascii="宋体" w:hAnsi="宋体" w:eastAsia="宋体" w:cs="宋体"/>
                <w:sz w:val="20"/>
                <w:szCs w:val="20"/>
              </w:rPr>
            </w:pPr>
            <w:r>
              <w:rPr>
                <w:rFonts w:ascii="Times New Roman" w:hAnsi="Times New Roman" w:eastAsia="Times New Roman" w:cs="Times New Roman"/>
                <w:spacing w:val="5"/>
                <w:position w:val="1"/>
                <w:sz w:val="20"/>
                <w:szCs w:val="20"/>
              </w:rPr>
              <w:t>70</w:t>
            </w:r>
            <w:r>
              <w:rPr>
                <w:rFonts w:ascii="Times New Roman" w:hAnsi="Times New Roman" w:eastAsia="Times New Roman" w:cs="Times New Roman"/>
                <w:position w:val="1"/>
                <w:sz w:val="20"/>
                <w:szCs w:val="20"/>
              </w:rPr>
              <w:t>dB</w:t>
            </w:r>
            <w:r>
              <w:rPr>
                <w:rFonts w:ascii="Times New Roman" w:hAnsi="Times New Roman" w:eastAsia="Times New Roman" w:cs="Times New Roman"/>
                <w:spacing w:val="5"/>
                <w:position w:val="1"/>
                <w:sz w:val="20"/>
                <w:szCs w:val="20"/>
              </w:rPr>
              <w:t xml:space="preserve">  </w:t>
            </w:r>
            <w:r>
              <w:rPr>
                <w:rFonts w:ascii="宋体" w:hAnsi="宋体" w:eastAsia="宋体" w:cs="宋体"/>
                <w:spacing w:val="5"/>
                <w:position w:val="1"/>
                <w:sz w:val="20"/>
                <w:szCs w:val="20"/>
              </w:rPr>
              <w:t>(</w:t>
            </w:r>
            <w:r>
              <w:rPr>
                <w:rFonts w:ascii="Times New Roman" w:hAnsi="Times New Roman" w:eastAsia="Times New Roman" w:cs="Times New Roman"/>
                <w:position w:val="1"/>
                <w:sz w:val="20"/>
                <w:szCs w:val="20"/>
              </w:rPr>
              <w:t>A</w:t>
            </w:r>
            <w:r>
              <w:rPr>
                <w:rFonts w:ascii="宋体" w:hAnsi="宋体" w:eastAsia="宋体" w:cs="宋体"/>
                <w:spacing w:val="5"/>
                <w:position w:val="1"/>
                <w:sz w:val="20"/>
                <w:szCs w:val="20"/>
              </w:rPr>
              <w:t>)</w:t>
            </w:r>
          </w:p>
        </w:tc>
        <w:tc>
          <w:tcPr>
            <w:tcW w:w="2949" w:type="dxa"/>
            <w:gridSpan w:val="2"/>
            <w:tcBorders>
              <w:right w:val="nil"/>
            </w:tcBorders>
            <w:vAlign w:val="top"/>
          </w:tcPr>
          <w:p w14:paraId="17ED8B08">
            <w:pPr>
              <w:spacing w:before="19" w:line="281" w:lineRule="exact"/>
              <w:ind w:left="144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7EFB32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3" w:type="dxa"/>
            <w:vMerge w:val="continue"/>
            <w:tcBorders>
              <w:top w:val="nil"/>
              <w:left w:val="nil"/>
              <w:bottom w:val="nil"/>
            </w:tcBorders>
            <w:vAlign w:val="top"/>
          </w:tcPr>
          <w:p w14:paraId="6066067B">
            <w:pPr>
              <w:rPr>
                <w:rFonts w:ascii="Arial"/>
                <w:sz w:val="21"/>
              </w:rPr>
            </w:pPr>
          </w:p>
        </w:tc>
        <w:tc>
          <w:tcPr>
            <w:tcW w:w="269" w:type="dxa"/>
            <w:vMerge w:val="continue"/>
            <w:tcBorders>
              <w:top w:val="nil"/>
              <w:bottom w:val="nil"/>
            </w:tcBorders>
            <w:textDirection w:val="tbRlV"/>
            <w:vAlign w:val="top"/>
          </w:tcPr>
          <w:p w14:paraId="591AA3E2">
            <w:pPr>
              <w:rPr>
                <w:rFonts w:ascii="Arial"/>
                <w:sz w:val="21"/>
              </w:rPr>
            </w:pPr>
          </w:p>
        </w:tc>
        <w:tc>
          <w:tcPr>
            <w:tcW w:w="1705" w:type="dxa"/>
            <w:vAlign w:val="top"/>
          </w:tcPr>
          <w:p w14:paraId="384DEBBA">
            <w:pPr>
              <w:spacing w:before="56" w:line="227" w:lineRule="auto"/>
              <w:ind w:left="540"/>
              <w:rPr>
                <w:rFonts w:ascii="宋体" w:hAnsi="宋体" w:eastAsia="宋体" w:cs="宋体"/>
                <w:sz w:val="20"/>
                <w:szCs w:val="20"/>
              </w:rPr>
            </w:pPr>
            <w:r>
              <w:rPr>
                <w:rFonts w:ascii="宋体" w:hAnsi="宋体" w:eastAsia="宋体" w:cs="宋体"/>
                <w:spacing w:val="7"/>
                <w:sz w:val="20"/>
                <w:szCs w:val="20"/>
              </w:rPr>
              <w:t>切粒机</w:t>
            </w:r>
          </w:p>
        </w:tc>
        <w:tc>
          <w:tcPr>
            <w:tcW w:w="2939" w:type="dxa"/>
            <w:gridSpan w:val="2"/>
            <w:vAlign w:val="top"/>
          </w:tcPr>
          <w:p w14:paraId="70F53F99">
            <w:pPr>
              <w:spacing w:before="18" w:line="281" w:lineRule="exact"/>
              <w:ind w:left="962"/>
              <w:rPr>
                <w:rFonts w:ascii="宋体" w:hAnsi="宋体" w:eastAsia="宋体" w:cs="宋体"/>
                <w:sz w:val="20"/>
                <w:szCs w:val="20"/>
              </w:rPr>
            </w:pPr>
            <w:r>
              <w:rPr>
                <w:rFonts w:ascii="Times New Roman" w:hAnsi="Times New Roman" w:eastAsia="Times New Roman" w:cs="Times New Roman"/>
                <w:spacing w:val="5"/>
                <w:position w:val="1"/>
                <w:sz w:val="20"/>
                <w:szCs w:val="20"/>
              </w:rPr>
              <w:t>75</w:t>
            </w:r>
            <w:r>
              <w:rPr>
                <w:rFonts w:ascii="Times New Roman" w:hAnsi="Times New Roman" w:eastAsia="Times New Roman" w:cs="Times New Roman"/>
                <w:position w:val="1"/>
                <w:sz w:val="20"/>
                <w:szCs w:val="20"/>
              </w:rPr>
              <w:t>dB</w:t>
            </w:r>
            <w:r>
              <w:rPr>
                <w:rFonts w:ascii="Times New Roman" w:hAnsi="Times New Roman" w:eastAsia="Times New Roman" w:cs="Times New Roman"/>
                <w:spacing w:val="5"/>
                <w:position w:val="1"/>
                <w:sz w:val="20"/>
                <w:szCs w:val="20"/>
              </w:rPr>
              <w:t xml:space="preserve">  </w:t>
            </w:r>
            <w:r>
              <w:rPr>
                <w:rFonts w:ascii="宋体" w:hAnsi="宋体" w:eastAsia="宋体" w:cs="宋体"/>
                <w:spacing w:val="5"/>
                <w:position w:val="1"/>
                <w:sz w:val="20"/>
                <w:szCs w:val="20"/>
              </w:rPr>
              <w:t>(</w:t>
            </w:r>
            <w:r>
              <w:rPr>
                <w:rFonts w:ascii="Times New Roman" w:hAnsi="Times New Roman" w:eastAsia="Times New Roman" w:cs="Times New Roman"/>
                <w:position w:val="1"/>
                <w:sz w:val="20"/>
                <w:szCs w:val="20"/>
              </w:rPr>
              <w:t>A</w:t>
            </w:r>
            <w:r>
              <w:rPr>
                <w:rFonts w:ascii="宋体" w:hAnsi="宋体" w:eastAsia="宋体" w:cs="宋体"/>
                <w:spacing w:val="5"/>
                <w:position w:val="1"/>
                <w:sz w:val="20"/>
                <w:szCs w:val="20"/>
              </w:rPr>
              <w:t>)</w:t>
            </w:r>
          </w:p>
        </w:tc>
        <w:tc>
          <w:tcPr>
            <w:tcW w:w="2949" w:type="dxa"/>
            <w:gridSpan w:val="2"/>
            <w:tcBorders>
              <w:right w:val="nil"/>
            </w:tcBorders>
            <w:vAlign w:val="top"/>
          </w:tcPr>
          <w:p w14:paraId="4886744B">
            <w:pPr>
              <w:spacing w:before="18" w:line="281" w:lineRule="exact"/>
              <w:ind w:left="144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4B9F27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443" w:type="dxa"/>
            <w:vMerge w:val="continue"/>
            <w:tcBorders>
              <w:top w:val="nil"/>
              <w:left w:val="nil"/>
            </w:tcBorders>
            <w:vAlign w:val="top"/>
          </w:tcPr>
          <w:p w14:paraId="1B520572">
            <w:pPr>
              <w:rPr>
                <w:rFonts w:ascii="Arial"/>
                <w:sz w:val="21"/>
              </w:rPr>
            </w:pPr>
          </w:p>
        </w:tc>
        <w:tc>
          <w:tcPr>
            <w:tcW w:w="269" w:type="dxa"/>
            <w:vMerge w:val="continue"/>
            <w:tcBorders>
              <w:top w:val="nil"/>
            </w:tcBorders>
            <w:textDirection w:val="tbRlV"/>
            <w:vAlign w:val="top"/>
          </w:tcPr>
          <w:p w14:paraId="2016C3A0">
            <w:pPr>
              <w:rPr>
                <w:rFonts w:ascii="Arial"/>
                <w:sz w:val="21"/>
              </w:rPr>
            </w:pPr>
          </w:p>
        </w:tc>
        <w:tc>
          <w:tcPr>
            <w:tcW w:w="1705" w:type="dxa"/>
            <w:vAlign w:val="top"/>
          </w:tcPr>
          <w:p w14:paraId="321C8D4A">
            <w:pPr>
              <w:spacing w:before="55" w:line="227" w:lineRule="auto"/>
              <w:ind w:left="648"/>
              <w:rPr>
                <w:rFonts w:ascii="宋体" w:hAnsi="宋体" w:eastAsia="宋体" w:cs="宋体"/>
                <w:sz w:val="20"/>
                <w:szCs w:val="20"/>
              </w:rPr>
            </w:pPr>
            <w:r>
              <w:rPr>
                <w:rFonts w:ascii="宋体" w:hAnsi="宋体" w:eastAsia="宋体" w:cs="宋体"/>
                <w:spacing w:val="4"/>
                <w:sz w:val="20"/>
                <w:szCs w:val="20"/>
              </w:rPr>
              <w:t>风机</w:t>
            </w:r>
          </w:p>
        </w:tc>
        <w:tc>
          <w:tcPr>
            <w:tcW w:w="2939" w:type="dxa"/>
            <w:gridSpan w:val="2"/>
            <w:vAlign w:val="top"/>
          </w:tcPr>
          <w:p w14:paraId="2322DD4E">
            <w:pPr>
              <w:spacing w:before="18" w:line="281" w:lineRule="exact"/>
              <w:ind w:left="962"/>
              <w:rPr>
                <w:rFonts w:ascii="宋体" w:hAnsi="宋体" w:eastAsia="宋体" w:cs="宋体"/>
                <w:sz w:val="20"/>
                <w:szCs w:val="20"/>
              </w:rPr>
            </w:pPr>
            <w:r>
              <w:rPr>
                <w:rFonts w:ascii="Times New Roman" w:hAnsi="Times New Roman" w:eastAsia="Times New Roman" w:cs="Times New Roman"/>
                <w:spacing w:val="5"/>
                <w:position w:val="1"/>
                <w:sz w:val="20"/>
                <w:szCs w:val="20"/>
              </w:rPr>
              <w:t>75</w:t>
            </w:r>
            <w:r>
              <w:rPr>
                <w:rFonts w:ascii="Times New Roman" w:hAnsi="Times New Roman" w:eastAsia="Times New Roman" w:cs="Times New Roman"/>
                <w:position w:val="1"/>
                <w:sz w:val="20"/>
                <w:szCs w:val="20"/>
              </w:rPr>
              <w:t>dB</w:t>
            </w:r>
            <w:r>
              <w:rPr>
                <w:rFonts w:ascii="Times New Roman" w:hAnsi="Times New Roman" w:eastAsia="Times New Roman" w:cs="Times New Roman"/>
                <w:spacing w:val="5"/>
                <w:position w:val="1"/>
                <w:sz w:val="20"/>
                <w:szCs w:val="20"/>
              </w:rPr>
              <w:t xml:space="preserve">  </w:t>
            </w:r>
            <w:r>
              <w:rPr>
                <w:rFonts w:ascii="宋体" w:hAnsi="宋体" w:eastAsia="宋体" w:cs="宋体"/>
                <w:spacing w:val="5"/>
                <w:position w:val="1"/>
                <w:sz w:val="20"/>
                <w:szCs w:val="20"/>
              </w:rPr>
              <w:t>(</w:t>
            </w:r>
            <w:r>
              <w:rPr>
                <w:rFonts w:ascii="Times New Roman" w:hAnsi="Times New Roman" w:eastAsia="Times New Roman" w:cs="Times New Roman"/>
                <w:position w:val="1"/>
                <w:sz w:val="20"/>
                <w:szCs w:val="20"/>
              </w:rPr>
              <w:t>A</w:t>
            </w:r>
            <w:r>
              <w:rPr>
                <w:rFonts w:ascii="宋体" w:hAnsi="宋体" w:eastAsia="宋体" w:cs="宋体"/>
                <w:spacing w:val="5"/>
                <w:position w:val="1"/>
                <w:sz w:val="20"/>
                <w:szCs w:val="20"/>
              </w:rPr>
              <w:t>)</w:t>
            </w:r>
          </w:p>
        </w:tc>
        <w:tc>
          <w:tcPr>
            <w:tcW w:w="2949" w:type="dxa"/>
            <w:gridSpan w:val="2"/>
            <w:tcBorders>
              <w:right w:val="nil"/>
            </w:tcBorders>
            <w:vAlign w:val="top"/>
          </w:tcPr>
          <w:p w14:paraId="76FC7665">
            <w:pPr>
              <w:spacing w:before="18" w:line="281" w:lineRule="exact"/>
              <w:ind w:left="144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bl>
    <w:p w14:paraId="063BFED0">
      <w:pPr>
        <w:rPr>
          <w:rFonts w:ascii="Arial"/>
          <w:sz w:val="21"/>
        </w:rPr>
      </w:pPr>
    </w:p>
    <w:p w14:paraId="1E226D4D">
      <w:pPr>
        <w:sectPr>
          <w:footerReference r:id="rId145" w:type="default"/>
          <w:pgSz w:w="11906" w:h="16839"/>
          <w:pgMar w:top="1132" w:right="1691" w:bottom="1182" w:left="1691" w:header="878" w:footer="1022" w:gutter="0"/>
          <w:cols w:space="720" w:num="1"/>
        </w:sectPr>
      </w:pPr>
    </w:p>
    <w:p w14:paraId="48E69673">
      <w:r>
        <w:pict>
          <v:rect id="_x0000_s1207" o:spid="_x0000_s1207" o:spt="1" style="position:absolute;left:0pt;margin-left:90pt;margin-top:57.35pt;height:0.75pt;width:415.3pt;mso-position-horizontal-relative:page;mso-position-vertical-relative:page;z-index:251858944;mso-width-relative:page;mso-height-relative:page;" fillcolor="#000000" filled="t" stroked="f" coordsize="21600,21600" o:allowincell="f">
            <v:path/>
            <v:fill on="t" focussize="0,0"/>
            <v:stroke on="f"/>
            <v:imagedata o:title=""/>
            <o:lock v:ext="edit"/>
          </v:rect>
        </w:pict>
      </w:r>
    </w:p>
    <w:p w14:paraId="56F8934A">
      <w:pPr>
        <w:spacing w:line="65" w:lineRule="exact"/>
      </w:pPr>
    </w:p>
    <w:tbl>
      <w:tblPr>
        <w:tblStyle w:val="4"/>
        <w:tblW w:w="8306"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3"/>
        <w:gridCol w:w="269"/>
        <w:gridCol w:w="1705"/>
        <w:gridCol w:w="1579"/>
        <w:gridCol w:w="1361"/>
        <w:gridCol w:w="1530"/>
        <w:gridCol w:w="1419"/>
      </w:tblGrid>
      <w:tr w14:paraId="1E13F0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443" w:type="dxa"/>
            <w:tcBorders>
              <w:left w:val="nil"/>
            </w:tcBorders>
            <w:vAlign w:val="top"/>
          </w:tcPr>
          <w:p w14:paraId="77A49326">
            <w:pPr>
              <w:rPr>
                <w:rFonts w:ascii="Arial"/>
                <w:sz w:val="21"/>
              </w:rPr>
            </w:pPr>
          </w:p>
        </w:tc>
        <w:tc>
          <w:tcPr>
            <w:tcW w:w="269" w:type="dxa"/>
            <w:vAlign w:val="top"/>
          </w:tcPr>
          <w:p w14:paraId="754CF834">
            <w:pPr>
              <w:rPr>
                <w:rFonts w:ascii="Arial"/>
                <w:sz w:val="21"/>
              </w:rPr>
            </w:pPr>
          </w:p>
        </w:tc>
        <w:tc>
          <w:tcPr>
            <w:tcW w:w="1705" w:type="dxa"/>
            <w:vAlign w:val="top"/>
          </w:tcPr>
          <w:p w14:paraId="0D752662">
            <w:pPr>
              <w:spacing w:before="75" w:line="228" w:lineRule="auto"/>
              <w:ind w:left="438"/>
              <w:rPr>
                <w:rFonts w:ascii="宋体" w:hAnsi="宋体" w:eastAsia="宋体" w:cs="宋体"/>
                <w:sz w:val="20"/>
                <w:szCs w:val="20"/>
              </w:rPr>
            </w:pPr>
            <w:r>
              <w:rPr>
                <w:rFonts w:ascii="宋体" w:hAnsi="宋体" w:eastAsia="宋体" w:cs="宋体"/>
                <w:spacing w:val="8"/>
                <w:sz w:val="20"/>
                <w:szCs w:val="20"/>
              </w:rPr>
              <w:t>循</w:t>
            </w:r>
            <w:r>
              <w:rPr>
                <w:rFonts w:ascii="宋体" w:hAnsi="宋体" w:eastAsia="宋体" w:cs="宋体"/>
                <w:spacing w:val="7"/>
                <w:sz w:val="20"/>
                <w:szCs w:val="20"/>
              </w:rPr>
              <w:t>环水泵</w:t>
            </w:r>
          </w:p>
        </w:tc>
        <w:tc>
          <w:tcPr>
            <w:tcW w:w="2940" w:type="dxa"/>
            <w:gridSpan w:val="2"/>
            <w:vAlign w:val="top"/>
          </w:tcPr>
          <w:p w14:paraId="6542D9F5">
            <w:pPr>
              <w:spacing w:before="38" w:line="281" w:lineRule="exact"/>
              <w:ind w:left="967"/>
              <w:rPr>
                <w:rFonts w:ascii="宋体" w:hAnsi="宋体" w:eastAsia="宋体" w:cs="宋体"/>
                <w:sz w:val="20"/>
                <w:szCs w:val="20"/>
              </w:rPr>
            </w:pPr>
            <w:r>
              <w:rPr>
                <w:rFonts w:ascii="Times New Roman" w:hAnsi="Times New Roman" w:eastAsia="Times New Roman" w:cs="Times New Roman"/>
                <w:spacing w:val="5"/>
                <w:position w:val="1"/>
                <w:sz w:val="20"/>
                <w:szCs w:val="20"/>
              </w:rPr>
              <w:t>8</w:t>
            </w:r>
            <w:r>
              <w:rPr>
                <w:rFonts w:ascii="Times New Roman" w:hAnsi="Times New Roman" w:eastAsia="Times New Roman" w:cs="Times New Roman"/>
                <w:spacing w:val="4"/>
                <w:position w:val="1"/>
                <w:sz w:val="20"/>
                <w:szCs w:val="20"/>
              </w:rPr>
              <w:t>0</w:t>
            </w:r>
            <w:r>
              <w:rPr>
                <w:rFonts w:ascii="Times New Roman" w:hAnsi="Times New Roman" w:eastAsia="Times New Roman" w:cs="Times New Roman"/>
                <w:position w:val="1"/>
                <w:sz w:val="20"/>
                <w:szCs w:val="20"/>
              </w:rPr>
              <w:t>dB</w:t>
            </w:r>
            <w:r>
              <w:rPr>
                <w:rFonts w:ascii="Times New Roman" w:hAnsi="Times New Roman" w:eastAsia="Times New Roman" w:cs="Times New Roman"/>
                <w:spacing w:val="4"/>
                <w:position w:val="1"/>
                <w:sz w:val="20"/>
                <w:szCs w:val="20"/>
              </w:rPr>
              <w:t xml:space="preserve">  </w:t>
            </w:r>
            <w:r>
              <w:rPr>
                <w:rFonts w:ascii="宋体" w:hAnsi="宋体" w:eastAsia="宋体" w:cs="宋体"/>
                <w:spacing w:val="4"/>
                <w:position w:val="1"/>
                <w:sz w:val="20"/>
                <w:szCs w:val="20"/>
              </w:rPr>
              <w:t>(</w:t>
            </w:r>
            <w:r>
              <w:rPr>
                <w:rFonts w:ascii="Times New Roman" w:hAnsi="Times New Roman" w:eastAsia="Times New Roman" w:cs="Times New Roman"/>
                <w:position w:val="1"/>
                <w:sz w:val="20"/>
                <w:szCs w:val="20"/>
              </w:rPr>
              <w:t>A</w:t>
            </w:r>
            <w:r>
              <w:rPr>
                <w:rFonts w:ascii="宋体" w:hAnsi="宋体" w:eastAsia="宋体" w:cs="宋体"/>
                <w:spacing w:val="4"/>
                <w:position w:val="1"/>
                <w:sz w:val="20"/>
                <w:szCs w:val="20"/>
              </w:rPr>
              <w:t>)</w:t>
            </w:r>
          </w:p>
        </w:tc>
        <w:tc>
          <w:tcPr>
            <w:tcW w:w="2949" w:type="dxa"/>
            <w:gridSpan w:val="2"/>
            <w:tcBorders>
              <w:right w:val="nil"/>
            </w:tcBorders>
            <w:vAlign w:val="top"/>
          </w:tcPr>
          <w:p w14:paraId="790D0127">
            <w:pPr>
              <w:spacing w:before="38" w:line="281" w:lineRule="exact"/>
              <w:ind w:left="144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1CB12A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443" w:type="dxa"/>
            <w:vMerge w:val="restart"/>
            <w:tcBorders>
              <w:left w:val="nil"/>
              <w:bottom w:val="nil"/>
            </w:tcBorders>
            <w:vAlign w:val="top"/>
          </w:tcPr>
          <w:p w14:paraId="7A54C447">
            <w:pPr>
              <w:spacing w:line="287" w:lineRule="auto"/>
              <w:rPr>
                <w:rFonts w:ascii="Arial"/>
                <w:sz w:val="21"/>
              </w:rPr>
            </w:pPr>
          </w:p>
          <w:p w14:paraId="7CD1C4B0">
            <w:pPr>
              <w:spacing w:line="287" w:lineRule="auto"/>
              <w:rPr>
                <w:rFonts w:ascii="Arial"/>
                <w:sz w:val="21"/>
              </w:rPr>
            </w:pPr>
          </w:p>
          <w:p w14:paraId="3DE2E846">
            <w:pPr>
              <w:spacing w:line="288" w:lineRule="auto"/>
              <w:rPr>
                <w:rFonts w:ascii="Arial"/>
                <w:sz w:val="21"/>
              </w:rPr>
            </w:pPr>
          </w:p>
          <w:p w14:paraId="7825B56A">
            <w:pPr>
              <w:spacing w:line="288" w:lineRule="auto"/>
              <w:rPr>
                <w:rFonts w:ascii="Arial"/>
                <w:sz w:val="21"/>
              </w:rPr>
            </w:pPr>
          </w:p>
          <w:p w14:paraId="3F605CCC">
            <w:pPr>
              <w:spacing w:before="58" w:line="195" w:lineRule="auto"/>
              <w:ind w:left="17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269" w:type="dxa"/>
            <w:vMerge w:val="restart"/>
            <w:tcBorders>
              <w:bottom w:val="nil"/>
            </w:tcBorders>
            <w:textDirection w:val="tbRlV"/>
            <w:vAlign w:val="top"/>
          </w:tcPr>
          <w:p w14:paraId="274B5D35">
            <w:pPr>
              <w:spacing w:before="27" w:line="217" w:lineRule="auto"/>
              <w:ind w:left="711"/>
              <w:rPr>
                <w:rFonts w:ascii="宋体" w:hAnsi="宋体" w:eastAsia="宋体" w:cs="宋体"/>
                <w:sz w:val="20"/>
                <w:szCs w:val="20"/>
              </w:rPr>
            </w:pPr>
            <w:r>
              <w:rPr>
                <w:rFonts w:ascii="宋体" w:hAnsi="宋体" w:eastAsia="宋体" w:cs="宋体"/>
                <w:spacing w:val="8"/>
                <w:sz w:val="20"/>
                <w:szCs w:val="20"/>
              </w:rPr>
              <w:t>固</w:t>
            </w:r>
            <w:r>
              <w:rPr>
                <w:rFonts w:ascii="宋体" w:hAnsi="宋体" w:eastAsia="宋体" w:cs="宋体"/>
                <w:spacing w:val="6"/>
                <w:sz w:val="20"/>
                <w:szCs w:val="20"/>
              </w:rPr>
              <w:t xml:space="preserve"> 体 废 物</w:t>
            </w:r>
          </w:p>
        </w:tc>
        <w:tc>
          <w:tcPr>
            <w:tcW w:w="1705" w:type="dxa"/>
            <w:vAlign w:val="top"/>
          </w:tcPr>
          <w:p w14:paraId="2A5499C1">
            <w:pPr>
              <w:spacing w:before="51" w:line="228" w:lineRule="auto"/>
              <w:ind w:left="440"/>
              <w:rPr>
                <w:rFonts w:ascii="宋体" w:hAnsi="宋体" w:eastAsia="宋体" w:cs="宋体"/>
                <w:sz w:val="20"/>
                <w:szCs w:val="20"/>
              </w:rPr>
            </w:pPr>
            <w:r>
              <w:rPr>
                <w:rFonts w:ascii="宋体" w:hAnsi="宋体" w:eastAsia="宋体" w:cs="宋体"/>
                <w:spacing w:val="7"/>
                <w:sz w:val="20"/>
                <w:szCs w:val="20"/>
              </w:rPr>
              <w:t>生活垃</w:t>
            </w:r>
            <w:r>
              <w:rPr>
                <w:rFonts w:ascii="宋体" w:hAnsi="宋体" w:eastAsia="宋体" w:cs="宋体"/>
                <w:spacing w:val="6"/>
                <w:sz w:val="20"/>
                <w:szCs w:val="20"/>
              </w:rPr>
              <w:t>圾</w:t>
            </w:r>
          </w:p>
        </w:tc>
        <w:tc>
          <w:tcPr>
            <w:tcW w:w="1579" w:type="dxa"/>
            <w:vAlign w:val="top"/>
          </w:tcPr>
          <w:p w14:paraId="490F0858">
            <w:pPr>
              <w:spacing w:before="13" w:line="281" w:lineRule="exact"/>
              <w:ind w:left="75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361" w:type="dxa"/>
            <w:vAlign w:val="top"/>
          </w:tcPr>
          <w:p w14:paraId="4DD843CD">
            <w:pPr>
              <w:spacing w:before="13" w:line="281" w:lineRule="exact"/>
              <w:ind w:left="49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w:t>
            </w:r>
            <w:r>
              <w:rPr>
                <w:rFonts w:ascii="Times New Roman" w:hAnsi="Times New Roman" w:eastAsia="Times New Roman" w:cs="Times New Roman"/>
                <w:spacing w:val="-1"/>
                <w:position w:val="2"/>
                <w:sz w:val="20"/>
                <w:szCs w:val="20"/>
              </w:rPr>
              <w:t>2t/a</w:t>
            </w:r>
          </w:p>
        </w:tc>
        <w:tc>
          <w:tcPr>
            <w:tcW w:w="1530" w:type="dxa"/>
            <w:vAlign w:val="top"/>
          </w:tcPr>
          <w:p w14:paraId="3D0E1CFA">
            <w:pPr>
              <w:spacing w:before="13" w:line="281" w:lineRule="exact"/>
              <w:ind w:left="734"/>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19" w:type="dxa"/>
            <w:tcBorders>
              <w:right w:val="nil"/>
            </w:tcBorders>
            <w:vAlign w:val="top"/>
          </w:tcPr>
          <w:p w14:paraId="28B95D73">
            <w:pPr>
              <w:spacing w:before="87" w:line="195" w:lineRule="auto"/>
              <w:ind w:left="66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A4132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3" w:type="dxa"/>
            <w:vMerge w:val="continue"/>
            <w:tcBorders>
              <w:top w:val="nil"/>
              <w:left w:val="nil"/>
              <w:bottom w:val="nil"/>
            </w:tcBorders>
            <w:vAlign w:val="top"/>
          </w:tcPr>
          <w:p w14:paraId="2AD12BFA">
            <w:pPr>
              <w:rPr>
                <w:rFonts w:ascii="Arial"/>
                <w:sz w:val="21"/>
              </w:rPr>
            </w:pPr>
          </w:p>
        </w:tc>
        <w:tc>
          <w:tcPr>
            <w:tcW w:w="269" w:type="dxa"/>
            <w:vMerge w:val="continue"/>
            <w:tcBorders>
              <w:top w:val="nil"/>
              <w:bottom w:val="nil"/>
            </w:tcBorders>
            <w:textDirection w:val="tbRlV"/>
            <w:vAlign w:val="top"/>
          </w:tcPr>
          <w:p w14:paraId="4F98841B">
            <w:pPr>
              <w:rPr>
                <w:rFonts w:ascii="Arial"/>
                <w:sz w:val="21"/>
              </w:rPr>
            </w:pPr>
          </w:p>
        </w:tc>
        <w:tc>
          <w:tcPr>
            <w:tcW w:w="1705" w:type="dxa"/>
            <w:vAlign w:val="top"/>
          </w:tcPr>
          <w:p w14:paraId="247E33A8">
            <w:pPr>
              <w:spacing w:before="53" w:line="228" w:lineRule="auto"/>
              <w:ind w:left="648"/>
              <w:rPr>
                <w:rFonts w:ascii="宋体" w:hAnsi="宋体" w:eastAsia="宋体" w:cs="宋体"/>
                <w:sz w:val="20"/>
                <w:szCs w:val="20"/>
              </w:rPr>
            </w:pPr>
            <w:r>
              <w:rPr>
                <w:rFonts w:ascii="宋体" w:hAnsi="宋体" w:eastAsia="宋体" w:cs="宋体"/>
                <w:spacing w:val="4"/>
                <w:sz w:val="20"/>
                <w:szCs w:val="20"/>
              </w:rPr>
              <w:t>杂</w:t>
            </w:r>
            <w:r>
              <w:rPr>
                <w:rFonts w:ascii="宋体" w:hAnsi="宋体" w:eastAsia="宋体" w:cs="宋体"/>
                <w:spacing w:val="3"/>
                <w:sz w:val="20"/>
                <w:szCs w:val="20"/>
              </w:rPr>
              <w:t>质</w:t>
            </w:r>
          </w:p>
        </w:tc>
        <w:tc>
          <w:tcPr>
            <w:tcW w:w="1579" w:type="dxa"/>
            <w:vAlign w:val="top"/>
          </w:tcPr>
          <w:p w14:paraId="7360AC55">
            <w:pPr>
              <w:spacing w:before="16" w:line="281" w:lineRule="exact"/>
              <w:ind w:left="75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361" w:type="dxa"/>
            <w:vAlign w:val="top"/>
          </w:tcPr>
          <w:p w14:paraId="1D2DD0F1">
            <w:pPr>
              <w:spacing w:before="16" w:line="281" w:lineRule="exact"/>
              <w:ind w:left="386"/>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102</w:t>
            </w:r>
            <w:r>
              <w:rPr>
                <w:rFonts w:ascii="Times New Roman" w:hAnsi="Times New Roman" w:eastAsia="Times New Roman" w:cs="Times New Roman"/>
                <w:position w:val="2"/>
                <w:sz w:val="20"/>
                <w:szCs w:val="20"/>
              </w:rPr>
              <w:t>2t/a</w:t>
            </w:r>
          </w:p>
        </w:tc>
        <w:tc>
          <w:tcPr>
            <w:tcW w:w="1530" w:type="dxa"/>
            <w:vAlign w:val="top"/>
          </w:tcPr>
          <w:p w14:paraId="0F6B584D">
            <w:pPr>
              <w:spacing w:before="16" w:line="281" w:lineRule="exact"/>
              <w:ind w:left="734"/>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19" w:type="dxa"/>
            <w:tcBorders>
              <w:right w:val="nil"/>
            </w:tcBorders>
            <w:vAlign w:val="top"/>
          </w:tcPr>
          <w:p w14:paraId="2FB9F654">
            <w:pPr>
              <w:spacing w:before="90" w:line="195" w:lineRule="auto"/>
              <w:ind w:left="66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57704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443" w:type="dxa"/>
            <w:vMerge w:val="continue"/>
            <w:tcBorders>
              <w:top w:val="nil"/>
              <w:left w:val="nil"/>
              <w:bottom w:val="nil"/>
            </w:tcBorders>
            <w:vAlign w:val="top"/>
          </w:tcPr>
          <w:p w14:paraId="1E111CA3">
            <w:pPr>
              <w:rPr>
                <w:rFonts w:ascii="Arial"/>
                <w:sz w:val="21"/>
              </w:rPr>
            </w:pPr>
          </w:p>
        </w:tc>
        <w:tc>
          <w:tcPr>
            <w:tcW w:w="269" w:type="dxa"/>
            <w:vMerge w:val="continue"/>
            <w:tcBorders>
              <w:top w:val="nil"/>
              <w:bottom w:val="nil"/>
            </w:tcBorders>
            <w:textDirection w:val="tbRlV"/>
            <w:vAlign w:val="top"/>
          </w:tcPr>
          <w:p w14:paraId="45962669">
            <w:pPr>
              <w:rPr>
                <w:rFonts w:ascii="Arial"/>
                <w:sz w:val="21"/>
              </w:rPr>
            </w:pPr>
          </w:p>
        </w:tc>
        <w:tc>
          <w:tcPr>
            <w:tcW w:w="1705" w:type="dxa"/>
            <w:vAlign w:val="top"/>
          </w:tcPr>
          <w:p w14:paraId="328511AE">
            <w:pPr>
              <w:spacing w:before="54" w:line="228" w:lineRule="auto"/>
              <w:ind w:left="332"/>
              <w:rPr>
                <w:rFonts w:ascii="宋体" w:hAnsi="宋体" w:eastAsia="宋体" w:cs="宋体"/>
                <w:sz w:val="20"/>
                <w:szCs w:val="20"/>
              </w:rPr>
            </w:pPr>
            <w:r>
              <w:rPr>
                <w:rFonts w:ascii="宋体" w:hAnsi="宋体" w:eastAsia="宋体" w:cs="宋体"/>
                <w:spacing w:val="8"/>
                <w:sz w:val="20"/>
                <w:szCs w:val="20"/>
              </w:rPr>
              <w:t>沉淀池污泥</w:t>
            </w:r>
          </w:p>
        </w:tc>
        <w:tc>
          <w:tcPr>
            <w:tcW w:w="1579" w:type="dxa"/>
            <w:vAlign w:val="top"/>
          </w:tcPr>
          <w:p w14:paraId="5C033BD6">
            <w:pPr>
              <w:spacing w:before="16" w:line="281" w:lineRule="exact"/>
              <w:ind w:left="75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361" w:type="dxa"/>
            <w:vAlign w:val="top"/>
          </w:tcPr>
          <w:p w14:paraId="2ED1E091">
            <w:pPr>
              <w:spacing w:before="16" w:line="281" w:lineRule="exact"/>
              <w:ind w:left="444"/>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114</w:t>
            </w:r>
            <w:r>
              <w:rPr>
                <w:rFonts w:ascii="Times New Roman" w:hAnsi="Times New Roman" w:eastAsia="Times New Roman" w:cs="Times New Roman"/>
                <w:spacing w:val="-1"/>
                <w:position w:val="2"/>
                <w:sz w:val="20"/>
                <w:szCs w:val="20"/>
              </w:rPr>
              <w:t>t</w:t>
            </w:r>
            <w:r>
              <w:rPr>
                <w:rFonts w:ascii="Times New Roman" w:hAnsi="Times New Roman" w:eastAsia="Times New Roman" w:cs="Times New Roman"/>
                <w:spacing w:val="-2"/>
                <w:position w:val="2"/>
                <w:sz w:val="20"/>
                <w:szCs w:val="20"/>
              </w:rPr>
              <w:t>/</w:t>
            </w:r>
            <w:r>
              <w:rPr>
                <w:rFonts w:ascii="Times New Roman" w:hAnsi="Times New Roman" w:eastAsia="Times New Roman" w:cs="Times New Roman"/>
                <w:spacing w:val="-1"/>
                <w:position w:val="2"/>
                <w:sz w:val="20"/>
                <w:szCs w:val="20"/>
              </w:rPr>
              <w:t>a</w:t>
            </w:r>
          </w:p>
        </w:tc>
        <w:tc>
          <w:tcPr>
            <w:tcW w:w="1530" w:type="dxa"/>
            <w:vAlign w:val="top"/>
          </w:tcPr>
          <w:p w14:paraId="0A179DFF">
            <w:pPr>
              <w:spacing w:before="16" w:line="281" w:lineRule="exact"/>
              <w:ind w:left="734"/>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19" w:type="dxa"/>
            <w:tcBorders>
              <w:right w:val="nil"/>
            </w:tcBorders>
            <w:vAlign w:val="top"/>
          </w:tcPr>
          <w:p w14:paraId="39BB5B28">
            <w:pPr>
              <w:spacing w:before="89" w:line="195" w:lineRule="auto"/>
              <w:ind w:left="66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44D334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443" w:type="dxa"/>
            <w:vMerge w:val="continue"/>
            <w:tcBorders>
              <w:top w:val="nil"/>
              <w:left w:val="nil"/>
              <w:bottom w:val="nil"/>
            </w:tcBorders>
            <w:vAlign w:val="top"/>
          </w:tcPr>
          <w:p w14:paraId="14A40473">
            <w:pPr>
              <w:rPr>
                <w:rFonts w:ascii="Arial"/>
                <w:sz w:val="21"/>
              </w:rPr>
            </w:pPr>
          </w:p>
        </w:tc>
        <w:tc>
          <w:tcPr>
            <w:tcW w:w="269" w:type="dxa"/>
            <w:vMerge w:val="continue"/>
            <w:tcBorders>
              <w:top w:val="nil"/>
              <w:bottom w:val="nil"/>
            </w:tcBorders>
            <w:textDirection w:val="tbRlV"/>
            <w:vAlign w:val="top"/>
          </w:tcPr>
          <w:p w14:paraId="1C28119D">
            <w:pPr>
              <w:rPr>
                <w:rFonts w:ascii="Arial"/>
                <w:sz w:val="21"/>
              </w:rPr>
            </w:pPr>
          </w:p>
        </w:tc>
        <w:tc>
          <w:tcPr>
            <w:tcW w:w="1705" w:type="dxa"/>
            <w:vAlign w:val="top"/>
          </w:tcPr>
          <w:p w14:paraId="71BDC0CD">
            <w:pPr>
              <w:spacing w:before="54" w:line="228" w:lineRule="auto"/>
              <w:ind w:left="540"/>
              <w:rPr>
                <w:rFonts w:ascii="宋体" w:hAnsi="宋体" w:eastAsia="宋体" w:cs="宋体"/>
                <w:sz w:val="20"/>
                <w:szCs w:val="20"/>
              </w:rPr>
            </w:pPr>
            <w:r>
              <w:rPr>
                <w:rFonts w:ascii="宋体" w:hAnsi="宋体" w:eastAsia="宋体" w:cs="宋体"/>
                <w:spacing w:val="7"/>
                <w:sz w:val="20"/>
                <w:szCs w:val="20"/>
              </w:rPr>
              <w:t>废滤网</w:t>
            </w:r>
          </w:p>
        </w:tc>
        <w:tc>
          <w:tcPr>
            <w:tcW w:w="1579" w:type="dxa"/>
            <w:vAlign w:val="top"/>
          </w:tcPr>
          <w:p w14:paraId="1B8F6AE8">
            <w:pPr>
              <w:spacing w:before="16" w:line="281" w:lineRule="exact"/>
              <w:ind w:left="75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361" w:type="dxa"/>
            <w:vAlign w:val="top"/>
          </w:tcPr>
          <w:p w14:paraId="19E3C061">
            <w:pPr>
              <w:spacing w:before="16" w:line="281" w:lineRule="exact"/>
              <w:ind w:left="449"/>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0</w:t>
            </w:r>
            <w:r>
              <w:rPr>
                <w:rFonts w:ascii="Times New Roman" w:hAnsi="Times New Roman" w:eastAsia="Times New Roman" w:cs="Times New Roman"/>
                <w:spacing w:val="3"/>
                <w:position w:val="2"/>
                <w:sz w:val="20"/>
                <w:szCs w:val="20"/>
              </w:rPr>
              <w:t>.8</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a</w:t>
            </w:r>
          </w:p>
        </w:tc>
        <w:tc>
          <w:tcPr>
            <w:tcW w:w="1530" w:type="dxa"/>
            <w:vAlign w:val="top"/>
          </w:tcPr>
          <w:p w14:paraId="29040075">
            <w:pPr>
              <w:spacing w:before="16" w:line="281" w:lineRule="exact"/>
              <w:ind w:left="734"/>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19" w:type="dxa"/>
            <w:tcBorders>
              <w:right w:val="nil"/>
            </w:tcBorders>
            <w:vAlign w:val="top"/>
          </w:tcPr>
          <w:p w14:paraId="67D7420E">
            <w:pPr>
              <w:spacing w:before="90" w:line="195" w:lineRule="auto"/>
              <w:ind w:left="66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9AB70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443" w:type="dxa"/>
            <w:vMerge w:val="continue"/>
            <w:tcBorders>
              <w:top w:val="nil"/>
              <w:left w:val="nil"/>
              <w:bottom w:val="nil"/>
            </w:tcBorders>
            <w:vAlign w:val="top"/>
          </w:tcPr>
          <w:p w14:paraId="4E204595">
            <w:pPr>
              <w:rPr>
                <w:rFonts w:ascii="Arial"/>
                <w:sz w:val="21"/>
              </w:rPr>
            </w:pPr>
          </w:p>
        </w:tc>
        <w:tc>
          <w:tcPr>
            <w:tcW w:w="269" w:type="dxa"/>
            <w:vMerge w:val="continue"/>
            <w:tcBorders>
              <w:top w:val="nil"/>
              <w:bottom w:val="nil"/>
            </w:tcBorders>
            <w:textDirection w:val="tbRlV"/>
            <w:vAlign w:val="top"/>
          </w:tcPr>
          <w:p w14:paraId="58663EEC">
            <w:pPr>
              <w:rPr>
                <w:rFonts w:ascii="Arial"/>
                <w:sz w:val="21"/>
              </w:rPr>
            </w:pPr>
          </w:p>
        </w:tc>
        <w:tc>
          <w:tcPr>
            <w:tcW w:w="1705" w:type="dxa"/>
            <w:vAlign w:val="top"/>
          </w:tcPr>
          <w:p w14:paraId="7C6F50BD">
            <w:pPr>
              <w:spacing w:before="55" w:line="228" w:lineRule="auto"/>
              <w:ind w:left="437"/>
              <w:rPr>
                <w:rFonts w:ascii="宋体" w:hAnsi="宋体" w:eastAsia="宋体" w:cs="宋体"/>
                <w:sz w:val="20"/>
                <w:szCs w:val="20"/>
              </w:rPr>
            </w:pPr>
            <w:r>
              <w:rPr>
                <w:rFonts w:ascii="宋体" w:hAnsi="宋体" w:eastAsia="宋体" w:cs="宋体"/>
                <w:spacing w:val="9"/>
                <w:sz w:val="20"/>
                <w:szCs w:val="20"/>
              </w:rPr>
              <w:t>废</w:t>
            </w:r>
            <w:r>
              <w:rPr>
                <w:rFonts w:ascii="宋体" w:hAnsi="宋体" w:eastAsia="宋体" w:cs="宋体"/>
                <w:spacing w:val="7"/>
                <w:sz w:val="20"/>
                <w:szCs w:val="20"/>
              </w:rPr>
              <w:t>活性炭</w:t>
            </w:r>
          </w:p>
        </w:tc>
        <w:tc>
          <w:tcPr>
            <w:tcW w:w="1579" w:type="dxa"/>
            <w:vAlign w:val="top"/>
          </w:tcPr>
          <w:p w14:paraId="5A084ED1">
            <w:pPr>
              <w:spacing w:before="17" w:line="281" w:lineRule="exact"/>
              <w:ind w:left="75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361" w:type="dxa"/>
            <w:vAlign w:val="top"/>
          </w:tcPr>
          <w:p w14:paraId="7A37A2A2">
            <w:pPr>
              <w:spacing w:before="17" w:line="281" w:lineRule="exact"/>
              <w:ind w:left="397"/>
              <w:rPr>
                <w:rFonts w:ascii="Times New Roman" w:hAnsi="Times New Roman" w:eastAsia="Times New Roman" w:cs="Times New Roman"/>
                <w:sz w:val="20"/>
                <w:szCs w:val="20"/>
              </w:rPr>
            </w:pPr>
            <w:r>
              <w:rPr>
                <w:rFonts w:ascii="Times New Roman" w:hAnsi="Times New Roman" w:eastAsia="Times New Roman" w:cs="Times New Roman"/>
                <w:spacing w:val="4"/>
                <w:position w:val="2"/>
                <w:sz w:val="20"/>
                <w:szCs w:val="20"/>
              </w:rPr>
              <w:t>3</w:t>
            </w:r>
            <w:r>
              <w:rPr>
                <w:rFonts w:ascii="Times New Roman" w:hAnsi="Times New Roman" w:eastAsia="Times New Roman" w:cs="Times New Roman"/>
                <w:spacing w:val="3"/>
                <w:position w:val="2"/>
                <w:sz w:val="20"/>
                <w:szCs w:val="20"/>
              </w:rPr>
              <w:t>.22</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a</w:t>
            </w:r>
          </w:p>
        </w:tc>
        <w:tc>
          <w:tcPr>
            <w:tcW w:w="1530" w:type="dxa"/>
            <w:vAlign w:val="top"/>
          </w:tcPr>
          <w:p w14:paraId="08770A95">
            <w:pPr>
              <w:spacing w:before="17" w:line="281" w:lineRule="exact"/>
              <w:ind w:left="734"/>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19" w:type="dxa"/>
            <w:tcBorders>
              <w:right w:val="nil"/>
            </w:tcBorders>
            <w:vAlign w:val="top"/>
          </w:tcPr>
          <w:p w14:paraId="70E89477">
            <w:pPr>
              <w:spacing w:before="90" w:line="195" w:lineRule="auto"/>
              <w:ind w:left="66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6E1BDD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3" w:type="dxa"/>
            <w:vMerge w:val="continue"/>
            <w:tcBorders>
              <w:top w:val="nil"/>
              <w:left w:val="nil"/>
              <w:bottom w:val="nil"/>
            </w:tcBorders>
            <w:vAlign w:val="top"/>
          </w:tcPr>
          <w:p w14:paraId="5E98B57D">
            <w:pPr>
              <w:rPr>
                <w:rFonts w:ascii="Arial"/>
                <w:sz w:val="21"/>
              </w:rPr>
            </w:pPr>
          </w:p>
        </w:tc>
        <w:tc>
          <w:tcPr>
            <w:tcW w:w="269" w:type="dxa"/>
            <w:vMerge w:val="continue"/>
            <w:tcBorders>
              <w:top w:val="nil"/>
              <w:bottom w:val="nil"/>
            </w:tcBorders>
            <w:textDirection w:val="tbRlV"/>
            <w:vAlign w:val="top"/>
          </w:tcPr>
          <w:p w14:paraId="36E4E655">
            <w:pPr>
              <w:rPr>
                <w:rFonts w:ascii="Arial"/>
                <w:sz w:val="21"/>
              </w:rPr>
            </w:pPr>
          </w:p>
        </w:tc>
        <w:tc>
          <w:tcPr>
            <w:tcW w:w="1705" w:type="dxa"/>
            <w:vAlign w:val="top"/>
          </w:tcPr>
          <w:p w14:paraId="006FFF3B">
            <w:pPr>
              <w:spacing w:before="56" w:line="228" w:lineRule="auto"/>
              <w:ind w:left="125"/>
              <w:rPr>
                <w:rFonts w:ascii="宋体" w:hAnsi="宋体" w:eastAsia="宋体" w:cs="宋体"/>
                <w:sz w:val="20"/>
                <w:szCs w:val="20"/>
              </w:rPr>
            </w:pPr>
            <w:r>
              <w:rPr>
                <w:rFonts w:ascii="宋体" w:hAnsi="宋体" w:eastAsia="宋体" w:cs="宋体"/>
                <w:spacing w:val="8"/>
                <w:sz w:val="20"/>
                <w:szCs w:val="20"/>
              </w:rPr>
              <w:t>热风炉燃料炉渣</w:t>
            </w:r>
          </w:p>
        </w:tc>
        <w:tc>
          <w:tcPr>
            <w:tcW w:w="1579" w:type="dxa"/>
            <w:vAlign w:val="top"/>
          </w:tcPr>
          <w:p w14:paraId="77E5DD92">
            <w:pPr>
              <w:spacing w:before="18" w:line="281" w:lineRule="exact"/>
              <w:ind w:left="75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361" w:type="dxa"/>
            <w:vAlign w:val="top"/>
          </w:tcPr>
          <w:p w14:paraId="2709B0FC">
            <w:pPr>
              <w:spacing w:before="18" w:line="281" w:lineRule="exact"/>
              <w:ind w:left="396"/>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7</w:t>
            </w:r>
            <w:r>
              <w:rPr>
                <w:rFonts w:ascii="Times New Roman" w:hAnsi="Times New Roman" w:eastAsia="Times New Roman" w:cs="Times New Roman"/>
                <w:spacing w:val="3"/>
                <w:position w:val="2"/>
                <w:sz w:val="20"/>
                <w:szCs w:val="20"/>
              </w:rPr>
              <w:t>3.2</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a</w:t>
            </w:r>
          </w:p>
        </w:tc>
        <w:tc>
          <w:tcPr>
            <w:tcW w:w="1530" w:type="dxa"/>
            <w:vAlign w:val="top"/>
          </w:tcPr>
          <w:p w14:paraId="2CCAAE61">
            <w:pPr>
              <w:spacing w:before="18" w:line="281" w:lineRule="exact"/>
              <w:ind w:left="734"/>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19" w:type="dxa"/>
            <w:tcBorders>
              <w:right w:val="nil"/>
            </w:tcBorders>
            <w:vAlign w:val="top"/>
          </w:tcPr>
          <w:p w14:paraId="10247535">
            <w:pPr>
              <w:spacing w:before="91" w:line="195" w:lineRule="auto"/>
              <w:ind w:left="66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797263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3" w:type="dxa"/>
            <w:vMerge w:val="continue"/>
            <w:tcBorders>
              <w:top w:val="nil"/>
              <w:left w:val="nil"/>
              <w:bottom w:val="nil"/>
            </w:tcBorders>
            <w:vAlign w:val="top"/>
          </w:tcPr>
          <w:p w14:paraId="01859FF6">
            <w:pPr>
              <w:rPr>
                <w:rFonts w:ascii="Arial"/>
                <w:sz w:val="21"/>
              </w:rPr>
            </w:pPr>
          </w:p>
        </w:tc>
        <w:tc>
          <w:tcPr>
            <w:tcW w:w="269" w:type="dxa"/>
            <w:vMerge w:val="continue"/>
            <w:tcBorders>
              <w:top w:val="nil"/>
              <w:bottom w:val="nil"/>
            </w:tcBorders>
            <w:textDirection w:val="tbRlV"/>
            <w:vAlign w:val="top"/>
          </w:tcPr>
          <w:p w14:paraId="2C490A52">
            <w:pPr>
              <w:rPr>
                <w:rFonts w:ascii="Arial"/>
                <w:sz w:val="21"/>
              </w:rPr>
            </w:pPr>
          </w:p>
        </w:tc>
        <w:tc>
          <w:tcPr>
            <w:tcW w:w="1705" w:type="dxa"/>
            <w:vAlign w:val="top"/>
          </w:tcPr>
          <w:p w14:paraId="73E8C07B">
            <w:pPr>
              <w:spacing w:before="54" w:line="228" w:lineRule="auto"/>
              <w:ind w:left="30"/>
              <w:rPr>
                <w:rFonts w:ascii="宋体" w:hAnsi="宋体" w:eastAsia="宋体" w:cs="宋体"/>
                <w:sz w:val="20"/>
                <w:szCs w:val="20"/>
              </w:rPr>
            </w:pPr>
            <w:r>
              <w:rPr>
                <w:rFonts w:ascii="宋体" w:hAnsi="宋体" w:eastAsia="宋体" w:cs="宋体"/>
                <w:spacing w:val="8"/>
                <w:sz w:val="20"/>
                <w:szCs w:val="20"/>
              </w:rPr>
              <w:t>除</w:t>
            </w:r>
            <w:r>
              <w:rPr>
                <w:rFonts w:ascii="宋体" w:hAnsi="宋体" w:eastAsia="宋体" w:cs="宋体"/>
                <w:spacing w:val="7"/>
                <w:sz w:val="20"/>
                <w:szCs w:val="20"/>
              </w:rPr>
              <w:t>尘器收集的粉尘</w:t>
            </w:r>
          </w:p>
        </w:tc>
        <w:tc>
          <w:tcPr>
            <w:tcW w:w="1579" w:type="dxa"/>
            <w:vAlign w:val="top"/>
          </w:tcPr>
          <w:p w14:paraId="05E4C956">
            <w:pPr>
              <w:spacing w:before="17" w:line="281" w:lineRule="exact"/>
              <w:ind w:left="75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361" w:type="dxa"/>
            <w:vAlign w:val="top"/>
          </w:tcPr>
          <w:p w14:paraId="3209904E">
            <w:pPr>
              <w:spacing w:before="17" w:line="281" w:lineRule="exact"/>
              <w:ind w:left="345"/>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0</w:t>
            </w:r>
            <w:r>
              <w:rPr>
                <w:rFonts w:ascii="Times New Roman" w:hAnsi="Times New Roman" w:eastAsia="Times New Roman" w:cs="Times New Roman"/>
                <w:spacing w:val="3"/>
                <w:position w:val="2"/>
                <w:sz w:val="20"/>
                <w:szCs w:val="20"/>
              </w:rPr>
              <w:t>.505</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a</w:t>
            </w:r>
          </w:p>
        </w:tc>
        <w:tc>
          <w:tcPr>
            <w:tcW w:w="1530" w:type="dxa"/>
            <w:vAlign w:val="top"/>
          </w:tcPr>
          <w:p w14:paraId="1CCCF4A5">
            <w:pPr>
              <w:spacing w:before="17" w:line="281" w:lineRule="exact"/>
              <w:ind w:left="734"/>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19" w:type="dxa"/>
            <w:tcBorders>
              <w:right w:val="nil"/>
            </w:tcBorders>
            <w:vAlign w:val="top"/>
          </w:tcPr>
          <w:p w14:paraId="0A754C8E">
            <w:pPr>
              <w:spacing w:before="91" w:line="195" w:lineRule="auto"/>
              <w:ind w:left="66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226412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443" w:type="dxa"/>
            <w:vMerge w:val="continue"/>
            <w:tcBorders>
              <w:top w:val="nil"/>
              <w:left w:val="nil"/>
            </w:tcBorders>
            <w:vAlign w:val="top"/>
          </w:tcPr>
          <w:p w14:paraId="4C9A6720">
            <w:pPr>
              <w:rPr>
                <w:rFonts w:ascii="Arial"/>
                <w:sz w:val="21"/>
              </w:rPr>
            </w:pPr>
          </w:p>
        </w:tc>
        <w:tc>
          <w:tcPr>
            <w:tcW w:w="269" w:type="dxa"/>
            <w:vMerge w:val="continue"/>
            <w:tcBorders>
              <w:top w:val="nil"/>
            </w:tcBorders>
            <w:textDirection w:val="tbRlV"/>
            <w:vAlign w:val="top"/>
          </w:tcPr>
          <w:p w14:paraId="1585661C">
            <w:pPr>
              <w:rPr>
                <w:rFonts w:ascii="Arial"/>
                <w:sz w:val="21"/>
              </w:rPr>
            </w:pPr>
          </w:p>
        </w:tc>
        <w:tc>
          <w:tcPr>
            <w:tcW w:w="1705" w:type="dxa"/>
            <w:vAlign w:val="top"/>
          </w:tcPr>
          <w:p w14:paraId="2BDDC815">
            <w:pPr>
              <w:spacing w:before="56" w:line="228" w:lineRule="auto"/>
              <w:ind w:left="173"/>
              <w:rPr>
                <w:rFonts w:ascii="宋体" w:hAnsi="宋体" w:eastAsia="宋体" w:cs="宋体"/>
                <w:sz w:val="20"/>
                <w:szCs w:val="20"/>
              </w:rPr>
            </w:pPr>
            <w:r>
              <w:rPr>
                <w:rFonts w:ascii="宋体" w:hAnsi="宋体" w:eastAsia="宋体" w:cs="宋体"/>
                <w:spacing w:val="1"/>
                <w:sz w:val="20"/>
                <w:szCs w:val="20"/>
              </w:rPr>
              <w:t xml:space="preserve">废 </w:t>
            </w:r>
            <w:r>
              <w:rPr>
                <w:rFonts w:ascii="Times New Roman" w:hAnsi="Times New Roman" w:eastAsia="Times New Roman" w:cs="Times New Roman"/>
                <w:sz w:val="20"/>
                <w:szCs w:val="20"/>
              </w:rPr>
              <w:t>uv</w:t>
            </w:r>
            <w:r>
              <w:rPr>
                <w:rFonts w:ascii="Times New Roman" w:hAnsi="Times New Roman" w:eastAsia="Times New Roman" w:cs="Times New Roman"/>
                <w:spacing w:val="1"/>
                <w:sz w:val="20"/>
                <w:szCs w:val="20"/>
              </w:rPr>
              <w:t xml:space="preserve"> </w:t>
            </w:r>
            <w:r>
              <w:rPr>
                <w:rFonts w:ascii="宋体" w:hAnsi="宋体" w:eastAsia="宋体" w:cs="宋体"/>
                <w:spacing w:val="1"/>
                <w:sz w:val="20"/>
                <w:szCs w:val="20"/>
              </w:rPr>
              <w:t>光解灯</w:t>
            </w:r>
            <w:r>
              <w:rPr>
                <w:rFonts w:ascii="宋体" w:hAnsi="宋体" w:eastAsia="宋体" w:cs="宋体"/>
                <w:sz w:val="20"/>
                <w:szCs w:val="20"/>
              </w:rPr>
              <w:t>管</w:t>
            </w:r>
          </w:p>
        </w:tc>
        <w:tc>
          <w:tcPr>
            <w:tcW w:w="1579" w:type="dxa"/>
            <w:vAlign w:val="top"/>
          </w:tcPr>
          <w:p w14:paraId="72E8CB67">
            <w:pPr>
              <w:spacing w:before="19" w:line="281" w:lineRule="exact"/>
              <w:ind w:left="75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361" w:type="dxa"/>
            <w:vAlign w:val="top"/>
          </w:tcPr>
          <w:p w14:paraId="2AE40A3E">
            <w:pPr>
              <w:spacing w:before="19" w:line="281" w:lineRule="exact"/>
              <w:ind w:left="449"/>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0</w:t>
            </w:r>
            <w:r>
              <w:rPr>
                <w:rFonts w:ascii="Times New Roman" w:hAnsi="Times New Roman" w:eastAsia="Times New Roman" w:cs="Times New Roman"/>
                <w:spacing w:val="3"/>
                <w:position w:val="2"/>
                <w:sz w:val="20"/>
                <w:szCs w:val="20"/>
              </w:rPr>
              <w:t>.4</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a</w:t>
            </w:r>
          </w:p>
        </w:tc>
        <w:tc>
          <w:tcPr>
            <w:tcW w:w="1530" w:type="dxa"/>
            <w:vAlign w:val="top"/>
          </w:tcPr>
          <w:p w14:paraId="4DAC8CA7">
            <w:pPr>
              <w:spacing w:before="19" w:line="281" w:lineRule="exact"/>
              <w:ind w:left="734"/>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19" w:type="dxa"/>
            <w:tcBorders>
              <w:right w:val="nil"/>
            </w:tcBorders>
            <w:vAlign w:val="top"/>
          </w:tcPr>
          <w:p w14:paraId="707A899D">
            <w:pPr>
              <w:spacing w:before="93" w:line="195" w:lineRule="auto"/>
              <w:ind w:left="66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bl>
    <w:p w14:paraId="704A8D8E">
      <w:pPr>
        <w:spacing w:before="268" w:line="225" w:lineRule="auto"/>
        <w:ind w:left="19"/>
        <w:outlineLvl w:val="1"/>
        <w:rPr>
          <w:rFonts w:ascii="宋体" w:hAnsi="宋体" w:eastAsia="宋体" w:cs="宋体"/>
          <w:sz w:val="31"/>
          <w:szCs w:val="31"/>
        </w:rPr>
      </w:pPr>
      <w:bookmarkStart w:id="17" w:name="_bookmark18"/>
      <w:bookmarkEnd w:id="17"/>
      <w:r>
        <w:rPr>
          <w:rFonts w:ascii="Times New Roman" w:hAnsi="Times New Roman" w:eastAsia="Times New Roman" w:cs="Times New Roman"/>
          <w:b/>
          <w:bCs/>
          <w:spacing w:val="8"/>
          <w:sz w:val="31"/>
          <w:szCs w:val="31"/>
        </w:rPr>
        <w:t>3.3</w:t>
      </w:r>
      <w:r>
        <w:rPr>
          <w:rFonts w:ascii="Times New Roman" w:hAnsi="Times New Roman" w:eastAsia="Times New Roman" w:cs="Times New Roman"/>
          <w:spacing w:val="8"/>
          <w:sz w:val="31"/>
          <w:szCs w:val="31"/>
        </w:rPr>
        <w:t xml:space="preserve">  </w:t>
      </w:r>
      <w:r>
        <w:rPr>
          <w:rFonts w:ascii="宋体" w:hAnsi="宋体" w:eastAsia="宋体" w:cs="宋体"/>
          <w:spacing w:val="8"/>
          <w:sz w:val="31"/>
          <w:szCs w:val="31"/>
          <w14:textOutline w14:w="5793" w14:cap="sq" w14:cmpd="sng">
            <w14:solidFill>
              <w14:srgbClr w14:val="000000"/>
            </w14:solidFill>
            <w14:prstDash w14:val="solid"/>
            <w14:bevel/>
          </w14:textOutline>
        </w:rPr>
        <w:t>污染物排放总量控</w:t>
      </w:r>
      <w:r>
        <w:rPr>
          <w:rFonts w:ascii="宋体" w:hAnsi="宋体" w:eastAsia="宋体" w:cs="宋体"/>
          <w:spacing w:val="6"/>
          <w:sz w:val="31"/>
          <w:szCs w:val="31"/>
          <w14:textOutline w14:w="5793" w14:cap="sq" w14:cmpd="sng">
            <w14:solidFill>
              <w14:srgbClr w14:val="000000"/>
            </w14:solidFill>
            <w14:prstDash w14:val="solid"/>
            <w14:bevel/>
          </w14:textOutline>
        </w:rPr>
        <w:t>制</w:t>
      </w:r>
    </w:p>
    <w:p w14:paraId="0DA7B436">
      <w:pPr>
        <w:spacing w:before="274" w:line="226" w:lineRule="auto"/>
        <w:ind w:left="18"/>
        <w:outlineLvl w:val="2"/>
        <w:rPr>
          <w:rFonts w:ascii="宋体" w:hAnsi="宋体" w:eastAsia="宋体" w:cs="宋体"/>
          <w:sz w:val="29"/>
          <w:szCs w:val="29"/>
        </w:rPr>
      </w:pPr>
      <w:r>
        <w:rPr>
          <w:rFonts w:ascii="Times New Roman" w:hAnsi="Times New Roman" w:eastAsia="Times New Roman" w:cs="Times New Roman"/>
          <w:b/>
          <w:bCs/>
          <w:spacing w:val="7"/>
          <w:sz w:val="29"/>
          <w:szCs w:val="29"/>
        </w:rPr>
        <w:t>3.3.1</w:t>
      </w:r>
      <w:r>
        <w:rPr>
          <w:rFonts w:ascii="Times New Roman" w:hAnsi="Times New Roman" w:eastAsia="Times New Roman" w:cs="Times New Roman"/>
          <w:spacing w:val="7"/>
          <w:sz w:val="29"/>
          <w:szCs w:val="29"/>
        </w:rPr>
        <w:t xml:space="preserve">  </w:t>
      </w:r>
      <w:r>
        <w:rPr>
          <w:rFonts w:ascii="宋体" w:hAnsi="宋体" w:eastAsia="宋体" w:cs="宋体"/>
          <w:spacing w:val="7"/>
          <w:sz w:val="29"/>
          <w:szCs w:val="29"/>
          <w14:textOutline w14:w="5448" w14:cap="sq" w14:cmpd="sng">
            <w14:solidFill>
              <w14:srgbClr w14:val="000000"/>
            </w14:solidFill>
            <w14:prstDash w14:val="solid"/>
            <w14:bevel/>
          </w14:textOutline>
        </w:rPr>
        <w:t>总量控制的目</w:t>
      </w:r>
      <w:r>
        <w:rPr>
          <w:rFonts w:ascii="宋体" w:hAnsi="宋体" w:eastAsia="宋体" w:cs="宋体"/>
          <w:spacing w:val="5"/>
          <w:sz w:val="29"/>
          <w:szCs w:val="29"/>
          <w14:textOutline w14:w="5448" w14:cap="sq" w14:cmpd="sng">
            <w14:solidFill>
              <w14:srgbClr w14:val="000000"/>
            </w14:solidFill>
            <w14:prstDash w14:val="solid"/>
            <w14:bevel/>
          </w14:textOutline>
        </w:rPr>
        <w:t>的</w:t>
      </w:r>
    </w:p>
    <w:p w14:paraId="76AA3FEB">
      <w:pPr>
        <w:spacing w:line="251" w:lineRule="auto"/>
        <w:rPr>
          <w:rFonts w:ascii="Arial"/>
          <w:sz w:val="21"/>
        </w:rPr>
      </w:pPr>
    </w:p>
    <w:p w14:paraId="47BAB7E6">
      <w:pPr>
        <w:spacing w:before="75" w:line="388" w:lineRule="auto"/>
        <w:ind w:left="23" w:right="54" w:firstLine="481"/>
        <w:rPr>
          <w:rFonts w:ascii="宋体" w:hAnsi="宋体" w:eastAsia="宋体" w:cs="宋体"/>
          <w:sz w:val="23"/>
          <w:szCs w:val="23"/>
        </w:rPr>
      </w:pPr>
      <w:r>
        <w:rPr>
          <w:rFonts w:ascii="宋体" w:hAnsi="宋体" w:eastAsia="宋体" w:cs="宋体"/>
          <w:spacing w:val="7"/>
          <w:sz w:val="23"/>
          <w:szCs w:val="23"/>
        </w:rPr>
        <w:t>我国目前实行的是区域污染物排放总量目标控制，即区域排污量在一定时</w:t>
      </w:r>
      <w:r>
        <w:rPr>
          <w:rFonts w:ascii="宋体" w:hAnsi="宋体" w:eastAsia="宋体" w:cs="宋体"/>
          <w:spacing w:val="1"/>
          <w:sz w:val="23"/>
          <w:szCs w:val="23"/>
        </w:rPr>
        <w:t>期</w:t>
      </w:r>
      <w:r>
        <w:rPr>
          <w:rFonts w:ascii="宋体" w:hAnsi="宋体" w:eastAsia="宋体" w:cs="宋体"/>
          <w:sz w:val="23"/>
          <w:szCs w:val="23"/>
        </w:rPr>
        <w:t xml:space="preserve"> </w:t>
      </w:r>
      <w:r>
        <w:rPr>
          <w:rFonts w:ascii="宋体" w:hAnsi="宋体" w:eastAsia="宋体" w:cs="宋体"/>
          <w:spacing w:val="9"/>
          <w:sz w:val="23"/>
          <w:szCs w:val="23"/>
        </w:rPr>
        <w:t>内</w:t>
      </w:r>
      <w:r>
        <w:rPr>
          <w:rFonts w:ascii="宋体" w:hAnsi="宋体" w:eastAsia="宋体" w:cs="宋体"/>
          <w:spacing w:val="7"/>
          <w:sz w:val="23"/>
          <w:szCs w:val="23"/>
        </w:rPr>
        <w:t>不得突破分配的污染物排放总量。因此，项目的总量控制应以区域总量不突破</w:t>
      </w:r>
      <w:r>
        <w:rPr>
          <w:rFonts w:ascii="宋体" w:hAnsi="宋体" w:eastAsia="宋体" w:cs="宋体"/>
          <w:sz w:val="23"/>
          <w:szCs w:val="23"/>
        </w:rPr>
        <w:t xml:space="preserve"> </w:t>
      </w:r>
      <w:r>
        <w:rPr>
          <w:rFonts w:ascii="宋体" w:hAnsi="宋体" w:eastAsia="宋体" w:cs="宋体"/>
          <w:spacing w:val="9"/>
          <w:sz w:val="23"/>
          <w:szCs w:val="23"/>
        </w:rPr>
        <w:t>为</w:t>
      </w:r>
      <w:r>
        <w:rPr>
          <w:rFonts w:ascii="宋体" w:hAnsi="宋体" w:eastAsia="宋体" w:cs="宋体"/>
          <w:spacing w:val="7"/>
          <w:sz w:val="23"/>
          <w:szCs w:val="23"/>
        </w:rPr>
        <w:t>前提，通过对项目污染物排放总量及控制途径分析，最大限度地减少各类污染</w:t>
      </w:r>
      <w:r>
        <w:rPr>
          <w:rFonts w:ascii="宋体" w:hAnsi="宋体" w:eastAsia="宋体" w:cs="宋体"/>
          <w:sz w:val="23"/>
          <w:szCs w:val="23"/>
        </w:rPr>
        <w:t xml:space="preserve"> </w:t>
      </w:r>
      <w:r>
        <w:rPr>
          <w:rFonts w:ascii="宋体" w:hAnsi="宋体" w:eastAsia="宋体" w:cs="宋体"/>
          <w:spacing w:val="9"/>
          <w:sz w:val="23"/>
          <w:szCs w:val="23"/>
        </w:rPr>
        <w:t>物</w:t>
      </w:r>
      <w:r>
        <w:rPr>
          <w:rFonts w:ascii="宋体" w:hAnsi="宋体" w:eastAsia="宋体" w:cs="宋体"/>
          <w:spacing w:val="7"/>
          <w:sz w:val="23"/>
          <w:szCs w:val="23"/>
        </w:rPr>
        <w:t>进入环境，提出合理可行的总量控制目标，为企业的排污总量指标申报和环保</w:t>
      </w:r>
      <w:r>
        <w:rPr>
          <w:rFonts w:ascii="宋体" w:hAnsi="宋体" w:eastAsia="宋体" w:cs="宋体"/>
          <w:sz w:val="23"/>
          <w:szCs w:val="23"/>
        </w:rPr>
        <w:t xml:space="preserve"> </w:t>
      </w:r>
      <w:r>
        <w:rPr>
          <w:rFonts w:ascii="宋体" w:hAnsi="宋体" w:eastAsia="宋体" w:cs="宋体"/>
          <w:spacing w:val="20"/>
          <w:sz w:val="23"/>
          <w:szCs w:val="23"/>
        </w:rPr>
        <w:t>部</w:t>
      </w:r>
      <w:r>
        <w:rPr>
          <w:rFonts w:ascii="宋体" w:hAnsi="宋体" w:eastAsia="宋体" w:cs="宋体"/>
          <w:spacing w:val="11"/>
          <w:sz w:val="23"/>
          <w:szCs w:val="23"/>
        </w:rPr>
        <w:t>门</w:t>
      </w:r>
      <w:r>
        <w:rPr>
          <w:rFonts w:ascii="宋体" w:hAnsi="宋体" w:eastAsia="宋体" w:cs="宋体"/>
          <w:spacing w:val="10"/>
          <w:sz w:val="23"/>
          <w:szCs w:val="23"/>
        </w:rPr>
        <w:t>开展总量控制工作提供依据， 以确保项目所在地的环境质量目标能得到实</w:t>
      </w:r>
      <w:r>
        <w:rPr>
          <w:rFonts w:ascii="宋体" w:hAnsi="宋体" w:eastAsia="宋体" w:cs="宋体"/>
          <w:sz w:val="23"/>
          <w:szCs w:val="23"/>
        </w:rPr>
        <w:t xml:space="preserve"> </w:t>
      </w:r>
      <w:r>
        <w:rPr>
          <w:rFonts w:ascii="宋体" w:hAnsi="宋体" w:eastAsia="宋体" w:cs="宋体"/>
          <w:spacing w:val="9"/>
          <w:sz w:val="23"/>
          <w:szCs w:val="23"/>
        </w:rPr>
        <w:t>现</w:t>
      </w:r>
      <w:r>
        <w:rPr>
          <w:rFonts w:ascii="宋体" w:hAnsi="宋体" w:eastAsia="宋体" w:cs="宋体"/>
          <w:spacing w:val="7"/>
          <w:sz w:val="23"/>
          <w:szCs w:val="23"/>
        </w:rPr>
        <w:t>，达到项目建设的经济效益、环境效益和社会效益的三统一，促进本区域经济</w:t>
      </w:r>
      <w:r>
        <w:rPr>
          <w:rFonts w:ascii="宋体" w:hAnsi="宋体" w:eastAsia="宋体" w:cs="宋体"/>
          <w:sz w:val="23"/>
          <w:szCs w:val="23"/>
        </w:rPr>
        <w:t xml:space="preserve"> </w:t>
      </w:r>
      <w:r>
        <w:rPr>
          <w:rFonts w:ascii="宋体" w:hAnsi="宋体" w:eastAsia="宋体" w:cs="宋体"/>
          <w:spacing w:val="8"/>
          <w:sz w:val="23"/>
          <w:szCs w:val="23"/>
        </w:rPr>
        <w:t>的</w:t>
      </w:r>
      <w:r>
        <w:rPr>
          <w:rFonts w:ascii="宋体" w:hAnsi="宋体" w:eastAsia="宋体" w:cs="宋体"/>
          <w:spacing w:val="7"/>
          <w:sz w:val="23"/>
          <w:szCs w:val="23"/>
        </w:rPr>
        <w:t>可持续发展。</w:t>
      </w:r>
    </w:p>
    <w:p w14:paraId="57F92A85">
      <w:pPr>
        <w:spacing w:before="85" w:line="226" w:lineRule="auto"/>
        <w:ind w:left="18"/>
        <w:outlineLvl w:val="2"/>
        <w:rPr>
          <w:rFonts w:ascii="宋体" w:hAnsi="宋体" w:eastAsia="宋体" w:cs="宋体"/>
          <w:sz w:val="29"/>
          <w:szCs w:val="29"/>
        </w:rPr>
      </w:pPr>
      <w:r>
        <w:rPr>
          <w:rFonts w:ascii="Times New Roman" w:hAnsi="Times New Roman" w:eastAsia="Times New Roman" w:cs="Times New Roman"/>
          <w:b/>
          <w:bCs/>
          <w:spacing w:val="13"/>
          <w:sz w:val="29"/>
          <w:szCs w:val="29"/>
        </w:rPr>
        <w:t>3</w:t>
      </w:r>
      <w:r>
        <w:rPr>
          <w:rFonts w:ascii="Times New Roman" w:hAnsi="Times New Roman" w:eastAsia="Times New Roman" w:cs="Times New Roman"/>
          <w:b/>
          <w:bCs/>
          <w:spacing w:val="7"/>
          <w:sz w:val="29"/>
          <w:szCs w:val="29"/>
        </w:rPr>
        <w:t>.3.2</w:t>
      </w:r>
      <w:r>
        <w:rPr>
          <w:rFonts w:ascii="Times New Roman" w:hAnsi="Times New Roman" w:eastAsia="Times New Roman" w:cs="Times New Roman"/>
          <w:spacing w:val="7"/>
          <w:sz w:val="29"/>
          <w:szCs w:val="29"/>
        </w:rPr>
        <w:t xml:space="preserve">  </w:t>
      </w:r>
      <w:r>
        <w:rPr>
          <w:rFonts w:ascii="宋体" w:hAnsi="宋体" w:eastAsia="宋体" w:cs="宋体"/>
          <w:spacing w:val="7"/>
          <w:sz w:val="29"/>
          <w:szCs w:val="29"/>
          <w14:textOutline w14:w="5448" w14:cap="sq" w14:cmpd="sng">
            <w14:solidFill>
              <w14:srgbClr w14:val="000000"/>
            </w14:solidFill>
            <w14:prstDash w14:val="solid"/>
            <w14:bevel/>
          </w14:textOutline>
        </w:rPr>
        <w:t>总量控制因子的确定</w:t>
      </w:r>
    </w:p>
    <w:p w14:paraId="6D38823D">
      <w:pPr>
        <w:spacing w:line="254" w:lineRule="auto"/>
        <w:rPr>
          <w:rFonts w:ascii="Arial"/>
          <w:sz w:val="21"/>
        </w:rPr>
      </w:pPr>
    </w:p>
    <w:p w14:paraId="4484058F">
      <w:pPr>
        <w:spacing w:before="75" w:line="391" w:lineRule="auto"/>
        <w:ind w:left="26" w:firstLine="477"/>
        <w:rPr>
          <w:rFonts w:ascii="宋体" w:hAnsi="宋体" w:eastAsia="宋体" w:cs="宋体"/>
          <w:sz w:val="23"/>
          <w:szCs w:val="23"/>
        </w:rPr>
      </w:pPr>
      <w:r>
        <w:rPr>
          <w:rFonts w:ascii="宋体" w:hAnsi="宋体" w:eastAsia="宋体" w:cs="宋体"/>
          <w:spacing w:val="18"/>
          <w:sz w:val="23"/>
          <w:szCs w:val="23"/>
        </w:rPr>
        <w:t>根</w:t>
      </w:r>
      <w:r>
        <w:rPr>
          <w:rFonts w:ascii="宋体" w:hAnsi="宋体" w:eastAsia="宋体" w:cs="宋体"/>
          <w:spacing w:val="17"/>
          <w:sz w:val="23"/>
          <w:szCs w:val="23"/>
        </w:rPr>
        <w:t>据</w:t>
      </w:r>
      <w:r>
        <w:rPr>
          <w:rFonts w:ascii="宋体" w:hAnsi="宋体" w:eastAsia="宋体" w:cs="宋体"/>
          <w:spacing w:val="9"/>
          <w:sz w:val="23"/>
          <w:szCs w:val="23"/>
        </w:rPr>
        <w:t>《国务院关于印发</w:t>
      </w:r>
      <w:r>
        <w:rPr>
          <w:rFonts w:ascii="Times New Roman" w:hAnsi="Times New Roman" w:eastAsia="Times New Roman" w:cs="Times New Roman"/>
          <w:spacing w:val="9"/>
          <w:sz w:val="23"/>
          <w:szCs w:val="23"/>
        </w:rPr>
        <w:t>“</w:t>
      </w:r>
      <w:r>
        <w:rPr>
          <w:rFonts w:ascii="宋体" w:hAnsi="宋体" w:eastAsia="宋体" w:cs="宋体"/>
          <w:spacing w:val="9"/>
          <w:sz w:val="23"/>
          <w:szCs w:val="23"/>
        </w:rPr>
        <w:t>十三五</w:t>
      </w:r>
      <w:r>
        <w:rPr>
          <w:rFonts w:ascii="Times New Roman" w:hAnsi="Times New Roman" w:eastAsia="Times New Roman" w:cs="Times New Roman"/>
          <w:spacing w:val="9"/>
          <w:sz w:val="23"/>
          <w:szCs w:val="23"/>
        </w:rPr>
        <w:t>”</w:t>
      </w:r>
      <w:r>
        <w:rPr>
          <w:rFonts w:ascii="宋体" w:hAnsi="宋体" w:eastAsia="宋体" w:cs="宋体"/>
          <w:spacing w:val="9"/>
          <w:sz w:val="23"/>
          <w:szCs w:val="23"/>
        </w:rPr>
        <w:t>生态环境保护规划的通知》，我国</w:t>
      </w:r>
      <w:r>
        <w:rPr>
          <w:rFonts w:ascii="Times New Roman" w:hAnsi="Times New Roman" w:eastAsia="Times New Roman" w:cs="Times New Roman"/>
          <w:spacing w:val="9"/>
          <w:sz w:val="23"/>
          <w:szCs w:val="23"/>
        </w:rPr>
        <w:t>“</w:t>
      </w:r>
      <w:r>
        <w:rPr>
          <w:rFonts w:ascii="宋体" w:hAnsi="宋体" w:eastAsia="宋体" w:cs="宋体"/>
          <w:spacing w:val="9"/>
          <w:sz w:val="23"/>
          <w:szCs w:val="23"/>
        </w:rPr>
        <w:t>十三五</w:t>
      </w:r>
      <w:r>
        <w:rPr>
          <w:rFonts w:ascii="Times New Roman" w:hAnsi="Times New Roman" w:eastAsia="Times New Roman" w:cs="Times New Roman"/>
          <w:spacing w:val="9"/>
          <w:sz w:val="23"/>
          <w:szCs w:val="23"/>
        </w:rPr>
        <w:t>”</w:t>
      </w:r>
      <w:r>
        <w:rPr>
          <w:rFonts w:ascii="Times New Roman" w:hAnsi="Times New Roman" w:eastAsia="Times New Roman" w:cs="Times New Roman"/>
          <w:sz w:val="23"/>
          <w:szCs w:val="23"/>
        </w:rPr>
        <w:t xml:space="preserve"> </w:t>
      </w:r>
      <w:r>
        <w:rPr>
          <w:rFonts w:ascii="宋体" w:hAnsi="宋体" w:eastAsia="宋体" w:cs="宋体"/>
          <w:spacing w:val="6"/>
          <w:sz w:val="23"/>
          <w:szCs w:val="23"/>
        </w:rPr>
        <w:t>期</w:t>
      </w:r>
      <w:r>
        <w:rPr>
          <w:rFonts w:ascii="宋体" w:hAnsi="宋体" w:eastAsia="宋体" w:cs="宋体"/>
          <w:spacing w:val="5"/>
          <w:sz w:val="23"/>
          <w:szCs w:val="23"/>
        </w:rPr>
        <w:t xml:space="preserve">间对化学需氧量、氨氮、二氧化硫、氮氧化物、挥发性有机物、烟粉尘 </w:t>
      </w:r>
      <w:r>
        <w:rPr>
          <w:rFonts w:ascii="Times New Roman" w:hAnsi="Times New Roman" w:eastAsia="Times New Roman" w:cs="Times New Roman"/>
          <w:spacing w:val="5"/>
          <w:sz w:val="23"/>
          <w:szCs w:val="23"/>
        </w:rPr>
        <w:t xml:space="preserve">6 </w:t>
      </w:r>
      <w:r>
        <w:rPr>
          <w:rFonts w:ascii="宋体" w:hAnsi="宋体" w:eastAsia="宋体" w:cs="宋体"/>
          <w:spacing w:val="5"/>
          <w:sz w:val="23"/>
          <w:szCs w:val="23"/>
        </w:rPr>
        <w:t>种污</w:t>
      </w:r>
      <w:r>
        <w:rPr>
          <w:rFonts w:ascii="宋体" w:hAnsi="宋体" w:eastAsia="宋体" w:cs="宋体"/>
          <w:sz w:val="23"/>
          <w:szCs w:val="23"/>
        </w:rPr>
        <w:t xml:space="preserve"> </w:t>
      </w:r>
      <w:r>
        <w:rPr>
          <w:rFonts w:ascii="宋体" w:hAnsi="宋体" w:eastAsia="宋体" w:cs="宋体"/>
          <w:spacing w:val="8"/>
          <w:sz w:val="23"/>
          <w:szCs w:val="23"/>
        </w:rPr>
        <w:t>染物实行排放总量控制</w:t>
      </w:r>
      <w:r>
        <w:rPr>
          <w:rFonts w:ascii="宋体" w:hAnsi="宋体" w:eastAsia="宋体" w:cs="宋体"/>
          <w:spacing w:val="7"/>
          <w:sz w:val="23"/>
          <w:szCs w:val="23"/>
        </w:rPr>
        <w:t>。</w:t>
      </w:r>
    </w:p>
    <w:p w14:paraId="428719F0">
      <w:pPr>
        <w:spacing w:before="85" w:line="226" w:lineRule="auto"/>
        <w:ind w:left="18"/>
        <w:outlineLvl w:val="2"/>
        <w:rPr>
          <w:rFonts w:ascii="宋体" w:hAnsi="宋体" w:eastAsia="宋体" w:cs="宋体"/>
          <w:sz w:val="29"/>
          <w:szCs w:val="29"/>
        </w:rPr>
      </w:pPr>
      <w:r>
        <w:rPr>
          <w:rFonts w:ascii="Times New Roman" w:hAnsi="Times New Roman" w:eastAsia="Times New Roman" w:cs="Times New Roman"/>
          <w:b/>
          <w:bCs/>
          <w:spacing w:val="7"/>
          <w:sz w:val="29"/>
          <w:szCs w:val="29"/>
        </w:rPr>
        <w:t>3.3.3</w:t>
      </w:r>
      <w:r>
        <w:rPr>
          <w:rFonts w:ascii="Times New Roman" w:hAnsi="Times New Roman" w:eastAsia="Times New Roman" w:cs="Times New Roman"/>
          <w:spacing w:val="7"/>
          <w:sz w:val="29"/>
          <w:szCs w:val="29"/>
        </w:rPr>
        <w:t xml:space="preserve">  </w:t>
      </w:r>
      <w:r>
        <w:rPr>
          <w:rFonts w:ascii="宋体" w:hAnsi="宋体" w:eastAsia="宋体" w:cs="宋体"/>
          <w:spacing w:val="7"/>
          <w:sz w:val="29"/>
          <w:szCs w:val="29"/>
          <w14:textOutline w14:w="5448" w14:cap="sq" w14:cmpd="sng">
            <w14:solidFill>
              <w14:srgbClr w14:val="000000"/>
            </w14:solidFill>
            <w14:prstDash w14:val="solid"/>
            <w14:bevel/>
          </w14:textOutline>
        </w:rPr>
        <w:t>污染物排放总</w:t>
      </w:r>
      <w:r>
        <w:rPr>
          <w:rFonts w:ascii="宋体" w:hAnsi="宋体" w:eastAsia="宋体" w:cs="宋体"/>
          <w:spacing w:val="5"/>
          <w:sz w:val="29"/>
          <w:szCs w:val="29"/>
          <w14:textOutline w14:w="5448" w14:cap="sq" w14:cmpd="sng">
            <w14:solidFill>
              <w14:srgbClr w14:val="000000"/>
            </w14:solidFill>
            <w14:prstDash w14:val="solid"/>
            <w14:bevel/>
          </w14:textOutline>
        </w:rPr>
        <w:t>量</w:t>
      </w:r>
    </w:p>
    <w:p w14:paraId="5C44D2C6">
      <w:pPr>
        <w:spacing w:line="255" w:lineRule="auto"/>
        <w:rPr>
          <w:rFonts w:ascii="Arial"/>
          <w:sz w:val="21"/>
        </w:rPr>
      </w:pPr>
    </w:p>
    <w:p w14:paraId="724F1648">
      <w:pPr>
        <w:spacing w:before="75" w:line="228" w:lineRule="auto"/>
        <w:ind w:left="514"/>
        <w:rPr>
          <w:rFonts w:ascii="宋体" w:hAnsi="宋体" w:eastAsia="宋体" w:cs="宋体"/>
          <w:sz w:val="23"/>
          <w:szCs w:val="23"/>
        </w:rPr>
      </w:pPr>
      <w:r>
        <w:rPr>
          <w:rFonts w:ascii="宋体" w:hAnsi="宋体" w:eastAsia="宋体" w:cs="宋体"/>
          <w:spacing w:val="24"/>
          <w:sz w:val="23"/>
          <w:szCs w:val="23"/>
        </w:rPr>
        <w:t>(</w:t>
      </w:r>
      <w:r>
        <w:rPr>
          <w:rFonts w:ascii="Times New Roman" w:hAnsi="Times New Roman" w:eastAsia="Times New Roman" w:cs="Times New Roman"/>
          <w:spacing w:val="23"/>
          <w:sz w:val="23"/>
          <w:szCs w:val="23"/>
        </w:rPr>
        <w:t>1</w:t>
      </w:r>
      <w:r>
        <w:rPr>
          <w:rFonts w:ascii="宋体" w:hAnsi="宋体" w:eastAsia="宋体" w:cs="宋体"/>
          <w:spacing w:val="23"/>
          <w:sz w:val="23"/>
          <w:szCs w:val="23"/>
        </w:rPr>
        <w:t>) 废气</w:t>
      </w:r>
    </w:p>
    <w:p w14:paraId="20EEC7E9">
      <w:pPr>
        <w:spacing w:line="275" w:lineRule="auto"/>
        <w:rPr>
          <w:rFonts w:ascii="Arial"/>
          <w:sz w:val="21"/>
        </w:rPr>
      </w:pPr>
    </w:p>
    <w:p w14:paraId="1BD17662">
      <w:pPr>
        <w:spacing w:before="75" w:line="385" w:lineRule="auto"/>
        <w:ind w:left="22" w:firstLine="480"/>
        <w:rPr>
          <w:rFonts w:ascii="宋体" w:hAnsi="宋体" w:eastAsia="宋体" w:cs="宋体"/>
          <w:sz w:val="23"/>
          <w:szCs w:val="23"/>
        </w:rPr>
      </w:pPr>
      <w:r>
        <w:rPr>
          <w:rFonts w:ascii="宋体" w:hAnsi="宋体" w:eastAsia="宋体" w:cs="宋体"/>
          <w:spacing w:val="20"/>
          <w:sz w:val="23"/>
          <w:szCs w:val="23"/>
        </w:rPr>
        <w:t>根</w:t>
      </w:r>
      <w:r>
        <w:rPr>
          <w:rFonts w:ascii="宋体" w:hAnsi="宋体" w:eastAsia="宋体" w:cs="宋体"/>
          <w:spacing w:val="14"/>
          <w:sz w:val="23"/>
          <w:szCs w:val="23"/>
        </w:rPr>
        <w:t>据工程分析，该项目运营期大气污染物主要有分拣工序产生粉尘以及热</w:t>
      </w:r>
      <w:r>
        <w:rPr>
          <w:rFonts w:ascii="宋体" w:hAnsi="宋体" w:eastAsia="宋体" w:cs="宋体"/>
          <w:sz w:val="23"/>
          <w:szCs w:val="23"/>
        </w:rPr>
        <w:t xml:space="preserve"> </w:t>
      </w:r>
      <w:r>
        <w:rPr>
          <w:rFonts w:ascii="宋体" w:hAnsi="宋体" w:eastAsia="宋体" w:cs="宋体"/>
          <w:spacing w:val="8"/>
          <w:sz w:val="23"/>
          <w:szCs w:val="23"/>
        </w:rPr>
        <w:t>熔、造粒工序产</w:t>
      </w:r>
      <w:r>
        <w:rPr>
          <w:rFonts w:ascii="宋体" w:hAnsi="宋体" w:eastAsia="宋体" w:cs="宋体"/>
          <w:spacing w:val="6"/>
          <w:sz w:val="23"/>
          <w:szCs w:val="23"/>
        </w:rPr>
        <w:t>生</w:t>
      </w:r>
      <w:r>
        <w:rPr>
          <w:rFonts w:ascii="宋体" w:hAnsi="宋体" w:eastAsia="宋体" w:cs="宋体"/>
          <w:spacing w:val="4"/>
          <w:sz w:val="23"/>
          <w:szCs w:val="23"/>
        </w:rPr>
        <w:t xml:space="preserve">非甲烷总烃。该项目分拣工序粉尘排放量约为 </w:t>
      </w:r>
      <w:r>
        <w:rPr>
          <w:rFonts w:ascii="Times New Roman" w:hAnsi="Times New Roman" w:eastAsia="Times New Roman" w:cs="Times New Roman"/>
          <w:spacing w:val="4"/>
          <w:sz w:val="23"/>
          <w:szCs w:val="23"/>
        </w:rPr>
        <w:t>1.02</w:t>
      </w:r>
      <w:r>
        <w:rPr>
          <w:rFonts w:ascii="Times New Roman" w:hAnsi="Times New Roman" w:eastAsia="Times New Roman" w:cs="Times New Roman"/>
          <w:sz w:val="23"/>
          <w:szCs w:val="23"/>
        </w:rPr>
        <w:t>t</w:t>
      </w:r>
      <w:r>
        <w:rPr>
          <w:rFonts w:ascii="Times New Roman" w:hAnsi="Times New Roman" w:eastAsia="Times New Roman" w:cs="Times New Roman"/>
          <w:spacing w:val="4"/>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，热熔、</w:t>
      </w:r>
      <w:r>
        <w:rPr>
          <w:rFonts w:ascii="宋体" w:hAnsi="宋体" w:eastAsia="宋体" w:cs="宋体"/>
          <w:sz w:val="23"/>
          <w:szCs w:val="23"/>
        </w:rPr>
        <w:t xml:space="preserve"> </w:t>
      </w:r>
      <w:r>
        <w:rPr>
          <w:rFonts w:ascii="宋体" w:hAnsi="宋体" w:eastAsia="宋体" w:cs="宋体"/>
          <w:spacing w:val="6"/>
          <w:sz w:val="23"/>
          <w:szCs w:val="23"/>
        </w:rPr>
        <w:t>造粒工序</w:t>
      </w:r>
      <w:r>
        <w:rPr>
          <w:rFonts w:ascii="宋体" w:hAnsi="宋体" w:eastAsia="宋体" w:cs="宋体"/>
          <w:spacing w:val="3"/>
          <w:sz w:val="23"/>
          <w:szCs w:val="23"/>
        </w:rPr>
        <w:t xml:space="preserve">非甲烷总烃排放量约为 </w:t>
      </w:r>
      <w:r>
        <w:rPr>
          <w:rFonts w:ascii="Times New Roman" w:hAnsi="Times New Roman" w:eastAsia="Times New Roman" w:cs="Times New Roman"/>
          <w:spacing w:val="3"/>
          <w:sz w:val="23"/>
          <w:szCs w:val="23"/>
        </w:rPr>
        <w:t>4.2</w:t>
      </w:r>
      <w:r>
        <w:rPr>
          <w:rFonts w:ascii="Times New Roman" w:hAnsi="Times New Roman" w:eastAsia="Times New Roman" w:cs="Times New Roman"/>
          <w:sz w:val="23"/>
          <w:szCs w:val="23"/>
        </w:rPr>
        <w:t>t</w:t>
      </w:r>
      <w:r>
        <w:rPr>
          <w:rFonts w:ascii="Times New Roman" w:hAnsi="Times New Roman" w:eastAsia="Times New Roman" w:cs="Times New Roman"/>
          <w:spacing w:val="3"/>
          <w:sz w:val="23"/>
          <w:szCs w:val="23"/>
        </w:rPr>
        <w:t>/</w:t>
      </w:r>
      <w:r>
        <w:rPr>
          <w:rFonts w:ascii="Times New Roman" w:hAnsi="Times New Roman" w:eastAsia="Times New Roman" w:cs="Times New Roman"/>
          <w:sz w:val="23"/>
          <w:szCs w:val="23"/>
        </w:rPr>
        <w:t>a</w:t>
      </w:r>
      <w:r>
        <w:rPr>
          <w:rFonts w:ascii="宋体" w:hAnsi="宋体" w:eastAsia="宋体" w:cs="宋体"/>
          <w:spacing w:val="3"/>
          <w:sz w:val="23"/>
          <w:szCs w:val="23"/>
        </w:rPr>
        <w:t xml:space="preserve">，热风炉颗粒物排放量为 </w:t>
      </w:r>
      <w:r>
        <w:rPr>
          <w:rFonts w:ascii="Times New Roman" w:hAnsi="Times New Roman" w:eastAsia="Times New Roman" w:cs="Times New Roman"/>
          <w:spacing w:val="3"/>
          <w:sz w:val="23"/>
          <w:szCs w:val="23"/>
        </w:rPr>
        <w:t>0.003</w:t>
      </w:r>
      <w:r>
        <w:rPr>
          <w:rFonts w:ascii="Times New Roman" w:hAnsi="Times New Roman" w:eastAsia="Times New Roman" w:cs="Times New Roman"/>
          <w:sz w:val="23"/>
          <w:szCs w:val="23"/>
        </w:rPr>
        <w:t>t</w:t>
      </w:r>
      <w:r>
        <w:rPr>
          <w:rFonts w:ascii="Times New Roman" w:hAnsi="Times New Roman" w:eastAsia="Times New Roman" w:cs="Times New Roman"/>
          <w:spacing w:val="3"/>
          <w:sz w:val="23"/>
          <w:szCs w:val="23"/>
        </w:rPr>
        <w:t>/</w:t>
      </w:r>
      <w:r>
        <w:rPr>
          <w:rFonts w:ascii="Times New Roman" w:hAnsi="Times New Roman" w:eastAsia="Times New Roman" w:cs="Times New Roman"/>
          <w:sz w:val="23"/>
          <w:szCs w:val="23"/>
        </w:rPr>
        <w:t>a</w:t>
      </w:r>
      <w:r>
        <w:rPr>
          <w:rFonts w:ascii="宋体" w:hAnsi="宋体" w:eastAsia="宋体" w:cs="宋体"/>
          <w:spacing w:val="3"/>
          <w:sz w:val="23"/>
          <w:szCs w:val="23"/>
        </w:rPr>
        <w:t>，二氧化</w:t>
      </w:r>
      <w:r>
        <w:rPr>
          <w:rFonts w:ascii="宋体" w:hAnsi="宋体" w:eastAsia="宋体" w:cs="宋体"/>
          <w:sz w:val="23"/>
          <w:szCs w:val="23"/>
        </w:rPr>
        <w:t xml:space="preserve"> </w:t>
      </w:r>
      <w:r>
        <w:rPr>
          <w:rFonts w:ascii="宋体" w:hAnsi="宋体" w:eastAsia="宋体" w:cs="宋体"/>
          <w:spacing w:val="-1"/>
          <w:sz w:val="23"/>
          <w:szCs w:val="23"/>
        </w:rPr>
        <w:t xml:space="preserve">硫排放量为 </w:t>
      </w:r>
      <w:r>
        <w:rPr>
          <w:rFonts w:ascii="Times New Roman" w:hAnsi="Times New Roman" w:eastAsia="Times New Roman" w:cs="Times New Roman"/>
          <w:spacing w:val="-1"/>
          <w:sz w:val="23"/>
          <w:szCs w:val="23"/>
        </w:rPr>
        <w:t>1. 14</w:t>
      </w:r>
      <w:r>
        <w:rPr>
          <w:rFonts w:ascii="Times New Roman" w:hAnsi="Times New Roman" w:eastAsia="Times New Roman" w:cs="Times New Roman"/>
          <w:sz w:val="23"/>
          <w:szCs w:val="23"/>
        </w:rPr>
        <w:t>t</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 xml:space="preserve">，氮氧化物年排放量为 </w:t>
      </w:r>
      <w:r>
        <w:rPr>
          <w:rFonts w:ascii="Times New Roman" w:hAnsi="Times New Roman" w:eastAsia="Times New Roman" w:cs="Times New Roman"/>
          <w:spacing w:val="-1"/>
          <w:sz w:val="23"/>
          <w:szCs w:val="23"/>
        </w:rPr>
        <w:t>0.69</w:t>
      </w:r>
      <w:r>
        <w:rPr>
          <w:rFonts w:ascii="Times New Roman" w:hAnsi="Times New Roman" w:eastAsia="Times New Roman" w:cs="Times New Roman"/>
          <w:sz w:val="23"/>
          <w:szCs w:val="23"/>
        </w:rPr>
        <w:t>t</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a</w:t>
      </w:r>
      <w:r>
        <w:rPr>
          <w:rFonts w:ascii="宋体" w:hAnsi="宋体" w:eastAsia="宋体" w:cs="宋体"/>
          <w:spacing w:val="-1"/>
          <w:sz w:val="23"/>
          <w:szCs w:val="23"/>
        </w:rPr>
        <w:t>。</w:t>
      </w:r>
    </w:p>
    <w:p w14:paraId="3F9D685B">
      <w:pPr>
        <w:sectPr>
          <w:headerReference r:id="rId146" w:type="default"/>
          <w:footerReference r:id="rId147" w:type="default"/>
          <w:pgSz w:w="11906" w:h="16839"/>
          <w:pgMar w:top="1132" w:right="1745" w:bottom="1182" w:left="1785" w:header="878" w:footer="1022" w:gutter="0"/>
          <w:cols w:space="720" w:num="1"/>
        </w:sectPr>
      </w:pPr>
    </w:p>
    <w:p w14:paraId="599961DF">
      <w:pPr>
        <w:spacing w:line="409" w:lineRule="auto"/>
        <w:rPr>
          <w:rFonts w:ascii="Arial"/>
          <w:sz w:val="21"/>
        </w:rPr>
      </w:pPr>
      <w:r>
        <w:pict>
          <v:shape id="_x0000_s1208" o:spid="_x0000_s1208" style="position:absolute;left:0pt;margin-left:90pt;margin-top:57.35pt;height:0.75pt;width:415.3pt;mso-position-horizontal-relative:page;mso-position-vertical-relative:page;z-index:251859968;mso-width-relative:page;mso-height-relative:page;" fillcolor="#000000" filled="t" stroked="f" coordsize="8305,15" o:allowincell="f" path="m0,0l8305,0,8305,14,0,14,0,0xe">
            <v:path/>
            <v:fill on="t" focussize="0,0"/>
            <v:stroke on="f"/>
            <v:imagedata o:title=""/>
            <o:lock v:ext="edit"/>
          </v:shape>
        </w:pict>
      </w:r>
    </w:p>
    <w:p w14:paraId="2CA8D2ED">
      <w:pPr>
        <w:spacing w:before="74" w:line="227" w:lineRule="auto"/>
        <w:ind w:left="514"/>
        <w:rPr>
          <w:rFonts w:ascii="宋体" w:hAnsi="宋体" w:eastAsia="宋体" w:cs="宋体"/>
          <w:sz w:val="23"/>
          <w:szCs w:val="23"/>
        </w:rPr>
      </w:pPr>
      <w:r>
        <w:rPr>
          <w:rFonts w:ascii="宋体" w:hAnsi="宋体" w:eastAsia="宋体" w:cs="宋体"/>
          <w:spacing w:val="24"/>
          <w:sz w:val="23"/>
          <w:szCs w:val="23"/>
        </w:rPr>
        <w:t>(</w:t>
      </w:r>
      <w:r>
        <w:rPr>
          <w:rFonts w:ascii="Times New Roman" w:hAnsi="Times New Roman" w:eastAsia="Times New Roman" w:cs="Times New Roman"/>
          <w:spacing w:val="23"/>
          <w:sz w:val="23"/>
          <w:szCs w:val="23"/>
        </w:rPr>
        <w:t>2</w:t>
      </w:r>
      <w:r>
        <w:rPr>
          <w:rFonts w:ascii="宋体" w:hAnsi="宋体" w:eastAsia="宋体" w:cs="宋体"/>
          <w:spacing w:val="23"/>
          <w:sz w:val="23"/>
          <w:szCs w:val="23"/>
        </w:rPr>
        <w:t>) 废水</w:t>
      </w:r>
    </w:p>
    <w:p w14:paraId="0660F02A">
      <w:pPr>
        <w:spacing w:line="277" w:lineRule="auto"/>
        <w:rPr>
          <w:rFonts w:ascii="Arial"/>
          <w:sz w:val="21"/>
        </w:rPr>
      </w:pPr>
    </w:p>
    <w:p w14:paraId="3ABF6677">
      <w:pPr>
        <w:spacing w:before="75" w:line="386" w:lineRule="auto"/>
        <w:ind w:left="22" w:right="54" w:firstLine="460"/>
        <w:rPr>
          <w:rFonts w:ascii="宋体" w:hAnsi="宋体" w:eastAsia="宋体" w:cs="宋体"/>
          <w:sz w:val="23"/>
          <w:szCs w:val="23"/>
        </w:rPr>
      </w:pPr>
      <w:r>
        <w:rPr>
          <w:rFonts w:ascii="宋体" w:hAnsi="宋体" w:eastAsia="宋体" w:cs="宋体"/>
          <w:spacing w:val="14"/>
          <w:sz w:val="23"/>
          <w:szCs w:val="23"/>
        </w:rPr>
        <w:t>该</w:t>
      </w:r>
      <w:r>
        <w:rPr>
          <w:rFonts w:ascii="宋体" w:hAnsi="宋体" w:eastAsia="宋体" w:cs="宋体"/>
          <w:spacing w:val="13"/>
          <w:sz w:val="23"/>
          <w:szCs w:val="23"/>
        </w:rPr>
        <w:t>项</w:t>
      </w:r>
      <w:r>
        <w:rPr>
          <w:rFonts w:ascii="宋体" w:hAnsi="宋体" w:eastAsia="宋体" w:cs="宋体"/>
          <w:spacing w:val="7"/>
          <w:sz w:val="23"/>
          <w:szCs w:val="23"/>
        </w:rPr>
        <w:t>目排水主要包括生活污水以及生产废水，其中生产废水主要包括破碎工</w:t>
      </w:r>
      <w:r>
        <w:rPr>
          <w:rFonts w:ascii="宋体" w:hAnsi="宋体" w:eastAsia="宋体" w:cs="宋体"/>
          <w:sz w:val="23"/>
          <w:szCs w:val="23"/>
        </w:rPr>
        <w:t xml:space="preserve"> </w:t>
      </w:r>
      <w:r>
        <w:rPr>
          <w:rFonts w:ascii="宋体" w:hAnsi="宋体" w:eastAsia="宋体" w:cs="宋体"/>
          <w:spacing w:val="9"/>
          <w:sz w:val="23"/>
          <w:szCs w:val="23"/>
        </w:rPr>
        <w:t>序</w:t>
      </w:r>
      <w:r>
        <w:rPr>
          <w:rFonts w:ascii="宋体" w:hAnsi="宋体" w:eastAsia="宋体" w:cs="宋体"/>
          <w:spacing w:val="7"/>
          <w:sz w:val="23"/>
          <w:szCs w:val="23"/>
        </w:rPr>
        <w:t>产生的废水，原料初洗工序、洗字工序、二次清洗工序产生的清洗废水、脱水</w:t>
      </w:r>
      <w:r>
        <w:rPr>
          <w:rFonts w:ascii="宋体" w:hAnsi="宋体" w:eastAsia="宋体" w:cs="宋体"/>
          <w:sz w:val="23"/>
          <w:szCs w:val="23"/>
        </w:rPr>
        <w:t xml:space="preserve"> </w:t>
      </w:r>
      <w:r>
        <w:rPr>
          <w:rFonts w:ascii="宋体" w:hAnsi="宋体" w:eastAsia="宋体" w:cs="宋体"/>
          <w:spacing w:val="7"/>
          <w:sz w:val="23"/>
          <w:szCs w:val="23"/>
        </w:rPr>
        <w:t xml:space="preserve">工序产生的废水以及循环冷却废水，总排水量为 </w:t>
      </w:r>
      <w:r>
        <w:rPr>
          <w:rFonts w:ascii="Times New Roman" w:hAnsi="Times New Roman" w:eastAsia="Times New Roman" w:cs="Times New Roman"/>
          <w:spacing w:val="7"/>
          <w:sz w:val="23"/>
          <w:szCs w:val="23"/>
        </w:rPr>
        <w:t>2483.52</w:t>
      </w:r>
      <w:r>
        <w:rPr>
          <w:rFonts w:ascii="Times New Roman" w:hAnsi="Times New Roman" w:eastAsia="Times New Roman" w:cs="Times New Roman"/>
          <w:sz w:val="23"/>
          <w:szCs w:val="23"/>
        </w:rPr>
        <w:t>m</w:t>
      </w:r>
      <w:r>
        <w:rPr>
          <w:rFonts w:ascii="Times New Roman" w:hAnsi="Times New Roman" w:eastAsia="Times New Roman" w:cs="Times New Roman"/>
          <w:spacing w:val="7"/>
          <w:position w:val="8"/>
          <w:sz w:val="15"/>
          <w:szCs w:val="15"/>
        </w:rPr>
        <w:t>3</w:t>
      </w:r>
      <w:r>
        <w:rPr>
          <w:rFonts w:ascii="Times New Roman" w:hAnsi="Times New Roman" w:eastAsia="Times New Roman" w:cs="Times New Roman"/>
          <w:spacing w:val="7"/>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。该项目在厂区</w:t>
      </w:r>
      <w:r>
        <w:rPr>
          <w:rFonts w:ascii="宋体" w:hAnsi="宋体" w:eastAsia="宋体" w:cs="宋体"/>
          <w:spacing w:val="5"/>
          <w:sz w:val="23"/>
          <w:szCs w:val="23"/>
        </w:rPr>
        <w:t>东</w:t>
      </w:r>
      <w:r>
        <w:rPr>
          <w:rFonts w:ascii="宋体" w:hAnsi="宋体" w:eastAsia="宋体" w:cs="宋体"/>
          <w:sz w:val="23"/>
          <w:szCs w:val="23"/>
        </w:rPr>
        <w:t xml:space="preserve"> </w:t>
      </w:r>
      <w:r>
        <w:rPr>
          <w:rFonts w:ascii="宋体" w:hAnsi="宋体" w:eastAsia="宋体" w:cs="宋体"/>
          <w:spacing w:val="12"/>
          <w:sz w:val="23"/>
          <w:szCs w:val="23"/>
        </w:rPr>
        <w:t xml:space="preserve">南侧设有旱厕，员工使用防渗旱厕，定期清掏，不外排；项目设有 </w:t>
      </w:r>
      <w:r>
        <w:rPr>
          <w:rFonts w:ascii="Times New Roman" w:hAnsi="Times New Roman" w:eastAsia="Times New Roman" w:cs="Times New Roman"/>
          <w:spacing w:val="12"/>
          <w:sz w:val="23"/>
          <w:szCs w:val="23"/>
        </w:rPr>
        <w:t xml:space="preserve">1 </w:t>
      </w:r>
      <w:r>
        <w:rPr>
          <w:rFonts w:ascii="宋体" w:hAnsi="宋体" w:eastAsia="宋体" w:cs="宋体"/>
          <w:spacing w:val="12"/>
          <w:sz w:val="23"/>
          <w:szCs w:val="23"/>
        </w:rPr>
        <w:t>座容积为</w:t>
      </w:r>
      <w:r>
        <w:rPr>
          <w:rFonts w:ascii="宋体" w:hAnsi="宋体" w:eastAsia="宋体" w:cs="宋体"/>
          <w:sz w:val="23"/>
          <w:szCs w:val="23"/>
        </w:rPr>
        <w:t xml:space="preserve"> </w:t>
      </w:r>
      <w:r>
        <w:rPr>
          <w:rFonts w:ascii="Times New Roman" w:hAnsi="Times New Roman" w:eastAsia="Times New Roman" w:cs="Times New Roman"/>
          <w:spacing w:val="8"/>
          <w:sz w:val="23"/>
          <w:szCs w:val="23"/>
        </w:rPr>
        <w:t>324</w:t>
      </w:r>
      <w:r>
        <w:rPr>
          <w:rFonts w:ascii="Times New Roman" w:hAnsi="Times New Roman" w:eastAsia="Times New Roman" w:cs="Times New Roman"/>
          <w:sz w:val="23"/>
          <w:szCs w:val="23"/>
        </w:rPr>
        <w:t>m</w:t>
      </w:r>
      <w:r>
        <w:rPr>
          <w:rFonts w:ascii="Times New Roman" w:hAnsi="Times New Roman" w:eastAsia="Times New Roman" w:cs="Times New Roman"/>
          <w:spacing w:val="8"/>
          <w:position w:val="8"/>
          <w:sz w:val="15"/>
          <w:szCs w:val="15"/>
        </w:rPr>
        <w:t xml:space="preserve">3 </w:t>
      </w:r>
      <w:r>
        <w:rPr>
          <w:rFonts w:ascii="宋体" w:hAnsi="宋体" w:eastAsia="宋体" w:cs="宋体"/>
          <w:spacing w:val="8"/>
          <w:sz w:val="23"/>
          <w:szCs w:val="23"/>
        </w:rPr>
        <w:t>的三</w:t>
      </w:r>
      <w:r>
        <w:rPr>
          <w:rFonts w:ascii="宋体" w:hAnsi="宋体" w:eastAsia="宋体" w:cs="宋体"/>
          <w:spacing w:val="4"/>
          <w:sz w:val="23"/>
          <w:szCs w:val="23"/>
        </w:rPr>
        <w:t>级沉淀池 (</w:t>
      </w:r>
      <w:r>
        <w:rPr>
          <w:rFonts w:ascii="Times New Roman" w:hAnsi="Times New Roman" w:eastAsia="Times New Roman" w:cs="Times New Roman"/>
          <w:spacing w:val="4"/>
          <w:sz w:val="23"/>
          <w:szCs w:val="23"/>
        </w:rPr>
        <w:t>12</w:t>
      </w:r>
      <w:r>
        <w:rPr>
          <w:rFonts w:ascii="Times New Roman" w:hAnsi="Times New Roman" w:eastAsia="Times New Roman" w:cs="Times New Roman"/>
          <w:sz w:val="23"/>
          <w:szCs w:val="23"/>
        </w:rPr>
        <w:t>m</w:t>
      </w:r>
      <w:r>
        <w:rPr>
          <w:rFonts w:ascii="Times New Roman" w:hAnsi="Times New Roman" w:eastAsia="Times New Roman" w:cs="Times New Roman"/>
          <w:spacing w:val="4"/>
          <w:sz w:val="23"/>
          <w:szCs w:val="23"/>
        </w:rPr>
        <w:t>×6</w:t>
      </w:r>
      <w:r>
        <w:rPr>
          <w:rFonts w:ascii="Times New Roman" w:hAnsi="Times New Roman" w:eastAsia="Times New Roman" w:cs="Times New Roman"/>
          <w:sz w:val="23"/>
          <w:szCs w:val="23"/>
        </w:rPr>
        <w:t>m</w:t>
      </w:r>
      <w:r>
        <w:rPr>
          <w:rFonts w:ascii="Times New Roman" w:hAnsi="Times New Roman" w:eastAsia="Times New Roman" w:cs="Times New Roman"/>
          <w:spacing w:val="4"/>
          <w:sz w:val="23"/>
          <w:szCs w:val="23"/>
        </w:rPr>
        <w:t>×4.5</w:t>
      </w:r>
      <w:r>
        <w:rPr>
          <w:rFonts w:ascii="Times New Roman" w:hAnsi="Times New Roman" w:eastAsia="Times New Roman" w:cs="Times New Roman"/>
          <w:sz w:val="23"/>
          <w:szCs w:val="23"/>
        </w:rPr>
        <w:t>m</w:t>
      </w:r>
      <w:r>
        <w:rPr>
          <w:rFonts w:ascii="宋体" w:hAnsi="宋体" w:eastAsia="宋体" w:cs="宋体"/>
          <w:spacing w:val="4"/>
          <w:sz w:val="23"/>
          <w:szCs w:val="23"/>
        </w:rPr>
        <w:t xml:space="preserve">) ，同时配套设有 </w:t>
      </w:r>
      <w:r>
        <w:rPr>
          <w:rFonts w:ascii="Times New Roman" w:hAnsi="Times New Roman" w:eastAsia="Times New Roman" w:cs="Times New Roman"/>
          <w:spacing w:val="4"/>
          <w:sz w:val="23"/>
          <w:szCs w:val="23"/>
        </w:rPr>
        <w:t xml:space="preserve">1 </w:t>
      </w:r>
      <w:r>
        <w:rPr>
          <w:rFonts w:ascii="宋体" w:hAnsi="宋体" w:eastAsia="宋体" w:cs="宋体"/>
          <w:spacing w:val="4"/>
          <w:sz w:val="23"/>
          <w:szCs w:val="23"/>
        </w:rPr>
        <w:t>台一体化污水预处理设</w:t>
      </w:r>
      <w:r>
        <w:rPr>
          <w:rFonts w:ascii="宋体" w:hAnsi="宋体" w:eastAsia="宋体" w:cs="宋体"/>
          <w:sz w:val="23"/>
          <w:szCs w:val="23"/>
        </w:rPr>
        <w:t xml:space="preserve"> </w:t>
      </w:r>
      <w:r>
        <w:rPr>
          <w:rFonts w:ascii="宋体" w:hAnsi="宋体" w:eastAsia="宋体" w:cs="宋体"/>
          <w:spacing w:val="9"/>
          <w:sz w:val="23"/>
          <w:szCs w:val="23"/>
        </w:rPr>
        <w:t>备</w:t>
      </w:r>
      <w:r>
        <w:rPr>
          <w:rFonts w:ascii="宋体" w:hAnsi="宋体" w:eastAsia="宋体" w:cs="宋体"/>
          <w:spacing w:val="7"/>
          <w:sz w:val="23"/>
          <w:szCs w:val="23"/>
        </w:rPr>
        <w:t>，均位于生产厂房西南侧，产生的生产废水经一体化污水预处理设备处理后排</w:t>
      </w:r>
      <w:r>
        <w:rPr>
          <w:rFonts w:ascii="宋体" w:hAnsi="宋体" w:eastAsia="宋体" w:cs="宋体"/>
          <w:sz w:val="23"/>
          <w:szCs w:val="23"/>
        </w:rPr>
        <w:t xml:space="preserve"> </w:t>
      </w:r>
      <w:r>
        <w:rPr>
          <w:rFonts w:ascii="宋体" w:hAnsi="宋体" w:eastAsia="宋体" w:cs="宋体"/>
          <w:spacing w:val="10"/>
          <w:sz w:val="23"/>
          <w:szCs w:val="23"/>
        </w:rPr>
        <w:t>入三级</w:t>
      </w:r>
      <w:r>
        <w:rPr>
          <w:rFonts w:ascii="宋体" w:hAnsi="宋体" w:eastAsia="宋体" w:cs="宋体"/>
          <w:spacing w:val="8"/>
          <w:sz w:val="23"/>
          <w:szCs w:val="23"/>
        </w:rPr>
        <w:t>沉</w:t>
      </w:r>
      <w:r>
        <w:rPr>
          <w:rFonts w:ascii="宋体" w:hAnsi="宋体" w:eastAsia="宋体" w:cs="宋体"/>
          <w:spacing w:val="5"/>
          <w:sz w:val="23"/>
          <w:szCs w:val="23"/>
        </w:rPr>
        <w:t>淀池 (</w:t>
      </w:r>
      <w:r>
        <w:rPr>
          <w:rFonts w:ascii="Times New Roman" w:hAnsi="Times New Roman" w:eastAsia="Times New Roman" w:cs="Times New Roman"/>
          <w:spacing w:val="5"/>
          <w:sz w:val="23"/>
          <w:szCs w:val="23"/>
        </w:rPr>
        <w:t>12</w:t>
      </w:r>
      <w:r>
        <w:rPr>
          <w:rFonts w:ascii="Times New Roman" w:hAnsi="Times New Roman" w:eastAsia="Times New Roman" w:cs="Times New Roman"/>
          <w:sz w:val="23"/>
          <w:szCs w:val="23"/>
        </w:rPr>
        <w:t>m</w:t>
      </w:r>
      <w:r>
        <w:rPr>
          <w:rFonts w:ascii="Times New Roman" w:hAnsi="Times New Roman" w:eastAsia="Times New Roman" w:cs="Times New Roman"/>
          <w:spacing w:val="5"/>
          <w:sz w:val="23"/>
          <w:szCs w:val="23"/>
        </w:rPr>
        <w:t>×6</w:t>
      </w:r>
      <w:r>
        <w:rPr>
          <w:rFonts w:ascii="Times New Roman" w:hAnsi="Times New Roman" w:eastAsia="Times New Roman" w:cs="Times New Roman"/>
          <w:sz w:val="23"/>
          <w:szCs w:val="23"/>
        </w:rPr>
        <w:t>m</w:t>
      </w:r>
      <w:r>
        <w:rPr>
          <w:rFonts w:ascii="Times New Roman" w:hAnsi="Times New Roman" w:eastAsia="Times New Roman" w:cs="Times New Roman"/>
          <w:spacing w:val="5"/>
          <w:sz w:val="23"/>
          <w:szCs w:val="23"/>
        </w:rPr>
        <w:t>×4.5</w:t>
      </w:r>
      <w:r>
        <w:rPr>
          <w:rFonts w:ascii="Times New Roman" w:hAnsi="Times New Roman" w:eastAsia="Times New Roman" w:cs="Times New Roman"/>
          <w:sz w:val="23"/>
          <w:szCs w:val="23"/>
        </w:rPr>
        <w:t>m</w:t>
      </w:r>
      <w:r>
        <w:rPr>
          <w:rFonts w:ascii="宋体" w:hAnsi="宋体" w:eastAsia="宋体" w:cs="宋体"/>
          <w:spacing w:val="5"/>
          <w:sz w:val="23"/>
          <w:szCs w:val="23"/>
        </w:rPr>
        <w:t>) 沉淀处理，随后循环使用。污水处理设施废水每</w:t>
      </w:r>
      <w:r>
        <w:rPr>
          <w:rFonts w:ascii="宋体" w:hAnsi="宋体" w:eastAsia="宋体" w:cs="宋体"/>
          <w:sz w:val="23"/>
          <w:szCs w:val="23"/>
        </w:rPr>
        <w:t xml:space="preserve"> </w:t>
      </w:r>
      <w:r>
        <w:rPr>
          <w:rFonts w:ascii="宋体" w:hAnsi="宋体" w:eastAsia="宋体" w:cs="宋体"/>
          <w:spacing w:val="-1"/>
          <w:sz w:val="23"/>
          <w:szCs w:val="23"/>
        </w:rPr>
        <w:t xml:space="preserve">月更换 </w:t>
      </w:r>
      <w:r>
        <w:rPr>
          <w:rFonts w:ascii="Times New Roman" w:hAnsi="Times New Roman" w:eastAsia="Times New Roman" w:cs="Times New Roman"/>
          <w:spacing w:val="-1"/>
          <w:sz w:val="23"/>
          <w:szCs w:val="23"/>
        </w:rPr>
        <w:t xml:space="preserve">1 </w:t>
      </w:r>
      <w:r>
        <w:rPr>
          <w:rFonts w:ascii="宋体" w:hAnsi="宋体" w:eastAsia="宋体" w:cs="宋体"/>
          <w:spacing w:val="-1"/>
          <w:sz w:val="23"/>
          <w:szCs w:val="23"/>
        </w:rPr>
        <w:t xml:space="preserve">次，则该项目全年更换废水量为 </w:t>
      </w:r>
      <w:r>
        <w:rPr>
          <w:rFonts w:ascii="Times New Roman" w:hAnsi="Times New Roman" w:eastAsia="Times New Roman" w:cs="Times New Roman"/>
          <w:spacing w:val="-1"/>
          <w:sz w:val="23"/>
          <w:szCs w:val="23"/>
        </w:rPr>
        <w:t>1523.52</w:t>
      </w:r>
      <w:r>
        <w:rPr>
          <w:rFonts w:ascii="Times New Roman" w:hAnsi="Times New Roman" w:eastAsia="Times New Roman" w:cs="Times New Roman"/>
          <w:sz w:val="23"/>
          <w:szCs w:val="23"/>
        </w:rPr>
        <w:t>m</w:t>
      </w:r>
      <w:r>
        <w:rPr>
          <w:rFonts w:ascii="Times New Roman" w:hAnsi="Times New Roman" w:eastAsia="Times New Roman" w:cs="Times New Roman"/>
          <w:spacing w:val="-1"/>
          <w:position w:val="8"/>
          <w:sz w:val="15"/>
          <w:szCs w:val="15"/>
        </w:rPr>
        <w:t xml:space="preserve">3 </w:t>
      </w:r>
      <w:r>
        <w:rPr>
          <w:rFonts w:ascii="宋体" w:hAnsi="宋体" w:eastAsia="宋体" w:cs="宋体"/>
          <w:spacing w:val="-1"/>
          <w:sz w:val="23"/>
          <w:szCs w:val="23"/>
        </w:rPr>
        <w:t>，更</w:t>
      </w:r>
      <w:r>
        <w:rPr>
          <w:rFonts w:ascii="宋体" w:hAnsi="宋体" w:eastAsia="宋体" w:cs="宋体"/>
          <w:sz w:val="23"/>
          <w:szCs w:val="23"/>
        </w:rPr>
        <w:t xml:space="preserve">换过程产生的废水经吸污 </w:t>
      </w:r>
      <w:r>
        <w:rPr>
          <w:rFonts w:ascii="宋体" w:hAnsi="宋体" w:eastAsia="宋体" w:cs="宋体"/>
          <w:spacing w:val="-2"/>
          <w:sz w:val="23"/>
          <w:szCs w:val="23"/>
        </w:rPr>
        <w:t>车运送至本溪市科态污水处理有限责任公司</w:t>
      </w:r>
      <w:r>
        <w:rPr>
          <w:rFonts w:ascii="宋体" w:hAnsi="宋体" w:eastAsia="宋体" w:cs="宋体"/>
          <w:spacing w:val="-1"/>
          <w:sz w:val="23"/>
          <w:szCs w:val="23"/>
        </w:rPr>
        <w:t>统一处理。</w:t>
      </w:r>
    </w:p>
    <w:p w14:paraId="3178ED1B">
      <w:pPr>
        <w:spacing w:before="101" w:line="390" w:lineRule="auto"/>
        <w:ind w:left="23" w:right="46" w:firstLine="482"/>
        <w:rPr>
          <w:rFonts w:ascii="宋体" w:hAnsi="宋体" w:eastAsia="宋体" w:cs="宋体"/>
          <w:sz w:val="23"/>
          <w:szCs w:val="23"/>
        </w:rPr>
      </w:pPr>
      <w:r>
        <w:rPr>
          <w:rFonts w:ascii="宋体" w:hAnsi="宋体" w:eastAsia="宋体" w:cs="宋体"/>
          <w:spacing w:val="8"/>
          <w:sz w:val="23"/>
          <w:szCs w:val="23"/>
        </w:rPr>
        <w:t>根据辽环发</w:t>
      </w:r>
      <w:r>
        <w:rPr>
          <w:rFonts w:ascii="Times New Roman" w:hAnsi="Times New Roman" w:eastAsia="Times New Roman" w:cs="Times New Roman"/>
          <w:spacing w:val="8"/>
          <w:sz w:val="23"/>
          <w:szCs w:val="23"/>
        </w:rPr>
        <w:t>[2</w:t>
      </w:r>
      <w:r>
        <w:rPr>
          <w:rFonts w:ascii="Times New Roman" w:hAnsi="Times New Roman" w:eastAsia="Times New Roman" w:cs="Times New Roman"/>
          <w:spacing w:val="6"/>
          <w:sz w:val="23"/>
          <w:szCs w:val="23"/>
        </w:rPr>
        <w:t>0</w:t>
      </w:r>
      <w:r>
        <w:rPr>
          <w:rFonts w:ascii="Times New Roman" w:hAnsi="Times New Roman" w:eastAsia="Times New Roman" w:cs="Times New Roman"/>
          <w:spacing w:val="4"/>
          <w:sz w:val="23"/>
          <w:szCs w:val="23"/>
        </w:rPr>
        <w:t xml:space="preserve">15] 17 </w:t>
      </w:r>
      <w:r>
        <w:rPr>
          <w:rFonts w:ascii="宋体" w:hAnsi="宋体" w:eastAsia="宋体" w:cs="宋体"/>
          <w:spacing w:val="4"/>
          <w:sz w:val="23"/>
          <w:szCs w:val="23"/>
        </w:rPr>
        <w:t>号文件，向集中式污水处理设施排污的建设项目，其总</w:t>
      </w:r>
      <w:r>
        <w:rPr>
          <w:rFonts w:ascii="宋体" w:hAnsi="宋体" w:eastAsia="宋体" w:cs="宋体"/>
          <w:sz w:val="23"/>
          <w:szCs w:val="23"/>
        </w:rPr>
        <w:t xml:space="preserve"> </w:t>
      </w:r>
      <w:r>
        <w:rPr>
          <w:rFonts w:ascii="宋体" w:hAnsi="宋体" w:eastAsia="宋体" w:cs="宋体"/>
          <w:spacing w:val="8"/>
          <w:sz w:val="23"/>
          <w:szCs w:val="23"/>
        </w:rPr>
        <w:t>量指标按</w:t>
      </w:r>
      <w:r>
        <w:rPr>
          <w:rFonts w:ascii="宋体" w:hAnsi="宋体" w:eastAsia="宋体" w:cs="宋体"/>
          <w:spacing w:val="7"/>
          <w:sz w:val="23"/>
          <w:szCs w:val="23"/>
        </w:rPr>
        <w:t>《</w:t>
      </w:r>
      <w:r>
        <w:rPr>
          <w:rFonts w:ascii="宋体" w:hAnsi="宋体" w:eastAsia="宋体" w:cs="宋体"/>
          <w:spacing w:val="4"/>
          <w:sz w:val="23"/>
          <w:szCs w:val="23"/>
        </w:rPr>
        <w:t>辽宁省污水综合排放标准》 (</w:t>
      </w:r>
      <w:r>
        <w:rPr>
          <w:rFonts w:ascii="Times New Roman" w:hAnsi="Times New Roman" w:eastAsia="Times New Roman" w:cs="Times New Roman"/>
          <w:sz w:val="23"/>
          <w:szCs w:val="23"/>
        </w:rPr>
        <w:t>DB</w:t>
      </w:r>
      <w:r>
        <w:rPr>
          <w:rFonts w:ascii="Times New Roman" w:hAnsi="Times New Roman" w:eastAsia="Times New Roman" w:cs="Times New Roman"/>
          <w:spacing w:val="4"/>
          <w:sz w:val="23"/>
          <w:szCs w:val="23"/>
        </w:rPr>
        <w:t>21/ 1627-2008</w:t>
      </w:r>
      <w:r>
        <w:rPr>
          <w:rFonts w:ascii="宋体" w:hAnsi="宋体" w:eastAsia="宋体" w:cs="宋体"/>
          <w:spacing w:val="4"/>
          <w:sz w:val="23"/>
          <w:szCs w:val="23"/>
        </w:rPr>
        <w:t>) 规定的集中式污水处</w:t>
      </w:r>
      <w:r>
        <w:rPr>
          <w:rFonts w:ascii="宋体" w:hAnsi="宋体" w:eastAsia="宋体" w:cs="宋体"/>
          <w:sz w:val="23"/>
          <w:szCs w:val="23"/>
        </w:rPr>
        <w:t xml:space="preserve"> </w:t>
      </w:r>
      <w:r>
        <w:rPr>
          <w:rFonts w:ascii="宋体" w:hAnsi="宋体" w:eastAsia="宋体" w:cs="宋体"/>
          <w:spacing w:val="9"/>
          <w:sz w:val="23"/>
          <w:szCs w:val="23"/>
        </w:rPr>
        <w:t>理</w:t>
      </w:r>
      <w:r>
        <w:rPr>
          <w:rFonts w:ascii="宋体" w:hAnsi="宋体" w:eastAsia="宋体" w:cs="宋体"/>
          <w:spacing w:val="7"/>
          <w:sz w:val="23"/>
          <w:szCs w:val="23"/>
        </w:rPr>
        <w:t>设施排放标准予以核定，同时核定项目排污口最大允许排放量。因此项目排污</w:t>
      </w:r>
      <w:r>
        <w:rPr>
          <w:rFonts w:ascii="宋体" w:hAnsi="宋体" w:eastAsia="宋体" w:cs="宋体"/>
          <w:sz w:val="23"/>
          <w:szCs w:val="23"/>
        </w:rPr>
        <w:t xml:space="preserve"> </w:t>
      </w:r>
      <w:r>
        <w:rPr>
          <w:rFonts w:ascii="宋体" w:hAnsi="宋体" w:eastAsia="宋体" w:cs="宋体"/>
          <w:spacing w:val="7"/>
          <w:sz w:val="23"/>
          <w:szCs w:val="23"/>
        </w:rPr>
        <w:t>口最大允许排放浓度按《辽宁省污水综合排放标准》  (</w:t>
      </w:r>
      <w:r>
        <w:rPr>
          <w:rFonts w:ascii="Times New Roman" w:hAnsi="Times New Roman" w:eastAsia="Times New Roman" w:cs="Times New Roman"/>
          <w:sz w:val="23"/>
          <w:szCs w:val="23"/>
        </w:rPr>
        <w:t>DB</w:t>
      </w:r>
      <w:r>
        <w:rPr>
          <w:rFonts w:ascii="Times New Roman" w:hAnsi="Times New Roman" w:eastAsia="Times New Roman" w:cs="Times New Roman"/>
          <w:spacing w:val="7"/>
          <w:sz w:val="23"/>
          <w:szCs w:val="23"/>
        </w:rPr>
        <w:t>21/ 1627-2008</w:t>
      </w:r>
      <w:r>
        <w:rPr>
          <w:rFonts w:ascii="宋体" w:hAnsi="宋体" w:eastAsia="宋体" w:cs="宋体"/>
          <w:spacing w:val="7"/>
          <w:sz w:val="23"/>
          <w:szCs w:val="23"/>
        </w:rPr>
        <w:t xml:space="preserve">) 表 </w:t>
      </w:r>
      <w:r>
        <w:rPr>
          <w:rFonts w:ascii="Times New Roman" w:hAnsi="Times New Roman" w:eastAsia="Times New Roman" w:cs="Times New Roman"/>
          <w:spacing w:val="3"/>
          <w:sz w:val="23"/>
          <w:szCs w:val="23"/>
        </w:rPr>
        <w:t>2</w:t>
      </w:r>
      <w:r>
        <w:rPr>
          <w:rFonts w:ascii="Times New Roman" w:hAnsi="Times New Roman" w:eastAsia="Times New Roman" w:cs="Times New Roman"/>
          <w:sz w:val="23"/>
          <w:szCs w:val="23"/>
        </w:rPr>
        <w:t xml:space="preserve"> </w:t>
      </w:r>
      <w:r>
        <w:rPr>
          <w:rFonts w:ascii="宋体" w:hAnsi="宋体" w:eastAsia="宋体" w:cs="宋体"/>
          <w:spacing w:val="4"/>
          <w:sz w:val="23"/>
          <w:szCs w:val="23"/>
        </w:rPr>
        <w:t>中核定，即排放标准为</w:t>
      </w:r>
      <w:r>
        <w:rPr>
          <w:rFonts w:ascii="宋体" w:hAnsi="宋体" w:eastAsia="宋体" w:cs="宋体"/>
          <w:spacing w:val="3"/>
          <w:sz w:val="23"/>
          <w:szCs w:val="23"/>
        </w:rPr>
        <w:t xml:space="preserve"> </w:t>
      </w:r>
      <w:r>
        <w:rPr>
          <w:rFonts w:ascii="Times New Roman" w:hAnsi="Times New Roman" w:eastAsia="Times New Roman" w:cs="Times New Roman"/>
          <w:sz w:val="23"/>
          <w:szCs w:val="23"/>
        </w:rPr>
        <w:t>COD</w:t>
      </w:r>
      <w:r>
        <w:rPr>
          <w:rFonts w:ascii="宋体" w:hAnsi="宋体" w:eastAsia="宋体" w:cs="宋体"/>
          <w:spacing w:val="2"/>
          <w:sz w:val="23"/>
          <w:szCs w:val="23"/>
        </w:rPr>
        <w:t>：</w:t>
      </w:r>
      <w:r>
        <w:rPr>
          <w:rFonts w:ascii="Times New Roman" w:hAnsi="Times New Roman" w:eastAsia="Times New Roman" w:cs="Times New Roman"/>
          <w:spacing w:val="2"/>
          <w:sz w:val="23"/>
          <w:szCs w:val="23"/>
        </w:rPr>
        <w:t>300</w:t>
      </w:r>
      <w:r>
        <w:rPr>
          <w:rFonts w:ascii="Times New Roman" w:hAnsi="Times New Roman" w:eastAsia="Times New Roman" w:cs="Times New Roman"/>
          <w:sz w:val="23"/>
          <w:szCs w:val="23"/>
        </w:rPr>
        <w:t>mg</w:t>
      </w:r>
      <w:r>
        <w:rPr>
          <w:rFonts w:ascii="Times New Roman" w:hAnsi="Times New Roman" w:eastAsia="Times New Roman" w:cs="Times New Roman"/>
          <w:spacing w:val="2"/>
          <w:sz w:val="23"/>
          <w:szCs w:val="23"/>
        </w:rPr>
        <w:t>/</w:t>
      </w:r>
      <w:r>
        <w:rPr>
          <w:rFonts w:ascii="Times New Roman" w:hAnsi="Times New Roman" w:eastAsia="Times New Roman" w:cs="Times New Roman"/>
          <w:sz w:val="23"/>
          <w:szCs w:val="23"/>
        </w:rPr>
        <w:t>L</w:t>
      </w:r>
      <w:r>
        <w:rPr>
          <w:rFonts w:ascii="宋体" w:hAnsi="宋体" w:eastAsia="宋体" w:cs="宋体"/>
          <w:spacing w:val="2"/>
          <w:sz w:val="23"/>
          <w:szCs w:val="23"/>
        </w:rPr>
        <w:t>；</w:t>
      </w:r>
      <w:r>
        <w:rPr>
          <w:rFonts w:ascii="Times New Roman" w:hAnsi="Times New Roman" w:eastAsia="Times New Roman" w:cs="Times New Roman"/>
          <w:sz w:val="23"/>
          <w:szCs w:val="23"/>
        </w:rPr>
        <w:t>NH</w:t>
      </w:r>
      <w:r>
        <w:rPr>
          <w:rFonts w:ascii="Times New Roman" w:hAnsi="Times New Roman" w:eastAsia="Times New Roman" w:cs="Times New Roman"/>
          <w:spacing w:val="2"/>
          <w:position w:val="-1"/>
          <w:sz w:val="15"/>
          <w:szCs w:val="15"/>
        </w:rPr>
        <w:t>3</w:t>
      </w:r>
      <w:r>
        <w:rPr>
          <w:rFonts w:ascii="Times New Roman" w:hAnsi="Times New Roman" w:eastAsia="Times New Roman" w:cs="Times New Roman"/>
          <w:spacing w:val="2"/>
          <w:sz w:val="23"/>
          <w:szCs w:val="23"/>
        </w:rPr>
        <w:t>-</w:t>
      </w:r>
      <w:r>
        <w:rPr>
          <w:rFonts w:ascii="Times New Roman" w:hAnsi="Times New Roman" w:eastAsia="Times New Roman" w:cs="Times New Roman"/>
          <w:sz w:val="23"/>
          <w:szCs w:val="23"/>
        </w:rPr>
        <w:t>N</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w:t>
      </w:r>
      <w:r>
        <w:rPr>
          <w:rFonts w:ascii="Times New Roman" w:hAnsi="Times New Roman" w:eastAsia="Times New Roman" w:cs="Times New Roman"/>
          <w:spacing w:val="2"/>
          <w:sz w:val="23"/>
          <w:szCs w:val="23"/>
        </w:rPr>
        <w:t>30</w:t>
      </w:r>
      <w:r>
        <w:rPr>
          <w:rFonts w:ascii="Times New Roman" w:hAnsi="Times New Roman" w:eastAsia="Times New Roman" w:cs="Times New Roman"/>
          <w:sz w:val="23"/>
          <w:szCs w:val="23"/>
        </w:rPr>
        <w:t>mg</w:t>
      </w:r>
      <w:r>
        <w:rPr>
          <w:rFonts w:ascii="Times New Roman" w:hAnsi="Times New Roman" w:eastAsia="Times New Roman" w:cs="Times New Roman"/>
          <w:spacing w:val="2"/>
          <w:sz w:val="23"/>
          <w:szCs w:val="23"/>
        </w:rPr>
        <w:t>/</w:t>
      </w:r>
      <w:r>
        <w:rPr>
          <w:rFonts w:ascii="Times New Roman" w:hAnsi="Times New Roman" w:eastAsia="Times New Roman" w:cs="Times New Roman"/>
          <w:sz w:val="23"/>
          <w:szCs w:val="23"/>
        </w:rPr>
        <w:t>L</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。该项目送至本溪市科</w:t>
      </w:r>
      <w:r>
        <w:rPr>
          <w:rFonts w:ascii="宋体" w:hAnsi="宋体" w:eastAsia="宋体" w:cs="宋体"/>
          <w:sz w:val="23"/>
          <w:szCs w:val="23"/>
        </w:rPr>
        <w:t xml:space="preserve"> </w:t>
      </w:r>
      <w:r>
        <w:rPr>
          <w:rFonts w:ascii="宋体" w:hAnsi="宋体" w:eastAsia="宋体" w:cs="宋体"/>
          <w:spacing w:val="3"/>
          <w:sz w:val="23"/>
          <w:szCs w:val="23"/>
        </w:rPr>
        <w:t xml:space="preserve">态污水处理有限责任公司废水量为 </w:t>
      </w:r>
      <w:r>
        <w:rPr>
          <w:rFonts w:ascii="Times New Roman" w:hAnsi="Times New Roman" w:eastAsia="Times New Roman" w:cs="Times New Roman"/>
          <w:spacing w:val="3"/>
          <w:sz w:val="23"/>
          <w:szCs w:val="23"/>
        </w:rPr>
        <w:t>1523.52</w:t>
      </w:r>
      <w:r>
        <w:rPr>
          <w:rFonts w:ascii="Times New Roman" w:hAnsi="Times New Roman" w:eastAsia="Times New Roman" w:cs="Times New Roman"/>
          <w:sz w:val="23"/>
          <w:szCs w:val="23"/>
        </w:rPr>
        <w:t>m</w:t>
      </w:r>
      <w:r>
        <w:rPr>
          <w:rFonts w:ascii="Times New Roman" w:hAnsi="Times New Roman" w:eastAsia="Times New Roman" w:cs="Times New Roman"/>
          <w:spacing w:val="3"/>
          <w:position w:val="8"/>
          <w:sz w:val="15"/>
          <w:szCs w:val="15"/>
        </w:rPr>
        <w:t>3</w:t>
      </w:r>
      <w:r>
        <w:rPr>
          <w:rFonts w:ascii="Times New Roman" w:hAnsi="Times New Roman" w:eastAsia="Times New Roman" w:cs="Times New Roman"/>
          <w:spacing w:val="3"/>
          <w:sz w:val="23"/>
          <w:szCs w:val="23"/>
        </w:rPr>
        <w:t>/</w:t>
      </w:r>
      <w:r>
        <w:rPr>
          <w:rFonts w:ascii="Times New Roman" w:hAnsi="Times New Roman" w:eastAsia="Times New Roman" w:cs="Times New Roman"/>
          <w:sz w:val="23"/>
          <w:szCs w:val="23"/>
        </w:rPr>
        <w:t>a</w:t>
      </w:r>
      <w:r>
        <w:rPr>
          <w:rFonts w:ascii="宋体" w:hAnsi="宋体" w:eastAsia="宋体" w:cs="宋体"/>
          <w:spacing w:val="3"/>
          <w:sz w:val="23"/>
          <w:szCs w:val="23"/>
        </w:rPr>
        <w:t>，则自身排污口最大允许排放量</w:t>
      </w:r>
      <w:r>
        <w:rPr>
          <w:rFonts w:ascii="宋体" w:hAnsi="宋体" w:eastAsia="宋体" w:cs="宋体"/>
          <w:sz w:val="23"/>
          <w:szCs w:val="23"/>
        </w:rPr>
        <w:t xml:space="preserve">为 </w:t>
      </w:r>
      <w:r>
        <w:rPr>
          <w:rFonts w:ascii="宋体" w:hAnsi="宋体" w:eastAsia="宋体" w:cs="宋体"/>
          <w:spacing w:val="5"/>
          <w:sz w:val="23"/>
          <w:szCs w:val="23"/>
        </w:rPr>
        <w:t>化</w:t>
      </w:r>
      <w:r>
        <w:rPr>
          <w:rFonts w:ascii="宋体" w:hAnsi="宋体" w:eastAsia="宋体" w:cs="宋体"/>
          <w:spacing w:val="4"/>
          <w:sz w:val="23"/>
          <w:szCs w:val="23"/>
        </w:rPr>
        <w:t>学需氧量：</w:t>
      </w:r>
      <w:r>
        <w:rPr>
          <w:rFonts w:ascii="Times New Roman" w:hAnsi="Times New Roman" w:eastAsia="Times New Roman" w:cs="Times New Roman"/>
          <w:spacing w:val="4"/>
          <w:sz w:val="23"/>
          <w:szCs w:val="23"/>
        </w:rPr>
        <w:t>0.46</w:t>
      </w:r>
      <w:r>
        <w:rPr>
          <w:rFonts w:ascii="Times New Roman" w:hAnsi="Times New Roman" w:eastAsia="Times New Roman" w:cs="Times New Roman"/>
          <w:sz w:val="23"/>
          <w:szCs w:val="23"/>
        </w:rPr>
        <w:t>t</w:t>
      </w:r>
      <w:r>
        <w:rPr>
          <w:rFonts w:ascii="Times New Roman" w:hAnsi="Times New Roman" w:eastAsia="Times New Roman" w:cs="Times New Roman"/>
          <w:spacing w:val="4"/>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；氨氮：</w:t>
      </w:r>
      <w:r>
        <w:rPr>
          <w:rFonts w:ascii="Times New Roman" w:hAnsi="Times New Roman" w:eastAsia="Times New Roman" w:cs="Times New Roman"/>
          <w:spacing w:val="4"/>
          <w:sz w:val="23"/>
          <w:szCs w:val="23"/>
        </w:rPr>
        <w:t>0.05</w:t>
      </w:r>
      <w:r>
        <w:rPr>
          <w:rFonts w:ascii="Times New Roman" w:hAnsi="Times New Roman" w:eastAsia="Times New Roman" w:cs="Times New Roman"/>
          <w:sz w:val="23"/>
          <w:szCs w:val="23"/>
        </w:rPr>
        <w:t>t</w:t>
      </w:r>
      <w:r>
        <w:rPr>
          <w:rFonts w:ascii="Times New Roman" w:hAnsi="Times New Roman" w:eastAsia="Times New Roman" w:cs="Times New Roman"/>
          <w:spacing w:val="4"/>
          <w:sz w:val="23"/>
          <w:szCs w:val="23"/>
        </w:rPr>
        <w:t>/</w:t>
      </w:r>
      <w:r>
        <w:rPr>
          <w:rFonts w:ascii="Times New Roman" w:hAnsi="Times New Roman" w:eastAsia="Times New Roman" w:cs="Times New Roman"/>
          <w:sz w:val="23"/>
          <w:szCs w:val="23"/>
        </w:rPr>
        <w:t>a</w:t>
      </w:r>
      <w:r>
        <w:rPr>
          <w:rFonts w:ascii="宋体" w:hAnsi="宋体" w:eastAsia="宋体" w:cs="宋体"/>
          <w:spacing w:val="4"/>
          <w:sz w:val="23"/>
          <w:szCs w:val="23"/>
        </w:rPr>
        <w:t>。</w:t>
      </w:r>
    </w:p>
    <w:p w14:paraId="7B50EBA9">
      <w:pPr>
        <w:spacing w:before="160" w:line="389" w:lineRule="auto"/>
        <w:ind w:left="11" w:firstLine="498"/>
        <w:rPr>
          <w:rFonts w:ascii="宋体" w:hAnsi="宋体" w:eastAsia="宋体" w:cs="宋体"/>
          <w:sz w:val="23"/>
          <w:szCs w:val="23"/>
        </w:rPr>
      </w:pPr>
      <w:r>
        <w:rPr>
          <w:rFonts w:ascii="宋体" w:hAnsi="宋体" w:eastAsia="宋体" w:cs="宋体"/>
          <w:spacing w:val="12"/>
          <w:sz w:val="23"/>
          <w:szCs w:val="23"/>
        </w:rPr>
        <w:t>该项目</w:t>
      </w:r>
      <w:r>
        <w:rPr>
          <w:rFonts w:ascii="宋体" w:hAnsi="宋体" w:eastAsia="宋体" w:cs="宋体"/>
          <w:spacing w:val="10"/>
          <w:sz w:val="23"/>
          <w:szCs w:val="23"/>
        </w:rPr>
        <w:t>总</w:t>
      </w:r>
      <w:r>
        <w:rPr>
          <w:rFonts w:ascii="宋体" w:hAnsi="宋体" w:eastAsia="宋体" w:cs="宋体"/>
          <w:spacing w:val="6"/>
          <w:sz w:val="23"/>
          <w:szCs w:val="23"/>
        </w:rPr>
        <w:t>量控制指标以本溪市科态污水处理有限责任公司出水进行核定，即</w:t>
      </w:r>
      <w:r>
        <w:rPr>
          <w:rFonts w:ascii="宋体" w:hAnsi="宋体" w:eastAsia="宋体" w:cs="宋体"/>
          <w:sz w:val="23"/>
          <w:szCs w:val="23"/>
        </w:rPr>
        <w:t xml:space="preserve"> </w:t>
      </w:r>
      <w:r>
        <w:rPr>
          <w:rFonts w:ascii="宋体" w:hAnsi="宋体" w:eastAsia="宋体" w:cs="宋体"/>
          <w:spacing w:val="4"/>
          <w:sz w:val="23"/>
          <w:szCs w:val="23"/>
        </w:rPr>
        <w:t xml:space="preserve">排放标准为 </w:t>
      </w:r>
      <w:r>
        <w:rPr>
          <w:rFonts w:ascii="Times New Roman" w:hAnsi="Times New Roman" w:eastAsia="Times New Roman" w:cs="Times New Roman"/>
          <w:sz w:val="23"/>
          <w:szCs w:val="23"/>
        </w:rPr>
        <w:t>COD</w:t>
      </w:r>
      <w:r>
        <w:rPr>
          <w:rFonts w:ascii="宋体" w:hAnsi="宋体" w:eastAsia="宋体" w:cs="宋体"/>
          <w:spacing w:val="4"/>
          <w:sz w:val="23"/>
          <w:szCs w:val="23"/>
        </w:rPr>
        <w:t>：</w:t>
      </w:r>
      <w:r>
        <w:rPr>
          <w:rFonts w:ascii="Times New Roman" w:hAnsi="Times New Roman" w:eastAsia="Times New Roman" w:cs="Times New Roman"/>
          <w:spacing w:val="4"/>
          <w:sz w:val="23"/>
          <w:szCs w:val="23"/>
        </w:rPr>
        <w:t>50</w:t>
      </w:r>
      <w:r>
        <w:rPr>
          <w:rFonts w:ascii="Times New Roman" w:hAnsi="Times New Roman" w:eastAsia="Times New Roman" w:cs="Times New Roman"/>
          <w:sz w:val="23"/>
          <w:szCs w:val="23"/>
        </w:rPr>
        <w:t>mg</w:t>
      </w:r>
      <w:r>
        <w:rPr>
          <w:rFonts w:ascii="Times New Roman" w:hAnsi="Times New Roman" w:eastAsia="Times New Roman" w:cs="Times New Roman"/>
          <w:spacing w:val="4"/>
          <w:sz w:val="23"/>
          <w:szCs w:val="23"/>
        </w:rPr>
        <w:t>/</w:t>
      </w:r>
      <w:r>
        <w:rPr>
          <w:rFonts w:ascii="Times New Roman" w:hAnsi="Times New Roman" w:eastAsia="Times New Roman" w:cs="Times New Roman"/>
          <w:sz w:val="23"/>
          <w:szCs w:val="23"/>
        </w:rPr>
        <w:t>L</w:t>
      </w:r>
      <w:r>
        <w:rPr>
          <w:rFonts w:ascii="宋体" w:hAnsi="宋体" w:eastAsia="宋体" w:cs="宋体"/>
          <w:spacing w:val="4"/>
          <w:sz w:val="23"/>
          <w:szCs w:val="23"/>
        </w:rPr>
        <w:t>；</w:t>
      </w:r>
      <w:r>
        <w:rPr>
          <w:rFonts w:ascii="Times New Roman" w:hAnsi="Times New Roman" w:eastAsia="Times New Roman" w:cs="Times New Roman"/>
          <w:sz w:val="23"/>
          <w:szCs w:val="23"/>
        </w:rPr>
        <w:t>NH</w:t>
      </w:r>
      <w:r>
        <w:rPr>
          <w:rFonts w:ascii="Times New Roman" w:hAnsi="Times New Roman" w:eastAsia="Times New Roman" w:cs="Times New Roman"/>
          <w:spacing w:val="3"/>
          <w:position w:val="-1"/>
          <w:sz w:val="15"/>
          <w:szCs w:val="15"/>
        </w:rPr>
        <w:t>3</w:t>
      </w:r>
      <w:r>
        <w:rPr>
          <w:rFonts w:ascii="Times New Roman" w:hAnsi="Times New Roman" w:eastAsia="Times New Roman" w:cs="Times New Roman"/>
          <w:spacing w:val="2"/>
          <w:sz w:val="23"/>
          <w:szCs w:val="23"/>
        </w:rPr>
        <w:t>-</w:t>
      </w:r>
      <w:r>
        <w:rPr>
          <w:rFonts w:ascii="Times New Roman" w:hAnsi="Times New Roman" w:eastAsia="Times New Roman" w:cs="Times New Roman"/>
          <w:sz w:val="23"/>
          <w:szCs w:val="23"/>
        </w:rPr>
        <w:t>N</w:t>
      </w:r>
      <w:r>
        <w:rPr>
          <w:rFonts w:ascii="宋体" w:hAnsi="宋体" w:eastAsia="宋体" w:cs="宋体"/>
          <w:spacing w:val="2"/>
          <w:sz w:val="23"/>
          <w:szCs w:val="23"/>
        </w:rPr>
        <w:t>：</w:t>
      </w:r>
      <w:r>
        <w:rPr>
          <w:rFonts w:ascii="Times New Roman" w:hAnsi="Times New Roman" w:eastAsia="Times New Roman" w:cs="Times New Roman"/>
          <w:spacing w:val="2"/>
          <w:sz w:val="23"/>
          <w:szCs w:val="23"/>
        </w:rPr>
        <w:t>5</w:t>
      </w:r>
      <w:r>
        <w:rPr>
          <w:rFonts w:ascii="Times New Roman" w:hAnsi="Times New Roman" w:eastAsia="Times New Roman" w:cs="Times New Roman"/>
          <w:sz w:val="23"/>
          <w:szCs w:val="23"/>
        </w:rPr>
        <w:t>mg</w:t>
      </w:r>
      <w:r>
        <w:rPr>
          <w:rFonts w:ascii="Times New Roman" w:hAnsi="Times New Roman" w:eastAsia="Times New Roman" w:cs="Times New Roman"/>
          <w:spacing w:val="2"/>
          <w:sz w:val="23"/>
          <w:szCs w:val="23"/>
        </w:rPr>
        <w:t>/</w:t>
      </w:r>
      <w:r>
        <w:rPr>
          <w:rFonts w:ascii="Times New Roman" w:hAnsi="Times New Roman" w:eastAsia="Times New Roman" w:cs="Times New Roman"/>
          <w:sz w:val="23"/>
          <w:szCs w:val="23"/>
        </w:rPr>
        <w:t>L</w:t>
      </w:r>
      <w:r>
        <w:rPr>
          <w:rFonts w:ascii="宋体" w:hAnsi="宋体" w:eastAsia="宋体" w:cs="宋体"/>
          <w:spacing w:val="2"/>
          <w:sz w:val="23"/>
          <w:szCs w:val="23"/>
        </w:rPr>
        <w:t>。则总量指标为化学需氧量：</w:t>
      </w:r>
      <w:r>
        <w:rPr>
          <w:rFonts w:ascii="Times New Roman" w:hAnsi="Times New Roman" w:eastAsia="Times New Roman" w:cs="Times New Roman"/>
          <w:spacing w:val="2"/>
          <w:sz w:val="23"/>
          <w:szCs w:val="23"/>
        </w:rPr>
        <w:t>0.08</w:t>
      </w:r>
      <w:r>
        <w:rPr>
          <w:rFonts w:ascii="Times New Roman" w:hAnsi="Times New Roman" w:eastAsia="Times New Roman" w:cs="Times New Roman"/>
          <w:sz w:val="23"/>
          <w:szCs w:val="23"/>
        </w:rPr>
        <w:t>t</w:t>
      </w:r>
      <w:r>
        <w:rPr>
          <w:rFonts w:ascii="Times New Roman" w:hAnsi="Times New Roman" w:eastAsia="Times New Roman" w:cs="Times New Roman"/>
          <w:spacing w:val="2"/>
          <w:sz w:val="23"/>
          <w:szCs w:val="23"/>
        </w:rPr>
        <w:t>/</w:t>
      </w:r>
      <w:r>
        <w:rPr>
          <w:rFonts w:ascii="Times New Roman" w:hAnsi="Times New Roman" w:eastAsia="Times New Roman" w:cs="Times New Roman"/>
          <w:sz w:val="23"/>
          <w:szCs w:val="23"/>
        </w:rPr>
        <w:t>a</w:t>
      </w:r>
      <w:r>
        <w:rPr>
          <w:rFonts w:ascii="宋体" w:hAnsi="宋体" w:eastAsia="宋体" w:cs="宋体"/>
          <w:spacing w:val="2"/>
          <w:sz w:val="23"/>
          <w:szCs w:val="23"/>
        </w:rPr>
        <w:t>；</w:t>
      </w:r>
      <w:r>
        <w:rPr>
          <w:rFonts w:ascii="宋体" w:hAnsi="宋体" w:eastAsia="宋体" w:cs="宋体"/>
          <w:sz w:val="23"/>
          <w:szCs w:val="23"/>
        </w:rPr>
        <w:t xml:space="preserve"> </w:t>
      </w:r>
      <w:r>
        <w:rPr>
          <w:rFonts w:ascii="Times New Roman" w:hAnsi="Times New Roman" w:eastAsia="Times New Roman" w:cs="Times New Roman"/>
          <w:sz w:val="23"/>
          <w:szCs w:val="23"/>
        </w:rPr>
        <w:t>NH</w:t>
      </w:r>
      <w:r>
        <w:rPr>
          <w:rFonts w:ascii="Times New Roman" w:hAnsi="Times New Roman" w:eastAsia="Times New Roman" w:cs="Times New Roman"/>
          <w:spacing w:val="10"/>
          <w:position w:val="-1"/>
          <w:sz w:val="15"/>
          <w:szCs w:val="15"/>
        </w:rPr>
        <w:t>3</w:t>
      </w:r>
      <w:r>
        <w:rPr>
          <w:rFonts w:ascii="Times New Roman" w:hAnsi="Times New Roman" w:eastAsia="Times New Roman" w:cs="Times New Roman"/>
          <w:spacing w:val="7"/>
          <w:sz w:val="23"/>
          <w:szCs w:val="23"/>
        </w:rPr>
        <w:t>-</w:t>
      </w:r>
      <w:r>
        <w:rPr>
          <w:rFonts w:ascii="Times New Roman" w:hAnsi="Times New Roman" w:eastAsia="Times New Roman" w:cs="Times New Roman"/>
          <w:sz w:val="23"/>
          <w:szCs w:val="23"/>
        </w:rPr>
        <w:t>N</w:t>
      </w:r>
      <w:r>
        <w:rPr>
          <w:rFonts w:ascii="宋体" w:hAnsi="宋体" w:eastAsia="宋体" w:cs="宋体"/>
          <w:spacing w:val="7"/>
          <w:sz w:val="23"/>
          <w:szCs w:val="23"/>
        </w:rPr>
        <w:t>：</w:t>
      </w:r>
      <w:r>
        <w:rPr>
          <w:rFonts w:ascii="Times New Roman" w:hAnsi="Times New Roman" w:eastAsia="Times New Roman" w:cs="Times New Roman"/>
          <w:spacing w:val="7"/>
          <w:sz w:val="23"/>
          <w:szCs w:val="23"/>
        </w:rPr>
        <w:t>0.008</w:t>
      </w:r>
      <w:r>
        <w:rPr>
          <w:rFonts w:ascii="Times New Roman" w:hAnsi="Times New Roman" w:eastAsia="Times New Roman" w:cs="Times New Roman"/>
          <w:sz w:val="23"/>
          <w:szCs w:val="23"/>
        </w:rPr>
        <w:t>t</w:t>
      </w:r>
      <w:r>
        <w:rPr>
          <w:rFonts w:ascii="Times New Roman" w:hAnsi="Times New Roman" w:eastAsia="Times New Roman" w:cs="Times New Roman"/>
          <w:spacing w:val="7"/>
          <w:sz w:val="23"/>
          <w:szCs w:val="23"/>
        </w:rPr>
        <w:t>/</w:t>
      </w:r>
      <w:r>
        <w:rPr>
          <w:rFonts w:ascii="Times New Roman" w:hAnsi="Times New Roman" w:eastAsia="Times New Roman" w:cs="Times New Roman"/>
          <w:sz w:val="23"/>
          <w:szCs w:val="23"/>
        </w:rPr>
        <w:t>a</w:t>
      </w:r>
      <w:r>
        <w:rPr>
          <w:rFonts w:ascii="宋体" w:hAnsi="宋体" w:eastAsia="宋体" w:cs="宋体"/>
          <w:spacing w:val="7"/>
          <w:sz w:val="23"/>
          <w:szCs w:val="23"/>
        </w:rPr>
        <w:t>。</w:t>
      </w:r>
    </w:p>
    <w:p w14:paraId="7DEE7E1A">
      <w:pPr>
        <w:spacing w:before="142" w:line="228" w:lineRule="auto"/>
        <w:ind w:left="506"/>
        <w:rPr>
          <w:rFonts w:ascii="宋体" w:hAnsi="宋体" w:eastAsia="宋体" w:cs="宋体"/>
          <w:sz w:val="23"/>
          <w:szCs w:val="23"/>
        </w:rPr>
      </w:pPr>
      <w:r>
        <w:rPr>
          <w:rFonts w:ascii="宋体" w:hAnsi="宋体" w:eastAsia="宋体" w:cs="宋体"/>
          <w:spacing w:val="16"/>
          <w:sz w:val="23"/>
          <w:szCs w:val="23"/>
        </w:rPr>
        <w:t>综</w:t>
      </w:r>
      <w:r>
        <w:rPr>
          <w:rFonts w:ascii="宋体" w:hAnsi="宋体" w:eastAsia="宋体" w:cs="宋体"/>
          <w:spacing w:val="11"/>
          <w:sz w:val="23"/>
          <w:szCs w:val="23"/>
        </w:rPr>
        <w:t>上</w:t>
      </w:r>
      <w:r>
        <w:rPr>
          <w:rFonts w:ascii="宋体" w:hAnsi="宋体" w:eastAsia="宋体" w:cs="宋体"/>
          <w:spacing w:val="8"/>
          <w:sz w:val="23"/>
          <w:szCs w:val="23"/>
        </w:rPr>
        <w:t>所述，建议项目总量控制指标为：</w:t>
      </w:r>
    </w:p>
    <w:p w14:paraId="615A85CD">
      <w:pPr>
        <w:spacing w:before="307" w:line="398" w:lineRule="auto"/>
        <w:ind w:left="17" w:right="90" w:firstLine="486"/>
        <w:rPr>
          <w:rFonts w:ascii="宋体" w:hAnsi="宋体" w:eastAsia="宋体" w:cs="宋体"/>
          <w:sz w:val="23"/>
          <w:szCs w:val="23"/>
        </w:rPr>
      </w:pPr>
      <w:r>
        <w:rPr>
          <w:rFonts w:ascii="宋体" w:hAnsi="宋体" w:eastAsia="宋体" w:cs="宋体"/>
          <w:spacing w:val="1"/>
          <w:sz w:val="23"/>
          <w:szCs w:val="23"/>
        </w:rPr>
        <w:t>烟粉尘：</w:t>
      </w:r>
      <w:r>
        <w:rPr>
          <w:rFonts w:ascii="Times New Roman" w:hAnsi="Times New Roman" w:eastAsia="Times New Roman" w:cs="Times New Roman"/>
          <w:spacing w:val="1"/>
          <w:sz w:val="23"/>
          <w:szCs w:val="23"/>
        </w:rPr>
        <w:t>1.023</w:t>
      </w:r>
      <w:r>
        <w:rPr>
          <w:rFonts w:ascii="Times New Roman" w:hAnsi="Times New Roman" w:eastAsia="Times New Roman" w:cs="Times New Roman"/>
          <w:sz w:val="23"/>
          <w:szCs w:val="23"/>
        </w:rPr>
        <w:t>t</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、二氧化硫：</w:t>
      </w:r>
      <w:r>
        <w:rPr>
          <w:rFonts w:ascii="Times New Roman" w:hAnsi="Times New Roman" w:eastAsia="Times New Roman" w:cs="Times New Roman"/>
          <w:spacing w:val="1"/>
          <w:sz w:val="23"/>
          <w:szCs w:val="23"/>
        </w:rPr>
        <w:t>1. 14</w:t>
      </w:r>
      <w:r>
        <w:rPr>
          <w:rFonts w:ascii="Times New Roman" w:hAnsi="Times New Roman" w:eastAsia="Times New Roman" w:cs="Times New Roman"/>
          <w:sz w:val="23"/>
          <w:szCs w:val="23"/>
        </w:rPr>
        <w:t>t</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、氮氧化物：</w:t>
      </w:r>
      <w:r>
        <w:rPr>
          <w:rFonts w:ascii="Times New Roman" w:hAnsi="Times New Roman" w:eastAsia="Times New Roman" w:cs="Times New Roman"/>
          <w:spacing w:val="1"/>
          <w:sz w:val="23"/>
          <w:szCs w:val="23"/>
        </w:rPr>
        <w:t>0.</w:t>
      </w:r>
      <w:r>
        <w:rPr>
          <w:rFonts w:ascii="Times New Roman" w:hAnsi="Times New Roman" w:eastAsia="Times New Roman" w:cs="Times New Roman"/>
          <w:sz w:val="23"/>
          <w:szCs w:val="23"/>
        </w:rPr>
        <w:t xml:space="preserve">69t/a </w:t>
      </w:r>
      <w:r>
        <w:rPr>
          <w:rFonts w:ascii="宋体" w:hAnsi="宋体" w:eastAsia="宋体" w:cs="宋体"/>
          <w:sz w:val="23"/>
          <w:szCs w:val="23"/>
        </w:rPr>
        <w:t xml:space="preserve">、挥发性有机物： </w:t>
      </w:r>
      <w:r>
        <w:rPr>
          <w:rFonts w:ascii="Times New Roman" w:hAnsi="Times New Roman" w:eastAsia="Times New Roman" w:cs="Times New Roman"/>
          <w:spacing w:val="1"/>
          <w:sz w:val="23"/>
          <w:szCs w:val="23"/>
        </w:rPr>
        <w:t>4.2</w:t>
      </w:r>
      <w:r>
        <w:rPr>
          <w:rFonts w:ascii="Times New Roman" w:hAnsi="Times New Roman" w:eastAsia="Times New Roman" w:cs="Times New Roman"/>
          <w:sz w:val="23"/>
          <w:szCs w:val="23"/>
        </w:rPr>
        <w:t>t</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、化学需氧量：</w:t>
      </w:r>
      <w:r>
        <w:rPr>
          <w:rFonts w:ascii="Times New Roman" w:hAnsi="Times New Roman" w:eastAsia="Times New Roman" w:cs="Times New Roman"/>
          <w:spacing w:val="1"/>
          <w:sz w:val="23"/>
          <w:szCs w:val="23"/>
        </w:rPr>
        <w:t>0.08</w:t>
      </w:r>
      <w:r>
        <w:rPr>
          <w:rFonts w:ascii="Times New Roman" w:hAnsi="Times New Roman" w:eastAsia="Times New Roman" w:cs="Times New Roman"/>
          <w:sz w:val="23"/>
          <w:szCs w:val="23"/>
        </w:rPr>
        <w:t>t</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w:t>
      </w:r>
      <w:r>
        <w:rPr>
          <w:rFonts w:ascii="Times New Roman" w:hAnsi="Times New Roman" w:eastAsia="Times New Roman" w:cs="Times New Roman"/>
          <w:sz w:val="23"/>
          <w:szCs w:val="23"/>
        </w:rPr>
        <w:t>NH</w:t>
      </w:r>
      <w:r>
        <w:rPr>
          <w:rFonts w:ascii="Times New Roman" w:hAnsi="Times New Roman" w:eastAsia="Times New Roman" w:cs="Times New Roman"/>
          <w:spacing w:val="1"/>
          <w:position w:val="-1"/>
          <w:sz w:val="15"/>
          <w:szCs w:val="15"/>
        </w:rPr>
        <w:t>3</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N</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w:t>
      </w:r>
      <w:r>
        <w:rPr>
          <w:rFonts w:ascii="Times New Roman" w:hAnsi="Times New Roman" w:eastAsia="Times New Roman" w:cs="Times New Roman"/>
          <w:spacing w:val="1"/>
          <w:sz w:val="23"/>
          <w:szCs w:val="23"/>
        </w:rPr>
        <w:t>0</w:t>
      </w:r>
      <w:r>
        <w:rPr>
          <w:rFonts w:ascii="Times New Roman" w:hAnsi="Times New Roman" w:eastAsia="Times New Roman" w:cs="Times New Roman"/>
          <w:sz w:val="23"/>
          <w:szCs w:val="23"/>
        </w:rPr>
        <w:t>.008t/a</w:t>
      </w:r>
      <w:r>
        <w:rPr>
          <w:rFonts w:ascii="宋体" w:hAnsi="宋体" w:eastAsia="宋体" w:cs="宋体"/>
          <w:sz w:val="23"/>
          <w:szCs w:val="23"/>
        </w:rPr>
        <w:t>。</w:t>
      </w:r>
    </w:p>
    <w:p w14:paraId="48419EF0">
      <w:pPr>
        <w:spacing w:before="171" w:line="389" w:lineRule="auto"/>
        <w:ind w:left="22" w:right="68" w:firstLine="481"/>
        <w:rPr>
          <w:rFonts w:ascii="宋体" w:hAnsi="宋体" w:eastAsia="宋体" w:cs="宋体"/>
          <w:sz w:val="23"/>
          <w:szCs w:val="23"/>
        </w:rPr>
      </w:pPr>
      <w:r>
        <w:rPr>
          <w:rFonts w:ascii="宋体" w:hAnsi="宋体" w:eastAsia="宋体" w:cs="宋体"/>
          <w:spacing w:val="7"/>
          <w:sz w:val="23"/>
          <w:szCs w:val="23"/>
        </w:rPr>
        <w:t>其中，烟粉尘、二氧化硫、氮氧化物、挥发性有机物总量控制指标由本溪</w:t>
      </w:r>
      <w:r>
        <w:rPr>
          <w:rFonts w:ascii="宋体" w:hAnsi="宋体" w:eastAsia="宋体" w:cs="宋体"/>
          <w:spacing w:val="2"/>
          <w:sz w:val="23"/>
          <w:szCs w:val="23"/>
        </w:rPr>
        <w:t>弘</w:t>
      </w:r>
      <w:r>
        <w:rPr>
          <w:rFonts w:ascii="宋体" w:hAnsi="宋体" w:eastAsia="宋体" w:cs="宋体"/>
          <w:sz w:val="23"/>
          <w:szCs w:val="23"/>
        </w:rPr>
        <w:t xml:space="preserve"> </w:t>
      </w:r>
      <w:r>
        <w:rPr>
          <w:rFonts w:ascii="宋体" w:hAnsi="宋体" w:eastAsia="宋体" w:cs="宋体"/>
          <w:spacing w:val="9"/>
          <w:sz w:val="23"/>
          <w:szCs w:val="23"/>
        </w:rPr>
        <w:t>福</w:t>
      </w:r>
      <w:r>
        <w:rPr>
          <w:rFonts w:ascii="宋体" w:hAnsi="宋体" w:eastAsia="宋体" w:cs="宋体"/>
          <w:spacing w:val="7"/>
          <w:sz w:val="23"/>
          <w:szCs w:val="23"/>
        </w:rPr>
        <w:t>塑业有限公司按照上述指标向当地环保管理部门申请污染物总量控制指标；化</w:t>
      </w:r>
      <w:r>
        <w:rPr>
          <w:rFonts w:ascii="宋体" w:hAnsi="宋体" w:eastAsia="宋体" w:cs="宋体"/>
          <w:sz w:val="23"/>
          <w:szCs w:val="23"/>
        </w:rPr>
        <w:t xml:space="preserve"> </w:t>
      </w:r>
      <w:r>
        <w:rPr>
          <w:rFonts w:ascii="宋体" w:hAnsi="宋体" w:eastAsia="宋体" w:cs="宋体"/>
          <w:spacing w:val="7"/>
          <w:sz w:val="23"/>
          <w:szCs w:val="23"/>
        </w:rPr>
        <w:t>学需氧量、氨氮总量控制指标计入本溪市科态污水处理有限责任公司污染物总量</w:t>
      </w:r>
      <w:r>
        <w:rPr>
          <w:rFonts w:ascii="宋体" w:hAnsi="宋体" w:eastAsia="宋体" w:cs="宋体"/>
          <w:sz w:val="23"/>
          <w:szCs w:val="23"/>
        </w:rPr>
        <w:t xml:space="preserve"> </w:t>
      </w:r>
      <w:r>
        <w:rPr>
          <w:rFonts w:ascii="宋体" w:hAnsi="宋体" w:eastAsia="宋体" w:cs="宋体"/>
          <w:spacing w:val="15"/>
          <w:sz w:val="23"/>
          <w:szCs w:val="23"/>
        </w:rPr>
        <w:t>控</w:t>
      </w:r>
      <w:r>
        <w:rPr>
          <w:rFonts w:ascii="宋体" w:hAnsi="宋体" w:eastAsia="宋体" w:cs="宋体"/>
          <w:spacing w:val="9"/>
          <w:sz w:val="23"/>
          <w:szCs w:val="23"/>
        </w:rPr>
        <w:t>制指标中，最终总量控制指标以环保局下达指标为准。</w:t>
      </w:r>
    </w:p>
    <w:p w14:paraId="510E5E4D">
      <w:pPr>
        <w:sectPr>
          <w:headerReference r:id="rId148" w:type="default"/>
          <w:footerReference r:id="rId149" w:type="default"/>
          <w:pgSz w:w="11906" w:h="16839"/>
          <w:pgMar w:top="1132" w:right="1731" w:bottom="1182" w:left="1785" w:header="878" w:footer="1022" w:gutter="0"/>
          <w:cols w:space="720" w:num="1"/>
        </w:sectPr>
      </w:pPr>
    </w:p>
    <w:p w14:paraId="42AF8309">
      <w:pPr>
        <w:spacing w:line="422" w:lineRule="auto"/>
        <w:rPr>
          <w:rFonts w:ascii="Arial"/>
          <w:sz w:val="21"/>
        </w:rPr>
      </w:pPr>
      <w:r>
        <w:pict>
          <v:shape id="_x0000_s1209" o:spid="_x0000_s1209" style="position:absolute;left:0pt;margin-left:90pt;margin-top:57.35pt;height:0.75pt;width:415.3pt;mso-position-horizontal-relative:page;mso-position-vertical-relative:page;z-index:251860992;mso-width-relative:page;mso-height-relative:page;" fillcolor="#000000" filled="t" stroked="f" coordsize="8305,15" o:allowincell="f" path="m0,0l8305,0,8305,14,0,14,0,0xe">
            <v:path/>
            <v:fill on="t" focussize="0,0"/>
            <v:stroke on="f"/>
            <v:imagedata o:title=""/>
            <o:lock v:ext="edit"/>
          </v:shape>
        </w:pict>
      </w:r>
    </w:p>
    <w:p w14:paraId="1AD18E9E">
      <w:pPr>
        <w:spacing w:before="114" w:line="223" w:lineRule="auto"/>
        <w:ind w:left="23"/>
        <w:outlineLvl w:val="0"/>
        <w:rPr>
          <w:rFonts w:ascii="宋体" w:hAnsi="宋体" w:eastAsia="宋体" w:cs="宋体"/>
          <w:sz w:val="35"/>
          <w:szCs w:val="35"/>
        </w:rPr>
      </w:pPr>
      <w:bookmarkStart w:id="18" w:name="_bookmark19"/>
      <w:bookmarkEnd w:id="18"/>
      <w:r>
        <w:rPr>
          <w:rFonts w:ascii="Times New Roman" w:hAnsi="Times New Roman" w:eastAsia="Times New Roman" w:cs="Times New Roman"/>
          <w:b/>
          <w:bCs/>
          <w:spacing w:val="14"/>
          <w:sz w:val="35"/>
          <w:szCs w:val="35"/>
        </w:rPr>
        <w:t>4</w:t>
      </w:r>
      <w:r>
        <w:rPr>
          <w:rFonts w:ascii="Times New Roman" w:hAnsi="Times New Roman" w:eastAsia="Times New Roman" w:cs="Times New Roman"/>
          <w:spacing w:val="8"/>
          <w:sz w:val="35"/>
          <w:szCs w:val="35"/>
        </w:rPr>
        <w:t xml:space="preserve">  </w:t>
      </w:r>
      <w:r>
        <w:rPr>
          <w:rFonts w:ascii="宋体" w:hAnsi="宋体" w:eastAsia="宋体" w:cs="宋体"/>
          <w:spacing w:val="8"/>
          <w:sz w:val="35"/>
          <w:szCs w:val="35"/>
          <w14:textOutline w14:w="6537" w14:cap="sq" w14:cmpd="sng">
            <w14:solidFill>
              <w14:srgbClr w14:val="000000"/>
            </w14:solidFill>
            <w14:prstDash w14:val="solid"/>
            <w14:bevel/>
          </w14:textOutline>
        </w:rPr>
        <w:t>环境现状调查与评价</w:t>
      </w:r>
    </w:p>
    <w:p w14:paraId="3F075135">
      <w:pPr>
        <w:spacing w:before="247" w:line="225" w:lineRule="auto"/>
        <w:ind w:left="22"/>
        <w:outlineLvl w:val="1"/>
        <w:rPr>
          <w:rFonts w:ascii="宋体" w:hAnsi="宋体" w:eastAsia="宋体" w:cs="宋体"/>
          <w:sz w:val="31"/>
          <w:szCs w:val="31"/>
        </w:rPr>
      </w:pPr>
      <w:bookmarkStart w:id="19" w:name="_bookmark20"/>
      <w:bookmarkEnd w:id="19"/>
      <w:r>
        <w:rPr>
          <w:rFonts w:ascii="Times New Roman" w:hAnsi="Times New Roman" w:eastAsia="Times New Roman" w:cs="Times New Roman"/>
          <w:b/>
          <w:bCs/>
          <w:spacing w:val="12"/>
          <w:sz w:val="31"/>
          <w:szCs w:val="31"/>
        </w:rPr>
        <w:t>4</w:t>
      </w:r>
      <w:r>
        <w:rPr>
          <w:rFonts w:ascii="Times New Roman" w:hAnsi="Times New Roman" w:eastAsia="Times New Roman" w:cs="Times New Roman"/>
          <w:b/>
          <w:bCs/>
          <w:spacing w:val="7"/>
          <w:sz w:val="31"/>
          <w:szCs w:val="31"/>
        </w:rPr>
        <w:t>.</w:t>
      </w:r>
      <w:r>
        <w:rPr>
          <w:rFonts w:ascii="Times New Roman" w:hAnsi="Times New Roman" w:eastAsia="Times New Roman" w:cs="Times New Roman"/>
          <w:b/>
          <w:bCs/>
          <w:spacing w:val="6"/>
          <w:sz w:val="31"/>
          <w:szCs w:val="31"/>
        </w:rPr>
        <w:t>1</w:t>
      </w:r>
      <w:r>
        <w:rPr>
          <w:rFonts w:ascii="Times New Roman" w:hAnsi="Times New Roman" w:eastAsia="Times New Roman" w:cs="Times New Roman"/>
          <w:spacing w:val="6"/>
          <w:sz w:val="31"/>
          <w:szCs w:val="31"/>
        </w:rPr>
        <w:t xml:space="preserve">  </w:t>
      </w:r>
      <w:r>
        <w:rPr>
          <w:rFonts w:ascii="宋体" w:hAnsi="宋体" w:eastAsia="宋体" w:cs="宋体"/>
          <w:spacing w:val="6"/>
          <w:sz w:val="31"/>
          <w:szCs w:val="31"/>
          <w14:textOutline w14:w="5793" w14:cap="sq" w14:cmpd="sng">
            <w14:solidFill>
              <w14:srgbClr w14:val="000000"/>
            </w14:solidFill>
            <w14:prstDash w14:val="solid"/>
            <w14:bevel/>
          </w14:textOutline>
        </w:rPr>
        <w:t>自然环境概况</w:t>
      </w:r>
    </w:p>
    <w:p w14:paraId="13990280">
      <w:pPr>
        <w:spacing w:before="275" w:line="226" w:lineRule="auto"/>
        <w:ind w:left="21"/>
        <w:outlineLvl w:val="2"/>
        <w:rPr>
          <w:rFonts w:ascii="宋体" w:hAnsi="宋体" w:eastAsia="宋体" w:cs="宋体"/>
          <w:sz w:val="29"/>
          <w:szCs w:val="29"/>
        </w:rPr>
      </w:pPr>
      <w:r>
        <w:rPr>
          <w:rFonts w:ascii="Times New Roman" w:hAnsi="Times New Roman" w:eastAsia="Times New Roman" w:cs="Times New Roman"/>
          <w:b/>
          <w:bCs/>
          <w:spacing w:val="9"/>
          <w:sz w:val="29"/>
          <w:szCs w:val="29"/>
        </w:rPr>
        <w:t>4</w:t>
      </w:r>
      <w:r>
        <w:rPr>
          <w:rFonts w:ascii="Times New Roman" w:hAnsi="Times New Roman" w:eastAsia="Times New Roman" w:cs="Times New Roman"/>
          <w:b/>
          <w:bCs/>
          <w:spacing w:val="6"/>
          <w:sz w:val="29"/>
          <w:szCs w:val="29"/>
        </w:rPr>
        <w:t>.1.1</w:t>
      </w:r>
      <w:r>
        <w:rPr>
          <w:rFonts w:ascii="Times New Roman" w:hAnsi="Times New Roman" w:eastAsia="Times New Roman" w:cs="Times New Roman"/>
          <w:spacing w:val="6"/>
          <w:sz w:val="29"/>
          <w:szCs w:val="29"/>
        </w:rPr>
        <w:t xml:space="preserve">  </w:t>
      </w:r>
      <w:r>
        <w:rPr>
          <w:rFonts w:ascii="宋体" w:hAnsi="宋体" w:eastAsia="宋体" w:cs="宋体"/>
          <w:spacing w:val="6"/>
          <w:sz w:val="29"/>
          <w:szCs w:val="29"/>
          <w14:textOutline w14:w="5448" w14:cap="sq" w14:cmpd="sng">
            <w14:solidFill>
              <w14:srgbClr w14:val="000000"/>
            </w14:solidFill>
            <w14:prstDash w14:val="solid"/>
            <w14:bevel/>
          </w14:textOutline>
        </w:rPr>
        <w:t>自然地理情况</w:t>
      </w:r>
    </w:p>
    <w:p w14:paraId="5A50FF74">
      <w:pPr>
        <w:spacing w:line="255" w:lineRule="auto"/>
        <w:rPr>
          <w:rFonts w:ascii="Arial"/>
          <w:sz w:val="21"/>
        </w:rPr>
      </w:pPr>
    </w:p>
    <w:p w14:paraId="2ED07FCE">
      <w:pPr>
        <w:spacing w:before="75" w:line="228" w:lineRule="auto"/>
        <w:ind w:left="514"/>
        <w:rPr>
          <w:rFonts w:ascii="宋体" w:hAnsi="宋体" w:eastAsia="宋体" w:cs="宋体"/>
          <w:sz w:val="23"/>
          <w:szCs w:val="23"/>
        </w:rPr>
      </w:pPr>
      <w:r>
        <w:rPr>
          <w:rFonts w:ascii="宋体" w:hAnsi="宋体" w:eastAsia="宋体" w:cs="宋体"/>
          <w:spacing w:val="23"/>
          <w:sz w:val="23"/>
          <w:szCs w:val="23"/>
          <w14:textOutline w14:w="4358" w14:cap="sq" w14:cmpd="sng">
            <w14:solidFill>
              <w14:srgbClr w14:val="000000"/>
            </w14:solidFill>
            <w14:prstDash w14:val="solid"/>
            <w14:bevel/>
          </w14:textOutline>
        </w:rPr>
        <w:t>(</w:t>
      </w:r>
      <w:r>
        <w:rPr>
          <w:rFonts w:ascii="Times New Roman" w:hAnsi="Times New Roman" w:eastAsia="Times New Roman" w:cs="Times New Roman"/>
          <w:b/>
          <w:bCs/>
          <w:spacing w:val="20"/>
          <w:sz w:val="23"/>
          <w:szCs w:val="23"/>
        </w:rPr>
        <w:t>1</w:t>
      </w:r>
      <w:r>
        <w:rPr>
          <w:rFonts w:ascii="宋体" w:hAnsi="宋体" w:eastAsia="宋体" w:cs="宋体"/>
          <w:spacing w:val="20"/>
          <w:sz w:val="23"/>
          <w:szCs w:val="23"/>
          <w14:textOutline w14:w="4358" w14:cap="sq" w14:cmpd="sng">
            <w14:solidFill>
              <w14:srgbClr w14:val="000000"/>
            </w14:solidFill>
            <w14:prstDash w14:val="solid"/>
            <w14:bevel/>
          </w14:textOutline>
        </w:rPr>
        <w:t>)</w:t>
      </w:r>
      <w:r>
        <w:rPr>
          <w:rFonts w:ascii="宋体" w:hAnsi="宋体" w:eastAsia="宋体" w:cs="宋体"/>
          <w:spacing w:val="20"/>
          <w:sz w:val="23"/>
          <w:szCs w:val="23"/>
        </w:rPr>
        <w:t xml:space="preserve"> </w:t>
      </w:r>
      <w:r>
        <w:rPr>
          <w:rFonts w:ascii="宋体" w:hAnsi="宋体" w:eastAsia="宋体" w:cs="宋体"/>
          <w:spacing w:val="20"/>
          <w:sz w:val="23"/>
          <w:szCs w:val="23"/>
          <w14:textOutline w14:w="4358" w14:cap="sq" w14:cmpd="sng">
            <w14:solidFill>
              <w14:srgbClr w14:val="000000"/>
            </w14:solidFill>
            <w14:prstDash w14:val="solid"/>
            <w14:bevel/>
          </w14:textOutline>
        </w:rPr>
        <w:t>项目位置</w:t>
      </w:r>
    </w:p>
    <w:p w14:paraId="08AE57D0">
      <w:pPr>
        <w:spacing w:line="277" w:lineRule="auto"/>
        <w:rPr>
          <w:rFonts w:ascii="Arial"/>
          <w:sz w:val="21"/>
        </w:rPr>
      </w:pPr>
    </w:p>
    <w:p w14:paraId="124219D3">
      <w:pPr>
        <w:spacing w:before="76" w:line="393" w:lineRule="auto"/>
        <w:ind w:left="22" w:right="77" w:firstLine="481"/>
        <w:rPr>
          <w:rFonts w:ascii="宋体" w:hAnsi="宋体" w:eastAsia="宋体" w:cs="宋体"/>
          <w:sz w:val="23"/>
          <w:szCs w:val="23"/>
        </w:rPr>
      </w:pPr>
      <w:r>
        <w:rPr>
          <w:rFonts w:ascii="宋体" w:hAnsi="宋体" w:eastAsia="宋体" w:cs="宋体"/>
          <w:spacing w:val="7"/>
          <w:sz w:val="23"/>
          <w:szCs w:val="23"/>
        </w:rPr>
        <w:t>本溪市位于辽宁省的中南部偏东，是进入辽东半岛东部山区的起点。它南</w:t>
      </w:r>
      <w:r>
        <w:rPr>
          <w:rFonts w:ascii="宋体" w:hAnsi="宋体" w:eastAsia="宋体" w:cs="宋体"/>
          <w:spacing w:val="2"/>
          <w:sz w:val="23"/>
          <w:szCs w:val="23"/>
        </w:rPr>
        <w:t>临</w:t>
      </w:r>
      <w:r>
        <w:rPr>
          <w:rFonts w:ascii="宋体" w:hAnsi="宋体" w:eastAsia="宋体" w:cs="宋体"/>
          <w:sz w:val="23"/>
          <w:szCs w:val="23"/>
        </w:rPr>
        <w:t xml:space="preserve"> </w:t>
      </w:r>
      <w:r>
        <w:rPr>
          <w:rFonts w:ascii="宋体" w:hAnsi="宋体" w:eastAsia="宋体" w:cs="宋体"/>
          <w:spacing w:val="9"/>
          <w:sz w:val="23"/>
          <w:szCs w:val="23"/>
        </w:rPr>
        <w:t>边</w:t>
      </w:r>
      <w:r>
        <w:rPr>
          <w:rFonts w:ascii="宋体" w:hAnsi="宋体" w:eastAsia="宋体" w:cs="宋体"/>
          <w:spacing w:val="7"/>
          <w:sz w:val="23"/>
          <w:szCs w:val="23"/>
        </w:rPr>
        <w:t>境城市丹东，北连省会沈阳和煤都抚顺，东界吉林省通化市，西与古城辽阳接</w:t>
      </w:r>
      <w:r>
        <w:rPr>
          <w:rFonts w:ascii="宋体" w:hAnsi="宋体" w:eastAsia="宋体" w:cs="宋体"/>
          <w:sz w:val="23"/>
          <w:szCs w:val="23"/>
        </w:rPr>
        <w:t xml:space="preserve"> </w:t>
      </w:r>
      <w:r>
        <w:rPr>
          <w:rFonts w:ascii="宋体" w:hAnsi="宋体" w:eastAsia="宋体" w:cs="宋体"/>
          <w:spacing w:val="20"/>
          <w:sz w:val="23"/>
          <w:szCs w:val="23"/>
        </w:rPr>
        <w:t xml:space="preserve">壤 </w:t>
      </w:r>
      <w:r>
        <w:rPr>
          <w:rFonts w:ascii="宋体" w:hAnsi="宋体" w:eastAsia="宋体" w:cs="宋体"/>
          <w:spacing w:val="18"/>
          <w:sz w:val="23"/>
          <w:szCs w:val="23"/>
        </w:rPr>
        <w:t>。</w:t>
      </w:r>
      <w:r>
        <w:rPr>
          <w:rFonts w:ascii="宋体" w:hAnsi="宋体" w:eastAsia="宋体" w:cs="宋体"/>
          <w:spacing w:val="10"/>
          <w:sz w:val="23"/>
          <w:szCs w:val="23"/>
        </w:rPr>
        <w:t xml:space="preserve">地理坐标为东经 </w:t>
      </w:r>
      <w:r>
        <w:rPr>
          <w:rFonts w:ascii="Times New Roman" w:hAnsi="Times New Roman" w:eastAsia="Times New Roman" w:cs="Times New Roman"/>
          <w:spacing w:val="10"/>
          <w:sz w:val="23"/>
          <w:szCs w:val="23"/>
        </w:rPr>
        <w:t>123°34’</w:t>
      </w:r>
      <w:r>
        <w:rPr>
          <w:rFonts w:ascii="宋体" w:hAnsi="宋体" w:eastAsia="宋体" w:cs="宋体"/>
          <w:spacing w:val="10"/>
          <w:sz w:val="23"/>
          <w:szCs w:val="23"/>
        </w:rPr>
        <w:t xml:space="preserve">~ </w:t>
      </w:r>
      <w:r>
        <w:rPr>
          <w:rFonts w:ascii="Times New Roman" w:hAnsi="Times New Roman" w:eastAsia="Times New Roman" w:cs="Times New Roman"/>
          <w:spacing w:val="10"/>
          <w:sz w:val="23"/>
          <w:szCs w:val="23"/>
        </w:rPr>
        <w:t xml:space="preserve">125°46’ </w:t>
      </w:r>
      <w:r>
        <w:rPr>
          <w:rFonts w:ascii="宋体" w:hAnsi="宋体" w:eastAsia="宋体" w:cs="宋体"/>
          <w:spacing w:val="10"/>
          <w:sz w:val="23"/>
          <w:szCs w:val="23"/>
        </w:rPr>
        <w:t xml:space="preserve">，北纬 </w:t>
      </w:r>
      <w:r>
        <w:rPr>
          <w:rFonts w:ascii="Times New Roman" w:hAnsi="Times New Roman" w:eastAsia="Times New Roman" w:cs="Times New Roman"/>
          <w:spacing w:val="10"/>
          <w:sz w:val="23"/>
          <w:szCs w:val="23"/>
        </w:rPr>
        <w:t xml:space="preserve">40°49’ </w:t>
      </w:r>
      <w:r>
        <w:rPr>
          <w:rFonts w:ascii="宋体" w:hAnsi="宋体" w:eastAsia="宋体" w:cs="宋体"/>
          <w:spacing w:val="10"/>
          <w:sz w:val="23"/>
          <w:szCs w:val="23"/>
        </w:rPr>
        <w:t>~</w:t>
      </w:r>
      <w:r>
        <w:rPr>
          <w:rFonts w:ascii="Times New Roman" w:hAnsi="Times New Roman" w:eastAsia="Times New Roman" w:cs="Times New Roman"/>
          <w:spacing w:val="10"/>
          <w:sz w:val="23"/>
          <w:szCs w:val="23"/>
        </w:rPr>
        <w:t xml:space="preserve">41°35’ </w:t>
      </w:r>
      <w:r>
        <w:rPr>
          <w:rFonts w:ascii="宋体" w:hAnsi="宋体" w:eastAsia="宋体" w:cs="宋体"/>
          <w:spacing w:val="10"/>
          <w:sz w:val="23"/>
          <w:szCs w:val="23"/>
        </w:rPr>
        <w:t>。全境总面积</w:t>
      </w:r>
      <w:r>
        <w:rPr>
          <w:rFonts w:ascii="宋体" w:hAnsi="宋体" w:eastAsia="宋体" w:cs="宋体"/>
          <w:sz w:val="23"/>
          <w:szCs w:val="23"/>
        </w:rPr>
        <w:t xml:space="preserve"> </w:t>
      </w:r>
      <w:r>
        <w:rPr>
          <w:rFonts w:ascii="Times New Roman" w:hAnsi="Times New Roman" w:eastAsia="Times New Roman" w:cs="Times New Roman"/>
          <w:spacing w:val="10"/>
          <w:sz w:val="23"/>
          <w:szCs w:val="23"/>
        </w:rPr>
        <w:t>8348</w:t>
      </w:r>
      <w:r>
        <w:rPr>
          <w:rFonts w:ascii="Times New Roman" w:hAnsi="Times New Roman" w:eastAsia="Times New Roman" w:cs="Times New Roman"/>
          <w:sz w:val="23"/>
          <w:szCs w:val="23"/>
        </w:rPr>
        <w:t>km</w:t>
      </w:r>
      <w:r>
        <w:rPr>
          <w:rFonts w:ascii="Times New Roman" w:hAnsi="Times New Roman" w:eastAsia="Times New Roman" w:cs="Times New Roman"/>
          <w:spacing w:val="10"/>
          <w:position w:val="8"/>
          <w:sz w:val="15"/>
          <w:szCs w:val="15"/>
        </w:rPr>
        <w:t xml:space="preserve">2 </w:t>
      </w:r>
      <w:r>
        <w:rPr>
          <w:rFonts w:ascii="宋体" w:hAnsi="宋体" w:eastAsia="宋体" w:cs="宋体"/>
          <w:spacing w:val="7"/>
          <w:sz w:val="23"/>
          <w:szCs w:val="23"/>
        </w:rPr>
        <w:t>。</w:t>
      </w:r>
      <w:r>
        <w:rPr>
          <w:rFonts w:ascii="宋体" w:hAnsi="宋体" w:eastAsia="宋体" w:cs="宋体"/>
          <w:spacing w:val="5"/>
          <w:sz w:val="23"/>
          <w:szCs w:val="23"/>
        </w:rPr>
        <w:t xml:space="preserve"> 明山区位于本溪市东北部，总面积 </w:t>
      </w:r>
      <w:r>
        <w:rPr>
          <w:rFonts w:ascii="Times New Roman" w:hAnsi="Times New Roman" w:eastAsia="Times New Roman" w:cs="Times New Roman"/>
          <w:spacing w:val="5"/>
          <w:sz w:val="23"/>
          <w:szCs w:val="23"/>
        </w:rPr>
        <w:t>408. 1</w:t>
      </w:r>
      <w:r>
        <w:rPr>
          <w:rFonts w:ascii="Times New Roman" w:hAnsi="Times New Roman" w:eastAsia="Times New Roman" w:cs="Times New Roman"/>
          <w:sz w:val="23"/>
          <w:szCs w:val="23"/>
        </w:rPr>
        <w:t>km</w:t>
      </w:r>
      <w:r>
        <w:rPr>
          <w:rFonts w:ascii="Times New Roman" w:hAnsi="Times New Roman" w:eastAsia="Times New Roman" w:cs="Times New Roman"/>
          <w:spacing w:val="5"/>
          <w:position w:val="8"/>
          <w:sz w:val="15"/>
          <w:szCs w:val="15"/>
        </w:rPr>
        <w:t xml:space="preserve">2 </w:t>
      </w:r>
      <w:r>
        <w:rPr>
          <w:rFonts w:ascii="宋体" w:hAnsi="宋体" w:eastAsia="宋体" w:cs="宋体"/>
          <w:spacing w:val="5"/>
          <w:sz w:val="23"/>
          <w:szCs w:val="23"/>
        </w:rPr>
        <w:t>。区内距沈阳桃仙机场</w:t>
      </w:r>
      <w:r>
        <w:rPr>
          <w:rFonts w:ascii="宋体" w:hAnsi="宋体" w:eastAsia="宋体" w:cs="宋体"/>
          <w:sz w:val="23"/>
          <w:szCs w:val="23"/>
        </w:rPr>
        <w:t xml:space="preserve"> </w:t>
      </w:r>
      <w:r>
        <w:rPr>
          <w:rFonts w:ascii="Times New Roman" w:hAnsi="Times New Roman" w:eastAsia="Times New Roman" w:cs="Times New Roman"/>
          <w:spacing w:val="-6"/>
          <w:sz w:val="23"/>
          <w:szCs w:val="23"/>
        </w:rPr>
        <w:t>50</w:t>
      </w:r>
      <w:r>
        <w:rPr>
          <w:rFonts w:ascii="Times New Roman" w:hAnsi="Times New Roman" w:eastAsia="Times New Roman" w:cs="Times New Roman"/>
          <w:spacing w:val="-3"/>
          <w:sz w:val="23"/>
          <w:szCs w:val="23"/>
        </w:rPr>
        <w:t>km</w:t>
      </w:r>
      <w:r>
        <w:rPr>
          <w:rFonts w:ascii="Times New Roman" w:hAnsi="Times New Roman" w:eastAsia="Times New Roman" w:cs="Times New Roman"/>
          <w:spacing w:val="-4"/>
          <w:sz w:val="23"/>
          <w:szCs w:val="23"/>
        </w:rPr>
        <w:t xml:space="preserve"> </w:t>
      </w:r>
      <w:r>
        <w:rPr>
          <w:rFonts w:ascii="宋体" w:hAnsi="宋体" w:eastAsia="宋体" w:cs="宋体"/>
          <w:spacing w:val="-3"/>
          <w:sz w:val="23"/>
          <w:szCs w:val="23"/>
        </w:rPr>
        <w:t xml:space="preserve">、大连港 </w:t>
      </w:r>
      <w:r>
        <w:rPr>
          <w:rFonts w:ascii="Times New Roman" w:hAnsi="Times New Roman" w:eastAsia="Times New Roman" w:cs="Times New Roman"/>
          <w:spacing w:val="-3"/>
          <w:sz w:val="23"/>
          <w:szCs w:val="23"/>
        </w:rPr>
        <w:t xml:space="preserve">350km </w:t>
      </w:r>
      <w:r>
        <w:rPr>
          <w:rFonts w:ascii="宋体" w:hAnsi="宋体" w:eastAsia="宋体" w:cs="宋体"/>
          <w:spacing w:val="-3"/>
          <w:sz w:val="23"/>
          <w:szCs w:val="23"/>
        </w:rPr>
        <w:t xml:space="preserve">、营口港 </w:t>
      </w:r>
      <w:r>
        <w:rPr>
          <w:rFonts w:ascii="Times New Roman" w:hAnsi="Times New Roman" w:eastAsia="Times New Roman" w:cs="Times New Roman"/>
          <w:spacing w:val="-3"/>
          <w:sz w:val="23"/>
          <w:szCs w:val="23"/>
        </w:rPr>
        <w:t xml:space="preserve">180km </w:t>
      </w:r>
      <w:r>
        <w:rPr>
          <w:rFonts w:ascii="宋体" w:hAnsi="宋体" w:eastAsia="宋体" w:cs="宋体"/>
          <w:spacing w:val="-3"/>
          <w:sz w:val="23"/>
          <w:szCs w:val="23"/>
        </w:rPr>
        <w:t xml:space="preserve">、大东港 </w:t>
      </w:r>
      <w:r>
        <w:rPr>
          <w:rFonts w:ascii="Times New Roman" w:hAnsi="Times New Roman" w:eastAsia="Times New Roman" w:cs="Times New Roman"/>
          <w:spacing w:val="-3"/>
          <w:sz w:val="23"/>
          <w:szCs w:val="23"/>
        </w:rPr>
        <w:t>170km</w:t>
      </w:r>
      <w:r>
        <w:rPr>
          <w:rFonts w:ascii="宋体" w:hAnsi="宋体" w:eastAsia="宋体" w:cs="宋体"/>
          <w:spacing w:val="-3"/>
          <w:sz w:val="23"/>
          <w:szCs w:val="23"/>
        </w:rPr>
        <w:t>。</w:t>
      </w:r>
    </w:p>
    <w:p w14:paraId="31357AC5">
      <w:pPr>
        <w:spacing w:before="105" w:line="395" w:lineRule="auto"/>
        <w:ind w:left="27" w:right="85" w:firstLine="476"/>
        <w:rPr>
          <w:rFonts w:ascii="宋体" w:hAnsi="宋体" w:eastAsia="宋体" w:cs="宋体"/>
          <w:sz w:val="23"/>
          <w:szCs w:val="23"/>
        </w:rPr>
      </w:pPr>
      <w:r>
        <w:rPr>
          <w:rFonts w:ascii="宋体" w:hAnsi="宋体" w:eastAsia="宋体" w:cs="宋体"/>
          <w:spacing w:val="7"/>
          <w:sz w:val="23"/>
          <w:szCs w:val="23"/>
        </w:rPr>
        <w:t>溪湖区位于辽东半岛腹地，是中国辽宁省本溪市所辖的一个市辖区，是一</w:t>
      </w:r>
      <w:r>
        <w:rPr>
          <w:rFonts w:ascii="宋体" w:hAnsi="宋体" w:eastAsia="宋体" w:cs="宋体"/>
          <w:spacing w:val="3"/>
          <w:sz w:val="23"/>
          <w:szCs w:val="23"/>
        </w:rPr>
        <w:t>个</w:t>
      </w:r>
      <w:r>
        <w:rPr>
          <w:rFonts w:ascii="宋体" w:hAnsi="宋体" w:eastAsia="宋体" w:cs="宋体"/>
          <w:sz w:val="23"/>
          <w:szCs w:val="23"/>
        </w:rPr>
        <w:t xml:space="preserve"> </w:t>
      </w:r>
      <w:r>
        <w:rPr>
          <w:rFonts w:ascii="宋体" w:hAnsi="宋体" w:eastAsia="宋体" w:cs="宋体"/>
          <w:spacing w:val="11"/>
          <w:sz w:val="23"/>
          <w:szCs w:val="23"/>
        </w:rPr>
        <w:t>老</w:t>
      </w:r>
      <w:r>
        <w:rPr>
          <w:rFonts w:ascii="宋体" w:hAnsi="宋体" w:eastAsia="宋体" w:cs="宋体"/>
          <w:spacing w:val="9"/>
          <w:sz w:val="23"/>
          <w:szCs w:val="23"/>
        </w:rPr>
        <w:t>工业基地。东界抚顺，西接辽阳，南衔丹东，北邻沈阳。</w:t>
      </w:r>
    </w:p>
    <w:p w14:paraId="018F29BB">
      <w:pPr>
        <w:spacing w:before="132" w:line="228" w:lineRule="auto"/>
        <w:ind w:left="514"/>
        <w:rPr>
          <w:rFonts w:ascii="宋体" w:hAnsi="宋体" w:eastAsia="宋体" w:cs="宋体"/>
          <w:sz w:val="23"/>
          <w:szCs w:val="23"/>
        </w:rPr>
      </w:pPr>
      <w:r>
        <w:rPr>
          <w:rFonts w:ascii="宋体" w:hAnsi="宋体" w:eastAsia="宋体" w:cs="宋体"/>
          <w:spacing w:val="21"/>
          <w:sz w:val="23"/>
          <w:szCs w:val="23"/>
          <w14:textOutline w14:w="4358" w14:cap="sq" w14:cmpd="sng">
            <w14:solidFill>
              <w14:srgbClr w14:val="000000"/>
            </w14:solidFill>
            <w14:prstDash w14:val="solid"/>
            <w14:bevel/>
          </w14:textOutline>
        </w:rPr>
        <w:t>(</w:t>
      </w:r>
      <w:r>
        <w:rPr>
          <w:rFonts w:ascii="Times New Roman" w:hAnsi="Times New Roman" w:eastAsia="Times New Roman" w:cs="Times New Roman"/>
          <w:b/>
          <w:bCs/>
          <w:spacing w:val="18"/>
          <w:sz w:val="23"/>
          <w:szCs w:val="23"/>
        </w:rPr>
        <w:t>2</w:t>
      </w:r>
      <w:r>
        <w:rPr>
          <w:rFonts w:ascii="宋体" w:hAnsi="宋体" w:eastAsia="宋体" w:cs="宋体"/>
          <w:spacing w:val="18"/>
          <w:sz w:val="23"/>
          <w:szCs w:val="23"/>
          <w14:textOutline w14:w="4358" w14:cap="sq" w14:cmpd="sng">
            <w14:solidFill>
              <w14:srgbClr w14:val="000000"/>
            </w14:solidFill>
            <w14:prstDash w14:val="solid"/>
            <w14:bevel/>
          </w14:textOutline>
        </w:rPr>
        <w:t>)</w:t>
      </w:r>
      <w:r>
        <w:rPr>
          <w:rFonts w:ascii="宋体" w:hAnsi="宋体" w:eastAsia="宋体" w:cs="宋体"/>
          <w:spacing w:val="18"/>
          <w:sz w:val="23"/>
          <w:szCs w:val="23"/>
        </w:rPr>
        <w:t xml:space="preserve"> </w:t>
      </w:r>
      <w:r>
        <w:rPr>
          <w:rFonts w:ascii="宋体" w:hAnsi="宋体" w:eastAsia="宋体" w:cs="宋体"/>
          <w:spacing w:val="18"/>
          <w:sz w:val="23"/>
          <w:szCs w:val="23"/>
          <w14:textOutline w14:w="4358" w14:cap="sq" w14:cmpd="sng">
            <w14:solidFill>
              <w14:srgbClr w14:val="000000"/>
            </w14:solidFill>
            <w14:prstDash w14:val="solid"/>
            <w14:bevel/>
          </w14:textOutline>
        </w:rPr>
        <w:t>项目周边关系</w:t>
      </w:r>
    </w:p>
    <w:p w14:paraId="6359A159">
      <w:pPr>
        <w:spacing w:line="277" w:lineRule="auto"/>
        <w:rPr>
          <w:rFonts w:ascii="Arial"/>
          <w:sz w:val="21"/>
        </w:rPr>
      </w:pPr>
    </w:p>
    <w:p w14:paraId="4648C77A">
      <w:pPr>
        <w:spacing w:before="75" w:line="390" w:lineRule="auto"/>
        <w:ind w:left="11" w:firstLine="496"/>
        <w:rPr>
          <w:rFonts w:ascii="宋体" w:hAnsi="宋体" w:eastAsia="宋体" w:cs="宋体"/>
          <w:sz w:val="23"/>
          <w:szCs w:val="23"/>
        </w:rPr>
      </w:pPr>
      <w:r>
        <w:rPr>
          <w:rFonts w:ascii="宋体" w:hAnsi="宋体" w:eastAsia="宋体" w:cs="宋体"/>
          <w:spacing w:val="32"/>
          <w:sz w:val="23"/>
          <w:szCs w:val="23"/>
        </w:rPr>
        <w:t>该</w:t>
      </w:r>
      <w:r>
        <w:rPr>
          <w:rFonts w:ascii="宋体" w:hAnsi="宋体" w:eastAsia="宋体" w:cs="宋体"/>
          <w:spacing w:val="21"/>
          <w:sz w:val="23"/>
          <w:szCs w:val="23"/>
        </w:rPr>
        <w:t>项 目位于辽宁省本溪市溪湖区火连寨镇火连寨村 ，地理位置坐标为</w:t>
      </w:r>
      <w:r>
        <w:rPr>
          <w:rFonts w:ascii="宋体" w:hAnsi="宋体" w:eastAsia="宋体" w:cs="宋体"/>
          <w:sz w:val="23"/>
          <w:szCs w:val="23"/>
        </w:rPr>
        <w:t xml:space="preserve"> </w:t>
      </w:r>
      <w:r>
        <w:rPr>
          <w:rFonts w:ascii="Times New Roman" w:hAnsi="Times New Roman" w:eastAsia="Times New Roman" w:cs="Times New Roman"/>
          <w:sz w:val="23"/>
          <w:szCs w:val="23"/>
        </w:rPr>
        <w:t>N</w:t>
      </w:r>
      <w:r>
        <w:rPr>
          <w:rFonts w:ascii="Times New Roman" w:hAnsi="Times New Roman" w:eastAsia="Times New Roman" w:cs="Times New Roman"/>
          <w:spacing w:val="5"/>
          <w:sz w:val="23"/>
          <w:szCs w:val="23"/>
        </w:rPr>
        <w:t>41°21′55.05927″</w:t>
      </w:r>
      <w:r>
        <w:rPr>
          <w:rFonts w:ascii="Times New Roman" w:hAnsi="Times New Roman" w:eastAsia="Times New Roman" w:cs="Times New Roman"/>
          <w:sz w:val="23"/>
          <w:szCs w:val="23"/>
        </w:rPr>
        <w:t>E</w:t>
      </w:r>
      <w:r>
        <w:rPr>
          <w:rFonts w:ascii="Times New Roman" w:hAnsi="Times New Roman" w:eastAsia="Times New Roman" w:cs="Times New Roman"/>
          <w:spacing w:val="5"/>
          <w:sz w:val="23"/>
          <w:szCs w:val="23"/>
        </w:rPr>
        <w:t>123°42′32.05640″</w:t>
      </w:r>
      <w:r>
        <w:rPr>
          <w:rFonts w:ascii="宋体" w:hAnsi="宋体" w:eastAsia="宋体" w:cs="宋体"/>
          <w:spacing w:val="5"/>
          <w:sz w:val="23"/>
          <w:szCs w:val="23"/>
        </w:rPr>
        <w:t>。其东侧为辽宁公路水泥厂废旧厂区，西侧</w:t>
      </w:r>
      <w:r>
        <w:rPr>
          <w:rFonts w:ascii="宋体" w:hAnsi="宋体" w:eastAsia="宋体" w:cs="宋体"/>
          <w:spacing w:val="1"/>
          <w:sz w:val="23"/>
          <w:szCs w:val="23"/>
        </w:rPr>
        <w:t>、</w:t>
      </w:r>
      <w:r>
        <w:rPr>
          <w:rFonts w:ascii="宋体" w:hAnsi="宋体" w:eastAsia="宋体" w:cs="宋体"/>
          <w:sz w:val="23"/>
          <w:szCs w:val="23"/>
        </w:rPr>
        <w:t xml:space="preserve"> </w:t>
      </w:r>
      <w:r>
        <w:rPr>
          <w:rFonts w:ascii="宋体" w:hAnsi="宋体" w:eastAsia="宋体" w:cs="宋体"/>
          <w:spacing w:val="11"/>
          <w:sz w:val="23"/>
          <w:szCs w:val="23"/>
        </w:rPr>
        <w:t>南</w:t>
      </w:r>
      <w:r>
        <w:rPr>
          <w:rFonts w:ascii="宋体" w:hAnsi="宋体" w:eastAsia="宋体" w:cs="宋体"/>
          <w:spacing w:val="9"/>
          <w:sz w:val="23"/>
          <w:szCs w:val="23"/>
        </w:rPr>
        <w:t>侧、北侧均为空地。</w:t>
      </w:r>
    </w:p>
    <w:p w14:paraId="4CDD9F40">
      <w:pPr>
        <w:spacing w:before="85" w:line="225" w:lineRule="auto"/>
        <w:ind w:left="21"/>
        <w:outlineLvl w:val="2"/>
        <w:rPr>
          <w:rFonts w:ascii="宋体" w:hAnsi="宋体" w:eastAsia="宋体" w:cs="宋体"/>
          <w:sz w:val="29"/>
          <w:szCs w:val="29"/>
        </w:rPr>
      </w:pPr>
      <w:r>
        <w:rPr>
          <w:rFonts w:ascii="Times New Roman" w:hAnsi="Times New Roman" w:eastAsia="Times New Roman" w:cs="Times New Roman"/>
          <w:b/>
          <w:bCs/>
          <w:spacing w:val="8"/>
          <w:sz w:val="29"/>
          <w:szCs w:val="29"/>
        </w:rPr>
        <w:t>4</w:t>
      </w:r>
      <w:r>
        <w:rPr>
          <w:rFonts w:ascii="Times New Roman" w:hAnsi="Times New Roman" w:eastAsia="Times New Roman" w:cs="Times New Roman"/>
          <w:b/>
          <w:bCs/>
          <w:spacing w:val="5"/>
          <w:sz w:val="29"/>
          <w:szCs w:val="29"/>
        </w:rPr>
        <w:t>.1.2</w:t>
      </w:r>
      <w:r>
        <w:rPr>
          <w:rFonts w:ascii="Times New Roman" w:hAnsi="Times New Roman" w:eastAsia="Times New Roman" w:cs="Times New Roman"/>
          <w:spacing w:val="5"/>
          <w:sz w:val="29"/>
          <w:szCs w:val="29"/>
        </w:rPr>
        <w:t xml:space="preserve">  </w:t>
      </w:r>
      <w:r>
        <w:rPr>
          <w:rFonts w:ascii="宋体" w:hAnsi="宋体" w:eastAsia="宋体" w:cs="宋体"/>
          <w:spacing w:val="5"/>
          <w:sz w:val="29"/>
          <w:szCs w:val="29"/>
          <w14:textOutline w14:w="5448" w14:cap="sq" w14:cmpd="sng">
            <w14:solidFill>
              <w14:srgbClr w14:val="000000"/>
            </w14:solidFill>
            <w14:prstDash w14:val="solid"/>
            <w14:bevel/>
          </w14:textOutline>
        </w:rPr>
        <w:t>地形地貌</w:t>
      </w:r>
    </w:p>
    <w:p w14:paraId="2C04379F">
      <w:pPr>
        <w:spacing w:line="260" w:lineRule="auto"/>
        <w:rPr>
          <w:rFonts w:ascii="Arial"/>
          <w:sz w:val="21"/>
        </w:rPr>
      </w:pPr>
    </w:p>
    <w:p w14:paraId="08D54105">
      <w:pPr>
        <w:spacing w:before="75" w:line="388" w:lineRule="auto"/>
        <w:ind w:left="23" w:right="82" w:firstLine="480"/>
        <w:rPr>
          <w:rFonts w:ascii="宋体" w:hAnsi="宋体" w:eastAsia="宋体" w:cs="宋体"/>
          <w:sz w:val="23"/>
          <w:szCs w:val="23"/>
        </w:rPr>
      </w:pPr>
      <w:r>
        <w:rPr>
          <w:rFonts w:ascii="宋体" w:hAnsi="宋体" w:eastAsia="宋体" w:cs="宋体"/>
          <w:spacing w:val="14"/>
          <w:sz w:val="23"/>
          <w:szCs w:val="23"/>
        </w:rPr>
        <w:t>本溪</w:t>
      </w:r>
      <w:r>
        <w:rPr>
          <w:rFonts w:ascii="宋体" w:hAnsi="宋体" w:eastAsia="宋体" w:cs="宋体"/>
          <w:spacing w:val="9"/>
          <w:sz w:val="23"/>
          <w:szCs w:val="23"/>
        </w:rPr>
        <w:t>市</w:t>
      </w:r>
      <w:r>
        <w:rPr>
          <w:rFonts w:ascii="宋体" w:hAnsi="宋体" w:eastAsia="宋体" w:cs="宋体"/>
          <w:spacing w:val="7"/>
          <w:sz w:val="23"/>
          <w:szCs w:val="23"/>
        </w:rPr>
        <w:t>山河交错，地质复杂，有</w:t>
      </w:r>
      <w:r>
        <w:rPr>
          <w:rFonts w:ascii="Times New Roman" w:hAnsi="Times New Roman" w:eastAsia="Times New Roman" w:cs="Times New Roman"/>
          <w:spacing w:val="7"/>
          <w:sz w:val="23"/>
          <w:szCs w:val="23"/>
        </w:rPr>
        <w:t>“</w:t>
      </w:r>
      <w:r>
        <w:rPr>
          <w:rFonts w:ascii="宋体" w:hAnsi="宋体" w:eastAsia="宋体" w:cs="宋体"/>
          <w:spacing w:val="7"/>
          <w:sz w:val="23"/>
          <w:szCs w:val="23"/>
        </w:rPr>
        <w:t>天然地质博物馆</w:t>
      </w:r>
      <w:r>
        <w:rPr>
          <w:rFonts w:ascii="Times New Roman" w:hAnsi="Times New Roman" w:eastAsia="Times New Roman" w:cs="Times New Roman"/>
          <w:spacing w:val="7"/>
          <w:sz w:val="23"/>
          <w:szCs w:val="23"/>
        </w:rPr>
        <w:t>”</w:t>
      </w:r>
      <w:r>
        <w:rPr>
          <w:rFonts w:ascii="宋体" w:hAnsi="宋体" w:eastAsia="宋体" w:cs="宋体"/>
          <w:spacing w:val="7"/>
          <w:sz w:val="23"/>
          <w:szCs w:val="23"/>
        </w:rPr>
        <w:t>之称。地质构造体系上大</w:t>
      </w:r>
      <w:r>
        <w:rPr>
          <w:rFonts w:ascii="宋体" w:hAnsi="宋体" w:eastAsia="宋体" w:cs="宋体"/>
          <w:sz w:val="23"/>
          <w:szCs w:val="23"/>
        </w:rPr>
        <w:t xml:space="preserve"> </w:t>
      </w:r>
      <w:r>
        <w:rPr>
          <w:rFonts w:ascii="宋体" w:hAnsi="宋体" w:eastAsia="宋体" w:cs="宋体"/>
          <w:spacing w:val="8"/>
          <w:sz w:val="23"/>
          <w:szCs w:val="23"/>
        </w:rPr>
        <w:t xml:space="preserve">体可分为 </w:t>
      </w:r>
      <w:r>
        <w:rPr>
          <w:rFonts w:ascii="Times New Roman" w:hAnsi="Times New Roman" w:eastAsia="Times New Roman" w:cs="Times New Roman"/>
          <w:spacing w:val="8"/>
          <w:sz w:val="23"/>
          <w:szCs w:val="23"/>
        </w:rPr>
        <w:t xml:space="preserve">5 </w:t>
      </w:r>
      <w:r>
        <w:rPr>
          <w:rFonts w:ascii="宋体" w:hAnsi="宋体" w:eastAsia="宋体" w:cs="宋体"/>
          <w:spacing w:val="8"/>
          <w:sz w:val="23"/>
          <w:szCs w:val="23"/>
        </w:rPr>
        <w:t>个构造带：</w:t>
      </w:r>
      <w:r>
        <w:rPr>
          <w:rFonts w:ascii="Times New Roman" w:hAnsi="Times New Roman" w:eastAsia="Times New Roman" w:cs="Times New Roman"/>
          <w:spacing w:val="8"/>
          <w:sz w:val="23"/>
          <w:szCs w:val="23"/>
        </w:rPr>
        <w:t>1</w:t>
      </w:r>
      <w:r>
        <w:rPr>
          <w:rFonts w:ascii="宋体" w:hAnsi="宋体" w:eastAsia="宋体" w:cs="宋体"/>
          <w:spacing w:val="8"/>
          <w:sz w:val="23"/>
          <w:szCs w:val="23"/>
        </w:rPr>
        <w:t>) 西北向构造带，处在本溪地区北部和西部的太古代</w:t>
      </w:r>
      <w:r>
        <w:rPr>
          <w:rFonts w:ascii="宋体" w:hAnsi="宋体" w:eastAsia="宋体" w:cs="宋体"/>
          <w:spacing w:val="6"/>
          <w:sz w:val="23"/>
          <w:szCs w:val="23"/>
        </w:rPr>
        <w:t>鞍</w:t>
      </w:r>
      <w:r>
        <w:rPr>
          <w:rFonts w:ascii="宋体" w:hAnsi="宋体" w:eastAsia="宋体" w:cs="宋体"/>
          <w:sz w:val="23"/>
          <w:szCs w:val="23"/>
        </w:rPr>
        <w:t xml:space="preserve"> </w:t>
      </w:r>
      <w:r>
        <w:rPr>
          <w:rFonts w:ascii="宋体" w:hAnsi="宋体" w:eastAsia="宋体" w:cs="宋体"/>
          <w:spacing w:val="11"/>
          <w:sz w:val="23"/>
          <w:szCs w:val="23"/>
        </w:rPr>
        <w:t>山</w:t>
      </w:r>
      <w:r>
        <w:rPr>
          <w:rFonts w:ascii="宋体" w:hAnsi="宋体" w:eastAsia="宋体" w:cs="宋体"/>
          <w:spacing w:val="10"/>
          <w:sz w:val="23"/>
          <w:szCs w:val="23"/>
        </w:rPr>
        <w:t>群地层中；</w:t>
      </w:r>
      <w:r>
        <w:rPr>
          <w:rFonts w:ascii="Times New Roman" w:hAnsi="Times New Roman" w:eastAsia="Times New Roman" w:cs="Times New Roman"/>
          <w:spacing w:val="10"/>
          <w:sz w:val="23"/>
          <w:szCs w:val="23"/>
        </w:rPr>
        <w:t>2</w:t>
      </w:r>
      <w:r>
        <w:rPr>
          <w:rFonts w:ascii="宋体" w:hAnsi="宋体" w:eastAsia="宋体" w:cs="宋体"/>
          <w:spacing w:val="10"/>
          <w:sz w:val="23"/>
          <w:szCs w:val="23"/>
        </w:rPr>
        <w:t>) 近东西向构造带，即太子河凹陷带，摩天岭至四棵杨树近东西</w:t>
      </w:r>
      <w:r>
        <w:rPr>
          <w:rFonts w:ascii="宋体" w:hAnsi="宋体" w:eastAsia="宋体" w:cs="宋体"/>
          <w:sz w:val="23"/>
          <w:szCs w:val="23"/>
        </w:rPr>
        <w:t xml:space="preserve"> </w:t>
      </w:r>
      <w:r>
        <w:rPr>
          <w:rFonts w:ascii="宋体" w:hAnsi="宋体" w:eastAsia="宋体" w:cs="宋体"/>
          <w:spacing w:val="12"/>
          <w:sz w:val="23"/>
          <w:szCs w:val="23"/>
        </w:rPr>
        <w:t>向构造</w:t>
      </w:r>
      <w:r>
        <w:rPr>
          <w:rFonts w:ascii="宋体" w:hAnsi="宋体" w:eastAsia="宋体" w:cs="宋体"/>
          <w:spacing w:val="7"/>
          <w:sz w:val="23"/>
          <w:szCs w:val="23"/>
        </w:rPr>
        <w:t>带</w:t>
      </w:r>
      <w:r>
        <w:rPr>
          <w:rFonts w:ascii="宋体" w:hAnsi="宋体" w:eastAsia="宋体" w:cs="宋体"/>
          <w:spacing w:val="6"/>
          <w:sz w:val="23"/>
          <w:szCs w:val="23"/>
        </w:rPr>
        <w:t>和马鹿沟近东西向岩体带；</w:t>
      </w:r>
      <w:r>
        <w:rPr>
          <w:rFonts w:ascii="Times New Roman" w:hAnsi="Times New Roman" w:eastAsia="Times New Roman" w:cs="Times New Roman"/>
          <w:spacing w:val="6"/>
          <w:sz w:val="23"/>
          <w:szCs w:val="23"/>
        </w:rPr>
        <w:t>3</w:t>
      </w:r>
      <w:r>
        <w:rPr>
          <w:rFonts w:ascii="宋体" w:hAnsi="宋体" w:eastAsia="宋体" w:cs="宋体"/>
          <w:spacing w:val="6"/>
          <w:sz w:val="23"/>
          <w:szCs w:val="23"/>
        </w:rPr>
        <w:t>) 东北向构造带，主要是断裂构造；</w:t>
      </w:r>
      <w:r>
        <w:rPr>
          <w:rFonts w:ascii="Times New Roman" w:hAnsi="Times New Roman" w:eastAsia="Times New Roman" w:cs="Times New Roman"/>
          <w:spacing w:val="6"/>
          <w:sz w:val="23"/>
          <w:szCs w:val="23"/>
        </w:rPr>
        <w:t>4</w:t>
      </w:r>
      <w:r>
        <w:rPr>
          <w:rFonts w:ascii="宋体" w:hAnsi="宋体" w:eastAsia="宋体" w:cs="宋体"/>
          <w:spacing w:val="6"/>
          <w:sz w:val="23"/>
          <w:szCs w:val="23"/>
        </w:rPr>
        <w:t>) 弧</w:t>
      </w:r>
      <w:r>
        <w:rPr>
          <w:rFonts w:ascii="宋体" w:hAnsi="宋体" w:eastAsia="宋体" w:cs="宋体"/>
          <w:sz w:val="23"/>
          <w:szCs w:val="23"/>
        </w:rPr>
        <w:t xml:space="preserve"> </w:t>
      </w:r>
      <w:r>
        <w:rPr>
          <w:rFonts w:ascii="宋体" w:hAnsi="宋体" w:eastAsia="宋体" w:cs="宋体"/>
          <w:spacing w:val="9"/>
          <w:sz w:val="23"/>
          <w:szCs w:val="23"/>
        </w:rPr>
        <w:t>形</w:t>
      </w:r>
      <w:r>
        <w:rPr>
          <w:rFonts w:ascii="宋体" w:hAnsi="宋体" w:eastAsia="宋体" w:cs="宋体"/>
          <w:spacing w:val="8"/>
          <w:sz w:val="23"/>
          <w:szCs w:val="23"/>
        </w:rPr>
        <w:t>构造带；</w:t>
      </w:r>
      <w:r>
        <w:rPr>
          <w:rFonts w:ascii="Times New Roman" w:hAnsi="Times New Roman" w:eastAsia="Times New Roman" w:cs="Times New Roman"/>
          <w:spacing w:val="8"/>
          <w:sz w:val="23"/>
          <w:szCs w:val="23"/>
        </w:rPr>
        <w:t>5</w:t>
      </w:r>
      <w:r>
        <w:rPr>
          <w:rFonts w:ascii="宋体" w:hAnsi="宋体" w:eastAsia="宋体" w:cs="宋体"/>
          <w:spacing w:val="8"/>
          <w:sz w:val="23"/>
          <w:szCs w:val="23"/>
        </w:rPr>
        <w:t>) 伽玛射线地温异常带。</w:t>
      </w:r>
    </w:p>
    <w:p w14:paraId="04DEDFF3">
      <w:pPr>
        <w:spacing w:before="137" w:line="389" w:lineRule="auto"/>
        <w:ind w:left="22" w:right="82" w:firstLine="481"/>
        <w:rPr>
          <w:rFonts w:ascii="宋体" w:hAnsi="宋体" w:eastAsia="宋体" w:cs="宋体"/>
          <w:sz w:val="23"/>
          <w:szCs w:val="23"/>
        </w:rPr>
      </w:pPr>
      <w:r>
        <w:rPr>
          <w:rFonts w:ascii="宋体" w:hAnsi="宋体" w:eastAsia="宋体" w:cs="宋体"/>
          <w:spacing w:val="7"/>
          <w:sz w:val="23"/>
          <w:szCs w:val="23"/>
        </w:rPr>
        <w:t>本溪市地处辽宁东南部山区，系长白山支脉</w:t>
      </w:r>
      <w:r>
        <w:rPr>
          <w:rFonts w:ascii="Times New Roman" w:hAnsi="Times New Roman" w:eastAsia="Times New Roman" w:cs="Times New Roman"/>
          <w:spacing w:val="7"/>
          <w:sz w:val="23"/>
          <w:szCs w:val="23"/>
        </w:rPr>
        <w:t>―</w:t>
      </w:r>
      <w:r>
        <w:rPr>
          <w:rFonts w:ascii="宋体" w:hAnsi="宋体" w:eastAsia="宋体" w:cs="宋体"/>
          <w:spacing w:val="7"/>
          <w:sz w:val="23"/>
          <w:szCs w:val="23"/>
        </w:rPr>
        <w:t>千山山脉之东北端，以东北</w:t>
      </w:r>
      <w:r>
        <w:rPr>
          <w:rFonts w:ascii="Times New Roman" w:hAnsi="Times New Roman" w:eastAsia="Times New Roman" w:cs="Times New Roman"/>
          <w:spacing w:val="2"/>
          <w:sz w:val="23"/>
          <w:szCs w:val="23"/>
        </w:rPr>
        <w:t>―</w:t>
      </w:r>
      <w:r>
        <w:rPr>
          <w:rFonts w:ascii="Times New Roman" w:hAnsi="Times New Roman" w:eastAsia="Times New Roman" w:cs="Times New Roman"/>
          <w:sz w:val="23"/>
          <w:szCs w:val="23"/>
        </w:rPr>
        <w:t xml:space="preserve"> </w:t>
      </w:r>
      <w:r>
        <w:rPr>
          <w:rFonts w:ascii="宋体" w:hAnsi="宋体" w:eastAsia="宋体" w:cs="宋体"/>
          <w:spacing w:val="9"/>
          <w:sz w:val="23"/>
          <w:szCs w:val="23"/>
        </w:rPr>
        <w:t>西</w:t>
      </w:r>
      <w:r>
        <w:rPr>
          <w:rFonts w:ascii="宋体" w:hAnsi="宋体" w:eastAsia="宋体" w:cs="宋体"/>
          <w:spacing w:val="7"/>
          <w:sz w:val="23"/>
          <w:szCs w:val="23"/>
        </w:rPr>
        <w:t>南走向为主，地貌以中低山地为主，西北部边缘有局部丘陵地。全境总趋势为</w:t>
      </w:r>
      <w:r>
        <w:rPr>
          <w:rFonts w:ascii="宋体" w:hAnsi="宋体" w:eastAsia="宋体" w:cs="宋体"/>
          <w:sz w:val="23"/>
          <w:szCs w:val="23"/>
        </w:rPr>
        <w:t xml:space="preserve"> </w:t>
      </w:r>
      <w:r>
        <w:rPr>
          <w:rFonts w:ascii="宋体" w:hAnsi="宋体" w:eastAsia="宋体" w:cs="宋体"/>
          <w:spacing w:val="9"/>
          <w:sz w:val="23"/>
          <w:szCs w:val="23"/>
        </w:rPr>
        <w:t>东</w:t>
      </w:r>
      <w:r>
        <w:rPr>
          <w:rFonts w:ascii="宋体" w:hAnsi="宋体" w:eastAsia="宋体" w:cs="宋体"/>
          <w:spacing w:val="7"/>
          <w:sz w:val="23"/>
          <w:szCs w:val="23"/>
        </w:rPr>
        <w:t>南高西北低，而东西相比又东高西低。地貌组成以湿润流水作用的山地侵蚀构</w:t>
      </w:r>
      <w:r>
        <w:rPr>
          <w:rFonts w:ascii="宋体" w:hAnsi="宋体" w:eastAsia="宋体" w:cs="宋体"/>
          <w:sz w:val="23"/>
          <w:szCs w:val="23"/>
        </w:rPr>
        <w:t xml:space="preserve"> </w:t>
      </w:r>
      <w:r>
        <w:rPr>
          <w:rFonts w:ascii="宋体" w:hAnsi="宋体" w:eastAsia="宋体" w:cs="宋体"/>
          <w:spacing w:val="8"/>
          <w:sz w:val="23"/>
          <w:szCs w:val="23"/>
        </w:rPr>
        <w:t>造形态为主</w:t>
      </w:r>
      <w:r>
        <w:rPr>
          <w:rFonts w:ascii="宋体" w:hAnsi="宋体" w:eastAsia="宋体" w:cs="宋体"/>
          <w:spacing w:val="6"/>
          <w:sz w:val="23"/>
          <w:szCs w:val="23"/>
        </w:rPr>
        <w:t>，</w:t>
      </w:r>
      <w:r>
        <w:rPr>
          <w:rFonts w:ascii="宋体" w:hAnsi="宋体" w:eastAsia="宋体" w:cs="宋体"/>
          <w:spacing w:val="4"/>
          <w:sz w:val="23"/>
          <w:szCs w:val="23"/>
        </w:rPr>
        <w:t xml:space="preserve">最高为佛顶山 (又称老秃顶子) 主峰海拔 </w:t>
      </w:r>
      <w:r>
        <w:rPr>
          <w:rFonts w:ascii="Times New Roman" w:hAnsi="Times New Roman" w:eastAsia="Times New Roman" w:cs="Times New Roman"/>
          <w:spacing w:val="4"/>
          <w:sz w:val="23"/>
          <w:szCs w:val="23"/>
        </w:rPr>
        <w:t>1367.2</w:t>
      </w:r>
      <w:r>
        <w:rPr>
          <w:rFonts w:ascii="Times New Roman" w:hAnsi="Times New Roman" w:eastAsia="Times New Roman" w:cs="Times New Roman"/>
          <w:sz w:val="23"/>
          <w:szCs w:val="23"/>
        </w:rPr>
        <w:t>m</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，为辽宁第一高</w:t>
      </w:r>
    </w:p>
    <w:p w14:paraId="7B4B27A7">
      <w:pPr>
        <w:sectPr>
          <w:headerReference r:id="rId150" w:type="default"/>
          <w:footerReference r:id="rId151" w:type="default"/>
          <w:pgSz w:w="11906" w:h="16839"/>
          <w:pgMar w:top="1132" w:right="1714" w:bottom="1180" w:left="1785" w:header="878" w:footer="1022" w:gutter="0"/>
          <w:cols w:space="720" w:num="1"/>
        </w:sectPr>
      </w:pPr>
    </w:p>
    <w:p w14:paraId="1C1DC763">
      <w:pPr>
        <w:spacing w:line="408" w:lineRule="auto"/>
        <w:rPr>
          <w:rFonts w:ascii="Arial"/>
          <w:sz w:val="21"/>
        </w:rPr>
      </w:pPr>
      <w:r>
        <w:pict>
          <v:shape id="_x0000_s1210" o:spid="_x0000_s1210" style="position:absolute;left:0pt;margin-left:90pt;margin-top:57.35pt;height:0.75pt;width:415.3pt;mso-position-horizontal-relative:page;mso-position-vertical-relative:page;z-index:251862016;mso-width-relative:page;mso-height-relative:page;" fillcolor="#000000" filled="t" stroked="f" coordsize="8305,15" o:allowincell="f" path="m0,0l8305,0,8305,14,0,14,0,0xe">
            <v:path/>
            <v:fill on="t" focussize="0,0"/>
            <v:stroke on="f"/>
            <v:imagedata o:title=""/>
            <o:lock v:ext="edit"/>
          </v:shape>
        </w:pict>
      </w:r>
    </w:p>
    <w:p w14:paraId="4D2AB4FF">
      <w:pPr>
        <w:spacing w:before="75" w:line="227" w:lineRule="auto"/>
        <w:ind w:left="31"/>
        <w:rPr>
          <w:rFonts w:ascii="宋体" w:hAnsi="宋体" w:eastAsia="宋体" w:cs="宋体"/>
          <w:sz w:val="23"/>
          <w:szCs w:val="23"/>
        </w:rPr>
      </w:pPr>
      <w:r>
        <w:rPr>
          <w:rFonts w:ascii="宋体" w:hAnsi="宋体" w:eastAsia="宋体" w:cs="宋体"/>
          <w:spacing w:val="16"/>
          <w:sz w:val="23"/>
          <w:szCs w:val="23"/>
        </w:rPr>
        <w:t>峰</w:t>
      </w:r>
      <w:r>
        <w:rPr>
          <w:rFonts w:ascii="宋体" w:hAnsi="宋体" w:eastAsia="宋体" w:cs="宋体"/>
          <w:spacing w:val="11"/>
          <w:sz w:val="23"/>
          <w:szCs w:val="23"/>
        </w:rPr>
        <w:t>，</w:t>
      </w:r>
      <w:r>
        <w:rPr>
          <w:rFonts w:ascii="宋体" w:hAnsi="宋体" w:eastAsia="宋体" w:cs="宋体"/>
          <w:spacing w:val="8"/>
          <w:sz w:val="23"/>
          <w:szCs w:val="23"/>
        </w:rPr>
        <w:t>市域内有上百座山峰超过千米，被誉为</w:t>
      </w:r>
      <w:r>
        <w:rPr>
          <w:rFonts w:ascii="Times New Roman" w:hAnsi="Times New Roman" w:eastAsia="Times New Roman" w:cs="Times New Roman"/>
          <w:spacing w:val="8"/>
          <w:sz w:val="23"/>
          <w:szCs w:val="23"/>
        </w:rPr>
        <w:t>“</w:t>
      </w:r>
      <w:r>
        <w:rPr>
          <w:rFonts w:ascii="宋体" w:hAnsi="宋体" w:eastAsia="宋体" w:cs="宋体"/>
          <w:spacing w:val="8"/>
          <w:sz w:val="23"/>
          <w:szCs w:val="23"/>
        </w:rPr>
        <w:t>辽宁屋脊</w:t>
      </w:r>
      <w:r>
        <w:rPr>
          <w:rFonts w:ascii="Times New Roman" w:hAnsi="Times New Roman" w:eastAsia="Times New Roman" w:cs="Times New Roman"/>
          <w:spacing w:val="8"/>
          <w:sz w:val="23"/>
          <w:szCs w:val="23"/>
        </w:rPr>
        <w:t>”</w:t>
      </w:r>
      <w:r>
        <w:rPr>
          <w:rFonts w:ascii="宋体" w:hAnsi="宋体" w:eastAsia="宋体" w:cs="宋体"/>
          <w:spacing w:val="8"/>
          <w:sz w:val="23"/>
          <w:szCs w:val="23"/>
        </w:rPr>
        <w:t>。</w:t>
      </w:r>
    </w:p>
    <w:p w14:paraId="3E651DFF">
      <w:pPr>
        <w:spacing w:before="174" w:line="480" w:lineRule="exact"/>
        <w:ind w:left="503"/>
        <w:rPr>
          <w:rFonts w:ascii="宋体" w:hAnsi="宋体" w:eastAsia="宋体" w:cs="宋体"/>
          <w:sz w:val="23"/>
          <w:szCs w:val="23"/>
        </w:rPr>
      </w:pPr>
      <w:r>
        <w:rPr>
          <w:rFonts w:ascii="宋体" w:hAnsi="宋体" w:eastAsia="宋体" w:cs="宋体"/>
          <w:spacing w:val="7"/>
          <w:position w:val="6"/>
          <w:sz w:val="23"/>
          <w:szCs w:val="23"/>
        </w:rPr>
        <w:t>溪湖区地势自东南向西北倾斜，群山连绵，沟壑纵横，为</w:t>
      </w:r>
      <w:r>
        <w:fldChar w:fldCharType="begin"/>
      </w:r>
      <w:r>
        <w:instrText xml:space="preserve"> HYPERLINK "http://baike.baidu.com/view/4588.htm" </w:instrText>
      </w:r>
      <w:r>
        <w:fldChar w:fldCharType="separate"/>
      </w:r>
      <w:r>
        <w:rPr>
          <w:rFonts w:ascii="宋体" w:hAnsi="宋体" w:eastAsia="宋体" w:cs="宋体"/>
          <w:spacing w:val="7"/>
          <w:position w:val="6"/>
          <w:sz w:val="23"/>
          <w:szCs w:val="23"/>
        </w:rPr>
        <w:t>长白山</w:t>
      </w:r>
      <w:r>
        <w:rPr>
          <w:rFonts w:ascii="宋体" w:hAnsi="宋体" w:eastAsia="宋体" w:cs="宋体"/>
          <w:spacing w:val="7"/>
          <w:position w:val="6"/>
          <w:sz w:val="23"/>
          <w:szCs w:val="23"/>
        </w:rPr>
        <w:fldChar w:fldCharType="end"/>
      </w:r>
      <w:r>
        <w:rPr>
          <w:rFonts w:ascii="宋体" w:hAnsi="宋体" w:eastAsia="宋体" w:cs="宋体"/>
          <w:spacing w:val="7"/>
          <w:position w:val="6"/>
          <w:sz w:val="23"/>
          <w:szCs w:val="23"/>
        </w:rPr>
        <w:t>脉，</w:t>
      </w:r>
      <w:r>
        <w:fldChar w:fldCharType="begin"/>
      </w:r>
      <w:r>
        <w:instrText xml:space="preserve"> HYPERLINK "http://baike.baidu.com/view/4127.htm" </w:instrText>
      </w:r>
      <w:r>
        <w:fldChar w:fldCharType="separate"/>
      </w:r>
      <w:r>
        <w:rPr>
          <w:rFonts w:ascii="宋体" w:hAnsi="宋体" w:eastAsia="宋体" w:cs="宋体"/>
          <w:spacing w:val="7"/>
          <w:position w:val="6"/>
          <w:sz w:val="23"/>
          <w:szCs w:val="23"/>
        </w:rPr>
        <w:t>千山</w:t>
      </w:r>
      <w:r>
        <w:rPr>
          <w:rFonts w:ascii="宋体" w:hAnsi="宋体" w:eastAsia="宋体" w:cs="宋体"/>
          <w:spacing w:val="7"/>
          <w:position w:val="6"/>
          <w:sz w:val="23"/>
          <w:szCs w:val="23"/>
        </w:rPr>
        <w:fldChar w:fldCharType="end"/>
      </w:r>
      <w:r>
        <w:rPr>
          <w:rFonts w:ascii="宋体" w:hAnsi="宋体" w:eastAsia="宋体" w:cs="宋体"/>
          <w:spacing w:val="5"/>
          <w:position w:val="6"/>
          <w:sz w:val="23"/>
          <w:szCs w:val="23"/>
        </w:rPr>
        <w:t>余</w:t>
      </w:r>
    </w:p>
    <w:p w14:paraId="612AECEB">
      <w:pPr>
        <w:spacing w:before="180" w:line="380" w:lineRule="auto"/>
        <w:ind w:left="25" w:right="61"/>
        <w:rPr>
          <w:rFonts w:ascii="宋体" w:hAnsi="宋体" w:eastAsia="宋体" w:cs="宋体"/>
          <w:sz w:val="23"/>
          <w:szCs w:val="23"/>
        </w:rPr>
      </w:pPr>
      <w:r>
        <w:rPr>
          <w:rFonts w:ascii="宋体" w:hAnsi="宋体" w:eastAsia="宋体" w:cs="宋体"/>
          <w:spacing w:val="11"/>
          <w:sz w:val="23"/>
          <w:szCs w:val="23"/>
        </w:rPr>
        <w:t>脉</w:t>
      </w:r>
      <w:r>
        <w:rPr>
          <w:rFonts w:ascii="宋体" w:hAnsi="宋体" w:eastAsia="宋体" w:cs="宋体"/>
          <w:spacing w:val="7"/>
          <w:sz w:val="23"/>
          <w:szCs w:val="23"/>
        </w:rPr>
        <w:t xml:space="preserve">，最高海拔 </w:t>
      </w:r>
      <w:r>
        <w:rPr>
          <w:rFonts w:ascii="Times New Roman" w:hAnsi="Times New Roman" w:eastAsia="Times New Roman" w:cs="Times New Roman"/>
          <w:spacing w:val="7"/>
          <w:sz w:val="23"/>
          <w:szCs w:val="23"/>
        </w:rPr>
        <w:t xml:space="preserve">651 </w:t>
      </w:r>
      <w:r>
        <w:rPr>
          <w:rFonts w:ascii="宋体" w:hAnsi="宋体" w:eastAsia="宋体" w:cs="宋体"/>
          <w:spacing w:val="7"/>
          <w:sz w:val="23"/>
          <w:szCs w:val="23"/>
        </w:rPr>
        <w:t xml:space="preserve">米 (三会场烟囱垃子) ，最低海拔 </w:t>
      </w:r>
      <w:r>
        <w:rPr>
          <w:rFonts w:ascii="Times New Roman" w:hAnsi="Times New Roman" w:eastAsia="Times New Roman" w:cs="Times New Roman"/>
          <w:spacing w:val="7"/>
          <w:sz w:val="23"/>
          <w:szCs w:val="23"/>
        </w:rPr>
        <w:t xml:space="preserve">99.3 </w:t>
      </w:r>
      <w:r>
        <w:rPr>
          <w:rFonts w:ascii="宋体" w:hAnsi="宋体" w:eastAsia="宋体" w:cs="宋体"/>
          <w:spacing w:val="7"/>
          <w:sz w:val="23"/>
          <w:szCs w:val="23"/>
        </w:rPr>
        <w:t>米。全区平原很少，</w:t>
      </w:r>
      <w:r>
        <w:rPr>
          <w:rFonts w:ascii="宋体" w:hAnsi="宋体" w:eastAsia="宋体" w:cs="宋体"/>
          <w:sz w:val="23"/>
          <w:szCs w:val="23"/>
        </w:rPr>
        <w:t xml:space="preserve"> </w:t>
      </w:r>
      <w:r>
        <w:rPr>
          <w:rFonts w:ascii="宋体" w:hAnsi="宋体" w:eastAsia="宋体" w:cs="宋体"/>
          <w:spacing w:val="4"/>
          <w:sz w:val="23"/>
          <w:szCs w:val="23"/>
        </w:rPr>
        <w:t>大部分是丘陵坡</w:t>
      </w:r>
      <w:r>
        <w:rPr>
          <w:rFonts w:ascii="宋体" w:hAnsi="宋体" w:eastAsia="宋体" w:cs="宋体"/>
          <w:spacing w:val="2"/>
          <w:sz w:val="23"/>
          <w:szCs w:val="23"/>
        </w:rPr>
        <w:t xml:space="preserve">地，山地占 </w:t>
      </w:r>
      <w:r>
        <w:rPr>
          <w:rFonts w:ascii="Times New Roman" w:hAnsi="Times New Roman" w:eastAsia="Times New Roman" w:cs="Times New Roman"/>
          <w:spacing w:val="2"/>
          <w:sz w:val="23"/>
          <w:szCs w:val="23"/>
        </w:rPr>
        <w:t xml:space="preserve">80% </w:t>
      </w:r>
      <w:r>
        <w:rPr>
          <w:rFonts w:ascii="宋体" w:hAnsi="宋体" w:eastAsia="宋体" w:cs="宋体"/>
          <w:spacing w:val="2"/>
          <w:sz w:val="23"/>
          <w:szCs w:val="23"/>
        </w:rPr>
        <w:t xml:space="preserve">，耕地占 </w:t>
      </w:r>
      <w:r>
        <w:rPr>
          <w:rFonts w:ascii="Times New Roman" w:hAnsi="Times New Roman" w:eastAsia="Times New Roman" w:cs="Times New Roman"/>
          <w:spacing w:val="2"/>
          <w:sz w:val="23"/>
          <w:szCs w:val="23"/>
        </w:rPr>
        <w:t xml:space="preserve">8% </w:t>
      </w:r>
      <w:r>
        <w:rPr>
          <w:rFonts w:ascii="宋体" w:hAnsi="宋体" w:eastAsia="宋体" w:cs="宋体"/>
          <w:spacing w:val="2"/>
          <w:sz w:val="23"/>
          <w:szCs w:val="23"/>
        </w:rPr>
        <w:t>，其余主要是河道和水面，地面构</w:t>
      </w:r>
      <w:r>
        <w:rPr>
          <w:rFonts w:ascii="宋体" w:hAnsi="宋体" w:eastAsia="宋体" w:cs="宋体"/>
          <w:sz w:val="23"/>
          <w:szCs w:val="23"/>
        </w:rPr>
        <w:t xml:space="preserve"> </w:t>
      </w:r>
      <w:r>
        <w:rPr>
          <w:rFonts w:ascii="宋体" w:hAnsi="宋体" w:eastAsia="宋体" w:cs="宋体"/>
          <w:spacing w:val="8"/>
          <w:sz w:val="23"/>
          <w:szCs w:val="23"/>
        </w:rPr>
        <w:t>成素有</w:t>
      </w:r>
      <w:r>
        <w:rPr>
          <w:rFonts w:ascii="Times New Roman" w:hAnsi="Times New Roman" w:eastAsia="Times New Roman" w:cs="Times New Roman"/>
          <w:spacing w:val="8"/>
          <w:sz w:val="23"/>
          <w:szCs w:val="23"/>
        </w:rPr>
        <w:t>“</w:t>
      </w:r>
      <w:r>
        <w:rPr>
          <w:rFonts w:ascii="宋体" w:hAnsi="宋体" w:eastAsia="宋体" w:cs="宋体"/>
          <w:spacing w:val="8"/>
          <w:sz w:val="23"/>
          <w:szCs w:val="23"/>
        </w:rPr>
        <w:t>八山一水一分田</w:t>
      </w:r>
      <w:r>
        <w:rPr>
          <w:rFonts w:ascii="Times New Roman" w:hAnsi="Times New Roman" w:eastAsia="Times New Roman" w:cs="Times New Roman"/>
          <w:spacing w:val="8"/>
          <w:sz w:val="23"/>
          <w:szCs w:val="23"/>
        </w:rPr>
        <w:t>”</w:t>
      </w:r>
      <w:r>
        <w:rPr>
          <w:rFonts w:ascii="宋体" w:hAnsi="宋体" w:eastAsia="宋体" w:cs="宋体"/>
          <w:spacing w:val="8"/>
          <w:sz w:val="23"/>
          <w:szCs w:val="23"/>
        </w:rPr>
        <w:t>之称</w:t>
      </w:r>
      <w:r>
        <w:rPr>
          <w:rFonts w:ascii="宋体" w:hAnsi="宋体" w:eastAsia="宋体" w:cs="宋体"/>
          <w:spacing w:val="6"/>
          <w:sz w:val="23"/>
          <w:szCs w:val="23"/>
        </w:rPr>
        <w:t>。</w:t>
      </w:r>
    </w:p>
    <w:p w14:paraId="75BE531B">
      <w:pPr>
        <w:spacing w:before="121" w:line="226" w:lineRule="auto"/>
        <w:ind w:left="21"/>
        <w:outlineLvl w:val="2"/>
        <w:rPr>
          <w:rFonts w:ascii="宋体" w:hAnsi="宋体" w:eastAsia="宋体" w:cs="宋体"/>
          <w:sz w:val="29"/>
          <w:szCs w:val="29"/>
        </w:rPr>
      </w:pPr>
      <w:r>
        <w:rPr>
          <w:rFonts w:ascii="Times New Roman" w:hAnsi="Times New Roman" w:eastAsia="Times New Roman" w:cs="Times New Roman"/>
          <w:b/>
          <w:bCs/>
          <w:spacing w:val="6"/>
          <w:sz w:val="29"/>
          <w:szCs w:val="29"/>
        </w:rPr>
        <w:t>4.1.3</w:t>
      </w:r>
      <w:r>
        <w:rPr>
          <w:rFonts w:ascii="Times New Roman" w:hAnsi="Times New Roman" w:eastAsia="Times New Roman" w:cs="Times New Roman"/>
          <w:spacing w:val="6"/>
          <w:sz w:val="29"/>
          <w:szCs w:val="29"/>
        </w:rPr>
        <w:t xml:space="preserve">  </w:t>
      </w:r>
      <w:r>
        <w:rPr>
          <w:rFonts w:ascii="宋体" w:hAnsi="宋体" w:eastAsia="宋体" w:cs="宋体"/>
          <w:spacing w:val="6"/>
          <w:sz w:val="29"/>
          <w:szCs w:val="29"/>
          <w14:textOutline w14:w="5448" w14:cap="sq" w14:cmpd="sng">
            <w14:solidFill>
              <w14:srgbClr w14:val="000000"/>
            </w14:solidFill>
            <w14:prstDash w14:val="solid"/>
            <w14:bevel/>
          </w14:textOutline>
        </w:rPr>
        <w:t>气候与气</w:t>
      </w:r>
      <w:r>
        <w:rPr>
          <w:rFonts w:ascii="宋体" w:hAnsi="宋体" w:eastAsia="宋体" w:cs="宋体"/>
          <w:spacing w:val="5"/>
          <w:sz w:val="29"/>
          <w:szCs w:val="29"/>
          <w14:textOutline w14:w="5448" w14:cap="sq" w14:cmpd="sng">
            <w14:solidFill>
              <w14:srgbClr w14:val="000000"/>
            </w14:solidFill>
            <w14:prstDash w14:val="solid"/>
            <w14:bevel/>
          </w14:textOutline>
        </w:rPr>
        <w:t>象</w:t>
      </w:r>
    </w:p>
    <w:p w14:paraId="36F51DEA">
      <w:pPr>
        <w:spacing w:line="258" w:lineRule="auto"/>
        <w:rPr>
          <w:rFonts w:ascii="Arial"/>
          <w:sz w:val="21"/>
        </w:rPr>
      </w:pPr>
    </w:p>
    <w:p w14:paraId="1B5A2881">
      <w:pPr>
        <w:spacing w:before="75" w:line="385" w:lineRule="auto"/>
        <w:ind w:left="22" w:right="61" w:firstLine="480"/>
        <w:rPr>
          <w:rFonts w:ascii="宋体" w:hAnsi="宋体" w:eastAsia="宋体" w:cs="宋体"/>
          <w:sz w:val="23"/>
          <w:szCs w:val="23"/>
        </w:rPr>
      </w:pPr>
      <w:r>
        <w:rPr>
          <w:rFonts w:ascii="宋体" w:hAnsi="宋体" w:eastAsia="宋体" w:cs="宋体"/>
          <w:spacing w:val="7"/>
          <w:sz w:val="23"/>
          <w:szCs w:val="23"/>
        </w:rPr>
        <w:t>溪湖属大陆性气候，受西伯利亚和蒙古冷空气的影响，寒暑变化剧烈，四</w:t>
      </w:r>
      <w:r>
        <w:rPr>
          <w:rFonts w:ascii="宋体" w:hAnsi="宋体" w:eastAsia="宋体" w:cs="宋体"/>
          <w:spacing w:val="3"/>
          <w:sz w:val="23"/>
          <w:szCs w:val="23"/>
        </w:rPr>
        <w:t>季</w:t>
      </w:r>
      <w:r>
        <w:rPr>
          <w:rFonts w:ascii="宋体" w:hAnsi="宋体" w:eastAsia="宋体" w:cs="宋体"/>
          <w:sz w:val="23"/>
          <w:szCs w:val="23"/>
        </w:rPr>
        <w:t xml:space="preserve"> </w:t>
      </w:r>
      <w:r>
        <w:rPr>
          <w:rFonts w:ascii="宋体" w:hAnsi="宋体" w:eastAsia="宋体" w:cs="宋体"/>
          <w:spacing w:val="8"/>
          <w:sz w:val="23"/>
          <w:szCs w:val="23"/>
        </w:rPr>
        <w:t>分明。</w:t>
      </w:r>
      <w:r>
        <w:rPr>
          <w:rFonts w:ascii="宋体" w:hAnsi="宋体" w:eastAsia="宋体" w:cs="宋体"/>
          <w:spacing w:val="7"/>
          <w:sz w:val="23"/>
          <w:szCs w:val="23"/>
        </w:rPr>
        <w:t>一</w:t>
      </w:r>
      <w:r>
        <w:rPr>
          <w:rFonts w:ascii="宋体" w:hAnsi="宋体" w:eastAsia="宋体" w:cs="宋体"/>
          <w:spacing w:val="4"/>
          <w:sz w:val="23"/>
          <w:szCs w:val="23"/>
        </w:rPr>
        <w:t xml:space="preserve">月份平均气温为零下 </w:t>
      </w:r>
      <w:r>
        <w:rPr>
          <w:rFonts w:ascii="Times New Roman" w:hAnsi="Times New Roman" w:eastAsia="Times New Roman" w:cs="Times New Roman"/>
          <w:spacing w:val="4"/>
          <w:sz w:val="23"/>
          <w:szCs w:val="23"/>
        </w:rPr>
        <w:t xml:space="preserve">12℃ </w:t>
      </w:r>
      <w:r>
        <w:rPr>
          <w:rFonts w:ascii="宋体" w:hAnsi="宋体" w:eastAsia="宋体" w:cs="宋体"/>
          <w:spacing w:val="4"/>
          <w:sz w:val="23"/>
          <w:szCs w:val="23"/>
        </w:rPr>
        <w:t xml:space="preserve">，七月份平均气温为 </w:t>
      </w:r>
      <w:r>
        <w:rPr>
          <w:rFonts w:ascii="Times New Roman" w:hAnsi="Times New Roman" w:eastAsia="Times New Roman" w:cs="Times New Roman"/>
          <w:spacing w:val="4"/>
          <w:sz w:val="23"/>
          <w:szCs w:val="23"/>
        </w:rPr>
        <w:t xml:space="preserve">24.3℃ </w:t>
      </w:r>
      <w:r>
        <w:rPr>
          <w:rFonts w:ascii="宋体" w:hAnsi="宋体" w:eastAsia="宋体" w:cs="宋体"/>
          <w:spacing w:val="4"/>
          <w:sz w:val="23"/>
          <w:szCs w:val="23"/>
        </w:rPr>
        <w:t>，冬季最低温度</w:t>
      </w:r>
      <w:r>
        <w:rPr>
          <w:rFonts w:ascii="宋体" w:hAnsi="宋体" w:eastAsia="宋体" w:cs="宋体"/>
          <w:sz w:val="23"/>
          <w:szCs w:val="23"/>
        </w:rPr>
        <w:t xml:space="preserve"> </w:t>
      </w:r>
      <w:r>
        <w:rPr>
          <w:rFonts w:ascii="宋体" w:hAnsi="宋体" w:eastAsia="宋体" w:cs="宋体"/>
          <w:spacing w:val="1"/>
          <w:sz w:val="23"/>
          <w:szCs w:val="23"/>
        </w:rPr>
        <w:t xml:space="preserve">零下 </w:t>
      </w:r>
      <w:r>
        <w:rPr>
          <w:rFonts w:ascii="Times New Roman" w:hAnsi="Times New Roman" w:eastAsia="Times New Roman" w:cs="Times New Roman"/>
          <w:spacing w:val="1"/>
          <w:sz w:val="23"/>
          <w:szCs w:val="23"/>
        </w:rPr>
        <w:t>32.</w:t>
      </w:r>
      <w:r>
        <w:rPr>
          <w:rFonts w:ascii="Times New Roman" w:hAnsi="Times New Roman" w:eastAsia="Times New Roman" w:cs="Times New Roman"/>
          <w:sz w:val="23"/>
          <w:szCs w:val="23"/>
        </w:rPr>
        <w:t xml:space="preserve">3℃ </w:t>
      </w:r>
      <w:r>
        <w:rPr>
          <w:rFonts w:ascii="宋体" w:hAnsi="宋体" w:eastAsia="宋体" w:cs="宋体"/>
          <w:sz w:val="23"/>
          <w:szCs w:val="23"/>
        </w:rPr>
        <w:t xml:space="preserve">，全年平均气温为 </w:t>
      </w:r>
      <w:r>
        <w:rPr>
          <w:rFonts w:ascii="Times New Roman" w:hAnsi="Times New Roman" w:eastAsia="Times New Roman" w:cs="Times New Roman"/>
          <w:sz w:val="23"/>
          <w:szCs w:val="23"/>
        </w:rPr>
        <w:t xml:space="preserve">7.8℃ </w:t>
      </w:r>
      <w:r>
        <w:rPr>
          <w:rFonts w:ascii="宋体" w:hAnsi="宋体" w:eastAsia="宋体" w:cs="宋体"/>
          <w:sz w:val="23"/>
          <w:szCs w:val="23"/>
        </w:rPr>
        <w:t xml:space="preserve">。全年无霜期平均为 </w:t>
      </w:r>
      <w:r>
        <w:rPr>
          <w:rFonts w:ascii="Times New Roman" w:hAnsi="Times New Roman" w:eastAsia="Times New Roman" w:cs="Times New Roman"/>
          <w:sz w:val="23"/>
          <w:szCs w:val="23"/>
        </w:rPr>
        <w:t xml:space="preserve">156 </w:t>
      </w:r>
      <w:r>
        <w:rPr>
          <w:rFonts w:ascii="宋体" w:hAnsi="宋体" w:eastAsia="宋体" w:cs="宋体"/>
          <w:sz w:val="23"/>
          <w:szCs w:val="23"/>
        </w:rPr>
        <w:t xml:space="preserve">天，冰冻期 </w:t>
      </w:r>
      <w:r>
        <w:rPr>
          <w:rFonts w:ascii="Times New Roman" w:hAnsi="Times New Roman" w:eastAsia="Times New Roman" w:cs="Times New Roman"/>
          <w:sz w:val="23"/>
          <w:szCs w:val="23"/>
        </w:rPr>
        <w:t xml:space="preserve">5 </w:t>
      </w:r>
      <w:r>
        <w:rPr>
          <w:rFonts w:ascii="宋体" w:hAnsi="宋体" w:eastAsia="宋体" w:cs="宋体"/>
          <w:sz w:val="23"/>
          <w:szCs w:val="23"/>
        </w:rPr>
        <w:t xml:space="preserve">个月 </w:t>
      </w:r>
      <w:r>
        <w:rPr>
          <w:rFonts w:ascii="宋体" w:hAnsi="宋体" w:eastAsia="宋体" w:cs="宋体"/>
          <w:spacing w:val="6"/>
          <w:sz w:val="23"/>
          <w:szCs w:val="23"/>
        </w:rPr>
        <w:t>左右</w:t>
      </w:r>
      <w:r>
        <w:rPr>
          <w:rFonts w:ascii="宋体" w:hAnsi="宋体" w:eastAsia="宋体" w:cs="宋体"/>
          <w:spacing w:val="3"/>
          <w:sz w:val="23"/>
          <w:szCs w:val="23"/>
        </w:rPr>
        <w:t xml:space="preserve">，年平均降雨量为 </w:t>
      </w:r>
      <w:r>
        <w:rPr>
          <w:rFonts w:ascii="Times New Roman" w:hAnsi="Times New Roman" w:eastAsia="Times New Roman" w:cs="Times New Roman"/>
          <w:spacing w:val="3"/>
          <w:sz w:val="23"/>
          <w:szCs w:val="23"/>
        </w:rPr>
        <w:t>793.7</w:t>
      </w:r>
      <w:r>
        <w:rPr>
          <w:rFonts w:ascii="Times New Roman" w:hAnsi="Times New Roman" w:eastAsia="Times New Roman" w:cs="Times New Roman"/>
          <w:sz w:val="23"/>
          <w:szCs w:val="23"/>
        </w:rPr>
        <w:t>mm</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，降雨最多集中的七、八两个月。全年日照时数</w:t>
      </w:r>
      <w:r>
        <w:rPr>
          <w:rFonts w:ascii="宋体" w:hAnsi="宋体" w:eastAsia="宋体" w:cs="宋体"/>
          <w:sz w:val="23"/>
          <w:szCs w:val="23"/>
        </w:rPr>
        <w:t xml:space="preserve"> </w:t>
      </w:r>
      <w:r>
        <w:rPr>
          <w:rFonts w:ascii="宋体" w:hAnsi="宋体" w:eastAsia="宋体" w:cs="宋体"/>
          <w:spacing w:val="1"/>
          <w:sz w:val="23"/>
          <w:szCs w:val="23"/>
        </w:rPr>
        <w:t xml:space="preserve">平均 </w:t>
      </w:r>
      <w:r>
        <w:rPr>
          <w:rFonts w:ascii="Times New Roman" w:hAnsi="Times New Roman" w:eastAsia="Times New Roman" w:cs="Times New Roman"/>
          <w:spacing w:val="1"/>
          <w:sz w:val="23"/>
          <w:szCs w:val="23"/>
        </w:rPr>
        <w:t xml:space="preserve">2400 </w:t>
      </w:r>
      <w:r>
        <w:rPr>
          <w:rFonts w:ascii="宋体" w:hAnsi="宋体" w:eastAsia="宋体" w:cs="宋体"/>
          <w:spacing w:val="1"/>
          <w:sz w:val="23"/>
          <w:szCs w:val="23"/>
        </w:rPr>
        <w:t xml:space="preserve">小时， 日照时间占可照时间的 </w:t>
      </w:r>
      <w:r>
        <w:rPr>
          <w:rFonts w:ascii="Times New Roman" w:hAnsi="Times New Roman" w:eastAsia="Times New Roman" w:cs="Times New Roman"/>
          <w:spacing w:val="1"/>
          <w:sz w:val="23"/>
          <w:szCs w:val="23"/>
        </w:rPr>
        <w:t xml:space="preserve">50-55% </w:t>
      </w:r>
      <w:r>
        <w:rPr>
          <w:rFonts w:ascii="宋体" w:hAnsi="宋体" w:eastAsia="宋体" w:cs="宋体"/>
          <w:spacing w:val="1"/>
          <w:sz w:val="23"/>
          <w:szCs w:val="23"/>
        </w:rPr>
        <w:t>。平均活</w:t>
      </w:r>
      <w:r>
        <w:rPr>
          <w:rFonts w:ascii="宋体" w:hAnsi="宋体" w:eastAsia="宋体" w:cs="宋体"/>
          <w:sz w:val="23"/>
          <w:szCs w:val="23"/>
        </w:rPr>
        <w:t xml:space="preserve">动积温为 </w:t>
      </w:r>
      <w:r>
        <w:rPr>
          <w:rFonts w:ascii="Times New Roman" w:hAnsi="Times New Roman" w:eastAsia="Times New Roman" w:cs="Times New Roman"/>
          <w:sz w:val="23"/>
          <w:szCs w:val="23"/>
        </w:rPr>
        <w:t xml:space="preserve">3200℃ </w:t>
      </w:r>
      <w:r>
        <w:rPr>
          <w:rFonts w:ascii="宋体" w:hAnsi="宋体" w:eastAsia="宋体" w:cs="宋体"/>
          <w:sz w:val="23"/>
          <w:szCs w:val="23"/>
        </w:rPr>
        <w:t xml:space="preserve">，月 </w:t>
      </w:r>
      <w:r>
        <w:rPr>
          <w:rFonts w:ascii="宋体" w:hAnsi="宋体" w:eastAsia="宋体" w:cs="宋体"/>
          <w:spacing w:val="6"/>
          <w:sz w:val="23"/>
          <w:szCs w:val="23"/>
        </w:rPr>
        <w:t>平</w:t>
      </w:r>
      <w:r>
        <w:rPr>
          <w:rFonts w:ascii="宋体" w:hAnsi="宋体" w:eastAsia="宋体" w:cs="宋体"/>
          <w:spacing w:val="3"/>
          <w:sz w:val="23"/>
          <w:szCs w:val="23"/>
        </w:rPr>
        <w:t xml:space="preserve">均温度 </w:t>
      </w:r>
      <w:r>
        <w:rPr>
          <w:rFonts w:ascii="Times New Roman" w:hAnsi="Times New Roman" w:eastAsia="Times New Roman" w:cs="Times New Roman"/>
          <w:spacing w:val="3"/>
          <w:sz w:val="23"/>
          <w:szCs w:val="23"/>
        </w:rPr>
        <w:t xml:space="preserve">9℃ </w:t>
      </w:r>
      <w:r>
        <w:rPr>
          <w:rFonts w:ascii="宋体" w:hAnsi="宋体" w:eastAsia="宋体" w:cs="宋体"/>
          <w:spacing w:val="3"/>
          <w:sz w:val="23"/>
          <w:szCs w:val="23"/>
        </w:rPr>
        <w:t xml:space="preserve">，积雪最深 </w:t>
      </w:r>
      <w:r>
        <w:rPr>
          <w:rFonts w:ascii="Times New Roman" w:hAnsi="Times New Roman" w:eastAsia="Times New Roman" w:cs="Times New Roman"/>
          <w:spacing w:val="3"/>
          <w:sz w:val="23"/>
          <w:szCs w:val="23"/>
        </w:rPr>
        <w:t>25</w:t>
      </w:r>
      <w:r>
        <w:rPr>
          <w:rFonts w:ascii="Times New Roman" w:hAnsi="Times New Roman" w:eastAsia="Times New Roman" w:cs="Times New Roman"/>
          <w:sz w:val="23"/>
          <w:szCs w:val="23"/>
        </w:rPr>
        <w:t>cm</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 xml:space="preserve">左右，年平均蒸发量 </w:t>
      </w:r>
      <w:r>
        <w:rPr>
          <w:rFonts w:ascii="Times New Roman" w:hAnsi="Times New Roman" w:eastAsia="Times New Roman" w:cs="Times New Roman"/>
          <w:spacing w:val="3"/>
          <w:sz w:val="23"/>
          <w:szCs w:val="23"/>
        </w:rPr>
        <w:t>1600</w:t>
      </w:r>
      <w:r>
        <w:rPr>
          <w:rFonts w:ascii="Times New Roman" w:hAnsi="Times New Roman" w:eastAsia="Times New Roman" w:cs="Times New Roman"/>
          <w:sz w:val="23"/>
          <w:szCs w:val="23"/>
        </w:rPr>
        <w:t>mm</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，全年主导风向为</w:t>
      </w:r>
      <w:r>
        <w:rPr>
          <w:rFonts w:ascii="宋体" w:hAnsi="宋体" w:eastAsia="宋体" w:cs="宋体"/>
          <w:sz w:val="23"/>
          <w:szCs w:val="23"/>
        </w:rPr>
        <w:t xml:space="preserve"> </w:t>
      </w:r>
      <w:r>
        <w:rPr>
          <w:rFonts w:ascii="宋体" w:hAnsi="宋体" w:eastAsia="宋体" w:cs="宋体"/>
          <w:spacing w:val="6"/>
          <w:sz w:val="23"/>
          <w:szCs w:val="23"/>
        </w:rPr>
        <w:t>北风，次导风向为东</w:t>
      </w:r>
      <w:r>
        <w:rPr>
          <w:rFonts w:ascii="宋体" w:hAnsi="宋体" w:eastAsia="宋体" w:cs="宋体"/>
          <w:spacing w:val="4"/>
          <w:sz w:val="23"/>
          <w:szCs w:val="23"/>
        </w:rPr>
        <w:t>南</w:t>
      </w:r>
      <w:r>
        <w:rPr>
          <w:rFonts w:ascii="宋体" w:hAnsi="宋体" w:eastAsia="宋体" w:cs="宋体"/>
          <w:spacing w:val="3"/>
          <w:sz w:val="23"/>
          <w:szCs w:val="23"/>
        </w:rPr>
        <w:t xml:space="preserve">风，频率分别为 </w:t>
      </w:r>
      <w:r>
        <w:rPr>
          <w:rFonts w:ascii="Times New Roman" w:hAnsi="Times New Roman" w:eastAsia="Times New Roman" w:cs="Times New Roman"/>
          <w:spacing w:val="3"/>
          <w:sz w:val="23"/>
          <w:szCs w:val="23"/>
        </w:rPr>
        <w:t>9.67%</w:t>
      </w:r>
      <w:r>
        <w:rPr>
          <w:rFonts w:ascii="宋体" w:hAnsi="宋体" w:eastAsia="宋体" w:cs="宋体"/>
          <w:spacing w:val="3"/>
          <w:sz w:val="23"/>
          <w:szCs w:val="23"/>
        </w:rPr>
        <w:t xml:space="preserve">和 </w:t>
      </w:r>
      <w:r>
        <w:rPr>
          <w:rFonts w:ascii="Times New Roman" w:hAnsi="Times New Roman" w:eastAsia="Times New Roman" w:cs="Times New Roman"/>
          <w:spacing w:val="3"/>
          <w:sz w:val="23"/>
          <w:szCs w:val="23"/>
        </w:rPr>
        <w:t xml:space="preserve">9.50% </w:t>
      </w:r>
      <w:r>
        <w:rPr>
          <w:rFonts w:ascii="宋体" w:hAnsi="宋体" w:eastAsia="宋体" w:cs="宋体"/>
          <w:spacing w:val="3"/>
          <w:sz w:val="23"/>
          <w:szCs w:val="23"/>
        </w:rPr>
        <w:t>，冬季盛行北风，频率为</w:t>
      </w:r>
      <w:r>
        <w:rPr>
          <w:rFonts w:ascii="宋体" w:hAnsi="宋体" w:eastAsia="宋体" w:cs="宋体"/>
          <w:sz w:val="23"/>
          <w:szCs w:val="23"/>
        </w:rPr>
        <w:t xml:space="preserve"> </w:t>
      </w:r>
      <w:r>
        <w:rPr>
          <w:rFonts w:ascii="Times New Roman" w:hAnsi="Times New Roman" w:eastAsia="Times New Roman" w:cs="Times New Roman"/>
          <w:spacing w:val="2"/>
          <w:sz w:val="23"/>
          <w:szCs w:val="23"/>
        </w:rPr>
        <w:t>11.00</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 xml:space="preserve">，夏季盛行西南风，频率为 </w:t>
      </w:r>
      <w:r>
        <w:rPr>
          <w:rFonts w:ascii="Times New Roman" w:hAnsi="Times New Roman" w:eastAsia="Times New Roman" w:cs="Times New Roman"/>
          <w:spacing w:val="1"/>
          <w:sz w:val="23"/>
          <w:szCs w:val="23"/>
        </w:rPr>
        <w:t xml:space="preserve">11. 14% </w:t>
      </w:r>
      <w:r>
        <w:rPr>
          <w:rFonts w:ascii="宋体" w:hAnsi="宋体" w:eastAsia="宋体" w:cs="宋体"/>
          <w:spacing w:val="1"/>
          <w:sz w:val="23"/>
          <w:szCs w:val="23"/>
        </w:rPr>
        <w:t xml:space="preserve">。全年平均风速为 </w:t>
      </w:r>
      <w:r>
        <w:rPr>
          <w:rFonts w:ascii="Times New Roman" w:hAnsi="Times New Roman" w:eastAsia="Times New Roman" w:cs="Times New Roman"/>
          <w:spacing w:val="1"/>
          <w:sz w:val="23"/>
          <w:szCs w:val="23"/>
        </w:rPr>
        <w:t>2.7</w:t>
      </w:r>
      <w:r>
        <w:rPr>
          <w:rFonts w:ascii="Times New Roman" w:hAnsi="Times New Roman" w:eastAsia="Times New Roman" w:cs="Times New Roman"/>
          <w:sz w:val="23"/>
          <w:szCs w:val="23"/>
        </w:rPr>
        <w:t>m</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s</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，四月份平</w:t>
      </w:r>
      <w:r>
        <w:rPr>
          <w:rFonts w:ascii="宋体" w:hAnsi="宋体" w:eastAsia="宋体" w:cs="宋体"/>
          <w:sz w:val="23"/>
          <w:szCs w:val="23"/>
        </w:rPr>
        <w:t xml:space="preserve"> </w:t>
      </w:r>
      <w:r>
        <w:rPr>
          <w:rFonts w:ascii="宋体" w:hAnsi="宋体" w:eastAsia="宋体" w:cs="宋体"/>
          <w:spacing w:val="1"/>
          <w:sz w:val="23"/>
          <w:szCs w:val="23"/>
        </w:rPr>
        <w:t xml:space="preserve">均风速最大，为 </w:t>
      </w:r>
      <w:r>
        <w:rPr>
          <w:rFonts w:ascii="Times New Roman" w:hAnsi="Times New Roman" w:eastAsia="Times New Roman" w:cs="Times New Roman"/>
          <w:spacing w:val="1"/>
          <w:sz w:val="23"/>
          <w:szCs w:val="23"/>
        </w:rPr>
        <w:t>4.0</w:t>
      </w:r>
      <w:r>
        <w:rPr>
          <w:rFonts w:ascii="Times New Roman" w:hAnsi="Times New Roman" w:eastAsia="Times New Roman" w:cs="Times New Roman"/>
          <w:sz w:val="23"/>
          <w:szCs w:val="23"/>
        </w:rPr>
        <w:t>m</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s</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 xml:space="preserve">，八、九月份平均风速最小，为 </w:t>
      </w:r>
      <w:r>
        <w:rPr>
          <w:rFonts w:ascii="Times New Roman" w:hAnsi="Times New Roman" w:eastAsia="Times New Roman" w:cs="Times New Roman"/>
          <w:spacing w:val="1"/>
          <w:sz w:val="23"/>
          <w:szCs w:val="23"/>
        </w:rPr>
        <w:t>2.</w:t>
      </w:r>
      <w:r>
        <w:rPr>
          <w:rFonts w:ascii="Times New Roman" w:hAnsi="Times New Roman" w:eastAsia="Times New Roman" w:cs="Times New Roman"/>
          <w:sz w:val="23"/>
          <w:szCs w:val="23"/>
        </w:rPr>
        <w:t xml:space="preserve"> 1m/s</w:t>
      </w:r>
      <w:r>
        <w:rPr>
          <w:rFonts w:ascii="宋体" w:hAnsi="宋体" w:eastAsia="宋体" w:cs="宋体"/>
          <w:sz w:val="23"/>
          <w:szCs w:val="23"/>
        </w:rPr>
        <w:t>。</w:t>
      </w:r>
    </w:p>
    <w:p w14:paraId="2780B31B">
      <w:pPr>
        <w:spacing w:before="106" w:line="226" w:lineRule="auto"/>
        <w:ind w:left="21"/>
        <w:outlineLvl w:val="2"/>
        <w:rPr>
          <w:rFonts w:ascii="宋体" w:hAnsi="宋体" w:eastAsia="宋体" w:cs="宋体"/>
          <w:sz w:val="29"/>
          <w:szCs w:val="29"/>
        </w:rPr>
      </w:pPr>
      <w:r>
        <w:rPr>
          <w:rFonts w:ascii="Times New Roman" w:hAnsi="Times New Roman" w:eastAsia="Times New Roman" w:cs="Times New Roman"/>
          <w:b/>
          <w:bCs/>
          <w:spacing w:val="8"/>
          <w:sz w:val="29"/>
          <w:szCs w:val="29"/>
        </w:rPr>
        <w:t>4</w:t>
      </w:r>
      <w:r>
        <w:rPr>
          <w:rFonts w:ascii="Times New Roman" w:hAnsi="Times New Roman" w:eastAsia="Times New Roman" w:cs="Times New Roman"/>
          <w:b/>
          <w:bCs/>
          <w:spacing w:val="5"/>
          <w:sz w:val="29"/>
          <w:szCs w:val="29"/>
        </w:rPr>
        <w:t>.1.4</w:t>
      </w:r>
      <w:r>
        <w:rPr>
          <w:rFonts w:ascii="Times New Roman" w:hAnsi="Times New Roman" w:eastAsia="Times New Roman" w:cs="Times New Roman"/>
          <w:spacing w:val="5"/>
          <w:sz w:val="29"/>
          <w:szCs w:val="29"/>
        </w:rPr>
        <w:t xml:space="preserve">  </w:t>
      </w:r>
      <w:r>
        <w:rPr>
          <w:rFonts w:ascii="宋体" w:hAnsi="宋体" w:eastAsia="宋体" w:cs="宋体"/>
          <w:spacing w:val="5"/>
          <w:sz w:val="29"/>
          <w:szCs w:val="29"/>
          <w14:textOutline w14:w="5448" w14:cap="sq" w14:cmpd="sng">
            <w14:solidFill>
              <w14:srgbClr w14:val="000000"/>
            </w14:solidFill>
            <w14:prstDash w14:val="solid"/>
            <w14:bevel/>
          </w14:textOutline>
        </w:rPr>
        <w:t>水文特征</w:t>
      </w:r>
    </w:p>
    <w:p w14:paraId="11535D21">
      <w:pPr>
        <w:spacing w:line="256" w:lineRule="auto"/>
        <w:rPr>
          <w:rFonts w:ascii="Arial"/>
          <w:sz w:val="21"/>
        </w:rPr>
      </w:pPr>
    </w:p>
    <w:p w14:paraId="17208C5B">
      <w:pPr>
        <w:spacing w:before="75" w:line="393" w:lineRule="auto"/>
        <w:ind w:left="22" w:right="63" w:firstLine="481"/>
        <w:rPr>
          <w:rFonts w:ascii="Times New Roman" w:hAnsi="Times New Roman" w:eastAsia="Times New Roman" w:cs="Times New Roman"/>
          <w:sz w:val="23"/>
          <w:szCs w:val="23"/>
        </w:rPr>
      </w:pPr>
      <w:r>
        <w:rPr>
          <w:rFonts w:ascii="宋体" w:hAnsi="宋体" w:eastAsia="宋体" w:cs="宋体"/>
          <w:spacing w:val="8"/>
          <w:sz w:val="23"/>
          <w:szCs w:val="23"/>
        </w:rPr>
        <w:t>本地</w:t>
      </w:r>
      <w:r>
        <w:rPr>
          <w:rFonts w:ascii="宋体" w:hAnsi="宋体" w:eastAsia="宋体" w:cs="宋体"/>
          <w:spacing w:val="4"/>
          <w:sz w:val="23"/>
          <w:szCs w:val="23"/>
        </w:rPr>
        <w:t xml:space="preserve">区地表水系为太子河，太子河全长 </w:t>
      </w:r>
      <w:r>
        <w:rPr>
          <w:rFonts w:ascii="Times New Roman" w:hAnsi="Times New Roman" w:eastAsia="Times New Roman" w:cs="Times New Roman"/>
          <w:spacing w:val="4"/>
          <w:sz w:val="23"/>
          <w:szCs w:val="23"/>
        </w:rPr>
        <w:t xml:space="preserve">464 </w:t>
      </w:r>
      <w:r>
        <w:rPr>
          <w:rFonts w:ascii="宋体" w:hAnsi="宋体" w:eastAsia="宋体" w:cs="宋体"/>
          <w:spacing w:val="4"/>
          <w:sz w:val="23"/>
          <w:szCs w:val="23"/>
        </w:rPr>
        <w:t xml:space="preserve">公里，流经本溪 </w:t>
      </w:r>
      <w:r>
        <w:rPr>
          <w:rFonts w:ascii="Times New Roman" w:hAnsi="Times New Roman" w:eastAsia="Times New Roman" w:cs="Times New Roman"/>
          <w:spacing w:val="4"/>
          <w:sz w:val="23"/>
          <w:szCs w:val="23"/>
        </w:rPr>
        <w:t xml:space="preserve">173.2 </w:t>
      </w:r>
      <w:r>
        <w:rPr>
          <w:rFonts w:ascii="宋体" w:hAnsi="宋体" w:eastAsia="宋体" w:cs="宋体"/>
          <w:spacing w:val="4"/>
          <w:sz w:val="23"/>
          <w:szCs w:val="23"/>
        </w:rPr>
        <w:t>公里。根</w:t>
      </w:r>
      <w:r>
        <w:rPr>
          <w:rFonts w:ascii="宋体" w:hAnsi="宋体" w:eastAsia="宋体" w:cs="宋体"/>
          <w:sz w:val="23"/>
          <w:szCs w:val="23"/>
        </w:rPr>
        <w:t xml:space="preserve"> </w:t>
      </w:r>
      <w:r>
        <w:rPr>
          <w:rFonts w:ascii="宋体" w:hAnsi="宋体" w:eastAsia="宋体" w:cs="宋体"/>
          <w:spacing w:val="12"/>
          <w:sz w:val="23"/>
          <w:szCs w:val="23"/>
        </w:rPr>
        <w:t>据本溪</w:t>
      </w:r>
      <w:r>
        <w:rPr>
          <w:rFonts w:ascii="宋体" w:hAnsi="宋体" w:eastAsia="宋体" w:cs="宋体"/>
          <w:spacing w:val="7"/>
          <w:sz w:val="23"/>
          <w:szCs w:val="23"/>
        </w:rPr>
        <w:t>市</w:t>
      </w:r>
      <w:r>
        <w:rPr>
          <w:rFonts w:ascii="宋体" w:hAnsi="宋体" w:eastAsia="宋体" w:cs="宋体"/>
          <w:spacing w:val="6"/>
          <w:sz w:val="23"/>
          <w:szCs w:val="23"/>
        </w:rPr>
        <w:t xml:space="preserve">水文站近年观测资料，太子河年平均流量 </w:t>
      </w:r>
      <w:r>
        <w:rPr>
          <w:rFonts w:ascii="Times New Roman" w:hAnsi="Times New Roman" w:eastAsia="Times New Roman" w:cs="Times New Roman"/>
          <w:spacing w:val="6"/>
          <w:sz w:val="23"/>
          <w:szCs w:val="23"/>
        </w:rPr>
        <w:t>26.5-96</w:t>
      </w:r>
      <w:r>
        <w:rPr>
          <w:rFonts w:ascii="Times New Roman" w:hAnsi="Times New Roman" w:eastAsia="Times New Roman" w:cs="Times New Roman"/>
          <w:sz w:val="23"/>
          <w:szCs w:val="23"/>
        </w:rPr>
        <w:t>m</w:t>
      </w:r>
      <w:r>
        <w:rPr>
          <w:rFonts w:ascii="Times New Roman" w:hAnsi="Times New Roman" w:eastAsia="Times New Roman" w:cs="Times New Roman"/>
          <w:spacing w:val="6"/>
          <w:position w:val="8"/>
          <w:sz w:val="15"/>
          <w:szCs w:val="15"/>
        </w:rPr>
        <w:t>3</w:t>
      </w:r>
      <w:r>
        <w:rPr>
          <w:rFonts w:ascii="Times New Roman" w:hAnsi="Times New Roman" w:eastAsia="Times New Roman" w:cs="Times New Roman"/>
          <w:spacing w:val="6"/>
          <w:sz w:val="23"/>
          <w:szCs w:val="23"/>
        </w:rPr>
        <w:t>/</w:t>
      </w:r>
      <w:r>
        <w:rPr>
          <w:rFonts w:ascii="Times New Roman" w:hAnsi="Times New Roman" w:eastAsia="Times New Roman" w:cs="Times New Roman"/>
          <w:sz w:val="23"/>
          <w:szCs w:val="23"/>
        </w:rPr>
        <w:t>s</w:t>
      </w:r>
    </w:p>
    <w:p w14:paraId="6772BCEA">
      <w:pPr>
        <w:spacing w:before="138" w:line="386" w:lineRule="auto"/>
        <w:ind w:left="23" w:firstLine="480"/>
        <w:rPr>
          <w:rFonts w:ascii="宋体" w:hAnsi="宋体" w:eastAsia="宋体" w:cs="宋体"/>
          <w:sz w:val="23"/>
          <w:szCs w:val="23"/>
        </w:rPr>
      </w:pPr>
      <w:r>
        <w:rPr>
          <w:rFonts w:ascii="宋体" w:hAnsi="宋体" w:eastAsia="宋体" w:cs="宋体"/>
          <w:spacing w:val="7"/>
          <w:sz w:val="23"/>
          <w:szCs w:val="23"/>
        </w:rPr>
        <w:t>本区地下水主要是第四系松散层中的孔隙潜水，含水层以砂砾石为主，分</w:t>
      </w:r>
      <w:r>
        <w:rPr>
          <w:rFonts w:ascii="宋体" w:hAnsi="宋体" w:eastAsia="宋体" w:cs="宋体"/>
          <w:spacing w:val="2"/>
          <w:sz w:val="23"/>
          <w:szCs w:val="23"/>
        </w:rPr>
        <w:t>布</w:t>
      </w:r>
      <w:r>
        <w:rPr>
          <w:rFonts w:ascii="宋体" w:hAnsi="宋体" w:eastAsia="宋体" w:cs="宋体"/>
          <w:sz w:val="23"/>
          <w:szCs w:val="23"/>
        </w:rPr>
        <w:t xml:space="preserve"> </w:t>
      </w:r>
      <w:r>
        <w:rPr>
          <w:rFonts w:ascii="宋体" w:hAnsi="宋体" w:eastAsia="宋体" w:cs="宋体"/>
          <w:spacing w:val="4"/>
          <w:sz w:val="23"/>
          <w:szCs w:val="23"/>
        </w:rPr>
        <w:t>于漫滩和阶地。该层孔</w:t>
      </w:r>
      <w:r>
        <w:rPr>
          <w:rFonts w:ascii="宋体" w:hAnsi="宋体" w:eastAsia="宋体" w:cs="宋体"/>
          <w:spacing w:val="2"/>
          <w:sz w:val="23"/>
          <w:szCs w:val="23"/>
        </w:rPr>
        <w:t xml:space="preserve">隙发育，透水性、富水性强，渗透系数为 </w:t>
      </w:r>
      <w:r>
        <w:rPr>
          <w:rFonts w:ascii="Times New Roman" w:hAnsi="Times New Roman" w:eastAsia="Times New Roman" w:cs="Times New Roman"/>
          <w:spacing w:val="2"/>
          <w:sz w:val="23"/>
          <w:szCs w:val="23"/>
        </w:rPr>
        <w:t>42. 1- 115.8</w:t>
      </w:r>
      <w:r>
        <w:rPr>
          <w:rFonts w:ascii="Times New Roman" w:hAnsi="Times New Roman" w:eastAsia="Times New Roman" w:cs="Times New Roman"/>
          <w:sz w:val="23"/>
          <w:szCs w:val="23"/>
        </w:rPr>
        <w:t>m</w:t>
      </w:r>
      <w:r>
        <w:rPr>
          <w:rFonts w:ascii="Times New Roman" w:hAnsi="Times New Roman" w:eastAsia="Times New Roman" w:cs="Times New Roman"/>
          <w:spacing w:val="2"/>
          <w:sz w:val="23"/>
          <w:szCs w:val="23"/>
        </w:rPr>
        <w:t>/</w:t>
      </w:r>
      <w:r>
        <w:rPr>
          <w:rFonts w:ascii="Times New Roman" w:hAnsi="Times New Roman" w:eastAsia="Times New Roman" w:cs="Times New Roman"/>
          <w:sz w:val="23"/>
          <w:szCs w:val="23"/>
        </w:rPr>
        <w:t>d</w:t>
      </w:r>
      <w:r>
        <w:rPr>
          <w:rFonts w:ascii="宋体" w:hAnsi="宋体" w:eastAsia="宋体" w:cs="宋体"/>
          <w:spacing w:val="2"/>
          <w:sz w:val="23"/>
          <w:szCs w:val="23"/>
        </w:rPr>
        <w:t>，</w:t>
      </w:r>
      <w:r>
        <w:rPr>
          <w:rFonts w:ascii="宋体" w:hAnsi="宋体" w:eastAsia="宋体" w:cs="宋体"/>
          <w:sz w:val="23"/>
          <w:szCs w:val="23"/>
        </w:rPr>
        <w:t xml:space="preserve"> </w:t>
      </w:r>
      <w:r>
        <w:rPr>
          <w:rFonts w:ascii="宋体" w:hAnsi="宋体" w:eastAsia="宋体" w:cs="宋体"/>
          <w:spacing w:val="9"/>
          <w:sz w:val="23"/>
          <w:szCs w:val="23"/>
        </w:rPr>
        <w:t>含</w:t>
      </w:r>
      <w:r>
        <w:rPr>
          <w:rFonts w:ascii="宋体" w:hAnsi="宋体" w:eastAsia="宋体" w:cs="宋体"/>
          <w:spacing w:val="7"/>
          <w:sz w:val="23"/>
          <w:szCs w:val="23"/>
        </w:rPr>
        <w:t>水丰富，主要受大气降水补给，其次为低山丘陵基岩浅部风化裂隙水补给。水</w:t>
      </w:r>
      <w:r>
        <w:rPr>
          <w:rFonts w:ascii="宋体" w:hAnsi="宋体" w:eastAsia="宋体" w:cs="宋体"/>
          <w:sz w:val="23"/>
          <w:szCs w:val="23"/>
        </w:rPr>
        <w:t xml:space="preserve"> </w:t>
      </w:r>
      <w:r>
        <w:rPr>
          <w:rFonts w:ascii="宋体" w:hAnsi="宋体" w:eastAsia="宋体" w:cs="宋体"/>
          <w:spacing w:val="9"/>
          <w:sz w:val="23"/>
          <w:szCs w:val="23"/>
        </w:rPr>
        <w:t>量</w:t>
      </w:r>
      <w:r>
        <w:rPr>
          <w:rFonts w:ascii="宋体" w:hAnsi="宋体" w:eastAsia="宋体" w:cs="宋体"/>
          <w:spacing w:val="7"/>
          <w:sz w:val="23"/>
          <w:szCs w:val="23"/>
        </w:rPr>
        <w:t>、水位动态变化受季节影响，与河水水力联系密切，据钻探测定和长期观测资</w:t>
      </w:r>
      <w:r>
        <w:rPr>
          <w:rFonts w:ascii="宋体" w:hAnsi="宋体" w:eastAsia="宋体" w:cs="宋体"/>
          <w:sz w:val="23"/>
          <w:szCs w:val="23"/>
        </w:rPr>
        <w:t xml:space="preserve"> </w:t>
      </w:r>
      <w:r>
        <w:rPr>
          <w:rFonts w:ascii="宋体" w:hAnsi="宋体" w:eastAsia="宋体" w:cs="宋体"/>
          <w:spacing w:val="9"/>
          <w:sz w:val="23"/>
          <w:szCs w:val="23"/>
        </w:rPr>
        <w:t>料</w:t>
      </w:r>
      <w:r>
        <w:rPr>
          <w:rFonts w:ascii="宋体" w:hAnsi="宋体" w:eastAsia="宋体" w:cs="宋体"/>
          <w:spacing w:val="7"/>
          <w:sz w:val="23"/>
          <w:szCs w:val="23"/>
        </w:rPr>
        <w:t>，枯水期地下水位略高于太子河水位，为地下水补给河水，丰水期受大气降水</w:t>
      </w:r>
      <w:r>
        <w:rPr>
          <w:rFonts w:ascii="宋体" w:hAnsi="宋体" w:eastAsia="宋体" w:cs="宋体"/>
          <w:sz w:val="23"/>
          <w:szCs w:val="23"/>
        </w:rPr>
        <w:t xml:space="preserve"> </w:t>
      </w:r>
      <w:r>
        <w:rPr>
          <w:rFonts w:ascii="宋体" w:hAnsi="宋体" w:eastAsia="宋体" w:cs="宋体"/>
          <w:spacing w:val="9"/>
          <w:sz w:val="23"/>
          <w:szCs w:val="23"/>
        </w:rPr>
        <w:t>补</w:t>
      </w:r>
      <w:r>
        <w:rPr>
          <w:rFonts w:ascii="宋体" w:hAnsi="宋体" w:eastAsia="宋体" w:cs="宋体"/>
          <w:spacing w:val="7"/>
          <w:sz w:val="23"/>
          <w:szCs w:val="23"/>
        </w:rPr>
        <w:t>给，地下水位、河水水位均有所上升，但近几年受上游水库调节，河水位上升</w:t>
      </w:r>
      <w:r>
        <w:rPr>
          <w:rFonts w:ascii="宋体" w:hAnsi="宋体" w:eastAsia="宋体" w:cs="宋体"/>
          <w:sz w:val="23"/>
          <w:szCs w:val="23"/>
        </w:rPr>
        <w:t xml:space="preserve"> </w:t>
      </w:r>
      <w:r>
        <w:rPr>
          <w:rFonts w:ascii="宋体" w:hAnsi="宋体" w:eastAsia="宋体" w:cs="宋体"/>
          <w:spacing w:val="4"/>
          <w:sz w:val="23"/>
          <w:szCs w:val="23"/>
        </w:rPr>
        <w:t>值很低，</w:t>
      </w:r>
      <w:r>
        <w:rPr>
          <w:rFonts w:ascii="宋体" w:hAnsi="宋体" w:eastAsia="宋体" w:cs="宋体"/>
          <w:spacing w:val="2"/>
          <w:sz w:val="23"/>
          <w:szCs w:val="23"/>
        </w:rPr>
        <w:t>故仍为地下水补给河水。砂砾石层下伏基岩，岩性为安山岩，坚硬完整，</w:t>
      </w:r>
      <w:r>
        <w:rPr>
          <w:rFonts w:ascii="宋体" w:hAnsi="宋体" w:eastAsia="宋体" w:cs="宋体"/>
          <w:sz w:val="23"/>
          <w:szCs w:val="23"/>
        </w:rPr>
        <w:t xml:space="preserve"> </w:t>
      </w:r>
      <w:r>
        <w:rPr>
          <w:rFonts w:ascii="宋体" w:hAnsi="宋体" w:eastAsia="宋体" w:cs="宋体"/>
          <w:spacing w:val="18"/>
          <w:sz w:val="23"/>
          <w:szCs w:val="23"/>
        </w:rPr>
        <w:t>属</w:t>
      </w:r>
      <w:r>
        <w:rPr>
          <w:rFonts w:ascii="宋体" w:hAnsi="宋体" w:eastAsia="宋体" w:cs="宋体"/>
          <w:spacing w:val="12"/>
          <w:sz w:val="23"/>
          <w:szCs w:val="23"/>
        </w:rPr>
        <w:t>隔</w:t>
      </w:r>
      <w:r>
        <w:rPr>
          <w:rFonts w:ascii="宋体" w:hAnsi="宋体" w:eastAsia="宋体" w:cs="宋体"/>
          <w:spacing w:val="9"/>
          <w:sz w:val="23"/>
          <w:szCs w:val="23"/>
        </w:rPr>
        <w:t>水岩层。地下水及河水经取样分析，均属弱碱性水，对砼无腐蚀性。</w:t>
      </w:r>
    </w:p>
    <w:p w14:paraId="5D003BC0">
      <w:pPr>
        <w:sectPr>
          <w:headerReference r:id="rId152" w:type="default"/>
          <w:footerReference r:id="rId153" w:type="default"/>
          <w:pgSz w:w="11906" w:h="16839"/>
          <w:pgMar w:top="1132" w:right="1735" w:bottom="1182" w:left="1785" w:header="878" w:footer="1022" w:gutter="0"/>
          <w:cols w:space="720" w:num="1"/>
        </w:sectPr>
      </w:pPr>
    </w:p>
    <w:p w14:paraId="783CC403">
      <w:pPr>
        <w:spacing w:line="337" w:lineRule="auto"/>
        <w:rPr>
          <w:rFonts w:ascii="Arial"/>
          <w:sz w:val="21"/>
        </w:rPr>
      </w:pPr>
      <w:r>
        <w:pict>
          <v:shape id="_x0000_s1211" o:spid="_x0000_s1211" style="position:absolute;left:0pt;margin-left:90pt;margin-top:57.35pt;height:0.75pt;width:415.3pt;mso-position-horizontal-relative:page;mso-position-vertical-relative:page;z-index:251863040;mso-width-relative:page;mso-height-relative:page;" fillcolor="#000000" filled="t" stroked="f" coordsize="8305,15" o:allowincell="f" path="m0,0l8305,0,8305,14,0,14,0,0xe">
            <v:path/>
            <v:fill on="t" focussize="0,0"/>
            <v:stroke on="f"/>
            <v:imagedata o:title=""/>
            <o:lock v:ext="edit"/>
          </v:shape>
        </w:pict>
      </w:r>
    </w:p>
    <w:p w14:paraId="3817FD9E">
      <w:pPr>
        <w:spacing w:before="94" w:line="226" w:lineRule="auto"/>
        <w:ind w:left="21"/>
        <w:outlineLvl w:val="2"/>
        <w:rPr>
          <w:rFonts w:ascii="宋体" w:hAnsi="宋体" w:eastAsia="宋体" w:cs="宋体"/>
          <w:sz w:val="29"/>
          <w:szCs w:val="29"/>
        </w:rPr>
      </w:pPr>
      <w:r>
        <w:rPr>
          <w:rFonts w:ascii="Times New Roman" w:hAnsi="Times New Roman" w:eastAsia="Times New Roman" w:cs="Times New Roman"/>
          <w:b/>
          <w:bCs/>
          <w:spacing w:val="4"/>
          <w:sz w:val="29"/>
          <w:szCs w:val="29"/>
        </w:rPr>
        <w:t>4.1.5</w:t>
      </w:r>
      <w:r>
        <w:rPr>
          <w:rFonts w:ascii="Times New Roman" w:hAnsi="Times New Roman" w:eastAsia="Times New Roman" w:cs="Times New Roman"/>
          <w:spacing w:val="4"/>
          <w:sz w:val="29"/>
          <w:szCs w:val="29"/>
        </w:rPr>
        <w:t xml:space="preserve">  </w:t>
      </w:r>
      <w:r>
        <w:rPr>
          <w:rFonts w:ascii="宋体" w:hAnsi="宋体" w:eastAsia="宋体" w:cs="宋体"/>
          <w:spacing w:val="4"/>
          <w:sz w:val="29"/>
          <w:szCs w:val="29"/>
          <w14:textOutline w14:w="5448" w14:cap="sq" w14:cmpd="sng">
            <w14:solidFill>
              <w14:srgbClr w14:val="000000"/>
            </w14:solidFill>
            <w14:prstDash w14:val="solid"/>
            <w14:bevel/>
          </w14:textOutline>
        </w:rPr>
        <w:t>植被</w:t>
      </w:r>
    </w:p>
    <w:p w14:paraId="722CB17F">
      <w:pPr>
        <w:spacing w:line="257" w:lineRule="auto"/>
        <w:rPr>
          <w:rFonts w:ascii="Arial"/>
          <w:sz w:val="21"/>
        </w:rPr>
      </w:pPr>
    </w:p>
    <w:p w14:paraId="443238AA">
      <w:pPr>
        <w:spacing w:before="75" w:line="389" w:lineRule="auto"/>
        <w:ind w:left="23" w:right="18" w:firstLine="480"/>
        <w:rPr>
          <w:rFonts w:ascii="宋体" w:hAnsi="宋体" w:eastAsia="宋体" w:cs="宋体"/>
          <w:sz w:val="23"/>
          <w:szCs w:val="23"/>
        </w:rPr>
      </w:pPr>
      <w:r>
        <w:rPr>
          <w:rFonts w:ascii="宋体" w:hAnsi="宋体" w:eastAsia="宋体" w:cs="宋体"/>
          <w:spacing w:val="10"/>
          <w:sz w:val="23"/>
          <w:szCs w:val="23"/>
        </w:rPr>
        <w:t>全</w:t>
      </w:r>
      <w:r>
        <w:rPr>
          <w:rFonts w:ascii="宋体" w:hAnsi="宋体" w:eastAsia="宋体" w:cs="宋体"/>
          <w:spacing w:val="7"/>
          <w:sz w:val="23"/>
          <w:szCs w:val="23"/>
        </w:rPr>
        <w:t>市</w:t>
      </w:r>
      <w:r>
        <w:rPr>
          <w:rFonts w:ascii="宋体" w:hAnsi="宋体" w:eastAsia="宋体" w:cs="宋体"/>
          <w:spacing w:val="5"/>
          <w:sz w:val="23"/>
          <w:szCs w:val="23"/>
        </w:rPr>
        <w:t xml:space="preserve">林业用地 </w:t>
      </w:r>
      <w:r>
        <w:rPr>
          <w:rFonts w:ascii="Times New Roman" w:hAnsi="Times New Roman" w:eastAsia="Times New Roman" w:cs="Times New Roman"/>
          <w:spacing w:val="5"/>
          <w:sz w:val="23"/>
          <w:szCs w:val="23"/>
        </w:rPr>
        <w:t xml:space="preserve">1000 </w:t>
      </w:r>
      <w:r>
        <w:rPr>
          <w:rFonts w:ascii="宋体" w:hAnsi="宋体" w:eastAsia="宋体" w:cs="宋体"/>
          <w:spacing w:val="5"/>
          <w:sz w:val="23"/>
          <w:szCs w:val="23"/>
        </w:rPr>
        <w:t xml:space="preserve">万亩 (其中有林地面积 </w:t>
      </w:r>
      <w:r>
        <w:rPr>
          <w:rFonts w:ascii="Times New Roman" w:hAnsi="Times New Roman" w:eastAsia="Times New Roman" w:cs="Times New Roman"/>
          <w:spacing w:val="5"/>
          <w:sz w:val="23"/>
          <w:szCs w:val="23"/>
        </w:rPr>
        <w:t xml:space="preserve">925 </w:t>
      </w:r>
      <w:r>
        <w:rPr>
          <w:rFonts w:ascii="宋体" w:hAnsi="宋体" w:eastAsia="宋体" w:cs="宋体"/>
          <w:spacing w:val="5"/>
          <w:sz w:val="23"/>
          <w:szCs w:val="23"/>
        </w:rPr>
        <w:t xml:space="preserve">万亩) ，人均 </w:t>
      </w:r>
      <w:r>
        <w:rPr>
          <w:rFonts w:ascii="Times New Roman" w:hAnsi="Times New Roman" w:eastAsia="Times New Roman" w:cs="Times New Roman"/>
          <w:spacing w:val="5"/>
          <w:sz w:val="23"/>
          <w:szCs w:val="23"/>
        </w:rPr>
        <w:t xml:space="preserve">6.4 </w:t>
      </w:r>
      <w:r>
        <w:rPr>
          <w:rFonts w:ascii="宋体" w:hAnsi="宋体" w:eastAsia="宋体" w:cs="宋体"/>
          <w:spacing w:val="5"/>
          <w:sz w:val="23"/>
          <w:szCs w:val="23"/>
        </w:rPr>
        <w:t>亩，是辽</w:t>
      </w:r>
      <w:r>
        <w:rPr>
          <w:rFonts w:ascii="宋体" w:hAnsi="宋体" w:eastAsia="宋体" w:cs="宋体"/>
          <w:sz w:val="23"/>
          <w:szCs w:val="23"/>
        </w:rPr>
        <w:t xml:space="preserve"> </w:t>
      </w:r>
      <w:r>
        <w:rPr>
          <w:rFonts w:ascii="宋体" w:hAnsi="宋体" w:eastAsia="宋体" w:cs="宋体"/>
          <w:spacing w:val="2"/>
          <w:sz w:val="23"/>
          <w:szCs w:val="23"/>
        </w:rPr>
        <w:t xml:space="preserve">宁中部城市群重要的水源涵养林区和辽东天然次生林区。共有木本植物 </w:t>
      </w:r>
      <w:r>
        <w:rPr>
          <w:rFonts w:ascii="Times New Roman" w:hAnsi="Times New Roman" w:eastAsia="Times New Roman" w:cs="Times New Roman"/>
          <w:spacing w:val="2"/>
          <w:sz w:val="23"/>
          <w:szCs w:val="23"/>
        </w:rPr>
        <w:t xml:space="preserve">47 </w:t>
      </w:r>
      <w:r>
        <w:rPr>
          <w:rFonts w:ascii="宋体" w:hAnsi="宋体" w:eastAsia="宋体" w:cs="宋体"/>
          <w:spacing w:val="2"/>
          <w:sz w:val="23"/>
          <w:szCs w:val="23"/>
        </w:rPr>
        <w:t xml:space="preserve">科 </w:t>
      </w:r>
      <w:r>
        <w:rPr>
          <w:rFonts w:ascii="Times New Roman" w:hAnsi="Times New Roman" w:eastAsia="Times New Roman" w:cs="Times New Roman"/>
          <w:sz w:val="23"/>
          <w:szCs w:val="23"/>
        </w:rPr>
        <w:t xml:space="preserve">100 </w:t>
      </w:r>
      <w:r>
        <w:rPr>
          <w:rFonts w:ascii="宋体" w:hAnsi="宋体" w:eastAsia="宋体" w:cs="宋体"/>
          <w:spacing w:val="1"/>
          <w:sz w:val="23"/>
          <w:szCs w:val="23"/>
        </w:rPr>
        <w:t xml:space="preserve">属 </w:t>
      </w:r>
      <w:r>
        <w:rPr>
          <w:rFonts w:ascii="Times New Roman" w:hAnsi="Times New Roman" w:eastAsia="Times New Roman" w:cs="Times New Roman"/>
          <w:spacing w:val="1"/>
          <w:sz w:val="23"/>
          <w:szCs w:val="23"/>
        </w:rPr>
        <w:t xml:space="preserve">251 </w:t>
      </w:r>
      <w:r>
        <w:rPr>
          <w:rFonts w:ascii="宋体" w:hAnsi="宋体" w:eastAsia="宋体" w:cs="宋体"/>
          <w:spacing w:val="1"/>
          <w:sz w:val="23"/>
          <w:szCs w:val="23"/>
        </w:rPr>
        <w:t>种，其中有大量红松、油松、落叶松以</w:t>
      </w:r>
      <w:r>
        <w:rPr>
          <w:rFonts w:ascii="宋体" w:hAnsi="宋体" w:eastAsia="宋体" w:cs="宋体"/>
          <w:sz w:val="23"/>
          <w:szCs w:val="23"/>
        </w:rPr>
        <w:t xml:space="preserve">及柞、桦、椴、榆、柳等珍贵木材， </w:t>
      </w:r>
      <w:r>
        <w:rPr>
          <w:rFonts w:ascii="宋体" w:hAnsi="宋体" w:eastAsia="宋体" w:cs="宋体"/>
          <w:spacing w:val="-2"/>
          <w:sz w:val="23"/>
          <w:szCs w:val="23"/>
        </w:rPr>
        <w:t xml:space="preserve">森林蓄积量 </w:t>
      </w:r>
      <w:r>
        <w:rPr>
          <w:rFonts w:ascii="Times New Roman" w:hAnsi="Times New Roman" w:eastAsia="Times New Roman" w:cs="Times New Roman"/>
          <w:spacing w:val="-2"/>
          <w:sz w:val="23"/>
          <w:szCs w:val="23"/>
        </w:rPr>
        <w:t xml:space="preserve">4860 </w:t>
      </w:r>
      <w:r>
        <w:rPr>
          <w:rFonts w:ascii="宋体" w:hAnsi="宋体" w:eastAsia="宋体" w:cs="宋体"/>
          <w:spacing w:val="-2"/>
          <w:sz w:val="23"/>
          <w:szCs w:val="23"/>
        </w:rPr>
        <w:t>万</w:t>
      </w:r>
      <w:r>
        <w:rPr>
          <w:rFonts w:ascii="宋体" w:hAnsi="宋体" w:eastAsia="宋体" w:cs="宋体"/>
          <w:spacing w:val="-1"/>
          <w:sz w:val="23"/>
          <w:szCs w:val="23"/>
        </w:rPr>
        <w:t xml:space="preserve"> </w:t>
      </w:r>
      <w:r>
        <w:rPr>
          <w:rFonts w:ascii="Times New Roman" w:hAnsi="Times New Roman" w:eastAsia="Times New Roman" w:cs="Times New Roman"/>
          <w:spacing w:val="-1"/>
          <w:sz w:val="23"/>
          <w:szCs w:val="23"/>
        </w:rPr>
        <w:t>m</w:t>
      </w:r>
      <w:r>
        <w:rPr>
          <w:rFonts w:ascii="Times New Roman" w:hAnsi="Times New Roman" w:eastAsia="Times New Roman" w:cs="Times New Roman"/>
          <w:spacing w:val="-1"/>
          <w:position w:val="7"/>
          <w:sz w:val="15"/>
          <w:szCs w:val="15"/>
        </w:rPr>
        <w:t>3</w:t>
      </w:r>
      <w:r>
        <w:rPr>
          <w:rFonts w:ascii="宋体" w:hAnsi="宋体" w:eastAsia="宋体" w:cs="宋体"/>
          <w:spacing w:val="-1"/>
          <w:sz w:val="23"/>
          <w:szCs w:val="23"/>
        </w:rPr>
        <w:t>。</w:t>
      </w:r>
    </w:p>
    <w:p w14:paraId="584A9FAC">
      <w:pPr>
        <w:spacing w:before="68" w:line="224" w:lineRule="auto"/>
        <w:ind w:left="22"/>
        <w:outlineLvl w:val="1"/>
        <w:rPr>
          <w:rFonts w:ascii="宋体" w:hAnsi="宋体" w:eastAsia="宋体" w:cs="宋体"/>
          <w:sz w:val="31"/>
          <w:szCs w:val="31"/>
        </w:rPr>
      </w:pPr>
      <w:bookmarkStart w:id="20" w:name="_bookmark21"/>
      <w:bookmarkEnd w:id="20"/>
      <w:r>
        <w:rPr>
          <w:rFonts w:ascii="Times New Roman" w:hAnsi="Times New Roman" w:eastAsia="Times New Roman" w:cs="Times New Roman"/>
          <w:b/>
          <w:bCs/>
          <w:spacing w:val="12"/>
          <w:sz w:val="31"/>
          <w:szCs w:val="31"/>
        </w:rPr>
        <w:t>4</w:t>
      </w:r>
      <w:r>
        <w:rPr>
          <w:rFonts w:ascii="Times New Roman" w:hAnsi="Times New Roman" w:eastAsia="Times New Roman" w:cs="Times New Roman"/>
          <w:b/>
          <w:bCs/>
          <w:spacing w:val="7"/>
          <w:sz w:val="31"/>
          <w:szCs w:val="31"/>
        </w:rPr>
        <w:t>.</w:t>
      </w:r>
      <w:r>
        <w:rPr>
          <w:rFonts w:ascii="Times New Roman" w:hAnsi="Times New Roman" w:eastAsia="Times New Roman" w:cs="Times New Roman"/>
          <w:b/>
          <w:bCs/>
          <w:spacing w:val="6"/>
          <w:sz w:val="31"/>
          <w:szCs w:val="31"/>
        </w:rPr>
        <w:t>2</w:t>
      </w:r>
      <w:r>
        <w:rPr>
          <w:rFonts w:ascii="Times New Roman" w:hAnsi="Times New Roman" w:eastAsia="Times New Roman" w:cs="Times New Roman"/>
          <w:spacing w:val="6"/>
          <w:sz w:val="31"/>
          <w:szCs w:val="31"/>
        </w:rPr>
        <w:t xml:space="preserve">  </w:t>
      </w:r>
      <w:r>
        <w:rPr>
          <w:rFonts w:ascii="宋体" w:hAnsi="宋体" w:eastAsia="宋体" w:cs="宋体"/>
          <w:spacing w:val="6"/>
          <w:sz w:val="31"/>
          <w:szCs w:val="31"/>
          <w14:textOutline w14:w="5793" w14:cap="sq" w14:cmpd="sng">
            <w14:solidFill>
              <w14:srgbClr w14:val="000000"/>
            </w14:solidFill>
            <w14:prstDash w14:val="solid"/>
            <w14:bevel/>
          </w14:textOutline>
        </w:rPr>
        <w:t>社会环境概况</w:t>
      </w:r>
    </w:p>
    <w:p w14:paraId="01E41C81">
      <w:pPr>
        <w:spacing w:before="148" w:line="403" w:lineRule="auto"/>
        <w:ind w:left="24" w:right="82" w:firstLine="480"/>
        <w:rPr>
          <w:rFonts w:ascii="Times New Roman" w:hAnsi="Times New Roman" w:eastAsia="Times New Roman" w:cs="Times New Roman"/>
          <w:sz w:val="23"/>
          <w:szCs w:val="23"/>
        </w:rPr>
      </w:pPr>
      <w:r>
        <w:rPr>
          <w:rFonts w:ascii="宋体" w:hAnsi="宋体" w:eastAsia="宋体" w:cs="宋体"/>
          <w:spacing w:val="7"/>
          <w:sz w:val="23"/>
          <w:szCs w:val="23"/>
        </w:rPr>
        <w:t>本溪市设</w:t>
      </w:r>
      <w:r>
        <w:fldChar w:fldCharType="begin"/>
      </w:r>
      <w:r>
        <w:instrText xml:space="preserve"> HYPERLINK "http://baike.baidu.com/view/361073.htm" </w:instrText>
      </w:r>
      <w:r>
        <w:fldChar w:fldCharType="separate"/>
      </w:r>
      <w:r>
        <w:rPr>
          <w:rFonts w:ascii="宋体" w:hAnsi="宋体" w:eastAsia="宋体" w:cs="宋体"/>
          <w:spacing w:val="7"/>
          <w:sz w:val="23"/>
          <w:szCs w:val="23"/>
        </w:rPr>
        <w:t>平山</w:t>
      </w:r>
      <w:r>
        <w:rPr>
          <w:rFonts w:ascii="宋体" w:hAnsi="宋体" w:eastAsia="宋体" w:cs="宋体"/>
          <w:spacing w:val="7"/>
          <w:sz w:val="23"/>
          <w:szCs w:val="23"/>
        </w:rPr>
        <w:fldChar w:fldCharType="end"/>
      </w:r>
      <w:r>
        <w:rPr>
          <w:rFonts w:ascii="宋体" w:hAnsi="宋体" w:eastAsia="宋体" w:cs="宋体"/>
          <w:spacing w:val="7"/>
          <w:sz w:val="23"/>
          <w:szCs w:val="23"/>
        </w:rPr>
        <w:t>、</w:t>
      </w:r>
      <w:r>
        <w:fldChar w:fldCharType="begin"/>
      </w:r>
      <w:r>
        <w:instrText xml:space="preserve"> HYPERLINK "http://baike.baidu.com/view/399371.htm" </w:instrText>
      </w:r>
      <w:r>
        <w:fldChar w:fldCharType="separate"/>
      </w:r>
      <w:r>
        <w:rPr>
          <w:rFonts w:ascii="宋体" w:hAnsi="宋体" w:eastAsia="宋体" w:cs="宋体"/>
          <w:spacing w:val="7"/>
          <w:sz w:val="23"/>
          <w:szCs w:val="23"/>
        </w:rPr>
        <w:t>明山</w:t>
      </w:r>
      <w:r>
        <w:rPr>
          <w:rFonts w:ascii="宋体" w:hAnsi="宋体" w:eastAsia="宋体" w:cs="宋体"/>
          <w:spacing w:val="7"/>
          <w:sz w:val="23"/>
          <w:szCs w:val="23"/>
        </w:rPr>
        <w:fldChar w:fldCharType="end"/>
      </w:r>
      <w:r>
        <w:rPr>
          <w:rFonts w:ascii="宋体" w:hAnsi="宋体" w:eastAsia="宋体" w:cs="宋体"/>
          <w:spacing w:val="7"/>
          <w:sz w:val="23"/>
          <w:szCs w:val="23"/>
        </w:rPr>
        <w:t>、溪湖、</w:t>
      </w:r>
      <w:r>
        <w:fldChar w:fldCharType="begin"/>
      </w:r>
      <w:r>
        <w:instrText xml:space="preserve"> HYPERLINK "http://baike.baidu.com/view/399373.htm" </w:instrText>
      </w:r>
      <w:r>
        <w:fldChar w:fldCharType="separate"/>
      </w:r>
      <w:r>
        <w:rPr>
          <w:rFonts w:ascii="宋体" w:hAnsi="宋体" w:eastAsia="宋体" w:cs="宋体"/>
          <w:spacing w:val="7"/>
          <w:sz w:val="23"/>
          <w:szCs w:val="23"/>
        </w:rPr>
        <w:t>南芬</w:t>
      </w:r>
      <w:r>
        <w:rPr>
          <w:rFonts w:ascii="宋体" w:hAnsi="宋体" w:eastAsia="宋体" w:cs="宋体"/>
          <w:spacing w:val="7"/>
          <w:sz w:val="23"/>
          <w:szCs w:val="23"/>
        </w:rPr>
        <w:fldChar w:fldCharType="end"/>
      </w:r>
      <w:r>
        <w:rPr>
          <w:rFonts w:ascii="宋体" w:hAnsi="宋体" w:eastAsia="宋体" w:cs="宋体"/>
          <w:spacing w:val="7"/>
          <w:sz w:val="23"/>
          <w:szCs w:val="23"/>
        </w:rPr>
        <w:t>四区，</w:t>
      </w:r>
      <w:r>
        <w:fldChar w:fldCharType="begin"/>
      </w:r>
      <w:r>
        <w:instrText xml:space="preserve"> HYPERLINK "http://baike.baidu.com/view/399374.htm" </w:instrText>
      </w:r>
      <w:r>
        <w:fldChar w:fldCharType="separate"/>
      </w:r>
      <w:r>
        <w:rPr>
          <w:rFonts w:ascii="宋体" w:hAnsi="宋体" w:eastAsia="宋体" w:cs="宋体"/>
          <w:spacing w:val="7"/>
          <w:sz w:val="23"/>
          <w:szCs w:val="23"/>
        </w:rPr>
        <w:t>本溪满族自治县</w:t>
      </w:r>
      <w:r>
        <w:rPr>
          <w:rFonts w:ascii="宋体" w:hAnsi="宋体" w:eastAsia="宋体" w:cs="宋体"/>
          <w:spacing w:val="7"/>
          <w:sz w:val="23"/>
          <w:szCs w:val="23"/>
        </w:rPr>
        <w:fldChar w:fldCharType="end"/>
      </w:r>
      <w:r>
        <w:rPr>
          <w:rFonts w:ascii="宋体" w:hAnsi="宋体" w:eastAsia="宋体" w:cs="宋体"/>
          <w:spacing w:val="7"/>
          <w:sz w:val="23"/>
          <w:szCs w:val="23"/>
        </w:rPr>
        <w:t>、</w:t>
      </w:r>
      <w:r>
        <w:fldChar w:fldCharType="begin"/>
      </w:r>
      <w:r>
        <w:instrText xml:space="preserve"> HYPERLINK "http://baike.baidu.com/view/3821.htm" </w:instrText>
      </w:r>
      <w:r>
        <w:fldChar w:fldCharType="separate"/>
      </w:r>
      <w:r>
        <w:rPr>
          <w:rFonts w:ascii="宋体" w:hAnsi="宋体" w:eastAsia="宋体" w:cs="宋体"/>
          <w:spacing w:val="7"/>
          <w:sz w:val="23"/>
          <w:szCs w:val="23"/>
        </w:rPr>
        <w:t>桓仁</w:t>
      </w:r>
      <w:r>
        <w:rPr>
          <w:rFonts w:ascii="宋体" w:hAnsi="宋体" w:eastAsia="宋体" w:cs="宋体"/>
          <w:spacing w:val="7"/>
          <w:sz w:val="23"/>
          <w:szCs w:val="23"/>
        </w:rPr>
        <w:fldChar w:fldCharType="end"/>
      </w:r>
      <w:r>
        <w:rPr>
          <w:rFonts w:ascii="宋体" w:hAnsi="宋体" w:eastAsia="宋体" w:cs="宋体"/>
          <w:spacing w:val="7"/>
          <w:sz w:val="23"/>
          <w:szCs w:val="23"/>
        </w:rPr>
        <w:t>满族自治</w:t>
      </w:r>
      <w:r>
        <w:rPr>
          <w:rFonts w:ascii="宋体" w:hAnsi="宋体" w:eastAsia="宋体" w:cs="宋体"/>
          <w:spacing w:val="2"/>
          <w:sz w:val="23"/>
          <w:szCs w:val="23"/>
        </w:rPr>
        <w:t>县</w:t>
      </w:r>
      <w:r>
        <w:rPr>
          <w:rFonts w:ascii="宋体" w:hAnsi="宋体" w:eastAsia="宋体" w:cs="宋体"/>
          <w:sz w:val="23"/>
          <w:szCs w:val="23"/>
        </w:rPr>
        <w:t xml:space="preserve"> </w:t>
      </w:r>
      <w:r>
        <w:rPr>
          <w:rFonts w:ascii="宋体" w:hAnsi="宋体" w:eastAsia="宋体" w:cs="宋体"/>
          <w:spacing w:val="18"/>
          <w:sz w:val="23"/>
          <w:szCs w:val="23"/>
        </w:rPr>
        <w:t>两县</w:t>
      </w:r>
      <w:r>
        <w:rPr>
          <w:rFonts w:ascii="宋体" w:hAnsi="宋体" w:eastAsia="宋体" w:cs="宋体"/>
          <w:spacing w:val="11"/>
          <w:sz w:val="23"/>
          <w:szCs w:val="23"/>
        </w:rPr>
        <w:t>。</w:t>
      </w:r>
      <w:r>
        <w:rPr>
          <w:rFonts w:ascii="宋体" w:hAnsi="宋体" w:eastAsia="宋体" w:cs="宋体"/>
          <w:spacing w:val="9"/>
          <w:sz w:val="23"/>
          <w:szCs w:val="23"/>
        </w:rPr>
        <w:t xml:space="preserve">全市共 </w:t>
      </w:r>
      <w:r>
        <w:rPr>
          <w:rFonts w:ascii="Times New Roman" w:hAnsi="Times New Roman" w:eastAsia="Times New Roman" w:cs="Times New Roman"/>
          <w:spacing w:val="9"/>
          <w:sz w:val="23"/>
          <w:szCs w:val="23"/>
        </w:rPr>
        <w:t xml:space="preserve">25 </w:t>
      </w:r>
      <w:r>
        <w:rPr>
          <w:rFonts w:ascii="宋体" w:hAnsi="宋体" w:eastAsia="宋体" w:cs="宋体"/>
          <w:spacing w:val="9"/>
          <w:sz w:val="23"/>
          <w:szCs w:val="23"/>
        </w:rPr>
        <w:t>个</w:t>
      </w:r>
      <w:r>
        <w:fldChar w:fldCharType="begin"/>
      </w:r>
      <w:r>
        <w:instrText xml:space="preserve"> HYPERLINK "http://baike.baidu.com/view/300244.htm" </w:instrText>
      </w:r>
      <w:r>
        <w:fldChar w:fldCharType="separate"/>
      </w:r>
      <w:r>
        <w:rPr>
          <w:rFonts w:ascii="宋体" w:hAnsi="宋体" w:eastAsia="宋体" w:cs="宋体"/>
          <w:spacing w:val="9"/>
          <w:sz w:val="23"/>
          <w:szCs w:val="23"/>
        </w:rPr>
        <w:t>街道办事处</w:t>
      </w:r>
      <w:r>
        <w:rPr>
          <w:rFonts w:ascii="宋体" w:hAnsi="宋体" w:eastAsia="宋体" w:cs="宋体"/>
          <w:spacing w:val="9"/>
          <w:sz w:val="23"/>
          <w:szCs w:val="23"/>
        </w:rPr>
        <w:fldChar w:fldCharType="end"/>
      </w:r>
      <w:r>
        <w:rPr>
          <w:rFonts w:ascii="宋体" w:hAnsi="宋体" w:eastAsia="宋体" w:cs="宋体"/>
          <w:spacing w:val="9"/>
          <w:sz w:val="23"/>
          <w:szCs w:val="23"/>
        </w:rPr>
        <w:t xml:space="preserve"> (两县各一个) 、</w:t>
      </w:r>
      <w:r>
        <w:rPr>
          <w:rFonts w:ascii="Times New Roman" w:hAnsi="Times New Roman" w:eastAsia="Times New Roman" w:cs="Times New Roman"/>
          <w:spacing w:val="9"/>
          <w:sz w:val="23"/>
          <w:szCs w:val="23"/>
        </w:rPr>
        <w:t xml:space="preserve">40 </w:t>
      </w:r>
      <w:r>
        <w:rPr>
          <w:rFonts w:ascii="宋体" w:hAnsi="宋体" w:eastAsia="宋体" w:cs="宋体"/>
          <w:spacing w:val="9"/>
          <w:sz w:val="23"/>
          <w:szCs w:val="23"/>
        </w:rPr>
        <w:t>个乡镇、</w:t>
      </w:r>
      <w:r>
        <w:rPr>
          <w:rFonts w:ascii="Times New Roman" w:hAnsi="Times New Roman" w:eastAsia="Times New Roman" w:cs="Times New Roman"/>
          <w:spacing w:val="9"/>
          <w:sz w:val="23"/>
          <w:szCs w:val="23"/>
        </w:rPr>
        <w:t xml:space="preserve">229 </w:t>
      </w:r>
      <w:r>
        <w:rPr>
          <w:rFonts w:ascii="宋体" w:hAnsi="宋体" w:eastAsia="宋体" w:cs="宋体"/>
          <w:spacing w:val="9"/>
          <w:sz w:val="23"/>
          <w:szCs w:val="23"/>
        </w:rPr>
        <w:t>个社区、</w:t>
      </w:r>
      <w:r>
        <w:rPr>
          <w:rFonts w:ascii="Times New Roman" w:hAnsi="Times New Roman" w:eastAsia="Times New Roman" w:cs="Times New Roman"/>
          <w:spacing w:val="9"/>
          <w:sz w:val="23"/>
          <w:szCs w:val="23"/>
        </w:rPr>
        <w:t>289</w:t>
      </w:r>
    </w:p>
    <w:p w14:paraId="6614FC1E">
      <w:pPr>
        <w:spacing w:before="135" w:line="227" w:lineRule="auto"/>
        <w:ind w:left="23"/>
        <w:rPr>
          <w:rFonts w:ascii="宋体" w:hAnsi="宋体" w:eastAsia="宋体" w:cs="宋体"/>
          <w:sz w:val="23"/>
          <w:szCs w:val="23"/>
        </w:rPr>
      </w:pPr>
      <w:r>
        <w:rPr>
          <w:rFonts w:ascii="宋体" w:hAnsi="宋体" w:eastAsia="宋体" w:cs="宋体"/>
          <w:spacing w:val="16"/>
          <w:sz w:val="23"/>
          <w:szCs w:val="23"/>
        </w:rPr>
        <w:t>个村</w:t>
      </w:r>
      <w:r>
        <w:rPr>
          <w:rFonts w:ascii="宋体" w:hAnsi="宋体" w:eastAsia="宋体" w:cs="宋体"/>
          <w:spacing w:val="14"/>
          <w:sz w:val="23"/>
          <w:szCs w:val="23"/>
        </w:rPr>
        <w:t>民</w:t>
      </w:r>
      <w:r>
        <w:rPr>
          <w:rFonts w:ascii="宋体" w:hAnsi="宋体" w:eastAsia="宋体" w:cs="宋体"/>
          <w:spacing w:val="8"/>
          <w:sz w:val="23"/>
          <w:szCs w:val="23"/>
        </w:rPr>
        <w:t>委 (含一个国家级高新区即本溪高新技术产业开发区) 。</w:t>
      </w:r>
    </w:p>
    <w:p w14:paraId="7DB8E6AE">
      <w:pPr>
        <w:spacing w:line="277" w:lineRule="auto"/>
        <w:rPr>
          <w:rFonts w:ascii="Arial"/>
          <w:sz w:val="21"/>
        </w:rPr>
      </w:pPr>
    </w:p>
    <w:p w14:paraId="4BEA36A3">
      <w:pPr>
        <w:spacing w:before="75" w:line="389" w:lineRule="auto"/>
        <w:ind w:left="23" w:right="21" w:firstLine="480"/>
        <w:rPr>
          <w:rFonts w:ascii="宋体" w:hAnsi="宋体" w:eastAsia="宋体" w:cs="宋体"/>
          <w:sz w:val="23"/>
          <w:szCs w:val="23"/>
        </w:rPr>
      </w:pPr>
      <w:r>
        <w:rPr>
          <w:rFonts w:ascii="宋体" w:hAnsi="宋体" w:eastAsia="宋体" w:cs="宋体"/>
          <w:spacing w:val="7"/>
          <w:sz w:val="23"/>
          <w:szCs w:val="23"/>
        </w:rPr>
        <w:t>溪湖区位于辽东半岛腹地，是中国辽宁省本溪市所辖的一个市辖区，是一</w:t>
      </w:r>
      <w:r>
        <w:rPr>
          <w:rFonts w:ascii="宋体" w:hAnsi="宋体" w:eastAsia="宋体" w:cs="宋体"/>
          <w:spacing w:val="3"/>
          <w:sz w:val="23"/>
          <w:szCs w:val="23"/>
        </w:rPr>
        <w:t>个</w:t>
      </w:r>
      <w:r>
        <w:rPr>
          <w:rFonts w:ascii="宋体" w:hAnsi="宋体" w:eastAsia="宋体" w:cs="宋体"/>
          <w:sz w:val="23"/>
          <w:szCs w:val="23"/>
        </w:rPr>
        <w:t xml:space="preserve"> </w:t>
      </w:r>
      <w:r>
        <w:rPr>
          <w:rFonts w:ascii="宋体" w:hAnsi="宋体" w:eastAsia="宋体" w:cs="宋体"/>
          <w:spacing w:val="1"/>
          <w:sz w:val="23"/>
          <w:szCs w:val="23"/>
        </w:rPr>
        <w:t>老工业基地。东界抚顺，西接辽阳，南衔丹东</w:t>
      </w:r>
      <w:r>
        <w:rPr>
          <w:rFonts w:ascii="宋体" w:hAnsi="宋体" w:eastAsia="宋体" w:cs="宋体"/>
          <w:sz w:val="23"/>
          <w:szCs w:val="23"/>
        </w:rPr>
        <w:t xml:space="preserve">，北邻沈阳。下辖 </w:t>
      </w:r>
      <w:r>
        <w:rPr>
          <w:rFonts w:ascii="Times New Roman" w:hAnsi="Times New Roman" w:eastAsia="Times New Roman" w:cs="Times New Roman"/>
          <w:sz w:val="23"/>
          <w:szCs w:val="23"/>
        </w:rPr>
        <w:t xml:space="preserve">7 </w:t>
      </w:r>
      <w:r>
        <w:rPr>
          <w:rFonts w:ascii="宋体" w:hAnsi="宋体" w:eastAsia="宋体" w:cs="宋体"/>
          <w:sz w:val="23"/>
          <w:szCs w:val="23"/>
        </w:rPr>
        <w:t xml:space="preserve">个街道办事处， </w:t>
      </w:r>
      <w:r>
        <w:rPr>
          <w:rFonts w:ascii="宋体" w:hAnsi="宋体" w:eastAsia="宋体" w:cs="宋体"/>
          <w:spacing w:val="14"/>
          <w:sz w:val="23"/>
          <w:szCs w:val="23"/>
        </w:rPr>
        <w:t>区域</w:t>
      </w:r>
      <w:r>
        <w:rPr>
          <w:rFonts w:ascii="宋体" w:hAnsi="宋体" w:eastAsia="宋体" w:cs="宋体"/>
          <w:spacing w:val="10"/>
          <w:sz w:val="23"/>
          <w:szCs w:val="23"/>
        </w:rPr>
        <w:t>面</w:t>
      </w:r>
      <w:r>
        <w:rPr>
          <w:rFonts w:ascii="宋体" w:hAnsi="宋体" w:eastAsia="宋体" w:cs="宋体"/>
          <w:spacing w:val="7"/>
          <w:sz w:val="23"/>
          <w:szCs w:val="23"/>
        </w:rPr>
        <w:t xml:space="preserve">积 </w:t>
      </w:r>
      <w:r>
        <w:rPr>
          <w:rFonts w:ascii="Times New Roman" w:hAnsi="Times New Roman" w:eastAsia="Times New Roman" w:cs="Times New Roman"/>
          <w:spacing w:val="7"/>
          <w:sz w:val="23"/>
          <w:szCs w:val="23"/>
        </w:rPr>
        <w:t xml:space="preserve">138 </w:t>
      </w:r>
      <w:r>
        <w:rPr>
          <w:rFonts w:ascii="宋体" w:hAnsi="宋体" w:eastAsia="宋体" w:cs="宋体"/>
          <w:spacing w:val="7"/>
          <w:sz w:val="23"/>
          <w:szCs w:val="23"/>
        </w:rPr>
        <w:t xml:space="preserve">平方公里，总人口 </w:t>
      </w:r>
      <w:r>
        <w:rPr>
          <w:rFonts w:ascii="Times New Roman" w:hAnsi="Times New Roman" w:eastAsia="Times New Roman" w:cs="Times New Roman"/>
          <w:spacing w:val="7"/>
          <w:sz w:val="23"/>
          <w:szCs w:val="23"/>
        </w:rPr>
        <w:t xml:space="preserve">16.8 </w:t>
      </w:r>
      <w:r>
        <w:rPr>
          <w:rFonts w:ascii="宋体" w:hAnsi="宋体" w:eastAsia="宋体" w:cs="宋体"/>
          <w:spacing w:val="7"/>
          <w:sz w:val="23"/>
          <w:szCs w:val="23"/>
        </w:rPr>
        <w:t>万人。沈丹铁路、高速公路贯穿境内，距</w:t>
      </w:r>
      <w:r>
        <w:rPr>
          <w:rFonts w:ascii="宋体" w:hAnsi="宋体" w:eastAsia="宋体" w:cs="宋体"/>
          <w:sz w:val="23"/>
          <w:szCs w:val="23"/>
        </w:rPr>
        <w:t xml:space="preserve"> </w:t>
      </w:r>
      <w:r>
        <w:rPr>
          <w:rFonts w:ascii="宋体" w:hAnsi="宋体" w:eastAsia="宋体" w:cs="宋体"/>
          <w:spacing w:val="12"/>
          <w:sz w:val="23"/>
          <w:szCs w:val="23"/>
        </w:rPr>
        <w:t>桃</w:t>
      </w:r>
      <w:r>
        <w:rPr>
          <w:rFonts w:ascii="宋体" w:hAnsi="宋体" w:eastAsia="宋体" w:cs="宋体"/>
          <w:spacing w:val="10"/>
          <w:sz w:val="23"/>
          <w:szCs w:val="23"/>
        </w:rPr>
        <w:t>仙</w:t>
      </w:r>
      <w:r>
        <w:rPr>
          <w:rFonts w:ascii="宋体" w:hAnsi="宋体" w:eastAsia="宋体" w:cs="宋体"/>
          <w:spacing w:val="6"/>
          <w:sz w:val="23"/>
          <w:szCs w:val="23"/>
        </w:rPr>
        <w:t xml:space="preserve">机场 </w:t>
      </w:r>
      <w:r>
        <w:rPr>
          <w:rFonts w:ascii="Times New Roman" w:hAnsi="Times New Roman" w:eastAsia="Times New Roman" w:cs="Times New Roman"/>
          <w:spacing w:val="6"/>
          <w:sz w:val="23"/>
          <w:szCs w:val="23"/>
        </w:rPr>
        <w:t xml:space="preserve">40 </w:t>
      </w:r>
      <w:r>
        <w:rPr>
          <w:rFonts w:ascii="宋体" w:hAnsi="宋体" w:eastAsia="宋体" w:cs="宋体"/>
          <w:spacing w:val="6"/>
          <w:sz w:val="23"/>
          <w:szCs w:val="23"/>
        </w:rPr>
        <w:t>公里，交通便利，具有得天独厚的地理位置。</w:t>
      </w:r>
    </w:p>
    <w:p w14:paraId="0903C684">
      <w:pPr>
        <w:spacing w:before="133" w:line="388" w:lineRule="auto"/>
        <w:ind w:left="22" w:firstLine="480"/>
        <w:rPr>
          <w:rFonts w:ascii="宋体" w:hAnsi="宋体" w:eastAsia="宋体" w:cs="宋体"/>
          <w:sz w:val="23"/>
          <w:szCs w:val="23"/>
        </w:rPr>
      </w:pPr>
      <w:r>
        <w:rPr>
          <w:rFonts w:ascii="宋体" w:hAnsi="宋体" w:eastAsia="宋体" w:cs="宋体"/>
          <w:spacing w:val="7"/>
          <w:sz w:val="23"/>
          <w:szCs w:val="23"/>
        </w:rPr>
        <w:t>溪湖区工业以钢铁、煤炭、建材为主，逐步形成电子、化工、轻工等门类</w:t>
      </w:r>
      <w:r>
        <w:rPr>
          <w:rFonts w:ascii="宋体" w:hAnsi="宋体" w:eastAsia="宋体" w:cs="宋体"/>
          <w:spacing w:val="3"/>
          <w:sz w:val="23"/>
          <w:szCs w:val="23"/>
        </w:rPr>
        <w:t>企</w:t>
      </w:r>
      <w:r>
        <w:rPr>
          <w:rFonts w:ascii="宋体" w:hAnsi="宋体" w:eastAsia="宋体" w:cs="宋体"/>
          <w:sz w:val="23"/>
          <w:szCs w:val="23"/>
        </w:rPr>
        <w:t xml:space="preserve"> </w:t>
      </w:r>
      <w:r>
        <w:rPr>
          <w:rFonts w:ascii="宋体" w:hAnsi="宋体" w:eastAsia="宋体" w:cs="宋体"/>
          <w:spacing w:val="6"/>
          <w:sz w:val="23"/>
          <w:szCs w:val="23"/>
        </w:rPr>
        <w:t>业同步发展的工业</w:t>
      </w:r>
      <w:r>
        <w:rPr>
          <w:rFonts w:ascii="宋体" w:hAnsi="宋体" w:eastAsia="宋体" w:cs="宋体"/>
          <w:spacing w:val="5"/>
          <w:sz w:val="23"/>
          <w:szCs w:val="23"/>
        </w:rPr>
        <w:t>体</w:t>
      </w:r>
      <w:r>
        <w:rPr>
          <w:rFonts w:ascii="宋体" w:hAnsi="宋体" w:eastAsia="宋体" w:cs="宋体"/>
          <w:spacing w:val="3"/>
          <w:sz w:val="23"/>
          <w:szCs w:val="23"/>
        </w:rPr>
        <w:t xml:space="preserve">系。其中有本溪湖牌 </w:t>
      </w:r>
      <w:r>
        <w:rPr>
          <w:rFonts w:ascii="Times New Roman" w:hAnsi="Times New Roman" w:eastAsia="Times New Roman" w:cs="Times New Roman"/>
          <w:spacing w:val="3"/>
          <w:sz w:val="23"/>
          <w:szCs w:val="23"/>
        </w:rPr>
        <w:t xml:space="preserve">32.5 </w:t>
      </w:r>
      <w:r>
        <w:rPr>
          <w:rFonts w:ascii="宋体" w:hAnsi="宋体" w:eastAsia="宋体" w:cs="宋体"/>
          <w:spacing w:val="3"/>
          <w:sz w:val="23"/>
          <w:szCs w:val="23"/>
        </w:rPr>
        <w:t>、</w:t>
      </w:r>
      <w:r>
        <w:rPr>
          <w:rFonts w:ascii="Times New Roman" w:hAnsi="Times New Roman" w:eastAsia="Times New Roman" w:cs="Times New Roman"/>
          <w:spacing w:val="3"/>
          <w:sz w:val="23"/>
          <w:szCs w:val="23"/>
        </w:rPr>
        <w:t xml:space="preserve">27.5 </w:t>
      </w:r>
      <w:r>
        <w:rPr>
          <w:rFonts w:ascii="宋体" w:hAnsi="宋体" w:eastAsia="宋体" w:cs="宋体"/>
          <w:spacing w:val="3"/>
          <w:sz w:val="23"/>
          <w:szCs w:val="23"/>
        </w:rPr>
        <w:t xml:space="preserve">水泥、 内 </w:t>
      </w:r>
      <w:r>
        <w:rPr>
          <w:rFonts w:ascii="Times New Roman" w:hAnsi="Times New Roman" w:eastAsia="Times New Roman" w:cs="Times New Roman"/>
          <w:sz w:val="23"/>
          <w:szCs w:val="23"/>
        </w:rPr>
        <w:t>O</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型密封装置、</w:t>
      </w:r>
      <w:r>
        <w:rPr>
          <w:rFonts w:ascii="宋体" w:hAnsi="宋体" w:eastAsia="宋体" w:cs="宋体"/>
          <w:sz w:val="23"/>
          <w:szCs w:val="23"/>
        </w:rPr>
        <w:t xml:space="preserve"> </w:t>
      </w:r>
      <w:r>
        <w:rPr>
          <w:rFonts w:ascii="宋体" w:hAnsi="宋体" w:eastAsia="宋体" w:cs="宋体"/>
          <w:spacing w:val="4"/>
          <w:sz w:val="23"/>
          <w:szCs w:val="23"/>
        </w:rPr>
        <w:t>油泵系列产品、亚砜、轻轨铁铁</w:t>
      </w:r>
      <w:r>
        <w:rPr>
          <w:rFonts w:ascii="宋体" w:hAnsi="宋体" w:eastAsia="宋体" w:cs="宋体"/>
          <w:spacing w:val="2"/>
          <w:sz w:val="23"/>
          <w:szCs w:val="23"/>
        </w:rPr>
        <w:t>路配件、彩色喷绘等十几种优质产品远销国内外。</w:t>
      </w:r>
      <w:r>
        <w:rPr>
          <w:rFonts w:ascii="宋体" w:hAnsi="宋体" w:eastAsia="宋体" w:cs="宋体"/>
          <w:sz w:val="23"/>
          <w:szCs w:val="23"/>
        </w:rPr>
        <w:t xml:space="preserve"> </w:t>
      </w:r>
      <w:r>
        <w:rPr>
          <w:rFonts w:ascii="宋体" w:hAnsi="宋体" w:eastAsia="宋体" w:cs="宋体"/>
          <w:spacing w:val="20"/>
          <w:sz w:val="23"/>
          <w:szCs w:val="23"/>
        </w:rPr>
        <w:t>农</w:t>
      </w:r>
      <w:r>
        <w:rPr>
          <w:rFonts w:ascii="宋体" w:hAnsi="宋体" w:eastAsia="宋体" w:cs="宋体"/>
          <w:spacing w:val="11"/>
          <w:sz w:val="23"/>
          <w:szCs w:val="23"/>
        </w:rPr>
        <w:t>业以畜禽、果品、蔬菜、果树、养牛、速生丰产林和乡村旅游等</w:t>
      </w:r>
      <w:r>
        <w:rPr>
          <w:rFonts w:ascii="Times New Roman" w:hAnsi="Times New Roman" w:eastAsia="Times New Roman" w:cs="Times New Roman"/>
          <w:spacing w:val="11"/>
          <w:sz w:val="23"/>
          <w:szCs w:val="23"/>
        </w:rPr>
        <w:t>“</w:t>
      </w:r>
      <w:r>
        <w:rPr>
          <w:rFonts w:ascii="宋体" w:hAnsi="宋体" w:eastAsia="宋体" w:cs="宋体"/>
          <w:spacing w:val="11"/>
          <w:sz w:val="23"/>
          <w:szCs w:val="23"/>
        </w:rPr>
        <w:t>四个基地，</w:t>
      </w:r>
      <w:r>
        <w:rPr>
          <w:rFonts w:ascii="宋体" w:hAnsi="宋体" w:eastAsia="宋体" w:cs="宋体"/>
          <w:sz w:val="23"/>
          <w:szCs w:val="23"/>
        </w:rPr>
        <w:t xml:space="preserve"> </w:t>
      </w:r>
      <w:r>
        <w:rPr>
          <w:rFonts w:ascii="宋体" w:hAnsi="宋体" w:eastAsia="宋体" w:cs="宋体"/>
          <w:spacing w:val="20"/>
          <w:sz w:val="23"/>
          <w:szCs w:val="23"/>
        </w:rPr>
        <w:t>一个</w:t>
      </w:r>
      <w:r>
        <w:rPr>
          <w:rFonts w:ascii="宋体" w:hAnsi="宋体" w:eastAsia="宋体" w:cs="宋体"/>
          <w:spacing w:val="15"/>
          <w:sz w:val="23"/>
          <w:szCs w:val="23"/>
        </w:rPr>
        <w:t>园</w:t>
      </w:r>
      <w:r>
        <w:rPr>
          <w:rFonts w:ascii="宋体" w:hAnsi="宋体" w:eastAsia="宋体" w:cs="宋体"/>
          <w:spacing w:val="10"/>
          <w:sz w:val="23"/>
          <w:szCs w:val="23"/>
        </w:rPr>
        <w:t>区</w:t>
      </w:r>
      <w:r>
        <w:rPr>
          <w:rFonts w:ascii="Times New Roman" w:hAnsi="Times New Roman" w:eastAsia="Times New Roman" w:cs="Times New Roman"/>
          <w:spacing w:val="10"/>
          <w:sz w:val="23"/>
          <w:szCs w:val="23"/>
        </w:rPr>
        <w:t>”</w:t>
      </w:r>
      <w:r>
        <w:rPr>
          <w:rFonts w:ascii="宋体" w:hAnsi="宋体" w:eastAsia="宋体" w:cs="宋体"/>
          <w:spacing w:val="10"/>
          <w:sz w:val="23"/>
          <w:szCs w:val="23"/>
        </w:rPr>
        <w:t>的农业产业发展格局。同时，以东风湖、怪石洞、后湖公园为主线的</w:t>
      </w:r>
      <w:r>
        <w:rPr>
          <w:rFonts w:ascii="宋体" w:hAnsi="宋体" w:eastAsia="宋体" w:cs="宋体"/>
          <w:sz w:val="23"/>
          <w:szCs w:val="23"/>
        </w:rPr>
        <w:t xml:space="preserve"> </w:t>
      </w:r>
      <w:r>
        <w:rPr>
          <w:rFonts w:ascii="宋体" w:hAnsi="宋体" w:eastAsia="宋体" w:cs="宋体"/>
          <w:spacing w:val="9"/>
          <w:sz w:val="23"/>
          <w:szCs w:val="23"/>
        </w:rPr>
        <w:t>城</w:t>
      </w:r>
      <w:r>
        <w:rPr>
          <w:rFonts w:ascii="宋体" w:hAnsi="宋体" w:eastAsia="宋体" w:cs="宋体"/>
          <w:spacing w:val="7"/>
          <w:sz w:val="23"/>
          <w:szCs w:val="23"/>
        </w:rPr>
        <w:t>乡特色生态旅游、庭院旅游已蓬勃发展起来，构成了山、水、林、湖、洞一体</w:t>
      </w:r>
      <w:r>
        <w:rPr>
          <w:rFonts w:ascii="宋体" w:hAnsi="宋体" w:eastAsia="宋体" w:cs="宋体"/>
          <w:sz w:val="23"/>
          <w:szCs w:val="23"/>
        </w:rPr>
        <w:t xml:space="preserve"> </w:t>
      </w:r>
      <w:r>
        <w:rPr>
          <w:rFonts w:ascii="宋体" w:hAnsi="宋体" w:eastAsia="宋体" w:cs="宋体"/>
          <w:spacing w:val="11"/>
          <w:sz w:val="23"/>
          <w:szCs w:val="23"/>
        </w:rPr>
        <w:t>的</w:t>
      </w:r>
      <w:r>
        <w:rPr>
          <w:rFonts w:ascii="宋体" w:hAnsi="宋体" w:eastAsia="宋体" w:cs="宋体"/>
          <w:spacing w:val="8"/>
          <w:sz w:val="23"/>
          <w:szCs w:val="23"/>
        </w:rPr>
        <w:t>自然风景和人文景观。</w:t>
      </w:r>
    </w:p>
    <w:p w14:paraId="6DAB9551">
      <w:pPr>
        <w:spacing w:before="137" w:line="386" w:lineRule="auto"/>
        <w:ind w:left="27" w:right="21" w:firstLine="477"/>
        <w:rPr>
          <w:rFonts w:ascii="宋体" w:hAnsi="宋体" w:eastAsia="宋体" w:cs="宋体"/>
          <w:sz w:val="23"/>
          <w:szCs w:val="23"/>
        </w:rPr>
      </w:pPr>
      <w:r>
        <w:rPr>
          <w:rFonts w:ascii="宋体" w:hAnsi="宋体" w:eastAsia="宋体" w:cs="宋体"/>
          <w:spacing w:val="19"/>
          <w:sz w:val="23"/>
          <w:szCs w:val="23"/>
        </w:rPr>
        <w:t>本</w:t>
      </w:r>
      <w:r>
        <w:rPr>
          <w:rFonts w:ascii="宋体" w:hAnsi="宋体" w:eastAsia="宋体" w:cs="宋体"/>
          <w:spacing w:val="14"/>
          <w:sz w:val="23"/>
          <w:szCs w:val="23"/>
        </w:rPr>
        <w:t>溪市地理位置优越，交通十分便捷。东与</w:t>
      </w:r>
      <w:r>
        <w:fldChar w:fldCharType="begin"/>
      </w:r>
      <w:r>
        <w:instrText xml:space="preserve"> HYPERLINK "http://baike.baidu.com/view/2659.htm" </w:instrText>
      </w:r>
      <w:r>
        <w:fldChar w:fldCharType="separate"/>
      </w:r>
      <w:r>
        <w:rPr>
          <w:rFonts w:ascii="宋体" w:hAnsi="宋体" w:eastAsia="宋体" w:cs="宋体"/>
          <w:spacing w:val="14"/>
          <w:sz w:val="23"/>
          <w:szCs w:val="23"/>
        </w:rPr>
        <w:t>吉林省</w:t>
      </w:r>
      <w:r>
        <w:rPr>
          <w:rFonts w:ascii="宋体" w:hAnsi="宋体" w:eastAsia="宋体" w:cs="宋体"/>
          <w:spacing w:val="14"/>
          <w:sz w:val="23"/>
          <w:szCs w:val="23"/>
        </w:rPr>
        <w:fldChar w:fldCharType="end"/>
      </w:r>
      <w:r>
        <w:rPr>
          <w:rFonts w:ascii="宋体" w:hAnsi="宋体" w:eastAsia="宋体" w:cs="宋体"/>
          <w:spacing w:val="14"/>
          <w:sz w:val="23"/>
          <w:szCs w:val="23"/>
        </w:rPr>
        <w:t>通化为邻，距通化市约</w:t>
      </w:r>
      <w:r>
        <w:rPr>
          <w:rFonts w:ascii="宋体" w:hAnsi="宋体" w:eastAsia="宋体" w:cs="宋体"/>
          <w:sz w:val="23"/>
          <w:szCs w:val="23"/>
        </w:rPr>
        <w:t xml:space="preserve"> </w:t>
      </w:r>
      <w:r>
        <w:rPr>
          <w:rFonts w:ascii="Times New Roman" w:hAnsi="Times New Roman" w:eastAsia="Times New Roman" w:cs="Times New Roman"/>
          <w:spacing w:val="-4"/>
          <w:sz w:val="23"/>
          <w:szCs w:val="23"/>
        </w:rPr>
        <w:t>150</w:t>
      </w:r>
      <w:r>
        <w:rPr>
          <w:rFonts w:ascii="Times New Roman" w:hAnsi="Times New Roman" w:eastAsia="Times New Roman" w:cs="Times New Roman"/>
          <w:spacing w:val="-2"/>
          <w:sz w:val="23"/>
          <w:szCs w:val="23"/>
        </w:rPr>
        <w:t>km</w:t>
      </w:r>
      <w:r>
        <w:rPr>
          <w:rFonts w:ascii="宋体" w:hAnsi="宋体" w:eastAsia="宋体" w:cs="宋体"/>
          <w:spacing w:val="-4"/>
          <w:sz w:val="23"/>
          <w:szCs w:val="23"/>
        </w:rPr>
        <w:t xml:space="preserve">；南临丹东，距丹东市约 </w:t>
      </w:r>
      <w:r>
        <w:rPr>
          <w:rFonts w:ascii="Times New Roman" w:hAnsi="Times New Roman" w:eastAsia="Times New Roman" w:cs="Times New Roman"/>
          <w:spacing w:val="-2"/>
          <w:sz w:val="23"/>
          <w:szCs w:val="23"/>
        </w:rPr>
        <w:t>193km</w:t>
      </w:r>
      <w:r>
        <w:rPr>
          <w:rFonts w:ascii="宋体" w:hAnsi="宋体" w:eastAsia="宋体" w:cs="宋体"/>
          <w:spacing w:val="-2"/>
          <w:sz w:val="23"/>
          <w:szCs w:val="23"/>
        </w:rPr>
        <w:t xml:space="preserve">；西和辽阳、鞍山接壤，距辽阳市约 </w:t>
      </w:r>
      <w:r>
        <w:rPr>
          <w:rFonts w:ascii="Times New Roman" w:hAnsi="Times New Roman" w:eastAsia="Times New Roman" w:cs="Times New Roman"/>
          <w:spacing w:val="-2"/>
          <w:sz w:val="23"/>
          <w:szCs w:val="23"/>
        </w:rPr>
        <w:t>69km</w:t>
      </w:r>
      <w:r>
        <w:rPr>
          <w:rFonts w:ascii="宋体" w:hAnsi="宋体" w:eastAsia="宋体" w:cs="宋体"/>
          <w:spacing w:val="-2"/>
          <w:sz w:val="23"/>
          <w:szCs w:val="23"/>
        </w:rPr>
        <w:t>；</w:t>
      </w:r>
      <w:r>
        <w:rPr>
          <w:rFonts w:ascii="宋体" w:hAnsi="宋体" w:eastAsia="宋体" w:cs="宋体"/>
          <w:sz w:val="23"/>
          <w:szCs w:val="23"/>
        </w:rPr>
        <w:t xml:space="preserve"> </w:t>
      </w:r>
      <w:r>
        <w:rPr>
          <w:rFonts w:ascii="宋体" w:hAnsi="宋体" w:eastAsia="宋体" w:cs="宋体"/>
          <w:spacing w:val="2"/>
          <w:sz w:val="23"/>
          <w:szCs w:val="23"/>
        </w:rPr>
        <w:t>北靠沈阳、抚顺</w:t>
      </w:r>
      <w:r>
        <w:rPr>
          <w:rFonts w:ascii="宋体" w:hAnsi="宋体" w:eastAsia="宋体" w:cs="宋体"/>
          <w:spacing w:val="1"/>
          <w:sz w:val="23"/>
          <w:szCs w:val="23"/>
        </w:rPr>
        <w:t xml:space="preserve">，距沈阳约 </w:t>
      </w:r>
      <w:r>
        <w:rPr>
          <w:rFonts w:ascii="Times New Roman" w:hAnsi="Times New Roman" w:eastAsia="Times New Roman" w:cs="Times New Roman"/>
          <w:spacing w:val="1"/>
          <w:sz w:val="23"/>
          <w:szCs w:val="23"/>
        </w:rPr>
        <w:t>63</w:t>
      </w:r>
      <w:r>
        <w:rPr>
          <w:rFonts w:ascii="Times New Roman" w:hAnsi="Times New Roman" w:eastAsia="Times New Roman" w:cs="Times New Roman"/>
          <w:sz w:val="23"/>
          <w:szCs w:val="23"/>
        </w:rPr>
        <w:t>km</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 xml:space="preserve">，距抚顺约 </w:t>
      </w:r>
      <w:r>
        <w:rPr>
          <w:rFonts w:ascii="Times New Roman" w:hAnsi="Times New Roman" w:eastAsia="Times New Roman" w:cs="Times New Roman"/>
          <w:spacing w:val="1"/>
          <w:sz w:val="23"/>
          <w:szCs w:val="23"/>
        </w:rPr>
        <w:t>79</w:t>
      </w:r>
      <w:r>
        <w:rPr>
          <w:rFonts w:ascii="Times New Roman" w:hAnsi="Times New Roman" w:eastAsia="Times New Roman" w:cs="Times New Roman"/>
          <w:sz w:val="23"/>
          <w:szCs w:val="23"/>
        </w:rPr>
        <w:t>km</w:t>
      </w:r>
      <w:r>
        <w:rPr>
          <w:rFonts w:ascii="宋体" w:hAnsi="宋体" w:eastAsia="宋体" w:cs="宋体"/>
          <w:spacing w:val="1"/>
          <w:sz w:val="23"/>
          <w:szCs w:val="23"/>
        </w:rPr>
        <w:t>。</w:t>
      </w:r>
    </w:p>
    <w:p w14:paraId="4BE08006">
      <w:pPr>
        <w:tabs>
          <w:tab w:val="left" w:pos="148"/>
        </w:tabs>
        <w:spacing w:before="152" w:line="386" w:lineRule="auto"/>
        <w:ind w:left="22" w:right="68" w:firstLine="457"/>
        <w:rPr>
          <w:rFonts w:ascii="宋体" w:hAnsi="宋体" w:eastAsia="宋体" w:cs="宋体"/>
          <w:sz w:val="23"/>
          <w:szCs w:val="23"/>
        </w:rPr>
      </w:pPr>
      <w:r>
        <w:rPr>
          <w:rFonts w:ascii="宋体" w:hAnsi="宋体" w:eastAsia="宋体" w:cs="宋体"/>
          <w:spacing w:val="1"/>
          <w:sz w:val="23"/>
          <w:szCs w:val="23"/>
        </w:rPr>
        <w:t>沈丹、本辽辽、丹通、桓永高速公路通过本溪境内，沈丹、溪辽、溪田</w:t>
      </w:r>
      <w:r>
        <w:rPr>
          <w:rFonts w:ascii="宋体" w:hAnsi="宋体" w:eastAsia="宋体" w:cs="宋体"/>
          <w:sz w:val="23"/>
          <w:szCs w:val="23"/>
        </w:rPr>
        <w:t xml:space="preserve">、通灌 </w:t>
      </w:r>
      <w:r>
        <w:rPr>
          <w:rFonts w:ascii="宋体" w:hAnsi="宋体" w:eastAsia="宋体" w:cs="宋体"/>
          <w:spacing w:val="-16"/>
          <w:sz w:val="23"/>
          <w:szCs w:val="23"/>
        </w:rPr>
        <w:t>铁路通过本</w:t>
      </w:r>
      <w:r>
        <w:rPr>
          <w:rFonts w:ascii="宋体" w:hAnsi="宋体" w:eastAsia="宋体" w:cs="宋体"/>
          <w:spacing w:val="-8"/>
          <w:sz w:val="23"/>
          <w:szCs w:val="23"/>
        </w:rPr>
        <w:t xml:space="preserve">溪境内。全市拥有各级公路 </w:t>
      </w:r>
      <w:r>
        <w:rPr>
          <w:rFonts w:ascii="Times New Roman" w:hAnsi="Times New Roman" w:eastAsia="Times New Roman" w:cs="Times New Roman"/>
          <w:spacing w:val="-8"/>
          <w:sz w:val="23"/>
          <w:szCs w:val="23"/>
        </w:rPr>
        <w:t xml:space="preserve">734 </w:t>
      </w:r>
      <w:r>
        <w:rPr>
          <w:rFonts w:ascii="宋体" w:hAnsi="宋体" w:eastAsia="宋体" w:cs="宋体"/>
          <w:spacing w:val="-8"/>
          <w:sz w:val="23"/>
          <w:szCs w:val="23"/>
        </w:rPr>
        <w:t xml:space="preserve">条 </w:t>
      </w:r>
      <w:r>
        <w:rPr>
          <w:rFonts w:ascii="Times New Roman" w:hAnsi="Times New Roman" w:eastAsia="Times New Roman" w:cs="Times New Roman"/>
          <w:spacing w:val="-8"/>
          <w:sz w:val="23"/>
          <w:szCs w:val="23"/>
        </w:rPr>
        <w:t>3907.568km</w:t>
      </w:r>
      <w:r>
        <w:rPr>
          <w:rFonts w:ascii="宋体" w:hAnsi="宋体" w:eastAsia="宋体" w:cs="宋体"/>
          <w:spacing w:val="-8"/>
          <w:sz w:val="23"/>
          <w:szCs w:val="23"/>
        </w:rPr>
        <w:t xml:space="preserve">，公路密度 </w:t>
      </w:r>
      <w:r>
        <w:rPr>
          <w:rFonts w:ascii="Times New Roman" w:hAnsi="Times New Roman" w:eastAsia="Times New Roman" w:cs="Times New Roman"/>
          <w:spacing w:val="-8"/>
          <w:sz w:val="23"/>
          <w:szCs w:val="23"/>
        </w:rPr>
        <w:t>48.94km/100km</w:t>
      </w:r>
      <w:r>
        <w:rPr>
          <w:rFonts w:ascii="Times New Roman" w:hAnsi="Times New Roman" w:eastAsia="Times New Roman" w:cs="Times New Roman"/>
          <w:spacing w:val="-8"/>
          <w:position w:val="8"/>
          <w:sz w:val="15"/>
          <w:szCs w:val="15"/>
        </w:rPr>
        <w:t>2</w:t>
      </w:r>
      <w:r>
        <w:rPr>
          <w:rFonts w:ascii="Times New Roman" w:hAnsi="Times New Roman" w:eastAsia="Times New Roman" w:cs="Times New Roman"/>
          <w:position w:val="8"/>
          <w:sz w:val="15"/>
          <w:szCs w:val="15"/>
        </w:rPr>
        <w:t xml:space="preserve"> </w:t>
      </w:r>
      <w:r>
        <w:rPr>
          <w:rFonts w:ascii="宋体" w:hAnsi="宋体" w:eastAsia="宋体" w:cs="宋体"/>
          <w:sz w:val="23"/>
          <w:szCs w:val="23"/>
        </w:rPr>
        <w:tab/>
      </w:r>
      <w:r>
        <w:rPr>
          <w:rFonts w:ascii="宋体" w:hAnsi="宋体" w:eastAsia="宋体" w:cs="宋体"/>
          <w:spacing w:val="-6"/>
          <w:sz w:val="23"/>
          <w:szCs w:val="23"/>
        </w:rPr>
        <w:t xml:space="preserve">(含高速公路 </w:t>
      </w:r>
      <w:r>
        <w:rPr>
          <w:rFonts w:ascii="Times New Roman" w:hAnsi="Times New Roman" w:eastAsia="Times New Roman" w:cs="Times New Roman"/>
          <w:spacing w:val="-6"/>
          <w:sz w:val="23"/>
          <w:szCs w:val="23"/>
        </w:rPr>
        <w:t>208.927</w:t>
      </w:r>
      <w:r>
        <w:rPr>
          <w:rFonts w:ascii="Times New Roman" w:hAnsi="Times New Roman" w:eastAsia="Times New Roman" w:cs="Times New Roman"/>
          <w:spacing w:val="-4"/>
          <w:sz w:val="23"/>
          <w:szCs w:val="23"/>
        </w:rPr>
        <w:t>k</w:t>
      </w:r>
      <w:r>
        <w:rPr>
          <w:rFonts w:ascii="Times New Roman" w:hAnsi="Times New Roman" w:eastAsia="Times New Roman" w:cs="Times New Roman"/>
          <w:sz w:val="23"/>
          <w:szCs w:val="23"/>
        </w:rPr>
        <w:t>m</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 。本溪已构建形成以一横 (本桓线) 、七纵 (沈本产业大</w:t>
      </w:r>
    </w:p>
    <w:p w14:paraId="6DF84107">
      <w:pPr>
        <w:sectPr>
          <w:headerReference r:id="rId154" w:type="default"/>
          <w:footerReference r:id="rId155" w:type="default"/>
          <w:pgSz w:w="11906" w:h="16839"/>
          <w:pgMar w:top="1132" w:right="1716" w:bottom="1180" w:left="1785" w:header="878" w:footer="1022" w:gutter="0"/>
          <w:cols w:space="720" w:num="1"/>
        </w:sectPr>
      </w:pPr>
    </w:p>
    <w:p w14:paraId="736183F9">
      <w:pPr>
        <w:spacing w:line="409" w:lineRule="auto"/>
        <w:rPr>
          <w:rFonts w:ascii="Arial"/>
          <w:sz w:val="21"/>
        </w:rPr>
      </w:pPr>
      <w:r>
        <w:pict>
          <v:shape id="_x0000_s1212" o:spid="_x0000_s1212" style="position:absolute;left:0pt;margin-left:90pt;margin-top:57.35pt;height:0.75pt;width:415.3pt;mso-position-horizontal-relative:page;mso-position-vertical-relative:page;z-index:251864064;mso-width-relative:page;mso-height-relative:page;" fillcolor="#000000" filled="t" stroked="f" coordsize="8305,15" o:allowincell="f" path="m0,0l8305,0,8305,14,0,14,0,0xe">
            <v:path/>
            <v:fill on="t" focussize="0,0"/>
            <v:stroke on="f"/>
            <v:imagedata o:title=""/>
            <o:lock v:ext="edit"/>
          </v:shape>
        </w:pict>
      </w:r>
    </w:p>
    <w:p w14:paraId="498A96DB">
      <w:pPr>
        <w:spacing w:before="74" w:line="393" w:lineRule="auto"/>
        <w:ind w:left="39" w:right="68" w:hanging="8"/>
        <w:rPr>
          <w:rFonts w:ascii="宋体" w:hAnsi="宋体" w:eastAsia="宋体" w:cs="宋体"/>
          <w:sz w:val="23"/>
          <w:szCs w:val="23"/>
        </w:rPr>
      </w:pPr>
      <w:r>
        <w:rPr>
          <w:rFonts w:ascii="宋体" w:hAnsi="宋体" w:eastAsia="宋体" w:cs="宋体"/>
          <w:spacing w:val="1"/>
          <w:sz w:val="23"/>
          <w:szCs w:val="23"/>
        </w:rPr>
        <w:t>道、沈环线、丹霍线、抚草线、铁长线、木通线、鹤大线) 、三</w:t>
      </w:r>
      <w:r>
        <w:rPr>
          <w:rFonts w:ascii="宋体" w:hAnsi="宋体" w:eastAsia="宋体" w:cs="宋体"/>
          <w:sz w:val="23"/>
          <w:szCs w:val="23"/>
        </w:rPr>
        <w:t xml:space="preserve">环 (市区旅游环线 </w:t>
      </w:r>
      <w:r>
        <w:rPr>
          <w:rFonts w:ascii="宋体" w:hAnsi="宋体" w:eastAsia="宋体" w:cs="宋体"/>
          <w:spacing w:val="-3"/>
          <w:sz w:val="23"/>
          <w:szCs w:val="23"/>
        </w:rPr>
        <w:t>公</w:t>
      </w:r>
      <w:r>
        <w:rPr>
          <w:rFonts w:ascii="宋体" w:hAnsi="宋体" w:eastAsia="宋体" w:cs="宋体"/>
          <w:spacing w:val="-2"/>
          <w:sz w:val="23"/>
          <w:szCs w:val="23"/>
        </w:rPr>
        <w:t>路、本溪县旅游环线及桓仁环湖公路) 为重点的公路交通保障体系。</w:t>
      </w:r>
    </w:p>
    <w:p w14:paraId="6AA9E982">
      <w:pPr>
        <w:spacing w:before="69" w:line="223" w:lineRule="auto"/>
        <w:ind w:left="30"/>
        <w:outlineLvl w:val="1"/>
        <w:rPr>
          <w:rFonts w:ascii="宋体" w:hAnsi="宋体" w:eastAsia="宋体" w:cs="宋体"/>
          <w:sz w:val="31"/>
          <w:szCs w:val="31"/>
        </w:rPr>
      </w:pPr>
      <w:bookmarkStart w:id="21" w:name="_bookmark22"/>
      <w:bookmarkEnd w:id="21"/>
      <w:r>
        <w:rPr>
          <w:rFonts w:ascii="Times New Roman" w:hAnsi="Times New Roman" w:eastAsia="Times New Roman" w:cs="Times New Roman"/>
          <w:b/>
          <w:bCs/>
          <w:spacing w:val="11"/>
          <w:sz w:val="31"/>
          <w:szCs w:val="31"/>
        </w:rPr>
        <w:t>4</w:t>
      </w:r>
      <w:r>
        <w:rPr>
          <w:rFonts w:ascii="Times New Roman" w:hAnsi="Times New Roman" w:eastAsia="Times New Roman" w:cs="Times New Roman"/>
          <w:b/>
          <w:bCs/>
          <w:spacing w:val="8"/>
          <w:sz w:val="31"/>
          <w:szCs w:val="31"/>
        </w:rPr>
        <w:t>.3</w:t>
      </w:r>
      <w:r>
        <w:rPr>
          <w:rFonts w:ascii="Times New Roman" w:hAnsi="Times New Roman" w:eastAsia="Times New Roman" w:cs="Times New Roman"/>
          <w:spacing w:val="8"/>
          <w:sz w:val="31"/>
          <w:szCs w:val="31"/>
        </w:rPr>
        <w:t xml:space="preserve">  </w:t>
      </w:r>
      <w:r>
        <w:rPr>
          <w:rFonts w:ascii="宋体" w:hAnsi="宋体" w:eastAsia="宋体" w:cs="宋体"/>
          <w:spacing w:val="8"/>
          <w:sz w:val="31"/>
          <w:szCs w:val="31"/>
          <w14:textOutline w14:w="5793" w14:cap="sq" w14:cmpd="sng">
            <w14:solidFill>
              <w14:srgbClr w14:val="000000"/>
            </w14:solidFill>
            <w14:prstDash w14:val="solid"/>
            <w14:bevel/>
          </w14:textOutline>
        </w:rPr>
        <w:t>环境质量现状调查与评价</w:t>
      </w:r>
    </w:p>
    <w:p w14:paraId="35672115">
      <w:pPr>
        <w:spacing w:line="251" w:lineRule="auto"/>
        <w:rPr>
          <w:rFonts w:ascii="Arial"/>
          <w:sz w:val="21"/>
        </w:rPr>
      </w:pPr>
    </w:p>
    <w:p w14:paraId="109C88ED">
      <w:pPr>
        <w:spacing w:before="75" w:line="388" w:lineRule="auto"/>
        <w:ind w:left="32" w:right="47" w:firstLine="482"/>
        <w:rPr>
          <w:rFonts w:ascii="宋体" w:hAnsi="宋体" w:eastAsia="宋体" w:cs="宋体"/>
          <w:sz w:val="23"/>
          <w:szCs w:val="23"/>
        </w:rPr>
      </w:pPr>
      <w:r>
        <w:rPr>
          <w:rFonts w:ascii="宋体" w:hAnsi="宋体" w:eastAsia="宋体" w:cs="宋体"/>
          <w:spacing w:val="12"/>
          <w:sz w:val="23"/>
          <w:szCs w:val="23"/>
        </w:rPr>
        <w:t>为</w:t>
      </w:r>
      <w:r>
        <w:rPr>
          <w:rFonts w:ascii="宋体" w:hAnsi="宋体" w:eastAsia="宋体" w:cs="宋体"/>
          <w:spacing w:val="7"/>
          <w:sz w:val="23"/>
          <w:szCs w:val="23"/>
        </w:rPr>
        <w:t>了解建设项目所在地区域环境质量状况，该项目环境空气质量现状优先采</w:t>
      </w:r>
      <w:r>
        <w:rPr>
          <w:rFonts w:ascii="宋体" w:hAnsi="宋体" w:eastAsia="宋体" w:cs="宋体"/>
          <w:sz w:val="23"/>
          <w:szCs w:val="23"/>
        </w:rPr>
        <w:t xml:space="preserve"> </w:t>
      </w:r>
      <w:r>
        <w:rPr>
          <w:rFonts w:ascii="宋体" w:hAnsi="宋体" w:eastAsia="宋体" w:cs="宋体"/>
          <w:spacing w:val="10"/>
          <w:sz w:val="23"/>
          <w:szCs w:val="23"/>
        </w:rPr>
        <w:t>用《本溪市环</w:t>
      </w:r>
      <w:r>
        <w:rPr>
          <w:rFonts w:ascii="宋体" w:hAnsi="宋体" w:eastAsia="宋体" w:cs="宋体"/>
          <w:spacing w:val="7"/>
          <w:sz w:val="23"/>
          <w:szCs w:val="23"/>
        </w:rPr>
        <w:t>境</w:t>
      </w:r>
      <w:r>
        <w:rPr>
          <w:rFonts w:ascii="宋体" w:hAnsi="宋体" w:eastAsia="宋体" w:cs="宋体"/>
          <w:spacing w:val="5"/>
          <w:sz w:val="23"/>
          <w:szCs w:val="23"/>
        </w:rPr>
        <w:t>质量简报 (</w:t>
      </w:r>
      <w:r>
        <w:rPr>
          <w:rFonts w:ascii="Times New Roman" w:hAnsi="Times New Roman" w:eastAsia="Times New Roman" w:cs="Times New Roman"/>
          <w:spacing w:val="5"/>
          <w:sz w:val="23"/>
          <w:szCs w:val="23"/>
        </w:rPr>
        <w:t xml:space="preserve">2018 </w:t>
      </w:r>
      <w:r>
        <w:rPr>
          <w:rFonts w:ascii="宋体" w:hAnsi="宋体" w:eastAsia="宋体" w:cs="宋体"/>
          <w:spacing w:val="5"/>
          <w:sz w:val="23"/>
          <w:szCs w:val="23"/>
        </w:rPr>
        <w:t xml:space="preserve">年) 》中 </w:t>
      </w:r>
      <w:r>
        <w:rPr>
          <w:rFonts w:ascii="Times New Roman" w:hAnsi="Times New Roman" w:eastAsia="Times New Roman" w:cs="Times New Roman"/>
          <w:spacing w:val="5"/>
          <w:sz w:val="23"/>
          <w:szCs w:val="23"/>
        </w:rPr>
        <w:t xml:space="preserve">2018 </w:t>
      </w:r>
      <w:r>
        <w:rPr>
          <w:rFonts w:ascii="宋体" w:hAnsi="宋体" w:eastAsia="宋体" w:cs="宋体"/>
          <w:spacing w:val="5"/>
          <w:sz w:val="23"/>
          <w:szCs w:val="23"/>
        </w:rPr>
        <w:t>年本溪市环境质量的相关数据进</w:t>
      </w:r>
      <w:r>
        <w:rPr>
          <w:rFonts w:ascii="宋体" w:hAnsi="宋体" w:eastAsia="宋体" w:cs="宋体"/>
          <w:sz w:val="23"/>
          <w:szCs w:val="23"/>
        </w:rPr>
        <w:t xml:space="preserve"> </w:t>
      </w:r>
      <w:r>
        <w:rPr>
          <w:rFonts w:ascii="宋体" w:hAnsi="宋体" w:eastAsia="宋体" w:cs="宋体"/>
          <w:spacing w:val="2"/>
          <w:sz w:val="23"/>
          <w:szCs w:val="23"/>
        </w:rPr>
        <w:t xml:space="preserve">行评价。同时委托辽宁康瑞检测有限公司于 </w:t>
      </w:r>
      <w:r>
        <w:rPr>
          <w:rFonts w:ascii="Times New Roman" w:hAnsi="Times New Roman" w:eastAsia="Times New Roman" w:cs="Times New Roman"/>
          <w:spacing w:val="2"/>
          <w:sz w:val="23"/>
          <w:szCs w:val="23"/>
        </w:rPr>
        <w:t>2019</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 xml:space="preserve">年 </w:t>
      </w:r>
      <w:r>
        <w:rPr>
          <w:rFonts w:ascii="Times New Roman" w:hAnsi="Times New Roman" w:eastAsia="Times New Roman" w:cs="Times New Roman"/>
          <w:spacing w:val="1"/>
          <w:sz w:val="23"/>
          <w:szCs w:val="23"/>
        </w:rPr>
        <w:t xml:space="preserve">06 </w:t>
      </w:r>
      <w:r>
        <w:rPr>
          <w:rFonts w:ascii="宋体" w:hAnsi="宋体" w:eastAsia="宋体" w:cs="宋体"/>
          <w:spacing w:val="1"/>
          <w:sz w:val="23"/>
          <w:szCs w:val="23"/>
        </w:rPr>
        <w:t xml:space="preserve">月 </w:t>
      </w:r>
      <w:r>
        <w:rPr>
          <w:rFonts w:ascii="Times New Roman" w:hAnsi="Times New Roman" w:eastAsia="Times New Roman" w:cs="Times New Roman"/>
          <w:spacing w:val="1"/>
          <w:sz w:val="23"/>
          <w:szCs w:val="23"/>
        </w:rPr>
        <w:t xml:space="preserve">20 </w:t>
      </w:r>
      <w:r>
        <w:rPr>
          <w:rFonts w:ascii="宋体" w:hAnsi="宋体" w:eastAsia="宋体" w:cs="宋体"/>
          <w:spacing w:val="1"/>
          <w:sz w:val="23"/>
          <w:szCs w:val="23"/>
        </w:rPr>
        <w:t xml:space="preserve">日至 </w:t>
      </w:r>
      <w:r>
        <w:rPr>
          <w:rFonts w:ascii="Times New Roman" w:hAnsi="Times New Roman" w:eastAsia="Times New Roman" w:cs="Times New Roman"/>
          <w:spacing w:val="1"/>
          <w:sz w:val="23"/>
          <w:szCs w:val="23"/>
        </w:rPr>
        <w:t xml:space="preserve">06 </w:t>
      </w:r>
      <w:r>
        <w:rPr>
          <w:rFonts w:ascii="宋体" w:hAnsi="宋体" w:eastAsia="宋体" w:cs="宋体"/>
          <w:spacing w:val="1"/>
          <w:sz w:val="23"/>
          <w:szCs w:val="23"/>
        </w:rPr>
        <w:t xml:space="preserve">月 </w:t>
      </w:r>
      <w:r>
        <w:rPr>
          <w:rFonts w:ascii="Times New Roman" w:hAnsi="Times New Roman" w:eastAsia="Times New Roman" w:cs="Times New Roman"/>
          <w:spacing w:val="1"/>
          <w:sz w:val="23"/>
          <w:szCs w:val="23"/>
        </w:rPr>
        <w:t xml:space="preserve">26 </w:t>
      </w:r>
      <w:r>
        <w:rPr>
          <w:rFonts w:ascii="宋体" w:hAnsi="宋体" w:eastAsia="宋体" w:cs="宋体"/>
          <w:spacing w:val="1"/>
          <w:sz w:val="23"/>
          <w:szCs w:val="23"/>
        </w:rPr>
        <w:t>日对</w:t>
      </w:r>
      <w:r>
        <w:rPr>
          <w:rFonts w:ascii="宋体" w:hAnsi="宋体" w:eastAsia="宋体" w:cs="宋体"/>
          <w:sz w:val="23"/>
          <w:szCs w:val="23"/>
        </w:rPr>
        <w:t xml:space="preserve"> </w:t>
      </w:r>
      <w:r>
        <w:rPr>
          <w:rFonts w:ascii="宋体" w:hAnsi="宋体" w:eastAsia="宋体" w:cs="宋体"/>
          <w:spacing w:val="8"/>
          <w:sz w:val="23"/>
          <w:szCs w:val="23"/>
        </w:rPr>
        <w:t>本地区的环境质量现状进行监测，监测项目包括环境空气、环境噪声及地下水</w:t>
      </w:r>
      <w:r>
        <w:rPr>
          <w:rFonts w:ascii="宋体" w:hAnsi="宋体" w:eastAsia="宋体" w:cs="宋体"/>
          <w:spacing w:val="7"/>
          <w:sz w:val="23"/>
          <w:szCs w:val="23"/>
        </w:rPr>
        <w:t>；</w:t>
      </w:r>
      <w:r>
        <w:rPr>
          <w:rFonts w:ascii="宋体" w:hAnsi="宋体" w:eastAsia="宋体" w:cs="宋体"/>
          <w:sz w:val="23"/>
          <w:szCs w:val="23"/>
        </w:rPr>
        <w:t xml:space="preserve"> </w:t>
      </w:r>
      <w:r>
        <w:rPr>
          <w:rFonts w:ascii="宋体" w:hAnsi="宋体" w:eastAsia="宋体" w:cs="宋体"/>
          <w:spacing w:val="2"/>
          <w:sz w:val="23"/>
          <w:szCs w:val="23"/>
        </w:rPr>
        <w:t xml:space="preserve">于 </w:t>
      </w:r>
      <w:r>
        <w:rPr>
          <w:rFonts w:ascii="Times New Roman" w:hAnsi="Times New Roman" w:eastAsia="Times New Roman" w:cs="Times New Roman"/>
          <w:spacing w:val="2"/>
          <w:sz w:val="23"/>
          <w:szCs w:val="23"/>
        </w:rPr>
        <w:t xml:space="preserve">2019 </w:t>
      </w:r>
      <w:r>
        <w:rPr>
          <w:rFonts w:ascii="宋体" w:hAnsi="宋体" w:eastAsia="宋体" w:cs="宋体"/>
          <w:spacing w:val="2"/>
          <w:sz w:val="23"/>
          <w:szCs w:val="23"/>
        </w:rPr>
        <w:t xml:space="preserve">年 </w:t>
      </w:r>
      <w:r>
        <w:rPr>
          <w:rFonts w:ascii="Times New Roman" w:hAnsi="Times New Roman" w:eastAsia="Times New Roman" w:cs="Times New Roman"/>
          <w:spacing w:val="2"/>
          <w:sz w:val="23"/>
          <w:szCs w:val="23"/>
        </w:rPr>
        <w:t xml:space="preserve">08 </w:t>
      </w:r>
      <w:r>
        <w:rPr>
          <w:rFonts w:ascii="宋体" w:hAnsi="宋体" w:eastAsia="宋体" w:cs="宋体"/>
          <w:spacing w:val="2"/>
          <w:sz w:val="23"/>
          <w:szCs w:val="23"/>
        </w:rPr>
        <w:t xml:space="preserve">月 </w:t>
      </w:r>
      <w:r>
        <w:rPr>
          <w:rFonts w:ascii="Times New Roman" w:hAnsi="Times New Roman" w:eastAsia="Times New Roman" w:cs="Times New Roman"/>
          <w:spacing w:val="2"/>
          <w:sz w:val="23"/>
          <w:szCs w:val="23"/>
        </w:rPr>
        <w:t xml:space="preserve">1 </w:t>
      </w:r>
      <w:r>
        <w:rPr>
          <w:rFonts w:ascii="宋体" w:hAnsi="宋体" w:eastAsia="宋体" w:cs="宋体"/>
          <w:spacing w:val="2"/>
          <w:sz w:val="23"/>
          <w:szCs w:val="23"/>
        </w:rPr>
        <w:t>日对本地区的土壤环境质量现状进</w:t>
      </w:r>
      <w:r>
        <w:rPr>
          <w:rFonts w:ascii="宋体" w:hAnsi="宋体" w:eastAsia="宋体" w:cs="宋体"/>
          <w:spacing w:val="1"/>
          <w:sz w:val="23"/>
          <w:szCs w:val="23"/>
        </w:rPr>
        <w:t>行了监测，建设项目监测点</w:t>
      </w:r>
      <w:r>
        <w:rPr>
          <w:rFonts w:ascii="宋体" w:hAnsi="宋体" w:eastAsia="宋体" w:cs="宋体"/>
          <w:sz w:val="23"/>
          <w:szCs w:val="23"/>
        </w:rPr>
        <w:t xml:space="preserve"> </w:t>
      </w:r>
      <w:r>
        <w:rPr>
          <w:rFonts w:ascii="宋体" w:hAnsi="宋体" w:eastAsia="宋体" w:cs="宋体"/>
          <w:spacing w:val="-7"/>
          <w:sz w:val="23"/>
          <w:szCs w:val="23"/>
        </w:rPr>
        <w:t xml:space="preserve">位图见图 </w:t>
      </w:r>
      <w:r>
        <w:rPr>
          <w:rFonts w:ascii="Times New Roman" w:hAnsi="Times New Roman" w:eastAsia="Times New Roman" w:cs="Times New Roman"/>
          <w:spacing w:val="-7"/>
          <w:sz w:val="23"/>
          <w:szCs w:val="23"/>
        </w:rPr>
        <w:t>4- 1</w:t>
      </w:r>
      <w:r>
        <w:rPr>
          <w:rFonts w:ascii="宋体" w:hAnsi="宋体" w:eastAsia="宋体" w:cs="宋体"/>
          <w:spacing w:val="-7"/>
          <w:sz w:val="23"/>
          <w:szCs w:val="23"/>
        </w:rPr>
        <w:t>。</w:t>
      </w:r>
    </w:p>
    <w:p w14:paraId="7317C30D">
      <w:pPr>
        <w:spacing w:before="85" w:line="224" w:lineRule="auto"/>
        <w:ind w:left="30"/>
        <w:outlineLvl w:val="2"/>
        <w:rPr>
          <w:rFonts w:ascii="宋体" w:hAnsi="宋体" w:eastAsia="宋体" w:cs="宋体"/>
          <w:sz w:val="29"/>
          <w:szCs w:val="29"/>
        </w:rPr>
      </w:pPr>
      <w:r>
        <w:rPr>
          <w:rFonts w:ascii="Times New Roman" w:hAnsi="Times New Roman" w:eastAsia="Times New Roman" w:cs="Times New Roman"/>
          <w:b/>
          <w:bCs/>
          <w:spacing w:val="8"/>
          <w:sz w:val="29"/>
          <w:szCs w:val="29"/>
        </w:rPr>
        <w:t>4.3.1</w:t>
      </w:r>
      <w:r>
        <w:rPr>
          <w:rFonts w:ascii="Times New Roman" w:hAnsi="Times New Roman" w:eastAsia="Times New Roman" w:cs="Times New Roman"/>
          <w:spacing w:val="8"/>
          <w:sz w:val="29"/>
          <w:szCs w:val="29"/>
        </w:rPr>
        <w:t xml:space="preserve">  </w:t>
      </w:r>
      <w:r>
        <w:rPr>
          <w:rFonts w:ascii="宋体" w:hAnsi="宋体" w:eastAsia="宋体" w:cs="宋体"/>
          <w:spacing w:val="8"/>
          <w:sz w:val="29"/>
          <w:szCs w:val="29"/>
          <w14:textOutline w14:w="5448" w14:cap="sq" w14:cmpd="sng">
            <w14:solidFill>
              <w14:srgbClr w14:val="000000"/>
            </w14:solidFill>
            <w14:prstDash w14:val="solid"/>
            <w14:bevel/>
          </w14:textOutline>
        </w:rPr>
        <w:t>环境空气质量现状监测与评价</w:t>
      </w:r>
    </w:p>
    <w:p w14:paraId="54BFEA0B">
      <w:pPr>
        <w:spacing w:line="260" w:lineRule="auto"/>
        <w:rPr>
          <w:rFonts w:ascii="Arial"/>
          <w:sz w:val="21"/>
        </w:rPr>
      </w:pPr>
    </w:p>
    <w:p w14:paraId="22829A83">
      <w:pPr>
        <w:spacing w:before="75" w:line="389" w:lineRule="auto"/>
        <w:ind w:left="30" w:right="80" w:firstLine="481"/>
        <w:rPr>
          <w:rFonts w:ascii="宋体" w:hAnsi="宋体" w:eastAsia="宋体" w:cs="宋体"/>
          <w:sz w:val="23"/>
          <w:szCs w:val="23"/>
        </w:rPr>
      </w:pPr>
      <w:r>
        <w:rPr>
          <w:rFonts w:ascii="宋体" w:hAnsi="宋体" w:eastAsia="宋体" w:cs="宋体"/>
          <w:spacing w:val="12"/>
          <w:sz w:val="23"/>
          <w:szCs w:val="23"/>
        </w:rPr>
        <w:t>根据</w:t>
      </w:r>
      <w:r>
        <w:rPr>
          <w:rFonts w:ascii="宋体" w:hAnsi="宋体" w:eastAsia="宋体" w:cs="宋体"/>
          <w:spacing w:val="11"/>
          <w:sz w:val="23"/>
          <w:szCs w:val="23"/>
        </w:rPr>
        <w:t>前</w:t>
      </w:r>
      <w:r>
        <w:rPr>
          <w:rFonts w:ascii="宋体" w:hAnsi="宋体" w:eastAsia="宋体" w:cs="宋体"/>
          <w:spacing w:val="6"/>
          <w:sz w:val="23"/>
          <w:szCs w:val="23"/>
        </w:rPr>
        <w:t>文确定该项目大气环境影响评价等级为二级，</w:t>
      </w:r>
      <w:r>
        <w:rPr>
          <w:rFonts w:ascii="Times New Roman" w:hAnsi="Times New Roman" w:eastAsia="Times New Roman" w:cs="Times New Roman"/>
          <w:sz w:val="23"/>
          <w:szCs w:val="23"/>
        </w:rPr>
        <w:t>HJ</w:t>
      </w:r>
      <w:r>
        <w:rPr>
          <w:rFonts w:ascii="Times New Roman" w:hAnsi="Times New Roman" w:eastAsia="Times New Roman" w:cs="Times New Roman"/>
          <w:spacing w:val="6"/>
          <w:sz w:val="23"/>
          <w:szCs w:val="23"/>
        </w:rPr>
        <w:t xml:space="preserve">2.2-2018 </w:t>
      </w:r>
      <w:r>
        <w:rPr>
          <w:rFonts w:ascii="宋体" w:hAnsi="宋体" w:eastAsia="宋体" w:cs="宋体"/>
          <w:spacing w:val="6"/>
          <w:sz w:val="23"/>
          <w:szCs w:val="23"/>
        </w:rPr>
        <w:t>规定环境空</w:t>
      </w:r>
      <w:r>
        <w:rPr>
          <w:rFonts w:ascii="宋体" w:hAnsi="宋体" w:eastAsia="宋体" w:cs="宋体"/>
          <w:sz w:val="23"/>
          <w:szCs w:val="23"/>
        </w:rPr>
        <w:t xml:space="preserve"> </w:t>
      </w:r>
      <w:r>
        <w:rPr>
          <w:rFonts w:ascii="宋体" w:hAnsi="宋体" w:eastAsia="宋体" w:cs="宋体"/>
          <w:spacing w:val="14"/>
          <w:sz w:val="23"/>
          <w:szCs w:val="23"/>
        </w:rPr>
        <w:t>气质量现状调查与评价二级评价项目调查内容为①调查项目所在区域环境质量</w:t>
      </w:r>
      <w:r>
        <w:rPr>
          <w:rFonts w:ascii="宋体" w:hAnsi="宋体" w:eastAsia="宋体" w:cs="宋体"/>
          <w:sz w:val="23"/>
          <w:szCs w:val="23"/>
        </w:rPr>
        <w:t xml:space="preserve"> </w:t>
      </w:r>
      <w:r>
        <w:rPr>
          <w:rFonts w:ascii="宋体" w:hAnsi="宋体" w:eastAsia="宋体" w:cs="宋体"/>
          <w:spacing w:val="16"/>
          <w:sz w:val="23"/>
          <w:szCs w:val="23"/>
        </w:rPr>
        <w:t>达</w:t>
      </w:r>
      <w:r>
        <w:rPr>
          <w:rFonts w:ascii="宋体" w:hAnsi="宋体" w:eastAsia="宋体" w:cs="宋体"/>
          <w:spacing w:val="14"/>
          <w:sz w:val="23"/>
          <w:szCs w:val="23"/>
        </w:rPr>
        <w:t>标情况②调查评价范围内有环境质量标准的评价因子的环境质量监测数据或</w:t>
      </w:r>
      <w:r>
        <w:rPr>
          <w:rFonts w:ascii="宋体" w:hAnsi="宋体" w:eastAsia="宋体" w:cs="宋体"/>
          <w:sz w:val="23"/>
          <w:szCs w:val="23"/>
        </w:rPr>
        <w:t xml:space="preserve"> </w:t>
      </w:r>
      <w:r>
        <w:rPr>
          <w:rFonts w:ascii="宋体" w:hAnsi="宋体" w:eastAsia="宋体" w:cs="宋体"/>
          <w:spacing w:val="18"/>
          <w:sz w:val="23"/>
          <w:szCs w:val="23"/>
        </w:rPr>
        <w:t>进</w:t>
      </w:r>
      <w:r>
        <w:rPr>
          <w:rFonts w:ascii="宋体" w:hAnsi="宋体" w:eastAsia="宋体" w:cs="宋体"/>
          <w:spacing w:val="9"/>
          <w:sz w:val="23"/>
          <w:szCs w:val="23"/>
        </w:rPr>
        <w:t>行补充监测，用于评价项目所在区域污染物环境质量现状。</w:t>
      </w:r>
    </w:p>
    <w:p w14:paraId="6D287A3F">
      <w:pPr>
        <w:spacing w:before="100" w:line="221" w:lineRule="auto"/>
        <w:ind w:left="30"/>
        <w:outlineLvl w:val="3"/>
        <w:rPr>
          <w:rFonts w:ascii="宋体" w:hAnsi="宋体" w:eastAsia="宋体" w:cs="宋体"/>
          <w:sz w:val="28"/>
          <w:szCs w:val="28"/>
        </w:rPr>
      </w:pPr>
      <w:r>
        <w:rPr>
          <w:rFonts w:ascii="Times New Roman" w:hAnsi="Times New Roman" w:eastAsia="Times New Roman" w:cs="Times New Roman"/>
          <w:b/>
          <w:bCs/>
          <w:spacing w:val="16"/>
          <w:sz w:val="28"/>
          <w:szCs w:val="28"/>
        </w:rPr>
        <w:t>4</w:t>
      </w:r>
      <w:r>
        <w:rPr>
          <w:rFonts w:ascii="Times New Roman" w:hAnsi="Times New Roman" w:eastAsia="Times New Roman" w:cs="Times New Roman"/>
          <w:b/>
          <w:bCs/>
          <w:spacing w:val="14"/>
          <w:sz w:val="28"/>
          <w:szCs w:val="28"/>
        </w:rPr>
        <w:t>.</w:t>
      </w:r>
      <w:r>
        <w:rPr>
          <w:rFonts w:ascii="Times New Roman" w:hAnsi="Times New Roman" w:eastAsia="Times New Roman" w:cs="Times New Roman"/>
          <w:b/>
          <w:bCs/>
          <w:spacing w:val="8"/>
          <w:sz w:val="28"/>
          <w:szCs w:val="28"/>
        </w:rPr>
        <w:t>3.1.1</w:t>
      </w:r>
      <w:r>
        <w:rPr>
          <w:rFonts w:ascii="Times New Roman" w:hAnsi="Times New Roman" w:eastAsia="Times New Roman" w:cs="Times New Roman"/>
          <w:spacing w:val="8"/>
          <w:sz w:val="28"/>
          <w:szCs w:val="28"/>
        </w:rPr>
        <w:t xml:space="preserve">  </w:t>
      </w:r>
      <w:r>
        <w:rPr>
          <w:rFonts w:ascii="宋体" w:hAnsi="宋体" w:eastAsia="宋体" w:cs="宋体"/>
          <w:spacing w:val="8"/>
          <w:sz w:val="28"/>
          <w:szCs w:val="28"/>
          <w14:textOutline w14:w="5103" w14:cap="sq" w14:cmpd="sng">
            <w14:solidFill>
              <w14:srgbClr w14:val="000000"/>
            </w14:solidFill>
            <w14:prstDash w14:val="solid"/>
            <w14:bevel/>
          </w14:textOutline>
        </w:rPr>
        <w:t>区域环境质量达标情况</w:t>
      </w:r>
    </w:p>
    <w:p w14:paraId="4677D1BF">
      <w:pPr>
        <w:spacing w:line="259" w:lineRule="auto"/>
        <w:rPr>
          <w:rFonts w:ascii="Arial"/>
          <w:sz w:val="21"/>
        </w:rPr>
      </w:pPr>
    </w:p>
    <w:p w14:paraId="1935465D">
      <w:pPr>
        <w:spacing w:before="75" w:line="389" w:lineRule="auto"/>
        <w:ind w:left="35" w:right="73" w:firstLine="477"/>
        <w:rPr>
          <w:rFonts w:ascii="宋体" w:hAnsi="宋体" w:eastAsia="宋体" w:cs="宋体"/>
          <w:sz w:val="23"/>
          <w:szCs w:val="23"/>
        </w:rPr>
      </w:pPr>
      <w:r>
        <w:rPr>
          <w:rFonts w:ascii="宋体" w:hAnsi="宋体" w:eastAsia="宋体" w:cs="宋体"/>
          <w:spacing w:val="18"/>
          <w:sz w:val="23"/>
          <w:szCs w:val="23"/>
        </w:rPr>
        <w:t>根据</w:t>
      </w:r>
      <w:r>
        <w:rPr>
          <w:rFonts w:ascii="宋体" w:hAnsi="宋体" w:eastAsia="宋体" w:cs="宋体"/>
          <w:spacing w:val="12"/>
          <w:sz w:val="23"/>
          <w:szCs w:val="23"/>
        </w:rPr>
        <w:t xml:space="preserve"> </w:t>
      </w:r>
      <w:r>
        <w:rPr>
          <w:rFonts w:ascii="Times New Roman" w:hAnsi="Times New Roman" w:eastAsia="Times New Roman" w:cs="Times New Roman"/>
          <w:sz w:val="23"/>
          <w:szCs w:val="23"/>
        </w:rPr>
        <w:t>HJ</w:t>
      </w:r>
      <w:r>
        <w:rPr>
          <w:rFonts w:ascii="Times New Roman" w:hAnsi="Times New Roman" w:eastAsia="Times New Roman" w:cs="Times New Roman"/>
          <w:spacing w:val="9"/>
          <w:sz w:val="23"/>
          <w:szCs w:val="23"/>
        </w:rPr>
        <w:t xml:space="preserve">2.2-2018 </w:t>
      </w:r>
      <w:r>
        <w:rPr>
          <w:rFonts w:ascii="宋体" w:hAnsi="宋体" w:eastAsia="宋体" w:cs="宋体"/>
          <w:spacing w:val="9"/>
          <w:sz w:val="23"/>
          <w:szCs w:val="23"/>
        </w:rPr>
        <w:t>要求，用于区域环境质量达标情况评价的污染物为基本污</w:t>
      </w:r>
      <w:r>
        <w:rPr>
          <w:rFonts w:ascii="宋体" w:hAnsi="宋体" w:eastAsia="宋体" w:cs="宋体"/>
          <w:sz w:val="23"/>
          <w:szCs w:val="23"/>
        </w:rPr>
        <w:t xml:space="preserve"> </w:t>
      </w:r>
      <w:r>
        <w:rPr>
          <w:rFonts w:ascii="宋体" w:hAnsi="宋体" w:eastAsia="宋体" w:cs="宋体"/>
          <w:spacing w:val="4"/>
          <w:sz w:val="23"/>
          <w:szCs w:val="23"/>
        </w:rPr>
        <w:t>染物</w:t>
      </w:r>
      <w:r>
        <w:rPr>
          <w:rFonts w:ascii="宋体" w:hAnsi="宋体" w:eastAsia="宋体" w:cs="宋体"/>
          <w:spacing w:val="2"/>
          <w:sz w:val="23"/>
          <w:szCs w:val="23"/>
        </w:rPr>
        <w:t xml:space="preserve">，基本污染物为 </w:t>
      </w:r>
      <w:r>
        <w:rPr>
          <w:rFonts w:ascii="Times New Roman" w:hAnsi="Times New Roman" w:eastAsia="Times New Roman" w:cs="Times New Roman"/>
          <w:sz w:val="23"/>
          <w:szCs w:val="23"/>
        </w:rPr>
        <w:t>SO</w:t>
      </w:r>
      <w:r>
        <w:rPr>
          <w:rFonts w:ascii="Times New Roman" w:hAnsi="Times New Roman" w:eastAsia="Times New Roman" w:cs="Times New Roman"/>
          <w:spacing w:val="2"/>
          <w:position w:val="-1"/>
          <w:sz w:val="15"/>
          <w:szCs w:val="15"/>
        </w:rPr>
        <w:t xml:space="preserve">2 </w:t>
      </w:r>
      <w:r>
        <w:rPr>
          <w:rFonts w:ascii="宋体" w:hAnsi="宋体" w:eastAsia="宋体" w:cs="宋体"/>
          <w:spacing w:val="2"/>
          <w:sz w:val="23"/>
          <w:szCs w:val="23"/>
        </w:rPr>
        <w:t>、</w:t>
      </w:r>
      <w:r>
        <w:rPr>
          <w:rFonts w:ascii="Times New Roman" w:hAnsi="Times New Roman" w:eastAsia="Times New Roman" w:cs="Times New Roman"/>
          <w:sz w:val="23"/>
          <w:szCs w:val="23"/>
        </w:rPr>
        <w:t>NO</w:t>
      </w:r>
      <w:r>
        <w:rPr>
          <w:rFonts w:ascii="Times New Roman" w:hAnsi="Times New Roman" w:eastAsia="Times New Roman" w:cs="Times New Roman"/>
          <w:spacing w:val="2"/>
          <w:position w:val="-1"/>
          <w:sz w:val="15"/>
          <w:szCs w:val="15"/>
        </w:rPr>
        <w:t xml:space="preserve">2 </w:t>
      </w:r>
      <w:r>
        <w:rPr>
          <w:rFonts w:ascii="宋体" w:hAnsi="宋体" w:eastAsia="宋体" w:cs="宋体"/>
          <w:spacing w:val="2"/>
          <w:sz w:val="23"/>
          <w:szCs w:val="23"/>
        </w:rPr>
        <w:t>、</w:t>
      </w:r>
      <w:r>
        <w:rPr>
          <w:rFonts w:ascii="Times New Roman" w:hAnsi="Times New Roman" w:eastAsia="Times New Roman" w:cs="Times New Roman"/>
          <w:sz w:val="23"/>
          <w:szCs w:val="23"/>
        </w:rPr>
        <w:t>PM</w:t>
      </w:r>
      <w:r>
        <w:rPr>
          <w:rFonts w:ascii="Times New Roman" w:hAnsi="Times New Roman" w:eastAsia="Times New Roman" w:cs="Times New Roman"/>
          <w:spacing w:val="2"/>
          <w:position w:val="-1"/>
          <w:sz w:val="15"/>
          <w:szCs w:val="15"/>
        </w:rPr>
        <w:t xml:space="preserve">10 </w:t>
      </w:r>
      <w:r>
        <w:rPr>
          <w:rFonts w:ascii="宋体" w:hAnsi="宋体" w:eastAsia="宋体" w:cs="宋体"/>
          <w:spacing w:val="2"/>
          <w:sz w:val="23"/>
          <w:szCs w:val="23"/>
        </w:rPr>
        <w:t>、</w:t>
      </w:r>
      <w:r>
        <w:rPr>
          <w:rFonts w:ascii="Times New Roman" w:hAnsi="Times New Roman" w:eastAsia="Times New Roman" w:cs="Times New Roman"/>
          <w:sz w:val="23"/>
          <w:szCs w:val="23"/>
        </w:rPr>
        <w:t>PM</w:t>
      </w:r>
      <w:r>
        <w:rPr>
          <w:rFonts w:ascii="Times New Roman" w:hAnsi="Times New Roman" w:eastAsia="Times New Roman" w:cs="Times New Roman"/>
          <w:spacing w:val="2"/>
          <w:position w:val="-1"/>
          <w:sz w:val="15"/>
          <w:szCs w:val="15"/>
        </w:rPr>
        <w:t xml:space="preserve">2.5 </w:t>
      </w:r>
      <w:r>
        <w:rPr>
          <w:rFonts w:ascii="宋体" w:hAnsi="宋体" w:eastAsia="宋体" w:cs="宋体"/>
          <w:spacing w:val="2"/>
          <w:sz w:val="23"/>
          <w:szCs w:val="23"/>
        </w:rPr>
        <w:t>、</w:t>
      </w:r>
      <w:r>
        <w:rPr>
          <w:rFonts w:ascii="Times New Roman" w:hAnsi="Times New Roman" w:eastAsia="Times New Roman" w:cs="Times New Roman"/>
          <w:sz w:val="23"/>
          <w:szCs w:val="23"/>
        </w:rPr>
        <w:t>CO</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w:t>
      </w:r>
      <w:r>
        <w:rPr>
          <w:rFonts w:ascii="Times New Roman" w:hAnsi="Times New Roman" w:eastAsia="Times New Roman" w:cs="Times New Roman"/>
          <w:sz w:val="23"/>
          <w:szCs w:val="23"/>
        </w:rPr>
        <w:t>O</w:t>
      </w:r>
      <w:r>
        <w:rPr>
          <w:rFonts w:ascii="Times New Roman" w:hAnsi="Times New Roman" w:eastAsia="Times New Roman" w:cs="Times New Roman"/>
          <w:spacing w:val="2"/>
          <w:position w:val="-1"/>
          <w:sz w:val="15"/>
          <w:szCs w:val="15"/>
        </w:rPr>
        <w:t xml:space="preserve">3 </w:t>
      </w:r>
      <w:r>
        <w:rPr>
          <w:rFonts w:ascii="宋体" w:hAnsi="宋体" w:eastAsia="宋体" w:cs="宋体"/>
          <w:spacing w:val="2"/>
          <w:sz w:val="23"/>
          <w:szCs w:val="23"/>
        </w:rPr>
        <w:t>。项目所在区域达标判</w:t>
      </w:r>
      <w:r>
        <w:rPr>
          <w:rFonts w:ascii="宋体" w:hAnsi="宋体" w:eastAsia="宋体" w:cs="宋体"/>
          <w:sz w:val="23"/>
          <w:szCs w:val="23"/>
        </w:rPr>
        <w:t xml:space="preserve"> </w:t>
      </w:r>
      <w:r>
        <w:rPr>
          <w:rFonts w:ascii="宋体" w:hAnsi="宋体" w:eastAsia="宋体" w:cs="宋体"/>
          <w:spacing w:val="7"/>
          <w:sz w:val="23"/>
          <w:szCs w:val="23"/>
        </w:rPr>
        <w:t>定，优先采用国家或地方生态环境主管部门公开发布的评价基准年环境质量公</w:t>
      </w:r>
      <w:r>
        <w:rPr>
          <w:rFonts w:ascii="宋体" w:hAnsi="宋体" w:eastAsia="宋体" w:cs="宋体"/>
          <w:spacing w:val="6"/>
          <w:sz w:val="23"/>
          <w:szCs w:val="23"/>
        </w:rPr>
        <w:t>告</w:t>
      </w:r>
      <w:r>
        <w:rPr>
          <w:rFonts w:ascii="宋体" w:hAnsi="宋体" w:eastAsia="宋体" w:cs="宋体"/>
          <w:sz w:val="23"/>
          <w:szCs w:val="23"/>
        </w:rPr>
        <w:t xml:space="preserve"> </w:t>
      </w:r>
      <w:r>
        <w:rPr>
          <w:rFonts w:ascii="宋体" w:hAnsi="宋体" w:eastAsia="宋体" w:cs="宋体"/>
          <w:spacing w:val="15"/>
          <w:sz w:val="23"/>
          <w:szCs w:val="23"/>
        </w:rPr>
        <w:t>或</w:t>
      </w:r>
      <w:r>
        <w:rPr>
          <w:rFonts w:ascii="宋体" w:hAnsi="宋体" w:eastAsia="宋体" w:cs="宋体"/>
          <w:spacing w:val="8"/>
          <w:sz w:val="23"/>
          <w:szCs w:val="23"/>
        </w:rPr>
        <w:t>环境质量报告中的数据或结论。</w:t>
      </w:r>
    </w:p>
    <w:p w14:paraId="444046F4">
      <w:pPr>
        <w:spacing w:before="138" w:line="390" w:lineRule="auto"/>
        <w:ind w:left="31" w:firstLine="481"/>
        <w:rPr>
          <w:rFonts w:ascii="宋体" w:hAnsi="宋体" w:eastAsia="宋体" w:cs="宋体"/>
          <w:sz w:val="23"/>
          <w:szCs w:val="23"/>
        </w:rPr>
      </w:pPr>
      <w:r>
        <w:rPr>
          <w:rFonts w:ascii="宋体" w:hAnsi="宋体" w:eastAsia="宋体" w:cs="宋体"/>
          <w:spacing w:val="10"/>
          <w:sz w:val="23"/>
          <w:szCs w:val="23"/>
        </w:rPr>
        <w:t>本次评价</w:t>
      </w:r>
      <w:r>
        <w:rPr>
          <w:rFonts w:ascii="宋体" w:hAnsi="宋体" w:eastAsia="宋体" w:cs="宋体"/>
          <w:spacing w:val="6"/>
          <w:sz w:val="23"/>
          <w:szCs w:val="23"/>
        </w:rPr>
        <w:t>优</w:t>
      </w:r>
      <w:r>
        <w:rPr>
          <w:rFonts w:ascii="宋体" w:hAnsi="宋体" w:eastAsia="宋体" w:cs="宋体"/>
          <w:spacing w:val="5"/>
          <w:sz w:val="23"/>
          <w:szCs w:val="23"/>
        </w:rPr>
        <w:t>先采用《本溪市环境质量简报 (</w:t>
      </w:r>
      <w:r>
        <w:rPr>
          <w:rFonts w:ascii="Times New Roman" w:hAnsi="Times New Roman" w:eastAsia="Times New Roman" w:cs="Times New Roman"/>
          <w:spacing w:val="5"/>
          <w:sz w:val="23"/>
          <w:szCs w:val="23"/>
        </w:rPr>
        <w:t xml:space="preserve">2018 </w:t>
      </w:r>
      <w:r>
        <w:rPr>
          <w:rFonts w:ascii="宋体" w:hAnsi="宋体" w:eastAsia="宋体" w:cs="宋体"/>
          <w:spacing w:val="5"/>
          <w:sz w:val="23"/>
          <w:szCs w:val="23"/>
        </w:rPr>
        <w:t xml:space="preserve">年) 》中 </w:t>
      </w:r>
      <w:r>
        <w:rPr>
          <w:rFonts w:ascii="Times New Roman" w:hAnsi="Times New Roman" w:eastAsia="Times New Roman" w:cs="Times New Roman"/>
          <w:spacing w:val="5"/>
          <w:sz w:val="23"/>
          <w:szCs w:val="23"/>
        </w:rPr>
        <w:t xml:space="preserve">2018 </w:t>
      </w:r>
      <w:r>
        <w:rPr>
          <w:rFonts w:ascii="宋体" w:hAnsi="宋体" w:eastAsia="宋体" w:cs="宋体"/>
          <w:spacing w:val="5"/>
          <w:sz w:val="23"/>
          <w:szCs w:val="23"/>
        </w:rPr>
        <w:t>年本溪市环</w:t>
      </w:r>
      <w:r>
        <w:rPr>
          <w:rFonts w:ascii="宋体" w:hAnsi="宋体" w:eastAsia="宋体" w:cs="宋体"/>
          <w:sz w:val="23"/>
          <w:szCs w:val="23"/>
        </w:rPr>
        <w:t xml:space="preserve"> </w:t>
      </w:r>
      <w:r>
        <w:rPr>
          <w:rFonts w:ascii="宋体" w:hAnsi="宋体" w:eastAsia="宋体" w:cs="宋体"/>
          <w:spacing w:val="4"/>
          <w:sz w:val="23"/>
          <w:szCs w:val="23"/>
        </w:rPr>
        <w:t>境质量的相关数据进行评价，</w:t>
      </w:r>
      <w:r>
        <w:rPr>
          <w:rFonts w:ascii="宋体" w:hAnsi="宋体" w:eastAsia="宋体" w:cs="宋体"/>
          <w:spacing w:val="3"/>
          <w:sz w:val="23"/>
          <w:szCs w:val="23"/>
        </w:rPr>
        <w:t>监</w:t>
      </w:r>
      <w:r>
        <w:rPr>
          <w:rFonts w:ascii="宋体" w:hAnsi="宋体" w:eastAsia="宋体" w:cs="宋体"/>
          <w:spacing w:val="2"/>
          <w:sz w:val="23"/>
          <w:szCs w:val="23"/>
        </w:rPr>
        <w:t xml:space="preserve">测项目为 </w:t>
      </w:r>
      <w:r>
        <w:rPr>
          <w:rFonts w:ascii="Times New Roman" w:hAnsi="Times New Roman" w:eastAsia="Times New Roman" w:cs="Times New Roman"/>
          <w:sz w:val="23"/>
          <w:szCs w:val="23"/>
        </w:rPr>
        <w:t>SO</w:t>
      </w:r>
      <w:r>
        <w:rPr>
          <w:rFonts w:ascii="Times New Roman" w:hAnsi="Times New Roman" w:eastAsia="Times New Roman" w:cs="Times New Roman"/>
          <w:spacing w:val="2"/>
          <w:position w:val="-1"/>
          <w:sz w:val="15"/>
          <w:szCs w:val="15"/>
        </w:rPr>
        <w:t xml:space="preserve">2 </w:t>
      </w:r>
      <w:r>
        <w:rPr>
          <w:rFonts w:ascii="宋体" w:hAnsi="宋体" w:eastAsia="宋体" w:cs="宋体"/>
          <w:spacing w:val="2"/>
          <w:sz w:val="23"/>
          <w:szCs w:val="23"/>
        </w:rPr>
        <w:t>、</w:t>
      </w:r>
      <w:r>
        <w:rPr>
          <w:rFonts w:ascii="Times New Roman" w:hAnsi="Times New Roman" w:eastAsia="Times New Roman" w:cs="Times New Roman"/>
          <w:sz w:val="23"/>
          <w:szCs w:val="23"/>
        </w:rPr>
        <w:t>NO</w:t>
      </w:r>
      <w:r>
        <w:rPr>
          <w:rFonts w:ascii="Times New Roman" w:hAnsi="Times New Roman" w:eastAsia="Times New Roman" w:cs="Times New Roman"/>
          <w:spacing w:val="2"/>
          <w:position w:val="-1"/>
          <w:sz w:val="15"/>
          <w:szCs w:val="15"/>
        </w:rPr>
        <w:t xml:space="preserve">2 </w:t>
      </w:r>
      <w:r>
        <w:rPr>
          <w:rFonts w:ascii="宋体" w:hAnsi="宋体" w:eastAsia="宋体" w:cs="宋体"/>
          <w:spacing w:val="2"/>
          <w:sz w:val="23"/>
          <w:szCs w:val="23"/>
        </w:rPr>
        <w:t>、</w:t>
      </w:r>
      <w:r>
        <w:rPr>
          <w:rFonts w:ascii="Times New Roman" w:hAnsi="Times New Roman" w:eastAsia="Times New Roman" w:cs="Times New Roman"/>
          <w:sz w:val="23"/>
          <w:szCs w:val="23"/>
        </w:rPr>
        <w:t>PM</w:t>
      </w:r>
      <w:r>
        <w:rPr>
          <w:rFonts w:ascii="Times New Roman" w:hAnsi="Times New Roman" w:eastAsia="Times New Roman" w:cs="Times New Roman"/>
          <w:spacing w:val="2"/>
          <w:position w:val="-1"/>
          <w:sz w:val="15"/>
          <w:szCs w:val="15"/>
        </w:rPr>
        <w:t xml:space="preserve">10 </w:t>
      </w:r>
      <w:r>
        <w:rPr>
          <w:rFonts w:ascii="宋体" w:hAnsi="宋体" w:eastAsia="宋体" w:cs="宋体"/>
          <w:spacing w:val="2"/>
          <w:sz w:val="23"/>
          <w:szCs w:val="23"/>
        </w:rPr>
        <w:t>、</w:t>
      </w:r>
      <w:r>
        <w:rPr>
          <w:rFonts w:ascii="Times New Roman" w:hAnsi="Times New Roman" w:eastAsia="Times New Roman" w:cs="Times New Roman"/>
          <w:sz w:val="23"/>
          <w:szCs w:val="23"/>
        </w:rPr>
        <w:t>PM</w:t>
      </w:r>
      <w:r>
        <w:rPr>
          <w:rFonts w:ascii="Times New Roman" w:hAnsi="Times New Roman" w:eastAsia="Times New Roman" w:cs="Times New Roman"/>
          <w:spacing w:val="2"/>
          <w:position w:val="-1"/>
          <w:sz w:val="15"/>
          <w:szCs w:val="15"/>
        </w:rPr>
        <w:t xml:space="preserve">2.5 </w:t>
      </w:r>
      <w:r>
        <w:rPr>
          <w:rFonts w:ascii="宋体" w:hAnsi="宋体" w:eastAsia="宋体" w:cs="宋体"/>
          <w:spacing w:val="2"/>
          <w:sz w:val="23"/>
          <w:szCs w:val="23"/>
        </w:rPr>
        <w:t>、</w:t>
      </w:r>
      <w:r>
        <w:rPr>
          <w:rFonts w:ascii="Times New Roman" w:hAnsi="Times New Roman" w:eastAsia="Times New Roman" w:cs="Times New Roman"/>
          <w:sz w:val="23"/>
          <w:szCs w:val="23"/>
        </w:rPr>
        <w:t>CO</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w:t>
      </w:r>
      <w:r>
        <w:rPr>
          <w:rFonts w:ascii="Times New Roman" w:hAnsi="Times New Roman" w:eastAsia="Times New Roman" w:cs="Times New Roman"/>
          <w:sz w:val="23"/>
          <w:szCs w:val="23"/>
        </w:rPr>
        <w:t>O</w:t>
      </w:r>
      <w:r>
        <w:rPr>
          <w:rFonts w:ascii="Times New Roman" w:hAnsi="Times New Roman" w:eastAsia="Times New Roman" w:cs="Times New Roman"/>
          <w:spacing w:val="2"/>
          <w:position w:val="-1"/>
          <w:sz w:val="15"/>
          <w:szCs w:val="15"/>
        </w:rPr>
        <w:t xml:space="preserve">3 </w:t>
      </w:r>
      <w:r>
        <w:rPr>
          <w:rFonts w:ascii="宋体" w:hAnsi="宋体" w:eastAsia="宋体" w:cs="宋体"/>
          <w:spacing w:val="2"/>
          <w:sz w:val="23"/>
          <w:szCs w:val="23"/>
        </w:rPr>
        <w:t>，</w:t>
      </w:r>
      <w:r>
        <w:rPr>
          <w:rFonts w:ascii="宋体" w:hAnsi="宋体" w:eastAsia="宋体" w:cs="宋体"/>
          <w:sz w:val="23"/>
          <w:szCs w:val="23"/>
        </w:rPr>
        <w:t xml:space="preserve"> </w:t>
      </w:r>
      <w:r>
        <w:rPr>
          <w:rFonts w:ascii="宋体" w:hAnsi="宋体" w:eastAsia="宋体" w:cs="宋体"/>
          <w:spacing w:val="1"/>
          <w:sz w:val="23"/>
          <w:szCs w:val="23"/>
        </w:rPr>
        <w:t>采用《环境空气质量标准》  (</w:t>
      </w:r>
      <w:r>
        <w:rPr>
          <w:rFonts w:ascii="Times New Roman" w:hAnsi="Times New Roman" w:eastAsia="Times New Roman" w:cs="Times New Roman"/>
          <w:sz w:val="23"/>
          <w:szCs w:val="23"/>
        </w:rPr>
        <w:t>GB</w:t>
      </w:r>
      <w:r>
        <w:rPr>
          <w:rFonts w:ascii="Times New Roman" w:hAnsi="Times New Roman" w:eastAsia="Times New Roman" w:cs="Times New Roman"/>
          <w:spacing w:val="1"/>
          <w:sz w:val="23"/>
          <w:szCs w:val="23"/>
        </w:rPr>
        <w:t>3095-2012</w:t>
      </w:r>
      <w:r>
        <w:rPr>
          <w:rFonts w:ascii="宋体" w:hAnsi="宋体" w:eastAsia="宋体" w:cs="宋体"/>
          <w:spacing w:val="1"/>
          <w:sz w:val="23"/>
          <w:szCs w:val="23"/>
        </w:rPr>
        <w:t>) 二</w:t>
      </w:r>
      <w:r>
        <w:rPr>
          <w:rFonts w:ascii="宋体" w:hAnsi="宋体" w:eastAsia="宋体" w:cs="宋体"/>
          <w:sz w:val="23"/>
          <w:szCs w:val="23"/>
        </w:rPr>
        <w:t xml:space="preserve">级标准评价。具体结果见表 </w:t>
      </w:r>
      <w:r>
        <w:rPr>
          <w:rFonts w:ascii="Times New Roman" w:hAnsi="Times New Roman" w:eastAsia="Times New Roman" w:cs="Times New Roman"/>
          <w:sz w:val="23"/>
          <w:szCs w:val="23"/>
        </w:rPr>
        <w:t>4- 1</w:t>
      </w:r>
      <w:r>
        <w:rPr>
          <w:rFonts w:ascii="宋体" w:hAnsi="宋体" w:eastAsia="宋体" w:cs="宋体"/>
          <w:sz w:val="23"/>
          <w:szCs w:val="23"/>
        </w:rPr>
        <w:t>。</w:t>
      </w:r>
    </w:p>
    <w:p w14:paraId="736960D7">
      <w:pPr>
        <w:spacing w:before="92" w:line="331" w:lineRule="exact"/>
        <w:ind w:left="1536"/>
        <w:rPr>
          <w:rFonts w:ascii="Times New Roman" w:hAnsi="Times New Roman" w:eastAsia="Times New Roman" w:cs="Times New Roman"/>
          <w:sz w:val="15"/>
          <w:szCs w:val="15"/>
        </w:rPr>
      </w:pPr>
      <w:r>
        <w:rPr>
          <w:rFonts w:ascii="宋体" w:hAnsi="宋体" w:eastAsia="宋体" w:cs="宋体"/>
          <w:spacing w:val="6"/>
          <w:position w:val="3"/>
          <w:sz w:val="23"/>
          <w:szCs w:val="23"/>
          <w14:textOutline w14:w="4358" w14:cap="sq" w14:cmpd="sng">
            <w14:solidFill>
              <w14:srgbClr w14:val="000000"/>
            </w14:solidFill>
            <w14:prstDash w14:val="solid"/>
            <w14:bevel/>
          </w14:textOutline>
        </w:rPr>
        <w:t>表</w:t>
      </w:r>
      <w:r>
        <w:rPr>
          <w:rFonts w:ascii="宋体" w:hAnsi="宋体" w:eastAsia="宋体" w:cs="宋体"/>
          <w:spacing w:val="5"/>
          <w:position w:val="3"/>
          <w:sz w:val="23"/>
          <w:szCs w:val="23"/>
        </w:rPr>
        <w:t xml:space="preserve"> </w:t>
      </w:r>
      <w:r>
        <w:rPr>
          <w:rFonts w:ascii="Times New Roman" w:hAnsi="Times New Roman" w:eastAsia="Times New Roman" w:cs="Times New Roman"/>
          <w:b/>
          <w:bCs/>
          <w:spacing w:val="5"/>
          <w:position w:val="3"/>
          <w:sz w:val="23"/>
          <w:szCs w:val="23"/>
        </w:rPr>
        <w:t>4-1</w:t>
      </w:r>
      <w:r>
        <w:rPr>
          <w:rFonts w:ascii="Times New Roman" w:hAnsi="Times New Roman" w:eastAsia="Times New Roman" w:cs="Times New Roman"/>
          <w:spacing w:val="5"/>
          <w:position w:val="3"/>
          <w:sz w:val="23"/>
          <w:szCs w:val="23"/>
        </w:rPr>
        <w:t xml:space="preserve">        </w:t>
      </w:r>
      <w:r>
        <w:rPr>
          <w:rFonts w:ascii="宋体" w:hAnsi="宋体" w:eastAsia="宋体" w:cs="宋体"/>
          <w:spacing w:val="5"/>
          <w:position w:val="3"/>
          <w:sz w:val="23"/>
          <w:szCs w:val="23"/>
          <w14:textOutline w14:w="4358" w14:cap="sq" w14:cmpd="sng">
            <w14:solidFill>
              <w14:srgbClr w14:val="000000"/>
            </w14:solidFill>
            <w14:prstDash w14:val="solid"/>
            <w14:bevel/>
          </w14:textOutline>
        </w:rPr>
        <w:t>环境空气质量监测结果</w:t>
      </w:r>
      <w:r>
        <w:rPr>
          <w:rFonts w:ascii="宋体" w:hAnsi="宋体" w:eastAsia="宋体" w:cs="宋体"/>
          <w:spacing w:val="5"/>
          <w:position w:val="3"/>
          <w:sz w:val="23"/>
          <w:szCs w:val="23"/>
        </w:rPr>
        <w:t xml:space="preserve">    </w:t>
      </w:r>
      <w:r>
        <w:rPr>
          <w:rFonts w:ascii="宋体" w:hAnsi="宋体" w:eastAsia="宋体" w:cs="宋体"/>
          <w:spacing w:val="5"/>
          <w:position w:val="3"/>
          <w:sz w:val="23"/>
          <w:szCs w:val="23"/>
          <w14:textOutline w14:w="4358" w14:cap="sq" w14:cmpd="sng">
            <w14:solidFill>
              <w14:srgbClr w14:val="000000"/>
            </w14:solidFill>
            <w14:prstDash w14:val="solid"/>
            <w14:bevel/>
          </w14:textOutline>
        </w:rPr>
        <w:t>单位：</w:t>
      </w:r>
      <w:r>
        <w:rPr>
          <w:rFonts w:ascii="Times New Roman" w:hAnsi="Times New Roman" w:eastAsia="Times New Roman" w:cs="Times New Roman"/>
          <w:b/>
          <w:bCs/>
          <w:spacing w:val="5"/>
          <w:position w:val="3"/>
          <w:sz w:val="23"/>
          <w:szCs w:val="23"/>
        </w:rPr>
        <w:t>μ</w:t>
      </w:r>
      <w:r>
        <w:rPr>
          <w:rFonts w:ascii="Times New Roman" w:hAnsi="Times New Roman" w:eastAsia="Times New Roman" w:cs="Times New Roman"/>
          <w:b/>
          <w:bCs/>
          <w:position w:val="3"/>
          <w:sz w:val="23"/>
          <w:szCs w:val="23"/>
        </w:rPr>
        <w:t>g</w:t>
      </w:r>
      <w:r>
        <w:rPr>
          <w:rFonts w:ascii="Times New Roman" w:hAnsi="Times New Roman" w:eastAsia="Times New Roman" w:cs="Times New Roman"/>
          <w:b/>
          <w:bCs/>
          <w:spacing w:val="5"/>
          <w:position w:val="3"/>
          <w:sz w:val="23"/>
          <w:szCs w:val="23"/>
        </w:rPr>
        <w:t>/</w:t>
      </w:r>
      <w:r>
        <w:rPr>
          <w:rFonts w:ascii="Times New Roman" w:hAnsi="Times New Roman" w:eastAsia="Times New Roman" w:cs="Times New Roman"/>
          <w:b/>
          <w:bCs/>
          <w:position w:val="3"/>
          <w:sz w:val="23"/>
          <w:szCs w:val="23"/>
        </w:rPr>
        <w:t>m</w:t>
      </w:r>
      <w:r>
        <w:rPr>
          <w:rFonts w:ascii="Times New Roman" w:hAnsi="Times New Roman" w:eastAsia="Times New Roman" w:cs="Times New Roman"/>
          <w:b/>
          <w:bCs/>
          <w:spacing w:val="5"/>
          <w:position w:val="11"/>
          <w:sz w:val="15"/>
          <w:szCs w:val="15"/>
        </w:rPr>
        <w:t>3</w:t>
      </w:r>
    </w:p>
    <w:p w14:paraId="06AED3D0">
      <w:pPr>
        <w:spacing w:line="17" w:lineRule="exact"/>
      </w:pPr>
    </w:p>
    <w:tbl>
      <w:tblPr>
        <w:tblStyle w:val="4"/>
        <w:tblW w:w="839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4"/>
        <w:gridCol w:w="2048"/>
        <w:gridCol w:w="1800"/>
        <w:gridCol w:w="1575"/>
        <w:gridCol w:w="960"/>
        <w:gridCol w:w="903"/>
      </w:tblGrid>
      <w:tr w14:paraId="147A79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104" w:type="dxa"/>
            <w:tcBorders>
              <w:left w:val="nil"/>
            </w:tcBorders>
            <w:vAlign w:val="top"/>
          </w:tcPr>
          <w:p w14:paraId="52C72DB6">
            <w:pPr>
              <w:spacing w:before="76" w:line="228" w:lineRule="auto"/>
              <w:ind w:left="37"/>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污</w:t>
            </w:r>
            <w:r>
              <w:rPr>
                <w:rFonts w:ascii="宋体" w:hAnsi="宋体" w:eastAsia="宋体" w:cs="宋体"/>
                <w:spacing w:val="8"/>
                <w:sz w:val="20"/>
                <w:szCs w:val="20"/>
                <w14:textOutline w14:w="3795" w14:cap="sq" w14:cmpd="sng">
                  <w14:solidFill>
                    <w14:srgbClr w14:val="000000"/>
                  </w14:solidFill>
                  <w14:prstDash w14:val="solid"/>
                  <w14:bevel/>
                </w14:textOutline>
              </w:rPr>
              <w:t>染物名称</w:t>
            </w:r>
          </w:p>
        </w:tc>
        <w:tc>
          <w:tcPr>
            <w:tcW w:w="2048" w:type="dxa"/>
            <w:vAlign w:val="top"/>
          </w:tcPr>
          <w:p w14:paraId="6AF6E00E">
            <w:pPr>
              <w:spacing w:before="75" w:line="226" w:lineRule="auto"/>
              <w:ind w:left="504"/>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年</w:t>
            </w:r>
            <w:r>
              <w:rPr>
                <w:rFonts w:ascii="宋体" w:hAnsi="宋体" w:eastAsia="宋体" w:cs="宋体"/>
                <w:spacing w:val="8"/>
                <w:sz w:val="20"/>
                <w:szCs w:val="20"/>
                <w14:textOutline w14:w="3795" w14:cap="sq" w14:cmpd="sng">
                  <w14:solidFill>
                    <w14:srgbClr w14:val="000000"/>
                  </w14:solidFill>
                  <w14:prstDash w14:val="solid"/>
                  <w14:bevel/>
                </w14:textOutline>
              </w:rPr>
              <w:t>评价指标</w:t>
            </w:r>
          </w:p>
        </w:tc>
        <w:tc>
          <w:tcPr>
            <w:tcW w:w="1800" w:type="dxa"/>
            <w:vAlign w:val="top"/>
          </w:tcPr>
          <w:p w14:paraId="0571C4A6">
            <w:pPr>
              <w:spacing w:before="9" w:line="330" w:lineRule="exact"/>
              <w:ind w:left="34"/>
              <w:rPr>
                <w:rFonts w:ascii="宋体" w:hAnsi="宋体" w:eastAsia="宋体" w:cs="宋体"/>
                <w:sz w:val="20"/>
                <w:szCs w:val="20"/>
              </w:rPr>
            </w:pPr>
            <w:r>
              <w:rPr>
                <w:rFonts w:ascii="宋体" w:hAnsi="宋体" w:eastAsia="宋体" w:cs="宋体"/>
                <w:spacing w:val="-6"/>
                <w:position w:val="4"/>
                <w:sz w:val="20"/>
                <w:szCs w:val="20"/>
                <w14:textOutline w14:w="3657" w14:cap="sq" w14:cmpd="sng">
                  <w14:solidFill>
                    <w14:srgbClr w14:val="000000"/>
                  </w14:solidFill>
                  <w14:prstDash w14:val="solid"/>
                  <w14:bevel/>
                </w14:textOutline>
              </w:rPr>
              <w:t>现状浓</w:t>
            </w:r>
            <w:r>
              <w:rPr>
                <w:rFonts w:ascii="宋体" w:hAnsi="宋体" w:eastAsia="宋体" w:cs="宋体"/>
                <w:spacing w:val="-5"/>
                <w:position w:val="4"/>
                <w:sz w:val="20"/>
                <w:szCs w:val="20"/>
                <w14:textOutline w14:w="3657" w14:cap="sq" w14:cmpd="sng">
                  <w14:solidFill>
                    <w14:srgbClr w14:val="000000"/>
                  </w14:solidFill>
                  <w14:prstDash w14:val="solid"/>
                  <w14:bevel/>
                </w14:textOutline>
              </w:rPr>
              <w:t>度</w:t>
            </w:r>
            <w:r>
              <w:rPr>
                <w:rFonts w:ascii="宋体" w:hAnsi="宋体" w:eastAsia="宋体" w:cs="宋体"/>
                <w:spacing w:val="-3"/>
                <w:position w:val="4"/>
                <w:sz w:val="20"/>
                <w:szCs w:val="20"/>
              </w:rPr>
              <w:t xml:space="preserve"> </w:t>
            </w:r>
            <w:r>
              <w:rPr>
                <w:rFonts w:ascii="宋体" w:hAnsi="宋体" w:eastAsia="宋体" w:cs="宋体"/>
                <w:spacing w:val="-3"/>
                <w:position w:val="4"/>
                <w:sz w:val="20"/>
                <w:szCs w:val="20"/>
                <w14:textOutline w14:w="3657" w14:cap="sq" w14:cmpd="sng">
                  <w14:solidFill>
                    <w14:srgbClr w14:val="000000"/>
                  </w14:solidFill>
                  <w14:prstDash w14:val="solid"/>
                  <w14:bevel/>
                </w14:textOutline>
              </w:rPr>
              <w:t>(</w:t>
            </w:r>
            <w:r>
              <w:rPr>
                <w:rFonts w:ascii="Times New Roman" w:hAnsi="Times New Roman" w:eastAsia="Times New Roman" w:cs="Times New Roman"/>
                <w:b/>
                <w:bCs/>
                <w:spacing w:val="-3"/>
                <w:position w:val="4"/>
                <w:sz w:val="23"/>
                <w:szCs w:val="23"/>
              </w:rPr>
              <w:t>μg/m</w:t>
            </w:r>
            <w:r>
              <w:rPr>
                <w:rFonts w:ascii="Times New Roman" w:hAnsi="Times New Roman" w:eastAsia="Times New Roman" w:cs="Times New Roman"/>
                <w:b/>
                <w:bCs/>
                <w:spacing w:val="-3"/>
                <w:position w:val="11"/>
                <w:sz w:val="15"/>
                <w:szCs w:val="15"/>
              </w:rPr>
              <w:t>3</w:t>
            </w:r>
            <w:r>
              <w:rPr>
                <w:rFonts w:ascii="Times New Roman" w:hAnsi="Times New Roman" w:eastAsia="Times New Roman" w:cs="Times New Roman"/>
                <w:spacing w:val="-3"/>
                <w:position w:val="11"/>
                <w:sz w:val="15"/>
                <w:szCs w:val="15"/>
              </w:rPr>
              <w:t xml:space="preserve"> </w:t>
            </w:r>
            <w:r>
              <w:rPr>
                <w:rFonts w:ascii="宋体" w:hAnsi="宋体" w:eastAsia="宋体" w:cs="宋体"/>
                <w:spacing w:val="-3"/>
                <w:position w:val="4"/>
                <w:sz w:val="20"/>
                <w:szCs w:val="20"/>
                <w14:textOutline w14:w="3657" w14:cap="sq" w14:cmpd="sng">
                  <w14:solidFill>
                    <w14:srgbClr w14:val="000000"/>
                  </w14:solidFill>
                  <w14:prstDash w14:val="solid"/>
                  <w14:bevel/>
                </w14:textOutline>
              </w:rPr>
              <w:t>)</w:t>
            </w:r>
          </w:p>
        </w:tc>
        <w:tc>
          <w:tcPr>
            <w:tcW w:w="1575" w:type="dxa"/>
            <w:vAlign w:val="top"/>
          </w:tcPr>
          <w:p w14:paraId="465E0B5E">
            <w:pPr>
              <w:spacing w:before="9" w:line="330" w:lineRule="exact"/>
              <w:ind w:left="33"/>
              <w:rPr>
                <w:rFonts w:ascii="宋体" w:hAnsi="宋体" w:eastAsia="宋体" w:cs="宋体"/>
                <w:sz w:val="20"/>
                <w:szCs w:val="20"/>
              </w:rPr>
            </w:pPr>
            <w:r>
              <w:rPr>
                <w:rFonts w:ascii="宋体" w:hAnsi="宋体" w:eastAsia="宋体" w:cs="宋体"/>
                <w:spacing w:val="-10"/>
                <w:position w:val="4"/>
                <w:sz w:val="20"/>
                <w:szCs w:val="20"/>
                <w14:textOutline w14:w="3639" w14:cap="sq" w14:cmpd="sng">
                  <w14:solidFill>
                    <w14:srgbClr w14:val="000000"/>
                  </w14:solidFill>
                  <w14:prstDash w14:val="solid"/>
                  <w14:bevel/>
                </w14:textOutline>
              </w:rPr>
              <w:t>标</w:t>
            </w:r>
            <w:r>
              <w:rPr>
                <w:rFonts w:ascii="宋体" w:hAnsi="宋体" w:eastAsia="宋体" w:cs="宋体"/>
                <w:spacing w:val="-6"/>
                <w:position w:val="4"/>
                <w:sz w:val="20"/>
                <w:szCs w:val="20"/>
                <w14:textOutline w14:w="3639" w14:cap="sq" w14:cmpd="sng">
                  <w14:solidFill>
                    <w14:srgbClr w14:val="000000"/>
                  </w14:solidFill>
                  <w14:prstDash w14:val="solid"/>
                  <w14:bevel/>
                </w14:textOutline>
              </w:rPr>
              <w:t>准</w:t>
            </w:r>
            <w:r>
              <w:rPr>
                <w:rFonts w:ascii="宋体" w:hAnsi="宋体" w:eastAsia="宋体" w:cs="宋体"/>
                <w:spacing w:val="-5"/>
                <w:position w:val="4"/>
                <w:sz w:val="20"/>
                <w:szCs w:val="20"/>
                <w14:textOutline w14:w="3639" w14:cap="sq" w14:cmpd="sng">
                  <w14:solidFill>
                    <w14:srgbClr w14:val="000000"/>
                  </w14:solidFill>
                  <w14:prstDash w14:val="solid"/>
                  <w14:bevel/>
                </w14:textOutline>
              </w:rPr>
              <w:t>值</w:t>
            </w:r>
            <w:r>
              <w:rPr>
                <w:rFonts w:ascii="宋体" w:hAnsi="宋体" w:eastAsia="宋体" w:cs="宋体"/>
                <w:spacing w:val="-5"/>
                <w:position w:val="4"/>
                <w:sz w:val="20"/>
                <w:szCs w:val="20"/>
              </w:rPr>
              <w:t xml:space="preserve"> </w:t>
            </w:r>
            <w:r>
              <w:rPr>
                <w:rFonts w:ascii="宋体" w:hAnsi="宋体" w:eastAsia="宋体" w:cs="宋体"/>
                <w:spacing w:val="-5"/>
                <w:position w:val="4"/>
                <w:sz w:val="20"/>
                <w:szCs w:val="20"/>
                <w14:textOutline w14:w="3639" w14:cap="sq" w14:cmpd="sng">
                  <w14:solidFill>
                    <w14:srgbClr w14:val="000000"/>
                  </w14:solidFill>
                  <w14:prstDash w14:val="solid"/>
                  <w14:bevel/>
                </w14:textOutline>
              </w:rPr>
              <w:t>(</w:t>
            </w:r>
            <w:r>
              <w:rPr>
                <w:rFonts w:ascii="Times New Roman" w:hAnsi="Times New Roman" w:eastAsia="Times New Roman" w:cs="Times New Roman"/>
                <w:b/>
                <w:bCs/>
                <w:spacing w:val="-5"/>
                <w:position w:val="4"/>
                <w:sz w:val="23"/>
                <w:szCs w:val="23"/>
              </w:rPr>
              <w:t>μg/m</w:t>
            </w:r>
            <w:r>
              <w:rPr>
                <w:rFonts w:ascii="Times New Roman" w:hAnsi="Times New Roman" w:eastAsia="Times New Roman" w:cs="Times New Roman"/>
                <w:b/>
                <w:bCs/>
                <w:spacing w:val="-5"/>
                <w:position w:val="11"/>
                <w:sz w:val="14"/>
                <w:szCs w:val="14"/>
              </w:rPr>
              <w:t>3</w:t>
            </w:r>
            <w:r>
              <w:rPr>
                <w:rFonts w:ascii="Times New Roman" w:hAnsi="Times New Roman" w:eastAsia="Times New Roman" w:cs="Times New Roman"/>
                <w:spacing w:val="-5"/>
                <w:position w:val="11"/>
                <w:sz w:val="14"/>
                <w:szCs w:val="14"/>
              </w:rPr>
              <w:t xml:space="preserve"> </w:t>
            </w:r>
            <w:r>
              <w:rPr>
                <w:rFonts w:ascii="宋体" w:hAnsi="宋体" w:eastAsia="宋体" w:cs="宋体"/>
                <w:spacing w:val="-5"/>
                <w:position w:val="4"/>
                <w:sz w:val="20"/>
                <w:szCs w:val="20"/>
                <w14:textOutline w14:w="3639" w14:cap="sq" w14:cmpd="sng">
                  <w14:solidFill>
                    <w14:srgbClr w14:val="000000"/>
                  </w14:solidFill>
                  <w14:prstDash w14:val="solid"/>
                  <w14:bevel/>
                </w14:textOutline>
              </w:rPr>
              <w:t>)</w:t>
            </w:r>
          </w:p>
        </w:tc>
        <w:tc>
          <w:tcPr>
            <w:tcW w:w="960" w:type="dxa"/>
            <w:vAlign w:val="top"/>
          </w:tcPr>
          <w:p w14:paraId="7DB49FC1">
            <w:pPr>
              <w:spacing w:before="34" w:line="289" w:lineRule="exact"/>
              <w:ind w:left="71"/>
              <w:rPr>
                <w:rFonts w:ascii="Times New Roman" w:hAnsi="Times New Roman" w:eastAsia="Times New Roman" w:cs="Times New Roman"/>
                <w:sz w:val="20"/>
                <w:szCs w:val="20"/>
              </w:rPr>
            </w:pPr>
            <w:r>
              <w:rPr>
                <w:rFonts w:ascii="宋体" w:hAnsi="宋体" w:eastAsia="宋体" w:cs="宋体"/>
                <w:spacing w:val="-1"/>
                <w:position w:val="1"/>
                <w:sz w:val="20"/>
                <w:szCs w:val="20"/>
                <w14:textOutline w14:w="3795" w14:cap="sq" w14:cmpd="sng">
                  <w14:solidFill>
                    <w14:srgbClr w14:val="000000"/>
                  </w14:solidFill>
                  <w14:prstDash w14:val="solid"/>
                  <w14:bevel/>
                </w14:textOutline>
              </w:rPr>
              <w:t>占</w:t>
            </w:r>
            <w:r>
              <w:rPr>
                <w:rFonts w:ascii="宋体" w:hAnsi="宋体" w:eastAsia="宋体" w:cs="宋体"/>
                <w:position w:val="1"/>
                <w:sz w:val="20"/>
                <w:szCs w:val="20"/>
                <w14:textOutline w14:w="3795" w14:cap="sq" w14:cmpd="sng">
                  <w14:solidFill>
                    <w14:srgbClr w14:val="000000"/>
                  </w14:solidFill>
                  <w14:prstDash w14:val="solid"/>
                  <w14:bevel/>
                </w14:textOutline>
              </w:rPr>
              <w:t>标率</w:t>
            </w:r>
            <w:r>
              <w:rPr>
                <w:rFonts w:ascii="Times New Roman" w:hAnsi="Times New Roman" w:eastAsia="Times New Roman" w:cs="Times New Roman"/>
                <w:b/>
                <w:bCs/>
                <w:position w:val="1"/>
                <w:sz w:val="20"/>
                <w:szCs w:val="20"/>
              </w:rPr>
              <w:t>/%</w:t>
            </w:r>
          </w:p>
        </w:tc>
        <w:tc>
          <w:tcPr>
            <w:tcW w:w="903" w:type="dxa"/>
            <w:tcBorders>
              <w:right w:val="nil"/>
            </w:tcBorders>
            <w:vAlign w:val="top"/>
          </w:tcPr>
          <w:p w14:paraId="39BB9FA8">
            <w:pPr>
              <w:spacing w:before="76" w:line="228" w:lineRule="auto"/>
              <w:ind w:left="35"/>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达标情</w:t>
            </w:r>
            <w:r>
              <w:rPr>
                <w:rFonts w:ascii="宋体" w:hAnsi="宋体" w:eastAsia="宋体" w:cs="宋体"/>
                <w:spacing w:val="8"/>
                <w:sz w:val="20"/>
                <w:szCs w:val="20"/>
                <w14:textOutline w14:w="3795" w14:cap="sq" w14:cmpd="sng">
                  <w14:solidFill>
                    <w14:srgbClr w14:val="000000"/>
                  </w14:solidFill>
                  <w14:prstDash w14:val="solid"/>
                  <w14:bevel/>
                </w14:textOutline>
              </w:rPr>
              <w:t>况</w:t>
            </w:r>
          </w:p>
        </w:tc>
      </w:tr>
      <w:tr w14:paraId="305526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04" w:type="dxa"/>
            <w:tcBorders>
              <w:left w:val="nil"/>
            </w:tcBorders>
            <w:vAlign w:val="top"/>
          </w:tcPr>
          <w:p w14:paraId="334BE973">
            <w:pPr>
              <w:spacing w:before="87" w:line="205" w:lineRule="auto"/>
              <w:ind w:left="389"/>
              <w:rPr>
                <w:rFonts w:ascii="Times New Roman" w:hAnsi="Times New Roman" w:eastAsia="Times New Roman" w:cs="Times New Roman"/>
                <w:sz w:val="13"/>
                <w:szCs w:val="13"/>
              </w:rPr>
            </w:pPr>
            <w:r>
              <w:rPr>
                <w:rFonts w:ascii="Times New Roman" w:hAnsi="Times New Roman" w:eastAsia="Times New Roman" w:cs="Times New Roman"/>
                <w:b/>
                <w:bCs/>
                <w:sz w:val="20"/>
                <w:szCs w:val="20"/>
              </w:rPr>
              <w:t>SO</w:t>
            </w:r>
            <w:r>
              <w:rPr>
                <w:rFonts w:ascii="Times New Roman" w:hAnsi="Times New Roman" w:eastAsia="Times New Roman" w:cs="Times New Roman"/>
                <w:b/>
                <w:bCs/>
                <w:spacing w:val="6"/>
                <w:position w:val="-1"/>
                <w:sz w:val="13"/>
                <w:szCs w:val="13"/>
              </w:rPr>
              <w:t>2</w:t>
            </w:r>
          </w:p>
        </w:tc>
        <w:tc>
          <w:tcPr>
            <w:tcW w:w="2048" w:type="dxa"/>
            <w:vMerge w:val="restart"/>
            <w:tcBorders>
              <w:bottom w:val="nil"/>
            </w:tcBorders>
            <w:vAlign w:val="top"/>
          </w:tcPr>
          <w:p w14:paraId="5F3E5039">
            <w:pPr>
              <w:spacing w:line="468" w:lineRule="auto"/>
              <w:rPr>
                <w:rFonts w:ascii="Arial"/>
                <w:sz w:val="21"/>
              </w:rPr>
            </w:pPr>
          </w:p>
          <w:p w14:paraId="0631BC2C">
            <w:pPr>
              <w:spacing w:before="65" w:line="228" w:lineRule="auto"/>
              <w:ind w:left="610"/>
              <w:rPr>
                <w:rFonts w:ascii="宋体" w:hAnsi="宋体" w:eastAsia="宋体" w:cs="宋体"/>
                <w:sz w:val="20"/>
                <w:szCs w:val="20"/>
              </w:rPr>
            </w:pPr>
            <w:r>
              <w:rPr>
                <w:rFonts w:ascii="宋体" w:hAnsi="宋体" w:eastAsia="宋体" w:cs="宋体"/>
                <w:spacing w:val="7"/>
                <w:sz w:val="20"/>
                <w:szCs w:val="20"/>
              </w:rPr>
              <w:t>年均浓度</w:t>
            </w:r>
          </w:p>
        </w:tc>
        <w:tc>
          <w:tcPr>
            <w:tcW w:w="1800" w:type="dxa"/>
            <w:vAlign w:val="top"/>
          </w:tcPr>
          <w:p w14:paraId="10C2F119">
            <w:pPr>
              <w:spacing w:before="88" w:line="195" w:lineRule="auto"/>
              <w:ind w:left="79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1</w:t>
            </w:r>
          </w:p>
        </w:tc>
        <w:tc>
          <w:tcPr>
            <w:tcW w:w="1575" w:type="dxa"/>
            <w:vAlign w:val="top"/>
          </w:tcPr>
          <w:p w14:paraId="731ADC71">
            <w:pPr>
              <w:spacing w:before="88" w:line="195" w:lineRule="auto"/>
              <w:ind w:left="68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0</w:t>
            </w:r>
          </w:p>
        </w:tc>
        <w:tc>
          <w:tcPr>
            <w:tcW w:w="960" w:type="dxa"/>
            <w:vAlign w:val="top"/>
          </w:tcPr>
          <w:p w14:paraId="785A7AE0">
            <w:pPr>
              <w:spacing w:before="88" w:line="195" w:lineRule="auto"/>
              <w:ind w:left="30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35.0</w:t>
            </w:r>
          </w:p>
        </w:tc>
        <w:tc>
          <w:tcPr>
            <w:tcW w:w="903" w:type="dxa"/>
            <w:tcBorders>
              <w:right w:val="nil"/>
            </w:tcBorders>
            <w:vAlign w:val="top"/>
          </w:tcPr>
          <w:p w14:paraId="1DC23064">
            <w:pPr>
              <w:spacing w:before="52" w:line="228" w:lineRule="auto"/>
              <w:ind w:left="244"/>
              <w:rPr>
                <w:rFonts w:ascii="宋体" w:hAnsi="宋体" w:eastAsia="宋体" w:cs="宋体"/>
                <w:sz w:val="20"/>
                <w:szCs w:val="20"/>
              </w:rPr>
            </w:pPr>
            <w:r>
              <w:rPr>
                <w:rFonts w:ascii="宋体" w:hAnsi="宋体" w:eastAsia="宋体" w:cs="宋体"/>
                <w:spacing w:val="5"/>
                <w:sz w:val="20"/>
                <w:szCs w:val="20"/>
              </w:rPr>
              <w:t>达标</w:t>
            </w:r>
          </w:p>
        </w:tc>
      </w:tr>
      <w:tr w14:paraId="7442E6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04" w:type="dxa"/>
            <w:tcBorders>
              <w:left w:val="nil"/>
            </w:tcBorders>
            <w:vAlign w:val="top"/>
          </w:tcPr>
          <w:p w14:paraId="4AFE8369">
            <w:pPr>
              <w:spacing w:before="91" w:line="202" w:lineRule="auto"/>
              <w:ind w:left="364"/>
              <w:rPr>
                <w:rFonts w:ascii="Times New Roman" w:hAnsi="Times New Roman" w:eastAsia="Times New Roman" w:cs="Times New Roman"/>
                <w:sz w:val="13"/>
                <w:szCs w:val="13"/>
              </w:rPr>
            </w:pPr>
            <w:r>
              <w:rPr>
                <w:rFonts w:ascii="Times New Roman" w:hAnsi="Times New Roman" w:eastAsia="Times New Roman" w:cs="Times New Roman"/>
                <w:b/>
                <w:bCs/>
                <w:sz w:val="20"/>
                <w:szCs w:val="20"/>
              </w:rPr>
              <w:t>NO</w:t>
            </w:r>
            <w:r>
              <w:rPr>
                <w:rFonts w:ascii="Times New Roman" w:hAnsi="Times New Roman" w:eastAsia="Times New Roman" w:cs="Times New Roman"/>
                <w:b/>
                <w:bCs/>
                <w:spacing w:val="14"/>
                <w:position w:val="-1"/>
                <w:sz w:val="13"/>
                <w:szCs w:val="13"/>
              </w:rPr>
              <w:t>2</w:t>
            </w:r>
          </w:p>
        </w:tc>
        <w:tc>
          <w:tcPr>
            <w:tcW w:w="2048" w:type="dxa"/>
            <w:vMerge w:val="continue"/>
            <w:tcBorders>
              <w:top w:val="nil"/>
              <w:bottom w:val="nil"/>
            </w:tcBorders>
            <w:vAlign w:val="top"/>
          </w:tcPr>
          <w:p w14:paraId="72A5463D">
            <w:pPr>
              <w:rPr>
                <w:rFonts w:ascii="Arial"/>
                <w:sz w:val="21"/>
              </w:rPr>
            </w:pPr>
          </w:p>
        </w:tc>
        <w:tc>
          <w:tcPr>
            <w:tcW w:w="1800" w:type="dxa"/>
            <w:vAlign w:val="top"/>
          </w:tcPr>
          <w:p w14:paraId="2AE3E4ED">
            <w:pPr>
              <w:spacing w:before="91" w:line="195" w:lineRule="auto"/>
              <w:ind w:left="80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1</w:t>
            </w:r>
          </w:p>
        </w:tc>
        <w:tc>
          <w:tcPr>
            <w:tcW w:w="1575" w:type="dxa"/>
            <w:vAlign w:val="top"/>
          </w:tcPr>
          <w:p w14:paraId="5B5BEE54">
            <w:pPr>
              <w:spacing w:before="91" w:line="195" w:lineRule="auto"/>
              <w:ind w:left="68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960" w:type="dxa"/>
            <w:vAlign w:val="top"/>
          </w:tcPr>
          <w:p w14:paraId="6E1E4B7D">
            <w:pPr>
              <w:spacing w:before="94" w:line="192" w:lineRule="auto"/>
              <w:ind w:left="30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77.5</w:t>
            </w:r>
          </w:p>
        </w:tc>
        <w:tc>
          <w:tcPr>
            <w:tcW w:w="903" w:type="dxa"/>
            <w:tcBorders>
              <w:right w:val="nil"/>
            </w:tcBorders>
            <w:vAlign w:val="top"/>
          </w:tcPr>
          <w:p w14:paraId="71AABAD5">
            <w:pPr>
              <w:spacing w:before="55" w:line="228" w:lineRule="auto"/>
              <w:ind w:left="244"/>
              <w:rPr>
                <w:rFonts w:ascii="宋体" w:hAnsi="宋体" w:eastAsia="宋体" w:cs="宋体"/>
                <w:sz w:val="20"/>
                <w:szCs w:val="20"/>
              </w:rPr>
            </w:pPr>
            <w:r>
              <w:rPr>
                <w:rFonts w:ascii="宋体" w:hAnsi="宋体" w:eastAsia="宋体" w:cs="宋体"/>
                <w:spacing w:val="5"/>
                <w:sz w:val="20"/>
                <w:szCs w:val="20"/>
              </w:rPr>
              <w:t>达标</w:t>
            </w:r>
          </w:p>
        </w:tc>
      </w:tr>
      <w:tr w14:paraId="2E48E1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04" w:type="dxa"/>
            <w:tcBorders>
              <w:left w:val="nil"/>
            </w:tcBorders>
            <w:vAlign w:val="top"/>
          </w:tcPr>
          <w:p w14:paraId="47980683">
            <w:pPr>
              <w:spacing w:before="94" w:line="199" w:lineRule="auto"/>
              <w:ind w:left="325"/>
              <w:rPr>
                <w:rFonts w:ascii="Times New Roman" w:hAnsi="Times New Roman" w:eastAsia="Times New Roman" w:cs="Times New Roman"/>
                <w:sz w:val="13"/>
                <w:szCs w:val="13"/>
              </w:rPr>
            </w:pPr>
            <w:r>
              <w:rPr>
                <w:rFonts w:ascii="Times New Roman" w:hAnsi="Times New Roman" w:eastAsia="Times New Roman" w:cs="Times New Roman"/>
                <w:b/>
                <w:bCs/>
                <w:sz w:val="20"/>
                <w:szCs w:val="20"/>
              </w:rPr>
              <w:t>PM</w:t>
            </w:r>
            <w:r>
              <w:rPr>
                <w:rFonts w:ascii="Times New Roman" w:hAnsi="Times New Roman" w:eastAsia="Times New Roman" w:cs="Times New Roman"/>
                <w:b/>
                <w:bCs/>
                <w:spacing w:val="9"/>
                <w:position w:val="-1"/>
                <w:sz w:val="13"/>
                <w:szCs w:val="13"/>
              </w:rPr>
              <w:t>10</w:t>
            </w:r>
          </w:p>
        </w:tc>
        <w:tc>
          <w:tcPr>
            <w:tcW w:w="2048" w:type="dxa"/>
            <w:vMerge w:val="continue"/>
            <w:tcBorders>
              <w:top w:val="nil"/>
              <w:bottom w:val="nil"/>
            </w:tcBorders>
            <w:vAlign w:val="top"/>
          </w:tcPr>
          <w:p w14:paraId="3E7769EA">
            <w:pPr>
              <w:rPr>
                <w:rFonts w:ascii="Arial"/>
                <w:sz w:val="21"/>
              </w:rPr>
            </w:pPr>
          </w:p>
        </w:tc>
        <w:tc>
          <w:tcPr>
            <w:tcW w:w="1800" w:type="dxa"/>
            <w:vAlign w:val="top"/>
          </w:tcPr>
          <w:p w14:paraId="7519FB01">
            <w:pPr>
              <w:spacing w:before="91" w:line="195" w:lineRule="auto"/>
              <w:ind w:left="80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5</w:t>
            </w:r>
          </w:p>
        </w:tc>
        <w:tc>
          <w:tcPr>
            <w:tcW w:w="1575" w:type="dxa"/>
            <w:vAlign w:val="top"/>
          </w:tcPr>
          <w:p w14:paraId="1822B5BD">
            <w:pPr>
              <w:spacing w:before="91" w:line="195" w:lineRule="auto"/>
              <w:ind w:left="68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w:t>
            </w:r>
          </w:p>
        </w:tc>
        <w:tc>
          <w:tcPr>
            <w:tcW w:w="960" w:type="dxa"/>
            <w:vAlign w:val="top"/>
          </w:tcPr>
          <w:p w14:paraId="0082D23E">
            <w:pPr>
              <w:spacing w:before="91" w:line="195" w:lineRule="auto"/>
              <w:ind w:left="301"/>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9</w:t>
            </w:r>
            <w:r>
              <w:rPr>
                <w:rFonts w:ascii="Times New Roman" w:hAnsi="Times New Roman" w:eastAsia="Times New Roman" w:cs="Times New Roman"/>
                <w:spacing w:val="4"/>
                <w:sz w:val="20"/>
                <w:szCs w:val="20"/>
              </w:rPr>
              <w:t>2.8</w:t>
            </w:r>
          </w:p>
        </w:tc>
        <w:tc>
          <w:tcPr>
            <w:tcW w:w="903" w:type="dxa"/>
            <w:tcBorders>
              <w:right w:val="nil"/>
            </w:tcBorders>
            <w:vAlign w:val="top"/>
          </w:tcPr>
          <w:p w14:paraId="7EBF3D2C">
            <w:pPr>
              <w:spacing w:before="56" w:line="228" w:lineRule="auto"/>
              <w:ind w:left="244"/>
              <w:rPr>
                <w:rFonts w:ascii="宋体" w:hAnsi="宋体" w:eastAsia="宋体" w:cs="宋体"/>
                <w:sz w:val="20"/>
                <w:szCs w:val="20"/>
              </w:rPr>
            </w:pPr>
            <w:r>
              <w:rPr>
                <w:rFonts w:ascii="宋体" w:hAnsi="宋体" w:eastAsia="宋体" w:cs="宋体"/>
                <w:spacing w:val="5"/>
                <w:sz w:val="20"/>
                <w:szCs w:val="20"/>
              </w:rPr>
              <w:t>达标</w:t>
            </w:r>
          </w:p>
        </w:tc>
      </w:tr>
      <w:tr w14:paraId="74FFDF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104" w:type="dxa"/>
            <w:tcBorders>
              <w:left w:val="nil"/>
            </w:tcBorders>
            <w:vAlign w:val="top"/>
          </w:tcPr>
          <w:p w14:paraId="00D52D68">
            <w:pPr>
              <w:spacing w:before="95" w:line="201" w:lineRule="auto"/>
              <w:ind w:left="309"/>
              <w:rPr>
                <w:rFonts w:ascii="Times New Roman" w:hAnsi="Times New Roman" w:eastAsia="Times New Roman" w:cs="Times New Roman"/>
                <w:sz w:val="13"/>
                <w:szCs w:val="13"/>
              </w:rPr>
            </w:pPr>
            <w:r>
              <w:rPr>
                <w:rFonts w:ascii="Times New Roman" w:hAnsi="Times New Roman" w:eastAsia="Times New Roman" w:cs="Times New Roman"/>
                <w:b/>
                <w:bCs/>
                <w:sz w:val="20"/>
                <w:szCs w:val="20"/>
              </w:rPr>
              <w:t>PM</w:t>
            </w:r>
            <w:r>
              <w:rPr>
                <w:rFonts w:ascii="Times New Roman" w:hAnsi="Times New Roman" w:eastAsia="Times New Roman" w:cs="Times New Roman"/>
                <w:b/>
                <w:bCs/>
                <w:spacing w:val="7"/>
                <w:position w:val="-1"/>
                <w:sz w:val="13"/>
                <w:szCs w:val="13"/>
              </w:rPr>
              <w:t>2</w:t>
            </w:r>
            <w:r>
              <w:rPr>
                <w:rFonts w:ascii="Times New Roman" w:hAnsi="Times New Roman" w:eastAsia="Times New Roman" w:cs="Times New Roman"/>
                <w:b/>
                <w:bCs/>
                <w:spacing w:val="6"/>
                <w:position w:val="-1"/>
                <w:sz w:val="13"/>
                <w:szCs w:val="13"/>
              </w:rPr>
              <w:t>.5</w:t>
            </w:r>
          </w:p>
        </w:tc>
        <w:tc>
          <w:tcPr>
            <w:tcW w:w="2048" w:type="dxa"/>
            <w:vMerge w:val="continue"/>
            <w:tcBorders>
              <w:top w:val="nil"/>
            </w:tcBorders>
            <w:vAlign w:val="top"/>
          </w:tcPr>
          <w:p w14:paraId="4FEEB5E5">
            <w:pPr>
              <w:rPr>
                <w:rFonts w:ascii="Arial"/>
                <w:sz w:val="21"/>
              </w:rPr>
            </w:pPr>
          </w:p>
        </w:tc>
        <w:tc>
          <w:tcPr>
            <w:tcW w:w="1800" w:type="dxa"/>
            <w:vAlign w:val="top"/>
          </w:tcPr>
          <w:p w14:paraId="104E1E7B">
            <w:pPr>
              <w:spacing w:before="92" w:line="195" w:lineRule="auto"/>
              <w:ind w:left="80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4</w:t>
            </w:r>
          </w:p>
        </w:tc>
        <w:tc>
          <w:tcPr>
            <w:tcW w:w="1575" w:type="dxa"/>
            <w:vAlign w:val="top"/>
          </w:tcPr>
          <w:p w14:paraId="0AB094F2">
            <w:pPr>
              <w:spacing w:before="92" w:line="195" w:lineRule="auto"/>
              <w:ind w:left="68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5</w:t>
            </w:r>
          </w:p>
        </w:tc>
        <w:tc>
          <w:tcPr>
            <w:tcW w:w="960" w:type="dxa"/>
            <w:vAlign w:val="top"/>
          </w:tcPr>
          <w:p w14:paraId="317392B6">
            <w:pPr>
              <w:spacing w:before="92" w:line="195" w:lineRule="auto"/>
              <w:ind w:left="30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97. 1</w:t>
            </w:r>
          </w:p>
        </w:tc>
        <w:tc>
          <w:tcPr>
            <w:tcW w:w="903" w:type="dxa"/>
            <w:tcBorders>
              <w:right w:val="nil"/>
            </w:tcBorders>
            <w:vAlign w:val="top"/>
          </w:tcPr>
          <w:p w14:paraId="54CB4EB1">
            <w:pPr>
              <w:spacing w:before="56" w:line="228" w:lineRule="auto"/>
              <w:ind w:left="244"/>
              <w:rPr>
                <w:rFonts w:ascii="宋体" w:hAnsi="宋体" w:eastAsia="宋体" w:cs="宋体"/>
                <w:sz w:val="20"/>
                <w:szCs w:val="20"/>
              </w:rPr>
            </w:pPr>
            <w:r>
              <w:rPr>
                <w:rFonts w:ascii="宋体" w:hAnsi="宋体" w:eastAsia="宋体" w:cs="宋体"/>
                <w:spacing w:val="5"/>
                <w:sz w:val="20"/>
                <w:szCs w:val="20"/>
              </w:rPr>
              <w:t>达标</w:t>
            </w:r>
          </w:p>
        </w:tc>
      </w:tr>
    </w:tbl>
    <w:p w14:paraId="39DA9BD4">
      <w:pPr>
        <w:rPr>
          <w:rFonts w:ascii="Arial"/>
          <w:sz w:val="21"/>
        </w:rPr>
      </w:pPr>
    </w:p>
    <w:p w14:paraId="62250DBA">
      <w:pPr>
        <w:sectPr>
          <w:headerReference r:id="rId156" w:type="default"/>
          <w:footerReference r:id="rId157" w:type="default"/>
          <w:pgSz w:w="11906" w:h="16839"/>
          <w:pgMar w:top="1132" w:right="1719" w:bottom="1182" w:left="1777" w:header="878" w:footer="1022" w:gutter="0"/>
          <w:cols w:space="720" w:num="1"/>
        </w:sectPr>
      </w:pPr>
    </w:p>
    <w:p w14:paraId="767F388E">
      <w:r>
        <w:pict>
          <v:shape id="_x0000_s1213" o:spid="_x0000_s1213" style="position:absolute;left:0pt;margin-left:90pt;margin-top:57.35pt;height:0.75pt;width:415.3pt;mso-position-horizontal-relative:page;mso-position-vertical-relative:page;z-index:251865088;mso-width-relative:page;mso-height-relative:page;" fillcolor="#000000" filled="t" stroked="f" coordsize="8305,15" o:allowincell="f" path="m0,0l8305,0,8305,14,0,14,0,0xe">
            <v:path/>
            <v:fill on="t" focussize="0,0"/>
            <v:stroke on="f"/>
            <v:imagedata o:title=""/>
            <o:lock v:ext="edit"/>
          </v:shape>
        </w:pict>
      </w:r>
    </w:p>
    <w:p w14:paraId="10E6C280">
      <w:pPr>
        <w:spacing w:line="65" w:lineRule="exact"/>
      </w:pPr>
    </w:p>
    <w:tbl>
      <w:tblPr>
        <w:tblStyle w:val="4"/>
        <w:tblW w:w="838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4"/>
        <w:gridCol w:w="2048"/>
        <w:gridCol w:w="1800"/>
        <w:gridCol w:w="1575"/>
        <w:gridCol w:w="960"/>
        <w:gridCol w:w="902"/>
      </w:tblGrid>
      <w:tr w14:paraId="2A643D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104" w:type="dxa"/>
            <w:tcBorders>
              <w:left w:val="nil"/>
            </w:tcBorders>
            <w:vAlign w:val="top"/>
          </w:tcPr>
          <w:p w14:paraId="7CE3D578">
            <w:pPr>
              <w:spacing w:before="111" w:line="195" w:lineRule="auto"/>
              <w:ind w:left="403"/>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C</w:t>
            </w:r>
            <w:r>
              <w:rPr>
                <w:rFonts w:ascii="Times New Roman" w:hAnsi="Times New Roman" w:eastAsia="Times New Roman" w:cs="Times New Roman"/>
                <w:b/>
                <w:bCs/>
                <w:spacing w:val="2"/>
                <w:sz w:val="20"/>
                <w:szCs w:val="20"/>
              </w:rPr>
              <w:t>O</w:t>
            </w:r>
          </w:p>
        </w:tc>
        <w:tc>
          <w:tcPr>
            <w:tcW w:w="2048" w:type="dxa"/>
            <w:vAlign w:val="top"/>
          </w:tcPr>
          <w:p w14:paraId="043B1684">
            <w:pPr>
              <w:spacing w:before="75" w:line="228" w:lineRule="auto"/>
              <w:ind w:left="64"/>
              <w:rPr>
                <w:rFonts w:ascii="宋体" w:hAnsi="宋体" w:eastAsia="宋体" w:cs="宋体"/>
                <w:sz w:val="20"/>
                <w:szCs w:val="20"/>
              </w:rPr>
            </w:pPr>
            <w:r>
              <w:rPr>
                <w:rFonts w:ascii="宋体" w:hAnsi="宋体" w:eastAsia="宋体" w:cs="宋体"/>
                <w:spacing w:val="-24"/>
                <w:sz w:val="20"/>
                <w:szCs w:val="20"/>
              </w:rPr>
              <w:t>日</w:t>
            </w:r>
            <w:r>
              <w:rPr>
                <w:rFonts w:ascii="宋体" w:hAnsi="宋体" w:eastAsia="宋体" w:cs="宋体"/>
                <w:spacing w:val="-18"/>
                <w:sz w:val="20"/>
                <w:szCs w:val="20"/>
              </w:rPr>
              <w:t>均浓度的第</w:t>
            </w:r>
            <w:r>
              <w:rPr>
                <w:rFonts w:ascii="Times New Roman" w:hAnsi="Times New Roman" w:eastAsia="Times New Roman" w:cs="Times New Roman"/>
                <w:spacing w:val="-18"/>
                <w:sz w:val="20"/>
                <w:szCs w:val="20"/>
              </w:rPr>
              <w:t>95</w:t>
            </w:r>
            <w:r>
              <w:rPr>
                <w:rFonts w:ascii="宋体" w:hAnsi="宋体" w:eastAsia="宋体" w:cs="宋体"/>
                <w:spacing w:val="-18"/>
                <w:sz w:val="20"/>
                <w:szCs w:val="20"/>
              </w:rPr>
              <w:t>百分位数</w:t>
            </w:r>
          </w:p>
        </w:tc>
        <w:tc>
          <w:tcPr>
            <w:tcW w:w="1800" w:type="dxa"/>
            <w:vAlign w:val="top"/>
          </w:tcPr>
          <w:p w14:paraId="26A7B789">
            <w:pPr>
              <w:spacing w:before="111" w:line="198" w:lineRule="auto"/>
              <w:ind w:left="7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2</w:t>
            </w:r>
          </w:p>
        </w:tc>
        <w:tc>
          <w:tcPr>
            <w:tcW w:w="1575" w:type="dxa"/>
            <w:vAlign w:val="top"/>
          </w:tcPr>
          <w:p w14:paraId="446DB1B6">
            <w:pPr>
              <w:spacing w:before="111" w:line="195" w:lineRule="auto"/>
              <w:ind w:left="73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960" w:type="dxa"/>
            <w:vAlign w:val="top"/>
          </w:tcPr>
          <w:p w14:paraId="684A8EBB">
            <w:pPr>
              <w:spacing w:before="111" w:line="195" w:lineRule="auto"/>
              <w:ind w:left="30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55.</w:t>
            </w:r>
            <w:r>
              <w:rPr>
                <w:rFonts w:ascii="Times New Roman" w:hAnsi="Times New Roman" w:eastAsia="Times New Roman" w:cs="Times New Roman"/>
                <w:spacing w:val="2"/>
                <w:sz w:val="20"/>
                <w:szCs w:val="20"/>
              </w:rPr>
              <w:t>0</w:t>
            </w:r>
          </w:p>
        </w:tc>
        <w:tc>
          <w:tcPr>
            <w:tcW w:w="902" w:type="dxa"/>
            <w:tcBorders>
              <w:right w:val="nil"/>
            </w:tcBorders>
            <w:vAlign w:val="top"/>
          </w:tcPr>
          <w:p w14:paraId="29A29BA3">
            <w:pPr>
              <w:spacing w:before="76" w:line="228" w:lineRule="auto"/>
              <w:ind w:left="244"/>
              <w:rPr>
                <w:rFonts w:ascii="宋体" w:hAnsi="宋体" w:eastAsia="宋体" w:cs="宋体"/>
                <w:sz w:val="20"/>
                <w:szCs w:val="20"/>
              </w:rPr>
            </w:pPr>
            <w:r>
              <w:rPr>
                <w:rFonts w:ascii="宋体" w:hAnsi="宋体" w:eastAsia="宋体" w:cs="宋体"/>
                <w:spacing w:val="5"/>
                <w:sz w:val="20"/>
                <w:szCs w:val="20"/>
              </w:rPr>
              <w:t>达标</w:t>
            </w:r>
          </w:p>
        </w:tc>
      </w:tr>
      <w:tr w14:paraId="20962C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1104" w:type="dxa"/>
            <w:tcBorders>
              <w:left w:val="nil"/>
            </w:tcBorders>
            <w:vAlign w:val="top"/>
          </w:tcPr>
          <w:p w14:paraId="1BB63E32">
            <w:pPr>
              <w:spacing w:before="243" w:line="205" w:lineRule="auto"/>
              <w:ind w:left="443"/>
              <w:rPr>
                <w:rFonts w:ascii="Times New Roman" w:hAnsi="Times New Roman" w:eastAsia="Times New Roman" w:cs="Times New Roman"/>
                <w:sz w:val="13"/>
                <w:szCs w:val="13"/>
              </w:rPr>
            </w:pPr>
            <w:r>
              <w:rPr>
                <w:rFonts w:ascii="Times New Roman" w:hAnsi="Times New Roman" w:eastAsia="Times New Roman" w:cs="Times New Roman"/>
                <w:b/>
                <w:bCs/>
                <w:sz w:val="20"/>
                <w:szCs w:val="20"/>
              </w:rPr>
              <w:t>O</w:t>
            </w:r>
            <w:r>
              <w:rPr>
                <w:rFonts w:ascii="Times New Roman" w:hAnsi="Times New Roman" w:eastAsia="Times New Roman" w:cs="Times New Roman"/>
                <w:b/>
                <w:bCs/>
                <w:spacing w:val="2"/>
                <w:position w:val="-1"/>
                <w:sz w:val="13"/>
                <w:szCs w:val="13"/>
              </w:rPr>
              <w:t>3</w:t>
            </w:r>
          </w:p>
        </w:tc>
        <w:tc>
          <w:tcPr>
            <w:tcW w:w="2048" w:type="dxa"/>
            <w:vAlign w:val="top"/>
          </w:tcPr>
          <w:p w14:paraId="49154883">
            <w:pPr>
              <w:spacing w:before="51" w:line="258" w:lineRule="auto"/>
              <w:ind w:left="88" w:right="20" w:hanging="12"/>
              <w:rPr>
                <w:rFonts w:ascii="宋体" w:hAnsi="宋体" w:eastAsia="宋体" w:cs="宋体"/>
                <w:sz w:val="20"/>
                <w:szCs w:val="20"/>
              </w:rPr>
            </w:pPr>
            <w:r>
              <w:rPr>
                <w:rFonts w:ascii="宋体" w:hAnsi="宋体" w:eastAsia="宋体" w:cs="宋体"/>
                <w:spacing w:val="-16"/>
                <w:sz w:val="20"/>
                <w:szCs w:val="20"/>
              </w:rPr>
              <w:t>日</w:t>
            </w:r>
            <w:r>
              <w:rPr>
                <w:rFonts w:ascii="宋体" w:hAnsi="宋体" w:eastAsia="宋体" w:cs="宋体"/>
                <w:spacing w:val="-9"/>
                <w:sz w:val="20"/>
                <w:szCs w:val="20"/>
              </w:rPr>
              <w:t>最</w:t>
            </w:r>
            <w:r>
              <w:rPr>
                <w:rFonts w:ascii="宋体" w:hAnsi="宋体" w:eastAsia="宋体" w:cs="宋体"/>
                <w:spacing w:val="-8"/>
                <w:sz w:val="20"/>
                <w:szCs w:val="20"/>
              </w:rPr>
              <w:t xml:space="preserve">大 </w:t>
            </w:r>
            <w:r>
              <w:rPr>
                <w:rFonts w:ascii="Times New Roman" w:hAnsi="Times New Roman" w:eastAsia="Times New Roman" w:cs="Times New Roman"/>
                <w:spacing w:val="-8"/>
                <w:sz w:val="20"/>
                <w:szCs w:val="20"/>
              </w:rPr>
              <w:t xml:space="preserve">8 </w:t>
            </w:r>
            <w:r>
              <w:rPr>
                <w:rFonts w:ascii="宋体" w:hAnsi="宋体" w:eastAsia="宋体" w:cs="宋体"/>
                <w:spacing w:val="-8"/>
                <w:sz w:val="20"/>
                <w:szCs w:val="20"/>
              </w:rPr>
              <w:t>小时滑动平均</w:t>
            </w:r>
            <w:r>
              <w:rPr>
                <w:rFonts w:ascii="宋体" w:hAnsi="宋体" w:eastAsia="宋体" w:cs="宋体"/>
                <w:sz w:val="20"/>
                <w:szCs w:val="20"/>
              </w:rPr>
              <w:t xml:space="preserve"> </w:t>
            </w:r>
            <w:r>
              <w:rPr>
                <w:rFonts w:ascii="宋体" w:hAnsi="宋体" w:eastAsia="宋体" w:cs="宋体"/>
                <w:spacing w:val="-9"/>
                <w:sz w:val="20"/>
                <w:szCs w:val="20"/>
              </w:rPr>
              <w:t>浓</w:t>
            </w:r>
            <w:r>
              <w:rPr>
                <w:rFonts w:ascii="宋体" w:hAnsi="宋体" w:eastAsia="宋体" w:cs="宋体"/>
                <w:spacing w:val="-5"/>
                <w:sz w:val="20"/>
                <w:szCs w:val="20"/>
              </w:rPr>
              <w:t xml:space="preserve">度的第 </w:t>
            </w:r>
            <w:r>
              <w:rPr>
                <w:rFonts w:ascii="Times New Roman" w:hAnsi="Times New Roman" w:eastAsia="Times New Roman" w:cs="Times New Roman"/>
                <w:spacing w:val="-5"/>
                <w:sz w:val="20"/>
                <w:szCs w:val="20"/>
              </w:rPr>
              <w:t xml:space="preserve">90 </w:t>
            </w:r>
            <w:r>
              <w:rPr>
                <w:rFonts w:ascii="宋体" w:hAnsi="宋体" w:eastAsia="宋体" w:cs="宋体"/>
                <w:spacing w:val="-5"/>
                <w:sz w:val="20"/>
                <w:szCs w:val="20"/>
              </w:rPr>
              <w:t>百分位数</w:t>
            </w:r>
          </w:p>
        </w:tc>
        <w:tc>
          <w:tcPr>
            <w:tcW w:w="1800" w:type="dxa"/>
            <w:vAlign w:val="top"/>
          </w:tcPr>
          <w:p w14:paraId="465BF7CE">
            <w:pPr>
              <w:spacing w:before="244" w:line="195" w:lineRule="auto"/>
              <w:ind w:left="7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137</w:t>
            </w:r>
          </w:p>
        </w:tc>
        <w:tc>
          <w:tcPr>
            <w:tcW w:w="1575" w:type="dxa"/>
            <w:vAlign w:val="top"/>
          </w:tcPr>
          <w:p w14:paraId="102B51F0">
            <w:pPr>
              <w:spacing w:before="244" w:line="195" w:lineRule="auto"/>
              <w:ind w:left="65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160</w:t>
            </w:r>
          </w:p>
        </w:tc>
        <w:tc>
          <w:tcPr>
            <w:tcW w:w="960" w:type="dxa"/>
            <w:vAlign w:val="top"/>
          </w:tcPr>
          <w:p w14:paraId="69212A85">
            <w:pPr>
              <w:spacing w:before="244" w:line="195" w:lineRule="auto"/>
              <w:ind w:left="30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8</w:t>
            </w:r>
            <w:r>
              <w:rPr>
                <w:rFonts w:ascii="Times New Roman" w:hAnsi="Times New Roman" w:eastAsia="Times New Roman" w:cs="Times New Roman"/>
                <w:spacing w:val="2"/>
                <w:sz w:val="20"/>
                <w:szCs w:val="20"/>
              </w:rPr>
              <w:t>5.6</w:t>
            </w:r>
          </w:p>
        </w:tc>
        <w:tc>
          <w:tcPr>
            <w:tcW w:w="902" w:type="dxa"/>
            <w:tcBorders>
              <w:right w:val="nil"/>
            </w:tcBorders>
            <w:vAlign w:val="top"/>
          </w:tcPr>
          <w:p w14:paraId="123FBED0">
            <w:pPr>
              <w:spacing w:before="208" w:line="228" w:lineRule="auto"/>
              <w:ind w:left="244"/>
              <w:rPr>
                <w:rFonts w:ascii="宋体" w:hAnsi="宋体" w:eastAsia="宋体" w:cs="宋体"/>
                <w:sz w:val="20"/>
                <w:szCs w:val="20"/>
              </w:rPr>
            </w:pPr>
            <w:r>
              <w:rPr>
                <w:rFonts w:ascii="宋体" w:hAnsi="宋体" w:eastAsia="宋体" w:cs="宋体"/>
                <w:spacing w:val="5"/>
                <w:sz w:val="20"/>
                <w:szCs w:val="20"/>
              </w:rPr>
              <w:t>达标</w:t>
            </w:r>
          </w:p>
        </w:tc>
      </w:tr>
    </w:tbl>
    <w:p w14:paraId="1B7C7C54">
      <w:pPr>
        <w:spacing w:line="259" w:lineRule="auto"/>
        <w:rPr>
          <w:rFonts w:ascii="Arial"/>
          <w:sz w:val="21"/>
        </w:rPr>
      </w:pPr>
    </w:p>
    <w:p w14:paraId="6BA7FD4D">
      <w:pPr>
        <w:spacing w:before="74" w:line="386" w:lineRule="auto"/>
        <w:ind w:left="32" w:right="190" w:firstLine="475"/>
        <w:rPr>
          <w:rFonts w:ascii="宋体" w:hAnsi="宋体" w:eastAsia="宋体" w:cs="宋体"/>
          <w:sz w:val="23"/>
          <w:szCs w:val="23"/>
        </w:rPr>
      </w:pPr>
      <w:r>
        <w:rPr>
          <w:rFonts w:ascii="Times New Roman" w:hAnsi="Times New Roman" w:eastAsia="Times New Roman" w:cs="Times New Roman"/>
          <w:spacing w:val="5"/>
          <w:sz w:val="23"/>
          <w:szCs w:val="23"/>
        </w:rPr>
        <w:t xml:space="preserve">2018 </w:t>
      </w:r>
      <w:r>
        <w:rPr>
          <w:rFonts w:ascii="宋体" w:hAnsi="宋体" w:eastAsia="宋体" w:cs="宋体"/>
          <w:spacing w:val="5"/>
          <w:sz w:val="23"/>
          <w:szCs w:val="23"/>
        </w:rPr>
        <w:t>年本溪市城区环境空气质量达</w:t>
      </w:r>
      <w:r>
        <w:rPr>
          <w:rFonts w:ascii="Times New Roman" w:hAnsi="Times New Roman" w:eastAsia="Times New Roman" w:cs="Times New Roman"/>
          <w:spacing w:val="5"/>
          <w:sz w:val="23"/>
          <w:szCs w:val="23"/>
        </w:rPr>
        <w:t>Ⅱ</w:t>
      </w:r>
      <w:r>
        <w:rPr>
          <w:rFonts w:ascii="宋体" w:hAnsi="宋体" w:eastAsia="宋体" w:cs="宋体"/>
          <w:spacing w:val="5"/>
          <w:sz w:val="23"/>
          <w:szCs w:val="23"/>
        </w:rPr>
        <w:t xml:space="preserve">级 (良) 以上天数为 </w:t>
      </w:r>
      <w:r>
        <w:rPr>
          <w:rFonts w:ascii="Times New Roman" w:hAnsi="Times New Roman" w:eastAsia="Times New Roman" w:cs="Times New Roman"/>
          <w:spacing w:val="5"/>
          <w:sz w:val="23"/>
          <w:szCs w:val="23"/>
        </w:rPr>
        <w:t xml:space="preserve">331 </w:t>
      </w:r>
      <w:r>
        <w:rPr>
          <w:rFonts w:ascii="宋体" w:hAnsi="宋体" w:eastAsia="宋体" w:cs="宋体"/>
          <w:spacing w:val="5"/>
          <w:sz w:val="23"/>
          <w:szCs w:val="23"/>
        </w:rPr>
        <w:t>天，达标率</w:t>
      </w:r>
      <w:r>
        <w:rPr>
          <w:rFonts w:ascii="宋体" w:hAnsi="宋体" w:eastAsia="宋体" w:cs="宋体"/>
          <w:sz w:val="23"/>
          <w:szCs w:val="23"/>
        </w:rPr>
        <w:t xml:space="preserve">为 </w:t>
      </w:r>
      <w:r>
        <w:rPr>
          <w:rFonts w:ascii="Times New Roman" w:hAnsi="Times New Roman" w:eastAsia="Times New Roman" w:cs="Times New Roman"/>
          <w:spacing w:val="1"/>
          <w:sz w:val="23"/>
          <w:szCs w:val="23"/>
        </w:rPr>
        <w:t xml:space="preserve">90.7% </w:t>
      </w:r>
      <w:r>
        <w:rPr>
          <w:rFonts w:ascii="宋体" w:hAnsi="宋体" w:eastAsia="宋体" w:cs="宋体"/>
          <w:spacing w:val="1"/>
          <w:sz w:val="23"/>
          <w:szCs w:val="23"/>
        </w:rPr>
        <w:t xml:space="preserve">。 自然降尘平均浓度为 </w:t>
      </w:r>
      <w:r>
        <w:rPr>
          <w:rFonts w:ascii="Times New Roman" w:hAnsi="Times New Roman" w:eastAsia="Times New Roman" w:cs="Times New Roman"/>
          <w:spacing w:val="1"/>
          <w:sz w:val="23"/>
          <w:szCs w:val="23"/>
        </w:rPr>
        <w:t xml:space="preserve">10.3 </w:t>
      </w:r>
      <w:r>
        <w:rPr>
          <w:rFonts w:ascii="宋体" w:hAnsi="宋体" w:eastAsia="宋体" w:cs="宋体"/>
          <w:spacing w:val="1"/>
          <w:sz w:val="23"/>
          <w:szCs w:val="23"/>
        </w:rPr>
        <w:t>吨</w:t>
      </w:r>
      <w:r>
        <w:rPr>
          <w:rFonts w:ascii="Times New Roman" w:hAnsi="Times New Roman" w:eastAsia="Times New Roman" w:cs="Times New Roman"/>
          <w:spacing w:val="1"/>
          <w:sz w:val="23"/>
          <w:szCs w:val="23"/>
        </w:rPr>
        <w:t>/</w:t>
      </w:r>
      <w:r>
        <w:rPr>
          <w:rFonts w:ascii="宋体" w:hAnsi="宋体" w:eastAsia="宋体" w:cs="宋体"/>
          <w:spacing w:val="1"/>
          <w:sz w:val="23"/>
          <w:szCs w:val="23"/>
        </w:rPr>
        <w:t>平方公里</w:t>
      </w:r>
      <w:r>
        <w:rPr>
          <w:rFonts w:ascii="宋体" w:hAnsi="宋体" w:eastAsia="宋体" w:cs="宋体"/>
          <w:sz w:val="23"/>
          <w:szCs w:val="23"/>
        </w:rPr>
        <w:t xml:space="preserve"> </w:t>
      </w:r>
      <w:r>
        <w:rPr>
          <w:rFonts w:ascii="Times New Roman" w:hAnsi="Times New Roman" w:eastAsia="Times New Roman" w:cs="Times New Roman"/>
          <w:sz w:val="23"/>
          <w:szCs w:val="23"/>
        </w:rPr>
        <w:t xml:space="preserve">· </w:t>
      </w:r>
      <w:r>
        <w:rPr>
          <w:rFonts w:ascii="宋体" w:hAnsi="宋体" w:eastAsia="宋体" w:cs="宋体"/>
          <w:sz w:val="23"/>
          <w:szCs w:val="23"/>
        </w:rPr>
        <w:t>月，</w:t>
      </w:r>
      <w:r>
        <w:rPr>
          <w:rFonts w:ascii="Times New Roman" w:hAnsi="Times New Roman" w:eastAsia="Times New Roman" w:cs="Times New Roman"/>
          <w:sz w:val="23"/>
          <w:szCs w:val="23"/>
        </w:rPr>
        <w:t xml:space="preserve">6 </w:t>
      </w:r>
      <w:r>
        <w:rPr>
          <w:rFonts w:ascii="宋体" w:hAnsi="宋体" w:eastAsia="宋体" w:cs="宋体"/>
          <w:sz w:val="23"/>
          <w:szCs w:val="23"/>
        </w:rPr>
        <w:t xml:space="preserve">项污染物年均浓度全部达 </w:t>
      </w:r>
      <w:r>
        <w:rPr>
          <w:rFonts w:ascii="宋体" w:hAnsi="宋体" w:eastAsia="宋体" w:cs="宋体"/>
          <w:spacing w:val="4"/>
          <w:sz w:val="23"/>
          <w:szCs w:val="23"/>
        </w:rPr>
        <w:t>标</w:t>
      </w:r>
      <w:r>
        <w:rPr>
          <w:rFonts w:ascii="宋体" w:hAnsi="宋体" w:eastAsia="宋体" w:cs="宋体"/>
          <w:spacing w:val="3"/>
          <w:sz w:val="23"/>
          <w:szCs w:val="23"/>
        </w:rPr>
        <w:t>，</w:t>
      </w:r>
      <w:r>
        <w:rPr>
          <w:rFonts w:ascii="Times New Roman" w:hAnsi="Times New Roman" w:eastAsia="Times New Roman" w:cs="Times New Roman"/>
          <w:sz w:val="23"/>
          <w:szCs w:val="23"/>
        </w:rPr>
        <w:t>PM</w:t>
      </w:r>
      <w:r>
        <w:rPr>
          <w:rFonts w:ascii="Times New Roman" w:hAnsi="Times New Roman" w:eastAsia="Times New Roman" w:cs="Times New Roman"/>
          <w:spacing w:val="3"/>
          <w:sz w:val="23"/>
          <w:szCs w:val="23"/>
        </w:rPr>
        <w:t xml:space="preserve">10 </w:t>
      </w:r>
      <w:r>
        <w:rPr>
          <w:rFonts w:ascii="宋体" w:hAnsi="宋体" w:eastAsia="宋体" w:cs="宋体"/>
          <w:spacing w:val="3"/>
          <w:sz w:val="23"/>
          <w:szCs w:val="23"/>
        </w:rPr>
        <w:t>、</w:t>
      </w:r>
      <w:r>
        <w:rPr>
          <w:rFonts w:ascii="Times New Roman" w:hAnsi="Times New Roman" w:eastAsia="Times New Roman" w:cs="Times New Roman"/>
          <w:sz w:val="23"/>
          <w:szCs w:val="23"/>
        </w:rPr>
        <w:t>PM</w:t>
      </w:r>
      <w:r>
        <w:rPr>
          <w:rFonts w:ascii="Times New Roman" w:hAnsi="Times New Roman" w:eastAsia="Times New Roman" w:cs="Times New Roman"/>
          <w:spacing w:val="3"/>
          <w:sz w:val="23"/>
          <w:szCs w:val="23"/>
        </w:rPr>
        <w:t xml:space="preserve">2.5 </w:t>
      </w:r>
      <w:r>
        <w:rPr>
          <w:rFonts w:ascii="宋体" w:hAnsi="宋体" w:eastAsia="宋体" w:cs="宋体"/>
          <w:spacing w:val="3"/>
          <w:sz w:val="23"/>
          <w:szCs w:val="23"/>
        </w:rPr>
        <w:t xml:space="preserve">年均浓度分别为 </w:t>
      </w:r>
      <w:r>
        <w:rPr>
          <w:rFonts w:ascii="Times New Roman" w:hAnsi="Times New Roman" w:eastAsia="Times New Roman" w:cs="Times New Roman"/>
          <w:spacing w:val="3"/>
          <w:sz w:val="23"/>
          <w:szCs w:val="23"/>
        </w:rPr>
        <w:t xml:space="preserve">65 </w:t>
      </w:r>
      <w:r>
        <w:rPr>
          <w:rFonts w:ascii="宋体" w:hAnsi="宋体" w:eastAsia="宋体" w:cs="宋体"/>
          <w:spacing w:val="3"/>
          <w:sz w:val="23"/>
          <w:szCs w:val="23"/>
        </w:rPr>
        <w:t>微克</w:t>
      </w:r>
      <w:r>
        <w:rPr>
          <w:rFonts w:ascii="Times New Roman" w:hAnsi="Times New Roman" w:eastAsia="Times New Roman" w:cs="Times New Roman"/>
          <w:spacing w:val="3"/>
          <w:sz w:val="23"/>
          <w:szCs w:val="23"/>
        </w:rPr>
        <w:t>/</w:t>
      </w:r>
      <w:r>
        <w:rPr>
          <w:rFonts w:ascii="宋体" w:hAnsi="宋体" w:eastAsia="宋体" w:cs="宋体"/>
          <w:spacing w:val="3"/>
          <w:sz w:val="23"/>
          <w:szCs w:val="23"/>
        </w:rPr>
        <w:t xml:space="preserve">立方米和 </w:t>
      </w:r>
      <w:r>
        <w:rPr>
          <w:rFonts w:ascii="Times New Roman" w:hAnsi="Times New Roman" w:eastAsia="Times New Roman" w:cs="Times New Roman"/>
          <w:spacing w:val="3"/>
          <w:sz w:val="23"/>
          <w:szCs w:val="23"/>
        </w:rPr>
        <w:t xml:space="preserve">34 </w:t>
      </w:r>
      <w:r>
        <w:rPr>
          <w:rFonts w:ascii="宋体" w:hAnsi="宋体" w:eastAsia="宋体" w:cs="宋体"/>
          <w:spacing w:val="3"/>
          <w:sz w:val="23"/>
          <w:szCs w:val="23"/>
        </w:rPr>
        <w:t>微克</w:t>
      </w:r>
      <w:r>
        <w:rPr>
          <w:rFonts w:ascii="Times New Roman" w:hAnsi="Times New Roman" w:eastAsia="Times New Roman" w:cs="Times New Roman"/>
          <w:spacing w:val="3"/>
          <w:sz w:val="23"/>
          <w:szCs w:val="23"/>
        </w:rPr>
        <w:t>/</w:t>
      </w:r>
      <w:r>
        <w:rPr>
          <w:rFonts w:ascii="宋体" w:hAnsi="宋体" w:eastAsia="宋体" w:cs="宋体"/>
          <w:spacing w:val="3"/>
          <w:sz w:val="23"/>
          <w:szCs w:val="23"/>
        </w:rPr>
        <w:t>立方米。</w:t>
      </w:r>
    </w:p>
    <w:p w14:paraId="4649E5F0">
      <w:pPr>
        <w:spacing w:before="155" w:line="390" w:lineRule="auto"/>
        <w:ind w:left="34" w:right="187" w:firstLine="478"/>
        <w:rPr>
          <w:rFonts w:ascii="宋体" w:hAnsi="宋体" w:eastAsia="宋体" w:cs="宋体"/>
          <w:sz w:val="23"/>
          <w:szCs w:val="23"/>
        </w:rPr>
      </w:pPr>
      <w:r>
        <w:rPr>
          <w:rFonts w:ascii="宋体" w:hAnsi="宋体" w:eastAsia="宋体" w:cs="宋体"/>
          <w:spacing w:val="8"/>
          <w:sz w:val="23"/>
          <w:szCs w:val="23"/>
        </w:rPr>
        <w:t>根据《环境影响</w:t>
      </w:r>
      <w:r>
        <w:rPr>
          <w:rFonts w:ascii="宋体" w:hAnsi="宋体" w:eastAsia="宋体" w:cs="宋体"/>
          <w:spacing w:val="7"/>
          <w:sz w:val="23"/>
          <w:szCs w:val="23"/>
        </w:rPr>
        <w:t>评</w:t>
      </w:r>
      <w:r>
        <w:rPr>
          <w:rFonts w:ascii="宋体" w:hAnsi="宋体" w:eastAsia="宋体" w:cs="宋体"/>
          <w:spacing w:val="4"/>
          <w:sz w:val="23"/>
          <w:szCs w:val="23"/>
        </w:rPr>
        <w:t>价技术导则</w:t>
      </w:r>
      <w:r>
        <w:rPr>
          <w:rFonts w:ascii="Times New Roman" w:hAnsi="Times New Roman" w:eastAsia="Times New Roman" w:cs="Times New Roman"/>
          <w:spacing w:val="4"/>
          <w:sz w:val="23"/>
          <w:szCs w:val="23"/>
        </w:rPr>
        <w:t>—</w:t>
      </w:r>
      <w:r>
        <w:rPr>
          <w:rFonts w:ascii="宋体" w:hAnsi="宋体" w:eastAsia="宋体" w:cs="宋体"/>
          <w:spacing w:val="4"/>
          <w:sz w:val="23"/>
          <w:szCs w:val="23"/>
        </w:rPr>
        <w:t>大气环境》  (</w:t>
      </w:r>
      <w:r>
        <w:rPr>
          <w:rFonts w:ascii="Times New Roman" w:hAnsi="Times New Roman" w:eastAsia="Times New Roman" w:cs="Times New Roman"/>
          <w:sz w:val="23"/>
          <w:szCs w:val="23"/>
        </w:rPr>
        <w:t>HJ</w:t>
      </w:r>
      <w:r>
        <w:rPr>
          <w:rFonts w:ascii="Times New Roman" w:hAnsi="Times New Roman" w:eastAsia="Times New Roman" w:cs="Times New Roman"/>
          <w:spacing w:val="4"/>
          <w:sz w:val="23"/>
          <w:szCs w:val="23"/>
        </w:rPr>
        <w:t>2.2-2018</w:t>
      </w:r>
      <w:r>
        <w:rPr>
          <w:rFonts w:ascii="宋体" w:hAnsi="宋体" w:eastAsia="宋体" w:cs="宋体"/>
          <w:spacing w:val="4"/>
          <w:sz w:val="23"/>
          <w:szCs w:val="23"/>
        </w:rPr>
        <w:t>) 要求，六项基本</w:t>
      </w:r>
      <w:r>
        <w:rPr>
          <w:rFonts w:ascii="宋体" w:hAnsi="宋体" w:eastAsia="宋体" w:cs="宋体"/>
          <w:sz w:val="23"/>
          <w:szCs w:val="23"/>
        </w:rPr>
        <w:t xml:space="preserve"> </w:t>
      </w:r>
      <w:r>
        <w:rPr>
          <w:rFonts w:ascii="宋体" w:hAnsi="宋体" w:eastAsia="宋体" w:cs="宋体"/>
          <w:spacing w:val="11"/>
          <w:sz w:val="23"/>
          <w:szCs w:val="23"/>
        </w:rPr>
        <w:t>污染物全部达标为区域环境质量达标，从《本溪市环境质量简报 (</w:t>
      </w:r>
      <w:r>
        <w:rPr>
          <w:rFonts w:ascii="Times New Roman" w:hAnsi="Times New Roman" w:eastAsia="Times New Roman" w:cs="Times New Roman"/>
          <w:spacing w:val="11"/>
          <w:sz w:val="23"/>
          <w:szCs w:val="23"/>
        </w:rPr>
        <w:t xml:space="preserve">2018 </w:t>
      </w:r>
      <w:r>
        <w:rPr>
          <w:rFonts w:ascii="宋体" w:hAnsi="宋体" w:eastAsia="宋体" w:cs="宋体"/>
          <w:spacing w:val="11"/>
          <w:sz w:val="23"/>
          <w:szCs w:val="23"/>
        </w:rPr>
        <w:t xml:space="preserve">年) </w:t>
      </w:r>
      <w:r>
        <w:rPr>
          <w:rFonts w:ascii="宋体" w:hAnsi="宋体" w:eastAsia="宋体" w:cs="宋体"/>
          <w:spacing w:val="4"/>
          <w:sz w:val="23"/>
          <w:szCs w:val="23"/>
        </w:rPr>
        <w:t>》</w:t>
      </w:r>
      <w:r>
        <w:rPr>
          <w:rFonts w:ascii="宋体" w:hAnsi="宋体" w:eastAsia="宋体" w:cs="宋体"/>
          <w:sz w:val="23"/>
          <w:szCs w:val="23"/>
        </w:rPr>
        <w:t xml:space="preserve"> </w:t>
      </w:r>
      <w:r>
        <w:rPr>
          <w:rFonts w:ascii="宋体" w:hAnsi="宋体" w:eastAsia="宋体" w:cs="宋体"/>
          <w:spacing w:val="9"/>
          <w:sz w:val="23"/>
          <w:szCs w:val="23"/>
        </w:rPr>
        <w:t>结论可以看出该项目所在区域为达标区</w:t>
      </w:r>
      <w:r>
        <w:rPr>
          <w:rFonts w:ascii="宋体" w:hAnsi="宋体" w:eastAsia="宋体" w:cs="宋体"/>
          <w:spacing w:val="5"/>
          <w:sz w:val="23"/>
          <w:szCs w:val="23"/>
        </w:rPr>
        <w:t>。</w:t>
      </w:r>
    </w:p>
    <w:p w14:paraId="48184656">
      <w:pPr>
        <w:spacing w:before="101" w:line="220" w:lineRule="auto"/>
        <w:ind w:left="30"/>
        <w:outlineLvl w:val="3"/>
        <w:rPr>
          <w:rFonts w:ascii="宋体" w:hAnsi="宋体" w:eastAsia="宋体" w:cs="宋体"/>
          <w:sz w:val="28"/>
          <w:szCs w:val="28"/>
        </w:rPr>
      </w:pPr>
      <w:r>
        <w:rPr>
          <w:rFonts w:ascii="Times New Roman" w:hAnsi="Times New Roman" w:eastAsia="Times New Roman" w:cs="Times New Roman"/>
          <w:b/>
          <w:bCs/>
          <w:spacing w:val="15"/>
          <w:sz w:val="28"/>
          <w:szCs w:val="28"/>
        </w:rPr>
        <w:t>4</w:t>
      </w:r>
      <w:r>
        <w:rPr>
          <w:rFonts w:ascii="Times New Roman" w:hAnsi="Times New Roman" w:eastAsia="Times New Roman" w:cs="Times New Roman"/>
          <w:b/>
          <w:bCs/>
          <w:spacing w:val="9"/>
          <w:sz w:val="28"/>
          <w:szCs w:val="28"/>
        </w:rPr>
        <w:t>.3.1.2</w:t>
      </w:r>
      <w:r>
        <w:rPr>
          <w:rFonts w:ascii="Times New Roman" w:hAnsi="Times New Roman" w:eastAsia="Times New Roman" w:cs="Times New Roman"/>
          <w:spacing w:val="9"/>
          <w:sz w:val="28"/>
          <w:szCs w:val="28"/>
        </w:rPr>
        <w:t xml:space="preserve">  </w:t>
      </w:r>
      <w:r>
        <w:rPr>
          <w:rFonts w:ascii="宋体" w:hAnsi="宋体" w:eastAsia="宋体" w:cs="宋体"/>
          <w:spacing w:val="9"/>
          <w:sz w:val="28"/>
          <w:szCs w:val="28"/>
          <w14:textOutline w14:w="5103" w14:cap="sq" w14:cmpd="sng">
            <w14:solidFill>
              <w14:srgbClr w14:val="000000"/>
            </w14:solidFill>
            <w14:prstDash w14:val="solid"/>
            <w14:bevel/>
          </w14:textOutline>
        </w:rPr>
        <w:t>区域特征污染物环境质量现状</w:t>
      </w:r>
    </w:p>
    <w:p w14:paraId="687EB5F2">
      <w:pPr>
        <w:spacing w:line="261" w:lineRule="auto"/>
        <w:rPr>
          <w:rFonts w:ascii="Arial"/>
          <w:sz w:val="21"/>
        </w:rPr>
      </w:pPr>
    </w:p>
    <w:p w14:paraId="1252442A">
      <w:pPr>
        <w:spacing w:before="75" w:line="389" w:lineRule="auto"/>
        <w:ind w:left="33" w:right="192" w:firstLine="479"/>
        <w:rPr>
          <w:rFonts w:ascii="宋体" w:hAnsi="宋体" w:eastAsia="宋体" w:cs="宋体"/>
          <w:sz w:val="23"/>
          <w:szCs w:val="23"/>
        </w:rPr>
      </w:pPr>
      <w:r>
        <w:rPr>
          <w:rFonts w:ascii="宋体" w:hAnsi="宋体" w:eastAsia="宋体" w:cs="宋体"/>
          <w:spacing w:val="18"/>
          <w:sz w:val="23"/>
          <w:szCs w:val="23"/>
        </w:rPr>
        <w:t>根</w:t>
      </w:r>
      <w:r>
        <w:rPr>
          <w:rFonts w:ascii="宋体" w:hAnsi="宋体" w:eastAsia="宋体" w:cs="宋体"/>
          <w:spacing w:val="12"/>
          <w:sz w:val="23"/>
          <w:szCs w:val="23"/>
        </w:rPr>
        <w:t>据</w:t>
      </w:r>
      <w:r>
        <w:rPr>
          <w:rFonts w:ascii="宋体" w:hAnsi="宋体" w:eastAsia="宋体" w:cs="宋体"/>
          <w:spacing w:val="9"/>
          <w:sz w:val="23"/>
          <w:szCs w:val="23"/>
        </w:rPr>
        <w:t xml:space="preserve"> </w:t>
      </w:r>
      <w:r>
        <w:rPr>
          <w:rFonts w:ascii="Times New Roman" w:hAnsi="Times New Roman" w:eastAsia="Times New Roman" w:cs="Times New Roman"/>
          <w:sz w:val="23"/>
          <w:szCs w:val="23"/>
        </w:rPr>
        <w:t>HJ</w:t>
      </w:r>
      <w:r>
        <w:rPr>
          <w:rFonts w:ascii="Times New Roman" w:hAnsi="Times New Roman" w:eastAsia="Times New Roman" w:cs="Times New Roman"/>
          <w:spacing w:val="9"/>
          <w:sz w:val="23"/>
          <w:szCs w:val="23"/>
        </w:rPr>
        <w:t xml:space="preserve">2.2-2018 </w:t>
      </w:r>
      <w:r>
        <w:rPr>
          <w:rFonts w:ascii="宋体" w:hAnsi="宋体" w:eastAsia="宋体" w:cs="宋体"/>
          <w:spacing w:val="9"/>
          <w:sz w:val="23"/>
          <w:szCs w:val="23"/>
        </w:rPr>
        <w:t xml:space="preserve">要求其他污染物环境质量现状数据可收集评价范围内近 </w:t>
      </w:r>
      <w:r>
        <w:rPr>
          <w:rFonts w:ascii="Times New Roman" w:hAnsi="Times New Roman" w:eastAsia="Times New Roman" w:cs="Times New Roman"/>
          <w:spacing w:val="9"/>
          <w:sz w:val="23"/>
          <w:szCs w:val="23"/>
        </w:rPr>
        <w:t>3</w:t>
      </w:r>
      <w:r>
        <w:rPr>
          <w:rFonts w:ascii="Times New Roman" w:hAnsi="Times New Roman" w:eastAsia="Times New Roman" w:cs="Times New Roman"/>
          <w:sz w:val="23"/>
          <w:szCs w:val="23"/>
        </w:rPr>
        <w:t xml:space="preserve"> </w:t>
      </w:r>
      <w:r>
        <w:rPr>
          <w:rFonts w:ascii="宋体" w:hAnsi="宋体" w:eastAsia="宋体" w:cs="宋体"/>
          <w:spacing w:val="8"/>
          <w:sz w:val="23"/>
          <w:szCs w:val="23"/>
        </w:rPr>
        <w:t>年</w:t>
      </w:r>
      <w:r>
        <w:rPr>
          <w:rFonts w:ascii="宋体" w:hAnsi="宋体" w:eastAsia="宋体" w:cs="宋体"/>
          <w:spacing w:val="7"/>
          <w:sz w:val="23"/>
          <w:szCs w:val="23"/>
        </w:rPr>
        <w:t>与项目排放的其他污染物有关的历史监测资料。该项目涉及的其他污染物为非</w:t>
      </w:r>
      <w:r>
        <w:rPr>
          <w:rFonts w:ascii="宋体" w:hAnsi="宋体" w:eastAsia="宋体" w:cs="宋体"/>
          <w:sz w:val="23"/>
          <w:szCs w:val="23"/>
        </w:rPr>
        <w:t xml:space="preserve"> </w:t>
      </w:r>
      <w:r>
        <w:rPr>
          <w:rFonts w:ascii="宋体" w:hAnsi="宋体" w:eastAsia="宋体" w:cs="宋体"/>
          <w:spacing w:val="4"/>
          <w:sz w:val="23"/>
          <w:szCs w:val="23"/>
        </w:rPr>
        <w:t>甲烷总烃。该项目委托辽宁康瑞检测有</w:t>
      </w:r>
      <w:r>
        <w:rPr>
          <w:rFonts w:ascii="宋体" w:hAnsi="宋体" w:eastAsia="宋体" w:cs="宋体"/>
          <w:spacing w:val="2"/>
          <w:sz w:val="23"/>
          <w:szCs w:val="23"/>
        </w:rPr>
        <w:t xml:space="preserve">限公司于 </w:t>
      </w:r>
      <w:r>
        <w:rPr>
          <w:rFonts w:ascii="Times New Roman" w:hAnsi="Times New Roman" w:eastAsia="Times New Roman" w:cs="Times New Roman"/>
          <w:spacing w:val="2"/>
          <w:sz w:val="23"/>
          <w:szCs w:val="23"/>
        </w:rPr>
        <w:t xml:space="preserve">2019 </w:t>
      </w:r>
      <w:r>
        <w:rPr>
          <w:rFonts w:ascii="宋体" w:hAnsi="宋体" w:eastAsia="宋体" w:cs="宋体"/>
          <w:spacing w:val="2"/>
          <w:sz w:val="23"/>
          <w:szCs w:val="23"/>
        </w:rPr>
        <w:t xml:space="preserve">年 </w:t>
      </w:r>
      <w:r>
        <w:rPr>
          <w:rFonts w:ascii="Times New Roman" w:hAnsi="Times New Roman" w:eastAsia="Times New Roman" w:cs="Times New Roman"/>
          <w:spacing w:val="2"/>
          <w:sz w:val="23"/>
          <w:szCs w:val="23"/>
        </w:rPr>
        <w:t xml:space="preserve">06 </w:t>
      </w:r>
      <w:r>
        <w:rPr>
          <w:rFonts w:ascii="宋体" w:hAnsi="宋体" w:eastAsia="宋体" w:cs="宋体"/>
          <w:spacing w:val="2"/>
          <w:sz w:val="23"/>
          <w:szCs w:val="23"/>
        </w:rPr>
        <w:t xml:space="preserve">月 </w:t>
      </w:r>
      <w:r>
        <w:rPr>
          <w:rFonts w:ascii="Times New Roman" w:hAnsi="Times New Roman" w:eastAsia="Times New Roman" w:cs="Times New Roman"/>
          <w:spacing w:val="2"/>
          <w:sz w:val="23"/>
          <w:szCs w:val="23"/>
        </w:rPr>
        <w:t xml:space="preserve">20 </w:t>
      </w:r>
      <w:r>
        <w:rPr>
          <w:rFonts w:ascii="宋体" w:hAnsi="宋体" w:eastAsia="宋体" w:cs="宋体"/>
          <w:spacing w:val="2"/>
          <w:sz w:val="23"/>
          <w:szCs w:val="23"/>
        </w:rPr>
        <w:t xml:space="preserve">日至 </w:t>
      </w:r>
      <w:r>
        <w:rPr>
          <w:rFonts w:ascii="Times New Roman" w:hAnsi="Times New Roman" w:eastAsia="Times New Roman" w:cs="Times New Roman"/>
          <w:spacing w:val="2"/>
          <w:sz w:val="23"/>
          <w:szCs w:val="23"/>
        </w:rPr>
        <w:t xml:space="preserve">06 </w:t>
      </w:r>
      <w:r>
        <w:rPr>
          <w:rFonts w:ascii="宋体" w:hAnsi="宋体" w:eastAsia="宋体" w:cs="宋体"/>
          <w:spacing w:val="2"/>
          <w:sz w:val="23"/>
          <w:szCs w:val="23"/>
        </w:rPr>
        <w:t xml:space="preserve">月 </w:t>
      </w:r>
      <w:r>
        <w:rPr>
          <w:rFonts w:ascii="Times New Roman" w:hAnsi="Times New Roman" w:eastAsia="Times New Roman" w:cs="Times New Roman"/>
          <w:spacing w:val="2"/>
          <w:sz w:val="23"/>
          <w:szCs w:val="23"/>
        </w:rPr>
        <w:t>26</w:t>
      </w:r>
      <w:r>
        <w:rPr>
          <w:rFonts w:ascii="Times New Roman" w:hAnsi="Times New Roman" w:eastAsia="Times New Roman" w:cs="Times New Roman"/>
          <w:sz w:val="23"/>
          <w:szCs w:val="23"/>
        </w:rPr>
        <w:t xml:space="preserve"> </w:t>
      </w:r>
      <w:r>
        <w:rPr>
          <w:rFonts w:ascii="宋体" w:hAnsi="宋体" w:eastAsia="宋体" w:cs="宋体"/>
          <w:spacing w:val="15"/>
          <w:sz w:val="23"/>
          <w:szCs w:val="23"/>
        </w:rPr>
        <w:t>日</w:t>
      </w:r>
      <w:r>
        <w:rPr>
          <w:rFonts w:ascii="宋体" w:hAnsi="宋体" w:eastAsia="宋体" w:cs="宋体"/>
          <w:spacing w:val="9"/>
          <w:sz w:val="23"/>
          <w:szCs w:val="23"/>
        </w:rPr>
        <w:t>对本地区的环境空气特征污染物环境质量现状进行了监测。</w:t>
      </w:r>
    </w:p>
    <w:p w14:paraId="247D1593">
      <w:pPr>
        <w:spacing w:before="137" w:line="227" w:lineRule="auto"/>
        <w:ind w:left="523"/>
        <w:rPr>
          <w:rFonts w:ascii="宋体" w:hAnsi="宋体" w:eastAsia="宋体" w:cs="宋体"/>
          <w:sz w:val="23"/>
          <w:szCs w:val="23"/>
        </w:rPr>
      </w:pPr>
      <w:r>
        <w:rPr>
          <w:rFonts w:ascii="宋体" w:hAnsi="宋体" w:eastAsia="宋体" w:cs="宋体"/>
          <w:spacing w:val="20"/>
          <w:sz w:val="23"/>
          <w:szCs w:val="23"/>
        </w:rPr>
        <w:t>(</w:t>
      </w:r>
      <w:r>
        <w:rPr>
          <w:rFonts w:ascii="Times New Roman" w:hAnsi="Times New Roman" w:eastAsia="Times New Roman" w:cs="Times New Roman"/>
          <w:spacing w:val="20"/>
          <w:sz w:val="23"/>
          <w:szCs w:val="23"/>
        </w:rPr>
        <w:t>1</w:t>
      </w:r>
      <w:r>
        <w:rPr>
          <w:rFonts w:ascii="宋体" w:hAnsi="宋体" w:eastAsia="宋体" w:cs="宋体"/>
          <w:spacing w:val="20"/>
          <w:sz w:val="23"/>
          <w:szCs w:val="23"/>
        </w:rPr>
        <w:t>) 监测布</w:t>
      </w:r>
      <w:r>
        <w:rPr>
          <w:rFonts w:ascii="宋体" w:hAnsi="宋体" w:eastAsia="宋体" w:cs="宋体"/>
          <w:spacing w:val="19"/>
          <w:sz w:val="23"/>
          <w:szCs w:val="23"/>
        </w:rPr>
        <w:t>点</w:t>
      </w:r>
    </w:p>
    <w:p w14:paraId="5B927FED">
      <w:pPr>
        <w:spacing w:line="276" w:lineRule="auto"/>
        <w:rPr>
          <w:rFonts w:ascii="Arial"/>
          <w:sz w:val="21"/>
        </w:rPr>
      </w:pPr>
    </w:p>
    <w:p w14:paraId="0B653970">
      <w:pPr>
        <w:spacing w:before="75" w:line="393" w:lineRule="auto"/>
        <w:ind w:left="33" w:right="195" w:firstLine="455"/>
        <w:rPr>
          <w:rFonts w:ascii="宋体" w:hAnsi="宋体" w:eastAsia="宋体" w:cs="宋体"/>
          <w:sz w:val="23"/>
          <w:szCs w:val="23"/>
        </w:rPr>
      </w:pPr>
      <w:r>
        <w:rPr>
          <w:rFonts w:ascii="宋体" w:hAnsi="宋体" w:eastAsia="宋体" w:cs="宋体"/>
          <w:spacing w:val="1"/>
          <w:sz w:val="23"/>
          <w:szCs w:val="23"/>
        </w:rPr>
        <w:t>根据该项目的用地范围，结合当地主、次</w:t>
      </w:r>
      <w:r>
        <w:rPr>
          <w:rFonts w:ascii="宋体" w:hAnsi="宋体" w:eastAsia="宋体" w:cs="宋体"/>
          <w:sz w:val="23"/>
          <w:szCs w:val="23"/>
        </w:rPr>
        <w:t xml:space="preserve">导风向等因素，该项目环境空气现状 </w:t>
      </w:r>
      <w:r>
        <w:rPr>
          <w:rFonts w:ascii="宋体" w:hAnsi="宋体" w:eastAsia="宋体" w:cs="宋体"/>
          <w:spacing w:val="-2"/>
          <w:sz w:val="23"/>
          <w:szCs w:val="23"/>
        </w:rPr>
        <w:t xml:space="preserve">监测共布设 </w:t>
      </w:r>
      <w:r>
        <w:rPr>
          <w:rFonts w:ascii="Times New Roman" w:hAnsi="Times New Roman" w:eastAsia="Times New Roman" w:cs="Times New Roman"/>
          <w:spacing w:val="-2"/>
          <w:sz w:val="23"/>
          <w:szCs w:val="23"/>
        </w:rPr>
        <w:t>2</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 xml:space="preserve">个监测点。各监测点具体情况见表 </w:t>
      </w:r>
      <w:r>
        <w:rPr>
          <w:rFonts w:ascii="Times New Roman" w:hAnsi="Times New Roman" w:eastAsia="Times New Roman" w:cs="Times New Roman"/>
          <w:spacing w:val="-1"/>
          <w:sz w:val="23"/>
          <w:szCs w:val="23"/>
        </w:rPr>
        <w:t>4-2</w:t>
      </w:r>
      <w:r>
        <w:rPr>
          <w:rFonts w:ascii="宋体" w:hAnsi="宋体" w:eastAsia="宋体" w:cs="宋体"/>
          <w:spacing w:val="-1"/>
          <w:sz w:val="23"/>
          <w:szCs w:val="23"/>
        </w:rPr>
        <w:t>。</w:t>
      </w:r>
    </w:p>
    <w:p w14:paraId="7DA231E9">
      <w:pPr>
        <w:spacing w:before="137" w:line="227" w:lineRule="auto"/>
        <w:ind w:left="2525"/>
        <w:rPr>
          <w:rFonts w:ascii="宋体" w:hAnsi="宋体" w:eastAsia="宋体" w:cs="宋体"/>
          <w:sz w:val="23"/>
          <w:szCs w:val="23"/>
        </w:rPr>
      </w:pPr>
      <w:r>
        <w:rPr>
          <w:rFonts w:ascii="宋体" w:hAnsi="宋体" w:eastAsia="宋体" w:cs="宋体"/>
          <w:spacing w:val="6"/>
          <w:sz w:val="23"/>
          <w:szCs w:val="23"/>
          <w14:textOutline w14:w="4358" w14:cap="sq" w14:cmpd="sng">
            <w14:solidFill>
              <w14:srgbClr w14:val="000000"/>
            </w14:solidFill>
            <w14:prstDash w14:val="solid"/>
            <w14:bevel/>
          </w14:textOutline>
        </w:rPr>
        <w:t>表</w:t>
      </w:r>
      <w:r>
        <w:rPr>
          <w:rFonts w:ascii="宋体" w:hAnsi="宋体" w:eastAsia="宋体" w:cs="宋体"/>
          <w:spacing w:val="4"/>
          <w:sz w:val="23"/>
          <w:szCs w:val="23"/>
        </w:rPr>
        <w:t xml:space="preserve"> </w:t>
      </w:r>
      <w:r>
        <w:rPr>
          <w:rFonts w:ascii="Times New Roman" w:hAnsi="Times New Roman" w:eastAsia="Times New Roman" w:cs="Times New Roman"/>
          <w:b/>
          <w:bCs/>
          <w:spacing w:val="4"/>
          <w:sz w:val="23"/>
          <w:szCs w:val="23"/>
        </w:rPr>
        <w:t>4-2</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环境空气质量监测点布设</w:t>
      </w:r>
    </w:p>
    <w:p w14:paraId="530EA49D">
      <w:pPr>
        <w:spacing w:line="19"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7"/>
        <w:gridCol w:w="2753"/>
        <w:gridCol w:w="2556"/>
        <w:gridCol w:w="2556"/>
      </w:tblGrid>
      <w:tr w14:paraId="73084B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657" w:type="dxa"/>
            <w:tcBorders>
              <w:left w:val="nil"/>
            </w:tcBorders>
            <w:vAlign w:val="top"/>
          </w:tcPr>
          <w:p w14:paraId="23969998">
            <w:pPr>
              <w:spacing w:before="75" w:line="229" w:lineRule="auto"/>
              <w:ind w:left="126"/>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序号</w:t>
            </w:r>
          </w:p>
        </w:tc>
        <w:tc>
          <w:tcPr>
            <w:tcW w:w="2753" w:type="dxa"/>
            <w:vAlign w:val="top"/>
          </w:tcPr>
          <w:p w14:paraId="7D82C635">
            <w:pPr>
              <w:spacing w:before="75" w:line="229" w:lineRule="auto"/>
              <w:ind w:left="858"/>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监</w:t>
            </w:r>
            <w:r>
              <w:rPr>
                <w:rFonts w:ascii="宋体" w:hAnsi="宋体" w:eastAsia="宋体" w:cs="宋体"/>
                <w:spacing w:val="8"/>
                <w:sz w:val="20"/>
                <w:szCs w:val="20"/>
                <w14:textOutline w14:w="3795" w14:cap="sq" w14:cmpd="sng">
                  <w14:solidFill>
                    <w14:srgbClr w14:val="000000"/>
                  </w14:solidFill>
                  <w14:prstDash w14:val="solid"/>
                  <w14:bevel/>
                </w14:textOutline>
              </w:rPr>
              <w:t>测点名称</w:t>
            </w:r>
          </w:p>
        </w:tc>
        <w:tc>
          <w:tcPr>
            <w:tcW w:w="2556" w:type="dxa"/>
            <w:vAlign w:val="top"/>
          </w:tcPr>
          <w:p w14:paraId="06A8F194">
            <w:pPr>
              <w:spacing w:before="75" w:line="229" w:lineRule="auto"/>
              <w:ind w:left="759"/>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监</w:t>
            </w:r>
            <w:r>
              <w:rPr>
                <w:rFonts w:ascii="宋体" w:hAnsi="宋体" w:eastAsia="宋体" w:cs="宋体"/>
                <w:spacing w:val="8"/>
                <w:sz w:val="20"/>
                <w:szCs w:val="20"/>
                <w14:textOutline w14:w="3795" w14:cap="sq" w14:cmpd="sng">
                  <w14:solidFill>
                    <w14:srgbClr w14:val="000000"/>
                  </w14:solidFill>
                  <w14:prstDash w14:val="solid"/>
                  <w14:bevel/>
                </w14:textOutline>
              </w:rPr>
              <w:t>测点位置</w:t>
            </w:r>
          </w:p>
        </w:tc>
        <w:tc>
          <w:tcPr>
            <w:tcW w:w="2556" w:type="dxa"/>
            <w:tcBorders>
              <w:right w:val="nil"/>
            </w:tcBorders>
            <w:vAlign w:val="top"/>
          </w:tcPr>
          <w:p w14:paraId="3772EEA7">
            <w:pPr>
              <w:spacing w:before="75" w:line="229" w:lineRule="auto"/>
              <w:ind w:left="1075"/>
              <w:rPr>
                <w:rFonts w:ascii="宋体" w:hAnsi="宋体" w:eastAsia="宋体" w:cs="宋体"/>
                <w:sz w:val="20"/>
                <w:szCs w:val="20"/>
              </w:rPr>
            </w:pPr>
            <w:r>
              <w:rPr>
                <w:rFonts w:ascii="宋体" w:hAnsi="宋体" w:eastAsia="宋体" w:cs="宋体"/>
                <w:spacing w:val="5"/>
                <w:sz w:val="20"/>
                <w:szCs w:val="20"/>
                <w14:textOutline w14:w="3795" w14:cap="sq" w14:cmpd="sng">
                  <w14:solidFill>
                    <w14:srgbClr w14:val="000000"/>
                  </w14:solidFill>
                  <w14:prstDash w14:val="solid"/>
                  <w14:bevel/>
                </w14:textOutline>
              </w:rPr>
              <w:t>备</w:t>
            </w:r>
            <w:r>
              <w:rPr>
                <w:rFonts w:ascii="宋体" w:hAnsi="宋体" w:eastAsia="宋体" w:cs="宋体"/>
                <w:spacing w:val="4"/>
                <w:sz w:val="20"/>
                <w:szCs w:val="20"/>
                <w14:textOutline w14:w="3795" w14:cap="sq" w14:cmpd="sng">
                  <w14:solidFill>
                    <w14:srgbClr w14:val="000000"/>
                  </w14:solidFill>
                  <w14:prstDash w14:val="solid"/>
                  <w14:bevel/>
                </w14:textOutline>
              </w:rPr>
              <w:t>注</w:t>
            </w:r>
          </w:p>
        </w:tc>
      </w:tr>
      <w:tr w14:paraId="48CCEF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657" w:type="dxa"/>
            <w:tcBorders>
              <w:left w:val="nil"/>
            </w:tcBorders>
            <w:vAlign w:val="top"/>
          </w:tcPr>
          <w:p w14:paraId="4F0776D9">
            <w:pPr>
              <w:spacing w:before="16" w:line="281" w:lineRule="exact"/>
              <w:ind w:left="246"/>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1</w:t>
            </w:r>
            <w:r>
              <w:rPr>
                <w:rFonts w:ascii="Times New Roman" w:hAnsi="Times New Roman" w:eastAsia="Times New Roman" w:cs="Times New Roman"/>
                <w:spacing w:val="-7"/>
                <w:position w:val="2"/>
                <w:sz w:val="20"/>
                <w:szCs w:val="20"/>
              </w:rPr>
              <w:t>#</w:t>
            </w:r>
          </w:p>
        </w:tc>
        <w:tc>
          <w:tcPr>
            <w:tcW w:w="2753" w:type="dxa"/>
            <w:vAlign w:val="top"/>
          </w:tcPr>
          <w:p w14:paraId="2266CC2F">
            <w:pPr>
              <w:spacing w:before="54" w:line="228" w:lineRule="auto"/>
              <w:ind w:left="648"/>
              <w:rPr>
                <w:rFonts w:ascii="宋体" w:hAnsi="宋体" w:eastAsia="宋体" w:cs="宋体"/>
                <w:sz w:val="20"/>
                <w:szCs w:val="20"/>
              </w:rPr>
            </w:pPr>
            <w:r>
              <w:rPr>
                <w:rFonts w:ascii="宋体" w:hAnsi="宋体" w:eastAsia="宋体" w:cs="宋体"/>
                <w:spacing w:val="10"/>
                <w:sz w:val="20"/>
                <w:szCs w:val="20"/>
              </w:rPr>
              <w:t>建</w:t>
            </w:r>
            <w:r>
              <w:rPr>
                <w:rFonts w:ascii="宋体" w:hAnsi="宋体" w:eastAsia="宋体" w:cs="宋体"/>
                <w:spacing w:val="8"/>
                <w:sz w:val="20"/>
                <w:szCs w:val="20"/>
              </w:rPr>
              <w:t>设项目所在地</w:t>
            </w:r>
          </w:p>
        </w:tc>
        <w:tc>
          <w:tcPr>
            <w:tcW w:w="2556" w:type="dxa"/>
            <w:vAlign w:val="top"/>
          </w:tcPr>
          <w:p w14:paraId="562749E6">
            <w:pPr>
              <w:spacing w:before="54" w:line="228" w:lineRule="auto"/>
              <w:ind w:left="761"/>
              <w:rPr>
                <w:rFonts w:ascii="宋体" w:hAnsi="宋体" w:eastAsia="宋体" w:cs="宋体"/>
                <w:sz w:val="20"/>
                <w:szCs w:val="20"/>
              </w:rPr>
            </w:pPr>
            <w:r>
              <w:rPr>
                <w:rFonts w:ascii="宋体" w:hAnsi="宋体" w:eastAsia="宋体" w:cs="宋体"/>
                <w:spacing w:val="9"/>
                <w:sz w:val="20"/>
                <w:szCs w:val="20"/>
              </w:rPr>
              <w:t>项</w:t>
            </w:r>
            <w:r>
              <w:rPr>
                <w:rFonts w:ascii="宋体" w:hAnsi="宋体" w:eastAsia="宋体" w:cs="宋体"/>
                <w:spacing w:val="7"/>
                <w:sz w:val="20"/>
                <w:szCs w:val="20"/>
              </w:rPr>
              <w:t>目所在地</w:t>
            </w:r>
          </w:p>
        </w:tc>
        <w:tc>
          <w:tcPr>
            <w:tcW w:w="2556" w:type="dxa"/>
            <w:tcBorders>
              <w:right w:val="nil"/>
            </w:tcBorders>
            <w:vAlign w:val="top"/>
          </w:tcPr>
          <w:p w14:paraId="09F11F8E">
            <w:pPr>
              <w:spacing w:before="53" w:line="228" w:lineRule="auto"/>
              <w:ind w:left="970"/>
              <w:rPr>
                <w:rFonts w:ascii="宋体" w:hAnsi="宋体" w:eastAsia="宋体" w:cs="宋体"/>
                <w:sz w:val="20"/>
                <w:szCs w:val="20"/>
              </w:rPr>
            </w:pPr>
            <w:r>
              <w:rPr>
                <w:rFonts w:ascii="宋体" w:hAnsi="宋体" w:eastAsia="宋体" w:cs="宋体"/>
                <w:spacing w:val="6"/>
                <w:sz w:val="20"/>
                <w:szCs w:val="20"/>
              </w:rPr>
              <w:t>背景</w:t>
            </w:r>
            <w:r>
              <w:rPr>
                <w:rFonts w:ascii="宋体" w:hAnsi="宋体" w:eastAsia="宋体" w:cs="宋体"/>
                <w:spacing w:val="5"/>
                <w:sz w:val="20"/>
                <w:szCs w:val="20"/>
              </w:rPr>
              <w:t>点</w:t>
            </w:r>
          </w:p>
        </w:tc>
      </w:tr>
      <w:tr w14:paraId="54DAE6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657" w:type="dxa"/>
            <w:tcBorders>
              <w:left w:val="nil"/>
            </w:tcBorders>
            <w:vAlign w:val="top"/>
          </w:tcPr>
          <w:p w14:paraId="6EA37FF3">
            <w:pPr>
              <w:spacing w:before="18" w:line="281" w:lineRule="exact"/>
              <w:ind w:left="226"/>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2</w:t>
            </w:r>
            <w:r>
              <w:rPr>
                <w:rFonts w:ascii="Times New Roman" w:hAnsi="Times New Roman" w:eastAsia="Times New Roman" w:cs="Times New Roman"/>
                <w:spacing w:val="2"/>
                <w:position w:val="2"/>
                <w:sz w:val="20"/>
                <w:szCs w:val="20"/>
              </w:rPr>
              <w:t>#</w:t>
            </w:r>
          </w:p>
        </w:tc>
        <w:tc>
          <w:tcPr>
            <w:tcW w:w="2753" w:type="dxa"/>
            <w:vAlign w:val="top"/>
          </w:tcPr>
          <w:p w14:paraId="49E9DD55">
            <w:pPr>
              <w:spacing w:before="55" w:line="228" w:lineRule="auto"/>
              <w:ind w:left="1066"/>
              <w:rPr>
                <w:rFonts w:ascii="宋体" w:hAnsi="宋体" w:eastAsia="宋体" w:cs="宋体"/>
                <w:sz w:val="20"/>
                <w:szCs w:val="20"/>
              </w:rPr>
            </w:pPr>
            <w:r>
              <w:rPr>
                <w:rFonts w:ascii="宋体" w:hAnsi="宋体" w:eastAsia="宋体" w:cs="宋体"/>
                <w:spacing w:val="7"/>
                <w:sz w:val="20"/>
                <w:szCs w:val="20"/>
              </w:rPr>
              <w:t>榆树</w:t>
            </w:r>
            <w:r>
              <w:rPr>
                <w:rFonts w:ascii="宋体" w:hAnsi="宋体" w:eastAsia="宋体" w:cs="宋体"/>
                <w:spacing w:val="6"/>
                <w:sz w:val="20"/>
                <w:szCs w:val="20"/>
              </w:rPr>
              <w:t>底</w:t>
            </w:r>
          </w:p>
        </w:tc>
        <w:tc>
          <w:tcPr>
            <w:tcW w:w="2556" w:type="dxa"/>
            <w:vAlign w:val="top"/>
          </w:tcPr>
          <w:p w14:paraId="1FDB3038">
            <w:pPr>
              <w:spacing w:before="55" w:line="228" w:lineRule="auto"/>
              <w:ind w:left="365"/>
              <w:rPr>
                <w:rFonts w:ascii="宋体" w:hAnsi="宋体" w:eastAsia="宋体" w:cs="宋体"/>
                <w:sz w:val="20"/>
                <w:szCs w:val="20"/>
              </w:rPr>
            </w:pPr>
            <w:r>
              <w:rPr>
                <w:rFonts w:ascii="宋体" w:hAnsi="宋体" w:eastAsia="宋体" w:cs="宋体"/>
                <w:spacing w:val="4"/>
                <w:sz w:val="20"/>
                <w:szCs w:val="20"/>
              </w:rPr>
              <w:t>厂区西</w:t>
            </w:r>
            <w:r>
              <w:rPr>
                <w:rFonts w:ascii="宋体" w:hAnsi="宋体" w:eastAsia="宋体" w:cs="宋体"/>
                <w:spacing w:val="2"/>
                <w:sz w:val="20"/>
                <w:szCs w:val="20"/>
              </w:rPr>
              <w:t xml:space="preserve">北侧 </w:t>
            </w:r>
            <w:r>
              <w:rPr>
                <w:rFonts w:ascii="Times New Roman" w:hAnsi="Times New Roman" w:eastAsia="Times New Roman" w:cs="Times New Roman"/>
                <w:spacing w:val="2"/>
                <w:sz w:val="20"/>
                <w:szCs w:val="20"/>
              </w:rPr>
              <w:t>330</w:t>
            </w:r>
            <w:r>
              <w:rPr>
                <w:rFonts w:ascii="Times New Roman" w:hAnsi="Times New Roman" w:eastAsia="Times New Roman" w:cs="Times New Roman"/>
                <w:sz w:val="20"/>
                <w:szCs w:val="20"/>
              </w:rPr>
              <w:t>m</w:t>
            </w:r>
            <w:r>
              <w:rPr>
                <w:rFonts w:ascii="Times New Roman" w:hAnsi="Times New Roman" w:eastAsia="Times New Roman" w:cs="Times New Roman"/>
                <w:spacing w:val="2"/>
                <w:sz w:val="20"/>
                <w:szCs w:val="20"/>
              </w:rPr>
              <w:t xml:space="preserve"> </w:t>
            </w:r>
            <w:r>
              <w:rPr>
                <w:rFonts w:ascii="宋体" w:hAnsi="宋体" w:eastAsia="宋体" w:cs="宋体"/>
                <w:spacing w:val="2"/>
                <w:sz w:val="20"/>
                <w:szCs w:val="20"/>
              </w:rPr>
              <w:t>处</w:t>
            </w:r>
          </w:p>
        </w:tc>
        <w:tc>
          <w:tcPr>
            <w:tcW w:w="2556" w:type="dxa"/>
            <w:tcBorders>
              <w:right w:val="nil"/>
            </w:tcBorders>
            <w:vAlign w:val="top"/>
          </w:tcPr>
          <w:p w14:paraId="279D0335">
            <w:pPr>
              <w:spacing w:before="55" w:line="229" w:lineRule="auto"/>
              <w:ind w:left="966"/>
              <w:rPr>
                <w:rFonts w:ascii="宋体" w:hAnsi="宋体" w:eastAsia="宋体" w:cs="宋体"/>
                <w:sz w:val="20"/>
                <w:szCs w:val="20"/>
              </w:rPr>
            </w:pPr>
            <w:r>
              <w:rPr>
                <w:rFonts w:ascii="宋体" w:hAnsi="宋体" w:eastAsia="宋体" w:cs="宋体"/>
                <w:spacing w:val="7"/>
                <w:sz w:val="20"/>
                <w:szCs w:val="20"/>
              </w:rPr>
              <w:t>对照点</w:t>
            </w:r>
          </w:p>
        </w:tc>
      </w:tr>
    </w:tbl>
    <w:p w14:paraId="587EA9DA">
      <w:pPr>
        <w:spacing w:line="258" w:lineRule="auto"/>
        <w:rPr>
          <w:rFonts w:ascii="Arial"/>
          <w:sz w:val="21"/>
        </w:rPr>
      </w:pPr>
    </w:p>
    <w:p w14:paraId="0D9AD6BF">
      <w:pPr>
        <w:spacing w:before="76" w:line="228" w:lineRule="auto"/>
        <w:ind w:left="523"/>
        <w:rPr>
          <w:rFonts w:ascii="宋体" w:hAnsi="宋体" w:eastAsia="宋体" w:cs="宋体"/>
          <w:sz w:val="23"/>
          <w:szCs w:val="23"/>
        </w:rPr>
      </w:pPr>
      <w:r>
        <w:rPr>
          <w:rFonts w:ascii="宋体" w:hAnsi="宋体" w:eastAsia="宋体" w:cs="宋体"/>
          <w:spacing w:val="20"/>
          <w:sz w:val="23"/>
          <w:szCs w:val="23"/>
        </w:rPr>
        <w:t>(</w:t>
      </w:r>
      <w:r>
        <w:rPr>
          <w:rFonts w:ascii="Times New Roman" w:hAnsi="Times New Roman" w:eastAsia="Times New Roman" w:cs="Times New Roman"/>
          <w:spacing w:val="20"/>
          <w:sz w:val="23"/>
          <w:szCs w:val="23"/>
        </w:rPr>
        <w:t>2</w:t>
      </w:r>
      <w:r>
        <w:rPr>
          <w:rFonts w:ascii="宋体" w:hAnsi="宋体" w:eastAsia="宋体" w:cs="宋体"/>
          <w:spacing w:val="20"/>
          <w:sz w:val="23"/>
          <w:szCs w:val="23"/>
        </w:rPr>
        <w:t>) 监测项</w:t>
      </w:r>
      <w:r>
        <w:rPr>
          <w:rFonts w:ascii="宋体" w:hAnsi="宋体" w:eastAsia="宋体" w:cs="宋体"/>
          <w:spacing w:val="19"/>
          <w:sz w:val="23"/>
          <w:szCs w:val="23"/>
        </w:rPr>
        <w:t>目</w:t>
      </w:r>
    </w:p>
    <w:p w14:paraId="79D36DA5">
      <w:pPr>
        <w:spacing w:line="275" w:lineRule="auto"/>
        <w:rPr>
          <w:rFonts w:ascii="Arial"/>
          <w:sz w:val="21"/>
        </w:rPr>
      </w:pPr>
    </w:p>
    <w:p w14:paraId="6104B082">
      <w:pPr>
        <w:spacing w:before="75" w:line="393" w:lineRule="auto"/>
        <w:ind w:left="33" w:right="110" w:firstLine="479"/>
        <w:rPr>
          <w:rFonts w:ascii="宋体" w:hAnsi="宋体" w:eastAsia="宋体" w:cs="宋体"/>
          <w:sz w:val="23"/>
          <w:szCs w:val="23"/>
        </w:rPr>
      </w:pPr>
      <w:r>
        <w:rPr>
          <w:rFonts w:ascii="宋体" w:hAnsi="宋体" w:eastAsia="宋体" w:cs="宋体"/>
          <w:spacing w:val="-1"/>
          <w:sz w:val="23"/>
          <w:szCs w:val="23"/>
        </w:rPr>
        <w:t xml:space="preserve">包括特征监测因子 </w:t>
      </w:r>
      <w:r>
        <w:rPr>
          <w:rFonts w:ascii="Times New Roman" w:hAnsi="Times New Roman" w:eastAsia="Times New Roman" w:cs="Times New Roman"/>
          <w:spacing w:val="-1"/>
          <w:sz w:val="23"/>
          <w:szCs w:val="23"/>
        </w:rPr>
        <w:t>NMHC</w:t>
      </w:r>
      <w:r>
        <w:rPr>
          <w:rFonts w:ascii="宋体" w:hAnsi="宋体" w:eastAsia="宋体" w:cs="宋体"/>
          <w:spacing w:val="-1"/>
          <w:sz w:val="23"/>
          <w:szCs w:val="23"/>
        </w:rPr>
        <w:t xml:space="preserve">，共 </w:t>
      </w:r>
      <w:r>
        <w:rPr>
          <w:rFonts w:ascii="Times New Roman" w:hAnsi="Times New Roman" w:eastAsia="Times New Roman" w:cs="Times New Roman"/>
          <w:spacing w:val="-1"/>
          <w:sz w:val="23"/>
          <w:szCs w:val="23"/>
        </w:rPr>
        <w:t xml:space="preserve">1 </w:t>
      </w:r>
      <w:r>
        <w:rPr>
          <w:rFonts w:ascii="宋体" w:hAnsi="宋体" w:eastAsia="宋体" w:cs="宋体"/>
          <w:spacing w:val="-1"/>
          <w:sz w:val="23"/>
          <w:szCs w:val="23"/>
        </w:rPr>
        <w:t xml:space="preserve">项。监测内容为 </w:t>
      </w:r>
      <w:r>
        <w:rPr>
          <w:rFonts w:ascii="Times New Roman" w:hAnsi="Times New Roman" w:eastAsia="Times New Roman" w:cs="Times New Roman"/>
          <w:sz w:val="23"/>
          <w:szCs w:val="23"/>
        </w:rPr>
        <w:t>NMHC</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的一次最大浓度值。</w:t>
      </w:r>
      <w:r>
        <w:rPr>
          <w:rFonts w:ascii="宋体" w:hAnsi="宋体" w:eastAsia="宋体" w:cs="宋体"/>
          <w:sz w:val="23"/>
          <w:szCs w:val="23"/>
        </w:rPr>
        <w:t xml:space="preserve"> </w:t>
      </w:r>
      <w:r>
        <w:rPr>
          <w:rFonts w:ascii="宋体" w:hAnsi="宋体" w:eastAsia="宋体" w:cs="宋体"/>
          <w:spacing w:val="14"/>
          <w:sz w:val="23"/>
          <w:szCs w:val="23"/>
        </w:rPr>
        <w:t>监</w:t>
      </w:r>
      <w:r>
        <w:rPr>
          <w:rFonts w:ascii="宋体" w:hAnsi="宋体" w:eastAsia="宋体" w:cs="宋体"/>
          <w:spacing w:val="9"/>
          <w:sz w:val="23"/>
          <w:szCs w:val="23"/>
        </w:rPr>
        <w:t>测时同步观测气象要素，如风向、风速、气温、气压等。</w:t>
      </w:r>
    </w:p>
    <w:p w14:paraId="7707874A">
      <w:pPr>
        <w:spacing w:before="137" w:line="227" w:lineRule="auto"/>
        <w:ind w:left="523"/>
        <w:rPr>
          <w:rFonts w:ascii="宋体" w:hAnsi="宋体" w:eastAsia="宋体" w:cs="宋体"/>
          <w:sz w:val="23"/>
          <w:szCs w:val="23"/>
        </w:rPr>
      </w:pPr>
      <w:r>
        <w:rPr>
          <w:rFonts w:ascii="宋体" w:hAnsi="宋体" w:eastAsia="宋体" w:cs="宋体"/>
          <w:spacing w:val="20"/>
          <w:sz w:val="23"/>
          <w:szCs w:val="23"/>
        </w:rPr>
        <w:t>(</w:t>
      </w:r>
      <w:r>
        <w:rPr>
          <w:rFonts w:ascii="Times New Roman" w:hAnsi="Times New Roman" w:eastAsia="Times New Roman" w:cs="Times New Roman"/>
          <w:spacing w:val="20"/>
          <w:sz w:val="23"/>
          <w:szCs w:val="23"/>
        </w:rPr>
        <w:t>3</w:t>
      </w:r>
      <w:r>
        <w:rPr>
          <w:rFonts w:ascii="宋体" w:hAnsi="宋体" w:eastAsia="宋体" w:cs="宋体"/>
          <w:spacing w:val="20"/>
          <w:sz w:val="23"/>
          <w:szCs w:val="23"/>
        </w:rPr>
        <w:t>) 监测频</w:t>
      </w:r>
      <w:r>
        <w:rPr>
          <w:rFonts w:ascii="宋体" w:hAnsi="宋体" w:eastAsia="宋体" w:cs="宋体"/>
          <w:spacing w:val="19"/>
          <w:sz w:val="23"/>
          <w:szCs w:val="23"/>
        </w:rPr>
        <w:t>率</w:t>
      </w:r>
    </w:p>
    <w:p w14:paraId="4FCAD015">
      <w:pPr>
        <w:spacing w:line="276" w:lineRule="auto"/>
        <w:rPr>
          <w:rFonts w:ascii="Arial"/>
          <w:sz w:val="21"/>
        </w:rPr>
      </w:pPr>
    </w:p>
    <w:p w14:paraId="28C451C0">
      <w:pPr>
        <w:spacing w:before="75" w:line="227" w:lineRule="auto"/>
        <w:ind w:left="513"/>
        <w:rPr>
          <w:rFonts w:ascii="宋体" w:hAnsi="宋体" w:eastAsia="宋体" w:cs="宋体"/>
          <w:sz w:val="23"/>
          <w:szCs w:val="23"/>
        </w:rPr>
      </w:pPr>
      <w:r>
        <w:rPr>
          <w:rFonts w:ascii="宋体" w:hAnsi="宋体" w:eastAsia="宋体" w:cs="宋体"/>
          <w:spacing w:val="5"/>
          <w:sz w:val="23"/>
          <w:szCs w:val="23"/>
        </w:rPr>
        <w:t xml:space="preserve">监测点的监测因子和监测频率见表 </w:t>
      </w:r>
      <w:r>
        <w:rPr>
          <w:rFonts w:ascii="Times New Roman" w:hAnsi="Times New Roman" w:eastAsia="Times New Roman" w:cs="Times New Roman"/>
          <w:spacing w:val="5"/>
          <w:sz w:val="23"/>
          <w:szCs w:val="23"/>
        </w:rPr>
        <w:t>4-3</w:t>
      </w:r>
      <w:r>
        <w:rPr>
          <w:rFonts w:ascii="宋体" w:hAnsi="宋体" w:eastAsia="宋体" w:cs="宋体"/>
          <w:spacing w:val="2"/>
          <w:sz w:val="23"/>
          <w:szCs w:val="23"/>
        </w:rPr>
        <w:t>。</w:t>
      </w:r>
    </w:p>
    <w:p w14:paraId="06859424">
      <w:pPr>
        <w:sectPr>
          <w:headerReference r:id="rId158" w:type="default"/>
          <w:footerReference r:id="rId159" w:type="default"/>
          <w:pgSz w:w="11906" w:h="16839"/>
          <w:pgMar w:top="1132" w:right="1606" w:bottom="1182" w:left="1777" w:header="878" w:footer="1022" w:gutter="0"/>
          <w:cols w:space="720" w:num="1"/>
        </w:sectPr>
      </w:pPr>
    </w:p>
    <w:p w14:paraId="4E363393">
      <w:pPr>
        <w:spacing w:line="409" w:lineRule="auto"/>
        <w:rPr>
          <w:rFonts w:ascii="Arial"/>
          <w:sz w:val="21"/>
        </w:rPr>
      </w:pPr>
      <w:r>
        <w:pict>
          <v:shape id="_x0000_s1214" o:spid="_x0000_s1214" style="position:absolute;left:0pt;margin-left:90pt;margin-top:57.35pt;height:0.75pt;width:415.3pt;mso-position-horizontal-relative:page;mso-position-vertical-relative:page;z-index:251866112;mso-width-relative:page;mso-height-relative:page;" fillcolor="#000000" filled="t" stroked="f" coordsize="8305,15" o:allowincell="f" path="m0,0l8305,0,8305,14,0,14,0,0xe">
            <v:path/>
            <v:fill on="t" focussize="0,0"/>
            <v:stroke on="f"/>
            <v:imagedata o:title=""/>
            <o:lock v:ext="edit"/>
          </v:shape>
        </w:pict>
      </w:r>
    </w:p>
    <w:p w14:paraId="343D938F">
      <w:pPr>
        <w:spacing w:before="74" w:line="227" w:lineRule="auto"/>
        <w:ind w:left="2850"/>
        <w:rPr>
          <w:rFonts w:ascii="宋体" w:hAnsi="宋体" w:eastAsia="宋体" w:cs="宋体"/>
          <w:sz w:val="23"/>
          <w:szCs w:val="23"/>
        </w:rPr>
      </w:pPr>
      <w:r>
        <w:rPr>
          <w:rFonts w:ascii="宋体" w:hAnsi="宋体" w:eastAsia="宋体" w:cs="宋体"/>
          <w:spacing w:val="6"/>
          <w:sz w:val="23"/>
          <w:szCs w:val="23"/>
          <w14:textOutline w14:w="4358" w14:cap="sq" w14:cmpd="sng">
            <w14:solidFill>
              <w14:srgbClr w14:val="000000"/>
            </w14:solidFill>
            <w14:prstDash w14:val="solid"/>
            <w14:bevel/>
          </w14:textOutline>
        </w:rPr>
        <w:t>表</w:t>
      </w:r>
      <w:r>
        <w:rPr>
          <w:rFonts w:ascii="宋体" w:hAnsi="宋体" w:eastAsia="宋体" w:cs="宋体"/>
          <w:spacing w:val="6"/>
          <w:sz w:val="23"/>
          <w:szCs w:val="23"/>
        </w:rPr>
        <w:t xml:space="preserve"> </w:t>
      </w:r>
      <w:r>
        <w:rPr>
          <w:rFonts w:ascii="Times New Roman" w:hAnsi="Times New Roman" w:eastAsia="Times New Roman" w:cs="Times New Roman"/>
          <w:b/>
          <w:bCs/>
          <w:spacing w:val="6"/>
          <w:sz w:val="23"/>
          <w:szCs w:val="23"/>
        </w:rPr>
        <w:t>4</w:t>
      </w:r>
      <w:r>
        <w:rPr>
          <w:rFonts w:ascii="Times New Roman" w:hAnsi="Times New Roman" w:eastAsia="Times New Roman" w:cs="Times New Roman"/>
          <w:b/>
          <w:bCs/>
          <w:spacing w:val="4"/>
          <w:sz w:val="23"/>
          <w:szCs w:val="23"/>
        </w:rPr>
        <w:t>-</w:t>
      </w:r>
      <w:r>
        <w:rPr>
          <w:rFonts w:ascii="Times New Roman" w:hAnsi="Times New Roman" w:eastAsia="Times New Roman" w:cs="Times New Roman"/>
          <w:b/>
          <w:bCs/>
          <w:spacing w:val="3"/>
          <w:sz w:val="23"/>
          <w:szCs w:val="23"/>
        </w:rPr>
        <w:t>3</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14:textOutline w14:w="4358" w14:cap="sq" w14:cmpd="sng">
            <w14:solidFill>
              <w14:srgbClr w14:val="000000"/>
            </w14:solidFill>
            <w14:prstDash w14:val="solid"/>
            <w14:bevel/>
          </w14:textOutline>
        </w:rPr>
        <w:t>监测因子和监测频率</w:t>
      </w:r>
    </w:p>
    <w:p w14:paraId="2270140F">
      <w:pPr>
        <w:spacing w:line="17"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17"/>
        <w:gridCol w:w="5405"/>
      </w:tblGrid>
      <w:tr w14:paraId="069175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3117" w:type="dxa"/>
            <w:tcBorders>
              <w:left w:val="nil"/>
            </w:tcBorders>
            <w:vAlign w:val="top"/>
          </w:tcPr>
          <w:p w14:paraId="73235EF1">
            <w:pPr>
              <w:spacing w:before="76" w:line="228" w:lineRule="auto"/>
              <w:ind w:left="1146"/>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监</w:t>
            </w:r>
            <w:r>
              <w:rPr>
                <w:rFonts w:ascii="宋体" w:hAnsi="宋体" w:eastAsia="宋体" w:cs="宋体"/>
                <w:spacing w:val="8"/>
                <w:sz w:val="20"/>
                <w:szCs w:val="20"/>
                <w14:textOutline w14:w="3795" w14:cap="sq" w14:cmpd="sng">
                  <w14:solidFill>
                    <w14:srgbClr w14:val="000000"/>
                  </w14:solidFill>
                  <w14:prstDash w14:val="solid"/>
                  <w14:bevel/>
                </w14:textOutline>
              </w:rPr>
              <w:t>测因子</w:t>
            </w:r>
          </w:p>
        </w:tc>
        <w:tc>
          <w:tcPr>
            <w:tcW w:w="5405" w:type="dxa"/>
            <w:tcBorders>
              <w:right w:val="nil"/>
            </w:tcBorders>
            <w:vAlign w:val="top"/>
          </w:tcPr>
          <w:p w14:paraId="70B386EB">
            <w:pPr>
              <w:spacing w:before="75" w:line="228" w:lineRule="auto"/>
              <w:ind w:left="2289"/>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监</w:t>
            </w:r>
            <w:r>
              <w:rPr>
                <w:rFonts w:ascii="宋体" w:hAnsi="宋体" w:eastAsia="宋体" w:cs="宋体"/>
                <w:spacing w:val="8"/>
                <w:sz w:val="20"/>
                <w:szCs w:val="20"/>
                <w14:textOutline w14:w="3795" w14:cap="sq" w14:cmpd="sng">
                  <w14:solidFill>
                    <w14:srgbClr w14:val="000000"/>
                  </w14:solidFill>
                  <w14:prstDash w14:val="solid"/>
                  <w14:bevel/>
                </w14:textOutline>
              </w:rPr>
              <w:t>测频率</w:t>
            </w:r>
          </w:p>
        </w:tc>
      </w:tr>
      <w:tr w14:paraId="743384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3117" w:type="dxa"/>
            <w:tcBorders>
              <w:left w:val="nil"/>
            </w:tcBorders>
            <w:vAlign w:val="top"/>
          </w:tcPr>
          <w:p w14:paraId="085689AE">
            <w:pPr>
              <w:spacing w:before="62" w:line="228" w:lineRule="auto"/>
              <w:ind w:left="899"/>
              <w:rPr>
                <w:rFonts w:ascii="宋体" w:hAnsi="宋体" w:eastAsia="宋体" w:cs="宋体"/>
                <w:sz w:val="20"/>
                <w:szCs w:val="20"/>
              </w:rPr>
            </w:pPr>
            <w:r>
              <w:rPr>
                <w:rFonts w:ascii="Times New Roman" w:hAnsi="Times New Roman" w:eastAsia="Times New Roman" w:cs="Times New Roman"/>
                <w:sz w:val="20"/>
                <w:szCs w:val="20"/>
              </w:rPr>
              <w:t>NMHC</w:t>
            </w:r>
            <w:r>
              <w:rPr>
                <w:rFonts w:ascii="Times New Roman" w:hAnsi="Times New Roman" w:eastAsia="Times New Roman" w:cs="Times New Roman"/>
                <w:spacing w:val="17"/>
                <w:sz w:val="20"/>
                <w:szCs w:val="20"/>
              </w:rPr>
              <w:t xml:space="preserve"> </w:t>
            </w:r>
            <w:r>
              <w:rPr>
                <w:rFonts w:ascii="宋体" w:hAnsi="宋体" w:eastAsia="宋体" w:cs="宋体"/>
                <w:spacing w:val="15"/>
                <w:sz w:val="20"/>
                <w:szCs w:val="20"/>
              </w:rPr>
              <w:t>一次值</w:t>
            </w:r>
          </w:p>
        </w:tc>
        <w:tc>
          <w:tcPr>
            <w:tcW w:w="5405" w:type="dxa"/>
            <w:tcBorders>
              <w:right w:val="nil"/>
            </w:tcBorders>
            <w:vAlign w:val="top"/>
          </w:tcPr>
          <w:p w14:paraId="7AE02408">
            <w:pPr>
              <w:spacing w:before="24" w:line="281" w:lineRule="exact"/>
              <w:ind w:left="289"/>
              <w:rPr>
                <w:rFonts w:ascii="宋体" w:hAnsi="宋体" w:eastAsia="宋体" w:cs="宋体"/>
                <w:sz w:val="20"/>
                <w:szCs w:val="20"/>
              </w:rPr>
            </w:pPr>
            <w:r>
              <w:rPr>
                <w:rFonts w:ascii="宋体" w:hAnsi="宋体" w:eastAsia="宋体" w:cs="宋体"/>
                <w:spacing w:val="4"/>
                <w:position w:val="1"/>
                <w:sz w:val="20"/>
                <w:szCs w:val="20"/>
              </w:rPr>
              <w:t xml:space="preserve">每日监测 </w:t>
            </w:r>
            <w:r>
              <w:rPr>
                <w:rFonts w:ascii="Times New Roman" w:hAnsi="Times New Roman" w:eastAsia="Times New Roman" w:cs="Times New Roman"/>
                <w:spacing w:val="4"/>
                <w:position w:val="1"/>
                <w:sz w:val="20"/>
                <w:szCs w:val="20"/>
              </w:rPr>
              <w:t xml:space="preserve">4 </w:t>
            </w:r>
            <w:r>
              <w:rPr>
                <w:rFonts w:ascii="宋体" w:hAnsi="宋体" w:eastAsia="宋体" w:cs="宋体"/>
                <w:spacing w:val="4"/>
                <w:position w:val="1"/>
                <w:sz w:val="20"/>
                <w:szCs w:val="20"/>
              </w:rPr>
              <w:t>次</w:t>
            </w:r>
            <w:r>
              <w:rPr>
                <w:rFonts w:ascii="宋体" w:hAnsi="宋体" w:eastAsia="宋体" w:cs="宋体"/>
                <w:spacing w:val="2"/>
                <w:position w:val="1"/>
                <w:sz w:val="20"/>
                <w:szCs w:val="20"/>
              </w:rPr>
              <w:t xml:space="preserve">，每次至少 </w:t>
            </w:r>
            <w:r>
              <w:rPr>
                <w:rFonts w:ascii="Times New Roman" w:hAnsi="Times New Roman" w:eastAsia="Times New Roman" w:cs="Times New Roman"/>
                <w:spacing w:val="2"/>
                <w:position w:val="1"/>
                <w:sz w:val="20"/>
                <w:szCs w:val="20"/>
              </w:rPr>
              <w:t>45</w:t>
            </w:r>
            <w:r>
              <w:rPr>
                <w:rFonts w:ascii="Times New Roman" w:hAnsi="Times New Roman" w:eastAsia="Times New Roman" w:cs="Times New Roman"/>
                <w:position w:val="1"/>
                <w:sz w:val="20"/>
                <w:szCs w:val="20"/>
              </w:rPr>
              <w:t>min</w:t>
            </w:r>
            <w:r>
              <w:rPr>
                <w:rFonts w:ascii="Times New Roman" w:hAnsi="Times New Roman" w:eastAsia="Times New Roman" w:cs="Times New Roman"/>
                <w:spacing w:val="2"/>
                <w:position w:val="1"/>
                <w:sz w:val="20"/>
                <w:szCs w:val="20"/>
              </w:rPr>
              <w:t xml:space="preserve"> </w:t>
            </w:r>
            <w:r>
              <w:rPr>
                <w:rFonts w:ascii="宋体" w:hAnsi="宋体" w:eastAsia="宋体" w:cs="宋体"/>
                <w:spacing w:val="2"/>
                <w:position w:val="1"/>
                <w:sz w:val="20"/>
                <w:szCs w:val="20"/>
              </w:rPr>
              <w:t xml:space="preserve">采样时间，连续 </w:t>
            </w:r>
            <w:r>
              <w:rPr>
                <w:rFonts w:ascii="Times New Roman" w:hAnsi="Times New Roman" w:eastAsia="Times New Roman" w:cs="Times New Roman"/>
                <w:spacing w:val="2"/>
                <w:position w:val="1"/>
                <w:sz w:val="20"/>
                <w:szCs w:val="20"/>
              </w:rPr>
              <w:t xml:space="preserve">7 </w:t>
            </w:r>
            <w:r>
              <w:rPr>
                <w:rFonts w:ascii="宋体" w:hAnsi="宋体" w:eastAsia="宋体" w:cs="宋体"/>
                <w:spacing w:val="2"/>
                <w:position w:val="1"/>
                <w:sz w:val="20"/>
                <w:szCs w:val="20"/>
              </w:rPr>
              <w:t>天</w:t>
            </w:r>
          </w:p>
        </w:tc>
      </w:tr>
    </w:tbl>
    <w:p w14:paraId="09E2056F">
      <w:pPr>
        <w:spacing w:line="260" w:lineRule="auto"/>
        <w:rPr>
          <w:rFonts w:ascii="Arial"/>
          <w:sz w:val="21"/>
        </w:rPr>
      </w:pPr>
    </w:p>
    <w:p w14:paraId="49A44058">
      <w:pPr>
        <w:spacing w:before="74" w:line="228" w:lineRule="auto"/>
        <w:ind w:left="608"/>
        <w:rPr>
          <w:rFonts w:ascii="宋体" w:hAnsi="宋体" w:eastAsia="宋体" w:cs="宋体"/>
          <w:sz w:val="23"/>
          <w:szCs w:val="23"/>
        </w:rPr>
      </w:pPr>
      <w:r>
        <w:rPr>
          <w:rFonts w:ascii="宋体" w:hAnsi="宋体" w:eastAsia="宋体" w:cs="宋体"/>
          <w:spacing w:val="20"/>
          <w:sz w:val="23"/>
          <w:szCs w:val="23"/>
        </w:rPr>
        <w:t>(</w:t>
      </w:r>
      <w:r>
        <w:rPr>
          <w:rFonts w:ascii="Times New Roman" w:hAnsi="Times New Roman" w:eastAsia="Times New Roman" w:cs="Times New Roman"/>
          <w:spacing w:val="20"/>
          <w:sz w:val="23"/>
          <w:szCs w:val="23"/>
        </w:rPr>
        <w:t>4</w:t>
      </w:r>
      <w:r>
        <w:rPr>
          <w:rFonts w:ascii="宋体" w:hAnsi="宋体" w:eastAsia="宋体" w:cs="宋体"/>
          <w:spacing w:val="20"/>
          <w:sz w:val="23"/>
          <w:szCs w:val="23"/>
        </w:rPr>
        <w:t>) 分析方</w:t>
      </w:r>
      <w:r>
        <w:rPr>
          <w:rFonts w:ascii="宋体" w:hAnsi="宋体" w:eastAsia="宋体" w:cs="宋体"/>
          <w:spacing w:val="19"/>
          <w:sz w:val="23"/>
          <w:szCs w:val="23"/>
        </w:rPr>
        <w:t>法</w:t>
      </w:r>
    </w:p>
    <w:p w14:paraId="511F62D4">
      <w:pPr>
        <w:spacing w:line="277" w:lineRule="auto"/>
        <w:rPr>
          <w:rFonts w:ascii="Arial"/>
          <w:sz w:val="21"/>
        </w:rPr>
      </w:pPr>
    </w:p>
    <w:p w14:paraId="296AE940">
      <w:pPr>
        <w:tabs>
          <w:tab w:val="left" w:pos="242"/>
        </w:tabs>
        <w:spacing w:before="75" w:line="390" w:lineRule="auto"/>
        <w:ind w:left="118" w:right="1" w:firstLine="480"/>
        <w:rPr>
          <w:rFonts w:ascii="宋体" w:hAnsi="宋体" w:eastAsia="宋体" w:cs="宋体"/>
          <w:sz w:val="23"/>
          <w:szCs w:val="23"/>
        </w:rPr>
      </w:pPr>
      <w:r>
        <w:rPr>
          <w:rFonts w:ascii="宋体" w:hAnsi="宋体" w:eastAsia="宋体" w:cs="宋体"/>
          <w:spacing w:val="3"/>
          <w:sz w:val="23"/>
          <w:szCs w:val="23"/>
        </w:rPr>
        <w:t>按国家环保总局颁布的《环境监测技术规范》、《空气和废气监测分析方法</w:t>
      </w:r>
      <w:r>
        <w:rPr>
          <w:rFonts w:ascii="宋体" w:hAnsi="宋体" w:eastAsia="宋体" w:cs="宋体"/>
          <w:spacing w:val="1"/>
          <w:sz w:val="23"/>
          <w:szCs w:val="23"/>
        </w:rPr>
        <w:t>》</w:t>
      </w:r>
      <w:r>
        <w:rPr>
          <w:rFonts w:ascii="宋体" w:hAnsi="宋体" w:eastAsia="宋体" w:cs="宋体"/>
          <w:sz w:val="23"/>
          <w:szCs w:val="23"/>
        </w:rPr>
        <w:t xml:space="preserve"> </w:t>
      </w:r>
      <w:r>
        <w:rPr>
          <w:rFonts w:ascii="宋体" w:hAnsi="宋体" w:eastAsia="宋体" w:cs="宋体"/>
          <w:sz w:val="23"/>
          <w:szCs w:val="23"/>
        </w:rPr>
        <w:tab/>
      </w:r>
      <w:r>
        <w:rPr>
          <w:rFonts w:ascii="宋体" w:hAnsi="宋体" w:eastAsia="宋体" w:cs="宋体"/>
          <w:spacing w:val="8"/>
          <w:sz w:val="23"/>
          <w:szCs w:val="23"/>
        </w:rPr>
        <w:t xml:space="preserve">(第四版) </w:t>
      </w:r>
      <w:r>
        <w:rPr>
          <w:rFonts w:ascii="宋体" w:hAnsi="宋体" w:eastAsia="宋体" w:cs="宋体"/>
          <w:spacing w:val="6"/>
          <w:sz w:val="23"/>
          <w:szCs w:val="23"/>
        </w:rPr>
        <w:t>及</w:t>
      </w:r>
      <w:r>
        <w:rPr>
          <w:rFonts w:ascii="宋体" w:hAnsi="宋体" w:eastAsia="宋体" w:cs="宋体"/>
          <w:spacing w:val="4"/>
          <w:sz w:val="23"/>
          <w:szCs w:val="23"/>
        </w:rPr>
        <w:t>《环境空气质量标准》  (</w:t>
      </w:r>
      <w:r>
        <w:rPr>
          <w:rFonts w:ascii="Times New Roman" w:hAnsi="Times New Roman" w:eastAsia="Times New Roman" w:cs="Times New Roman"/>
          <w:sz w:val="23"/>
          <w:szCs w:val="23"/>
        </w:rPr>
        <w:t>GB</w:t>
      </w:r>
      <w:r>
        <w:rPr>
          <w:rFonts w:ascii="Times New Roman" w:hAnsi="Times New Roman" w:eastAsia="Times New Roman" w:cs="Times New Roman"/>
          <w:spacing w:val="4"/>
          <w:sz w:val="23"/>
          <w:szCs w:val="23"/>
        </w:rPr>
        <w:t>3095-2012</w:t>
      </w:r>
      <w:r>
        <w:rPr>
          <w:rFonts w:ascii="宋体" w:hAnsi="宋体" w:eastAsia="宋体" w:cs="宋体"/>
          <w:spacing w:val="4"/>
          <w:sz w:val="23"/>
          <w:szCs w:val="23"/>
        </w:rPr>
        <w:t>) 中有关规定进行。具体监</w:t>
      </w:r>
      <w:r>
        <w:rPr>
          <w:rFonts w:ascii="宋体" w:hAnsi="宋体" w:eastAsia="宋体" w:cs="宋体"/>
          <w:sz w:val="23"/>
          <w:szCs w:val="23"/>
        </w:rPr>
        <w:t xml:space="preserve"> </w:t>
      </w:r>
      <w:r>
        <w:rPr>
          <w:rFonts w:ascii="宋体" w:hAnsi="宋体" w:eastAsia="宋体" w:cs="宋体"/>
          <w:spacing w:val="2"/>
          <w:sz w:val="23"/>
          <w:szCs w:val="23"/>
        </w:rPr>
        <w:t>测</w:t>
      </w:r>
      <w:r>
        <w:rPr>
          <w:rFonts w:ascii="宋体" w:hAnsi="宋体" w:eastAsia="宋体" w:cs="宋体"/>
          <w:spacing w:val="1"/>
          <w:sz w:val="23"/>
          <w:szCs w:val="23"/>
        </w:rPr>
        <w:t xml:space="preserve">项目及分析方法见表 </w:t>
      </w:r>
      <w:r>
        <w:rPr>
          <w:rFonts w:ascii="Times New Roman" w:hAnsi="Times New Roman" w:eastAsia="Times New Roman" w:cs="Times New Roman"/>
          <w:spacing w:val="1"/>
          <w:sz w:val="23"/>
          <w:szCs w:val="23"/>
        </w:rPr>
        <w:t>4-4</w:t>
      </w:r>
      <w:r>
        <w:rPr>
          <w:rFonts w:ascii="宋体" w:hAnsi="宋体" w:eastAsia="宋体" w:cs="宋体"/>
          <w:spacing w:val="1"/>
          <w:sz w:val="23"/>
          <w:szCs w:val="23"/>
        </w:rPr>
        <w:t>。</w:t>
      </w:r>
    </w:p>
    <w:p w14:paraId="13A13314">
      <w:pPr>
        <w:spacing w:before="137" w:line="228" w:lineRule="auto"/>
        <w:ind w:left="2158"/>
        <w:rPr>
          <w:rFonts w:ascii="宋体" w:hAnsi="宋体" w:eastAsia="宋体" w:cs="宋体"/>
          <w:sz w:val="23"/>
          <w:szCs w:val="23"/>
        </w:rPr>
      </w:pPr>
      <w:r>
        <w:rPr>
          <w:rFonts w:ascii="宋体" w:hAnsi="宋体" w:eastAsia="宋体" w:cs="宋体"/>
          <w:spacing w:val="8"/>
          <w:sz w:val="23"/>
          <w:szCs w:val="23"/>
          <w14:textOutline w14:w="4358" w14:cap="sq" w14:cmpd="sng">
            <w14:solidFill>
              <w14:srgbClr w14:val="000000"/>
            </w14:solidFill>
            <w14:prstDash w14:val="solid"/>
            <w14:bevel/>
          </w14:textOutline>
        </w:rPr>
        <w:t>表</w:t>
      </w:r>
      <w:r>
        <w:rPr>
          <w:rFonts w:ascii="宋体" w:hAnsi="宋体" w:eastAsia="宋体" w:cs="宋体"/>
          <w:spacing w:val="8"/>
          <w:sz w:val="23"/>
          <w:szCs w:val="23"/>
        </w:rPr>
        <w:t xml:space="preserve"> </w:t>
      </w:r>
      <w:r>
        <w:rPr>
          <w:rFonts w:ascii="Times New Roman" w:hAnsi="Times New Roman" w:eastAsia="Times New Roman" w:cs="Times New Roman"/>
          <w:b/>
          <w:bCs/>
          <w:spacing w:val="8"/>
          <w:sz w:val="23"/>
          <w:szCs w:val="23"/>
        </w:rPr>
        <w:t>4-</w:t>
      </w:r>
      <w:r>
        <w:rPr>
          <w:rFonts w:ascii="Times New Roman" w:hAnsi="Times New Roman" w:eastAsia="Times New Roman" w:cs="Times New Roman"/>
          <w:b/>
          <w:bCs/>
          <w:spacing w:val="7"/>
          <w:sz w:val="23"/>
          <w:szCs w:val="23"/>
        </w:rPr>
        <w:t>4</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环境空气监测项目及分析方法</w:t>
      </w:r>
    </w:p>
    <w:p w14:paraId="4B12EB52">
      <w:pPr>
        <w:spacing w:line="17" w:lineRule="exact"/>
      </w:pPr>
    </w:p>
    <w:tbl>
      <w:tblPr>
        <w:tblStyle w:val="4"/>
        <w:tblW w:w="8351" w:type="dxa"/>
        <w:tblInd w:w="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2"/>
        <w:gridCol w:w="996"/>
        <w:gridCol w:w="3011"/>
        <w:gridCol w:w="2280"/>
        <w:gridCol w:w="681"/>
        <w:gridCol w:w="781"/>
      </w:tblGrid>
      <w:tr w14:paraId="7DB192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602" w:type="dxa"/>
            <w:tcBorders>
              <w:left w:val="nil"/>
            </w:tcBorders>
            <w:vAlign w:val="top"/>
          </w:tcPr>
          <w:p w14:paraId="248EFE67">
            <w:pPr>
              <w:spacing w:before="78" w:line="221" w:lineRule="auto"/>
              <w:ind w:left="97"/>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序号</w:t>
            </w:r>
          </w:p>
        </w:tc>
        <w:tc>
          <w:tcPr>
            <w:tcW w:w="996" w:type="dxa"/>
            <w:vAlign w:val="top"/>
          </w:tcPr>
          <w:p w14:paraId="5538C135">
            <w:pPr>
              <w:spacing w:before="78" w:line="221" w:lineRule="auto"/>
              <w:ind w:left="84"/>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检</w:t>
            </w:r>
            <w:r>
              <w:rPr>
                <w:rFonts w:ascii="宋体" w:hAnsi="宋体" w:eastAsia="宋体" w:cs="宋体"/>
                <w:spacing w:val="8"/>
                <w:sz w:val="20"/>
                <w:szCs w:val="20"/>
                <w14:textOutline w14:w="3795" w14:cap="sq" w14:cmpd="sng">
                  <w14:solidFill>
                    <w14:srgbClr w14:val="000000"/>
                  </w14:solidFill>
                  <w14:prstDash w14:val="solid"/>
                  <w14:bevel/>
                </w14:textOutline>
              </w:rPr>
              <w:t>测项目</w:t>
            </w:r>
          </w:p>
        </w:tc>
        <w:tc>
          <w:tcPr>
            <w:tcW w:w="3011" w:type="dxa"/>
            <w:vAlign w:val="top"/>
          </w:tcPr>
          <w:p w14:paraId="0DB56088">
            <w:pPr>
              <w:spacing w:before="78" w:line="221" w:lineRule="auto"/>
              <w:ind w:left="672"/>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检</w:t>
            </w:r>
            <w:r>
              <w:rPr>
                <w:rFonts w:ascii="宋体" w:hAnsi="宋体" w:eastAsia="宋体" w:cs="宋体"/>
                <w:spacing w:val="7"/>
                <w:sz w:val="20"/>
                <w:szCs w:val="20"/>
                <w14:textOutline w14:w="3795" w14:cap="sq" w14:cmpd="sng">
                  <w14:solidFill>
                    <w14:srgbClr w14:val="000000"/>
                  </w14:solidFill>
                  <w14:prstDash w14:val="solid"/>
                  <w14:bevel/>
                </w14:textOutline>
              </w:rPr>
              <w:t>测标准</w:t>
            </w:r>
            <w:r>
              <w:rPr>
                <w:rFonts w:ascii="宋体" w:hAnsi="宋体" w:eastAsia="宋体" w:cs="宋体"/>
                <w:spacing w:val="7"/>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(方法)</w:t>
            </w:r>
          </w:p>
        </w:tc>
        <w:tc>
          <w:tcPr>
            <w:tcW w:w="2280" w:type="dxa"/>
            <w:vAlign w:val="top"/>
          </w:tcPr>
          <w:p w14:paraId="27FADF44">
            <w:pPr>
              <w:spacing w:before="37" w:line="281" w:lineRule="exact"/>
              <w:ind w:left="42"/>
              <w:rPr>
                <w:rFonts w:ascii="宋体" w:hAnsi="宋体" w:eastAsia="宋体" w:cs="宋体"/>
                <w:sz w:val="20"/>
                <w:szCs w:val="20"/>
              </w:rPr>
            </w:pPr>
            <w:r>
              <w:rPr>
                <w:rFonts w:ascii="宋体" w:hAnsi="宋体" w:eastAsia="宋体" w:cs="宋体"/>
                <w:spacing w:val="12"/>
                <w:position w:val="1"/>
                <w:sz w:val="20"/>
                <w:szCs w:val="20"/>
                <w14:textOutline w14:w="3686" w14:cap="sq" w14:cmpd="sng">
                  <w14:solidFill>
                    <w14:srgbClr w14:val="000000"/>
                  </w14:solidFill>
                  <w14:prstDash w14:val="solid"/>
                  <w14:bevel/>
                </w14:textOutline>
              </w:rPr>
              <w:t>分</w:t>
            </w:r>
            <w:r>
              <w:rPr>
                <w:rFonts w:ascii="宋体" w:hAnsi="宋体" w:eastAsia="宋体" w:cs="宋体"/>
                <w:spacing w:val="8"/>
                <w:position w:val="1"/>
                <w:sz w:val="20"/>
                <w:szCs w:val="20"/>
                <w14:textOutline w14:w="3686" w14:cap="sq" w14:cmpd="sng">
                  <w14:solidFill>
                    <w14:srgbClr w14:val="000000"/>
                  </w14:solidFill>
                  <w14:prstDash w14:val="solid"/>
                  <w14:bevel/>
                </w14:textOutline>
              </w:rPr>
              <w:t>析仪器名称</w:t>
            </w:r>
            <w:r>
              <w:rPr>
                <w:rFonts w:ascii="Times New Roman" w:hAnsi="Times New Roman" w:eastAsia="Times New Roman" w:cs="Times New Roman"/>
                <w:b/>
                <w:bCs/>
                <w:spacing w:val="8"/>
                <w:position w:val="1"/>
                <w:sz w:val="20"/>
                <w:szCs w:val="20"/>
              </w:rPr>
              <w:t>/</w:t>
            </w:r>
            <w:r>
              <w:rPr>
                <w:rFonts w:ascii="宋体" w:hAnsi="宋体" w:eastAsia="宋体" w:cs="宋体"/>
                <w:spacing w:val="8"/>
                <w:position w:val="1"/>
                <w:sz w:val="20"/>
                <w:szCs w:val="20"/>
                <w14:textOutline w14:w="3686" w14:cap="sq" w14:cmpd="sng">
                  <w14:solidFill>
                    <w14:srgbClr w14:val="000000"/>
                  </w14:solidFill>
                  <w14:prstDash w14:val="solid"/>
                  <w14:bevel/>
                </w14:textOutline>
              </w:rPr>
              <w:t>型号</w:t>
            </w:r>
            <w:r>
              <w:rPr>
                <w:rFonts w:ascii="Times New Roman" w:hAnsi="Times New Roman" w:eastAsia="Times New Roman" w:cs="Times New Roman"/>
                <w:b/>
                <w:bCs/>
                <w:spacing w:val="8"/>
                <w:position w:val="1"/>
                <w:sz w:val="20"/>
                <w:szCs w:val="20"/>
              </w:rPr>
              <w:t>/</w:t>
            </w:r>
            <w:r>
              <w:rPr>
                <w:rFonts w:ascii="宋体" w:hAnsi="宋体" w:eastAsia="宋体" w:cs="宋体"/>
                <w:spacing w:val="8"/>
                <w:position w:val="1"/>
                <w:sz w:val="20"/>
                <w:szCs w:val="20"/>
                <w14:textOutline w14:w="3686" w14:cap="sq" w14:cmpd="sng">
                  <w14:solidFill>
                    <w14:srgbClr w14:val="000000"/>
                  </w14:solidFill>
                  <w14:prstDash w14:val="solid"/>
                  <w14:bevel/>
                </w14:textOutline>
              </w:rPr>
              <w:t>编号</w:t>
            </w:r>
          </w:p>
        </w:tc>
        <w:tc>
          <w:tcPr>
            <w:tcW w:w="681" w:type="dxa"/>
            <w:vAlign w:val="top"/>
          </w:tcPr>
          <w:p w14:paraId="5E74EF46">
            <w:pPr>
              <w:spacing w:before="78" w:line="221" w:lineRule="auto"/>
              <w:ind w:left="32"/>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检</w:t>
            </w:r>
            <w:r>
              <w:rPr>
                <w:rFonts w:ascii="宋体" w:hAnsi="宋体" w:eastAsia="宋体" w:cs="宋体"/>
                <w:spacing w:val="7"/>
                <w:sz w:val="20"/>
                <w:szCs w:val="20"/>
                <w14:textOutline w14:w="3795" w14:cap="sq" w14:cmpd="sng">
                  <w14:solidFill>
                    <w14:srgbClr w14:val="000000"/>
                  </w14:solidFill>
                  <w14:prstDash w14:val="solid"/>
                  <w14:bevel/>
                </w14:textOutline>
              </w:rPr>
              <w:t>出限</w:t>
            </w:r>
          </w:p>
        </w:tc>
        <w:tc>
          <w:tcPr>
            <w:tcW w:w="781" w:type="dxa"/>
            <w:tcBorders>
              <w:right w:val="nil"/>
            </w:tcBorders>
            <w:vAlign w:val="top"/>
          </w:tcPr>
          <w:p w14:paraId="3FA8A647">
            <w:pPr>
              <w:spacing w:before="78" w:line="221" w:lineRule="auto"/>
              <w:ind w:left="188"/>
              <w:rPr>
                <w:rFonts w:ascii="宋体" w:hAnsi="宋体" w:eastAsia="宋体" w:cs="宋体"/>
                <w:sz w:val="20"/>
                <w:szCs w:val="20"/>
              </w:rPr>
            </w:pPr>
            <w:r>
              <w:rPr>
                <w:rFonts w:ascii="宋体" w:hAnsi="宋体" w:eastAsia="宋体" w:cs="宋体"/>
                <w:spacing w:val="5"/>
                <w:sz w:val="20"/>
                <w:szCs w:val="20"/>
                <w14:textOutline w14:w="3795" w14:cap="sq" w14:cmpd="sng">
                  <w14:solidFill>
                    <w14:srgbClr w14:val="000000"/>
                  </w14:solidFill>
                  <w14:prstDash w14:val="solid"/>
                  <w14:bevel/>
                </w14:textOutline>
              </w:rPr>
              <w:t>单位</w:t>
            </w:r>
          </w:p>
        </w:tc>
      </w:tr>
      <w:tr w14:paraId="170451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602" w:type="dxa"/>
            <w:tcBorders>
              <w:left w:val="nil"/>
            </w:tcBorders>
            <w:vAlign w:val="top"/>
          </w:tcPr>
          <w:p w14:paraId="7FF10729">
            <w:pPr>
              <w:spacing w:line="353" w:lineRule="auto"/>
              <w:rPr>
                <w:rFonts w:ascii="Arial"/>
                <w:sz w:val="21"/>
              </w:rPr>
            </w:pPr>
          </w:p>
          <w:p w14:paraId="217B20EF">
            <w:pPr>
              <w:spacing w:before="57" w:line="195" w:lineRule="auto"/>
              <w:ind w:left="273"/>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996" w:type="dxa"/>
            <w:vAlign w:val="top"/>
          </w:tcPr>
          <w:p w14:paraId="12E6EA32">
            <w:pPr>
              <w:spacing w:line="341" w:lineRule="auto"/>
              <w:rPr>
                <w:rFonts w:ascii="Arial"/>
                <w:sz w:val="21"/>
              </w:rPr>
            </w:pPr>
          </w:p>
          <w:p w14:paraId="7B4DDA37">
            <w:pPr>
              <w:spacing w:before="57" w:line="195" w:lineRule="auto"/>
              <w:ind w:left="179"/>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N</w:t>
            </w:r>
            <w:r>
              <w:rPr>
                <w:rFonts w:ascii="Times New Roman" w:hAnsi="Times New Roman" w:eastAsia="Times New Roman" w:cs="Times New Roman"/>
                <w:spacing w:val="7"/>
                <w:sz w:val="20"/>
                <w:szCs w:val="20"/>
              </w:rPr>
              <w:t>MHC</w:t>
            </w:r>
          </w:p>
        </w:tc>
        <w:tc>
          <w:tcPr>
            <w:tcW w:w="3011" w:type="dxa"/>
            <w:vAlign w:val="top"/>
          </w:tcPr>
          <w:p w14:paraId="05A9241B">
            <w:pPr>
              <w:spacing w:before="89" w:line="228" w:lineRule="auto"/>
              <w:ind w:left="29"/>
              <w:rPr>
                <w:rFonts w:ascii="宋体" w:hAnsi="宋体" w:eastAsia="宋体" w:cs="宋体"/>
                <w:sz w:val="20"/>
                <w:szCs w:val="20"/>
              </w:rPr>
            </w:pPr>
            <w:r>
              <w:rPr>
                <w:rFonts w:ascii="宋体" w:hAnsi="宋体" w:eastAsia="宋体" w:cs="宋体"/>
                <w:spacing w:val="6"/>
                <w:sz w:val="20"/>
                <w:szCs w:val="20"/>
              </w:rPr>
              <w:t>环境空</w:t>
            </w:r>
            <w:r>
              <w:rPr>
                <w:rFonts w:ascii="宋体" w:hAnsi="宋体" w:eastAsia="宋体" w:cs="宋体"/>
                <w:spacing w:val="5"/>
                <w:sz w:val="20"/>
                <w:szCs w:val="20"/>
              </w:rPr>
              <w:t>气</w:t>
            </w:r>
            <w:r>
              <w:rPr>
                <w:rFonts w:ascii="宋体" w:hAnsi="宋体" w:eastAsia="宋体" w:cs="宋体"/>
                <w:spacing w:val="3"/>
                <w:sz w:val="20"/>
                <w:szCs w:val="20"/>
              </w:rPr>
              <w:t xml:space="preserve"> 总烃、甲烷和非甲烷总</w:t>
            </w:r>
          </w:p>
          <w:p w14:paraId="1A48FAC9">
            <w:pPr>
              <w:spacing w:before="64" w:line="228" w:lineRule="auto"/>
              <w:ind w:left="61"/>
              <w:rPr>
                <w:rFonts w:ascii="宋体" w:hAnsi="宋体" w:eastAsia="宋体" w:cs="宋体"/>
                <w:sz w:val="20"/>
                <w:szCs w:val="20"/>
              </w:rPr>
            </w:pPr>
            <w:r>
              <w:rPr>
                <w:rFonts w:ascii="宋体" w:hAnsi="宋体" w:eastAsia="宋体" w:cs="宋体"/>
                <w:spacing w:val="14"/>
                <w:sz w:val="20"/>
                <w:szCs w:val="20"/>
              </w:rPr>
              <w:t>烃</w:t>
            </w:r>
            <w:r>
              <w:rPr>
                <w:rFonts w:ascii="宋体" w:hAnsi="宋体" w:eastAsia="宋体" w:cs="宋体"/>
                <w:spacing w:val="8"/>
                <w:sz w:val="20"/>
                <w:szCs w:val="20"/>
              </w:rPr>
              <w:t>的测定 直接进样</w:t>
            </w:r>
            <w:r>
              <w:rPr>
                <w:rFonts w:ascii="Times New Roman" w:hAnsi="Times New Roman" w:eastAsia="Times New Roman" w:cs="Times New Roman"/>
                <w:spacing w:val="8"/>
                <w:sz w:val="20"/>
                <w:szCs w:val="20"/>
              </w:rPr>
              <w:t>-</w:t>
            </w:r>
            <w:r>
              <w:rPr>
                <w:rFonts w:ascii="宋体" w:hAnsi="宋体" w:eastAsia="宋体" w:cs="宋体"/>
                <w:spacing w:val="8"/>
                <w:sz w:val="20"/>
                <w:szCs w:val="20"/>
              </w:rPr>
              <w:t>气相色谱法</w:t>
            </w:r>
          </w:p>
          <w:p w14:paraId="771C4635">
            <w:pPr>
              <w:spacing w:before="65" w:line="195" w:lineRule="auto"/>
              <w:ind w:left="962"/>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pacing w:val="8"/>
                <w:sz w:val="20"/>
                <w:szCs w:val="20"/>
              </w:rPr>
              <w:t xml:space="preserve"> </w:t>
            </w:r>
            <w:r>
              <w:rPr>
                <w:rFonts w:ascii="Times New Roman" w:hAnsi="Times New Roman" w:eastAsia="Times New Roman" w:cs="Times New Roman"/>
                <w:spacing w:val="5"/>
                <w:sz w:val="20"/>
                <w:szCs w:val="20"/>
              </w:rPr>
              <w:t>604-2017</w:t>
            </w:r>
          </w:p>
        </w:tc>
        <w:tc>
          <w:tcPr>
            <w:tcW w:w="2280" w:type="dxa"/>
            <w:vAlign w:val="top"/>
          </w:tcPr>
          <w:p w14:paraId="21FB0F0E">
            <w:pPr>
              <w:spacing w:before="53" w:line="276" w:lineRule="exact"/>
              <w:ind w:left="621"/>
              <w:rPr>
                <w:rFonts w:ascii="宋体" w:hAnsi="宋体" w:eastAsia="宋体" w:cs="宋体"/>
                <w:sz w:val="20"/>
                <w:szCs w:val="20"/>
              </w:rPr>
            </w:pPr>
            <w:r>
              <w:rPr>
                <w:rFonts w:ascii="宋体" w:hAnsi="宋体" w:eastAsia="宋体" w:cs="宋体"/>
                <w:spacing w:val="8"/>
                <w:position w:val="4"/>
                <w:sz w:val="20"/>
                <w:szCs w:val="20"/>
              </w:rPr>
              <w:t>气相色谱</w:t>
            </w:r>
            <w:r>
              <w:rPr>
                <w:rFonts w:ascii="宋体" w:hAnsi="宋体" w:eastAsia="宋体" w:cs="宋体"/>
                <w:spacing w:val="7"/>
                <w:position w:val="4"/>
                <w:sz w:val="20"/>
                <w:szCs w:val="20"/>
              </w:rPr>
              <w:t>仪</w:t>
            </w:r>
          </w:p>
          <w:p w14:paraId="5F38830F">
            <w:pPr>
              <w:spacing w:line="281" w:lineRule="exact"/>
              <w:ind w:left="576"/>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GC</w:t>
            </w:r>
            <w:r>
              <w:rPr>
                <w:rFonts w:ascii="Times New Roman" w:hAnsi="Times New Roman" w:eastAsia="Times New Roman" w:cs="Times New Roman"/>
                <w:spacing w:val="9"/>
                <w:position w:val="2"/>
                <w:sz w:val="20"/>
                <w:szCs w:val="20"/>
              </w:rPr>
              <w:t>-9790</w:t>
            </w:r>
            <w:r>
              <w:rPr>
                <w:rFonts w:ascii="Times New Roman" w:hAnsi="Times New Roman" w:eastAsia="Times New Roman" w:cs="Times New Roman"/>
                <w:position w:val="2"/>
                <w:sz w:val="20"/>
                <w:szCs w:val="20"/>
              </w:rPr>
              <w:t>Plus</w:t>
            </w:r>
          </w:p>
          <w:p w14:paraId="5AE4510F">
            <w:pPr>
              <w:spacing w:before="104" w:line="195" w:lineRule="auto"/>
              <w:ind w:left="395"/>
              <w:rPr>
                <w:rFonts w:ascii="Times New Roman" w:hAnsi="Times New Roman" w:eastAsia="Times New Roman" w:cs="Times New Roman"/>
                <w:sz w:val="20"/>
                <w:szCs w:val="20"/>
              </w:rPr>
            </w:pPr>
            <w:r>
              <w:rPr>
                <w:rFonts w:ascii="Times New Roman" w:hAnsi="Times New Roman" w:eastAsia="Times New Roman" w:cs="Times New Roman"/>
                <w:sz w:val="20"/>
                <w:szCs w:val="20"/>
              </w:rPr>
              <w:t>SYZZ</w:t>
            </w:r>
            <w:r>
              <w:rPr>
                <w:rFonts w:ascii="Times New Roman" w:hAnsi="Times New Roman" w:eastAsia="Times New Roman" w:cs="Times New Roman"/>
                <w:spacing w:val="8"/>
                <w:sz w:val="20"/>
                <w:szCs w:val="20"/>
              </w:rPr>
              <w:t>-</w:t>
            </w:r>
            <w:r>
              <w:rPr>
                <w:rFonts w:ascii="Times New Roman" w:hAnsi="Times New Roman" w:eastAsia="Times New Roman" w:cs="Times New Roman"/>
                <w:sz w:val="20"/>
                <w:szCs w:val="20"/>
              </w:rPr>
              <w:t>SB</w:t>
            </w:r>
            <w:r>
              <w:rPr>
                <w:rFonts w:ascii="Times New Roman" w:hAnsi="Times New Roman" w:eastAsia="Times New Roman" w:cs="Times New Roman"/>
                <w:spacing w:val="7"/>
                <w:sz w:val="20"/>
                <w:szCs w:val="20"/>
              </w:rPr>
              <w:t>-030-03</w:t>
            </w:r>
          </w:p>
        </w:tc>
        <w:tc>
          <w:tcPr>
            <w:tcW w:w="681" w:type="dxa"/>
            <w:vAlign w:val="top"/>
          </w:tcPr>
          <w:p w14:paraId="17C71320">
            <w:pPr>
              <w:spacing w:line="353" w:lineRule="auto"/>
              <w:rPr>
                <w:rFonts w:ascii="Arial"/>
                <w:sz w:val="21"/>
              </w:rPr>
            </w:pPr>
          </w:p>
          <w:p w14:paraId="7C21D9BE">
            <w:pPr>
              <w:spacing w:before="58" w:line="195" w:lineRule="auto"/>
              <w:ind w:left="16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.07</w:t>
            </w:r>
          </w:p>
        </w:tc>
        <w:tc>
          <w:tcPr>
            <w:tcW w:w="781" w:type="dxa"/>
            <w:tcBorders>
              <w:right w:val="nil"/>
            </w:tcBorders>
            <w:vAlign w:val="top"/>
          </w:tcPr>
          <w:p w14:paraId="7612A3AC">
            <w:pPr>
              <w:spacing w:line="280" w:lineRule="auto"/>
              <w:rPr>
                <w:rFonts w:ascii="Arial"/>
                <w:sz w:val="21"/>
              </w:rPr>
            </w:pPr>
          </w:p>
          <w:p w14:paraId="65F12C8F">
            <w:pPr>
              <w:spacing w:before="57" w:line="281" w:lineRule="exact"/>
              <w:ind w:left="112"/>
              <w:rPr>
                <w:rFonts w:ascii="Times New Roman" w:hAnsi="Times New Roman" w:eastAsia="Times New Roman" w:cs="Times New Roman"/>
                <w:sz w:val="13"/>
                <w:szCs w:val="13"/>
              </w:rPr>
            </w:pPr>
            <w:r>
              <w:rPr>
                <w:rFonts w:ascii="Times New Roman" w:hAnsi="Times New Roman" w:eastAsia="Times New Roman" w:cs="Times New Roman"/>
                <w:position w:val="3"/>
                <w:sz w:val="20"/>
                <w:szCs w:val="20"/>
              </w:rPr>
              <w:t>mg</w:t>
            </w:r>
            <w:r>
              <w:rPr>
                <w:rFonts w:ascii="Times New Roman" w:hAnsi="Times New Roman" w:eastAsia="Times New Roman" w:cs="Times New Roman"/>
                <w:spacing w:val="12"/>
                <w:position w:val="3"/>
                <w:sz w:val="20"/>
                <w:szCs w:val="20"/>
              </w:rPr>
              <w:t>/</w:t>
            </w:r>
            <w:r>
              <w:rPr>
                <w:rFonts w:ascii="Times New Roman" w:hAnsi="Times New Roman" w:eastAsia="Times New Roman" w:cs="Times New Roman"/>
                <w:position w:val="3"/>
                <w:sz w:val="20"/>
                <w:szCs w:val="20"/>
              </w:rPr>
              <w:t>m</w:t>
            </w:r>
            <w:r>
              <w:rPr>
                <w:rFonts w:ascii="Times New Roman" w:hAnsi="Times New Roman" w:eastAsia="Times New Roman" w:cs="Times New Roman"/>
                <w:spacing w:val="12"/>
                <w:position w:val="9"/>
                <w:sz w:val="13"/>
                <w:szCs w:val="13"/>
              </w:rPr>
              <w:t>3</w:t>
            </w:r>
          </w:p>
        </w:tc>
      </w:tr>
    </w:tbl>
    <w:p w14:paraId="104D948B">
      <w:pPr>
        <w:spacing w:line="260" w:lineRule="auto"/>
        <w:rPr>
          <w:rFonts w:ascii="Arial"/>
          <w:sz w:val="21"/>
        </w:rPr>
      </w:pPr>
    </w:p>
    <w:p w14:paraId="3A0E5619">
      <w:pPr>
        <w:spacing w:before="74" w:line="228" w:lineRule="auto"/>
        <w:ind w:left="608"/>
        <w:rPr>
          <w:rFonts w:ascii="宋体" w:hAnsi="宋体" w:eastAsia="宋体" w:cs="宋体"/>
          <w:sz w:val="23"/>
          <w:szCs w:val="23"/>
        </w:rPr>
      </w:pPr>
      <w:r>
        <w:rPr>
          <w:rFonts w:ascii="宋体" w:hAnsi="宋体" w:eastAsia="宋体" w:cs="宋体"/>
          <w:spacing w:val="20"/>
          <w:sz w:val="23"/>
          <w:szCs w:val="23"/>
        </w:rPr>
        <w:t>(</w:t>
      </w:r>
      <w:r>
        <w:rPr>
          <w:rFonts w:ascii="Times New Roman" w:hAnsi="Times New Roman" w:eastAsia="Times New Roman" w:cs="Times New Roman"/>
          <w:spacing w:val="20"/>
          <w:sz w:val="23"/>
          <w:szCs w:val="23"/>
        </w:rPr>
        <w:t>5</w:t>
      </w:r>
      <w:r>
        <w:rPr>
          <w:rFonts w:ascii="宋体" w:hAnsi="宋体" w:eastAsia="宋体" w:cs="宋体"/>
          <w:spacing w:val="20"/>
          <w:sz w:val="23"/>
          <w:szCs w:val="23"/>
        </w:rPr>
        <w:t>) 监测结</w:t>
      </w:r>
      <w:r>
        <w:rPr>
          <w:rFonts w:ascii="宋体" w:hAnsi="宋体" w:eastAsia="宋体" w:cs="宋体"/>
          <w:spacing w:val="19"/>
          <w:sz w:val="23"/>
          <w:szCs w:val="23"/>
        </w:rPr>
        <w:t>果</w:t>
      </w:r>
    </w:p>
    <w:p w14:paraId="6520656D">
      <w:pPr>
        <w:spacing w:line="274" w:lineRule="auto"/>
        <w:rPr>
          <w:rFonts w:ascii="Arial"/>
          <w:sz w:val="21"/>
        </w:rPr>
      </w:pPr>
    </w:p>
    <w:p w14:paraId="4DCFABA1">
      <w:pPr>
        <w:spacing w:before="76" w:line="227" w:lineRule="auto"/>
        <w:ind w:left="598"/>
        <w:rPr>
          <w:rFonts w:ascii="宋体" w:hAnsi="宋体" w:eastAsia="宋体" w:cs="宋体"/>
          <w:sz w:val="23"/>
          <w:szCs w:val="23"/>
        </w:rPr>
      </w:pPr>
      <w:r>
        <w:rPr>
          <w:rFonts w:ascii="宋体" w:hAnsi="宋体" w:eastAsia="宋体" w:cs="宋体"/>
          <w:spacing w:val="8"/>
          <w:sz w:val="23"/>
          <w:szCs w:val="23"/>
        </w:rPr>
        <w:t>本</w:t>
      </w:r>
      <w:r>
        <w:rPr>
          <w:rFonts w:ascii="宋体" w:hAnsi="宋体" w:eastAsia="宋体" w:cs="宋体"/>
          <w:spacing w:val="5"/>
          <w:sz w:val="23"/>
          <w:szCs w:val="23"/>
        </w:rPr>
        <w:t>项</w:t>
      </w:r>
      <w:r>
        <w:rPr>
          <w:rFonts w:ascii="宋体" w:hAnsi="宋体" w:eastAsia="宋体" w:cs="宋体"/>
          <w:spacing w:val="4"/>
          <w:sz w:val="23"/>
          <w:szCs w:val="23"/>
        </w:rPr>
        <w:t xml:space="preserve">目采样现场气象条件见表 </w:t>
      </w:r>
      <w:r>
        <w:rPr>
          <w:rFonts w:ascii="Times New Roman" w:hAnsi="Times New Roman" w:eastAsia="Times New Roman" w:cs="Times New Roman"/>
          <w:spacing w:val="4"/>
          <w:sz w:val="23"/>
          <w:szCs w:val="23"/>
        </w:rPr>
        <w:t>4-5</w:t>
      </w:r>
      <w:r>
        <w:rPr>
          <w:rFonts w:ascii="宋体" w:hAnsi="宋体" w:eastAsia="宋体" w:cs="宋体"/>
          <w:spacing w:val="4"/>
          <w:sz w:val="23"/>
          <w:szCs w:val="23"/>
        </w:rPr>
        <w:t>。</w:t>
      </w:r>
    </w:p>
    <w:p w14:paraId="6241F0F2">
      <w:pPr>
        <w:spacing w:line="276" w:lineRule="auto"/>
        <w:rPr>
          <w:rFonts w:ascii="Arial"/>
          <w:sz w:val="21"/>
        </w:rPr>
      </w:pPr>
    </w:p>
    <w:p w14:paraId="7EDAA505">
      <w:pPr>
        <w:spacing w:before="76" w:line="227" w:lineRule="auto"/>
        <w:ind w:left="2278"/>
        <w:rPr>
          <w:rFonts w:ascii="宋体" w:hAnsi="宋体" w:eastAsia="宋体" w:cs="宋体"/>
          <w:sz w:val="23"/>
          <w:szCs w:val="23"/>
        </w:rPr>
      </w:pPr>
      <w:r>
        <w:rPr>
          <w:rFonts w:ascii="宋体" w:hAnsi="宋体" w:eastAsia="宋体" w:cs="宋体"/>
          <w:spacing w:val="8"/>
          <w:sz w:val="23"/>
          <w:szCs w:val="23"/>
          <w14:textOutline w14:w="4358" w14:cap="sq" w14:cmpd="sng">
            <w14:solidFill>
              <w14:srgbClr w14:val="000000"/>
            </w14:solidFill>
            <w14:prstDash w14:val="solid"/>
            <w14:bevel/>
          </w14:textOutline>
        </w:rPr>
        <w:t>表</w:t>
      </w:r>
      <w:r>
        <w:rPr>
          <w:rFonts w:ascii="宋体" w:hAnsi="宋体" w:eastAsia="宋体" w:cs="宋体"/>
          <w:spacing w:val="8"/>
          <w:sz w:val="23"/>
          <w:szCs w:val="23"/>
        </w:rPr>
        <w:t xml:space="preserve"> </w:t>
      </w:r>
      <w:r>
        <w:rPr>
          <w:rFonts w:ascii="Times New Roman" w:hAnsi="Times New Roman" w:eastAsia="Times New Roman" w:cs="Times New Roman"/>
          <w:b/>
          <w:bCs/>
          <w:spacing w:val="7"/>
          <w:sz w:val="23"/>
          <w:szCs w:val="23"/>
        </w:rPr>
        <w:t>4</w:t>
      </w:r>
      <w:r>
        <w:rPr>
          <w:rFonts w:ascii="Times New Roman" w:hAnsi="Times New Roman" w:eastAsia="Times New Roman" w:cs="Times New Roman"/>
          <w:b/>
          <w:bCs/>
          <w:spacing w:val="4"/>
          <w:sz w:val="23"/>
          <w:szCs w:val="23"/>
        </w:rPr>
        <w:t>-5</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环境空气采样现场气象条件</w:t>
      </w:r>
    </w:p>
    <w:p w14:paraId="369C8FBE">
      <w:pPr>
        <w:spacing w:line="18" w:lineRule="exact"/>
      </w:pPr>
    </w:p>
    <w:tbl>
      <w:tblPr>
        <w:tblStyle w:val="4"/>
        <w:tblW w:w="8316" w:type="dxa"/>
        <w:tblInd w:w="10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75"/>
        <w:gridCol w:w="1535"/>
        <w:gridCol w:w="1535"/>
        <w:gridCol w:w="1535"/>
        <w:gridCol w:w="1536"/>
      </w:tblGrid>
      <w:tr w14:paraId="19BC16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2175" w:type="dxa"/>
            <w:tcBorders>
              <w:left w:val="nil"/>
            </w:tcBorders>
            <w:vAlign w:val="top"/>
          </w:tcPr>
          <w:p w14:paraId="7D154123">
            <w:pPr>
              <w:spacing w:before="75" w:line="217" w:lineRule="auto"/>
              <w:ind w:left="672"/>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采样日</w:t>
            </w:r>
            <w:r>
              <w:rPr>
                <w:rFonts w:ascii="宋体" w:hAnsi="宋体" w:eastAsia="宋体" w:cs="宋体"/>
                <w:spacing w:val="8"/>
                <w:sz w:val="20"/>
                <w:szCs w:val="20"/>
                <w14:textOutline w14:w="3795" w14:cap="sq" w14:cmpd="sng">
                  <w14:solidFill>
                    <w14:srgbClr w14:val="000000"/>
                  </w14:solidFill>
                  <w14:prstDash w14:val="solid"/>
                  <w14:bevel/>
                </w14:textOutline>
              </w:rPr>
              <w:t>期</w:t>
            </w:r>
          </w:p>
        </w:tc>
        <w:tc>
          <w:tcPr>
            <w:tcW w:w="1535" w:type="dxa"/>
            <w:vAlign w:val="top"/>
          </w:tcPr>
          <w:p w14:paraId="0F951E9A">
            <w:pPr>
              <w:spacing w:before="35" w:line="275" w:lineRule="exact"/>
              <w:ind w:left="241"/>
              <w:rPr>
                <w:rFonts w:ascii="宋体" w:hAnsi="宋体" w:eastAsia="宋体" w:cs="宋体"/>
                <w:sz w:val="19"/>
                <w:szCs w:val="19"/>
              </w:rPr>
            </w:pPr>
            <w:r>
              <w:rPr>
                <w:rFonts w:ascii="宋体" w:hAnsi="宋体" w:eastAsia="宋体" w:cs="宋体"/>
                <w:spacing w:val="12"/>
                <w:position w:val="1"/>
                <w:sz w:val="19"/>
                <w:szCs w:val="19"/>
                <w14:textOutline w14:w="3625" w14:cap="sq" w14:cmpd="sng">
                  <w14:solidFill>
                    <w14:srgbClr w14:val="000000"/>
                  </w14:solidFill>
                  <w14:prstDash w14:val="solid"/>
                  <w14:bevel/>
                </w14:textOutline>
              </w:rPr>
              <w:t>气温</w:t>
            </w:r>
            <w:r>
              <w:rPr>
                <w:rFonts w:ascii="宋体" w:hAnsi="宋体" w:eastAsia="宋体" w:cs="宋体"/>
                <w:spacing w:val="12"/>
                <w:position w:val="1"/>
                <w:sz w:val="19"/>
                <w:szCs w:val="19"/>
              </w:rPr>
              <w:t xml:space="preserve"> </w:t>
            </w:r>
            <w:r>
              <w:rPr>
                <w:rFonts w:ascii="宋体" w:hAnsi="宋体" w:eastAsia="宋体" w:cs="宋体"/>
                <w:spacing w:val="12"/>
                <w:position w:val="1"/>
                <w:sz w:val="19"/>
                <w:szCs w:val="19"/>
                <w14:textOutline w14:w="3625" w14:cap="sq" w14:cmpd="sng">
                  <w14:solidFill>
                    <w14:srgbClr w14:val="000000"/>
                  </w14:solidFill>
                  <w14:prstDash w14:val="solid"/>
                  <w14:bevel/>
                </w14:textOutline>
              </w:rPr>
              <w:t>(</w:t>
            </w:r>
            <w:r>
              <w:rPr>
                <w:rFonts w:ascii="Times New Roman" w:hAnsi="Times New Roman" w:eastAsia="Times New Roman" w:cs="Times New Roman"/>
                <w:b/>
                <w:bCs/>
                <w:spacing w:val="12"/>
                <w:position w:val="1"/>
                <w:sz w:val="19"/>
                <w:szCs w:val="19"/>
              </w:rPr>
              <w:t>℃</w:t>
            </w:r>
            <w:r>
              <w:rPr>
                <w:rFonts w:ascii="宋体" w:hAnsi="宋体" w:eastAsia="宋体" w:cs="宋体"/>
                <w:spacing w:val="12"/>
                <w:position w:val="1"/>
                <w:sz w:val="19"/>
                <w:szCs w:val="19"/>
                <w14:textOutline w14:w="3625" w14:cap="sq" w14:cmpd="sng">
                  <w14:solidFill>
                    <w14:srgbClr w14:val="000000"/>
                  </w14:solidFill>
                  <w14:prstDash w14:val="solid"/>
                  <w14:bevel/>
                </w14:textOutline>
              </w:rPr>
              <w:t>)</w:t>
            </w:r>
          </w:p>
        </w:tc>
        <w:tc>
          <w:tcPr>
            <w:tcW w:w="1535" w:type="dxa"/>
            <w:vAlign w:val="top"/>
          </w:tcPr>
          <w:p w14:paraId="20B5B784">
            <w:pPr>
              <w:spacing w:before="35" w:line="275" w:lineRule="exact"/>
              <w:ind w:left="179"/>
              <w:rPr>
                <w:rFonts w:ascii="宋体" w:hAnsi="宋体" w:eastAsia="宋体" w:cs="宋体"/>
                <w:sz w:val="19"/>
                <w:szCs w:val="19"/>
              </w:rPr>
            </w:pPr>
            <w:r>
              <w:rPr>
                <w:rFonts w:ascii="宋体" w:hAnsi="宋体" w:eastAsia="宋体" w:cs="宋体"/>
                <w:spacing w:val="17"/>
                <w:position w:val="1"/>
                <w:sz w:val="19"/>
                <w:szCs w:val="19"/>
                <w14:textOutline w14:w="3625" w14:cap="sq" w14:cmpd="sng">
                  <w14:solidFill>
                    <w14:srgbClr w14:val="000000"/>
                  </w14:solidFill>
                  <w14:prstDash w14:val="solid"/>
                  <w14:bevel/>
                </w14:textOutline>
              </w:rPr>
              <w:t>气压</w:t>
            </w:r>
            <w:r>
              <w:rPr>
                <w:rFonts w:ascii="宋体" w:hAnsi="宋体" w:eastAsia="宋体" w:cs="宋体"/>
                <w:spacing w:val="17"/>
                <w:position w:val="1"/>
                <w:sz w:val="19"/>
                <w:szCs w:val="19"/>
              </w:rPr>
              <w:t xml:space="preserve"> </w:t>
            </w:r>
            <w:r>
              <w:rPr>
                <w:rFonts w:ascii="宋体" w:hAnsi="宋体" w:eastAsia="宋体" w:cs="宋体"/>
                <w:spacing w:val="17"/>
                <w:position w:val="1"/>
                <w:sz w:val="19"/>
                <w:szCs w:val="19"/>
                <w14:textOutline w14:w="3625" w14:cap="sq" w14:cmpd="sng">
                  <w14:solidFill>
                    <w14:srgbClr w14:val="000000"/>
                  </w14:solidFill>
                  <w14:prstDash w14:val="solid"/>
                  <w14:bevel/>
                </w14:textOutline>
              </w:rPr>
              <w:t>(</w:t>
            </w:r>
            <w:r>
              <w:rPr>
                <w:rFonts w:ascii="Times New Roman" w:hAnsi="Times New Roman" w:eastAsia="Times New Roman" w:cs="Times New Roman"/>
                <w:b/>
                <w:bCs/>
                <w:position w:val="1"/>
                <w:sz w:val="19"/>
                <w:szCs w:val="19"/>
              </w:rPr>
              <w:t>kPa</w:t>
            </w:r>
            <w:r>
              <w:rPr>
                <w:rFonts w:ascii="宋体" w:hAnsi="宋体" w:eastAsia="宋体" w:cs="宋体"/>
                <w:spacing w:val="16"/>
                <w:position w:val="1"/>
                <w:sz w:val="19"/>
                <w:szCs w:val="19"/>
                <w14:textOutline w14:w="3625" w14:cap="sq" w14:cmpd="sng">
                  <w14:solidFill>
                    <w14:srgbClr w14:val="000000"/>
                  </w14:solidFill>
                  <w14:prstDash w14:val="solid"/>
                  <w14:bevel/>
                </w14:textOutline>
              </w:rPr>
              <w:t>)</w:t>
            </w:r>
          </w:p>
        </w:tc>
        <w:tc>
          <w:tcPr>
            <w:tcW w:w="1535" w:type="dxa"/>
            <w:vAlign w:val="top"/>
          </w:tcPr>
          <w:p w14:paraId="34553BC5">
            <w:pPr>
              <w:spacing w:before="35" w:line="275" w:lineRule="exact"/>
              <w:ind w:left="197"/>
              <w:rPr>
                <w:rFonts w:ascii="宋体" w:hAnsi="宋体" w:eastAsia="宋体" w:cs="宋体"/>
                <w:sz w:val="19"/>
                <w:szCs w:val="19"/>
              </w:rPr>
            </w:pPr>
            <w:r>
              <w:rPr>
                <w:rFonts w:ascii="宋体" w:hAnsi="宋体" w:eastAsia="宋体" w:cs="宋体"/>
                <w:spacing w:val="10"/>
                <w:position w:val="2"/>
                <w:sz w:val="19"/>
                <w:szCs w:val="19"/>
                <w14:textOutline w14:w="3625" w14:cap="sq" w14:cmpd="sng">
                  <w14:solidFill>
                    <w14:srgbClr w14:val="000000"/>
                  </w14:solidFill>
                  <w14:prstDash w14:val="solid"/>
                  <w14:bevel/>
                </w14:textOutline>
              </w:rPr>
              <w:t>风</w:t>
            </w:r>
            <w:r>
              <w:rPr>
                <w:rFonts w:ascii="宋体" w:hAnsi="宋体" w:eastAsia="宋体" w:cs="宋体"/>
                <w:spacing w:val="9"/>
                <w:position w:val="2"/>
                <w:sz w:val="19"/>
                <w:szCs w:val="19"/>
                <w14:textOutline w14:w="3625" w14:cap="sq" w14:cmpd="sng">
                  <w14:solidFill>
                    <w14:srgbClr w14:val="000000"/>
                  </w14:solidFill>
                  <w14:prstDash w14:val="solid"/>
                  <w14:bevel/>
                </w14:textOutline>
              </w:rPr>
              <w:t>速</w:t>
            </w:r>
            <w:r>
              <w:rPr>
                <w:rFonts w:ascii="宋体" w:hAnsi="宋体" w:eastAsia="宋体" w:cs="宋体"/>
                <w:spacing w:val="9"/>
                <w:position w:val="2"/>
                <w:sz w:val="19"/>
                <w:szCs w:val="19"/>
              </w:rPr>
              <w:t xml:space="preserve"> </w:t>
            </w:r>
            <w:r>
              <w:rPr>
                <w:rFonts w:ascii="宋体" w:hAnsi="宋体" w:eastAsia="宋体" w:cs="宋体"/>
                <w:spacing w:val="9"/>
                <w:position w:val="2"/>
                <w:sz w:val="19"/>
                <w:szCs w:val="19"/>
                <w14:textOutline w14:w="3625" w14:cap="sq" w14:cmpd="sng">
                  <w14:solidFill>
                    <w14:srgbClr w14:val="000000"/>
                  </w14:solidFill>
                  <w14:prstDash w14:val="solid"/>
                  <w14:bevel/>
                </w14:textOutline>
              </w:rPr>
              <w:t>(</w:t>
            </w:r>
            <w:r>
              <w:rPr>
                <w:rFonts w:ascii="Times New Roman" w:hAnsi="Times New Roman" w:eastAsia="Times New Roman" w:cs="Times New Roman"/>
                <w:b/>
                <w:bCs/>
                <w:position w:val="2"/>
                <w:sz w:val="19"/>
                <w:szCs w:val="19"/>
              </w:rPr>
              <w:t>m</w:t>
            </w:r>
            <w:r>
              <w:rPr>
                <w:rFonts w:ascii="Times New Roman" w:hAnsi="Times New Roman" w:eastAsia="Times New Roman" w:cs="Times New Roman"/>
                <w:b/>
                <w:bCs/>
                <w:spacing w:val="9"/>
                <w:position w:val="2"/>
                <w:sz w:val="19"/>
                <w:szCs w:val="19"/>
              </w:rPr>
              <w:t>/</w:t>
            </w:r>
            <w:r>
              <w:rPr>
                <w:rFonts w:ascii="Times New Roman" w:hAnsi="Times New Roman" w:eastAsia="Times New Roman" w:cs="Times New Roman"/>
                <w:b/>
                <w:bCs/>
                <w:position w:val="2"/>
                <w:sz w:val="19"/>
                <w:szCs w:val="19"/>
              </w:rPr>
              <w:t>s</w:t>
            </w:r>
            <w:r>
              <w:rPr>
                <w:rFonts w:ascii="Times New Roman" w:hAnsi="Times New Roman" w:eastAsia="Times New Roman" w:cs="Times New Roman"/>
                <w:spacing w:val="9"/>
                <w:position w:val="2"/>
                <w:sz w:val="19"/>
                <w:szCs w:val="19"/>
              </w:rPr>
              <w:t xml:space="preserve"> </w:t>
            </w:r>
            <w:r>
              <w:rPr>
                <w:rFonts w:ascii="宋体" w:hAnsi="宋体" w:eastAsia="宋体" w:cs="宋体"/>
                <w:spacing w:val="9"/>
                <w:position w:val="2"/>
                <w:sz w:val="19"/>
                <w:szCs w:val="19"/>
                <w14:textOutline w14:w="3625" w14:cap="sq" w14:cmpd="sng">
                  <w14:solidFill>
                    <w14:srgbClr w14:val="000000"/>
                  </w14:solidFill>
                  <w14:prstDash w14:val="solid"/>
                  <w14:bevel/>
                </w14:textOutline>
              </w:rPr>
              <w:t>)</w:t>
            </w:r>
          </w:p>
        </w:tc>
        <w:tc>
          <w:tcPr>
            <w:tcW w:w="1536" w:type="dxa"/>
            <w:tcBorders>
              <w:right w:val="nil"/>
            </w:tcBorders>
            <w:vAlign w:val="top"/>
          </w:tcPr>
          <w:p w14:paraId="0D083B44">
            <w:pPr>
              <w:spacing w:before="75" w:line="217" w:lineRule="auto"/>
              <w:ind w:left="565"/>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风</w:t>
            </w:r>
            <w:r>
              <w:rPr>
                <w:rFonts w:ascii="宋体" w:hAnsi="宋体" w:eastAsia="宋体" w:cs="宋体"/>
                <w:spacing w:val="5"/>
                <w:sz w:val="20"/>
                <w:szCs w:val="20"/>
                <w14:textOutline w14:w="3795" w14:cap="sq" w14:cmpd="sng">
                  <w14:solidFill>
                    <w14:srgbClr w14:val="000000"/>
                  </w14:solidFill>
                  <w14:prstDash w14:val="solid"/>
                  <w14:bevel/>
                </w14:textOutline>
              </w:rPr>
              <w:t>向</w:t>
            </w:r>
          </w:p>
        </w:tc>
      </w:tr>
      <w:tr w14:paraId="3FE86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2175" w:type="dxa"/>
            <w:tcBorders>
              <w:left w:val="nil"/>
            </w:tcBorders>
            <w:vAlign w:val="top"/>
          </w:tcPr>
          <w:p w14:paraId="16C4CD3A">
            <w:pPr>
              <w:spacing w:before="52" w:line="219" w:lineRule="auto"/>
              <w:ind w:left="225"/>
              <w:rPr>
                <w:rFonts w:ascii="宋体" w:hAnsi="宋体" w:eastAsia="宋体" w:cs="宋体"/>
                <w:sz w:val="20"/>
                <w:szCs w:val="20"/>
              </w:rPr>
            </w:pPr>
            <w:r>
              <w:rPr>
                <w:rFonts w:ascii="Times New Roman" w:hAnsi="Times New Roman" w:eastAsia="Times New Roman" w:cs="Times New Roman"/>
                <w:spacing w:val="1"/>
                <w:sz w:val="20"/>
                <w:szCs w:val="20"/>
              </w:rPr>
              <w:t xml:space="preserve">2019 </w:t>
            </w:r>
            <w:r>
              <w:rPr>
                <w:rFonts w:ascii="宋体" w:hAnsi="宋体" w:eastAsia="宋体" w:cs="宋体"/>
                <w:spacing w:val="1"/>
                <w:sz w:val="20"/>
                <w:szCs w:val="20"/>
              </w:rPr>
              <w:t xml:space="preserve">年 </w:t>
            </w:r>
            <w:r>
              <w:rPr>
                <w:rFonts w:ascii="Times New Roman" w:hAnsi="Times New Roman" w:eastAsia="Times New Roman" w:cs="Times New Roman"/>
                <w:spacing w:val="1"/>
                <w:sz w:val="20"/>
                <w:szCs w:val="20"/>
              </w:rPr>
              <w:t xml:space="preserve">06 </w:t>
            </w:r>
            <w:r>
              <w:rPr>
                <w:rFonts w:ascii="宋体" w:hAnsi="宋体" w:eastAsia="宋体" w:cs="宋体"/>
                <w:spacing w:val="1"/>
                <w:sz w:val="20"/>
                <w:szCs w:val="20"/>
              </w:rPr>
              <w:t>月</w:t>
            </w:r>
            <w:r>
              <w:rPr>
                <w:rFonts w:ascii="宋体" w:hAnsi="宋体" w:eastAsia="宋体" w:cs="宋体"/>
                <w:sz w:val="20"/>
                <w:szCs w:val="20"/>
              </w:rPr>
              <w:t xml:space="preserve"> </w:t>
            </w:r>
            <w:r>
              <w:rPr>
                <w:rFonts w:ascii="Times New Roman" w:hAnsi="Times New Roman" w:eastAsia="Times New Roman" w:cs="Times New Roman"/>
                <w:sz w:val="20"/>
                <w:szCs w:val="20"/>
              </w:rPr>
              <w:t xml:space="preserve">20 </w:t>
            </w:r>
            <w:r>
              <w:rPr>
                <w:rFonts w:ascii="宋体" w:hAnsi="宋体" w:eastAsia="宋体" w:cs="宋体"/>
                <w:sz w:val="20"/>
                <w:szCs w:val="20"/>
              </w:rPr>
              <w:t>日</w:t>
            </w:r>
          </w:p>
        </w:tc>
        <w:tc>
          <w:tcPr>
            <w:tcW w:w="1535" w:type="dxa"/>
            <w:vAlign w:val="top"/>
          </w:tcPr>
          <w:p w14:paraId="631B703D">
            <w:pPr>
              <w:spacing w:before="88" w:line="195" w:lineRule="auto"/>
              <w:ind w:left="52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w:t>
            </w:r>
            <w:r>
              <w:rPr>
                <w:rFonts w:ascii="Times New Roman" w:hAnsi="Times New Roman" w:eastAsia="Times New Roman" w:cs="Times New Roman"/>
                <w:sz w:val="20"/>
                <w:szCs w:val="20"/>
              </w:rPr>
              <w:t>4~26</w:t>
            </w:r>
          </w:p>
        </w:tc>
        <w:tc>
          <w:tcPr>
            <w:tcW w:w="1535" w:type="dxa"/>
            <w:vAlign w:val="top"/>
          </w:tcPr>
          <w:p w14:paraId="7CE851C3">
            <w:pPr>
              <w:spacing w:before="88" w:line="195" w:lineRule="auto"/>
              <w:ind w:left="34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98 0~98 6</w:t>
            </w:r>
          </w:p>
        </w:tc>
        <w:tc>
          <w:tcPr>
            <w:tcW w:w="1535" w:type="dxa"/>
            <w:vAlign w:val="top"/>
          </w:tcPr>
          <w:p w14:paraId="603C1C84">
            <w:pPr>
              <w:spacing w:before="88" w:line="195" w:lineRule="auto"/>
              <w:ind w:left="46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 7~</w:t>
            </w:r>
            <w:r>
              <w:rPr>
                <w:rFonts w:ascii="Times New Roman" w:hAnsi="Times New Roman" w:eastAsia="Times New Roman" w:cs="Times New Roman"/>
                <w:spacing w:val="1"/>
                <w:sz w:val="20"/>
                <w:szCs w:val="20"/>
              </w:rPr>
              <w:t>2 3</w:t>
            </w:r>
          </w:p>
        </w:tc>
        <w:tc>
          <w:tcPr>
            <w:tcW w:w="1536" w:type="dxa"/>
            <w:tcBorders>
              <w:right w:val="nil"/>
            </w:tcBorders>
            <w:vAlign w:val="top"/>
          </w:tcPr>
          <w:p w14:paraId="09C82263">
            <w:pPr>
              <w:spacing w:before="52" w:line="219" w:lineRule="auto"/>
              <w:ind w:left="570"/>
              <w:rPr>
                <w:rFonts w:ascii="宋体" w:hAnsi="宋体" w:eastAsia="宋体" w:cs="宋体"/>
                <w:sz w:val="20"/>
                <w:szCs w:val="20"/>
              </w:rPr>
            </w:pPr>
            <w:r>
              <w:rPr>
                <w:rFonts w:ascii="宋体" w:hAnsi="宋体" w:eastAsia="宋体" w:cs="宋体"/>
                <w:spacing w:val="2"/>
                <w:sz w:val="20"/>
                <w:szCs w:val="20"/>
              </w:rPr>
              <w:t>西南</w:t>
            </w:r>
          </w:p>
        </w:tc>
      </w:tr>
      <w:tr w14:paraId="79D301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175" w:type="dxa"/>
            <w:tcBorders>
              <w:left w:val="nil"/>
            </w:tcBorders>
            <w:vAlign w:val="top"/>
          </w:tcPr>
          <w:p w14:paraId="3F702BDB">
            <w:pPr>
              <w:spacing w:before="69" w:line="218" w:lineRule="auto"/>
              <w:ind w:left="225"/>
              <w:rPr>
                <w:rFonts w:ascii="宋体" w:hAnsi="宋体" w:eastAsia="宋体" w:cs="宋体"/>
                <w:sz w:val="20"/>
                <w:szCs w:val="20"/>
              </w:rPr>
            </w:pPr>
            <w:r>
              <w:rPr>
                <w:rFonts w:ascii="Times New Roman" w:hAnsi="Times New Roman" w:eastAsia="Times New Roman" w:cs="Times New Roman"/>
                <w:spacing w:val="1"/>
                <w:sz w:val="20"/>
                <w:szCs w:val="20"/>
              </w:rPr>
              <w:t xml:space="preserve">2019 </w:t>
            </w:r>
            <w:r>
              <w:rPr>
                <w:rFonts w:ascii="宋体" w:hAnsi="宋体" w:eastAsia="宋体" w:cs="宋体"/>
                <w:spacing w:val="1"/>
                <w:sz w:val="20"/>
                <w:szCs w:val="20"/>
              </w:rPr>
              <w:t xml:space="preserve">年 </w:t>
            </w:r>
            <w:r>
              <w:rPr>
                <w:rFonts w:ascii="Times New Roman" w:hAnsi="Times New Roman" w:eastAsia="Times New Roman" w:cs="Times New Roman"/>
                <w:spacing w:val="1"/>
                <w:sz w:val="20"/>
                <w:szCs w:val="20"/>
              </w:rPr>
              <w:t xml:space="preserve">06 </w:t>
            </w:r>
            <w:r>
              <w:rPr>
                <w:rFonts w:ascii="宋体" w:hAnsi="宋体" w:eastAsia="宋体" w:cs="宋体"/>
                <w:spacing w:val="1"/>
                <w:sz w:val="20"/>
                <w:szCs w:val="20"/>
              </w:rPr>
              <w:t>月</w:t>
            </w:r>
            <w:r>
              <w:rPr>
                <w:rFonts w:ascii="宋体" w:hAnsi="宋体" w:eastAsia="宋体" w:cs="宋体"/>
                <w:sz w:val="20"/>
                <w:szCs w:val="20"/>
              </w:rPr>
              <w:t xml:space="preserve"> </w:t>
            </w:r>
            <w:r>
              <w:rPr>
                <w:rFonts w:ascii="Times New Roman" w:hAnsi="Times New Roman" w:eastAsia="Times New Roman" w:cs="Times New Roman"/>
                <w:sz w:val="20"/>
                <w:szCs w:val="20"/>
              </w:rPr>
              <w:t xml:space="preserve">21 </w:t>
            </w:r>
            <w:r>
              <w:rPr>
                <w:rFonts w:ascii="宋体" w:hAnsi="宋体" w:eastAsia="宋体" w:cs="宋体"/>
                <w:sz w:val="20"/>
                <w:szCs w:val="20"/>
              </w:rPr>
              <w:t>日</w:t>
            </w:r>
          </w:p>
        </w:tc>
        <w:tc>
          <w:tcPr>
            <w:tcW w:w="1535" w:type="dxa"/>
            <w:vAlign w:val="top"/>
          </w:tcPr>
          <w:p w14:paraId="7CC234A9">
            <w:pPr>
              <w:spacing w:before="105" w:line="195" w:lineRule="auto"/>
              <w:ind w:left="52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w:t>
            </w:r>
            <w:r>
              <w:rPr>
                <w:rFonts w:ascii="Times New Roman" w:hAnsi="Times New Roman" w:eastAsia="Times New Roman" w:cs="Times New Roman"/>
                <w:sz w:val="20"/>
                <w:szCs w:val="20"/>
              </w:rPr>
              <w:t>4~26</w:t>
            </w:r>
          </w:p>
        </w:tc>
        <w:tc>
          <w:tcPr>
            <w:tcW w:w="1535" w:type="dxa"/>
            <w:vAlign w:val="top"/>
          </w:tcPr>
          <w:p w14:paraId="1E5E543E">
            <w:pPr>
              <w:spacing w:before="105" w:line="195" w:lineRule="auto"/>
              <w:ind w:left="349"/>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9</w:t>
            </w:r>
            <w:r>
              <w:rPr>
                <w:rFonts w:ascii="Times New Roman" w:hAnsi="Times New Roman" w:eastAsia="Times New Roman" w:cs="Times New Roman"/>
                <w:spacing w:val="4"/>
                <w:sz w:val="20"/>
                <w:szCs w:val="20"/>
              </w:rPr>
              <w:t>8</w:t>
            </w:r>
            <w:r>
              <w:rPr>
                <w:rFonts w:ascii="Times New Roman" w:hAnsi="Times New Roman" w:eastAsia="Times New Roman" w:cs="Times New Roman"/>
                <w:spacing w:val="3"/>
                <w:sz w:val="20"/>
                <w:szCs w:val="20"/>
              </w:rPr>
              <w:t xml:space="preserve"> 1~99 2</w:t>
            </w:r>
          </w:p>
        </w:tc>
        <w:tc>
          <w:tcPr>
            <w:tcW w:w="1535" w:type="dxa"/>
            <w:vAlign w:val="top"/>
          </w:tcPr>
          <w:p w14:paraId="7B449325">
            <w:pPr>
              <w:spacing w:before="105" w:line="195" w:lineRule="auto"/>
              <w:ind w:left="449"/>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2</w:t>
            </w:r>
            <w:r>
              <w:rPr>
                <w:rFonts w:ascii="Times New Roman" w:hAnsi="Times New Roman" w:eastAsia="Times New Roman" w:cs="Times New Roman"/>
                <w:spacing w:val="4"/>
                <w:sz w:val="20"/>
                <w:szCs w:val="20"/>
              </w:rPr>
              <w:t xml:space="preserve"> 3~2 5</w:t>
            </w:r>
          </w:p>
        </w:tc>
        <w:tc>
          <w:tcPr>
            <w:tcW w:w="1536" w:type="dxa"/>
            <w:tcBorders>
              <w:right w:val="nil"/>
            </w:tcBorders>
            <w:vAlign w:val="top"/>
          </w:tcPr>
          <w:p w14:paraId="5E889D80">
            <w:pPr>
              <w:spacing w:before="69" w:line="218" w:lineRule="auto"/>
              <w:ind w:left="572"/>
              <w:rPr>
                <w:rFonts w:ascii="宋体" w:hAnsi="宋体" w:eastAsia="宋体" w:cs="宋体"/>
                <w:sz w:val="20"/>
                <w:szCs w:val="20"/>
              </w:rPr>
            </w:pPr>
            <w:r>
              <w:rPr>
                <w:rFonts w:ascii="宋体" w:hAnsi="宋体" w:eastAsia="宋体" w:cs="宋体"/>
                <w:spacing w:val="1"/>
                <w:sz w:val="20"/>
                <w:szCs w:val="20"/>
              </w:rPr>
              <w:t>东北</w:t>
            </w:r>
          </w:p>
        </w:tc>
      </w:tr>
      <w:tr w14:paraId="6F1E00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175" w:type="dxa"/>
            <w:tcBorders>
              <w:left w:val="nil"/>
            </w:tcBorders>
            <w:vAlign w:val="top"/>
          </w:tcPr>
          <w:p w14:paraId="3F07C6A9">
            <w:pPr>
              <w:spacing w:before="70" w:line="218" w:lineRule="auto"/>
              <w:ind w:left="225"/>
              <w:rPr>
                <w:rFonts w:ascii="宋体" w:hAnsi="宋体" w:eastAsia="宋体" w:cs="宋体"/>
                <w:sz w:val="20"/>
                <w:szCs w:val="20"/>
              </w:rPr>
            </w:pPr>
            <w:r>
              <w:rPr>
                <w:rFonts w:ascii="Times New Roman" w:hAnsi="Times New Roman" w:eastAsia="Times New Roman" w:cs="Times New Roman"/>
                <w:spacing w:val="1"/>
                <w:sz w:val="20"/>
                <w:szCs w:val="20"/>
              </w:rPr>
              <w:t xml:space="preserve">2019 </w:t>
            </w:r>
            <w:r>
              <w:rPr>
                <w:rFonts w:ascii="宋体" w:hAnsi="宋体" w:eastAsia="宋体" w:cs="宋体"/>
                <w:spacing w:val="1"/>
                <w:sz w:val="20"/>
                <w:szCs w:val="20"/>
              </w:rPr>
              <w:t xml:space="preserve">年 </w:t>
            </w:r>
            <w:r>
              <w:rPr>
                <w:rFonts w:ascii="Times New Roman" w:hAnsi="Times New Roman" w:eastAsia="Times New Roman" w:cs="Times New Roman"/>
                <w:spacing w:val="1"/>
                <w:sz w:val="20"/>
                <w:szCs w:val="20"/>
              </w:rPr>
              <w:t xml:space="preserve">06 </w:t>
            </w:r>
            <w:r>
              <w:rPr>
                <w:rFonts w:ascii="宋体" w:hAnsi="宋体" w:eastAsia="宋体" w:cs="宋体"/>
                <w:spacing w:val="1"/>
                <w:sz w:val="20"/>
                <w:szCs w:val="20"/>
              </w:rPr>
              <w:t>月</w:t>
            </w:r>
            <w:r>
              <w:rPr>
                <w:rFonts w:ascii="宋体" w:hAnsi="宋体" w:eastAsia="宋体" w:cs="宋体"/>
                <w:sz w:val="20"/>
                <w:szCs w:val="20"/>
              </w:rPr>
              <w:t xml:space="preserve"> </w:t>
            </w:r>
            <w:r>
              <w:rPr>
                <w:rFonts w:ascii="Times New Roman" w:hAnsi="Times New Roman" w:eastAsia="Times New Roman" w:cs="Times New Roman"/>
                <w:sz w:val="20"/>
                <w:szCs w:val="20"/>
              </w:rPr>
              <w:t xml:space="preserve">22 </w:t>
            </w:r>
            <w:r>
              <w:rPr>
                <w:rFonts w:ascii="宋体" w:hAnsi="宋体" w:eastAsia="宋体" w:cs="宋体"/>
                <w:sz w:val="20"/>
                <w:szCs w:val="20"/>
              </w:rPr>
              <w:t>日</w:t>
            </w:r>
          </w:p>
        </w:tc>
        <w:tc>
          <w:tcPr>
            <w:tcW w:w="1535" w:type="dxa"/>
            <w:vAlign w:val="top"/>
          </w:tcPr>
          <w:p w14:paraId="212FBD00">
            <w:pPr>
              <w:spacing w:before="106" w:line="195" w:lineRule="auto"/>
              <w:ind w:left="50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4"/>
                <w:sz w:val="20"/>
                <w:szCs w:val="20"/>
              </w:rPr>
              <w:t>3~24</w:t>
            </w:r>
          </w:p>
        </w:tc>
        <w:tc>
          <w:tcPr>
            <w:tcW w:w="1535" w:type="dxa"/>
            <w:vAlign w:val="top"/>
          </w:tcPr>
          <w:p w14:paraId="0283E68E">
            <w:pPr>
              <w:spacing w:before="106" w:line="195" w:lineRule="auto"/>
              <w:ind w:left="349"/>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9</w:t>
            </w:r>
            <w:r>
              <w:rPr>
                <w:rFonts w:ascii="Times New Roman" w:hAnsi="Times New Roman" w:eastAsia="Times New Roman" w:cs="Times New Roman"/>
                <w:spacing w:val="4"/>
                <w:sz w:val="20"/>
                <w:szCs w:val="20"/>
              </w:rPr>
              <w:t>8 6~98 8</w:t>
            </w:r>
          </w:p>
        </w:tc>
        <w:tc>
          <w:tcPr>
            <w:tcW w:w="1535" w:type="dxa"/>
            <w:vAlign w:val="top"/>
          </w:tcPr>
          <w:p w14:paraId="5EFAE01A">
            <w:pPr>
              <w:spacing w:before="106" w:line="195" w:lineRule="auto"/>
              <w:ind w:left="63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 xml:space="preserve">2 </w:t>
            </w:r>
            <w:r>
              <w:rPr>
                <w:rFonts w:ascii="Times New Roman" w:hAnsi="Times New Roman" w:eastAsia="Times New Roman" w:cs="Times New Roman"/>
                <w:spacing w:val="2"/>
                <w:sz w:val="20"/>
                <w:szCs w:val="20"/>
              </w:rPr>
              <w:t>2</w:t>
            </w:r>
          </w:p>
        </w:tc>
        <w:tc>
          <w:tcPr>
            <w:tcW w:w="1536" w:type="dxa"/>
            <w:tcBorders>
              <w:right w:val="nil"/>
            </w:tcBorders>
            <w:vAlign w:val="top"/>
          </w:tcPr>
          <w:p w14:paraId="3ABFC809">
            <w:pPr>
              <w:spacing w:before="70" w:line="218" w:lineRule="auto"/>
              <w:ind w:left="572"/>
              <w:rPr>
                <w:rFonts w:ascii="宋体" w:hAnsi="宋体" w:eastAsia="宋体" w:cs="宋体"/>
                <w:sz w:val="20"/>
                <w:szCs w:val="20"/>
              </w:rPr>
            </w:pPr>
            <w:r>
              <w:rPr>
                <w:rFonts w:ascii="宋体" w:hAnsi="宋体" w:eastAsia="宋体" w:cs="宋体"/>
                <w:spacing w:val="1"/>
                <w:sz w:val="20"/>
                <w:szCs w:val="20"/>
              </w:rPr>
              <w:t>东北</w:t>
            </w:r>
          </w:p>
        </w:tc>
      </w:tr>
      <w:tr w14:paraId="05441B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175" w:type="dxa"/>
            <w:tcBorders>
              <w:left w:val="nil"/>
            </w:tcBorders>
            <w:vAlign w:val="top"/>
          </w:tcPr>
          <w:p w14:paraId="7F794BC4">
            <w:pPr>
              <w:spacing w:before="70" w:line="217" w:lineRule="auto"/>
              <w:ind w:left="225"/>
              <w:rPr>
                <w:rFonts w:ascii="宋体" w:hAnsi="宋体" w:eastAsia="宋体" w:cs="宋体"/>
                <w:sz w:val="20"/>
                <w:szCs w:val="20"/>
              </w:rPr>
            </w:pPr>
            <w:r>
              <w:rPr>
                <w:rFonts w:ascii="Times New Roman" w:hAnsi="Times New Roman" w:eastAsia="Times New Roman" w:cs="Times New Roman"/>
                <w:spacing w:val="1"/>
                <w:sz w:val="20"/>
                <w:szCs w:val="20"/>
              </w:rPr>
              <w:t xml:space="preserve">2019 </w:t>
            </w:r>
            <w:r>
              <w:rPr>
                <w:rFonts w:ascii="宋体" w:hAnsi="宋体" w:eastAsia="宋体" w:cs="宋体"/>
                <w:spacing w:val="1"/>
                <w:sz w:val="20"/>
                <w:szCs w:val="20"/>
              </w:rPr>
              <w:t xml:space="preserve">年 </w:t>
            </w:r>
            <w:r>
              <w:rPr>
                <w:rFonts w:ascii="Times New Roman" w:hAnsi="Times New Roman" w:eastAsia="Times New Roman" w:cs="Times New Roman"/>
                <w:spacing w:val="1"/>
                <w:sz w:val="20"/>
                <w:szCs w:val="20"/>
              </w:rPr>
              <w:t xml:space="preserve">06 </w:t>
            </w:r>
            <w:r>
              <w:rPr>
                <w:rFonts w:ascii="宋体" w:hAnsi="宋体" w:eastAsia="宋体" w:cs="宋体"/>
                <w:spacing w:val="1"/>
                <w:sz w:val="20"/>
                <w:szCs w:val="20"/>
              </w:rPr>
              <w:t>月</w:t>
            </w:r>
            <w:r>
              <w:rPr>
                <w:rFonts w:ascii="宋体" w:hAnsi="宋体" w:eastAsia="宋体" w:cs="宋体"/>
                <w:sz w:val="20"/>
                <w:szCs w:val="20"/>
              </w:rPr>
              <w:t xml:space="preserve"> </w:t>
            </w:r>
            <w:r>
              <w:rPr>
                <w:rFonts w:ascii="Times New Roman" w:hAnsi="Times New Roman" w:eastAsia="Times New Roman" w:cs="Times New Roman"/>
                <w:sz w:val="20"/>
                <w:szCs w:val="20"/>
              </w:rPr>
              <w:t xml:space="preserve">23 </w:t>
            </w:r>
            <w:r>
              <w:rPr>
                <w:rFonts w:ascii="宋体" w:hAnsi="宋体" w:eastAsia="宋体" w:cs="宋体"/>
                <w:sz w:val="20"/>
                <w:szCs w:val="20"/>
              </w:rPr>
              <w:t>日</w:t>
            </w:r>
          </w:p>
        </w:tc>
        <w:tc>
          <w:tcPr>
            <w:tcW w:w="1535" w:type="dxa"/>
            <w:vAlign w:val="top"/>
          </w:tcPr>
          <w:p w14:paraId="3BD66090">
            <w:pPr>
              <w:spacing w:before="106" w:line="195" w:lineRule="auto"/>
              <w:ind w:left="50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4"/>
                <w:sz w:val="20"/>
                <w:szCs w:val="20"/>
              </w:rPr>
              <w:t>3~24</w:t>
            </w:r>
          </w:p>
        </w:tc>
        <w:tc>
          <w:tcPr>
            <w:tcW w:w="1535" w:type="dxa"/>
            <w:vAlign w:val="top"/>
          </w:tcPr>
          <w:p w14:paraId="347D796D">
            <w:pPr>
              <w:spacing w:before="106" w:line="195" w:lineRule="auto"/>
              <w:ind w:left="34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9</w:t>
            </w:r>
            <w:r>
              <w:rPr>
                <w:rFonts w:ascii="Times New Roman" w:hAnsi="Times New Roman" w:eastAsia="Times New Roman" w:cs="Times New Roman"/>
                <w:spacing w:val="4"/>
                <w:sz w:val="20"/>
                <w:szCs w:val="20"/>
              </w:rPr>
              <w:t>8 3~98 5</w:t>
            </w:r>
          </w:p>
        </w:tc>
        <w:tc>
          <w:tcPr>
            <w:tcW w:w="1535" w:type="dxa"/>
            <w:vAlign w:val="top"/>
          </w:tcPr>
          <w:p w14:paraId="0B286181">
            <w:pPr>
              <w:spacing w:before="106" w:line="195" w:lineRule="auto"/>
              <w:ind w:left="65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 xml:space="preserve"> 8</w:t>
            </w:r>
          </w:p>
        </w:tc>
        <w:tc>
          <w:tcPr>
            <w:tcW w:w="1536" w:type="dxa"/>
            <w:tcBorders>
              <w:right w:val="nil"/>
            </w:tcBorders>
            <w:vAlign w:val="top"/>
          </w:tcPr>
          <w:p w14:paraId="3D54B2EB">
            <w:pPr>
              <w:spacing w:before="70" w:line="217" w:lineRule="auto"/>
              <w:ind w:left="572"/>
              <w:rPr>
                <w:rFonts w:ascii="宋体" w:hAnsi="宋体" w:eastAsia="宋体" w:cs="宋体"/>
                <w:sz w:val="20"/>
                <w:szCs w:val="20"/>
              </w:rPr>
            </w:pPr>
            <w:r>
              <w:rPr>
                <w:rFonts w:ascii="宋体" w:hAnsi="宋体" w:eastAsia="宋体" w:cs="宋体"/>
                <w:spacing w:val="1"/>
                <w:sz w:val="20"/>
                <w:szCs w:val="20"/>
              </w:rPr>
              <w:t>东北</w:t>
            </w:r>
          </w:p>
        </w:tc>
      </w:tr>
      <w:tr w14:paraId="68E4F2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175" w:type="dxa"/>
            <w:tcBorders>
              <w:left w:val="nil"/>
            </w:tcBorders>
            <w:vAlign w:val="top"/>
          </w:tcPr>
          <w:p w14:paraId="7F39EC10">
            <w:pPr>
              <w:spacing w:before="71" w:line="216" w:lineRule="auto"/>
              <w:ind w:left="225"/>
              <w:rPr>
                <w:rFonts w:ascii="宋体" w:hAnsi="宋体" w:eastAsia="宋体" w:cs="宋体"/>
                <w:sz w:val="20"/>
                <w:szCs w:val="20"/>
              </w:rPr>
            </w:pPr>
            <w:r>
              <w:rPr>
                <w:rFonts w:ascii="Times New Roman" w:hAnsi="Times New Roman" w:eastAsia="Times New Roman" w:cs="Times New Roman"/>
                <w:spacing w:val="1"/>
                <w:sz w:val="20"/>
                <w:szCs w:val="20"/>
              </w:rPr>
              <w:t xml:space="preserve">2019 </w:t>
            </w:r>
            <w:r>
              <w:rPr>
                <w:rFonts w:ascii="宋体" w:hAnsi="宋体" w:eastAsia="宋体" w:cs="宋体"/>
                <w:spacing w:val="1"/>
                <w:sz w:val="20"/>
                <w:szCs w:val="20"/>
              </w:rPr>
              <w:t xml:space="preserve">年 </w:t>
            </w:r>
            <w:r>
              <w:rPr>
                <w:rFonts w:ascii="Times New Roman" w:hAnsi="Times New Roman" w:eastAsia="Times New Roman" w:cs="Times New Roman"/>
                <w:spacing w:val="1"/>
                <w:sz w:val="20"/>
                <w:szCs w:val="20"/>
              </w:rPr>
              <w:t xml:space="preserve">06 </w:t>
            </w:r>
            <w:r>
              <w:rPr>
                <w:rFonts w:ascii="宋体" w:hAnsi="宋体" w:eastAsia="宋体" w:cs="宋体"/>
                <w:spacing w:val="1"/>
                <w:sz w:val="20"/>
                <w:szCs w:val="20"/>
              </w:rPr>
              <w:t>月</w:t>
            </w:r>
            <w:r>
              <w:rPr>
                <w:rFonts w:ascii="宋体" w:hAnsi="宋体" w:eastAsia="宋体" w:cs="宋体"/>
                <w:sz w:val="20"/>
                <w:szCs w:val="20"/>
              </w:rPr>
              <w:t xml:space="preserve"> </w:t>
            </w:r>
            <w:r>
              <w:rPr>
                <w:rFonts w:ascii="Times New Roman" w:hAnsi="Times New Roman" w:eastAsia="Times New Roman" w:cs="Times New Roman"/>
                <w:sz w:val="20"/>
                <w:szCs w:val="20"/>
              </w:rPr>
              <w:t xml:space="preserve">24 </w:t>
            </w:r>
            <w:r>
              <w:rPr>
                <w:rFonts w:ascii="宋体" w:hAnsi="宋体" w:eastAsia="宋体" w:cs="宋体"/>
                <w:sz w:val="20"/>
                <w:szCs w:val="20"/>
              </w:rPr>
              <w:t>日</w:t>
            </w:r>
          </w:p>
        </w:tc>
        <w:tc>
          <w:tcPr>
            <w:tcW w:w="1535" w:type="dxa"/>
            <w:vAlign w:val="top"/>
          </w:tcPr>
          <w:p w14:paraId="7DD4038E">
            <w:pPr>
              <w:spacing w:before="107" w:line="195" w:lineRule="auto"/>
              <w:ind w:left="6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3</w:t>
            </w:r>
          </w:p>
        </w:tc>
        <w:tc>
          <w:tcPr>
            <w:tcW w:w="1535" w:type="dxa"/>
            <w:vAlign w:val="top"/>
          </w:tcPr>
          <w:p w14:paraId="4A7F32D7">
            <w:pPr>
              <w:spacing w:before="107" w:line="195" w:lineRule="auto"/>
              <w:ind w:left="58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9</w:t>
            </w:r>
            <w:r>
              <w:rPr>
                <w:rFonts w:ascii="Times New Roman" w:hAnsi="Times New Roman" w:eastAsia="Times New Roman" w:cs="Times New Roman"/>
                <w:spacing w:val="2"/>
                <w:sz w:val="20"/>
                <w:szCs w:val="20"/>
              </w:rPr>
              <w:t>8 2</w:t>
            </w:r>
          </w:p>
        </w:tc>
        <w:tc>
          <w:tcPr>
            <w:tcW w:w="1535" w:type="dxa"/>
            <w:vAlign w:val="top"/>
          </w:tcPr>
          <w:p w14:paraId="10326958">
            <w:pPr>
              <w:spacing w:before="107" w:line="195" w:lineRule="auto"/>
              <w:ind w:left="637"/>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4"/>
                <w:sz w:val="20"/>
                <w:szCs w:val="20"/>
              </w:rPr>
              <w:t xml:space="preserve"> 5</w:t>
            </w:r>
          </w:p>
        </w:tc>
        <w:tc>
          <w:tcPr>
            <w:tcW w:w="1536" w:type="dxa"/>
            <w:tcBorders>
              <w:right w:val="nil"/>
            </w:tcBorders>
            <w:vAlign w:val="top"/>
          </w:tcPr>
          <w:p w14:paraId="6959D7C2">
            <w:pPr>
              <w:spacing w:before="71" w:line="216" w:lineRule="auto"/>
              <w:ind w:left="570"/>
              <w:rPr>
                <w:rFonts w:ascii="宋体" w:hAnsi="宋体" w:eastAsia="宋体" w:cs="宋体"/>
                <w:sz w:val="20"/>
                <w:szCs w:val="20"/>
              </w:rPr>
            </w:pPr>
            <w:r>
              <w:rPr>
                <w:rFonts w:ascii="宋体" w:hAnsi="宋体" w:eastAsia="宋体" w:cs="宋体"/>
                <w:spacing w:val="2"/>
                <w:sz w:val="20"/>
                <w:szCs w:val="20"/>
              </w:rPr>
              <w:t>西南</w:t>
            </w:r>
          </w:p>
        </w:tc>
      </w:tr>
      <w:tr w14:paraId="5E1683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175" w:type="dxa"/>
            <w:tcBorders>
              <w:left w:val="nil"/>
            </w:tcBorders>
            <w:vAlign w:val="top"/>
          </w:tcPr>
          <w:p w14:paraId="2FFF780D">
            <w:pPr>
              <w:spacing w:before="73" w:line="215" w:lineRule="auto"/>
              <w:ind w:left="225"/>
              <w:rPr>
                <w:rFonts w:ascii="宋体" w:hAnsi="宋体" w:eastAsia="宋体" w:cs="宋体"/>
                <w:sz w:val="20"/>
                <w:szCs w:val="20"/>
              </w:rPr>
            </w:pPr>
            <w:r>
              <w:rPr>
                <w:rFonts w:ascii="Times New Roman" w:hAnsi="Times New Roman" w:eastAsia="Times New Roman" w:cs="Times New Roman"/>
                <w:spacing w:val="1"/>
                <w:sz w:val="20"/>
                <w:szCs w:val="20"/>
              </w:rPr>
              <w:t xml:space="preserve">2019 </w:t>
            </w:r>
            <w:r>
              <w:rPr>
                <w:rFonts w:ascii="宋体" w:hAnsi="宋体" w:eastAsia="宋体" w:cs="宋体"/>
                <w:spacing w:val="1"/>
                <w:sz w:val="20"/>
                <w:szCs w:val="20"/>
              </w:rPr>
              <w:t xml:space="preserve">年 </w:t>
            </w:r>
            <w:r>
              <w:rPr>
                <w:rFonts w:ascii="Times New Roman" w:hAnsi="Times New Roman" w:eastAsia="Times New Roman" w:cs="Times New Roman"/>
                <w:spacing w:val="1"/>
                <w:sz w:val="20"/>
                <w:szCs w:val="20"/>
              </w:rPr>
              <w:t xml:space="preserve">06 </w:t>
            </w:r>
            <w:r>
              <w:rPr>
                <w:rFonts w:ascii="宋体" w:hAnsi="宋体" w:eastAsia="宋体" w:cs="宋体"/>
                <w:spacing w:val="1"/>
                <w:sz w:val="20"/>
                <w:szCs w:val="20"/>
              </w:rPr>
              <w:t>月</w:t>
            </w:r>
            <w:r>
              <w:rPr>
                <w:rFonts w:ascii="宋体" w:hAnsi="宋体" w:eastAsia="宋体" w:cs="宋体"/>
                <w:sz w:val="20"/>
                <w:szCs w:val="20"/>
              </w:rPr>
              <w:t xml:space="preserve"> </w:t>
            </w:r>
            <w:r>
              <w:rPr>
                <w:rFonts w:ascii="Times New Roman" w:hAnsi="Times New Roman" w:eastAsia="Times New Roman" w:cs="Times New Roman"/>
                <w:sz w:val="20"/>
                <w:szCs w:val="20"/>
              </w:rPr>
              <w:t xml:space="preserve">25 </w:t>
            </w:r>
            <w:r>
              <w:rPr>
                <w:rFonts w:ascii="宋体" w:hAnsi="宋体" w:eastAsia="宋体" w:cs="宋体"/>
                <w:sz w:val="20"/>
                <w:szCs w:val="20"/>
              </w:rPr>
              <w:t>日</w:t>
            </w:r>
          </w:p>
        </w:tc>
        <w:tc>
          <w:tcPr>
            <w:tcW w:w="1535" w:type="dxa"/>
            <w:vAlign w:val="top"/>
          </w:tcPr>
          <w:p w14:paraId="6670AD72">
            <w:pPr>
              <w:spacing w:before="108" w:line="195" w:lineRule="auto"/>
              <w:ind w:left="50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4"/>
                <w:sz w:val="20"/>
                <w:szCs w:val="20"/>
              </w:rPr>
              <w:t>2~24</w:t>
            </w:r>
          </w:p>
        </w:tc>
        <w:tc>
          <w:tcPr>
            <w:tcW w:w="1535" w:type="dxa"/>
            <w:vAlign w:val="top"/>
          </w:tcPr>
          <w:p w14:paraId="57AB6B18">
            <w:pPr>
              <w:spacing w:before="108" w:line="195" w:lineRule="auto"/>
              <w:ind w:left="34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9</w:t>
            </w:r>
            <w:r>
              <w:rPr>
                <w:rFonts w:ascii="Times New Roman" w:hAnsi="Times New Roman" w:eastAsia="Times New Roman" w:cs="Times New Roman"/>
                <w:spacing w:val="4"/>
                <w:sz w:val="20"/>
                <w:szCs w:val="20"/>
              </w:rPr>
              <w:t>8 0~98 5</w:t>
            </w:r>
          </w:p>
        </w:tc>
        <w:tc>
          <w:tcPr>
            <w:tcW w:w="1535" w:type="dxa"/>
            <w:vAlign w:val="top"/>
          </w:tcPr>
          <w:p w14:paraId="675E2AA4">
            <w:pPr>
              <w:spacing w:before="108" w:line="195" w:lineRule="auto"/>
              <w:ind w:left="63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 xml:space="preserve">2 </w:t>
            </w:r>
            <w:r>
              <w:rPr>
                <w:rFonts w:ascii="Times New Roman" w:hAnsi="Times New Roman" w:eastAsia="Times New Roman" w:cs="Times New Roman"/>
                <w:spacing w:val="2"/>
                <w:sz w:val="20"/>
                <w:szCs w:val="20"/>
              </w:rPr>
              <w:t>4</w:t>
            </w:r>
          </w:p>
        </w:tc>
        <w:tc>
          <w:tcPr>
            <w:tcW w:w="1536" w:type="dxa"/>
            <w:tcBorders>
              <w:right w:val="nil"/>
            </w:tcBorders>
            <w:vAlign w:val="top"/>
          </w:tcPr>
          <w:p w14:paraId="02B170EB">
            <w:pPr>
              <w:spacing w:before="73" w:line="215" w:lineRule="auto"/>
              <w:ind w:left="572"/>
              <w:rPr>
                <w:rFonts w:ascii="宋体" w:hAnsi="宋体" w:eastAsia="宋体" w:cs="宋体"/>
                <w:sz w:val="20"/>
                <w:szCs w:val="20"/>
              </w:rPr>
            </w:pPr>
            <w:r>
              <w:rPr>
                <w:rFonts w:ascii="宋体" w:hAnsi="宋体" w:eastAsia="宋体" w:cs="宋体"/>
                <w:spacing w:val="1"/>
                <w:sz w:val="20"/>
                <w:szCs w:val="20"/>
              </w:rPr>
              <w:t>东南</w:t>
            </w:r>
          </w:p>
        </w:tc>
      </w:tr>
      <w:tr w14:paraId="1C733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2175" w:type="dxa"/>
            <w:tcBorders>
              <w:left w:val="nil"/>
            </w:tcBorders>
            <w:vAlign w:val="top"/>
          </w:tcPr>
          <w:p w14:paraId="19D58723">
            <w:pPr>
              <w:spacing w:before="73" w:line="228" w:lineRule="auto"/>
              <w:ind w:left="225"/>
              <w:rPr>
                <w:rFonts w:ascii="宋体" w:hAnsi="宋体" w:eastAsia="宋体" w:cs="宋体"/>
                <w:sz w:val="20"/>
                <w:szCs w:val="20"/>
              </w:rPr>
            </w:pPr>
            <w:r>
              <w:rPr>
                <w:rFonts w:ascii="Times New Roman" w:hAnsi="Times New Roman" w:eastAsia="Times New Roman" w:cs="Times New Roman"/>
                <w:spacing w:val="1"/>
                <w:sz w:val="20"/>
                <w:szCs w:val="20"/>
              </w:rPr>
              <w:t xml:space="preserve">2019 </w:t>
            </w:r>
            <w:r>
              <w:rPr>
                <w:rFonts w:ascii="宋体" w:hAnsi="宋体" w:eastAsia="宋体" w:cs="宋体"/>
                <w:spacing w:val="1"/>
                <w:sz w:val="20"/>
                <w:szCs w:val="20"/>
              </w:rPr>
              <w:t xml:space="preserve">年 </w:t>
            </w:r>
            <w:r>
              <w:rPr>
                <w:rFonts w:ascii="Times New Roman" w:hAnsi="Times New Roman" w:eastAsia="Times New Roman" w:cs="Times New Roman"/>
                <w:spacing w:val="1"/>
                <w:sz w:val="20"/>
                <w:szCs w:val="20"/>
              </w:rPr>
              <w:t xml:space="preserve">06 </w:t>
            </w:r>
            <w:r>
              <w:rPr>
                <w:rFonts w:ascii="宋体" w:hAnsi="宋体" w:eastAsia="宋体" w:cs="宋体"/>
                <w:spacing w:val="1"/>
                <w:sz w:val="20"/>
                <w:szCs w:val="20"/>
              </w:rPr>
              <w:t>月</w:t>
            </w:r>
            <w:r>
              <w:rPr>
                <w:rFonts w:ascii="宋体" w:hAnsi="宋体" w:eastAsia="宋体" w:cs="宋体"/>
                <w:sz w:val="20"/>
                <w:szCs w:val="20"/>
              </w:rPr>
              <w:t xml:space="preserve"> </w:t>
            </w:r>
            <w:r>
              <w:rPr>
                <w:rFonts w:ascii="Times New Roman" w:hAnsi="Times New Roman" w:eastAsia="Times New Roman" w:cs="Times New Roman"/>
                <w:sz w:val="20"/>
                <w:szCs w:val="20"/>
              </w:rPr>
              <w:t xml:space="preserve">26 </w:t>
            </w:r>
            <w:r>
              <w:rPr>
                <w:rFonts w:ascii="宋体" w:hAnsi="宋体" w:eastAsia="宋体" w:cs="宋体"/>
                <w:sz w:val="20"/>
                <w:szCs w:val="20"/>
              </w:rPr>
              <w:t>日</w:t>
            </w:r>
          </w:p>
        </w:tc>
        <w:tc>
          <w:tcPr>
            <w:tcW w:w="1535" w:type="dxa"/>
            <w:vAlign w:val="top"/>
          </w:tcPr>
          <w:p w14:paraId="3266A068">
            <w:pPr>
              <w:spacing w:before="109" w:line="195" w:lineRule="auto"/>
              <w:ind w:left="6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2</w:t>
            </w:r>
          </w:p>
        </w:tc>
        <w:tc>
          <w:tcPr>
            <w:tcW w:w="1535" w:type="dxa"/>
            <w:vAlign w:val="top"/>
          </w:tcPr>
          <w:p w14:paraId="5ECD5B63">
            <w:pPr>
              <w:spacing w:before="109" w:line="195" w:lineRule="auto"/>
              <w:ind w:left="34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98. 1~98.</w:t>
            </w:r>
            <w:r>
              <w:rPr>
                <w:rFonts w:ascii="Times New Roman" w:hAnsi="Times New Roman" w:eastAsia="Times New Roman" w:cs="Times New Roman"/>
                <w:spacing w:val="-1"/>
                <w:sz w:val="20"/>
                <w:szCs w:val="20"/>
              </w:rPr>
              <w:t>2</w:t>
            </w:r>
          </w:p>
        </w:tc>
        <w:tc>
          <w:tcPr>
            <w:tcW w:w="1535" w:type="dxa"/>
            <w:vAlign w:val="top"/>
          </w:tcPr>
          <w:p w14:paraId="22069EAF">
            <w:pPr>
              <w:spacing w:before="109" w:line="198" w:lineRule="auto"/>
              <w:ind w:left="65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2"/>
                <w:sz w:val="20"/>
                <w:szCs w:val="20"/>
              </w:rPr>
              <w:t>.9</w:t>
            </w:r>
          </w:p>
        </w:tc>
        <w:tc>
          <w:tcPr>
            <w:tcW w:w="1536" w:type="dxa"/>
            <w:tcBorders>
              <w:right w:val="nil"/>
            </w:tcBorders>
            <w:vAlign w:val="top"/>
          </w:tcPr>
          <w:p w14:paraId="5E89704E">
            <w:pPr>
              <w:spacing w:before="73" w:line="228" w:lineRule="auto"/>
              <w:ind w:left="572"/>
              <w:rPr>
                <w:rFonts w:ascii="宋体" w:hAnsi="宋体" w:eastAsia="宋体" w:cs="宋体"/>
                <w:sz w:val="20"/>
                <w:szCs w:val="20"/>
              </w:rPr>
            </w:pPr>
            <w:r>
              <w:rPr>
                <w:rFonts w:ascii="宋体" w:hAnsi="宋体" w:eastAsia="宋体" w:cs="宋体"/>
                <w:spacing w:val="1"/>
                <w:sz w:val="20"/>
                <w:szCs w:val="20"/>
              </w:rPr>
              <w:t>东南</w:t>
            </w:r>
          </w:p>
        </w:tc>
      </w:tr>
    </w:tbl>
    <w:p w14:paraId="159F55BD">
      <w:pPr>
        <w:spacing w:before="288" w:line="227" w:lineRule="auto"/>
        <w:ind w:left="598"/>
        <w:rPr>
          <w:rFonts w:ascii="宋体" w:hAnsi="宋体" w:eastAsia="宋体" w:cs="宋体"/>
          <w:sz w:val="23"/>
          <w:szCs w:val="23"/>
        </w:rPr>
      </w:pPr>
      <w:r>
        <w:rPr>
          <w:rFonts w:ascii="宋体" w:hAnsi="宋体" w:eastAsia="宋体" w:cs="宋体"/>
          <w:spacing w:val="8"/>
          <w:sz w:val="23"/>
          <w:szCs w:val="23"/>
        </w:rPr>
        <w:t>监</w:t>
      </w:r>
      <w:r>
        <w:rPr>
          <w:rFonts w:ascii="宋体" w:hAnsi="宋体" w:eastAsia="宋体" w:cs="宋体"/>
          <w:spacing w:val="5"/>
          <w:sz w:val="23"/>
          <w:szCs w:val="23"/>
        </w:rPr>
        <w:t>测</w:t>
      </w:r>
      <w:r>
        <w:rPr>
          <w:rFonts w:ascii="宋体" w:hAnsi="宋体" w:eastAsia="宋体" w:cs="宋体"/>
          <w:spacing w:val="4"/>
          <w:sz w:val="23"/>
          <w:szCs w:val="23"/>
        </w:rPr>
        <w:t xml:space="preserve">因子的现状监测结果见表 </w:t>
      </w:r>
      <w:r>
        <w:rPr>
          <w:rFonts w:ascii="Times New Roman" w:hAnsi="Times New Roman" w:eastAsia="Times New Roman" w:cs="Times New Roman"/>
          <w:spacing w:val="4"/>
          <w:sz w:val="23"/>
          <w:szCs w:val="23"/>
        </w:rPr>
        <w:t>4-6</w:t>
      </w:r>
      <w:r>
        <w:rPr>
          <w:rFonts w:ascii="宋体" w:hAnsi="宋体" w:eastAsia="宋体" w:cs="宋体"/>
          <w:spacing w:val="4"/>
          <w:sz w:val="23"/>
          <w:szCs w:val="23"/>
        </w:rPr>
        <w:t>。</w:t>
      </w:r>
    </w:p>
    <w:p w14:paraId="408C3E86">
      <w:pPr>
        <w:spacing w:before="245" w:line="332" w:lineRule="exact"/>
        <w:ind w:left="1350"/>
        <w:rPr>
          <w:rFonts w:ascii="宋体" w:hAnsi="宋体" w:eastAsia="宋体" w:cs="宋体"/>
          <w:sz w:val="23"/>
          <w:szCs w:val="23"/>
        </w:rPr>
      </w:pPr>
      <w:r>
        <w:rPr>
          <w:rFonts w:ascii="宋体" w:hAnsi="宋体" w:eastAsia="宋体" w:cs="宋体"/>
          <w:spacing w:val="10"/>
          <w:position w:val="3"/>
          <w:sz w:val="23"/>
          <w:szCs w:val="23"/>
          <w14:textOutline w14:w="4358" w14:cap="sq" w14:cmpd="sng">
            <w14:solidFill>
              <w14:srgbClr w14:val="000000"/>
            </w14:solidFill>
            <w14:prstDash w14:val="solid"/>
            <w14:bevel/>
          </w14:textOutline>
        </w:rPr>
        <w:t>表</w:t>
      </w:r>
      <w:r>
        <w:rPr>
          <w:rFonts w:ascii="宋体" w:hAnsi="宋体" w:eastAsia="宋体" w:cs="宋体"/>
          <w:spacing w:val="8"/>
          <w:position w:val="3"/>
          <w:sz w:val="23"/>
          <w:szCs w:val="23"/>
        </w:rPr>
        <w:t xml:space="preserve"> </w:t>
      </w:r>
      <w:r>
        <w:rPr>
          <w:rFonts w:ascii="Times New Roman" w:hAnsi="Times New Roman" w:eastAsia="Times New Roman" w:cs="Times New Roman"/>
          <w:b/>
          <w:bCs/>
          <w:spacing w:val="5"/>
          <w:position w:val="3"/>
          <w:sz w:val="23"/>
          <w:szCs w:val="23"/>
        </w:rPr>
        <w:t>4-6</w:t>
      </w:r>
      <w:r>
        <w:rPr>
          <w:rFonts w:ascii="Times New Roman" w:hAnsi="Times New Roman" w:eastAsia="Times New Roman" w:cs="Times New Roman"/>
          <w:spacing w:val="5"/>
          <w:position w:val="3"/>
          <w:sz w:val="23"/>
          <w:szCs w:val="23"/>
        </w:rPr>
        <w:t xml:space="preserve">        </w:t>
      </w:r>
      <w:r>
        <w:rPr>
          <w:rFonts w:ascii="宋体" w:hAnsi="宋体" w:eastAsia="宋体" w:cs="宋体"/>
          <w:spacing w:val="5"/>
          <w:position w:val="3"/>
          <w:sz w:val="23"/>
          <w:szCs w:val="23"/>
          <w14:textOutline w14:w="4358" w14:cap="sq" w14:cmpd="sng">
            <w14:solidFill>
              <w14:srgbClr w14:val="000000"/>
            </w14:solidFill>
            <w14:prstDash w14:val="solid"/>
            <w14:bevel/>
          </w14:textOutline>
        </w:rPr>
        <w:t>环境空气监测因子监测结果</w:t>
      </w:r>
      <w:r>
        <w:rPr>
          <w:rFonts w:ascii="宋体" w:hAnsi="宋体" w:eastAsia="宋体" w:cs="宋体"/>
          <w:spacing w:val="5"/>
          <w:position w:val="3"/>
          <w:sz w:val="23"/>
          <w:szCs w:val="23"/>
        </w:rPr>
        <w:t xml:space="preserve"> </w:t>
      </w:r>
      <w:r>
        <w:rPr>
          <w:rFonts w:ascii="宋体" w:hAnsi="宋体" w:eastAsia="宋体" w:cs="宋体"/>
          <w:spacing w:val="5"/>
          <w:position w:val="3"/>
          <w:sz w:val="23"/>
          <w:szCs w:val="23"/>
          <w14:textOutline w14:w="4358" w14:cap="sq" w14:cmpd="sng">
            <w14:solidFill>
              <w14:srgbClr w14:val="000000"/>
            </w14:solidFill>
            <w14:prstDash w14:val="solid"/>
            <w14:bevel/>
          </w14:textOutline>
        </w:rPr>
        <w:t>(单位：</w:t>
      </w:r>
      <w:r>
        <w:rPr>
          <w:rFonts w:ascii="Times New Roman" w:hAnsi="Times New Roman" w:eastAsia="Times New Roman" w:cs="Times New Roman"/>
          <w:b/>
          <w:bCs/>
          <w:position w:val="3"/>
          <w:sz w:val="23"/>
          <w:szCs w:val="23"/>
        </w:rPr>
        <w:t>mg</w:t>
      </w:r>
      <w:r>
        <w:rPr>
          <w:rFonts w:ascii="Times New Roman" w:hAnsi="Times New Roman" w:eastAsia="Times New Roman" w:cs="Times New Roman"/>
          <w:b/>
          <w:bCs/>
          <w:spacing w:val="5"/>
          <w:position w:val="3"/>
          <w:sz w:val="23"/>
          <w:szCs w:val="23"/>
        </w:rPr>
        <w:t>/</w:t>
      </w:r>
      <w:r>
        <w:rPr>
          <w:rFonts w:ascii="Times New Roman" w:hAnsi="Times New Roman" w:eastAsia="Times New Roman" w:cs="Times New Roman"/>
          <w:b/>
          <w:bCs/>
          <w:position w:val="3"/>
          <w:sz w:val="23"/>
          <w:szCs w:val="23"/>
        </w:rPr>
        <w:t>m</w:t>
      </w:r>
      <w:r>
        <w:rPr>
          <w:rFonts w:ascii="Times New Roman" w:hAnsi="Times New Roman" w:eastAsia="Times New Roman" w:cs="Times New Roman"/>
          <w:b/>
          <w:bCs/>
          <w:spacing w:val="5"/>
          <w:position w:val="10"/>
          <w:sz w:val="15"/>
          <w:szCs w:val="15"/>
        </w:rPr>
        <w:t>3</w:t>
      </w:r>
      <w:r>
        <w:rPr>
          <w:rFonts w:ascii="Times New Roman" w:hAnsi="Times New Roman" w:eastAsia="Times New Roman" w:cs="Times New Roman"/>
          <w:spacing w:val="5"/>
          <w:position w:val="10"/>
          <w:sz w:val="15"/>
          <w:szCs w:val="15"/>
        </w:rPr>
        <w:t xml:space="preserve"> </w:t>
      </w:r>
      <w:r>
        <w:rPr>
          <w:rFonts w:ascii="宋体" w:hAnsi="宋体" w:eastAsia="宋体" w:cs="宋体"/>
          <w:spacing w:val="5"/>
          <w:position w:val="3"/>
          <w:sz w:val="23"/>
          <w:szCs w:val="23"/>
          <w14:textOutline w14:w="4358" w14:cap="sq" w14:cmpd="sng">
            <w14:solidFill>
              <w14:srgbClr w14:val="000000"/>
            </w14:solidFill>
            <w14:prstDash w14:val="solid"/>
            <w14:bevel/>
          </w14:textOutline>
        </w:rPr>
        <w:t>)</w:t>
      </w:r>
    </w:p>
    <w:p w14:paraId="1D4C6B86">
      <w:pPr>
        <w:spacing w:line="62" w:lineRule="auto"/>
        <w:rPr>
          <w:rFonts w:ascii="Arial"/>
          <w:sz w:val="2"/>
        </w:rPr>
      </w:pPr>
    </w:p>
    <w:tbl>
      <w:tblPr>
        <w:tblStyle w:val="4"/>
        <w:tblW w:w="8351" w:type="dxa"/>
        <w:tblInd w:w="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66"/>
        <w:gridCol w:w="3142"/>
        <w:gridCol w:w="3143"/>
      </w:tblGrid>
      <w:tr w14:paraId="0DE80E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2066" w:type="dxa"/>
            <w:tcBorders>
              <w:left w:val="nil"/>
            </w:tcBorders>
            <w:vAlign w:val="top"/>
          </w:tcPr>
          <w:p w14:paraId="063B7A15">
            <w:pPr>
              <w:spacing w:before="77" w:line="216" w:lineRule="auto"/>
              <w:ind w:left="620"/>
              <w:outlineLvl w:val="0"/>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采样地</w:t>
            </w:r>
            <w:r>
              <w:rPr>
                <w:rFonts w:ascii="宋体" w:hAnsi="宋体" w:eastAsia="宋体" w:cs="宋体"/>
                <w:spacing w:val="8"/>
                <w:sz w:val="20"/>
                <w:szCs w:val="20"/>
                <w14:textOutline w14:w="3795" w14:cap="sq" w14:cmpd="sng">
                  <w14:solidFill>
                    <w14:srgbClr w14:val="000000"/>
                  </w14:solidFill>
                  <w14:prstDash w14:val="solid"/>
                  <w14:bevel/>
                </w14:textOutline>
              </w:rPr>
              <w:t>点</w:t>
            </w:r>
          </w:p>
        </w:tc>
        <w:tc>
          <w:tcPr>
            <w:tcW w:w="3142" w:type="dxa"/>
            <w:vAlign w:val="top"/>
          </w:tcPr>
          <w:p w14:paraId="6A0C19B2">
            <w:pPr>
              <w:spacing w:before="77" w:line="216" w:lineRule="auto"/>
              <w:ind w:left="845"/>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建设项目所在地</w:t>
            </w:r>
          </w:p>
        </w:tc>
        <w:tc>
          <w:tcPr>
            <w:tcW w:w="3143" w:type="dxa"/>
            <w:tcBorders>
              <w:right w:val="nil"/>
            </w:tcBorders>
            <w:vAlign w:val="top"/>
          </w:tcPr>
          <w:p w14:paraId="5AEFFB61">
            <w:pPr>
              <w:spacing w:before="77" w:line="216" w:lineRule="auto"/>
              <w:ind w:left="1262"/>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榆</w:t>
            </w:r>
            <w:r>
              <w:rPr>
                <w:rFonts w:ascii="宋体" w:hAnsi="宋体" w:eastAsia="宋体" w:cs="宋体"/>
                <w:spacing w:val="7"/>
                <w:sz w:val="20"/>
                <w:szCs w:val="20"/>
                <w14:textOutline w14:w="3795" w14:cap="sq" w14:cmpd="sng">
                  <w14:solidFill>
                    <w14:srgbClr w14:val="000000"/>
                  </w14:solidFill>
                  <w14:prstDash w14:val="solid"/>
                  <w14:bevel/>
                </w14:textOutline>
              </w:rPr>
              <w:t>树底</w:t>
            </w:r>
          </w:p>
        </w:tc>
      </w:tr>
      <w:tr w14:paraId="2AF428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066" w:type="dxa"/>
            <w:vMerge w:val="restart"/>
            <w:tcBorders>
              <w:left w:val="nil"/>
              <w:bottom w:val="nil"/>
            </w:tcBorders>
            <w:vAlign w:val="top"/>
          </w:tcPr>
          <w:p w14:paraId="778F294F">
            <w:pPr>
              <w:spacing w:before="202" w:line="228" w:lineRule="auto"/>
              <w:ind w:left="621"/>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检</w:t>
            </w:r>
            <w:r>
              <w:rPr>
                <w:rFonts w:ascii="宋体" w:hAnsi="宋体" w:eastAsia="宋体" w:cs="宋体"/>
                <w:spacing w:val="8"/>
                <w:sz w:val="20"/>
                <w:szCs w:val="20"/>
                <w14:textOutline w14:w="3795" w14:cap="sq" w14:cmpd="sng">
                  <w14:solidFill>
                    <w14:srgbClr w14:val="000000"/>
                  </w14:solidFill>
                  <w14:prstDash w14:val="solid"/>
                  <w14:bevel/>
                </w14:textOutline>
              </w:rPr>
              <w:t>测日期</w:t>
            </w:r>
          </w:p>
        </w:tc>
        <w:tc>
          <w:tcPr>
            <w:tcW w:w="3142" w:type="dxa"/>
            <w:vAlign w:val="top"/>
          </w:tcPr>
          <w:p w14:paraId="56516A86">
            <w:pPr>
              <w:spacing w:before="87" w:line="195" w:lineRule="auto"/>
              <w:ind w:left="1240"/>
              <w:rPr>
                <w:rFonts w:ascii="Times New Roman" w:hAnsi="Times New Roman" w:eastAsia="Times New Roman" w:cs="Times New Roman"/>
                <w:sz w:val="20"/>
                <w:szCs w:val="20"/>
              </w:rPr>
            </w:pPr>
            <w:r>
              <w:rPr>
                <w:rFonts w:ascii="Times New Roman" w:hAnsi="Times New Roman" w:eastAsia="Times New Roman" w:cs="Times New Roman"/>
                <w:b/>
                <w:bCs/>
                <w:spacing w:val="7"/>
                <w:sz w:val="20"/>
                <w:szCs w:val="20"/>
              </w:rPr>
              <w:t>N</w:t>
            </w:r>
            <w:r>
              <w:rPr>
                <w:rFonts w:ascii="Times New Roman" w:hAnsi="Times New Roman" w:eastAsia="Times New Roman" w:cs="Times New Roman"/>
                <w:b/>
                <w:bCs/>
                <w:spacing w:val="6"/>
                <w:sz w:val="20"/>
                <w:szCs w:val="20"/>
              </w:rPr>
              <w:t>MHC</w:t>
            </w:r>
          </w:p>
        </w:tc>
        <w:tc>
          <w:tcPr>
            <w:tcW w:w="3143" w:type="dxa"/>
            <w:tcBorders>
              <w:right w:val="nil"/>
            </w:tcBorders>
            <w:vAlign w:val="top"/>
          </w:tcPr>
          <w:p w14:paraId="05A8C2F1">
            <w:pPr>
              <w:spacing w:before="87" w:line="195" w:lineRule="auto"/>
              <w:ind w:left="1240"/>
              <w:rPr>
                <w:rFonts w:ascii="Times New Roman" w:hAnsi="Times New Roman" w:eastAsia="Times New Roman" w:cs="Times New Roman"/>
                <w:sz w:val="20"/>
                <w:szCs w:val="20"/>
              </w:rPr>
            </w:pPr>
            <w:r>
              <w:rPr>
                <w:rFonts w:ascii="Times New Roman" w:hAnsi="Times New Roman" w:eastAsia="Times New Roman" w:cs="Times New Roman"/>
                <w:b/>
                <w:bCs/>
                <w:spacing w:val="7"/>
                <w:sz w:val="20"/>
                <w:szCs w:val="20"/>
              </w:rPr>
              <w:t>N</w:t>
            </w:r>
            <w:r>
              <w:rPr>
                <w:rFonts w:ascii="Times New Roman" w:hAnsi="Times New Roman" w:eastAsia="Times New Roman" w:cs="Times New Roman"/>
                <w:b/>
                <w:bCs/>
                <w:spacing w:val="6"/>
                <w:sz w:val="20"/>
                <w:szCs w:val="20"/>
              </w:rPr>
              <w:t>MHC</w:t>
            </w:r>
          </w:p>
        </w:tc>
      </w:tr>
      <w:tr w14:paraId="5DC916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066" w:type="dxa"/>
            <w:vMerge w:val="continue"/>
            <w:tcBorders>
              <w:top w:val="nil"/>
              <w:left w:val="nil"/>
            </w:tcBorders>
            <w:vAlign w:val="top"/>
          </w:tcPr>
          <w:p w14:paraId="31F82B29">
            <w:pPr>
              <w:rPr>
                <w:rFonts w:ascii="Arial"/>
                <w:sz w:val="21"/>
              </w:rPr>
            </w:pPr>
          </w:p>
        </w:tc>
        <w:tc>
          <w:tcPr>
            <w:tcW w:w="3142" w:type="dxa"/>
            <w:vAlign w:val="top"/>
          </w:tcPr>
          <w:p w14:paraId="2F09999D">
            <w:pPr>
              <w:spacing w:before="47" w:line="239" w:lineRule="auto"/>
              <w:ind w:left="1265"/>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一</w:t>
            </w:r>
            <w:r>
              <w:rPr>
                <w:rFonts w:ascii="宋体" w:hAnsi="宋体" w:eastAsia="宋体" w:cs="宋体"/>
                <w:spacing w:val="6"/>
                <w:sz w:val="20"/>
                <w:szCs w:val="20"/>
                <w14:textOutline w14:w="3795" w14:cap="sq" w14:cmpd="sng">
                  <w14:solidFill>
                    <w14:srgbClr w14:val="000000"/>
                  </w14:solidFill>
                  <w14:prstDash w14:val="solid"/>
                  <w14:bevel/>
                </w14:textOutline>
              </w:rPr>
              <w:t>次值</w:t>
            </w:r>
          </w:p>
        </w:tc>
        <w:tc>
          <w:tcPr>
            <w:tcW w:w="3143" w:type="dxa"/>
            <w:tcBorders>
              <w:right w:val="nil"/>
            </w:tcBorders>
            <w:vAlign w:val="top"/>
          </w:tcPr>
          <w:p w14:paraId="46968891">
            <w:pPr>
              <w:spacing w:before="47" w:line="239" w:lineRule="auto"/>
              <w:ind w:left="1265"/>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一</w:t>
            </w:r>
            <w:r>
              <w:rPr>
                <w:rFonts w:ascii="宋体" w:hAnsi="宋体" w:eastAsia="宋体" w:cs="宋体"/>
                <w:spacing w:val="6"/>
                <w:sz w:val="20"/>
                <w:szCs w:val="20"/>
                <w14:textOutline w14:w="3795" w14:cap="sq" w14:cmpd="sng">
                  <w14:solidFill>
                    <w14:srgbClr w14:val="000000"/>
                  </w14:solidFill>
                  <w14:prstDash w14:val="solid"/>
                  <w14:bevel/>
                </w14:textOutline>
              </w:rPr>
              <w:t>次值</w:t>
            </w:r>
          </w:p>
        </w:tc>
      </w:tr>
      <w:tr w14:paraId="5CA130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2066" w:type="dxa"/>
            <w:vMerge w:val="restart"/>
            <w:tcBorders>
              <w:left w:val="nil"/>
              <w:bottom w:val="nil"/>
            </w:tcBorders>
            <w:vAlign w:val="top"/>
          </w:tcPr>
          <w:p w14:paraId="3A39502D">
            <w:pPr>
              <w:spacing w:line="447" w:lineRule="auto"/>
              <w:rPr>
                <w:rFonts w:ascii="Arial"/>
                <w:sz w:val="21"/>
              </w:rPr>
            </w:pPr>
          </w:p>
          <w:p w14:paraId="1BE83BF8">
            <w:pPr>
              <w:spacing w:before="65" w:line="228" w:lineRule="auto"/>
              <w:ind w:left="171"/>
              <w:rPr>
                <w:rFonts w:ascii="宋体" w:hAnsi="宋体" w:eastAsia="宋体" w:cs="宋体"/>
                <w:sz w:val="20"/>
                <w:szCs w:val="20"/>
              </w:rPr>
            </w:pPr>
            <w:r>
              <w:rPr>
                <w:rFonts w:ascii="Times New Roman" w:hAnsi="Times New Roman" w:eastAsia="Times New Roman" w:cs="Times New Roman"/>
                <w:spacing w:val="1"/>
                <w:sz w:val="20"/>
                <w:szCs w:val="20"/>
              </w:rPr>
              <w:t xml:space="preserve">2019 </w:t>
            </w:r>
            <w:r>
              <w:rPr>
                <w:rFonts w:ascii="宋体" w:hAnsi="宋体" w:eastAsia="宋体" w:cs="宋体"/>
                <w:spacing w:val="1"/>
                <w:sz w:val="20"/>
                <w:szCs w:val="20"/>
              </w:rPr>
              <w:t xml:space="preserve">年 </w:t>
            </w:r>
            <w:r>
              <w:rPr>
                <w:rFonts w:ascii="Times New Roman" w:hAnsi="Times New Roman" w:eastAsia="Times New Roman" w:cs="Times New Roman"/>
                <w:spacing w:val="1"/>
                <w:sz w:val="20"/>
                <w:szCs w:val="20"/>
              </w:rPr>
              <w:t xml:space="preserve">06 </w:t>
            </w:r>
            <w:r>
              <w:rPr>
                <w:rFonts w:ascii="宋体" w:hAnsi="宋体" w:eastAsia="宋体" w:cs="宋体"/>
                <w:spacing w:val="1"/>
                <w:sz w:val="20"/>
                <w:szCs w:val="20"/>
              </w:rPr>
              <w:t xml:space="preserve">月 </w:t>
            </w:r>
            <w:r>
              <w:rPr>
                <w:rFonts w:ascii="Times New Roman" w:hAnsi="Times New Roman" w:eastAsia="Times New Roman" w:cs="Times New Roman"/>
                <w:spacing w:val="1"/>
                <w:sz w:val="20"/>
                <w:szCs w:val="20"/>
              </w:rPr>
              <w:t>2</w:t>
            </w:r>
            <w:r>
              <w:rPr>
                <w:rFonts w:ascii="Times New Roman" w:hAnsi="Times New Roman" w:eastAsia="Times New Roman" w:cs="Times New Roman"/>
                <w:sz w:val="20"/>
                <w:szCs w:val="20"/>
              </w:rPr>
              <w:t xml:space="preserve">0 </w:t>
            </w:r>
            <w:r>
              <w:rPr>
                <w:rFonts w:ascii="宋体" w:hAnsi="宋体" w:eastAsia="宋体" w:cs="宋体"/>
                <w:sz w:val="20"/>
                <w:szCs w:val="20"/>
              </w:rPr>
              <w:t>日</w:t>
            </w:r>
          </w:p>
        </w:tc>
        <w:tc>
          <w:tcPr>
            <w:tcW w:w="3142" w:type="dxa"/>
            <w:vAlign w:val="top"/>
          </w:tcPr>
          <w:p w14:paraId="6BAE08E8">
            <w:pPr>
              <w:spacing w:before="90" w:line="195"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 xml:space="preserve"> 10</w:t>
            </w:r>
          </w:p>
        </w:tc>
        <w:tc>
          <w:tcPr>
            <w:tcW w:w="3143" w:type="dxa"/>
            <w:tcBorders>
              <w:right w:val="nil"/>
            </w:tcBorders>
            <w:vAlign w:val="top"/>
          </w:tcPr>
          <w:p w14:paraId="1BA523D5">
            <w:pPr>
              <w:spacing w:before="88" w:line="195"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 xml:space="preserve">1 </w:t>
            </w:r>
            <w:r>
              <w:rPr>
                <w:rFonts w:ascii="Times New Roman" w:hAnsi="Times New Roman" w:eastAsia="Times New Roman" w:cs="Times New Roman"/>
                <w:spacing w:val="-1"/>
                <w:sz w:val="20"/>
                <w:szCs w:val="20"/>
              </w:rPr>
              <w:t>62</w:t>
            </w:r>
          </w:p>
        </w:tc>
      </w:tr>
      <w:tr w14:paraId="197912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066" w:type="dxa"/>
            <w:vMerge w:val="continue"/>
            <w:tcBorders>
              <w:top w:val="nil"/>
              <w:left w:val="nil"/>
              <w:bottom w:val="nil"/>
            </w:tcBorders>
            <w:vAlign w:val="top"/>
          </w:tcPr>
          <w:p w14:paraId="624973FF">
            <w:pPr>
              <w:rPr>
                <w:rFonts w:ascii="Arial"/>
                <w:sz w:val="21"/>
              </w:rPr>
            </w:pPr>
          </w:p>
        </w:tc>
        <w:tc>
          <w:tcPr>
            <w:tcW w:w="3142" w:type="dxa"/>
            <w:vAlign w:val="top"/>
          </w:tcPr>
          <w:p w14:paraId="35E31486">
            <w:pPr>
              <w:spacing w:before="111" w:line="195"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 xml:space="preserve"> 16</w:t>
            </w:r>
          </w:p>
        </w:tc>
        <w:tc>
          <w:tcPr>
            <w:tcW w:w="3143" w:type="dxa"/>
            <w:tcBorders>
              <w:right w:val="nil"/>
            </w:tcBorders>
            <w:vAlign w:val="top"/>
          </w:tcPr>
          <w:p w14:paraId="2C144212">
            <w:pPr>
              <w:spacing w:before="109" w:line="195"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 xml:space="preserve">1 </w:t>
            </w:r>
            <w:r>
              <w:rPr>
                <w:rFonts w:ascii="Times New Roman" w:hAnsi="Times New Roman" w:eastAsia="Times New Roman" w:cs="Times New Roman"/>
                <w:spacing w:val="-1"/>
                <w:sz w:val="20"/>
                <w:szCs w:val="20"/>
              </w:rPr>
              <w:t>66</w:t>
            </w:r>
          </w:p>
        </w:tc>
      </w:tr>
      <w:tr w14:paraId="301087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066" w:type="dxa"/>
            <w:vMerge w:val="continue"/>
            <w:tcBorders>
              <w:top w:val="nil"/>
              <w:left w:val="nil"/>
              <w:bottom w:val="nil"/>
            </w:tcBorders>
            <w:vAlign w:val="top"/>
          </w:tcPr>
          <w:p w14:paraId="185F6A1E">
            <w:pPr>
              <w:rPr>
                <w:rFonts w:ascii="Arial"/>
                <w:sz w:val="21"/>
              </w:rPr>
            </w:pPr>
          </w:p>
        </w:tc>
        <w:tc>
          <w:tcPr>
            <w:tcW w:w="3142" w:type="dxa"/>
            <w:vAlign w:val="top"/>
          </w:tcPr>
          <w:p w14:paraId="38995B4B">
            <w:pPr>
              <w:spacing w:before="112" w:line="195"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 xml:space="preserve"> 20</w:t>
            </w:r>
          </w:p>
        </w:tc>
        <w:tc>
          <w:tcPr>
            <w:tcW w:w="3143" w:type="dxa"/>
            <w:tcBorders>
              <w:right w:val="nil"/>
            </w:tcBorders>
            <w:vAlign w:val="top"/>
          </w:tcPr>
          <w:p w14:paraId="6A9B2E4D">
            <w:pPr>
              <w:spacing w:before="110" w:line="195"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 xml:space="preserve">1 </w:t>
            </w:r>
            <w:r>
              <w:rPr>
                <w:rFonts w:ascii="Times New Roman" w:hAnsi="Times New Roman" w:eastAsia="Times New Roman" w:cs="Times New Roman"/>
                <w:spacing w:val="-1"/>
                <w:sz w:val="20"/>
                <w:szCs w:val="20"/>
              </w:rPr>
              <w:t>69</w:t>
            </w:r>
          </w:p>
        </w:tc>
      </w:tr>
      <w:tr w14:paraId="6D14C5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3" w:hRule="atLeast"/>
        </w:trPr>
        <w:tc>
          <w:tcPr>
            <w:tcW w:w="2066" w:type="dxa"/>
            <w:vMerge w:val="continue"/>
            <w:tcBorders>
              <w:top w:val="nil"/>
              <w:left w:val="nil"/>
            </w:tcBorders>
            <w:vAlign w:val="top"/>
          </w:tcPr>
          <w:p w14:paraId="53AFB12E">
            <w:pPr>
              <w:rPr>
                <w:rFonts w:ascii="Arial"/>
                <w:sz w:val="21"/>
              </w:rPr>
            </w:pPr>
          </w:p>
        </w:tc>
        <w:tc>
          <w:tcPr>
            <w:tcW w:w="3142" w:type="dxa"/>
            <w:vAlign w:val="top"/>
          </w:tcPr>
          <w:p w14:paraId="07B79A39">
            <w:pPr>
              <w:spacing w:before="113" w:line="195"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 xml:space="preserve"> 13</w:t>
            </w:r>
          </w:p>
        </w:tc>
        <w:tc>
          <w:tcPr>
            <w:tcW w:w="3143" w:type="dxa"/>
            <w:tcBorders>
              <w:right w:val="nil"/>
            </w:tcBorders>
            <w:vAlign w:val="top"/>
          </w:tcPr>
          <w:p w14:paraId="40B4B359">
            <w:pPr>
              <w:spacing w:before="111" w:line="195"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 xml:space="preserve">1 </w:t>
            </w:r>
            <w:r>
              <w:rPr>
                <w:rFonts w:ascii="Times New Roman" w:hAnsi="Times New Roman" w:eastAsia="Times New Roman" w:cs="Times New Roman"/>
                <w:spacing w:val="-1"/>
                <w:sz w:val="20"/>
                <w:szCs w:val="20"/>
              </w:rPr>
              <w:t>64</w:t>
            </w:r>
          </w:p>
        </w:tc>
      </w:tr>
      <w:tr w14:paraId="5F8F8C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 w:hRule="atLeast"/>
        </w:trPr>
        <w:tc>
          <w:tcPr>
            <w:tcW w:w="2066" w:type="dxa"/>
            <w:vMerge w:val="restart"/>
            <w:tcBorders>
              <w:left w:val="nil"/>
              <w:bottom w:val="nil"/>
            </w:tcBorders>
            <w:vAlign w:val="top"/>
          </w:tcPr>
          <w:p w14:paraId="6774919A">
            <w:pPr>
              <w:spacing w:before="220" w:line="228" w:lineRule="auto"/>
              <w:ind w:left="171"/>
              <w:rPr>
                <w:rFonts w:ascii="宋体" w:hAnsi="宋体" w:eastAsia="宋体" w:cs="宋体"/>
                <w:sz w:val="20"/>
                <w:szCs w:val="20"/>
              </w:rPr>
            </w:pPr>
            <w:r>
              <w:rPr>
                <w:rFonts w:ascii="Times New Roman" w:hAnsi="Times New Roman" w:eastAsia="Times New Roman" w:cs="Times New Roman"/>
                <w:spacing w:val="1"/>
                <w:sz w:val="20"/>
                <w:szCs w:val="20"/>
              </w:rPr>
              <w:t xml:space="preserve">2019 </w:t>
            </w:r>
            <w:r>
              <w:rPr>
                <w:rFonts w:ascii="宋体" w:hAnsi="宋体" w:eastAsia="宋体" w:cs="宋体"/>
                <w:spacing w:val="1"/>
                <w:sz w:val="20"/>
                <w:szCs w:val="20"/>
              </w:rPr>
              <w:t xml:space="preserve">年 </w:t>
            </w:r>
            <w:r>
              <w:rPr>
                <w:rFonts w:ascii="Times New Roman" w:hAnsi="Times New Roman" w:eastAsia="Times New Roman" w:cs="Times New Roman"/>
                <w:spacing w:val="1"/>
                <w:sz w:val="20"/>
                <w:szCs w:val="20"/>
              </w:rPr>
              <w:t xml:space="preserve">06 </w:t>
            </w:r>
            <w:r>
              <w:rPr>
                <w:rFonts w:ascii="宋体" w:hAnsi="宋体" w:eastAsia="宋体" w:cs="宋体"/>
                <w:spacing w:val="1"/>
                <w:sz w:val="20"/>
                <w:szCs w:val="20"/>
              </w:rPr>
              <w:t xml:space="preserve">月 </w:t>
            </w:r>
            <w:r>
              <w:rPr>
                <w:rFonts w:ascii="Times New Roman" w:hAnsi="Times New Roman" w:eastAsia="Times New Roman" w:cs="Times New Roman"/>
                <w:spacing w:val="1"/>
                <w:sz w:val="20"/>
                <w:szCs w:val="20"/>
              </w:rPr>
              <w:t>2</w:t>
            </w:r>
            <w:r>
              <w:rPr>
                <w:rFonts w:ascii="Times New Roman" w:hAnsi="Times New Roman" w:eastAsia="Times New Roman" w:cs="Times New Roman"/>
                <w:sz w:val="20"/>
                <w:szCs w:val="20"/>
              </w:rPr>
              <w:t xml:space="preserve">1 </w:t>
            </w:r>
            <w:r>
              <w:rPr>
                <w:rFonts w:ascii="宋体" w:hAnsi="宋体" w:eastAsia="宋体" w:cs="宋体"/>
                <w:sz w:val="20"/>
                <w:szCs w:val="20"/>
              </w:rPr>
              <w:t>日</w:t>
            </w:r>
          </w:p>
        </w:tc>
        <w:tc>
          <w:tcPr>
            <w:tcW w:w="3142" w:type="dxa"/>
            <w:vAlign w:val="top"/>
          </w:tcPr>
          <w:p w14:paraId="5FE6FB8C">
            <w:pPr>
              <w:spacing w:before="105" w:line="195"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 xml:space="preserve"> 23</w:t>
            </w:r>
          </w:p>
        </w:tc>
        <w:tc>
          <w:tcPr>
            <w:tcW w:w="3143" w:type="dxa"/>
            <w:tcBorders>
              <w:right w:val="nil"/>
            </w:tcBorders>
            <w:vAlign w:val="top"/>
          </w:tcPr>
          <w:p w14:paraId="57F08792">
            <w:pPr>
              <w:spacing w:before="105" w:line="195"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 xml:space="preserve">1 </w:t>
            </w:r>
            <w:r>
              <w:rPr>
                <w:rFonts w:ascii="Times New Roman" w:hAnsi="Times New Roman" w:eastAsia="Times New Roman" w:cs="Times New Roman"/>
                <w:spacing w:val="-1"/>
                <w:sz w:val="20"/>
                <w:szCs w:val="20"/>
              </w:rPr>
              <w:t>58</w:t>
            </w:r>
          </w:p>
        </w:tc>
      </w:tr>
      <w:tr w14:paraId="0833CC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2066" w:type="dxa"/>
            <w:vMerge w:val="continue"/>
            <w:tcBorders>
              <w:top w:val="nil"/>
              <w:left w:val="nil"/>
            </w:tcBorders>
            <w:vAlign w:val="top"/>
          </w:tcPr>
          <w:p w14:paraId="0EB2E8FD">
            <w:pPr>
              <w:rPr>
                <w:rFonts w:ascii="Arial"/>
                <w:sz w:val="21"/>
              </w:rPr>
            </w:pPr>
          </w:p>
        </w:tc>
        <w:tc>
          <w:tcPr>
            <w:tcW w:w="3142" w:type="dxa"/>
            <w:vAlign w:val="top"/>
          </w:tcPr>
          <w:p w14:paraId="73C7C9C9">
            <w:pPr>
              <w:spacing w:before="113" w:line="198"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.28</w:t>
            </w:r>
          </w:p>
        </w:tc>
        <w:tc>
          <w:tcPr>
            <w:tcW w:w="3143" w:type="dxa"/>
            <w:tcBorders>
              <w:right w:val="nil"/>
            </w:tcBorders>
            <w:vAlign w:val="top"/>
          </w:tcPr>
          <w:p w14:paraId="4C029C45">
            <w:pPr>
              <w:spacing w:before="113" w:line="198"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65</w:t>
            </w:r>
          </w:p>
        </w:tc>
      </w:tr>
    </w:tbl>
    <w:p w14:paraId="7D56EDE0">
      <w:pPr>
        <w:rPr>
          <w:rFonts w:ascii="Arial"/>
          <w:sz w:val="21"/>
        </w:rPr>
      </w:pPr>
    </w:p>
    <w:p w14:paraId="4DD4D9B5">
      <w:pPr>
        <w:sectPr>
          <w:headerReference r:id="rId160" w:type="default"/>
          <w:footerReference r:id="rId161" w:type="default"/>
          <w:pgSz w:w="11906" w:h="16839"/>
          <w:pgMar w:top="1132" w:right="1691" w:bottom="1182" w:left="1691" w:header="878" w:footer="1022" w:gutter="0"/>
          <w:cols w:space="720" w:num="1"/>
        </w:sectPr>
      </w:pPr>
    </w:p>
    <w:p w14:paraId="360FA2D0">
      <w:r>
        <w:pict>
          <v:shape id="_x0000_s1215" o:spid="_x0000_s1215" style="position:absolute;left:0pt;margin-left:90pt;margin-top:57.35pt;height:0.75pt;width:415.3pt;mso-position-horizontal-relative:page;mso-position-vertical-relative:page;z-index:251867136;mso-width-relative:page;mso-height-relative:page;" fillcolor="#000000" filled="t" stroked="f" coordsize="8305,15" o:allowincell="f" path="m0,0l8305,0,8305,14,0,14,0,0xe">
            <v:path/>
            <v:fill on="t" focussize="0,0"/>
            <v:stroke on="f"/>
            <v:imagedata o:title=""/>
            <o:lock v:ext="edit"/>
          </v:shape>
        </w:pict>
      </w:r>
    </w:p>
    <w:p w14:paraId="58D3216D">
      <w:pPr>
        <w:spacing w:line="65" w:lineRule="exact"/>
      </w:pPr>
    </w:p>
    <w:tbl>
      <w:tblPr>
        <w:tblStyle w:val="4"/>
        <w:tblW w:w="835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66"/>
        <w:gridCol w:w="3143"/>
        <w:gridCol w:w="3143"/>
      </w:tblGrid>
      <w:tr w14:paraId="578F20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2066" w:type="dxa"/>
            <w:vMerge w:val="restart"/>
            <w:tcBorders>
              <w:left w:val="nil"/>
              <w:bottom w:val="nil"/>
            </w:tcBorders>
            <w:vAlign w:val="top"/>
          </w:tcPr>
          <w:p w14:paraId="067FF0EA">
            <w:pPr>
              <w:rPr>
                <w:rFonts w:ascii="Arial"/>
                <w:sz w:val="21"/>
              </w:rPr>
            </w:pPr>
          </w:p>
        </w:tc>
        <w:tc>
          <w:tcPr>
            <w:tcW w:w="3143" w:type="dxa"/>
            <w:vAlign w:val="top"/>
          </w:tcPr>
          <w:p w14:paraId="45711B55">
            <w:pPr>
              <w:spacing w:before="111" w:line="191"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 xml:space="preserve"> 33</w:t>
            </w:r>
          </w:p>
        </w:tc>
        <w:tc>
          <w:tcPr>
            <w:tcW w:w="3143" w:type="dxa"/>
            <w:tcBorders>
              <w:right w:val="nil"/>
            </w:tcBorders>
            <w:vAlign w:val="top"/>
          </w:tcPr>
          <w:p w14:paraId="055C9147">
            <w:pPr>
              <w:spacing w:before="111" w:line="191" w:lineRule="auto"/>
              <w:ind w:left="14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 xml:space="preserve">1 </w:t>
            </w:r>
            <w:r>
              <w:rPr>
                <w:rFonts w:ascii="Times New Roman" w:hAnsi="Times New Roman" w:eastAsia="Times New Roman" w:cs="Times New Roman"/>
                <w:spacing w:val="-1"/>
                <w:sz w:val="20"/>
                <w:szCs w:val="20"/>
              </w:rPr>
              <w:t>69</w:t>
            </w:r>
          </w:p>
        </w:tc>
      </w:tr>
      <w:tr w14:paraId="3533BD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2066" w:type="dxa"/>
            <w:vMerge w:val="continue"/>
            <w:tcBorders>
              <w:top w:val="nil"/>
              <w:left w:val="nil"/>
            </w:tcBorders>
            <w:vAlign w:val="top"/>
          </w:tcPr>
          <w:p w14:paraId="36F3E77B">
            <w:pPr>
              <w:rPr>
                <w:rFonts w:ascii="Arial"/>
                <w:sz w:val="21"/>
              </w:rPr>
            </w:pPr>
          </w:p>
        </w:tc>
        <w:tc>
          <w:tcPr>
            <w:tcW w:w="3143" w:type="dxa"/>
            <w:vAlign w:val="top"/>
          </w:tcPr>
          <w:p w14:paraId="4109DF91">
            <w:pPr>
              <w:spacing w:before="104" w:line="195"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 xml:space="preserve"> 27</w:t>
            </w:r>
          </w:p>
        </w:tc>
        <w:tc>
          <w:tcPr>
            <w:tcW w:w="3143" w:type="dxa"/>
            <w:tcBorders>
              <w:right w:val="nil"/>
            </w:tcBorders>
            <w:vAlign w:val="top"/>
          </w:tcPr>
          <w:p w14:paraId="17078FA7">
            <w:pPr>
              <w:spacing w:before="104" w:line="195" w:lineRule="auto"/>
              <w:ind w:left="14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 xml:space="preserve">1 </w:t>
            </w:r>
            <w:r>
              <w:rPr>
                <w:rFonts w:ascii="Times New Roman" w:hAnsi="Times New Roman" w:eastAsia="Times New Roman" w:cs="Times New Roman"/>
                <w:spacing w:val="-1"/>
                <w:sz w:val="20"/>
                <w:szCs w:val="20"/>
              </w:rPr>
              <w:t>62</w:t>
            </w:r>
          </w:p>
        </w:tc>
      </w:tr>
      <w:tr w14:paraId="79C57F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 w:hRule="atLeast"/>
        </w:trPr>
        <w:tc>
          <w:tcPr>
            <w:tcW w:w="2066" w:type="dxa"/>
            <w:vMerge w:val="restart"/>
            <w:tcBorders>
              <w:left w:val="nil"/>
              <w:bottom w:val="nil"/>
            </w:tcBorders>
            <w:vAlign w:val="top"/>
          </w:tcPr>
          <w:p w14:paraId="4A9D51E3">
            <w:pPr>
              <w:spacing w:line="461" w:lineRule="auto"/>
              <w:rPr>
                <w:rFonts w:ascii="Arial"/>
                <w:sz w:val="21"/>
              </w:rPr>
            </w:pPr>
          </w:p>
          <w:p w14:paraId="1E62CC0A">
            <w:pPr>
              <w:spacing w:before="65" w:line="228" w:lineRule="auto"/>
              <w:ind w:left="171"/>
              <w:rPr>
                <w:rFonts w:ascii="宋体" w:hAnsi="宋体" w:eastAsia="宋体" w:cs="宋体"/>
                <w:sz w:val="20"/>
                <w:szCs w:val="20"/>
              </w:rPr>
            </w:pPr>
            <w:r>
              <w:rPr>
                <w:rFonts w:ascii="Times New Roman" w:hAnsi="Times New Roman" w:eastAsia="Times New Roman" w:cs="Times New Roman"/>
                <w:spacing w:val="1"/>
                <w:sz w:val="20"/>
                <w:szCs w:val="20"/>
              </w:rPr>
              <w:t xml:space="preserve">2019 </w:t>
            </w:r>
            <w:r>
              <w:rPr>
                <w:rFonts w:ascii="宋体" w:hAnsi="宋体" w:eastAsia="宋体" w:cs="宋体"/>
                <w:spacing w:val="1"/>
                <w:sz w:val="20"/>
                <w:szCs w:val="20"/>
              </w:rPr>
              <w:t xml:space="preserve">年 </w:t>
            </w:r>
            <w:r>
              <w:rPr>
                <w:rFonts w:ascii="Times New Roman" w:hAnsi="Times New Roman" w:eastAsia="Times New Roman" w:cs="Times New Roman"/>
                <w:spacing w:val="1"/>
                <w:sz w:val="20"/>
                <w:szCs w:val="20"/>
              </w:rPr>
              <w:t xml:space="preserve">06 </w:t>
            </w:r>
            <w:r>
              <w:rPr>
                <w:rFonts w:ascii="宋体" w:hAnsi="宋体" w:eastAsia="宋体" w:cs="宋体"/>
                <w:spacing w:val="1"/>
                <w:sz w:val="20"/>
                <w:szCs w:val="20"/>
              </w:rPr>
              <w:t xml:space="preserve">月 </w:t>
            </w:r>
            <w:r>
              <w:rPr>
                <w:rFonts w:ascii="Times New Roman" w:hAnsi="Times New Roman" w:eastAsia="Times New Roman" w:cs="Times New Roman"/>
                <w:spacing w:val="1"/>
                <w:sz w:val="20"/>
                <w:szCs w:val="20"/>
              </w:rPr>
              <w:t>2</w:t>
            </w:r>
            <w:r>
              <w:rPr>
                <w:rFonts w:ascii="Times New Roman" w:hAnsi="Times New Roman" w:eastAsia="Times New Roman" w:cs="Times New Roman"/>
                <w:sz w:val="20"/>
                <w:szCs w:val="20"/>
              </w:rPr>
              <w:t xml:space="preserve">2 </w:t>
            </w:r>
            <w:r>
              <w:rPr>
                <w:rFonts w:ascii="宋体" w:hAnsi="宋体" w:eastAsia="宋体" w:cs="宋体"/>
                <w:sz w:val="20"/>
                <w:szCs w:val="20"/>
              </w:rPr>
              <w:t>日</w:t>
            </w:r>
          </w:p>
        </w:tc>
        <w:tc>
          <w:tcPr>
            <w:tcW w:w="3143" w:type="dxa"/>
            <w:vAlign w:val="top"/>
          </w:tcPr>
          <w:p w14:paraId="404BB79F">
            <w:pPr>
              <w:spacing w:before="102" w:line="195"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 xml:space="preserve"> 25</w:t>
            </w:r>
          </w:p>
        </w:tc>
        <w:tc>
          <w:tcPr>
            <w:tcW w:w="3143" w:type="dxa"/>
            <w:tcBorders>
              <w:right w:val="nil"/>
            </w:tcBorders>
            <w:vAlign w:val="top"/>
          </w:tcPr>
          <w:p w14:paraId="28274628">
            <w:pPr>
              <w:spacing w:before="102" w:line="195" w:lineRule="auto"/>
              <w:ind w:left="14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 xml:space="preserve">1 </w:t>
            </w:r>
            <w:r>
              <w:rPr>
                <w:rFonts w:ascii="Times New Roman" w:hAnsi="Times New Roman" w:eastAsia="Times New Roman" w:cs="Times New Roman"/>
                <w:spacing w:val="-1"/>
                <w:sz w:val="20"/>
                <w:szCs w:val="20"/>
              </w:rPr>
              <w:t>64</w:t>
            </w:r>
          </w:p>
        </w:tc>
      </w:tr>
      <w:tr w14:paraId="1EDC48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066" w:type="dxa"/>
            <w:vMerge w:val="continue"/>
            <w:tcBorders>
              <w:top w:val="nil"/>
              <w:left w:val="nil"/>
              <w:bottom w:val="nil"/>
            </w:tcBorders>
            <w:vAlign w:val="top"/>
          </w:tcPr>
          <w:p w14:paraId="273E4AA5">
            <w:pPr>
              <w:rPr>
                <w:rFonts w:ascii="Arial"/>
                <w:sz w:val="21"/>
              </w:rPr>
            </w:pPr>
          </w:p>
        </w:tc>
        <w:tc>
          <w:tcPr>
            <w:tcW w:w="3143" w:type="dxa"/>
            <w:vAlign w:val="top"/>
          </w:tcPr>
          <w:p w14:paraId="00A381E2">
            <w:pPr>
              <w:spacing w:before="110" w:line="195"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 xml:space="preserve"> 29</w:t>
            </w:r>
          </w:p>
        </w:tc>
        <w:tc>
          <w:tcPr>
            <w:tcW w:w="3143" w:type="dxa"/>
            <w:tcBorders>
              <w:right w:val="nil"/>
            </w:tcBorders>
            <w:vAlign w:val="top"/>
          </w:tcPr>
          <w:p w14:paraId="44F7BBD8">
            <w:pPr>
              <w:spacing w:before="110" w:line="195" w:lineRule="auto"/>
              <w:ind w:left="14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 xml:space="preserve">1 </w:t>
            </w:r>
            <w:r>
              <w:rPr>
                <w:rFonts w:ascii="Times New Roman" w:hAnsi="Times New Roman" w:eastAsia="Times New Roman" w:cs="Times New Roman"/>
                <w:spacing w:val="-1"/>
                <w:sz w:val="20"/>
                <w:szCs w:val="20"/>
              </w:rPr>
              <w:t>68</w:t>
            </w:r>
          </w:p>
        </w:tc>
      </w:tr>
      <w:tr w14:paraId="097FF5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066" w:type="dxa"/>
            <w:vMerge w:val="continue"/>
            <w:tcBorders>
              <w:top w:val="nil"/>
              <w:left w:val="nil"/>
              <w:bottom w:val="nil"/>
            </w:tcBorders>
            <w:vAlign w:val="top"/>
          </w:tcPr>
          <w:p w14:paraId="3F025DE6">
            <w:pPr>
              <w:rPr>
                <w:rFonts w:ascii="Arial"/>
                <w:sz w:val="21"/>
              </w:rPr>
            </w:pPr>
          </w:p>
        </w:tc>
        <w:tc>
          <w:tcPr>
            <w:tcW w:w="3143" w:type="dxa"/>
            <w:vAlign w:val="top"/>
          </w:tcPr>
          <w:p w14:paraId="2F7A1E48">
            <w:pPr>
              <w:spacing w:before="111" w:line="195"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 xml:space="preserve"> 33</w:t>
            </w:r>
          </w:p>
        </w:tc>
        <w:tc>
          <w:tcPr>
            <w:tcW w:w="3143" w:type="dxa"/>
            <w:tcBorders>
              <w:right w:val="nil"/>
            </w:tcBorders>
            <w:vAlign w:val="top"/>
          </w:tcPr>
          <w:p w14:paraId="228577EF">
            <w:pPr>
              <w:spacing w:before="111" w:line="195" w:lineRule="auto"/>
              <w:ind w:left="14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 xml:space="preserve">1 </w:t>
            </w:r>
            <w:r>
              <w:rPr>
                <w:rFonts w:ascii="Times New Roman" w:hAnsi="Times New Roman" w:eastAsia="Times New Roman" w:cs="Times New Roman"/>
                <w:spacing w:val="-1"/>
                <w:sz w:val="20"/>
                <w:szCs w:val="20"/>
              </w:rPr>
              <w:t>72</w:t>
            </w:r>
          </w:p>
        </w:tc>
      </w:tr>
      <w:tr w14:paraId="6E4D05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2066" w:type="dxa"/>
            <w:vMerge w:val="continue"/>
            <w:tcBorders>
              <w:top w:val="nil"/>
              <w:left w:val="nil"/>
            </w:tcBorders>
            <w:vAlign w:val="top"/>
          </w:tcPr>
          <w:p w14:paraId="435E1A28">
            <w:pPr>
              <w:rPr>
                <w:rFonts w:ascii="Arial"/>
                <w:sz w:val="21"/>
              </w:rPr>
            </w:pPr>
          </w:p>
        </w:tc>
        <w:tc>
          <w:tcPr>
            <w:tcW w:w="3143" w:type="dxa"/>
            <w:vAlign w:val="top"/>
          </w:tcPr>
          <w:p w14:paraId="42911B2C">
            <w:pPr>
              <w:spacing w:before="111" w:line="195"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 xml:space="preserve"> 27</w:t>
            </w:r>
          </w:p>
        </w:tc>
        <w:tc>
          <w:tcPr>
            <w:tcW w:w="3143" w:type="dxa"/>
            <w:tcBorders>
              <w:right w:val="nil"/>
            </w:tcBorders>
            <w:vAlign w:val="top"/>
          </w:tcPr>
          <w:p w14:paraId="7709BC97">
            <w:pPr>
              <w:spacing w:before="111" w:line="195" w:lineRule="auto"/>
              <w:ind w:left="14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 xml:space="preserve">1 </w:t>
            </w:r>
            <w:r>
              <w:rPr>
                <w:rFonts w:ascii="Times New Roman" w:hAnsi="Times New Roman" w:eastAsia="Times New Roman" w:cs="Times New Roman"/>
                <w:spacing w:val="-1"/>
                <w:sz w:val="20"/>
                <w:szCs w:val="20"/>
              </w:rPr>
              <w:t>65</w:t>
            </w:r>
          </w:p>
        </w:tc>
      </w:tr>
      <w:tr w14:paraId="7D5950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 w:hRule="atLeast"/>
        </w:trPr>
        <w:tc>
          <w:tcPr>
            <w:tcW w:w="2066" w:type="dxa"/>
            <w:vMerge w:val="restart"/>
            <w:tcBorders>
              <w:left w:val="nil"/>
              <w:bottom w:val="nil"/>
            </w:tcBorders>
            <w:vAlign w:val="top"/>
          </w:tcPr>
          <w:p w14:paraId="00967BFB">
            <w:pPr>
              <w:spacing w:line="463" w:lineRule="auto"/>
              <w:rPr>
                <w:rFonts w:ascii="Arial"/>
                <w:sz w:val="21"/>
              </w:rPr>
            </w:pPr>
          </w:p>
          <w:p w14:paraId="7B269EEB">
            <w:pPr>
              <w:spacing w:before="65" w:line="228" w:lineRule="auto"/>
              <w:ind w:left="171"/>
              <w:rPr>
                <w:rFonts w:ascii="宋体" w:hAnsi="宋体" w:eastAsia="宋体" w:cs="宋体"/>
                <w:sz w:val="20"/>
                <w:szCs w:val="20"/>
              </w:rPr>
            </w:pPr>
            <w:r>
              <w:rPr>
                <w:rFonts w:ascii="Times New Roman" w:hAnsi="Times New Roman" w:eastAsia="Times New Roman" w:cs="Times New Roman"/>
                <w:spacing w:val="1"/>
                <w:sz w:val="20"/>
                <w:szCs w:val="20"/>
              </w:rPr>
              <w:t xml:space="preserve">2019 </w:t>
            </w:r>
            <w:r>
              <w:rPr>
                <w:rFonts w:ascii="宋体" w:hAnsi="宋体" w:eastAsia="宋体" w:cs="宋体"/>
                <w:spacing w:val="1"/>
                <w:sz w:val="20"/>
                <w:szCs w:val="20"/>
              </w:rPr>
              <w:t xml:space="preserve">年 </w:t>
            </w:r>
            <w:r>
              <w:rPr>
                <w:rFonts w:ascii="Times New Roman" w:hAnsi="Times New Roman" w:eastAsia="Times New Roman" w:cs="Times New Roman"/>
                <w:spacing w:val="1"/>
                <w:sz w:val="20"/>
                <w:szCs w:val="20"/>
              </w:rPr>
              <w:t xml:space="preserve">06 </w:t>
            </w:r>
            <w:r>
              <w:rPr>
                <w:rFonts w:ascii="宋体" w:hAnsi="宋体" w:eastAsia="宋体" w:cs="宋体"/>
                <w:spacing w:val="1"/>
                <w:sz w:val="20"/>
                <w:szCs w:val="20"/>
              </w:rPr>
              <w:t xml:space="preserve">月 </w:t>
            </w:r>
            <w:r>
              <w:rPr>
                <w:rFonts w:ascii="Times New Roman" w:hAnsi="Times New Roman" w:eastAsia="Times New Roman" w:cs="Times New Roman"/>
                <w:spacing w:val="1"/>
                <w:sz w:val="20"/>
                <w:szCs w:val="20"/>
              </w:rPr>
              <w:t>2</w:t>
            </w:r>
            <w:r>
              <w:rPr>
                <w:rFonts w:ascii="Times New Roman" w:hAnsi="Times New Roman" w:eastAsia="Times New Roman" w:cs="Times New Roman"/>
                <w:sz w:val="20"/>
                <w:szCs w:val="20"/>
              </w:rPr>
              <w:t xml:space="preserve">3 </w:t>
            </w:r>
            <w:r>
              <w:rPr>
                <w:rFonts w:ascii="宋体" w:hAnsi="宋体" w:eastAsia="宋体" w:cs="宋体"/>
                <w:sz w:val="20"/>
                <w:szCs w:val="20"/>
              </w:rPr>
              <w:t>日</w:t>
            </w:r>
          </w:p>
        </w:tc>
        <w:tc>
          <w:tcPr>
            <w:tcW w:w="3143" w:type="dxa"/>
            <w:vAlign w:val="top"/>
          </w:tcPr>
          <w:p w14:paraId="493E7438">
            <w:pPr>
              <w:spacing w:before="104" w:line="195"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 xml:space="preserve"> 33</w:t>
            </w:r>
          </w:p>
        </w:tc>
        <w:tc>
          <w:tcPr>
            <w:tcW w:w="3143" w:type="dxa"/>
            <w:tcBorders>
              <w:right w:val="nil"/>
            </w:tcBorders>
            <w:vAlign w:val="top"/>
          </w:tcPr>
          <w:p w14:paraId="6010C5D1">
            <w:pPr>
              <w:spacing w:before="104" w:line="195" w:lineRule="auto"/>
              <w:ind w:left="14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 xml:space="preserve">1 </w:t>
            </w:r>
            <w:r>
              <w:rPr>
                <w:rFonts w:ascii="Times New Roman" w:hAnsi="Times New Roman" w:eastAsia="Times New Roman" w:cs="Times New Roman"/>
                <w:spacing w:val="-1"/>
                <w:sz w:val="20"/>
                <w:szCs w:val="20"/>
              </w:rPr>
              <w:t>66</w:t>
            </w:r>
          </w:p>
        </w:tc>
      </w:tr>
      <w:tr w14:paraId="75BC68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066" w:type="dxa"/>
            <w:vMerge w:val="continue"/>
            <w:tcBorders>
              <w:top w:val="nil"/>
              <w:left w:val="nil"/>
              <w:bottom w:val="nil"/>
            </w:tcBorders>
            <w:vAlign w:val="top"/>
          </w:tcPr>
          <w:p w14:paraId="090CDC05">
            <w:pPr>
              <w:rPr>
                <w:rFonts w:ascii="Arial"/>
                <w:sz w:val="21"/>
              </w:rPr>
            </w:pPr>
          </w:p>
        </w:tc>
        <w:tc>
          <w:tcPr>
            <w:tcW w:w="3143" w:type="dxa"/>
            <w:vAlign w:val="top"/>
          </w:tcPr>
          <w:p w14:paraId="7D2854E7">
            <w:pPr>
              <w:spacing w:before="112" w:line="195"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 xml:space="preserve"> 36</w:t>
            </w:r>
          </w:p>
        </w:tc>
        <w:tc>
          <w:tcPr>
            <w:tcW w:w="3143" w:type="dxa"/>
            <w:tcBorders>
              <w:right w:val="nil"/>
            </w:tcBorders>
            <w:vAlign w:val="top"/>
          </w:tcPr>
          <w:p w14:paraId="366C6E3F">
            <w:pPr>
              <w:spacing w:before="112" w:line="195" w:lineRule="auto"/>
              <w:ind w:left="14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 xml:space="preserve">1 </w:t>
            </w:r>
            <w:r>
              <w:rPr>
                <w:rFonts w:ascii="Times New Roman" w:hAnsi="Times New Roman" w:eastAsia="Times New Roman" w:cs="Times New Roman"/>
                <w:spacing w:val="-1"/>
                <w:sz w:val="20"/>
                <w:szCs w:val="20"/>
              </w:rPr>
              <w:t>72</w:t>
            </w:r>
          </w:p>
        </w:tc>
      </w:tr>
      <w:tr w14:paraId="140C71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066" w:type="dxa"/>
            <w:vMerge w:val="continue"/>
            <w:tcBorders>
              <w:top w:val="nil"/>
              <w:left w:val="nil"/>
              <w:bottom w:val="nil"/>
            </w:tcBorders>
            <w:vAlign w:val="top"/>
          </w:tcPr>
          <w:p w14:paraId="69B2C326">
            <w:pPr>
              <w:rPr>
                <w:rFonts w:ascii="Arial"/>
                <w:sz w:val="21"/>
              </w:rPr>
            </w:pPr>
          </w:p>
        </w:tc>
        <w:tc>
          <w:tcPr>
            <w:tcW w:w="3143" w:type="dxa"/>
            <w:vAlign w:val="top"/>
          </w:tcPr>
          <w:p w14:paraId="6F8E999F">
            <w:pPr>
              <w:spacing w:before="112" w:line="198"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.42</w:t>
            </w:r>
          </w:p>
        </w:tc>
        <w:tc>
          <w:tcPr>
            <w:tcW w:w="3143" w:type="dxa"/>
            <w:tcBorders>
              <w:right w:val="nil"/>
            </w:tcBorders>
            <w:vAlign w:val="top"/>
          </w:tcPr>
          <w:p w14:paraId="763F98DF">
            <w:pPr>
              <w:spacing w:before="112" w:line="198" w:lineRule="auto"/>
              <w:ind w:left="14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75</w:t>
            </w:r>
          </w:p>
        </w:tc>
      </w:tr>
      <w:tr w14:paraId="56BFE9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066" w:type="dxa"/>
            <w:vMerge w:val="continue"/>
            <w:tcBorders>
              <w:top w:val="nil"/>
              <w:left w:val="nil"/>
            </w:tcBorders>
            <w:vAlign w:val="top"/>
          </w:tcPr>
          <w:p w14:paraId="04DE82F1">
            <w:pPr>
              <w:rPr>
                <w:rFonts w:ascii="Arial"/>
                <w:sz w:val="21"/>
              </w:rPr>
            </w:pPr>
          </w:p>
        </w:tc>
        <w:tc>
          <w:tcPr>
            <w:tcW w:w="3143" w:type="dxa"/>
            <w:vAlign w:val="top"/>
          </w:tcPr>
          <w:p w14:paraId="1956749E">
            <w:pPr>
              <w:spacing w:before="91" w:line="198"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.34</w:t>
            </w:r>
          </w:p>
        </w:tc>
        <w:tc>
          <w:tcPr>
            <w:tcW w:w="3143" w:type="dxa"/>
            <w:tcBorders>
              <w:right w:val="nil"/>
            </w:tcBorders>
            <w:vAlign w:val="top"/>
          </w:tcPr>
          <w:p w14:paraId="61FD0044">
            <w:pPr>
              <w:spacing w:before="91" w:line="198" w:lineRule="auto"/>
              <w:ind w:left="14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69</w:t>
            </w:r>
          </w:p>
        </w:tc>
      </w:tr>
      <w:tr w14:paraId="5459D9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066" w:type="dxa"/>
            <w:vMerge w:val="restart"/>
            <w:tcBorders>
              <w:left w:val="nil"/>
              <w:bottom w:val="nil"/>
            </w:tcBorders>
            <w:vAlign w:val="top"/>
          </w:tcPr>
          <w:p w14:paraId="6A32EE1A">
            <w:pPr>
              <w:spacing w:line="451" w:lineRule="auto"/>
              <w:rPr>
                <w:rFonts w:ascii="Arial"/>
                <w:sz w:val="21"/>
              </w:rPr>
            </w:pPr>
          </w:p>
          <w:p w14:paraId="4340DED5">
            <w:pPr>
              <w:spacing w:before="65" w:line="228" w:lineRule="auto"/>
              <w:ind w:left="171"/>
              <w:rPr>
                <w:rFonts w:ascii="宋体" w:hAnsi="宋体" w:eastAsia="宋体" w:cs="宋体"/>
                <w:sz w:val="20"/>
                <w:szCs w:val="20"/>
              </w:rPr>
            </w:pPr>
            <w:r>
              <w:rPr>
                <w:rFonts w:ascii="Times New Roman" w:hAnsi="Times New Roman" w:eastAsia="Times New Roman" w:cs="Times New Roman"/>
                <w:spacing w:val="1"/>
                <w:sz w:val="20"/>
                <w:szCs w:val="20"/>
              </w:rPr>
              <w:t xml:space="preserve">2019 </w:t>
            </w:r>
            <w:r>
              <w:rPr>
                <w:rFonts w:ascii="宋体" w:hAnsi="宋体" w:eastAsia="宋体" w:cs="宋体"/>
                <w:spacing w:val="1"/>
                <w:sz w:val="20"/>
                <w:szCs w:val="20"/>
              </w:rPr>
              <w:t xml:space="preserve">年 </w:t>
            </w:r>
            <w:r>
              <w:rPr>
                <w:rFonts w:ascii="Times New Roman" w:hAnsi="Times New Roman" w:eastAsia="Times New Roman" w:cs="Times New Roman"/>
                <w:spacing w:val="1"/>
                <w:sz w:val="20"/>
                <w:szCs w:val="20"/>
              </w:rPr>
              <w:t xml:space="preserve">06 </w:t>
            </w:r>
            <w:r>
              <w:rPr>
                <w:rFonts w:ascii="宋体" w:hAnsi="宋体" w:eastAsia="宋体" w:cs="宋体"/>
                <w:spacing w:val="1"/>
                <w:sz w:val="20"/>
                <w:szCs w:val="20"/>
              </w:rPr>
              <w:t xml:space="preserve">月 </w:t>
            </w:r>
            <w:r>
              <w:rPr>
                <w:rFonts w:ascii="Times New Roman" w:hAnsi="Times New Roman" w:eastAsia="Times New Roman" w:cs="Times New Roman"/>
                <w:spacing w:val="1"/>
                <w:sz w:val="20"/>
                <w:szCs w:val="20"/>
              </w:rPr>
              <w:t>2</w:t>
            </w:r>
            <w:r>
              <w:rPr>
                <w:rFonts w:ascii="Times New Roman" w:hAnsi="Times New Roman" w:eastAsia="Times New Roman" w:cs="Times New Roman"/>
                <w:sz w:val="20"/>
                <w:szCs w:val="20"/>
              </w:rPr>
              <w:t xml:space="preserve">4 </w:t>
            </w:r>
            <w:r>
              <w:rPr>
                <w:rFonts w:ascii="宋体" w:hAnsi="宋体" w:eastAsia="宋体" w:cs="宋体"/>
                <w:sz w:val="20"/>
                <w:szCs w:val="20"/>
              </w:rPr>
              <w:t>日</w:t>
            </w:r>
          </w:p>
        </w:tc>
        <w:tc>
          <w:tcPr>
            <w:tcW w:w="3143" w:type="dxa"/>
            <w:vAlign w:val="top"/>
          </w:tcPr>
          <w:p w14:paraId="2153B4FF">
            <w:pPr>
              <w:spacing w:before="92" w:line="198"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.41</w:t>
            </w:r>
          </w:p>
        </w:tc>
        <w:tc>
          <w:tcPr>
            <w:tcW w:w="3143" w:type="dxa"/>
            <w:tcBorders>
              <w:right w:val="nil"/>
            </w:tcBorders>
            <w:vAlign w:val="top"/>
          </w:tcPr>
          <w:p w14:paraId="089BC39D">
            <w:pPr>
              <w:spacing w:before="92" w:line="198" w:lineRule="auto"/>
              <w:ind w:left="14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63</w:t>
            </w:r>
          </w:p>
        </w:tc>
      </w:tr>
      <w:tr w14:paraId="50C387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066" w:type="dxa"/>
            <w:vMerge w:val="continue"/>
            <w:tcBorders>
              <w:top w:val="nil"/>
              <w:left w:val="nil"/>
              <w:bottom w:val="nil"/>
            </w:tcBorders>
            <w:vAlign w:val="top"/>
          </w:tcPr>
          <w:p w14:paraId="25FF1872">
            <w:pPr>
              <w:rPr>
                <w:rFonts w:ascii="Arial"/>
                <w:sz w:val="21"/>
              </w:rPr>
            </w:pPr>
          </w:p>
        </w:tc>
        <w:tc>
          <w:tcPr>
            <w:tcW w:w="3143" w:type="dxa"/>
            <w:vAlign w:val="top"/>
          </w:tcPr>
          <w:p w14:paraId="31AFE026">
            <w:pPr>
              <w:spacing w:before="92" w:line="198"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.46</w:t>
            </w:r>
          </w:p>
        </w:tc>
        <w:tc>
          <w:tcPr>
            <w:tcW w:w="3143" w:type="dxa"/>
            <w:tcBorders>
              <w:right w:val="nil"/>
            </w:tcBorders>
            <w:vAlign w:val="top"/>
          </w:tcPr>
          <w:p w14:paraId="4EB75E9D">
            <w:pPr>
              <w:spacing w:before="92" w:line="198" w:lineRule="auto"/>
              <w:ind w:left="14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69</w:t>
            </w:r>
          </w:p>
        </w:tc>
      </w:tr>
      <w:tr w14:paraId="5768E2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066" w:type="dxa"/>
            <w:vMerge w:val="continue"/>
            <w:tcBorders>
              <w:top w:val="nil"/>
              <w:left w:val="nil"/>
              <w:bottom w:val="nil"/>
            </w:tcBorders>
            <w:vAlign w:val="top"/>
          </w:tcPr>
          <w:p w14:paraId="49114A96">
            <w:pPr>
              <w:rPr>
                <w:rFonts w:ascii="Arial"/>
                <w:sz w:val="21"/>
              </w:rPr>
            </w:pPr>
          </w:p>
        </w:tc>
        <w:tc>
          <w:tcPr>
            <w:tcW w:w="3143" w:type="dxa"/>
            <w:vAlign w:val="top"/>
          </w:tcPr>
          <w:p w14:paraId="5C7D6F75">
            <w:pPr>
              <w:spacing w:before="92" w:line="198"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.51</w:t>
            </w:r>
          </w:p>
        </w:tc>
        <w:tc>
          <w:tcPr>
            <w:tcW w:w="3143" w:type="dxa"/>
            <w:tcBorders>
              <w:right w:val="nil"/>
            </w:tcBorders>
            <w:vAlign w:val="top"/>
          </w:tcPr>
          <w:p w14:paraId="1FA35888">
            <w:pPr>
              <w:spacing w:before="92" w:line="198" w:lineRule="auto"/>
              <w:ind w:left="14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62</w:t>
            </w:r>
          </w:p>
        </w:tc>
      </w:tr>
      <w:tr w14:paraId="557710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066" w:type="dxa"/>
            <w:vMerge w:val="continue"/>
            <w:tcBorders>
              <w:top w:val="nil"/>
              <w:left w:val="nil"/>
            </w:tcBorders>
            <w:vAlign w:val="top"/>
          </w:tcPr>
          <w:p w14:paraId="07FBD0D5">
            <w:pPr>
              <w:rPr>
                <w:rFonts w:ascii="Arial"/>
                <w:sz w:val="21"/>
              </w:rPr>
            </w:pPr>
          </w:p>
        </w:tc>
        <w:tc>
          <w:tcPr>
            <w:tcW w:w="3143" w:type="dxa"/>
            <w:vAlign w:val="top"/>
          </w:tcPr>
          <w:p w14:paraId="5005BEBE">
            <w:pPr>
              <w:spacing w:before="92" w:line="198"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.43</w:t>
            </w:r>
          </w:p>
        </w:tc>
        <w:tc>
          <w:tcPr>
            <w:tcW w:w="3143" w:type="dxa"/>
            <w:tcBorders>
              <w:right w:val="nil"/>
            </w:tcBorders>
            <w:vAlign w:val="top"/>
          </w:tcPr>
          <w:p w14:paraId="63C2F6A8">
            <w:pPr>
              <w:spacing w:before="92" w:line="198" w:lineRule="auto"/>
              <w:ind w:left="14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65</w:t>
            </w:r>
          </w:p>
        </w:tc>
      </w:tr>
      <w:tr w14:paraId="7BA37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066" w:type="dxa"/>
            <w:vMerge w:val="restart"/>
            <w:tcBorders>
              <w:left w:val="nil"/>
              <w:bottom w:val="nil"/>
            </w:tcBorders>
            <w:vAlign w:val="top"/>
          </w:tcPr>
          <w:p w14:paraId="015108B8">
            <w:pPr>
              <w:spacing w:line="451" w:lineRule="auto"/>
              <w:rPr>
                <w:rFonts w:ascii="Arial"/>
                <w:sz w:val="21"/>
              </w:rPr>
            </w:pPr>
          </w:p>
          <w:p w14:paraId="26910E1B">
            <w:pPr>
              <w:spacing w:before="65" w:line="228" w:lineRule="auto"/>
              <w:ind w:left="171"/>
              <w:rPr>
                <w:rFonts w:ascii="宋体" w:hAnsi="宋体" w:eastAsia="宋体" w:cs="宋体"/>
                <w:sz w:val="20"/>
                <w:szCs w:val="20"/>
              </w:rPr>
            </w:pPr>
            <w:r>
              <w:rPr>
                <w:rFonts w:ascii="Times New Roman" w:hAnsi="Times New Roman" w:eastAsia="Times New Roman" w:cs="Times New Roman"/>
                <w:spacing w:val="1"/>
                <w:sz w:val="20"/>
                <w:szCs w:val="20"/>
              </w:rPr>
              <w:t xml:space="preserve">2019 </w:t>
            </w:r>
            <w:r>
              <w:rPr>
                <w:rFonts w:ascii="宋体" w:hAnsi="宋体" w:eastAsia="宋体" w:cs="宋体"/>
                <w:spacing w:val="1"/>
                <w:sz w:val="20"/>
                <w:szCs w:val="20"/>
              </w:rPr>
              <w:t xml:space="preserve">年 </w:t>
            </w:r>
            <w:r>
              <w:rPr>
                <w:rFonts w:ascii="Times New Roman" w:hAnsi="Times New Roman" w:eastAsia="Times New Roman" w:cs="Times New Roman"/>
                <w:spacing w:val="1"/>
                <w:sz w:val="20"/>
                <w:szCs w:val="20"/>
              </w:rPr>
              <w:t xml:space="preserve">06 </w:t>
            </w:r>
            <w:r>
              <w:rPr>
                <w:rFonts w:ascii="宋体" w:hAnsi="宋体" w:eastAsia="宋体" w:cs="宋体"/>
                <w:spacing w:val="1"/>
                <w:sz w:val="20"/>
                <w:szCs w:val="20"/>
              </w:rPr>
              <w:t xml:space="preserve">月 </w:t>
            </w:r>
            <w:r>
              <w:rPr>
                <w:rFonts w:ascii="Times New Roman" w:hAnsi="Times New Roman" w:eastAsia="Times New Roman" w:cs="Times New Roman"/>
                <w:spacing w:val="1"/>
                <w:sz w:val="20"/>
                <w:szCs w:val="20"/>
              </w:rPr>
              <w:t>2</w:t>
            </w:r>
            <w:r>
              <w:rPr>
                <w:rFonts w:ascii="Times New Roman" w:hAnsi="Times New Roman" w:eastAsia="Times New Roman" w:cs="Times New Roman"/>
                <w:sz w:val="20"/>
                <w:szCs w:val="20"/>
              </w:rPr>
              <w:t xml:space="preserve">5 </w:t>
            </w:r>
            <w:r>
              <w:rPr>
                <w:rFonts w:ascii="宋体" w:hAnsi="宋体" w:eastAsia="宋体" w:cs="宋体"/>
                <w:sz w:val="20"/>
                <w:szCs w:val="20"/>
              </w:rPr>
              <w:t>日</w:t>
            </w:r>
          </w:p>
        </w:tc>
        <w:tc>
          <w:tcPr>
            <w:tcW w:w="3143" w:type="dxa"/>
            <w:vAlign w:val="top"/>
          </w:tcPr>
          <w:p w14:paraId="54CE248C">
            <w:pPr>
              <w:spacing w:before="92" w:line="198"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.52</w:t>
            </w:r>
          </w:p>
        </w:tc>
        <w:tc>
          <w:tcPr>
            <w:tcW w:w="3143" w:type="dxa"/>
            <w:tcBorders>
              <w:right w:val="nil"/>
            </w:tcBorders>
            <w:vAlign w:val="top"/>
          </w:tcPr>
          <w:p w14:paraId="37920CDC">
            <w:pPr>
              <w:spacing w:before="92" w:line="198" w:lineRule="auto"/>
              <w:ind w:left="14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72</w:t>
            </w:r>
          </w:p>
        </w:tc>
      </w:tr>
      <w:tr w14:paraId="296FC1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066" w:type="dxa"/>
            <w:vMerge w:val="continue"/>
            <w:tcBorders>
              <w:top w:val="nil"/>
              <w:left w:val="nil"/>
              <w:bottom w:val="nil"/>
            </w:tcBorders>
            <w:vAlign w:val="top"/>
          </w:tcPr>
          <w:p w14:paraId="7C950E96">
            <w:pPr>
              <w:rPr>
                <w:rFonts w:ascii="Arial"/>
                <w:sz w:val="21"/>
              </w:rPr>
            </w:pPr>
          </w:p>
        </w:tc>
        <w:tc>
          <w:tcPr>
            <w:tcW w:w="3143" w:type="dxa"/>
            <w:vAlign w:val="top"/>
          </w:tcPr>
          <w:p w14:paraId="79DF7DE6">
            <w:pPr>
              <w:spacing w:before="92" w:line="198"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.55</w:t>
            </w:r>
          </w:p>
        </w:tc>
        <w:tc>
          <w:tcPr>
            <w:tcW w:w="3143" w:type="dxa"/>
            <w:tcBorders>
              <w:right w:val="nil"/>
            </w:tcBorders>
            <w:vAlign w:val="top"/>
          </w:tcPr>
          <w:p w14:paraId="6C25CC8A">
            <w:pPr>
              <w:spacing w:before="92" w:line="198" w:lineRule="auto"/>
              <w:ind w:left="14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64</w:t>
            </w:r>
          </w:p>
        </w:tc>
      </w:tr>
      <w:tr w14:paraId="1F3186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066" w:type="dxa"/>
            <w:vMerge w:val="continue"/>
            <w:tcBorders>
              <w:top w:val="nil"/>
              <w:left w:val="nil"/>
              <w:bottom w:val="nil"/>
            </w:tcBorders>
            <w:vAlign w:val="top"/>
          </w:tcPr>
          <w:p w14:paraId="26EE5DB6">
            <w:pPr>
              <w:rPr>
                <w:rFonts w:ascii="Arial"/>
                <w:sz w:val="21"/>
              </w:rPr>
            </w:pPr>
          </w:p>
        </w:tc>
        <w:tc>
          <w:tcPr>
            <w:tcW w:w="3143" w:type="dxa"/>
            <w:vAlign w:val="top"/>
          </w:tcPr>
          <w:p w14:paraId="31FF984A">
            <w:pPr>
              <w:spacing w:before="92" w:line="198"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.58</w:t>
            </w:r>
          </w:p>
        </w:tc>
        <w:tc>
          <w:tcPr>
            <w:tcW w:w="3143" w:type="dxa"/>
            <w:tcBorders>
              <w:right w:val="nil"/>
            </w:tcBorders>
            <w:vAlign w:val="top"/>
          </w:tcPr>
          <w:p w14:paraId="29D78593">
            <w:pPr>
              <w:spacing w:before="92" w:line="198" w:lineRule="auto"/>
              <w:ind w:left="14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72</w:t>
            </w:r>
          </w:p>
        </w:tc>
      </w:tr>
      <w:tr w14:paraId="26B054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066" w:type="dxa"/>
            <w:vMerge w:val="continue"/>
            <w:tcBorders>
              <w:top w:val="nil"/>
              <w:left w:val="nil"/>
            </w:tcBorders>
            <w:vAlign w:val="top"/>
          </w:tcPr>
          <w:p w14:paraId="2CE39F61">
            <w:pPr>
              <w:rPr>
                <w:rFonts w:ascii="Arial"/>
                <w:sz w:val="21"/>
              </w:rPr>
            </w:pPr>
          </w:p>
        </w:tc>
        <w:tc>
          <w:tcPr>
            <w:tcW w:w="3143" w:type="dxa"/>
            <w:vAlign w:val="top"/>
          </w:tcPr>
          <w:p w14:paraId="12B1C323">
            <w:pPr>
              <w:spacing w:before="92" w:line="198"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.53</w:t>
            </w:r>
          </w:p>
        </w:tc>
        <w:tc>
          <w:tcPr>
            <w:tcW w:w="3143" w:type="dxa"/>
            <w:tcBorders>
              <w:right w:val="nil"/>
            </w:tcBorders>
            <w:vAlign w:val="top"/>
          </w:tcPr>
          <w:p w14:paraId="72C39277">
            <w:pPr>
              <w:spacing w:before="92" w:line="198" w:lineRule="auto"/>
              <w:ind w:left="14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76</w:t>
            </w:r>
          </w:p>
        </w:tc>
      </w:tr>
      <w:tr w14:paraId="1E0FE1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066" w:type="dxa"/>
            <w:vMerge w:val="restart"/>
            <w:tcBorders>
              <w:left w:val="nil"/>
              <w:bottom w:val="nil"/>
            </w:tcBorders>
            <w:vAlign w:val="top"/>
          </w:tcPr>
          <w:p w14:paraId="63901D97">
            <w:pPr>
              <w:spacing w:line="451" w:lineRule="auto"/>
              <w:rPr>
                <w:rFonts w:ascii="Arial"/>
                <w:sz w:val="21"/>
              </w:rPr>
            </w:pPr>
          </w:p>
          <w:p w14:paraId="2984BEB7">
            <w:pPr>
              <w:spacing w:before="65" w:line="228" w:lineRule="auto"/>
              <w:ind w:left="171"/>
              <w:rPr>
                <w:rFonts w:ascii="宋体" w:hAnsi="宋体" w:eastAsia="宋体" w:cs="宋体"/>
                <w:sz w:val="20"/>
                <w:szCs w:val="20"/>
              </w:rPr>
            </w:pPr>
            <w:r>
              <w:rPr>
                <w:rFonts w:ascii="Times New Roman" w:hAnsi="Times New Roman" w:eastAsia="Times New Roman" w:cs="Times New Roman"/>
                <w:spacing w:val="1"/>
                <w:sz w:val="20"/>
                <w:szCs w:val="20"/>
              </w:rPr>
              <w:t xml:space="preserve">2019 </w:t>
            </w:r>
            <w:r>
              <w:rPr>
                <w:rFonts w:ascii="宋体" w:hAnsi="宋体" w:eastAsia="宋体" w:cs="宋体"/>
                <w:spacing w:val="1"/>
                <w:sz w:val="20"/>
                <w:szCs w:val="20"/>
              </w:rPr>
              <w:t xml:space="preserve">年 </w:t>
            </w:r>
            <w:r>
              <w:rPr>
                <w:rFonts w:ascii="Times New Roman" w:hAnsi="Times New Roman" w:eastAsia="Times New Roman" w:cs="Times New Roman"/>
                <w:spacing w:val="1"/>
                <w:sz w:val="20"/>
                <w:szCs w:val="20"/>
              </w:rPr>
              <w:t xml:space="preserve">06 </w:t>
            </w:r>
            <w:r>
              <w:rPr>
                <w:rFonts w:ascii="宋体" w:hAnsi="宋体" w:eastAsia="宋体" w:cs="宋体"/>
                <w:spacing w:val="1"/>
                <w:sz w:val="20"/>
                <w:szCs w:val="20"/>
              </w:rPr>
              <w:t xml:space="preserve">月 </w:t>
            </w:r>
            <w:r>
              <w:rPr>
                <w:rFonts w:ascii="Times New Roman" w:hAnsi="Times New Roman" w:eastAsia="Times New Roman" w:cs="Times New Roman"/>
                <w:spacing w:val="1"/>
                <w:sz w:val="20"/>
                <w:szCs w:val="20"/>
              </w:rPr>
              <w:t>2</w:t>
            </w:r>
            <w:r>
              <w:rPr>
                <w:rFonts w:ascii="Times New Roman" w:hAnsi="Times New Roman" w:eastAsia="Times New Roman" w:cs="Times New Roman"/>
                <w:sz w:val="20"/>
                <w:szCs w:val="20"/>
              </w:rPr>
              <w:t xml:space="preserve">6 </w:t>
            </w:r>
            <w:r>
              <w:rPr>
                <w:rFonts w:ascii="宋体" w:hAnsi="宋体" w:eastAsia="宋体" w:cs="宋体"/>
                <w:sz w:val="20"/>
                <w:szCs w:val="20"/>
              </w:rPr>
              <w:t>日</w:t>
            </w:r>
          </w:p>
        </w:tc>
        <w:tc>
          <w:tcPr>
            <w:tcW w:w="3143" w:type="dxa"/>
            <w:vAlign w:val="top"/>
          </w:tcPr>
          <w:p w14:paraId="334E1F8B">
            <w:pPr>
              <w:spacing w:before="92" w:line="198"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.59</w:t>
            </w:r>
          </w:p>
        </w:tc>
        <w:tc>
          <w:tcPr>
            <w:tcW w:w="3143" w:type="dxa"/>
            <w:tcBorders>
              <w:right w:val="nil"/>
            </w:tcBorders>
            <w:vAlign w:val="top"/>
          </w:tcPr>
          <w:p w14:paraId="2276C287">
            <w:pPr>
              <w:spacing w:before="92" w:line="198" w:lineRule="auto"/>
              <w:ind w:left="14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72</w:t>
            </w:r>
          </w:p>
        </w:tc>
      </w:tr>
      <w:tr w14:paraId="4E19EC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066" w:type="dxa"/>
            <w:vMerge w:val="continue"/>
            <w:tcBorders>
              <w:top w:val="nil"/>
              <w:left w:val="nil"/>
              <w:bottom w:val="nil"/>
            </w:tcBorders>
            <w:vAlign w:val="top"/>
          </w:tcPr>
          <w:p w14:paraId="4D1967D1">
            <w:pPr>
              <w:rPr>
                <w:rFonts w:ascii="Arial"/>
                <w:sz w:val="21"/>
              </w:rPr>
            </w:pPr>
          </w:p>
        </w:tc>
        <w:tc>
          <w:tcPr>
            <w:tcW w:w="3143" w:type="dxa"/>
            <w:vAlign w:val="top"/>
          </w:tcPr>
          <w:p w14:paraId="24C034F9">
            <w:pPr>
              <w:spacing w:before="92" w:line="198"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.62</w:t>
            </w:r>
          </w:p>
        </w:tc>
        <w:tc>
          <w:tcPr>
            <w:tcW w:w="3143" w:type="dxa"/>
            <w:tcBorders>
              <w:right w:val="nil"/>
            </w:tcBorders>
            <w:vAlign w:val="top"/>
          </w:tcPr>
          <w:p w14:paraId="3CE9F23D">
            <w:pPr>
              <w:spacing w:before="92" w:line="198" w:lineRule="auto"/>
              <w:ind w:left="14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76</w:t>
            </w:r>
          </w:p>
        </w:tc>
      </w:tr>
      <w:tr w14:paraId="14A8EF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066" w:type="dxa"/>
            <w:vMerge w:val="continue"/>
            <w:tcBorders>
              <w:top w:val="nil"/>
              <w:left w:val="nil"/>
              <w:bottom w:val="nil"/>
            </w:tcBorders>
            <w:vAlign w:val="top"/>
          </w:tcPr>
          <w:p w14:paraId="2078D01A">
            <w:pPr>
              <w:rPr>
                <w:rFonts w:ascii="Arial"/>
                <w:sz w:val="21"/>
              </w:rPr>
            </w:pPr>
          </w:p>
        </w:tc>
        <w:tc>
          <w:tcPr>
            <w:tcW w:w="3143" w:type="dxa"/>
            <w:vAlign w:val="top"/>
          </w:tcPr>
          <w:p w14:paraId="777DB117">
            <w:pPr>
              <w:spacing w:before="92" w:line="198"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.54</w:t>
            </w:r>
          </w:p>
        </w:tc>
        <w:tc>
          <w:tcPr>
            <w:tcW w:w="3143" w:type="dxa"/>
            <w:tcBorders>
              <w:right w:val="nil"/>
            </w:tcBorders>
            <w:vAlign w:val="top"/>
          </w:tcPr>
          <w:p w14:paraId="740954C3">
            <w:pPr>
              <w:spacing w:before="92" w:line="198" w:lineRule="auto"/>
              <w:ind w:left="14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78</w:t>
            </w:r>
          </w:p>
        </w:tc>
      </w:tr>
      <w:tr w14:paraId="1901B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2066" w:type="dxa"/>
            <w:vMerge w:val="continue"/>
            <w:tcBorders>
              <w:top w:val="nil"/>
              <w:left w:val="nil"/>
            </w:tcBorders>
            <w:vAlign w:val="top"/>
          </w:tcPr>
          <w:p w14:paraId="4BAAD9E7">
            <w:pPr>
              <w:rPr>
                <w:rFonts w:ascii="Arial"/>
                <w:sz w:val="21"/>
              </w:rPr>
            </w:pPr>
          </w:p>
        </w:tc>
        <w:tc>
          <w:tcPr>
            <w:tcW w:w="3143" w:type="dxa"/>
            <w:vAlign w:val="top"/>
          </w:tcPr>
          <w:p w14:paraId="044A17ED">
            <w:pPr>
              <w:spacing w:before="92" w:line="198" w:lineRule="auto"/>
              <w:ind w:left="14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.59</w:t>
            </w:r>
          </w:p>
        </w:tc>
        <w:tc>
          <w:tcPr>
            <w:tcW w:w="3143" w:type="dxa"/>
            <w:tcBorders>
              <w:right w:val="nil"/>
            </w:tcBorders>
            <w:vAlign w:val="top"/>
          </w:tcPr>
          <w:p w14:paraId="15F3E359">
            <w:pPr>
              <w:spacing w:before="92" w:line="198" w:lineRule="auto"/>
              <w:ind w:left="14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74</w:t>
            </w:r>
          </w:p>
        </w:tc>
      </w:tr>
    </w:tbl>
    <w:p w14:paraId="12340ABB">
      <w:pPr>
        <w:spacing w:before="298" w:line="219" w:lineRule="auto"/>
        <w:ind w:left="30"/>
        <w:outlineLvl w:val="1"/>
        <w:rPr>
          <w:rFonts w:ascii="宋体" w:hAnsi="宋体" w:eastAsia="宋体" w:cs="宋体"/>
          <w:sz w:val="28"/>
          <w:szCs w:val="28"/>
        </w:rPr>
      </w:pPr>
      <w:r>
        <w:rPr>
          <w:rFonts w:ascii="Times New Roman" w:hAnsi="Times New Roman" w:eastAsia="Times New Roman" w:cs="Times New Roman"/>
          <w:b/>
          <w:bCs/>
          <w:spacing w:val="16"/>
          <w:sz w:val="28"/>
          <w:szCs w:val="28"/>
        </w:rPr>
        <w:t>4</w:t>
      </w:r>
      <w:r>
        <w:rPr>
          <w:rFonts w:ascii="Times New Roman" w:hAnsi="Times New Roman" w:eastAsia="Times New Roman" w:cs="Times New Roman"/>
          <w:b/>
          <w:bCs/>
          <w:spacing w:val="14"/>
          <w:sz w:val="28"/>
          <w:szCs w:val="28"/>
        </w:rPr>
        <w:t>.</w:t>
      </w:r>
      <w:r>
        <w:rPr>
          <w:rFonts w:ascii="Times New Roman" w:hAnsi="Times New Roman" w:eastAsia="Times New Roman" w:cs="Times New Roman"/>
          <w:b/>
          <w:bCs/>
          <w:spacing w:val="8"/>
          <w:sz w:val="28"/>
          <w:szCs w:val="28"/>
        </w:rPr>
        <w:t>3.1.3</w:t>
      </w:r>
      <w:r>
        <w:rPr>
          <w:rFonts w:ascii="Times New Roman" w:hAnsi="Times New Roman" w:eastAsia="Times New Roman" w:cs="Times New Roman"/>
          <w:spacing w:val="8"/>
          <w:sz w:val="28"/>
          <w:szCs w:val="28"/>
        </w:rPr>
        <w:t xml:space="preserve">  </w:t>
      </w:r>
      <w:r>
        <w:rPr>
          <w:rFonts w:ascii="宋体" w:hAnsi="宋体" w:eastAsia="宋体" w:cs="宋体"/>
          <w:spacing w:val="8"/>
          <w:sz w:val="28"/>
          <w:szCs w:val="28"/>
          <w14:textOutline w14:w="5103" w14:cap="sq" w14:cmpd="sng">
            <w14:solidFill>
              <w14:srgbClr w14:val="000000"/>
            </w14:solidFill>
            <w14:prstDash w14:val="solid"/>
            <w14:bevel/>
          </w14:textOutline>
        </w:rPr>
        <w:t>环境空气质量现状评价</w:t>
      </w:r>
    </w:p>
    <w:p w14:paraId="3E8568E9">
      <w:pPr>
        <w:spacing w:line="263" w:lineRule="auto"/>
        <w:rPr>
          <w:rFonts w:ascii="Arial"/>
          <w:sz w:val="21"/>
        </w:rPr>
      </w:pPr>
    </w:p>
    <w:p w14:paraId="2CF73291">
      <w:pPr>
        <w:spacing w:before="75" w:line="226" w:lineRule="auto"/>
        <w:ind w:left="547"/>
        <w:rPr>
          <w:rFonts w:ascii="宋体" w:hAnsi="宋体" w:eastAsia="宋体" w:cs="宋体"/>
          <w:sz w:val="23"/>
          <w:szCs w:val="23"/>
        </w:rPr>
      </w:pPr>
      <w:r>
        <w:rPr>
          <w:rFonts w:ascii="宋体" w:hAnsi="宋体" w:eastAsia="宋体" w:cs="宋体"/>
          <w:spacing w:val="28"/>
          <w:sz w:val="23"/>
          <w:szCs w:val="23"/>
        </w:rPr>
        <w:t>(</w:t>
      </w:r>
      <w:r>
        <w:rPr>
          <w:rFonts w:ascii="Times New Roman" w:hAnsi="Times New Roman" w:eastAsia="Times New Roman" w:cs="Times New Roman"/>
          <w:spacing w:val="28"/>
          <w:sz w:val="23"/>
          <w:szCs w:val="23"/>
        </w:rPr>
        <w:t>1</w:t>
      </w:r>
      <w:r>
        <w:rPr>
          <w:rFonts w:ascii="宋体" w:hAnsi="宋体" w:eastAsia="宋体" w:cs="宋体"/>
          <w:spacing w:val="28"/>
          <w:sz w:val="23"/>
          <w:szCs w:val="23"/>
        </w:rPr>
        <w:t>) 评价标</w:t>
      </w:r>
      <w:r>
        <w:rPr>
          <w:rFonts w:ascii="宋体" w:hAnsi="宋体" w:eastAsia="宋体" w:cs="宋体"/>
          <w:spacing w:val="27"/>
          <w:sz w:val="23"/>
          <w:szCs w:val="23"/>
        </w:rPr>
        <w:t>准</w:t>
      </w:r>
    </w:p>
    <w:p w14:paraId="37EB1543">
      <w:pPr>
        <w:spacing w:line="278" w:lineRule="auto"/>
        <w:rPr>
          <w:rFonts w:ascii="Arial"/>
          <w:sz w:val="21"/>
        </w:rPr>
      </w:pPr>
    </w:p>
    <w:p w14:paraId="04FDBA38">
      <w:pPr>
        <w:spacing w:before="75" w:line="227" w:lineRule="auto"/>
        <w:ind w:left="536"/>
        <w:rPr>
          <w:rFonts w:ascii="宋体" w:hAnsi="宋体" w:eastAsia="宋体" w:cs="宋体"/>
          <w:sz w:val="23"/>
          <w:szCs w:val="23"/>
        </w:rPr>
      </w:pPr>
      <w:r>
        <w:rPr>
          <w:rFonts w:ascii="宋体" w:hAnsi="宋体" w:eastAsia="宋体" w:cs="宋体"/>
          <w:spacing w:val="18"/>
          <w:sz w:val="23"/>
          <w:szCs w:val="23"/>
        </w:rPr>
        <w:t>环境</w:t>
      </w:r>
      <w:r>
        <w:rPr>
          <w:rFonts w:ascii="宋体" w:hAnsi="宋体" w:eastAsia="宋体" w:cs="宋体"/>
          <w:spacing w:val="11"/>
          <w:sz w:val="23"/>
          <w:szCs w:val="23"/>
        </w:rPr>
        <w:t>空</w:t>
      </w:r>
      <w:r>
        <w:rPr>
          <w:rFonts w:ascii="宋体" w:hAnsi="宋体" w:eastAsia="宋体" w:cs="宋体"/>
          <w:spacing w:val="9"/>
          <w:sz w:val="23"/>
          <w:szCs w:val="23"/>
        </w:rPr>
        <w:t>气质量非甲烷总烃执行《大气污染物综合排放标准详解》 中浓度要</w:t>
      </w:r>
    </w:p>
    <w:p w14:paraId="01229051">
      <w:pPr>
        <w:spacing w:before="196" w:line="229" w:lineRule="auto"/>
        <w:ind w:left="34"/>
        <w:rPr>
          <w:rFonts w:ascii="宋体" w:hAnsi="宋体" w:eastAsia="宋体" w:cs="宋体"/>
          <w:sz w:val="23"/>
          <w:szCs w:val="23"/>
        </w:rPr>
      </w:pPr>
      <w:r>
        <w:rPr>
          <w:rFonts w:ascii="宋体" w:hAnsi="宋体" w:eastAsia="宋体" w:cs="宋体"/>
          <w:spacing w:val="5"/>
          <w:sz w:val="23"/>
          <w:szCs w:val="23"/>
        </w:rPr>
        <w:t xml:space="preserve">求，环境空气污染物浓度限值见表 </w:t>
      </w:r>
      <w:r>
        <w:rPr>
          <w:rFonts w:ascii="Times New Roman" w:hAnsi="Times New Roman" w:eastAsia="Times New Roman" w:cs="Times New Roman"/>
          <w:spacing w:val="5"/>
          <w:sz w:val="23"/>
          <w:szCs w:val="23"/>
        </w:rPr>
        <w:t>4-7</w:t>
      </w:r>
      <w:r>
        <w:rPr>
          <w:rFonts w:ascii="宋体" w:hAnsi="宋体" w:eastAsia="宋体" w:cs="宋体"/>
          <w:spacing w:val="1"/>
          <w:sz w:val="23"/>
          <w:szCs w:val="23"/>
        </w:rPr>
        <w:t>。</w:t>
      </w:r>
    </w:p>
    <w:p w14:paraId="56009C09">
      <w:pPr>
        <w:spacing w:line="274" w:lineRule="auto"/>
        <w:rPr>
          <w:rFonts w:ascii="Arial"/>
          <w:sz w:val="21"/>
        </w:rPr>
      </w:pPr>
    </w:p>
    <w:p w14:paraId="421BCFE4">
      <w:pPr>
        <w:spacing w:before="75" w:line="228" w:lineRule="auto"/>
        <w:ind w:left="1704"/>
        <w:rPr>
          <w:rFonts w:ascii="宋体" w:hAnsi="宋体" w:eastAsia="宋体" w:cs="宋体"/>
          <w:sz w:val="23"/>
          <w:szCs w:val="23"/>
        </w:rPr>
      </w:pPr>
      <w:r>
        <w:rPr>
          <w:rFonts w:ascii="宋体" w:hAnsi="宋体" w:eastAsia="宋体" w:cs="宋体"/>
          <w:spacing w:val="12"/>
          <w:sz w:val="23"/>
          <w:szCs w:val="23"/>
          <w14:textOutline w14:w="4358" w14:cap="sq" w14:cmpd="sng">
            <w14:solidFill>
              <w14:srgbClr w14:val="000000"/>
            </w14:solidFill>
            <w14:prstDash w14:val="solid"/>
            <w14:bevel/>
          </w14:textOutline>
        </w:rPr>
        <w:t>表</w:t>
      </w:r>
      <w:r>
        <w:rPr>
          <w:rFonts w:ascii="宋体" w:hAnsi="宋体" w:eastAsia="宋体" w:cs="宋体"/>
          <w:spacing w:val="12"/>
          <w:sz w:val="23"/>
          <w:szCs w:val="23"/>
        </w:rPr>
        <w:t xml:space="preserve"> </w:t>
      </w:r>
      <w:r>
        <w:rPr>
          <w:rFonts w:ascii="Times New Roman" w:hAnsi="Times New Roman" w:eastAsia="Times New Roman" w:cs="Times New Roman"/>
          <w:b/>
          <w:bCs/>
          <w:spacing w:val="11"/>
          <w:sz w:val="23"/>
          <w:szCs w:val="23"/>
        </w:rPr>
        <w:t>4</w:t>
      </w:r>
      <w:r>
        <w:rPr>
          <w:rFonts w:ascii="Times New Roman" w:hAnsi="Times New Roman" w:eastAsia="Times New Roman" w:cs="Times New Roman"/>
          <w:b/>
          <w:bCs/>
          <w:spacing w:val="6"/>
          <w:sz w:val="23"/>
          <w:szCs w:val="23"/>
        </w:rPr>
        <w:t>-7</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14:textOutline w14:w="4358" w14:cap="sq" w14:cmpd="sng">
            <w14:solidFill>
              <w14:srgbClr w14:val="000000"/>
            </w14:solidFill>
            <w14:prstDash w14:val="solid"/>
            <w14:bevel/>
          </w14:textOutline>
        </w:rPr>
        <w:t>《大气污染物综合排放标准详解》</w:t>
      </w:r>
    </w:p>
    <w:p w14:paraId="31E2F4A0">
      <w:pPr>
        <w:spacing w:line="19" w:lineRule="exact"/>
      </w:pPr>
    </w:p>
    <w:tbl>
      <w:tblPr>
        <w:tblStyle w:val="4"/>
        <w:tblW w:w="835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2"/>
        <w:gridCol w:w="828"/>
        <w:gridCol w:w="1404"/>
        <w:gridCol w:w="1212"/>
        <w:gridCol w:w="3349"/>
        <w:gridCol w:w="656"/>
      </w:tblGrid>
      <w:tr w14:paraId="0789D1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902" w:type="dxa"/>
            <w:vMerge w:val="restart"/>
            <w:tcBorders>
              <w:left w:val="nil"/>
              <w:bottom w:val="nil"/>
            </w:tcBorders>
            <w:vAlign w:val="top"/>
          </w:tcPr>
          <w:p w14:paraId="3602D5C5">
            <w:pPr>
              <w:spacing w:before="81" w:line="259" w:lineRule="auto"/>
              <w:ind w:left="251" w:right="132" w:hanging="106"/>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污染物</w:t>
            </w:r>
            <w:r>
              <w:rPr>
                <w:rFonts w:ascii="宋体" w:hAnsi="宋体" w:eastAsia="宋体" w:cs="宋体"/>
                <w:sz w:val="20"/>
                <w:szCs w:val="20"/>
              </w:rPr>
              <w:t xml:space="preserve"> </w:t>
            </w:r>
            <w:r>
              <w:rPr>
                <w:rFonts w:ascii="宋体" w:hAnsi="宋体" w:eastAsia="宋体" w:cs="宋体"/>
                <w:spacing w:val="5"/>
                <w:sz w:val="20"/>
                <w:szCs w:val="20"/>
                <w14:textOutline w14:w="3795" w14:cap="sq" w14:cmpd="sng">
                  <w14:solidFill>
                    <w14:srgbClr w14:val="000000"/>
                  </w14:solidFill>
                  <w14:prstDash w14:val="solid"/>
                  <w14:bevel/>
                </w14:textOutline>
              </w:rPr>
              <w:t>名</w:t>
            </w:r>
            <w:r>
              <w:rPr>
                <w:rFonts w:ascii="宋体" w:hAnsi="宋体" w:eastAsia="宋体" w:cs="宋体"/>
                <w:spacing w:val="4"/>
                <w:sz w:val="20"/>
                <w:szCs w:val="20"/>
                <w14:textOutline w14:w="3795" w14:cap="sq" w14:cmpd="sng">
                  <w14:solidFill>
                    <w14:srgbClr w14:val="000000"/>
                  </w14:solidFill>
                  <w14:prstDash w14:val="solid"/>
                  <w14:bevel/>
                </w14:textOutline>
              </w:rPr>
              <w:t>称</w:t>
            </w:r>
          </w:p>
        </w:tc>
        <w:tc>
          <w:tcPr>
            <w:tcW w:w="3444" w:type="dxa"/>
            <w:gridSpan w:val="3"/>
            <w:vAlign w:val="top"/>
          </w:tcPr>
          <w:p w14:paraId="4A674366">
            <w:pPr>
              <w:spacing w:before="76" w:line="228" w:lineRule="auto"/>
              <w:ind w:left="993"/>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污染物浓度限值</w:t>
            </w:r>
          </w:p>
        </w:tc>
        <w:tc>
          <w:tcPr>
            <w:tcW w:w="3349" w:type="dxa"/>
            <w:vMerge w:val="restart"/>
            <w:tcBorders>
              <w:bottom w:val="nil"/>
            </w:tcBorders>
            <w:vAlign w:val="top"/>
          </w:tcPr>
          <w:p w14:paraId="2AD12EC4">
            <w:pPr>
              <w:spacing w:before="238" w:line="228" w:lineRule="auto"/>
              <w:ind w:left="1469"/>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标</w:t>
            </w:r>
            <w:r>
              <w:rPr>
                <w:rFonts w:ascii="宋体" w:hAnsi="宋体" w:eastAsia="宋体" w:cs="宋体"/>
                <w:spacing w:val="5"/>
                <w:sz w:val="20"/>
                <w:szCs w:val="20"/>
                <w14:textOutline w14:w="3795" w14:cap="sq" w14:cmpd="sng">
                  <w14:solidFill>
                    <w14:srgbClr w14:val="000000"/>
                  </w14:solidFill>
                  <w14:prstDash w14:val="solid"/>
                  <w14:bevel/>
                </w14:textOutline>
              </w:rPr>
              <w:t>准</w:t>
            </w:r>
          </w:p>
        </w:tc>
        <w:tc>
          <w:tcPr>
            <w:tcW w:w="656" w:type="dxa"/>
            <w:vMerge w:val="restart"/>
            <w:tcBorders>
              <w:bottom w:val="nil"/>
              <w:right w:val="nil"/>
            </w:tcBorders>
            <w:vAlign w:val="top"/>
          </w:tcPr>
          <w:p w14:paraId="51E521D8">
            <w:pPr>
              <w:spacing w:before="238" w:line="228" w:lineRule="auto"/>
              <w:ind w:left="125"/>
              <w:rPr>
                <w:rFonts w:ascii="宋体" w:hAnsi="宋体" w:eastAsia="宋体" w:cs="宋体"/>
                <w:sz w:val="20"/>
                <w:szCs w:val="20"/>
              </w:rPr>
            </w:pPr>
            <w:r>
              <w:rPr>
                <w:rFonts w:ascii="宋体" w:hAnsi="宋体" w:eastAsia="宋体" w:cs="宋体"/>
                <w:spacing w:val="5"/>
                <w:sz w:val="20"/>
                <w:szCs w:val="20"/>
                <w14:textOutline w14:w="3795" w14:cap="sq" w14:cmpd="sng">
                  <w14:solidFill>
                    <w14:srgbClr w14:val="000000"/>
                  </w14:solidFill>
                  <w14:prstDash w14:val="solid"/>
                  <w14:bevel/>
                </w14:textOutline>
              </w:rPr>
              <w:t>单位</w:t>
            </w:r>
          </w:p>
        </w:tc>
      </w:tr>
      <w:tr w14:paraId="5F2C5B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902" w:type="dxa"/>
            <w:vMerge w:val="continue"/>
            <w:tcBorders>
              <w:top w:val="nil"/>
              <w:left w:val="nil"/>
            </w:tcBorders>
            <w:vAlign w:val="top"/>
          </w:tcPr>
          <w:p w14:paraId="06F61D52">
            <w:pPr>
              <w:rPr>
                <w:rFonts w:ascii="Arial"/>
                <w:sz w:val="21"/>
              </w:rPr>
            </w:pPr>
          </w:p>
        </w:tc>
        <w:tc>
          <w:tcPr>
            <w:tcW w:w="828" w:type="dxa"/>
            <w:vAlign w:val="top"/>
          </w:tcPr>
          <w:p w14:paraId="3A891F98">
            <w:pPr>
              <w:spacing w:before="53" w:line="228" w:lineRule="auto"/>
              <w:ind w:left="104"/>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年</w:t>
            </w:r>
            <w:r>
              <w:rPr>
                <w:rFonts w:ascii="宋体" w:hAnsi="宋体" w:eastAsia="宋体" w:cs="宋体"/>
                <w:spacing w:val="7"/>
                <w:sz w:val="20"/>
                <w:szCs w:val="20"/>
                <w14:textOutline w14:w="3795" w14:cap="sq" w14:cmpd="sng">
                  <w14:solidFill>
                    <w14:srgbClr w14:val="000000"/>
                  </w14:solidFill>
                  <w14:prstDash w14:val="solid"/>
                  <w14:bevel/>
                </w14:textOutline>
              </w:rPr>
              <w:t>平均</w:t>
            </w:r>
          </w:p>
        </w:tc>
        <w:tc>
          <w:tcPr>
            <w:tcW w:w="1404" w:type="dxa"/>
            <w:vAlign w:val="top"/>
          </w:tcPr>
          <w:p w14:paraId="6F2EAC34">
            <w:pPr>
              <w:spacing w:before="53" w:line="228" w:lineRule="auto"/>
              <w:ind w:left="153"/>
              <w:rPr>
                <w:rFonts w:ascii="宋体" w:hAnsi="宋体" w:eastAsia="宋体" w:cs="宋体"/>
                <w:sz w:val="20"/>
                <w:szCs w:val="20"/>
              </w:rPr>
            </w:pPr>
            <w:r>
              <w:rPr>
                <w:rFonts w:ascii="Times New Roman" w:hAnsi="Times New Roman" w:eastAsia="Times New Roman" w:cs="Times New Roman"/>
                <w:b/>
                <w:bCs/>
                <w:spacing w:val="7"/>
                <w:sz w:val="20"/>
                <w:szCs w:val="20"/>
              </w:rPr>
              <w:t>24</w:t>
            </w:r>
            <w:r>
              <w:rPr>
                <w:rFonts w:ascii="Times New Roman" w:hAnsi="Times New Roman" w:eastAsia="Times New Roman" w:cs="Times New Roman"/>
                <w:spacing w:val="7"/>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小时平均</w:t>
            </w:r>
          </w:p>
        </w:tc>
        <w:tc>
          <w:tcPr>
            <w:tcW w:w="1212" w:type="dxa"/>
            <w:vAlign w:val="top"/>
          </w:tcPr>
          <w:p w14:paraId="26D80477">
            <w:pPr>
              <w:spacing w:before="53" w:line="228" w:lineRule="auto"/>
              <w:ind w:left="118"/>
              <w:rPr>
                <w:rFonts w:ascii="宋体" w:hAnsi="宋体" w:eastAsia="宋体" w:cs="宋体"/>
                <w:sz w:val="20"/>
                <w:szCs w:val="20"/>
              </w:rPr>
            </w:pPr>
            <w:r>
              <w:rPr>
                <w:rFonts w:ascii="Times New Roman" w:hAnsi="Times New Roman" w:eastAsia="Times New Roman" w:cs="Times New Roman"/>
                <w:b/>
                <w:bCs/>
                <w:spacing w:val="9"/>
                <w:sz w:val="20"/>
                <w:szCs w:val="20"/>
              </w:rPr>
              <w:t>1</w:t>
            </w:r>
            <w:r>
              <w:rPr>
                <w:rFonts w:ascii="Times New Roman" w:hAnsi="Times New Roman" w:eastAsia="Times New Roman" w:cs="Times New Roman"/>
                <w:spacing w:val="5"/>
                <w:sz w:val="20"/>
                <w:szCs w:val="20"/>
              </w:rPr>
              <w:t xml:space="preserve"> </w:t>
            </w:r>
            <w:r>
              <w:rPr>
                <w:rFonts w:ascii="宋体" w:hAnsi="宋体" w:eastAsia="宋体" w:cs="宋体"/>
                <w:spacing w:val="5"/>
                <w:sz w:val="20"/>
                <w:szCs w:val="20"/>
                <w14:textOutline w14:w="3795" w14:cap="sq" w14:cmpd="sng">
                  <w14:solidFill>
                    <w14:srgbClr w14:val="000000"/>
                  </w14:solidFill>
                  <w14:prstDash w14:val="solid"/>
                  <w14:bevel/>
                </w14:textOutline>
              </w:rPr>
              <w:t>小时平均</w:t>
            </w:r>
          </w:p>
        </w:tc>
        <w:tc>
          <w:tcPr>
            <w:tcW w:w="3349" w:type="dxa"/>
            <w:vMerge w:val="continue"/>
            <w:tcBorders>
              <w:top w:val="nil"/>
            </w:tcBorders>
            <w:vAlign w:val="top"/>
          </w:tcPr>
          <w:p w14:paraId="17459A8A">
            <w:pPr>
              <w:rPr>
                <w:rFonts w:ascii="Arial"/>
                <w:sz w:val="21"/>
              </w:rPr>
            </w:pPr>
          </w:p>
        </w:tc>
        <w:tc>
          <w:tcPr>
            <w:tcW w:w="656" w:type="dxa"/>
            <w:vMerge w:val="continue"/>
            <w:tcBorders>
              <w:top w:val="nil"/>
              <w:right w:val="nil"/>
            </w:tcBorders>
            <w:vAlign w:val="top"/>
          </w:tcPr>
          <w:p w14:paraId="7CE1FD3D">
            <w:pPr>
              <w:rPr>
                <w:rFonts w:ascii="Arial"/>
                <w:sz w:val="21"/>
              </w:rPr>
            </w:pPr>
          </w:p>
        </w:tc>
      </w:tr>
      <w:tr w14:paraId="583355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902" w:type="dxa"/>
            <w:tcBorders>
              <w:left w:val="nil"/>
            </w:tcBorders>
            <w:vAlign w:val="top"/>
          </w:tcPr>
          <w:p w14:paraId="7D676FA5">
            <w:pPr>
              <w:spacing w:before="90" w:line="195" w:lineRule="auto"/>
              <w:ind w:left="133"/>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N</w:t>
            </w:r>
            <w:r>
              <w:rPr>
                <w:rFonts w:ascii="Times New Roman" w:hAnsi="Times New Roman" w:eastAsia="Times New Roman" w:cs="Times New Roman"/>
                <w:spacing w:val="7"/>
                <w:sz w:val="20"/>
                <w:szCs w:val="20"/>
              </w:rPr>
              <w:t>MHC</w:t>
            </w:r>
          </w:p>
        </w:tc>
        <w:tc>
          <w:tcPr>
            <w:tcW w:w="828" w:type="dxa"/>
            <w:vAlign w:val="top"/>
          </w:tcPr>
          <w:p w14:paraId="7D1A4F45">
            <w:pPr>
              <w:spacing w:before="17" w:line="281" w:lineRule="exact"/>
              <w:ind w:left="38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04" w:type="dxa"/>
            <w:vAlign w:val="top"/>
          </w:tcPr>
          <w:p w14:paraId="30160B16">
            <w:pPr>
              <w:spacing w:before="17" w:line="281" w:lineRule="exact"/>
              <w:ind w:left="671"/>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212" w:type="dxa"/>
            <w:vAlign w:val="top"/>
          </w:tcPr>
          <w:p w14:paraId="4BE6DDE2">
            <w:pPr>
              <w:spacing w:before="91" w:line="195" w:lineRule="auto"/>
              <w:ind w:left="555"/>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3349" w:type="dxa"/>
            <w:vAlign w:val="top"/>
          </w:tcPr>
          <w:p w14:paraId="79F7788F">
            <w:pPr>
              <w:spacing w:before="55" w:line="228" w:lineRule="auto"/>
              <w:ind w:left="58"/>
              <w:rPr>
                <w:rFonts w:ascii="Times New Roman" w:hAnsi="Times New Roman" w:eastAsia="Times New Roman" w:cs="Times New Roman"/>
                <w:sz w:val="20"/>
                <w:szCs w:val="20"/>
              </w:rPr>
            </w:pPr>
            <w:r>
              <w:rPr>
                <w:rFonts w:ascii="宋体" w:hAnsi="宋体" w:eastAsia="宋体" w:cs="宋体"/>
                <w:spacing w:val="15"/>
                <w:sz w:val="20"/>
                <w:szCs w:val="20"/>
              </w:rPr>
              <w:t>《</w:t>
            </w:r>
            <w:r>
              <w:rPr>
                <w:rFonts w:ascii="宋体" w:hAnsi="宋体" w:eastAsia="宋体" w:cs="宋体"/>
                <w:spacing w:val="9"/>
                <w:sz w:val="20"/>
                <w:szCs w:val="20"/>
              </w:rPr>
              <w:t>大气污染物综合排放标准详解》</w:t>
            </w:r>
            <w:r>
              <w:rPr>
                <w:rFonts w:ascii="Times New Roman" w:hAnsi="Times New Roman" w:eastAsia="Times New Roman" w:cs="Times New Roman"/>
                <w:spacing w:val="9"/>
                <w:sz w:val="20"/>
                <w:szCs w:val="20"/>
              </w:rPr>
              <w:t>*</w:t>
            </w:r>
          </w:p>
        </w:tc>
        <w:tc>
          <w:tcPr>
            <w:tcW w:w="656" w:type="dxa"/>
            <w:tcBorders>
              <w:right w:val="nil"/>
            </w:tcBorders>
            <w:vAlign w:val="top"/>
          </w:tcPr>
          <w:p w14:paraId="53C9F9F4">
            <w:pPr>
              <w:spacing w:before="17" w:line="281" w:lineRule="exact"/>
              <w:ind w:left="47"/>
              <w:rPr>
                <w:rFonts w:ascii="Times New Roman" w:hAnsi="Times New Roman" w:eastAsia="Times New Roman" w:cs="Times New Roman"/>
                <w:sz w:val="13"/>
                <w:szCs w:val="13"/>
              </w:rPr>
            </w:pPr>
            <w:r>
              <w:rPr>
                <w:rFonts w:ascii="Times New Roman" w:hAnsi="Times New Roman" w:eastAsia="Times New Roman" w:cs="Times New Roman"/>
                <w:position w:val="3"/>
                <w:sz w:val="20"/>
                <w:szCs w:val="20"/>
              </w:rPr>
              <w:t>mg</w:t>
            </w:r>
            <w:r>
              <w:rPr>
                <w:rFonts w:ascii="Times New Roman" w:hAnsi="Times New Roman" w:eastAsia="Times New Roman" w:cs="Times New Roman"/>
                <w:spacing w:val="14"/>
                <w:position w:val="3"/>
                <w:sz w:val="20"/>
                <w:szCs w:val="20"/>
              </w:rPr>
              <w:t>/</w:t>
            </w:r>
            <w:r>
              <w:rPr>
                <w:rFonts w:ascii="Times New Roman" w:hAnsi="Times New Roman" w:eastAsia="Times New Roman" w:cs="Times New Roman"/>
                <w:position w:val="3"/>
                <w:sz w:val="20"/>
                <w:szCs w:val="20"/>
              </w:rPr>
              <w:t>m</w:t>
            </w:r>
            <w:r>
              <w:rPr>
                <w:rFonts w:ascii="Times New Roman" w:hAnsi="Times New Roman" w:eastAsia="Times New Roman" w:cs="Times New Roman"/>
                <w:spacing w:val="13"/>
                <w:position w:val="9"/>
                <w:sz w:val="13"/>
                <w:szCs w:val="13"/>
              </w:rPr>
              <w:t>3</w:t>
            </w:r>
          </w:p>
        </w:tc>
      </w:tr>
    </w:tbl>
    <w:p w14:paraId="6A393B60">
      <w:pPr>
        <w:spacing w:before="69" w:line="299" w:lineRule="auto"/>
        <w:ind w:left="29" w:right="22"/>
        <w:rPr>
          <w:rFonts w:ascii="Times New Roman" w:hAnsi="Times New Roman" w:eastAsia="Times New Roman" w:cs="Times New Roman"/>
          <w:sz w:val="17"/>
          <w:szCs w:val="17"/>
        </w:rPr>
      </w:pPr>
      <w:r>
        <w:rPr>
          <w:rFonts w:ascii="宋体" w:hAnsi="宋体" w:eastAsia="宋体" w:cs="宋体"/>
          <w:spacing w:val="15"/>
          <w:sz w:val="17"/>
          <w:szCs w:val="17"/>
          <w14:textOutline w14:w="3268" w14:cap="sq" w14:cmpd="sng">
            <w14:solidFill>
              <w14:srgbClr w14:val="000000"/>
            </w14:solidFill>
            <w14:prstDash w14:val="solid"/>
            <w14:bevel/>
          </w14:textOutline>
        </w:rPr>
        <w:t>注</w:t>
      </w:r>
      <w:r>
        <w:rPr>
          <w:rFonts w:ascii="宋体" w:hAnsi="宋体" w:eastAsia="宋体" w:cs="宋体"/>
          <w:spacing w:val="10"/>
          <w:sz w:val="17"/>
          <w:szCs w:val="17"/>
          <w14:textOutline w14:w="3268" w14:cap="sq" w14:cmpd="sng">
            <w14:solidFill>
              <w14:srgbClr w14:val="000000"/>
            </w14:solidFill>
            <w14:prstDash w14:val="solid"/>
            <w14:bevel/>
          </w14:textOutline>
        </w:rPr>
        <w:t>：</w:t>
      </w:r>
      <w:r>
        <w:rPr>
          <w:rFonts w:ascii="Times New Roman" w:hAnsi="Times New Roman" w:eastAsia="Times New Roman" w:cs="Times New Roman"/>
          <w:b/>
          <w:bCs/>
          <w:spacing w:val="10"/>
          <w:sz w:val="17"/>
          <w:szCs w:val="17"/>
        </w:rPr>
        <w:t>“*”</w:t>
      </w:r>
      <w:r>
        <w:rPr>
          <w:rFonts w:ascii="Times New Roman" w:hAnsi="Times New Roman" w:eastAsia="Times New Roman" w:cs="Times New Roman"/>
          <w:spacing w:val="10"/>
          <w:sz w:val="17"/>
          <w:szCs w:val="17"/>
        </w:rPr>
        <w:t xml:space="preserve">  </w:t>
      </w:r>
      <w:r>
        <w:rPr>
          <w:rFonts w:ascii="宋体" w:hAnsi="宋体" w:eastAsia="宋体" w:cs="宋体"/>
          <w:spacing w:val="10"/>
          <w:sz w:val="17"/>
          <w:szCs w:val="17"/>
          <w14:textOutline w14:w="3268" w14:cap="sq" w14:cmpd="sng">
            <w14:solidFill>
              <w14:srgbClr w14:val="000000"/>
            </w14:solidFill>
            <w14:prstDash w14:val="solid"/>
            <w14:bevel/>
          </w14:textOutline>
        </w:rPr>
        <w:t>由于我国目前没有</w:t>
      </w:r>
      <w:r>
        <w:rPr>
          <w:rFonts w:ascii="Times New Roman" w:hAnsi="Times New Roman" w:eastAsia="Times New Roman" w:cs="Times New Roman"/>
          <w:b/>
          <w:bCs/>
          <w:spacing w:val="10"/>
          <w:sz w:val="17"/>
          <w:szCs w:val="17"/>
        </w:rPr>
        <w:t>“</w:t>
      </w:r>
      <w:r>
        <w:rPr>
          <w:rFonts w:ascii="宋体" w:hAnsi="宋体" w:eastAsia="宋体" w:cs="宋体"/>
          <w:spacing w:val="10"/>
          <w:sz w:val="17"/>
          <w:szCs w:val="17"/>
          <w14:textOutline w14:w="3268" w14:cap="sq" w14:cmpd="sng">
            <w14:solidFill>
              <w14:srgbClr w14:val="000000"/>
            </w14:solidFill>
            <w14:prstDash w14:val="solid"/>
            <w14:bevel/>
          </w14:textOutline>
        </w:rPr>
        <w:t>非甲烷总烃</w:t>
      </w:r>
      <w:r>
        <w:rPr>
          <w:rFonts w:ascii="Times New Roman" w:hAnsi="Times New Roman" w:eastAsia="Times New Roman" w:cs="Times New Roman"/>
          <w:b/>
          <w:bCs/>
          <w:spacing w:val="10"/>
          <w:sz w:val="17"/>
          <w:szCs w:val="17"/>
        </w:rPr>
        <w:t>”</w:t>
      </w:r>
      <w:r>
        <w:rPr>
          <w:rFonts w:ascii="宋体" w:hAnsi="宋体" w:eastAsia="宋体" w:cs="宋体"/>
          <w:spacing w:val="10"/>
          <w:sz w:val="17"/>
          <w:szCs w:val="17"/>
          <w14:textOutline w14:w="3268" w14:cap="sq" w14:cmpd="sng">
            <w14:solidFill>
              <w14:srgbClr w14:val="000000"/>
            </w14:solidFill>
            <w14:prstDash w14:val="solid"/>
            <w14:bevel/>
          </w14:textOutline>
        </w:rPr>
        <w:t>的环境质量标准，美国的同类标准已废除，故我国石化部门和若</w:t>
      </w:r>
      <w:r>
        <w:rPr>
          <w:rFonts w:ascii="宋体" w:hAnsi="宋体" w:eastAsia="宋体" w:cs="宋体"/>
          <w:sz w:val="17"/>
          <w:szCs w:val="17"/>
        </w:rPr>
        <w:t xml:space="preserve"> </w:t>
      </w:r>
      <w:r>
        <w:rPr>
          <w:rFonts w:ascii="宋体" w:hAnsi="宋体" w:eastAsia="宋体" w:cs="宋体"/>
          <w:spacing w:val="15"/>
          <w:sz w:val="17"/>
          <w:szCs w:val="17"/>
          <w14:textOutline w14:w="3268" w14:cap="sq" w14:cmpd="sng">
            <w14:solidFill>
              <w14:srgbClr w14:val="000000"/>
            </w14:solidFill>
            <w14:prstDash w14:val="solid"/>
            <w14:bevel/>
          </w14:textOutline>
        </w:rPr>
        <w:t>干</w:t>
      </w:r>
      <w:r>
        <w:rPr>
          <w:rFonts w:ascii="宋体" w:hAnsi="宋体" w:eastAsia="宋体" w:cs="宋体"/>
          <w:spacing w:val="9"/>
          <w:sz w:val="17"/>
          <w:szCs w:val="17"/>
          <w14:textOutline w14:w="3268" w14:cap="sq" w14:cmpd="sng">
            <w14:solidFill>
              <w14:srgbClr w14:val="000000"/>
            </w14:solidFill>
            <w14:prstDash w14:val="solid"/>
            <w14:bevel/>
          </w14:textOutline>
        </w:rPr>
        <w:t>地区通常采用以色列同类标准的短期平均值，为</w:t>
      </w:r>
      <w:r>
        <w:rPr>
          <w:rFonts w:ascii="宋体" w:hAnsi="宋体" w:eastAsia="宋体" w:cs="宋体"/>
          <w:spacing w:val="9"/>
          <w:sz w:val="17"/>
          <w:szCs w:val="17"/>
        </w:rPr>
        <w:t xml:space="preserve"> </w:t>
      </w:r>
      <w:r>
        <w:rPr>
          <w:rFonts w:ascii="Times New Roman" w:hAnsi="Times New Roman" w:eastAsia="Times New Roman" w:cs="Times New Roman"/>
          <w:b/>
          <w:bCs/>
          <w:spacing w:val="9"/>
          <w:sz w:val="17"/>
          <w:szCs w:val="17"/>
        </w:rPr>
        <w:t>5</w:t>
      </w:r>
      <w:r>
        <w:rPr>
          <w:rFonts w:ascii="Times New Roman" w:hAnsi="Times New Roman" w:eastAsia="Times New Roman" w:cs="Times New Roman"/>
          <w:b/>
          <w:bCs/>
          <w:sz w:val="17"/>
          <w:szCs w:val="17"/>
        </w:rPr>
        <w:t>mg</w:t>
      </w:r>
      <w:r>
        <w:rPr>
          <w:rFonts w:ascii="Times New Roman" w:hAnsi="Times New Roman" w:eastAsia="Times New Roman" w:cs="Times New Roman"/>
          <w:b/>
          <w:bCs/>
          <w:spacing w:val="9"/>
          <w:sz w:val="17"/>
          <w:szCs w:val="17"/>
        </w:rPr>
        <w:t>/</w:t>
      </w:r>
      <w:r>
        <w:rPr>
          <w:rFonts w:ascii="Times New Roman" w:hAnsi="Times New Roman" w:eastAsia="Times New Roman" w:cs="Times New Roman"/>
          <w:b/>
          <w:bCs/>
          <w:sz w:val="17"/>
          <w:szCs w:val="17"/>
        </w:rPr>
        <w:t>m</w:t>
      </w:r>
      <w:r>
        <w:rPr>
          <w:rFonts w:ascii="Times New Roman" w:hAnsi="Times New Roman" w:eastAsia="Times New Roman" w:cs="Times New Roman"/>
          <w:b/>
          <w:bCs/>
          <w:spacing w:val="9"/>
          <w:position w:val="6"/>
          <w:sz w:val="11"/>
          <w:szCs w:val="11"/>
        </w:rPr>
        <w:t>3</w:t>
      </w:r>
      <w:r>
        <w:rPr>
          <w:rFonts w:ascii="Times New Roman" w:hAnsi="Times New Roman" w:eastAsia="Times New Roman" w:cs="Times New Roman"/>
          <w:spacing w:val="9"/>
          <w:position w:val="6"/>
          <w:sz w:val="11"/>
          <w:szCs w:val="11"/>
        </w:rPr>
        <w:t xml:space="preserve"> </w:t>
      </w:r>
      <w:r>
        <w:rPr>
          <w:rFonts w:ascii="宋体" w:hAnsi="宋体" w:eastAsia="宋体" w:cs="宋体"/>
          <w:spacing w:val="9"/>
          <w:sz w:val="17"/>
          <w:szCs w:val="17"/>
          <w14:textOutline w14:w="3268" w14:cap="sq" w14:cmpd="sng">
            <w14:solidFill>
              <w14:srgbClr w14:val="000000"/>
            </w14:solidFill>
            <w14:prstDash w14:val="solid"/>
            <w14:bevel/>
          </w14:textOutline>
        </w:rPr>
        <w:t>。但考虑到我国多数地区的实测值，</w:t>
      </w:r>
      <w:r>
        <w:rPr>
          <w:rFonts w:ascii="Times New Roman" w:hAnsi="Times New Roman" w:eastAsia="Times New Roman" w:cs="Times New Roman"/>
          <w:b/>
          <w:bCs/>
          <w:spacing w:val="9"/>
          <w:sz w:val="17"/>
          <w:szCs w:val="17"/>
        </w:rPr>
        <w:t>“</w:t>
      </w:r>
      <w:r>
        <w:rPr>
          <w:rFonts w:ascii="宋体" w:hAnsi="宋体" w:eastAsia="宋体" w:cs="宋体"/>
          <w:spacing w:val="9"/>
          <w:sz w:val="17"/>
          <w:szCs w:val="17"/>
          <w14:textOutline w14:w="3268" w14:cap="sq" w14:cmpd="sng">
            <w14:solidFill>
              <w14:srgbClr w14:val="000000"/>
            </w14:solidFill>
            <w14:prstDash w14:val="solid"/>
            <w14:bevel/>
          </w14:textOutline>
        </w:rPr>
        <w:t>非甲烷总</w:t>
      </w:r>
      <w:r>
        <w:rPr>
          <w:rFonts w:ascii="宋体" w:hAnsi="宋体" w:eastAsia="宋体" w:cs="宋体"/>
          <w:sz w:val="17"/>
          <w:szCs w:val="17"/>
        </w:rPr>
        <w:t xml:space="preserve"> </w:t>
      </w:r>
      <w:r>
        <w:rPr>
          <w:rFonts w:ascii="宋体" w:hAnsi="宋体" w:eastAsia="宋体" w:cs="宋体"/>
          <w:spacing w:val="8"/>
          <w:sz w:val="17"/>
          <w:szCs w:val="17"/>
          <w14:textOutline w14:w="3268" w14:cap="sq" w14:cmpd="sng">
            <w14:solidFill>
              <w14:srgbClr w14:val="000000"/>
            </w14:solidFill>
            <w14:prstDash w14:val="solid"/>
            <w14:bevel/>
          </w14:textOutline>
        </w:rPr>
        <w:t>烃</w:t>
      </w:r>
      <w:r>
        <w:rPr>
          <w:rFonts w:ascii="Times New Roman" w:hAnsi="Times New Roman" w:eastAsia="Times New Roman" w:cs="Times New Roman"/>
          <w:b/>
          <w:bCs/>
          <w:spacing w:val="8"/>
          <w:sz w:val="17"/>
          <w:szCs w:val="17"/>
        </w:rPr>
        <w:t>”</w:t>
      </w:r>
      <w:r>
        <w:rPr>
          <w:rFonts w:ascii="宋体" w:hAnsi="宋体" w:eastAsia="宋体" w:cs="宋体"/>
          <w:spacing w:val="8"/>
          <w:sz w:val="17"/>
          <w:szCs w:val="17"/>
          <w14:textOutline w14:w="3268" w14:cap="sq" w14:cmpd="sng">
            <w14:solidFill>
              <w14:srgbClr w14:val="000000"/>
            </w14:solidFill>
            <w14:prstDash w14:val="solid"/>
            <w14:bevel/>
          </w14:textOutline>
        </w:rPr>
        <w:t>的环境浓度一般不超过</w:t>
      </w:r>
      <w:r>
        <w:rPr>
          <w:rFonts w:ascii="宋体" w:hAnsi="宋体" w:eastAsia="宋体" w:cs="宋体"/>
          <w:spacing w:val="8"/>
          <w:sz w:val="17"/>
          <w:szCs w:val="17"/>
        </w:rPr>
        <w:t xml:space="preserve"> </w:t>
      </w:r>
      <w:r>
        <w:rPr>
          <w:rFonts w:ascii="Times New Roman" w:hAnsi="Times New Roman" w:eastAsia="Times New Roman" w:cs="Times New Roman"/>
          <w:b/>
          <w:bCs/>
          <w:spacing w:val="8"/>
          <w:sz w:val="17"/>
          <w:szCs w:val="17"/>
        </w:rPr>
        <w:t>1.0</w:t>
      </w:r>
      <w:r>
        <w:rPr>
          <w:rFonts w:ascii="Times New Roman" w:hAnsi="Times New Roman" w:eastAsia="Times New Roman" w:cs="Times New Roman"/>
          <w:b/>
          <w:bCs/>
          <w:sz w:val="17"/>
          <w:szCs w:val="17"/>
        </w:rPr>
        <w:t>mg</w:t>
      </w:r>
      <w:r>
        <w:rPr>
          <w:rFonts w:ascii="Times New Roman" w:hAnsi="Times New Roman" w:eastAsia="Times New Roman" w:cs="Times New Roman"/>
          <w:b/>
          <w:bCs/>
          <w:spacing w:val="8"/>
          <w:sz w:val="17"/>
          <w:szCs w:val="17"/>
        </w:rPr>
        <w:t>/</w:t>
      </w:r>
      <w:r>
        <w:rPr>
          <w:rFonts w:ascii="Times New Roman" w:hAnsi="Times New Roman" w:eastAsia="Times New Roman" w:cs="Times New Roman"/>
          <w:b/>
          <w:bCs/>
          <w:sz w:val="17"/>
          <w:szCs w:val="17"/>
        </w:rPr>
        <w:t>m</w:t>
      </w:r>
      <w:r>
        <w:rPr>
          <w:rFonts w:ascii="Times New Roman" w:hAnsi="Times New Roman" w:eastAsia="Times New Roman" w:cs="Times New Roman"/>
          <w:b/>
          <w:bCs/>
          <w:spacing w:val="8"/>
          <w:position w:val="5"/>
          <w:sz w:val="11"/>
          <w:szCs w:val="11"/>
        </w:rPr>
        <w:t>3</w:t>
      </w:r>
      <w:r>
        <w:rPr>
          <w:rFonts w:ascii="Times New Roman" w:hAnsi="Times New Roman" w:eastAsia="Times New Roman" w:cs="Times New Roman"/>
          <w:spacing w:val="8"/>
          <w:position w:val="5"/>
          <w:sz w:val="11"/>
          <w:szCs w:val="11"/>
        </w:rPr>
        <w:t xml:space="preserve"> </w:t>
      </w:r>
      <w:r>
        <w:rPr>
          <w:rFonts w:ascii="宋体" w:hAnsi="宋体" w:eastAsia="宋体" w:cs="宋体"/>
          <w:spacing w:val="8"/>
          <w:sz w:val="17"/>
          <w:szCs w:val="17"/>
          <w14:textOutline w14:w="3268" w14:cap="sq" w14:cmpd="sng">
            <w14:solidFill>
              <w14:srgbClr w14:val="000000"/>
            </w14:solidFill>
            <w14:prstDash w14:val="solid"/>
            <w14:bevel/>
          </w14:textOutline>
        </w:rPr>
        <w:t>，因此选用</w:t>
      </w:r>
      <w:r>
        <w:rPr>
          <w:rFonts w:ascii="宋体" w:hAnsi="宋体" w:eastAsia="宋体" w:cs="宋体"/>
          <w:spacing w:val="8"/>
          <w:sz w:val="17"/>
          <w:szCs w:val="17"/>
        </w:rPr>
        <w:t xml:space="preserve"> </w:t>
      </w:r>
      <w:r>
        <w:rPr>
          <w:rFonts w:ascii="Times New Roman" w:hAnsi="Times New Roman" w:eastAsia="Times New Roman" w:cs="Times New Roman"/>
          <w:b/>
          <w:bCs/>
          <w:spacing w:val="8"/>
          <w:sz w:val="17"/>
          <w:szCs w:val="17"/>
        </w:rPr>
        <w:t>2</w:t>
      </w:r>
      <w:r>
        <w:rPr>
          <w:rFonts w:ascii="Times New Roman" w:hAnsi="Times New Roman" w:eastAsia="Times New Roman" w:cs="Times New Roman"/>
          <w:b/>
          <w:bCs/>
          <w:sz w:val="17"/>
          <w:szCs w:val="17"/>
        </w:rPr>
        <w:t>mg</w:t>
      </w:r>
      <w:r>
        <w:rPr>
          <w:rFonts w:ascii="Times New Roman" w:hAnsi="Times New Roman" w:eastAsia="Times New Roman" w:cs="Times New Roman"/>
          <w:b/>
          <w:bCs/>
          <w:spacing w:val="8"/>
          <w:sz w:val="17"/>
          <w:szCs w:val="17"/>
        </w:rPr>
        <w:t>/</w:t>
      </w:r>
      <w:r>
        <w:rPr>
          <w:rFonts w:ascii="Times New Roman" w:hAnsi="Times New Roman" w:eastAsia="Times New Roman" w:cs="Times New Roman"/>
          <w:b/>
          <w:bCs/>
          <w:sz w:val="17"/>
          <w:szCs w:val="17"/>
        </w:rPr>
        <w:t>m</w:t>
      </w:r>
      <w:r>
        <w:rPr>
          <w:rFonts w:ascii="Times New Roman" w:hAnsi="Times New Roman" w:eastAsia="Times New Roman" w:cs="Times New Roman"/>
          <w:b/>
          <w:bCs/>
          <w:spacing w:val="8"/>
          <w:position w:val="5"/>
          <w:sz w:val="11"/>
          <w:szCs w:val="11"/>
        </w:rPr>
        <w:t>3</w:t>
      </w:r>
      <w:r>
        <w:rPr>
          <w:rFonts w:ascii="Times New Roman" w:hAnsi="Times New Roman" w:eastAsia="Times New Roman" w:cs="Times New Roman"/>
          <w:spacing w:val="8"/>
          <w:position w:val="5"/>
          <w:sz w:val="11"/>
          <w:szCs w:val="11"/>
        </w:rPr>
        <w:t xml:space="preserve"> </w:t>
      </w:r>
      <w:r>
        <w:rPr>
          <w:rFonts w:ascii="宋体" w:hAnsi="宋体" w:eastAsia="宋体" w:cs="宋体"/>
          <w:spacing w:val="8"/>
          <w:sz w:val="17"/>
          <w:szCs w:val="17"/>
          <w14:textOutline w14:w="3268" w14:cap="sq" w14:cmpd="sng">
            <w14:solidFill>
              <w14:srgbClr w14:val="000000"/>
            </w14:solidFill>
            <w14:prstDash w14:val="solid"/>
            <w14:bevel/>
          </w14:textOutline>
        </w:rPr>
        <w:t>作为计算依据。摘自</w:t>
      </w:r>
      <w:r>
        <w:rPr>
          <w:rFonts w:ascii="Times New Roman" w:hAnsi="Times New Roman" w:eastAsia="Times New Roman" w:cs="Times New Roman"/>
          <w:b/>
          <w:bCs/>
          <w:spacing w:val="8"/>
          <w:sz w:val="17"/>
          <w:szCs w:val="17"/>
        </w:rPr>
        <w:t>“</w:t>
      </w:r>
      <w:r>
        <w:rPr>
          <w:rFonts w:ascii="宋体" w:hAnsi="宋体" w:eastAsia="宋体" w:cs="宋体"/>
          <w:spacing w:val="8"/>
          <w:sz w:val="17"/>
          <w:szCs w:val="17"/>
          <w14:textOutline w14:w="3268" w14:cap="sq" w14:cmpd="sng">
            <w14:solidFill>
              <w14:srgbClr w14:val="000000"/>
            </w14:solidFill>
            <w14:prstDash w14:val="solid"/>
            <w14:bevel/>
          </w14:textOutline>
        </w:rPr>
        <w:t>由中国环境科学出版社出</w:t>
      </w:r>
      <w:r>
        <w:rPr>
          <w:rFonts w:ascii="宋体" w:hAnsi="宋体" w:eastAsia="宋体" w:cs="宋体"/>
          <w:spacing w:val="5"/>
          <w:sz w:val="17"/>
          <w:szCs w:val="17"/>
          <w14:textOutline w14:w="3268" w14:cap="sq" w14:cmpd="sng">
            <w14:solidFill>
              <w14:srgbClr w14:val="000000"/>
            </w14:solidFill>
            <w14:prstDash w14:val="solid"/>
            <w14:bevel/>
          </w14:textOutline>
        </w:rPr>
        <w:t>版</w:t>
      </w:r>
      <w:r>
        <w:rPr>
          <w:rFonts w:ascii="宋体" w:hAnsi="宋体" w:eastAsia="宋体" w:cs="宋体"/>
          <w:sz w:val="17"/>
          <w:szCs w:val="17"/>
        </w:rPr>
        <w:t xml:space="preserve"> </w:t>
      </w:r>
      <w:r>
        <w:rPr>
          <w:rFonts w:ascii="宋体" w:hAnsi="宋体" w:eastAsia="宋体" w:cs="宋体"/>
          <w:spacing w:val="18"/>
          <w:sz w:val="17"/>
          <w:szCs w:val="17"/>
          <w14:textOutline w14:w="3268" w14:cap="sq" w14:cmpd="sng">
            <w14:solidFill>
              <w14:srgbClr w14:val="000000"/>
            </w14:solidFill>
            <w14:prstDash w14:val="solid"/>
            <w14:bevel/>
          </w14:textOutline>
        </w:rPr>
        <w:t>的国</w:t>
      </w:r>
      <w:r>
        <w:rPr>
          <w:rFonts w:ascii="宋体" w:hAnsi="宋体" w:eastAsia="宋体" w:cs="宋体"/>
          <w:spacing w:val="9"/>
          <w:sz w:val="17"/>
          <w:szCs w:val="17"/>
          <w14:textOutline w14:w="3268" w14:cap="sq" w14:cmpd="sng">
            <w14:solidFill>
              <w14:srgbClr w14:val="000000"/>
            </w14:solidFill>
            <w14:prstDash w14:val="solid"/>
            <w14:bevel/>
          </w14:textOutline>
        </w:rPr>
        <w:t>家环境保护局科技标准司的《大气污染物综合排放标准详解》第</w:t>
      </w:r>
      <w:r>
        <w:rPr>
          <w:rFonts w:ascii="宋体" w:hAnsi="宋体" w:eastAsia="宋体" w:cs="宋体"/>
          <w:spacing w:val="9"/>
          <w:sz w:val="17"/>
          <w:szCs w:val="17"/>
        </w:rPr>
        <w:t xml:space="preserve"> </w:t>
      </w:r>
      <w:r>
        <w:rPr>
          <w:rFonts w:ascii="Times New Roman" w:hAnsi="Times New Roman" w:eastAsia="Times New Roman" w:cs="Times New Roman"/>
          <w:b/>
          <w:bCs/>
          <w:spacing w:val="9"/>
          <w:sz w:val="17"/>
          <w:szCs w:val="17"/>
        </w:rPr>
        <w:t>244</w:t>
      </w:r>
      <w:r>
        <w:rPr>
          <w:rFonts w:ascii="Times New Roman" w:hAnsi="Times New Roman" w:eastAsia="Times New Roman" w:cs="Times New Roman"/>
          <w:spacing w:val="9"/>
          <w:sz w:val="17"/>
          <w:szCs w:val="17"/>
        </w:rPr>
        <w:t xml:space="preserve"> </w:t>
      </w:r>
      <w:r>
        <w:rPr>
          <w:rFonts w:ascii="宋体" w:hAnsi="宋体" w:eastAsia="宋体" w:cs="宋体"/>
          <w:spacing w:val="9"/>
          <w:sz w:val="17"/>
          <w:szCs w:val="17"/>
          <w14:textOutline w14:w="3268" w14:cap="sq" w14:cmpd="sng">
            <w14:solidFill>
              <w14:srgbClr w14:val="000000"/>
            </w14:solidFill>
            <w14:prstDash w14:val="solid"/>
            <w14:bevel/>
          </w14:textOutline>
        </w:rPr>
        <w:t>页。</w:t>
      </w:r>
      <w:r>
        <w:rPr>
          <w:rFonts w:ascii="Times New Roman" w:hAnsi="Times New Roman" w:eastAsia="Times New Roman" w:cs="Times New Roman"/>
          <w:b/>
          <w:bCs/>
          <w:spacing w:val="9"/>
          <w:sz w:val="17"/>
          <w:szCs w:val="17"/>
        </w:rPr>
        <w:t>”</w:t>
      </w:r>
    </w:p>
    <w:p w14:paraId="2CBE079D">
      <w:pPr>
        <w:spacing w:before="284" w:line="226" w:lineRule="auto"/>
        <w:ind w:left="547"/>
        <w:rPr>
          <w:rFonts w:ascii="宋体" w:hAnsi="宋体" w:eastAsia="宋体" w:cs="宋体"/>
          <w:sz w:val="23"/>
          <w:szCs w:val="23"/>
        </w:rPr>
      </w:pPr>
      <w:r>
        <w:rPr>
          <w:rFonts w:ascii="宋体" w:hAnsi="宋体" w:eastAsia="宋体" w:cs="宋体"/>
          <w:spacing w:val="28"/>
          <w:sz w:val="23"/>
          <w:szCs w:val="23"/>
        </w:rPr>
        <w:t>(</w:t>
      </w:r>
      <w:r>
        <w:rPr>
          <w:rFonts w:ascii="Times New Roman" w:hAnsi="Times New Roman" w:eastAsia="Times New Roman" w:cs="Times New Roman"/>
          <w:spacing w:val="28"/>
          <w:sz w:val="23"/>
          <w:szCs w:val="23"/>
        </w:rPr>
        <w:t>2</w:t>
      </w:r>
      <w:r>
        <w:rPr>
          <w:rFonts w:ascii="宋体" w:hAnsi="宋体" w:eastAsia="宋体" w:cs="宋体"/>
          <w:spacing w:val="28"/>
          <w:sz w:val="23"/>
          <w:szCs w:val="23"/>
        </w:rPr>
        <w:t>) 评价方</w:t>
      </w:r>
      <w:r>
        <w:rPr>
          <w:rFonts w:ascii="宋体" w:hAnsi="宋体" w:eastAsia="宋体" w:cs="宋体"/>
          <w:spacing w:val="27"/>
          <w:sz w:val="23"/>
          <w:szCs w:val="23"/>
        </w:rPr>
        <w:t>法</w:t>
      </w:r>
    </w:p>
    <w:p w14:paraId="23350712">
      <w:pPr>
        <w:spacing w:line="278" w:lineRule="auto"/>
        <w:rPr>
          <w:rFonts w:ascii="Arial"/>
          <w:sz w:val="21"/>
        </w:rPr>
      </w:pPr>
    </w:p>
    <w:p w14:paraId="4BA4F244">
      <w:pPr>
        <w:spacing w:before="75" w:line="393" w:lineRule="auto"/>
        <w:ind w:left="32" w:firstLine="479"/>
        <w:rPr>
          <w:rFonts w:ascii="宋体" w:hAnsi="宋体" w:eastAsia="宋体" w:cs="宋体"/>
          <w:sz w:val="23"/>
          <w:szCs w:val="23"/>
        </w:rPr>
      </w:pPr>
      <w:r>
        <w:rPr>
          <w:rFonts w:ascii="宋体" w:hAnsi="宋体" w:eastAsia="宋体" w:cs="宋体"/>
          <w:spacing w:val="7"/>
          <w:sz w:val="23"/>
          <w:szCs w:val="23"/>
        </w:rPr>
        <w:t>对各监测点的原始数据进行整理，对各污染物日平均浓度波动范围、日平</w:t>
      </w:r>
      <w:r>
        <w:rPr>
          <w:rFonts w:ascii="宋体" w:hAnsi="宋体" w:eastAsia="宋体" w:cs="宋体"/>
          <w:spacing w:val="3"/>
          <w:sz w:val="23"/>
          <w:szCs w:val="23"/>
        </w:rPr>
        <w:t>均</w:t>
      </w:r>
      <w:r>
        <w:rPr>
          <w:rFonts w:ascii="宋体" w:hAnsi="宋体" w:eastAsia="宋体" w:cs="宋体"/>
          <w:sz w:val="23"/>
          <w:szCs w:val="23"/>
        </w:rPr>
        <w:t xml:space="preserve"> </w:t>
      </w:r>
      <w:r>
        <w:rPr>
          <w:rFonts w:ascii="宋体" w:hAnsi="宋体" w:eastAsia="宋体" w:cs="宋体"/>
          <w:spacing w:val="16"/>
          <w:sz w:val="23"/>
          <w:szCs w:val="23"/>
        </w:rPr>
        <w:t>浓度</w:t>
      </w:r>
      <w:r>
        <w:rPr>
          <w:rFonts w:ascii="宋体" w:hAnsi="宋体" w:eastAsia="宋体" w:cs="宋体"/>
          <w:spacing w:val="12"/>
          <w:sz w:val="23"/>
          <w:szCs w:val="23"/>
        </w:rPr>
        <w:t>值</w:t>
      </w:r>
      <w:r>
        <w:rPr>
          <w:rFonts w:ascii="宋体" w:hAnsi="宋体" w:eastAsia="宋体" w:cs="宋体"/>
          <w:spacing w:val="8"/>
          <w:sz w:val="23"/>
          <w:szCs w:val="23"/>
        </w:rPr>
        <w:t>及日平均值超标率、超标浓度、浓度日变化规律等进行分析统计和评价。</w:t>
      </w:r>
    </w:p>
    <w:p w14:paraId="0B6A79C8">
      <w:pPr>
        <w:sectPr>
          <w:headerReference r:id="rId162" w:type="default"/>
          <w:footerReference r:id="rId163" w:type="default"/>
          <w:pgSz w:w="11906" w:h="16839"/>
          <w:pgMar w:top="1132" w:right="1745" w:bottom="1182" w:left="1777" w:header="878" w:footer="1022" w:gutter="0"/>
          <w:cols w:space="720" w:num="1"/>
        </w:sectPr>
      </w:pPr>
    </w:p>
    <w:p w14:paraId="24932384">
      <w:pPr>
        <w:spacing w:line="408" w:lineRule="auto"/>
        <w:rPr>
          <w:rFonts w:ascii="Arial"/>
          <w:sz w:val="21"/>
        </w:rPr>
      </w:pPr>
      <w:r>
        <w:pict>
          <v:shape id="_x0000_s1216" o:spid="_x0000_s1216" style="position:absolute;left:0pt;margin-left:90pt;margin-top:57.35pt;height:0.75pt;width:415.3pt;mso-position-horizontal-relative:page;mso-position-vertical-relative:page;z-index:251869184;mso-width-relative:page;mso-height-relative:page;" fillcolor="#000000" filled="t" stroked="f" coordsize="8305,15" o:allowincell="f" path="m0,0l8305,0,8305,14,0,14,0,0xe">
            <v:path/>
            <v:fill on="t" focussize="0,0"/>
            <v:stroke on="f"/>
            <v:imagedata o:title=""/>
            <o:lock v:ext="edit"/>
          </v:shape>
        </w:pict>
      </w:r>
    </w:p>
    <w:p w14:paraId="09E7B7D6">
      <w:pPr>
        <w:spacing w:before="75" w:line="228" w:lineRule="auto"/>
        <w:ind w:left="123"/>
        <w:rPr>
          <w:rFonts w:ascii="宋体" w:hAnsi="宋体" w:eastAsia="宋体" w:cs="宋体"/>
          <w:sz w:val="23"/>
          <w:szCs w:val="23"/>
        </w:rPr>
      </w:pPr>
      <w:r>
        <w:rPr>
          <w:rFonts w:ascii="宋体" w:hAnsi="宋体" w:eastAsia="宋体" w:cs="宋体"/>
          <w:spacing w:val="8"/>
          <w:sz w:val="23"/>
          <w:szCs w:val="23"/>
        </w:rPr>
        <w:t>统</w:t>
      </w:r>
      <w:r>
        <w:rPr>
          <w:rFonts w:ascii="宋体" w:hAnsi="宋体" w:eastAsia="宋体" w:cs="宋体"/>
          <w:spacing w:val="6"/>
          <w:sz w:val="23"/>
          <w:szCs w:val="23"/>
        </w:rPr>
        <w:t>计方法如下：</w:t>
      </w:r>
    </w:p>
    <w:p w14:paraId="5B3FD6F0">
      <w:pPr>
        <w:spacing w:before="203" w:line="936" w:lineRule="exact"/>
        <w:ind w:left="2447"/>
        <w:rPr>
          <w:rFonts w:ascii="Times New Roman" w:hAnsi="Times New Roman" w:eastAsia="Times New Roman" w:cs="Times New Roman"/>
          <w:sz w:val="23"/>
          <w:szCs w:val="23"/>
        </w:rPr>
      </w:pPr>
      <w:r>
        <w:rPr>
          <w:rFonts w:ascii="宋体" w:hAnsi="宋体" w:eastAsia="宋体" w:cs="宋体"/>
          <w:spacing w:val="11"/>
          <w:position w:val="38"/>
          <w:sz w:val="23"/>
          <w:szCs w:val="23"/>
        </w:rPr>
        <w:t>检出率</w:t>
      </w:r>
      <w:r>
        <w:rPr>
          <w:rFonts w:ascii="Times New Roman" w:hAnsi="Times New Roman" w:eastAsia="Times New Roman" w:cs="Times New Roman"/>
          <w:spacing w:val="11"/>
          <w:position w:val="38"/>
          <w:sz w:val="23"/>
          <w:szCs w:val="23"/>
        </w:rPr>
        <w:t>=</w:t>
      </w:r>
      <w:r>
        <w:fldChar w:fldCharType="begin"/>
      </w:r>
      <w:r>
        <w:instrText xml:space="preserve">EQ \* jc3 \* hps23 \o\al(\s\up 7(</w:instrText>
      </w:r>
      <w:r>
        <w:rPr>
          <w:rFonts w:ascii="宋体" w:hAnsi="宋体" w:eastAsia="宋体" w:cs="宋体"/>
          <w:strike/>
          <w:spacing w:val="56"/>
          <w:position w:val="38"/>
          <w:sz w:val="23"/>
          <w:szCs w:val="23"/>
        </w:rPr>
        <w:instrText xml:space="preserve">检</w:instrText>
      </w:r>
      <w:r>
        <w:instrText xml:space="preserve">),</w:instrText>
      </w:r>
      <w:r>
        <w:rPr>
          <w:rFonts w:ascii="宋体" w:hAnsi="宋体" w:eastAsia="宋体" w:cs="宋体"/>
          <w:strike/>
          <w:spacing w:val="52"/>
          <w:position w:val="21"/>
          <w:sz w:val="23"/>
          <w:szCs w:val="23"/>
        </w:rPr>
        <w:instrText xml:space="preserve">总</w:instrText>
      </w:r>
      <w:r>
        <w:instrText xml:space="preserve">)</w:instrText>
      </w:r>
      <w:r>
        <w:fldChar w:fldCharType="end"/>
      </w:r>
      <w:r>
        <w:fldChar w:fldCharType="begin"/>
      </w:r>
      <w:r>
        <w:instrText xml:space="preserve">EQ \* jc3 \* hps23 \o\al(\s\up 7(</w:instrText>
      </w:r>
      <w:r>
        <w:rPr>
          <w:rFonts w:ascii="宋体" w:hAnsi="宋体" w:eastAsia="宋体" w:cs="宋体"/>
          <w:strike/>
          <w:spacing w:val="8"/>
          <w:position w:val="38"/>
          <w:sz w:val="23"/>
          <w:szCs w:val="23"/>
        </w:rPr>
        <w:instrText xml:space="preserve">出</w:instrText>
      </w:r>
      <w:r>
        <w:instrText xml:space="preserve">),</w:instrText>
      </w:r>
      <w:r>
        <w:rPr>
          <w:rFonts w:ascii="宋体" w:hAnsi="宋体" w:eastAsia="宋体" w:cs="宋体"/>
          <w:strike/>
          <w:spacing w:val="4"/>
          <w:position w:val="21"/>
          <w:sz w:val="23"/>
          <w:szCs w:val="23"/>
        </w:rPr>
        <w:instrText xml:space="preserve">检</w:instrText>
      </w:r>
      <w:r>
        <w:instrText xml:space="preserve">)</w:instrText>
      </w:r>
      <w:r>
        <w:fldChar w:fldCharType="end"/>
      </w:r>
      <w:r>
        <w:fldChar w:fldCharType="begin"/>
      </w:r>
      <w:r>
        <w:instrText xml:space="preserve">EQ \* jc3 \* hps23 \o\al(\s\up 7(</w:instrText>
      </w:r>
      <w:r>
        <w:rPr>
          <w:rFonts w:ascii="宋体" w:hAnsi="宋体" w:eastAsia="宋体" w:cs="宋体"/>
          <w:strike/>
          <w:spacing w:val="8"/>
          <w:position w:val="38"/>
          <w:sz w:val="23"/>
          <w:szCs w:val="23"/>
        </w:rPr>
        <w:instrText xml:space="preserve">个</w:instrText>
      </w:r>
      <w:r>
        <w:instrText xml:space="preserve">),</w:instrText>
      </w:r>
      <w:r>
        <w:rPr>
          <w:rFonts w:ascii="宋体" w:hAnsi="宋体" w:eastAsia="宋体" w:cs="宋体"/>
          <w:strike/>
          <w:spacing w:val="4"/>
          <w:position w:val="21"/>
          <w:sz w:val="23"/>
          <w:szCs w:val="23"/>
        </w:rPr>
        <w:instrText xml:space="preserve">个</w:instrText>
      </w:r>
      <w:r>
        <w:instrText xml:space="preserve">)</w:instrText>
      </w:r>
      <w:r>
        <w:fldChar w:fldCharType="end"/>
      </w:r>
      <w:r>
        <w:fldChar w:fldCharType="begin"/>
      </w:r>
      <w:r>
        <w:instrText xml:space="preserve">EQ \* jc3 \* hps23 \o\al(\s\up 7(</w:instrText>
      </w:r>
      <w:r>
        <w:rPr>
          <w:rFonts w:ascii="宋体" w:hAnsi="宋体" w:eastAsia="宋体" w:cs="宋体"/>
          <w:strike/>
          <w:spacing w:val="8"/>
          <w:position w:val="38"/>
          <w:sz w:val="23"/>
          <w:szCs w:val="23"/>
        </w:rPr>
        <w:instrText xml:space="preserve">数</w:instrText>
      </w:r>
      <w:r>
        <w:instrText xml:space="preserve">),</w:instrText>
      </w:r>
      <w:r>
        <w:rPr>
          <w:rFonts w:ascii="宋体" w:hAnsi="宋体" w:eastAsia="宋体" w:cs="宋体"/>
          <w:strike/>
          <w:spacing w:val="4"/>
          <w:position w:val="21"/>
          <w:sz w:val="23"/>
          <w:szCs w:val="23"/>
        </w:rPr>
        <w:instrText xml:space="preserve">数</w:instrText>
      </w:r>
      <w:r>
        <w:instrText xml:space="preserve">)</w:instrText>
      </w:r>
      <w:r>
        <w:fldChar w:fldCharType="end"/>
      </w:r>
      <w:r>
        <w:rPr>
          <w:rFonts w:ascii="宋体" w:hAnsi="宋体" w:eastAsia="宋体" w:cs="宋体"/>
          <w:spacing w:val="11"/>
          <w:position w:val="21"/>
          <w:sz w:val="23"/>
          <w:szCs w:val="23"/>
        </w:rPr>
        <w:t xml:space="preserve"> </w:t>
      </w:r>
      <w:r>
        <w:rPr>
          <w:rFonts w:ascii="Times New Roman" w:hAnsi="Times New Roman" w:eastAsia="Times New Roman" w:cs="Times New Roman"/>
          <w:spacing w:val="11"/>
          <w:position w:val="38"/>
          <w:sz w:val="23"/>
          <w:szCs w:val="23"/>
        </w:rPr>
        <w:t>× 100%</w:t>
      </w:r>
    </w:p>
    <w:p w14:paraId="557B2AC4">
      <w:pPr>
        <w:spacing w:line="785" w:lineRule="exact"/>
        <w:ind w:left="2516"/>
        <w:rPr>
          <w:rFonts w:ascii="Times New Roman" w:hAnsi="Times New Roman" w:eastAsia="Times New Roman" w:cs="Times New Roman"/>
          <w:sz w:val="23"/>
          <w:szCs w:val="23"/>
        </w:rPr>
      </w:pPr>
      <w:r>
        <w:rPr>
          <w:rFonts w:ascii="宋体" w:hAnsi="宋体" w:eastAsia="宋体" w:cs="宋体"/>
          <w:spacing w:val="2"/>
          <w:position w:val="15"/>
          <w:sz w:val="23"/>
          <w:szCs w:val="23"/>
        </w:rPr>
        <w:t>超标率</w:t>
      </w:r>
      <w:r>
        <w:rPr>
          <w:rFonts w:ascii="Times New Roman" w:hAnsi="Times New Roman" w:eastAsia="Times New Roman" w:cs="Times New Roman"/>
          <w:spacing w:val="2"/>
          <w:position w:val="15"/>
          <w:sz w:val="23"/>
          <w:szCs w:val="23"/>
        </w:rPr>
        <w:t>=</w:t>
      </w:r>
      <w:r>
        <w:fldChar w:fldCharType="begin"/>
      </w:r>
      <w:r>
        <w:instrText xml:space="preserve">EQ \* jc3 \* hps23 \o\al(\s\up 7(</w:instrText>
      </w:r>
      <w:r>
        <w:rPr>
          <w:rFonts w:ascii="宋体" w:hAnsi="宋体" w:eastAsia="宋体" w:cs="宋体"/>
          <w:strike/>
          <w:spacing w:val="59"/>
          <w:position w:val="15"/>
          <w:sz w:val="23"/>
          <w:szCs w:val="23"/>
        </w:rPr>
        <w:instrText xml:space="preserve">超</w:instrText>
      </w:r>
      <w:r>
        <w:instrText xml:space="preserve">),</w:instrText>
      </w:r>
      <w:r>
        <w:rPr>
          <w:rFonts w:ascii="宋体" w:hAnsi="宋体" w:eastAsia="宋体" w:cs="宋体"/>
          <w:strike/>
          <w:spacing w:val="53"/>
          <w:position w:val="-2"/>
          <w:sz w:val="23"/>
          <w:szCs w:val="23"/>
        </w:rPr>
        <w:instrText xml:space="preserve">总</w:instrText>
      </w:r>
      <w:r>
        <w:instrText xml:space="preserve">)</w:instrText>
      </w:r>
      <w:r>
        <w:fldChar w:fldCharType="end"/>
      </w:r>
      <w:r>
        <w:fldChar w:fldCharType="begin"/>
      </w:r>
      <w:r>
        <w:instrText xml:space="preserve">EQ \* jc3 \* hps23 \o\al(\s\up 7(</w:instrText>
      </w:r>
      <w:r>
        <w:rPr>
          <w:rFonts w:ascii="宋体" w:hAnsi="宋体" w:eastAsia="宋体" w:cs="宋体"/>
          <w:strike/>
          <w:spacing w:val="8"/>
          <w:position w:val="15"/>
          <w:sz w:val="23"/>
          <w:szCs w:val="23"/>
        </w:rPr>
        <w:instrText xml:space="preserve">标</w:instrText>
      </w:r>
      <w:r>
        <w:instrText xml:space="preserve">),</w:instrText>
      </w:r>
      <w:r>
        <w:rPr>
          <w:rFonts w:ascii="宋体" w:hAnsi="宋体" w:eastAsia="宋体" w:cs="宋体"/>
          <w:strike/>
          <w:spacing w:val="2"/>
          <w:position w:val="-2"/>
          <w:sz w:val="23"/>
          <w:szCs w:val="23"/>
        </w:rPr>
        <w:instrText xml:space="preserve">检</w:instrText>
      </w:r>
      <w:r>
        <w:instrText xml:space="preserve">)</w:instrText>
      </w:r>
      <w:r>
        <w:fldChar w:fldCharType="end"/>
      </w:r>
      <w:r>
        <w:fldChar w:fldCharType="begin"/>
      </w:r>
      <w:r>
        <w:instrText xml:space="preserve">EQ \* jc3 \* hps23 \o\al(\s\up 7(</w:instrText>
      </w:r>
      <w:r>
        <w:rPr>
          <w:rFonts w:ascii="宋体" w:hAnsi="宋体" w:eastAsia="宋体" w:cs="宋体"/>
          <w:strike/>
          <w:spacing w:val="8"/>
          <w:position w:val="15"/>
          <w:sz w:val="23"/>
          <w:szCs w:val="23"/>
        </w:rPr>
        <w:instrText xml:space="preserve">个</w:instrText>
      </w:r>
      <w:r>
        <w:instrText xml:space="preserve">),</w:instrText>
      </w:r>
      <w:r>
        <w:rPr>
          <w:rFonts w:ascii="宋体" w:hAnsi="宋体" w:eastAsia="宋体" w:cs="宋体"/>
          <w:strike/>
          <w:spacing w:val="2"/>
          <w:position w:val="-2"/>
          <w:sz w:val="23"/>
          <w:szCs w:val="23"/>
        </w:rPr>
        <w:instrText xml:space="preserve">个</w:instrText>
      </w:r>
      <w:r>
        <w:instrText xml:space="preserve">)</w:instrText>
      </w:r>
      <w:r>
        <w:fldChar w:fldCharType="end"/>
      </w:r>
      <w:r>
        <w:fldChar w:fldCharType="begin"/>
      </w:r>
      <w:r>
        <w:instrText xml:space="preserve">EQ \* jc3 \* hps23 \o\al(\s\up 7(</w:instrText>
      </w:r>
      <w:r>
        <w:rPr>
          <w:rFonts w:ascii="宋体" w:hAnsi="宋体" w:eastAsia="宋体" w:cs="宋体"/>
          <w:strike/>
          <w:spacing w:val="8"/>
          <w:position w:val="15"/>
          <w:sz w:val="23"/>
          <w:szCs w:val="23"/>
        </w:rPr>
        <w:instrText xml:space="preserve">数</w:instrText>
      </w:r>
      <w:r>
        <w:instrText xml:space="preserve">),</w:instrText>
      </w:r>
      <w:r>
        <w:rPr>
          <w:rFonts w:ascii="宋体" w:hAnsi="宋体" w:eastAsia="宋体" w:cs="宋体"/>
          <w:strike/>
          <w:spacing w:val="2"/>
          <w:position w:val="-2"/>
          <w:sz w:val="23"/>
          <w:szCs w:val="23"/>
        </w:rPr>
        <w:instrText xml:space="preserve">数</w:instrText>
      </w:r>
      <w:r>
        <w:instrText xml:space="preserve">)</w:instrText>
      </w:r>
      <w:r>
        <w:fldChar w:fldCharType="end"/>
      </w:r>
      <w:r>
        <w:rPr>
          <w:rFonts w:ascii="宋体" w:hAnsi="宋体" w:eastAsia="宋体" w:cs="宋体"/>
          <w:strike/>
          <w:spacing w:val="2"/>
          <w:position w:val="-2"/>
          <w:sz w:val="23"/>
          <w:szCs w:val="23"/>
        </w:rPr>
        <w:t xml:space="preserve"> </w:t>
      </w:r>
      <w:r>
        <w:rPr>
          <w:rFonts w:ascii="宋体" w:hAnsi="宋体" w:eastAsia="宋体" w:cs="宋体"/>
          <w:spacing w:val="2"/>
          <w:position w:val="-2"/>
          <w:sz w:val="23"/>
          <w:szCs w:val="23"/>
        </w:rPr>
        <w:t xml:space="preserve"> </w:t>
      </w:r>
      <w:r>
        <w:rPr>
          <w:rFonts w:ascii="Times New Roman" w:hAnsi="Times New Roman" w:eastAsia="Times New Roman" w:cs="Times New Roman"/>
          <w:spacing w:val="2"/>
          <w:position w:val="15"/>
          <w:sz w:val="23"/>
          <w:szCs w:val="23"/>
        </w:rPr>
        <w:t>× 100</w:t>
      </w:r>
      <w:r>
        <w:rPr>
          <w:rFonts w:ascii="Times New Roman" w:hAnsi="Times New Roman" w:eastAsia="Times New Roman" w:cs="Times New Roman"/>
          <w:spacing w:val="1"/>
          <w:position w:val="15"/>
          <w:sz w:val="23"/>
          <w:szCs w:val="23"/>
        </w:rPr>
        <w:t>%</w:t>
      </w:r>
    </w:p>
    <w:p w14:paraId="12FAB8D5">
      <w:pPr>
        <w:spacing w:before="151" w:line="264" w:lineRule="auto"/>
        <w:ind w:left="2036"/>
        <w:rPr>
          <w:rFonts w:ascii="Times New Roman" w:hAnsi="Times New Roman" w:eastAsia="Times New Roman" w:cs="Times New Roman"/>
          <w:sz w:val="23"/>
          <w:szCs w:val="23"/>
        </w:rPr>
      </w:pPr>
      <w:r>
        <w:pict>
          <v:shape id="_x0000_s1217" o:spid="_x0000_s1217" o:spt="202" type="#_x0000_t202" style="position:absolute;left:0pt;margin-left:158pt;margin-top:23.2pt;height:16.1pt;width:84.9pt;z-index:251868160;mso-width-relative:page;mso-height-relative:page;" filled="f" stroked="f" coordsize="21600,21600">
            <v:path/>
            <v:fill on="f" focussize="0,0"/>
            <v:stroke on="f"/>
            <v:imagedata o:title=""/>
            <o:lock v:ext="edit" aspectratio="f"/>
            <v:textbox inset="0mm,0mm,0mm,0mm">
              <w:txbxContent>
                <w:p w14:paraId="5481EFD4">
                  <w:pPr>
                    <w:spacing w:before="19" w:line="226" w:lineRule="auto"/>
                    <w:ind w:left="20"/>
                    <w:rPr>
                      <w:rFonts w:ascii="宋体" w:hAnsi="宋体" w:eastAsia="宋体" w:cs="宋体"/>
                      <w:sz w:val="23"/>
                      <w:szCs w:val="23"/>
                    </w:rPr>
                  </w:pPr>
                  <w:r>
                    <w:rPr>
                      <w:rFonts w:ascii="宋体" w:hAnsi="宋体" w:eastAsia="宋体" w:cs="宋体"/>
                      <w:spacing w:val="11"/>
                      <w:sz w:val="23"/>
                      <w:szCs w:val="23"/>
                    </w:rPr>
                    <w:t>某</w:t>
                  </w:r>
                  <w:r>
                    <w:rPr>
                      <w:rFonts w:ascii="宋体" w:hAnsi="宋体" w:eastAsia="宋体" w:cs="宋体"/>
                      <w:spacing w:val="6"/>
                      <w:sz w:val="23"/>
                      <w:szCs w:val="23"/>
                    </w:rPr>
                    <w:t>污染物标准值</w:t>
                  </w:r>
                </w:p>
              </w:txbxContent>
            </v:textbox>
          </v:shape>
        </w:pict>
      </w:r>
      <w:r>
        <w:rPr>
          <w:rFonts w:ascii="宋体" w:hAnsi="宋体" w:eastAsia="宋体" w:cs="宋体"/>
          <w:spacing w:val="9"/>
          <w:position w:val="-7"/>
          <w:sz w:val="23"/>
          <w:szCs w:val="23"/>
        </w:rPr>
        <w:t>超</w:t>
      </w:r>
      <w:r>
        <w:rPr>
          <w:rFonts w:ascii="宋体" w:hAnsi="宋体" w:eastAsia="宋体" w:cs="宋体"/>
          <w:spacing w:val="7"/>
          <w:position w:val="-7"/>
          <w:sz w:val="23"/>
          <w:szCs w:val="23"/>
        </w:rPr>
        <w:t>标倍数</w:t>
      </w:r>
      <w:r>
        <w:rPr>
          <w:rFonts w:ascii="Times New Roman" w:hAnsi="Times New Roman" w:eastAsia="Times New Roman" w:cs="Times New Roman"/>
          <w:spacing w:val="7"/>
          <w:position w:val="-7"/>
          <w:sz w:val="23"/>
          <w:szCs w:val="23"/>
        </w:rPr>
        <w:t>=</w:t>
      </w:r>
      <w:r>
        <w:rPr>
          <w:rFonts w:ascii="宋体" w:hAnsi="宋体" w:eastAsia="宋体" w:cs="宋体"/>
          <w:spacing w:val="7"/>
          <w:position w:val="7"/>
          <w:sz w:val="23"/>
          <w:szCs w:val="23"/>
          <w:u w:val="single" w:color="auto"/>
        </w:rPr>
        <w:t>某污染物统计值</w:t>
      </w:r>
      <w:r>
        <w:rPr>
          <w:rFonts w:ascii="宋体" w:hAnsi="宋体" w:eastAsia="宋体" w:cs="宋体"/>
          <w:spacing w:val="7"/>
          <w:position w:val="7"/>
          <w:sz w:val="23"/>
          <w:szCs w:val="23"/>
        </w:rPr>
        <w:t xml:space="preserve"> </w:t>
      </w:r>
      <w:r>
        <w:rPr>
          <w:rFonts w:ascii="宋体" w:hAnsi="宋体" w:eastAsia="宋体" w:cs="宋体"/>
          <w:spacing w:val="7"/>
          <w:position w:val="-7"/>
          <w:sz w:val="23"/>
          <w:szCs w:val="23"/>
        </w:rPr>
        <w:t>－</w:t>
      </w:r>
      <w:r>
        <w:rPr>
          <w:rFonts w:ascii="Times New Roman" w:hAnsi="Times New Roman" w:eastAsia="Times New Roman" w:cs="Times New Roman"/>
          <w:spacing w:val="7"/>
          <w:position w:val="-7"/>
          <w:sz w:val="23"/>
          <w:szCs w:val="23"/>
        </w:rPr>
        <w:t>1</w:t>
      </w:r>
    </w:p>
    <w:p w14:paraId="40FE5F9A">
      <w:pPr>
        <w:spacing w:line="268" w:lineRule="auto"/>
        <w:rPr>
          <w:rFonts w:ascii="Arial"/>
          <w:sz w:val="21"/>
        </w:rPr>
      </w:pPr>
    </w:p>
    <w:p w14:paraId="208542A7">
      <w:pPr>
        <w:spacing w:line="269" w:lineRule="auto"/>
        <w:rPr>
          <w:rFonts w:ascii="Arial"/>
          <w:sz w:val="21"/>
        </w:rPr>
      </w:pPr>
    </w:p>
    <w:p w14:paraId="7F120152">
      <w:pPr>
        <w:spacing w:before="74" w:line="226" w:lineRule="auto"/>
        <w:ind w:left="596"/>
        <w:rPr>
          <w:rFonts w:ascii="宋体" w:hAnsi="宋体" w:eastAsia="宋体" w:cs="宋体"/>
          <w:sz w:val="23"/>
          <w:szCs w:val="23"/>
        </w:rPr>
      </w:pPr>
      <w:r>
        <w:rPr>
          <w:rFonts w:ascii="宋体" w:hAnsi="宋体" w:eastAsia="宋体" w:cs="宋体"/>
          <w:spacing w:val="9"/>
          <w:sz w:val="23"/>
          <w:szCs w:val="23"/>
        </w:rPr>
        <w:t>采用单向标准指数法进行评价，其公式为：</w:t>
      </w:r>
    </w:p>
    <w:p w14:paraId="3116CC57">
      <w:pPr>
        <w:spacing w:before="167" w:line="323" w:lineRule="exact"/>
        <w:ind w:left="3915"/>
        <w:rPr>
          <w:rFonts w:ascii="Times New Roman" w:hAnsi="Times New Roman" w:eastAsia="Times New Roman" w:cs="Times New Roman"/>
          <w:sz w:val="15"/>
          <w:szCs w:val="15"/>
        </w:rPr>
      </w:pPr>
      <w:r>
        <w:rPr>
          <w:rFonts w:ascii="Times New Roman" w:hAnsi="Times New Roman" w:eastAsia="Times New Roman" w:cs="Times New Roman"/>
          <w:position w:val="2"/>
          <w:sz w:val="23"/>
          <w:szCs w:val="23"/>
        </w:rPr>
        <w:t>I</w:t>
      </w:r>
      <w:r>
        <w:rPr>
          <w:rFonts w:ascii="Times New Roman" w:hAnsi="Times New Roman" w:eastAsia="Times New Roman" w:cs="Times New Roman"/>
          <w:position w:val="1"/>
          <w:sz w:val="15"/>
          <w:szCs w:val="15"/>
        </w:rPr>
        <w:t>i</w:t>
      </w:r>
      <w:r>
        <w:rPr>
          <w:rFonts w:ascii="Times New Roman" w:hAnsi="Times New Roman" w:eastAsia="Times New Roman" w:cs="Times New Roman"/>
          <w:spacing w:val="12"/>
          <w:position w:val="2"/>
          <w:sz w:val="23"/>
          <w:szCs w:val="23"/>
        </w:rPr>
        <w:t>=</w:t>
      </w:r>
      <w:r>
        <w:rPr>
          <w:rFonts w:ascii="Times New Roman" w:hAnsi="Times New Roman" w:eastAsia="Times New Roman" w:cs="Times New Roman"/>
          <w:position w:val="2"/>
          <w:sz w:val="23"/>
          <w:szCs w:val="23"/>
        </w:rPr>
        <w:t>C</w:t>
      </w:r>
      <w:r>
        <w:rPr>
          <w:rFonts w:ascii="Times New Roman" w:hAnsi="Times New Roman" w:eastAsia="Times New Roman" w:cs="Times New Roman"/>
          <w:position w:val="1"/>
          <w:sz w:val="15"/>
          <w:szCs w:val="15"/>
        </w:rPr>
        <w:t>i</w:t>
      </w:r>
      <w:r>
        <w:rPr>
          <w:rFonts w:ascii="Times New Roman" w:hAnsi="Times New Roman" w:eastAsia="Times New Roman" w:cs="Times New Roman"/>
          <w:spacing w:val="11"/>
          <w:position w:val="2"/>
          <w:sz w:val="23"/>
          <w:szCs w:val="23"/>
        </w:rPr>
        <w:t>/</w:t>
      </w:r>
      <w:r>
        <w:rPr>
          <w:rFonts w:ascii="Times New Roman" w:hAnsi="Times New Roman" w:eastAsia="Times New Roman" w:cs="Times New Roman"/>
          <w:position w:val="2"/>
          <w:sz w:val="23"/>
          <w:szCs w:val="23"/>
        </w:rPr>
        <w:t>S</w:t>
      </w:r>
      <w:r>
        <w:rPr>
          <w:rFonts w:ascii="Times New Roman" w:hAnsi="Times New Roman" w:eastAsia="Times New Roman" w:cs="Times New Roman"/>
          <w:position w:val="1"/>
          <w:sz w:val="15"/>
          <w:szCs w:val="15"/>
        </w:rPr>
        <w:t>i</w:t>
      </w:r>
    </w:p>
    <w:p w14:paraId="56DBC793">
      <w:pPr>
        <w:spacing w:before="289" w:line="323" w:lineRule="exact"/>
        <w:ind w:left="602"/>
        <w:rPr>
          <w:rFonts w:ascii="宋体" w:hAnsi="宋体" w:eastAsia="宋体" w:cs="宋体"/>
          <w:sz w:val="23"/>
          <w:szCs w:val="23"/>
        </w:rPr>
      </w:pPr>
      <w:r>
        <w:rPr>
          <w:rFonts w:ascii="宋体" w:hAnsi="宋体" w:eastAsia="宋体" w:cs="宋体"/>
          <w:spacing w:val="24"/>
          <w:position w:val="1"/>
          <w:sz w:val="23"/>
          <w:szCs w:val="23"/>
        </w:rPr>
        <w:t>式</w:t>
      </w:r>
      <w:r>
        <w:rPr>
          <w:rFonts w:ascii="宋体" w:hAnsi="宋体" w:eastAsia="宋体" w:cs="宋体"/>
          <w:spacing w:val="12"/>
          <w:position w:val="1"/>
          <w:sz w:val="23"/>
          <w:szCs w:val="23"/>
        </w:rPr>
        <w:t>中：</w:t>
      </w:r>
      <w:r>
        <w:rPr>
          <w:rFonts w:ascii="Times New Roman" w:hAnsi="Times New Roman" w:eastAsia="Times New Roman" w:cs="Times New Roman"/>
          <w:position w:val="1"/>
          <w:sz w:val="23"/>
          <w:szCs w:val="23"/>
        </w:rPr>
        <w:t>I</w:t>
      </w:r>
      <w:r>
        <w:rPr>
          <w:rFonts w:ascii="Times New Roman" w:hAnsi="Times New Roman" w:eastAsia="Times New Roman" w:cs="Times New Roman"/>
          <w:sz w:val="15"/>
          <w:szCs w:val="15"/>
        </w:rPr>
        <w:t>i</w:t>
      </w:r>
      <w:r>
        <w:rPr>
          <w:rFonts w:ascii="Times New Roman" w:hAnsi="Times New Roman" w:eastAsia="Times New Roman" w:cs="Times New Roman"/>
          <w:spacing w:val="12"/>
          <w:sz w:val="15"/>
          <w:szCs w:val="15"/>
        </w:rPr>
        <w:t xml:space="preserve"> </w:t>
      </w:r>
      <w:r>
        <w:rPr>
          <w:rFonts w:ascii="Times New Roman" w:hAnsi="Times New Roman" w:eastAsia="Times New Roman" w:cs="Times New Roman"/>
          <w:spacing w:val="12"/>
          <w:position w:val="1"/>
          <w:sz w:val="23"/>
          <w:szCs w:val="23"/>
        </w:rPr>
        <w:t>——</w:t>
      </w:r>
      <w:r>
        <w:rPr>
          <w:rFonts w:ascii="宋体" w:hAnsi="宋体" w:eastAsia="宋体" w:cs="宋体"/>
          <w:spacing w:val="12"/>
          <w:position w:val="1"/>
          <w:sz w:val="23"/>
          <w:szCs w:val="23"/>
        </w:rPr>
        <w:t>污染物</w:t>
      </w:r>
      <w:r>
        <w:rPr>
          <w:rFonts w:ascii="Times New Roman" w:hAnsi="Times New Roman" w:eastAsia="Times New Roman" w:cs="Times New Roman"/>
          <w:position w:val="1"/>
          <w:sz w:val="23"/>
          <w:szCs w:val="23"/>
        </w:rPr>
        <w:t>i</w:t>
      </w:r>
      <w:r>
        <w:rPr>
          <w:rFonts w:ascii="Times New Roman" w:hAnsi="Times New Roman" w:eastAsia="Times New Roman" w:cs="Times New Roman"/>
          <w:spacing w:val="12"/>
          <w:position w:val="1"/>
          <w:sz w:val="23"/>
          <w:szCs w:val="23"/>
        </w:rPr>
        <w:t xml:space="preserve"> </w:t>
      </w:r>
      <w:r>
        <w:rPr>
          <w:rFonts w:ascii="宋体" w:hAnsi="宋体" w:eastAsia="宋体" w:cs="宋体"/>
          <w:spacing w:val="12"/>
          <w:position w:val="1"/>
          <w:sz w:val="23"/>
          <w:szCs w:val="23"/>
        </w:rPr>
        <w:t>的单项质量指数；</w:t>
      </w:r>
    </w:p>
    <w:p w14:paraId="2BDC8CD2">
      <w:pPr>
        <w:spacing w:before="157" w:line="480" w:lineRule="exact"/>
        <w:ind w:left="1316"/>
        <w:rPr>
          <w:rFonts w:ascii="宋体" w:hAnsi="宋体" w:eastAsia="宋体" w:cs="宋体"/>
          <w:sz w:val="23"/>
          <w:szCs w:val="23"/>
        </w:rPr>
      </w:pPr>
      <w:r>
        <w:rPr>
          <w:rFonts w:ascii="Times New Roman" w:hAnsi="Times New Roman" w:eastAsia="Times New Roman" w:cs="Times New Roman"/>
          <w:position w:val="15"/>
          <w:sz w:val="23"/>
          <w:szCs w:val="23"/>
        </w:rPr>
        <w:t>C</w:t>
      </w:r>
      <w:r>
        <w:rPr>
          <w:rFonts w:ascii="Times New Roman" w:hAnsi="Times New Roman" w:eastAsia="Times New Roman" w:cs="Times New Roman"/>
          <w:position w:val="14"/>
          <w:sz w:val="15"/>
          <w:szCs w:val="15"/>
        </w:rPr>
        <w:t>i</w:t>
      </w:r>
      <w:r>
        <w:rPr>
          <w:rFonts w:ascii="Times New Roman" w:hAnsi="Times New Roman" w:eastAsia="Times New Roman" w:cs="Times New Roman"/>
          <w:spacing w:val="10"/>
          <w:position w:val="14"/>
          <w:sz w:val="15"/>
          <w:szCs w:val="15"/>
        </w:rPr>
        <w:t xml:space="preserve"> </w:t>
      </w:r>
      <w:r>
        <w:rPr>
          <w:rFonts w:ascii="Times New Roman" w:hAnsi="Times New Roman" w:eastAsia="Times New Roman" w:cs="Times New Roman"/>
          <w:spacing w:val="10"/>
          <w:position w:val="15"/>
          <w:sz w:val="23"/>
          <w:szCs w:val="23"/>
        </w:rPr>
        <w:t>——</w:t>
      </w:r>
      <w:r>
        <w:rPr>
          <w:rFonts w:ascii="宋体" w:hAnsi="宋体" w:eastAsia="宋体" w:cs="宋体"/>
          <w:spacing w:val="10"/>
          <w:position w:val="15"/>
          <w:sz w:val="23"/>
          <w:szCs w:val="23"/>
        </w:rPr>
        <w:t>污染物</w:t>
      </w:r>
      <w:r>
        <w:rPr>
          <w:rFonts w:ascii="Times New Roman" w:hAnsi="Times New Roman" w:eastAsia="Times New Roman" w:cs="Times New Roman"/>
          <w:position w:val="15"/>
          <w:sz w:val="23"/>
          <w:szCs w:val="23"/>
        </w:rPr>
        <w:t>i</w:t>
      </w:r>
      <w:r>
        <w:rPr>
          <w:rFonts w:ascii="Times New Roman" w:hAnsi="Times New Roman" w:eastAsia="Times New Roman" w:cs="Times New Roman"/>
          <w:spacing w:val="10"/>
          <w:position w:val="15"/>
          <w:sz w:val="23"/>
          <w:szCs w:val="23"/>
        </w:rPr>
        <w:t xml:space="preserve"> </w:t>
      </w:r>
      <w:r>
        <w:rPr>
          <w:rFonts w:ascii="宋体" w:hAnsi="宋体" w:eastAsia="宋体" w:cs="宋体"/>
          <w:spacing w:val="10"/>
          <w:position w:val="15"/>
          <w:sz w:val="23"/>
          <w:szCs w:val="23"/>
        </w:rPr>
        <w:t>的实测浓度平均值 (</w:t>
      </w:r>
      <w:r>
        <w:rPr>
          <w:rFonts w:ascii="Times New Roman" w:hAnsi="Times New Roman" w:eastAsia="Times New Roman" w:cs="Times New Roman"/>
          <w:position w:val="15"/>
          <w:sz w:val="23"/>
          <w:szCs w:val="23"/>
        </w:rPr>
        <w:t>mg</w:t>
      </w:r>
      <w:r>
        <w:rPr>
          <w:rFonts w:ascii="Times New Roman" w:hAnsi="Times New Roman" w:eastAsia="Times New Roman" w:cs="Times New Roman"/>
          <w:spacing w:val="10"/>
          <w:position w:val="15"/>
          <w:sz w:val="23"/>
          <w:szCs w:val="23"/>
        </w:rPr>
        <w:t>/</w:t>
      </w:r>
      <w:r>
        <w:rPr>
          <w:rFonts w:ascii="Times New Roman" w:hAnsi="Times New Roman" w:eastAsia="Times New Roman" w:cs="Times New Roman"/>
          <w:position w:val="15"/>
          <w:sz w:val="23"/>
          <w:szCs w:val="23"/>
        </w:rPr>
        <w:t>m</w:t>
      </w:r>
      <w:r>
        <w:rPr>
          <w:rFonts w:ascii="Times New Roman" w:hAnsi="Times New Roman" w:eastAsia="Times New Roman" w:cs="Times New Roman"/>
          <w:spacing w:val="10"/>
          <w:position w:val="23"/>
          <w:sz w:val="15"/>
          <w:szCs w:val="15"/>
        </w:rPr>
        <w:t xml:space="preserve">3 </w:t>
      </w:r>
      <w:r>
        <w:rPr>
          <w:rFonts w:ascii="宋体" w:hAnsi="宋体" w:eastAsia="宋体" w:cs="宋体"/>
          <w:spacing w:val="10"/>
          <w:position w:val="15"/>
          <w:sz w:val="23"/>
          <w:szCs w:val="23"/>
        </w:rPr>
        <w:t xml:space="preserve">) </w:t>
      </w:r>
      <w:r>
        <w:rPr>
          <w:rFonts w:ascii="宋体" w:hAnsi="宋体" w:eastAsia="宋体" w:cs="宋体"/>
          <w:spacing w:val="6"/>
          <w:position w:val="15"/>
          <w:sz w:val="23"/>
          <w:szCs w:val="23"/>
        </w:rPr>
        <w:t>；</w:t>
      </w:r>
    </w:p>
    <w:p w14:paraId="7FA390FE">
      <w:pPr>
        <w:spacing w:line="323" w:lineRule="exact"/>
        <w:ind w:left="1323"/>
        <w:rPr>
          <w:rFonts w:ascii="宋体" w:hAnsi="宋体" w:eastAsia="宋体" w:cs="宋体"/>
          <w:sz w:val="23"/>
          <w:szCs w:val="23"/>
        </w:rPr>
      </w:pPr>
      <w:r>
        <w:rPr>
          <w:rFonts w:ascii="Times New Roman" w:hAnsi="Times New Roman" w:eastAsia="Times New Roman" w:cs="Times New Roman"/>
          <w:position w:val="3"/>
          <w:sz w:val="23"/>
          <w:szCs w:val="23"/>
        </w:rPr>
        <w:t>S</w:t>
      </w:r>
      <w:r>
        <w:rPr>
          <w:rFonts w:ascii="Times New Roman" w:hAnsi="Times New Roman" w:eastAsia="Times New Roman" w:cs="Times New Roman"/>
          <w:position w:val="2"/>
          <w:sz w:val="15"/>
          <w:szCs w:val="15"/>
        </w:rPr>
        <w:t>i</w:t>
      </w:r>
      <w:r>
        <w:rPr>
          <w:rFonts w:ascii="Times New Roman" w:hAnsi="Times New Roman" w:eastAsia="Times New Roman" w:cs="Times New Roman"/>
          <w:spacing w:val="18"/>
          <w:position w:val="2"/>
          <w:sz w:val="15"/>
          <w:szCs w:val="15"/>
        </w:rPr>
        <w:t xml:space="preserve"> </w:t>
      </w:r>
      <w:r>
        <w:rPr>
          <w:rFonts w:ascii="Times New Roman" w:hAnsi="Times New Roman" w:eastAsia="Times New Roman" w:cs="Times New Roman"/>
          <w:spacing w:val="13"/>
          <w:position w:val="3"/>
          <w:sz w:val="23"/>
          <w:szCs w:val="23"/>
        </w:rPr>
        <w:t>—</w:t>
      </w:r>
      <w:r>
        <w:rPr>
          <w:rFonts w:ascii="Times New Roman" w:hAnsi="Times New Roman" w:eastAsia="Times New Roman" w:cs="Times New Roman"/>
          <w:spacing w:val="9"/>
          <w:position w:val="3"/>
          <w:sz w:val="23"/>
          <w:szCs w:val="23"/>
        </w:rPr>
        <w:t>—</w:t>
      </w:r>
      <w:r>
        <w:rPr>
          <w:rFonts w:ascii="宋体" w:hAnsi="宋体" w:eastAsia="宋体" w:cs="宋体"/>
          <w:spacing w:val="9"/>
          <w:position w:val="3"/>
          <w:sz w:val="23"/>
          <w:szCs w:val="23"/>
        </w:rPr>
        <w:t>污染物</w:t>
      </w:r>
      <w:r>
        <w:rPr>
          <w:rFonts w:ascii="Times New Roman" w:hAnsi="Times New Roman" w:eastAsia="Times New Roman" w:cs="Times New Roman"/>
          <w:position w:val="3"/>
          <w:sz w:val="23"/>
          <w:szCs w:val="23"/>
        </w:rPr>
        <w:t>i</w:t>
      </w:r>
      <w:r>
        <w:rPr>
          <w:rFonts w:ascii="Times New Roman" w:hAnsi="Times New Roman" w:eastAsia="Times New Roman" w:cs="Times New Roman"/>
          <w:spacing w:val="9"/>
          <w:position w:val="3"/>
          <w:sz w:val="23"/>
          <w:szCs w:val="23"/>
        </w:rPr>
        <w:t xml:space="preserve"> </w:t>
      </w:r>
      <w:r>
        <w:rPr>
          <w:rFonts w:ascii="宋体" w:hAnsi="宋体" w:eastAsia="宋体" w:cs="宋体"/>
          <w:spacing w:val="9"/>
          <w:position w:val="3"/>
          <w:sz w:val="23"/>
          <w:szCs w:val="23"/>
        </w:rPr>
        <w:t>的环境空气质量标准 (</w:t>
      </w:r>
      <w:r>
        <w:rPr>
          <w:rFonts w:ascii="Times New Roman" w:hAnsi="Times New Roman" w:eastAsia="Times New Roman" w:cs="Times New Roman"/>
          <w:position w:val="3"/>
          <w:sz w:val="23"/>
          <w:szCs w:val="23"/>
        </w:rPr>
        <w:t>mg</w:t>
      </w:r>
      <w:r>
        <w:rPr>
          <w:rFonts w:ascii="Times New Roman" w:hAnsi="Times New Roman" w:eastAsia="Times New Roman" w:cs="Times New Roman"/>
          <w:spacing w:val="9"/>
          <w:position w:val="3"/>
          <w:sz w:val="23"/>
          <w:szCs w:val="23"/>
        </w:rPr>
        <w:t>/</w:t>
      </w:r>
      <w:r>
        <w:rPr>
          <w:rFonts w:ascii="Times New Roman" w:hAnsi="Times New Roman" w:eastAsia="Times New Roman" w:cs="Times New Roman"/>
          <w:position w:val="3"/>
          <w:sz w:val="23"/>
          <w:szCs w:val="23"/>
        </w:rPr>
        <w:t>m</w:t>
      </w:r>
      <w:r>
        <w:rPr>
          <w:rFonts w:ascii="Times New Roman" w:hAnsi="Times New Roman" w:eastAsia="Times New Roman" w:cs="Times New Roman"/>
          <w:spacing w:val="9"/>
          <w:position w:val="11"/>
          <w:sz w:val="15"/>
          <w:szCs w:val="15"/>
        </w:rPr>
        <w:t xml:space="preserve">3 </w:t>
      </w:r>
      <w:r>
        <w:rPr>
          <w:rFonts w:ascii="宋体" w:hAnsi="宋体" w:eastAsia="宋体" w:cs="宋体"/>
          <w:spacing w:val="9"/>
          <w:position w:val="3"/>
          <w:sz w:val="23"/>
          <w:szCs w:val="23"/>
        </w:rPr>
        <w:t>) 。</w:t>
      </w:r>
    </w:p>
    <w:p w14:paraId="610B2FA6">
      <w:pPr>
        <w:spacing w:line="279" w:lineRule="auto"/>
        <w:rPr>
          <w:rFonts w:ascii="Arial"/>
          <w:sz w:val="21"/>
        </w:rPr>
      </w:pPr>
    </w:p>
    <w:p w14:paraId="6AC01854">
      <w:pPr>
        <w:spacing w:before="75" w:line="226" w:lineRule="auto"/>
        <w:ind w:left="608"/>
        <w:rPr>
          <w:rFonts w:ascii="宋体" w:hAnsi="宋体" w:eastAsia="宋体" w:cs="宋体"/>
          <w:sz w:val="23"/>
          <w:szCs w:val="23"/>
        </w:rPr>
      </w:pPr>
      <w:r>
        <w:rPr>
          <w:rFonts w:ascii="宋体" w:hAnsi="宋体" w:eastAsia="宋体" w:cs="宋体"/>
          <w:spacing w:val="20"/>
          <w:sz w:val="23"/>
          <w:szCs w:val="23"/>
        </w:rPr>
        <w:t>(</w:t>
      </w:r>
      <w:r>
        <w:rPr>
          <w:rFonts w:ascii="Times New Roman" w:hAnsi="Times New Roman" w:eastAsia="Times New Roman" w:cs="Times New Roman"/>
          <w:spacing w:val="20"/>
          <w:sz w:val="23"/>
          <w:szCs w:val="23"/>
        </w:rPr>
        <w:t>3</w:t>
      </w:r>
      <w:r>
        <w:rPr>
          <w:rFonts w:ascii="宋体" w:hAnsi="宋体" w:eastAsia="宋体" w:cs="宋体"/>
          <w:spacing w:val="20"/>
          <w:sz w:val="23"/>
          <w:szCs w:val="23"/>
        </w:rPr>
        <w:t>) 评价结</w:t>
      </w:r>
      <w:r>
        <w:rPr>
          <w:rFonts w:ascii="宋体" w:hAnsi="宋体" w:eastAsia="宋体" w:cs="宋体"/>
          <w:spacing w:val="19"/>
          <w:sz w:val="23"/>
          <w:szCs w:val="23"/>
        </w:rPr>
        <w:t>果</w:t>
      </w:r>
    </w:p>
    <w:p w14:paraId="2A6D045C">
      <w:pPr>
        <w:spacing w:line="279" w:lineRule="auto"/>
        <w:rPr>
          <w:rFonts w:ascii="Arial"/>
          <w:sz w:val="21"/>
        </w:rPr>
      </w:pPr>
    </w:p>
    <w:p w14:paraId="66E32405">
      <w:pPr>
        <w:spacing w:before="76" w:line="390" w:lineRule="auto"/>
        <w:ind w:left="121" w:right="107" w:firstLine="475"/>
        <w:rPr>
          <w:rFonts w:ascii="宋体" w:hAnsi="宋体" w:eastAsia="宋体" w:cs="宋体"/>
          <w:sz w:val="23"/>
          <w:szCs w:val="23"/>
        </w:rPr>
      </w:pPr>
      <w:r>
        <w:rPr>
          <w:rFonts w:ascii="宋体" w:hAnsi="宋体" w:eastAsia="宋体" w:cs="宋体"/>
          <w:spacing w:val="7"/>
          <w:sz w:val="23"/>
          <w:szCs w:val="23"/>
        </w:rPr>
        <w:t>对照评价标准，对现状监测结果进行计算、统计、整理及分析，统计各类</w:t>
      </w:r>
      <w:r>
        <w:rPr>
          <w:rFonts w:ascii="宋体" w:hAnsi="宋体" w:eastAsia="宋体" w:cs="宋体"/>
          <w:spacing w:val="3"/>
          <w:sz w:val="23"/>
          <w:szCs w:val="23"/>
        </w:rPr>
        <w:t>污</w:t>
      </w:r>
      <w:r>
        <w:rPr>
          <w:rFonts w:ascii="宋体" w:hAnsi="宋体" w:eastAsia="宋体" w:cs="宋体"/>
          <w:sz w:val="23"/>
          <w:szCs w:val="23"/>
        </w:rPr>
        <w:t xml:space="preserve"> </w:t>
      </w:r>
      <w:r>
        <w:rPr>
          <w:rFonts w:ascii="宋体" w:hAnsi="宋体" w:eastAsia="宋体" w:cs="宋体"/>
          <w:spacing w:val="7"/>
          <w:sz w:val="23"/>
          <w:szCs w:val="23"/>
        </w:rPr>
        <w:t>染物日平均浓度单因子指数、超标率和超标倍数。项目环境空气质量现状评价</w:t>
      </w:r>
      <w:r>
        <w:rPr>
          <w:rFonts w:ascii="宋体" w:hAnsi="宋体" w:eastAsia="宋体" w:cs="宋体"/>
          <w:spacing w:val="5"/>
          <w:sz w:val="23"/>
          <w:szCs w:val="23"/>
        </w:rPr>
        <w:t>结</w:t>
      </w:r>
      <w:r>
        <w:rPr>
          <w:rFonts w:ascii="宋体" w:hAnsi="宋体" w:eastAsia="宋体" w:cs="宋体"/>
          <w:sz w:val="23"/>
          <w:szCs w:val="23"/>
        </w:rPr>
        <w:t xml:space="preserve"> </w:t>
      </w:r>
      <w:r>
        <w:rPr>
          <w:rFonts w:ascii="宋体" w:hAnsi="宋体" w:eastAsia="宋体" w:cs="宋体"/>
          <w:spacing w:val="-5"/>
          <w:sz w:val="23"/>
          <w:szCs w:val="23"/>
        </w:rPr>
        <w:t>果</w:t>
      </w:r>
      <w:r>
        <w:rPr>
          <w:rFonts w:ascii="宋体" w:hAnsi="宋体" w:eastAsia="宋体" w:cs="宋体"/>
          <w:spacing w:val="-3"/>
          <w:sz w:val="23"/>
          <w:szCs w:val="23"/>
        </w:rPr>
        <w:t xml:space="preserve">见表 </w:t>
      </w:r>
      <w:r>
        <w:rPr>
          <w:rFonts w:ascii="Times New Roman" w:hAnsi="Times New Roman" w:eastAsia="Times New Roman" w:cs="Times New Roman"/>
          <w:spacing w:val="-3"/>
          <w:sz w:val="23"/>
          <w:szCs w:val="23"/>
        </w:rPr>
        <w:t>4-8</w:t>
      </w:r>
      <w:r>
        <w:rPr>
          <w:rFonts w:ascii="宋体" w:hAnsi="宋体" w:eastAsia="宋体" w:cs="宋体"/>
          <w:spacing w:val="-3"/>
          <w:sz w:val="23"/>
          <w:szCs w:val="23"/>
        </w:rPr>
        <w:t>。</w:t>
      </w:r>
    </w:p>
    <w:p w14:paraId="389A4910">
      <w:pPr>
        <w:spacing w:before="137" w:line="227" w:lineRule="auto"/>
        <w:ind w:left="1498"/>
        <w:rPr>
          <w:rFonts w:ascii="宋体" w:hAnsi="宋体" w:eastAsia="宋体" w:cs="宋体"/>
          <w:sz w:val="23"/>
          <w:szCs w:val="23"/>
        </w:rPr>
      </w:pPr>
      <w:r>
        <w:rPr>
          <w:rFonts w:ascii="宋体" w:hAnsi="宋体" w:eastAsia="宋体" w:cs="宋体"/>
          <w:spacing w:val="9"/>
          <w:sz w:val="23"/>
          <w:szCs w:val="23"/>
          <w14:textOutline w14:w="4358" w14:cap="sq" w14:cmpd="sng">
            <w14:solidFill>
              <w14:srgbClr w14:val="000000"/>
            </w14:solidFill>
            <w14:prstDash w14:val="solid"/>
            <w14:bevel/>
          </w14:textOutline>
        </w:rPr>
        <w:t>表</w:t>
      </w:r>
      <w:r>
        <w:rPr>
          <w:rFonts w:ascii="宋体" w:hAnsi="宋体" w:eastAsia="宋体" w:cs="宋体"/>
          <w:spacing w:val="6"/>
          <w:sz w:val="23"/>
          <w:szCs w:val="23"/>
        </w:rPr>
        <w:t xml:space="preserve"> </w:t>
      </w:r>
      <w:r>
        <w:rPr>
          <w:rFonts w:ascii="Times New Roman" w:hAnsi="Times New Roman" w:eastAsia="Times New Roman" w:cs="Times New Roman"/>
          <w:b/>
          <w:bCs/>
          <w:spacing w:val="6"/>
          <w:sz w:val="23"/>
          <w:szCs w:val="23"/>
        </w:rPr>
        <w:t>4-8</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14:textOutline w14:w="4358" w14:cap="sq" w14:cmpd="sng">
            <w14:solidFill>
              <w14:srgbClr w14:val="000000"/>
            </w14:solidFill>
            <w14:prstDash w14:val="solid"/>
            <w14:bevel/>
          </w14:textOutline>
        </w:rPr>
        <w:t>非甲烷总烃环境空气日均值监测结果统计表</w:t>
      </w:r>
    </w:p>
    <w:p w14:paraId="47835FCF">
      <w:pPr>
        <w:spacing w:line="18" w:lineRule="exact"/>
      </w:pPr>
    </w:p>
    <w:tbl>
      <w:tblPr>
        <w:tblStyle w:val="4"/>
        <w:tblW w:w="852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6"/>
        <w:gridCol w:w="1617"/>
        <w:gridCol w:w="1558"/>
        <w:gridCol w:w="1274"/>
        <w:gridCol w:w="1324"/>
        <w:gridCol w:w="1562"/>
      </w:tblGrid>
      <w:tr w14:paraId="56E023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186" w:type="dxa"/>
            <w:tcBorders>
              <w:left w:val="nil"/>
            </w:tcBorders>
            <w:vAlign w:val="top"/>
          </w:tcPr>
          <w:p w14:paraId="4E070079">
            <w:pPr>
              <w:spacing w:before="75" w:line="229" w:lineRule="auto"/>
              <w:ind w:left="181"/>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监</w:t>
            </w:r>
            <w:r>
              <w:rPr>
                <w:rFonts w:ascii="宋体" w:hAnsi="宋体" w:eastAsia="宋体" w:cs="宋体"/>
                <w:spacing w:val="8"/>
                <w:sz w:val="20"/>
                <w:szCs w:val="20"/>
                <w14:textOutline w14:w="3795" w14:cap="sq" w14:cmpd="sng">
                  <w14:solidFill>
                    <w14:srgbClr w14:val="000000"/>
                  </w14:solidFill>
                  <w14:prstDash w14:val="solid"/>
                  <w14:bevel/>
                </w14:textOutline>
              </w:rPr>
              <w:t>测点位</w:t>
            </w:r>
          </w:p>
        </w:tc>
        <w:tc>
          <w:tcPr>
            <w:tcW w:w="1617" w:type="dxa"/>
            <w:vAlign w:val="top"/>
          </w:tcPr>
          <w:p w14:paraId="6E8876AF">
            <w:pPr>
              <w:spacing w:before="75" w:line="228" w:lineRule="auto"/>
              <w:ind w:left="505"/>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小时</w:t>
            </w:r>
            <w:r>
              <w:rPr>
                <w:rFonts w:ascii="宋体" w:hAnsi="宋体" w:eastAsia="宋体" w:cs="宋体"/>
                <w:spacing w:val="5"/>
                <w:sz w:val="20"/>
                <w:szCs w:val="20"/>
                <w14:textOutline w14:w="3795" w14:cap="sq" w14:cmpd="sng">
                  <w14:solidFill>
                    <w14:srgbClr w14:val="000000"/>
                  </w14:solidFill>
                  <w14:prstDash w14:val="solid"/>
                  <w14:bevel/>
                </w14:textOutline>
              </w:rPr>
              <w:t>值</w:t>
            </w:r>
          </w:p>
        </w:tc>
        <w:tc>
          <w:tcPr>
            <w:tcW w:w="1558" w:type="dxa"/>
            <w:vAlign w:val="top"/>
          </w:tcPr>
          <w:p w14:paraId="206A9A88">
            <w:pPr>
              <w:spacing w:before="75" w:line="228" w:lineRule="auto"/>
              <w:ind w:left="155"/>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标准指数范</w:t>
            </w:r>
            <w:r>
              <w:rPr>
                <w:rFonts w:ascii="宋体" w:hAnsi="宋体" w:eastAsia="宋体" w:cs="宋体"/>
                <w:spacing w:val="8"/>
                <w:sz w:val="20"/>
                <w:szCs w:val="20"/>
                <w14:textOutline w14:w="3795" w14:cap="sq" w14:cmpd="sng">
                  <w14:solidFill>
                    <w14:srgbClr w14:val="000000"/>
                  </w14:solidFill>
                  <w14:prstDash w14:val="solid"/>
                  <w14:bevel/>
                </w14:textOutline>
              </w:rPr>
              <w:t>围</w:t>
            </w:r>
          </w:p>
        </w:tc>
        <w:tc>
          <w:tcPr>
            <w:tcW w:w="1274" w:type="dxa"/>
            <w:vAlign w:val="top"/>
          </w:tcPr>
          <w:p w14:paraId="0131EF59">
            <w:pPr>
              <w:spacing w:before="34" w:line="289" w:lineRule="exact"/>
              <w:ind w:left="115"/>
              <w:rPr>
                <w:rFonts w:ascii="宋体" w:hAnsi="宋体" w:eastAsia="宋体" w:cs="宋体"/>
                <w:sz w:val="20"/>
                <w:szCs w:val="20"/>
              </w:rPr>
            </w:pPr>
            <w:r>
              <w:rPr>
                <w:rFonts w:ascii="宋体" w:hAnsi="宋体" w:eastAsia="宋体" w:cs="宋体"/>
                <w:spacing w:val="7"/>
                <w:position w:val="1"/>
                <w:sz w:val="20"/>
                <w:szCs w:val="20"/>
                <w14:textOutline w14:w="3795" w14:cap="sq" w14:cmpd="sng">
                  <w14:solidFill>
                    <w14:srgbClr w14:val="000000"/>
                  </w14:solidFill>
                  <w14:prstDash w14:val="solid"/>
                  <w14:bevel/>
                </w14:textOutline>
              </w:rPr>
              <w:t>检出率(</w:t>
            </w:r>
            <w:r>
              <w:rPr>
                <w:rFonts w:ascii="Times New Roman" w:hAnsi="Times New Roman" w:eastAsia="Times New Roman" w:cs="Times New Roman"/>
                <w:b/>
                <w:bCs/>
                <w:spacing w:val="7"/>
                <w:position w:val="1"/>
                <w:sz w:val="20"/>
                <w:szCs w:val="20"/>
              </w:rPr>
              <w:t>%</w:t>
            </w:r>
            <w:r>
              <w:rPr>
                <w:rFonts w:ascii="宋体" w:hAnsi="宋体" w:eastAsia="宋体" w:cs="宋体"/>
                <w:spacing w:val="7"/>
                <w:position w:val="1"/>
                <w:sz w:val="20"/>
                <w:szCs w:val="20"/>
                <w14:textOutline w14:w="3795" w14:cap="sq" w14:cmpd="sng">
                  <w14:solidFill>
                    <w14:srgbClr w14:val="000000"/>
                  </w14:solidFill>
                  <w14:prstDash w14:val="solid"/>
                  <w14:bevel/>
                </w14:textOutline>
              </w:rPr>
              <w:t>)</w:t>
            </w:r>
          </w:p>
        </w:tc>
        <w:tc>
          <w:tcPr>
            <w:tcW w:w="1324" w:type="dxa"/>
            <w:vAlign w:val="top"/>
          </w:tcPr>
          <w:p w14:paraId="00B70E91">
            <w:pPr>
              <w:spacing w:before="34" w:line="289" w:lineRule="exact"/>
              <w:ind w:left="115"/>
              <w:rPr>
                <w:rFonts w:ascii="宋体" w:hAnsi="宋体" w:eastAsia="宋体" w:cs="宋体"/>
                <w:sz w:val="20"/>
                <w:szCs w:val="20"/>
              </w:rPr>
            </w:pPr>
            <w:r>
              <w:rPr>
                <w:rFonts w:ascii="宋体" w:hAnsi="宋体" w:eastAsia="宋体" w:cs="宋体"/>
                <w:spacing w:val="-1"/>
                <w:position w:val="1"/>
                <w:sz w:val="20"/>
                <w:szCs w:val="20"/>
                <w14:textOutline w14:w="3795" w14:cap="sq" w14:cmpd="sng">
                  <w14:solidFill>
                    <w14:srgbClr w14:val="000000"/>
                  </w14:solidFill>
                  <w14:prstDash w14:val="solid"/>
                  <w14:bevel/>
                </w14:textOutline>
              </w:rPr>
              <w:t>超标率</w:t>
            </w:r>
            <w:r>
              <w:rPr>
                <w:rFonts w:ascii="宋体" w:hAnsi="宋体" w:eastAsia="宋体" w:cs="宋体"/>
                <w:spacing w:val="-1"/>
                <w:position w:val="1"/>
                <w:sz w:val="20"/>
                <w:szCs w:val="20"/>
              </w:rPr>
              <w:t xml:space="preserve"> </w:t>
            </w:r>
            <w:r>
              <w:rPr>
                <w:rFonts w:ascii="宋体" w:hAnsi="宋体" w:eastAsia="宋体" w:cs="宋体"/>
                <w:spacing w:val="-1"/>
                <w:position w:val="1"/>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spacing w:val="-1"/>
                <w:position w:val="1"/>
                <w:sz w:val="20"/>
                <w:szCs w:val="20"/>
              </w:rPr>
              <w:t>%</w:t>
            </w:r>
            <w:r>
              <w:rPr>
                <w:rFonts w:ascii="宋体" w:hAnsi="宋体" w:eastAsia="宋体" w:cs="宋体"/>
                <w:spacing w:val="-1"/>
                <w:position w:val="1"/>
                <w:sz w:val="20"/>
                <w:szCs w:val="20"/>
                <w14:textOutline w14:w="3795" w14:cap="sq" w14:cmpd="sng">
                  <w14:solidFill>
                    <w14:srgbClr w14:val="000000"/>
                  </w14:solidFill>
                  <w14:prstDash w14:val="solid"/>
                  <w14:bevel/>
                </w14:textOutline>
              </w:rPr>
              <w:t>)</w:t>
            </w:r>
          </w:p>
        </w:tc>
        <w:tc>
          <w:tcPr>
            <w:tcW w:w="1562" w:type="dxa"/>
            <w:tcBorders>
              <w:right w:val="nil"/>
            </w:tcBorders>
            <w:vAlign w:val="top"/>
          </w:tcPr>
          <w:p w14:paraId="1A7E80A6">
            <w:pPr>
              <w:spacing w:before="75" w:line="228" w:lineRule="auto"/>
              <w:ind w:left="160"/>
              <w:rPr>
                <w:rFonts w:ascii="宋体" w:hAnsi="宋体" w:eastAsia="宋体" w:cs="宋体"/>
                <w:sz w:val="20"/>
                <w:szCs w:val="20"/>
              </w:rPr>
            </w:pPr>
            <w:r>
              <w:rPr>
                <w:rFonts w:ascii="宋体" w:hAnsi="宋体" w:eastAsia="宋体" w:cs="宋体"/>
                <w:spacing w:val="11"/>
                <w:sz w:val="20"/>
                <w:szCs w:val="20"/>
                <w14:textOutline w14:w="3795" w14:cap="sq" w14:cmpd="sng">
                  <w14:solidFill>
                    <w14:srgbClr w14:val="000000"/>
                  </w14:solidFill>
                  <w14:prstDash w14:val="solid"/>
                  <w14:bevel/>
                </w14:textOutline>
              </w:rPr>
              <w:t>最</w:t>
            </w:r>
            <w:r>
              <w:rPr>
                <w:rFonts w:ascii="宋体" w:hAnsi="宋体" w:eastAsia="宋体" w:cs="宋体"/>
                <w:spacing w:val="8"/>
                <w:sz w:val="20"/>
                <w:szCs w:val="20"/>
                <w14:textOutline w14:w="3795" w14:cap="sq" w14:cmpd="sng">
                  <w14:solidFill>
                    <w14:srgbClr w14:val="000000"/>
                  </w14:solidFill>
                  <w14:prstDash w14:val="solid"/>
                  <w14:bevel/>
                </w14:textOutline>
              </w:rPr>
              <w:t>大超标倍数</w:t>
            </w:r>
          </w:p>
        </w:tc>
      </w:tr>
      <w:tr w14:paraId="27A54D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16" w:hRule="atLeast"/>
        </w:trPr>
        <w:tc>
          <w:tcPr>
            <w:tcW w:w="1186" w:type="dxa"/>
            <w:tcBorders>
              <w:left w:val="nil"/>
            </w:tcBorders>
            <w:vAlign w:val="top"/>
          </w:tcPr>
          <w:p w14:paraId="23E87B04">
            <w:pPr>
              <w:spacing w:before="52" w:line="263" w:lineRule="exact"/>
              <w:ind w:left="458"/>
              <w:rPr>
                <w:rFonts w:ascii="宋体" w:hAnsi="宋体" w:eastAsia="宋体" w:cs="宋体"/>
                <w:sz w:val="20"/>
                <w:szCs w:val="20"/>
              </w:rPr>
            </w:pPr>
            <w:r>
              <w:rPr>
                <w:rFonts w:ascii="Times New Roman" w:hAnsi="Times New Roman" w:eastAsia="Times New Roman" w:cs="Times New Roman"/>
                <w:spacing w:val="-10"/>
                <w:position w:val="1"/>
                <w:sz w:val="20"/>
                <w:szCs w:val="20"/>
              </w:rPr>
              <w:t>1</w:t>
            </w:r>
            <w:r>
              <w:rPr>
                <w:rFonts w:ascii="宋体" w:hAnsi="宋体" w:eastAsia="宋体" w:cs="宋体"/>
                <w:spacing w:val="-10"/>
                <w:position w:val="1"/>
                <w:sz w:val="20"/>
                <w:szCs w:val="20"/>
              </w:rPr>
              <w:t>＃</w:t>
            </w:r>
          </w:p>
        </w:tc>
        <w:tc>
          <w:tcPr>
            <w:tcW w:w="1617" w:type="dxa"/>
            <w:vAlign w:val="top"/>
          </w:tcPr>
          <w:p w14:paraId="78D83013">
            <w:pPr>
              <w:spacing w:before="88" w:line="195" w:lineRule="auto"/>
              <w:ind w:left="407"/>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 10~ 1.6</w:t>
            </w:r>
            <w:r>
              <w:rPr>
                <w:rFonts w:ascii="Times New Roman" w:hAnsi="Times New Roman" w:eastAsia="Times New Roman" w:cs="Times New Roman"/>
                <w:spacing w:val="-7"/>
                <w:sz w:val="20"/>
                <w:szCs w:val="20"/>
              </w:rPr>
              <w:t>2</w:t>
            </w:r>
          </w:p>
        </w:tc>
        <w:tc>
          <w:tcPr>
            <w:tcW w:w="1558" w:type="dxa"/>
            <w:vAlign w:val="top"/>
          </w:tcPr>
          <w:p w14:paraId="5A4DE1FC">
            <w:pPr>
              <w:spacing w:before="88" w:line="195" w:lineRule="auto"/>
              <w:ind w:left="36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5"/>
                <w:sz w:val="20"/>
                <w:szCs w:val="20"/>
              </w:rPr>
              <w:t>.</w:t>
            </w:r>
            <w:r>
              <w:rPr>
                <w:rFonts w:ascii="Times New Roman" w:hAnsi="Times New Roman" w:eastAsia="Times New Roman" w:cs="Times New Roman"/>
                <w:spacing w:val="3"/>
                <w:sz w:val="20"/>
                <w:szCs w:val="20"/>
              </w:rPr>
              <w:t>55~0.81</w:t>
            </w:r>
          </w:p>
        </w:tc>
        <w:tc>
          <w:tcPr>
            <w:tcW w:w="1274" w:type="dxa"/>
            <w:vAlign w:val="top"/>
          </w:tcPr>
          <w:p w14:paraId="4E39FEF1">
            <w:pPr>
              <w:spacing w:before="88" w:line="195" w:lineRule="auto"/>
              <w:ind w:left="50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100</w:t>
            </w:r>
          </w:p>
        </w:tc>
        <w:tc>
          <w:tcPr>
            <w:tcW w:w="1324" w:type="dxa"/>
            <w:vAlign w:val="top"/>
          </w:tcPr>
          <w:p w14:paraId="5AB6EFB8">
            <w:pPr>
              <w:spacing w:before="88" w:line="195" w:lineRule="auto"/>
              <w:ind w:left="61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62" w:type="dxa"/>
            <w:tcBorders>
              <w:right w:val="nil"/>
            </w:tcBorders>
            <w:vAlign w:val="top"/>
          </w:tcPr>
          <w:p w14:paraId="49EBF4DD">
            <w:pPr>
              <w:spacing w:before="176" w:line="136" w:lineRule="exact"/>
              <w:ind w:left="753"/>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w14:paraId="7A70A2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86" w:type="dxa"/>
            <w:tcBorders>
              <w:left w:val="nil"/>
            </w:tcBorders>
            <w:vAlign w:val="top"/>
          </w:tcPr>
          <w:p w14:paraId="672A5FEA">
            <w:pPr>
              <w:spacing w:before="54" w:line="241" w:lineRule="auto"/>
              <w:ind w:left="438"/>
              <w:rPr>
                <w:rFonts w:ascii="宋体" w:hAnsi="宋体" w:eastAsia="宋体" w:cs="宋体"/>
                <w:sz w:val="20"/>
                <w:szCs w:val="20"/>
              </w:rPr>
            </w:pPr>
            <w:r>
              <w:rPr>
                <w:rFonts w:ascii="Times New Roman" w:hAnsi="Times New Roman" w:eastAsia="Times New Roman" w:cs="Times New Roman"/>
                <w:sz w:val="20"/>
                <w:szCs w:val="20"/>
              </w:rPr>
              <w:t>2</w:t>
            </w:r>
            <w:r>
              <w:rPr>
                <w:rFonts w:ascii="宋体" w:hAnsi="宋体" w:eastAsia="宋体" w:cs="宋体"/>
                <w:sz w:val="20"/>
                <w:szCs w:val="20"/>
              </w:rPr>
              <w:t>＃</w:t>
            </w:r>
          </w:p>
        </w:tc>
        <w:tc>
          <w:tcPr>
            <w:tcW w:w="1617" w:type="dxa"/>
            <w:vAlign w:val="top"/>
          </w:tcPr>
          <w:p w14:paraId="69FDCA98">
            <w:pPr>
              <w:spacing w:before="91" w:line="198" w:lineRule="auto"/>
              <w:ind w:left="407"/>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5"/>
                <w:sz w:val="20"/>
                <w:szCs w:val="20"/>
              </w:rPr>
              <w:t>.</w:t>
            </w:r>
            <w:r>
              <w:rPr>
                <w:rFonts w:ascii="Times New Roman" w:hAnsi="Times New Roman" w:eastAsia="Times New Roman" w:cs="Times New Roman"/>
                <w:spacing w:val="-3"/>
                <w:sz w:val="20"/>
                <w:szCs w:val="20"/>
              </w:rPr>
              <w:t>58~ 1.78</w:t>
            </w:r>
          </w:p>
        </w:tc>
        <w:tc>
          <w:tcPr>
            <w:tcW w:w="1558" w:type="dxa"/>
            <w:vAlign w:val="top"/>
          </w:tcPr>
          <w:p w14:paraId="00F870AD">
            <w:pPr>
              <w:spacing w:before="91" w:line="195" w:lineRule="auto"/>
              <w:ind w:left="36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5"/>
                <w:sz w:val="20"/>
                <w:szCs w:val="20"/>
              </w:rPr>
              <w:t>.</w:t>
            </w:r>
            <w:r>
              <w:rPr>
                <w:rFonts w:ascii="Times New Roman" w:hAnsi="Times New Roman" w:eastAsia="Times New Roman" w:cs="Times New Roman"/>
                <w:spacing w:val="3"/>
                <w:sz w:val="20"/>
                <w:szCs w:val="20"/>
              </w:rPr>
              <w:t>79~0.89</w:t>
            </w:r>
          </w:p>
        </w:tc>
        <w:tc>
          <w:tcPr>
            <w:tcW w:w="1274" w:type="dxa"/>
            <w:vAlign w:val="top"/>
          </w:tcPr>
          <w:p w14:paraId="5B83D538">
            <w:pPr>
              <w:spacing w:before="91" w:line="195" w:lineRule="auto"/>
              <w:ind w:left="50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100</w:t>
            </w:r>
          </w:p>
        </w:tc>
        <w:tc>
          <w:tcPr>
            <w:tcW w:w="1324" w:type="dxa"/>
            <w:vAlign w:val="top"/>
          </w:tcPr>
          <w:p w14:paraId="0E858348">
            <w:pPr>
              <w:spacing w:before="91" w:line="195" w:lineRule="auto"/>
              <w:ind w:left="61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62" w:type="dxa"/>
            <w:tcBorders>
              <w:right w:val="nil"/>
            </w:tcBorders>
            <w:vAlign w:val="top"/>
          </w:tcPr>
          <w:p w14:paraId="67008D58">
            <w:pPr>
              <w:spacing w:before="179" w:line="136" w:lineRule="exact"/>
              <w:ind w:left="753"/>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w14:paraId="74E6F3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6" w:type="dxa"/>
            <w:tcBorders>
              <w:left w:val="nil"/>
            </w:tcBorders>
            <w:vAlign w:val="top"/>
          </w:tcPr>
          <w:p w14:paraId="08A0048B">
            <w:pPr>
              <w:spacing w:before="56" w:line="228" w:lineRule="auto"/>
              <w:ind w:left="392"/>
              <w:rPr>
                <w:rFonts w:ascii="宋体" w:hAnsi="宋体" w:eastAsia="宋体" w:cs="宋体"/>
                <w:sz w:val="20"/>
                <w:szCs w:val="20"/>
              </w:rPr>
            </w:pPr>
            <w:r>
              <w:rPr>
                <w:rFonts w:ascii="宋体" w:hAnsi="宋体" w:eastAsia="宋体" w:cs="宋体"/>
                <w:spacing w:val="4"/>
                <w:sz w:val="20"/>
                <w:szCs w:val="20"/>
              </w:rPr>
              <w:t>标准</w:t>
            </w:r>
          </w:p>
        </w:tc>
        <w:tc>
          <w:tcPr>
            <w:tcW w:w="7335" w:type="dxa"/>
            <w:gridSpan w:val="5"/>
            <w:tcBorders>
              <w:right w:val="nil"/>
            </w:tcBorders>
            <w:vAlign w:val="top"/>
          </w:tcPr>
          <w:p w14:paraId="4270126B">
            <w:pPr>
              <w:spacing w:before="56" w:line="228" w:lineRule="auto"/>
              <w:ind w:left="1964"/>
              <w:rPr>
                <w:rFonts w:ascii="宋体" w:hAnsi="宋体" w:eastAsia="宋体" w:cs="宋体"/>
                <w:sz w:val="20"/>
                <w:szCs w:val="20"/>
              </w:rPr>
            </w:pPr>
            <w:r>
              <w:rPr>
                <w:rFonts w:ascii="Times New Roman" w:hAnsi="Times New Roman" w:eastAsia="Times New Roman" w:cs="Times New Roman"/>
                <w:spacing w:val="8"/>
                <w:sz w:val="20"/>
                <w:szCs w:val="20"/>
              </w:rPr>
              <w:t>2.0</w:t>
            </w:r>
            <w:r>
              <w:rPr>
                <w:rFonts w:ascii="宋体" w:hAnsi="宋体" w:eastAsia="宋体" w:cs="宋体"/>
                <w:spacing w:val="8"/>
                <w:sz w:val="20"/>
                <w:szCs w:val="20"/>
              </w:rPr>
              <w:t>《大气污染物综合排放标准详解》</w:t>
            </w:r>
          </w:p>
        </w:tc>
      </w:tr>
    </w:tbl>
    <w:p w14:paraId="3D7F27E6">
      <w:pPr>
        <w:spacing w:line="258" w:lineRule="auto"/>
        <w:rPr>
          <w:rFonts w:ascii="Arial"/>
          <w:sz w:val="21"/>
        </w:rPr>
      </w:pPr>
    </w:p>
    <w:p w14:paraId="45BA1404">
      <w:pPr>
        <w:spacing w:before="75" w:line="393" w:lineRule="auto"/>
        <w:ind w:left="119" w:right="122" w:firstLine="419"/>
        <w:rPr>
          <w:rFonts w:ascii="宋体" w:hAnsi="宋体" w:eastAsia="宋体" w:cs="宋体"/>
          <w:sz w:val="23"/>
          <w:szCs w:val="23"/>
        </w:rPr>
      </w:pPr>
      <w:r>
        <w:rPr>
          <w:rFonts w:ascii="宋体" w:hAnsi="宋体" w:eastAsia="宋体" w:cs="宋体"/>
          <w:spacing w:val="27"/>
          <w:sz w:val="23"/>
          <w:szCs w:val="23"/>
        </w:rPr>
        <w:t>监</w:t>
      </w:r>
      <w:r>
        <w:rPr>
          <w:rFonts w:ascii="宋体" w:hAnsi="宋体" w:eastAsia="宋体" w:cs="宋体"/>
          <w:spacing w:val="19"/>
          <w:sz w:val="23"/>
          <w:szCs w:val="23"/>
        </w:rPr>
        <w:t>测结果表明： 评价区各监测点位非甲烷总烃日均值监测结果均满足标</w:t>
      </w:r>
      <w:r>
        <w:rPr>
          <w:rFonts w:ascii="宋体" w:hAnsi="宋体" w:eastAsia="宋体" w:cs="宋体"/>
          <w:sz w:val="23"/>
          <w:szCs w:val="23"/>
        </w:rPr>
        <w:t xml:space="preserve"> </w:t>
      </w:r>
      <w:r>
        <w:rPr>
          <w:rFonts w:ascii="宋体" w:hAnsi="宋体" w:eastAsia="宋体" w:cs="宋体"/>
          <w:spacing w:val="12"/>
          <w:sz w:val="23"/>
          <w:szCs w:val="23"/>
        </w:rPr>
        <w:t>准要求， 区域环境空气质量状况良好</w:t>
      </w:r>
      <w:r>
        <w:rPr>
          <w:rFonts w:ascii="宋体" w:hAnsi="宋体" w:eastAsia="宋体" w:cs="宋体"/>
          <w:spacing w:val="9"/>
          <w:sz w:val="23"/>
          <w:szCs w:val="23"/>
        </w:rPr>
        <w:t>。</w:t>
      </w:r>
    </w:p>
    <w:p w14:paraId="131B819F">
      <w:pPr>
        <w:spacing w:before="86" w:line="224" w:lineRule="auto"/>
        <w:ind w:left="115"/>
        <w:outlineLvl w:val="1"/>
        <w:rPr>
          <w:rFonts w:ascii="宋体" w:hAnsi="宋体" w:eastAsia="宋体" w:cs="宋体"/>
          <w:sz w:val="29"/>
          <w:szCs w:val="29"/>
        </w:rPr>
      </w:pPr>
      <w:r>
        <w:rPr>
          <w:rFonts w:ascii="Times New Roman" w:hAnsi="Times New Roman" w:eastAsia="Times New Roman" w:cs="Times New Roman"/>
          <w:b/>
          <w:bCs/>
          <w:spacing w:val="10"/>
          <w:sz w:val="29"/>
          <w:szCs w:val="29"/>
        </w:rPr>
        <w:t>4</w:t>
      </w:r>
      <w:r>
        <w:rPr>
          <w:rFonts w:ascii="Times New Roman" w:hAnsi="Times New Roman" w:eastAsia="Times New Roman" w:cs="Times New Roman"/>
          <w:b/>
          <w:bCs/>
          <w:spacing w:val="8"/>
          <w:sz w:val="29"/>
          <w:szCs w:val="29"/>
        </w:rPr>
        <w:t>.3.2</w:t>
      </w:r>
      <w:r>
        <w:rPr>
          <w:rFonts w:ascii="Times New Roman" w:hAnsi="Times New Roman" w:eastAsia="Times New Roman" w:cs="Times New Roman"/>
          <w:spacing w:val="8"/>
          <w:sz w:val="29"/>
          <w:szCs w:val="29"/>
        </w:rPr>
        <w:t xml:space="preserve">  </w:t>
      </w:r>
      <w:r>
        <w:rPr>
          <w:rFonts w:ascii="宋体" w:hAnsi="宋体" w:eastAsia="宋体" w:cs="宋体"/>
          <w:spacing w:val="8"/>
          <w:sz w:val="29"/>
          <w:szCs w:val="29"/>
          <w14:textOutline w14:w="5448" w14:cap="sq" w14:cmpd="sng">
            <w14:solidFill>
              <w14:srgbClr w14:val="000000"/>
            </w14:solidFill>
            <w14:prstDash w14:val="solid"/>
            <w14:bevel/>
          </w14:textOutline>
        </w:rPr>
        <w:t>地下水环境质量现状监测与评价</w:t>
      </w:r>
    </w:p>
    <w:p w14:paraId="0A5EFC94">
      <w:pPr>
        <w:spacing w:before="300" w:line="220" w:lineRule="auto"/>
        <w:ind w:left="115"/>
        <w:outlineLvl w:val="2"/>
        <w:rPr>
          <w:rFonts w:ascii="宋体" w:hAnsi="宋体" w:eastAsia="宋体" w:cs="宋体"/>
          <w:sz w:val="28"/>
          <w:szCs w:val="28"/>
        </w:rPr>
      </w:pPr>
      <w:r>
        <w:rPr>
          <w:rFonts w:ascii="Times New Roman" w:hAnsi="Times New Roman" w:eastAsia="Times New Roman" w:cs="Times New Roman"/>
          <w:b/>
          <w:bCs/>
          <w:spacing w:val="9"/>
          <w:sz w:val="28"/>
          <w:szCs w:val="28"/>
        </w:rPr>
        <w:t>4.3.2.1</w:t>
      </w:r>
      <w:r>
        <w:rPr>
          <w:rFonts w:ascii="Times New Roman" w:hAnsi="Times New Roman" w:eastAsia="Times New Roman" w:cs="Times New Roman"/>
          <w:spacing w:val="9"/>
          <w:sz w:val="28"/>
          <w:szCs w:val="28"/>
        </w:rPr>
        <w:t xml:space="preserve">  </w:t>
      </w:r>
      <w:r>
        <w:rPr>
          <w:rFonts w:ascii="宋体" w:hAnsi="宋体" w:eastAsia="宋体" w:cs="宋体"/>
          <w:spacing w:val="9"/>
          <w:sz w:val="28"/>
          <w:szCs w:val="28"/>
          <w14:textOutline w14:w="5103" w14:cap="sq" w14:cmpd="sng">
            <w14:solidFill>
              <w14:srgbClr w14:val="000000"/>
            </w14:solidFill>
            <w14:prstDash w14:val="solid"/>
            <w14:bevel/>
          </w14:textOutline>
        </w:rPr>
        <w:t>地下水环境质量现状监</w:t>
      </w:r>
      <w:r>
        <w:rPr>
          <w:rFonts w:ascii="宋体" w:hAnsi="宋体" w:eastAsia="宋体" w:cs="宋体"/>
          <w:spacing w:val="8"/>
          <w:sz w:val="28"/>
          <w:szCs w:val="28"/>
          <w14:textOutline w14:w="5103" w14:cap="sq" w14:cmpd="sng">
            <w14:solidFill>
              <w14:srgbClr w14:val="000000"/>
            </w14:solidFill>
            <w14:prstDash w14:val="solid"/>
            <w14:bevel/>
          </w14:textOutline>
        </w:rPr>
        <w:t>测</w:t>
      </w:r>
    </w:p>
    <w:p w14:paraId="0EE17002">
      <w:pPr>
        <w:spacing w:line="286" w:lineRule="auto"/>
        <w:rPr>
          <w:rFonts w:ascii="Arial"/>
          <w:sz w:val="21"/>
        </w:rPr>
      </w:pPr>
    </w:p>
    <w:p w14:paraId="0A6FA7D4">
      <w:pPr>
        <w:spacing w:before="76" w:line="227" w:lineRule="auto"/>
        <w:ind w:left="445"/>
        <w:rPr>
          <w:rFonts w:ascii="宋体" w:hAnsi="宋体" w:eastAsia="宋体" w:cs="宋体"/>
          <w:sz w:val="23"/>
          <w:szCs w:val="23"/>
        </w:rPr>
      </w:pPr>
      <w:r>
        <w:rPr>
          <w:rFonts w:ascii="宋体" w:hAnsi="宋体" w:eastAsia="宋体" w:cs="宋体"/>
          <w:spacing w:val="20"/>
          <w:sz w:val="23"/>
          <w:szCs w:val="23"/>
        </w:rPr>
        <w:t>(</w:t>
      </w:r>
      <w:r>
        <w:rPr>
          <w:rFonts w:ascii="Times New Roman" w:hAnsi="Times New Roman" w:eastAsia="Times New Roman" w:cs="Times New Roman"/>
          <w:spacing w:val="20"/>
          <w:sz w:val="23"/>
          <w:szCs w:val="23"/>
        </w:rPr>
        <w:t>1</w:t>
      </w:r>
      <w:r>
        <w:rPr>
          <w:rFonts w:ascii="宋体" w:hAnsi="宋体" w:eastAsia="宋体" w:cs="宋体"/>
          <w:spacing w:val="20"/>
          <w:sz w:val="23"/>
          <w:szCs w:val="23"/>
        </w:rPr>
        <w:t>) 监测布</w:t>
      </w:r>
      <w:r>
        <w:rPr>
          <w:rFonts w:ascii="宋体" w:hAnsi="宋体" w:eastAsia="宋体" w:cs="宋体"/>
          <w:spacing w:val="19"/>
          <w:sz w:val="23"/>
          <w:szCs w:val="23"/>
        </w:rPr>
        <w:t>点</w:t>
      </w:r>
    </w:p>
    <w:p w14:paraId="6BB472C6">
      <w:pPr>
        <w:spacing w:line="276" w:lineRule="auto"/>
        <w:rPr>
          <w:rFonts w:ascii="Arial"/>
          <w:sz w:val="21"/>
        </w:rPr>
      </w:pPr>
    </w:p>
    <w:p w14:paraId="61E8D87D">
      <w:pPr>
        <w:spacing w:before="75" w:line="227" w:lineRule="auto"/>
        <w:ind w:left="597"/>
        <w:rPr>
          <w:rFonts w:ascii="宋体" w:hAnsi="宋体" w:eastAsia="宋体" w:cs="宋体"/>
          <w:sz w:val="23"/>
          <w:szCs w:val="23"/>
        </w:rPr>
      </w:pPr>
      <w:r>
        <w:rPr>
          <w:rFonts w:ascii="宋体" w:hAnsi="宋体" w:eastAsia="宋体" w:cs="宋体"/>
          <w:spacing w:val="22"/>
          <w:sz w:val="23"/>
          <w:szCs w:val="23"/>
        </w:rPr>
        <w:t>根据拟建项目场址所在地区的水环境特征，结合水文地质和环境地质</w:t>
      </w:r>
      <w:r>
        <w:rPr>
          <w:rFonts w:ascii="宋体" w:hAnsi="宋体" w:eastAsia="宋体" w:cs="宋体"/>
          <w:spacing w:val="17"/>
          <w:sz w:val="23"/>
          <w:szCs w:val="23"/>
        </w:rPr>
        <w:t>条</w:t>
      </w:r>
    </w:p>
    <w:p w14:paraId="77F3B564">
      <w:pPr>
        <w:sectPr>
          <w:headerReference r:id="rId164" w:type="default"/>
          <w:footerReference r:id="rId165" w:type="default"/>
          <w:pgSz w:w="11906" w:h="16839"/>
          <w:pgMar w:top="1132" w:right="1691" w:bottom="1182" w:left="1691" w:header="878" w:footer="1022" w:gutter="0"/>
          <w:cols w:space="720" w:num="1"/>
        </w:sectPr>
      </w:pPr>
    </w:p>
    <w:p w14:paraId="1C3ED432">
      <w:pPr>
        <w:spacing w:line="435" w:lineRule="auto"/>
        <w:rPr>
          <w:rFonts w:ascii="Arial"/>
          <w:sz w:val="21"/>
        </w:rPr>
      </w:pPr>
      <w:r>
        <w:pict>
          <v:shape id="_x0000_s1218" o:spid="_x0000_s1218" style="position:absolute;left:0pt;margin-left:90pt;margin-top:57.35pt;height:0.75pt;width:415.3pt;mso-position-horizontal-relative:page;mso-position-vertical-relative:page;z-index:251870208;mso-width-relative:page;mso-height-relative:page;" fillcolor="#000000" filled="t" stroked="f" coordsize="8305,15" o:allowincell="f" path="m0,0l8305,0,8305,14,0,14,0,0xe">
            <v:path/>
            <v:fill on="t" focussize="0,0"/>
            <v:stroke on="f"/>
            <v:imagedata o:title=""/>
            <o:lock v:ext="edit"/>
          </v:shape>
        </w:pict>
      </w:r>
    </w:p>
    <w:p w14:paraId="4A62713C">
      <w:pPr>
        <w:spacing w:before="75" w:line="227" w:lineRule="auto"/>
        <w:ind w:left="116"/>
        <w:rPr>
          <w:rFonts w:ascii="宋体" w:hAnsi="宋体" w:eastAsia="宋体" w:cs="宋体"/>
          <w:sz w:val="23"/>
          <w:szCs w:val="23"/>
        </w:rPr>
      </w:pPr>
      <w:r>
        <w:rPr>
          <w:rFonts w:ascii="宋体" w:hAnsi="宋体" w:eastAsia="宋体" w:cs="宋体"/>
          <w:spacing w:val="8"/>
          <w:sz w:val="23"/>
          <w:szCs w:val="23"/>
        </w:rPr>
        <w:t>件</w:t>
      </w:r>
      <w:r>
        <w:rPr>
          <w:rFonts w:ascii="宋体" w:hAnsi="宋体" w:eastAsia="宋体" w:cs="宋体"/>
          <w:spacing w:val="5"/>
          <w:sz w:val="23"/>
          <w:szCs w:val="23"/>
        </w:rPr>
        <w:t xml:space="preserve">，在评价区域内共布设 </w:t>
      </w:r>
      <w:r>
        <w:rPr>
          <w:rFonts w:ascii="Times New Roman" w:hAnsi="Times New Roman" w:eastAsia="Times New Roman" w:cs="Times New Roman"/>
          <w:spacing w:val="5"/>
          <w:sz w:val="23"/>
          <w:szCs w:val="23"/>
        </w:rPr>
        <w:t xml:space="preserve">3 </w:t>
      </w:r>
      <w:r>
        <w:rPr>
          <w:rFonts w:ascii="宋体" w:hAnsi="宋体" w:eastAsia="宋体" w:cs="宋体"/>
          <w:spacing w:val="5"/>
          <w:sz w:val="23"/>
          <w:szCs w:val="23"/>
        </w:rPr>
        <w:t xml:space="preserve">个地下水水质监测点，具体见表 </w:t>
      </w:r>
      <w:r>
        <w:rPr>
          <w:rFonts w:ascii="Times New Roman" w:hAnsi="Times New Roman" w:eastAsia="Times New Roman" w:cs="Times New Roman"/>
          <w:spacing w:val="5"/>
          <w:sz w:val="23"/>
          <w:szCs w:val="23"/>
        </w:rPr>
        <w:t>4-9</w:t>
      </w:r>
      <w:r>
        <w:rPr>
          <w:rFonts w:ascii="宋体" w:hAnsi="宋体" w:eastAsia="宋体" w:cs="宋体"/>
          <w:spacing w:val="5"/>
          <w:sz w:val="23"/>
          <w:szCs w:val="23"/>
        </w:rPr>
        <w:t>。</w:t>
      </w:r>
    </w:p>
    <w:p w14:paraId="490DC297">
      <w:pPr>
        <w:spacing w:line="275" w:lineRule="auto"/>
        <w:rPr>
          <w:rFonts w:ascii="Arial"/>
          <w:sz w:val="21"/>
        </w:rPr>
      </w:pPr>
    </w:p>
    <w:p w14:paraId="566BDEEE">
      <w:pPr>
        <w:spacing w:before="75" w:line="221" w:lineRule="auto"/>
        <w:ind w:left="2638"/>
        <w:rPr>
          <w:rFonts w:ascii="宋体" w:hAnsi="宋体" w:eastAsia="宋体" w:cs="宋体"/>
          <w:sz w:val="23"/>
          <w:szCs w:val="23"/>
        </w:rPr>
      </w:pPr>
      <w:r>
        <w:rPr>
          <w:rFonts w:ascii="宋体" w:hAnsi="宋体" w:eastAsia="宋体" w:cs="宋体"/>
          <w:spacing w:val="6"/>
          <w:sz w:val="23"/>
          <w:szCs w:val="23"/>
          <w14:textOutline w14:w="4358" w14:cap="sq" w14:cmpd="sng">
            <w14:solidFill>
              <w14:srgbClr w14:val="000000"/>
            </w14:solidFill>
            <w14:prstDash w14:val="solid"/>
            <w14:bevel/>
          </w14:textOutline>
        </w:rPr>
        <w:t>表</w:t>
      </w:r>
      <w:r>
        <w:rPr>
          <w:rFonts w:ascii="宋体" w:hAnsi="宋体" w:eastAsia="宋体" w:cs="宋体"/>
          <w:spacing w:val="6"/>
          <w:sz w:val="23"/>
          <w:szCs w:val="23"/>
        </w:rPr>
        <w:t xml:space="preserve"> </w:t>
      </w:r>
      <w:r>
        <w:rPr>
          <w:rFonts w:ascii="Times New Roman" w:hAnsi="Times New Roman" w:eastAsia="Times New Roman" w:cs="Times New Roman"/>
          <w:b/>
          <w:bCs/>
          <w:spacing w:val="6"/>
          <w:sz w:val="23"/>
          <w:szCs w:val="23"/>
        </w:rPr>
        <w:t>4-</w:t>
      </w:r>
      <w:r>
        <w:rPr>
          <w:rFonts w:ascii="Times New Roman" w:hAnsi="Times New Roman" w:eastAsia="Times New Roman" w:cs="Times New Roman"/>
          <w:b/>
          <w:bCs/>
          <w:spacing w:val="3"/>
          <w:sz w:val="23"/>
          <w:szCs w:val="23"/>
        </w:rPr>
        <w:t>9</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14:textOutline w14:w="4358" w14:cap="sq" w14:cmpd="sng">
            <w14:solidFill>
              <w14:srgbClr w14:val="000000"/>
            </w14:solidFill>
            <w14:prstDash w14:val="solid"/>
            <w14:bevel/>
          </w14:textOutline>
        </w:rPr>
        <w:t>地下水监测点位布设</w:t>
      </w: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7"/>
        <w:gridCol w:w="2352"/>
        <w:gridCol w:w="3786"/>
        <w:gridCol w:w="1737"/>
      </w:tblGrid>
      <w:tr w14:paraId="7B20B9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0" w:hRule="atLeast"/>
        </w:trPr>
        <w:tc>
          <w:tcPr>
            <w:tcW w:w="647" w:type="dxa"/>
            <w:tcBorders>
              <w:left w:val="nil"/>
            </w:tcBorders>
            <w:vAlign w:val="top"/>
          </w:tcPr>
          <w:p w14:paraId="5C8834AD">
            <w:pPr>
              <w:spacing w:before="75" w:line="229" w:lineRule="auto"/>
              <w:ind w:left="120"/>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序号</w:t>
            </w:r>
          </w:p>
        </w:tc>
        <w:tc>
          <w:tcPr>
            <w:tcW w:w="2352" w:type="dxa"/>
            <w:vAlign w:val="top"/>
          </w:tcPr>
          <w:p w14:paraId="08F4A2BF">
            <w:pPr>
              <w:spacing w:before="75" w:line="229" w:lineRule="auto"/>
              <w:ind w:left="657"/>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监</w:t>
            </w:r>
            <w:r>
              <w:rPr>
                <w:rFonts w:ascii="宋体" w:hAnsi="宋体" w:eastAsia="宋体" w:cs="宋体"/>
                <w:spacing w:val="8"/>
                <w:sz w:val="20"/>
                <w:szCs w:val="20"/>
                <w14:textOutline w14:w="3795" w14:cap="sq" w14:cmpd="sng">
                  <w14:solidFill>
                    <w14:srgbClr w14:val="000000"/>
                  </w14:solidFill>
                  <w14:prstDash w14:val="solid"/>
                  <w14:bevel/>
                </w14:textOutline>
              </w:rPr>
              <w:t>测点名称</w:t>
            </w:r>
          </w:p>
        </w:tc>
        <w:tc>
          <w:tcPr>
            <w:tcW w:w="3786" w:type="dxa"/>
            <w:vAlign w:val="top"/>
          </w:tcPr>
          <w:p w14:paraId="74CE0A12">
            <w:pPr>
              <w:spacing w:before="75" w:line="229" w:lineRule="auto"/>
              <w:ind w:left="1375"/>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监</w:t>
            </w:r>
            <w:r>
              <w:rPr>
                <w:rFonts w:ascii="宋体" w:hAnsi="宋体" w:eastAsia="宋体" w:cs="宋体"/>
                <w:spacing w:val="8"/>
                <w:sz w:val="20"/>
                <w:szCs w:val="20"/>
                <w14:textOutline w14:w="3795" w14:cap="sq" w14:cmpd="sng">
                  <w14:solidFill>
                    <w14:srgbClr w14:val="000000"/>
                  </w14:solidFill>
                  <w14:prstDash w14:val="solid"/>
                  <w14:bevel/>
                </w14:textOutline>
              </w:rPr>
              <w:t>测点位置</w:t>
            </w:r>
          </w:p>
        </w:tc>
        <w:tc>
          <w:tcPr>
            <w:tcW w:w="1737" w:type="dxa"/>
            <w:tcBorders>
              <w:right w:val="nil"/>
            </w:tcBorders>
            <w:vAlign w:val="top"/>
          </w:tcPr>
          <w:p w14:paraId="37F90CC6">
            <w:pPr>
              <w:spacing w:before="75" w:line="229" w:lineRule="auto"/>
              <w:ind w:left="665"/>
              <w:rPr>
                <w:rFonts w:ascii="宋体" w:hAnsi="宋体" w:eastAsia="宋体" w:cs="宋体"/>
                <w:sz w:val="20"/>
                <w:szCs w:val="20"/>
              </w:rPr>
            </w:pPr>
            <w:r>
              <w:rPr>
                <w:rFonts w:ascii="宋体" w:hAnsi="宋体" w:eastAsia="宋体" w:cs="宋体"/>
                <w:spacing w:val="5"/>
                <w:sz w:val="20"/>
                <w:szCs w:val="20"/>
                <w14:textOutline w14:w="3795" w14:cap="sq" w14:cmpd="sng">
                  <w14:solidFill>
                    <w14:srgbClr w14:val="000000"/>
                  </w14:solidFill>
                  <w14:prstDash w14:val="solid"/>
                  <w14:bevel/>
                </w14:textOutline>
              </w:rPr>
              <w:t>备</w:t>
            </w:r>
            <w:r>
              <w:rPr>
                <w:rFonts w:ascii="宋体" w:hAnsi="宋体" w:eastAsia="宋体" w:cs="宋体"/>
                <w:spacing w:val="4"/>
                <w:sz w:val="20"/>
                <w:szCs w:val="20"/>
                <w14:textOutline w14:w="3795" w14:cap="sq" w14:cmpd="sng">
                  <w14:solidFill>
                    <w14:srgbClr w14:val="000000"/>
                  </w14:solidFill>
                  <w14:prstDash w14:val="solid"/>
                  <w14:bevel/>
                </w14:textOutline>
              </w:rPr>
              <w:t>注</w:t>
            </w:r>
          </w:p>
        </w:tc>
      </w:tr>
      <w:tr w14:paraId="3B0ECA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47" w:type="dxa"/>
            <w:tcBorders>
              <w:left w:val="nil"/>
            </w:tcBorders>
            <w:vAlign w:val="top"/>
          </w:tcPr>
          <w:p w14:paraId="33635CE3">
            <w:pPr>
              <w:spacing w:before="14" w:line="281" w:lineRule="exact"/>
              <w:ind w:left="242"/>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1</w:t>
            </w:r>
            <w:r>
              <w:rPr>
                <w:rFonts w:ascii="Times New Roman" w:hAnsi="Times New Roman" w:eastAsia="Times New Roman" w:cs="Times New Roman"/>
                <w:spacing w:val="-7"/>
                <w:position w:val="2"/>
                <w:sz w:val="20"/>
                <w:szCs w:val="20"/>
              </w:rPr>
              <w:t>#</w:t>
            </w:r>
          </w:p>
        </w:tc>
        <w:tc>
          <w:tcPr>
            <w:tcW w:w="2352" w:type="dxa"/>
            <w:vAlign w:val="top"/>
          </w:tcPr>
          <w:p w14:paraId="2DD51C6D">
            <w:pPr>
              <w:spacing w:before="52" w:line="228" w:lineRule="auto"/>
              <w:ind w:left="448"/>
              <w:rPr>
                <w:rFonts w:ascii="宋体" w:hAnsi="宋体" w:eastAsia="宋体" w:cs="宋体"/>
                <w:sz w:val="20"/>
                <w:szCs w:val="20"/>
              </w:rPr>
            </w:pPr>
            <w:r>
              <w:rPr>
                <w:rFonts w:ascii="宋体" w:hAnsi="宋体" w:eastAsia="宋体" w:cs="宋体"/>
                <w:spacing w:val="10"/>
                <w:sz w:val="20"/>
                <w:szCs w:val="20"/>
              </w:rPr>
              <w:t>建</w:t>
            </w:r>
            <w:r>
              <w:rPr>
                <w:rFonts w:ascii="宋体" w:hAnsi="宋体" w:eastAsia="宋体" w:cs="宋体"/>
                <w:spacing w:val="8"/>
                <w:sz w:val="20"/>
                <w:szCs w:val="20"/>
              </w:rPr>
              <w:t>设项目所在地</w:t>
            </w:r>
          </w:p>
        </w:tc>
        <w:tc>
          <w:tcPr>
            <w:tcW w:w="3786" w:type="dxa"/>
            <w:vAlign w:val="top"/>
          </w:tcPr>
          <w:p w14:paraId="517DB699">
            <w:pPr>
              <w:spacing w:before="52" w:line="228" w:lineRule="auto"/>
              <w:ind w:left="1377"/>
              <w:rPr>
                <w:rFonts w:ascii="宋体" w:hAnsi="宋体" w:eastAsia="宋体" w:cs="宋体"/>
                <w:sz w:val="20"/>
                <w:szCs w:val="20"/>
              </w:rPr>
            </w:pPr>
            <w:r>
              <w:rPr>
                <w:rFonts w:ascii="宋体" w:hAnsi="宋体" w:eastAsia="宋体" w:cs="宋体"/>
                <w:spacing w:val="9"/>
                <w:sz w:val="20"/>
                <w:szCs w:val="20"/>
              </w:rPr>
              <w:t>项</w:t>
            </w:r>
            <w:r>
              <w:rPr>
                <w:rFonts w:ascii="宋体" w:hAnsi="宋体" w:eastAsia="宋体" w:cs="宋体"/>
                <w:spacing w:val="7"/>
                <w:sz w:val="20"/>
                <w:szCs w:val="20"/>
              </w:rPr>
              <w:t>目所在地</w:t>
            </w:r>
          </w:p>
        </w:tc>
        <w:tc>
          <w:tcPr>
            <w:tcW w:w="1737" w:type="dxa"/>
            <w:tcBorders>
              <w:right w:val="nil"/>
            </w:tcBorders>
            <w:vAlign w:val="top"/>
          </w:tcPr>
          <w:p w14:paraId="2A99B047">
            <w:pPr>
              <w:spacing w:before="51" w:line="228" w:lineRule="auto"/>
              <w:ind w:left="560"/>
              <w:rPr>
                <w:rFonts w:ascii="宋体" w:hAnsi="宋体" w:eastAsia="宋体" w:cs="宋体"/>
                <w:sz w:val="20"/>
                <w:szCs w:val="20"/>
              </w:rPr>
            </w:pPr>
            <w:r>
              <w:rPr>
                <w:rFonts w:ascii="宋体" w:hAnsi="宋体" w:eastAsia="宋体" w:cs="宋体"/>
                <w:spacing w:val="6"/>
                <w:sz w:val="20"/>
                <w:szCs w:val="20"/>
              </w:rPr>
              <w:t>背景</w:t>
            </w:r>
            <w:r>
              <w:rPr>
                <w:rFonts w:ascii="宋体" w:hAnsi="宋体" w:eastAsia="宋体" w:cs="宋体"/>
                <w:spacing w:val="5"/>
                <w:sz w:val="20"/>
                <w:szCs w:val="20"/>
              </w:rPr>
              <w:t>点</w:t>
            </w:r>
          </w:p>
        </w:tc>
      </w:tr>
      <w:tr w14:paraId="1FD8E9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47" w:type="dxa"/>
            <w:tcBorders>
              <w:left w:val="nil"/>
            </w:tcBorders>
            <w:vAlign w:val="top"/>
          </w:tcPr>
          <w:p w14:paraId="7093466A">
            <w:pPr>
              <w:spacing w:before="17" w:line="281" w:lineRule="exact"/>
              <w:ind w:left="222"/>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2</w:t>
            </w:r>
            <w:r>
              <w:rPr>
                <w:rFonts w:ascii="Times New Roman" w:hAnsi="Times New Roman" w:eastAsia="Times New Roman" w:cs="Times New Roman"/>
                <w:spacing w:val="2"/>
                <w:position w:val="2"/>
                <w:sz w:val="20"/>
                <w:szCs w:val="20"/>
              </w:rPr>
              <w:t>#</w:t>
            </w:r>
          </w:p>
        </w:tc>
        <w:tc>
          <w:tcPr>
            <w:tcW w:w="2352" w:type="dxa"/>
            <w:vAlign w:val="top"/>
          </w:tcPr>
          <w:p w14:paraId="148DA18C">
            <w:pPr>
              <w:spacing w:before="54" w:line="228" w:lineRule="auto"/>
              <w:ind w:left="865"/>
              <w:rPr>
                <w:rFonts w:ascii="宋体" w:hAnsi="宋体" w:eastAsia="宋体" w:cs="宋体"/>
                <w:sz w:val="20"/>
                <w:szCs w:val="20"/>
              </w:rPr>
            </w:pPr>
            <w:r>
              <w:rPr>
                <w:rFonts w:ascii="宋体" w:hAnsi="宋体" w:eastAsia="宋体" w:cs="宋体"/>
                <w:spacing w:val="7"/>
                <w:sz w:val="20"/>
                <w:szCs w:val="20"/>
              </w:rPr>
              <w:t>榆树</w:t>
            </w:r>
            <w:r>
              <w:rPr>
                <w:rFonts w:ascii="宋体" w:hAnsi="宋体" w:eastAsia="宋体" w:cs="宋体"/>
                <w:spacing w:val="6"/>
                <w:sz w:val="20"/>
                <w:szCs w:val="20"/>
              </w:rPr>
              <w:t>底</w:t>
            </w:r>
          </w:p>
        </w:tc>
        <w:tc>
          <w:tcPr>
            <w:tcW w:w="3786" w:type="dxa"/>
            <w:vAlign w:val="top"/>
          </w:tcPr>
          <w:p w14:paraId="32D15595">
            <w:pPr>
              <w:spacing w:before="54" w:line="228" w:lineRule="auto"/>
              <w:ind w:left="981"/>
              <w:rPr>
                <w:rFonts w:ascii="宋体" w:hAnsi="宋体" w:eastAsia="宋体" w:cs="宋体"/>
                <w:sz w:val="20"/>
                <w:szCs w:val="20"/>
              </w:rPr>
            </w:pPr>
            <w:r>
              <w:rPr>
                <w:rFonts w:ascii="宋体" w:hAnsi="宋体" w:eastAsia="宋体" w:cs="宋体"/>
                <w:spacing w:val="4"/>
                <w:sz w:val="20"/>
                <w:szCs w:val="20"/>
              </w:rPr>
              <w:t>厂区西</w:t>
            </w:r>
            <w:r>
              <w:rPr>
                <w:rFonts w:ascii="宋体" w:hAnsi="宋体" w:eastAsia="宋体" w:cs="宋体"/>
                <w:spacing w:val="2"/>
                <w:sz w:val="20"/>
                <w:szCs w:val="20"/>
              </w:rPr>
              <w:t xml:space="preserve">北侧 </w:t>
            </w:r>
            <w:r>
              <w:rPr>
                <w:rFonts w:ascii="Times New Roman" w:hAnsi="Times New Roman" w:eastAsia="Times New Roman" w:cs="Times New Roman"/>
                <w:spacing w:val="2"/>
                <w:sz w:val="20"/>
                <w:szCs w:val="20"/>
              </w:rPr>
              <w:t>330</w:t>
            </w:r>
            <w:r>
              <w:rPr>
                <w:rFonts w:ascii="Times New Roman" w:hAnsi="Times New Roman" w:eastAsia="Times New Roman" w:cs="Times New Roman"/>
                <w:sz w:val="20"/>
                <w:szCs w:val="20"/>
              </w:rPr>
              <w:t>m</w:t>
            </w:r>
            <w:r>
              <w:rPr>
                <w:rFonts w:ascii="Times New Roman" w:hAnsi="Times New Roman" w:eastAsia="Times New Roman" w:cs="Times New Roman"/>
                <w:spacing w:val="2"/>
                <w:sz w:val="20"/>
                <w:szCs w:val="20"/>
              </w:rPr>
              <w:t xml:space="preserve"> </w:t>
            </w:r>
            <w:r>
              <w:rPr>
                <w:rFonts w:ascii="宋体" w:hAnsi="宋体" w:eastAsia="宋体" w:cs="宋体"/>
                <w:spacing w:val="2"/>
                <w:sz w:val="20"/>
                <w:szCs w:val="20"/>
              </w:rPr>
              <w:t>处</w:t>
            </w:r>
          </w:p>
        </w:tc>
        <w:tc>
          <w:tcPr>
            <w:tcW w:w="1737" w:type="dxa"/>
            <w:tcBorders>
              <w:right w:val="nil"/>
            </w:tcBorders>
            <w:vAlign w:val="top"/>
          </w:tcPr>
          <w:p w14:paraId="4A568BB0">
            <w:pPr>
              <w:spacing w:before="54" w:line="228" w:lineRule="auto"/>
              <w:ind w:left="558"/>
              <w:rPr>
                <w:rFonts w:ascii="宋体" w:hAnsi="宋体" w:eastAsia="宋体" w:cs="宋体"/>
                <w:sz w:val="20"/>
                <w:szCs w:val="20"/>
              </w:rPr>
            </w:pPr>
            <w:r>
              <w:rPr>
                <w:rFonts w:ascii="宋体" w:hAnsi="宋体" w:eastAsia="宋体" w:cs="宋体"/>
                <w:spacing w:val="7"/>
                <w:sz w:val="20"/>
                <w:szCs w:val="20"/>
              </w:rPr>
              <w:t>敏</w:t>
            </w:r>
            <w:r>
              <w:rPr>
                <w:rFonts w:ascii="宋体" w:hAnsi="宋体" w:eastAsia="宋体" w:cs="宋体"/>
                <w:spacing w:val="6"/>
                <w:sz w:val="20"/>
                <w:szCs w:val="20"/>
              </w:rPr>
              <w:t>感点</w:t>
            </w:r>
          </w:p>
        </w:tc>
      </w:tr>
      <w:tr w14:paraId="7F58C4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647" w:type="dxa"/>
            <w:tcBorders>
              <w:left w:val="nil"/>
            </w:tcBorders>
            <w:vAlign w:val="top"/>
          </w:tcPr>
          <w:p w14:paraId="17EE2859">
            <w:pPr>
              <w:spacing w:before="18" w:line="281" w:lineRule="exact"/>
              <w:ind w:left="226"/>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3</w:t>
            </w:r>
            <w:r>
              <w:rPr>
                <w:rFonts w:ascii="Times New Roman" w:hAnsi="Times New Roman" w:eastAsia="Times New Roman" w:cs="Times New Roman"/>
                <w:position w:val="2"/>
                <w:sz w:val="20"/>
                <w:szCs w:val="20"/>
              </w:rPr>
              <w:t>#</w:t>
            </w:r>
          </w:p>
        </w:tc>
        <w:tc>
          <w:tcPr>
            <w:tcW w:w="2352" w:type="dxa"/>
            <w:vAlign w:val="top"/>
          </w:tcPr>
          <w:p w14:paraId="2C3FC77C">
            <w:pPr>
              <w:spacing w:before="55" w:line="227" w:lineRule="auto"/>
              <w:ind w:left="764"/>
              <w:rPr>
                <w:rFonts w:ascii="宋体" w:hAnsi="宋体" w:eastAsia="宋体" w:cs="宋体"/>
                <w:sz w:val="20"/>
                <w:szCs w:val="20"/>
              </w:rPr>
            </w:pPr>
            <w:r>
              <w:rPr>
                <w:rFonts w:ascii="宋体" w:hAnsi="宋体" w:eastAsia="宋体" w:cs="宋体"/>
                <w:spacing w:val="7"/>
                <w:sz w:val="20"/>
                <w:szCs w:val="20"/>
              </w:rPr>
              <w:t>火连寨</w:t>
            </w:r>
            <w:r>
              <w:rPr>
                <w:rFonts w:ascii="宋体" w:hAnsi="宋体" w:eastAsia="宋体" w:cs="宋体"/>
                <w:spacing w:val="6"/>
                <w:sz w:val="20"/>
                <w:szCs w:val="20"/>
              </w:rPr>
              <w:t>村</w:t>
            </w:r>
          </w:p>
        </w:tc>
        <w:tc>
          <w:tcPr>
            <w:tcW w:w="3786" w:type="dxa"/>
            <w:vAlign w:val="top"/>
          </w:tcPr>
          <w:p w14:paraId="6625BCA5">
            <w:pPr>
              <w:spacing w:before="55" w:line="228" w:lineRule="auto"/>
              <w:ind w:left="981"/>
              <w:rPr>
                <w:rFonts w:ascii="宋体" w:hAnsi="宋体" w:eastAsia="宋体" w:cs="宋体"/>
                <w:sz w:val="20"/>
                <w:szCs w:val="20"/>
              </w:rPr>
            </w:pPr>
            <w:r>
              <w:rPr>
                <w:rFonts w:ascii="宋体" w:hAnsi="宋体" w:eastAsia="宋体" w:cs="宋体"/>
                <w:spacing w:val="4"/>
                <w:sz w:val="20"/>
                <w:szCs w:val="20"/>
              </w:rPr>
              <w:t>厂区东</w:t>
            </w:r>
            <w:r>
              <w:rPr>
                <w:rFonts w:ascii="宋体" w:hAnsi="宋体" w:eastAsia="宋体" w:cs="宋体"/>
                <w:spacing w:val="2"/>
                <w:sz w:val="20"/>
                <w:szCs w:val="20"/>
              </w:rPr>
              <w:t xml:space="preserve">南侧 </w:t>
            </w:r>
            <w:r>
              <w:rPr>
                <w:rFonts w:ascii="Times New Roman" w:hAnsi="Times New Roman" w:eastAsia="Times New Roman" w:cs="Times New Roman"/>
                <w:spacing w:val="2"/>
                <w:sz w:val="20"/>
                <w:szCs w:val="20"/>
              </w:rPr>
              <w:t>460</w:t>
            </w:r>
            <w:r>
              <w:rPr>
                <w:rFonts w:ascii="Times New Roman" w:hAnsi="Times New Roman" w:eastAsia="Times New Roman" w:cs="Times New Roman"/>
                <w:sz w:val="20"/>
                <w:szCs w:val="20"/>
              </w:rPr>
              <w:t>m</w:t>
            </w:r>
            <w:r>
              <w:rPr>
                <w:rFonts w:ascii="Times New Roman" w:hAnsi="Times New Roman" w:eastAsia="Times New Roman" w:cs="Times New Roman"/>
                <w:spacing w:val="2"/>
                <w:sz w:val="20"/>
                <w:szCs w:val="20"/>
              </w:rPr>
              <w:t xml:space="preserve"> </w:t>
            </w:r>
            <w:r>
              <w:rPr>
                <w:rFonts w:ascii="宋体" w:hAnsi="宋体" w:eastAsia="宋体" w:cs="宋体"/>
                <w:spacing w:val="2"/>
                <w:sz w:val="20"/>
                <w:szCs w:val="20"/>
              </w:rPr>
              <w:t>处</w:t>
            </w:r>
          </w:p>
        </w:tc>
        <w:tc>
          <w:tcPr>
            <w:tcW w:w="1737" w:type="dxa"/>
            <w:tcBorders>
              <w:right w:val="nil"/>
            </w:tcBorders>
            <w:vAlign w:val="top"/>
          </w:tcPr>
          <w:p w14:paraId="447D1DBD">
            <w:pPr>
              <w:spacing w:before="55" w:line="228" w:lineRule="auto"/>
              <w:ind w:left="558"/>
              <w:rPr>
                <w:rFonts w:ascii="宋体" w:hAnsi="宋体" w:eastAsia="宋体" w:cs="宋体"/>
                <w:sz w:val="20"/>
                <w:szCs w:val="20"/>
              </w:rPr>
            </w:pPr>
            <w:r>
              <w:rPr>
                <w:rFonts w:ascii="宋体" w:hAnsi="宋体" w:eastAsia="宋体" w:cs="宋体"/>
                <w:spacing w:val="7"/>
                <w:sz w:val="20"/>
                <w:szCs w:val="20"/>
              </w:rPr>
              <w:t>敏</w:t>
            </w:r>
            <w:r>
              <w:rPr>
                <w:rFonts w:ascii="宋体" w:hAnsi="宋体" w:eastAsia="宋体" w:cs="宋体"/>
                <w:spacing w:val="6"/>
                <w:sz w:val="20"/>
                <w:szCs w:val="20"/>
              </w:rPr>
              <w:t>感点</w:t>
            </w:r>
          </w:p>
        </w:tc>
      </w:tr>
    </w:tbl>
    <w:p w14:paraId="3FB92D99">
      <w:pPr>
        <w:spacing w:line="258" w:lineRule="auto"/>
        <w:rPr>
          <w:rFonts w:ascii="Arial"/>
          <w:sz w:val="21"/>
        </w:rPr>
      </w:pPr>
    </w:p>
    <w:p w14:paraId="09A79B79">
      <w:pPr>
        <w:spacing w:before="75" w:line="228" w:lineRule="auto"/>
        <w:ind w:left="608"/>
        <w:rPr>
          <w:rFonts w:ascii="宋体" w:hAnsi="宋体" w:eastAsia="宋体" w:cs="宋体"/>
          <w:sz w:val="23"/>
          <w:szCs w:val="23"/>
        </w:rPr>
      </w:pPr>
      <w:r>
        <w:rPr>
          <w:rFonts w:ascii="宋体" w:hAnsi="宋体" w:eastAsia="宋体" w:cs="宋体"/>
          <w:spacing w:val="20"/>
          <w:sz w:val="23"/>
          <w:szCs w:val="23"/>
        </w:rPr>
        <w:t>(</w:t>
      </w:r>
      <w:r>
        <w:rPr>
          <w:rFonts w:ascii="Times New Roman" w:hAnsi="Times New Roman" w:eastAsia="Times New Roman" w:cs="Times New Roman"/>
          <w:spacing w:val="20"/>
          <w:sz w:val="23"/>
          <w:szCs w:val="23"/>
        </w:rPr>
        <w:t>2</w:t>
      </w:r>
      <w:r>
        <w:rPr>
          <w:rFonts w:ascii="宋体" w:hAnsi="宋体" w:eastAsia="宋体" w:cs="宋体"/>
          <w:spacing w:val="20"/>
          <w:sz w:val="23"/>
          <w:szCs w:val="23"/>
        </w:rPr>
        <w:t>) 监测项</w:t>
      </w:r>
      <w:r>
        <w:rPr>
          <w:rFonts w:ascii="宋体" w:hAnsi="宋体" w:eastAsia="宋体" w:cs="宋体"/>
          <w:spacing w:val="19"/>
          <w:sz w:val="23"/>
          <w:szCs w:val="23"/>
        </w:rPr>
        <w:t>目</w:t>
      </w:r>
    </w:p>
    <w:p w14:paraId="6684513B">
      <w:pPr>
        <w:spacing w:line="276" w:lineRule="auto"/>
        <w:rPr>
          <w:rFonts w:ascii="Arial"/>
          <w:sz w:val="21"/>
        </w:rPr>
      </w:pPr>
    </w:p>
    <w:p w14:paraId="1950FA3C">
      <w:pPr>
        <w:spacing w:before="75" w:line="388" w:lineRule="auto"/>
        <w:ind w:left="116" w:right="43" w:firstLine="481"/>
        <w:rPr>
          <w:rFonts w:ascii="宋体" w:hAnsi="宋体" w:eastAsia="宋体" w:cs="宋体"/>
          <w:sz w:val="23"/>
          <w:szCs w:val="23"/>
        </w:rPr>
      </w:pPr>
      <w:r>
        <w:rPr>
          <w:rFonts w:ascii="宋体" w:hAnsi="宋体" w:eastAsia="宋体" w:cs="宋体"/>
          <w:spacing w:val="11"/>
          <w:sz w:val="23"/>
          <w:szCs w:val="23"/>
        </w:rPr>
        <w:t>监测项目为：</w:t>
      </w:r>
      <w:r>
        <w:rPr>
          <w:rFonts w:ascii="Times New Roman" w:hAnsi="Times New Roman" w:eastAsia="Times New Roman" w:cs="Times New Roman"/>
          <w:sz w:val="23"/>
          <w:szCs w:val="23"/>
        </w:rPr>
        <w:t>pH</w:t>
      </w:r>
      <w:r>
        <w:rPr>
          <w:rFonts w:ascii="Times New Roman" w:hAnsi="Times New Roman" w:eastAsia="Times New Roman" w:cs="Times New Roman"/>
          <w:spacing w:val="11"/>
          <w:sz w:val="23"/>
          <w:szCs w:val="23"/>
        </w:rPr>
        <w:t xml:space="preserve"> </w:t>
      </w:r>
      <w:r>
        <w:rPr>
          <w:rFonts w:ascii="宋体" w:hAnsi="宋体" w:eastAsia="宋体" w:cs="宋体"/>
          <w:spacing w:val="11"/>
          <w:sz w:val="23"/>
          <w:szCs w:val="23"/>
        </w:rPr>
        <w:t>、浑浊度、耗氧量、氨氮、总硬度、硫酸盐、硝酸盐、</w:t>
      </w:r>
      <w:r>
        <w:rPr>
          <w:rFonts w:ascii="宋体" w:hAnsi="宋体" w:eastAsia="宋体" w:cs="宋体"/>
          <w:spacing w:val="6"/>
          <w:sz w:val="23"/>
          <w:szCs w:val="23"/>
        </w:rPr>
        <w:t>亚</w:t>
      </w:r>
      <w:r>
        <w:rPr>
          <w:rFonts w:ascii="宋体" w:hAnsi="宋体" w:eastAsia="宋体" w:cs="宋体"/>
          <w:sz w:val="23"/>
          <w:szCs w:val="23"/>
        </w:rPr>
        <w:t xml:space="preserve"> </w:t>
      </w:r>
      <w:r>
        <w:rPr>
          <w:rFonts w:ascii="宋体" w:hAnsi="宋体" w:eastAsia="宋体" w:cs="宋体"/>
          <w:spacing w:val="4"/>
          <w:sz w:val="23"/>
          <w:szCs w:val="23"/>
        </w:rPr>
        <w:t>硝酸盐、</w:t>
      </w:r>
      <w:r>
        <w:rPr>
          <w:rFonts w:ascii="宋体" w:hAnsi="宋体" w:eastAsia="宋体" w:cs="宋体"/>
          <w:spacing w:val="3"/>
          <w:sz w:val="23"/>
          <w:szCs w:val="23"/>
        </w:rPr>
        <w:t>氯</w:t>
      </w:r>
      <w:r>
        <w:rPr>
          <w:rFonts w:ascii="宋体" w:hAnsi="宋体" w:eastAsia="宋体" w:cs="宋体"/>
          <w:spacing w:val="2"/>
          <w:sz w:val="23"/>
          <w:szCs w:val="23"/>
        </w:rPr>
        <w:t>化物、钾、钙、钠、镁、碳酸根、碳酸氢根、细菌总数和总大肠菌群，</w:t>
      </w:r>
      <w:r>
        <w:rPr>
          <w:rFonts w:ascii="宋体" w:hAnsi="宋体" w:eastAsia="宋体" w:cs="宋体"/>
          <w:sz w:val="23"/>
          <w:szCs w:val="23"/>
        </w:rPr>
        <w:t xml:space="preserve"> </w:t>
      </w:r>
      <w:r>
        <w:rPr>
          <w:rFonts w:ascii="宋体" w:hAnsi="宋体" w:eastAsia="宋体" w:cs="宋体"/>
          <w:spacing w:val="-7"/>
          <w:sz w:val="23"/>
          <w:szCs w:val="23"/>
        </w:rPr>
        <w:t>共</w:t>
      </w:r>
      <w:r>
        <w:rPr>
          <w:rFonts w:ascii="宋体" w:hAnsi="宋体" w:eastAsia="宋体" w:cs="宋体"/>
          <w:spacing w:val="-4"/>
          <w:sz w:val="23"/>
          <w:szCs w:val="23"/>
        </w:rPr>
        <w:t xml:space="preserve"> </w:t>
      </w:r>
      <w:r>
        <w:rPr>
          <w:rFonts w:ascii="Times New Roman" w:hAnsi="Times New Roman" w:eastAsia="Times New Roman" w:cs="Times New Roman"/>
          <w:spacing w:val="-4"/>
          <w:sz w:val="23"/>
          <w:szCs w:val="23"/>
        </w:rPr>
        <w:t xml:space="preserve">17 </w:t>
      </w:r>
      <w:r>
        <w:rPr>
          <w:rFonts w:ascii="宋体" w:hAnsi="宋体" w:eastAsia="宋体" w:cs="宋体"/>
          <w:spacing w:val="-4"/>
          <w:sz w:val="23"/>
          <w:szCs w:val="23"/>
        </w:rPr>
        <w:t>项。</w:t>
      </w:r>
    </w:p>
    <w:p w14:paraId="4BD2FF0E">
      <w:pPr>
        <w:spacing w:before="144" w:line="227" w:lineRule="auto"/>
        <w:ind w:left="608"/>
        <w:rPr>
          <w:rFonts w:ascii="宋体" w:hAnsi="宋体" w:eastAsia="宋体" w:cs="宋体"/>
          <w:sz w:val="23"/>
          <w:szCs w:val="23"/>
        </w:rPr>
      </w:pPr>
      <w:r>
        <w:rPr>
          <w:rFonts w:ascii="宋体" w:hAnsi="宋体" w:eastAsia="宋体" w:cs="宋体"/>
          <w:spacing w:val="19"/>
          <w:sz w:val="23"/>
          <w:szCs w:val="23"/>
        </w:rPr>
        <w:t>(</w:t>
      </w:r>
      <w:r>
        <w:rPr>
          <w:rFonts w:ascii="Times New Roman" w:hAnsi="Times New Roman" w:eastAsia="Times New Roman" w:cs="Times New Roman"/>
          <w:spacing w:val="17"/>
          <w:sz w:val="23"/>
          <w:szCs w:val="23"/>
        </w:rPr>
        <w:t>3</w:t>
      </w:r>
      <w:r>
        <w:rPr>
          <w:rFonts w:ascii="宋体" w:hAnsi="宋体" w:eastAsia="宋体" w:cs="宋体"/>
          <w:spacing w:val="17"/>
          <w:sz w:val="23"/>
          <w:szCs w:val="23"/>
        </w:rPr>
        <w:t>) 监测时间与频率</w:t>
      </w:r>
    </w:p>
    <w:p w14:paraId="3F429D9D">
      <w:pPr>
        <w:spacing w:line="276" w:lineRule="auto"/>
        <w:rPr>
          <w:rFonts w:ascii="Arial"/>
          <w:sz w:val="21"/>
        </w:rPr>
      </w:pPr>
    </w:p>
    <w:p w14:paraId="1D3CF2C1">
      <w:pPr>
        <w:spacing w:before="75" w:line="393" w:lineRule="auto"/>
        <w:ind w:left="117" w:right="27" w:firstLine="480"/>
        <w:rPr>
          <w:rFonts w:ascii="宋体" w:hAnsi="宋体" w:eastAsia="宋体" w:cs="宋体"/>
          <w:sz w:val="23"/>
          <w:szCs w:val="23"/>
        </w:rPr>
      </w:pPr>
      <w:r>
        <w:rPr>
          <w:rFonts w:ascii="宋体" w:hAnsi="宋体" w:eastAsia="宋体" w:cs="宋体"/>
          <w:spacing w:val="-4"/>
          <w:sz w:val="23"/>
          <w:szCs w:val="23"/>
        </w:rPr>
        <w:t xml:space="preserve">连续监测 </w:t>
      </w:r>
      <w:r>
        <w:rPr>
          <w:rFonts w:ascii="Times New Roman" w:hAnsi="Times New Roman" w:eastAsia="Times New Roman" w:cs="Times New Roman"/>
          <w:spacing w:val="-4"/>
          <w:sz w:val="23"/>
          <w:szCs w:val="23"/>
        </w:rPr>
        <w:t xml:space="preserve">2 </w:t>
      </w:r>
      <w:r>
        <w:rPr>
          <w:rFonts w:ascii="宋体" w:hAnsi="宋体" w:eastAsia="宋体" w:cs="宋体"/>
          <w:spacing w:val="-4"/>
          <w:sz w:val="23"/>
          <w:szCs w:val="23"/>
        </w:rPr>
        <w:t>天</w:t>
      </w:r>
      <w:r>
        <w:rPr>
          <w:rFonts w:ascii="宋体" w:hAnsi="宋体" w:eastAsia="宋体" w:cs="宋体"/>
          <w:spacing w:val="-3"/>
          <w:sz w:val="23"/>
          <w:szCs w:val="23"/>
        </w:rPr>
        <w:t>，</w:t>
      </w:r>
      <w:r>
        <w:rPr>
          <w:rFonts w:ascii="宋体" w:hAnsi="宋体" w:eastAsia="宋体" w:cs="宋体"/>
          <w:spacing w:val="-2"/>
          <w:sz w:val="23"/>
          <w:szCs w:val="23"/>
        </w:rPr>
        <w:t xml:space="preserve">每天采样 </w:t>
      </w:r>
      <w:r>
        <w:rPr>
          <w:rFonts w:ascii="Times New Roman" w:hAnsi="Times New Roman" w:eastAsia="Times New Roman" w:cs="Times New Roman"/>
          <w:spacing w:val="-2"/>
          <w:sz w:val="23"/>
          <w:szCs w:val="23"/>
        </w:rPr>
        <w:t xml:space="preserve">1 </w:t>
      </w:r>
      <w:r>
        <w:rPr>
          <w:rFonts w:ascii="宋体" w:hAnsi="宋体" w:eastAsia="宋体" w:cs="宋体"/>
          <w:spacing w:val="-2"/>
          <w:sz w:val="23"/>
          <w:szCs w:val="23"/>
        </w:rPr>
        <w:t xml:space="preserve">次。每个监测点报 </w:t>
      </w:r>
      <w:r>
        <w:rPr>
          <w:rFonts w:ascii="Times New Roman" w:hAnsi="Times New Roman" w:eastAsia="Times New Roman" w:cs="Times New Roman"/>
          <w:spacing w:val="-2"/>
          <w:sz w:val="23"/>
          <w:szCs w:val="23"/>
        </w:rPr>
        <w:t xml:space="preserve">1 </w:t>
      </w:r>
      <w:r>
        <w:rPr>
          <w:rFonts w:ascii="宋体" w:hAnsi="宋体" w:eastAsia="宋体" w:cs="宋体"/>
          <w:spacing w:val="-2"/>
          <w:sz w:val="23"/>
          <w:szCs w:val="23"/>
        </w:rPr>
        <w:t>组有效数据，同时监测井深、</w:t>
      </w:r>
      <w:r>
        <w:rPr>
          <w:rFonts w:ascii="宋体" w:hAnsi="宋体" w:eastAsia="宋体" w:cs="宋体"/>
          <w:sz w:val="23"/>
          <w:szCs w:val="23"/>
        </w:rPr>
        <w:t xml:space="preserve"> </w:t>
      </w:r>
      <w:r>
        <w:rPr>
          <w:rFonts w:ascii="宋体" w:hAnsi="宋体" w:eastAsia="宋体" w:cs="宋体"/>
          <w:spacing w:val="10"/>
          <w:sz w:val="23"/>
          <w:szCs w:val="23"/>
        </w:rPr>
        <w:t>井</w:t>
      </w:r>
      <w:r>
        <w:rPr>
          <w:rFonts w:ascii="宋体" w:hAnsi="宋体" w:eastAsia="宋体" w:cs="宋体"/>
          <w:spacing w:val="6"/>
          <w:sz w:val="23"/>
          <w:szCs w:val="23"/>
        </w:rPr>
        <w:t>温及水位。</w:t>
      </w:r>
    </w:p>
    <w:p w14:paraId="13979FEC">
      <w:pPr>
        <w:spacing w:before="137" w:line="228" w:lineRule="auto"/>
        <w:ind w:left="608"/>
        <w:rPr>
          <w:rFonts w:ascii="宋体" w:hAnsi="宋体" w:eastAsia="宋体" w:cs="宋体"/>
          <w:sz w:val="23"/>
          <w:szCs w:val="23"/>
        </w:rPr>
      </w:pPr>
      <w:r>
        <w:rPr>
          <w:rFonts w:ascii="宋体" w:hAnsi="宋体" w:eastAsia="宋体" w:cs="宋体"/>
          <w:spacing w:val="20"/>
          <w:sz w:val="23"/>
          <w:szCs w:val="23"/>
        </w:rPr>
        <w:t>(</w:t>
      </w:r>
      <w:r>
        <w:rPr>
          <w:rFonts w:ascii="Times New Roman" w:hAnsi="Times New Roman" w:eastAsia="Times New Roman" w:cs="Times New Roman"/>
          <w:spacing w:val="20"/>
          <w:sz w:val="23"/>
          <w:szCs w:val="23"/>
        </w:rPr>
        <w:t>4</w:t>
      </w:r>
      <w:r>
        <w:rPr>
          <w:rFonts w:ascii="宋体" w:hAnsi="宋体" w:eastAsia="宋体" w:cs="宋体"/>
          <w:spacing w:val="20"/>
          <w:sz w:val="23"/>
          <w:szCs w:val="23"/>
        </w:rPr>
        <w:t>) 分析方</w:t>
      </w:r>
      <w:r>
        <w:rPr>
          <w:rFonts w:ascii="宋体" w:hAnsi="宋体" w:eastAsia="宋体" w:cs="宋体"/>
          <w:spacing w:val="19"/>
          <w:sz w:val="23"/>
          <w:szCs w:val="23"/>
        </w:rPr>
        <w:t>法</w:t>
      </w:r>
    </w:p>
    <w:p w14:paraId="229C1BCA">
      <w:pPr>
        <w:spacing w:line="277" w:lineRule="auto"/>
        <w:rPr>
          <w:rFonts w:ascii="Arial"/>
          <w:sz w:val="21"/>
        </w:rPr>
      </w:pPr>
    </w:p>
    <w:p w14:paraId="0FE41CBF">
      <w:pPr>
        <w:spacing w:before="75" w:line="380" w:lineRule="auto"/>
        <w:ind w:left="116" w:right="6" w:firstLine="480"/>
        <w:rPr>
          <w:rFonts w:ascii="宋体" w:hAnsi="宋体" w:eastAsia="宋体" w:cs="宋体"/>
          <w:sz w:val="23"/>
          <w:szCs w:val="23"/>
        </w:rPr>
      </w:pPr>
      <w:r>
        <w:rPr>
          <w:rFonts w:ascii="宋体" w:hAnsi="宋体" w:eastAsia="宋体" w:cs="宋体"/>
          <w:spacing w:val="11"/>
          <w:sz w:val="23"/>
          <w:szCs w:val="23"/>
        </w:rPr>
        <w:t>根</w:t>
      </w:r>
      <w:r>
        <w:rPr>
          <w:rFonts w:ascii="宋体" w:hAnsi="宋体" w:eastAsia="宋体" w:cs="宋体"/>
          <w:spacing w:val="6"/>
          <w:sz w:val="23"/>
          <w:szCs w:val="23"/>
        </w:rPr>
        <w:t>据《环境影响评价技术导则 地下水导则》  (</w:t>
      </w:r>
      <w:r>
        <w:rPr>
          <w:rFonts w:ascii="Times New Roman" w:hAnsi="Times New Roman" w:eastAsia="Times New Roman" w:cs="Times New Roman"/>
          <w:sz w:val="23"/>
          <w:szCs w:val="23"/>
        </w:rPr>
        <w:t>HJ</w:t>
      </w:r>
      <w:r>
        <w:rPr>
          <w:rFonts w:ascii="Times New Roman" w:hAnsi="Times New Roman" w:eastAsia="Times New Roman" w:cs="Times New Roman"/>
          <w:spacing w:val="6"/>
          <w:sz w:val="23"/>
          <w:szCs w:val="23"/>
        </w:rPr>
        <w:t>610-2011</w:t>
      </w:r>
      <w:r>
        <w:rPr>
          <w:rFonts w:ascii="宋体" w:hAnsi="宋体" w:eastAsia="宋体" w:cs="宋体"/>
          <w:spacing w:val="6"/>
          <w:sz w:val="23"/>
          <w:szCs w:val="23"/>
        </w:rPr>
        <w:t>) 中地下水水质</w:t>
      </w:r>
      <w:r>
        <w:rPr>
          <w:rFonts w:ascii="宋体" w:hAnsi="宋体" w:eastAsia="宋体" w:cs="宋体"/>
          <w:sz w:val="23"/>
          <w:szCs w:val="23"/>
        </w:rPr>
        <w:t xml:space="preserve"> </w:t>
      </w:r>
      <w:r>
        <w:rPr>
          <w:rFonts w:ascii="宋体" w:hAnsi="宋体" w:eastAsia="宋体" w:cs="宋体"/>
          <w:spacing w:val="2"/>
          <w:sz w:val="23"/>
          <w:szCs w:val="23"/>
        </w:rPr>
        <w:t>样品</w:t>
      </w:r>
      <w:r>
        <w:rPr>
          <w:rFonts w:ascii="宋体" w:hAnsi="宋体" w:eastAsia="宋体" w:cs="宋体"/>
          <w:spacing w:val="1"/>
          <w:sz w:val="23"/>
          <w:szCs w:val="23"/>
        </w:rPr>
        <w:t>的管理、分析化验和质量控制按《地下水环境监测技术规范》(</w:t>
      </w:r>
      <w:r>
        <w:rPr>
          <w:rFonts w:ascii="Times New Roman" w:hAnsi="Times New Roman" w:eastAsia="Times New Roman" w:cs="Times New Roman"/>
          <w:sz w:val="23"/>
          <w:szCs w:val="23"/>
        </w:rPr>
        <w:t>HJ</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T</w:t>
      </w:r>
      <w:r>
        <w:rPr>
          <w:rFonts w:ascii="Times New Roman" w:hAnsi="Times New Roman" w:eastAsia="Times New Roman" w:cs="Times New Roman"/>
          <w:spacing w:val="1"/>
          <w:sz w:val="23"/>
          <w:szCs w:val="23"/>
        </w:rPr>
        <w:t>164-2004</w:t>
      </w:r>
      <w:r>
        <w:rPr>
          <w:rFonts w:ascii="宋体" w:hAnsi="宋体" w:eastAsia="宋体" w:cs="宋体"/>
          <w:spacing w:val="1"/>
          <w:sz w:val="23"/>
          <w:szCs w:val="23"/>
        </w:rPr>
        <w:t>)</w:t>
      </w:r>
      <w:r>
        <w:rPr>
          <w:rFonts w:ascii="宋体" w:hAnsi="宋体" w:eastAsia="宋体" w:cs="宋体"/>
          <w:sz w:val="23"/>
          <w:szCs w:val="23"/>
        </w:rPr>
        <w:t xml:space="preserve"> </w:t>
      </w:r>
      <w:r>
        <w:rPr>
          <w:rFonts w:ascii="宋体" w:hAnsi="宋体" w:eastAsia="宋体" w:cs="宋体"/>
          <w:spacing w:val="4"/>
          <w:sz w:val="23"/>
          <w:szCs w:val="23"/>
        </w:rPr>
        <w:t>执行。具体</w:t>
      </w:r>
      <w:r>
        <w:rPr>
          <w:rFonts w:ascii="宋体" w:hAnsi="宋体" w:eastAsia="宋体" w:cs="宋体"/>
          <w:spacing w:val="2"/>
          <w:sz w:val="23"/>
          <w:szCs w:val="23"/>
        </w:rPr>
        <w:t xml:space="preserve">监测项目及分析方法见表 </w:t>
      </w:r>
      <w:r>
        <w:rPr>
          <w:rFonts w:ascii="Times New Roman" w:hAnsi="Times New Roman" w:eastAsia="Times New Roman" w:cs="Times New Roman"/>
          <w:spacing w:val="2"/>
          <w:sz w:val="23"/>
          <w:szCs w:val="23"/>
        </w:rPr>
        <w:t>4- 10</w:t>
      </w:r>
      <w:r>
        <w:rPr>
          <w:rFonts w:ascii="宋体" w:hAnsi="宋体" w:eastAsia="宋体" w:cs="宋体"/>
          <w:spacing w:val="2"/>
          <w:sz w:val="23"/>
          <w:szCs w:val="23"/>
        </w:rPr>
        <w:t>。</w:t>
      </w:r>
    </w:p>
    <w:p w14:paraId="37CB9F71">
      <w:pPr>
        <w:spacing w:before="174" w:line="227" w:lineRule="auto"/>
        <w:ind w:left="2458"/>
        <w:rPr>
          <w:rFonts w:ascii="宋体" w:hAnsi="宋体" w:eastAsia="宋体" w:cs="宋体"/>
          <w:sz w:val="23"/>
          <w:szCs w:val="23"/>
        </w:rPr>
      </w:pPr>
      <w:r>
        <w:rPr>
          <w:rFonts w:ascii="宋体" w:hAnsi="宋体" w:eastAsia="宋体" w:cs="宋体"/>
          <w:spacing w:val="8"/>
          <w:sz w:val="23"/>
          <w:szCs w:val="23"/>
          <w14:textOutline w14:w="4358" w14:cap="sq" w14:cmpd="sng">
            <w14:solidFill>
              <w14:srgbClr w14:val="000000"/>
            </w14:solidFill>
            <w14:prstDash w14:val="solid"/>
            <w14:bevel/>
          </w14:textOutline>
        </w:rPr>
        <w:t>表</w:t>
      </w:r>
      <w:r>
        <w:rPr>
          <w:rFonts w:ascii="宋体" w:hAnsi="宋体" w:eastAsia="宋体" w:cs="宋体"/>
          <w:spacing w:val="8"/>
          <w:sz w:val="23"/>
          <w:szCs w:val="23"/>
        </w:rPr>
        <w:t xml:space="preserve"> </w:t>
      </w:r>
      <w:r>
        <w:rPr>
          <w:rFonts w:ascii="Times New Roman" w:hAnsi="Times New Roman" w:eastAsia="Times New Roman" w:cs="Times New Roman"/>
          <w:b/>
          <w:bCs/>
          <w:spacing w:val="8"/>
          <w:sz w:val="23"/>
          <w:szCs w:val="23"/>
        </w:rPr>
        <w:t>4</w:t>
      </w:r>
      <w:r>
        <w:rPr>
          <w:rFonts w:ascii="Times New Roman" w:hAnsi="Times New Roman" w:eastAsia="Times New Roman" w:cs="Times New Roman"/>
          <w:b/>
          <w:bCs/>
          <w:spacing w:val="4"/>
          <w:sz w:val="23"/>
          <w:szCs w:val="23"/>
        </w:rPr>
        <w:t>-10</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地下水监测项目及分析方法</w:t>
      </w:r>
    </w:p>
    <w:p w14:paraId="1DBF0B9C">
      <w:pPr>
        <w:spacing w:line="19"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0"/>
        <w:gridCol w:w="1131"/>
        <w:gridCol w:w="3336"/>
        <w:gridCol w:w="1870"/>
        <w:gridCol w:w="730"/>
        <w:gridCol w:w="975"/>
      </w:tblGrid>
      <w:tr w14:paraId="2DCD81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480" w:type="dxa"/>
            <w:tcBorders>
              <w:left w:val="nil"/>
            </w:tcBorders>
            <w:vAlign w:val="top"/>
          </w:tcPr>
          <w:p w14:paraId="3DE0DA7E">
            <w:pPr>
              <w:spacing w:before="108" w:line="229" w:lineRule="auto"/>
              <w:ind w:left="36"/>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序号</w:t>
            </w:r>
          </w:p>
        </w:tc>
        <w:tc>
          <w:tcPr>
            <w:tcW w:w="1131" w:type="dxa"/>
            <w:vAlign w:val="top"/>
          </w:tcPr>
          <w:p w14:paraId="424EF05A">
            <w:pPr>
              <w:spacing w:before="107" w:line="228" w:lineRule="auto"/>
              <w:ind w:left="149"/>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检</w:t>
            </w:r>
            <w:r>
              <w:rPr>
                <w:rFonts w:ascii="宋体" w:hAnsi="宋体" w:eastAsia="宋体" w:cs="宋体"/>
                <w:spacing w:val="8"/>
                <w:sz w:val="20"/>
                <w:szCs w:val="20"/>
                <w14:textOutline w14:w="3795" w14:cap="sq" w14:cmpd="sng">
                  <w14:solidFill>
                    <w14:srgbClr w14:val="000000"/>
                  </w14:solidFill>
                  <w14:prstDash w14:val="solid"/>
                  <w14:bevel/>
                </w14:textOutline>
              </w:rPr>
              <w:t>测项目</w:t>
            </w:r>
          </w:p>
        </w:tc>
        <w:tc>
          <w:tcPr>
            <w:tcW w:w="3336" w:type="dxa"/>
            <w:vAlign w:val="top"/>
          </w:tcPr>
          <w:p w14:paraId="630FC233">
            <w:pPr>
              <w:spacing w:before="107" w:line="228" w:lineRule="auto"/>
              <w:ind w:left="833"/>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检</w:t>
            </w:r>
            <w:r>
              <w:rPr>
                <w:rFonts w:ascii="宋体" w:hAnsi="宋体" w:eastAsia="宋体" w:cs="宋体"/>
                <w:spacing w:val="7"/>
                <w:sz w:val="20"/>
                <w:szCs w:val="20"/>
                <w14:textOutline w14:w="3795" w14:cap="sq" w14:cmpd="sng">
                  <w14:solidFill>
                    <w14:srgbClr w14:val="000000"/>
                  </w14:solidFill>
                  <w14:prstDash w14:val="solid"/>
                  <w14:bevel/>
                </w14:textOutline>
              </w:rPr>
              <w:t>测标准</w:t>
            </w:r>
            <w:r>
              <w:rPr>
                <w:rFonts w:ascii="宋体" w:hAnsi="宋体" w:eastAsia="宋体" w:cs="宋体"/>
                <w:spacing w:val="7"/>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(方法)</w:t>
            </w:r>
          </w:p>
        </w:tc>
        <w:tc>
          <w:tcPr>
            <w:tcW w:w="1870" w:type="dxa"/>
            <w:vAlign w:val="top"/>
          </w:tcPr>
          <w:p w14:paraId="20865D03">
            <w:pPr>
              <w:spacing w:before="67" w:line="288" w:lineRule="exact"/>
              <w:ind w:left="74"/>
              <w:rPr>
                <w:rFonts w:ascii="宋体" w:hAnsi="宋体" w:eastAsia="宋体" w:cs="宋体"/>
                <w:sz w:val="20"/>
                <w:szCs w:val="20"/>
              </w:rPr>
            </w:pPr>
            <w:r>
              <w:rPr>
                <w:rFonts w:ascii="宋体" w:hAnsi="宋体" w:eastAsia="宋体" w:cs="宋体"/>
                <w:spacing w:val="12"/>
                <w:position w:val="1"/>
                <w:sz w:val="20"/>
                <w:szCs w:val="20"/>
                <w14:textOutline w14:w="3795" w14:cap="sq" w14:cmpd="sng">
                  <w14:solidFill>
                    <w14:srgbClr w14:val="000000"/>
                  </w14:solidFill>
                  <w14:prstDash w14:val="solid"/>
                  <w14:bevel/>
                </w14:textOutline>
              </w:rPr>
              <w:t>分</w:t>
            </w:r>
            <w:r>
              <w:rPr>
                <w:rFonts w:ascii="宋体" w:hAnsi="宋体" w:eastAsia="宋体" w:cs="宋体"/>
                <w:spacing w:val="8"/>
                <w:position w:val="1"/>
                <w:sz w:val="20"/>
                <w:szCs w:val="20"/>
                <w14:textOutline w14:w="3795" w14:cap="sq" w14:cmpd="sng">
                  <w14:solidFill>
                    <w14:srgbClr w14:val="000000"/>
                  </w14:solidFill>
                  <w14:prstDash w14:val="solid"/>
                  <w14:bevel/>
                </w14:textOutline>
              </w:rPr>
              <w:t>析仪器名称</w:t>
            </w:r>
            <w:r>
              <w:rPr>
                <w:rFonts w:ascii="Times New Roman" w:hAnsi="Times New Roman" w:eastAsia="Times New Roman" w:cs="Times New Roman"/>
                <w:b/>
                <w:bCs/>
                <w:spacing w:val="8"/>
                <w:position w:val="1"/>
                <w:sz w:val="20"/>
                <w:szCs w:val="20"/>
              </w:rPr>
              <w:t>/</w:t>
            </w:r>
            <w:r>
              <w:rPr>
                <w:rFonts w:ascii="宋体" w:hAnsi="宋体" w:eastAsia="宋体" w:cs="宋体"/>
                <w:spacing w:val="8"/>
                <w:position w:val="1"/>
                <w:sz w:val="20"/>
                <w:szCs w:val="20"/>
                <w14:textOutline w14:w="3795" w14:cap="sq" w14:cmpd="sng">
                  <w14:solidFill>
                    <w14:srgbClr w14:val="000000"/>
                  </w14:solidFill>
                  <w14:prstDash w14:val="solid"/>
                  <w14:bevel/>
                </w14:textOutline>
              </w:rPr>
              <w:t>型号</w:t>
            </w:r>
          </w:p>
        </w:tc>
        <w:tc>
          <w:tcPr>
            <w:tcW w:w="730" w:type="dxa"/>
            <w:vAlign w:val="top"/>
          </w:tcPr>
          <w:p w14:paraId="40AAC1D7">
            <w:pPr>
              <w:spacing w:before="107" w:line="228" w:lineRule="auto"/>
              <w:ind w:left="55"/>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检</w:t>
            </w:r>
            <w:r>
              <w:rPr>
                <w:rFonts w:ascii="宋体" w:hAnsi="宋体" w:eastAsia="宋体" w:cs="宋体"/>
                <w:spacing w:val="7"/>
                <w:sz w:val="20"/>
                <w:szCs w:val="20"/>
                <w14:textOutline w14:w="3795" w14:cap="sq" w14:cmpd="sng">
                  <w14:solidFill>
                    <w14:srgbClr w14:val="000000"/>
                  </w14:solidFill>
                  <w14:prstDash w14:val="solid"/>
                  <w14:bevel/>
                </w14:textOutline>
              </w:rPr>
              <w:t>出限</w:t>
            </w:r>
          </w:p>
        </w:tc>
        <w:tc>
          <w:tcPr>
            <w:tcW w:w="975" w:type="dxa"/>
            <w:tcBorders>
              <w:right w:val="nil"/>
            </w:tcBorders>
            <w:vAlign w:val="top"/>
          </w:tcPr>
          <w:p w14:paraId="7E3CFB76">
            <w:pPr>
              <w:spacing w:before="108" w:line="228" w:lineRule="auto"/>
              <w:ind w:left="284"/>
              <w:rPr>
                <w:rFonts w:ascii="宋体" w:hAnsi="宋体" w:eastAsia="宋体" w:cs="宋体"/>
                <w:sz w:val="20"/>
                <w:szCs w:val="20"/>
              </w:rPr>
            </w:pPr>
            <w:r>
              <w:rPr>
                <w:rFonts w:ascii="宋体" w:hAnsi="宋体" w:eastAsia="宋体" w:cs="宋体"/>
                <w:spacing w:val="5"/>
                <w:sz w:val="20"/>
                <w:szCs w:val="20"/>
                <w14:textOutline w14:w="3795" w14:cap="sq" w14:cmpd="sng">
                  <w14:solidFill>
                    <w14:srgbClr w14:val="000000"/>
                  </w14:solidFill>
                  <w14:prstDash w14:val="solid"/>
                  <w14:bevel/>
                </w14:textOutline>
              </w:rPr>
              <w:t>单位</w:t>
            </w:r>
          </w:p>
        </w:tc>
      </w:tr>
      <w:tr w14:paraId="7C5DE7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6" w:hRule="atLeast"/>
        </w:trPr>
        <w:tc>
          <w:tcPr>
            <w:tcW w:w="480" w:type="dxa"/>
            <w:tcBorders>
              <w:left w:val="nil"/>
            </w:tcBorders>
            <w:vAlign w:val="top"/>
          </w:tcPr>
          <w:p w14:paraId="687C15C9">
            <w:pPr>
              <w:spacing w:line="353" w:lineRule="auto"/>
              <w:rPr>
                <w:rFonts w:ascii="Arial"/>
                <w:sz w:val="21"/>
              </w:rPr>
            </w:pPr>
          </w:p>
          <w:p w14:paraId="08F410B0">
            <w:pPr>
              <w:spacing w:before="57" w:line="195" w:lineRule="auto"/>
              <w:ind w:left="211"/>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131" w:type="dxa"/>
            <w:vAlign w:val="top"/>
          </w:tcPr>
          <w:p w14:paraId="5ED58361">
            <w:pPr>
              <w:spacing w:line="333" w:lineRule="auto"/>
              <w:rPr>
                <w:rFonts w:ascii="Arial"/>
                <w:sz w:val="21"/>
              </w:rPr>
            </w:pPr>
          </w:p>
          <w:p w14:paraId="20FE3F94">
            <w:pPr>
              <w:spacing w:before="58" w:line="212" w:lineRule="auto"/>
              <w:ind w:left="333"/>
              <w:rPr>
                <w:rFonts w:ascii="Times New Roman" w:hAnsi="Times New Roman" w:eastAsia="Times New Roman" w:cs="Times New Roman"/>
                <w:sz w:val="13"/>
                <w:szCs w:val="13"/>
              </w:rPr>
            </w:pPr>
            <w:r>
              <w:rPr>
                <w:rFonts w:ascii="Times New Roman" w:hAnsi="Times New Roman" w:eastAsia="Times New Roman" w:cs="Times New Roman"/>
                <w:sz w:val="20"/>
                <w:szCs w:val="20"/>
              </w:rPr>
              <w:t>CO</w:t>
            </w:r>
            <w:r>
              <w:rPr>
                <w:rFonts w:ascii="Times New Roman" w:hAnsi="Times New Roman" w:eastAsia="Times New Roman" w:cs="Times New Roman"/>
                <w:spacing w:val="6"/>
                <w:position w:val="-2"/>
                <w:sz w:val="13"/>
                <w:szCs w:val="13"/>
              </w:rPr>
              <w:t>3</w:t>
            </w:r>
            <w:r>
              <w:rPr>
                <w:rFonts w:ascii="Times New Roman" w:hAnsi="Times New Roman" w:eastAsia="Times New Roman" w:cs="Times New Roman"/>
                <w:spacing w:val="4"/>
                <w:position w:val="6"/>
                <w:sz w:val="13"/>
                <w:szCs w:val="13"/>
              </w:rPr>
              <w:t>2-</w:t>
            </w:r>
          </w:p>
        </w:tc>
        <w:tc>
          <w:tcPr>
            <w:tcW w:w="3336" w:type="dxa"/>
            <w:vAlign w:val="top"/>
          </w:tcPr>
          <w:p w14:paraId="6AFE889F">
            <w:pPr>
              <w:spacing w:before="65" w:line="301" w:lineRule="auto"/>
              <w:ind w:left="366" w:right="91" w:hanging="268"/>
              <w:rPr>
                <w:rFonts w:ascii="Times New Roman" w:hAnsi="Times New Roman" w:eastAsia="Times New Roman" w:cs="Times New Roman"/>
                <w:sz w:val="20"/>
                <w:szCs w:val="20"/>
              </w:rPr>
            </w:pPr>
            <w:r>
              <w:rPr>
                <w:rFonts w:ascii="宋体" w:hAnsi="宋体" w:eastAsia="宋体" w:cs="宋体"/>
                <w:spacing w:val="14"/>
                <w:sz w:val="20"/>
                <w:szCs w:val="20"/>
              </w:rPr>
              <w:t>地</w:t>
            </w:r>
            <w:r>
              <w:rPr>
                <w:rFonts w:ascii="宋体" w:hAnsi="宋体" w:eastAsia="宋体" w:cs="宋体"/>
                <w:spacing w:val="9"/>
                <w:sz w:val="20"/>
                <w:szCs w:val="20"/>
              </w:rPr>
              <w:t>下水质检验方法滴定法测定碳酸</w:t>
            </w:r>
            <w:r>
              <w:rPr>
                <w:rFonts w:ascii="宋体" w:hAnsi="宋体" w:eastAsia="宋体" w:cs="宋体"/>
                <w:sz w:val="20"/>
                <w:szCs w:val="20"/>
              </w:rPr>
              <w:t xml:space="preserve"> </w:t>
            </w:r>
            <w:r>
              <w:rPr>
                <w:rFonts w:ascii="宋体" w:hAnsi="宋体" w:eastAsia="宋体" w:cs="宋体"/>
                <w:spacing w:val="6"/>
                <w:sz w:val="20"/>
                <w:szCs w:val="20"/>
              </w:rPr>
              <w:t>根</w:t>
            </w:r>
            <w:r>
              <w:rPr>
                <w:rFonts w:ascii="宋体" w:hAnsi="宋体" w:eastAsia="宋体" w:cs="宋体"/>
                <w:spacing w:val="5"/>
                <w:sz w:val="20"/>
                <w:szCs w:val="20"/>
              </w:rPr>
              <w:t xml:space="preserve">、重碳酸根和氢氧根 </w:t>
            </w:r>
            <w:r>
              <w:rPr>
                <w:rFonts w:ascii="Times New Roman" w:hAnsi="Times New Roman" w:eastAsia="Times New Roman" w:cs="Times New Roman"/>
                <w:sz w:val="20"/>
                <w:szCs w:val="20"/>
              </w:rPr>
              <w:t>DZ</w:t>
            </w:r>
            <w:r>
              <w:rPr>
                <w:rFonts w:ascii="Times New Roman" w:hAnsi="Times New Roman" w:eastAsia="Times New Roman" w:cs="Times New Roman"/>
                <w:spacing w:val="5"/>
                <w:sz w:val="20"/>
                <w:szCs w:val="20"/>
              </w:rPr>
              <w:t>/</w:t>
            </w:r>
            <w:r>
              <w:rPr>
                <w:rFonts w:ascii="Times New Roman" w:hAnsi="Times New Roman" w:eastAsia="Times New Roman" w:cs="Times New Roman"/>
                <w:sz w:val="20"/>
                <w:szCs w:val="20"/>
              </w:rPr>
              <w:t>T</w:t>
            </w:r>
          </w:p>
          <w:p w14:paraId="1C6C5044">
            <w:pPr>
              <w:spacing w:before="6" w:line="195" w:lineRule="auto"/>
              <w:ind w:left="108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00</w:t>
            </w:r>
            <w:r>
              <w:rPr>
                <w:rFonts w:ascii="Times New Roman" w:hAnsi="Times New Roman" w:eastAsia="Times New Roman" w:cs="Times New Roman"/>
                <w:sz w:val="20"/>
                <w:szCs w:val="20"/>
              </w:rPr>
              <w:t>64.49- 1993</w:t>
            </w:r>
          </w:p>
        </w:tc>
        <w:tc>
          <w:tcPr>
            <w:tcW w:w="1870" w:type="dxa"/>
            <w:vAlign w:val="top"/>
          </w:tcPr>
          <w:p w14:paraId="66CFC0A6">
            <w:pPr>
              <w:spacing w:line="309" w:lineRule="auto"/>
              <w:rPr>
                <w:rFonts w:ascii="Arial"/>
                <w:sz w:val="21"/>
              </w:rPr>
            </w:pPr>
          </w:p>
          <w:p w14:paraId="5107715B">
            <w:pPr>
              <w:spacing w:before="65" w:line="228" w:lineRule="auto"/>
              <w:ind w:left="628"/>
              <w:rPr>
                <w:rFonts w:ascii="宋体" w:hAnsi="宋体" w:eastAsia="宋体" w:cs="宋体"/>
                <w:sz w:val="20"/>
                <w:szCs w:val="20"/>
              </w:rPr>
            </w:pPr>
            <w:r>
              <w:rPr>
                <w:rFonts w:ascii="宋体" w:hAnsi="宋体" w:eastAsia="宋体" w:cs="宋体"/>
                <w:spacing w:val="7"/>
                <w:sz w:val="20"/>
                <w:szCs w:val="20"/>
              </w:rPr>
              <w:t>滴</w:t>
            </w:r>
            <w:r>
              <w:rPr>
                <w:rFonts w:ascii="宋体" w:hAnsi="宋体" w:eastAsia="宋体" w:cs="宋体"/>
                <w:spacing w:val="6"/>
                <w:sz w:val="20"/>
                <w:szCs w:val="20"/>
              </w:rPr>
              <w:t>定管</w:t>
            </w:r>
          </w:p>
        </w:tc>
        <w:tc>
          <w:tcPr>
            <w:tcW w:w="730" w:type="dxa"/>
            <w:vAlign w:val="top"/>
          </w:tcPr>
          <w:p w14:paraId="7C2C55CE">
            <w:pPr>
              <w:spacing w:line="441" w:lineRule="auto"/>
              <w:rPr>
                <w:rFonts w:ascii="Arial"/>
                <w:sz w:val="21"/>
              </w:rPr>
            </w:pPr>
          </w:p>
          <w:p w14:paraId="1432C166">
            <w:pPr>
              <w:spacing w:before="58" w:line="142" w:lineRule="exact"/>
              <w:ind w:left="150"/>
              <w:rPr>
                <w:rFonts w:ascii="Times New Roman" w:hAnsi="Times New Roman" w:eastAsia="Times New Roman" w:cs="Times New Roman"/>
                <w:sz w:val="20"/>
                <w:szCs w:val="20"/>
              </w:rPr>
            </w:pPr>
            <w:r>
              <w:rPr>
                <w:rFonts w:ascii="Times New Roman" w:hAnsi="Times New Roman" w:eastAsia="Times New Roman" w:cs="Times New Roman"/>
                <w:spacing w:val="11"/>
                <w:position w:val="-1"/>
                <w:sz w:val="20"/>
                <w:szCs w:val="20"/>
              </w:rPr>
              <w:t>—</w:t>
            </w:r>
            <w:r>
              <w:rPr>
                <w:rFonts w:ascii="Times New Roman" w:hAnsi="Times New Roman" w:eastAsia="Times New Roman" w:cs="Times New Roman"/>
                <w:spacing w:val="10"/>
                <w:position w:val="-1"/>
                <w:sz w:val="20"/>
                <w:szCs w:val="20"/>
              </w:rPr>
              <w:t>—</w:t>
            </w:r>
          </w:p>
        </w:tc>
        <w:tc>
          <w:tcPr>
            <w:tcW w:w="975" w:type="dxa"/>
            <w:tcBorders>
              <w:right w:val="nil"/>
            </w:tcBorders>
            <w:vAlign w:val="top"/>
          </w:tcPr>
          <w:p w14:paraId="3DDD2DD6">
            <w:pPr>
              <w:spacing w:line="280" w:lineRule="auto"/>
              <w:rPr>
                <w:rFonts w:ascii="Arial"/>
                <w:sz w:val="21"/>
              </w:rPr>
            </w:pPr>
          </w:p>
          <w:p w14:paraId="61C0C061">
            <w:pPr>
              <w:spacing w:before="57" w:line="281" w:lineRule="exact"/>
              <w:ind w:left="259"/>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r>
      <w:tr w14:paraId="197159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6" w:hRule="atLeast"/>
        </w:trPr>
        <w:tc>
          <w:tcPr>
            <w:tcW w:w="480" w:type="dxa"/>
            <w:tcBorders>
              <w:left w:val="nil"/>
            </w:tcBorders>
            <w:vAlign w:val="top"/>
          </w:tcPr>
          <w:p w14:paraId="313EE01D">
            <w:pPr>
              <w:spacing w:line="354" w:lineRule="auto"/>
              <w:rPr>
                <w:rFonts w:ascii="Arial"/>
                <w:sz w:val="21"/>
              </w:rPr>
            </w:pPr>
          </w:p>
          <w:p w14:paraId="244E2451">
            <w:pPr>
              <w:spacing w:before="57" w:line="195" w:lineRule="auto"/>
              <w:ind w:left="191"/>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131" w:type="dxa"/>
            <w:vAlign w:val="top"/>
          </w:tcPr>
          <w:p w14:paraId="58D899C5">
            <w:pPr>
              <w:spacing w:line="354" w:lineRule="auto"/>
              <w:rPr>
                <w:rFonts w:ascii="Arial"/>
                <w:sz w:val="21"/>
              </w:rPr>
            </w:pPr>
          </w:p>
          <w:p w14:paraId="44B00A4B">
            <w:pPr>
              <w:spacing w:before="57" w:line="197" w:lineRule="auto"/>
              <w:ind w:left="289"/>
              <w:rPr>
                <w:rFonts w:ascii="Times New Roman" w:hAnsi="Times New Roman" w:eastAsia="Times New Roman" w:cs="Times New Roman"/>
                <w:sz w:val="13"/>
                <w:szCs w:val="13"/>
              </w:rPr>
            </w:pPr>
            <w:r>
              <w:rPr>
                <w:rFonts w:ascii="Times New Roman" w:hAnsi="Times New Roman" w:eastAsia="Times New Roman" w:cs="Times New Roman"/>
                <w:sz w:val="20"/>
                <w:szCs w:val="20"/>
              </w:rPr>
              <w:t>HCO</w:t>
            </w:r>
            <w:r>
              <w:rPr>
                <w:rFonts w:ascii="Times New Roman" w:hAnsi="Times New Roman" w:eastAsia="Times New Roman" w:cs="Times New Roman"/>
                <w:spacing w:val="11"/>
                <w:position w:val="-1"/>
                <w:sz w:val="13"/>
                <w:szCs w:val="13"/>
              </w:rPr>
              <w:t>3</w:t>
            </w:r>
            <w:r>
              <w:rPr>
                <w:rFonts w:ascii="Times New Roman" w:hAnsi="Times New Roman" w:eastAsia="Times New Roman" w:cs="Times New Roman"/>
                <w:spacing w:val="11"/>
                <w:position w:val="7"/>
                <w:sz w:val="13"/>
                <w:szCs w:val="13"/>
              </w:rPr>
              <w:t>-</w:t>
            </w:r>
          </w:p>
        </w:tc>
        <w:tc>
          <w:tcPr>
            <w:tcW w:w="3336" w:type="dxa"/>
            <w:vAlign w:val="top"/>
          </w:tcPr>
          <w:p w14:paraId="0352845A">
            <w:pPr>
              <w:spacing w:before="66" w:line="301" w:lineRule="auto"/>
              <w:ind w:left="366" w:right="91" w:hanging="268"/>
              <w:rPr>
                <w:rFonts w:ascii="Times New Roman" w:hAnsi="Times New Roman" w:eastAsia="Times New Roman" w:cs="Times New Roman"/>
                <w:sz w:val="20"/>
                <w:szCs w:val="20"/>
              </w:rPr>
            </w:pPr>
            <w:r>
              <w:rPr>
                <w:rFonts w:ascii="宋体" w:hAnsi="宋体" w:eastAsia="宋体" w:cs="宋体"/>
                <w:spacing w:val="14"/>
                <w:sz w:val="20"/>
                <w:szCs w:val="20"/>
              </w:rPr>
              <w:t>地</w:t>
            </w:r>
            <w:r>
              <w:rPr>
                <w:rFonts w:ascii="宋体" w:hAnsi="宋体" w:eastAsia="宋体" w:cs="宋体"/>
                <w:spacing w:val="9"/>
                <w:sz w:val="20"/>
                <w:szCs w:val="20"/>
              </w:rPr>
              <w:t>下水质检验方法滴定法测定碳酸</w:t>
            </w:r>
            <w:r>
              <w:rPr>
                <w:rFonts w:ascii="宋体" w:hAnsi="宋体" w:eastAsia="宋体" w:cs="宋体"/>
                <w:sz w:val="20"/>
                <w:szCs w:val="20"/>
              </w:rPr>
              <w:t xml:space="preserve"> </w:t>
            </w:r>
            <w:r>
              <w:rPr>
                <w:rFonts w:ascii="宋体" w:hAnsi="宋体" w:eastAsia="宋体" w:cs="宋体"/>
                <w:spacing w:val="6"/>
                <w:sz w:val="20"/>
                <w:szCs w:val="20"/>
              </w:rPr>
              <w:t>根</w:t>
            </w:r>
            <w:r>
              <w:rPr>
                <w:rFonts w:ascii="宋体" w:hAnsi="宋体" w:eastAsia="宋体" w:cs="宋体"/>
                <w:spacing w:val="5"/>
                <w:sz w:val="20"/>
                <w:szCs w:val="20"/>
              </w:rPr>
              <w:t xml:space="preserve">、重碳酸根和氢氧根 </w:t>
            </w:r>
            <w:r>
              <w:rPr>
                <w:rFonts w:ascii="Times New Roman" w:hAnsi="Times New Roman" w:eastAsia="Times New Roman" w:cs="Times New Roman"/>
                <w:sz w:val="20"/>
                <w:szCs w:val="20"/>
              </w:rPr>
              <w:t>DZ</w:t>
            </w:r>
            <w:r>
              <w:rPr>
                <w:rFonts w:ascii="Times New Roman" w:hAnsi="Times New Roman" w:eastAsia="Times New Roman" w:cs="Times New Roman"/>
                <w:spacing w:val="5"/>
                <w:sz w:val="20"/>
                <w:szCs w:val="20"/>
              </w:rPr>
              <w:t>/</w:t>
            </w:r>
            <w:r>
              <w:rPr>
                <w:rFonts w:ascii="Times New Roman" w:hAnsi="Times New Roman" w:eastAsia="Times New Roman" w:cs="Times New Roman"/>
                <w:sz w:val="20"/>
                <w:szCs w:val="20"/>
              </w:rPr>
              <w:t>T</w:t>
            </w:r>
          </w:p>
          <w:p w14:paraId="5554890F">
            <w:pPr>
              <w:spacing w:before="6" w:line="195" w:lineRule="auto"/>
              <w:ind w:left="108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00</w:t>
            </w:r>
            <w:r>
              <w:rPr>
                <w:rFonts w:ascii="Times New Roman" w:hAnsi="Times New Roman" w:eastAsia="Times New Roman" w:cs="Times New Roman"/>
                <w:sz w:val="20"/>
                <w:szCs w:val="20"/>
              </w:rPr>
              <w:t>64.49- 1993</w:t>
            </w:r>
          </w:p>
        </w:tc>
        <w:tc>
          <w:tcPr>
            <w:tcW w:w="1870" w:type="dxa"/>
            <w:vAlign w:val="top"/>
          </w:tcPr>
          <w:p w14:paraId="0B1B949E">
            <w:pPr>
              <w:spacing w:line="310" w:lineRule="auto"/>
              <w:rPr>
                <w:rFonts w:ascii="Arial"/>
                <w:sz w:val="21"/>
              </w:rPr>
            </w:pPr>
          </w:p>
          <w:p w14:paraId="49D9320E">
            <w:pPr>
              <w:spacing w:before="65" w:line="228" w:lineRule="auto"/>
              <w:ind w:left="628"/>
              <w:rPr>
                <w:rFonts w:ascii="宋体" w:hAnsi="宋体" w:eastAsia="宋体" w:cs="宋体"/>
                <w:sz w:val="20"/>
                <w:szCs w:val="20"/>
              </w:rPr>
            </w:pPr>
            <w:r>
              <w:rPr>
                <w:rFonts w:ascii="宋体" w:hAnsi="宋体" w:eastAsia="宋体" w:cs="宋体"/>
                <w:spacing w:val="7"/>
                <w:sz w:val="20"/>
                <w:szCs w:val="20"/>
              </w:rPr>
              <w:t>滴</w:t>
            </w:r>
            <w:r>
              <w:rPr>
                <w:rFonts w:ascii="宋体" w:hAnsi="宋体" w:eastAsia="宋体" w:cs="宋体"/>
                <w:spacing w:val="6"/>
                <w:sz w:val="20"/>
                <w:szCs w:val="20"/>
              </w:rPr>
              <w:t>定管</w:t>
            </w:r>
          </w:p>
        </w:tc>
        <w:tc>
          <w:tcPr>
            <w:tcW w:w="730" w:type="dxa"/>
            <w:vAlign w:val="top"/>
          </w:tcPr>
          <w:p w14:paraId="1C4B7A7E">
            <w:pPr>
              <w:spacing w:line="442" w:lineRule="auto"/>
              <w:rPr>
                <w:rFonts w:ascii="Arial"/>
                <w:sz w:val="21"/>
              </w:rPr>
            </w:pPr>
          </w:p>
          <w:p w14:paraId="53FAC0C2">
            <w:pPr>
              <w:spacing w:before="58" w:line="142" w:lineRule="exact"/>
              <w:ind w:left="150"/>
              <w:rPr>
                <w:rFonts w:ascii="Times New Roman" w:hAnsi="Times New Roman" w:eastAsia="Times New Roman" w:cs="Times New Roman"/>
                <w:sz w:val="20"/>
                <w:szCs w:val="20"/>
              </w:rPr>
            </w:pPr>
            <w:r>
              <w:rPr>
                <w:rFonts w:ascii="Times New Roman" w:hAnsi="Times New Roman" w:eastAsia="Times New Roman" w:cs="Times New Roman"/>
                <w:spacing w:val="11"/>
                <w:position w:val="-1"/>
                <w:sz w:val="20"/>
                <w:szCs w:val="20"/>
              </w:rPr>
              <w:t>—</w:t>
            </w:r>
            <w:r>
              <w:rPr>
                <w:rFonts w:ascii="Times New Roman" w:hAnsi="Times New Roman" w:eastAsia="Times New Roman" w:cs="Times New Roman"/>
                <w:spacing w:val="10"/>
                <w:position w:val="-1"/>
                <w:sz w:val="20"/>
                <w:szCs w:val="20"/>
              </w:rPr>
              <w:t>—</w:t>
            </w:r>
          </w:p>
        </w:tc>
        <w:tc>
          <w:tcPr>
            <w:tcW w:w="975" w:type="dxa"/>
            <w:tcBorders>
              <w:right w:val="nil"/>
            </w:tcBorders>
            <w:vAlign w:val="top"/>
          </w:tcPr>
          <w:p w14:paraId="3E173070">
            <w:pPr>
              <w:spacing w:line="281" w:lineRule="auto"/>
              <w:rPr>
                <w:rFonts w:ascii="Arial"/>
                <w:sz w:val="21"/>
              </w:rPr>
            </w:pPr>
          </w:p>
          <w:p w14:paraId="26A95192">
            <w:pPr>
              <w:spacing w:before="57" w:line="281" w:lineRule="exact"/>
              <w:ind w:left="259"/>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r>
      <w:tr w14:paraId="6863E2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5" w:hRule="atLeast"/>
        </w:trPr>
        <w:tc>
          <w:tcPr>
            <w:tcW w:w="480" w:type="dxa"/>
            <w:tcBorders>
              <w:left w:val="nil"/>
            </w:tcBorders>
            <w:vAlign w:val="top"/>
          </w:tcPr>
          <w:p w14:paraId="185CF45A">
            <w:pPr>
              <w:spacing w:line="386" w:lineRule="auto"/>
              <w:rPr>
                <w:rFonts w:ascii="Arial"/>
                <w:sz w:val="21"/>
              </w:rPr>
            </w:pPr>
          </w:p>
          <w:p w14:paraId="62621168">
            <w:pPr>
              <w:spacing w:before="57" w:line="195" w:lineRule="auto"/>
              <w:ind w:left="195"/>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131" w:type="dxa"/>
            <w:vAlign w:val="top"/>
          </w:tcPr>
          <w:p w14:paraId="649DB19F">
            <w:pPr>
              <w:spacing w:line="342" w:lineRule="auto"/>
              <w:rPr>
                <w:rFonts w:ascii="Arial"/>
                <w:sz w:val="21"/>
              </w:rPr>
            </w:pPr>
          </w:p>
          <w:p w14:paraId="02D0CB01">
            <w:pPr>
              <w:spacing w:before="65" w:line="228" w:lineRule="auto"/>
              <w:ind w:left="153"/>
              <w:rPr>
                <w:rFonts w:ascii="宋体" w:hAnsi="宋体" w:eastAsia="宋体" w:cs="宋体"/>
                <w:sz w:val="20"/>
                <w:szCs w:val="20"/>
              </w:rPr>
            </w:pPr>
            <w:r>
              <w:rPr>
                <w:rFonts w:ascii="宋体" w:hAnsi="宋体" w:eastAsia="宋体" w:cs="宋体"/>
                <w:spacing w:val="7"/>
                <w:sz w:val="20"/>
                <w:szCs w:val="20"/>
              </w:rPr>
              <w:t>菌</w:t>
            </w:r>
            <w:r>
              <w:rPr>
                <w:rFonts w:ascii="宋体" w:hAnsi="宋体" w:eastAsia="宋体" w:cs="宋体"/>
                <w:spacing w:val="6"/>
                <w:sz w:val="20"/>
                <w:szCs w:val="20"/>
              </w:rPr>
              <w:t>落总数</w:t>
            </w:r>
          </w:p>
        </w:tc>
        <w:tc>
          <w:tcPr>
            <w:tcW w:w="3336" w:type="dxa"/>
            <w:vAlign w:val="top"/>
          </w:tcPr>
          <w:p w14:paraId="191F7B21">
            <w:pPr>
              <w:spacing w:before="254" w:line="301" w:lineRule="auto"/>
              <w:ind w:left="68" w:right="43" w:firstLine="29"/>
              <w:rPr>
                <w:rFonts w:ascii="宋体" w:hAnsi="宋体" w:eastAsia="宋体" w:cs="宋体"/>
                <w:sz w:val="20"/>
                <w:szCs w:val="20"/>
              </w:rPr>
            </w:pPr>
            <w:r>
              <w:rPr>
                <w:rFonts w:ascii="宋体" w:hAnsi="宋体" w:eastAsia="宋体" w:cs="宋体"/>
                <w:spacing w:val="-4"/>
                <w:sz w:val="20"/>
                <w:szCs w:val="20"/>
              </w:rPr>
              <w:t>生活饮用水</w:t>
            </w:r>
            <w:r>
              <w:rPr>
                <w:rFonts w:ascii="宋体" w:hAnsi="宋体" w:eastAsia="宋体" w:cs="宋体"/>
                <w:spacing w:val="-3"/>
                <w:sz w:val="20"/>
                <w:szCs w:val="20"/>
              </w:rPr>
              <w:t>标</w:t>
            </w:r>
            <w:r>
              <w:rPr>
                <w:rFonts w:ascii="宋体" w:hAnsi="宋体" w:eastAsia="宋体" w:cs="宋体"/>
                <w:spacing w:val="-2"/>
                <w:sz w:val="20"/>
                <w:szCs w:val="20"/>
              </w:rPr>
              <w:t>准检 验方法 微生物指</w:t>
            </w:r>
            <w:r>
              <w:rPr>
                <w:rFonts w:ascii="宋体" w:hAnsi="宋体" w:eastAsia="宋体" w:cs="宋体"/>
                <w:sz w:val="20"/>
                <w:szCs w:val="20"/>
              </w:rPr>
              <w:t xml:space="preserve"> </w:t>
            </w:r>
            <w:r>
              <w:rPr>
                <w:rFonts w:ascii="宋体" w:hAnsi="宋体" w:eastAsia="宋体" w:cs="宋体"/>
                <w:spacing w:val="-5"/>
                <w:sz w:val="20"/>
                <w:szCs w:val="20"/>
              </w:rPr>
              <w:t xml:space="preserve">标 </w:t>
            </w:r>
            <w:r>
              <w:rPr>
                <w:rFonts w:ascii="Times New Roman" w:hAnsi="Times New Roman" w:eastAsia="Times New Roman" w:cs="Times New Roman"/>
                <w:spacing w:val="-5"/>
                <w:sz w:val="20"/>
                <w:szCs w:val="20"/>
              </w:rPr>
              <w:t>GB/</w:t>
            </w:r>
            <w:r>
              <w:rPr>
                <w:rFonts w:ascii="Times New Roman" w:hAnsi="Times New Roman" w:eastAsia="Times New Roman" w:cs="Times New Roman"/>
                <w:spacing w:val="-3"/>
                <w:sz w:val="20"/>
                <w:szCs w:val="20"/>
              </w:rPr>
              <w:t>T</w:t>
            </w:r>
            <w:r>
              <w:rPr>
                <w:rFonts w:ascii="Times New Roman" w:hAnsi="Times New Roman" w:eastAsia="Times New Roman" w:cs="Times New Roman"/>
                <w:spacing w:val="-5"/>
                <w:sz w:val="20"/>
                <w:szCs w:val="20"/>
              </w:rPr>
              <w:t xml:space="preserve"> 5750. 12-2006 1. 1 </w:t>
            </w:r>
            <w:r>
              <w:rPr>
                <w:rFonts w:ascii="宋体" w:hAnsi="宋体" w:eastAsia="宋体" w:cs="宋体"/>
                <w:spacing w:val="-5"/>
                <w:sz w:val="20"/>
                <w:szCs w:val="20"/>
              </w:rPr>
              <w:t>平皿计数法</w:t>
            </w:r>
          </w:p>
        </w:tc>
        <w:tc>
          <w:tcPr>
            <w:tcW w:w="1870" w:type="dxa"/>
            <w:vAlign w:val="top"/>
          </w:tcPr>
          <w:p w14:paraId="20A737BC">
            <w:pPr>
              <w:spacing w:before="98" w:line="348" w:lineRule="exact"/>
              <w:ind w:left="417"/>
              <w:rPr>
                <w:rFonts w:ascii="宋体" w:hAnsi="宋体" w:eastAsia="宋体" w:cs="宋体"/>
                <w:sz w:val="20"/>
                <w:szCs w:val="20"/>
              </w:rPr>
            </w:pPr>
            <w:r>
              <w:rPr>
                <w:rFonts w:ascii="宋体" w:hAnsi="宋体" w:eastAsia="宋体" w:cs="宋体"/>
                <w:spacing w:val="8"/>
                <w:position w:val="10"/>
                <w:sz w:val="20"/>
                <w:szCs w:val="20"/>
              </w:rPr>
              <w:t>生化培养</w:t>
            </w:r>
            <w:r>
              <w:rPr>
                <w:rFonts w:ascii="宋体" w:hAnsi="宋体" w:eastAsia="宋体" w:cs="宋体"/>
                <w:spacing w:val="7"/>
                <w:position w:val="10"/>
                <w:sz w:val="20"/>
                <w:szCs w:val="20"/>
              </w:rPr>
              <w:t>箱</w:t>
            </w:r>
          </w:p>
          <w:p w14:paraId="0A30F237">
            <w:pPr>
              <w:spacing w:line="194" w:lineRule="auto"/>
              <w:ind w:left="51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LRH</w:t>
            </w:r>
            <w:r>
              <w:rPr>
                <w:rFonts w:ascii="Times New Roman" w:hAnsi="Times New Roman" w:eastAsia="Times New Roman" w:cs="Times New Roman"/>
                <w:spacing w:val="-2"/>
                <w:sz w:val="20"/>
                <w:szCs w:val="20"/>
              </w:rPr>
              <w:t>- 1</w:t>
            </w:r>
            <w:r>
              <w:rPr>
                <w:rFonts w:ascii="Times New Roman" w:hAnsi="Times New Roman" w:eastAsia="Times New Roman" w:cs="Times New Roman"/>
                <w:spacing w:val="-1"/>
                <w:sz w:val="20"/>
                <w:szCs w:val="20"/>
              </w:rPr>
              <w:t>50B</w:t>
            </w:r>
          </w:p>
          <w:p w14:paraId="0A34B753">
            <w:pPr>
              <w:spacing w:before="125" w:line="195" w:lineRule="auto"/>
              <w:ind w:left="190"/>
              <w:rPr>
                <w:rFonts w:ascii="Times New Roman" w:hAnsi="Times New Roman" w:eastAsia="Times New Roman" w:cs="Times New Roman"/>
                <w:sz w:val="20"/>
                <w:szCs w:val="20"/>
              </w:rPr>
            </w:pPr>
            <w:r>
              <w:rPr>
                <w:rFonts w:ascii="Times New Roman" w:hAnsi="Times New Roman" w:eastAsia="Times New Roman" w:cs="Times New Roman"/>
                <w:sz w:val="20"/>
                <w:szCs w:val="20"/>
              </w:rPr>
              <w:t>SYZZ</w:t>
            </w:r>
            <w:r>
              <w:rPr>
                <w:rFonts w:ascii="Times New Roman" w:hAnsi="Times New Roman" w:eastAsia="Times New Roman" w:cs="Times New Roman"/>
                <w:spacing w:val="8"/>
                <w:sz w:val="20"/>
                <w:szCs w:val="20"/>
              </w:rPr>
              <w:t>-</w:t>
            </w:r>
            <w:r>
              <w:rPr>
                <w:rFonts w:ascii="Times New Roman" w:hAnsi="Times New Roman" w:eastAsia="Times New Roman" w:cs="Times New Roman"/>
                <w:sz w:val="20"/>
                <w:szCs w:val="20"/>
              </w:rPr>
              <w:t>SB</w:t>
            </w:r>
            <w:r>
              <w:rPr>
                <w:rFonts w:ascii="Times New Roman" w:hAnsi="Times New Roman" w:eastAsia="Times New Roman" w:cs="Times New Roman"/>
                <w:spacing w:val="7"/>
                <w:sz w:val="20"/>
                <w:szCs w:val="20"/>
              </w:rPr>
              <w:t>-005-02</w:t>
            </w:r>
          </w:p>
        </w:tc>
        <w:tc>
          <w:tcPr>
            <w:tcW w:w="730" w:type="dxa"/>
            <w:vAlign w:val="top"/>
          </w:tcPr>
          <w:p w14:paraId="5558FB76">
            <w:pPr>
              <w:spacing w:line="474" w:lineRule="auto"/>
              <w:rPr>
                <w:rFonts w:ascii="Arial"/>
                <w:sz w:val="21"/>
              </w:rPr>
            </w:pPr>
          </w:p>
          <w:p w14:paraId="664327E0">
            <w:pPr>
              <w:spacing w:before="58" w:line="142" w:lineRule="exact"/>
              <w:ind w:left="150"/>
              <w:rPr>
                <w:rFonts w:ascii="Times New Roman" w:hAnsi="Times New Roman" w:eastAsia="Times New Roman" w:cs="Times New Roman"/>
                <w:sz w:val="20"/>
                <w:szCs w:val="20"/>
              </w:rPr>
            </w:pPr>
            <w:r>
              <w:rPr>
                <w:rFonts w:ascii="Times New Roman" w:hAnsi="Times New Roman" w:eastAsia="Times New Roman" w:cs="Times New Roman"/>
                <w:spacing w:val="11"/>
                <w:position w:val="-1"/>
                <w:sz w:val="20"/>
                <w:szCs w:val="20"/>
              </w:rPr>
              <w:t>—</w:t>
            </w:r>
            <w:r>
              <w:rPr>
                <w:rFonts w:ascii="Times New Roman" w:hAnsi="Times New Roman" w:eastAsia="Times New Roman" w:cs="Times New Roman"/>
                <w:spacing w:val="10"/>
                <w:position w:val="-1"/>
                <w:sz w:val="20"/>
                <w:szCs w:val="20"/>
              </w:rPr>
              <w:t>—</w:t>
            </w:r>
          </w:p>
        </w:tc>
        <w:tc>
          <w:tcPr>
            <w:tcW w:w="975" w:type="dxa"/>
            <w:tcBorders>
              <w:right w:val="nil"/>
            </w:tcBorders>
            <w:vAlign w:val="top"/>
          </w:tcPr>
          <w:p w14:paraId="085CD7D0">
            <w:pPr>
              <w:spacing w:line="313" w:lineRule="auto"/>
              <w:rPr>
                <w:rFonts w:ascii="Arial"/>
                <w:sz w:val="21"/>
              </w:rPr>
            </w:pPr>
          </w:p>
          <w:p w14:paraId="63B8D1ED">
            <w:pPr>
              <w:spacing w:before="57" w:line="281" w:lineRule="exact"/>
              <w:ind w:left="11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CFU</w:t>
            </w:r>
            <w:r>
              <w:rPr>
                <w:rFonts w:ascii="Times New Roman" w:hAnsi="Times New Roman" w:eastAsia="Times New Roman" w:cs="Times New Roman"/>
                <w:spacing w:val="26"/>
                <w:position w:val="2"/>
                <w:sz w:val="20"/>
                <w:szCs w:val="20"/>
              </w:rPr>
              <w:t>/</w:t>
            </w:r>
            <w:r>
              <w:rPr>
                <w:rFonts w:ascii="Times New Roman" w:hAnsi="Times New Roman" w:eastAsia="Times New Roman" w:cs="Times New Roman"/>
                <w:position w:val="2"/>
                <w:sz w:val="20"/>
                <w:szCs w:val="20"/>
              </w:rPr>
              <w:t>mL</w:t>
            </w:r>
          </w:p>
        </w:tc>
      </w:tr>
      <w:tr w14:paraId="0EAD3A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4" w:hRule="atLeast"/>
        </w:trPr>
        <w:tc>
          <w:tcPr>
            <w:tcW w:w="480" w:type="dxa"/>
            <w:tcBorders>
              <w:left w:val="nil"/>
            </w:tcBorders>
            <w:vAlign w:val="top"/>
          </w:tcPr>
          <w:p w14:paraId="164DD6B2">
            <w:pPr>
              <w:spacing w:line="376" w:lineRule="auto"/>
              <w:rPr>
                <w:rFonts w:ascii="Arial"/>
                <w:sz w:val="21"/>
              </w:rPr>
            </w:pPr>
          </w:p>
          <w:p w14:paraId="557E17AE">
            <w:pPr>
              <w:spacing w:before="57" w:line="195"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131" w:type="dxa"/>
            <w:vAlign w:val="top"/>
          </w:tcPr>
          <w:p w14:paraId="24A84C87">
            <w:pPr>
              <w:spacing w:line="332" w:lineRule="auto"/>
              <w:rPr>
                <w:rFonts w:ascii="Arial"/>
                <w:sz w:val="21"/>
              </w:rPr>
            </w:pPr>
          </w:p>
          <w:p w14:paraId="05EB7014">
            <w:pPr>
              <w:spacing w:before="65" w:line="228" w:lineRule="auto"/>
              <w:ind w:left="52"/>
              <w:rPr>
                <w:rFonts w:ascii="宋体" w:hAnsi="宋体" w:eastAsia="宋体" w:cs="宋体"/>
                <w:sz w:val="20"/>
                <w:szCs w:val="20"/>
              </w:rPr>
            </w:pPr>
            <w:r>
              <w:rPr>
                <w:rFonts w:ascii="宋体" w:hAnsi="宋体" w:eastAsia="宋体" w:cs="宋体"/>
                <w:spacing w:val="7"/>
                <w:sz w:val="20"/>
                <w:szCs w:val="20"/>
              </w:rPr>
              <w:t>总大肠菌群</w:t>
            </w:r>
          </w:p>
        </w:tc>
        <w:tc>
          <w:tcPr>
            <w:tcW w:w="3336" w:type="dxa"/>
            <w:vAlign w:val="top"/>
          </w:tcPr>
          <w:p w14:paraId="3656ADF4">
            <w:pPr>
              <w:spacing w:before="244" w:line="301" w:lineRule="auto"/>
              <w:ind w:left="209" w:right="38" w:hanging="179"/>
              <w:rPr>
                <w:rFonts w:ascii="宋体" w:hAnsi="宋体" w:eastAsia="宋体" w:cs="宋体"/>
                <w:sz w:val="20"/>
                <w:szCs w:val="20"/>
              </w:rPr>
            </w:pPr>
            <w:r>
              <w:rPr>
                <w:rFonts w:ascii="宋体" w:hAnsi="宋体" w:eastAsia="宋体" w:cs="宋体"/>
                <w:spacing w:val="-4"/>
                <w:sz w:val="20"/>
                <w:szCs w:val="20"/>
              </w:rPr>
              <w:t>生活</w:t>
            </w:r>
            <w:r>
              <w:rPr>
                <w:rFonts w:ascii="宋体" w:hAnsi="宋体" w:eastAsia="宋体" w:cs="宋体"/>
                <w:spacing w:val="-3"/>
                <w:sz w:val="20"/>
                <w:szCs w:val="20"/>
              </w:rPr>
              <w:t>饮</w:t>
            </w:r>
            <w:r>
              <w:rPr>
                <w:rFonts w:ascii="宋体" w:hAnsi="宋体" w:eastAsia="宋体" w:cs="宋体"/>
                <w:spacing w:val="-2"/>
                <w:sz w:val="20"/>
                <w:szCs w:val="20"/>
              </w:rPr>
              <w:t>用水标准检验方法 微生物指标</w:t>
            </w:r>
            <w:r>
              <w:rPr>
                <w:rFonts w:ascii="宋体" w:hAnsi="宋体" w:eastAsia="宋体" w:cs="宋体"/>
                <w:sz w:val="20"/>
                <w:szCs w:val="20"/>
              </w:rPr>
              <w:t xml:space="preserve"> </w:t>
            </w:r>
            <w:r>
              <w:rPr>
                <w:rFonts w:ascii="Times New Roman" w:hAnsi="Times New Roman" w:eastAsia="Times New Roman" w:cs="Times New Roman"/>
                <w:spacing w:val="-5"/>
                <w:sz w:val="20"/>
                <w:szCs w:val="20"/>
              </w:rPr>
              <w:t>GB/</w:t>
            </w:r>
            <w:r>
              <w:rPr>
                <w:rFonts w:ascii="Times New Roman" w:hAnsi="Times New Roman" w:eastAsia="Times New Roman" w:cs="Times New Roman"/>
                <w:spacing w:val="-1"/>
                <w:sz w:val="20"/>
                <w:szCs w:val="20"/>
              </w:rPr>
              <w:t>T</w:t>
            </w:r>
            <w:r>
              <w:rPr>
                <w:rFonts w:ascii="Times New Roman" w:hAnsi="Times New Roman" w:eastAsia="Times New Roman" w:cs="Times New Roman"/>
                <w:spacing w:val="-5"/>
                <w:sz w:val="20"/>
                <w:szCs w:val="20"/>
              </w:rPr>
              <w:t xml:space="preserve"> 5750. 12-2006 2. 1 </w:t>
            </w:r>
            <w:r>
              <w:rPr>
                <w:rFonts w:ascii="宋体" w:hAnsi="宋体" w:eastAsia="宋体" w:cs="宋体"/>
                <w:spacing w:val="-5"/>
                <w:sz w:val="20"/>
                <w:szCs w:val="20"/>
              </w:rPr>
              <w:t>多管发酵法</w:t>
            </w:r>
          </w:p>
        </w:tc>
        <w:tc>
          <w:tcPr>
            <w:tcW w:w="1870" w:type="dxa"/>
            <w:vAlign w:val="top"/>
          </w:tcPr>
          <w:p w14:paraId="301515AD">
            <w:pPr>
              <w:spacing w:before="88" w:line="348" w:lineRule="exact"/>
              <w:ind w:left="417"/>
              <w:rPr>
                <w:rFonts w:ascii="宋体" w:hAnsi="宋体" w:eastAsia="宋体" w:cs="宋体"/>
                <w:sz w:val="20"/>
                <w:szCs w:val="20"/>
              </w:rPr>
            </w:pPr>
            <w:r>
              <w:rPr>
                <w:rFonts w:ascii="宋体" w:hAnsi="宋体" w:eastAsia="宋体" w:cs="宋体"/>
                <w:spacing w:val="8"/>
                <w:position w:val="10"/>
                <w:sz w:val="20"/>
                <w:szCs w:val="20"/>
              </w:rPr>
              <w:t>生化培养</w:t>
            </w:r>
            <w:r>
              <w:rPr>
                <w:rFonts w:ascii="宋体" w:hAnsi="宋体" w:eastAsia="宋体" w:cs="宋体"/>
                <w:spacing w:val="7"/>
                <w:position w:val="10"/>
                <w:sz w:val="20"/>
                <w:szCs w:val="20"/>
              </w:rPr>
              <w:t>箱</w:t>
            </w:r>
          </w:p>
          <w:p w14:paraId="4DB4E73F">
            <w:pPr>
              <w:spacing w:line="194" w:lineRule="auto"/>
              <w:ind w:left="51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LRH</w:t>
            </w:r>
            <w:r>
              <w:rPr>
                <w:rFonts w:ascii="Times New Roman" w:hAnsi="Times New Roman" w:eastAsia="Times New Roman" w:cs="Times New Roman"/>
                <w:spacing w:val="-2"/>
                <w:sz w:val="20"/>
                <w:szCs w:val="20"/>
              </w:rPr>
              <w:t>- 1</w:t>
            </w:r>
            <w:r>
              <w:rPr>
                <w:rFonts w:ascii="Times New Roman" w:hAnsi="Times New Roman" w:eastAsia="Times New Roman" w:cs="Times New Roman"/>
                <w:spacing w:val="-1"/>
                <w:sz w:val="20"/>
                <w:szCs w:val="20"/>
              </w:rPr>
              <w:t>50B</w:t>
            </w:r>
          </w:p>
          <w:p w14:paraId="168DC785">
            <w:pPr>
              <w:spacing w:before="125" w:line="195" w:lineRule="auto"/>
              <w:ind w:left="190"/>
              <w:rPr>
                <w:rFonts w:ascii="Times New Roman" w:hAnsi="Times New Roman" w:eastAsia="Times New Roman" w:cs="Times New Roman"/>
                <w:sz w:val="20"/>
                <w:szCs w:val="20"/>
              </w:rPr>
            </w:pPr>
            <w:r>
              <w:rPr>
                <w:rFonts w:ascii="Times New Roman" w:hAnsi="Times New Roman" w:eastAsia="Times New Roman" w:cs="Times New Roman"/>
                <w:sz w:val="20"/>
                <w:szCs w:val="20"/>
              </w:rPr>
              <w:t>SYZZ</w:t>
            </w:r>
            <w:r>
              <w:rPr>
                <w:rFonts w:ascii="Times New Roman" w:hAnsi="Times New Roman" w:eastAsia="Times New Roman" w:cs="Times New Roman"/>
                <w:spacing w:val="8"/>
                <w:sz w:val="20"/>
                <w:szCs w:val="20"/>
              </w:rPr>
              <w:t>-</w:t>
            </w:r>
            <w:r>
              <w:rPr>
                <w:rFonts w:ascii="Times New Roman" w:hAnsi="Times New Roman" w:eastAsia="Times New Roman" w:cs="Times New Roman"/>
                <w:sz w:val="20"/>
                <w:szCs w:val="20"/>
              </w:rPr>
              <w:t>SB</w:t>
            </w:r>
            <w:r>
              <w:rPr>
                <w:rFonts w:ascii="Times New Roman" w:hAnsi="Times New Roman" w:eastAsia="Times New Roman" w:cs="Times New Roman"/>
                <w:spacing w:val="7"/>
                <w:sz w:val="20"/>
                <w:szCs w:val="20"/>
              </w:rPr>
              <w:t>-005-02</w:t>
            </w:r>
          </w:p>
        </w:tc>
        <w:tc>
          <w:tcPr>
            <w:tcW w:w="730" w:type="dxa"/>
            <w:vAlign w:val="top"/>
          </w:tcPr>
          <w:p w14:paraId="0FA97682">
            <w:pPr>
              <w:spacing w:line="464" w:lineRule="auto"/>
              <w:rPr>
                <w:rFonts w:ascii="Arial"/>
                <w:sz w:val="21"/>
              </w:rPr>
            </w:pPr>
          </w:p>
          <w:p w14:paraId="6FB2FF97">
            <w:pPr>
              <w:spacing w:before="58" w:line="142" w:lineRule="exact"/>
              <w:ind w:left="150"/>
              <w:rPr>
                <w:rFonts w:ascii="Times New Roman" w:hAnsi="Times New Roman" w:eastAsia="Times New Roman" w:cs="Times New Roman"/>
                <w:sz w:val="20"/>
                <w:szCs w:val="20"/>
              </w:rPr>
            </w:pPr>
            <w:r>
              <w:rPr>
                <w:rFonts w:ascii="Times New Roman" w:hAnsi="Times New Roman" w:eastAsia="Times New Roman" w:cs="Times New Roman"/>
                <w:spacing w:val="11"/>
                <w:position w:val="-1"/>
                <w:sz w:val="20"/>
                <w:szCs w:val="20"/>
              </w:rPr>
              <w:t>—</w:t>
            </w:r>
            <w:r>
              <w:rPr>
                <w:rFonts w:ascii="Times New Roman" w:hAnsi="Times New Roman" w:eastAsia="Times New Roman" w:cs="Times New Roman"/>
                <w:spacing w:val="10"/>
                <w:position w:val="-1"/>
                <w:sz w:val="20"/>
                <w:szCs w:val="20"/>
              </w:rPr>
              <w:t>—</w:t>
            </w:r>
          </w:p>
        </w:tc>
        <w:tc>
          <w:tcPr>
            <w:tcW w:w="975" w:type="dxa"/>
            <w:tcBorders>
              <w:right w:val="nil"/>
            </w:tcBorders>
            <w:vAlign w:val="top"/>
          </w:tcPr>
          <w:p w14:paraId="74ECF33C">
            <w:pPr>
              <w:spacing w:before="206" w:line="281" w:lineRule="exact"/>
              <w:ind w:left="23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MPN</w:t>
            </w:r>
            <w:r>
              <w:rPr>
                <w:rFonts w:ascii="Times New Roman" w:hAnsi="Times New Roman" w:eastAsia="Times New Roman" w:cs="Times New Roman"/>
                <w:spacing w:val="19"/>
                <w:position w:val="2"/>
                <w:sz w:val="20"/>
                <w:szCs w:val="20"/>
              </w:rPr>
              <w:t>/</w:t>
            </w:r>
          </w:p>
          <w:p w14:paraId="2C7D474D">
            <w:pPr>
              <w:spacing w:before="104" w:line="195" w:lineRule="auto"/>
              <w:ind w:left="20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w:t>
            </w:r>
            <w:r>
              <w:rPr>
                <w:rFonts w:ascii="Times New Roman" w:hAnsi="Times New Roman" w:eastAsia="Times New Roman" w:cs="Times New Roman"/>
                <w:sz w:val="20"/>
                <w:szCs w:val="20"/>
              </w:rPr>
              <w:t>0mL</w:t>
            </w:r>
          </w:p>
        </w:tc>
      </w:tr>
    </w:tbl>
    <w:p w14:paraId="78313941">
      <w:pPr>
        <w:rPr>
          <w:rFonts w:ascii="Arial"/>
          <w:sz w:val="21"/>
        </w:rPr>
      </w:pPr>
    </w:p>
    <w:p w14:paraId="265D445F">
      <w:pPr>
        <w:sectPr>
          <w:footerReference r:id="rId166" w:type="default"/>
          <w:pgSz w:w="11906" w:h="16839"/>
          <w:pgMar w:top="1132" w:right="1691" w:bottom="1182" w:left="1691" w:header="878" w:footer="1022" w:gutter="0"/>
          <w:cols w:space="720" w:num="1"/>
        </w:sectPr>
      </w:pPr>
    </w:p>
    <w:p w14:paraId="18C75F20">
      <w:r>
        <w:pict>
          <v:shape id="_x0000_s1219" o:spid="_x0000_s1219" style="position:absolute;left:0pt;margin-left:90pt;margin-top:57.35pt;height:0.75pt;width:415.3pt;mso-position-horizontal-relative:page;mso-position-vertical-relative:page;z-index:251871232;mso-width-relative:page;mso-height-relative:page;" fillcolor="#000000" filled="t" stroked="f" coordsize="8305,15" o:allowincell="f" path="m0,0l8305,0,8305,14,0,14,0,0xe">
            <v:path/>
            <v:fill on="t" focussize="0,0"/>
            <v:stroke on="f"/>
            <v:imagedata o:title=""/>
            <o:lock v:ext="edit"/>
          </v:shape>
        </w:pict>
      </w:r>
    </w:p>
    <w:p w14:paraId="55D6AA48">
      <w:pPr>
        <w:spacing w:line="65"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0"/>
        <w:gridCol w:w="1131"/>
        <w:gridCol w:w="3336"/>
        <w:gridCol w:w="1870"/>
        <w:gridCol w:w="730"/>
        <w:gridCol w:w="975"/>
      </w:tblGrid>
      <w:tr w14:paraId="08563B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trPr>
        <w:tc>
          <w:tcPr>
            <w:tcW w:w="480" w:type="dxa"/>
            <w:tcBorders>
              <w:left w:val="nil"/>
            </w:tcBorders>
            <w:vAlign w:val="top"/>
          </w:tcPr>
          <w:p w14:paraId="388E4CA8">
            <w:pPr>
              <w:spacing w:line="366" w:lineRule="auto"/>
              <w:rPr>
                <w:rFonts w:ascii="Arial"/>
                <w:sz w:val="21"/>
              </w:rPr>
            </w:pPr>
          </w:p>
          <w:p w14:paraId="593F4465">
            <w:pPr>
              <w:spacing w:before="58" w:line="192" w:lineRule="auto"/>
              <w:ind w:left="197"/>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131" w:type="dxa"/>
            <w:vAlign w:val="top"/>
          </w:tcPr>
          <w:p w14:paraId="5B0382D3">
            <w:pPr>
              <w:spacing w:line="366" w:lineRule="auto"/>
              <w:rPr>
                <w:rFonts w:ascii="Arial"/>
                <w:sz w:val="21"/>
              </w:rPr>
            </w:pPr>
          </w:p>
          <w:p w14:paraId="6F81175D">
            <w:pPr>
              <w:spacing w:before="58" w:line="194" w:lineRule="auto"/>
              <w:ind w:left="433"/>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pH</w:t>
            </w:r>
          </w:p>
        </w:tc>
        <w:tc>
          <w:tcPr>
            <w:tcW w:w="3336" w:type="dxa"/>
            <w:vAlign w:val="top"/>
          </w:tcPr>
          <w:p w14:paraId="4A557C59">
            <w:pPr>
              <w:spacing w:before="75" w:line="228" w:lineRule="auto"/>
              <w:ind w:left="47"/>
              <w:rPr>
                <w:rFonts w:ascii="宋体" w:hAnsi="宋体" w:eastAsia="宋体" w:cs="宋体"/>
                <w:sz w:val="20"/>
                <w:szCs w:val="20"/>
              </w:rPr>
            </w:pPr>
            <w:r>
              <w:rPr>
                <w:rFonts w:ascii="宋体" w:hAnsi="宋体" w:eastAsia="宋体" w:cs="宋体"/>
                <w:spacing w:val="9"/>
                <w:sz w:val="20"/>
                <w:szCs w:val="20"/>
              </w:rPr>
              <w:t>生活饮用水标准检验方法 感官性</w:t>
            </w:r>
            <w:r>
              <w:rPr>
                <w:rFonts w:ascii="宋体" w:hAnsi="宋体" w:eastAsia="宋体" w:cs="宋体"/>
                <w:spacing w:val="7"/>
                <w:sz w:val="20"/>
                <w:szCs w:val="20"/>
              </w:rPr>
              <w:t>状</w:t>
            </w:r>
          </w:p>
          <w:p w14:paraId="185C1343">
            <w:pPr>
              <w:spacing w:before="27" w:line="281" w:lineRule="exact"/>
              <w:ind w:left="99"/>
              <w:rPr>
                <w:rFonts w:ascii="Times New Roman" w:hAnsi="Times New Roman" w:eastAsia="Times New Roman" w:cs="Times New Roman"/>
                <w:sz w:val="20"/>
                <w:szCs w:val="20"/>
              </w:rPr>
            </w:pPr>
            <w:r>
              <w:rPr>
                <w:rFonts w:ascii="宋体" w:hAnsi="宋体" w:eastAsia="宋体" w:cs="宋体"/>
                <w:spacing w:val="8"/>
                <w:position w:val="1"/>
                <w:sz w:val="20"/>
                <w:szCs w:val="20"/>
              </w:rPr>
              <w:t>和物</w:t>
            </w:r>
            <w:r>
              <w:rPr>
                <w:rFonts w:ascii="宋体" w:hAnsi="宋体" w:eastAsia="宋体" w:cs="宋体"/>
                <w:spacing w:val="6"/>
                <w:position w:val="1"/>
                <w:sz w:val="20"/>
                <w:szCs w:val="20"/>
              </w:rPr>
              <w:t>理</w:t>
            </w:r>
            <w:r>
              <w:rPr>
                <w:rFonts w:ascii="宋体" w:hAnsi="宋体" w:eastAsia="宋体" w:cs="宋体"/>
                <w:spacing w:val="4"/>
                <w:position w:val="1"/>
                <w:sz w:val="20"/>
                <w:szCs w:val="20"/>
              </w:rPr>
              <w:t xml:space="preserve">指标 </w:t>
            </w:r>
            <w:r>
              <w:rPr>
                <w:rFonts w:ascii="Times New Roman" w:hAnsi="Times New Roman" w:eastAsia="Times New Roman" w:cs="Times New Roman"/>
                <w:spacing w:val="4"/>
                <w:position w:val="1"/>
                <w:sz w:val="20"/>
                <w:szCs w:val="20"/>
              </w:rPr>
              <w:t xml:space="preserve">5. 1  </w:t>
            </w:r>
            <w:r>
              <w:rPr>
                <w:rFonts w:ascii="宋体" w:hAnsi="宋体" w:eastAsia="宋体" w:cs="宋体"/>
                <w:spacing w:val="4"/>
                <w:position w:val="1"/>
                <w:sz w:val="20"/>
                <w:szCs w:val="20"/>
              </w:rPr>
              <w:t xml:space="preserve">玻璃电极法 </w:t>
            </w:r>
            <w:r>
              <w:rPr>
                <w:rFonts w:ascii="Times New Roman" w:hAnsi="Times New Roman" w:eastAsia="Times New Roman" w:cs="Times New Roman"/>
                <w:position w:val="1"/>
                <w:sz w:val="20"/>
                <w:szCs w:val="20"/>
              </w:rPr>
              <w:t>GB</w:t>
            </w:r>
            <w:r>
              <w:rPr>
                <w:rFonts w:ascii="Times New Roman" w:hAnsi="Times New Roman" w:eastAsia="Times New Roman" w:cs="Times New Roman"/>
                <w:spacing w:val="4"/>
                <w:position w:val="1"/>
                <w:sz w:val="20"/>
                <w:szCs w:val="20"/>
              </w:rPr>
              <w:t>/</w:t>
            </w:r>
            <w:r>
              <w:rPr>
                <w:rFonts w:ascii="Times New Roman" w:hAnsi="Times New Roman" w:eastAsia="Times New Roman" w:cs="Times New Roman"/>
                <w:position w:val="1"/>
                <w:sz w:val="20"/>
                <w:szCs w:val="20"/>
              </w:rPr>
              <w:t>T</w:t>
            </w:r>
          </w:p>
          <w:p w14:paraId="43FF7972">
            <w:pPr>
              <w:spacing w:before="104" w:line="195" w:lineRule="auto"/>
              <w:ind w:left="114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57</w:t>
            </w:r>
            <w:r>
              <w:rPr>
                <w:rFonts w:ascii="Times New Roman" w:hAnsi="Times New Roman" w:eastAsia="Times New Roman" w:cs="Times New Roman"/>
                <w:spacing w:val="4"/>
                <w:sz w:val="20"/>
                <w:szCs w:val="20"/>
              </w:rPr>
              <w:t>5</w:t>
            </w:r>
            <w:r>
              <w:rPr>
                <w:rFonts w:ascii="Times New Roman" w:hAnsi="Times New Roman" w:eastAsia="Times New Roman" w:cs="Times New Roman"/>
                <w:spacing w:val="3"/>
                <w:sz w:val="20"/>
                <w:szCs w:val="20"/>
              </w:rPr>
              <w:t>0.4-2006</w:t>
            </w:r>
          </w:p>
        </w:tc>
        <w:tc>
          <w:tcPr>
            <w:tcW w:w="1870" w:type="dxa"/>
            <w:vAlign w:val="top"/>
          </w:tcPr>
          <w:p w14:paraId="2E0071DB">
            <w:pPr>
              <w:spacing w:line="320" w:lineRule="auto"/>
              <w:rPr>
                <w:rFonts w:ascii="Arial"/>
                <w:sz w:val="21"/>
              </w:rPr>
            </w:pPr>
          </w:p>
          <w:p w14:paraId="4C9F4B66">
            <w:pPr>
              <w:spacing w:before="65" w:line="229"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PH</w:t>
            </w:r>
            <w:r>
              <w:rPr>
                <w:rFonts w:ascii="Times New Roman" w:hAnsi="Times New Roman" w:eastAsia="Times New Roman" w:cs="Times New Roman"/>
                <w:spacing w:val="1"/>
                <w:sz w:val="20"/>
                <w:szCs w:val="20"/>
              </w:rPr>
              <w:t xml:space="preserve"> </w:t>
            </w:r>
            <w:r>
              <w:rPr>
                <w:rFonts w:ascii="宋体" w:hAnsi="宋体" w:eastAsia="宋体" w:cs="宋体"/>
                <w:spacing w:val="1"/>
                <w:sz w:val="20"/>
                <w:szCs w:val="20"/>
              </w:rPr>
              <w:t xml:space="preserve">计 </w:t>
            </w:r>
            <w:r>
              <w:rPr>
                <w:rFonts w:ascii="Times New Roman" w:hAnsi="Times New Roman" w:eastAsia="Times New Roman" w:cs="Times New Roman"/>
                <w:sz w:val="20"/>
                <w:szCs w:val="20"/>
              </w:rPr>
              <w:t>PHS</w:t>
            </w: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C</w:t>
            </w:r>
          </w:p>
        </w:tc>
        <w:tc>
          <w:tcPr>
            <w:tcW w:w="730" w:type="dxa"/>
            <w:vAlign w:val="top"/>
          </w:tcPr>
          <w:p w14:paraId="261CEB89">
            <w:pPr>
              <w:spacing w:line="364" w:lineRule="auto"/>
              <w:rPr>
                <w:rFonts w:ascii="Arial"/>
                <w:sz w:val="21"/>
              </w:rPr>
            </w:pPr>
          </w:p>
          <w:p w14:paraId="3A22A44D">
            <w:pPr>
              <w:spacing w:before="57" w:line="195" w:lineRule="auto"/>
              <w:ind w:left="18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.01</w:t>
            </w:r>
          </w:p>
        </w:tc>
        <w:tc>
          <w:tcPr>
            <w:tcW w:w="975" w:type="dxa"/>
            <w:tcBorders>
              <w:right w:val="nil"/>
            </w:tcBorders>
            <w:vAlign w:val="top"/>
          </w:tcPr>
          <w:p w14:paraId="73193186">
            <w:pPr>
              <w:spacing w:line="321" w:lineRule="auto"/>
              <w:rPr>
                <w:rFonts w:ascii="Arial"/>
                <w:sz w:val="21"/>
              </w:rPr>
            </w:pPr>
          </w:p>
          <w:p w14:paraId="7165496E">
            <w:pPr>
              <w:spacing w:before="65" w:line="228" w:lineRule="auto"/>
              <w:ind w:left="178"/>
              <w:rPr>
                <w:rFonts w:ascii="宋体" w:hAnsi="宋体" w:eastAsia="宋体" w:cs="宋体"/>
                <w:sz w:val="20"/>
                <w:szCs w:val="20"/>
              </w:rPr>
            </w:pPr>
            <w:r>
              <w:rPr>
                <w:rFonts w:ascii="宋体" w:hAnsi="宋体" w:eastAsia="宋体" w:cs="宋体"/>
                <w:spacing w:val="7"/>
                <w:sz w:val="20"/>
                <w:szCs w:val="20"/>
              </w:rPr>
              <w:t>无</w:t>
            </w:r>
            <w:r>
              <w:rPr>
                <w:rFonts w:ascii="宋体" w:hAnsi="宋体" w:eastAsia="宋体" w:cs="宋体"/>
                <w:spacing w:val="6"/>
                <w:sz w:val="20"/>
                <w:szCs w:val="20"/>
              </w:rPr>
              <w:t>量纲</w:t>
            </w:r>
          </w:p>
        </w:tc>
      </w:tr>
      <w:tr w14:paraId="3B50F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480" w:type="dxa"/>
            <w:tcBorders>
              <w:left w:val="nil"/>
            </w:tcBorders>
            <w:vAlign w:val="top"/>
          </w:tcPr>
          <w:p w14:paraId="058B6DE6">
            <w:pPr>
              <w:spacing w:line="339" w:lineRule="auto"/>
              <w:rPr>
                <w:rFonts w:ascii="Arial"/>
                <w:sz w:val="21"/>
              </w:rPr>
            </w:pPr>
          </w:p>
          <w:p w14:paraId="483BC6D3">
            <w:pPr>
              <w:spacing w:before="58" w:line="195" w:lineRule="auto"/>
              <w:ind w:left="196"/>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131" w:type="dxa"/>
            <w:vAlign w:val="top"/>
          </w:tcPr>
          <w:p w14:paraId="5A25E8AF">
            <w:pPr>
              <w:spacing w:line="296" w:lineRule="auto"/>
              <w:rPr>
                <w:rFonts w:ascii="Arial"/>
                <w:sz w:val="21"/>
              </w:rPr>
            </w:pPr>
          </w:p>
          <w:p w14:paraId="7B903E93">
            <w:pPr>
              <w:spacing w:before="65" w:line="228" w:lineRule="auto"/>
              <w:ind w:left="256"/>
              <w:rPr>
                <w:rFonts w:ascii="宋体" w:hAnsi="宋体" w:eastAsia="宋体" w:cs="宋体"/>
                <w:sz w:val="20"/>
                <w:szCs w:val="20"/>
              </w:rPr>
            </w:pPr>
            <w:r>
              <w:rPr>
                <w:rFonts w:ascii="宋体" w:hAnsi="宋体" w:eastAsia="宋体" w:cs="宋体"/>
                <w:spacing w:val="7"/>
                <w:sz w:val="20"/>
                <w:szCs w:val="20"/>
              </w:rPr>
              <w:t>浑</w:t>
            </w:r>
            <w:r>
              <w:rPr>
                <w:rFonts w:ascii="宋体" w:hAnsi="宋体" w:eastAsia="宋体" w:cs="宋体"/>
                <w:spacing w:val="6"/>
                <w:sz w:val="20"/>
                <w:szCs w:val="20"/>
              </w:rPr>
              <w:t>浊度</w:t>
            </w:r>
          </w:p>
        </w:tc>
        <w:tc>
          <w:tcPr>
            <w:tcW w:w="3336" w:type="dxa"/>
            <w:vAlign w:val="top"/>
          </w:tcPr>
          <w:p w14:paraId="238FF06C">
            <w:pPr>
              <w:spacing w:before="52" w:line="301" w:lineRule="auto"/>
              <w:ind w:left="307" w:right="41" w:hanging="260"/>
              <w:rPr>
                <w:rFonts w:ascii="Times New Roman" w:hAnsi="Times New Roman" w:eastAsia="Times New Roman" w:cs="Times New Roman"/>
                <w:sz w:val="20"/>
                <w:szCs w:val="20"/>
              </w:rPr>
            </w:pPr>
            <w:r>
              <w:rPr>
                <w:rFonts w:ascii="宋体" w:hAnsi="宋体" w:eastAsia="宋体" w:cs="宋体"/>
                <w:spacing w:val="9"/>
                <w:sz w:val="20"/>
                <w:szCs w:val="20"/>
              </w:rPr>
              <w:t>生活饮用水标准检验方法 感官性</w:t>
            </w:r>
            <w:r>
              <w:rPr>
                <w:rFonts w:ascii="宋体" w:hAnsi="宋体" w:eastAsia="宋体" w:cs="宋体"/>
                <w:spacing w:val="7"/>
                <w:sz w:val="20"/>
                <w:szCs w:val="20"/>
              </w:rPr>
              <w:t>状</w:t>
            </w:r>
            <w:r>
              <w:rPr>
                <w:rFonts w:ascii="宋体" w:hAnsi="宋体" w:eastAsia="宋体" w:cs="宋体"/>
                <w:sz w:val="20"/>
                <w:szCs w:val="20"/>
              </w:rPr>
              <w:t xml:space="preserve"> </w:t>
            </w:r>
            <w:r>
              <w:rPr>
                <w:rFonts w:ascii="宋体" w:hAnsi="宋体" w:eastAsia="宋体" w:cs="宋体"/>
                <w:spacing w:val="5"/>
                <w:sz w:val="20"/>
                <w:szCs w:val="20"/>
              </w:rPr>
              <w:t>和</w:t>
            </w:r>
            <w:r>
              <w:rPr>
                <w:rFonts w:ascii="宋体" w:hAnsi="宋体" w:eastAsia="宋体" w:cs="宋体"/>
                <w:spacing w:val="4"/>
                <w:sz w:val="20"/>
                <w:szCs w:val="20"/>
              </w:rPr>
              <w:t xml:space="preserve">物理指标 </w:t>
            </w:r>
            <w:r>
              <w:rPr>
                <w:rFonts w:ascii="Times New Roman" w:hAnsi="Times New Roman" w:eastAsia="Times New Roman" w:cs="Times New Roman"/>
                <w:spacing w:val="4"/>
                <w:sz w:val="20"/>
                <w:szCs w:val="20"/>
              </w:rPr>
              <w:t xml:space="preserve">6. 1  </w:t>
            </w:r>
            <w:r>
              <w:rPr>
                <w:rFonts w:ascii="宋体" w:hAnsi="宋体" w:eastAsia="宋体" w:cs="宋体"/>
                <w:spacing w:val="4"/>
                <w:sz w:val="20"/>
                <w:szCs w:val="20"/>
              </w:rPr>
              <w:t xml:space="preserve">电极法 </w:t>
            </w:r>
            <w:r>
              <w:rPr>
                <w:rFonts w:ascii="Times New Roman" w:hAnsi="Times New Roman" w:eastAsia="Times New Roman" w:cs="Times New Roman"/>
                <w:sz w:val="20"/>
                <w:szCs w:val="20"/>
              </w:rPr>
              <w:t>GB</w:t>
            </w:r>
            <w:r>
              <w:rPr>
                <w:rFonts w:ascii="Times New Roman" w:hAnsi="Times New Roman" w:eastAsia="Times New Roman" w:cs="Times New Roman"/>
                <w:spacing w:val="4"/>
                <w:sz w:val="20"/>
                <w:szCs w:val="20"/>
              </w:rPr>
              <w:t>/</w:t>
            </w:r>
            <w:r>
              <w:rPr>
                <w:rFonts w:ascii="Times New Roman" w:hAnsi="Times New Roman" w:eastAsia="Times New Roman" w:cs="Times New Roman"/>
                <w:sz w:val="20"/>
                <w:szCs w:val="20"/>
              </w:rPr>
              <w:t>T</w:t>
            </w:r>
          </w:p>
          <w:p w14:paraId="42722B63">
            <w:pPr>
              <w:spacing w:before="6" w:line="195" w:lineRule="auto"/>
              <w:ind w:left="114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57</w:t>
            </w:r>
            <w:r>
              <w:rPr>
                <w:rFonts w:ascii="Times New Roman" w:hAnsi="Times New Roman" w:eastAsia="Times New Roman" w:cs="Times New Roman"/>
                <w:spacing w:val="4"/>
                <w:sz w:val="20"/>
                <w:szCs w:val="20"/>
              </w:rPr>
              <w:t>5</w:t>
            </w:r>
            <w:r>
              <w:rPr>
                <w:rFonts w:ascii="Times New Roman" w:hAnsi="Times New Roman" w:eastAsia="Times New Roman" w:cs="Times New Roman"/>
                <w:spacing w:val="3"/>
                <w:sz w:val="20"/>
                <w:szCs w:val="20"/>
              </w:rPr>
              <w:t>0.4-2006</w:t>
            </w:r>
          </w:p>
        </w:tc>
        <w:tc>
          <w:tcPr>
            <w:tcW w:w="1870" w:type="dxa"/>
            <w:vAlign w:val="top"/>
          </w:tcPr>
          <w:p w14:paraId="18787B58">
            <w:pPr>
              <w:spacing w:before="207" w:line="323" w:lineRule="auto"/>
              <w:ind w:left="427" w:right="305" w:hanging="117"/>
              <w:rPr>
                <w:rFonts w:ascii="Times New Roman" w:hAnsi="Times New Roman" w:eastAsia="Times New Roman" w:cs="Times New Roman"/>
                <w:sz w:val="20"/>
                <w:szCs w:val="20"/>
              </w:rPr>
            </w:pPr>
            <w:r>
              <w:rPr>
                <w:rFonts w:ascii="宋体" w:hAnsi="宋体" w:eastAsia="宋体" w:cs="宋体"/>
                <w:spacing w:val="8"/>
                <w:sz w:val="20"/>
                <w:szCs w:val="20"/>
              </w:rPr>
              <w:t>便携式浊度计</w:t>
            </w:r>
            <w:r>
              <w:rPr>
                <w:rFonts w:ascii="宋体" w:hAnsi="宋体" w:eastAsia="宋体" w:cs="宋体"/>
                <w:sz w:val="20"/>
                <w:szCs w:val="20"/>
              </w:rPr>
              <w:t xml:space="preserve"> </w:t>
            </w:r>
            <w:r>
              <w:rPr>
                <w:rFonts w:ascii="Times New Roman" w:hAnsi="Times New Roman" w:eastAsia="Times New Roman" w:cs="Times New Roman"/>
                <w:sz w:val="20"/>
                <w:szCs w:val="20"/>
              </w:rPr>
              <w:t>SGZ</w:t>
            </w:r>
            <w:r>
              <w:rPr>
                <w:rFonts w:ascii="Times New Roman" w:hAnsi="Times New Roman" w:eastAsia="Times New Roman" w:cs="Times New Roman"/>
                <w:spacing w:val="9"/>
                <w:sz w:val="20"/>
                <w:szCs w:val="20"/>
              </w:rPr>
              <w:t>-20</w:t>
            </w:r>
            <w:r>
              <w:rPr>
                <w:rFonts w:ascii="Times New Roman" w:hAnsi="Times New Roman" w:eastAsia="Times New Roman" w:cs="Times New Roman"/>
                <w:spacing w:val="8"/>
                <w:sz w:val="20"/>
                <w:szCs w:val="20"/>
              </w:rPr>
              <w:t>0</w:t>
            </w:r>
            <w:r>
              <w:rPr>
                <w:rFonts w:ascii="Times New Roman" w:hAnsi="Times New Roman" w:eastAsia="Times New Roman" w:cs="Times New Roman"/>
                <w:sz w:val="20"/>
                <w:szCs w:val="20"/>
              </w:rPr>
              <w:t>BS</w:t>
            </w:r>
          </w:p>
        </w:tc>
        <w:tc>
          <w:tcPr>
            <w:tcW w:w="730" w:type="dxa"/>
            <w:vAlign w:val="top"/>
          </w:tcPr>
          <w:p w14:paraId="7A534D73">
            <w:pPr>
              <w:spacing w:line="339" w:lineRule="auto"/>
              <w:rPr>
                <w:rFonts w:ascii="Arial"/>
                <w:sz w:val="21"/>
              </w:rPr>
            </w:pPr>
          </w:p>
          <w:p w14:paraId="10E2746E">
            <w:pPr>
              <w:spacing w:before="58" w:line="195" w:lineRule="auto"/>
              <w:ind w:left="23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.5</w:t>
            </w:r>
          </w:p>
        </w:tc>
        <w:tc>
          <w:tcPr>
            <w:tcW w:w="975" w:type="dxa"/>
            <w:tcBorders>
              <w:right w:val="nil"/>
            </w:tcBorders>
            <w:vAlign w:val="top"/>
          </w:tcPr>
          <w:p w14:paraId="0E2B04D3">
            <w:pPr>
              <w:spacing w:line="342" w:lineRule="auto"/>
              <w:rPr>
                <w:rFonts w:ascii="Arial"/>
                <w:sz w:val="21"/>
              </w:rPr>
            </w:pPr>
          </w:p>
          <w:p w14:paraId="7269B09B">
            <w:pPr>
              <w:spacing w:before="57" w:line="192" w:lineRule="auto"/>
              <w:ind w:left="267"/>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NT</w:t>
            </w:r>
            <w:r>
              <w:rPr>
                <w:rFonts w:ascii="Times New Roman" w:hAnsi="Times New Roman" w:eastAsia="Times New Roman" w:cs="Times New Roman"/>
                <w:spacing w:val="6"/>
                <w:sz w:val="20"/>
                <w:szCs w:val="20"/>
              </w:rPr>
              <w:t>U</w:t>
            </w:r>
          </w:p>
        </w:tc>
      </w:tr>
      <w:tr w14:paraId="3D7371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480" w:type="dxa"/>
            <w:tcBorders>
              <w:left w:val="nil"/>
            </w:tcBorders>
            <w:vAlign w:val="top"/>
          </w:tcPr>
          <w:p w14:paraId="18696788">
            <w:pPr>
              <w:spacing w:line="345" w:lineRule="auto"/>
              <w:rPr>
                <w:rFonts w:ascii="Arial"/>
                <w:sz w:val="21"/>
              </w:rPr>
            </w:pPr>
          </w:p>
          <w:p w14:paraId="23CF5C93">
            <w:pPr>
              <w:spacing w:before="57" w:line="192" w:lineRule="auto"/>
              <w:ind w:left="194"/>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131" w:type="dxa"/>
            <w:vAlign w:val="top"/>
          </w:tcPr>
          <w:p w14:paraId="3FC3566A">
            <w:pPr>
              <w:spacing w:line="299" w:lineRule="auto"/>
              <w:rPr>
                <w:rFonts w:ascii="Arial"/>
                <w:sz w:val="21"/>
              </w:rPr>
            </w:pPr>
          </w:p>
          <w:p w14:paraId="7F3F555E">
            <w:pPr>
              <w:spacing w:before="65" w:line="227" w:lineRule="auto"/>
              <w:ind w:left="256"/>
              <w:rPr>
                <w:rFonts w:ascii="宋体" w:hAnsi="宋体" w:eastAsia="宋体" w:cs="宋体"/>
                <w:sz w:val="20"/>
                <w:szCs w:val="20"/>
              </w:rPr>
            </w:pPr>
            <w:r>
              <w:rPr>
                <w:rFonts w:ascii="宋体" w:hAnsi="宋体" w:eastAsia="宋体" w:cs="宋体"/>
                <w:spacing w:val="7"/>
                <w:sz w:val="20"/>
                <w:szCs w:val="20"/>
              </w:rPr>
              <w:t>耗</w:t>
            </w:r>
            <w:r>
              <w:rPr>
                <w:rFonts w:ascii="宋体" w:hAnsi="宋体" w:eastAsia="宋体" w:cs="宋体"/>
                <w:spacing w:val="6"/>
                <w:sz w:val="20"/>
                <w:szCs w:val="20"/>
              </w:rPr>
              <w:t>氧量</w:t>
            </w:r>
          </w:p>
        </w:tc>
        <w:tc>
          <w:tcPr>
            <w:tcW w:w="3336" w:type="dxa"/>
            <w:vAlign w:val="top"/>
          </w:tcPr>
          <w:p w14:paraId="4FDD8A8E">
            <w:pPr>
              <w:spacing w:before="54" w:line="227" w:lineRule="auto"/>
              <w:ind w:left="47"/>
              <w:rPr>
                <w:rFonts w:ascii="宋体" w:hAnsi="宋体" w:eastAsia="宋体" w:cs="宋体"/>
                <w:sz w:val="20"/>
                <w:szCs w:val="20"/>
              </w:rPr>
            </w:pPr>
            <w:r>
              <w:rPr>
                <w:rFonts w:ascii="宋体" w:hAnsi="宋体" w:eastAsia="宋体" w:cs="宋体"/>
                <w:spacing w:val="9"/>
                <w:sz w:val="20"/>
                <w:szCs w:val="20"/>
              </w:rPr>
              <w:t>生活饮用水标准检验方法 有机物</w:t>
            </w:r>
            <w:r>
              <w:rPr>
                <w:rFonts w:ascii="宋体" w:hAnsi="宋体" w:eastAsia="宋体" w:cs="宋体"/>
                <w:spacing w:val="7"/>
                <w:sz w:val="20"/>
                <w:szCs w:val="20"/>
              </w:rPr>
              <w:t>综</w:t>
            </w:r>
          </w:p>
          <w:p w14:paraId="34F6E20E">
            <w:pPr>
              <w:spacing w:before="65" w:line="228" w:lineRule="auto"/>
              <w:ind w:left="178"/>
              <w:rPr>
                <w:rFonts w:ascii="宋体" w:hAnsi="宋体" w:eastAsia="宋体" w:cs="宋体"/>
                <w:sz w:val="20"/>
                <w:szCs w:val="20"/>
              </w:rPr>
            </w:pPr>
            <w:r>
              <w:rPr>
                <w:rFonts w:ascii="宋体" w:hAnsi="宋体" w:eastAsia="宋体" w:cs="宋体"/>
                <w:spacing w:val="8"/>
                <w:sz w:val="20"/>
                <w:szCs w:val="20"/>
              </w:rPr>
              <w:t>合</w:t>
            </w:r>
            <w:r>
              <w:rPr>
                <w:rFonts w:ascii="宋体" w:hAnsi="宋体" w:eastAsia="宋体" w:cs="宋体"/>
                <w:spacing w:val="5"/>
                <w:sz w:val="20"/>
                <w:szCs w:val="20"/>
              </w:rPr>
              <w:t>指</w:t>
            </w:r>
            <w:r>
              <w:rPr>
                <w:rFonts w:ascii="宋体" w:hAnsi="宋体" w:eastAsia="宋体" w:cs="宋体"/>
                <w:spacing w:val="4"/>
                <w:sz w:val="20"/>
                <w:szCs w:val="20"/>
              </w:rPr>
              <w:t xml:space="preserve">标 </w:t>
            </w:r>
            <w:r>
              <w:rPr>
                <w:rFonts w:ascii="Times New Roman" w:hAnsi="Times New Roman" w:eastAsia="Times New Roman" w:cs="Times New Roman"/>
                <w:spacing w:val="4"/>
                <w:sz w:val="20"/>
                <w:szCs w:val="20"/>
              </w:rPr>
              <w:t xml:space="preserve">1. 1  </w:t>
            </w:r>
            <w:r>
              <w:rPr>
                <w:rFonts w:ascii="宋体" w:hAnsi="宋体" w:eastAsia="宋体" w:cs="宋体"/>
                <w:spacing w:val="4"/>
                <w:sz w:val="20"/>
                <w:szCs w:val="20"/>
              </w:rPr>
              <w:t>酸性高锰酸钾滴定法</w:t>
            </w:r>
          </w:p>
          <w:p w14:paraId="2F4CCC28">
            <w:pPr>
              <w:spacing w:before="27" w:line="281" w:lineRule="exact"/>
              <w:ind w:left="87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GB</w:t>
            </w:r>
            <w:r>
              <w:rPr>
                <w:rFonts w:ascii="Times New Roman" w:hAnsi="Times New Roman" w:eastAsia="Times New Roman" w:cs="Times New Roman"/>
                <w:spacing w:val="5"/>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5"/>
                <w:position w:val="2"/>
                <w:sz w:val="20"/>
                <w:szCs w:val="20"/>
              </w:rPr>
              <w:t xml:space="preserve"> 5750.7-200</w:t>
            </w:r>
            <w:r>
              <w:rPr>
                <w:rFonts w:ascii="Times New Roman" w:hAnsi="Times New Roman" w:eastAsia="Times New Roman" w:cs="Times New Roman"/>
                <w:spacing w:val="2"/>
                <w:position w:val="2"/>
                <w:sz w:val="20"/>
                <w:szCs w:val="20"/>
              </w:rPr>
              <w:t>6</w:t>
            </w:r>
          </w:p>
        </w:tc>
        <w:tc>
          <w:tcPr>
            <w:tcW w:w="1870" w:type="dxa"/>
            <w:vAlign w:val="top"/>
          </w:tcPr>
          <w:p w14:paraId="36E33CB6">
            <w:pPr>
              <w:spacing w:line="299" w:lineRule="auto"/>
              <w:rPr>
                <w:rFonts w:ascii="Arial"/>
                <w:sz w:val="21"/>
              </w:rPr>
            </w:pPr>
          </w:p>
          <w:p w14:paraId="208E56CB">
            <w:pPr>
              <w:spacing w:before="65" w:line="228" w:lineRule="auto"/>
              <w:ind w:left="140"/>
              <w:rPr>
                <w:rFonts w:ascii="Times New Roman" w:hAnsi="Times New Roman" w:eastAsia="Times New Roman" w:cs="Times New Roman"/>
                <w:sz w:val="20"/>
                <w:szCs w:val="20"/>
              </w:rPr>
            </w:pPr>
            <w:r>
              <w:rPr>
                <w:rFonts w:ascii="宋体" w:hAnsi="宋体" w:eastAsia="宋体" w:cs="宋体"/>
                <w:spacing w:val="2"/>
                <w:sz w:val="20"/>
                <w:szCs w:val="20"/>
              </w:rPr>
              <w:t xml:space="preserve">酸式滴定管 </w:t>
            </w:r>
            <w:r>
              <w:rPr>
                <w:rFonts w:ascii="Times New Roman" w:hAnsi="Times New Roman" w:eastAsia="Times New Roman" w:cs="Times New Roman"/>
                <w:spacing w:val="1"/>
                <w:sz w:val="20"/>
                <w:szCs w:val="20"/>
              </w:rPr>
              <w:t>50</w:t>
            </w:r>
            <w:r>
              <w:rPr>
                <w:rFonts w:ascii="Times New Roman" w:hAnsi="Times New Roman" w:eastAsia="Times New Roman" w:cs="Times New Roman"/>
                <w:sz w:val="20"/>
                <w:szCs w:val="20"/>
              </w:rPr>
              <w:t>mL</w:t>
            </w:r>
          </w:p>
        </w:tc>
        <w:tc>
          <w:tcPr>
            <w:tcW w:w="730" w:type="dxa"/>
            <w:vAlign w:val="top"/>
          </w:tcPr>
          <w:p w14:paraId="6AEA9F9C">
            <w:pPr>
              <w:spacing w:line="342" w:lineRule="auto"/>
              <w:rPr>
                <w:rFonts w:ascii="Arial"/>
                <w:sz w:val="21"/>
              </w:rPr>
            </w:pPr>
          </w:p>
          <w:p w14:paraId="1488BA05">
            <w:pPr>
              <w:spacing w:before="58" w:line="195" w:lineRule="auto"/>
              <w:ind w:left="18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.05</w:t>
            </w:r>
          </w:p>
        </w:tc>
        <w:tc>
          <w:tcPr>
            <w:tcW w:w="975" w:type="dxa"/>
            <w:tcBorders>
              <w:right w:val="nil"/>
            </w:tcBorders>
            <w:vAlign w:val="top"/>
          </w:tcPr>
          <w:p w14:paraId="16CA610F">
            <w:pPr>
              <w:spacing w:line="269" w:lineRule="auto"/>
              <w:rPr>
                <w:rFonts w:ascii="Arial"/>
                <w:sz w:val="21"/>
              </w:rPr>
            </w:pPr>
          </w:p>
          <w:p w14:paraId="200652C9">
            <w:pPr>
              <w:spacing w:before="57" w:line="282" w:lineRule="exact"/>
              <w:ind w:left="259"/>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r>
      <w:tr w14:paraId="47C23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480" w:type="dxa"/>
            <w:tcBorders>
              <w:left w:val="nil"/>
            </w:tcBorders>
            <w:vAlign w:val="top"/>
          </w:tcPr>
          <w:p w14:paraId="0AD19D96">
            <w:pPr>
              <w:spacing w:line="342" w:lineRule="auto"/>
              <w:rPr>
                <w:rFonts w:ascii="Arial"/>
                <w:sz w:val="21"/>
              </w:rPr>
            </w:pPr>
          </w:p>
          <w:p w14:paraId="1D2AACD0">
            <w:pPr>
              <w:spacing w:before="57" w:line="195" w:lineRule="auto"/>
              <w:ind w:left="199"/>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131" w:type="dxa"/>
            <w:vAlign w:val="top"/>
          </w:tcPr>
          <w:p w14:paraId="440F0963">
            <w:pPr>
              <w:spacing w:line="298" w:lineRule="auto"/>
              <w:rPr>
                <w:rFonts w:ascii="Arial"/>
                <w:sz w:val="21"/>
              </w:rPr>
            </w:pPr>
          </w:p>
          <w:p w14:paraId="2D3E402C">
            <w:pPr>
              <w:spacing w:before="65" w:line="227" w:lineRule="auto"/>
              <w:ind w:left="360"/>
              <w:rPr>
                <w:rFonts w:ascii="宋体" w:hAnsi="宋体" w:eastAsia="宋体" w:cs="宋体"/>
                <w:sz w:val="20"/>
                <w:szCs w:val="20"/>
              </w:rPr>
            </w:pPr>
            <w:r>
              <w:rPr>
                <w:rFonts w:ascii="宋体" w:hAnsi="宋体" w:eastAsia="宋体" w:cs="宋体"/>
                <w:spacing w:val="5"/>
                <w:sz w:val="20"/>
                <w:szCs w:val="20"/>
              </w:rPr>
              <w:t>氨</w:t>
            </w:r>
            <w:r>
              <w:rPr>
                <w:rFonts w:ascii="宋体" w:hAnsi="宋体" w:eastAsia="宋体" w:cs="宋体"/>
                <w:spacing w:val="4"/>
                <w:sz w:val="20"/>
                <w:szCs w:val="20"/>
              </w:rPr>
              <w:t>氮</w:t>
            </w:r>
          </w:p>
        </w:tc>
        <w:tc>
          <w:tcPr>
            <w:tcW w:w="3336" w:type="dxa"/>
            <w:vAlign w:val="top"/>
          </w:tcPr>
          <w:p w14:paraId="34EC1FD9">
            <w:pPr>
              <w:spacing w:before="53" w:line="227" w:lineRule="auto"/>
              <w:ind w:left="47"/>
              <w:rPr>
                <w:rFonts w:ascii="宋体" w:hAnsi="宋体" w:eastAsia="宋体" w:cs="宋体"/>
                <w:sz w:val="20"/>
                <w:szCs w:val="20"/>
              </w:rPr>
            </w:pPr>
            <w:r>
              <w:rPr>
                <w:rFonts w:ascii="宋体" w:hAnsi="宋体" w:eastAsia="宋体" w:cs="宋体"/>
                <w:spacing w:val="9"/>
                <w:sz w:val="20"/>
                <w:szCs w:val="20"/>
              </w:rPr>
              <w:t>生活饮用水标准检验方法 无机非</w:t>
            </w:r>
            <w:r>
              <w:rPr>
                <w:rFonts w:ascii="宋体" w:hAnsi="宋体" w:eastAsia="宋体" w:cs="宋体"/>
                <w:spacing w:val="7"/>
                <w:sz w:val="20"/>
                <w:szCs w:val="20"/>
              </w:rPr>
              <w:t>金</w:t>
            </w:r>
          </w:p>
          <w:p w14:paraId="5E74B288">
            <w:pPr>
              <w:spacing w:before="66" w:line="227" w:lineRule="auto"/>
              <w:ind w:left="179"/>
              <w:rPr>
                <w:rFonts w:ascii="宋体" w:hAnsi="宋体" w:eastAsia="宋体" w:cs="宋体"/>
                <w:sz w:val="20"/>
                <w:szCs w:val="20"/>
              </w:rPr>
            </w:pPr>
            <w:r>
              <w:rPr>
                <w:rFonts w:ascii="宋体" w:hAnsi="宋体" w:eastAsia="宋体" w:cs="宋体"/>
                <w:spacing w:val="8"/>
                <w:sz w:val="20"/>
                <w:szCs w:val="20"/>
              </w:rPr>
              <w:t>属</w:t>
            </w:r>
            <w:r>
              <w:rPr>
                <w:rFonts w:ascii="宋体" w:hAnsi="宋体" w:eastAsia="宋体" w:cs="宋体"/>
                <w:spacing w:val="4"/>
                <w:sz w:val="20"/>
                <w:szCs w:val="20"/>
              </w:rPr>
              <w:t xml:space="preserve">指标 </w:t>
            </w:r>
            <w:r>
              <w:rPr>
                <w:rFonts w:ascii="Times New Roman" w:hAnsi="Times New Roman" w:eastAsia="Times New Roman" w:cs="Times New Roman"/>
                <w:spacing w:val="4"/>
                <w:sz w:val="20"/>
                <w:szCs w:val="20"/>
              </w:rPr>
              <w:t xml:space="preserve">9. 1  </w:t>
            </w:r>
            <w:r>
              <w:rPr>
                <w:rFonts w:ascii="宋体" w:hAnsi="宋体" w:eastAsia="宋体" w:cs="宋体"/>
                <w:spacing w:val="4"/>
                <w:sz w:val="20"/>
                <w:szCs w:val="20"/>
              </w:rPr>
              <w:t>纳氏试剂分光光度法</w:t>
            </w:r>
          </w:p>
          <w:p w14:paraId="6C18B7EE">
            <w:pPr>
              <w:spacing w:before="28" w:line="281" w:lineRule="exact"/>
              <w:ind w:left="87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GB</w:t>
            </w:r>
            <w:r>
              <w:rPr>
                <w:rFonts w:ascii="Times New Roman" w:hAnsi="Times New Roman" w:eastAsia="Times New Roman" w:cs="Times New Roman"/>
                <w:spacing w:val="5"/>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5"/>
                <w:position w:val="2"/>
                <w:sz w:val="20"/>
                <w:szCs w:val="20"/>
              </w:rPr>
              <w:t xml:space="preserve"> 5750.4-200</w:t>
            </w:r>
            <w:r>
              <w:rPr>
                <w:rFonts w:ascii="Times New Roman" w:hAnsi="Times New Roman" w:eastAsia="Times New Roman" w:cs="Times New Roman"/>
                <w:spacing w:val="2"/>
                <w:position w:val="2"/>
                <w:sz w:val="20"/>
                <w:szCs w:val="20"/>
              </w:rPr>
              <w:t>6</w:t>
            </w:r>
          </w:p>
        </w:tc>
        <w:tc>
          <w:tcPr>
            <w:tcW w:w="1870" w:type="dxa"/>
            <w:vAlign w:val="top"/>
          </w:tcPr>
          <w:p w14:paraId="1503AE13">
            <w:pPr>
              <w:spacing w:before="210" w:line="301" w:lineRule="auto"/>
              <w:ind w:left="319" w:right="94" w:hanging="213"/>
              <w:rPr>
                <w:rFonts w:ascii="Times New Roman" w:hAnsi="Times New Roman" w:eastAsia="Times New Roman" w:cs="Times New Roman"/>
                <w:sz w:val="20"/>
                <w:szCs w:val="20"/>
              </w:rPr>
            </w:pPr>
            <w:r>
              <w:rPr>
                <w:rFonts w:ascii="宋体" w:hAnsi="宋体" w:eastAsia="宋体" w:cs="宋体"/>
                <w:spacing w:val="8"/>
                <w:sz w:val="20"/>
                <w:szCs w:val="20"/>
              </w:rPr>
              <w:t>紫外可见分光光度</w:t>
            </w:r>
            <w:r>
              <w:rPr>
                <w:rFonts w:ascii="宋体" w:hAnsi="宋体" w:eastAsia="宋体" w:cs="宋体"/>
                <w:sz w:val="20"/>
                <w:szCs w:val="20"/>
              </w:rPr>
              <w:t xml:space="preserve"> </w:t>
            </w:r>
            <w:r>
              <w:rPr>
                <w:rFonts w:ascii="宋体" w:hAnsi="宋体" w:eastAsia="宋体" w:cs="宋体"/>
                <w:spacing w:val="1"/>
                <w:sz w:val="20"/>
                <w:szCs w:val="20"/>
              </w:rPr>
              <w:t>计</w:t>
            </w:r>
            <w:r>
              <w:rPr>
                <w:rFonts w:ascii="宋体" w:hAnsi="宋体" w:eastAsia="宋体" w:cs="宋体"/>
                <w:sz w:val="20"/>
                <w:szCs w:val="20"/>
              </w:rPr>
              <w:t xml:space="preserve"> </w:t>
            </w:r>
            <w:r>
              <w:rPr>
                <w:rFonts w:ascii="Times New Roman" w:hAnsi="Times New Roman" w:eastAsia="Times New Roman" w:cs="Times New Roman"/>
                <w:sz w:val="20"/>
                <w:szCs w:val="20"/>
              </w:rPr>
              <w:t>UV1800PC</w:t>
            </w:r>
          </w:p>
        </w:tc>
        <w:tc>
          <w:tcPr>
            <w:tcW w:w="730" w:type="dxa"/>
            <w:vAlign w:val="top"/>
          </w:tcPr>
          <w:p w14:paraId="78FE97FD">
            <w:pPr>
              <w:spacing w:line="342" w:lineRule="auto"/>
              <w:rPr>
                <w:rFonts w:ascii="Arial"/>
                <w:sz w:val="21"/>
              </w:rPr>
            </w:pPr>
          </w:p>
          <w:p w14:paraId="08ACFC4F">
            <w:pPr>
              <w:spacing w:before="58" w:line="195" w:lineRule="auto"/>
              <w:ind w:left="18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.02</w:t>
            </w:r>
          </w:p>
        </w:tc>
        <w:tc>
          <w:tcPr>
            <w:tcW w:w="975" w:type="dxa"/>
            <w:tcBorders>
              <w:right w:val="nil"/>
            </w:tcBorders>
            <w:vAlign w:val="top"/>
          </w:tcPr>
          <w:p w14:paraId="07777241">
            <w:pPr>
              <w:spacing w:line="269" w:lineRule="auto"/>
              <w:rPr>
                <w:rFonts w:ascii="Arial"/>
                <w:sz w:val="21"/>
              </w:rPr>
            </w:pPr>
          </w:p>
          <w:p w14:paraId="789AC041">
            <w:pPr>
              <w:spacing w:before="57" w:line="281" w:lineRule="exact"/>
              <w:ind w:left="259"/>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r>
      <w:tr w14:paraId="04134C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480" w:type="dxa"/>
            <w:tcBorders>
              <w:left w:val="nil"/>
            </w:tcBorders>
            <w:vAlign w:val="top"/>
          </w:tcPr>
          <w:p w14:paraId="46EDC1EF">
            <w:pPr>
              <w:spacing w:line="342" w:lineRule="auto"/>
              <w:rPr>
                <w:rFonts w:ascii="Arial"/>
                <w:sz w:val="21"/>
              </w:rPr>
            </w:pPr>
          </w:p>
          <w:p w14:paraId="5428EF90">
            <w:pPr>
              <w:spacing w:before="58" w:line="195" w:lineRule="auto"/>
              <w:ind w:left="195"/>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131" w:type="dxa"/>
            <w:vAlign w:val="top"/>
          </w:tcPr>
          <w:p w14:paraId="11686192">
            <w:pPr>
              <w:spacing w:line="300" w:lineRule="auto"/>
              <w:rPr>
                <w:rFonts w:ascii="Arial"/>
                <w:sz w:val="21"/>
              </w:rPr>
            </w:pPr>
          </w:p>
          <w:p w14:paraId="6355E0E7">
            <w:pPr>
              <w:spacing w:before="65" w:line="228" w:lineRule="auto"/>
              <w:ind w:left="260"/>
              <w:rPr>
                <w:rFonts w:ascii="宋体" w:hAnsi="宋体" w:eastAsia="宋体" w:cs="宋体"/>
                <w:sz w:val="20"/>
                <w:szCs w:val="20"/>
              </w:rPr>
            </w:pPr>
            <w:r>
              <w:rPr>
                <w:rFonts w:ascii="宋体" w:hAnsi="宋体" w:eastAsia="宋体" w:cs="宋体"/>
                <w:spacing w:val="5"/>
                <w:sz w:val="20"/>
                <w:szCs w:val="20"/>
              </w:rPr>
              <w:t>总硬度</w:t>
            </w:r>
          </w:p>
        </w:tc>
        <w:tc>
          <w:tcPr>
            <w:tcW w:w="3336" w:type="dxa"/>
            <w:vAlign w:val="top"/>
          </w:tcPr>
          <w:p w14:paraId="70CCF1C5">
            <w:pPr>
              <w:spacing w:before="54" w:line="228" w:lineRule="auto"/>
              <w:ind w:left="100"/>
              <w:rPr>
                <w:rFonts w:ascii="宋体" w:hAnsi="宋体" w:eastAsia="宋体" w:cs="宋体"/>
                <w:sz w:val="20"/>
                <w:szCs w:val="20"/>
              </w:rPr>
            </w:pPr>
            <w:r>
              <w:rPr>
                <w:rFonts w:ascii="宋体" w:hAnsi="宋体" w:eastAsia="宋体" w:cs="宋体"/>
                <w:spacing w:val="16"/>
                <w:sz w:val="20"/>
                <w:szCs w:val="20"/>
              </w:rPr>
              <w:t>生</w:t>
            </w:r>
            <w:r>
              <w:rPr>
                <w:rFonts w:ascii="宋体" w:hAnsi="宋体" w:eastAsia="宋体" w:cs="宋体"/>
                <w:spacing w:val="11"/>
                <w:sz w:val="20"/>
                <w:szCs w:val="20"/>
              </w:rPr>
              <w:t>活</w:t>
            </w:r>
            <w:r>
              <w:rPr>
                <w:rFonts w:ascii="宋体" w:hAnsi="宋体" w:eastAsia="宋体" w:cs="宋体"/>
                <w:spacing w:val="8"/>
                <w:sz w:val="20"/>
                <w:szCs w:val="20"/>
              </w:rPr>
              <w:t>饮用水标准检验方法  感官性</w:t>
            </w:r>
          </w:p>
          <w:p w14:paraId="32CA777C">
            <w:pPr>
              <w:spacing w:before="64" w:line="228" w:lineRule="auto"/>
              <w:ind w:left="72"/>
              <w:rPr>
                <w:rFonts w:ascii="宋体" w:hAnsi="宋体" w:eastAsia="宋体" w:cs="宋体"/>
                <w:sz w:val="20"/>
                <w:szCs w:val="20"/>
              </w:rPr>
            </w:pPr>
            <w:r>
              <w:rPr>
                <w:rFonts w:ascii="宋体" w:hAnsi="宋体" w:eastAsia="宋体" w:cs="宋体"/>
                <w:spacing w:val="8"/>
                <w:sz w:val="20"/>
                <w:szCs w:val="20"/>
              </w:rPr>
              <w:t>状和物</w:t>
            </w:r>
            <w:r>
              <w:rPr>
                <w:rFonts w:ascii="宋体" w:hAnsi="宋体" w:eastAsia="宋体" w:cs="宋体"/>
                <w:spacing w:val="5"/>
                <w:sz w:val="20"/>
                <w:szCs w:val="20"/>
              </w:rPr>
              <w:t>理</w:t>
            </w:r>
            <w:r>
              <w:rPr>
                <w:rFonts w:ascii="宋体" w:hAnsi="宋体" w:eastAsia="宋体" w:cs="宋体"/>
                <w:spacing w:val="4"/>
                <w:sz w:val="20"/>
                <w:szCs w:val="20"/>
              </w:rPr>
              <w:t xml:space="preserve">指标 </w:t>
            </w:r>
            <w:r>
              <w:rPr>
                <w:rFonts w:ascii="Times New Roman" w:hAnsi="Times New Roman" w:eastAsia="Times New Roman" w:cs="Times New Roman"/>
                <w:spacing w:val="4"/>
                <w:sz w:val="20"/>
                <w:szCs w:val="20"/>
              </w:rPr>
              <w:t xml:space="preserve">7. 1  </w:t>
            </w:r>
            <w:r>
              <w:rPr>
                <w:rFonts w:ascii="宋体" w:hAnsi="宋体" w:eastAsia="宋体" w:cs="宋体"/>
                <w:spacing w:val="4"/>
                <w:sz w:val="20"/>
                <w:szCs w:val="20"/>
              </w:rPr>
              <w:t>乙二胺四乙酸二</w:t>
            </w:r>
          </w:p>
          <w:p w14:paraId="5B706B8F">
            <w:pPr>
              <w:spacing w:before="27" w:line="281" w:lineRule="exact"/>
              <w:ind w:left="404"/>
              <w:rPr>
                <w:rFonts w:ascii="Times New Roman" w:hAnsi="Times New Roman" w:eastAsia="Times New Roman" w:cs="Times New Roman"/>
                <w:sz w:val="20"/>
                <w:szCs w:val="20"/>
              </w:rPr>
            </w:pPr>
            <w:r>
              <w:rPr>
                <w:rFonts w:ascii="宋体" w:hAnsi="宋体" w:eastAsia="宋体" w:cs="宋体"/>
                <w:spacing w:val="6"/>
                <w:position w:val="1"/>
                <w:sz w:val="20"/>
                <w:szCs w:val="20"/>
              </w:rPr>
              <w:t xml:space="preserve">钠滴定法 </w:t>
            </w:r>
            <w:r>
              <w:rPr>
                <w:rFonts w:ascii="Times New Roman" w:hAnsi="Times New Roman" w:eastAsia="Times New Roman" w:cs="Times New Roman"/>
                <w:position w:val="1"/>
                <w:sz w:val="20"/>
                <w:szCs w:val="20"/>
              </w:rPr>
              <w:t>GB</w:t>
            </w:r>
            <w:r>
              <w:rPr>
                <w:rFonts w:ascii="Times New Roman" w:hAnsi="Times New Roman" w:eastAsia="Times New Roman" w:cs="Times New Roman"/>
                <w:spacing w:val="6"/>
                <w:position w:val="1"/>
                <w:sz w:val="20"/>
                <w:szCs w:val="20"/>
              </w:rPr>
              <w:t>/</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6"/>
                <w:position w:val="1"/>
                <w:sz w:val="20"/>
                <w:szCs w:val="20"/>
              </w:rPr>
              <w:t xml:space="preserve"> 5750.4-2006</w:t>
            </w:r>
          </w:p>
        </w:tc>
        <w:tc>
          <w:tcPr>
            <w:tcW w:w="1870" w:type="dxa"/>
            <w:vAlign w:val="top"/>
          </w:tcPr>
          <w:p w14:paraId="3CB32BFA">
            <w:pPr>
              <w:spacing w:line="299" w:lineRule="auto"/>
              <w:rPr>
                <w:rFonts w:ascii="Arial"/>
                <w:sz w:val="21"/>
              </w:rPr>
            </w:pPr>
          </w:p>
          <w:p w14:paraId="2DEE6793">
            <w:pPr>
              <w:spacing w:before="65" w:line="228" w:lineRule="auto"/>
              <w:ind w:left="140"/>
              <w:rPr>
                <w:rFonts w:ascii="Times New Roman" w:hAnsi="Times New Roman" w:eastAsia="Times New Roman" w:cs="Times New Roman"/>
                <w:sz w:val="20"/>
                <w:szCs w:val="20"/>
              </w:rPr>
            </w:pPr>
            <w:r>
              <w:rPr>
                <w:rFonts w:ascii="宋体" w:hAnsi="宋体" w:eastAsia="宋体" w:cs="宋体"/>
                <w:spacing w:val="2"/>
                <w:sz w:val="20"/>
                <w:szCs w:val="20"/>
              </w:rPr>
              <w:t xml:space="preserve">酸式滴定管 </w:t>
            </w:r>
            <w:r>
              <w:rPr>
                <w:rFonts w:ascii="Times New Roman" w:hAnsi="Times New Roman" w:eastAsia="Times New Roman" w:cs="Times New Roman"/>
                <w:spacing w:val="1"/>
                <w:sz w:val="20"/>
                <w:szCs w:val="20"/>
              </w:rPr>
              <w:t>50</w:t>
            </w:r>
            <w:r>
              <w:rPr>
                <w:rFonts w:ascii="Times New Roman" w:hAnsi="Times New Roman" w:eastAsia="Times New Roman" w:cs="Times New Roman"/>
                <w:sz w:val="20"/>
                <w:szCs w:val="20"/>
              </w:rPr>
              <w:t>mL</w:t>
            </w:r>
          </w:p>
        </w:tc>
        <w:tc>
          <w:tcPr>
            <w:tcW w:w="730" w:type="dxa"/>
            <w:vAlign w:val="top"/>
          </w:tcPr>
          <w:p w14:paraId="72DB7862">
            <w:pPr>
              <w:spacing w:line="342" w:lineRule="auto"/>
              <w:rPr>
                <w:rFonts w:ascii="Arial"/>
                <w:sz w:val="21"/>
              </w:rPr>
            </w:pPr>
          </w:p>
          <w:p w14:paraId="7F898007">
            <w:pPr>
              <w:spacing w:before="58" w:line="198" w:lineRule="auto"/>
              <w:ind w:left="25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w:t>
            </w:r>
          </w:p>
        </w:tc>
        <w:tc>
          <w:tcPr>
            <w:tcW w:w="975" w:type="dxa"/>
            <w:tcBorders>
              <w:right w:val="nil"/>
            </w:tcBorders>
            <w:vAlign w:val="top"/>
          </w:tcPr>
          <w:p w14:paraId="7DA4038C">
            <w:pPr>
              <w:spacing w:line="269" w:lineRule="auto"/>
              <w:rPr>
                <w:rFonts w:ascii="Arial"/>
                <w:sz w:val="21"/>
              </w:rPr>
            </w:pPr>
          </w:p>
          <w:p w14:paraId="00223D5A">
            <w:pPr>
              <w:spacing w:before="58" w:line="281" w:lineRule="exact"/>
              <w:ind w:left="259"/>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r>
      <w:tr w14:paraId="0FCA2E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480" w:type="dxa"/>
            <w:tcBorders>
              <w:left w:val="nil"/>
            </w:tcBorders>
            <w:vAlign w:val="top"/>
          </w:tcPr>
          <w:p w14:paraId="08E7B9D9">
            <w:pPr>
              <w:spacing w:line="343" w:lineRule="auto"/>
              <w:rPr>
                <w:rFonts w:ascii="Arial"/>
                <w:sz w:val="21"/>
              </w:rPr>
            </w:pPr>
          </w:p>
          <w:p w14:paraId="7762B159">
            <w:pPr>
              <w:spacing w:before="57"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1131" w:type="dxa"/>
            <w:vAlign w:val="top"/>
          </w:tcPr>
          <w:p w14:paraId="3467550A">
            <w:pPr>
              <w:spacing w:line="300" w:lineRule="auto"/>
              <w:rPr>
                <w:rFonts w:ascii="Arial"/>
                <w:sz w:val="21"/>
              </w:rPr>
            </w:pPr>
          </w:p>
          <w:p w14:paraId="08AC2990">
            <w:pPr>
              <w:spacing w:before="65" w:line="229" w:lineRule="auto"/>
              <w:ind w:left="254"/>
              <w:rPr>
                <w:rFonts w:ascii="宋体" w:hAnsi="宋体" w:eastAsia="宋体" w:cs="宋体"/>
                <w:sz w:val="20"/>
                <w:szCs w:val="20"/>
              </w:rPr>
            </w:pPr>
            <w:r>
              <w:rPr>
                <w:rFonts w:ascii="宋体" w:hAnsi="宋体" w:eastAsia="宋体" w:cs="宋体"/>
                <w:spacing w:val="7"/>
                <w:sz w:val="20"/>
                <w:szCs w:val="20"/>
              </w:rPr>
              <w:t>硫酸盐</w:t>
            </w:r>
          </w:p>
        </w:tc>
        <w:tc>
          <w:tcPr>
            <w:tcW w:w="3336" w:type="dxa"/>
            <w:vAlign w:val="top"/>
          </w:tcPr>
          <w:p w14:paraId="2675DA73">
            <w:pPr>
              <w:spacing w:before="56" w:line="301" w:lineRule="auto"/>
              <w:ind w:left="308" w:right="41" w:hanging="261"/>
              <w:rPr>
                <w:rFonts w:ascii="Times New Roman" w:hAnsi="Times New Roman" w:eastAsia="Times New Roman" w:cs="Times New Roman"/>
                <w:sz w:val="20"/>
                <w:szCs w:val="20"/>
              </w:rPr>
            </w:pPr>
            <w:r>
              <w:rPr>
                <w:rFonts w:ascii="宋体" w:hAnsi="宋体" w:eastAsia="宋体" w:cs="宋体"/>
                <w:spacing w:val="9"/>
                <w:sz w:val="20"/>
                <w:szCs w:val="20"/>
              </w:rPr>
              <w:t>生活饮用水标准检验方法 无机非</w:t>
            </w:r>
            <w:r>
              <w:rPr>
                <w:rFonts w:ascii="宋体" w:hAnsi="宋体" w:eastAsia="宋体" w:cs="宋体"/>
                <w:spacing w:val="7"/>
                <w:sz w:val="20"/>
                <w:szCs w:val="20"/>
              </w:rPr>
              <w:t>金</w:t>
            </w:r>
            <w:r>
              <w:rPr>
                <w:rFonts w:ascii="宋体" w:hAnsi="宋体" w:eastAsia="宋体" w:cs="宋体"/>
                <w:sz w:val="20"/>
                <w:szCs w:val="20"/>
              </w:rPr>
              <w:t xml:space="preserve"> </w:t>
            </w:r>
            <w:r>
              <w:rPr>
                <w:rFonts w:ascii="宋体" w:hAnsi="宋体" w:eastAsia="宋体" w:cs="宋体"/>
                <w:spacing w:val="13"/>
                <w:sz w:val="20"/>
                <w:szCs w:val="20"/>
              </w:rPr>
              <w:t>属</w:t>
            </w:r>
            <w:r>
              <w:rPr>
                <w:rFonts w:ascii="宋体" w:hAnsi="宋体" w:eastAsia="宋体" w:cs="宋体"/>
                <w:spacing w:val="7"/>
                <w:sz w:val="20"/>
                <w:szCs w:val="20"/>
              </w:rPr>
              <w:t xml:space="preserve">指标 </w:t>
            </w:r>
            <w:r>
              <w:rPr>
                <w:rFonts w:ascii="Times New Roman" w:hAnsi="Times New Roman" w:eastAsia="Times New Roman" w:cs="Times New Roman"/>
                <w:spacing w:val="7"/>
                <w:sz w:val="20"/>
                <w:szCs w:val="20"/>
              </w:rPr>
              <w:t xml:space="preserve">1.2  </w:t>
            </w:r>
            <w:r>
              <w:rPr>
                <w:rFonts w:ascii="宋体" w:hAnsi="宋体" w:eastAsia="宋体" w:cs="宋体"/>
                <w:spacing w:val="7"/>
                <w:sz w:val="20"/>
                <w:szCs w:val="20"/>
              </w:rPr>
              <w:t xml:space="preserve">离子色谱法 </w:t>
            </w:r>
            <w:r>
              <w:rPr>
                <w:rFonts w:ascii="Times New Roman" w:hAnsi="Times New Roman" w:eastAsia="Times New Roman" w:cs="Times New Roman"/>
                <w:sz w:val="20"/>
                <w:szCs w:val="20"/>
              </w:rPr>
              <w:t>GB</w:t>
            </w:r>
            <w:r>
              <w:rPr>
                <w:rFonts w:ascii="Times New Roman" w:hAnsi="Times New Roman" w:eastAsia="Times New Roman" w:cs="Times New Roman"/>
                <w:spacing w:val="7"/>
                <w:sz w:val="20"/>
                <w:szCs w:val="20"/>
              </w:rPr>
              <w:t>/</w:t>
            </w:r>
            <w:r>
              <w:rPr>
                <w:rFonts w:ascii="Times New Roman" w:hAnsi="Times New Roman" w:eastAsia="Times New Roman" w:cs="Times New Roman"/>
                <w:sz w:val="20"/>
                <w:szCs w:val="20"/>
              </w:rPr>
              <w:t>T</w:t>
            </w:r>
          </w:p>
          <w:p w14:paraId="0002767A">
            <w:pPr>
              <w:spacing w:before="6" w:line="195" w:lineRule="auto"/>
              <w:ind w:left="114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57</w:t>
            </w:r>
            <w:r>
              <w:rPr>
                <w:rFonts w:ascii="Times New Roman" w:hAnsi="Times New Roman" w:eastAsia="Times New Roman" w:cs="Times New Roman"/>
                <w:spacing w:val="4"/>
                <w:sz w:val="20"/>
                <w:szCs w:val="20"/>
              </w:rPr>
              <w:t>5</w:t>
            </w:r>
            <w:r>
              <w:rPr>
                <w:rFonts w:ascii="Times New Roman" w:hAnsi="Times New Roman" w:eastAsia="Times New Roman" w:cs="Times New Roman"/>
                <w:spacing w:val="3"/>
                <w:sz w:val="20"/>
                <w:szCs w:val="20"/>
              </w:rPr>
              <w:t>0.5-2006</w:t>
            </w:r>
          </w:p>
        </w:tc>
        <w:tc>
          <w:tcPr>
            <w:tcW w:w="1870" w:type="dxa"/>
            <w:vAlign w:val="top"/>
          </w:tcPr>
          <w:p w14:paraId="6CC88B5A">
            <w:pPr>
              <w:spacing w:line="299" w:lineRule="auto"/>
              <w:rPr>
                <w:rFonts w:ascii="Arial"/>
                <w:sz w:val="21"/>
              </w:rPr>
            </w:pPr>
          </w:p>
          <w:p w14:paraId="44BF9293">
            <w:pPr>
              <w:spacing w:before="65" w:line="228" w:lineRule="auto"/>
              <w:ind w:left="77"/>
              <w:rPr>
                <w:rFonts w:ascii="Times New Roman" w:hAnsi="Times New Roman" w:eastAsia="Times New Roman" w:cs="Times New Roman"/>
                <w:sz w:val="20"/>
                <w:szCs w:val="20"/>
              </w:rPr>
            </w:pPr>
            <w:r>
              <w:rPr>
                <w:rFonts w:ascii="宋体" w:hAnsi="宋体" w:eastAsia="宋体" w:cs="宋体"/>
                <w:spacing w:val="2"/>
                <w:sz w:val="20"/>
                <w:szCs w:val="20"/>
              </w:rPr>
              <w:t xml:space="preserve">离子色谱仪 </w:t>
            </w:r>
            <w:r>
              <w:rPr>
                <w:rFonts w:ascii="Times New Roman" w:hAnsi="Times New Roman" w:eastAsia="Times New Roman" w:cs="Times New Roman"/>
                <w:sz w:val="20"/>
                <w:szCs w:val="20"/>
              </w:rPr>
              <w:t>IC</w:t>
            </w:r>
            <w:r>
              <w:rPr>
                <w:rFonts w:ascii="Times New Roman" w:hAnsi="Times New Roman" w:eastAsia="Times New Roman" w:cs="Times New Roman"/>
                <w:spacing w:val="2"/>
                <w:sz w:val="20"/>
                <w:szCs w:val="20"/>
              </w:rPr>
              <w:t>6000</w:t>
            </w:r>
          </w:p>
        </w:tc>
        <w:tc>
          <w:tcPr>
            <w:tcW w:w="730" w:type="dxa"/>
            <w:vAlign w:val="top"/>
          </w:tcPr>
          <w:p w14:paraId="40EC2C13">
            <w:pPr>
              <w:spacing w:line="343" w:lineRule="auto"/>
              <w:rPr>
                <w:rFonts w:ascii="Arial"/>
                <w:sz w:val="21"/>
              </w:rPr>
            </w:pPr>
          </w:p>
          <w:p w14:paraId="2EF62642">
            <w:pPr>
              <w:spacing w:before="58" w:line="195" w:lineRule="auto"/>
              <w:ind w:left="18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.75</w:t>
            </w:r>
          </w:p>
        </w:tc>
        <w:tc>
          <w:tcPr>
            <w:tcW w:w="975" w:type="dxa"/>
            <w:tcBorders>
              <w:right w:val="nil"/>
            </w:tcBorders>
            <w:vAlign w:val="top"/>
          </w:tcPr>
          <w:p w14:paraId="070C5DC3">
            <w:pPr>
              <w:spacing w:line="270" w:lineRule="auto"/>
              <w:rPr>
                <w:rFonts w:ascii="Arial"/>
                <w:sz w:val="21"/>
              </w:rPr>
            </w:pPr>
          </w:p>
          <w:p w14:paraId="2FFDD2DD">
            <w:pPr>
              <w:spacing w:before="57" w:line="281" w:lineRule="exact"/>
              <w:ind w:left="259"/>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r>
      <w:tr w14:paraId="275226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480" w:type="dxa"/>
            <w:tcBorders>
              <w:left w:val="nil"/>
            </w:tcBorders>
            <w:vAlign w:val="top"/>
          </w:tcPr>
          <w:p w14:paraId="51D42B1D">
            <w:pPr>
              <w:spacing w:line="342" w:lineRule="auto"/>
              <w:rPr>
                <w:rFonts w:ascii="Arial"/>
                <w:sz w:val="21"/>
              </w:rPr>
            </w:pPr>
          </w:p>
          <w:p w14:paraId="14EF88A4">
            <w:pPr>
              <w:spacing w:before="58" w:line="195" w:lineRule="auto"/>
              <w:ind w:left="163"/>
              <w:rPr>
                <w:rFonts w:ascii="Times New Roman" w:hAnsi="Times New Roman" w:eastAsia="Times New Roman" w:cs="Times New Roman"/>
                <w:sz w:val="20"/>
                <w:szCs w:val="20"/>
              </w:rPr>
            </w:pPr>
            <w:r>
              <w:rPr>
                <w:rFonts w:ascii="Times New Roman" w:hAnsi="Times New Roman" w:eastAsia="Times New Roman" w:cs="Times New Roman"/>
                <w:spacing w:val="-11"/>
                <w:sz w:val="20"/>
                <w:szCs w:val="20"/>
              </w:rPr>
              <w:t>1</w:t>
            </w:r>
            <w:r>
              <w:rPr>
                <w:rFonts w:ascii="Times New Roman" w:hAnsi="Times New Roman" w:eastAsia="Times New Roman" w:cs="Times New Roman"/>
                <w:spacing w:val="-9"/>
                <w:sz w:val="20"/>
                <w:szCs w:val="20"/>
              </w:rPr>
              <w:t>1</w:t>
            </w:r>
          </w:p>
        </w:tc>
        <w:tc>
          <w:tcPr>
            <w:tcW w:w="1131" w:type="dxa"/>
            <w:vAlign w:val="top"/>
          </w:tcPr>
          <w:p w14:paraId="687BDA1B">
            <w:pPr>
              <w:spacing w:line="299" w:lineRule="auto"/>
              <w:rPr>
                <w:rFonts w:ascii="Arial"/>
                <w:sz w:val="21"/>
              </w:rPr>
            </w:pPr>
          </w:p>
          <w:p w14:paraId="3CF5D3CF">
            <w:pPr>
              <w:spacing w:before="65" w:line="229" w:lineRule="auto"/>
              <w:ind w:left="256"/>
              <w:rPr>
                <w:rFonts w:ascii="宋体" w:hAnsi="宋体" w:eastAsia="宋体" w:cs="宋体"/>
                <w:sz w:val="20"/>
                <w:szCs w:val="20"/>
              </w:rPr>
            </w:pPr>
            <w:r>
              <w:rPr>
                <w:rFonts w:ascii="宋体" w:hAnsi="宋体" w:eastAsia="宋体" w:cs="宋体"/>
                <w:spacing w:val="7"/>
                <w:sz w:val="20"/>
                <w:szCs w:val="20"/>
              </w:rPr>
              <w:t>硝</w:t>
            </w:r>
            <w:r>
              <w:rPr>
                <w:rFonts w:ascii="宋体" w:hAnsi="宋体" w:eastAsia="宋体" w:cs="宋体"/>
                <w:spacing w:val="6"/>
                <w:sz w:val="20"/>
                <w:szCs w:val="20"/>
              </w:rPr>
              <w:t>酸盐</w:t>
            </w:r>
          </w:p>
        </w:tc>
        <w:tc>
          <w:tcPr>
            <w:tcW w:w="3336" w:type="dxa"/>
            <w:vAlign w:val="top"/>
          </w:tcPr>
          <w:p w14:paraId="6F470A32">
            <w:pPr>
              <w:spacing w:before="55" w:line="301" w:lineRule="auto"/>
              <w:ind w:left="308" w:right="41" w:hanging="261"/>
              <w:rPr>
                <w:rFonts w:ascii="Times New Roman" w:hAnsi="Times New Roman" w:eastAsia="Times New Roman" w:cs="Times New Roman"/>
                <w:sz w:val="20"/>
                <w:szCs w:val="20"/>
              </w:rPr>
            </w:pPr>
            <w:r>
              <w:rPr>
                <w:rFonts w:ascii="宋体" w:hAnsi="宋体" w:eastAsia="宋体" w:cs="宋体"/>
                <w:spacing w:val="9"/>
                <w:sz w:val="20"/>
                <w:szCs w:val="20"/>
              </w:rPr>
              <w:t>生活饮用水标准检验方法 无机非</w:t>
            </w:r>
            <w:r>
              <w:rPr>
                <w:rFonts w:ascii="宋体" w:hAnsi="宋体" w:eastAsia="宋体" w:cs="宋体"/>
                <w:spacing w:val="7"/>
                <w:sz w:val="20"/>
                <w:szCs w:val="20"/>
              </w:rPr>
              <w:t>金</w:t>
            </w:r>
            <w:r>
              <w:rPr>
                <w:rFonts w:ascii="宋体" w:hAnsi="宋体" w:eastAsia="宋体" w:cs="宋体"/>
                <w:sz w:val="20"/>
                <w:szCs w:val="20"/>
              </w:rPr>
              <w:t xml:space="preserve"> </w:t>
            </w:r>
            <w:r>
              <w:rPr>
                <w:rFonts w:ascii="宋体" w:hAnsi="宋体" w:eastAsia="宋体" w:cs="宋体"/>
                <w:spacing w:val="13"/>
                <w:sz w:val="20"/>
                <w:szCs w:val="20"/>
              </w:rPr>
              <w:t>属</w:t>
            </w:r>
            <w:r>
              <w:rPr>
                <w:rFonts w:ascii="宋体" w:hAnsi="宋体" w:eastAsia="宋体" w:cs="宋体"/>
                <w:spacing w:val="7"/>
                <w:sz w:val="20"/>
                <w:szCs w:val="20"/>
              </w:rPr>
              <w:t xml:space="preserve">指标 </w:t>
            </w:r>
            <w:r>
              <w:rPr>
                <w:rFonts w:ascii="Times New Roman" w:hAnsi="Times New Roman" w:eastAsia="Times New Roman" w:cs="Times New Roman"/>
                <w:spacing w:val="7"/>
                <w:sz w:val="20"/>
                <w:szCs w:val="20"/>
              </w:rPr>
              <w:t xml:space="preserve">5.3  </w:t>
            </w:r>
            <w:r>
              <w:rPr>
                <w:rFonts w:ascii="宋体" w:hAnsi="宋体" w:eastAsia="宋体" w:cs="宋体"/>
                <w:spacing w:val="7"/>
                <w:sz w:val="20"/>
                <w:szCs w:val="20"/>
              </w:rPr>
              <w:t xml:space="preserve">离子色谱法 </w:t>
            </w:r>
            <w:r>
              <w:rPr>
                <w:rFonts w:ascii="Times New Roman" w:hAnsi="Times New Roman" w:eastAsia="Times New Roman" w:cs="Times New Roman"/>
                <w:sz w:val="20"/>
                <w:szCs w:val="20"/>
              </w:rPr>
              <w:t>GB</w:t>
            </w:r>
            <w:r>
              <w:rPr>
                <w:rFonts w:ascii="Times New Roman" w:hAnsi="Times New Roman" w:eastAsia="Times New Roman" w:cs="Times New Roman"/>
                <w:spacing w:val="7"/>
                <w:sz w:val="20"/>
                <w:szCs w:val="20"/>
              </w:rPr>
              <w:t>/</w:t>
            </w:r>
            <w:r>
              <w:rPr>
                <w:rFonts w:ascii="Times New Roman" w:hAnsi="Times New Roman" w:eastAsia="Times New Roman" w:cs="Times New Roman"/>
                <w:sz w:val="20"/>
                <w:szCs w:val="20"/>
              </w:rPr>
              <w:t>T</w:t>
            </w:r>
          </w:p>
          <w:p w14:paraId="2698EE8F">
            <w:pPr>
              <w:spacing w:before="6" w:line="195" w:lineRule="auto"/>
              <w:ind w:left="114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57</w:t>
            </w:r>
            <w:r>
              <w:rPr>
                <w:rFonts w:ascii="Times New Roman" w:hAnsi="Times New Roman" w:eastAsia="Times New Roman" w:cs="Times New Roman"/>
                <w:spacing w:val="4"/>
                <w:sz w:val="20"/>
                <w:szCs w:val="20"/>
              </w:rPr>
              <w:t>5</w:t>
            </w:r>
            <w:r>
              <w:rPr>
                <w:rFonts w:ascii="Times New Roman" w:hAnsi="Times New Roman" w:eastAsia="Times New Roman" w:cs="Times New Roman"/>
                <w:spacing w:val="3"/>
                <w:sz w:val="20"/>
                <w:szCs w:val="20"/>
              </w:rPr>
              <w:t>0.5-2006</w:t>
            </w:r>
          </w:p>
        </w:tc>
        <w:tc>
          <w:tcPr>
            <w:tcW w:w="1870" w:type="dxa"/>
            <w:vAlign w:val="top"/>
          </w:tcPr>
          <w:p w14:paraId="29DAC0F8">
            <w:pPr>
              <w:spacing w:line="299" w:lineRule="auto"/>
              <w:rPr>
                <w:rFonts w:ascii="Arial"/>
                <w:sz w:val="21"/>
              </w:rPr>
            </w:pPr>
          </w:p>
          <w:p w14:paraId="5FC9584D">
            <w:pPr>
              <w:spacing w:before="65" w:line="228" w:lineRule="auto"/>
              <w:ind w:left="77"/>
              <w:rPr>
                <w:rFonts w:ascii="Times New Roman" w:hAnsi="Times New Roman" w:eastAsia="Times New Roman" w:cs="Times New Roman"/>
                <w:sz w:val="20"/>
                <w:szCs w:val="20"/>
              </w:rPr>
            </w:pPr>
            <w:r>
              <w:rPr>
                <w:rFonts w:ascii="宋体" w:hAnsi="宋体" w:eastAsia="宋体" w:cs="宋体"/>
                <w:spacing w:val="2"/>
                <w:sz w:val="20"/>
                <w:szCs w:val="20"/>
              </w:rPr>
              <w:t xml:space="preserve">离子色谱仪 </w:t>
            </w:r>
            <w:r>
              <w:rPr>
                <w:rFonts w:ascii="Times New Roman" w:hAnsi="Times New Roman" w:eastAsia="Times New Roman" w:cs="Times New Roman"/>
                <w:sz w:val="20"/>
                <w:szCs w:val="20"/>
              </w:rPr>
              <w:t>IC</w:t>
            </w:r>
            <w:r>
              <w:rPr>
                <w:rFonts w:ascii="Times New Roman" w:hAnsi="Times New Roman" w:eastAsia="Times New Roman" w:cs="Times New Roman"/>
                <w:spacing w:val="2"/>
                <w:sz w:val="20"/>
                <w:szCs w:val="20"/>
              </w:rPr>
              <w:t>6000</w:t>
            </w:r>
          </w:p>
        </w:tc>
        <w:tc>
          <w:tcPr>
            <w:tcW w:w="730" w:type="dxa"/>
            <w:vAlign w:val="top"/>
          </w:tcPr>
          <w:p w14:paraId="58D6566F">
            <w:pPr>
              <w:spacing w:line="269" w:lineRule="auto"/>
              <w:rPr>
                <w:rFonts w:ascii="Arial"/>
                <w:sz w:val="21"/>
              </w:rPr>
            </w:pPr>
          </w:p>
          <w:p w14:paraId="342A1B72">
            <w:pPr>
              <w:spacing w:before="58" w:line="281" w:lineRule="exact"/>
              <w:ind w:left="33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975" w:type="dxa"/>
            <w:tcBorders>
              <w:right w:val="nil"/>
            </w:tcBorders>
            <w:vAlign w:val="top"/>
          </w:tcPr>
          <w:p w14:paraId="39E0D35A">
            <w:pPr>
              <w:spacing w:line="269" w:lineRule="auto"/>
              <w:rPr>
                <w:rFonts w:ascii="Arial"/>
                <w:sz w:val="21"/>
              </w:rPr>
            </w:pPr>
          </w:p>
          <w:p w14:paraId="081112D5">
            <w:pPr>
              <w:spacing w:before="58" w:line="281" w:lineRule="exact"/>
              <w:ind w:left="259"/>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r>
      <w:tr w14:paraId="347A5E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480" w:type="dxa"/>
            <w:tcBorders>
              <w:left w:val="nil"/>
            </w:tcBorders>
            <w:vAlign w:val="top"/>
          </w:tcPr>
          <w:p w14:paraId="1C0E265F">
            <w:pPr>
              <w:spacing w:line="342" w:lineRule="auto"/>
              <w:rPr>
                <w:rFonts w:ascii="Arial"/>
                <w:sz w:val="21"/>
              </w:rPr>
            </w:pPr>
          </w:p>
          <w:p w14:paraId="35BB2F3D">
            <w:pPr>
              <w:spacing w:before="58"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2</w:t>
            </w:r>
          </w:p>
        </w:tc>
        <w:tc>
          <w:tcPr>
            <w:tcW w:w="1131" w:type="dxa"/>
            <w:vAlign w:val="top"/>
          </w:tcPr>
          <w:p w14:paraId="6F8DF935">
            <w:pPr>
              <w:spacing w:line="299" w:lineRule="auto"/>
              <w:rPr>
                <w:rFonts w:ascii="Arial"/>
                <w:sz w:val="21"/>
              </w:rPr>
            </w:pPr>
          </w:p>
          <w:p w14:paraId="3B348F75">
            <w:pPr>
              <w:spacing w:before="65" w:line="229" w:lineRule="auto"/>
              <w:ind w:left="151"/>
              <w:rPr>
                <w:rFonts w:ascii="宋体" w:hAnsi="宋体" w:eastAsia="宋体" w:cs="宋体"/>
                <w:sz w:val="20"/>
                <w:szCs w:val="20"/>
              </w:rPr>
            </w:pPr>
            <w:r>
              <w:rPr>
                <w:rFonts w:ascii="宋体" w:hAnsi="宋体" w:eastAsia="宋体" w:cs="宋体"/>
                <w:spacing w:val="7"/>
                <w:sz w:val="20"/>
                <w:szCs w:val="20"/>
              </w:rPr>
              <w:t>亚硝酸</w:t>
            </w:r>
            <w:r>
              <w:rPr>
                <w:rFonts w:ascii="宋体" w:hAnsi="宋体" w:eastAsia="宋体" w:cs="宋体"/>
                <w:spacing w:val="6"/>
                <w:sz w:val="20"/>
                <w:szCs w:val="20"/>
              </w:rPr>
              <w:t>盐</w:t>
            </w:r>
          </w:p>
        </w:tc>
        <w:tc>
          <w:tcPr>
            <w:tcW w:w="3336" w:type="dxa"/>
            <w:vAlign w:val="top"/>
          </w:tcPr>
          <w:p w14:paraId="27870F7F">
            <w:pPr>
              <w:spacing w:before="54" w:line="227" w:lineRule="auto"/>
              <w:ind w:left="47"/>
              <w:rPr>
                <w:rFonts w:ascii="宋体" w:hAnsi="宋体" w:eastAsia="宋体" w:cs="宋体"/>
                <w:sz w:val="20"/>
                <w:szCs w:val="20"/>
              </w:rPr>
            </w:pPr>
            <w:r>
              <w:rPr>
                <w:rFonts w:ascii="宋体" w:hAnsi="宋体" w:eastAsia="宋体" w:cs="宋体"/>
                <w:spacing w:val="9"/>
                <w:sz w:val="20"/>
                <w:szCs w:val="20"/>
              </w:rPr>
              <w:t>生活饮用水标准检验方法 无机非</w:t>
            </w:r>
            <w:r>
              <w:rPr>
                <w:rFonts w:ascii="宋体" w:hAnsi="宋体" w:eastAsia="宋体" w:cs="宋体"/>
                <w:spacing w:val="7"/>
                <w:sz w:val="20"/>
                <w:szCs w:val="20"/>
              </w:rPr>
              <w:t>金</w:t>
            </w:r>
          </w:p>
          <w:p w14:paraId="206F3F7F">
            <w:pPr>
              <w:spacing w:before="66" w:line="227" w:lineRule="auto"/>
              <w:ind w:left="126"/>
              <w:rPr>
                <w:rFonts w:ascii="宋体" w:hAnsi="宋体" w:eastAsia="宋体" w:cs="宋体"/>
                <w:sz w:val="20"/>
                <w:szCs w:val="20"/>
              </w:rPr>
            </w:pPr>
            <w:r>
              <w:rPr>
                <w:rFonts w:ascii="宋体" w:hAnsi="宋体" w:eastAsia="宋体" w:cs="宋体"/>
                <w:spacing w:val="8"/>
                <w:sz w:val="20"/>
                <w:szCs w:val="20"/>
              </w:rPr>
              <w:t>属</w:t>
            </w:r>
            <w:r>
              <w:rPr>
                <w:rFonts w:ascii="宋体" w:hAnsi="宋体" w:eastAsia="宋体" w:cs="宋体"/>
                <w:spacing w:val="6"/>
                <w:sz w:val="20"/>
                <w:szCs w:val="20"/>
              </w:rPr>
              <w:t>指</w:t>
            </w:r>
            <w:r>
              <w:rPr>
                <w:rFonts w:ascii="宋体" w:hAnsi="宋体" w:eastAsia="宋体" w:cs="宋体"/>
                <w:spacing w:val="4"/>
                <w:sz w:val="20"/>
                <w:szCs w:val="20"/>
              </w:rPr>
              <w:t xml:space="preserve">标 </w:t>
            </w:r>
            <w:r>
              <w:rPr>
                <w:rFonts w:ascii="Times New Roman" w:hAnsi="Times New Roman" w:eastAsia="Times New Roman" w:cs="Times New Roman"/>
                <w:spacing w:val="4"/>
                <w:sz w:val="20"/>
                <w:szCs w:val="20"/>
              </w:rPr>
              <w:t xml:space="preserve">10. 1  </w:t>
            </w:r>
            <w:r>
              <w:rPr>
                <w:rFonts w:ascii="宋体" w:hAnsi="宋体" w:eastAsia="宋体" w:cs="宋体"/>
                <w:spacing w:val="4"/>
                <w:sz w:val="20"/>
                <w:szCs w:val="20"/>
              </w:rPr>
              <w:t>重氮偶合分光光度法</w:t>
            </w:r>
          </w:p>
          <w:p w14:paraId="1A296F5D">
            <w:pPr>
              <w:spacing w:before="28" w:line="281" w:lineRule="exact"/>
              <w:ind w:left="87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GB</w:t>
            </w:r>
            <w:r>
              <w:rPr>
                <w:rFonts w:ascii="Times New Roman" w:hAnsi="Times New Roman" w:eastAsia="Times New Roman" w:cs="Times New Roman"/>
                <w:spacing w:val="5"/>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5"/>
                <w:position w:val="2"/>
                <w:sz w:val="20"/>
                <w:szCs w:val="20"/>
              </w:rPr>
              <w:t xml:space="preserve"> 5750.5-200</w:t>
            </w:r>
            <w:r>
              <w:rPr>
                <w:rFonts w:ascii="Times New Roman" w:hAnsi="Times New Roman" w:eastAsia="Times New Roman" w:cs="Times New Roman"/>
                <w:spacing w:val="2"/>
                <w:position w:val="2"/>
                <w:sz w:val="20"/>
                <w:szCs w:val="20"/>
              </w:rPr>
              <w:t>6</w:t>
            </w:r>
          </w:p>
        </w:tc>
        <w:tc>
          <w:tcPr>
            <w:tcW w:w="1870" w:type="dxa"/>
            <w:vAlign w:val="top"/>
          </w:tcPr>
          <w:p w14:paraId="6B67C094">
            <w:pPr>
              <w:spacing w:before="211" w:line="301" w:lineRule="auto"/>
              <w:ind w:left="319" w:right="94" w:hanging="213"/>
              <w:rPr>
                <w:rFonts w:ascii="Times New Roman" w:hAnsi="Times New Roman" w:eastAsia="Times New Roman" w:cs="Times New Roman"/>
                <w:sz w:val="20"/>
                <w:szCs w:val="20"/>
              </w:rPr>
            </w:pPr>
            <w:r>
              <w:rPr>
                <w:rFonts w:ascii="宋体" w:hAnsi="宋体" w:eastAsia="宋体" w:cs="宋体"/>
                <w:spacing w:val="8"/>
                <w:sz w:val="20"/>
                <w:szCs w:val="20"/>
              </w:rPr>
              <w:t>紫外可见分光光度</w:t>
            </w:r>
            <w:r>
              <w:rPr>
                <w:rFonts w:ascii="宋体" w:hAnsi="宋体" w:eastAsia="宋体" w:cs="宋体"/>
                <w:sz w:val="20"/>
                <w:szCs w:val="20"/>
              </w:rPr>
              <w:t xml:space="preserve"> </w:t>
            </w:r>
            <w:r>
              <w:rPr>
                <w:rFonts w:ascii="宋体" w:hAnsi="宋体" w:eastAsia="宋体" w:cs="宋体"/>
                <w:spacing w:val="1"/>
                <w:sz w:val="20"/>
                <w:szCs w:val="20"/>
              </w:rPr>
              <w:t>计</w:t>
            </w:r>
            <w:r>
              <w:rPr>
                <w:rFonts w:ascii="宋体" w:hAnsi="宋体" w:eastAsia="宋体" w:cs="宋体"/>
                <w:sz w:val="20"/>
                <w:szCs w:val="20"/>
              </w:rPr>
              <w:t xml:space="preserve"> </w:t>
            </w:r>
            <w:r>
              <w:rPr>
                <w:rFonts w:ascii="Times New Roman" w:hAnsi="Times New Roman" w:eastAsia="Times New Roman" w:cs="Times New Roman"/>
                <w:sz w:val="20"/>
                <w:szCs w:val="20"/>
              </w:rPr>
              <w:t>UV1800PC</w:t>
            </w:r>
          </w:p>
        </w:tc>
        <w:tc>
          <w:tcPr>
            <w:tcW w:w="730" w:type="dxa"/>
            <w:vAlign w:val="top"/>
          </w:tcPr>
          <w:p w14:paraId="7CC09373">
            <w:pPr>
              <w:spacing w:line="342" w:lineRule="auto"/>
              <w:rPr>
                <w:rFonts w:ascii="Arial"/>
                <w:sz w:val="21"/>
              </w:rPr>
            </w:pPr>
          </w:p>
          <w:p w14:paraId="3D7768C0">
            <w:pPr>
              <w:spacing w:before="58" w:line="195" w:lineRule="auto"/>
              <w:ind w:left="13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.001</w:t>
            </w:r>
          </w:p>
        </w:tc>
        <w:tc>
          <w:tcPr>
            <w:tcW w:w="975" w:type="dxa"/>
            <w:tcBorders>
              <w:right w:val="nil"/>
            </w:tcBorders>
            <w:vAlign w:val="top"/>
          </w:tcPr>
          <w:p w14:paraId="12204565">
            <w:pPr>
              <w:spacing w:line="269" w:lineRule="auto"/>
              <w:rPr>
                <w:rFonts w:ascii="Arial"/>
                <w:sz w:val="21"/>
              </w:rPr>
            </w:pPr>
          </w:p>
          <w:p w14:paraId="095E3D43">
            <w:pPr>
              <w:spacing w:before="57" w:line="282" w:lineRule="exact"/>
              <w:ind w:left="259"/>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r>
      <w:tr w14:paraId="21CD7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480" w:type="dxa"/>
            <w:tcBorders>
              <w:left w:val="nil"/>
            </w:tcBorders>
            <w:vAlign w:val="top"/>
          </w:tcPr>
          <w:p w14:paraId="0A943E93">
            <w:pPr>
              <w:spacing w:line="344" w:lineRule="auto"/>
              <w:rPr>
                <w:rFonts w:ascii="Arial"/>
                <w:sz w:val="21"/>
              </w:rPr>
            </w:pPr>
          </w:p>
          <w:p w14:paraId="790285F8">
            <w:pPr>
              <w:spacing w:before="58"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3</w:t>
            </w:r>
          </w:p>
        </w:tc>
        <w:tc>
          <w:tcPr>
            <w:tcW w:w="1131" w:type="dxa"/>
            <w:vAlign w:val="top"/>
          </w:tcPr>
          <w:p w14:paraId="64F0B772">
            <w:pPr>
              <w:spacing w:line="301" w:lineRule="auto"/>
              <w:rPr>
                <w:rFonts w:ascii="Arial"/>
                <w:sz w:val="21"/>
              </w:rPr>
            </w:pPr>
          </w:p>
          <w:p w14:paraId="48B080E1">
            <w:pPr>
              <w:spacing w:before="65" w:line="229" w:lineRule="auto"/>
              <w:ind w:left="258"/>
              <w:rPr>
                <w:rFonts w:ascii="宋体" w:hAnsi="宋体" w:eastAsia="宋体" w:cs="宋体"/>
                <w:sz w:val="20"/>
                <w:szCs w:val="20"/>
              </w:rPr>
            </w:pPr>
            <w:r>
              <w:rPr>
                <w:rFonts w:ascii="宋体" w:hAnsi="宋体" w:eastAsia="宋体" w:cs="宋体"/>
                <w:spacing w:val="6"/>
                <w:sz w:val="20"/>
                <w:szCs w:val="20"/>
              </w:rPr>
              <w:t>氯化</w:t>
            </w:r>
            <w:r>
              <w:rPr>
                <w:rFonts w:ascii="宋体" w:hAnsi="宋体" w:eastAsia="宋体" w:cs="宋体"/>
                <w:spacing w:val="5"/>
                <w:sz w:val="20"/>
                <w:szCs w:val="20"/>
              </w:rPr>
              <w:t>物</w:t>
            </w:r>
          </w:p>
        </w:tc>
        <w:tc>
          <w:tcPr>
            <w:tcW w:w="3336" w:type="dxa"/>
            <w:vAlign w:val="top"/>
          </w:tcPr>
          <w:p w14:paraId="286CE951">
            <w:pPr>
              <w:spacing w:before="57" w:line="301" w:lineRule="auto"/>
              <w:ind w:left="308" w:right="41" w:hanging="261"/>
              <w:rPr>
                <w:rFonts w:ascii="Times New Roman" w:hAnsi="Times New Roman" w:eastAsia="Times New Roman" w:cs="Times New Roman"/>
                <w:sz w:val="20"/>
                <w:szCs w:val="20"/>
              </w:rPr>
            </w:pPr>
            <w:r>
              <w:rPr>
                <w:rFonts w:ascii="宋体" w:hAnsi="宋体" w:eastAsia="宋体" w:cs="宋体"/>
                <w:spacing w:val="9"/>
                <w:sz w:val="20"/>
                <w:szCs w:val="20"/>
              </w:rPr>
              <w:t>生活饮用水标准检验方法 无机非</w:t>
            </w:r>
            <w:r>
              <w:rPr>
                <w:rFonts w:ascii="宋体" w:hAnsi="宋体" w:eastAsia="宋体" w:cs="宋体"/>
                <w:spacing w:val="7"/>
                <w:sz w:val="20"/>
                <w:szCs w:val="20"/>
              </w:rPr>
              <w:t>金</w:t>
            </w:r>
            <w:r>
              <w:rPr>
                <w:rFonts w:ascii="宋体" w:hAnsi="宋体" w:eastAsia="宋体" w:cs="宋体"/>
                <w:sz w:val="20"/>
                <w:szCs w:val="20"/>
              </w:rPr>
              <w:t xml:space="preserve"> </w:t>
            </w:r>
            <w:r>
              <w:rPr>
                <w:rFonts w:ascii="宋体" w:hAnsi="宋体" w:eastAsia="宋体" w:cs="宋体"/>
                <w:spacing w:val="13"/>
                <w:sz w:val="20"/>
                <w:szCs w:val="20"/>
              </w:rPr>
              <w:t>属</w:t>
            </w:r>
            <w:r>
              <w:rPr>
                <w:rFonts w:ascii="宋体" w:hAnsi="宋体" w:eastAsia="宋体" w:cs="宋体"/>
                <w:spacing w:val="7"/>
                <w:sz w:val="20"/>
                <w:szCs w:val="20"/>
              </w:rPr>
              <w:t xml:space="preserve">指标 </w:t>
            </w:r>
            <w:r>
              <w:rPr>
                <w:rFonts w:ascii="Times New Roman" w:hAnsi="Times New Roman" w:eastAsia="Times New Roman" w:cs="Times New Roman"/>
                <w:spacing w:val="7"/>
                <w:sz w:val="20"/>
                <w:szCs w:val="20"/>
              </w:rPr>
              <w:t xml:space="preserve">2.2  </w:t>
            </w:r>
            <w:r>
              <w:rPr>
                <w:rFonts w:ascii="宋体" w:hAnsi="宋体" w:eastAsia="宋体" w:cs="宋体"/>
                <w:spacing w:val="7"/>
                <w:sz w:val="20"/>
                <w:szCs w:val="20"/>
              </w:rPr>
              <w:t xml:space="preserve">离子色谱法 </w:t>
            </w:r>
            <w:r>
              <w:rPr>
                <w:rFonts w:ascii="Times New Roman" w:hAnsi="Times New Roman" w:eastAsia="Times New Roman" w:cs="Times New Roman"/>
                <w:sz w:val="20"/>
                <w:szCs w:val="20"/>
              </w:rPr>
              <w:t>GB</w:t>
            </w:r>
            <w:r>
              <w:rPr>
                <w:rFonts w:ascii="Times New Roman" w:hAnsi="Times New Roman" w:eastAsia="Times New Roman" w:cs="Times New Roman"/>
                <w:spacing w:val="7"/>
                <w:sz w:val="20"/>
                <w:szCs w:val="20"/>
              </w:rPr>
              <w:t>/</w:t>
            </w:r>
            <w:r>
              <w:rPr>
                <w:rFonts w:ascii="Times New Roman" w:hAnsi="Times New Roman" w:eastAsia="Times New Roman" w:cs="Times New Roman"/>
                <w:sz w:val="20"/>
                <w:szCs w:val="20"/>
              </w:rPr>
              <w:t>T</w:t>
            </w:r>
          </w:p>
          <w:p w14:paraId="444CD493">
            <w:pPr>
              <w:spacing w:before="6" w:line="195" w:lineRule="auto"/>
              <w:ind w:left="114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57</w:t>
            </w:r>
            <w:r>
              <w:rPr>
                <w:rFonts w:ascii="Times New Roman" w:hAnsi="Times New Roman" w:eastAsia="Times New Roman" w:cs="Times New Roman"/>
                <w:spacing w:val="4"/>
                <w:sz w:val="20"/>
                <w:szCs w:val="20"/>
              </w:rPr>
              <w:t>5</w:t>
            </w:r>
            <w:r>
              <w:rPr>
                <w:rFonts w:ascii="Times New Roman" w:hAnsi="Times New Roman" w:eastAsia="Times New Roman" w:cs="Times New Roman"/>
                <w:spacing w:val="3"/>
                <w:sz w:val="20"/>
                <w:szCs w:val="20"/>
              </w:rPr>
              <w:t>0.5-2006</w:t>
            </w:r>
          </w:p>
        </w:tc>
        <w:tc>
          <w:tcPr>
            <w:tcW w:w="1870" w:type="dxa"/>
            <w:vAlign w:val="top"/>
          </w:tcPr>
          <w:p w14:paraId="506C3CDC">
            <w:pPr>
              <w:spacing w:line="301" w:lineRule="auto"/>
              <w:rPr>
                <w:rFonts w:ascii="Arial"/>
                <w:sz w:val="21"/>
              </w:rPr>
            </w:pPr>
          </w:p>
          <w:p w14:paraId="1A1973FA">
            <w:pPr>
              <w:spacing w:before="65" w:line="228" w:lineRule="auto"/>
              <w:ind w:left="77"/>
              <w:rPr>
                <w:rFonts w:ascii="Times New Roman" w:hAnsi="Times New Roman" w:eastAsia="Times New Roman" w:cs="Times New Roman"/>
                <w:sz w:val="20"/>
                <w:szCs w:val="20"/>
              </w:rPr>
            </w:pPr>
            <w:r>
              <w:rPr>
                <w:rFonts w:ascii="宋体" w:hAnsi="宋体" w:eastAsia="宋体" w:cs="宋体"/>
                <w:spacing w:val="2"/>
                <w:sz w:val="20"/>
                <w:szCs w:val="20"/>
              </w:rPr>
              <w:t xml:space="preserve">离子色谱仪 </w:t>
            </w:r>
            <w:r>
              <w:rPr>
                <w:rFonts w:ascii="Times New Roman" w:hAnsi="Times New Roman" w:eastAsia="Times New Roman" w:cs="Times New Roman"/>
                <w:sz w:val="20"/>
                <w:szCs w:val="20"/>
              </w:rPr>
              <w:t>IC</w:t>
            </w:r>
            <w:r>
              <w:rPr>
                <w:rFonts w:ascii="Times New Roman" w:hAnsi="Times New Roman" w:eastAsia="Times New Roman" w:cs="Times New Roman"/>
                <w:spacing w:val="2"/>
                <w:sz w:val="20"/>
                <w:szCs w:val="20"/>
              </w:rPr>
              <w:t>6000</w:t>
            </w:r>
          </w:p>
        </w:tc>
        <w:tc>
          <w:tcPr>
            <w:tcW w:w="730" w:type="dxa"/>
            <w:vAlign w:val="top"/>
          </w:tcPr>
          <w:p w14:paraId="045DCFC7">
            <w:pPr>
              <w:spacing w:line="344" w:lineRule="auto"/>
              <w:rPr>
                <w:rFonts w:ascii="Arial"/>
                <w:sz w:val="21"/>
              </w:rPr>
            </w:pPr>
          </w:p>
          <w:p w14:paraId="194A94FE">
            <w:pPr>
              <w:spacing w:before="58" w:line="195" w:lineRule="auto"/>
              <w:ind w:left="18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0. 15</w:t>
            </w:r>
          </w:p>
        </w:tc>
        <w:tc>
          <w:tcPr>
            <w:tcW w:w="975" w:type="dxa"/>
            <w:tcBorders>
              <w:right w:val="nil"/>
            </w:tcBorders>
            <w:vAlign w:val="top"/>
          </w:tcPr>
          <w:p w14:paraId="6A2136DE">
            <w:pPr>
              <w:spacing w:line="271" w:lineRule="auto"/>
              <w:rPr>
                <w:rFonts w:ascii="Arial"/>
                <w:sz w:val="21"/>
              </w:rPr>
            </w:pPr>
          </w:p>
          <w:p w14:paraId="58251113">
            <w:pPr>
              <w:spacing w:before="57" w:line="282" w:lineRule="exact"/>
              <w:ind w:left="259"/>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r>
      <w:tr w14:paraId="612AE2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480" w:type="dxa"/>
            <w:tcBorders>
              <w:left w:val="nil"/>
            </w:tcBorders>
            <w:vAlign w:val="top"/>
          </w:tcPr>
          <w:p w14:paraId="254CB4A3">
            <w:pPr>
              <w:spacing w:line="344" w:lineRule="auto"/>
              <w:rPr>
                <w:rFonts w:ascii="Arial"/>
                <w:sz w:val="21"/>
              </w:rPr>
            </w:pPr>
          </w:p>
          <w:p w14:paraId="1BA1BA0A">
            <w:pPr>
              <w:spacing w:before="57"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4</w:t>
            </w:r>
          </w:p>
        </w:tc>
        <w:tc>
          <w:tcPr>
            <w:tcW w:w="1131" w:type="dxa"/>
            <w:vAlign w:val="top"/>
          </w:tcPr>
          <w:p w14:paraId="6A1A0883">
            <w:pPr>
              <w:spacing w:line="301" w:lineRule="auto"/>
              <w:rPr>
                <w:rFonts w:ascii="Arial"/>
                <w:sz w:val="21"/>
              </w:rPr>
            </w:pPr>
          </w:p>
          <w:p w14:paraId="4E4B6879">
            <w:pPr>
              <w:spacing w:before="65" w:line="228" w:lineRule="auto"/>
              <w:ind w:left="466"/>
              <w:rPr>
                <w:rFonts w:ascii="宋体" w:hAnsi="宋体" w:eastAsia="宋体" w:cs="宋体"/>
                <w:sz w:val="20"/>
                <w:szCs w:val="20"/>
              </w:rPr>
            </w:pPr>
            <w:r>
              <w:rPr>
                <w:rFonts w:ascii="宋体" w:hAnsi="宋体" w:eastAsia="宋体" w:cs="宋体"/>
                <w:sz w:val="20"/>
                <w:szCs w:val="20"/>
              </w:rPr>
              <w:t>钾</w:t>
            </w:r>
          </w:p>
        </w:tc>
        <w:tc>
          <w:tcPr>
            <w:tcW w:w="3336" w:type="dxa"/>
            <w:vAlign w:val="top"/>
          </w:tcPr>
          <w:p w14:paraId="2257A888">
            <w:pPr>
              <w:spacing w:before="55" w:line="228" w:lineRule="auto"/>
              <w:ind w:left="782"/>
              <w:rPr>
                <w:rFonts w:ascii="宋体" w:hAnsi="宋体" w:eastAsia="宋体" w:cs="宋体"/>
                <w:sz w:val="20"/>
                <w:szCs w:val="20"/>
              </w:rPr>
            </w:pPr>
            <w:r>
              <w:rPr>
                <w:rFonts w:ascii="宋体" w:hAnsi="宋体" w:eastAsia="宋体" w:cs="宋体"/>
                <w:spacing w:val="8"/>
                <w:sz w:val="20"/>
                <w:szCs w:val="20"/>
              </w:rPr>
              <w:t>水质 钾和钠的测定</w:t>
            </w:r>
          </w:p>
          <w:p w14:paraId="73FE8180">
            <w:pPr>
              <w:spacing w:before="64" w:line="228" w:lineRule="auto"/>
              <w:ind w:left="520"/>
              <w:rPr>
                <w:rFonts w:ascii="宋体" w:hAnsi="宋体" w:eastAsia="宋体" w:cs="宋体"/>
                <w:sz w:val="20"/>
                <w:szCs w:val="20"/>
              </w:rPr>
            </w:pPr>
            <w:r>
              <w:rPr>
                <w:rFonts w:ascii="宋体" w:hAnsi="宋体" w:eastAsia="宋体" w:cs="宋体"/>
                <w:spacing w:val="9"/>
                <w:sz w:val="20"/>
                <w:szCs w:val="20"/>
              </w:rPr>
              <w:t>火焰原子吸收分光光度法</w:t>
            </w:r>
          </w:p>
          <w:p w14:paraId="253D25BC">
            <w:pPr>
              <w:spacing w:before="27" w:line="281" w:lineRule="exact"/>
              <w:ind w:left="906"/>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GB</w:t>
            </w:r>
            <w:r>
              <w:rPr>
                <w:rFonts w:ascii="Times New Roman" w:hAnsi="Times New Roman" w:eastAsia="Times New Roman" w:cs="Times New Roman"/>
                <w:spacing w:val="1"/>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1"/>
                <w:position w:val="2"/>
                <w:sz w:val="20"/>
                <w:szCs w:val="20"/>
              </w:rPr>
              <w:t xml:space="preserve"> 119</w:t>
            </w:r>
            <w:r>
              <w:rPr>
                <w:rFonts w:ascii="Times New Roman" w:hAnsi="Times New Roman" w:eastAsia="Times New Roman" w:cs="Times New Roman"/>
                <w:position w:val="2"/>
                <w:sz w:val="20"/>
                <w:szCs w:val="20"/>
              </w:rPr>
              <w:t>04- 1989</w:t>
            </w:r>
          </w:p>
        </w:tc>
        <w:tc>
          <w:tcPr>
            <w:tcW w:w="1870" w:type="dxa"/>
            <w:vAlign w:val="top"/>
          </w:tcPr>
          <w:p w14:paraId="44565011">
            <w:pPr>
              <w:spacing w:before="212" w:line="301" w:lineRule="auto"/>
              <w:ind w:left="448" w:right="94" w:hanging="342"/>
              <w:rPr>
                <w:rFonts w:ascii="Times New Roman" w:hAnsi="Times New Roman" w:eastAsia="Times New Roman" w:cs="Times New Roman"/>
                <w:sz w:val="20"/>
                <w:szCs w:val="20"/>
              </w:rPr>
            </w:pPr>
            <w:r>
              <w:rPr>
                <w:rFonts w:ascii="宋体" w:hAnsi="宋体" w:eastAsia="宋体" w:cs="宋体"/>
                <w:spacing w:val="8"/>
                <w:sz w:val="20"/>
                <w:szCs w:val="20"/>
              </w:rPr>
              <w:t>原子吸收分光光度</w:t>
            </w:r>
            <w:r>
              <w:rPr>
                <w:rFonts w:ascii="宋体" w:hAnsi="宋体" w:eastAsia="宋体" w:cs="宋体"/>
                <w:sz w:val="20"/>
                <w:szCs w:val="20"/>
              </w:rPr>
              <w:t xml:space="preserve"> </w:t>
            </w:r>
            <w:r>
              <w:rPr>
                <w:rFonts w:ascii="宋体" w:hAnsi="宋体" w:eastAsia="宋体" w:cs="宋体"/>
                <w:spacing w:val="-2"/>
                <w:sz w:val="20"/>
                <w:szCs w:val="20"/>
              </w:rPr>
              <w:t xml:space="preserve">计 </w:t>
            </w:r>
            <w:r>
              <w:rPr>
                <w:rFonts w:ascii="Times New Roman" w:hAnsi="Times New Roman" w:eastAsia="Times New Roman" w:cs="Times New Roman"/>
                <w:spacing w:val="-1"/>
                <w:sz w:val="20"/>
                <w:szCs w:val="20"/>
              </w:rPr>
              <w:t>AA</w:t>
            </w:r>
            <w:r>
              <w:rPr>
                <w:rFonts w:ascii="Times New Roman" w:hAnsi="Times New Roman" w:eastAsia="Times New Roman" w:cs="Times New Roman"/>
                <w:spacing w:val="-2"/>
                <w:sz w:val="20"/>
                <w:szCs w:val="20"/>
              </w:rPr>
              <w:t>61</w:t>
            </w:r>
            <w:r>
              <w:rPr>
                <w:rFonts w:ascii="Times New Roman" w:hAnsi="Times New Roman" w:eastAsia="Times New Roman" w:cs="Times New Roman"/>
                <w:spacing w:val="-1"/>
                <w:sz w:val="20"/>
                <w:szCs w:val="20"/>
              </w:rPr>
              <w:t>00</w:t>
            </w:r>
          </w:p>
        </w:tc>
        <w:tc>
          <w:tcPr>
            <w:tcW w:w="730" w:type="dxa"/>
            <w:vAlign w:val="top"/>
          </w:tcPr>
          <w:p w14:paraId="013993CD">
            <w:pPr>
              <w:spacing w:line="344" w:lineRule="auto"/>
              <w:rPr>
                <w:rFonts w:ascii="Arial"/>
                <w:sz w:val="21"/>
              </w:rPr>
            </w:pPr>
          </w:p>
          <w:p w14:paraId="690D4A76">
            <w:pPr>
              <w:spacing w:before="58" w:line="195" w:lineRule="auto"/>
              <w:ind w:left="18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.05</w:t>
            </w:r>
          </w:p>
        </w:tc>
        <w:tc>
          <w:tcPr>
            <w:tcW w:w="975" w:type="dxa"/>
            <w:tcBorders>
              <w:right w:val="nil"/>
            </w:tcBorders>
            <w:vAlign w:val="top"/>
          </w:tcPr>
          <w:p w14:paraId="4447C187">
            <w:pPr>
              <w:spacing w:line="271" w:lineRule="auto"/>
              <w:rPr>
                <w:rFonts w:ascii="Arial"/>
                <w:sz w:val="21"/>
              </w:rPr>
            </w:pPr>
          </w:p>
          <w:p w14:paraId="0E09A3D1">
            <w:pPr>
              <w:spacing w:before="57" w:line="281" w:lineRule="exact"/>
              <w:ind w:left="259"/>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r>
      <w:tr w14:paraId="662BA0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480" w:type="dxa"/>
            <w:tcBorders>
              <w:left w:val="nil"/>
            </w:tcBorders>
            <w:vAlign w:val="top"/>
          </w:tcPr>
          <w:p w14:paraId="5964BED9">
            <w:pPr>
              <w:spacing w:line="344" w:lineRule="auto"/>
              <w:rPr>
                <w:rFonts w:ascii="Arial"/>
                <w:sz w:val="21"/>
              </w:rPr>
            </w:pPr>
          </w:p>
          <w:p w14:paraId="5F600F84">
            <w:pPr>
              <w:spacing w:before="58"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c>
          <w:tcPr>
            <w:tcW w:w="1131" w:type="dxa"/>
            <w:vAlign w:val="top"/>
          </w:tcPr>
          <w:p w14:paraId="0803301C">
            <w:pPr>
              <w:spacing w:line="301" w:lineRule="auto"/>
              <w:rPr>
                <w:rFonts w:ascii="Arial"/>
                <w:sz w:val="21"/>
              </w:rPr>
            </w:pPr>
          </w:p>
          <w:p w14:paraId="4BC25D94">
            <w:pPr>
              <w:spacing w:before="65" w:line="230" w:lineRule="auto"/>
              <w:ind w:left="465"/>
              <w:rPr>
                <w:rFonts w:ascii="宋体" w:hAnsi="宋体" w:eastAsia="宋体" w:cs="宋体"/>
                <w:sz w:val="20"/>
                <w:szCs w:val="20"/>
              </w:rPr>
            </w:pPr>
            <w:r>
              <w:rPr>
                <w:rFonts w:ascii="宋体" w:hAnsi="宋体" w:eastAsia="宋体" w:cs="宋体"/>
                <w:spacing w:val="1"/>
                <w:sz w:val="20"/>
                <w:szCs w:val="20"/>
              </w:rPr>
              <w:t>钙</w:t>
            </w:r>
          </w:p>
        </w:tc>
        <w:tc>
          <w:tcPr>
            <w:tcW w:w="3336" w:type="dxa"/>
            <w:vAlign w:val="top"/>
          </w:tcPr>
          <w:p w14:paraId="5D9A8875">
            <w:pPr>
              <w:spacing w:before="56" w:line="228" w:lineRule="auto"/>
              <w:ind w:left="782"/>
              <w:rPr>
                <w:rFonts w:ascii="宋体" w:hAnsi="宋体" w:eastAsia="宋体" w:cs="宋体"/>
                <w:sz w:val="20"/>
                <w:szCs w:val="20"/>
              </w:rPr>
            </w:pPr>
            <w:r>
              <w:rPr>
                <w:rFonts w:ascii="宋体" w:hAnsi="宋体" w:eastAsia="宋体" w:cs="宋体"/>
                <w:spacing w:val="8"/>
                <w:sz w:val="20"/>
                <w:szCs w:val="20"/>
              </w:rPr>
              <w:t>水质 钙和镁的测定</w:t>
            </w:r>
          </w:p>
          <w:p w14:paraId="6A866FA6">
            <w:pPr>
              <w:spacing w:before="64" w:line="228" w:lineRule="auto"/>
              <w:ind w:left="732"/>
              <w:rPr>
                <w:rFonts w:ascii="宋体" w:hAnsi="宋体" w:eastAsia="宋体" w:cs="宋体"/>
                <w:sz w:val="20"/>
                <w:szCs w:val="20"/>
              </w:rPr>
            </w:pPr>
            <w:r>
              <w:rPr>
                <w:rFonts w:ascii="宋体" w:hAnsi="宋体" w:eastAsia="宋体" w:cs="宋体"/>
                <w:spacing w:val="11"/>
                <w:sz w:val="20"/>
                <w:szCs w:val="20"/>
              </w:rPr>
              <w:t>原</w:t>
            </w:r>
            <w:r>
              <w:rPr>
                <w:rFonts w:ascii="宋体" w:hAnsi="宋体" w:eastAsia="宋体" w:cs="宋体"/>
                <w:spacing w:val="8"/>
                <w:sz w:val="20"/>
                <w:szCs w:val="20"/>
              </w:rPr>
              <w:t>子吸收分光光度法</w:t>
            </w:r>
          </w:p>
          <w:p w14:paraId="7D6C52C3">
            <w:pPr>
              <w:spacing w:before="27" w:line="281" w:lineRule="exact"/>
              <w:ind w:left="906"/>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GB</w:t>
            </w:r>
            <w:r>
              <w:rPr>
                <w:rFonts w:ascii="Times New Roman" w:hAnsi="Times New Roman" w:eastAsia="Times New Roman" w:cs="Times New Roman"/>
                <w:spacing w:val="1"/>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1"/>
                <w:position w:val="2"/>
                <w:sz w:val="20"/>
                <w:szCs w:val="20"/>
              </w:rPr>
              <w:t xml:space="preserve"> 119</w:t>
            </w:r>
            <w:r>
              <w:rPr>
                <w:rFonts w:ascii="Times New Roman" w:hAnsi="Times New Roman" w:eastAsia="Times New Roman" w:cs="Times New Roman"/>
                <w:position w:val="2"/>
                <w:sz w:val="20"/>
                <w:szCs w:val="20"/>
              </w:rPr>
              <w:t>05- 1989</w:t>
            </w:r>
          </w:p>
        </w:tc>
        <w:tc>
          <w:tcPr>
            <w:tcW w:w="1870" w:type="dxa"/>
            <w:vAlign w:val="top"/>
          </w:tcPr>
          <w:p w14:paraId="7C244B6A">
            <w:pPr>
              <w:spacing w:before="213" w:line="301" w:lineRule="auto"/>
              <w:ind w:left="448" w:right="94" w:hanging="342"/>
              <w:rPr>
                <w:rFonts w:ascii="Times New Roman" w:hAnsi="Times New Roman" w:eastAsia="Times New Roman" w:cs="Times New Roman"/>
                <w:sz w:val="20"/>
                <w:szCs w:val="20"/>
              </w:rPr>
            </w:pPr>
            <w:r>
              <w:rPr>
                <w:rFonts w:ascii="宋体" w:hAnsi="宋体" w:eastAsia="宋体" w:cs="宋体"/>
                <w:spacing w:val="8"/>
                <w:sz w:val="20"/>
                <w:szCs w:val="20"/>
              </w:rPr>
              <w:t>原子吸收分光光度</w:t>
            </w:r>
            <w:r>
              <w:rPr>
                <w:rFonts w:ascii="宋体" w:hAnsi="宋体" w:eastAsia="宋体" w:cs="宋体"/>
                <w:sz w:val="20"/>
                <w:szCs w:val="20"/>
              </w:rPr>
              <w:t xml:space="preserve"> </w:t>
            </w:r>
            <w:r>
              <w:rPr>
                <w:rFonts w:ascii="宋体" w:hAnsi="宋体" w:eastAsia="宋体" w:cs="宋体"/>
                <w:spacing w:val="-2"/>
                <w:sz w:val="20"/>
                <w:szCs w:val="20"/>
              </w:rPr>
              <w:t xml:space="preserve">计 </w:t>
            </w:r>
            <w:r>
              <w:rPr>
                <w:rFonts w:ascii="Times New Roman" w:hAnsi="Times New Roman" w:eastAsia="Times New Roman" w:cs="Times New Roman"/>
                <w:spacing w:val="-1"/>
                <w:sz w:val="20"/>
                <w:szCs w:val="20"/>
              </w:rPr>
              <w:t>AA</w:t>
            </w:r>
            <w:r>
              <w:rPr>
                <w:rFonts w:ascii="Times New Roman" w:hAnsi="Times New Roman" w:eastAsia="Times New Roman" w:cs="Times New Roman"/>
                <w:spacing w:val="-2"/>
                <w:sz w:val="20"/>
                <w:szCs w:val="20"/>
              </w:rPr>
              <w:t>61</w:t>
            </w:r>
            <w:r>
              <w:rPr>
                <w:rFonts w:ascii="Times New Roman" w:hAnsi="Times New Roman" w:eastAsia="Times New Roman" w:cs="Times New Roman"/>
                <w:spacing w:val="-1"/>
                <w:sz w:val="20"/>
                <w:szCs w:val="20"/>
              </w:rPr>
              <w:t>00</w:t>
            </w:r>
          </w:p>
        </w:tc>
        <w:tc>
          <w:tcPr>
            <w:tcW w:w="730" w:type="dxa"/>
            <w:vAlign w:val="top"/>
          </w:tcPr>
          <w:p w14:paraId="3A0B7293">
            <w:pPr>
              <w:spacing w:line="345" w:lineRule="auto"/>
              <w:rPr>
                <w:rFonts w:ascii="Arial"/>
                <w:sz w:val="21"/>
              </w:rPr>
            </w:pPr>
          </w:p>
          <w:p w14:paraId="12E1D469">
            <w:pPr>
              <w:spacing w:before="57" w:line="195" w:lineRule="auto"/>
              <w:ind w:left="18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.02</w:t>
            </w:r>
          </w:p>
        </w:tc>
        <w:tc>
          <w:tcPr>
            <w:tcW w:w="975" w:type="dxa"/>
            <w:tcBorders>
              <w:right w:val="nil"/>
            </w:tcBorders>
            <w:vAlign w:val="top"/>
          </w:tcPr>
          <w:p w14:paraId="026F5FCE">
            <w:pPr>
              <w:spacing w:line="271" w:lineRule="auto"/>
              <w:rPr>
                <w:rFonts w:ascii="Arial"/>
                <w:sz w:val="21"/>
              </w:rPr>
            </w:pPr>
          </w:p>
          <w:p w14:paraId="737D72D1">
            <w:pPr>
              <w:spacing w:before="58" w:line="281" w:lineRule="exact"/>
              <w:ind w:left="259"/>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r>
      <w:tr w14:paraId="562D4B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480" w:type="dxa"/>
            <w:tcBorders>
              <w:left w:val="nil"/>
            </w:tcBorders>
            <w:vAlign w:val="top"/>
          </w:tcPr>
          <w:p w14:paraId="3B4F526E">
            <w:pPr>
              <w:spacing w:line="344" w:lineRule="auto"/>
              <w:rPr>
                <w:rFonts w:ascii="Arial"/>
                <w:sz w:val="21"/>
              </w:rPr>
            </w:pPr>
          </w:p>
          <w:p w14:paraId="5B0E6DBF">
            <w:pPr>
              <w:spacing w:before="57"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6</w:t>
            </w:r>
          </w:p>
        </w:tc>
        <w:tc>
          <w:tcPr>
            <w:tcW w:w="1131" w:type="dxa"/>
            <w:vAlign w:val="top"/>
          </w:tcPr>
          <w:p w14:paraId="420BD9C3">
            <w:pPr>
              <w:spacing w:line="301" w:lineRule="auto"/>
              <w:rPr>
                <w:rFonts w:ascii="Arial"/>
                <w:sz w:val="21"/>
              </w:rPr>
            </w:pPr>
          </w:p>
          <w:p w14:paraId="02B46801">
            <w:pPr>
              <w:spacing w:before="65" w:line="229" w:lineRule="auto"/>
              <w:ind w:left="465"/>
              <w:rPr>
                <w:rFonts w:ascii="宋体" w:hAnsi="宋体" w:eastAsia="宋体" w:cs="宋体"/>
                <w:sz w:val="20"/>
                <w:szCs w:val="20"/>
              </w:rPr>
            </w:pPr>
            <w:r>
              <w:rPr>
                <w:rFonts w:ascii="宋体" w:hAnsi="宋体" w:eastAsia="宋体" w:cs="宋体"/>
                <w:spacing w:val="1"/>
                <w:sz w:val="20"/>
                <w:szCs w:val="20"/>
              </w:rPr>
              <w:t>钠</w:t>
            </w:r>
          </w:p>
        </w:tc>
        <w:tc>
          <w:tcPr>
            <w:tcW w:w="3336" w:type="dxa"/>
            <w:vAlign w:val="top"/>
          </w:tcPr>
          <w:p w14:paraId="20082A75">
            <w:pPr>
              <w:spacing w:before="55" w:line="228" w:lineRule="auto"/>
              <w:ind w:left="47"/>
              <w:rPr>
                <w:rFonts w:ascii="宋体" w:hAnsi="宋体" w:eastAsia="宋体" w:cs="宋体"/>
                <w:sz w:val="20"/>
                <w:szCs w:val="20"/>
              </w:rPr>
            </w:pPr>
            <w:r>
              <w:rPr>
                <w:rFonts w:ascii="宋体" w:hAnsi="宋体" w:eastAsia="宋体" w:cs="宋体"/>
                <w:spacing w:val="9"/>
                <w:sz w:val="20"/>
                <w:szCs w:val="20"/>
              </w:rPr>
              <w:t>生活饮用水标准检验方法 金属指</w:t>
            </w:r>
            <w:r>
              <w:rPr>
                <w:rFonts w:ascii="宋体" w:hAnsi="宋体" w:eastAsia="宋体" w:cs="宋体"/>
                <w:spacing w:val="7"/>
                <w:sz w:val="20"/>
                <w:szCs w:val="20"/>
              </w:rPr>
              <w:t>标</w:t>
            </w:r>
          </w:p>
          <w:p w14:paraId="69892EC8">
            <w:pPr>
              <w:spacing w:before="65" w:line="228" w:lineRule="auto"/>
              <w:ind w:left="279"/>
              <w:rPr>
                <w:rFonts w:ascii="宋体" w:hAnsi="宋体" w:eastAsia="宋体" w:cs="宋体"/>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4"/>
                <w:sz w:val="20"/>
                <w:szCs w:val="20"/>
              </w:rPr>
              <w:t xml:space="preserve">2. 1  </w:t>
            </w:r>
            <w:r>
              <w:rPr>
                <w:rFonts w:ascii="宋体" w:hAnsi="宋体" w:eastAsia="宋体" w:cs="宋体"/>
                <w:spacing w:val="4"/>
                <w:sz w:val="20"/>
                <w:szCs w:val="20"/>
              </w:rPr>
              <w:t>火焰原子吸收分光光度法</w:t>
            </w:r>
          </w:p>
          <w:p w14:paraId="5E7F69D8">
            <w:pPr>
              <w:spacing w:before="27" w:line="281" w:lineRule="exact"/>
              <w:ind w:left="87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GB</w:t>
            </w:r>
            <w:r>
              <w:rPr>
                <w:rFonts w:ascii="Times New Roman" w:hAnsi="Times New Roman" w:eastAsia="Times New Roman" w:cs="Times New Roman"/>
                <w:spacing w:val="5"/>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5"/>
                <w:position w:val="2"/>
                <w:sz w:val="20"/>
                <w:szCs w:val="20"/>
              </w:rPr>
              <w:t xml:space="preserve"> 5750.6-200</w:t>
            </w:r>
            <w:r>
              <w:rPr>
                <w:rFonts w:ascii="Times New Roman" w:hAnsi="Times New Roman" w:eastAsia="Times New Roman" w:cs="Times New Roman"/>
                <w:spacing w:val="2"/>
                <w:position w:val="2"/>
                <w:sz w:val="20"/>
                <w:szCs w:val="20"/>
              </w:rPr>
              <w:t>6</w:t>
            </w:r>
          </w:p>
        </w:tc>
        <w:tc>
          <w:tcPr>
            <w:tcW w:w="1870" w:type="dxa"/>
            <w:vAlign w:val="top"/>
          </w:tcPr>
          <w:p w14:paraId="38391F51">
            <w:pPr>
              <w:spacing w:before="212" w:line="301" w:lineRule="auto"/>
              <w:ind w:left="343" w:right="94" w:hanging="237"/>
              <w:rPr>
                <w:rFonts w:ascii="Times New Roman" w:hAnsi="Times New Roman" w:eastAsia="Times New Roman" w:cs="Times New Roman"/>
                <w:sz w:val="20"/>
                <w:szCs w:val="20"/>
              </w:rPr>
            </w:pPr>
            <w:r>
              <w:rPr>
                <w:rFonts w:ascii="宋体" w:hAnsi="宋体" w:eastAsia="宋体" w:cs="宋体"/>
                <w:spacing w:val="8"/>
                <w:sz w:val="20"/>
                <w:szCs w:val="20"/>
              </w:rPr>
              <w:t>原子吸收分光光度</w:t>
            </w:r>
            <w:r>
              <w:rPr>
                <w:rFonts w:ascii="宋体" w:hAnsi="宋体" w:eastAsia="宋体" w:cs="宋体"/>
                <w:sz w:val="20"/>
                <w:szCs w:val="20"/>
              </w:rPr>
              <w:t xml:space="preserve"> </w:t>
            </w:r>
            <w:r>
              <w:rPr>
                <w:rFonts w:ascii="宋体" w:hAnsi="宋体" w:eastAsia="宋体" w:cs="宋体"/>
                <w:spacing w:val="8"/>
                <w:sz w:val="20"/>
                <w:szCs w:val="20"/>
              </w:rPr>
              <w:t>计</w:t>
            </w:r>
            <w:r>
              <w:rPr>
                <w:rFonts w:ascii="宋体" w:hAnsi="宋体" w:eastAsia="宋体" w:cs="宋体"/>
                <w:spacing w:val="7"/>
                <w:sz w:val="20"/>
                <w:szCs w:val="20"/>
              </w:rPr>
              <w:t xml:space="preserve"> </w:t>
            </w:r>
            <w:r>
              <w:rPr>
                <w:rFonts w:ascii="Times New Roman" w:hAnsi="Times New Roman" w:eastAsia="Times New Roman" w:cs="Times New Roman"/>
                <w:sz w:val="20"/>
                <w:szCs w:val="20"/>
              </w:rPr>
              <w:t>WYS</w:t>
            </w:r>
            <w:r>
              <w:rPr>
                <w:rFonts w:ascii="Times New Roman" w:hAnsi="Times New Roman" w:eastAsia="Times New Roman" w:cs="Times New Roman"/>
                <w:spacing w:val="7"/>
                <w:sz w:val="20"/>
                <w:szCs w:val="20"/>
              </w:rPr>
              <w:t>2200</w:t>
            </w:r>
          </w:p>
        </w:tc>
        <w:tc>
          <w:tcPr>
            <w:tcW w:w="730" w:type="dxa"/>
            <w:vAlign w:val="top"/>
          </w:tcPr>
          <w:p w14:paraId="46B68A66">
            <w:pPr>
              <w:spacing w:line="344" w:lineRule="auto"/>
              <w:rPr>
                <w:rFonts w:ascii="Arial"/>
                <w:sz w:val="21"/>
              </w:rPr>
            </w:pPr>
          </w:p>
          <w:p w14:paraId="68D13BBB">
            <w:pPr>
              <w:spacing w:before="58" w:line="195" w:lineRule="auto"/>
              <w:ind w:left="18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.01</w:t>
            </w:r>
          </w:p>
        </w:tc>
        <w:tc>
          <w:tcPr>
            <w:tcW w:w="975" w:type="dxa"/>
            <w:tcBorders>
              <w:right w:val="nil"/>
            </w:tcBorders>
            <w:vAlign w:val="top"/>
          </w:tcPr>
          <w:p w14:paraId="4F1EC7DA">
            <w:pPr>
              <w:spacing w:line="271" w:lineRule="auto"/>
              <w:rPr>
                <w:rFonts w:ascii="Arial"/>
                <w:sz w:val="21"/>
              </w:rPr>
            </w:pPr>
          </w:p>
          <w:p w14:paraId="603A12BF">
            <w:pPr>
              <w:spacing w:before="57" w:line="281" w:lineRule="exact"/>
              <w:ind w:left="259"/>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r>
      <w:tr w14:paraId="787A80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480" w:type="dxa"/>
            <w:tcBorders>
              <w:left w:val="nil"/>
            </w:tcBorders>
            <w:vAlign w:val="top"/>
          </w:tcPr>
          <w:p w14:paraId="68E7759C">
            <w:pPr>
              <w:spacing w:line="343" w:lineRule="auto"/>
              <w:rPr>
                <w:rFonts w:ascii="Arial"/>
                <w:sz w:val="21"/>
              </w:rPr>
            </w:pPr>
          </w:p>
          <w:p w14:paraId="0BF8C087">
            <w:pPr>
              <w:spacing w:before="58"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7</w:t>
            </w:r>
          </w:p>
        </w:tc>
        <w:tc>
          <w:tcPr>
            <w:tcW w:w="1131" w:type="dxa"/>
            <w:vAlign w:val="top"/>
          </w:tcPr>
          <w:p w14:paraId="0987ACE5">
            <w:pPr>
              <w:spacing w:line="300" w:lineRule="auto"/>
              <w:rPr>
                <w:rFonts w:ascii="Arial"/>
                <w:sz w:val="21"/>
              </w:rPr>
            </w:pPr>
          </w:p>
          <w:p w14:paraId="3960B988">
            <w:pPr>
              <w:spacing w:before="65" w:line="230" w:lineRule="auto"/>
              <w:ind w:left="465"/>
              <w:rPr>
                <w:rFonts w:ascii="宋体" w:hAnsi="宋体" w:eastAsia="宋体" w:cs="宋体"/>
                <w:sz w:val="20"/>
                <w:szCs w:val="20"/>
              </w:rPr>
            </w:pPr>
            <w:r>
              <w:rPr>
                <w:rFonts w:ascii="宋体" w:hAnsi="宋体" w:eastAsia="宋体" w:cs="宋体"/>
                <w:spacing w:val="1"/>
                <w:sz w:val="20"/>
                <w:szCs w:val="20"/>
              </w:rPr>
              <w:t>镁</w:t>
            </w:r>
          </w:p>
        </w:tc>
        <w:tc>
          <w:tcPr>
            <w:tcW w:w="3336" w:type="dxa"/>
            <w:vAlign w:val="top"/>
          </w:tcPr>
          <w:p w14:paraId="60F6EFDE">
            <w:pPr>
              <w:spacing w:before="55" w:line="228" w:lineRule="auto"/>
              <w:ind w:left="782"/>
              <w:rPr>
                <w:rFonts w:ascii="宋体" w:hAnsi="宋体" w:eastAsia="宋体" w:cs="宋体"/>
                <w:sz w:val="20"/>
                <w:szCs w:val="20"/>
              </w:rPr>
            </w:pPr>
            <w:r>
              <w:rPr>
                <w:rFonts w:ascii="宋体" w:hAnsi="宋体" w:eastAsia="宋体" w:cs="宋体"/>
                <w:spacing w:val="8"/>
                <w:sz w:val="20"/>
                <w:szCs w:val="20"/>
              </w:rPr>
              <w:t>水质 钙和镁的测定</w:t>
            </w:r>
          </w:p>
          <w:p w14:paraId="39944522">
            <w:pPr>
              <w:spacing w:before="65" w:line="228" w:lineRule="auto"/>
              <w:ind w:left="732"/>
              <w:rPr>
                <w:rFonts w:ascii="宋体" w:hAnsi="宋体" w:eastAsia="宋体" w:cs="宋体"/>
                <w:sz w:val="20"/>
                <w:szCs w:val="20"/>
              </w:rPr>
            </w:pPr>
            <w:r>
              <w:rPr>
                <w:rFonts w:ascii="宋体" w:hAnsi="宋体" w:eastAsia="宋体" w:cs="宋体"/>
                <w:spacing w:val="11"/>
                <w:sz w:val="20"/>
                <w:szCs w:val="20"/>
              </w:rPr>
              <w:t>原</w:t>
            </w:r>
            <w:r>
              <w:rPr>
                <w:rFonts w:ascii="宋体" w:hAnsi="宋体" w:eastAsia="宋体" w:cs="宋体"/>
                <w:spacing w:val="8"/>
                <w:sz w:val="20"/>
                <w:szCs w:val="20"/>
              </w:rPr>
              <w:t>子吸收分光光度法</w:t>
            </w:r>
          </w:p>
          <w:p w14:paraId="60F4BB6B">
            <w:pPr>
              <w:spacing w:before="27" w:line="281" w:lineRule="exact"/>
              <w:ind w:left="906"/>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GB</w:t>
            </w:r>
            <w:r>
              <w:rPr>
                <w:rFonts w:ascii="Times New Roman" w:hAnsi="Times New Roman" w:eastAsia="Times New Roman" w:cs="Times New Roman"/>
                <w:spacing w:val="1"/>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1"/>
                <w:position w:val="2"/>
                <w:sz w:val="20"/>
                <w:szCs w:val="20"/>
              </w:rPr>
              <w:t xml:space="preserve"> 119</w:t>
            </w:r>
            <w:r>
              <w:rPr>
                <w:rFonts w:ascii="Times New Roman" w:hAnsi="Times New Roman" w:eastAsia="Times New Roman" w:cs="Times New Roman"/>
                <w:position w:val="2"/>
                <w:sz w:val="20"/>
                <w:szCs w:val="20"/>
              </w:rPr>
              <w:t>05- 1989</w:t>
            </w:r>
          </w:p>
        </w:tc>
        <w:tc>
          <w:tcPr>
            <w:tcW w:w="1870" w:type="dxa"/>
            <w:vAlign w:val="top"/>
          </w:tcPr>
          <w:p w14:paraId="5DA8E360">
            <w:pPr>
              <w:spacing w:before="212" w:line="301" w:lineRule="auto"/>
              <w:ind w:left="448" w:right="94" w:hanging="342"/>
              <w:rPr>
                <w:rFonts w:ascii="Times New Roman" w:hAnsi="Times New Roman" w:eastAsia="Times New Roman" w:cs="Times New Roman"/>
                <w:sz w:val="20"/>
                <w:szCs w:val="20"/>
              </w:rPr>
            </w:pPr>
            <w:r>
              <w:rPr>
                <w:rFonts w:ascii="宋体" w:hAnsi="宋体" w:eastAsia="宋体" w:cs="宋体"/>
                <w:spacing w:val="8"/>
                <w:sz w:val="20"/>
                <w:szCs w:val="20"/>
              </w:rPr>
              <w:t>原子吸收分光光度</w:t>
            </w:r>
            <w:r>
              <w:rPr>
                <w:rFonts w:ascii="宋体" w:hAnsi="宋体" w:eastAsia="宋体" w:cs="宋体"/>
                <w:sz w:val="20"/>
                <w:szCs w:val="20"/>
              </w:rPr>
              <w:t xml:space="preserve"> </w:t>
            </w:r>
            <w:r>
              <w:rPr>
                <w:rFonts w:ascii="宋体" w:hAnsi="宋体" w:eastAsia="宋体" w:cs="宋体"/>
                <w:spacing w:val="-2"/>
                <w:sz w:val="20"/>
                <w:szCs w:val="20"/>
              </w:rPr>
              <w:t xml:space="preserve">计 </w:t>
            </w:r>
            <w:r>
              <w:rPr>
                <w:rFonts w:ascii="Times New Roman" w:hAnsi="Times New Roman" w:eastAsia="Times New Roman" w:cs="Times New Roman"/>
                <w:spacing w:val="-1"/>
                <w:sz w:val="20"/>
                <w:szCs w:val="20"/>
              </w:rPr>
              <w:t>AA</w:t>
            </w:r>
            <w:r>
              <w:rPr>
                <w:rFonts w:ascii="Times New Roman" w:hAnsi="Times New Roman" w:eastAsia="Times New Roman" w:cs="Times New Roman"/>
                <w:spacing w:val="-2"/>
                <w:sz w:val="20"/>
                <w:szCs w:val="20"/>
              </w:rPr>
              <w:t>61</w:t>
            </w:r>
            <w:r>
              <w:rPr>
                <w:rFonts w:ascii="Times New Roman" w:hAnsi="Times New Roman" w:eastAsia="Times New Roman" w:cs="Times New Roman"/>
                <w:spacing w:val="-1"/>
                <w:sz w:val="20"/>
                <w:szCs w:val="20"/>
              </w:rPr>
              <w:t>00</w:t>
            </w:r>
          </w:p>
        </w:tc>
        <w:tc>
          <w:tcPr>
            <w:tcW w:w="730" w:type="dxa"/>
            <w:vAlign w:val="top"/>
          </w:tcPr>
          <w:p w14:paraId="69D8A1B5">
            <w:pPr>
              <w:spacing w:line="344" w:lineRule="auto"/>
              <w:rPr>
                <w:rFonts w:ascii="Arial"/>
                <w:sz w:val="21"/>
              </w:rPr>
            </w:pPr>
          </w:p>
          <w:p w14:paraId="49C5B9E7">
            <w:pPr>
              <w:spacing w:before="57" w:line="195" w:lineRule="auto"/>
              <w:ind w:left="18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.02</w:t>
            </w:r>
          </w:p>
        </w:tc>
        <w:tc>
          <w:tcPr>
            <w:tcW w:w="975" w:type="dxa"/>
            <w:tcBorders>
              <w:right w:val="nil"/>
            </w:tcBorders>
            <w:vAlign w:val="top"/>
          </w:tcPr>
          <w:p w14:paraId="201B1EDD">
            <w:pPr>
              <w:spacing w:line="270" w:lineRule="auto"/>
              <w:rPr>
                <w:rFonts w:ascii="Arial"/>
                <w:sz w:val="21"/>
              </w:rPr>
            </w:pPr>
          </w:p>
          <w:p w14:paraId="130E6BDF">
            <w:pPr>
              <w:spacing w:before="58" w:line="281" w:lineRule="exact"/>
              <w:ind w:left="259"/>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r>
    </w:tbl>
    <w:p w14:paraId="75735F67">
      <w:pPr>
        <w:spacing w:line="259" w:lineRule="auto"/>
        <w:rPr>
          <w:rFonts w:ascii="Arial"/>
          <w:sz w:val="21"/>
        </w:rPr>
      </w:pPr>
    </w:p>
    <w:p w14:paraId="62028510">
      <w:pPr>
        <w:spacing w:before="75" w:line="228" w:lineRule="auto"/>
        <w:ind w:left="608"/>
        <w:rPr>
          <w:rFonts w:ascii="宋体" w:hAnsi="宋体" w:eastAsia="宋体" w:cs="宋体"/>
          <w:sz w:val="23"/>
          <w:szCs w:val="23"/>
        </w:rPr>
      </w:pPr>
      <w:r>
        <w:rPr>
          <w:rFonts w:ascii="宋体" w:hAnsi="宋体" w:eastAsia="宋体" w:cs="宋体"/>
          <w:spacing w:val="20"/>
          <w:sz w:val="23"/>
          <w:szCs w:val="23"/>
        </w:rPr>
        <w:t>(</w:t>
      </w:r>
      <w:r>
        <w:rPr>
          <w:rFonts w:ascii="Times New Roman" w:hAnsi="Times New Roman" w:eastAsia="Times New Roman" w:cs="Times New Roman"/>
          <w:spacing w:val="20"/>
          <w:sz w:val="23"/>
          <w:szCs w:val="23"/>
        </w:rPr>
        <w:t>5</w:t>
      </w:r>
      <w:r>
        <w:rPr>
          <w:rFonts w:ascii="宋体" w:hAnsi="宋体" w:eastAsia="宋体" w:cs="宋体"/>
          <w:spacing w:val="20"/>
          <w:sz w:val="23"/>
          <w:szCs w:val="23"/>
        </w:rPr>
        <w:t>) 监测结</w:t>
      </w:r>
      <w:r>
        <w:rPr>
          <w:rFonts w:ascii="宋体" w:hAnsi="宋体" w:eastAsia="宋体" w:cs="宋体"/>
          <w:spacing w:val="19"/>
          <w:sz w:val="23"/>
          <w:szCs w:val="23"/>
        </w:rPr>
        <w:t>果</w:t>
      </w:r>
    </w:p>
    <w:p w14:paraId="3A8DB693">
      <w:pPr>
        <w:spacing w:line="275" w:lineRule="auto"/>
        <w:rPr>
          <w:rFonts w:ascii="Arial"/>
          <w:sz w:val="21"/>
        </w:rPr>
      </w:pPr>
    </w:p>
    <w:p w14:paraId="1F4A78B7">
      <w:pPr>
        <w:spacing w:before="75" w:line="227" w:lineRule="auto"/>
        <w:ind w:left="601"/>
        <w:rPr>
          <w:rFonts w:ascii="宋体" w:hAnsi="宋体" w:eastAsia="宋体" w:cs="宋体"/>
          <w:sz w:val="23"/>
          <w:szCs w:val="23"/>
        </w:rPr>
      </w:pPr>
      <w:r>
        <w:rPr>
          <w:rFonts w:ascii="宋体" w:hAnsi="宋体" w:eastAsia="宋体" w:cs="宋体"/>
          <w:spacing w:val="3"/>
          <w:sz w:val="23"/>
          <w:szCs w:val="23"/>
        </w:rPr>
        <w:t xml:space="preserve">项目所在区域地下水环境现状监测结果见表 </w:t>
      </w:r>
      <w:r>
        <w:rPr>
          <w:rFonts w:ascii="Times New Roman" w:hAnsi="Times New Roman" w:eastAsia="Times New Roman" w:cs="Times New Roman"/>
          <w:spacing w:val="3"/>
          <w:sz w:val="23"/>
          <w:szCs w:val="23"/>
        </w:rPr>
        <w:t>4- 1</w:t>
      </w:r>
      <w:r>
        <w:rPr>
          <w:rFonts w:ascii="Times New Roman" w:hAnsi="Times New Roman" w:eastAsia="Times New Roman" w:cs="Times New Roman"/>
          <w:spacing w:val="2"/>
          <w:sz w:val="23"/>
          <w:szCs w:val="23"/>
        </w:rPr>
        <w:t>1</w:t>
      </w:r>
      <w:r>
        <w:rPr>
          <w:rFonts w:ascii="宋体" w:hAnsi="宋体" w:eastAsia="宋体" w:cs="宋体"/>
          <w:sz w:val="23"/>
          <w:szCs w:val="23"/>
        </w:rPr>
        <w:t>。</w:t>
      </w:r>
    </w:p>
    <w:p w14:paraId="61E53416">
      <w:pPr>
        <w:sectPr>
          <w:headerReference r:id="rId167" w:type="default"/>
          <w:footerReference r:id="rId168" w:type="default"/>
          <w:pgSz w:w="11906" w:h="16839"/>
          <w:pgMar w:top="1132" w:right="1691" w:bottom="1182" w:left="1691" w:header="878" w:footer="1022" w:gutter="0"/>
          <w:cols w:space="720" w:num="1"/>
        </w:sectPr>
      </w:pPr>
    </w:p>
    <w:p w14:paraId="0BB75531">
      <w:pPr>
        <w:spacing w:line="409" w:lineRule="auto"/>
        <w:rPr>
          <w:rFonts w:ascii="Arial"/>
          <w:sz w:val="21"/>
        </w:rPr>
      </w:pPr>
      <w:r>
        <w:pict>
          <v:shape id="_x0000_s1220" o:spid="_x0000_s1220" style="position:absolute;left:0pt;margin-left:90pt;margin-top:57.35pt;height:0.75pt;width:415.3pt;mso-position-horizontal-relative:page;mso-position-vertical-relative:page;z-index:251872256;mso-width-relative:page;mso-height-relative:page;" fillcolor="#000000" filled="t" stroked="f" coordsize="8305,15" o:allowincell="f" path="m0,0l8305,0,8305,14,0,14,0,0xe">
            <v:path/>
            <v:fill on="t" focussize="0,0"/>
            <v:stroke on="f"/>
            <v:imagedata o:title=""/>
            <o:lock v:ext="edit"/>
          </v:shape>
        </w:pict>
      </w:r>
    </w:p>
    <w:p w14:paraId="09736025">
      <w:pPr>
        <w:spacing w:before="74" w:line="227" w:lineRule="auto"/>
        <w:ind w:left="2465"/>
        <w:rPr>
          <w:rFonts w:ascii="宋体" w:hAnsi="宋体" w:eastAsia="宋体" w:cs="宋体"/>
          <w:sz w:val="23"/>
          <w:szCs w:val="23"/>
        </w:rPr>
      </w:pPr>
      <w:r>
        <w:rPr>
          <w:rFonts w:ascii="宋体" w:hAnsi="宋体" w:eastAsia="宋体" w:cs="宋体"/>
          <w:spacing w:val="6"/>
          <w:sz w:val="23"/>
          <w:szCs w:val="23"/>
          <w14:textOutline w14:w="4358" w14:cap="sq" w14:cmpd="sng">
            <w14:solidFill>
              <w14:srgbClr w14:val="000000"/>
            </w14:solidFill>
            <w14:prstDash w14:val="solid"/>
            <w14:bevel/>
          </w14:textOutline>
        </w:rPr>
        <w:t>表</w:t>
      </w:r>
      <w:r>
        <w:rPr>
          <w:rFonts w:ascii="宋体" w:hAnsi="宋体" w:eastAsia="宋体" w:cs="宋体"/>
          <w:spacing w:val="6"/>
          <w:sz w:val="23"/>
          <w:szCs w:val="23"/>
        </w:rPr>
        <w:t xml:space="preserve"> </w:t>
      </w:r>
      <w:r>
        <w:rPr>
          <w:rFonts w:ascii="Times New Roman" w:hAnsi="Times New Roman" w:eastAsia="Times New Roman" w:cs="Times New Roman"/>
          <w:b/>
          <w:bCs/>
          <w:spacing w:val="6"/>
          <w:sz w:val="23"/>
          <w:szCs w:val="23"/>
        </w:rPr>
        <w:t>4</w:t>
      </w:r>
      <w:r>
        <w:rPr>
          <w:rFonts w:ascii="Times New Roman" w:hAnsi="Times New Roman" w:eastAsia="Times New Roman" w:cs="Times New Roman"/>
          <w:b/>
          <w:bCs/>
          <w:spacing w:val="3"/>
          <w:sz w:val="23"/>
          <w:szCs w:val="23"/>
        </w:rPr>
        <w:t>-11</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14:textOutline w14:w="4358" w14:cap="sq" w14:cmpd="sng">
            <w14:solidFill>
              <w14:srgbClr w14:val="000000"/>
            </w14:solidFill>
            <w14:prstDash w14:val="solid"/>
            <w14:bevel/>
          </w14:textOutline>
        </w:rPr>
        <w:t>地下水水质监测结果表</w:t>
      </w:r>
    </w:p>
    <w:p w14:paraId="5D0C3935">
      <w:pPr>
        <w:spacing w:line="17" w:lineRule="exact"/>
      </w:pPr>
    </w:p>
    <w:tbl>
      <w:tblPr>
        <w:tblStyle w:val="4"/>
        <w:tblW w:w="8362" w:type="dxa"/>
        <w:tblInd w:w="7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5"/>
        <w:gridCol w:w="1016"/>
        <w:gridCol w:w="1029"/>
        <w:gridCol w:w="1030"/>
        <w:gridCol w:w="1029"/>
        <w:gridCol w:w="1029"/>
        <w:gridCol w:w="1030"/>
        <w:gridCol w:w="1034"/>
      </w:tblGrid>
      <w:tr w14:paraId="617099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1" w:hRule="atLeast"/>
        </w:trPr>
        <w:tc>
          <w:tcPr>
            <w:tcW w:w="2181" w:type="dxa"/>
            <w:gridSpan w:val="2"/>
            <w:vMerge w:val="restart"/>
            <w:tcBorders>
              <w:left w:val="nil"/>
              <w:bottom w:val="nil"/>
              <w:tl2br w:val="single" w:color="000000" w:sz="4" w:space="0"/>
            </w:tcBorders>
            <w:vAlign w:val="top"/>
          </w:tcPr>
          <w:p w14:paraId="0A43EF6E">
            <w:pPr>
              <w:spacing w:before="56" w:line="229" w:lineRule="auto"/>
              <w:ind w:right="26"/>
              <w:jc w:val="right"/>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点</w:t>
            </w:r>
            <w:r>
              <w:rPr>
                <w:rFonts w:ascii="宋体" w:hAnsi="宋体" w:eastAsia="宋体" w:cs="宋体"/>
                <w:sz w:val="20"/>
                <w:szCs w:val="20"/>
                <w14:textOutline w14:w="3795" w14:cap="sq" w14:cmpd="sng">
                  <w14:solidFill>
                    <w14:srgbClr w14:val="000000"/>
                  </w14:solidFill>
                  <w14:prstDash w14:val="solid"/>
                  <w14:bevel/>
                </w14:textOutline>
              </w:rPr>
              <w:t>位</w:t>
            </w:r>
          </w:p>
          <w:p w14:paraId="3FF866F7">
            <w:pPr>
              <w:spacing w:before="23" w:line="227" w:lineRule="auto"/>
              <w:ind w:left="36"/>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监</w:t>
            </w:r>
            <w:r>
              <w:rPr>
                <w:rFonts w:ascii="宋体" w:hAnsi="宋体" w:eastAsia="宋体" w:cs="宋体"/>
                <w:spacing w:val="8"/>
                <w:sz w:val="20"/>
                <w:szCs w:val="20"/>
                <w14:textOutline w14:w="3795" w14:cap="sq" w14:cmpd="sng">
                  <w14:solidFill>
                    <w14:srgbClr w14:val="000000"/>
                  </w14:solidFill>
                  <w14:prstDash w14:val="solid"/>
                  <w14:bevel/>
                </w14:textOutline>
              </w:rPr>
              <w:t>测项目</w:t>
            </w:r>
          </w:p>
        </w:tc>
        <w:tc>
          <w:tcPr>
            <w:tcW w:w="2059" w:type="dxa"/>
            <w:gridSpan w:val="2"/>
            <w:vAlign w:val="top"/>
          </w:tcPr>
          <w:p w14:paraId="4381BB2A">
            <w:pPr>
              <w:spacing w:before="15" w:line="285" w:lineRule="exact"/>
              <w:ind w:left="200"/>
              <w:rPr>
                <w:rFonts w:ascii="宋体" w:hAnsi="宋体" w:eastAsia="宋体" w:cs="宋体"/>
                <w:sz w:val="20"/>
                <w:szCs w:val="20"/>
              </w:rPr>
            </w:pPr>
            <w:r>
              <w:rPr>
                <w:rFonts w:ascii="Times New Roman" w:hAnsi="Times New Roman" w:eastAsia="Times New Roman" w:cs="Times New Roman"/>
                <w:b/>
                <w:bCs/>
                <w:spacing w:val="12"/>
                <w:position w:val="1"/>
                <w:sz w:val="20"/>
                <w:szCs w:val="20"/>
              </w:rPr>
              <w:t>1</w:t>
            </w:r>
            <w:r>
              <w:rPr>
                <w:rFonts w:ascii="Times New Roman" w:hAnsi="Times New Roman" w:eastAsia="Times New Roman" w:cs="Times New Roman"/>
                <w:b/>
                <w:bCs/>
                <w:spacing w:val="7"/>
                <w:position w:val="1"/>
                <w:sz w:val="20"/>
                <w:szCs w:val="20"/>
              </w:rPr>
              <w:t>#</w:t>
            </w:r>
            <w:r>
              <w:rPr>
                <w:rFonts w:ascii="宋体" w:hAnsi="宋体" w:eastAsia="宋体" w:cs="宋体"/>
                <w:spacing w:val="7"/>
                <w:position w:val="1"/>
                <w:sz w:val="20"/>
                <w:szCs w:val="20"/>
                <w14:textOutline w14:w="3751" w14:cap="sq" w14:cmpd="sng">
                  <w14:solidFill>
                    <w14:srgbClr w14:val="000000"/>
                  </w14:solidFill>
                  <w14:prstDash w14:val="solid"/>
                  <w14:bevel/>
                </w14:textOutline>
              </w:rPr>
              <w:t>建设项目所在地</w:t>
            </w:r>
          </w:p>
        </w:tc>
        <w:tc>
          <w:tcPr>
            <w:tcW w:w="2058" w:type="dxa"/>
            <w:gridSpan w:val="2"/>
            <w:vAlign w:val="top"/>
          </w:tcPr>
          <w:p w14:paraId="5868D94F">
            <w:pPr>
              <w:spacing w:before="15" w:line="285" w:lineRule="exact"/>
              <w:ind w:left="612"/>
              <w:rPr>
                <w:rFonts w:ascii="宋体" w:hAnsi="宋体" w:eastAsia="宋体" w:cs="宋体"/>
                <w:sz w:val="20"/>
                <w:szCs w:val="20"/>
              </w:rPr>
            </w:pPr>
            <w:r>
              <w:rPr>
                <w:rFonts w:ascii="Times New Roman" w:hAnsi="Times New Roman" w:eastAsia="Times New Roman" w:cs="Times New Roman"/>
                <w:b/>
                <w:bCs/>
                <w:spacing w:val="7"/>
                <w:position w:val="1"/>
                <w:sz w:val="20"/>
                <w:szCs w:val="20"/>
              </w:rPr>
              <w:t>2#</w:t>
            </w:r>
            <w:r>
              <w:rPr>
                <w:rFonts w:ascii="宋体" w:hAnsi="宋体" w:eastAsia="宋体" w:cs="宋体"/>
                <w:spacing w:val="7"/>
                <w:position w:val="1"/>
                <w:sz w:val="20"/>
                <w:szCs w:val="20"/>
                <w14:textOutline w14:w="3751" w14:cap="sq" w14:cmpd="sng">
                  <w14:solidFill>
                    <w14:srgbClr w14:val="000000"/>
                  </w14:solidFill>
                  <w14:prstDash w14:val="solid"/>
                  <w14:bevel/>
                </w14:textOutline>
              </w:rPr>
              <w:t>榆树底</w:t>
            </w:r>
          </w:p>
        </w:tc>
        <w:tc>
          <w:tcPr>
            <w:tcW w:w="2064" w:type="dxa"/>
            <w:gridSpan w:val="2"/>
            <w:tcBorders>
              <w:right w:val="nil"/>
            </w:tcBorders>
            <w:vAlign w:val="top"/>
          </w:tcPr>
          <w:p w14:paraId="4597A5DE">
            <w:pPr>
              <w:spacing w:before="15" w:line="285" w:lineRule="exact"/>
              <w:ind w:left="508"/>
              <w:rPr>
                <w:rFonts w:ascii="宋体" w:hAnsi="宋体" w:eastAsia="宋体" w:cs="宋体"/>
                <w:sz w:val="20"/>
                <w:szCs w:val="20"/>
              </w:rPr>
            </w:pPr>
            <w:r>
              <w:rPr>
                <w:rFonts w:ascii="Times New Roman" w:hAnsi="Times New Roman" w:eastAsia="Times New Roman" w:cs="Times New Roman"/>
                <w:b/>
                <w:bCs/>
                <w:spacing w:val="8"/>
                <w:position w:val="1"/>
                <w:sz w:val="20"/>
                <w:szCs w:val="20"/>
              </w:rPr>
              <w:t>3#</w:t>
            </w:r>
            <w:r>
              <w:rPr>
                <w:rFonts w:ascii="宋体" w:hAnsi="宋体" w:eastAsia="宋体" w:cs="宋体"/>
                <w:spacing w:val="8"/>
                <w:position w:val="1"/>
                <w:sz w:val="20"/>
                <w:szCs w:val="20"/>
                <w14:textOutline w14:w="3751" w14:cap="sq" w14:cmpd="sng">
                  <w14:solidFill>
                    <w14:srgbClr w14:val="000000"/>
                  </w14:solidFill>
                  <w14:prstDash w14:val="solid"/>
                  <w14:bevel/>
                </w14:textOutline>
              </w:rPr>
              <w:t>火连寨村</w:t>
            </w:r>
          </w:p>
        </w:tc>
      </w:tr>
      <w:tr w14:paraId="29CD75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181" w:type="dxa"/>
            <w:gridSpan w:val="2"/>
            <w:vMerge w:val="continue"/>
            <w:tcBorders>
              <w:top w:val="nil"/>
              <w:left w:val="nil"/>
              <w:tl2br w:val="single" w:color="000000" w:sz="4" w:space="0"/>
            </w:tcBorders>
            <w:vAlign w:val="top"/>
          </w:tcPr>
          <w:p w14:paraId="20904484">
            <w:pPr>
              <w:rPr>
                <w:rFonts w:ascii="Arial"/>
                <w:sz w:val="21"/>
              </w:rPr>
            </w:pPr>
          </w:p>
        </w:tc>
        <w:tc>
          <w:tcPr>
            <w:tcW w:w="1029" w:type="dxa"/>
            <w:vAlign w:val="top"/>
          </w:tcPr>
          <w:p w14:paraId="5E2A300D">
            <w:pPr>
              <w:spacing w:before="62" w:line="195" w:lineRule="auto"/>
              <w:ind w:left="45"/>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2019.06.2</w:t>
            </w:r>
            <w:r>
              <w:rPr>
                <w:rFonts w:ascii="Times New Roman" w:hAnsi="Times New Roman" w:eastAsia="Times New Roman" w:cs="Times New Roman"/>
                <w:b/>
                <w:bCs/>
                <w:spacing w:val="3"/>
                <w:sz w:val="20"/>
                <w:szCs w:val="20"/>
              </w:rPr>
              <w:t>0</w:t>
            </w:r>
          </w:p>
        </w:tc>
        <w:tc>
          <w:tcPr>
            <w:tcW w:w="1030" w:type="dxa"/>
            <w:vAlign w:val="top"/>
          </w:tcPr>
          <w:p w14:paraId="07E9FBFB">
            <w:pPr>
              <w:spacing w:before="62" w:line="195" w:lineRule="auto"/>
              <w:ind w:left="46"/>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2019.06.2</w:t>
            </w:r>
            <w:r>
              <w:rPr>
                <w:rFonts w:ascii="Times New Roman" w:hAnsi="Times New Roman" w:eastAsia="Times New Roman" w:cs="Times New Roman"/>
                <w:b/>
                <w:bCs/>
                <w:spacing w:val="3"/>
                <w:sz w:val="20"/>
                <w:szCs w:val="20"/>
              </w:rPr>
              <w:t>1</w:t>
            </w:r>
          </w:p>
        </w:tc>
        <w:tc>
          <w:tcPr>
            <w:tcW w:w="1029" w:type="dxa"/>
            <w:vAlign w:val="top"/>
          </w:tcPr>
          <w:p w14:paraId="73C6243C">
            <w:pPr>
              <w:spacing w:before="62" w:line="195" w:lineRule="auto"/>
              <w:ind w:left="43"/>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2019.06.2</w:t>
            </w:r>
            <w:r>
              <w:rPr>
                <w:rFonts w:ascii="Times New Roman" w:hAnsi="Times New Roman" w:eastAsia="Times New Roman" w:cs="Times New Roman"/>
                <w:b/>
                <w:bCs/>
                <w:spacing w:val="3"/>
                <w:sz w:val="20"/>
                <w:szCs w:val="20"/>
              </w:rPr>
              <w:t>0</w:t>
            </w:r>
          </w:p>
        </w:tc>
        <w:tc>
          <w:tcPr>
            <w:tcW w:w="1029" w:type="dxa"/>
            <w:vAlign w:val="top"/>
          </w:tcPr>
          <w:p w14:paraId="0B9BE4A9">
            <w:pPr>
              <w:spacing w:before="62" w:line="195" w:lineRule="auto"/>
              <w:ind w:left="43"/>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2019.06.2</w:t>
            </w:r>
            <w:r>
              <w:rPr>
                <w:rFonts w:ascii="Times New Roman" w:hAnsi="Times New Roman" w:eastAsia="Times New Roman" w:cs="Times New Roman"/>
                <w:b/>
                <w:bCs/>
                <w:spacing w:val="3"/>
                <w:sz w:val="20"/>
                <w:szCs w:val="20"/>
              </w:rPr>
              <w:t>1</w:t>
            </w:r>
          </w:p>
        </w:tc>
        <w:tc>
          <w:tcPr>
            <w:tcW w:w="1030" w:type="dxa"/>
            <w:vAlign w:val="top"/>
          </w:tcPr>
          <w:p w14:paraId="57DDA315">
            <w:pPr>
              <w:spacing w:before="62" w:line="195" w:lineRule="auto"/>
              <w:ind w:left="44"/>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2019.06.2</w:t>
            </w:r>
            <w:r>
              <w:rPr>
                <w:rFonts w:ascii="Times New Roman" w:hAnsi="Times New Roman" w:eastAsia="Times New Roman" w:cs="Times New Roman"/>
                <w:b/>
                <w:bCs/>
                <w:spacing w:val="3"/>
                <w:sz w:val="20"/>
                <w:szCs w:val="20"/>
              </w:rPr>
              <w:t>0</w:t>
            </w:r>
          </w:p>
        </w:tc>
        <w:tc>
          <w:tcPr>
            <w:tcW w:w="1034" w:type="dxa"/>
            <w:tcBorders>
              <w:right w:val="nil"/>
            </w:tcBorders>
            <w:vAlign w:val="top"/>
          </w:tcPr>
          <w:p w14:paraId="4C4421C6">
            <w:pPr>
              <w:spacing w:before="62" w:line="195" w:lineRule="auto"/>
              <w:ind w:left="46"/>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2019.06.2</w:t>
            </w:r>
            <w:r>
              <w:rPr>
                <w:rFonts w:ascii="Times New Roman" w:hAnsi="Times New Roman" w:eastAsia="Times New Roman" w:cs="Times New Roman"/>
                <w:b/>
                <w:bCs/>
                <w:spacing w:val="3"/>
                <w:sz w:val="20"/>
                <w:szCs w:val="20"/>
              </w:rPr>
              <w:t>1</w:t>
            </w:r>
          </w:p>
        </w:tc>
      </w:tr>
      <w:tr w14:paraId="52F569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65" w:type="dxa"/>
            <w:tcBorders>
              <w:left w:val="nil"/>
            </w:tcBorders>
            <w:vAlign w:val="top"/>
          </w:tcPr>
          <w:p w14:paraId="6642652E">
            <w:pPr>
              <w:spacing w:before="89" w:line="194" w:lineRule="auto"/>
              <w:ind w:left="45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pH</w:t>
            </w:r>
          </w:p>
        </w:tc>
        <w:tc>
          <w:tcPr>
            <w:tcW w:w="1016" w:type="dxa"/>
            <w:vAlign w:val="top"/>
          </w:tcPr>
          <w:p w14:paraId="5817A7AF">
            <w:pPr>
              <w:spacing w:before="51" w:line="228" w:lineRule="auto"/>
              <w:ind w:left="199"/>
              <w:rPr>
                <w:rFonts w:ascii="宋体" w:hAnsi="宋体" w:eastAsia="宋体" w:cs="宋体"/>
                <w:sz w:val="20"/>
                <w:szCs w:val="20"/>
              </w:rPr>
            </w:pPr>
            <w:r>
              <w:rPr>
                <w:rFonts w:ascii="宋体" w:hAnsi="宋体" w:eastAsia="宋体" w:cs="宋体"/>
                <w:spacing w:val="7"/>
                <w:sz w:val="20"/>
                <w:szCs w:val="20"/>
              </w:rPr>
              <w:t>无</w:t>
            </w:r>
            <w:r>
              <w:rPr>
                <w:rFonts w:ascii="宋体" w:hAnsi="宋体" w:eastAsia="宋体" w:cs="宋体"/>
                <w:spacing w:val="6"/>
                <w:sz w:val="20"/>
                <w:szCs w:val="20"/>
              </w:rPr>
              <w:t>量纲</w:t>
            </w:r>
          </w:p>
        </w:tc>
        <w:tc>
          <w:tcPr>
            <w:tcW w:w="1029" w:type="dxa"/>
            <w:vAlign w:val="top"/>
          </w:tcPr>
          <w:p w14:paraId="4ABEFF26">
            <w:pPr>
              <w:spacing w:before="86" w:line="195" w:lineRule="auto"/>
              <w:ind w:left="33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7</w:t>
            </w:r>
            <w:r>
              <w:rPr>
                <w:rFonts w:ascii="Times New Roman" w:hAnsi="Times New Roman" w:eastAsia="Times New Roman" w:cs="Times New Roman"/>
                <w:spacing w:val="2"/>
                <w:sz w:val="20"/>
                <w:szCs w:val="20"/>
              </w:rPr>
              <w:t>.62</w:t>
            </w:r>
          </w:p>
        </w:tc>
        <w:tc>
          <w:tcPr>
            <w:tcW w:w="1030" w:type="dxa"/>
            <w:vAlign w:val="top"/>
          </w:tcPr>
          <w:p w14:paraId="2E5FDA90">
            <w:pPr>
              <w:spacing w:before="86" w:line="195" w:lineRule="auto"/>
              <w:ind w:left="33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7</w:t>
            </w:r>
            <w:r>
              <w:rPr>
                <w:rFonts w:ascii="Times New Roman" w:hAnsi="Times New Roman" w:eastAsia="Times New Roman" w:cs="Times New Roman"/>
                <w:spacing w:val="2"/>
                <w:sz w:val="20"/>
                <w:szCs w:val="20"/>
              </w:rPr>
              <w:t>.66</w:t>
            </w:r>
          </w:p>
        </w:tc>
        <w:tc>
          <w:tcPr>
            <w:tcW w:w="1029" w:type="dxa"/>
            <w:vAlign w:val="top"/>
          </w:tcPr>
          <w:p w14:paraId="7D4D24A5">
            <w:pPr>
              <w:spacing w:before="86" w:line="195" w:lineRule="auto"/>
              <w:ind w:left="33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7</w:t>
            </w:r>
            <w:r>
              <w:rPr>
                <w:rFonts w:ascii="Times New Roman" w:hAnsi="Times New Roman" w:eastAsia="Times New Roman" w:cs="Times New Roman"/>
                <w:spacing w:val="2"/>
                <w:sz w:val="20"/>
                <w:szCs w:val="20"/>
              </w:rPr>
              <w:t>.95</w:t>
            </w:r>
          </w:p>
        </w:tc>
        <w:tc>
          <w:tcPr>
            <w:tcW w:w="1029" w:type="dxa"/>
            <w:vAlign w:val="top"/>
          </w:tcPr>
          <w:p w14:paraId="7F28A2D6">
            <w:pPr>
              <w:spacing w:before="86" w:line="195" w:lineRule="auto"/>
              <w:ind w:left="33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7</w:t>
            </w:r>
            <w:r>
              <w:rPr>
                <w:rFonts w:ascii="Times New Roman" w:hAnsi="Times New Roman" w:eastAsia="Times New Roman" w:cs="Times New Roman"/>
                <w:spacing w:val="2"/>
                <w:sz w:val="20"/>
                <w:szCs w:val="20"/>
              </w:rPr>
              <w:t>.80</w:t>
            </w:r>
          </w:p>
        </w:tc>
        <w:tc>
          <w:tcPr>
            <w:tcW w:w="1030" w:type="dxa"/>
            <w:vAlign w:val="top"/>
          </w:tcPr>
          <w:p w14:paraId="0B91217A">
            <w:pPr>
              <w:spacing w:before="86" w:line="195" w:lineRule="auto"/>
              <w:ind w:left="33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7. 19</w:t>
            </w:r>
          </w:p>
        </w:tc>
        <w:tc>
          <w:tcPr>
            <w:tcW w:w="1034" w:type="dxa"/>
            <w:tcBorders>
              <w:right w:val="nil"/>
            </w:tcBorders>
            <w:vAlign w:val="top"/>
          </w:tcPr>
          <w:p w14:paraId="5B7CF938">
            <w:pPr>
              <w:spacing w:before="86" w:line="195" w:lineRule="auto"/>
              <w:ind w:left="33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7</w:t>
            </w:r>
            <w:r>
              <w:rPr>
                <w:rFonts w:ascii="Times New Roman" w:hAnsi="Times New Roman" w:eastAsia="Times New Roman" w:cs="Times New Roman"/>
                <w:spacing w:val="2"/>
                <w:sz w:val="20"/>
                <w:szCs w:val="20"/>
              </w:rPr>
              <w:t>.25</w:t>
            </w:r>
          </w:p>
        </w:tc>
      </w:tr>
      <w:tr w14:paraId="6FA2A7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65" w:type="dxa"/>
            <w:tcBorders>
              <w:left w:val="nil"/>
            </w:tcBorders>
            <w:vAlign w:val="top"/>
          </w:tcPr>
          <w:p w14:paraId="0C679AF3">
            <w:pPr>
              <w:spacing w:before="50" w:line="228" w:lineRule="auto"/>
              <w:ind w:left="277"/>
              <w:rPr>
                <w:rFonts w:ascii="宋体" w:hAnsi="宋体" w:eastAsia="宋体" w:cs="宋体"/>
                <w:sz w:val="20"/>
                <w:szCs w:val="20"/>
              </w:rPr>
            </w:pPr>
            <w:r>
              <w:rPr>
                <w:rFonts w:ascii="宋体" w:hAnsi="宋体" w:eastAsia="宋体" w:cs="宋体"/>
                <w:spacing w:val="7"/>
                <w:sz w:val="20"/>
                <w:szCs w:val="20"/>
              </w:rPr>
              <w:t>浑</w:t>
            </w:r>
            <w:r>
              <w:rPr>
                <w:rFonts w:ascii="宋体" w:hAnsi="宋体" w:eastAsia="宋体" w:cs="宋体"/>
                <w:spacing w:val="6"/>
                <w:sz w:val="20"/>
                <w:szCs w:val="20"/>
              </w:rPr>
              <w:t>浊度</w:t>
            </w:r>
          </w:p>
        </w:tc>
        <w:tc>
          <w:tcPr>
            <w:tcW w:w="1016" w:type="dxa"/>
            <w:vAlign w:val="top"/>
          </w:tcPr>
          <w:p w14:paraId="672C21F8">
            <w:pPr>
              <w:spacing w:before="89" w:line="192" w:lineRule="auto"/>
              <w:ind w:left="288"/>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NT</w:t>
            </w:r>
            <w:r>
              <w:rPr>
                <w:rFonts w:ascii="Times New Roman" w:hAnsi="Times New Roman" w:eastAsia="Times New Roman" w:cs="Times New Roman"/>
                <w:spacing w:val="6"/>
                <w:sz w:val="20"/>
                <w:szCs w:val="20"/>
              </w:rPr>
              <w:t>U</w:t>
            </w:r>
          </w:p>
        </w:tc>
        <w:tc>
          <w:tcPr>
            <w:tcW w:w="1029" w:type="dxa"/>
            <w:vAlign w:val="top"/>
          </w:tcPr>
          <w:p w14:paraId="3CDC2C5E">
            <w:pPr>
              <w:spacing w:before="86" w:line="198" w:lineRule="auto"/>
              <w:ind w:left="38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w:t>
            </w:r>
            <w:r>
              <w:rPr>
                <w:rFonts w:ascii="Times New Roman" w:hAnsi="Times New Roman" w:eastAsia="Times New Roman" w:cs="Times New Roman"/>
                <w:spacing w:val="3"/>
                <w:sz w:val="20"/>
                <w:szCs w:val="20"/>
              </w:rPr>
              <w:t>0</w:t>
            </w:r>
          </w:p>
        </w:tc>
        <w:tc>
          <w:tcPr>
            <w:tcW w:w="1030" w:type="dxa"/>
            <w:vAlign w:val="top"/>
          </w:tcPr>
          <w:p w14:paraId="0E398250">
            <w:pPr>
              <w:spacing w:before="86" w:line="198" w:lineRule="auto"/>
              <w:ind w:left="38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w:t>
            </w:r>
            <w:r>
              <w:rPr>
                <w:rFonts w:ascii="Times New Roman" w:hAnsi="Times New Roman" w:eastAsia="Times New Roman" w:cs="Times New Roman"/>
                <w:spacing w:val="3"/>
                <w:sz w:val="20"/>
                <w:szCs w:val="20"/>
              </w:rPr>
              <w:t>0</w:t>
            </w:r>
          </w:p>
        </w:tc>
        <w:tc>
          <w:tcPr>
            <w:tcW w:w="1029" w:type="dxa"/>
            <w:vAlign w:val="top"/>
          </w:tcPr>
          <w:p w14:paraId="7D53A553">
            <w:pPr>
              <w:spacing w:before="86" w:line="198" w:lineRule="auto"/>
              <w:ind w:left="38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w:t>
            </w:r>
            <w:r>
              <w:rPr>
                <w:rFonts w:ascii="Times New Roman" w:hAnsi="Times New Roman" w:eastAsia="Times New Roman" w:cs="Times New Roman"/>
                <w:spacing w:val="3"/>
                <w:sz w:val="20"/>
                <w:szCs w:val="20"/>
              </w:rPr>
              <w:t>0</w:t>
            </w:r>
          </w:p>
        </w:tc>
        <w:tc>
          <w:tcPr>
            <w:tcW w:w="1029" w:type="dxa"/>
            <w:vAlign w:val="top"/>
          </w:tcPr>
          <w:p w14:paraId="7BA995DA">
            <w:pPr>
              <w:spacing w:before="86" w:line="198" w:lineRule="auto"/>
              <w:ind w:left="38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w:t>
            </w:r>
            <w:r>
              <w:rPr>
                <w:rFonts w:ascii="Times New Roman" w:hAnsi="Times New Roman" w:eastAsia="Times New Roman" w:cs="Times New Roman"/>
                <w:spacing w:val="3"/>
                <w:sz w:val="20"/>
                <w:szCs w:val="20"/>
              </w:rPr>
              <w:t>0</w:t>
            </w:r>
          </w:p>
        </w:tc>
        <w:tc>
          <w:tcPr>
            <w:tcW w:w="1030" w:type="dxa"/>
            <w:vAlign w:val="top"/>
          </w:tcPr>
          <w:p w14:paraId="549F78D6">
            <w:pPr>
              <w:spacing w:before="86" w:line="198" w:lineRule="auto"/>
              <w:ind w:left="38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w:t>
            </w:r>
            <w:r>
              <w:rPr>
                <w:rFonts w:ascii="Times New Roman" w:hAnsi="Times New Roman" w:eastAsia="Times New Roman" w:cs="Times New Roman"/>
                <w:spacing w:val="3"/>
                <w:sz w:val="20"/>
                <w:szCs w:val="20"/>
              </w:rPr>
              <w:t>0</w:t>
            </w:r>
          </w:p>
        </w:tc>
        <w:tc>
          <w:tcPr>
            <w:tcW w:w="1034" w:type="dxa"/>
            <w:tcBorders>
              <w:right w:val="nil"/>
            </w:tcBorders>
            <w:vAlign w:val="top"/>
          </w:tcPr>
          <w:p w14:paraId="632A517E">
            <w:pPr>
              <w:spacing w:before="86" w:line="198" w:lineRule="auto"/>
              <w:ind w:left="38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w:t>
            </w:r>
            <w:r>
              <w:rPr>
                <w:rFonts w:ascii="Times New Roman" w:hAnsi="Times New Roman" w:eastAsia="Times New Roman" w:cs="Times New Roman"/>
                <w:spacing w:val="3"/>
                <w:sz w:val="20"/>
                <w:szCs w:val="20"/>
              </w:rPr>
              <w:t>0</w:t>
            </w:r>
          </w:p>
        </w:tc>
      </w:tr>
      <w:tr w14:paraId="2CF8D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65" w:type="dxa"/>
            <w:tcBorders>
              <w:left w:val="nil"/>
            </w:tcBorders>
            <w:vAlign w:val="top"/>
          </w:tcPr>
          <w:p w14:paraId="20621E0E">
            <w:pPr>
              <w:spacing w:before="50" w:line="227" w:lineRule="auto"/>
              <w:ind w:left="276"/>
              <w:rPr>
                <w:rFonts w:ascii="宋体" w:hAnsi="宋体" w:eastAsia="宋体" w:cs="宋体"/>
                <w:sz w:val="20"/>
                <w:szCs w:val="20"/>
              </w:rPr>
            </w:pPr>
            <w:r>
              <w:rPr>
                <w:rFonts w:ascii="宋体" w:hAnsi="宋体" w:eastAsia="宋体" w:cs="宋体"/>
                <w:spacing w:val="7"/>
                <w:sz w:val="20"/>
                <w:szCs w:val="20"/>
              </w:rPr>
              <w:t>耗</w:t>
            </w:r>
            <w:r>
              <w:rPr>
                <w:rFonts w:ascii="宋体" w:hAnsi="宋体" w:eastAsia="宋体" w:cs="宋体"/>
                <w:spacing w:val="6"/>
                <w:sz w:val="20"/>
                <w:szCs w:val="20"/>
              </w:rPr>
              <w:t>氧量</w:t>
            </w:r>
          </w:p>
        </w:tc>
        <w:tc>
          <w:tcPr>
            <w:tcW w:w="1016" w:type="dxa"/>
            <w:vAlign w:val="top"/>
          </w:tcPr>
          <w:p w14:paraId="286118A8">
            <w:pPr>
              <w:spacing w:before="12" w:line="281" w:lineRule="exact"/>
              <w:ind w:left="280"/>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029" w:type="dxa"/>
            <w:vAlign w:val="top"/>
          </w:tcPr>
          <w:p w14:paraId="6AE236D7">
            <w:pPr>
              <w:spacing w:before="86" w:line="198" w:lineRule="auto"/>
              <w:ind w:left="35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00</w:t>
            </w:r>
          </w:p>
        </w:tc>
        <w:tc>
          <w:tcPr>
            <w:tcW w:w="1030" w:type="dxa"/>
            <w:vAlign w:val="top"/>
          </w:tcPr>
          <w:p w14:paraId="4D055C46">
            <w:pPr>
              <w:spacing w:before="86"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12"/>
                <w:sz w:val="20"/>
                <w:szCs w:val="20"/>
              </w:rPr>
              <w:t>1</w:t>
            </w:r>
            <w:r>
              <w:rPr>
                <w:rFonts w:ascii="Times New Roman" w:hAnsi="Times New Roman" w:eastAsia="Times New Roman" w:cs="Times New Roman"/>
                <w:spacing w:val="-11"/>
                <w:sz w:val="20"/>
                <w:szCs w:val="20"/>
              </w:rPr>
              <w:t>. 13</w:t>
            </w:r>
          </w:p>
        </w:tc>
        <w:tc>
          <w:tcPr>
            <w:tcW w:w="1029" w:type="dxa"/>
            <w:vAlign w:val="top"/>
          </w:tcPr>
          <w:p w14:paraId="6669EA22">
            <w:pPr>
              <w:spacing w:before="86" w:line="198"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25</w:t>
            </w:r>
          </w:p>
        </w:tc>
        <w:tc>
          <w:tcPr>
            <w:tcW w:w="1029" w:type="dxa"/>
            <w:vAlign w:val="top"/>
          </w:tcPr>
          <w:p w14:paraId="0103D78F">
            <w:pPr>
              <w:spacing w:before="86" w:line="198"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21</w:t>
            </w:r>
          </w:p>
        </w:tc>
        <w:tc>
          <w:tcPr>
            <w:tcW w:w="1030" w:type="dxa"/>
            <w:vAlign w:val="top"/>
          </w:tcPr>
          <w:p w14:paraId="018968E5">
            <w:pPr>
              <w:spacing w:before="86" w:line="195" w:lineRule="auto"/>
              <w:ind w:left="351"/>
              <w:rPr>
                <w:rFonts w:ascii="Times New Roman" w:hAnsi="Times New Roman" w:eastAsia="Times New Roman" w:cs="Times New Roman"/>
                <w:sz w:val="20"/>
                <w:szCs w:val="20"/>
              </w:rPr>
            </w:pPr>
            <w:r>
              <w:rPr>
                <w:rFonts w:ascii="Times New Roman" w:hAnsi="Times New Roman" w:eastAsia="Times New Roman" w:cs="Times New Roman"/>
                <w:spacing w:val="-12"/>
                <w:sz w:val="20"/>
                <w:szCs w:val="20"/>
              </w:rPr>
              <w:t>1</w:t>
            </w:r>
            <w:r>
              <w:rPr>
                <w:rFonts w:ascii="Times New Roman" w:hAnsi="Times New Roman" w:eastAsia="Times New Roman" w:cs="Times New Roman"/>
                <w:spacing w:val="-11"/>
                <w:sz w:val="20"/>
                <w:szCs w:val="20"/>
              </w:rPr>
              <w:t>. 17</w:t>
            </w:r>
          </w:p>
        </w:tc>
        <w:tc>
          <w:tcPr>
            <w:tcW w:w="1034" w:type="dxa"/>
            <w:tcBorders>
              <w:right w:val="nil"/>
            </w:tcBorders>
            <w:vAlign w:val="top"/>
          </w:tcPr>
          <w:p w14:paraId="3B0772EC">
            <w:pPr>
              <w:spacing w:before="86" w:line="198"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21</w:t>
            </w:r>
          </w:p>
        </w:tc>
      </w:tr>
      <w:tr w14:paraId="336B5F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65" w:type="dxa"/>
            <w:tcBorders>
              <w:left w:val="nil"/>
            </w:tcBorders>
            <w:vAlign w:val="top"/>
          </w:tcPr>
          <w:p w14:paraId="2CA5C5ED">
            <w:pPr>
              <w:spacing w:before="52" w:line="227" w:lineRule="auto"/>
              <w:ind w:left="379"/>
              <w:rPr>
                <w:rFonts w:ascii="宋体" w:hAnsi="宋体" w:eastAsia="宋体" w:cs="宋体"/>
                <w:sz w:val="20"/>
                <w:szCs w:val="20"/>
              </w:rPr>
            </w:pPr>
            <w:r>
              <w:rPr>
                <w:rFonts w:ascii="宋体" w:hAnsi="宋体" w:eastAsia="宋体" w:cs="宋体"/>
                <w:spacing w:val="5"/>
                <w:sz w:val="20"/>
                <w:szCs w:val="20"/>
              </w:rPr>
              <w:t>氨</w:t>
            </w:r>
            <w:r>
              <w:rPr>
                <w:rFonts w:ascii="宋体" w:hAnsi="宋体" w:eastAsia="宋体" w:cs="宋体"/>
                <w:spacing w:val="4"/>
                <w:sz w:val="20"/>
                <w:szCs w:val="20"/>
              </w:rPr>
              <w:t>氮</w:t>
            </w:r>
          </w:p>
        </w:tc>
        <w:tc>
          <w:tcPr>
            <w:tcW w:w="1016" w:type="dxa"/>
            <w:vAlign w:val="top"/>
          </w:tcPr>
          <w:p w14:paraId="7B1F76C7">
            <w:pPr>
              <w:spacing w:before="14" w:line="281" w:lineRule="exact"/>
              <w:ind w:left="280"/>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029" w:type="dxa"/>
            <w:vAlign w:val="top"/>
          </w:tcPr>
          <w:p w14:paraId="06AED68C">
            <w:pPr>
              <w:spacing w:before="88" w:line="195" w:lineRule="auto"/>
              <w:ind w:left="33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.84</w:t>
            </w:r>
          </w:p>
        </w:tc>
        <w:tc>
          <w:tcPr>
            <w:tcW w:w="1030" w:type="dxa"/>
            <w:vAlign w:val="top"/>
          </w:tcPr>
          <w:p w14:paraId="547F2E17">
            <w:pPr>
              <w:spacing w:before="88" w:line="195" w:lineRule="auto"/>
              <w:ind w:left="33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.83</w:t>
            </w:r>
          </w:p>
        </w:tc>
        <w:tc>
          <w:tcPr>
            <w:tcW w:w="1029" w:type="dxa"/>
            <w:vAlign w:val="top"/>
          </w:tcPr>
          <w:p w14:paraId="5C4B8EDA">
            <w:pPr>
              <w:spacing w:before="88" w:line="195" w:lineRule="auto"/>
              <w:ind w:left="33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.41</w:t>
            </w:r>
          </w:p>
        </w:tc>
        <w:tc>
          <w:tcPr>
            <w:tcW w:w="1029" w:type="dxa"/>
            <w:vAlign w:val="top"/>
          </w:tcPr>
          <w:p w14:paraId="7DF45514">
            <w:pPr>
              <w:spacing w:before="88" w:line="195" w:lineRule="auto"/>
              <w:ind w:left="33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.43</w:t>
            </w:r>
          </w:p>
        </w:tc>
        <w:tc>
          <w:tcPr>
            <w:tcW w:w="1030" w:type="dxa"/>
            <w:vAlign w:val="top"/>
          </w:tcPr>
          <w:p w14:paraId="58907F8F">
            <w:pPr>
              <w:spacing w:before="88" w:line="195" w:lineRule="auto"/>
              <w:ind w:left="33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.75</w:t>
            </w:r>
          </w:p>
        </w:tc>
        <w:tc>
          <w:tcPr>
            <w:tcW w:w="1034" w:type="dxa"/>
            <w:tcBorders>
              <w:right w:val="nil"/>
            </w:tcBorders>
            <w:vAlign w:val="top"/>
          </w:tcPr>
          <w:p w14:paraId="4F3848BC">
            <w:pPr>
              <w:spacing w:before="88" w:line="195" w:lineRule="auto"/>
              <w:ind w:left="33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.73</w:t>
            </w:r>
          </w:p>
        </w:tc>
      </w:tr>
      <w:tr w14:paraId="4AD74F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65" w:type="dxa"/>
            <w:tcBorders>
              <w:left w:val="nil"/>
            </w:tcBorders>
            <w:vAlign w:val="top"/>
          </w:tcPr>
          <w:p w14:paraId="4151887B">
            <w:pPr>
              <w:spacing w:before="52" w:line="228" w:lineRule="auto"/>
              <w:ind w:left="281"/>
              <w:rPr>
                <w:rFonts w:ascii="宋体" w:hAnsi="宋体" w:eastAsia="宋体" w:cs="宋体"/>
                <w:sz w:val="20"/>
                <w:szCs w:val="20"/>
              </w:rPr>
            </w:pPr>
            <w:r>
              <w:rPr>
                <w:rFonts w:ascii="宋体" w:hAnsi="宋体" w:eastAsia="宋体" w:cs="宋体"/>
                <w:spacing w:val="5"/>
                <w:sz w:val="20"/>
                <w:szCs w:val="20"/>
              </w:rPr>
              <w:t>总硬度</w:t>
            </w:r>
          </w:p>
        </w:tc>
        <w:tc>
          <w:tcPr>
            <w:tcW w:w="1016" w:type="dxa"/>
            <w:vAlign w:val="top"/>
          </w:tcPr>
          <w:p w14:paraId="74AB29B6">
            <w:pPr>
              <w:spacing w:before="14" w:line="281" w:lineRule="exact"/>
              <w:ind w:left="280"/>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029" w:type="dxa"/>
            <w:vAlign w:val="top"/>
          </w:tcPr>
          <w:p w14:paraId="32E9F392">
            <w:pPr>
              <w:spacing w:before="87" w:line="195"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392.4</w:t>
            </w:r>
          </w:p>
        </w:tc>
        <w:tc>
          <w:tcPr>
            <w:tcW w:w="1030" w:type="dxa"/>
            <w:vAlign w:val="top"/>
          </w:tcPr>
          <w:p w14:paraId="057C0616">
            <w:pPr>
              <w:spacing w:before="88" w:line="195"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382.4</w:t>
            </w:r>
          </w:p>
        </w:tc>
        <w:tc>
          <w:tcPr>
            <w:tcW w:w="1029" w:type="dxa"/>
            <w:vAlign w:val="top"/>
          </w:tcPr>
          <w:p w14:paraId="4198F2C5">
            <w:pPr>
              <w:spacing w:before="88" w:line="195" w:lineRule="auto"/>
              <w:ind w:left="279"/>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4</w:t>
            </w:r>
            <w:r>
              <w:rPr>
                <w:rFonts w:ascii="Times New Roman" w:hAnsi="Times New Roman" w:eastAsia="Times New Roman" w:cs="Times New Roman"/>
                <w:spacing w:val="3"/>
                <w:sz w:val="20"/>
                <w:szCs w:val="20"/>
              </w:rPr>
              <w:t>20.3</w:t>
            </w:r>
          </w:p>
        </w:tc>
        <w:tc>
          <w:tcPr>
            <w:tcW w:w="1029" w:type="dxa"/>
            <w:vAlign w:val="top"/>
          </w:tcPr>
          <w:p w14:paraId="43060F26">
            <w:pPr>
              <w:spacing w:before="88" w:line="195" w:lineRule="auto"/>
              <w:ind w:left="279"/>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4</w:t>
            </w:r>
            <w:r>
              <w:rPr>
                <w:rFonts w:ascii="Times New Roman" w:hAnsi="Times New Roman" w:eastAsia="Times New Roman" w:cs="Times New Roman"/>
                <w:spacing w:val="4"/>
                <w:sz w:val="20"/>
                <w:szCs w:val="20"/>
              </w:rPr>
              <w:t>15.3</w:t>
            </w:r>
          </w:p>
        </w:tc>
        <w:tc>
          <w:tcPr>
            <w:tcW w:w="1030" w:type="dxa"/>
            <w:vAlign w:val="top"/>
          </w:tcPr>
          <w:p w14:paraId="2714CBD3">
            <w:pPr>
              <w:spacing w:before="88"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462. 1</w:t>
            </w:r>
          </w:p>
        </w:tc>
        <w:tc>
          <w:tcPr>
            <w:tcW w:w="1034" w:type="dxa"/>
            <w:tcBorders>
              <w:right w:val="nil"/>
            </w:tcBorders>
            <w:vAlign w:val="top"/>
          </w:tcPr>
          <w:p w14:paraId="498FBA2A">
            <w:pPr>
              <w:spacing w:before="87" w:line="195" w:lineRule="auto"/>
              <w:ind w:left="28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457. 1</w:t>
            </w:r>
          </w:p>
        </w:tc>
      </w:tr>
      <w:tr w14:paraId="36D14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1165" w:type="dxa"/>
            <w:tcBorders>
              <w:left w:val="nil"/>
            </w:tcBorders>
            <w:vAlign w:val="top"/>
          </w:tcPr>
          <w:p w14:paraId="477354B9">
            <w:pPr>
              <w:spacing w:before="52" w:line="216" w:lineRule="auto"/>
              <w:ind w:left="275"/>
              <w:rPr>
                <w:rFonts w:ascii="宋体" w:hAnsi="宋体" w:eastAsia="宋体" w:cs="宋体"/>
                <w:sz w:val="20"/>
                <w:szCs w:val="20"/>
              </w:rPr>
            </w:pPr>
            <w:r>
              <w:rPr>
                <w:rFonts w:ascii="宋体" w:hAnsi="宋体" w:eastAsia="宋体" w:cs="宋体"/>
                <w:spacing w:val="7"/>
                <w:sz w:val="20"/>
                <w:szCs w:val="20"/>
              </w:rPr>
              <w:t>硫酸盐</w:t>
            </w:r>
          </w:p>
        </w:tc>
        <w:tc>
          <w:tcPr>
            <w:tcW w:w="1016" w:type="dxa"/>
            <w:vAlign w:val="top"/>
          </w:tcPr>
          <w:p w14:paraId="2ABAB93F">
            <w:pPr>
              <w:spacing w:before="14" w:line="272" w:lineRule="exact"/>
              <w:ind w:left="280"/>
              <w:rPr>
                <w:rFonts w:ascii="Times New Roman" w:hAnsi="Times New Roman" w:eastAsia="Times New Roman" w:cs="Times New Roman"/>
                <w:sz w:val="20"/>
                <w:szCs w:val="20"/>
              </w:rPr>
            </w:pPr>
            <w:r>
              <w:rPr>
                <w:rFonts w:ascii="Times New Roman" w:hAnsi="Times New Roman" w:eastAsia="Times New Roman" w:cs="Times New Roman"/>
                <w:position w:val="3"/>
                <w:sz w:val="20"/>
                <w:szCs w:val="20"/>
              </w:rPr>
              <w:t>mg</w:t>
            </w:r>
            <w:r>
              <w:rPr>
                <w:rFonts w:ascii="Times New Roman" w:hAnsi="Times New Roman" w:eastAsia="Times New Roman" w:cs="Times New Roman"/>
                <w:spacing w:val="16"/>
                <w:position w:val="3"/>
                <w:sz w:val="20"/>
                <w:szCs w:val="20"/>
              </w:rPr>
              <w:t>/</w:t>
            </w:r>
            <w:r>
              <w:rPr>
                <w:rFonts w:ascii="Times New Roman" w:hAnsi="Times New Roman" w:eastAsia="Times New Roman" w:cs="Times New Roman"/>
                <w:position w:val="3"/>
                <w:sz w:val="20"/>
                <w:szCs w:val="20"/>
              </w:rPr>
              <w:t>L</w:t>
            </w:r>
          </w:p>
        </w:tc>
        <w:tc>
          <w:tcPr>
            <w:tcW w:w="1029" w:type="dxa"/>
            <w:vAlign w:val="top"/>
          </w:tcPr>
          <w:p w14:paraId="4D320E9C">
            <w:pPr>
              <w:spacing w:before="88" w:line="195" w:lineRule="auto"/>
              <w:ind w:left="24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w:t>
            </w:r>
            <w:r>
              <w:rPr>
                <w:rFonts w:ascii="Times New Roman" w:hAnsi="Times New Roman" w:eastAsia="Times New Roman" w:cs="Times New Roman"/>
                <w:sz w:val="20"/>
                <w:szCs w:val="20"/>
              </w:rPr>
              <w:t>8 17</w:t>
            </w:r>
          </w:p>
        </w:tc>
        <w:tc>
          <w:tcPr>
            <w:tcW w:w="1030" w:type="dxa"/>
            <w:vAlign w:val="top"/>
          </w:tcPr>
          <w:p w14:paraId="00B2B72D">
            <w:pPr>
              <w:spacing w:before="88" w:line="195" w:lineRule="auto"/>
              <w:ind w:left="24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w:t>
            </w:r>
            <w:r>
              <w:rPr>
                <w:rFonts w:ascii="Times New Roman" w:hAnsi="Times New Roman" w:eastAsia="Times New Roman" w:cs="Times New Roman"/>
                <w:sz w:val="20"/>
                <w:szCs w:val="20"/>
              </w:rPr>
              <w:t>9 33</w:t>
            </w:r>
          </w:p>
        </w:tc>
        <w:tc>
          <w:tcPr>
            <w:tcW w:w="1029" w:type="dxa"/>
            <w:vAlign w:val="top"/>
          </w:tcPr>
          <w:p w14:paraId="2BDF47EF">
            <w:pPr>
              <w:spacing w:before="88" w:line="195" w:lineRule="auto"/>
              <w:ind w:left="24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13</w:t>
            </w:r>
            <w:r>
              <w:rPr>
                <w:rFonts w:ascii="Times New Roman" w:hAnsi="Times New Roman" w:eastAsia="Times New Roman" w:cs="Times New Roman"/>
                <w:sz w:val="20"/>
                <w:szCs w:val="20"/>
              </w:rPr>
              <w:t>0 32</w:t>
            </w:r>
          </w:p>
        </w:tc>
        <w:tc>
          <w:tcPr>
            <w:tcW w:w="1029" w:type="dxa"/>
            <w:vAlign w:val="top"/>
          </w:tcPr>
          <w:p w14:paraId="7F25D3F7">
            <w:pPr>
              <w:spacing w:before="88" w:line="195" w:lineRule="auto"/>
              <w:ind w:left="24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13</w:t>
            </w:r>
            <w:r>
              <w:rPr>
                <w:rFonts w:ascii="Times New Roman" w:hAnsi="Times New Roman" w:eastAsia="Times New Roman" w:cs="Times New Roman"/>
                <w:sz w:val="20"/>
                <w:szCs w:val="20"/>
              </w:rPr>
              <w:t>3 68</w:t>
            </w:r>
          </w:p>
        </w:tc>
        <w:tc>
          <w:tcPr>
            <w:tcW w:w="1030" w:type="dxa"/>
            <w:vAlign w:val="top"/>
          </w:tcPr>
          <w:p w14:paraId="6474AFC8">
            <w:pPr>
              <w:spacing w:before="88" w:line="195" w:lineRule="auto"/>
              <w:ind w:left="24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16</w:t>
            </w:r>
            <w:r>
              <w:rPr>
                <w:rFonts w:ascii="Times New Roman" w:hAnsi="Times New Roman" w:eastAsia="Times New Roman" w:cs="Times New Roman"/>
                <w:sz w:val="20"/>
                <w:szCs w:val="20"/>
              </w:rPr>
              <w:t>8 38</w:t>
            </w:r>
          </w:p>
        </w:tc>
        <w:tc>
          <w:tcPr>
            <w:tcW w:w="1034" w:type="dxa"/>
            <w:tcBorders>
              <w:right w:val="nil"/>
            </w:tcBorders>
            <w:vAlign w:val="top"/>
          </w:tcPr>
          <w:p w14:paraId="6FCDDB86">
            <w:pPr>
              <w:spacing w:before="88" w:line="195" w:lineRule="auto"/>
              <w:ind w:left="25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16</w:t>
            </w:r>
            <w:r>
              <w:rPr>
                <w:rFonts w:ascii="Times New Roman" w:hAnsi="Times New Roman" w:eastAsia="Times New Roman" w:cs="Times New Roman"/>
                <w:sz w:val="20"/>
                <w:szCs w:val="20"/>
              </w:rPr>
              <w:t>4 06</w:t>
            </w:r>
          </w:p>
        </w:tc>
      </w:tr>
      <w:tr w14:paraId="28F316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1165" w:type="dxa"/>
            <w:tcBorders>
              <w:left w:val="nil"/>
            </w:tcBorders>
            <w:vAlign w:val="top"/>
          </w:tcPr>
          <w:p w14:paraId="4BEFA1CB">
            <w:pPr>
              <w:spacing w:before="82" w:line="229" w:lineRule="auto"/>
              <w:ind w:left="172"/>
              <w:rPr>
                <w:rFonts w:ascii="宋体" w:hAnsi="宋体" w:eastAsia="宋体" w:cs="宋体"/>
                <w:sz w:val="20"/>
                <w:szCs w:val="20"/>
              </w:rPr>
            </w:pPr>
            <w:r>
              <w:rPr>
                <w:rFonts w:ascii="宋体" w:hAnsi="宋体" w:eastAsia="宋体" w:cs="宋体"/>
                <w:spacing w:val="7"/>
                <w:sz w:val="20"/>
                <w:szCs w:val="20"/>
              </w:rPr>
              <w:t>亚硝酸</w:t>
            </w:r>
            <w:r>
              <w:rPr>
                <w:rFonts w:ascii="宋体" w:hAnsi="宋体" w:eastAsia="宋体" w:cs="宋体"/>
                <w:spacing w:val="6"/>
                <w:sz w:val="20"/>
                <w:szCs w:val="20"/>
              </w:rPr>
              <w:t>盐</w:t>
            </w:r>
          </w:p>
        </w:tc>
        <w:tc>
          <w:tcPr>
            <w:tcW w:w="1016" w:type="dxa"/>
            <w:vAlign w:val="top"/>
          </w:tcPr>
          <w:p w14:paraId="3492B691">
            <w:pPr>
              <w:spacing w:before="44" w:line="281" w:lineRule="exact"/>
              <w:ind w:left="280"/>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029" w:type="dxa"/>
            <w:vAlign w:val="top"/>
          </w:tcPr>
          <w:p w14:paraId="3846A50E">
            <w:pPr>
              <w:spacing w:before="118" w:line="195" w:lineRule="auto"/>
              <w:ind w:left="28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.006</w:t>
            </w:r>
          </w:p>
        </w:tc>
        <w:tc>
          <w:tcPr>
            <w:tcW w:w="1030" w:type="dxa"/>
            <w:vAlign w:val="top"/>
          </w:tcPr>
          <w:p w14:paraId="24CBDC24">
            <w:pPr>
              <w:spacing w:before="118" w:line="195" w:lineRule="auto"/>
              <w:ind w:left="28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.008</w:t>
            </w:r>
          </w:p>
        </w:tc>
        <w:tc>
          <w:tcPr>
            <w:tcW w:w="1029" w:type="dxa"/>
            <w:vAlign w:val="top"/>
          </w:tcPr>
          <w:p w14:paraId="0AD88715">
            <w:pPr>
              <w:spacing w:before="118" w:line="195" w:lineRule="auto"/>
              <w:ind w:left="28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w:t>
            </w:r>
            <w:r>
              <w:rPr>
                <w:rFonts w:ascii="Times New Roman" w:hAnsi="Times New Roman" w:eastAsia="Times New Roman" w:cs="Times New Roman"/>
                <w:spacing w:val="2"/>
                <w:sz w:val="20"/>
                <w:szCs w:val="20"/>
              </w:rPr>
              <w:t>2</w:t>
            </w:r>
          </w:p>
        </w:tc>
        <w:tc>
          <w:tcPr>
            <w:tcW w:w="1029" w:type="dxa"/>
            <w:vAlign w:val="top"/>
          </w:tcPr>
          <w:p w14:paraId="2A52FAAB">
            <w:pPr>
              <w:spacing w:before="118" w:line="195"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w:t>
            </w:r>
            <w:r>
              <w:rPr>
                <w:rFonts w:ascii="Times New Roman" w:hAnsi="Times New Roman" w:eastAsia="Times New Roman" w:cs="Times New Roman"/>
                <w:spacing w:val="2"/>
                <w:sz w:val="20"/>
                <w:szCs w:val="20"/>
              </w:rPr>
              <w:t>1</w:t>
            </w:r>
          </w:p>
        </w:tc>
        <w:tc>
          <w:tcPr>
            <w:tcW w:w="1030" w:type="dxa"/>
            <w:vAlign w:val="top"/>
          </w:tcPr>
          <w:p w14:paraId="51627D76">
            <w:pPr>
              <w:spacing w:before="118" w:line="195"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w:t>
            </w:r>
            <w:r>
              <w:rPr>
                <w:rFonts w:ascii="Times New Roman" w:hAnsi="Times New Roman" w:eastAsia="Times New Roman" w:cs="Times New Roman"/>
                <w:spacing w:val="2"/>
                <w:sz w:val="20"/>
                <w:szCs w:val="20"/>
              </w:rPr>
              <w:t>6</w:t>
            </w:r>
          </w:p>
        </w:tc>
        <w:tc>
          <w:tcPr>
            <w:tcW w:w="1034" w:type="dxa"/>
            <w:tcBorders>
              <w:right w:val="nil"/>
            </w:tcBorders>
            <w:vAlign w:val="top"/>
          </w:tcPr>
          <w:p w14:paraId="2B111382">
            <w:pPr>
              <w:spacing w:before="118" w:line="195" w:lineRule="auto"/>
              <w:ind w:left="28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w:t>
            </w:r>
            <w:r>
              <w:rPr>
                <w:rFonts w:ascii="Times New Roman" w:hAnsi="Times New Roman" w:eastAsia="Times New Roman" w:cs="Times New Roman"/>
                <w:spacing w:val="2"/>
                <w:sz w:val="20"/>
                <w:szCs w:val="20"/>
              </w:rPr>
              <w:t>7</w:t>
            </w:r>
          </w:p>
        </w:tc>
      </w:tr>
      <w:tr w14:paraId="560A6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65" w:type="dxa"/>
            <w:tcBorders>
              <w:left w:val="nil"/>
            </w:tcBorders>
            <w:vAlign w:val="top"/>
          </w:tcPr>
          <w:p w14:paraId="1AAE02D5">
            <w:pPr>
              <w:spacing w:before="52" w:line="229" w:lineRule="auto"/>
              <w:ind w:left="279"/>
              <w:rPr>
                <w:rFonts w:ascii="宋体" w:hAnsi="宋体" w:eastAsia="宋体" w:cs="宋体"/>
                <w:sz w:val="20"/>
                <w:szCs w:val="20"/>
              </w:rPr>
            </w:pPr>
            <w:r>
              <w:rPr>
                <w:rFonts w:ascii="宋体" w:hAnsi="宋体" w:eastAsia="宋体" w:cs="宋体"/>
                <w:spacing w:val="6"/>
                <w:sz w:val="20"/>
                <w:szCs w:val="20"/>
              </w:rPr>
              <w:t>氯化</w:t>
            </w:r>
            <w:r>
              <w:rPr>
                <w:rFonts w:ascii="宋体" w:hAnsi="宋体" w:eastAsia="宋体" w:cs="宋体"/>
                <w:spacing w:val="5"/>
                <w:sz w:val="20"/>
                <w:szCs w:val="20"/>
              </w:rPr>
              <w:t>物</w:t>
            </w:r>
          </w:p>
        </w:tc>
        <w:tc>
          <w:tcPr>
            <w:tcW w:w="1016" w:type="dxa"/>
            <w:vAlign w:val="top"/>
          </w:tcPr>
          <w:p w14:paraId="5C0F8D6E">
            <w:pPr>
              <w:spacing w:before="15" w:line="281" w:lineRule="exact"/>
              <w:ind w:left="280"/>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029" w:type="dxa"/>
            <w:vAlign w:val="top"/>
          </w:tcPr>
          <w:p w14:paraId="41B86876">
            <w:pPr>
              <w:spacing w:before="88" w:line="195" w:lineRule="auto"/>
              <w:ind w:left="30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w:t>
            </w:r>
            <w:r>
              <w:rPr>
                <w:rFonts w:ascii="Times New Roman" w:hAnsi="Times New Roman" w:eastAsia="Times New Roman" w:cs="Times New Roman"/>
                <w:sz w:val="20"/>
                <w:szCs w:val="20"/>
              </w:rPr>
              <w:t>7.50</w:t>
            </w:r>
          </w:p>
        </w:tc>
        <w:tc>
          <w:tcPr>
            <w:tcW w:w="1030" w:type="dxa"/>
            <w:vAlign w:val="top"/>
          </w:tcPr>
          <w:p w14:paraId="652D31FE">
            <w:pPr>
              <w:spacing w:before="88" w:line="195" w:lineRule="auto"/>
              <w:ind w:left="30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w:t>
            </w:r>
            <w:r>
              <w:rPr>
                <w:rFonts w:ascii="Times New Roman" w:hAnsi="Times New Roman" w:eastAsia="Times New Roman" w:cs="Times New Roman"/>
                <w:sz w:val="20"/>
                <w:szCs w:val="20"/>
              </w:rPr>
              <w:t>8.69</w:t>
            </w:r>
          </w:p>
        </w:tc>
        <w:tc>
          <w:tcPr>
            <w:tcW w:w="1029" w:type="dxa"/>
            <w:vAlign w:val="top"/>
          </w:tcPr>
          <w:p w14:paraId="659F7A18">
            <w:pPr>
              <w:spacing w:before="88" w:line="198" w:lineRule="auto"/>
              <w:ind w:left="3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11.88</w:t>
            </w:r>
          </w:p>
        </w:tc>
        <w:tc>
          <w:tcPr>
            <w:tcW w:w="1029" w:type="dxa"/>
            <w:vAlign w:val="top"/>
          </w:tcPr>
          <w:p w14:paraId="0283C8B8">
            <w:pPr>
              <w:spacing w:before="88" w:line="198" w:lineRule="auto"/>
              <w:ind w:left="30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w:t>
            </w:r>
            <w:r>
              <w:rPr>
                <w:rFonts w:ascii="Times New Roman" w:hAnsi="Times New Roman" w:eastAsia="Times New Roman" w:cs="Times New Roman"/>
                <w:sz w:val="20"/>
                <w:szCs w:val="20"/>
              </w:rPr>
              <w:t>09</w:t>
            </w:r>
          </w:p>
        </w:tc>
        <w:tc>
          <w:tcPr>
            <w:tcW w:w="1030" w:type="dxa"/>
            <w:vAlign w:val="top"/>
          </w:tcPr>
          <w:p w14:paraId="3D03BABA">
            <w:pPr>
              <w:spacing w:before="88" w:line="195" w:lineRule="auto"/>
              <w:ind w:left="30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19.</w:t>
            </w:r>
            <w:r>
              <w:rPr>
                <w:rFonts w:ascii="Times New Roman" w:hAnsi="Times New Roman" w:eastAsia="Times New Roman" w:cs="Times New Roman"/>
                <w:sz w:val="20"/>
                <w:szCs w:val="20"/>
              </w:rPr>
              <w:t>51</w:t>
            </w:r>
          </w:p>
        </w:tc>
        <w:tc>
          <w:tcPr>
            <w:tcW w:w="1034" w:type="dxa"/>
            <w:tcBorders>
              <w:right w:val="nil"/>
            </w:tcBorders>
            <w:vAlign w:val="top"/>
          </w:tcPr>
          <w:p w14:paraId="419AB262">
            <w:pPr>
              <w:spacing w:before="88" w:line="195" w:lineRule="auto"/>
              <w:ind w:left="30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18.</w:t>
            </w:r>
            <w:r>
              <w:rPr>
                <w:rFonts w:ascii="Times New Roman" w:hAnsi="Times New Roman" w:eastAsia="Times New Roman" w:cs="Times New Roman"/>
                <w:sz w:val="20"/>
                <w:szCs w:val="20"/>
              </w:rPr>
              <w:t>94</w:t>
            </w:r>
          </w:p>
        </w:tc>
      </w:tr>
      <w:tr w14:paraId="2E3239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65" w:type="dxa"/>
            <w:tcBorders>
              <w:left w:val="nil"/>
            </w:tcBorders>
            <w:vAlign w:val="top"/>
          </w:tcPr>
          <w:p w14:paraId="456BE368">
            <w:pPr>
              <w:spacing w:before="52" w:line="228" w:lineRule="auto"/>
              <w:ind w:left="484"/>
              <w:rPr>
                <w:rFonts w:ascii="宋体" w:hAnsi="宋体" w:eastAsia="宋体" w:cs="宋体"/>
                <w:sz w:val="20"/>
                <w:szCs w:val="20"/>
              </w:rPr>
            </w:pPr>
            <w:r>
              <w:rPr>
                <w:rFonts w:ascii="宋体" w:hAnsi="宋体" w:eastAsia="宋体" w:cs="宋体"/>
                <w:sz w:val="20"/>
                <w:szCs w:val="20"/>
              </w:rPr>
              <w:t>钾</w:t>
            </w:r>
          </w:p>
        </w:tc>
        <w:tc>
          <w:tcPr>
            <w:tcW w:w="1016" w:type="dxa"/>
            <w:vAlign w:val="top"/>
          </w:tcPr>
          <w:p w14:paraId="604C8432">
            <w:pPr>
              <w:spacing w:before="17" w:line="281" w:lineRule="exact"/>
              <w:ind w:left="280"/>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029" w:type="dxa"/>
            <w:vAlign w:val="top"/>
          </w:tcPr>
          <w:p w14:paraId="0783D564">
            <w:pPr>
              <w:spacing w:before="88" w:line="198" w:lineRule="auto"/>
              <w:ind w:left="35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93</w:t>
            </w:r>
          </w:p>
        </w:tc>
        <w:tc>
          <w:tcPr>
            <w:tcW w:w="1030" w:type="dxa"/>
            <w:vAlign w:val="top"/>
          </w:tcPr>
          <w:p w14:paraId="0CD94FBE">
            <w:pPr>
              <w:spacing w:before="90" w:line="198" w:lineRule="auto"/>
              <w:ind w:left="33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.47</w:t>
            </w:r>
          </w:p>
        </w:tc>
        <w:tc>
          <w:tcPr>
            <w:tcW w:w="1029" w:type="dxa"/>
            <w:vAlign w:val="top"/>
          </w:tcPr>
          <w:p w14:paraId="1CFC3197">
            <w:pPr>
              <w:spacing w:before="88" w:line="198" w:lineRule="auto"/>
              <w:ind w:left="33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.61</w:t>
            </w:r>
          </w:p>
        </w:tc>
        <w:tc>
          <w:tcPr>
            <w:tcW w:w="1029" w:type="dxa"/>
            <w:vAlign w:val="top"/>
          </w:tcPr>
          <w:p w14:paraId="25EC85D1">
            <w:pPr>
              <w:spacing w:before="90" w:line="198" w:lineRule="auto"/>
              <w:ind w:left="33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.99</w:t>
            </w:r>
          </w:p>
        </w:tc>
        <w:tc>
          <w:tcPr>
            <w:tcW w:w="1030" w:type="dxa"/>
            <w:vAlign w:val="top"/>
          </w:tcPr>
          <w:p w14:paraId="2419B6F3">
            <w:pPr>
              <w:spacing w:before="88" w:line="195" w:lineRule="auto"/>
              <w:ind w:left="33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7</w:t>
            </w:r>
            <w:r>
              <w:rPr>
                <w:rFonts w:ascii="Times New Roman" w:hAnsi="Times New Roman" w:eastAsia="Times New Roman" w:cs="Times New Roman"/>
                <w:spacing w:val="2"/>
                <w:sz w:val="20"/>
                <w:szCs w:val="20"/>
              </w:rPr>
              <w:t>.93</w:t>
            </w:r>
          </w:p>
        </w:tc>
        <w:tc>
          <w:tcPr>
            <w:tcW w:w="1034" w:type="dxa"/>
            <w:tcBorders>
              <w:right w:val="nil"/>
            </w:tcBorders>
            <w:vAlign w:val="top"/>
          </w:tcPr>
          <w:p w14:paraId="34A3C1CD">
            <w:pPr>
              <w:spacing w:before="90" w:line="195" w:lineRule="auto"/>
              <w:ind w:left="34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w:t>
            </w:r>
            <w:r>
              <w:rPr>
                <w:rFonts w:ascii="Times New Roman" w:hAnsi="Times New Roman" w:eastAsia="Times New Roman" w:cs="Times New Roman"/>
                <w:spacing w:val="1"/>
                <w:sz w:val="20"/>
                <w:szCs w:val="20"/>
              </w:rPr>
              <w:t>.04</w:t>
            </w:r>
          </w:p>
        </w:tc>
      </w:tr>
      <w:tr w14:paraId="3E1E9A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65" w:type="dxa"/>
            <w:tcBorders>
              <w:left w:val="nil"/>
            </w:tcBorders>
            <w:vAlign w:val="top"/>
          </w:tcPr>
          <w:p w14:paraId="11B66FA8">
            <w:pPr>
              <w:spacing w:before="54" w:line="230" w:lineRule="auto"/>
              <w:ind w:left="484"/>
              <w:rPr>
                <w:rFonts w:ascii="宋体" w:hAnsi="宋体" w:eastAsia="宋体" w:cs="宋体"/>
                <w:sz w:val="20"/>
                <w:szCs w:val="20"/>
              </w:rPr>
            </w:pPr>
            <w:r>
              <w:rPr>
                <w:rFonts w:ascii="宋体" w:hAnsi="宋体" w:eastAsia="宋体" w:cs="宋体"/>
                <w:spacing w:val="1"/>
                <w:sz w:val="20"/>
                <w:szCs w:val="20"/>
              </w:rPr>
              <w:t>钙</w:t>
            </w:r>
          </w:p>
        </w:tc>
        <w:tc>
          <w:tcPr>
            <w:tcW w:w="1016" w:type="dxa"/>
            <w:vAlign w:val="top"/>
          </w:tcPr>
          <w:p w14:paraId="58CB4DB1">
            <w:pPr>
              <w:spacing w:before="16" w:line="281" w:lineRule="exact"/>
              <w:ind w:left="280"/>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029" w:type="dxa"/>
            <w:vAlign w:val="top"/>
          </w:tcPr>
          <w:p w14:paraId="37E86BD7">
            <w:pPr>
              <w:spacing w:before="90" w:line="198" w:lineRule="auto"/>
              <w:ind w:left="24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w:t>
            </w:r>
            <w:r>
              <w:rPr>
                <w:rFonts w:ascii="Times New Roman" w:hAnsi="Times New Roman" w:eastAsia="Times New Roman" w:cs="Times New Roman"/>
                <w:sz w:val="20"/>
                <w:szCs w:val="20"/>
              </w:rPr>
              <w:t>1.62</w:t>
            </w:r>
          </w:p>
        </w:tc>
        <w:tc>
          <w:tcPr>
            <w:tcW w:w="1030" w:type="dxa"/>
            <w:vAlign w:val="top"/>
          </w:tcPr>
          <w:p w14:paraId="31BCEBB1">
            <w:pPr>
              <w:spacing w:before="90" w:line="195" w:lineRule="auto"/>
              <w:ind w:left="252"/>
              <w:rPr>
                <w:rFonts w:ascii="Times New Roman" w:hAnsi="Times New Roman" w:eastAsia="Times New Roman" w:cs="Times New Roman"/>
                <w:sz w:val="20"/>
                <w:szCs w:val="20"/>
              </w:rPr>
            </w:pPr>
            <w:r>
              <w:rPr>
                <w:rFonts w:ascii="Times New Roman" w:hAnsi="Times New Roman" w:eastAsia="Times New Roman" w:cs="Times New Roman"/>
                <w:spacing w:val="-13"/>
                <w:sz w:val="20"/>
                <w:szCs w:val="20"/>
              </w:rPr>
              <w:t>1</w:t>
            </w:r>
            <w:r>
              <w:rPr>
                <w:rFonts w:ascii="Times New Roman" w:hAnsi="Times New Roman" w:eastAsia="Times New Roman" w:cs="Times New Roman"/>
                <w:spacing w:val="-7"/>
                <w:sz w:val="20"/>
                <w:szCs w:val="20"/>
              </w:rPr>
              <w:t>17. 10</w:t>
            </w:r>
          </w:p>
        </w:tc>
        <w:tc>
          <w:tcPr>
            <w:tcW w:w="1029" w:type="dxa"/>
            <w:vAlign w:val="top"/>
          </w:tcPr>
          <w:p w14:paraId="522A95BE">
            <w:pPr>
              <w:spacing w:before="90" w:line="198" w:lineRule="auto"/>
              <w:ind w:left="25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112.7</w:t>
            </w:r>
            <w:r>
              <w:rPr>
                <w:rFonts w:ascii="Times New Roman" w:hAnsi="Times New Roman" w:eastAsia="Times New Roman" w:cs="Times New Roman"/>
                <w:sz w:val="20"/>
                <w:szCs w:val="20"/>
              </w:rPr>
              <w:t>3</w:t>
            </w:r>
          </w:p>
        </w:tc>
        <w:tc>
          <w:tcPr>
            <w:tcW w:w="1029" w:type="dxa"/>
            <w:vAlign w:val="top"/>
          </w:tcPr>
          <w:p w14:paraId="29B29747">
            <w:pPr>
              <w:spacing w:before="90" w:line="195" w:lineRule="auto"/>
              <w:ind w:left="25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113.3</w:t>
            </w:r>
            <w:r>
              <w:rPr>
                <w:rFonts w:ascii="Times New Roman" w:hAnsi="Times New Roman" w:eastAsia="Times New Roman" w:cs="Times New Roman"/>
                <w:sz w:val="20"/>
                <w:szCs w:val="20"/>
              </w:rPr>
              <w:t>1</w:t>
            </w:r>
          </w:p>
        </w:tc>
        <w:tc>
          <w:tcPr>
            <w:tcW w:w="1030" w:type="dxa"/>
            <w:vAlign w:val="top"/>
          </w:tcPr>
          <w:p w14:paraId="0DCD43B2">
            <w:pPr>
              <w:spacing w:before="90" w:line="195" w:lineRule="auto"/>
              <w:ind w:left="24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13</w:t>
            </w:r>
            <w:r>
              <w:rPr>
                <w:rFonts w:ascii="Times New Roman" w:hAnsi="Times New Roman" w:eastAsia="Times New Roman" w:cs="Times New Roman"/>
                <w:sz w:val="20"/>
                <w:szCs w:val="20"/>
              </w:rPr>
              <w:t>7.38</w:t>
            </w:r>
          </w:p>
        </w:tc>
        <w:tc>
          <w:tcPr>
            <w:tcW w:w="1034" w:type="dxa"/>
            <w:tcBorders>
              <w:right w:val="nil"/>
            </w:tcBorders>
            <w:vAlign w:val="top"/>
          </w:tcPr>
          <w:p w14:paraId="3FE3ADB7">
            <w:pPr>
              <w:spacing w:before="90" w:line="195" w:lineRule="auto"/>
              <w:ind w:left="25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13</w:t>
            </w:r>
            <w:r>
              <w:rPr>
                <w:rFonts w:ascii="Times New Roman" w:hAnsi="Times New Roman" w:eastAsia="Times New Roman" w:cs="Times New Roman"/>
                <w:sz w:val="20"/>
                <w:szCs w:val="20"/>
              </w:rPr>
              <w:t>8.34</w:t>
            </w:r>
          </w:p>
        </w:tc>
      </w:tr>
      <w:tr w14:paraId="414CC9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65" w:type="dxa"/>
            <w:tcBorders>
              <w:left w:val="nil"/>
            </w:tcBorders>
            <w:vAlign w:val="top"/>
          </w:tcPr>
          <w:p w14:paraId="28DF7B90">
            <w:pPr>
              <w:spacing w:before="54" w:line="229" w:lineRule="auto"/>
              <w:ind w:left="484"/>
              <w:rPr>
                <w:rFonts w:ascii="宋体" w:hAnsi="宋体" w:eastAsia="宋体" w:cs="宋体"/>
                <w:sz w:val="20"/>
                <w:szCs w:val="20"/>
              </w:rPr>
            </w:pPr>
            <w:r>
              <w:rPr>
                <w:rFonts w:ascii="宋体" w:hAnsi="宋体" w:eastAsia="宋体" w:cs="宋体"/>
                <w:spacing w:val="1"/>
                <w:sz w:val="20"/>
                <w:szCs w:val="20"/>
              </w:rPr>
              <w:t>钠</w:t>
            </w:r>
          </w:p>
        </w:tc>
        <w:tc>
          <w:tcPr>
            <w:tcW w:w="1016" w:type="dxa"/>
            <w:vAlign w:val="top"/>
          </w:tcPr>
          <w:p w14:paraId="25B52EFF">
            <w:pPr>
              <w:spacing w:before="17" w:line="281" w:lineRule="exact"/>
              <w:ind w:left="280"/>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029" w:type="dxa"/>
            <w:vAlign w:val="top"/>
          </w:tcPr>
          <w:p w14:paraId="531D72F3">
            <w:pPr>
              <w:spacing w:before="91" w:line="195" w:lineRule="auto"/>
              <w:ind w:left="300"/>
              <w:rPr>
                <w:rFonts w:ascii="Times New Roman" w:hAnsi="Times New Roman" w:eastAsia="Times New Roman" w:cs="Times New Roman"/>
                <w:sz w:val="20"/>
                <w:szCs w:val="20"/>
              </w:rPr>
            </w:pPr>
            <w:r>
              <w:rPr>
                <w:rFonts w:ascii="Times New Roman" w:hAnsi="Times New Roman" w:eastAsia="Times New Roman" w:cs="Times New Roman"/>
                <w:spacing w:val="-11"/>
                <w:sz w:val="20"/>
                <w:szCs w:val="20"/>
              </w:rPr>
              <w:t>1</w:t>
            </w:r>
            <w:r>
              <w:rPr>
                <w:rFonts w:ascii="Times New Roman" w:hAnsi="Times New Roman" w:eastAsia="Times New Roman" w:cs="Times New Roman"/>
                <w:spacing w:val="-8"/>
                <w:sz w:val="20"/>
                <w:szCs w:val="20"/>
              </w:rPr>
              <w:t>6. 10</w:t>
            </w:r>
          </w:p>
        </w:tc>
        <w:tc>
          <w:tcPr>
            <w:tcW w:w="1030" w:type="dxa"/>
            <w:vAlign w:val="top"/>
          </w:tcPr>
          <w:p w14:paraId="21E782AA">
            <w:pPr>
              <w:spacing w:before="91" w:line="195" w:lineRule="auto"/>
              <w:ind w:left="30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w:t>
            </w:r>
            <w:r>
              <w:rPr>
                <w:rFonts w:ascii="Times New Roman" w:hAnsi="Times New Roman" w:eastAsia="Times New Roman" w:cs="Times New Roman"/>
                <w:sz w:val="20"/>
                <w:szCs w:val="20"/>
              </w:rPr>
              <w:t>6.26</w:t>
            </w:r>
          </w:p>
        </w:tc>
        <w:tc>
          <w:tcPr>
            <w:tcW w:w="1029" w:type="dxa"/>
            <w:vAlign w:val="top"/>
          </w:tcPr>
          <w:p w14:paraId="43B2BF8A">
            <w:pPr>
              <w:spacing w:before="90" w:line="195" w:lineRule="auto"/>
              <w:ind w:left="30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17.</w:t>
            </w:r>
            <w:r>
              <w:rPr>
                <w:rFonts w:ascii="Times New Roman" w:hAnsi="Times New Roman" w:eastAsia="Times New Roman" w:cs="Times New Roman"/>
                <w:sz w:val="20"/>
                <w:szCs w:val="20"/>
              </w:rPr>
              <w:t>24</w:t>
            </w:r>
          </w:p>
        </w:tc>
        <w:tc>
          <w:tcPr>
            <w:tcW w:w="1029" w:type="dxa"/>
            <w:vAlign w:val="top"/>
          </w:tcPr>
          <w:p w14:paraId="408E2AC2">
            <w:pPr>
              <w:spacing w:before="91" w:line="195" w:lineRule="auto"/>
              <w:ind w:left="30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15.</w:t>
            </w:r>
            <w:r>
              <w:rPr>
                <w:rFonts w:ascii="Times New Roman" w:hAnsi="Times New Roman" w:eastAsia="Times New Roman" w:cs="Times New Roman"/>
                <w:sz w:val="20"/>
                <w:szCs w:val="20"/>
              </w:rPr>
              <w:t>78</w:t>
            </w:r>
          </w:p>
        </w:tc>
        <w:tc>
          <w:tcPr>
            <w:tcW w:w="1030" w:type="dxa"/>
            <w:vAlign w:val="top"/>
          </w:tcPr>
          <w:p w14:paraId="3555CD25">
            <w:pPr>
              <w:spacing w:before="90" w:line="198" w:lineRule="auto"/>
              <w:ind w:left="281"/>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4.32</w:t>
            </w:r>
          </w:p>
        </w:tc>
        <w:tc>
          <w:tcPr>
            <w:tcW w:w="1034" w:type="dxa"/>
            <w:tcBorders>
              <w:right w:val="nil"/>
            </w:tcBorders>
            <w:vAlign w:val="top"/>
          </w:tcPr>
          <w:p w14:paraId="394E2DC0">
            <w:pPr>
              <w:spacing w:before="91" w:line="195" w:lineRule="auto"/>
              <w:ind w:left="28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3.84</w:t>
            </w:r>
          </w:p>
        </w:tc>
      </w:tr>
      <w:tr w14:paraId="6DFD2A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65" w:type="dxa"/>
            <w:tcBorders>
              <w:left w:val="nil"/>
            </w:tcBorders>
            <w:vAlign w:val="top"/>
          </w:tcPr>
          <w:p w14:paraId="07F27364">
            <w:pPr>
              <w:spacing w:before="54" w:line="230" w:lineRule="auto"/>
              <w:ind w:left="484"/>
              <w:rPr>
                <w:rFonts w:ascii="宋体" w:hAnsi="宋体" w:eastAsia="宋体" w:cs="宋体"/>
                <w:sz w:val="20"/>
                <w:szCs w:val="20"/>
              </w:rPr>
            </w:pPr>
            <w:r>
              <w:rPr>
                <w:rFonts w:ascii="宋体" w:hAnsi="宋体" w:eastAsia="宋体" w:cs="宋体"/>
                <w:spacing w:val="1"/>
                <w:sz w:val="20"/>
                <w:szCs w:val="20"/>
              </w:rPr>
              <w:t>镁</w:t>
            </w:r>
          </w:p>
        </w:tc>
        <w:tc>
          <w:tcPr>
            <w:tcW w:w="1016" w:type="dxa"/>
            <w:vAlign w:val="top"/>
          </w:tcPr>
          <w:p w14:paraId="2B46CA4C">
            <w:pPr>
              <w:spacing w:before="16" w:line="281" w:lineRule="exact"/>
              <w:ind w:left="280"/>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029" w:type="dxa"/>
            <w:vAlign w:val="top"/>
          </w:tcPr>
          <w:p w14:paraId="111717A4">
            <w:pPr>
              <w:spacing w:before="90" w:line="198"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22.5</w:t>
            </w:r>
            <w:r>
              <w:rPr>
                <w:rFonts w:ascii="Times New Roman" w:hAnsi="Times New Roman" w:eastAsia="Times New Roman" w:cs="Times New Roman"/>
                <w:spacing w:val="3"/>
                <w:sz w:val="20"/>
                <w:szCs w:val="20"/>
              </w:rPr>
              <w:t>9</w:t>
            </w:r>
          </w:p>
        </w:tc>
        <w:tc>
          <w:tcPr>
            <w:tcW w:w="1030" w:type="dxa"/>
            <w:vAlign w:val="top"/>
          </w:tcPr>
          <w:p w14:paraId="727E50C9">
            <w:pPr>
              <w:spacing w:before="90" w:line="198"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22.6</w:t>
            </w:r>
            <w:r>
              <w:rPr>
                <w:rFonts w:ascii="Times New Roman" w:hAnsi="Times New Roman" w:eastAsia="Times New Roman" w:cs="Times New Roman"/>
                <w:spacing w:val="3"/>
                <w:sz w:val="20"/>
                <w:szCs w:val="20"/>
              </w:rPr>
              <w:t>7</w:t>
            </w:r>
          </w:p>
        </w:tc>
        <w:tc>
          <w:tcPr>
            <w:tcW w:w="1029" w:type="dxa"/>
            <w:vAlign w:val="top"/>
          </w:tcPr>
          <w:p w14:paraId="4136C114">
            <w:pPr>
              <w:spacing w:before="90" w:line="195"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3</w:t>
            </w: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.23</w:t>
            </w:r>
          </w:p>
        </w:tc>
        <w:tc>
          <w:tcPr>
            <w:tcW w:w="1029" w:type="dxa"/>
            <w:vAlign w:val="top"/>
          </w:tcPr>
          <w:p w14:paraId="215F1DA0">
            <w:pPr>
              <w:spacing w:before="90" w:line="195" w:lineRule="auto"/>
              <w:ind w:left="28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3</w:t>
            </w: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.33</w:t>
            </w:r>
          </w:p>
        </w:tc>
        <w:tc>
          <w:tcPr>
            <w:tcW w:w="1030" w:type="dxa"/>
            <w:vAlign w:val="top"/>
          </w:tcPr>
          <w:p w14:paraId="430B378B">
            <w:pPr>
              <w:spacing w:before="90" w:line="195" w:lineRule="auto"/>
              <w:ind w:left="281"/>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8.03</w:t>
            </w:r>
          </w:p>
        </w:tc>
        <w:tc>
          <w:tcPr>
            <w:tcW w:w="1034" w:type="dxa"/>
            <w:tcBorders>
              <w:right w:val="nil"/>
            </w:tcBorders>
            <w:vAlign w:val="top"/>
          </w:tcPr>
          <w:p w14:paraId="132C777C">
            <w:pPr>
              <w:spacing w:before="90" w:line="195" w:lineRule="auto"/>
              <w:ind w:left="28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6.76</w:t>
            </w:r>
          </w:p>
        </w:tc>
      </w:tr>
      <w:tr w14:paraId="232912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65" w:type="dxa"/>
            <w:tcBorders>
              <w:left w:val="nil"/>
            </w:tcBorders>
            <w:vAlign w:val="top"/>
          </w:tcPr>
          <w:p w14:paraId="4D0206E8">
            <w:pPr>
              <w:spacing w:before="54" w:line="228" w:lineRule="auto"/>
              <w:ind w:left="276"/>
              <w:rPr>
                <w:rFonts w:ascii="宋体" w:hAnsi="宋体" w:eastAsia="宋体" w:cs="宋体"/>
                <w:sz w:val="20"/>
                <w:szCs w:val="20"/>
              </w:rPr>
            </w:pPr>
            <w:r>
              <w:rPr>
                <w:rFonts w:ascii="宋体" w:hAnsi="宋体" w:eastAsia="宋体" w:cs="宋体"/>
                <w:spacing w:val="7"/>
                <w:sz w:val="20"/>
                <w:szCs w:val="20"/>
              </w:rPr>
              <w:t>碳酸</w:t>
            </w:r>
            <w:r>
              <w:rPr>
                <w:rFonts w:ascii="宋体" w:hAnsi="宋体" w:eastAsia="宋体" w:cs="宋体"/>
                <w:spacing w:val="6"/>
                <w:sz w:val="20"/>
                <w:szCs w:val="20"/>
              </w:rPr>
              <w:t>根</w:t>
            </w:r>
          </w:p>
        </w:tc>
        <w:tc>
          <w:tcPr>
            <w:tcW w:w="1016" w:type="dxa"/>
            <w:vAlign w:val="top"/>
          </w:tcPr>
          <w:p w14:paraId="0B74EC05">
            <w:pPr>
              <w:spacing w:before="18" w:line="281" w:lineRule="exact"/>
              <w:ind w:left="280"/>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029" w:type="dxa"/>
            <w:vAlign w:val="top"/>
          </w:tcPr>
          <w:p w14:paraId="6116D277">
            <w:pPr>
              <w:spacing w:before="53" w:line="228" w:lineRule="auto"/>
              <w:ind w:left="207"/>
              <w:rPr>
                <w:rFonts w:ascii="宋体" w:hAnsi="宋体" w:eastAsia="宋体" w:cs="宋体"/>
                <w:sz w:val="20"/>
                <w:szCs w:val="20"/>
              </w:rPr>
            </w:pPr>
            <w:r>
              <w:rPr>
                <w:rFonts w:ascii="宋体" w:hAnsi="宋体" w:eastAsia="宋体" w:cs="宋体"/>
                <w:spacing w:val="6"/>
                <w:sz w:val="20"/>
                <w:szCs w:val="20"/>
              </w:rPr>
              <w:t>未检</w:t>
            </w:r>
            <w:r>
              <w:rPr>
                <w:rFonts w:ascii="宋体" w:hAnsi="宋体" w:eastAsia="宋体" w:cs="宋体"/>
                <w:spacing w:val="5"/>
                <w:sz w:val="20"/>
                <w:szCs w:val="20"/>
              </w:rPr>
              <w:t>出</w:t>
            </w:r>
          </w:p>
        </w:tc>
        <w:tc>
          <w:tcPr>
            <w:tcW w:w="1030" w:type="dxa"/>
            <w:vAlign w:val="top"/>
          </w:tcPr>
          <w:p w14:paraId="607F4056">
            <w:pPr>
              <w:spacing w:before="53" w:line="228" w:lineRule="auto"/>
              <w:ind w:left="208"/>
              <w:rPr>
                <w:rFonts w:ascii="宋体" w:hAnsi="宋体" w:eastAsia="宋体" w:cs="宋体"/>
                <w:sz w:val="20"/>
                <w:szCs w:val="20"/>
              </w:rPr>
            </w:pPr>
            <w:r>
              <w:rPr>
                <w:rFonts w:ascii="宋体" w:hAnsi="宋体" w:eastAsia="宋体" w:cs="宋体"/>
                <w:spacing w:val="6"/>
                <w:sz w:val="20"/>
                <w:szCs w:val="20"/>
              </w:rPr>
              <w:t>未检</w:t>
            </w:r>
            <w:r>
              <w:rPr>
                <w:rFonts w:ascii="宋体" w:hAnsi="宋体" w:eastAsia="宋体" w:cs="宋体"/>
                <w:spacing w:val="5"/>
                <w:sz w:val="20"/>
                <w:szCs w:val="20"/>
              </w:rPr>
              <w:t>出</w:t>
            </w:r>
          </w:p>
        </w:tc>
        <w:tc>
          <w:tcPr>
            <w:tcW w:w="1029" w:type="dxa"/>
            <w:vAlign w:val="top"/>
          </w:tcPr>
          <w:p w14:paraId="02731FA5">
            <w:pPr>
              <w:spacing w:before="53" w:line="228" w:lineRule="auto"/>
              <w:ind w:left="208"/>
              <w:rPr>
                <w:rFonts w:ascii="宋体" w:hAnsi="宋体" w:eastAsia="宋体" w:cs="宋体"/>
                <w:sz w:val="20"/>
                <w:szCs w:val="20"/>
              </w:rPr>
            </w:pPr>
            <w:r>
              <w:rPr>
                <w:rFonts w:ascii="宋体" w:hAnsi="宋体" w:eastAsia="宋体" w:cs="宋体"/>
                <w:spacing w:val="6"/>
                <w:sz w:val="20"/>
                <w:szCs w:val="20"/>
              </w:rPr>
              <w:t>未检</w:t>
            </w:r>
            <w:r>
              <w:rPr>
                <w:rFonts w:ascii="宋体" w:hAnsi="宋体" w:eastAsia="宋体" w:cs="宋体"/>
                <w:spacing w:val="5"/>
                <w:sz w:val="20"/>
                <w:szCs w:val="20"/>
              </w:rPr>
              <w:t>出</w:t>
            </w:r>
          </w:p>
        </w:tc>
        <w:tc>
          <w:tcPr>
            <w:tcW w:w="1029" w:type="dxa"/>
            <w:vAlign w:val="top"/>
          </w:tcPr>
          <w:p w14:paraId="1A0D59BB">
            <w:pPr>
              <w:spacing w:before="53" w:line="228" w:lineRule="auto"/>
              <w:ind w:left="208"/>
              <w:rPr>
                <w:rFonts w:ascii="宋体" w:hAnsi="宋体" w:eastAsia="宋体" w:cs="宋体"/>
                <w:sz w:val="20"/>
                <w:szCs w:val="20"/>
              </w:rPr>
            </w:pPr>
            <w:r>
              <w:rPr>
                <w:rFonts w:ascii="宋体" w:hAnsi="宋体" w:eastAsia="宋体" w:cs="宋体"/>
                <w:spacing w:val="6"/>
                <w:sz w:val="20"/>
                <w:szCs w:val="20"/>
              </w:rPr>
              <w:t>未检</w:t>
            </w:r>
            <w:r>
              <w:rPr>
                <w:rFonts w:ascii="宋体" w:hAnsi="宋体" w:eastAsia="宋体" w:cs="宋体"/>
                <w:spacing w:val="5"/>
                <w:sz w:val="20"/>
                <w:szCs w:val="20"/>
              </w:rPr>
              <w:t>出</w:t>
            </w:r>
          </w:p>
        </w:tc>
        <w:tc>
          <w:tcPr>
            <w:tcW w:w="1030" w:type="dxa"/>
            <w:vAlign w:val="top"/>
          </w:tcPr>
          <w:p w14:paraId="6BFD43D2">
            <w:pPr>
              <w:spacing w:before="53" w:line="228" w:lineRule="auto"/>
              <w:ind w:left="209"/>
              <w:rPr>
                <w:rFonts w:ascii="宋体" w:hAnsi="宋体" w:eastAsia="宋体" w:cs="宋体"/>
                <w:sz w:val="20"/>
                <w:szCs w:val="20"/>
              </w:rPr>
            </w:pPr>
            <w:r>
              <w:rPr>
                <w:rFonts w:ascii="宋体" w:hAnsi="宋体" w:eastAsia="宋体" w:cs="宋体"/>
                <w:spacing w:val="6"/>
                <w:sz w:val="20"/>
                <w:szCs w:val="20"/>
              </w:rPr>
              <w:t>未检</w:t>
            </w:r>
            <w:r>
              <w:rPr>
                <w:rFonts w:ascii="宋体" w:hAnsi="宋体" w:eastAsia="宋体" w:cs="宋体"/>
                <w:spacing w:val="5"/>
                <w:sz w:val="20"/>
                <w:szCs w:val="20"/>
              </w:rPr>
              <w:t>出</w:t>
            </w:r>
          </w:p>
        </w:tc>
        <w:tc>
          <w:tcPr>
            <w:tcW w:w="1034" w:type="dxa"/>
            <w:tcBorders>
              <w:right w:val="nil"/>
            </w:tcBorders>
            <w:vAlign w:val="top"/>
          </w:tcPr>
          <w:p w14:paraId="1F1DA0E5">
            <w:pPr>
              <w:spacing w:before="53" w:line="228" w:lineRule="auto"/>
              <w:ind w:left="211"/>
              <w:rPr>
                <w:rFonts w:ascii="宋体" w:hAnsi="宋体" w:eastAsia="宋体" w:cs="宋体"/>
                <w:sz w:val="20"/>
                <w:szCs w:val="20"/>
              </w:rPr>
            </w:pPr>
            <w:r>
              <w:rPr>
                <w:rFonts w:ascii="宋体" w:hAnsi="宋体" w:eastAsia="宋体" w:cs="宋体"/>
                <w:spacing w:val="6"/>
                <w:sz w:val="20"/>
                <w:szCs w:val="20"/>
              </w:rPr>
              <w:t>未检</w:t>
            </w:r>
            <w:r>
              <w:rPr>
                <w:rFonts w:ascii="宋体" w:hAnsi="宋体" w:eastAsia="宋体" w:cs="宋体"/>
                <w:spacing w:val="5"/>
                <w:sz w:val="20"/>
                <w:szCs w:val="20"/>
              </w:rPr>
              <w:t>出</w:t>
            </w:r>
          </w:p>
        </w:tc>
      </w:tr>
      <w:tr w14:paraId="4EB46D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65" w:type="dxa"/>
            <w:tcBorders>
              <w:left w:val="nil"/>
            </w:tcBorders>
            <w:vAlign w:val="top"/>
          </w:tcPr>
          <w:p w14:paraId="7E96AF5D">
            <w:pPr>
              <w:spacing w:before="54" w:line="228" w:lineRule="auto"/>
              <w:ind w:left="170"/>
              <w:rPr>
                <w:rFonts w:ascii="宋体" w:hAnsi="宋体" w:eastAsia="宋体" w:cs="宋体"/>
                <w:sz w:val="20"/>
                <w:szCs w:val="20"/>
              </w:rPr>
            </w:pPr>
            <w:r>
              <w:rPr>
                <w:rFonts w:ascii="宋体" w:hAnsi="宋体" w:eastAsia="宋体" w:cs="宋体"/>
                <w:spacing w:val="8"/>
                <w:sz w:val="20"/>
                <w:szCs w:val="20"/>
              </w:rPr>
              <w:t>碳</w:t>
            </w:r>
            <w:r>
              <w:rPr>
                <w:rFonts w:ascii="宋体" w:hAnsi="宋体" w:eastAsia="宋体" w:cs="宋体"/>
                <w:spacing w:val="7"/>
                <w:sz w:val="20"/>
                <w:szCs w:val="20"/>
              </w:rPr>
              <w:t>酸氢根</w:t>
            </w:r>
          </w:p>
        </w:tc>
        <w:tc>
          <w:tcPr>
            <w:tcW w:w="1016" w:type="dxa"/>
            <w:vAlign w:val="top"/>
          </w:tcPr>
          <w:p w14:paraId="4F796D9F">
            <w:pPr>
              <w:spacing w:before="18" w:line="281" w:lineRule="exact"/>
              <w:ind w:left="280"/>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029" w:type="dxa"/>
            <w:vAlign w:val="top"/>
          </w:tcPr>
          <w:p w14:paraId="55E4A34B">
            <w:pPr>
              <w:spacing w:before="92" w:line="195" w:lineRule="auto"/>
              <w:ind w:left="33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6</w:t>
            </w:r>
            <w:r>
              <w:rPr>
                <w:rFonts w:ascii="Times New Roman" w:hAnsi="Times New Roman" w:eastAsia="Times New Roman" w:cs="Times New Roman"/>
                <w:spacing w:val="3"/>
                <w:sz w:val="20"/>
                <w:szCs w:val="20"/>
              </w:rPr>
              <w:t>3.9</w:t>
            </w:r>
          </w:p>
        </w:tc>
        <w:tc>
          <w:tcPr>
            <w:tcW w:w="1030" w:type="dxa"/>
            <w:vAlign w:val="top"/>
          </w:tcPr>
          <w:p w14:paraId="1B0A4198">
            <w:pPr>
              <w:spacing w:before="92" w:line="195" w:lineRule="auto"/>
              <w:ind w:left="33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w:t>
            </w:r>
            <w:r>
              <w:rPr>
                <w:rFonts w:ascii="Times New Roman" w:hAnsi="Times New Roman" w:eastAsia="Times New Roman" w:cs="Times New Roman"/>
                <w:spacing w:val="2"/>
                <w:sz w:val="20"/>
                <w:szCs w:val="20"/>
              </w:rPr>
              <w:t>8.4</w:t>
            </w:r>
          </w:p>
        </w:tc>
        <w:tc>
          <w:tcPr>
            <w:tcW w:w="1029" w:type="dxa"/>
            <w:vAlign w:val="top"/>
          </w:tcPr>
          <w:p w14:paraId="43274208">
            <w:pPr>
              <w:spacing w:before="92" w:line="195" w:lineRule="auto"/>
              <w:ind w:left="337"/>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6</w:t>
            </w:r>
            <w:r>
              <w:rPr>
                <w:rFonts w:ascii="Times New Roman" w:hAnsi="Times New Roman" w:eastAsia="Times New Roman" w:cs="Times New Roman"/>
                <w:spacing w:val="4"/>
                <w:sz w:val="20"/>
                <w:szCs w:val="20"/>
              </w:rPr>
              <w:t>5.8</w:t>
            </w:r>
          </w:p>
        </w:tc>
        <w:tc>
          <w:tcPr>
            <w:tcW w:w="1029" w:type="dxa"/>
            <w:vAlign w:val="top"/>
          </w:tcPr>
          <w:p w14:paraId="57F73003">
            <w:pPr>
              <w:spacing w:before="92" w:line="195" w:lineRule="auto"/>
              <w:ind w:left="33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64.7</w:t>
            </w:r>
          </w:p>
        </w:tc>
        <w:tc>
          <w:tcPr>
            <w:tcW w:w="1030" w:type="dxa"/>
            <w:vAlign w:val="top"/>
          </w:tcPr>
          <w:p w14:paraId="5E431DCA">
            <w:pPr>
              <w:spacing w:before="92" w:line="195" w:lineRule="auto"/>
              <w:ind w:left="33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w:t>
            </w:r>
            <w:r>
              <w:rPr>
                <w:rFonts w:ascii="Times New Roman" w:hAnsi="Times New Roman" w:eastAsia="Times New Roman" w:cs="Times New Roman"/>
                <w:spacing w:val="2"/>
                <w:sz w:val="20"/>
                <w:szCs w:val="20"/>
              </w:rPr>
              <w:t>3.4</w:t>
            </w:r>
          </w:p>
        </w:tc>
        <w:tc>
          <w:tcPr>
            <w:tcW w:w="1034" w:type="dxa"/>
            <w:tcBorders>
              <w:right w:val="nil"/>
            </w:tcBorders>
            <w:vAlign w:val="top"/>
          </w:tcPr>
          <w:p w14:paraId="69300A78">
            <w:pPr>
              <w:spacing w:before="92" w:line="195" w:lineRule="auto"/>
              <w:ind w:left="338"/>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6</w:t>
            </w:r>
            <w:r>
              <w:rPr>
                <w:rFonts w:ascii="Times New Roman" w:hAnsi="Times New Roman" w:eastAsia="Times New Roman" w:cs="Times New Roman"/>
                <w:spacing w:val="4"/>
                <w:sz w:val="20"/>
                <w:szCs w:val="20"/>
              </w:rPr>
              <w:t>4.8</w:t>
            </w:r>
          </w:p>
        </w:tc>
      </w:tr>
      <w:tr w14:paraId="2D7116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65" w:type="dxa"/>
            <w:tcBorders>
              <w:left w:val="nil"/>
            </w:tcBorders>
            <w:vAlign w:val="top"/>
          </w:tcPr>
          <w:p w14:paraId="13B7B86A">
            <w:pPr>
              <w:spacing w:before="52" w:line="228" w:lineRule="auto"/>
              <w:ind w:left="174"/>
              <w:rPr>
                <w:rFonts w:ascii="宋体" w:hAnsi="宋体" w:eastAsia="宋体" w:cs="宋体"/>
                <w:sz w:val="20"/>
                <w:szCs w:val="20"/>
              </w:rPr>
            </w:pPr>
            <w:r>
              <w:rPr>
                <w:rFonts w:ascii="宋体" w:hAnsi="宋体" w:eastAsia="宋体" w:cs="宋体"/>
                <w:spacing w:val="7"/>
                <w:sz w:val="20"/>
                <w:szCs w:val="20"/>
              </w:rPr>
              <w:t>菌</w:t>
            </w:r>
            <w:r>
              <w:rPr>
                <w:rFonts w:ascii="宋体" w:hAnsi="宋体" w:eastAsia="宋体" w:cs="宋体"/>
                <w:spacing w:val="6"/>
                <w:sz w:val="20"/>
                <w:szCs w:val="20"/>
              </w:rPr>
              <w:t>落总数</w:t>
            </w:r>
          </w:p>
        </w:tc>
        <w:tc>
          <w:tcPr>
            <w:tcW w:w="1016" w:type="dxa"/>
            <w:vAlign w:val="top"/>
          </w:tcPr>
          <w:p w14:paraId="3E29D1C0">
            <w:pPr>
              <w:spacing w:before="18" w:line="281" w:lineRule="exact"/>
              <w:ind w:left="135"/>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CFU</w:t>
            </w:r>
            <w:r>
              <w:rPr>
                <w:rFonts w:ascii="Times New Roman" w:hAnsi="Times New Roman" w:eastAsia="Times New Roman" w:cs="Times New Roman"/>
                <w:spacing w:val="26"/>
                <w:position w:val="2"/>
                <w:sz w:val="20"/>
                <w:szCs w:val="20"/>
              </w:rPr>
              <w:t>/</w:t>
            </w:r>
            <w:r>
              <w:rPr>
                <w:rFonts w:ascii="Times New Roman" w:hAnsi="Times New Roman" w:eastAsia="Times New Roman" w:cs="Times New Roman"/>
                <w:position w:val="2"/>
                <w:sz w:val="20"/>
                <w:szCs w:val="20"/>
              </w:rPr>
              <w:t>mL</w:t>
            </w:r>
          </w:p>
        </w:tc>
        <w:tc>
          <w:tcPr>
            <w:tcW w:w="1029" w:type="dxa"/>
            <w:vAlign w:val="top"/>
          </w:tcPr>
          <w:p w14:paraId="7EE41D92">
            <w:pPr>
              <w:spacing w:before="91" w:line="195" w:lineRule="auto"/>
              <w:ind w:left="40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5</w:t>
            </w:r>
          </w:p>
        </w:tc>
        <w:tc>
          <w:tcPr>
            <w:tcW w:w="1030" w:type="dxa"/>
            <w:vAlign w:val="top"/>
          </w:tcPr>
          <w:p w14:paraId="42E723EF">
            <w:pPr>
              <w:spacing w:before="91" w:line="195" w:lineRule="auto"/>
              <w:ind w:left="41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3</w:t>
            </w:r>
          </w:p>
        </w:tc>
        <w:tc>
          <w:tcPr>
            <w:tcW w:w="1029" w:type="dxa"/>
            <w:vAlign w:val="top"/>
          </w:tcPr>
          <w:p w14:paraId="47871001">
            <w:pPr>
              <w:spacing w:before="91"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6</w:t>
            </w:r>
          </w:p>
        </w:tc>
        <w:tc>
          <w:tcPr>
            <w:tcW w:w="1029" w:type="dxa"/>
            <w:vAlign w:val="top"/>
          </w:tcPr>
          <w:p w14:paraId="7D652603">
            <w:pPr>
              <w:spacing w:before="91"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1</w:t>
            </w:r>
          </w:p>
        </w:tc>
        <w:tc>
          <w:tcPr>
            <w:tcW w:w="1030" w:type="dxa"/>
            <w:vAlign w:val="top"/>
          </w:tcPr>
          <w:p w14:paraId="24E69443">
            <w:pPr>
              <w:spacing w:before="91" w:line="195" w:lineRule="auto"/>
              <w:ind w:left="41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8</w:t>
            </w:r>
          </w:p>
        </w:tc>
        <w:tc>
          <w:tcPr>
            <w:tcW w:w="1034" w:type="dxa"/>
            <w:tcBorders>
              <w:right w:val="nil"/>
            </w:tcBorders>
            <w:vAlign w:val="top"/>
          </w:tcPr>
          <w:p w14:paraId="6777F170">
            <w:pPr>
              <w:spacing w:before="91" w:line="195" w:lineRule="auto"/>
              <w:ind w:left="41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4</w:t>
            </w:r>
          </w:p>
        </w:tc>
      </w:tr>
      <w:tr w14:paraId="084D11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65" w:type="dxa"/>
            <w:tcBorders>
              <w:left w:val="nil"/>
            </w:tcBorders>
            <w:vAlign w:val="top"/>
          </w:tcPr>
          <w:p w14:paraId="230289BC">
            <w:pPr>
              <w:spacing w:before="210" w:line="228" w:lineRule="auto"/>
              <w:ind w:left="70"/>
              <w:rPr>
                <w:rFonts w:ascii="宋体" w:hAnsi="宋体" w:eastAsia="宋体" w:cs="宋体"/>
                <w:sz w:val="20"/>
                <w:szCs w:val="20"/>
              </w:rPr>
            </w:pPr>
            <w:r>
              <w:rPr>
                <w:rFonts w:ascii="宋体" w:hAnsi="宋体" w:eastAsia="宋体" w:cs="宋体"/>
                <w:spacing w:val="7"/>
                <w:sz w:val="20"/>
                <w:szCs w:val="20"/>
              </w:rPr>
              <w:t>总大肠菌群</w:t>
            </w:r>
          </w:p>
        </w:tc>
        <w:tc>
          <w:tcPr>
            <w:tcW w:w="1016" w:type="dxa"/>
            <w:vAlign w:val="top"/>
          </w:tcPr>
          <w:p w14:paraId="4CBA83F9">
            <w:pPr>
              <w:spacing w:before="17" w:line="281" w:lineRule="exact"/>
              <w:ind w:left="253"/>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MPN</w:t>
            </w:r>
            <w:r>
              <w:rPr>
                <w:rFonts w:ascii="Times New Roman" w:hAnsi="Times New Roman" w:eastAsia="Times New Roman" w:cs="Times New Roman"/>
                <w:spacing w:val="19"/>
                <w:position w:val="2"/>
                <w:sz w:val="20"/>
                <w:szCs w:val="20"/>
              </w:rPr>
              <w:t>/</w:t>
            </w:r>
          </w:p>
          <w:p w14:paraId="267651B9">
            <w:pPr>
              <w:spacing w:before="104" w:line="195"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w:t>
            </w:r>
            <w:r>
              <w:rPr>
                <w:rFonts w:ascii="Times New Roman" w:hAnsi="Times New Roman" w:eastAsia="Times New Roman" w:cs="Times New Roman"/>
                <w:sz w:val="20"/>
                <w:szCs w:val="20"/>
              </w:rPr>
              <w:t>0mL</w:t>
            </w:r>
          </w:p>
        </w:tc>
        <w:tc>
          <w:tcPr>
            <w:tcW w:w="1029" w:type="dxa"/>
            <w:vAlign w:val="top"/>
          </w:tcPr>
          <w:p w14:paraId="711FE859">
            <w:pPr>
              <w:spacing w:before="210" w:line="228" w:lineRule="auto"/>
              <w:ind w:left="207"/>
              <w:rPr>
                <w:rFonts w:ascii="宋体" w:hAnsi="宋体" w:eastAsia="宋体" w:cs="宋体"/>
                <w:sz w:val="20"/>
                <w:szCs w:val="20"/>
              </w:rPr>
            </w:pPr>
            <w:r>
              <w:rPr>
                <w:rFonts w:ascii="宋体" w:hAnsi="宋体" w:eastAsia="宋体" w:cs="宋体"/>
                <w:spacing w:val="6"/>
                <w:sz w:val="20"/>
                <w:szCs w:val="20"/>
              </w:rPr>
              <w:t>未检</w:t>
            </w:r>
            <w:r>
              <w:rPr>
                <w:rFonts w:ascii="宋体" w:hAnsi="宋体" w:eastAsia="宋体" w:cs="宋体"/>
                <w:spacing w:val="5"/>
                <w:sz w:val="20"/>
                <w:szCs w:val="20"/>
              </w:rPr>
              <w:t>出</w:t>
            </w:r>
          </w:p>
        </w:tc>
        <w:tc>
          <w:tcPr>
            <w:tcW w:w="1030" w:type="dxa"/>
            <w:vAlign w:val="top"/>
          </w:tcPr>
          <w:p w14:paraId="73CB4B0E">
            <w:pPr>
              <w:spacing w:before="210" w:line="228" w:lineRule="auto"/>
              <w:ind w:left="208"/>
              <w:rPr>
                <w:rFonts w:ascii="宋体" w:hAnsi="宋体" w:eastAsia="宋体" w:cs="宋体"/>
                <w:sz w:val="20"/>
                <w:szCs w:val="20"/>
              </w:rPr>
            </w:pPr>
            <w:r>
              <w:rPr>
                <w:rFonts w:ascii="宋体" w:hAnsi="宋体" w:eastAsia="宋体" w:cs="宋体"/>
                <w:spacing w:val="6"/>
                <w:sz w:val="20"/>
                <w:szCs w:val="20"/>
              </w:rPr>
              <w:t>未检</w:t>
            </w:r>
            <w:r>
              <w:rPr>
                <w:rFonts w:ascii="宋体" w:hAnsi="宋体" w:eastAsia="宋体" w:cs="宋体"/>
                <w:spacing w:val="5"/>
                <w:sz w:val="20"/>
                <w:szCs w:val="20"/>
              </w:rPr>
              <w:t>出</w:t>
            </w:r>
          </w:p>
        </w:tc>
        <w:tc>
          <w:tcPr>
            <w:tcW w:w="1029" w:type="dxa"/>
            <w:vAlign w:val="top"/>
          </w:tcPr>
          <w:p w14:paraId="14E9E616">
            <w:pPr>
              <w:spacing w:before="210" w:line="228" w:lineRule="auto"/>
              <w:ind w:left="208"/>
              <w:rPr>
                <w:rFonts w:ascii="宋体" w:hAnsi="宋体" w:eastAsia="宋体" w:cs="宋体"/>
                <w:sz w:val="20"/>
                <w:szCs w:val="20"/>
              </w:rPr>
            </w:pPr>
            <w:r>
              <w:rPr>
                <w:rFonts w:ascii="宋体" w:hAnsi="宋体" w:eastAsia="宋体" w:cs="宋体"/>
                <w:spacing w:val="6"/>
                <w:sz w:val="20"/>
                <w:szCs w:val="20"/>
              </w:rPr>
              <w:t>未检</w:t>
            </w:r>
            <w:r>
              <w:rPr>
                <w:rFonts w:ascii="宋体" w:hAnsi="宋体" w:eastAsia="宋体" w:cs="宋体"/>
                <w:spacing w:val="5"/>
                <w:sz w:val="20"/>
                <w:szCs w:val="20"/>
              </w:rPr>
              <w:t>出</w:t>
            </w:r>
          </w:p>
        </w:tc>
        <w:tc>
          <w:tcPr>
            <w:tcW w:w="1029" w:type="dxa"/>
            <w:vAlign w:val="top"/>
          </w:tcPr>
          <w:p w14:paraId="6CBC33E0">
            <w:pPr>
              <w:spacing w:before="210" w:line="228" w:lineRule="auto"/>
              <w:ind w:left="208"/>
              <w:rPr>
                <w:rFonts w:ascii="宋体" w:hAnsi="宋体" w:eastAsia="宋体" w:cs="宋体"/>
                <w:sz w:val="20"/>
                <w:szCs w:val="20"/>
              </w:rPr>
            </w:pPr>
            <w:r>
              <w:rPr>
                <w:rFonts w:ascii="宋体" w:hAnsi="宋体" w:eastAsia="宋体" w:cs="宋体"/>
                <w:spacing w:val="6"/>
                <w:sz w:val="20"/>
                <w:szCs w:val="20"/>
              </w:rPr>
              <w:t>未检</w:t>
            </w:r>
            <w:r>
              <w:rPr>
                <w:rFonts w:ascii="宋体" w:hAnsi="宋体" w:eastAsia="宋体" w:cs="宋体"/>
                <w:spacing w:val="5"/>
                <w:sz w:val="20"/>
                <w:szCs w:val="20"/>
              </w:rPr>
              <w:t>出</w:t>
            </w:r>
          </w:p>
        </w:tc>
        <w:tc>
          <w:tcPr>
            <w:tcW w:w="1030" w:type="dxa"/>
            <w:vAlign w:val="top"/>
          </w:tcPr>
          <w:p w14:paraId="0FBA75AA">
            <w:pPr>
              <w:spacing w:before="210" w:line="228" w:lineRule="auto"/>
              <w:ind w:left="209"/>
              <w:rPr>
                <w:rFonts w:ascii="宋体" w:hAnsi="宋体" w:eastAsia="宋体" w:cs="宋体"/>
                <w:sz w:val="20"/>
                <w:szCs w:val="20"/>
              </w:rPr>
            </w:pPr>
            <w:r>
              <w:rPr>
                <w:rFonts w:ascii="宋体" w:hAnsi="宋体" w:eastAsia="宋体" w:cs="宋体"/>
                <w:spacing w:val="6"/>
                <w:sz w:val="20"/>
                <w:szCs w:val="20"/>
              </w:rPr>
              <w:t>未检</w:t>
            </w:r>
            <w:r>
              <w:rPr>
                <w:rFonts w:ascii="宋体" w:hAnsi="宋体" w:eastAsia="宋体" w:cs="宋体"/>
                <w:spacing w:val="5"/>
                <w:sz w:val="20"/>
                <w:szCs w:val="20"/>
              </w:rPr>
              <w:t>出</w:t>
            </w:r>
          </w:p>
        </w:tc>
        <w:tc>
          <w:tcPr>
            <w:tcW w:w="1034" w:type="dxa"/>
            <w:tcBorders>
              <w:right w:val="nil"/>
            </w:tcBorders>
            <w:vAlign w:val="top"/>
          </w:tcPr>
          <w:p w14:paraId="326BF5F1">
            <w:pPr>
              <w:spacing w:before="210" w:line="228" w:lineRule="auto"/>
              <w:ind w:left="211"/>
              <w:rPr>
                <w:rFonts w:ascii="宋体" w:hAnsi="宋体" w:eastAsia="宋体" w:cs="宋体"/>
                <w:sz w:val="20"/>
                <w:szCs w:val="20"/>
              </w:rPr>
            </w:pPr>
            <w:r>
              <w:rPr>
                <w:rFonts w:ascii="宋体" w:hAnsi="宋体" w:eastAsia="宋体" w:cs="宋体"/>
                <w:spacing w:val="6"/>
                <w:sz w:val="20"/>
                <w:szCs w:val="20"/>
              </w:rPr>
              <w:t>未检</w:t>
            </w:r>
            <w:r>
              <w:rPr>
                <w:rFonts w:ascii="宋体" w:hAnsi="宋体" w:eastAsia="宋体" w:cs="宋体"/>
                <w:spacing w:val="5"/>
                <w:sz w:val="20"/>
                <w:szCs w:val="20"/>
              </w:rPr>
              <w:t>出</w:t>
            </w:r>
          </w:p>
        </w:tc>
      </w:tr>
      <w:tr w14:paraId="163363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165" w:type="dxa"/>
            <w:tcBorders>
              <w:left w:val="nil"/>
            </w:tcBorders>
            <w:vAlign w:val="top"/>
          </w:tcPr>
          <w:p w14:paraId="3C319CD1">
            <w:pPr>
              <w:spacing w:before="55" w:line="229" w:lineRule="auto"/>
              <w:ind w:left="277"/>
              <w:rPr>
                <w:rFonts w:ascii="宋体" w:hAnsi="宋体" w:eastAsia="宋体" w:cs="宋体"/>
                <w:sz w:val="20"/>
                <w:szCs w:val="20"/>
              </w:rPr>
            </w:pPr>
            <w:r>
              <w:rPr>
                <w:rFonts w:ascii="宋体" w:hAnsi="宋体" w:eastAsia="宋体" w:cs="宋体"/>
                <w:spacing w:val="7"/>
                <w:sz w:val="20"/>
                <w:szCs w:val="20"/>
              </w:rPr>
              <w:t>硝</w:t>
            </w:r>
            <w:r>
              <w:rPr>
                <w:rFonts w:ascii="宋体" w:hAnsi="宋体" w:eastAsia="宋体" w:cs="宋体"/>
                <w:spacing w:val="6"/>
                <w:sz w:val="20"/>
                <w:szCs w:val="20"/>
              </w:rPr>
              <w:t>酸盐</w:t>
            </w:r>
          </w:p>
        </w:tc>
        <w:tc>
          <w:tcPr>
            <w:tcW w:w="1016" w:type="dxa"/>
            <w:vAlign w:val="top"/>
          </w:tcPr>
          <w:p w14:paraId="2AF1F255">
            <w:pPr>
              <w:spacing w:before="18" w:line="281" w:lineRule="exact"/>
              <w:ind w:left="280"/>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029" w:type="dxa"/>
            <w:vAlign w:val="top"/>
          </w:tcPr>
          <w:p w14:paraId="41B20C66">
            <w:pPr>
              <w:spacing w:before="91" w:line="195" w:lineRule="auto"/>
              <w:ind w:left="30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w:t>
            </w:r>
            <w:r>
              <w:rPr>
                <w:rFonts w:ascii="Times New Roman" w:hAnsi="Times New Roman" w:eastAsia="Times New Roman" w:cs="Times New Roman"/>
                <w:sz w:val="20"/>
                <w:szCs w:val="20"/>
              </w:rPr>
              <w:t>9.35</w:t>
            </w:r>
          </w:p>
        </w:tc>
        <w:tc>
          <w:tcPr>
            <w:tcW w:w="1030" w:type="dxa"/>
            <w:vAlign w:val="top"/>
          </w:tcPr>
          <w:p w14:paraId="62738E88">
            <w:pPr>
              <w:spacing w:before="92"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20.0</w:t>
            </w:r>
            <w:r>
              <w:rPr>
                <w:rFonts w:ascii="Times New Roman" w:hAnsi="Times New Roman" w:eastAsia="Times New Roman" w:cs="Times New Roman"/>
                <w:spacing w:val="3"/>
                <w:sz w:val="20"/>
                <w:szCs w:val="20"/>
              </w:rPr>
              <w:t>5</w:t>
            </w:r>
          </w:p>
        </w:tc>
        <w:tc>
          <w:tcPr>
            <w:tcW w:w="1029" w:type="dxa"/>
            <w:vAlign w:val="top"/>
          </w:tcPr>
          <w:p w14:paraId="7E2CC4CF">
            <w:pPr>
              <w:spacing w:before="92"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2</w:t>
            </w:r>
            <w:r>
              <w:rPr>
                <w:rFonts w:ascii="Times New Roman" w:hAnsi="Times New Roman" w:eastAsia="Times New Roman" w:cs="Times New Roman"/>
                <w:spacing w:val="-5"/>
                <w:sz w:val="20"/>
                <w:szCs w:val="20"/>
              </w:rPr>
              <w:t>3. 18</w:t>
            </w:r>
          </w:p>
        </w:tc>
        <w:tc>
          <w:tcPr>
            <w:tcW w:w="1029" w:type="dxa"/>
            <w:vAlign w:val="top"/>
          </w:tcPr>
          <w:p w14:paraId="594C7AF4">
            <w:pPr>
              <w:spacing w:before="91" w:line="198"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4.31</w:t>
            </w:r>
          </w:p>
        </w:tc>
        <w:tc>
          <w:tcPr>
            <w:tcW w:w="1030" w:type="dxa"/>
            <w:vAlign w:val="top"/>
          </w:tcPr>
          <w:p w14:paraId="612C27AD">
            <w:pPr>
              <w:spacing w:before="92" w:line="195" w:lineRule="auto"/>
              <w:ind w:left="28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3</w:t>
            </w:r>
            <w:r>
              <w:rPr>
                <w:rFonts w:ascii="Times New Roman" w:hAnsi="Times New Roman" w:eastAsia="Times New Roman" w:cs="Times New Roman"/>
                <w:spacing w:val="3"/>
                <w:sz w:val="20"/>
                <w:szCs w:val="20"/>
              </w:rPr>
              <w:t>4</w:t>
            </w:r>
            <w:r>
              <w:rPr>
                <w:rFonts w:ascii="Times New Roman" w:hAnsi="Times New Roman" w:eastAsia="Times New Roman" w:cs="Times New Roman"/>
                <w:spacing w:val="2"/>
                <w:sz w:val="20"/>
                <w:szCs w:val="20"/>
              </w:rPr>
              <w:t>.99</w:t>
            </w:r>
          </w:p>
        </w:tc>
        <w:tc>
          <w:tcPr>
            <w:tcW w:w="1034" w:type="dxa"/>
            <w:tcBorders>
              <w:right w:val="nil"/>
            </w:tcBorders>
            <w:vAlign w:val="top"/>
          </w:tcPr>
          <w:p w14:paraId="1E9CEE12">
            <w:pPr>
              <w:spacing w:before="92" w:line="195" w:lineRule="auto"/>
              <w:ind w:left="28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6</w:t>
            </w:r>
            <w:r>
              <w:rPr>
                <w:rFonts w:ascii="Times New Roman" w:hAnsi="Times New Roman" w:eastAsia="Times New Roman" w:cs="Times New Roman"/>
                <w:spacing w:val="2"/>
                <w:sz w:val="20"/>
                <w:szCs w:val="20"/>
              </w:rPr>
              <w:t>1.61</w:t>
            </w:r>
          </w:p>
        </w:tc>
      </w:tr>
    </w:tbl>
    <w:p w14:paraId="215B1F84">
      <w:pPr>
        <w:spacing w:before="297" w:line="219" w:lineRule="auto"/>
        <w:ind w:left="115"/>
        <w:outlineLvl w:val="2"/>
        <w:rPr>
          <w:rFonts w:ascii="宋体" w:hAnsi="宋体" w:eastAsia="宋体" w:cs="宋体"/>
          <w:sz w:val="28"/>
          <w:szCs w:val="28"/>
        </w:rPr>
      </w:pPr>
      <w:r>
        <w:rPr>
          <w:rFonts w:ascii="Times New Roman" w:hAnsi="Times New Roman" w:eastAsia="Times New Roman" w:cs="Times New Roman"/>
          <w:b/>
          <w:bCs/>
          <w:spacing w:val="9"/>
          <w:sz w:val="28"/>
          <w:szCs w:val="28"/>
        </w:rPr>
        <w:t>4.3.2.2</w:t>
      </w:r>
      <w:r>
        <w:rPr>
          <w:rFonts w:ascii="Times New Roman" w:hAnsi="Times New Roman" w:eastAsia="Times New Roman" w:cs="Times New Roman"/>
          <w:spacing w:val="9"/>
          <w:sz w:val="28"/>
          <w:szCs w:val="28"/>
        </w:rPr>
        <w:t xml:space="preserve">  </w:t>
      </w:r>
      <w:r>
        <w:rPr>
          <w:rFonts w:ascii="宋体" w:hAnsi="宋体" w:eastAsia="宋体" w:cs="宋体"/>
          <w:spacing w:val="9"/>
          <w:sz w:val="28"/>
          <w:szCs w:val="28"/>
          <w14:textOutline w14:w="5103" w14:cap="sq" w14:cmpd="sng">
            <w14:solidFill>
              <w14:srgbClr w14:val="000000"/>
            </w14:solidFill>
            <w14:prstDash w14:val="solid"/>
            <w14:bevel/>
          </w14:textOutline>
        </w:rPr>
        <w:t>地下水环境质量现状评</w:t>
      </w:r>
      <w:r>
        <w:rPr>
          <w:rFonts w:ascii="宋体" w:hAnsi="宋体" w:eastAsia="宋体" w:cs="宋体"/>
          <w:spacing w:val="8"/>
          <w:sz w:val="28"/>
          <w:szCs w:val="28"/>
          <w14:textOutline w14:w="5103" w14:cap="sq" w14:cmpd="sng">
            <w14:solidFill>
              <w14:srgbClr w14:val="000000"/>
            </w14:solidFill>
            <w14:prstDash w14:val="solid"/>
            <w14:bevel/>
          </w14:textOutline>
        </w:rPr>
        <w:t>价</w:t>
      </w:r>
    </w:p>
    <w:p w14:paraId="3756F7E0">
      <w:pPr>
        <w:spacing w:line="263" w:lineRule="auto"/>
        <w:rPr>
          <w:rFonts w:ascii="Arial"/>
          <w:sz w:val="21"/>
        </w:rPr>
      </w:pPr>
    </w:p>
    <w:p w14:paraId="3C8520DE">
      <w:pPr>
        <w:spacing w:before="75" w:line="226" w:lineRule="auto"/>
        <w:ind w:left="128"/>
        <w:rPr>
          <w:rFonts w:ascii="宋体" w:hAnsi="宋体" w:eastAsia="宋体" w:cs="宋体"/>
          <w:sz w:val="23"/>
          <w:szCs w:val="23"/>
        </w:rPr>
      </w:pPr>
      <w:r>
        <w:rPr>
          <w:rFonts w:ascii="宋体" w:hAnsi="宋体" w:eastAsia="宋体" w:cs="宋体"/>
          <w:spacing w:val="28"/>
          <w:sz w:val="23"/>
          <w:szCs w:val="23"/>
        </w:rPr>
        <w:t>(</w:t>
      </w:r>
      <w:r>
        <w:rPr>
          <w:rFonts w:ascii="Times New Roman" w:hAnsi="Times New Roman" w:eastAsia="Times New Roman" w:cs="Times New Roman"/>
          <w:spacing w:val="28"/>
          <w:sz w:val="23"/>
          <w:szCs w:val="23"/>
        </w:rPr>
        <w:t>1</w:t>
      </w:r>
      <w:r>
        <w:rPr>
          <w:rFonts w:ascii="宋体" w:hAnsi="宋体" w:eastAsia="宋体" w:cs="宋体"/>
          <w:spacing w:val="28"/>
          <w:sz w:val="23"/>
          <w:szCs w:val="23"/>
        </w:rPr>
        <w:t>) 评价标</w:t>
      </w:r>
      <w:r>
        <w:rPr>
          <w:rFonts w:ascii="宋体" w:hAnsi="宋体" w:eastAsia="宋体" w:cs="宋体"/>
          <w:spacing w:val="27"/>
          <w:sz w:val="23"/>
          <w:szCs w:val="23"/>
        </w:rPr>
        <w:t>准</w:t>
      </w:r>
    </w:p>
    <w:p w14:paraId="0B3B01F7">
      <w:pPr>
        <w:spacing w:before="313" w:line="396" w:lineRule="auto"/>
        <w:ind w:left="118" w:right="105" w:firstLine="482"/>
        <w:rPr>
          <w:rFonts w:ascii="宋体" w:hAnsi="宋体" w:eastAsia="宋体" w:cs="宋体"/>
          <w:sz w:val="23"/>
          <w:szCs w:val="23"/>
        </w:rPr>
      </w:pPr>
      <w:r>
        <w:rPr>
          <w:rFonts w:ascii="宋体" w:hAnsi="宋体" w:eastAsia="宋体" w:cs="宋体"/>
          <w:spacing w:val="5"/>
          <w:sz w:val="23"/>
          <w:szCs w:val="23"/>
        </w:rPr>
        <w:t>项目所在区域地下水执行《地下水质量标准》  (</w:t>
      </w:r>
      <w:r>
        <w:rPr>
          <w:rFonts w:ascii="Times New Roman" w:hAnsi="Times New Roman" w:eastAsia="Times New Roman" w:cs="Times New Roman"/>
          <w:sz w:val="23"/>
          <w:szCs w:val="23"/>
        </w:rPr>
        <w:t>GB</w:t>
      </w:r>
      <w:r>
        <w:rPr>
          <w:rFonts w:ascii="Times New Roman" w:hAnsi="Times New Roman" w:eastAsia="Times New Roman" w:cs="Times New Roman"/>
          <w:spacing w:val="5"/>
          <w:sz w:val="23"/>
          <w:szCs w:val="23"/>
        </w:rPr>
        <w:t>/</w:t>
      </w:r>
      <w:r>
        <w:rPr>
          <w:rFonts w:ascii="Times New Roman" w:hAnsi="Times New Roman" w:eastAsia="Times New Roman" w:cs="Times New Roman"/>
          <w:sz w:val="23"/>
          <w:szCs w:val="23"/>
        </w:rPr>
        <w:t>T</w:t>
      </w:r>
      <w:r>
        <w:rPr>
          <w:rFonts w:ascii="Times New Roman" w:hAnsi="Times New Roman" w:eastAsia="Times New Roman" w:cs="Times New Roman"/>
          <w:spacing w:val="5"/>
          <w:sz w:val="23"/>
          <w:szCs w:val="23"/>
        </w:rPr>
        <w:t xml:space="preserve"> 14848-2017</w:t>
      </w:r>
      <w:r>
        <w:rPr>
          <w:rFonts w:ascii="宋体" w:hAnsi="宋体" w:eastAsia="宋体" w:cs="宋体"/>
          <w:spacing w:val="5"/>
          <w:sz w:val="23"/>
          <w:szCs w:val="23"/>
        </w:rPr>
        <w:t xml:space="preserve">) </w:t>
      </w:r>
      <w:r>
        <w:rPr>
          <w:rFonts w:ascii="Times New Roman" w:hAnsi="Times New Roman" w:eastAsia="Times New Roman" w:cs="Times New Roman"/>
          <w:sz w:val="23"/>
          <w:szCs w:val="23"/>
        </w:rPr>
        <w:t>III</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rPr>
        <w:t>类水</w:t>
      </w:r>
      <w:r>
        <w:rPr>
          <w:rFonts w:ascii="宋体" w:hAnsi="宋体" w:eastAsia="宋体" w:cs="宋体"/>
          <w:sz w:val="23"/>
          <w:szCs w:val="23"/>
        </w:rPr>
        <w:t xml:space="preserve"> </w:t>
      </w:r>
      <w:r>
        <w:rPr>
          <w:rFonts w:ascii="宋体" w:hAnsi="宋体" w:eastAsia="宋体" w:cs="宋体"/>
          <w:spacing w:val="-2"/>
          <w:sz w:val="23"/>
          <w:szCs w:val="23"/>
        </w:rPr>
        <w:t xml:space="preserve">质标准，具体见表 </w:t>
      </w:r>
      <w:r>
        <w:rPr>
          <w:rFonts w:ascii="Times New Roman" w:hAnsi="Times New Roman" w:eastAsia="Times New Roman" w:cs="Times New Roman"/>
          <w:spacing w:val="-2"/>
          <w:sz w:val="23"/>
          <w:szCs w:val="23"/>
        </w:rPr>
        <w:t>4-</w:t>
      </w:r>
      <w:r>
        <w:rPr>
          <w:rFonts w:ascii="Times New Roman" w:hAnsi="Times New Roman" w:eastAsia="Times New Roman" w:cs="Times New Roman"/>
          <w:spacing w:val="-1"/>
          <w:sz w:val="23"/>
          <w:szCs w:val="23"/>
        </w:rPr>
        <w:t xml:space="preserve"> 12</w:t>
      </w:r>
      <w:r>
        <w:rPr>
          <w:rFonts w:ascii="宋体" w:hAnsi="宋体" w:eastAsia="宋体" w:cs="宋体"/>
          <w:spacing w:val="-1"/>
          <w:sz w:val="23"/>
          <w:szCs w:val="23"/>
        </w:rPr>
        <w:t>：</w:t>
      </w:r>
    </w:p>
    <w:p w14:paraId="67D8329A">
      <w:pPr>
        <w:spacing w:before="124" w:line="332" w:lineRule="exact"/>
        <w:ind w:left="1278"/>
        <w:rPr>
          <w:rFonts w:ascii="宋体" w:hAnsi="宋体" w:eastAsia="宋体" w:cs="宋体"/>
          <w:sz w:val="23"/>
          <w:szCs w:val="23"/>
        </w:rPr>
      </w:pPr>
      <w:r>
        <w:rPr>
          <w:rFonts w:ascii="宋体" w:hAnsi="宋体" w:eastAsia="宋体" w:cs="宋体"/>
          <w:spacing w:val="4"/>
          <w:position w:val="3"/>
          <w:sz w:val="23"/>
          <w:szCs w:val="23"/>
          <w14:textOutline w14:w="4358" w14:cap="sq" w14:cmpd="sng">
            <w14:solidFill>
              <w14:srgbClr w14:val="000000"/>
            </w14:solidFill>
            <w14:prstDash w14:val="solid"/>
            <w14:bevel/>
          </w14:textOutline>
        </w:rPr>
        <w:t>表</w:t>
      </w:r>
      <w:r>
        <w:rPr>
          <w:rFonts w:ascii="宋体" w:hAnsi="宋体" w:eastAsia="宋体" w:cs="宋体"/>
          <w:spacing w:val="4"/>
          <w:position w:val="3"/>
          <w:sz w:val="23"/>
          <w:szCs w:val="23"/>
        </w:rPr>
        <w:t xml:space="preserve"> </w:t>
      </w:r>
      <w:r>
        <w:rPr>
          <w:rFonts w:ascii="Times New Roman" w:hAnsi="Times New Roman" w:eastAsia="Times New Roman" w:cs="Times New Roman"/>
          <w:b/>
          <w:bCs/>
          <w:spacing w:val="4"/>
          <w:position w:val="3"/>
          <w:sz w:val="23"/>
          <w:szCs w:val="23"/>
        </w:rPr>
        <w:t>4-12</w:t>
      </w:r>
      <w:r>
        <w:rPr>
          <w:rFonts w:ascii="Times New Roman" w:hAnsi="Times New Roman" w:eastAsia="Times New Roman" w:cs="Times New Roman"/>
          <w:spacing w:val="4"/>
          <w:position w:val="3"/>
          <w:sz w:val="23"/>
          <w:szCs w:val="23"/>
        </w:rPr>
        <w:t xml:space="preserve">        </w:t>
      </w:r>
      <w:r>
        <w:rPr>
          <w:rFonts w:ascii="宋体" w:hAnsi="宋体" w:eastAsia="宋体" w:cs="宋体"/>
          <w:spacing w:val="4"/>
          <w:position w:val="3"/>
          <w:sz w:val="23"/>
          <w:szCs w:val="23"/>
          <w14:textOutline w14:w="4358" w14:cap="sq" w14:cmpd="sng">
            <w14:solidFill>
              <w14:srgbClr w14:val="000000"/>
            </w14:solidFill>
            <w14:prstDash w14:val="solid"/>
            <w14:bevel/>
          </w14:textOutline>
        </w:rPr>
        <w:t>地下水质量标准</w:t>
      </w:r>
      <w:r>
        <w:rPr>
          <w:rFonts w:ascii="宋体" w:hAnsi="宋体" w:eastAsia="宋体" w:cs="宋体"/>
          <w:spacing w:val="4"/>
          <w:position w:val="3"/>
          <w:sz w:val="23"/>
          <w:szCs w:val="23"/>
        </w:rPr>
        <w:t xml:space="preserve"> </w:t>
      </w:r>
      <w:r>
        <w:rPr>
          <w:rFonts w:ascii="宋体" w:hAnsi="宋体" w:eastAsia="宋体" w:cs="宋体"/>
          <w:spacing w:val="4"/>
          <w:position w:val="3"/>
          <w:sz w:val="23"/>
          <w:szCs w:val="23"/>
          <w14:textOutline w14:w="4358" w14:cap="sq" w14:cmpd="sng">
            <w14:solidFill>
              <w14:srgbClr w14:val="000000"/>
            </w14:solidFill>
            <w14:prstDash w14:val="solid"/>
            <w14:bevel/>
          </w14:textOutline>
        </w:rPr>
        <w:t>(单位：</w:t>
      </w:r>
      <w:r>
        <w:rPr>
          <w:rFonts w:ascii="Times New Roman" w:hAnsi="Times New Roman" w:eastAsia="Times New Roman" w:cs="Times New Roman"/>
          <w:b/>
          <w:bCs/>
          <w:position w:val="3"/>
          <w:sz w:val="23"/>
          <w:szCs w:val="23"/>
        </w:rPr>
        <w:t>mg</w:t>
      </w:r>
      <w:r>
        <w:rPr>
          <w:rFonts w:ascii="Times New Roman" w:hAnsi="Times New Roman" w:eastAsia="Times New Roman" w:cs="Times New Roman"/>
          <w:b/>
          <w:bCs/>
          <w:spacing w:val="4"/>
          <w:position w:val="3"/>
          <w:sz w:val="23"/>
          <w:szCs w:val="23"/>
        </w:rPr>
        <w:t>/</w:t>
      </w:r>
      <w:r>
        <w:rPr>
          <w:rFonts w:ascii="Times New Roman" w:hAnsi="Times New Roman" w:eastAsia="Times New Roman" w:cs="Times New Roman"/>
          <w:b/>
          <w:bCs/>
          <w:position w:val="3"/>
          <w:sz w:val="23"/>
          <w:szCs w:val="23"/>
        </w:rPr>
        <w:t>L</w:t>
      </w:r>
      <w:r>
        <w:rPr>
          <w:rFonts w:ascii="Times New Roman" w:hAnsi="Times New Roman" w:eastAsia="Times New Roman" w:cs="Times New Roman"/>
          <w:spacing w:val="4"/>
          <w:position w:val="3"/>
          <w:sz w:val="23"/>
          <w:szCs w:val="23"/>
        </w:rPr>
        <w:t xml:space="preserve"> </w:t>
      </w:r>
      <w:r>
        <w:rPr>
          <w:rFonts w:ascii="宋体" w:hAnsi="宋体" w:eastAsia="宋体" w:cs="宋体"/>
          <w:spacing w:val="4"/>
          <w:position w:val="3"/>
          <w:sz w:val="23"/>
          <w:szCs w:val="23"/>
          <w14:textOutline w14:w="4358" w14:cap="sq" w14:cmpd="sng">
            <w14:solidFill>
              <w14:srgbClr w14:val="000000"/>
            </w14:solidFill>
            <w14:prstDash w14:val="solid"/>
            <w14:bevel/>
          </w14:textOutline>
        </w:rPr>
        <w:t>，</w:t>
      </w:r>
      <w:r>
        <w:rPr>
          <w:rFonts w:ascii="Times New Roman" w:hAnsi="Times New Roman" w:eastAsia="Times New Roman" w:cs="Times New Roman"/>
          <w:b/>
          <w:bCs/>
          <w:position w:val="3"/>
          <w:sz w:val="23"/>
          <w:szCs w:val="23"/>
        </w:rPr>
        <w:t>pH</w:t>
      </w:r>
      <w:r>
        <w:rPr>
          <w:rFonts w:ascii="Times New Roman" w:hAnsi="Times New Roman" w:eastAsia="Times New Roman" w:cs="Times New Roman"/>
          <w:spacing w:val="4"/>
          <w:position w:val="3"/>
          <w:sz w:val="23"/>
          <w:szCs w:val="23"/>
        </w:rPr>
        <w:t xml:space="preserve"> </w:t>
      </w:r>
      <w:r>
        <w:rPr>
          <w:rFonts w:ascii="宋体" w:hAnsi="宋体" w:eastAsia="宋体" w:cs="宋体"/>
          <w:spacing w:val="4"/>
          <w:position w:val="3"/>
          <w:sz w:val="23"/>
          <w:szCs w:val="23"/>
          <w14:textOutline w14:w="4358" w14:cap="sq" w14:cmpd="sng">
            <w14:solidFill>
              <w14:srgbClr w14:val="000000"/>
            </w14:solidFill>
            <w14:prstDash w14:val="solid"/>
            <w14:bevel/>
          </w14:textOutline>
        </w:rPr>
        <w:t>无量</w:t>
      </w:r>
      <w:r>
        <w:rPr>
          <w:rFonts w:ascii="宋体" w:hAnsi="宋体" w:eastAsia="宋体" w:cs="宋体"/>
          <w:spacing w:val="1"/>
          <w:position w:val="3"/>
          <w:sz w:val="23"/>
          <w:szCs w:val="23"/>
          <w14:textOutline w14:w="4358" w14:cap="sq" w14:cmpd="sng">
            <w14:solidFill>
              <w14:srgbClr w14:val="000000"/>
            </w14:solidFill>
            <w14:prstDash w14:val="solid"/>
            <w14:bevel/>
          </w14:textOutline>
        </w:rPr>
        <w:t>纲</w:t>
      </w:r>
      <w:r>
        <w:rPr>
          <w:rFonts w:ascii="宋体" w:hAnsi="宋体" w:eastAsia="宋体" w:cs="宋体"/>
          <w:position w:val="3"/>
          <w:sz w:val="23"/>
          <w:szCs w:val="23"/>
          <w14:textOutline w14:w="4358" w14:cap="sq" w14:cmpd="sng">
            <w14:solidFill>
              <w14:srgbClr w14:val="000000"/>
            </w14:solidFill>
            <w14:prstDash w14:val="solid"/>
            <w14:bevel/>
          </w14:textOutline>
        </w:rPr>
        <w:t>)</w:t>
      </w:r>
    </w:p>
    <w:p w14:paraId="4284E9E1">
      <w:pPr>
        <w:spacing w:line="19"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3"/>
        <w:gridCol w:w="1874"/>
        <w:gridCol w:w="1262"/>
        <w:gridCol w:w="778"/>
        <w:gridCol w:w="2628"/>
        <w:gridCol w:w="1247"/>
      </w:tblGrid>
      <w:tr w14:paraId="35C5B4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733" w:type="dxa"/>
            <w:tcBorders>
              <w:left w:val="nil"/>
            </w:tcBorders>
            <w:vAlign w:val="top"/>
          </w:tcPr>
          <w:p w14:paraId="73464673">
            <w:pPr>
              <w:spacing w:before="75" w:line="229" w:lineRule="auto"/>
              <w:ind w:left="163"/>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序号</w:t>
            </w:r>
          </w:p>
        </w:tc>
        <w:tc>
          <w:tcPr>
            <w:tcW w:w="1874" w:type="dxa"/>
            <w:vAlign w:val="top"/>
          </w:tcPr>
          <w:p w14:paraId="1465A677">
            <w:pPr>
              <w:spacing w:before="76" w:line="228" w:lineRule="auto"/>
              <w:ind w:left="630"/>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污染物</w:t>
            </w:r>
          </w:p>
        </w:tc>
        <w:tc>
          <w:tcPr>
            <w:tcW w:w="1262" w:type="dxa"/>
            <w:vAlign w:val="top"/>
          </w:tcPr>
          <w:p w14:paraId="2AFD3681">
            <w:pPr>
              <w:spacing w:before="75" w:line="228" w:lineRule="auto"/>
              <w:ind w:left="322"/>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标</w:t>
            </w:r>
            <w:r>
              <w:rPr>
                <w:rFonts w:ascii="宋体" w:hAnsi="宋体" w:eastAsia="宋体" w:cs="宋体"/>
                <w:spacing w:val="7"/>
                <w:sz w:val="20"/>
                <w:szCs w:val="20"/>
                <w14:textOutline w14:w="3795" w14:cap="sq" w14:cmpd="sng">
                  <w14:solidFill>
                    <w14:srgbClr w14:val="000000"/>
                  </w14:solidFill>
                  <w14:prstDash w14:val="solid"/>
                  <w14:bevel/>
                </w14:textOutline>
              </w:rPr>
              <w:t>准值</w:t>
            </w:r>
          </w:p>
        </w:tc>
        <w:tc>
          <w:tcPr>
            <w:tcW w:w="778" w:type="dxa"/>
            <w:vAlign w:val="top"/>
          </w:tcPr>
          <w:p w14:paraId="44A4482E">
            <w:pPr>
              <w:spacing w:before="75" w:line="229" w:lineRule="auto"/>
              <w:ind w:left="184"/>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序号</w:t>
            </w:r>
          </w:p>
        </w:tc>
        <w:tc>
          <w:tcPr>
            <w:tcW w:w="2628" w:type="dxa"/>
            <w:vAlign w:val="top"/>
          </w:tcPr>
          <w:p w14:paraId="7A3C32D1">
            <w:pPr>
              <w:spacing w:before="76" w:line="228" w:lineRule="auto"/>
              <w:ind w:left="1005"/>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污染物</w:t>
            </w:r>
          </w:p>
        </w:tc>
        <w:tc>
          <w:tcPr>
            <w:tcW w:w="1247" w:type="dxa"/>
            <w:tcBorders>
              <w:right w:val="nil"/>
            </w:tcBorders>
            <w:vAlign w:val="top"/>
          </w:tcPr>
          <w:p w14:paraId="0A14906F">
            <w:pPr>
              <w:spacing w:before="75" w:line="228" w:lineRule="auto"/>
              <w:ind w:left="315"/>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标</w:t>
            </w:r>
            <w:r>
              <w:rPr>
                <w:rFonts w:ascii="宋体" w:hAnsi="宋体" w:eastAsia="宋体" w:cs="宋体"/>
                <w:spacing w:val="7"/>
                <w:sz w:val="20"/>
                <w:szCs w:val="20"/>
                <w14:textOutline w14:w="3795" w14:cap="sq" w14:cmpd="sng">
                  <w14:solidFill>
                    <w14:srgbClr w14:val="000000"/>
                  </w14:solidFill>
                  <w14:prstDash w14:val="solid"/>
                  <w14:bevel/>
                </w14:textOutline>
              </w:rPr>
              <w:t>准值</w:t>
            </w:r>
          </w:p>
        </w:tc>
      </w:tr>
      <w:tr w14:paraId="3EFCDA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33" w:type="dxa"/>
            <w:tcBorders>
              <w:left w:val="nil"/>
            </w:tcBorders>
            <w:vAlign w:val="top"/>
          </w:tcPr>
          <w:p w14:paraId="72F82D8D">
            <w:pPr>
              <w:spacing w:before="87" w:line="195" w:lineRule="auto"/>
              <w:ind w:left="338"/>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874" w:type="dxa"/>
            <w:vAlign w:val="top"/>
          </w:tcPr>
          <w:p w14:paraId="173A88A5">
            <w:pPr>
              <w:spacing w:before="51" w:line="221" w:lineRule="auto"/>
              <w:ind w:left="149"/>
              <w:rPr>
                <w:rFonts w:ascii="宋体" w:hAnsi="宋体" w:eastAsia="宋体" w:cs="宋体"/>
                <w:sz w:val="20"/>
                <w:szCs w:val="20"/>
              </w:rPr>
            </w:pPr>
            <w:r>
              <w:rPr>
                <w:rFonts w:ascii="Times New Roman" w:hAnsi="Times New Roman" w:eastAsia="Times New Roman" w:cs="Times New Roman"/>
                <w:sz w:val="20"/>
                <w:szCs w:val="20"/>
              </w:rPr>
              <w:t>pH</w:t>
            </w:r>
            <w:r>
              <w:rPr>
                <w:rFonts w:ascii="Times New Roman" w:hAnsi="Times New Roman" w:eastAsia="Times New Roman" w:cs="Times New Roman"/>
                <w:spacing w:val="13"/>
                <w:sz w:val="20"/>
                <w:szCs w:val="20"/>
              </w:rPr>
              <w:t xml:space="preserve"> </w:t>
            </w:r>
            <w:r>
              <w:rPr>
                <w:rFonts w:ascii="宋体" w:hAnsi="宋体" w:eastAsia="宋体" w:cs="宋体"/>
                <w:spacing w:val="7"/>
                <w:sz w:val="20"/>
                <w:szCs w:val="20"/>
              </w:rPr>
              <w:t>值 (无量纲)</w:t>
            </w:r>
          </w:p>
        </w:tc>
        <w:tc>
          <w:tcPr>
            <w:tcW w:w="1262" w:type="dxa"/>
            <w:vAlign w:val="top"/>
          </w:tcPr>
          <w:p w14:paraId="7895706A">
            <w:pPr>
              <w:spacing w:before="82" w:line="189" w:lineRule="auto"/>
              <w:ind w:left="325"/>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6</w:t>
            </w:r>
            <w:r>
              <w:rPr>
                <w:rFonts w:ascii="Times New Roman" w:hAnsi="Times New Roman" w:eastAsia="Times New Roman" w:cs="Times New Roman"/>
                <w:sz w:val="22"/>
                <w:szCs w:val="22"/>
              </w:rPr>
              <w:t>.5-8.5</w:t>
            </w:r>
          </w:p>
        </w:tc>
        <w:tc>
          <w:tcPr>
            <w:tcW w:w="778" w:type="dxa"/>
            <w:vAlign w:val="top"/>
          </w:tcPr>
          <w:p w14:paraId="0E5005D8">
            <w:pPr>
              <w:spacing w:before="90" w:line="192" w:lineRule="auto"/>
              <w:ind w:left="341"/>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2628" w:type="dxa"/>
            <w:vAlign w:val="top"/>
          </w:tcPr>
          <w:p w14:paraId="2074F11E">
            <w:pPr>
              <w:spacing w:before="51" w:line="228" w:lineRule="auto"/>
              <w:ind w:left="580"/>
              <w:rPr>
                <w:rFonts w:ascii="宋体" w:hAnsi="宋体" w:eastAsia="宋体" w:cs="宋体"/>
                <w:sz w:val="20"/>
                <w:szCs w:val="20"/>
              </w:rPr>
            </w:pPr>
            <w:r>
              <w:rPr>
                <w:rFonts w:ascii="宋体" w:hAnsi="宋体" w:eastAsia="宋体" w:cs="宋体"/>
                <w:spacing w:val="8"/>
                <w:sz w:val="20"/>
                <w:szCs w:val="20"/>
              </w:rPr>
              <w:t>浑浊度 (</w:t>
            </w:r>
            <w:r>
              <w:rPr>
                <w:rFonts w:ascii="Times New Roman" w:hAnsi="Times New Roman" w:eastAsia="Times New Roman" w:cs="Times New Roman"/>
                <w:sz w:val="20"/>
                <w:szCs w:val="20"/>
              </w:rPr>
              <w:t>NTU</w:t>
            </w:r>
            <w:r>
              <w:rPr>
                <w:rFonts w:ascii="宋体" w:hAnsi="宋体" w:eastAsia="宋体" w:cs="宋体"/>
                <w:spacing w:val="8"/>
                <w:sz w:val="20"/>
                <w:szCs w:val="20"/>
              </w:rPr>
              <w:t>)</w:t>
            </w:r>
          </w:p>
        </w:tc>
        <w:tc>
          <w:tcPr>
            <w:tcW w:w="1247" w:type="dxa"/>
            <w:tcBorders>
              <w:right w:val="nil"/>
            </w:tcBorders>
            <w:vAlign w:val="top"/>
          </w:tcPr>
          <w:p w14:paraId="4D3F0931">
            <w:pPr>
              <w:spacing w:before="81" w:line="189" w:lineRule="auto"/>
              <w:ind w:left="574"/>
              <w:rPr>
                <w:rFonts w:ascii="Times New Roman" w:hAnsi="Times New Roman" w:eastAsia="Times New Roman" w:cs="Times New Roman"/>
                <w:sz w:val="22"/>
                <w:szCs w:val="22"/>
              </w:rPr>
            </w:pPr>
            <w:r>
              <w:rPr>
                <w:rFonts w:ascii="Times New Roman" w:hAnsi="Times New Roman" w:eastAsia="Times New Roman" w:cs="Times New Roman"/>
                <w:sz w:val="22"/>
                <w:szCs w:val="22"/>
              </w:rPr>
              <w:t>3</w:t>
            </w:r>
          </w:p>
        </w:tc>
      </w:tr>
      <w:tr w14:paraId="768A03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33" w:type="dxa"/>
            <w:tcBorders>
              <w:left w:val="nil"/>
            </w:tcBorders>
            <w:vAlign w:val="top"/>
          </w:tcPr>
          <w:p w14:paraId="14897FAF">
            <w:pPr>
              <w:spacing w:before="88" w:line="195" w:lineRule="auto"/>
              <w:ind w:left="31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874" w:type="dxa"/>
            <w:vAlign w:val="top"/>
          </w:tcPr>
          <w:p w14:paraId="7293675D">
            <w:pPr>
              <w:spacing w:before="14" w:line="281" w:lineRule="exact"/>
              <w:ind w:left="195"/>
              <w:rPr>
                <w:rFonts w:ascii="宋体" w:hAnsi="宋体" w:eastAsia="宋体" w:cs="宋体"/>
                <w:sz w:val="20"/>
                <w:szCs w:val="20"/>
              </w:rPr>
            </w:pPr>
            <w:r>
              <w:rPr>
                <w:rFonts w:ascii="宋体" w:hAnsi="宋体" w:eastAsia="宋体" w:cs="宋体"/>
                <w:spacing w:val="10"/>
                <w:position w:val="2"/>
                <w:sz w:val="20"/>
                <w:szCs w:val="20"/>
              </w:rPr>
              <w:t>总</w:t>
            </w:r>
            <w:r>
              <w:rPr>
                <w:rFonts w:ascii="宋体" w:hAnsi="宋体" w:eastAsia="宋体" w:cs="宋体"/>
                <w:spacing w:val="6"/>
                <w:position w:val="2"/>
                <w:sz w:val="20"/>
                <w:szCs w:val="20"/>
              </w:rPr>
              <w:t>硬度 (</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L</w:t>
            </w:r>
            <w:r>
              <w:rPr>
                <w:rFonts w:ascii="宋体" w:hAnsi="宋体" w:eastAsia="宋体" w:cs="宋体"/>
                <w:spacing w:val="6"/>
                <w:position w:val="2"/>
                <w:sz w:val="20"/>
                <w:szCs w:val="20"/>
              </w:rPr>
              <w:t>)</w:t>
            </w:r>
          </w:p>
        </w:tc>
        <w:tc>
          <w:tcPr>
            <w:tcW w:w="1262" w:type="dxa"/>
            <w:vAlign w:val="top"/>
          </w:tcPr>
          <w:p w14:paraId="09E025B0">
            <w:pPr>
              <w:spacing w:before="82" w:line="189" w:lineRule="auto"/>
              <w:ind w:left="466"/>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450</w:t>
            </w:r>
          </w:p>
        </w:tc>
        <w:tc>
          <w:tcPr>
            <w:tcW w:w="778" w:type="dxa"/>
            <w:vAlign w:val="top"/>
          </w:tcPr>
          <w:p w14:paraId="74FD7AE4">
            <w:pPr>
              <w:spacing w:before="87" w:line="195" w:lineRule="auto"/>
              <w:ind w:left="346"/>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2628" w:type="dxa"/>
            <w:vAlign w:val="top"/>
          </w:tcPr>
          <w:p w14:paraId="63066057">
            <w:pPr>
              <w:spacing w:before="14" w:line="281" w:lineRule="exact"/>
              <w:ind w:left="567"/>
              <w:rPr>
                <w:rFonts w:ascii="宋体" w:hAnsi="宋体" w:eastAsia="宋体" w:cs="宋体"/>
                <w:sz w:val="20"/>
                <w:szCs w:val="20"/>
              </w:rPr>
            </w:pPr>
            <w:r>
              <w:rPr>
                <w:rFonts w:ascii="宋体" w:hAnsi="宋体" w:eastAsia="宋体" w:cs="宋体"/>
                <w:spacing w:val="9"/>
                <w:position w:val="2"/>
                <w:sz w:val="20"/>
                <w:szCs w:val="20"/>
              </w:rPr>
              <w:t>耗</w:t>
            </w:r>
            <w:r>
              <w:rPr>
                <w:rFonts w:ascii="宋体" w:hAnsi="宋体" w:eastAsia="宋体" w:cs="宋体"/>
                <w:spacing w:val="7"/>
                <w:position w:val="2"/>
                <w:sz w:val="20"/>
                <w:szCs w:val="20"/>
              </w:rPr>
              <w:t>氧量 (</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7"/>
                <w:position w:val="2"/>
                <w:sz w:val="20"/>
                <w:szCs w:val="20"/>
              </w:rPr>
              <w:t>/</w:t>
            </w:r>
            <w:r>
              <w:rPr>
                <w:rFonts w:ascii="Times New Roman" w:hAnsi="Times New Roman" w:eastAsia="Times New Roman" w:cs="Times New Roman"/>
                <w:position w:val="2"/>
                <w:sz w:val="20"/>
                <w:szCs w:val="20"/>
              </w:rPr>
              <w:t>L</w:t>
            </w:r>
            <w:r>
              <w:rPr>
                <w:rFonts w:ascii="宋体" w:hAnsi="宋体" w:eastAsia="宋体" w:cs="宋体"/>
                <w:spacing w:val="7"/>
                <w:position w:val="2"/>
                <w:sz w:val="20"/>
                <w:szCs w:val="20"/>
              </w:rPr>
              <w:t>)</w:t>
            </w:r>
          </w:p>
        </w:tc>
        <w:tc>
          <w:tcPr>
            <w:tcW w:w="1247" w:type="dxa"/>
            <w:tcBorders>
              <w:right w:val="nil"/>
            </w:tcBorders>
            <w:vAlign w:val="top"/>
          </w:tcPr>
          <w:p w14:paraId="1492C5AF">
            <w:pPr>
              <w:spacing w:before="82" w:line="189" w:lineRule="auto"/>
              <w:ind w:left="493"/>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3</w:t>
            </w:r>
            <w:r>
              <w:rPr>
                <w:rFonts w:ascii="Times New Roman" w:hAnsi="Times New Roman" w:eastAsia="Times New Roman" w:cs="Times New Roman"/>
                <w:sz w:val="22"/>
                <w:szCs w:val="22"/>
              </w:rPr>
              <w:t>.0</w:t>
            </w:r>
          </w:p>
        </w:tc>
      </w:tr>
      <w:tr w14:paraId="4176B8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33" w:type="dxa"/>
            <w:tcBorders>
              <w:left w:val="nil"/>
            </w:tcBorders>
            <w:vAlign w:val="top"/>
          </w:tcPr>
          <w:p w14:paraId="706DDE14">
            <w:pPr>
              <w:spacing w:before="88" w:line="195" w:lineRule="auto"/>
              <w:ind w:left="322"/>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874" w:type="dxa"/>
            <w:vAlign w:val="top"/>
          </w:tcPr>
          <w:p w14:paraId="56A5C30A">
            <w:pPr>
              <w:spacing w:before="15" w:line="281" w:lineRule="exact"/>
              <w:ind w:left="295"/>
              <w:rPr>
                <w:rFonts w:ascii="宋体" w:hAnsi="宋体" w:eastAsia="宋体" w:cs="宋体"/>
                <w:sz w:val="20"/>
                <w:szCs w:val="20"/>
              </w:rPr>
            </w:pPr>
            <w:r>
              <w:rPr>
                <w:rFonts w:ascii="宋体" w:hAnsi="宋体" w:eastAsia="宋体" w:cs="宋体"/>
                <w:spacing w:val="7"/>
                <w:position w:val="2"/>
                <w:sz w:val="20"/>
                <w:szCs w:val="20"/>
              </w:rPr>
              <w:t>氨氮 (</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7"/>
                <w:position w:val="2"/>
                <w:sz w:val="20"/>
                <w:szCs w:val="20"/>
              </w:rPr>
              <w:t>/</w:t>
            </w:r>
            <w:r>
              <w:rPr>
                <w:rFonts w:ascii="Times New Roman" w:hAnsi="Times New Roman" w:eastAsia="Times New Roman" w:cs="Times New Roman"/>
                <w:position w:val="2"/>
                <w:sz w:val="20"/>
                <w:szCs w:val="20"/>
              </w:rPr>
              <w:t>L</w:t>
            </w:r>
            <w:r>
              <w:rPr>
                <w:rFonts w:ascii="宋体" w:hAnsi="宋体" w:eastAsia="宋体" w:cs="宋体"/>
                <w:spacing w:val="6"/>
                <w:position w:val="2"/>
                <w:sz w:val="20"/>
                <w:szCs w:val="20"/>
              </w:rPr>
              <w:t>)</w:t>
            </w:r>
          </w:p>
        </w:tc>
        <w:tc>
          <w:tcPr>
            <w:tcW w:w="1262" w:type="dxa"/>
            <w:vAlign w:val="top"/>
          </w:tcPr>
          <w:p w14:paraId="7BD320BA">
            <w:pPr>
              <w:spacing w:before="85" w:line="189" w:lineRule="auto"/>
              <w:ind w:left="444"/>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0.5</w:t>
            </w:r>
            <w:r>
              <w:rPr>
                <w:rFonts w:ascii="Times New Roman" w:hAnsi="Times New Roman" w:eastAsia="Times New Roman" w:cs="Times New Roman"/>
                <w:spacing w:val="-1"/>
                <w:sz w:val="22"/>
                <w:szCs w:val="22"/>
              </w:rPr>
              <w:t>0</w:t>
            </w:r>
          </w:p>
        </w:tc>
        <w:tc>
          <w:tcPr>
            <w:tcW w:w="778" w:type="dxa"/>
            <w:vAlign w:val="top"/>
          </w:tcPr>
          <w:p w14:paraId="082A05F3">
            <w:pPr>
              <w:spacing w:before="88" w:line="195" w:lineRule="auto"/>
              <w:ind w:left="341"/>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2628" w:type="dxa"/>
            <w:vAlign w:val="top"/>
          </w:tcPr>
          <w:p w14:paraId="263286E1">
            <w:pPr>
              <w:spacing w:before="15" w:line="281" w:lineRule="exact"/>
              <w:ind w:left="465"/>
              <w:rPr>
                <w:rFonts w:ascii="宋体" w:hAnsi="宋体" w:eastAsia="宋体" w:cs="宋体"/>
                <w:sz w:val="20"/>
                <w:szCs w:val="20"/>
              </w:rPr>
            </w:pPr>
            <w:r>
              <w:rPr>
                <w:rFonts w:ascii="宋体" w:hAnsi="宋体" w:eastAsia="宋体" w:cs="宋体"/>
                <w:spacing w:val="10"/>
                <w:position w:val="2"/>
                <w:sz w:val="20"/>
                <w:szCs w:val="20"/>
              </w:rPr>
              <w:t>亚</w:t>
            </w:r>
            <w:r>
              <w:rPr>
                <w:rFonts w:ascii="宋体" w:hAnsi="宋体" w:eastAsia="宋体" w:cs="宋体"/>
                <w:spacing w:val="7"/>
                <w:position w:val="2"/>
                <w:sz w:val="20"/>
                <w:szCs w:val="20"/>
              </w:rPr>
              <w:t>硝酸盐 (</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7"/>
                <w:position w:val="2"/>
                <w:sz w:val="20"/>
                <w:szCs w:val="20"/>
              </w:rPr>
              <w:t>/</w:t>
            </w:r>
            <w:r>
              <w:rPr>
                <w:rFonts w:ascii="Times New Roman" w:hAnsi="Times New Roman" w:eastAsia="Times New Roman" w:cs="Times New Roman"/>
                <w:position w:val="2"/>
                <w:sz w:val="20"/>
                <w:szCs w:val="20"/>
              </w:rPr>
              <w:t>L</w:t>
            </w:r>
            <w:r>
              <w:rPr>
                <w:rFonts w:ascii="宋体" w:hAnsi="宋体" w:eastAsia="宋体" w:cs="宋体"/>
                <w:spacing w:val="7"/>
                <w:position w:val="2"/>
                <w:sz w:val="20"/>
                <w:szCs w:val="20"/>
              </w:rPr>
              <w:t>)</w:t>
            </w:r>
          </w:p>
        </w:tc>
        <w:tc>
          <w:tcPr>
            <w:tcW w:w="1247" w:type="dxa"/>
            <w:tcBorders>
              <w:right w:val="nil"/>
            </w:tcBorders>
            <w:vAlign w:val="top"/>
          </w:tcPr>
          <w:p w14:paraId="7A2575D0">
            <w:pPr>
              <w:spacing w:before="85" w:line="192" w:lineRule="auto"/>
              <w:ind w:left="454"/>
              <w:rPr>
                <w:rFonts w:ascii="Times New Roman" w:hAnsi="Times New Roman" w:eastAsia="Times New Roman" w:cs="Times New Roman"/>
                <w:sz w:val="22"/>
                <w:szCs w:val="22"/>
              </w:rPr>
            </w:pPr>
            <w:r>
              <w:rPr>
                <w:rFonts w:ascii="Times New Roman" w:hAnsi="Times New Roman" w:eastAsia="Times New Roman" w:cs="Times New Roman"/>
                <w:spacing w:val="-7"/>
                <w:sz w:val="22"/>
                <w:szCs w:val="22"/>
              </w:rPr>
              <w:t>1</w:t>
            </w:r>
            <w:r>
              <w:rPr>
                <w:rFonts w:ascii="Times New Roman" w:hAnsi="Times New Roman" w:eastAsia="Times New Roman" w:cs="Times New Roman"/>
                <w:spacing w:val="-6"/>
                <w:sz w:val="22"/>
                <w:szCs w:val="22"/>
              </w:rPr>
              <w:t>.00</w:t>
            </w:r>
          </w:p>
        </w:tc>
      </w:tr>
      <w:tr w14:paraId="0C5184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33" w:type="dxa"/>
            <w:tcBorders>
              <w:left w:val="nil"/>
            </w:tcBorders>
            <w:vAlign w:val="top"/>
          </w:tcPr>
          <w:p w14:paraId="4FC49E22">
            <w:pPr>
              <w:spacing w:before="89" w:line="195" w:lineRule="auto"/>
              <w:ind w:left="31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874" w:type="dxa"/>
            <w:vAlign w:val="top"/>
          </w:tcPr>
          <w:p w14:paraId="64F1850B">
            <w:pPr>
              <w:spacing w:before="15" w:line="281" w:lineRule="exact"/>
              <w:ind w:left="192"/>
              <w:rPr>
                <w:rFonts w:ascii="宋体" w:hAnsi="宋体" w:eastAsia="宋体" w:cs="宋体"/>
                <w:sz w:val="20"/>
                <w:szCs w:val="20"/>
              </w:rPr>
            </w:pPr>
            <w:r>
              <w:rPr>
                <w:rFonts w:ascii="宋体" w:hAnsi="宋体" w:eastAsia="宋体" w:cs="宋体"/>
                <w:spacing w:val="7"/>
                <w:position w:val="2"/>
                <w:sz w:val="20"/>
                <w:szCs w:val="20"/>
              </w:rPr>
              <w:t>氯化物 (</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7"/>
                <w:position w:val="2"/>
                <w:sz w:val="20"/>
                <w:szCs w:val="20"/>
              </w:rPr>
              <w:t>/</w:t>
            </w:r>
            <w:r>
              <w:rPr>
                <w:rFonts w:ascii="Times New Roman" w:hAnsi="Times New Roman" w:eastAsia="Times New Roman" w:cs="Times New Roman"/>
                <w:position w:val="2"/>
                <w:sz w:val="20"/>
                <w:szCs w:val="20"/>
              </w:rPr>
              <w:t>L</w:t>
            </w:r>
            <w:r>
              <w:rPr>
                <w:rFonts w:ascii="宋体" w:hAnsi="宋体" w:eastAsia="宋体" w:cs="宋体"/>
                <w:spacing w:val="7"/>
                <w:position w:val="2"/>
                <w:sz w:val="20"/>
                <w:szCs w:val="20"/>
              </w:rPr>
              <w:t>)</w:t>
            </w:r>
          </w:p>
        </w:tc>
        <w:tc>
          <w:tcPr>
            <w:tcW w:w="1262" w:type="dxa"/>
            <w:vAlign w:val="top"/>
          </w:tcPr>
          <w:p w14:paraId="5D56DFC4">
            <w:pPr>
              <w:spacing w:before="85" w:line="189" w:lineRule="auto"/>
              <w:ind w:left="467"/>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2</w:t>
            </w:r>
            <w:r>
              <w:rPr>
                <w:rFonts w:ascii="Times New Roman" w:hAnsi="Times New Roman" w:eastAsia="Times New Roman" w:cs="Times New Roman"/>
                <w:spacing w:val="-1"/>
                <w:sz w:val="22"/>
                <w:szCs w:val="22"/>
              </w:rPr>
              <w:t>50</w:t>
            </w:r>
          </w:p>
        </w:tc>
        <w:tc>
          <w:tcPr>
            <w:tcW w:w="778" w:type="dxa"/>
            <w:vAlign w:val="top"/>
          </w:tcPr>
          <w:p w14:paraId="78C0BCE7">
            <w:pPr>
              <w:spacing w:before="89" w:line="195" w:lineRule="auto"/>
              <w:ind w:left="30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2628" w:type="dxa"/>
            <w:vAlign w:val="top"/>
          </w:tcPr>
          <w:p w14:paraId="6BB0D3A9">
            <w:pPr>
              <w:spacing w:before="15" w:line="281" w:lineRule="exact"/>
              <w:ind w:left="776"/>
              <w:rPr>
                <w:rFonts w:ascii="宋体" w:hAnsi="宋体" w:eastAsia="宋体" w:cs="宋体"/>
                <w:sz w:val="20"/>
                <w:szCs w:val="20"/>
              </w:rPr>
            </w:pPr>
            <w:r>
              <w:rPr>
                <w:rFonts w:ascii="宋体" w:hAnsi="宋体" w:eastAsia="宋体" w:cs="宋体"/>
                <w:spacing w:val="6"/>
                <w:position w:val="2"/>
                <w:sz w:val="20"/>
                <w:szCs w:val="20"/>
              </w:rPr>
              <w:t>钠 (</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L</w:t>
            </w:r>
            <w:r>
              <w:rPr>
                <w:rFonts w:ascii="宋体" w:hAnsi="宋体" w:eastAsia="宋体" w:cs="宋体"/>
                <w:spacing w:val="6"/>
                <w:position w:val="2"/>
                <w:sz w:val="20"/>
                <w:szCs w:val="20"/>
              </w:rPr>
              <w:t>)</w:t>
            </w:r>
          </w:p>
        </w:tc>
        <w:tc>
          <w:tcPr>
            <w:tcW w:w="1247" w:type="dxa"/>
            <w:tcBorders>
              <w:right w:val="nil"/>
            </w:tcBorders>
            <w:vAlign w:val="top"/>
          </w:tcPr>
          <w:p w14:paraId="26146BE0">
            <w:pPr>
              <w:spacing w:before="85" w:line="189" w:lineRule="auto"/>
              <w:ind w:left="459"/>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2</w:t>
            </w:r>
            <w:r>
              <w:rPr>
                <w:rFonts w:ascii="Times New Roman" w:hAnsi="Times New Roman" w:eastAsia="Times New Roman" w:cs="Times New Roman"/>
                <w:spacing w:val="-1"/>
                <w:sz w:val="22"/>
                <w:szCs w:val="22"/>
              </w:rPr>
              <w:t>00</w:t>
            </w:r>
          </w:p>
        </w:tc>
      </w:tr>
      <w:tr w14:paraId="6E3A7D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33" w:type="dxa"/>
            <w:tcBorders>
              <w:left w:val="nil"/>
            </w:tcBorders>
            <w:vAlign w:val="top"/>
          </w:tcPr>
          <w:p w14:paraId="7E487045">
            <w:pPr>
              <w:spacing w:before="94" w:line="192" w:lineRule="auto"/>
              <w:ind w:left="324"/>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874" w:type="dxa"/>
            <w:vAlign w:val="top"/>
          </w:tcPr>
          <w:p w14:paraId="495227B6">
            <w:pPr>
              <w:spacing w:before="17" w:line="281" w:lineRule="exact"/>
              <w:ind w:left="188"/>
              <w:rPr>
                <w:rFonts w:ascii="宋体" w:hAnsi="宋体" w:eastAsia="宋体" w:cs="宋体"/>
                <w:sz w:val="20"/>
                <w:szCs w:val="20"/>
              </w:rPr>
            </w:pPr>
            <w:r>
              <w:rPr>
                <w:rFonts w:ascii="宋体" w:hAnsi="宋体" w:eastAsia="宋体" w:cs="宋体"/>
                <w:spacing w:val="11"/>
                <w:position w:val="2"/>
                <w:sz w:val="20"/>
                <w:szCs w:val="20"/>
              </w:rPr>
              <w:t>硫</w:t>
            </w:r>
            <w:r>
              <w:rPr>
                <w:rFonts w:ascii="宋体" w:hAnsi="宋体" w:eastAsia="宋体" w:cs="宋体"/>
                <w:spacing w:val="7"/>
                <w:position w:val="2"/>
                <w:sz w:val="20"/>
                <w:szCs w:val="20"/>
              </w:rPr>
              <w:t>酸盐 (</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7"/>
                <w:position w:val="2"/>
                <w:sz w:val="20"/>
                <w:szCs w:val="20"/>
              </w:rPr>
              <w:t>/</w:t>
            </w:r>
            <w:r>
              <w:rPr>
                <w:rFonts w:ascii="Times New Roman" w:hAnsi="Times New Roman" w:eastAsia="Times New Roman" w:cs="Times New Roman"/>
                <w:position w:val="2"/>
                <w:sz w:val="20"/>
                <w:szCs w:val="20"/>
              </w:rPr>
              <w:t>L</w:t>
            </w:r>
            <w:r>
              <w:rPr>
                <w:rFonts w:ascii="宋体" w:hAnsi="宋体" w:eastAsia="宋体" w:cs="宋体"/>
                <w:spacing w:val="7"/>
                <w:position w:val="2"/>
                <w:sz w:val="20"/>
                <w:szCs w:val="20"/>
              </w:rPr>
              <w:t>)</w:t>
            </w:r>
          </w:p>
        </w:tc>
        <w:tc>
          <w:tcPr>
            <w:tcW w:w="1262" w:type="dxa"/>
            <w:vAlign w:val="top"/>
          </w:tcPr>
          <w:p w14:paraId="2B019C82">
            <w:pPr>
              <w:spacing w:before="85" w:line="189" w:lineRule="auto"/>
              <w:ind w:left="467"/>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2</w:t>
            </w:r>
            <w:r>
              <w:rPr>
                <w:rFonts w:ascii="Times New Roman" w:hAnsi="Times New Roman" w:eastAsia="Times New Roman" w:cs="Times New Roman"/>
                <w:spacing w:val="-1"/>
                <w:sz w:val="22"/>
                <w:szCs w:val="22"/>
              </w:rPr>
              <w:t>50</w:t>
            </w:r>
          </w:p>
        </w:tc>
        <w:tc>
          <w:tcPr>
            <w:tcW w:w="778" w:type="dxa"/>
            <w:vAlign w:val="top"/>
          </w:tcPr>
          <w:p w14:paraId="386CD0E7">
            <w:pPr>
              <w:spacing w:before="91" w:line="195" w:lineRule="auto"/>
              <w:ind w:left="309"/>
              <w:rPr>
                <w:rFonts w:ascii="Times New Roman" w:hAnsi="Times New Roman" w:eastAsia="Times New Roman" w:cs="Times New Roman"/>
                <w:sz w:val="20"/>
                <w:szCs w:val="20"/>
              </w:rPr>
            </w:pPr>
            <w:r>
              <w:rPr>
                <w:rFonts w:ascii="Times New Roman" w:hAnsi="Times New Roman" w:eastAsia="Times New Roman" w:cs="Times New Roman"/>
                <w:spacing w:val="-11"/>
                <w:sz w:val="20"/>
                <w:szCs w:val="20"/>
              </w:rPr>
              <w:t>1</w:t>
            </w:r>
            <w:r>
              <w:rPr>
                <w:rFonts w:ascii="Times New Roman" w:hAnsi="Times New Roman" w:eastAsia="Times New Roman" w:cs="Times New Roman"/>
                <w:spacing w:val="-9"/>
                <w:sz w:val="20"/>
                <w:szCs w:val="20"/>
              </w:rPr>
              <w:t>1</w:t>
            </w:r>
          </w:p>
        </w:tc>
        <w:tc>
          <w:tcPr>
            <w:tcW w:w="2628" w:type="dxa"/>
            <w:vAlign w:val="top"/>
          </w:tcPr>
          <w:p w14:paraId="616AAA3D">
            <w:pPr>
              <w:spacing w:before="17" w:line="281" w:lineRule="exact"/>
              <w:ind w:left="313"/>
              <w:rPr>
                <w:rFonts w:ascii="宋体" w:hAnsi="宋体" w:eastAsia="宋体" w:cs="宋体"/>
                <w:sz w:val="20"/>
                <w:szCs w:val="20"/>
              </w:rPr>
            </w:pPr>
            <w:r>
              <w:rPr>
                <w:rFonts w:ascii="宋体" w:hAnsi="宋体" w:eastAsia="宋体" w:cs="宋体"/>
                <w:spacing w:val="13"/>
                <w:position w:val="1"/>
                <w:sz w:val="20"/>
                <w:szCs w:val="20"/>
              </w:rPr>
              <w:t>细</w:t>
            </w:r>
            <w:r>
              <w:rPr>
                <w:rFonts w:ascii="宋体" w:hAnsi="宋体" w:eastAsia="宋体" w:cs="宋体"/>
                <w:spacing w:val="9"/>
                <w:position w:val="1"/>
                <w:sz w:val="20"/>
                <w:szCs w:val="20"/>
              </w:rPr>
              <w:t>菌总数 (</w:t>
            </w:r>
            <w:r>
              <w:rPr>
                <w:rFonts w:ascii="Times New Roman" w:hAnsi="Times New Roman" w:eastAsia="Times New Roman" w:cs="Times New Roman"/>
                <w:position w:val="1"/>
                <w:sz w:val="20"/>
                <w:szCs w:val="20"/>
              </w:rPr>
              <w:t>CFU</w:t>
            </w:r>
            <w:r>
              <w:rPr>
                <w:rFonts w:ascii="Times New Roman" w:hAnsi="Times New Roman" w:eastAsia="Times New Roman" w:cs="Times New Roman"/>
                <w:spacing w:val="9"/>
                <w:position w:val="1"/>
                <w:sz w:val="20"/>
                <w:szCs w:val="20"/>
              </w:rPr>
              <w:t>/</w:t>
            </w:r>
            <w:r>
              <w:rPr>
                <w:rFonts w:ascii="Times New Roman" w:hAnsi="Times New Roman" w:eastAsia="Times New Roman" w:cs="Times New Roman"/>
                <w:position w:val="1"/>
                <w:sz w:val="20"/>
                <w:szCs w:val="20"/>
              </w:rPr>
              <w:t>mL</w:t>
            </w:r>
            <w:r>
              <w:rPr>
                <w:rFonts w:ascii="宋体" w:hAnsi="宋体" w:eastAsia="宋体" w:cs="宋体"/>
                <w:spacing w:val="9"/>
                <w:position w:val="1"/>
                <w:sz w:val="20"/>
                <w:szCs w:val="20"/>
              </w:rPr>
              <w:t>)</w:t>
            </w:r>
          </w:p>
        </w:tc>
        <w:tc>
          <w:tcPr>
            <w:tcW w:w="1247" w:type="dxa"/>
            <w:tcBorders>
              <w:right w:val="nil"/>
            </w:tcBorders>
            <w:vAlign w:val="top"/>
          </w:tcPr>
          <w:p w14:paraId="657642F0">
            <w:pPr>
              <w:spacing w:before="85" w:line="189" w:lineRule="auto"/>
              <w:ind w:left="481"/>
              <w:rPr>
                <w:rFonts w:ascii="Times New Roman" w:hAnsi="Times New Roman" w:eastAsia="Times New Roman" w:cs="Times New Roman"/>
                <w:sz w:val="22"/>
                <w:szCs w:val="22"/>
              </w:rPr>
            </w:pPr>
            <w:r>
              <w:rPr>
                <w:rFonts w:ascii="Times New Roman" w:hAnsi="Times New Roman" w:eastAsia="Times New Roman" w:cs="Times New Roman"/>
                <w:spacing w:val="-9"/>
                <w:sz w:val="22"/>
                <w:szCs w:val="22"/>
              </w:rPr>
              <w:t>1</w:t>
            </w:r>
            <w:r>
              <w:rPr>
                <w:rFonts w:ascii="Times New Roman" w:hAnsi="Times New Roman" w:eastAsia="Times New Roman" w:cs="Times New Roman"/>
                <w:spacing w:val="-8"/>
                <w:sz w:val="22"/>
                <w:szCs w:val="22"/>
              </w:rPr>
              <w:t>00</w:t>
            </w:r>
          </w:p>
        </w:tc>
      </w:tr>
      <w:tr w14:paraId="3B8BA8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733" w:type="dxa"/>
            <w:tcBorders>
              <w:left w:val="nil"/>
            </w:tcBorders>
            <w:vAlign w:val="top"/>
          </w:tcPr>
          <w:p w14:paraId="4F2B2598">
            <w:pPr>
              <w:spacing w:before="91" w:line="195" w:lineRule="auto"/>
              <w:ind w:left="323"/>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874" w:type="dxa"/>
            <w:vAlign w:val="top"/>
          </w:tcPr>
          <w:p w14:paraId="31FE9284">
            <w:pPr>
              <w:spacing w:before="18" w:line="281" w:lineRule="exact"/>
              <w:ind w:left="87"/>
              <w:rPr>
                <w:rFonts w:ascii="宋体" w:hAnsi="宋体" w:eastAsia="宋体" w:cs="宋体"/>
                <w:sz w:val="20"/>
                <w:szCs w:val="20"/>
              </w:rPr>
            </w:pPr>
            <w:r>
              <w:rPr>
                <w:rFonts w:ascii="宋体" w:hAnsi="宋体" w:eastAsia="宋体" w:cs="宋体"/>
                <w:spacing w:val="10"/>
                <w:position w:val="2"/>
                <w:sz w:val="20"/>
                <w:szCs w:val="20"/>
              </w:rPr>
              <w:t>硝</w:t>
            </w:r>
            <w:r>
              <w:rPr>
                <w:rFonts w:ascii="宋体" w:hAnsi="宋体" w:eastAsia="宋体" w:cs="宋体"/>
                <w:spacing w:val="7"/>
                <w:position w:val="2"/>
                <w:sz w:val="20"/>
                <w:szCs w:val="20"/>
              </w:rPr>
              <w:t>酸盐氮 (</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7"/>
                <w:position w:val="2"/>
                <w:sz w:val="20"/>
                <w:szCs w:val="20"/>
              </w:rPr>
              <w:t>/</w:t>
            </w:r>
            <w:r>
              <w:rPr>
                <w:rFonts w:ascii="Times New Roman" w:hAnsi="Times New Roman" w:eastAsia="Times New Roman" w:cs="Times New Roman"/>
                <w:position w:val="2"/>
                <w:sz w:val="20"/>
                <w:szCs w:val="20"/>
              </w:rPr>
              <w:t>L</w:t>
            </w:r>
            <w:r>
              <w:rPr>
                <w:rFonts w:ascii="宋体" w:hAnsi="宋体" w:eastAsia="宋体" w:cs="宋体"/>
                <w:spacing w:val="7"/>
                <w:position w:val="2"/>
                <w:sz w:val="20"/>
                <w:szCs w:val="20"/>
              </w:rPr>
              <w:t>)</w:t>
            </w:r>
          </w:p>
        </w:tc>
        <w:tc>
          <w:tcPr>
            <w:tcW w:w="1262" w:type="dxa"/>
            <w:vAlign w:val="top"/>
          </w:tcPr>
          <w:p w14:paraId="507C7E03">
            <w:pPr>
              <w:spacing w:before="86" w:line="189" w:lineRule="auto"/>
              <w:ind w:left="44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20.0</w:t>
            </w:r>
          </w:p>
        </w:tc>
        <w:tc>
          <w:tcPr>
            <w:tcW w:w="778" w:type="dxa"/>
            <w:vAlign w:val="top"/>
          </w:tcPr>
          <w:p w14:paraId="55BB8451">
            <w:pPr>
              <w:spacing w:before="91" w:line="195" w:lineRule="auto"/>
              <w:ind w:left="30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2</w:t>
            </w:r>
          </w:p>
        </w:tc>
        <w:tc>
          <w:tcPr>
            <w:tcW w:w="2628" w:type="dxa"/>
            <w:vAlign w:val="top"/>
          </w:tcPr>
          <w:p w14:paraId="1232535D">
            <w:pPr>
              <w:spacing w:before="18" w:line="281" w:lineRule="exact"/>
              <w:ind w:left="37"/>
              <w:rPr>
                <w:rFonts w:ascii="宋体" w:hAnsi="宋体" w:eastAsia="宋体" w:cs="宋体"/>
                <w:sz w:val="20"/>
                <w:szCs w:val="20"/>
              </w:rPr>
            </w:pPr>
            <w:r>
              <w:rPr>
                <w:rFonts w:ascii="宋体" w:hAnsi="宋体" w:eastAsia="宋体" w:cs="宋体"/>
                <w:spacing w:val="6"/>
                <w:position w:val="1"/>
                <w:sz w:val="20"/>
                <w:szCs w:val="20"/>
              </w:rPr>
              <w:t>总大肠</w:t>
            </w:r>
            <w:r>
              <w:rPr>
                <w:rFonts w:ascii="宋体" w:hAnsi="宋体" w:eastAsia="宋体" w:cs="宋体"/>
                <w:spacing w:val="3"/>
                <w:position w:val="1"/>
                <w:sz w:val="20"/>
                <w:szCs w:val="20"/>
              </w:rPr>
              <w:t>菌群 (</w:t>
            </w:r>
            <w:r>
              <w:rPr>
                <w:rFonts w:ascii="Times New Roman" w:hAnsi="Times New Roman" w:eastAsia="Times New Roman" w:cs="Times New Roman"/>
                <w:position w:val="1"/>
                <w:sz w:val="20"/>
                <w:szCs w:val="20"/>
              </w:rPr>
              <w:t>MPN</w:t>
            </w:r>
            <w:r>
              <w:rPr>
                <w:rFonts w:ascii="Times New Roman" w:hAnsi="Times New Roman" w:eastAsia="Times New Roman" w:cs="Times New Roman"/>
                <w:spacing w:val="3"/>
                <w:position w:val="1"/>
                <w:sz w:val="20"/>
                <w:szCs w:val="20"/>
              </w:rPr>
              <w:t>/ 100</w:t>
            </w:r>
            <w:r>
              <w:rPr>
                <w:rFonts w:ascii="Times New Roman" w:hAnsi="Times New Roman" w:eastAsia="Times New Roman" w:cs="Times New Roman"/>
                <w:position w:val="1"/>
                <w:sz w:val="20"/>
                <w:szCs w:val="20"/>
              </w:rPr>
              <w:t>mL</w:t>
            </w:r>
            <w:r>
              <w:rPr>
                <w:rFonts w:ascii="宋体" w:hAnsi="宋体" w:eastAsia="宋体" w:cs="宋体"/>
                <w:spacing w:val="3"/>
                <w:position w:val="1"/>
                <w:sz w:val="20"/>
                <w:szCs w:val="20"/>
              </w:rPr>
              <w:t>)</w:t>
            </w:r>
          </w:p>
        </w:tc>
        <w:tc>
          <w:tcPr>
            <w:tcW w:w="1247" w:type="dxa"/>
            <w:tcBorders>
              <w:right w:val="nil"/>
            </w:tcBorders>
            <w:vAlign w:val="top"/>
          </w:tcPr>
          <w:p w14:paraId="2BDEDF3F">
            <w:pPr>
              <w:spacing w:before="86" w:line="189" w:lineRule="auto"/>
              <w:ind w:left="493"/>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3</w:t>
            </w:r>
            <w:r>
              <w:rPr>
                <w:rFonts w:ascii="Times New Roman" w:hAnsi="Times New Roman" w:eastAsia="Times New Roman" w:cs="Times New Roman"/>
                <w:sz w:val="22"/>
                <w:szCs w:val="22"/>
              </w:rPr>
              <w:t>.0</w:t>
            </w:r>
          </w:p>
        </w:tc>
      </w:tr>
    </w:tbl>
    <w:p w14:paraId="3396A636">
      <w:pPr>
        <w:spacing w:line="257" w:lineRule="auto"/>
        <w:rPr>
          <w:rFonts w:ascii="Arial"/>
          <w:sz w:val="21"/>
        </w:rPr>
      </w:pPr>
    </w:p>
    <w:p w14:paraId="1CF5A72B">
      <w:pPr>
        <w:spacing w:before="75" w:line="226" w:lineRule="auto"/>
        <w:ind w:left="608"/>
        <w:rPr>
          <w:rFonts w:ascii="宋体" w:hAnsi="宋体" w:eastAsia="宋体" w:cs="宋体"/>
          <w:sz w:val="23"/>
          <w:szCs w:val="23"/>
        </w:rPr>
      </w:pPr>
      <w:r>
        <w:rPr>
          <w:rFonts w:ascii="宋体" w:hAnsi="宋体" w:eastAsia="宋体" w:cs="宋体"/>
          <w:spacing w:val="20"/>
          <w:sz w:val="23"/>
          <w:szCs w:val="23"/>
        </w:rPr>
        <w:t>(</w:t>
      </w:r>
      <w:r>
        <w:rPr>
          <w:rFonts w:ascii="Times New Roman" w:hAnsi="Times New Roman" w:eastAsia="Times New Roman" w:cs="Times New Roman"/>
          <w:spacing w:val="20"/>
          <w:sz w:val="23"/>
          <w:szCs w:val="23"/>
        </w:rPr>
        <w:t>2</w:t>
      </w:r>
      <w:r>
        <w:rPr>
          <w:rFonts w:ascii="宋体" w:hAnsi="宋体" w:eastAsia="宋体" w:cs="宋体"/>
          <w:spacing w:val="20"/>
          <w:sz w:val="23"/>
          <w:szCs w:val="23"/>
        </w:rPr>
        <w:t>) 评价方</w:t>
      </w:r>
      <w:r>
        <w:rPr>
          <w:rFonts w:ascii="宋体" w:hAnsi="宋体" w:eastAsia="宋体" w:cs="宋体"/>
          <w:spacing w:val="19"/>
          <w:sz w:val="23"/>
          <w:szCs w:val="23"/>
        </w:rPr>
        <w:t>法</w:t>
      </w:r>
    </w:p>
    <w:p w14:paraId="0BB31DEF">
      <w:pPr>
        <w:spacing w:line="277" w:lineRule="auto"/>
        <w:rPr>
          <w:rFonts w:ascii="Arial"/>
          <w:sz w:val="21"/>
        </w:rPr>
      </w:pPr>
    </w:p>
    <w:p w14:paraId="73D6E106">
      <w:pPr>
        <w:spacing w:before="75" w:line="226" w:lineRule="auto"/>
        <w:ind w:left="596"/>
        <w:rPr>
          <w:rFonts w:ascii="宋体" w:hAnsi="宋体" w:eastAsia="宋体" w:cs="宋体"/>
          <w:sz w:val="23"/>
          <w:szCs w:val="23"/>
        </w:rPr>
      </w:pPr>
      <w:r>
        <w:rPr>
          <w:rFonts w:ascii="宋体" w:hAnsi="宋体" w:eastAsia="宋体" w:cs="宋体"/>
          <w:spacing w:val="13"/>
          <w:sz w:val="23"/>
          <w:szCs w:val="23"/>
        </w:rPr>
        <w:t>评</w:t>
      </w:r>
      <w:r>
        <w:rPr>
          <w:rFonts w:ascii="宋体" w:hAnsi="宋体" w:eastAsia="宋体" w:cs="宋体"/>
          <w:spacing w:val="8"/>
          <w:sz w:val="23"/>
          <w:szCs w:val="23"/>
        </w:rPr>
        <w:t>价方法采用标准指数法。</w:t>
      </w:r>
    </w:p>
    <w:p w14:paraId="48EA7FB8">
      <w:pPr>
        <w:sectPr>
          <w:headerReference r:id="rId169" w:type="default"/>
          <w:footerReference r:id="rId170" w:type="default"/>
          <w:pgSz w:w="11906" w:h="16839"/>
          <w:pgMar w:top="1132" w:right="1691" w:bottom="1182" w:left="1691" w:header="878" w:footer="1022" w:gutter="0"/>
          <w:cols w:space="720" w:num="1"/>
        </w:sectPr>
      </w:pPr>
    </w:p>
    <w:p w14:paraId="785F35A6">
      <w:pPr>
        <w:spacing w:line="365" w:lineRule="auto"/>
        <w:rPr>
          <w:rFonts w:ascii="Arial"/>
          <w:sz w:val="21"/>
        </w:rPr>
      </w:pPr>
      <w:r>
        <w:pict>
          <v:shape id="_x0000_s1221" o:spid="_x0000_s1221" style="position:absolute;left:0pt;margin-left:90pt;margin-top:57.35pt;height:0.75pt;width:415.3pt;mso-position-horizontal-relative:page;mso-position-vertical-relative:page;z-index:251873280;mso-width-relative:page;mso-height-relative:page;" fillcolor="#000000" filled="t" stroked="f" coordsize="8305,15" o:allowincell="f" path="m0,0l8305,0,8305,14,0,14,0,0xe">
            <v:path/>
            <v:fill on="t" focussize="0,0"/>
            <v:stroke on="f"/>
            <v:imagedata o:title=""/>
            <o:lock v:ext="edit"/>
          </v:shape>
        </w:pict>
      </w:r>
    </w:p>
    <w:p w14:paraId="48605FBB">
      <w:pPr>
        <w:spacing w:before="75" w:line="323" w:lineRule="exact"/>
        <w:ind w:left="514"/>
        <w:rPr>
          <w:rFonts w:ascii="宋体" w:hAnsi="宋体" w:eastAsia="宋体" w:cs="宋体"/>
          <w:sz w:val="23"/>
          <w:szCs w:val="23"/>
        </w:rPr>
      </w:pPr>
      <w:r>
        <w:rPr>
          <w:rFonts w:ascii="宋体" w:hAnsi="宋体" w:eastAsia="宋体" w:cs="宋体"/>
          <w:spacing w:val="8"/>
          <w:position w:val="3"/>
          <w:sz w:val="23"/>
          <w:szCs w:val="23"/>
        </w:rPr>
        <w:t xml:space="preserve">单项水质因子 </w:t>
      </w:r>
      <w:r>
        <w:rPr>
          <w:rFonts w:ascii="Times New Roman" w:hAnsi="Times New Roman" w:eastAsia="Times New Roman" w:cs="Times New Roman"/>
          <w:position w:val="3"/>
          <w:sz w:val="23"/>
          <w:szCs w:val="23"/>
        </w:rPr>
        <w:t>i</w:t>
      </w:r>
      <w:r>
        <w:rPr>
          <w:rFonts w:ascii="Times New Roman" w:hAnsi="Times New Roman" w:eastAsia="Times New Roman" w:cs="Times New Roman"/>
          <w:spacing w:val="8"/>
          <w:position w:val="3"/>
          <w:sz w:val="23"/>
          <w:szCs w:val="23"/>
        </w:rPr>
        <w:t xml:space="preserve"> </w:t>
      </w:r>
      <w:r>
        <w:rPr>
          <w:rFonts w:ascii="宋体" w:hAnsi="宋体" w:eastAsia="宋体" w:cs="宋体"/>
          <w:spacing w:val="8"/>
          <w:position w:val="3"/>
          <w:sz w:val="23"/>
          <w:szCs w:val="23"/>
        </w:rPr>
        <w:t>在第</w:t>
      </w:r>
      <w:r>
        <w:rPr>
          <w:rFonts w:ascii="Times New Roman" w:hAnsi="Times New Roman" w:eastAsia="Times New Roman" w:cs="Times New Roman"/>
          <w:position w:val="3"/>
          <w:sz w:val="23"/>
          <w:szCs w:val="23"/>
        </w:rPr>
        <w:t>j</w:t>
      </w:r>
      <w:r>
        <w:rPr>
          <w:rFonts w:ascii="Times New Roman" w:hAnsi="Times New Roman" w:eastAsia="Times New Roman" w:cs="Times New Roman"/>
          <w:spacing w:val="8"/>
          <w:position w:val="3"/>
          <w:sz w:val="23"/>
          <w:szCs w:val="23"/>
        </w:rPr>
        <w:t xml:space="preserve"> </w:t>
      </w:r>
      <w:r>
        <w:rPr>
          <w:rFonts w:ascii="宋体" w:hAnsi="宋体" w:eastAsia="宋体" w:cs="宋体"/>
          <w:spacing w:val="8"/>
          <w:position w:val="3"/>
          <w:sz w:val="23"/>
          <w:szCs w:val="23"/>
        </w:rPr>
        <w:t>点的标准指数</w:t>
      </w:r>
      <w:r>
        <w:rPr>
          <w:rFonts w:ascii="宋体" w:hAnsi="宋体" w:eastAsia="宋体" w:cs="宋体"/>
          <w:spacing w:val="6"/>
          <w:position w:val="3"/>
          <w:sz w:val="23"/>
          <w:szCs w:val="23"/>
        </w:rPr>
        <w:t>：</w:t>
      </w:r>
    </w:p>
    <w:p w14:paraId="6C7975E5">
      <w:pPr>
        <w:spacing w:line="328" w:lineRule="auto"/>
        <w:rPr>
          <w:rFonts w:ascii="Arial"/>
          <w:sz w:val="21"/>
        </w:rPr>
      </w:pPr>
    </w:p>
    <w:p w14:paraId="03E36D80">
      <w:pPr>
        <w:spacing w:before="71"/>
        <w:ind w:left="3707"/>
        <w:rPr>
          <w:sz w:val="23"/>
          <w:szCs w:val="23"/>
        </w:rPr>
      </w:pPr>
      <w:r>
        <w:rPr>
          <w:rFonts w:ascii="Times New Roman" w:hAnsi="Times New Roman" w:eastAsia="Times New Roman" w:cs="Times New Roman"/>
          <w:i/>
          <w:iCs/>
          <w:position w:val="2"/>
          <w:sz w:val="23"/>
          <w:szCs w:val="23"/>
        </w:rPr>
        <w:t>S</w:t>
      </w:r>
      <w:r>
        <w:rPr>
          <w:rFonts w:ascii="Times New Roman" w:hAnsi="Times New Roman" w:eastAsia="Times New Roman" w:cs="Times New Roman"/>
          <w:position w:val="-3"/>
          <w:sz w:val="13"/>
          <w:szCs w:val="13"/>
        </w:rPr>
        <w:t>i</w:t>
      </w:r>
      <w:r>
        <w:rPr>
          <w:rFonts w:ascii="Times New Roman" w:hAnsi="Times New Roman" w:eastAsia="Times New Roman" w:cs="Times New Roman"/>
          <w:spacing w:val="12"/>
          <w:position w:val="-3"/>
          <w:sz w:val="13"/>
          <w:szCs w:val="13"/>
        </w:rPr>
        <w:t>,</w:t>
      </w:r>
      <w:r>
        <w:rPr>
          <w:rFonts w:ascii="Times New Roman" w:hAnsi="Times New Roman" w:eastAsia="Times New Roman" w:cs="Times New Roman"/>
          <w:i/>
          <w:iCs/>
          <w:position w:val="-3"/>
          <w:sz w:val="13"/>
          <w:szCs w:val="13"/>
        </w:rPr>
        <w:t>j</w:t>
      </w:r>
      <w:r>
        <w:rPr>
          <w:rFonts w:ascii="Times New Roman" w:hAnsi="Times New Roman" w:eastAsia="Times New Roman" w:cs="Times New Roman"/>
          <w:spacing w:val="12"/>
          <w:position w:val="-3"/>
          <w:sz w:val="13"/>
          <w:szCs w:val="13"/>
        </w:rPr>
        <w:t xml:space="preserve">   </w:t>
      </w:r>
      <w:r>
        <w:rPr>
          <w:rFonts w:ascii="Symbol" w:hAnsi="Symbol" w:eastAsia="Symbol" w:cs="Symbol"/>
          <w:spacing w:val="12"/>
          <w:position w:val="2"/>
          <w:sz w:val="23"/>
          <w:szCs w:val="23"/>
        </w:rPr>
        <w:t xml:space="preserve">= </w:t>
      </w:r>
      <w:r>
        <w:rPr>
          <w:position w:val="-26"/>
          <w:sz w:val="23"/>
          <w:szCs w:val="23"/>
        </w:rPr>
        <w:drawing>
          <wp:inline distT="0" distB="0" distL="0" distR="0">
            <wp:extent cx="229235" cy="370840"/>
            <wp:effectExtent l="0" t="0" r="0" b="0"/>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489"/>
                    <a:stretch>
                      <a:fillRect/>
                    </a:stretch>
                  </pic:blipFill>
                  <pic:spPr>
                    <a:xfrm>
                      <a:off x="0" y="0"/>
                      <a:ext cx="229387" cy="370965"/>
                    </a:xfrm>
                    <a:prstGeom prst="rect">
                      <a:avLst/>
                    </a:prstGeom>
                  </pic:spPr>
                </pic:pic>
              </a:graphicData>
            </a:graphic>
          </wp:inline>
        </w:drawing>
      </w:r>
    </w:p>
    <w:p w14:paraId="47BBF2F4">
      <w:pPr>
        <w:spacing w:line="385" w:lineRule="auto"/>
        <w:rPr>
          <w:rFonts w:ascii="Arial"/>
          <w:sz w:val="21"/>
        </w:rPr>
      </w:pPr>
    </w:p>
    <w:p w14:paraId="2A674271">
      <w:pPr>
        <w:spacing w:before="75" w:line="237" w:lineRule="auto"/>
        <w:ind w:left="517"/>
        <w:rPr>
          <w:rFonts w:ascii="宋体" w:hAnsi="宋体" w:eastAsia="宋体" w:cs="宋体"/>
          <w:sz w:val="23"/>
          <w:szCs w:val="23"/>
        </w:rPr>
      </w:pPr>
      <w:r>
        <w:rPr>
          <w:rFonts w:ascii="宋体" w:hAnsi="宋体" w:eastAsia="宋体" w:cs="宋体"/>
          <w:spacing w:val="12"/>
          <w:sz w:val="23"/>
          <w:szCs w:val="23"/>
        </w:rPr>
        <w:t>式</w:t>
      </w:r>
      <w:r>
        <w:rPr>
          <w:rFonts w:ascii="宋体" w:hAnsi="宋体" w:eastAsia="宋体" w:cs="宋体"/>
          <w:spacing w:val="6"/>
          <w:sz w:val="23"/>
          <w:szCs w:val="23"/>
        </w:rPr>
        <w:t>中：</w:t>
      </w:r>
      <w:r>
        <w:rPr>
          <w:rFonts w:ascii="Times New Roman" w:hAnsi="Times New Roman" w:eastAsia="Times New Roman" w:cs="Times New Roman"/>
          <w:sz w:val="23"/>
          <w:szCs w:val="23"/>
        </w:rPr>
        <w:t>S</w:t>
      </w:r>
      <w:r>
        <w:rPr>
          <w:rFonts w:ascii="Times New Roman" w:hAnsi="Times New Roman" w:eastAsia="Times New Roman" w:cs="Times New Roman"/>
          <w:position w:val="-1"/>
          <w:sz w:val="15"/>
          <w:szCs w:val="15"/>
        </w:rPr>
        <w:t>i</w:t>
      </w:r>
      <w:r>
        <w:rPr>
          <w:rFonts w:ascii="Times New Roman" w:hAnsi="Times New Roman" w:eastAsia="Times New Roman" w:cs="Times New Roman"/>
          <w:spacing w:val="6"/>
          <w:position w:val="-1"/>
          <w:sz w:val="15"/>
          <w:szCs w:val="15"/>
        </w:rPr>
        <w:t>,</w:t>
      </w:r>
      <w:r>
        <w:rPr>
          <w:rFonts w:ascii="Times New Roman" w:hAnsi="Times New Roman" w:eastAsia="Times New Roman" w:cs="Times New Roman"/>
          <w:position w:val="-1"/>
          <w:sz w:val="15"/>
          <w:szCs w:val="15"/>
        </w:rPr>
        <w:t>j</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标准指数；</w:t>
      </w:r>
    </w:p>
    <w:p w14:paraId="743F8CAB">
      <w:pPr>
        <w:spacing w:before="141" w:line="480" w:lineRule="exact"/>
        <w:ind w:left="1231"/>
        <w:rPr>
          <w:rFonts w:ascii="宋体" w:hAnsi="宋体" w:eastAsia="宋体" w:cs="宋体"/>
          <w:sz w:val="23"/>
          <w:szCs w:val="23"/>
        </w:rPr>
      </w:pPr>
      <w:r>
        <w:rPr>
          <w:rFonts w:ascii="Times New Roman" w:hAnsi="Times New Roman" w:eastAsia="Times New Roman" w:cs="Times New Roman"/>
          <w:position w:val="15"/>
          <w:sz w:val="23"/>
          <w:szCs w:val="23"/>
        </w:rPr>
        <w:t>C</w:t>
      </w:r>
      <w:r>
        <w:rPr>
          <w:rFonts w:ascii="Times New Roman" w:hAnsi="Times New Roman" w:eastAsia="Times New Roman" w:cs="Times New Roman"/>
          <w:position w:val="14"/>
          <w:sz w:val="15"/>
          <w:szCs w:val="15"/>
        </w:rPr>
        <w:t>i</w:t>
      </w:r>
      <w:r>
        <w:rPr>
          <w:rFonts w:ascii="Times New Roman" w:hAnsi="Times New Roman" w:eastAsia="Times New Roman" w:cs="Times New Roman"/>
          <w:spacing w:val="13"/>
          <w:position w:val="14"/>
          <w:sz w:val="15"/>
          <w:szCs w:val="15"/>
        </w:rPr>
        <w:t>,</w:t>
      </w:r>
      <w:r>
        <w:rPr>
          <w:rFonts w:ascii="Times New Roman" w:hAnsi="Times New Roman" w:eastAsia="Times New Roman" w:cs="Times New Roman"/>
          <w:position w:val="14"/>
          <w:sz w:val="15"/>
          <w:szCs w:val="15"/>
        </w:rPr>
        <w:t>j</w:t>
      </w:r>
      <w:r>
        <w:rPr>
          <w:rFonts w:ascii="Times New Roman" w:hAnsi="Times New Roman" w:eastAsia="Times New Roman" w:cs="Times New Roman"/>
          <w:spacing w:val="8"/>
          <w:position w:val="15"/>
          <w:sz w:val="23"/>
          <w:szCs w:val="23"/>
        </w:rPr>
        <w:t xml:space="preserve">—  </w:t>
      </w:r>
      <w:r>
        <w:rPr>
          <w:rFonts w:ascii="宋体" w:hAnsi="宋体" w:eastAsia="宋体" w:cs="宋体"/>
          <w:spacing w:val="8"/>
          <w:position w:val="15"/>
          <w:sz w:val="23"/>
          <w:szCs w:val="23"/>
        </w:rPr>
        <w:t xml:space="preserve">评价因子 </w:t>
      </w:r>
      <w:r>
        <w:rPr>
          <w:rFonts w:ascii="Times New Roman" w:hAnsi="Times New Roman" w:eastAsia="Times New Roman" w:cs="Times New Roman"/>
          <w:position w:val="15"/>
          <w:sz w:val="23"/>
          <w:szCs w:val="23"/>
        </w:rPr>
        <w:t>i</w:t>
      </w:r>
      <w:r>
        <w:rPr>
          <w:rFonts w:ascii="Times New Roman" w:hAnsi="Times New Roman" w:eastAsia="Times New Roman" w:cs="Times New Roman"/>
          <w:spacing w:val="8"/>
          <w:position w:val="15"/>
          <w:sz w:val="23"/>
          <w:szCs w:val="23"/>
        </w:rPr>
        <w:t xml:space="preserve"> </w:t>
      </w:r>
      <w:r>
        <w:rPr>
          <w:rFonts w:ascii="宋体" w:hAnsi="宋体" w:eastAsia="宋体" w:cs="宋体"/>
          <w:spacing w:val="8"/>
          <w:position w:val="15"/>
          <w:sz w:val="23"/>
          <w:szCs w:val="23"/>
        </w:rPr>
        <w:t>在</w:t>
      </w:r>
      <w:r>
        <w:rPr>
          <w:rFonts w:ascii="Times New Roman" w:hAnsi="Times New Roman" w:eastAsia="Times New Roman" w:cs="Times New Roman"/>
          <w:position w:val="15"/>
          <w:sz w:val="23"/>
          <w:szCs w:val="23"/>
        </w:rPr>
        <w:t>j</w:t>
      </w:r>
      <w:r>
        <w:rPr>
          <w:rFonts w:ascii="Times New Roman" w:hAnsi="Times New Roman" w:eastAsia="Times New Roman" w:cs="Times New Roman"/>
          <w:spacing w:val="8"/>
          <w:position w:val="15"/>
          <w:sz w:val="23"/>
          <w:szCs w:val="23"/>
        </w:rPr>
        <w:t xml:space="preserve"> </w:t>
      </w:r>
      <w:r>
        <w:rPr>
          <w:rFonts w:ascii="宋体" w:hAnsi="宋体" w:eastAsia="宋体" w:cs="宋体"/>
          <w:spacing w:val="8"/>
          <w:position w:val="15"/>
          <w:sz w:val="23"/>
          <w:szCs w:val="23"/>
        </w:rPr>
        <w:t>点的实测浓度值，</w:t>
      </w:r>
      <w:r>
        <w:rPr>
          <w:rFonts w:ascii="Times New Roman" w:hAnsi="Times New Roman" w:eastAsia="Times New Roman" w:cs="Times New Roman"/>
          <w:position w:val="15"/>
          <w:sz w:val="23"/>
          <w:szCs w:val="23"/>
        </w:rPr>
        <w:t>mg</w:t>
      </w:r>
      <w:r>
        <w:rPr>
          <w:rFonts w:ascii="Times New Roman" w:hAnsi="Times New Roman" w:eastAsia="Times New Roman" w:cs="Times New Roman"/>
          <w:spacing w:val="8"/>
          <w:position w:val="15"/>
          <w:sz w:val="23"/>
          <w:szCs w:val="23"/>
        </w:rPr>
        <w:t>/</w:t>
      </w:r>
      <w:r>
        <w:rPr>
          <w:rFonts w:ascii="Times New Roman" w:hAnsi="Times New Roman" w:eastAsia="Times New Roman" w:cs="Times New Roman"/>
          <w:position w:val="15"/>
          <w:sz w:val="23"/>
          <w:szCs w:val="23"/>
        </w:rPr>
        <w:t>L</w:t>
      </w:r>
      <w:r>
        <w:rPr>
          <w:rFonts w:ascii="宋体" w:hAnsi="宋体" w:eastAsia="宋体" w:cs="宋体"/>
          <w:spacing w:val="8"/>
          <w:position w:val="15"/>
          <w:sz w:val="23"/>
          <w:szCs w:val="23"/>
        </w:rPr>
        <w:t>；</w:t>
      </w:r>
    </w:p>
    <w:p w14:paraId="63135AD7">
      <w:pPr>
        <w:spacing w:line="322" w:lineRule="exact"/>
        <w:ind w:left="1231"/>
        <w:rPr>
          <w:rFonts w:ascii="宋体" w:hAnsi="宋体" w:eastAsia="宋体" w:cs="宋体"/>
          <w:sz w:val="23"/>
          <w:szCs w:val="23"/>
        </w:rPr>
      </w:pPr>
      <w:r>
        <w:rPr>
          <w:rFonts w:ascii="Times New Roman" w:hAnsi="Times New Roman" w:eastAsia="Times New Roman" w:cs="Times New Roman"/>
          <w:position w:val="3"/>
          <w:sz w:val="23"/>
          <w:szCs w:val="23"/>
        </w:rPr>
        <w:t>C</w:t>
      </w:r>
      <w:r>
        <w:rPr>
          <w:rFonts w:ascii="Times New Roman" w:hAnsi="Times New Roman" w:eastAsia="Times New Roman" w:cs="Times New Roman"/>
          <w:position w:val="2"/>
          <w:sz w:val="15"/>
          <w:szCs w:val="15"/>
        </w:rPr>
        <w:t>s</w:t>
      </w:r>
      <w:r>
        <w:rPr>
          <w:rFonts w:ascii="Times New Roman" w:hAnsi="Times New Roman" w:eastAsia="Times New Roman" w:cs="Times New Roman"/>
          <w:spacing w:val="10"/>
          <w:position w:val="2"/>
          <w:sz w:val="15"/>
          <w:szCs w:val="15"/>
        </w:rPr>
        <w:t>,</w:t>
      </w:r>
      <w:r>
        <w:rPr>
          <w:rFonts w:ascii="Times New Roman" w:hAnsi="Times New Roman" w:eastAsia="Times New Roman" w:cs="Times New Roman"/>
          <w:position w:val="2"/>
          <w:sz w:val="15"/>
          <w:szCs w:val="15"/>
        </w:rPr>
        <w:t>i</w:t>
      </w:r>
      <w:r>
        <w:rPr>
          <w:rFonts w:ascii="Times New Roman" w:hAnsi="Times New Roman" w:eastAsia="Times New Roman" w:cs="Times New Roman"/>
          <w:spacing w:val="6"/>
          <w:position w:val="3"/>
          <w:sz w:val="23"/>
          <w:szCs w:val="23"/>
        </w:rPr>
        <w:t>—</w:t>
      </w:r>
      <w:r>
        <w:rPr>
          <w:rFonts w:ascii="Times New Roman" w:hAnsi="Times New Roman" w:eastAsia="Times New Roman" w:cs="Times New Roman"/>
          <w:spacing w:val="5"/>
          <w:position w:val="3"/>
          <w:sz w:val="23"/>
          <w:szCs w:val="23"/>
        </w:rPr>
        <w:t xml:space="preserve">  </w:t>
      </w:r>
      <w:r>
        <w:rPr>
          <w:rFonts w:ascii="宋体" w:hAnsi="宋体" w:eastAsia="宋体" w:cs="宋体"/>
          <w:spacing w:val="5"/>
          <w:position w:val="3"/>
          <w:sz w:val="23"/>
          <w:szCs w:val="23"/>
        </w:rPr>
        <w:t xml:space="preserve">评价因子 </w:t>
      </w:r>
      <w:r>
        <w:rPr>
          <w:rFonts w:ascii="Times New Roman" w:hAnsi="Times New Roman" w:eastAsia="Times New Roman" w:cs="Times New Roman"/>
          <w:position w:val="3"/>
          <w:sz w:val="23"/>
          <w:szCs w:val="23"/>
        </w:rPr>
        <w:t>i</w:t>
      </w:r>
      <w:r>
        <w:rPr>
          <w:rFonts w:ascii="Times New Roman" w:hAnsi="Times New Roman" w:eastAsia="Times New Roman" w:cs="Times New Roman"/>
          <w:spacing w:val="5"/>
          <w:position w:val="3"/>
          <w:sz w:val="23"/>
          <w:szCs w:val="23"/>
        </w:rPr>
        <w:t xml:space="preserve"> </w:t>
      </w:r>
      <w:r>
        <w:rPr>
          <w:rFonts w:ascii="宋体" w:hAnsi="宋体" w:eastAsia="宋体" w:cs="宋体"/>
          <w:spacing w:val="5"/>
          <w:position w:val="3"/>
          <w:sz w:val="23"/>
          <w:szCs w:val="23"/>
        </w:rPr>
        <w:t>的评价标准限值，</w:t>
      </w:r>
      <w:r>
        <w:rPr>
          <w:rFonts w:ascii="Times New Roman" w:hAnsi="Times New Roman" w:eastAsia="Times New Roman" w:cs="Times New Roman"/>
          <w:position w:val="3"/>
          <w:sz w:val="23"/>
          <w:szCs w:val="23"/>
        </w:rPr>
        <w:t>mg</w:t>
      </w:r>
      <w:r>
        <w:rPr>
          <w:rFonts w:ascii="Times New Roman" w:hAnsi="Times New Roman" w:eastAsia="Times New Roman" w:cs="Times New Roman"/>
          <w:spacing w:val="5"/>
          <w:position w:val="3"/>
          <w:sz w:val="23"/>
          <w:szCs w:val="23"/>
        </w:rPr>
        <w:t>/</w:t>
      </w:r>
      <w:r>
        <w:rPr>
          <w:rFonts w:ascii="Times New Roman" w:hAnsi="Times New Roman" w:eastAsia="Times New Roman" w:cs="Times New Roman"/>
          <w:position w:val="3"/>
          <w:sz w:val="23"/>
          <w:szCs w:val="23"/>
        </w:rPr>
        <w:t>L</w:t>
      </w:r>
      <w:r>
        <w:rPr>
          <w:rFonts w:ascii="宋体" w:hAnsi="宋体" w:eastAsia="宋体" w:cs="宋体"/>
          <w:spacing w:val="5"/>
          <w:position w:val="3"/>
          <w:sz w:val="23"/>
          <w:szCs w:val="23"/>
        </w:rPr>
        <w:t>。</w:t>
      </w:r>
    </w:p>
    <w:p w14:paraId="7D362B2F">
      <w:pPr>
        <w:spacing w:line="279" w:lineRule="auto"/>
        <w:rPr>
          <w:rFonts w:ascii="Arial"/>
          <w:sz w:val="21"/>
        </w:rPr>
      </w:pPr>
    </w:p>
    <w:p w14:paraId="4A540DCB">
      <w:pPr>
        <w:spacing w:before="75" w:line="219" w:lineRule="auto"/>
        <w:ind w:left="543"/>
        <w:rPr>
          <w:rFonts w:ascii="宋体" w:hAnsi="宋体" w:eastAsia="宋体" w:cs="宋体"/>
          <w:sz w:val="23"/>
          <w:szCs w:val="23"/>
        </w:rPr>
      </w:pPr>
      <w:r>
        <w:rPr>
          <w:rFonts w:ascii="Times New Roman" w:hAnsi="Times New Roman" w:eastAsia="Times New Roman" w:cs="Times New Roman"/>
          <w:i/>
          <w:iCs/>
          <w:sz w:val="23"/>
          <w:szCs w:val="23"/>
        </w:rPr>
        <w:t>pH</w:t>
      </w:r>
      <w:r>
        <w:rPr>
          <w:rFonts w:ascii="Times New Roman" w:hAnsi="Times New Roman" w:eastAsia="Times New Roman" w:cs="Times New Roman"/>
          <w:spacing w:val="15"/>
          <w:sz w:val="23"/>
          <w:szCs w:val="23"/>
        </w:rPr>
        <w:t xml:space="preserve"> </w:t>
      </w:r>
      <w:r>
        <w:rPr>
          <w:rFonts w:ascii="宋体" w:hAnsi="宋体" w:eastAsia="宋体" w:cs="宋体"/>
          <w:spacing w:val="15"/>
          <w:sz w:val="23"/>
          <w:szCs w:val="23"/>
        </w:rPr>
        <w:t>值的标准指数：</w:t>
      </w:r>
    </w:p>
    <w:p w14:paraId="427D7AEF">
      <w:pPr>
        <w:spacing w:line="234" w:lineRule="exact"/>
      </w:pPr>
    </w:p>
    <w:p w14:paraId="1C46CBDB">
      <w:pPr>
        <w:sectPr>
          <w:headerReference r:id="rId171" w:type="default"/>
          <w:footerReference r:id="rId172" w:type="default"/>
          <w:pgSz w:w="11906" w:h="16839"/>
          <w:pgMar w:top="1132" w:right="1740" w:bottom="1182" w:left="1777" w:header="878" w:footer="1022" w:gutter="0"/>
          <w:cols w:equalWidth="0" w:num="1">
            <w:col w:w="8389"/>
          </w:cols>
        </w:sectPr>
      </w:pPr>
    </w:p>
    <w:p w14:paraId="0B78F5C5">
      <w:pPr>
        <w:spacing w:before="128" w:line="1092" w:lineRule="exact"/>
        <w:ind w:left="2438"/>
        <w:rPr>
          <w:rFonts w:ascii="微软雅黑" w:hAnsi="微软雅黑" w:eastAsia="微软雅黑" w:cs="微软雅黑"/>
          <w:sz w:val="23"/>
          <w:szCs w:val="23"/>
        </w:rPr>
      </w:pPr>
      <w:r>
        <w:rPr>
          <w:rFonts w:ascii="Times New Roman" w:hAnsi="Times New Roman" w:eastAsia="Times New Roman" w:cs="Times New Roman"/>
          <w:i/>
          <w:iCs/>
          <w:position w:val="51"/>
          <w:sz w:val="23"/>
          <w:szCs w:val="23"/>
        </w:rPr>
        <w:t>S</w:t>
      </w:r>
      <w:r>
        <w:rPr>
          <w:rFonts w:ascii="Times New Roman" w:hAnsi="Times New Roman" w:eastAsia="Times New Roman" w:cs="Times New Roman"/>
          <w:i/>
          <w:iCs/>
          <w:position w:val="46"/>
          <w:sz w:val="13"/>
          <w:szCs w:val="13"/>
        </w:rPr>
        <w:t>pH</w:t>
      </w:r>
      <w:r>
        <w:rPr>
          <w:rFonts w:ascii="Times New Roman" w:hAnsi="Times New Roman" w:eastAsia="Times New Roman" w:cs="Times New Roman"/>
          <w:spacing w:val="19"/>
          <w:position w:val="46"/>
          <w:sz w:val="13"/>
          <w:szCs w:val="13"/>
        </w:rPr>
        <w:t xml:space="preserve"> </w:t>
      </w:r>
      <w:r>
        <w:rPr>
          <w:rFonts w:ascii="Times New Roman" w:hAnsi="Times New Roman" w:eastAsia="Times New Roman" w:cs="Times New Roman"/>
          <w:spacing w:val="17"/>
          <w:position w:val="46"/>
          <w:sz w:val="13"/>
          <w:szCs w:val="13"/>
        </w:rPr>
        <w:t>,</w:t>
      </w:r>
      <w:r>
        <w:rPr>
          <w:rFonts w:ascii="Times New Roman" w:hAnsi="Times New Roman" w:eastAsia="Times New Roman" w:cs="Times New Roman"/>
          <w:i/>
          <w:iCs/>
          <w:position w:val="46"/>
          <w:sz w:val="13"/>
          <w:szCs w:val="13"/>
        </w:rPr>
        <w:t>j</w:t>
      </w:r>
      <w:r>
        <w:rPr>
          <w:rFonts w:ascii="Times New Roman" w:hAnsi="Times New Roman" w:eastAsia="Times New Roman" w:cs="Times New Roman"/>
          <w:spacing w:val="17"/>
          <w:position w:val="46"/>
          <w:sz w:val="13"/>
          <w:szCs w:val="13"/>
        </w:rPr>
        <w:t xml:space="preserve">   </w:t>
      </w:r>
      <w:r>
        <w:rPr>
          <w:rFonts w:ascii="Symbol" w:hAnsi="Symbol" w:eastAsia="Symbol" w:cs="Symbol"/>
          <w:spacing w:val="17"/>
          <w:position w:val="51"/>
          <w:sz w:val="23"/>
          <w:szCs w:val="23"/>
        </w:rPr>
        <w:t xml:space="preserve">= </w:t>
      </w:r>
      <w:r>
        <w:fldChar w:fldCharType="begin"/>
      </w:r>
      <w:r>
        <w:instrText xml:space="preserve">EQ \* jc3 \* hps23 \o\al(\s\up 10(</w:instrText>
      </w:r>
      <w:r>
        <w:rPr>
          <w:rFonts w:ascii="Times New Roman" w:hAnsi="Times New Roman" w:eastAsia="Times New Roman" w:cs="Times New Roman"/>
          <w:spacing w:val="30"/>
          <w:position w:val="49"/>
          <w:sz w:val="23"/>
          <w:szCs w:val="23"/>
        </w:rPr>
        <w:instrText xml:space="preserve">7</w:instrText>
      </w:r>
      <w:r>
        <w:instrText xml:space="preserve">),</w:instrText>
      </w:r>
      <w:r>
        <w:rPr>
          <w:rFonts w:ascii="Times New Roman" w:hAnsi="Times New Roman" w:eastAsia="Times New Roman" w:cs="Times New Roman"/>
          <w:spacing w:val="-5"/>
          <w:position w:val="33"/>
          <w:sz w:val="23"/>
          <w:szCs w:val="23"/>
        </w:rPr>
        <w:instrText xml:space="preserve">7</w:instrText>
      </w:r>
      <w:r>
        <w:instrText xml:space="preserve">)</w:instrText>
      </w:r>
      <w:r>
        <w:fldChar w:fldCharType="end"/>
      </w:r>
      <w:r>
        <w:fldChar w:fldCharType="begin"/>
      </w:r>
      <w:r>
        <w:instrText xml:space="preserve">EQ \* jc3 \* hps23 \o\al(\s\up 10(</w:instrText>
      </w:r>
      <w:r>
        <w:rPr>
          <w:rFonts w:ascii="Times New Roman" w:hAnsi="Times New Roman" w:eastAsia="Times New Roman" w:cs="Times New Roman"/>
          <w:spacing w:val="4"/>
          <w:position w:val="49"/>
          <w:sz w:val="23"/>
          <w:szCs w:val="23"/>
        </w:rPr>
        <w:instrText xml:space="preserve">.</w:instrText>
      </w:r>
      <w:r>
        <w:rPr>
          <w:rFonts w:ascii="Times New Roman" w:hAnsi="Times New Roman" w:eastAsia="Times New Roman" w:cs="Times New Roman"/>
          <w:spacing w:val="3"/>
          <w:position w:val="49"/>
          <w:sz w:val="23"/>
          <w:szCs w:val="23"/>
        </w:rPr>
        <w:instrText xml:space="preserve">0</w:instrText>
      </w:r>
      <w:r>
        <w:instrText xml:space="preserve">),</w:instrText>
      </w:r>
      <w:r>
        <w:rPr>
          <w:rFonts w:ascii="Times New Roman" w:hAnsi="Times New Roman" w:eastAsia="Times New Roman" w:cs="Times New Roman"/>
          <w:spacing w:val="30"/>
          <w:position w:val="33"/>
          <w:sz w:val="23"/>
          <w:szCs w:val="23"/>
        </w:rPr>
        <w:instrText xml:space="preserve">0</w:instrText>
      </w:r>
      <w:r>
        <w:instrText xml:space="preserve">)</w:instrText>
      </w:r>
      <w:r>
        <w:fldChar w:fldCharType="end"/>
      </w:r>
      <w:r>
        <w:fldChar w:fldCharType="begin"/>
      </w:r>
      <w:r>
        <w:instrText xml:space="preserve">EQ \* jc3 \* hps23 \o\al(\s\up 10(</w:instrText>
      </w:r>
      <w:r>
        <w:rPr>
          <w:rFonts w:ascii="微软雅黑" w:hAnsi="微软雅黑" w:eastAsia="微软雅黑" w:cs="微软雅黑"/>
          <w:spacing w:val="-19"/>
          <w:w w:val="84"/>
          <w:position w:val="49"/>
          <w:sz w:val="23"/>
          <w:szCs w:val="23"/>
        </w:rPr>
        <w:instrText xml:space="preserve">一</w:instrText>
      </w:r>
      <w:r>
        <w:instrText xml:space="preserve">),</w:instrText>
      </w:r>
      <w:r>
        <w:rPr>
          <w:rFonts w:ascii="微软雅黑" w:hAnsi="微软雅黑" w:eastAsia="微软雅黑" w:cs="微软雅黑"/>
          <w:spacing w:val="-15"/>
          <w:w w:val="68"/>
          <w:position w:val="33"/>
          <w:sz w:val="23"/>
          <w:szCs w:val="23"/>
        </w:rPr>
        <w:instrText xml:space="preserve">一</w:instrText>
      </w:r>
      <w:r>
        <w:instrText xml:space="preserve">)</w:instrText>
      </w:r>
      <w:r>
        <w:fldChar w:fldCharType="end"/>
      </w:r>
      <w:r>
        <w:rPr>
          <w:position w:val="23"/>
          <w:sz w:val="23"/>
          <w:szCs w:val="23"/>
        </w:rPr>
        <w:drawing>
          <wp:inline distT="0" distB="0" distL="0" distR="0">
            <wp:extent cx="315595" cy="405130"/>
            <wp:effectExtent l="0" t="0" r="0" b="0"/>
            <wp:docPr id="103" name="IM 103"/>
            <wp:cNvGraphicFramePr/>
            <a:graphic xmlns:a="http://schemas.openxmlformats.org/drawingml/2006/main">
              <a:graphicData uri="http://schemas.openxmlformats.org/drawingml/2006/picture">
                <pic:pic xmlns:pic="http://schemas.openxmlformats.org/drawingml/2006/picture">
                  <pic:nvPicPr>
                    <pic:cNvPr id="103" name="IM 103"/>
                    <pic:cNvPicPr/>
                  </pic:nvPicPr>
                  <pic:blipFill>
                    <a:blip r:embed="rId490"/>
                    <a:stretch>
                      <a:fillRect/>
                    </a:stretch>
                  </pic:blipFill>
                  <pic:spPr>
                    <a:xfrm>
                      <a:off x="0" y="0"/>
                      <a:ext cx="316221" cy="405198"/>
                    </a:xfrm>
                    <a:prstGeom prst="rect">
                      <a:avLst/>
                    </a:prstGeom>
                  </pic:spPr>
                </pic:pic>
              </a:graphicData>
            </a:graphic>
          </wp:inline>
        </w:drawing>
      </w:r>
      <w:r>
        <w:rPr>
          <w:rFonts w:ascii="微软雅黑" w:hAnsi="微软雅黑" w:eastAsia="微软雅黑" w:cs="微软雅黑"/>
          <w:position w:val="33"/>
          <w:sz w:val="23"/>
          <w:szCs w:val="23"/>
        </w:rPr>
        <w:t xml:space="preserve"> </w:t>
      </w:r>
    </w:p>
    <w:p w14:paraId="4D8A206E">
      <w:pPr>
        <w:spacing w:line="601" w:lineRule="exact"/>
        <w:ind w:left="2337"/>
        <w:rPr>
          <w:rFonts w:ascii="微软雅黑" w:hAnsi="微软雅黑" w:eastAsia="微软雅黑" w:cs="微软雅黑"/>
          <w:sz w:val="23"/>
          <w:szCs w:val="23"/>
        </w:rPr>
      </w:pPr>
      <w:r>
        <w:rPr>
          <w:rFonts w:ascii="Times New Roman" w:hAnsi="Times New Roman" w:eastAsia="Times New Roman" w:cs="Times New Roman"/>
          <w:i/>
          <w:iCs/>
          <w:position w:val="12"/>
          <w:sz w:val="23"/>
          <w:szCs w:val="23"/>
        </w:rPr>
        <w:t>S</w:t>
      </w:r>
      <w:r>
        <w:rPr>
          <w:rFonts w:ascii="Times New Roman" w:hAnsi="Times New Roman" w:eastAsia="Times New Roman" w:cs="Times New Roman"/>
          <w:i/>
          <w:iCs/>
          <w:position w:val="7"/>
          <w:sz w:val="13"/>
          <w:szCs w:val="13"/>
        </w:rPr>
        <w:t>pH</w:t>
      </w:r>
      <w:r>
        <w:rPr>
          <w:rFonts w:ascii="Times New Roman" w:hAnsi="Times New Roman" w:eastAsia="Times New Roman" w:cs="Times New Roman"/>
          <w:spacing w:val="18"/>
          <w:position w:val="7"/>
          <w:sz w:val="13"/>
          <w:szCs w:val="13"/>
        </w:rPr>
        <w:t xml:space="preserve"> </w:t>
      </w:r>
      <w:r>
        <w:rPr>
          <w:rFonts w:ascii="Times New Roman" w:hAnsi="Times New Roman" w:eastAsia="Times New Roman" w:cs="Times New Roman"/>
          <w:spacing w:val="15"/>
          <w:position w:val="7"/>
          <w:sz w:val="13"/>
          <w:szCs w:val="13"/>
        </w:rPr>
        <w:t>,</w:t>
      </w:r>
      <w:r>
        <w:rPr>
          <w:rFonts w:ascii="Times New Roman" w:hAnsi="Times New Roman" w:eastAsia="Times New Roman" w:cs="Times New Roman"/>
          <w:i/>
          <w:iCs/>
          <w:position w:val="7"/>
          <w:sz w:val="13"/>
          <w:szCs w:val="13"/>
        </w:rPr>
        <w:t>j</w:t>
      </w:r>
      <w:r>
        <w:rPr>
          <w:rFonts w:ascii="Times New Roman" w:hAnsi="Times New Roman" w:eastAsia="Times New Roman" w:cs="Times New Roman"/>
          <w:spacing w:val="15"/>
          <w:position w:val="7"/>
          <w:sz w:val="13"/>
          <w:szCs w:val="13"/>
        </w:rPr>
        <w:t xml:space="preserve">   </w:t>
      </w:r>
      <w:r>
        <w:rPr>
          <w:rFonts w:ascii="Symbol" w:hAnsi="Symbol" w:eastAsia="Symbol" w:cs="Symbol"/>
          <w:spacing w:val="15"/>
          <w:position w:val="12"/>
          <w:sz w:val="23"/>
          <w:szCs w:val="23"/>
        </w:rPr>
        <w:t xml:space="preserve">= </w:t>
      </w:r>
      <w:r>
        <w:rPr>
          <w:position w:val="-12"/>
          <w:sz w:val="23"/>
          <w:szCs w:val="23"/>
        </w:rPr>
        <w:drawing>
          <wp:inline distT="0" distB="0" distL="0" distR="0">
            <wp:extent cx="309245" cy="379095"/>
            <wp:effectExtent l="0" t="0" r="0" b="0"/>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r:embed="rId491"/>
                    <a:stretch>
                      <a:fillRect/>
                    </a:stretch>
                  </pic:blipFill>
                  <pic:spPr>
                    <a:xfrm>
                      <a:off x="0" y="0"/>
                      <a:ext cx="309863" cy="379182"/>
                    </a:xfrm>
                    <a:prstGeom prst="rect">
                      <a:avLst/>
                    </a:prstGeom>
                  </pic:spPr>
                </pic:pic>
              </a:graphicData>
            </a:graphic>
          </wp:inline>
        </w:drawing>
      </w:r>
      <w:r>
        <w:rPr>
          <w:rFonts w:ascii="Symbol" w:hAnsi="Symbol" w:eastAsia="Symbol" w:cs="Symbol"/>
          <w:spacing w:val="15"/>
          <w:position w:val="12"/>
          <w:sz w:val="23"/>
          <w:szCs w:val="23"/>
        </w:rPr>
        <w:t xml:space="preserve"> </w:t>
      </w:r>
      <w:r>
        <w:fldChar w:fldCharType="begin"/>
      </w:r>
      <w:r>
        <w:instrText xml:space="preserve">EQ \* jc3 \* hps23 \o\al(\s\up 9(</w:instrText>
      </w:r>
      <w:r>
        <w:rPr>
          <w:rFonts w:ascii="微软雅黑" w:hAnsi="微软雅黑" w:eastAsia="微软雅黑" w:cs="微软雅黑"/>
          <w:spacing w:val="-14"/>
          <w:w w:val="60"/>
          <w:position w:val="12"/>
          <w:sz w:val="23"/>
          <w:szCs w:val="23"/>
        </w:rPr>
        <w:instrText xml:space="preserve">一</w:instrText>
      </w:r>
      <w:r>
        <w:instrText xml:space="preserve">),</w:instrText>
      </w:r>
      <w:r>
        <w:rPr>
          <w:rFonts w:ascii="微软雅黑" w:hAnsi="微软雅黑" w:eastAsia="微软雅黑" w:cs="微软雅黑"/>
          <w:spacing w:val="-17"/>
          <w:w w:val="75"/>
          <w:position w:val="-6"/>
          <w:sz w:val="23"/>
          <w:szCs w:val="23"/>
        </w:rPr>
        <w:instrText xml:space="preserve">一</w:instrText>
      </w:r>
      <w:r>
        <w:instrText xml:space="preserve">)</w:instrText>
      </w:r>
      <w:r>
        <w:fldChar w:fldCharType="end"/>
      </w:r>
      <w:r>
        <w:rPr>
          <w:position w:val="-6"/>
          <w:sz w:val="23"/>
          <w:szCs w:val="23"/>
        </w:rPr>
        <w:drawing>
          <wp:inline distT="0" distB="0" distL="0" distR="0">
            <wp:extent cx="209550" cy="344170"/>
            <wp:effectExtent l="0" t="0" r="0" b="0"/>
            <wp:docPr id="105" name="IM 105"/>
            <wp:cNvGraphicFramePr/>
            <a:graphic xmlns:a="http://schemas.openxmlformats.org/drawingml/2006/main">
              <a:graphicData uri="http://schemas.openxmlformats.org/drawingml/2006/picture">
                <pic:pic xmlns:pic="http://schemas.openxmlformats.org/drawingml/2006/picture">
                  <pic:nvPicPr>
                    <pic:cNvPr id="105" name="IM 105"/>
                    <pic:cNvPicPr/>
                  </pic:nvPicPr>
                  <pic:blipFill>
                    <a:blip r:embed="rId492"/>
                    <a:stretch>
                      <a:fillRect/>
                    </a:stretch>
                  </pic:blipFill>
                  <pic:spPr>
                    <a:xfrm>
                      <a:off x="0" y="0"/>
                      <a:ext cx="209884" cy="344194"/>
                    </a:xfrm>
                    <a:prstGeom prst="rect">
                      <a:avLst/>
                    </a:prstGeom>
                  </pic:spPr>
                </pic:pic>
              </a:graphicData>
            </a:graphic>
          </wp:inline>
        </w:drawing>
      </w:r>
      <w:r>
        <w:rPr>
          <w:rFonts w:ascii="微软雅黑" w:hAnsi="微软雅黑" w:eastAsia="微软雅黑" w:cs="微软雅黑"/>
          <w:position w:val="-6"/>
          <w:sz w:val="23"/>
          <w:szCs w:val="23"/>
        </w:rPr>
        <w:t xml:space="preserve"> </w:t>
      </w:r>
    </w:p>
    <w:p w14:paraId="767DA7E7">
      <w:pPr>
        <w:spacing w:line="14" w:lineRule="auto"/>
        <w:rPr>
          <w:rFonts w:ascii="Arial"/>
          <w:sz w:val="2"/>
        </w:rPr>
      </w:pPr>
      <w:r>
        <w:rPr>
          <w:rFonts w:ascii="Arial" w:hAnsi="Arial" w:eastAsia="Arial" w:cs="Arial"/>
          <w:sz w:val="2"/>
          <w:szCs w:val="2"/>
        </w:rPr>
        <w:br w:type="column"/>
      </w:r>
    </w:p>
    <w:p w14:paraId="433F03CE">
      <w:pPr>
        <w:spacing w:before="238" w:line="342" w:lineRule="exact"/>
        <w:ind w:left="100"/>
        <w:rPr>
          <w:rFonts w:ascii="Times New Roman" w:hAnsi="Times New Roman" w:eastAsia="Times New Roman" w:cs="Times New Roman"/>
          <w:sz w:val="23"/>
          <w:szCs w:val="23"/>
        </w:rPr>
      </w:pPr>
      <w:r>
        <w:rPr>
          <w:rFonts w:ascii="Times New Roman" w:hAnsi="Times New Roman" w:eastAsia="Times New Roman" w:cs="Times New Roman"/>
          <w:position w:val="2"/>
          <w:sz w:val="23"/>
          <w:szCs w:val="23"/>
        </w:rPr>
        <w:t>p</w:t>
      </w:r>
      <w:r>
        <w:rPr>
          <w:rFonts w:ascii="Times New Roman" w:hAnsi="Times New Roman" w:eastAsia="Times New Roman" w:cs="Times New Roman"/>
          <w:i/>
          <w:iCs/>
          <w:position w:val="2"/>
          <w:sz w:val="23"/>
          <w:szCs w:val="23"/>
        </w:rPr>
        <w:t>H</w:t>
      </w:r>
      <w:r>
        <w:rPr>
          <w:rFonts w:ascii="Times New Roman" w:hAnsi="Times New Roman" w:eastAsia="Times New Roman" w:cs="Times New Roman"/>
          <w:i/>
          <w:iCs/>
          <w:position w:val="-3"/>
          <w:sz w:val="13"/>
          <w:szCs w:val="13"/>
        </w:rPr>
        <w:t>j</w:t>
      </w:r>
      <w:r>
        <w:rPr>
          <w:rFonts w:ascii="Times New Roman" w:hAnsi="Times New Roman" w:eastAsia="Times New Roman" w:cs="Times New Roman"/>
          <w:spacing w:val="12"/>
          <w:position w:val="-3"/>
          <w:sz w:val="13"/>
          <w:szCs w:val="13"/>
        </w:rPr>
        <w:t xml:space="preserve">   </w:t>
      </w:r>
      <w:r>
        <w:rPr>
          <w:position w:val="-2"/>
          <w:sz w:val="13"/>
          <w:szCs w:val="13"/>
        </w:rPr>
        <w:drawing>
          <wp:inline distT="0" distB="0" distL="0" distR="0">
            <wp:extent cx="74295" cy="184785"/>
            <wp:effectExtent l="0" t="0" r="0" b="0"/>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r:embed="rId493"/>
                    <a:stretch>
                      <a:fillRect/>
                    </a:stretch>
                  </pic:blipFill>
                  <pic:spPr>
                    <a:xfrm>
                      <a:off x="0" y="0"/>
                      <a:ext cx="74381" cy="185045"/>
                    </a:xfrm>
                    <a:prstGeom prst="rect">
                      <a:avLst/>
                    </a:prstGeom>
                  </pic:spPr>
                </pic:pic>
              </a:graphicData>
            </a:graphic>
          </wp:inline>
        </w:drawing>
      </w:r>
      <w:r>
        <w:rPr>
          <w:rFonts w:ascii="Times New Roman" w:hAnsi="Times New Roman" w:eastAsia="Times New Roman" w:cs="Times New Roman"/>
          <w:spacing w:val="12"/>
          <w:position w:val="-3"/>
          <w:sz w:val="13"/>
          <w:szCs w:val="13"/>
        </w:rPr>
        <w:t xml:space="preserve">  </w:t>
      </w:r>
      <w:r>
        <w:rPr>
          <w:rFonts w:ascii="Times New Roman" w:hAnsi="Times New Roman" w:eastAsia="Times New Roman" w:cs="Times New Roman"/>
          <w:spacing w:val="12"/>
          <w:position w:val="2"/>
          <w:sz w:val="23"/>
          <w:szCs w:val="23"/>
        </w:rPr>
        <w:t>7.</w:t>
      </w:r>
      <w:r>
        <w:rPr>
          <w:rFonts w:ascii="Times New Roman" w:hAnsi="Times New Roman" w:eastAsia="Times New Roman" w:cs="Times New Roman"/>
          <w:spacing w:val="10"/>
          <w:position w:val="2"/>
          <w:sz w:val="23"/>
          <w:szCs w:val="23"/>
        </w:rPr>
        <w:t>0</w:t>
      </w:r>
    </w:p>
    <w:p w14:paraId="42868EB2">
      <w:pPr>
        <w:spacing w:line="337" w:lineRule="auto"/>
        <w:rPr>
          <w:rFonts w:ascii="Arial"/>
          <w:sz w:val="21"/>
        </w:rPr>
      </w:pPr>
    </w:p>
    <w:p w14:paraId="7220A508">
      <w:pPr>
        <w:spacing w:line="338" w:lineRule="auto"/>
        <w:rPr>
          <w:rFonts w:ascii="Arial"/>
          <w:sz w:val="21"/>
        </w:rPr>
      </w:pPr>
    </w:p>
    <w:p w14:paraId="1D81D3F2">
      <w:pPr>
        <w:spacing w:before="71" w:line="342" w:lineRule="exact"/>
        <w:rPr>
          <w:rFonts w:ascii="Times New Roman" w:hAnsi="Times New Roman" w:eastAsia="Times New Roman" w:cs="Times New Roman"/>
          <w:sz w:val="23"/>
          <w:szCs w:val="23"/>
        </w:rPr>
      </w:pPr>
      <w:r>
        <w:rPr>
          <w:rFonts w:ascii="Times New Roman" w:hAnsi="Times New Roman" w:eastAsia="Times New Roman" w:cs="Times New Roman"/>
          <w:position w:val="7"/>
          <w:sz w:val="23"/>
          <w:szCs w:val="23"/>
        </w:rPr>
        <w:t>p</w:t>
      </w:r>
      <w:r>
        <w:rPr>
          <w:rFonts w:ascii="Times New Roman" w:hAnsi="Times New Roman" w:eastAsia="Times New Roman" w:cs="Times New Roman"/>
          <w:i/>
          <w:iCs/>
          <w:position w:val="7"/>
          <w:sz w:val="23"/>
          <w:szCs w:val="23"/>
        </w:rPr>
        <w:t>H</w:t>
      </w:r>
      <w:r>
        <w:rPr>
          <w:rFonts w:ascii="Times New Roman" w:hAnsi="Times New Roman" w:eastAsia="Times New Roman" w:cs="Times New Roman"/>
          <w:i/>
          <w:iCs/>
          <w:position w:val="2"/>
          <w:sz w:val="13"/>
          <w:szCs w:val="13"/>
        </w:rPr>
        <w:t>j</w:t>
      </w:r>
      <w:r>
        <w:rPr>
          <w:rFonts w:ascii="Times New Roman" w:hAnsi="Times New Roman" w:eastAsia="Times New Roman" w:cs="Times New Roman"/>
          <w:spacing w:val="14"/>
          <w:position w:val="2"/>
          <w:sz w:val="13"/>
          <w:szCs w:val="13"/>
        </w:rPr>
        <w:t xml:space="preserve"> </w:t>
      </w:r>
      <w:r>
        <w:rPr>
          <w:rFonts w:ascii="Times New Roman" w:hAnsi="Times New Roman" w:eastAsia="Times New Roman" w:cs="Times New Roman"/>
          <w:spacing w:val="12"/>
          <w:position w:val="2"/>
          <w:sz w:val="13"/>
          <w:szCs w:val="13"/>
        </w:rPr>
        <w:t xml:space="preserve">  </w:t>
      </w:r>
      <w:r>
        <w:rPr>
          <w:rFonts w:ascii="Symbol" w:hAnsi="Symbol" w:eastAsia="Symbol" w:cs="Symbol"/>
          <w:spacing w:val="12"/>
          <w:position w:val="7"/>
          <w:sz w:val="23"/>
          <w:szCs w:val="23"/>
        </w:rPr>
        <w:t xml:space="preserve">&gt; </w:t>
      </w:r>
      <w:r>
        <w:rPr>
          <w:rFonts w:ascii="Times New Roman" w:hAnsi="Times New Roman" w:eastAsia="Times New Roman" w:cs="Times New Roman"/>
          <w:spacing w:val="12"/>
          <w:position w:val="7"/>
          <w:sz w:val="23"/>
          <w:szCs w:val="23"/>
        </w:rPr>
        <w:t>7.0</w:t>
      </w:r>
    </w:p>
    <w:p w14:paraId="47F802BD">
      <w:pPr>
        <w:sectPr>
          <w:type w:val="continuous"/>
          <w:pgSz w:w="11906" w:h="16839"/>
          <w:pgMar w:top="1132" w:right="1740" w:bottom="1182" w:left="1777" w:header="878" w:footer="1022" w:gutter="0"/>
          <w:cols w:equalWidth="0" w:num="2">
            <w:col w:w="4932" w:space="100"/>
            <w:col w:w="3357"/>
          </w:cols>
        </w:sectPr>
      </w:pPr>
    </w:p>
    <w:p w14:paraId="110356D2">
      <w:pPr>
        <w:spacing w:line="415" w:lineRule="auto"/>
        <w:rPr>
          <w:rFonts w:ascii="Arial"/>
          <w:sz w:val="21"/>
        </w:rPr>
      </w:pPr>
    </w:p>
    <w:p w14:paraId="7D3794D9">
      <w:pPr>
        <w:spacing w:before="75" w:line="238" w:lineRule="auto"/>
        <w:ind w:left="517"/>
        <w:rPr>
          <w:rFonts w:ascii="宋体" w:hAnsi="宋体" w:eastAsia="宋体" w:cs="宋体"/>
          <w:sz w:val="23"/>
          <w:szCs w:val="23"/>
        </w:rPr>
      </w:pPr>
      <w:r>
        <w:rPr>
          <w:rFonts w:ascii="宋体" w:hAnsi="宋体" w:eastAsia="宋体" w:cs="宋体"/>
          <w:spacing w:val="12"/>
          <w:sz w:val="23"/>
          <w:szCs w:val="23"/>
        </w:rPr>
        <w:t>式</w:t>
      </w:r>
      <w:r>
        <w:rPr>
          <w:rFonts w:ascii="宋体" w:hAnsi="宋体" w:eastAsia="宋体" w:cs="宋体"/>
          <w:spacing w:val="7"/>
          <w:sz w:val="23"/>
          <w:szCs w:val="23"/>
        </w:rPr>
        <w:t xml:space="preserve">中： </w:t>
      </w:r>
      <w:r>
        <w:rPr>
          <w:rFonts w:ascii="Times New Roman" w:hAnsi="Times New Roman" w:eastAsia="Times New Roman" w:cs="Times New Roman"/>
          <w:i/>
          <w:iCs/>
          <w:sz w:val="23"/>
          <w:szCs w:val="23"/>
        </w:rPr>
        <w:t>S</w:t>
      </w:r>
      <w:r>
        <w:rPr>
          <w:rFonts w:ascii="Times New Roman" w:hAnsi="Times New Roman" w:eastAsia="Times New Roman" w:cs="Times New Roman"/>
          <w:i/>
          <w:iCs/>
          <w:position w:val="-5"/>
          <w:sz w:val="13"/>
          <w:szCs w:val="13"/>
        </w:rPr>
        <w:t>pH</w:t>
      </w:r>
      <w:r>
        <w:rPr>
          <w:rFonts w:ascii="Times New Roman" w:hAnsi="Times New Roman" w:eastAsia="Times New Roman" w:cs="Times New Roman"/>
          <w:spacing w:val="7"/>
          <w:position w:val="-5"/>
          <w:sz w:val="13"/>
          <w:szCs w:val="13"/>
        </w:rPr>
        <w:t xml:space="preserve"> ,</w:t>
      </w:r>
      <w:r>
        <w:rPr>
          <w:rFonts w:ascii="Times New Roman" w:hAnsi="Times New Roman" w:eastAsia="Times New Roman" w:cs="Times New Roman"/>
          <w:i/>
          <w:iCs/>
          <w:position w:val="-5"/>
          <w:sz w:val="13"/>
          <w:szCs w:val="13"/>
        </w:rPr>
        <w:t>j</w:t>
      </w:r>
      <w:r>
        <w:rPr>
          <w:rFonts w:ascii="Times New Roman" w:hAnsi="Times New Roman" w:eastAsia="Times New Roman" w:cs="Times New Roman"/>
          <w:spacing w:val="7"/>
          <w:position w:val="-5"/>
          <w:sz w:val="13"/>
          <w:szCs w:val="13"/>
        </w:rPr>
        <w:t xml:space="preserve"> </w:t>
      </w:r>
      <w:r>
        <w:rPr>
          <w:rFonts w:ascii="Times New Roman" w:hAnsi="Times New Roman" w:eastAsia="Times New Roman" w:cs="Times New Roman"/>
          <w:spacing w:val="7"/>
          <w:sz w:val="23"/>
          <w:szCs w:val="23"/>
        </w:rPr>
        <w:t>—</w:t>
      </w:r>
      <w:r>
        <w:rPr>
          <w:rFonts w:ascii="Times New Roman" w:hAnsi="Times New Roman" w:eastAsia="Times New Roman" w:cs="Times New Roman"/>
          <w:sz w:val="23"/>
          <w:szCs w:val="23"/>
        </w:rPr>
        <w:t>pH</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值的标准指数；</w:t>
      </w:r>
    </w:p>
    <w:p w14:paraId="0E093113">
      <w:pPr>
        <w:spacing w:before="172" w:line="238" w:lineRule="auto"/>
        <w:ind w:left="1323"/>
        <w:rPr>
          <w:rFonts w:ascii="Times New Roman" w:hAnsi="Times New Roman" w:eastAsia="Times New Roman" w:cs="Times New Roman"/>
          <w:sz w:val="23"/>
          <w:szCs w:val="23"/>
        </w:rPr>
      </w:pPr>
      <w:r>
        <w:rPr>
          <w:rFonts w:ascii="Times New Roman" w:hAnsi="Times New Roman" w:eastAsia="Times New Roman" w:cs="Times New Roman"/>
          <w:i/>
          <w:iCs/>
          <w:sz w:val="23"/>
          <w:szCs w:val="23"/>
        </w:rPr>
        <w:t>pH</w:t>
      </w:r>
      <w:r>
        <w:rPr>
          <w:rFonts w:ascii="Times New Roman" w:hAnsi="Times New Roman" w:eastAsia="Times New Roman" w:cs="Times New Roman"/>
          <w:i/>
          <w:iCs/>
          <w:position w:val="-5"/>
          <w:sz w:val="13"/>
          <w:szCs w:val="13"/>
        </w:rPr>
        <w:t>j</w:t>
      </w:r>
      <w:r>
        <w:rPr>
          <w:rFonts w:ascii="Times New Roman" w:hAnsi="Times New Roman" w:eastAsia="Times New Roman" w:cs="Times New Roman"/>
          <w:spacing w:val="22"/>
          <w:position w:val="-5"/>
          <w:sz w:val="13"/>
          <w:szCs w:val="13"/>
        </w:rPr>
        <w:t xml:space="preserve"> </w:t>
      </w:r>
      <w:r>
        <w:rPr>
          <w:rFonts w:ascii="Times New Roman" w:hAnsi="Times New Roman" w:eastAsia="Times New Roman" w:cs="Times New Roman"/>
          <w:spacing w:val="22"/>
          <w:sz w:val="23"/>
          <w:szCs w:val="23"/>
        </w:rPr>
        <w:t>—</w:t>
      </w:r>
      <w:r>
        <w:rPr>
          <w:rFonts w:ascii="Times New Roman" w:hAnsi="Times New Roman" w:eastAsia="Times New Roman" w:cs="Times New Roman"/>
          <w:sz w:val="23"/>
          <w:szCs w:val="23"/>
        </w:rPr>
        <w:t>pH</w:t>
      </w:r>
      <w:r>
        <w:rPr>
          <w:rFonts w:ascii="Times New Roman" w:hAnsi="Times New Roman" w:eastAsia="Times New Roman" w:cs="Times New Roman"/>
          <w:spacing w:val="22"/>
          <w:sz w:val="23"/>
          <w:szCs w:val="23"/>
        </w:rPr>
        <w:t xml:space="preserve"> </w:t>
      </w:r>
      <w:r>
        <w:rPr>
          <w:rFonts w:ascii="宋体" w:hAnsi="宋体" w:eastAsia="宋体" w:cs="宋体"/>
          <w:spacing w:val="22"/>
          <w:sz w:val="23"/>
          <w:szCs w:val="23"/>
        </w:rPr>
        <w:t>值实测值</w:t>
      </w:r>
      <w:r>
        <w:rPr>
          <w:rFonts w:ascii="Times New Roman" w:hAnsi="Times New Roman" w:eastAsia="Times New Roman" w:cs="Times New Roman"/>
          <w:spacing w:val="22"/>
          <w:sz w:val="23"/>
          <w:szCs w:val="23"/>
        </w:rPr>
        <w:t>;</w:t>
      </w:r>
    </w:p>
    <w:p w14:paraId="76E0AED7">
      <w:pPr>
        <w:spacing w:before="99" w:line="360" w:lineRule="auto"/>
        <w:ind w:left="1263"/>
        <w:rPr>
          <w:rFonts w:ascii="宋体" w:hAnsi="宋体" w:eastAsia="宋体" w:cs="宋体"/>
          <w:sz w:val="23"/>
          <w:szCs w:val="23"/>
        </w:rPr>
      </w:pPr>
      <w:r>
        <w:rPr>
          <w:rFonts w:ascii="Times New Roman" w:hAnsi="Times New Roman" w:eastAsia="Times New Roman" w:cs="Times New Roman"/>
          <w:i/>
          <w:iCs/>
          <w:position w:val="11"/>
          <w:sz w:val="23"/>
          <w:szCs w:val="23"/>
        </w:rPr>
        <w:t>pH</w:t>
      </w:r>
      <w:r>
        <w:rPr>
          <w:rFonts w:ascii="Times New Roman" w:hAnsi="Times New Roman" w:eastAsia="Times New Roman" w:cs="Times New Roman"/>
          <w:i/>
          <w:iCs/>
          <w:position w:val="5"/>
          <w:sz w:val="13"/>
          <w:szCs w:val="13"/>
        </w:rPr>
        <w:t>sd</w:t>
      </w:r>
      <w:r>
        <w:rPr>
          <w:rFonts w:ascii="Times New Roman" w:hAnsi="Times New Roman" w:eastAsia="Times New Roman" w:cs="Times New Roman"/>
          <w:spacing w:val="6"/>
          <w:position w:val="5"/>
          <w:sz w:val="13"/>
          <w:szCs w:val="13"/>
        </w:rPr>
        <w:t xml:space="preserve"> </w:t>
      </w:r>
      <w:r>
        <w:rPr>
          <w:rFonts w:ascii="Times New Roman" w:hAnsi="Times New Roman" w:eastAsia="Times New Roman" w:cs="Times New Roman"/>
          <w:spacing w:val="6"/>
          <w:sz w:val="23"/>
          <w:szCs w:val="23"/>
        </w:rPr>
        <w:t>—</w:t>
      </w:r>
      <w:r>
        <w:rPr>
          <w:rFonts w:ascii="宋体" w:hAnsi="宋体" w:eastAsia="宋体" w:cs="宋体"/>
          <w:spacing w:val="6"/>
          <w:sz w:val="23"/>
          <w:szCs w:val="23"/>
        </w:rPr>
        <w:t>《地下</w:t>
      </w:r>
      <w:r>
        <w:rPr>
          <w:rFonts w:ascii="宋体" w:hAnsi="宋体" w:eastAsia="宋体" w:cs="宋体"/>
          <w:spacing w:val="5"/>
          <w:sz w:val="23"/>
          <w:szCs w:val="23"/>
        </w:rPr>
        <w:t>水</w:t>
      </w:r>
      <w:r>
        <w:rPr>
          <w:rFonts w:ascii="宋体" w:hAnsi="宋体" w:eastAsia="宋体" w:cs="宋体"/>
          <w:spacing w:val="3"/>
          <w:sz w:val="23"/>
          <w:szCs w:val="23"/>
        </w:rPr>
        <w:t>质量标准》</w:t>
      </w:r>
      <w:r>
        <w:rPr>
          <w:rFonts w:ascii="Times New Roman" w:hAnsi="Times New Roman" w:eastAsia="Times New Roman" w:cs="Times New Roman"/>
          <w:spacing w:val="3"/>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3"/>
          <w:sz w:val="23"/>
          <w:szCs w:val="23"/>
        </w:rPr>
        <w:t>/</w:t>
      </w:r>
      <w:r>
        <w:rPr>
          <w:rFonts w:ascii="Times New Roman" w:hAnsi="Times New Roman" w:eastAsia="Times New Roman" w:cs="Times New Roman"/>
          <w:sz w:val="23"/>
          <w:szCs w:val="23"/>
        </w:rPr>
        <w:t>T</w:t>
      </w:r>
      <w:r>
        <w:rPr>
          <w:rFonts w:ascii="Times New Roman" w:hAnsi="Times New Roman" w:eastAsia="Times New Roman" w:cs="Times New Roman"/>
          <w:spacing w:val="3"/>
          <w:sz w:val="23"/>
          <w:szCs w:val="23"/>
        </w:rPr>
        <w:t xml:space="preserve"> 14848-2017)</w:t>
      </w:r>
      <w:r>
        <w:rPr>
          <w:rFonts w:ascii="宋体" w:hAnsi="宋体" w:eastAsia="宋体" w:cs="宋体"/>
          <w:spacing w:val="3"/>
          <w:sz w:val="23"/>
          <w:szCs w:val="23"/>
        </w:rPr>
        <w:t>中规定的</w:t>
      </w:r>
      <w:r>
        <w:rPr>
          <w:rFonts w:ascii="Times New Roman" w:hAnsi="Times New Roman" w:eastAsia="Times New Roman" w:cs="Times New Roman"/>
          <w:sz w:val="23"/>
          <w:szCs w:val="23"/>
        </w:rPr>
        <w:t>pH</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值下限值；</w:t>
      </w:r>
      <w:r>
        <w:rPr>
          <w:rFonts w:ascii="宋体" w:hAnsi="宋体" w:eastAsia="宋体" w:cs="宋体"/>
          <w:sz w:val="23"/>
          <w:szCs w:val="23"/>
        </w:rPr>
        <w:t xml:space="preserve"> </w:t>
      </w:r>
      <w:r>
        <w:rPr>
          <w:rFonts w:ascii="Times New Roman" w:hAnsi="Times New Roman" w:eastAsia="Times New Roman" w:cs="Times New Roman"/>
          <w:i/>
          <w:iCs/>
          <w:sz w:val="23"/>
          <w:szCs w:val="23"/>
        </w:rPr>
        <w:t>pH</w:t>
      </w:r>
      <w:r>
        <w:rPr>
          <w:rFonts w:ascii="Times New Roman" w:hAnsi="Times New Roman" w:eastAsia="Times New Roman" w:cs="Times New Roman"/>
          <w:i/>
          <w:iCs/>
          <w:position w:val="-5"/>
          <w:sz w:val="13"/>
          <w:szCs w:val="13"/>
        </w:rPr>
        <w:t>s</w:t>
      </w:r>
      <w:r>
        <w:rPr>
          <w:rFonts w:ascii="Times New Roman" w:hAnsi="Times New Roman" w:eastAsia="Times New Roman" w:cs="Times New Roman"/>
          <w:position w:val="-5"/>
          <w:sz w:val="13"/>
          <w:szCs w:val="13"/>
        </w:rPr>
        <w:t>u</w:t>
      </w:r>
      <w:r>
        <w:rPr>
          <w:rFonts w:ascii="Times New Roman" w:hAnsi="Times New Roman" w:eastAsia="Times New Roman" w:cs="Times New Roman"/>
          <w:spacing w:val="1"/>
          <w:position w:val="-5"/>
          <w:sz w:val="13"/>
          <w:szCs w:val="13"/>
        </w:rPr>
        <w:t xml:space="preserve"> </w:t>
      </w:r>
      <w:r>
        <w:rPr>
          <w:rFonts w:ascii="Times New Roman" w:hAnsi="Times New Roman" w:eastAsia="Times New Roman" w:cs="Times New Roman"/>
          <w:spacing w:val="1"/>
          <w:sz w:val="23"/>
          <w:szCs w:val="23"/>
        </w:rPr>
        <w:t>—</w:t>
      </w:r>
      <w:r>
        <w:rPr>
          <w:rFonts w:ascii="宋体" w:hAnsi="宋体" w:eastAsia="宋体" w:cs="宋体"/>
          <w:spacing w:val="1"/>
          <w:sz w:val="23"/>
          <w:szCs w:val="23"/>
        </w:rPr>
        <w:t>《地下水质量标准》</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T</w:t>
      </w:r>
      <w:r>
        <w:rPr>
          <w:rFonts w:ascii="Times New Roman" w:hAnsi="Times New Roman" w:eastAsia="Times New Roman" w:cs="Times New Roman"/>
          <w:spacing w:val="1"/>
          <w:sz w:val="23"/>
          <w:szCs w:val="23"/>
        </w:rPr>
        <w:t xml:space="preserve"> 14848-2017)</w:t>
      </w:r>
      <w:r>
        <w:rPr>
          <w:rFonts w:ascii="宋体" w:hAnsi="宋体" w:eastAsia="宋体" w:cs="宋体"/>
          <w:spacing w:val="1"/>
          <w:sz w:val="23"/>
          <w:szCs w:val="23"/>
        </w:rPr>
        <w:t>中</w:t>
      </w:r>
      <w:r>
        <w:rPr>
          <w:rFonts w:ascii="宋体" w:hAnsi="宋体" w:eastAsia="宋体" w:cs="宋体"/>
          <w:sz w:val="23"/>
          <w:szCs w:val="23"/>
        </w:rPr>
        <w:t xml:space="preserve">规定的 </w:t>
      </w:r>
      <w:r>
        <w:rPr>
          <w:rFonts w:ascii="Times New Roman" w:hAnsi="Times New Roman" w:eastAsia="Times New Roman" w:cs="Times New Roman"/>
          <w:sz w:val="23"/>
          <w:szCs w:val="23"/>
        </w:rPr>
        <w:t xml:space="preserve">pH </w:t>
      </w:r>
      <w:r>
        <w:rPr>
          <w:rFonts w:ascii="宋体" w:hAnsi="宋体" w:eastAsia="宋体" w:cs="宋体"/>
          <w:sz w:val="23"/>
          <w:szCs w:val="23"/>
        </w:rPr>
        <w:t>值上限值；</w:t>
      </w:r>
    </w:p>
    <w:p w14:paraId="6CD55CCE">
      <w:pPr>
        <w:spacing w:before="189" w:line="393" w:lineRule="auto"/>
        <w:ind w:left="35" w:right="120" w:firstLine="478"/>
        <w:rPr>
          <w:rFonts w:ascii="宋体" w:hAnsi="宋体" w:eastAsia="宋体" w:cs="宋体"/>
          <w:sz w:val="23"/>
          <w:szCs w:val="23"/>
        </w:rPr>
      </w:pPr>
      <w:r>
        <w:rPr>
          <w:rFonts w:ascii="宋体" w:hAnsi="宋体" w:eastAsia="宋体" w:cs="宋体"/>
          <w:spacing w:val="12"/>
          <w:sz w:val="23"/>
          <w:szCs w:val="23"/>
        </w:rPr>
        <w:t>若水质</w:t>
      </w:r>
      <w:r>
        <w:rPr>
          <w:rFonts w:ascii="宋体" w:hAnsi="宋体" w:eastAsia="宋体" w:cs="宋体"/>
          <w:spacing w:val="6"/>
          <w:sz w:val="23"/>
          <w:szCs w:val="23"/>
        </w:rPr>
        <w:t>参数的标准指数＞</w:t>
      </w:r>
      <w:r>
        <w:rPr>
          <w:rFonts w:ascii="Times New Roman" w:hAnsi="Times New Roman" w:eastAsia="Times New Roman" w:cs="Times New Roman"/>
          <w:spacing w:val="6"/>
          <w:sz w:val="23"/>
          <w:szCs w:val="23"/>
        </w:rPr>
        <w:t xml:space="preserve">1 </w:t>
      </w:r>
      <w:r>
        <w:rPr>
          <w:rFonts w:ascii="宋体" w:hAnsi="宋体" w:eastAsia="宋体" w:cs="宋体"/>
          <w:spacing w:val="6"/>
          <w:sz w:val="23"/>
          <w:szCs w:val="23"/>
        </w:rPr>
        <w:t>，表明该水质参数超过了规定的水质标准限值；</w:t>
      </w:r>
      <w:r>
        <w:rPr>
          <w:rFonts w:ascii="宋体" w:hAnsi="宋体" w:eastAsia="宋体" w:cs="宋体"/>
          <w:sz w:val="23"/>
          <w:szCs w:val="23"/>
        </w:rPr>
        <w:t xml:space="preserve"> </w:t>
      </w:r>
      <w:r>
        <w:rPr>
          <w:rFonts w:ascii="宋体" w:hAnsi="宋体" w:eastAsia="宋体" w:cs="宋体"/>
          <w:spacing w:val="11"/>
          <w:sz w:val="23"/>
          <w:szCs w:val="23"/>
        </w:rPr>
        <w:t>水</w:t>
      </w:r>
      <w:r>
        <w:rPr>
          <w:rFonts w:ascii="宋体" w:hAnsi="宋体" w:eastAsia="宋体" w:cs="宋体"/>
          <w:spacing w:val="9"/>
          <w:sz w:val="23"/>
          <w:szCs w:val="23"/>
        </w:rPr>
        <w:t>质参数的标准指数越大，说明该水质参数超标越严重。</w:t>
      </w:r>
    </w:p>
    <w:p w14:paraId="106F8206">
      <w:pPr>
        <w:spacing w:before="137" w:line="226" w:lineRule="auto"/>
        <w:ind w:left="523"/>
        <w:rPr>
          <w:rFonts w:ascii="宋体" w:hAnsi="宋体" w:eastAsia="宋体" w:cs="宋体"/>
          <w:sz w:val="23"/>
          <w:szCs w:val="23"/>
        </w:rPr>
      </w:pPr>
      <w:r>
        <w:rPr>
          <w:rFonts w:ascii="宋体" w:hAnsi="宋体" w:eastAsia="宋体" w:cs="宋体"/>
          <w:spacing w:val="20"/>
          <w:sz w:val="23"/>
          <w:szCs w:val="23"/>
        </w:rPr>
        <w:t>(</w:t>
      </w:r>
      <w:r>
        <w:rPr>
          <w:rFonts w:ascii="Times New Roman" w:hAnsi="Times New Roman" w:eastAsia="Times New Roman" w:cs="Times New Roman"/>
          <w:spacing w:val="20"/>
          <w:sz w:val="23"/>
          <w:szCs w:val="23"/>
        </w:rPr>
        <w:t>3</w:t>
      </w:r>
      <w:r>
        <w:rPr>
          <w:rFonts w:ascii="宋体" w:hAnsi="宋体" w:eastAsia="宋体" w:cs="宋体"/>
          <w:spacing w:val="20"/>
          <w:sz w:val="23"/>
          <w:szCs w:val="23"/>
        </w:rPr>
        <w:t>) 评价结</w:t>
      </w:r>
      <w:r>
        <w:rPr>
          <w:rFonts w:ascii="宋体" w:hAnsi="宋体" w:eastAsia="宋体" w:cs="宋体"/>
          <w:spacing w:val="19"/>
          <w:sz w:val="23"/>
          <w:szCs w:val="23"/>
        </w:rPr>
        <w:t>果</w:t>
      </w:r>
    </w:p>
    <w:p w14:paraId="30265AF0">
      <w:pPr>
        <w:spacing w:line="279" w:lineRule="auto"/>
        <w:rPr>
          <w:rFonts w:ascii="Arial"/>
          <w:sz w:val="21"/>
        </w:rPr>
      </w:pPr>
    </w:p>
    <w:p w14:paraId="6937CCA7">
      <w:pPr>
        <w:spacing w:before="74" w:line="392" w:lineRule="auto"/>
        <w:ind w:left="36" w:right="58" w:firstLine="475"/>
        <w:rPr>
          <w:rFonts w:ascii="宋体" w:hAnsi="宋体" w:eastAsia="宋体" w:cs="宋体"/>
          <w:sz w:val="23"/>
          <w:szCs w:val="23"/>
        </w:rPr>
      </w:pPr>
      <w:r>
        <w:rPr>
          <w:rFonts w:ascii="宋体" w:hAnsi="宋体" w:eastAsia="宋体" w:cs="宋体"/>
          <w:spacing w:val="7"/>
          <w:sz w:val="23"/>
          <w:szCs w:val="23"/>
        </w:rPr>
        <w:t>对各监测点的原始数据进行整理，利用所选评价标准和评价方法对污染物</w:t>
      </w:r>
      <w:r>
        <w:rPr>
          <w:rFonts w:ascii="宋体" w:hAnsi="宋体" w:eastAsia="宋体" w:cs="宋体"/>
          <w:spacing w:val="3"/>
          <w:sz w:val="23"/>
          <w:szCs w:val="23"/>
        </w:rPr>
        <w:t>进</w:t>
      </w:r>
      <w:r>
        <w:rPr>
          <w:rFonts w:ascii="宋体" w:hAnsi="宋体" w:eastAsia="宋体" w:cs="宋体"/>
          <w:sz w:val="23"/>
          <w:szCs w:val="23"/>
        </w:rPr>
        <w:t xml:space="preserve"> </w:t>
      </w:r>
      <w:r>
        <w:rPr>
          <w:rFonts w:ascii="宋体" w:hAnsi="宋体" w:eastAsia="宋体" w:cs="宋体"/>
          <w:spacing w:val="10"/>
          <w:sz w:val="23"/>
          <w:szCs w:val="23"/>
        </w:rPr>
        <w:t>行评</w:t>
      </w:r>
      <w:r>
        <w:rPr>
          <w:rFonts w:ascii="宋体" w:hAnsi="宋体" w:eastAsia="宋体" w:cs="宋体"/>
          <w:spacing w:val="6"/>
          <w:sz w:val="23"/>
          <w:szCs w:val="23"/>
        </w:rPr>
        <w:t>价</w:t>
      </w:r>
      <w:r>
        <w:rPr>
          <w:rFonts w:ascii="宋体" w:hAnsi="宋体" w:eastAsia="宋体" w:cs="宋体"/>
          <w:spacing w:val="5"/>
          <w:sz w:val="23"/>
          <w:szCs w:val="23"/>
        </w:rPr>
        <w:t xml:space="preserve">，统计各监测项目标准指数、超标率及超标倍数。评价结果见表 </w:t>
      </w:r>
      <w:r>
        <w:rPr>
          <w:rFonts w:ascii="Times New Roman" w:hAnsi="Times New Roman" w:eastAsia="Times New Roman" w:cs="Times New Roman"/>
          <w:spacing w:val="5"/>
          <w:sz w:val="23"/>
          <w:szCs w:val="23"/>
        </w:rPr>
        <w:t>4- 13</w:t>
      </w:r>
      <w:r>
        <w:rPr>
          <w:rFonts w:ascii="宋体" w:hAnsi="宋体" w:eastAsia="宋体" w:cs="宋体"/>
          <w:spacing w:val="5"/>
          <w:sz w:val="23"/>
          <w:szCs w:val="23"/>
        </w:rPr>
        <w:t>。</w:t>
      </w:r>
    </w:p>
    <w:p w14:paraId="223902C5">
      <w:pPr>
        <w:spacing w:before="139" w:line="226" w:lineRule="auto"/>
        <w:ind w:left="2133"/>
        <w:rPr>
          <w:rFonts w:ascii="宋体" w:hAnsi="宋体" w:eastAsia="宋体" w:cs="宋体"/>
          <w:sz w:val="23"/>
          <w:szCs w:val="23"/>
        </w:rPr>
      </w:pPr>
      <w:r>
        <w:rPr>
          <w:rFonts w:ascii="宋体" w:hAnsi="宋体" w:eastAsia="宋体" w:cs="宋体"/>
          <w:spacing w:val="8"/>
          <w:sz w:val="23"/>
          <w:szCs w:val="23"/>
          <w14:textOutline w14:w="4358" w14:cap="sq" w14:cmpd="sng">
            <w14:solidFill>
              <w14:srgbClr w14:val="000000"/>
            </w14:solidFill>
            <w14:prstDash w14:val="solid"/>
            <w14:bevel/>
          </w14:textOutline>
        </w:rPr>
        <w:t>表</w:t>
      </w:r>
      <w:r>
        <w:rPr>
          <w:rFonts w:ascii="宋体" w:hAnsi="宋体" w:eastAsia="宋体" w:cs="宋体"/>
          <w:spacing w:val="8"/>
          <w:sz w:val="23"/>
          <w:szCs w:val="23"/>
        </w:rPr>
        <w:t xml:space="preserve"> </w:t>
      </w:r>
      <w:r>
        <w:rPr>
          <w:rFonts w:ascii="Times New Roman" w:hAnsi="Times New Roman" w:eastAsia="Times New Roman" w:cs="Times New Roman"/>
          <w:b/>
          <w:bCs/>
          <w:spacing w:val="8"/>
          <w:sz w:val="23"/>
          <w:szCs w:val="23"/>
        </w:rPr>
        <w:t>4</w:t>
      </w:r>
      <w:r>
        <w:rPr>
          <w:rFonts w:ascii="Times New Roman" w:hAnsi="Times New Roman" w:eastAsia="Times New Roman" w:cs="Times New Roman"/>
          <w:b/>
          <w:bCs/>
          <w:spacing w:val="4"/>
          <w:sz w:val="23"/>
          <w:szCs w:val="23"/>
        </w:rPr>
        <w:t>-13</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地下水水质评价结果统计表</w:t>
      </w:r>
    </w:p>
    <w:p w14:paraId="547F295B">
      <w:pPr>
        <w:spacing w:line="19" w:lineRule="exact"/>
      </w:pPr>
    </w:p>
    <w:tbl>
      <w:tblPr>
        <w:tblStyle w:val="4"/>
        <w:tblW w:w="835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5"/>
        <w:gridCol w:w="470"/>
        <w:gridCol w:w="1453"/>
        <w:gridCol w:w="1200"/>
        <w:gridCol w:w="1272"/>
        <w:gridCol w:w="755"/>
        <w:gridCol w:w="1357"/>
        <w:gridCol w:w="705"/>
        <w:gridCol w:w="684"/>
      </w:tblGrid>
      <w:tr w14:paraId="208D1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455" w:type="dxa"/>
            <w:tcBorders>
              <w:left w:val="nil"/>
              <w:right w:val="single" w:color="000000" w:sz="4" w:space="0"/>
            </w:tcBorders>
            <w:textDirection w:val="tbRlV"/>
            <w:vAlign w:val="top"/>
          </w:tcPr>
          <w:p w14:paraId="39901C1D">
            <w:pPr>
              <w:spacing w:before="119" w:line="218" w:lineRule="auto"/>
              <w:ind w:left="94"/>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序</w:t>
            </w:r>
            <w:r>
              <w:rPr>
                <w:rFonts w:ascii="宋体" w:hAnsi="宋体" w:eastAsia="宋体" w:cs="宋体"/>
                <w:spacing w:val="-6"/>
                <w:sz w:val="20"/>
                <w:szCs w:val="20"/>
              </w:rPr>
              <w:t xml:space="preserve"> </w:t>
            </w:r>
            <w:r>
              <w:rPr>
                <w:rFonts w:ascii="宋体" w:hAnsi="宋体" w:eastAsia="宋体" w:cs="宋体"/>
                <w:spacing w:val="-6"/>
                <w:sz w:val="20"/>
                <w:szCs w:val="20"/>
                <w14:textOutline w14:w="3795" w14:cap="sq" w14:cmpd="sng">
                  <w14:solidFill>
                    <w14:srgbClr w14:val="000000"/>
                  </w14:solidFill>
                  <w14:prstDash w14:val="solid"/>
                  <w14:bevel/>
                </w14:textOutline>
              </w:rPr>
              <w:t>号</w:t>
            </w:r>
          </w:p>
        </w:tc>
        <w:tc>
          <w:tcPr>
            <w:tcW w:w="470" w:type="dxa"/>
            <w:tcBorders>
              <w:left w:val="single" w:color="000000" w:sz="4" w:space="0"/>
              <w:right w:val="single" w:color="000000" w:sz="4" w:space="0"/>
            </w:tcBorders>
            <w:vAlign w:val="top"/>
          </w:tcPr>
          <w:p w14:paraId="41A2050F">
            <w:pPr>
              <w:spacing w:before="94" w:line="258" w:lineRule="auto"/>
              <w:ind w:left="37" w:right="20" w:hanging="11"/>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采样</w:t>
            </w:r>
            <w:r>
              <w:rPr>
                <w:rFonts w:ascii="宋体" w:hAnsi="宋体" w:eastAsia="宋体" w:cs="宋体"/>
                <w:sz w:val="20"/>
                <w:szCs w:val="20"/>
              </w:rPr>
              <w:t xml:space="preserve"> </w:t>
            </w:r>
            <w:r>
              <w:rPr>
                <w:rFonts w:ascii="宋体" w:hAnsi="宋体" w:eastAsia="宋体" w:cs="宋体"/>
                <w:spacing w:val="1"/>
                <w:sz w:val="20"/>
                <w:szCs w:val="20"/>
                <w14:textOutline w14:w="3795" w14:cap="sq" w14:cmpd="sng">
                  <w14:solidFill>
                    <w14:srgbClr w14:val="000000"/>
                  </w14:solidFill>
                  <w14:prstDash w14:val="solid"/>
                  <w14:bevel/>
                </w14:textOutline>
              </w:rPr>
              <w:t>点</w:t>
            </w:r>
            <w:r>
              <w:rPr>
                <w:rFonts w:ascii="宋体" w:hAnsi="宋体" w:eastAsia="宋体" w:cs="宋体"/>
                <w:sz w:val="20"/>
                <w:szCs w:val="20"/>
                <w14:textOutline w14:w="3795" w14:cap="sq" w14:cmpd="sng">
                  <w14:solidFill>
                    <w14:srgbClr w14:val="000000"/>
                  </w14:solidFill>
                  <w14:prstDash w14:val="solid"/>
                  <w14:bevel/>
                </w14:textOutline>
              </w:rPr>
              <w:t>位</w:t>
            </w:r>
          </w:p>
        </w:tc>
        <w:tc>
          <w:tcPr>
            <w:tcW w:w="2653" w:type="dxa"/>
            <w:gridSpan w:val="2"/>
            <w:tcBorders>
              <w:left w:val="single" w:color="000000" w:sz="4" w:space="0"/>
              <w:right w:val="single" w:color="000000" w:sz="4" w:space="0"/>
            </w:tcBorders>
            <w:vAlign w:val="top"/>
          </w:tcPr>
          <w:p w14:paraId="2B7DC4E2">
            <w:pPr>
              <w:spacing w:before="232" w:line="228" w:lineRule="auto"/>
              <w:ind w:left="1122"/>
              <w:rPr>
                <w:rFonts w:ascii="宋体" w:hAnsi="宋体" w:eastAsia="宋体" w:cs="宋体"/>
                <w:sz w:val="20"/>
                <w:szCs w:val="20"/>
              </w:rPr>
            </w:pPr>
            <w:r>
              <w:rPr>
                <w:rFonts w:ascii="宋体" w:hAnsi="宋体" w:eastAsia="宋体" w:cs="宋体"/>
                <w:spacing w:val="4"/>
                <w:sz w:val="20"/>
                <w:szCs w:val="20"/>
                <w14:textOutline w14:w="3795" w14:cap="sq" w14:cmpd="sng">
                  <w14:solidFill>
                    <w14:srgbClr w14:val="000000"/>
                  </w14:solidFill>
                  <w14:prstDash w14:val="solid"/>
                  <w14:bevel/>
                </w14:textOutline>
              </w:rPr>
              <w:t>项目</w:t>
            </w:r>
          </w:p>
        </w:tc>
        <w:tc>
          <w:tcPr>
            <w:tcW w:w="1272" w:type="dxa"/>
            <w:tcBorders>
              <w:left w:val="single" w:color="000000" w:sz="4" w:space="0"/>
            </w:tcBorders>
            <w:vAlign w:val="top"/>
          </w:tcPr>
          <w:p w14:paraId="12D11EB8">
            <w:pPr>
              <w:spacing w:before="112" w:line="250" w:lineRule="auto"/>
              <w:ind w:left="330" w:right="211" w:hanging="112"/>
              <w:rPr>
                <w:rFonts w:ascii="Times New Roman" w:hAnsi="Times New Roman" w:eastAsia="Times New Roman" w:cs="Times New Roman"/>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检</w:t>
            </w:r>
            <w:r>
              <w:rPr>
                <w:rFonts w:ascii="宋体" w:hAnsi="宋体" w:eastAsia="宋体" w:cs="宋体"/>
                <w:spacing w:val="8"/>
                <w:sz w:val="20"/>
                <w:szCs w:val="20"/>
                <w14:textOutline w14:w="3795" w14:cap="sq" w14:cmpd="sng">
                  <w14:solidFill>
                    <w14:srgbClr w14:val="000000"/>
                  </w14:solidFill>
                  <w14:prstDash w14:val="solid"/>
                  <w14:bevel/>
                </w14:textOutline>
              </w:rPr>
              <w:t>测范围</w:t>
            </w:r>
            <w:r>
              <w:rPr>
                <w:rFonts w:ascii="宋体" w:hAnsi="宋体" w:eastAsia="宋体" w:cs="宋体"/>
                <w:sz w:val="20"/>
                <w:szCs w:val="20"/>
              </w:rPr>
              <w:t xml:space="preserve"> </w:t>
            </w:r>
            <w:r>
              <w:rPr>
                <w:rFonts w:ascii="Times New Roman" w:hAnsi="Times New Roman" w:eastAsia="Times New Roman" w:cs="Times New Roman"/>
                <w:b/>
                <w:bCs/>
                <w:spacing w:val="7"/>
                <w:sz w:val="20"/>
                <w:szCs w:val="20"/>
              </w:rPr>
              <w:t>(</w:t>
            </w:r>
            <w:r>
              <w:rPr>
                <w:rFonts w:ascii="Times New Roman" w:hAnsi="Times New Roman" w:eastAsia="Times New Roman" w:cs="Times New Roman"/>
                <w:b/>
                <w:bCs/>
                <w:sz w:val="20"/>
                <w:szCs w:val="20"/>
              </w:rPr>
              <w:t>mg</w:t>
            </w:r>
            <w:r>
              <w:rPr>
                <w:rFonts w:ascii="Times New Roman" w:hAnsi="Times New Roman" w:eastAsia="Times New Roman" w:cs="Times New Roman"/>
                <w:b/>
                <w:bCs/>
                <w:spacing w:val="6"/>
                <w:sz w:val="20"/>
                <w:szCs w:val="20"/>
              </w:rPr>
              <w:t>/</w:t>
            </w:r>
            <w:r>
              <w:rPr>
                <w:rFonts w:ascii="Times New Roman" w:hAnsi="Times New Roman" w:eastAsia="Times New Roman" w:cs="Times New Roman"/>
                <w:b/>
                <w:bCs/>
                <w:sz w:val="20"/>
                <w:szCs w:val="20"/>
              </w:rPr>
              <w:t>L</w:t>
            </w:r>
            <w:r>
              <w:rPr>
                <w:rFonts w:ascii="Times New Roman" w:hAnsi="Times New Roman" w:eastAsia="Times New Roman" w:cs="Times New Roman"/>
                <w:b/>
                <w:bCs/>
                <w:spacing w:val="6"/>
                <w:sz w:val="20"/>
                <w:szCs w:val="20"/>
              </w:rPr>
              <w:t>)</w:t>
            </w:r>
          </w:p>
        </w:tc>
        <w:tc>
          <w:tcPr>
            <w:tcW w:w="755" w:type="dxa"/>
            <w:tcBorders>
              <w:right w:val="single" w:color="000000" w:sz="4" w:space="0"/>
            </w:tcBorders>
            <w:vAlign w:val="top"/>
          </w:tcPr>
          <w:p w14:paraId="2A745585">
            <w:pPr>
              <w:spacing w:before="112" w:line="250" w:lineRule="auto"/>
              <w:ind w:left="74" w:right="56" w:hanging="6"/>
              <w:rPr>
                <w:rFonts w:ascii="Times New Roman" w:hAnsi="Times New Roman" w:eastAsia="Times New Roman" w:cs="Times New Roman"/>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标</w:t>
            </w:r>
            <w:r>
              <w:rPr>
                <w:rFonts w:ascii="宋体" w:hAnsi="宋体" w:eastAsia="宋体" w:cs="宋体"/>
                <w:spacing w:val="7"/>
                <w:sz w:val="20"/>
                <w:szCs w:val="20"/>
                <w14:textOutline w14:w="3795" w14:cap="sq" w14:cmpd="sng">
                  <w14:solidFill>
                    <w14:srgbClr w14:val="000000"/>
                  </w14:solidFill>
                  <w14:prstDash w14:val="solid"/>
                  <w14:bevel/>
                </w14:textOutline>
              </w:rPr>
              <w:t>准值</w:t>
            </w:r>
            <w:r>
              <w:rPr>
                <w:rFonts w:ascii="宋体" w:hAnsi="宋体" w:eastAsia="宋体" w:cs="宋体"/>
                <w:sz w:val="20"/>
                <w:szCs w:val="20"/>
              </w:rPr>
              <w:t xml:space="preserve"> </w:t>
            </w:r>
            <w:r>
              <w:rPr>
                <w:rFonts w:ascii="Times New Roman" w:hAnsi="Times New Roman" w:eastAsia="Times New Roman" w:cs="Times New Roman"/>
                <w:b/>
                <w:bCs/>
                <w:spacing w:val="7"/>
                <w:sz w:val="20"/>
                <w:szCs w:val="20"/>
              </w:rPr>
              <w:t>(</w:t>
            </w:r>
            <w:r>
              <w:rPr>
                <w:rFonts w:ascii="Times New Roman" w:hAnsi="Times New Roman" w:eastAsia="Times New Roman" w:cs="Times New Roman"/>
                <w:b/>
                <w:bCs/>
                <w:sz w:val="20"/>
                <w:szCs w:val="20"/>
              </w:rPr>
              <w:t>mg</w:t>
            </w:r>
            <w:r>
              <w:rPr>
                <w:rFonts w:ascii="Times New Roman" w:hAnsi="Times New Roman" w:eastAsia="Times New Roman" w:cs="Times New Roman"/>
                <w:b/>
                <w:bCs/>
                <w:spacing w:val="6"/>
                <w:sz w:val="20"/>
                <w:szCs w:val="20"/>
              </w:rPr>
              <w:t>/</w:t>
            </w:r>
            <w:r>
              <w:rPr>
                <w:rFonts w:ascii="Times New Roman" w:hAnsi="Times New Roman" w:eastAsia="Times New Roman" w:cs="Times New Roman"/>
                <w:b/>
                <w:bCs/>
                <w:sz w:val="20"/>
                <w:szCs w:val="20"/>
              </w:rPr>
              <w:t>L</w:t>
            </w:r>
            <w:r>
              <w:rPr>
                <w:rFonts w:ascii="Times New Roman" w:hAnsi="Times New Roman" w:eastAsia="Times New Roman" w:cs="Times New Roman"/>
                <w:b/>
                <w:bCs/>
                <w:spacing w:val="6"/>
                <w:sz w:val="20"/>
                <w:szCs w:val="20"/>
              </w:rPr>
              <w:t>)</w:t>
            </w:r>
          </w:p>
        </w:tc>
        <w:tc>
          <w:tcPr>
            <w:tcW w:w="1357" w:type="dxa"/>
            <w:tcBorders>
              <w:left w:val="single" w:color="000000" w:sz="4" w:space="0"/>
            </w:tcBorders>
            <w:vAlign w:val="top"/>
          </w:tcPr>
          <w:p w14:paraId="7A6E6B16">
            <w:pPr>
              <w:spacing w:before="231" w:line="228" w:lineRule="auto"/>
              <w:ind w:left="263"/>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标</w:t>
            </w:r>
            <w:r>
              <w:rPr>
                <w:rFonts w:ascii="宋体" w:hAnsi="宋体" w:eastAsia="宋体" w:cs="宋体"/>
                <w:spacing w:val="8"/>
                <w:sz w:val="20"/>
                <w:szCs w:val="20"/>
                <w14:textOutline w14:w="3795" w14:cap="sq" w14:cmpd="sng">
                  <w14:solidFill>
                    <w14:srgbClr w14:val="000000"/>
                  </w14:solidFill>
                  <w14:prstDash w14:val="solid"/>
                  <w14:bevel/>
                </w14:textOutline>
              </w:rPr>
              <w:t>准指数</w:t>
            </w:r>
          </w:p>
        </w:tc>
        <w:tc>
          <w:tcPr>
            <w:tcW w:w="705" w:type="dxa"/>
            <w:vAlign w:val="top"/>
          </w:tcPr>
          <w:p w14:paraId="2816969B">
            <w:pPr>
              <w:spacing w:before="75" w:line="276" w:lineRule="auto"/>
              <w:ind w:left="184" w:right="33" w:hanging="142"/>
              <w:rPr>
                <w:rFonts w:ascii="Times New Roman" w:hAnsi="Times New Roman" w:eastAsia="Times New Roman" w:cs="Times New Roman"/>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超标率</w:t>
            </w:r>
            <w:r>
              <w:rPr>
                <w:rFonts w:ascii="宋体" w:hAnsi="宋体" w:eastAsia="宋体" w:cs="宋体"/>
                <w:sz w:val="20"/>
                <w:szCs w:val="20"/>
              </w:rPr>
              <w:t xml:space="preserve"> </w:t>
            </w:r>
            <w:r>
              <w:rPr>
                <w:rFonts w:ascii="Times New Roman" w:hAnsi="Times New Roman" w:eastAsia="Times New Roman" w:cs="Times New Roman"/>
                <w:b/>
                <w:bCs/>
                <w:spacing w:val="3"/>
                <w:sz w:val="20"/>
                <w:szCs w:val="20"/>
              </w:rPr>
              <w:t>(%</w:t>
            </w:r>
            <w:r>
              <w:rPr>
                <w:rFonts w:ascii="Times New Roman" w:hAnsi="Times New Roman" w:eastAsia="Times New Roman" w:cs="Times New Roman"/>
                <w:b/>
                <w:bCs/>
                <w:spacing w:val="2"/>
                <w:sz w:val="20"/>
                <w:szCs w:val="20"/>
              </w:rPr>
              <w:t>)</w:t>
            </w:r>
          </w:p>
        </w:tc>
        <w:tc>
          <w:tcPr>
            <w:tcW w:w="684" w:type="dxa"/>
            <w:tcBorders>
              <w:right w:val="nil"/>
            </w:tcBorders>
            <w:vAlign w:val="top"/>
          </w:tcPr>
          <w:p w14:paraId="4E166054">
            <w:pPr>
              <w:spacing w:before="94" w:line="258" w:lineRule="auto"/>
              <w:ind w:left="35" w:right="23" w:firstLine="1"/>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最大</w:t>
            </w:r>
            <w:r>
              <w:rPr>
                <w:rFonts w:ascii="宋体" w:hAnsi="宋体" w:eastAsia="宋体" w:cs="宋体"/>
                <w:spacing w:val="6"/>
                <w:sz w:val="20"/>
                <w:szCs w:val="20"/>
                <w14:textOutline w14:w="3795" w14:cap="sq" w14:cmpd="sng">
                  <w14:solidFill>
                    <w14:srgbClr w14:val="000000"/>
                  </w14:solidFill>
                  <w14:prstDash w14:val="solid"/>
                  <w14:bevel/>
                </w14:textOutline>
              </w:rPr>
              <w:t>超</w:t>
            </w:r>
            <w:r>
              <w:rPr>
                <w:rFonts w:ascii="宋体" w:hAnsi="宋体" w:eastAsia="宋体" w:cs="宋体"/>
                <w:sz w:val="20"/>
                <w:szCs w:val="20"/>
              </w:rPr>
              <w:t xml:space="preserve"> </w:t>
            </w:r>
            <w:r>
              <w:rPr>
                <w:rFonts w:ascii="宋体" w:hAnsi="宋体" w:eastAsia="宋体" w:cs="宋体"/>
                <w:spacing w:val="8"/>
                <w:sz w:val="20"/>
                <w:szCs w:val="20"/>
                <w14:textOutline w14:w="3795" w14:cap="sq" w14:cmpd="sng">
                  <w14:solidFill>
                    <w14:srgbClr w14:val="000000"/>
                  </w14:solidFill>
                  <w14:prstDash w14:val="solid"/>
                  <w14:bevel/>
                </w14:textOutline>
              </w:rPr>
              <w:t>标</w:t>
            </w:r>
            <w:r>
              <w:rPr>
                <w:rFonts w:ascii="宋体" w:hAnsi="宋体" w:eastAsia="宋体" w:cs="宋体"/>
                <w:spacing w:val="7"/>
                <w:sz w:val="20"/>
                <w:szCs w:val="20"/>
                <w14:textOutline w14:w="3795" w14:cap="sq" w14:cmpd="sng">
                  <w14:solidFill>
                    <w14:srgbClr w14:val="000000"/>
                  </w14:solidFill>
                  <w14:prstDash w14:val="solid"/>
                  <w14:bevel/>
                </w14:textOutline>
              </w:rPr>
              <w:t>倍数</w:t>
            </w:r>
          </w:p>
        </w:tc>
      </w:tr>
      <w:tr w14:paraId="6F3348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55" w:type="dxa"/>
            <w:tcBorders>
              <w:left w:val="nil"/>
              <w:right w:val="single" w:color="000000" w:sz="4" w:space="0"/>
            </w:tcBorders>
            <w:vAlign w:val="top"/>
          </w:tcPr>
          <w:p w14:paraId="1F0AA40C">
            <w:pPr>
              <w:spacing w:before="93" w:line="195" w:lineRule="auto"/>
              <w:ind w:left="198"/>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470" w:type="dxa"/>
            <w:vMerge w:val="restart"/>
            <w:tcBorders>
              <w:left w:val="single" w:color="000000" w:sz="4" w:space="0"/>
              <w:bottom w:val="nil"/>
              <w:right w:val="single" w:color="000000" w:sz="4" w:space="0"/>
            </w:tcBorders>
            <w:vAlign w:val="top"/>
          </w:tcPr>
          <w:p w14:paraId="18251C93">
            <w:pPr>
              <w:spacing w:before="205" w:line="301" w:lineRule="auto"/>
              <w:ind w:left="26" w:right="20" w:firstLine="17"/>
              <w:rPr>
                <w:rFonts w:ascii="宋体" w:hAnsi="宋体" w:eastAsia="宋体" w:cs="宋体"/>
                <w:sz w:val="20"/>
                <w:szCs w:val="20"/>
              </w:rPr>
            </w:pPr>
            <w:r>
              <w:rPr>
                <w:rFonts w:ascii="Times New Roman" w:hAnsi="Times New Roman" w:eastAsia="Times New Roman" w:cs="Times New Roman"/>
                <w:spacing w:val="-2"/>
                <w:sz w:val="20"/>
                <w:szCs w:val="20"/>
              </w:rPr>
              <w:t>1#</w:t>
            </w:r>
            <w:r>
              <w:rPr>
                <w:rFonts w:ascii="宋体" w:hAnsi="宋体" w:eastAsia="宋体" w:cs="宋体"/>
                <w:spacing w:val="-1"/>
                <w:sz w:val="20"/>
                <w:szCs w:val="20"/>
              </w:rPr>
              <w:t>建</w:t>
            </w:r>
            <w:r>
              <w:rPr>
                <w:rFonts w:ascii="宋体" w:hAnsi="宋体" w:eastAsia="宋体" w:cs="宋体"/>
                <w:sz w:val="20"/>
                <w:szCs w:val="20"/>
              </w:rPr>
              <w:t xml:space="preserve"> </w:t>
            </w:r>
            <w:r>
              <w:rPr>
                <w:rFonts w:ascii="宋体" w:hAnsi="宋体" w:eastAsia="宋体" w:cs="宋体"/>
                <w:spacing w:val="5"/>
                <w:sz w:val="20"/>
                <w:szCs w:val="20"/>
              </w:rPr>
              <w:t>设项</w:t>
            </w:r>
            <w:r>
              <w:rPr>
                <w:rFonts w:ascii="宋体" w:hAnsi="宋体" w:eastAsia="宋体" w:cs="宋体"/>
                <w:sz w:val="20"/>
                <w:szCs w:val="20"/>
              </w:rPr>
              <w:t xml:space="preserve"> </w:t>
            </w:r>
            <w:r>
              <w:rPr>
                <w:rFonts w:ascii="宋体" w:hAnsi="宋体" w:eastAsia="宋体" w:cs="宋体"/>
                <w:spacing w:val="5"/>
                <w:sz w:val="20"/>
                <w:szCs w:val="20"/>
              </w:rPr>
              <w:t>目所</w:t>
            </w:r>
            <w:r>
              <w:rPr>
                <w:rFonts w:ascii="宋体" w:hAnsi="宋体" w:eastAsia="宋体" w:cs="宋体"/>
                <w:sz w:val="20"/>
                <w:szCs w:val="20"/>
              </w:rPr>
              <w:t xml:space="preserve"> </w:t>
            </w:r>
            <w:r>
              <w:rPr>
                <w:rFonts w:ascii="宋体" w:hAnsi="宋体" w:eastAsia="宋体" w:cs="宋体"/>
                <w:spacing w:val="5"/>
                <w:sz w:val="20"/>
                <w:szCs w:val="20"/>
              </w:rPr>
              <w:t>在地</w:t>
            </w:r>
          </w:p>
        </w:tc>
        <w:tc>
          <w:tcPr>
            <w:tcW w:w="1453" w:type="dxa"/>
            <w:tcBorders>
              <w:left w:val="single" w:color="000000" w:sz="4" w:space="0"/>
            </w:tcBorders>
            <w:vAlign w:val="top"/>
          </w:tcPr>
          <w:p w14:paraId="40F7397A">
            <w:pPr>
              <w:spacing w:before="96" w:line="194" w:lineRule="auto"/>
              <w:ind w:left="59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pH</w:t>
            </w:r>
          </w:p>
        </w:tc>
        <w:tc>
          <w:tcPr>
            <w:tcW w:w="1200" w:type="dxa"/>
            <w:tcBorders>
              <w:right w:val="single" w:color="000000" w:sz="4" w:space="0"/>
            </w:tcBorders>
            <w:vAlign w:val="top"/>
          </w:tcPr>
          <w:p w14:paraId="261D6E5C">
            <w:pPr>
              <w:spacing w:before="57" w:line="228" w:lineRule="auto"/>
              <w:ind w:left="292"/>
              <w:rPr>
                <w:rFonts w:ascii="宋体" w:hAnsi="宋体" w:eastAsia="宋体" w:cs="宋体"/>
                <w:sz w:val="20"/>
                <w:szCs w:val="20"/>
              </w:rPr>
            </w:pPr>
            <w:r>
              <w:rPr>
                <w:rFonts w:ascii="宋体" w:hAnsi="宋体" w:eastAsia="宋体" w:cs="宋体"/>
                <w:spacing w:val="7"/>
                <w:sz w:val="20"/>
                <w:szCs w:val="20"/>
              </w:rPr>
              <w:t>无</w:t>
            </w:r>
            <w:r>
              <w:rPr>
                <w:rFonts w:ascii="宋体" w:hAnsi="宋体" w:eastAsia="宋体" w:cs="宋体"/>
                <w:spacing w:val="6"/>
                <w:sz w:val="20"/>
                <w:szCs w:val="20"/>
              </w:rPr>
              <w:t>量纲</w:t>
            </w:r>
          </w:p>
        </w:tc>
        <w:tc>
          <w:tcPr>
            <w:tcW w:w="1272" w:type="dxa"/>
            <w:tcBorders>
              <w:left w:val="single" w:color="000000" w:sz="4" w:space="0"/>
              <w:right w:val="single" w:color="000000" w:sz="4" w:space="0"/>
            </w:tcBorders>
            <w:vAlign w:val="top"/>
          </w:tcPr>
          <w:p w14:paraId="2A1BBA03">
            <w:pPr>
              <w:spacing w:before="93" w:line="195" w:lineRule="auto"/>
              <w:ind w:left="237"/>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7</w:t>
            </w:r>
            <w:r>
              <w:rPr>
                <w:rFonts w:ascii="Times New Roman" w:hAnsi="Times New Roman" w:eastAsia="Times New Roman" w:cs="Times New Roman"/>
                <w:spacing w:val="3"/>
                <w:sz w:val="20"/>
                <w:szCs w:val="20"/>
              </w:rPr>
              <w:t>.62-7.66</w:t>
            </w:r>
          </w:p>
        </w:tc>
        <w:tc>
          <w:tcPr>
            <w:tcW w:w="755" w:type="dxa"/>
            <w:tcBorders>
              <w:left w:val="single" w:color="000000" w:sz="4" w:space="0"/>
              <w:right w:val="single" w:color="000000" w:sz="4" w:space="0"/>
            </w:tcBorders>
            <w:vAlign w:val="top"/>
          </w:tcPr>
          <w:p w14:paraId="72A9F6A0">
            <w:pPr>
              <w:spacing w:before="93" w:line="195" w:lineRule="auto"/>
              <w:ind w:left="8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6</w:t>
            </w:r>
            <w:r>
              <w:rPr>
                <w:rFonts w:ascii="Times New Roman" w:hAnsi="Times New Roman" w:eastAsia="Times New Roman" w:cs="Times New Roman"/>
                <w:spacing w:val="3"/>
                <w:sz w:val="20"/>
                <w:szCs w:val="20"/>
              </w:rPr>
              <w:t>.5-8.5</w:t>
            </w:r>
          </w:p>
        </w:tc>
        <w:tc>
          <w:tcPr>
            <w:tcW w:w="1357" w:type="dxa"/>
            <w:tcBorders>
              <w:left w:val="single" w:color="000000" w:sz="4" w:space="0"/>
            </w:tcBorders>
            <w:vAlign w:val="top"/>
          </w:tcPr>
          <w:p w14:paraId="2D4E8054">
            <w:pPr>
              <w:spacing w:before="93" w:line="195" w:lineRule="auto"/>
              <w:ind w:left="28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.41-0.44</w:t>
            </w:r>
          </w:p>
        </w:tc>
        <w:tc>
          <w:tcPr>
            <w:tcW w:w="705" w:type="dxa"/>
            <w:vAlign w:val="top"/>
          </w:tcPr>
          <w:p w14:paraId="5BD24880">
            <w:pPr>
              <w:spacing w:before="93" w:line="195" w:lineRule="auto"/>
              <w:ind w:left="30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6186791A">
            <w:pPr>
              <w:spacing w:before="93"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7D4BE7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55" w:type="dxa"/>
            <w:tcBorders>
              <w:left w:val="nil"/>
              <w:right w:val="single" w:color="000000" w:sz="4" w:space="0"/>
            </w:tcBorders>
            <w:vAlign w:val="top"/>
          </w:tcPr>
          <w:p w14:paraId="72CFE006">
            <w:pPr>
              <w:spacing w:before="93" w:line="195" w:lineRule="auto"/>
              <w:ind w:left="17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470" w:type="dxa"/>
            <w:vMerge w:val="continue"/>
            <w:tcBorders>
              <w:top w:val="nil"/>
              <w:left w:val="single" w:color="000000" w:sz="4" w:space="0"/>
              <w:bottom w:val="nil"/>
              <w:right w:val="single" w:color="000000" w:sz="4" w:space="0"/>
            </w:tcBorders>
            <w:vAlign w:val="top"/>
          </w:tcPr>
          <w:p w14:paraId="0CF6058E">
            <w:pPr>
              <w:rPr>
                <w:rFonts w:ascii="Arial"/>
                <w:sz w:val="21"/>
              </w:rPr>
            </w:pPr>
          </w:p>
        </w:tc>
        <w:tc>
          <w:tcPr>
            <w:tcW w:w="1453" w:type="dxa"/>
            <w:tcBorders>
              <w:left w:val="single" w:color="000000" w:sz="4" w:space="0"/>
            </w:tcBorders>
            <w:vAlign w:val="top"/>
          </w:tcPr>
          <w:p w14:paraId="1E445677">
            <w:pPr>
              <w:spacing w:before="57" w:line="228" w:lineRule="auto"/>
              <w:ind w:left="415"/>
              <w:rPr>
                <w:rFonts w:ascii="宋体" w:hAnsi="宋体" w:eastAsia="宋体" w:cs="宋体"/>
                <w:sz w:val="20"/>
                <w:szCs w:val="20"/>
              </w:rPr>
            </w:pPr>
            <w:r>
              <w:rPr>
                <w:rFonts w:ascii="宋体" w:hAnsi="宋体" w:eastAsia="宋体" w:cs="宋体"/>
                <w:spacing w:val="7"/>
                <w:sz w:val="20"/>
                <w:szCs w:val="20"/>
              </w:rPr>
              <w:t>浑</w:t>
            </w:r>
            <w:r>
              <w:rPr>
                <w:rFonts w:ascii="宋体" w:hAnsi="宋体" w:eastAsia="宋体" w:cs="宋体"/>
                <w:spacing w:val="6"/>
                <w:sz w:val="20"/>
                <w:szCs w:val="20"/>
              </w:rPr>
              <w:t>浊度</w:t>
            </w:r>
          </w:p>
        </w:tc>
        <w:tc>
          <w:tcPr>
            <w:tcW w:w="1200" w:type="dxa"/>
            <w:tcBorders>
              <w:right w:val="single" w:color="000000" w:sz="4" w:space="0"/>
            </w:tcBorders>
            <w:vAlign w:val="top"/>
          </w:tcPr>
          <w:p w14:paraId="7606BCDA">
            <w:pPr>
              <w:spacing w:before="96" w:line="192" w:lineRule="auto"/>
              <w:ind w:left="380"/>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NT</w:t>
            </w:r>
            <w:r>
              <w:rPr>
                <w:rFonts w:ascii="Times New Roman" w:hAnsi="Times New Roman" w:eastAsia="Times New Roman" w:cs="Times New Roman"/>
                <w:spacing w:val="6"/>
                <w:sz w:val="20"/>
                <w:szCs w:val="20"/>
              </w:rPr>
              <w:t>U</w:t>
            </w:r>
          </w:p>
        </w:tc>
        <w:tc>
          <w:tcPr>
            <w:tcW w:w="1272" w:type="dxa"/>
            <w:tcBorders>
              <w:left w:val="single" w:color="000000" w:sz="4" w:space="0"/>
              <w:right w:val="single" w:color="000000" w:sz="4" w:space="0"/>
            </w:tcBorders>
            <w:vAlign w:val="top"/>
          </w:tcPr>
          <w:p w14:paraId="3E30B0F6">
            <w:pPr>
              <w:spacing w:before="93" w:line="198" w:lineRule="auto"/>
              <w:ind w:left="50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w:t>
            </w:r>
            <w:r>
              <w:rPr>
                <w:rFonts w:ascii="Times New Roman" w:hAnsi="Times New Roman" w:eastAsia="Times New Roman" w:cs="Times New Roman"/>
                <w:spacing w:val="3"/>
                <w:sz w:val="20"/>
                <w:szCs w:val="20"/>
              </w:rPr>
              <w:t>0</w:t>
            </w:r>
          </w:p>
        </w:tc>
        <w:tc>
          <w:tcPr>
            <w:tcW w:w="755" w:type="dxa"/>
            <w:tcBorders>
              <w:left w:val="single" w:color="000000" w:sz="4" w:space="0"/>
              <w:right w:val="single" w:color="000000" w:sz="4" w:space="0"/>
            </w:tcBorders>
            <w:vAlign w:val="top"/>
          </w:tcPr>
          <w:p w14:paraId="4553613E">
            <w:pPr>
              <w:spacing w:before="93" w:line="195" w:lineRule="auto"/>
              <w:ind w:left="329"/>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357" w:type="dxa"/>
            <w:tcBorders>
              <w:left w:val="single" w:color="000000" w:sz="4" w:space="0"/>
            </w:tcBorders>
            <w:vAlign w:val="top"/>
          </w:tcPr>
          <w:p w14:paraId="2EA39188">
            <w:pPr>
              <w:spacing w:before="94" w:line="195" w:lineRule="auto"/>
              <w:ind w:left="49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.67</w:t>
            </w:r>
          </w:p>
        </w:tc>
        <w:tc>
          <w:tcPr>
            <w:tcW w:w="705" w:type="dxa"/>
            <w:vAlign w:val="top"/>
          </w:tcPr>
          <w:p w14:paraId="7E5D7CD8">
            <w:pPr>
              <w:spacing w:before="93" w:line="195" w:lineRule="auto"/>
              <w:ind w:left="30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23B54CFC">
            <w:pPr>
              <w:spacing w:before="93"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5B9B00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55" w:type="dxa"/>
            <w:tcBorders>
              <w:left w:val="nil"/>
              <w:right w:val="single" w:color="000000" w:sz="4" w:space="0"/>
            </w:tcBorders>
            <w:vAlign w:val="top"/>
          </w:tcPr>
          <w:p w14:paraId="65E4A991">
            <w:pPr>
              <w:spacing w:before="94" w:line="195" w:lineRule="auto"/>
              <w:ind w:left="182"/>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470" w:type="dxa"/>
            <w:vMerge w:val="continue"/>
            <w:tcBorders>
              <w:top w:val="nil"/>
              <w:left w:val="single" w:color="000000" w:sz="4" w:space="0"/>
              <w:bottom w:val="nil"/>
              <w:right w:val="single" w:color="000000" w:sz="4" w:space="0"/>
            </w:tcBorders>
            <w:vAlign w:val="top"/>
          </w:tcPr>
          <w:p w14:paraId="642E05DB">
            <w:pPr>
              <w:rPr>
                <w:rFonts w:ascii="Arial"/>
                <w:sz w:val="21"/>
              </w:rPr>
            </w:pPr>
          </w:p>
        </w:tc>
        <w:tc>
          <w:tcPr>
            <w:tcW w:w="1453" w:type="dxa"/>
            <w:tcBorders>
              <w:left w:val="single" w:color="000000" w:sz="4" w:space="0"/>
            </w:tcBorders>
            <w:vAlign w:val="top"/>
          </w:tcPr>
          <w:p w14:paraId="110EB604">
            <w:pPr>
              <w:spacing w:before="58" w:line="227" w:lineRule="auto"/>
              <w:ind w:left="414"/>
              <w:rPr>
                <w:rFonts w:ascii="宋体" w:hAnsi="宋体" w:eastAsia="宋体" w:cs="宋体"/>
                <w:sz w:val="20"/>
                <w:szCs w:val="20"/>
              </w:rPr>
            </w:pPr>
            <w:r>
              <w:rPr>
                <w:rFonts w:ascii="宋体" w:hAnsi="宋体" w:eastAsia="宋体" w:cs="宋体"/>
                <w:spacing w:val="7"/>
                <w:sz w:val="20"/>
                <w:szCs w:val="20"/>
              </w:rPr>
              <w:t>耗</w:t>
            </w:r>
            <w:r>
              <w:rPr>
                <w:rFonts w:ascii="宋体" w:hAnsi="宋体" w:eastAsia="宋体" w:cs="宋体"/>
                <w:spacing w:val="6"/>
                <w:sz w:val="20"/>
                <w:szCs w:val="20"/>
              </w:rPr>
              <w:t>氧量</w:t>
            </w:r>
          </w:p>
        </w:tc>
        <w:tc>
          <w:tcPr>
            <w:tcW w:w="1200" w:type="dxa"/>
            <w:tcBorders>
              <w:right w:val="single" w:color="000000" w:sz="4" w:space="0"/>
            </w:tcBorders>
            <w:vAlign w:val="top"/>
          </w:tcPr>
          <w:p w14:paraId="2E5D13DF">
            <w:pPr>
              <w:spacing w:before="20"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2" w:type="dxa"/>
            <w:tcBorders>
              <w:left w:val="single" w:color="000000" w:sz="4" w:space="0"/>
              <w:right w:val="single" w:color="000000" w:sz="4" w:space="0"/>
            </w:tcBorders>
            <w:vAlign w:val="top"/>
          </w:tcPr>
          <w:p w14:paraId="4C2E56CE">
            <w:pPr>
              <w:spacing w:before="94" w:line="195" w:lineRule="auto"/>
              <w:ind w:left="25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1.00- 1. 1</w:t>
            </w:r>
            <w:r>
              <w:rPr>
                <w:rFonts w:ascii="Times New Roman" w:hAnsi="Times New Roman" w:eastAsia="Times New Roman" w:cs="Times New Roman"/>
                <w:spacing w:val="-6"/>
                <w:sz w:val="20"/>
                <w:szCs w:val="20"/>
              </w:rPr>
              <w:t>3</w:t>
            </w:r>
          </w:p>
        </w:tc>
        <w:tc>
          <w:tcPr>
            <w:tcW w:w="755" w:type="dxa"/>
            <w:tcBorders>
              <w:left w:val="single" w:color="000000" w:sz="4" w:space="0"/>
              <w:right w:val="single" w:color="000000" w:sz="4" w:space="0"/>
            </w:tcBorders>
            <w:vAlign w:val="top"/>
          </w:tcPr>
          <w:p w14:paraId="47C7B1F1">
            <w:pPr>
              <w:spacing w:before="94" w:line="195" w:lineRule="auto"/>
              <w:ind w:left="25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.0</w:t>
            </w:r>
          </w:p>
        </w:tc>
        <w:tc>
          <w:tcPr>
            <w:tcW w:w="1357" w:type="dxa"/>
            <w:tcBorders>
              <w:left w:val="single" w:color="000000" w:sz="4" w:space="0"/>
              <w:right w:val="single" w:color="000000" w:sz="4" w:space="0"/>
            </w:tcBorders>
            <w:vAlign w:val="top"/>
          </w:tcPr>
          <w:p w14:paraId="66D959B0">
            <w:pPr>
              <w:spacing w:before="94" w:line="195" w:lineRule="auto"/>
              <w:ind w:left="28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.33-0.38</w:t>
            </w:r>
          </w:p>
        </w:tc>
        <w:tc>
          <w:tcPr>
            <w:tcW w:w="705" w:type="dxa"/>
            <w:tcBorders>
              <w:left w:val="single" w:color="000000" w:sz="4" w:space="0"/>
            </w:tcBorders>
            <w:vAlign w:val="top"/>
          </w:tcPr>
          <w:p w14:paraId="53837B10">
            <w:pPr>
              <w:spacing w:before="94"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16A6AB98">
            <w:pPr>
              <w:spacing w:before="94"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66B60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55" w:type="dxa"/>
            <w:tcBorders>
              <w:left w:val="nil"/>
              <w:right w:val="single" w:color="000000" w:sz="4" w:space="0"/>
            </w:tcBorders>
            <w:vAlign w:val="top"/>
          </w:tcPr>
          <w:p w14:paraId="5C786EDE">
            <w:pPr>
              <w:spacing w:before="94" w:line="195" w:lineRule="auto"/>
              <w:ind w:left="17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470" w:type="dxa"/>
            <w:vMerge w:val="continue"/>
            <w:tcBorders>
              <w:top w:val="nil"/>
              <w:left w:val="single" w:color="000000" w:sz="4" w:space="0"/>
              <w:bottom w:val="nil"/>
              <w:right w:val="single" w:color="000000" w:sz="4" w:space="0"/>
            </w:tcBorders>
            <w:vAlign w:val="top"/>
          </w:tcPr>
          <w:p w14:paraId="3BFEE6E1">
            <w:pPr>
              <w:rPr>
                <w:rFonts w:ascii="Arial"/>
                <w:sz w:val="21"/>
              </w:rPr>
            </w:pPr>
          </w:p>
        </w:tc>
        <w:tc>
          <w:tcPr>
            <w:tcW w:w="1453" w:type="dxa"/>
            <w:tcBorders>
              <w:left w:val="single" w:color="000000" w:sz="4" w:space="0"/>
            </w:tcBorders>
            <w:vAlign w:val="top"/>
          </w:tcPr>
          <w:p w14:paraId="0BB19EF8">
            <w:pPr>
              <w:spacing w:before="58" w:line="227" w:lineRule="auto"/>
              <w:ind w:left="519"/>
              <w:rPr>
                <w:rFonts w:ascii="宋体" w:hAnsi="宋体" w:eastAsia="宋体" w:cs="宋体"/>
                <w:sz w:val="20"/>
                <w:szCs w:val="20"/>
              </w:rPr>
            </w:pPr>
            <w:r>
              <w:rPr>
                <w:rFonts w:ascii="宋体" w:hAnsi="宋体" w:eastAsia="宋体" w:cs="宋体"/>
                <w:spacing w:val="5"/>
                <w:sz w:val="20"/>
                <w:szCs w:val="20"/>
              </w:rPr>
              <w:t>氨</w:t>
            </w:r>
            <w:r>
              <w:rPr>
                <w:rFonts w:ascii="宋体" w:hAnsi="宋体" w:eastAsia="宋体" w:cs="宋体"/>
                <w:spacing w:val="4"/>
                <w:sz w:val="20"/>
                <w:szCs w:val="20"/>
              </w:rPr>
              <w:t>氮</w:t>
            </w:r>
          </w:p>
        </w:tc>
        <w:tc>
          <w:tcPr>
            <w:tcW w:w="1200" w:type="dxa"/>
            <w:tcBorders>
              <w:right w:val="single" w:color="000000" w:sz="4" w:space="0"/>
            </w:tcBorders>
            <w:vAlign w:val="top"/>
          </w:tcPr>
          <w:p w14:paraId="1D4A586B">
            <w:pPr>
              <w:spacing w:before="21"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2" w:type="dxa"/>
            <w:tcBorders>
              <w:left w:val="single" w:color="000000" w:sz="4" w:space="0"/>
              <w:right w:val="single" w:color="000000" w:sz="4" w:space="0"/>
            </w:tcBorders>
            <w:vAlign w:val="top"/>
          </w:tcPr>
          <w:p w14:paraId="08C65C81">
            <w:pPr>
              <w:spacing w:before="94" w:line="195" w:lineRule="auto"/>
              <w:ind w:left="237"/>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83-0.84</w:t>
            </w:r>
          </w:p>
        </w:tc>
        <w:tc>
          <w:tcPr>
            <w:tcW w:w="755" w:type="dxa"/>
            <w:tcBorders>
              <w:left w:val="single" w:color="000000" w:sz="4" w:space="0"/>
              <w:right w:val="single" w:color="000000" w:sz="4" w:space="0"/>
            </w:tcBorders>
            <w:vAlign w:val="top"/>
          </w:tcPr>
          <w:p w14:paraId="2F3D6E47">
            <w:pPr>
              <w:spacing w:before="94" w:line="195" w:lineRule="auto"/>
              <w:ind w:left="24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.5</w:t>
            </w:r>
          </w:p>
        </w:tc>
        <w:tc>
          <w:tcPr>
            <w:tcW w:w="1357" w:type="dxa"/>
            <w:tcBorders>
              <w:left w:val="single" w:color="000000" w:sz="4" w:space="0"/>
              <w:right w:val="single" w:color="000000" w:sz="4" w:space="0"/>
            </w:tcBorders>
            <w:vAlign w:val="top"/>
          </w:tcPr>
          <w:p w14:paraId="0C309ABD">
            <w:pPr>
              <w:spacing w:before="94" w:line="198" w:lineRule="auto"/>
              <w:ind w:left="29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1.66- 1.6</w:t>
            </w:r>
            <w:r>
              <w:rPr>
                <w:rFonts w:ascii="Times New Roman" w:hAnsi="Times New Roman" w:eastAsia="Times New Roman" w:cs="Times New Roman"/>
                <w:spacing w:val="-3"/>
                <w:sz w:val="20"/>
                <w:szCs w:val="20"/>
              </w:rPr>
              <w:t>8</w:t>
            </w:r>
          </w:p>
        </w:tc>
        <w:tc>
          <w:tcPr>
            <w:tcW w:w="705" w:type="dxa"/>
            <w:tcBorders>
              <w:left w:val="single" w:color="000000" w:sz="4" w:space="0"/>
            </w:tcBorders>
            <w:vAlign w:val="top"/>
          </w:tcPr>
          <w:p w14:paraId="3C65724B">
            <w:pPr>
              <w:spacing w:before="94" w:line="195" w:lineRule="auto"/>
              <w:ind w:left="21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100</w:t>
            </w:r>
          </w:p>
        </w:tc>
        <w:tc>
          <w:tcPr>
            <w:tcW w:w="684" w:type="dxa"/>
            <w:tcBorders>
              <w:right w:val="nil"/>
            </w:tcBorders>
            <w:vAlign w:val="top"/>
          </w:tcPr>
          <w:p w14:paraId="49CBD1BC">
            <w:pPr>
              <w:spacing w:before="94" w:line="195" w:lineRule="auto"/>
              <w:ind w:left="16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.68</w:t>
            </w:r>
          </w:p>
        </w:tc>
      </w:tr>
      <w:tr w14:paraId="6527CB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455" w:type="dxa"/>
            <w:tcBorders>
              <w:left w:val="nil"/>
              <w:right w:val="single" w:color="000000" w:sz="4" w:space="0"/>
            </w:tcBorders>
            <w:vAlign w:val="top"/>
          </w:tcPr>
          <w:p w14:paraId="5A1F390D">
            <w:pPr>
              <w:spacing w:before="100" w:line="192" w:lineRule="auto"/>
              <w:ind w:left="184"/>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470" w:type="dxa"/>
            <w:vMerge w:val="continue"/>
            <w:tcBorders>
              <w:top w:val="nil"/>
              <w:left w:val="single" w:color="000000" w:sz="4" w:space="0"/>
              <w:right w:val="single" w:color="000000" w:sz="4" w:space="0"/>
            </w:tcBorders>
            <w:vAlign w:val="top"/>
          </w:tcPr>
          <w:p w14:paraId="77933CBA">
            <w:pPr>
              <w:rPr>
                <w:rFonts w:ascii="Arial"/>
                <w:sz w:val="21"/>
              </w:rPr>
            </w:pPr>
          </w:p>
        </w:tc>
        <w:tc>
          <w:tcPr>
            <w:tcW w:w="1453" w:type="dxa"/>
            <w:tcBorders>
              <w:left w:val="single" w:color="000000" w:sz="4" w:space="0"/>
            </w:tcBorders>
            <w:vAlign w:val="top"/>
          </w:tcPr>
          <w:p w14:paraId="3D651B9D">
            <w:pPr>
              <w:spacing w:before="61" w:line="228" w:lineRule="auto"/>
              <w:ind w:left="419"/>
              <w:rPr>
                <w:rFonts w:ascii="宋体" w:hAnsi="宋体" w:eastAsia="宋体" w:cs="宋体"/>
                <w:sz w:val="20"/>
                <w:szCs w:val="20"/>
              </w:rPr>
            </w:pPr>
            <w:r>
              <w:rPr>
                <w:rFonts w:ascii="宋体" w:hAnsi="宋体" w:eastAsia="宋体" w:cs="宋体"/>
                <w:spacing w:val="5"/>
                <w:sz w:val="20"/>
                <w:szCs w:val="20"/>
              </w:rPr>
              <w:t>总硬度</w:t>
            </w:r>
          </w:p>
        </w:tc>
        <w:tc>
          <w:tcPr>
            <w:tcW w:w="1200" w:type="dxa"/>
            <w:tcBorders>
              <w:right w:val="single" w:color="000000" w:sz="4" w:space="0"/>
            </w:tcBorders>
            <w:vAlign w:val="top"/>
          </w:tcPr>
          <w:p w14:paraId="60E794B0">
            <w:pPr>
              <w:spacing w:before="23"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2" w:type="dxa"/>
            <w:tcBorders>
              <w:left w:val="single" w:color="000000" w:sz="4" w:space="0"/>
              <w:right w:val="single" w:color="000000" w:sz="4" w:space="0"/>
            </w:tcBorders>
            <w:vAlign w:val="top"/>
          </w:tcPr>
          <w:p w14:paraId="3FBE68BA">
            <w:pPr>
              <w:spacing w:before="97" w:line="195" w:lineRule="auto"/>
              <w:ind w:left="13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38</w:t>
            </w: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.4-392.4</w:t>
            </w:r>
          </w:p>
        </w:tc>
        <w:tc>
          <w:tcPr>
            <w:tcW w:w="755" w:type="dxa"/>
            <w:tcBorders>
              <w:left w:val="single" w:color="000000" w:sz="4" w:space="0"/>
              <w:right w:val="single" w:color="000000" w:sz="4" w:space="0"/>
            </w:tcBorders>
            <w:vAlign w:val="top"/>
          </w:tcPr>
          <w:p w14:paraId="182DDCEA">
            <w:pPr>
              <w:spacing w:before="97" w:line="195" w:lineRule="auto"/>
              <w:ind w:left="21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450</w:t>
            </w:r>
          </w:p>
        </w:tc>
        <w:tc>
          <w:tcPr>
            <w:tcW w:w="1357" w:type="dxa"/>
            <w:tcBorders>
              <w:left w:val="single" w:color="000000" w:sz="4" w:space="0"/>
              <w:right w:val="single" w:color="000000" w:sz="4" w:space="0"/>
            </w:tcBorders>
            <w:vAlign w:val="top"/>
          </w:tcPr>
          <w:p w14:paraId="1B71D0F2">
            <w:pPr>
              <w:spacing w:before="97" w:line="195" w:lineRule="auto"/>
              <w:ind w:left="28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.85-0.87</w:t>
            </w:r>
          </w:p>
        </w:tc>
        <w:tc>
          <w:tcPr>
            <w:tcW w:w="705" w:type="dxa"/>
            <w:tcBorders>
              <w:left w:val="single" w:color="000000" w:sz="4" w:space="0"/>
            </w:tcBorders>
            <w:vAlign w:val="top"/>
          </w:tcPr>
          <w:p w14:paraId="4E40E93C">
            <w:pPr>
              <w:spacing w:before="97"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09D0722D">
            <w:pPr>
              <w:spacing w:before="97"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bl>
    <w:p w14:paraId="0EFFD3E7">
      <w:pPr>
        <w:spacing w:line="14" w:lineRule="auto"/>
        <w:rPr>
          <w:rFonts w:ascii="Arial"/>
          <w:sz w:val="2"/>
        </w:rPr>
      </w:pPr>
    </w:p>
    <w:p w14:paraId="7A9BBB4B">
      <w:pPr>
        <w:sectPr>
          <w:type w:val="continuous"/>
          <w:pgSz w:w="11906" w:h="16839"/>
          <w:pgMar w:top="1132" w:right="1740" w:bottom="1182" w:left="1777" w:header="878" w:footer="1022" w:gutter="0"/>
          <w:cols w:equalWidth="0" w:num="1">
            <w:col w:w="8389"/>
          </w:cols>
        </w:sectPr>
      </w:pPr>
    </w:p>
    <w:p w14:paraId="65D003CB">
      <w:r>
        <w:pict>
          <v:rect id="_x0000_s1222" o:spid="_x0000_s1222" o:spt="1" style="position:absolute;left:0pt;margin-left:90pt;margin-top:57.35pt;height:0.75pt;width:415.3pt;mso-position-horizontal-relative:page;mso-position-vertical-relative:page;z-index:251874304;mso-width-relative:page;mso-height-relative:page;" fillcolor="#000000" filled="t" stroked="f" coordsize="21600,21600" o:allowincell="f">
            <v:path/>
            <v:fill on="t" focussize="0,0"/>
            <v:stroke on="f"/>
            <v:imagedata o:title=""/>
            <o:lock v:ext="edit"/>
          </v:rect>
        </w:pict>
      </w:r>
    </w:p>
    <w:p w14:paraId="2F99AA7A">
      <w:pPr>
        <w:spacing w:line="65" w:lineRule="exact"/>
      </w:pPr>
    </w:p>
    <w:tbl>
      <w:tblPr>
        <w:tblStyle w:val="4"/>
        <w:tblW w:w="835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5"/>
        <w:gridCol w:w="470"/>
        <w:gridCol w:w="1453"/>
        <w:gridCol w:w="1200"/>
        <w:gridCol w:w="1271"/>
        <w:gridCol w:w="756"/>
        <w:gridCol w:w="1357"/>
        <w:gridCol w:w="705"/>
        <w:gridCol w:w="684"/>
      </w:tblGrid>
      <w:tr w14:paraId="763312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455" w:type="dxa"/>
            <w:tcBorders>
              <w:left w:val="nil"/>
              <w:right w:val="single" w:color="000000" w:sz="4" w:space="0"/>
            </w:tcBorders>
            <w:vAlign w:val="top"/>
          </w:tcPr>
          <w:p w14:paraId="4551E68A">
            <w:pPr>
              <w:spacing w:before="111" w:line="195" w:lineRule="auto"/>
              <w:ind w:left="183"/>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470" w:type="dxa"/>
            <w:vMerge w:val="restart"/>
            <w:tcBorders>
              <w:left w:val="single" w:color="000000" w:sz="4" w:space="0"/>
              <w:bottom w:val="nil"/>
              <w:right w:val="single" w:color="000000" w:sz="4" w:space="0"/>
            </w:tcBorders>
            <w:vAlign w:val="top"/>
          </w:tcPr>
          <w:p w14:paraId="0F31B871">
            <w:pPr>
              <w:rPr>
                <w:rFonts w:ascii="Arial"/>
                <w:sz w:val="21"/>
              </w:rPr>
            </w:pPr>
          </w:p>
        </w:tc>
        <w:tc>
          <w:tcPr>
            <w:tcW w:w="1453" w:type="dxa"/>
            <w:tcBorders>
              <w:left w:val="single" w:color="000000" w:sz="4" w:space="0"/>
            </w:tcBorders>
            <w:vAlign w:val="top"/>
          </w:tcPr>
          <w:p w14:paraId="544EEE8D">
            <w:pPr>
              <w:spacing w:before="75" w:line="229" w:lineRule="auto"/>
              <w:ind w:left="413"/>
              <w:rPr>
                <w:rFonts w:ascii="宋体" w:hAnsi="宋体" w:eastAsia="宋体" w:cs="宋体"/>
                <w:sz w:val="20"/>
                <w:szCs w:val="20"/>
              </w:rPr>
            </w:pPr>
            <w:r>
              <w:rPr>
                <w:rFonts w:ascii="宋体" w:hAnsi="宋体" w:eastAsia="宋体" w:cs="宋体"/>
                <w:spacing w:val="7"/>
                <w:sz w:val="20"/>
                <w:szCs w:val="20"/>
              </w:rPr>
              <w:t>硫酸盐</w:t>
            </w:r>
          </w:p>
        </w:tc>
        <w:tc>
          <w:tcPr>
            <w:tcW w:w="1200" w:type="dxa"/>
            <w:tcBorders>
              <w:right w:val="single" w:color="000000" w:sz="4" w:space="0"/>
            </w:tcBorders>
            <w:vAlign w:val="top"/>
          </w:tcPr>
          <w:p w14:paraId="00F5669B">
            <w:pPr>
              <w:spacing w:before="38"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42053BC1">
            <w:pPr>
              <w:spacing w:before="111" w:line="195" w:lineRule="auto"/>
              <w:ind w:left="42"/>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6"/>
                <w:sz w:val="20"/>
                <w:szCs w:val="20"/>
              </w:rPr>
              <w:t>2</w:t>
            </w:r>
            <w:r>
              <w:rPr>
                <w:rFonts w:ascii="Times New Roman" w:hAnsi="Times New Roman" w:eastAsia="Times New Roman" w:cs="Times New Roman"/>
                <w:spacing w:val="-4"/>
                <w:sz w:val="20"/>
                <w:szCs w:val="20"/>
              </w:rPr>
              <w:t>8. 17- 129.33</w:t>
            </w:r>
          </w:p>
        </w:tc>
        <w:tc>
          <w:tcPr>
            <w:tcW w:w="756" w:type="dxa"/>
            <w:tcBorders>
              <w:left w:val="single" w:color="000000" w:sz="4" w:space="0"/>
              <w:right w:val="single" w:color="000000" w:sz="4" w:space="0"/>
            </w:tcBorders>
            <w:vAlign w:val="top"/>
          </w:tcPr>
          <w:p w14:paraId="11867EEC">
            <w:pPr>
              <w:spacing w:before="111" w:line="195" w:lineRule="auto"/>
              <w:ind w:left="220"/>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50</w:t>
            </w:r>
          </w:p>
        </w:tc>
        <w:tc>
          <w:tcPr>
            <w:tcW w:w="1357" w:type="dxa"/>
            <w:tcBorders>
              <w:left w:val="single" w:color="000000" w:sz="4" w:space="0"/>
              <w:right w:val="single" w:color="000000" w:sz="4" w:space="0"/>
            </w:tcBorders>
            <w:vAlign w:val="top"/>
          </w:tcPr>
          <w:p w14:paraId="16F3196A">
            <w:pPr>
              <w:spacing w:before="111" w:line="195" w:lineRule="auto"/>
              <w:ind w:left="28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.51-0.52</w:t>
            </w:r>
          </w:p>
        </w:tc>
        <w:tc>
          <w:tcPr>
            <w:tcW w:w="705" w:type="dxa"/>
            <w:tcBorders>
              <w:left w:val="single" w:color="000000" w:sz="4" w:space="0"/>
            </w:tcBorders>
            <w:vAlign w:val="top"/>
          </w:tcPr>
          <w:p w14:paraId="36FDB535">
            <w:pPr>
              <w:spacing w:before="111"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334C2D1D">
            <w:pPr>
              <w:spacing w:before="111"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4327F2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1B2D8DC3">
            <w:pPr>
              <w:spacing w:before="94" w:line="192" w:lineRule="auto"/>
              <w:ind w:left="181"/>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470" w:type="dxa"/>
            <w:vMerge w:val="continue"/>
            <w:tcBorders>
              <w:top w:val="nil"/>
              <w:left w:val="single" w:color="000000" w:sz="4" w:space="0"/>
              <w:bottom w:val="nil"/>
              <w:right w:val="single" w:color="000000" w:sz="4" w:space="0"/>
            </w:tcBorders>
            <w:vAlign w:val="top"/>
          </w:tcPr>
          <w:p w14:paraId="15BBC735">
            <w:pPr>
              <w:rPr>
                <w:rFonts w:ascii="Arial"/>
                <w:sz w:val="21"/>
              </w:rPr>
            </w:pPr>
          </w:p>
        </w:tc>
        <w:tc>
          <w:tcPr>
            <w:tcW w:w="1453" w:type="dxa"/>
            <w:tcBorders>
              <w:left w:val="single" w:color="000000" w:sz="4" w:space="0"/>
            </w:tcBorders>
            <w:vAlign w:val="top"/>
          </w:tcPr>
          <w:p w14:paraId="5D345E8A">
            <w:pPr>
              <w:spacing w:before="55" w:line="229" w:lineRule="auto"/>
              <w:ind w:left="310"/>
              <w:rPr>
                <w:rFonts w:ascii="宋体" w:hAnsi="宋体" w:eastAsia="宋体" w:cs="宋体"/>
                <w:sz w:val="20"/>
                <w:szCs w:val="20"/>
              </w:rPr>
            </w:pPr>
            <w:r>
              <w:rPr>
                <w:rFonts w:ascii="宋体" w:hAnsi="宋体" w:eastAsia="宋体" w:cs="宋体"/>
                <w:spacing w:val="7"/>
                <w:sz w:val="20"/>
                <w:szCs w:val="20"/>
              </w:rPr>
              <w:t>亚硝酸</w:t>
            </w:r>
            <w:r>
              <w:rPr>
                <w:rFonts w:ascii="宋体" w:hAnsi="宋体" w:eastAsia="宋体" w:cs="宋体"/>
                <w:spacing w:val="6"/>
                <w:sz w:val="20"/>
                <w:szCs w:val="20"/>
              </w:rPr>
              <w:t>盐</w:t>
            </w:r>
          </w:p>
        </w:tc>
        <w:tc>
          <w:tcPr>
            <w:tcW w:w="1200" w:type="dxa"/>
            <w:tcBorders>
              <w:right w:val="single" w:color="000000" w:sz="4" w:space="0"/>
            </w:tcBorders>
            <w:vAlign w:val="top"/>
          </w:tcPr>
          <w:p w14:paraId="4B85999A">
            <w:pPr>
              <w:spacing w:before="17"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357BDF02">
            <w:pPr>
              <w:spacing w:before="91" w:line="195" w:lineRule="auto"/>
              <w:ind w:left="13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0.006-0.00</w:t>
            </w:r>
            <w:r>
              <w:rPr>
                <w:rFonts w:ascii="Times New Roman" w:hAnsi="Times New Roman" w:eastAsia="Times New Roman" w:cs="Times New Roman"/>
                <w:spacing w:val="2"/>
                <w:sz w:val="20"/>
                <w:szCs w:val="20"/>
              </w:rPr>
              <w:t>8</w:t>
            </w:r>
          </w:p>
        </w:tc>
        <w:tc>
          <w:tcPr>
            <w:tcW w:w="756" w:type="dxa"/>
            <w:tcBorders>
              <w:left w:val="single" w:color="000000" w:sz="4" w:space="0"/>
              <w:right w:val="single" w:color="000000" w:sz="4" w:space="0"/>
            </w:tcBorders>
            <w:vAlign w:val="top"/>
          </w:tcPr>
          <w:p w14:paraId="5FAD44DE">
            <w:pPr>
              <w:spacing w:before="91" w:line="198" w:lineRule="auto"/>
              <w:ind w:left="2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00</w:t>
            </w:r>
          </w:p>
        </w:tc>
        <w:tc>
          <w:tcPr>
            <w:tcW w:w="1357" w:type="dxa"/>
            <w:tcBorders>
              <w:left w:val="single" w:color="000000" w:sz="4" w:space="0"/>
              <w:right w:val="single" w:color="000000" w:sz="4" w:space="0"/>
            </w:tcBorders>
            <w:vAlign w:val="top"/>
          </w:tcPr>
          <w:p w14:paraId="321B0DF5">
            <w:pPr>
              <w:spacing w:before="91" w:line="195" w:lineRule="auto"/>
              <w:ind w:left="17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3"/>
                <w:sz w:val="20"/>
                <w:szCs w:val="20"/>
              </w:rPr>
              <w:t>006-0.008</w:t>
            </w:r>
          </w:p>
        </w:tc>
        <w:tc>
          <w:tcPr>
            <w:tcW w:w="705" w:type="dxa"/>
            <w:tcBorders>
              <w:left w:val="single" w:color="000000" w:sz="4" w:space="0"/>
            </w:tcBorders>
            <w:vAlign w:val="top"/>
          </w:tcPr>
          <w:p w14:paraId="6721E04D">
            <w:pPr>
              <w:spacing w:before="91"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5F1F5DA7">
            <w:pPr>
              <w:spacing w:before="91"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56F2E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55" w:type="dxa"/>
            <w:tcBorders>
              <w:left w:val="nil"/>
              <w:right w:val="single" w:color="000000" w:sz="4" w:space="0"/>
            </w:tcBorders>
            <w:vAlign w:val="top"/>
          </w:tcPr>
          <w:p w14:paraId="35401A9E">
            <w:pPr>
              <w:spacing w:before="90" w:line="195" w:lineRule="auto"/>
              <w:ind w:left="186"/>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470" w:type="dxa"/>
            <w:vMerge w:val="continue"/>
            <w:tcBorders>
              <w:top w:val="nil"/>
              <w:left w:val="single" w:color="000000" w:sz="4" w:space="0"/>
              <w:bottom w:val="nil"/>
              <w:right w:val="single" w:color="000000" w:sz="4" w:space="0"/>
            </w:tcBorders>
            <w:vAlign w:val="top"/>
          </w:tcPr>
          <w:p w14:paraId="788CB1E5">
            <w:pPr>
              <w:rPr>
                <w:rFonts w:ascii="Arial"/>
                <w:sz w:val="21"/>
              </w:rPr>
            </w:pPr>
          </w:p>
        </w:tc>
        <w:tc>
          <w:tcPr>
            <w:tcW w:w="1453" w:type="dxa"/>
            <w:tcBorders>
              <w:left w:val="single" w:color="000000" w:sz="4" w:space="0"/>
            </w:tcBorders>
            <w:vAlign w:val="top"/>
          </w:tcPr>
          <w:p w14:paraId="394B16FF">
            <w:pPr>
              <w:spacing w:before="54" w:line="229" w:lineRule="auto"/>
              <w:ind w:left="417"/>
              <w:rPr>
                <w:rFonts w:ascii="宋体" w:hAnsi="宋体" w:eastAsia="宋体" w:cs="宋体"/>
                <w:sz w:val="20"/>
                <w:szCs w:val="20"/>
              </w:rPr>
            </w:pPr>
            <w:r>
              <w:rPr>
                <w:rFonts w:ascii="宋体" w:hAnsi="宋体" w:eastAsia="宋体" w:cs="宋体"/>
                <w:spacing w:val="6"/>
                <w:sz w:val="20"/>
                <w:szCs w:val="20"/>
              </w:rPr>
              <w:t>氯化</w:t>
            </w:r>
            <w:r>
              <w:rPr>
                <w:rFonts w:ascii="宋体" w:hAnsi="宋体" w:eastAsia="宋体" w:cs="宋体"/>
                <w:spacing w:val="5"/>
                <w:sz w:val="20"/>
                <w:szCs w:val="20"/>
              </w:rPr>
              <w:t>物</w:t>
            </w:r>
          </w:p>
        </w:tc>
        <w:tc>
          <w:tcPr>
            <w:tcW w:w="1200" w:type="dxa"/>
            <w:tcBorders>
              <w:right w:val="single" w:color="000000" w:sz="4" w:space="0"/>
            </w:tcBorders>
            <w:vAlign w:val="top"/>
          </w:tcPr>
          <w:p w14:paraId="6C342878">
            <w:pPr>
              <w:spacing w:before="17"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6C70CFE5">
            <w:pPr>
              <w:spacing w:before="90" w:line="195" w:lineRule="auto"/>
              <w:ind w:left="14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7.50- 18.69</w:t>
            </w:r>
          </w:p>
        </w:tc>
        <w:tc>
          <w:tcPr>
            <w:tcW w:w="756" w:type="dxa"/>
            <w:tcBorders>
              <w:left w:val="single" w:color="000000" w:sz="4" w:space="0"/>
              <w:right w:val="single" w:color="000000" w:sz="4" w:space="0"/>
            </w:tcBorders>
            <w:vAlign w:val="top"/>
          </w:tcPr>
          <w:p w14:paraId="431CA978">
            <w:pPr>
              <w:spacing w:before="90" w:line="195" w:lineRule="auto"/>
              <w:ind w:left="220"/>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50</w:t>
            </w:r>
          </w:p>
        </w:tc>
        <w:tc>
          <w:tcPr>
            <w:tcW w:w="1357" w:type="dxa"/>
            <w:tcBorders>
              <w:left w:val="single" w:color="000000" w:sz="4" w:space="0"/>
              <w:right w:val="single" w:color="000000" w:sz="4" w:space="0"/>
            </w:tcBorders>
            <w:vAlign w:val="top"/>
          </w:tcPr>
          <w:p w14:paraId="2C9E648B">
            <w:pPr>
              <w:spacing w:before="91" w:line="195" w:lineRule="auto"/>
              <w:ind w:left="17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3"/>
                <w:sz w:val="20"/>
                <w:szCs w:val="20"/>
              </w:rPr>
              <w:t>070-0.075</w:t>
            </w:r>
          </w:p>
        </w:tc>
        <w:tc>
          <w:tcPr>
            <w:tcW w:w="705" w:type="dxa"/>
            <w:tcBorders>
              <w:left w:val="single" w:color="000000" w:sz="4" w:space="0"/>
            </w:tcBorders>
            <w:vAlign w:val="top"/>
          </w:tcPr>
          <w:p w14:paraId="70A1925B">
            <w:pPr>
              <w:spacing w:before="90"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059C6ABF">
            <w:pPr>
              <w:spacing w:before="90"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1D5ECB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0E1920AF">
            <w:pPr>
              <w:spacing w:before="91" w:line="195" w:lineRule="auto"/>
              <w:ind w:left="182"/>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470" w:type="dxa"/>
            <w:vMerge w:val="continue"/>
            <w:tcBorders>
              <w:top w:val="nil"/>
              <w:left w:val="single" w:color="000000" w:sz="4" w:space="0"/>
              <w:bottom w:val="nil"/>
              <w:right w:val="single" w:color="000000" w:sz="4" w:space="0"/>
            </w:tcBorders>
            <w:vAlign w:val="top"/>
          </w:tcPr>
          <w:p w14:paraId="13314B65">
            <w:pPr>
              <w:rPr>
                <w:rFonts w:ascii="Arial"/>
                <w:sz w:val="21"/>
              </w:rPr>
            </w:pPr>
          </w:p>
        </w:tc>
        <w:tc>
          <w:tcPr>
            <w:tcW w:w="1453" w:type="dxa"/>
            <w:tcBorders>
              <w:left w:val="single" w:color="000000" w:sz="4" w:space="0"/>
            </w:tcBorders>
            <w:vAlign w:val="top"/>
          </w:tcPr>
          <w:p w14:paraId="1E8A6E6B">
            <w:pPr>
              <w:spacing w:before="55" w:line="228" w:lineRule="auto"/>
              <w:ind w:left="625"/>
              <w:rPr>
                <w:rFonts w:ascii="宋体" w:hAnsi="宋体" w:eastAsia="宋体" w:cs="宋体"/>
                <w:sz w:val="20"/>
                <w:szCs w:val="20"/>
              </w:rPr>
            </w:pPr>
            <w:r>
              <w:rPr>
                <w:rFonts w:ascii="宋体" w:hAnsi="宋体" w:eastAsia="宋体" w:cs="宋体"/>
                <w:sz w:val="20"/>
                <w:szCs w:val="20"/>
              </w:rPr>
              <w:t>钾</w:t>
            </w:r>
          </w:p>
        </w:tc>
        <w:tc>
          <w:tcPr>
            <w:tcW w:w="1200" w:type="dxa"/>
            <w:tcBorders>
              <w:right w:val="single" w:color="000000" w:sz="4" w:space="0"/>
            </w:tcBorders>
            <w:vAlign w:val="top"/>
          </w:tcPr>
          <w:p w14:paraId="6BAA86F4">
            <w:pPr>
              <w:spacing w:before="17"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4245AE47">
            <w:pPr>
              <w:spacing w:before="91" w:line="198" w:lineRule="auto"/>
              <w:ind w:left="25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1.93-</w:t>
            </w:r>
            <w:r>
              <w:rPr>
                <w:rFonts w:ascii="Times New Roman" w:hAnsi="Times New Roman" w:eastAsia="Times New Roman" w:cs="Times New Roman"/>
                <w:spacing w:val="1"/>
                <w:sz w:val="20"/>
                <w:szCs w:val="20"/>
              </w:rPr>
              <w:t>2.47</w:t>
            </w:r>
          </w:p>
        </w:tc>
        <w:tc>
          <w:tcPr>
            <w:tcW w:w="756" w:type="dxa"/>
            <w:tcBorders>
              <w:left w:val="single" w:color="000000" w:sz="4" w:space="0"/>
              <w:right w:val="single" w:color="000000" w:sz="4" w:space="0"/>
            </w:tcBorders>
            <w:vAlign w:val="top"/>
          </w:tcPr>
          <w:p w14:paraId="3C2CED5F">
            <w:pPr>
              <w:spacing w:before="17" w:line="281" w:lineRule="exact"/>
              <w:ind w:left="3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357" w:type="dxa"/>
            <w:tcBorders>
              <w:left w:val="single" w:color="000000" w:sz="4" w:space="0"/>
              <w:right w:val="single" w:color="000000" w:sz="4" w:space="0"/>
            </w:tcBorders>
            <w:vAlign w:val="top"/>
          </w:tcPr>
          <w:p w14:paraId="261C0B7D">
            <w:pPr>
              <w:spacing w:before="17" w:line="281" w:lineRule="exact"/>
              <w:ind w:left="6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463C5402">
            <w:pPr>
              <w:spacing w:before="17" w:line="281" w:lineRule="exact"/>
              <w:ind w:left="31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684" w:type="dxa"/>
            <w:tcBorders>
              <w:right w:val="nil"/>
            </w:tcBorders>
            <w:vAlign w:val="top"/>
          </w:tcPr>
          <w:p w14:paraId="69057CC2">
            <w:pPr>
              <w:spacing w:before="17" w:line="281" w:lineRule="exact"/>
              <w:ind w:left="31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0F45B0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7ACED242">
            <w:pPr>
              <w:spacing w:before="90" w:line="195" w:lineRule="auto"/>
              <w:ind w:left="14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470" w:type="dxa"/>
            <w:vMerge w:val="continue"/>
            <w:tcBorders>
              <w:top w:val="nil"/>
              <w:left w:val="single" w:color="000000" w:sz="4" w:space="0"/>
              <w:bottom w:val="nil"/>
              <w:right w:val="single" w:color="000000" w:sz="4" w:space="0"/>
            </w:tcBorders>
            <w:vAlign w:val="top"/>
          </w:tcPr>
          <w:p w14:paraId="6EE69F09">
            <w:pPr>
              <w:rPr>
                <w:rFonts w:ascii="Arial"/>
                <w:sz w:val="21"/>
              </w:rPr>
            </w:pPr>
          </w:p>
        </w:tc>
        <w:tc>
          <w:tcPr>
            <w:tcW w:w="1453" w:type="dxa"/>
            <w:tcBorders>
              <w:left w:val="single" w:color="000000" w:sz="4" w:space="0"/>
            </w:tcBorders>
            <w:vAlign w:val="top"/>
          </w:tcPr>
          <w:p w14:paraId="5379477F">
            <w:pPr>
              <w:spacing w:before="54" w:line="230" w:lineRule="auto"/>
              <w:ind w:left="624"/>
              <w:rPr>
                <w:rFonts w:ascii="宋体" w:hAnsi="宋体" w:eastAsia="宋体" w:cs="宋体"/>
                <w:sz w:val="20"/>
                <w:szCs w:val="20"/>
              </w:rPr>
            </w:pPr>
            <w:r>
              <w:rPr>
                <w:rFonts w:ascii="宋体" w:hAnsi="宋体" w:eastAsia="宋体" w:cs="宋体"/>
                <w:spacing w:val="1"/>
                <w:sz w:val="20"/>
                <w:szCs w:val="20"/>
              </w:rPr>
              <w:t>钙</w:t>
            </w:r>
          </w:p>
        </w:tc>
        <w:tc>
          <w:tcPr>
            <w:tcW w:w="1200" w:type="dxa"/>
            <w:tcBorders>
              <w:right w:val="single" w:color="000000" w:sz="4" w:space="0"/>
            </w:tcBorders>
            <w:vAlign w:val="top"/>
          </w:tcPr>
          <w:p w14:paraId="43F60AAA">
            <w:pPr>
              <w:spacing w:before="19"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31B3DFC5">
            <w:pPr>
              <w:spacing w:before="90" w:line="195" w:lineRule="auto"/>
              <w:ind w:left="100"/>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1</w:t>
            </w:r>
            <w:r>
              <w:rPr>
                <w:rFonts w:ascii="Times New Roman" w:hAnsi="Times New Roman" w:eastAsia="Times New Roman" w:cs="Times New Roman"/>
                <w:spacing w:val="-9"/>
                <w:sz w:val="20"/>
                <w:szCs w:val="20"/>
              </w:rPr>
              <w:t>1</w:t>
            </w:r>
            <w:r>
              <w:rPr>
                <w:rFonts w:ascii="Times New Roman" w:hAnsi="Times New Roman" w:eastAsia="Times New Roman" w:cs="Times New Roman"/>
                <w:spacing w:val="-5"/>
                <w:sz w:val="20"/>
                <w:szCs w:val="20"/>
              </w:rPr>
              <w:t>7. 1- 121.62</w:t>
            </w:r>
          </w:p>
        </w:tc>
        <w:tc>
          <w:tcPr>
            <w:tcW w:w="756" w:type="dxa"/>
            <w:tcBorders>
              <w:left w:val="single" w:color="000000" w:sz="4" w:space="0"/>
              <w:right w:val="single" w:color="000000" w:sz="4" w:space="0"/>
            </w:tcBorders>
            <w:vAlign w:val="top"/>
          </w:tcPr>
          <w:p w14:paraId="19C38618">
            <w:pPr>
              <w:spacing w:before="90" w:line="195" w:lineRule="auto"/>
              <w:ind w:left="220"/>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00</w:t>
            </w:r>
          </w:p>
        </w:tc>
        <w:tc>
          <w:tcPr>
            <w:tcW w:w="1357" w:type="dxa"/>
            <w:tcBorders>
              <w:left w:val="single" w:color="000000" w:sz="4" w:space="0"/>
              <w:right w:val="single" w:color="000000" w:sz="4" w:space="0"/>
            </w:tcBorders>
            <w:vAlign w:val="top"/>
          </w:tcPr>
          <w:p w14:paraId="469740E4">
            <w:pPr>
              <w:spacing w:before="90" w:line="195" w:lineRule="auto"/>
              <w:ind w:left="28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.58-0.61</w:t>
            </w:r>
          </w:p>
        </w:tc>
        <w:tc>
          <w:tcPr>
            <w:tcW w:w="705" w:type="dxa"/>
            <w:tcBorders>
              <w:left w:val="single" w:color="000000" w:sz="4" w:space="0"/>
            </w:tcBorders>
            <w:vAlign w:val="top"/>
          </w:tcPr>
          <w:p w14:paraId="4DEEAD12">
            <w:pPr>
              <w:spacing w:before="90"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6847C3A7">
            <w:pPr>
              <w:spacing w:before="90"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671924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269D22AF">
            <w:pPr>
              <w:spacing w:before="92" w:line="195" w:lineRule="auto"/>
              <w:ind w:left="150"/>
              <w:rPr>
                <w:rFonts w:ascii="Times New Roman" w:hAnsi="Times New Roman" w:eastAsia="Times New Roman" w:cs="Times New Roman"/>
                <w:sz w:val="20"/>
                <w:szCs w:val="20"/>
              </w:rPr>
            </w:pPr>
            <w:r>
              <w:rPr>
                <w:rFonts w:ascii="Times New Roman" w:hAnsi="Times New Roman" w:eastAsia="Times New Roman" w:cs="Times New Roman"/>
                <w:spacing w:val="-11"/>
                <w:sz w:val="20"/>
                <w:szCs w:val="20"/>
              </w:rPr>
              <w:t>1</w:t>
            </w:r>
            <w:r>
              <w:rPr>
                <w:rFonts w:ascii="Times New Roman" w:hAnsi="Times New Roman" w:eastAsia="Times New Roman" w:cs="Times New Roman"/>
                <w:spacing w:val="-9"/>
                <w:sz w:val="20"/>
                <w:szCs w:val="20"/>
              </w:rPr>
              <w:t>1</w:t>
            </w:r>
          </w:p>
        </w:tc>
        <w:tc>
          <w:tcPr>
            <w:tcW w:w="470" w:type="dxa"/>
            <w:vMerge w:val="continue"/>
            <w:tcBorders>
              <w:top w:val="nil"/>
              <w:left w:val="single" w:color="000000" w:sz="4" w:space="0"/>
              <w:bottom w:val="nil"/>
              <w:right w:val="single" w:color="000000" w:sz="4" w:space="0"/>
            </w:tcBorders>
            <w:vAlign w:val="top"/>
          </w:tcPr>
          <w:p w14:paraId="3A3FF8FA">
            <w:pPr>
              <w:rPr>
                <w:rFonts w:ascii="Arial"/>
                <w:sz w:val="21"/>
              </w:rPr>
            </w:pPr>
          </w:p>
        </w:tc>
        <w:tc>
          <w:tcPr>
            <w:tcW w:w="1453" w:type="dxa"/>
            <w:tcBorders>
              <w:left w:val="single" w:color="000000" w:sz="4" w:space="0"/>
            </w:tcBorders>
            <w:vAlign w:val="top"/>
          </w:tcPr>
          <w:p w14:paraId="6F9F4484">
            <w:pPr>
              <w:spacing w:before="56" w:line="229" w:lineRule="auto"/>
              <w:ind w:left="624"/>
              <w:rPr>
                <w:rFonts w:ascii="宋体" w:hAnsi="宋体" w:eastAsia="宋体" w:cs="宋体"/>
                <w:sz w:val="20"/>
                <w:szCs w:val="20"/>
              </w:rPr>
            </w:pPr>
            <w:r>
              <w:rPr>
                <w:rFonts w:ascii="宋体" w:hAnsi="宋体" w:eastAsia="宋体" w:cs="宋体"/>
                <w:spacing w:val="1"/>
                <w:sz w:val="20"/>
                <w:szCs w:val="20"/>
              </w:rPr>
              <w:t>钠</w:t>
            </w:r>
          </w:p>
        </w:tc>
        <w:tc>
          <w:tcPr>
            <w:tcW w:w="1200" w:type="dxa"/>
            <w:tcBorders>
              <w:right w:val="single" w:color="000000" w:sz="4" w:space="0"/>
            </w:tcBorders>
            <w:vAlign w:val="top"/>
          </w:tcPr>
          <w:p w14:paraId="437BFBAB">
            <w:pPr>
              <w:spacing w:before="18"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73F60177">
            <w:pPr>
              <w:spacing w:before="92" w:line="195" w:lineRule="auto"/>
              <w:ind w:left="148"/>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16</w:t>
            </w:r>
            <w:r>
              <w:rPr>
                <w:rFonts w:ascii="Times New Roman" w:hAnsi="Times New Roman" w:eastAsia="Times New Roman" w:cs="Times New Roman"/>
                <w:spacing w:val="-5"/>
                <w:sz w:val="20"/>
                <w:szCs w:val="20"/>
              </w:rPr>
              <w:t>. 10- 16.26</w:t>
            </w:r>
          </w:p>
        </w:tc>
        <w:tc>
          <w:tcPr>
            <w:tcW w:w="756" w:type="dxa"/>
            <w:tcBorders>
              <w:left w:val="single" w:color="000000" w:sz="4" w:space="0"/>
              <w:right w:val="single" w:color="000000" w:sz="4" w:space="0"/>
            </w:tcBorders>
            <w:vAlign w:val="top"/>
          </w:tcPr>
          <w:p w14:paraId="53516A45">
            <w:pPr>
              <w:spacing w:before="18" w:line="281" w:lineRule="exact"/>
              <w:ind w:left="3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357" w:type="dxa"/>
            <w:tcBorders>
              <w:left w:val="single" w:color="000000" w:sz="4" w:space="0"/>
              <w:right w:val="single" w:color="000000" w:sz="4" w:space="0"/>
            </w:tcBorders>
            <w:vAlign w:val="top"/>
          </w:tcPr>
          <w:p w14:paraId="3412CC6F">
            <w:pPr>
              <w:spacing w:before="18" w:line="281" w:lineRule="exact"/>
              <w:ind w:left="6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60411054">
            <w:pPr>
              <w:spacing w:before="18" w:line="281" w:lineRule="exact"/>
              <w:ind w:left="31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684" w:type="dxa"/>
            <w:tcBorders>
              <w:right w:val="nil"/>
            </w:tcBorders>
            <w:vAlign w:val="top"/>
          </w:tcPr>
          <w:p w14:paraId="77F35F3D">
            <w:pPr>
              <w:spacing w:before="18" w:line="281" w:lineRule="exact"/>
              <w:ind w:left="31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77931A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5A16FBC9">
            <w:pPr>
              <w:spacing w:before="91" w:line="195" w:lineRule="auto"/>
              <w:ind w:left="14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2</w:t>
            </w:r>
          </w:p>
        </w:tc>
        <w:tc>
          <w:tcPr>
            <w:tcW w:w="470" w:type="dxa"/>
            <w:vMerge w:val="continue"/>
            <w:tcBorders>
              <w:top w:val="nil"/>
              <w:left w:val="single" w:color="000000" w:sz="4" w:space="0"/>
              <w:bottom w:val="nil"/>
              <w:right w:val="single" w:color="000000" w:sz="4" w:space="0"/>
            </w:tcBorders>
            <w:vAlign w:val="top"/>
          </w:tcPr>
          <w:p w14:paraId="7FB35325">
            <w:pPr>
              <w:rPr>
                <w:rFonts w:ascii="Arial"/>
                <w:sz w:val="21"/>
              </w:rPr>
            </w:pPr>
          </w:p>
        </w:tc>
        <w:tc>
          <w:tcPr>
            <w:tcW w:w="1453" w:type="dxa"/>
            <w:tcBorders>
              <w:left w:val="single" w:color="000000" w:sz="4" w:space="0"/>
            </w:tcBorders>
            <w:vAlign w:val="top"/>
          </w:tcPr>
          <w:p w14:paraId="3BF7444E">
            <w:pPr>
              <w:spacing w:before="55" w:line="230" w:lineRule="auto"/>
              <w:ind w:left="624"/>
              <w:rPr>
                <w:rFonts w:ascii="宋体" w:hAnsi="宋体" w:eastAsia="宋体" w:cs="宋体"/>
                <w:sz w:val="20"/>
                <w:szCs w:val="20"/>
              </w:rPr>
            </w:pPr>
            <w:r>
              <w:rPr>
                <w:rFonts w:ascii="宋体" w:hAnsi="宋体" w:eastAsia="宋体" w:cs="宋体"/>
                <w:spacing w:val="1"/>
                <w:sz w:val="20"/>
                <w:szCs w:val="20"/>
              </w:rPr>
              <w:t>镁</w:t>
            </w:r>
          </w:p>
        </w:tc>
        <w:tc>
          <w:tcPr>
            <w:tcW w:w="1200" w:type="dxa"/>
            <w:tcBorders>
              <w:right w:val="single" w:color="000000" w:sz="4" w:space="0"/>
            </w:tcBorders>
            <w:vAlign w:val="top"/>
          </w:tcPr>
          <w:p w14:paraId="79A30A59">
            <w:pPr>
              <w:spacing w:before="18"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08F88A90">
            <w:pPr>
              <w:spacing w:before="91" w:line="198" w:lineRule="auto"/>
              <w:ind w:left="128"/>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4"/>
                <w:sz w:val="20"/>
                <w:szCs w:val="20"/>
              </w:rPr>
              <w:t>2.59-22.67</w:t>
            </w:r>
          </w:p>
        </w:tc>
        <w:tc>
          <w:tcPr>
            <w:tcW w:w="756" w:type="dxa"/>
            <w:tcBorders>
              <w:left w:val="single" w:color="000000" w:sz="4" w:space="0"/>
              <w:right w:val="single" w:color="000000" w:sz="4" w:space="0"/>
            </w:tcBorders>
            <w:vAlign w:val="top"/>
          </w:tcPr>
          <w:p w14:paraId="7A5C74BD">
            <w:pPr>
              <w:spacing w:before="18" w:line="281" w:lineRule="exact"/>
              <w:ind w:left="3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357" w:type="dxa"/>
            <w:tcBorders>
              <w:left w:val="single" w:color="000000" w:sz="4" w:space="0"/>
              <w:right w:val="single" w:color="000000" w:sz="4" w:space="0"/>
            </w:tcBorders>
            <w:vAlign w:val="top"/>
          </w:tcPr>
          <w:p w14:paraId="6BCB42A0">
            <w:pPr>
              <w:spacing w:before="18" w:line="281" w:lineRule="exact"/>
              <w:ind w:left="6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5F3C663C">
            <w:pPr>
              <w:spacing w:before="18" w:line="281" w:lineRule="exact"/>
              <w:ind w:left="31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684" w:type="dxa"/>
            <w:tcBorders>
              <w:right w:val="nil"/>
            </w:tcBorders>
            <w:vAlign w:val="top"/>
          </w:tcPr>
          <w:p w14:paraId="16C68D31">
            <w:pPr>
              <w:spacing w:before="18" w:line="281" w:lineRule="exact"/>
              <w:ind w:left="31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540723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55" w:type="dxa"/>
            <w:tcBorders>
              <w:left w:val="nil"/>
              <w:right w:val="single" w:color="000000" w:sz="4" w:space="0"/>
            </w:tcBorders>
            <w:vAlign w:val="top"/>
          </w:tcPr>
          <w:p w14:paraId="6DF4D7A3">
            <w:pPr>
              <w:spacing w:before="91" w:line="195" w:lineRule="auto"/>
              <w:ind w:left="14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3</w:t>
            </w:r>
          </w:p>
        </w:tc>
        <w:tc>
          <w:tcPr>
            <w:tcW w:w="470" w:type="dxa"/>
            <w:vMerge w:val="continue"/>
            <w:tcBorders>
              <w:top w:val="nil"/>
              <w:left w:val="single" w:color="000000" w:sz="4" w:space="0"/>
              <w:bottom w:val="nil"/>
              <w:right w:val="single" w:color="000000" w:sz="4" w:space="0"/>
            </w:tcBorders>
            <w:vAlign w:val="top"/>
          </w:tcPr>
          <w:p w14:paraId="054CC666">
            <w:pPr>
              <w:rPr>
                <w:rFonts w:ascii="Arial"/>
                <w:sz w:val="21"/>
              </w:rPr>
            </w:pPr>
          </w:p>
        </w:tc>
        <w:tc>
          <w:tcPr>
            <w:tcW w:w="1453" w:type="dxa"/>
            <w:tcBorders>
              <w:left w:val="single" w:color="000000" w:sz="4" w:space="0"/>
            </w:tcBorders>
            <w:vAlign w:val="top"/>
          </w:tcPr>
          <w:p w14:paraId="3D24058E">
            <w:pPr>
              <w:spacing w:before="55" w:line="228" w:lineRule="auto"/>
              <w:ind w:left="413"/>
              <w:rPr>
                <w:rFonts w:ascii="宋体" w:hAnsi="宋体" w:eastAsia="宋体" w:cs="宋体"/>
                <w:sz w:val="20"/>
                <w:szCs w:val="20"/>
              </w:rPr>
            </w:pPr>
            <w:r>
              <w:rPr>
                <w:rFonts w:ascii="宋体" w:hAnsi="宋体" w:eastAsia="宋体" w:cs="宋体"/>
                <w:spacing w:val="7"/>
                <w:sz w:val="20"/>
                <w:szCs w:val="20"/>
              </w:rPr>
              <w:t>碳酸</w:t>
            </w:r>
            <w:r>
              <w:rPr>
                <w:rFonts w:ascii="宋体" w:hAnsi="宋体" w:eastAsia="宋体" w:cs="宋体"/>
                <w:spacing w:val="6"/>
                <w:sz w:val="20"/>
                <w:szCs w:val="20"/>
              </w:rPr>
              <w:t>根</w:t>
            </w:r>
          </w:p>
        </w:tc>
        <w:tc>
          <w:tcPr>
            <w:tcW w:w="1200" w:type="dxa"/>
            <w:tcBorders>
              <w:right w:val="single" w:color="000000" w:sz="4" w:space="0"/>
            </w:tcBorders>
            <w:vAlign w:val="top"/>
          </w:tcPr>
          <w:p w14:paraId="4DF905BC">
            <w:pPr>
              <w:spacing w:before="17"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5914C2AA">
            <w:pPr>
              <w:spacing w:before="54" w:line="228" w:lineRule="auto"/>
              <w:ind w:left="327"/>
              <w:rPr>
                <w:rFonts w:ascii="宋体" w:hAnsi="宋体" w:eastAsia="宋体" w:cs="宋体"/>
                <w:sz w:val="20"/>
                <w:szCs w:val="20"/>
              </w:rPr>
            </w:pPr>
            <w:r>
              <w:rPr>
                <w:rFonts w:ascii="宋体" w:hAnsi="宋体" w:eastAsia="宋体" w:cs="宋体"/>
                <w:spacing w:val="6"/>
                <w:sz w:val="20"/>
                <w:szCs w:val="20"/>
              </w:rPr>
              <w:t>未检</w:t>
            </w:r>
            <w:r>
              <w:rPr>
                <w:rFonts w:ascii="宋体" w:hAnsi="宋体" w:eastAsia="宋体" w:cs="宋体"/>
                <w:spacing w:val="5"/>
                <w:sz w:val="20"/>
                <w:szCs w:val="20"/>
              </w:rPr>
              <w:t>出</w:t>
            </w:r>
          </w:p>
        </w:tc>
        <w:tc>
          <w:tcPr>
            <w:tcW w:w="756" w:type="dxa"/>
            <w:tcBorders>
              <w:left w:val="single" w:color="000000" w:sz="4" w:space="0"/>
              <w:right w:val="single" w:color="000000" w:sz="4" w:space="0"/>
            </w:tcBorders>
            <w:vAlign w:val="top"/>
          </w:tcPr>
          <w:p w14:paraId="6B886917">
            <w:pPr>
              <w:spacing w:before="17" w:line="281" w:lineRule="exact"/>
              <w:ind w:left="3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357" w:type="dxa"/>
            <w:tcBorders>
              <w:left w:val="single" w:color="000000" w:sz="4" w:space="0"/>
              <w:right w:val="single" w:color="000000" w:sz="4" w:space="0"/>
            </w:tcBorders>
            <w:vAlign w:val="top"/>
          </w:tcPr>
          <w:p w14:paraId="053F3FF4">
            <w:pPr>
              <w:spacing w:before="17" w:line="281" w:lineRule="exact"/>
              <w:ind w:left="6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6CD7C986">
            <w:pPr>
              <w:spacing w:before="17" w:line="281" w:lineRule="exact"/>
              <w:ind w:left="31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684" w:type="dxa"/>
            <w:tcBorders>
              <w:right w:val="nil"/>
            </w:tcBorders>
            <w:vAlign w:val="top"/>
          </w:tcPr>
          <w:p w14:paraId="58BE7B20">
            <w:pPr>
              <w:spacing w:before="17" w:line="281" w:lineRule="exact"/>
              <w:ind w:left="31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4BD70E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0BEE87B0">
            <w:pPr>
              <w:spacing w:before="91" w:line="195" w:lineRule="auto"/>
              <w:ind w:left="14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4</w:t>
            </w:r>
          </w:p>
        </w:tc>
        <w:tc>
          <w:tcPr>
            <w:tcW w:w="470" w:type="dxa"/>
            <w:vMerge w:val="continue"/>
            <w:tcBorders>
              <w:top w:val="nil"/>
              <w:left w:val="single" w:color="000000" w:sz="4" w:space="0"/>
              <w:bottom w:val="nil"/>
              <w:right w:val="single" w:color="000000" w:sz="4" w:space="0"/>
            </w:tcBorders>
            <w:vAlign w:val="top"/>
          </w:tcPr>
          <w:p w14:paraId="01B3E5AE">
            <w:pPr>
              <w:rPr>
                <w:rFonts w:ascii="Arial"/>
                <w:sz w:val="21"/>
              </w:rPr>
            </w:pPr>
          </w:p>
        </w:tc>
        <w:tc>
          <w:tcPr>
            <w:tcW w:w="1453" w:type="dxa"/>
            <w:tcBorders>
              <w:left w:val="single" w:color="000000" w:sz="4" w:space="0"/>
            </w:tcBorders>
            <w:vAlign w:val="top"/>
          </w:tcPr>
          <w:p w14:paraId="3008C566">
            <w:pPr>
              <w:spacing w:before="56" w:line="228" w:lineRule="auto"/>
              <w:ind w:left="308"/>
              <w:rPr>
                <w:rFonts w:ascii="宋体" w:hAnsi="宋体" w:eastAsia="宋体" w:cs="宋体"/>
                <w:sz w:val="20"/>
                <w:szCs w:val="20"/>
              </w:rPr>
            </w:pPr>
            <w:r>
              <w:rPr>
                <w:rFonts w:ascii="宋体" w:hAnsi="宋体" w:eastAsia="宋体" w:cs="宋体"/>
                <w:spacing w:val="8"/>
                <w:sz w:val="20"/>
                <w:szCs w:val="20"/>
              </w:rPr>
              <w:t>碳</w:t>
            </w:r>
            <w:r>
              <w:rPr>
                <w:rFonts w:ascii="宋体" w:hAnsi="宋体" w:eastAsia="宋体" w:cs="宋体"/>
                <w:spacing w:val="7"/>
                <w:sz w:val="20"/>
                <w:szCs w:val="20"/>
              </w:rPr>
              <w:t>酸氢根</w:t>
            </w:r>
          </w:p>
        </w:tc>
        <w:tc>
          <w:tcPr>
            <w:tcW w:w="1200" w:type="dxa"/>
            <w:tcBorders>
              <w:right w:val="single" w:color="000000" w:sz="4" w:space="0"/>
            </w:tcBorders>
            <w:vAlign w:val="top"/>
          </w:tcPr>
          <w:p w14:paraId="3E406126">
            <w:pPr>
              <w:spacing w:before="20"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0C6D83CE">
            <w:pPr>
              <w:spacing w:before="91" w:line="195" w:lineRule="auto"/>
              <w:ind w:left="238"/>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6</w:t>
            </w:r>
            <w:r>
              <w:rPr>
                <w:rFonts w:ascii="Times New Roman" w:hAnsi="Times New Roman" w:eastAsia="Times New Roman" w:cs="Times New Roman"/>
                <w:spacing w:val="3"/>
                <w:sz w:val="20"/>
                <w:szCs w:val="20"/>
              </w:rPr>
              <w:t>3.9-68.4</w:t>
            </w:r>
          </w:p>
        </w:tc>
        <w:tc>
          <w:tcPr>
            <w:tcW w:w="756" w:type="dxa"/>
            <w:tcBorders>
              <w:left w:val="single" w:color="000000" w:sz="4" w:space="0"/>
              <w:right w:val="single" w:color="000000" w:sz="4" w:space="0"/>
            </w:tcBorders>
            <w:vAlign w:val="top"/>
          </w:tcPr>
          <w:p w14:paraId="23D4D361">
            <w:pPr>
              <w:spacing w:before="18" w:line="281" w:lineRule="exact"/>
              <w:ind w:left="3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357" w:type="dxa"/>
            <w:tcBorders>
              <w:left w:val="single" w:color="000000" w:sz="4" w:space="0"/>
              <w:right w:val="single" w:color="000000" w:sz="4" w:space="0"/>
            </w:tcBorders>
            <w:vAlign w:val="top"/>
          </w:tcPr>
          <w:p w14:paraId="601E69F2">
            <w:pPr>
              <w:spacing w:before="18" w:line="281" w:lineRule="exact"/>
              <w:ind w:left="6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7CFC4572">
            <w:pPr>
              <w:spacing w:before="18" w:line="281" w:lineRule="exact"/>
              <w:ind w:left="31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684" w:type="dxa"/>
            <w:tcBorders>
              <w:right w:val="nil"/>
            </w:tcBorders>
            <w:vAlign w:val="top"/>
          </w:tcPr>
          <w:p w14:paraId="77E6D24E">
            <w:pPr>
              <w:spacing w:before="18" w:line="281" w:lineRule="exact"/>
              <w:ind w:left="31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6BAC47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7EAF48A3">
            <w:pPr>
              <w:spacing w:before="93" w:line="195" w:lineRule="auto"/>
              <w:ind w:left="14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c>
          <w:tcPr>
            <w:tcW w:w="470" w:type="dxa"/>
            <w:vMerge w:val="continue"/>
            <w:tcBorders>
              <w:top w:val="nil"/>
              <w:left w:val="single" w:color="000000" w:sz="4" w:space="0"/>
              <w:bottom w:val="nil"/>
              <w:right w:val="single" w:color="000000" w:sz="4" w:space="0"/>
            </w:tcBorders>
            <w:vAlign w:val="top"/>
          </w:tcPr>
          <w:p w14:paraId="7C7D146D">
            <w:pPr>
              <w:rPr>
                <w:rFonts w:ascii="Arial"/>
                <w:sz w:val="21"/>
              </w:rPr>
            </w:pPr>
          </w:p>
        </w:tc>
        <w:tc>
          <w:tcPr>
            <w:tcW w:w="1453" w:type="dxa"/>
            <w:tcBorders>
              <w:left w:val="single" w:color="000000" w:sz="4" w:space="0"/>
            </w:tcBorders>
            <w:vAlign w:val="top"/>
          </w:tcPr>
          <w:p w14:paraId="3A485F41">
            <w:pPr>
              <w:spacing w:before="57" w:line="228" w:lineRule="auto"/>
              <w:ind w:left="312"/>
              <w:rPr>
                <w:rFonts w:ascii="宋体" w:hAnsi="宋体" w:eastAsia="宋体" w:cs="宋体"/>
                <w:sz w:val="20"/>
                <w:szCs w:val="20"/>
              </w:rPr>
            </w:pPr>
            <w:r>
              <w:rPr>
                <w:rFonts w:ascii="宋体" w:hAnsi="宋体" w:eastAsia="宋体" w:cs="宋体"/>
                <w:spacing w:val="7"/>
                <w:sz w:val="20"/>
                <w:szCs w:val="20"/>
              </w:rPr>
              <w:t>菌</w:t>
            </w:r>
            <w:r>
              <w:rPr>
                <w:rFonts w:ascii="宋体" w:hAnsi="宋体" w:eastAsia="宋体" w:cs="宋体"/>
                <w:spacing w:val="6"/>
                <w:sz w:val="20"/>
                <w:szCs w:val="20"/>
              </w:rPr>
              <w:t>落总数</w:t>
            </w:r>
          </w:p>
        </w:tc>
        <w:tc>
          <w:tcPr>
            <w:tcW w:w="1200" w:type="dxa"/>
            <w:tcBorders>
              <w:right w:val="single" w:color="000000" w:sz="4" w:space="0"/>
            </w:tcBorders>
            <w:vAlign w:val="top"/>
          </w:tcPr>
          <w:p w14:paraId="4E453627">
            <w:pPr>
              <w:spacing w:before="19" w:line="281" w:lineRule="exact"/>
              <w:ind w:left="22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CFU</w:t>
            </w:r>
            <w:r>
              <w:rPr>
                <w:rFonts w:ascii="Times New Roman" w:hAnsi="Times New Roman" w:eastAsia="Times New Roman" w:cs="Times New Roman"/>
                <w:spacing w:val="26"/>
                <w:position w:val="2"/>
                <w:sz w:val="20"/>
                <w:szCs w:val="20"/>
              </w:rPr>
              <w:t>/</w:t>
            </w:r>
            <w:r>
              <w:rPr>
                <w:rFonts w:ascii="Times New Roman" w:hAnsi="Times New Roman" w:eastAsia="Times New Roman" w:cs="Times New Roman"/>
                <w:position w:val="2"/>
                <w:sz w:val="20"/>
                <w:szCs w:val="20"/>
              </w:rPr>
              <w:t>mL</w:t>
            </w:r>
          </w:p>
        </w:tc>
        <w:tc>
          <w:tcPr>
            <w:tcW w:w="1271" w:type="dxa"/>
            <w:tcBorders>
              <w:left w:val="single" w:color="000000" w:sz="4" w:space="0"/>
              <w:right w:val="single" w:color="000000" w:sz="4" w:space="0"/>
            </w:tcBorders>
            <w:vAlign w:val="top"/>
          </w:tcPr>
          <w:p w14:paraId="1E2F229D">
            <w:pPr>
              <w:spacing w:before="93" w:line="195" w:lineRule="auto"/>
              <w:ind w:left="38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5-33</w:t>
            </w:r>
          </w:p>
        </w:tc>
        <w:tc>
          <w:tcPr>
            <w:tcW w:w="756" w:type="dxa"/>
            <w:tcBorders>
              <w:left w:val="single" w:color="000000" w:sz="4" w:space="0"/>
              <w:right w:val="single" w:color="000000" w:sz="4" w:space="0"/>
            </w:tcBorders>
            <w:vAlign w:val="top"/>
          </w:tcPr>
          <w:p w14:paraId="43ECE715">
            <w:pPr>
              <w:spacing w:before="93"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100</w:t>
            </w:r>
          </w:p>
        </w:tc>
        <w:tc>
          <w:tcPr>
            <w:tcW w:w="1357" w:type="dxa"/>
            <w:tcBorders>
              <w:left w:val="single" w:color="000000" w:sz="4" w:space="0"/>
              <w:right w:val="single" w:color="000000" w:sz="4" w:space="0"/>
            </w:tcBorders>
            <w:vAlign w:val="top"/>
          </w:tcPr>
          <w:p w14:paraId="332C0B88">
            <w:pPr>
              <w:spacing w:before="93" w:line="195" w:lineRule="auto"/>
              <w:ind w:left="28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.25-0.33</w:t>
            </w:r>
          </w:p>
        </w:tc>
        <w:tc>
          <w:tcPr>
            <w:tcW w:w="705" w:type="dxa"/>
            <w:tcBorders>
              <w:left w:val="single" w:color="000000" w:sz="4" w:space="0"/>
            </w:tcBorders>
            <w:vAlign w:val="top"/>
          </w:tcPr>
          <w:p w14:paraId="75ECE57D">
            <w:pPr>
              <w:spacing w:before="93"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5013902E">
            <w:pPr>
              <w:spacing w:before="93"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7C99B1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6678BAFA">
            <w:pPr>
              <w:spacing w:before="92" w:line="195" w:lineRule="auto"/>
              <w:ind w:left="14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6</w:t>
            </w:r>
          </w:p>
        </w:tc>
        <w:tc>
          <w:tcPr>
            <w:tcW w:w="470" w:type="dxa"/>
            <w:vMerge w:val="continue"/>
            <w:tcBorders>
              <w:top w:val="nil"/>
              <w:left w:val="single" w:color="000000" w:sz="4" w:space="0"/>
              <w:bottom w:val="nil"/>
              <w:right w:val="single" w:color="000000" w:sz="4" w:space="0"/>
            </w:tcBorders>
            <w:vAlign w:val="top"/>
          </w:tcPr>
          <w:p w14:paraId="39A2472A">
            <w:pPr>
              <w:rPr>
                <w:rFonts w:ascii="Arial"/>
                <w:sz w:val="21"/>
              </w:rPr>
            </w:pPr>
          </w:p>
        </w:tc>
        <w:tc>
          <w:tcPr>
            <w:tcW w:w="1453" w:type="dxa"/>
            <w:tcBorders>
              <w:left w:val="single" w:color="000000" w:sz="4" w:space="0"/>
            </w:tcBorders>
            <w:vAlign w:val="top"/>
          </w:tcPr>
          <w:p w14:paraId="157D429A">
            <w:pPr>
              <w:spacing w:before="56" w:line="228" w:lineRule="auto"/>
              <w:ind w:left="210"/>
              <w:rPr>
                <w:rFonts w:ascii="宋体" w:hAnsi="宋体" w:eastAsia="宋体" w:cs="宋体"/>
                <w:sz w:val="20"/>
                <w:szCs w:val="20"/>
              </w:rPr>
            </w:pPr>
            <w:r>
              <w:rPr>
                <w:rFonts w:ascii="宋体" w:hAnsi="宋体" w:eastAsia="宋体" w:cs="宋体"/>
                <w:spacing w:val="7"/>
                <w:sz w:val="20"/>
                <w:szCs w:val="20"/>
              </w:rPr>
              <w:t>总大肠菌群</w:t>
            </w:r>
          </w:p>
        </w:tc>
        <w:tc>
          <w:tcPr>
            <w:tcW w:w="1200" w:type="dxa"/>
            <w:tcBorders>
              <w:right w:val="single" w:color="000000" w:sz="4" w:space="0"/>
            </w:tcBorders>
            <w:vAlign w:val="top"/>
          </w:tcPr>
          <w:p w14:paraId="12F04081">
            <w:pPr>
              <w:spacing w:before="19" w:line="281" w:lineRule="exact"/>
              <w:ind w:left="41"/>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MPN</w:t>
            </w:r>
            <w:r>
              <w:rPr>
                <w:rFonts w:ascii="Times New Roman" w:hAnsi="Times New Roman" w:eastAsia="Times New Roman" w:cs="Times New Roman"/>
                <w:spacing w:val="-1"/>
                <w:position w:val="2"/>
                <w:sz w:val="20"/>
                <w:szCs w:val="20"/>
              </w:rPr>
              <w:t xml:space="preserve">/ </w:t>
            </w:r>
            <w:r>
              <w:rPr>
                <w:rFonts w:ascii="Times New Roman" w:hAnsi="Times New Roman" w:eastAsia="Times New Roman" w:cs="Times New Roman"/>
                <w:position w:val="2"/>
                <w:sz w:val="20"/>
                <w:szCs w:val="20"/>
              </w:rPr>
              <w:t>100mL</w:t>
            </w:r>
          </w:p>
        </w:tc>
        <w:tc>
          <w:tcPr>
            <w:tcW w:w="1271" w:type="dxa"/>
            <w:tcBorders>
              <w:left w:val="single" w:color="000000" w:sz="4" w:space="0"/>
              <w:right w:val="single" w:color="000000" w:sz="4" w:space="0"/>
            </w:tcBorders>
            <w:vAlign w:val="top"/>
          </w:tcPr>
          <w:p w14:paraId="0BA22409">
            <w:pPr>
              <w:spacing w:before="56" w:line="228" w:lineRule="auto"/>
              <w:ind w:left="327"/>
              <w:rPr>
                <w:rFonts w:ascii="宋体" w:hAnsi="宋体" w:eastAsia="宋体" w:cs="宋体"/>
                <w:sz w:val="20"/>
                <w:szCs w:val="20"/>
              </w:rPr>
            </w:pPr>
            <w:r>
              <w:rPr>
                <w:rFonts w:ascii="宋体" w:hAnsi="宋体" w:eastAsia="宋体" w:cs="宋体"/>
                <w:spacing w:val="6"/>
                <w:sz w:val="20"/>
                <w:szCs w:val="20"/>
              </w:rPr>
              <w:t>未检</w:t>
            </w:r>
            <w:r>
              <w:rPr>
                <w:rFonts w:ascii="宋体" w:hAnsi="宋体" w:eastAsia="宋体" w:cs="宋体"/>
                <w:spacing w:val="5"/>
                <w:sz w:val="20"/>
                <w:szCs w:val="20"/>
              </w:rPr>
              <w:t>出</w:t>
            </w:r>
          </w:p>
        </w:tc>
        <w:tc>
          <w:tcPr>
            <w:tcW w:w="756" w:type="dxa"/>
            <w:tcBorders>
              <w:left w:val="single" w:color="000000" w:sz="4" w:space="0"/>
              <w:right w:val="single" w:color="000000" w:sz="4" w:space="0"/>
            </w:tcBorders>
            <w:vAlign w:val="top"/>
          </w:tcPr>
          <w:p w14:paraId="54C1E158">
            <w:pPr>
              <w:spacing w:before="93" w:line="195" w:lineRule="auto"/>
              <w:ind w:left="25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.0</w:t>
            </w:r>
          </w:p>
        </w:tc>
        <w:tc>
          <w:tcPr>
            <w:tcW w:w="1357" w:type="dxa"/>
            <w:tcBorders>
              <w:left w:val="single" w:color="000000" w:sz="4" w:space="0"/>
              <w:right w:val="single" w:color="000000" w:sz="4" w:space="0"/>
            </w:tcBorders>
            <w:vAlign w:val="top"/>
          </w:tcPr>
          <w:p w14:paraId="4A48079C">
            <w:pPr>
              <w:spacing w:before="19" w:line="281" w:lineRule="exact"/>
              <w:ind w:left="6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5FBB50CA">
            <w:pPr>
              <w:spacing w:before="92"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3A7F344D">
            <w:pPr>
              <w:spacing w:before="92"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56369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4B68D539">
            <w:pPr>
              <w:spacing w:before="92" w:line="195" w:lineRule="auto"/>
              <w:ind w:left="14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7</w:t>
            </w:r>
          </w:p>
        </w:tc>
        <w:tc>
          <w:tcPr>
            <w:tcW w:w="470" w:type="dxa"/>
            <w:vMerge w:val="continue"/>
            <w:tcBorders>
              <w:top w:val="nil"/>
              <w:left w:val="single" w:color="000000" w:sz="4" w:space="0"/>
              <w:right w:val="single" w:color="000000" w:sz="4" w:space="0"/>
            </w:tcBorders>
            <w:vAlign w:val="top"/>
          </w:tcPr>
          <w:p w14:paraId="2C110992">
            <w:pPr>
              <w:rPr>
                <w:rFonts w:ascii="Arial"/>
                <w:sz w:val="21"/>
              </w:rPr>
            </w:pPr>
          </w:p>
        </w:tc>
        <w:tc>
          <w:tcPr>
            <w:tcW w:w="1453" w:type="dxa"/>
            <w:tcBorders>
              <w:left w:val="single" w:color="000000" w:sz="4" w:space="0"/>
            </w:tcBorders>
            <w:vAlign w:val="top"/>
          </w:tcPr>
          <w:p w14:paraId="2FEF35F9">
            <w:pPr>
              <w:spacing w:before="56" w:line="229" w:lineRule="auto"/>
              <w:ind w:left="415"/>
              <w:rPr>
                <w:rFonts w:ascii="宋体" w:hAnsi="宋体" w:eastAsia="宋体" w:cs="宋体"/>
                <w:sz w:val="20"/>
                <w:szCs w:val="20"/>
              </w:rPr>
            </w:pPr>
            <w:r>
              <w:rPr>
                <w:rFonts w:ascii="宋体" w:hAnsi="宋体" w:eastAsia="宋体" w:cs="宋体"/>
                <w:spacing w:val="7"/>
                <w:sz w:val="20"/>
                <w:szCs w:val="20"/>
              </w:rPr>
              <w:t>硝</w:t>
            </w:r>
            <w:r>
              <w:rPr>
                <w:rFonts w:ascii="宋体" w:hAnsi="宋体" w:eastAsia="宋体" w:cs="宋体"/>
                <w:spacing w:val="6"/>
                <w:sz w:val="20"/>
                <w:szCs w:val="20"/>
              </w:rPr>
              <w:t>酸盐</w:t>
            </w:r>
          </w:p>
        </w:tc>
        <w:tc>
          <w:tcPr>
            <w:tcW w:w="1200" w:type="dxa"/>
            <w:tcBorders>
              <w:right w:val="single" w:color="000000" w:sz="4" w:space="0"/>
            </w:tcBorders>
            <w:vAlign w:val="top"/>
          </w:tcPr>
          <w:p w14:paraId="4D8AD4F5">
            <w:pPr>
              <w:spacing w:before="18"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455E970E">
            <w:pPr>
              <w:spacing w:before="92" w:line="195" w:lineRule="auto"/>
              <w:ind w:left="14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9</w:t>
            </w:r>
            <w:r>
              <w:rPr>
                <w:rFonts w:ascii="Times New Roman" w:hAnsi="Times New Roman" w:eastAsia="Times New Roman" w:cs="Times New Roman"/>
                <w:spacing w:val="2"/>
                <w:sz w:val="20"/>
                <w:szCs w:val="20"/>
              </w:rPr>
              <w:t>.35-20.05</w:t>
            </w:r>
          </w:p>
        </w:tc>
        <w:tc>
          <w:tcPr>
            <w:tcW w:w="756" w:type="dxa"/>
            <w:tcBorders>
              <w:left w:val="single" w:color="000000" w:sz="4" w:space="0"/>
              <w:right w:val="single" w:color="000000" w:sz="4" w:space="0"/>
            </w:tcBorders>
            <w:vAlign w:val="top"/>
          </w:tcPr>
          <w:p w14:paraId="103DD8E0">
            <w:pPr>
              <w:spacing w:before="92" w:line="195"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4"/>
                <w:sz w:val="20"/>
                <w:szCs w:val="20"/>
              </w:rPr>
              <w:t>0.0</w:t>
            </w:r>
          </w:p>
        </w:tc>
        <w:tc>
          <w:tcPr>
            <w:tcW w:w="1357" w:type="dxa"/>
            <w:tcBorders>
              <w:left w:val="single" w:color="000000" w:sz="4" w:space="0"/>
              <w:right w:val="single" w:color="000000" w:sz="4" w:space="0"/>
            </w:tcBorders>
            <w:vAlign w:val="top"/>
          </w:tcPr>
          <w:p w14:paraId="52294189">
            <w:pPr>
              <w:spacing w:before="92" w:line="195" w:lineRule="auto"/>
              <w:ind w:left="1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0.968- 1.00</w:t>
            </w:r>
            <w:r>
              <w:rPr>
                <w:rFonts w:ascii="Times New Roman" w:hAnsi="Times New Roman" w:eastAsia="Times New Roman" w:cs="Times New Roman"/>
                <w:sz w:val="20"/>
                <w:szCs w:val="20"/>
              </w:rPr>
              <w:t>2</w:t>
            </w:r>
          </w:p>
        </w:tc>
        <w:tc>
          <w:tcPr>
            <w:tcW w:w="705" w:type="dxa"/>
            <w:tcBorders>
              <w:left w:val="single" w:color="000000" w:sz="4" w:space="0"/>
            </w:tcBorders>
            <w:vAlign w:val="top"/>
          </w:tcPr>
          <w:p w14:paraId="749C35D8">
            <w:pPr>
              <w:spacing w:before="92" w:line="195" w:lineRule="auto"/>
              <w:ind w:left="254"/>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c>
          <w:tcPr>
            <w:tcW w:w="684" w:type="dxa"/>
            <w:tcBorders>
              <w:right w:val="nil"/>
            </w:tcBorders>
            <w:vAlign w:val="top"/>
          </w:tcPr>
          <w:p w14:paraId="405C91E1">
            <w:pPr>
              <w:spacing w:before="92" w:line="195" w:lineRule="auto"/>
              <w:ind w:left="11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w:t>
            </w:r>
            <w:r>
              <w:rPr>
                <w:rFonts w:ascii="Times New Roman" w:hAnsi="Times New Roman" w:eastAsia="Times New Roman" w:cs="Times New Roman"/>
                <w:spacing w:val="2"/>
                <w:sz w:val="20"/>
                <w:szCs w:val="20"/>
              </w:rPr>
              <w:t>2</w:t>
            </w:r>
          </w:p>
        </w:tc>
      </w:tr>
      <w:tr w14:paraId="4AA80A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55" w:type="dxa"/>
            <w:tcBorders>
              <w:left w:val="nil"/>
              <w:right w:val="single" w:color="000000" w:sz="4" w:space="0"/>
            </w:tcBorders>
            <w:vAlign w:val="top"/>
          </w:tcPr>
          <w:p w14:paraId="3278B163">
            <w:pPr>
              <w:spacing w:before="91" w:line="195" w:lineRule="auto"/>
              <w:ind w:left="198"/>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470" w:type="dxa"/>
            <w:vMerge w:val="restart"/>
            <w:tcBorders>
              <w:left w:val="single" w:color="000000" w:sz="4" w:space="0"/>
              <w:bottom w:val="nil"/>
              <w:right w:val="single" w:color="000000" w:sz="4" w:space="0"/>
            </w:tcBorders>
            <w:vAlign w:val="top"/>
          </w:tcPr>
          <w:p w14:paraId="318BBF53">
            <w:pPr>
              <w:spacing w:line="266" w:lineRule="auto"/>
              <w:rPr>
                <w:rFonts w:ascii="Arial"/>
                <w:sz w:val="21"/>
              </w:rPr>
            </w:pPr>
          </w:p>
          <w:p w14:paraId="5107AE1E">
            <w:pPr>
              <w:spacing w:line="266" w:lineRule="auto"/>
              <w:rPr>
                <w:rFonts w:ascii="Arial"/>
                <w:sz w:val="21"/>
              </w:rPr>
            </w:pPr>
          </w:p>
          <w:p w14:paraId="3BDE68B5">
            <w:pPr>
              <w:spacing w:line="266" w:lineRule="auto"/>
              <w:rPr>
                <w:rFonts w:ascii="Arial"/>
                <w:sz w:val="21"/>
              </w:rPr>
            </w:pPr>
          </w:p>
          <w:p w14:paraId="50CEA3DD">
            <w:pPr>
              <w:spacing w:line="266" w:lineRule="auto"/>
              <w:rPr>
                <w:rFonts w:ascii="Arial"/>
                <w:sz w:val="21"/>
              </w:rPr>
            </w:pPr>
          </w:p>
          <w:p w14:paraId="602F720D">
            <w:pPr>
              <w:spacing w:line="266" w:lineRule="auto"/>
              <w:rPr>
                <w:rFonts w:ascii="Arial"/>
                <w:sz w:val="21"/>
              </w:rPr>
            </w:pPr>
          </w:p>
          <w:p w14:paraId="436AEB4C">
            <w:pPr>
              <w:spacing w:line="266" w:lineRule="auto"/>
              <w:rPr>
                <w:rFonts w:ascii="Arial"/>
                <w:sz w:val="21"/>
              </w:rPr>
            </w:pPr>
          </w:p>
          <w:p w14:paraId="3AEEE007">
            <w:pPr>
              <w:spacing w:line="267" w:lineRule="auto"/>
              <w:rPr>
                <w:rFonts w:ascii="Arial"/>
                <w:sz w:val="21"/>
              </w:rPr>
            </w:pPr>
          </w:p>
          <w:p w14:paraId="4B425107">
            <w:pPr>
              <w:spacing w:line="267" w:lineRule="auto"/>
              <w:rPr>
                <w:rFonts w:ascii="Arial"/>
                <w:sz w:val="21"/>
              </w:rPr>
            </w:pPr>
          </w:p>
          <w:p w14:paraId="53F358CA">
            <w:pPr>
              <w:spacing w:line="267" w:lineRule="auto"/>
              <w:rPr>
                <w:rFonts w:ascii="Arial"/>
                <w:sz w:val="21"/>
              </w:rPr>
            </w:pPr>
          </w:p>
          <w:p w14:paraId="7B6789DD">
            <w:pPr>
              <w:spacing w:before="65" w:line="304" w:lineRule="auto"/>
              <w:ind w:left="26" w:right="20" w:hanging="3"/>
              <w:rPr>
                <w:rFonts w:ascii="宋体" w:hAnsi="宋体" w:eastAsia="宋体" w:cs="宋体"/>
                <w:sz w:val="20"/>
                <w:szCs w:val="20"/>
              </w:rPr>
            </w:pPr>
            <w:r>
              <w:rPr>
                <w:rFonts w:ascii="Times New Roman" w:hAnsi="Times New Roman" w:eastAsia="Times New Roman" w:cs="Times New Roman"/>
                <w:spacing w:val="5"/>
                <w:sz w:val="20"/>
                <w:szCs w:val="20"/>
              </w:rPr>
              <w:t>2#</w:t>
            </w:r>
            <w:r>
              <w:rPr>
                <w:rFonts w:ascii="宋体" w:hAnsi="宋体" w:eastAsia="宋体" w:cs="宋体"/>
                <w:spacing w:val="5"/>
                <w:sz w:val="20"/>
                <w:szCs w:val="20"/>
              </w:rPr>
              <w:t>榆</w:t>
            </w:r>
            <w:r>
              <w:rPr>
                <w:rFonts w:ascii="宋体" w:hAnsi="宋体" w:eastAsia="宋体" w:cs="宋体"/>
                <w:sz w:val="20"/>
                <w:szCs w:val="20"/>
              </w:rPr>
              <w:t xml:space="preserve"> </w:t>
            </w:r>
            <w:r>
              <w:rPr>
                <w:rFonts w:ascii="宋体" w:hAnsi="宋体" w:eastAsia="宋体" w:cs="宋体"/>
                <w:spacing w:val="5"/>
                <w:sz w:val="20"/>
                <w:szCs w:val="20"/>
              </w:rPr>
              <w:t>树</w:t>
            </w:r>
            <w:r>
              <w:rPr>
                <w:rFonts w:ascii="宋体" w:hAnsi="宋体" w:eastAsia="宋体" w:cs="宋体"/>
                <w:spacing w:val="4"/>
                <w:sz w:val="20"/>
                <w:szCs w:val="20"/>
              </w:rPr>
              <w:t>底</w:t>
            </w:r>
          </w:p>
        </w:tc>
        <w:tc>
          <w:tcPr>
            <w:tcW w:w="1453" w:type="dxa"/>
            <w:tcBorders>
              <w:left w:val="single" w:color="000000" w:sz="4" w:space="0"/>
            </w:tcBorders>
            <w:vAlign w:val="top"/>
          </w:tcPr>
          <w:p w14:paraId="6DA72D21">
            <w:pPr>
              <w:spacing w:before="94" w:line="194" w:lineRule="auto"/>
              <w:ind w:left="59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pH</w:t>
            </w:r>
          </w:p>
        </w:tc>
        <w:tc>
          <w:tcPr>
            <w:tcW w:w="1200" w:type="dxa"/>
            <w:tcBorders>
              <w:right w:val="single" w:color="000000" w:sz="4" w:space="0"/>
            </w:tcBorders>
            <w:vAlign w:val="top"/>
          </w:tcPr>
          <w:p w14:paraId="59AA3896">
            <w:pPr>
              <w:spacing w:before="56" w:line="228" w:lineRule="auto"/>
              <w:ind w:left="292"/>
              <w:rPr>
                <w:rFonts w:ascii="宋体" w:hAnsi="宋体" w:eastAsia="宋体" w:cs="宋体"/>
                <w:sz w:val="20"/>
                <w:szCs w:val="20"/>
              </w:rPr>
            </w:pPr>
            <w:r>
              <w:rPr>
                <w:rFonts w:ascii="宋体" w:hAnsi="宋体" w:eastAsia="宋体" w:cs="宋体"/>
                <w:spacing w:val="7"/>
                <w:sz w:val="20"/>
                <w:szCs w:val="20"/>
              </w:rPr>
              <w:t>无</w:t>
            </w:r>
            <w:r>
              <w:rPr>
                <w:rFonts w:ascii="宋体" w:hAnsi="宋体" w:eastAsia="宋体" w:cs="宋体"/>
                <w:spacing w:val="6"/>
                <w:sz w:val="20"/>
                <w:szCs w:val="20"/>
              </w:rPr>
              <w:t>量纲</w:t>
            </w:r>
          </w:p>
        </w:tc>
        <w:tc>
          <w:tcPr>
            <w:tcW w:w="1271" w:type="dxa"/>
            <w:tcBorders>
              <w:left w:val="single" w:color="000000" w:sz="4" w:space="0"/>
              <w:right w:val="single" w:color="000000" w:sz="4" w:space="0"/>
            </w:tcBorders>
            <w:vAlign w:val="top"/>
          </w:tcPr>
          <w:p w14:paraId="7EBB33C3">
            <w:pPr>
              <w:spacing w:before="91" w:line="195" w:lineRule="auto"/>
              <w:ind w:left="237"/>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7</w:t>
            </w:r>
            <w:r>
              <w:rPr>
                <w:rFonts w:ascii="Times New Roman" w:hAnsi="Times New Roman" w:eastAsia="Times New Roman" w:cs="Times New Roman"/>
                <w:spacing w:val="3"/>
                <w:sz w:val="20"/>
                <w:szCs w:val="20"/>
              </w:rPr>
              <w:t>.80-7.95</w:t>
            </w:r>
          </w:p>
        </w:tc>
        <w:tc>
          <w:tcPr>
            <w:tcW w:w="756" w:type="dxa"/>
            <w:tcBorders>
              <w:left w:val="single" w:color="000000" w:sz="4" w:space="0"/>
              <w:right w:val="single" w:color="000000" w:sz="4" w:space="0"/>
            </w:tcBorders>
            <w:vAlign w:val="top"/>
          </w:tcPr>
          <w:p w14:paraId="063490EC">
            <w:pPr>
              <w:spacing w:before="91" w:line="195" w:lineRule="auto"/>
              <w:ind w:left="8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6</w:t>
            </w:r>
            <w:r>
              <w:rPr>
                <w:rFonts w:ascii="Times New Roman" w:hAnsi="Times New Roman" w:eastAsia="Times New Roman" w:cs="Times New Roman"/>
                <w:spacing w:val="3"/>
                <w:sz w:val="20"/>
                <w:szCs w:val="20"/>
              </w:rPr>
              <w:t>.5-8.5</w:t>
            </w:r>
          </w:p>
        </w:tc>
        <w:tc>
          <w:tcPr>
            <w:tcW w:w="1357" w:type="dxa"/>
            <w:tcBorders>
              <w:left w:val="single" w:color="000000" w:sz="4" w:space="0"/>
              <w:right w:val="single" w:color="000000" w:sz="4" w:space="0"/>
            </w:tcBorders>
            <w:vAlign w:val="top"/>
          </w:tcPr>
          <w:p w14:paraId="4ED76565">
            <w:pPr>
              <w:spacing w:before="91" w:line="195" w:lineRule="auto"/>
              <w:ind w:left="28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.53-0.63</w:t>
            </w:r>
          </w:p>
        </w:tc>
        <w:tc>
          <w:tcPr>
            <w:tcW w:w="705" w:type="dxa"/>
            <w:tcBorders>
              <w:left w:val="single" w:color="000000" w:sz="4" w:space="0"/>
            </w:tcBorders>
            <w:vAlign w:val="top"/>
          </w:tcPr>
          <w:p w14:paraId="5AD70511">
            <w:pPr>
              <w:spacing w:before="91"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48F530A5">
            <w:pPr>
              <w:spacing w:before="91"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6AD36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7E3EA898">
            <w:pPr>
              <w:spacing w:before="94" w:line="195" w:lineRule="auto"/>
              <w:ind w:left="17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470" w:type="dxa"/>
            <w:vMerge w:val="continue"/>
            <w:tcBorders>
              <w:top w:val="nil"/>
              <w:left w:val="single" w:color="000000" w:sz="4" w:space="0"/>
              <w:bottom w:val="nil"/>
              <w:right w:val="single" w:color="000000" w:sz="4" w:space="0"/>
            </w:tcBorders>
            <w:vAlign w:val="top"/>
          </w:tcPr>
          <w:p w14:paraId="4BCA94F0">
            <w:pPr>
              <w:rPr>
                <w:rFonts w:ascii="Arial"/>
                <w:sz w:val="21"/>
              </w:rPr>
            </w:pPr>
          </w:p>
        </w:tc>
        <w:tc>
          <w:tcPr>
            <w:tcW w:w="1453" w:type="dxa"/>
            <w:tcBorders>
              <w:left w:val="single" w:color="000000" w:sz="4" w:space="0"/>
            </w:tcBorders>
            <w:vAlign w:val="top"/>
          </w:tcPr>
          <w:p w14:paraId="3CC07DAE">
            <w:pPr>
              <w:spacing w:before="58" w:line="228" w:lineRule="auto"/>
              <w:ind w:left="415"/>
              <w:rPr>
                <w:rFonts w:ascii="宋体" w:hAnsi="宋体" w:eastAsia="宋体" w:cs="宋体"/>
                <w:sz w:val="20"/>
                <w:szCs w:val="20"/>
              </w:rPr>
            </w:pPr>
            <w:r>
              <w:rPr>
                <w:rFonts w:ascii="宋体" w:hAnsi="宋体" w:eastAsia="宋体" w:cs="宋体"/>
                <w:spacing w:val="7"/>
                <w:sz w:val="20"/>
                <w:szCs w:val="20"/>
              </w:rPr>
              <w:t>浑</w:t>
            </w:r>
            <w:r>
              <w:rPr>
                <w:rFonts w:ascii="宋体" w:hAnsi="宋体" w:eastAsia="宋体" w:cs="宋体"/>
                <w:spacing w:val="6"/>
                <w:sz w:val="20"/>
                <w:szCs w:val="20"/>
              </w:rPr>
              <w:t>浊度</w:t>
            </w:r>
          </w:p>
        </w:tc>
        <w:tc>
          <w:tcPr>
            <w:tcW w:w="1200" w:type="dxa"/>
            <w:tcBorders>
              <w:right w:val="single" w:color="000000" w:sz="4" w:space="0"/>
            </w:tcBorders>
            <w:vAlign w:val="top"/>
          </w:tcPr>
          <w:p w14:paraId="40A29DE4">
            <w:pPr>
              <w:spacing w:before="97" w:line="192" w:lineRule="auto"/>
              <w:ind w:left="380"/>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NT</w:t>
            </w:r>
            <w:r>
              <w:rPr>
                <w:rFonts w:ascii="Times New Roman" w:hAnsi="Times New Roman" w:eastAsia="Times New Roman" w:cs="Times New Roman"/>
                <w:spacing w:val="6"/>
                <w:sz w:val="20"/>
                <w:szCs w:val="20"/>
              </w:rPr>
              <w:t>U</w:t>
            </w:r>
          </w:p>
        </w:tc>
        <w:tc>
          <w:tcPr>
            <w:tcW w:w="1271" w:type="dxa"/>
            <w:tcBorders>
              <w:left w:val="single" w:color="000000" w:sz="4" w:space="0"/>
              <w:right w:val="single" w:color="000000" w:sz="4" w:space="0"/>
            </w:tcBorders>
            <w:vAlign w:val="top"/>
          </w:tcPr>
          <w:p w14:paraId="47696CE6">
            <w:pPr>
              <w:spacing w:before="94" w:line="198" w:lineRule="auto"/>
              <w:ind w:left="50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w:t>
            </w:r>
            <w:r>
              <w:rPr>
                <w:rFonts w:ascii="Times New Roman" w:hAnsi="Times New Roman" w:eastAsia="Times New Roman" w:cs="Times New Roman"/>
                <w:spacing w:val="3"/>
                <w:sz w:val="20"/>
                <w:szCs w:val="20"/>
              </w:rPr>
              <w:t>0</w:t>
            </w:r>
          </w:p>
        </w:tc>
        <w:tc>
          <w:tcPr>
            <w:tcW w:w="756" w:type="dxa"/>
            <w:tcBorders>
              <w:left w:val="single" w:color="000000" w:sz="4" w:space="0"/>
              <w:right w:val="single" w:color="000000" w:sz="4" w:space="0"/>
            </w:tcBorders>
            <w:vAlign w:val="top"/>
          </w:tcPr>
          <w:p w14:paraId="4EA8F432">
            <w:pPr>
              <w:spacing w:before="94" w:line="195" w:lineRule="auto"/>
              <w:ind w:left="330"/>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357" w:type="dxa"/>
            <w:tcBorders>
              <w:left w:val="single" w:color="000000" w:sz="4" w:space="0"/>
              <w:right w:val="single" w:color="000000" w:sz="4" w:space="0"/>
            </w:tcBorders>
            <w:vAlign w:val="top"/>
          </w:tcPr>
          <w:p w14:paraId="36B3C5C6">
            <w:pPr>
              <w:spacing w:before="94" w:line="195" w:lineRule="auto"/>
              <w:ind w:left="49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.67</w:t>
            </w:r>
          </w:p>
        </w:tc>
        <w:tc>
          <w:tcPr>
            <w:tcW w:w="705" w:type="dxa"/>
            <w:tcBorders>
              <w:left w:val="single" w:color="000000" w:sz="4" w:space="0"/>
            </w:tcBorders>
            <w:vAlign w:val="top"/>
          </w:tcPr>
          <w:p w14:paraId="6CE12397">
            <w:pPr>
              <w:spacing w:before="94"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61287F4D">
            <w:pPr>
              <w:spacing w:before="94"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4E79D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73284A98">
            <w:pPr>
              <w:spacing w:before="93" w:line="195" w:lineRule="auto"/>
              <w:ind w:left="182"/>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470" w:type="dxa"/>
            <w:vMerge w:val="continue"/>
            <w:tcBorders>
              <w:top w:val="nil"/>
              <w:left w:val="single" w:color="000000" w:sz="4" w:space="0"/>
              <w:bottom w:val="nil"/>
              <w:right w:val="single" w:color="000000" w:sz="4" w:space="0"/>
            </w:tcBorders>
            <w:vAlign w:val="top"/>
          </w:tcPr>
          <w:p w14:paraId="554F95C8">
            <w:pPr>
              <w:rPr>
                <w:rFonts w:ascii="Arial"/>
                <w:sz w:val="21"/>
              </w:rPr>
            </w:pPr>
          </w:p>
        </w:tc>
        <w:tc>
          <w:tcPr>
            <w:tcW w:w="1453" w:type="dxa"/>
            <w:tcBorders>
              <w:left w:val="single" w:color="000000" w:sz="4" w:space="0"/>
            </w:tcBorders>
            <w:vAlign w:val="top"/>
          </w:tcPr>
          <w:p w14:paraId="26FFBD29">
            <w:pPr>
              <w:spacing w:before="57" w:line="227" w:lineRule="auto"/>
              <w:ind w:left="414"/>
              <w:rPr>
                <w:rFonts w:ascii="宋体" w:hAnsi="宋体" w:eastAsia="宋体" w:cs="宋体"/>
                <w:sz w:val="20"/>
                <w:szCs w:val="20"/>
              </w:rPr>
            </w:pPr>
            <w:r>
              <w:rPr>
                <w:rFonts w:ascii="宋体" w:hAnsi="宋体" w:eastAsia="宋体" w:cs="宋体"/>
                <w:spacing w:val="7"/>
                <w:sz w:val="20"/>
                <w:szCs w:val="20"/>
              </w:rPr>
              <w:t>耗</w:t>
            </w:r>
            <w:r>
              <w:rPr>
                <w:rFonts w:ascii="宋体" w:hAnsi="宋体" w:eastAsia="宋体" w:cs="宋体"/>
                <w:spacing w:val="6"/>
                <w:sz w:val="20"/>
                <w:szCs w:val="20"/>
              </w:rPr>
              <w:t>氧量</w:t>
            </w:r>
          </w:p>
        </w:tc>
        <w:tc>
          <w:tcPr>
            <w:tcW w:w="1200" w:type="dxa"/>
            <w:tcBorders>
              <w:right w:val="single" w:color="000000" w:sz="4" w:space="0"/>
            </w:tcBorders>
            <w:vAlign w:val="top"/>
          </w:tcPr>
          <w:p w14:paraId="7840371F">
            <w:pPr>
              <w:spacing w:before="20"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5407B171">
            <w:pPr>
              <w:spacing w:before="93" w:line="198" w:lineRule="auto"/>
              <w:ind w:left="25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21- 1.25</w:t>
            </w:r>
          </w:p>
        </w:tc>
        <w:tc>
          <w:tcPr>
            <w:tcW w:w="756" w:type="dxa"/>
            <w:tcBorders>
              <w:left w:val="single" w:color="000000" w:sz="4" w:space="0"/>
              <w:right w:val="single" w:color="000000" w:sz="4" w:space="0"/>
            </w:tcBorders>
            <w:vAlign w:val="top"/>
          </w:tcPr>
          <w:p w14:paraId="0BFDE781">
            <w:pPr>
              <w:spacing w:before="94" w:line="195" w:lineRule="auto"/>
              <w:ind w:left="25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.0</w:t>
            </w:r>
          </w:p>
        </w:tc>
        <w:tc>
          <w:tcPr>
            <w:tcW w:w="1357" w:type="dxa"/>
            <w:tcBorders>
              <w:left w:val="single" w:color="000000" w:sz="4" w:space="0"/>
              <w:right w:val="single" w:color="000000" w:sz="4" w:space="0"/>
            </w:tcBorders>
            <w:vAlign w:val="top"/>
          </w:tcPr>
          <w:p w14:paraId="68A0E701">
            <w:pPr>
              <w:spacing w:before="94" w:line="195" w:lineRule="auto"/>
              <w:ind w:left="28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.40-0.42</w:t>
            </w:r>
          </w:p>
        </w:tc>
        <w:tc>
          <w:tcPr>
            <w:tcW w:w="705" w:type="dxa"/>
            <w:tcBorders>
              <w:left w:val="single" w:color="000000" w:sz="4" w:space="0"/>
            </w:tcBorders>
            <w:vAlign w:val="top"/>
          </w:tcPr>
          <w:p w14:paraId="58A203D6">
            <w:pPr>
              <w:spacing w:before="93"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409CE4F7">
            <w:pPr>
              <w:spacing w:before="93"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44AFF3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17F89BDE">
            <w:pPr>
              <w:spacing w:before="93" w:line="195" w:lineRule="auto"/>
              <w:ind w:left="17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470" w:type="dxa"/>
            <w:vMerge w:val="continue"/>
            <w:tcBorders>
              <w:top w:val="nil"/>
              <w:left w:val="single" w:color="000000" w:sz="4" w:space="0"/>
              <w:bottom w:val="nil"/>
              <w:right w:val="single" w:color="000000" w:sz="4" w:space="0"/>
            </w:tcBorders>
            <w:vAlign w:val="top"/>
          </w:tcPr>
          <w:p w14:paraId="17D079C8">
            <w:pPr>
              <w:rPr>
                <w:rFonts w:ascii="Arial"/>
                <w:sz w:val="21"/>
              </w:rPr>
            </w:pPr>
          </w:p>
        </w:tc>
        <w:tc>
          <w:tcPr>
            <w:tcW w:w="1453" w:type="dxa"/>
            <w:tcBorders>
              <w:left w:val="single" w:color="000000" w:sz="4" w:space="0"/>
            </w:tcBorders>
            <w:vAlign w:val="top"/>
          </w:tcPr>
          <w:p w14:paraId="3675E7A7">
            <w:pPr>
              <w:spacing w:before="57" w:line="227" w:lineRule="auto"/>
              <w:ind w:left="519"/>
              <w:rPr>
                <w:rFonts w:ascii="宋体" w:hAnsi="宋体" w:eastAsia="宋体" w:cs="宋体"/>
                <w:sz w:val="20"/>
                <w:szCs w:val="20"/>
              </w:rPr>
            </w:pPr>
            <w:r>
              <w:rPr>
                <w:rFonts w:ascii="宋体" w:hAnsi="宋体" w:eastAsia="宋体" w:cs="宋体"/>
                <w:spacing w:val="5"/>
                <w:sz w:val="20"/>
                <w:szCs w:val="20"/>
              </w:rPr>
              <w:t>氨</w:t>
            </w:r>
            <w:r>
              <w:rPr>
                <w:rFonts w:ascii="宋体" w:hAnsi="宋体" w:eastAsia="宋体" w:cs="宋体"/>
                <w:spacing w:val="4"/>
                <w:sz w:val="20"/>
                <w:szCs w:val="20"/>
              </w:rPr>
              <w:t>氮</w:t>
            </w:r>
          </w:p>
        </w:tc>
        <w:tc>
          <w:tcPr>
            <w:tcW w:w="1200" w:type="dxa"/>
            <w:tcBorders>
              <w:right w:val="single" w:color="000000" w:sz="4" w:space="0"/>
            </w:tcBorders>
            <w:vAlign w:val="top"/>
          </w:tcPr>
          <w:p w14:paraId="2F2174B5">
            <w:pPr>
              <w:spacing w:before="19"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255B1A4B">
            <w:pPr>
              <w:spacing w:before="93" w:line="195" w:lineRule="auto"/>
              <w:ind w:left="237"/>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41-0.43</w:t>
            </w:r>
          </w:p>
        </w:tc>
        <w:tc>
          <w:tcPr>
            <w:tcW w:w="756" w:type="dxa"/>
            <w:tcBorders>
              <w:left w:val="single" w:color="000000" w:sz="4" w:space="0"/>
              <w:right w:val="single" w:color="000000" w:sz="4" w:space="0"/>
            </w:tcBorders>
            <w:vAlign w:val="top"/>
          </w:tcPr>
          <w:p w14:paraId="67D9B5AB">
            <w:pPr>
              <w:spacing w:before="93" w:line="195" w:lineRule="auto"/>
              <w:ind w:left="25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.5</w:t>
            </w:r>
          </w:p>
        </w:tc>
        <w:tc>
          <w:tcPr>
            <w:tcW w:w="1357" w:type="dxa"/>
            <w:tcBorders>
              <w:left w:val="single" w:color="000000" w:sz="4" w:space="0"/>
              <w:right w:val="single" w:color="000000" w:sz="4" w:space="0"/>
            </w:tcBorders>
            <w:vAlign w:val="top"/>
          </w:tcPr>
          <w:p w14:paraId="06B5EA55">
            <w:pPr>
              <w:spacing w:before="93" w:line="195" w:lineRule="auto"/>
              <w:ind w:left="28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.82-0.86</w:t>
            </w:r>
          </w:p>
        </w:tc>
        <w:tc>
          <w:tcPr>
            <w:tcW w:w="705" w:type="dxa"/>
            <w:tcBorders>
              <w:left w:val="single" w:color="000000" w:sz="4" w:space="0"/>
            </w:tcBorders>
            <w:vAlign w:val="top"/>
          </w:tcPr>
          <w:p w14:paraId="0761FD97">
            <w:pPr>
              <w:spacing w:before="93"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6F143F71">
            <w:pPr>
              <w:spacing w:before="93"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76D2A0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307147A7">
            <w:pPr>
              <w:spacing w:before="95" w:line="192" w:lineRule="auto"/>
              <w:ind w:left="184"/>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470" w:type="dxa"/>
            <w:vMerge w:val="continue"/>
            <w:tcBorders>
              <w:top w:val="nil"/>
              <w:left w:val="single" w:color="000000" w:sz="4" w:space="0"/>
              <w:bottom w:val="nil"/>
              <w:right w:val="single" w:color="000000" w:sz="4" w:space="0"/>
            </w:tcBorders>
            <w:vAlign w:val="top"/>
          </w:tcPr>
          <w:p w14:paraId="607F5DD4">
            <w:pPr>
              <w:rPr>
                <w:rFonts w:ascii="Arial"/>
                <w:sz w:val="21"/>
              </w:rPr>
            </w:pPr>
          </w:p>
        </w:tc>
        <w:tc>
          <w:tcPr>
            <w:tcW w:w="1453" w:type="dxa"/>
            <w:tcBorders>
              <w:left w:val="single" w:color="000000" w:sz="4" w:space="0"/>
            </w:tcBorders>
            <w:vAlign w:val="top"/>
          </w:tcPr>
          <w:p w14:paraId="1F43930D">
            <w:pPr>
              <w:spacing w:before="57" w:line="228" w:lineRule="auto"/>
              <w:ind w:left="419"/>
              <w:rPr>
                <w:rFonts w:ascii="宋体" w:hAnsi="宋体" w:eastAsia="宋体" w:cs="宋体"/>
                <w:sz w:val="20"/>
                <w:szCs w:val="20"/>
              </w:rPr>
            </w:pPr>
            <w:r>
              <w:rPr>
                <w:rFonts w:ascii="宋体" w:hAnsi="宋体" w:eastAsia="宋体" w:cs="宋体"/>
                <w:spacing w:val="5"/>
                <w:sz w:val="20"/>
                <w:szCs w:val="20"/>
              </w:rPr>
              <w:t>总硬度</w:t>
            </w:r>
          </w:p>
        </w:tc>
        <w:tc>
          <w:tcPr>
            <w:tcW w:w="1200" w:type="dxa"/>
            <w:tcBorders>
              <w:right w:val="single" w:color="000000" w:sz="4" w:space="0"/>
            </w:tcBorders>
            <w:vAlign w:val="top"/>
          </w:tcPr>
          <w:p w14:paraId="0B16DC8D">
            <w:pPr>
              <w:spacing w:before="19"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4D5433E8">
            <w:pPr>
              <w:spacing w:before="92" w:line="195" w:lineRule="auto"/>
              <w:ind w:left="127"/>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4</w:t>
            </w:r>
            <w:r>
              <w:rPr>
                <w:rFonts w:ascii="Times New Roman" w:hAnsi="Times New Roman" w:eastAsia="Times New Roman" w:cs="Times New Roman"/>
                <w:spacing w:val="6"/>
                <w:sz w:val="20"/>
                <w:szCs w:val="20"/>
              </w:rPr>
              <w:t>1</w:t>
            </w:r>
            <w:r>
              <w:rPr>
                <w:rFonts w:ascii="Times New Roman" w:hAnsi="Times New Roman" w:eastAsia="Times New Roman" w:cs="Times New Roman"/>
                <w:spacing w:val="4"/>
                <w:sz w:val="20"/>
                <w:szCs w:val="20"/>
              </w:rPr>
              <w:t>5.3-420.3</w:t>
            </w:r>
          </w:p>
        </w:tc>
        <w:tc>
          <w:tcPr>
            <w:tcW w:w="756" w:type="dxa"/>
            <w:tcBorders>
              <w:left w:val="single" w:color="000000" w:sz="4" w:space="0"/>
              <w:right w:val="single" w:color="000000" w:sz="4" w:space="0"/>
            </w:tcBorders>
            <w:vAlign w:val="top"/>
          </w:tcPr>
          <w:p w14:paraId="4C416ED6">
            <w:pPr>
              <w:spacing w:before="92" w:line="195" w:lineRule="auto"/>
              <w:ind w:left="21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450</w:t>
            </w:r>
          </w:p>
        </w:tc>
        <w:tc>
          <w:tcPr>
            <w:tcW w:w="1357" w:type="dxa"/>
            <w:tcBorders>
              <w:left w:val="single" w:color="000000" w:sz="4" w:space="0"/>
              <w:right w:val="single" w:color="000000" w:sz="4" w:space="0"/>
            </w:tcBorders>
            <w:vAlign w:val="top"/>
          </w:tcPr>
          <w:p w14:paraId="7D69509A">
            <w:pPr>
              <w:spacing w:before="92" w:line="195" w:lineRule="auto"/>
              <w:ind w:left="28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.92-0.93</w:t>
            </w:r>
          </w:p>
        </w:tc>
        <w:tc>
          <w:tcPr>
            <w:tcW w:w="705" w:type="dxa"/>
            <w:tcBorders>
              <w:left w:val="single" w:color="000000" w:sz="4" w:space="0"/>
            </w:tcBorders>
            <w:vAlign w:val="top"/>
          </w:tcPr>
          <w:p w14:paraId="696D9A49">
            <w:pPr>
              <w:spacing w:before="92"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46034174">
            <w:pPr>
              <w:spacing w:before="92"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643A6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55" w:type="dxa"/>
            <w:tcBorders>
              <w:left w:val="nil"/>
              <w:right w:val="single" w:color="000000" w:sz="4" w:space="0"/>
            </w:tcBorders>
            <w:vAlign w:val="top"/>
          </w:tcPr>
          <w:p w14:paraId="1BCBE3E3">
            <w:pPr>
              <w:spacing w:before="94" w:line="195" w:lineRule="auto"/>
              <w:ind w:left="183"/>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470" w:type="dxa"/>
            <w:vMerge w:val="continue"/>
            <w:tcBorders>
              <w:top w:val="nil"/>
              <w:left w:val="single" w:color="000000" w:sz="4" w:space="0"/>
              <w:bottom w:val="nil"/>
              <w:right w:val="single" w:color="000000" w:sz="4" w:space="0"/>
            </w:tcBorders>
            <w:vAlign w:val="top"/>
          </w:tcPr>
          <w:p w14:paraId="065848AB">
            <w:pPr>
              <w:rPr>
                <w:rFonts w:ascii="Arial"/>
                <w:sz w:val="21"/>
              </w:rPr>
            </w:pPr>
          </w:p>
        </w:tc>
        <w:tc>
          <w:tcPr>
            <w:tcW w:w="1453" w:type="dxa"/>
            <w:tcBorders>
              <w:left w:val="single" w:color="000000" w:sz="4" w:space="0"/>
            </w:tcBorders>
            <w:vAlign w:val="top"/>
          </w:tcPr>
          <w:p w14:paraId="02A75B06">
            <w:pPr>
              <w:spacing w:before="58" w:line="229" w:lineRule="auto"/>
              <w:ind w:left="413"/>
              <w:rPr>
                <w:rFonts w:ascii="宋体" w:hAnsi="宋体" w:eastAsia="宋体" w:cs="宋体"/>
                <w:sz w:val="20"/>
                <w:szCs w:val="20"/>
              </w:rPr>
            </w:pPr>
            <w:r>
              <w:rPr>
                <w:rFonts w:ascii="宋体" w:hAnsi="宋体" w:eastAsia="宋体" w:cs="宋体"/>
                <w:spacing w:val="7"/>
                <w:sz w:val="20"/>
                <w:szCs w:val="20"/>
              </w:rPr>
              <w:t>硫酸盐</w:t>
            </w:r>
          </w:p>
        </w:tc>
        <w:tc>
          <w:tcPr>
            <w:tcW w:w="1200" w:type="dxa"/>
            <w:tcBorders>
              <w:right w:val="single" w:color="000000" w:sz="4" w:space="0"/>
            </w:tcBorders>
            <w:vAlign w:val="top"/>
          </w:tcPr>
          <w:p w14:paraId="5A2B2BDF">
            <w:pPr>
              <w:spacing w:before="20"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69EE1688">
            <w:pPr>
              <w:spacing w:before="94" w:line="195" w:lineRule="auto"/>
              <w:ind w:left="4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13</w:t>
            </w:r>
            <w:r>
              <w:rPr>
                <w:rFonts w:ascii="Times New Roman" w:hAnsi="Times New Roman" w:eastAsia="Times New Roman" w:cs="Times New Roman"/>
                <w:spacing w:val="-1"/>
                <w:sz w:val="20"/>
                <w:szCs w:val="20"/>
              </w:rPr>
              <w:t>0.32- 133.68</w:t>
            </w:r>
          </w:p>
        </w:tc>
        <w:tc>
          <w:tcPr>
            <w:tcW w:w="756" w:type="dxa"/>
            <w:tcBorders>
              <w:left w:val="single" w:color="000000" w:sz="4" w:space="0"/>
              <w:right w:val="single" w:color="000000" w:sz="4" w:space="0"/>
            </w:tcBorders>
            <w:vAlign w:val="top"/>
          </w:tcPr>
          <w:p w14:paraId="16C5334A">
            <w:pPr>
              <w:spacing w:before="94" w:line="195" w:lineRule="auto"/>
              <w:ind w:left="220"/>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50</w:t>
            </w:r>
          </w:p>
        </w:tc>
        <w:tc>
          <w:tcPr>
            <w:tcW w:w="1357" w:type="dxa"/>
            <w:tcBorders>
              <w:left w:val="single" w:color="000000" w:sz="4" w:space="0"/>
              <w:right w:val="single" w:color="000000" w:sz="4" w:space="0"/>
            </w:tcBorders>
            <w:vAlign w:val="top"/>
          </w:tcPr>
          <w:p w14:paraId="42AB6818">
            <w:pPr>
              <w:spacing w:before="94" w:line="195" w:lineRule="auto"/>
              <w:ind w:left="28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.52-0.53</w:t>
            </w:r>
          </w:p>
        </w:tc>
        <w:tc>
          <w:tcPr>
            <w:tcW w:w="705" w:type="dxa"/>
            <w:tcBorders>
              <w:left w:val="single" w:color="000000" w:sz="4" w:space="0"/>
            </w:tcBorders>
            <w:vAlign w:val="top"/>
          </w:tcPr>
          <w:p w14:paraId="212D4FB2">
            <w:pPr>
              <w:spacing w:before="94"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43B8B0D0">
            <w:pPr>
              <w:spacing w:before="94"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21F666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0E87EA9E">
            <w:pPr>
              <w:spacing w:before="97" w:line="192" w:lineRule="auto"/>
              <w:ind w:left="181"/>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470" w:type="dxa"/>
            <w:vMerge w:val="continue"/>
            <w:tcBorders>
              <w:top w:val="nil"/>
              <w:left w:val="single" w:color="000000" w:sz="4" w:space="0"/>
              <w:bottom w:val="nil"/>
              <w:right w:val="single" w:color="000000" w:sz="4" w:space="0"/>
            </w:tcBorders>
            <w:vAlign w:val="top"/>
          </w:tcPr>
          <w:p w14:paraId="20C5FAC5">
            <w:pPr>
              <w:rPr>
                <w:rFonts w:ascii="Arial"/>
                <w:sz w:val="21"/>
              </w:rPr>
            </w:pPr>
          </w:p>
        </w:tc>
        <w:tc>
          <w:tcPr>
            <w:tcW w:w="1453" w:type="dxa"/>
            <w:tcBorders>
              <w:left w:val="single" w:color="000000" w:sz="4" w:space="0"/>
            </w:tcBorders>
            <w:vAlign w:val="top"/>
          </w:tcPr>
          <w:p w14:paraId="2F569D20">
            <w:pPr>
              <w:spacing w:before="58" w:line="229" w:lineRule="auto"/>
              <w:ind w:left="310"/>
              <w:rPr>
                <w:rFonts w:ascii="宋体" w:hAnsi="宋体" w:eastAsia="宋体" w:cs="宋体"/>
                <w:sz w:val="20"/>
                <w:szCs w:val="20"/>
              </w:rPr>
            </w:pPr>
            <w:r>
              <w:rPr>
                <w:rFonts w:ascii="宋体" w:hAnsi="宋体" w:eastAsia="宋体" w:cs="宋体"/>
                <w:spacing w:val="7"/>
                <w:sz w:val="20"/>
                <w:szCs w:val="20"/>
              </w:rPr>
              <w:t>亚硝酸</w:t>
            </w:r>
            <w:r>
              <w:rPr>
                <w:rFonts w:ascii="宋体" w:hAnsi="宋体" w:eastAsia="宋体" w:cs="宋体"/>
                <w:spacing w:val="6"/>
                <w:sz w:val="20"/>
                <w:szCs w:val="20"/>
              </w:rPr>
              <w:t>盐</w:t>
            </w:r>
          </w:p>
        </w:tc>
        <w:tc>
          <w:tcPr>
            <w:tcW w:w="1200" w:type="dxa"/>
            <w:tcBorders>
              <w:right w:val="single" w:color="000000" w:sz="4" w:space="0"/>
            </w:tcBorders>
            <w:vAlign w:val="top"/>
          </w:tcPr>
          <w:p w14:paraId="14333324">
            <w:pPr>
              <w:spacing w:before="21"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05D97BD9">
            <w:pPr>
              <w:spacing w:before="95" w:line="195" w:lineRule="auto"/>
              <w:ind w:left="13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0.031-0.03</w:t>
            </w:r>
            <w:r>
              <w:rPr>
                <w:rFonts w:ascii="Times New Roman" w:hAnsi="Times New Roman" w:eastAsia="Times New Roman" w:cs="Times New Roman"/>
                <w:spacing w:val="2"/>
                <w:sz w:val="20"/>
                <w:szCs w:val="20"/>
              </w:rPr>
              <w:t>2</w:t>
            </w:r>
          </w:p>
        </w:tc>
        <w:tc>
          <w:tcPr>
            <w:tcW w:w="756" w:type="dxa"/>
            <w:tcBorders>
              <w:left w:val="single" w:color="000000" w:sz="4" w:space="0"/>
              <w:right w:val="single" w:color="000000" w:sz="4" w:space="0"/>
            </w:tcBorders>
            <w:vAlign w:val="top"/>
          </w:tcPr>
          <w:p w14:paraId="27C74962">
            <w:pPr>
              <w:spacing w:before="94" w:line="198" w:lineRule="auto"/>
              <w:ind w:left="2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00</w:t>
            </w:r>
          </w:p>
        </w:tc>
        <w:tc>
          <w:tcPr>
            <w:tcW w:w="1357" w:type="dxa"/>
            <w:tcBorders>
              <w:left w:val="single" w:color="000000" w:sz="4" w:space="0"/>
              <w:right w:val="single" w:color="000000" w:sz="4" w:space="0"/>
            </w:tcBorders>
            <w:vAlign w:val="top"/>
          </w:tcPr>
          <w:p w14:paraId="3F397B4C">
            <w:pPr>
              <w:spacing w:before="95" w:line="195" w:lineRule="auto"/>
              <w:ind w:left="17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3"/>
                <w:sz w:val="20"/>
                <w:szCs w:val="20"/>
              </w:rPr>
              <w:t>031-0.032</w:t>
            </w:r>
          </w:p>
        </w:tc>
        <w:tc>
          <w:tcPr>
            <w:tcW w:w="705" w:type="dxa"/>
            <w:tcBorders>
              <w:left w:val="single" w:color="000000" w:sz="4" w:space="0"/>
            </w:tcBorders>
            <w:vAlign w:val="top"/>
          </w:tcPr>
          <w:p w14:paraId="106D0E33">
            <w:pPr>
              <w:spacing w:before="94"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62FB524E">
            <w:pPr>
              <w:spacing w:before="94"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26EA67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3C3907F3">
            <w:pPr>
              <w:spacing w:before="94" w:line="195" w:lineRule="auto"/>
              <w:ind w:left="186"/>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470" w:type="dxa"/>
            <w:vMerge w:val="continue"/>
            <w:tcBorders>
              <w:top w:val="nil"/>
              <w:left w:val="single" w:color="000000" w:sz="4" w:space="0"/>
              <w:bottom w:val="nil"/>
              <w:right w:val="single" w:color="000000" w:sz="4" w:space="0"/>
            </w:tcBorders>
            <w:vAlign w:val="top"/>
          </w:tcPr>
          <w:p w14:paraId="13F377D9">
            <w:pPr>
              <w:rPr>
                <w:rFonts w:ascii="Arial"/>
                <w:sz w:val="21"/>
              </w:rPr>
            </w:pPr>
          </w:p>
        </w:tc>
        <w:tc>
          <w:tcPr>
            <w:tcW w:w="1453" w:type="dxa"/>
            <w:tcBorders>
              <w:left w:val="single" w:color="000000" w:sz="4" w:space="0"/>
            </w:tcBorders>
            <w:vAlign w:val="top"/>
          </w:tcPr>
          <w:p w14:paraId="73D4DFE3">
            <w:pPr>
              <w:spacing w:before="58" w:line="229" w:lineRule="auto"/>
              <w:ind w:left="417"/>
              <w:rPr>
                <w:rFonts w:ascii="宋体" w:hAnsi="宋体" w:eastAsia="宋体" w:cs="宋体"/>
                <w:sz w:val="20"/>
                <w:szCs w:val="20"/>
              </w:rPr>
            </w:pPr>
            <w:r>
              <w:rPr>
                <w:rFonts w:ascii="宋体" w:hAnsi="宋体" w:eastAsia="宋体" w:cs="宋体"/>
                <w:spacing w:val="6"/>
                <w:sz w:val="20"/>
                <w:szCs w:val="20"/>
              </w:rPr>
              <w:t>氯化</w:t>
            </w:r>
            <w:r>
              <w:rPr>
                <w:rFonts w:ascii="宋体" w:hAnsi="宋体" w:eastAsia="宋体" w:cs="宋体"/>
                <w:spacing w:val="5"/>
                <w:sz w:val="20"/>
                <w:szCs w:val="20"/>
              </w:rPr>
              <w:t>物</w:t>
            </w:r>
          </w:p>
        </w:tc>
        <w:tc>
          <w:tcPr>
            <w:tcW w:w="1200" w:type="dxa"/>
            <w:tcBorders>
              <w:right w:val="single" w:color="000000" w:sz="4" w:space="0"/>
            </w:tcBorders>
            <w:vAlign w:val="top"/>
          </w:tcPr>
          <w:p w14:paraId="55B815C1">
            <w:pPr>
              <w:spacing w:before="20"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0DA66B42">
            <w:pPr>
              <w:spacing w:before="94" w:line="198" w:lineRule="auto"/>
              <w:ind w:left="1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11.88- 12.0</w:t>
            </w:r>
            <w:r>
              <w:rPr>
                <w:rFonts w:ascii="Times New Roman" w:hAnsi="Times New Roman" w:eastAsia="Times New Roman" w:cs="Times New Roman"/>
                <w:spacing w:val="-2"/>
                <w:sz w:val="20"/>
                <w:szCs w:val="20"/>
              </w:rPr>
              <w:t>9</w:t>
            </w:r>
          </w:p>
        </w:tc>
        <w:tc>
          <w:tcPr>
            <w:tcW w:w="756" w:type="dxa"/>
            <w:tcBorders>
              <w:left w:val="single" w:color="000000" w:sz="4" w:space="0"/>
              <w:right w:val="single" w:color="000000" w:sz="4" w:space="0"/>
            </w:tcBorders>
            <w:vAlign w:val="top"/>
          </w:tcPr>
          <w:p w14:paraId="3A34AE9D">
            <w:pPr>
              <w:spacing w:before="94" w:line="195" w:lineRule="auto"/>
              <w:ind w:left="220"/>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50</w:t>
            </w:r>
          </w:p>
        </w:tc>
        <w:tc>
          <w:tcPr>
            <w:tcW w:w="1357" w:type="dxa"/>
            <w:tcBorders>
              <w:left w:val="single" w:color="000000" w:sz="4" w:space="0"/>
              <w:right w:val="single" w:color="000000" w:sz="4" w:space="0"/>
            </w:tcBorders>
            <w:vAlign w:val="top"/>
          </w:tcPr>
          <w:p w14:paraId="165E3BE9">
            <w:pPr>
              <w:spacing w:before="94" w:line="195" w:lineRule="auto"/>
              <w:ind w:left="17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3"/>
                <w:sz w:val="20"/>
                <w:szCs w:val="20"/>
              </w:rPr>
              <w:t>047-0.048</w:t>
            </w:r>
          </w:p>
        </w:tc>
        <w:tc>
          <w:tcPr>
            <w:tcW w:w="705" w:type="dxa"/>
            <w:tcBorders>
              <w:left w:val="single" w:color="000000" w:sz="4" w:space="0"/>
            </w:tcBorders>
            <w:vAlign w:val="top"/>
          </w:tcPr>
          <w:p w14:paraId="13EA0F1C">
            <w:pPr>
              <w:spacing w:before="94"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494E0B5B">
            <w:pPr>
              <w:spacing w:before="94"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E7717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0EDE9219">
            <w:pPr>
              <w:spacing w:before="93" w:line="195" w:lineRule="auto"/>
              <w:ind w:left="182"/>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470" w:type="dxa"/>
            <w:vMerge w:val="continue"/>
            <w:tcBorders>
              <w:top w:val="nil"/>
              <w:left w:val="single" w:color="000000" w:sz="4" w:space="0"/>
              <w:bottom w:val="nil"/>
              <w:right w:val="single" w:color="000000" w:sz="4" w:space="0"/>
            </w:tcBorders>
            <w:vAlign w:val="top"/>
          </w:tcPr>
          <w:p w14:paraId="3453E3B5">
            <w:pPr>
              <w:rPr>
                <w:rFonts w:ascii="Arial"/>
                <w:sz w:val="21"/>
              </w:rPr>
            </w:pPr>
          </w:p>
        </w:tc>
        <w:tc>
          <w:tcPr>
            <w:tcW w:w="1453" w:type="dxa"/>
            <w:tcBorders>
              <w:left w:val="single" w:color="000000" w:sz="4" w:space="0"/>
            </w:tcBorders>
            <w:vAlign w:val="top"/>
          </w:tcPr>
          <w:p w14:paraId="54633129">
            <w:pPr>
              <w:spacing w:before="58" w:line="228" w:lineRule="auto"/>
              <w:ind w:left="625"/>
              <w:rPr>
                <w:rFonts w:ascii="宋体" w:hAnsi="宋体" w:eastAsia="宋体" w:cs="宋体"/>
                <w:sz w:val="20"/>
                <w:szCs w:val="20"/>
              </w:rPr>
            </w:pPr>
            <w:r>
              <w:rPr>
                <w:rFonts w:ascii="宋体" w:hAnsi="宋体" w:eastAsia="宋体" w:cs="宋体"/>
                <w:sz w:val="20"/>
                <w:szCs w:val="20"/>
              </w:rPr>
              <w:t>钾</w:t>
            </w:r>
          </w:p>
        </w:tc>
        <w:tc>
          <w:tcPr>
            <w:tcW w:w="1200" w:type="dxa"/>
            <w:tcBorders>
              <w:right w:val="single" w:color="000000" w:sz="4" w:space="0"/>
            </w:tcBorders>
            <w:vAlign w:val="top"/>
          </w:tcPr>
          <w:p w14:paraId="26295FA1">
            <w:pPr>
              <w:spacing w:before="22"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0DA49A7A">
            <w:pPr>
              <w:spacing w:before="93" w:line="198" w:lineRule="auto"/>
              <w:ind w:left="23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2.61-2.9</w:t>
            </w:r>
            <w:r>
              <w:rPr>
                <w:rFonts w:ascii="Times New Roman" w:hAnsi="Times New Roman" w:eastAsia="Times New Roman" w:cs="Times New Roman"/>
                <w:spacing w:val="2"/>
                <w:sz w:val="20"/>
                <w:szCs w:val="20"/>
              </w:rPr>
              <w:t>9</w:t>
            </w:r>
          </w:p>
        </w:tc>
        <w:tc>
          <w:tcPr>
            <w:tcW w:w="756" w:type="dxa"/>
            <w:tcBorders>
              <w:left w:val="single" w:color="000000" w:sz="4" w:space="0"/>
              <w:right w:val="single" w:color="000000" w:sz="4" w:space="0"/>
            </w:tcBorders>
            <w:vAlign w:val="top"/>
          </w:tcPr>
          <w:p w14:paraId="681BDA65">
            <w:pPr>
              <w:spacing w:before="20" w:line="281" w:lineRule="exact"/>
              <w:ind w:left="3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357" w:type="dxa"/>
            <w:tcBorders>
              <w:left w:val="single" w:color="000000" w:sz="4" w:space="0"/>
              <w:right w:val="single" w:color="000000" w:sz="4" w:space="0"/>
            </w:tcBorders>
            <w:vAlign w:val="top"/>
          </w:tcPr>
          <w:p w14:paraId="66C01EE0">
            <w:pPr>
              <w:spacing w:before="20" w:line="281" w:lineRule="exact"/>
              <w:ind w:left="6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00C254AE">
            <w:pPr>
              <w:spacing w:before="20" w:line="281" w:lineRule="exact"/>
              <w:ind w:left="31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684" w:type="dxa"/>
            <w:tcBorders>
              <w:right w:val="nil"/>
            </w:tcBorders>
            <w:vAlign w:val="top"/>
          </w:tcPr>
          <w:p w14:paraId="47CB47C6">
            <w:pPr>
              <w:spacing w:before="20" w:line="281" w:lineRule="exact"/>
              <w:ind w:left="31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2A79C9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2AD9A765">
            <w:pPr>
              <w:spacing w:before="95" w:line="195" w:lineRule="auto"/>
              <w:ind w:left="14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470" w:type="dxa"/>
            <w:vMerge w:val="continue"/>
            <w:tcBorders>
              <w:top w:val="nil"/>
              <w:left w:val="single" w:color="000000" w:sz="4" w:space="0"/>
              <w:bottom w:val="nil"/>
              <w:right w:val="single" w:color="000000" w:sz="4" w:space="0"/>
            </w:tcBorders>
            <w:vAlign w:val="top"/>
          </w:tcPr>
          <w:p w14:paraId="00F84462">
            <w:pPr>
              <w:rPr>
                <w:rFonts w:ascii="Arial"/>
                <w:sz w:val="21"/>
              </w:rPr>
            </w:pPr>
          </w:p>
        </w:tc>
        <w:tc>
          <w:tcPr>
            <w:tcW w:w="1453" w:type="dxa"/>
            <w:tcBorders>
              <w:left w:val="single" w:color="000000" w:sz="4" w:space="0"/>
            </w:tcBorders>
            <w:vAlign w:val="top"/>
          </w:tcPr>
          <w:p w14:paraId="5B10760B">
            <w:pPr>
              <w:spacing w:before="59" w:line="230" w:lineRule="auto"/>
              <w:ind w:left="624"/>
              <w:rPr>
                <w:rFonts w:ascii="宋体" w:hAnsi="宋体" w:eastAsia="宋体" w:cs="宋体"/>
                <w:sz w:val="20"/>
                <w:szCs w:val="20"/>
              </w:rPr>
            </w:pPr>
            <w:r>
              <w:rPr>
                <w:rFonts w:ascii="宋体" w:hAnsi="宋体" w:eastAsia="宋体" w:cs="宋体"/>
                <w:spacing w:val="1"/>
                <w:sz w:val="20"/>
                <w:szCs w:val="20"/>
              </w:rPr>
              <w:t>钙</w:t>
            </w:r>
          </w:p>
        </w:tc>
        <w:tc>
          <w:tcPr>
            <w:tcW w:w="1200" w:type="dxa"/>
            <w:tcBorders>
              <w:right w:val="single" w:color="000000" w:sz="4" w:space="0"/>
            </w:tcBorders>
            <w:vAlign w:val="top"/>
          </w:tcPr>
          <w:p w14:paraId="2BE49CDA">
            <w:pPr>
              <w:spacing w:before="21"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0B3FE022">
            <w:pPr>
              <w:spacing w:before="95" w:line="195" w:lineRule="auto"/>
              <w:ind w:left="5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11</w:t>
            </w: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.73- 113.31</w:t>
            </w:r>
          </w:p>
        </w:tc>
        <w:tc>
          <w:tcPr>
            <w:tcW w:w="756" w:type="dxa"/>
            <w:tcBorders>
              <w:left w:val="single" w:color="000000" w:sz="4" w:space="0"/>
              <w:right w:val="single" w:color="000000" w:sz="4" w:space="0"/>
            </w:tcBorders>
            <w:vAlign w:val="top"/>
          </w:tcPr>
          <w:p w14:paraId="46D3C193">
            <w:pPr>
              <w:spacing w:before="95" w:line="195" w:lineRule="auto"/>
              <w:ind w:left="220"/>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00</w:t>
            </w:r>
          </w:p>
        </w:tc>
        <w:tc>
          <w:tcPr>
            <w:tcW w:w="1357" w:type="dxa"/>
            <w:tcBorders>
              <w:left w:val="single" w:color="000000" w:sz="4" w:space="0"/>
              <w:right w:val="single" w:color="000000" w:sz="4" w:space="0"/>
            </w:tcBorders>
            <w:vAlign w:val="top"/>
          </w:tcPr>
          <w:p w14:paraId="14D729EB">
            <w:pPr>
              <w:spacing w:before="95" w:line="195" w:lineRule="auto"/>
              <w:ind w:left="28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.56-0.57</w:t>
            </w:r>
          </w:p>
        </w:tc>
        <w:tc>
          <w:tcPr>
            <w:tcW w:w="705" w:type="dxa"/>
            <w:tcBorders>
              <w:left w:val="single" w:color="000000" w:sz="4" w:space="0"/>
            </w:tcBorders>
            <w:vAlign w:val="top"/>
          </w:tcPr>
          <w:p w14:paraId="4FA7590A">
            <w:pPr>
              <w:spacing w:before="95"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7B17A2FD">
            <w:pPr>
              <w:spacing w:before="95"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32A682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1B796442">
            <w:pPr>
              <w:spacing w:before="94" w:line="195" w:lineRule="auto"/>
              <w:ind w:left="150"/>
              <w:rPr>
                <w:rFonts w:ascii="Times New Roman" w:hAnsi="Times New Roman" w:eastAsia="Times New Roman" w:cs="Times New Roman"/>
                <w:sz w:val="20"/>
                <w:szCs w:val="20"/>
              </w:rPr>
            </w:pPr>
            <w:r>
              <w:rPr>
                <w:rFonts w:ascii="Times New Roman" w:hAnsi="Times New Roman" w:eastAsia="Times New Roman" w:cs="Times New Roman"/>
                <w:spacing w:val="-11"/>
                <w:sz w:val="20"/>
                <w:szCs w:val="20"/>
              </w:rPr>
              <w:t>1</w:t>
            </w:r>
            <w:r>
              <w:rPr>
                <w:rFonts w:ascii="Times New Roman" w:hAnsi="Times New Roman" w:eastAsia="Times New Roman" w:cs="Times New Roman"/>
                <w:spacing w:val="-9"/>
                <w:sz w:val="20"/>
                <w:szCs w:val="20"/>
              </w:rPr>
              <w:t>1</w:t>
            </w:r>
          </w:p>
        </w:tc>
        <w:tc>
          <w:tcPr>
            <w:tcW w:w="470" w:type="dxa"/>
            <w:vMerge w:val="continue"/>
            <w:tcBorders>
              <w:top w:val="nil"/>
              <w:left w:val="single" w:color="000000" w:sz="4" w:space="0"/>
              <w:bottom w:val="nil"/>
              <w:right w:val="single" w:color="000000" w:sz="4" w:space="0"/>
            </w:tcBorders>
            <w:vAlign w:val="top"/>
          </w:tcPr>
          <w:p w14:paraId="16CFF963">
            <w:pPr>
              <w:rPr>
                <w:rFonts w:ascii="Arial"/>
                <w:sz w:val="21"/>
              </w:rPr>
            </w:pPr>
          </w:p>
        </w:tc>
        <w:tc>
          <w:tcPr>
            <w:tcW w:w="1453" w:type="dxa"/>
            <w:tcBorders>
              <w:left w:val="single" w:color="000000" w:sz="4" w:space="0"/>
            </w:tcBorders>
            <w:vAlign w:val="top"/>
          </w:tcPr>
          <w:p w14:paraId="023B7C94">
            <w:pPr>
              <w:spacing w:before="58" w:line="229" w:lineRule="auto"/>
              <w:ind w:left="624"/>
              <w:rPr>
                <w:rFonts w:ascii="宋体" w:hAnsi="宋体" w:eastAsia="宋体" w:cs="宋体"/>
                <w:sz w:val="20"/>
                <w:szCs w:val="20"/>
              </w:rPr>
            </w:pPr>
            <w:r>
              <w:rPr>
                <w:rFonts w:ascii="宋体" w:hAnsi="宋体" w:eastAsia="宋体" w:cs="宋体"/>
                <w:spacing w:val="1"/>
                <w:sz w:val="20"/>
                <w:szCs w:val="20"/>
              </w:rPr>
              <w:t>钠</w:t>
            </w:r>
          </w:p>
        </w:tc>
        <w:tc>
          <w:tcPr>
            <w:tcW w:w="1200" w:type="dxa"/>
            <w:tcBorders>
              <w:right w:val="single" w:color="000000" w:sz="4" w:space="0"/>
            </w:tcBorders>
            <w:vAlign w:val="top"/>
          </w:tcPr>
          <w:p w14:paraId="3ACAF366">
            <w:pPr>
              <w:spacing w:before="21"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1B4F8D59">
            <w:pPr>
              <w:spacing w:before="94" w:line="195" w:lineRule="auto"/>
              <w:ind w:left="14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5.78- 17.24</w:t>
            </w:r>
          </w:p>
        </w:tc>
        <w:tc>
          <w:tcPr>
            <w:tcW w:w="756" w:type="dxa"/>
            <w:tcBorders>
              <w:left w:val="single" w:color="000000" w:sz="4" w:space="0"/>
              <w:right w:val="single" w:color="000000" w:sz="4" w:space="0"/>
            </w:tcBorders>
            <w:vAlign w:val="top"/>
          </w:tcPr>
          <w:p w14:paraId="495E23CE">
            <w:pPr>
              <w:spacing w:before="21" w:line="281" w:lineRule="exact"/>
              <w:ind w:left="3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357" w:type="dxa"/>
            <w:tcBorders>
              <w:left w:val="single" w:color="000000" w:sz="4" w:space="0"/>
              <w:right w:val="single" w:color="000000" w:sz="4" w:space="0"/>
            </w:tcBorders>
            <w:vAlign w:val="top"/>
          </w:tcPr>
          <w:p w14:paraId="3B327245">
            <w:pPr>
              <w:spacing w:before="21" w:line="281" w:lineRule="exact"/>
              <w:ind w:left="6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3C218807">
            <w:pPr>
              <w:spacing w:before="21" w:line="281" w:lineRule="exact"/>
              <w:ind w:left="31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684" w:type="dxa"/>
            <w:tcBorders>
              <w:right w:val="nil"/>
            </w:tcBorders>
            <w:vAlign w:val="top"/>
          </w:tcPr>
          <w:p w14:paraId="3A831A79">
            <w:pPr>
              <w:spacing w:before="21" w:line="281" w:lineRule="exact"/>
              <w:ind w:left="31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711AA1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28D9F2DE">
            <w:pPr>
              <w:spacing w:before="94" w:line="195" w:lineRule="auto"/>
              <w:ind w:left="14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2</w:t>
            </w:r>
          </w:p>
        </w:tc>
        <w:tc>
          <w:tcPr>
            <w:tcW w:w="470" w:type="dxa"/>
            <w:vMerge w:val="continue"/>
            <w:tcBorders>
              <w:top w:val="nil"/>
              <w:left w:val="single" w:color="000000" w:sz="4" w:space="0"/>
              <w:bottom w:val="nil"/>
              <w:right w:val="single" w:color="000000" w:sz="4" w:space="0"/>
            </w:tcBorders>
            <w:vAlign w:val="top"/>
          </w:tcPr>
          <w:p w14:paraId="7960BB7A">
            <w:pPr>
              <w:rPr>
                <w:rFonts w:ascii="Arial"/>
                <w:sz w:val="21"/>
              </w:rPr>
            </w:pPr>
          </w:p>
        </w:tc>
        <w:tc>
          <w:tcPr>
            <w:tcW w:w="1453" w:type="dxa"/>
            <w:tcBorders>
              <w:left w:val="single" w:color="000000" w:sz="4" w:space="0"/>
            </w:tcBorders>
            <w:vAlign w:val="top"/>
          </w:tcPr>
          <w:p w14:paraId="22F792D8">
            <w:pPr>
              <w:spacing w:before="58" w:line="230" w:lineRule="auto"/>
              <w:ind w:left="624"/>
              <w:rPr>
                <w:rFonts w:ascii="宋体" w:hAnsi="宋体" w:eastAsia="宋体" w:cs="宋体"/>
                <w:sz w:val="20"/>
                <w:szCs w:val="20"/>
              </w:rPr>
            </w:pPr>
            <w:r>
              <w:rPr>
                <w:rFonts w:ascii="宋体" w:hAnsi="宋体" w:eastAsia="宋体" w:cs="宋体"/>
                <w:spacing w:val="1"/>
                <w:sz w:val="20"/>
                <w:szCs w:val="20"/>
              </w:rPr>
              <w:t>镁</w:t>
            </w:r>
          </w:p>
        </w:tc>
        <w:tc>
          <w:tcPr>
            <w:tcW w:w="1200" w:type="dxa"/>
            <w:tcBorders>
              <w:right w:val="single" w:color="000000" w:sz="4" w:space="0"/>
            </w:tcBorders>
            <w:vAlign w:val="top"/>
          </w:tcPr>
          <w:p w14:paraId="46633763">
            <w:pPr>
              <w:spacing w:before="20"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79B5A375">
            <w:pPr>
              <w:spacing w:before="94" w:line="195" w:lineRule="auto"/>
              <w:ind w:left="13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31</w:t>
            </w:r>
            <w:r>
              <w:rPr>
                <w:rFonts w:ascii="Times New Roman" w:hAnsi="Times New Roman" w:eastAsia="Times New Roman" w:cs="Times New Roman"/>
                <w:spacing w:val="5"/>
                <w:sz w:val="20"/>
                <w:szCs w:val="20"/>
              </w:rPr>
              <w:t>.</w:t>
            </w:r>
            <w:r>
              <w:rPr>
                <w:rFonts w:ascii="Times New Roman" w:hAnsi="Times New Roman" w:eastAsia="Times New Roman" w:cs="Times New Roman"/>
                <w:spacing w:val="3"/>
                <w:sz w:val="20"/>
                <w:szCs w:val="20"/>
              </w:rPr>
              <w:t>23-32.33</w:t>
            </w:r>
          </w:p>
        </w:tc>
        <w:tc>
          <w:tcPr>
            <w:tcW w:w="756" w:type="dxa"/>
            <w:tcBorders>
              <w:left w:val="single" w:color="000000" w:sz="4" w:space="0"/>
              <w:right w:val="single" w:color="000000" w:sz="4" w:space="0"/>
            </w:tcBorders>
            <w:vAlign w:val="top"/>
          </w:tcPr>
          <w:p w14:paraId="74FB10C4">
            <w:pPr>
              <w:spacing w:before="20" w:line="281" w:lineRule="exact"/>
              <w:ind w:left="3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357" w:type="dxa"/>
            <w:tcBorders>
              <w:left w:val="single" w:color="000000" w:sz="4" w:space="0"/>
              <w:right w:val="single" w:color="000000" w:sz="4" w:space="0"/>
            </w:tcBorders>
            <w:vAlign w:val="top"/>
          </w:tcPr>
          <w:p w14:paraId="13753590">
            <w:pPr>
              <w:spacing w:before="20" w:line="281" w:lineRule="exact"/>
              <w:ind w:left="6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1A2BD4D3">
            <w:pPr>
              <w:spacing w:before="20" w:line="281" w:lineRule="exact"/>
              <w:ind w:left="31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684" w:type="dxa"/>
            <w:tcBorders>
              <w:right w:val="nil"/>
            </w:tcBorders>
            <w:vAlign w:val="top"/>
          </w:tcPr>
          <w:p w14:paraId="0E796C3C">
            <w:pPr>
              <w:spacing w:before="20" w:line="281" w:lineRule="exact"/>
              <w:ind w:left="31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7897BC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55C5F6C2">
            <w:pPr>
              <w:spacing w:before="93" w:line="195" w:lineRule="auto"/>
              <w:ind w:left="14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3</w:t>
            </w:r>
          </w:p>
        </w:tc>
        <w:tc>
          <w:tcPr>
            <w:tcW w:w="470" w:type="dxa"/>
            <w:vMerge w:val="continue"/>
            <w:tcBorders>
              <w:top w:val="nil"/>
              <w:left w:val="single" w:color="000000" w:sz="4" w:space="0"/>
              <w:bottom w:val="nil"/>
              <w:right w:val="single" w:color="000000" w:sz="4" w:space="0"/>
            </w:tcBorders>
            <w:vAlign w:val="top"/>
          </w:tcPr>
          <w:p w14:paraId="0F31EC36">
            <w:pPr>
              <w:rPr>
                <w:rFonts w:ascii="Arial"/>
                <w:sz w:val="21"/>
              </w:rPr>
            </w:pPr>
          </w:p>
        </w:tc>
        <w:tc>
          <w:tcPr>
            <w:tcW w:w="1453" w:type="dxa"/>
            <w:tcBorders>
              <w:left w:val="single" w:color="000000" w:sz="4" w:space="0"/>
            </w:tcBorders>
            <w:vAlign w:val="top"/>
          </w:tcPr>
          <w:p w14:paraId="7B9A306C">
            <w:pPr>
              <w:spacing w:before="58" w:line="228" w:lineRule="auto"/>
              <w:ind w:left="413"/>
              <w:rPr>
                <w:rFonts w:ascii="宋体" w:hAnsi="宋体" w:eastAsia="宋体" w:cs="宋体"/>
                <w:sz w:val="20"/>
                <w:szCs w:val="20"/>
              </w:rPr>
            </w:pPr>
            <w:r>
              <w:rPr>
                <w:rFonts w:ascii="宋体" w:hAnsi="宋体" w:eastAsia="宋体" w:cs="宋体"/>
                <w:spacing w:val="7"/>
                <w:sz w:val="20"/>
                <w:szCs w:val="20"/>
              </w:rPr>
              <w:t>碳酸</w:t>
            </w:r>
            <w:r>
              <w:rPr>
                <w:rFonts w:ascii="宋体" w:hAnsi="宋体" w:eastAsia="宋体" w:cs="宋体"/>
                <w:spacing w:val="6"/>
                <w:sz w:val="20"/>
                <w:szCs w:val="20"/>
              </w:rPr>
              <w:t>根</w:t>
            </w:r>
          </w:p>
        </w:tc>
        <w:tc>
          <w:tcPr>
            <w:tcW w:w="1200" w:type="dxa"/>
            <w:tcBorders>
              <w:right w:val="single" w:color="000000" w:sz="4" w:space="0"/>
            </w:tcBorders>
            <w:vAlign w:val="top"/>
          </w:tcPr>
          <w:p w14:paraId="743247AF">
            <w:pPr>
              <w:spacing w:before="22"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5573255A">
            <w:pPr>
              <w:spacing w:before="57" w:line="228" w:lineRule="auto"/>
              <w:ind w:left="327"/>
              <w:rPr>
                <w:rFonts w:ascii="宋体" w:hAnsi="宋体" w:eastAsia="宋体" w:cs="宋体"/>
                <w:sz w:val="20"/>
                <w:szCs w:val="20"/>
              </w:rPr>
            </w:pPr>
            <w:r>
              <w:rPr>
                <w:rFonts w:ascii="宋体" w:hAnsi="宋体" w:eastAsia="宋体" w:cs="宋体"/>
                <w:spacing w:val="6"/>
                <w:sz w:val="20"/>
                <w:szCs w:val="20"/>
              </w:rPr>
              <w:t>未检</w:t>
            </w:r>
            <w:r>
              <w:rPr>
                <w:rFonts w:ascii="宋体" w:hAnsi="宋体" w:eastAsia="宋体" w:cs="宋体"/>
                <w:spacing w:val="5"/>
                <w:sz w:val="20"/>
                <w:szCs w:val="20"/>
              </w:rPr>
              <w:t>出</w:t>
            </w:r>
          </w:p>
        </w:tc>
        <w:tc>
          <w:tcPr>
            <w:tcW w:w="756" w:type="dxa"/>
            <w:tcBorders>
              <w:left w:val="single" w:color="000000" w:sz="4" w:space="0"/>
              <w:right w:val="single" w:color="000000" w:sz="4" w:space="0"/>
            </w:tcBorders>
            <w:vAlign w:val="top"/>
          </w:tcPr>
          <w:p w14:paraId="39F749DA">
            <w:pPr>
              <w:spacing w:before="20" w:line="281" w:lineRule="exact"/>
              <w:ind w:left="3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357" w:type="dxa"/>
            <w:tcBorders>
              <w:left w:val="single" w:color="000000" w:sz="4" w:space="0"/>
              <w:right w:val="single" w:color="000000" w:sz="4" w:space="0"/>
            </w:tcBorders>
            <w:vAlign w:val="top"/>
          </w:tcPr>
          <w:p w14:paraId="79A98E25">
            <w:pPr>
              <w:spacing w:before="20" w:line="281" w:lineRule="exact"/>
              <w:ind w:left="6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303C30EB">
            <w:pPr>
              <w:spacing w:before="20" w:line="281" w:lineRule="exact"/>
              <w:ind w:left="31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684" w:type="dxa"/>
            <w:tcBorders>
              <w:right w:val="nil"/>
            </w:tcBorders>
            <w:vAlign w:val="top"/>
          </w:tcPr>
          <w:p w14:paraId="560F3CCB">
            <w:pPr>
              <w:spacing w:before="20" w:line="281" w:lineRule="exact"/>
              <w:ind w:left="31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6DFAD0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5D269833">
            <w:pPr>
              <w:spacing w:before="95" w:line="195" w:lineRule="auto"/>
              <w:ind w:left="14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4</w:t>
            </w:r>
          </w:p>
        </w:tc>
        <w:tc>
          <w:tcPr>
            <w:tcW w:w="470" w:type="dxa"/>
            <w:vMerge w:val="continue"/>
            <w:tcBorders>
              <w:top w:val="nil"/>
              <w:left w:val="single" w:color="000000" w:sz="4" w:space="0"/>
              <w:bottom w:val="nil"/>
              <w:right w:val="single" w:color="000000" w:sz="4" w:space="0"/>
            </w:tcBorders>
            <w:vAlign w:val="top"/>
          </w:tcPr>
          <w:p w14:paraId="58B1D5E7">
            <w:pPr>
              <w:rPr>
                <w:rFonts w:ascii="Arial"/>
                <w:sz w:val="21"/>
              </w:rPr>
            </w:pPr>
          </w:p>
        </w:tc>
        <w:tc>
          <w:tcPr>
            <w:tcW w:w="1453" w:type="dxa"/>
            <w:tcBorders>
              <w:left w:val="single" w:color="000000" w:sz="4" w:space="0"/>
            </w:tcBorders>
            <w:vAlign w:val="top"/>
          </w:tcPr>
          <w:p w14:paraId="1BF420A5">
            <w:pPr>
              <w:spacing w:before="59" w:line="228" w:lineRule="auto"/>
              <w:ind w:left="308"/>
              <w:rPr>
                <w:rFonts w:ascii="宋体" w:hAnsi="宋体" w:eastAsia="宋体" w:cs="宋体"/>
                <w:sz w:val="20"/>
                <w:szCs w:val="20"/>
              </w:rPr>
            </w:pPr>
            <w:r>
              <w:rPr>
                <w:rFonts w:ascii="宋体" w:hAnsi="宋体" w:eastAsia="宋体" w:cs="宋体"/>
                <w:spacing w:val="8"/>
                <w:sz w:val="20"/>
                <w:szCs w:val="20"/>
              </w:rPr>
              <w:t>碳</w:t>
            </w:r>
            <w:r>
              <w:rPr>
                <w:rFonts w:ascii="宋体" w:hAnsi="宋体" w:eastAsia="宋体" w:cs="宋体"/>
                <w:spacing w:val="7"/>
                <w:sz w:val="20"/>
                <w:szCs w:val="20"/>
              </w:rPr>
              <w:t>酸氢根</w:t>
            </w:r>
          </w:p>
        </w:tc>
        <w:tc>
          <w:tcPr>
            <w:tcW w:w="1200" w:type="dxa"/>
            <w:tcBorders>
              <w:right w:val="single" w:color="000000" w:sz="4" w:space="0"/>
            </w:tcBorders>
            <w:vAlign w:val="top"/>
          </w:tcPr>
          <w:p w14:paraId="66041CEB">
            <w:pPr>
              <w:spacing w:before="21"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3CC0990E">
            <w:pPr>
              <w:spacing w:before="95" w:line="195" w:lineRule="auto"/>
              <w:ind w:left="238"/>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6</w:t>
            </w:r>
            <w:r>
              <w:rPr>
                <w:rFonts w:ascii="Times New Roman" w:hAnsi="Times New Roman" w:eastAsia="Times New Roman" w:cs="Times New Roman"/>
                <w:spacing w:val="4"/>
                <w:sz w:val="20"/>
                <w:szCs w:val="20"/>
              </w:rPr>
              <w:t>4.7-65.8</w:t>
            </w:r>
          </w:p>
        </w:tc>
        <w:tc>
          <w:tcPr>
            <w:tcW w:w="756" w:type="dxa"/>
            <w:tcBorders>
              <w:left w:val="single" w:color="000000" w:sz="4" w:space="0"/>
              <w:right w:val="single" w:color="000000" w:sz="4" w:space="0"/>
            </w:tcBorders>
            <w:vAlign w:val="top"/>
          </w:tcPr>
          <w:p w14:paraId="3C39CFAE">
            <w:pPr>
              <w:spacing w:before="21" w:line="281" w:lineRule="exact"/>
              <w:ind w:left="3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357" w:type="dxa"/>
            <w:tcBorders>
              <w:left w:val="single" w:color="000000" w:sz="4" w:space="0"/>
              <w:right w:val="single" w:color="000000" w:sz="4" w:space="0"/>
            </w:tcBorders>
            <w:vAlign w:val="top"/>
          </w:tcPr>
          <w:p w14:paraId="5281FE7E">
            <w:pPr>
              <w:spacing w:before="21" w:line="281" w:lineRule="exact"/>
              <w:ind w:left="6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32D24B5E">
            <w:pPr>
              <w:spacing w:before="21" w:line="281" w:lineRule="exact"/>
              <w:ind w:left="31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684" w:type="dxa"/>
            <w:tcBorders>
              <w:right w:val="nil"/>
            </w:tcBorders>
            <w:vAlign w:val="top"/>
          </w:tcPr>
          <w:p w14:paraId="7B642170">
            <w:pPr>
              <w:spacing w:before="21" w:line="281" w:lineRule="exact"/>
              <w:ind w:left="31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27F269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5707C190">
            <w:pPr>
              <w:spacing w:before="94" w:line="195" w:lineRule="auto"/>
              <w:ind w:left="14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c>
          <w:tcPr>
            <w:tcW w:w="470" w:type="dxa"/>
            <w:vMerge w:val="continue"/>
            <w:tcBorders>
              <w:top w:val="nil"/>
              <w:left w:val="single" w:color="000000" w:sz="4" w:space="0"/>
              <w:bottom w:val="nil"/>
              <w:right w:val="single" w:color="000000" w:sz="4" w:space="0"/>
            </w:tcBorders>
            <w:vAlign w:val="top"/>
          </w:tcPr>
          <w:p w14:paraId="6205944A">
            <w:pPr>
              <w:rPr>
                <w:rFonts w:ascii="Arial"/>
                <w:sz w:val="21"/>
              </w:rPr>
            </w:pPr>
          </w:p>
        </w:tc>
        <w:tc>
          <w:tcPr>
            <w:tcW w:w="1453" w:type="dxa"/>
            <w:tcBorders>
              <w:left w:val="single" w:color="000000" w:sz="4" w:space="0"/>
            </w:tcBorders>
            <w:vAlign w:val="top"/>
          </w:tcPr>
          <w:p w14:paraId="51E9E8F1">
            <w:pPr>
              <w:spacing w:before="58" w:line="228" w:lineRule="auto"/>
              <w:ind w:left="312"/>
              <w:rPr>
                <w:rFonts w:ascii="宋体" w:hAnsi="宋体" w:eastAsia="宋体" w:cs="宋体"/>
                <w:sz w:val="20"/>
                <w:szCs w:val="20"/>
              </w:rPr>
            </w:pPr>
            <w:r>
              <w:rPr>
                <w:rFonts w:ascii="宋体" w:hAnsi="宋体" w:eastAsia="宋体" w:cs="宋体"/>
                <w:spacing w:val="7"/>
                <w:sz w:val="20"/>
                <w:szCs w:val="20"/>
              </w:rPr>
              <w:t>菌</w:t>
            </w:r>
            <w:r>
              <w:rPr>
                <w:rFonts w:ascii="宋体" w:hAnsi="宋体" w:eastAsia="宋体" w:cs="宋体"/>
                <w:spacing w:val="6"/>
                <w:sz w:val="20"/>
                <w:szCs w:val="20"/>
              </w:rPr>
              <w:t>落总数</w:t>
            </w:r>
          </w:p>
        </w:tc>
        <w:tc>
          <w:tcPr>
            <w:tcW w:w="1200" w:type="dxa"/>
            <w:tcBorders>
              <w:right w:val="single" w:color="000000" w:sz="4" w:space="0"/>
            </w:tcBorders>
            <w:vAlign w:val="top"/>
          </w:tcPr>
          <w:p w14:paraId="35C4367A">
            <w:pPr>
              <w:spacing w:before="21" w:line="281" w:lineRule="exact"/>
              <w:ind w:left="22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CFU</w:t>
            </w:r>
            <w:r>
              <w:rPr>
                <w:rFonts w:ascii="Times New Roman" w:hAnsi="Times New Roman" w:eastAsia="Times New Roman" w:cs="Times New Roman"/>
                <w:spacing w:val="26"/>
                <w:position w:val="2"/>
                <w:sz w:val="20"/>
                <w:szCs w:val="20"/>
              </w:rPr>
              <w:t>/</w:t>
            </w:r>
            <w:r>
              <w:rPr>
                <w:rFonts w:ascii="Times New Roman" w:hAnsi="Times New Roman" w:eastAsia="Times New Roman" w:cs="Times New Roman"/>
                <w:position w:val="2"/>
                <w:sz w:val="20"/>
                <w:szCs w:val="20"/>
              </w:rPr>
              <w:t>mL</w:t>
            </w:r>
          </w:p>
        </w:tc>
        <w:tc>
          <w:tcPr>
            <w:tcW w:w="1271" w:type="dxa"/>
            <w:tcBorders>
              <w:left w:val="single" w:color="000000" w:sz="4" w:space="0"/>
              <w:right w:val="single" w:color="000000" w:sz="4" w:space="0"/>
            </w:tcBorders>
            <w:vAlign w:val="top"/>
          </w:tcPr>
          <w:p w14:paraId="2397A5BC">
            <w:pPr>
              <w:spacing w:before="94" w:line="195" w:lineRule="auto"/>
              <w:ind w:left="39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3</w:t>
            </w: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-36</w:t>
            </w:r>
          </w:p>
        </w:tc>
        <w:tc>
          <w:tcPr>
            <w:tcW w:w="756" w:type="dxa"/>
            <w:tcBorders>
              <w:left w:val="single" w:color="000000" w:sz="4" w:space="0"/>
              <w:right w:val="single" w:color="000000" w:sz="4" w:space="0"/>
            </w:tcBorders>
            <w:vAlign w:val="top"/>
          </w:tcPr>
          <w:p w14:paraId="61F0D1C6">
            <w:pPr>
              <w:spacing w:before="94"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100</w:t>
            </w:r>
          </w:p>
        </w:tc>
        <w:tc>
          <w:tcPr>
            <w:tcW w:w="1357" w:type="dxa"/>
            <w:tcBorders>
              <w:left w:val="single" w:color="000000" w:sz="4" w:space="0"/>
              <w:right w:val="single" w:color="000000" w:sz="4" w:space="0"/>
            </w:tcBorders>
            <w:vAlign w:val="top"/>
          </w:tcPr>
          <w:p w14:paraId="21C07757">
            <w:pPr>
              <w:spacing w:before="95" w:line="195" w:lineRule="auto"/>
              <w:ind w:left="28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.31-0.36</w:t>
            </w:r>
          </w:p>
        </w:tc>
        <w:tc>
          <w:tcPr>
            <w:tcW w:w="705" w:type="dxa"/>
            <w:tcBorders>
              <w:left w:val="single" w:color="000000" w:sz="4" w:space="0"/>
            </w:tcBorders>
            <w:vAlign w:val="top"/>
          </w:tcPr>
          <w:p w14:paraId="0097DFCB">
            <w:pPr>
              <w:spacing w:before="94"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63838362">
            <w:pPr>
              <w:spacing w:before="94"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71BDA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31D99055">
            <w:pPr>
              <w:spacing w:before="94" w:line="195" w:lineRule="auto"/>
              <w:ind w:left="14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6</w:t>
            </w:r>
          </w:p>
        </w:tc>
        <w:tc>
          <w:tcPr>
            <w:tcW w:w="470" w:type="dxa"/>
            <w:vMerge w:val="continue"/>
            <w:tcBorders>
              <w:top w:val="nil"/>
              <w:left w:val="single" w:color="000000" w:sz="4" w:space="0"/>
              <w:bottom w:val="nil"/>
              <w:right w:val="single" w:color="000000" w:sz="4" w:space="0"/>
            </w:tcBorders>
            <w:vAlign w:val="top"/>
          </w:tcPr>
          <w:p w14:paraId="66DD22D1">
            <w:pPr>
              <w:rPr>
                <w:rFonts w:ascii="Arial"/>
                <w:sz w:val="21"/>
              </w:rPr>
            </w:pPr>
          </w:p>
        </w:tc>
        <w:tc>
          <w:tcPr>
            <w:tcW w:w="1453" w:type="dxa"/>
            <w:tcBorders>
              <w:left w:val="single" w:color="000000" w:sz="4" w:space="0"/>
            </w:tcBorders>
            <w:vAlign w:val="top"/>
          </w:tcPr>
          <w:p w14:paraId="50BC9DA3">
            <w:pPr>
              <w:spacing w:before="57" w:line="228" w:lineRule="auto"/>
              <w:ind w:left="210"/>
              <w:rPr>
                <w:rFonts w:ascii="宋体" w:hAnsi="宋体" w:eastAsia="宋体" w:cs="宋体"/>
                <w:sz w:val="20"/>
                <w:szCs w:val="20"/>
              </w:rPr>
            </w:pPr>
            <w:r>
              <w:rPr>
                <w:rFonts w:ascii="宋体" w:hAnsi="宋体" w:eastAsia="宋体" w:cs="宋体"/>
                <w:spacing w:val="7"/>
                <w:sz w:val="20"/>
                <w:szCs w:val="20"/>
              </w:rPr>
              <w:t>总大肠菌群</w:t>
            </w:r>
          </w:p>
        </w:tc>
        <w:tc>
          <w:tcPr>
            <w:tcW w:w="1200" w:type="dxa"/>
            <w:tcBorders>
              <w:right w:val="single" w:color="000000" w:sz="4" w:space="0"/>
            </w:tcBorders>
            <w:vAlign w:val="top"/>
          </w:tcPr>
          <w:p w14:paraId="655EF4A9">
            <w:pPr>
              <w:spacing w:before="20" w:line="281" w:lineRule="exact"/>
              <w:ind w:left="41"/>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MPN</w:t>
            </w:r>
            <w:r>
              <w:rPr>
                <w:rFonts w:ascii="Times New Roman" w:hAnsi="Times New Roman" w:eastAsia="Times New Roman" w:cs="Times New Roman"/>
                <w:spacing w:val="-1"/>
                <w:position w:val="2"/>
                <w:sz w:val="20"/>
                <w:szCs w:val="20"/>
              </w:rPr>
              <w:t xml:space="preserve">/ </w:t>
            </w:r>
            <w:r>
              <w:rPr>
                <w:rFonts w:ascii="Times New Roman" w:hAnsi="Times New Roman" w:eastAsia="Times New Roman" w:cs="Times New Roman"/>
                <w:position w:val="2"/>
                <w:sz w:val="20"/>
                <w:szCs w:val="20"/>
              </w:rPr>
              <w:t>100mL</w:t>
            </w:r>
          </w:p>
        </w:tc>
        <w:tc>
          <w:tcPr>
            <w:tcW w:w="1271" w:type="dxa"/>
            <w:tcBorders>
              <w:left w:val="single" w:color="000000" w:sz="4" w:space="0"/>
              <w:right w:val="single" w:color="000000" w:sz="4" w:space="0"/>
            </w:tcBorders>
            <w:vAlign w:val="top"/>
          </w:tcPr>
          <w:p w14:paraId="079F7ED8">
            <w:pPr>
              <w:spacing w:before="57" w:line="228" w:lineRule="auto"/>
              <w:ind w:left="327"/>
              <w:rPr>
                <w:rFonts w:ascii="宋体" w:hAnsi="宋体" w:eastAsia="宋体" w:cs="宋体"/>
                <w:sz w:val="20"/>
                <w:szCs w:val="20"/>
              </w:rPr>
            </w:pPr>
            <w:r>
              <w:rPr>
                <w:rFonts w:ascii="宋体" w:hAnsi="宋体" w:eastAsia="宋体" w:cs="宋体"/>
                <w:spacing w:val="6"/>
                <w:sz w:val="20"/>
                <w:szCs w:val="20"/>
              </w:rPr>
              <w:t>未检</w:t>
            </w:r>
            <w:r>
              <w:rPr>
                <w:rFonts w:ascii="宋体" w:hAnsi="宋体" w:eastAsia="宋体" w:cs="宋体"/>
                <w:spacing w:val="5"/>
                <w:sz w:val="20"/>
                <w:szCs w:val="20"/>
              </w:rPr>
              <w:t>出</w:t>
            </w:r>
          </w:p>
        </w:tc>
        <w:tc>
          <w:tcPr>
            <w:tcW w:w="756" w:type="dxa"/>
            <w:tcBorders>
              <w:left w:val="single" w:color="000000" w:sz="4" w:space="0"/>
              <w:right w:val="single" w:color="000000" w:sz="4" w:space="0"/>
            </w:tcBorders>
            <w:vAlign w:val="top"/>
          </w:tcPr>
          <w:p w14:paraId="2FC8DC95">
            <w:pPr>
              <w:spacing w:before="94" w:line="195" w:lineRule="auto"/>
              <w:ind w:left="25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.0</w:t>
            </w:r>
          </w:p>
        </w:tc>
        <w:tc>
          <w:tcPr>
            <w:tcW w:w="1357" w:type="dxa"/>
            <w:tcBorders>
              <w:left w:val="single" w:color="000000" w:sz="4" w:space="0"/>
              <w:right w:val="single" w:color="000000" w:sz="4" w:space="0"/>
            </w:tcBorders>
            <w:vAlign w:val="top"/>
          </w:tcPr>
          <w:p w14:paraId="4CDE2F1D">
            <w:pPr>
              <w:spacing w:before="20" w:line="281" w:lineRule="exact"/>
              <w:ind w:left="6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1BE3BDA1">
            <w:pPr>
              <w:spacing w:before="94"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370AA3F9">
            <w:pPr>
              <w:spacing w:before="94"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2DFA6F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1B877AF2">
            <w:pPr>
              <w:spacing w:before="93" w:line="195" w:lineRule="auto"/>
              <w:ind w:left="14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7</w:t>
            </w:r>
          </w:p>
        </w:tc>
        <w:tc>
          <w:tcPr>
            <w:tcW w:w="470" w:type="dxa"/>
            <w:vMerge w:val="continue"/>
            <w:tcBorders>
              <w:top w:val="nil"/>
              <w:left w:val="single" w:color="000000" w:sz="4" w:space="0"/>
              <w:right w:val="single" w:color="000000" w:sz="4" w:space="0"/>
            </w:tcBorders>
            <w:vAlign w:val="top"/>
          </w:tcPr>
          <w:p w14:paraId="1D4555B0">
            <w:pPr>
              <w:rPr>
                <w:rFonts w:ascii="Arial"/>
                <w:sz w:val="21"/>
              </w:rPr>
            </w:pPr>
          </w:p>
        </w:tc>
        <w:tc>
          <w:tcPr>
            <w:tcW w:w="1453" w:type="dxa"/>
            <w:tcBorders>
              <w:left w:val="single" w:color="000000" w:sz="4" w:space="0"/>
            </w:tcBorders>
            <w:vAlign w:val="top"/>
          </w:tcPr>
          <w:p w14:paraId="3524DF8F">
            <w:pPr>
              <w:spacing w:before="57" w:line="229" w:lineRule="auto"/>
              <w:ind w:left="415"/>
              <w:rPr>
                <w:rFonts w:ascii="宋体" w:hAnsi="宋体" w:eastAsia="宋体" w:cs="宋体"/>
                <w:sz w:val="20"/>
                <w:szCs w:val="20"/>
              </w:rPr>
            </w:pPr>
            <w:r>
              <w:rPr>
                <w:rFonts w:ascii="宋体" w:hAnsi="宋体" w:eastAsia="宋体" w:cs="宋体"/>
                <w:spacing w:val="7"/>
                <w:sz w:val="20"/>
                <w:szCs w:val="20"/>
              </w:rPr>
              <w:t>硝</w:t>
            </w:r>
            <w:r>
              <w:rPr>
                <w:rFonts w:ascii="宋体" w:hAnsi="宋体" w:eastAsia="宋体" w:cs="宋体"/>
                <w:spacing w:val="6"/>
                <w:sz w:val="20"/>
                <w:szCs w:val="20"/>
              </w:rPr>
              <w:t>酸盐</w:t>
            </w:r>
          </w:p>
        </w:tc>
        <w:tc>
          <w:tcPr>
            <w:tcW w:w="1200" w:type="dxa"/>
            <w:tcBorders>
              <w:right w:val="single" w:color="000000" w:sz="4" w:space="0"/>
            </w:tcBorders>
            <w:vAlign w:val="top"/>
          </w:tcPr>
          <w:p w14:paraId="442DA343">
            <w:pPr>
              <w:spacing w:before="22"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2C82DA9E">
            <w:pPr>
              <w:spacing w:before="93" w:line="195" w:lineRule="auto"/>
              <w:ind w:left="12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23. 1</w:t>
            </w:r>
            <w:r>
              <w:rPr>
                <w:rFonts w:ascii="Times New Roman" w:hAnsi="Times New Roman" w:eastAsia="Times New Roman" w:cs="Times New Roman"/>
                <w:sz w:val="20"/>
                <w:szCs w:val="20"/>
              </w:rPr>
              <w:t>8-24.31</w:t>
            </w:r>
          </w:p>
        </w:tc>
        <w:tc>
          <w:tcPr>
            <w:tcW w:w="756" w:type="dxa"/>
            <w:tcBorders>
              <w:left w:val="single" w:color="000000" w:sz="4" w:space="0"/>
              <w:right w:val="single" w:color="000000" w:sz="4" w:space="0"/>
            </w:tcBorders>
            <w:vAlign w:val="top"/>
          </w:tcPr>
          <w:p w14:paraId="69F37D5C">
            <w:pPr>
              <w:spacing w:before="93" w:line="195"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4"/>
                <w:sz w:val="20"/>
                <w:szCs w:val="20"/>
              </w:rPr>
              <w:t>0.0</w:t>
            </w:r>
          </w:p>
        </w:tc>
        <w:tc>
          <w:tcPr>
            <w:tcW w:w="1357" w:type="dxa"/>
            <w:tcBorders>
              <w:left w:val="single" w:color="000000" w:sz="4" w:space="0"/>
              <w:right w:val="single" w:color="000000" w:sz="4" w:space="0"/>
            </w:tcBorders>
            <w:vAlign w:val="top"/>
          </w:tcPr>
          <w:p w14:paraId="74894CD2">
            <w:pPr>
              <w:spacing w:before="93" w:line="195" w:lineRule="auto"/>
              <w:ind w:left="298"/>
              <w:rPr>
                <w:rFonts w:ascii="Times New Roman" w:hAnsi="Times New Roman" w:eastAsia="Times New Roman" w:cs="Times New Roman"/>
                <w:sz w:val="20"/>
                <w:szCs w:val="20"/>
              </w:rPr>
            </w:pPr>
            <w:r>
              <w:rPr>
                <w:rFonts w:ascii="Times New Roman" w:hAnsi="Times New Roman" w:eastAsia="Times New Roman" w:cs="Times New Roman"/>
                <w:spacing w:val="-9"/>
                <w:sz w:val="20"/>
                <w:szCs w:val="20"/>
              </w:rPr>
              <w:t>1</w:t>
            </w:r>
            <w:r>
              <w:rPr>
                <w:rFonts w:ascii="Times New Roman" w:hAnsi="Times New Roman" w:eastAsia="Times New Roman" w:cs="Times New Roman"/>
                <w:spacing w:val="-8"/>
                <w:sz w:val="20"/>
                <w:szCs w:val="20"/>
              </w:rPr>
              <w:t>. 16- 1.22</w:t>
            </w:r>
          </w:p>
        </w:tc>
        <w:tc>
          <w:tcPr>
            <w:tcW w:w="705" w:type="dxa"/>
            <w:tcBorders>
              <w:left w:val="single" w:color="000000" w:sz="4" w:space="0"/>
            </w:tcBorders>
            <w:vAlign w:val="top"/>
          </w:tcPr>
          <w:p w14:paraId="79E5048B">
            <w:pPr>
              <w:spacing w:before="93" w:line="195" w:lineRule="auto"/>
              <w:ind w:left="21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100</w:t>
            </w:r>
          </w:p>
        </w:tc>
        <w:tc>
          <w:tcPr>
            <w:tcW w:w="684" w:type="dxa"/>
            <w:tcBorders>
              <w:right w:val="nil"/>
            </w:tcBorders>
            <w:vAlign w:val="top"/>
          </w:tcPr>
          <w:p w14:paraId="211422DB">
            <w:pPr>
              <w:spacing w:before="93" w:line="195" w:lineRule="auto"/>
              <w:ind w:left="16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.22</w:t>
            </w:r>
          </w:p>
        </w:tc>
      </w:tr>
      <w:tr w14:paraId="24E347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641560F4">
            <w:pPr>
              <w:spacing w:before="95" w:line="195" w:lineRule="auto"/>
              <w:ind w:left="198"/>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470" w:type="dxa"/>
            <w:vMerge w:val="restart"/>
            <w:tcBorders>
              <w:left w:val="single" w:color="000000" w:sz="4" w:space="0"/>
              <w:bottom w:val="nil"/>
              <w:right w:val="single" w:color="000000" w:sz="4" w:space="0"/>
            </w:tcBorders>
            <w:vAlign w:val="top"/>
          </w:tcPr>
          <w:p w14:paraId="70903C35">
            <w:pPr>
              <w:spacing w:line="265" w:lineRule="auto"/>
              <w:rPr>
                <w:rFonts w:ascii="Arial"/>
                <w:sz w:val="21"/>
              </w:rPr>
            </w:pPr>
          </w:p>
          <w:p w14:paraId="6566E37B">
            <w:pPr>
              <w:spacing w:line="266" w:lineRule="auto"/>
              <w:rPr>
                <w:rFonts w:ascii="Arial"/>
                <w:sz w:val="21"/>
              </w:rPr>
            </w:pPr>
          </w:p>
          <w:p w14:paraId="20906743">
            <w:pPr>
              <w:spacing w:line="266" w:lineRule="auto"/>
              <w:rPr>
                <w:rFonts w:ascii="Arial"/>
                <w:sz w:val="21"/>
              </w:rPr>
            </w:pPr>
          </w:p>
          <w:p w14:paraId="7F886A09">
            <w:pPr>
              <w:spacing w:line="266" w:lineRule="auto"/>
              <w:rPr>
                <w:rFonts w:ascii="Arial"/>
                <w:sz w:val="21"/>
              </w:rPr>
            </w:pPr>
          </w:p>
          <w:p w14:paraId="6797ACB0">
            <w:pPr>
              <w:spacing w:line="266" w:lineRule="auto"/>
              <w:rPr>
                <w:rFonts w:ascii="Arial"/>
                <w:sz w:val="21"/>
              </w:rPr>
            </w:pPr>
          </w:p>
          <w:p w14:paraId="75592C97">
            <w:pPr>
              <w:spacing w:line="266" w:lineRule="auto"/>
              <w:rPr>
                <w:rFonts w:ascii="Arial"/>
                <w:sz w:val="21"/>
              </w:rPr>
            </w:pPr>
          </w:p>
          <w:p w14:paraId="328F81DA">
            <w:pPr>
              <w:spacing w:before="65" w:line="281" w:lineRule="exact"/>
              <w:ind w:left="27"/>
              <w:rPr>
                <w:rFonts w:ascii="宋体" w:hAnsi="宋体" w:eastAsia="宋体" w:cs="宋体"/>
                <w:sz w:val="20"/>
                <w:szCs w:val="20"/>
              </w:rPr>
            </w:pPr>
            <w:r>
              <w:rPr>
                <w:rFonts w:ascii="Times New Roman" w:hAnsi="Times New Roman" w:eastAsia="Times New Roman" w:cs="Times New Roman"/>
                <w:spacing w:val="4"/>
                <w:position w:val="1"/>
                <w:sz w:val="20"/>
                <w:szCs w:val="20"/>
              </w:rPr>
              <w:t>3#</w:t>
            </w:r>
            <w:r>
              <w:rPr>
                <w:rFonts w:ascii="宋体" w:hAnsi="宋体" w:eastAsia="宋体" w:cs="宋体"/>
                <w:spacing w:val="3"/>
                <w:position w:val="1"/>
                <w:sz w:val="20"/>
                <w:szCs w:val="20"/>
              </w:rPr>
              <w:t>火</w:t>
            </w:r>
          </w:p>
          <w:p w14:paraId="625CA3AC">
            <w:pPr>
              <w:spacing w:before="68" w:line="228" w:lineRule="auto"/>
              <w:ind w:left="27"/>
              <w:rPr>
                <w:rFonts w:ascii="宋体" w:hAnsi="宋体" w:eastAsia="宋体" w:cs="宋体"/>
                <w:sz w:val="20"/>
                <w:szCs w:val="20"/>
              </w:rPr>
            </w:pPr>
            <w:r>
              <w:rPr>
                <w:rFonts w:ascii="宋体" w:hAnsi="宋体" w:eastAsia="宋体" w:cs="宋体"/>
                <w:spacing w:val="4"/>
                <w:sz w:val="20"/>
                <w:szCs w:val="20"/>
              </w:rPr>
              <w:t>连寨</w:t>
            </w:r>
          </w:p>
          <w:p w14:paraId="6CC31B8E">
            <w:pPr>
              <w:spacing w:before="64" w:line="227" w:lineRule="auto"/>
              <w:ind w:left="133"/>
              <w:rPr>
                <w:rFonts w:ascii="宋体" w:hAnsi="宋体" w:eastAsia="宋体" w:cs="宋体"/>
                <w:sz w:val="20"/>
                <w:szCs w:val="20"/>
              </w:rPr>
            </w:pPr>
            <w:r>
              <w:rPr>
                <w:rFonts w:ascii="宋体" w:hAnsi="宋体" w:eastAsia="宋体" w:cs="宋体"/>
                <w:sz w:val="20"/>
                <w:szCs w:val="20"/>
              </w:rPr>
              <w:t>村</w:t>
            </w:r>
          </w:p>
        </w:tc>
        <w:tc>
          <w:tcPr>
            <w:tcW w:w="1453" w:type="dxa"/>
            <w:tcBorders>
              <w:left w:val="single" w:color="000000" w:sz="4" w:space="0"/>
            </w:tcBorders>
            <w:vAlign w:val="top"/>
          </w:tcPr>
          <w:p w14:paraId="5B0ABE36">
            <w:pPr>
              <w:spacing w:before="98" w:line="194" w:lineRule="auto"/>
              <w:ind w:left="59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pH</w:t>
            </w:r>
          </w:p>
        </w:tc>
        <w:tc>
          <w:tcPr>
            <w:tcW w:w="1200" w:type="dxa"/>
            <w:tcBorders>
              <w:right w:val="single" w:color="000000" w:sz="4" w:space="0"/>
            </w:tcBorders>
            <w:vAlign w:val="top"/>
          </w:tcPr>
          <w:p w14:paraId="49B222AD">
            <w:pPr>
              <w:spacing w:before="59" w:line="228" w:lineRule="auto"/>
              <w:ind w:left="292"/>
              <w:rPr>
                <w:rFonts w:ascii="宋体" w:hAnsi="宋体" w:eastAsia="宋体" w:cs="宋体"/>
                <w:sz w:val="20"/>
                <w:szCs w:val="20"/>
              </w:rPr>
            </w:pPr>
            <w:r>
              <w:rPr>
                <w:rFonts w:ascii="宋体" w:hAnsi="宋体" w:eastAsia="宋体" w:cs="宋体"/>
                <w:spacing w:val="7"/>
                <w:sz w:val="20"/>
                <w:szCs w:val="20"/>
              </w:rPr>
              <w:t>无</w:t>
            </w:r>
            <w:r>
              <w:rPr>
                <w:rFonts w:ascii="宋体" w:hAnsi="宋体" w:eastAsia="宋体" w:cs="宋体"/>
                <w:spacing w:val="6"/>
                <w:sz w:val="20"/>
                <w:szCs w:val="20"/>
              </w:rPr>
              <w:t>量纲</w:t>
            </w:r>
          </w:p>
        </w:tc>
        <w:tc>
          <w:tcPr>
            <w:tcW w:w="1271" w:type="dxa"/>
            <w:tcBorders>
              <w:left w:val="single" w:color="000000" w:sz="4" w:space="0"/>
              <w:right w:val="single" w:color="000000" w:sz="4" w:space="0"/>
            </w:tcBorders>
            <w:vAlign w:val="top"/>
          </w:tcPr>
          <w:p w14:paraId="5F3736F1">
            <w:pPr>
              <w:spacing w:before="95" w:line="195" w:lineRule="auto"/>
              <w:ind w:left="23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 19-7.25</w:t>
            </w:r>
          </w:p>
        </w:tc>
        <w:tc>
          <w:tcPr>
            <w:tcW w:w="756" w:type="dxa"/>
            <w:tcBorders>
              <w:left w:val="single" w:color="000000" w:sz="4" w:space="0"/>
              <w:right w:val="single" w:color="000000" w:sz="4" w:space="0"/>
            </w:tcBorders>
            <w:vAlign w:val="top"/>
          </w:tcPr>
          <w:p w14:paraId="4A54321C">
            <w:pPr>
              <w:spacing w:before="95" w:line="195" w:lineRule="auto"/>
              <w:ind w:left="8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6</w:t>
            </w:r>
            <w:r>
              <w:rPr>
                <w:rFonts w:ascii="Times New Roman" w:hAnsi="Times New Roman" w:eastAsia="Times New Roman" w:cs="Times New Roman"/>
                <w:spacing w:val="3"/>
                <w:sz w:val="20"/>
                <w:szCs w:val="20"/>
              </w:rPr>
              <w:t>.5-8.5</w:t>
            </w:r>
          </w:p>
        </w:tc>
        <w:tc>
          <w:tcPr>
            <w:tcW w:w="1357" w:type="dxa"/>
            <w:tcBorders>
              <w:left w:val="single" w:color="000000" w:sz="4" w:space="0"/>
              <w:right w:val="single" w:color="000000" w:sz="4" w:space="0"/>
            </w:tcBorders>
            <w:vAlign w:val="top"/>
          </w:tcPr>
          <w:p w14:paraId="5AD9C33C">
            <w:pPr>
              <w:spacing w:before="95" w:line="195" w:lineRule="auto"/>
              <w:ind w:left="281"/>
              <w:rPr>
                <w:rFonts w:ascii="Times New Roman" w:hAnsi="Times New Roman" w:eastAsia="Times New Roman" w:cs="Times New Roman"/>
                <w:sz w:val="20"/>
                <w:szCs w:val="20"/>
              </w:rPr>
            </w:pPr>
            <w:r>
              <w:rPr>
                <w:rFonts w:ascii="Times New Roman" w:hAnsi="Times New Roman" w:eastAsia="Times New Roman" w:cs="Times New Roman"/>
                <w:spacing w:val="-12"/>
                <w:sz w:val="20"/>
                <w:szCs w:val="20"/>
              </w:rPr>
              <w:t>0</w:t>
            </w:r>
            <w:r>
              <w:rPr>
                <w:rFonts w:ascii="Times New Roman" w:hAnsi="Times New Roman" w:eastAsia="Times New Roman" w:cs="Times New Roman"/>
                <w:spacing w:val="-6"/>
                <w:sz w:val="20"/>
                <w:szCs w:val="20"/>
              </w:rPr>
              <w:t>. 13-0. 17</w:t>
            </w:r>
          </w:p>
        </w:tc>
        <w:tc>
          <w:tcPr>
            <w:tcW w:w="705" w:type="dxa"/>
            <w:tcBorders>
              <w:left w:val="single" w:color="000000" w:sz="4" w:space="0"/>
            </w:tcBorders>
            <w:vAlign w:val="top"/>
          </w:tcPr>
          <w:p w14:paraId="071E5583">
            <w:pPr>
              <w:spacing w:before="95"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0C78589C">
            <w:pPr>
              <w:spacing w:before="95"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6C50B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4850D50D">
            <w:pPr>
              <w:spacing w:before="94" w:line="195" w:lineRule="auto"/>
              <w:ind w:left="17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470" w:type="dxa"/>
            <w:vMerge w:val="continue"/>
            <w:tcBorders>
              <w:top w:val="nil"/>
              <w:left w:val="single" w:color="000000" w:sz="4" w:space="0"/>
              <w:bottom w:val="nil"/>
              <w:right w:val="single" w:color="000000" w:sz="4" w:space="0"/>
            </w:tcBorders>
            <w:vAlign w:val="top"/>
          </w:tcPr>
          <w:p w14:paraId="299E6CDD">
            <w:pPr>
              <w:rPr>
                <w:rFonts w:ascii="Arial"/>
                <w:sz w:val="21"/>
              </w:rPr>
            </w:pPr>
          </w:p>
        </w:tc>
        <w:tc>
          <w:tcPr>
            <w:tcW w:w="1453" w:type="dxa"/>
            <w:tcBorders>
              <w:left w:val="single" w:color="000000" w:sz="4" w:space="0"/>
            </w:tcBorders>
            <w:vAlign w:val="top"/>
          </w:tcPr>
          <w:p w14:paraId="01CEA572">
            <w:pPr>
              <w:spacing w:before="58" w:line="228" w:lineRule="auto"/>
              <w:ind w:left="415"/>
              <w:rPr>
                <w:rFonts w:ascii="宋体" w:hAnsi="宋体" w:eastAsia="宋体" w:cs="宋体"/>
                <w:sz w:val="20"/>
                <w:szCs w:val="20"/>
              </w:rPr>
            </w:pPr>
            <w:r>
              <w:rPr>
                <w:rFonts w:ascii="宋体" w:hAnsi="宋体" w:eastAsia="宋体" w:cs="宋体"/>
                <w:spacing w:val="7"/>
                <w:sz w:val="20"/>
                <w:szCs w:val="20"/>
              </w:rPr>
              <w:t>浑</w:t>
            </w:r>
            <w:r>
              <w:rPr>
                <w:rFonts w:ascii="宋体" w:hAnsi="宋体" w:eastAsia="宋体" w:cs="宋体"/>
                <w:spacing w:val="6"/>
                <w:sz w:val="20"/>
                <w:szCs w:val="20"/>
              </w:rPr>
              <w:t>浊度</w:t>
            </w:r>
          </w:p>
        </w:tc>
        <w:tc>
          <w:tcPr>
            <w:tcW w:w="1200" w:type="dxa"/>
            <w:tcBorders>
              <w:right w:val="single" w:color="000000" w:sz="4" w:space="0"/>
            </w:tcBorders>
            <w:vAlign w:val="top"/>
          </w:tcPr>
          <w:p w14:paraId="6E0A9762">
            <w:pPr>
              <w:spacing w:before="97" w:line="192" w:lineRule="auto"/>
              <w:ind w:left="380"/>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NT</w:t>
            </w:r>
            <w:r>
              <w:rPr>
                <w:rFonts w:ascii="Times New Roman" w:hAnsi="Times New Roman" w:eastAsia="Times New Roman" w:cs="Times New Roman"/>
                <w:spacing w:val="6"/>
                <w:sz w:val="20"/>
                <w:szCs w:val="20"/>
              </w:rPr>
              <w:t>U</w:t>
            </w:r>
          </w:p>
        </w:tc>
        <w:tc>
          <w:tcPr>
            <w:tcW w:w="1271" w:type="dxa"/>
            <w:tcBorders>
              <w:left w:val="single" w:color="000000" w:sz="4" w:space="0"/>
              <w:right w:val="single" w:color="000000" w:sz="4" w:space="0"/>
            </w:tcBorders>
            <w:vAlign w:val="top"/>
          </w:tcPr>
          <w:p w14:paraId="035EB459">
            <w:pPr>
              <w:spacing w:before="94" w:line="198" w:lineRule="auto"/>
              <w:ind w:left="50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w:t>
            </w:r>
            <w:r>
              <w:rPr>
                <w:rFonts w:ascii="Times New Roman" w:hAnsi="Times New Roman" w:eastAsia="Times New Roman" w:cs="Times New Roman"/>
                <w:spacing w:val="3"/>
                <w:sz w:val="20"/>
                <w:szCs w:val="20"/>
              </w:rPr>
              <w:t>0</w:t>
            </w:r>
          </w:p>
        </w:tc>
        <w:tc>
          <w:tcPr>
            <w:tcW w:w="756" w:type="dxa"/>
            <w:tcBorders>
              <w:left w:val="single" w:color="000000" w:sz="4" w:space="0"/>
              <w:right w:val="single" w:color="000000" w:sz="4" w:space="0"/>
            </w:tcBorders>
            <w:vAlign w:val="top"/>
          </w:tcPr>
          <w:p w14:paraId="20208007">
            <w:pPr>
              <w:spacing w:before="94" w:line="195" w:lineRule="auto"/>
              <w:ind w:left="330"/>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357" w:type="dxa"/>
            <w:tcBorders>
              <w:left w:val="single" w:color="000000" w:sz="4" w:space="0"/>
              <w:right w:val="single" w:color="000000" w:sz="4" w:space="0"/>
            </w:tcBorders>
            <w:vAlign w:val="top"/>
          </w:tcPr>
          <w:p w14:paraId="54FFE277">
            <w:pPr>
              <w:spacing w:before="95" w:line="195" w:lineRule="auto"/>
              <w:ind w:left="49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.67</w:t>
            </w:r>
          </w:p>
        </w:tc>
        <w:tc>
          <w:tcPr>
            <w:tcW w:w="705" w:type="dxa"/>
            <w:tcBorders>
              <w:left w:val="single" w:color="000000" w:sz="4" w:space="0"/>
            </w:tcBorders>
            <w:vAlign w:val="top"/>
          </w:tcPr>
          <w:p w14:paraId="69A7F10D">
            <w:pPr>
              <w:spacing w:before="94"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69B1A8DC">
            <w:pPr>
              <w:spacing w:before="94"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1D8A1B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55" w:type="dxa"/>
            <w:tcBorders>
              <w:left w:val="nil"/>
              <w:right w:val="single" w:color="000000" w:sz="4" w:space="0"/>
            </w:tcBorders>
            <w:vAlign w:val="top"/>
          </w:tcPr>
          <w:p w14:paraId="7438D9EE">
            <w:pPr>
              <w:spacing w:before="94" w:line="195" w:lineRule="auto"/>
              <w:ind w:left="182"/>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470" w:type="dxa"/>
            <w:vMerge w:val="continue"/>
            <w:tcBorders>
              <w:top w:val="nil"/>
              <w:left w:val="single" w:color="000000" w:sz="4" w:space="0"/>
              <w:bottom w:val="nil"/>
              <w:right w:val="single" w:color="000000" w:sz="4" w:space="0"/>
            </w:tcBorders>
            <w:vAlign w:val="top"/>
          </w:tcPr>
          <w:p w14:paraId="32B46798">
            <w:pPr>
              <w:rPr>
                <w:rFonts w:ascii="Arial"/>
                <w:sz w:val="21"/>
              </w:rPr>
            </w:pPr>
          </w:p>
        </w:tc>
        <w:tc>
          <w:tcPr>
            <w:tcW w:w="1453" w:type="dxa"/>
            <w:tcBorders>
              <w:left w:val="single" w:color="000000" w:sz="4" w:space="0"/>
            </w:tcBorders>
            <w:vAlign w:val="top"/>
          </w:tcPr>
          <w:p w14:paraId="0C1CD331">
            <w:pPr>
              <w:spacing w:before="58" w:line="227" w:lineRule="auto"/>
              <w:ind w:left="414"/>
              <w:rPr>
                <w:rFonts w:ascii="宋体" w:hAnsi="宋体" w:eastAsia="宋体" w:cs="宋体"/>
                <w:sz w:val="20"/>
                <w:szCs w:val="20"/>
              </w:rPr>
            </w:pPr>
            <w:r>
              <w:rPr>
                <w:rFonts w:ascii="宋体" w:hAnsi="宋体" w:eastAsia="宋体" w:cs="宋体"/>
                <w:spacing w:val="7"/>
                <w:sz w:val="20"/>
                <w:szCs w:val="20"/>
              </w:rPr>
              <w:t>耗</w:t>
            </w:r>
            <w:r>
              <w:rPr>
                <w:rFonts w:ascii="宋体" w:hAnsi="宋体" w:eastAsia="宋体" w:cs="宋体"/>
                <w:spacing w:val="6"/>
                <w:sz w:val="20"/>
                <w:szCs w:val="20"/>
              </w:rPr>
              <w:t>氧量</w:t>
            </w:r>
          </w:p>
        </w:tc>
        <w:tc>
          <w:tcPr>
            <w:tcW w:w="1200" w:type="dxa"/>
            <w:tcBorders>
              <w:right w:val="single" w:color="000000" w:sz="4" w:space="0"/>
            </w:tcBorders>
            <w:vAlign w:val="top"/>
          </w:tcPr>
          <w:p w14:paraId="0D4C7A72">
            <w:pPr>
              <w:spacing w:before="20"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09A0B9E6">
            <w:pPr>
              <w:spacing w:before="94" w:line="195" w:lineRule="auto"/>
              <w:ind w:left="25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 17- 1.2</w:t>
            </w:r>
            <w:r>
              <w:rPr>
                <w:rFonts w:ascii="Times New Roman" w:hAnsi="Times New Roman" w:eastAsia="Times New Roman" w:cs="Times New Roman"/>
                <w:spacing w:val="-6"/>
                <w:sz w:val="20"/>
                <w:szCs w:val="20"/>
              </w:rPr>
              <w:t>1</w:t>
            </w:r>
          </w:p>
        </w:tc>
        <w:tc>
          <w:tcPr>
            <w:tcW w:w="756" w:type="dxa"/>
            <w:tcBorders>
              <w:left w:val="single" w:color="000000" w:sz="4" w:space="0"/>
              <w:right w:val="single" w:color="000000" w:sz="4" w:space="0"/>
            </w:tcBorders>
            <w:vAlign w:val="top"/>
          </w:tcPr>
          <w:p w14:paraId="4FEB1F50">
            <w:pPr>
              <w:spacing w:before="94" w:line="195" w:lineRule="auto"/>
              <w:ind w:left="25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.0</w:t>
            </w:r>
          </w:p>
        </w:tc>
        <w:tc>
          <w:tcPr>
            <w:tcW w:w="1357" w:type="dxa"/>
            <w:tcBorders>
              <w:left w:val="single" w:color="000000" w:sz="4" w:space="0"/>
              <w:right w:val="single" w:color="000000" w:sz="4" w:space="0"/>
            </w:tcBorders>
            <w:vAlign w:val="top"/>
          </w:tcPr>
          <w:p w14:paraId="538CE4E7">
            <w:pPr>
              <w:spacing w:before="94" w:line="195" w:lineRule="auto"/>
              <w:ind w:left="28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.39-0.40</w:t>
            </w:r>
          </w:p>
        </w:tc>
        <w:tc>
          <w:tcPr>
            <w:tcW w:w="705" w:type="dxa"/>
            <w:tcBorders>
              <w:left w:val="single" w:color="000000" w:sz="4" w:space="0"/>
            </w:tcBorders>
            <w:vAlign w:val="top"/>
          </w:tcPr>
          <w:p w14:paraId="7830EF0A">
            <w:pPr>
              <w:spacing w:before="94"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483AD3E3">
            <w:pPr>
              <w:spacing w:before="94"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71EB5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7BF2FB0A">
            <w:pPr>
              <w:spacing w:before="94" w:line="195" w:lineRule="auto"/>
              <w:ind w:left="17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470" w:type="dxa"/>
            <w:vMerge w:val="continue"/>
            <w:tcBorders>
              <w:top w:val="nil"/>
              <w:left w:val="single" w:color="000000" w:sz="4" w:space="0"/>
              <w:bottom w:val="nil"/>
              <w:right w:val="single" w:color="000000" w:sz="4" w:space="0"/>
            </w:tcBorders>
            <w:vAlign w:val="top"/>
          </w:tcPr>
          <w:p w14:paraId="66D1D178">
            <w:pPr>
              <w:rPr>
                <w:rFonts w:ascii="Arial"/>
                <w:sz w:val="21"/>
              </w:rPr>
            </w:pPr>
          </w:p>
        </w:tc>
        <w:tc>
          <w:tcPr>
            <w:tcW w:w="1453" w:type="dxa"/>
            <w:tcBorders>
              <w:left w:val="single" w:color="000000" w:sz="4" w:space="0"/>
            </w:tcBorders>
            <w:vAlign w:val="top"/>
          </w:tcPr>
          <w:p w14:paraId="0DAC051D">
            <w:pPr>
              <w:spacing w:before="58" w:line="227" w:lineRule="auto"/>
              <w:ind w:left="519"/>
              <w:rPr>
                <w:rFonts w:ascii="宋体" w:hAnsi="宋体" w:eastAsia="宋体" w:cs="宋体"/>
                <w:sz w:val="20"/>
                <w:szCs w:val="20"/>
              </w:rPr>
            </w:pPr>
            <w:r>
              <w:rPr>
                <w:rFonts w:ascii="宋体" w:hAnsi="宋体" w:eastAsia="宋体" w:cs="宋体"/>
                <w:spacing w:val="5"/>
                <w:sz w:val="20"/>
                <w:szCs w:val="20"/>
              </w:rPr>
              <w:t>氨</w:t>
            </w:r>
            <w:r>
              <w:rPr>
                <w:rFonts w:ascii="宋体" w:hAnsi="宋体" w:eastAsia="宋体" w:cs="宋体"/>
                <w:spacing w:val="4"/>
                <w:sz w:val="20"/>
                <w:szCs w:val="20"/>
              </w:rPr>
              <w:t>氮</w:t>
            </w:r>
          </w:p>
        </w:tc>
        <w:tc>
          <w:tcPr>
            <w:tcW w:w="1200" w:type="dxa"/>
            <w:tcBorders>
              <w:right w:val="single" w:color="000000" w:sz="4" w:space="0"/>
            </w:tcBorders>
            <w:vAlign w:val="top"/>
          </w:tcPr>
          <w:p w14:paraId="1DC662D4">
            <w:pPr>
              <w:spacing w:before="21"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293BFE5C">
            <w:pPr>
              <w:spacing w:before="94" w:line="195" w:lineRule="auto"/>
              <w:ind w:left="237"/>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73-0.75</w:t>
            </w:r>
          </w:p>
        </w:tc>
        <w:tc>
          <w:tcPr>
            <w:tcW w:w="756" w:type="dxa"/>
            <w:tcBorders>
              <w:left w:val="single" w:color="000000" w:sz="4" w:space="0"/>
              <w:right w:val="single" w:color="000000" w:sz="4" w:space="0"/>
            </w:tcBorders>
            <w:vAlign w:val="top"/>
          </w:tcPr>
          <w:p w14:paraId="541E67FA">
            <w:pPr>
              <w:spacing w:before="94" w:line="195" w:lineRule="auto"/>
              <w:ind w:left="25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.5</w:t>
            </w:r>
          </w:p>
        </w:tc>
        <w:tc>
          <w:tcPr>
            <w:tcW w:w="1357" w:type="dxa"/>
            <w:tcBorders>
              <w:left w:val="single" w:color="000000" w:sz="4" w:space="0"/>
              <w:right w:val="single" w:color="000000" w:sz="4" w:space="0"/>
            </w:tcBorders>
            <w:vAlign w:val="top"/>
          </w:tcPr>
          <w:p w14:paraId="0B767D35">
            <w:pPr>
              <w:spacing w:before="94" w:line="198" w:lineRule="auto"/>
              <w:ind w:left="34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1.46- 1.5</w:t>
            </w:r>
          </w:p>
        </w:tc>
        <w:tc>
          <w:tcPr>
            <w:tcW w:w="705" w:type="dxa"/>
            <w:tcBorders>
              <w:left w:val="single" w:color="000000" w:sz="4" w:space="0"/>
            </w:tcBorders>
            <w:vAlign w:val="top"/>
          </w:tcPr>
          <w:p w14:paraId="64CF50A6">
            <w:pPr>
              <w:spacing w:before="94" w:line="195" w:lineRule="auto"/>
              <w:ind w:left="21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100</w:t>
            </w:r>
          </w:p>
        </w:tc>
        <w:tc>
          <w:tcPr>
            <w:tcW w:w="684" w:type="dxa"/>
            <w:tcBorders>
              <w:right w:val="nil"/>
            </w:tcBorders>
            <w:vAlign w:val="top"/>
          </w:tcPr>
          <w:p w14:paraId="36E1E80F">
            <w:pPr>
              <w:spacing w:before="94" w:line="195" w:lineRule="auto"/>
              <w:ind w:left="21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.5</w:t>
            </w:r>
          </w:p>
        </w:tc>
      </w:tr>
      <w:tr w14:paraId="003FA9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490D1330">
            <w:pPr>
              <w:spacing w:before="99" w:line="192" w:lineRule="auto"/>
              <w:ind w:left="184"/>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470" w:type="dxa"/>
            <w:vMerge w:val="continue"/>
            <w:tcBorders>
              <w:top w:val="nil"/>
              <w:left w:val="single" w:color="000000" w:sz="4" w:space="0"/>
              <w:bottom w:val="nil"/>
              <w:right w:val="single" w:color="000000" w:sz="4" w:space="0"/>
            </w:tcBorders>
            <w:vAlign w:val="top"/>
          </w:tcPr>
          <w:p w14:paraId="45B8E2F2">
            <w:pPr>
              <w:rPr>
                <w:rFonts w:ascii="Arial"/>
                <w:sz w:val="21"/>
              </w:rPr>
            </w:pPr>
          </w:p>
        </w:tc>
        <w:tc>
          <w:tcPr>
            <w:tcW w:w="1453" w:type="dxa"/>
            <w:tcBorders>
              <w:left w:val="single" w:color="000000" w:sz="4" w:space="0"/>
            </w:tcBorders>
            <w:vAlign w:val="top"/>
          </w:tcPr>
          <w:p w14:paraId="354B97B0">
            <w:pPr>
              <w:spacing w:before="60" w:line="228" w:lineRule="auto"/>
              <w:ind w:left="419"/>
              <w:rPr>
                <w:rFonts w:ascii="宋体" w:hAnsi="宋体" w:eastAsia="宋体" w:cs="宋体"/>
                <w:sz w:val="20"/>
                <w:szCs w:val="20"/>
              </w:rPr>
            </w:pPr>
            <w:r>
              <w:rPr>
                <w:rFonts w:ascii="宋体" w:hAnsi="宋体" w:eastAsia="宋体" w:cs="宋体"/>
                <w:spacing w:val="5"/>
                <w:sz w:val="20"/>
                <w:szCs w:val="20"/>
              </w:rPr>
              <w:t>总硬度</w:t>
            </w:r>
          </w:p>
        </w:tc>
        <w:tc>
          <w:tcPr>
            <w:tcW w:w="1200" w:type="dxa"/>
            <w:tcBorders>
              <w:right w:val="single" w:color="000000" w:sz="4" w:space="0"/>
            </w:tcBorders>
            <w:vAlign w:val="top"/>
          </w:tcPr>
          <w:p w14:paraId="6762FFD8">
            <w:pPr>
              <w:spacing w:before="22"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2983B5B6">
            <w:pPr>
              <w:spacing w:before="96" w:line="195" w:lineRule="auto"/>
              <w:ind w:left="12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457.</w:t>
            </w:r>
            <w:r>
              <w:rPr>
                <w:rFonts w:ascii="Times New Roman" w:hAnsi="Times New Roman" w:eastAsia="Times New Roman" w:cs="Times New Roman"/>
                <w:spacing w:val="-2"/>
                <w:sz w:val="20"/>
                <w:szCs w:val="20"/>
              </w:rPr>
              <w:t xml:space="preserve"> 1-462. 1</w:t>
            </w:r>
          </w:p>
        </w:tc>
        <w:tc>
          <w:tcPr>
            <w:tcW w:w="756" w:type="dxa"/>
            <w:tcBorders>
              <w:left w:val="single" w:color="000000" w:sz="4" w:space="0"/>
              <w:right w:val="single" w:color="000000" w:sz="4" w:space="0"/>
            </w:tcBorders>
            <w:vAlign w:val="top"/>
          </w:tcPr>
          <w:p w14:paraId="1EAE4835">
            <w:pPr>
              <w:spacing w:before="96" w:line="195" w:lineRule="auto"/>
              <w:ind w:left="21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450</w:t>
            </w:r>
          </w:p>
        </w:tc>
        <w:tc>
          <w:tcPr>
            <w:tcW w:w="1357" w:type="dxa"/>
            <w:tcBorders>
              <w:left w:val="single" w:color="000000" w:sz="4" w:space="0"/>
              <w:right w:val="single" w:color="000000" w:sz="4" w:space="0"/>
            </w:tcBorders>
            <w:vAlign w:val="top"/>
          </w:tcPr>
          <w:p w14:paraId="4280F39D">
            <w:pPr>
              <w:spacing w:before="96" w:line="198" w:lineRule="auto"/>
              <w:ind w:left="29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1.02- 1.0</w:t>
            </w:r>
            <w:r>
              <w:rPr>
                <w:rFonts w:ascii="Times New Roman" w:hAnsi="Times New Roman" w:eastAsia="Times New Roman" w:cs="Times New Roman"/>
                <w:spacing w:val="-3"/>
                <w:sz w:val="20"/>
                <w:szCs w:val="20"/>
              </w:rPr>
              <w:t>3</w:t>
            </w:r>
          </w:p>
        </w:tc>
        <w:tc>
          <w:tcPr>
            <w:tcW w:w="705" w:type="dxa"/>
            <w:tcBorders>
              <w:left w:val="single" w:color="000000" w:sz="4" w:space="0"/>
            </w:tcBorders>
            <w:vAlign w:val="top"/>
          </w:tcPr>
          <w:p w14:paraId="479939C6">
            <w:pPr>
              <w:spacing w:before="96" w:line="195" w:lineRule="auto"/>
              <w:ind w:left="21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100</w:t>
            </w:r>
          </w:p>
        </w:tc>
        <w:tc>
          <w:tcPr>
            <w:tcW w:w="684" w:type="dxa"/>
            <w:tcBorders>
              <w:right w:val="nil"/>
            </w:tcBorders>
            <w:vAlign w:val="top"/>
          </w:tcPr>
          <w:p w14:paraId="69E8FCD2">
            <w:pPr>
              <w:spacing w:before="96" w:line="195" w:lineRule="auto"/>
              <w:ind w:left="16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.03</w:t>
            </w:r>
          </w:p>
        </w:tc>
      </w:tr>
      <w:tr w14:paraId="7BEE69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7CA7F46F">
            <w:pPr>
              <w:spacing w:before="95" w:line="195" w:lineRule="auto"/>
              <w:ind w:left="183"/>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470" w:type="dxa"/>
            <w:vMerge w:val="continue"/>
            <w:tcBorders>
              <w:top w:val="nil"/>
              <w:left w:val="single" w:color="000000" w:sz="4" w:space="0"/>
              <w:bottom w:val="nil"/>
              <w:right w:val="single" w:color="000000" w:sz="4" w:space="0"/>
            </w:tcBorders>
            <w:vAlign w:val="top"/>
          </w:tcPr>
          <w:p w14:paraId="0A040AE4">
            <w:pPr>
              <w:rPr>
                <w:rFonts w:ascii="Arial"/>
                <w:sz w:val="21"/>
              </w:rPr>
            </w:pPr>
          </w:p>
        </w:tc>
        <w:tc>
          <w:tcPr>
            <w:tcW w:w="1453" w:type="dxa"/>
            <w:tcBorders>
              <w:left w:val="single" w:color="000000" w:sz="4" w:space="0"/>
            </w:tcBorders>
            <w:vAlign w:val="top"/>
          </w:tcPr>
          <w:p w14:paraId="66B944ED">
            <w:pPr>
              <w:spacing w:before="59" w:line="229" w:lineRule="auto"/>
              <w:ind w:left="413"/>
              <w:rPr>
                <w:rFonts w:ascii="宋体" w:hAnsi="宋体" w:eastAsia="宋体" w:cs="宋体"/>
                <w:sz w:val="20"/>
                <w:szCs w:val="20"/>
              </w:rPr>
            </w:pPr>
            <w:r>
              <w:rPr>
                <w:rFonts w:ascii="宋体" w:hAnsi="宋体" w:eastAsia="宋体" w:cs="宋体"/>
                <w:spacing w:val="7"/>
                <w:sz w:val="20"/>
                <w:szCs w:val="20"/>
              </w:rPr>
              <w:t>硫酸盐</w:t>
            </w:r>
          </w:p>
        </w:tc>
        <w:tc>
          <w:tcPr>
            <w:tcW w:w="1200" w:type="dxa"/>
            <w:tcBorders>
              <w:right w:val="single" w:color="000000" w:sz="4" w:space="0"/>
            </w:tcBorders>
            <w:vAlign w:val="top"/>
          </w:tcPr>
          <w:p w14:paraId="5FC61D2C">
            <w:pPr>
              <w:spacing w:before="22"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30E18CB0">
            <w:pPr>
              <w:spacing w:before="96" w:line="195" w:lineRule="auto"/>
              <w:ind w:left="4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16</w:t>
            </w:r>
            <w:r>
              <w:rPr>
                <w:rFonts w:ascii="Times New Roman" w:hAnsi="Times New Roman" w:eastAsia="Times New Roman" w:cs="Times New Roman"/>
                <w:spacing w:val="-1"/>
                <w:sz w:val="20"/>
                <w:szCs w:val="20"/>
              </w:rPr>
              <w:t>4.06- 168.38</w:t>
            </w:r>
          </w:p>
        </w:tc>
        <w:tc>
          <w:tcPr>
            <w:tcW w:w="756" w:type="dxa"/>
            <w:tcBorders>
              <w:left w:val="single" w:color="000000" w:sz="4" w:space="0"/>
              <w:right w:val="single" w:color="000000" w:sz="4" w:space="0"/>
            </w:tcBorders>
            <w:vAlign w:val="top"/>
          </w:tcPr>
          <w:p w14:paraId="3A0DA62C">
            <w:pPr>
              <w:spacing w:before="95" w:line="195" w:lineRule="auto"/>
              <w:ind w:left="220"/>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50</w:t>
            </w:r>
          </w:p>
        </w:tc>
        <w:tc>
          <w:tcPr>
            <w:tcW w:w="1357" w:type="dxa"/>
            <w:tcBorders>
              <w:left w:val="single" w:color="000000" w:sz="4" w:space="0"/>
              <w:right w:val="single" w:color="000000" w:sz="4" w:space="0"/>
            </w:tcBorders>
            <w:vAlign w:val="top"/>
          </w:tcPr>
          <w:p w14:paraId="61D8272C">
            <w:pPr>
              <w:spacing w:before="96" w:line="195" w:lineRule="auto"/>
              <w:ind w:left="28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.66-0.67</w:t>
            </w:r>
          </w:p>
        </w:tc>
        <w:tc>
          <w:tcPr>
            <w:tcW w:w="705" w:type="dxa"/>
            <w:tcBorders>
              <w:left w:val="single" w:color="000000" w:sz="4" w:space="0"/>
            </w:tcBorders>
            <w:vAlign w:val="top"/>
          </w:tcPr>
          <w:p w14:paraId="069D1AF6">
            <w:pPr>
              <w:spacing w:before="95"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1D1BFDA2">
            <w:pPr>
              <w:spacing w:before="95"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72CDA0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30228BAC">
            <w:pPr>
              <w:spacing w:before="98" w:line="192" w:lineRule="auto"/>
              <w:ind w:left="181"/>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470" w:type="dxa"/>
            <w:vMerge w:val="continue"/>
            <w:tcBorders>
              <w:top w:val="nil"/>
              <w:left w:val="single" w:color="000000" w:sz="4" w:space="0"/>
              <w:bottom w:val="nil"/>
              <w:right w:val="single" w:color="000000" w:sz="4" w:space="0"/>
            </w:tcBorders>
            <w:vAlign w:val="top"/>
          </w:tcPr>
          <w:p w14:paraId="1CA679A6">
            <w:pPr>
              <w:rPr>
                <w:rFonts w:ascii="Arial"/>
                <w:sz w:val="21"/>
              </w:rPr>
            </w:pPr>
          </w:p>
        </w:tc>
        <w:tc>
          <w:tcPr>
            <w:tcW w:w="1453" w:type="dxa"/>
            <w:tcBorders>
              <w:left w:val="single" w:color="000000" w:sz="4" w:space="0"/>
            </w:tcBorders>
            <w:vAlign w:val="top"/>
          </w:tcPr>
          <w:p w14:paraId="28F80BBF">
            <w:pPr>
              <w:spacing w:before="59" w:line="229" w:lineRule="auto"/>
              <w:ind w:left="310"/>
              <w:rPr>
                <w:rFonts w:ascii="宋体" w:hAnsi="宋体" w:eastAsia="宋体" w:cs="宋体"/>
                <w:sz w:val="20"/>
                <w:szCs w:val="20"/>
              </w:rPr>
            </w:pPr>
            <w:r>
              <w:rPr>
                <w:rFonts w:ascii="宋体" w:hAnsi="宋体" w:eastAsia="宋体" w:cs="宋体"/>
                <w:spacing w:val="7"/>
                <w:sz w:val="20"/>
                <w:szCs w:val="20"/>
              </w:rPr>
              <w:t>亚硝酸</w:t>
            </w:r>
            <w:r>
              <w:rPr>
                <w:rFonts w:ascii="宋体" w:hAnsi="宋体" w:eastAsia="宋体" w:cs="宋体"/>
                <w:spacing w:val="6"/>
                <w:sz w:val="20"/>
                <w:szCs w:val="20"/>
              </w:rPr>
              <w:t>盐</w:t>
            </w:r>
          </w:p>
        </w:tc>
        <w:tc>
          <w:tcPr>
            <w:tcW w:w="1200" w:type="dxa"/>
            <w:tcBorders>
              <w:right w:val="single" w:color="000000" w:sz="4" w:space="0"/>
            </w:tcBorders>
            <w:vAlign w:val="top"/>
          </w:tcPr>
          <w:p w14:paraId="0075E7E3">
            <w:pPr>
              <w:spacing w:before="21"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0BFC349C">
            <w:pPr>
              <w:spacing w:before="95" w:line="195" w:lineRule="auto"/>
              <w:ind w:left="13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0.006-0.00</w:t>
            </w:r>
            <w:r>
              <w:rPr>
                <w:rFonts w:ascii="Times New Roman" w:hAnsi="Times New Roman" w:eastAsia="Times New Roman" w:cs="Times New Roman"/>
                <w:spacing w:val="2"/>
                <w:sz w:val="20"/>
                <w:szCs w:val="20"/>
              </w:rPr>
              <w:t>7</w:t>
            </w:r>
          </w:p>
        </w:tc>
        <w:tc>
          <w:tcPr>
            <w:tcW w:w="756" w:type="dxa"/>
            <w:tcBorders>
              <w:left w:val="single" w:color="000000" w:sz="4" w:space="0"/>
              <w:right w:val="single" w:color="000000" w:sz="4" w:space="0"/>
            </w:tcBorders>
            <w:vAlign w:val="top"/>
          </w:tcPr>
          <w:p w14:paraId="5FA1B626">
            <w:pPr>
              <w:spacing w:before="95" w:line="198" w:lineRule="auto"/>
              <w:ind w:left="2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00</w:t>
            </w:r>
          </w:p>
        </w:tc>
        <w:tc>
          <w:tcPr>
            <w:tcW w:w="1357" w:type="dxa"/>
            <w:tcBorders>
              <w:left w:val="single" w:color="000000" w:sz="4" w:space="0"/>
              <w:right w:val="single" w:color="000000" w:sz="4" w:space="0"/>
            </w:tcBorders>
            <w:vAlign w:val="top"/>
          </w:tcPr>
          <w:p w14:paraId="51606E2F">
            <w:pPr>
              <w:spacing w:before="95" w:line="195" w:lineRule="auto"/>
              <w:ind w:left="17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3"/>
                <w:sz w:val="20"/>
                <w:szCs w:val="20"/>
              </w:rPr>
              <w:t>006-0.007</w:t>
            </w:r>
          </w:p>
        </w:tc>
        <w:tc>
          <w:tcPr>
            <w:tcW w:w="705" w:type="dxa"/>
            <w:tcBorders>
              <w:left w:val="single" w:color="000000" w:sz="4" w:space="0"/>
            </w:tcBorders>
            <w:vAlign w:val="top"/>
          </w:tcPr>
          <w:p w14:paraId="0D9551CC">
            <w:pPr>
              <w:spacing w:before="95"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718B8C43">
            <w:pPr>
              <w:spacing w:before="95"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05D33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5C47BA6C">
            <w:pPr>
              <w:spacing w:before="94" w:line="195" w:lineRule="auto"/>
              <w:ind w:left="186"/>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470" w:type="dxa"/>
            <w:vMerge w:val="continue"/>
            <w:tcBorders>
              <w:top w:val="nil"/>
              <w:left w:val="single" w:color="000000" w:sz="4" w:space="0"/>
              <w:bottom w:val="nil"/>
              <w:right w:val="single" w:color="000000" w:sz="4" w:space="0"/>
            </w:tcBorders>
            <w:vAlign w:val="top"/>
          </w:tcPr>
          <w:p w14:paraId="453145F5">
            <w:pPr>
              <w:rPr>
                <w:rFonts w:ascii="Arial"/>
                <w:sz w:val="21"/>
              </w:rPr>
            </w:pPr>
          </w:p>
        </w:tc>
        <w:tc>
          <w:tcPr>
            <w:tcW w:w="1453" w:type="dxa"/>
            <w:tcBorders>
              <w:left w:val="single" w:color="000000" w:sz="4" w:space="0"/>
            </w:tcBorders>
            <w:vAlign w:val="top"/>
          </w:tcPr>
          <w:p w14:paraId="2321AAA4">
            <w:pPr>
              <w:spacing w:before="58" w:line="229" w:lineRule="auto"/>
              <w:ind w:left="417"/>
              <w:rPr>
                <w:rFonts w:ascii="宋体" w:hAnsi="宋体" w:eastAsia="宋体" w:cs="宋体"/>
                <w:sz w:val="20"/>
                <w:szCs w:val="20"/>
              </w:rPr>
            </w:pPr>
            <w:r>
              <w:rPr>
                <w:rFonts w:ascii="宋体" w:hAnsi="宋体" w:eastAsia="宋体" w:cs="宋体"/>
                <w:spacing w:val="6"/>
                <w:sz w:val="20"/>
                <w:szCs w:val="20"/>
              </w:rPr>
              <w:t>氯化</w:t>
            </w:r>
            <w:r>
              <w:rPr>
                <w:rFonts w:ascii="宋体" w:hAnsi="宋体" w:eastAsia="宋体" w:cs="宋体"/>
                <w:spacing w:val="5"/>
                <w:sz w:val="20"/>
                <w:szCs w:val="20"/>
              </w:rPr>
              <w:t>物</w:t>
            </w:r>
          </w:p>
        </w:tc>
        <w:tc>
          <w:tcPr>
            <w:tcW w:w="1200" w:type="dxa"/>
            <w:tcBorders>
              <w:right w:val="single" w:color="000000" w:sz="4" w:space="0"/>
            </w:tcBorders>
            <w:vAlign w:val="top"/>
          </w:tcPr>
          <w:p w14:paraId="64AB054B">
            <w:pPr>
              <w:spacing w:before="21"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743FE370">
            <w:pPr>
              <w:spacing w:before="94" w:line="195" w:lineRule="auto"/>
              <w:ind w:left="14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8.94- 19.51</w:t>
            </w:r>
          </w:p>
        </w:tc>
        <w:tc>
          <w:tcPr>
            <w:tcW w:w="756" w:type="dxa"/>
            <w:tcBorders>
              <w:left w:val="single" w:color="000000" w:sz="4" w:space="0"/>
              <w:right w:val="single" w:color="000000" w:sz="4" w:space="0"/>
            </w:tcBorders>
            <w:vAlign w:val="top"/>
          </w:tcPr>
          <w:p w14:paraId="097D700F">
            <w:pPr>
              <w:spacing w:before="94" w:line="195" w:lineRule="auto"/>
              <w:ind w:left="220"/>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50</w:t>
            </w:r>
          </w:p>
        </w:tc>
        <w:tc>
          <w:tcPr>
            <w:tcW w:w="1357" w:type="dxa"/>
            <w:tcBorders>
              <w:left w:val="single" w:color="000000" w:sz="4" w:space="0"/>
              <w:right w:val="single" w:color="000000" w:sz="4" w:space="0"/>
            </w:tcBorders>
            <w:vAlign w:val="top"/>
          </w:tcPr>
          <w:p w14:paraId="7108B425">
            <w:pPr>
              <w:spacing w:before="94" w:line="195" w:lineRule="auto"/>
              <w:ind w:left="17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3"/>
                <w:sz w:val="20"/>
                <w:szCs w:val="20"/>
              </w:rPr>
              <w:t>076-0.078</w:t>
            </w:r>
          </w:p>
        </w:tc>
        <w:tc>
          <w:tcPr>
            <w:tcW w:w="705" w:type="dxa"/>
            <w:tcBorders>
              <w:left w:val="single" w:color="000000" w:sz="4" w:space="0"/>
            </w:tcBorders>
            <w:vAlign w:val="top"/>
          </w:tcPr>
          <w:p w14:paraId="594265B1">
            <w:pPr>
              <w:spacing w:before="94"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3225EC16">
            <w:pPr>
              <w:spacing w:before="94"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9430D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75A549C4">
            <w:pPr>
              <w:spacing w:before="96" w:line="195" w:lineRule="auto"/>
              <w:ind w:left="182"/>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470" w:type="dxa"/>
            <w:vMerge w:val="continue"/>
            <w:tcBorders>
              <w:top w:val="nil"/>
              <w:left w:val="single" w:color="000000" w:sz="4" w:space="0"/>
              <w:bottom w:val="nil"/>
              <w:right w:val="single" w:color="000000" w:sz="4" w:space="0"/>
            </w:tcBorders>
            <w:vAlign w:val="top"/>
          </w:tcPr>
          <w:p w14:paraId="255B2826">
            <w:pPr>
              <w:rPr>
                <w:rFonts w:ascii="Arial"/>
                <w:sz w:val="21"/>
              </w:rPr>
            </w:pPr>
          </w:p>
        </w:tc>
        <w:tc>
          <w:tcPr>
            <w:tcW w:w="1453" w:type="dxa"/>
            <w:tcBorders>
              <w:left w:val="single" w:color="000000" w:sz="4" w:space="0"/>
            </w:tcBorders>
            <w:vAlign w:val="top"/>
          </w:tcPr>
          <w:p w14:paraId="38F8CCAC">
            <w:pPr>
              <w:spacing w:before="60" w:line="228" w:lineRule="auto"/>
              <w:ind w:left="625"/>
              <w:rPr>
                <w:rFonts w:ascii="宋体" w:hAnsi="宋体" w:eastAsia="宋体" w:cs="宋体"/>
                <w:sz w:val="20"/>
                <w:szCs w:val="20"/>
              </w:rPr>
            </w:pPr>
            <w:r>
              <w:rPr>
                <w:rFonts w:ascii="宋体" w:hAnsi="宋体" w:eastAsia="宋体" w:cs="宋体"/>
                <w:sz w:val="20"/>
                <w:szCs w:val="20"/>
              </w:rPr>
              <w:t>钾</w:t>
            </w:r>
          </w:p>
        </w:tc>
        <w:tc>
          <w:tcPr>
            <w:tcW w:w="1200" w:type="dxa"/>
            <w:tcBorders>
              <w:right w:val="single" w:color="000000" w:sz="4" w:space="0"/>
            </w:tcBorders>
            <w:vAlign w:val="top"/>
          </w:tcPr>
          <w:p w14:paraId="1D9AC593">
            <w:pPr>
              <w:spacing w:before="22"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6533EA48">
            <w:pPr>
              <w:spacing w:before="96" w:line="195" w:lineRule="auto"/>
              <w:ind w:left="237"/>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7</w:t>
            </w:r>
            <w:r>
              <w:rPr>
                <w:rFonts w:ascii="Times New Roman" w:hAnsi="Times New Roman" w:eastAsia="Times New Roman" w:cs="Times New Roman"/>
                <w:spacing w:val="3"/>
                <w:sz w:val="20"/>
                <w:szCs w:val="20"/>
              </w:rPr>
              <w:t>.93-8.04</w:t>
            </w:r>
          </w:p>
        </w:tc>
        <w:tc>
          <w:tcPr>
            <w:tcW w:w="756" w:type="dxa"/>
            <w:tcBorders>
              <w:left w:val="single" w:color="000000" w:sz="4" w:space="0"/>
              <w:right w:val="single" w:color="000000" w:sz="4" w:space="0"/>
            </w:tcBorders>
            <w:vAlign w:val="top"/>
          </w:tcPr>
          <w:p w14:paraId="3CB34C7F">
            <w:pPr>
              <w:spacing w:before="22" w:line="281" w:lineRule="exact"/>
              <w:ind w:left="3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357" w:type="dxa"/>
            <w:tcBorders>
              <w:left w:val="single" w:color="000000" w:sz="4" w:space="0"/>
              <w:right w:val="single" w:color="000000" w:sz="4" w:space="0"/>
            </w:tcBorders>
            <w:vAlign w:val="top"/>
          </w:tcPr>
          <w:p w14:paraId="02BD1CD9">
            <w:pPr>
              <w:spacing w:before="22" w:line="281" w:lineRule="exact"/>
              <w:ind w:left="6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669FF4F8">
            <w:pPr>
              <w:spacing w:before="22" w:line="281" w:lineRule="exact"/>
              <w:ind w:left="31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684" w:type="dxa"/>
            <w:tcBorders>
              <w:right w:val="nil"/>
            </w:tcBorders>
            <w:vAlign w:val="top"/>
          </w:tcPr>
          <w:p w14:paraId="25420732">
            <w:pPr>
              <w:spacing w:before="22" w:line="281" w:lineRule="exact"/>
              <w:ind w:left="31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5FA04C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1D41ECB3">
            <w:pPr>
              <w:spacing w:before="95" w:line="195" w:lineRule="auto"/>
              <w:ind w:left="14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470" w:type="dxa"/>
            <w:vMerge w:val="continue"/>
            <w:tcBorders>
              <w:top w:val="nil"/>
              <w:left w:val="single" w:color="000000" w:sz="4" w:space="0"/>
              <w:bottom w:val="nil"/>
              <w:right w:val="single" w:color="000000" w:sz="4" w:space="0"/>
            </w:tcBorders>
            <w:vAlign w:val="top"/>
          </w:tcPr>
          <w:p w14:paraId="4E60516F">
            <w:pPr>
              <w:rPr>
                <w:rFonts w:ascii="Arial"/>
                <w:sz w:val="21"/>
              </w:rPr>
            </w:pPr>
          </w:p>
        </w:tc>
        <w:tc>
          <w:tcPr>
            <w:tcW w:w="1453" w:type="dxa"/>
            <w:tcBorders>
              <w:left w:val="single" w:color="000000" w:sz="4" w:space="0"/>
            </w:tcBorders>
            <w:vAlign w:val="top"/>
          </w:tcPr>
          <w:p w14:paraId="3C454AD6">
            <w:pPr>
              <w:spacing w:before="59" w:line="230" w:lineRule="auto"/>
              <w:ind w:left="624"/>
              <w:rPr>
                <w:rFonts w:ascii="宋体" w:hAnsi="宋体" w:eastAsia="宋体" w:cs="宋体"/>
                <w:sz w:val="20"/>
                <w:szCs w:val="20"/>
              </w:rPr>
            </w:pPr>
            <w:r>
              <w:rPr>
                <w:rFonts w:ascii="宋体" w:hAnsi="宋体" w:eastAsia="宋体" w:cs="宋体"/>
                <w:spacing w:val="1"/>
                <w:sz w:val="20"/>
                <w:szCs w:val="20"/>
              </w:rPr>
              <w:t>钙</w:t>
            </w:r>
          </w:p>
        </w:tc>
        <w:tc>
          <w:tcPr>
            <w:tcW w:w="1200" w:type="dxa"/>
            <w:tcBorders>
              <w:right w:val="single" w:color="000000" w:sz="4" w:space="0"/>
            </w:tcBorders>
            <w:vAlign w:val="top"/>
          </w:tcPr>
          <w:p w14:paraId="52CF6156">
            <w:pPr>
              <w:spacing w:before="22"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03F461A3">
            <w:pPr>
              <w:spacing w:before="95" w:line="195" w:lineRule="auto"/>
              <w:ind w:left="4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13</w:t>
            </w:r>
            <w:r>
              <w:rPr>
                <w:rFonts w:ascii="Times New Roman" w:hAnsi="Times New Roman" w:eastAsia="Times New Roman" w:cs="Times New Roman"/>
                <w:spacing w:val="-1"/>
                <w:sz w:val="20"/>
                <w:szCs w:val="20"/>
              </w:rPr>
              <w:t>7.38- 138.34</w:t>
            </w:r>
          </w:p>
        </w:tc>
        <w:tc>
          <w:tcPr>
            <w:tcW w:w="756" w:type="dxa"/>
            <w:tcBorders>
              <w:left w:val="single" w:color="000000" w:sz="4" w:space="0"/>
              <w:right w:val="single" w:color="000000" w:sz="4" w:space="0"/>
            </w:tcBorders>
            <w:vAlign w:val="top"/>
          </w:tcPr>
          <w:p w14:paraId="4F1EE62A">
            <w:pPr>
              <w:spacing w:before="95" w:line="195" w:lineRule="auto"/>
              <w:ind w:left="220"/>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00</w:t>
            </w:r>
          </w:p>
        </w:tc>
        <w:tc>
          <w:tcPr>
            <w:tcW w:w="1357" w:type="dxa"/>
            <w:tcBorders>
              <w:left w:val="single" w:color="000000" w:sz="4" w:space="0"/>
              <w:right w:val="single" w:color="000000" w:sz="4" w:space="0"/>
            </w:tcBorders>
            <w:vAlign w:val="top"/>
          </w:tcPr>
          <w:p w14:paraId="0CFBA5B8">
            <w:pPr>
              <w:spacing w:before="96" w:line="195" w:lineRule="auto"/>
              <w:ind w:left="28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.68-0.69</w:t>
            </w:r>
          </w:p>
        </w:tc>
        <w:tc>
          <w:tcPr>
            <w:tcW w:w="705" w:type="dxa"/>
            <w:tcBorders>
              <w:left w:val="single" w:color="000000" w:sz="4" w:space="0"/>
            </w:tcBorders>
            <w:vAlign w:val="top"/>
          </w:tcPr>
          <w:p w14:paraId="37B46DFC">
            <w:pPr>
              <w:spacing w:before="95"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37C35312">
            <w:pPr>
              <w:spacing w:before="95"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15FD89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3E152A50">
            <w:pPr>
              <w:spacing w:before="95" w:line="195" w:lineRule="auto"/>
              <w:ind w:left="150"/>
              <w:rPr>
                <w:rFonts w:ascii="Times New Roman" w:hAnsi="Times New Roman" w:eastAsia="Times New Roman" w:cs="Times New Roman"/>
                <w:sz w:val="20"/>
                <w:szCs w:val="20"/>
              </w:rPr>
            </w:pPr>
            <w:r>
              <w:rPr>
                <w:rFonts w:ascii="Times New Roman" w:hAnsi="Times New Roman" w:eastAsia="Times New Roman" w:cs="Times New Roman"/>
                <w:spacing w:val="-11"/>
                <w:sz w:val="20"/>
                <w:szCs w:val="20"/>
              </w:rPr>
              <w:t>1</w:t>
            </w:r>
            <w:r>
              <w:rPr>
                <w:rFonts w:ascii="Times New Roman" w:hAnsi="Times New Roman" w:eastAsia="Times New Roman" w:cs="Times New Roman"/>
                <w:spacing w:val="-9"/>
                <w:sz w:val="20"/>
                <w:szCs w:val="20"/>
              </w:rPr>
              <w:t>1</w:t>
            </w:r>
          </w:p>
        </w:tc>
        <w:tc>
          <w:tcPr>
            <w:tcW w:w="470" w:type="dxa"/>
            <w:vMerge w:val="continue"/>
            <w:tcBorders>
              <w:top w:val="nil"/>
              <w:left w:val="single" w:color="000000" w:sz="4" w:space="0"/>
              <w:bottom w:val="nil"/>
              <w:right w:val="single" w:color="000000" w:sz="4" w:space="0"/>
            </w:tcBorders>
            <w:vAlign w:val="top"/>
          </w:tcPr>
          <w:p w14:paraId="67033B6D">
            <w:pPr>
              <w:rPr>
                <w:rFonts w:ascii="Arial"/>
                <w:sz w:val="21"/>
              </w:rPr>
            </w:pPr>
          </w:p>
        </w:tc>
        <w:tc>
          <w:tcPr>
            <w:tcW w:w="1453" w:type="dxa"/>
            <w:tcBorders>
              <w:left w:val="single" w:color="000000" w:sz="4" w:space="0"/>
            </w:tcBorders>
            <w:vAlign w:val="top"/>
          </w:tcPr>
          <w:p w14:paraId="7C863EBA">
            <w:pPr>
              <w:spacing w:before="59" w:line="229" w:lineRule="auto"/>
              <w:ind w:left="624"/>
              <w:rPr>
                <w:rFonts w:ascii="宋体" w:hAnsi="宋体" w:eastAsia="宋体" w:cs="宋体"/>
                <w:sz w:val="20"/>
                <w:szCs w:val="20"/>
              </w:rPr>
            </w:pPr>
            <w:r>
              <w:rPr>
                <w:rFonts w:ascii="宋体" w:hAnsi="宋体" w:eastAsia="宋体" w:cs="宋体"/>
                <w:spacing w:val="1"/>
                <w:sz w:val="20"/>
                <w:szCs w:val="20"/>
              </w:rPr>
              <w:t>钠</w:t>
            </w:r>
          </w:p>
        </w:tc>
        <w:tc>
          <w:tcPr>
            <w:tcW w:w="1200" w:type="dxa"/>
            <w:tcBorders>
              <w:right w:val="single" w:color="000000" w:sz="4" w:space="0"/>
            </w:tcBorders>
            <w:vAlign w:val="top"/>
          </w:tcPr>
          <w:p w14:paraId="08E9B1EA">
            <w:pPr>
              <w:spacing w:before="21"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1D527464">
            <w:pPr>
              <w:spacing w:before="95" w:line="195" w:lineRule="auto"/>
              <w:ind w:left="128"/>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4"/>
                <w:sz w:val="20"/>
                <w:szCs w:val="20"/>
              </w:rPr>
              <w:t>3.84-24.32</w:t>
            </w:r>
          </w:p>
        </w:tc>
        <w:tc>
          <w:tcPr>
            <w:tcW w:w="756" w:type="dxa"/>
            <w:tcBorders>
              <w:left w:val="single" w:color="000000" w:sz="4" w:space="0"/>
              <w:right w:val="single" w:color="000000" w:sz="4" w:space="0"/>
            </w:tcBorders>
            <w:vAlign w:val="top"/>
          </w:tcPr>
          <w:p w14:paraId="6497D889">
            <w:pPr>
              <w:spacing w:before="21" w:line="281" w:lineRule="exact"/>
              <w:ind w:left="3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357" w:type="dxa"/>
            <w:tcBorders>
              <w:left w:val="single" w:color="000000" w:sz="4" w:space="0"/>
              <w:right w:val="single" w:color="000000" w:sz="4" w:space="0"/>
            </w:tcBorders>
            <w:vAlign w:val="top"/>
          </w:tcPr>
          <w:p w14:paraId="7D5432D2">
            <w:pPr>
              <w:spacing w:before="21" w:line="281" w:lineRule="exact"/>
              <w:ind w:left="6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36055A8D">
            <w:pPr>
              <w:spacing w:before="21" w:line="281" w:lineRule="exact"/>
              <w:ind w:left="31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684" w:type="dxa"/>
            <w:tcBorders>
              <w:right w:val="nil"/>
            </w:tcBorders>
            <w:vAlign w:val="top"/>
          </w:tcPr>
          <w:p w14:paraId="3312369A">
            <w:pPr>
              <w:spacing w:before="21" w:line="281" w:lineRule="exact"/>
              <w:ind w:left="31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3D3E79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55" w:type="dxa"/>
            <w:tcBorders>
              <w:left w:val="nil"/>
              <w:right w:val="single" w:color="000000" w:sz="4" w:space="0"/>
            </w:tcBorders>
            <w:vAlign w:val="top"/>
          </w:tcPr>
          <w:p w14:paraId="0E50DA78">
            <w:pPr>
              <w:spacing w:before="94" w:line="195" w:lineRule="auto"/>
              <w:ind w:left="14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2</w:t>
            </w:r>
          </w:p>
        </w:tc>
        <w:tc>
          <w:tcPr>
            <w:tcW w:w="470" w:type="dxa"/>
            <w:vMerge w:val="continue"/>
            <w:tcBorders>
              <w:top w:val="nil"/>
              <w:left w:val="single" w:color="000000" w:sz="4" w:space="0"/>
              <w:bottom w:val="nil"/>
              <w:right w:val="single" w:color="000000" w:sz="4" w:space="0"/>
            </w:tcBorders>
            <w:vAlign w:val="top"/>
          </w:tcPr>
          <w:p w14:paraId="681C694F">
            <w:pPr>
              <w:rPr>
                <w:rFonts w:ascii="Arial"/>
                <w:sz w:val="21"/>
              </w:rPr>
            </w:pPr>
          </w:p>
        </w:tc>
        <w:tc>
          <w:tcPr>
            <w:tcW w:w="1453" w:type="dxa"/>
            <w:tcBorders>
              <w:left w:val="single" w:color="000000" w:sz="4" w:space="0"/>
            </w:tcBorders>
            <w:vAlign w:val="top"/>
          </w:tcPr>
          <w:p w14:paraId="4BCBC4D5">
            <w:pPr>
              <w:spacing w:before="58" w:line="230" w:lineRule="auto"/>
              <w:ind w:left="624"/>
              <w:rPr>
                <w:rFonts w:ascii="宋体" w:hAnsi="宋体" w:eastAsia="宋体" w:cs="宋体"/>
                <w:sz w:val="20"/>
                <w:szCs w:val="20"/>
              </w:rPr>
            </w:pPr>
            <w:r>
              <w:rPr>
                <w:rFonts w:ascii="宋体" w:hAnsi="宋体" w:eastAsia="宋体" w:cs="宋体"/>
                <w:spacing w:val="1"/>
                <w:sz w:val="20"/>
                <w:szCs w:val="20"/>
              </w:rPr>
              <w:t>镁</w:t>
            </w:r>
          </w:p>
        </w:tc>
        <w:tc>
          <w:tcPr>
            <w:tcW w:w="1200" w:type="dxa"/>
            <w:tcBorders>
              <w:right w:val="single" w:color="000000" w:sz="4" w:space="0"/>
            </w:tcBorders>
            <w:vAlign w:val="top"/>
          </w:tcPr>
          <w:p w14:paraId="0C566AB8">
            <w:pPr>
              <w:spacing w:before="23"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79813C09">
            <w:pPr>
              <w:spacing w:before="94" w:line="195" w:lineRule="auto"/>
              <w:ind w:left="128"/>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4"/>
                <w:sz w:val="20"/>
                <w:szCs w:val="20"/>
              </w:rPr>
              <w:t>6.76-28.03</w:t>
            </w:r>
          </w:p>
        </w:tc>
        <w:tc>
          <w:tcPr>
            <w:tcW w:w="756" w:type="dxa"/>
            <w:tcBorders>
              <w:left w:val="single" w:color="000000" w:sz="4" w:space="0"/>
              <w:right w:val="single" w:color="000000" w:sz="4" w:space="0"/>
            </w:tcBorders>
            <w:vAlign w:val="top"/>
          </w:tcPr>
          <w:p w14:paraId="57A2C444">
            <w:pPr>
              <w:spacing w:before="21" w:line="281" w:lineRule="exact"/>
              <w:ind w:left="3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357" w:type="dxa"/>
            <w:tcBorders>
              <w:left w:val="single" w:color="000000" w:sz="4" w:space="0"/>
              <w:right w:val="single" w:color="000000" w:sz="4" w:space="0"/>
            </w:tcBorders>
            <w:vAlign w:val="top"/>
          </w:tcPr>
          <w:p w14:paraId="15BF1E76">
            <w:pPr>
              <w:spacing w:before="21" w:line="281" w:lineRule="exact"/>
              <w:ind w:left="6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2922BDA1">
            <w:pPr>
              <w:spacing w:before="21" w:line="281" w:lineRule="exact"/>
              <w:ind w:left="31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684" w:type="dxa"/>
            <w:tcBorders>
              <w:right w:val="nil"/>
            </w:tcBorders>
            <w:vAlign w:val="top"/>
          </w:tcPr>
          <w:p w14:paraId="4D1E0DA1">
            <w:pPr>
              <w:spacing w:before="21" w:line="281" w:lineRule="exact"/>
              <w:ind w:left="31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6B6751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455" w:type="dxa"/>
            <w:tcBorders>
              <w:left w:val="nil"/>
              <w:right w:val="single" w:color="000000" w:sz="4" w:space="0"/>
            </w:tcBorders>
            <w:vAlign w:val="top"/>
          </w:tcPr>
          <w:p w14:paraId="33499A18">
            <w:pPr>
              <w:spacing w:before="96" w:line="195" w:lineRule="auto"/>
              <w:ind w:left="14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3</w:t>
            </w:r>
          </w:p>
        </w:tc>
        <w:tc>
          <w:tcPr>
            <w:tcW w:w="470" w:type="dxa"/>
            <w:vMerge w:val="continue"/>
            <w:tcBorders>
              <w:top w:val="nil"/>
              <w:left w:val="single" w:color="000000" w:sz="4" w:space="0"/>
              <w:right w:val="single" w:color="000000" w:sz="4" w:space="0"/>
            </w:tcBorders>
            <w:vAlign w:val="top"/>
          </w:tcPr>
          <w:p w14:paraId="2AC83726">
            <w:pPr>
              <w:rPr>
                <w:rFonts w:ascii="Arial"/>
                <w:sz w:val="21"/>
              </w:rPr>
            </w:pPr>
          </w:p>
        </w:tc>
        <w:tc>
          <w:tcPr>
            <w:tcW w:w="1453" w:type="dxa"/>
            <w:tcBorders>
              <w:left w:val="single" w:color="000000" w:sz="4" w:space="0"/>
            </w:tcBorders>
            <w:vAlign w:val="top"/>
          </w:tcPr>
          <w:p w14:paraId="7C5FD99D">
            <w:pPr>
              <w:spacing w:before="60" w:line="228" w:lineRule="auto"/>
              <w:ind w:left="413"/>
              <w:rPr>
                <w:rFonts w:ascii="宋体" w:hAnsi="宋体" w:eastAsia="宋体" w:cs="宋体"/>
                <w:sz w:val="20"/>
                <w:szCs w:val="20"/>
              </w:rPr>
            </w:pPr>
            <w:r>
              <w:rPr>
                <w:rFonts w:ascii="宋体" w:hAnsi="宋体" w:eastAsia="宋体" w:cs="宋体"/>
                <w:spacing w:val="7"/>
                <w:sz w:val="20"/>
                <w:szCs w:val="20"/>
              </w:rPr>
              <w:t>碳酸</w:t>
            </w:r>
            <w:r>
              <w:rPr>
                <w:rFonts w:ascii="宋体" w:hAnsi="宋体" w:eastAsia="宋体" w:cs="宋体"/>
                <w:spacing w:val="6"/>
                <w:sz w:val="20"/>
                <w:szCs w:val="20"/>
              </w:rPr>
              <w:t>根</w:t>
            </w:r>
          </w:p>
        </w:tc>
        <w:tc>
          <w:tcPr>
            <w:tcW w:w="1200" w:type="dxa"/>
            <w:tcBorders>
              <w:right w:val="single" w:color="000000" w:sz="4" w:space="0"/>
            </w:tcBorders>
            <w:vAlign w:val="top"/>
          </w:tcPr>
          <w:p w14:paraId="221C8ADF">
            <w:pPr>
              <w:spacing w:before="22"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60EA94D4">
            <w:pPr>
              <w:spacing w:before="60" w:line="228" w:lineRule="auto"/>
              <w:ind w:left="327"/>
              <w:rPr>
                <w:rFonts w:ascii="宋体" w:hAnsi="宋体" w:eastAsia="宋体" w:cs="宋体"/>
                <w:sz w:val="20"/>
                <w:szCs w:val="20"/>
              </w:rPr>
            </w:pPr>
            <w:r>
              <w:rPr>
                <w:rFonts w:ascii="宋体" w:hAnsi="宋体" w:eastAsia="宋体" w:cs="宋体"/>
                <w:spacing w:val="6"/>
                <w:sz w:val="20"/>
                <w:szCs w:val="20"/>
              </w:rPr>
              <w:t>未检</w:t>
            </w:r>
            <w:r>
              <w:rPr>
                <w:rFonts w:ascii="宋体" w:hAnsi="宋体" w:eastAsia="宋体" w:cs="宋体"/>
                <w:spacing w:val="5"/>
                <w:sz w:val="20"/>
                <w:szCs w:val="20"/>
              </w:rPr>
              <w:t>出</w:t>
            </w:r>
          </w:p>
        </w:tc>
        <w:tc>
          <w:tcPr>
            <w:tcW w:w="756" w:type="dxa"/>
            <w:tcBorders>
              <w:left w:val="single" w:color="000000" w:sz="4" w:space="0"/>
              <w:right w:val="single" w:color="000000" w:sz="4" w:space="0"/>
            </w:tcBorders>
            <w:vAlign w:val="top"/>
          </w:tcPr>
          <w:p w14:paraId="07AEE3EF">
            <w:pPr>
              <w:spacing w:before="22" w:line="281" w:lineRule="exact"/>
              <w:ind w:left="3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357" w:type="dxa"/>
            <w:tcBorders>
              <w:left w:val="single" w:color="000000" w:sz="4" w:space="0"/>
              <w:right w:val="single" w:color="000000" w:sz="4" w:space="0"/>
            </w:tcBorders>
            <w:vAlign w:val="top"/>
          </w:tcPr>
          <w:p w14:paraId="4B5CAB47">
            <w:pPr>
              <w:spacing w:before="22" w:line="281" w:lineRule="exact"/>
              <w:ind w:left="6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7E1C30D9">
            <w:pPr>
              <w:spacing w:before="22" w:line="281" w:lineRule="exact"/>
              <w:ind w:left="31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684" w:type="dxa"/>
            <w:tcBorders>
              <w:right w:val="nil"/>
            </w:tcBorders>
            <w:vAlign w:val="top"/>
          </w:tcPr>
          <w:p w14:paraId="41BF5569">
            <w:pPr>
              <w:spacing w:before="22" w:line="281" w:lineRule="exact"/>
              <w:ind w:left="31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bl>
    <w:p w14:paraId="2E116F03">
      <w:pPr>
        <w:rPr>
          <w:rFonts w:ascii="Arial"/>
          <w:sz w:val="21"/>
        </w:rPr>
      </w:pPr>
    </w:p>
    <w:p w14:paraId="7BA0AF67">
      <w:pPr>
        <w:sectPr>
          <w:headerReference r:id="rId173" w:type="default"/>
          <w:footerReference r:id="rId174" w:type="default"/>
          <w:pgSz w:w="11906" w:h="16839"/>
          <w:pgMar w:top="1132" w:right="1777" w:bottom="1182" w:left="1777" w:header="878" w:footer="1022" w:gutter="0"/>
          <w:cols w:space="720" w:num="1"/>
        </w:sectPr>
      </w:pPr>
    </w:p>
    <w:p w14:paraId="020E137C">
      <w:r>
        <w:pict>
          <v:shape id="_x0000_s1223" o:spid="_x0000_s1223" style="position:absolute;left:0pt;margin-left:90pt;margin-top:57.35pt;height:0.75pt;width:415.3pt;mso-position-horizontal-relative:page;mso-position-vertical-relative:page;z-index:251875328;mso-width-relative:page;mso-height-relative:page;" fillcolor="#000000" filled="t" stroked="f" coordsize="8305,15" o:allowincell="f" path="m0,0l8305,0,8305,14,0,14,0,0xe">
            <v:path/>
            <v:fill on="t" focussize="0,0"/>
            <v:stroke on="f"/>
            <v:imagedata o:title=""/>
            <o:lock v:ext="edit"/>
          </v:shape>
        </w:pict>
      </w:r>
    </w:p>
    <w:p w14:paraId="5A23B6B2">
      <w:pPr>
        <w:spacing w:line="65" w:lineRule="exact"/>
      </w:pPr>
    </w:p>
    <w:tbl>
      <w:tblPr>
        <w:tblStyle w:val="4"/>
        <w:tblW w:w="835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5"/>
        <w:gridCol w:w="470"/>
        <w:gridCol w:w="1453"/>
        <w:gridCol w:w="1200"/>
        <w:gridCol w:w="1271"/>
        <w:gridCol w:w="756"/>
        <w:gridCol w:w="1357"/>
        <w:gridCol w:w="705"/>
        <w:gridCol w:w="684"/>
      </w:tblGrid>
      <w:tr w14:paraId="4CE00F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55" w:type="dxa"/>
            <w:tcBorders>
              <w:left w:val="nil"/>
              <w:right w:val="single" w:color="000000" w:sz="4" w:space="0"/>
            </w:tcBorders>
            <w:vAlign w:val="top"/>
          </w:tcPr>
          <w:p w14:paraId="73874B25">
            <w:pPr>
              <w:spacing w:before="111" w:line="195" w:lineRule="auto"/>
              <w:ind w:left="14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4</w:t>
            </w:r>
          </w:p>
        </w:tc>
        <w:tc>
          <w:tcPr>
            <w:tcW w:w="470" w:type="dxa"/>
            <w:vMerge w:val="restart"/>
            <w:tcBorders>
              <w:left w:val="single" w:color="000000" w:sz="4" w:space="0"/>
              <w:bottom w:val="nil"/>
              <w:right w:val="single" w:color="000000" w:sz="4" w:space="0"/>
            </w:tcBorders>
            <w:vAlign w:val="top"/>
          </w:tcPr>
          <w:p w14:paraId="15C27D74">
            <w:pPr>
              <w:rPr>
                <w:rFonts w:ascii="Arial"/>
                <w:sz w:val="21"/>
              </w:rPr>
            </w:pPr>
          </w:p>
        </w:tc>
        <w:tc>
          <w:tcPr>
            <w:tcW w:w="1453" w:type="dxa"/>
            <w:tcBorders>
              <w:left w:val="single" w:color="000000" w:sz="4" w:space="0"/>
            </w:tcBorders>
            <w:vAlign w:val="top"/>
          </w:tcPr>
          <w:p w14:paraId="313083F6">
            <w:pPr>
              <w:spacing w:before="76" w:line="228" w:lineRule="auto"/>
              <w:ind w:left="308"/>
              <w:rPr>
                <w:rFonts w:ascii="宋体" w:hAnsi="宋体" w:eastAsia="宋体" w:cs="宋体"/>
                <w:sz w:val="20"/>
                <w:szCs w:val="20"/>
              </w:rPr>
            </w:pPr>
            <w:r>
              <w:rPr>
                <w:rFonts w:ascii="宋体" w:hAnsi="宋体" w:eastAsia="宋体" w:cs="宋体"/>
                <w:spacing w:val="8"/>
                <w:sz w:val="20"/>
                <w:szCs w:val="20"/>
              </w:rPr>
              <w:t>碳</w:t>
            </w:r>
            <w:r>
              <w:rPr>
                <w:rFonts w:ascii="宋体" w:hAnsi="宋体" w:eastAsia="宋体" w:cs="宋体"/>
                <w:spacing w:val="7"/>
                <w:sz w:val="20"/>
                <w:szCs w:val="20"/>
              </w:rPr>
              <w:t>酸氢根</w:t>
            </w:r>
          </w:p>
        </w:tc>
        <w:tc>
          <w:tcPr>
            <w:tcW w:w="1200" w:type="dxa"/>
            <w:tcBorders>
              <w:right w:val="single" w:color="000000" w:sz="4" w:space="0"/>
            </w:tcBorders>
            <w:vAlign w:val="top"/>
          </w:tcPr>
          <w:p w14:paraId="3F4790E9">
            <w:pPr>
              <w:spacing w:before="40"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776E99B4">
            <w:pPr>
              <w:spacing w:before="111" w:line="195" w:lineRule="auto"/>
              <w:ind w:left="238"/>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6</w:t>
            </w:r>
            <w:r>
              <w:rPr>
                <w:rFonts w:ascii="Times New Roman" w:hAnsi="Times New Roman" w:eastAsia="Times New Roman" w:cs="Times New Roman"/>
                <w:spacing w:val="4"/>
                <w:sz w:val="20"/>
                <w:szCs w:val="20"/>
              </w:rPr>
              <w:t>3.4-64.8</w:t>
            </w:r>
          </w:p>
        </w:tc>
        <w:tc>
          <w:tcPr>
            <w:tcW w:w="756" w:type="dxa"/>
            <w:tcBorders>
              <w:left w:val="single" w:color="000000" w:sz="4" w:space="0"/>
              <w:right w:val="single" w:color="000000" w:sz="4" w:space="0"/>
            </w:tcBorders>
            <w:vAlign w:val="top"/>
          </w:tcPr>
          <w:p w14:paraId="03B0F1D5">
            <w:pPr>
              <w:spacing w:before="38" w:line="281" w:lineRule="exact"/>
              <w:ind w:left="3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357" w:type="dxa"/>
            <w:tcBorders>
              <w:left w:val="single" w:color="000000" w:sz="4" w:space="0"/>
              <w:right w:val="single" w:color="000000" w:sz="4" w:space="0"/>
            </w:tcBorders>
            <w:vAlign w:val="top"/>
          </w:tcPr>
          <w:p w14:paraId="59C03609">
            <w:pPr>
              <w:spacing w:before="38" w:line="281" w:lineRule="exact"/>
              <w:ind w:left="6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3E08EBF8">
            <w:pPr>
              <w:spacing w:before="38" w:line="281" w:lineRule="exact"/>
              <w:ind w:left="31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684" w:type="dxa"/>
            <w:tcBorders>
              <w:right w:val="nil"/>
            </w:tcBorders>
            <w:vAlign w:val="top"/>
          </w:tcPr>
          <w:p w14:paraId="22FC6997">
            <w:pPr>
              <w:spacing w:before="38" w:line="281" w:lineRule="exact"/>
              <w:ind w:left="31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3893D0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55" w:type="dxa"/>
            <w:tcBorders>
              <w:left w:val="nil"/>
              <w:right w:val="single" w:color="000000" w:sz="4" w:space="0"/>
            </w:tcBorders>
            <w:vAlign w:val="top"/>
          </w:tcPr>
          <w:p w14:paraId="1015B2E4">
            <w:pPr>
              <w:spacing w:before="92" w:line="195" w:lineRule="auto"/>
              <w:ind w:left="14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c>
          <w:tcPr>
            <w:tcW w:w="470" w:type="dxa"/>
            <w:vMerge w:val="continue"/>
            <w:tcBorders>
              <w:top w:val="nil"/>
              <w:left w:val="single" w:color="000000" w:sz="4" w:space="0"/>
              <w:bottom w:val="nil"/>
              <w:right w:val="single" w:color="000000" w:sz="4" w:space="0"/>
            </w:tcBorders>
            <w:vAlign w:val="top"/>
          </w:tcPr>
          <w:p w14:paraId="2CA5F09A">
            <w:pPr>
              <w:rPr>
                <w:rFonts w:ascii="Arial"/>
                <w:sz w:val="21"/>
              </w:rPr>
            </w:pPr>
          </w:p>
        </w:tc>
        <w:tc>
          <w:tcPr>
            <w:tcW w:w="1453" w:type="dxa"/>
            <w:tcBorders>
              <w:left w:val="single" w:color="000000" w:sz="4" w:space="0"/>
            </w:tcBorders>
            <w:vAlign w:val="top"/>
          </w:tcPr>
          <w:p w14:paraId="6C465DE5">
            <w:pPr>
              <w:spacing w:before="56" w:line="228" w:lineRule="auto"/>
              <w:ind w:left="312"/>
              <w:rPr>
                <w:rFonts w:ascii="宋体" w:hAnsi="宋体" w:eastAsia="宋体" w:cs="宋体"/>
                <w:sz w:val="20"/>
                <w:szCs w:val="20"/>
              </w:rPr>
            </w:pPr>
            <w:r>
              <w:rPr>
                <w:rFonts w:ascii="宋体" w:hAnsi="宋体" w:eastAsia="宋体" w:cs="宋体"/>
                <w:spacing w:val="7"/>
                <w:sz w:val="20"/>
                <w:szCs w:val="20"/>
              </w:rPr>
              <w:t>菌</w:t>
            </w:r>
            <w:r>
              <w:rPr>
                <w:rFonts w:ascii="宋体" w:hAnsi="宋体" w:eastAsia="宋体" w:cs="宋体"/>
                <w:spacing w:val="6"/>
                <w:sz w:val="20"/>
                <w:szCs w:val="20"/>
              </w:rPr>
              <w:t>落总数</w:t>
            </w:r>
          </w:p>
        </w:tc>
        <w:tc>
          <w:tcPr>
            <w:tcW w:w="1200" w:type="dxa"/>
            <w:tcBorders>
              <w:right w:val="single" w:color="000000" w:sz="4" w:space="0"/>
            </w:tcBorders>
            <w:vAlign w:val="top"/>
          </w:tcPr>
          <w:p w14:paraId="1C003A45">
            <w:pPr>
              <w:spacing w:before="18" w:line="281" w:lineRule="exact"/>
              <w:ind w:left="22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CFU</w:t>
            </w:r>
            <w:r>
              <w:rPr>
                <w:rFonts w:ascii="Times New Roman" w:hAnsi="Times New Roman" w:eastAsia="Times New Roman" w:cs="Times New Roman"/>
                <w:spacing w:val="26"/>
                <w:position w:val="2"/>
                <w:sz w:val="20"/>
                <w:szCs w:val="20"/>
              </w:rPr>
              <w:t>/</w:t>
            </w:r>
            <w:r>
              <w:rPr>
                <w:rFonts w:ascii="Times New Roman" w:hAnsi="Times New Roman" w:eastAsia="Times New Roman" w:cs="Times New Roman"/>
                <w:position w:val="2"/>
                <w:sz w:val="20"/>
                <w:szCs w:val="20"/>
              </w:rPr>
              <w:t>mL</w:t>
            </w:r>
          </w:p>
        </w:tc>
        <w:tc>
          <w:tcPr>
            <w:tcW w:w="1271" w:type="dxa"/>
            <w:tcBorders>
              <w:left w:val="single" w:color="000000" w:sz="4" w:space="0"/>
              <w:right w:val="single" w:color="000000" w:sz="4" w:space="0"/>
            </w:tcBorders>
            <w:vAlign w:val="top"/>
          </w:tcPr>
          <w:p w14:paraId="69CE5436">
            <w:pPr>
              <w:spacing w:before="92" w:line="195" w:lineRule="auto"/>
              <w:ind w:left="39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3</w:t>
            </w:r>
            <w:r>
              <w:rPr>
                <w:rFonts w:ascii="Times New Roman" w:hAnsi="Times New Roman" w:eastAsia="Times New Roman" w:cs="Times New Roman"/>
                <w:spacing w:val="3"/>
                <w:sz w:val="20"/>
                <w:szCs w:val="20"/>
              </w:rPr>
              <w:t>4</w:t>
            </w:r>
            <w:r>
              <w:rPr>
                <w:rFonts w:ascii="Times New Roman" w:hAnsi="Times New Roman" w:eastAsia="Times New Roman" w:cs="Times New Roman"/>
                <w:spacing w:val="2"/>
                <w:sz w:val="20"/>
                <w:szCs w:val="20"/>
              </w:rPr>
              <w:t>-38</w:t>
            </w:r>
          </w:p>
        </w:tc>
        <w:tc>
          <w:tcPr>
            <w:tcW w:w="756" w:type="dxa"/>
            <w:tcBorders>
              <w:left w:val="single" w:color="000000" w:sz="4" w:space="0"/>
              <w:right w:val="single" w:color="000000" w:sz="4" w:space="0"/>
            </w:tcBorders>
            <w:vAlign w:val="top"/>
          </w:tcPr>
          <w:p w14:paraId="5F449EE5">
            <w:pPr>
              <w:spacing w:before="92"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100</w:t>
            </w:r>
          </w:p>
        </w:tc>
        <w:tc>
          <w:tcPr>
            <w:tcW w:w="1357" w:type="dxa"/>
            <w:tcBorders>
              <w:left w:val="single" w:color="000000" w:sz="4" w:space="0"/>
              <w:right w:val="single" w:color="000000" w:sz="4" w:space="0"/>
            </w:tcBorders>
            <w:vAlign w:val="top"/>
          </w:tcPr>
          <w:p w14:paraId="01DBA651">
            <w:pPr>
              <w:spacing w:before="92" w:line="195" w:lineRule="auto"/>
              <w:ind w:left="28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.34-0.38</w:t>
            </w:r>
          </w:p>
        </w:tc>
        <w:tc>
          <w:tcPr>
            <w:tcW w:w="705" w:type="dxa"/>
            <w:tcBorders>
              <w:left w:val="single" w:color="000000" w:sz="4" w:space="0"/>
            </w:tcBorders>
            <w:vAlign w:val="top"/>
          </w:tcPr>
          <w:p w14:paraId="21653C0D">
            <w:pPr>
              <w:spacing w:before="92"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6405BB4A">
            <w:pPr>
              <w:spacing w:before="92"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764E5A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455" w:type="dxa"/>
            <w:tcBorders>
              <w:left w:val="nil"/>
              <w:right w:val="single" w:color="000000" w:sz="4" w:space="0"/>
            </w:tcBorders>
            <w:vAlign w:val="top"/>
          </w:tcPr>
          <w:p w14:paraId="5574FA7E">
            <w:pPr>
              <w:spacing w:before="92" w:line="195" w:lineRule="auto"/>
              <w:ind w:left="14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6</w:t>
            </w:r>
          </w:p>
        </w:tc>
        <w:tc>
          <w:tcPr>
            <w:tcW w:w="470" w:type="dxa"/>
            <w:vMerge w:val="continue"/>
            <w:tcBorders>
              <w:top w:val="nil"/>
              <w:left w:val="single" w:color="000000" w:sz="4" w:space="0"/>
              <w:bottom w:val="nil"/>
              <w:right w:val="single" w:color="000000" w:sz="4" w:space="0"/>
            </w:tcBorders>
            <w:vAlign w:val="top"/>
          </w:tcPr>
          <w:p w14:paraId="0C752148">
            <w:pPr>
              <w:rPr>
                <w:rFonts w:ascii="Arial"/>
                <w:sz w:val="21"/>
              </w:rPr>
            </w:pPr>
          </w:p>
        </w:tc>
        <w:tc>
          <w:tcPr>
            <w:tcW w:w="1453" w:type="dxa"/>
            <w:tcBorders>
              <w:left w:val="single" w:color="000000" w:sz="4" w:space="0"/>
            </w:tcBorders>
            <w:vAlign w:val="top"/>
          </w:tcPr>
          <w:p w14:paraId="03580AFB">
            <w:pPr>
              <w:spacing w:before="56" w:line="228" w:lineRule="auto"/>
              <w:ind w:left="210"/>
              <w:rPr>
                <w:rFonts w:ascii="宋体" w:hAnsi="宋体" w:eastAsia="宋体" w:cs="宋体"/>
                <w:sz w:val="20"/>
                <w:szCs w:val="20"/>
              </w:rPr>
            </w:pPr>
            <w:r>
              <w:rPr>
                <w:rFonts w:ascii="宋体" w:hAnsi="宋体" w:eastAsia="宋体" w:cs="宋体"/>
                <w:spacing w:val="7"/>
                <w:sz w:val="20"/>
                <w:szCs w:val="20"/>
              </w:rPr>
              <w:t>总大肠菌群</w:t>
            </w:r>
          </w:p>
        </w:tc>
        <w:tc>
          <w:tcPr>
            <w:tcW w:w="1200" w:type="dxa"/>
            <w:tcBorders>
              <w:right w:val="single" w:color="000000" w:sz="4" w:space="0"/>
            </w:tcBorders>
            <w:vAlign w:val="top"/>
          </w:tcPr>
          <w:p w14:paraId="1CDEDB07">
            <w:pPr>
              <w:spacing w:before="19" w:line="281" w:lineRule="exact"/>
              <w:ind w:left="41"/>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MPN</w:t>
            </w:r>
            <w:r>
              <w:rPr>
                <w:rFonts w:ascii="Times New Roman" w:hAnsi="Times New Roman" w:eastAsia="Times New Roman" w:cs="Times New Roman"/>
                <w:spacing w:val="-1"/>
                <w:position w:val="2"/>
                <w:sz w:val="20"/>
                <w:szCs w:val="20"/>
              </w:rPr>
              <w:t xml:space="preserve">/ </w:t>
            </w:r>
            <w:r>
              <w:rPr>
                <w:rFonts w:ascii="Times New Roman" w:hAnsi="Times New Roman" w:eastAsia="Times New Roman" w:cs="Times New Roman"/>
                <w:position w:val="2"/>
                <w:sz w:val="20"/>
                <w:szCs w:val="20"/>
              </w:rPr>
              <w:t>100mL</w:t>
            </w:r>
          </w:p>
        </w:tc>
        <w:tc>
          <w:tcPr>
            <w:tcW w:w="1271" w:type="dxa"/>
            <w:tcBorders>
              <w:left w:val="single" w:color="000000" w:sz="4" w:space="0"/>
              <w:right w:val="single" w:color="000000" w:sz="4" w:space="0"/>
            </w:tcBorders>
            <w:vAlign w:val="top"/>
          </w:tcPr>
          <w:p w14:paraId="11E554CD">
            <w:pPr>
              <w:spacing w:before="56" w:line="228" w:lineRule="auto"/>
              <w:ind w:left="327"/>
              <w:rPr>
                <w:rFonts w:ascii="宋体" w:hAnsi="宋体" w:eastAsia="宋体" w:cs="宋体"/>
                <w:sz w:val="20"/>
                <w:szCs w:val="20"/>
              </w:rPr>
            </w:pPr>
            <w:r>
              <w:rPr>
                <w:rFonts w:ascii="宋体" w:hAnsi="宋体" w:eastAsia="宋体" w:cs="宋体"/>
                <w:spacing w:val="6"/>
                <w:sz w:val="20"/>
                <w:szCs w:val="20"/>
              </w:rPr>
              <w:t>未检</w:t>
            </w:r>
            <w:r>
              <w:rPr>
                <w:rFonts w:ascii="宋体" w:hAnsi="宋体" w:eastAsia="宋体" w:cs="宋体"/>
                <w:spacing w:val="5"/>
                <w:sz w:val="20"/>
                <w:szCs w:val="20"/>
              </w:rPr>
              <w:t>出</w:t>
            </w:r>
          </w:p>
        </w:tc>
        <w:tc>
          <w:tcPr>
            <w:tcW w:w="756" w:type="dxa"/>
            <w:tcBorders>
              <w:left w:val="single" w:color="000000" w:sz="4" w:space="0"/>
              <w:right w:val="single" w:color="000000" w:sz="4" w:space="0"/>
            </w:tcBorders>
            <w:vAlign w:val="top"/>
          </w:tcPr>
          <w:p w14:paraId="2C399D6B">
            <w:pPr>
              <w:spacing w:before="93" w:line="195" w:lineRule="auto"/>
              <w:ind w:left="25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.0</w:t>
            </w:r>
          </w:p>
        </w:tc>
        <w:tc>
          <w:tcPr>
            <w:tcW w:w="1357" w:type="dxa"/>
            <w:tcBorders>
              <w:left w:val="single" w:color="000000" w:sz="4" w:space="0"/>
              <w:right w:val="single" w:color="000000" w:sz="4" w:space="0"/>
            </w:tcBorders>
            <w:vAlign w:val="top"/>
          </w:tcPr>
          <w:p w14:paraId="7E442E2D">
            <w:pPr>
              <w:spacing w:before="19" w:line="281" w:lineRule="exact"/>
              <w:ind w:left="6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0654B9D5">
            <w:pPr>
              <w:spacing w:before="92"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6FB65B0D">
            <w:pPr>
              <w:spacing w:before="92"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DCC22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455" w:type="dxa"/>
            <w:tcBorders>
              <w:left w:val="nil"/>
              <w:right w:val="single" w:color="000000" w:sz="4" w:space="0"/>
            </w:tcBorders>
            <w:vAlign w:val="top"/>
          </w:tcPr>
          <w:p w14:paraId="73DDE9AA">
            <w:pPr>
              <w:spacing w:before="94" w:line="195" w:lineRule="auto"/>
              <w:ind w:left="14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7</w:t>
            </w:r>
          </w:p>
        </w:tc>
        <w:tc>
          <w:tcPr>
            <w:tcW w:w="470" w:type="dxa"/>
            <w:vMerge w:val="continue"/>
            <w:tcBorders>
              <w:top w:val="nil"/>
              <w:left w:val="single" w:color="000000" w:sz="4" w:space="0"/>
              <w:right w:val="single" w:color="000000" w:sz="4" w:space="0"/>
            </w:tcBorders>
            <w:vAlign w:val="top"/>
          </w:tcPr>
          <w:p w14:paraId="2C7CCB69">
            <w:pPr>
              <w:rPr>
                <w:rFonts w:ascii="Arial"/>
                <w:sz w:val="21"/>
              </w:rPr>
            </w:pPr>
          </w:p>
        </w:tc>
        <w:tc>
          <w:tcPr>
            <w:tcW w:w="1453" w:type="dxa"/>
            <w:tcBorders>
              <w:left w:val="single" w:color="000000" w:sz="4" w:space="0"/>
            </w:tcBorders>
            <w:vAlign w:val="top"/>
          </w:tcPr>
          <w:p w14:paraId="61ADAE80">
            <w:pPr>
              <w:spacing w:before="58" w:line="229" w:lineRule="auto"/>
              <w:ind w:left="415"/>
              <w:rPr>
                <w:rFonts w:ascii="宋体" w:hAnsi="宋体" w:eastAsia="宋体" w:cs="宋体"/>
                <w:sz w:val="20"/>
                <w:szCs w:val="20"/>
              </w:rPr>
            </w:pPr>
            <w:r>
              <w:rPr>
                <w:rFonts w:ascii="宋体" w:hAnsi="宋体" w:eastAsia="宋体" w:cs="宋体"/>
                <w:spacing w:val="7"/>
                <w:sz w:val="20"/>
                <w:szCs w:val="20"/>
              </w:rPr>
              <w:t>硝</w:t>
            </w:r>
            <w:r>
              <w:rPr>
                <w:rFonts w:ascii="宋体" w:hAnsi="宋体" w:eastAsia="宋体" w:cs="宋体"/>
                <w:spacing w:val="6"/>
                <w:sz w:val="20"/>
                <w:szCs w:val="20"/>
              </w:rPr>
              <w:t>酸盐</w:t>
            </w:r>
          </w:p>
        </w:tc>
        <w:tc>
          <w:tcPr>
            <w:tcW w:w="1200" w:type="dxa"/>
            <w:tcBorders>
              <w:right w:val="single" w:color="000000" w:sz="4" w:space="0"/>
            </w:tcBorders>
            <w:vAlign w:val="top"/>
          </w:tcPr>
          <w:p w14:paraId="69EF3A91">
            <w:pPr>
              <w:spacing w:before="20" w:line="281"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6"/>
                <w:position w:val="4"/>
                <w:sz w:val="20"/>
                <w:szCs w:val="20"/>
              </w:rPr>
              <w:t>/</w:t>
            </w:r>
            <w:r>
              <w:rPr>
                <w:rFonts w:ascii="Times New Roman" w:hAnsi="Times New Roman" w:eastAsia="Times New Roman" w:cs="Times New Roman"/>
                <w:position w:val="4"/>
                <w:sz w:val="20"/>
                <w:szCs w:val="20"/>
              </w:rPr>
              <w:t>L</w:t>
            </w:r>
          </w:p>
        </w:tc>
        <w:tc>
          <w:tcPr>
            <w:tcW w:w="1271" w:type="dxa"/>
            <w:tcBorders>
              <w:left w:val="single" w:color="000000" w:sz="4" w:space="0"/>
              <w:right w:val="single" w:color="000000" w:sz="4" w:space="0"/>
            </w:tcBorders>
            <w:vAlign w:val="top"/>
          </w:tcPr>
          <w:p w14:paraId="6D53121B">
            <w:pPr>
              <w:spacing w:before="94" w:line="195" w:lineRule="auto"/>
              <w:ind w:left="13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34</w:t>
            </w:r>
            <w:r>
              <w:rPr>
                <w:rFonts w:ascii="Times New Roman" w:hAnsi="Times New Roman" w:eastAsia="Times New Roman" w:cs="Times New Roman"/>
                <w:spacing w:val="5"/>
                <w:sz w:val="20"/>
                <w:szCs w:val="20"/>
              </w:rPr>
              <w:t>.</w:t>
            </w:r>
            <w:r>
              <w:rPr>
                <w:rFonts w:ascii="Times New Roman" w:hAnsi="Times New Roman" w:eastAsia="Times New Roman" w:cs="Times New Roman"/>
                <w:spacing w:val="3"/>
                <w:sz w:val="20"/>
                <w:szCs w:val="20"/>
              </w:rPr>
              <w:t>99-61.61</w:t>
            </w:r>
          </w:p>
        </w:tc>
        <w:tc>
          <w:tcPr>
            <w:tcW w:w="756" w:type="dxa"/>
            <w:tcBorders>
              <w:left w:val="single" w:color="000000" w:sz="4" w:space="0"/>
              <w:right w:val="single" w:color="000000" w:sz="4" w:space="0"/>
            </w:tcBorders>
            <w:vAlign w:val="top"/>
          </w:tcPr>
          <w:p w14:paraId="666329FB">
            <w:pPr>
              <w:spacing w:before="94" w:line="195"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4"/>
                <w:sz w:val="20"/>
                <w:szCs w:val="20"/>
              </w:rPr>
              <w:t>0.0</w:t>
            </w:r>
          </w:p>
        </w:tc>
        <w:tc>
          <w:tcPr>
            <w:tcW w:w="1357" w:type="dxa"/>
            <w:tcBorders>
              <w:left w:val="single" w:color="000000" w:sz="4" w:space="0"/>
              <w:right w:val="single" w:color="000000" w:sz="4" w:space="0"/>
            </w:tcBorders>
            <w:vAlign w:val="top"/>
          </w:tcPr>
          <w:p w14:paraId="2CC9F806">
            <w:pPr>
              <w:spacing w:before="94" w:line="198" w:lineRule="auto"/>
              <w:ind w:left="2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75-3.08</w:t>
            </w:r>
          </w:p>
        </w:tc>
        <w:tc>
          <w:tcPr>
            <w:tcW w:w="705" w:type="dxa"/>
            <w:tcBorders>
              <w:left w:val="single" w:color="000000" w:sz="4" w:space="0"/>
            </w:tcBorders>
            <w:vAlign w:val="top"/>
          </w:tcPr>
          <w:p w14:paraId="66366758">
            <w:pPr>
              <w:spacing w:before="94" w:line="195" w:lineRule="auto"/>
              <w:ind w:left="21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100</w:t>
            </w:r>
          </w:p>
        </w:tc>
        <w:tc>
          <w:tcPr>
            <w:tcW w:w="684" w:type="dxa"/>
            <w:tcBorders>
              <w:right w:val="nil"/>
            </w:tcBorders>
            <w:vAlign w:val="top"/>
          </w:tcPr>
          <w:p w14:paraId="3E7F9C16">
            <w:pPr>
              <w:spacing w:before="94" w:line="198" w:lineRule="auto"/>
              <w:ind w:left="160"/>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.08</w:t>
            </w:r>
          </w:p>
        </w:tc>
      </w:tr>
    </w:tbl>
    <w:p w14:paraId="2122A942">
      <w:pPr>
        <w:spacing w:line="262" w:lineRule="auto"/>
        <w:rPr>
          <w:rFonts w:ascii="Arial"/>
          <w:sz w:val="21"/>
        </w:rPr>
      </w:pPr>
    </w:p>
    <w:p w14:paraId="7455DF6F">
      <w:pPr>
        <w:spacing w:before="75" w:line="387" w:lineRule="auto"/>
        <w:ind w:left="33" w:right="192" w:firstLine="479"/>
        <w:rPr>
          <w:rFonts w:ascii="宋体" w:hAnsi="宋体" w:eastAsia="宋体" w:cs="宋体"/>
          <w:sz w:val="23"/>
          <w:szCs w:val="23"/>
        </w:rPr>
      </w:pPr>
      <w:r>
        <w:rPr>
          <w:rFonts w:ascii="宋体" w:hAnsi="宋体" w:eastAsia="宋体" w:cs="宋体"/>
          <w:spacing w:val="7"/>
          <w:sz w:val="23"/>
          <w:szCs w:val="23"/>
        </w:rPr>
        <w:t>根据区域地下水监测结果，评价区域内地下水化学类型多为碳酸氢钙型，</w:t>
      </w:r>
      <w:r>
        <w:rPr>
          <w:rFonts w:ascii="宋体" w:hAnsi="宋体" w:eastAsia="宋体" w:cs="宋体"/>
          <w:spacing w:val="3"/>
          <w:sz w:val="23"/>
          <w:szCs w:val="23"/>
        </w:rPr>
        <w:t>地</w:t>
      </w:r>
      <w:r>
        <w:rPr>
          <w:rFonts w:ascii="宋体" w:hAnsi="宋体" w:eastAsia="宋体" w:cs="宋体"/>
          <w:sz w:val="23"/>
          <w:szCs w:val="23"/>
        </w:rPr>
        <w:t xml:space="preserve"> </w:t>
      </w:r>
      <w:r>
        <w:rPr>
          <w:rFonts w:ascii="宋体" w:hAnsi="宋体" w:eastAsia="宋体" w:cs="宋体"/>
          <w:spacing w:val="8"/>
          <w:sz w:val="23"/>
          <w:szCs w:val="23"/>
        </w:rPr>
        <w:t>下</w:t>
      </w:r>
      <w:r>
        <w:rPr>
          <w:rFonts w:ascii="宋体" w:hAnsi="宋体" w:eastAsia="宋体" w:cs="宋体"/>
          <w:spacing w:val="7"/>
          <w:sz w:val="23"/>
          <w:szCs w:val="23"/>
        </w:rPr>
        <w:t>水中阴离子以碳酸氢根为主；阳离子以钙离子为主。由上表可知，评价区域内</w:t>
      </w:r>
      <w:r>
        <w:rPr>
          <w:rFonts w:ascii="宋体" w:hAnsi="宋体" w:eastAsia="宋体" w:cs="宋体"/>
          <w:sz w:val="23"/>
          <w:szCs w:val="23"/>
        </w:rPr>
        <w:t xml:space="preserve"> </w:t>
      </w:r>
      <w:r>
        <w:rPr>
          <w:rFonts w:ascii="宋体" w:hAnsi="宋体" w:eastAsia="宋体" w:cs="宋体"/>
          <w:spacing w:val="8"/>
          <w:sz w:val="23"/>
          <w:szCs w:val="23"/>
        </w:rPr>
        <w:t>各</w:t>
      </w:r>
      <w:r>
        <w:rPr>
          <w:rFonts w:ascii="宋体" w:hAnsi="宋体" w:eastAsia="宋体" w:cs="宋体"/>
          <w:spacing w:val="7"/>
          <w:sz w:val="23"/>
          <w:szCs w:val="23"/>
        </w:rPr>
        <w:t>点位地下水各项因子中，建设项目所在地的氨氮、硝酸盐因子；榆树底的硝酸</w:t>
      </w:r>
      <w:r>
        <w:rPr>
          <w:rFonts w:ascii="宋体" w:hAnsi="宋体" w:eastAsia="宋体" w:cs="宋体"/>
          <w:sz w:val="23"/>
          <w:szCs w:val="23"/>
        </w:rPr>
        <w:t xml:space="preserve"> </w:t>
      </w:r>
      <w:r>
        <w:rPr>
          <w:rFonts w:ascii="宋体" w:hAnsi="宋体" w:eastAsia="宋体" w:cs="宋体"/>
          <w:spacing w:val="8"/>
          <w:sz w:val="23"/>
          <w:szCs w:val="23"/>
        </w:rPr>
        <w:t>盐</w:t>
      </w:r>
      <w:r>
        <w:rPr>
          <w:rFonts w:ascii="宋体" w:hAnsi="宋体" w:eastAsia="宋体" w:cs="宋体"/>
          <w:spacing w:val="5"/>
          <w:sz w:val="23"/>
          <w:szCs w:val="23"/>
        </w:rPr>
        <w:t xml:space="preserve">因子；火连寨村的总硬度、氨氮、硝酸盐因子标准指数值均大于 </w:t>
      </w:r>
      <w:r>
        <w:rPr>
          <w:rFonts w:ascii="Times New Roman" w:hAnsi="Times New Roman" w:eastAsia="Times New Roman" w:cs="Times New Roman"/>
          <w:spacing w:val="5"/>
          <w:sz w:val="23"/>
          <w:szCs w:val="23"/>
        </w:rPr>
        <w:t xml:space="preserve">1 </w:t>
      </w:r>
      <w:r>
        <w:rPr>
          <w:rFonts w:ascii="宋体" w:hAnsi="宋体" w:eastAsia="宋体" w:cs="宋体"/>
          <w:spacing w:val="5"/>
          <w:sz w:val="23"/>
          <w:szCs w:val="23"/>
        </w:rPr>
        <w:t>，其中建设</w:t>
      </w:r>
      <w:r>
        <w:rPr>
          <w:rFonts w:ascii="宋体" w:hAnsi="宋体" w:eastAsia="宋体" w:cs="宋体"/>
          <w:sz w:val="23"/>
          <w:szCs w:val="23"/>
        </w:rPr>
        <w:t xml:space="preserve"> </w:t>
      </w:r>
      <w:r>
        <w:rPr>
          <w:rFonts w:ascii="宋体" w:hAnsi="宋体" w:eastAsia="宋体" w:cs="宋体"/>
          <w:spacing w:val="8"/>
          <w:sz w:val="23"/>
          <w:szCs w:val="23"/>
        </w:rPr>
        <w:t>项目所在地的氨</w:t>
      </w:r>
      <w:r>
        <w:rPr>
          <w:rFonts w:ascii="宋体" w:hAnsi="宋体" w:eastAsia="宋体" w:cs="宋体"/>
          <w:spacing w:val="4"/>
          <w:sz w:val="23"/>
          <w:szCs w:val="23"/>
        </w:rPr>
        <w:t xml:space="preserve">氮、硝酸盐因子最大超标倍数分别为 </w:t>
      </w:r>
      <w:r>
        <w:rPr>
          <w:rFonts w:ascii="Times New Roman" w:hAnsi="Times New Roman" w:eastAsia="Times New Roman" w:cs="Times New Roman"/>
          <w:spacing w:val="4"/>
          <w:sz w:val="23"/>
          <w:szCs w:val="23"/>
        </w:rPr>
        <w:t>068</w:t>
      </w:r>
      <w:r>
        <w:rPr>
          <w:rFonts w:ascii="宋体" w:hAnsi="宋体" w:eastAsia="宋体" w:cs="宋体"/>
          <w:spacing w:val="4"/>
          <w:sz w:val="23"/>
          <w:szCs w:val="23"/>
        </w:rPr>
        <w:t>、</w:t>
      </w:r>
      <w:r>
        <w:rPr>
          <w:rFonts w:ascii="Times New Roman" w:hAnsi="Times New Roman" w:eastAsia="Times New Roman" w:cs="Times New Roman"/>
          <w:spacing w:val="4"/>
          <w:sz w:val="23"/>
          <w:szCs w:val="23"/>
        </w:rPr>
        <w:t>0.002</w:t>
      </w:r>
      <w:r>
        <w:rPr>
          <w:rFonts w:ascii="宋体" w:hAnsi="宋体" w:eastAsia="宋体" w:cs="宋体"/>
          <w:spacing w:val="4"/>
          <w:sz w:val="23"/>
          <w:szCs w:val="23"/>
        </w:rPr>
        <w:t>；榆树底的硝酸</w:t>
      </w:r>
      <w:r>
        <w:rPr>
          <w:rFonts w:ascii="宋体" w:hAnsi="宋体" w:eastAsia="宋体" w:cs="宋体"/>
          <w:sz w:val="23"/>
          <w:szCs w:val="23"/>
        </w:rPr>
        <w:t xml:space="preserve"> </w:t>
      </w:r>
      <w:r>
        <w:rPr>
          <w:rFonts w:ascii="宋体" w:hAnsi="宋体" w:eastAsia="宋体" w:cs="宋体"/>
          <w:spacing w:val="5"/>
          <w:sz w:val="23"/>
          <w:szCs w:val="23"/>
        </w:rPr>
        <w:t xml:space="preserve">盐因子最大超标倍数分别为 </w:t>
      </w:r>
      <w:r>
        <w:rPr>
          <w:rFonts w:ascii="Times New Roman" w:hAnsi="Times New Roman" w:eastAsia="Times New Roman" w:cs="Times New Roman"/>
          <w:spacing w:val="5"/>
          <w:sz w:val="23"/>
          <w:szCs w:val="23"/>
        </w:rPr>
        <w:t>0.22</w:t>
      </w:r>
      <w:r>
        <w:rPr>
          <w:rFonts w:ascii="宋体" w:hAnsi="宋体" w:eastAsia="宋体" w:cs="宋体"/>
          <w:spacing w:val="5"/>
          <w:sz w:val="23"/>
          <w:szCs w:val="23"/>
        </w:rPr>
        <w:t>；火连寨村的总硬度、氨氮、硝酸盐因子最大</w:t>
      </w:r>
      <w:r>
        <w:rPr>
          <w:rFonts w:ascii="宋体" w:hAnsi="宋体" w:eastAsia="宋体" w:cs="宋体"/>
          <w:spacing w:val="3"/>
          <w:sz w:val="23"/>
          <w:szCs w:val="23"/>
        </w:rPr>
        <w:t>超</w:t>
      </w:r>
      <w:r>
        <w:rPr>
          <w:rFonts w:ascii="宋体" w:hAnsi="宋体" w:eastAsia="宋体" w:cs="宋体"/>
          <w:sz w:val="23"/>
          <w:szCs w:val="23"/>
        </w:rPr>
        <w:t xml:space="preserve"> </w:t>
      </w:r>
      <w:r>
        <w:rPr>
          <w:rFonts w:ascii="宋体" w:hAnsi="宋体" w:eastAsia="宋体" w:cs="宋体"/>
          <w:spacing w:val="2"/>
          <w:sz w:val="23"/>
          <w:szCs w:val="23"/>
        </w:rPr>
        <w:t xml:space="preserve">标倍数分别为 </w:t>
      </w:r>
      <w:r>
        <w:rPr>
          <w:rFonts w:ascii="Times New Roman" w:hAnsi="Times New Roman" w:eastAsia="Times New Roman" w:cs="Times New Roman"/>
          <w:spacing w:val="2"/>
          <w:sz w:val="23"/>
          <w:szCs w:val="23"/>
        </w:rPr>
        <w:t xml:space="preserve">0.5 </w:t>
      </w:r>
      <w:r>
        <w:rPr>
          <w:rFonts w:ascii="宋体" w:hAnsi="宋体" w:eastAsia="宋体" w:cs="宋体"/>
          <w:spacing w:val="2"/>
          <w:sz w:val="23"/>
          <w:szCs w:val="23"/>
        </w:rPr>
        <w:t>、</w:t>
      </w:r>
      <w:r>
        <w:rPr>
          <w:rFonts w:ascii="Times New Roman" w:hAnsi="Times New Roman" w:eastAsia="Times New Roman" w:cs="Times New Roman"/>
          <w:spacing w:val="2"/>
          <w:sz w:val="23"/>
          <w:szCs w:val="23"/>
        </w:rPr>
        <w:t>0.03</w:t>
      </w:r>
      <w:r>
        <w:rPr>
          <w:rFonts w:ascii="宋体" w:hAnsi="宋体" w:eastAsia="宋体" w:cs="宋体"/>
          <w:spacing w:val="2"/>
          <w:sz w:val="23"/>
          <w:szCs w:val="23"/>
        </w:rPr>
        <w:t>、</w:t>
      </w:r>
      <w:r>
        <w:rPr>
          <w:rFonts w:ascii="Times New Roman" w:hAnsi="Times New Roman" w:eastAsia="Times New Roman" w:cs="Times New Roman"/>
          <w:spacing w:val="2"/>
          <w:sz w:val="23"/>
          <w:szCs w:val="23"/>
        </w:rPr>
        <w:t xml:space="preserve">2.08 </w:t>
      </w:r>
      <w:r>
        <w:rPr>
          <w:rFonts w:ascii="宋体" w:hAnsi="宋体" w:eastAsia="宋体" w:cs="宋体"/>
          <w:spacing w:val="2"/>
          <w:sz w:val="23"/>
          <w:szCs w:val="23"/>
        </w:rPr>
        <w:t>，分析以上超标</w:t>
      </w:r>
      <w:r>
        <w:rPr>
          <w:rFonts w:ascii="宋体" w:hAnsi="宋体" w:eastAsia="宋体" w:cs="宋体"/>
          <w:spacing w:val="1"/>
          <w:sz w:val="23"/>
          <w:szCs w:val="23"/>
        </w:rPr>
        <w:t>原因，总硬度超标是由于当地地质</w:t>
      </w:r>
      <w:r>
        <w:rPr>
          <w:rFonts w:ascii="宋体" w:hAnsi="宋体" w:eastAsia="宋体" w:cs="宋体"/>
          <w:sz w:val="23"/>
          <w:szCs w:val="23"/>
        </w:rPr>
        <w:t xml:space="preserve"> </w:t>
      </w:r>
      <w:r>
        <w:rPr>
          <w:rFonts w:ascii="宋体" w:hAnsi="宋体" w:eastAsia="宋体" w:cs="宋体"/>
          <w:spacing w:val="15"/>
          <w:sz w:val="23"/>
          <w:szCs w:val="23"/>
        </w:rPr>
        <w:t>条</w:t>
      </w:r>
      <w:r>
        <w:rPr>
          <w:rFonts w:ascii="宋体" w:hAnsi="宋体" w:eastAsia="宋体" w:cs="宋体"/>
          <w:spacing w:val="9"/>
          <w:sz w:val="23"/>
          <w:szCs w:val="23"/>
        </w:rPr>
        <w:t>件造成的，氨氮、硝酸盐超标是当地居民污水散排造成的。</w:t>
      </w:r>
    </w:p>
    <w:p w14:paraId="0580DFCA">
      <w:pPr>
        <w:spacing w:before="137" w:line="381" w:lineRule="auto"/>
        <w:ind w:left="33" w:right="192" w:firstLine="481"/>
        <w:rPr>
          <w:rFonts w:ascii="宋体" w:hAnsi="宋体" w:eastAsia="宋体" w:cs="宋体"/>
          <w:sz w:val="23"/>
          <w:szCs w:val="23"/>
        </w:rPr>
      </w:pPr>
      <w:r>
        <w:rPr>
          <w:rFonts w:ascii="宋体" w:hAnsi="宋体" w:eastAsia="宋体" w:cs="宋体"/>
          <w:spacing w:val="8"/>
          <w:sz w:val="23"/>
          <w:szCs w:val="23"/>
        </w:rPr>
        <w:t>各点位地下水</w:t>
      </w:r>
      <w:r>
        <w:rPr>
          <w:rFonts w:ascii="宋体" w:hAnsi="宋体" w:eastAsia="宋体" w:cs="宋体"/>
          <w:spacing w:val="6"/>
          <w:sz w:val="23"/>
          <w:szCs w:val="23"/>
        </w:rPr>
        <w:t>中</w:t>
      </w:r>
      <w:r>
        <w:rPr>
          <w:rFonts w:ascii="宋体" w:hAnsi="宋体" w:eastAsia="宋体" w:cs="宋体"/>
          <w:spacing w:val="4"/>
          <w:sz w:val="23"/>
          <w:szCs w:val="23"/>
        </w:rPr>
        <w:t xml:space="preserve">其他各项因子标准指数值均小于 </w:t>
      </w:r>
      <w:r>
        <w:rPr>
          <w:rFonts w:ascii="Times New Roman" w:hAnsi="Times New Roman" w:eastAsia="Times New Roman" w:cs="Times New Roman"/>
          <w:spacing w:val="4"/>
          <w:sz w:val="23"/>
          <w:szCs w:val="23"/>
        </w:rPr>
        <w:t xml:space="preserve">1 </w:t>
      </w:r>
      <w:r>
        <w:rPr>
          <w:rFonts w:ascii="宋体" w:hAnsi="宋体" w:eastAsia="宋体" w:cs="宋体"/>
          <w:spacing w:val="4"/>
          <w:sz w:val="23"/>
          <w:szCs w:val="23"/>
        </w:rPr>
        <w:t>，能够满足《地下水质量</w:t>
      </w:r>
      <w:r>
        <w:rPr>
          <w:rFonts w:ascii="宋体" w:hAnsi="宋体" w:eastAsia="宋体" w:cs="宋体"/>
          <w:sz w:val="23"/>
          <w:szCs w:val="23"/>
        </w:rPr>
        <w:t xml:space="preserve"> </w:t>
      </w:r>
      <w:r>
        <w:rPr>
          <w:rFonts w:ascii="宋体" w:hAnsi="宋体" w:eastAsia="宋体" w:cs="宋体"/>
          <w:spacing w:val="7"/>
          <w:sz w:val="23"/>
          <w:szCs w:val="23"/>
        </w:rPr>
        <w:t>标准》</w:t>
      </w:r>
      <w:r>
        <w:rPr>
          <w:rFonts w:ascii="Times New Roman" w:hAnsi="Times New Roman" w:eastAsia="Times New Roman" w:cs="Times New Roman"/>
          <w:spacing w:val="7"/>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7"/>
          <w:sz w:val="23"/>
          <w:szCs w:val="23"/>
        </w:rPr>
        <w:t>/</w:t>
      </w:r>
      <w:r>
        <w:rPr>
          <w:rFonts w:ascii="Times New Roman" w:hAnsi="Times New Roman" w:eastAsia="Times New Roman" w:cs="Times New Roman"/>
          <w:sz w:val="23"/>
          <w:szCs w:val="23"/>
        </w:rPr>
        <w:t>T</w:t>
      </w:r>
      <w:r>
        <w:rPr>
          <w:rFonts w:ascii="Times New Roman" w:hAnsi="Times New Roman" w:eastAsia="Times New Roman" w:cs="Times New Roman"/>
          <w:spacing w:val="7"/>
          <w:sz w:val="23"/>
          <w:szCs w:val="23"/>
        </w:rPr>
        <w:t>14848-2017)</w:t>
      </w:r>
      <w:r>
        <w:rPr>
          <w:rFonts w:ascii="宋体" w:hAnsi="宋体" w:eastAsia="宋体" w:cs="宋体"/>
          <w:spacing w:val="7"/>
          <w:sz w:val="23"/>
          <w:szCs w:val="23"/>
        </w:rPr>
        <w:t>中</w:t>
      </w:r>
      <w:r>
        <w:rPr>
          <w:rFonts w:ascii="Times New Roman" w:hAnsi="Times New Roman" w:eastAsia="Times New Roman" w:cs="Times New Roman"/>
          <w:spacing w:val="7"/>
          <w:sz w:val="23"/>
          <w:szCs w:val="23"/>
        </w:rPr>
        <w:t>Ⅲ</w:t>
      </w:r>
      <w:r>
        <w:rPr>
          <w:rFonts w:ascii="宋体" w:hAnsi="宋体" w:eastAsia="宋体" w:cs="宋体"/>
          <w:spacing w:val="7"/>
          <w:sz w:val="23"/>
          <w:szCs w:val="23"/>
        </w:rPr>
        <w:t>类水质量标准。</w:t>
      </w:r>
    </w:p>
    <w:p w14:paraId="6467EDB4">
      <w:pPr>
        <w:spacing w:before="114" w:line="224" w:lineRule="auto"/>
        <w:ind w:left="30"/>
        <w:outlineLvl w:val="1"/>
        <w:rPr>
          <w:rFonts w:ascii="宋体" w:hAnsi="宋体" w:eastAsia="宋体" w:cs="宋体"/>
          <w:sz w:val="29"/>
          <w:szCs w:val="29"/>
        </w:rPr>
      </w:pPr>
      <w:r>
        <w:rPr>
          <w:rFonts w:ascii="Times New Roman" w:hAnsi="Times New Roman" w:eastAsia="Times New Roman" w:cs="Times New Roman"/>
          <w:b/>
          <w:bCs/>
          <w:spacing w:val="8"/>
          <w:sz w:val="29"/>
          <w:szCs w:val="29"/>
        </w:rPr>
        <w:t>4.3.3</w:t>
      </w:r>
      <w:r>
        <w:rPr>
          <w:rFonts w:ascii="Times New Roman" w:hAnsi="Times New Roman" w:eastAsia="Times New Roman" w:cs="Times New Roman"/>
          <w:spacing w:val="8"/>
          <w:sz w:val="29"/>
          <w:szCs w:val="29"/>
        </w:rPr>
        <w:t xml:space="preserve">  </w:t>
      </w:r>
      <w:r>
        <w:rPr>
          <w:rFonts w:ascii="宋体" w:hAnsi="宋体" w:eastAsia="宋体" w:cs="宋体"/>
          <w:spacing w:val="8"/>
          <w:sz w:val="29"/>
          <w:szCs w:val="29"/>
          <w14:textOutline w14:w="5448" w14:cap="sq" w14:cmpd="sng">
            <w14:solidFill>
              <w14:srgbClr w14:val="000000"/>
            </w14:solidFill>
            <w14:prstDash w14:val="solid"/>
            <w14:bevel/>
          </w14:textOutline>
        </w:rPr>
        <w:t>声环境质量现状监测与评</w:t>
      </w:r>
      <w:r>
        <w:rPr>
          <w:rFonts w:ascii="宋体" w:hAnsi="宋体" w:eastAsia="宋体" w:cs="宋体"/>
          <w:spacing w:val="4"/>
          <w:sz w:val="29"/>
          <w:szCs w:val="29"/>
          <w14:textOutline w14:w="5448" w14:cap="sq" w14:cmpd="sng">
            <w14:solidFill>
              <w14:srgbClr w14:val="000000"/>
            </w14:solidFill>
            <w14:prstDash w14:val="solid"/>
            <w14:bevel/>
          </w14:textOutline>
        </w:rPr>
        <w:t>价</w:t>
      </w:r>
    </w:p>
    <w:p w14:paraId="683E18C3">
      <w:pPr>
        <w:spacing w:before="300" w:line="220" w:lineRule="auto"/>
        <w:ind w:left="30"/>
        <w:outlineLvl w:val="2"/>
        <w:rPr>
          <w:rFonts w:ascii="宋体" w:hAnsi="宋体" w:eastAsia="宋体" w:cs="宋体"/>
          <w:sz w:val="28"/>
          <w:szCs w:val="28"/>
        </w:rPr>
      </w:pPr>
      <w:r>
        <w:rPr>
          <w:rFonts w:ascii="Times New Roman" w:hAnsi="Times New Roman" w:eastAsia="Times New Roman" w:cs="Times New Roman"/>
          <w:b/>
          <w:bCs/>
          <w:spacing w:val="16"/>
          <w:sz w:val="28"/>
          <w:szCs w:val="28"/>
        </w:rPr>
        <w:t>4</w:t>
      </w:r>
      <w:r>
        <w:rPr>
          <w:rFonts w:ascii="Times New Roman" w:hAnsi="Times New Roman" w:eastAsia="Times New Roman" w:cs="Times New Roman"/>
          <w:b/>
          <w:bCs/>
          <w:spacing w:val="9"/>
          <w:sz w:val="28"/>
          <w:szCs w:val="28"/>
        </w:rPr>
        <w:t>.</w:t>
      </w:r>
      <w:r>
        <w:rPr>
          <w:rFonts w:ascii="Times New Roman" w:hAnsi="Times New Roman" w:eastAsia="Times New Roman" w:cs="Times New Roman"/>
          <w:b/>
          <w:bCs/>
          <w:spacing w:val="8"/>
          <w:sz w:val="28"/>
          <w:szCs w:val="28"/>
        </w:rPr>
        <w:t>3.3.1</w:t>
      </w:r>
      <w:r>
        <w:rPr>
          <w:rFonts w:ascii="Times New Roman" w:hAnsi="Times New Roman" w:eastAsia="Times New Roman" w:cs="Times New Roman"/>
          <w:spacing w:val="8"/>
          <w:sz w:val="28"/>
          <w:szCs w:val="28"/>
        </w:rPr>
        <w:t xml:space="preserve">  </w:t>
      </w:r>
      <w:r>
        <w:rPr>
          <w:rFonts w:ascii="宋体" w:hAnsi="宋体" w:eastAsia="宋体" w:cs="宋体"/>
          <w:spacing w:val="8"/>
          <w:sz w:val="28"/>
          <w:szCs w:val="28"/>
          <w14:textOutline w14:w="5103" w14:cap="sq" w14:cmpd="sng">
            <w14:solidFill>
              <w14:srgbClr w14:val="000000"/>
            </w14:solidFill>
            <w14:prstDash w14:val="solid"/>
            <w14:bevel/>
          </w14:textOutline>
        </w:rPr>
        <w:t>声环境质量现状监测</w:t>
      </w:r>
    </w:p>
    <w:p w14:paraId="081D27DE">
      <w:pPr>
        <w:spacing w:line="260" w:lineRule="auto"/>
        <w:rPr>
          <w:rFonts w:ascii="Arial"/>
          <w:sz w:val="21"/>
        </w:rPr>
      </w:pPr>
    </w:p>
    <w:p w14:paraId="0EBBB5E2">
      <w:pPr>
        <w:spacing w:before="75" w:line="227" w:lineRule="auto"/>
        <w:ind w:left="523"/>
        <w:rPr>
          <w:rFonts w:ascii="宋体" w:hAnsi="宋体" w:eastAsia="宋体" w:cs="宋体"/>
          <w:sz w:val="23"/>
          <w:szCs w:val="23"/>
        </w:rPr>
      </w:pPr>
      <w:r>
        <w:rPr>
          <w:rFonts w:ascii="宋体" w:hAnsi="宋体" w:eastAsia="宋体" w:cs="宋体"/>
          <w:spacing w:val="20"/>
          <w:sz w:val="23"/>
          <w:szCs w:val="23"/>
        </w:rPr>
        <w:t>(</w:t>
      </w:r>
      <w:r>
        <w:rPr>
          <w:rFonts w:ascii="Times New Roman" w:hAnsi="Times New Roman" w:eastAsia="Times New Roman" w:cs="Times New Roman"/>
          <w:spacing w:val="20"/>
          <w:sz w:val="23"/>
          <w:szCs w:val="23"/>
        </w:rPr>
        <w:t>1</w:t>
      </w:r>
      <w:r>
        <w:rPr>
          <w:rFonts w:ascii="宋体" w:hAnsi="宋体" w:eastAsia="宋体" w:cs="宋体"/>
          <w:spacing w:val="20"/>
          <w:sz w:val="23"/>
          <w:szCs w:val="23"/>
        </w:rPr>
        <w:t>) 监测布</w:t>
      </w:r>
      <w:r>
        <w:rPr>
          <w:rFonts w:ascii="宋体" w:hAnsi="宋体" w:eastAsia="宋体" w:cs="宋体"/>
          <w:spacing w:val="19"/>
          <w:sz w:val="23"/>
          <w:szCs w:val="23"/>
        </w:rPr>
        <w:t>点</w:t>
      </w:r>
    </w:p>
    <w:p w14:paraId="4E560304">
      <w:pPr>
        <w:spacing w:line="277" w:lineRule="auto"/>
        <w:rPr>
          <w:rFonts w:ascii="Arial"/>
          <w:sz w:val="21"/>
        </w:rPr>
      </w:pPr>
    </w:p>
    <w:p w14:paraId="60D05DF9">
      <w:pPr>
        <w:spacing w:before="75" w:line="393" w:lineRule="auto"/>
        <w:ind w:left="37" w:right="112" w:firstLine="475"/>
        <w:rPr>
          <w:rFonts w:ascii="宋体" w:hAnsi="宋体" w:eastAsia="宋体" w:cs="宋体"/>
          <w:sz w:val="23"/>
          <w:szCs w:val="23"/>
        </w:rPr>
      </w:pPr>
      <w:r>
        <w:rPr>
          <w:rFonts w:ascii="宋体" w:hAnsi="宋体" w:eastAsia="宋体" w:cs="宋体"/>
          <w:spacing w:val="6"/>
          <w:sz w:val="23"/>
          <w:szCs w:val="23"/>
        </w:rPr>
        <w:t>根据项目所在地的</w:t>
      </w:r>
      <w:r>
        <w:rPr>
          <w:rFonts w:ascii="宋体" w:hAnsi="宋体" w:eastAsia="宋体" w:cs="宋体"/>
          <w:spacing w:val="5"/>
          <w:sz w:val="23"/>
          <w:szCs w:val="23"/>
        </w:rPr>
        <w:t>实</w:t>
      </w:r>
      <w:r>
        <w:rPr>
          <w:rFonts w:ascii="宋体" w:hAnsi="宋体" w:eastAsia="宋体" w:cs="宋体"/>
          <w:spacing w:val="3"/>
          <w:sz w:val="23"/>
          <w:szCs w:val="23"/>
        </w:rPr>
        <w:t xml:space="preserve">际情况，拟在厂界四周外 </w:t>
      </w:r>
      <w:r>
        <w:rPr>
          <w:rFonts w:ascii="Times New Roman" w:hAnsi="Times New Roman" w:eastAsia="Times New Roman" w:cs="Times New Roman"/>
          <w:spacing w:val="3"/>
          <w:sz w:val="23"/>
          <w:szCs w:val="23"/>
        </w:rPr>
        <w:t>1</w:t>
      </w:r>
      <w:r>
        <w:rPr>
          <w:rFonts w:ascii="Times New Roman" w:hAnsi="Times New Roman" w:eastAsia="Times New Roman" w:cs="Times New Roman"/>
          <w:sz w:val="23"/>
          <w:szCs w:val="23"/>
        </w:rPr>
        <w:t>m</w:t>
      </w:r>
      <w:r>
        <w:rPr>
          <w:rFonts w:ascii="宋体" w:hAnsi="宋体" w:eastAsia="宋体" w:cs="宋体"/>
          <w:spacing w:val="3"/>
          <w:sz w:val="23"/>
          <w:szCs w:val="23"/>
        </w:rPr>
        <w:t>处各布设一个噪声监测点。</w:t>
      </w:r>
      <w:r>
        <w:rPr>
          <w:rFonts w:ascii="宋体" w:hAnsi="宋体" w:eastAsia="宋体" w:cs="宋体"/>
          <w:sz w:val="23"/>
          <w:szCs w:val="23"/>
        </w:rPr>
        <w:t xml:space="preserve"> </w:t>
      </w:r>
      <w:r>
        <w:rPr>
          <w:rFonts w:ascii="宋体" w:hAnsi="宋体" w:eastAsia="宋体" w:cs="宋体"/>
          <w:spacing w:val="-10"/>
          <w:sz w:val="23"/>
          <w:szCs w:val="23"/>
        </w:rPr>
        <w:t>具</w:t>
      </w:r>
      <w:r>
        <w:rPr>
          <w:rFonts w:ascii="宋体" w:hAnsi="宋体" w:eastAsia="宋体" w:cs="宋体"/>
          <w:spacing w:val="-6"/>
          <w:sz w:val="23"/>
          <w:szCs w:val="23"/>
        </w:rPr>
        <w:t xml:space="preserve">体见表 </w:t>
      </w:r>
      <w:r>
        <w:rPr>
          <w:rFonts w:ascii="Times New Roman" w:hAnsi="Times New Roman" w:eastAsia="Times New Roman" w:cs="Times New Roman"/>
          <w:spacing w:val="-6"/>
          <w:sz w:val="23"/>
          <w:szCs w:val="23"/>
        </w:rPr>
        <w:t>4- 14</w:t>
      </w:r>
      <w:r>
        <w:rPr>
          <w:rFonts w:ascii="宋体" w:hAnsi="宋体" w:eastAsia="宋体" w:cs="宋体"/>
          <w:spacing w:val="-6"/>
          <w:sz w:val="23"/>
          <w:szCs w:val="23"/>
        </w:rPr>
        <w:t>。</w:t>
      </w:r>
    </w:p>
    <w:p w14:paraId="341095DC">
      <w:pPr>
        <w:spacing w:before="136" w:line="227" w:lineRule="auto"/>
        <w:ind w:left="2373"/>
        <w:rPr>
          <w:rFonts w:ascii="宋体" w:hAnsi="宋体" w:eastAsia="宋体" w:cs="宋体"/>
          <w:sz w:val="23"/>
          <w:szCs w:val="23"/>
        </w:rPr>
      </w:pPr>
      <w:r>
        <w:rPr>
          <w:rFonts w:ascii="宋体" w:hAnsi="宋体" w:eastAsia="宋体" w:cs="宋体"/>
          <w:spacing w:val="4"/>
          <w:sz w:val="23"/>
          <w:szCs w:val="23"/>
          <w14:textOutline w14:w="4358" w14:cap="sq" w14:cmpd="sng">
            <w14:solidFill>
              <w14:srgbClr w14:val="000000"/>
            </w14:solidFill>
            <w14:prstDash w14:val="solid"/>
            <w14:bevel/>
          </w14:textOutline>
        </w:rPr>
        <w:t>表</w:t>
      </w:r>
      <w:r>
        <w:rPr>
          <w:rFonts w:ascii="宋体" w:hAnsi="宋体" w:eastAsia="宋体" w:cs="宋体"/>
          <w:spacing w:val="4"/>
          <w:sz w:val="23"/>
          <w:szCs w:val="23"/>
        </w:rPr>
        <w:t xml:space="preserve"> </w:t>
      </w:r>
      <w:r>
        <w:rPr>
          <w:rFonts w:ascii="Times New Roman" w:hAnsi="Times New Roman" w:eastAsia="Times New Roman" w:cs="Times New Roman"/>
          <w:b/>
          <w:bCs/>
          <w:spacing w:val="4"/>
          <w:sz w:val="23"/>
          <w:szCs w:val="23"/>
        </w:rPr>
        <w:t>4-14</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声环境质量监测点布设</w:t>
      </w:r>
    </w:p>
    <w:p w14:paraId="761E6E7F">
      <w:pPr>
        <w:spacing w:line="19"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3"/>
        <w:gridCol w:w="5487"/>
        <w:gridCol w:w="1882"/>
      </w:tblGrid>
      <w:tr w14:paraId="5F392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153" w:type="dxa"/>
            <w:tcBorders>
              <w:left w:val="nil"/>
            </w:tcBorders>
            <w:vAlign w:val="top"/>
          </w:tcPr>
          <w:p w14:paraId="56DDEEB5">
            <w:pPr>
              <w:spacing w:before="75" w:line="228" w:lineRule="auto"/>
              <w:ind w:left="60"/>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监</w:t>
            </w:r>
            <w:r>
              <w:rPr>
                <w:rFonts w:ascii="宋体" w:hAnsi="宋体" w:eastAsia="宋体" w:cs="宋体"/>
                <w:spacing w:val="8"/>
                <w:sz w:val="20"/>
                <w:szCs w:val="20"/>
                <w14:textOutline w14:w="3795" w14:cap="sq" w14:cmpd="sng">
                  <w14:solidFill>
                    <w14:srgbClr w14:val="000000"/>
                  </w14:solidFill>
                  <w14:prstDash w14:val="solid"/>
                  <w14:bevel/>
                </w14:textOutline>
              </w:rPr>
              <w:t>测点编号</w:t>
            </w:r>
          </w:p>
        </w:tc>
        <w:tc>
          <w:tcPr>
            <w:tcW w:w="5487" w:type="dxa"/>
            <w:vAlign w:val="top"/>
          </w:tcPr>
          <w:p w14:paraId="322C6C0A">
            <w:pPr>
              <w:spacing w:before="76" w:line="228" w:lineRule="auto"/>
              <w:ind w:left="1490"/>
              <w:rPr>
                <w:rFonts w:ascii="宋体" w:hAnsi="宋体" w:eastAsia="宋体" w:cs="宋体"/>
                <w:sz w:val="20"/>
                <w:szCs w:val="20"/>
              </w:rPr>
            </w:pPr>
            <w:r>
              <w:rPr>
                <w:rFonts w:ascii="宋体" w:hAnsi="宋体" w:eastAsia="宋体" w:cs="宋体"/>
                <w:spacing w:val="11"/>
                <w:sz w:val="20"/>
                <w:szCs w:val="20"/>
                <w14:textOutline w14:w="3795" w14:cap="sq" w14:cmpd="sng">
                  <w14:solidFill>
                    <w14:srgbClr w14:val="000000"/>
                  </w14:solidFill>
                  <w14:prstDash w14:val="solid"/>
                  <w14:bevel/>
                </w14:textOutline>
              </w:rPr>
              <w:t>监</w:t>
            </w:r>
            <w:r>
              <w:rPr>
                <w:rFonts w:ascii="宋体" w:hAnsi="宋体" w:eastAsia="宋体" w:cs="宋体"/>
                <w:spacing w:val="8"/>
                <w:sz w:val="20"/>
                <w:szCs w:val="20"/>
                <w14:textOutline w14:w="3795" w14:cap="sq" w14:cmpd="sng">
                  <w14:solidFill>
                    <w14:srgbClr w14:val="000000"/>
                  </w14:solidFill>
                  <w14:prstDash w14:val="solid"/>
                  <w14:bevel/>
                </w14:textOutline>
              </w:rPr>
              <w:t>测点位置</w:t>
            </w:r>
            <w:r>
              <w:rPr>
                <w:rFonts w:ascii="宋体" w:hAnsi="宋体" w:eastAsia="宋体" w:cs="宋体"/>
                <w:spacing w:val="8"/>
                <w:sz w:val="20"/>
                <w:szCs w:val="20"/>
              </w:rPr>
              <w:t xml:space="preserve"> </w:t>
            </w:r>
            <w:r>
              <w:rPr>
                <w:rFonts w:ascii="宋体" w:hAnsi="宋体" w:eastAsia="宋体" w:cs="宋体"/>
                <w:spacing w:val="8"/>
                <w:sz w:val="20"/>
                <w:szCs w:val="20"/>
                <w14:textOutline w14:w="3795" w14:cap="sq" w14:cmpd="sng">
                  <w14:solidFill>
                    <w14:srgbClr w14:val="000000"/>
                  </w14:solidFill>
                  <w14:prstDash w14:val="solid"/>
                  <w14:bevel/>
                </w14:textOutline>
              </w:rPr>
              <w:t>(点位经纬度)</w:t>
            </w:r>
          </w:p>
        </w:tc>
        <w:tc>
          <w:tcPr>
            <w:tcW w:w="1882" w:type="dxa"/>
            <w:tcBorders>
              <w:right w:val="nil"/>
            </w:tcBorders>
            <w:vAlign w:val="top"/>
          </w:tcPr>
          <w:p w14:paraId="0B880446">
            <w:pPr>
              <w:spacing w:before="76" w:line="229" w:lineRule="auto"/>
              <w:ind w:left="739"/>
              <w:rPr>
                <w:rFonts w:ascii="宋体" w:hAnsi="宋体" w:eastAsia="宋体" w:cs="宋体"/>
                <w:sz w:val="20"/>
                <w:szCs w:val="20"/>
              </w:rPr>
            </w:pPr>
            <w:r>
              <w:rPr>
                <w:rFonts w:ascii="宋体" w:hAnsi="宋体" w:eastAsia="宋体" w:cs="宋体"/>
                <w:spacing w:val="5"/>
                <w:sz w:val="20"/>
                <w:szCs w:val="20"/>
                <w14:textOutline w14:w="3795" w14:cap="sq" w14:cmpd="sng">
                  <w14:solidFill>
                    <w14:srgbClr w14:val="000000"/>
                  </w14:solidFill>
                  <w14:prstDash w14:val="solid"/>
                  <w14:bevel/>
                </w14:textOutline>
              </w:rPr>
              <w:t>备</w:t>
            </w:r>
            <w:r>
              <w:rPr>
                <w:rFonts w:ascii="宋体" w:hAnsi="宋体" w:eastAsia="宋体" w:cs="宋体"/>
                <w:spacing w:val="4"/>
                <w:sz w:val="20"/>
                <w:szCs w:val="20"/>
                <w14:textOutline w14:w="3795" w14:cap="sq" w14:cmpd="sng">
                  <w14:solidFill>
                    <w14:srgbClr w14:val="000000"/>
                  </w14:solidFill>
                  <w14:prstDash w14:val="solid"/>
                  <w14:bevel/>
                </w14:textOutline>
              </w:rPr>
              <w:t>注</w:t>
            </w:r>
          </w:p>
        </w:tc>
      </w:tr>
      <w:tr w14:paraId="059A3F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53" w:type="dxa"/>
            <w:tcBorders>
              <w:left w:val="nil"/>
            </w:tcBorders>
            <w:vAlign w:val="top"/>
          </w:tcPr>
          <w:p w14:paraId="365A9483">
            <w:pPr>
              <w:spacing w:before="15" w:line="281" w:lineRule="exact"/>
              <w:ind w:left="496"/>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1</w:t>
            </w:r>
            <w:r>
              <w:rPr>
                <w:rFonts w:ascii="Times New Roman" w:hAnsi="Times New Roman" w:eastAsia="Times New Roman" w:cs="Times New Roman"/>
                <w:spacing w:val="-7"/>
                <w:position w:val="2"/>
                <w:sz w:val="20"/>
                <w:szCs w:val="20"/>
              </w:rPr>
              <w:t>#</w:t>
            </w:r>
          </w:p>
        </w:tc>
        <w:tc>
          <w:tcPr>
            <w:tcW w:w="5487" w:type="dxa"/>
            <w:vAlign w:val="top"/>
          </w:tcPr>
          <w:p w14:paraId="3BD76CCC">
            <w:pPr>
              <w:spacing w:before="52" w:line="228" w:lineRule="auto"/>
              <w:ind w:left="2011"/>
              <w:rPr>
                <w:rFonts w:ascii="宋体" w:hAnsi="宋体" w:eastAsia="宋体" w:cs="宋体"/>
                <w:sz w:val="20"/>
                <w:szCs w:val="20"/>
              </w:rPr>
            </w:pPr>
            <w:r>
              <w:rPr>
                <w:rFonts w:ascii="宋体" w:hAnsi="宋体" w:eastAsia="宋体" w:cs="宋体"/>
                <w:spacing w:val="9"/>
                <w:sz w:val="20"/>
                <w:szCs w:val="20"/>
              </w:rPr>
              <w:t>场界东侧边界</w:t>
            </w:r>
            <w:r>
              <w:rPr>
                <w:rFonts w:ascii="宋体" w:hAnsi="宋体" w:eastAsia="宋体" w:cs="宋体"/>
                <w:spacing w:val="7"/>
                <w:sz w:val="20"/>
                <w:szCs w:val="20"/>
              </w:rPr>
              <w:t>处</w:t>
            </w:r>
          </w:p>
        </w:tc>
        <w:tc>
          <w:tcPr>
            <w:tcW w:w="1882" w:type="dxa"/>
            <w:vMerge w:val="restart"/>
            <w:tcBorders>
              <w:bottom w:val="nil"/>
              <w:right w:val="nil"/>
            </w:tcBorders>
            <w:vAlign w:val="top"/>
          </w:tcPr>
          <w:p w14:paraId="165752F9">
            <w:pPr>
              <w:spacing w:line="466" w:lineRule="auto"/>
              <w:rPr>
                <w:rFonts w:ascii="Arial"/>
                <w:sz w:val="21"/>
              </w:rPr>
            </w:pPr>
          </w:p>
          <w:p w14:paraId="6A82359D">
            <w:pPr>
              <w:spacing w:before="65" w:line="228" w:lineRule="auto"/>
              <w:ind w:left="635"/>
              <w:rPr>
                <w:rFonts w:ascii="宋体" w:hAnsi="宋体" w:eastAsia="宋体" w:cs="宋体"/>
                <w:sz w:val="20"/>
                <w:szCs w:val="20"/>
              </w:rPr>
            </w:pPr>
            <w:r>
              <w:rPr>
                <w:rFonts w:ascii="宋体" w:hAnsi="宋体" w:eastAsia="宋体" w:cs="宋体"/>
                <w:spacing w:val="6"/>
                <w:sz w:val="20"/>
                <w:szCs w:val="20"/>
              </w:rPr>
              <w:t>背景</w:t>
            </w:r>
            <w:r>
              <w:rPr>
                <w:rFonts w:ascii="宋体" w:hAnsi="宋体" w:eastAsia="宋体" w:cs="宋体"/>
                <w:spacing w:val="5"/>
                <w:sz w:val="20"/>
                <w:szCs w:val="20"/>
              </w:rPr>
              <w:t>点</w:t>
            </w:r>
          </w:p>
        </w:tc>
      </w:tr>
      <w:tr w14:paraId="1646A7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53" w:type="dxa"/>
            <w:tcBorders>
              <w:left w:val="nil"/>
            </w:tcBorders>
            <w:vAlign w:val="top"/>
          </w:tcPr>
          <w:p w14:paraId="234E57EA">
            <w:pPr>
              <w:spacing w:before="15" w:line="281" w:lineRule="exact"/>
              <w:ind w:left="476"/>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2</w:t>
            </w:r>
            <w:r>
              <w:rPr>
                <w:rFonts w:ascii="Times New Roman" w:hAnsi="Times New Roman" w:eastAsia="Times New Roman" w:cs="Times New Roman"/>
                <w:spacing w:val="2"/>
                <w:position w:val="2"/>
                <w:sz w:val="20"/>
                <w:szCs w:val="20"/>
              </w:rPr>
              <w:t>#</w:t>
            </w:r>
          </w:p>
        </w:tc>
        <w:tc>
          <w:tcPr>
            <w:tcW w:w="5487" w:type="dxa"/>
            <w:vAlign w:val="top"/>
          </w:tcPr>
          <w:p w14:paraId="4B0D5625">
            <w:pPr>
              <w:spacing w:before="53" w:line="228" w:lineRule="auto"/>
              <w:ind w:left="2011"/>
              <w:rPr>
                <w:rFonts w:ascii="宋体" w:hAnsi="宋体" w:eastAsia="宋体" w:cs="宋体"/>
                <w:sz w:val="20"/>
                <w:szCs w:val="20"/>
              </w:rPr>
            </w:pPr>
            <w:r>
              <w:rPr>
                <w:rFonts w:ascii="宋体" w:hAnsi="宋体" w:eastAsia="宋体" w:cs="宋体"/>
                <w:spacing w:val="9"/>
                <w:sz w:val="20"/>
                <w:szCs w:val="20"/>
              </w:rPr>
              <w:t>场界南侧边界</w:t>
            </w:r>
            <w:r>
              <w:rPr>
                <w:rFonts w:ascii="宋体" w:hAnsi="宋体" w:eastAsia="宋体" w:cs="宋体"/>
                <w:spacing w:val="7"/>
                <w:sz w:val="20"/>
                <w:szCs w:val="20"/>
              </w:rPr>
              <w:t>处</w:t>
            </w:r>
          </w:p>
        </w:tc>
        <w:tc>
          <w:tcPr>
            <w:tcW w:w="1882" w:type="dxa"/>
            <w:vMerge w:val="continue"/>
            <w:tcBorders>
              <w:top w:val="nil"/>
              <w:bottom w:val="nil"/>
              <w:right w:val="nil"/>
            </w:tcBorders>
            <w:vAlign w:val="top"/>
          </w:tcPr>
          <w:p w14:paraId="3CB7B3F7">
            <w:pPr>
              <w:rPr>
                <w:rFonts w:ascii="Arial"/>
                <w:sz w:val="21"/>
              </w:rPr>
            </w:pPr>
          </w:p>
        </w:tc>
      </w:tr>
      <w:tr w14:paraId="12D213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53" w:type="dxa"/>
            <w:tcBorders>
              <w:left w:val="nil"/>
            </w:tcBorders>
            <w:vAlign w:val="top"/>
          </w:tcPr>
          <w:p w14:paraId="372AD853">
            <w:pPr>
              <w:spacing w:before="18" w:line="281" w:lineRule="exact"/>
              <w:ind w:left="480"/>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3</w:t>
            </w:r>
            <w:r>
              <w:rPr>
                <w:rFonts w:ascii="Times New Roman" w:hAnsi="Times New Roman" w:eastAsia="Times New Roman" w:cs="Times New Roman"/>
                <w:position w:val="2"/>
                <w:sz w:val="20"/>
                <w:szCs w:val="20"/>
              </w:rPr>
              <w:t>#</w:t>
            </w:r>
          </w:p>
        </w:tc>
        <w:tc>
          <w:tcPr>
            <w:tcW w:w="5487" w:type="dxa"/>
            <w:vAlign w:val="top"/>
          </w:tcPr>
          <w:p w14:paraId="4101ACBE">
            <w:pPr>
              <w:spacing w:before="56" w:line="228" w:lineRule="auto"/>
              <w:ind w:left="2011"/>
              <w:rPr>
                <w:rFonts w:ascii="宋体" w:hAnsi="宋体" w:eastAsia="宋体" w:cs="宋体"/>
                <w:sz w:val="20"/>
                <w:szCs w:val="20"/>
              </w:rPr>
            </w:pPr>
            <w:r>
              <w:rPr>
                <w:rFonts w:ascii="宋体" w:hAnsi="宋体" w:eastAsia="宋体" w:cs="宋体"/>
                <w:spacing w:val="9"/>
                <w:sz w:val="20"/>
                <w:szCs w:val="20"/>
              </w:rPr>
              <w:t>场界西侧边界</w:t>
            </w:r>
            <w:r>
              <w:rPr>
                <w:rFonts w:ascii="宋体" w:hAnsi="宋体" w:eastAsia="宋体" w:cs="宋体"/>
                <w:spacing w:val="7"/>
                <w:sz w:val="20"/>
                <w:szCs w:val="20"/>
              </w:rPr>
              <w:t>处</w:t>
            </w:r>
          </w:p>
        </w:tc>
        <w:tc>
          <w:tcPr>
            <w:tcW w:w="1882" w:type="dxa"/>
            <w:vMerge w:val="continue"/>
            <w:tcBorders>
              <w:top w:val="nil"/>
              <w:bottom w:val="nil"/>
              <w:right w:val="nil"/>
            </w:tcBorders>
            <w:vAlign w:val="top"/>
          </w:tcPr>
          <w:p w14:paraId="26CBBC93">
            <w:pPr>
              <w:rPr>
                <w:rFonts w:ascii="Arial"/>
                <w:sz w:val="21"/>
              </w:rPr>
            </w:pPr>
          </w:p>
        </w:tc>
      </w:tr>
      <w:tr w14:paraId="7866E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153" w:type="dxa"/>
            <w:tcBorders>
              <w:left w:val="nil"/>
            </w:tcBorders>
            <w:vAlign w:val="top"/>
          </w:tcPr>
          <w:p w14:paraId="46B9F0C8">
            <w:pPr>
              <w:spacing w:before="19" w:line="281" w:lineRule="exact"/>
              <w:ind w:left="475"/>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4#</w:t>
            </w:r>
          </w:p>
        </w:tc>
        <w:tc>
          <w:tcPr>
            <w:tcW w:w="5487" w:type="dxa"/>
            <w:vAlign w:val="top"/>
          </w:tcPr>
          <w:p w14:paraId="4D4C5DCC">
            <w:pPr>
              <w:spacing w:before="56" w:line="228" w:lineRule="auto"/>
              <w:ind w:left="2011"/>
              <w:rPr>
                <w:rFonts w:ascii="宋体" w:hAnsi="宋体" w:eastAsia="宋体" w:cs="宋体"/>
                <w:sz w:val="20"/>
                <w:szCs w:val="20"/>
              </w:rPr>
            </w:pPr>
            <w:r>
              <w:rPr>
                <w:rFonts w:ascii="宋体" w:hAnsi="宋体" w:eastAsia="宋体" w:cs="宋体"/>
                <w:spacing w:val="9"/>
                <w:sz w:val="20"/>
                <w:szCs w:val="20"/>
              </w:rPr>
              <w:t>场界北侧边界</w:t>
            </w:r>
            <w:r>
              <w:rPr>
                <w:rFonts w:ascii="宋体" w:hAnsi="宋体" w:eastAsia="宋体" w:cs="宋体"/>
                <w:spacing w:val="7"/>
                <w:sz w:val="20"/>
                <w:szCs w:val="20"/>
              </w:rPr>
              <w:t>处</w:t>
            </w:r>
          </w:p>
        </w:tc>
        <w:tc>
          <w:tcPr>
            <w:tcW w:w="1882" w:type="dxa"/>
            <w:vMerge w:val="continue"/>
            <w:tcBorders>
              <w:top w:val="nil"/>
              <w:right w:val="nil"/>
            </w:tcBorders>
            <w:vAlign w:val="top"/>
          </w:tcPr>
          <w:p w14:paraId="524B19D0">
            <w:pPr>
              <w:rPr>
                <w:rFonts w:ascii="Arial"/>
                <w:sz w:val="21"/>
              </w:rPr>
            </w:pPr>
          </w:p>
        </w:tc>
      </w:tr>
    </w:tbl>
    <w:p w14:paraId="3B746E3F">
      <w:pPr>
        <w:spacing w:line="258" w:lineRule="auto"/>
        <w:rPr>
          <w:rFonts w:ascii="Arial"/>
          <w:sz w:val="21"/>
        </w:rPr>
      </w:pPr>
    </w:p>
    <w:p w14:paraId="65FAAD1D">
      <w:pPr>
        <w:spacing w:before="75" w:line="228" w:lineRule="auto"/>
        <w:ind w:left="523"/>
        <w:rPr>
          <w:rFonts w:ascii="宋体" w:hAnsi="宋体" w:eastAsia="宋体" w:cs="宋体"/>
          <w:sz w:val="23"/>
          <w:szCs w:val="23"/>
        </w:rPr>
      </w:pPr>
      <w:r>
        <w:rPr>
          <w:rFonts w:ascii="宋体" w:hAnsi="宋体" w:eastAsia="宋体" w:cs="宋体"/>
          <w:spacing w:val="20"/>
          <w:sz w:val="23"/>
          <w:szCs w:val="23"/>
        </w:rPr>
        <w:t>(</w:t>
      </w:r>
      <w:r>
        <w:rPr>
          <w:rFonts w:ascii="Times New Roman" w:hAnsi="Times New Roman" w:eastAsia="Times New Roman" w:cs="Times New Roman"/>
          <w:spacing w:val="20"/>
          <w:sz w:val="23"/>
          <w:szCs w:val="23"/>
        </w:rPr>
        <w:t>2</w:t>
      </w:r>
      <w:r>
        <w:rPr>
          <w:rFonts w:ascii="宋体" w:hAnsi="宋体" w:eastAsia="宋体" w:cs="宋体"/>
          <w:spacing w:val="20"/>
          <w:sz w:val="23"/>
          <w:szCs w:val="23"/>
        </w:rPr>
        <w:t>) 监测项</w:t>
      </w:r>
      <w:r>
        <w:rPr>
          <w:rFonts w:ascii="宋体" w:hAnsi="宋体" w:eastAsia="宋体" w:cs="宋体"/>
          <w:spacing w:val="19"/>
          <w:sz w:val="23"/>
          <w:szCs w:val="23"/>
        </w:rPr>
        <w:t>目</w:t>
      </w:r>
    </w:p>
    <w:p w14:paraId="629E4BE1">
      <w:pPr>
        <w:spacing w:line="275" w:lineRule="auto"/>
        <w:rPr>
          <w:rFonts w:ascii="Arial"/>
          <w:sz w:val="21"/>
        </w:rPr>
      </w:pPr>
    </w:p>
    <w:p w14:paraId="3CD11708">
      <w:pPr>
        <w:spacing w:before="75" w:line="221" w:lineRule="auto"/>
        <w:ind w:left="515"/>
        <w:rPr>
          <w:rFonts w:ascii="宋体" w:hAnsi="宋体" w:eastAsia="宋体" w:cs="宋体"/>
          <w:sz w:val="23"/>
          <w:szCs w:val="23"/>
        </w:rPr>
      </w:pPr>
      <w:r>
        <w:rPr>
          <w:rFonts w:ascii="宋体" w:hAnsi="宋体" w:eastAsia="宋体" w:cs="宋体"/>
          <w:spacing w:val="15"/>
          <w:sz w:val="23"/>
          <w:szCs w:val="23"/>
        </w:rPr>
        <w:t>分</w:t>
      </w:r>
      <w:r>
        <w:rPr>
          <w:rFonts w:ascii="宋体" w:hAnsi="宋体" w:eastAsia="宋体" w:cs="宋体"/>
          <w:spacing w:val="8"/>
          <w:sz w:val="23"/>
          <w:szCs w:val="23"/>
        </w:rPr>
        <w:t>别监测各点位的等效声级 (</w:t>
      </w:r>
      <w:r>
        <w:rPr>
          <w:rFonts w:ascii="Times New Roman" w:hAnsi="Times New Roman" w:eastAsia="Times New Roman" w:cs="Times New Roman"/>
          <w:sz w:val="23"/>
          <w:szCs w:val="23"/>
        </w:rPr>
        <w:t>Leq</w:t>
      </w:r>
      <w:r>
        <w:rPr>
          <w:rFonts w:ascii="宋体" w:hAnsi="宋体" w:eastAsia="宋体" w:cs="宋体"/>
          <w:spacing w:val="8"/>
          <w:sz w:val="23"/>
          <w:szCs w:val="23"/>
        </w:rPr>
        <w:t>) 。</w:t>
      </w:r>
    </w:p>
    <w:p w14:paraId="264BAFF2">
      <w:pPr>
        <w:sectPr>
          <w:headerReference r:id="rId175" w:type="default"/>
          <w:footerReference r:id="rId176" w:type="default"/>
          <w:pgSz w:w="11906" w:h="16839"/>
          <w:pgMar w:top="1132" w:right="1606" w:bottom="1182" w:left="1777" w:header="878" w:footer="1022" w:gutter="0"/>
          <w:cols w:space="720" w:num="1"/>
        </w:sectPr>
      </w:pPr>
    </w:p>
    <w:p w14:paraId="7B52FE47">
      <w:pPr>
        <w:spacing w:line="409" w:lineRule="auto"/>
        <w:rPr>
          <w:rFonts w:ascii="Arial"/>
          <w:sz w:val="21"/>
        </w:rPr>
      </w:pPr>
      <w:r>
        <w:pict>
          <v:shape id="_x0000_s1224" o:spid="_x0000_s1224" style="position:absolute;left:0pt;margin-left:90pt;margin-top:57.35pt;height:0.75pt;width:415.3pt;mso-position-horizontal-relative:page;mso-position-vertical-relative:page;z-index:251876352;mso-width-relative:page;mso-height-relative:page;" fillcolor="#000000" filled="t" stroked="f" coordsize="8305,15" o:allowincell="f" path="m0,0l8305,0,8305,14,0,14,0,0xe">
            <v:path/>
            <v:fill on="t" focussize="0,0"/>
            <v:stroke on="f"/>
            <v:imagedata o:title=""/>
            <o:lock v:ext="edit"/>
          </v:shape>
        </w:pict>
      </w:r>
    </w:p>
    <w:p w14:paraId="11BE9351">
      <w:pPr>
        <w:spacing w:before="74" w:line="227" w:lineRule="auto"/>
        <w:ind w:left="608"/>
        <w:rPr>
          <w:rFonts w:ascii="宋体" w:hAnsi="宋体" w:eastAsia="宋体" w:cs="宋体"/>
          <w:sz w:val="23"/>
          <w:szCs w:val="23"/>
        </w:rPr>
      </w:pPr>
      <w:r>
        <w:rPr>
          <w:rFonts w:ascii="宋体" w:hAnsi="宋体" w:eastAsia="宋体" w:cs="宋体"/>
          <w:spacing w:val="19"/>
          <w:sz w:val="23"/>
          <w:szCs w:val="23"/>
        </w:rPr>
        <w:t>(</w:t>
      </w:r>
      <w:r>
        <w:rPr>
          <w:rFonts w:ascii="Times New Roman" w:hAnsi="Times New Roman" w:eastAsia="Times New Roman" w:cs="Times New Roman"/>
          <w:spacing w:val="17"/>
          <w:sz w:val="23"/>
          <w:szCs w:val="23"/>
        </w:rPr>
        <w:t>3</w:t>
      </w:r>
      <w:r>
        <w:rPr>
          <w:rFonts w:ascii="宋体" w:hAnsi="宋体" w:eastAsia="宋体" w:cs="宋体"/>
          <w:spacing w:val="17"/>
          <w:sz w:val="23"/>
          <w:szCs w:val="23"/>
        </w:rPr>
        <w:t>) 监测时间及频率</w:t>
      </w:r>
    </w:p>
    <w:p w14:paraId="10F2E32F">
      <w:pPr>
        <w:spacing w:line="275" w:lineRule="auto"/>
        <w:rPr>
          <w:rFonts w:ascii="Arial"/>
          <w:sz w:val="21"/>
        </w:rPr>
      </w:pPr>
    </w:p>
    <w:p w14:paraId="34AFB99E">
      <w:pPr>
        <w:spacing w:before="75" w:line="227" w:lineRule="auto"/>
        <w:ind w:left="598"/>
        <w:rPr>
          <w:rFonts w:ascii="Times New Roman" w:hAnsi="Times New Roman" w:eastAsia="Times New Roman" w:cs="Times New Roman"/>
          <w:sz w:val="23"/>
          <w:szCs w:val="23"/>
        </w:rPr>
      </w:pPr>
      <w:r>
        <w:rPr>
          <w:rFonts w:ascii="宋体" w:hAnsi="宋体" w:eastAsia="宋体" w:cs="宋体"/>
          <w:spacing w:val="-1"/>
          <w:sz w:val="23"/>
          <w:szCs w:val="23"/>
        </w:rPr>
        <w:t xml:space="preserve">本项目噪声现状监测时间为 </w:t>
      </w:r>
      <w:r>
        <w:rPr>
          <w:rFonts w:ascii="Times New Roman" w:hAnsi="Times New Roman" w:eastAsia="Times New Roman" w:cs="Times New Roman"/>
          <w:spacing w:val="-1"/>
          <w:sz w:val="23"/>
          <w:szCs w:val="23"/>
        </w:rPr>
        <w:t xml:space="preserve">2019 </w:t>
      </w:r>
      <w:r>
        <w:rPr>
          <w:rFonts w:ascii="宋体" w:hAnsi="宋体" w:eastAsia="宋体" w:cs="宋体"/>
          <w:spacing w:val="-1"/>
          <w:sz w:val="23"/>
          <w:szCs w:val="23"/>
        </w:rPr>
        <w:t xml:space="preserve">年 </w:t>
      </w:r>
      <w:r>
        <w:rPr>
          <w:rFonts w:ascii="Times New Roman" w:hAnsi="Times New Roman" w:eastAsia="Times New Roman" w:cs="Times New Roman"/>
          <w:spacing w:val="-1"/>
          <w:sz w:val="23"/>
          <w:szCs w:val="23"/>
        </w:rPr>
        <w:t xml:space="preserve">6 </w:t>
      </w:r>
      <w:r>
        <w:rPr>
          <w:rFonts w:ascii="宋体" w:hAnsi="宋体" w:eastAsia="宋体" w:cs="宋体"/>
          <w:spacing w:val="-1"/>
          <w:sz w:val="23"/>
          <w:szCs w:val="23"/>
        </w:rPr>
        <w:t xml:space="preserve">月 </w:t>
      </w:r>
      <w:r>
        <w:rPr>
          <w:rFonts w:ascii="Times New Roman" w:hAnsi="Times New Roman" w:eastAsia="Times New Roman" w:cs="Times New Roman"/>
          <w:spacing w:val="-1"/>
          <w:sz w:val="23"/>
          <w:szCs w:val="23"/>
        </w:rPr>
        <w:t xml:space="preserve">20 </w:t>
      </w:r>
      <w:r>
        <w:rPr>
          <w:rFonts w:ascii="宋体" w:hAnsi="宋体" w:eastAsia="宋体" w:cs="宋体"/>
          <w:spacing w:val="-1"/>
          <w:sz w:val="23"/>
          <w:szCs w:val="23"/>
        </w:rPr>
        <w:t>日、</w:t>
      </w:r>
      <w:r>
        <w:rPr>
          <w:rFonts w:ascii="Times New Roman" w:hAnsi="Times New Roman" w:eastAsia="Times New Roman" w:cs="Times New Roman"/>
          <w:spacing w:val="-1"/>
          <w:sz w:val="23"/>
          <w:szCs w:val="23"/>
        </w:rPr>
        <w:t>20</w:t>
      </w:r>
      <w:r>
        <w:rPr>
          <w:rFonts w:ascii="Times New Roman" w:hAnsi="Times New Roman" w:eastAsia="Times New Roman" w:cs="Times New Roman"/>
          <w:sz w:val="23"/>
          <w:szCs w:val="23"/>
        </w:rPr>
        <w:t xml:space="preserve">19 </w:t>
      </w:r>
      <w:r>
        <w:rPr>
          <w:rFonts w:ascii="宋体" w:hAnsi="宋体" w:eastAsia="宋体" w:cs="宋体"/>
          <w:sz w:val="23"/>
          <w:szCs w:val="23"/>
        </w:rPr>
        <w:t xml:space="preserve">年 </w:t>
      </w:r>
      <w:r>
        <w:rPr>
          <w:rFonts w:ascii="Times New Roman" w:hAnsi="Times New Roman" w:eastAsia="Times New Roman" w:cs="Times New Roman"/>
          <w:sz w:val="23"/>
          <w:szCs w:val="23"/>
        </w:rPr>
        <w:t xml:space="preserve">6 </w:t>
      </w:r>
      <w:r>
        <w:rPr>
          <w:rFonts w:ascii="宋体" w:hAnsi="宋体" w:eastAsia="宋体" w:cs="宋体"/>
          <w:sz w:val="23"/>
          <w:szCs w:val="23"/>
        </w:rPr>
        <w:t xml:space="preserve">月 </w:t>
      </w:r>
      <w:r>
        <w:rPr>
          <w:rFonts w:ascii="Times New Roman" w:hAnsi="Times New Roman" w:eastAsia="Times New Roman" w:cs="Times New Roman"/>
          <w:sz w:val="23"/>
          <w:szCs w:val="23"/>
        </w:rPr>
        <w:t xml:space="preserve">21 </w:t>
      </w:r>
      <w:r>
        <w:rPr>
          <w:rFonts w:ascii="宋体" w:hAnsi="宋体" w:eastAsia="宋体" w:cs="宋体"/>
          <w:sz w:val="23"/>
          <w:szCs w:val="23"/>
        </w:rPr>
        <w:t xml:space="preserve">日，监测 </w:t>
      </w:r>
      <w:r>
        <w:rPr>
          <w:rFonts w:ascii="Times New Roman" w:hAnsi="Times New Roman" w:eastAsia="Times New Roman" w:cs="Times New Roman"/>
          <w:sz w:val="23"/>
          <w:szCs w:val="23"/>
        </w:rPr>
        <w:t>2</w:t>
      </w:r>
    </w:p>
    <w:p w14:paraId="7DD1E23A">
      <w:pPr>
        <w:spacing w:before="197" w:line="221" w:lineRule="auto"/>
        <w:ind w:left="122"/>
        <w:rPr>
          <w:rFonts w:ascii="宋体" w:hAnsi="宋体" w:eastAsia="宋体" w:cs="宋体"/>
          <w:sz w:val="23"/>
          <w:szCs w:val="23"/>
        </w:rPr>
      </w:pPr>
      <w:r>
        <w:rPr>
          <w:rFonts w:ascii="宋体" w:hAnsi="宋体" w:eastAsia="宋体" w:cs="宋体"/>
          <w:spacing w:val="12"/>
          <w:sz w:val="23"/>
          <w:szCs w:val="23"/>
        </w:rPr>
        <w:t>天，</w:t>
      </w:r>
      <w:r>
        <w:rPr>
          <w:rFonts w:ascii="宋体" w:hAnsi="宋体" w:eastAsia="宋体" w:cs="宋体"/>
          <w:spacing w:val="7"/>
          <w:sz w:val="23"/>
          <w:szCs w:val="23"/>
        </w:rPr>
        <w:t>分</w:t>
      </w:r>
      <w:r>
        <w:rPr>
          <w:rFonts w:ascii="宋体" w:hAnsi="宋体" w:eastAsia="宋体" w:cs="宋体"/>
          <w:spacing w:val="6"/>
          <w:sz w:val="23"/>
          <w:szCs w:val="23"/>
        </w:rPr>
        <w:t xml:space="preserve">别监测昼、夜间代表性时段的等效声级 </w:t>
      </w:r>
      <w:r>
        <w:rPr>
          <w:rFonts w:ascii="Times New Roman" w:hAnsi="Times New Roman" w:eastAsia="Times New Roman" w:cs="Times New Roman"/>
          <w:sz w:val="23"/>
          <w:szCs w:val="23"/>
        </w:rPr>
        <w:t>Leq</w:t>
      </w:r>
      <w:r>
        <w:rPr>
          <w:rFonts w:ascii="宋体" w:hAnsi="宋体" w:eastAsia="宋体" w:cs="宋体"/>
          <w:spacing w:val="6"/>
          <w:sz w:val="23"/>
          <w:szCs w:val="23"/>
        </w:rPr>
        <w:t>。</w:t>
      </w:r>
    </w:p>
    <w:p w14:paraId="72683FB6">
      <w:pPr>
        <w:spacing w:line="284" w:lineRule="auto"/>
        <w:rPr>
          <w:rFonts w:ascii="Arial"/>
          <w:sz w:val="21"/>
        </w:rPr>
      </w:pPr>
    </w:p>
    <w:p w14:paraId="7D97C4E4">
      <w:pPr>
        <w:spacing w:before="75" w:line="228" w:lineRule="auto"/>
        <w:ind w:left="608"/>
        <w:rPr>
          <w:rFonts w:ascii="宋体" w:hAnsi="宋体" w:eastAsia="宋体" w:cs="宋体"/>
          <w:sz w:val="23"/>
          <w:szCs w:val="23"/>
        </w:rPr>
      </w:pPr>
      <w:r>
        <w:rPr>
          <w:rFonts w:ascii="宋体" w:hAnsi="宋体" w:eastAsia="宋体" w:cs="宋体"/>
          <w:spacing w:val="20"/>
          <w:sz w:val="23"/>
          <w:szCs w:val="23"/>
        </w:rPr>
        <w:t>(</w:t>
      </w:r>
      <w:r>
        <w:rPr>
          <w:rFonts w:ascii="Times New Roman" w:hAnsi="Times New Roman" w:eastAsia="Times New Roman" w:cs="Times New Roman"/>
          <w:spacing w:val="20"/>
          <w:sz w:val="23"/>
          <w:szCs w:val="23"/>
        </w:rPr>
        <w:t>4</w:t>
      </w:r>
      <w:r>
        <w:rPr>
          <w:rFonts w:ascii="宋体" w:hAnsi="宋体" w:eastAsia="宋体" w:cs="宋体"/>
          <w:spacing w:val="20"/>
          <w:sz w:val="23"/>
          <w:szCs w:val="23"/>
        </w:rPr>
        <w:t>) 分析方</w:t>
      </w:r>
      <w:r>
        <w:rPr>
          <w:rFonts w:ascii="宋体" w:hAnsi="宋体" w:eastAsia="宋体" w:cs="宋体"/>
          <w:spacing w:val="19"/>
          <w:sz w:val="23"/>
          <w:szCs w:val="23"/>
        </w:rPr>
        <w:t>法</w:t>
      </w:r>
    </w:p>
    <w:p w14:paraId="2D80E796">
      <w:pPr>
        <w:spacing w:line="275" w:lineRule="auto"/>
        <w:rPr>
          <w:rFonts w:ascii="Arial"/>
          <w:sz w:val="21"/>
        </w:rPr>
      </w:pPr>
    </w:p>
    <w:p w14:paraId="622BABF5">
      <w:pPr>
        <w:spacing w:before="74" w:line="394" w:lineRule="auto"/>
        <w:ind w:left="144" w:right="110" w:firstLine="471"/>
        <w:rPr>
          <w:rFonts w:ascii="宋体" w:hAnsi="宋体" w:eastAsia="宋体" w:cs="宋体"/>
          <w:sz w:val="23"/>
          <w:szCs w:val="23"/>
        </w:rPr>
      </w:pPr>
      <w:r>
        <w:rPr>
          <w:rFonts w:ascii="宋体" w:hAnsi="宋体" w:eastAsia="宋体" w:cs="宋体"/>
          <w:spacing w:val="10"/>
          <w:sz w:val="23"/>
          <w:szCs w:val="23"/>
        </w:rPr>
        <w:t>按《声环境质量标准》  (</w:t>
      </w:r>
      <w:r>
        <w:rPr>
          <w:rFonts w:ascii="Times New Roman" w:hAnsi="Times New Roman" w:eastAsia="Times New Roman" w:cs="Times New Roman"/>
          <w:sz w:val="23"/>
          <w:szCs w:val="23"/>
        </w:rPr>
        <w:t>GB</w:t>
      </w:r>
      <w:r>
        <w:rPr>
          <w:rFonts w:ascii="Times New Roman" w:hAnsi="Times New Roman" w:eastAsia="Times New Roman" w:cs="Times New Roman"/>
          <w:spacing w:val="10"/>
          <w:sz w:val="23"/>
          <w:szCs w:val="23"/>
        </w:rPr>
        <w:t>3096-2008</w:t>
      </w:r>
      <w:r>
        <w:rPr>
          <w:rFonts w:ascii="宋体" w:hAnsi="宋体" w:eastAsia="宋体" w:cs="宋体"/>
          <w:spacing w:val="10"/>
          <w:sz w:val="23"/>
          <w:szCs w:val="23"/>
        </w:rPr>
        <w:t>) 中监测要求进行，测点的声压</w:t>
      </w:r>
      <w:r>
        <w:rPr>
          <w:rFonts w:ascii="宋体" w:hAnsi="宋体" w:eastAsia="宋体" w:cs="宋体"/>
          <w:spacing w:val="9"/>
          <w:sz w:val="23"/>
          <w:szCs w:val="23"/>
        </w:rPr>
        <w:t>级</w:t>
      </w:r>
      <w:r>
        <w:rPr>
          <w:rFonts w:ascii="宋体" w:hAnsi="宋体" w:eastAsia="宋体" w:cs="宋体"/>
          <w:sz w:val="23"/>
          <w:szCs w:val="23"/>
        </w:rPr>
        <w:t xml:space="preserve"> </w:t>
      </w:r>
      <w:r>
        <w:rPr>
          <w:rFonts w:ascii="宋体" w:hAnsi="宋体" w:eastAsia="宋体" w:cs="宋体"/>
          <w:spacing w:val="12"/>
          <w:sz w:val="23"/>
          <w:szCs w:val="23"/>
        </w:rPr>
        <w:t xml:space="preserve">以 </w:t>
      </w:r>
      <w:r>
        <w:rPr>
          <w:rFonts w:ascii="Times New Roman" w:hAnsi="Times New Roman" w:eastAsia="Times New Roman" w:cs="Times New Roman"/>
          <w:sz w:val="23"/>
          <w:szCs w:val="23"/>
        </w:rPr>
        <w:t>A</w:t>
      </w:r>
      <w:r>
        <w:rPr>
          <w:rFonts w:ascii="Times New Roman" w:hAnsi="Times New Roman" w:eastAsia="Times New Roman" w:cs="Times New Roman"/>
          <w:spacing w:val="12"/>
          <w:sz w:val="23"/>
          <w:szCs w:val="23"/>
        </w:rPr>
        <w:t xml:space="preserve"> </w:t>
      </w:r>
      <w:r>
        <w:rPr>
          <w:rFonts w:ascii="宋体" w:hAnsi="宋体" w:eastAsia="宋体" w:cs="宋体"/>
          <w:spacing w:val="8"/>
          <w:sz w:val="23"/>
          <w:szCs w:val="23"/>
        </w:rPr>
        <w:t>声</w:t>
      </w:r>
      <w:r>
        <w:rPr>
          <w:rFonts w:ascii="宋体" w:hAnsi="宋体" w:eastAsia="宋体" w:cs="宋体"/>
          <w:spacing w:val="6"/>
          <w:sz w:val="23"/>
          <w:szCs w:val="23"/>
        </w:rPr>
        <w:t xml:space="preserve">级计。测量应在无雨且风量小于 </w:t>
      </w:r>
      <w:r>
        <w:rPr>
          <w:rFonts w:ascii="Times New Roman" w:hAnsi="Times New Roman" w:eastAsia="Times New Roman" w:cs="Times New Roman"/>
          <w:spacing w:val="6"/>
          <w:sz w:val="23"/>
          <w:szCs w:val="23"/>
        </w:rPr>
        <w:t>5</w:t>
      </w:r>
      <w:r>
        <w:rPr>
          <w:rFonts w:ascii="Times New Roman" w:hAnsi="Times New Roman" w:eastAsia="Times New Roman" w:cs="Times New Roman"/>
          <w:sz w:val="23"/>
          <w:szCs w:val="23"/>
        </w:rPr>
        <w:t>m</w:t>
      </w:r>
      <w:r>
        <w:rPr>
          <w:rFonts w:ascii="Times New Roman" w:hAnsi="Times New Roman" w:eastAsia="Times New Roman" w:cs="Times New Roman"/>
          <w:spacing w:val="6"/>
          <w:sz w:val="23"/>
          <w:szCs w:val="23"/>
        </w:rPr>
        <w:t>/</w:t>
      </w:r>
      <w:r>
        <w:rPr>
          <w:rFonts w:ascii="Times New Roman" w:hAnsi="Times New Roman" w:eastAsia="Times New Roman" w:cs="Times New Roman"/>
          <w:sz w:val="23"/>
          <w:szCs w:val="23"/>
        </w:rPr>
        <w:t>s</w:t>
      </w:r>
      <w:r>
        <w:rPr>
          <w:rFonts w:ascii="宋体" w:hAnsi="宋体" w:eastAsia="宋体" w:cs="宋体"/>
          <w:spacing w:val="6"/>
          <w:sz w:val="23"/>
          <w:szCs w:val="23"/>
        </w:rPr>
        <w:t>，加防风罩条件下进行。监测结果</w:t>
      </w:r>
    </w:p>
    <w:p w14:paraId="7D618719">
      <w:pPr>
        <w:spacing w:before="135" w:line="228" w:lineRule="auto"/>
        <w:ind w:left="608"/>
        <w:rPr>
          <w:rFonts w:ascii="宋体" w:hAnsi="宋体" w:eastAsia="宋体" w:cs="宋体"/>
          <w:sz w:val="23"/>
          <w:szCs w:val="23"/>
        </w:rPr>
      </w:pPr>
      <w:r>
        <w:rPr>
          <w:rFonts w:ascii="宋体" w:hAnsi="宋体" w:eastAsia="宋体" w:cs="宋体"/>
          <w:spacing w:val="20"/>
          <w:sz w:val="23"/>
          <w:szCs w:val="23"/>
        </w:rPr>
        <w:t>(</w:t>
      </w:r>
      <w:r>
        <w:rPr>
          <w:rFonts w:ascii="Times New Roman" w:hAnsi="Times New Roman" w:eastAsia="Times New Roman" w:cs="Times New Roman"/>
          <w:spacing w:val="20"/>
          <w:sz w:val="23"/>
          <w:szCs w:val="23"/>
        </w:rPr>
        <w:t>5</w:t>
      </w:r>
      <w:r>
        <w:rPr>
          <w:rFonts w:ascii="宋体" w:hAnsi="宋体" w:eastAsia="宋体" w:cs="宋体"/>
          <w:spacing w:val="20"/>
          <w:sz w:val="23"/>
          <w:szCs w:val="23"/>
        </w:rPr>
        <w:t>) 监测结</w:t>
      </w:r>
      <w:r>
        <w:rPr>
          <w:rFonts w:ascii="宋体" w:hAnsi="宋体" w:eastAsia="宋体" w:cs="宋体"/>
          <w:spacing w:val="19"/>
          <w:sz w:val="23"/>
          <w:szCs w:val="23"/>
        </w:rPr>
        <w:t>果</w:t>
      </w:r>
    </w:p>
    <w:p w14:paraId="3D79FF27">
      <w:pPr>
        <w:spacing w:line="274" w:lineRule="auto"/>
        <w:rPr>
          <w:rFonts w:ascii="Arial"/>
          <w:sz w:val="21"/>
        </w:rPr>
      </w:pPr>
    </w:p>
    <w:p w14:paraId="456E1FDB">
      <w:pPr>
        <w:spacing w:before="76" w:line="227" w:lineRule="auto"/>
        <w:ind w:left="598"/>
        <w:rPr>
          <w:rFonts w:ascii="宋体" w:hAnsi="宋体" w:eastAsia="宋体" w:cs="宋体"/>
          <w:sz w:val="23"/>
          <w:szCs w:val="23"/>
        </w:rPr>
      </w:pPr>
      <w:r>
        <w:rPr>
          <w:rFonts w:ascii="宋体" w:hAnsi="宋体" w:eastAsia="宋体" w:cs="宋体"/>
          <w:spacing w:val="2"/>
          <w:sz w:val="23"/>
          <w:szCs w:val="23"/>
        </w:rPr>
        <w:t>本项目噪</w:t>
      </w:r>
      <w:r>
        <w:rPr>
          <w:rFonts w:ascii="宋体" w:hAnsi="宋体" w:eastAsia="宋体" w:cs="宋体"/>
          <w:spacing w:val="1"/>
          <w:sz w:val="23"/>
          <w:szCs w:val="23"/>
        </w:rPr>
        <w:t xml:space="preserve">声现状监测结果见表 </w:t>
      </w:r>
      <w:r>
        <w:rPr>
          <w:rFonts w:ascii="Times New Roman" w:hAnsi="Times New Roman" w:eastAsia="Times New Roman" w:cs="Times New Roman"/>
          <w:spacing w:val="1"/>
          <w:sz w:val="23"/>
          <w:szCs w:val="23"/>
        </w:rPr>
        <w:t>4- 15</w:t>
      </w:r>
      <w:r>
        <w:rPr>
          <w:rFonts w:ascii="宋体" w:hAnsi="宋体" w:eastAsia="宋体" w:cs="宋体"/>
          <w:spacing w:val="1"/>
          <w:sz w:val="23"/>
          <w:szCs w:val="23"/>
        </w:rPr>
        <w:t>。</w:t>
      </w:r>
    </w:p>
    <w:p w14:paraId="4A8F660E">
      <w:pPr>
        <w:spacing w:before="307" w:line="331" w:lineRule="exact"/>
        <w:ind w:left="1666"/>
        <w:rPr>
          <w:rFonts w:ascii="宋体" w:hAnsi="宋体" w:eastAsia="宋体" w:cs="宋体"/>
          <w:sz w:val="23"/>
          <w:szCs w:val="23"/>
        </w:rPr>
      </w:pPr>
      <w:r>
        <w:rPr>
          <w:rFonts w:ascii="宋体" w:hAnsi="宋体" w:eastAsia="宋体" w:cs="宋体"/>
          <w:spacing w:val="5"/>
          <w:position w:val="2"/>
          <w:sz w:val="23"/>
          <w:szCs w:val="23"/>
          <w14:textOutline w14:w="4358" w14:cap="sq" w14:cmpd="sng">
            <w14:solidFill>
              <w14:srgbClr w14:val="000000"/>
            </w14:solidFill>
            <w14:prstDash w14:val="solid"/>
            <w14:bevel/>
          </w14:textOutline>
        </w:rPr>
        <w:t>表</w:t>
      </w:r>
      <w:r>
        <w:rPr>
          <w:rFonts w:ascii="宋体" w:hAnsi="宋体" w:eastAsia="宋体" w:cs="宋体"/>
          <w:spacing w:val="5"/>
          <w:position w:val="2"/>
          <w:sz w:val="23"/>
          <w:szCs w:val="23"/>
        </w:rPr>
        <w:t xml:space="preserve"> </w:t>
      </w:r>
      <w:r>
        <w:rPr>
          <w:rFonts w:ascii="Times New Roman" w:hAnsi="Times New Roman" w:eastAsia="Times New Roman" w:cs="Times New Roman"/>
          <w:b/>
          <w:bCs/>
          <w:spacing w:val="5"/>
          <w:position w:val="2"/>
          <w:sz w:val="23"/>
          <w:szCs w:val="23"/>
        </w:rPr>
        <w:t>4-15</w:t>
      </w:r>
      <w:r>
        <w:rPr>
          <w:rFonts w:ascii="Times New Roman" w:hAnsi="Times New Roman" w:eastAsia="Times New Roman" w:cs="Times New Roman"/>
          <w:spacing w:val="5"/>
          <w:position w:val="2"/>
          <w:sz w:val="23"/>
          <w:szCs w:val="23"/>
        </w:rPr>
        <w:t xml:space="preserve">        </w:t>
      </w:r>
      <w:r>
        <w:rPr>
          <w:rFonts w:ascii="宋体" w:hAnsi="宋体" w:eastAsia="宋体" w:cs="宋体"/>
          <w:spacing w:val="5"/>
          <w:position w:val="2"/>
          <w:sz w:val="23"/>
          <w:szCs w:val="23"/>
          <w14:textOutline w14:w="4358" w14:cap="sq" w14:cmpd="sng">
            <w14:solidFill>
              <w14:srgbClr w14:val="000000"/>
            </w14:solidFill>
            <w14:prstDash w14:val="solid"/>
            <w14:bevel/>
          </w14:textOutline>
        </w:rPr>
        <w:t>噪声现状监测结果表</w:t>
      </w:r>
      <w:r>
        <w:rPr>
          <w:rFonts w:ascii="宋体" w:hAnsi="宋体" w:eastAsia="宋体" w:cs="宋体"/>
          <w:spacing w:val="5"/>
          <w:position w:val="2"/>
          <w:sz w:val="23"/>
          <w:szCs w:val="23"/>
        </w:rPr>
        <w:t xml:space="preserve"> </w:t>
      </w:r>
      <w:r>
        <w:rPr>
          <w:rFonts w:ascii="宋体" w:hAnsi="宋体" w:eastAsia="宋体" w:cs="宋体"/>
          <w:spacing w:val="5"/>
          <w:position w:val="2"/>
          <w:sz w:val="23"/>
          <w:szCs w:val="23"/>
          <w14:textOutline w14:w="4358" w14:cap="sq" w14:cmpd="sng">
            <w14:solidFill>
              <w14:srgbClr w14:val="000000"/>
            </w14:solidFill>
            <w14:prstDash w14:val="solid"/>
            <w14:bevel/>
          </w14:textOutline>
        </w:rPr>
        <w:t>(单位：</w:t>
      </w:r>
      <w:r>
        <w:rPr>
          <w:rFonts w:ascii="Times New Roman" w:hAnsi="Times New Roman" w:eastAsia="Times New Roman" w:cs="Times New Roman"/>
          <w:b/>
          <w:bCs/>
          <w:position w:val="2"/>
          <w:sz w:val="23"/>
          <w:szCs w:val="23"/>
        </w:rPr>
        <w:t>dB</w:t>
      </w:r>
      <w:r>
        <w:rPr>
          <w:rFonts w:ascii="Times New Roman" w:hAnsi="Times New Roman" w:eastAsia="Times New Roman" w:cs="Times New Roman"/>
          <w:b/>
          <w:bCs/>
          <w:spacing w:val="5"/>
          <w:position w:val="2"/>
          <w:sz w:val="23"/>
          <w:szCs w:val="23"/>
        </w:rPr>
        <w:t>(</w:t>
      </w:r>
      <w:r>
        <w:rPr>
          <w:rFonts w:ascii="Times New Roman" w:hAnsi="Times New Roman" w:eastAsia="Times New Roman" w:cs="Times New Roman"/>
          <w:b/>
          <w:bCs/>
          <w:position w:val="2"/>
          <w:sz w:val="23"/>
          <w:szCs w:val="23"/>
        </w:rPr>
        <w:t>A</w:t>
      </w:r>
      <w:r>
        <w:rPr>
          <w:rFonts w:ascii="Times New Roman" w:hAnsi="Times New Roman" w:eastAsia="Times New Roman" w:cs="Times New Roman"/>
          <w:b/>
          <w:bCs/>
          <w:spacing w:val="5"/>
          <w:position w:val="2"/>
          <w:sz w:val="23"/>
          <w:szCs w:val="23"/>
        </w:rPr>
        <w:t>)</w:t>
      </w:r>
      <w:r>
        <w:rPr>
          <w:rFonts w:ascii="宋体" w:hAnsi="宋体" w:eastAsia="宋体" w:cs="宋体"/>
          <w:spacing w:val="5"/>
          <w:position w:val="2"/>
          <w:sz w:val="23"/>
          <w:szCs w:val="23"/>
          <w14:textOutline w14:w="4358" w14:cap="sq" w14:cmpd="sng">
            <w14:solidFill>
              <w14:srgbClr w14:val="000000"/>
            </w14:solidFill>
            <w14:prstDash w14:val="solid"/>
            <w14:bevel/>
          </w14:textOutline>
        </w:rPr>
        <w:t>)</w:t>
      </w:r>
    </w:p>
    <w:p w14:paraId="0E79A44D">
      <w:pPr>
        <w:spacing w:line="17" w:lineRule="exact"/>
      </w:pPr>
    </w:p>
    <w:tbl>
      <w:tblPr>
        <w:tblStyle w:val="4"/>
        <w:tblW w:w="852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5"/>
        <w:gridCol w:w="905"/>
        <w:gridCol w:w="905"/>
        <w:gridCol w:w="905"/>
        <w:gridCol w:w="905"/>
        <w:gridCol w:w="905"/>
        <w:gridCol w:w="905"/>
        <w:gridCol w:w="904"/>
        <w:gridCol w:w="912"/>
      </w:tblGrid>
      <w:tr w14:paraId="6F1440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1275" w:type="dxa"/>
            <w:vMerge w:val="restart"/>
            <w:tcBorders>
              <w:left w:val="nil"/>
              <w:bottom w:val="nil"/>
            </w:tcBorders>
            <w:vAlign w:val="top"/>
          </w:tcPr>
          <w:p w14:paraId="5CD67482">
            <w:pPr>
              <w:spacing w:line="246" w:lineRule="auto"/>
              <w:rPr>
                <w:rFonts w:ascii="Arial"/>
                <w:sz w:val="21"/>
              </w:rPr>
            </w:pPr>
          </w:p>
          <w:p w14:paraId="402F1A53">
            <w:pPr>
              <w:spacing w:line="246" w:lineRule="auto"/>
              <w:rPr>
                <w:rFonts w:ascii="Arial"/>
                <w:sz w:val="21"/>
              </w:rPr>
            </w:pPr>
          </w:p>
          <w:p w14:paraId="3B44C80F">
            <w:pPr>
              <w:spacing w:before="65" w:line="229" w:lineRule="auto"/>
              <w:ind w:left="224"/>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测</w:t>
            </w:r>
            <w:r>
              <w:rPr>
                <w:rFonts w:ascii="宋体" w:hAnsi="宋体" w:eastAsia="宋体" w:cs="宋体"/>
                <w:spacing w:val="8"/>
                <w:sz w:val="20"/>
                <w:szCs w:val="20"/>
                <w14:textOutline w14:w="3795" w14:cap="sq" w14:cmpd="sng">
                  <w14:solidFill>
                    <w14:srgbClr w14:val="000000"/>
                  </w14:solidFill>
                  <w14:prstDash w14:val="solid"/>
                  <w14:bevel/>
                </w14:textOutline>
              </w:rPr>
              <w:t>点名称</w:t>
            </w:r>
          </w:p>
        </w:tc>
        <w:tc>
          <w:tcPr>
            <w:tcW w:w="7246" w:type="dxa"/>
            <w:gridSpan w:val="8"/>
            <w:tcBorders>
              <w:right w:val="nil"/>
            </w:tcBorders>
            <w:vAlign w:val="top"/>
          </w:tcPr>
          <w:p w14:paraId="4559D05A">
            <w:pPr>
              <w:spacing w:before="37" w:line="288" w:lineRule="exact"/>
              <w:ind w:left="2481"/>
              <w:rPr>
                <w:rFonts w:ascii="宋体" w:hAnsi="宋体" w:eastAsia="宋体" w:cs="宋体"/>
                <w:sz w:val="20"/>
                <w:szCs w:val="20"/>
              </w:rPr>
            </w:pPr>
            <w:r>
              <w:rPr>
                <w:rFonts w:ascii="宋体" w:hAnsi="宋体" w:eastAsia="宋体" w:cs="宋体"/>
                <w:spacing w:val="13"/>
                <w:position w:val="3"/>
                <w:sz w:val="20"/>
                <w:szCs w:val="20"/>
                <w14:textOutline w14:w="3795" w14:cap="sq" w14:cmpd="sng">
                  <w14:solidFill>
                    <w14:srgbClr w14:val="000000"/>
                  </w14:solidFill>
                  <w14:prstDash w14:val="solid"/>
                  <w14:bevel/>
                </w14:textOutline>
              </w:rPr>
              <w:t>检</w:t>
            </w:r>
            <w:r>
              <w:rPr>
                <w:rFonts w:ascii="宋体" w:hAnsi="宋体" w:eastAsia="宋体" w:cs="宋体"/>
                <w:spacing w:val="8"/>
                <w:position w:val="3"/>
                <w:sz w:val="20"/>
                <w:szCs w:val="20"/>
                <w14:textOutline w14:w="3795" w14:cap="sq" w14:cmpd="sng">
                  <w14:solidFill>
                    <w14:srgbClr w14:val="000000"/>
                  </w14:solidFill>
                  <w14:prstDash w14:val="solid"/>
                  <w14:bevel/>
                </w14:textOutline>
              </w:rPr>
              <w:t>测结果</w:t>
            </w:r>
            <w:r>
              <w:rPr>
                <w:rFonts w:ascii="宋体" w:hAnsi="宋体" w:eastAsia="宋体" w:cs="宋体"/>
                <w:spacing w:val="8"/>
                <w:position w:val="3"/>
                <w:sz w:val="20"/>
                <w:szCs w:val="20"/>
              </w:rPr>
              <w:t xml:space="preserve"> </w:t>
            </w:r>
            <w:r>
              <w:rPr>
                <w:rFonts w:ascii="宋体" w:hAnsi="宋体" w:eastAsia="宋体" w:cs="宋体"/>
                <w:spacing w:val="8"/>
                <w:position w:val="3"/>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position w:val="3"/>
                <w:sz w:val="20"/>
                <w:szCs w:val="20"/>
              </w:rPr>
              <w:t>Leq</w:t>
            </w:r>
            <w:r>
              <w:rPr>
                <w:rFonts w:ascii="Times New Roman" w:hAnsi="Times New Roman" w:eastAsia="Times New Roman" w:cs="Times New Roman"/>
                <w:b/>
                <w:bCs/>
                <w:spacing w:val="8"/>
                <w:position w:val="3"/>
                <w:sz w:val="20"/>
                <w:szCs w:val="20"/>
              </w:rPr>
              <w:t>[</w:t>
            </w:r>
            <w:r>
              <w:rPr>
                <w:rFonts w:ascii="Times New Roman" w:hAnsi="Times New Roman" w:eastAsia="Times New Roman" w:cs="Times New Roman"/>
                <w:b/>
                <w:bCs/>
                <w:position w:val="3"/>
                <w:sz w:val="20"/>
                <w:szCs w:val="20"/>
              </w:rPr>
              <w:t>dB</w:t>
            </w:r>
            <w:r>
              <w:rPr>
                <w:rFonts w:ascii="Times New Roman" w:hAnsi="Times New Roman" w:eastAsia="Times New Roman" w:cs="Times New Roman"/>
                <w:b/>
                <w:bCs/>
                <w:spacing w:val="8"/>
                <w:position w:val="3"/>
                <w:sz w:val="20"/>
                <w:szCs w:val="20"/>
              </w:rPr>
              <w:t>(</w:t>
            </w:r>
            <w:r>
              <w:rPr>
                <w:rFonts w:ascii="Times New Roman" w:hAnsi="Times New Roman" w:eastAsia="Times New Roman" w:cs="Times New Roman"/>
                <w:b/>
                <w:bCs/>
                <w:position w:val="3"/>
                <w:sz w:val="20"/>
                <w:szCs w:val="20"/>
              </w:rPr>
              <w:t>A</w:t>
            </w:r>
            <w:r>
              <w:rPr>
                <w:rFonts w:ascii="Times New Roman" w:hAnsi="Times New Roman" w:eastAsia="Times New Roman" w:cs="Times New Roman"/>
                <w:b/>
                <w:bCs/>
                <w:spacing w:val="8"/>
                <w:position w:val="3"/>
                <w:sz w:val="20"/>
                <w:szCs w:val="20"/>
              </w:rPr>
              <w:t>)]</w:t>
            </w:r>
            <w:r>
              <w:rPr>
                <w:rFonts w:ascii="宋体" w:hAnsi="宋体" w:eastAsia="宋体" w:cs="宋体"/>
                <w:spacing w:val="8"/>
                <w:position w:val="3"/>
                <w:sz w:val="20"/>
                <w:szCs w:val="20"/>
                <w14:textOutline w14:w="3795" w14:cap="sq" w14:cmpd="sng">
                  <w14:solidFill>
                    <w14:srgbClr w14:val="000000"/>
                  </w14:solidFill>
                  <w14:prstDash w14:val="solid"/>
                  <w14:bevel/>
                </w14:textOutline>
              </w:rPr>
              <w:t>)</w:t>
            </w:r>
          </w:p>
        </w:tc>
      </w:tr>
      <w:tr w14:paraId="6C1361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275" w:type="dxa"/>
            <w:vMerge w:val="continue"/>
            <w:tcBorders>
              <w:top w:val="nil"/>
              <w:left w:val="nil"/>
              <w:bottom w:val="nil"/>
            </w:tcBorders>
            <w:vAlign w:val="top"/>
          </w:tcPr>
          <w:p w14:paraId="0191F648">
            <w:pPr>
              <w:rPr>
                <w:rFonts w:ascii="Arial"/>
                <w:sz w:val="21"/>
              </w:rPr>
            </w:pPr>
          </w:p>
        </w:tc>
        <w:tc>
          <w:tcPr>
            <w:tcW w:w="3620" w:type="dxa"/>
            <w:gridSpan w:val="4"/>
            <w:vAlign w:val="top"/>
          </w:tcPr>
          <w:p w14:paraId="379D7238">
            <w:pPr>
              <w:spacing w:before="50" w:line="228" w:lineRule="auto"/>
              <w:ind w:left="947"/>
              <w:rPr>
                <w:rFonts w:ascii="宋体" w:hAnsi="宋体" w:eastAsia="宋体" w:cs="宋体"/>
                <w:sz w:val="20"/>
                <w:szCs w:val="20"/>
              </w:rPr>
            </w:pPr>
            <w:r>
              <w:rPr>
                <w:rFonts w:ascii="Times New Roman" w:hAnsi="Times New Roman" w:eastAsia="Times New Roman" w:cs="Times New Roman"/>
                <w:b/>
                <w:bCs/>
                <w:spacing w:val="1"/>
                <w:sz w:val="20"/>
                <w:szCs w:val="20"/>
              </w:rPr>
              <w:t>2019</w:t>
            </w:r>
            <w:r>
              <w:rPr>
                <w:rFonts w:ascii="Times New Roman" w:hAnsi="Times New Roman" w:eastAsia="Times New Roman" w:cs="Times New Roman"/>
                <w:spacing w:val="1"/>
                <w:sz w:val="20"/>
                <w:szCs w:val="20"/>
              </w:rPr>
              <w:t xml:space="preserve"> </w:t>
            </w:r>
            <w:r>
              <w:rPr>
                <w:rFonts w:ascii="宋体" w:hAnsi="宋体" w:eastAsia="宋体" w:cs="宋体"/>
                <w:spacing w:val="1"/>
                <w:sz w:val="20"/>
                <w:szCs w:val="20"/>
                <w14:textOutline w14:w="3795" w14:cap="sq" w14:cmpd="sng">
                  <w14:solidFill>
                    <w14:srgbClr w14:val="000000"/>
                  </w14:solidFill>
                  <w14:prstDash w14:val="solid"/>
                  <w14:bevel/>
                </w14:textOutline>
              </w:rPr>
              <w:t>年</w:t>
            </w:r>
            <w:r>
              <w:rPr>
                <w:rFonts w:ascii="宋体" w:hAnsi="宋体" w:eastAsia="宋体" w:cs="宋体"/>
                <w:spacing w:val="1"/>
                <w:sz w:val="20"/>
                <w:szCs w:val="20"/>
              </w:rPr>
              <w:t xml:space="preserve"> </w:t>
            </w:r>
            <w:r>
              <w:rPr>
                <w:rFonts w:ascii="Times New Roman" w:hAnsi="Times New Roman" w:eastAsia="Times New Roman" w:cs="Times New Roman"/>
                <w:b/>
                <w:bCs/>
                <w:spacing w:val="1"/>
                <w:sz w:val="20"/>
                <w:szCs w:val="20"/>
              </w:rPr>
              <w:t>06</w:t>
            </w:r>
            <w:r>
              <w:rPr>
                <w:rFonts w:ascii="Times New Roman" w:hAnsi="Times New Roman" w:eastAsia="Times New Roman" w:cs="Times New Roman"/>
                <w:spacing w:val="1"/>
                <w:sz w:val="20"/>
                <w:szCs w:val="20"/>
              </w:rPr>
              <w:t xml:space="preserve"> </w:t>
            </w:r>
            <w:r>
              <w:rPr>
                <w:rFonts w:ascii="宋体" w:hAnsi="宋体" w:eastAsia="宋体" w:cs="宋体"/>
                <w:spacing w:val="1"/>
                <w:sz w:val="20"/>
                <w:szCs w:val="20"/>
                <w14:textOutline w14:w="3795" w14:cap="sq" w14:cmpd="sng">
                  <w14:solidFill>
                    <w14:srgbClr w14:val="000000"/>
                  </w14:solidFill>
                  <w14:prstDash w14:val="solid"/>
                  <w14:bevel/>
                </w14:textOutline>
              </w:rPr>
              <w:t>月</w:t>
            </w:r>
            <w:r>
              <w:rPr>
                <w:rFonts w:ascii="宋体" w:hAnsi="宋体" w:eastAsia="宋体" w:cs="宋体"/>
                <w:spacing w:val="1"/>
                <w:sz w:val="20"/>
                <w:szCs w:val="20"/>
              </w:rPr>
              <w:t xml:space="preserve"> </w:t>
            </w:r>
            <w:r>
              <w:rPr>
                <w:rFonts w:ascii="Times New Roman" w:hAnsi="Times New Roman" w:eastAsia="Times New Roman" w:cs="Times New Roman"/>
                <w:b/>
                <w:bCs/>
                <w:spacing w:val="1"/>
                <w:sz w:val="20"/>
                <w:szCs w:val="20"/>
              </w:rPr>
              <w:t>2</w:t>
            </w:r>
            <w:r>
              <w:rPr>
                <w:rFonts w:ascii="Times New Roman" w:hAnsi="Times New Roman" w:eastAsia="Times New Roman" w:cs="Times New Roman"/>
                <w:b/>
                <w:bCs/>
                <w:sz w:val="20"/>
                <w:szCs w:val="20"/>
              </w:rPr>
              <w:t>0</w:t>
            </w:r>
            <w:r>
              <w:rPr>
                <w:rFonts w:ascii="Times New Roman" w:hAnsi="Times New Roman" w:eastAsia="Times New Roman" w:cs="Times New Roman"/>
                <w:sz w:val="20"/>
                <w:szCs w:val="20"/>
              </w:rPr>
              <w:t xml:space="preserve"> </w:t>
            </w:r>
            <w:r>
              <w:rPr>
                <w:rFonts w:ascii="宋体" w:hAnsi="宋体" w:eastAsia="宋体" w:cs="宋体"/>
                <w:sz w:val="20"/>
                <w:szCs w:val="20"/>
                <w14:textOutline w14:w="3795" w14:cap="sq" w14:cmpd="sng">
                  <w14:solidFill>
                    <w14:srgbClr w14:val="000000"/>
                  </w14:solidFill>
                  <w14:prstDash w14:val="solid"/>
                  <w14:bevel/>
                </w14:textOutline>
              </w:rPr>
              <w:t>日</w:t>
            </w:r>
          </w:p>
        </w:tc>
        <w:tc>
          <w:tcPr>
            <w:tcW w:w="3626" w:type="dxa"/>
            <w:gridSpan w:val="4"/>
            <w:tcBorders>
              <w:right w:val="nil"/>
            </w:tcBorders>
            <w:vAlign w:val="top"/>
          </w:tcPr>
          <w:p w14:paraId="6D6FC730">
            <w:pPr>
              <w:spacing w:before="50" w:line="228" w:lineRule="auto"/>
              <w:ind w:left="949"/>
              <w:rPr>
                <w:rFonts w:ascii="宋体" w:hAnsi="宋体" w:eastAsia="宋体" w:cs="宋体"/>
                <w:sz w:val="20"/>
                <w:szCs w:val="20"/>
              </w:rPr>
            </w:pPr>
            <w:r>
              <w:rPr>
                <w:rFonts w:ascii="Times New Roman" w:hAnsi="Times New Roman" w:eastAsia="Times New Roman" w:cs="Times New Roman"/>
                <w:b/>
                <w:bCs/>
                <w:spacing w:val="1"/>
                <w:sz w:val="20"/>
                <w:szCs w:val="20"/>
              </w:rPr>
              <w:t>2019</w:t>
            </w:r>
            <w:r>
              <w:rPr>
                <w:rFonts w:ascii="Times New Roman" w:hAnsi="Times New Roman" w:eastAsia="Times New Roman" w:cs="Times New Roman"/>
                <w:spacing w:val="1"/>
                <w:sz w:val="20"/>
                <w:szCs w:val="20"/>
              </w:rPr>
              <w:t xml:space="preserve"> </w:t>
            </w:r>
            <w:r>
              <w:rPr>
                <w:rFonts w:ascii="宋体" w:hAnsi="宋体" w:eastAsia="宋体" w:cs="宋体"/>
                <w:spacing w:val="1"/>
                <w:sz w:val="20"/>
                <w:szCs w:val="20"/>
                <w14:textOutline w14:w="3795" w14:cap="sq" w14:cmpd="sng">
                  <w14:solidFill>
                    <w14:srgbClr w14:val="000000"/>
                  </w14:solidFill>
                  <w14:prstDash w14:val="solid"/>
                  <w14:bevel/>
                </w14:textOutline>
              </w:rPr>
              <w:t>年</w:t>
            </w:r>
            <w:r>
              <w:rPr>
                <w:rFonts w:ascii="宋体" w:hAnsi="宋体" w:eastAsia="宋体" w:cs="宋体"/>
                <w:spacing w:val="1"/>
                <w:sz w:val="20"/>
                <w:szCs w:val="20"/>
              </w:rPr>
              <w:t xml:space="preserve"> </w:t>
            </w:r>
            <w:r>
              <w:rPr>
                <w:rFonts w:ascii="Times New Roman" w:hAnsi="Times New Roman" w:eastAsia="Times New Roman" w:cs="Times New Roman"/>
                <w:b/>
                <w:bCs/>
                <w:spacing w:val="1"/>
                <w:sz w:val="20"/>
                <w:szCs w:val="20"/>
              </w:rPr>
              <w:t>06</w:t>
            </w:r>
            <w:r>
              <w:rPr>
                <w:rFonts w:ascii="Times New Roman" w:hAnsi="Times New Roman" w:eastAsia="Times New Roman" w:cs="Times New Roman"/>
                <w:spacing w:val="1"/>
                <w:sz w:val="20"/>
                <w:szCs w:val="20"/>
              </w:rPr>
              <w:t xml:space="preserve"> </w:t>
            </w:r>
            <w:r>
              <w:rPr>
                <w:rFonts w:ascii="宋体" w:hAnsi="宋体" w:eastAsia="宋体" w:cs="宋体"/>
                <w:spacing w:val="1"/>
                <w:sz w:val="20"/>
                <w:szCs w:val="20"/>
                <w14:textOutline w14:w="3795" w14:cap="sq" w14:cmpd="sng">
                  <w14:solidFill>
                    <w14:srgbClr w14:val="000000"/>
                  </w14:solidFill>
                  <w14:prstDash w14:val="solid"/>
                  <w14:bevel/>
                </w14:textOutline>
              </w:rPr>
              <w:t>月</w:t>
            </w:r>
            <w:r>
              <w:rPr>
                <w:rFonts w:ascii="宋体" w:hAnsi="宋体" w:eastAsia="宋体" w:cs="宋体"/>
                <w:spacing w:val="1"/>
                <w:sz w:val="20"/>
                <w:szCs w:val="20"/>
              </w:rPr>
              <w:t xml:space="preserve"> </w:t>
            </w:r>
            <w:r>
              <w:rPr>
                <w:rFonts w:ascii="Times New Roman" w:hAnsi="Times New Roman" w:eastAsia="Times New Roman" w:cs="Times New Roman"/>
                <w:b/>
                <w:bCs/>
                <w:spacing w:val="1"/>
                <w:sz w:val="20"/>
                <w:szCs w:val="20"/>
              </w:rPr>
              <w:t>2</w:t>
            </w:r>
            <w:r>
              <w:rPr>
                <w:rFonts w:ascii="Times New Roman" w:hAnsi="Times New Roman" w:eastAsia="Times New Roman" w:cs="Times New Roman"/>
                <w:b/>
                <w:bCs/>
                <w:sz w:val="20"/>
                <w:szCs w:val="20"/>
              </w:rPr>
              <w:t>1</w:t>
            </w:r>
            <w:r>
              <w:rPr>
                <w:rFonts w:ascii="Times New Roman" w:hAnsi="Times New Roman" w:eastAsia="Times New Roman" w:cs="Times New Roman"/>
                <w:sz w:val="20"/>
                <w:szCs w:val="20"/>
              </w:rPr>
              <w:t xml:space="preserve"> </w:t>
            </w:r>
            <w:r>
              <w:rPr>
                <w:rFonts w:ascii="宋体" w:hAnsi="宋体" w:eastAsia="宋体" w:cs="宋体"/>
                <w:sz w:val="20"/>
                <w:szCs w:val="20"/>
                <w14:textOutline w14:w="3795" w14:cap="sq" w14:cmpd="sng">
                  <w14:solidFill>
                    <w14:srgbClr w14:val="000000"/>
                  </w14:solidFill>
                  <w14:prstDash w14:val="solid"/>
                  <w14:bevel/>
                </w14:textOutline>
              </w:rPr>
              <w:t>日</w:t>
            </w:r>
          </w:p>
        </w:tc>
      </w:tr>
      <w:tr w14:paraId="441FBF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275" w:type="dxa"/>
            <w:vMerge w:val="continue"/>
            <w:tcBorders>
              <w:top w:val="nil"/>
              <w:left w:val="nil"/>
              <w:bottom w:val="nil"/>
            </w:tcBorders>
            <w:vAlign w:val="top"/>
          </w:tcPr>
          <w:p w14:paraId="2CA8EB3E">
            <w:pPr>
              <w:rPr>
                <w:rFonts w:ascii="Arial"/>
                <w:sz w:val="21"/>
              </w:rPr>
            </w:pPr>
          </w:p>
        </w:tc>
        <w:tc>
          <w:tcPr>
            <w:tcW w:w="1810" w:type="dxa"/>
            <w:gridSpan w:val="2"/>
            <w:vAlign w:val="top"/>
          </w:tcPr>
          <w:p w14:paraId="06684E5A">
            <w:pPr>
              <w:spacing w:before="53" w:line="231" w:lineRule="auto"/>
              <w:ind w:left="700"/>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昼间</w:t>
            </w:r>
          </w:p>
        </w:tc>
        <w:tc>
          <w:tcPr>
            <w:tcW w:w="1810" w:type="dxa"/>
            <w:gridSpan w:val="2"/>
            <w:vAlign w:val="top"/>
          </w:tcPr>
          <w:p w14:paraId="548EEE65">
            <w:pPr>
              <w:spacing w:before="53" w:line="228" w:lineRule="auto"/>
              <w:ind w:left="703"/>
              <w:rPr>
                <w:rFonts w:ascii="宋体" w:hAnsi="宋体" w:eastAsia="宋体" w:cs="宋体"/>
                <w:sz w:val="20"/>
                <w:szCs w:val="20"/>
              </w:rPr>
            </w:pPr>
            <w:r>
              <w:rPr>
                <w:rFonts w:ascii="宋体" w:hAnsi="宋体" w:eastAsia="宋体" w:cs="宋体"/>
                <w:spacing w:val="4"/>
                <w:sz w:val="20"/>
                <w:szCs w:val="20"/>
                <w14:textOutline w14:w="3795" w14:cap="sq" w14:cmpd="sng">
                  <w14:solidFill>
                    <w14:srgbClr w14:val="000000"/>
                  </w14:solidFill>
                  <w14:prstDash w14:val="solid"/>
                  <w14:bevel/>
                </w14:textOutline>
              </w:rPr>
              <w:t>夜间</w:t>
            </w:r>
          </w:p>
        </w:tc>
        <w:tc>
          <w:tcPr>
            <w:tcW w:w="1810" w:type="dxa"/>
            <w:gridSpan w:val="2"/>
            <w:vAlign w:val="top"/>
          </w:tcPr>
          <w:p w14:paraId="30D994EB">
            <w:pPr>
              <w:spacing w:before="53" w:line="231" w:lineRule="auto"/>
              <w:ind w:left="699"/>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昼间</w:t>
            </w:r>
          </w:p>
        </w:tc>
        <w:tc>
          <w:tcPr>
            <w:tcW w:w="1816" w:type="dxa"/>
            <w:gridSpan w:val="2"/>
            <w:tcBorders>
              <w:right w:val="nil"/>
            </w:tcBorders>
            <w:vAlign w:val="top"/>
          </w:tcPr>
          <w:p w14:paraId="6F29DE61">
            <w:pPr>
              <w:spacing w:before="53" w:line="228" w:lineRule="auto"/>
              <w:ind w:left="707"/>
              <w:rPr>
                <w:rFonts w:ascii="宋体" w:hAnsi="宋体" w:eastAsia="宋体" w:cs="宋体"/>
                <w:sz w:val="20"/>
                <w:szCs w:val="20"/>
              </w:rPr>
            </w:pPr>
            <w:r>
              <w:rPr>
                <w:rFonts w:ascii="宋体" w:hAnsi="宋体" w:eastAsia="宋体" w:cs="宋体"/>
                <w:spacing w:val="4"/>
                <w:sz w:val="20"/>
                <w:szCs w:val="20"/>
                <w14:textOutline w14:w="3795" w14:cap="sq" w14:cmpd="sng">
                  <w14:solidFill>
                    <w14:srgbClr w14:val="000000"/>
                  </w14:solidFill>
                  <w14:prstDash w14:val="solid"/>
                  <w14:bevel/>
                </w14:textOutline>
              </w:rPr>
              <w:t>夜间</w:t>
            </w:r>
          </w:p>
        </w:tc>
      </w:tr>
      <w:tr w14:paraId="4E1AD4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75" w:type="dxa"/>
            <w:vMerge w:val="continue"/>
            <w:tcBorders>
              <w:top w:val="nil"/>
              <w:left w:val="nil"/>
            </w:tcBorders>
            <w:vAlign w:val="top"/>
          </w:tcPr>
          <w:p w14:paraId="5815CBF5">
            <w:pPr>
              <w:rPr>
                <w:rFonts w:ascii="Arial"/>
                <w:sz w:val="21"/>
              </w:rPr>
            </w:pPr>
          </w:p>
        </w:tc>
        <w:tc>
          <w:tcPr>
            <w:tcW w:w="905" w:type="dxa"/>
            <w:vAlign w:val="top"/>
          </w:tcPr>
          <w:p w14:paraId="4112B1C4">
            <w:pPr>
              <w:spacing w:before="54" w:line="228" w:lineRule="auto"/>
              <w:ind w:left="141"/>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第</w:t>
            </w:r>
            <w:r>
              <w:rPr>
                <w:rFonts w:ascii="宋体" w:hAnsi="宋体" w:eastAsia="宋体" w:cs="宋体"/>
                <w:spacing w:val="9"/>
                <w:sz w:val="20"/>
                <w:szCs w:val="20"/>
                <w14:textOutline w14:w="3795" w14:cap="sq" w14:cmpd="sng">
                  <w14:solidFill>
                    <w14:srgbClr w14:val="000000"/>
                  </w14:solidFill>
                  <w14:prstDash w14:val="solid"/>
                  <w14:bevel/>
                </w14:textOutline>
              </w:rPr>
              <w:t>一次</w:t>
            </w:r>
          </w:p>
        </w:tc>
        <w:tc>
          <w:tcPr>
            <w:tcW w:w="905" w:type="dxa"/>
            <w:vAlign w:val="top"/>
          </w:tcPr>
          <w:p w14:paraId="5ED73CCF">
            <w:pPr>
              <w:spacing w:before="54" w:line="228" w:lineRule="auto"/>
              <w:ind w:left="141"/>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第</w:t>
            </w:r>
            <w:r>
              <w:rPr>
                <w:rFonts w:ascii="宋体" w:hAnsi="宋体" w:eastAsia="宋体" w:cs="宋体"/>
                <w:spacing w:val="7"/>
                <w:sz w:val="20"/>
                <w:szCs w:val="20"/>
                <w14:textOutline w14:w="3795" w14:cap="sq" w14:cmpd="sng">
                  <w14:solidFill>
                    <w14:srgbClr w14:val="000000"/>
                  </w14:solidFill>
                  <w14:prstDash w14:val="solid"/>
                  <w14:bevel/>
                </w14:textOutline>
              </w:rPr>
              <w:t>二次</w:t>
            </w:r>
          </w:p>
        </w:tc>
        <w:tc>
          <w:tcPr>
            <w:tcW w:w="905" w:type="dxa"/>
            <w:vAlign w:val="top"/>
          </w:tcPr>
          <w:p w14:paraId="6F40437D">
            <w:pPr>
              <w:spacing w:before="54" w:line="228" w:lineRule="auto"/>
              <w:ind w:left="141"/>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第</w:t>
            </w:r>
            <w:r>
              <w:rPr>
                <w:rFonts w:ascii="宋体" w:hAnsi="宋体" w:eastAsia="宋体" w:cs="宋体"/>
                <w:spacing w:val="9"/>
                <w:sz w:val="20"/>
                <w:szCs w:val="20"/>
                <w14:textOutline w14:w="3795" w14:cap="sq" w14:cmpd="sng">
                  <w14:solidFill>
                    <w14:srgbClr w14:val="000000"/>
                  </w14:solidFill>
                  <w14:prstDash w14:val="solid"/>
                  <w14:bevel/>
                </w14:textOutline>
              </w:rPr>
              <w:t>一次</w:t>
            </w:r>
          </w:p>
        </w:tc>
        <w:tc>
          <w:tcPr>
            <w:tcW w:w="905" w:type="dxa"/>
            <w:vAlign w:val="top"/>
          </w:tcPr>
          <w:p w14:paraId="2B7CAB4B">
            <w:pPr>
              <w:spacing w:before="54" w:line="228" w:lineRule="auto"/>
              <w:ind w:left="143"/>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第</w:t>
            </w:r>
            <w:r>
              <w:rPr>
                <w:rFonts w:ascii="宋体" w:hAnsi="宋体" w:eastAsia="宋体" w:cs="宋体"/>
                <w:spacing w:val="7"/>
                <w:sz w:val="20"/>
                <w:szCs w:val="20"/>
                <w14:textOutline w14:w="3795" w14:cap="sq" w14:cmpd="sng">
                  <w14:solidFill>
                    <w14:srgbClr w14:val="000000"/>
                  </w14:solidFill>
                  <w14:prstDash w14:val="solid"/>
                  <w14:bevel/>
                </w14:textOutline>
              </w:rPr>
              <w:t>二次</w:t>
            </w:r>
          </w:p>
        </w:tc>
        <w:tc>
          <w:tcPr>
            <w:tcW w:w="905" w:type="dxa"/>
            <w:vAlign w:val="top"/>
          </w:tcPr>
          <w:p w14:paraId="0D88E4E7">
            <w:pPr>
              <w:spacing w:before="54" w:line="228" w:lineRule="auto"/>
              <w:ind w:left="143"/>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第</w:t>
            </w:r>
            <w:r>
              <w:rPr>
                <w:rFonts w:ascii="宋体" w:hAnsi="宋体" w:eastAsia="宋体" w:cs="宋体"/>
                <w:spacing w:val="9"/>
                <w:sz w:val="20"/>
                <w:szCs w:val="20"/>
                <w14:textOutline w14:w="3795" w14:cap="sq" w14:cmpd="sng">
                  <w14:solidFill>
                    <w14:srgbClr w14:val="000000"/>
                  </w14:solidFill>
                  <w14:prstDash w14:val="solid"/>
                  <w14:bevel/>
                </w14:textOutline>
              </w:rPr>
              <w:t>一次</w:t>
            </w:r>
          </w:p>
        </w:tc>
        <w:tc>
          <w:tcPr>
            <w:tcW w:w="905" w:type="dxa"/>
            <w:vAlign w:val="top"/>
          </w:tcPr>
          <w:p w14:paraId="285C22AA">
            <w:pPr>
              <w:spacing w:before="54" w:line="228" w:lineRule="auto"/>
              <w:ind w:left="143"/>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第</w:t>
            </w:r>
            <w:r>
              <w:rPr>
                <w:rFonts w:ascii="宋体" w:hAnsi="宋体" w:eastAsia="宋体" w:cs="宋体"/>
                <w:spacing w:val="7"/>
                <w:sz w:val="20"/>
                <w:szCs w:val="20"/>
                <w14:textOutline w14:w="3795" w14:cap="sq" w14:cmpd="sng">
                  <w14:solidFill>
                    <w14:srgbClr w14:val="000000"/>
                  </w14:solidFill>
                  <w14:prstDash w14:val="solid"/>
                  <w14:bevel/>
                </w14:textOutline>
              </w:rPr>
              <w:t>二次</w:t>
            </w:r>
          </w:p>
        </w:tc>
        <w:tc>
          <w:tcPr>
            <w:tcW w:w="904" w:type="dxa"/>
            <w:vAlign w:val="top"/>
          </w:tcPr>
          <w:p w14:paraId="5710A51E">
            <w:pPr>
              <w:spacing w:before="54" w:line="228" w:lineRule="auto"/>
              <w:ind w:left="143"/>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第</w:t>
            </w:r>
            <w:r>
              <w:rPr>
                <w:rFonts w:ascii="宋体" w:hAnsi="宋体" w:eastAsia="宋体" w:cs="宋体"/>
                <w:spacing w:val="9"/>
                <w:sz w:val="20"/>
                <w:szCs w:val="20"/>
                <w14:textOutline w14:w="3795" w14:cap="sq" w14:cmpd="sng">
                  <w14:solidFill>
                    <w14:srgbClr w14:val="000000"/>
                  </w14:solidFill>
                  <w14:prstDash w14:val="solid"/>
                  <w14:bevel/>
                </w14:textOutline>
              </w:rPr>
              <w:t>一次</w:t>
            </w:r>
          </w:p>
        </w:tc>
        <w:tc>
          <w:tcPr>
            <w:tcW w:w="912" w:type="dxa"/>
            <w:tcBorders>
              <w:right w:val="nil"/>
            </w:tcBorders>
            <w:vAlign w:val="top"/>
          </w:tcPr>
          <w:p w14:paraId="5CD553F4">
            <w:pPr>
              <w:spacing w:before="54" w:line="228" w:lineRule="auto"/>
              <w:ind w:left="148"/>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第</w:t>
            </w:r>
            <w:r>
              <w:rPr>
                <w:rFonts w:ascii="宋体" w:hAnsi="宋体" w:eastAsia="宋体" w:cs="宋体"/>
                <w:spacing w:val="7"/>
                <w:sz w:val="20"/>
                <w:szCs w:val="20"/>
                <w14:textOutline w14:w="3795" w14:cap="sq" w14:cmpd="sng">
                  <w14:solidFill>
                    <w14:srgbClr w14:val="000000"/>
                  </w14:solidFill>
                  <w14:prstDash w14:val="solid"/>
                  <w14:bevel/>
                </w14:textOutline>
              </w:rPr>
              <w:t>二次</w:t>
            </w:r>
          </w:p>
        </w:tc>
      </w:tr>
      <w:tr w14:paraId="5A067A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275" w:type="dxa"/>
            <w:tcBorders>
              <w:left w:val="nil"/>
            </w:tcBorders>
            <w:vAlign w:val="top"/>
          </w:tcPr>
          <w:p w14:paraId="3CB3BE19">
            <w:pPr>
              <w:spacing w:before="54" w:line="228" w:lineRule="auto"/>
              <w:ind w:left="328"/>
              <w:rPr>
                <w:rFonts w:ascii="宋体" w:hAnsi="宋体" w:eastAsia="宋体" w:cs="宋体"/>
                <w:sz w:val="20"/>
                <w:szCs w:val="20"/>
              </w:rPr>
            </w:pPr>
            <w:r>
              <w:rPr>
                <w:rFonts w:ascii="宋体" w:hAnsi="宋体" w:eastAsia="宋体" w:cs="宋体"/>
                <w:spacing w:val="7"/>
                <w:sz w:val="20"/>
                <w:szCs w:val="20"/>
              </w:rPr>
              <w:t>场界东</w:t>
            </w:r>
          </w:p>
        </w:tc>
        <w:tc>
          <w:tcPr>
            <w:tcW w:w="905" w:type="dxa"/>
            <w:vAlign w:val="top"/>
          </w:tcPr>
          <w:p w14:paraId="4CB50AC8">
            <w:pPr>
              <w:spacing w:before="90"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52.3</w:t>
            </w:r>
          </w:p>
        </w:tc>
        <w:tc>
          <w:tcPr>
            <w:tcW w:w="905" w:type="dxa"/>
            <w:vAlign w:val="top"/>
          </w:tcPr>
          <w:p w14:paraId="6D710C1F">
            <w:pPr>
              <w:spacing w:before="90"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53.2</w:t>
            </w:r>
          </w:p>
        </w:tc>
        <w:tc>
          <w:tcPr>
            <w:tcW w:w="905" w:type="dxa"/>
            <w:vAlign w:val="top"/>
          </w:tcPr>
          <w:p w14:paraId="4E5018C7">
            <w:pPr>
              <w:spacing w:before="90" w:line="195" w:lineRule="auto"/>
              <w:ind w:left="268"/>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43.5</w:t>
            </w:r>
          </w:p>
        </w:tc>
        <w:tc>
          <w:tcPr>
            <w:tcW w:w="905" w:type="dxa"/>
            <w:vAlign w:val="top"/>
          </w:tcPr>
          <w:p w14:paraId="152A9432">
            <w:pPr>
              <w:spacing w:before="90" w:line="195" w:lineRule="auto"/>
              <w:ind w:left="2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43.2</w:t>
            </w:r>
          </w:p>
        </w:tc>
        <w:tc>
          <w:tcPr>
            <w:tcW w:w="905" w:type="dxa"/>
            <w:vAlign w:val="top"/>
          </w:tcPr>
          <w:p w14:paraId="239F00B6">
            <w:pPr>
              <w:spacing w:before="90" w:line="195"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5</w:t>
            </w:r>
            <w:r>
              <w:rPr>
                <w:rFonts w:ascii="Times New Roman" w:hAnsi="Times New Roman" w:eastAsia="Times New Roman" w:cs="Times New Roman"/>
                <w:spacing w:val="-4"/>
                <w:sz w:val="20"/>
                <w:szCs w:val="20"/>
              </w:rPr>
              <w:t>2. 1</w:t>
            </w:r>
          </w:p>
        </w:tc>
        <w:tc>
          <w:tcPr>
            <w:tcW w:w="905" w:type="dxa"/>
            <w:vAlign w:val="top"/>
          </w:tcPr>
          <w:p w14:paraId="043F3870">
            <w:pPr>
              <w:spacing w:before="90" w:line="195"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52.6</w:t>
            </w:r>
          </w:p>
        </w:tc>
        <w:tc>
          <w:tcPr>
            <w:tcW w:w="904" w:type="dxa"/>
            <w:vAlign w:val="top"/>
          </w:tcPr>
          <w:p w14:paraId="00728D05">
            <w:pPr>
              <w:spacing w:before="90" w:line="198" w:lineRule="auto"/>
              <w:ind w:left="27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4</w:t>
            </w:r>
            <w:r>
              <w:rPr>
                <w:rFonts w:ascii="Times New Roman" w:hAnsi="Times New Roman" w:eastAsia="Times New Roman" w:cs="Times New Roman"/>
                <w:spacing w:val="3"/>
                <w:sz w:val="20"/>
                <w:szCs w:val="20"/>
              </w:rPr>
              <w:t>2.2</w:t>
            </w:r>
          </w:p>
        </w:tc>
        <w:tc>
          <w:tcPr>
            <w:tcW w:w="912" w:type="dxa"/>
            <w:tcBorders>
              <w:right w:val="nil"/>
            </w:tcBorders>
            <w:vAlign w:val="top"/>
          </w:tcPr>
          <w:p w14:paraId="0B60E391">
            <w:pPr>
              <w:spacing w:before="90" w:line="198" w:lineRule="auto"/>
              <w:ind w:left="2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42. 1</w:t>
            </w:r>
          </w:p>
        </w:tc>
      </w:tr>
      <w:tr w14:paraId="4BB2E6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75" w:type="dxa"/>
            <w:tcBorders>
              <w:left w:val="nil"/>
            </w:tcBorders>
            <w:vAlign w:val="top"/>
          </w:tcPr>
          <w:p w14:paraId="09F9AC36">
            <w:pPr>
              <w:spacing w:before="55" w:line="228" w:lineRule="auto"/>
              <w:ind w:left="328"/>
              <w:rPr>
                <w:rFonts w:ascii="宋体" w:hAnsi="宋体" w:eastAsia="宋体" w:cs="宋体"/>
                <w:sz w:val="20"/>
                <w:szCs w:val="20"/>
              </w:rPr>
            </w:pPr>
            <w:r>
              <w:rPr>
                <w:rFonts w:ascii="宋体" w:hAnsi="宋体" w:eastAsia="宋体" w:cs="宋体"/>
                <w:spacing w:val="7"/>
                <w:sz w:val="20"/>
                <w:szCs w:val="20"/>
              </w:rPr>
              <w:t>场界南</w:t>
            </w:r>
          </w:p>
        </w:tc>
        <w:tc>
          <w:tcPr>
            <w:tcW w:w="905" w:type="dxa"/>
            <w:vAlign w:val="top"/>
          </w:tcPr>
          <w:p w14:paraId="40E27D78">
            <w:pPr>
              <w:spacing w:before="93"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5</w:t>
            </w:r>
            <w:r>
              <w:rPr>
                <w:rFonts w:ascii="Times New Roman" w:hAnsi="Times New Roman" w:eastAsia="Times New Roman" w:cs="Times New Roman"/>
                <w:spacing w:val="3"/>
                <w:sz w:val="20"/>
                <w:szCs w:val="20"/>
              </w:rPr>
              <w:t>1.5</w:t>
            </w:r>
          </w:p>
        </w:tc>
        <w:tc>
          <w:tcPr>
            <w:tcW w:w="905" w:type="dxa"/>
            <w:vAlign w:val="top"/>
          </w:tcPr>
          <w:p w14:paraId="7D0CCBB5">
            <w:pPr>
              <w:spacing w:before="93"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53.4</w:t>
            </w:r>
          </w:p>
        </w:tc>
        <w:tc>
          <w:tcPr>
            <w:tcW w:w="905" w:type="dxa"/>
            <w:vAlign w:val="top"/>
          </w:tcPr>
          <w:p w14:paraId="3D2BF5E1">
            <w:pPr>
              <w:spacing w:before="93" w:line="195" w:lineRule="auto"/>
              <w:ind w:left="268"/>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43.</w:t>
            </w:r>
            <w:r>
              <w:rPr>
                <w:rFonts w:ascii="Times New Roman" w:hAnsi="Times New Roman" w:eastAsia="Times New Roman" w:cs="Times New Roman"/>
                <w:spacing w:val="4"/>
                <w:sz w:val="20"/>
                <w:szCs w:val="20"/>
              </w:rPr>
              <w:t>3</w:t>
            </w:r>
          </w:p>
        </w:tc>
        <w:tc>
          <w:tcPr>
            <w:tcW w:w="905" w:type="dxa"/>
            <w:vAlign w:val="top"/>
          </w:tcPr>
          <w:p w14:paraId="50B14E25">
            <w:pPr>
              <w:spacing w:before="93" w:line="195" w:lineRule="auto"/>
              <w:ind w:left="270"/>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4</w:t>
            </w:r>
            <w:r>
              <w:rPr>
                <w:rFonts w:ascii="Times New Roman" w:hAnsi="Times New Roman" w:eastAsia="Times New Roman" w:cs="Times New Roman"/>
                <w:spacing w:val="4"/>
                <w:sz w:val="20"/>
                <w:szCs w:val="20"/>
              </w:rPr>
              <w:t>3.6</w:t>
            </w:r>
          </w:p>
        </w:tc>
        <w:tc>
          <w:tcPr>
            <w:tcW w:w="905" w:type="dxa"/>
            <w:vAlign w:val="top"/>
          </w:tcPr>
          <w:p w14:paraId="78DFC799">
            <w:pPr>
              <w:spacing w:before="93" w:line="195"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52.4</w:t>
            </w:r>
          </w:p>
        </w:tc>
        <w:tc>
          <w:tcPr>
            <w:tcW w:w="905" w:type="dxa"/>
            <w:vAlign w:val="top"/>
          </w:tcPr>
          <w:p w14:paraId="2E3F1AA4">
            <w:pPr>
              <w:spacing w:before="93" w:line="195"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52.6</w:t>
            </w:r>
          </w:p>
        </w:tc>
        <w:tc>
          <w:tcPr>
            <w:tcW w:w="904" w:type="dxa"/>
            <w:vAlign w:val="top"/>
          </w:tcPr>
          <w:p w14:paraId="71F80A33">
            <w:pPr>
              <w:spacing w:before="93" w:line="195" w:lineRule="auto"/>
              <w:ind w:left="270"/>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43.</w:t>
            </w:r>
            <w:r>
              <w:rPr>
                <w:rFonts w:ascii="Times New Roman" w:hAnsi="Times New Roman" w:eastAsia="Times New Roman" w:cs="Times New Roman"/>
                <w:spacing w:val="4"/>
                <w:sz w:val="20"/>
                <w:szCs w:val="20"/>
              </w:rPr>
              <w:t>3</w:t>
            </w:r>
          </w:p>
        </w:tc>
        <w:tc>
          <w:tcPr>
            <w:tcW w:w="912" w:type="dxa"/>
            <w:tcBorders>
              <w:right w:val="nil"/>
            </w:tcBorders>
            <w:vAlign w:val="top"/>
          </w:tcPr>
          <w:p w14:paraId="0CB1B28E">
            <w:pPr>
              <w:spacing w:before="93" w:line="195" w:lineRule="auto"/>
              <w:ind w:left="273"/>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43.</w:t>
            </w:r>
            <w:r>
              <w:rPr>
                <w:rFonts w:ascii="Times New Roman" w:hAnsi="Times New Roman" w:eastAsia="Times New Roman" w:cs="Times New Roman"/>
                <w:spacing w:val="5"/>
                <w:sz w:val="20"/>
                <w:szCs w:val="20"/>
              </w:rPr>
              <w:t>8</w:t>
            </w:r>
          </w:p>
        </w:tc>
      </w:tr>
      <w:tr w14:paraId="590AB3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275" w:type="dxa"/>
            <w:tcBorders>
              <w:left w:val="nil"/>
            </w:tcBorders>
            <w:vAlign w:val="top"/>
          </w:tcPr>
          <w:p w14:paraId="11DA5B79">
            <w:pPr>
              <w:spacing w:before="55" w:line="228" w:lineRule="auto"/>
              <w:ind w:left="328"/>
              <w:rPr>
                <w:rFonts w:ascii="宋体" w:hAnsi="宋体" w:eastAsia="宋体" w:cs="宋体"/>
                <w:sz w:val="20"/>
                <w:szCs w:val="20"/>
              </w:rPr>
            </w:pPr>
            <w:r>
              <w:rPr>
                <w:rFonts w:ascii="宋体" w:hAnsi="宋体" w:eastAsia="宋体" w:cs="宋体"/>
                <w:spacing w:val="7"/>
                <w:sz w:val="20"/>
                <w:szCs w:val="20"/>
              </w:rPr>
              <w:t>场界西</w:t>
            </w:r>
          </w:p>
        </w:tc>
        <w:tc>
          <w:tcPr>
            <w:tcW w:w="905" w:type="dxa"/>
            <w:vAlign w:val="top"/>
          </w:tcPr>
          <w:p w14:paraId="75CC1894">
            <w:pPr>
              <w:spacing w:before="93"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52.4</w:t>
            </w:r>
          </w:p>
        </w:tc>
        <w:tc>
          <w:tcPr>
            <w:tcW w:w="905" w:type="dxa"/>
            <w:vAlign w:val="top"/>
          </w:tcPr>
          <w:p w14:paraId="3480E069">
            <w:pPr>
              <w:spacing w:before="93"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52.</w:t>
            </w:r>
            <w:r>
              <w:rPr>
                <w:rFonts w:ascii="Times New Roman" w:hAnsi="Times New Roman" w:eastAsia="Times New Roman" w:cs="Times New Roman"/>
                <w:spacing w:val="2"/>
                <w:sz w:val="20"/>
                <w:szCs w:val="20"/>
              </w:rPr>
              <w:t>7</w:t>
            </w:r>
          </w:p>
        </w:tc>
        <w:tc>
          <w:tcPr>
            <w:tcW w:w="905" w:type="dxa"/>
            <w:vAlign w:val="top"/>
          </w:tcPr>
          <w:p w14:paraId="3887439F">
            <w:pPr>
              <w:spacing w:before="93" w:line="195" w:lineRule="auto"/>
              <w:ind w:left="26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43. 1</w:t>
            </w:r>
          </w:p>
        </w:tc>
        <w:tc>
          <w:tcPr>
            <w:tcW w:w="905" w:type="dxa"/>
            <w:vAlign w:val="top"/>
          </w:tcPr>
          <w:p w14:paraId="49A289C3">
            <w:pPr>
              <w:spacing w:before="93" w:line="195" w:lineRule="auto"/>
              <w:ind w:left="2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43.7</w:t>
            </w:r>
          </w:p>
        </w:tc>
        <w:tc>
          <w:tcPr>
            <w:tcW w:w="905" w:type="dxa"/>
            <w:vAlign w:val="top"/>
          </w:tcPr>
          <w:p w14:paraId="18B979D2">
            <w:pPr>
              <w:spacing w:before="93" w:line="195"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51.8</w:t>
            </w:r>
          </w:p>
        </w:tc>
        <w:tc>
          <w:tcPr>
            <w:tcW w:w="905" w:type="dxa"/>
            <w:vAlign w:val="top"/>
          </w:tcPr>
          <w:p w14:paraId="56675C25">
            <w:pPr>
              <w:spacing w:before="93" w:line="195"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5</w:t>
            </w:r>
            <w:r>
              <w:rPr>
                <w:rFonts w:ascii="Times New Roman" w:hAnsi="Times New Roman" w:eastAsia="Times New Roman" w:cs="Times New Roman"/>
                <w:spacing w:val="-4"/>
                <w:sz w:val="20"/>
                <w:szCs w:val="20"/>
              </w:rPr>
              <w:t>3. 1</w:t>
            </w:r>
          </w:p>
        </w:tc>
        <w:tc>
          <w:tcPr>
            <w:tcW w:w="904" w:type="dxa"/>
            <w:vAlign w:val="top"/>
          </w:tcPr>
          <w:p w14:paraId="471C6E79">
            <w:pPr>
              <w:spacing w:before="93" w:line="195" w:lineRule="auto"/>
              <w:ind w:left="27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4</w:t>
            </w:r>
            <w:r>
              <w:rPr>
                <w:rFonts w:ascii="Times New Roman" w:hAnsi="Times New Roman" w:eastAsia="Times New Roman" w:cs="Times New Roman"/>
                <w:spacing w:val="3"/>
                <w:sz w:val="20"/>
                <w:szCs w:val="20"/>
              </w:rPr>
              <w:t>3.2</w:t>
            </w:r>
          </w:p>
        </w:tc>
        <w:tc>
          <w:tcPr>
            <w:tcW w:w="912" w:type="dxa"/>
            <w:tcBorders>
              <w:right w:val="nil"/>
            </w:tcBorders>
            <w:vAlign w:val="top"/>
          </w:tcPr>
          <w:p w14:paraId="1F8658B7">
            <w:pPr>
              <w:spacing w:before="92" w:line="198" w:lineRule="auto"/>
              <w:ind w:left="2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42. 1</w:t>
            </w:r>
          </w:p>
        </w:tc>
      </w:tr>
      <w:tr w14:paraId="5B7F3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75" w:type="dxa"/>
            <w:tcBorders>
              <w:left w:val="nil"/>
            </w:tcBorders>
            <w:vAlign w:val="top"/>
          </w:tcPr>
          <w:p w14:paraId="0AE934E4">
            <w:pPr>
              <w:spacing w:before="55" w:line="228" w:lineRule="auto"/>
              <w:ind w:left="328"/>
              <w:rPr>
                <w:rFonts w:ascii="宋体" w:hAnsi="宋体" w:eastAsia="宋体" w:cs="宋体"/>
                <w:sz w:val="20"/>
                <w:szCs w:val="20"/>
              </w:rPr>
            </w:pPr>
            <w:r>
              <w:rPr>
                <w:rFonts w:ascii="宋体" w:hAnsi="宋体" w:eastAsia="宋体" w:cs="宋体"/>
                <w:spacing w:val="7"/>
                <w:sz w:val="20"/>
                <w:szCs w:val="20"/>
              </w:rPr>
              <w:t>场界北</w:t>
            </w:r>
          </w:p>
        </w:tc>
        <w:tc>
          <w:tcPr>
            <w:tcW w:w="905" w:type="dxa"/>
            <w:vAlign w:val="top"/>
          </w:tcPr>
          <w:p w14:paraId="01EA9DFB">
            <w:pPr>
              <w:spacing w:before="93"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52.</w:t>
            </w:r>
            <w:r>
              <w:rPr>
                <w:rFonts w:ascii="Times New Roman" w:hAnsi="Times New Roman" w:eastAsia="Times New Roman" w:cs="Times New Roman"/>
                <w:spacing w:val="2"/>
                <w:sz w:val="20"/>
                <w:szCs w:val="20"/>
              </w:rPr>
              <w:t>7</w:t>
            </w:r>
          </w:p>
        </w:tc>
        <w:tc>
          <w:tcPr>
            <w:tcW w:w="905" w:type="dxa"/>
            <w:vAlign w:val="top"/>
          </w:tcPr>
          <w:p w14:paraId="434BC693">
            <w:pPr>
              <w:spacing w:before="93"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52.4</w:t>
            </w:r>
          </w:p>
        </w:tc>
        <w:tc>
          <w:tcPr>
            <w:tcW w:w="905" w:type="dxa"/>
            <w:vAlign w:val="top"/>
          </w:tcPr>
          <w:p w14:paraId="544A04EF">
            <w:pPr>
              <w:spacing w:before="93" w:line="198" w:lineRule="auto"/>
              <w:ind w:left="268"/>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4</w:t>
            </w:r>
            <w:r>
              <w:rPr>
                <w:rFonts w:ascii="Times New Roman" w:hAnsi="Times New Roman" w:eastAsia="Times New Roman" w:cs="Times New Roman"/>
                <w:spacing w:val="4"/>
                <w:sz w:val="20"/>
                <w:szCs w:val="20"/>
              </w:rPr>
              <w:t>2.9</w:t>
            </w:r>
          </w:p>
        </w:tc>
        <w:tc>
          <w:tcPr>
            <w:tcW w:w="905" w:type="dxa"/>
            <w:vAlign w:val="top"/>
          </w:tcPr>
          <w:p w14:paraId="5695AC90">
            <w:pPr>
              <w:spacing w:before="93" w:line="198" w:lineRule="auto"/>
              <w:ind w:left="2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42.9</w:t>
            </w:r>
          </w:p>
        </w:tc>
        <w:tc>
          <w:tcPr>
            <w:tcW w:w="905" w:type="dxa"/>
            <w:vAlign w:val="top"/>
          </w:tcPr>
          <w:p w14:paraId="6AAEFA96">
            <w:pPr>
              <w:spacing w:before="93" w:line="195"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5</w:t>
            </w:r>
            <w:r>
              <w:rPr>
                <w:rFonts w:ascii="Times New Roman" w:hAnsi="Times New Roman" w:eastAsia="Times New Roman" w:cs="Times New Roman"/>
                <w:spacing w:val="-4"/>
                <w:sz w:val="20"/>
                <w:szCs w:val="20"/>
              </w:rPr>
              <w:t>2. 1</w:t>
            </w:r>
          </w:p>
        </w:tc>
        <w:tc>
          <w:tcPr>
            <w:tcW w:w="905" w:type="dxa"/>
            <w:vAlign w:val="top"/>
          </w:tcPr>
          <w:p w14:paraId="5A9AAC69">
            <w:pPr>
              <w:spacing w:before="93" w:line="195"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52.3</w:t>
            </w:r>
          </w:p>
        </w:tc>
        <w:tc>
          <w:tcPr>
            <w:tcW w:w="904" w:type="dxa"/>
            <w:vAlign w:val="top"/>
          </w:tcPr>
          <w:p w14:paraId="1B52BBA9">
            <w:pPr>
              <w:spacing w:before="93" w:line="195" w:lineRule="auto"/>
              <w:ind w:left="2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43. 1</w:t>
            </w:r>
          </w:p>
        </w:tc>
        <w:tc>
          <w:tcPr>
            <w:tcW w:w="912" w:type="dxa"/>
            <w:tcBorders>
              <w:right w:val="nil"/>
            </w:tcBorders>
            <w:vAlign w:val="top"/>
          </w:tcPr>
          <w:p w14:paraId="28342654">
            <w:pPr>
              <w:spacing w:before="93" w:line="195" w:lineRule="auto"/>
              <w:ind w:left="273"/>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4</w:t>
            </w:r>
            <w:r>
              <w:rPr>
                <w:rFonts w:ascii="Times New Roman" w:hAnsi="Times New Roman" w:eastAsia="Times New Roman" w:cs="Times New Roman"/>
                <w:spacing w:val="3"/>
                <w:sz w:val="20"/>
                <w:szCs w:val="20"/>
              </w:rPr>
              <w:t>3.4</w:t>
            </w:r>
          </w:p>
        </w:tc>
      </w:tr>
      <w:tr w14:paraId="723FE5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275" w:type="dxa"/>
            <w:tcBorders>
              <w:left w:val="nil"/>
            </w:tcBorders>
            <w:vAlign w:val="top"/>
          </w:tcPr>
          <w:p w14:paraId="51B40494">
            <w:pPr>
              <w:spacing w:before="19" w:line="310" w:lineRule="auto"/>
              <w:ind w:left="39" w:right="24" w:firstLine="24"/>
              <w:rPr>
                <w:rFonts w:ascii="宋体" w:hAnsi="宋体" w:eastAsia="宋体" w:cs="宋体"/>
                <w:sz w:val="20"/>
                <w:szCs w:val="20"/>
              </w:rPr>
            </w:pPr>
            <w:r>
              <w:rPr>
                <w:rFonts w:ascii="Times New Roman" w:hAnsi="Times New Roman" w:eastAsia="Times New Roman" w:cs="Times New Roman"/>
                <w:spacing w:val="5"/>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3096-200</w:t>
            </w:r>
            <w:r>
              <w:rPr>
                <w:rFonts w:ascii="Times New Roman" w:hAnsi="Times New Roman" w:eastAsia="Times New Roman" w:cs="Times New Roman"/>
                <w:sz w:val="20"/>
                <w:szCs w:val="20"/>
              </w:rPr>
              <w:t xml:space="preserve"> </w:t>
            </w:r>
            <w:r>
              <w:rPr>
                <w:rFonts w:ascii="Times New Roman" w:hAnsi="Times New Roman" w:eastAsia="Times New Roman" w:cs="Times New Roman"/>
                <w:spacing w:val="-1"/>
                <w:sz w:val="20"/>
                <w:szCs w:val="20"/>
              </w:rPr>
              <w:t>8)</w:t>
            </w:r>
            <w:r>
              <w:rPr>
                <w:rFonts w:ascii="宋体" w:hAnsi="宋体" w:eastAsia="宋体" w:cs="宋体"/>
                <w:spacing w:val="-1"/>
                <w:sz w:val="20"/>
                <w:szCs w:val="20"/>
              </w:rPr>
              <w:t xml:space="preserve">中 </w:t>
            </w:r>
            <w:r>
              <w:rPr>
                <w:rFonts w:ascii="Times New Roman" w:hAnsi="Times New Roman" w:eastAsia="Times New Roman" w:cs="Times New Roman"/>
                <w:spacing w:val="-1"/>
                <w:sz w:val="20"/>
                <w:szCs w:val="20"/>
              </w:rPr>
              <w:t xml:space="preserve">3 </w:t>
            </w:r>
            <w:r>
              <w:rPr>
                <w:rFonts w:ascii="宋体" w:hAnsi="宋体" w:eastAsia="宋体" w:cs="宋体"/>
                <w:spacing w:val="-1"/>
                <w:sz w:val="20"/>
                <w:szCs w:val="20"/>
              </w:rPr>
              <w:t>类标</w:t>
            </w:r>
            <w:r>
              <w:rPr>
                <w:rFonts w:ascii="宋体" w:hAnsi="宋体" w:eastAsia="宋体" w:cs="宋体"/>
                <w:sz w:val="20"/>
                <w:szCs w:val="20"/>
              </w:rPr>
              <w:t>准</w:t>
            </w:r>
          </w:p>
        </w:tc>
        <w:tc>
          <w:tcPr>
            <w:tcW w:w="7246" w:type="dxa"/>
            <w:gridSpan w:val="8"/>
            <w:tcBorders>
              <w:right w:val="nil"/>
            </w:tcBorders>
            <w:vAlign w:val="top"/>
          </w:tcPr>
          <w:p w14:paraId="73302086">
            <w:pPr>
              <w:spacing w:before="175" w:line="281" w:lineRule="exact"/>
              <w:ind w:left="2305"/>
              <w:rPr>
                <w:rFonts w:ascii="Times New Roman" w:hAnsi="Times New Roman" w:eastAsia="Times New Roman" w:cs="Times New Roman"/>
                <w:sz w:val="20"/>
                <w:szCs w:val="20"/>
              </w:rPr>
            </w:pPr>
            <w:r>
              <w:rPr>
                <w:rFonts w:ascii="宋体" w:hAnsi="宋体" w:eastAsia="宋体" w:cs="宋体"/>
                <w:spacing w:val="-2"/>
                <w:position w:val="2"/>
                <w:sz w:val="20"/>
                <w:szCs w:val="20"/>
              </w:rPr>
              <w:t xml:space="preserve">昼间 </w:t>
            </w:r>
            <w:r>
              <w:rPr>
                <w:rFonts w:ascii="Times New Roman" w:hAnsi="Times New Roman" w:eastAsia="Times New Roman" w:cs="Times New Roman"/>
                <w:spacing w:val="-2"/>
                <w:position w:val="2"/>
                <w:sz w:val="20"/>
                <w:szCs w:val="20"/>
              </w:rPr>
              <w:t>65</w:t>
            </w:r>
            <w:r>
              <w:rPr>
                <w:rFonts w:ascii="Times New Roman" w:hAnsi="Times New Roman" w:eastAsia="Times New Roman" w:cs="Times New Roman"/>
                <w:spacing w:val="-1"/>
                <w:position w:val="2"/>
                <w:sz w:val="20"/>
                <w:szCs w:val="20"/>
              </w:rPr>
              <w:t>dB</w:t>
            </w:r>
            <w:r>
              <w:rPr>
                <w:rFonts w:ascii="Times New Roman" w:hAnsi="Times New Roman" w:eastAsia="Times New Roman" w:cs="Times New Roman"/>
                <w:spacing w:val="-2"/>
                <w:position w:val="2"/>
                <w:sz w:val="20"/>
                <w:szCs w:val="20"/>
              </w:rPr>
              <w:t>(</w:t>
            </w:r>
            <w:r>
              <w:rPr>
                <w:rFonts w:ascii="Times New Roman" w:hAnsi="Times New Roman" w:eastAsia="Times New Roman" w:cs="Times New Roman"/>
                <w:spacing w:val="-1"/>
                <w:position w:val="2"/>
                <w:sz w:val="20"/>
                <w:szCs w:val="20"/>
              </w:rPr>
              <w:t>A</w:t>
            </w:r>
            <w:r>
              <w:rPr>
                <w:rFonts w:ascii="Times New Roman" w:hAnsi="Times New Roman" w:eastAsia="Times New Roman" w:cs="Times New Roman"/>
                <w:spacing w:val="-2"/>
                <w:position w:val="2"/>
                <w:sz w:val="20"/>
                <w:szCs w:val="20"/>
              </w:rPr>
              <w:t xml:space="preserve">) </w:t>
            </w:r>
            <w:r>
              <w:rPr>
                <w:rFonts w:ascii="宋体" w:hAnsi="宋体" w:eastAsia="宋体" w:cs="宋体"/>
                <w:spacing w:val="-2"/>
                <w:position w:val="2"/>
                <w:sz w:val="20"/>
                <w:szCs w:val="20"/>
              </w:rPr>
              <w:t>，夜间</w:t>
            </w:r>
            <w:r>
              <w:rPr>
                <w:rFonts w:ascii="宋体" w:hAnsi="宋体" w:eastAsia="宋体" w:cs="宋体"/>
                <w:spacing w:val="-1"/>
                <w:position w:val="2"/>
                <w:sz w:val="20"/>
                <w:szCs w:val="20"/>
              </w:rPr>
              <w:t xml:space="preserve"> </w:t>
            </w:r>
            <w:r>
              <w:rPr>
                <w:rFonts w:ascii="Times New Roman" w:hAnsi="Times New Roman" w:eastAsia="Times New Roman" w:cs="Times New Roman"/>
                <w:spacing w:val="-1"/>
                <w:position w:val="2"/>
                <w:sz w:val="20"/>
                <w:szCs w:val="20"/>
              </w:rPr>
              <w:t>55dB(A)</w:t>
            </w:r>
          </w:p>
        </w:tc>
      </w:tr>
    </w:tbl>
    <w:p w14:paraId="363074B0">
      <w:pPr>
        <w:spacing w:before="299" w:line="219" w:lineRule="auto"/>
        <w:ind w:left="115"/>
        <w:outlineLvl w:val="2"/>
        <w:rPr>
          <w:rFonts w:ascii="宋体" w:hAnsi="宋体" w:eastAsia="宋体" w:cs="宋体"/>
          <w:sz w:val="28"/>
          <w:szCs w:val="28"/>
        </w:rPr>
      </w:pPr>
      <w:r>
        <w:rPr>
          <w:rFonts w:ascii="Times New Roman" w:hAnsi="Times New Roman" w:eastAsia="Times New Roman" w:cs="Times New Roman"/>
          <w:b/>
          <w:bCs/>
          <w:spacing w:val="16"/>
          <w:sz w:val="28"/>
          <w:szCs w:val="28"/>
        </w:rPr>
        <w:t>4</w:t>
      </w:r>
      <w:r>
        <w:rPr>
          <w:rFonts w:ascii="Times New Roman" w:hAnsi="Times New Roman" w:eastAsia="Times New Roman" w:cs="Times New Roman"/>
          <w:b/>
          <w:bCs/>
          <w:spacing w:val="9"/>
          <w:sz w:val="28"/>
          <w:szCs w:val="28"/>
        </w:rPr>
        <w:t>.</w:t>
      </w:r>
      <w:r>
        <w:rPr>
          <w:rFonts w:ascii="Times New Roman" w:hAnsi="Times New Roman" w:eastAsia="Times New Roman" w:cs="Times New Roman"/>
          <w:b/>
          <w:bCs/>
          <w:spacing w:val="8"/>
          <w:sz w:val="28"/>
          <w:szCs w:val="28"/>
        </w:rPr>
        <w:t>3.3.2</w:t>
      </w:r>
      <w:r>
        <w:rPr>
          <w:rFonts w:ascii="Times New Roman" w:hAnsi="Times New Roman" w:eastAsia="Times New Roman" w:cs="Times New Roman"/>
          <w:spacing w:val="8"/>
          <w:sz w:val="28"/>
          <w:szCs w:val="28"/>
        </w:rPr>
        <w:t xml:space="preserve">  </w:t>
      </w:r>
      <w:r>
        <w:rPr>
          <w:rFonts w:ascii="宋体" w:hAnsi="宋体" w:eastAsia="宋体" w:cs="宋体"/>
          <w:spacing w:val="8"/>
          <w:sz w:val="28"/>
          <w:szCs w:val="28"/>
          <w14:textOutline w14:w="5103" w14:cap="sq" w14:cmpd="sng">
            <w14:solidFill>
              <w14:srgbClr w14:val="000000"/>
            </w14:solidFill>
            <w14:prstDash w14:val="solid"/>
            <w14:bevel/>
          </w14:textOutline>
        </w:rPr>
        <w:t>声环境质量现状评价</w:t>
      </w:r>
    </w:p>
    <w:p w14:paraId="4CFA0C16">
      <w:pPr>
        <w:spacing w:line="263" w:lineRule="auto"/>
        <w:rPr>
          <w:rFonts w:ascii="Arial"/>
          <w:sz w:val="21"/>
        </w:rPr>
      </w:pPr>
    </w:p>
    <w:p w14:paraId="2D1887C1">
      <w:pPr>
        <w:spacing w:before="75" w:line="226" w:lineRule="auto"/>
        <w:ind w:left="632"/>
        <w:rPr>
          <w:rFonts w:ascii="宋体" w:hAnsi="宋体" w:eastAsia="宋体" w:cs="宋体"/>
          <w:sz w:val="23"/>
          <w:szCs w:val="23"/>
        </w:rPr>
      </w:pPr>
      <w:r>
        <w:rPr>
          <w:rFonts w:ascii="宋体" w:hAnsi="宋体" w:eastAsia="宋体" w:cs="宋体"/>
          <w:spacing w:val="28"/>
          <w:sz w:val="23"/>
          <w:szCs w:val="23"/>
        </w:rPr>
        <w:t>(</w:t>
      </w:r>
      <w:r>
        <w:rPr>
          <w:rFonts w:ascii="Times New Roman" w:hAnsi="Times New Roman" w:eastAsia="Times New Roman" w:cs="Times New Roman"/>
          <w:spacing w:val="28"/>
          <w:sz w:val="23"/>
          <w:szCs w:val="23"/>
        </w:rPr>
        <w:t>1</w:t>
      </w:r>
      <w:r>
        <w:rPr>
          <w:rFonts w:ascii="宋体" w:hAnsi="宋体" w:eastAsia="宋体" w:cs="宋体"/>
          <w:spacing w:val="28"/>
          <w:sz w:val="23"/>
          <w:szCs w:val="23"/>
        </w:rPr>
        <w:t>) 评价标</w:t>
      </w:r>
      <w:r>
        <w:rPr>
          <w:rFonts w:ascii="宋体" w:hAnsi="宋体" w:eastAsia="宋体" w:cs="宋体"/>
          <w:spacing w:val="27"/>
          <w:sz w:val="23"/>
          <w:szCs w:val="23"/>
        </w:rPr>
        <w:t>准</w:t>
      </w:r>
    </w:p>
    <w:p w14:paraId="441D9B2C">
      <w:pPr>
        <w:spacing w:line="278" w:lineRule="auto"/>
        <w:rPr>
          <w:rFonts w:ascii="Arial"/>
          <w:sz w:val="21"/>
        </w:rPr>
      </w:pPr>
    </w:p>
    <w:p w14:paraId="0C043EBE">
      <w:pPr>
        <w:spacing w:before="75" w:line="383" w:lineRule="auto"/>
        <w:ind w:left="118" w:right="107" w:firstLine="478"/>
        <w:rPr>
          <w:rFonts w:ascii="宋体" w:hAnsi="宋体" w:eastAsia="宋体" w:cs="宋体"/>
          <w:sz w:val="23"/>
          <w:szCs w:val="23"/>
        </w:rPr>
      </w:pPr>
      <w:r>
        <w:rPr>
          <w:rFonts w:ascii="宋体" w:hAnsi="宋体" w:eastAsia="宋体" w:cs="宋体"/>
          <w:spacing w:val="16"/>
          <w:sz w:val="23"/>
          <w:szCs w:val="23"/>
        </w:rPr>
        <w:t>评价</w:t>
      </w:r>
      <w:r>
        <w:rPr>
          <w:rFonts w:ascii="宋体" w:hAnsi="宋体" w:eastAsia="宋体" w:cs="宋体"/>
          <w:spacing w:val="13"/>
          <w:sz w:val="23"/>
          <w:szCs w:val="23"/>
        </w:rPr>
        <w:t>标</w:t>
      </w:r>
      <w:r>
        <w:rPr>
          <w:rFonts w:ascii="宋体" w:hAnsi="宋体" w:eastAsia="宋体" w:cs="宋体"/>
          <w:spacing w:val="8"/>
          <w:sz w:val="23"/>
          <w:szCs w:val="23"/>
        </w:rPr>
        <w:t>准采用《声环境质量标准》  (</w:t>
      </w:r>
      <w:r>
        <w:rPr>
          <w:rFonts w:ascii="Times New Roman" w:hAnsi="Times New Roman" w:eastAsia="Times New Roman" w:cs="Times New Roman"/>
          <w:sz w:val="23"/>
          <w:szCs w:val="23"/>
        </w:rPr>
        <w:t>GB</w:t>
      </w:r>
      <w:r>
        <w:rPr>
          <w:rFonts w:ascii="Times New Roman" w:hAnsi="Times New Roman" w:eastAsia="Times New Roman" w:cs="Times New Roman"/>
          <w:spacing w:val="8"/>
          <w:sz w:val="23"/>
          <w:szCs w:val="23"/>
        </w:rPr>
        <w:t>3096-2008</w:t>
      </w:r>
      <w:r>
        <w:rPr>
          <w:rFonts w:ascii="宋体" w:hAnsi="宋体" w:eastAsia="宋体" w:cs="宋体"/>
          <w:spacing w:val="8"/>
          <w:sz w:val="23"/>
          <w:szCs w:val="23"/>
        </w:rPr>
        <w:t xml:space="preserve">) 中 </w:t>
      </w:r>
      <w:r>
        <w:rPr>
          <w:rFonts w:ascii="Times New Roman" w:hAnsi="Times New Roman" w:eastAsia="Times New Roman" w:cs="Times New Roman"/>
          <w:spacing w:val="8"/>
          <w:sz w:val="23"/>
          <w:szCs w:val="23"/>
        </w:rPr>
        <w:t xml:space="preserve">3 </w:t>
      </w:r>
      <w:r>
        <w:rPr>
          <w:rFonts w:ascii="宋体" w:hAnsi="宋体" w:eastAsia="宋体" w:cs="宋体"/>
          <w:spacing w:val="8"/>
          <w:sz w:val="23"/>
          <w:szCs w:val="23"/>
        </w:rPr>
        <w:t>类标准 (即昼间</w:t>
      </w:r>
      <w:r>
        <w:rPr>
          <w:rFonts w:ascii="宋体" w:hAnsi="宋体" w:eastAsia="宋体" w:cs="宋体"/>
          <w:sz w:val="23"/>
          <w:szCs w:val="23"/>
        </w:rPr>
        <w:t xml:space="preserve"> </w:t>
      </w:r>
      <w:r>
        <w:rPr>
          <w:rFonts w:ascii="Times New Roman" w:hAnsi="Times New Roman" w:eastAsia="Times New Roman" w:cs="Times New Roman"/>
          <w:spacing w:val="-1"/>
          <w:sz w:val="23"/>
          <w:szCs w:val="23"/>
        </w:rPr>
        <w:t>65</w:t>
      </w:r>
      <w:r>
        <w:rPr>
          <w:rFonts w:ascii="Times New Roman" w:hAnsi="Times New Roman" w:eastAsia="Times New Roman" w:cs="Times New Roman"/>
          <w:sz w:val="23"/>
          <w:szCs w:val="23"/>
        </w:rPr>
        <w:t>dB</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 xml:space="preserve">，夜间 </w:t>
      </w:r>
      <w:r>
        <w:rPr>
          <w:rFonts w:ascii="Times New Roman" w:hAnsi="Times New Roman" w:eastAsia="Times New Roman" w:cs="Times New Roman"/>
          <w:spacing w:val="-1"/>
          <w:sz w:val="23"/>
          <w:szCs w:val="23"/>
        </w:rPr>
        <w:t>55</w:t>
      </w:r>
      <w:r>
        <w:rPr>
          <w:rFonts w:ascii="Times New Roman" w:hAnsi="Times New Roman" w:eastAsia="Times New Roman" w:cs="Times New Roman"/>
          <w:sz w:val="23"/>
          <w:szCs w:val="23"/>
        </w:rPr>
        <w:t>dB(A)</w:t>
      </w:r>
      <w:r>
        <w:rPr>
          <w:rFonts w:ascii="宋体" w:hAnsi="宋体" w:eastAsia="宋体" w:cs="宋体"/>
          <w:sz w:val="23"/>
          <w:szCs w:val="23"/>
        </w:rPr>
        <w:t>) 。</w:t>
      </w:r>
    </w:p>
    <w:p w14:paraId="3074BE43">
      <w:pPr>
        <w:spacing w:before="162" w:line="226" w:lineRule="auto"/>
        <w:ind w:left="608"/>
        <w:rPr>
          <w:rFonts w:ascii="宋体" w:hAnsi="宋体" w:eastAsia="宋体" w:cs="宋体"/>
          <w:sz w:val="23"/>
          <w:szCs w:val="23"/>
        </w:rPr>
      </w:pPr>
      <w:r>
        <w:rPr>
          <w:rFonts w:ascii="宋体" w:hAnsi="宋体" w:eastAsia="宋体" w:cs="宋体"/>
          <w:spacing w:val="20"/>
          <w:sz w:val="23"/>
          <w:szCs w:val="23"/>
        </w:rPr>
        <w:t>(</w:t>
      </w:r>
      <w:r>
        <w:rPr>
          <w:rFonts w:ascii="Times New Roman" w:hAnsi="Times New Roman" w:eastAsia="Times New Roman" w:cs="Times New Roman"/>
          <w:spacing w:val="20"/>
          <w:sz w:val="23"/>
          <w:szCs w:val="23"/>
        </w:rPr>
        <w:t>2</w:t>
      </w:r>
      <w:r>
        <w:rPr>
          <w:rFonts w:ascii="宋体" w:hAnsi="宋体" w:eastAsia="宋体" w:cs="宋体"/>
          <w:spacing w:val="20"/>
          <w:sz w:val="23"/>
          <w:szCs w:val="23"/>
        </w:rPr>
        <w:t>) 评价方</w:t>
      </w:r>
      <w:r>
        <w:rPr>
          <w:rFonts w:ascii="宋体" w:hAnsi="宋体" w:eastAsia="宋体" w:cs="宋体"/>
          <w:spacing w:val="19"/>
          <w:sz w:val="23"/>
          <w:szCs w:val="23"/>
        </w:rPr>
        <w:t>法</w:t>
      </w:r>
    </w:p>
    <w:p w14:paraId="22E204D7">
      <w:pPr>
        <w:spacing w:line="276" w:lineRule="auto"/>
        <w:rPr>
          <w:rFonts w:ascii="Arial"/>
          <w:sz w:val="21"/>
        </w:rPr>
      </w:pPr>
    </w:p>
    <w:p w14:paraId="70CBAF4E">
      <w:pPr>
        <w:spacing w:before="75" w:line="511" w:lineRule="auto"/>
        <w:ind w:left="608" w:right="600" w:hanging="6"/>
        <w:rPr>
          <w:rFonts w:ascii="宋体" w:hAnsi="宋体" w:eastAsia="宋体" w:cs="宋体"/>
          <w:sz w:val="23"/>
          <w:szCs w:val="23"/>
        </w:rPr>
      </w:pPr>
      <w:r>
        <w:rPr>
          <w:rFonts w:ascii="宋体" w:hAnsi="宋体" w:eastAsia="宋体" w:cs="宋体"/>
          <w:spacing w:val="6"/>
          <w:sz w:val="23"/>
          <w:szCs w:val="23"/>
        </w:rPr>
        <w:t>声环境质量现状对</w:t>
      </w:r>
      <w:r>
        <w:rPr>
          <w:rFonts w:ascii="宋体" w:hAnsi="宋体" w:eastAsia="宋体" w:cs="宋体"/>
          <w:spacing w:val="5"/>
          <w:sz w:val="23"/>
          <w:szCs w:val="23"/>
        </w:rPr>
        <w:t>照</w:t>
      </w:r>
      <w:r>
        <w:rPr>
          <w:rFonts w:ascii="宋体" w:hAnsi="宋体" w:eastAsia="宋体" w:cs="宋体"/>
          <w:spacing w:val="3"/>
          <w:sz w:val="23"/>
          <w:szCs w:val="23"/>
        </w:rPr>
        <w:t>《声环境质量标准》  (</w:t>
      </w:r>
      <w:r>
        <w:rPr>
          <w:rFonts w:ascii="Times New Roman" w:hAnsi="Times New Roman" w:eastAsia="Times New Roman" w:cs="Times New Roman"/>
          <w:sz w:val="23"/>
          <w:szCs w:val="23"/>
        </w:rPr>
        <w:t>GB</w:t>
      </w:r>
      <w:r>
        <w:rPr>
          <w:rFonts w:ascii="Times New Roman" w:hAnsi="Times New Roman" w:eastAsia="Times New Roman" w:cs="Times New Roman"/>
          <w:spacing w:val="3"/>
          <w:sz w:val="23"/>
          <w:szCs w:val="23"/>
        </w:rPr>
        <w:t>3096-2008</w:t>
      </w:r>
      <w:r>
        <w:rPr>
          <w:rFonts w:ascii="宋体" w:hAnsi="宋体" w:eastAsia="宋体" w:cs="宋体"/>
          <w:spacing w:val="3"/>
          <w:sz w:val="23"/>
          <w:szCs w:val="23"/>
        </w:rPr>
        <w:t>) 进行评价。</w:t>
      </w:r>
      <w:r>
        <w:rPr>
          <w:rFonts w:ascii="宋体" w:hAnsi="宋体" w:eastAsia="宋体" w:cs="宋体"/>
          <w:sz w:val="23"/>
          <w:szCs w:val="23"/>
        </w:rPr>
        <w:t xml:space="preserve"> </w:t>
      </w:r>
      <w:r>
        <w:rPr>
          <w:rFonts w:ascii="宋体" w:hAnsi="宋体" w:eastAsia="宋体" w:cs="宋体"/>
          <w:spacing w:val="20"/>
          <w:sz w:val="23"/>
          <w:szCs w:val="23"/>
        </w:rPr>
        <w:t>(</w:t>
      </w:r>
      <w:r>
        <w:rPr>
          <w:rFonts w:ascii="Times New Roman" w:hAnsi="Times New Roman" w:eastAsia="Times New Roman" w:cs="Times New Roman"/>
          <w:spacing w:val="20"/>
          <w:sz w:val="23"/>
          <w:szCs w:val="23"/>
        </w:rPr>
        <w:t>3</w:t>
      </w:r>
      <w:r>
        <w:rPr>
          <w:rFonts w:ascii="宋体" w:hAnsi="宋体" w:eastAsia="宋体" w:cs="宋体"/>
          <w:spacing w:val="20"/>
          <w:sz w:val="23"/>
          <w:szCs w:val="23"/>
        </w:rPr>
        <w:t>) 评价结</w:t>
      </w:r>
      <w:r>
        <w:rPr>
          <w:rFonts w:ascii="宋体" w:hAnsi="宋体" w:eastAsia="宋体" w:cs="宋体"/>
          <w:spacing w:val="19"/>
          <w:sz w:val="23"/>
          <w:szCs w:val="23"/>
        </w:rPr>
        <w:t>果</w:t>
      </w:r>
    </w:p>
    <w:p w14:paraId="32E65124">
      <w:pPr>
        <w:spacing w:before="1" w:line="225" w:lineRule="auto"/>
        <w:ind w:left="598"/>
        <w:rPr>
          <w:rFonts w:ascii="宋体" w:hAnsi="宋体" w:eastAsia="宋体" w:cs="宋体"/>
          <w:sz w:val="23"/>
          <w:szCs w:val="23"/>
        </w:rPr>
      </w:pPr>
      <w:r>
        <w:rPr>
          <w:rFonts w:ascii="宋体" w:hAnsi="宋体" w:eastAsia="宋体" w:cs="宋体"/>
          <w:spacing w:val="4"/>
          <w:sz w:val="23"/>
          <w:szCs w:val="23"/>
        </w:rPr>
        <w:t>本项目声环境现状</w:t>
      </w:r>
      <w:r>
        <w:rPr>
          <w:rFonts w:ascii="宋体" w:hAnsi="宋体" w:eastAsia="宋体" w:cs="宋体"/>
          <w:spacing w:val="2"/>
          <w:sz w:val="23"/>
          <w:szCs w:val="23"/>
        </w:rPr>
        <w:t xml:space="preserve">监测及评价结果见表 </w:t>
      </w:r>
      <w:r>
        <w:rPr>
          <w:rFonts w:ascii="Times New Roman" w:hAnsi="Times New Roman" w:eastAsia="Times New Roman" w:cs="Times New Roman"/>
          <w:spacing w:val="2"/>
          <w:sz w:val="23"/>
          <w:szCs w:val="23"/>
        </w:rPr>
        <w:t>4- 16</w:t>
      </w:r>
      <w:r>
        <w:rPr>
          <w:rFonts w:ascii="宋体" w:hAnsi="宋体" w:eastAsia="宋体" w:cs="宋体"/>
          <w:spacing w:val="2"/>
          <w:sz w:val="23"/>
          <w:szCs w:val="23"/>
        </w:rPr>
        <w:t>：</w:t>
      </w:r>
    </w:p>
    <w:p w14:paraId="01E1EE0F">
      <w:pPr>
        <w:sectPr>
          <w:headerReference r:id="rId177" w:type="default"/>
          <w:footerReference r:id="rId178" w:type="default"/>
          <w:pgSz w:w="11906" w:h="16839"/>
          <w:pgMar w:top="1132" w:right="1691" w:bottom="1182" w:left="1691" w:header="878" w:footer="1022" w:gutter="0"/>
          <w:cols w:space="720" w:num="1"/>
        </w:sectPr>
      </w:pPr>
    </w:p>
    <w:p w14:paraId="0B1CE9CA">
      <w:pPr>
        <w:spacing w:line="408" w:lineRule="auto"/>
        <w:rPr>
          <w:rFonts w:ascii="Arial"/>
          <w:sz w:val="21"/>
        </w:rPr>
      </w:pPr>
      <w:r>
        <w:pict>
          <v:shape id="_x0000_s1225" o:spid="_x0000_s1225" style="position:absolute;left:0pt;margin-left:90pt;margin-top:57.35pt;height:0.75pt;width:415.3pt;mso-position-horizontal-relative:page;mso-position-vertical-relative:page;z-index:251877376;mso-width-relative:page;mso-height-relative:page;" fillcolor="#000000" filled="t" stroked="f" coordsize="8305,15" o:allowincell="f" path="m0,0l8305,0,8305,14,0,14,0,0xe">
            <v:path/>
            <v:fill on="t" focussize="0,0"/>
            <v:stroke on="f"/>
            <v:imagedata o:title=""/>
            <o:lock v:ext="edit"/>
          </v:shape>
        </w:pict>
      </w:r>
    </w:p>
    <w:p w14:paraId="2F262E16">
      <w:pPr>
        <w:spacing w:before="75" w:line="226" w:lineRule="auto"/>
        <w:ind w:left="1738"/>
        <w:rPr>
          <w:rFonts w:ascii="宋体" w:hAnsi="宋体" w:eastAsia="宋体" w:cs="宋体"/>
          <w:sz w:val="23"/>
          <w:szCs w:val="23"/>
        </w:rPr>
      </w:pPr>
      <w:r>
        <w:rPr>
          <w:rFonts w:ascii="宋体" w:hAnsi="宋体" w:eastAsia="宋体" w:cs="宋体"/>
          <w:spacing w:val="10"/>
          <w:sz w:val="23"/>
          <w:szCs w:val="23"/>
          <w14:textOutline w14:w="4358" w14:cap="sq" w14:cmpd="sng">
            <w14:solidFill>
              <w14:srgbClr w14:val="000000"/>
            </w14:solidFill>
            <w14:prstDash w14:val="solid"/>
            <w14:bevel/>
          </w14:textOutline>
        </w:rPr>
        <w:t>表</w:t>
      </w:r>
      <w:r>
        <w:rPr>
          <w:rFonts w:ascii="宋体" w:hAnsi="宋体" w:eastAsia="宋体" w:cs="宋体"/>
          <w:spacing w:val="10"/>
          <w:sz w:val="23"/>
          <w:szCs w:val="23"/>
        </w:rPr>
        <w:t xml:space="preserve"> </w:t>
      </w:r>
      <w:r>
        <w:rPr>
          <w:rFonts w:ascii="Times New Roman" w:hAnsi="Times New Roman" w:eastAsia="Times New Roman" w:cs="Times New Roman"/>
          <w:b/>
          <w:bCs/>
          <w:spacing w:val="5"/>
          <w:sz w:val="23"/>
          <w:szCs w:val="23"/>
        </w:rPr>
        <w:t>4-16</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14:textOutline w14:w="4358" w14:cap="sq" w14:cmpd="sng">
            <w14:solidFill>
              <w14:srgbClr w14:val="000000"/>
            </w14:solidFill>
            <w14:prstDash w14:val="solid"/>
            <w14:bevel/>
          </w14:textOutline>
        </w:rPr>
        <w:t>评价区域声环境现状监测及评价结果</w:t>
      </w:r>
    </w:p>
    <w:p w14:paraId="3509B079">
      <w:pPr>
        <w:spacing w:line="19" w:lineRule="exact"/>
      </w:pPr>
    </w:p>
    <w:tbl>
      <w:tblPr>
        <w:tblStyle w:val="4"/>
        <w:tblW w:w="8361" w:type="dxa"/>
        <w:tblInd w:w="8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79"/>
        <w:gridCol w:w="1181"/>
        <w:gridCol w:w="2115"/>
        <w:gridCol w:w="1761"/>
        <w:gridCol w:w="1425"/>
      </w:tblGrid>
      <w:tr w14:paraId="14214E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879" w:type="dxa"/>
            <w:tcBorders>
              <w:left w:val="nil"/>
            </w:tcBorders>
            <w:vAlign w:val="top"/>
          </w:tcPr>
          <w:p w14:paraId="03A7F3FA">
            <w:pPr>
              <w:spacing w:before="75" w:line="229" w:lineRule="auto"/>
              <w:ind w:left="423"/>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监</w:t>
            </w:r>
            <w:r>
              <w:rPr>
                <w:rFonts w:ascii="宋体" w:hAnsi="宋体" w:eastAsia="宋体" w:cs="宋体"/>
                <w:spacing w:val="8"/>
                <w:sz w:val="20"/>
                <w:szCs w:val="20"/>
                <w14:textOutline w14:w="3795" w14:cap="sq" w14:cmpd="sng">
                  <w14:solidFill>
                    <w14:srgbClr w14:val="000000"/>
                  </w14:solidFill>
                  <w14:prstDash w14:val="solid"/>
                  <w14:bevel/>
                </w14:textOutline>
              </w:rPr>
              <w:t>测点名称</w:t>
            </w:r>
          </w:p>
        </w:tc>
        <w:tc>
          <w:tcPr>
            <w:tcW w:w="1181" w:type="dxa"/>
            <w:vAlign w:val="top"/>
          </w:tcPr>
          <w:p w14:paraId="3DECB64F">
            <w:pPr>
              <w:spacing w:before="75" w:line="229" w:lineRule="auto"/>
              <w:ind w:left="176"/>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监</w:t>
            </w:r>
            <w:r>
              <w:rPr>
                <w:rFonts w:ascii="宋体" w:hAnsi="宋体" w:eastAsia="宋体" w:cs="宋体"/>
                <w:spacing w:val="8"/>
                <w:sz w:val="20"/>
                <w:szCs w:val="20"/>
                <w14:textOutline w14:w="3795" w14:cap="sq" w14:cmpd="sng">
                  <w14:solidFill>
                    <w14:srgbClr w14:val="000000"/>
                  </w14:solidFill>
                  <w14:prstDash w14:val="solid"/>
                  <w14:bevel/>
                </w14:textOutline>
              </w:rPr>
              <w:t>测时段</w:t>
            </w:r>
          </w:p>
        </w:tc>
        <w:tc>
          <w:tcPr>
            <w:tcW w:w="2115" w:type="dxa"/>
            <w:vAlign w:val="top"/>
          </w:tcPr>
          <w:p w14:paraId="45615402">
            <w:pPr>
              <w:spacing w:before="34" w:line="289" w:lineRule="exact"/>
              <w:ind w:left="98"/>
              <w:rPr>
                <w:rFonts w:ascii="宋体" w:hAnsi="宋体" w:eastAsia="宋体" w:cs="宋体"/>
                <w:sz w:val="20"/>
                <w:szCs w:val="20"/>
              </w:rPr>
            </w:pPr>
            <w:r>
              <w:rPr>
                <w:rFonts w:ascii="宋体" w:hAnsi="宋体" w:eastAsia="宋体" w:cs="宋体"/>
                <w:spacing w:val="2"/>
                <w:position w:val="2"/>
                <w:sz w:val="20"/>
                <w:szCs w:val="20"/>
                <w14:textOutline w14:w="3795" w14:cap="sq" w14:cmpd="sng">
                  <w14:solidFill>
                    <w14:srgbClr w14:val="000000"/>
                  </w14:solidFill>
                  <w14:prstDash w14:val="solid"/>
                  <w14:bevel/>
                </w14:textOutline>
              </w:rPr>
              <w:t>统计噪声</w:t>
            </w:r>
            <w:r>
              <w:rPr>
                <w:rFonts w:ascii="宋体" w:hAnsi="宋体" w:eastAsia="宋体" w:cs="宋体"/>
                <w:spacing w:val="2"/>
                <w:position w:val="2"/>
                <w:sz w:val="20"/>
                <w:szCs w:val="20"/>
              </w:rPr>
              <w:t xml:space="preserve"> </w:t>
            </w:r>
            <w:r>
              <w:rPr>
                <w:rFonts w:ascii="Times New Roman" w:hAnsi="Times New Roman" w:eastAsia="Times New Roman" w:cs="Times New Roman"/>
                <w:b/>
                <w:bCs/>
                <w:position w:val="2"/>
                <w:sz w:val="20"/>
                <w:szCs w:val="20"/>
              </w:rPr>
              <w:t>L</w:t>
            </w:r>
            <w:r>
              <w:rPr>
                <w:rFonts w:ascii="Times New Roman" w:hAnsi="Times New Roman" w:eastAsia="Times New Roman" w:cs="Times New Roman"/>
                <w:b/>
                <w:bCs/>
                <w:position w:val="1"/>
                <w:sz w:val="13"/>
                <w:szCs w:val="13"/>
              </w:rPr>
              <w:t>Aeq</w:t>
            </w:r>
            <w:r>
              <w:rPr>
                <w:rFonts w:ascii="Times New Roman" w:hAnsi="Times New Roman" w:eastAsia="Times New Roman" w:cs="Times New Roman"/>
                <w:spacing w:val="2"/>
                <w:position w:val="1"/>
                <w:sz w:val="13"/>
                <w:szCs w:val="13"/>
              </w:rPr>
              <w:t xml:space="preserve">   </w:t>
            </w:r>
            <w:r>
              <w:rPr>
                <w:rFonts w:ascii="宋体" w:hAnsi="宋体" w:eastAsia="宋体" w:cs="宋体"/>
                <w:spacing w:val="2"/>
                <w:position w:val="2"/>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position w:val="2"/>
                <w:sz w:val="20"/>
                <w:szCs w:val="20"/>
              </w:rPr>
              <w:t>dB</w:t>
            </w:r>
            <w:r>
              <w:rPr>
                <w:rFonts w:ascii="宋体" w:hAnsi="宋体" w:eastAsia="宋体" w:cs="宋体"/>
                <w:spacing w:val="2"/>
                <w:position w:val="2"/>
                <w:sz w:val="20"/>
                <w:szCs w:val="20"/>
                <w14:textOutline w14:w="3795" w14:cap="sq" w14:cmpd="sng">
                  <w14:solidFill>
                    <w14:srgbClr w14:val="000000"/>
                  </w14:solidFill>
                  <w14:prstDash w14:val="solid"/>
                  <w14:bevel/>
                </w14:textOutline>
              </w:rPr>
              <w:t>)</w:t>
            </w:r>
          </w:p>
        </w:tc>
        <w:tc>
          <w:tcPr>
            <w:tcW w:w="1761" w:type="dxa"/>
            <w:vAlign w:val="top"/>
          </w:tcPr>
          <w:p w14:paraId="396E530D">
            <w:pPr>
              <w:spacing w:before="34" w:line="289" w:lineRule="exact"/>
              <w:ind w:left="128"/>
              <w:rPr>
                <w:rFonts w:ascii="宋体" w:hAnsi="宋体" w:eastAsia="宋体" w:cs="宋体"/>
                <w:sz w:val="20"/>
                <w:szCs w:val="20"/>
              </w:rPr>
            </w:pPr>
            <w:r>
              <w:rPr>
                <w:rFonts w:ascii="宋体" w:hAnsi="宋体" w:eastAsia="宋体" w:cs="宋体"/>
                <w:spacing w:val="8"/>
                <w:position w:val="2"/>
                <w:sz w:val="20"/>
                <w:szCs w:val="20"/>
                <w14:textOutline w14:w="3795" w14:cap="sq" w14:cmpd="sng">
                  <w14:solidFill>
                    <w14:srgbClr w14:val="000000"/>
                  </w14:solidFill>
                  <w14:prstDash w14:val="solid"/>
                  <w14:bevel/>
                </w14:textOutline>
              </w:rPr>
              <w:t>评价标准</w:t>
            </w:r>
            <w:r>
              <w:rPr>
                <w:rFonts w:ascii="宋体" w:hAnsi="宋体" w:eastAsia="宋体" w:cs="宋体"/>
                <w:spacing w:val="8"/>
                <w:position w:val="2"/>
                <w:sz w:val="20"/>
                <w:szCs w:val="20"/>
              </w:rPr>
              <w:t xml:space="preserve"> </w:t>
            </w:r>
            <w:r>
              <w:rPr>
                <w:rFonts w:ascii="宋体" w:hAnsi="宋体" w:eastAsia="宋体" w:cs="宋体"/>
                <w:spacing w:val="8"/>
                <w:position w:val="2"/>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position w:val="2"/>
                <w:sz w:val="20"/>
                <w:szCs w:val="20"/>
              </w:rPr>
              <w:t>dB</w:t>
            </w:r>
            <w:r>
              <w:rPr>
                <w:rFonts w:ascii="宋体" w:hAnsi="宋体" w:eastAsia="宋体" w:cs="宋体"/>
                <w:spacing w:val="8"/>
                <w:position w:val="2"/>
                <w:sz w:val="20"/>
                <w:szCs w:val="20"/>
                <w14:textOutline w14:w="3795" w14:cap="sq" w14:cmpd="sng">
                  <w14:solidFill>
                    <w14:srgbClr w14:val="000000"/>
                  </w14:solidFill>
                  <w14:prstDash w14:val="solid"/>
                  <w14:bevel/>
                </w14:textOutline>
              </w:rPr>
              <w:t>)</w:t>
            </w:r>
          </w:p>
        </w:tc>
        <w:tc>
          <w:tcPr>
            <w:tcW w:w="1425" w:type="dxa"/>
            <w:tcBorders>
              <w:right w:val="nil"/>
            </w:tcBorders>
            <w:vAlign w:val="top"/>
          </w:tcPr>
          <w:p w14:paraId="68B51092">
            <w:pPr>
              <w:spacing w:before="76" w:line="228" w:lineRule="auto"/>
              <w:ind w:left="296"/>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达标情</w:t>
            </w:r>
            <w:r>
              <w:rPr>
                <w:rFonts w:ascii="宋体" w:hAnsi="宋体" w:eastAsia="宋体" w:cs="宋体"/>
                <w:spacing w:val="8"/>
                <w:sz w:val="20"/>
                <w:szCs w:val="20"/>
                <w14:textOutline w14:w="3795" w14:cap="sq" w14:cmpd="sng">
                  <w14:solidFill>
                    <w14:srgbClr w14:val="000000"/>
                  </w14:solidFill>
                  <w14:prstDash w14:val="solid"/>
                  <w14:bevel/>
                </w14:textOutline>
              </w:rPr>
              <w:t>况</w:t>
            </w:r>
          </w:p>
        </w:tc>
      </w:tr>
      <w:tr w14:paraId="79F67C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879" w:type="dxa"/>
            <w:vMerge w:val="restart"/>
            <w:tcBorders>
              <w:left w:val="nil"/>
              <w:bottom w:val="nil"/>
            </w:tcBorders>
            <w:vAlign w:val="top"/>
          </w:tcPr>
          <w:p w14:paraId="715A8594">
            <w:pPr>
              <w:spacing w:before="213" w:line="228" w:lineRule="auto"/>
              <w:ind w:left="210"/>
              <w:rPr>
                <w:rFonts w:ascii="宋体" w:hAnsi="宋体" w:eastAsia="宋体" w:cs="宋体"/>
                <w:sz w:val="20"/>
                <w:szCs w:val="20"/>
              </w:rPr>
            </w:pPr>
            <w:r>
              <w:rPr>
                <w:rFonts w:ascii="宋体" w:hAnsi="宋体" w:eastAsia="宋体" w:cs="宋体"/>
                <w:spacing w:val="9"/>
                <w:sz w:val="20"/>
                <w:szCs w:val="20"/>
              </w:rPr>
              <w:t>场界东侧边界</w:t>
            </w:r>
            <w:r>
              <w:rPr>
                <w:rFonts w:ascii="宋体" w:hAnsi="宋体" w:eastAsia="宋体" w:cs="宋体"/>
                <w:spacing w:val="7"/>
                <w:sz w:val="20"/>
                <w:szCs w:val="20"/>
              </w:rPr>
              <w:t>处</w:t>
            </w:r>
          </w:p>
        </w:tc>
        <w:tc>
          <w:tcPr>
            <w:tcW w:w="1181" w:type="dxa"/>
            <w:vAlign w:val="top"/>
          </w:tcPr>
          <w:p w14:paraId="51D7D0CC">
            <w:pPr>
              <w:spacing w:before="52" w:line="231" w:lineRule="auto"/>
              <w:ind w:left="385"/>
              <w:rPr>
                <w:rFonts w:ascii="宋体" w:hAnsi="宋体" w:eastAsia="宋体" w:cs="宋体"/>
                <w:sz w:val="20"/>
                <w:szCs w:val="20"/>
              </w:rPr>
            </w:pPr>
            <w:r>
              <w:rPr>
                <w:rFonts w:ascii="宋体" w:hAnsi="宋体" w:eastAsia="宋体" w:cs="宋体"/>
                <w:spacing w:val="5"/>
                <w:sz w:val="20"/>
                <w:szCs w:val="20"/>
              </w:rPr>
              <w:t>昼间</w:t>
            </w:r>
          </w:p>
        </w:tc>
        <w:tc>
          <w:tcPr>
            <w:tcW w:w="2115" w:type="dxa"/>
            <w:vAlign w:val="top"/>
          </w:tcPr>
          <w:p w14:paraId="3FEEEACA">
            <w:pPr>
              <w:spacing w:before="89" w:line="195" w:lineRule="auto"/>
              <w:ind w:left="64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52. 1~53.2</w:t>
            </w:r>
          </w:p>
        </w:tc>
        <w:tc>
          <w:tcPr>
            <w:tcW w:w="1761" w:type="dxa"/>
            <w:vAlign w:val="top"/>
          </w:tcPr>
          <w:p w14:paraId="471E7A94">
            <w:pPr>
              <w:spacing w:before="89" w:line="195" w:lineRule="auto"/>
              <w:ind w:left="78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5</w:t>
            </w:r>
          </w:p>
        </w:tc>
        <w:tc>
          <w:tcPr>
            <w:tcW w:w="1425" w:type="dxa"/>
            <w:tcBorders>
              <w:right w:val="nil"/>
            </w:tcBorders>
            <w:vAlign w:val="top"/>
          </w:tcPr>
          <w:p w14:paraId="7BB249BB">
            <w:pPr>
              <w:spacing w:before="53" w:line="228" w:lineRule="auto"/>
              <w:ind w:left="507"/>
              <w:rPr>
                <w:rFonts w:ascii="宋体" w:hAnsi="宋体" w:eastAsia="宋体" w:cs="宋体"/>
                <w:sz w:val="20"/>
                <w:szCs w:val="20"/>
              </w:rPr>
            </w:pPr>
            <w:r>
              <w:rPr>
                <w:rFonts w:ascii="宋体" w:hAnsi="宋体" w:eastAsia="宋体" w:cs="宋体"/>
                <w:spacing w:val="5"/>
                <w:sz w:val="20"/>
                <w:szCs w:val="20"/>
              </w:rPr>
              <w:t>达标</w:t>
            </w:r>
          </w:p>
        </w:tc>
      </w:tr>
      <w:tr w14:paraId="68EE83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879" w:type="dxa"/>
            <w:vMerge w:val="continue"/>
            <w:tcBorders>
              <w:top w:val="nil"/>
              <w:left w:val="nil"/>
            </w:tcBorders>
            <w:vAlign w:val="top"/>
          </w:tcPr>
          <w:p w14:paraId="17DD175E">
            <w:pPr>
              <w:rPr>
                <w:rFonts w:ascii="Arial"/>
                <w:sz w:val="21"/>
              </w:rPr>
            </w:pPr>
          </w:p>
        </w:tc>
        <w:tc>
          <w:tcPr>
            <w:tcW w:w="1181" w:type="dxa"/>
            <w:vAlign w:val="top"/>
          </w:tcPr>
          <w:p w14:paraId="158604E8">
            <w:pPr>
              <w:spacing w:before="53" w:line="228" w:lineRule="auto"/>
              <w:ind w:left="389"/>
              <w:rPr>
                <w:rFonts w:ascii="宋体" w:hAnsi="宋体" w:eastAsia="宋体" w:cs="宋体"/>
                <w:sz w:val="20"/>
                <w:szCs w:val="20"/>
              </w:rPr>
            </w:pPr>
            <w:r>
              <w:rPr>
                <w:rFonts w:ascii="宋体" w:hAnsi="宋体" w:eastAsia="宋体" w:cs="宋体"/>
                <w:spacing w:val="3"/>
                <w:sz w:val="20"/>
                <w:szCs w:val="20"/>
              </w:rPr>
              <w:t>夜间</w:t>
            </w:r>
          </w:p>
        </w:tc>
        <w:tc>
          <w:tcPr>
            <w:tcW w:w="2115" w:type="dxa"/>
            <w:vAlign w:val="top"/>
          </w:tcPr>
          <w:p w14:paraId="28337F86">
            <w:pPr>
              <w:spacing w:before="90" w:line="195" w:lineRule="auto"/>
              <w:ind w:left="63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42. 1~43</w:t>
            </w:r>
            <w:r>
              <w:rPr>
                <w:rFonts w:ascii="Times New Roman" w:hAnsi="Times New Roman" w:eastAsia="Times New Roman" w:cs="Times New Roman"/>
                <w:sz w:val="20"/>
                <w:szCs w:val="20"/>
              </w:rPr>
              <w:t>.5</w:t>
            </w:r>
          </w:p>
        </w:tc>
        <w:tc>
          <w:tcPr>
            <w:tcW w:w="1761" w:type="dxa"/>
            <w:vAlign w:val="top"/>
          </w:tcPr>
          <w:p w14:paraId="07BF9ADF">
            <w:pPr>
              <w:spacing w:before="92" w:line="192" w:lineRule="auto"/>
              <w:ind w:left="783"/>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c>
          <w:tcPr>
            <w:tcW w:w="1425" w:type="dxa"/>
            <w:tcBorders>
              <w:right w:val="nil"/>
            </w:tcBorders>
            <w:vAlign w:val="top"/>
          </w:tcPr>
          <w:p w14:paraId="1F63DE9F">
            <w:pPr>
              <w:spacing w:before="54" w:line="228" w:lineRule="auto"/>
              <w:ind w:left="507"/>
              <w:rPr>
                <w:rFonts w:ascii="宋体" w:hAnsi="宋体" w:eastAsia="宋体" w:cs="宋体"/>
                <w:sz w:val="20"/>
                <w:szCs w:val="20"/>
              </w:rPr>
            </w:pPr>
            <w:r>
              <w:rPr>
                <w:rFonts w:ascii="宋体" w:hAnsi="宋体" w:eastAsia="宋体" w:cs="宋体"/>
                <w:spacing w:val="5"/>
                <w:sz w:val="20"/>
                <w:szCs w:val="20"/>
              </w:rPr>
              <w:t>达标</w:t>
            </w:r>
          </w:p>
        </w:tc>
      </w:tr>
      <w:tr w14:paraId="042D7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879" w:type="dxa"/>
            <w:vMerge w:val="restart"/>
            <w:tcBorders>
              <w:left w:val="nil"/>
              <w:bottom w:val="nil"/>
            </w:tcBorders>
            <w:vAlign w:val="top"/>
          </w:tcPr>
          <w:p w14:paraId="7E408DB7">
            <w:pPr>
              <w:spacing w:before="214" w:line="228" w:lineRule="auto"/>
              <w:ind w:left="210"/>
              <w:rPr>
                <w:rFonts w:ascii="宋体" w:hAnsi="宋体" w:eastAsia="宋体" w:cs="宋体"/>
                <w:sz w:val="20"/>
                <w:szCs w:val="20"/>
              </w:rPr>
            </w:pPr>
            <w:r>
              <w:rPr>
                <w:rFonts w:ascii="宋体" w:hAnsi="宋体" w:eastAsia="宋体" w:cs="宋体"/>
                <w:spacing w:val="9"/>
                <w:sz w:val="20"/>
                <w:szCs w:val="20"/>
              </w:rPr>
              <w:t>场界南侧边界</w:t>
            </w:r>
            <w:r>
              <w:rPr>
                <w:rFonts w:ascii="宋体" w:hAnsi="宋体" w:eastAsia="宋体" w:cs="宋体"/>
                <w:spacing w:val="7"/>
                <w:sz w:val="20"/>
                <w:szCs w:val="20"/>
              </w:rPr>
              <w:t>处</w:t>
            </w:r>
          </w:p>
        </w:tc>
        <w:tc>
          <w:tcPr>
            <w:tcW w:w="1181" w:type="dxa"/>
            <w:vAlign w:val="top"/>
          </w:tcPr>
          <w:p w14:paraId="7EBD4F58">
            <w:pPr>
              <w:spacing w:before="53" w:line="231" w:lineRule="auto"/>
              <w:ind w:left="385"/>
              <w:rPr>
                <w:rFonts w:ascii="宋体" w:hAnsi="宋体" w:eastAsia="宋体" w:cs="宋体"/>
                <w:sz w:val="20"/>
                <w:szCs w:val="20"/>
              </w:rPr>
            </w:pPr>
            <w:r>
              <w:rPr>
                <w:rFonts w:ascii="宋体" w:hAnsi="宋体" w:eastAsia="宋体" w:cs="宋体"/>
                <w:spacing w:val="5"/>
                <w:sz w:val="20"/>
                <w:szCs w:val="20"/>
              </w:rPr>
              <w:t>昼间</w:t>
            </w:r>
          </w:p>
        </w:tc>
        <w:tc>
          <w:tcPr>
            <w:tcW w:w="2115" w:type="dxa"/>
            <w:vAlign w:val="top"/>
          </w:tcPr>
          <w:p w14:paraId="41BA1A72">
            <w:pPr>
              <w:spacing w:before="90" w:line="195" w:lineRule="auto"/>
              <w:ind w:left="64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5</w:t>
            </w:r>
            <w:r>
              <w:rPr>
                <w:rFonts w:ascii="Times New Roman" w:hAnsi="Times New Roman" w:eastAsia="Times New Roman" w:cs="Times New Roman"/>
                <w:spacing w:val="3"/>
                <w:sz w:val="20"/>
                <w:szCs w:val="20"/>
              </w:rPr>
              <w:t>1.5~53.4</w:t>
            </w:r>
          </w:p>
        </w:tc>
        <w:tc>
          <w:tcPr>
            <w:tcW w:w="1761" w:type="dxa"/>
            <w:vAlign w:val="top"/>
          </w:tcPr>
          <w:p w14:paraId="10536C62">
            <w:pPr>
              <w:spacing w:before="90" w:line="195" w:lineRule="auto"/>
              <w:ind w:left="78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5</w:t>
            </w:r>
          </w:p>
        </w:tc>
        <w:tc>
          <w:tcPr>
            <w:tcW w:w="1425" w:type="dxa"/>
            <w:tcBorders>
              <w:right w:val="nil"/>
            </w:tcBorders>
            <w:vAlign w:val="top"/>
          </w:tcPr>
          <w:p w14:paraId="60831464">
            <w:pPr>
              <w:spacing w:before="54" w:line="228" w:lineRule="auto"/>
              <w:ind w:left="507"/>
              <w:rPr>
                <w:rFonts w:ascii="宋体" w:hAnsi="宋体" w:eastAsia="宋体" w:cs="宋体"/>
                <w:sz w:val="20"/>
                <w:szCs w:val="20"/>
              </w:rPr>
            </w:pPr>
            <w:r>
              <w:rPr>
                <w:rFonts w:ascii="宋体" w:hAnsi="宋体" w:eastAsia="宋体" w:cs="宋体"/>
                <w:spacing w:val="5"/>
                <w:sz w:val="20"/>
                <w:szCs w:val="20"/>
              </w:rPr>
              <w:t>达标</w:t>
            </w:r>
          </w:p>
        </w:tc>
      </w:tr>
      <w:tr w14:paraId="20E0AB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879" w:type="dxa"/>
            <w:vMerge w:val="continue"/>
            <w:tcBorders>
              <w:top w:val="nil"/>
              <w:left w:val="nil"/>
            </w:tcBorders>
            <w:vAlign w:val="top"/>
          </w:tcPr>
          <w:p w14:paraId="4898E0B9">
            <w:pPr>
              <w:rPr>
                <w:rFonts w:ascii="Arial"/>
                <w:sz w:val="21"/>
              </w:rPr>
            </w:pPr>
          </w:p>
        </w:tc>
        <w:tc>
          <w:tcPr>
            <w:tcW w:w="1181" w:type="dxa"/>
            <w:vAlign w:val="top"/>
          </w:tcPr>
          <w:p w14:paraId="606A45AE">
            <w:pPr>
              <w:spacing w:before="53" w:line="228" w:lineRule="auto"/>
              <w:ind w:left="389"/>
              <w:rPr>
                <w:rFonts w:ascii="宋体" w:hAnsi="宋体" w:eastAsia="宋体" w:cs="宋体"/>
                <w:sz w:val="20"/>
                <w:szCs w:val="20"/>
              </w:rPr>
            </w:pPr>
            <w:r>
              <w:rPr>
                <w:rFonts w:ascii="宋体" w:hAnsi="宋体" w:eastAsia="宋体" w:cs="宋体"/>
                <w:spacing w:val="3"/>
                <w:sz w:val="20"/>
                <w:szCs w:val="20"/>
              </w:rPr>
              <w:t>夜间</w:t>
            </w:r>
          </w:p>
        </w:tc>
        <w:tc>
          <w:tcPr>
            <w:tcW w:w="2115" w:type="dxa"/>
            <w:vAlign w:val="top"/>
          </w:tcPr>
          <w:p w14:paraId="1E300C93">
            <w:pPr>
              <w:spacing w:before="90" w:line="195" w:lineRule="auto"/>
              <w:ind w:left="636"/>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43.3~43.8</w:t>
            </w:r>
          </w:p>
        </w:tc>
        <w:tc>
          <w:tcPr>
            <w:tcW w:w="1761" w:type="dxa"/>
            <w:vAlign w:val="top"/>
          </w:tcPr>
          <w:p w14:paraId="248B79A8">
            <w:pPr>
              <w:spacing w:before="92" w:line="192" w:lineRule="auto"/>
              <w:ind w:left="783"/>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c>
          <w:tcPr>
            <w:tcW w:w="1425" w:type="dxa"/>
            <w:tcBorders>
              <w:right w:val="nil"/>
            </w:tcBorders>
            <w:vAlign w:val="top"/>
          </w:tcPr>
          <w:p w14:paraId="73CFF6AB">
            <w:pPr>
              <w:spacing w:before="54" w:line="228" w:lineRule="auto"/>
              <w:ind w:left="507"/>
              <w:rPr>
                <w:rFonts w:ascii="宋体" w:hAnsi="宋体" w:eastAsia="宋体" w:cs="宋体"/>
                <w:sz w:val="20"/>
                <w:szCs w:val="20"/>
              </w:rPr>
            </w:pPr>
            <w:r>
              <w:rPr>
                <w:rFonts w:ascii="宋体" w:hAnsi="宋体" w:eastAsia="宋体" w:cs="宋体"/>
                <w:spacing w:val="5"/>
                <w:sz w:val="20"/>
                <w:szCs w:val="20"/>
              </w:rPr>
              <w:t>达标</w:t>
            </w:r>
          </w:p>
        </w:tc>
      </w:tr>
      <w:tr w14:paraId="62E35D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879" w:type="dxa"/>
            <w:vMerge w:val="restart"/>
            <w:tcBorders>
              <w:left w:val="nil"/>
              <w:bottom w:val="nil"/>
            </w:tcBorders>
            <w:vAlign w:val="top"/>
          </w:tcPr>
          <w:p w14:paraId="666B07D0">
            <w:pPr>
              <w:spacing w:before="215" w:line="228" w:lineRule="auto"/>
              <w:ind w:left="210"/>
              <w:rPr>
                <w:rFonts w:ascii="宋体" w:hAnsi="宋体" w:eastAsia="宋体" w:cs="宋体"/>
                <w:sz w:val="20"/>
                <w:szCs w:val="20"/>
              </w:rPr>
            </w:pPr>
            <w:r>
              <w:rPr>
                <w:rFonts w:ascii="宋体" w:hAnsi="宋体" w:eastAsia="宋体" w:cs="宋体"/>
                <w:spacing w:val="9"/>
                <w:sz w:val="20"/>
                <w:szCs w:val="20"/>
              </w:rPr>
              <w:t>场界西侧边界</w:t>
            </w:r>
            <w:r>
              <w:rPr>
                <w:rFonts w:ascii="宋体" w:hAnsi="宋体" w:eastAsia="宋体" w:cs="宋体"/>
                <w:spacing w:val="7"/>
                <w:sz w:val="20"/>
                <w:szCs w:val="20"/>
              </w:rPr>
              <w:t>处</w:t>
            </w:r>
          </w:p>
        </w:tc>
        <w:tc>
          <w:tcPr>
            <w:tcW w:w="1181" w:type="dxa"/>
            <w:vAlign w:val="top"/>
          </w:tcPr>
          <w:p w14:paraId="7188AC0C">
            <w:pPr>
              <w:spacing w:before="54" w:line="231" w:lineRule="auto"/>
              <w:ind w:left="385"/>
              <w:rPr>
                <w:rFonts w:ascii="宋体" w:hAnsi="宋体" w:eastAsia="宋体" w:cs="宋体"/>
                <w:sz w:val="20"/>
                <w:szCs w:val="20"/>
              </w:rPr>
            </w:pPr>
            <w:r>
              <w:rPr>
                <w:rFonts w:ascii="宋体" w:hAnsi="宋体" w:eastAsia="宋体" w:cs="宋体"/>
                <w:spacing w:val="5"/>
                <w:sz w:val="20"/>
                <w:szCs w:val="20"/>
              </w:rPr>
              <w:t>昼间</w:t>
            </w:r>
          </w:p>
        </w:tc>
        <w:tc>
          <w:tcPr>
            <w:tcW w:w="2115" w:type="dxa"/>
            <w:vAlign w:val="top"/>
          </w:tcPr>
          <w:p w14:paraId="701DF674">
            <w:pPr>
              <w:spacing w:before="90" w:line="195" w:lineRule="auto"/>
              <w:ind w:left="642"/>
              <w:rPr>
                <w:rFonts w:ascii="Times New Roman" w:hAnsi="Times New Roman" w:eastAsia="Times New Roman" w:cs="Times New Roman"/>
                <w:sz w:val="20"/>
                <w:szCs w:val="20"/>
              </w:rPr>
            </w:pPr>
            <w:r>
              <w:rPr>
                <w:rFonts w:ascii="Times New Roman" w:hAnsi="Times New Roman" w:eastAsia="Times New Roman" w:cs="Times New Roman"/>
                <w:sz w:val="20"/>
                <w:szCs w:val="20"/>
              </w:rPr>
              <w:t>51.8~53. 1</w:t>
            </w:r>
          </w:p>
        </w:tc>
        <w:tc>
          <w:tcPr>
            <w:tcW w:w="1761" w:type="dxa"/>
            <w:vAlign w:val="top"/>
          </w:tcPr>
          <w:p w14:paraId="3766A845">
            <w:pPr>
              <w:spacing w:before="90" w:line="195" w:lineRule="auto"/>
              <w:ind w:left="78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5</w:t>
            </w:r>
          </w:p>
        </w:tc>
        <w:tc>
          <w:tcPr>
            <w:tcW w:w="1425" w:type="dxa"/>
            <w:tcBorders>
              <w:right w:val="nil"/>
            </w:tcBorders>
            <w:vAlign w:val="top"/>
          </w:tcPr>
          <w:p w14:paraId="456207B4">
            <w:pPr>
              <w:spacing w:before="55" w:line="228" w:lineRule="auto"/>
              <w:ind w:left="507"/>
              <w:rPr>
                <w:rFonts w:ascii="宋体" w:hAnsi="宋体" w:eastAsia="宋体" w:cs="宋体"/>
                <w:sz w:val="20"/>
                <w:szCs w:val="20"/>
              </w:rPr>
            </w:pPr>
            <w:r>
              <w:rPr>
                <w:rFonts w:ascii="宋体" w:hAnsi="宋体" w:eastAsia="宋体" w:cs="宋体"/>
                <w:spacing w:val="5"/>
                <w:sz w:val="20"/>
                <w:szCs w:val="20"/>
              </w:rPr>
              <w:t>达标</w:t>
            </w:r>
          </w:p>
        </w:tc>
      </w:tr>
      <w:tr w14:paraId="20D361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879" w:type="dxa"/>
            <w:vMerge w:val="continue"/>
            <w:tcBorders>
              <w:top w:val="nil"/>
              <w:left w:val="nil"/>
            </w:tcBorders>
            <w:vAlign w:val="top"/>
          </w:tcPr>
          <w:p w14:paraId="59D8A839">
            <w:pPr>
              <w:rPr>
                <w:rFonts w:ascii="Arial"/>
                <w:sz w:val="21"/>
              </w:rPr>
            </w:pPr>
          </w:p>
        </w:tc>
        <w:tc>
          <w:tcPr>
            <w:tcW w:w="1181" w:type="dxa"/>
            <w:vAlign w:val="top"/>
          </w:tcPr>
          <w:p w14:paraId="6EEF3731">
            <w:pPr>
              <w:spacing w:before="54" w:line="228" w:lineRule="auto"/>
              <w:ind w:left="389"/>
              <w:rPr>
                <w:rFonts w:ascii="宋体" w:hAnsi="宋体" w:eastAsia="宋体" w:cs="宋体"/>
                <w:sz w:val="20"/>
                <w:szCs w:val="20"/>
              </w:rPr>
            </w:pPr>
            <w:r>
              <w:rPr>
                <w:rFonts w:ascii="宋体" w:hAnsi="宋体" w:eastAsia="宋体" w:cs="宋体"/>
                <w:spacing w:val="3"/>
                <w:sz w:val="20"/>
                <w:szCs w:val="20"/>
              </w:rPr>
              <w:t>夜间</w:t>
            </w:r>
          </w:p>
        </w:tc>
        <w:tc>
          <w:tcPr>
            <w:tcW w:w="2115" w:type="dxa"/>
            <w:vAlign w:val="top"/>
          </w:tcPr>
          <w:p w14:paraId="63BF9C2A">
            <w:pPr>
              <w:spacing w:before="91" w:line="195" w:lineRule="auto"/>
              <w:ind w:left="63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42. 1~43.7</w:t>
            </w:r>
          </w:p>
        </w:tc>
        <w:tc>
          <w:tcPr>
            <w:tcW w:w="1761" w:type="dxa"/>
            <w:vAlign w:val="top"/>
          </w:tcPr>
          <w:p w14:paraId="01E3C8EB">
            <w:pPr>
              <w:spacing w:before="94" w:line="192" w:lineRule="auto"/>
              <w:ind w:left="783"/>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c>
          <w:tcPr>
            <w:tcW w:w="1425" w:type="dxa"/>
            <w:tcBorders>
              <w:right w:val="nil"/>
            </w:tcBorders>
            <w:vAlign w:val="top"/>
          </w:tcPr>
          <w:p w14:paraId="29E9B93C">
            <w:pPr>
              <w:spacing w:before="55" w:line="228" w:lineRule="auto"/>
              <w:ind w:left="507"/>
              <w:rPr>
                <w:rFonts w:ascii="宋体" w:hAnsi="宋体" w:eastAsia="宋体" w:cs="宋体"/>
                <w:sz w:val="20"/>
                <w:szCs w:val="20"/>
              </w:rPr>
            </w:pPr>
            <w:r>
              <w:rPr>
                <w:rFonts w:ascii="宋体" w:hAnsi="宋体" w:eastAsia="宋体" w:cs="宋体"/>
                <w:spacing w:val="5"/>
                <w:sz w:val="20"/>
                <w:szCs w:val="20"/>
              </w:rPr>
              <w:t>达标</w:t>
            </w:r>
          </w:p>
        </w:tc>
      </w:tr>
      <w:tr w14:paraId="163A3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879" w:type="dxa"/>
            <w:vMerge w:val="restart"/>
            <w:tcBorders>
              <w:left w:val="nil"/>
              <w:bottom w:val="nil"/>
            </w:tcBorders>
            <w:vAlign w:val="top"/>
          </w:tcPr>
          <w:p w14:paraId="37388EBA">
            <w:pPr>
              <w:spacing w:before="224" w:line="228" w:lineRule="auto"/>
              <w:ind w:left="210"/>
              <w:rPr>
                <w:rFonts w:ascii="宋体" w:hAnsi="宋体" w:eastAsia="宋体" w:cs="宋体"/>
                <w:sz w:val="20"/>
                <w:szCs w:val="20"/>
              </w:rPr>
            </w:pPr>
            <w:r>
              <w:rPr>
                <w:rFonts w:ascii="宋体" w:hAnsi="宋体" w:eastAsia="宋体" w:cs="宋体"/>
                <w:spacing w:val="9"/>
                <w:sz w:val="20"/>
                <w:szCs w:val="20"/>
              </w:rPr>
              <w:t>场界北侧边界</w:t>
            </w:r>
            <w:r>
              <w:rPr>
                <w:rFonts w:ascii="宋体" w:hAnsi="宋体" w:eastAsia="宋体" w:cs="宋体"/>
                <w:spacing w:val="7"/>
                <w:sz w:val="20"/>
                <w:szCs w:val="20"/>
              </w:rPr>
              <w:t>处</w:t>
            </w:r>
          </w:p>
        </w:tc>
        <w:tc>
          <w:tcPr>
            <w:tcW w:w="1181" w:type="dxa"/>
            <w:vAlign w:val="top"/>
          </w:tcPr>
          <w:p w14:paraId="7BB4FCAB">
            <w:pPr>
              <w:spacing w:before="56" w:line="231" w:lineRule="auto"/>
              <w:ind w:left="385"/>
              <w:rPr>
                <w:rFonts w:ascii="宋体" w:hAnsi="宋体" w:eastAsia="宋体" w:cs="宋体"/>
                <w:sz w:val="20"/>
                <w:szCs w:val="20"/>
              </w:rPr>
            </w:pPr>
            <w:r>
              <w:rPr>
                <w:rFonts w:ascii="宋体" w:hAnsi="宋体" w:eastAsia="宋体" w:cs="宋体"/>
                <w:spacing w:val="5"/>
                <w:sz w:val="20"/>
                <w:szCs w:val="20"/>
              </w:rPr>
              <w:t>昼间</w:t>
            </w:r>
          </w:p>
        </w:tc>
        <w:tc>
          <w:tcPr>
            <w:tcW w:w="2115" w:type="dxa"/>
            <w:vAlign w:val="top"/>
          </w:tcPr>
          <w:p w14:paraId="621F62CC">
            <w:pPr>
              <w:spacing w:before="93" w:line="195" w:lineRule="auto"/>
              <w:ind w:left="64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52. 1~5</w:t>
            </w:r>
            <w:r>
              <w:rPr>
                <w:rFonts w:ascii="Times New Roman" w:hAnsi="Times New Roman" w:eastAsia="Times New Roman" w:cs="Times New Roman"/>
                <w:spacing w:val="-1"/>
                <w:sz w:val="20"/>
                <w:szCs w:val="20"/>
              </w:rPr>
              <w:t>2.7</w:t>
            </w:r>
          </w:p>
        </w:tc>
        <w:tc>
          <w:tcPr>
            <w:tcW w:w="1761" w:type="dxa"/>
            <w:vAlign w:val="top"/>
          </w:tcPr>
          <w:p w14:paraId="5477935C">
            <w:pPr>
              <w:spacing w:before="93" w:line="195" w:lineRule="auto"/>
              <w:ind w:left="78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5</w:t>
            </w:r>
          </w:p>
        </w:tc>
        <w:tc>
          <w:tcPr>
            <w:tcW w:w="1425" w:type="dxa"/>
            <w:tcBorders>
              <w:right w:val="nil"/>
            </w:tcBorders>
            <w:vAlign w:val="top"/>
          </w:tcPr>
          <w:p w14:paraId="25E902CF">
            <w:pPr>
              <w:spacing w:before="57" w:line="228" w:lineRule="auto"/>
              <w:ind w:left="507"/>
              <w:rPr>
                <w:rFonts w:ascii="宋体" w:hAnsi="宋体" w:eastAsia="宋体" w:cs="宋体"/>
                <w:sz w:val="20"/>
                <w:szCs w:val="20"/>
              </w:rPr>
            </w:pPr>
            <w:r>
              <w:rPr>
                <w:rFonts w:ascii="宋体" w:hAnsi="宋体" w:eastAsia="宋体" w:cs="宋体"/>
                <w:spacing w:val="5"/>
                <w:sz w:val="20"/>
                <w:szCs w:val="20"/>
              </w:rPr>
              <w:t>达标</w:t>
            </w:r>
          </w:p>
        </w:tc>
      </w:tr>
      <w:tr w14:paraId="31BA42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1879" w:type="dxa"/>
            <w:vMerge w:val="continue"/>
            <w:tcBorders>
              <w:top w:val="nil"/>
              <w:left w:val="nil"/>
            </w:tcBorders>
            <w:vAlign w:val="top"/>
          </w:tcPr>
          <w:p w14:paraId="270F2978">
            <w:pPr>
              <w:rPr>
                <w:rFonts w:ascii="Arial"/>
                <w:sz w:val="21"/>
              </w:rPr>
            </w:pPr>
          </w:p>
        </w:tc>
        <w:tc>
          <w:tcPr>
            <w:tcW w:w="1181" w:type="dxa"/>
            <w:vAlign w:val="top"/>
          </w:tcPr>
          <w:p w14:paraId="23E4DD59">
            <w:pPr>
              <w:spacing w:before="66" w:line="228" w:lineRule="auto"/>
              <w:ind w:left="389"/>
              <w:rPr>
                <w:rFonts w:ascii="宋体" w:hAnsi="宋体" w:eastAsia="宋体" w:cs="宋体"/>
                <w:sz w:val="20"/>
                <w:szCs w:val="20"/>
              </w:rPr>
            </w:pPr>
            <w:r>
              <w:rPr>
                <w:rFonts w:ascii="宋体" w:hAnsi="宋体" w:eastAsia="宋体" w:cs="宋体"/>
                <w:spacing w:val="3"/>
                <w:sz w:val="20"/>
                <w:szCs w:val="20"/>
              </w:rPr>
              <w:t>夜间</w:t>
            </w:r>
          </w:p>
        </w:tc>
        <w:tc>
          <w:tcPr>
            <w:tcW w:w="2115" w:type="dxa"/>
            <w:vAlign w:val="top"/>
          </w:tcPr>
          <w:p w14:paraId="5C1ADFCF">
            <w:pPr>
              <w:spacing w:before="102" w:line="198" w:lineRule="auto"/>
              <w:ind w:left="63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42.9~43.4</w:t>
            </w:r>
          </w:p>
        </w:tc>
        <w:tc>
          <w:tcPr>
            <w:tcW w:w="1761" w:type="dxa"/>
            <w:vAlign w:val="top"/>
          </w:tcPr>
          <w:p w14:paraId="307FCDB6">
            <w:pPr>
              <w:spacing w:before="105" w:line="192" w:lineRule="auto"/>
              <w:ind w:left="783"/>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c>
          <w:tcPr>
            <w:tcW w:w="1425" w:type="dxa"/>
            <w:tcBorders>
              <w:right w:val="nil"/>
            </w:tcBorders>
            <w:vAlign w:val="top"/>
          </w:tcPr>
          <w:p w14:paraId="4B3C2949">
            <w:pPr>
              <w:spacing w:before="66" w:line="228" w:lineRule="auto"/>
              <w:ind w:left="507"/>
              <w:rPr>
                <w:rFonts w:ascii="宋体" w:hAnsi="宋体" w:eastAsia="宋体" w:cs="宋体"/>
                <w:sz w:val="20"/>
                <w:szCs w:val="20"/>
              </w:rPr>
            </w:pPr>
            <w:r>
              <w:rPr>
                <w:rFonts w:ascii="宋体" w:hAnsi="宋体" w:eastAsia="宋体" w:cs="宋体"/>
                <w:spacing w:val="5"/>
                <w:sz w:val="20"/>
                <w:szCs w:val="20"/>
              </w:rPr>
              <w:t>达标</w:t>
            </w:r>
          </w:p>
        </w:tc>
      </w:tr>
    </w:tbl>
    <w:p w14:paraId="5C916C6C">
      <w:pPr>
        <w:spacing w:line="261" w:lineRule="auto"/>
        <w:rPr>
          <w:rFonts w:ascii="Arial"/>
          <w:sz w:val="21"/>
        </w:rPr>
      </w:pPr>
    </w:p>
    <w:p w14:paraId="464D4859">
      <w:pPr>
        <w:spacing w:before="75" w:line="390" w:lineRule="auto"/>
        <w:ind w:left="117" w:right="105" w:firstLine="509"/>
        <w:rPr>
          <w:rFonts w:ascii="宋体" w:hAnsi="宋体" w:eastAsia="宋体" w:cs="宋体"/>
          <w:sz w:val="23"/>
          <w:szCs w:val="23"/>
        </w:rPr>
      </w:pPr>
      <w:r>
        <w:rPr>
          <w:rFonts w:ascii="宋体" w:hAnsi="宋体" w:eastAsia="宋体" w:cs="宋体"/>
          <w:spacing w:val="12"/>
          <w:sz w:val="23"/>
          <w:szCs w:val="23"/>
        </w:rPr>
        <w:t>由表</w:t>
      </w:r>
      <w:r>
        <w:rPr>
          <w:rFonts w:ascii="宋体" w:hAnsi="宋体" w:eastAsia="宋体" w:cs="宋体"/>
          <w:spacing w:val="8"/>
          <w:sz w:val="23"/>
          <w:szCs w:val="23"/>
        </w:rPr>
        <w:t xml:space="preserve"> </w:t>
      </w:r>
      <w:r>
        <w:rPr>
          <w:rFonts w:ascii="Times New Roman" w:hAnsi="Times New Roman" w:eastAsia="Times New Roman" w:cs="Times New Roman"/>
          <w:spacing w:val="6"/>
          <w:sz w:val="23"/>
          <w:szCs w:val="23"/>
        </w:rPr>
        <w:t xml:space="preserve">4- 16 </w:t>
      </w:r>
      <w:r>
        <w:rPr>
          <w:rFonts w:ascii="宋体" w:hAnsi="宋体" w:eastAsia="宋体" w:cs="宋体"/>
          <w:spacing w:val="6"/>
          <w:sz w:val="23"/>
          <w:szCs w:val="23"/>
        </w:rPr>
        <w:t>中可见，项目所在区域东、南、西、北厂界处昼、夜间声环境质</w:t>
      </w:r>
      <w:r>
        <w:rPr>
          <w:rFonts w:ascii="宋体" w:hAnsi="宋体" w:eastAsia="宋体" w:cs="宋体"/>
          <w:sz w:val="23"/>
          <w:szCs w:val="23"/>
        </w:rPr>
        <w:t xml:space="preserve"> </w:t>
      </w:r>
      <w:r>
        <w:rPr>
          <w:rFonts w:ascii="宋体" w:hAnsi="宋体" w:eastAsia="宋体" w:cs="宋体"/>
          <w:spacing w:val="6"/>
          <w:sz w:val="23"/>
          <w:szCs w:val="23"/>
        </w:rPr>
        <w:t>量均能</w:t>
      </w:r>
      <w:r>
        <w:rPr>
          <w:rFonts w:ascii="宋体" w:hAnsi="宋体" w:eastAsia="宋体" w:cs="宋体"/>
          <w:spacing w:val="5"/>
          <w:sz w:val="23"/>
          <w:szCs w:val="23"/>
        </w:rPr>
        <w:t>达</w:t>
      </w:r>
      <w:r>
        <w:rPr>
          <w:rFonts w:ascii="宋体" w:hAnsi="宋体" w:eastAsia="宋体" w:cs="宋体"/>
          <w:spacing w:val="3"/>
          <w:sz w:val="23"/>
          <w:szCs w:val="23"/>
        </w:rPr>
        <w:t>到《声环境质量标准》  (</w:t>
      </w:r>
      <w:r>
        <w:rPr>
          <w:rFonts w:ascii="Times New Roman" w:hAnsi="Times New Roman" w:eastAsia="Times New Roman" w:cs="Times New Roman"/>
          <w:sz w:val="23"/>
          <w:szCs w:val="23"/>
        </w:rPr>
        <w:t>GB</w:t>
      </w:r>
      <w:r>
        <w:rPr>
          <w:rFonts w:ascii="Times New Roman" w:hAnsi="Times New Roman" w:eastAsia="Times New Roman" w:cs="Times New Roman"/>
          <w:spacing w:val="3"/>
          <w:sz w:val="23"/>
          <w:szCs w:val="23"/>
        </w:rPr>
        <w:t>3096-2008</w:t>
      </w:r>
      <w:r>
        <w:rPr>
          <w:rFonts w:ascii="宋体" w:hAnsi="宋体" w:eastAsia="宋体" w:cs="宋体"/>
          <w:spacing w:val="3"/>
          <w:sz w:val="23"/>
          <w:szCs w:val="23"/>
        </w:rPr>
        <w:t xml:space="preserve">) 中 </w:t>
      </w:r>
      <w:r>
        <w:rPr>
          <w:rFonts w:ascii="Times New Roman" w:hAnsi="Times New Roman" w:eastAsia="Times New Roman" w:cs="Times New Roman"/>
          <w:spacing w:val="3"/>
          <w:sz w:val="23"/>
          <w:szCs w:val="23"/>
        </w:rPr>
        <w:t xml:space="preserve">3 </w:t>
      </w:r>
      <w:r>
        <w:rPr>
          <w:rFonts w:ascii="宋体" w:hAnsi="宋体" w:eastAsia="宋体" w:cs="宋体"/>
          <w:spacing w:val="3"/>
          <w:sz w:val="23"/>
          <w:szCs w:val="23"/>
        </w:rPr>
        <w:t>类区标准要求，区域声环</w:t>
      </w:r>
      <w:r>
        <w:rPr>
          <w:rFonts w:ascii="宋体" w:hAnsi="宋体" w:eastAsia="宋体" w:cs="宋体"/>
          <w:sz w:val="23"/>
          <w:szCs w:val="23"/>
        </w:rPr>
        <w:t xml:space="preserve"> </w:t>
      </w:r>
      <w:r>
        <w:rPr>
          <w:rFonts w:ascii="宋体" w:hAnsi="宋体" w:eastAsia="宋体" w:cs="宋体"/>
          <w:spacing w:val="11"/>
          <w:sz w:val="23"/>
          <w:szCs w:val="23"/>
        </w:rPr>
        <w:t>境</w:t>
      </w:r>
      <w:r>
        <w:rPr>
          <w:rFonts w:ascii="宋体" w:hAnsi="宋体" w:eastAsia="宋体" w:cs="宋体"/>
          <w:spacing w:val="7"/>
          <w:sz w:val="23"/>
          <w:szCs w:val="23"/>
        </w:rPr>
        <w:t>质量现状较好。</w:t>
      </w:r>
    </w:p>
    <w:p w14:paraId="64FCB08C">
      <w:pPr>
        <w:spacing w:before="85" w:line="224" w:lineRule="auto"/>
        <w:ind w:left="115"/>
        <w:outlineLvl w:val="1"/>
        <w:rPr>
          <w:rFonts w:ascii="宋体" w:hAnsi="宋体" w:eastAsia="宋体" w:cs="宋体"/>
          <w:sz w:val="29"/>
          <w:szCs w:val="29"/>
        </w:rPr>
      </w:pPr>
      <w:r>
        <w:rPr>
          <w:rFonts w:ascii="Times New Roman" w:hAnsi="Times New Roman" w:eastAsia="Times New Roman" w:cs="Times New Roman"/>
          <w:b/>
          <w:bCs/>
          <w:spacing w:val="8"/>
          <w:sz w:val="29"/>
          <w:szCs w:val="29"/>
        </w:rPr>
        <w:t>4.3.4</w:t>
      </w:r>
      <w:r>
        <w:rPr>
          <w:rFonts w:ascii="Times New Roman" w:hAnsi="Times New Roman" w:eastAsia="Times New Roman" w:cs="Times New Roman"/>
          <w:spacing w:val="8"/>
          <w:sz w:val="29"/>
          <w:szCs w:val="29"/>
        </w:rPr>
        <w:t xml:space="preserve">  </w:t>
      </w:r>
      <w:r>
        <w:rPr>
          <w:rFonts w:ascii="宋体" w:hAnsi="宋体" w:eastAsia="宋体" w:cs="宋体"/>
          <w:spacing w:val="8"/>
          <w:sz w:val="29"/>
          <w:szCs w:val="29"/>
          <w14:textOutline w14:w="5448" w14:cap="sq" w14:cmpd="sng">
            <w14:solidFill>
              <w14:srgbClr w14:val="000000"/>
            </w14:solidFill>
            <w14:prstDash w14:val="solid"/>
            <w14:bevel/>
          </w14:textOutline>
        </w:rPr>
        <w:t>土壤环境质量现状监测与评价</w:t>
      </w:r>
    </w:p>
    <w:p w14:paraId="4952FF6C">
      <w:pPr>
        <w:spacing w:before="300" w:line="220" w:lineRule="auto"/>
        <w:ind w:left="115"/>
        <w:outlineLvl w:val="2"/>
        <w:rPr>
          <w:rFonts w:ascii="宋体" w:hAnsi="宋体" w:eastAsia="宋体" w:cs="宋体"/>
          <w:sz w:val="28"/>
          <w:szCs w:val="28"/>
        </w:rPr>
      </w:pPr>
      <w:r>
        <w:rPr>
          <w:rFonts w:ascii="Times New Roman" w:hAnsi="Times New Roman" w:eastAsia="Times New Roman" w:cs="Times New Roman"/>
          <w:b/>
          <w:bCs/>
          <w:spacing w:val="16"/>
          <w:sz w:val="28"/>
          <w:szCs w:val="28"/>
        </w:rPr>
        <w:t>4</w:t>
      </w:r>
      <w:r>
        <w:rPr>
          <w:rFonts w:ascii="Times New Roman" w:hAnsi="Times New Roman" w:eastAsia="Times New Roman" w:cs="Times New Roman"/>
          <w:b/>
          <w:bCs/>
          <w:spacing w:val="13"/>
          <w:sz w:val="28"/>
          <w:szCs w:val="28"/>
        </w:rPr>
        <w:t>.</w:t>
      </w:r>
      <w:r>
        <w:rPr>
          <w:rFonts w:ascii="Times New Roman" w:hAnsi="Times New Roman" w:eastAsia="Times New Roman" w:cs="Times New Roman"/>
          <w:b/>
          <w:bCs/>
          <w:spacing w:val="8"/>
          <w:sz w:val="28"/>
          <w:szCs w:val="28"/>
        </w:rPr>
        <w:t>3.4.1</w:t>
      </w:r>
      <w:r>
        <w:rPr>
          <w:rFonts w:ascii="Times New Roman" w:hAnsi="Times New Roman" w:eastAsia="Times New Roman" w:cs="Times New Roman"/>
          <w:spacing w:val="8"/>
          <w:sz w:val="28"/>
          <w:szCs w:val="28"/>
        </w:rPr>
        <w:t xml:space="preserve"> </w:t>
      </w:r>
      <w:r>
        <w:rPr>
          <w:rFonts w:ascii="宋体" w:hAnsi="宋体" w:eastAsia="宋体" w:cs="宋体"/>
          <w:spacing w:val="8"/>
          <w:sz w:val="28"/>
          <w:szCs w:val="28"/>
          <w14:textOutline w14:w="5103" w14:cap="sq" w14:cmpd="sng">
            <w14:solidFill>
              <w14:srgbClr w14:val="000000"/>
            </w14:solidFill>
            <w14:prstDash w14:val="solid"/>
            <w14:bevel/>
          </w14:textOutline>
        </w:rPr>
        <w:t>土壤环境质量现状监测</w:t>
      </w:r>
    </w:p>
    <w:p w14:paraId="395A60A1">
      <w:pPr>
        <w:spacing w:line="260" w:lineRule="auto"/>
        <w:rPr>
          <w:rFonts w:ascii="Arial"/>
          <w:sz w:val="21"/>
        </w:rPr>
      </w:pPr>
    </w:p>
    <w:p w14:paraId="655CB72B">
      <w:pPr>
        <w:spacing w:before="75" w:line="227" w:lineRule="auto"/>
        <w:ind w:left="445"/>
        <w:rPr>
          <w:rFonts w:ascii="宋体" w:hAnsi="宋体" w:eastAsia="宋体" w:cs="宋体"/>
          <w:sz w:val="23"/>
          <w:szCs w:val="23"/>
        </w:rPr>
      </w:pPr>
      <w:r>
        <w:rPr>
          <w:rFonts w:ascii="宋体" w:hAnsi="宋体" w:eastAsia="宋体" w:cs="宋体"/>
          <w:spacing w:val="20"/>
          <w:sz w:val="23"/>
          <w:szCs w:val="23"/>
        </w:rPr>
        <w:t>(</w:t>
      </w:r>
      <w:r>
        <w:rPr>
          <w:rFonts w:ascii="Times New Roman" w:hAnsi="Times New Roman" w:eastAsia="Times New Roman" w:cs="Times New Roman"/>
          <w:spacing w:val="20"/>
          <w:sz w:val="23"/>
          <w:szCs w:val="23"/>
        </w:rPr>
        <w:t>1</w:t>
      </w:r>
      <w:r>
        <w:rPr>
          <w:rFonts w:ascii="宋体" w:hAnsi="宋体" w:eastAsia="宋体" w:cs="宋体"/>
          <w:spacing w:val="20"/>
          <w:sz w:val="23"/>
          <w:szCs w:val="23"/>
        </w:rPr>
        <w:t>) 监测布</w:t>
      </w:r>
      <w:r>
        <w:rPr>
          <w:rFonts w:ascii="宋体" w:hAnsi="宋体" w:eastAsia="宋体" w:cs="宋体"/>
          <w:spacing w:val="19"/>
          <w:sz w:val="23"/>
          <w:szCs w:val="23"/>
        </w:rPr>
        <w:t>点</w:t>
      </w:r>
    </w:p>
    <w:p w14:paraId="74C6B63C">
      <w:pPr>
        <w:spacing w:line="278" w:lineRule="auto"/>
        <w:rPr>
          <w:rFonts w:ascii="Arial"/>
          <w:sz w:val="21"/>
        </w:rPr>
      </w:pPr>
    </w:p>
    <w:p w14:paraId="7D4B3C5C">
      <w:pPr>
        <w:spacing w:before="75" w:line="393" w:lineRule="auto"/>
        <w:ind w:left="117" w:right="107" w:firstLine="480"/>
        <w:rPr>
          <w:rFonts w:ascii="宋体" w:hAnsi="宋体" w:eastAsia="宋体" w:cs="宋体"/>
          <w:sz w:val="23"/>
          <w:szCs w:val="23"/>
        </w:rPr>
      </w:pPr>
      <w:r>
        <w:rPr>
          <w:rFonts w:ascii="宋体" w:hAnsi="宋体" w:eastAsia="宋体" w:cs="宋体"/>
          <w:spacing w:val="5"/>
          <w:sz w:val="23"/>
          <w:szCs w:val="23"/>
        </w:rPr>
        <w:t xml:space="preserve">根据拟建项目场址所在地区的环境地质条件，在占地范围内共布设 </w:t>
      </w:r>
      <w:r>
        <w:rPr>
          <w:rFonts w:ascii="Times New Roman" w:hAnsi="Times New Roman" w:eastAsia="Times New Roman" w:cs="Times New Roman"/>
          <w:spacing w:val="5"/>
          <w:sz w:val="23"/>
          <w:szCs w:val="23"/>
        </w:rPr>
        <w:t xml:space="preserve">3 </w:t>
      </w:r>
      <w:r>
        <w:rPr>
          <w:rFonts w:ascii="宋体" w:hAnsi="宋体" w:eastAsia="宋体" w:cs="宋体"/>
          <w:spacing w:val="5"/>
          <w:sz w:val="23"/>
          <w:szCs w:val="23"/>
        </w:rPr>
        <w:t>个</w:t>
      </w:r>
      <w:r>
        <w:rPr>
          <w:rFonts w:ascii="宋体" w:hAnsi="宋体" w:eastAsia="宋体" w:cs="宋体"/>
          <w:spacing w:val="4"/>
          <w:sz w:val="23"/>
          <w:szCs w:val="23"/>
        </w:rPr>
        <w:t>土</w:t>
      </w:r>
      <w:r>
        <w:rPr>
          <w:rFonts w:ascii="宋体" w:hAnsi="宋体" w:eastAsia="宋体" w:cs="宋体"/>
          <w:sz w:val="23"/>
          <w:szCs w:val="23"/>
        </w:rPr>
        <w:t xml:space="preserve">壤 </w:t>
      </w:r>
      <w:r>
        <w:rPr>
          <w:rFonts w:ascii="宋体" w:hAnsi="宋体" w:eastAsia="宋体" w:cs="宋体"/>
          <w:spacing w:val="2"/>
          <w:sz w:val="23"/>
          <w:szCs w:val="23"/>
        </w:rPr>
        <w:t>环境环境质量监测点，具体见表</w:t>
      </w:r>
      <w:r>
        <w:rPr>
          <w:rFonts w:ascii="宋体" w:hAnsi="宋体" w:eastAsia="宋体" w:cs="宋体"/>
          <w:spacing w:val="1"/>
          <w:sz w:val="23"/>
          <w:szCs w:val="23"/>
        </w:rPr>
        <w:t xml:space="preserve"> </w:t>
      </w:r>
      <w:r>
        <w:rPr>
          <w:rFonts w:ascii="Times New Roman" w:hAnsi="Times New Roman" w:eastAsia="Times New Roman" w:cs="Times New Roman"/>
          <w:spacing w:val="1"/>
          <w:sz w:val="23"/>
          <w:szCs w:val="23"/>
        </w:rPr>
        <w:t>4- 17</w:t>
      </w:r>
      <w:r>
        <w:rPr>
          <w:rFonts w:ascii="宋体" w:hAnsi="宋体" w:eastAsia="宋体" w:cs="宋体"/>
          <w:spacing w:val="1"/>
          <w:sz w:val="23"/>
          <w:szCs w:val="23"/>
        </w:rPr>
        <w:t>。</w:t>
      </w:r>
    </w:p>
    <w:p w14:paraId="42EF141E">
      <w:pPr>
        <w:spacing w:before="135" w:line="227" w:lineRule="auto"/>
        <w:ind w:left="2850"/>
        <w:rPr>
          <w:rFonts w:ascii="宋体" w:hAnsi="宋体" w:eastAsia="宋体" w:cs="宋体"/>
          <w:sz w:val="23"/>
          <w:szCs w:val="23"/>
        </w:rPr>
      </w:pPr>
      <w:r>
        <w:rPr>
          <w:rFonts w:ascii="宋体" w:hAnsi="宋体" w:eastAsia="宋体" w:cs="宋体"/>
          <w:spacing w:val="6"/>
          <w:sz w:val="23"/>
          <w:szCs w:val="23"/>
          <w14:textOutline w14:w="4358" w14:cap="sq" w14:cmpd="sng">
            <w14:solidFill>
              <w14:srgbClr w14:val="000000"/>
            </w14:solidFill>
            <w14:prstDash w14:val="solid"/>
            <w14:bevel/>
          </w14:textOutline>
        </w:rPr>
        <w:t>表</w:t>
      </w:r>
      <w:r>
        <w:rPr>
          <w:rFonts w:ascii="宋体" w:hAnsi="宋体" w:eastAsia="宋体" w:cs="宋体"/>
          <w:spacing w:val="4"/>
          <w:sz w:val="23"/>
          <w:szCs w:val="23"/>
        </w:rPr>
        <w:t xml:space="preserve"> </w:t>
      </w:r>
      <w:r>
        <w:rPr>
          <w:rFonts w:ascii="Times New Roman" w:hAnsi="Times New Roman" w:eastAsia="Times New Roman" w:cs="Times New Roman"/>
          <w:b/>
          <w:bCs/>
          <w:spacing w:val="3"/>
          <w:sz w:val="23"/>
          <w:szCs w:val="23"/>
        </w:rPr>
        <w:t>4-17</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14:textOutline w14:w="4358" w14:cap="sq" w14:cmpd="sng">
            <w14:solidFill>
              <w14:srgbClr w14:val="000000"/>
            </w14:solidFill>
            <w14:prstDash w14:val="solid"/>
            <w14:bevel/>
          </w14:textOutline>
        </w:rPr>
        <w:t>土壤监测点位布设</w:t>
      </w:r>
    </w:p>
    <w:p w14:paraId="6EEA10AA">
      <w:pPr>
        <w:spacing w:line="19" w:lineRule="exact"/>
      </w:pPr>
    </w:p>
    <w:tbl>
      <w:tblPr>
        <w:tblStyle w:val="4"/>
        <w:tblW w:w="852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9"/>
        <w:gridCol w:w="2093"/>
        <w:gridCol w:w="3428"/>
        <w:gridCol w:w="2181"/>
      </w:tblGrid>
      <w:tr w14:paraId="678FFC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19" w:type="dxa"/>
            <w:tcBorders>
              <w:left w:val="nil"/>
            </w:tcBorders>
            <w:vAlign w:val="top"/>
          </w:tcPr>
          <w:p w14:paraId="1FF646A8">
            <w:pPr>
              <w:spacing w:before="75" w:line="229" w:lineRule="auto"/>
              <w:ind w:left="206"/>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序号</w:t>
            </w:r>
          </w:p>
        </w:tc>
        <w:tc>
          <w:tcPr>
            <w:tcW w:w="2093" w:type="dxa"/>
            <w:vAlign w:val="top"/>
          </w:tcPr>
          <w:p w14:paraId="2CCABD5E">
            <w:pPr>
              <w:spacing w:before="75" w:line="229" w:lineRule="auto"/>
              <w:ind w:left="526"/>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监</w:t>
            </w:r>
            <w:r>
              <w:rPr>
                <w:rFonts w:ascii="宋体" w:hAnsi="宋体" w:eastAsia="宋体" w:cs="宋体"/>
                <w:spacing w:val="8"/>
                <w:sz w:val="20"/>
                <w:szCs w:val="20"/>
                <w14:textOutline w14:w="3795" w14:cap="sq" w14:cmpd="sng">
                  <w14:solidFill>
                    <w14:srgbClr w14:val="000000"/>
                  </w14:solidFill>
                  <w14:prstDash w14:val="solid"/>
                  <w14:bevel/>
                </w14:textOutline>
              </w:rPr>
              <w:t>测点名称</w:t>
            </w:r>
          </w:p>
        </w:tc>
        <w:tc>
          <w:tcPr>
            <w:tcW w:w="3428" w:type="dxa"/>
            <w:vAlign w:val="top"/>
          </w:tcPr>
          <w:p w14:paraId="2D1F330A">
            <w:pPr>
              <w:spacing w:before="75" w:line="229" w:lineRule="auto"/>
              <w:ind w:left="1196"/>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监</w:t>
            </w:r>
            <w:r>
              <w:rPr>
                <w:rFonts w:ascii="宋体" w:hAnsi="宋体" w:eastAsia="宋体" w:cs="宋体"/>
                <w:spacing w:val="8"/>
                <w:sz w:val="20"/>
                <w:szCs w:val="20"/>
                <w14:textOutline w14:w="3795" w14:cap="sq" w14:cmpd="sng">
                  <w14:solidFill>
                    <w14:srgbClr w14:val="000000"/>
                  </w14:solidFill>
                  <w14:prstDash w14:val="solid"/>
                  <w14:bevel/>
                </w14:textOutline>
              </w:rPr>
              <w:t>测点位置</w:t>
            </w:r>
          </w:p>
        </w:tc>
        <w:tc>
          <w:tcPr>
            <w:tcW w:w="2181" w:type="dxa"/>
            <w:tcBorders>
              <w:right w:val="nil"/>
            </w:tcBorders>
            <w:vAlign w:val="top"/>
          </w:tcPr>
          <w:p w14:paraId="535DD24A">
            <w:pPr>
              <w:spacing w:before="75" w:line="229" w:lineRule="auto"/>
              <w:ind w:left="889"/>
              <w:rPr>
                <w:rFonts w:ascii="宋体" w:hAnsi="宋体" w:eastAsia="宋体" w:cs="宋体"/>
                <w:sz w:val="20"/>
                <w:szCs w:val="20"/>
              </w:rPr>
            </w:pPr>
            <w:r>
              <w:rPr>
                <w:rFonts w:ascii="宋体" w:hAnsi="宋体" w:eastAsia="宋体" w:cs="宋体"/>
                <w:spacing w:val="5"/>
                <w:sz w:val="20"/>
                <w:szCs w:val="20"/>
                <w14:textOutline w14:w="3795" w14:cap="sq" w14:cmpd="sng">
                  <w14:solidFill>
                    <w14:srgbClr w14:val="000000"/>
                  </w14:solidFill>
                  <w14:prstDash w14:val="solid"/>
                  <w14:bevel/>
                </w14:textOutline>
              </w:rPr>
              <w:t>备</w:t>
            </w:r>
            <w:r>
              <w:rPr>
                <w:rFonts w:ascii="宋体" w:hAnsi="宋体" w:eastAsia="宋体" w:cs="宋体"/>
                <w:spacing w:val="4"/>
                <w:sz w:val="20"/>
                <w:szCs w:val="20"/>
                <w14:textOutline w14:w="3795" w14:cap="sq" w14:cmpd="sng">
                  <w14:solidFill>
                    <w14:srgbClr w14:val="000000"/>
                  </w14:solidFill>
                  <w14:prstDash w14:val="solid"/>
                  <w14:bevel/>
                </w14:textOutline>
              </w:rPr>
              <w:t>注</w:t>
            </w:r>
          </w:p>
        </w:tc>
      </w:tr>
      <w:tr w14:paraId="7D0614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819" w:type="dxa"/>
            <w:tcBorders>
              <w:left w:val="nil"/>
            </w:tcBorders>
            <w:vAlign w:val="top"/>
          </w:tcPr>
          <w:p w14:paraId="7AAEFA1C">
            <w:pPr>
              <w:spacing w:before="23" w:line="281" w:lineRule="exact"/>
              <w:ind w:left="329"/>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1</w:t>
            </w:r>
            <w:r>
              <w:rPr>
                <w:rFonts w:ascii="Times New Roman" w:hAnsi="Times New Roman" w:eastAsia="Times New Roman" w:cs="Times New Roman"/>
                <w:spacing w:val="-7"/>
                <w:position w:val="2"/>
                <w:sz w:val="20"/>
                <w:szCs w:val="20"/>
              </w:rPr>
              <w:t>#</w:t>
            </w:r>
          </w:p>
        </w:tc>
        <w:tc>
          <w:tcPr>
            <w:tcW w:w="2093" w:type="dxa"/>
            <w:vMerge w:val="restart"/>
            <w:tcBorders>
              <w:bottom w:val="nil"/>
            </w:tcBorders>
            <w:vAlign w:val="top"/>
          </w:tcPr>
          <w:p w14:paraId="6CF82EEE">
            <w:pPr>
              <w:spacing w:line="335" w:lineRule="auto"/>
              <w:rPr>
                <w:rFonts w:ascii="Arial"/>
                <w:sz w:val="21"/>
              </w:rPr>
            </w:pPr>
          </w:p>
          <w:p w14:paraId="03E142F7">
            <w:pPr>
              <w:spacing w:before="65" w:line="228" w:lineRule="auto"/>
              <w:ind w:left="319"/>
              <w:rPr>
                <w:rFonts w:ascii="宋体" w:hAnsi="宋体" w:eastAsia="宋体" w:cs="宋体"/>
                <w:sz w:val="20"/>
                <w:szCs w:val="20"/>
              </w:rPr>
            </w:pPr>
            <w:r>
              <w:rPr>
                <w:rFonts w:ascii="宋体" w:hAnsi="宋体" w:eastAsia="宋体" w:cs="宋体"/>
                <w:spacing w:val="10"/>
                <w:sz w:val="20"/>
                <w:szCs w:val="20"/>
              </w:rPr>
              <w:t>建</w:t>
            </w:r>
            <w:r>
              <w:rPr>
                <w:rFonts w:ascii="宋体" w:hAnsi="宋体" w:eastAsia="宋体" w:cs="宋体"/>
                <w:spacing w:val="8"/>
                <w:sz w:val="20"/>
                <w:szCs w:val="20"/>
              </w:rPr>
              <w:t>设项目所在地</w:t>
            </w:r>
          </w:p>
        </w:tc>
        <w:tc>
          <w:tcPr>
            <w:tcW w:w="3428" w:type="dxa"/>
            <w:vAlign w:val="top"/>
          </w:tcPr>
          <w:p w14:paraId="1963228A">
            <w:pPr>
              <w:spacing w:before="61" w:line="228" w:lineRule="auto"/>
              <w:ind w:left="1198"/>
              <w:rPr>
                <w:rFonts w:ascii="宋体" w:hAnsi="宋体" w:eastAsia="宋体" w:cs="宋体"/>
                <w:sz w:val="20"/>
                <w:szCs w:val="20"/>
              </w:rPr>
            </w:pPr>
            <w:r>
              <w:rPr>
                <w:rFonts w:ascii="宋体" w:hAnsi="宋体" w:eastAsia="宋体" w:cs="宋体"/>
                <w:spacing w:val="9"/>
                <w:sz w:val="20"/>
                <w:szCs w:val="20"/>
              </w:rPr>
              <w:t>项</w:t>
            </w:r>
            <w:r>
              <w:rPr>
                <w:rFonts w:ascii="宋体" w:hAnsi="宋体" w:eastAsia="宋体" w:cs="宋体"/>
                <w:spacing w:val="7"/>
                <w:sz w:val="20"/>
                <w:szCs w:val="20"/>
              </w:rPr>
              <w:t>目所在地</w:t>
            </w:r>
          </w:p>
        </w:tc>
        <w:tc>
          <w:tcPr>
            <w:tcW w:w="2181" w:type="dxa"/>
            <w:tcBorders>
              <w:right w:val="nil"/>
            </w:tcBorders>
            <w:vAlign w:val="top"/>
          </w:tcPr>
          <w:p w14:paraId="7EAE94A3">
            <w:pPr>
              <w:spacing w:before="61" w:line="228" w:lineRule="auto"/>
              <w:ind w:left="784"/>
              <w:rPr>
                <w:rFonts w:ascii="宋体" w:hAnsi="宋体" w:eastAsia="宋体" w:cs="宋体"/>
                <w:sz w:val="20"/>
                <w:szCs w:val="20"/>
              </w:rPr>
            </w:pPr>
            <w:r>
              <w:rPr>
                <w:rFonts w:ascii="宋体" w:hAnsi="宋体" w:eastAsia="宋体" w:cs="宋体"/>
                <w:spacing w:val="6"/>
                <w:sz w:val="20"/>
                <w:szCs w:val="20"/>
              </w:rPr>
              <w:t>背景</w:t>
            </w:r>
            <w:r>
              <w:rPr>
                <w:rFonts w:ascii="宋体" w:hAnsi="宋体" w:eastAsia="宋体" w:cs="宋体"/>
                <w:spacing w:val="5"/>
                <w:sz w:val="20"/>
                <w:szCs w:val="20"/>
              </w:rPr>
              <w:t>点</w:t>
            </w:r>
          </w:p>
        </w:tc>
      </w:tr>
      <w:tr w14:paraId="073A48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819" w:type="dxa"/>
            <w:tcBorders>
              <w:left w:val="nil"/>
            </w:tcBorders>
            <w:vAlign w:val="top"/>
          </w:tcPr>
          <w:p w14:paraId="78BF9495">
            <w:pPr>
              <w:spacing w:before="25" w:line="281" w:lineRule="exact"/>
              <w:ind w:left="309"/>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2</w:t>
            </w:r>
            <w:r>
              <w:rPr>
                <w:rFonts w:ascii="Times New Roman" w:hAnsi="Times New Roman" w:eastAsia="Times New Roman" w:cs="Times New Roman"/>
                <w:spacing w:val="2"/>
                <w:position w:val="2"/>
                <w:sz w:val="20"/>
                <w:szCs w:val="20"/>
              </w:rPr>
              <w:t>#</w:t>
            </w:r>
          </w:p>
        </w:tc>
        <w:tc>
          <w:tcPr>
            <w:tcW w:w="2093" w:type="dxa"/>
            <w:vMerge w:val="continue"/>
            <w:tcBorders>
              <w:top w:val="nil"/>
              <w:bottom w:val="nil"/>
            </w:tcBorders>
            <w:vAlign w:val="top"/>
          </w:tcPr>
          <w:p w14:paraId="6B4B2308">
            <w:pPr>
              <w:rPr>
                <w:rFonts w:ascii="Arial"/>
                <w:sz w:val="21"/>
              </w:rPr>
            </w:pPr>
          </w:p>
        </w:tc>
        <w:tc>
          <w:tcPr>
            <w:tcW w:w="3428" w:type="dxa"/>
            <w:vAlign w:val="top"/>
          </w:tcPr>
          <w:p w14:paraId="59B9DC3A">
            <w:pPr>
              <w:spacing w:before="62" w:line="228" w:lineRule="auto"/>
              <w:ind w:left="778"/>
              <w:rPr>
                <w:rFonts w:ascii="宋体" w:hAnsi="宋体" w:eastAsia="宋体" w:cs="宋体"/>
                <w:sz w:val="20"/>
                <w:szCs w:val="20"/>
              </w:rPr>
            </w:pPr>
            <w:r>
              <w:rPr>
                <w:rFonts w:ascii="宋体" w:hAnsi="宋体" w:eastAsia="宋体" w:cs="宋体"/>
                <w:spacing w:val="13"/>
                <w:sz w:val="20"/>
                <w:szCs w:val="20"/>
              </w:rPr>
              <w:t>项</w:t>
            </w:r>
            <w:r>
              <w:rPr>
                <w:rFonts w:ascii="宋体" w:hAnsi="宋体" w:eastAsia="宋体" w:cs="宋体"/>
                <w:spacing w:val="8"/>
                <w:sz w:val="20"/>
                <w:szCs w:val="20"/>
              </w:rPr>
              <w:t>目占地范围内东侧</w:t>
            </w:r>
          </w:p>
        </w:tc>
        <w:tc>
          <w:tcPr>
            <w:tcW w:w="2181" w:type="dxa"/>
            <w:tcBorders>
              <w:right w:val="nil"/>
            </w:tcBorders>
            <w:vAlign w:val="top"/>
          </w:tcPr>
          <w:p w14:paraId="6C681B22">
            <w:pPr>
              <w:spacing w:before="63" w:line="229" w:lineRule="auto"/>
              <w:ind w:left="780"/>
              <w:rPr>
                <w:rFonts w:ascii="宋体" w:hAnsi="宋体" w:eastAsia="宋体" w:cs="宋体"/>
                <w:sz w:val="20"/>
                <w:szCs w:val="20"/>
              </w:rPr>
            </w:pPr>
            <w:r>
              <w:rPr>
                <w:rFonts w:ascii="宋体" w:hAnsi="宋体" w:eastAsia="宋体" w:cs="宋体"/>
                <w:spacing w:val="7"/>
                <w:sz w:val="20"/>
                <w:szCs w:val="20"/>
              </w:rPr>
              <w:t>对照点</w:t>
            </w:r>
          </w:p>
        </w:tc>
      </w:tr>
      <w:tr w14:paraId="32C077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819" w:type="dxa"/>
            <w:tcBorders>
              <w:left w:val="nil"/>
            </w:tcBorders>
            <w:vAlign w:val="top"/>
          </w:tcPr>
          <w:p w14:paraId="1B00F5F9">
            <w:pPr>
              <w:spacing w:before="27" w:line="281" w:lineRule="exact"/>
              <w:ind w:left="313"/>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3</w:t>
            </w:r>
            <w:r>
              <w:rPr>
                <w:rFonts w:ascii="Times New Roman" w:hAnsi="Times New Roman" w:eastAsia="Times New Roman" w:cs="Times New Roman"/>
                <w:position w:val="2"/>
                <w:sz w:val="20"/>
                <w:szCs w:val="20"/>
              </w:rPr>
              <w:t>#</w:t>
            </w:r>
          </w:p>
        </w:tc>
        <w:tc>
          <w:tcPr>
            <w:tcW w:w="2093" w:type="dxa"/>
            <w:vMerge w:val="continue"/>
            <w:tcBorders>
              <w:top w:val="nil"/>
            </w:tcBorders>
            <w:vAlign w:val="top"/>
          </w:tcPr>
          <w:p w14:paraId="780E9561">
            <w:pPr>
              <w:rPr>
                <w:rFonts w:ascii="Arial"/>
                <w:sz w:val="21"/>
              </w:rPr>
            </w:pPr>
          </w:p>
        </w:tc>
        <w:tc>
          <w:tcPr>
            <w:tcW w:w="3428" w:type="dxa"/>
            <w:vAlign w:val="top"/>
          </w:tcPr>
          <w:p w14:paraId="5A5D743F">
            <w:pPr>
              <w:spacing w:before="64" w:line="228" w:lineRule="auto"/>
              <w:ind w:left="778"/>
              <w:rPr>
                <w:rFonts w:ascii="宋体" w:hAnsi="宋体" w:eastAsia="宋体" w:cs="宋体"/>
                <w:sz w:val="20"/>
                <w:szCs w:val="20"/>
              </w:rPr>
            </w:pPr>
            <w:r>
              <w:rPr>
                <w:rFonts w:ascii="宋体" w:hAnsi="宋体" w:eastAsia="宋体" w:cs="宋体"/>
                <w:spacing w:val="13"/>
                <w:sz w:val="20"/>
                <w:szCs w:val="20"/>
              </w:rPr>
              <w:t>项</w:t>
            </w:r>
            <w:r>
              <w:rPr>
                <w:rFonts w:ascii="宋体" w:hAnsi="宋体" w:eastAsia="宋体" w:cs="宋体"/>
                <w:spacing w:val="8"/>
                <w:sz w:val="20"/>
                <w:szCs w:val="20"/>
              </w:rPr>
              <w:t>目占地范围内西侧</w:t>
            </w:r>
          </w:p>
        </w:tc>
        <w:tc>
          <w:tcPr>
            <w:tcW w:w="2181" w:type="dxa"/>
            <w:tcBorders>
              <w:right w:val="nil"/>
            </w:tcBorders>
            <w:vAlign w:val="top"/>
          </w:tcPr>
          <w:p w14:paraId="79E3B108">
            <w:pPr>
              <w:spacing w:before="65" w:line="229" w:lineRule="auto"/>
              <w:ind w:left="780"/>
              <w:rPr>
                <w:rFonts w:ascii="宋体" w:hAnsi="宋体" w:eastAsia="宋体" w:cs="宋体"/>
                <w:sz w:val="20"/>
                <w:szCs w:val="20"/>
              </w:rPr>
            </w:pPr>
            <w:r>
              <w:rPr>
                <w:rFonts w:ascii="宋体" w:hAnsi="宋体" w:eastAsia="宋体" w:cs="宋体"/>
                <w:spacing w:val="7"/>
                <w:sz w:val="20"/>
                <w:szCs w:val="20"/>
              </w:rPr>
              <w:t>对照点</w:t>
            </w:r>
          </w:p>
        </w:tc>
      </w:tr>
    </w:tbl>
    <w:p w14:paraId="3039EDF3">
      <w:pPr>
        <w:spacing w:line="259" w:lineRule="auto"/>
        <w:rPr>
          <w:rFonts w:ascii="Arial"/>
          <w:sz w:val="21"/>
        </w:rPr>
      </w:pPr>
    </w:p>
    <w:p w14:paraId="71F003BD">
      <w:pPr>
        <w:spacing w:before="75" w:line="228" w:lineRule="auto"/>
        <w:ind w:left="608"/>
        <w:rPr>
          <w:rFonts w:ascii="宋体" w:hAnsi="宋体" w:eastAsia="宋体" w:cs="宋体"/>
          <w:sz w:val="23"/>
          <w:szCs w:val="23"/>
        </w:rPr>
      </w:pPr>
      <w:r>
        <w:rPr>
          <w:rFonts w:ascii="宋体" w:hAnsi="宋体" w:eastAsia="宋体" w:cs="宋体"/>
          <w:spacing w:val="20"/>
          <w:sz w:val="23"/>
          <w:szCs w:val="23"/>
        </w:rPr>
        <w:t>(</w:t>
      </w:r>
      <w:r>
        <w:rPr>
          <w:rFonts w:ascii="Times New Roman" w:hAnsi="Times New Roman" w:eastAsia="Times New Roman" w:cs="Times New Roman"/>
          <w:spacing w:val="20"/>
          <w:sz w:val="23"/>
          <w:szCs w:val="23"/>
        </w:rPr>
        <w:t>2</w:t>
      </w:r>
      <w:r>
        <w:rPr>
          <w:rFonts w:ascii="宋体" w:hAnsi="宋体" w:eastAsia="宋体" w:cs="宋体"/>
          <w:spacing w:val="20"/>
          <w:sz w:val="23"/>
          <w:szCs w:val="23"/>
        </w:rPr>
        <w:t>) 监测项</w:t>
      </w:r>
      <w:r>
        <w:rPr>
          <w:rFonts w:ascii="宋体" w:hAnsi="宋体" w:eastAsia="宋体" w:cs="宋体"/>
          <w:spacing w:val="19"/>
          <w:sz w:val="23"/>
          <w:szCs w:val="23"/>
        </w:rPr>
        <w:t>目</w:t>
      </w:r>
    </w:p>
    <w:p w14:paraId="1185FF06">
      <w:pPr>
        <w:spacing w:line="273" w:lineRule="auto"/>
        <w:rPr>
          <w:rFonts w:ascii="Arial"/>
          <w:sz w:val="21"/>
        </w:rPr>
      </w:pPr>
    </w:p>
    <w:p w14:paraId="11323AE0">
      <w:pPr>
        <w:spacing w:before="75" w:line="387" w:lineRule="auto"/>
        <w:ind w:left="116" w:right="20" w:firstLine="481"/>
        <w:rPr>
          <w:rFonts w:ascii="宋体" w:hAnsi="宋体" w:eastAsia="宋体" w:cs="宋体"/>
          <w:sz w:val="23"/>
          <w:szCs w:val="23"/>
        </w:rPr>
      </w:pPr>
      <w:r>
        <w:rPr>
          <w:rFonts w:ascii="宋体" w:hAnsi="宋体" w:eastAsia="宋体" w:cs="宋体"/>
          <w:spacing w:val="10"/>
          <w:sz w:val="23"/>
          <w:szCs w:val="23"/>
        </w:rPr>
        <w:t>土壤监</w:t>
      </w:r>
      <w:r>
        <w:rPr>
          <w:rFonts w:ascii="宋体" w:hAnsi="宋体" w:eastAsia="宋体" w:cs="宋体"/>
          <w:spacing w:val="6"/>
          <w:sz w:val="23"/>
          <w:szCs w:val="23"/>
        </w:rPr>
        <w:t>测</w:t>
      </w:r>
      <w:r>
        <w:rPr>
          <w:rFonts w:ascii="宋体" w:hAnsi="宋体" w:eastAsia="宋体" w:cs="宋体"/>
          <w:spacing w:val="5"/>
          <w:sz w:val="23"/>
          <w:szCs w:val="23"/>
        </w:rPr>
        <w:t>项目为：</w:t>
      </w:r>
      <w:r>
        <w:rPr>
          <w:rFonts w:ascii="Times New Roman" w:hAnsi="Times New Roman" w:eastAsia="Times New Roman" w:cs="Times New Roman"/>
          <w:sz w:val="23"/>
          <w:szCs w:val="23"/>
        </w:rPr>
        <w:t>PH</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rPr>
        <w:t>、铬 (六价) 、镉、汞、砷、铅、铜、镍、四氯化碳、</w:t>
      </w:r>
      <w:r>
        <w:rPr>
          <w:rFonts w:ascii="宋体" w:hAnsi="宋体" w:eastAsia="宋体" w:cs="宋体"/>
          <w:sz w:val="23"/>
          <w:szCs w:val="23"/>
        </w:rPr>
        <w:t xml:space="preserve"> </w:t>
      </w:r>
      <w:r>
        <w:rPr>
          <w:rFonts w:ascii="宋体" w:hAnsi="宋体" w:eastAsia="宋体" w:cs="宋体"/>
          <w:spacing w:val="4"/>
          <w:sz w:val="23"/>
          <w:szCs w:val="23"/>
        </w:rPr>
        <w:t>氯仿、氯甲烷、</w:t>
      </w:r>
      <w:r>
        <w:rPr>
          <w:rFonts w:ascii="Times New Roman" w:hAnsi="Times New Roman" w:eastAsia="Times New Roman" w:cs="Times New Roman"/>
          <w:spacing w:val="4"/>
          <w:sz w:val="23"/>
          <w:szCs w:val="23"/>
        </w:rPr>
        <w:t>1, 1-</w:t>
      </w:r>
      <w:r>
        <w:rPr>
          <w:rFonts w:ascii="宋体" w:hAnsi="宋体" w:eastAsia="宋体" w:cs="宋体"/>
          <w:spacing w:val="4"/>
          <w:sz w:val="23"/>
          <w:szCs w:val="23"/>
        </w:rPr>
        <w:t>二氯乙烷、</w:t>
      </w:r>
      <w:r>
        <w:rPr>
          <w:rFonts w:ascii="Times New Roman" w:hAnsi="Times New Roman" w:eastAsia="Times New Roman" w:cs="Times New Roman"/>
          <w:spacing w:val="4"/>
          <w:sz w:val="23"/>
          <w:szCs w:val="23"/>
        </w:rPr>
        <w:t>1,2-</w:t>
      </w:r>
      <w:r>
        <w:rPr>
          <w:rFonts w:ascii="宋体" w:hAnsi="宋体" w:eastAsia="宋体" w:cs="宋体"/>
          <w:spacing w:val="4"/>
          <w:sz w:val="23"/>
          <w:szCs w:val="23"/>
        </w:rPr>
        <w:t>二氯乙烷、</w:t>
      </w:r>
      <w:r>
        <w:rPr>
          <w:rFonts w:ascii="Times New Roman" w:hAnsi="Times New Roman" w:eastAsia="Times New Roman" w:cs="Times New Roman"/>
          <w:spacing w:val="4"/>
          <w:sz w:val="23"/>
          <w:szCs w:val="23"/>
        </w:rPr>
        <w:t>1, 1-</w:t>
      </w:r>
      <w:r>
        <w:rPr>
          <w:rFonts w:ascii="宋体" w:hAnsi="宋体" w:eastAsia="宋体" w:cs="宋体"/>
          <w:spacing w:val="4"/>
          <w:sz w:val="23"/>
          <w:szCs w:val="23"/>
        </w:rPr>
        <w:t>二氯乙烯、顺</w:t>
      </w:r>
      <w:r>
        <w:rPr>
          <w:rFonts w:ascii="Times New Roman" w:hAnsi="Times New Roman" w:eastAsia="Times New Roman" w:cs="Times New Roman"/>
          <w:spacing w:val="4"/>
          <w:sz w:val="23"/>
          <w:szCs w:val="23"/>
        </w:rPr>
        <w:t>- 1,2-</w:t>
      </w:r>
      <w:r>
        <w:rPr>
          <w:rFonts w:ascii="宋体" w:hAnsi="宋体" w:eastAsia="宋体" w:cs="宋体"/>
          <w:spacing w:val="4"/>
          <w:sz w:val="23"/>
          <w:szCs w:val="23"/>
        </w:rPr>
        <w:t>二氯乙</w:t>
      </w:r>
      <w:r>
        <w:rPr>
          <w:rFonts w:ascii="宋体" w:hAnsi="宋体" w:eastAsia="宋体" w:cs="宋体"/>
          <w:spacing w:val="1"/>
          <w:sz w:val="23"/>
          <w:szCs w:val="23"/>
        </w:rPr>
        <w:t>烯</w:t>
      </w:r>
      <w:r>
        <w:rPr>
          <w:rFonts w:ascii="宋体" w:hAnsi="宋体" w:eastAsia="宋体" w:cs="宋体"/>
          <w:sz w:val="23"/>
          <w:szCs w:val="23"/>
        </w:rPr>
        <w:t xml:space="preserve">、 </w:t>
      </w:r>
      <w:r>
        <w:rPr>
          <w:rFonts w:ascii="宋体" w:hAnsi="宋体" w:eastAsia="宋体" w:cs="宋体"/>
          <w:spacing w:val="-3"/>
          <w:sz w:val="23"/>
          <w:szCs w:val="23"/>
        </w:rPr>
        <w:t>反</w:t>
      </w:r>
      <w:r>
        <w:rPr>
          <w:rFonts w:ascii="Times New Roman" w:hAnsi="Times New Roman" w:eastAsia="Times New Roman" w:cs="Times New Roman"/>
          <w:spacing w:val="-3"/>
          <w:sz w:val="23"/>
          <w:szCs w:val="23"/>
        </w:rPr>
        <w:t>- 1,2-</w:t>
      </w:r>
      <w:r>
        <w:rPr>
          <w:rFonts w:ascii="宋体" w:hAnsi="宋体" w:eastAsia="宋体" w:cs="宋体"/>
          <w:spacing w:val="-3"/>
          <w:sz w:val="23"/>
          <w:szCs w:val="23"/>
        </w:rPr>
        <w:t>二氯乙烯、二氯甲烷、</w:t>
      </w:r>
      <w:r>
        <w:rPr>
          <w:rFonts w:ascii="Times New Roman" w:hAnsi="Times New Roman" w:eastAsia="Times New Roman" w:cs="Times New Roman"/>
          <w:spacing w:val="-3"/>
          <w:sz w:val="23"/>
          <w:szCs w:val="23"/>
        </w:rPr>
        <w:t>1,2-</w:t>
      </w:r>
      <w:r>
        <w:rPr>
          <w:rFonts w:ascii="宋体" w:hAnsi="宋体" w:eastAsia="宋体" w:cs="宋体"/>
          <w:spacing w:val="-3"/>
          <w:sz w:val="23"/>
          <w:szCs w:val="23"/>
        </w:rPr>
        <w:t>二氯丙烷、</w:t>
      </w:r>
      <w:r>
        <w:rPr>
          <w:rFonts w:ascii="Times New Roman" w:hAnsi="Times New Roman" w:eastAsia="Times New Roman" w:cs="Times New Roman"/>
          <w:spacing w:val="-3"/>
          <w:sz w:val="23"/>
          <w:szCs w:val="23"/>
        </w:rPr>
        <w:t xml:space="preserve">1, 1, 1,2- </w:t>
      </w:r>
      <w:r>
        <w:rPr>
          <w:rFonts w:ascii="宋体" w:hAnsi="宋体" w:eastAsia="宋体" w:cs="宋体"/>
          <w:spacing w:val="-3"/>
          <w:sz w:val="23"/>
          <w:szCs w:val="23"/>
        </w:rPr>
        <w:t>四氯乙烷、</w:t>
      </w:r>
      <w:r>
        <w:rPr>
          <w:rFonts w:ascii="Times New Roman" w:hAnsi="Times New Roman" w:eastAsia="Times New Roman" w:cs="Times New Roman"/>
          <w:spacing w:val="-3"/>
          <w:sz w:val="23"/>
          <w:szCs w:val="23"/>
        </w:rPr>
        <w:t xml:space="preserve">1, 1,2,2- </w:t>
      </w:r>
      <w:r>
        <w:rPr>
          <w:rFonts w:ascii="宋体" w:hAnsi="宋体" w:eastAsia="宋体" w:cs="宋体"/>
          <w:spacing w:val="-3"/>
          <w:sz w:val="23"/>
          <w:szCs w:val="23"/>
        </w:rPr>
        <w:t>四氯</w:t>
      </w:r>
      <w:r>
        <w:rPr>
          <w:rFonts w:ascii="宋体" w:hAnsi="宋体" w:eastAsia="宋体" w:cs="宋体"/>
          <w:spacing w:val="-1"/>
          <w:sz w:val="23"/>
          <w:szCs w:val="23"/>
        </w:rPr>
        <w:t>乙</w:t>
      </w:r>
      <w:r>
        <w:rPr>
          <w:rFonts w:ascii="宋体" w:hAnsi="宋体" w:eastAsia="宋体" w:cs="宋体"/>
          <w:sz w:val="23"/>
          <w:szCs w:val="23"/>
        </w:rPr>
        <w:t xml:space="preserve">烷、 </w:t>
      </w:r>
      <w:r>
        <w:rPr>
          <w:rFonts w:ascii="宋体" w:hAnsi="宋体" w:eastAsia="宋体" w:cs="宋体"/>
          <w:spacing w:val="-2"/>
          <w:sz w:val="23"/>
          <w:szCs w:val="23"/>
        </w:rPr>
        <w:t>四氯乙烯、</w:t>
      </w:r>
      <w:r>
        <w:rPr>
          <w:rFonts w:ascii="Times New Roman" w:hAnsi="Times New Roman" w:eastAsia="Times New Roman" w:cs="Times New Roman"/>
          <w:spacing w:val="-2"/>
          <w:sz w:val="23"/>
          <w:szCs w:val="23"/>
        </w:rPr>
        <w:t>1, 1, 1-</w:t>
      </w:r>
      <w:r>
        <w:rPr>
          <w:rFonts w:ascii="宋体" w:hAnsi="宋体" w:eastAsia="宋体" w:cs="宋体"/>
          <w:spacing w:val="-2"/>
          <w:sz w:val="23"/>
          <w:szCs w:val="23"/>
        </w:rPr>
        <w:t>三氯乙烷</w:t>
      </w:r>
      <w:r>
        <w:rPr>
          <w:rFonts w:ascii="宋体" w:hAnsi="宋体" w:eastAsia="宋体" w:cs="宋体"/>
          <w:spacing w:val="-1"/>
          <w:sz w:val="23"/>
          <w:szCs w:val="23"/>
        </w:rPr>
        <w:t>、</w:t>
      </w:r>
      <w:r>
        <w:rPr>
          <w:rFonts w:ascii="Times New Roman" w:hAnsi="Times New Roman" w:eastAsia="Times New Roman" w:cs="Times New Roman"/>
          <w:spacing w:val="-1"/>
          <w:sz w:val="23"/>
          <w:szCs w:val="23"/>
        </w:rPr>
        <w:t>1, 1,2-</w:t>
      </w:r>
      <w:r>
        <w:rPr>
          <w:rFonts w:ascii="宋体" w:hAnsi="宋体" w:eastAsia="宋体" w:cs="宋体"/>
          <w:spacing w:val="-1"/>
          <w:sz w:val="23"/>
          <w:szCs w:val="23"/>
        </w:rPr>
        <w:t>三氯乙烷、三氯乙烯、</w:t>
      </w:r>
      <w:r>
        <w:rPr>
          <w:rFonts w:ascii="Times New Roman" w:hAnsi="Times New Roman" w:eastAsia="Times New Roman" w:cs="Times New Roman"/>
          <w:spacing w:val="-1"/>
          <w:sz w:val="23"/>
          <w:szCs w:val="23"/>
        </w:rPr>
        <w:t>1,2,3-</w:t>
      </w:r>
      <w:r>
        <w:rPr>
          <w:rFonts w:ascii="宋体" w:hAnsi="宋体" w:eastAsia="宋体" w:cs="宋体"/>
          <w:spacing w:val="-1"/>
          <w:sz w:val="23"/>
          <w:szCs w:val="23"/>
        </w:rPr>
        <w:t>三氯丙烷、氯乙烯、</w:t>
      </w:r>
      <w:r>
        <w:rPr>
          <w:rFonts w:ascii="宋体" w:hAnsi="宋体" w:eastAsia="宋体" w:cs="宋体"/>
          <w:sz w:val="23"/>
          <w:szCs w:val="23"/>
        </w:rPr>
        <w:t xml:space="preserve"> </w:t>
      </w:r>
      <w:r>
        <w:rPr>
          <w:rFonts w:ascii="宋体" w:hAnsi="宋体" w:eastAsia="宋体" w:cs="宋体"/>
          <w:spacing w:val="7"/>
          <w:sz w:val="23"/>
          <w:szCs w:val="23"/>
        </w:rPr>
        <w:t>苯</w:t>
      </w:r>
      <w:r>
        <w:rPr>
          <w:rFonts w:ascii="宋体" w:hAnsi="宋体" w:eastAsia="宋体" w:cs="宋体"/>
          <w:spacing w:val="4"/>
          <w:sz w:val="23"/>
          <w:szCs w:val="23"/>
        </w:rPr>
        <w:t>、氯苯、</w:t>
      </w:r>
      <w:r>
        <w:rPr>
          <w:rFonts w:ascii="Times New Roman" w:hAnsi="Times New Roman" w:eastAsia="Times New Roman" w:cs="Times New Roman"/>
          <w:spacing w:val="4"/>
          <w:sz w:val="23"/>
          <w:szCs w:val="23"/>
        </w:rPr>
        <w:t>1,2-</w:t>
      </w:r>
      <w:r>
        <w:rPr>
          <w:rFonts w:ascii="宋体" w:hAnsi="宋体" w:eastAsia="宋体" w:cs="宋体"/>
          <w:spacing w:val="4"/>
          <w:sz w:val="23"/>
          <w:szCs w:val="23"/>
        </w:rPr>
        <w:t>二氯苯、</w:t>
      </w:r>
      <w:r>
        <w:rPr>
          <w:rFonts w:ascii="Times New Roman" w:hAnsi="Times New Roman" w:eastAsia="Times New Roman" w:cs="Times New Roman"/>
          <w:spacing w:val="4"/>
          <w:sz w:val="23"/>
          <w:szCs w:val="23"/>
        </w:rPr>
        <w:t>1,4-</w:t>
      </w:r>
      <w:r>
        <w:rPr>
          <w:rFonts w:ascii="宋体" w:hAnsi="宋体" w:eastAsia="宋体" w:cs="宋体"/>
          <w:spacing w:val="4"/>
          <w:sz w:val="23"/>
          <w:szCs w:val="23"/>
        </w:rPr>
        <w:t>二氯苯、乙苯、苯乙烯、甲苯、间二甲苯</w:t>
      </w:r>
      <w:r>
        <w:rPr>
          <w:rFonts w:ascii="Times New Roman" w:hAnsi="Times New Roman" w:eastAsia="Times New Roman" w:cs="Times New Roman"/>
          <w:spacing w:val="4"/>
          <w:sz w:val="23"/>
          <w:szCs w:val="23"/>
        </w:rPr>
        <w:t>+</w:t>
      </w:r>
      <w:r>
        <w:rPr>
          <w:rFonts w:ascii="宋体" w:hAnsi="宋体" w:eastAsia="宋体" w:cs="宋体"/>
          <w:spacing w:val="4"/>
          <w:sz w:val="23"/>
          <w:szCs w:val="23"/>
        </w:rPr>
        <w:t>对二甲苯、</w:t>
      </w:r>
      <w:r>
        <w:rPr>
          <w:rFonts w:ascii="宋体" w:hAnsi="宋体" w:eastAsia="宋体" w:cs="宋体"/>
          <w:sz w:val="23"/>
          <w:szCs w:val="23"/>
        </w:rPr>
        <w:t xml:space="preserve"> </w:t>
      </w:r>
      <w:r>
        <w:rPr>
          <w:rFonts w:ascii="宋体" w:hAnsi="宋体" w:eastAsia="宋体" w:cs="宋体"/>
          <w:spacing w:val="15"/>
          <w:sz w:val="23"/>
          <w:szCs w:val="23"/>
        </w:rPr>
        <w:t>邻</w:t>
      </w:r>
      <w:r>
        <w:rPr>
          <w:rFonts w:ascii="宋体" w:hAnsi="宋体" w:eastAsia="宋体" w:cs="宋体"/>
          <w:spacing w:val="8"/>
          <w:sz w:val="23"/>
          <w:szCs w:val="23"/>
        </w:rPr>
        <w:t>二甲苯 、硝基苯、苯胺、</w:t>
      </w:r>
      <w:r>
        <w:rPr>
          <w:rFonts w:ascii="Times New Roman" w:hAnsi="Times New Roman" w:eastAsia="Times New Roman" w:cs="Times New Roman"/>
          <w:spacing w:val="8"/>
          <w:sz w:val="23"/>
          <w:szCs w:val="23"/>
        </w:rPr>
        <w:t>2-</w:t>
      </w:r>
      <w:r>
        <w:rPr>
          <w:rFonts w:ascii="宋体" w:hAnsi="宋体" w:eastAsia="宋体" w:cs="宋体"/>
          <w:spacing w:val="8"/>
          <w:sz w:val="23"/>
          <w:szCs w:val="23"/>
        </w:rPr>
        <w:t>氯酚、苯并</w:t>
      </w:r>
      <w:r>
        <w:rPr>
          <w:rFonts w:ascii="Times New Roman" w:hAnsi="Times New Roman" w:eastAsia="Times New Roman" w:cs="Times New Roman"/>
          <w:spacing w:val="8"/>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8"/>
          <w:sz w:val="23"/>
          <w:szCs w:val="23"/>
        </w:rPr>
        <w:t>]</w:t>
      </w:r>
      <w:r>
        <w:rPr>
          <w:rFonts w:ascii="宋体" w:hAnsi="宋体" w:eastAsia="宋体" w:cs="宋体"/>
          <w:spacing w:val="8"/>
          <w:sz w:val="23"/>
          <w:szCs w:val="23"/>
        </w:rPr>
        <w:t>蒽、苯并</w:t>
      </w:r>
      <w:r>
        <w:rPr>
          <w:rFonts w:ascii="Times New Roman" w:hAnsi="Times New Roman" w:eastAsia="Times New Roman" w:cs="Times New Roman"/>
          <w:spacing w:val="8"/>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8"/>
          <w:sz w:val="23"/>
          <w:szCs w:val="23"/>
        </w:rPr>
        <w:t>]</w:t>
      </w:r>
      <w:r>
        <w:rPr>
          <w:rFonts w:ascii="宋体" w:hAnsi="宋体" w:eastAsia="宋体" w:cs="宋体"/>
          <w:spacing w:val="8"/>
          <w:sz w:val="23"/>
          <w:szCs w:val="23"/>
        </w:rPr>
        <w:t>芘、苯并</w:t>
      </w:r>
      <w:r>
        <w:rPr>
          <w:rFonts w:ascii="Times New Roman" w:hAnsi="Times New Roman" w:eastAsia="Times New Roman" w:cs="Times New Roman"/>
          <w:spacing w:val="8"/>
          <w:sz w:val="23"/>
          <w:szCs w:val="23"/>
        </w:rPr>
        <w:t>[</w:t>
      </w:r>
      <w:r>
        <w:rPr>
          <w:rFonts w:ascii="Times New Roman" w:hAnsi="Times New Roman" w:eastAsia="Times New Roman" w:cs="Times New Roman"/>
          <w:sz w:val="23"/>
          <w:szCs w:val="23"/>
        </w:rPr>
        <w:t>b</w:t>
      </w:r>
      <w:r>
        <w:rPr>
          <w:rFonts w:ascii="Times New Roman" w:hAnsi="Times New Roman" w:eastAsia="Times New Roman" w:cs="Times New Roman"/>
          <w:spacing w:val="8"/>
          <w:sz w:val="23"/>
          <w:szCs w:val="23"/>
        </w:rPr>
        <w:t>]</w:t>
      </w:r>
      <w:r>
        <w:rPr>
          <w:rFonts w:ascii="宋体" w:hAnsi="宋体" w:eastAsia="宋体" w:cs="宋体"/>
          <w:spacing w:val="8"/>
          <w:sz w:val="23"/>
          <w:szCs w:val="23"/>
        </w:rPr>
        <w:t>荧蒽、苯并</w:t>
      </w:r>
    </w:p>
    <w:p w14:paraId="29469A1C">
      <w:pPr>
        <w:sectPr>
          <w:footerReference r:id="rId179" w:type="default"/>
          <w:pgSz w:w="11906" w:h="16839"/>
          <w:pgMar w:top="1132" w:right="1691" w:bottom="1182" w:left="1691" w:header="878" w:footer="1022" w:gutter="0"/>
          <w:cols w:space="720" w:num="1"/>
        </w:sectPr>
      </w:pPr>
    </w:p>
    <w:p w14:paraId="26CF6C5E">
      <w:pPr>
        <w:spacing w:line="365" w:lineRule="auto"/>
        <w:rPr>
          <w:rFonts w:ascii="Arial"/>
          <w:sz w:val="21"/>
        </w:rPr>
      </w:pPr>
      <w:r>
        <w:pict>
          <v:shape id="_x0000_s1226" o:spid="_x0000_s1226" style="position:absolute;left:0pt;margin-left:90pt;margin-top:57.35pt;height:0.75pt;width:415.3pt;mso-position-horizontal-relative:page;mso-position-vertical-relative:page;z-index:251878400;mso-width-relative:page;mso-height-relative:page;" fillcolor="#000000" filled="t" stroked="f" coordsize="8305,15" o:allowincell="f" path="m0,0l8305,0,8305,14,0,14,0,0xe">
            <v:path/>
            <v:fill on="t" focussize="0,0"/>
            <v:stroke on="f"/>
            <v:imagedata o:title=""/>
            <o:lock v:ext="edit"/>
          </v:shape>
        </w:pict>
      </w:r>
    </w:p>
    <w:p w14:paraId="5EEC30FB">
      <w:pPr>
        <w:spacing w:before="75" w:line="323" w:lineRule="exact"/>
        <w:ind w:left="42"/>
        <w:rPr>
          <w:rFonts w:ascii="宋体" w:hAnsi="宋体" w:eastAsia="宋体" w:cs="宋体"/>
          <w:sz w:val="23"/>
          <w:szCs w:val="23"/>
        </w:rPr>
      </w:pPr>
      <w:r>
        <w:rPr>
          <w:rFonts w:ascii="Times New Roman" w:hAnsi="Times New Roman" w:eastAsia="Times New Roman" w:cs="Times New Roman"/>
          <w:spacing w:val="8"/>
          <w:position w:val="3"/>
          <w:sz w:val="23"/>
          <w:szCs w:val="23"/>
        </w:rPr>
        <w:t>[</w:t>
      </w:r>
      <w:r>
        <w:rPr>
          <w:rFonts w:ascii="Times New Roman" w:hAnsi="Times New Roman" w:eastAsia="Times New Roman" w:cs="Times New Roman"/>
          <w:position w:val="3"/>
          <w:sz w:val="23"/>
          <w:szCs w:val="23"/>
        </w:rPr>
        <w:t>k</w:t>
      </w:r>
      <w:r>
        <w:rPr>
          <w:rFonts w:ascii="Times New Roman" w:hAnsi="Times New Roman" w:eastAsia="Times New Roman" w:cs="Times New Roman"/>
          <w:spacing w:val="8"/>
          <w:position w:val="3"/>
          <w:sz w:val="23"/>
          <w:szCs w:val="23"/>
        </w:rPr>
        <w:t>]</w:t>
      </w:r>
      <w:r>
        <w:rPr>
          <w:rFonts w:ascii="宋体" w:hAnsi="宋体" w:eastAsia="宋体" w:cs="宋体"/>
          <w:spacing w:val="8"/>
          <w:position w:val="3"/>
          <w:sz w:val="23"/>
          <w:szCs w:val="23"/>
        </w:rPr>
        <w:t>荧蒽、䓛</w:t>
      </w:r>
      <w:r>
        <w:rPr>
          <w:rFonts w:ascii="宋体" w:hAnsi="宋体" w:eastAsia="宋体" w:cs="宋体"/>
          <w:spacing w:val="5"/>
          <w:position w:val="3"/>
          <w:sz w:val="23"/>
          <w:szCs w:val="23"/>
        </w:rPr>
        <w:t>、</w:t>
      </w:r>
      <w:r>
        <w:rPr>
          <w:rFonts w:ascii="宋体" w:hAnsi="宋体" w:eastAsia="宋体" w:cs="宋体"/>
          <w:spacing w:val="4"/>
          <w:position w:val="3"/>
          <w:sz w:val="23"/>
          <w:szCs w:val="23"/>
        </w:rPr>
        <w:t>二苯并</w:t>
      </w:r>
      <w:r>
        <w:rPr>
          <w:rFonts w:ascii="Times New Roman" w:hAnsi="Times New Roman" w:eastAsia="Times New Roman" w:cs="Times New Roman"/>
          <w:spacing w:val="4"/>
          <w:position w:val="3"/>
          <w:sz w:val="23"/>
          <w:szCs w:val="23"/>
        </w:rPr>
        <w:t>[</w:t>
      </w:r>
      <w:r>
        <w:rPr>
          <w:rFonts w:ascii="Times New Roman" w:hAnsi="Times New Roman" w:eastAsia="Times New Roman" w:cs="Times New Roman"/>
          <w:position w:val="3"/>
          <w:sz w:val="23"/>
          <w:szCs w:val="23"/>
        </w:rPr>
        <w:t>a</w:t>
      </w:r>
      <w:r>
        <w:rPr>
          <w:rFonts w:ascii="Times New Roman" w:hAnsi="Times New Roman" w:eastAsia="Times New Roman" w:cs="Times New Roman"/>
          <w:spacing w:val="4"/>
          <w:position w:val="3"/>
          <w:sz w:val="23"/>
          <w:szCs w:val="23"/>
        </w:rPr>
        <w:t xml:space="preserve"> </w:t>
      </w:r>
      <w:r>
        <w:rPr>
          <w:rFonts w:ascii="宋体" w:hAnsi="宋体" w:eastAsia="宋体" w:cs="宋体"/>
          <w:spacing w:val="4"/>
          <w:position w:val="3"/>
          <w:sz w:val="23"/>
          <w:szCs w:val="23"/>
        </w:rPr>
        <w:t>、</w:t>
      </w:r>
      <w:r>
        <w:rPr>
          <w:rFonts w:ascii="Times New Roman" w:hAnsi="Times New Roman" w:eastAsia="Times New Roman" w:cs="Times New Roman"/>
          <w:position w:val="3"/>
          <w:sz w:val="23"/>
          <w:szCs w:val="23"/>
        </w:rPr>
        <w:t>h</w:t>
      </w:r>
      <w:r>
        <w:rPr>
          <w:rFonts w:ascii="Times New Roman" w:hAnsi="Times New Roman" w:eastAsia="Times New Roman" w:cs="Times New Roman"/>
          <w:spacing w:val="4"/>
          <w:position w:val="3"/>
          <w:sz w:val="23"/>
          <w:szCs w:val="23"/>
        </w:rPr>
        <w:t>]</w:t>
      </w:r>
      <w:r>
        <w:rPr>
          <w:rFonts w:ascii="宋体" w:hAnsi="宋体" w:eastAsia="宋体" w:cs="宋体"/>
          <w:spacing w:val="4"/>
          <w:position w:val="3"/>
          <w:sz w:val="23"/>
          <w:szCs w:val="23"/>
        </w:rPr>
        <w:t>蒽、茚并</w:t>
      </w:r>
      <w:r>
        <w:rPr>
          <w:rFonts w:ascii="Times New Roman" w:hAnsi="Times New Roman" w:eastAsia="Times New Roman" w:cs="Times New Roman"/>
          <w:spacing w:val="4"/>
          <w:position w:val="3"/>
          <w:sz w:val="23"/>
          <w:szCs w:val="23"/>
        </w:rPr>
        <w:t>[1,2,3-</w:t>
      </w:r>
      <w:r>
        <w:rPr>
          <w:rFonts w:ascii="Times New Roman" w:hAnsi="Times New Roman" w:eastAsia="Times New Roman" w:cs="Times New Roman"/>
          <w:position w:val="3"/>
          <w:sz w:val="23"/>
          <w:szCs w:val="23"/>
        </w:rPr>
        <w:t>cd</w:t>
      </w:r>
      <w:r>
        <w:rPr>
          <w:rFonts w:ascii="Times New Roman" w:hAnsi="Times New Roman" w:eastAsia="Times New Roman" w:cs="Times New Roman"/>
          <w:spacing w:val="4"/>
          <w:position w:val="3"/>
          <w:sz w:val="23"/>
          <w:szCs w:val="23"/>
        </w:rPr>
        <w:t>]</w:t>
      </w:r>
      <w:r>
        <w:rPr>
          <w:rFonts w:ascii="宋体" w:hAnsi="宋体" w:eastAsia="宋体" w:cs="宋体"/>
          <w:spacing w:val="4"/>
          <w:position w:val="3"/>
          <w:sz w:val="23"/>
          <w:szCs w:val="23"/>
        </w:rPr>
        <w:t xml:space="preserve">芘、萘、土壤含盐量，共 </w:t>
      </w:r>
      <w:r>
        <w:rPr>
          <w:rFonts w:ascii="Times New Roman" w:hAnsi="Times New Roman" w:eastAsia="Times New Roman" w:cs="Times New Roman"/>
          <w:spacing w:val="4"/>
          <w:position w:val="3"/>
          <w:sz w:val="23"/>
          <w:szCs w:val="23"/>
        </w:rPr>
        <w:t xml:space="preserve">47 </w:t>
      </w:r>
      <w:r>
        <w:rPr>
          <w:rFonts w:ascii="宋体" w:hAnsi="宋体" w:eastAsia="宋体" w:cs="宋体"/>
          <w:spacing w:val="4"/>
          <w:position w:val="3"/>
          <w:sz w:val="23"/>
          <w:szCs w:val="23"/>
        </w:rPr>
        <w:t>项。</w:t>
      </w:r>
    </w:p>
    <w:p w14:paraId="29B01CD0">
      <w:pPr>
        <w:spacing w:line="280" w:lineRule="auto"/>
        <w:rPr>
          <w:rFonts w:ascii="Arial"/>
          <w:sz w:val="21"/>
        </w:rPr>
      </w:pPr>
    </w:p>
    <w:p w14:paraId="391EC1A8">
      <w:pPr>
        <w:spacing w:before="75" w:line="227" w:lineRule="auto"/>
        <w:ind w:left="523"/>
        <w:rPr>
          <w:rFonts w:ascii="宋体" w:hAnsi="宋体" w:eastAsia="宋体" w:cs="宋体"/>
          <w:sz w:val="23"/>
          <w:szCs w:val="23"/>
        </w:rPr>
      </w:pPr>
      <w:r>
        <w:rPr>
          <w:rFonts w:ascii="宋体" w:hAnsi="宋体" w:eastAsia="宋体" w:cs="宋体"/>
          <w:spacing w:val="19"/>
          <w:sz w:val="23"/>
          <w:szCs w:val="23"/>
        </w:rPr>
        <w:t>(</w:t>
      </w:r>
      <w:r>
        <w:rPr>
          <w:rFonts w:ascii="Times New Roman" w:hAnsi="Times New Roman" w:eastAsia="Times New Roman" w:cs="Times New Roman"/>
          <w:spacing w:val="17"/>
          <w:sz w:val="23"/>
          <w:szCs w:val="23"/>
        </w:rPr>
        <w:t>3</w:t>
      </w:r>
      <w:r>
        <w:rPr>
          <w:rFonts w:ascii="宋体" w:hAnsi="宋体" w:eastAsia="宋体" w:cs="宋体"/>
          <w:spacing w:val="17"/>
          <w:sz w:val="23"/>
          <w:szCs w:val="23"/>
        </w:rPr>
        <w:t>) 监测时间与频率</w:t>
      </w:r>
    </w:p>
    <w:p w14:paraId="448B2440">
      <w:pPr>
        <w:spacing w:line="276" w:lineRule="auto"/>
        <w:rPr>
          <w:rFonts w:ascii="Arial"/>
          <w:sz w:val="21"/>
        </w:rPr>
      </w:pPr>
    </w:p>
    <w:p w14:paraId="382A4B2E">
      <w:pPr>
        <w:spacing w:before="75" w:line="227" w:lineRule="auto"/>
        <w:ind w:left="513"/>
        <w:rPr>
          <w:rFonts w:ascii="宋体" w:hAnsi="宋体" w:eastAsia="宋体" w:cs="宋体"/>
          <w:sz w:val="23"/>
          <w:szCs w:val="23"/>
        </w:rPr>
      </w:pPr>
      <w:r>
        <w:rPr>
          <w:rFonts w:ascii="宋体" w:hAnsi="宋体" w:eastAsia="宋体" w:cs="宋体"/>
          <w:spacing w:val="2"/>
          <w:sz w:val="23"/>
          <w:szCs w:val="23"/>
        </w:rPr>
        <w:t xml:space="preserve">连续监测 </w:t>
      </w:r>
      <w:r>
        <w:rPr>
          <w:rFonts w:ascii="Times New Roman" w:hAnsi="Times New Roman" w:eastAsia="Times New Roman" w:cs="Times New Roman"/>
          <w:spacing w:val="2"/>
          <w:sz w:val="23"/>
          <w:szCs w:val="23"/>
        </w:rPr>
        <w:t xml:space="preserve">1 </w:t>
      </w:r>
      <w:r>
        <w:rPr>
          <w:rFonts w:ascii="宋体" w:hAnsi="宋体" w:eastAsia="宋体" w:cs="宋体"/>
          <w:spacing w:val="2"/>
          <w:sz w:val="23"/>
          <w:szCs w:val="23"/>
        </w:rPr>
        <w:t>天</w:t>
      </w:r>
      <w:r>
        <w:rPr>
          <w:rFonts w:ascii="宋体" w:hAnsi="宋体" w:eastAsia="宋体" w:cs="宋体"/>
          <w:spacing w:val="1"/>
          <w:sz w:val="23"/>
          <w:szCs w:val="23"/>
        </w:rPr>
        <w:t xml:space="preserve">，每天采样 </w:t>
      </w:r>
      <w:r>
        <w:rPr>
          <w:rFonts w:ascii="Times New Roman" w:hAnsi="Times New Roman" w:eastAsia="Times New Roman" w:cs="Times New Roman"/>
          <w:spacing w:val="1"/>
          <w:sz w:val="23"/>
          <w:szCs w:val="23"/>
        </w:rPr>
        <w:t xml:space="preserve">1 </w:t>
      </w:r>
      <w:r>
        <w:rPr>
          <w:rFonts w:ascii="宋体" w:hAnsi="宋体" w:eastAsia="宋体" w:cs="宋体"/>
          <w:spacing w:val="1"/>
          <w:sz w:val="23"/>
          <w:szCs w:val="23"/>
        </w:rPr>
        <w:t xml:space="preserve">次，采样点不少于 </w:t>
      </w:r>
      <w:r>
        <w:rPr>
          <w:rFonts w:ascii="Times New Roman" w:hAnsi="Times New Roman" w:eastAsia="Times New Roman" w:cs="Times New Roman"/>
          <w:spacing w:val="1"/>
          <w:sz w:val="23"/>
          <w:szCs w:val="23"/>
        </w:rPr>
        <w:t xml:space="preserve">1 </w:t>
      </w:r>
      <w:r>
        <w:rPr>
          <w:rFonts w:ascii="宋体" w:hAnsi="宋体" w:eastAsia="宋体" w:cs="宋体"/>
          <w:spacing w:val="1"/>
          <w:sz w:val="23"/>
          <w:szCs w:val="23"/>
        </w:rPr>
        <w:t>个。</w:t>
      </w:r>
    </w:p>
    <w:p w14:paraId="774A2FA5">
      <w:pPr>
        <w:spacing w:line="276" w:lineRule="auto"/>
        <w:rPr>
          <w:rFonts w:ascii="Arial"/>
          <w:sz w:val="21"/>
        </w:rPr>
      </w:pPr>
    </w:p>
    <w:p w14:paraId="1E080EEE">
      <w:pPr>
        <w:spacing w:before="75" w:line="228" w:lineRule="auto"/>
        <w:ind w:left="403"/>
        <w:rPr>
          <w:rFonts w:ascii="宋体" w:hAnsi="宋体" w:eastAsia="宋体" w:cs="宋体"/>
          <w:sz w:val="23"/>
          <w:szCs w:val="23"/>
        </w:rPr>
      </w:pPr>
      <w:r>
        <w:rPr>
          <w:rFonts w:ascii="宋体" w:hAnsi="宋体" w:eastAsia="宋体" w:cs="宋体"/>
          <w:spacing w:val="20"/>
          <w:sz w:val="23"/>
          <w:szCs w:val="23"/>
        </w:rPr>
        <w:t>(</w:t>
      </w:r>
      <w:r>
        <w:rPr>
          <w:rFonts w:ascii="Times New Roman" w:hAnsi="Times New Roman" w:eastAsia="Times New Roman" w:cs="Times New Roman"/>
          <w:spacing w:val="20"/>
          <w:sz w:val="23"/>
          <w:szCs w:val="23"/>
        </w:rPr>
        <w:t>4</w:t>
      </w:r>
      <w:r>
        <w:rPr>
          <w:rFonts w:ascii="宋体" w:hAnsi="宋体" w:eastAsia="宋体" w:cs="宋体"/>
          <w:spacing w:val="20"/>
          <w:sz w:val="23"/>
          <w:szCs w:val="23"/>
        </w:rPr>
        <w:t>) 分析方</w:t>
      </w:r>
      <w:r>
        <w:rPr>
          <w:rFonts w:ascii="宋体" w:hAnsi="宋体" w:eastAsia="宋体" w:cs="宋体"/>
          <w:spacing w:val="19"/>
          <w:sz w:val="23"/>
          <w:szCs w:val="23"/>
        </w:rPr>
        <w:t>法</w:t>
      </w:r>
    </w:p>
    <w:p w14:paraId="680FD120">
      <w:pPr>
        <w:spacing w:before="308" w:line="396" w:lineRule="auto"/>
        <w:ind w:left="32" w:right="20" w:firstLine="480"/>
        <w:rPr>
          <w:rFonts w:ascii="宋体" w:hAnsi="宋体" w:eastAsia="宋体" w:cs="宋体"/>
          <w:sz w:val="23"/>
          <w:szCs w:val="23"/>
        </w:rPr>
      </w:pPr>
      <w:r>
        <w:rPr>
          <w:rFonts w:ascii="宋体" w:hAnsi="宋体" w:eastAsia="宋体" w:cs="宋体"/>
          <w:spacing w:val="4"/>
          <w:sz w:val="23"/>
          <w:szCs w:val="23"/>
        </w:rPr>
        <w:t>根据《土壤环境监测技术规范》  (</w:t>
      </w:r>
      <w:r>
        <w:rPr>
          <w:rFonts w:ascii="Times New Roman" w:hAnsi="Times New Roman" w:eastAsia="Times New Roman" w:cs="Times New Roman"/>
          <w:sz w:val="23"/>
          <w:szCs w:val="23"/>
        </w:rPr>
        <w:t>HJ</w:t>
      </w:r>
      <w:r>
        <w:rPr>
          <w:rFonts w:ascii="Times New Roman" w:hAnsi="Times New Roman" w:eastAsia="Times New Roman" w:cs="Times New Roman"/>
          <w:spacing w:val="4"/>
          <w:sz w:val="23"/>
          <w:szCs w:val="23"/>
        </w:rPr>
        <w:t>/</w:t>
      </w:r>
      <w:r>
        <w:rPr>
          <w:rFonts w:ascii="Times New Roman" w:hAnsi="Times New Roman" w:eastAsia="Times New Roman" w:cs="Times New Roman"/>
          <w:sz w:val="23"/>
          <w:szCs w:val="23"/>
        </w:rPr>
        <w:t>T</w:t>
      </w:r>
      <w:r>
        <w:rPr>
          <w:rFonts w:ascii="Times New Roman" w:hAnsi="Times New Roman" w:eastAsia="Times New Roman" w:cs="Times New Roman"/>
          <w:spacing w:val="4"/>
          <w:sz w:val="23"/>
          <w:szCs w:val="23"/>
        </w:rPr>
        <w:t>166-2004</w:t>
      </w:r>
      <w:r>
        <w:rPr>
          <w:rFonts w:ascii="宋体" w:hAnsi="宋体" w:eastAsia="宋体" w:cs="宋体"/>
          <w:spacing w:val="4"/>
          <w:sz w:val="23"/>
          <w:szCs w:val="23"/>
        </w:rPr>
        <w:t>) 中土壤样品的管理、分</w:t>
      </w:r>
      <w:r>
        <w:rPr>
          <w:rFonts w:ascii="宋体" w:hAnsi="宋体" w:eastAsia="宋体" w:cs="宋体"/>
          <w:sz w:val="23"/>
          <w:szCs w:val="23"/>
        </w:rPr>
        <w:t xml:space="preserve">析 </w:t>
      </w:r>
      <w:r>
        <w:rPr>
          <w:rFonts w:ascii="宋体" w:hAnsi="宋体" w:eastAsia="宋体" w:cs="宋体"/>
          <w:spacing w:val="4"/>
          <w:sz w:val="23"/>
          <w:szCs w:val="23"/>
        </w:rPr>
        <w:t>执行。具</w:t>
      </w:r>
      <w:r>
        <w:rPr>
          <w:rFonts w:ascii="宋体" w:hAnsi="宋体" w:eastAsia="宋体" w:cs="宋体"/>
          <w:spacing w:val="3"/>
          <w:sz w:val="23"/>
          <w:szCs w:val="23"/>
        </w:rPr>
        <w:t>体</w:t>
      </w:r>
      <w:r>
        <w:rPr>
          <w:rFonts w:ascii="宋体" w:hAnsi="宋体" w:eastAsia="宋体" w:cs="宋体"/>
          <w:spacing w:val="2"/>
          <w:sz w:val="23"/>
          <w:szCs w:val="23"/>
        </w:rPr>
        <w:t xml:space="preserve">监测项目及分析方法见表 </w:t>
      </w:r>
      <w:r>
        <w:rPr>
          <w:rFonts w:ascii="Times New Roman" w:hAnsi="Times New Roman" w:eastAsia="Times New Roman" w:cs="Times New Roman"/>
          <w:spacing w:val="2"/>
          <w:sz w:val="23"/>
          <w:szCs w:val="23"/>
        </w:rPr>
        <w:t>4- 18</w:t>
      </w:r>
      <w:r>
        <w:rPr>
          <w:rFonts w:ascii="宋体" w:hAnsi="宋体" w:eastAsia="宋体" w:cs="宋体"/>
          <w:spacing w:val="2"/>
          <w:sz w:val="23"/>
          <w:szCs w:val="23"/>
        </w:rPr>
        <w:t>。</w:t>
      </w:r>
    </w:p>
    <w:p w14:paraId="65FC135A">
      <w:pPr>
        <w:spacing w:before="172" w:line="228" w:lineRule="auto"/>
        <w:ind w:left="2253"/>
        <w:rPr>
          <w:rFonts w:ascii="宋体" w:hAnsi="宋体" w:eastAsia="宋体" w:cs="宋体"/>
          <w:sz w:val="23"/>
          <w:szCs w:val="23"/>
        </w:rPr>
      </w:pPr>
      <w:r>
        <w:rPr>
          <w:rFonts w:ascii="宋体" w:hAnsi="宋体" w:eastAsia="宋体" w:cs="宋体"/>
          <w:spacing w:val="7"/>
          <w:sz w:val="23"/>
          <w:szCs w:val="23"/>
          <w14:textOutline w14:w="4358" w14:cap="sq" w14:cmpd="sng">
            <w14:solidFill>
              <w14:srgbClr w14:val="000000"/>
            </w14:solidFill>
            <w14:prstDash w14:val="solid"/>
            <w14:bevel/>
          </w14:textOutline>
        </w:rPr>
        <w:t>表</w:t>
      </w:r>
      <w:r>
        <w:rPr>
          <w:rFonts w:ascii="宋体" w:hAnsi="宋体" w:eastAsia="宋体" w:cs="宋体"/>
          <w:spacing w:val="4"/>
          <w:sz w:val="23"/>
          <w:szCs w:val="23"/>
        </w:rPr>
        <w:t xml:space="preserve"> </w:t>
      </w:r>
      <w:r>
        <w:rPr>
          <w:rFonts w:ascii="Times New Roman" w:hAnsi="Times New Roman" w:eastAsia="Times New Roman" w:cs="Times New Roman"/>
          <w:b/>
          <w:bCs/>
          <w:spacing w:val="4"/>
          <w:sz w:val="23"/>
          <w:szCs w:val="23"/>
        </w:rPr>
        <w:t>4-18</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土壤监测项目及分析方法</w:t>
      </w:r>
    </w:p>
    <w:p w14:paraId="6EAD6D6F">
      <w:pPr>
        <w:spacing w:line="17" w:lineRule="exact"/>
      </w:pPr>
    </w:p>
    <w:tbl>
      <w:tblPr>
        <w:tblStyle w:val="4"/>
        <w:tblW w:w="835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6"/>
        <w:gridCol w:w="1650"/>
        <w:gridCol w:w="3420"/>
        <w:gridCol w:w="1680"/>
        <w:gridCol w:w="1056"/>
      </w:tblGrid>
      <w:tr w14:paraId="73E00D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546" w:type="dxa"/>
            <w:tcBorders>
              <w:left w:val="nil"/>
            </w:tcBorders>
            <w:vAlign w:val="top"/>
          </w:tcPr>
          <w:p w14:paraId="4A868790">
            <w:pPr>
              <w:spacing w:before="231" w:line="229" w:lineRule="auto"/>
              <w:ind w:left="71"/>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序号</w:t>
            </w:r>
          </w:p>
        </w:tc>
        <w:tc>
          <w:tcPr>
            <w:tcW w:w="1650" w:type="dxa"/>
            <w:vAlign w:val="top"/>
          </w:tcPr>
          <w:p w14:paraId="5C9EE24F">
            <w:pPr>
              <w:spacing w:before="231" w:line="228" w:lineRule="auto"/>
              <w:ind w:left="411"/>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检</w:t>
            </w:r>
            <w:r>
              <w:rPr>
                <w:rFonts w:ascii="宋体" w:hAnsi="宋体" w:eastAsia="宋体" w:cs="宋体"/>
                <w:spacing w:val="8"/>
                <w:sz w:val="20"/>
                <w:szCs w:val="20"/>
                <w14:textOutline w14:w="3795" w14:cap="sq" w14:cmpd="sng">
                  <w14:solidFill>
                    <w14:srgbClr w14:val="000000"/>
                  </w14:solidFill>
                  <w14:prstDash w14:val="solid"/>
                  <w14:bevel/>
                </w14:textOutline>
              </w:rPr>
              <w:t>测项目</w:t>
            </w:r>
          </w:p>
        </w:tc>
        <w:tc>
          <w:tcPr>
            <w:tcW w:w="3420" w:type="dxa"/>
            <w:vAlign w:val="top"/>
          </w:tcPr>
          <w:p w14:paraId="7A37F669">
            <w:pPr>
              <w:spacing w:before="231" w:line="228" w:lineRule="auto"/>
              <w:ind w:left="875"/>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检</w:t>
            </w:r>
            <w:r>
              <w:rPr>
                <w:rFonts w:ascii="宋体" w:hAnsi="宋体" w:eastAsia="宋体" w:cs="宋体"/>
                <w:spacing w:val="7"/>
                <w:sz w:val="20"/>
                <w:szCs w:val="20"/>
                <w14:textOutline w14:w="3795" w14:cap="sq" w14:cmpd="sng">
                  <w14:solidFill>
                    <w14:srgbClr w14:val="000000"/>
                  </w14:solidFill>
                  <w14:prstDash w14:val="solid"/>
                  <w14:bevel/>
                </w14:textOutline>
              </w:rPr>
              <w:t>测标准</w:t>
            </w:r>
            <w:r>
              <w:rPr>
                <w:rFonts w:ascii="宋体" w:hAnsi="宋体" w:eastAsia="宋体" w:cs="宋体"/>
                <w:spacing w:val="7"/>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(方法)</w:t>
            </w:r>
          </w:p>
        </w:tc>
        <w:tc>
          <w:tcPr>
            <w:tcW w:w="1680" w:type="dxa"/>
            <w:vAlign w:val="top"/>
          </w:tcPr>
          <w:p w14:paraId="138A1118">
            <w:pPr>
              <w:spacing w:before="75" w:line="259" w:lineRule="auto"/>
              <w:ind w:left="33" w:right="19" w:firstLine="79"/>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分析、采样仪器</w:t>
            </w:r>
            <w:r>
              <w:rPr>
                <w:rFonts w:ascii="宋体" w:hAnsi="宋体" w:eastAsia="宋体" w:cs="宋体"/>
                <w:sz w:val="20"/>
                <w:szCs w:val="20"/>
              </w:rPr>
              <w:t xml:space="preserve"> </w:t>
            </w:r>
            <w:r>
              <w:rPr>
                <w:rFonts w:ascii="宋体" w:hAnsi="宋体" w:eastAsia="宋体" w:cs="宋体"/>
                <w:spacing w:val="4"/>
                <w:sz w:val="20"/>
                <w:szCs w:val="20"/>
                <w14:textOutline w14:w="3795" w14:cap="sq" w14:cmpd="sng">
                  <w14:solidFill>
                    <w14:srgbClr w14:val="000000"/>
                  </w14:solidFill>
                  <w14:prstDash w14:val="solid"/>
                  <w14:bevel/>
                </w14:textOutline>
              </w:rPr>
              <w:t>名称</w:t>
            </w:r>
            <w:r>
              <w:rPr>
                <w:rFonts w:ascii="宋体" w:hAnsi="宋体" w:eastAsia="宋体" w:cs="宋体"/>
                <w:spacing w:val="3"/>
                <w:sz w:val="20"/>
                <w:szCs w:val="20"/>
                <w14:textOutline w14:w="3795" w14:cap="sq" w14:cmpd="sng">
                  <w14:solidFill>
                    <w14:srgbClr w14:val="000000"/>
                  </w14:solidFill>
                  <w14:prstDash w14:val="solid"/>
                  <w14:bevel/>
                </w14:textOutline>
              </w:rPr>
              <w:t>、</w:t>
            </w:r>
            <w:r>
              <w:rPr>
                <w:rFonts w:ascii="宋体" w:hAnsi="宋体" w:eastAsia="宋体" w:cs="宋体"/>
                <w:spacing w:val="2"/>
                <w:sz w:val="20"/>
                <w:szCs w:val="20"/>
                <w14:textOutline w14:w="3795" w14:cap="sq" w14:cmpd="sng">
                  <w14:solidFill>
                    <w14:srgbClr w14:val="000000"/>
                  </w14:solidFill>
                  <w14:prstDash w14:val="solid"/>
                  <w14:bevel/>
                </w14:textOutline>
              </w:rPr>
              <w:t>型号、编号</w:t>
            </w:r>
          </w:p>
        </w:tc>
        <w:tc>
          <w:tcPr>
            <w:tcW w:w="1056" w:type="dxa"/>
            <w:tcBorders>
              <w:right w:val="nil"/>
            </w:tcBorders>
            <w:vAlign w:val="top"/>
          </w:tcPr>
          <w:p w14:paraId="4A654EAB">
            <w:pPr>
              <w:spacing w:before="231" w:line="228" w:lineRule="auto"/>
              <w:ind w:left="218"/>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检</w:t>
            </w:r>
            <w:r>
              <w:rPr>
                <w:rFonts w:ascii="宋体" w:hAnsi="宋体" w:eastAsia="宋体" w:cs="宋体"/>
                <w:spacing w:val="7"/>
                <w:sz w:val="20"/>
                <w:szCs w:val="20"/>
                <w14:textOutline w14:w="3795" w14:cap="sq" w14:cmpd="sng">
                  <w14:solidFill>
                    <w14:srgbClr w14:val="000000"/>
                  </w14:solidFill>
                  <w14:prstDash w14:val="solid"/>
                  <w14:bevel/>
                </w14:textOutline>
              </w:rPr>
              <w:t>出限</w:t>
            </w:r>
          </w:p>
        </w:tc>
      </w:tr>
      <w:tr w14:paraId="3139BC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46" w:type="dxa"/>
            <w:tcBorders>
              <w:left w:val="nil"/>
            </w:tcBorders>
            <w:vAlign w:val="top"/>
          </w:tcPr>
          <w:p w14:paraId="2092E157">
            <w:pPr>
              <w:spacing w:before="243" w:line="195" w:lineRule="auto"/>
              <w:ind w:left="244"/>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650" w:type="dxa"/>
            <w:vAlign w:val="top"/>
          </w:tcPr>
          <w:p w14:paraId="746A6728">
            <w:pPr>
              <w:spacing w:before="246" w:line="192" w:lineRule="auto"/>
              <w:ind w:left="69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PH</w:t>
            </w:r>
          </w:p>
        </w:tc>
        <w:tc>
          <w:tcPr>
            <w:tcW w:w="3420" w:type="dxa"/>
            <w:vAlign w:val="top"/>
          </w:tcPr>
          <w:p w14:paraId="5D9E4817">
            <w:pPr>
              <w:spacing w:before="51" w:line="283" w:lineRule="auto"/>
              <w:ind w:left="907" w:right="58" w:hanging="842"/>
              <w:rPr>
                <w:rFonts w:ascii="Times New Roman" w:hAnsi="Times New Roman" w:eastAsia="Times New Roman" w:cs="Times New Roman"/>
                <w:sz w:val="20"/>
                <w:szCs w:val="20"/>
              </w:rPr>
            </w:pPr>
            <w:r>
              <w:rPr>
                <w:rFonts w:ascii="宋体" w:hAnsi="宋体" w:eastAsia="宋体" w:cs="宋体"/>
                <w:spacing w:val="4"/>
                <w:sz w:val="20"/>
                <w:szCs w:val="20"/>
              </w:rPr>
              <w:t>土壤检测第</w:t>
            </w:r>
            <w:r>
              <w:rPr>
                <w:rFonts w:ascii="宋体" w:hAnsi="宋体" w:eastAsia="宋体" w:cs="宋体"/>
                <w:spacing w:val="2"/>
                <w:sz w:val="20"/>
                <w:szCs w:val="20"/>
              </w:rPr>
              <w:t xml:space="preserve"> </w:t>
            </w:r>
            <w:r>
              <w:rPr>
                <w:rFonts w:ascii="Times New Roman" w:hAnsi="Times New Roman" w:eastAsia="Times New Roman" w:cs="Times New Roman"/>
                <w:spacing w:val="2"/>
                <w:sz w:val="20"/>
                <w:szCs w:val="20"/>
              </w:rPr>
              <w:t xml:space="preserve">2 </w:t>
            </w:r>
            <w:r>
              <w:rPr>
                <w:rFonts w:ascii="宋体" w:hAnsi="宋体" w:eastAsia="宋体" w:cs="宋体"/>
                <w:spacing w:val="2"/>
                <w:sz w:val="20"/>
                <w:szCs w:val="20"/>
              </w:rPr>
              <w:t xml:space="preserve">部分：土壤 </w:t>
            </w:r>
            <w:r>
              <w:rPr>
                <w:rFonts w:ascii="Times New Roman" w:hAnsi="Times New Roman" w:eastAsia="Times New Roman" w:cs="Times New Roman"/>
                <w:sz w:val="20"/>
                <w:szCs w:val="20"/>
              </w:rPr>
              <w:t>pH</w:t>
            </w:r>
            <w:r>
              <w:rPr>
                <w:rFonts w:ascii="Times New Roman" w:hAnsi="Times New Roman" w:eastAsia="Times New Roman" w:cs="Times New Roman"/>
                <w:spacing w:val="2"/>
                <w:sz w:val="20"/>
                <w:szCs w:val="20"/>
              </w:rPr>
              <w:t xml:space="preserve"> </w:t>
            </w:r>
            <w:r>
              <w:rPr>
                <w:rFonts w:ascii="宋体" w:hAnsi="宋体" w:eastAsia="宋体" w:cs="宋体"/>
                <w:spacing w:val="2"/>
                <w:sz w:val="20"/>
                <w:szCs w:val="20"/>
              </w:rPr>
              <w:t>的测定</w:t>
            </w:r>
            <w:r>
              <w:rPr>
                <w:rFonts w:ascii="宋体" w:hAnsi="宋体" w:eastAsia="宋体" w:cs="宋体"/>
                <w:sz w:val="20"/>
                <w:szCs w:val="20"/>
              </w:rPr>
              <w:t xml:space="preserve"> </w:t>
            </w:r>
            <w:r>
              <w:rPr>
                <w:rFonts w:ascii="Times New Roman" w:hAnsi="Times New Roman" w:eastAsia="Times New Roman" w:cs="Times New Roman"/>
                <w:sz w:val="20"/>
                <w:szCs w:val="20"/>
              </w:rPr>
              <w:t>NY</w:t>
            </w:r>
            <w:r>
              <w:rPr>
                <w:rFonts w:ascii="Times New Roman" w:hAnsi="Times New Roman" w:eastAsia="Times New Roman" w:cs="Times New Roman"/>
                <w:spacing w:val="6"/>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1121.2-2006</w:t>
            </w:r>
          </w:p>
        </w:tc>
        <w:tc>
          <w:tcPr>
            <w:tcW w:w="1680" w:type="dxa"/>
            <w:vAlign w:val="top"/>
          </w:tcPr>
          <w:p w14:paraId="7D9B6160">
            <w:pPr>
              <w:spacing w:before="51" w:line="348" w:lineRule="exact"/>
              <w:ind w:left="576"/>
              <w:rPr>
                <w:rFonts w:ascii="宋体" w:hAnsi="宋体" w:eastAsia="宋体" w:cs="宋体"/>
                <w:sz w:val="20"/>
                <w:szCs w:val="20"/>
              </w:rPr>
            </w:pPr>
            <w:r>
              <w:rPr>
                <w:rFonts w:ascii="Times New Roman" w:hAnsi="Times New Roman" w:eastAsia="Times New Roman" w:cs="Times New Roman"/>
                <w:position w:val="11"/>
                <w:sz w:val="20"/>
                <w:szCs w:val="20"/>
              </w:rPr>
              <w:t>pH</w:t>
            </w:r>
            <w:r>
              <w:rPr>
                <w:rFonts w:ascii="Times New Roman" w:hAnsi="Times New Roman" w:eastAsia="Times New Roman" w:cs="Times New Roman"/>
                <w:spacing w:val="12"/>
                <w:position w:val="11"/>
                <w:sz w:val="20"/>
                <w:szCs w:val="20"/>
              </w:rPr>
              <w:t xml:space="preserve"> </w:t>
            </w:r>
            <w:r>
              <w:rPr>
                <w:rFonts w:ascii="宋体" w:hAnsi="宋体" w:eastAsia="宋体" w:cs="宋体"/>
                <w:spacing w:val="12"/>
                <w:position w:val="11"/>
                <w:sz w:val="20"/>
                <w:szCs w:val="20"/>
              </w:rPr>
              <w:t>计</w:t>
            </w:r>
          </w:p>
          <w:p w14:paraId="45AF9A64">
            <w:pPr>
              <w:spacing w:line="194" w:lineRule="auto"/>
              <w:ind w:left="568"/>
              <w:rPr>
                <w:rFonts w:ascii="Times New Roman" w:hAnsi="Times New Roman" w:eastAsia="Times New Roman" w:cs="Times New Roman"/>
                <w:sz w:val="20"/>
                <w:szCs w:val="20"/>
              </w:rPr>
            </w:pPr>
            <w:r>
              <w:rPr>
                <w:rFonts w:ascii="Times New Roman" w:hAnsi="Times New Roman" w:eastAsia="Times New Roman" w:cs="Times New Roman"/>
                <w:sz w:val="20"/>
                <w:szCs w:val="20"/>
              </w:rPr>
              <w:t>FX</w:t>
            </w:r>
            <w:r>
              <w:rPr>
                <w:rFonts w:ascii="Times New Roman" w:hAnsi="Times New Roman" w:eastAsia="Times New Roman" w:cs="Times New Roman"/>
                <w:spacing w:val="7"/>
                <w:sz w:val="20"/>
                <w:szCs w:val="20"/>
              </w:rPr>
              <w:t>-2</w:t>
            </w:r>
            <w:r>
              <w:rPr>
                <w:rFonts w:ascii="Times New Roman" w:hAnsi="Times New Roman" w:eastAsia="Times New Roman" w:cs="Times New Roman"/>
                <w:spacing w:val="6"/>
                <w:sz w:val="20"/>
                <w:szCs w:val="20"/>
              </w:rPr>
              <w:t>3</w:t>
            </w:r>
          </w:p>
        </w:tc>
        <w:tc>
          <w:tcPr>
            <w:tcW w:w="1056" w:type="dxa"/>
            <w:tcBorders>
              <w:right w:val="nil"/>
            </w:tcBorders>
            <w:vAlign w:val="top"/>
          </w:tcPr>
          <w:p w14:paraId="64D62DB9">
            <w:pPr>
              <w:spacing w:before="169" w:line="281" w:lineRule="exact"/>
              <w:ind w:left="495"/>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1E6988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546" w:type="dxa"/>
            <w:tcBorders>
              <w:left w:val="nil"/>
            </w:tcBorders>
            <w:vAlign w:val="top"/>
          </w:tcPr>
          <w:p w14:paraId="492BFC5D">
            <w:pPr>
              <w:spacing w:line="341" w:lineRule="auto"/>
              <w:rPr>
                <w:rFonts w:ascii="Arial"/>
                <w:sz w:val="21"/>
              </w:rPr>
            </w:pPr>
          </w:p>
          <w:p w14:paraId="73989D86">
            <w:pPr>
              <w:spacing w:before="58" w:line="195" w:lineRule="auto"/>
              <w:ind w:left="224"/>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650" w:type="dxa"/>
            <w:vAlign w:val="top"/>
          </w:tcPr>
          <w:p w14:paraId="4F6B8759">
            <w:pPr>
              <w:spacing w:line="298" w:lineRule="auto"/>
              <w:rPr>
                <w:rFonts w:ascii="Arial"/>
                <w:sz w:val="21"/>
              </w:rPr>
            </w:pPr>
          </w:p>
          <w:p w14:paraId="13E2AB37">
            <w:pPr>
              <w:spacing w:before="65" w:line="228" w:lineRule="auto"/>
              <w:ind w:left="724"/>
              <w:rPr>
                <w:rFonts w:ascii="宋体" w:hAnsi="宋体" w:eastAsia="宋体" w:cs="宋体"/>
                <w:sz w:val="20"/>
                <w:szCs w:val="20"/>
              </w:rPr>
            </w:pPr>
            <w:r>
              <w:rPr>
                <w:rFonts w:ascii="宋体" w:hAnsi="宋体" w:eastAsia="宋体" w:cs="宋体"/>
                <w:spacing w:val="1"/>
                <w:sz w:val="20"/>
                <w:szCs w:val="20"/>
              </w:rPr>
              <w:t>砷</w:t>
            </w:r>
          </w:p>
        </w:tc>
        <w:tc>
          <w:tcPr>
            <w:tcW w:w="3420" w:type="dxa"/>
            <w:vAlign w:val="top"/>
          </w:tcPr>
          <w:p w14:paraId="6C1046C4">
            <w:pPr>
              <w:spacing w:before="53" w:line="228" w:lineRule="auto"/>
              <w:ind w:left="29"/>
              <w:rPr>
                <w:rFonts w:ascii="宋体" w:hAnsi="宋体" w:eastAsia="宋体" w:cs="宋体"/>
                <w:sz w:val="20"/>
                <w:szCs w:val="20"/>
              </w:rPr>
            </w:pPr>
            <w:r>
              <w:rPr>
                <w:rFonts w:ascii="宋体" w:hAnsi="宋体" w:eastAsia="宋体" w:cs="宋体"/>
                <w:spacing w:val="-2"/>
                <w:sz w:val="20"/>
                <w:szCs w:val="20"/>
              </w:rPr>
              <w:t>土壤质量 总汞、总砷、总铅的测定</w:t>
            </w:r>
            <w:r>
              <w:rPr>
                <w:rFonts w:ascii="宋体" w:hAnsi="宋体" w:eastAsia="宋体" w:cs="宋体"/>
                <w:spacing w:val="-1"/>
                <w:sz w:val="20"/>
                <w:szCs w:val="20"/>
              </w:rPr>
              <w:t xml:space="preserve"> </w:t>
            </w:r>
            <w:r>
              <w:rPr>
                <w:rFonts w:ascii="宋体" w:hAnsi="宋体" w:eastAsia="宋体" w:cs="宋体"/>
                <w:sz w:val="20"/>
                <w:szCs w:val="20"/>
              </w:rPr>
              <w:t>原</w:t>
            </w:r>
          </w:p>
          <w:p w14:paraId="4C0DFF2B">
            <w:pPr>
              <w:spacing w:before="64" w:line="228" w:lineRule="auto"/>
              <w:ind w:left="36"/>
              <w:rPr>
                <w:rFonts w:ascii="宋体" w:hAnsi="宋体" w:eastAsia="宋体" w:cs="宋体"/>
                <w:sz w:val="20"/>
                <w:szCs w:val="20"/>
              </w:rPr>
            </w:pPr>
            <w:r>
              <w:rPr>
                <w:rFonts w:ascii="宋体" w:hAnsi="宋体" w:eastAsia="宋体" w:cs="宋体"/>
                <w:spacing w:val="10"/>
                <w:sz w:val="20"/>
                <w:szCs w:val="20"/>
              </w:rPr>
              <w:t>子</w:t>
            </w:r>
            <w:r>
              <w:rPr>
                <w:rFonts w:ascii="宋体" w:hAnsi="宋体" w:eastAsia="宋体" w:cs="宋体"/>
                <w:spacing w:val="8"/>
                <w:sz w:val="20"/>
                <w:szCs w:val="20"/>
              </w:rPr>
              <w:t>荧</w:t>
            </w:r>
            <w:r>
              <w:rPr>
                <w:rFonts w:ascii="宋体" w:hAnsi="宋体" w:eastAsia="宋体" w:cs="宋体"/>
                <w:spacing w:val="5"/>
                <w:sz w:val="20"/>
                <w:szCs w:val="20"/>
              </w:rPr>
              <w:t xml:space="preserve">光法，第 </w:t>
            </w:r>
            <w:r>
              <w:rPr>
                <w:rFonts w:ascii="Times New Roman" w:hAnsi="Times New Roman" w:eastAsia="Times New Roman" w:cs="Times New Roman"/>
                <w:spacing w:val="5"/>
                <w:sz w:val="20"/>
                <w:szCs w:val="20"/>
              </w:rPr>
              <w:t xml:space="preserve">2 </w:t>
            </w:r>
            <w:r>
              <w:rPr>
                <w:rFonts w:ascii="宋体" w:hAnsi="宋体" w:eastAsia="宋体" w:cs="宋体"/>
                <w:spacing w:val="5"/>
                <w:sz w:val="20"/>
                <w:szCs w:val="20"/>
              </w:rPr>
              <w:t>部分：土壤中总砷的</w:t>
            </w:r>
          </w:p>
          <w:p w14:paraId="20C8DE72">
            <w:pPr>
              <w:spacing w:before="27" w:line="281" w:lineRule="exact"/>
              <w:ind w:left="605"/>
              <w:rPr>
                <w:rFonts w:ascii="Times New Roman" w:hAnsi="Times New Roman" w:eastAsia="Times New Roman" w:cs="Times New Roman"/>
                <w:sz w:val="20"/>
                <w:szCs w:val="20"/>
              </w:rPr>
            </w:pPr>
            <w:r>
              <w:rPr>
                <w:rFonts w:ascii="宋体" w:hAnsi="宋体" w:eastAsia="宋体" w:cs="宋体"/>
                <w:spacing w:val="10"/>
                <w:position w:val="1"/>
                <w:sz w:val="20"/>
                <w:szCs w:val="20"/>
              </w:rPr>
              <w:t>测</w:t>
            </w:r>
            <w:r>
              <w:rPr>
                <w:rFonts w:ascii="宋体" w:hAnsi="宋体" w:eastAsia="宋体" w:cs="宋体"/>
                <w:spacing w:val="7"/>
                <w:position w:val="1"/>
                <w:sz w:val="20"/>
                <w:szCs w:val="20"/>
              </w:rPr>
              <w:t>定</w:t>
            </w:r>
            <w:r>
              <w:rPr>
                <w:rFonts w:ascii="宋体" w:hAnsi="宋体" w:eastAsia="宋体" w:cs="宋体"/>
                <w:spacing w:val="5"/>
                <w:position w:val="1"/>
                <w:sz w:val="20"/>
                <w:szCs w:val="20"/>
              </w:rPr>
              <w:t xml:space="preserve"> </w:t>
            </w:r>
            <w:r>
              <w:rPr>
                <w:rFonts w:ascii="Times New Roman" w:hAnsi="Times New Roman" w:eastAsia="Times New Roman" w:cs="Times New Roman"/>
                <w:position w:val="1"/>
                <w:sz w:val="20"/>
                <w:szCs w:val="20"/>
              </w:rPr>
              <w:t>GB</w:t>
            </w:r>
            <w:r>
              <w:rPr>
                <w:rFonts w:ascii="Times New Roman" w:hAnsi="Times New Roman" w:eastAsia="Times New Roman" w:cs="Times New Roman"/>
                <w:spacing w:val="5"/>
                <w:position w:val="1"/>
                <w:sz w:val="20"/>
                <w:szCs w:val="20"/>
              </w:rPr>
              <w:t>/</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5"/>
                <w:position w:val="1"/>
                <w:sz w:val="20"/>
                <w:szCs w:val="20"/>
              </w:rPr>
              <w:t xml:space="preserve"> 22105.2-2008</w:t>
            </w:r>
          </w:p>
        </w:tc>
        <w:tc>
          <w:tcPr>
            <w:tcW w:w="1680" w:type="dxa"/>
            <w:vAlign w:val="top"/>
          </w:tcPr>
          <w:p w14:paraId="684355F7">
            <w:pPr>
              <w:spacing w:before="210" w:line="323" w:lineRule="auto"/>
              <w:ind w:left="568" w:right="103" w:hanging="453"/>
              <w:rPr>
                <w:rFonts w:ascii="Times New Roman" w:hAnsi="Times New Roman" w:eastAsia="Times New Roman" w:cs="Times New Roman"/>
                <w:sz w:val="20"/>
                <w:szCs w:val="20"/>
              </w:rPr>
            </w:pPr>
            <w:r>
              <w:rPr>
                <w:rFonts w:ascii="宋体" w:hAnsi="宋体" w:eastAsia="宋体" w:cs="宋体"/>
                <w:spacing w:val="8"/>
                <w:sz w:val="20"/>
                <w:szCs w:val="20"/>
              </w:rPr>
              <w:t>原子荧光光度</w:t>
            </w:r>
            <w:r>
              <w:rPr>
                <w:rFonts w:ascii="宋体" w:hAnsi="宋体" w:eastAsia="宋体" w:cs="宋体"/>
                <w:spacing w:val="7"/>
                <w:sz w:val="20"/>
                <w:szCs w:val="20"/>
              </w:rPr>
              <w:t>计</w:t>
            </w:r>
            <w:r>
              <w:rPr>
                <w:rFonts w:ascii="宋体" w:hAnsi="宋体" w:eastAsia="宋体" w:cs="宋体"/>
                <w:sz w:val="20"/>
                <w:szCs w:val="20"/>
              </w:rPr>
              <w:t xml:space="preserve"> </w:t>
            </w:r>
            <w:r>
              <w:rPr>
                <w:rFonts w:ascii="Times New Roman" w:hAnsi="Times New Roman" w:eastAsia="Times New Roman" w:cs="Times New Roman"/>
                <w:sz w:val="20"/>
                <w:szCs w:val="20"/>
              </w:rPr>
              <w:t>FX</w:t>
            </w:r>
            <w:r>
              <w:rPr>
                <w:rFonts w:ascii="Times New Roman" w:hAnsi="Times New Roman" w:eastAsia="Times New Roman" w:cs="Times New Roman"/>
                <w:spacing w:val="7"/>
                <w:sz w:val="20"/>
                <w:szCs w:val="20"/>
              </w:rPr>
              <w:t>-0</w:t>
            </w:r>
            <w:r>
              <w:rPr>
                <w:rFonts w:ascii="Times New Roman" w:hAnsi="Times New Roman" w:eastAsia="Times New Roman" w:cs="Times New Roman"/>
                <w:spacing w:val="6"/>
                <w:sz w:val="20"/>
                <w:szCs w:val="20"/>
              </w:rPr>
              <w:t>3</w:t>
            </w:r>
          </w:p>
        </w:tc>
        <w:tc>
          <w:tcPr>
            <w:tcW w:w="1056" w:type="dxa"/>
            <w:tcBorders>
              <w:right w:val="nil"/>
            </w:tcBorders>
            <w:vAlign w:val="top"/>
          </w:tcPr>
          <w:p w14:paraId="02850B7F">
            <w:pPr>
              <w:spacing w:line="268" w:lineRule="auto"/>
              <w:rPr>
                <w:rFonts w:ascii="Arial"/>
                <w:sz w:val="21"/>
              </w:rPr>
            </w:pPr>
          </w:p>
          <w:p w14:paraId="126E3A89">
            <w:pPr>
              <w:spacing w:before="57" w:line="282" w:lineRule="exact"/>
              <w:ind w:left="80"/>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0</w:t>
            </w:r>
            <w:r>
              <w:rPr>
                <w:rFonts w:ascii="Times New Roman" w:hAnsi="Times New Roman" w:eastAsia="Times New Roman" w:cs="Times New Roman"/>
                <w:spacing w:val="6"/>
                <w:position w:val="2"/>
                <w:sz w:val="20"/>
                <w:szCs w:val="20"/>
              </w:rPr>
              <w:t>.01</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kg</w:t>
            </w:r>
          </w:p>
        </w:tc>
      </w:tr>
      <w:tr w14:paraId="7EF7A4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46" w:type="dxa"/>
            <w:tcBorders>
              <w:left w:val="nil"/>
            </w:tcBorders>
            <w:vAlign w:val="top"/>
          </w:tcPr>
          <w:p w14:paraId="0DFCDB5F">
            <w:pPr>
              <w:spacing w:before="245" w:line="195" w:lineRule="auto"/>
              <w:ind w:left="228"/>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650" w:type="dxa"/>
            <w:vAlign w:val="top"/>
          </w:tcPr>
          <w:p w14:paraId="5C38E7E3">
            <w:pPr>
              <w:spacing w:before="209" w:line="231" w:lineRule="auto"/>
              <w:ind w:left="724"/>
              <w:rPr>
                <w:rFonts w:ascii="宋体" w:hAnsi="宋体" w:eastAsia="宋体" w:cs="宋体"/>
                <w:sz w:val="20"/>
                <w:szCs w:val="20"/>
              </w:rPr>
            </w:pPr>
            <w:r>
              <w:rPr>
                <w:rFonts w:ascii="宋体" w:hAnsi="宋体" w:eastAsia="宋体" w:cs="宋体"/>
                <w:spacing w:val="2"/>
                <w:sz w:val="20"/>
                <w:szCs w:val="20"/>
              </w:rPr>
              <w:t>镉</w:t>
            </w:r>
          </w:p>
        </w:tc>
        <w:tc>
          <w:tcPr>
            <w:tcW w:w="3420" w:type="dxa"/>
            <w:vAlign w:val="top"/>
          </w:tcPr>
          <w:p w14:paraId="242A104A">
            <w:pPr>
              <w:spacing w:before="54" w:line="265" w:lineRule="auto"/>
              <w:ind w:left="192" w:right="29" w:hanging="156"/>
              <w:rPr>
                <w:rFonts w:ascii="Times New Roman" w:hAnsi="Times New Roman" w:eastAsia="Times New Roman" w:cs="Times New Roman"/>
                <w:sz w:val="20"/>
                <w:szCs w:val="20"/>
              </w:rPr>
            </w:pPr>
            <w:r>
              <w:rPr>
                <w:rFonts w:ascii="宋体" w:hAnsi="宋体" w:eastAsia="宋体" w:cs="宋体"/>
                <w:spacing w:val="16"/>
                <w:sz w:val="20"/>
                <w:szCs w:val="20"/>
              </w:rPr>
              <w:t>土</w:t>
            </w:r>
            <w:r>
              <w:rPr>
                <w:rFonts w:ascii="宋体" w:hAnsi="宋体" w:eastAsia="宋体" w:cs="宋体"/>
                <w:spacing w:val="12"/>
                <w:sz w:val="20"/>
                <w:szCs w:val="20"/>
              </w:rPr>
              <w:t>壤</w:t>
            </w:r>
            <w:r>
              <w:rPr>
                <w:rFonts w:ascii="宋体" w:hAnsi="宋体" w:eastAsia="宋体" w:cs="宋体"/>
                <w:spacing w:val="8"/>
                <w:sz w:val="20"/>
                <w:szCs w:val="20"/>
              </w:rPr>
              <w:t>质量 铅、镉的测定 石墨炉原子</w:t>
            </w:r>
            <w:r>
              <w:rPr>
                <w:rFonts w:ascii="宋体" w:hAnsi="宋体" w:eastAsia="宋体" w:cs="宋体"/>
                <w:sz w:val="20"/>
                <w:szCs w:val="20"/>
              </w:rPr>
              <w:t xml:space="preserve"> </w:t>
            </w:r>
            <w:r>
              <w:rPr>
                <w:rFonts w:ascii="宋体" w:hAnsi="宋体" w:eastAsia="宋体" w:cs="宋体"/>
                <w:spacing w:val="2"/>
                <w:sz w:val="20"/>
                <w:szCs w:val="20"/>
              </w:rPr>
              <w:t>吸收分光</w:t>
            </w:r>
            <w:r>
              <w:rPr>
                <w:rFonts w:ascii="宋体" w:hAnsi="宋体" w:eastAsia="宋体" w:cs="宋体"/>
                <w:spacing w:val="1"/>
                <w:sz w:val="20"/>
                <w:szCs w:val="20"/>
              </w:rPr>
              <w:t xml:space="preserve">光度法 </w:t>
            </w:r>
            <w:r>
              <w:rPr>
                <w:rFonts w:ascii="Times New Roman" w:hAnsi="Times New Roman" w:eastAsia="Times New Roman" w:cs="Times New Roman"/>
                <w:sz w:val="20"/>
                <w:szCs w:val="20"/>
              </w:rPr>
              <w:t>GB</w:t>
            </w:r>
            <w:r>
              <w:rPr>
                <w:rFonts w:ascii="Times New Roman" w:hAnsi="Times New Roman" w:eastAsia="Times New Roman" w:cs="Times New Roman"/>
                <w:spacing w:val="1"/>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1"/>
                <w:sz w:val="20"/>
                <w:szCs w:val="20"/>
              </w:rPr>
              <w:t xml:space="preserve"> 17141- 1997</w:t>
            </w:r>
          </w:p>
        </w:tc>
        <w:tc>
          <w:tcPr>
            <w:tcW w:w="1680" w:type="dxa"/>
            <w:vAlign w:val="top"/>
          </w:tcPr>
          <w:p w14:paraId="52AE71F7">
            <w:pPr>
              <w:spacing w:before="54" w:line="258" w:lineRule="auto"/>
              <w:ind w:left="334" w:right="103" w:hanging="219"/>
              <w:rPr>
                <w:rFonts w:ascii="Times New Roman" w:hAnsi="Times New Roman" w:eastAsia="Times New Roman" w:cs="Times New Roman"/>
                <w:sz w:val="20"/>
                <w:szCs w:val="20"/>
              </w:rPr>
            </w:pPr>
            <w:r>
              <w:rPr>
                <w:rFonts w:ascii="宋体" w:hAnsi="宋体" w:eastAsia="宋体" w:cs="宋体"/>
                <w:spacing w:val="8"/>
                <w:sz w:val="20"/>
                <w:szCs w:val="20"/>
              </w:rPr>
              <w:t>原子吸收分光</w:t>
            </w:r>
            <w:r>
              <w:rPr>
                <w:rFonts w:ascii="宋体" w:hAnsi="宋体" w:eastAsia="宋体" w:cs="宋体"/>
                <w:spacing w:val="7"/>
                <w:sz w:val="20"/>
                <w:szCs w:val="20"/>
              </w:rPr>
              <w:t>光</w:t>
            </w:r>
            <w:r>
              <w:rPr>
                <w:rFonts w:ascii="宋体" w:hAnsi="宋体" w:eastAsia="宋体" w:cs="宋体"/>
                <w:sz w:val="20"/>
                <w:szCs w:val="20"/>
              </w:rPr>
              <w:t xml:space="preserve"> </w:t>
            </w:r>
            <w:r>
              <w:rPr>
                <w:rFonts w:ascii="宋体" w:hAnsi="宋体" w:eastAsia="宋体" w:cs="宋体"/>
                <w:spacing w:val="-2"/>
                <w:sz w:val="20"/>
                <w:szCs w:val="20"/>
              </w:rPr>
              <w:t xml:space="preserve">度计 </w:t>
            </w:r>
            <w:r>
              <w:rPr>
                <w:rFonts w:ascii="Times New Roman" w:hAnsi="Times New Roman" w:eastAsia="Times New Roman" w:cs="Times New Roman"/>
                <w:spacing w:val="-1"/>
                <w:sz w:val="20"/>
                <w:szCs w:val="20"/>
              </w:rPr>
              <w:t>FX-02</w:t>
            </w:r>
          </w:p>
        </w:tc>
        <w:tc>
          <w:tcPr>
            <w:tcW w:w="1056" w:type="dxa"/>
            <w:tcBorders>
              <w:right w:val="nil"/>
            </w:tcBorders>
            <w:vAlign w:val="top"/>
          </w:tcPr>
          <w:p w14:paraId="6130D480">
            <w:pPr>
              <w:spacing w:before="172" w:line="281" w:lineRule="exact"/>
              <w:ind w:left="80"/>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0</w:t>
            </w:r>
            <w:r>
              <w:rPr>
                <w:rFonts w:ascii="Times New Roman" w:hAnsi="Times New Roman" w:eastAsia="Times New Roman" w:cs="Times New Roman"/>
                <w:spacing w:val="6"/>
                <w:position w:val="2"/>
                <w:sz w:val="20"/>
                <w:szCs w:val="20"/>
              </w:rPr>
              <w:t>.01</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kg</w:t>
            </w:r>
          </w:p>
        </w:tc>
      </w:tr>
      <w:tr w14:paraId="0DC6FD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46" w:type="dxa"/>
            <w:tcBorders>
              <w:left w:val="nil"/>
            </w:tcBorders>
            <w:vAlign w:val="top"/>
          </w:tcPr>
          <w:p w14:paraId="40EAF309">
            <w:pPr>
              <w:spacing w:before="245" w:line="195"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650" w:type="dxa"/>
            <w:vAlign w:val="top"/>
          </w:tcPr>
          <w:p w14:paraId="37A9F631">
            <w:pPr>
              <w:spacing w:before="171" w:line="281" w:lineRule="exact"/>
              <w:ind w:left="446"/>
              <w:rPr>
                <w:rFonts w:ascii="Times New Roman" w:hAnsi="Times New Roman" w:eastAsia="Times New Roman" w:cs="Times New Roman"/>
                <w:sz w:val="20"/>
                <w:szCs w:val="20"/>
              </w:rPr>
            </w:pPr>
            <w:r>
              <w:rPr>
                <w:rFonts w:ascii="宋体" w:hAnsi="宋体" w:eastAsia="宋体" w:cs="宋体"/>
                <w:spacing w:val="7"/>
                <w:position w:val="2"/>
                <w:sz w:val="20"/>
                <w:szCs w:val="20"/>
              </w:rPr>
              <w:t>铬</w:t>
            </w:r>
            <w:r>
              <w:rPr>
                <w:rFonts w:ascii="Times New Roman" w:hAnsi="Times New Roman" w:eastAsia="Times New Roman" w:cs="Times New Roman"/>
                <w:spacing w:val="5"/>
                <w:position w:val="2"/>
                <w:sz w:val="20"/>
                <w:szCs w:val="20"/>
              </w:rPr>
              <w:t>(</w:t>
            </w:r>
            <w:r>
              <w:rPr>
                <w:rFonts w:ascii="宋体" w:hAnsi="宋体" w:eastAsia="宋体" w:cs="宋体"/>
                <w:spacing w:val="5"/>
                <w:position w:val="2"/>
                <w:sz w:val="20"/>
                <w:szCs w:val="20"/>
              </w:rPr>
              <w:t>六价</w:t>
            </w:r>
            <w:r>
              <w:rPr>
                <w:rFonts w:ascii="Times New Roman" w:hAnsi="Times New Roman" w:eastAsia="Times New Roman" w:cs="Times New Roman"/>
                <w:spacing w:val="5"/>
                <w:position w:val="2"/>
                <w:sz w:val="20"/>
                <w:szCs w:val="20"/>
              </w:rPr>
              <w:t>)</w:t>
            </w:r>
          </w:p>
        </w:tc>
        <w:tc>
          <w:tcPr>
            <w:tcW w:w="3420" w:type="dxa"/>
            <w:vAlign w:val="top"/>
          </w:tcPr>
          <w:p w14:paraId="28FDAC20">
            <w:pPr>
              <w:spacing w:before="16" w:line="275" w:lineRule="auto"/>
              <w:ind w:left="206" w:right="53" w:hanging="131"/>
              <w:rPr>
                <w:rFonts w:ascii="Times New Roman" w:hAnsi="Times New Roman" w:eastAsia="Times New Roman" w:cs="Times New Roman"/>
                <w:sz w:val="20"/>
                <w:szCs w:val="20"/>
              </w:rPr>
            </w:pPr>
            <w:r>
              <w:rPr>
                <w:rFonts w:ascii="宋体" w:hAnsi="宋体" w:eastAsia="宋体" w:cs="宋体"/>
                <w:spacing w:val="14"/>
                <w:sz w:val="20"/>
                <w:szCs w:val="20"/>
              </w:rPr>
              <w:t>固</w:t>
            </w:r>
            <w:r>
              <w:rPr>
                <w:rFonts w:ascii="宋体" w:hAnsi="宋体" w:eastAsia="宋体" w:cs="宋体"/>
                <w:spacing w:val="11"/>
                <w:sz w:val="20"/>
                <w:szCs w:val="20"/>
              </w:rPr>
              <w:t>体</w:t>
            </w:r>
            <w:r>
              <w:rPr>
                <w:rFonts w:ascii="宋体" w:hAnsi="宋体" w:eastAsia="宋体" w:cs="宋体"/>
                <w:spacing w:val="7"/>
                <w:sz w:val="20"/>
                <w:szCs w:val="20"/>
              </w:rPr>
              <w:t>废物 六价铬的测定碱消解</w:t>
            </w:r>
            <w:r>
              <w:rPr>
                <w:rFonts w:ascii="Times New Roman" w:hAnsi="Times New Roman" w:eastAsia="Times New Roman" w:cs="Times New Roman"/>
                <w:spacing w:val="7"/>
                <w:sz w:val="20"/>
                <w:szCs w:val="20"/>
              </w:rPr>
              <w:t>/</w:t>
            </w:r>
            <w:r>
              <w:rPr>
                <w:rFonts w:ascii="宋体" w:hAnsi="宋体" w:eastAsia="宋体" w:cs="宋体"/>
                <w:spacing w:val="7"/>
                <w:sz w:val="20"/>
                <w:szCs w:val="20"/>
              </w:rPr>
              <w:t>火焰</w:t>
            </w:r>
            <w:r>
              <w:rPr>
                <w:rFonts w:ascii="宋体" w:hAnsi="宋体" w:eastAsia="宋体" w:cs="宋体"/>
                <w:sz w:val="20"/>
                <w:szCs w:val="20"/>
              </w:rPr>
              <w:t xml:space="preserve"> </w:t>
            </w:r>
            <w:r>
              <w:rPr>
                <w:rFonts w:ascii="宋体" w:hAnsi="宋体" w:eastAsia="宋体" w:cs="宋体"/>
                <w:spacing w:val="8"/>
                <w:sz w:val="20"/>
                <w:szCs w:val="20"/>
              </w:rPr>
              <w:t>原</w:t>
            </w:r>
            <w:r>
              <w:rPr>
                <w:rFonts w:ascii="宋体" w:hAnsi="宋体" w:eastAsia="宋体" w:cs="宋体"/>
                <w:spacing w:val="4"/>
                <w:sz w:val="20"/>
                <w:szCs w:val="20"/>
              </w:rPr>
              <w:t xml:space="preserve">子吸收分光光度法 </w:t>
            </w:r>
            <w:r>
              <w:rPr>
                <w:rFonts w:ascii="Times New Roman" w:hAnsi="Times New Roman" w:eastAsia="Times New Roman" w:cs="Times New Roman"/>
                <w:sz w:val="20"/>
                <w:szCs w:val="20"/>
              </w:rPr>
              <w:t>HJ</w:t>
            </w:r>
            <w:r>
              <w:rPr>
                <w:rFonts w:ascii="Times New Roman" w:hAnsi="Times New Roman" w:eastAsia="Times New Roman" w:cs="Times New Roman"/>
                <w:spacing w:val="4"/>
                <w:sz w:val="20"/>
                <w:szCs w:val="20"/>
              </w:rPr>
              <w:t xml:space="preserve"> 687-2014</w:t>
            </w:r>
          </w:p>
        </w:tc>
        <w:tc>
          <w:tcPr>
            <w:tcW w:w="1680" w:type="dxa"/>
            <w:vAlign w:val="top"/>
          </w:tcPr>
          <w:p w14:paraId="5E193336">
            <w:pPr>
              <w:spacing w:before="53" w:line="258" w:lineRule="auto"/>
              <w:ind w:left="334" w:right="103" w:hanging="219"/>
              <w:rPr>
                <w:rFonts w:ascii="Times New Roman" w:hAnsi="Times New Roman" w:eastAsia="Times New Roman" w:cs="Times New Roman"/>
                <w:sz w:val="20"/>
                <w:szCs w:val="20"/>
              </w:rPr>
            </w:pPr>
            <w:r>
              <w:rPr>
                <w:rFonts w:ascii="宋体" w:hAnsi="宋体" w:eastAsia="宋体" w:cs="宋体"/>
                <w:spacing w:val="8"/>
                <w:sz w:val="20"/>
                <w:szCs w:val="20"/>
              </w:rPr>
              <w:t>原子吸收分光</w:t>
            </w:r>
            <w:r>
              <w:rPr>
                <w:rFonts w:ascii="宋体" w:hAnsi="宋体" w:eastAsia="宋体" w:cs="宋体"/>
                <w:spacing w:val="7"/>
                <w:sz w:val="20"/>
                <w:szCs w:val="20"/>
              </w:rPr>
              <w:t>光</w:t>
            </w:r>
            <w:r>
              <w:rPr>
                <w:rFonts w:ascii="宋体" w:hAnsi="宋体" w:eastAsia="宋体" w:cs="宋体"/>
                <w:sz w:val="20"/>
                <w:szCs w:val="20"/>
              </w:rPr>
              <w:t xml:space="preserve"> </w:t>
            </w:r>
            <w:r>
              <w:rPr>
                <w:rFonts w:ascii="宋体" w:hAnsi="宋体" w:eastAsia="宋体" w:cs="宋体"/>
                <w:spacing w:val="-2"/>
                <w:sz w:val="20"/>
                <w:szCs w:val="20"/>
              </w:rPr>
              <w:t xml:space="preserve">度计 </w:t>
            </w:r>
            <w:r>
              <w:rPr>
                <w:rFonts w:ascii="Times New Roman" w:hAnsi="Times New Roman" w:eastAsia="Times New Roman" w:cs="Times New Roman"/>
                <w:spacing w:val="-1"/>
                <w:sz w:val="20"/>
                <w:szCs w:val="20"/>
              </w:rPr>
              <w:t>FX-02</w:t>
            </w:r>
          </w:p>
        </w:tc>
        <w:tc>
          <w:tcPr>
            <w:tcW w:w="1056" w:type="dxa"/>
            <w:tcBorders>
              <w:right w:val="nil"/>
            </w:tcBorders>
            <w:vAlign w:val="top"/>
          </w:tcPr>
          <w:p w14:paraId="78FC42CF">
            <w:pPr>
              <w:spacing w:before="171" w:line="281" w:lineRule="exact"/>
              <w:ind w:left="209"/>
              <w:rPr>
                <w:rFonts w:ascii="Times New Roman" w:hAnsi="Times New Roman" w:eastAsia="Times New Roman" w:cs="Times New Roman"/>
                <w:sz w:val="20"/>
                <w:szCs w:val="20"/>
              </w:rPr>
            </w:pPr>
            <w:r>
              <w:rPr>
                <w:rFonts w:ascii="Times New Roman" w:hAnsi="Times New Roman" w:eastAsia="Times New Roman" w:cs="Times New Roman"/>
                <w:spacing w:val="12"/>
                <w:position w:val="4"/>
                <w:sz w:val="20"/>
                <w:szCs w:val="20"/>
              </w:rPr>
              <w:t>2</w:t>
            </w:r>
            <w:r>
              <w:rPr>
                <w:rFonts w:ascii="Times New Roman" w:hAnsi="Times New Roman" w:eastAsia="Times New Roman" w:cs="Times New Roman"/>
                <w:position w:val="4"/>
                <w:sz w:val="20"/>
                <w:szCs w:val="20"/>
              </w:rPr>
              <w:t>mg</w:t>
            </w:r>
            <w:r>
              <w:rPr>
                <w:rFonts w:ascii="Times New Roman" w:hAnsi="Times New Roman" w:eastAsia="Times New Roman" w:cs="Times New Roman"/>
                <w:spacing w:val="12"/>
                <w:position w:val="4"/>
                <w:sz w:val="20"/>
                <w:szCs w:val="20"/>
              </w:rPr>
              <w:t>/</w:t>
            </w:r>
            <w:r>
              <w:rPr>
                <w:rFonts w:ascii="Times New Roman" w:hAnsi="Times New Roman" w:eastAsia="Times New Roman" w:cs="Times New Roman"/>
                <w:position w:val="4"/>
                <w:sz w:val="20"/>
                <w:szCs w:val="20"/>
              </w:rPr>
              <w:t>kg</w:t>
            </w:r>
          </w:p>
        </w:tc>
      </w:tr>
      <w:tr w14:paraId="64CD14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46" w:type="dxa"/>
            <w:tcBorders>
              <w:left w:val="nil"/>
            </w:tcBorders>
            <w:vAlign w:val="top"/>
          </w:tcPr>
          <w:p w14:paraId="4EFB7040">
            <w:pPr>
              <w:spacing w:before="248" w:line="192" w:lineRule="auto"/>
              <w:ind w:left="229"/>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650" w:type="dxa"/>
            <w:vAlign w:val="top"/>
          </w:tcPr>
          <w:p w14:paraId="285062BC">
            <w:pPr>
              <w:spacing w:before="210" w:line="229" w:lineRule="auto"/>
              <w:ind w:left="725"/>
              <w:rPr>
                <w:rFonts w:ascii="宋体" w:hAnsi="宋体" w:eastAsia="宋体" w:cs="宋体"/>
                <w:sz w:val="20"/>
                <w:szCs w:val="20"/>
              </w:rPr>
            </w:pPr>
            <w:r>
              <w:rPr>
                <w:rFonts w:ascii="宋体" w:hAnsi="宋体" w:eastAsia="宋体" w:cs="宋体"/>
                <w:sz w:val="20"/>
                <w:szCs w:val="20"/>
              </w:rPr>
              <w:t>铜</w:t>
            </w:r>
          </w:p>
        </w:tc>
        <w:tc>
          <w:tcPr>
            <w:tcW w:w="3420" w:type="dxa"/>
            <w:vAlign w:val="top"/>
          </w:tcPr>
          <w:p w14:paraId="2736E7A2">
            <w:pPr>
              <w:spacing w:before="53" w:line="265" w:lineRule="auto"/>
              <w:ind w:left="270" w:right="29" w:hanging="234"/>
              <w:rPr>
                <w:rFonts w:ascii="Times New Roman" w:hAnsi="Times New Roman" w:eastAsia="Times New Roman" w:cs="Times New Roman"/>
                <w:sz w:val="20"/>
                <w:szCs w:val="20"/>
              </w:rPr>
            </w:pPr>
            <w:r>
              <w:rPr>
                <w:rFonts w:ascii="宋体" w:hAnsi="宋体" w:eastAsia="宋体" w:cs="宋体"/>
                <w:spacing w:val="16"/>
                <w:sz w:val="20"/>
                <w:szCs w:val="20"/>
              </w:rPr>
              <w:t>土</w:t>
            </w:r>
            <w:r>
              <w:rPr>
                <w:rFonts w:ascii="宋体" w:hAnsi="宋体" w:eastAsia="宋体" w:cs="宋体"/>
                <w:spacing w:val="12"/>
                <w:sz w:val="20"/>
                <w:szCs w:val="20"/>
              </w:rPr>
              <w:t>壤</w:t>
            </w:r>
            <w:r>
              <w:rPr>
                <w:rFonts w:ascii="宋体" w:hAnsi="宋体" w:eastAsia="宋体" w:cs="宋体"/>
                <w:spacing w:val="8"/>
                <w:sz w:val="20"/>
                <w:szCs w:val="20"/>
              </w:rPr>
              <w:t>质量 铜、锌的测定 火焰原子吸</w:t>
            </w:r>
            <w:r>
              <w:rPr>
                <w:rFonts w:ascii="宋体" w:hAnsi="宋体" w:eastAsia="宋体" w:cs="宋体"/>
                <w:sz w:val="20"/>
                <w:szCs w:val="20"/>
              </w:rPr>
              <w:t xml:space="preserve"> </w:t>
            </w:r>
            <w:r>
              <w:rPr>
                <w:rFonts w:ascii="宋体" w:hAnsi="宋体" w:eastAsia="宋体" w:cs="宋体"/>
                <w:spacing w:val="6"/>
                <w:sz w:val="20"/>
                <w:szCs w:val="20"/>
              </w:rPr>
              <w:t>收分</w:t>
            </w:r>
            <w:r>
              <w:rPr>
                <w:rFonts w:ascii="宋体" w:hAnsi="宋体" w:eastAsia="宋体" w:cs="宋体"/>
                <w:spacing w:val="4"/>
                <w:sz w:val="20"/>
                <w:szCs w:val="20"/>
              </w:rPr>
              <w:t>光</w:t>
            </w:r>
            <w:r>
              <w:rPr>
                <w:rFonts w:ascii="宋体" w:hAnsi="宋体" w:eastAsia="宋体" w:cs="宋体"/>
                <w:spacing w:val="3"/>
                <w:sz w:val="20"/>
                <w:szCs w:val="20"/>
              </w:rPr>
              <w:t xml:space="preserve">光度法 </w:t>
            </w:r>
            <w:r>
              <w:rPr>
                <w:rFonts w:ascii="Times New Roman" w:hAnsi="Times New Roman" w:eastAsia="Times New Roman" w:cs="Times New Roman"/>
                <w:sz w:val="20"/>
                <w:szCs w:val="20"/>
              </w:rPr>
              <w:t>GB</w:t>
            </w:r>
            <w:r>
              <w:rPr>
                <w:rFonts w:ascii="Times New Roman" w:hAnsi="Times New Roman" w:eastAsia="Times New Roman" w:cs="Times New Roman"/>
                <w:spacing w:val="3"/>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3"/>
                <w:sz w:val="20"/>
                <w:szCs w:val="20"/>
              </w:rPr>
              <w:t xml:space="preserve"> 17138- 1997</w:t>
            </w:r>
          </w:p>
        </w:tc>
        <w:tc>
          <w:tcPr>
            <w:tcW w:w="1680" w:type="dxa"/>
            <w:vAlign w:val="top"/>
          </w:tcPr>
          <w:p w14:paraId="7CF0C957">
            <w:pPr>
              <w:spacing w:before="54" w:line="258" w:lineRule="auto"/>
              <w:ind w:left="334" w:right="103" w:hanging="219"/>
              <w:rPr>
                <w:rFonts w:ascii="Times New Roman" w:hAnsi="Times New Roman" w:eastAsia="Times New Roman" w:cs="Times New Roman"/>
                <w:sz w:val="20"/>
                <w:szCs w:val="20"/>
              </w:rPr>
            </w:pPr>
            <w:r>
              <w:rPr>
                <w:rFonts w:ascii="宋体" w:hAnsi="宋体" w:eastAsia="宋体" w:cs="宋体"/>
                <w:spacing w:val="8"/>
                <w:sz w:val="20"/>
                <w:szCs w:val="20"/>
              </w:rPr>
              <w:t>原子吸收分光</w:t>
            </w:r>
            <w:r>
              <w:rPr>
                <w:rFonts w:ascii="宋体" w:hAnsi="宋体" w:eastAsia="宋体" w:cs="宋体"/>
                <w:spacing w:val="7"/>
                <w:sz w:val="20"/>
                <w:szCs w:val="20"/>
              </w:rPr>
              <w:t>光</w:t>
            </w:r>
            <w:r>
              <w:rPr>
                <w:rFonts w:ascii="宋体" w:hAnsi="宋体" w:eastAsia="宋体" w:cs="宋体"/>
                <w:sz w:val="20"/>
                <w:szCs w:val="20"/>
              </w:rPr>
              <w:t xml:space="preserve"> </w:t>
            </w:r>
            <w:r>
              <w:rPr>
                <w:rFonts w:ascii="宋体" w:hAnsi="宋体" w:eastAsia="宋体" w:cs="宋体"/>
                <w:spacing w:val="-2"/>
                <w:sz w:val="20"/>
                <w:szCs w:val="20"/>
              </w:rPr>
              <w:t xml:space="preserve">度计 </w:t>
            </w:r>
            <w:r>
              <w:rPr>
                <w:rFonts w:ascii="Times New Roman" w:hAnsi="Times New Roman" w:eastAsia="Times New Roman" w:cs="Times New Roman"/>
                <w:spacing w:val="-1"/>
                <w:sz w:val="20"/>
                <w:szCs w:val="20"/>
              </w:rPr>
              <w:t>FX-02</w:t>
            </w:r>
          </w:p>
        </w:tc>
        <w:tc>
          <w:tcPr>
            <w:tcW w:w="1056" w:type="dxa"/>
            <w:tcBorders>
              <w:right w:val="nil"/>
            </w:tcBorders>
            <w:vAlign w:val="top"/>
          </w:tcPr>
          <w:p w14:paraId="1352C86C">
            <w:pPr>
              <w:spacing w:before="172" w:line="281" w:lineRule="exact"/>
              <w:ind w:left="229"/>
              <w:rPr>
                <w:rFonts w:ascii="Times New Roman" w:hAnsi="Times New Roman" w:eastAsia="Times New Roman" w:cs="Times New Roman"/>
                <w:sz w:val="20"/>
                <w:szCs w:val="20"/>
              </w:rPr>
            </w:pPr>
            <w:r>
              <w:rPr>
                <w:rFonts w:ascii="Times New Roman" w:hAnsi="Times New Roman" w:eastAsia="Times New Roman" w:cs="Times New Roman"/>
                <w:spacing w:val="2"/>
                <w:position w:val="4"/>
                <w:sz w:val="20"/>
                <w:szCs w:val="20"/>
              </w:rPr>
              <w:t>1</w:t>
            </w:r>
            <w:r>
              <w:rPr>
                <w:rFonts w:ascii="Times New Roman" w:hAnsi="Times New Roman" w:eastAsia="Times New Roman" w:cs="Times New Roman"/>
                <w:position w:val="4"/>
                <w:sz w:val="20"/>
                <w:szCs w:val="20"/>
              </w:rPr>
              <w:t>mg</w:t>
            </w:r>
            <w:r>
              <w:rPr>
                <w:rFonts w:ascii="Times New Roman" w:hAnsi="Times New Roman" w:eastAsia="Times New Roman" w:cs="Times New Roman"/>
                <w:spacing w:val="2"/>
                <w:position w:val="4"/>
                <w:sz w:val="20"/>
                <w:szCs w:val="20"/>
              </w:rPr>
              <w:t>/</w:t>
            </w:r>
            <w:r>
              <w:rPr>
                <w:rFonts w:ascii="Times New Roman" w:hAnsi="Times New Roman" w:eastAsia="Times New Roman" w:cs="Times New Roman"/>
                <w:position w:val="4"/>
                <w:sz w:val="20"/>
                <w:szCs w:val="20"/>
              </w:rPr>
              <w:t>kg</w:t>
            </w:r>
          </w:p>
        </w:tc>
      </w:tr>
      <w:tr w14:paraId="19FD5E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46" w:type="dxa"/>
            <w:tcBorders>
              <w:left w:val="nil"/>
            </w:tcBorders>
            <w:vAlign w:val="top"/>
          </w:tcPr>
          <w:p w14:paraId="3E358F4B">
            <w:pPr>
              <w:spacing w:before="246" w:line="195" w:lineRule="auto"/>
              <w:ind w:left="228"/>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650" w:type="dxa"/>
            <w:vAlign w:val="top"/>
          </w:tcPr>
          <w:p w14:paraId="3F9593D0">
            <w:pPr>
              <w:spacing w:before="210" w:line="232" w:lineRule="auto"/>
              <w:ind w:left="725"/>
              <w:rPr>
                <w:rFonts w:ascii="宋体" w:hAnsi="宋体" w:eastAsia="宋体" w:cs="宋体"/>
                <w:sz w:val="20"/>
                <w:szCs w:val="20"/>
              </w:rPr>
            </w:pPr>
            <w:r>
              <w:rPr>
                <w:rFonts w:ascii="宋体" w:hAnsi="宋体" w:eastAsia="宋体" w:cs="宋体"/>
                <w:sz w:val="20"/>
                <w:szCs w:val="20"/>
              </w:rPr>
              <w:t>铅</w:t>
            </w:r>
          </w:p>
        </w:tc>
        <w:tc>
          <w:tcPr>
            <w:tcW w:w="3420" w:type="dxa"/>
            <w:vAlign w:val="top"/>
          </w:tcPr>
          <w:p w14:paraId="42C00FB9">
            <w:pPr>
              <w:spacing w:before="53" w:line="265" w:lineRule="auto"/>
              <w:ind w:left="192" w:right="29" w:hanging="156"/>
              <w:rPr>
                <w:rFonts w:ascii="Times New Roman" w:hAnsi="Times New Roman" w:eastAsia="Times New Roman" w:cs="Times New Roman"/>
                <w:sz w:val="20"/>
                <w:szCs w:val="20"/>
              </w:rPr>
            </w:pPr>
            <w:r>
              <w:rPr>
                <w:rFonts w:ascii="宋体" w:hAnsi="宋体" w:eastAsia="宋体" w:cs="宋体"/>
                <w:spacing w:val="16"/>
                <w:sz w:val="20"/>
                <w:szCs w:val="20"/>
              </w:rPr>
              <w:t>土</w:t>
            </w:r>
            <w:r>
              <w:rPr>
                <w:rFonts w:ascii="宋体" w:hAnsi="宋体" w:eastAsia="宋体" w:cs="宋体"/>
                <w:spacing w:val="12"/>
                <w:sz w:val="20"/>
                <w:szCs w:val="20"/>
              </w:rPr>
              <w:t>壤</w:t>
            </w:r>
            <w:r>
              <w:rPr>
                <w:rFonts w:ascii="宋体" w:hAnsi="宋体" w:eastAsia="宋体" w:cs="宋体"/>
                <w:spacing w:val="8"/>
                <w:sz w:val="20"/>
                <w:szCs w:val="20"/>
              </w:rPr>
              <w:t>质量 铅、镉的测定 石墨炉原子</w:t>
            </w:r>
            <w:r>
              <w:rPr>
                <w:rFonts w:ascii="宋体" w:hAnsi="宋体" w:eastAsia="宋体" w:cs="宋体"/>
                <w:sz w:val="20"/>
                <w:szCs w:val="20"/>
              </w:rPr>
              <w:t xml:space="preserve"> </w:t>
            </w:r>
            <w:r>
              <w:rPr>
                <w:rFonts w:ascii="宋体" w:hAnsi="宋体" w:eastAsia="宋体" w:cs="宋体"/>
                <w:spacing w:val="2"/>
                <w:sz w:val="20"/>
                <w:szCs w:val="20"/>
              </w:rPr>
              <w:t>吸收分光</w:t>
            </w:r>
            <w:r>
              <w:rPr>
                <w:rFonts w:ascii="宋体" w:hAnsi="宋体" w:eastAsia="宋体" w:cs="宋体"/>
                <w:spacing w:val="1"/>
                <w:sz w:val="20"/>
                <w:szCs w:val="20"/>
              </w:rPr>
              <w:t xml:space="preserve">光度法 </w:t>
            </w:r>
            <w:r>
              <w:rPr>
                <w:rFonts w:ascii="Times New Roman" w:hAnsi="Times New Roman" w:eastAsia="Times New Roman" w:cs="Times New Roman"/>
                <w:sz w:val="20"/>
                <w:szCs w:val="20"/>
              </w:rPr>
              <w:t>GB</w:t>
            </w:r>
            <w:r>
              <w:rPr>
                <w:rFonts w:ascii="Times New Roman" w:hAnsi="Times New Roman" w:eastAsia="Times New Roman" w:cs="Times New Roman"/>
                <w:spacing w:val="1"/>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1"/>
                <w:sz w:val="20"/>
                <w:szCs w:val="20"/>
              </w:rPr>
              <w:t xml:space="preserve"> 17141- 1997</w:t>
            </w:r>
          </w:p>
        </w:tc>
        <w:tc>
          <w:tcPr>
            <w:tcW w:w="1680" w:type="dxa"/>
            <w:vAlign w:val="top"/>
          </w:tcPr>
          <w:p w14:paraId="723ABC0D">
            <w:pPr>
              <w:spacing w:before="55" w:line="258" w:lineRule="auto"/>
              <w:ind w:left="334" w:right="103" w:hanging="219"/>
              <w:rPr>
                <w:rFonts w:ascii="Times New Roman" w:hAnsi="Times New Roman" w:eastAsia="Times New Roman" w:cs="Times New Roman"/>
                <w:sz w:val="20"/>
                <w:szCs w:val="20"/>
              </w:rPr>
            </w:pPr>
            <w:r>
              <w:rPr>
                <w:rFonts w:ascii="宋体" w:hAnsi="宋体" w:eastAsia="宋体" w:cs="宋体"/>
                <w:spacing w:val="8"/>
                <w:sz w:val="20"/>
                <w:szCs w:val="20"/>
              </w:rPr>
              <w:t>原子吸收分光</w:t>
            </w:r>
            <w:r>
              <w:rPr>
                <w:rFonts w:ascii="宋体" w:hAnsi="宋体" w:eastAsia="宋体" w:cs="宋体"/>
                <w:spacing w:val="7"/>
                <w:sz w:val="20"/>
                <w:szCs w:val="20"/>
              </w:rPr>
              <w:t>光</w:t>
            </w:r>
            <w:r>
              <w:rPr>
                <w:rFonts w:ascii="宋体" w:hAnsi="宋体" w:eastAsia="宋体" w:cs="宋体"/>
                <w:sz w:val="20"/>
                <w:szCs w:val="20"/>
              </w:rPr>
              <w:t xml:space="preserve"> </w:t>
            </w:r>
            <w:r>
              <w:rPr>
                <w:rFonts w:ascii="宋体" w:hAnsi="宋体" w:eastAsia="宋体" w:cs="宋体"/>
                <w:spacing w:val="-2"/>
                <w:sz w:val="20"/>
                <w:szCs w:val="20"/>
              </w:rPr>
              <w:t xml:space="preserve">度计 </w:t>
            </w:r>
            <w:r>
              <w:rPr>
                <w:rFonts w:ascii="Times New Roman" w:hAnsi="Times New Roman" w:eastAsia="Times New Roman" w:cs="Times New Roman"/>
                <w:spacing w:val="-1"/>
                <w:sz w:val="20"/>
                <w:szCs w:val="20"/>
              </w:rPr>
              <w:t>FX-02</w:t>
            </w:r>
          </w:p>
        </w:tc>
        <w:tc>
          <w:tcPr>
            <w:tcW w:w="1056" w:type="dxa"/>
            <w:tcBorders>
              <w:right w:val="nil"/>
            </w:tcBorders>
            <w:vAlign w:val="top"/>
          </w:tcPr>
          <w:p w14:paraId="4EEFAE68">
            <w:pPr>
              <w:spacing w:before="173" w:line="281" w:lineRule="exact"/>
              <w:ind w:left="133"/>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0</w:t>
            </w:r>
            <w:r>
              <w:rPr>
                <w:rFonts w:ascii="Times New Roman" w:hAnsi="Times New Roman" w:eastAsia="Times New Roman" w:cs="Times New Roman"/>
                <w:spacing w:val="-3"/>
                <w:position w:val="4"/>
                <w:sz w:val="20"/>
                <w:szCs w:val="20"/>
              </w:rPr>
              <w:t>.</w:t>
            </w:r>
            <w:r>
              <w:rPr>
                <w:rFonts w:ascii="Times New Roman" w:hAnsi="Times New Roman" w:eastAsia="Times New Roman" w:cs="Times New Roman"/>
                <w:spacing w:val="-2"/>
                <w:position w:val="4"/>
                <w:sz w:val="20"/>
                <w:szCs w:val="20"/>
              </w:rPr>
              <w:t xml:space="preserve"> 1mg/kg</w:t>
            </w:r>
          </w:p>
        </w:tc>
      </w:tr>
      <w:tr w14:paraId="2C19EB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546" w:type="dxa"/>
            <w:tcBorders>
              <w:left w:val="nil"/>
            </w:tcBorders>
            <w:vAlign w:val="top"/>
          </w:tcPr>
          <w:p w14:paraId="4554A1B4">
            <w:pPr>
              <w:spacing w:line="346" w:lineRule="auto"/>
              <w:rPr>
                <w:rFonts w:ascii="Arial"/>
                <w:sz w:val="21"/>
              </w:rPr>
            </w:pPr>
          </w:p>
          <w:p w14:paraId="16981A1A">
            <w:pPr>
              <w:spacing w:before="57" w:line="192" w:lineRule="auto"/>
              <w:ind w:left="227"/>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650" w:type="dxa"/>
            <w:vAlign w:val="top"/>
          </w:tcPr>
          <w:p w14:paraId="38A9361D">
            <w:pPr>
              <w:spacing w:line="300" w:lineRule="auto"/>
              <w:rPr>
                <w:rFonts w:ascii="Arial"/>
                <w:sz w:val="21"/>
              </w:rPr>
            </w:pPr>
          </w:p>
          <w:p w14:paraId="3059A889">
            <w:pPr>
              <w:spacing w:before="65" w:line="228" w:lineRule="auto"/>
              <w:ind w:left="726"/>
              <w:rPr>
                <w:rFonts w:ascii="宋体" w:hAnsi="宋体" w:eastAsia="宋体" w:cs="宋体"/>
                <w:sz w:val="20"/>
                <w:szCs w:val="20"/>
              </w:rPr>
            </w:pPr>
            <w:r>
              <w:rPr>
                <w:rFonts w:ascii="宋体" w:hAnsi="宋体" w:eastAsia="宋体" w:cs="宋体"/>
                <w:sz w:val="20"/>
                <w:szCs w:val="20"/>
              </w:rPr>
              <w:t>汞</w:t>
            </w:r>
          </w:p>
        </w:tc>
        <w:tc>
          <w:tcPr>
            <w:tcW w:w="3420" w:type="dxa"/>
            <w:vAlign w:val="top"/>
          </w:tcPr>
          <w:p w14:paraId="2A6DA401">
            <w:pPr>
              <w:spacing w:before="55" w:line="228" w:lineRule="auto"/>
              <w:ind w:left="29"/>
              <w:rPr>
                <w:rFonts w:ascii="宋体" w:hAnsi="宋体" w:eastAsia="宋体" w:cs="宋体"/>
                <w:sz w:val="20"/>
                <w:szCs w:val="20"/>
              </w:rPr>
            </w:pPr>
            <w:r>
              <w:rPr>
                <w:rFonts w:ascii="宋体" w:hAnsi="宋体" w:eastAsia="宋体" w:cs="宋体"/>
                <w:spacing w:val="-2"/>
                <w:sz w:val="20"/>
                <w:szCs w:val="20"/>
              </w:rPr>
              <w:t>土壤质量 总汞、总砷、总铅的测定</w:t>
            </w:r>
            <w:r>
              <w:rPr>
                <w:rFonts w:ascii="宋体" w:hAnsi="宋体" w:eastAsia="宋体" w:cs="宋体"/>
                <w:spacing w:val="-1"/>
                <w:sz w:val="20"/>
                <w:szCs w:val="20"/>
              </w:rPr>
              <w:t xml:space="preserve"> </w:t>
            </w:r>
            <w:r>
              <w:rPr>
                <w:rFonts w:ascii="宋体" w:hAnsi="宋体" w:eastAsia="宋体" w:cs="宋体"/>
                <w:sz w:val="20"/>
                <w:szCs w:val="20"/>
              </w:rPr>
              <w:t>原</w:t>
            </w:r>
          </w:p>
          <w:p w14:paraId="410EF336">
            <w:pPr>
              <w:spacing w:before="64" w:line="228" w:lineRule="auto"/>
              <w:ind w:left="29"/>
              <w:rPr>
                <w:rFonts w:ascii="宋体" w:hAnsi="宋体" w:eastAsia="宋体" w:cs="宋体"/>
                <w:sz w:val="20"/>
                <w:szCs w:val="20"/>
              </w:rPr>
            </w:pPr>
            <w:r>
              <w:rPr>
                <w:rFonts w:ascii="宋体" w:hAnsi="宋体" w:eastAsia="宋体" w:cs="宋体"/>
                <w:spacing w:val="6"/>
                <w:sz w:val="20"/>
                <w:szCs w:val="20"/>
              </w:rPr>
              <w:t>子荧</w:t>
            </w:r>
            <w:r>
              <w:rPr>
                <w:rFonts w:ascii="宋体" w:hAnsi="宋体" w:eastAsia="宋体" w:cs="宋体"/>
                <w:spacing w:val="3"/>
                <w:sz w:val="20"/>
                <w:szCs w:val="20"/>
              </w:rPr>
              <w:t xml:space="preserve">光法，第 </w:t>
            </w:r>
            <w:r>
              <w:rPr>
                <w:rFonts w:ascii="Times New Roman" w:hAnsi="Times New Roman" w:eastAsia="Times New Roman" w:cs="Times New Roman"/>
                <w:spacing w:val="3"/>
                <w:sz w:val="20"/>
                <w:szCs w:val="20"/>
              </w:rPr>
              <w:t xml:space="preserve">1  </w:t>
            </w:r>
            <w:r>
              <w:rPr>
                <w:rFonts w:ascii="宋体" w:hAnsi="宋体" w:eastAsia="宋体" w:cs="宋体"/>
                <w:spacing w:val="3"/>
                <w:sz w:val="20"/>
                <w:szCs w:val="20"/>
              </w:rPr>
              <w:t>部分：土壤中总汞的</w:t>
            </w:r>
          </w:p>
          <w:p w14:paraId="3857B877">
            <w:pPr>
              <w:spacing w:before="27" w:line="281" w:lineRule="exact"/>
              <w:ind w:left="605"/>
              <w:rPr>
                <w:rFonts w:ascii="Times New Roman" w:hAnsi="Times New Roman" w:eastAsia="Times New Roman" w:cs="Times New Roman"/>
                <w:sz w:val="20"/>
                <w:szCs w:val="20"/>
              </w:rPr>
            </w:pPr>
            <w:r>
              <w:rPr>
                <w:rFonts w:ascii="宋体" w:hAnsi="宋体" w:eastAsia="宋体" w:cs="宋体"/>
                <w:spacing w:val="4"/>
                <w:position w:val="1"/>
                <w:sz w:val="20"/>
                <w:szCs w:val="20"/>
              </w:rPr>
              <w:t xml:space="preserve">测定 </w:t>
            </w:r>
            <w:r>
              <w:rPr>
                <w:rFonts w:ascii="Times New Roman" w:hAnsi="Times New Roman" w:eastAsia="Times New Roman" w:cs="Times New Roman"/>
                <w:position w:val="1"/>
                <w:sz w:val="20"/>
                <w:szCs w:val="20"/>
              </w:rPr>
              <w:t>GB</w:t>
            </w:r>
            <w:r>
              <w:rPr>
                <w:rFonts w:ascii="Times New Roman" w:hAnsi="Times New Roman" w:eastAsia="Times New Roman" w:cs="Times New Roman"/>
                <w:spacing w:val="2"/>
                <w:position w:val="1"/>
                <w:sz w:val="20"/>
                <w:szCs w:val="20"/>
              </w:rPr>
              <w:t>/</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2"/>
                <w:position w:val="1"/>
                <w:sz w:val="20"/>
                <w:szCs w:val="20"/>
              </w:rPr>
              <w:t xml:space="preserve"> 22105. 1-2008</w:t>
            </w:r>
          </w:p>
        </w:tc>
        <w:tc>
          <w:tcPr>
            <w:tcW w:w="1680" w:type="dxa"/>
            <w:vAlign w:val="top"/>
          </w:tcPr>
          <w:p w14:paraId="59793665">
            <w:pPr>
              <w:spacing w:before="212" w:line="323" w:lineRule="auto"/>
              <w:ind w:left="568" w:right="103" w:hanging="453"/>
              <w:rPr>
                <w:rFonts w:ascii="Times New Roman" w:hAnsi="Times New Roman" w:eastAsia="Times New Roman" w:cs="Times New Roman"/>
                <w:sz w:val="20"/>
                <w:szCs w:val="20"/>
              </w:rPr>
            </w:pPr>
            <w:r>
              <w:rPr>
                <w:rFonts w:ascii="宋体" w:hAnsi="宋体" w:eastAsia="宋体" w:cs="宋体"/>
                <w:spacing w:val="8"/>
                <w:sz w:val="20"/>
                <w:szCs w:val="20"/>
              </w:rPr>
              <w:t>原子荧光光度</w:t>
            </w:r>
            <w:r>
              <w:rPr>
                <w:rFonts w:ascii="宋体" w:hAnsi="宋体" w:eastAsia="宋体" w:cs="宋体"/>
                <w:spacing w:val="7"/>
                <w:sz w:val="20"/>
                <w:szCs w:val="20"/>
              </w:rPr>
              <w:t>计</w:t>
            </w:r>
            <w:r>
              <w:rPr>
                <w:rFonts w:ascii="宋体" w:hAnsi="宋体" w:eastAsia="宋体" w:cs="宋体"/>
                <w:sz w:val="20"/>
                <w:szCs w:val="20"/>
              </w:rPr>
              <w:t xml:space="preserve"> </w:t>
            </w:r>
            <w:r>
              <w:rPr>
                <w:rFonts w:ascii="Times New Roman" w:hAnsi="Times New Roman" w:eastAsia="Times New Roman" w:cs="Times New Roman"/>
                <w:sz w:val="20"/>
                <w:szCs w:val="20"/>
              </w:rPr>
              <w:t>FX</w:t>
            </w:r>
            <w:r>
              <w:rPr>
                <w:rFonts w:ascii="Times New Roman" w:hAnsi="Times New Roman" w:eastAsia="Times New Roman" w:cs="Times New Roman"/>
                <w:spacing w:val="7"/>
                <w:sz w:val="20"/>
                <w:szCs w:val="20"/>
              </w:rPr>
              <w:t>-0</w:t>
            </w:r>
            <w:r>
              <w:rPr>
                <w:rFonts w:ascii="Times New Roman" w:hAnsi="Times New Roman" w:eastAsia="Times New Roman" w:cs="Times New Roman"/>
                <w:spacing w:val="6"/>
                <w:sz w:val="20"/>
                <w:szCs w:val="20"/>
              </w:rPr>
              <w:t>3</w:t>
            </w:r>
          </w:p>
        </w:tc>
        <w:tc>
          <w:tcPr>
            <w:tcW w:w="1056" w:type="dxa"/>
            <w:tcBorders>
              <w:right w:val="nil"/>
            </w:tcBorders>
            <w:vAlign w:val="top"/>
          </w:tcPr>
          <w:p w14:paraId="73E952CE">
            <w:pPr>
              <w:spacing w:line="270" w:lineRule="auto"/>
              <w:rPr>
                <w:rFonts w:ascii="Arial"/>
                <w:sz w:val="21"/>
              </w:rPr>
            </w:pPr>
          </w:p>
          <w:p w14:paraId="44C4554B">
            <w:pPr>
              <w:spacing w:before="57" w:line="282" w:lineRule="exact"/>
              <w:ind w:left="28"/>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0</w:t>
            </w:r>
            <w:r>
              <w:rPr>
                <w:rFonts w:ascii="Times New Roman" w:hAnsi="Times New Roman" w:eastAsia="Times New Roman" w:cs="Times New Roman"/>
                <w:spacing w:val="6"/>
                <w:position w:val="2"/>
                <w:sz w:val="20"/>
                <w:szCs w:val="20"/>
              </w:rPr>
              <w:t>.002</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kg</w:t>
            </w:r>
          </w:p>
        </w:tc>
      </w:tr>
      <w:tr w14:paraId="7A2AE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46" w:type="dxa"/>
            <w:tcBorders>
              <w:left w:val="nil"/>
            </w:tcBorders>
            <w:vAlign w:val="top"/>
          </w:tcPr>
          <w:p w14:paraId="2FD2FCBD">
            <w:pPr>
              <w:spacing w:before="250" w:line="195" w:lineRule="auto"/>
              <w:ind w:left="232"/>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650" w:type="dxa"/>
            <w:vAlign w:val="top"/>
          </w:tcPr>
          <w:p w14:paraId="654EED23">
            <w:pPr>
              <w:spacing w:before="214" w:line="228" w:lineRule="auto"/>
              <w:ind w:left="724"/>
              <w:rPr>
                <w:rFonts w:ascii="宋体" w:hAnsi="宋体" w:eastAsia="宋体" w:cs="宋体"/>
                <w:sz w:val="20"/>
                <w:szCs w:val="20"/>
              </w:rPr>
            </w:pPr>
            <w:r>
              <w:rPr>
                <w:rFonts w:ascii="宋体" w:hAnsi="宋体" w:eastAsia="宋体" w:cs="宋体"/>
                <w:spacing w:val="1"/>
                <w:sz w:val="20"/>
                <w:szCs w:val="20"/>
              </w:rPr>
              <w:t>镍</w:t>
            </w:r>
          </w:p>
        </w:tc>
        <w:tc>
          <w:tcPr>
            <w:tcW w:w="3420" w:type="dxa"/>
            <w:vAlign w:val="top"/>
          </w:tcPr>
          <w:p w14:paraId="5612C430">
            <w:pPr>
              <w:spacing w:before="59" w:line="263" w:lineRule="auto"/>
              <w:ind w:left="682" w:right="29" w:hanging="646"/>
              <w:rPr>
                <w:rFonts w:ascii="Times New Roman" w:hAnsi="Times New Roman" w:eastAsia="Times New Roman" w:cs="Times New Roman"/>
                <w:sz w:val="20"/>
                <w:szCs w:val="20"/>
              </w:rPr>
            </w:pPr>
            <w:r>
              <w:rPr>
                <w:rFonts w:ascii="宋体" w:hAnsi="宋体" w:eastAsia="宋体" w:cs="宋体"/>
                <w:spacing w:val="16"/>
                <w:sz w:val="20"/>
                <w:szCs w:val="20"/>
              </w:rPr>
              <w:t>土</w:t>
            </w:r>
            <w:r>
              <w:rPr>
                <w:rFonts w:ascii="宋体" w:hAnsi="宋体" w:eastAsia="宋体" w:cs="宋体"/>
                <w:spacing w:val="12"/>
                <w:sz w:val="20"/>
                <w:szCs w:val="20"/>
              </w:rPr>
              <w:t>壤</w:t>
            </w:r>
            <w:r>
              <w:rPr>
                <w:rFonts w:ascii="宋体" w:hAnsi="宋体" w:eastAsia="宋体" w:cs="宋体"/>
                <w:spacing w:val="8"/>
                <w:sz w:val="20"/>
                <w:szCs w:val="20"/>
              </w:rPr>
              <w:t xml:space="preserve"> 镍的测定 火焰原子吸收分光光</w:t>
            </w:r>
            <w:r>
              <w:rPr>
                <w:rFonts w:ascii="宋体" w:hAnsi="宋体" w:eastAsia="宋体" w:cs="宋体"/>
                <w:sz w:val="20"/>
                <w:szCs w:val="20"/>
              </w:rPr>
              <w:t xml:space="preserve"> </w:t>
            </w:r>
            <w:r>
              <w:rPr>
                <w:rFonts w:ascii="宋体" w:hAnsi="宋体" w:eastAsia="宋体" w:cs="宋体"/>
                <w:spacing w:val="4"/>
                <w:sz w:val="20"/>
                <w:szCs w:val="20"/>
              </w:rPr>
              <w:t>度</w:t>
            </w:r>
            <w:r>
              <w:rPr>
                <w:rFonts w:ascii="宋体" w:hAnsi="宋体" w:eastAsia="宋体" w:cs="宋体"/>
                <w:spacing w:val="3"/>
                <w:sz w:val="20"/>
                <w:szCs w:val="20"/>
              </w:rPr>
              <w:t>法</w:t>
            </w:r>
            <w:r>
              <w:rPr>
                <w:rFonts w:ascii="宋体" w:hAnsi="宋体" w:eastAsia="宋体" w:cs="宋体"/>
                <w:spacing w:val="2"/>
                <w:sz w:val="20"/>
                <w:szCs w:val="20"/>
              </w:rPr>
              <w:t xml:space="preserve"> </w:t>
            </w:r>
            <w:r>
              <w:rPr>
                <w:rFonts w:ascii="Times New Roman" w:hAnsi="Times New Roman" w:eastAsia="Times New Roman" w:cs="Times New Roman"/>
                <w:sz w:val="20"/>
                <w:szCs w:val="20"/>
              </w:rPr>
              <w:t>GB</w:t>
            </w:r>
            <w:r>
              <w:rPr>
                <w:rFonts w:ascii="Times New Roman" w:hAnsi="Times New Roman" w:eastAsia="Times New Roman" w:cs="Times New Roman"/>
                <w:spacing w:val="2"/>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2"/>
                <w:sz w:val="20"/>
                <w:szCs w:val="20"/>
              </w:rPr>
              <w:t xml:space="preserve"> 17139- 1997</w:t>
            </w:r>
          </w:p>
        </w:tc>
        <w:tc>
          <w:tcPr>
            <w:tcW w:w="1680" w:type="dxa"/>
            <w:vAlign w:val="top"/>
          </w:tcPr>
          <w:p w14:paraId="1E20E946">
            <w:pPr>
              <w:spacing w:before="58" w:line="258" w:lineRule="auto"/>
              <w:ind w:left="334" w:right="103" w:hanging="219"/>
              <w:rPr>
                <w:rFonts w:ascii="Times New Roman" w:hAnsi="Times New Roman" w:eastAsia="Times New Roman" w:cs="Times New Roman"/>
                <w:sz w:val="20"/>
                <w:szCs w:val="20"/>
              </w:rPr>
            </w:pPr>
            <w:r>
              <w:rPr>
                <w:rFonts w:ascii="宋体" w:hAnsi="宋体" w:eastAsia="宋体" w:cs="宋体"/>
                <w:spacing w:val="8"/>
                <w:sz w:val="20"/>
                <w:szCs w:val="20"/>
              </w:rPr>
              <w:t>原子吸收分光</w:t>
            </w:r>
            <w:r>
              <w:rPr>
                <w:rFonts w:ascii="宋体" w:hAnsi="宋体" w:eastAsia="宋体" w:cs="宋体"/>
                <w:spacing w:val="7"/>
                <w:sz w:val="20"/>
                <w:szCs w:val="20"/>
              </w:rPr>
              <w:t>光</w:t>
            </w:r>
            <w:r>
              <w:rPr>
                <w:rFonts w:ascii="宋体" w:hAnsi="宋体" w:eastAsia="宋体" w:cs="宋体"/>
                <w:sz w:val="20"/>
                <w:szCs w:val="20"/>
              </w:rPr>
              <w:t xml:space="preserve"> </w:t>
            </w:r>
            <w:r>
              <w:rPr>
                <w:rFonts w:ascii="宋体" w:hAnsi="宋体" w:eastAsia="宋体" w:cs="宋体"/>
                <w:spacing w:val="-2"/>
                <w:sz w:val="20"/>
                <w:szCs w:val="20"/>
              </w:rPr>
              <w:t xml:space="preserve">度计 </w:t>
            </w:r>
            <w:r>
              <w:rPr>
                <w:rFonts w:ascii="Times New Roman" w:hAnsi="Times New Roman" w:eastAsia="Times New Roman" w:cs="Times New Roman"/>
                <w:spacing w:val="-1"/>
                <w:sz w:val="20"/>
                <w:szCs w:val="20"/>
              </w:rPr>
              <w:t>FX-02</w:t>
            </w:r>
          </w:p>
        </w:tc>
        <w:tc>
          <w:tcPr>
            <w:tcW w:w="1056" w:type="dxa"/>
            <w:tcBorders>
              <w:right w:val="nil"/>
            </w:tcBorders>
            <w:vAlign w:val="top"/>
          </w:tcPr>
          <w:p w14:paraId="1E36F8E4">
            <w:pPr>
              <w:spacing w:before="176" w:line="281" w:lineRule="exact"/>
              <w:ind w:left="215"/>
              <w:rPr>
                <w:rFonts w:ascii="Times New Roman" w:hAnsi="Times New Roman" w:eastAsia="Times New Roman" w:cs="Times New Roman"/>
                <w:sz w:val="20"/>
                <w:szCs w:val="20"/>
              </w:rPr>
            </w:pPr>
            <w:r>
              <w:rPr>
                <w:rFonts w:ascii="Times New Roman" w:hAnsi="Times New Roman" w:eastAsia="Times New Roman" w:cs="Times New Roman"/>
                <w:spacing w:val="9"/>
                <w:position w:val="4"/>
                <w:sz w:val="20"/>
                <w:szCs w:val="20"/>
              </w:rPr>
              <w:t>5</w:t>
            </w:r>
            <w:r>
              <w:rPr>
                <w:rFonts w:ascii="Times New Roman" w:hAnsi="Times New Roman" w:eastAsia="Times New Roman" w:cs="Times New Roman"/>
                <w:position w:val="4"/>
                <w:sz w:val="20"/>
                <w:szCs w:val="20"/>
              </w:rPr>
              <w:t>mg</w:t>
            </w:r>
            <w:r>
              <w:rPr>
                <w:rFonts w:ascii="Times New Roman" w:hAnsi="Times New Roman" w:eastAsia="Times New Roman" w:cs="Times New Roman"/>
                <w:spacing w:val="9"/>
                <w:position w:val="4"/>
                <w:sz w:val="20"/>
                <w:szCs w:val="20"/>
              </w:rPr>
              <w:t>/</w:t>
            </w:r>
            <w:r>
              <w:rPr>
                <w:rFonts w:ascii="Times New Roman" w:hAnsi="Times New Roman" w:eastAsia="Times New Roman" w:cs="Times New Roman"/>
                <w:position w:val="4"/>
                <w:sz w:val="20"/>
                <w:szCs w:val="20"/>
              </w:rPr>
              <w:t>kg</w:t>
            </w:r>
          </w:p>
        </w:tc>
      </w:tr>
      <w:tr w14:paraId="38BAEF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46" w:type="dxa"/>
            <w:tcBorders>
              <w:left w:val="nil"/>
            </w:tcBorders>
            <w:vAlign w:val="top"/>
          </w:tcPr>
          <w:p w14:paraId="6507018D">
            <w:pPr>
              <w:spacing w:before="249" w:line="195" w:lineRule="auto"/>
              <w:ind w:left="228"/>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650" w:type="dxa"/>
            <w:vAlign w:val="top"/>
          </w:tcPr>
          <w:p w14:paraId="14D46039">
            <w:pPr>
              <w:spacing w:before="214" w:line="233" w:lineRule="auto"/>
              <w:ind w:left="514"/>
              <w:rPr>
                <w:rFonts w:ascii="宋体" w:hAnsi="宋体" w:eastAsia="宋体" w:cs="宋体"/>
                <w:sz w:val="20"/>
                <w:szCs w:val="20"/>
              </w:rPr>
            </w:pPr>
            <w:r>
              <w:rPr>
                <w:rFonts w:ascii="宋体" w:hAnsi="宋体" w:eastAsia="宋体" w:cs="宋体"/>
                <w:spacing w:val="7"/>
                <w:sz w:val="20"/>
                <w:szCs w:val="20"/>
              </w:rPr>
              <w:t>全盐</w:t>
            </w:r>
            <w:r>
              <w:rPr>
                <w:rFonts w:ascii="宋体" w:hAnsi="宋体" w:eastAsia="宋体" w:cs="宋体"/>
                <w:spacing w:val="6"/>
                <w:sz w:val="20"/>
                <w:szCs w:val="20"/>
              </w:rPr>
              <w:t>量</w:t>
            </w:r>
          </w:p>
        </w:tc>
        <w:tc>
          <w:tcPr>
            <w:tcW w:w="3420" w:type="dxa"/>
            <w:vAlign w:val="top"/>
          </w:tcPr>
          <w:p w14:paraId="1B052D27">
            <w:pPr>
              <w:spacing w:before="20" w:line="281" w:lineRule="exact"/>
              <w:ind w:left="314"/>
              <w:rPr>
                <w:rFonts w:ascii="Times New Roman" w:hAnsi="Times New Roman" w:eastAsia="Times New Roman" w:cs="Times New Roman"/>
                <w:sz w:val="20"/>
                <w:szCs w:val="20"/>
              </w:rPr>
            </w:pPr>
            <w:r>
              <w:rPr>
                <w:rFonts w:ascii="宋体" w:hAnsi="宋体" w:eastAsia="宋体" w:cs="宋体"/>
                <w:spacing w:val="5"/>
                <w:position w:val="1"/>
                <w:sz w:val="20"/>
                <w:szCs w:val="20"/>
              </w:rPr>
              <w:t>森</w:t>
            </w:r>
            <w:r>
              <w:rPr>
                <w:rFonts w:ascii="宋体" w:hAnsi="宋体" w:eastAsia="宋体" w:cs="宋体"/>
                <w:spacing w:val="4"/>
                <w:position w:val="1"/>
                <w:sz w:val="20"/>
                <w:szCs w:val="20"/>
              </w:rPr>
              <w:t xml:space="preserve">林土壤水溶性盐分分析 </w:t>
            </w:r>
            <w:r>
              <w:rPr>
                <w:rFonts w:ascii="Times New Roman" w:hAnsi="Times New Roman" w:eastAsia="Times New Roman" w:cs="Times New Roman"/>
                <w:position w:val="1"/>
                <w:sz w:val="20"/>
                <w:szCs w:val="20"/>
              </w:rPr>
              <w:t>LY</w:t>
            </w:r>
            <w:r>
              <w:rPr>
                <w:rFonts w:ascii="Times New Roman" w:hAnsi="Times New Roman" w:eastAsia="Times New Roman" w:cs="Times New Roman"/>
                <w:spacing w:val="4"/>
                <w:position w:val="1"/>
                <w:sz w:val="20"/>
                <w:szCs w:val="20"/>
              </w:rPr>
              <w:t>/</w:t>
            </w:r>
            <w:r>
              <w:rPr>
                <w:rFonts w:ascii="Times New Roman" w:hAnsi="Times New Roman" w:eastAsia="Times New Roman" w:cs="Times New Roman"/>
                <w:position w:val="1"/>
                <w:sz w:val="20"/>
                <w:szCs w:val="20"/>
              </w:rPr>
              <w:t>T</w:t>
            </w:r>
          </w:p>
          <w:p w14:paraId="74390522">
            <w:pPr>
              <w:spacing w:before="104" w:line="195" w:lineRule="auto"/>
              <w:ind w:left="127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251- 1999</w:t>
            </w:r>
          </w:p>
        </w:tc>
        <w:tc>
          <w:tcPr>
            <w:tcW w:w="1680" w:type="dxa"/>
            <w:vAlign w:val="top"/>
          </w:tcPr>
          <w:p w14:paraId="0AB76A94">
            <w:pPr>
              <w:spacing w:before="57" w:line="349" w:lineRule="exact"/>
              <w:ind w:left="449"/>
              <w:rPr>
                <w:rFonts w:ascii="宋体" w:hAnsi="宋体" w:eastAsia="宋体" w:cs="宋体"/>
                <w:sz w:val="20"/>
                <w:szCs w:val="20"/>
              </w:rPr>
            </w:pPr>
            <w:r>
              <w:rPr>
                <w:rFonts w:ascii="宋体" w:hAnsi="宋体" w:eastAsia="宋体" w:cs="宋体"/>
                <w:spacing w:val="2"/>
                <w:position w:val="10"/>
                <w:sz w:val="20"/>
                <w:szCs w:val="20"/>
              </w:rPr>
              <w:t>电</w:t>
            </w:r>
            <w:r>
              <w:rPr>
                <w:rFonts w:ascii="宋体" w:hAnsi="宋体" w:eastAsia="宋体" w:cs="宋体"/>
                <w:spacing w:val="1"/>
                <w:position w:val="10"/>
                <w:sz w:val="20"/>
                <w:szCs w:val="20"/>
              </w:rPr>
              <w:t>子天平</w:t>
            </w:r>
          </w:p>
          <w:p w14:paraId="1739CAFE">
            <w:pPr>
              <w:spacing w:line="194" w:lineRule="auto"/>
              <w:ind w:left="568"/>
              <w:rPr>
                <w:rFonts w:ascii="Times New Roman" w:hAnsi="Times New Roman" w:eastAsia="Times New Roman" w:cs="Times New Roman"/>
                <w:sz w:val="20"/>
                <w:szCs w:val="20"/>
              </w:rPr>
            </w:pPr>
            <w:r>
              <w:rPr>
                <w:rFonts w:ascii="Times New Roman" w:hAnsi="Times New Roman" w:eastAsia="Times New Roman" w:cs="Times New Roman"/>
                <w:sz w:val="20"/>
                <w:szCs w:val="20"/>
              </w:rPr>
              <w:t>FX</w:t>
            </w:r>
            <w:r>
              <w:rPr>
                <w:rFonts w:ascii="Times New Roman" w:hAnsi="Times New Roman" w:eastAsia="Times New Roman" w:cs="Times New Roman"/>
                <w:spacing w:val="7"/>
                <w:sz w:val="20"/>
                <w:szCs w:val="20"/>
              </w:rPr>
              <w:t>-0</w:t>
            </w:r>
            <w:r>
              <w:rPr>
                <w:rFonts w:ascii="Times New Roman" w:hAnsi="Times New Roman" w:eastAsia="Times New Roman" w:cs="Times New Roman"/>
                <w:spacing w:val="6"/>
                <w:sz w:val="20"/>
                <w:szCs w:val="20"/>
              </w:rPr>
              <w:t>7</w:t>
            </w:r>
          </w:p>
        </w:tc>
        <w:tc>
          <w:tcPr>
            <w:tcW w:w="1056" w:type="dxa"/>
            <w:tcBorders>
              <w:right w:val="nil"/>
            </w:tcBorders>
            <w:vAlign w:val="top"/>
          </w:tcPr>
          <w:p w14:paraId="2AFCFC97">
            <w:pPr>
              <w:spacing w:before="176" w:line="281" w:lineRule="exact"/>
              <w:ind w:left="495"/>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54A19C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46" w:type="dxa"/>
            <w:tcBorders>
              <w:left w:val="nil"/>
            </w:tcBorders>
            <w:vAlign w:val="top"/>
          </w:tcPr>
          <w:p w14:paraId="0DAEF59A">
            <w:pPr>
              <w:spacing w:before="93" w:line="195" w:lineRule="auto"/>
              <w:ind w:left="19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1650" w:type="dxa"/>
            <w:vAlign w:val="top"/>
          </w:tcPr>
          <w:p w14:paraId="02CB6644">
            <w:pPr>
              <w:spacing w:before="57" w:line="228" w:lineRule="auto"/>
              <w:ind w:left="431"/>
              <w:rPr>
                <w:rFonts w:ascii="宋体" w:hAnsi="宋体" w:eastAsia="宋体" w:cs="宋体"/>
                <w:sz w:val="20"/>
                <w:szCs w:val="20"/>
              </w:rPr>
            </w:pPr>
            <w:r>
              <w:rPr>
                <w:rFonts w:ascii="宋体" w:hAnsi="宋体" w:eastAsia="宋体" w:cs="宋体"/>
                <w:spacing w:val="3"/>
                <w:sz w:val="20"/>
                <w:szCs w:val="20"/>
              </w:rPr>
              <w:t>四</w:t>
            </w:r>
            <w:r>
              <w:rPr>
                <w:rFonts w:ascii="宋体" w:hAnsi="宋体" w:eastAsia="宋体" w:cs="宋体"/>
                <w:spacing w:val="2"/>
                <w:sz w:val="20"/>
                <w:szCs w:val="20"/>
              </w:rPr>
              <w:t>氯化碳</w:t>
            </w:r>
          </w:p>
        </w:tc>
        <w:tc>
          <w:tcPr>
            <w:tcW w:w="3420" w:type="dxa"/>
            <w:vMerge w:val="restart"/>
            <w:tcBorders>
              <w:bottom w:val="nil"/>
            </w:tcBorders>
            <w:vAlign w:val="top"/>
          </w:tcPr>
          <w:p w14:paraId="4A709B08">
            <w:pPr>
              <w:spacing w:line="267" w:lineRule="auto"/>
              <w:rPr>
                <w:rFonts w:ascii="Arial"/>
                <w:sz w:val="21"/>
              </w:rPr>
            </w:pPr>
          </w:p>
          <w:p w14:paraId="463B2D9C">
            <w:pPr>
              <w:spacing w:line="268" w:lineRule="auto"/>
              <w:rPr>
                <w:rFonts w:ascii="Arial"/>
                <w:sz w:val="21"/>
              </w:rPr>
            </w:pPr>
          </w:p>
          <w:p w14:paraId="51347FAB">
            <w:pPr>
              <w:spacing w:line="268" w:lineRule="auto"/>
              <w:rPr>
                <w:rFonts w:ascii="Arial"/>
                <w:sz w:val="21"/>
              </w:rPr>
            </w:pPr>
          </w:p>
          <w:p w14:paraId="1CD2C91F">
            <w:pPr>
              <w:spacing w:before="65" w:line="301" w:lineRule="auto"/>
              <w:ind w:left="365" w:right="82" w:hanging="276"/>
              <w:rPr>
                <w:rFonts w:ascii="Times New Roman" w:hAnsi="Times New Roman" w:eastAsia="Times New Roman" w:cs="Times New Roman"/>
                <w:sz w:val="20"/>
                <w:szCs w:val="20"/>
              </w:rPr>
            </w:pPr>
            <w:r>
              <w:rPr>
                <w:rFonts w:ascii="宋体" w:hAnsi="宋体" w:eastAsia="宋体" w:cs="宋体"/>
                <w:spacing w:val="9"/>
                <w:sz w:val="20"/>
                <w:szCs w:val="20"/>
              </w:rPr>
              <w:t>土壤和沉积物 挥发性有机物的测</w:t>
            </w:r>
            <w:r>
              <w:rPr>
                <w:rFonts w:ascii="宋体" w:hAnsi="宋体" w:eastAsia="宋体" w:cs="宋体"/>
                <w:spacing w:val="8"/>
                <w:sz w:val="20"/>
                <w:szCs w:val="20"/>
              </w:rPr>
              <w:t>定</w:t>
            </w:r>
            <w:r>
              <w:rPr>
                <w:rFonts w:ascii="宋体" w:hAnsi="宋体" w:eastAsia="宋体" w:cs="宋体"/>
                <w:sz w:val="20"/>
                <w:szCs w:val="20"/>
              </w:rPr>
              <w:t xml:space="preserve"> </w:t>
            </w:r>
            <w:r>
              <w:rPr>
                <w:rFonts w:ascii="宋体" w:hAnsi="宋体" w:eastAsia="宋体" w:cs="宋体"/>
                <w:spacing w:val="6"/>
                <w:sz w:val="20"/>
                <w:szCs w:val="20"/>
              </w:rPr>
              <w:t>吹</w:t>
            </w:r>
            <w:r>
              <w:rPr>
                <w:rFonts w:ascii="宋体" w:hAnsi="宋体" w:eastAsia="宋体" w:cs="宋体"/>
                <w:spacing w:val="4"/>
                <w:sz w:val="20"/>
                <w:szCs w:val="20"/>
              </w:rPr>
              <w:t>扫捕集</w:t>
            </w:r>
            <w:r>
              <w:rPr>
                <w:rFonts w:ascii="Times New Roman" w:hAnsi="Times New Roman" w:eastAsia="Times New Roman" w:cs="Times New Roman"/>
                <w:spacing w:val="4"/>
                <w:sz w:val="20"/>
                <w:szCs w:val="20"/>
              </w:rPr>
              <w:t>/</w:t>
            </w:r>
            <w:r>
              <w:rPr>
                <w:rFonts w:ascii="宋体" w:hAnsi="宋体" w:eastAsia="宋体" w:cs="宋体"/>
                <w:spacing w:val="4"/>
                <w:sz w:val="20"/>
                <w:szCs w:val="20"/>
              </w:rPr>
              <w:t>气相色谱</w:t>
            </w:r>
            <w:r>
              <w:rPr>
                <w:rFonts w:ascii="Times New Roman" w:hAnsi="Times New Roman" w:eastAsia="Times New Roman" w:cs="Times New Roman"/>
                <w:spacing w:val="4"/>
                <w:sz w:val="20"/>
                <w:szCs w:val="20"/>
              </w:rPr>
              <w:t>-</w:t>
            </w:r>
            <w:r>
              <w:rPr>
                <w:rFonts w:ascii="宋体" w:hAnsi="宋体" w:eastAsia="宋体" w:cs="宋体"/>
                <w:spacing w:val="4"/>
                <w:sz w:val="20"/>
                <w:szCs w:val="20"/>
              </w:rPr>
              <w:t xml:space="preserve">质谱法 </w:t>
            </w:r>
            <w:r>
              <w:rPr>
                <w:rFonts w:ascii="Times New Roman" w:hAnsi="Times New Roman" w:eastAsia="Times New Roman" w:cs="Times New Roman"/>
                <w:sz w:val="20"/>
                <w:szCs w:val="20"/>
              </w:rPr>
              <w:t>HJ</w:t>
            </w:r>
          </w:p>
          <w:p w14:paraId="117CCD55">
            <w:pPr>
              <w:spacing w:before="7" w:line="195" w:lineRule="auto"/>
              <w:ind w:left="131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605-2011</w:t>
            </w:r>
          </w:p>
        </w:tc>
        <w:tc>
          <w:tcPr>
            <w:tcW w:w="1680" w:type="dxa"/>
            <w:vMerge w:val="restart"/>
            <w:tcBorders>
              <w:bottom w:val="nil"/>
            </w:tcBorders>
            <w:vAlign w:val="top"/>
          </w:tcPr>
          <w:p w14:paraId="0ADC6A57">
            <w:pPr>
              <w:spacing w:line="319" w:lineRule="auto"/>
              <w:rPr>
                <w:rFonts w:ascii="Arial"/>
                <w:sz w:val="21"/>
              </w:rPr>
            </w:pPr>
          </w:p>
          <w:p w14:paraId="3BF4BC9B">
            <w:pPr>
              <w:spacing w:line="319" w:lineRule="auto"/>
              <w:rPr>
                <w:rFonts w:ascii="Arial"/>
                <w:sz w:val="21"/>
              </w:rPr>
            </w:pPr>
          </w:p>
          <w:p w14:paraId="41BCDE96">
            <w:pPr>
              <w:spacing w:line="319" w:lineRule="auto"/>
              <w:rPr>
                <w:rFonts w:ascii="Arial"/>
                <w:sz w:val="21"/>
              </w:rPr>
            </w:pPr>
          </w:p>
          <w:p w14:paraId="433D11F7">
            <w:pPr>
              <w:spacing w:before="65" w:line="301" w:lineRule="auto"/>
              <w:ind w:left="337" w:right="103" w:hanging="226"/>
              <w:rPr>
                <w:rFonts w:ascii="Times New Roman" w:hAnsi="Times New Roman" w:eastAsia="Times New Roman" w:cs="Times New Roman"/>
                <w:sz w:val="20"/>
                <w:szCs w:val="20"/>
              </w:rPr>
            </w:pPr>
            <w:r>
              <w:rPr>
                <w:rFonts w:ascii="宋体" w:hAnsi="宋体" w:eastAsia="宋体" w:cs="宋体"/>
                <w:spacing w:val="11"/>
                <w:sz w:val="20"/>
                <w:szCs w:val="20"/>
              </w:rPr>
              <w:t>气</w:t>
            </w:r>
            <w:r>
              <w:rPr>
                <w:rFonts w:ascii="宋体" w:hAnsi="宋体" w:eastAsia="宋体" w:cs="宋体"/>
                <w:spacing w:val="8"/>
                <w:sz w:val="20"/>
                <w:szCs w:val="20"/>
              </w:rPr>
              <w:t>相色谱质谱联</w:t>
            </w:r>
            <w:r>
              <w:rPr>
                <w:rFonts w:ascii="宋体" w:hAnsi="宋体" w:eastAsia="宋体" w:cs="宋体"/>
                <w:sz w:val="20"/>
                <w:szCs w:val="20"/>
              </w:rPr>
              <w:t xml:space="preserve"> </w:t>
            </w:r>
            <w:r>
              <w:rPr>
                <w:rFonts w:ascii="宋体" w:hAnsi="宋体" w:eastAsia="宋体" w:cs="宋体"/>
                <w:spacing w:val="-2"/>
                <w:sz w:val="20"/>
                <w:szCs w:val="20"/>
              </w:rPr>
              <w:t xml:space="preserve">用仪 </w:t>
            </w:r>
            <w:r>
              <w:rPr>
                <w:rFonts w:ascii="Times New Roman" w:hAnsi="Times New Roman" w:eastAsia="Times New Roman" w:cs="Times New Roman"/>
                <w:spacing w:val="-1"/>
                <w:sz w:val="20"/>
                <w:szCs w:val="20"/>
              </w:rPr>
              <w:t>FX</w:t>
            </w:r>
            <w:r>
              <w:rPr>
                <w:rFonts w:ascii="Times New Roman" w:hAnsi="Times New Roman" w:eastAsia="Times New Roman" w:cs="Times New Roman"/>
                <w:spacing w:val="-2"/>
                <w:sz w:val="20"/>
                <w:szCs w:val="20"/>
              </w:rPr>
              <w:t>-29</w:t>
            </w:r>
          </w:p>
        </w:tc>
        <w:tc>
          <w:tcPr>
            <w:tcW w:w="1056" w:type="dxa"/>
            <w:tcBorders>
              <w:right w:val="nil"/>
            </w:tcBorders>
            <w:vAlign w:val="top"/>
          </w:tcPr>
          <w:p w14:paraId="674421F0">
            <w:pPr>
              <w:spacing w:before="19" w:line="281" w:lineRule="exact"/>
              <w:ind w:left="17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1.3</w:t>
            </w:r>
            <w:r>
              <w:rPr>
                <w:rFonts w:ascii="Times New Roman" w:hAnsi="Times New Roman" w:eastAsia="Times New Roman" w:cs="Times New Roman"/>
                <w:spacing w:val="1"/>
                <w:position w:val="2"/>
                <w:sz w:val="20"/>
                <w:szCs w:val="20"/>
              </w:rPr>
              <w:t>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1"/>
                <w:position w:val="2"/>
                <w:sz w:val="20"/>
                <w:szCs w:val="20"/>
              </w:rPr>
              <w:t>/</w:t>
            </w:r>
            <w:r>
              <w:rPr>
                <w:rFonts w:ascii="Times New Roman" w:hAnsi="Times New Roman" w:eastAsia="Times New Roman" w:cs="Times New Roman"/>
                <w:position w:val="2"/>
                <w:sz w:val="20"/>
                <w:szCs w:val="20"/>
              </w:rPr>
              <w:t>kg</w:t>
            </w:r>
          </w:p>
        </w:tc>
      </w:tr>
      <w:tr w14:paraId="1502EC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46" w:type="dxa"/>
            <w:tcBorders>
              <w:left w:val="nil"/>
            </w:tcBorders>
            <w:vAlign w:val="top"/>
          </w:tcPr>
          <w:p w14:paraId="7230AE50">
            <w:pPr>
              <w:spacing w:before="93" w:line="195" w:lineRule="auto"/>
              <w:ind w:left="196"/>
              <w:rPr>
                <w:rFonts w:ascii="Times New Roman" w:hAnsi="Times New Roman" w:eastAsia="Times New Roman" w:cs="Times New Roman"/>
                <w:sz w:val="20"/>
                <w:szCs w:val="20"/>
              </w:rPr>
            </w:pPr>
            <w:r>
              <w:rPr>
                <w:rFonts w:ascii="Times New Roman" w:hAnsi="Times New Roman" w:eastAsia="Times New Roman" w:cs="Times New Roman"/>
                <w:spacing w:val="-11"/>
                <w:sz w:val="20"/>
                <w:szCs w:val="20"/>
              </w:rPr>
              <w:t>1</w:t>
            </w:r>
            <w:r>
              <w:rPr>
                <w:rFonts w:ascii="Times New Roman" w:hAnsi="Times New Roman" w:eastAsia="Times New Roman" w:cs="Times New Roman"/>
                <w:spacing w:val="-9"/>
                <w:sz w:val="20"/>
                <w:szCs w:val="20"/>
              </w:rPr>
              <w:t>1</w:t>
            </w:r>
          </w:p>
        </w:tc>
        <w:tc>
          <w:tcPr>
            <w:tcW w:w="1650" w:type="dxa"/>
            <w:vAlign w:val="top"/>
          </w:tcPr>
          <w:p w14:paraId="70AF8B75">
            <w:pPr>
              <w:spacing w:before="57" w:line="228" w:lineRule="auto"/>
              <w:ind w:left="623"/>
              <w:rPr>
                <w:rFonts w:ascii="宋体" w:hAnsi="宋体" w:eastAsia="宋体" w:cs="宋体"/>
                <w:sz w:val="20"/>
                <w:szCs w:val="20"/>
              </w:rPr>
            </w:pPr>
            <w:r>
              <w:rPr>
                <w:rFonts w:ascii="宋体" w:hAnsi="宋体" w:eastAsia="宋体" w:cs="宋体"/>
                <w:spacing w:val="3"/>
                <w:sz w:val="20"/>
                <w:szCs w:val="20"/>
              </w:rPr>
              <w:t>氯仿</w:t>
            </w:r>
          </w:p>
        </w:tc>
        <w:tc>
          <w:tcPr>
            <w:tcW w:w="3420" w:type="dxa"/>
            <w:vMerge w:val="continue"/>
            <w:tcBorders>
              <w:top w:val="nil"/>
              <w:bottom w:val="nil"/>
            </w:tcBorders>
            <w:vAlign w:val="top"/>
          </w:tcPr>
          <w:p w14:paraId="168AB9D7">
            <w:pPr>
              <w:rPr>
                <w:rFonts w:ascii="Arial"/>
                <w:sz w:val="21"/>
              </w:rPr>
            </w:pPr>
          </w:p>
        </w:tc>
        <w:tc>
          <w:tcPr>
            <w:tcW w:w="1680" w:type="dxa"/>
            <w:vMerge w:val="continue"/>
            <w:tcBorders>
              <w:top w:val="nil"/>
              <w:bottom w:val="nil"/>
            </w:tcBorders>
            <w:vAlign w:val="top"/>
          </w:tcPr>
          <w:p w14:paraId="226D8F96">
            <w:pPr>
              <w:rPr>
                <w:rFonts w:ascii="Arial"/>
                <w:sz w:val="21"/>
              </w:rPr>
            </w:pPr>
          </w:p>
        </w:tc>
        <w:tc>
          <w:tcPr>
            <w:tcW w:w="1056" w:type="dxa"/>
            <w:tcBorders>
              <w:right w:val="nil"/>
            </w:tcBorders>
            <w:vAlign w:val="top"/>
          </w:tcPr>
          <w:p w14:paraId="34D8A636">
            <w:pPr>
              <w:spacing w:before="19" w:line="281" w:lineRule="exact"/>
              <w:ind w:left="176"/>
              <w:rPr>
                <w:rFonts w:ascii="Times New Roman" w:hAnsi="Times New Roman" w:eastAsia="Times New Roman" w:cs="Times New Roman"/>
                <w:sz w:val="20"/>
                <w:szCs w:val="20"/>
              </w:rPr>
            </w:pPr>
            <w:r>
              <w:rPr>
                <w:rFonts w:ascii="Times New Roman" w:hAnsi="Times New Roman" w:eastAsia="Times New Roman" w:cs="Times New Roman"/>
                <w:spacing w:val="-8"/>
                <w:position w:val="4"/>
                <w:sz w:val="20"/>
                <w:szCs w:val="20"/>
              </w:rPr>
              <w:t>1</w:t>
            </w:r>
            <w:r>
              <w:rPr>
                <w:rFonts w:ascii="Times New Roman" w:hAnsi="Times New Roman" w:eastAsia="Times New Roman" w:cs="Times New Roman"/>
                <w:spacing w:val="-6"/>
                <w:position w:val="4"/>
                <w:sz w:val="20"/>
                <w:szCs w:val="20"/>
              </w:rPr>
              <w:t>.</w:t>
            </w:r>
            <w:r>
              <w:rPr>
                <w:rFonts w:ascii="Times New Roman" w:hAnsi="Times New Roman" w:eastAsia="Times New Roman" w:cs="Times New Roman"/>
                <w:spacing w:val="-4"/>
                <w:position w:val="4"/>
                <w:sz w:val="20"/>
                <w:szCs w:val="20"/>
              </w:rPr>
              <w:t xml:space="preserve"> 1μg/kg</w:t>
            </w:r>
          </w:p>
        </w:tc>
      </w:tr>
      <w:tr w14:paraId="306519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46" w:type="dxa"/>
            <w:tcBorders>
              <w:left w:val="nil"/>
            </w:tcBorders>
            <w:vAlign w:val="top"/>
          </w:tcPr>
          <w:p w14:paraId="2A9EB81B">
            <w:pPr>
              <w:spacing w:before="92" w:line="195" w:lineRule="auto"/>
              <w:ind w:left="19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2</w:t>
            </w:r>
          </w:p>
        </w:tc>
        <w:tc>
          <w:tcPr>
            <w:tcW w:w="1650" w:type="dxa"/>
            <w:vAlign w:val="top"/>
          </w:tcPr>
          <w:p w14:paraId="342D912F">
            <w:pPr>
              <w:spacing w:before="57" w:line="228" w:lineRule="auto"/>
              <w:ind w:left="517"/>
              <w:rPr>
                <w:rFonts w:ascii="宋体" w:hAnsi="宋体" w:eastAsia="宋体" w:cs="宋体"/>
                <w:sz w:val="20"/>
                <w:szCs w:val="20"/>
              </w:rPr>
            </w:pPr>
            <w:r>
              <w:rPr>
                <w:rFonts w:ascii="宋体" w:hAnsi="宋体" w:eastAsia="宋体" w:cs="宋体"/>
                <w:spacing w:val="6"/>
                <w:sz w:val="20"/>
                <w:szCs w:val="20"/>
              </w:rPr>
              <w:t>氯甲</w:t>
            </w:r>
            <w:r>
              <w:rPr>
                <w:rFonts w:ascii="宋体" w:hAnsi="宋体" w:eastAsia="宋体" w:cs="宋体"/>
                <w:spacing w:val="5"/>
                <w:sz w:val="20"/>
                <w:szCs w:val="20"/>
              </w:rPr>
              <w:t>烷</w:t>
            </w:r>
          </w:p>
        </w:tc>
        <w:tc>
          <w:tcPr>
            <w:tcW w:w="3420" w:type="dxa"/>
            <w:vMerge w:val="continue"/>
            <w:tcBorders>
              <w:top w:val="nil"/>
              <w:bottom w:val="nil"/>
            </w:tcBorders>
            <w:vAlign w:val="top"/>
          </w:tcPr>
          <w:p w14:paraId="1A565285">
            <w:pPr>
              <w:rPr>
                <w:rFonts w:ascii="Arial"/>
                <w:sz w:val="21"/>
              </w:rPr>
            </w:pPr>
          </w:p>
        </w:tc>
        <w:tc>
          <w:tcPr>
            <w:tcW w:w="1680" w:type="dxa"/>
            <w:vMerge w:val="continue"/>
            <w:tcBorders>
              <w:top w:val="nil"/>
              <w:bottom w:val="nil"/>
            </w:tcBorders>
            <w:vAlign w:val="top"/>
          </w:tcPr>
          <w:p w14:paraId="4B7C25D0">
            <w:pPr>
              <w:rPr>
                <w:rFonts w:ascii="Arial"/>
                <w:sz w:val="21"/>
              </w:rPr>
            </w:pPr>
          </w:p>
        </w:tc>
        <w:tc>
          <w:tcPr>
            <w:tcW w:w="1056" w:type="dxa"/>
            <w:tcBorders>
              <w:right w:val="nil"/>
            </w:tcBorders>
            <w:vAlign w:val="top"/>
          </w:tcPr>
          <w:p w14:paraId="7BCB31B1">
            <w:pPr>
              <w:spacing w:before="19" w:line="281" w:lineRule="exact"/>
              <w:ind w:left="17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1.0</w:t>
            </w:r>
            <w:r>
              <w:rPr>
                <w:rFonts w:ascii="Times New Roman" w:hAnsi="Times New Roman" w:eastAsia="Times New Roman" w:cs="Times New Roman"/>
                <w:spacing w:val="1"/>
                <w:position w:val="2"/>
                <w:sz w:val="20"/>
                <w:szCs w:val="20"/>
              </w:rPr>
              <w:t>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1"/>
                <w:position w:val="2"/>
                <w:sz w:val="20"/>
                <w:szCs w:val="20"/>
              </w:rPr>
              <w:t>/</w:t>
            </w:r>
            <w:r>
              <w:rPr>
                <w:rFonts w:ascii="Times New Roman" w:hAnsi="Times New Roman" w:eastAsia="Times New Roman" w:cs="Times New Roman"/>
                <w:position w:val="2"/>
                <w:sz w:val="20"/>
                <w:szCs w:val="20"/>
              </w:rPr>
              <w:t>kg</w:t>
            </w:r>
          </w:p>
        </w:tc>
      </w:tr>
      <w:tr w14:paraId="0F0F34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46" w:type="dxa"/>
            <w:tcBorders>
              <w:left w:val="nil"/>
            </w:tcBorders>
            <w:vAlign w:val="top"/>
          </w:tcPr>
          <w:p w14:paraId="0E827E1E">
            <w:pPr>
              <w:spacing w:before="92" w:line="195" w:lineRule="auto"/>
              <w:ind w:left="19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3</w:t>
            </w:r>
          </w:p>
        </w:tc>
        <w:tc>
          <w:tcPr>
            <w:tcW w:w="1650" w:type="dxa"/>
            <w:vAlign w:val="top"/>
          </w:tcPr>
          <w:p w14:paraId="11B6B4E4">
            <w:pPr>
              <w:spacing w:before="56" w:line="233" w:lineRule="auto"/>
              <w:ind w:left="259"/>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2"/>
                <w:sz w:val="20"/>
                <w:szCs w:val="20"/>
              </w:rPr>
              <w:t>, 1-</w:t>
            </w:r>
            <w:r>
              <w:rPr>
                <w:rFonts w:ascii="宋体" w:hAnsi="宋体" w:eastAsia="宋体" w:cs="宋体"/>
                <w:spacing w:val="-2"/>
                <w:sz w:val="20"/>
                <w:szCs w:val="20"/>
              </w:rPr>
              <w:t>二氯乙烷</w:t>
            </w:r>
          </w:p>
        </w:tc>
        <w:tc>
          <w:tcPr>
            <w:tcW w:w="3420" w:type="dxa"/>
            <w:vMerge w:val="continue"/>
            <w:tcBorders>
              <w:top w:val="nil"/>
              <w:bottom w:val="nil"/>
            </w:tcBorders>
            <w:vAlign w:val="top"/>
          </w:tcPr>
          <w:p w14:paraId="60AB0E07">
            <w:pPr>
              <w:rPr>
                <w:rFonts w:ascii="Arial"/>
                <w:sz w:val="21"/>
              </w:rPr>
            </w:pPr>
          </w:p>
        </w:tc>
        <w:tc>
          <w:tcPr>
            <w:tcW w:w="1680" w:type="dxa"/>
            <w:vMerge w:val="continue"/>
            <w:tcBorders>
              <w:top w:val="nil"/>
              <w:bottom w:val="nil"/>
            </w:tcBorders>
            <w:vAlign w:val="top"/>
          </w:tcPr>
          <w:p w14:paraId="039B14B1">
            <w:pPr>
              <w:rPr>
                <w:rFonts w:ascii="Arial"/>
                <w:sz w:val="21"/>
              </w:rPr>
            </w:pPr>
          </w:p>
        </w:tc>
        <w:tc>
          <w:tcPr>
            <w:tcW w:w="1056" w:type="dxa"/>
            <w:tcBorders>
              <w:right w:val="nil"/>
            </w:tcBorders>
            <w:vAlign w:val="top"/>
          </w:tcPr>
          <w:p w14:paraId="264B9D68">
            <w:pPr>
              <w:spacing w:before="18" w:line="281" w:lineRule="exact"/>
              <w:ind w:left="17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1.2</w:t>
            </w:r>
            <w:r>
              <w:rPr>
                <w:rFonts w:ascii="Times New Roman" w:hAnsi="Times New Roman" w:eastAsia="Times New Roman" w:cs="Times New Roman"/>
                <w:spacing w:val="1"/>
                <w:position w:val="2"/>
                <w:sz w:val="20"/>
                <w:szCs w:val="20"/>
              </w:rPr>
              <w:t>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1"/>
                <w:position w:val="2"/>
                <w:sz w:val="20"/>
                <w:szCs w:val="20"/>
              </w:rPr>
              <w:t>/</w:t>
            </w:r>
            <w:r>
              <w:rPr>
                <w:rFonts w:ascii="Times New Roman" w:hAnsi="Times New Roman" w:eastAsia="Times New Roman" w:cs="Times New Roman"/>
                <w:position w:val="2"/>
                <w:sz w:val="20"/>
                <w:szCs w:val="20"/>
              </w:rPr>
              <w:t>kg</w:t>
            </w:r>
          </w:p>
        </w:tc>
      </w:tr>
      <w:tr w14:paraId="00547A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46" w:type="dxa"/>
            <w:tcBorders>
              <w:left w:val="nil"/>
            </w:tcBorders>
            <w:vAlign w:val="top"/>
          </w:tcPr>
          <w:p w14:paraId="45028E34">
            <w:pPr>
              <w:spacing w:before="94" w:line="195" w:lineRule="auto"/>
              <w:ind w:left="19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4</w:t>
            </w:r>
          </w:p>
        </w:tc>
        <w:tc>
          <w:tcPr>
            <w:tcW w:w="1650" w:type="dxa"/>
            <w:vAlign w:val="top"/>
          </w:tcPr>
          <w:p w14:paraId="1B7AE8C2">
            <w:pPr>
              <w:spacing w:before="58" w:line="233" w:lineRule="auto"/>
              <w:ind w:left="259"/>
              <w:rPr>
                <w:rFonts w:ascii="宋体" w:hAnsi="宋体" w:eastAsia="宋体" w:cs="宋体"/>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2-</w:t>
            </w:r>
            <w:r>
              <w:rPr>
                <w:rFonts w:ascii="宋体" w:hAnsi="宋体" w:eastAsia="宋体" w:cs="宋体"/>
                <w:spacing w:val="3"/>
                <w:sz w:val="20"/>
                <w:szCs w:val="20"/>
              </w:rPr>
              <w:t>二氯乙烷</w:t>
            </w:r>
          </w:p>
        </w:tc>
        <w:tc>
          <w:tcPr>
            <w:tcW w:w="3420" w:type="dxa"/>
            <w:vMerge w:val="continue"/>
            <w:tcBorders>
              <w:top w:val="nil"/>
              <w:bottom w:val="nil"/>
            </w:tcBorders>
            <w:vAlign w:val="top"/>
          </w:tcPr>
          <w:p w14:paraId="507B6846">
            <w:pPr>
              <w:rPr>
                <w:rFonts w:ascii="Arial"/>
                <w:sz w:val="21"/>
              </w:rPr>
            </w:pPr>
          </w:p>
        </w:tc>
        <w:tc>
          <w:tcPr>
            <w:tcW w:w="1680" w:type="dxa"/>
            <w:vMerge w:val="continue"/>
            <w:tcBorders>
              <w:top w:val="nil"/>
              <w:bottom w:val="nil"/>
            </w:tcBorders>
            <w:vAlign w:val="top"/>
          </w:tcPr>
          <w:p w14:paraId="50CE50CE">
            <w:pPr>
              <w:rPr>
                <w:rFonts w:ascii="Arial"/>
                <w:sz w:val="21"/>
              </w:rPr>
            </w:pPr>
          </w:p>
        </w:tc>
        <w:tc>
          <w:tcPr>
            <w:tcW w:w="1056" w:type="dxa"/>
            <w:tcBorders>
              <w:right w:val="nil"/>
            </w:tcBorders>
            <w:vAlign w:val="top"/>
          </w:tcPr>
          <w:p w14:paraId="1CBA6F1D">
            <w:pPr>
              <w:spacing w:before="20" w:line="281" w:lineRule="exact"/>
              <w:ind w:left="17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1.3</w:t>
            </w:r>
            <w:r>
              <w:rPr>
                <w:rFonts w:ascii="Times New Roman" w:hAnsi="Times New Roman" w:eastAsia="Times New Roman" w:cs="Times New Roman"/>
                <w:spacing w:val="1"/>
                <w:position w:val="2"/>
                <w:sz w:val="20"/>
                <w:szCs w:val="20"/>
              </w:rPr>
              <w:t>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1"/>
                <w:position w:val="2"/>
                <w:sz w:val="20"/>
                <w:szCs w:val="20"/>
              </w:rPr>
              <w:t>/</w:t>
            </w:r>
            <w:r>
              <w:rPr>
                <w:rFonts w:ascii="Times New Roman" w:hAnsi="Times New Roman" w:eastAsia="Times New Roman" w:cs="Times New Roman"/>
                <w:position w:val="2"/>
                <w:sz w:val="20"/>
                <w:szCs w:val="20"/>
              </w:rPr>
              <w:t>kg</w:t>
            </w:r>
          </w:p>
        </w:tc>
      </w:tr>
      <w:tr w14:paraId="361D13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46" w:type="dxa"/>
            <w:tcBorders>
              <w:left w:val="nil"/>
            </w:tcBorders>
            <w:vAlign w:val="top"/>
          </w:tcPr>
          <w:p w14:paraId="09AE0CF8">
            <w:pPr>
              <w:spacing w:before="93" w:line="195" w:lineRule="auto"/>
              <w:ind w:left="19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c>
          <w:tcPr>
            <w:tcW w:w="1650" w:type="dxa"/>
            <w:vAlign w:val="top"/>
          </w:tcPr>
          <w:p w14:paraId="5B91952E">
            <w:pPr>
              <w:spacing w:before="57" w:line="233" w:lineRule="auto"/>
              <w:ind w:left="259"/>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2"/>
                <w:sz w:val="20"/>
                <w:szCs w:val="20"/>
              </w:rPr>
              <w:t>, 1-</w:t>
            </w:r>
            <w:r>
              <w:rPr>
                <w:rFonts w:ascii="宋体" w:hAnsi="宋体" w:eastAsia="宋体" w:cs="宋体"/>
                <w:spacing w:val="-2"/>
                <w:sz w:val="20"/>
                <w:szCs w:val="20"/>
              </w:rPr>
              <w:t>二氯乙烯</w:t>
            </w:r>
          </w:p>
        </w:tc>
        <w:tc>
          <w:tcPr>
            <w:tcW w:w="3420" w:type="dxa"/>
            <w:vMerge w:val="continue"/>
            <w:tcBorders>
              <w:top w:val="nil"/>
              <w:bottom w:val="nil"/>
            </w:tcBorders>
            <w:vAlign w:val="top"/>
          </w:tcPr>
          <w:p w14:paraId="08BEF723">
            <w:pPr>
              <w:rPr>
                <w:rFonts w:ascii="Arial"/>
                <w:sz w:val="21"/>
              </w:rPr>
            </w:pPr>
          </w:p>
        </w:tc>
        <w:tc>
          <w:tcPr>
            <w:tcW w:w="1680" w:type="dxa"/>
            <w:vMerge w:val="continue"/>
            <w:tcBorders>
              <w:top w:val="nil"/>
              <w:bottom w:val="nil"/>
            </w:tcBorders>
            <w:vAlign w:val="top"/>
          </w:tcPr>
          <w:p w14:paraId="26F6C817">
            <w:pPr>
              <w:rPr>
                <w:rFonts w:ascii="Arial"/>
                <w:sz w:val="21"/>
              </w:rPr>
            </w:pPr>
          </w:p>
        </w:tc>
        <w:tc>
          <w:tcPr>
            <w:tcW w:w="1056" w:type="dxa"/>
            <w:tcBorders>
              <w:right w:val="nil"/>
            </w:tcBorders>
            <w:vAlign w:val="top"/>
          </w:tcPr>
          <w:p w14:paraId="127036C2">
            <w:pPr>
              <w:spacing w:before="20" w:line="281" w:lineRule="exact"/>
              <w:ind w:left="17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1.0</w:t>
            </w:r>
            <w:r>
              <w:rPr>
                <w:rFonts w:ascii="Times New Roman" w:hAnsi="Times New Roman" w:eastAsia="Times New Roman" w:cs="Times New Roman"/>
                <w:spacing w:val="1"/>
                <w:position w:val="2"/>
                <w:sz w:val="20"/>
                <w:szCs w:val="20"/>
              </w:rPr>
              <w:t>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1"/>
                <w:position w:val="2"/>
                <w:sz w:val="20"/>
                <w:szCs w:val="20"/>
              </w:rPr>
              <w:t>/</w:t>
            </w:r>
            <w:r>
              <w:rPr>
                <w:rFonts w:ascii="Times New Roman" w:hAnsi="Times New Roman" w:eastAsia="Times New Roman" w:cs="Times New Roman"/>
                <w:position w:val="2"/>
                <w:sz w:val="20"/>
                <w:szCs w:val="20"/>
              </w:rPr>
              <w:t>kg</w:t>
            </w:r>
          </w:p>
        </w:tc>
      </w:tr>
      <w:tr w14:paraId="6E284E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46" w:type="dxa"/>
            <w:tcBorders>
              <w:left w:val="nil"/>
            </w:tcBorders>
            <w:vAlign w:val="top"/>
          </w:tcPr>
          <w:p w14:paraId="59189DCB">
            <w:pPr>
              <w:spacing w:before="93" w:line="195" w:lineRule="auto"/>
              <w:ind w:left="19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6</w:t>
            </w:r>
          </w:p>
        </w:tc>
        <w:tc>
          <w:tcPr>
            <w:tcW w:w="1650" w:type="dxa"/>
            <w:vAlign w:val="top"/>
          </w:tcPr>
          <w:p w14:paraId="2E22B378">
            <w:pPr>
              <w:spacing w:before="57" w:line="233" w:lineRule="auto"/>
              <w:ind w:left="107"/>
              <w:rPr>
                <w:rFonts w:ascii="宋体" w:hAnsi="宋体" w:eastAsia="宋体" w:cs="宋体"/>
                <w:sz w:val="20"/>
                <w:szCs w:val="20"/>
              </w:rPr>
            </w:pPr>
            <w:r>
              <w:rPr>
                <w:rFonts w:ascii="宋体" w:hAnsi="宋体" w:eastAsia="宋体" w:cs="宋体"/>
                <w:spacing w:val="1"/>
                <w:sz w:val="20"/>
                <w:szCs w:val="20"/>
              </w:rPr>
              <w:t>顺</w:t>
            </w:r>
            <w:r>
              <w:rPr>
                <w:rFonts w:ascii="Times New Roman" w:hAnsi="Times New Roman" w:eastAsia="Times New Roman" w:cs="Times New Roman"/>
                <w:spacing w:val="1"/>
                <w:sz w:val="20"/>
                <w:szCs w:val="20"/>
              </w:rPr>
              <w:t>- 1,2-</w:t>
            </w:r>
            <w:r>
              <w:rPr>
                <w:rFonts w:ascii="宋体" w:hAnsi="宋体" w:eastAsia="宋体" w:cs="宋体"/>
                <w:sz w:val="20"/>
                <w:szCs w:val="20"/>
              </w:rPr>
              <w:t>二氯乙烯</w:t>
            </w:r>
          </w:p>
        </w:tc>
        <w:tc>
          <w:tcPr>
            <w:tcW w:w="3420" w:type="dxa"/>
            <w:vMerge w:val="continue"/>
            <w:tcBorders>
              <w:top w:val="nil"/>
              <w:bottom w:val="nil"/>
            </w:tcBorders>
            <w:vAlign w:val="top"/>
          </w:tcPr>
          <w:p w14:paraId="07145FEC">
            <w:pPr>
              <w:rPr>
                <w:rFonts w:ascii="Arial"/>
                <w:sz w:val="21"/>
              </w:rPr>
            </w:pPr>
          </w:p>
        </w:tc>
        <w:tc>
          <w:tcPr>
            <w:tcW w:w="1680" w:type="dxa"/>
            <w:vMerge w:val="continue"/>
            <w:tcBorders>
              <w:top w:val="nil"/>
              <w:bottom w:val="nil"/>
            </w:tcBorders>
            <w:vAlign w:val="top"/>
          </w:tcPr>
          <w:p w14:paraId="11B2C9E0">
            <w:pPr>
              <w:rPr>
                <w:rFonts w:ascii="Arial"/>
                <w:sz w:val="21"/>
              </w:rPr>
            </w:pPr>
          </w:p>
        </w:tc>
        <w:tc>
          <w:tcPr>
            <w:tcW w:w="1056" w:type="dxa"/>
            <w:tcBorders>
              <w:right w:val="nil"/>
            </w:tcBorders>
            <w:vAlign w:val="top"/>
          </w:tcPr>
          <w:p w14:paraId="5DD72A38">
            <w:pPr>
              <w:spacing w:before="19" w:line="281" w:lineRule="exact"/>
              <w:ind w:left="17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1.3</w:t>
            </w:r>
            <w:r>
              <w:rPr>
                <w:rFonts w:ascii="Times New Roman" w:hAnsi="Times New Roman" w:eastAsia="Times New Roman" w:cs="Times New Roman"/>
                <w:spacing w:val="1"/>
                <w:position w:val="2"/>
                <w:sz w:val="20"/>
                <w:szCs w:val="20"/>
              </w:rPr>
              <w:t>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1"/>
                <w:position w:val="2"/>
                <w:sz w:val="20"/>
                <w:szCs w:val="20"/>
              </w:rPr>
              <w:t>/</w:t>
            </w:r>
            <w:r>
              <w:rPr>
                <w:rFonts w:ascii="Times New Roman" w:hAnsi="Times New Roman" w:eastAsia="Times New Roman" w:cs="Times New Roman"/>
                <w:position w:val="2"/>
                <w:sz w:val="20"/>
                <w:szCs w:val="20"/>
              </w:rPr>
              <w:t>kg</w:t>
            </w:r>
          </w:p>
        </w:tc>
      </w:tr>
      <w:tr w14:paraId="095CDC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546" w:type="dxa"/>
            <w:tcBorders>
              <w:left w:val="nil"/>
            </w:tcBorders>
            <w:vAlign w:val="top"/>
          </w:tcPr>
          <w:p w14:paraId="53FE7265">
            <w:pPr>
              <w:spacing w:before="92" w:line="195" w:lineRule="auto"/>
              <w:ind w:left="19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7</w:t>
            </w:r>
          </w:p>
        </w:tc>
        <w:tc>
          <w:tcPr>
            <w:tcW w:w="1650" w:type="dxa"/>
            <w:vAlign w:val="top"/>
          </w:tcPr>
          <w:p w14:paraId="6D8DF26E">
            <w:pPr>
              <w:spacing w:before="56" w:line="233" w:lineRule="auto"/>
              <w:ind w:left="107"/>
              <w:rPr>
                <w:rFonts w:ascii="宋体" w:hAnsi="宋体" w:eastAsia="宋体" w:cs="宋体"/>
                <w:sz w:val="20"/>
                <w:szCs w:val="20"/>
              </w:rPr>
            </w:pPr>
            <w:r>
              <w:rPr>
                <w:rFonts w:ascii="宋体" w:hAnsi="宋体" w:eastAsia="宋体" w:cs="宋体"/>
                <w:spacing w:val="1"/>
                <w:sz w:val="20"/>
                <w:szCs w:val="20"/>
              </w:rPr>
              <w:t>反</w:t>
            </w:r>
            <w:r>
              <w:rPr>
                <w:rFonts w:ascii="Times New Roman" w:hAnsi="Times New Roman" w:eastAsia="Times New Roman" w:cs="Times New Roman"/>
                <w:spacing w:val="1"/>
                <w:sz w:val="20"/>
                <w:szCs w:val="20"/>
              </w:rPr>
              <w:t>- 1,2-</w:t>
            </w:r>
            <w:r>
              <w:rPr>
                <w:rFonts w:ascii="宋体" w:hAnsi="宋体" w:eastAsia="宋体" w:cs="宋体"/>
                <w:sz w:val="20"/>
                <w:szCs w:val="20"/>
              </w:rPr>
              <w:t>二氯乙烯</w:t>
            </w:r>
          </w:p>
        </w:tc>
        <w:tc>
          <w:tcPr>
            <w:tcW w:w="3420" w:type="dxa"/>
            <w:vMerge w:val="continue"/>
            <w:tcBorders>
              <w:top w:val="nil"/>
            </w:tcBorders>
            <w:vAlign w:val="top"/>
          </w:tcPr>
          <w:p w14:paraId="3B0B78D5">
            <w:pPr>
              <w:rPr>
                <w:rFonts w:ascii="Arial"/>
                <w:sz w:val="21"/>
              </w:rPr>
            </w:pPr>
          </w:p>
        </w:tc>
        <w:tc>
          <w:tcPr>
            <w:tcW w:w="1680" w:type="dxa"/>
            <w:vMerge w:val="continue"/>
            <w:tcBorders>
              <w:top w:val="nil"/>
            </w:tcBorders>
            <w:vAlign w:val="top"/>
          </w:tcPr>
          <w:p w14:paraId="4757D760">
            <w:pPr>
              <w:rPr>
                <w:rFonts w:ascii="Arial"/>
                <w:sz w:val="21"/>
              </w:rPr>
            </w:pPr>
          </w:p>
        </w:tc>
        <w:tc>
          <w:tcPr>
            <w:tcW w:w="1056" w:type="dxa"/>
            <w:tcBorders>
              <w:right w:val="nil"/>
            </w:tcBorders>
            <w:vAlign w:val="top"/>
          </w:tcPr>
          <w:p w14:paraId="64E43DB3">
            <w:pPr>
              <w:spacing w:before="19" w:line="281" w:lineRule="exact"/>
              <w:ind w:left="17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1.4</w:t>
            </w:r>
            <w:r>
              <w:rPr>
                <w:rFonts w:ascii="Times New Roman" w:hAnsi="Times New Roman" w:eastAsia="Times New Roman" w:cs="Times New Roman"/>
                <w:spacing w:val="1"/>
                <w:position w:val="2"/>
                <w:sz w:val="20"/>
                <w:szCs w:val="20"/>
              </w:rPr>
              <w:t>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1"/>
                <w:position w:val="2"/>
                <w:sz w:val="20"/>
                <w:szCs w:val="20"/>
              </w:rPr>
              <w:t>/</w:t>
            </w:r>
            <w:r>
              <w:rPr>
                <w:rFonts w:ascii="Times New Roman" w:hAnsi="Times New Roman" w:eastAsia="Times New Roman" w:cs="Times New Roman"/>
                <w:position w:val="2"/>
                <w:sz w:val="20"/>
                <w:szCs w:val="20"/>
              </w:rPr>
              <w:t>kg</w:t>
            </w:r>
          </w:p>
        </w:tc>
      </w:tr>
    </w:tbl>
    <w:p w14:paraId="283683FB">
      <w:pPr>
        <w:rPr>
          <w:rFonts w:ascii="Arial"/>
          <w:sz w:val="21"/>
        </w:rPr>
      </w:pPr>
    </w:p>
    <w:p w14:paraId="70169A03">
      <w:pPr>
        <w:sectPr>
          <w:headerReference r:id="rId180" w:type="default"/>
          <w:footerReference r:id="rId181" w:type="default"/>
          <w:pgSz w:w="11906" w:h="16839"/>
          <w:pgMar w:top="1132" w:right="1776" w:bottom="1182" w:left="1776" w:header="878" w:footer="1022" w:gutter="0"/>
          <w:cols w:space="720" w:num="1"/>
        </w:sectPr>
      </w:pPr>
    </w:p>
    <w:p w14:paraId="65278363">
      <w:r>
        <w:pict>
          <v:rect id="_x0000_s1227" o:spid="_x0000_s1227" o:spt="1" style="position:absolute;left:0pt;margin-left:90pt;margin-top:57.35pt;height:0.75pt;width:415.3pt;mso-position-horizontal-relative:page;mso-position-vertical-relative:page;z-index:251879424;mso-width-relative:page;mso-height-relative:page;" fillcolor="#000000" filled="t" stroked="f" coordsize="21600,21600" o:allowincell="f">
            <v:path/>
            <v:fill on="t" focussize="0,0"/>
            <v:stroke on="f"/>
            <v:imagedata o:title=""/>
            <o:lock v:ext="edit"/>
          </v:rect>
        </w:pict>
      </w:r>
    </w:p>
    <w:p w14:paraId="03ABF90C">
      <w:pPr>
        <w:spacing w:line="65" w:lineRule="exact"/>
      </w:pPr>
    </w:p>
    <w:tbl>
      <w:tblPr>
        <w:tblStyle w:val="4"/>
        <w:tblW w:w="835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6"/>
        <w:gridCol w:w="1650"/>
        <w:gridCol w:w="3420"/>
        <w:gridCol w:w="1680"/>
        <w:gridCol w:w="1056"/>
      </w:tblGrid>
      <w:tr w14:paraId="3C4739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546" w:type="dxa"/>
            <w:tcBorders>
              <w:left w:val="nil"/>
            </w:tcBorders>
            <w:vAlign w:val="top"/>
          </w:tcPr>
          <w:p w14:paraId="5B1502CB">
            <w:pPr>
              <w:spacing w:before="111" w:line="195" w:lineRule="auto"/>
              <w:ind w:left="19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8</w:t>
            </w:r>
          </w:p>
        </w:tc>
        <w:tc>
          <w:tcPr>
            <w:tcW w:w="1650" w:type="dxa"/>
            <w:vAlign w:val="top"/>
          </w:tcPr>
          <w:p w14:paraId="43D03860">
            <w:pPr>
              <w:spacing w:before="76" w:line="228" w:lineRule="auto"/>
              <w:ind w:left="414"/>
              <w:rPr>
                <w:rFonts w:ascii="宋体" w:hAnsi="宋体" w:eastAsia="宋体" w:cs="宋体"/>
                <w:sz w:val="20"/>
                <w:szCs w:val="20"/>
              </w:rPr>
            </w:pPr>
            <w:r>
              <w:rPr>
                <w:rFonts w:ascii="宋体" w:hAnsi="宋体" w:eastAsia="宋体" w:cs="宋体"/>
                <w:spacing w:val="8"/>
                <w:sz w:val="20"/>
                <w:szCs w:val="20"/>
              </w:rPr>
              <w:t>二</w:t>
            </w:r>
            <w:r>
              <w:rPr>
                <w:rFonts w:ascii="宋体" w:hAnsi="宋体" w:eastAsia="宋体" w:cs="宋体"/>
                <w:spacing w:val="6"/>
                <w:sz w:val="20"/>
                <w:szCs w:val="20"/>
              </w:rPr>
              <w:t>氯甲烷</w:t>
            </w:r>
          </w:p>
        </w:tc>
        <w:tc>
          <w:tcPr>
            <w:tcW w:w="3420" w:type="dxa"/>
            <w:vMerge w:val="restart"/>
            <w:tcBorders>
              <w:bottom w:val="nil"/>
            </w:tcBorders>
            <w:vAlign w:val="top"/>
          </w:tcPr>
          <w:p w14:paraId="0B0981D0">
            <w:pPr>
              <w:rPr>
                <w:rFonts w:ascii="Arial"/>
                <w:sz w:val="21"/>
              </w:rPr>
            </w:pPr>
          </w:p>
        </w:tc>
        <w:tc>
          <w:tcPr>
            <w:tcW w:w="1680" w:type="dxa"/>
            <w:vMerge w:val="restart"/>
            <w:tcBorders>
              <w:bottom w:val="nil"/>
            </w:tcBorders>
            <w:vAlign w:val="top"/>
          </w:tcPr>
          <w:p w14:paraId="17AAC691">
            <w:pPr>
              <w:rPr>
                <w:rFonts w:ascii="Arial"/>
                <w:sz w:val="21"/>
              </w:rPr>
            </w:pPr>
          </w:p>
        </w:tc>
        <w:tc>
          <w:tcPr>
            <w:tcW w:w="1056" w:type="dxa"/>
            <w:tcBorders>
              <w:right w:val="nil"/>
            </w:tcBorders>
            <w:vAlign w:val="top"/>
          </w:tcPr>
          <w:p w14:paraId="2AC0C07F">
            <w:pPr>
              <w:spacing w:before="38" w:line="281" w:lineRule="exact"/>
              <w:ind w:left="17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1.5</w:t>
            </w:r>
            <w:r>
              <w:rPr>
                <w:rFonts w:ascii="Times New Roman" w:hAnsi="Times New Roman" w:eastAsia="Times New Roman" w:cs="Times New Roman"/>
                <w:spacing w:val="1"/>
                <w:position w:val="2"/>
                <w:sz w:val="20"/>
                <w:szCs w:val="20"/>
              </w:rPr>
              <w:t>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1"/>
                <w:position w:val="2"/>
                <w:sz w:val="20"/>
                <w:szCs w:val="20"/>
              </w:rPr>
              <w:t>/</w:t>
            </w:r>
            <w:r>
              <w:rPr>
                <w:rFonts w:ascii="Times New Roman" w:hAnsi="Times New Roman" w:eastAsia="Times New Roman" w:cs="Times New Roman"/>
                <w:position w:val="2"/>
                <w:sz w:val="20"/>
                <w:szCs w:val="20"/>
              </w:rPr>
              <w:t>kg</w:t>
            </w:r>
          </w:p>
        </w:tc>
      </w:tr>
      <w:tr w14:paraId="2BB735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46" w:type="dxa"/>
            <w:tcBorders>
              <w:left w:val="nil"/>
            </w:tcBorders>
            <w:vAlign w:val="top"/>
          </w:tcPr>
          <w:p w14:paraId="6C093A9E">
            <w:pPr>
              <w:spacing w:before="87" w:line="195" w:lineRule="auto"/>
              <w:ind w:left="19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9</w:t>
            </w:r>
          </w:p>
        </w:tc>
        <w:tc>
          <w:tcPr>
            <w:tcW w:w="1650" w:type="dxa"/>
            <w:vAlign w:val="top"/>
          </w:tcPr>
          <w:p w14:paraId="76E4207E">
            <w:pPr>
              <w:spacing w:before="51" w:line="233" w:lineRule="auto"/>
              <w:ind w:left="259"/>
              <w:rPr>
                <w:rFonts w:ascii="宋体" w:hAnsi="宋体" w:eastAsia="宋体" w:cs="宋体"/>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2-</w:t>
            </w:r>
            <w:r>
              <w:rPr>
                <w:rFonts w:ascii="宋体" w:hAnsi="宋体" w:eastAsia="宋体" w:cs="宋体"/>
                <w:spacing w:val="3"/>
                <w:sz w:val="20"/>
                <w:szCs w:val="20"/>
              </w:rPr>
              <w:t>二氯丙烷</w:t>
            </w:r>
          </w:p>
        </w:tc>
        <w:tc>
          <w:tcPr>
            <w:tcW w:w="3420" w:type="dxa"/>
            <w:vMerge w:val="continue"/>
            <w:tcBorders>
              <w:top w:val="nil"/>
              <w:bottom w:val="nil"/>
            </w:tcBorders>
            <w:vAlign w:val="top"/>
          </w:tcPr>
          <w:p w14:paraId="294F9AFE">
            <w:pPr>
              <w:rPr>
                <w:rFonts w:ascii="Arial"/>
                <w:sz w:val="21"/>
              </w:rPr>
            </w:pPr>
          </w:p>
        </w:tc>
        <w:tc>
          <w:tcPr>
            <w:tcW w:w="1680" w:type="dxa"/>
            <w:vMerge w:val="continue"/>
            <w:tcBorders>
              <w:top w:val="nil"/>
              <w:bottom w:val="nil"/>
            </w:tcBorders>
            <w:vAlign w:val="top"/>
          </w:tcPr>
          <w:p w14:paraId="538A304E">
            <w:pPr>
              <w:rPr>
                <w:rFonts w:ascii="Arial"/>
                <w:sz w:val="21"/>
              </w:rPr>
            </w:pPr>
          </w:p>
        </w:tc>
        <w:tc>
          <w:tcPr>
            <w:tcW w:w="1056" w:type="dxa"/>
            <w:tcBorders>
              <w:right w:val="nil"/>
            </w:tcBorders>
            <w:vAlign w:val="top"/>
          </w:tcPr>
          <w:p w14:paraId="6E21FD7B">
            <w:pPr>
              <w:spacing w:before="13" w:line="281" w:lineRule="exact"/>
              <w:ind w:left="176"/>
              <w:rPr>
                <w:rFonts w:ascii="Times New Roman" w:hAnsi="Times New Roman" w:eastAsia="Times New Roman" w:cs="Times New Roman"/>
                <w:sz w:val="20"/>
                <w:szCs w:val="20"/>
              </w:rPr>
            </w:pPr>
            <w:r>
              <w:rPr>
                <w:rFonts w:ascii="Times New Roman" w:hAnsi="Times New Roman" w:eastAsia="Times New Roman" w:cs="Times New Roman"/>
                <w:spacing w:val="-8"/>
                <w:position w:val="4"/>
                <w:sz w:val="20"/>
                <w:szCs w:val="20"/>
              </w:rPr>
              <w:t>1</w:t>
            </w:r>
            <w:r>
              <w:rPr>
                <w:rFonts w:ascii="Times New Roman" w:hAnsi="Times New Roman" w:eastAsia="Times New Roman" w:cs="Times New Roman"/>
                <w:spacing w:val="-6"/>
                <w:position w:val="4"/>
                <w:sz w:val="20"/>
                <w:szCs w:val="20"/>
              </w:rPr>
              <w:t>.</w:t>
            </w:r>
            <w:r>
              <w:rPr>
                <w:rFonts w:ascii="Times New Roman" w:hAnsi="Times New Roman" w:eastAsia="Times New Roman" w:cs="Times New Roman"/>
                <w:spacing w:val="-4"/>
                <w:position w:val="4"/>
                <w:sz w:val="20"/>
                <w:szCs w:val="20"/>
              </w:rPr>
              <w:t xml:space="preserve"> 1μg/kg</w:t>
            </w:r>
          </w:p>
        </w:tc>
      </w:tr>
      <w:tr w14:paraId="04E5BB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46" w:type="dxa"/>
            <w:tcBorders>
              <w:left w:val="nil"/>
            </w:tcBorders>
            <w:vAlign w:val="top"/>
          </w:tcPr>
          <w:p w14:paraId="3F574AAD">
            <w:pPr>
              <w:spacing w:before="89" w:line="195" w:lineRule="auto"/>
              <w:ind w:left="17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0</w:t>
            </w:r>
          </w:p>
        </w:tc>
        <w:tc>
          <w:tcPr>
            <w:tcW w:w="1650" w:type="dxa"/>
            <w:vAlign w:val="top"/>
          </w:tcPr>
          <w:p w14:paraId="24FFC36C">
            <w:pPr>
              <w:spacing w:before="52" w:line="221" w:lineRule="auto"/>
              <w:ind w:left="103"/>
              <w:rPr>
                <w:rFonts w:ascii="宋体" w:hAnsi="宋体" w:eastAsia="宋体" w:cs="宋体"/>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 xml:space="preserve">, 1, 1,2- </w:t>
            </w:r>
            <w:r>
              <w:rPr>
                <w:rFonts w:ascii="宋体" w:hAnsi="宋体" w:eastAsia="宋体" w:cs="宋体"/>
                <w:spacing w:val="-7"/>
                <w:sz w:val="20"/>
                <w:szCs w:val="20"/>
              </w:rPr>
              <w:t>四氯乙烷</w:t>
            </w:r>
          </w:p>
        </w:tc>
        <w:tc>
          <w:tcPr>
            <w:tcW w:w="3420" w:type="dxa"/>
            <w:vMerge w:val="continue"/>
            <w:tcBorders>
              <w:top w:val="nil"/>
              <w:bottom w:val="nil"/>
            </w:tcBorders>
            <w:vAlign w:val="top"/>
          </w:tcPr>
          <w:p w14:paraId="10941791">
            <w:pPr>
              <w:rPr>
                <w:rFonts w:ascii="Arial"/>
                <w:sz w:val="21"/>
              </w:rPr>
            </w:pPr>
          </w:p>
        </w:tc>
        <w:tc>
          <w:tcPr>
            <w:tcW w:w="1680" w:type="dxa"/>
            <w:vMerge w:val="continue"/>
            <w:tcBorders>
              <w:top w:val="nil"/>
              <w:bottom w:val="nil"/>
            </w:tcBorders>
            <w:vAlign w:val="top"/>
          </w:tcPr>
          <w:p w14:paraId="71E43EF8">
            <w:pPr>
              <w:rPr>
                <w:rFonts w:ascii="Arial"/>
                <w:sz w:val="21"/>
              </w:rPr>
            </w:pPr>
          </w:p>
        </w:tc>
        <w:tc>
          <w:tcPr>
            <w:tcW w:w="1056" w:type="dxa"/>
            <w:tcBorders>
              <w:right w:val="nil"/>
            </w:tcBorders>
            <w:vAlign w:val="top"/>
          </w:tcPr>
          <w:p w14:paraId="63E2D575">
            <w:pPr>
              <w:spacing w:before="15" w:line="281" w:lineRule="exact"/>
              <w:ind w:left="17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1.2</w:t>
            </w:r>
            <w:r>
              <w:rPr>
                <w:rFonts w:ascii="Times New Roman" w:hAnsi="Times New Roman" w:eastAsia="Times New Roman" w:cs="Times New Roman"/>
                <w:spacing w:val="1"/>
                <w:position w:val="2"/>
                <w:sz w:val="20"/>
                <w:szCs w:val="20"/>
              </w:rPr>
              <w:t>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1"/>
                <w:position w:val="2"/>
                <w:sz w:val="20"/>
                <w:szCs w:val="20"/>
              </w:rPr>
              <w:t>/</w:t>
            </w:r>
            <w:r>
              <w:rPr>
                <w:rFonts w:ascii="Times New Roman" w:hAnsi="Times New Roman" w:eastAsia="Times New Roman" w:cs="Times New Roman"/>
                <w:position w:val="2"/>
                <w:sz w:val="20"/>
                <w:szCs w:val="20"/>
              </w:rPr>
              <w:t>kg</w:t>
            </w:r>
          </w:p>
        </w:tc>
      </w:tr>
      <w:tr w14:paraId="1F8E10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46" w:type="dxa"/>
            <w:tcBorders>
              <w:left w:val="nil"/>
            </w:tcBorders>
            <w:vAlign w:val="top"/>
          </w:tcPr>
          <w:p w14:paraId="16DE3503">
            <w:pPr>
              <w:spacing w:before="88" w:line="195" w:lineRule="auto"/>
              <w:ind w:left="17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1</w:t>
            </w:r>
          </w:p>
        </w:tc>
        <w:tc>
          <w:tcPr>
            <w:tcW w:w="1650" w:type="dxa"/>
            <w:vAlign w:val="top"/>
          </w:tcPr>
          <w:p w14:paraId="306D000F">
            <w:pPr>
              <w:spacing w:before="53" w:line="233" w:lineRule="auto"/>
              <w:ind w:left="103"/>
              <w:rPr>
                <w:rFonts w:ascii="宋体" w:hAnsi="宋体" w:eastAsia="宋体" w:cs="宋体"/>
                <w:sz w:val="20"/>
                <w:szCs w:val="20"/>
              </w:rPr>
            </w:pPr>
            <w:r>
              <w:rPr>
                <w:rFonts w:ascii="Times New Roman" w:hAnsi="Times New Roman" w:eastAsia="Times New Roman" w:cs="Times New Roman"/>
                <w:spacing w:val="-4"/>
                <w:sz w:val="20"/>
                <w:szCs w:val="20"/>
              </w:rPr>
              <w:t xml:space="preserve">1, 1,2,2- </w:t>
            </w:r>
            <w:r>
              <w:rPr>
                <w:rFonts w:ascii="宋体" w:hAnsi="宋体" w:eastAsia="宋体" w:cs="宋体"/>
                <w:spacing w:val="-4"/>
                <w:sz w:val="20"/>
                <w:szCs w:val="20"/>
              </w:rPr>
              <w:t>四氯乙烷</w:t>
            </w:r>
          </w:p>
        </w:tc>
        <w:tc>
          <w:tcPr>
            <w:tcW w:w="3420" w:type="dxa"/>
            <w:vMerge w:val="continue"/>
            <w:tcBorders>
              <w:top w:val="nil"/>
              <w:bottom w:val="nil"/>
            </w:tcBorders>
            <w:vAlign w:val="top"/>
          </w:tcPr>
          <w:p w14:paraId="55583165">
            <w:pPr>
              <w:rPr>
                <w:rFonts w:ascii="Arial"/>
                <w:sz w:val="21"/>
              </w:rPr>
            </w:pPr>
          </w:p>
        </w:tc>
        <w:tc>
          <w:tcPr>
            <w:tcW w:w="1680" w:type="dxa"/>
            <w:vMerge w:val="continue"/>
            <w:tcBorders>
              <w:top w:val="nil"/>
              <w:bottom w:val="nil"/>
            </w:tcBorders>
            <w:vAlign w:val="top"/>
          </w:tcPr>
          <w:p w14:paraId="575B6632">
            <w:pPr>
              <w:rPr>
                <w:rFonts w:ascii="Arial"/>
                <w:sz w:val="21"/>
              </w:rPr>
            </w:pPr>
          </w:p>
        </w:tc>
        <w:tc>
          <w:tcPr>
            <w:tcW w:w="1056" w:type="dxa"/>
            <w:tcBorders>
              <w:right w:val="nil"/>
            </w:tcBorders>
            <w:vAlign w:val="top"/>
          </w:tcPr>
          <w:p w14:paraId="786C28CB">
            <w:pPr>
              <w:spacing w:before="15" w:line="281" w:lineRule="exact"/>
              <w:ind w:left="17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1.2</w:t>
            </w:r>
            <w:r>
              <w:rPr>
                <w:rFonts w:ascii="Times New Roman" w:hAnsi="Times New Roman" w:eastAsia="Times New Roman" w:cs="Times New Roman"/>
                <w:spacing w:val="1"/>
                <w:position w:val="2"/>
                <w:sz w:val="20"/>
                <w:szCs w:val="20"/>
              </w:rPr>
              <w:t>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1"/>
                <w:position w:val="2"/>
                <w:sz w:val="20"/>
                <w:szCs w:val="20"/>
              </w:rPr>
              <w:t>/</w:t>
            </w:r>
            <w:r>
              <w:rPr>
                <w:rFonts w:ascii="Times New Roman" w:hAnsi="Times New Roman" w:eastAsia="Times New Roman" w:cs="Times New Roman"/>
                <w:position w:val="2"/>
                <w:sz w:val="20"/>
                <w:szCs w:val="20"/>
              </w:rPr>
              <w:t>kg</w:t>
            </w:r>
          </w:p>
        </w:tc>
      </w:tr>
      <w:tr w14:paraId="060405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46" w:type="dxa"/>
            <w:tcBorders>
              <w:left w:val="nil"/>
            </w:tcBorders>
            <w:vAlign w:val="top"/>
          </w:tcPr>
          <w:p w14:paraId="267A1771">
            <w:pPr>
              <w:spacing w:before="89" w:line="195" w:lineRule="auto"/>
              <w:ind w:left="17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2</w:t>
            </w:r>
          </w:p>
        </w:tc>
        <w:tc>
          <w:tcPr>
            <w:tcW w:w="1650" w:type="dxa"/>
            <w:vAlign w:val="top"/>
          </w:tcPr>
          <w:p w14:paraId="13C413DD">
            <w:pPr>
              <w:spacing w:before="53" w:line="228" w:lineRule="auto"/>
              <w:ind w:left="431"/>
              <w:rPr>
                <w:rFonts w:ascii="宋体" w:hAnsi="宋体" w:eastAsia="宋体" w:cs="宋体"/>
                <w:sz w:val="20"/>
                <w:szCs w:val="20"/>
              </w:rPr>
            </w:pPr>
            <w:r>
              <w:rPr>
                <w:rFonts w:ascii="宋体" w:hAnsi="宋体" w:eastAsia="宋体" w:cs="宋体"/>
                <w:spacing w:val="3"/>
                <w:sz w:val="20"/>
                <w:szCs w:val="20"/>
              </w:rPr>
              <w:t>四</w:t>
            </w:r>
            <w:r>
              <w:rPr>
                <w:rFonts w:ascii="宋体" w:hAnsi="宋体" w:eastAsia="宋体" w:cs="宋体"/>
                <w:spacing w:val="2"/>
                <w:sz w:val="20"/>
                <w:szCs w:val="20"/>
              </w:rPr>
              <w:t>氯乙烯</w:t>
            </w:r>
          </w:p>
        </w:tc>
        <w:tc>
          <w:tcPr>
            <w:tcW w:w="3420" w:type="dxa"/>
            <w:vMerge w:val="continue"/>
            <w:tcBorders>
              <w:top w:val="nil"/>
              <w:bottom w:val="nil"/>
            </w:tcBorders>
            <w:vAlign w:val="top"/>
          </w:tcPr>
          <w:p w14:paraId="55A7B961">
            <w:pPr>
              <w:rPr>
                <w:rFonts w:ascii="Arial"/>
                <w:sz w:val="21"/>
              </w:rPr>
            </w:pPr>
          </w:p>
        </w:tc>
        <w:tc>
          <w:tcPr>
            <w:tcW w:w="1680" w:type="dxa"/>
            <w:vMerge w:val="continue"/>
            <w:tcBorders>
              <w:top w:val="nil"/>
              <w:bottom w:val="nil"/>
            </w:tcBorders>
            <w:vAlign w:val="top"/>
          </w:tcPr>
          <w:p w14:paraId="13A849A7">
            <w:pPr>
              <w:rPr>
                <w:rFonts w:ascii="Arial"/>
                <w:sz w:val="21"/>
              </w:rPr>
            </w:pPr>
          </w:p>
        </w:tc>
        <w:tc>
          <w:tcPr>
            <w:tcW w:w="1056" w:type="dxa"/>
            <w:tcBorders>
              <w:right w:val="nil"/>
            </w:tcBorders>
            <w:vAlign w:val="top"/>
          </w:tcPr>
          <w:p w14:paraId="7B31264C">
            <w:pPr>
              <w:spacing w:before="15" w:line="281" w:lineRule="exact"/>
              <w:ind w:left="17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1.4</w:t>
            </w:r>
            <w:r>
              <w:rPr>
                <w:rFonts w:ascii="Times New Roman" w:hAnsi="Times New Roman" w:eastAsia="Times New Roman" w:cs="Times New Roman"/>
                <w:spacing w:val="1"/>
                <w:position w:val="2"/>
                <w:sz w:val="20"/>
                <w:szCs w:val="20"/>
              </w:rPr>
              <w:t>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1"/>
                <w:position w:val="2"/>
                <w:sz w:val="20"/>
                <w:szCs w:val="20"/>
              </w:rPr>
              <w:t>/</w:t>
            </w:r>
            <w:r>
              <w:rPr>
                <w:rFonts w:ascii="Times New Roman" w:hAnsi="Times New Roman" w:eastAsia="Times New Roman" w:cs="Times New Roman"/>
                <w:position w:val="2"/>
                <w:sz w:val="20"/>
                <w:szCs w:val="20"/>
              </w:rPr>
              <w:t>kg</w:t>
            </w:r>
          </w:p>
        </w:tc>
      </w:tr>
      <w:tr w14:paraId="7B95D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46" w:type="dxa"/>
            <w:tcBorders>
              <w:left w:val="nil"/>
            </w:tcBorders>
            <w:vAlign w:val="top"/>
          </w:tcPr>
          <w:p w14:paraId="7DF4144B">
            <w:pPr>
              <w:spacing w:before="89" w:line="195" w:lineRule="auto"/>
              <w:ind w:left="17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3</w:t>
            </w:r>
          </w:p>
        </w:tc>
        <w:tc>
          <w:tcPr>
            <w:tcW w:w="1650" w:type="dxa"/>
            <w:vAlign w:val="top"/>
          </w:tcPr>
          <w:p w14:paraId="4332DF8A">
            <w:pPr>
              <w:spacing w:before="54" w:line="233" w:lineRule="auto"/>
              <w:ind w:left="182"/>
              <w:rPr>
                <w:rFonts w:ascii="宋体" w:hAnsi="宋体" w:eastAsia="宋体" w:cs="宋体"/>
                <w:sz w:val="20"/>
                <w:szCs w:val="20"/>
              </w:rPr>
            </w:pPr>
            <w:r>
              <w:rPr>
                <w:rFonts w:ascii="Times New Roman" w:hAnsi="Times New Roman" w:eastAsia="Times New Roman" w:cs="Times New Roman"/>
                <w:spacing w:val="-9"/>
                <w:sz w:val="20"/>
                <w:szCs w:val="20"/>
              </w:rPr>
              <w:t>1</w:t>
            </w:r>
            <w:r>
              <w:rPr>
                <w:rFonts w:ascii="Times New Roman" w:hAnsi="Times New Roman" w:eastAsia="Times New Roman" w:cs="Times New Roman"/>
                <w:spacing w:val="-5"/>
                <w:sz w:val="20"/>
                <w:szCs w:val="20"/>
              </w:rPr>
              <w:t>, 1, 1-</w:t>
            </w:r>
            <w:r>
              <w:rPr>
                <w:rFonts w:ascii="宋体" w:hAnsi="宋体" w:eastAsia="宋体" w:cs="宋体"/>
                <w:spacing w:val="-5"/>
                <w:sz w:val="20"/>
                <w:szCs w:val="20"/>
              </w:rPr>
              <w:t>三氯乙烷</w:t>
            </w:r>
          </w:p>
        </w:tc>
        <w:tc>
          <w:tcPr>
            <w:tcW w:w="3420" w:type="dxa"/>
            <w:vMerge w:val="continue"/>
            <w:tcBorders>
              <w:top w:val="nil"/>
              <w:bottom w:val="nil"/>
            </w:tcBorders>
            <w:vAlign w:val="top"/>
          </w:tcPr>
          <w:p w14:paraId="3A5CEED3">
            <w:pPr>
              <w:rPr>
                <w:rFonts w:ascii="Arial"/>
                <w:sz w:val="21"/>
              </w:rPr>
            </w:pPr>
          </w:p>
        </w:tc>
        <w:tc>
          <w:tcPr>
            <w:tcW w:w="1680" w:type="dxa"/>
            <w:vMerge w:val="continue"/>
            <w:tcBorders>
              <w:top w:val="nil"/>
              <w:bottom w:val="nil"/>
            </w:tcBorders>
            <w:vAlign w:val="top"/>
          </w:tcPr>
          <w:p w14:paraId="0C127536">
            <w:pPr>
              <w:rPr>
                <w:rFonts w:ascii="Arial"/>
                <w:sz w:val="21"/>
              </w:rPr>
            </w:pPr>
          </w:p>
        </w:tc>
        <w:tc>
          <w:tcPr>
            <w:tcW w:w="1056" w:type="dxa"/>
            <w:tcBorders>
              <w:right w:val="nil"/>
            </w:tcBorders>
            <w:vAlign w:val="top"/>
          </w:tcPr>
          <w:p w14:paraId="6527F6D1">
            <w:pPr>
              <w:spacing w:before="16" w:line="281" w:lineRule="exact"/>
              <w:ind w:left="17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1.3</w:t>
            </w:r>
            <w:r>
              <w:rPr>
                <w:rFonts w:ascii="Times New Roman" w:hAnsi="Times New Roman" w:eastAsia="Times New Roman" w:cs="Times New Roman"/>
                <w:spacing w:val="1"/>
                <w:position w:val="2"/>
                <w:sz w:val="20"/>
                <w:szCs w:val="20"/>
              </w:rPr>
              <w:t>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1"/>
                <w:position w:val="2"/>
                <w:sz w:val="20"/>
                <w:szCs w:val="20"/>
              </w:rPr>
              <w:t>/</w:t>
            </w:r>
            <w:r>
              <w:rPr>
                <w:rFonts w:ascii="Times New Roman" w:hAnsi="Times New Roman" w:eastAsia="Times New Roman" w:cs="Times New Roman"/>
                <w:position w:val="2"/>
                <w:sz w:val="20"/>
                <w:szCs w:val="20"/>
              </w:rPr>
              <w:t>kg</w:t>
            </w:r>
          </w:p>
        </w:tc>
      </w:tr>
      <w:tr w14:paraId="503B3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46" w:type="dxa"/>
            <w:tcBorders>
              <w:left w:val="nil"/>
            </w:tcBorders>
            <w:vAlign w:val="top"/>
          </w:tcPr>
          <w:p w14:paraId="381529ED">
            <w:pPr>
              <w:spacing w:before="89" w:line="195" w:lineRule="auto"/>
              <w:ind w:left="17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4</w:t>
            </w:r>
          </w:p>
        </w:tc>
        <w:tc>
          <w:tcPr>
            <w:tcW w:w="1650" w:type="dxa"/>
            <w:vAlign w:val="top"/>
          </w:tcPr>
          <w:p w14:paraId="7BAC0D9B">
            <w:pPr>
              <w:spacing w:before="54" w:line="233" w:lineRule="auto"/>
              <w:ind w:left="182"/>
              <w:rPr>
                <w:rFonts w:ascii="宋体" w:hAnsi="宋体" w:eastAsia="宋体" w:cs="宋体"/>
                <w:sz w:val="20"/>
                <w:szCs w:val="20"/>
              </w:rPr>
            </w:pPr>
            <w:r>
              <w:rPr>
                <w:rFonts w:ascii="Times New Roman" w:hAnsi="Times New Roman" w:eastAsia="Times New Roman" w:cs="Times New Roman"/>
                <w:spacing w:val="-2"/>
                <w:sz w:val="20"/>
                <w:szCs w:val="20"/>
              </w:rPr>
              <w:t xml:space="preserve">1, </w:t>
            </w:r>
            <w:r>
              <w:rPr>
                <w:rFonts w:ascii="Times New Roman" w:hAnsi="Times New Roman" w:eastAsia="Times New Roman" w:cs="Times New Roman"/>
                <w:spacing w:val="-1"/>
                <w:sz w:val="20"/>
                <w:szCs w:val="20"/>
              </w:rPr>
              <w:t>1,2-</w:t>
            </w:r>
            <w:r>
              <w:rPr>
                <w:rFonts w:ascii="宋体" w:hAnsi="宋体" w:eastAsia="宋体" w:cs="宋体"/>
                <w:spacing w:val="-1"/>
                <w:sz w:val="20"/>
                <w:szCs w:val="20"/>
              </w:rPr>
              <w:t>三氯乙烷</w:t>
            </w:r>
          </w:p>
        </w:tc>
        <w:tc>
          <w:tcPr>
            <w:tcW w:w="3420" w:type="dxa"/>
            <w:vMerge w:val="continue"/>
            <w:tcBorders>
              <w:top w:val="nil"/>
              <w:bottom w:val="nil"/>
            </w:tcBorders>
            <w:vAlign w:val="top"/>
          </w:tcPr>
          <w:p w14:paraId="4FC4AB50">
            <w:pPr>
              <w:rPr>
                <w:rFonts w:ascii="Arial"/>
                <w:sz w:val="21"/>
              </w:rPr>
            </w:pPr>
          </w:p>
        </w:tc>
        <w:tc>
          <w:tcPr>
            <w:tcW w:w="1680" w:type="dxa"/>
            <w:vMerge w:val="continue"/>
            <w:tcBorders>
              <w:top w:val="nil"/>
              <w:bottom w:val="nil"/>
            </w:tcBorders>
            <w:vAlign w:val="top"/>
          </w:tcPr>
          <w:p w14:paraId="054B19D9">
            <w:pPr>
              <w:rPr>
                <w:rFonts w:ascii="Arial"/>
                <w:sz w:val="21"/>
              </w:rPr>
            </w:pPr>
          </w:p>
        </w:tc>
        <w:tc>
          <w:tcPr>
            <w:tcW w:w="1056" w:type="dxa"/>
            <w:tcBorders>
              <w:right w:val="nil"/>
            </w:tcBorders>
            <w:vAlign w:val="top"/>
          </w:tcPr>
          <w:p w14:paraId="3314B338">
            <w:pPr>
              <w:spacing w:before="16" w:line="281" w:lineRule="exact"/>
              <w:ind w:left="17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1.2</w:t>
            </w:r>
            <w:r>
              <w:rPr>
                <w:rFonts w:ascii="Times New Roman" w:hAnsi="Times New Roman" w:eastAsia="Times New Roman" w:cs="Times New Roman"/>
                <w:spacing w:val="1"/>
                <w:position w:val="2"/>
                <w:sz w:val="20"/>
                <w:szCs w:val="20"/>
              </w:rPr>
              <w:t>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1"/>
                <w:position w:val="2"/>
                <w:sz w:val="20"/>
                <w:szCs w:val="20"/>
              </w:rPr>
              <w:t>/</w:t>
            </w:r>
            <w:r>
              <w:rPr>
                <w:rFonts w:ascii="Times New Roman" w:hAnsi="Times New Roman" w:eastAsia="Times New Roman" w:cs="Times New Roman"/>
                <w:position w:val="2"/>
                <w:sz w:val="20"/>
                <w:szCs w:val="20"/>
              </w:rPr>
              <w:t>kg</w:t>
            </w:r>
          </w:p>
        </w:tc>
      </w:tr>
      <w:tr w14:paraId="772484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46" w:type="dxa"/>
            <w:tcBorders>
              <w:left w:val="nil"/>
            </w:tcBorders>
            <w:vAlign w:val="top"/>
          </w:tcPr>
          <w:p w14:paraId="45464CD6">
            <w:pPr>
              <w:spacing w:before="89" w:line="195" w:lineRule="auto"/>
              <w:ind w:left="17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5</w:t>
            </w:r>
          </w:p>
        </w:tc>
        <w:tc>
          <w:tcPr>
            <w:tcW w:w="1650" w:type="dxa"/>
            <w:vAlign w:val="top"/>
          </w:tcPr>
          <w:p w14:paraId="009C397B">
            <w:pPr>
              <w:spacing w:before="52" w:line="228" w:lineRule="auto"/>
              <w:ind w:left="411"/>
              <w:rPr>
                <w:rFonts w:ascii="宋体" w:hAnsi="宋体" w:eastAsia="宋体" w:cs="宋体"/>
                <w:sz w:val="20"/>
                <w:szCs w:val="20"/>
              </w:rPr>
            </w:pPr>
            <w:r>
              <w:rPr>
                <w:rFonts w:ascii="宋体" w:hAnsi="宋体" w:eastAsia="宋体" w:cs="宋体"/>
                <w:spacing w:val="8"/>
                <w:sz w:val="20"/>
                <w:szCs w:val="20"/>
              </w:rPr>
              <w:t>三</w:t>
            </w:r>
            <w:r>
              <w:rPr>
                <w:rFonts w:ascii="宋体" w:hAnsi="宋体" w:eastAsia="宋体" w:cs="宋体"/>
                <w:spacing w:val="7"/>
                <w:sz w:val="20"/>
                <w:szCs w:val="20"/>
              </w:rPr>
              <w:t>氯乙烯</w:t>
            </w:r>
          </w:p>
        </w:tc>
        <w:tc>
          <w:tcPr>
            <w:tcW w:w="3420" w:type="dxa"/>
            <w:vMerge w:val="continue"/>
            <w:tcBorders>
              <w:top w:val="nil"/>
              <w:bottom w:val="nil"/>
            </w:tcBorders>
            <w:vAlign w:val="top"/>
          </w:tcPr>
          <w:p w14:paraId="306346B2">
            <w:pPr>
              <w:rPr>
                <w:rFonts w:ascii="Arial"/>
                <w:sz w:val="21"/>
              </w:rPr>
            </w:pPr>
          </w:p>
        </w:tc>
        <w:tc>
          <w:tcPr>
            <w:tcW w:w="1680" w:type="dxa"/>
            <w:vMerge w:val="continue"/>
            <w:tcBorders>
              <w:top w:val="nil"/>
              <w:bottom w:val="nil"/>
            </w:tcBorders>
            <w:vAlign w:val="top"/>
          </w:tcPr>
          <w:p w14:paraId="7A377517">
            <w:pPr>
              <w:rPr>
                <w:rFonts w:ascii="Arial"/>
                <w:sz w:val="21"/>
              </w:rPr>
            </w:pPr>
          </w:p>
        </w:tc>
        <w:tc>
          <w:tcPr>
            <w:tcW w:w="1056" w:type="dxa"/>
            <w:tcBorders>
              <w:right w:val="nil"/>
            </w:tcBorders>
            <w:vAlign w:val="top"/>
          </w:tcPr>
          <w:p w14:paraId="0A90659C">
            <w:pPr>
              <w:spacing w:before="15" w:line="281" w:lineRule="exact"/>
              <w:ind w:left="17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1.2</w:t>
            </w:r>
            <w:r>
              <w:rPr>
                <w:rFonts w:ascii="Times New Roman" w:hAnsi="Times New Roman" w:eastAsia="Times New Roman" w:cs="Times New Roman"/>
                <w:spacing w:val="1"/>
                <w:position w:val="2"/>
                <w:sz w:val="20"/>
                <w:szCs w:val="20"/>
              </w:rPr>
              <w:t>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1"/>
                <w:position w:val="2"/>
                <w:sz w:val="20"/>
                <w:szCs w:val="20"/>
              </w:rPr>
              <w:t>/</w:t>
            </w:r>
            <w:r>
              <w:rPr>
                <w:rFonts w:ascii="Times New Roman" w:hAnsi="Times New Roman" w:eastAsia="Times New Roman" w:cs="Times New Roman"/>
                <w:position w:val="2"/>
                <w:sz w:val="20"/>
                <w:szCs w:val="20"/>
              </w:rPr>
              <w:t>kg</w:t>
            </w:r>
          </w:p>
        </w:tc>
      </w:tr>
      <w:tr w14:paraId="16399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46" w:type="dxa"/>
            <w:tcBorders>
              <w:left w:val="nil"/>
            </w:tcBorders>
            <w:vAlign w:val="top"/>
          </w:tcPr>
          <w:p w14:paraId="78CC06F0">
            <w:pPr>
              <w:spacing w:before="91" w:line="195" w:lineRule="auto"/>
              <w:ind w:left="17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6</w:t>
            </w:r>
          </w:p>
        </w:tc>
        <w:tc>
          <w:tcPr>
            <w:tcW w:w="1650" w:type="dxa"/>
            <w:vAlign w:val="top"/>
          </w:tcPr>
          <w:p w14:paraId="5A385520">
            <w:pPr>
              <w:spacing w:before="55" w:line="233" w:lineRule="auto"/>
              <w:ind w:left="182"/>
              <w:rPr>
                <w:rFonts w:ascii="宋体" w:hAnsi="宋体" w:eastAsia="宋体" w:cs="宋体"/>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2,3-</w:t>
            </w:r>
            <w:r>
              <w:rPr>
                <w:rFonts w:ascii="宋体" w:hAnsi="宋体" w:eastAsia="宋体" w:cs="宋体"/>
                <w:spacing w:val="3"/>
                <w:sz w:val="20"/>
                <w:szCs w:val="20"/>
              </w:rPr>
              <w:t>三氯丙烷</w:t>
            </w:r>
          </w:p>
        </w:tc>
        <w:tc>
          <w:tcPr>
            <w:tcW w:w="3420" w:type="dxa"/>
            <w:vMerge w:val="continue"/>
            <w:tcBorders>
              <w:top w:val="nil"/>
              <w:bottom w:val="nil"/>
            </w:tcBorders>
            <w:vAlign w:val="top"/>
          </w:tcPr>
          <w:p w14:paraId="69B129B9">
            <w:pPr>
              <w:rPr>
                <w:rFonts w:ascii="Arial"/>
                <w:sz w:val="21"/>
              </w:rPr>
            </w:pPr>
          </w:p>
        </w:tc>
        <w:tc>
          <w:tcPr>
            <w:tcW w:w="1680" w:type="dxa"/>
            <w:vMerge w:val="continue"/>
            <w:tcBorders>
              <w:top w:val="nil"/>
              <w:bottom w:val="nil"/>
            </w:tcBorders>
            <w:vAlign w:val="top"/>
          </w:tcPr>
          <w:p w14:paraId="35E4C44C">
            <w:pPr>
              <w:rPr>
                <w:rFonts w:ascii="Arial"/>
                <w:sz w:val="21"/>
              </w:rPr>
            </w:pPr>
          </w:p>
        </w:tc>
        <w:tc>
          <w:tcPr>
            <w:tcW w:w="1056" w:type="dxa"/>
            <w:tcBorders>
              <w:right w:val="nil"/>
            </w:tcBorders>
            <w:vAlign w:val="top"/>
          </w:tcPr>
          <w:p w14:paraId="3A9CC8AD">
            <w:pPr>
              <w:spacing w:before="17" w:line="281" w:lineRule="exact"/>
              <w:ind w:left="17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1.2</w:t>
            </w:r>
            <w:r>
              <w:rPr>
                <w:rFonts w:ascii="Times New Roman" w:hAnsi="Times New Roman" w:eastAsia="Times New Roman" w:cs="Times New Roman"/>
                <w:spacing w:val="1"/>
                <w:position w:val="2"/>
                <w:sz w:val="20"/>
                <w:szCs w:val="20"/>
              </w:rPr>
              <w:t>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1"/>
                <w:position w:val="2"/>
                <w:sz w:val="20"/>
                <w:szCs w:val="20"/>
              </w:rPr>
              <w:t>/</w:t>
            </w:r>
            <w:r>
              <w:rPr>
                <w:rFonts w:ascii="Times New Roman" w:hAnsi="Times New Roman" w:eastAsia="Times New Roman" w:cs="Times New Roman"/>
                <w:position w:val="2"/>
                <w:sz w:val="20"/>
                <w:szCs w:val="20"/>
              </w:rPr>
              <w:t>kg</w:t>
            </w:r>
          </w:p>
        </w:tc>
      </w:tr>
      <w:tr w14:paraId="4E69E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46" w:type="dxa"/>
            <w:tcBorders>
              <w:left w:val="nil"/>
            </w:tcBorders>
            <w:vAlign w:val="top"/>
          </w:tcPr>
          <w:p w14:paraId="6250BE97">
            <w:pPr>
              <w:spacing w:before="91" w:line="195" w:lineRule="auto"/>
              <w:ind w:left="17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7</w:t>
            </w:r>
          </w:p>
        </w:tc>
        <w:tc>
          <w:tcPr>
            <w:tcW w:w="1650" w:type="dxa"/>
            <w:vAlign w:val="top"/>
          </w:tcPr>
          <w:p w14:paraId="188F3969">
            <w:pPr>
              <w:spacing w:before="55" w:line="228" w:lineRule="auto"/>
              <w:ind w:left="517"/>
              <w:rPr>
                <w:rFonts w:ascii="宋体" w:hAnsi="宋体" w:eastAsia="宋体" w:cs="宋体"/>
                <w:sz w:val="20"/>
                <w:szCs w:val="20"/>
              </w:rPr>
            </w:pPr>
            <w:r>
              <w:rPr>
                <w:rFonts w:ascii="宋体" w:hAnsi="宋体" w:eastAsia="宋体" w:cs="宋体"/>
                <w:spacing w:val="6"/>
                <w:sz w:val="20"/>
                <w:szCs w:val="20"/>
              </w:rPr>
              <w:t>氯乙</w:t>
            </w:r>
            <w:r>
              <w:rPr>
                <w:rFonts w:ascii="宋体" w:hAnsi="宋体" w:eastAsia="宋体" w:cs="宋体"/>
                <w:spacing w:val="5"/>
                <w:sz w:val="20"/>
                <w:szCs w:val="20"/>
              </w:rPr>
              <w:t>烯</w:t>
            </w:r>
          </w:p>
        </w:tc>
        <w:tc>
          <w:tcPr>
            <w:tcW w:w="3420" w:type="dxa"/>
            <w:vMerge w:val="continue"/>
            <w:tcBorders>
              <w:top w:val="nil"/>
              <w:bottom w:val="nil"/>
            </w:tcBorders>
            <w:vAlign w:val="top"/>
          </w:tcPr>
          <w:p w14:paraId="6903ED6D">
            <w:pPr>
              <w:rPr>
                <w:rFonts w:ascii="Arial"/>
                <w:sz w:val="21"/>
              </w:rPr>
            </w:pPr>
          </w:p>
        </w:tc>
        <w:tc>
          <w:tcPr>
            <w:tcW w:w="1680" w:type="dxa"/>
            <w:vMerge w:val="continue"/>
            <w:tcBorders>
              <w:top w:val="nil"/>
              <w:bottom w:val="nil"/>
            </w:tcBorders>
            <w:vAlign w:val="top"/>
          </w:tcPr>
          <w:p w14:paraId="37F83828">
            <w:pPr>
              <w:rPr>
                <w:rFonts w:ascii="Arial"/>
                <w:sz w:val="21"/>
              </w:rPr>
            </w:pPr>
          </w:p>
        </w:tc>
        <w:tc>
          <w:tcPr>
            <w:tcW w:w="1056" w:type="dxa"/>
            <w:tcBorders>
              <w:right w:val="nil"/>
            </w:tcBorders>
            <w:vAlign w:val="top"/>
          </w:tcPr>
          <w:p w14:paraId="3AEDD5F1">
            <w:pPr>
              <w:spacing w:before="18" w:line="281" w:lineRule="exact"/>
              <w:ind w:left="17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1.0</w:t>
            </w:r>
            <w:r>
              <w:rPr>
                <w:rFonts w:ascii="Times New Roman" w:hAnsi="Times New Roman" w:eastAsia="Times New Roman" w:cs="Times New Roman"/>
                <w:spacing w:val="1"/>
                <w:position w:val="2"/>
                <w:sz w:val="20"/>
                <w:szCs w:val="20"/>
              </w:rPr>
              <w:t>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1"/>
                <w:position w:val="2"/>
                <w:sz w:val="20"/>
                <w:szCs w:val="20"/>
              </w:rPr>
              <w:t>/</w:t>
            </w:r>
            <w:r>
              <w:rPr>
                <w:rFonts w:ascii="Times New Roman" w:hAnsi="Times New Roman" w:eastAsia="Times New Roman" w:cs="Times New Roman"/>
                <w:position w:val="2"/>
                <w:sz w:val="20"/>
                <w:szCs w:val="20"/>
              </w:rPr>
              <w:t>kg</w:t>
            </w:r>
          </w:p>
        </w:tc>
      </w:tr>
      <w:tr w14:paraId="43F920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46" w:type="dxa"/>
            <w:tcBorders>
              <w:left w:val="nil"/>
            </w:tcBorders>
            <w:vAlign w:val="top"/>
          </w:tcPr>
          <w:p w14:paraId="63C364B9">
            <w:pPr>
              <w:spacing w:before="92" w:line="195" w:lineRule="auto"/>
              <w:ind w:left="17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8</w:t>
            </w:r>
          </w:p>
        </w:tc>
        <w:tc>
          <w:tcPr>
            <w:tcW w:w="1650" w:type="dxa"/>
            <w:vAlign w:val="top"/>
          </w:tcPr>
          <w:p w14:paraId="229B5CA0">
            <w:pPr>
              <w:spacing w:before="56" w:line="227" w:lineRule="auto"/>
              <w:ind w:left="728"/>
              <w:rPr>
                <w:rFonts w:ascii="宋体" w:hAnsi="宋体" w:eastAsia="宋体" w:cs="宋体"/>
                <w:sz w:val="20"/>
                <w:szCs w:val="20"/>
              </w:rPr>
            </w:pPr>
            <w:r>
              <w:rPr>
                <w:rFonts w:ascii="宋体" w:hAnsi="宋体" w:eastAsia="宋体" w:cs="宋体"/>
                <w:sz w:val="20"/>
                <w:szCs w:val="20"/>
              </w:rPr>
              <w:t>苯</w:t>
            </w:r>
          </w:p>
        </w:tc>
        <w:tc>
          <w:tcPr>
            <w:tcW w:w="3420" w:type="dxa"/>
            <w:vMerge w:val="continue"/>
            <w:tcBorders>
              <w:top w:val="nil"/>
              <w:bottom w:val="nil"/>
            </w:tcBorders>
            <w:vAlign w:val="top"/>
          </w:tcPr>
          <w:p w14:paraId="6F3F4D4E">
            <w:pPr>
              <w:rPr>
                <w:rFonts w:ascii="Arial"/>
                <w:sz w:val="21"/>
              </w:rPr>
            </w:pPr>
          </w:p>
        </w:tc>
        <w:tc>
          <w:tcPr>
            <w:tcW w:w="1680" w:type="dxa"/>
            <w:vMerge w:val="continue"/>
            <w:tcBorders>
              <w:top w:val="nil"/>
              <w:bottom w:val="nil"/>
            </w:tcBorders>
            <w:vAlign w:val="top"/>
          </w:tcPr>
          <w:p w14:paraId="1BFD0DDC">
            <w:pPr>
              <w:rPr>
                <w:rFonts w:ascii="Arial"/>
                <w:sz w:val="21"/>
              </w:rPr>
            </w:pPr>
          </w:p>
        </w:tc>
        <w:tc>
          <w:tcPr>
            <w:tcW w:w="1056" w:type="dxa"/>
            <w:tcBorders>
              <w:right w:val="nil"/>
            </w:tcBorders>
            <w:vAlign w:val="top"/>
          </w:tcPr>
          <w:p w14:paraId="00172323">
            <w:pPr>
              <w:spacing w:before="18" w:line="281" w:lineRule="exact"/>
              <w:ind w:left="150"/>
              <w:rPr>
                <w:rFonts w:ascii="Times New Roman" w:hAnsi="Times New Roman" w:eastAsia="Times New Roman" w:cs="Times New Roman"/>
                <w:sz w:val="20"/>
                <w:szCs w:val="20"/>
              </w:rPr>
            </w:pPr>
            <w:r>
              <w:rPr>
                <w:rFonts w:ascii="Times New Roman" w:hAnsi="Times New Roman" w:eastAsia="Times New Roman" w:cs="Times New Roman"/>
                <w:spacing w:val="2"/>
                <w:position w:val="4"/>
                <w:sz w:val="20"/>
                <w:szCs w:val="20"/>
              </w:rPr>
              <w:t>1.9 μ</w:t>
            </w:r>
            <w:r>
              <w:rPr>
                <w:rFonts w:ascii="Times New Roman" w:hAnsi="Times New Roman" w:eastAsia="Times New Roman" w:cs="Times New Roman"/>
                <w:position w:val="4"/>
                <w:sz w:val="20"/>
                <w:szCs w:val="20"/>
              </w:rPr>
              <w:t>g/kg</w:t>
            </w:r>
          </w:p>
        </w:tc>
      </w:tr>
      <w:tr w14:paraId="671682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46" w:type="dxa"/>
            <w:tcBorders>
              <w:left w:val="nil"/>
            </w:tcBorders>
            <w:vAlign w:val="top"/>
          </w:tcPr>
          <w:p w14:paraId="08D99E1F">
            <w:pPr>
              <w:spacing w:before="91" w:line="195" w:lineRule="auto"/>
              <w:ind w:left="17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9</w:t>
            </w:r>
          </w:p>
        </w:tc>
        <w:tc>
          <w:tcPr>
            <w:tcW w:w="1650" w:type="dxa"/>
            <w:vAlign w:val="top"/>
          </w:tcPr>
          <w:p w14:paraId="0499C4E6">
            <w:pPr>
              <w:spacing w:before="55" w:line="227" w:lineRule="auto"/>
              <w:ind w:left="623"/>
              <w:rPr>
                <w:rFonts w:ascii="宋体" w:hAnsi="宋体" w:eastAsia="宋体" w:cs="宋体"/>
                <w:sz w:val="20"/>
                <w:szCs w:val="20"/>
              </w:rPr>
            </w:pPr>
            <w:r>
              <w:rPr>
                <w:rFonts w:ascii="宋体" w:hAnsi="宋体" w:eastAsia="宋体" w:cs="宋体"/>
                <w:spacing w:val="3"/>
                <w:sz w:val="20"/>
                <w:szCs w:val="20"/>
              </w:rPr>
              <w:t>氯苯</w:t>
            </w:r>
          </w:p>
        </w:tc>
        <w:tc>
          <w:tcPr>
            <w:tcW w:w="3420" w:type="dxa"/>
            <w:vMerge w:val="continue"/>
            <w:tcBorders>
              <w:top w:val="nil"/>
              <w:bottom w:val="nil"/>
            </w:tcBorders>
            <w:vAlign w:val="top"/>
          </w:tcPr>
          <w:p w14:paraId="4E4426FB">
            <w:pPr>
              <w:rPr>
                <w:rFonts w:ascii="Arial"/>
                <w:sz w:val="21"/>
              </w:rPr>
            </w:pPr>
          </w:p>
        </w:tc>
        <w:tc>
          <w:tcPr>
            <w:tcW w:w="1680" w:type="dxa"/>
            <w:vMerge w:val="continue"/>
            <w:tcBorders>
              <w:top w:val="nil"/>
              <w:bottom w:val="nil"/>
            </w:tcBorders>
            <w:vAlign w:val="top"/>
          </w:tcPr>
          <w:p w14:paraId="2F0655F4">
            <w:pPr>
              <w:rPr>
                <w:rFonts w:ascii="Arial"/>
                <w:sz w:val="21"/>
              </w:rPr>
            </w:pPr>
          </w:p>
        </w:tc>
        <w:tc>
          <w:tcPr>
            <w:tcW w:w="1056" w:type="dxa"/>
            <w:tcBorders>
              <w:right w:val="nil"/>
            </w:tcBorders>
            <w:vAlign w:val="top"/>
          </w:tcPr>
          <w:p w14:paraId="18B3EDE3">
            <w:pPr>
              <w:spacing w:before="18" w:line="281" w:lineRule="exact"/>
              <w:ind w:left="17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1.2</w:t>
            </w:r>
            <w:r>
              <w:rPr>
                <w:rFonts w:ascii="Times New Roman" w:hAnsi="Times New Roman" w:eastAsia="Times New Roman" w:cs="Times New Roman"/>
                <w:spacing w:val="1"/>
                <w:position w:val="2"/>
                <w:sz w:val="20"/>
                <w:szCs w:val="20"/>
              </w:rPr>
              <w:t>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1"/>
                <w:position w:val="2"/>
                <w:sz w:val="20"/>
                <w:szCs w:val="20"/>
              </w:rPr>
              <w:t>/</w:t>
            </w:r>
            <w:r>
              <w:rPr>
                <w:rFonts w:ascii="Times New Roman" w:hAnsi="Times New Roman" w:eastAsia="Times New Roman" w:cs="Times New Roman"/>
                <w:position w:val="2"/>
                <w:sz w:val="20"/>
                <w:szCs w:val="20"/>
              </w:rPr>
              <w:t>kg</w:t>
            </w:r>
          </w:p>
        </w:tc>
      </w:tr>
      <w:tr w14:paraId="1B36B0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46" w:type="dxa"/>
            <w:tcBorders>
              <w:left w:val="nil"/>
            </w:tcBorders>
            <w:vAlign w:val="top"/>
          </w:tcPr>
          <w:p w14:paraId="69DD6A45">
            <w:pPr>
              <w:spacing w:before="91" w:line="195" w:lineRule="auto"/>
              <w:ind w:left="1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0</w:t>
            </w:r>
          </w:p>
        </w:tc>
        <w:tc>
          <w:tcPr>
            <w:tcW w:w="1650" w:type="dxa"/>
            <w:vAlign w:val="top"/>
          </w:tcPr>
          <w:p w14:paraId="5F778859">
            <w:pPr>
              <w:spacing w:before="55" w:line="232" w:lineRule="auto"/>
              <w:ind w:left="365"/>
              <w:rPr>
                <w:rFonts w:ascii="宋体" w:hAnsi="宋体" w:eastAsia="宋体" w:cs="宋体"/>
                <w:sz w:val="20"/>
                <w:szCs w:val="20"/>
              </w:rPr>
            </w:pPr>
            <w:r>
              <w:rPr>
                <w:rFonts w:ascii="Times New Roman" w:hAnsi="Times New Roman" w:eastAsia="Times New Roman" w:cs="Times New Roman"/>
                <w:spacing w:val="3"/>
                <w:sz w:val="20"/>
                <w:szCs w:val="20"/>
              </w:rPr>
              <w:t>1,2-</w:t>
            </w:r>
            <w:r>
              <w:rPr>
                <w:rFonts w:ascii="宋体" w:hAnsi="宋体" w:eastAsia="宋体" w:cs="宋体"/>
                <w:spacing w:val="3"/>
                <w:sz w:val="20"/>
                <w:szCs w:val="20"/>
              </w:rPr>
              <w:t>二氯苯</w:t>
            </w:r>
          </w:p>
        </w:tc>
        <w:tc>
          <w:tcPr>
            <w:tcW w:w="3420" w:type="dxa"/>
            <w:vMerge w:val="continue"/>
            <w:tcBorders>
              <w:top w:val="nil"/>
              <w:bottom w:val="nil"/>
            </w:tcBorders>
            <w:vAlign w:val="top"/>
          </w:tcPr>
          <w:p w14:paraId="17BF11FF">
            <w:pPr>
              <w:rPr>
                <w:rFonts w:ascii="Arial"/>
                <w:sz w:val="21"/>
              </w:rPr>
            </w:pPr>
          </w:p>
        </w:tc>
        <w:tc>
          <w:tcPr>
            <w:tcW w:w="1680" w:type="dxa"/>
            <w:vMerge w:val="continue"/>
            <w:tcBorders>
              <w:top w:val="nil"/>
              <w:bottom w:val="nil"/>
            </w:tcBorders>
            <w:vAlign w:val="top"/>
          </w:tcPr>
          <w:p w14:paraId="14D88AB0">
            <w:pPr>
              <w:rPr>
                <w:rFonts w:ascii="Arial"/>
                <w:sz w:val="21"/>
              </w:rPr>
            </w:pPr>
          </w:p>
        </w:tc>
        <w:tc>
          <w:tcPr>
            <w:tcW w:w="1056" w:type="dxa"/>
            <w:tcBorders>
              <w:right w:val="nil"/>
            </w:tcBorders>
            <w:vAlign w:val="top"/>
          </w:tcPr>
          <w:p w14:paraId="54EDEFA3">
            <w:pPr>
              <w:spacing w:before="18" w:line="281" w:lineRule="exact"/>
              <w:ind w:left="17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1.5</w:t>
            </w:r>
            <w:r>
              <w:rPr>
                <w:rFonts w:ascii="Times New Roman" w:hAnsi="Times New Roman" w:eastAsia="Times New Roman" w:cs="Times New Roman"/>
                <w:spacing w:val="1"/>
                <w:position w:val="2"/>
                <w:sz w:val="20"/>
                <w:szCs w:val="20"/>
              </w:rPr>
              <w:t>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1"/>
                <w:position w:val="2"/>
                <w:sz w:val="20"/>
                <w:szCs w:val="20"/>
              </w:rPr>
              <w:t>/</w:t>
            </w:r>
            <w:r>
              <w:rPr>
                <w:rFonts w:ascii="Times New Roman" w:hAnsi="Times New Roman" w:eastAsia="Times New Roman" w:cs="Times New Roman"/>
                <w:position w:val="2"/>
                <w:sz w:val="20"/>
                <w:szCs w:val="20"/>
              </w:rPr>
              <w:t>kg</w:t>
            </w:r>
          </w:p>
        </w:tc>
      </w:tr>
      <w:tr w14:paraId="10C9A2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46" w:type="dxa"/>
            <w:tcBorders>
              <w:left w:val="nil"/>
            </w:tcBorders>
            <w:vAlign w:val="top"/>
          </w:tcPr>
          <w:p w14:paraId="38456B38">
            <w:pPr>
              <w:spacing w:before="91" w:line="195" w:lineRule="auto"/>
              <w:ind w:left="1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1</w:t>
            </w:r>
          </w:p>
        </w:tc>
        <w:tc>
          <w:tcPr>
            <w:tcW w:w="1650" w:type="dxa"/>
            <w:vAlign w:val="top"/>
          </w:tcPr>
          <w:p w14:paraId="1AC440B8">
            <w:pPr>
              <w:spacing w:before="55" w:line="232" w:lineRule="auto"/>
              <w:ind w:left="365"/>
              <w:rPr>
                <w:rFonts w:ascii="宋体" w:hAnsi="宋体" w:eastAsia="宋体" w:cs="宋体"/>
                <w:sz w:val="20"/>
                <w:szCs w:val="20"/>
              </w:rPr>
            </w:pPr>
            <w:r>
              <w:rPr>
                <w:rFonts w:ascii="Times New Roman" w:hAnsi="Times New Roman" w:eastAsia="Times New Roman" w:cs="Times New Roman"/>
                <w:spacing w:val="3"/>
                <w:sz w:val="20"/>
                <w:szCs w:val="20"/>
              </w:rPr>
              <w:t>1,4-</w:t>
            </w:r>
            <w:r>
              <w:rPr>
                <w:rFonts w:ascii="宋体" w:hAnsi="宋体" w:eastAsia="宋体" w:cs="宋体"/>
                <w:spacing w:val="3"/>
                <w:sz w:val="20"/>
                <w:szCs w:val="20"/>
              </w:rPr>
              <w:t>二氯苯</w:t>
            </w:r>
          </w:p>
        </w:tc>
        <w:tc>
          <w:tcPr>
            <w:tcW w:w="3420" w:type="dxa"/>
            <w:vMerge w:val="continue"/>
            <w:tcBorders>
              <w:top w:val="nil"/>
              <w:bottom w:val="nil"/>
            </w:tcBorders>
            <w:vAlign w:val="top"/>
          </w:tcPr>
          <w:p w14:paraId="3D739D66">
            <w:pPr>
              <w:rPr>
                <w:rFonts w:ascii="Arial"/>
                <w:sz w:val="21"/>
              </w:rPr>
            </w:pPr>
          </w:p>
        </w:tc>
        <w:tc>
          <w:tcPr>
            <w:tcW w:w="1680" w:type="dxa"/>
            <w:vMerge w:val="continue"/>
            <w:tcBorders>
              <w:top w:val="nil"/>
              <w:bottom w:val="nil"/>
            </w:tcBorders>
            <w:vAlign w:val="top"/>
          </w:tcPr>
          <w:p w14:paraId="728FF2F4">
            <w:pPr>
              <w:rPr>
                <w:rFonts w:ascii="Arial"/>
                <w:sz w:val="21"/>
              </w:rPr>
            </w:pPr>
          </w:p>
        </w:tc>
        <w:tc>
          <w:tcPr>
            <w:tcW w:w="1056" w:type="dxa"/>
            <w:tcBorders>
              <w:right w:val="nil"/>
            </w:tcBorders>
            <w:vAlign w:val="top"/>
          </w:tcPr>
          <w:p w14:paraId="3722F955">
            <w:pPr>
              <w:spacing w:before="17" w:line="281" w:lineRule="exact"/>
              <w:ind w:left="17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1.5</w:t>
            </w:r>
            <w:r>
              <w:rPr>
                <w:rFonts w:ascii="Times New Roman" w:hAnsi="Times New Roman" w:eastAsia="Times New Roman" w:cs="Times New Roman"/>
                <w:spacing w:val="1"/>
                <w:position w:val="2"/>
                <w:sz w:val="20"/>
                <w:szCs w:val="20"/>
              </w:rPr>
              <w:t>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1"/>
                <w:position w:val="2"/>
                <w:sz w:val="20"/>
                <w:szCs w:val="20"/>
              </w:rPr>
              <w:t>/</w:t>
            </w:r>
            <w:r>
              <w:rPr>
                <w:rFonts w:ascii="Times New Roman" w:hAnsi="Times New Roman" w:eastAsia="Times New Roman" w:cs="Times New Roman"/>
                <w:position w:val="2"/>
                <w:sz w:val="20"/>
                <w:szCs w:val="20"/>
              </w:rPr>
              <w:t>kg</w:t>
            </w:r>
          </w:p>
        </w:tc>
      </w:tr>
      <w:tr w14:paraId="4FBE46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46" w:type="dxa"/>
            <w:tcBorders>
              <w:left w:val="nil"/>
            </w:tcBorders>
            <w:vAlign w:val="top"/>
          </w:tcPr>
          <w:p w14:paraId="4E16B6B2">
            <w:pPr>
              <w:spacing w:before="93" w:line="195" w:lineRule="auto"/>
              <w:ind w:left="1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2</w:t>
            </w:r>
          </w:p>
        </w:tc>
        <w:tc>
          <w:tcPr>
            <w:tcW w:w="1650" w:type="dxa"/>
            <w:vAlign w:val="top"/>
          </w:tcPr>
          <w:p w14:paraId="6DE28120">
            <w:pPr>
              <w:spacing w:before="57" w:line="227" w:lineRule="auto"/>
              <w:ind w:left="640"/>
              <w:rPr>
                <w:rFonts w:ascii="宋体" w:hAnsi="宋体" w:eastAsia="宋体" w:cs="宋体"/>
                <w:sz w:val="20"/>
                <w:szCs w:val="20"/>
              </w:rPr>
            </w:pPr>
            <w:r>
              <w:rPr>
                <w:rFonts w:ascii="宋体" w:hAnsi="宋体" w:eastAsia="宋体" w:cs="宋体"/>
                <w:spacing w:val="-6"/>
                <w:sz w:val="20"/>
                <w:szCs w:val="20"/>
              </w:rPr>
              <w:t>乙</w:t>
            </w:r>
            <w:r>
              <w:rPr>
                <w:rFonts w:ascii="宋体" w:hAnsi="宋体" w:eastAsia="宋体" w:cs="宋体"/>
                <w:spacing w:val="-5"/>
                <w:sz w:val="20"/>
                <w:szCs w:val="20"/>
              </w:rPr>
              <w:t>苯</w:t>
            </w:r>
          </w:p>
        </w:tc>
        <w:tc>
          <w:tcPr>
            <w:tcW w:w="3420" w:type="dxa"/>
            <w:vMerge w:val="continue"/>
            <w:tcBorders>
              <w:top w:val="nil"/>
              <w:bottom w:val="nil"/>
            </w:tcBorders>
            <w:vAlign w:val="top"/>
          </w:tcPr>
          <w:p w14:paraId="2D5CA7AE">
            <w:pPr>
              <w:rPr>
                <w:rFonts w:ascii="Arial"/>
                <w:sz w:val="21"/>
              </w:rPr>
            </w:pPr>
          </w:p>
        </w:tc>
        <w:tc>
          <w:tcPr>
            <w:tcW w:w="1680" w:type="dxa"/>
            <w:vMerge w:val="continue"/>
            <w:tcBorders>
              <w:top w:val="nil"/>
              <w:bottom w:val="nil"/>
            </w:tcBorders>
            <w:vAlign w:val="top"/>
          </w:tcPr>
          <w:p w14:paraId="58A38AA8">
            <w:pPr>
              <w:rPr>
                <w:rFonts w:ascii="Arial"/>
                <w:sz w:val="21"/>
              </w:rPr>
            </w:pPr>
          </w:p>
        </w:tc>
        <w:tc>
          <w:tcPr>
            <w:tcW w:w="1056" w:type="dxa"/>
            <w:tcBorders>
              <w:right w:val="nil"/>
            </w:tcBorders>
            <w:vAlign w:val="top"/>
          </w:tcPr>
          <w:p w14:paraId="251515B1">
            <w:pPr>
              <w:spacing w:before="19" w:line="281" w:lineRule="exact"/>
              <w:ind w:left="17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1.2</w:t>
            </w:r>
            <w:r>
              <w:rPr>
                <w:rFonts w:ascii="Times New Roman" w:hAnsi="Times New Roman" w:eastAsia="Times New Roman" w:cs="Times New Roman"/>
                <w:spacing w:val="1"/>
                <w:position w:val="2"/>
                <w:sz w:val="20"/>
                <w:szCs w:val="20"/>
              </w:rPr>
              <w:t>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1"/>
                <w:position w:val="2"/>
                <w:sz w:val="20"/>
                <w:szCs w:val="20"/>
              </w:rPr>
              <w:t>/</w:t>
            </w:r>
            <w:r>
              <w:rPr>
                <w:rFonts w:ascii="Times New Roman" w:hAnsi="Times New Roman" w:eastAsia="Times New Roman" w:cs="Times New Roman"/>
                <w:position w:val="2"/>
                <w:sz w:val="20"/>
                <w:szCs w:val="20"/>
              </w:rPr>
              <w:t>kg</w:t>
            </w:r>
          </w:p>
        </w:tc>
      </w:tr>
      <w:tr w14:paraId="6DA054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46" w:type="dxa"/>
            <w:tcBorders>
              <w:left w:val="nil"/>
            </w:tcBorders>
            <w:vAlign w:val="top"/>
          </w:tcPr>
          <w:p w14:paraId="3A574C30">
            <w:pPr>
              <w:spacing w:before="92" w:line="195" w:lineRule="auto"/>
              <w:ind w:left="1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3</w:t>
            </w:r>
          </w:p>
        </w:tc>
        <w:tc>
          <w:tcPr>
            <w:tcW w:w="1650" w:type="dxa"/>
            <w:vAlign w:val="top"/>
          </w:tcPr>
          <w:p w14:paraId="74011D82">
            <w:pPr>
              <w:spacing w:before="56" w:line="227" w:lineRule="auto"/>
              <w:ind w:left="517"/>
              <w:rPr>
                <w:rFonts w:ascii="宋体" w:hAnsi="宋体" w:eastAsia="宋体" w:cs="宋体"/>
                <w:sz w:val="20"/>
                <w:szCs w:val="20"/>
              </w:rPr>
            </w:pPr>
            <w:r>
              <w:rPr>
                <w:rFonts w:ascii="宋体" w:hAnsi="宋体" w:eastAsia="宋体" w:cs="宋体"/>
                <w:spacing w:val="6"/>
                <w:sz w:val="20"/>
                <w:szCs w:val="20"/>
              </w:rPr>
              <w:t>苯乙烯</w:t>
            </w:r>
          </w:p>
        </w:tc>
        <w:tc>
          <w:tcPr>
            <w:tcW w:w="3420" w:type="dxa"/>
            <w:vMerge w:val="continue"/>
            <w:tcBorders>
              <w:top w:val="nil"/>
              <w:bottom w:val="nil"/>
            </w:tcBorders>
            <w:vAlign w:val="top"/>
          </w:tcPr>
          <w:p w14:paraId="1C45EF09">
            <w:pPr>
              <w:rPr>
                <w:rFonts w:ascii="Arial"/>
                <w:sz w:val="21"/>
              </w:rPr>
            </w:pPr>
          </w:p>
        </w:tc>
        <w:tc>
          <w:tcPr>
            <w:tcW w:w="1680" w:type="dxa"/>
            <w:vMerge w:val="continue"/>
            <w:tcBorders>
              <w:top w:val="nil"/>
              <w:bottom w:val="nil"/>
            </w:tcBorders>
            <w:vAlign w:val="top"/>
          </w:tcPr>
          <w:p w14:paraId="7FA16D80">
            <w:pPr>
              <w:rPr>
                <w:rFonts w:ascii="Arial"/>
                <w:sz w:val="21"/>
              </w:rPr>
            </w:pPr>
          </w:p>
        </w:tc>
        <w:tc>
          <w:tcPr>
            <w:tcW w:w="1056" w:type="dxa"/>
            <w:tcBorders>
              <w:right w:val="nil"/>
            </w:tcBorders>
            <w:vAlign w:val="top"/>
          </w:tcPr>
          <w:p w14:paraId="0E33CDE5">
            <w:pPr>
              <w:spacing w:before="19" w:line="281" w:lineRule="exact"/>
              <w:ind w:left="176"/>
              <w:rPr>
                <w:rFonts w:ascii="Times New Roman" w:hAnsi="Times New Roman" w:eastAsia="Times New Roman" w:cs="Times New Roman"/>
                <w:sz w:val="20"/>
                <w:szCs w:val="20"/>
              </w:rPr>
            </w:pPr>
            <w:r>
              <w:rPr>
                <w:rFonts w:ascii="Times New Roman" w:hAnsi="Times New Roman" w:eastAsia="Times New Roman" w:cs="Times New Roman"/>
                <w:spacing w:val="-8"/>
                <w:position w:val="4"/>
                <w:sz w:val="20"/>
                <w:szCs w:val="20"/>
              </w:rPr>
              <w:t>1</w:t>
            </w:r>
            <w:r>
              <w:rPr>
                <w:rFonts w:ascii="Times New Roman" w:hAnsi="Times New Roman" w:eastAsia="Times New Roman" w:cs="Times New Roman"/>
                <w:spacing w:val="-6"/>
                <w:position w:val="4"/>
                <w:sz w:val="20"/>
                <w:szCs w:val="20"/>
              </w:rPr>
              <w:t>.</w:t>
            </w:r>
            <w:r>
              <w:rPr>
                <w:rFonts w:ascii="Times New Roman" w:hAnsi="Times New Roman" w:eastAsia="Times New Roman" w:cs="Times New Roman"/>
                <w:spacing w:val="-4"/>
                <w:position w:val="4"/>
                <w:sz w:val="20"/>
                <w:szCs w:val="20"/>
              </w:rPr>
              <w:t xml:space="preserve"> 1μg/kg</w:t>
            </w:r>
          </w:p>
        </w:tc>
      </w:tr>
      <w:tr w14:paraId="6FEF72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46" w:type="dxa"/>
            <w:tcBorders>
              <w:left w:val="nil"/>
            </w:tcBorders>
            <w:vAlign w:val="top"/>
          </w:tcPr>
          <w:p w14:paraId="420D9643">
            <w:pPr>
              <w:spacing w:before="92" w:line="195" w:lineRule="auto"/>
              <w:ind w:left="1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4</w:t>
            </w:r>
          </w:p>
        </w:tc>
        <w:tc>
          <w:tcPr>
            <w:tcW w:w="1650" w:type="dxa"/>
            <w:vAlign w:val="top"/>
          </w:tcPr>
          <w:p w14:paraId="421EC2D7">
            <w:pPr>
              <w:spacing w:before="56" w:line="227" w:lineRule="auto"/>
              <w:ind w:left="647"/>
              <w:rPr>
                <w:rFonts w:ascii="宋体" w:hAnsi="宋体" w:eastAsia="宋体" w:cs="宋体"/>
                <w:sz w:val="20"/>
                <w:szCs w:val="20"/>
              </w:rPr>
            </w:pPr>
            <w:r>
              <w:rPr>
                <w:rFonts w:ascii="宋体" w:hAnsi="宋体" w:eastAsia="宋体" w:cs="宋体"/>
                <w:spacing w:val="-10"/>
                <w:sz w:val="20"/>
                <w:szCs w:val="20"/>
              </w:rPr>
              <w:t>甲</w:t>
            </w:r>
            <w:r>
              <w:rPr>
                <w:rFonts w:ascii="宋体" w:hAnsi="宋体" w:eastAsia="宋体" w:cs="宋体"/>
                <w:spacing w:val="-8"/>
                <w:sz w:val="20"/>
                <w:szCs w:val="20"/>
              </w:rPr>
              <w:t>苯</w:t>
            </w:r>
          </w:p>
        </w:tc>
        <w:tc>
          <w:tcPr>
            <w:tcW w:w="3420" w:type="dxa"/>
            <w:vMerge w:val="continue"/>
            <w:tcBorders>
              <w:top w:val="nil"/>
              <w:bottom w:val="nil"/>
            </w:tcBorders>
            <w:vAlign w:val="top"/>
          </w:tcPr>
          <w:p w14:paraId="26AFB533">
            <w:pPr>
              <w:rPr>
                <w:rFonts w:ascii="Arial"/>
                <w:sz w:val="21"/>
              </w:rPr>
            </w:pPr>
          </w:p>
        </w:tc>
        <w:tc>
          <w:tcPr>
            <w:tcW w:w="1680" w:type="dxa"/>
            <w:vMerge w:val="continue"/>
            <w:tcBorders>
              <w:top w:val="nil"/>
              <w:bottom w:val="nil"/>
            </w:tcBorders>
            <w:vAlign w:val="top"/>
          </w:tcPr>
          <w:p w14:paraId="39D519A5">
            <w:pPr>
              <w:rPr>
                <w:rFonts w:ascii="Arial"/>
                <w:sz w:val="21"/>
              </w:rPr>
            </w:pPr>
          </w:p>
        </w:tc>
        <w:tc>
          <w:tcPr>
            <w:tcW w:w="1056" w:type="dxa"/>
            <w:tcBorders>
              <w:right w:val="nil"/>
            </w:tcBorders>
            <w:vAlign w:val="top"/>
          </w:tcPr>
          <w:p w14:paraId="703346D6">
            <w:pPr>
              <w:spacing w:before="18" w:line="281" w:lineRule="exact"/>
              <w:ind w:left="17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1.3</w:t>
            </w:r>
            <w:r>
              <w:rPr>
                <w:rFonts w:ascii="Times New Roman" w:hAnsi="Times New Roman" w:eastAsia="Times New Roman" w:cs="Times New Roman"/>
                <w:spacing w:val="1"/>
                <w:position w:val="2"/>
                <w:sz w:val="20"/>
                <w:szCs w:val="20"/>
              </w:rPr>
              <w:t>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1"/>
                <w:position w:val="2"/>
                <w:sz w:val="20"/>
                <w:szCs w:val="20"/>
              </w:rPr>
              <w:t>/</w:t>
            </w:r>
            <w:r>
              <w:rPr>
                <w:rFonts w:ascii="Times New Roman" w:hAnsi="Times New Roman" w:eastAsia="Times New Roman" w:cs="Times New Roman"/>
                <w:position w:val="2"/>
                <w:sz w:val="20"/>
                <w:szCs w:val="20"/>
              </w:rPr>
              <w:t>kg</w:t>
            </w:r>
          </w:p>
        </w:tc>
      </w:tr>
      <w:tr w14:paraId="5E60A6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46" w:type="dxa"/>
            <w:tcBorders>
              <w:left w:val="nil"/>
            </w:tcBorders>
            <w:vAlign w:val="top"/>
          </w:tcPr>
          <w:p w14:paraId="69E7F222">
            <w:pPr>
              <w:spacing w:before="91" w:line="195" w:lineRule="auto"/>
              <w:ind w:left="1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5</w:t>
            </w:r>
          </w:p>
        </w:tc>
        <w:tc>
          <w:tcPr>
            <w:tcW w:w="1650" w:type="dxa"/>
            <w:vAlign w:val="top"/>
          </w:tcPr>
          <w:p w14:paraId="4B75A407">
            <w:pPr>
              <w:spacing w:before="18" w:line="281" w:lineRule="exact"/>
              <w:ind w:left="293"/>
              <w:rPr>
                <w:rFonts w:ascii="宋体" w:hAnsi="宋体" w:eastAsia="宋体" w:cs="宋体"/>
                <w:sz w:val="20"/>
                <w:szCs w:val="20"/>
              </w:rPr>
            </w:pPr>
            <w:r>
              <w:rPr>
                <w:rFonts w:ascii="宋体" w:hAnsi="宋体" w:eastAsia="宋体" w:cs="宋体"/>
                <w:spacing w:val="4"/>
                <w:position w:val="1"/>
                <w:sz w:val="20"/>
                <w:szCs w:val="20"/>
              </w:rPr>
              <w:t>间</w:t>
            </w:r>
            <w:r>
              <w:rPr>
                <w:rFonts w:ascii="Times New Roman" w:hAnsi="Times New Roman" w:eastAsia="Times New Roman" w:cs="Times New Roman"/>
                <w:spacing w:val="4"/>
                <w:position w:val="1"/>
                <w:sz w:val="20"/>
                <w:szCs w:val="20"/>
              </w:rPr>
              <w:t>/</w:t>
            </w:r>
            <w:r>
              <w:rPr>
                <w:rFonts w:ascii="宋体" w:hAnsi="宋体" w:eastAsia="宋体" w:cs="宋体"/>
                <w:spacing w:val="4"/>
                <w:position w:val="1"/>
                <w:sz w:val="20"/>
                <w:szCs w:val="20"/>
              </w:rPr>
              <w:t>对二甲苯</w:t>
            </w:r>
          </w:p>
        </w:tc>
        <w:tc>
          <w:tcPr>
            <w:tcW w:w="3420" w:type="dxa"/>
            <w:vMerge w:val="continue"/>
            <w:tcBorders>
              <w:top w:val="nil"/>
              <w:bottom w:val="nil"/>
            </w:tcBorders>
            <w:vAlign w:val="top"/>
          </w:tcPr>
          <w:p w14:paraId="1DCF8F06">
            <w:pPr>
              <w:rPr>
                <w:rFonts w:ascii="Arial"/>
                <w:sz w:val="21"/>
              </w:rPr>
            </w:pPr>
          </w:p>
        </w:tc>
        <w:tc>
          <w:tcPr>
            <w:tcW w:w="1680" w:type="dxa"/>
            <w:vMerge w:val="continue"/>
            <w:tcBorders>
              <w:top w:val="nil"/>
              <w:bottom w:val="nil"/>
            </w:tcBorders>
            <w:vAlign w:val="top"/>
          </w:tcPr>
          <w:p w14:paraId="4D6CAE5D">
            <w:pPr>
              <w:rPr>
                <w:rFonts w:ascii="Arial"/>
                <w:sz w:val="21"/>
              </w:rPr>
            </w:pPr>
          </w:p>
        </w:tc>
        <w:tc>
          <w:tcPr>
            <w:tcW w:w="1056" w:type="dxa"/>
            <w:tcBorders>
              <w:right w:val="nil"/>
            </w:tcBorders>
            <w:vAlign w:val="top"/>
          </w:tcPr>
          <w:p w14:paraId="7AFE8C31">
            <w:pPr>
              <w:spacing w:before="18" w:line="281" w:lineRule="exact"/>
              <w:ind w:left="17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1.2</w:t>
            </w:r>
            <w:r>
              <w:rPr>
                <w:rFonts w:ascii="Times New Roman" w:hAnsi="Times New Roman" w:eastAsia="Times New Roman" w:cs="Times New Roman"/>
                <w:spacing w:val="1"/>
                <w:position w:val="2"/>
                <w:sz w:val="20"/>
                <w:szCs w:val="20"/>
              </w:rPr>
              <w:t>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1"/>
                <w:position w:val="2"/>
                <w:sz w:val="20"/>
                <w:szCs w:val="20"/>
              </w:rPr>
              <w:t>/</w:t>
            </w:r>
            <w:r>
              <w:rPr>
                <w:rFonts w:ascii="Times New Roman" w:hAnsi="Times New Roman" w:eastAsia="Times New Roman" w:cs="Times New Roman"/>
                <w:position w:val="2"/>
                <w:sz w:val="20"/>
                <w:szCs w:val="20"/>
              </w:rPr>
              <w:t>kg</w:t>
            </w:r>
          </w:p>
        </w:tc>
      </w:tr>
      <w:tr w14:paraId="0D8792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46" w:type="dxa"/>
            <w:tcBorders>
              <w:left w:val="nil"/>
            </w:tcBorders>
            <w:vAlign w:val="top"/>
          </w:tcPr>
          <w:p w14:paraId="432B2C69">
            <w:pPr>
              <w:spacing w:before="91" w:line="195" w:lineRule="auto"/>
              <w:ind w:left="1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6</w:t>
            </w:r>
          </w:p>
        </w:tc>
        <w:tc>
          <w:tcPr>
            <w:tcW w:w="1650" w:type="dxa"/>
            <w:vAlign w:val="top"/>
          </w:tcPr>
          <w:p w14:paraId="73C6A755">
            <w:pPr>
              <w:spacing w:before="55" w:line="227" w:lineRule="auto"/>
              <w:ind w:left="410"/>
              <w:rPr>
                <w:rFonts w:ascii="宋体" w:hAnsi="宋体" w:eastAsia="宋体" w:cs="宋体"/>
                <w:sz w:val="20"/>
                <w:szCs w:val="20"/>
              </w:rPr>
            </w:pPr>
            <w:r>
              <w:rPr>
                <w:rFonts w:ascii="宋体" w:hAnsi="宋体" w:eastAsia="宋体" w:cs="宋体"/>
                <w:spacing w:val="9"/>
                <w:sz w:val="20"/>
                <w:szCs w:val="20"/>
              </w:rPr>
              <w:t>邻</w:t>
            </w:r>
            <w:r>
              <w:rPr>
                <w:rFonts w:ascii="宋体" w:hAnsi="宋体" w:eastAsia="宋体" w:cs="宋体"/>
                <w:spacing w:val="7"/>
                <w:sz w:val="20"/>
                <w:szCs w:val="20"/>
              </w:rPr>
              <w:t>二甲苯</w:t>
            </w:r>
          </w:p>
        </w:tc>
        <w:tc>
          <w:tcPr>
            <w:tcW w:w="3420" w:type="dxa"/>
            <w:vMerge w:val="continue"/>
            <w:tcBorders>
              <w:top w:val="nil"/>
            </w:tcBorders>
            <w:vAlign w:val="top"/>
          </w:tcPr>
          <w:p w14:paraId="2A6D7A2D">
            <w:pPr>
              <w:rPr>
                <w:rFonts w:ascii="Arial"/>
                <w:sz w:val="21"/>
              </w:rPr>
            </w:pPr>
          </w:p>
        </w:tc>
        <w:tc>
          <w:tcPr>
            <w:tcW w:w="1680" w:type="dxa"/>
            <w:vMerge w:val="continue"/>
            <w:tcBorders>
              <w:top w:val="nil"/>
            </w:tcBorders>
            <w:vAlign w:val="top"/>
          </w:tcPr>
          <w:p w14:paraId="0EE7AED1">
            <w:pPr>
              <w:rPr>
                <w:rFonts w:ascii="Arial"/>
                <w:sz w:val="21"/>
              </w:rPr>
            </w:pPr>
          </w:p>
        </w:tc>
        <w:tc>
          <w:tcPr>
            <w:tcW w:w="1056" w:type="dxa"/>
            <w:tcBorders>
              <w:right w:val="nil"/>
            </w:tcBorders>
            <w:vAlign w:val="top"/>
          </w:tcPr>
          <w:p w14:paraId="1A2D72CE">
            <w:pPr>
              <w:spacing w:before="18" w:line="281" w:lineRule="exact"/>
              <w:ind w:left="17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1.2</w:t>
            </w:r>
            <w:r>
              <w:rPr>
                <w:rFonts w:ascii="Times New Roman" w:hAnsi="Times New Roman" w:eastAsia="Times New Roman" w:cs="Times New Roman"/>
                <w:spacing w:val="1"/>
                <w:position w:val="2"/>
                <w:sz w:val="20"/>
                <w:szCs w:val="20"/>
              </w:rPr>
              <w:t>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1"/>
                <w:position w:val="2"/>
                <w:sz w:val="20"/>
                <w:szCs w:val="20"/>
              </w:rPr>
              <w:t>/</w:t>
            </w:r>
            <w:r>
              <w:rPr>
                <w:rFonts w:ascii="Times New Roman" w:hAnsi="Times New Roman" w:eastAsia="Times New Roman" w:cs="Times New Roman"/>
                <w:position w:val="2"/>
                <w:sz w:val="20"/>
                <w:szCs w:val="20"/>
              </w:rPr>
              <w:t>kg</w:t>
            </w:r>
          </w:p>
        </w:tc>
      </w:tr>
      <w:tr w14:paraId="059FF8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46" w:type="dxa"/>
            <w:tcBorders>
              <w:left w:val="nil"/>
            </w:tcBorders>
            <w:vAlign w:val="top"/>
          </w:tcPr>
          <w:p w14:paraId="7C8D9C5C">
            <w:pPr>
              <w:spacing w:before="91" w:line="195" w:lineRule="auto"/>
              <w:ind w:left="1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7</w:t>
            </w:r>
          </w:p>
        </w:tc>
        <w:tc>
          <w:tcPr>
            <w:tcW w:w="1650" w:type="dxa"/>
            <w:vAlign w:val="top"/>
          </w:tcPr>
          <w:p w14:paraId="31C58B37">
            <w:pPr>
              <w:spacing w:before="55" w:line="227" w:lineRule="auto"/>
              <w:ind w:left="516"/>
              <w:rPr>
                <w:rFonts w:ascii="宋体" w:hAnsi="宋体" w:eastAsia="宋体" w:cs="宋体"/>
                <w:sz w:val="20"/>
                <w:szCs w:val="20"/>
              </w:rPr>
            </w:pPr>
            <w:r>
              <w:rPr>
                <w:rFonts w:ascii="宋体" w:hAnsi="宋体" w:eastAsia="宋体" w:cs="宋体"/>
                <w:spacing w:val="7"/>
                <w:sz w:val="20"/>
                <w:szCs w:val="20"/>
              </w:rPr>
              <w:t>硝</w:t>
            </w:r>
            <w:r>
              <w:rPr>
                <w:rFonts w:ascii="宋体" w:hAnsi="宋体" w:eastAsia="宋体" w:cs="宋体"/>
                <w:spacing w:val="6"/>
                <w:sz w:val="20"/>
                <w:szCs w:val="20"/>
              </w:rPr>
              <w:t>基苯</w:t>
            </w:r>
          </w:p>
        </w:tc>
        <w:tc>
          <w:tcPr>
            <w:tcW w:w="3420" w:type="dxa"/>
            <w:vMerge w:val="restart"/>
            <w:tcBorders>
              <w:bottom w:val="nil"/>
            </w:tcBorders>
            <w:vAlign w:val="top"/>
          </w:tcPr>
          <w:p w14:paraId="5599A573">
            <w:pPr>
              <w:spacing w:line="287" w:lineRule="auto"/>
              <w:rPr>
                <w:rFonts w:ascii="Arial"/>
                <w:sz w:val="21"/>
              </w:rPr>
            </w:pPr>
          </w:p>
          <w:p w14:paraId="65208A08">
            <w:pPr>
              <w:spacing w:line="287" w:lineRule="auto"/>
              <w:rPr>
                <w:rFonts w:ascii="Arial"/>
                <w:sz w:val="21"/>
              </w:rPr>
            </w:pPr>
          </w:p>
          <w:p w14:paraId="762C48A2">
            <w:pPr>
              <w:spacing w:line="287" w:lineRule="auto"/>
              <w:rPr>
                <w:rFonts w:ascii="Arial"/>
                <w:sz w:val="21"/>
              </w:rPr>
            </w:pPr>
          </w:p>
          <w:p w14:paraId="63F63AB9">
            <w:pPr>
              <w:spacing w:line="287" w:lineRule="auto"/>
              <w:rPr>
                <w:rFonts w:ascii="Arial"/>
                <w:sz w:val="21"/>
              </w:rPr>
            </w:pPr>
          </w:p>
          <w:p w14:paraId="0030C2C9">
            <w:pPr>
              <w:spacing w:line="287" w:lineRule="auto"/>
              <w:rPr>
                <w:rFonts w:ascii="Arial"/>
                <w:sz w:val="21"/>
              </w:rPr>
            </w:pPr>
          </w:p>
          <w:p w14:paraId="35EA9FC9">
            <w:pPr>
              <w:spacing w:before="65" w:line="301" w:lineRule="auto"/>
              <w:ind w:left="222" w:right="82" w:hanging="133"/>
              <w:rPr>
                <w:rFonts w:ascii="Times New Roman" w:hAnsi="Times New Roman" w:eastAsia="Times New Roman" w:cs="Times New Roman"/>
                <w:sz w:val="20"/>
                <w:szCs w:val="20"/>
              </w:rPr>
            </w:pPr>
            <w:r>
              <w:rPr>
                <w:rFonts w:ascii="宋体" w:hAnsi="宋体" w:eastAsia="宋体" w:cs="宋体"/>
                <w:spacing w:val="9"/>
                <w:sz w:val="20"/>
                <w:szCs w:val="20"/>
              </w:rPr>
              <w:t>土壤和沉积物 半挥发性有机物的</w:t>
            </w:r>
            <w:r>
              <w:rPr>
                <w:rFonts w:ascii="宋体" w:hAnsi="宋体" w:eastAsia="宋体" w:cs="宋体"/>
                <w:spacing w:val="8"/>
                <w:sz w:val="20"/>
                <w:szCs w:val="20"/>
              </w:rPr>
              <w:t>测</w:t>
            </w:r>
            <w:r>
              <w:rPr>
                <w:rFonts w:ascii="宋体" w:hAnsi="宋体" w:eastAsia="宋体" w:cs="宋体"/>
                <w:sz w:val="20"/>
                <w:szCs w:val="20"/>
              </w:rPr>
              <w:t xml:space="preserve"> </w:t>
            </w:r>
            <w:r>
              <w:rPr>
                <w:rFonts w:ascii="宋体" w:hAnsi="宋体" w:eastAsia="宋体" w:cs="宋体"/>
                <w:spacing w:val="4"/>
                <w:sz w:val="20"/>
                <w:szCs w:val="20"/>
              </w:rPr>
              <w:t>定 气相色谱</w:t>
            </w:r>
            <w:r>
              <w:rPr>
                <w:rFonts w:ascii="Times New Roman" w:hAnsi="Times New Roman" w:eastAsia="Times New Roman" w:cs="Times New Roman"/>
                <w:spacing w:val="4"/>
                <w:sz w:val="20"/>
                <w:szCs w:val="20"/>
              </w:rPr>
              <w:t>-</w:t>
            </w:r>
            <w:r>
              <w:rPr>
                <w:rFonts w:ascii="宋体" w:hAnsi="宋体" w:eastAsia="宋体" w:cs="宋体"/>
                <w:spacing w:val="4"/>
                <w:sz w:val="20"/>
                <w:szCs w:val="20"/>
              </w:rPr>
              <w:t xml:space="preserve">质谱法 </w:t>
            </w:r>
            <w:r>
              <w:rPr>
                <w:rFonts w:ascii="Times New Roman" w:hAnsi="Times New Roman" w:eastAsia="Times New Roman" w:cs="Times New Roman"/>
                <w:sz w:val="20"/>
                <w:szCs w:val="20"/>
              </w:rPr>
              <w:t>HJ</w:t>
            </w:r>
            <w:r>
              <w:rPr>
                <w:rFonts w:ascii="Times New Roman" w:hAnsi="Times New Roman" w:eastAsia="Times New Roman" w:cs="Times New Roman"/>
                <w:spacing w:val="4"/>
                <w:sz w:val="20"/>
                <w:szCs w:val="20"/>
              </w:rPr>
              <w:t xml:space="preserve"> 834-2017</w:t>
            </w:r>
          </w:p>
        </w:tc>
        <w:tc>
          <w:tcPr>
            <w:tcW w:w="1680" w:type="dxa"/>
            <w:vMerge w:val="restart"/>
            <w:tcBorders>
              <w:bottom w:val="nil"/>
            </w:tcBorders>
            <w:vAlign w:val="top"/>
          </w:tcPr>
          <w:p w14:paraId="5C3C807D">
            <w:pPr>
              <w:spacing w:line="287" w:lineRule="auto"/>
              <w:rPr>
                <w:rFonts w:ascii="Arial"/>
                <w:sz w:val="21"/>
              </w:rPr>
            </w:pPr>
          </w:p>
          <w:p w14:paraId="1E9A28C9">
            <w:pPr>
              <w:spacing w:line="287" w:lineRule="auto"/>
              <w:rPr>
                <w:rFonts w:ascii="Arial"/>
                <w:sz w:val="21"/>
              </w:rPr>
            </w:pPr>
          </w:p>
          <w:p w14:paraId="57EBD141">
            <w:pPr>
              <w:spacing w:line="287" w:lineRule="auto"/>
              <w:rPr>
                <w:rFonts w:ascii="Arial"/>
                <w:sz w:val="21"/>
              </w:rPr>
            </w:pPr>
          </w:p>
          <w:p w14:paraId="5B487BE3">
            <w:pPr>
              <w:spacing w:line="287" w:lineRule="auto"/>
              <w:rPr>
                <w:rFonts w:ascii="Arial"/>
                <w:sz w:val="21"/>
              </w:rPr>
            </w:pPr>
          </w:p>
          <w:p w14:paraId="1110437E">
            <w:pPr>
              <w:spacing w:line="287" w:lineRule="auto"/>
              <w:rPr>
                <w:rFonts w:ascii="Arial"/>
                <w:sz w:val="21"/>
              </w:rPr>
            </w:pPr>
          </w:p>
          <w:p w14:paraId="2D39B965">
            <w:pPr>
              <w:spacing w:before="65" w:line="301" w:lineRule="auto"/>
              <w:ind w:left="337" w:right="103" w:hanging="226"/>
              <w:rPr>
                <w:rFonts w:ascii="Times New Roman" w:hAnsi="Times New Roman" w:eastAsia="Times New Roman" w:cs="Times New Roman"/>
                <w:sz w:val="20"/>
                <w:szCs w:val="20"/>
              </w:rPr>
            </w:pPr>
            <w:r>
              <w:rPr>
                <w:rFonts w:ascii="宋体" w:hAnsi="宋体" w:eastAsia="宋体" w:cs="宋体"/>
                <w:spacing w:val="11"/>
                <w:sz w:val="20"/>
                <w:szCs w:val="20"/>
              </w:rPr>
              <w:t>气</w:t>
            </w:r>
            <w:r>
              <w:rPr>
                <w:rFonts w:ascii="宋体" w:hAnsi="宋体" w:eastAsia="宋体" w:cs="宋体"/>
                <w:spacing w:val="8"/>
                <w:sz w:val="20"/>
                <w:szCs w:val="20"/>
              </w:rPr>
              <w:t>相色谱质谱联</w:t>
            </w:r>
            <w:r>
              <w:rPr>
                <w:rFonts w:ascii="宋体" w:hAnsi="宋体" w:eastAsia="宋体" w:cs="宋体"/>
                <w:sz w:val="20"/>
                <w:szCs w:val="20"/>
              </w:rPr>
              <w:t xml:space="preserve"> </w:t>
            </w:r>
            <w:r>
              <w:rPr>
                <w:rFonts w:ascii="宋体" w:hAnsi="宋体" w:eastAsia="宋体" w:cs="宋体"/>
                <w:spacing w:val="-2"/>
                <w:sz w:val="20"/>
                <w:szCs w:val="20"/>
              </w:rPr>
              <w:t xml:space="preserve">用仪 </w:t>
            </w:r>
            <w:r>
              <w:rPr>
                <w:rFonts w:ascii="Times New Roman" w:hAnsi="Times New Roman" w:eastAsia="Times New Roman" w:cs="Times New Roman"/>
                <w:spacing w:val="-1"/>
                <w:sz w:val="20"/>
                <w:szCs w:val="20"/>
              </w:rPr>
              <w:t>FX</w:t>
            </w:r>
            <w:r>
              <w:rPr>
                <w:rFonts w:ascii="Times New Roman" w:hAnsi="Times New Roman" w:eastAsia="Times New Roman" w:cs="Times New Roman"/>
                <w:spacing w:val="-2"/>
                <w:sz w:val="20"/>
                <w:szCs w:val="20"/>
              </w:rPr>
              <w:t>-29</w:t>
            </w:r>
          </w:p>
        </w:tc>
        <w:tc>
          <w:tcPr>
            <w:tcW w:w="1056" w:type="dxa"/>
            <w:tcBorders>
              <w:right w:val="nil"/>
            </w:tcBorders>
            <w:vAlign w:val="top"/>
          </w:tcPr>
          <w:p w14:paraId="4D2B2085">
            <w:pPr>
              <w:spacing w:before="17" w:line="281" w:lineRule="exact"/>
              <w:ind w:left="80"/>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0</w:t>
            </w:r>
            <w:r>
              <w:rPr>
                <w:rFonts w:ascii="Times New Roman" w:hAnsi="Times New Roman" w:eastAsia="Times New Roman" w:cs="Times New Roman"/>
                <w:spacing w:val="6"/>
                <w:position w:val="2"/>
                <w:sz w:val="20"/>
                <w:szCs w:val="20"/>
              </w:rPr>
              <w:t>.09</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kg</w:t>
            </w:r>
          </w:p>
        </w:tc>
      </w:tr>
      <w:tr w14:paraId="7FF82C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46" w:type="dxa"/>
            <w:tcBorders>
              <w:left w:val="nil"/>
            </w:tcBorders>
            <w:vAlign w:val="top"/>
          </w:tcPr>
          <w:p w14:paraId="1DD1D3ED">
            <w:pPr>
              <w:spacing w:before="93" w:line="195" w:lineRule="auto"/>
              <w:ind w:left="1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8</w:t>
            </w:r>
          </w:p>
        </w:tc>
        <w:tc>
          <w:tcPr>
            <w:tcW w:w="1650" w:type="dxa"/>
            <w:vAlign w:val="top"/>
          </w:tcPr>
          <w:p w14:paraId="5470C249">
            <w:pPr>
              <w:spacing w:before="57" w:line="227" w:lineRule="auto"/>
              <w:ind w:left="622"/>
              <w:rPr>
                <w:rFonts w:ascii="宋体" w:hAnsi="宋体" w:eastAsia="宋体" w:cs="宋体"/>
                <w:sz w:val="20"/>
                <w:szCs w:val="20"/>
              </w:rPr>
            </w:pPr>
            <w:r>
              <w:rPr>
                <w:rFonts w:ascii="宋体" w:hAnsi="宋体" w:eastAsia="宋体" w:cs="宋体"/>
                <w:spacing w:val="4"/>
                <w:sz w:val="20"/>
                <w:szCs w:val="20"/>
              </w:rPr>
              <w:t>苯</w:t>
            </w:r>
            <w:r>
              <w:rPr>
                <w:rFonts w:ascii="宋体" w:hAnsi="宋体" w:eastAsia="宋体" w:cs="宋体"/>
                <w:spacing w:val="3"/>
                <w:sz w:val="20"/>
                <w:szCs w:val="20"/>
              </w:rPr>
              <w:t>胺</w:t>
            </w:r>
          </w:p>
        </w:tc>
        <w:tc>
          <w:tcPr>
            <w:tcW w:w="3420" w:type="dxa"/>
            <w:vMerge w:val="continue"/>
            <w:tcBorders>
              <w:top w:val="nil"/>
              <w:bottom w:val="nil"/>
            </w:tcBorders>
            <w:vAlign w:val="top"/>
          </w:tcPr>
          <w:p w14:paraId="4C0332CC">
            <w:pPr>
              <w:rPr>
                <w:rFonts w:ascii="Arial"/>
                <w:sz w:val="21"/>
              </w:rPr>
            </w:pPr>
          </w:p>
        </w:tc>
        <w:tc>
          <w:tcPr>
            <w:tcW w:w="1680" w:type="dxa"/>
            <w:vMerge w:val="continue"/>
            <w:tcBorders>
              <w:top w:val="nil"/>
              <w:bottom w:val="nil"/>
            </w:tcBorders>
            <w:vAlign w:val="top"/>
          </w:tcPr>
          <w:p w14:paraId="1CD83B4C">
            <w:pPr>
              <w:rPr>
                <w:rFonts w:ascii="Arial"/>
                <w:sz w:val="21"/>
              </w:rPr>
            </w:pPr>
          </w:p>
        </w:tc>
        <w:tc>
          <w:tcPr>
            <w:tcW w:w="1056" w:type="dxa"/>
            <w:tcBorders>
              <w:right w:val="nil"/>
            </w:tcBorders>
            <w:vAlign w:val="top"/>
          </w:tcPr>
          <w:p w14:paraId="57033535">
            <w:pPr>
              <w:spacing w:before="19" w:line="281" w:lineRule="exact"/>
              <w:ind w:left="133"/>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0</w:t>
            </w:r>
            <w:r>
              <w:rPr>
                <w:rFonts w:ascii="Times New Roman" w:hAnsi="Times New Roman" w:eastAsia="Times New Roman" w:cs="Times New Roman"/>
                <w:spacing w:val="-3"/>
                <w:position w:val="4"/>
                <w:sz w:val="20"/>
                <w:szCs w:val="20"/>
              </w:rPr>
              <w:t>.</w:t>
            </w:r>
            <w:r>
              <w:rPr>
                <w:rFonts w:ascii="Times New Roman" w:hAnsi="Times New Roman" w:eastAsia="Times New Roman" w:cs="Times New Roman"/>
                <w:spacing w:val="-2"/>
                <w:position w:val="4"/>
                <w:sz w:val="20"/>
                <w:szCs w:val="20"/>
              </w:rPr>
              <w:t xml:space="preserve"> 1mg/kg</w:t>
            </w:r>
          </w:p>
        </w:tc>
      </w:tr>
      <w:tr w14:paraId="50CCAE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46" w:type="dxa"/>
            <w:tcBorders>
              <w:left w:val="nil"/>
            </w:tcBorders>
            <w:vAlign w:val="top"/>
          </w:tcPr>
          <w:p w14:paraId="39817681">
            <w:pPr>
              <w:spacing w:before="92" w:line="195" w:lineRule="auto"/>
              <w:ind w:left="1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9</w:t>
            </w:r>
          </w:p>
        </w:tc>
        <w:tc>
          <w:tcPr>
            <w:tcW w:w="1650" w:type="dxa"/>
            <w:vAlign w:val="top"/>
          </w:tcPr>
          <w:p w14:paraId="427D7686">
            <w:pPr>
              <w:spacing w:before="56" w:line="229" w:lineRule="auto"/>
              <w:ind w:left="530"/>
              <w:rPr>
                <w:rFonts w:ascii="宋体" w:hAnsi="宋体" w:eastAsia="宋体" w:cs="宋体"/>
                <w:sz w:val="20"/>
                <w:szCs w:val="20"/>
              </w:rPr>
            </w:pPr>
            <w:r>
              <w:rPr>
                <w:rFonts w:ascii="Times New Roman" w:hAnsi="Times New Roman" w:eastAsia="Times New Roman" w:cs="Times New Roman"/>
                <w:spacing w:val="5"/>
                <w:sz w:val="20"/>
                <w:szCs w:val="20"/>
              </w:rPr>
              <w:t>2-</w:t>
            </w:r>
            <w:r>
              <w:rPr>
                <w:rFonts w:ascii="宋体" w:hAnsi="宋体" w:eastAsia="宋体" w:cs="宋体"/>
                <w:spacing w:val="5"/>
                <w:sz w:val="20"/>
                <w:szCs w:val="20"/>
              </w:rPr>
              <w:t>氯</w:t>
            </w:r>
            <w:r>
              <w:rPr>
                <w:rFonts w:ascii="宋体" w:hAnsi="宋体" w:eastAsia="宋体" w:cs="宋体"/>
                <w:spacing w:val="4"/>
                <w:sz w:val="20"/>
                <w:szCs w:val="20"/>
              </w:rPr>
              <w:t>酚</w:t>
            </w:r>
          </w:p>
        </w:tc>
        <w:tc>
          <w:tcPr>
            <w:tcW w:w="3420" w:type="dxa"/>
            <w:vMerge w:val="continue"/>
            <w:tcBorders>
              <w:top w:val="nil"/>
              <w:bottom w:val="nil"/>
            </w:tcBorders>
            <w:vAlign w:val="top"/>
          </w:tcPr>
          <w:p w14:paraId="7A864FDE">
            <w:pPr>
              <w:rPr>
                <w:rFonts w:ascii="Arial"/>
                <w:sz w:val="21"/>
              </w:rPr>
            </w:pPr>
          </w:p>
        </w:tc>
        <w:tc>
          <w:tcPr>
            <w:tcW w:w="1680" w:type="dxa"/>
            <w:vMerge w:val="continue"/>
            <w:tcBorders>
              <w:top w:val="nil"/>
              <w:bottom w:val="nil"/>
            </w:tcBorders>
            <w:vAlign w:val="top"/>
          </w:tcPr>
          <w:p w14:paraId="2BF785FF">
            <w:pPr>
              <w:rPr>
                <w:rFonts w:ascii="Arial"/>
                <w:sz w:val="21"/>
              </w:rPr>
            </w:pPr>
          </w:p>
        </w:tc>
        <w:tc>
          <w:tcPr>
            <w:tcW w:w="1056" w:type="dxa"/>
            <w:tcBorders>
              <w:right w:val="nil"/>
            </w:tcBorders>
            <w:vAlign w:val="top"/>
          </w:tcPr>
          <w:p w14:paraId="3A7E062A">
            <w:pPr>
              <w:spacing w:before="19" w:line="281" w:lineRule="exact"/>
              <w:ind w:left="80"/>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0</w:t>
            </w:r>
            <w:r>
              <w:rPr>
                <w:rFonts w:ascii="Times New Roman" w:hAnsi="Times New Roman" w:eastAsia="Times New Roman" w:cs="Times New Roman"/>
                <w:spacing w:val="6"/>
                <w:position w:val="2"/>
                <w:sz w:val="20"/>
                <w:szCs w:val="20"/>
              </w:rPr>
              <w:t>.06</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kg</w:t>
            </w:r>
          </w:p>
        </w:tc>
      </w:tr>
      <w:tr w14:paraId="64AB1C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46" w:type="dxa"/>
            <w:tcBorders>
              <w:left w:val="nil"/>
            </w:tcBorders>
            <w:vAlign w:val="top"/>
          </w:tcPr>
          <w:p w14:paraId="51AE5DB3">
            <w:pPr>
              <w:spacing w:before="92" w:line="195"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1650" w:type="dxa"/>
            <w:vAlign w:val="top"/>
          </w:tcPr>
          <w:p w14:paraId="17B94946">
            <w:pPr>
              <w:spacing w:before="18" w:line="281" w:lineRule="exact"/>
              <w:ind w:left="401"/>
              <w:rPr>
                <w:rFonts w:ascii="宋体" w:hAnsi="宋体" w:eastAsia="宋体" w:cs="宋体"/>
                <w:sz w:val="20"/>
                <w:szCs w:val="20"/>
              </w:rPr>
            </w:pPr>
            <w:r>
              <w:rPr>
                <w:rFonts w:ascii="宋体" w:hAnsi="宋体" w:eastAsia="宋体" w:cs="宋体"/>
                <w:spacing w:val="6"/>
                <w:position w:val="2"/>
                <w:sz w:val="20"/>
                <w:szCs w:val="20"/>
              </w:rPr>
              <w:t>苯并</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a</w:t>
            </w:r>
            <w:r>
              <w:rPr>
                <w:rFonts w:ascii="Times New Roman" w:hAnsi="Times New Roman" w:eastAsia="Times New Roman" w:cs="Times New Roman"/>
                <w:spacing w:val="6"/>
                <w:position w:val="2"/>
                <w:sz w:val="20"/>
                <w:szCs w:val="20"/>
              </w:rPr>
              <w:t>]</w:t>
            </w:r>
            <w:r>
              <w:rPr>
                <w:rFonts w:ascii="宋体" w:hAnsi="宋体" w:eastAsia="宋体" w:cs="宋体"/>
                <w:spacing w:val="5"/>
                <w:position w:val="2"/>
                <w:sz w:val="20"/>
                <w:szCs w:val="20"/>
              </w:rPr>
              <w:t>蒽</w:t>
            </w:r>
          </w:p>
        </w:tc>
        <w:tc>
          <w:tcPr>
            <w:tcW w:w="3420" w:type="dxa"/>
            <w:vMerge w:val="continue"/>
            <w:tcBorders>
              <w:top w:val="nil"/>
              <w:bottom w:val="nil"/>
            </w:tcBorders>
            <w:vAlign w:val="top"/>
          </w:tcPr>
          <w:p w14:paraId="6473515E">
            <w:pPr>
              <w:rPr>
                <w:rFonts w:ascii="Arial"/>
                <w:sz w:val="21"/>
              </w:rPr>
            </w:pPr>
          </w:p>
        </w:tc>
        <w:tc>
          <w:tcPr>
            <w:tcW w:w="1680" w:type="dxa"/>
            <w:vMerge w:val="continue"/>
            <w:tcBorders>
              <w:top w:val="nil"/>
              <w:bottom w:val="nil"/>
            </w:tcBorders>
            <w:vAlign w:val="top"/>
          </w:tcPr>
          <w:p w14:paraId="196D6AAF">
            <w:pPr>
              <w:rPr>
                <w:rFonts w:ascii="Arial"/>
                <w:sz w:val="21"/>
              </w:rPr>
            </w:pPr>
          </w:p>
        </w:tc>
        <w:tc>
          <w:tcPr>
            <w:tcW w:w="1056" w:type="dxa"/>
            <w:tcBorders>
              <w:right w:val="nil"/>
            </w:tcBorders>
            <w:vAlign w:val="top"/>
          </w:tcPr>
          <w:p w14:paraId="0F9CD187">
            <w:pPr>
              <w:spacing w:before="18" w:line="281" w:lineRule="exact"/>
              <w:ind w:left="133"/>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0</w:t>
            </w:r>
            <w:r>
              <w:rPr>
                <w:rFonts w:ascii="Times New Roman" w:hAnsi="Times New Roman" w:eastAsia="Times New Roman" w:cs="Times New Roman"/>
                <w:spacing w:val="-3"/>
                <w:position w:val="4"/>
                <w:sz w:val="20"/>
                <w:szCs w:val="20"/>
              </w:rPr>
              <w:t>.</w:t>
            </w:r>
            <w:r>
              <w:rPr>
                <w:rFonts w:ascii="Times New Roman" w:hAnsi="Times New Roman" w:eastAsia="Times New Roman" w:cs="Times New Roman"/>
                <w:spacing w:val="-2"/>
                <w:position w:val="4"/>
                <w:sz w:val="20"/>
                <w:szCs w:val="20"/>
              </w:rPr>
              <w:t xml:space="preserve"> 1mg/kg</w:t>
            </w:r>
          </w:p>
        </w:tc>
      </w:tr>
      <w:tr w14:paraId="2415F5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46" w:type="dxa"/>
            <w:tcBorders>
              <w:left w:val="nil"/>
            </w:tcBorders>
            <w:vAlign w:val="top"/>
          </w:tcPr>
          <w:p w14:paraId="577D8994">
            <w:pPr>
              <w:spacing w:before="92" w:line="195"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41</w:t>
            </w:r>
          </w:p>
        </w:tc>
        <w:tc>
          <w:tcPr>
            <w:tcW w:w="1650" w:type="dxa"/>
            <w:vAlign w:val="top"/>
          </w:tcPr>
          <w:p w14:paraId="22D2302E">
            <w:pPr>
              <w:spacing w:before="18" w:line="281" w:lineRule="exact"/>
              <w:ind w:left="401"/>
              <w:rPr>
                <w:rFonts w:ascii="宋体" w:hAnsi="宋体" w:eastAsia="宋体" w:cs="宋体"/>
                <w:sz w:val="20"/>
                <w:szCs w:val="20"/>
              </w:rPr>
            </w:pPr>
            <w:r>
              <w:rPr>
                <w:rFonts w:ascii="宋体" w:hAnsi="宋体" w:eastAsia="宋体" w:cs="宋体"/>
                <w:spacing w:val="6"/>
                <w:position w:val="2"/>
                <w:sz w:val="20"/>
                <w:szCs w:val="20"/>
              </w:rPr>
              <w:t>苯并</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a</w:t>
            </w:r>
            <w:r>
              <w:rPr>
                <w:rFonts w:ascii="Times New Roman" w:hAnsi="Times New Roman" w:eastAsia="Times New Roman" w:cs="Times New Roman"/>
                <w:spacing w:val="6"/>
                <w:position w:val="2"/>
                <w:sz w:val="20"/>
                <w:szCs w:val="20"/>
              </w:rPr>
              <w:t>]</w:t>
            </w:r>
            <w:r>
              <w:rPr>
                <w:rFonts w:ascii="宋体" w:hAnsi="宋体" w:eastAsia="宋体" w:cs="宋体"/>
                <w:spacing w:val="5"/>
                <w:position w:val="2"/>
                <w:sz w:val="20"/>
                <w:szCs w:val="20"/>
              </w:rPr>
              <w:t>芘</w:t>
            </w:r>
          </w:p>
        </w:tc>
        <w:tc>
          <w:tcPr>
            <w:tcW w:w="3420" w:type="dxa"/>
            <w:vMerge w:val="continue"/>
            <w:tcBorders>
              <w:top w:val="nil"/>
              <w:bottom w:val="nil"/>
            </w:tcBorders>
            <w:vAlign w:val="top"/>
          </w:tcPr>
          <w:p w14:paraId="32AB57AA">
            <w:pPr>
              <w:rPr>
                <w:rFonts w:ascii="Arial"/>
                <w:sz w:val="21"/>
              </w:rPr>
            </w:pPr>
          </w:p>
        </w:tc>
        <w:tc>
          <w:tcPr>
            <w:tcW w:w="1680" w:type="dxa"/>
            <w:vMerge w:val="continue"/>
            <w:tcBorders>
              <w:top w:val="nil"/>
              <w:bottom w:val="nil"/>
            </w:tcBorders>
            <w:vAlign w:val="top"/>
          </w:tcPr>
          <w:p w14:paraId="4DDD2CAE">
            <w:pPr>
              <w:rPr>
                <w:rFonts w:ascii="Arial"/>
                <w:sz w:val="21"/>
              </w:rPr>
            </w:pPr>
          </w:p>
        </w:tc>
        <w:tc>
          <w:tcPr>
            <w:tcW w:w="1056" w:type="dxa"/>
            <w:tcBorders>
              <w:right w:val="nil"/>
            </w:tcBorders>
            <w:vAlign w:val="top"/>
          </w:tcPr>
          <w:p w14:paraId="21A14C43">
            <w:pPr>
              <w:spacing w:before="18" w:line="281" w:lineRule="exact"/>
              <w:ind w:left="133"/>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0</w:t>
            </w:r>
            <w:r>
              <w:rPr>
                <w:rFonts w:ascii="Times New Roman" w:hAnsi="Times New Roman" w:eastAsia="Times New Roman" w:cs="Times New Roman"/>
                <w:spacing w:val="-3"/>
                <w:position w:val="4"/>
                <w:sz w:val="20"/>
                <w:szCs w:val="20"/>
              </w:rPr>
              <w:t>.</w:t>
            </w:r>
            <w:r>
              <w:rPr>
                <w:rFonts w:ascii="Times New Roman" w:hAnsi="Times New Roman" w:eastAsia="Times New Roman" w:cs="Times New Roman"/>
                <w:spacing w:val="-2"/>
                <w:position w:val="4"/>
                <w:sz w:val="20"/>
                <w:szCs w:val="20"/>
              </w:rPr>
              <w:t xml:space="preserve"> 1mg/kg</w:t>
            </w:r>
          </w:p>
        </w:tc>
      </w:tr>
      <w:tr w14:paraId="223D94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46" w:type="dxa"/>
            <w:tcBorders>
              <w:left w:val="nil"/>
            </w:tcBorders>
            <w:vAlign w:val="top"/>
          </w:tcPr>
          <w:p w14:paraId="159BF924">
            <w:pPr>
              <w:spacing w:before="91" w:line="195"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w:t>
            </w:r>
          </w:p>
        </w:tc>
        <w:tc>
          <w:tcPr>
            <w:tcW w:w="1650" w:type="dxa"/>
            <w:vAlign w:val="top"/>
          </w:tcPr>
          <w:p w14:paraId="7369266D">
            <w:pPr>
              <w:spacing w:before="18" w:line="281" w:lineRule="exact"/>
              <w:ind w:left="291"/>
              <w:rPr>
                <w:rFonts w:ascii="宋体" w:hAnsi="宋体" w:eastAsia="宋体" w:cs="宋体"/>
                <w:sz w:val="20"/>
                <w:szCs w:val="20"/>
              </w:rPr>
            </w:pPr>
            <w:r>
              <w:rPr>
                <w:rFonts w:ascii="宋体" w:hAnsi="宋体" w:eastAsia="宋体" w:cs="宋体"/>
                <w:spacing w:val="6"/>
                <w:position w:val="2"/>
                <w:sz w:val="20"/>
                <w:szCs w:val="20"/>
              </w:rPr>
              <w:t>苯并</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b</w:t>
            </w:r>
            <w:r>
              <w:rPr>
                <w:rFonts w:ascii="Times New Roman" w:hAnsi="Times New Roman" w:eastAsia="Times New Roman" w:cs="Times New Roman"/>
                <w:spacing w:val="6"/>
                <w:position w:val="2"/>
                <w:sz w:val="20"/>
                <w:szCs w:val="20"/>
              </w:rPr>
              <w:t>]</w:t>
            </w:r>
            <w:r>
              <w:rPr>
                <w:rFonts w:ascii="宋体" w:hAnsi="宋体" w:eastAsia="宋体" w:cs="宋体"/>
                <w:spacing w:val="6"/>
                <w:position w:val="2"/>
                <w:sz w:val="20"/>
                <w:szCs w:val="20"/>
              </w:rPr>
              <w:t>荧蒽</w:t>
            </w:r>
          </w:p>
        </w:tc>
        <w:tc>
          <w:tcPr>
            <w:tcW w:w="3420" w:type="dxa"/>
            <w:vMerge w:val="continue"/>
            <w:tcBorders>
              <w:top w:val="nil"/>
              <w:bottom w:val="nil"/>
            </w:tcBorders>
            <w:vAlign w:val="top"/>
          </w:tcPr>
          <w:p w14:paraId="114C0710">
            <w:pPr>
              <w:rPr>
                <w:rFonts w:ascii="Arial"/>
                <w:sz w:val="21"/>
              </w:rPr>
            </w:pPr>
          </w:p>
        </w:tc>
        <w:tc>
          <w:tcPr>
            <w:tcW w:w="1680" w:type="dxa"/>
            <w:vMerge w:val="continue"/>
            <w:tcBorders>
              <w:top w:val="nil"/>
              <w:bottom w:val="nil"/>
            </w:tcBorders>
            <w:vAlign w:val="top"/>
          </w:tcPr>
          <w:p w14:paraId="676FFAC8">
            <w:pPr>
              <w:rPr>
                <w:rFonts w:ascii="Arial"/>
                <w:sz w:val="21"/>
              </w:rPr>
            </w:pPr>
          </w:p>
        </w:tc>
        <w:tc>
          <w:tcPr>
            <w:tcW w:w="1056" w:type="dxa"/>
            <w:tcBorders>
              <w:right w:val="nil"/>
            </w:tcBorders>
            <w:vAlign w:val="top"/>
          </w:tcPr>
          <w:p w14:paraId="6E714C4F">
            <w:pPr>
              <w:spacing w:before="18" w:line="281" w:lineRule="exact"/>
              <w:ind w:left="133"/>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0</w:t>
            </w:r>
            <w:r>
              <w:rPr>
                <w:rFonts w:ascii="Times New Roman" w:hAnsi="Times New Roman" w:eastAsia="Times New Roman" w:cs="Times New Roman"/>
                <w:spacing w:val="7"/>
                <w:position w:val="2"/>
                <w:sz w:val="20"/>
                <w:szCs w:val="20"/>
              </w:rPr>
              <w:t>.2</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7"/>
                <w:position w:val="2"/>
                <w:sz w:val="20"/>
                <w:szCs w:val="20"/>
              </w:rPr>
              <w:t>/</w:t>
            </w:r>
            <w:r>
              <w:rPr>
                <w:rFonts w:ascii="Times New Roman" w:hAnsi="Times New Roman" w:eastAsia="Times New Roman" w:cs="Times New Roman"/>
                <w:position w:val="2"/>
                <w:sz w:val="20"/>
                <w:szCs w:val="20"/>
              </w:rPr>
              <w:t>kg</w:t>
            </w:r>
          </w:p>
        </w:tc>
      </w:tr>
      <w:tr w14:paraId="09ED7C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46" w:type="dxa"/>
            <w:tcBorders>
              <w:left w:val="nil"/>
            </w:tcBorders>
            <w:vAlign w:val="top"/>
          </w:tcPr>
          <w:p w14:paraId="1823D44D">
            <w:pPr>
              <w:spacing w:before="91" w:line="195"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43</w:t>
            </w:r>
          </w:p>
        </w:tc>
        <w:tc>
          <w:tcPr>
            <w:tcW w:w="1650" w:type="dxa"/>
            <w:vAlign w:val="top"/>
          </w:tcPr>
          <w:p w14:paraId="60EA4156">
            <w:pPr>
              <w:spacing w:before="17" w:line="281" w:lineRule="exact"/>
              <w:ind w:left="291"/>
              <w:rPr>
                <w:rFonts w:ascii="宋体" w:hAnsi="宋体" w:eastAsia="宋体" w:cs="宋体"/>
                <w:sz w:val="20"/>
                <w:szCs w:val="20"/>
              </w:rPr>
            </w:pPr>
            <w:r>
              <w:rPr>
                <w:rFonts w:ascii="宋体" w:hAnsi="宋体" w:eastAsia="宋体" w:cs="宋体"/>
                <w:spacing w:val="6"/>
                <w:position w:val="2"/>
                <w:sz w:val="20"/>
                <w:szCs w:val="20"/>
              </w:rPr>
              <w:t>苯并</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k</w:t>
            </w:r>
            <w:r>
              <w:rPr>
                <w:rFonts w:ascii="Times New Roman" w:hAnsi="Times New Roman" w:eastAsia="Times New Roman" w:cs="Times New Roman"/>
                <w:spacing w:val="6"/>
                <w:position w:val="2"/>
                <w:sz w:val="20"/>
                <w:szCs w:val="20"/>
              </w:rPr>
              <w:t>]</w:t>
            </w:r>
            <w:r>
              <w:rPr>
                <w:rFonts w:ascii="宋体" w:hAnsi="宋体" w:eastAsia="宋体" w:cs="宋体"/>
                <w:spacing w:val="6"/>
                <w:position w:val="2"/>
                <w:sz w:val="20"/>
                <w:szCs w:val="20"/>
              </w:rPr>
              <w:t>荧蒽</w:t>
            </w:r>
          </w:p>
        </w:tc>
        <w:tc>
          <w:tcPr>
            <w:tcW w:w="3420" w:type="dxa"/>
            <w:vMerge w:val="continue"/>
            <w:tcBorders>
              <w:top w:val="nil"/>
              <w:bottom w:val="nil"/>
            </w:tcBorders>
            <w:vAlign w:val="top"/>
          </w:tcPr>
          <w:p w14:paraId="5064E35D">
            <w:pPr>
              <w:rPr>
                <w:rFonts w:ascii="Arial"/>
                <w:sz w:val="21"/>
              </w:rPr>
            </w:pPr>
          </w:p>
        </w:tc>
        <w:tc>
          <w:tcPr>
            <w:tcW w:w="1680" w:type="dxa"/>
            <w:vMerge w:val="continue"/>
            <w:tcBorders>
              <w:top w:val="nil"/>
              <w:bottom w:val="nil"/>
            </w:tcBorders>
            <w:vAlign w:val="top"/>
          </w:tcPr>
          <w:p w14:paraId="73A613DD">
            <w:pPr>
              <w:rPr>
                <w:rFonts w:ascii="Arial"/>
                <w:sz w:val="21"/>
              </w:rPr>
            </w:pPr>
          </w:p>
        </w:tc>
        <w:tc>
          <w:tcPr>
            <w:tcW w:w="1056" w:type="dxa"/>
            <w:tcBorders>
              <w:right w:val="nil"/>
            </w:tcBorders>
            <w:vAlign w:val="top"/>
          </w:tcPr>
          <w:p w14:paraId="58F79744">
            <w:pPr>
              <w:spacing w:before="17" w:line="281" w:lineRule="exact"/>
              <w:ind w:left="133"/>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0</w:t>
            </w:r>
            <w:r>
              <w:rPr>
                <w:rFonts w:ascii="Times New Roman" w:hAnsi="Times New Roman" w:eastAsia="Times New Roman" w:cs="Times New Roman"/>
                <w:spacing w:val="-3"/>
                <w:position w:val="4"/>
                <w:sz w:val="20"/>
                <w:szCs w:val="20"/>
              </w:rPr>
              <w:t>.</w:t>
            </w:r>
            <w:r>
              <w:rPr>
                <w:rFonts w:ascii="Times New Roman" w:hAnsi="Times New Roman" w:eastAsia="Times New Roman" w:cs="Times New Roman"/>
                <w:spacing w:val="-2"/>
                <w:position w:val="4"/>
                <w:sz w:val="20"/>
                <w:szCs w:val="20"/>
              </w:rPr>
              <w:t xml:space="preserve"> 1mg/kg</w:t>
            </w:r>
          </w:p>
        </w:tc>
      </w:tr>
      <w:tr w14:paraId="0B2DA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46" w:type="dxa"/>
            <w:tcBorders>
              <w:left w:val="nil"/>
            </w:tcBorders>
            <w:vAlign w:val="top"/>
          </w:tcPr>
          <w:p w14:paraId="356F0945">
            <w:pPr>
              <w:spacing w:before="93" w:line="195"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44</w:t>
            </w:r>
          </w:p>
        </w:tc>
        <w:tc>
          <w:tcPr>
            <w:tcW w:w="1650" w:type="dxa"/>
            <w:vAlign w:val="top"/>
          </w:tcPr>
          <w:p w14:paraId="4BEB76C9">
            <w:pPr>
              <w:spacing w:before="57" w:line="229" w:lineRule="auto"/>
              <w:ind w:left="724"/>
              <w:rPr>
                <w:rFonts w:ascii="宋体" w:hAnsi="宋体" w:eastAsia="宋体" w:cs="宋体"/>
                <w:sz w:val="20"/>
                <w:szCs w:val="20"/>
              </w:rPr>
            </w:pPr>
            <w:r>
              <w:rPr>
                <w:rFonts w:ascii="宋体" w:hAnsi="宋体" w:eastAsia="宋体" w:cs="宋体"/>
                <w:spacing w:val="2"/>
                <w:sz w:val="20"/>
                <w:szCs w:val="20"/>
              </w:rPr>
              <w:t>䓛</w:t>
            </w:r>
          </w:p>
        </w:tc>
        <w:tc>
          <w:tcPr>
            <w:tcW w:w="3420" w:type="dxa"/>
            <w:vMerge w:val="continue"/>
            <w:tcBorders>
              <w:top w:val="nil"/>
              <w:bottom w:val="nil"/>
            </w:tcBorders>
            <w:vAlign w:val="top"/>
          </w:tcPr>
          <w:p w14:paraId="741439D0">
            <w:pPr>
              <w:rPr>
                <w:rFonts w:ascii="Arial"/>
                <w:sz w:val="21"/>
              </w:rPr>
            </w:pPr>
          </w:p>
        </w:tc>
        <w:tc>
          <w:tcPr>
            <w:tcW w:w="1680" w:type="dxa"/>
            <w:vMerge w:val="continue"/>
            <w:tcBorders>
              <w:top w:val="nil"/>
              <w:bottom w:val="nil"/>
            </w:tcBorders>
            <w:vAlign w:val="top"/>
          </w:tcPr>
          <w:p w14:paraId="3F3623F4">
            <w:pPr>
              <w:rPr>
                <w:rFonts w:ascii="Arial"/>
                <w:sz w:val="21"/>
              </w:rPr>
            </w:pPr>
          </w:p>
        </w:tc>
        <w:tc>
          <w:tcPr>
            <w:tcW w:w="1056" w:type="dxa"/>
            <w:tcBorders>
              <w:right w:val="nil"/>
            </w:tcBorders>
            <w:vAlign w:val="top"/>
          </w:tcPr>
          <w:p w14:paraId="05EB5722">
            <w:pPr>
              <w:spacing w:before="19" w:line="281" w:lineRule="exact"/>
              <w:ind w:left="133"/>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0</w:t>
            </w:r>
            <w:r>
              <w:rPr>
                <w:rFonts w:ascii="Times New Roman" w:hAnsi="Times New Roman" w:eastAsia="Times New Roman" w:cs="Times New Roman"/>
                <w:spacing w:val="-3"/>
                <w:position w:val="4"/>
                <w:sz w:val="20"/>
                <w:szCs w:val="20"/>
              </w:rPr>
              <w:t>.</w:t>
            </w:r>
            <w:r>
              <w:rPr>
                <w:rFonts w:ascii="Times New Roman" w:hAnsi="Times New Roman" w:eastAsia="Times New Roman" w:cs="Times New Roman"/>
                <w:spacing w:val="-2"/>
                <w:position w:val="4"/>
                <w:sz w:val="20"/>
                <w:szCs w:val="20"/>
              </w:rPr>
              <w:t xml:space="preserve"> 1mg/kg</w:t>
            </w:r>
          </w:p>
        </w:tc>
      </w:tr>
      <w:tr w14:paraId="4D34A2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46" w:type="dxa"/>
            <w:tcBorders>
              <w:left w:val="nil"/>
            </w:tcBorders>
            <w:vAlign w:val="top"/>
          </w:tcPr>
          <w:p w14:paraId="29D87D74">
            <w:pPr>
              <w:spacing w:before="92" w:line="195"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w:t>
            </w:r>
          </w:p>
        </w:tc>
        <w:tc>
          <w:tcPr>
            <w:tcW w:w="1650" w:type="dxa"/>
            <w:vAlign w:val="top"/>
          </w:tcPr>
          <w:p w14:paraId="3E3AA618">
            <w:pPr>
              <w:spacing w:before="19" w:line="281" w:lineRule="exact"/>
              <w:ind w:left="141"/>
              <w:rPr>
                <w:rFonts w:ascii="宋体" w:hAnsi="宋体" w:eastAsia="宋体" w:cs="宋体"/>
                <w:sz w:val="20"/>
                <w:szCs w:val="20"/>
              </w:rPr>
            </w:pPr>
            <w:r>
              <w:rPr>
                <w:rFonts w:ascii="宋体" w:hAnsi="宋体" w:eastAsia="宋体" w:cs="宋体"/>
                <w:spacing w:val="1"/>
                <w:position w:val="2"/>
                <w:sz w:val="20"/>
                <w:szCs w:val="20"/>
              </w:rPr>
              <w:t>二苯并</w:t>
            </w:r>
            <w:r>
              <w:rPr>
                <w:rFonts w:ascii="Times New Roman" w:hAnsi="Times New Roman" w:eastAsia="Times New Roman" w:cs="Times New Roman"/>
                <w:position w:val="2"/>
                <w:sz w:val="20"/>
                <w:szCs w:val="20"/>
              </w:rPr>
              <w:t xml:space="preserve">[a </w:t>
            </w:r>
            <w:r>
              <w:rPr>
                <w:rFonts w:ascii="宋体" w:hAnsi="宋体" w:eastAsia="宋体" w:cs="宋体"/>
                <w:position w:val="2"/>
                <w:sz w:val="20"/>
                <w:szCs w:val="20"/>
              </w:rPr>
              <w:t>，</w:t>
            </w:r>
            <w:r>
              <w:rPr>
                <w:rFonts w:ascii="Times New Roman" w:hAnsi="Times New Roman" w:eastAsia="Times New Roman" w:cs="Times New Roman"/>
                <w:position w:val="2"/>
                <w:sz w:val="20"/>
                <w:szCs w:val="20"/>
              </w:rPr>
              <w:t>h]</w:t>
            </w:r>
            <w:r>
              <w:rPr>
                <w:rFonts w:ascii="宋体" w:hAnsi="宋体" w:eastAsia="宋体" w:cs="宋体"/>
                <w:position w:val="2"/>
                <w:sz w:val="20"/>
                <w:szCs w:val="20"/>
              </w:rPr>
              <w:t>蒽</w:t>
            </w:r>
          </w:p>
        </w:tc>
        <w:tc>
          <w:tcPr>
            <w:tcW w:w="3420" w:type="dxa"/>
            <w:vMerge w:val="continue"/>
            <w:tcBorders>
              <w:top w:val="nil"/>
              <w:bottom w:val="nil"/>
            </w:tcBorders>
            <w:vAlign w:val="top"/>
          </w:tcPr>
          <w:p w14:paraId="1084D627">
            <w:pPr>
              <w:rPr>
                <w:rFonts w:ascii="Arial"/>
                <w:sz w:val="21"/>
              </w:rPr>
            </w:pPr>
          </w:p>
        </w:tc>
        <w:tc>
          <w:tcPr>
            <w:tcW w:w="1680" w:type="dxa"/>
            <w:vMerge w:val="continue"/>
            <w:tcBorders>
              <w:top w:val="nil"/>
              <w:bottom w:val="nil"/>
            </w:tcBorders>
            <w:vAlign w:val="top"/>
          </w:tcPr>
          <w:p w14:paraId="7E3D5878">
            <w:pPr>
              <w:rPr>
                <w:rFonts w:ascii="Arial"/>
                <w:sz w:val="21"/>
              </w:rPr>
            </w:pPr>
          </w:p>
        </w:tc>
        <w:tc>
          <w:tcPr>
            <w:tcW w:w="1056" w:type="dxa"/>
            <w:tcBorders>
              <w:right w:val="nil"/>
            </w:tcBorders>
            <w:vAlign w:val="top"/>
          </w:tcPr>
          <w:p w14:paraId="57BC756B">
            <w:pPr>
              <w:spacing w:before="19" w:line="281" w:lineRule="exact"/>
              <w:ind w:left="133"/>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0</w:t>
            </w:r>
            <w:r>
              <w:rPr>
                <w:rFonts w:ascii="Times New Roman" w:hAnsi="Times New Roman" w:eastAsia="Times New Roman" w:cs="Times New Roman"/>
                <w:spacing w:val="-3"/>
                <w:position w:val="4"/>
                <w:sz w:val="20"/>
                <w:szCs w:val="20"/>
              </w:rPr>
              <w:t>.</w:t>
            </w:r>
            <w:r>
              <w:rPr>
                <w:rFonts w:ascii="Times New Roman" w:hAnsi="Times New Roman" w:eastAsia="Times New Roman" w:cs="Times New Roman"/>
                <w:spacing w:val="-2"/>
                <w:position w:val="4"/>
                <w:sz w:val="20"/>
                <w:szCs w:val="20"/>
              </w:rPr>
              <w:t xml:space="preserve"> 1mg/kg</w:t>
            </w:r>
          </w:p>
        </w:tc>
      </w:tr>
      <w:tr w14:paraId="462EA4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46" w:type="dxa"/>
            <w:tcBorders>
              <w:left w:val="nil"/>
            </w:tcBorders>
            <w:vAlign w:val="top"/>
          </w:tcPr>
          <w:p w14:paraId="68A94D71">
            <w:pPr>
              <w:spacing w:before="92" w:line="195"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46</w:t>
            </w:r>
          </w:p>
        </w:tc>
        <w:tc>
          <w:tcPr>
            <w:tcW w:w="1650" w:type="dxa"/>
            <w:vAlign w:val="top"/>
          </w:tcPr>
          <w:p w14:paraId="46F224D3">
            <w:pPr>
              <w:spacing w:before="18" w:line="281" w:lineRule="exact"/>
              <w:ind w:left="108"/>
              <w:rPr>
                <w:rFonts w:ascii="宋体" w:hAnsi="宋体" w:eastAsia="宋体" w:cs="宋体"/>
                <w:sz w:val="20"/>
                <w:szCs w:val="20"/>
              </w:rPr>
            </w:pPr>
            <w:r>
              <w:rPr>
                <w:rFonts w:ascii="宋体" w:hAnsi="宋体" w:eastAsia="宋体" w:cs="宋体"/>
                <w:spacing w:val="6"/>
                <w:position w:val="2"/>
                <w:sz w:val="20"/>
                <w:szCs w:val="20"/>
              </w:rPr>
              <w:t>茚</w:t>
            </w:r>
            <w:r>
              <w:rPr>
                <w:rFonts w:ascii="宋体" w:hAnsi="宋体" w:eastAsia="宋体" w:cs="宋体"/>
                <w:spacing w:val="5"/>
                <w:position w:val="2"/>
                <w:sz w:val="20"/>
                <w:szCs w:val="20"/>
              </w:rPr>
              <w:t>并</w:t>
            </w:r>
            <w:r>
              <w:rPr>
                <w:rFonts w:ascii="Times New Roman" w:hAnsi="Times New Roman" w:eastAsia="Times New Roman" w:cs="Times New Roman"/>
                <w:spacing w:val="5"/>
                <w:position w:val="2"/>
                <w:sz w:val="20"/>
                <w:szCs w:val="20"/>
              </w:rPr>
              <w:t>[1,2,3-</w:t>
            </w:r>
            <w:r>
              <w:rPr>
                <w:rFonts w:ascii="Times New Roman" w:hAnsi="Times New Roman" w:eastAsia="Times New Roman" w:cs="Times New Roman"/>
                <w:position w:val="2"/>
                <w:sz w:val="20"/>
                <w:szCs w:val="20"/>
              </w:rPr>
              <w:t>cd</w:t>
            </w:r>
            <w:r>
              <w:rPr>
                <w:rFonts w:ascii="Times New Roman" w:hAnsi="Times New Roman" w:eastAsia="Times New Roman" w:cs="Times New Roman"/>
                <w:spacing w:val="5"/>
                <w:position w:val="2"/>
                <w:sz w:val="20"/>
                <w:szCs w:val="20"/>
              </w:rPr>
              <w:t>]</w:t>
            </w:r>
            <w:r>
              <w:rPr>
                <w:rFonts w:ascii="宋体" w:hAnsi="宋体" w:eastAsia="宋体" w:cs="宋体"/>
                <w:spacing w:val="5"/>
                <w:position w:val="2"/>
                <w:sz w:val="20"/>
                <w:szCs w:val="20"/>
              </w:rPr>
              <w:t>芘</w:t>
            </w:r>
          </w:p>
        </w:tc>
        <w:tc>
          <w:tcPr>
            <w:tcW w:w="3420" w:type="dxa"/>
            <w:vMerge w:val="continue"/>
            <w:tcBorders>
              <w:top w:val="nil"/>
              <w:bottom w:val="nil"/>
            </w:tcBorders>
            <w:vAlign w:val="top"/>
          </w:tcPr>
          <w:p w14:paraId="187427C8">
            <w:pPr>
              <w:rPr>
                <w:rFonts w:ascii="Arial"/>
                <w:sz w:val="21"/>
              </w:rPr>
            </w:pPr>
          </w:p>
        </w:tc>
        <w:tc>
          <w:tcPr>
            <w:tcW w:w="1680" w:type="dxa"/>
            <w:vMerge w:val="continue"/>
            <w:tcBorders>
              <w:top w:val="nil"/>
              <w:bottom w:val="nil"/>
            </w:tcBorders>
            <w:vAlign w:val="top"/>
          </w:tcPr>
          <w:p w14:paraId="78392D95">
            <w:pPr>
              <w:rPr>
                <w:rFonts w:ascii="Arial"/>
                <w:sz w:val="21"/>
              </w:rPr>
            </w:pPr>
          </w:p>
        </w:tc>
        <w:tc>
          <w:tcPr>
            <w:tcW w:w="1056" w:type="dxa"/>
            <w:tcBorders>
              <w:right w:val="nil"/>
            </w:tcBorders>
            <w:vAlign w:val="top"/>
          </w:tcPr>
          <w:p w14:paraId="0D50337D">
            <w:pPr>
              <w:spacing w:before="18" w:line="281" w:lineRule="exact"/>
              <w:ind w:left="133"/>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0</w:t>
            </w:r>
            <w:r>
              <w:rPr>
                <w:rFonts w:ascii="Times New Roman" w:hAnsi="Times New Roman" w:eastAsia="Times New Roman" w:cs="Times New Roman"/>
                <w:spacing w:val="-3"/>
                <w:position w:val="4"/>
                <w:sz w:val="20"/>
                <w:szCs w:val="20"/>
              </w:rPr>
              <w:t>.</w:t>
            </w:r>
            <w:r>
              <w:rPr>
                <w:rFonts w:ascii="Times New Roman" w:hAnsi="Times New Roman" w:eastAsia="Times New Roman" w:cs="Times New Roman"/>
                <w:spacing w:val="-2"/>
                <w:position w:val="4"/>
                <w:sz w:val="20"/>
                <w:szCs w:val="20"/>
              </w:rPr>
              <w:t xml:space="preserve"> 1mg/kg</w:t>
            </w:r>
          </w:p>
        </w:tc>
      </w:tr>
      <w:tr w14:paraId="3837D8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546" w:type="dxa"/>
            <w:tcBorders>
              <w:left w:val="nil"/>
            </w:tcBorders>
            <w:vAlign w:val="top"/>
          </w:tcPr>
          <w:p w14:paraId="755F52B0">
            <w:pPr>
              <w:spacing w:before="91" w:line="195"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47</w:t>
            </w:r>
          </w:p>
        </w:tc>
        <w:tc>
          <w:tcPr>
            <w:tcW w:w="1650" w:type="dxa"/>
            <w:vAlign w:val="top"/>
          </w:tcPr>
          <w:p w14:paraId="3896DD2E">
            <w:pPr>
              <w:spacing w:before="56" w:line="228" w:lineRule="auto"/>
              <w:ind w:left="726"/>
              <w:rPr>
                <w:rFonts w:ascii="宋体" w:hAnsi="宋体" w:eastAsia="宋体" w:cs="宋体"/>
                <w:sz w:val="20"/>
                <w:szCs w:val="20"/>
              </w:rPr>
            </w:pPr>
            <w:r>
              <w:rPr>
                <w:rFonts w:ascii="宋体" w:hAnsi="宋体" w:eastAsia="宋体" w:cs="宋体"/>
                <w:sz w:val="20"/>
                <w:szCs w:val="20"/>
              </w:rPr>
              <w:t>萘</w:t>
            </w:r>
          </w:p>
        </w:tc>
        <w:tc>
          <w:tcPr>
            <w:tcW w:w="3420" w:type="dxa"/>
            <w:vMerge w:val="continue"/>
            <w:tcBorders>
              <w:top w:val="nil"/>
            </w:tcBorders>
            <w:vAlign w:val="top"/>
          </w:tcPr>
          <w:p w14:paraId="2BDDEDD5">
            <w:pPr>
              <w:rPr>
                <w:rFonts w:ascii="Arial"/>
                <w:sz w:val="21"/>
              </w:rPr>
            </w:pPr>
          </w:p>
        </w:tc>
        <w:tc>
          <w:tcPr>
            <w:tcW w:w="1680" w:type="dxa"/>
            <w:vMerge w:val="continue"/>
            <w:tcBorders>
              <w:top w:val="nil"/>
            </w:tcBorders>
            <w:vAlign w:val="top"/>
          </w:tcPr>
          <w:p w14:paraId="6D2809D3">
            <w:pPr>
              <w:rPr>
                <w:rFonts w:ascii="Arial"/>
                <w:sz w:val="21"/>
              </w:rPr>
            </w:pPr>
          </w:p>
        </w:tc>
        <w:tc>
          <w:tcPr>
            <w:tcW w:w="1056" w:type="dxa"/>
            <w:tcBorders>
              <w:right w:val="nil"/>
            </w:tcBorders>
            <w:vAlign w:val="top"/>
          </w:tcPr>
          <w:p w14:paraId="45ED8DAE">
            <w:pPr>
              <w:spacing w:before="18" w:line="281" w:lineRule="exact"/>
              <w:ind w:left="80"/>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0</w:t>
            </w:r>
            <w:r>
              <w:rPr>
                <w:rFonts w:ascii="Times New Roman" w:hAnsi="Times New Roman" w:eastAsia="Times New Roman" w:cs="Times New Roman"/>
                <w:spacing w:val="6"/>
                <w:position w:val="2"/>
                <w:sz w:val="20"/>
                <w:szCs w:val="20"/>
              </w:rPr>
              <w:t>.09</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kg</w:t>
            </w:r>
          </w:p>
        </w:tc>
      </w:tr>
    </w:tbl>
    <w:p w14:paraId="4B6E496F">
      <w:pPr>
        <w:spacing w:line="260" w:lineRule="auto"/>
        <w:rPr>
          <w:rFonts w:ascii="Arial"/>
          <w:sz w:val="21"/>
        </w:rPr>
      </w:pPr>
    </w:p>
    <w:p w14:paraId="5398D9AB">
      <w:pPr>
        <w:spacing w:before="74" w:line="228" w:lineRule="auto"/>
        <w:ind w:left="403"/>
        <w:rPr>
          <w:rFonts w:ascii="宋体" w:hAnsi="宋体" w:eastAsia="宋体" w:cs="宋体"/>
          <w:sz w:val="23"/>
          <w:szCs w:val="23"/>
        </w:rPr>
      </w:pPr>
      <w:r>
        <w:rPr>
          <w:rFonts w:ascii="宋体" w:hAnsi="宋体" w:eastAsia="宋体" w:cs="宋体"/>
          <w:spacing w:val="20"/>
          <w:sz w:val="23"/>
          <w:szCs w:val="23"/>
        </w:rPr>
        <w:t>(</w:t>
      </w:r>
      <w:r>
        <w:rPr>
          <w:rFonts w:ascii="Times New Roman" w:hAnsi="Times New Roman" w:eastAsia="Times New Roman" w:cs="Times New Roman"/>
          <w:spacing w:val="20"/>
          <w:sz w:val="23"/>
          <w:szCs w:val="23"/>
        </w:rPr>
        <w:t>4</w:t>
      </w:r>
      <w:r>
        <w:rPr>
          <w:rFonts w:ascii="宋体" w:hAnsi="宋体" w:eastAsia="宋体" w:cs="宋体"/>
          <w:spacing w:val="20"/>
          <w:sz w:val="23"/>
          <w:szCs w:val="23"/>
        </w:rPr>
        <w:t>) 监测结</w:t>
      </w:r>
      <w:r>
        <w:rPr>
          <w:rFonts w:ascii="宋体" w:hAnsi="宋体" w:eastAsia="宋体" w:cs="宋体"/>
          <w:spacing w:val="19"/>
          <w:sz w:val="23"/>
          <w:szCs w:val="23"/>
        </w:rPr>
        <w:t>果</w:t>
      </w:r>
    </w:p>
    <w:p w14:paraId="67B9BB3D">
      <w:pPr>
        <w:spacing w:line="275" w:lineRule="auto"/>
        <w:rPr>
          <w:rFonts w:ascii="Arial"/>
          <w:sz w:val="21"/>
        </w:rPr>
      </w:pPr>
    </w:p>
    <w:p w14:paraId="7EDA205A">
      <w:pPr>
        <w:spacing w:before="75" w:line="227" w:lineRule="auto"/>
        <w:ind w:left="516"/>
        <w:rPr>
          <w:rFonts w:ascii="宋体" w:hAnsi="宋体" w:eastAsia="宋体" w:cs="宋体"/>
          <w:sz w:val="23"/>
          <w:szCs w:val="23"/>
        </w:rPr>
      </w:pPr>
      <w:r>
        <w:rPr>
          <w:rFonts w:ascii="宋体" w:hAnsi="宋体" w:eastAsia="宋体" w:cs="宋体"/>
          <w:spacing w:val="3"/>
          <w:sz w:val="23"/>
          <w:szCs w:val="23"/>
        </w:rPr>
        <w:t xml:space="preserve">项目所在区域土壤环境现状监测结果见表 </w:t>
      </w:r>
      <w:r>
        <w:rPr>
          <w:rFonts w:ascii="Times New Roman" w:hAnsi="Times New Roman" w:eastAsia="Times New Roman" w:cs="Times New Roman"/>
          <w:spacing w:val="3"/>
          <w:sz w:val="23"/>
          <w:szCs w:val="23"/>
        </w:rPr>
        <w:t>4- 1</w:t>
      </w:r>
      <w:r>
        <w:rPr>
          <w:rFonts w:ascii="Times New Roman" w:hAnsi="Times New Roman" w:eastAsia="Times New Roman" w:cs="Times New Roman"/>
          <w:spacing w:val="2"/>
          <w:sz w:val="23"/>
          <w:szCs w:val="23"/>
        </w:rPr>
        <w:t>9</w:t>
      </w:r>
      <w:r>
        <w:rPr>
          <w:rFonts w:ascii="宋体" w:hAnsi="宋体" w:eastAsia="宋体" w:cs="宋体"/>
          <w:sz w:val="23"/>
          <w:szCs w:val="23"/>
        </w:rPr>
        <w:t>。</w:t>
      </w:r>
    </w:p>
    <w:p w14:paraId="693CECD7">
      <w:pPr>
        <w:spacing w:line="276" w:lineRule="auto"/>
        <w:rPr>
          <w:rFonts w:ascii="Arial"/>
          <w:sz w:val="21"/>
        </w:rPr>
      </w:pPr>
    </w:p>
    <w:p w14:paraId="3732FB63">
      <w:pPr>
        <w:spacing w:before="75" w:line="228" w:lineRule="auto"/>
        <w:ind w:left="2253"/>
        <w:rPr>
          <w:rFonts w:ascii="宋体" w:hAnsi="宋体" w:eastAsia="宋体" w:cs="宋体"/>
          <w:sz w:val="23"/>
          <w:szCs w:val="23"/>
        </w:rPr>
      </w:pPr>
      <w:r>
        <w:rPr>
          <w:rFonts w:ascii="宋体" w:hAnsi="宋体" w:eastAsia="宋体" w:cs="宋体"/>
          <w:spacing w:val="8"/>
          <w:sz w:val="23"/>
          <w:szCs w:val="23"/>
          <w14:textOutline w14:w="4358" w14:cap="sq" w14:cmpd="sng">
            <w14:solidFill>
              <w14:srgbClr w14:val="000000"/>
            </w14:solidFill>
            <w14:prstDash w14:val="solid"/>
            <w14:bevel/>
          </w14:textOutline>
        </w:rPr>
        <w:t>表</w:t>
      </w:r>
      <w:r>
        <w:rPr>
          <w:rFonts w:ascii="宋体" w:hAnsi="宋体" w:eastAsia="宋体" w:cs="宋体"/>
          <w:spacing w:val="6"/>
          <w:sz w:val="23"/>
          <w:szCs w:val="23"/>
        </w:rPr>
        <w:t xml:space="preserve"> </w:t>
      </w:r>
      <w:r>
        <w:rPr>
          <w:rFonts w:ascii="Times New Roman" w:hAnsi="Times New Roman" w:eastAsia="Times New Roman" w:cs="Times New Roman"/>
          <w:b/>
          <w:bCs/>
          <w:spacing w:val="4"/>
          <w:sz w:val="23"/>
          <w:szCs w:val="23"/>
        </w:rPr>
        <w:t>4-19</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土壤环境质量监测结果表</w:t>
      </w:r>
    </w:p>
    <w:p w14:paraId="650E4E60">
      <w:pPr>
        <w:spacing w:line="17"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3"/>
        <w:gridCol w:w="1553"/>
        <w:gridCol w:w="1445"/>
        <w:gridCol w:w="2096"/>
        <w:gridCol w:w="2097"/>
        <w:gridCol w:w="748"/>
      </w:tblGrid>
      <w:tr w14:paraId="1A4EB6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1" w:hRule="atLeast"/>
        </w:trPr>
        <w:tc>
          <w:tcPr>
            <w:tcW w:w="583" w:type="dxa"/>
            <w:vMerge w:val="restart"/>
            <w:tcBorders>
              <w:left w:val="nil"/>
              <w:bottom w:val="nil"/>
            </w:tcBorders>
            <w:vAlign w:val="top"/>
          </w:tcPr>
          <w:p w14:paraId="6FA0F029">
            <w:pPr>
              <w:spacing w:line="290" w:lineRule="auto"/>
              <w:rPr>
                <w:rFonts w:ascii="Arial"/>
                <w:sz w:val="21"/>
              </w:rPr>
            </w:pPr>
          </w:p>
          <w:p w14:paraId="4FB0C7B6">
            <w:pPr>
              <w:spacing w:before="65" w:line="229" w:lineRule="auto"/>
              <w:ind w:left="87"/>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序号</w:t>
            </w:r>
          </w:p>
        </w:tc>
        <w:tc>
          <w:tcPr>
            <w:tcW w:w="7191" w:type="dxa"/>
            <w:gridSpan w:val="4"/>
            <w:vAlign w:val="top"/>
          </w:tcPr>
          <w:p w14:paraId="2DE26309">
            <w:pPr>
              <w:spacing w:before="57" w:line="225" w:lineRule="auto"/>
              <w:ind w:left="3180"/>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检</w:t>
            </w:r>
            <w:r>
              <w:rPr>
                <w:rFonts w:ascii="宋体" w:hAnsi="宋体" w:eastAsia="宋体" w:cs="宋体"/>
                <w:spacing w:val="8"/>
                <w:sz w:val="20"/>
                <w:szCs w:val="20"/>
                <w14:textOutline w14:w="3795" w14:cap="sq" w14:cmpd="sng">
                  <w14:solidFill>
                    <w14:srgbClr w14:val="000000"/>
                  </w14:solidFill>
                  <w14:prstDash w14:val="solid"/>
                  <w14:bevel/>
                </w14:textOutline>
              </w:rPr>
              <w:t>测结果</w:t>
            </w:r>
          </w:p>
        </w:tc>
        <w:tc>
          <w:tcPr>
            <w:tcW w:w="748" w:type="dxa"/>
            <w:vMerge w:val="restart"/>
            <w:tcBorders>
              <w:bottom w:val="nil"/>
              <w:right w:val="nil"/>
            </w:tcBorders>
            <w:vAlign w:val="top"/>
          </w:tcPr>
          <w:p w14:paraId="7288BD79">
            <w:pPr>
              <w:spacing w:line="290" w:lineRule="auto"/>
              <w:rPr>
                <w:rFonts w:ascii="Arial"/>
                <w:sz w:val="21"/>
              </w:rPr>
            </w:pPr>
          </w:p>
          <w:p w14:paraId="58A33EB8">
            <w:pPr>
              <w:spacing w:before="65" w:line="228" w:lineRule="auto"/>
              <w:ind w:left="171"/>
              <w:rPr>
                <w:rFonts w:ascii="宋体" w:hAnsi="宋体" w:eastAsia="宋体" w:cs="宋体"/>
                <w:sz w:val="20"/>
                <w:szCs w:val="20"/>
              </w:rPr>
            </w:pPr>
            <w:r>
              <w:rPr>
                <w:rFonts w:ascii="宋体" w:hAnsi="宋体" w:eastAsia="宋体" w:cs="宋体"/>
                <w:spacing w:val="5"/>
                <w:sz w:val="20"/>
                <w:szCs w:val="20"/>
                <w14:textOutline w14:w="3795" w14:cap="sq" w14:cmpd="sng">
                  <w14:solidFill>
                    <w14:srgbClr w14:val="000000"/>
                  </w14:solidFill>
                  <w14:prstDash w14:val="solid"/>
                  <w14:bevel/>
                </w14:textOutline>
              </w:rPr>
              <w:t>单位</w:t>
            </w:r>
          </w:p>
        </w:tc>
      </w:tr>
      <w:tr w14:paraId="7DCC79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83" w:type="dxa"/>
            <w:vMerge w:val="continue"/>
            <w:tcBorders>
              <w:top w:val="nil"/>
              <w:left w:val="nil"/>
              <w:bottom w:val="nil"/>
            </w:tcBorders>
            <w:vAlign w:val="top"/>
          </w:tcPr>
          <w:p w14:paraId="742DD12B">
            <w:pPr>
              <w:rPr>
                <w:rFonts w:ascii="Arial"/>
                <w:sz w:val="21"/>
              </w:rPr>
            </w:pPr>
          </w:p>
        </w:tc>
        <w:tc>
          <w:tcPr>
            <w:tcW w:w="1553" w:type="dxa"/>
            <w:vAlign w:val="top"/>
          </w:tcPr>
          <w:p w14:paraId="31ABB189">
            <w:pPr>
              <w:spacing w:before="31" w:line="227" w:lineRule="auto"/>
              <w:ind w:left="361"/>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采样日</w:t>
            </w:r>
            <w:r>
              <w:rPr>
                <w:rFonts w:ascii="宋体" w:hAnsi="宋体" w:eastAsia="宋体" w:cs="宋体"/>
                <w:spacing w:val="8"/>
                <w:sz w:val="20"/>
                <w:szCs w:val="20"/>
                <w14:textOutline w14:w="3795" w14:cap="sq" w14:cmpd="sng">
                  <w14:solidFill>
                    <w14:srgbClr w14:val="000000"/>
                  </w14:solidFill>
                  <w14:prstDash w14:val="solid"/>
                  <w14:bevel/>
                </w14:textOutline>
              </w:rPr>
              <w:t>期</w:t>
            </w:r>
          </w:p>
        </w:tc>
        <w:tc>
          <w:tcPr>
            <w:tcW w:w="5638" w:type="dxa"/>
            <w:gridSpan w:val="3"/>
            <w:vAlign w:val="top"/>
          </w:tcPr>
          <w:p w14:paraId="6B782434">
            <w:pPr>
              <w:spacing w:before="32" w:line="227" w:lineRule="auto"/>
              <w:ind w:left="1955"/>
              <w:rPr>
                <w:rFonts w:ascii="宋体" w:hAnsi="宋体" w:eastAsia="宋体" w:cs="宋体"/>
                <w:sz w:val="20"/>
                <w:szCs w:val="20"/>
              </w:rPr>
            </w:pPr>
            <w:r>
              <w:rPr>
                <w:rFonts w:ascii="Times New Roman" w:hAnsi="Times New Roman" w:eastAsia="Times New Roman" w:cs="Times New Roman"/>
                <w:b/>
                <w:bCs/>
                <w:spacing w:val="1"/>
                <w:sz w:val="20"/>
                <w:szCs w:val="20"/>
              </w:rPr>
              <w:t>2019</w:t>
            </w:r>
            <w:r>
              <w:rPr>
                <w:rFonts w:ascii="Times New Roman" w:hAnsi="Times New Roman" w:eastAsia="Times New Roman" w:cs="Times New Roman"/>
                <w:spacing w:val="1"/>
                <w:sz w:val="20"/>
                <w:szCs w:val="20"/>
              </w:rPr>
              <w:t xml:space="preserve"> </w:t>
            </w:r>
            <w:r>
              <w:rPr>
                <w:rFonts w:ascii="宋体" w:hAnsi="宋体" w:eastAsia="宋体" w:cs="宋体"/>
                <w:spacing w:val="1"/>
                <w:sz w:val="20"/>
                <w:szCs w:val="20"/>
                <w14:textOutline w14:w="3795" w14:cap="sq" w14:cmpd="sng">
                  <w14:solidFill>
                    <w14:srgbClr w14:val="000000"/>
                  </w14:solidFill>
                  <w14:prstDash w14:val="solid"/>
                  <w14:bevel/>
                </w14:textOutline>
              </w:rPr>
              <w:t>年</w:t>
            </w:r>
            <w:r>
              <w:rPr>
                <w:rFonts w:ascii="宋体" w:hAnsi="宋体" w:eastAsia="宋体" w:cs="宋体"/>
                <w:spacing w:val="1"/>
                <w:sz w:val="20"/>
                <w:szCs w:val="20"/>
              </w:rPr>
              <w:t xml:space="preserve"> </w:t>
            </w:r>
            <w:r>
              <w:rPr>
                <w:rFonts w:ascii="Times New Roman" w:hAnsi="Times New Roman" w:eastAsia="Times New Roman" w:cs="Times New Roman"/>
                <w:b/>
                <w:bCs/>
                <w:spacing w:val="1"/>
                <w:sz w:val="20"/>
                <w:szCs w:val="20"/>
              </w:rPr>
              <w:t>08</w:t>
            </w:r>
            <w:r>
              <w:rPr>
                <w:rFonts w:ascii="Times New Roman" w:hAnsi="Times New Roman" w:eastAsia="Times New Roman" w:cs="Times New Roman"/>
                <w:spacing w:val="1"/>
                <w:sz w:val="20"/>
                <w:szCs w:val="20"/>
              </w:rPr>
              <w:t xml:space="preserve"> </w:t>
            </w:r>
            <w:r>
              <w:rPr>
                <w:rFonts w:ascii="宋体" w:hAnsi="宋体" w:eastAsia="宋体" w:cs="宋体"/>
                <w:spacing w:val="1"/>
                <w:sz w:val="20"/>
                <w:szCs w:val="20"/>
                <w14:textOutline w14:w="3795" w14:cap="sq" w14:cmpd="sng">
                  <w14:solidFill>
                    <w14:srgbClr w14:val="000000"/>
                  </w14:solidFill>
                  <w14:prstDash w14:val="solid"/>
                  <w14:bevel/>
                </w14:textOutline>
              </w:rPr>
              <w:t>月</w:t>
            </w:r>
            <w:r>
              <w:rPr>
                <w:rFonts w:ascii="宋体" w:hAnsi="宋体" w:eastAsia="宋体" w:cs="宋体"/>
                <w:spacing w:val="1"/>
                <w:sz w:val="20"/>
                <w:szCs w:val="20"/>
              </w:rPr>
              <w:t xml:space="preserve"> </w:t>
            </w:r>
            <w:r>
              <w:rPr>
                <w:rFonts w:ascii="Times New Roman" w:hAnsi="Times New Roman" w:eastAsia="Times New Roman" w:cs="Times New Roman"/>
                <w:b/>
                <w:bCs/>
                <w:spacing w:val="1"/>
                <w:sz w:val="20"/>
                <w:szCs w:val="20"/>
              </w:rPr>
              <w:t>0</w:t>
            </w:r>
            <w:r>
              <w:rPr>
                <w:rFonts w:ascii="Times New Roman" w:hAnsi="Times New Roman" w:eastAsia="Times New Roman" w:cs="Times New Roman"/>
                <w:b/>
                <w:bCs/>
                <w:sz w:val="20"/>
                <w:szCs w:val="20"/>
              </w:rPr>
              <w:t>1</w:t>
            </w:r>
            <w:r>
              <w:rPr>
                <w:rFonts w:ascii="Times New Roman" w:hAnsi="Times New Roman" w:eastAsia="Times New Roman" w:cs="Times New Roman"/>
                <w:sz w:val="20"/>
                <w:szCs w:val="20"/>
              </w:rPr>
              <w:t xml:space="preserve"> </w:t>
            </w:r>
            <w:r>
              <w:rPr>
                <w:rFonts w:ascii="宋体" w:hAnsi="宋体" w:eastAsia="宋体" w:cs="宋体"/>
                <w:sz w:val="20"/>
                <w:szCs w:val="20"/>
                <w14:textOutline w14:w="3795" w14:cap="sq" w14:cmpd="sng">
                  <w14:solidFill>
                    <w14:srgbClr w14:val="000000"/>
                  </w14:solidFill>
                  <w14:prstDash w14:val="solid"/>
                  <w14:bevel/>
                </w14:textOutline>
              </w:rPr>
              <w:t>日</w:t>
            </w:r>
          </w:p>
        </w:tc>
        <w:tc>
          <w:tcPr>
            <w:tcW w:w="748" w:type="dxa"/>
            <w:vMerge w:val="continue"/>
            <w:tcBorders>
              <w:top w:val="nil"/>
              <w:bottom w:val="nil"/>
              <w:right w:val="nil"/>
            </w:tcBorders>
            <w:vAlign w:val="top"/>
          </w:tcPr>
          <w:p w14:paraId="6B513B6D">
            <w:pPr>
              <w:rPr>
                <w:rFonts w:ascii="Arial"/>
                <w:sz w:val="21"/>
              </w:rPr>
            </w:pPr>
          </w:p>
        </w:tc>
      </w:tr>
      <w:tr w14:paraId="050270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83" w:type="dxa"/>
            <w:vMerge w:val="continue"/>
            <w:tcBorders>
              <w:top w:val="nil"/>
              <w:left w:val="nil"/>
            </w:tcBorders>
            <w:vAlign w:val="top"/>
          </w:tcPr>
          <w:p w14:paraId="12E01674">
            <w:pPr>
              <w:rPr>
                <w:rFonts w:ascii="Arial"/>
                <w:sz w:val="21"/>
              </w:rPr>
            </w:pPr>
          </w:p>
        </w:tc>
        <w:tc>
          <w:tcPr>
            <w:tcW w:w="1553" w:type="dxa"/>
            <w:vAlign w:val="top"/>
          </w:tcPr>
          <w:p w14:paraId="0B095DB7">
            <w:pPr>
              <w:spacing w:before="50" w:line="228" w:lineRule="auto"/>
              <w:ind w:left="362"/>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检</w:t>
            </w:r>
            <w:r>
              <w:rPr>
                <w:rFonts w:ascii="宋体" w:hAnsi="宋体" w:eastAsia="宋体" w:cs="宋体"/>
                <w:spacing w:val="8"/>
                <w:sz w:val="20"/>
                <w:szCs w:val="20"/>
                <w14:textOutline w14:w="3795" w14:cap="sq" w14:cmpd="sng">
                  <w14:solidFill>
                    <w14:srgbClr w14:val="000000"/>
                  </w14:solidFill>
                  <w14:prstDash w14:val="solid"/>
                  <w14:bevel/>
                </w14:textOutline>
              </w:rPr>
              <w:t>测项目</w:t>
            </w:r>
          </w:p>
        </w:tc>
        <w:tc>
          <w:tcPr>
            <w:tcW w:w="1445" w:type="dxa"/>
            <w:vAlign w:val="top"/>
          </w:tcPr>
          <w:p w14:paraId="3017E15C">
            <w:pPr>
              <w:spacing w:before="51" w:line="228" w:lineRule="auto"/>
              <w:ind w:left="204"/>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项目所在</w:t>
            </w:r>
            <w:r>
              <w:rPr>
                <w:rFonts w:ascii="宋体" w:hAnsi="宋体" w:eastAsia="宋体" w:cs="宋体"/>
                <w:spacing w:val="7"/>
                <w:sz w:val="20"/>
                <w:szCs w:val="20"/>
                <w14:textOutline w14:w="3795" w14:cap="sq" w14:cmpd="sng">
                  <w14:solidFill>
                    <w14:srgbClr w14:val="000000"/>
                  </w14:solidFill>
                  <w14:prstDash w14:val="solid"/>
                  <w14:bevel/>
                </w14:textOutline>
              </w:rPr>
              <w:t>地</w:t>
            </w:r>
          </w:p>
        </w:tc>
        <w:tc>
          <w:tcPr>
            <w:tcW w:w="2096" w:type="dxa"/>
            <w:vAlign w:val="top"/>
          </w:tcPr>
          <w:p w14:paraId="04277836">
            <w:pPr>
              <w:spacing w:before="50" w:line="228" w:lineRule="auto"/>
              <w:ind w:left="110"/>
              <w:rPr>
                <w:rFonts w:ascii="宋体" w:hAnsi="宋体" w:eastAsia="宋体" w:cs="宋体"/>
                <w:sz w:val="20"/>
                <w:szCs w:val="20"/>
              </w:rPr>
            </w:pPr>
            <w:r>
              <w:rPr>
                <w:rFonts w:ascii="宋体" w:hAnsi="宋体" w:eastAsia="宋体" w:cs="宋体"/>
                <w:spacing w:val="12"/>
                <w:sz w:val="20"/>
                <w:szCs w:val="20"/>
                <w14:textOutline w14:w="3795" w14:cap="sq" w14:cmpd="sng">
                  <w14:solidFill>
                    <w14:srgbClr w14:val="000000"/>
                  </w14:solidFill>
                  <w14:prstDash w14:val="solid"/>
                  <w14:bevel/>
                </w14:textOutline>
              </w:rPr>
              <w:t>项</w:t>
            </w:r>
            <w:r>
              <w:rPr>
                <w:rFonts w:ascii="宋体" w:hAnsi="宋体" w:eastAsia="宋体" w:cs="宋体"/>
                <w:spacing w:val="9"/>
                <w:sz w:val="20"/>
                <w:szCs w:val="20"/>
                <w14:textOutline w14:w="3795" w14:cap="sq" w14:cmpd="sng">
                  <w14:solidFill>
                    <w14:srgbClr w14:val="000000"/>
                  </w14:solidFill>
                  <w14:prstDash w14:val="solid"/>
                  <w14:bevel/>
                </w14:textOutline>
              </w:rPr>
              <w:t>目占地范围内东侧</w:t>
            </w:r>
          </w:p>
        </w:tc>
        <w:tc>
          <w:tcPr>
            <w:tcW w:w="2097" w:type="dxa"/>
            <w:vAlign w:val="top"/>
          </w:tcPr>
          <w:p w14:paraId="1753EE55">
            <w:pPr>
              <w:spacing w:before="50" w:line="228" w:lineRule="auto"/>
              <w:ind w:left="112"/>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项</w:t>
            </w:r>
            <w:r>
              <w:rPr>
                <w:rFonts w:ascii="宋体" w:hAnsi="宋体" w:eastAsia="宋体" w:cs="宋体"/>
                <w:spacing w:val="9"/>
                <w:sz w:val="20"/>
                <w:szCs w:val="20"/>
                <w14:textOutline w14:w="3795" w14:cap="sq" w14:cmpd="sng">
                  <w14:solidFill>
                    <w14:srgbClr w14:val="000000"/>
                  </w14:solidFill>
                  <w14:prstDash w14:val="solid"/>
                  <w14:bevel/>
                </w14:textOutline>
              </w:rPr>
              <w:t>目占地范围内西侧</w:t>
            </w:r>
          </w:p>
        </w:tc>
        <w:tc>
          <w:tcPr>
            <w:tcW w:w="748" w:type="dxa"/>
            <w:vMerge w:val="continue"/>
            <w:tcBorders>
              <w:top w:val="nil"/>
              <w:right w:val="nil"/>
            </w:tcBorders>
            <w:vAlign w:val="top"/>
          </w:tcPr>
          <w:p w14:paraId="4D277B10">
            <w:pPr>
              <w:rPr>
                <w:rFonts w:ascii="Arial"/>
                <w:sz w:val="21"/>
              </w:rPr>
            </w:pPr>
          </w:p>
        </w:tc>
      </w:tr>
      <w:tr w14:paraId="3211F9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83" w:type="dxa"/>
            <w:tcBorders>
              <w:left w:val="nil"/>
            </w:tcBorders>
            <w:vAlign w:val="top"/>
          </w:tcPr>
          <w:p w14:paraId="0C2B3D7D">
            <w:pPr>
              <w:spacing w:before="87" w:line="195" w:lineRule="auto"/>
              <w:ind w:left="263"/>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553" w:type="dxa"/>
            <w:vAlign w:val="top"/>
          </w:tcPr>
          <w:p w14:paraId="040B285C">
            <w:pPr>
              <w:spacing w:before="90" w:line="192" w:lineRule="auto"/>
              <w:ind w:left="64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PH</w:t>
            </w:r>
          </w:p>
        </w:tc>
        <w:tc>
          <w:tcPr>
            <w:tcW w:w="1445" w:type="dxa"/>
            <w:vAlign w:val="top"/>
          </w:tcPr>
          <w:p w14:paraId="30F47B4C">
            <w:pPr>
              <w:spacing w:before="87" w:line="195" w:lineRule="auto"/>
              <w:ind w:left="54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w:t>
            </w:r>
            <w:r>
              <w:rPr>
                <w:rFonts w:ascii="Times New Roman" w:hAnsi="Times New Roman" w:eastAsia="Times New Roman" w:cs="Times New Roman"/>
                <w:spacing w:val="1"/>
                <w:sz w:val="20"/>
                <w:szCs w:val="20"/>
              </w:rPr>
              <w:t>.04</w:t>
            </w:r>
          </w:p>
        </w:tc>
        <w:tc>
          <w:tcPr>
            <w:tcW w:w="2096" w:type="dxa"/>
            <w:vAlign w:val="top"/>
          </w:tcPr>
          <w:p w14:paraId="379E27DC">
            <w:pPr>
              <w:spacing w:before="87" w:line="195" w:lineRule="auto"/>
              <w:ind w:left="873"/>
              <w:rPr>
                <w:rFonts w:ascii="Times New Roman" w:hAnsi="Times New Roman" w:eastAsia="Times New Roman" w:cs="Times New Roman"/>
                <w:sz w:val="20"/>
                <w:szCs w:val="20"/>
              </w:rPr>
            </w:pPr>
            <w:r>
              <w:rPr>
                <w:rFonts w:ascii="Times New Roman" w:hAnsi="Times New Roman" w:eastAsia="Times New Roman" w:cs="Times New Roman"/>
                <w:spacing w:val="-9"/>
                <w:sz w:val="20"/>
                <w:szCs w:val="20"/>
              </w:rPr>
              <w:t>8. 15</w:t>
            </w:r>
          </w:p>
        </w:tc>
        <w:tc>
          <w:tcPr>
            <w:tcW w:w="2097" w:type="dxa"/>
            <w:vAlign w:val="top"/>
          </w:tcPr>
          <w:p w14:paraId="24228D89">
            <w:pPr>
              <w:spacing w:before="87" w:line="195" w:lineRule="auto"/>
              <w:ind w:left="87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w:t>
            </w:r>
            <w:r>
              <w:rPr>
                <w:rFonts w:ascii="Times New Roman" w:hAnsi="Times New Roman" w:eastAsia="Times New Roman" w:cs="Times New Roman"/>
                <w:spacing w:val="1"/>
                <w:sz w:val="20"/>
                <w:szCs w:val="20"/>
              </w:rPr>
              <w:t>.37</w:t>
            </w:r>
          </w:p>
        </w:tc>
        <w:tc>
          <w:tcPr>
            <w:tcW w:w="748" w:type="dxa"/>
            <w:tcBorders>
              <w:right w:val="nil"/>
            </w:tcBorders>
            <w:vAlign w:val="top"/>
          </w:tcPr>
          <w:p w14:paraId="04FF9DD2">
            <w:pPr>
              <w:spacing w:before="52" w:line="228" w:lineRule="auto"/>
              <w:ind w:left="65"/>
              <w:rPr>
                <w:rFonts w:ascii="宋体" w:hAnsi="宋体" w:eastAsia="宋体" w:cs="宋体"/>
                <w:sz w:val="20"/>
                <w:szCs w:val="20"/>
              </w:rPr>
            </w:pPr>
            <w:r>
              <w:rPr>
                <w:rFonts w:ascii="宋体" w:hAnsi="宋体" w:eastAsia="宋体" w:cs="宋体"/>
                <w:spacing w:val="7"/>
                <w:sz w:val="20"/>
                <w:szCs w:val="20"/>
              </w:rPr>
              <w:t>无</w:t>
            </w:r>
            <w:r>
              <w:rPr>
                <w:rFonts w:ascii="宋体" w:hAnsi="宋体" w:eastAsia="宋体" w:cs="宋体"/>
                <w:spacing w:val="6"/>
                <w:sz w:val="20"/>
                <w:szCs w:val="20"/>
              </w:rPr>
              <w:t>量纲</w:t>
            </w:r>
          </w:p>
        </w:tc>
      </w:tr>
      <w:tr w14:paraId="7B65F0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83" w:type="dxa"/>
            <w:tcBorders>
              <w:left w:val="nil"/>
            </w:tcBorders>
            <w:vAlign w:val="top"/>
          </w:tcPr>
          <w:p w14:paraId="2827471D">
            <w:pPr>
              <w:spacing w:before="88" w:line="195" w:lineRule="auto"/>
              <w:ind w:left="243"/>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553" w:type="dxa"/>
            <w:vAlign w:val="top"/>
          </w:tcPr>
          <w:p w14:paraId="52A475AD">
            <w:pPr>
              <w:spacing w:before="52" w:line="228" w:lineRule="auto"/>
              <w:ind w:left="675"/>
              <w:rPr>
                <w:rFonts w:ascii="宋体" w:hAnsi="宋体" w:eastAsia="宋体" w:cs="宋体"/>
                <w:sz w:val="20"/>
                <w:szCs w:val="20"/>
              </w:rPr>
            </w:pPr>
            <w:r>
              <w:rPr>
                <w:rFonts w:ascii="宋体" w:hAnsi="宋体" w:eastAsia="宋体" w:cs="宋体"/>
                <w:spacing w:val="1"/>
                <w:sz w:val="20"/>
                <w:szCs w:val="20"/>
              </w:rPr>
              <w:t>砷</w:t>
            </w:r>
          </w:p>
        </w:tc>
        <w:tc>
          <w:tcPr>
            <w:tcW w:w="1445" w:type="dxa"/>
            <w:vAlign w:val="top"/>
          </w:tcPr>
          <w:p w14:paraId="2859E6F7">
            <w:pPr>
              <w:spacing w:before="88" w:line="198" w:lineRule="auto"/>
              <w:ind w:left="56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22</w:t>
            </w:r>
          </w:p>
        </w:tc>
        <w:tc>
          <w:tcPr>
            <w:tcW w:w="2096" w:type="dxa"/>
            <w:vAlign w:val="top"/>
          </w:tcPr>
          <w:p w14:paraId="036399CA">
            <w:pPr>
              <w:spacing w:before="88" w:line="198" w:lineRule="auto"/>
              <w:ind w:left="88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06</w:t>
            </w:r>
          </w:p>
        </w:tc>
        <w:tc>
          <w:tcPr>
            <w:tcW w:w="2097" w:type="dxa"/>
            <w:vAlign w:val="top"/>
          </w:tcPr>
          <w:p w14:paraId="5C1D4DDA">
            <w:pPr>
              <w:spacing w:before="88" w:line="195" w:lineRule="auto"/>
              <w:ind w:left="886"/>
              <w:rPr>
                <w:rFonts w:ascii="Times New Roman" w:hAnsi="Times New Roman" w:eastAsia="Times New Roman" w:cs="Times New Roman"/>
                <w:sz w:val="20"/>
                <w:szCs w:val="20"/>
              </w:rPr>
            </w:pPr>
            <w:r>
              <w:rPr>
                <w:rFonts w:ascii="Times New Roman" w:hAnsi="Times New Roman" w:eastAsia="Times New Roman" w:cs="Times New Roman"/>
                <w:spacing w:val="-12"/>
                <w:sz w:val="20"/>
                <w:szCs w:val="20"/>
              </w:rPr>
              <w:t>1</w:t>
            </w:r>
            <w:r>
              <w:rPr>
                <w:rFonts w:ascii="Times New Roman" w:hAnsi="Times New Roman" w:eastAsia="Times New Roman" w:cs="Times New Roman"/>
                <w:spacing w:val="-11"/>
                <w:sz w:val="20"/>
                <w:szCs w:val="20"/>
              </w:rPr>
              <w:t>. 16</w:t>
            </w:r>
          </w:p>
        </w:tc>
        <w:tc>
          <w:tcPr>
            <w:tcW w:w="748" w:type="dxa"/>
            <w:tcBorders>
              <w:right w:val="nil"/>
            </w:tcBorders>
            <w:vAlign w:val="top"/>
          </w:tcPr>
          <w:p w14:paraId="54C0DF76">
            <w:pPr>
              <w:spacing w:before="14" w:line="281" w:lineRule="exact"/>
              <w:ind w:left="105"/>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21"/>
                <w:position w:val="4"/>
                <w:sz w:val="20"/>
                <w:szCs w:val="20"/>
              </w:rPr>
              <w:t>/</w:t>
            </w:r>
            <w:r>
              <w:rPr>
                <w:rFonts w:ascii="Times New Roman" w:hAnsi="Times New Roman" w:eastAsia="Times New Roman" w:cs="Times New Roman"/>
                <w:position w:val="4"/>
                <w:sz w:val="20"/>
                <w:szCs w:val="20"/>
              </w:rPr>
              <w:t>kg</w:t>
            </w:r>
          </w:p>
        </w:tc>
      </w:tr>
      <w:tr w14:paraId="79A613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83" w:type="dxa"/>
            <w:tcBorders>
              <w:left w:val="nil"/>
            </w:tcBorders>
            <w:vAlign w:val="top"/>
          </w:tcPr>
          <w:p w14:paraId="49661B07">
            <w:pPr>
              <w:spacing w:before="91" w:line="195" w:lineRule="auto"/>
              <w:ind w:left="247"/>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553" w:type="dxa"/>
            <w:vAlign w:val="top"/>
          </w:tcPr>
          <w:p w14:paraId="5E38AB8A">
            <w:pPr>
              <w:spacing w:before="54" w:line="231" w:lineRule="auto"/>
              <w:ind w:left="675"/>
              <w:rPr>
                <w:rFonts w:ascii="宋体" w:hAnsi="宋体" w:eastAsia="宋体" w:cs="宋体"/>
                <w:sz w:val="20"/>
                <w:szCs w:val="20"/>
              </w:rPr>
            </w:pPr>
            <w:r>
              <w:rPr>
                <w:rFonts w:ascii="宋体" w:hAnsi="宋体" w:eastAsia="宋体" w:cs="宋体"/>
                <w:spacing w:val="2"/>
                <w:sz w:val="20"/>
                <w:szCs w:val="20"/>
              </w:rPr>
              <w:t>镉</w:t>
            </w:r>
          </w:p>
        </w:tc>
        <w:tc>
          <w:tcPr>
            <w:tcW w:w="1445" w:type="dxa"/>
            <w:vAlign w:val="top"/>
          </w:tcPr>
          <w:p w14:paraId="3B53F4F9">
            <w:pPr>
              <w:spacing w:before="91" w:line="195" w:lineRule="auto"/>
              <w:ind w:left="49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.223</w:t>
            </w:r>
          </w:p>
        </w:tc>
        <w:tc>
          <w:tcPr>
            <w:tcW w:w="2096" w:type="dxa"/>
            <w:vAlign w:val="top"/>
          </w:tcPr>
          <w:p w14:paraId="4BD9A66A">
            <w:pPr>
              <w:spacing w:before="91" w:line="195" w:lineRule="auto"/>
              <w:ind w:left="81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0.26</w:t>
            </w:r>
            <w:r>
              <w:rPr>
                <w:rFonts w:ascii="Times New Roman" w:hAnsi="Times New Roman" w:eastAsia="Times New Roman" w:cs="Times New Roman"/>
                <w:spacing w:val="2"/>
                <w:sz w:val="20"/>
                <w:szCs w:val="20"/>
              </w:rPr>
              <w:t>1</w:t>
            </w:r>
          </w:p>
        </w:tc>
        <w:tc>
          <w:tcPr>
            <w:tcW w:w="2097" w:type="dxa"/>
            <w:vAlign w:val="top"/>
          </w:tcPr>
          <w:p w14:paraId="79CC7AB2">
            <w:pPr>
              <w:spacing w:before="91" w:line="195" w:lineRule="auto"/>
              <w:ind w:left="816"/>
              <w:rPr>
                <w:rFonts w:ascii="Times New Roman" w:hAnsi="Times New Roman" w:eastAsia="Times New Roman" w:cs="Times New Roman"/>
                <w:sz w:val="20"/>
                <w:szCs w:val="20"/>
              </w:rPr>
            </w:pPr>
            <w:r>
              <w:rPr>
                <w:rFonts w:ascii="Times New Roman" w:hAnsi="Times New Roman" w:eastAsia="Times New Roman" w:cs="Times New Roman"/>
                <w:spacing w:val="-9"/>
                <w:sz w:val="20"/>
                <w:szCs w:val="20"/>
              </w:rPr>
              <w:t>0</w:t>
            </w:r>
            <w:r>
              <w:rPr>
                <w:rFonts w:ascii="Times New Roman" w:hAnsi="Times New Roman" w:eastAsia="Times New Roman" w:cs="Times New Roman"/>
                <w:spacing w:val="-5"/>
                <w:sz w:val="20"/>
                <w:szCs w:val="20"/>
              </w:rPr>
              <w:t>. 138</w:t>
            </w:r>
          </w:p>
        </w:tc>
        <w:tc>
          <w:tcPr>
            <w:tcW w:w="748" w:type="dxa"/>
            <w:tcBorders>
              <w:right w:val="nil"/>
            </w:tcBorders>
            <w:vAlign w:val="top"/>
          </w:tcPr>
          <w:p w14:paraId="61154E37">
            <w:pPr>
              <w:spacing w:before="17" w:line="281" w:lineRule="exact"/>
              <w:ind w:left="105"/>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21"/>
                <w:position w:val="4"/>
                <w:sz w:val="20"/>
                <w:szCs w:val="20"/>
              </w:rPr>
              <w:t>/</w:t>
            </w:r>
            <w:r>
              <w:rPr>
                <w:rFonts w:ascii="Times New Roman" w:hAnsi="Times New Roman" w:eastAsia="Times New Roman" w:cs="Times New Roman"/>
                <w:position w:val="4"/>
                <w:sz w:val="20"/>
                <w:szCs w:val="20"/>
              </w:rPr>
              <w:t>kg</w:t>
            </w:r>
          </w:p>
        </w:tc>
      </w:tr>
      <w:tr w14:paraId="429115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583" w:type="dxa"/>
            <w:tcBorders>
              <w:left w:val="nil"/>
            </w:tcBorders>
            <w:vAlign w:val="top"/>
          </w:tcPr>
          <w:p w14:paraId="26F6A7C8">
            <w:pPr>
              <w:spacing w:before="91" w:line="195" w:lineRule="auto"/>
              <w:ind w:left="24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553" w:type="dxa"/>
            <w:vAlign w:val="top"/>
          </w:tcPr>
          <w:p w14:paraId="72368A92">
            <w:pPr>
              <w:spacing w:before="18" w:line="281" w:lineRule="exact"/>
              <w:ind w:left="397"/>
              <w:rPr>
                <w:rFonts w:ascii="Times New Roman" w:hAnsi="Times New Roman" w:eastAsia="Times New Roman" w:cs="Times New Roman"/>
                <w:sz w:val="20"/>
                <w:szCs w:val="20"/>
              </w:rPr>
            </w:pPr>
            <w:r>
              <w:rPr>
                <w:rFonts w:ascii="宋体" w:hAnsi="宋体" w:eastAsia="宋体" w:cs="宋体"/>
                <w:spacing w:val="7"/>
                <w:position w:val="2"/>
                <w:sz w:val="20"/>
                <w:szCs w:val="20"/>
              </w:rPr>
              <w:t>铬</w:t>
            </w:r>
            <w:r>
              <w:rPr>
                <w:rFonts w:ascii="Times New Roman" w:hAnsi="Times New Roman" w:eastAsia="Times New Roman" w:cs="Times New Roman"/>
                <w:spacing w:val="5"/>
                <w:position w:val="2"/>
                <w:sz w:val="20"/>
                <w:szCs w:val="20"/>
              </w:rPr>
              <w:t>(</w:t>
            </w:r>
            <w:r>
              <w:rPr>
                <w:rFonts w:ascii="宋体" w:hAnsi="宋体" w:eastAsia="宋体" w:cs="宋体"/>
                <w:spacing w:val="5"/>
                <w:position w:val="2"/>
                <w:sz w:val="20"/>
                <w:szCs w:val="20"/>
              </w:rPr>
              <w:t>六价</w:t>
            </w:r>
            <w:r>
              <w:rPr>
                <w:rFonts w:ascii="Times New Roman" w:hAnsi="Times New Roman" w:eastAsia="Times New Roman" w:cs="Times New Roman"/>
                <w:spacing w:val="5"/>
                <w:position w:val="2"/>
                <w:sz w:val="20"/>
                <w:szCs w:val="20"/>
              </w:rPr>
              <w:t>)</w:t>
            </w:r>
          </w:p>
        </w:tc>
        <w:tc>
          <w:tcPr>
            <w:tcW w:w="1445" w:type="dxa"/>
            <w:vAlign w:val="top"/>
          </w:tcPr>
          <w:p w14:paraId="624D43DD">
            <w:pPr>
              <w:spacing w:before="53" w:line="267" w:lineRule="exact"/>
              <w:ind w:left="586"/>
              <w:rPr>
                <w:rFonts w:ascii="Times New Roman" w:hAnsi="Times New Roman" w:eastAsia="Times New Roman" w:cs="Times New Roman"/>
                <w:sz w:val="20"/>
                <w:szCs w:val="20"/>
              </w:rPr>
            </w:pPr>
            <w:r>
              <w:rPr>
                <w:rFonts w:ascii="宋体" w:hAnsi="宋体" w:eastAsia="宋体" w:cs="宋体"/>
                <w:spacing w:val="-6"/>
                <w:position w:val="1"/>
                <w:sz w:val="20"/>
                <w:szCs w:val="20"/>
              </w:rPr>
              <w:t>＜</w:t>
            </w:r>
            <w:r>
              <w:rPr>
                <w:rFonts w:ascii="Times New Roman" w:hAnsi="Times New Roman" w:eastAsia="Times New Roman" w:cs="Times New Roman"/>
                <w:spacing w:val="-5"/>
                <w:position w:val="1"/>
                <w:sz w:val="20"/>
                <w:szCs w:val="20"/>
              </w:rPr>
              <w:t>2</w:t>
            </w:r>
          </w:p>
        </w:tc>
        <w:tc>
          <w:tcPr>
            <w:tcW w:w="2096" w:type="dxa"/>
            <w:vAlign w:val="top"/>
          </w:tcPr>
          <w:p w14:paraId="01869B8E">
            <w:pPr>
              <w:spacing w:before="53" w:line="267" w:lineRule="exact"/>
              <w:ind w:left="910"/>
              <w:rPr>
                <w:rFonts w:ascii="Times New Roman" w:hAnsi="Times New Roman" w:eastAsia="Times New Roman" w:cs="Times New Roman"/>
                <w:sz w:val="20"/>
                <w:szCs w:val="20"/>
              </w:rPr>
            </w:pPr>
            <w:r>
              <w:rPr>
                <w:rFonts w:ascii="宋体" w:hAnsi="宋体" w:eastAsia="宋体" w:cs="宋体"/>
                <w:spacing w:val="-4"/>
                <w:position w:val="1"/>
                <w:sz w:val="20"/>
                <w:szCs w:val="20"/>
              </w:rPr>
              <w:t>＜</w:t>
            </w:r>
            <w:r>
              <w:rPr>
                <w:rFonts w:ascii="Times New Roman" w:hAnsi="Times New Roman" w:eastAsia="Times New Roman" w:cs="Times New Roman"/>
                <w:spacing w:val="-4"/>
                <w:position w:val="1"/>
                <w:sz w:val="20"/>
                <w:szCs w:val="20"/>
              </w:rPr>
              <w:t>2</w:t>
            </w:r>
          </w:p>
        </w:tc>
        <w:tc>
          <w:tcPr>
            <w:tcW w:w="2097" w:type="dxa"/>
            <w:vAlign w:val="top"/>
          </w:tcPr>
          <w:p w14:paraId="77EA17F3">
            <w:pPr>
              <w:spacing w:before="53" w:line="267" w:lineRule="exact"/>
              <w:ind w:left="911"/>
              <w:rPr>
                <w:rFonts w:ascii="Times New Roman" w:hAnsi="Times New Roman" w:eastAsia="Times New Roman" w:cs="Times New Roman"/>
                <w:sz w:val="20"/>
                <w:szCs w:val="20"/>
              </w:rPr>
            </w:pPr>
            <w:r>
              <w:rPr>
                <w:rFonts w:ascii="宋体" w:hAnsi="宋体" w:eastAsia="宋体" w:cs="宋体"/>
                <w:spacing w:val="-4"/>
                <w:position w:val="1"/>
                <w:sz w:val="20"/>
                <w:szCs w:val="20"/>
              </w:rPr>
              <w:t>＜</w:t>
            </w:r>
            <w:r>
              <w:rPr>
                <w:rFonts w:ascii="Times New Roman" w:hAnsi="Times New Roman" w:eastAsia="Times New Roman" w:cs="Times New Roman"/>
                <w:spacing w:val="-4"/>
                <w:position w:val="1"/>
                <w:sz w:val="20"/>
                <w:szCs w:val="20"/>
              </w:rPr>
              <w:t>2</w:t>
            </w:r>
          </w:p>
        </w:tc>
        <w:tc>
          <w:tcPr>
            <w:tcW w:w="748" w:type="dxa"/>
            <w:tcBorders>
              <w:right w:val="nil"/>
            </w:tcBorders>
            <w:vAlign w:val="top"/>
          </w:tcPr>
          <w:p w14:paraId="44A2D0C7">
            <w:pPr>
              <w:spacing w:before="18" w:line="281" w:lineRule="exact"/>
              <w:ind w:left="105"/>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21"/>
                <w:position w:val="4"/>
                <w:sz w:val="20"/>
                <w:szCs w:val="20"/>
              </w:rPr>
              <w:t>/</w:t>
            </w:r>
            <w:r>
              <w:rPr>
                <w:rFonts w:ascii="Times New Roman" w:hAnsi="Times New Roman" w:eastAsia="Times New Roman" w:cs="Times New Roman"/>
                <w:position w:val="4"/>
                <w:sz w:val="20"/>
                <w:szCs w:val="20"/>
              </w:rPr>
              <w:t>kg</w:t>
            </w:r>
          </w:p>
        </w:tc>
      </w:tr>
    </w:tbl>
    <w:p w14:paraId="2517623A">
      <w:pPr>
        <w:rPr>
          <w:rFonts w:ascii="Arial"/>
          <w:sz w:val="21"/>
        </w:rPr>
      </w:pPr>
    </w:p>
    <w:p w14:paraId="3C901B9B">
      <w:pPr>
        <w:sectPr>
          <w:headerReference r:id="rId182" w:type="default"/>
          <w:footerReference r:id="rId183" w:type="default"/>
          <w:pgSz w:w="11906" w:h="16839"/>
          <w:pgMar w:top="1132" w:right="1606" w:bottom="1182" w:left="1777" w:header="878" w:footer="1022" w:gutter="0"/>
          <w:cols w:space="720" w:num="1"/>
        </w:sectPr>
      </w:pPr>
    </w:p>
    <w:p w14:paraId="0FB5D88D">
      <w:r>
        <w:pict>
          <v:rect id="_x0000_s1228" o:spid="_x0000_s1228" o:spt="1" style="position:absolute;left:0pt;margin-left:90pt;margin-top:57.35pt;height:0.75pt;width:415.3pt;mso-position-horizontal-relative:page;mso-position-vertical-relative:page;z-index:251880448;mso-width-relative:page;mso-height-relative:page;" fillcolor="#000000" filled="t" stroked="f" coordsize="21600,21600" o:allowincell="f">
            <v:path/>
            <v:fill on="t" focussize="0,0"/>
            <v:stroke on="f"/>
            <v:imagedata o:title=""/>
            <o:lock v:ext="edit"/>
          </v:rect>
        </w:pict>
      </w:r>
    </w:p>
    <w:p w14:paraId="2B484324">
      <w:pPr>
        <w:spacing w:line="65"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3"/>
        <w:gridCol w:w="1553"/>
        <w:gridCol w:w="1445"/>
        <w:gridCol w:w="2096"/>
        <w:gridCol w:w="2097"/>
        <w:gridCol w:w="748"/>
      </w:tblGrid>
      <w:tr w14:paraId="3462FF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583" w:type="dxa"/>
            <w:tcBorders>
              <w:left w:val="nil"/>
            </w:tcBorders>
            <w:vAlign w:val="top"/>
          </w:tcPr>
          <w:p w14:paraId="192F2113">
            <w:pPr>
              <w:spacing w:before="114" w:line="192" w:lineRule="auto"/>
              <w:ind w:left="249"/>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553" w:type="dxa"/>
            <w:vAlign w:val="top"/>
          </w:tcPr>
          <w:p w14:paraId="70E21B06">
            <w:pPr>
              <w:spacing w:before="75" w:line="229" w:lineRule="auto"/>
              <w:ind w:left="676"/>
              <w:rPr>
                <w:rFonts w:ascii="宋体" w:hAnsi="宋体" w:eastAsia="宋体" w:cs="宋体"/>
                <w:sz w:val="20"/>
                <w:szCs w:val="20"/>
              </w:rPr>
            </w:pPr>
            <w:r>
              <w:rPr>
                <w:rFonts w:ascii="宋体" w:hAnsi="宋体" w:eastAsia="宋体" w:cs="宋体"/>
                <w:sz w:val="20"/>
                <w:szCs w:val="20"/>
              </w:rPr>
              <w:t>铜</w:t>
            </w:r>
          </w:p>
        </w:tc>
        <w:tc>
          <w:tcPr>
            <w:tcW w:w="1445" w:type="dxa"/>
            <w:vAlign w:val="top"/>
          </w:tcPr>
          <w:p w14:paraId="24F142EE">
            <w:pPr>
              <w:spacing w:before="111" w:line="195" w:lineRule="auto"/>
              <w:ind w:left="57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26</w:t>
            </w:r>
          </w:p>
        </w:tc>
        <w:tc>
          <w:tcPr>
            <w:tcW w:w="2096" w:type="dxa"/>
            <w:vAlign w:val="top"/>
          </w:tcPr>
          <w:p w14:paraId="727EB6DC">
            <w:pPr>
              <w:spacing w:before="111" w:line="195" w:lineRule="auto"/>
              <w:ind w:left="891"/>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72</w:t>
            </w:r>
          </w:p>
        </w:tc>
        <w:tc>
          <w:tcPr>
            <w:tcW w:w="2097" w:type="dxa"/>
            <w:vAlign w:val="top"/>
          </w:tcPr>
          <w:p w14:paraId="6684441E">
            <w:pPr>
              <w:spacing w:before="111" w:line="195" w:lineRule="auto"/>
              <w:ind w:left="89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00</w:t>
            </w:r>
          </w:p>
        </w:tc>
        <w:tc>
          <w:tcPr>
            <w:tcW w:w="748" w:type="dxa"/>
            <w:tcBorders>
              <w:right w:val="nil"/>
            </w:tcBorders>
            <w:vAlign w:val="top"/>
          </w:tcPr>
          <w:p w14:paraId="1EC89138">
            <w:pPr>
              <w:spacing w:before="38" w:line="281" w:lineRule="exact"/>
              <w:ind w:left="105"/>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21"/>
                <w:position w:val="4"/>
                <w:sz w:val="20"/>
                <w:szCs w:val="20"/>
              </w:rPr>
              <w:t>/</w:t>
            </w:r>
            <w:r>
              <w:rPr>
                <w:rFonts w:ascii="Times New Roman" w:hAnsi="Times New Roman" w:eastAsia="Times New Roman" w:cs="Times New Roman"/>
                <w:position w:val="4"/>
                <w:sz w:val="20"/>
                <w:szCs w:val="20"/>
              </w:rPr>
              <w:t>kg</w:t>
            </w:r>
          </w:p>
        </w:tc>
      </w:tr>
      <w:tr w14:paraId="34094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5DD14D46">
            <w:pPr>
              <w:spacing w:before="87" w:line="195" w:lineRule="auto"/>
              <w:ind w:left="247"/>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553" w:type="dxa"/>
            <w:vAlign w:val="top"/>
          </w:tcPr>
          <w:p w14:paraId="0CF99B96">
            <w:pPr>
              <w:spacing w:before="51" w:line="232" w:lineRule="auto"/>
              <w:ind w:left="676"/>
              <w:rPr>
                <w:rFonts w:ascii="宋体" w:hAnsi="宋体" w:eastAsia="宋体" w:cs="宋体"/>
                <w:sz w:val="20"/>
                <w:szCs w:val="20"/>
              </w:rPr>
            </w:pPr>
            <w:r>
              <w:rPr>
                <w:rFonts w:ascii="宋体" w:hAnsi="宋体" w:eastAsia="宋体" w:cs="宋体"/>
                <w:sz w:val="20"/>
                <w:szCs w:val="20"/>
              </w:rPr>
              <w:t>铅</w:t>
            </w:r>
          </w:p>
        </w:tc>
        <w:tc>
          <w:tcPr>
            <w:tcW w:w="1445" w:type="dxa"/>
            <w:vAlign w:val="top"/>
          </w:tcPr>
          <w:p w14:paraId="2D7C6EB6">
            <w:pPr>
              <w:spacing w:before="87" w:line="195" w:lineRule="auto"/>
              <w:ind w:left="59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w:t>
            </w:r>
            <w:r>
              <w:rPr>
                <w:rFonts w:ascii="Times New Roman" w:hAnsi="Times New Roman" w:eastAsia="Times New Roman" w:cs="Times New Roman"/>
                <w:spacing w:val="2"/>
                <w:sz w:val="20"/>
                <w:szCs w:val="20"/>
              </w:rPr>
              <w:t>3</w:t>
            </w:r>
          </w:p>
        </w:tc>
        <w:tc>
          <w:tcPr>
            <w:tcW w:w="2096" w:type="dxa"/>
            <w:vAlign w:val="top"/>
          </w:tcPr>
          <w:p w14:paraId="03469C86">
            <w:pPr>
              <w:spacing w:before="87" w:line="195" w:lineRule="auto"/>
              <w:ind w:left="92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w:t>
            </w:r>
            <w:r>
              <w:rPr>
                <w:rFonts w:ascii="Times New Roman" w:hAnsi="Times New Roman" w:eastAsia="Times New Roman" w:cs="Times New Roman"/>
                <w:spacing w:val="1"/>
                <w:sz w:val="20"/>
                <w:szCs w:val="20"/>
              </w:rPr>
              <w:t>4</w:t>
            </w:r>
          </w:p>
        </w:tc>
        <w:tc>
          <w:tcPr>
            <w:tcW w:w="2097" w:type="dxa"/>
            <w:vAlign w:val="top"/>
          </w:tcPr>
          <w:p w14:paraId="5029BEA5">
            <w:pPr>
              <w:spacing w:before="87" w:line="195" w:lineRule="auto"/>
              <w:ind w:left="92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7</w:t>
            </w:r>
            <w:r>
              <w:rPr>
                <w:rFonts w:ascii="Times New Roman" w:hAnsi="Times New Roman" w:eastAsia="Times New Roman" w:cs="Times New Roman"/>
                <w:spacing w:val="2"/>
                <w:sz w:val="20"/>
                <w:szCs w:val="20"/>
              </w:rPr>
              <w:t>.0</w:t>
            </w:r>
          </w:p>
        </w:tc>
        <w:tc>
          <w:tcPr>
            <w:tcW w:w="748" w:type="dxa"/>
            <w:tcBorders>
              <w:right w:val="nil"/>
            </w:tcBorders>
            <w:vAlign w:val="top"/>
          </w:tcPr>
          <w:p w14:paraId="049D3C98">
            <w:pPr>
              <w:spacing w:before="13" w:line="281" w:lineRule="exact"/>
              <w:ind w:left="105"/>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21"/>
                <w:position w:val="4"/>
                <w:sz w:val="20"/>
                <w:szCs w:val="20"/>
              </w:rPr>
              <w:t>/</w:t>
            </w:r>
            <w:r>
              <w:rPr>
                <w:rFonts w:ascii="Times New Roman" w:hAnsi="Times New Roman" w:eastAsia="Times New Roman" w:cs="Times New Roman"/>
                <w:position w:val="4"/>
                <w:sz w:val="20"/>
                <w:szCs w:val="20"/>
              </w:rPr>
              <w:t>kg</w:t>
            </w:r>
          </w:p>
        </w:tc>
      </w:tr>
      <w:tr w14:paraId="5170FF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5AD90040">
            <w:pPr>
              <w:spacing w:before="92" w:line="192" w:lineRule="auto"/>
              <w:ind w:left="246"/>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553" w:type="dxa"/>
            <w:vAlign w:val="top"/>
          </w:tcPr>
          <w:p w14:paraId="2B4C5EAC">
            <w:pPr>
              <w:spacing w:before="53" w:line="228" w:lineRule="auto"/>
              <w:ind w:left="677"/>
              <w:rPr>
                <w:rFonts w:ascii="宋体" w:hAnsi="宋体" w:eastAsia="宋体" w:cs="宋体"/>
                <w:sz w:val="20"/>
                <w:szCs w:val="20"/>
              </w:rPr>
            </w:pPr>
            <w:r>
              <w:rPr>
                <w:rFonts w:ascii="宋体" w:hAnsi="宋体" w:eastAsia="宋体" w:cs="宋体"/>
                <w:sz w:val="20"/>
                <w:szCs w:val="20"/>
              </w:rPr>
              <w:t>汞</w:t>
            </w:r>
          </w:p>
        </w:tc>
        <w:tc>
          <w:tcPr>
            <w:tcW w:w="1445" w:type="dxa"/>
            <w:vAlign w:val="top"/>
          </w:tcPr>
          <w:p w14:paraId="59D4D0BF">
            <w:pPr>
              <w:spacing w:before="89" w:line="195" w:lineRule="auto"/>
              <w:ind w:left="49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.629</w:t>
            </w:r>
          </w:p>
        </w:tc>
        <w:tc>
          <w:tcPr>
            <w:tcW w:w="2096" w:type="dxa"/>
            <w:vAlign w:val="top"/>
          </w:tcPr>
          <w:p w14:paraId="33102A24">
            <w:pPr>
              <w:spacing w:before="89" w:line="195" w:lineRule="auto"/>
              <w:ind w:left="81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0.62</w:t>
            </w:r>
            <w:r>
              <w:rPr>
                <w:rFonts w:ascii="Times New Roman" w:hAnsi="Times New Roman" w:eastAsia="Times New Roman" w:cs="Times New Roman"/>
                <w:spacing w:val="2"/>
                <w:sz w:val="20"/>
                <w:szCs w:val="20"/>
              </w:rPr>
              <w:t>0</w:t>
            </w:r>
          </w:p>
        </w:tc>
        <w:tc>
          <w:tcPr>
            <w:tcW w:w="2097" w:type="dxa"/>
            <w:vAlign w:val="top"/>
          </w:tcPr>
          <w:p w14:paraId="3D4FB68E">
            <w:pPr>
              <w:spacing w:before="89" w:line="195" w:lineRule="auto"/>
              <w:ind w:left="81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.723</w:t>
            </w:r>
          </w:p>
        </w:tc>
        <w:tc>
          <w:tcPr>
            <w:tcW w:w="748" w:type="dxa"/>
            <w:tcBorders>
              <w:right w:val="nil"/>
            </w:tcBorders>
            <w:vAlign w:val="top"/>
          </w:tcPr>
          <w:p w14:paraId="4DB45556">
            <w:pPr>
              <w:spacing w:before="15" w:line="281" w:lineRule="exact"/>
              <w:ind w:left="105"/>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21"/>
                <w:position w:val="4"/>
                <w:sz w:val="20"/>
                <w:szCs w:val="20"/>
              </w:rPr>
              <w:t>/</w:t>
            </w:r>
            <w:r>
              <w:rPr>
                <w:rFonts w:ascii="Times New Roman" w:hAnsi="Times New Roman" w:eastAsia="Times New Roman" w:cs="Times New Roman"/>
                <w:position w:val="4"/>
                <w:sz w:val="20"/>
                <w:szCs w:val="20"/>
              </w:rPr>
              <w:t>kg</w:t>
            </w:r>
          </w:p>
        </w:tc>
      </w:tr>
      <w:tr w14:paraId="2AC4D1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73564FC4">
            <w:pPr>
              <w:spacing w:before="88" w:line="195" w:lineRule="auto"/>
              <w:ind w:left="251"/>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553" w:type="dxa"/>
            <w:vAlign w:val="top"/>
          </w:tcPr>
          <w:p w14:paraId="2008A217">
            <w:pPr>
              <w:spacing w:before="53" w:line="228" w:lineRule="auto"/>
              <w:ind w:left="675"/>
              <w:rPr>
                <w:rFonts w:ascii="宋体" w:hAnsi="宋体" w:eastAsia="宋体" w:cs="宋体"/>
                <w:sz w:val="20"/>
                <w:szCs w:val="20"/>
              </w:rPr>
            </w:pPr>
            <w:r>
              <w:rPr>
                <w:rFonts w:ascii="宋体" w:hAnsi="宋体" w:eastAsia="宋体" w:cs="宋体"/>
                <w:spacing w:val="1"/>
                <w:sz w:val="20"/>
                <w:szCs w:val="20"/>
              </w:rPr>
              <w:t>镍</w:t>
            </w:r>
          </w:p>
        </w:tc>
        <w:tc>
          <w:tcPr>
            <w:tcW w:w="1445" w:type="dxa"/>
            <w:vAlign w:val="top"/>
          </w:tcPr>
          <w:p w14:paraId="45D613AA">
            <w:pPr>
              <w:spacing w:before="88" w:line="195" w:lineRule="auto"/>
              <w:ind w:left="57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00</w:t>
            </w:r>
          </w:p>
        </w:tc>
        <w:tc>
          <w:tcPr>
            <w:tcW w:w="2096" w:type="dxa"/>
            <w:vAlign w:val="top"/>
          </w:tcPr>
          <w:p w14:paraId="57AF873B">
            <w:pPr>
              <w:spacing w:before="88" w:line="195" w:lineRule="auto"/>
              <w:ind w:left="891"/>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71</w:t>
            </w:r>
          </w:p>
        </w:tc>
        <w:tc>
          <w:tcPr>
            <w:tcW w:w="2097" w:type="dxa"/>
            <w:vAlign w:val="top"/>
          </w:tcPr>
          <w:p w14:paraId="69EB39B4">
            <w:pPr>
              <w:spacing w:before="88" w:line="195" w:lineRule="auto"/>
              <w:ind w:left="892"/>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77</w:t>
            </w:r>
          </w:p>
        </w:tc>
        <w:tc>
          <w:tcPr>
            <w:tcW w:w="748" w:type="dxa"/>
            <w:tcBorders>
              <w:right w:val="nil"/>
            </w:tcBorders>
            <w:vAlign w:val="top"/>
          </w:tcPr>
          <w:p w14:paraId="33785C4C">
            <w:pPr>
              <w:spacing w:before="15" w:line="281" w:lineRule="exact"/>
              <w:ind w:left="105"/>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21"/>
                <w:position w:val="4"/>
                <w:sz w:val="20"/>
                <w:szCs w:val="20"/>
              </w:rPr>
              <w:t>/</w:t>
            </w:r>
            <w:r>
              <w:rPr>
                <w:rFonts w:ascii="Times New Roman" w:hAnsi="Times New Roman" w:eastAsia="Times New Roman" w:cs="Times New Roman"/>
                <w:position w:val="4"/>
                <w:sz w:val="20"/>
                <w:szCs w:val="20"/>
              </w:rPr>
              <w:t>kg</w:t>
            </w:r>
          </w:p>
        </w:tc>
      </w:tr>
      <w:tr w14:paraId="285692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83" w:type="dxa"/>
            <w:tcBorders>
              <w:left w:val="nil"/>
            </w:tcBorders>
            <w:vAlign w:val="top"/>
          </w:tcPr>
          <w:p w14:paraId="27A352FA">
            <w:pPr>
              <w:spacing w:before="88" w:line="195" w:lineRule="auto"/>
              <w:ind w:left="247"/>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553" w:type="dxa"/>
            <w:vAlign w:val="top"/>
          </w:tcPr>
          <w:p w14:paraId="07237661">
            <w:pPr>
              <w:spacing w:before="52" w:line="233" w:lineRule="auto"/>
              <w:ind w:left="465"/>
              <w:rPr>
                <w:rFonts w:ascii="宋体" w:hAnsi="宋体" w:eastAsia="宋体" w:cs="宋体"/>
                <w:sz w:val="20"/>
                <w:szCs w:val="20"/>
              </w:rPr>
            </w:pPr>
            <w:r>
              <w:rPr>
                <w:rFonts w:ascii="宋体" w:hAnsi="宋体" w:eastAsia="宋体" w:cs="宋体"/>
                <w:spacing w:val="7"/>
                <w:sz w:val="20"/>
                <w:szCs w:val="20"/>
              </w:rPr>
              <w:t>全盐</w:t>
            </w:r>
            <w:r>
              <w:rPr>
                <w:rFonts w:ascii="宋体" w:hAnsi="宋体" w:eastAsia="宋体" w:cs="宋体"/>
                <w:spacing w:val="6"/>
                <w:sz w:val="20"/>
                <w:szCs w:val="20"/>
              </w:rPr>
              <w:t>量</w:t>
            </w:r>
          </w:p>
        </w:tc>
        <w:tc>
          <w:tcPr>
            <w:tcW w:w="1445" w:type="dxa"/>
            <w:vAlign w:val="top"/>
          </w:tcPr>
          <w:p w14:paraId="4C1235C4">
            <w:pPr>
              <w:spacing w:before="88" w:line="198" w:lineRule="auto"/>
              <w:ind w:left="59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2.3</w:t>
            </w:r>
          </w:p>
        </w:tc>
        <w:tc>
          <w:tcPr>
            <w:tcW w:w="2096" w:type="dxa"/>
            <w:vAlign w:val="top"/>
          </w:tcPr>
          <w:p w14:paraId="7A4812DC">
            <w:pPr>
              <w:spacing w:before="88" w:line="198" w:lineRule="auto"/>
              <w:ind w:left="91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2</w:t>
            </w:r>
          </w:p>
        </w:tc>
        <w:tc>
          <w:tcPr>
            <w:tcW w:w="2097" w:type="dxa"/>
            <w:vAlign w:val="top"/>
          </w:tcPr>
          <w:p w14:paraId="650B1EFE">
            <w:pPr>
              <w:spacing w:before="88" w:line="198" w:lineRule="auto"/>
              <w:ind w:left="919"/>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2</w:t>
            </w:r>
            <w:r>
              <w:rPr>
                <w:rFonts w:ascii="Times New Roman" w:hAnsi="Times New Roman" w:eastAsia="Times New Roman" w:cs="Times New Roman"/>
                <w:spacing w:val="9"/>
                <w:sz w:val="20"/>
                <w:szCs w:val="20"/>
              </w:rPr>
              <w:t>.1</w:t>
            </w:r>
          </w:p>
        </w:tc>
        <w:tc>
          <w:tcPr>
            <w:tcW w:w="748" w:type="dxa"/>
            <w:tcBorders>
              <w:right w:val="nil"/>
            </w:tcBorders>
            <w:vAlign w:val="top"/>
          </w:tcPr>
          <w:p w14:paraId="2E62F311">
            <w:pPr>
              <w:spacing w:before="14" w:line="281" w:lineRule="exact"/>
              <w:ind w:left="189"/>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g</w:t>
            </w:r>
            <w:r>
              <w:rPr>
                <w:rFonts w:ascii="Times New Roman" w:hAnsi="Times New Roman" w:eastAsia="Times New Roman" w:cs="Times New Roman"/>
                <w:spacing w:val="9"/>
                <w:position w:val="4"/>
                <w:sz w:val="20"/>
                <w:szCs w:val="20"/>
              </w:rPr>
              <w:t>/</w:t>
            </w:r>
            <w:r>
              <w:rPr>
                <w:rFonts w:ascii="Times New Roman" w:hAnsi="Times New Roman" w:eastAsia="Times New Roman" w:cs="Times New Roman"/>
                <w:position w:val="4"/>
                <w:sz w:val="20"/>
                <w:szCs w:val="20"/>
              </w:rPr>
              <w:t>kg</w:t>
            </w:r>
          </w:p>
        </w:tc>
      </w:tr>
      <w:tr w14:paraId="7ECCEA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48E555AE">
            <w:pPr>
              <w:spacing w:before="88" w:line="195" w:lineRule="auto"/>
              <w:ind w:left="21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1553" w:type="dxa"/>
            <w:vAlign w:val="top"/>
          </w:tcPr>
          <w:p w14:paraId="32869372">
            <w:pPr>
              <w:spacing w:before="53" w:line="228" w:lineRule="auto"/>
              <w:ind w:left="382"/>
              <w:rPr>
                <w:rFonts w:ascii="宋体" w:hAnsi="宋体" w:eastAsia="宋体" w:cs="宋体"/>
                <w:sz w:val="20"/>
                <w:szCs w:val="20"/>
              </w:rPr>
            </w:pPr>
            <w:r>
              <w:rPr>
                <w:rFonts w:ascii="宋体" w:hAnsi="宋体" w:eastAsia="宋体" w:cs="宋体"/>
                <w:spacing w:val="3"/>
                <w:sz w:val="20"/>
                <w:szCs w:val="20"/>
              </w:rPr>
              <w:t>四</w:t>
            </w:r>
            <w:r>
              <w:rPr>
                <w:rFonts w:ascii="宋体" w:hAnsi="宋体" w:eastAsia="宋体" w:cs="宋体"/>
                <w:spacing w:val="2"/>
                <w:sz w:val="20"/>
                <w:szCs w:val="20"/>
              </w:rPr>
              <w:t>氯化碳</w:t>
            </w:r>
          </w:p>
        </w:tc>
        <w:tc>
          <w:tcPr>
            <w:tcW w:w="1445" w:type="dxa"/>
            <w:vAlign w:val="top"/>
          </w:tcPr>
          <w:p w14:paraId="01875E3D">
            <w:pPr>
              <w:spacing w:before="53" w:line="263" w:lineRule="exact"/>
              <w:ind w:left="507"/>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.3</w:t>
            </w:r>
          </w:p>
        </w:tc>
        <w:tc>
          <w:tcPr>
            <w:tcW w:w="2096" w:type="dxa"/>
            <w:vAlign w:val="top"/>
          </w:tcPr>
          <w:p w14:paraId="75EDF489">
            <w:pPr>
              <w:spacing w:before="53" w:line="263" w:lineRule="exact"/>
              <w:ind w:left="833"/>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.3</w:t>
            </w:r>
          </w:p>
        </w:tc>
        <w:tc>
          <w:tcPr>
            <w:tcW w:w="2097" w:type="dxa"/>
            <w:vAlign w:val="top"/>
          </w:tcPr>
          <w:p w14:paraId="6E786618">
            <w:pPr>
              <w:spacing w:before="53" w:line="263" w:lineRule="exact"/>
              <w:ind w:left="832"/>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1.3</w:t>
            </w:r>
          </w:p>
        </w:tc>
        <w:tc>
          <w:tcPr>
            <w:tcW w:w="748" w:type="dxa"/>
            <w:tcBorders>
              <w:right w:val="nil"/>
            </w:tcBorders>
            <w:vAlign w:val="top"/>
          </w:tcPr>
          <w:p w14:paraId="785C3E7C">
            <w:pPr>
              <w:spacing w:before="15" w:line="281" w:lineRule="exact"/>
              <w:ind w:left="140"/>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μ</w:t>
            </w:r>
            <w:r>
              <w:rPr>
                <w:rFonts w:ascii="Times New Roman" w:hAnsi="Times New Roman" w:eastAsia="Times New Roman" w:cs="Times New Roman"/>
                <w:position w:val="4"/>
                <w:sz w:val="20"/>
                <w:szCs w:val="20"/>
              </w:rPr>
              <w:t>g</w:t>
            </w:r>
            <w:r>
              <w:rPr>
                <w:rFonts w:ascii="Times New Roman" w:hAnsi="Times New Roman" w:eastAsia="Times New Roman" w:cs="Times New Roman"/>
                <w:spacing w:val="4"/>
                <w:position w:val="4"/>
                <w:sz w:val="20"/>
                <w:szCs w:val="20"/>
              </w:rPr>
              <w:t>/</w:t>
            </w:r>
            <w:r>
              <w:rPr>
                <w:rFonts w:ascii="Times New Roman" w:hAnsi="Times New Roman" w:eastAsia="Times New Roman" w:cs="Times New Roman"/>
                <w:position w:val="4"/>
                <w:sz w:val="20"/>
                <w:szCs w:val="20"/>
              </w:rPr>
              <w:t>kg</w:t>
            </w:r>
          </w:p>
        </w:tc>
      </w:tr>
      <w:tr w14:paraId="001CCE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599BDB53">
            <w:pPr>
              <w:spacing w:before="88" w:line="195" w:lineRule="auto"/>
              <w:ind w:left="215"/>
              <w:rPr>
                <w:rFonts w:ascii="Times New Roman" w:hAnsi="Times New Roman" w:eastAsia="Times New Roman" w:cs="Times New Roman"/>
                <w:sz w:val="20"/>
                <w:szCs w:val="20"/>
              </w:rPr>
            </w:pPr>
            <w:r>
              <w:rPr>
                <w:rFonts w:ascii="Times New Roman" w:hAnsi="Times New Roman" w:eastAsia="Times New Roman" w:cs="Times New Roman"/>
                <w:spacing w:val="-11"/>
                <w:sz w:val="20"/>
                <w:szCs w:val="20"/>
              </w:rPr>
              <w:t>1</w:t>
            </w:r>
            <w:r>
              <w:rPr>
                <w:rFonts w:ascii="Times New Roman" w:hAnsi="Times New Roman" w:eastAsia="Times New Roman" w:cs="Times New Roman"/>
                <w:spacing w:val="-9"/>
                <w:sz w:val="20"/>
                <w:szCs w:val="20"/>
              </w:rPr>
              <w:t>1</w:t>
            </w:r>
          </w:p>
        </w:tc>
        <w:tc>
          <w:tcPr>
            <w:tcW w:w="1553" w:type="dxa"/>
            <w:vAlign w:val="top"/>
          </w:tcPr>
          <w:p w14:paraId="4CD4034F">
            <w:pPr>
              <w:spacing w:before="53" w:line="228" w:lineRule="auto"/>
              <w:ind w:left="574"/>
              <w:rPr>
                <w:rFonts w:ascii="宋体" w:hAnsi="宋体" w:eastAsia="宋体" w:cs="宋体"/>
                <w:sz w:val="20"/>
                <w:szCs w:val="20"/>
              </w:rPr>
            </w:pPr>
            <w:r>
              <w:rPr>
                <w:rFonts w:ascii="宋体" w:hAnsi="宋体" w:eastAsia="宋体" w:cs="宋体"/>
                <w:spacing w:val="3"/>
                <w:sz w:val="20"/>
                <w:szCs w:val="20"/>
              </w:rPr>
              <w:t>氯仿</w:t>
            </w:r>
          </w:p>
        </w:tc>
        <w:tc>
          <w:tcPr>
            <w:tcW w:w="1445" w:type="dxa"/>
            <w:vAlign w:val="top"/>
          </w:tcPr>
          <w:p w14:paraId="14210E5E">
            <w:pPr>
              <w:spacing w:before="52" w:line="264" w:lineRule="exact"/>
              <w:ind w:left="507"/>
              <w:rPr>
                <w:rFonts w:ascii="Times New Roman" w:hAnsi="Times New Roman" w:eastAsia="Times New Roman" w:cs="Times New Roman"/>
                <w:sz w:val="20"/>
                <w:szCs w:val="20"/>
              </w:rPr>
            </w:pPr>
            <w:r>
              <w:rPr>
                <w:rFonts w:ascii="宋体" w:hAnsi="宋体" w:eastAsia="宋体" w:cs="宋体"/>
                <w:spacing w:val="6"/>
                <w:position w:val="1"/>
                <w:sz w:val="20"/>
                <w:szCs w:val="20"/>
              </w:rPr>
              <w:t>＜</w:t>
            </w:r>
            <w:r>
              <w:rPr>
                <w:rFonts w:ascii="Times New Roman" w:hAnsi="Times New Roman" w:eastAsia="Times New Roman" w:cs="Times New Roman"/>
                <w:spacing w:val="4"/>
                <w:position w:val="1"/>
                <w:sz w:val="20"/>
                <w:szCs w:val="20"/>
              </w:rPr>
              <w:t>1.1</w:t>
            </w:r>
          </w:p>
        </w:tc>
        <w:tc>
          <w:tcPr>
            <w:tcW w:w="2096" w:type="dxa"/>
            <w:vAlign w:val="top"/>
          </w:tcPr>
          <w:p w14:paraId="54B58BA5">
            <w:pPr>
              <w:spacing w:before="52" w:line="264" w:lineRule="exact"/>
              <w:ind w:left="833"/>
              <w:rPr>
                <w:rFonts w:ascii="Times New Roman" w:hAnsi="Times New Roman" w:eastAsia="Times New Roman" w:cs="Times New Roman"/>
                <w:sz w:val="20"/>
                <w:szCs w:val="20"/>
              </w:rPr>
            </w:pPr>
            <w:r>
              <w:rPr>
                <w:rFonts w:ascii="宋体" w:hAnsi="宋体" w:eastAsia="宋体" w:cs="宋体"/>
                <w:spacing w:val="6"/>
                <w:position w:val="1"/>
                <w:sz w:val="20"/>
                <w:szCs w:val="20"/>
              </w:rPr>
              <w:t>＜</w:t>
            </w:r>
            <w:r>
              <w:rPr>
                <w:rFonts w:ascii="Times New Roman" w:hAnsi="Times New Roman" w:eastAsia="Times New Roman" w:cs="Times New Roman"/>
                <w:spacing w:val="4"/>
                <w:position w:val="1"/>
                <w:sz w:val="20"/>
                <w:szCs w:val="20"/>
              </w:rPr>
              <w:t>1.1</w:t>
            </w:r>
          </w:p>
        </w:tc>
        <w:tc>
          <w:tcPr>
            <w:tcW w:w="2097" w:type="dxa"/>
            <w:vAlign w:val="top"/>
          </w:tcPr>
          <w:p w14:paraId="67EEFEA7">
            <w:pPr>
              <w:spacing w:before="52" w:line="264" w:lineRule="exact"/>
              <w:ind w:left="832"/>
              <w:rPr>
                <w:rFonts w:ascii="Times New Roman" w:hAnsi="Times New Roman" w:eastAsia="Times New Roman" w:cs="Times New Roman"/>
                <w:sz w:val="20"/>
                <w:szCs w:val="20"/>
              </w:rPr>
            </w:pPr>
            <w:r>
              <w:rPr>
                <w:rFonts w:ascii="宋体" w:hAnsi="宋体" w:eastAsia="宋体" w:cs="宋体"/>
                <w:spacing w:val="5"/>
                <w:position w:val="1"/>
                <w:sz w:val="20"/>
                <w:szCs w:val="20"/>
              </w:rPr>
              <w:t>＜</w:t>
            </w:r>
            <w:r>
              <w:rPr>
                <w:rFonts w:ascii="Times New Roman" w:hAnsi="Times New Roman" w:eastAsia="Times New Roman" w:cs="Times New Roman"/>
                <w:spacing w:val="5"/>
                <w:position w:val="1"/>
                <w:sz w:val="20"/>
                <w:szCs w:val="20"/>
              </w:rPr>
              <w:t>1.1</w:t>
            </w:r>
          </w:p>
        </w:tc>
        <w:tc>
          <w:tcPr>
            <w:tcW w:w="748" w:type="dxa"/>
            <w:tcBorders>
              <w:right w:val="nil"/>
            </w:tcBorders>
            <w:vAlign w:val="top"/>
          </w:tcPr>
          <w:p w14:paraId="0A1B3A71">
            <w:pPr>
              <w:spacing w:before="15" w:line="281" w:lineRule="exact"/>
              <w:ind w:left="140"/>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μ</w:t>
            </w:r>
            <w:r>
              <w:rPr>
                <w:rFonts w:ascii="Times New Roman" w:hAnsi="Times New Roman" w:eastAsia="Times New Roman" w:cs="Times New Roman"/>
                <w:position w:val="4"/>
                <w:sz w:val="20"/>
                <w:szCs w:val="20"/>
              </w:rPr>
              <w:t>g</w:t>
            </w:r>
            <w:r>
              <w:rPr>
                <w:rFonts w:ascii="Times New Roman" w:hAnsi="Times New Roman" w:eastAsia="Times New Roman" w:cs="Times New Roman"/>
                <w:spacing w:val="4"/>
                <w:position w:val="4"/>
                <w:sz w:val="20"/>
                <w:szCs w:val="20"/>
              </w:rPr>
              <w:t>/</w:t>
            </w:r>
            <w:r>
              <w:rPr>
                <w:rFonts w:ascii="Times New Roman" w:hAnsi="Times New Roman" w:eastAsia="Times New Roman" w:cs="Times New Roman"/>
                <w:position w:val="4"/>
                <w:sz w:val="20"/>
                <w:szCs w:val="20"/>
              </w:rPr>
              <w:t>kg</w:t>
            </w:r>
          </w:p>
        </w:tc>
      </w:tr>
      <w:tr w14:paraId="4AA331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11336AFE">
            <w:pPr>
              <w:spacing w:before="88" w:line="195" w:lineRule="auto"/>
              <w:ind w:left="21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2</w:t>
            </w:r>
          </w:p>
        </w:tc>
        <w:tc>
          <w:tcPr>
            <w:tcW w:w="1553" w:type="dxa"/>
            <w:vAlign w:val="top"/>
          </w:tcPr>
          <w:p w14:paraId="7B17D480">
            <w:pPr>
              <w:spacing w:before="52" w:line="228" w:lineRule="auto"/>
              <w:ind w:left="468"/>
              <w:rPr>
                <w:rFonts w:ascii="宋体" w:hAnsi="宋体" w:eastAsia="宋体" w:cs="宋体"/>
                <w:sz w:val="20"/>
                <w:szCs w:val="20"/>
              </w:rPr>
            </w:pPr>
            <w:r>
              <w:rPr>
                <w:rFonts w:ascii="宋体" w:hAnsi="宋体" w:eastAsia="宋体" w:cs="宋体"/>
                <w:spacing w:val="6"/>
                <w:sz w:val="20"/>
                <w:szCs w:val="20"/>
              </w:rPr>
              <w:t>氯甲</w:t>
            </w:r>
            <w:r>
              <w:rPr>
                <w:rFonts w:ascii="宋体" w:hAnsi="宋体" w:eastAsia="宋体" w:cs="宋体"/>
                <w:spacing w:val="5"/>
                <w:sz w:val="20"/>
                <w:szCs w:val="20"/>
              </w:rPr>
              <w:t>烷</w:t>
            </w:r>
          </w:p>
        </w:tc>
        <w:tc>
          <w:tcPr>
            <w:tcW w:w="1445" w:type="dxa"/>
            <w:vAlign w:val="top"/>
          </w:tcPr>
          <w:p w14:paraId="062C25BB">
            <w:pPr>
              <w:spacing w:before="52" w:line="264" w:lineRule="exact"/>
              <w:ind w:left="507"/>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position w:val="1"/>
                <w:sz w:val="20"/>
                <w:szCs w:val="20"/>
              </w:rPr>
              <w:t>1.0</w:t>
            </w:r>
          </w:p>
        </w:tc>
        <w:tc>
          <w:tcPr>
            <w:tcW w:w="2096" w:type="dxa"/>
            <w:vAlign w:val="top"/>
          </w:tcPr>
          <w:p w14:paraId="083C1F4F">
            <w:pPr>
              <w:spacing w:before="52" w:line="264" w:lineRule="exact"/>
              <w:ind w:left="833"/>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position w:val="1"/>
                <w:sz w:val="20"/>
                <w:szCs w:val="20"/>
              </w:rPr>
              <w:t>1.0</w:t>
            </w:r>
          </w:p>
        </w:tc>
        <w:tc>
          <w:tcPr>
            <w:tcW w:w="2097" w:type="dxa"/>
            <w:vAlign w:val="top"/>
          </w:tcPr>
          <w:p w14:paraId="394E357A">
            <w:pPr>
              <w:spacing w:before="52" w:line="264" w:lineRule="exact"/>
              <w:ind w:left="832"/>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0</w:t>
            </w:r>
          </w:p>
        </w:tc>
        <w:tc>
          <w:tcPr>
            <w:tcW w:w="748" w:type="dxa"/>
            <w:tcBorders>
              <w:right w:val="nil"/>
            </w:tcBorders>
            <w:vAlign w:val="top"/>
          </w:tcPr>
          <w:p w14:paraId="2BB5A2D5">
            <w:pPr>
              <w:spacing w:before="14" w:line="281" w:lineRule="exact"/>
              <w:ind w:left="140"/>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μ</w:t>
            </w:r>
            <w:r>
              <w:rPr>
                <w:rFonts w:ascii="Times New Roman" w:hAnsi="Times New Roman" w:eastAsia="Times New Roman" w:cs="Times New Roman"/>
                <w:position w:val="4"/>
                <w:sz w:val="20"/>
                <w:szCs w:val="20"/>
              </w:rPr>
              <w:t>g</w:t>
            </w:r>
            <w:r>
              <w:rPr>
                <w:rFonts w:ascii="Times New Roman" w:hAnsi="Times New Roman" w:eastAsia="Times New Roman" w:cs="Times New Roman"/>
                <w:spacing w:val="4"/>
                <w:position w:val="4"/>
                <w:sz w:val="20"/>
                <w:szCs w:val="20"/>
              </w:rPr>
              <w:t>/</w:t>
            </w:r>
            <w:r>
              <w:rPr>
                <w:rFonts w:ascii="Times New Roman" w:hAnsi="Times New Roman" w:eastAsia="Times New Roman" w:cs="Times New Roman"/>
                <w:position w:val="4"/>
                <w:sz w:val="20"/>
                <w:szCs w:val="20"/>
              </w:rPr>
              <w:t>kg</w:t>
            </w:r>
          </w:p>
        </w:tc>
      </w:tr>
      <w:tr w14:paraId="339FED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083187B1">
            <w:pPr>
              <w:spacing w:before="90" w:line="195" w:lineRule="auto"/>
              <w:ind w:left="21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3</w:t>
            </w:r>
          </w:p>
        </w:tc>
        <w:tc>
          <w:tcPr>
            <w:tcW w:w="1553" w:type="dxa"/>
            <w:vAlign w:val="top"/>
          </w:tcPr>
          <w:p w14:paraId="5B51F22E">
            <w:pPr>
              <w:spacing w:before="54" w:line="233" w:lineRule="auto"/>
              <w:ind w:left="213"/>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 xml:space="preserve"> </w:t>
            </w:r>
            <w:r>
              <w:rPr>
                <w:rFonts w:ascii="Times New Roman" w:hAnsi="Times New Roman" w:eastAsia="Times New Roman" w:cs="Times New Roman"/>
                <w:spacing w:val="-2"/>
                <w:sz w:val="20"/>
                <w:szCs w:val="20"/>
              </w:rPr>
              <w:t>1-</w:t>
            </w:r>
            <w:r>
              <w:rPr>
                <w:rFonts w:ascii="宋体" w:hAnsi="宋体" w:eastAsia="宋体" w:cs="宋体"/>
                <w:spacing w:val="-2"/>
                <w:sz w:val="20"/>
                <w:szCs w:val="20"/>
              </w:rPr>
              <w:t>二氯乙烷</w:t>
            </w:r>
          </w:p>
        </w:tc>
        <w:tc>
          <w:tcPr>
            <w:tcW w:w="1445" w:type="dxa"/>
            <w:vAlign w:val="top"/>
          </w:tcPr>
          <w:p w14:paraId="43B97861">
            <w:pPr>
              <w:spacing w:before="51" w:line="265" w:lineRule="exact"/>
              <w:ind w:left="507"/>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.2</w:t>
            </w:r>
          </w:p>
        </w:tc>
        <w:tc>
          <w:tcPr>
            <w:tcW w:w="2096" w:type="dxa"/>
            <w:vAlign w:val="top"/>
          </w:tcPr>
          <w:p w14:paraId="02BBDF86">
            <w:pPr>
              <w:spacing w:before="51" w:line="265" w:lineRule="exact"/>
              <w:ind w:left="833"/>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.2</w:t>
            </w:r>
          </w:p>
        </w:tc>
        <w:tc>
          <w:tcPr>
            <w:tcW w:w="2097" w:type="dxa"/>
            <w:vAlign w:val="top"/>
          </w:tcPr>
          <w:p w14:paraId="36764A7E">
            <w:pPr>
              <w:spacing w:before="51" w:line="265" w:lineRule="exact"/>
              <w:ind w:left="832"/>
              <w:rPr>
                <w:rFonts w:ascii="Times New Roman" w:hAnsi="Times New Roman" w:eastAsia="Times New Roman" w:cs="Times New Roman"/>
                <w:sz w:val="20"/>
                <w:szCs w:val="20"/>
              </w:rPr>
            </w:pPr>
            <w:r>
              <w:rPr>
                <w:rFonts w:ascii="宋体" w:hAnsi="宋体" w:eastAsia="宋体" w:cs="宋体"/>
                <w:position w:val="1"/>
                <w:sz w:val="20"/>
                <w:szCs w:val="20"/>
              </w:rPr>
              <w:t>＜</w:t>
            </w:r>
            <w:r>
              <w:rPr>
                <w:rFonts w:ascii="Times New Roman" w:hAnsi="Times New Roman" w:eastAsia="Times New Roman" w:cs="Times New Roman"/>
                <w:position w:val="1"/>
                <w:sz w:val="20"/>
                <w:szCs w:val="20"/>
              </w:rPr>
              <w:t>1.2</w:t>
            </w:r>
          </w:p>
        </w:tc>
        <w:tc>
          <w:tcPr>
            <w:tcW w:w="748" w:type="dxa"/>
            <w:tcBorders>
              <w:right w:val="nil"/>
            </w:tcBorders>
            <w:vAlign w:val="top"/>
          </w:tcPr>
          <w:p w14:paraId="27FB88DE">
            <w:pPr>
              <w:spacing w:before="16" w:line="281" w:lineRule="exact"/>
              <w:ind w:left="140"/>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μ</w:t>
            </w:r>
            <w:r>
              <w:rPr>
                <w:rFonts w:ascii="Times New Roman" w:hAnsi="Times New Roman" w:eastAsia="Times New Roman" w:cs="Times New Roman"/>
                <w:position w:val="4"/>
                <w:sz w:val="20"/>
                <w:szCs w:val="20"/>
              </w:rPr>
              <w:t>g</w:t>
            </w:r>
            <w:r>
              <w:rPr>
                <w:rFonts w:ascii="Times New Roman" w:hAnsi="Times New Roman" w:eastAsia="Times New Roman" w:cs="Times New Roman"/>
                <w:spacing w:val="4"/>
                <w:position w:val="4"/>
                <w:sz w:val="20"/>
                <w:szCs w:val="20"/>
              </w:rPr>
              <w:t>/</w:t>
            </w:r>
            <w:r>
              <w:rPr>
                <w:rFonts w:ascii="Times New Roman" w:hAnsi="Times New Roman" w:eastAsia="Times New Roman" w:cs="Times New Roman"/>
                <w:position w:val="4"/>
                <w:sz w:val="20"/>
                <w:szCs w:val="20"/>
              </w:rPr>
              <w:t>kg</w:t>
            </w:r>
          </w:p>
        </w:tc>
      </w:tr>
      <w:tr w14:paraId="04B0E4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83" w:type="dxa"/>
            <w:tcBorders>
              <w:left w:val="nil"/>
            </w:tcBorders>
            <w:vAlign w:val="top"/>
          </w:tcPr>
          <w:p w14:paraId="56685A44">
            <w:pPr>
              <w:spacing w:before="89" w:line="195" w:lineRule="auto"/>
              <w:ind w:left="21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4</w:t>
            </w:r>
          </w:p>
        </w:tc>
        <w:tc>
          <w:tcPr>
            <w:tcW w:w="1553" w:type="dxa"/>
            <w:vAlign w:val="top"/>
          </w:tcPr>
          <w:p w14:paraId="27DDDE76">
            <w:pPr>
              <w:spacing w:before="54" w:line="233" w:lineRule="auto"/>
              <w:ind w:left="213"/>
              <w:rPr>
                <w:rFonts w:ascii="宋体" w:hAnsi="宋体" w:eastAsia="宋体" w:cs="宋体"/>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,2-</w:t>
            </w:r>
            <w:r>
              <w:rPr>
                <w:rFonts w:ascii="宋体" w:hAnsi="宋体" w:eastAsia="宋体" w:cs="宋体"/>
                <w:spacing w:val="3"/>
                <w:sz w:val="20"/>
                <w:szCs w:val="20"/>
              </w:rPr>
              <w:t>二氯乙烷</w:t>
            </w:r>
          </w:p>
        </w:tc>
        <w:tc>
          <w:tcPr>
            <w:tcW w:w="1445" w:type="dxa"/>
            <w:vAlign w:val="top"/>
          </w:tcPr>
          <w:p w14:paraId="72B30C2B">
            <w:pPr>
              <w:spacing w:before="51" w:line="264" w:lineRule="exact"/>
              <w:ind w:left="507"/>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.3</w:t>
            </w:r>
          </w:p>
        </w:tc>
        <w:tc>
          <w:tcPr>
            <w:tcW w:w="2096" w:type="dxa"/>
            <w:vAlign w:val="top"/>
          </w:tcPr>
          <w:p w14:paraId="5A093D28">
            <w:pPr>
              <w:spacing w:before="51" w:line="264" w:lineRule="exact"/>
              <w:ind w:left="833"/>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.3</w:t>
            </w:r>
          </w:p>
        </w:tc>
        <w:tc>
          <w:tcPr>
            <w:tcW w:w="2097" w:type="dxa"/>
            <w:vAlign w:val="top"/>
          </w:tcPr>
          <w:p w14:paraId="291F1735">
            <w:pPr>
              <w:spacing w:before="51" w:line="264" w:lineRule="exact"/>
              <w:ind w:left="832"/>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1.3</w:t>
            </w:r>
          </w:p>
        </w:tc>
        <w:tc>
          <w:tcPr>
            <w:tcW w:w="748" w:type="dxa"/>
            <w:tcBorders>
              <w:right w:val="nil"/>
            </w:tcBorders>
            <w:vAlign w:val="top"/>
          </w:tcPr>
          <w:p w14:paraId="53E2AD87">
            <w:pPr>
              <w:spacing w:before="16" w:line="281" w:lineRule="exact"/>
              <w:ind w:left="140"/>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μ</w:t>
            </w:r>
            <w:r>
              <w:rPr>
                <w:rFonts w:ascii="Times New Roman" w:hAnsi="Times New Roman" w:eastAsia="Times New Roman" w:cs="Times New Roman"/>
                <w:position w:val="4"/>
                <w:sz w:val="20"/>
                <w:szCs w:val="20"/>
              </w:rPr>
              <w:t>g</w:t>
            </w:r>
            <w:r>
              <w:rPr>
                <w:rFonts w:ascii="Times New Roman" w:hAnsi="Times New Roman" w:eastAsia="Times New Roman" w:cs="Times New Roman"/>
                <w:spacing w:val="4"/>
                <w:position w:val="4"/>
                <w:sz w:val="20"/>
                <w:szCs w:val="20"/>
              </w:rPr>
              <w:t>/</w:t>
            </w:r>
            <w:r>
              <w:rPr>
                <w:rFonts w:ascii="Times New Roman" w:hAnsi="Times New Roman" w:eastAsia="Times New Roman" w:cs="Times New Roman"/>
                <w:position w:val="4"/>
                <w:sz w:val="20"/>
                <w:szCs w:val="20"/>
              </w:rPr>
              <w:t>kg</w:t>
            </w:r>
          </w:p>
        </w:tc>
      </w:tr>
      <w:tr w14:paraId="5FCB8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056B5ACA">
            <w:pPr>
              <w:spacing w:before="90" w:line="195" w:lineRule="auto"/>
              <w:ind w:left="21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c>
          <w:tcPr>
            <w:tcW w:w="1553" w:type="dxa"/>
            <w:vAlign w:val="top"/>
          </w:tcPr>
          <w:p w14:paraId="78FE6741">
            <w:pPr>
              <w:spacing w:before="54" w:line="233" w:lineRule="auto"/>
              <w:ind w:left="213"/>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 xml:space="preserve"> </w:t>
            </w:r>
            <w:r>
              <w:rPr>
                <w:rFonts w:ascii="Times New Roman" w:hAnsi="Times New Roman" w:eastAsia="Times New Roman" w:cs="Times New Roman"/>
                <w:spacing w:val="-2"/>
                <w:sz w:val="20"/>
                <w:szCs w:val="20"/>
              </w:rPr>
              <w:t>1-</w:t>
            </w:r>
            <w:r>
              <w:rPr>
                <w:rFonts w:ascii="宋体" w:hAnsi="宋体" w:eastAsia="宋体" w:cs="宋体"/>
                <w:spacing w:val="-2"/>
                <w:sz w:val="20"/>
                <w:szCs w:val="20"/>
              </w:rPr>
              <w:t>二氯乙烯</w:t>
            </w:r>
          </w:p>
        </w:tc>
        <w:tc>
          <w:tcPr>
            <w:tcW w:w="1445" w:type="dxa"/>
            <w:vAlign w:val="top"/>
          </w:tcPr>
          <w:p w14:paraId="79D68DF1">
            <w:pPr>
              <w:spacing w:before="54" w:line="242" w:lineRule="auto"/>
              <w:ind w:left="507"/>
              <w:rPr>
                <w:rFonts w:ascii="Times New Roman" w:hAnsi="Times New Roman" w:eastAsia="Times New Roman" w:cs="Times New Roman"/>
                <w:sz w:val="20"/>
                <w:szCs w:val="20"/>
              </w:rPr>
            </w:pPr>
            <w:r>
              <w:rPr>
                <w:rFonts w:ascii="宋体" w:hAnsi="宋体" w:eastAsia="宋体" w:cs="宋体"/>
                <w:spacing w:val="1"/>
                <w:sz w:val="20"/>
                <w:szCs w:val="20"/>
              </w:rPr>
              <w:t>＜</w:t>
            </w:r>
            <w:r>
              <w:rPr>
                <w:rFonts w:ascii="Times New Roman" w:hAnsi="Times New Roman" w:eastAsia="Times New Roman" w:cs="Times New Roman"/>
                <w:sz w:val="20"/>
                <w:szCs w:val="20"/>
              </w:rPr>
              <w:t>1.0</w:t>
            </w:r>
          </w:p>
        </w:tc>
        <w:tc>
          <w:tcPr>
            <w:tcW w:w="2096" w:type="dxa"/>
            <w:vAlign w:val="top"/>
          </w:tcPr>
          <w:p w14:paraId="07E459D5">
            <w:pPr>
              <w:spacing w:before="54" w:line="242" w:lineRule="auto"/>
              <w:ind w:left="833"/>
              <w:rPr>
                <w:rFonts w:ascii="Times New Roman" w:hAnsi="Times New Roman" w:eastAsia="Times New Roman" w:cs="Times New Roman"/>
                <w:sz w:val="20"/>
                <w:szCs w:val="20"/>
              </w:rPr>
            </w:pPr>
            <w:r>
              <w:rPr>
                <w:rFonts w:ascii="宋体" w:hAnsi="宋体" w:eastAsia="宋体" w:cs="宋体"/>
                <w:spacing w:val="1"/>
                <w:sz w:val="20"/>
                <w:szCs w:val="20"/>
              </w:rPr>
              <w:t>＜</w:t>
            </w:r>
            <w:r>
              <w:rPr>
                <w:rFonts w:ascii="Times New Roman" w:hAnsi="Times New Roman" w:eastAsia="Times New Roman" w:cs="Times New Roman"/>
                <w:sz w:val="20"/>
                <w:szCs w:val="20"/>
              </w:rPr>
              <w:t>1.0</w:t>
            </w:r>
          </w:p>
        </w:tc>
        <w:tc>
          <w:tcPr>
            <w:tcW w:w="2097" w:type="dxa"/>
            <w:vAlign w:val="top"/>
          </w:tcPr>
          <w:p w14:paraId="1F841A8A">
            <w:pPr>
              <w:spacing w:before="54" w:line="242" w:lineRule="auto"/>
              <w:ind w:left="832"/>
              <w:rPr>
                <w:rFonts w:ascii="Times New Roman" w:hAnsi="Times New Roman" w:eastAsia="Times New Roman" w:cs="Times New Roman"/>
                <w:sz w:val="20"/>
                <w:szCs w:val="20"/>
              </w:rPr>
            </w:pPr>
            <w:r>
              <w:rPr>
                <w:rFonts w:ascii="宋体" w:hAnsi="宋体" w:eastAsia="宋体" w:cs="宋体"/>
                <w:spacing w:val="1"/>
                <w:sz w:val="20"/>
                <w:szCs w:val="20"/>
              </w:rPr>
              <w:t>＜</w:t>
            </w:r>
            <w:r>
              <w:rPr>
                <w:rFonts w:ascii="Times New Roman" w:hAnsi="Times New Roman" w:eastAsia="Times New Roman" w:cs="Times New Roman"/>
                <w:spacing w:val="1"/>
                <w:sz w:val="20"/>
                <w:szCs w:val="20"/>
              </w:rPr>
              <w:t>1.</w:t>
            </w:r>
            <w:r>
              <w:rPr>
                <w:rFonts w:ascii="Times New Roman" w:hAnsi="Times New Roman" w:eastAsia="Times New Roman" w:cs="Times New Roman"/>
                <w:sz w:val="20"/>
                <w:szCs w:val="20"/>
              </w:rPr>
              <w:t>0</w:t>
            </w:r>
          </w:p>
        </w:tc>
        <w:tc>
          <w:tcPr>
            <w:tcW w:w="748" w:type="dxa"/>
            <w:tcBorders>
              <w:right w:val="nil"/>
            </w:tcBorders>
            <w:vAlign w:val="top"/>
          </w:tcPr>
          <w:p w14:paraId="5F1FEA9E">
            <w:pPr>
              <w:spacing w:before="16" w:line="281" w:lineRule="exact"/>
              <w:ind w:left="140"/>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μ</w:t>
            </w:r>
            <w:r>
              <w:rPr>
                <w:rFonts w:ascii="Times New Roman" w:hAnsi="Times New Roman" w:eastAsia="Times New Roman" w:cs="Times New Roman"/>
                <w:position w:val="4"/>
                <w:sz w:val="20"/>
                <w:szCs w:val="20"/>
              </w:rPr>
              <w:t>g</w:t>
            </w:r>
            <w:r>
              <w:rPr>
                <w:rFonts w:ascii="Times New Roman" w:hAnsi="Times New Roman" w:eastAsia="Times New Roman" w:cs="Times New Roman"/>
                <w:spacing w:val="4"/>
                <w:position w:val="4"/>
                <w:sz w:val="20"/>
                <w:szCs w:val="20"/>
              </w:rPr>
              <w:t>/</w:t>
            </w:r>
            <w:r>
              <w:rPr>
                <w:rFonts w:ascii="Times New Roman" w:hAnsi="Times New Roman" w:eastAsia="Times New Roman" w:cs="Times New Roman"/>
                <w:position w:val="4"/>
                <w:sz w:val="20"/>
                <w:szCs w:val="20"/>
              </w:rPr>
              <w:t>kg</w:t>
            </w:r>
          </w:p>
        </w:tc>
      </w:tr>
      <w:tr w14:paraId="52A99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2A91B6D4">
            <w:pPr>
              <w:spacing w:before="89" w:line="195" w:lineRule="auto"/>
              <w:ind w:left="21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6</w:t>
            </w:r>
          </w:p>
        </w:tc>
        <w:tc>
          <w:tcPr>
            <w:tcW w:w="1553" w:type="dxa"/>
            <w:vAlign w:val="top"/>
          </w:tcPr>
          <w:p w14:paraId="7A5A93C0">
            <w:pPr>
              <w:spacing w:before="53" w:line="233" w:lineRule="auto"/>
              <w:ind w:left="58"/>
              <w:rPr>
                <w:rFonts w:ascii="宋体" w:hAnsi="宋体" w:eastAsia="宋体" w:cs="宋体"/>
                <w:sz w:val="20"/>
                <w:szCs w:val="20"/>
              </w:rPr>
            </w:pPr>
            <w:r>
              <w:rPr>
                <w:rFonts w:ascii="宋体" w:hAnsi="宋体" w:eastAsia="宋体" w:cs="宋体"/>
                <w:spacing w:val="1"/>
                <w:sz w:val="20"/>
                <w:szCs w:val="20"/>
              </w:rPr>
              <w:t>顺</w:t>
            </w:r>
            <w:r>
              <w:rPr>
                <w:rFonts w:ascii="Times New Roman" w:hAnsi="Times New Roman" w:eastAsia="Times New Roman" w:cs="Times New Roman"/>
                <w:spacing w:val="1"/>
                <w:sz w:val="20"/>
                <w:szCs w:val="20"/>
              </w:rPr>
              <w:t>- 1,2-</w:t>
            </w:r>
            <w:r>
              <w:rPr>
                <w:rFonts w:ascii="宋体" w:hAnsi="宋体" w:eastAsia="宋体" w:cs="宋体"/>
                <w:sz w:val="20"/>
                <w:szCs w:val="20"/>
              </w:rPr>
              <w:t>二氯乙烯</w:t>
            </w:r>
          </w:p>
        </w:tc>
        <w:tc>
          <w:tcPr>
            <w:tcW w:w="1445" w:type="dxa"/>
            <w:vAlign w:val="top"/>
          </w:tcPr>
          <w:p w14:paraId="70BFD0E4">
            <w:pPr>
              <w:spacing w:before="54" w:line="262" w:lineRule="exact"/>
              <w:ind w:left="507"/>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.3</w:t>
            </w:r>
          </w:p>
        </w:tc>
        <w:tc>
          <w:tcPr>
            <w:tcW w:w="2096" w:type="dxa"/>
            <w:vAlign w:val="top"/>
          </w:tcPr>
          <w:p w14:paraId="46E8FD28">
            <w:pPr>
              <w:spacing w:before="54" w:line="262" w:lineRule="exact"/>
              <w:ind w:left="833"/>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.3</w:t>
            </w:r>
          </w:p>
        </w:tc>
        <w:tc>
          <w:tcPr>
            <w:tcW w:w="2097" w:type="dxa"/>
            <w:vAlign w:val="top"/>
          </w:tcPr>
          <w:p w14:paraId="09C62634">
            <w:pPr>
              <w:spacing w:before="54" w:line="262" w:lineRule="exact"/>
              <w:ind w:left="832"/>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1.3</w:t>
            </w:r>
          </w:p>
        </w:tc>
        <w:tc>
          <w:tcPr>
            <w:tcW w:w="748" w:type="dxa"/>
            <w:tcBorders>
              <w:right w:val="nil"/>
            </w:tcBorders>
            <w:vAlign w:val="top"/>
          </w:tcPr>
          <w:p w14:paraId="40D80E35">
            <w:pPr>
              <w:spacing w:before="16" w:line="281" w:lineRule="exact"/>
              <w:ind w:left="140"/>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μ</w:t>
            </w:r>
            <w:r>
              <w:rPr>
                <w:rFonts w:ascii="Times New Roman" w:hAnsi="Times New Roman" w:eastAsia="Times New Roman" w:cs="Times New Roman"/>
                <w:position w:val="4"/>
                <w:sz w:val="20"/>
                <w:szCs w:val="20"/>
              </w:rPr>
              <w:t>g</w:t>
            </w:r>
            <w:r>
              <w:rPr>
                <w:rFonts w:ascii="Times New Roman" w:hAnsi="Times New Roman" w:eastAsia="Times New Roman" w:cs="Times New Roman"/>
                <w:spacing w:val="4"/>
                <w:position w:val="4"/>
                <w:sz w:val="20"/>
                <w:szCs w:val="20"/>
              </w:rPr>
              <w:t>/</w:t>
            </w:r>
            <w:r>
              <w:rPr>
                <w:rFonts w:ascii="Times New Roman" w:hAnsi="Times New Roman" w:eastAsia="Times New Roman" w:cs="Times New Roman"/>
                <w:position w:val="4"/>
                <w:sz w:val="20"/>
                <w:szCs w:val="20"/>
              </w:rPr>
              <w:t>kg</w:t>
            </w:r>
          </w:p>
        </w:tc>
      </w:tr>
      <w:tr w14:paraId="08438B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4AB50AAF">
            <w:pPr>
              <w:spacing w:before="89" w:line="195" w:lineRule="auto"/>
              <w:ind w:left="21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7</w:t>
            </w:r>
          </w:p>
        </w:tc>
        <w:tc>
          <w:tcPr>
            <w:tcW w:w="1553" w:type="dxa"/>
            <w:vAlign w:val="top"/>
          </w:tcPr>
          <w:p w14:paraId="2585195A">
            <w:pPr>
              <w:spacing w:before="53" w:line="233" w:lineRule="auto"/>
              <w:ind w:left="58"/>
              <w:rPr>
                <w:rFonts w:ascii="宋体" w:hAnsi="宋体" w:eastAsia="宋体" w:cs="宋体"/>
                <w:sz w:val="20"/>
                <w:szCs w:val="20"/>
              </w:rPr>
            </w:pPr>
            <w:r>
              <w:rPr>
                <w:rFonts w:ascii="宋体" w:hAnsi="宋体" w:eastAsia="宋体" w:cs="宋体"/>
                <w:spacing w:val="1"/>
                <w:sz w:val="20"/>
                <w:szCs w:val="20"/>
              </w:rPr>
              <w:t>反</w:t>
            </w:r>
            <w:r>
              <w:rPr>
                <w:rFonts w:ascii="Times New Roman" w:hAnsi="Times New Roman" w:eastAsia="Times New Roman" w:cs="Times New Roman"/>
                <w:spacing w:val="1"/>
                <w:sz w:val="20"/>
                <w:szCs w:val="20"/>
              </w:rPr>
              <w:t>- 1,2-</w:t>
            </w:r>
            <w:r>
              <w:rPr>
                <w:rFonts w:ascii="宋体" w:hAnsi="宋体" w:eastAsia="宋体" w:cs="宋体"/>
                <w:sz w:val="20"/>
                <w:szCs w:val="20"/>
              </w:rPr>
              <w:t>二氯乙烯</w:t>
            </w:r>
          </w:p>
        </w:tc>
        <w:tc>
          <w:tcPr>
            <w:tcW w:w="1445" w:type="dxa"/>
            <w:vAlign w:val="top"/>
          </w:tcPr>
          <w:p w14:paraId="20C128E5">
            <w:pPr>
              <w:spacing w:before="53" w:line="263" w:lineRule="exact"/>
              <w:ind w:left="507"/>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.4</w:t>
            </w:r>
          </w:p>
        </w:tc>
        <w:tc>
          <w:tcPr>
            <w:tcW w:w="2096" w:type="dxa"/>
            <w:vAlign w:val="top"/>
          </w:tcPr>
          <w:p w14:paraId="7102CE29">
            <w:pPr>
              <w:spacing w:before="53" w:line="263" w:lineRule="exact"/>
              <w:ind w:left="833"/>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.4</w:t>
            </w:r>
          </w:p>
        </w:tc>
        <w:tc>
          <w:tcPr>
            <w:tcW w:w="2097" w:type="dxa"/>
            <w:vAlign w:val="top"/>
          </w:tcPr>
          <w:p w14:paraId="6268E7C0">
            <w:pPr>
              <w:spacing w:before="53" w:line="263" w:lineRule="exact"/>
              <w:ind w:left="832"/>
              <w:rPr>
                <w:rFonts w:ascii="Times New Roman" w:hAnsi="Times New Roman" w:eastAsia="Times New Roman" w:cs="Times New Roman"/>
                <w:sz w:val="20"/>
                <w:szCs w:val="20"/>
              </w:rPr>
            </w:pPr>
            <w:r>
              <w:rPr>
                <w:rFonts w:ascii="宋体" w:hAnsi="宋体" w:eastAsia="宋体" w:cs="宋体"/>
                <w:position w:val="1"/>
                <w:sz w:val="20"/>
                <w:szCs w:val="20"/>
              </w:rPr>
              <w:t>＜</w:t>
            </w:r>
            <w:r>
              <w:rPr>
                <w:rFonts w:ascii="Times New Roman" w:hAnsi="Times New Roman" w:eastAsia="Times New Roman" w:cs="Times New Roman"/>
                <w:position w:val="1"/>
                <w:sz w:val="20"/>
                <w:szCs w:val="20"/>
              </w:rPr>
              <w:t>1.4</w:t>
            </w:r>
          </w:p>
        </w:tc>
        <w:tc>
          <w:tcPr>
            <w:tcW w:w="748" w:type="dxa"/>
            <w:tcBorders>
              <w:right w:val="nil"/>
            </w:tcBorders>
            <w:vAlign w:val="top"/>
          </w:tcPr>
          <w:p w14:paraId="00E078FD">
            <w:pPr>
              <w:spacing w:before="16" w:line="281" w:lineRule="exact"/>
              <w:ind w:left="140"/>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μ</w:t>
            </w:r>
            <w:r>
              <w:rPr>
                <w:rFonts w:ascii="Times New Roman" w:hAnsi="Times New Roman" w:eastAsia="Times New Roman" w:cs="Times New Roman"/>
                <w:position w:val="4"/>
                <w:sz w:val="20"/>
                <w:szCs w:val="20"/>
              </w:rPr>
              <w:t>g</w:t>
            </w:r>
            <w:r>
              <w:rPr>
                <w:rFonts w:ascii="Times New Roman" w:hAnsi="Times New Roman" w:eastAsia="Times New Roman" w:cs="Times New Roman"/>
                <w:spacing w:val="4"/>
                <w:position w:val="4"/>
                <w:sz w:val="20"/>
                <w:szCs w:val="20"/>
              </w:rPr>
              <w:t>/</w:t>
            </w:r>
            <w:r>
              <w:rPr>
                <w:rFonts w:ascii="Times New Roman" w:hAnsi="Times New Roman" w:eastAsia="Times New Roman" w:cs="Times New Roman"/>
                <w:position w:val="4"/>
                <w:sz w:val="20"/>
                <w:szCs w:val="20"/>
              </w:rPr>
              <w:t>kg</w:t>
            </w:r>
          </w:p>
        </w:tc>
      </w:tr>
      <w:tr w14:paraId="40D61C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57139989">
            <w:pPr>
              <w:spacing w:before="89" w:line="195" w:lineRule="auto"/>
              <w:ind w:left="21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8</w:t>
            </w:r>
          </w:p>
        </w:tc>
        <w:tc>
          <w:tcPr>
            <w:tcW w:w="1553" w:type="dxa"/>
            <w:vAlign w:val="top"/>
          </w:tcPr>
          <w:p w14:paraId="46861C84">
            <w:pPr>
              <w:spacing w:before="53" w:line="228" w:lineRule="auto"/>
              <w:ind w:left="365"/>
              <w:rPr>
                <w:rFonts w:ascii="宋体" w:hAnsi="宋体" w:eastAsia="宋体" w:cs="宋体"/>
                <w:sz w:val="20"/>
                <w:szCs w:val="20"/>
              </w:rPr>
            </w:pPr>
            <w:r>
              <w:rPr>
                <w:rFonts w:ascii="宋体" w:hAnsi="宋体" w:eastAsia="宋体" w:cs="宋体"/>
                <w:spacing w:val="8"/>
                <w:sz w:val="20"/>
                <w:szCs w:val="20"/>
              </w:rPr>
              <w:t>二</w:t>
            </w:r>
            <w:r>
              <w:rPr>
                <w:rFonts w:ascii="宋体" w:hAnsi="宋体" w:eastAsia="宋体" w:cs="宋体"/>
                <w:spacing w:val="6"/>
                <w:sz w:val="20"/>
                <w:szCs w:val="20"/>
              </w:rPr>
              <w:t>氯甲烷</w:t>
            </w:r>
          </w:p>
        </w:tc>
        <w:tc>
          <w:tcPr>
            <w:tcW w:w="1445" w:type="dxa"/>
            <w:vAlign w:val="top"/>
          </w:tcPr>
          <w:p w14:paraId="0AB2760B">
            <w:pPr>
              <w:spacing w:before="53" w:line="263" w:lineRule="exact"/>
              <w:ind w:left="507"/>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5</w:t>
            </w:r>
          </w:p>
        </w:tc>
        <w:tc>
          <w:tcPr>
            <w:tcW w:w="2096" w:type="dxa"/>
            <w:vAlign w:val="top"/>
          </w:tcPr>
          <w:p w14:paraId="00E0DAED">
            <w:pPr>
              <w:spacing w:before="53" w:line="263" w:lineRule="exact"/>
              <w:ind w:left="833"/>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5</w:t>
            </w:r>
          </w:p>
        </w:tc>
        <w:tc>
          <w:tcPr>
            <w:tcW w:w="2097" w:type="dxa"/>
            <w:vAlign w:val="top"/>
          </w:tcPr>
          <w:p w14:paraId="4877AD73">
            <w:pPr>
              <w:spacing w:before="53" w:line="263" w:lineRule="exact"/>
              <w:ind w:left="832"/>
              <w:rPr>
                <w:rFonts w:ascii="Times New Roman" w:hAnsi="Times New Roman" w:eastAsia="Times New Roman" w:cs="Times New Roman"/>
                <w:sz w:val="20"/>
                <w:szCs w:val="20"/>
              </w:rPr>
            </w:pPr>
            <w:r>
              <w:rPr>
                <w:rFonts w:ascii="宋体" w:hAnsi="宋体" w:eastAsia="宋体" w:cs="宋体"/>
                <w:spacing w:val="2"/>
                <w:position w:val="1"/>
                <w:sz w:val="20"/>
                <w:szCs w:val="20"/>
              </w:rPr>
              <w:t>＜</w:t>
            </w:r>
            <w:r>
              <w:rPr>
                <w:rFonts w:ascii="Times New Roman" w:hAnsi="Times New Roman" w:eastAsia="Times New Roman" w:cs="Times New Roman"/>
                <w:spacing w:val="2"/>
                <w:position w:val="1"/>
                <w:sz w:val="20"/>
                <w:szCs w:val="20"/>
              </w:rPr>
              <w:t>1</w:t>
            </w:r>
            <w:r>
              <w:rPr>
                <w:rFonts w:ascii="Times New Roman" w:hAnsi="Times New Roman" w:eastAsia="Times New Roman" w:cs="Times New Roman"/>
                <w:spacing w:val="1"/>
                <w:position w:val="1"/>
                <w:sz w:val="20"/>
                <w:szCs w:val="20"/>
              </w:rPr>
              <w:t>.5</w:t>
            </w:r>
          </w:p>
        </w:tc>
        <w:tc>
          <w:tcPr>
            <w:tcW w:w="748" w:type="dxa"/>
            <w:tcBorders>
              <w:right w:val="nil"/>
            </w:tcBorders>
            <w:vAlign w:val="top"/>
          </w:tcPr>
          <w:p w14:paraId="62730243">
            <w:pPr>
              <w:spacing w:before="15" w:line="281" w:lineRule="exact"/>
              <w:ind w:left="140"/>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μ</w:t>
            </w:r>
            <w:r>
              <w:rPr>
                <w:rFonts w:ascii="Times New Roman" w:hAnsi="Times New Roman" w:eastAsia="Times New Roman" w:cs="Times New Roman"/>
                <w:position w:val="4"/>
                <w:sz w:val="20"/>
                <w:szCs w:val="20"/>
              </w:rPr>
              <w:t>g</w:t>
            </w:r>
            <w:r>
              <w:rPr>
                <w:rFonts w:ascii="Times New Roman" w:hAnsi="Times New Roman" w:eastAsia="Times New Roman" w:cs="Times New Roman"/>
                <w:spacing w:val="4"/>
                <w:position w:val="4"/>
                <w:sz w:val="20"/>
                <w:szCs w:val="20"/>
              </w:rPr>
              <w:t>/</w:t>
            </w:r>
            <w:r>
              <w:rPr>
                <w:rFonts w:ascii="Times New Roman" w:hAnsi="Times New Roman" w:eastAsia="Times New Roman" w:cs="Times New Roman"/>
                <w:position w:val="4"/>
                <w:sz w:val="20"/>
                <w:szCs w:val="20"/>
              </w:rPr>
              <w:t>kg</w:t>
            </w:r>
          </w:p>
        </w:tc>
      </w:tr>
      <w:tr w14:paraId="29405E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83" w:type="dxa"/>
            <w:tcBorders>
              <w:left w:val="nil"/>
            </w:tcBorders>
            <w:vAlign w:val="top"/>
          </w:tcPr>
          <w:p w14:paraId="4275432C">
            <w:pPr>
              <w:spacing w:before="91" w:line="195" w:lineRule="auto"/>
              <w:ind w:left="21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9</w:t>
            </w:r>
          </w:p>
        </w:tc>
        <w:tc>
          <w:tcPr>
            <w:tcW w:w="1553" w:type="dxa"/>
            <w:vAlign w:val="top"/>
          </w:tcPr>
          <w:p w14:paraId="1CEC8A84">
            <w:pPr>
              <w:spacing w:before="55" w:line="233" w:lineRule="auto"/>
              <w:ind w:left="213"/>
              <w:rPr>
                <w:rFonts w:ascii="宋体" w:hAnsi="宋体" w:eastAsia="宋体" w:cs="宋体"/>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,2-</w:t>
            </w:r>
            <w:r>
              <w:rPr>
                <w:rFonts w:ascii="宋体" w:hAnsi="宋体" w:eastAsia="宋体" w:cs="宋体"/>
                <w:spacing w:val="3"/>
                <w:sz w:val="20"/>
                <w:szCs w:val="20"/>
              </w:rPr>
              <w:t>二氯丙烷</w:t>
            </w:r>
          </w:p>
        </w:tc>
        <w:tc>
          <w:tcPr>
            <w:tcW w:w="1445" w:type="dxa"/>
            <w:vAlign w:val="top"/>
          </w:tcPr>
          <w:p w14:paraId="2140ECDC">
            <w:pPr>
              <w:spacing w:before="52" w:line="263" w:lineRule="exact"/>
              <w:ind w:left="507"/>
              <w:rPr>
                <w:rFonts w:ascii="Times New Roman" w:hAnsi="Times New Roman" w:eastAsia="Times New Roman" w:cs="Times New Roman"/>
                <w:sz w:val="20"/>
                <w:szCs w:val="20"/>
              </w:rPr>
            </w:pPr>
            <w:r>
              <w:rPr>
                <w:rFonts w:ascii="宋体" w:hAnsi="宋体" w:eastAsia="宋体" w:cs="宋体"/>
                <w:spacing w:val="6"/>
                <w:position w:val="1"/>
                <w:sz w:val="20"/>
                <w:szCs w:val="20"/>
              </w:rPr>
              <w:t>＜</w:t>
            </w:r>
            <w:r>
              <w:rPr>
                <w:rFonts w:ascii="Times New Roman" w:hAnsi="Times New Roman" w:eastAsia="Times New Roman" w:cs="Times New Roman"/>
                <w:spacing w:val="4"/>
                <w:position w:val="1"/>
                <w:sz w:val="20"/>
                <w:szCs w:val="20"/>
              </w:rPr>
              <w:t>1.1</w:t>
            </w:r>
          </w:p>
        </w:tc>
        <w:tc>
          <w:tcPr>
            <w:tcW w:w="2096" w:type="dxa"/>
            <w:vAlign w:val="top"/>
          </w:tcPr>
          <w:p w14:paraId="7B06DF57">
            <w:pPr>
              <w:spacing w:before="52" w:line="263" w:lineRule="exact"/>
              <w:ind w:left="833"/>
              <w:rPr>
                <w:rFonts w:ascii="Times New Roman" w:hAnsi="Times New Roman" w:eastAsia="Times New Roman" w:cs="Times New Roman"/>
                <w:sz w:val="20"/>
                <w:szCs w:val="20"/>
              </w:rPr>
            </w:pPr>
            <w:r>
              <w:rPr>
                <w:rFonts w:ascii="宋体" w:hAnsi="宋体" w:eastAsia="宋体" w:cs="宋体"/>
                <w:spacing w:val="6"/>
                <w:position w:val="1"/>
                <w:sz w:val="20"/>
                <w:szCs w:val="20"/>
              </w:rPr>
              <w:t>＜</w:t>
            </w:r>
            <w:r>
              <w:rPr>
                <w:rFonts w:ascii="Times New Roman" w:hAnsi="Times New Roman" w:eastAsia="Times New Roman" w:cs="Times New Roman"/>
                <w:spacing w:val="4"/>
                <w:position w:val="1"/>
                <w:sz w:val="20"/>
                <w:szCs w:val="20"/>
              </w:rPr>
              <w:t>1.1</w:t>
            </w:r>
          </w:p>
        </w:tc>
        <w:tc>
          <w:tcPr>
            <w:tcW w:w="2097" w:type="dxa"/>
            <w:vAlign w:val="top"/>
          </w:tcPr>
          <w:p w14:paraId="48CA309E">
            <w:pPr>
              <w:spacing w:before="52" w:line="263" w:lineRule="exact"/>
              <w:ind w:left="832"/>
              <w:rPr>
                <w:rFonts w:ascii="Times New Roman" w:hAnsi="Times New Roman" w:eastAsia="Times New Roman" w:cs="Times New Roman"/>
                <w:sz w:val="20"/>
                <w:szCs w:val="20"/>
              </w:rPr>
            </w:pPr>
            <w:r>
              <w:rPr>
                <w:rFonts w:ascii="宋体" w:hAnsi="宋体" w:eastAsia="宋体" w:cs="宋体"/>
                <w:spacing w:val="5"/>
                <w:position w:val="1"/>
                <w:sz w:val="20"/>
                <w:szCs w:val="20"/>
              </w:rPr>
              <w:t>＜</w:t>
            </w:r>
            <w:r>
              <w:rPr>
                <w:rFonts w:ascii="Times New Roman" w:hAnsi="Times New Roman" w:eastAsia="Times New Roman" w:cs="Times New Roman"/>
                <w:spacing w:val="5"/>
                <w:position w:val="1"/>
                <w:sz w:val="20"/>
                <w:szCs w:val="20"/>
              </w:rPr>
              <w:t>1.1</w:t>
            </w:r>
          </w:p>
        </w:tc>
        <w:tc>
          <w:tcPr>
            <w:tcW w:w="748" w:type="dxa"/>
            <w:tcBorders>
              <w:right w:val="nil"/>
            </w:tcBorders>
            <w:vAlign w:val="top"/>
          </w:tcPr>
          <w:p w14:paraId="0D2AAEC3">
            <w:pPr>
              <w:spacing w:before="17" w:line="281" w:lineRule="exact"/>
              <w:ind w:left="140"/>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μ</w:t>
            </w:r>
            <w:r>
              <w:rPr>
                <w:rFonts w:ascii="Times New Roman" w:hAnsi="Times New Roman" w:eastAsia="Times New Roman" w:cs="Times New Roman"/>
                <w:position w:val="4"/>
                <w:sz w:val="20"/>
                <w:szCs w:val="20"/>
              </w:rPr>
              <w:t>g</w:t>
            </w:r>
            <w:r>
              <w:rPr>
                <w:rFonts w:ascii="Times New Roman" w:hAnsi="Times New Roman" w:eastAsia="Times New Roman" w:cs="Times New Roman"/>
                <w:spacing w:val="4"/>
                <w:position w:val="4"/>
                <w:sz w:val="20"/>
                <w:szCs w:val="20"/>
              </w:rPr>
              <w:t>/</w:t>
            </w:r>
            <w:r>
              <w:rPr>
                <w:rFonts w:ascii="Times New Roman" w:hAnsi="Times New Roman" w:eastAsia="Times New Roman" w:cs="Times New Roman"/>
                <w:position w:val="4"/>
                <w:sz w:val="20"/>
                <w:szCs w:val="20"/>
              </w:rPr>
              <w:t>kg</w:t>
            </w:r>
          </w:p>
        </w:tc>
      </w:tr>
      <w:tr w14:paraId="59A534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137661F7">
            <w:pPr>
              <w:spacing w:before="91" w:line="195"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0</w:t>
            </w:r>
          </w:p>
        </w:tc>
        <w:tc>
          <w:tcPr>
            <w:tcW w:w="1553" w:type="dxa"/>
            <w:vAlign w:val="top"/>
          </w:tcPr>
          <w:p w14:paraId="76838955">
            <w:pPr>
              <w:spacing w:before="55" w:line="221" w:lineRule="auto"/>
              <w:ind w:left="54"/>
              <w:rPr>
                <w:rFonts w:ascii="宋体" w:hAnsi="宋体" w:eastAsia="宋体" w:cs="宋体"/>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 xml:space="preserve">, 1, 1,2- </w:t>
            </w:r>
            <w:r>
              <w:rPr>
                <w:rFonts w:ascii="宋体" w:hAnsi="宋体" w:eastAsia="宋体" w:cs="宋体"/>
                <w:spacing w:val="-7"/>
                <w:sz w:val="20"/>
                <w:szCs w:val="20"/>
              </w:rPr>
              <w:t>四氯乙烷</w:t>
            </w:r>
          </w:p>
        </w:tc>
        <w:tc>
          <w:tcPr>
            <w:tcW w:w="1445" w:type="dxa"/>
            <w:vAlign w:val="top"/>
          </w:tcPr>
          <w:p w14:paraId="0A3FE9DF">
            <w:pPr>
              <w:spacing w:before="53" w:line="264" w:lineRule="exact"/>
              <w:ind w:left="507"/>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.2</w:t>
            </w:r>
          </w:p>
        </w:tc>
        <w:tc>
          <w:tcPr>
            <w:tcW w:w="2096" w:type="dxa"/>
            <w:vAlign w:val="top"/>
          </w:tcPr>
          <w:p w14:paraId="7E73DAB5">
            <w:pPr>
              <w:spacing w:before="53" w:line="264" w:lineRule="exact"/>
              <w:ind w:left="833"/>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.2</w:t>
            </w:r>
          </w:p>
        </w:tc>
        <w:tc>
          <w:tcPr>
            <w:tcW w:w="2097" w:type="dxa"/>
            <w:vAlign w:val="top"/>
          </w:tcPr>
          <w:p w14:paraId="2AB33280">
            <w:pPr>
              <w:spacing w:before="53" w:line="264" w:lineRule="exact"/>
              <w:ind w:left="832"/>
              <w:rPr>
                <w:rFonts w:ascii="Times New Roman" w:hAnsi="Times New Roman" w:eastAsia="Times New Roman" w:cs="Times New Roman"/>
                <w:sz w:val="20"/>
                <w:szCs w:val="20"/>
              </w:rPr>
            </w:pPr>
            <w:r>
              <w:rPr>
                <w:rFonts w:ascii="宋体" w:hAnsi="宋体" w:eastAsia="宋体" w:cs="宋体"/>
                <w:position w:val="1"/>
                <w:sz w:val="20"/>
                <w:szCs w:val="20"/>
              </w:rPr>
              <w:t>＜</w:t>
            </w:r>
            <w:r>
              <w:rPr>
                <w:rFonts w:ascii="Times New Roman" w:hAnsi="Times New Roman" w:eastAsia="Times New Roman" w:cs="Times New Roman"/>
                <w:position w:val="1"/>
                <w:sz w:val="20"/>
                <w:szCs w:val="20"/>
              </w:rPr>
              <w:t>1.2</w:t>
            </w:r>
          </w:p>
        </w:tc>
        <w:tc>
          <w:tcPr>
            <w:tcW w:w="748" w:type="dxa"/>
            <w:tcBorders>
              <w:right w:val="nil"/>
            </w:tcBorders>
            <w:vAlign w:val="top"/>
          </w:tcPr>
          <w:p w14:paraId="32768D93">
            <w:pPr>
              <w:spacing w:before="18" w:line="281" w:lineRule="exact"/>
              <w:ind w:left="140"/>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μ</w:t>
            </w:r>
            <w:r>
              <w:rPr>
                <w:rFonts w:ascii="Times New Roman" w:hAnsi="Times New Roman" w:eastAsia="Times New Roman" w:cs="Times New Roman"/>
                <w:position w:val="4"/>
                <w:sz w:val="20"/>
                <w:szCs w:val="20"/>
              </w:rPr>
              <w:t>g</w:t>
            </w:r>
            <w:r>
              <w:rPr>
                <w:rFonts w:ascii="Times New Roman" w:hAnsi="Times New Roman" w:eastAsia="Times New Roman" w:cs="Times New Roman"/>
                <w:spacing w:val="4"/>
                <w:position w:val="4"/>
                <w:sz w:val="20"/>
                <w:szCs w:val="20"/>
              </w:rPr>
              <w:t>/</w:t>
            </w:r>
            <w:r>
              <w:rPr>
                <w:rFonts w:ascii="Times New Roman" w:hAnsi="Times New Roman" w:eastAsia="Times New Roman" w:cs="Times New Roman"/>
                <w:position w:val="4"/>
                <w:sz w:val="20"/>
                <w:szCs w:val="20"/>
              </w:rPr>
              <w:t>kg</w:t>
            </w:r>
          </w:p>
        </w:tc>
      </w:tr>
      <w:tr w14:paraId="2281F7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5C3E363B">
            <w:pPr>
              <w:spacing w:before="91" w:line="195"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1</w:t>
            </w:r>
          </w:p>
        </w:tc>
        <w:tc>
          <w:tcPr>
            <w:tcW w:w="1553" w:type="dxa"/>
            <w:vAlign w:val="top"/>
          </w:tcPr>
          <w:p w14:paraId="0F90BC34">
            <w:pPr>
              <w:spacing w:before="55" w:line="233" w:lineRule="auto"/>
              <w:ind w:left="54"/>
              <w:rPr>
                <w:rFonts w:ascii="宋体" w:hAnsi="宋体" w:eastAsia="宋体" w:cs="宋体"/>
                <w:sz w:val="20"/>
                <w:szCs w:val="20"/>
              </w:rPr>
            </w:pPr>
            <w:r>
              <w:rPr>
                <w:rFonts w:ascii="Times New Roman" w:hAnsi="Times New Roman" w:eastAsia="Times New Roman" w:cs="Times New Roman"/>
                <w:spacing w:val="-4"/>
                <w:sz w:val="20"/>
                <w:szCs w:val="20"/>
              </w:rPr>
              <w:t xml:space="preserve">1, 1,2,2- </w:t>
            </w:r>
            <w:r>
              <w:rPr>
                <w:rFonts w:ascii="宋体" w:hAnsi="宋体" w:eastAsia="宋体" w:cs="宋体"/>
                <w:spacing w:val="-4"/>
                <w:sz w:val="20"/>
                <w:szCs w:val="20"/>
              </w:rPr>
              <w:t>四氯乙烷</w:t>
            </w:r>
          </w:p>
        </w:tc>
        <w:tc>
          <w:tcPr>
            <w:tcW w:w="1445" w:type="dxa"/>
            <w:vAlign w:val="top"/>
          </w:tcPr>
          <w:p w14:paraId="7BC50B08">
            <w:pPr>
              <w:spacing w:before="55" w:line="241" w:lineRule="auto"/>
              <w:ind w:left="507"/>
              <w:rPr>
                <w:rFonts w:ascii="Times New Roman" w:hAnsi="Times New Roman" w:eastAsia="Times New Roman" w:cs="Times New Roman"/>
                <w:sz w:val="20"/>
                <w:szCs w:val="20"/>
              </w:rPr>
            </w:pPr>
            <w:r>
              <w:rPr>
                <w:rFonts w:ascii="宋体" w:hAnsi="宋体" w:eastAsia="宋体" w:cs="宋体"/>
                <w:spacing w:val="-1"/>
                <w:sz w:val="20"/>
                <w:szCs w:val="20"/>
              </w:rPr>
              <w:t>＜</w:t>
            </w:r>
            <w:r>
              <w:rPr>
                <w:rFonts w:ascii="Times New Roman" w:hAnsi="Times New Roman" w:eastAsia="Times New Roman" w:cs="Times New Roman"/>
                <w:spacing w:val="-1"/>
                <w:sz w:val="20"/>
                <w:szCs w:val="20"/>
              </w:rPr>
              <w:t>1</w:t>
            </w:r>
            <w:r>
              <w:rPr>
                <w:rFonts w:ascii="Times New Roman" w:hAnsi="Times New Roman" w:eastAsia="Times New Roman" w:cs="Times New Roman"/>
                <w:sz w:val="20"/>
                <w:szCs w:val="20"/>
              </w:rPr>
              <w:t>.2</w:t>
            </w:r>
          </w:p>
        </w:tc>
        <w:tc>
          <w:tcPr>
            <w:tcW w:w="2096" w:type="dxa"/>
            <w:vAlign w:val="top"/>
          </w:tcPr>
          <w:p w14:paraId="1B4BE4F4">
            <w:pPr>
              <w:spacing w:before="55" w:line="241" w:lineRule="auto"/>
              <w:ind w:left="833"/>
              <w:rPr>
                <w:rFonts w:ascii="Times New Roman" w:hAnsi="Times New Roman" w:eastAsia="Times New Roman" w:cs="Times New Roman"/>
                <w:sz w:val="20"/>
                <w:szCs w:val="20"/>
              </w:rPr>
            </w:pPr>
            <w:r>
              <w:rPr>
                <w:rFonts w:ascii="宋体" w:hAnsi="宋体" w:eastAsia="宋体" w:cs="宋体"/>
                <w:spacing w:val="-1"/>
                <w:sz w:val="20"/>
                <w:szCs w:val="20"/>
              </w:rPr>
              <w:t>＜</w:t>
            </w:r>
            <w:r>
              <w:rPr>
                <w:rFonts w:ascii="Times New Roman" w:hAnsi="Times New Roman" w:eastAsia="Times New Roman" w:cs="Times New Roman"/>
                <w:spacing w:val="-1"/>
                <w:sz w:val="20"/>
                <w:szCs w:val="20"/>
              </w:rPr>
              <w:t>1</w:t>
            </w:r>
            <w:r>
              <w:rPr>
                <w:rFonts w:ascii="Times New Roman" w:hAnsi="Times New Roman" w:eastAsia="Times New Roman" w:cs="Times New Roman"/>
                <w:sz w:val="20"/>
                <w:szCs w:val="20"/>
              </w:rPr>
              <w:t>.2</w:t>
            </w:r>
          </w:p>
        </w:tc>
        <w:tc>
          <w:tcPr>
            <w:tcW w:w="2097" w:type="dxa"/>
            <w:vAlign w:val="top"/>
          </w:tcPr>
          <w:p w14:paraId="43B1AEF3">
            <w:pPr>
              <w:spacing w:before="55" w:line="241" w:lineRule="auto"/>
              <w:ind w:left="832"/>
              <w:rPr>
                <w:rFonts w:ascii="Times New Roman" w:hAnsi="Times New Roman" w:eastAsia="Times New Roman" w:cs="Times New Roman"/>
                <w:sz w:val="20"/>
                <w:szCs w:val="20"/>
              </w:rPr>
            </w:pPr>
            <w:r>
              <w:rPr>
                <w:rFonts w:ascii="宋体" w:hAnsi="宋体" w:eastAsia="宋体" w:cs="宋体"/>
                <w:sz w:val="20"/>
                <w:szCs w:val="20"/>
              </w:rPr>
              <w:t>＜</w:t>
            </w:r>
            <w:r>
              <w:rPr>
                <w:rFonts w:ascii="Times New Roman" w:hAnsi="Times New Roman" w:eastAsia="Times New Roman" w:cs="Times New Roman"/>
                <w:sz w:val="20"/>
                <w:szCs w:val="20"/>
              </w:rPr>
              <w:t>1.2</w:t>
            </w:r>
          </w:p>
        </w:tc>
        <w:tc>
          <w:tcPr>
            <w:tcW w:w="748" w:type="dxa"/>
            <w:tcBorders>
              <w:right w:val="nil"/>
            </w:tcBorders>
            <w:vAlign w:val="top"/>
          </w:tcPr>
          <w:p w14:paraId="0705064D">
            <w:pPr>
              <w:spacing w:before="17" w:line="281" w:lineRule="exact"/>
              <w:ind w:left="140"/>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μ</w:t>
            </w:r>
            <w:r>
              <w:rPr>
                <w:rFonts w:ascii="Times New Roman" w:hAnsi="Times New Roman" w:eastAsia="Times New Roman" w:cs="Times New Roman"/>
                <w:position w:val="4"/>
                <w:sz w:val="20"/>
                <w:szCs w:val="20"/>
              </w:rPr>
              <w:t>g</w:t>
            </w:r>
            <w:r>
              <w:rPr>
                <w:rFonts w:ascii="Times New Roman" w:hAnsi="Times New Roman" w:eastAsia="Times New Roman" w:cs="Times New Roman"/>
                <w:spacing w:val="4"/>
                <w:position w:val="4"/>
                <w:sz w:val="20"/>
                <w:szCs w:val="20"/>
              </w:rPr>
              <w:t>/</w:t>
            </w:r>
            <w:r>
              <w:rPr>
                <w:rFonts w:ascii="Times New Roman" w:hAnsi="Times New Roman" w:eastAsia="Times New Roman" w:cs="Times New Roman"/>
                <w:position w:val="4"/>
                <w:sz w:val="20"/>
                <w:szCs w:val="20"/>
              </w:rPr>
              <w:t>kg</w:t>
            </w:r>
          </w:p>
        </w:tc>
      </w:tr>
      <w:tr w14:paraId="79CFBA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37411E68">
            <w:pPr>
              <w:spacing w:before="91" w:line="195"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2</w:t>
            </w:r>
          </w:p>
        </w:tc>
        <w:tc>
          <w:tcPr>
            <w:tcW w:w="1553" w:type="dxa"/>
            <w:vAlign w:val="top"/>
          </w:tcPr>
          <w:p w14:paraId="1978CD06">
            <w:pPr>
              <w:spacing w:before="54" w:line="228" w:lineRule="auto"/>
              <w:ind w:left="382"/>
              <w:rPr>
                <w:rFonts w:ascii="宋体" w:hAnsi="宋体" w:eastAsia="宋体" w:cs="宋体"/>
                <w:sz w:val="20"/>
                <w:szCs w:val="20"/>
              </w:rPr>
            </w:pPr>
            <w:r>
              <w:rPr>
                <w:rFonts w:ascii="宋体" w:hAnsi="宋体" w:eastAsia="宋体" w:cs="宋体"/>
                <w:spacing w:val="3"/>
                <w:sz w:val="20"/>
                <w:szCs w:val="20"/>
              </w:rPr>
              <w:t>四</w:t>
            </w:r>
            <w:r>
              <w:rPr>
                <w:rFonts w:ascii="宋体" w:hAnsi="宋体" w:eastAsia="宋体" w:cs="宋体"/>
                <w:spacing w:val="2"/>
                <w:sz w:val="20"/>
                <w:szCs w:val="20"/>
              </w:rPr>
              <w:t>氯乙烯</w:t>
            </w:r>
          </w:p>
        </w:tc>
        <w:tc>
          <w:tcPr>
            <w:tcW w:w="1445" w:type="dxa"/>
            <w:vAlign w:val="top"/>
          </w:tcPr>
          <w:p w14:paraId="11673889">
            <w:pPr>
              <w:spacing w:before="54" w:line="242" w:lineRule="auto"/>
              <w:ind w:left="507"/>
              <w:rPr>
                <w:rFonts w:ascii="Times New Roman" w:hAnsi="Times New Roman" w:eastAsia="Times New Roman" w:cs="Times New Roman"/>
                <w:sz w:val="20"/>
                <w:szCs w:val="20"/>
              </w:rPr>
            </w:pPr>
            <w:r>
              <w:rPr>
                <w:rFonts w:ascii="宋体" w:hAnsi="宋体" w:eastAsia="宋体" w:cs="宋体"/>
                <w:spacing w:val="-1"/>
                <w:sz w:val="20"/>
                <w:szCs w:val="20"/>
              </w:rPr>
              <w:t>＜</w:t>
            </w:r>
            <w:r>
              <w:rPr>
                <w:rFonts w:ascii="Times New Roman" w:hAnsi="Times New Roman" w:eastAsia="Times New Roman" w:cs="Times New Roman"/>
                <w:spacing w:val="-1"/>
                <w:sz w:val="20"/>
                <w:szCs w:val="20"/>
              </w:rPr>
              <w:t>1</w:t>
            </w:r>
            <w:r>
              <w:rPr>
                <w:rFonts w:ascii="Times New Roman" w:hAnsi="Times New Roman" w:eastAsia="Times New Roman" w:cs="Times New Roman"/>
                <w:sz w:val="20"/>
                <w:szCs w:val="20"/>
              </w:rPr>
              <w:t>.4</w:t>
            </w:r>
          </w:p>
        </w:tc>
        <w:tc>
          <w:tcPr>
            <w:tcW w:w="2096" w:type="dxa"/>
            <w:vAlign w:val="top"/>
          </w:tcPr>
          <w:p w14:paraId="23C05EB5">
            <w:pPr>
              <w:spacing w:before="54" w:line="242" w:lineRule="auto"/>
              <w:ind w:left="833"/>
              <w:rPr>
                <w:rFonts w:ascii="Times New Roman" w:hAnsi="Times New Roman" w:eastAsia="Times New Roman" w:cs="Times New Roman"/>
                <w:sz w:val="20"/>
                <w:szCs w:val="20"/>
              </w:rPr>
            </w:pPr>
            <w:r>
              <w:rPr>
                <w:rFonts w:ascii="宋体" w:hAnsi="宋体" w:eastAsia="宋体" w:cs="宋体"/>
                <w:spacing w:val="-1"/>
                <w:sz w:val="20"/>
                <w:szCs w:val="20"/>
              </w:rPr>
              <w:t>＜</w:t>
            </w:r>
            <w:r>
              <w:rPr>
                <w:rFonts w:ascii="Times New Roman" w:hAnsi="Times New Roman" w:eastAsia="Times New Roman" w:cs="Times New Roman"/>
                <w:spacing w:val="-1"/>
                <w:sz w:val="20"/>
                <w:szCs w:val="20"/>
              </w:rPr>
              <w:t>1</w:t>
            </w:r>
            <w:r>
              <w:rPr>
                <w:rFonts w:ascii="Times New Roman" w:hAnsi="Times New Roman" w:eastAsia="Times New Roman" w:cs="Times New Roman"/>
                <w:sz w:val="20"/>
                <w:szCs w:val="20"/>
              </w:rPr>
              <w:t>.4</w:t>
            </w:r>
          </w:p>
        </w:tc>
        <w:tc>
          <w:tcPr>
            <w:tcW w:w="2097" w:type="dxa"/>
            <w:vAlign w:val="top"/>
          </w:tcPr>
          <w:p w14:paraId="6DAE8427">
            <w:pPr>
              <w:spacing w:before="54" w:line="242" w:lineRule="auto"/>
              <w:ind w:left="832"/>
              <w:rPr>
                <w:rFonts w:ascii="Times New Roman" w:hAnsi="Times New Roman" w:eastAsia="Times New Roman" w:cs="Times New Roman"/>
                <w:sz w:val="20"/>
                <w:szCs w:val="20"/>
              </w:rPr>
            </w:pPr>
            <w:r>
              <w:rPr>
                <w:rFonts w:ascii="宋体" w:hAnsi="宋体" w:eastAsia="宋体" w:cs="宋体"/>
                <w:sz w:val="20"/>
                <w:szCs w:val="20"/>
              </w:rPr>
              <w:t>＜</w:t>
            </w:r>
            <w:r>
              <w:rPr>
                <w:rFonts w:ascii="Times New Roman" w:hAnsi="Times New Roman" w:eastAsia="Times New Roman" w:cs="Times New Roman"/>
                <w:sz w:val="20"/>
                <w:szCs w:val="20"/>
              </w:rPr>
              <w:t>1.4</w:t>
            </w:r>
          </w:p>
        </w:tc>
        <w:tc>
          <w:tcPr>
            <w:tcW w:w="748" w:type="dxa"/>
            <w:tcBorders>
              <w:right w:val="nil"/>
            </w:tcBorders>
            <w:vAlign w:val="top"/>
          </w:tcPr>
          <w:p w14:paraId="27F8CCD7">
            <w:pPr>
              <w:spacing w:before="17" w:line="281" w:lineRule="exact"/>
              <w:ind w:left="140"/>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μ</w:t>
            </w:r>
            <w:r>
              <w:rPr>
                <w:rFonts w:ascii="Times New Roman" w:hAnsi="Times New Roman" w:eastAsia="Times New Roman" w:cs="Times New Roman"/>
                <w:position w:val="4"/>
                <w:sz w:val="20"/>
                <w:szCs w:val="20"/>
              </w:rPr>
              <w:t>g</w:t>
            </w:r>
            <w:r>
              <w:rPr>
                <w:rFonts w:ascii="Times New Roman" w:hAnsi="Times New Roman" w:eastAsia="Times New Roman" w:cs="Times New Roman"/>
                <w:spacing w:val="4"/>
                <w:position w:val="4"/>
                <w:sz w:val="20"/>
                <w:szCs w:val="20"/>
              </w:rPr>
              <w:t>/</w:t>
            </w:r>
            <w:r>
              <w:rPr>
                <w:rFonts w:ascii="Times New Roman" w:hAnsi="Times New Roman" w:eastAsia="Times New Roman" w:cs="Times New Roman"/>
                <w:position w:val="4"/>
                <w:sz w:val="20"/>
                <w:szCs w:val="20"/>
              </w:rPr>
              <w:t>kg</w:t>
            </w:r>
          </w:p>
        </w:tc>
      </w:tr>
      <w:tr w14:paraId="2BD445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6813DB87">
            <w:pPr>
              <w:spacing w:before="90" w:line="195"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3</w:t>
            </w:r>
          </w:p>
        </w:tc>
        <w:tc>
          <w:tcPr>
            <w:tcW w:w="1553" w:type="dxa"/>
            <w:vAlign w:val="top"/>
          </w:tcPr>
          <w:p w14:paraId="4542FB1B">
            <w:pPr>
              <w:spacing w:before="55" w:line="233" w:lineRule="auto"/>
              <w:ind w:left="133"/>
              <w:rPr>
                <w:rFonts w:ascii="宋体" w:hAnsi="宋体" w:eastAsia="宋体" w:cs="宋体"/>
                <w:sz w:val="20"/>
                <w:szCs w:val="20"/>
              </w:rPr>
            </w:pPr>
            <w:r>
              <w:rPr>
                <w:rFonts w:ascii="Times New Roman" w:hAnsi="Times New Roman" w:eastAsia="Times New Roman" w:cs="Times New Roman"/>
                <w:spacing w:val="-9"/>
                <w:sz w:val="20"/>
                <w:szCs w:val="20"/>
              </w:rPr>
              <w:t>1</w:t>
            </w:r>
            <w:r>
              <w:rPr>
                <w:rFonts w:ascii="Times New Roman" w:hAnsi="Times New Roman" w:eastAsia="Times New Roman" w:cs="Times New Roman"/>
                <w:spacing w:val="-5"/>
                <w:sz w:val="20"/>
                <w:szCs w:val="20"/>
              </w:rPr>
              <w:t>, 1, 1-</w:t>
            </w:r>
            <w:r>
              <w:rPr>
                <w:rFonts w:ascii="宋体" w:hAnsi="宋体" w:eastAsia="宋体" w:cs="宋体"/>
                <w:spacing w:val="-5"/>
                <w:sz w:val="20"/>
                <w:szCs w:val="20"/>
              </w:rPr>
              <w:t>三氯乙烷</w:t>
            </w:r>
          </w:p>
        </w:tc>
        <w:tc>
          <w:tcPr>
            <w:tcW w:w="1445" w:type="dxa"/>
            <w:vAlign w:val="top"/>
          </w:tcPr>
          <w:p w14:paraId="3906BB2B">
            <w:pPr>
              <w:spacing w:before="54" w:line="242" w:lineRule="auto"/>
              <w:ind w:left="507"/>
              <w:rPr>
                <w:rFonts w:ascii="Times New Roman" w:hAnsi="Times New Roman" w:eastAsia="Times New Roman" w:cs="Times New Roman"/>
                <w:sz w:val="20"/>
                <w:szCs w:val="20"/>
              </w:rPr>
            </w:pPr>
            <w:r>
              <w:rPr>
                <w:rFonts w:ascii="宋体" w:hAnsi="宋体" w:eastAsia="宋体" w:cs="宋体"/>
                <w:spacing w:val="1"/>
                <w:sz w:val="20"/>
                <w:szCs w:val="20"/>
              </w:rPr>
              <w:t>＜</w:t>
            </w:r>
            <w:r>
              <w:rPr>
                <w:rFonts w:ascii="Times New Roman" w:hAnsi="Times New Roman" w:eastAsia="Times New Roman" w:cs="Times New Roman"/>
                <w:spacing w:val="1"/>
                <w:sz w:val="20"/>
                <w:szCs w:val="20"/>
              </w:rPr>
              <w:t>1</w:t>
            </w:r>
            <w:r>
              <w:rPr>
                <w:rFonts w:ascii="Times New Roman" w:hAnsi="Times New Roman" w:eastAsia="Times New Roman" w:cs="Times New Roman"/>
                <w:sz w:val="20"/>
                <w:szCs w:val="20"/>
              </w:rPr>
              <w:t>.3</w:t>
            </w:r>
          </w:p>
        </w:tc>
        <w:tc>
          <w:tcPr>
            <w:tcW w:w="2096" w:type="dxa"/>
            <w:vAlign w:val="top"/>
          </w:tcPr>
          <w:p w14:paraId="600ADC78">
            <w:pPr>
              <w:spacing w:before="54" w:line="242" w:lineRule="auto"/>
              <w:ind w:left="833"/>
              <w:rPr>
                <w:rFonts w:ascii="Times New Roman" w:hAnsi="Times New Roman" w:eastAsia="Times New Roman" w:cs="Times New Roman"/>
                <w:sz w:val="20"/>
                <w:szCs w:val="20"/>
              </w:rPr>
            </w:pPr>
            <w:r>
              <w:rPr>
                <w:rFonts w:ascii="宋体" w:hAnsi="宋体" w:eastAsia="宋体" w:cs="宋体"/>
                <w:spacing w:val="1"/>
                <w:sz w:val="20"/>
                <w:szCs w:val="20"/>
              </w:rPr>
              <w:t>＜</w:t>
            </w:r>
            <w:r>
              <w:rPr>
                <w:rFonts w:ascii="Times New Roman" w:hAnsi="Times New Roman" w:eastAsia="Times New Roman" w:cs="Times New Roman"/>
                <w:spacing w:val="1"/>
                <w:sz w:val="20"/>
                <w:szCs w:val="20"/>
              </w:rPr>
              <w:t>1</w:t>
            </w:r>
            <w:r>
              <w:rPr>
                <w:rFonts w:ascii="Times New Roman" w:hAnsi="Times New Roman" w:eastAsia="Times New Roman" w:cs="Times New Roman"/>
                <w:sz w:val="20"/>
                <w:szCs w:val="20"/>
              </w:rPr>
              <w:t>.3</w:t>
            </w:r>
          </w:p>
        </w:tc>
        <w:tc>
          <w:tcPr>
            <w:tcW w:w="2097" w:type="dxa"/>
            <w:vAlign w:val="top"/>
          </w:tcPr>
          <w:p w14:paraId="14A85BD7">
            <w:pPr>
              <w:spacing w:before="54" w:line="242" w:lineRule="auto"/>
              <w:ind w:left="832"/>
              <w:rPr>
                <w:rFonts w:ascii="Times New Roman" w:hAnsi="Times New Roman" w:eastAsia="Times New Roman" w:cs="Times New Roman"/>
                <w:sz w:val="20"/>
                <w:szCs w:val="20"/>
              </w:rPr>
            </w:pPr>
            <w:r>
              <w:rPr>
                <w:rFonts w:ascii="宋体" w:hAnsi="宋体" w:eastAsia="宋体" w:cs="宋体"/>
                <w:spacing w:val="1"/>
                <w:sz w:val="20"/>
                <w:szCs w:val="20"/>
              </w:rPr>
              <w:t>＜</w:t>
            </w:r>
            <w:r>
              <w:rPr>
                <w:rFonts w:ascii="Times New Roman" w:hAnsi="Times New Roman" w:eastAsia="Times New Roman" w:cs="Times New Roman"/>
                <w:spacing w:val="1"/>
                <w:sz w:val="20"/>
                <w:szCs w:val="20"/>
              </w:rPr>
              <w:t>1.3</w:t>
            </w:r>
          </w:p>
        </w:tc>
        <w:tc>
          <w:tcPr>
            <w:tcW w:w="748" w:type="dxa"/>
            <w:tcBorders>
              <w:right w:val="nil"/>
            </w:tcBorders>
            <w:vAlign w:val="top"/>
          </w:tcPr>
          <w:p w14:paraId="2E3DEB33">
            <w:pPr>
              <w:spacing w:before="17" w:line="281" w:lineRule="exact"/>
              <w:ind w:left="140"/>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μ</w:t>
            </w:r>
            <w:r>
              <w:rPr>
                <w:rFonts w:ascii="Times New Roman" w:hAnsi="Times New Roman" w:eastAsia="Times New Roman" w:cs="Times New Roman"/>
                <w:position w:val="4"/>
                <w:sz w:val="20"/>
                <w:szCs w:val="20"/>
              </w:rPr>
              <w:t>g</w:t>
            </w:r>
            <w:r>
              <w:rPr>
                <w:rFonts w:ascii="Times New Roman" w:hAnsi="Times New Roman" w:eastAsia="Times New Roman" w:cs="Times New Roman"/>
                <w:spacing w:val="4"/>
                <w:position w:val="4"/>
                <w:sz w:val="20"/>
                <w:szCs w:val="20"/>
              </w:rPr>
              <w:t>/</w:t>
            </w:r>
            <w:r>
              <w:rPr>
                <w:rFonts w:ascii="Times New Roman" w:hAnsi="Times New Roman" w:eastAsia="Times New Roman" w:cs="Times New Roman"/>
                <w:position w:val="4"/>
                <w:sz w:val="20"/>
                <w:szCs w:val="20"/>
              </w:rPr>
              <w:t>kg</w:t>
            </w:r>
          </w:p>
        </w:tc>
      </w:tr>
      <w:tr w14:paraId="11DF38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1953E347">
            <w:pPr>
              <w:spacing w:before="90" w:line="195"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4</w:t>
            </w:r>
          </w:p>
        </w:tc>
        <w:tc>
          <w:tcPr>
            <w:tcW w:w="1553" w:type="dxa"/>
            <w:vAlign w:val="top"/>
          </w:tcPr>
          <w:p w14:paraId="1E36479E">
            <w:pPr>
              <w:spacing w:before="54" w:line="233" w:lineRule="auto"/>
              <w:ind w:left="133"/>
              <w:rPr>
                <w:rFonts w:ascii="宋体" w:hAnsi="宋体" w:eastAsia="宋体" w:cs="宋体"/>
                <w:sz w:val="20"/>
                <w:szCs w:val="20"/>
              </w:rPr>
            </w:pPr>
            <w:r>
              <w:rPr>
                <w:rFonts w:ascii="Times New Roman" w:hAnsi="Times New Roman" w:eastAsia="Times New Roman" w:cs="Times New Roman"/>
                <w:spacing w:val="-2"/>
                <w:sz w:val="20"/>
                <w:szCs w:val="20"/>
              </w:rPr>
              <w:t xml:space="preserve">1, </w:t>
            </w:r>
            <w:r>
              <w:rPr>
                <w:rFonts w:ascii="Times New Roman" w:hAnsi="Times New Roman" w:eastAsia="Times New Roman" w:cs="Times New Roman"/>
                <w:spacing w:val="-1"/>
                <w:sz w:val="20"/>
                <w:szCs w:val="20"/>
              </w:rPr>
              <w:t>1,2-</w:t>
            </w:r>
            <w:r>
              <w:rPr>
                <w:rFonts w:ascii="宋体" w:hAnsi="宋体" w:eastAsia="宋体" w:cs="宋体"/>
                <w:spacing w:val="-1"/>
                <w:sz w:val="20"/>
                <w:szCs w:val="20"/>
              </w:rPr>
              <w:t>三氯乙烷</w:t>
            </w:r>
          </w:p>
        </w:tc>
        <w:tc>
          <w:tcPr>
            <w:tcW w:w="1445" w:type="dxa"/>
            <w:vAlign w:val="top"/>
          </w:tcPr>
          <w:p w14:paraId="7FF705B9">
            <w:pPr>
              <w:spacing w:before="54" w:line="263" w:lineRule="exact"/>
              <w:ind w:left="507"/>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.2</w:t>
            </w:r>
          </w:p>
        </w:tc>
        <w:tc>
          <w:tcPr>
            <w:tcW w:w="2096" w:type="dxa"/>
            <w:vAlign w:val="top"/>
          </w:tcPr>
          <w:p w14:paraId="76957BE8">
            <w:pPr>
              <w:spacing w:before="54" w:line="263" w:lineRule="exact"/>
              <w:ind w:left="833"/>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.2</w:t>
            </w:r>
          </w:p>
        </w:tc>
        <w:tc>
          <w:tcPr>
            <w:tcW w:w="2097" w:type="dxa"/>
            <w:vAlign w:val="top"/>
          </w:tcPr>
          <w:p w14:paraId="69432400">
            <w:pPr>
              <w:spacing w:before="54" w:line="263" w:lineRule="exact"/>
              <w:ind w:left="832"/>
              <w:rPr>
                <w:rFonts w:ascii="Times New Roman" w:hAnsi="Times New Roman" w:eastAsia="Times New Roman" w:cs="Times New Roman"/>
                <w:sz w:val="20"/>
                <w:szCs w:val="20"/>
              </w:rPr>
            </w:pPr>
            <w:r>
              <w:rPr>
                <w:rFonts w:ascii="宋体" w:hAnsi="宋体" w:eastAsia="宋体" w:cs="宋体"/>
                <w:position w:val="1"/>
                <w:sz w:val="20"/>
                <w:szCs w:val="20"/>
              </w:rPr>
              <w:t>＜</w:t>
            </w:r>
            <w:r>
              <w:rPr>
                <w:rFonts w:ascii="Times New Roman" w:hAnsi="Times New Roman" w:eastAsia="Times New Roman" w:cs="Times New Roman"/>
                <w:position w:val="1"/>
                <w:sz w:val="20"/>
                <w:szCs w:val="20"/>
              </w:rPr>
              <w:t>1.2</w:t>
            </w:r>
          </w:p>
        </w:tc>
        <w:tc>
          <w:tcPr>
            <w:tcW w:w="748" w:type="dxa"/>
            <w:tcBorders>
              <w:right w:val="nil"/>
            </w:tcBorders>
            <w:vAlign w:val="top"/>
          </w:tcPr>
          <w:p w14:paraId="7F058AF6">
            <w:pPr>
              <w:spacing w:before="16" w:line="281" w:lineRule="exact"/>
              <w:ind w:left="140"/>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μ</w:t>
            </w:r>
            <w:r>
              <w:rPr>
                <w:rFonts w:ascii="Times New Roman" w:hAnsi="Times New Roman" w:eastAsia="Times New Roman" w:cs="Times New Roman"/>
                <w:position w:val="4"/>
                <w:sz w:val="20"/>
                <w:szCs w:val="20"/>
              </w:rPr>
              <w:t>g</w:t>
            </w:r>
            <w:r>
              <w:rPr>
                <w:rFonts w:ascii="Times New Roman" w:hAnsi="Times New Roman" w:eastAsia="Times New Roman" w:cs="Times New Roman"/>
                <w:spacing w:val="4"/>
                <w:position w:val="4"/>
                <w:sz w:val="20"/>
                <w:szCs w:val="20"/>
              </w:rPr>
              <w:t>/</w:t>
            </w:r>
            <w:r>
              <w:rPr>
                <w:rFonts w:ascii="Times New Roman" w:hAnsi="Times New Roman" w:eastAsia="Times New Roman" w:cs="Times New Roman"/>
                <w:position w:val="4"/>
                <w:sz w:val="20"/>
                <w:szCs w:val="20"/>
              </w:rPr>
              <w:t>kg</w:t>
            </w:r>
          </w:p>
        </w:tc>
      </w:tr>
      <w:tr w14:paraId="4F0ED4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075AF3A7">
            <w:pPr>
              <w:spacing w:before="92" w:line="195"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5</w:t>
            </w:r>
          </w:p>
        </w:tc>
        <w:tc>
          <w:tcPr>
            <w:tcW w:w="1553" w:type="dxa"/>
            <w:vAlign w:val="top"/>
          </w:tcPr>
          <w:p w14:paraId="5956AAA3">
            <w:pPr>
              <w:spacing w:before="55" w:line="228" w:lineRule="auto"/>
              <w:ind w:left="362"/>
              <w:rPr>
                <w:rFonts w:ascii="宋体" w:hAnsi="宋体" w:eastAsia="宋体" w:cs="宋体"/>
                <w:sz w:val="20"/>
                <w:szCs w:val="20"/>
              </w:rPr>
            </w:pPr>
            <w:r>
              <w:rPr>
                <w:rFonts w:ascii="宋体" w:hAnsi="宋体" w:eastAsia="宋体" w:cs="宋体"/>
                <w:spacing w:val="8"/>
                <w:sz w:val="20"/>
                <w:szCs w:val="20"/>
              </w:rPr>
              <w:t>三</w:t>
            </w:r>
            <w:r>
              <w:rPr>
                <w:rFonts w:ascii="宋体" w:hAnsi="宋体" w:eastAsia="宋体" w:cs="宋体"/>
                <w:spacing w:val="7"/>
                <w:sz w:val="20"/>
                <w:szCs w:val="20"/>
              </w:rPr>
              <w:t>氯乙烯</w:t>
            </w:r>
          </w:p>
        </w:tc>
        <w:tc>
          <w:tcPr>
            <w:tcW w:w="1445" w:type="dxa"/>
            <w:vAlign w:val="top"/>
          </w:tcPr>
          <w:p w14:paraId="7293391E">
            <w:pPr>
              <w:spacing w:before="53" w:line="264" w:lineRule="exact"/>
              <w:ind w:left="507"/>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.2</w:t>
            </w:r>
          </w:p>
        </w:tc>
        <w:tc>
          <w:tcPr>
            <w:tcW w:w="2096" w:type="dxa"/>
            <w:vAlign w:val="top"/>
          </w:tcPr>
          <w:p w14:paraId="5D28258E">
            <w:pPr>
              <w:spacing w:before="53" w:line="264" w:lineRule="exact"/>
              <w:ind w:left="833"/>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.2</w:t>
            </w:r>
          </w:p>
        </w:tc>
        <w:tc>
          <w:tcPr>
            <w:tcW w:w="2097" w:type="dxa"/>
            <w:vAlign w:val="top"/>
          </w:tcPr>
          <w:p w14:paraId="75810907">
            <w:pPr>
              <w:spacing w:before="53" w:line="264" w:lineRule="exact"/>
              <w:ind w:left="832"/>
              <w:rPr>
                <w:rFonts w:ascii="Times New Roman" w:hAnsi="Times New Roman" w:eastAsia="Times New Roman" w:cs="Times New Roman"/>
                <w:sz w:val="20"/>
                <w:szCs w:val="20"/>
              </w:rPr>
            </w:pPr>
            <w:r>
              <w:rPr>
                <w:rFonts w:ascii="宋体" w:hAnsi="宋体" w:eastAsia="宋体" w:cs="宋体"/>
                <w:position w:val="1"/>
                <w:sz w:val="20"/>
                <w:szCs w:val="20"/>
              </w:rPr>
              <w:t>＜</w:t>
            </w:r>
            <w:r>
              <w:rPr>
                <w:rFonts w:ascii="Times New Roman" w:hAnsi="Times New Roman" w:eastAsia="Times New Roman" w:cs="Times New Roman"/>
                <w:position w:val="1"/>
                <w:sz w:val="20"/>
                <w:szCs w:val="20"/>
              </w:rPr>
              <w:t>1.2</w:t>
            </w:r>
          </w:p>
        </w:tc>
        <w:tc>
          <w:tcPr>
            <w:tcW w:w="748" w:type="dxa"/>
            <w:tcBorders>
              <w:right w:val="nil"/>
            </w:tcBorders>
            <w:vAlign w:val="top"/>
          </w:tcPr>
          <w:p w14:paraId="0F6BDB41">
            <w:pPr>
              <w:spacing w:before="18" w:line="281" w:lineRule="exact"/>
              <w:ind w:left="140"/>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μ</w:t>
            </w:r>
            <w:r>
              <w:rPr>
                <w:rFonts w:ascii="Times New Roman" w:hAnsi="Times New Roman" w:eastAsia="Times New Roman" w:cs="Times New Roman"/>
                <w:position w:val="4"/>
                <w:sz w:val="20"/>
                <w:szCs w:val="20"/>
              </w:rPr>
              <w:t>g</w:t>
            </w:r>
            <w:r>
              <w:rPr>
                <w:rFonts w:ascii="Times New Roman" w:hAnsi="Times New Roman" w:eastAsia="Times New Roman" w:cs="Times New Roman"/>
                <w:spacing w:val="4"/>
                <w:position w:val="4"/>
                <w:sz w:val="20"/>
                <w:szCs w:val="20"/>
              </w:rPr>
              <w:t>/</w:t>
            </w:r>
            <w:r>
              <w:rPr>
                <w:rFonts w:ascii="Times New Roman" w:hAnsi="Times New Roman" w:eastAsia="Times New Roman" w:cs="Times New Roman"/>
                <w:position w:val="4"/>
                <w:sz w:val="20"/>
                <w:szCs w:val="20"/>
              </w:rPr>
              <w:t>kg</w:t>
            </w:r>
          </w:p>
        </w:tc>
      </w:tr>
      <w:tr w14:paraId="31D2F7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7C1873F8">
            <w:pPr>
              <w:spacing w:before="91" w:line="195"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6</w:t>
            </w:r>
          </w:p>
        </w:tc>
        <w:tc>
          <w:tcPr>
            <w:tcW w:w="1553" w:type="dxa"/>
            <w:vAlign w:val="top"/>
          </w:tcPr>
          <w:p w14:paraId="459BF568">
            <w:pPr>
              <w:spacing w:before="56" w:line="233" w:lineRule="auto"/>
              <w:ind w:left="133"/>
              <w:rPr>
                <w:rFonts w:ascii="宋体" w:hAnsi="宋体" w:eastAsia="宋体" w:cs="宋体"/>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2,3-</w:t>
            </w:r>
            <w:r>
              <w:rPr>
                <w:rFonts w:ascii="宋体" w:hAnsi="宋体" w:eastAsia="宋体" w:cs="宋体"/>
                <w:spacing w:val="3"/>
                <w:sz w:val="20"/>
                <w:szCs w:val="20"/>
              </w:rPr>
              <w:t>三氯丙烷</w:t>
            </w:r>
          </w:p>
        </w:tc>
        <w:tc>
          <w:tcPr>
            <w:tcW w:w="1445" w:type="dxa"/>
            <w:vAlign w:val="top"/>
          </w:tcPr>
          <w:p w14:paraId="25ACBB6A">
            <w:pPr>
              <w:spacing w:before="53" w:line="264" w:lineRule="exact"/>
              <w:ind w:left="507"/>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.2</w:t>
            </w:r>
          </w:p>
        </w:tc>
        <w:tc>
          <w:tcPr>
            <w:tcW w:w="2096" w:type="dxa"/>
            <w:vAlign w:val="top"/>
          </w:tcPr>
          <w:p w14:paraId="381D1E54">
            <w:pPr>
              <w:spacing w:before="53" w:line="264" w:lineRule="exact"/>
              <w:ind w:left="833"/>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.2</w:t>
            </w:r>
          </w:p>
        </w:tc>
        <w:tc>
          <w:tcPr>
            <w:tcW w:w="2097" w:type="dxa"/>
            <w:vAlign w:val="top"/>
          </w:tcPr>
          <w:p w14:paraId="6705CAE4">
            <w:pPr>
              <w:spacing w:before="53" w:line="264" w:lineRule="exact"/>
              <w:ind w:left="832"/>
              <w:rPr>
                <w:rFonts w:ascii="Times New Roman" w:hAnsi="Times New Roman" w:eastAsia="Times New Roman" w:cs="Times New Roman"/>
                <w:sz w:val="20"/>
                <w:szCs w:val="20"/>
              </w:rPr>
            </w:pPr>
            <w:r>
              <w:rPr>
                <w:rFonts w:ascii="宋体" w:hAnsi="宋体" w:eastAsia="宋体" w:cs="宋体"/>
                <w:position w:val="1"/>
                <w:sz w:val="20"/>
                <w:szCs w:val="20"/>
              </w:rPr>
              <w:t>＜</w:t>
            </w:r>
            <w:r>
              <w:rPr>
                <w:rFonts w:ascii="Times New Roman" w:hAnsi="Times New Roman" w:eastAsia="Times New Roman" w:cs="Times New Roman"/>
                <w:position w:val="1"/>
                <w:sz w:val="20"/>
                <w:szCs w:val="20"/>
              </w:rPr>
              <w:t>1.2</w:t>
            </w:r>
          </w:p>
        </w:tc>
        <w:tc>
          <w:tcPr>
            <w:tcW w:w="748" w:type="dxa"/>
            <w:tcBorders>
              <w:right w:val="nil"/>
            </w:tcBorders>
            <w:vAlign w:val="top"/>
          </w:tcPr>
          <w:p w14:paraId="0F31981C">
            <w:pPr>
              <w:spacing w:before="18" w:line="281" w:lineRule="exact"/>
              <w:ind w:left="140"/>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μ</w:t>
            </w:r>
            <w:r>
              <w:rPr>
                <w:rFonts w:ascii="Times New Roman" w:hAnsi="Times New Roman" w:eastAsia="Times New Roman" w:cs="Times New Roman"/>
                <w:position w:val="4"/>
                <w:sz w:val="20"/>
                <w:szCs w:val="20"/>
              </w:rPr>
              <w:t>g</w:t>
            </w:r>
            <w:r>
              <w:rPr>
                <w:rFonts w:ascii="Times New Roman" w:hAnsi="Times New Roman" w:eastAsia="Times New Roman" w:cs="Times New Roman"/>
                <w:spacing w:val="4"/>
                <w:position w:val="4"/>
                <w:sz w:val="20"/>
                <w:szCs w:val="20"/>
              </w:rPr>
              <w:t>/</w:t>
            </w:r>
            <w:r>
              <w:rPr>
                <w:rFonts w:ascii="Times New Roman" w:hAnsi="Times New Roman" w:eastAsia="Times New Roman" w:cs="Times New Roman"/>
                <w:position w:val="4"/>
                <w:sz w:val="20"/>
                <w:szCs w:val="20"/>
              </w:rPr>
              <w:t>kg</w:t>
            </w:r>
          </w:p>
        </w:tc>
      </w:tr>
      <w:tr w14:paraId="36D44E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0AAC5DDE">
            <w:pPr>
              <w:spacing w:before="91" w:line="195"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7</w:t>
            </w:r>
          </w:p>
        </w:tc>
        <w:tc>
          <w:tcPr>
            <w:tcW w:w="1553" w:type="dxa"/>
            <w:vAlign w:val="top"/>
          </w:tcPr>
          <w:p w14:paraId="731E3D53">
            <w:pPr>
              <w:spacing w:before="55" w:line="228" w:lineRule="auto"/>
              <w:ind w:left="468"/>
              <w:rPr>
                <w:rFonts w:ascii="宋体" w:hAnsi="宋体" w:eastAsia="宋体" w:cs="宋体"/>
                <w:sz w:val="20"/>
                <w:szCs w:val="20"/>
              </w:rPr>
            </w:pPr>
            <w:r>
              <w:rPr>
                <w:rFonts w:ascii="宋体" w:hAnsi="宋体" w:eastAsia="宋体" w:cs="宋体"/>
                <w:spacing w:val="6"/>
                <w:sz w:val="20"/>
                <w:szCs w:val="20"/>
              </w:rPr>
              <w:t>氯乙</w:t>
            </w:r>
            <w:r>
              <w:rPr>
                <w:rFonts w:ascii="宋体" w:hAnsi="宋体" w:eastAsia="宋体" w:cs="宋体"/>
                <w:spacing w:val="5"/>
                <w:sz w:val="20"/>
                <w:szCs w:val="20"/>
              </w:rPr>
              <w:t>烯</w:t>
            </w:r>
          </w:p>
        </w:tc>
        <w:tc>
          <w:tcPr>
            <w:tcW w:w="1445" w:type="dxa"/>
            <w:vAlign w:val="top"/>
          </w:tcPr>
          <w:p w14:paraId="21579262">
            <w:pPr>
              <w:spacing w:before="55" w:line="241" w:lineRule="auto"/>
              <w:ind w:left="507"/>
              <w:rPr>
                <w:rFonts w:ascii="Times New Roman" w:hAnsi="Times New Roman" w:eastAsia="Times New Roman" w:cs="Times New Roman"/>
                <w:sz w:val="20"/>
                <w:szCs w:val="20"/>
              </w:rPr>
            </w:pPr>
            <w:r>
              <w:rPr>
                <w:rFonts w:ascii="宋体" w:hAnsi="宋体" w:eastAsia="宋体" w:cs="宋体"/>
                <w:spacing w:val="1"/>
                <w:sz w:val="20"/>
                <w:szCs w:val="20"/>
              </w:rPr>
              <w:t>＜</w:t>
            </w:r>
            <w:r>
              <w:rPr>
                <w:rFonts w:ascii="Times New Roman" w:hAnsi="Times New Roman" w:eastAsia="Times New Roman" w:cs="Times New Roman"/>
                <w:sz w:val="20"/>
                <w:szCs w:val="20"/>
              </w:rPr>
              <w:t>1.0</w:t>
            </w:r>
          </w:p>
        </w:tc>
        <w:tc>
          <w:tcPr>
            <w:tcW w:w="2096" w:type="dxa"/>
            <w:vAlign w:val="top"/>
          </w:tcPr>
          <w:p w14:paraId="770675D3">
            <w:pPr>
              <w:spacing w:before="55" w:line="241" w:lineRule="auto"/>
              <w:ind w:left="833"/>
              <w:rPr>
                <w:rFonts w:ascii="Times New Roman" w:hAnsi="Times New Roman" w:eastAsia="Times New Roman" w:cs="Times New Roman"/>
                <w:sz w:val="20"/>
                <w:szCs w:val="20"/>
              </w:rPr>
            </w:pPr>
            <w:r>
              <w:rPr>
                <w:rFonts w:ascii="宋体" w:hAnsi="宋体" w:eastAsia="宋体" w:cs="宋体"/>
                <w:spacing w:val="1"/>
                <w:sz w:val="20"/>
                <w:szCs w:val="20"/>
              </w:rPr>
              <w:t>＜</w:t>
            </w:r>
            <w:r>
              <w:rPr>
                <w:rFonts w:ascii="Times New Roman" w:hAnsi="Times New Roman" w:eastAsia="Times New Roman" w:cs="Times New Roman"/>
                <w:sz w:val="20"/>
                <w:szCs w:val="20"/>
              </w:rPr>
              <w:t>1.0</w:t>
            </w:r>
          </w:p>
        </w:tc>
        <w:tc>
          <w:tcPr>
            <w:tcW w:w="2097" w:type="dxa"/>
            <w:vAlign w:val="top"/>
          </w:tcPr>
          <w:p w14:paraId="39584714">
            <w:pPr>
              <w:spacing w:before="55" w:line="241" w:lineRule="auto"/>
              <w:ind w:left="832"/>
              <w:rPr>
                <w:rFonts w:ascii="Times New Roman" w:hAnsi="Times New Roman" w:eastAsia="Times New Roman" w:cs="Times New Roman"/>
                <w:sz w:val="20"/>
                <w:szCs w:val="20"/>
              </w:rPr>
            </w:pPr>
            <w:r>
              <w:rPr>
                <w:rFonts w:ascii="宋体" w:hAnsi="宋体" w:eastAsia="宋体" w:cs="宋体"/>
                <w:spacing w:val="1"/>
                <w:sz w:val="20"/>
                <w:szCs w:val="20"/>
              </w:rPr>
              <w:t>＜</w:t>
            </w:r>
            <w:r>
              <w:rPr>
                <w:rFonts w:ascii="Times New Roman" w:hAnsi="Times New Roman" w:eastAsia="Times New Roman" w:cs="Times New Roman"/>
                <w:spacing w:val="1"/>
                <w:sz w:val="20"/>
                <w:szCs w:val="20"/>
              </w:rPr>
              <w:t>1.</w:t>
            </w:r>
            <w:r>
              <w:rPr>
                <w:rFonts w:ascii="Times New Roman" w:hAnsi="Times New Roman" w:eastAsia="Times New Roman" w:cs="Times New Roman"/>
                <w:sz w:val="20"/>
                <w:szCs w:val="20"/>
              </w:rPr>
              <w:t>0</w:t>
            </w:r>
          </w:p>
        </w:tc>
        <w:tc>
          <w:tcPr>
            <w:tcW w:w="748" w:type="dxa"/>
            <w:tcBorders>
              <w:right w:val="nil"/>
            </w:tcBorders>
            <w:vAlign w:val="top"/>
          </w:tcPr>
          <w:p w14:paraId="37710E4E">
            <w:pPr>
              <w:spacing w:before="17" w:line="281" w:lineRule="exact"/>
              <w:ind w:left="140"/>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μ</w:t>
            </w:r>
            <w:r>
              <w:rPr>
                <w:rFonts w:ascii="Times New Roman" w:hAnsi="Times New Roman" w:eastAsia="Times New Roman" w:cs="Times New Roman"/>
                <w:position w:val="4"/>
                <w:sz w:val="20"/>
                <w:szCs w:val="20"/>
              </w:rPr>
              <w:t>g</w:t>
            </w:r>
            <w:r>
              <w:rPr>
                <w:rFonts w:ascii="Times New Roman" w:hAnsi="Times New Roman" w:eastAsia="Times New Roman" w:cs="Times New Roman"/>
                <w:spacing w:val="4"/>
                <w:position w:val="4"/>
                <w:sz w:val="20"/>
                <w:szCs w:val="20"/>
              </w:rPr>
              <w:t>/</w:t>
            </w:r>
            <w:r>
              <w:rPr>
                <w:rFonts w:ascii="Times New Roman" w:hAnsi="Times New Roman" w:eastAsia="Times New Roman" w:cs="Times New Roman"/>
                <w:position w:val="4"/>
                <w:sz w:val="20"/>
                <w:szCs w:val="20"/>
              </w:rPr>
              <w:t>kg</w:t>
            </w:r>
          </w:p>
        </w:tc>
      </w:tr>
      <w:tr w14:paraId="53B730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544833B1">
            <w:pPr>
              <w:spacing w:before="90" w:line="195"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8</w:t>
            </w:r>
          </w:p>
        </w:tc>
        <w:tc>
          <w:tcPr>
            <w:tcW w:w="1553" w:type="dxa"/>
            <w:vAlign w:val="top"/>
          </w:tcPr>
          <w:p w14:paraId="1BA2D0C6">
            <w:pPr>
              <w:spacing w:before="54" w:line="227" w:lineRule="auto"/>
              <w:ind w:left="679"/>
              <w:rPr>
                <w:rFonts w:ascii="宋体" w:hAnsi="宋体" w:eastAsia="宋体" w:cs="宋体"/>
                <w:sz w:val="20"/>
                <w:szCs w:val="20"/>
              </w:rPr>
            </w:pPr>
            <w:r>
              <w:rPr>
                <w:rFonts w:ascii="宋体" w:hAnsi="宋体" w:eastAsia="宋体" w:cs="宋体"/>
                <w:sz w:val="20"/>
                <w:szCs w:val="20"/>
              </w:rPr>
              <w:t>苯</w:t>
            </w:r>
          </w:p>
        </w:tc>
        <w:tc>
          <w:tcPr>
            <w:tcW w:w="1445" w:type="dxa"/>
            <w:vAlign w:val="top"/>
          </w:tcPr>
          <w:p w14:paraId="67591E84">
            <w:pPr>
              <w:spacing w:before="90" w:line="195" w:lineRule="auto"/>
              <w:ind w:left="544"/>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7</w:t>
            </w:r>
            <w:r>
              <w:rPr>
                <w:rFonts w:ascii="Times New Roman" w:hAnsi="Times New Roman" w:eastAsia="Times New Roman" w:cs="Times New Roman"/>
                <w:spacing w:val="3"/>
                <w:sz w:val="20"/>
                <w:szCs w:val="20"/>
              </w:rPr>
              <w:t>1.9</w:t>
            </w:r>
          </w:p>
        </w:tc>
        <w:tc>
          <w:tcPr>
            <w:tcW w:w="2096" w:type="dxa"/>
            <w:vAlign w:val="top"/>
          </w:tcPr>
          <w:p w14:paraId="59929B25">
            <w:pPr>
              <w:spacing w:before="91" w:line="195" w:lineRule="auto"/>
              <w:ind w:left="86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43.</w:t>
            </w:r>
            <w:r>
              <w:rPr>
                <w:rFonts w:ascii="Times New Roman" w:hAnsi="Times New Roman" w:eastAsia="Times New Roman" w:cs="Times New Roman"/>
                <w:spacing w:val="4"/>
                <w:sz w:val="20"/>
                <w:szCs w:val="20"/>
              </w:rPr>
              <w:t>3</w:t>
            </w:r>
          </w:p>
        </w:tc>
        <w:tc>
          <w:tcPr>
            <w:tcW w:w="2097" w:type="dxa"/>
            <w:vAlign w:val="top"/>
          </w:tcPr>
          <w:p w14:paraId="0E3B41EC">
            <w:pPr>
              <w:spacing w:before="91" w:line="195" w:lineRule="auto"/>
              <w:ind w:left="865"/>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4</w:t>
            </w:r>
            <w:r>
              <w:rPr>
                <w:rFonts w:ascii="Times New Roman" w:hAnsi="Times New Roman" w:eastAsia="Times New Roman" w:cs="Times New Roman"/>
                <w:spacing w:val="4"/>
                <w:sz w:val="20"/>
                <w:szCs w:val="20"/>
              </w:rPr>
              <w:t>0.9</w:t>
            </w:r>
          </w:p>
        </w:tc>
        <w:tc>
          <w:tcPr>
            <w:tcW w:w="748" w:type="dxa"/>
            <w:tcBorders>
              <w:right w:val="nil"/>
            </w:tcBorders>
            <w:vAlign w:val="top"/>
          </w:tcPr>
          <w:p w14:paraId="49F405F8">
            <w:pPr>
              <w:spacing w:before="17" w:line="281" w:lineRule="exact"/>
              <w:ind w:left="140"/>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μ</w:t>
            </w:r>
            <w:r>
              <w:rPr>
                <w:rFonts w:ascii="Times New Roman" w:hAnsi="Times New Roman" w:eastAsia="Times New Roman" w:cs="Times New Roman"/>
                <w:position w:val="4"/>
                <w:sz w:val="20"/>
                <w:szCs w:val="20"/>
              </w:rPr>
              <w:t>g</w:t>
            </w:r>
            <w:r>
              <w:rPr>
                <w:rFonts w:ascii="Times New Roman" w:hAnsi="Times New Roman" w:eastAsia="Times New Roman" w:cs="Times New Roman"/>
                <w:spacing w:val="4"/>
                <w:position w:val="4"/>
                <w:sz w:val="20"/>
                <w:szCs w:val="20"/>
              </w:rPr>
              <w:t>/</w:t>
            </w:r>
            <w:r>
              <w:rPr>
                <w:rFonts w:ascii="Times New Roman" w:hAnsi="Times New Roman" w:eastAsia="Times New Roman" w:cs="Times New Roman"/>
                <w:position w:val="4"/>
                <w:sz w:val="20"/>
                <w:szCs w:val="20"/>
              </w:rPr>
              <w:t>kg</w:t>
            </w:r>
          </w:p>
        </w:tc>
      </w:tr>
      <w:tr w14:paraId="4D5C2B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45BD8CEC">
            <w:pPr>
              <w:spacing w:before="90" w:line="195"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9</w:t>
            </w:r>
          </w:p>
        </w:tc>
        <w:tc>
          <w:tcPr>
            <w:tcW w:w="1553" w:type="dxa"/>
            <w:vAlign w:val="top"/>
          </w:tcPr>
          <w:p w14:paraId="061F1CCB">
            <w:pPr>
              <w:spacing w:before="54" w:line="227" w:lineRule="auto"/>
              <w:ind w:left="574"/>
              <w:rPr>
                <w:rFonts w:ascii="宋体" w:hAnsi="宋体" w:eastAsia="宋体" w:cs="宋体"/>
                <w:sz w:val="20"/>
                <w:szCs w:val="20"/>
              </w:rPr>
            </w:pPr>
            <w:r>
              <w:rPr>
                <w:rFonts w:ascii="宋体" w:hAnsi="宋体" w:eastAsia="宋体" w:cs="宋体"/>
                <w:spacing w:val="3"/>
                <w:sz w:val="20"/>
                <w:szCs w:val="20"/>
              </w:rPr>
              <w:t>氯苯</w:t>
            </w:r>
          </w:p>
        </w:tc>
        <w:tc>
          <w:tcPr>
            <w:tcW w:w="1445" w:type="dxa"/>
            <w:vAlign w:val="top"/>
          </w:tcPr>
          <w:p w14:paraId="3408E788">
            <w:pPr>
              <w:spacing w:before="54" w:line="242" w:lineRule="auto"/>
              <w:ind w:left="507"/>
              <w:rPr>
                <w:rFonts w:ascii="Times New Roman" w:hAnsi="Times New Roman" w:eastAsia="Times New Roman" w:cs="Times New Roman"/>
                <w:sz w:val="20"/>
                <w:szCs w:val="20"/>
              </w:rPr>
            </w:pPr>
            <w:r>
              <w:rPr>
                <w:rFonts w:ascii="宋体" w:hAnsi="宋体" w:eastAsia="宋体" w:cs="宋体"/>
                <w:spacing w:val="-1"/>
                <w:sz w:val="20"/>
                <w:szCs w:val="20"/>
              </w:rPr>
              <w:t>＜</w:t>
            </w:r>
            <w:r>
              <w:rPr>
                <w:rFonts w:ascii="Times New Roman" w:hAnsi="Times New Roman" w:eastAsia="Times New Roman" w:cs="Times New Roman"/>
                <w:spacing w:val="-1"/>
                <w:sz w:val="20"/>
                <w:szCs w:val="20"/>
              </w:rPr>
              <w:t>1</w:t>
            </w:r>
            <w:r>
              <w:rPr>
                <w:rFonts w:ascii="Times New Roman" w:hAnsi="Times New Roman" w:eastAsia="Times New Roman" w:cs="Times New Roman"/>
                <w:sz w:val="20"/>
                <w:szCs w:val="20"/>
              </w:rPr>
              <w:t>.2</w:t>
            </w:r>
          </w:p>
        </w:tc>
        <w:tc>
          <w:tcPr>
            <w:tcW w:w="2096" w:type="dxa"/>
            <w:vAlign w:val="top"/>
          </w:tcPr>
          <w:p w14:paraId="742603A0">
            <w:pPr>
              <w:spacing w:before="54" w:line="242" w:lineRule="auto"/>
              <w:ind w:left="833"/>
              <w:rPr>
                <w:rFonts w:ascii="Times New Roman" w:hAnsi="Times New Roman" w:eastAsia="Times New Roman" w:cs="Times New Roman"/>
                <w:sz w:val="20"/>
                <w:szCs w:val="20"/>
              </w:rPr>
            </w:pPr>
            <w:r>
              <w:rPr>
                <w:rFonts w:ascii="宋体" w:hAnsi="宋体" w:eastAsia="宋体" w:cs="宋体"/>
                <w:spacing w:val="-1"/>
                <w:sz w:val="20"/>
                <w:szCs w:val="20"/>
              </w:rPr>
              <w:t>＜</w:t>
            </w:r>
            <w:r>
              <w:rPr>
                <w:rFonts w:ascii="Times New Roman" w:hAnsi="Times New Roman" w:eastAsia="Times New Roman" w:cs="Times New Roman"/>
                <w:spacing w:val="-1"/>
                <w:sz w:val="20"/>
                <w:szCs w:val="20"/>
              </w:rPr>
              <w:t>1</w:t>
            </w:r>
            <w:r>
              <w:rPr>
                <w:rFonts w:ascii="Times New Roman" w:hAnsi="Times New Roman" w:eastAsia="Times New Roman" w:cs="Times New Roman"/>
                <w:sz w:val="20"/>
                <w:szCs w:val="20"/>
              </w:rPr>
              <w:t>.2</w:t>
            </w:r>
          </w:p>
        </w:tc>
        <w:tc>
          <w:tcPr>
            <w:tcW w:w="2097" w:type="dxa"/>
            <w:vAlign w:val="top"/>
          </w:tcPr>
          <w:p w14:paraId="69C454DE">
            <w:pPr>
              <w:spacing w:before="54" w:line="242" w:lineRule="auto"/>
              <w:ind w:left="832"/>
              <w:rPr>
                <w:rFonts w:ascii="Times New Roman" w:hAnsi="Times New Roman" w:eastAsia="Times New Roman" w:cs="Times New Roman"/>
                <w:sz w:val="20"/>
                <w:szCs w:val="20"/>
              </w:rPr>
            </w:pPr>
            <w:r>
              <w:rPr>
                <w:rFonts w:ascii="宋体" w:hAnsi="宋体" w:eastAsia="宋体" w:cs="宋体"/>
                <w:sz w:val="20"/>
                <w:szCs w:val="20"/>
              </w:rPr>
              <w:t>＜</w:t>
            </w:r>
            <w:r>
              <w:rPr>
                <w:rFonts w:ascii="Times New Roman" w:hAnsi="Times New Roman" w:eastAsia="Times New Roman" w:cs="Times New Roman"/>
                <w:sz w:val="20"/>
                <w:szCs w:val="20"/>
              </w:rPr>
              <w:t>1.2</w:t>
            </w:r>
          </w:p>
        </w:tc>
        <w:tc>
          <w:tcPr>
            <w:tcW w:w="748" w:type="dxa"/>
            <w:tcBorders>
              <w:right w:val="nil"/>
            </w:tcBorders>
            <w:vAlign w:val="top"/>
          </w:tcPr>
          <w:p w14:paraId="20B515A8">
            <w:pPr>
              <w:spacing w:before="17" w:line="281" w:lineRule="exact"/>
              <w:ind w:left="140"/>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μ</w:t>
            </w:r>
            <w:r>
              <w:rPr>
                <w:rFonts w:ascii="Times New Roman" w:hAnsi="Times New Roman" w:eastAsia="Times New Roman" w:cs="Times New Roman"/>
                <w:position w:val="4"/>
                <w:sz w:val="20"/>
                <w:szCs w:val="20"/>
              </w:rPr>
              <w:t>g</w:t>
            </w:r>
            <w:r>
              <w:rPr>
                <w:rFonts w:ascii="Times New Roman" w:hAnsi="Times New Roman" w:eastAsia="Times New Roman" w:cs="Times New Roman"/>
                <w:spacing w:val="4"/>
                <w:position w:val="4"/>
                <w:sz w:val="20"/>
                <w:szCs w:val="20"/>
              </w:rPr>
              <w:t>/</w:t>
            </w:r>
            <w:r>
              <w:rPr>
                <w:rFonts w:ascii="Times New Roman" w:hAnsi="Times New Roman" w:eastAsia="Times New Roman" w:cs="Times New Roman"/>
                <w:position w:val="4"/>
                <w:sz w:val="20"/>
                <w:szCs w:val="20"/>
              </w:rPr>
              <w:t>kg</w:t>
            </w:r>
          </w:p>
        </w:tc>
      </w:tr>
      <w:tr w14:paraId="0961F3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2B533FA2">
            <w:pPr>
              <w:spacing w:before="90" w:line="195"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0</w:t>
            </w:r>
          </w:p>
        </w:tc>
        <w:tc>
          <w:tcPr>
            <w:tcW w:w="1553" w:type="dxa"/>
            <w:vAlign w:val="top"/>
          </w:tcPr>
          <w:p w14:paraId="0D80BAA2">
            <w:pPr>
              <w:spacing w:before="54" w:line="232" w:lineRule="auto"/>
              <w:ind w:left="318"/>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w:t>
            </w:r>
            <w:r>
              <w:rPr>
                <w:rFonts w:ascii="宋体" w:hAnsi="宋体" w:eastAsia="宋体" w:cs="宋体"/>
                <w:spacing w:val="2"/>
                <w:sz w:val="20"/>
                <w:szCs w:val="20"/>
              </w:rPr>
              <w:t>二氯苯</w:t>
            </w:r>
          </w:p>
        </w:tc>
        <w:tc>
          <w:tcPr>
            <w:tcW w:w="1445" w:type="dxa"/>
            <w:vAlign w:val="top"/>
          </w:tcPr>
          <w:p w14:paraId="09A8A09A">
            <w:pPr>
              <w:spacing w:before="54" w:line="263" w:lineRule="exact"/>
              <w:ind w:left="507"/>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5</w:t>
            </w:r>
          </w:p>
        </w:tc>
        <w:tc>
          <w:tcPr>
            <w:tcW w:w="2096" w:type="dxa"/>
            <w:vAlign w:val="top"/>
          </w:tcPr>
          <w:p w14:paraId="646FC5C7">
            <w:pPr>
              <w:spacing w:before="54" w:line="263" w:lineRule="exact"/>
              <w:ind w:left="833"/>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5</w:t>
            </w:r>
          </w:p>
        </w:tc>
        <w:tc>
          <w:tcPr>
            <w:tcW w:w="2097" w:type="dxa"/>
            <w:vAlign w:val="top"/>
          </w:tcPr>
          <w:p w14:paraId="28B069E0">
            <w:pPr>
              <w:spacing w:before="54" w:line="263" w:lineRule="exact"/>
              <w:ind w:left="832"/>
              <w:rPr>
                <w:rFonts w:ascii="Times New Roman" w:hAnsi="Times New Roman" w:eastAsia="Times New Roman" w:cs="Times New Roman"/>
                <w:sz w:val="20"/>
                <w:szCs w:val="20"/>
              </w:rPr>
            </w:pPr>
            <w:r>
              <w:rPr>
                <w:rFonts w:ascii="宋体" w:hAnsi="宋体" w:eastAsia="宋体" w:cs="宋体"/>
                <w:spacing w:val="2"/>
                <w:position w:val="1"/>
                <w:sz w:val="20"/>
                <w:szCs w:val="20"/>
              </w:rPr>
              <w:t>＜</w:t>
            </w:r>
            <w:r>
              <w:rPr>
                <w:rFonts w:ascii="Times New Roman" w:hAnsi="Times New Roman" w:eastAsia="Times New Roman" w:cs="Times New Roman"/>
                <w:spacing w:val="2"/>
                <w:position w:val="1"/>
                <w:sz w:val="20"/>
                <w:szCs w:val="20"/>
              </w:rPr>
              <w:t>1</w:t>
            </w:r>
            <w:r>
              <w:rPr>
                <w:rFonts w:ascii="Times New Roman" w:hAnsi="Times New Roman" w:eastAsia="Times New Roman" w:cs="Times New Roman"/>
                <w:spacing w:val="1"/>
                <w:position w:val="1"/>
                <w:sz w:val="20"/>
                <w:szCs w:val="20"/>
              </w:rPr>
              <w:t>.5</w:t>
            </w:r>
          </w:p>
        </w:tc>
        <w:tc>
          <w:tcPr>
            <w:tcW w:w="748" w:type="dxa"/>
            <w:tcBorders>
              <w:right w:val="nil"/>
            </w:tcBorders>
            <w:vAlign w:val="top"/>
          </w:tcPr>
          <w:p w14:paraId="04A8A0CA">
            <w:pPr>
              <w:spacing w:before="16" w:line="281" w:lineRule="exact"/>
              <w:ind w:left="140"/>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μ</w:t>
            </w:r>
            <w:r>
              <w:rPr>
                <w:rFonts w:ascii="Times New Roman" w:hAnsi="Times New Roman" w:eastAsia="Times New Roman" w:cs="Times New Roman"/>
                <w:position w:val="4"/>
                <w:sz w:val="20"/>
                <w:szCs w:val="20"/>
              </w:rPr>
              <w:t>g</w:t>
            </w:r>
            <w:r>
              <w:rPr>
                <w:rFonts w:ascii="Times New Roman" w:hAnsi="Times New Roman" w:eastAsia="Times New Roman" w:cs="Times New Roman"/>
                <w:spacing w:val="4"/>
                <w:position w:val="4"/>
                <w:sz w:val="20"/>
                <w:szCs w:val="20"/>
              </w:rPr>
              <w:t>/</w:t>
            </w:r>
            <w:r>
              <w:rPr>
                <w:rFonts w:ascii="Times New Roman" w:hAnsi="Times New Roman" w:eastAsia="Times New Roman" w:cs="Times New Roman"/>
                <w:position w:val="4"/>
                <w:sz w:val="20"/>
                <w:szCs w:val="20"/>
              </w:rPr>
              <w:t>kg</w:t>
            </w:r>
          </w:p>
        </w:tc>
      </w:tr>
      <w:tr w14:paraId="47F330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620ADBCC">
            <w:pPr>
              <w:spacing w:before="92" w:line="195"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1</w:t>
            </w:r>
          </w:p>
        </w:tc>
        <w:tc>
          <w:tcPr>
            <w:tcW w:w="1553" w:type="dxa"/>
            <w:vAlign w:val="top"/>
          </w:tcPr>
          <w:p w14:paraId="42ACCE4E">
            <w:pPr>
              <w:spacing w:before="56" w:line="232" w:lineRule="auto"/>
              <w:ind w:left="318"/>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4</w:t>
            </w:r>
            <w:r>
              <w:rPr>
                <w:rFonts w:ascii="Times New Roman" w:hAnsi="Times New Roman" w:eastAsia="Times New Roman" w:cs="Times New Roman"/>
                <w:spacing w:val="2"/>
                <w:sz w:val="20"/>
                <w:szCs w:val="20"/>
              </w:rPr>
              <w:t>-</w:t>
            </w:r>
            <w:r>
              <w:rPr>
                <w:rFonts w:ascii="宋体" w:hAnsi="宋体" w:eastAsia="宋体" w:cs="宋体"/>
                <w:spacing w:val="2"/>
                <w:sz w:val="20"/>
                <w:szCs w:val="20"/>
              </w:rPr>
              <w:t>二氯苯</w:t>
            </w:r>
          </w:p>
        </w:tc>
        <w:tc>
          <w:tcPr>
            <w:tcW w:w="1445" w:type="dxa"/>
            <w:vAlign w:val="top"/>
          </w:tcPr>
          <w:p w14:paraId="3AF784F8">
            <w:pPr>
              <w:spacing w:before="53" w:line="264" w:lineRule="exact"/>
              <w:ind w:left="507"/>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5</w:t>
            </w:r>
          </w:p>
        </w:tc>
        <w:tc>
          <w:tcPr>
            <w:tcW w:w="2096" w:type="dxa"/>
            <w:vAlign w:val="top"/>
          </w:tcPr>
          <w:p w14:paraId="3EC5DBF9">
            <w:pPr>
              <w:spacing w:before="53" w:line="264" w:lineRule="exact"/>
              <w:ind w:left="833"/>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1.</w:t>
            </w:r>
            <w:r>
              <w:rPr>
                <w:rFonts w:ascii="Times New Roman" w:hAnsi="Times New Roman" w:eastAsia="Times New Roman" w:cs="Times New Roman"/>
                <w:position w:val="1"/>
                <w:sz w:val="20"/>
                <w:szCs w:val="20"/>
              </w:rPr>
              <w:t>5</w:t>
            </w:r>
          </w:p>
        </w:tc>
        <w:tc>
          <w:tcPr>
            <w:tcW w:w="2097" w:type="dxa"/>
            <w:vAlign w:val="top"/>
          </w:tcPr>
          <w:p w14:paraId="6A25B00B">
            <w:pPr>
              <w:spacing w:before="53" w:line="264" w:lineRule="exact"/>
              <w:ind w:left="832"/>
              <w:rPr>
                <w:rFonts w:ascii="Times New Roman" w:hAnsi="Times New Roman" w:eastAsia="Times New Roman" w:cs="Times New Roman"/>
                <w:sz w:val="20"/>
                <w:szCs w:val="20"/>
              </w:rPr>
            </w:pPr>
            <w:r>
              <w:rPr>
                <w:rFonts w:ascii="宋体" w:hAnsi="宋体" w:eastAsia="宋体" w:cs="宋体"/>
                <w:spacing w:val="2"/>
                <w:position w:val="1"/>
                <w:sz w:val="20"/>
                <w:szCs w:val="20"/>
              </w:rPr>
              <w:t>＜</w:t>
            </w:r>
            <w:r>
              <w:rPr>
                <w:rFonts w:ascii="Times New Roman" w:hAnsi="Times New Roman" w:eastAsia="Times New Roman" w:cs="Times New Roman"/>
                <w:spacing w:val="2"/>
                <w:position w:val="1"/>
                <w:sz w:val="20"/>
                <w:szCs w:val="20"/>
              </w:rPr>
              <w:t>1</w:t>
            </w:r>
            <w:r>
              <w:rPr>
                <w:rFonts w:ascii="Times New Roman" w:hAnsi="Times New Roman" w:eastAsia="Times New Roman" w:cs="Times New Roman"/>
                <w:spacing w:val="1"/>
                <w:position w:val="1"/>
                <w:sz w:val="20"/>
                <w:szCs w:val="20"/>
              </w:rPr>
              <w:t>.5</w:t>
            </w:r>
          </w:p>
        </w:tc>
        <w:tc>
          <w:tcPr>
            <w:tcW w:w="748" w:type="dxa"/>
            <w:tcBorders>
              <w:right w:val="nil"/>
            </w:tcBorders>
            <w:vAlign w:val="top"/>
          </w:tcPr>
          <w:p w14:paraId="3A53F657">
            <w:pPr>
              <w:spacing w:before="18" w:line="281" w:lineRule="exact"/>
              <w:ind w:left="140"/>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μ</w:t>
            </w:r>
            <w:r>
              <w:rPr>
                <w:rFonts w:ascii="Times New Roman" w:hAnsi="Times New Roman" w:eastAsia="Times New Roman" w:cs="Times New Roman"/>
                <w:position w:val="4"/>
                <w:sz w:val="20"/>
                <w:szCs w:val="20"/>
              </w:rPr>
              <w:t>g</w:t>
            </w:r>
            <w:r>
              <w:rPr>
                <w:rFonts w:ascii="Times New Roman" w:hAnsi="Times New Roman" w:eastAsia="Times New Roman" w:cs="Times New Roman"/>
                <w:spacing w:val="4"/>
                <w:position w:val="4"/>
                <w:sz w:val="20"/>
                <w:szCs w:val="20"/>
              </w:rPr>
              <w:t>/</w:t>
            </w:r>
            <w:r>
              <w:rPr>
                <w:rFonts w:ascii="Times New Roman" w:hAnsi="Times New Roman" w:eastAsia="Times New Roman" w:cs="Times New Roman"/>
                <w:position w:val="4"/>
                <w:sz w:val="20"/>
                <w:szCs w:val="20"/>
              </w:rPr>
              <w:t>kg</w:t>
            </w:r>
          </w:p>
        </w:tc>
      </w:tr>
      <w:tr w14:paraId="52905B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0704FA5D">
            <w:pPr>
              <w:spacing w:before="91" w:line="195"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2</w:t>
            </w:r>
          </w:p>
        </w:tc>
        <w:tc>
          <w:tcPr>
            <w:tcW w:w="1553" w:type="dxa"/>
            <w:vAlign w:val="top"/>
          </w:tcPr>
          <w:p w14:paraId="0E2F7591">
            <w:pPr>
              <w:spacing w:before="55" w:line="227" w:lineRule="auto"/>
              <w:ind w:left="591"/>
              <w:rPr>
                <w:rFonts w:ascii="宋体" w:hAnsi="宋体" w:eastAsia="宋体" w:cs="宋体"/>
                <w:sz w:val="20"/>
                <w:szCs w:val="20"/>
              </w:rPr>
            </w:pPr>
            <w:r>
              <w:rPr>
                <w:rFonts w:ascii="宋体" w:hAnsi="宋体" w:eastAsia="宋体" w:cs="宋体"/>
                <w:spacing w:val="-6"/>
                <w:sz w:val="20"/>
                <w:szCs w:val="20"/>
              </w:rPr>
              <w:t>乙</w:t>
            </w:r>
            <w:r>
              <w:rPr>
                <w:rFonts w:ascii="宋体" w:hAnsi="宋体" w:eastAsia="宋体" w:cs="宋体"/>
                <w:spacing w:val="-5"/>
                <w:sz w:val="20"/>
                <w:szCs w:val="20"/>
              </w:rPr>
              <w:t>苯</w:t>
            </w:r>
          </w:p>
        </w:tc>
        <w:tc>
          <w:tcPr>
            <w:tcW w:w="1445" w:type="dxa"/>
            <w:vAlign w:val="top"/>
          </w:tcPr>
          <w:p w14:paraId="7EEC38FB">
            <w:pPr>
              <w:spacing w:before="92" w:line="195" w:lineRule="auto"/>
              <w:ind w:left="54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6</w:t>
            </w:r>
            <w:r>
              <w:rPr>
                <w:rFonts w:ascii="Times New Roman" w:hAnsi="Times New Roman" w:eastAsia="Times New Roman" w:cs="Times New Roman"/>
                <w:spacing w:val="3"/>
                <w:sz w:val="20"/>
                <w:szCs w:val="20"/>
              </w:rPr>
              <w:t>3.6</w:t>
            </w:r>
          </w:p>
        </w:tc>
        <w:tc>
          <w:tcPr>
            <w:tcW w:w="2096" w:type="dxa"/>
            <w:vAlign w:val="top"/>
          </w:tcPr>
          <w:p w14:paraId="790F0378">
            <w:pPr>
              <w:spacing w:before="92" w:line="195" w:lineRule="auto"/>
              <w:ind w:left="86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63.7</w:t>
            </w:r>
          </w:p>
        </w:tc>
        <w:tc>
          <w:tcPr>
            <w:tcW w:w="2097" w:type="dxa"/>
            <w:vAlign w:val="top"/>
          </w:tcPr>
          <w:p w14:paraId="3C117523">
            <w:pPr>
              <w:spacing w:before="92" w:line="195" w:lineRule="auto"/>
              <w:ind w:left="87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6</w:t>
            </w:r>
            <w:r>
              <w:rPr>
                <w:rFonts w:ascii="Times New Roman" w:hAnsi="Times New Roman" w:eastAsia="Times New Roman" w:cs="Times New Roman"/>
                <w:spacing w:val="3"/>
                <w:sz w:val="20"/>
                <w:szCs w:val="20"/>
              </w:rPr>
              <w:t>3.6</w:t>
            </w:r>
          </w:p>
        </w:tc>
        <w:tc>
          <w:tcPr>
            <w:tcW w:w="748" w:type="dxa"/>
            <w:tcBorders>
              <w:right w:val="nil"/>
            </w:tcBorders>
            <w:vAlign w:val="top"/>
          </w:tcPr>
          <w:p w14:paraId="42A3C897">
            <w:pPr>
              <w:spacing w:before="18" w:line="281" w:lineRule="exact"/>
              <w:ind w:left="140"/>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μ</w:t>
            </w:r>
            <w:r>
              <w:rPr>
                <w:rFonts w:ascii="Times New Roman" w:hAnsi="Times New Roman" w:eastAsia="Times New Roman" w:cs="Times New Roman"/>
                <w:position w:val="4"/>
                <w:sz w:val="20"/>
                <w:szCs w:val="20"/>
              </w:rPr>
              <w:t>g</w:t>
            </w:r>
            <w:r>
              <w:rPr>
                <w:rFonts w:ascii="Times New Roman" w:hAnsi="Times New Roman" w:eastAsia="Times New Roman" w:cs="Times New Roman"/>
                <w:spacing w:val="4"/>
                <w:position w:val="4"/>
                <w:sz w:val="20"/>
                <w:szCs w:val="20"/>
              </w:rPr>
              <w:t>/</w:t>
            </w:r>
            <w:r>
              <w:rPr>
                <w:rFonts w:ascii="Times New Roman" w:hAnsi="Times New Roman" w:eastAsia="Times New Roman" w:cs="Times New Roman"/>
                <w:position w:val="4"/>
                <w:sz w:val="20"/>
                <w:szCs w:val="20"/>
              </w:rPr>
              <w:t>kg</w:t>
            </w:r>
          </w:p>
        </w:tc>
      </w:tr>
      <w:tr w14:paraId="5E53DD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714C8F43">
            <w:pPr>
              <w:spacing w:before="91" w:line="195"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3</w:t>
            </w:r>
          </w:p>
        </w:tc>
        <w:tc>
          <w:tcPr>
            <w:tcW w:w="1553" w:type="dxa"/>
            <w:vAlign w:val="top"/>
          </w:tcPr>
          <w:p w14:paraId="7EACC49F">
            <w:pPr>
              <w:spacing w:before="55" w:line="227" w:lineRule="auto"/>
              <w:ind w:left="468"/>
              <w:rPr>
                <w:rFonts w:ascii="宋体" w:hAnsi="宋体" w:eastAsia="宋体" w:cs="宋体"/>
                <w:sz w:val="20"/>
                <w:szCs w:val="20"/>
              </w:rPr>
            </w:pPr>
            <w:r>
              <w:rPr>
                <w:rFonts w:ascii="宋体" w:hAnsi="宋体" w:eastAsia="宋体" w:cs="宋体"/>
                <w:spacing w:val="6"/>
                <w:sz w:val="20"/>
                <w:szCs w:val="20"/>
              </w:rPr>
              <w:t>苯乙烯</w:t>
            </w:r>
          </w:p>
        </w:tc>
        <w:tc>
          <w:tcPr>
            <w:tcW w:w="1445" w:type="dxa"/>
            <w:vAlign w:val="top"/>
          </w:tcPr>
          <w:p w14:paraId="04A97AAE">
            <w:pPr>
              <w:spacing w:before="91" w:line="198" w:lineRule="auto"/>
              <w:ind w:left="53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42.</w:t>
            </w:r>
            <w:r>
              <w:rPr>
                <w:rFonts w:ascii="Times New Roman" w:hAnsi="Times New Roman" w:eastAsia="Times New Roman" w:cs="Times New Roman"/>
                <w:spacing w:val="4"/>
                <w:sz w:val="20"/>
                <w:szCs w:val="20"/>
              </w:rPr>
              <w:t>3</w:t>
            </w:r>
          </w:p>
        </w:tc>
        <w:tc>
          <w:tcPr>
            <w:tcW w:w="2096" w:type="dxa"/>
            <w:vAlign w:val="top"/>
          </w:tcPr>
          <w:p w14:paraId="583AAE3E">
            <w:pPr>
              <w:spacing w:before="91" w:line="195" w:lineRule="auto"/>
              <w:ind w:left="86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6</w:t>
            </w:r>
            <w:r>
              <w:rPr>
                <w:rFonts w:ascii="Times New Roman" w:hAnsi="Times New Roman" w:eastAsia="Times New Roman" w:cs="Times New Roman"/>
                <w:spacing w:val="3"/>
                <w:sz w:val="20"/>
                <w:szCs w:val="20"/>
              </w:rPr>
              <w:t>0.6</w:t>
            </w:r>
          </w:p>
        </w:tc>
        <w:tc>
          <w:tcPr>
            <w:tcW w:w="2097" w:type="dxa"/>
            <w:vAlign w:val="top"/>
          </w:tcPr>
          <w:p w14:paraId="352D2642">
            <w:pPr>
              <w:spacing w:before="91" w:line="195" w:lineRule="auto"/>
              <w:ind w:left="87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6</w:t>
            </w:r>
            <w:r>
              <w:rPr>
                <w:rFonts w:ascii="Times New Roman" w:hAnsi="Times New Roman" w:eastAsia="Times New Roman" w:cs="Times New Roman"/>
                <w:spacing w:val="3"/>
                <w:sz w:val="20"/>
                <w:szCs w:val="20"/>
              </w:rPr>
              <w:t>0.5</w:t>
            </w:r>
          </w:p>
        </w:tc>
        <w:tc>
          <w:tcPr>
            <w:tcW w:w="748" w:type="dxa"/>
            <w:tcBorders>
              <w:right w:val="nil"/>
            </w:tcBorders>
            <w:vAlign w:val="top"/>
          </w:tcPr>
          <w:p w14:paraId="0D208258">
            <w:pPr>
              <w:spacing w:before="17" w:line="281" w:lineRule="exact"/>
              <w:ind w:left="140"/>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μ</w:t>
            </w:r>
            <w:r>
              <w:rPr>
                <w:rFonts w:ascii="Times New Roman" w:hAnsi="Times New Roman" w:eastAsia="Times New Roman" w:cs="Times New Roman"/>
                <w:position w:val="4"/>
                <w:sz w:val="20"/>
                <w:szCs w:val="20"/>
              </w:rPr>
              <w:t>g</w:t>
            </w:r>
            <w:r>
              <w:rPr>
                <w:rFonts w:ascii="Times New Roman" w:hAnsi="Times New Roman" w:eastAsia="Times New Roman" w:cs="Times New Roman"/>
                <w:spacing w:val="4"/>
                <w:position w:val="4"/>
                <w:sz w:val="20"/>
                <w:szCs w:val="20"/>
              </w:rPr>
              <w:t>/</w:t>
            </w:r>
            <w:r>
              <w:rPr>
                <w:rFonts w:ascii="Times New Roman" w:hAnsi="Times New Roman" w:eastAsia="Times New Roman" w:cs="Times New Roman"/>
                <w:position w:val="4"/>
                <w:sz w:val="20"/>
                <w:szCs w:val="20"/>
              </w:rPr>
              <w:t>kg</w:t>
            </w:r>
          </w:p>
        </w:tc>
      </w:tr>
      <w:tr w14:paraId="05F19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04FF398A">
            <w:pPr>
              <w:spacing w:before="90" w:line="195"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4</w:t>
            </w:r>
          </w:p>
        </w:tc>
        <w:tc>
          <w:tcPr>
            <w:tcW w:w="1553" w:type="dxa"/>
            <w:vAlign w:val="top"/>
          </w:tcPr>
          <w:p w14:paraId="29463DBD">
            <w:pPr>
              <w:spacing w:before="54" w:line="227" w:lineRule="auto"/>
              <w:ind w:left="598"/>
              <w:rPr>
                <w:rFonts w:ascii="宋体" w:hAnsi="宋体" w:eastAsia="宋体" w:cs="宋体"/>
                <w:sz w:val="20"/>
                <w:szCs w:val="20"/>
              </w:rPr>
            </w:pPr>
            <w:r>
              <w:rPr>
                <w:rFonts w:ascii="宋体" w:hAnsi="宋体" w:eastAsia="宋体" w:cs="宋体"/>
                <w:spacing w:val="-10"/>
                <w:sz w:val="20"/>
                <w:szCs w:val="20"/>
              </w:rPr>
              <w:t>甲</w:t>
            </w:r>
            <w:r>
              <w:rPr>
                <w:rFonts w:ascii="宋体" w:hAnsi="宋体" w:eastAsia="宋体" w:cs="宋体"/>
                <w:spacing w:val="-8"/>
                <w:sz w:val="20"/>
                <w:szCs w:val="20"/>
              </w:rPr>
              <w:t>苯</w:t>
            </w:r>
          </w:p>
        </w:tc>
        <w:tc>
          <w:tcPr>
            <w:tcW w:w="1445" w:type="dxa"/>
            <w:vAlign w:val="top"/>
          </w:tcPr>
          <w:p w14:paraId="57F3DE32">
            <w:pPr>
              <w:spacing w:before="90" w:line="195" w:lineRule="auto"/>
              <w:ind w:left="54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9</w:t>
            </w:r>
            <w:r>
              <w:rPr>
                <w:rFonts w:ascii="Times New Roman" w:hAnsi="Times New Roman" w:eastAsia="Times New Roman" w:cs="Times New Roman"/>
                <w:spacing w:val="4"/>
                <w:sz w:val="20"/>
                <w:szCs w:val="20"/>
              </w:rPr>
              <w:t>8.8</w:t>
            </w:r>
          </w:p>
        </w:tc>
        <w:tc>
          <w:tcPr>
            <w:tcW w:w="2096" w:type="dxa"/>
            <w:vAlign w:val="top"/>
          </w:tcPr>
          <w:p w14:paraId="3BBFB7F6">
            <w:pPr>
              <w:spacing w:before="93" w:line="192" w:lineRule="auto"/>
              <w:ind w:left="87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5</w:t>
            </w:r>
            <w:r>
              <w:rPr>
                <w:rFonts w:ascii="Times New Roman" w:hAnsi="Times New Roman" w:eastAsia="Times New Roman" w:cs="Times New Roman"/>
                <w:spacing w:val="3"/>
                <w:sz w:val="20"/>
                <w:szCs w:val="20"/>
              </w:rPr>
              <w:t>7.5</w:t>
            </w:r>
          </w:p>
        </w:tc>
        <w:tc>
          <w:tcPr>
            <w:tcW w:w="2097" w:type="dxa"/>
            <w:vAlign w:val="top"/>
          </w:tcPr>
          <w:p w14:paraId="3848D730">
            <w:pPr>
              <w:spacing w:before="90" w:line="195" w:lineRule="auto"/>
              <w:ind w:left="86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7</w:t>
            </w:r>
            <w:r>
              <w:rPr>
                <w:rFonts w:ascii="Times New Roman" w:hAnsi="Times New Roman" w:eastAsia="Times New Roman" w:cs="Times New Roman"/>
                <w:spacing w:val="3"/>
                <w:sz w:val="20"/>
                <w:szCs w:val="20"/>
              </w:rPr>
              <w:t>4.0</w:t>
            </w:r>
          </w:p>
        </w:tc>
        <w:tc>
          <w:tcPr>
            <w:tcW w:w="748" w:type="dxa"/>
            <w:tcBorders>
              <w:right w:val="nil"/>
            </w:tcBorders>
            <w:vAlign w:val="top"/>
          </w:tcPr>
          <w:p w14:paraId="4015EF83">
            <w:pPr>
              <w:spacing w:before="17" w:line="281" w:lineRule="exact"/>
              <w:ind w:left="140"/>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μ</w:t>
            </w:r>
            <w:r>
              <w:rPr>
                <w:rFonts w:ascii="Times New Roman" w:hAnsi="Times New Roman" w:eastAsia="Times New Roman" w:cs="Times New Roman"/>
                <w:position w:val="4"/>
                <w:sz w:val="20"/>
                <w:szCs w:val="20"/>
              </w:rPr>
              <w:t>g</w:t>
            </w:r>
            <w:r>
              <w:rPr>
                <w:rFonts w:ascii="Times New Roman" w:hAnsi="Times New Roman" w:eastAsia="Times New Roman" w:cs="Times New Roman"/>
                <w:spacing w:val="4"/>
                <w:position w:val="4"/>
                <w:sz w:val="20"/>
                <w:szCs w:val="20"/>
              </w:rPr>
              <w:t>/</w:t>
            </w:r>
            <w:r>
              <w:rPr>
                <w:rFonts w:ascii="Times New Roman" w:hAnsi="Times New Roman" w:eastAsia="Times New Roman" w:cs="Times New Roman"/>
                <w:position w:val="4"/>
                <w:sz w:val="20"/>
                <w:szCs w:val="20"/>
              </w:rPr>
              <w:t>kg</w:t>
            </w:r>
          </w:p>
        </w:tc>
      </w:tr>
      <w:tr w14:paraId="0F8468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236E1CC5">
            <w:pPr>
              <w:spacing w:before="90" w:line="195"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5</w:t>
            </w:r>
          </w:p>
        </w:tc>
        <w:tc>
          <w:tcPr>
            <w:tcW w:w="1553" w:type="dxa"/>
            <w:vAlign w:val="top"/>
          </w:tcPr>
          <w:p w14:paraId="7CD234BB">
            <w:pPr>
              <w:spacing w:before="17" w:line="281" w:lineRule="exact"/>
              <w:ind w:left="244"/>
              <w:rPr>
                <w:rFonts w:ascii="宋体" w:hAnsi="宋体" w:eastAsia="宋体" w:cs="宋体"/>
                <w:sz w:val="20"/>
                <w:szCs w:val="20"/>
              </w:rPr>
            </w:pPr>
            <w:r>
              <w:rPr>
                <w:rFonts w:ascii="宋体" w:hAnsi="宋体" w:eastAsia="宋体" w:cs="宋体"/>
                <w:spacing w:val="4"/>
                <w:position w:val="1"/>
                <w:sz w:val="20"/>
                <w:szCs w:val="20"/>
              </w:rPr>
              <w:t>间</w:t>
            </w:r>
            <w:r>
              <w:rPr>
                <w:rFonts w:ascii="Times New Roman" w:hAnsi="Times New Roman" w:eastAsia="Times New Roman" w:cs="Times New Roman"/>
                <w:spacing w:val="4"/>
                <w:position w:val="1"/>
                <w:sz w:val="20"/>
                <w:szCs w:val="20"/>
              </w:rPr>
              <w:t>/</w:t>
            </w:r>
            <w:r>
              <w:rPr>
                <w:rFonts w:ascii="宋体" w:hAnsi="宋体" w:eastAsia="宋体" w:cs="宋体"/>
                <w:spacing w:val="4"/>
                <w:position w:val="1"/>
                <w:sz w:val="20"/>
                <w:szCs w:val="20"/>
              </w:rPr>
              <w:t>对二甲苯</w:t>
            </w:r>
          </w:p>
        </w:tc>
        <w:tc>
          <w:tcPr>
            <w:tcW w:w="1445" w:type="dxa"/>
            <w:vAlign w:val="top"/>
          </w:tcPr>
          <w:p w14:paraId="0E803A7C">
            <w:pPr>
              <w:spacing w:before="90" w:line="195" w:lineRule="auto"/>
              <w:ind w:left="54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56.3</w:t>
            </w:r>
          </w:p>
        </w:tc>
        <w:tc>
          <w:tcPr>
            <w:tcW w:w="2096" w:type="dxa"/>
            <w:vAlign w:val="top"/>
          </w:tcPr>
          <w:p w14:paraId="39E04E75">
            <w:pPr>
              <w:spacing w:before="90" w:line="195" w:lineRule="auto"/>
              <w:ind w:left="869"/>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6</w:t>
            </w:r>
            <w:r>
              <w:rPr>
                <w:rFonts w:ascii="Times New Roman" w:hAnsi="Times New Roman" w:eastAsia="Times New Roman" w:cs="Times New Roman"/>
                <w:spacing w:val="3"/>
                <w:sz w:val="20"/>
                <w:szCs w:val="20"/>
              </w:rPr>
              <w:t>2.5</w:t>
            </w:r>
          </w:p>
        </w:tc>
        <w:tc>
          <w:tcPr>
            <w:tcW w:w="2097" w:type="dxa"/>
            <w:vAlign w:val="top"/>
          </w:tcPr>
          <w:p w14:paraId="75B6FA54">
            <w:pPr>
              <w:spacing w:before="90" w:line="195" w:lineRule="auto"/>
              <w:ind w:left="87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5</w:t>
            </w:r>
            <w:r>
              <w:rPr>
                <w:rFonts w:ascii="Times New Roman" w:hAnsi="Times New Roman" w:eastAsia="Times New Roman" w:cs="Times New Roman"/>
                <w:spacing w:val="3"/>
                <w:sz w:val="20"/>
                <w:szCs w:val="20"/>
              </w:rPr>
              <w:t>3.5</w:t>
            </w:r>
          </w:p>
        </w:tc>
        <w:tc>
          <w:tcPr>
            <w:tcW w:w="748" w:type="dxa"/>
            <w:tcBorders>
              <w:right w:val="nil"/>
            </w:tcBorders>
            <w:vAlign w:val="top"/>
          </w:tcPr>
          <w:p w14:paraId="6ACED804">
            <w:pPr>
              <w:spacing w:before="17" w:line="281" w:lineRule="exact"/>
              <w:ind w:left="140"/>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μ</w:t>
            </w:r>
            <w:r>
              <w:rPr>
                <w:rFonts w:ascii="Times New Roman" w:hAnsi="Times New Roman" w:eastAsia="Times New Roman" w:cs="Times New Roman"/>
                <w:position w:val="4"/>
                <w:sz w:val="20"/>
                <w:szCs w:val="20"/>
              </w:rPr>
              <w:t>g</w:t>
            </w:r>
            <w:r>
              <w:rPr>
                <w:rFonts w:ascii="Times New Roman" w:hAnsi="Times New Roman" w:eastAsia="Times New Roman" w:cs="Times New Roman"/>
                <w:spacing w:val="4"/>
                <w:position w:val="4"/>
                <w:sz w:val="20"/>
                <w:szCs w:val="20"/>
              </w:rPr>
              <w:t>/</w:t>
            </w:r>
            <w:r>
              <w:rPr>
                <w:rFonts w:ascii="Times New Roman" w:hAnsi="Times New Roman" w:eastAsia="Times New Roman" w:cs="Times New Roman"/>
                <w:position w:val="4"/>
                <w:sz w:val="20"/>
                <w:szCs w:val="20"/>
              </w:rPr>
              <w:t>kg</w:t>
            </w:r>
          </w:p>
        </w:tc>
      </w:tr>
      <w:tr w14:paraId="5A911E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09B81B58">
            <w:pPr>
              <w:spacing w:before="90" w:line="195"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6</w:t>
            </w:r>
          </w:p>
        </w:tc>
        <w:tc>
          <w:tcPr>
            <w:tcW w:w="1553" w:type="dxa"/>
            <w:vAlign w:val="top"/>
          </w:tcPr>
          <w:p w14:paraId="23369E89">
            <w:pPr>
              <w:spacing w:before="54" w:line="227" w:lineRule="auto"/>
              <w:ind w:left="361"/>
              <w:rPr>
                <w:rFonts w:ascii="宋体" w:hAnsi="宋体" w:eastAsia="宋体" w:cs="宋体"/>
                <w:sz w:val="20"/>
                <w:szCs w:val="20"/>
              </w:rPr>
            </w:pPr>
            <w:r>
              <w:rPr>
                <w:rFonts w:ascii="宋体" w:hAnsi="宋体" w:eastAsia="宋体" w:cs="宋体"/>
                <w:spacing w:val="9"/>
                <w:sz w:val="20"/>
                <w:szCs w:val="20"/>
              </w:rPr>
              <w:t>邻</w:t>
            </w:r>
            <w:r>
              <w:rPr>
                <w:rFonts w:ascii="宋体" w:hAnsi="宋体" w:eastAsia="宋体" w:cs="宋体"/>
                <w:spacing w:val="7"/>
                <w:sz w:val="20"/>
                <w:szCs w:val="20"/>
              </w:rPr>
              <w:t>二甲苯</w:t>
            </w:r>
          </w:p>
        </w:tc>
        <w:tc>
          <w:tcPr>
            <w:tcW w:w="1445" w:type="dxa"/>
            <w:vAlign w:val="top"/>
          </w:tcPr>
          <w:p w14:paraId="67EEDB47">
            <w:pPr>
              <w:spacing w:before="90" w:line="195" w:lineRule="auto"/>
              <w:ind w:left="54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6</w:t>
            </w:r>
            <w:r>
              <w:rPr>
                <w:rFonts w:ascii="Times New Roman" w:hAnsi="Times New Roman" w:eastAsia="Times New Roman" w:cs="Times New Roman"/>
                <w:spacing w:val="3"/>
                <w:sz w:val="20"/>
                <w:szCs w:val="20"/>
              </w:rPr>
              <w:t>7.9</w:t>
            </w:r>
          </w:p>
        </w:tc>
        <w:tc>
          <w:tcPr>
            <w:tcW w:w="2096" w:type="dxa"/>
            <w:vAlign w:val="top"/>
          </w:tcPr>
          <w:p w14:paraId="341384B9">
            <w:pPr>
              <w:spacing w:before="90" w:line="195" w:lineRule="auto"/>
              <w:ind w:left="86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6</w:t>
            </w:r>
            <w:r>
              <w:rPr>
                <w:rFonts w:ascii="Times New Roman" w:hAnsi="Times New Roman" w:eastAsia="Times New Roman" w:cs="Times New Roman"/>
                <w:spacing w:val="3"/>
                <w:sz w:val="20"/>
                <w:szCs w:val="20"/>
              </w:rPr>
              <w:t>3.3</w:t>
            </w:r>
          </w:p>
        </w:tc>
        <w:tc>
          <w:tcPr>
            <w:tcW w:w="2097" w:type="dxa"/>
            <w:vAlign w:val="top"/>
          </w:tcPr>
          <w:p w14:paraId="446A4DE5">
            <w:pPr>
              <w:spacing w:before="90" w:line="195" w:lineRule="auto"/>
              <w:ind w:left="870"/>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6</w:t>
            </w:r>
            <w:r>
              <w:rPr>
                <w:rFonts w:ascii="Times New Roman" w:hAnsi="Times New Roman" w:eastAsia="Times New Roman" w:cs="Times New Roman"/>
                <w:spacing w:val="4"/>
                <w:sz w:val="20"/>
                <w:szCs w:val="20"/>
              </w:rPr>
              <w:t>5.8</w:t>
            </w:r>
          </w:p>
        </w:tc>
        <w:tc>
          <w:tcPr>
            <w:tcW w:w="748" w:type="dxa"/>
            <w:tcBorders>
              <w:right w:val="nil"/>
            </w:tcBorders>
            <w:vAlign w:val="top"/>
          </w:tcPr>
          <w:p w14:paraId="12FCF717">
            <w:pPr>
              <w:spacing w:before="16" w:line="281" w:lineRule="exact"/>
              <w:ind w:left="140"/>
              <w:rPr>
                <w:rFonts w:ascii="Times New Roman" w:hAnsi="Times New Roman" w:eastAsia="Times New Roman" w:cs="Times New Roman"/>
                <w:sz w:val="20"/>
                <w:szCs w:val="20"/>
              </w:rPr>
            </w:pPr>
            <w:r>
              <w:rPr>
                <w:rFonts w:ascii="Times New Roman" w:hAnsi="Times New Roman" w:eastAsia="Times New Roman" w:cs="Times New Roman"/>
                <w:spacing w:val="4"/>
                <w:position w:val="4"/>
                <w:sz w:val="20"/>
                <w:szCs w:val="20"/>
              </w:rPr>
              <w:t>μ</w:t>
            </w:r>
            <w:r>
              <w:rPr>
                <w:rFonts w:ascii="Times New Roman" w:hAnsi="Times New Roman" w:eastAsia="Times New Roman" w:cs="Times New Roman"/>
                <w:position w:val="4"/>
                <w:sz w:val="20"/>
                <w:szCs w:val="20"/>
              </w:rPr>
              <w:t>g</w:t>
            </w:r>
            <w:r>
              <w:rPr>
                <w:rFonts w:ascii="Times New Roman" w:hAnsi="Times New Roman" w:eastAsia="Times New Roman" w:cs="Times New Roman"/>
                <w:spacing w:val="4"/>
                <w:position w:val="4"/>
                <w:sz w:val="20"/>
                <w:szCs w:val="20"/>
              </w:rPr>
              <w:t>/</w:t>
            </w:r>
            <w:r>
              <w:rPr>
                <w:rFonts w:ascii="Times New Roman" w:hAnsi="Times New Roman" w:eastAsia="Times New Roman" w:cs="Times New Roman"/>
                <w:position w:val="4"/>
                <w:sz w:val="20"/>
                <w:szCs w:val="20"/>
              </w:rPr>
              <w:t>kg</w:t>
            </w:r>
          </w:p>
        </w:tc>
      </w:tr>
      <w:tr w14:paraId="2CBF60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83" w:type="dxa"/>
            <w:tcBorders>
              <w:left w:val="nil"/>
            </w:tcBorders>
            <w:vAlign w:val="top"/>
          </w:tcPr>
          <w:p w14:paraId="417DD7FD">
            <w:pPr>
              <w:spacing w:before="92" w:line="195"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7</w:t>
            </w:r>
          </w:p>
        </w:tc>
        <w:tc>
          <w:tcPr>
            <w:tcW w:w="1553" w:type="dxa"/>
            <w:vAlign w:val="top"/>
          </w:tcPr>
          <w:p w14:paraId="1A920FD3">
            <w:pPr>
              <w:spacing w:before="56" w:line="227" w:lineRule="auto"/>
              <w:ind w:left="467"/>
              <w:rPr>
                <w:rFonts w:ascii="宋体" w:hAnsi="宋体" w:eastAsia="宋体" w:cs="宋体"/>
                <w:sz w:val="20"/>
                <w:szCs w:val="20"/>
              </w:rPr>
            </w:pPr>
            <w:r>
              <w:rPr>
                <w:rFonts w:ascii="宋体" w:hAnsi="宋体" w:eastAsia="宋体" w:cs="宋体"/>
                <w:spacing w:val="7"/>
                <w:sz w:val="20"/>
                <w:szCs w:val="20"/>
              </w:rPr>
              <w:t>硝</w:t>
            </w:r>
            <w:r>
              <w:rPr>
                <w:rFonts w:ascii="宋体" w:hAnsi="宋体" w:eastAsia="宋体" w:cs="宋体"/>
                <w:spacing w:val="6"/>
                <w:sz w:val="20"/>
                <w:szCs w:val="20"/>
              </w:rPr>
              <w:t>基苯</w:t>
            </w:r>
          </w:p>
        </w:tc>
        <w:tc>
          <w:tcPr>
            <w:tcW w:w="1445" w:type="dxa"/>
            <w:vAlign w:val="top"/>
          </w:tcPr>
          <w:p w14:paraId="254C65D5">
            <w:pPr>
              <w:spacing w:before="53" w:line="242" w:lineRule="auto"/>
              <w:ind w:left="454"/>
              <w:rPr>
                <w:rFonts w:ascii="Times New Roman" w:hAnsi="Times New Roman" w:eastAsia="Times New Roman" w:cs="Times New Roman"/>
                <w:sz w:val="20"/>
                <w:szCs w:val="20"/>
              </w:rPr>
            </w:pPr>
            <w:r>
              <w:rPr>
                <w:rFonts w:ascii="宋体" w:hAnsi="宋体" w:eastAsia="宋体" w:cs="宋体"/>
                <w:spacing w:val="2"/>
                <w:sz w:val="20"/>
                <w:szCs w:val="20"/>
              </w:rPr>
              <w:t>＜</w:t>
            </w:r>
            <w:r>
              <w:rPr>
                <w:rFonts w:ascii="Times New Roman" w:hAnsi="Times New Roman" w:eastAsia="Times New Roman" w:cs="Times New Roman"/>
                <w:spacing w:val="1"/>
                <w:sz w:val="20"/>
                <w:szCs w:val="20"/>
              </w:rPr>
              <w:t>0.09</w:t>
            </w:r>
          </w:p>
        </w:tc>
        <w:tc>
          <w:tcPr>
            <w:tcW w:w="2096" w:type="dxa"/>
            <w:vAlign w:val="top"/>
          </w:tcPr>
          <w:p w14:paraId="4C102C11">
            <w:pPr>
              <w:spacing w:before="53" w:line="242" w:lineRule="auto"/>
              <w:ind w:left="780"/>
              <w:rPr>
                <w:rFonts w:ascii="Times New Roman" w:hAnsi="Times New Roman" w:eastAsia="Times New Roman" w:cs="Times New Roman"/>
                <w:sz w:val="20"/>
                <w:szCs w:val="20"/>
              </w:rPr>
            </w:pPr>
            <w:r>
              <w:rPr>
                <w:rFonts w:ascii="宋体" w:hAnsi="宋体" w:eastAsia="宋体" w:cs="宋体"/>
                <w:spacing w:val="1"/>
                <w:sz w:val="20"/>
                <w:szCs w:val="20"/>
              </w:rPr>
              <w:t>＜</w:t>
            </w:r>
            <w:r>
              <w:rPr>
                <w:rFonts w:ascii="Times New Roman" w:hAnsi="Times New Roman" w:eastAsia="Times New Roman" w:cs="Times New Roman"/>
                <w:spacing w:val="1"/>
                <w:sz w:val="20"/>
                <w:szCs w:val="20"/>
              </w:rPr>
              <w:t>0.</w:t>
            </w:r>
            <w:r>
              <w:rPr>
                <w:rFonts w:ascii="Times New Roman" w:hAnsi="Times New Roman" w:eastAsia="Times New Roman" w:cs="Times New Roman"/>
                <w:sz w:val="20"/>
                <w:szCs w:val="20"/>
              </w:rPr>
              <w:t>09</w:t>
            </w:r>
          </w:p>
        </w:tc>
        <w:tc>
          <w:tcPr>
            <w:tcW w:w="2097" w:type="dxa"/>
            <w:vAlign w:val="top"/>
          </w:tcPr>
          <w:p w14:paraId="2BE631CD">
            <w:pPr>
              <w:spacing w:before="53" w:line="242" w:lineRule="auto"/>
              <w:ind w:left="779"/>
              <w:rPr>
                <w:rFonts w:ascii="Times New Roman" w:hAnsi="Times New Roman" w:eastAsia="Times New Roman" w:cs="Times New Roman"/>
                <w:sz w:val="20"/>
                <w:szCs w:val="20"/>
              </w:rPr>
            </w:pPr>
            <w:r>
              <w:rPr>
                <w:rFonts w:ascii="宋体" w:hAnsi="宋体" w:eastAsia="宋体" w:cs="宋体"/>
                <w:spacing w:val="2"/>
                <w:sz w:val="20"/>
                <w:szCs w:val="20"/>
              </w:rPr>
              <w:t>＜</w:t>
            </w:r>
            <w:r>
              <w:rPr>
                <w:rFonts w:ascii="Times New Roman" w:hAnsi="Times New Roman" w:eastAsia="Times New Roman" w:cs="Times New Roman"/>
                <w:spacing w:val="1"/>
                <w:sz w:val="20"/>
                <w:szCs w:val="20"/>
              </w:rPr>
              <w:t>0.09</w:t>
            </w:r>
          </w:p>
        </w:tc>
        <w:tc>
          <w:tcPr>
            <w:tcW w:w="748" w:type="dxa"/>
            <w:tcBorders>
              <w:right w:val="nil"/>
            </w:tcBorders>
            <w:vAlign w:val="top"/>
          </w:tcPr>
          <w:p w14:paraId="0B175F90">
            <w:pPr>
              <w:spacing w:before="18" w:line="281" w:lineRule="exact"/>
              <w:ind w:left="105"/>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21"/>
                <w:position w:val="4"/>
                <w:sz w:val="20"/>
                <w:szCs w:val="20"/>
              </w:rPr>
              <w:t>/</w:t>
            </w:r>
            <w:r>
              <w:rPr>
                <w:rFonts w:ascii="Times New Roman" w:hAnsi="Times New Roman" w:eastAsia="Times New Roman" w:cs="Times New Roman"/>
                <w:position w:val="4"/>
                <w:sz w:val="20"/>
                <w:szCs w:val="20"/>
              </w:rPr>
              <w:t>kg</w:t>
            </w:r>
          </w:p>
        </w:tc>
      </w:tr>
      <w:tr w14:paraId="251AD1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3AAE1BAB">
            <w:pPr>
              <w:spacing w:before="92" w:line="195"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8</w:t>
            </w:r>
          </w:p>
        </w:tc>
        <w:tc>
          <w:tcPr>
            <w:tcW w:w="1553" w:type="dxa"/>
            <w:vAlign w:val="top"/>
          </w:tcPr>
          <w:p w14:paraId="4A79702F">
            <w:pPr>
              <w:spacing w:before="56" w:line="227" w:lineRule="auto"/>
              <w:ind w:left="573"/>
              <w:rPr>
                <w:rFonts w:ascii="宋体" w:hAnsi="宋体" w:eastAsia="宋体" w:cs="宋体"/>
                <w:sz w:val="20"/>
                <w:szCs w:val="20"/>
              </w:rPr>
            </w:pPr>
            <w:r>
              <w:rPr>
                <w:rFonts w:ascii="宋体" w:hAnsi="宋体" w:eastAsia="宋体" w:cs="宋体"/>
                <w:spacing w:val="4"/>
                <w:sz w:val="20"/>
                <w:szCs w:val="20"/>
              </w:rPr>
              <w:t>苯</w:t>
            </w:r>
            <w:r>
              <w:rPr>
                <w:rFonts w:ascii="宋体" w:hAnsi="宋体" w:eastAsia="宋体" w:cs="宋体"/>
                <w:spacing w:val="3"/>
                <w:sz w:val="20"/>
                <w:szCs w:val="20"/>
              </w:rPr>
              <w:t>胺</w:t>
            </w:r>
          </w:p>
        </w:tc>
        <w:tc>
          <w:tcPr>
            <w:tcW w:w="1445" w:type="dxa"/>
            <w:vAlign w:val="top"/>
          </w:tcPr>
          <w:p w14:paraId="433369A1">
            <w:pPr>
              <w:spacing w:before="54" w:line="242" w:lineRule="auto"/>
              <w:ind w:left="507"/>
              <w:rPr>
                <w:rFonts w:ascii="Times New Roman" w:hAnsi="Times New Roman" w:eastAsia="Times New Roman" w:cs="Times New Roman"/>
                <w:sz w:val="20"/>
                <w:szCs w:val="20"/>
              </w:rPr>
            </w:pPr>
            <w:r>
              <w:rPr>
                <w:rFonts w:ascii="宋体" w:hAnsi="宋体" w:eastAsia="宋体" w:cs="宋体"/>
                <w:spacing w:val="6"/>
                <w:sz w:val="20"/>
                <w:szCs w:val="20"/>
              </w:rPr>
              <w:t>＜</w:t>
            </w:r>
            <w:r>
              <w:rPr>
                <w:rFonts w:ascii="Times New Roman" w:hAnsi="Times New Roman" w:eastAsia="Times New Roman" w:cs="Times New Roman"/>
                <w:spacing w:val="4"/>
                <w:sz w:val="20"/>
                <w:szCs w:val="20"/>
              </w:rPr>
              <w:t>0.1</w:t>
            </w:r>
          </w:p>
        </w:tc>
        <w:tc>
          <w:tcPr>
            <w:tcW w:w="2096" w:type="dxa"/>
            <w:vAlign w:val="top"/>
          </w:tcPr>
          <w:p w14:paraId="00CBDAB2">
            <w:pPr>
              <w:spacing w:before="54" w:line="242" w:lineRule="auto"/>
              <w:ind w:left="833"/>
              <w:rPr>
                <w:rFonts w:ascii="Times New Roman" w:hAnsi="Times New Roman" w:eastAsia="Times New Roman" w:cs="Times New Roman"/>
                <w:sz w:val="20"/>
                <w:szCs w:val="20"/>
              </w:rPr>
            </w:pPr>
            <w:r>
              <w:rPr>
                <w:rFonts w:ascii="宋体" w:hAnsi="宋体" w:eastAsia="宋体" w:cs="宋体"/>
                <w:spacing w:val="6"/>
                <w:sz w:val="20"/>
                <w:szCs w:val="20"/>
              </w:rPr>
              <w:t>＜</w:t>
            </w:r>
            <w:r>
              <w:rPr>
                <w:rFonts w:ascii="Times New Roman" w:hAnsi="Times New Roman" w:eastAsia="Times New Roman" w:cs="Times New Roman"/>
                <w:spacing w:val="4"/>
                <w:sz w:val="20"/>
                <w:szCs w:val="20"/>
              </w:rPr>
              <w:t>0.1</w:t>
            </w:r>
          </w:p>
        </w:tc>
        <w:tc>
          <w:tcPr>
            <w:tcW w:w="2097" w:type="dxa"/>
            <w:vAlign w:val="top"/>
          </w:tcPr>
          <w:p w14:paraId="49C90AA0">
            <w:pPr>
              <w:spacing w:before="54" w:line="242" w:lineRule="auto"/>
              <w:ind w:left="832"/>
              <w:rPr>
                <w:rFonts w:ascii="Times New Roman" w:hAnsi="Times New Roman" w:eastAsia="Times New Roman" w:cs="Times New Roman"/>
                <w:sz w:val="20"/>
                <w:szCs w:val="20"/>
              </w:rPr>
            </w:pPr>
            <w:r>
              <w:rPr>
                <w:rFonts w:ascii="宋体" w:hAnsi="宋体" w:eastAsia="宋体" w:cs="宋体"/>
                <w:spacing w:val="5"/>
                <w:sz w:val="20"/>
                <w:szCs w:val="20"/>
              </w:rPr>
              <w:t>＜</w:t>
            </w:r>
            <w:r>
              <w:rPr>
                <w:rFonts w:ascii="Times New Roman" w:hAnsi="Times New Roman" w:eastAsia="Times New Roman" w:cs="Times New Roman"/>
                <w:spacing w:val="5"/>
                <w:sz w:val="20"/>
                <w:szCs w:val="20"/>
              </w:rPr>
              <w:t>0.1</w:t>
            </w:r>
          </w:p>
        </w:tc>
        <w:tc>
          <w:tcPr>
            <w:tcW w:w="748" w:type="dxa"/>
            <w:tcBorders>
              <w:right w:val="nil"/>
            </w:tcBorders>
            <w:vAlign w:val="top"/>
          </w:tcPr>
          <w:p w14:paraId="459EA5CC">
            <w:pPr>
              <w:spacing w:before="19" w:line="281" w:lineRule="exact"/>
              <w:ind w:left="105"/>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21"/>
                <w:position w:val="4"/>
                <w:sz w:val="20"/>
                <w:szCs w:val="20"/>
              </w:rPr>
              <w:t>/</w:t>
            </w:r>
            <w:r>
              <w:rPr>
                <w:rFonts w:ascii="Times New Roman" w:hAnsi="Times New Roman" w:eastAsia="Times New Roman" w:cs="Times New Roman"/>
                <w:position w:val="4"/>
                <w:sz w:val="20"/>
                <w:szCs w:val="20"/>
              </w:rPr>
              <w:t>kg</w:t>
            </w:r>
          </w:p>
        </w:tc>
      </w:tr>
      <w:tr w14:paraId="34A01E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4D65DE2F">
            <w:pPr>
              <w:spacing w:before="92" w:line="195"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9</w:t>
            </w:r>
          </w:p>
        </w:tc>
        <w:tc>
          <w:tcPr>
            <w:tcW w:w="1553" w:type="dxa"/>
            <w:vAlign w:val="top"/>
          </w:tcPr>
          <w:p w14:paraId="0B9B051D">
            <w:pPr>
              <w:spacing w:before="56" w:line="229" w:lineRule="auto"/>
              <w:ind w:left="481"/>
              <w:rPr>
                <w:rFonts w:ascii="宋体" w:hAnsi="宋体" w:eastAsia="宋体" w:cs="宋体"/>
                <w:sz w:val="20"/>
                <w:szCs w:val="20"/>
              </w:rPr>
            </w:pPr>
            <w:r>
              <w:rPr>
                <w:rFonts w:ascii="Times New Roman" w:hAnsi="Times New Roman" w:eastAsia="Times New Roman" w:cs="Times New Roman"/>
                <w:spacing w:val="5"/>
                <w:sz w:val="20"/>
                <w:szCs w:val="20"/>
              </w:rPr>
              <w:t>2-</w:t>
            </w:r>
            <w:r>
              <w:rPr>
                <w:rFonts w:ascii="宋体" w:hAnsi="宋体" w:eastAsia="宋体" w:cs="宋体"/>
                <w:spacing w:val="5"/>
                <w:sz w:val="20"/>
                <w:szCs w:val="20"/>
              </w:rPr>
              <w:t>氯</w:t>
            </w:r>
            <w:r>
              <w:rPr>
                <w:rFonts w:ascii="宋体" w:hAnsi="宋体" w:eastAsia="宋体" w:cs="宋体"/>
                <w:spacing w:val="4"/>
                <w:sz w:val="20"/>
                <w:szCs w:val="20"/>
              </w:rPr>
              <w:t>酚</w:t>
            </w:r>
          </w:p>
        </w:tc>
        <w:tc>
          <w:tcPr>
            <w:tcW w:w="1445" w:type="dxa"/>
            <w:vAlign w:val="top"/>
          </w:tcPr>
          <w:p w14:paraId="1B54F6BE">
            <w:pPr>
              <w:spacing w:before="57"/>
              <w:ind w:left="454"/>
              <w:rPr>
                <w:rFonts w:ascii="Times New Roman" w:hAnsi="Times New Roman" w:eastAsia="Times New Roman" w:cs="Times New Roman"/>
                <w:sz w:val="20"/>
                <w:szCs w:val="20"/>
              </w:rPr>
            </w:pPr>
            <w:r>
              <w:rPr>
                <w:rFonts w:ascii="宋体" w:hAnsi="宋体" w:eastAsia="宋体" w:cs="宋体"/>
                <w:spacing w:val="2"/>
                <w:sz w:val="20"/>
                <w:szCs w:val="20"/>
              </w:rPr>
              <w:t>＜</w:t>
            </w:r>
            <w:r>
              <w:rPr>
                <w:rFonts w:ascii="Times New Roman" w:hAnsi="Times New Roman" w:eastAsia="Times New Roman" w:cs="Times New Roman"/>
                <w:spacing w:val="1"/>
                <w:sz w:val="20"/>
                <w:szCs w:val="20"/>
              </w:rPr>
              <w:t>0.06</w:t>
            </w:r>
          </w:p>
        </w:tc>
        <w:tc>
          <w:tcPr>
            <w:tcW w:w="2096" w:type="dxa"/>
            <w:vAlign w:val="top"/>
          </w:tcPr>
          <w:p w14:paraId="4E843A9C">
            <w:pPr>
              <w:spacing w:before="57"/>
              <w:ind w:left="780"/>
              <w:rPr>
                <w:rFonts w:ascii="Times New Roman" w:hAnsi="Times New Roman" w:eastAsia="Times New Roman" w:cs="Times New Roman"/>
                <w:sz w:val="20"/>
                <w:szCs w:val="20"/>
              </w:rPr>
            </w:pPr>
            <w:r>
              <w:rPr>
                <w:rFonts w:ascii="宋体" w:hAnsi="宋体" w:eastAsia="宋体" w:cs="宋体"/>
                <w:spacing w:val="1"/>
                <w:sz w:val="20"/>
                <w:szCs w:val="20"/>
              </w:rPr>
              <w:t>＜</w:t>
            </w:r>
            <w:r>
              <w:rPr>
                <w:rFonts w:ascii="Times New Roman" w:hAnsi="Times New Roman" w:eastAsia="Times New Roman" w:cs="Times New Roman"/>
                <w:spacing w:val="1"/>
                <w:sz w:val="20"/>
                <w:szCs w:val="20"/>
              </w:rPr>
              <w:t>0.</w:t>
            </w:r>
            <w:r>
              <w:rPr>
                <w:rFonts w:ascii="Times New Roman" w:hAnsi="Times New Roman" w:eastAsia="Times New Roman" w:cs="Times New Roman"/>
                <w:sz w:val="20"/>
                <w:szCs w:val="20"/>
              </w:rPr>
              <w:t>06</w:t>
            </w:r>
          </w:p>
        </w:tc>
        <w:tc>
          <w:tcPr>
            <w:tcW w:w="2097" w:type="dxa"/>
            <w:vAlign w:val="top"/>
          </w:tcPr>
          <w:p w14:paraId="50488D91">
            <w:pPr>
              <w:spacing w:before="57"/>
              <w:ind w:left="779"/>
              <w:rPr>
                <w:rFonts w:ascii="Times New Roman" w:hAnsi="Times New Roman" w:eastAsia="Times New Roman" w:cs="Times New Roman"/>
                <w:sz w:val="20"/>
                <w:szCs w:val="20"/>
              </w:rPr>
            </w:pPr>
            <w:r>
              <w:rPr>
                <w:rFonts w:ascii="宋体" w:hAnsi="宋体" w:eastAsia="宋体" w:cs="宋体"/>
                <w:spacing w:val="2"/>
                <w:sz w:val="20"/>
                <w:szCs w:val="20"/>
              </w:rPr>
              <w:t>＜</w:t>
            </w:r>
            <w:r>
              <w:rPr>
                <w:rFonts w:ascii="Times New Roman" w:hAnsi="Times New Roman" w:eastAsia="Times New Roman" w:cs="Times New Roman"/>
                <w:spacing w:val="1"/>
                <w:sz w:val="20"/>
                <w:szCs w:val="20"/>
              </w:rPr>
              <w:t>0.06</w:t>
            </w:r>
          </w:p>
        </w:tc>
        <w:tc>
          <w:tcPr>
            <w:tcW w:w="748" w:type="dxa"/>
            <w:tcBorders>
              <w:right w:val="nil"/>
            </w:tcBorders>
            <w:vAlign w:val="top"/>
          </w:tcPr>
          <w:p w14:paraId="1DBCD91C">
            <w:pPr>
              <w:spacing w:before="18" w:line="281" w:lineRule="exact"/>
              <w:ind w:left="105"/>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21"/>
                <w:position w:val="4"/>
                <w:sz w:val="20"/>
                <w:szCs w:val="20"/>
              </w:rPr>
              <w:t>/</w:t>
            </w:r>
            <w:r>
              <w:rPr>
                <w:rFonts w:ascii="Times New Roman" w:hAnsi="Times New Roman" w:eastAsia="Times New Roman" w:cs="Times New Roman"/>
                <w:position w:val="4"/>
                <w:sz w:val="20"/>
                <w:szCs w:val="20"/>
              </w:rPr>
              <w:t>kg</w:t>
            </w:r>
          </w:p>
        </w:tc>
      </w:tr>
      <w:tr w14:paraId="7F624E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5C3A845D">
            <w:pPr>
              <w:spacing w:before="91" w:line="195" w:lineRule="auto"/>
              <w:ind w:left="18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1553" w:type="dxa"/>
            <w:vAlign w:val="top"/>
          </w:tcPr>
          <w:p w14:paraId="0F722D85">
            <w:pPr>
              <w:spacing w:before="18" w:line="281" w:lineRule="exact"/>
              <w:ind w:left="352"/>
              <w:rPr>
                <w:rFonts w:ascii="宋体" w:hAnsi="宋体" w:eastAsia="宋体" w:cs="宋体"/>
                <w:sz w:val="20"/>
                <w:szCs w:val="20"/>
              </w:rPr>
            </w:pPr>
            <w:r>
              <w:rPr>
                <w:rFonts w:ascii="宋体" w:hAnsi="宋体" w:eastAsia="宋体" w:cs="宋体"/>
                <w:spacing w:val="7"/>
                <w:position w:val="2"/>
                <w:sz w:val="20"/>
                <w:szCs w:val="20"/>
              </w:rPr>
              <w:t>苯</w:t>
            </w:r>
            <w:r>
              <w:rPr>
                <w:rFonts w:ascii="宋体" w:hAnsi="宋体" w:eastAsia="宋体" w:cs="宋体"/>
                <w:spacing w:val="6"/>
                <w:position w:val="2"/>
                <w:sz w:val="20"/>
                <w:szCs w:val="20"/>
              </w:rPr>
              <w:t>并</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a</w:t>
            </w:r>
            <w:r>
              <w:rPr>
                <w:rFonts w:ascii="Times New Roman" w:hAnsi="Times New Roman" w:eastAsia="Times New Roman" w:cs="Times New Roman"/>
                <w:spacing w:val="6"/>
                <w:position w:val="2"/>
                <w:sz w:val="20"/>
                <w:szCs w:val="20"/>
              </w:rPr>
              <w:t>]</w:t>
            </w:r>
            <w:r>
              <w:rPr>
                <w:rFonts w:ascii="宋体" w:hAnsi="宋体" w:eastAsia="宋体" w:cs="宋体"/>
                <w:spacing w:val="6"/>
                <w:position w:val="2"/>
                <w:sz w:val="20"/>
                <w:szCs w:val="20"/>
              </w:rPr>
              <w:t>蒽</w:t>
            </w:r>
          </w:p>
        </w:tc>
        <w:tc>
          <w:tcPr>
            <w:tcW w:w="1445" w:type="dxa"/>
            <w:vAlign w:val="top"/>
          </w:tcPr>
          <w:p w14:paraId="67FD9025">
            <w:pPr>
              <w:spacing w:before="55" w:line="241" w:lineRule="auto"/>
              <w:ind w:left="507"/>
              <w:rPr>
                <w:rFonts w:ascii="Times New Roman" w:hAnsi="Times New Roman" w:eastAsia="Times New Roman" w:cs="Times New Roman"/>
                <w:sz w:val="20"/>
                <w:szCs w:val="20"/>
              </w:rPr>
            </w:pPr>
            <w:r>
              <w:rPr>
                <w:rFonts w:ascii="宋体" w:hAnsi="宋体" w:eastAsia="宋体" w:cs="宋体"/>
                <w:spacing w:val="6"/>
                <w:sz w:val="20"/>
                <w:szCs w:val="20"/>
              </w:rPr>
              <w:t>＜</w:t>
            </w:r>
            <w:r>
              <w:rPr>
                <w:rFonts w:ascii="Times New Roman" w:hAnsi="Times New Roman" w:eastAsia="Times New Roman" w:cs="Times New Roman"/>
                <w:spacing w:val="4"/>
                <w:sz w:val="20"/>
                <w:szCs w:val="20"/>
              </w:rPr>
              <w:t>0.1</w:t>
            </w:r>
          </w:p>
        </w:tc>
        <w:tc>
          <w:tcPr>
            <w:tcW w:w="2096" w:type="dxa"/>
            <w:vAlign w:val="top"/>
          </w:tcPr>
          <w:p w14:paraId="1B2F9014">
            <w:pPr>
              <w:spacing w:before="55" w:line="241" w:lineRule="auto"/>
              <w:ind w:left="833"/>
              <w:rPr>
                <w:rFonts w:ascii="Times New Roman" w:hAnsi="Times New Roman" w:eastAsia="Times New Roman" w:cs="Times New Roman"/>
                <w:sz w:val="20"/>
                <w:szCs w:val="20"/>
              </w:rPr>
            </w:pPr>
            <w:r>
              <w:rPr>
                <w:rFonts w:ascii="宋体" w:hAnsi="宋体" w:eastAsia="宋体" w:cs="宋体"/>
                <w:spacing w:val="6"/>
                <w:sz w:val="20"/>
                <w:szCs w:val="20"/>
              </w:rPr>
              <w:t>＜</w:t>
            </w:r>
            <w:r>
              <w:rPr>
                <w:rFonts w:ascii="Times New Roman" w:hAnsi="Times New Roman" w:eastAsia="Times New Roman" w:cs="Times New Roman"/>
                <w:spacing w:val="4"/>
                <w:sz w:val="20"/>
                <w:szCs w:val="20"/>
              </w:rPr>
              <w:t>0.1</w:t>
            </w:r>
          </w:p>
        </w:tc>
        <w:tc>
          <w:tcPr>
            <w:tcW w:w="2097" w:type="dxa"/>
            <w:vAlign w:val="top"/>
          </w:tcPr>
          <w:p w14:paraId="7B1865B3">
            <w:pPr>
              <w:spacing w:before="55" w:line="241" w:lineRule="auto"/>
              <w:ind w:left="832"/>
              <w:rPr>
                <w:rFonts w:ascii="Times New Roman" w:hAnsi="Times New Roman" w:eastAsia="Times New Roman" w:cs="Times New Roman"/>
                <w:sz w:val="20"/>
                <w:szCs w:val="20"/>
              </w:rPr>
            </w:pPr>
            <w:r>
              <w:rPr>
                <w:rFonts w:ascii="宋体" w:hAnsi="宋体" w:eastAsia="宋体" w:cs="宋体"/>
                <w:spacing w:val="5"/>
                <w:sz w:val="20"/>
                <w:szCs w:val="20"/>
              </w:rPr>
              <w:t>＜</w:t>
            </w:r>
            <w:r>
              <w:rPr>
                <w:rFonts w:ascii="Times New Roman" w:hAnsi="Times New Roman" w:eastAsia="Times New Roman" w:cs="Times New Roman"/>
                <w:spacing w:val="5"/>
                <w:sz w:val="20"/>
                <w:szCs w:val="20"/>
              </w:rPr>
              <w:t>0.1</w:t>
            </w:r>
          </w:p>
        </w:tc>
        <w:tc>
          <w:tcPr>
            <w:tcW w:w="748" w:type="dxa"/>
            <w:tcBorders>
              <w:right w:val="nil"/>
            </w:tcBorders>
            <w:vAlign w:val="top"/>
          </w:tcPr>
          <w:p w14:paraId="02E97582">
            <w:pPr>
              <w:spacing w:before="18" w:line="281" w:lineRule="exact"/>
              <w:ind w:left="105"/>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21"/>
                <w:position w:val="4"/>
                <w:sz w:val="20"/>
                <w:szCs w:val="20"/>
              </w:rPr>
              <w:t>/</w:t>
            </w:r>
            <w:r>
              <w:rPr>
                <w:rFonts w:ascii="Times New Roman" w:hAnsi="Times New Roman" w:eastAsia="Times New Roman" w:cs="Times New Roman"/>
                <w:position w:val="4"/>
                <w:sz w:val="20"/>
                <w:szCs w:val="20"/>
              </w:rPr>
              <w:t>kg</w:t>
            </w:r>
          </w:p>
        </w:tc>
      </w:tr>
      <w:tr w14:paraId="0FD75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0D66EBD3">
            <w:pPr>
              <w:spacing w:before="91" w:line="195" w:lineRule="auto"/>
              <w:ind w:left="18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41</w:t>
            </w:r>
          </w:p>
        </w:tc>
        <w:tc>
          <w:tcPr>
            <w:tcW w:w="1553" w:type="dxa"/>
            <w:vAlign w:val="top"/>
          </w:tcPr>
          <w:p w14:paraId="782A6B81">
            <w:pPr>
              <w:spacing w:before="18" w:line="281" w:lineRule="exact"/>
              <w:ind w:left="352"/>
              <w:rPr>
                <w:rFonts w:ascii="宋体" w:hAnsi="宋体" w:eastAsia="宋体" w:cs="宋体"/>
                <w:sz w:val="20"/>
                <w:szCs w:val="20"/>
              </w:rPr>
            </w:pPr>
            <w:r>
              <w:rPr>
                <w:rFonts w:ascii="宋体" w:hAnsi="宋体" w:eastAsia="宋体" w:cs="宋体"/>
                <w:spacing w:val="7"/>
                <w:position w:val="2"/>
                <w:sz w:val="20"/>
                <w:szCs w:val="20"/>
              </w:rPr>
              <w:t>苯</w:t>
            </w:r>
            <w:r>
              <w:rPr>
                <w:rFonts w:ascii="宋体" w:hAnsi="宋体" w:eastAsia="宋体" w:cs="宋体"/>
                <w:spacing w:val="6"/>
                <w:position w:val="2"/>
                <w:sz w:val="20"/>
                <w:szCs w:val="20"/>
              </w:rPr>
              <w:t>并</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a</w:t>
            </w:r>
            <w:r>
              <w:rPr>
                <w:rFonts w:ascii="Times New Roman" w:hAnsi="Times New Roman" w:eastAsia="Times New Roman" w:cs="Times New Roman"/>
                <w:spacing w:val="6"/>
                <w:position w:val="2"/>
                <w:sz w:val="20"/>
                <w:szCs w:val="20"/>
              </w:rPr>
              <w:t>]</w:t>
            </w:r>
            <w:r>
              <w:rPr>
                <w:rFonts w:ascii="宋体" w:hAnsi="宋体" w:eastAsia="宋体" w:cs="宋体"/>
                <w:spacing w:val="6"/>
                <w:position w:val="2"/>
                <w:sz w:val="20"/>
                <w:szCs w:val="20"/>
              </w:rPr>
              <w:t>芘</w:t>
            </w:r>
          </w:p>
        </w:tc>
        <w:tc>
          <w:tcPr>
            <w:tcW w:w="1445" w:type="dxa"/>
            <w:vAlign w:val="top"/>
          </w:tcPr>
          <w:p w14:paraId="15621AD4">
            <w:pPr>
              <w:spacing w:before="55" w:line="241" w:lineRule="auto"/>
              <w:ind w:left="507"/>
              <w:rPr>
                <w:rFonts w:ascii="Times New Roman" w:hAnsi="Times New Roman" w:eastAsia="Times New Roman" w:cs="Times New Roman"/>
                <w:sz w:val="20"/>
                <w:szCs w:val="20"/>
              </w:rPr>
            </w:pPr>
            <w:r>
              <w:rPr>
                <w:rFonts w:ascii="宋体" w:hAnsi="宋体" w:eastAsia="宋体" w:cs="宋体"/>
                <w:spacing w:val="6"/>
                <w:sz w:val="20"/>
                <w:szCs w:val="20"/>
              </w:rPr>
              <w:t>＜</w:t>
            </w:r>
            <w:r>
              <w:rPr>
                <w:rFonts w:ascii="Times New Roman" w:hAnsi="Times New Roman" w:eastAsia="Times New Roman" w:cs="Times New Roman"/>
                <w:spacing w:val="4"/>
                <w:sz w:val="20"/>
                <w:szCs w:val="20"/>
              </w:rPr>
              <w:t>0.1</w:t>
            </w:r>
          </w:p>
        </w:tc>
        <w:tc>
          <w:tcPr>
            <w:tcW w:w="2096" w:type="dxa"/>
            <w:vAlign w:val="top"/>
          </w:tcPr>
          <w:p w14:paraId="5F361F90">
            <w:pPr>
              <w:spacing w:before="55" w:line="241" w:lineRule="auto"/>
              <w:ind w:left="833"/>
              <w:rPr>
                <w:rFonts w:ascii="Times New Roman" w:hAnsi="Times New Roman" w:eastAsia="Times New Roman" w:cs="Times New Roman"/>
                <w:sz w:val="20"/>
                <w:szCs w:val="20"/>
              </w:rPr>
            </w:pPr>
            <w:r>
              <w:rPr>
                <w:rFonts w:ascii="宋体" w:hAnsi="宋体" w:eastAsia="宋体" w:cs="宋体"/>
                <w:spacing w:val="6"/>
                <w:sz w:val="20"/>
                <w:szCs w:val="20"/>
              </w:rPr>
              <w:t>＜</w:t>
            </w:r>
            <w:r>
              <w:rPr>
                <w:rFonts w:ascii="Times New Roman" w:hAnsi="Times New Roman" w:eastAsia="Times New Roman" w:cs="Times New Roman"/>
                <w:spacing w:val="4"/>
                <w:sz w:val="20"/>
                <w:szCs w:val="20"/>
              </w:rPr>
              <w:t>0.1</w:t>
            </w:r>
          </w:p>
        </w:tc>
        <w:tc>
          <w:tcPr>
            <w:tcW w:w="2097" w:type="dxa"/>
            <w:vAlign w:val="top"/>
          </w:tcPr>
          <w:p w14:paraId="3119B694">
            <w:pPr>
              <w:spacing w:before="55" w:line="241" w:lineRule="auto"/>
              <w:ind w:left="832"/>
              <w:rPr>
                <w:rFonts w:ascii="Times New Roman" w:hAnsi="Times New Roman" w:eastAsia="Times New Roman" w:cs="Times New Roman"/>
                <w:sz w:val="20"/>
                <w:szCs w:val="20"/>
              </w:rPr>
            </w:pPr>
            <w:r>
              <w:rPr>
                <w:rFonts w:ascii="宋体" w:hAnsi="宋体" w:eastAsia="宋体" w:cs="宋体"/>
                <w:spacing w:val="5"/>
                <w:sz w:val="20"/>
                <w:szCs w:val="20"/>
              </w:rPr>
              <w:t>＜</w:t>
            </w:r>
            <w:r>
              <w:rPr>
                <w:rFonts w:ascii="Times New Roman" w:hAnsi="Times New Roman" w:eastAsia="Times New Roman" w:cs="Times New Roman"/>
                <w:spacing w:val="5"/>
                <w:sz w:val="20"/>
                <w:szCs w:val="20"/>
              </w:rPr>
              <w:t>0.1</w:t>
            </w:r>
          </w:p>
        </w:tc>
        <w:tc>
          <w:tcPr>
            <w:tcW w:w="748" w:type="dxa"/>
            <w:tcBorders>
              <w:right w:val="nil"/>
            </w:tcBorders>
            <w:vAlign w:val="top"/>
          </w:tcPr>
          <w:p w14:paraId="4670ABB4">
            <w:pPr>
              <w:spacing w:before="18" w:line="281" w:lineRule="exact"/>
              <w:ind w:left="105"/>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21"/>
                <w:position w:val="4"/>
                <w:sz w:val="20"/>
                <w:szCs w:val="20"/>
              </w:rPr>
              <w:t>/</w:t>
            </w:r>
            <w:r>
              <w:rPr>
                <w:rFonts w:ascii="Times New Roman" w:hAnsi="Times New Roman" w:eastAsia="Times New Roman" w:cs="Times New Roman"/>
                <w:position w:val="4"/>
                <w:sz w:val="20"/>
                <w:szCs w:val="20"/>
              </w:rPr>
              <w:t>kg</w:t>
            </w:r>
          </w:p>
        </w:tc>
      </w:tr>
      <w:tr w14:paraId="6D2DE6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0CCF8E9A">
            <w:pPr>
              <w:spacing w:before="91" w:line="195" w:lineRule="auto"/>
              <w:ind w:left="18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w:t>
            </w:r>
          </w:p>
        </w:tc>
        <w:tc>
          <w:tcPr>
            <w:tcW w:w="1553" w:type="dxa"/>
            <w:vAlign w:val="top"/>
          </w:tcPr>
          <w:p w14:paraId="3A06B240">
            <w:pPr>
              <w:spacing w:before="17" w:line="281" w:lineRule="exact"/>
              <w:ind w:left="242"/>
              <w:rPr>
                <w:rFonts w:ascii="宋体" w:hAnsi="宋体" w:eastAsia="宋体" w:cs="宋体"/>
                <w:sz w:val="20"/>
                <w:szCs w:val="20"/>
              </w:rPr>
            </w:pPr>
            <w:r>
              <w:rPr>
                <w:rFonts w:ascii="宋体" w:hAnsi="宋体" w:eastAsia="宋体" w:cs="宋体"/>
                <w:spacing w:val="8"/>
                <w:position w:val="2"/>
                <w:sz w:val="20"/>
                <w:szCs w:val="20"/>
              </w:rPr>
              <w:t>苯</w:t>
            </w:r>
            <w:r>
              <w:rPr>
                <w:rFonts w:ascii="宋体" w:hAnsi="宋体" w:eastAsia="宋体" w:cs="宋体"/>
                <w:spacing w:val="6"/>
                <w:position w:val="2"/>
                <w:sz w:val="20"/>
                <w:szCs w:val="20"/>
              </w:rPr>
              <w:t>并</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b</w:t>
            </w:r>
            <w:r>
              <w:rPr>
                <w:rFonts w:ascii="Times New Roman" w:hAnsi="Times New Roman" w:eastAsia="Times New Roman" w:cs="Times New Roman"/>
                <w:spacing w:val="6"/>
                <w:position w:val="2"/>
                <w:sz w:val="20"/>
                <w:szCs w:val="20"/>
              </w:rPr>
              <w:t>]</w:t>
            </w:r>
            <w:r>
              <w:rPr>
                <w:rFonts w:ascii="宋体" w:hAnsi="宋体" w:eastAsia="宋体" w:cs="宋体"/>
                <w:spacing w:val="6"/>
                <w:position w:val="2"/>
                <w:sz w:val="20"/>
                <w:szCs w:val="20"/>
              </w:rPr>
              <w:t>荧蒽</w:t>
            </w:r>
          </w:p>
        </w:tc>
        <w:tc>
          <w:tcPr>
            <w:tcW w:w="1445" w:type="dxa"/>
            <w:vAlign w:val="top"/>
          </w:tcPr>
          <w:p w14:paraId="29652AE8">
            <w:pPr>
              <w:spacing w:before="54" w:line="242" w:lineRule="auto"/>
              <w:ind w:left="507"/>
              <w:rPr>
                <w:rFonts w:ascii="Times New Roman" w:hAnsi="Times New Roman" w:eastAsia="Times New Roman" w:cs="Times New Roman"/>
                <w:sz w:val="20"/>
                <w:szCs w:val="20"/>
              </w:rPr>
            </w:pPr>
            <w:r>
              <w:rPr>
                <w:rFonts w:ascii="宋体" w:hAnsi="宋体" w:eastAsia="宋体" w:cs="宋体"/>
                <w:spacing w:val="-1"/>
                <w:sz w:val="20"/>
                <w:szCs w:val="20"/>
              </w:rPr>
              <w:t>＜</w:t>
            </w:r>
            <w:r>
              <w:rPr>
                <w:rFonts w:ascii="Times New Roman" w:hAnsi="Times New Roman" w:eastAsia="Times New Roman" w:cs="Times New Roman"/>
                <w:spacing w:val="-1"/>
                <w:sz w:val="20"/>
                <w:szCs w:val="20"/>
              </w:rPr>
              <w:t>0</w:t>
            </w:r>
            <w:r>
              <w:rPr>
                <w:rFonts w:ascii="Times New Roman" w:hAnsi="Times New Roman" w:eastAsia="Times New Roman" w:cs="Times New Roman"/>
                <w:sz w:val="20"/>
                <w:szCs w:val="20"/>
              </w:rPr>
              <w:t>.2</w:t>
            </w:r>
          </w:p>
        </w:tc>
        <w:tc>
          <w:tcPr>
            <w:tcW w:w="2096" w:type="dxa"/>
            <w:vAlign w:val="top"/>
          </w:tcPr>
          <w:p w14:paraId="5A549E5F">
            <w:pPr>
              <w:spacing w:before="54" w:line="242" w:lineRule="auto"/>
              <w:ind w:left="833"/>
              <w:rPr>
                <w:rFonts w:ascii="Times New Roman" w:hAnsi="Times New Roman" w:eastAsia="Times New Roman" w:cs="Times New Roman"/>
                <w:sz w:val="20"/>
                <w:szCs w:val="20"/>
              </w:rPr>
            </w:pPr>
            <w:r>
              <w:rPr>
                <w:rFonts w:ascii="宋体" w:hAnsi="宋体" w:eastAsia="宋体" w:cs="宋体"/>
                <w:spacing w:val="-1"/>
                <w:sz w:val="20"/>
                <w:szCs w:val="20"/>
              </w:rPr>
              <w:t>＜</w:t>
            </w:r>
            <w:r>
              <w:rPr>
                <w:rFonts w:ascii="Times New Roman" w:hAnsi="Times New Roman" w:eastAsia="Times New Roman" w:cs="Times New Roman"/>
                <w:spacing w:val="-1"/>
                <w:sz w:val="20"/>
                <w:szCs w:val="20"/>
              </w:rPr>
              <w:t>0</w:t>
            </w:r>
            <w:r>
              <w:rPr>
                <w:rFonts w:ascii="Times New Roman" w:hAnsi="Times New Roman" w:eastAsia="Times New Roman" w:cs="Times New Roman"/>
                <w:sz w:val="20"/>
                <w:szCs w:val="20"/>
              </w:rPr>
              <w:t>.2</w:t>
            </w:r>
          </w:p>
        </w:tc>
        <w:tc>
          <w:tcPr>
            <w:tcW w:w="2097" w:type="dxa"/>
            <w:vAlign w:val="top"/>
          </w:tcPr>
          <w:p w14:paraId="28EB3881">
            <w:pPr>
              <w:spacing w:before="54" w:line="242" w:lineRule="auto"/>
              <w:ind w:left="832"/>
              <w:rPr>
                <w:rFonts w:ascii="Times New Roman" w:hAnsi="Times New Roman" w:eastAsia="Times New Roman" w:cs="Times New Roman"/>
                <w:sz w:val="20"/>
                <w:szCs w:val="20"/>
              </w:rPr>
            </w:pPr>
            <w:r>
              <w:rPr>
                <w:rFonts w:ascii="宋体" w:hAnsi="宋体" w:eastAsia="宋体" w:cs="宋体"/>
                <w:sz w:val="20"/>
                <w:szCs w:val="20"/>
              </w:rPr>
              <w:t>＜</w:t>
            </w:r>
            <w:r>
              <w:rPr>
                <w:rFonts w:ascii="Times New Roman" w:hAnsi="Times New Roman" w:eastAsia="Times New Roman" w:cs="Times New Roman"/>
                <w:sz w:val="20"/>
                <w:szCs w:val="20"/>
              </w:rPr>
              <w:t>0.2</w:t>
            </w:r>
          </w:p>
        </w:tc>
        <w:tc>
          <w:tcPr>
            <w:tcW w:w="748" w:type="dxa"/>
            <w:tcBorders>
              <w:right w:val="nil"/>
            </w:tcBorders>
            <w:vAlign w:val="top"/>
          </w:tcPr>
          <w:p w14:paraId="122DB626">
            <w:pPr>
              <w:spacing w:before="17" w:line="281" w:lineRule="exact"/>
              <w:ind w:left="105"/>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21"/>
                <w:position w:val="4"/>
                <w:sz w:val="20"/>
                <w:szCs w:val="20"/>
              </w:rPr>
              <w:t>/</w:t>
            </w:r>
            <w:r>
              <w:rPr>
                <w:rFonts w:ascii="Times New Roman" w:hAnsi="Times New Roman" w:eastAsia="Times New Roman" w:cs="Times New Roman"/>
                <w:position w:val="4"/>
                <w:sz w:val="20"/>
                <w:szCs w:val="20"/>
              </w:rPr>
              <w:t>kg</w:t>
            </w:r>
          </w:p>
        </w:tc>
      </w:tr>
      <w:tr w14:paraId="48E42A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3788CB7A">
            <w:pPr>
              <w:spacing w:before="93" w:line="195" w:lineRule="auto"/>
              <w:ind w:left="18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43</w:t>
            </w:r>
          </w:p>
        </w:tc>
        <w:tc>
          <w:tcPr>
            <w:tcW w:w="1553" w:type="dxa"/>
            <w:vAlign w:val="top"/>
          </w:tcPr>
          <w:p w14:paraId="0A3C53D8">
            <w:pPr>
              <w:spacing w:before="19" w:line="281" w:lineRule="exact"/>
              <w:ind w:left="242"/>
              <w:rPr>
                <w:rFonts w:ascii="宋体" w:hAnsi="宋体" w:eastAsia="宋体" w:cs="宋体"/>
                <w:sz w:val="20"/>
                <w:szCs w:val="20"/>
              </w:rPr>
            </w:pPr>
            <w:r>
              <w:rPr>
                <w:rFonts w:ascii="宋体" w:hAnsi="宋体" w:eastAsia="宋体" w:cs="宋体"/>
                <w:spacing w:val="8"/>
                <w:position w:val="2"/>
                <w:sz w:val="20"/>
                <w:szCs w:val="20"/>
              </w:rPr>
              <w:t>苯</w:t>
            </w:r>
            <w:r>
              <w:rPr>
                <w:rFonts w:ascii="宋体" w:hAnsi="宋体" w:eastAsia="宋体" w:cs="宋体"/>
                <w:spacing w:val="6"/>
                <w:position w:val="2"/>
                <w:sz w:val="20"/>
                <w:szCs w:val="20"/>
              </w:rPr>
              <w:t>并</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k</w:t>
            </w:r>
            <w:r>
              <w:rPr>
                <w:rFonts w:ascii="Times New Roman" w:hAnsi="Times New Roman" w:eastAsia="Times New Roman" w:cs="Times New Roman"/>
                <w:spacing w:val="6"/>
                <w:position w:val="2"/>
                <w:sz w:val="20"/>
                <w:szCs w:val="20"/>
              </w:rPr>
              <w:t>]</w:t>
            </w:r>
            <w:r>
              <w:rPr>
                <w:rFonts w:ascii="宋体" w:hAnsi="宋体" w:eastAsia="宋体" w:cs="宋体"/>
                <w:spacing w:val="6"/>
                <w:position w:val="2"/>
                <w:sz w:val="20"/>
                <w:szCs w:val="20"/>
              </w:rPr>
              <w:t>荧蒽</w:t>
            </w:r>
          </w:p>
        </w:tc>
        <w:tc>
          <w:tcPr>
            <w:tcW w:w="1445" w:type="dxa"/>
            <w:vAlign w:val="top"/>
          </w:tcPr>
          <w:p w14:paraId="70B083FF">
            <w:pPr>
              <w:spacing w:before="54" w:line="242" w:lineRule="auto"/>
              <w:ind w:left="507"/>
              <w:rPr>
                <w:rFonts w:ascii="Times New Roman" w:hAnsi="Times New Roman" w:eastAsia="Times New Roman" w:cs="Times New Roman"/>
                <w:sz w:val="20"/>
                <w:szCs w:val="20"/>
              </w:rPr>
            </w:pPr>
            <w:r>
              <w:rPr>
                <w:rFonts w:ascii="宋体" w:hAnsi="宋体" w:eastAsia="宋体" w:cs="宋体"/>
                <w:spacing w:val="6"/>
                <w:sz w:val="20"/>
                <w:szCs w:val="20"/>
              </w:rPr>
              <w:t>＜</w:t>
            </w:r>
            <w:r>
              <w:rPr>
                <w:rFonts w:ascii="Times New Roman" w:hAnsi="Times New Roman" w:eastAsia="Times New Roman" w:cs="Times New Roman"/>
                <w:spacing w:val="4"/>
                <w:sz w:val="20"/>
                <w:szCs w:val="20"/>
              </w:rPr>
              <w:t>0.1</w:t>
            </w:r>
          </w:p>
        </w:tc>
        <w:tc>
          <w:tcPr>
            <w:tcW w:w="2096" w:type="dxa"/>
            <w:vAlign w:val="top"/>
          </w:tcPr>
          <w:p w14:paraId="513AA2BB">
            <w:pPr>
              <w:spacing w:before="54" w:line="242" w:lineRule="auto"/>
              <w:ind w:left="833"/>
              <w:rPr>
                <w:rFonts w:ascii="Times New Roman" w:hAnsi="Times New Roman" w:eastAsia="Times New Roman" w:cs="Times New Roman"/>
                <w:sz w:val="20"/>
                <w:szCs w:val="20"/>
              </w:rPr>
            </w:pPr>
            <w:r>
              <w:rPr>
                <w:rFonts w:ascii="宋体" w:hAnsi="宋体" w:eastAsia="宋体" w:cs="宋体"/>
                <w:spacing w:val="6"/>
                <w:sz w:val="20"/>
                <w:szCs w:val="20"/>
              </w:rPr>
              <w:t>＜</w:t>
            </w:r>
            <w:r>
              <w:rPr>
                <w:rFonts w:ascii="Times New Roman" w:hAnsi="Times New Roman" w:eastAsia="Times New Roman" w:cs="Times New Roman"/>
                <w:spacing w:val="4"/>
                <w:sz w:val="20"/>
                <w:szCs w:val="20"/>
              </w:rPr>
              <w:t>0.1</w:t>
            </w:r>
          </w:p>
        </w:tc>
        <w:tc>
          <w:tcPr>
            <w:tcW w:w="2097" w:type="dxa"/>
            <w:vAlign w:val="top"/>
          </w:tcPr>
          <w:p w14:paraId="44E6ADE3">
            <w:pPr>
              <w:spacing w:before="54" w:line="242" w:lineRule="auto"/>
              <w:ind w:left="832"/>
              <w:rPr>
                <w:rFonts w:ascii="Times New Roman" w:hAnsi="Times New Roman" w:eastAsia="Times New Roman" w:cs="Times New Roman"/>
                <w:sz w:val="20"/>
                <w:szCs w:val="20"/>
              </w:rPr>
            </w:pPr>
            <w:r>
              <w:rPr>
                <w:rFonts w:ascii="宋体" w:hAnsi="宋体" w:eastAsia="宋体" w:cs="宋体"/>
                <w:spacing w:val="5"/>
                <w:sz w:val="20"/>
                <w:szCs w:val="20"/>
              </w:rPr>
              <w:t>＜</w:t>
            </w:r>
            <w:r>
              <w:rPr>
                <w:rFonts w:ascii="Times New Roman" w:hAnsi="Times New Roman" w:eastAsia="Times New Roman" w:cs="Times New Roman"/>
                <w:spacing w:val="5"/>
                <w:sz w:val="20"/>
                <w:szCs w:val="20"/>
              </w:rPr>
              <w:t>0.1</w:t>
            </w:r>
          </w:p>
        </w:tc>
        <w:tc>
          <w:tcPr>
            <w:tcW w:w="748" w:type="dxa"/>
            <w:tcBorders>
              <w:right w:val="nil"/>
            </w:tcBorders>
            <w:vAlign w:val="top"/>
          </w:tcPr>
          <w:p w14:paraId="3B851B15">
            <w:pPr>
              <w:spacing w:before="19" w:line="281" w:lineRule="exact"/>
              <w:ind w:left="105"/>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21"/>
                <w:position w:val="4"/>
                <w:sz w:val="20"/>
                <w:szCs w:val="20"/>
              </w:rPr>
              <w:t>/</w:t>
            </w:r>
            <w:r>
              <w:rPr>
                <w:rFonts w:ascii="Times New Roman" w:hAnsi="Times New Roman" w:eastAsia="Times New Roman" w:cs="Times New Roman"/>
                <w:position w:val="4"/>
                <w:sz w:val="20"/>
                <w:szCs w:val="20"/>
              </w:rPr>
              <w:t>kg</w:t>
            </w:r>
          </w:p>
        </w:tc>
      </w:tr>
      <w:tr w14:paraId="02DF26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40F2AEA6">
            <w:pPr>
              <w:spacing w:before="92" w:line="195" w:lineRule="auto"/>
              <w:ind w:left="18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44</w:t>
            </w:r>
          </w:p>
        </w:tc>
        <w:tc>
          <w:tcPr>
            <w:tcW w:w="1553" w:type="dxa"/>
            <w:vAlign w:val="top"/>
          </w:tcPr>
          <w:p w14:paraId="6EC0EEA4">
            <w:pPr>
              <w:spacing w:before="56" w:line="229" w:lineRule="auto"/>
              <w:ind w:left="675"/>
              <w:rPr>
                <w:rFonts w:ascii="宋体" w:hAnsi="宋体" w:eastAsia="宋体" w:cs="宋体"/>
                <w:sz w:val="20"/>
                <w:szCs w:val="20"/>
              </w:rPr>
            </w:pPr>
            <w:r>
              <w:rPr>
                <w:rFonts w:ascii="宋体" w:hAnsi="宋体" w:eastAsia="宋体" w:cs="宋体"/>
                <w:spacing w:val="2"/>
                <w:sz w:val="20"/>
                <w:szCs w:val="20"/>
              </w:rPr>
              <w:t>䓛</w:t>
            </w:r>
          </w:p>
        </w:tc>
        <w:tc>
          <w:tcPr>
            <w:tcW w:w="1445" w:type="dxa"/>
            <w:vAlign w:val="top"/>
          </w:tcPr>
          <w:p w14:paraId="13DBB002">
            <w:pPr>
              <w:spacing w:before="54" w:line="242" w:lineRule="auto"/>
              <w:ind w:left="507"/>
              <w:rPr>
                <w:rFonts w:ascii="Times New Roman" w:hAnsi="Times New Roman" w:eastAsia="Times New Roman" w:cs="Times New Roman"/>
                <w:sz w:val="20"/>
                <w:szCs w:val="20"/>
              </w:rPr>
            </w:pPr>
            <w:r>
              <w:rPr>
                <w:rFonts w:ascii="宋体" w:hAnsi="宋体" w:eastAsia="宋体" w:cs="宋体"/>
                <w:spacing w:val="6"/>
                <w:sz w:val="20"/>
                <w:szCs w:val="20"/>
              </w:rPr>
              <w:t>＜</w:t>
            </w:r>
            <w:r>
              <w:rPr>
                <w:rFonts w:ascii="Times New Roman" w:hAnsi="Times New Roman" w:eastAsia="Times New Roman" w:cs="Times New Roman"/>
                <w:spacing w:val="4"/>
                <w:sz w:val="20"/>
                <w:szCs w:val="20"/>
              </w:rPr>
              <w:t>0.1</w:t>
            </w:r>
          </w:p>
        </w:tc>
        <w:tc>
          <w:tcPr>
            <w:tcW w:w="2096" w:type="dxa"/>
            <w:vAlign w:val="top"/>
          </w:tcPr>
          <w:p w14:paraId="2DF6EDF3">
            <w:pPr>
              <w:spacing w:before="54" w:line="242" w:lineRule="auto"/>
              <w:ind w:left="833"/>
              <w:rPr>
                <w:rFonts w:ascii="Times New Roman" w:hAnsi="Times New Roman" w:eastAsia="Times New Roman" w:cs="Times New Roman"/>
                <w:sz w:val="20"/>
                <w:szCs w:val="20"/>
              </w:rPr>
            </w:pPr>
            <w:r>
              <w:rPr>
                <w:rFonts w:ascii="宋体" w:hAnsi="宋体" w:eastAsia="宋体" w:cs="宋体"/>
                <w:spacing w:val="6"/>
                <w:sz w:val="20"/>
                <w:szCs w:val="20"/>
              </w:rPr>
              <w:t>＜</w:t>
            </w:r>
            <w:r>
              <w:rPr>
                <w:rFonts w:ascii="Times New Roman" w:hAnsi="Times New Roman" w:eastAsia="Times New Roman" w:cs="Times New Roman"/>
                <w:spacing w:val="4"/>
                <w:sz w:val="20"/>
                <w:szCs w:val="20"/>
              </w:rPr>
              <w:t>0.1</w:t>
            </w:r>
          </w:p>
        </w:tc>
        <w:tc>
          <w:tcPr>
            <w:tcW w:w="2097" w:type="dxa"/>
            <w:vAlign w:val="top"/>
          </w:tcPr>
          <w:p w14:paraId="68FC0B07">
            <w:pPr>
              <w:spacing w:before="54" w:line="242" w:lineRule="auto"/>
              <w:ind w:left="832"/>
              <w:rPr>
                <w:rFonts w:ascii="Times New Roman" w:hAnsi="Times New Roman" w:eastAsia="Times New Roman" w:cs="Times New Roman"/>
                <w:sz w:val="20"/>
                <w:szCs w:val="20"/>
              </w:rPr>
            </w:pPr>
            <w:r>
              <w:rPr>
                <w:rFonts w:ascii="宋体" w:hAnsi="宋体" w:eastAsia="宋体" w:cs="宋体"/>
                <w:spacing w:val="5"/>
                <w:sz w:val="20"/>
                <w:szCs w:val="20"/>
              </w:rPr>
              <w:t>＜</w:t>
            </w:r>
            <w:r>
              <w:rPr>
                <w:rFonts w:ascii="Times New Roman" w:hAnsi="Times New Roman" w:eastAsia="Times New Roman" w:cs="Times New Roman"/>
                <w:spacing w:val="5"/>
                <w:sz w:val="20"/>
                <w:szCs w:val="20"/>
              </w:rPr>
              <w:t>0.1</w:t>
            </w:r>
          </w:p>
        </w:tc>
        <w:tc>
          <w:tcPr>
            <w:tcW w:w="748" w:type="dxa"/>
            <w:tcBorders>
              <w:right w:val="nil"/>
            </w:tcBorders>
            <w:vAlign w:val="top"/>
          </w:tcPr>
          <w:p w14:paraId="260A8C3B">
            <w:pPr>
              <w:spacing w:before="19" w:line="281" w:lineRule="exact"/>
              <w:ind w:left="105"/>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21"/>
                <w:position w:val="4"/>
                <w:sz w:val="20"/>
                <w:szCs w:val="20"/>
              </w:rPr>
              <w:t>/</w:t>
            </w:r>
            <w:r>
              <w:rPr>
                <w:rFonts w:ascii="Times New Roman" w:hAnsi="Times New Roman" w:eastAsia="Times New Roman" w:cs="Times New Roman"/>
                <w:position w:val="4"/>
                <w:sz w:val="20"/>
                <w:szCs w:val="20"/>
              </w:rPr>
              <w:t>kg</w:t>
            </w:r>
          </w:p>
        </w:tc>
      </w:tr>
      <w:tr w14:paraId="4ED4E2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6593FD00">
            <w:pPr>
              <w:spacing w:before="92" w:line="195" w:lineRule="auto"/>
              <w:ind w:left="18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w:t>
            </w:r>
          </w:p>
        </w:tc>
        <w:tc>
          <w:tcPr>
            <w:tcW w:w="1553" w:type="dxa"/>
            <w:vAlign w:val="top"/>
          </w:tcPr>
          <w:p w14:paraId="733BF5B9">
            <w:pPr>
              <w:spacing w:before="18" w:line="281" w:lineRule="exact"/>
              <w:ind w:left="92"/>
              <w:rPr>
                <w:rFonts w:ascii="宋体" w:hAnsi="宋体" w:eastAsia="宋体" w:cs="宋体"/>
                <w:sz w:val="20"/>
                <w:szCs w:val="20"/>
              </w:rPr>
            </w:pPr>
            <w:r>
              <w:rPr>
                <w:rFonts w:ascii="宋体" w:hAnsi="宋体" w:eastAsia="宋体" w:cs="宋体"/>
                <w:spacing w:val="1"/>
                <w:position w:val="2"/>
                <w:sz w:val="20"/>
                <w:szCs w:val="20"/>
              </w:rPr>
              <w:t>二苯并</w:t>
            </w:r>
            <w:r>
              <w:rPr>
                <w:rFonts w:ascii="Times New Roman" w:hAnsi="Times New Roman" w:eastAsia="Times New Roman" w:cs="Times New Roman"/>
                <w:position w:val="2"/>
                <w:sz w:val="20"/>
                <w:szCs w:val="20"/>
              </w:rPr>
              <w:t xml:space="preserve">[a </w:t>
            </w:r>
            <w:r>
              <w:rPr>
                <w:rFonts w:ascii="宋体" w:hAnsi="宋体" w:eastAsia="宋体" w:cs="宋体"/>
                <w:position w:val="2"/>
                <w:sz w:val="20"/>
                <w:szCs w:val="20"/>
              </w:rPr>
              <w:t>，</w:t>
            </w:r>
            <w:r>
              <w:rPr>
                <w:rFonts w:ascii="Times New Roman" w:hAnsi="Times New Roman" w:eastAsia="Times New Roman" w:cs="Times New Roman"/>
                <w:position w:val="2"/>
                <w:sz w:val="20"/>
                <w:szCs w:val="20"/>
              </w:rPr>
              <w:t>h]</w:t>
            </w:r>
            <w:r>
              <w:rPr>
                <w:rFonts w:ascii="宋体" w:hAnsi="宋体" w:eastAsia="宋体" w:cs="宋体"/>
                <w:position w:val="2"/>
                <w:sz w:val="20"/>
                <w:szCs w:val="20"/>
              </w:rPr>
              <w:t>蒽</w:t>
            </w:r>
          </w:p>
        </w:tc>
        <w:tc>
          <w:tcPr>
            <w:tcW w:w="1445" w:type="dxa"/>
            <w:vAlign w:val="top"/>
          </w:tcPr>
          <w:p w14:paraId="78AC3D41">
            <w:pPr>
              <w:spacing w:before="56"/>
              <w:ind w:left="507"/>
              <w:rPr>
                <w:rFonts w:ascii="Times New Roman" w:hAnsi="Times New Roman" w:eastAsia="Times New Roman" w:cs="Times New Roman"/>
                <w:sz w:val="20"/>
                <w:szCs w:val="20"/>
              </w:rPr>
            </w:pPr>
            <w:r>
              <w:rPr>
                <w:rFonts w:ascii="宋体" w:hAnsi="宋体" w:eastAsia="宋体" w:cs="宋体"/>
                <w:spacing w:val="6"/>
                <w:sz w:val="20"/>
                <w:szCs w:val="20"/>
              </w:rPr>
              <w:t>＜</w:t>
            </w:r>
            <w:r>
              <w:rPr>
                <w:rFonts w:ascii="Times New Roman" w:hAnsi="Times New Roman" w:eastAsia="Times New Roman" w:cs="Times New Roman"/>
                <w:spacing w:val="4"/>
                <w:sz w:val="20"/>
                <w:szCs w:val="20"/>
              </w:rPr>
              <w:t>0.1</w:t>
            </w:r>
          </w:p>
        </w:tc>
        <w:tc>
          <w:tcPr>
            <w:tcW w:w="2096" w:type="dxa"/>
            <w:vAlign w:val="top"/>
          </w:tcPr>
          <w:p w14:paraId="6E9A000B">
            <w:pPr>
              <w:spacing w:before="56"/>
              <w:ind w:left="833"/>
              <w:rPr>
                <w:rFonts w:ascii="Times New Roman" w:hAnsi="Times New Roman" w:eastAsia="Times New Roman" w:cs="Times New Roman"/>
                <w:sz w:val="20"/>
                <w:szCs w:val="20"/>
              </w:rPr>
            </w:pPr>
            <w:r>
              <w:rPr>
                <w:rFonts w:ascii="宋体" w:hAnsi="宋体" w:eastAsia="宋体" w:cs="宋体"/>
                <w:spacing w:val="6"/>
                <w:sz w:val="20"/>
                <w:szCs w:val="20"/>
              </w:rPr>
              <w:t>＜</w:t>
            </w:r>
            <w:r>
              <w:rPr>
                <w:rFonts w:ascii="Times New Roman" w:hAnsi="Times New Roman" w:eastAsia="Times New Roman" w:cs="Times New Roman"/>
                <w:spacing w:val="4"/>
                <w:sz w:val="20"/>
                <w:szCs w:val="20"/>
              </w:rPr>
              <w:t>0.1</w:t>
            </w:r>
          </w:p>
        </w:tc>
        <w:tc>
          <w:tcPr>
            <w:tcW w:w="2097" w:type="dxa"/>
            <w:vAlign w:val="top"/>
          </w:tcPr>
          <w:p w14:paraId="53116F9A">
            <w:pPr>
              <w:spacing w:before="56"/>
              <w:ind w:left="832"/>
              <w:rPr>
                <w:rFonts w:ascii="Times New Roman" w:hAnsi="Times New Roman" w:eastAsia="Times New Roman" w:cs="Times New Roman"/>
                <w:sz w:val="20"/>
                <w:szCs w:val="20"/>
              </w:rPr>
            </w:pPr>
            <w:r>
              <w:rPr>
                <w:rFonts w:ascii="宋体" w:hAnsi="宋体" w:eastAsia="宋体" w:cs="宋体"/>
                <w:spacing w:val="5"/>
                <w:sz w:val="20"/>
                <w:szCs w:val="20"/>
              </w:rPr>
              <w:t>＜</w:t>
            </w:r>
            <w:r>
              <w:rPr>
                <w:rFonts w:ascii="Times New Roman" w:hAnsi="Times New Roman" w:eastAsia="Times New Roman" w:cs="Times New Roman"/>
                <w:spacing w:val="5"/>
                <w:sz w:val="20"/>
                <w:szCs w:val="20"/>
              </w:rPr>
              <w:t>0.1</w:t>
            </w:r>
          </w:p>
        </w:tc>
        <w:tc>
          <w:tcPr>
            <w:tcW w:w="748" w:type="dxa"/>
            <w:tcBorders>
              <w:right w:val="nil"/>
            </w:tcBorders>
            <w:vAlign w:val="top"/>
          </w:tcPr>
          <w:p w14:paraId="654106C5">
            <w:pPr>
              <w:spacing w:before="18" w:line="281" w:lineRule="exact"/>
              <w:ind w:left="105"/>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21"/>
                <w:position w:val="4"/>
                <w:sz w:val="20"/>
                <w:szCs w:val="20"/>
              </w:rPr>
              <w:t>/</w:t>
            </w:r>
            <w:r>
              <w:rPr>
                <w:rFonts w:ascii="Times New Roman" w:hAnsi="Times New Roman" w:eastAsia="Times New Roman" w:cs="Times New Roman"/>
                <w:position w:val="4"/>
                <w:sz w:val="20"/>
                <w:szCs w:val="20"/>
              </w:rPr>
              <w:t>kg</w:t>
            </w:r>
          </w:p>
        </w:tc>
      </w:tr>
      <w:tr w14:paraId="7CD36C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3" w:type="dxa"/>
            <w:tcBorders>
              <w:left w:val="nil"/>
            </w:tcBorders>
            <w:vAlign w:val="top"/>
          </w:tcPr>
          <w:p w14:paraId="6E1A425C">
            <w:pPr>
              <w:spacing w:before="91" w:line="195" w:lineRule="auto"/>
              <w:ind w:left="18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46</w:t>
            </w:r>
          </w:p>
        </w:tc>
        <w:tc>
          <w:tcPr>
            <w:tcW w:w="1553" w:type="dxa"/>
            <w:vAlign w:val="top"/>
          </w:tcPr>
          <w:p w14:paraId="0470FD9B">
            <w:pPr>
              <w:spacing w:before="18" w:line="281" w:lineRule="exact"/>
              <w:ind w:left="59"/>
              <w:rPr>
                <w:rFonts w:ascii="宋体" w:hAnsi="宋体" w:eastAsia="宋体" w:cs="宋体"/>
                <w:sz w:val="20"/>
                <w:szCs w:val="20"/>
              </w:rPr>
            </w:pPr>
            <w:r>
              <w:rPr>
                <w:rFonts w:ascii="宋体" w:hAnsi="宋体" w:eastAsia="宋体" w:cs="宋体"/>
                <w:spacing w:val="6"/>
                <w:position w:val="2"/>
                <w:sz w:val="20"/>
                <w:szCs w:val="20"/>
              </w:rPr>
              <w:t>茚</w:t>
            </w:r>
            <w:r>
              <w:rPr>
                <w:rFonts w:ascii="宋体" w:hAnsi="宋体" w:eastAsia="宋体" w:cs="宋体"/>
                <w:spacing w:val="5"/>
                <w:position w:val="2"/>
                <w:sz w:val="20"/>
                <w:szCs w:val="20"/>
              </w:rPr>
              <w:t>并</w:t>
            </w:r>
            <w:r>
              <w:rPr>
                <w:rFonts w:ascii="Times New Roman" w:hAnsi="Times New Roman" w:eastAsia="Times New Roman" w:cs="Times New Roman"/>
                <w:spacing w:val="5"/>
                <w:position w:val="2"/>
                <w:sz w:val="20"/>
                <w:szCs w:val="20"/>
              </w:rPr>
              <w:t>[1,2,3-</w:t>
            </w:r>
            <w:r>
              <w:rPr>
                <w:rFonts w:ascii="Times New Roman" w:hAnsi="Times New Roman" w:eastAsia="Times New Roman" w:cs="Times New Roman"/>
                <w:position w:val="2"/>
                <w:sz w:val="20"/>
                <w:szCs w:val="20"/>
              </w:rPr>
              <w:t>cd</w:t>
            </w:r>
            <w:r>
              <w:rPr>
                <w:rFonts w:ascii="Times New Roman" w:hAnsi="Times New Roman" w:eastAsia="Times New Roman" w:cs="Times New Roman"/>
                <w:spacing w:val="5"/>
                <w:position w:val="2"/>
                <w:sz w:val="20"/>
                <w:szCs w:val="20"/>
              </w:rPr>
              <w:t>]</w:t>
            </w:r>
            <w:r>
              <w:rPr>
                <w:rFonts w:ascii="宋体" w:hAnsi="宋体" w:eastAsia="宋体" w:cs="宋体"/>
                <w:spacing w:val="5"/>
                <w:position w:val="2"/>
                <w:sz w:val="20"/>
                <w:szCs w:val="20"/>
              </w:rPr>
              <w:t>芘</w:t>
            </w:r>
          </w:p>
        </w:tc>
        <w:tc>
          <w:tcPr>
            <w:tcW w:w="1445" w:type="dxa"/>
            <w:vAlign w:val="top"/>
          </w:tcPr>
          <w:p w14:paraId="113172FB">
            <w:pPr>
              <w:spacing w:before="55" w:line="241" w:lineRule="auto"/>
              <w:ind w:left="507"/>
              <w:rPr>
                <w:rFonts w:ascii="Times New Roman" w:hAnsi="Times New Roman" w:eastAsia="Times New Roman" w:cs="Times New Roman"/>
                <w:sz w:val="20"/>
                <w:szCs w:val="20"/>
              </w:rPr>
            </w:pPr>
            <w:r>
              <w:rPr>
                <w:rFonts w:ascii="宋体" w:hAnsi="宋体" w:eastAsia="宋体" w:cs="宋体"/>
                <w:spacing w:val="6"/>
                <w:sz w:val="20"/>
                <w:szCs w:val="20"/>
              </w:rPr>
              <w:t>＜</w:t>
            </w:r>
            <w:r>
              <w:rPr>
                <w:rFonts w:ascii="Times New Roman" w:hAnsi="Times New Roman" w:eastAsia="Times New Roman" w:cs="Times New Roman"/>
                <w:spacing w:val="4"/>
                <w:sz w:val="20"/>
                <w:szCs w:val="20"/>
              </w:rPr>
              <w:t>0.1</w:t>
            </w:r>
          </w:p>
        </w:tc>
        <w:tc>
          <w:tcPr>
            <w:tcW w:w="2096" w:type="dxa"/>
            <w:vAlign w:val="top"/>
          </w:tcPr>
          <w:p w14:paraId="5051DC40">
            <w:pPr>
              <w:spacing w:before="55" w:line="241" w:lineRule="auto"/>
              <w:ind w:left="833"/>
              <w:rPr>
                <w:rFonts w:ascii="Times New Roman" w:hAnsi="Times New Roman" w:eastAsia="Times New Roman" w:cs="Times New Roman"/>
                <w:sz w:val="20"/>
                <w:szCs w:val="20"/>
              </w:rPr>
            </w:pPr>
            <w:r>
              <w:rPr>
                <w:rFonts w:ascii="宋体" w:hAnsi="宋体" w:eastAsia="宋体" w:cs="宋体"/>
                <w:spacing w:val="6"/>
                <w:sz w:val="20"/>
                <w:szCs w:val="20"/>
              </w:rPr>
              <w:t>＜</w:t>
            </w:r>
            <w:r>
              <w:rPr>
                <w:rFonts w:ascii="Times New Roman" w:hAnsi="Times New Roman" w:eastAsia="Times New Roman" w:cs="Times New Roman"/>
                <w:spacing w:val="4"/>
                <w:sz w:val="20"/>
                <w:szCs w:val="20"/>
              </w:rPr>
              <w:t>0.1</w:t>
            </w:r>
          </w:p>
        </w:tc>
        <w:tc>
          <w:tcPr>
            <w:tcW w:w="2097" w:type="dxa"/>
            <w:vAlign w:val="top"/>
          </w:tcPr>
          <w:p w14:paraId="43945B25">
            <w:pPr>
              <w:spacing w:before="55" w:line="241" w:lineRule="auto"/>
              <w:ind w:left="832"/>
              <w:rPr>
                <w:rFonts w:ascii="Times New Roman" w:hAnsi="Times New Roman" w:eastAsia="Times New Roman" w:cs="Times New Roman"/>
                <w:sz w:val="20"/>
                <w:szCs w:val="20"/>
              </w:rPr>
            </w:pPr>
            <w:r>
              <w:rPr>
                <w:rFonts w:ascii="宋体" w:hAnsi="宋体" w:eastAsia="宋体" w:cs="宋体"/>
                <w:spacing w:val="5"/>
                <w:sz w:val="20"/>
                <w:szCs w:val="20"/>
              </w:rPr>
              <w:t>＜</w:t>
            </w:r>
            <w:r>
              <w:rPr>
                <w:rFonts w:ascii="Times New Roman" w:hAnsi="Times New Roman" w:eastAsia="Times New Roman" w:cs="Times New Roman"/>
                <w:spacing w:val="5"/>
                <w:sz w:val="20"/>
                <w:szCs w:val="20"/>
              </w:rPr>
              <w:t>0.1</w:t>
            </w:r>
          </w:p>
        </w:tc>
        <w:tc>
          <w:tcPr>
            <w:tcW w:w="748" w:type="dxa"/>
            <w:tcBorders>
              <w:right w:val="nil"/>
            </w:tcBorders>
            <w:vAlign w:val="top"/>
          </w:tcPr>
          <w:p w14:paraId="22D39F6B">
            <w:pPr>
              <w:spacing w:before="18" w:line="281" w:lineRule="exact"/>
              <w:ind w:left="105"/>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21"/>
                <w:position w:val="4"/>
                <w:sz w:val="20"/>
                <w:szCs w:val="20"/>
              </w:rPr>
              <w:t>/</w:t>
            </w:r>
            <w:r>
              <w:rPr>
                <w:rFonts w:ascii="Times New Roman" w:hAnsi="Times New Roman" w:eastAsia="Times New Roman" w:cs="Times New Roman"/>
                <w:position w:val="4"/>
                <w:sz w:val="20"/>
                <w:szCs w:val="20"/>
              </w:rPr>
              <w:t>kg</w:t>
            </w:r>
          </w:p>
        </w:tc>
      </w:tr>
      <w:tr w14:paraId="022BAD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583" w:type="dxa"/>
            <w:tcBorders>
              <w:left w:val="nil"/>
            </w:tcBorders>
            <w:vAlign w:val="top"/>
          </w:tcPr>
          <w:p w14:paraId="674D68AF">
            <w:pPr>
              <w:spacing w:before="91" w:line="195" w:lineRule="auto"/>
              <w:ind w:left="18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47</w:t>
            </w:r>
          </w:p>
        </w:tc>
        <w:tc>
          <w:tcPr>
            <w:tcW w:w="1553" w:type="dxa"/>
            <w:vAlign w:val="top"/>
          </w:tcPr>
          <w:p w14:paraId="5ED5ECF0">
            <w:pPr>
              <w:spacing w:before="56" w:line="228" w:lineRule="auto"/>
              <w:ind w:left="677"/>
              <w:rPr>
                <w:rFonts w:ascii="宋体" w:hAnsi="宋体" w:eastAsia="宋体" w:cs="宋体"/>
                <w:sz w:val="20"/>
                <w:szCs w:val="20"/>
              </w:rPr>
            </w:pPr>
            <w:r>
              <w:rPr>
                <w:rFonts w:ascii="宋体" w:hAnsi="宋体" w:eastAsia="宋体" w:cs="宋体"/>
                <w:sz w:val="20"/>
                <w:szCs w:val="20"/>
              </w:rPr>
              <w:t>萘</w:t>
            </w:r>
          </w:p>
        </w:tc>
        <w:tc>
          <w:tcPr>
            <w:tcW w:w="1445" w:type="dxa"/>
            <w:vAlign w:val="top"/>
          </w:tcPr>
          <w:p w14:paraId="4DC44854">
            <w:pPr>
              <w:spacing w:before="55" w:line="265" w:lineRule="exact"/>
              <w:ind w:left="454"/>
              <w:rPr>
                <w:rFonts w:ascii="Times New Roman" w:hAnsi="Times New Roman" w:eastAsia="Times New Roman" w:cs="Times New Roman"/>
                <w:sz w:val="20"/>
                <w:szCs w:val="20"/>
              </w:rPr>
            </w:pPr>
            <w:r>
              <w:rPr>
                <w:rFonts w:ascii="宋体" w:hAnsi="宋体" w:eastAsia="宋体" w:cs="宋体"/>
                <w:spacing w:val="2"/>
                <w:position w:val="1"/>
                <w:sz w:val="20"/>
                <w:szCs w:val="20"/>
              </w:rPr>
              <w:t>＜</w:t>
            </w:r>
            <w:r>
              <w:rPr>
                <w:rFonts w:ascii="Times New Roman" w:hAnsi="Times New Roman" w:eastAsia="Times New Roman" w:cs="Times New Roman"/>
                <w:spacing w:val="1"/>
                <w:position w:val="1"/>
                <w:sz w:val="20"/>
                <w:szCs w:val="20"/>
              </w:rPr>
              <w:t>0.09</w:t>
            </w:r>
          </w:p>
        </w:tc>
        <w:tc>
          <w:tcPr>
            <w:tcW w:w="2096" w:type="dxa"/>
            <w:vAlign w:val="top"/>
          </w:tcPr>
          <w:p w14:paraId="6D9C1BDB">
            <w:pPr>
              <w:spacing w:before="55" w:line="265" w:lineRule="exact"/>
              <w:ind w:left="780"/>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0.</w:t>
            </w:r>
            <w:r>
              <w:rPr>
                <w:rFonts w:ascii="Times New Roman" w:hAnsi="Times New Roman" w:eastAsia="Times New Roman" w:cs="Times New Roman"/>
                <w:position w:val="1"/>
                <w:sz w:val="20"/>
                <w:szCs w:val="20"/>
              </w:rPr>
              <w:t>09</w:t>
            </w:r>
          </w:p>
        </w:tc>
        <w:tc>
          <w:tcPr>
            <w:tcW w:w="2097" w:type="dxa"/>
            <w:vAlign w:val="top"/>
          </w:tcPr>
          <w:p w14:paraId="034CD838">
            <w:pPr>
              <w:spacing w:before="55" w:line="265" w:lineRule="exact"/>
              <w:ind w:left="779"/>
              <w:rPr>
                <w:rFonts w:ascii="Times New Roman" w:hAnsi="Times New Roman" w:eastAsia="Times New Roman" w:cs="Times New Roman"/>
                <w:sz w:val="20"/>
                <w:szCs w:val="20"/>
              </w:rPr>
            </w:pPr>
            <w:r>
              <w:rPr>
                <w:rFonts w:ascii="宋体" w:hAnsi="宋体" w:eastAsia="宋体" w:cs="宋体"/>
                <w:spacing w:val="2"/>
                <w:position w:val="1"/>
                <w:sz w:val="20"/>
                <w:szCs w:val="20"/>
              </w:rPr>
              <w:t>＜</w:t>
            </w:r>
            <w:r>
              <w:rPr>
                <w:rFonts w:ascii="Times New Roman" w:hAnsi="Times New Roman" w:eastAsia="Times New Roman" w:cs="Times New Roman"/>
                <w:spacing w:val="1"/>
                <w:position w:val="1"/>
                <w:sz w:val="20"/>
                <w:szCs w:val="20"/>
              </w:rPr>
              <w:t>0.09</w:t>
            </w:r>
          </w:p>
        </w:tc>
        <w:tc>
          <w:tcPr>
            <w:tcW w:w="748" w:type="dxa"/>
            <w:tcBorders>
              <w:right w:val="nil"/>
            </w:tcBorders>
            <w:vAlign w:val="top"/>
          </w:tcPr>
          <w:p w14:paraId="172FC1EE">
            <w:pPr>
              <w:spacing w:before="18" w:line="281" w:lineRule="exact"/>
              <w:ind w:left="105"/>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21"/>
                <w:position w:val="4"/>
                <w:sz w:val="20"/>
                <w:szCs w:val="20"/>
              </w:rPr>
              <w:t>/</w:t>
            </w:r>
            <w:r>
              <w:rPr>
                <w:rFonts w:ascii="Times New Roman" w:hAnsi="Times New Roman" w:eastAsia="Times New Roman" w:cs="Times New Roman"/>
                <w:position w:val="4"/>
                <w:sz w:val="20"/>
                <w:szCs w:val="20"/>
              </w:rPr>
              <w:t>kg</w:t>
            </w:r>
          </w:p>
        </w:tc>
      </w:tr>
    </w:tbl>
    <w:p w14:paraId="3A66E6C6">
      <w:pPr>
        <w:rPr>
          <w:rFonts w:ascii="Arial"/>
          <w:sz w:val="21"/>
        </w:rPr>
      </w:pPr>
    </w:p>
    <w:p w14:paraId="544A84E4">
      <w:pPr>
        <w:sectPr>
          <w:footerReference r:id="rId184" w:type="default"/>
          <w:pgSz w:w="11906" w:h="16839"/>
          <w:pgMar w:top="1132" w:right="1606" w:bottom="1182" w:left="1777" w:header="878" w:footer="1022" w:gutter="0"/>
          <w:cols w:space="720" w:num="1"/>
        </w:sectPr>
      </w:pPr>
    </w:p>
    <w:p w14:paraId="4A351B28">
      <w:pPr>
        <w:spacing w:line="356" w:lineRule="auto"/>
        <w:rPr>
          <w:rFonts w:ascii="Arial"/>
          <w:sz w:val="21"/>
        </w:rPr>
      </w:pPr>
      <w:r>
        <w:pict>
          <v:shape id="_x0000_s1229" o:spid="_x0000_s1229" style="position:absolute;left:0pt;margin-left:90pt;margin-top:57.35pt;height:0.75pt;width:415.3pt;mso-position-horizontal-relative:page;mso-position-vertical-relative:page;z-index:251881472;mso-width-relative:page;mso-height-relative:page;" fillcolor="#000000" filled="t" stroked="f" coordsize="8305,15" o:allowincell="f" path="m0,0l8305,0,8305,14,0,14,0,0xe">
            <v:path/>
            <v:fill on="t" focussize="0,0"/>
            <v:stroke on="f"/>
            <v:imagedata o:title=""/>
            <o:lock v:ext="edit"/>
          </v:shape>
        </w:pict>
      </w:r>
    </w:p>
    <w:p w14:paraId="079FCA7E">
      <w:pPr>
        <w:spacing w:before="91" w:line="219" w:lineRule="auto"/>
        <w:ind w:left="115"/>
        <w:outlineLvl w:val="2"/>
        <w:rPr>
          <w:rFonts w:ascii="宋体" w:hAnsi="宋体" w:eastAsia="宋体" w:cs="宋体"/>
          <w:sz w:val="28"/>
          <w:szCs w:val="28"/>
        </w:rPr>
      </w:pPr>
      <w:r>
        <w:rPr>
          <w:rFonts w:ascii="Times New Roman" w:hAnsi="Times New Roman" w:eastAsia="Times New Roman" w:cs="Times New Roman"/>
          <w:b/>
          <w:bCs/>
          <w:spacing w:val="16"/>
          <w:sz w:val="28"/>
          <w:szCs w:val="28"/>
        </w:rPr>
        <w:t>4</w:t>
      </w:r>
      <w:r>
        <w:rPr>
          <w:rFonts w:ascii="Times New Roman" w:hAnsi="Times New Roman" w:eastAsia="Times New Roman" w:cs="Times New Roman"/>
          <w:b/>
          <w:bCs/>
          <w:spacing w:val="13"/>
          <w:sz w:val="28"/>
          <w:szCs w:val="28"/>
        </w:rPr>
        <w:t>.</w:t>
      </w:r>
      <w:r>
        <w:rPr>
          <w:rFonts w:ascii="Times New Roman" w:hAnsi="Times New Roman" w:eastAsia="Times New Roman" w:cs="Times New Roman"/>
          <w:b/>
          <w:bCs/>
          <w:spacing w:val="8"/>
          <w:sz w:val="28"/>
          <w:szCs w:val="28"/>
        </w:rPr>
        <w:t>3.4.2</w:t>
      </w:r>
      <w:r>
        <w:rPr>
          <w:rFonts w:ascii="Times New Roman" w:hAnsi="Times New Roman" w:eastAsia="Times New Roman" w:cs="Times New Roman"/>
          <w:spacing w:val="8"/>
          <w:sz w:val="28"/>
          <w:szCs w:val="28"/>
        </w:rPr>
        <w:t xml:space="preserve"> </w:t>
      </w:r>
      <w:r>
        <w:rPr>
          <w:rFonts w:ascii="宋体" w:hAnsi="宋体" w:eastAsia="宋体" w:cs="宋体"/>
          <w:spacing w:val="8"/>
          <w:sz w:val="28"/>
          <w:szCs w:val="28"/>
          <w14:textOutline w14:w="5103" w14:cap="sq" w14:cmpd="sng">
            <w14:solidFill>
              <w14:srgbClr w14:val="000000"/>
            </w14:solidFill>
            <w14:prstDash w14:val="solid"/>
            <w14:bevel/>
          </w14:textOutline>
        </w:rPr>
        <w:t>土壤环境质量现状评价</w:t>
      </w:r>
    </w:p>
    <w:p w14:paraId="2DAEEFE8">
      <w:pPr>
        <w:spacing w:line="263" w:lineRule="auto"/>
        <w:rPr>
          <w:rFonts w:ascii="Arial"/>
          <w:sz w:val="21"/>
        </w:rPr>
      </w:pPr>
    </w:p>
    <w:p w14:paraId="7CF2CED1">
      <w:pPr>
        <w:spacing w:before="75" w:line="226" w:lineRule="auto"/>
        <w:ind w:left="128"/>
        <w:rPr>
          <w:rFonts w:ascii="宋体" w:hAnsi="宋体" w:eastAsia="宋体" w:cs="宋体"/>
          <w:sz w:val="23"/>
          <w:szCs w:val="23"/>
        </w:rPr>
      </w:pPr>
      <w:r>
        <w:rPr>
          <w:rFonts w:ascii="宋体" w:hAnsi="宋体" w:eastAsia="宋体" w:cs="宋体"/>
          <w:spacing w:val="28"/>
          <w:sz w:val="23"/>
          <w:szCs w:val="23"/>
        </w:rPr>
        <w:t>(</w:t>
      </w:r>
      <w:r>
        <w:rPr>
          <w:rFonts w:ascii="Times New Roman" w:hAnsi="Times New Roman" w:eastAsia="Times New Roman" w:cs="Times New Roman"/>
          <w:spacing w:val="28"/>
          <w:sz w:val="23"/>
          <w:szCs w:val="23"/>
        </w:rPr>
        <w:t>1</w:t>
      </w:r>
      <w:r>
        <w:rPr>
          <w:rFonts w:ascii="宋体" w:hAnsi="宋体" w:eastAsia="宋体" w:cs="宋体"/>
          <w:spacing w:val="28"/>
          <w:sz w:val="23"/>
          <w:szCs w:val="23"/>
        </w:rPr>
        <w:t>) 评价标</w:t>
      </w:r>
      <w:r>
        <w:rPr>
          <w:rFonts w:ascii="宋体" w:hAnsi="宋体" w:eastAsia="宋体" w:cs="宋体"/>
          <w:spacing w:val="27"/>
          <w:sz w:val="23"/>
          <w:szCs w:val="23"/>
        </w:rPr>
        <w:t>准</w:t>
      </w:r>
    </w:p>
    <w:p w14:paraId="14ED043E">
      <w:pPr>
        <w:spacing w:line="277" w:lineRule="auto"/>
        <w:rPr>
          <w:rFonts w:ascii="Arial"/>
          <w:sz w:val="21"/>
        </w:rPr>
      </w:pPr>
    </w:p>
    <w:p w14:paraId="4DC47E52">
      <w:pPr>
        <w:spacing w:before="75" w:line="391" w:lineRule="auto"/>
        <w:ind w:left="116" w:right="107" w:firstLine="483"/>
        <w:rPr>
          <w:rFonts w:ascii="宋体" w:hAnsi="宋体" w:eastAsia="宋体" w:cs="宋体"/>
          <w:sz w:val="23"/>
          <w:szCs w:val="23"/>
        </w:rPr>
      </w:pPr>
      <w:r>
        <w:rPr>
          <w:rFonts w:ascii="宋体" w:hAnsi="宋体" w:eastAsia="宋体" w:cs="宋体"/>
          <w:spacing w:val="19"/>
          <w:sz w:val="23"/>
          <w:szCs w:val="23"/>
        </w:rPr>
        <w:t>建</w:t>
      </w:r>
      <w:r>
        <w:rPr>
          <w:rFonts w:ascii="宋体" w:hAnsi="宋体" w:eastAsia="宋体" w:cs="宋体"/>
          <w:spacing w:val="10"/>
          <w:sz w:val="23"/>
          <w:szCs w:val="23"/>
        </w:rPr>
        <w:t>设项目占地范围内土壤环境质量参照执行《土壤环境质量 建设用地土壤</w:t>
      </w:r>
      <w:r>
        <w:rPr>
          <w:rFonts w:ascii="宋体" w:hAnsi="宋体" w:eastAsia="宋体" w:cs="宋体"/>
          <w:sz w:val="23"/>
          <w:szCs w:val="23"/>
        </w:rPr>
        <w:t xml:space="preserve"> </w:t>
      </w:r>
      <w:r>
        <w:rPr>
          <w:rFonts w:ascii="宋体" w:hAnsi="宋体" w:eastAsia="宋体" w:cs="宋体"/>
          <w:spacing w:val="14"/>
          <w:sz w:val="23"/>
          <w:szCs w:val="23"/>
        </w:rPr>
        <w:t>污</w:t>
      </w:r>
      <w:r>
        <w:rPr>
          <w:rFonts w:ascii="宋体" w:hAnsi="宋体" w:eastAsia="宋体" w:cs="宋体"/>
          <w:spacing w:val="10"/>
          <w:sz w:val="23"/>
          <w:szCs w:val="23"/>
        </w:rPr>
        <w:t>染</w:t>
      </w:r>
      <w:r>
        <w:rPr>
          <w:rFonts w:ascii="宋体" w:hAnsi="宋体" w:eastAsia="宋体" w:cs="宋体"/>
          <w:spacing w:val="7"/>
          <w:sz w:val="23"/>
          <w:szCs w:val="23"/>
        </w:rPr>
        <w:t>风险管控标准 (试行) 》  (</w:t>
      </w:r>
      <w:r>
        <w:rPr>
          <w:rFonts w:ascii="Times New Roman" w:hAnsi="Times New Roman" w:eastAsia="Times New Roman" w:cs="Times New Roman"/>
          <w:sz w:val="23"/>
          <w:szCs w:val="23"/>
        </w:rPr>
        <w:t>GB</w:t>
      </w:r>
      <w:r>
        <w:rPr>
          <w:rFonts w:ascii="Times New Roman" w:hAnsi="Times New Roman" w:eastAsia="Times New Roman" w:cs="Times New Roman"/>
          <w:spacing w:val="7"/>
          <w:sz w:val="23"/>
          <w:szCs w:val="23"/>
        </w:rPr>
        <w:t>36600-2018</w:t>
      </w:r>
      <w:r>
        <w:rPr>
          <w:rFonts w:ascii="宋体" w:hAnsi="宋体" w:eastAsia="宋体" w:cs="宋体"/>
          <w:spacing w:val="7"/>
          <w:sz w:val="23"/>
          <w:szCs w:val="23"/>
        </w:rPr>
        <w:t>) 中筛选值第二类标准，具体见</w:t>
      </w:r>
      <w:r>
        <w:rPr>
          <w:rFonts w:ascii="宋体" w:hAnsi="宋体" w:eastAsia="宋体" w:cs="宋体"/>
          <w:sz w:val="23"/>
          <w:szCs w:val="23"/>
        </w:rPr>
        <w:t xml:space="preserve"> </w:t>
      </w:r>
      <w:r>
        <w:rPr>
          <w:rFonts w:ascii="宋体" w:hAnsi="宋体" w:eastAsia="宋体" w:cs="宋体"/>
          <w:spacing w:val="-6"/>
          <w:sz w:val="23"/>
          <w:szCs w:val="23"/>
        </w:rPr>
        <w:t>表</w:t>
      </w:r>
      <w:r>
        <w:rPr>
          <w:rFonts w:ascii="宋体" w:hAnsi="宋体" w:eastAsia="宋体" w:cs="宋体"/>
          <w:spacing w:val="-5"/>
          <w:sz w:val="23"/>
          <w:szCs w:val="23"/>
        </w:rPr>
        <w:t xml:space="preserve"> </w:t>
      </w:r>
      <w:r>
        <w:rPr>
          <w:rFonts w:ascii="Times New Roman" w:hAnsi="Times New Roman" w:eastAsia="Times New Roman" w:cs="Times New Roman"/>
          <w:spacing w:val="-5"/>
          <w:sz w:val="23"/>
          <w:szCs w:val="23"/>
        </w:rPr>
        <w:t>4-20</w:t>
      </w:r>
      <w:r>
        <w:rPr>
          <w:rFonts w:ascii="宋体" w:hAnsi="宋体" w:eastAsia="宋体" w:cs="宋体"/>
          <w:spacing w:val="-5"/>
          <w:sz w:val="23"/>
          <w:szCs w:val="23"/>
        </w:rPr>
        <w:t>：</w:t>
      </w:r>
    </w:p>
    <w:p w14:paraId="6D13D907">
      <w:pPr>
        <w:spacing w:before="87" w:line="332" w:lineRule="exact"/>
        <w:ind w:left="1779"/>
        <w:rPr>
          <w:rFonts w:ascii="Times New Roman" w:hAnsi="Times New Roman" w:eastAsia="Times New Roman" w:cs="Times New Roman"/>
          <w:sz w:val="23"/>
          <w:szCs w:val="23"/>
        </w:rPr>
      </w:pPr>
      <w:r>
        <w:rPr>
          <w:rFonts w:ascii="宋体" w:hAnsi="宋体" w:eastAsia="宋体" w:cs="宋体"/>
          <w:spacing w:val="8"/>
          <w:position w:val="3"/>
          <w:sz w:val="23"/>
          <w:szCs w:val="23"/>
          <w14:textOutline w14:w="4358" w14:cap="sq" w14:cmpd="sng">
            <w14:solidFill>
              <w14:srgbClr w14:val="000000"/>
            </w14:solidFill>
            <w14:prstDash w14:val="solid"/>
            <w14:bevel/>
          </w14:textOutline>
        </w:rPr>
        <w:t>表</w:t>
      </w:r>
      <w:r>
        <w:rPr>
          <w:rFonts w:ascii="宋体" w:hAnsi="宋体" w:eastAsia="宋体" w:cs="宋体"/>
          <w:spacing w:val="5"/>
          <w:position w:val="3"/>
          <w:sz w:val="23"/>
          <w:szCs w:val="23"/>
        </w:rPr>
        <w:t xml:space="preserve"> </w:t>
      </w:r>
      <w:r>
        <w:rPr>
          <w:rFonts w:ascii="Times New Roman" w:hAnsi="Times New Roman" w:eastAsia="Times New Roman" w:cs="Times New Roman"/>
          <w:b/>
          <w:bCs/>
          <w:spacing w:val="5"/>
          <w:position w:val="3"/>
          <w:sz w:val="23"/>
          <w:szCs w:val="23"/>
        </w:rPr>
        <w:t>4-20</w:t>
      </w:r>
      <w:r>
        <w:rPr>
          <w:rFonts w:ascii="Times New Roman" w:hAnsi="Times New Roman" w:eastAsia="Times New Roman" w:cs="Times New Roman"/>
          <w:spacing w:val="5"/>
          <w:position w:val="3"/>
          <w:sz w:val="23"/>
          <w:szCs w:val="23"/>
        </w:rPr>
        <w:t xml:space="preserve">        </w:t>
      </w:r>
      <w:r>
        <w:rPr>
          <w:rFonts w:ascii="宋体" w:hAnsi="宋体" w:eastAsia="宋体" w:cs="宋体"/>
          <w:spacing w:val="5"/>
          <w:position w:val="3"/>
          <w:sz w:val="23"/>
          <w:szCs w:val="23"/>
          <w14:textOutline w14:w="4358" w14:cap="sq" w14:cmpd="sng">
            <w14:solidFill>
              <w14:srgbClr w14:val="000000"/>
            </w14:solidFill>
            <w14:prstDash w14:val="solid"/>
            <w14:bevel/>
          </w14:textOutline>
        </w:rPr>
        <w:t>土壤环境质量标准</w:t>
      </w:r>
      <w:r>
        <w:rPr>
          <w:rFonts w:ascii="宋体" w:hAnsi="宋体" w:eastAsia="宋体" w:cs="宋体"/>
          <w:spacing w:val="5"/>
          <w:position w:val="3"/>
          <w:sz w:val="23"/>
          <w:szCs w:val="23"/>
        </w:rPr>
        <w:t xml:space="preserve">    </w:t>
      </w:r>
      <w:r>
        <w:rPr>
          <w:rFonts w:ascii="宋体" w:hAnsi="宋体" w:eastAsia="宋体" w:cs="宋体"/>
          <w:spacing w:val="5"/>
          <w:position w:val="3"/>
          <w:sz w:val="23"/>
          <w:szCs w:val="23"/>
          <w14:textOutline w14:w="4358" w14:cap="sq" w14:cmpd="sng">
            <w14:solidFill>
              <w14:srgbClr w14:val="000000"/>
            </w14:solidFill>
            <w14:prstDash w14:val="solid"/>
            <w14:bevel/>
          </w14:textOutline>
        </w:rPr>
        <w:t>单位：</w:t>
      </w:r>
      <w:r>
        <w:rPr>
          <w:rFonts w:ascii="Times New Roman" w:hAnsi="Times New Roman" w:eastAsia="Times New Roman" w:cs="Times New Roman"/>
          <w:b/>
          <w:bCs/>
          <w:position w:val="3"/>
          <w:sz w:val="23"/>
          <w:szCs w:val="23"/>
        </w:rPr>
        <w:t>mg</w:t>
      </w:r>
      <w:r>
        <w:rPr>
          <w:rFonts w:ascii="Times New Roman" w:hAnsi="Times New Roman" w:eastAsia="Times New Roman" w:cs="Times New Roman"/>
          <w:b/>
          <w:bCs/>
          <w:spacing w:val="5"/>
          <w:position w:val="3"/>
          <w:sz w:val="23"/>
          <w:szCs w:val="23"/>
        </w:rPr>
        <w:t>/</w:t>
      </w:r>
      <w:r>
        <w:rPr>
          <w:rFonts w:ascii="Times New Roman" w:hAnsi="Times New Roman" w:eastAsia="Times New Roman" w:cs="Times New Roman"/>
          <w:b/>
          <w:bCs/>
          <w:position w:val="3"/>
          <w:sz w:val="23"/>
          <w:szCs w:val="23"/>
        </w:rPr>
        <w:t>kg</w:t>
      </w:r>
    </w:p>
    <w:p w14:paraId="06E4F839">
      <w:pPr>
        <w:spacing w:line="16"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0"/>
        <w:gridCol w:w="2130"/>
        <w:gridCol w:w="2130"/>
        <w:gridCol w:w="2132"/>
      </w:tblGrid>
      <w:tr w14:paraId="6E2BE5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2130" w:type="dxa"/>
            <w:tcBorders>
              <w:left w:val="nil"/>
              <w:right w:val="single" w:color="000000" w:sz="4" w:space="0"/>
            </w:tcBorders>
            <w:vAlign w:val="top"/>
          </w:tcPr>
          <w:p w14:paraId="18120529">
            <w:pPr>
              <w:spacing w:before="76" w:line="228" w:lineRule="auto"/>
              <w:ind w:left="549"/>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污</w:t>
            </w:r>
            <w:r>
              <w:rPr>
                <w:rFonts w:ascii="宋体" w:hAnsi="宋体" w:eastAsia="宋体" w:cs="宋体"/>
                <w:spacing w:val="8"/>
                <w:sz w:val="20"/>
                <w:szCs w:val="20"/>
                <w14:textOutline w14:w="3795" w14:cap="sq" w14:cmpd="sng">
                  <w14:solidFill>
                    <w14:srgbClr w14:val="000000"/>
                  </w14:solidFill>
                  <w14:prstDash w14:val="solid"/>
                  <w14:bevel/>
                </w14:textOutline>
              </w:rPr>
              <w:t>染物项目</w:t>
            </w:r>
          </w:p>
        </w:tc>
        <w:tc>
          <w:tcPr>
            <w:tcW w:w="2130" w:type="dxa"/>
            <w:tcBorders>
              <w:left w:val="single" w:color="000000" w:sz="4" w:space="0"/>
              <w:right w:val="single" w:color="000000" w:sz="4" w:space="0"/>
            </w:tcBorders>
            <w:vAlign w:val="top"/>
          </w:tcPr>
          <w:p w14:paraId="45F0239C">
            <w:pPr>
              <w:spacing w:before="75" w:line="228" w:lineRule="auto"/>
              <w:ind w:left="116"/>
              <w:rPr>
                <w:rFonts w:ascii="宋体" w:hAnsi="宋体" w:eastAsia="宋体" w:cs="宋体"/>
                <w:sz w:val="20"/>
                <w:szCs w:val="20"/>
              </w:rPr>
            </w:pPr>
            <w:r>
              <w:rPr>
                <w:rFonts w:ascii="宋体" w:hAnsi="宋体" w:eastAsia="宋体" w:cs="宋体"/>
                <w:spacing w:val="14"/>
                <w:sz w:val="20"/>
                <w:szCs w:val="20"/>
                <w14:textOutline w14:w="3795" w14:cap="sq" w14:cmpd="sng">
                  <w14:solidFill>
                    <w14:srgbClr w14:val="000000"/>
                  </w14:solidFill>
                  <w14:prstDash w14:val="solid"/>
                  <w14:bevel/>
                </w14:textOutline>
              </w:rPr>
              <w:t>筛</w:t>
            </w:r>
            <w:r>
              <w:rPr>
                <w:rFonts w:ascii="宋体" w:hAnsi="宋体" w:eastAsia="宋体" w:cs="宋体"/>
                <w:spacing w:val="9"/>
                <w:sz w:val="20"/>
                <w:szCs w:val="20"/>
                <w14:textOutline w14:w="3795" w14:cap="sq" w14:cmpd="sng">
                  <w14:solidFill>
                    <w14:srgbClr w14:val="000000"/>
                  </w14:solidFill>
                  <w14:prstDash w14:val="solid"/>
                  <w14:bevel/>
                </w14:textOutline>
              </w:rPr>
              <w:t>选值(第二类用地)</w:t>
            </w:r>
          </w:p>
        </w:tc>
        <w:tc>
          <w:tcPr>
            <w:tcW w:w="2130" w:type="dxa"/>
            <w:tcBorders>
              <w:left w:val="single" w:color="000000" w:sz="4" w:space="0"/>
              <w:right w:val="single" w:color="000000" w:sz="4" w:space="0"/>
            </w:tcBorders>
            <w:vAlign w:val="top"/>
          </w:tcPr>
          <w:p w14:paraId="46817218">
            <w:pPr>
              <w:spacing w:before="76" w:line="228" w:lineRule="auto"/>
              <w:ind w:left="544"/>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污</w:t>
            </w:r>
            <w:r>
              <w:rPr>
                <w:rFonts w:ascii="宋体" w:hAnsi="宋体" w:eastAsia="宋体" w:cs="宋体"/>
                <w:spacing w:val="8"/>
                <w:sz w:val="20"/>
                <w:szCs w:val="20"/>
                <w14:textOutline w14:w="3795" w14:cap="sq" w14:cmpd="sng">
                  <w14:solidFill>
                    <w14:srgbClr w14:val="000000"/>
                  </w14:solidFill>
                  <w14:prstDash w14:val="solid"/>
                  <w14:bevel/>
                </w14:textOutline>
              </w:rPr>
              <w:t>染物项目</w:t>
            </w:r>
          </w:p>
        </w:tc>
        <w:tc>
          <w:tcPr>
            <w:tcW w:w="2132" w:type="dxa"/>
            <w:tcBorders>
              <w:left w:val="single" w:color="000000" w:sz="4" w:space="0"/>
              <w:right w:val="nil"/>
            </w:tcBorders>
            <w:vAlign w:val="top"/>
          </w:tcPr>
          <w:p w14:paraId="7F397953">
            <w:pPr>
              <w:spacing w:before="75" w:line="228" w:lineRule="auto"/>
              <w:ind w:left="116"/>
              <w:rPr>
                <w:rFonts w:ascii="宋体" w:hAnsi="宋体" w:eastAsia="宋体" w:cs="宋体"/>
                <w:sz w:val="20"/>
                <w:szCs w:val="20"/>
              </w:rPr>
            </w:pPr>
            <w:r>
              <w:rPr>
                <w:rFonts w:ascii="宋体" w:hAnsi="宋体" w:eastAsia="宋体" w:cs="宋体"/>
                <w:spacing w:val="16"/>
                <w:sz w:val="20"/>
                <w:szCs w:val="20"/>
                <w14:textOutline w14:w="3795" w14:cap="sq" w14:cmpd="sng">
                  <w14:solidFill>
                    <w14:srgbClr w14:val="000000"/>
                  </w14:solidFill>
                  <w14:prstDash w14:val="solid"/>
                  <w14:bevel/>
                </w14:textOutline>
              </w:rPr>
              <w:t>筛</w:t>
            </w:r>
            <w:r>
              <w:rPr>
                <w:rFonts w:ascii="宋体" w:hAnsi="宋体" w:eastAsia="宋体" w:cs="宋体"/>
                <w:spacing w:val="9"/>
                <w:sz w:val="20"/>
                <w:szCs w:val="20"/>
                <w14:textOutline w14:w="3795" w14:cap="sq" w14:cmpd="sng">
                  <w14:solidFill>
                    <w14:srgbClr w14:val="000000"/>
                  </w14:solidFill>
                  <w14:prstDash w14:val="solid"/>
                  <w14:bevel/>
                </w14:textOutline>
              </w:rPr>
              <w:t>选值(第二类用地)</w:t>
            </w:r>
          </w:p>
        </w:tc>
      </w:tr>
      <w:tr w14:paraId="16CBD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130" w:type="dxa"/>
            <w:tcBorders>
              <w:left w:val="nil"/>
              <w:right w:val="single" w:color="000000" w:sz="4" w:space="0"/>
            </w:tcBorders>
            <w:vAlign w:val="top"/>
          </w:tcPr>
          <w:p w14:paraId="6CF05B3E">
            <w:pPr>
              <w:spacing w:before="55" w:line="228" w:lineRule="auto"/>
              <w:ind w:left="967"/>
              <w:rPr>
                <w:rFonts w:ascii="宋体" w:hAnsi="宋体" w:eastAsia="宋体" w:cs="宋体"/>
                <w:sz w:val="20"/>
                <w:szCs w:val="20"/>
              </w:rPr>
            </w:pPr>
            <w:r>
              <w:rPr>
                <w:rFonts w:ascii="宋体" w:hAnsi="宋体" w:eastAsia="宋体" w:cs="宋体"/>
                <w:spacing w:val="1"/>
                <w:sz w:val="20"/>
                <w:szCs w:val="20"/>
              </w:rPr>
              <w:t>砷</w:t>
            </w:r>
          </w:p>
        </w:tc>
        <w:tc>
          <w:tcPr>
            <w:tcW w:w="2130" w:type="dxa"/>
            <w:tcBorders>
              <w:left w:val="single" w:color="000000" w:sz="4" w:space="0"/>
              <w:right w:val="single" w:color="000000" w:sz="4" w:space="0"/>
            </w:tcBorders>
            <w:vAlign w:val="top"/>
          </w:tcPr>
          <w:p w14:paraId="7A9FAA76">
            <w:pPr>
              <w:spacing w:before="91" w:line="195" w:lineRule="auto"/>
              <w:ind w:left="96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0</w:t>
            </w:r>
          </w:p>
        </w:tc>
        <w:tc>
          <w:tcPr>
            <w:tcW w:w="2130" w:type="dxa"/>
            <w:tcBorders>
              <w:left w:val="single" w:color="000000" w:sz="4" w:space="0"/>
              <w:right w:val="single" w:color="000000" w:sz="4" w:space="0"/>
            </w:tcBorders>
            <w:vAlign w:val="top"/>
          </w:tcPr>
          <w:p w14:paraId="6CE84FFB">
            <w:pPr>
              <w:spacing w:before="55" w:line="228" w:lineRule="auto"/>
              <w:ind w:left="648"/>
              <w:rPr>
                <w:rFonts w:ascii="宋体" w:hAnsi="宋体" w:eastAsia="宋体" w:cs="宋体"/>
                <w:sz w:val="20"/>
                <w:szCs w:val="20"/>
              </w:rPr>
            </w:pPr>
            <w:r>
              <w:rPr>
                <w:rFonts w:ascii="宋体" w:hAnsi="宋体" w:eastAsia="宋体" w:cs="宋体"/>
                <w:spacing w:val="8"/>
                <w:sz w:val="20"/>
                <w:szCs w:val="20"/>
              </w:rPr>
              <w:t>三</w:t>
            </w:r>
            <w:r>
              <w:rPr>
                <w:rFonts w:ascii="宋体" w:hAnsi="宋体" w:eastAsia="宋体" w:cs="宋体"/>
                <w:spacing w:val="7"/>
                <w:sz w:val="20"/>
                <w:szCs w:val="20"/>
              </w:rPr>
              <w:t>氯乙烯</w:t>
            </w:r>
          </w:p>
        </w:tc>
        <w:tc>
          <w:tcPr>
            <w:tcW w:w="2132" w:type="dxa"/>
            <w:tcBorders>
              <w:left w:val="single" w:color="000000" w:sz="4" w:space="0"/>
              <w:right w:val="nil"/>
            </w:tcBorders>
            <w:vAlign w:val="top"/>
          </w:tcPr>
          <w:p w14:paraId="6B4144C7">
            <w:pPr>
              <w:spacing w:before="91" w:line="198" w:lineRule="auto"/>
              <w:ind w:left="93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5"/>
                <w:sz w:val="20"/>
                <w:szCs w:val="20"/>
              </w:rPr>
              <w:t>.8</w:t>
            </w:r>
          </w:p>
        </w:tc>
      </w:tr>
      <w:tr w14:paraId="6A7380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130" w:type="dxa"/>
            <w:tcBorders>
              <w:left w:val="nil"/>
              <w:right w:val="single" w:color="000000" w:sz="4" w:space="0"/>
            </w:tcBorders>
            <w:vAlign w:val="top"/>
          </w:tcPr>
          <w:p w14:paraId="0FA57DC4">
            <w:pPr>
              <w:spacing w:before="54" w:line="231" w:lineRule="auto"/>
              <w:ind w:left="966"/>
              <w:rPr>
                <w:rFonts w:ascii="宋体" w:hAnsi="宋体" w:eastAsia="宋体" w:cs="宋体"/>
                <w:sz w:val="20"/>
                <w:szCs w:val="20"/>
              </w:rPr>
            </w:pPr>
            <w:r>
              <w:rPr>
                <w:rFonts w:ascii="宋体" w:hAnsi="宋体" w:eastAsia="宋体" w:cs="宋体"/>
                <w:spacing w:val="2"/>
                <w:sz w:val="20"/>
                <w:szCs w:val="20"/>
              </w:rPr>
              <w:t>镉</w:t>
            </w:r>
          </w:p>
        </w:tc>
        <w:tc>
          <w:tcPr>
            <w:tcW w:w="2130" w:type="dxa"/>
            <w:tcBorders>
              <w:left w:val="single" w:color="000000" w:sz="4" w:space="0"/>
              <w:right w:val="single" w:color="000000" w:sz="4" w:space="0"/>
            </w:tcBorders>
            <w:vAlign w:val="top"/>
          </w:tcPr>
          <w:p w14:paraId="7A3D7DCC">
            <w:pPr>
              <w:spacing w:before="90" w:line="195" w:lineRule="auto"/>
              <w:ind w:left="96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5</w:t>
            </w:r>
          </w:p>
        </w:tc>
        <w:tc>
          <w:tcPr>
            <w:tcW w:w="2130" w:type="dxa"/>
            <w:tcBorders>
              <w:left w:val="single" w:color="000000" w:sz="4" w:space="0"/>
              <w:right w:val="single" w:color="000000" w:sz="4" w:space="0"/>
            </w:tcBorders>
            <w:vAlign w:val="top"/>
          </w:tcPr>
          <w:p w14:paraId="2DB6CE45">
            <w:pPr>
              <w:spacing w:before="55" w:line="233" w:lineRule="auto"/>
              <w:ind w:left="420"/>
              <w:rPr>
                <w:rFonts w:ascii="宋体" w:hAnsi="宋体" w:eastAsia="宋体" w:cs="宋体"/>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2,3-</w:t>
            </w:r>
            <w:r>
              <w:rPr>
                <w:rFonts w:ascii="宋体" w:hAnsi="宋体" w:eastAsia="宋体" w:cs="宋体"/>
                <w:spacing w:val="3"/>
                <w:sz w:val="20"/>
                <w:szCs w:val="20"/>
              </w:rPr>
              <w:t>三氯丙烷</w:t>
            </w:r>
          </w:p>
        </w:tc>
        <w:tc>
          <w:tcPr>
            <w:tcW w:w="2132" w:type="dxa"/>
            <w:tcBorders>
              <w:left w:val="single" w:color="000000" w:sz="4" w:space="0"/>
              <w:right w:val="nil"/>
            </w:tcBorders>
            <w:vAlign w:val="top"/>
          </w:tcPr>
          <w:p w14:paraId="2E6754FE">
            <w:pPr>
              <w:spacing w:before="91" w:line="195" w:lineRule="auto"/>
              <w:ind w:left="93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.5</w:t>
            </w:r>
          </w:p>
        </w:tc>
      </w:tr>
      <w:tr w14:paraId="5E597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130" w:type="dxa"/>
            <w:tcBorders>
              <w:left w:val="nil"/>
              <w:right w:val="single" w:color="000000" w:sz="4" w:space="0"/>
            </w:tcBorders>
            <w:vAlign w:val="top"/>
          </w:tcPr>
          <w:p w14:paraId="2D7D459F">
            <w:pPr>
              <w:spacing w:before="54" w:line="226" w:lineRule="auto"/>
              <w:ind w:left="547"/>
              <w:rPr>
                <w:rFonts w:ascii="宋体" w:hAnsi="宋体" w:eastAsia="宋体" w:cs="宋体"/>
                <w:sz w:val="20"/>
                <w:szCs w:val="20"/>
              </w:rPr>
            </w:pPr>
            <w:r>
              <w:rPr>
                <w:rFonts w:ascii="宋体" w:hAnsi="宋体" w:eastAsia="宋体" w:cs="宋体"/>
                <w:spacing w:val="5"/>
                <w:sz w:val="20"/>
                <w:szCs w:val="20"/>
              </w:rPr>
              <w:t>铬 (六价)</w:t>
            </w:r>
          </w:p>
        </w:tc>
        <w:tc>
          <w:tcPr>
            <w:tcW w:w="2130" w:type="dxa"/>
            <w:tcBorders>
              <w:left w:val="single" w:color="000000" w:sz="4" w:space="0"/>
              <w:right w:val="single" w:color="000000" w:sz="4" w:space="0"/>
            </w:tcBorders>
            <w:vAlign w:val="top"/>
          </w:tcPr>
          <w:p w14:paraId="02FB95E4">
            <w:pPr>
              <w:spacing w:before="93" w:line="192" w:lineRule="auto"/>
              <w:ind w:left="93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5.7</w:t>
            </w:r>
          </w:p>
        </w:tc>
        <w:tc>
          <w:tcPr>
            <w:tcW w:w="2130" w:type="dxa"/>
            <w:tcBorders>
              <w:left w:val="single" w:color="000000" w:sz="4" w:space="0"/>
              <w:right w:val="single" w:color="000000" w:sz="4" w:space="0"/>
            </w:tcBorders>
            <w:vAlign w:val="top"/>
          </w:tcPr>
          <w:p w14:paraId="0AD0C61C">
            <w:pPr>
              <w:spacing w:before="53" w:line="228" w:lineRule="auto"/>
              <w:ind w:left="755"/>
              <w:rPr>
                <w:rFonts w:ascii="宋体" w:hAnsi="宋体" w:eastAsia="宋体" w:cs="宋体"/>
                <w:sz w:val="20"/>
                <w:szCs w:val="20"/>
              </w:rPr>
            </w:pPr>
            <w:r>
              <w:rPr>
                <w:rFonts w:ascii="宋体" w:hAnsi="宋体" w:eastAsia="宋体" w:cs="宋体"/>
                <w:spacing w:val="6"/>
                <w:sz w:val="20"/>
                <w:szCs w:val="20"/>
              </w:rPr>
              <w:t>氯乙</w:t>
            </w:r>
            <w:r>
              <w:rPr>
                <w:rFonts w:ascii="宋体" w:hAnsi="宋体" w:eastAsia="宋体" w:cs="宋体"/>
                <w:spacing w:val="5"/>
                <w:sz w:val="20"/>
                <w:szCs w:val="20"/>
              </w:rPr>
              <w:t>烯</w:t>
            </w:r>
          </w:p>
        </w:tc>
        <w:tc>
          <w:tcPr>
            <w:tcW w:w="2132" w:type="dxa"/>
            <w:tcBorders>
              <w:left w:val="single" w:color="000000" w:sz="4" w:space="0"/>
              <w:right w:val="nil"/>
            </w:tcBorders>
            <w:vAlign w:val="top"/>
          </w:tcPr>
          <w:p w14:paraId="232D138F">
            <w:pPr>
              <w:spacing w:before="90" w:line="195" w:lineRule="auto"/>
              <w:ind w:left="88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.43</w:t>
            </w:r>
          </w:p>
        </w:tc>
      </w:tr>
      <w:tr w14:paraId="068DE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130" w:type="dxa"/>
            <w:tcBorders>
              <w:left w:val="nil"/>
              <w:right w:val="single" w:color="000000" w:sz="4" w:space="0"/>
            </w:tcBorders>
            <w:vAlign w:val="top"/>
          </w:tcPr>
          <w:p w14:paraId="4A1C11FC">
            <w:pPr>
              <w:spacing w:before="53" w:line="229" w:lineRule="auto"/>
              <w:ind w:left="968"/>
              <w:rPr>
                <w:rFonts w:ascii="宋体" w:hAnsi="宋体" w:eastAsia="宋体" w:cs="宋体"/>
                <w:sz w:val="20"/>
                <w:szCs w:val="20"/>
              </w:rPr>
            </w:pPr>
            <w:r>
              <w:rPr>
                <w:rFonts w:ascii="宋体" w:hAnsi="宋体" w:eastAsia="宋体" w:cs="宋体"/>
                <w:sz w:val="20"/>
                <w:szCs w:val="20"/>
              </w:rPr>
              <w:t>铜</w:t>
            </w:r>
          </w:p>
        </w:tc>
        <w:tc>
          <w:tcPr>
            <w:tcW w:w="2130" w:type="dxa"/>
            <w:tcBorders>
              <w:left w:val="single" w:color="000000" w:sz="4" w:space="0"/>
              <w:right w:val="single" w:color="000000" w:sz="4" w:space="0"/>
            </w:tcBorders>
            <w:vAlign w:val="top"/>
          </w:tcPr>
          <w:p w14:paraId="74378734">
            <w:pPr>
              <w:spacing w:before="89" w:line="195" w:lineRule="auto"/>
              <w:ind w:left="822"/>
              <w:rPr>
                <w:rFonts w:ascii="Times New Roman" w:hAnsi="Times New Roman" w:eastAsia="Times New Roman" w:cs="Times New Roman"/>
                <w:sz w:val="20"/>
                <w:szCs w:val="20"/>
              </w:rPr>
            </w:pPr>
            <w:r>
              <w:rPr>
                <w:rFonts w:ascii="Times New Roman" w:hAnsi="Times New Roman" w:eastAsia="Times New Roman" w:cs="Times New Roman"/>
                <w:sz w:val="20"/>
                <w:szCs w:val="20"/>
              </w:rPr>
              <w:t>18000</w:t>
            </w:r>
          </w:p>
        </w:tc>
        <w:tc>
          <w:tcPr>
            <w:tcW w:w="2130" w:type="dxa"/>
            <w:tcBorders>
              <w:left w:val="single" w:color="000000" w:sz="4" w:space="0"/>
              <w:right w:val="single" w:color="000000" w:sz="4" w:space="0"/>
            </w:tcBorders>
            <w:vAlign w:val="top"/>
          </w:tcPr>
          <w:p w14:paraId="0645846F">
            <w:pPr>
              <w:spacing w:before="53" w:line="227" w:lineRule="auto"/>
              <w:ind w:left="965"/>
              <w:rPr>
                <w:rFonts w:ascii="宋体" w:hAnsi="宋体" w:eastAsia="宋体" w:cs="宋体"/>
                <w:sz w:val="20"/>
                <w:szCs w:val="20"/>
              </w:rPr>
            </w:pPr>
            <w:r>
              <w:rPr>
                <w:rFonts w:ascii="宋体" w:hAnsi="宋体" w:eastAsia="宋体" w:cs="宋体"/>
                <w:sz w:val="20"/>
                <w:szCs w:val="20"/>
              </w:rPr>
              <w:t>苯</w:t>
            </w:r>
          </w:p>
        </w:tc>
        <w:tc>
          <w:tcPr>
            <w:tcW w:w="2132" w:type="dxa"/>
            <w:tcBorders>
              <w:left w:val="single" w:color="000000" w:sz="4" w:space="0"/>
              <w:right w:val="nil"/>
            </w:tcBorders>
            <w:vAlign w:val="top"/>
          </w:tcPr>
          <w:p w14:paraId="3DE85A97">
            <w:pPr>
              <w:spacing w:before="89" w:line="195" w:lineRule="auto"/>
              <w:ind w:left="101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r>
      <w:tr w14:paraId="329FA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130" w:type="dxa"/>
            <w:tcBorders>
              <w:left w:val="nil"/>
              <w:right w:val="single" w:color="000000" w:sz="4" w:space="0"/>
            </w:tcBorders>
            <w:vAlign w:val="top"/>
          </w:tcPr>
          <w:p w14:paraId="080064F9">
            <w:pPr>
              <w:spacing w:before="56" w:line="232" w:lineRule="auto"/>
              <w:ind w:left="968"/>
              <w:rPr>
                <w:rFonts w:ascii="宋体" w:hAnsi="宋体" w:eastAsia="宋体" w:cs="宋体"/>
                <w:sz w:val="20"/>
                <w:szCs w:val="20"/>
              </w:rPr>
            </w:pPr>
            <w:r>
              <w:rPr>
                <w:rFonts w:ascii="宋体" w:hAnsi="宋体" w:eastAsia="宋体" w:cs="宋体"/>
                <w:sz w:val="20"/>
                <w:szCs w:val="20"/>
              </w:rPr>
              <w:t>铅</w:t>
            </w:r>
          </w:p>
        </w:tc>
        <w:tc>
          <w:tcPr>
            <w:tcW w:w="2130" w:type="dxa"/>
            <w:tcBorders>
              <w:left w:val="single" w:color="000000" w:sz="4" w:space="0"/>
              <w:right w:val="single" w:color="000000" w:sz="4" w:space="0"/>
            </w:tcBorders>
            <w:vAlign w:val="top"/>
          </w:tcPr>
          <w:p w14:paraId="66795521">
            <w:pPr>
              <w:spacing w:before="92" w:line="195" w:lineRule="auto"/>
              <w:ind w:left="91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80</w:t>
            </w:r>
            <w:r>
              <w:rPr>
                <w:rFonts w:ascii="Times New Roman" w:hAnsi="Times New Roman" w:eastAsia="Times New Roman" w:cs="Times New Roman"/>
                <w:sz w:val="20"/>
                <w:szCs w:val="20"/>
              </w:rPr>
              <w:t>0</w:t>
            </w:r>
          </w:p>
        </w:tc>
        <w:tc>
          <w:tcPr>
            <w:tcW w:w="2130" w:type="dxa"/>
            <w:tcBorders>
              <w:left w:val="single" w:color="000000" w:sz="4" w:space="0"/>
              <w:right w:val="single" w:color="000000" w:sz="4" w:space="0"/>
            </w:tcBorders>
            <w:vAlign w:val="top"/>
          </w:tcPr>
          <w:p w14:paraId="5938147C">
            <w:pPr>
              <w:spacing w:before="56" w:line="227" w:lineRule="auto"/>
              <w:ind w:left="860"/>
              <w:rPr>
                <w:rFonts w:ascii="宋体" w:hAnsi="宋体" w:eastAsia="宋体" w:cs="宋体"/>
                <w:sz w:val="20"/>
                <w:szCs w:val="20"/>
              </w:rPr>
            </w:pPr>
            <w:r>
              <w:rPr>
                <w:rFonts w:ascii="宋体" w:hAnsi="宋体" w:eastAsia="宋体" w:cs="宋体"/>
                <w:spacing w:val="3"/>
                <w:sz w:val="20"/>
                <w:szCs w:val="20"/>
              </w:rPr>
              <w:t>氯苯</w:t>
            </w:r>
          </w:p>
        </w:tc>
        <w:tc>
          <w:tcPr>
            <w:tcW w:w="2132" w:type="dxa"/>
            <w:tcBorders>
              <w:left w:val="single" w:color="000000" w:sz="4" w:space="0"/>
              <w:right w:val="nil"/>
            </w:tcBorders>
            <w:vAlign w:val="top"/>
          </w:tcPr>
          <w:p w14:paraId="7D10E1DB">
            <w:pPr>
              <w:spacing w:before="92" w:line="195" w:lineRule="auto"/>
              <w:ind w:left="907"/>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70</w:t>
            </w:r>
          </w:p>
        </w:tc>
      </w:tr>
      <w:tr w14:paraId="680CBB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130" w:type="dxa"/>
            <w:tcBorders>
              <w:left w:val="nil"/>
              <w:right w:val="single" w:color="000000" w:sz="4" w:space="0"/>
            </w:tcBorders>
            <w:vAlign w:val="top"/>
          </w:tcPr>
          <w:p w14:paraId="1B6ECA77">
            <w:pPr>
              <w:spacing w:before="56" w:line="228" w:lineRule="auto"/>
              <w:ind w:left="968"/>
              <w:rPr>
                <w:rFonts w:ascii="宋体" w:hAnsi="宋体" w:eastAsia="宋体" w:cs="宋体"/>
                <w:sz w:val="20"/>
                <w:szCs w:val="20"/>
              </w:rPr>
            </w:pPr>
            <w:r>
              <w:rPr>
                <w:rFonts w:ascii="宋体" w:hAnsi="宋体" w:eastAsia="宋体" w:cs="宋体"/>
                <w:sz w:val="20"/>
                <w:szCs w:val="20"/>
              </w:rPr>
              <w:t>汞</w:t>
            </w:r>
          </w:p>
        </w:tc>
        <w:tc>
          <w:tcPr>
            <w:tcW w:w="2130" w:type="dxa"/>
            <w:tcBorders>
              <w:left w:val="single" w:color="000000" w:sz="4" w:space="0"/>
              <w:right w:val="single" w:color="000000" w:sz="4" w:space="0"/>
            </w:tcBorders>
            <w:vAlign w:val="top"/>
          </w:tcPr>
          <w:p w14:paraId="42B6CAF2">
            <w:pPr>
              <w:spacing w:before="91" w:line="195" w:lineRule="auto"/>
              <w:ind w:left="96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8</w:t>
            </w:r>
          </w:p>
        </w:tc>
        <w:tc>
          <w:tcPr>
            <w:tcW w:w="2130" w:type="dxa"/>
            <w:tcBorders>
              <w:left w:val="single" w:color="000000" w:sz="4" w:space="0"/>
              <w:right w:val="single" w:color="000000" w:sz="4" w:space="0"/>
            </w:tcBorders>
            <w:vAlign w:val="top"/>
          </w:tcPr>
          <w:p w14:paraId="5B4C9666">
            <w:pPr>
              <w:spacing w:before="55" w:line="232" w:lineRule="auto"/>
              <w:ind w:left="602"/>
              <w:rPr>
                <w:rFonts w:ascii="宋体" w:hAnsi="宋体" w:eastAsia="宋体" w:cs="宋体"/>
                <w:sz w:val="20"/>
                <w:szCs w:val="20"/>
              </w:rPr>
            </w:pPr>
            <w:r>
              <w:rPr>
                <w:rFonts w:ascii="Times New Roman" w:hAnsi="Times New Roman" w:eastAsia="Times New Roman" w:cs="Times New Roman"/>
                <w:spacing w:val="3"/>
                <w:sz w:val="20"/>
                <w:szCs w:val="20"/>
              </w:rPr>
              <w:t>1,2-</w:t>
            </w:r>
            <w:r>
              <w:rPr>
                <w:rFonts w:ascii="宋体" w:hAnsi="宋体" w:eastAsia="宋体" w:cs="宋体"/>
                <w:spacing w:val="3"/>
                <w:sz w:val="20"/>
                <w:szCs w:val="20"/>
              </w:rPr>
              <w:t>二氯苯</w:t>
            </w:r>
          </w:p>
        </w:tc>
        <w:tc>
          <w:tcPr>
            <w:tcW w:w="2132" w:type="dxa"/>
            <w:tcBorders>
              <w:left w:val="single" w:color="000000" w:sz="4" w:space="0"/>
              <w:right w:val="nil"/>
            </w:tcBorders>
            <w:vAlign w:val="top"/>
          </w:tcPr>
          <w:p w14:paraId="64917D52">
            <w:pPr>
              <w:spacing w:before="91" w:line="195" w:lineRule="auto"/>
              <w:ind w:left="91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56</w:t>
            </w:r>
            <w:r>
              <w:rPr>
                <w:rFonts w:ascii="Times New Roman" w:hAnsi="Times New Roman" w:eastAsia="Times New Roman" w:cs="Times New Roman"/>
                <w:spacing w:val="1"/>
                <w:sz w:val="20"/>
                <w:szCs w:val="20"/>
              </w:rPr>
              <w:t>0</w:t>
            </w:r>
          </w:p>
        </w:tc>
      </w:tr>
      <w:tr w14:paraId="61234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130" w:type="dxa"/>
            <w:tcBorders>
              <w:left w:val="nil"/>
              <w:right w:val="single" w:color="000000" w:sz="4" w:space="0"/>
            </w:tcBorders>
            <w:vAlign w:val="top"/>
          </w:tcPr>
          <w:p w14:paraId="0FA81925">
            <w:pPr>
              <w:spacing w:before="55" w:line="228" w:lineRule="auto"/>
              <w:ind w:left="967"/>
              <w:rPr>
                <w:rFonts w:ascii="宋体" w:hAnsi="宋体" w:eastAsia="宋体" w:cs="宋体"/>
                <w:sz w:val="20"/>
                <w:szCs w:val="20"/>
              </w:rPr>
            </w:pPr>
            <w:r>
              <w:rPr>
                <w:rFonts w:ascii="宋体" w:hAnsi="宋体" w:eastAsia="宋体" w:cs="宋体"/>
                <w:spacing w:val="1"/>
                <w:sz w:val="20"/>
                <w:szCs w:val="20"/>
              </w:rPr>
              <w:t>镍</w:t>
            </w:r>
          </w:p>
        </w:tc>
        <w:tc>
          <w:tcPr>
            <w:tcW w:w="2130" w:type="dxa"/>
            <w:tcBorders>
              <w:left w:val="single" w:color="000000" w:sz="4" w:space="0"/>
              <w:right w:val="single" w:color="000000" w:sz="4" w:space="0"/>
            </w:tcBorders>
            <w:vAlign w:val="top"/>
          </w:tcPr>
          <w:p w14:paraId="7AE3DF80">
            <w:pPr>
              <w:spacing w:before="91" w:line="195" w:lineRule="auto"/>
              <w:ind w:left="90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w:t>
            </w:r>
            <w:r>
              <w:rPr>
                <w:rFonts w:ascii="Times New Roman" w:hAnsi="Times New Roman" w:eastAsia="Times New Roman" w:cs="Times New Roman"/>
                <w:spacing w:val="2"/>
                <w:sz w:val="20"/>
                <w:szCs w:val="20"/>
              </w:rPr>
              <w:t>00</w:t>
            </w:r>
          </w:p>
        </w:tc>
        <w:tc>
          <w:tcPr>
            <w:tcW w:w="2130" w:type="dxa"/>
            <w:tcBorders>
              <w:left w:val="single" w:color="000000" w:sz="4" w:space="0"/>
              <w:right w:val="single" w:color="000000" w:sz="4" w:space="0"/>
            </w:tcBorders>
            <w:vAlign w:val="top"/>
          </w:tcPr>
          <w:p w14:paraId="59B1066E">
            <w:pPr>
              <w:spacing w:before="55" w:line="232" w:lineRule="auto"/>
              <w:ind w:left="602"/>
              <w:rPr>
                <w:rFonts w:ascii="宋体" w:hAnsi="宋体" w:eastAsia="宋体" w:cs="宋体"/>
                <w:sz w:val="20"/>
                <w:szCs w:val="20"/>
              </w:rPr>
            </w:pPr>
            <w:r>
              <w:rPr>
                <w:rFonts w:ascii="Times New Roman" w:hAnsi="Times New Roman" w:eastAsia="Times New Roman" w:cs="Times New Roman"/>
                <w:spacing w:val="3"/>
                <w:sz w:val="20"/>
                <w:szCs w:val="20"/>
              </w:rPr>
              <w:t>1,4-</w:t>
            </w:r>
            <w:r>
              <w:rPr>
                <w:rFonts w:ascii="宋体" w:hAnsi="宋体" w:eastAsia="宋体" w:cs="宋体"/>
                <w:spacing w:val="3"/>
                <w:sz w:val="20"/>
                <w:szCs w:val="20"/>
              </w:rPr>
              <w:t>二氯苯</w:t>
            </w:r>
          </w:p>
        </w:tc>
        <w:tc>
          <w:tcPr>
            <w:tcW w:w="2132" w:type="dxa"/>
            <w:tcBorders>
              <w:left w:val="single" w:color="000000" w:sz="4" w:space="0"/>
              <w:right w:val="nil"/>
            </w:tcBorders>
            <w:vAlign w:val="top"/>
          </w:tcPr>
          <w:p w14:paraId="48D8BB1D">
            <w:pPr>
              <w:spacing w:before="91" w:line="195" w:lineRule="auto"/>
              <w:ind w:left="96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0</w:t>
            </w:r>
          </w:p>
        </w:tc>
      </w:tr>
      <w:tr w14:paraId="38036E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130" w:type="dxa"/>
            <w:tcBorders>
              <w:left w:val="nil"/>
              <w:right w:val="single" w:color="000000" w:sz="4" w:space="0"/>
            </w:tcBorders>
            <w:vAlign w:val="top"/>
          </w:tcPr>
          <w:p w14:paraId="14764D39">
            <w:pPr>
              <w:spacing w:before="56" w:line="228" w:lineRule="auto"/>
              <w:ind w:left="673"/>
              <w:rPr>
                <w:rFonts w:ascii="宋体" w:hAnsi="宋体" w:eastAsia="宋体" w:cs="宋体"/>
                <w:sz w:val="20"/>
                <w:szCs w:val="20"/>
              </w:rPr>
            </w:pPr>
            <w:r>
              <w:rPr>
                <w:rFonts w:ascii="宋体" w:hAnsi="宋体" w:eastAsia="宋体" w:cs="宋体"/>
                <w:spacing w:val="3"/>
                <w:sz w:val="20"/>
                <w:szCs w:val="20"/>
              </w:rPr>
              <w:t>四</w:t>
            </w:r>
            <w:r>
              <w:rPr>
                <w:rFonts w:ascii="宋体" w:hAnsi="宋体" w:eastAsia="宋体" w:cs="宋体"/>
                <w:spacing w:val="2"/>
                <w:sz w:val="20"/>
                <w:szCs w:val="20"/>
              </w:rPr>
              <w:t>氯化碳</w:t>
            </w:r>
          </w:p>
        </w:tc>
        <w:tc>
          <w:tcPr>
            <w:tcW w:w="2130" w:type="dxa"/>
            <w:tcBorders>
              <w:left w:val="single" w:color="000000" w:sz="4" w:space="0"/>
              <w:right w:val="single" w:color="000000" w:sz="4" w:space="0"/>
            </w:tcBorders>
            <w:vAlign w:val="top"/>
          </w:tcPr>
          <w:p w14:paraId="472D724E">
            <w:pPr>
              <w:spacing w:before="91" w:line="198" w:lineRule="auto"/>
              <w:ind w:left="93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5"/>
                <w:sz w:val="20"/>
                <w:szCs w:val="20"/>
              </w:rPr>
              <w:t>.8</w:t>
            </w:r>
          </w:p>
        </w:tc>
        <w:tc>
          <w:tcPr>
            <w:tcW w:w="2130" w:type="dxa"/>
            <w:tcBorders>
              <w:left w:val="single" w:color="000000" w:sz="4" w:space="0"/>
              <w:right w:val="single" w:color="000000" w:sz="4" w:space="0"/>
            </w:tcBorders>
            <w:vAlign w:val="top"/>
          </w:tcPr>
          <w:p w14:paraId="0B502AC5">
            <w:pPr>
              <w:spacing w:before="55" w:line="227" w:lineRule="auto"/>
              <w:ind w:left="878"/>
              <w:rPr>
                <w:rFonts w:ascii="宋体" w:hAnsi="宋体" w:eastAsia="宋体" w:cs="宋体"/>
                <w:sz w:val="20"/>
                <w:szCs w:val="20"/>
              </w:rPr>
            </w:pPr>
            <w:r>
              <w:rPr>
                <w:rFonts w:ascii="宋体" w:hAnsi="宋体" w:eastAsia="宋体" w:cs="宋体"/>
                <w:spacing w:val="-6"/>
                <w:sz w:val="20"/>
                <w:szCs w:val="20"/>
              </w:rPr>
              <w:t>乙</w:t>
            </w:r>
            <w:r>
              <w:rPr>
                <w:rFonts w:ascii="宋体" w:hAnsi="宋体" w:eastAsia="宋体" w:cs="宋体"/>
                <w:spacing w:val="-5"/>
                <w:sz w:val="20"/>
                <w:szCs w:val="20"/>
              </w:rPr>
              <w:t>苯</w:t>
            </w:r>
          </w:p>
        </w:tc>
        <w:tc>
          <w:tcPr>
            <w:tcW w:w="2132" w:type="dxa"/>
            <w:tcBorders>
              <w:left w:val="single" w:color="000000" w:sz="4" w:space="0"/>
              <w:right w:val="nil"/>
            </w:tcBorders>
            <w:vAlign w:val="top"/>
          </w:tcPr>
          <w:p w14:paraId="20FB1FD2">
            <w:pPr>
              <w:spacing w:before="91" w:line="195" w:lineRule="auto"/>
              <w:ind w:left="96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8</w:t>
            </w:r>
          </w:p>
        </w:tc>
      </w:tr>
      <w:tr w14:paraId="62D4B1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130" w:type="dxa"/>
            <w:tcBorders>
              <w:left w:val="nil"/>
              <w:right w:val="single" w:color="000000" w:sz="4" w:space="0"/>
            </w:tcBorders>
            <w:vAlign w:val="top"/>
          </w:tcPr>
          <w:p w14:paraId="7A2DCD48">
            <w:pPr>
              <w:spacing w:before="57" w:line="228" w:lineRule="auto"/>
              <w:ind w:left="865"/>
              <w:rPr>
                <w:rFonts w:ascii="宋体" w:hAnsi="宋体" w:eastAsia="宋体" w:cs="宋体"/>
                <w:sz w:val="20"/>
                <w:szCs w:val="20"/>
              </w:rPr>
            </w:pPr>
            <w:r>
              <w:rPr>
                <w:rFonts w:ascii="宋体" w:hAnsi="宋体" w:eastAsia="宋体" w:cs="宋体"/>
                <w:spacing w:val="3"/>
                <w:sz w:val="20"/>
                <w:szCs w:val="20"/>
              </w:rPr>
              <w:t>氯仿</w:t>
            </w:r>
          </w:p>
        </w:tc>
        <w:tc>
          <w:tcPr>
            <w:tcW w:w="2130" w:type="dxa"/>
            <w:tcBorders>
              <w:left w:val="single" w:color="000000" w:sz="4" w:space="0"/>
              <w:right w:val="single" w:color="000000" w:sz="4" w:space="0"/>
            </w:tcBorders>
            <w:vAlign w:val="top"/>
          </w:tcPr>
          <w:p w14:paraId="36078C87">
            <w:pPr>
              <w:spacing w:before="93" w:line="195" w:lineRule="auto"/>
              <w:ind w:left="93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w:t>
            </w:r>
          </w:p>
        </w:tc>
        <w:tc>
          <w:tcPr>
            <w:tcW w:w="2130" w:type="dxa"/>
            <w:tcBorders>
              <w:left w:val="single" w:color="000000" w:sz="4" w:space="0"/>
              <w:right w:val="single" w:color="000000" w:sz="4" w:space="0"/>
            </w:tcBorders>
            <w:vAlign w:val="top"/>
          </w:tcPr>
          <w:p w14:paraId="6762F061">
            <w:pPr>
              <w:spacing w:before="57" w:line="227" w:lineRule="auto"/>
              <w:ind w:left="754"/>
              <w:rPr>
                <w:rFonts w:ascii="宋体" w:hAnsi="宋体" w:eastAsia="宋体" w:cs="宋体"/>
                <w:sz w:val="20"/>
                <w:szCs w:val="20"/>
              </w:rPr>
            </w:pPr>
            <w:r>
              <w:rPr>
                <w:rFonts w:ascii="宋体" w:hAnsi="宋体" w:eastAsia="宋体" w:cs="宋体"/>
                <w:spacing w:val="6"/>
                <w:sz w:val="20"/>
                <w:szCs w:val="20"/>
              </w:rPr>
              <w:t>苯乙烯</w:t>
            </w:r>
          </w:p>
        </w:tc>
        <w:tc>
          <w:tcPr>
            <w:tcW w:w="2132" w:type="dxa"/>
            <w:tcBorders>
              <w:left w:val="single" w:color="000000" w:sz="4" w:space="0"/>
              <w:right w:val="nil"/>
            </w:tcBorders>
            <w:vAlign w:val="top"/>
          </w:tcPr>
          <w:p w14:paraId="5475DFCC">
            <w:pPr>
              <w:spacing w:before="93" w:line="195" w:lineRule="auto"/>
              <w:ind w:left="8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1290</w:t>
            </w:r>
          </w:p>
        </w:tc>
      </w:tr>
      <w:tr w14:paraId="3BCBA7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130" w:type="dxa"/>
            <w:tcBorders>
              <w:left w:val="nil"/>
              <w:right w:val="single" w:color="000000" w:sz="4" w:space="0"/>
            </w:tcBorders>
            <w:vAlign w:val="top"/>
          </w:tcPr>
          <w:p w14:paraId="23F51BA7">
            <w:pPr>
              <w:spacing w:before="57" w:line="228" w:lineRule="auto"/>
              <w:ind w:left="760"/>
              <w:rPr>
                <w:rFonts w:ascii="宋体" w:hAnsi="宋体" w:eastAsia="宋体" w:cs="宋体"/>
                <w:sz w:val="20"/>
                <w:szCs w:val="20"/>
              </w:rPr>
            </w:pPr>
            <w:r>
              <w:rPr>
                <w:rFonts w:ascii="宋体" w:hAnsi="宋体" w:eastAsia="宋体" w:cs="宋体"/>
                <w:spacing w:val="6"/>
                <w:sz w:val="20"/>
                <w:szCs w:val="20"/>
              </w:rPr>
              <w:t>氯甲</w:t>
            </w:r>
            <w:r>
              <w:rPr>
                <w:rFonts w:ascii="宋体" w:hAnsi="宋体" w:eastAsia="宋体" w:cs="宋体"/>
                <w:spacing w:val="5"/>
                <w:sz w:val="20"/>
                <w:szCs w:val="20"/>
              </w:rPr>
              <w:t>烷</w:t>
            </w:r>
          </w:p>
        </w:tc>
        <w:tc>
          <w:tcPr>
            <w:tcW w:w="2130" w:type="dxa"/>
            <w:tcBorders>
              <w:left w:val="single" w:color="000000" w:sz="4" w:space="0"/>
              <w:right w:val="single" w:color="000000" w:sz="4" w:space="0"/>
            </w:tcBorders>
            <w:vAlign w:val="top"/>
          </w:tcPr>
          <w:p w14:paraId="0E7ECC3C">
            <w:pPr>
              <w:spacing w:before="92" w:line="195" w:lineRule="auto"/>
              <w:ind w:left="96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7</w:t>
            </w:r>
          </w:p>
        </w:tc>
        <w:tc>
          <w:tcPr>
            <w:tcW w:w="2130" w:type="dxa"/>
            <w:tcBorders>
              <w:left w:val="single" w:color="000000" w:sz="4" w:space="0"/>
              <w:right w:val="single" w:color="000000" w:sz="4" w:space="0"/>
            </w:tcBorders>
            <w:vAlign w:val="top"/>
          </w:tcPr>
          <w:p w14:paraId="13064ED6">
            <w:pPr>
              <w:spacing w:before="56" w:line="227" w:lineRule="auto"/>
              <w:ind w:left="884"/>
              <w:rPr>
                <w:rFonts w:ascii="宋体" w:hAnsi="宋体" w:eastAsia="宋体" w:cs="宋体"/>
                <w:sz w:val="20"/>
                <w:szCs w:val="20"/>
              </w:rPr>
            </w:pPr>
            <w:r>
              <w:rPr>
                <w:rFonts w:ascii="宋体" w:hAnsi="宋体" w:eastAsia="宋体" w:cs="宋体"/>
                <w:spacing w:val="-10"/>
                <w:sz w:val="20"/>
                <w:szCs w:val="20"/>
              </w:rPr>
              <w:t>甲</w:t>
            </w:r>
            <w:r>
              <w:rPr>
                <w:rFonts w:ascii="宋体" w:hAnsi="宋体" w:eastAsia="宋体" w:cs="宋体"/>
                <w:spacing w:val="-8"/>
                <w:sz w:val="20"/>
                <w:szCs w:val="20"/>
              </w:rPr>
              <w:t>苯</w:t>
            </w:r>
          </w:p>
        </w:tc>
        <w:tc>
          <w:tcPr>
            <w:tcW w:w="2132" w:type="dxa"/>
            <w:tcBorders>
              <w:left w:val="single" w:color="000000" w:sz="4" w:space="0"/>
              <w:right w:val="nil"/>
            </w:tcBorders>
            <w:vAlign w:val="top"/>
          </w:tcPr>
          <w:p w14:paraId="522274CC">
            <w:pPr>
              <w:spacing w:before="92" w:line="195" w:lineRule="auto"/>
              <w:ind w:left="8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1200</w:t>
            </w:r>
          </w:p>
        </w:tc>
      </w:tr>
      <w:tr w14:paraId="3682AD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130" w:type="dxa"/>
            <w:tcBorders>
              <w:left w:val="nil"/>
              <w:right w:val="single" w:color="000000" w:sz="4" w:space="0"/>
            </w:tcBorders>
            <w:vAlign w:val="top"/>
          </w:tcPr>
          <w:p w14:paraId="22FD7905">
            <w:pPr>
              <w:spacing w:before="56" w:line="233" w:lineRule="auto"/>
              <w:ind w:left="504"/>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 xml:space="preserve"> </w:t>
            </w:r>
            <w:r>
              <w:rPr>
                <w:rFonts w:ascii="Times New Roman" w:hAnsi="Times New Roman" w:eastAsia="Times New Roman" w:cs="Times New Roman"/>
                <w:spacing w:val="-2"/>
                <w:sz w:val="20"/>
                <w:szCs w:val="20"/>
              </w:rPr>
              <w:t>1-</w:t>
            </w:r>
            <w:r>
              <w:rPr>
                <w:rFonts w:ascii="宋体" w:hAnsi="宋体" w:eastAsia="宋体" w:cs="宋体"/>
                <w:spacing w:val="-2"/>
                <w:sz w:val="20"/>
                <w:szCs w:val="20"/>
              </w:rPr>
              <w:t>二氯乙烷</w:t>
            </w:r>
          </w:p>
        </w:tc>
        <w:tc>
          <w:tcPr>
            <w:tcW w:w="2130" w:type="dxa"/>
            <w:tcBorders>
              <w:left w:val="single" w:color="000000" w:sz="4" w:space="0"/>
              <w:right w:val="single" w:color="000000" w:sz="4" w:space="0"/>
            </w:tcBorders>
            <w:vAlign w:val="top"/>
          </w:tcPr>
          <w:p w14:paraId="4E43F89C">
            <w:pPr>
              <w:spacing w:before="92" w:line="195" w:lineRule="auto"/>
              <w:ind w:left="1014"/>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2130" w:type="dxa"/>
            <w:tcBorders>
              <w:left w:val="single" w:color="000000" w:sz="4" w:space="0"/>
              <w:right w:val="single" w:color="000000" w:sz="4" w:space="0"/>
            </w:tcBorders>
            <w:vAlign w:val="top"/>
          </w:tcPr>
          <w:p w14:paraId="2F699608">
            <w:pPr>
              <w:spacing w:before="18" w:line="281" w:lineRule="exact"/>
              <w:ind w:left="185"/>
              <w:rPr>
                <w:rFonts w:ascii="宋体" w:hAnsi="宋体" w:eastAsia="宋体" w:cs="宋体"/>
                <w:sz w:val="20"/>
                <w:szCs w:val="20"/>
              </w:rPr>
            </w:pPr>
            <w:r>
              <w:rPr>
                <w:rFonts w:ascii="宋体" w:hAnsi="宋体" w:eastAsia="宋体" w:cs="宋体"/>
                <w:spacing w:val="10"/>
                <w:position w:val="1"/>
                <w:sz w:val="20"/>
                <w:szCs w:val="20"/>
              </w:rPr>
              <w:t>间</w:t>
            </w:r>
            <w:r>
              <w:rPr>
                <w:rFonts w:ascii="宋体" w:hAnsi="宋体" w:eastAsia="宋体" w:cs="宋体"/>
                <w:spacing w:val="6"/>
                <w:position w:val="1"/>
                <w:sz w:val="20"/>
                <w:szCs w:val="20"/>
              </w:rPr>
              <w:t>二甲苯</w:t>
            </w:r>
            <w:r>
              <w:rPr>
                <w:rFonts w:ascii="Times New Roman" w:hAnsi="Times New Roman" w:eastAsia="Times New Roman" w:cs="Times New Roman"/>
                <w:spacing w:val="6"/>
                <w:position w:val="1"/>
                <w:sz w:val="20"/>
                <w:szCs w:val="20"/>
              </w:rPr>
              <w:t>+</w:t>
            </w:r>
            <w:r>
              <w:rPr>
                <w:rFonts w:ascii="宋体" w:hAnsi="宋体" w:eastAsia="宋体" w:cs="宋体"/>
                <w:spacing w:val="6"/>
                <w:position w:val="1"/>
                <w:sz w:val="20"/>
                <w:szCs w:val="20"/>
              </w:rPr>
              <w:t>对二甲苯</w:t>
            </w:r>
          </w:p>
        </w:tc>
        <w:tc>
          <w:tcPr>
            <w:tcW w:w="2132" w:type="dxa"/>
            <w:tcBorders>
              <w:left w:val="single" w:color="000000" w:sz="4" w:space="0"/>
              <w:right w:val="nil"/>
            </w:tcBorders>
            <w:vAlign w:val="top"/>
          </w:tcPr>
          <w:p w14:paraId="4A4CCC1D">
            <w:pPr>
              <w:spacing w:before="92" w:line="195" w:lineRule="auto"/>
              <w:ind w:left="91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57</w:t>
            </w:r>
            <w:r>
              <w:rPr>
                <w:rFonts w:ascii="Times New Roman" w:hAnsi="Times New Roman" w:eastAsia="Times New Roman" w:cs="Times New Roman"/>
                <w:spacing w:val="1"/>
                <w:sz w:val="20"/>
                <w:szCs w:val="20"/>
              </w:rPr>
              <w:t>0</w:t>
            </w:r>
          </w:p>
        </w:tc>
      </w:tr>
      <w:tr w14:paraId="06C1C0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130" w:type="dxa"/>
            <w:tcBorders>
              <w:left w:val="nil"/>
              <w:right w:val="single" w:color="000000" w:sz="4" w:space="0"/>
            </w:tcBorders>
            <w:vAlign w:val="top"/>
          </w:tcPr>
          <w:p w14:paraId="32A34B91">
            <w:pPr>
              <w:spacing w:before="56" w:line="233" w:lineRule="auto"/>
              <w:ind w:left="504"/>
              <w:rPr>
                <w:rFonts w:ascii="宋体" w:hAnsi="宋体" w:eastAsia="宋体" w:cs="宋体"/>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,2-</w:t>
            </w:r>
            <w:r>
              <w:rPr>
                <w:rFonts w:ascii="宋体" w:hAnsi="宋体" w:eastAsia="宋体" w:cs="宋体"/>
                <w:spacing w:val="3"/>
                <w:sz w:val="20"/>
                <w:szCs w:val="20"/>
              </w:rPr>
              <w:t>二氯乙烷</w:t>
            </w:r>
          </w:p>
        </w:tc>
        <w:tc>
          <w:tcPr>
            <w:tcW w:w="2130" w:type="dxa"/>
            <w:tcBorders>
              <w:left w:val="single" w:color="000000" w:sz="4" w:space="0"/>
              <w:right w:val="single" w:color="000000" w:sz="4" w:space="0"/>
            </w:tcBorders>
            <w:vAlign w:val="top"/>
          </w:tcPr>
          <w:p w14:paraId="5F1DA6FA">
            <w:pPr>
              <w:spacing w:before="94" w:line="192" w:lineRule="auto"/>
              <w:ind w:left="1016"/>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2130" w:type="dxa"/>
            <w:tcBorders>
              <w:left w:val="single" w:color="000000" w:sz="4" w:space="0"/>
              <w:right w:val="single" w:color="000000" w:sz="4" w:space="0"/>
            </w:tcBorders>
            <w:vAlign w:val="top"/>
          </w:tcPr>
          <w:p w14:paraId="0E3D9766">
            <w:pPr>
              <w:spacing w:before="55" w:line="227" w:lineRule="auto"/>
              <w:ind w:left="647"/>
              <w:rPr>
                <w:rFonts w:ascii="宋体" w:hAnsi="宋体" w:eastAsia="宋体" w:cs="宋体"/>
                <w:sz w:val="20"/>
                <w:szCs w:val="20"/>
              </w:rPr>
            </w:pPr>
            <w:r>
              <w:rPr>
                <w:rFonts w:ascii="宋体" w:hAnsi="宋体" w:eastAsia="宋体" w:cs="宋体"/>
                <w:spacing w:val="9"/>
                <w:sz w:val="20"/>
                <w:szCs w:val="20"/>
              </w:rPr>
              <w:t>邻</w:t>
            </w:r>
            <w:r>
              <w:rPr>
                <w:rFonts w:ascii="宋体" w:hAnsi="宋体" w:eastAsia="宋体" w:cs="宋体"/>
                <w:spacing w:val="7"/>
                <w:sz w:val="20"/>
                <w:szCs w:val="20"/>
              </w:rPr>
              <w:t>二甲苯</w:t>
            </w:r>
          </w:p>
        </w:tc>
        <w:tc>
          <w:tcPr>
            <w:tcW w:w="2132" w:type="dxa"/>
            <w:tcBorders>
              <w:left w:val="single" w:color="000000" w:sz="4" w:space="0"/>
              <w:right w:val="nil"/>
            </w:tcBorders>
            <w:vAlign w:val="top"/>
          </w:tcPr>
          <w:p w14:paraId="14C72373">
            <w:pPr>
              <w:spacing w:before="91" w:line="195" w:lineRule="auto"/>
              <w:ind w:left="91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640</w:t>
            </w:r>
          </w:p>
        </w:tc>
      </w:tr>
      <w:tr w14:paraId="0E2170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130" w:type="dxa"/>
            <w:tcBorders>
              <w:left w:val="nil"/>
              <w:right w:val="single" w:color="000000" w:sz="4" w:space="0"/>
            </w:tcBorders>
            <w:vAlign w:val="top"/>
          </w:tcPr>
          <w:p w14:paraId="20CC925C">
            <w:pPr>
              <w:spacing w:before="58" w:line="233" w:lineRule="auto"/>
              <w:ind w:left="504"/>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 xml:space="preserve"> </w:t>
            </w:r>
            <w:r>
              <w:rPr>
                <w:rFonts w:ascii="Times New Roman" w:hAnsi="Times New Roman" w:eastAsia="Times New Roman" w:cs="Times New Roman"/>
                <w:spacing w:val="-2"/>
                <w:sz w:val="20"/>
                <w:szCs w:val="20"/>
              </w:rPr>
              <w:t>1-</w:t>
            </w:r>
            <w:r>
              <w:rPr>
                <w:rFonts w:ascii="宋体" w:hAnsi="宋体" w:eastAsia="宋体" w:cs="宋体"/>
                <w:spacing w:val="-2"/>
                <w:sz w:val="20"/>
                <w:szCs w:val="20"/>
              </w:rPr>
              <w:t>二氯乙烯</w:t>
            </w:r>
          </w:p>
        </w:tc>
        <w:tc>
          <w:tcPr>
            <w:tcW w:w="2130" w:type="dxa"/>
            <w:tcBorders>
              <w:left w:val="single" w:color="000000" w:sz="4" w:space="0"/>
              <w:right w:val="single" w:color="000000" w:sz="4" w:space="0"/>
            </w:tcBorders>
            <w:vAlign w:val="top"/>
          </w:tcPr>
          <w:p w14:paraId="6CD0BBCF">
            <w:pPr>
              <w:spacing w:before="94" w:line="195" w:lineRule="auto"/>
              <w:ind w:left="96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6</w:t>
            </w:r>
          </w:p>
        </w:tc>
        <w:tc>
          <w:tcPr>
            <w:tcW w:w="2130" w:type="dxa"/>
            <w:tcBorders>
              <w:left w:val="single" w:color="000000" w:sz="4" w:space="0"/>
              <w:right w:val="single" w:color="000000" w:sz="4" w:space="0"/>
            </w:tcBorders>
            <w:vAlign w:val="top"/>
          </w:tcPr>
          <w:p w14:paraId="1B127C42">
            <w:pPr>
              <w:spacing w:before="58" w:line="227" w:lineRule="auto"/>
              <w:ind w:left="753"/>
              <w:rPr>
                <w:rFonts w:ascii="宋体" w:hAnsi="宋体" w:eastAsia="宋体" w:cs="宋体"/>
                <w:sz w:val="20"/>
                <w:szCs w:val="20"/>
              </w:rPr>
            </w:pPr>
            <w:r>
              <w:rPr>
                <w:rFonts w:ascii="宋体" w:hAnsi="宋体" w:eastAsia="宋体" w:cs="宋体"/>
                <w:spacing w:val="7"/>
                <w:sz w:val="20"/>
                <w:szCs w:val="20"/>
              </w:rPr>
              <w:t>硝</w:t>
            </w:r>
            <w:r>
              <w:rPr>
                <w:rFonts w:ascii="宋体" w:hAnsi="宋体" w:eastAsia="宋体" w:cs="宋体"/>
                <w:spacing w:val="6"/>
                <w:sz w:val="20"/>
                <w:szCs w:val="20"/>
              </w:rPr>
              <w:t>基苯</w:t>
            </w:r>
          </w:p>
        </w:tc>
        <w:tc>
          <w:tcPr>
            <w:tcW w:w="2132" w:type="dxa"/>
            <w:tcBorders>
              <w:left w:val="single" w:color="000000" w:sz="4" w:space="0"/>
              <w:right w:val="nil"/>
            </w:tcBorders>
            <w:vAlign w:val="top"/>
          </w:tcPr>
          <w:p w14:paraId="217B92DD">
            <w:pPr>
              <w:spacing w:before="94" w:line="195" w:lineRule="auto"/>
              <w:ind w:left="96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76</w:t>
            </w:r>
          </w:p>
        </w:tc>
      </w:tr>
      <w:tr w14:paraId="5C8F0D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130" w:type="dxa"/>
            <w:tcBorders>
              <w:left w:val="nil"/>
              <w:right w:val="single" w:color="000000" w:sz="4" w:space="0"/>
            </w:tcBorders>
            <w:vAlign w:val="top"/>
          </w:tcPr>
          <w:p w14:paraId="32B073CF">
            <w:pPr>
              <w:spacing w:before="57" w:line="233" w:lineRule="auto"/>
              <w:ind w:left="349"/>
              <w:rPr>
                <w:rFonts w:ascii="宋体" w:hAnsi="宋体" w:eastAsia="宋体" w:cs="宋体"/>
                <w:sz w:val="20"/>
                <w:szCs w:val="20"/>
              </w:rPr>
            </w:pPr>
            <w:r>
              <w:rPr>
                <w:rFonts w:ascii="宋体" w:hAnsi="宋体" w:eastAsia="宋体" w:cs="宋体"/>
                <w:spacing w:val="1"/>
                <w:sz w:val="20"/>
                <w:szCs w:val="20"/>
              </w:rPr>
              <w:t>顺</w:t>
            </w:r>
            <w:r>
              <w:rPr>
                <w:rFonts w:ascii="Times New Roman" w:hAnsi="Times New Roman" w:eastAsia="Times New Roman" w:cs="Times New Roman"/>
                <w:spacing w:val="1"/>
                <w:sz w:val="20"/>
                <w:szCs w:val="20"/>
              </w:rPr>
              <w:t>- 1,2-</w:t>
            </w:r>
            <w:r>
              <w:rPr>
                <w:rFonts w:ascii="宋体" w:hAnsi="宋体" w:eastAsia="宋体" w:cs="宋体"/>
                <w:sz w:val="20"/>
                <w:szCs w:val="20"/>
              </w:rPr>
              <w:t>二氯乙烯</w:t>
            </w:r>
          </w:p>
        </w:tc>
        <w:tc>
          <w:tcPr>
            <w:tcW w:w="2130" w:type="dxa"/>
            <w:tcBorders>
              <w:left w:val="single" w:color="000000" w:sz="4" w:space="0"/>
              <w:right w:val="single" w:color="000000" w:sz="4" w:space="0"/>
            </w:tcBorders>
            <w:vAlign w:val="top"/>
          </w:tcPr>
          <w:p w14:paraId="5FF25119">
            <w:pPr>
              <w:spacing w:before="93" w:line="195" w:lineRule="auto"/>
              <w:ind w:left="9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59</w:t>
            </w:r>
            <w:r>
              <w:rPr>
                <w:rFonts w:ascii="Times New Roman" w:hAnsi="Times New Roman" w:eastAsia="Times New Roman" w:cs="Times New Roman"/>
                <w:spacing w:val="1"/>
                <w:sz w:val="20"/>
                <w:szCs w:val="20"/>
              </w:rPr>
              <w:t>6</w:t>
            </w:r>
          </w:p>
        </w:tc>
        <w:tc>
          <w:tcPr>
            <w:tcW w:w="2130" w:type="dxa"/>
            <w:tcBorders>
              <w:left w:val="single" w:color="000000" w:sz="4" w:space="0"/>
              <w:right w:val="single" w:color="000000" w:sz="4" w:space="0"/>
            </w:tcBorders>
            <w:vAlign w:val="top"/>
          </w:tcPr>
          <w:p w14:paraId="4311D72D">
            <w:pPr>
              <w:spacing w:before="57" w:line="227" w:lineRule="auto"/>
              <w:ind w:left="860"/>
              <w:rPr>
                <w:rFonts w:ascii="宋体" w:hAnsi="宋体" w:eastAsia="宋体" w:cs="宋体"/>
                <w:sz w:val="20"/>
                <w:szCs w:val="20"/>
              </w:rPr>
            </w:pPr>
            <w:r>
              <w:rPr>
                <w:rFonts w:ascii="宋体" w:hAnsi="宋体" w:eastAsia="宋体" w:cs="宋体"/>
                <w:spacing w:val="4"/>
                <w:sz w:val="20"/>
                <w:szCs w:val="20"/>
              </w:rPr>
              <w:t>苯</w:t>
            </w:r>
            <w:r>
              <w:rPr>
                <w:rFonts w:ascii="宋体" w:hAnsi="宋体" w:eastAsia="宋体" w:cs="宋体"/>
                <w:spacing w:val="3"/>
                <w:sz w:val="20"/>
                <w:szCs w:val="20"/>
              </w:rPr>
              <w:t>胺</w:t>
            </w:r>
          </w:p>
        </w:tc>
        <w:tc>
          <w:tcPr>
            <w:tcW w:w="2132" w:type="dxa"/>
            <w:tcBorders>
              <w:left w:val="single" w:color="000000" w:sz="4" w:space="0"/>
              <w:right w:val="nil"/>
            </w:tcBorders>
            <w:vAlign w:val="top"/>
          </w:tcPr>
          <w:p w14:paraId="237F509E">
            <w:pPr>
              <w:spacing w:before="93" w:line="195" w:lineRule="auto"/>
              <w:ind w:left="907"/>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60</w:t>
            </w:r>
          </w:p>
        </w:tc>
      </w:tr>
      <w:tr w14:paraId="410F3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130" w:type="dxa"/>
            <w:tcBorders>
              <w:left w:val="nil"/>
              <w:right w:val="single" w:color="000000" w:sz="4" w:space="0"/>
            </w:tcBorders>
            <w:vAlign w:val="top"/>
          </w:tcPr>
          <w:p w14:paraId="1BA94B4A">
            <w:pPr>
              <w:spacing w:before="56" w:line="233" w:lineRule="auto"/>
              <w:ind w:left="349"/>
              <w:rPr>
                <w:rFonts w:ascii="宋体" w:hAnsi="宋体" w:eastAsia="宋体" w:cs="宋体"/>
                <w:sz w:val="20"/>
                <w:szCs w:val="20"/>
              </w:rPr>
            </w:pPr>
            <w:r>
              <w:rPr>
                <w:rFonts w:ascii="宋体" w:hAnsi="宋体" w:eastAsia="宋体" w:cs="宋体"/>
                <w:spacing w:val="1"/>
                <w:sz w:val="20"/>
                <w:szCs w:val="20"/>
              </w:rPr>
              <w:t>反</w:t>
            </w:r>
            <w:r>
              <w:rPr>
                <w:rFonts w:ascii="Times New Roman" w:hAnsi="Times New Roman" w:eastAsia="Times New Roman" w:cs="Times New Roman"/>
                <w:spacing w:val="1"/>
                <w:sz w:val="20"/>
                <w:szCs w:val="20"/>
              </w:rPr>
              <w:t>- 1,2-</w:t>
            </w:r>
            <w:r>
              <w:rPr>
                <w:rFonts w:ascii="宋体" w:hAnsi="宋体" w:eastAsia="宋体" w:cs="宋体"/>
                <w:sz w:val="20"/>
                <w:szCs w:val="20"/>
              </w:rPr>
              <w:t>二氯乙烯</w:t>
            </w:r>
          </w:p>
        </w:tc>
        <w:tc>
          <w:tcPr>
            <w:tcW w:w="2130" w:type="dxa"/>
            <w:tcBorders>
              <w:left w:val="single" w:color="000000" w:sz="4" w:space="0"/>
              <w:right w:val="single" w:color="000000" w:sz="4" w:space="0"/>
            </w:tcBorders>
            <w:vAlign w:val="top"/>
          </w:tcPr>
          <w:p w14:paraId="0228057B">
            <w:pPr>
              <w:spacing w:before="93" w:line="195" w:lineRule="auto"/>
              <w:ind w:left="963"/>
              <w:rPr>
                <w:rFonts w:ascii="Times New Roman" w:hAnsi="Times New Roman" w:eastAsia="Times New Roman" w:cs="Times New Roman"/>
                <w:sz w:val="20"/>
                <w:szCs w:val="20"/>
              </w:rPr>
            </w:pPr>
            <w:r>
              <w:rPr>
                <w:rFonts w:ascii="Times New Roman" w:hAnsi="Times New Roman" w:eastAsia="Times New Roman" w:cs="Times New Roman"/>
                <w:sz w:val="20"/>
                <w:szCs w:val="20"/>
              </w:rPr>
              <w:t>54</w:t>
            </w:r>
          </w:p>
        </w:tc>
        <w:tc>
          <w:tcPr>
            <w:tcW w:w="2130" w:type="dxa"/>
            <w:tcBorders>
              <w:left w:val="single" w:color="000000" w:sz="4" w:space="0"/>
              <w:right w:val="single" w:color="000000" w:sz="4" w:space="0"/>
            </w:tcBorders>
            <w:vAlign w:val="top"/>
          </w:tcPr>
          <w:p w14:paraId="3F44A6B0">
            <w:pPr>
              <w:spacing w:before="57" w:line="229" w:lineRule="auto"/>
              <w:ind w:left="767"/>
              <w:rPr>
                <w:rFonts w:ascii="宋体" w:hAnsi="宋体" w:eastAsia="宋体" w:cs="宋体"/>
                <w:sz w:val="20"/>
                <w:szCs w:val="20"/>
              </w:rPr>
            </w:pPr>
            <w:r>
              <w:rPr>
                <w:rFonts w:ascii="Times New Roman" w:hAnsi="Times New Roman" w:eastAsia="Times New Roman" w:cs="Times New Roman"/>
                <w:spacing w:val="5"/>
                <w:sz w:val="20"/>
                <w:szCs w:val="20"/>
              </w:rPr>
              <w:t>2-</w:t>
            </w:r>
            <w:r>
              <w:rPr>
                <w:rFonts w:ascii="宋体" w:hAnsi="宋体" w:eastAsia="宋体" w:cs="宋体"/>
                <w:spacing w:val="5"/>
                <w:sz w:val="20"/>
                <w:szCs w:val="20"/>
              </w:rPr>
              <w:t>氯</w:t>
            </w:r>
            <w:r>
              <w:rPr>
                <w:rFonts w:ascii="宋体" w:hAnsi="宋体" w:eastAsia="宋体" w:cs="宋体"/>
                <w:spacing w:val="4"/>
                <w:sz w:val="20"/>
                <w:szCs w:val="20"/>
              </w:rPr>
              <w:t>酚</w:t>
            </w:r>
          </w:p>
        </w:tc>
        <w:tc>
          <w:tcPr>
            <w:tcW w:w="2132" w:type="dxa"/>
            <w:tcBorders>
              <w:left w:val="single" w:color="000000" w:sz="4" w:space="0"/>
              <w:right w:val="nil"/>
            </w:tcBorders>
            <w:vAlign w:val="top"/>
          </w:tcPr>
          <w:p w14:paraId="0D0F6A02">
            <w:pPr>
              <w:spacing w:before="93" w:line="195" w:lineRule="auto"/>
              <w:ind w:left="85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2256</w:t>
            </w:r>
          </w:p>
        </w:tc>
      </w:tr>
      <w:tr w14:paraId="2EB72B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130" w:type="dxa"/>
            <w:tcBorders>
              <w:left w:val="nil"/>
              <w:right w:val="single" w:color="000000" w:sz="4" w:space="0"/>
            </w:tcBorders>
            <w:vAlign w:val="top"/>
          </w:tcPr>
          <w:p w14:paraId="4F54B3F7">
            <w:pPr>
              <w:spacing w:before="57" w:line="228" w:lineRule="auto"/>
              <w:ind w:left="657"/>
              <w:rPr>
                <w:rFonts w:ascii="宋体" w:hAnsi="宋体" w:eastAsia="宋体" w:cs="宋体"/>
                <w:sz w:val="20"/>
                <w:szCs w:val="20"/>
              </w:rPr>
            </w:pPr>
            <w:r>
              <w:rPr>
                <w:rFonts w:ascii="宋体" w:hAnsi="宋体" w:eastAsia="宋体" w:cs="宋体"/>
                <w:spacing w:val="8"/>
                <w:sz w:val="20"/>
                <w:szCs w:val="20"/>
              </w:rPr>
              <w:t>二</w:t>
            </w:r>
            <w:r>
              <w:rPr>
                <w:rFonts w:ascii="宋体" w:hAnsi="宋体" w:eastAsia="宋体" w:cs="宋体"/>
                <w:spacing w:val="6"/>
                <w:sz w:val="20"/>
                <w:szCs w:val="20"/>
              </w:rPr>
              <w:t>氯甲烷</w:t>
            </w:r>
          </w:p>
        </w:tc>
        <w:tc>
          <w:tcPr>
            <w:tcW w:w="2130" w:type="dxa"/>
            <w:tcBorders>
              <w:left w:val="single" w:color="000000" w:sz="4" w:space="0"/>
              <w:right w:val="single" w:color="000000" w:sz="4" w:space="0"/>
            </w:tcBorders>
            <w:vAlign w:val="top"/>
          </w:tcPr>
          <w:p w14:paraId="5C6C9E51">
            <w:pPr>
              <w:spacing w:before="92" w:line="195" w:lineRule="auto"/>
              <w:ind w:left="9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616</w:t>
            </w:r>
          </w:p>
        </w:tc>
        <w:tc>
          <w:tcPr>
            <w:tcW w:w="2130" w:type="dxa"/>
            <w:tcBorders>
              <w:left w:val="single" w:color="000000" w:sz="4" w:space="0"/>
              <w:right w:val="single" w:color="000000" w:sz="4" w:space="0"/>
            </w:tcBorders>
            <w:vAlign w:val="top"/>
          </w:tcPr>
          <w:p w14:paraId="73C841C3">
            <w:pPr>
              <w:spacing w:before="19" w:line="281" w:lineRule="exact"/>
              <w:ind w:left="639"/>
              <w:rPr>
                <w:rFonts w:ascii="宋体" w:hAnsi="宋体" w:eastAsia="宋体" w:cs="宋体"/>
                <w:sz w:val="20"/>
                <w:szCs w:val="20"/>
              </w:rPr>
            </w:pPr>
            <w:r>
              <w:rPr>
                <w:rFonts w:ascii="宋体" w:hAnsi="宋体" w:eastAsia="宋体" w:cs="宋体"/>
                <w:spacing w:val="6"/>
                <w:position w:val="2"/>
                <w:sz w:val="20"/>
                <w:szCs w:val="20"/>
              </w:rPr>
              <w:t>苯并</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a</w:t>
            </w:r>
            <w:r>
              <w:rPr>
                <w:rFonts w:ascii="Times New Roman" w:hAnsi="Times New Roman" w:eastAsia="Times New Roman" w:cs="Times New Roman"/>
                <w:spacing w:val="6"/>
                <w:position w:val="2"/>
                <w:sz w:val="20"/>
                <w:szCs w:val="20"/>
              </w:rPr>
              <w:t>]</w:t>
            </w:r>
            <w:r>
              <w:rPr>
                <w:rFonts w:ascii="宋体" w:hAnsi="宋体" w:eastAsia="宋体" w:cs="宋体"/>
                <w:spacing w:val="5"/>
                <w:position w:val="2"/>
                <w:sz w:val="20"/>
                <w:szCs w:val="20"/>
              </w:rPr>
              <w:t>蒽</w:t>
            </w:r>
          </w:p>
        </w:tc>
        <w:tc>
          <w:tcPr>
            <w:tcW w:w="2132" w:type="dxa"/>
            <w:tcBorders>
              <w:left w:val="single" w:color="000000" w:sz="4" w:space="0"/>
              <w:right w:val="nil"/>
            </w:tcBorders>
            <w:vAlign w:val="top"/>
          </w:tcPr>
          <w:p w14:paraId="208B0D99">
            <w:pPr>
              <w:spacing w:before="92" w:line="195" w:lineRule="auto"/>
              <w:ind w:left="98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r>
      <w:tr w14:paraId="384FAF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130" w:type="dxa"/>
            <w:tcBorders>
              <w:left w:val="nil"/>
              <w:right w:val="single" w:color="000000" w:sz="4" w:space="0"/>
            </w:tcBorders>
            <w:vAlign w:val="top"/>
          </w:tcPr>
          <w:p w14:paraId="275D000E">
            <w:pPr>
              <w:spacing w:before="58" w:line="233" w:lineRule="auto"/>
              <w:ind w:left="504"/>
              <w:rPr>
                <w:rFonts w:ascii="宋体" w:hAnsi="宋体" w:eastAsia="宋体" w:cs="宋体"/>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,2-</w:t>
            </w:r>
            <w:r>
              <w:rPr>
                <w:rFonts w:ascii="宋体" w:hAnsi="宋体" w:eastAsia="宋体" w:cs="宋体"/>
                <w:spacing w:val="3"/>
                <w:sz w:val="20"/>
                <w:szCs w:val="20"/>
              </w:rPr>
              <w:t>二氯丙烷</w:t>
            </w:r>
          </w:p>
        </w:tc>
        <w:tc>
          <w:tcPr>
            <w:tcW w:w="2130" w:type="dxa"/>
            <w:tcBorders>
              <w:left w:val="single" w:color="000000" w:sz="4" w:space="0"/>
              <w:right w:val="single" w:color="000000" w:sz="4" w:space="0"/>
            </w:tcBorders>
            <w:vAlign w:val="top"/>
          </w:tcPr>
          <w:p w14:paraId="4548EF8E">
            <w:pPr>
              <w:spacing w:before="97" w:line="192" w:lineRule="auto"/>
              <w:ind w:left="1016"/>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2130" w:type="dxa"/>
            <w:tcBorders>
              <w:left w:val="single" w:color="000000" w:sz="4" w:space="0"/>
              <w:right w:val="single" w:color="000000" w:sz="4" w:space="0"/>
            </w:tcBorders>
            <w:vAlign w:val="top"/>
          </w:tcPr>
          <w:p w14:paraId="2EF39D6D">
            <w:pPr>
              <w:spacing w:before="20" w:line="281" w:lineRule="exact"/>
              <w:ind w:left="639"/>
              <w:rPr>
                <w:rFonts w:ascii="宋体" w:hAnsi="宋体" w:eastAsia="宋体" w:cs="宋体"/>
                <w:sz w:val="20"/>
                <w:szCs w:val="20"/>
              </w:rPr>
            </w:pPr>
            <w:r>
              <w:rPr>
                <w:rFonts w:ascii="宋体" w:hAnsi="宋体" w:eastAsia="宋体" w:cs="宋体"/>
                <w:spacing w:val="6"/>
                <w:position w:val="2"/>
                <w:sz w:val="20"/>
                <w:szCs w:val="20"/>
              </w:rPr>
              <w:t>苯并</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a</w:t>
            </w:r>
            <w:r>
              <w:rPr>
                <w:rFonts w:ascii="Times New Roman" w:hAnsi="Times New Roman" w:eastAsia="Times New Roman" w:cs="Times New Roman"/>
                <w:spacing w:val="6"/>
                <w:position w:val="2"/>
                <w:sz w:val="20"/>
                <w:szCs w:val="20"/>
              </w:rPr>
              <w:t>]</w:t>
            </w:r>
            <w:r>
              <w:rPr>
                <w:rFonts w:ascii="宋体" w:hAnsi="宋体" w:eastAsia="宋体" w:cs="宋体"/>
                <w:spacing w:val="5"/>
                <w:position w:val="2"/>
                <w:sz w:val="20"/>
                <w:szCs w:val="20"/>
              </w:rPr>
              <w:t>芘</w:t>
            </w:r>
          </w:p>
        </w:tc>
        <w:tc>
          <w:tcPr>
            <w:tcW w:w="2132" w:type="dxa"/>
            <w:tcBorders>
              <w:left w:val="single" w:color="000000" w:sz="4" w:space="0"/>
              <w:right w:val="nil"/>
            </w:tcBorders>
            <w:vAlign w:val="top"/>
          </w:tcPr>
          <w:p w14:paraId="53A2E2E2">
            <w:pPr>
              <w:spacing w:before="94" w:line="198" w:lineRule="auto"/>
              <w:ind w:left="95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.5</w:t>
            </w:r>
          </w:p>
        </w:tc>
      </w:tr>
      <w:tr w14:paraId="194EAF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130" w:type="dxa"/>
            <w:tcBorders>
              <w:left w:val="nil"/>
              <w:right w:val="single" w:color="000000" w:sz="4" w:space="0"/>
            </w:tcBorders>
            <w:vAlign w:val="top"/>
          </w:tcPr>
          <w:p w14:paraId="51FB33B1">
            <w:pPr>
              <w:spacing w:before="58" w:line="221" w:lineRule="auto"/>
              <w:ind w:left="346"/>
              <w:rPr>
                <w:rFonts w:ascii="宋体" w:hAnsi="宋体" w:eastAsia="宋体" w:cs="宋体"/>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 xml:space="preserve">, 1, 1,2- </w:t>
            </w:r>
            <w:r>
              <w:rPr>
                <w:rFonts w:ascii="宋体" w:hAnsi="宋体" w:eastAsia="宋体" w:cs="宋体"/>
                <w:spacing w:val="-7"/>
                <w:sz w:val="20"/>
                <w:szCs w:val="20"/>
              </w:rPr>
              <w:t>四氯乙烷</w:t>
            </w:r>
          </w:p>
        </w:tc>
        <w:tc>
          <w:tcPr>
            <w:tcW w:w="2130" w:type="dxa"/>
            <w:tcBorders>
              <w:left w:val="single" w:color="000000" w:sz="4" w:space="0"/>
              <w:right w:val="single" w:color="000000" w:sz="4" w:space="0"/>
            </w:tcBorders>
            <w:vAlign w:val="top"/>
          </w:tcPr>
          <w:p w14:paraId="614BD3B0">
            <w:pPr>
              <w:spacing w:before="94" w:line="195" w:lineRule="auto"/>
              <w:ind w:left="97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2130" w:type="dxa"/>
            <w:tcBorders>
              <w:left w:val="single" w:color="000000" w:sz="4" w:space="0"/>
              <w:right w:val="single" w:color="000000" w:sz="4" w:space="0"/>
            </w:tcBorders>
            <w:vAlign w:val="top"/>
          </w:tcPr>
          <w:p w14:paraId="42252B39">
            <w:pPr>
              <w:spacing w:before="21" w:line="281" w:lineRule="exact"/>
              <w:ind w:left="528"/>
              <w:rPr>
                <w:rFonts w:ascii="宋体" w:hAnsi="宋体" w:eastAsia="宋体" w:cs="宋体"/>
                <w:sz w:val="20"/>
                <w:szCs w:val="20"/>
              </w:rPr>
            </w:pPr>
            <w:r>
              <w:rPr>
                <w:rFonts w:ascii="宋体" w:hAnsi="宋体" w:eastAsia="宋体" w:cs="宋体"/>
                <w:spacing w:val="8"/>
                <w:position w:val="2"/>
                <w:sz w:val="20"/>
                <w:szCs w:val="20"/>
              </w:rPr>
              <w:t>苯</w:t>
            </w:r>
            <w:r>
              <w:rPr>
                <w:rFonts w:ascii="宋体" w:hAnsi="宋体" w:eastAsia="宋体" w:cs="宋体"/>
                <w:spacing w:val="6"/>
                <w:position w:val="2"/>
                <w:sz w:val="20"/>
                <w:szCs w:val="20"/>
              </w:rPr>
              <w:t>并</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b</w:t>
            </w:r>
            <w:r>
              <w:rPr>
                <w:rFonts w:ascii="Times New Roman" w:hAnsi="Times New Roman" w:eastAsia="Times New Roman" w:cs="Times New Roman"/>
                <w:spacing w:val="6"/>
                <w:position w:val="2"/>
                <w:sz w:val="20"/>
                <w:szCs w:val="20"/>
              </w:rPr>
              <w:t>]</w:t>
            </w:r>
            <w:r>
              <w:rPr>
                <w:rFonts w:ascii="宋体" w:hAnsi="宋体" w:eastAsia="宋体" w:cs="宋体"/>
                <w:spacing w:val="6"/>
                <w:position w:val="2"/>
                <w:sz w:val="20"/>
                <w:szCs w:val="20"/>
              </w:rPr>
              <w:t>荧蒽</w:t>
            </w:r>
          </w:p>
        </w:tc>
        <w:tc>
          <w:tcPr>
            <w:tcW w:w="2132" w:type="dxa"/>
            <w:tcBorders>
              <w:left w:val="single" w:color="000000" w:sz="4" w:space="0"/>
              <w:right w:val="nil"/>
            </w:tcBorders>
            <w:vAlign w:val="top"/>
          </w:tcPr>
          <w:p w14:paraId="25E20DC0">
            <w:pPr>
              <w:spacing w:before="94" w:line="195" w:lineRule="auto"/>
              <w:ind w:left="98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r>
      <w:tr w14:paraId="389CC5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130" w:type="dxa"/>
            <w:tcBorders>
              <w:left w:val="nil"/>
              <w:right w:val="single" w:color="000000" w:sz="4" w:space="0"/>
            </w:tcBorders>
            <w:vAlign w:val="top"/>
          </w:tcPr>
          <w:p w14:paraId="5B8C098E">
            <w:pPr>
              <w:spacing w:before="58" w:line="233" w:lineRule="auto"/>
              <w:ind w:left="346"/>
              <w:rPr>
                <w:rFonts w:ascii="宋体" w:hAnsi="宋体" w:eastAsia="宋体" w:cs="宋体"/>
                <w:sz w:val="20"/>
                <w:szCs w:val="20"/>
              </w:rPr>
            </w:pPr>
            <w:r>
              <w:rPr>
                <w:rFonts w:ascii="Times New Roman" w:hAnsi="Times New Roman" w:eastAsia="Times New Roman" w:cs="Times New Roman"/>
                <w:spacing w:val="-4"/>
                <w:sz w:val="20"/>
                <w:szCs w:val="20"/>
              </w:rPr>
              <w:t xml:space="preserve">1, 1,2,2- </w:t>
            </w:r>
            <w:r>
              <w:rPr>
                <w:rFonts w:ascii="宋体" w:hAnsi="宋体" w:eastAsia="宋体" w:cs="宋体"/>
                <w:spacing w:val="-4"/>
                <w:sz w:val="20"/>
                <w:szCs w:val="20"/>
              </w:rPr>
              <w:t>四氯乙烷</w:t>
            </w:r>
          </w:p>
        </w:tc>
        <w:tc>
          <w:tcPr>
            <w:tcW w:w="2130" w:type="dxa"/>
            <w:tcBorders>
              <w:left w:val="single" w:color="000000" w:sz="4" w:space="0"/>
              <w:right w:val="single" w:color="000000" w:sz="4" w:space="0"/>
            </w:tcBorders>
            <w:vAlign w:val="top"/>
          </w:tcPr>
          <w:p w14:paraId="07C2D080">
            <w:pPr>
              <w:spacing w:before="94" w:line="195" w:lineRule="auto"/>
              <w:ind w:left="93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6.8</w:t>
            </w:r>
          </w:p>
        </w:tc>
        <w:tc>
          <w:tcPr>
            <w:tcW w:w="2130" w:type="dxa"/>
            <w:tcBorders>
              <w:left w:val="single" w:color="000000" w:sz="4" w:space="0"/>
              <w:right w:val="single" w:color="000000" w:sz="4" w:space="0"/>
            </w:tcBorders>
            <w:vAlign w:val="top"/>
          </w:tcPr>
          <w:p w14:paraId="12656E7D">
            <w:pPr>
              <w:spacing w:before="20" w:line="281" w:lineRule="exact"/>
              <w:ind w:left="528"/>
              <w:rPr>
                <w:rFonts w:ascii="宋体" w:hAnsi="宋体" w:eastAsia="宋体" w:cs="宋体"/>
                <w:sz w:val="20"/>
                <w:szCs w:val="20"/>
              </w:rPr>
            </w:pPr>
            <w:r>
              <w:rPr>
                <w:rFonts w:ascii="宋体" w:hAnsi="宋体" w:eastAsia="宋体" w:cs="宋体"/>
                <w:spacing w:val="8"/>
                <w:position w:val="2"/>
                <w:sz w:val="20"/>
                <w:szCs w:val="20"/>
              </w:rPr>
              <w:t>苯</w:t>
            </w:r>
            <w:r>
              <w:rPr>
                <w:rFonts w:ascii="宋体" w:hAnsi="宋体" w:eastAsia="宋体" w:cs="宋体"/>
                <w:spacing w:val="6"/>
                <w:position w:val="2"/>
                <w:sz w:val="20"/>
                <w:szCs w:val="20"/>
              </w:rPr>
              <w:t>并</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k</w:t>
            </w:r>
            <w:r>
              <w:rPr>
                <w:rFonts w:ascii="Times New Roman" w:hAnsi="Times New Roman" w:eastAsia="Times New Roman" w:cs="Times New Roman"/>
                <w:spacing w:val="6"/>
                <w:position w:val="2"/>
                <w:sz w:val="20"/>
                <w:szCs w:val="20"/>
              </w:rPr>
              <w:t>]</w:t>
            </w:r>
            <w:r>
              <w:rPr>
                <w:rFonts w:ascii="宋体" w:hAnsi="宋体" w:eastAsia="宋体" w:cs="宋体"/>
                <w:spacing w:val="6"/>
                <w:position w:val="2"/>
                <w:sz w:val="20"/>
                <w:szCs w:val="20"/>
              </w:rPr>
              <w:t>荧蒽</w:t>
            </w:r>
          </w:p>
        </w:tc>
        <w:tc>
          <w:tcPr>
            <w:tcW w:w="2132" w:type="dxa"/>
            <w:tcBorders>
              <w:left w:val="single" w:color="000000" w:sz="4" w:space="0"/>
              <w:right w:val="nil"/>
            </w:tcBorders>
            <w:vAlign w:val="top"/>
          </w:tcPr>
          <w:p w14:paraId="4F3FA827">
            <w:pPr>
              <w:spacing w:before="94" w:line="195" w:lineRule="auto"/>
              <w:ind w:left="92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151</w:t>
            </w:r>
          </w:p>
        </w:tc>
      </w:tr>
      <w:tr w14:paraId="6A4ADD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130" w:type="dxa"/>
            <w:tcBorders>
              <w:left w:val="nil"/>
              <w:right w:val="single" w:color="000000" w:sz="4" w:space="0"/>
            </w:tcBorders>
            <w:vAlign w:val="top"/>
          </w:tcPr>
          <w:p w14:paraId="4F94F4DE">
            <w:pPr>
              <w:spacing w:before="57" w:line="228" w:lineRule="auto"/>
              <w:ind w:left="673"/>
              <w:rPr>
                <w:rFonts w:ascii="宋体" w:hAnsi="宋体" w:eastAsia="宋体" w:cs="宋体"/>
                <w:sz w:val="20"/>
                <w:szCs w:val="20"/>
              </w:rPr>
            </w:pPr>
            <w:r>
              <w:rPr>
                <w:rFonts w:ascii="宋体" w:hAnsi="宋体" w:eastAsia="宋体" w:cs="宋体"/>
                <w:spacing w:val="3"/>
                <w:sz w:val="20"/>
                <w:szCs w:val="20"/>
              </w:rPr>
              <w:t>四</w:t>
            </w:r>
            <w:r>
              <w:rPr>
                <w:rFonts w:ascii="宋体" w:hAnsi="宋体" w:eastAsia="宋体" w:cs="宋体"/>
                <w:spacing w:val="2"/>
                <w:sz w:val="20"/>
                <w:szCs w:val="20"/>
              </w:rPr>
              <w:t>氯乙烯</w:t>
            </w:r>
          </w:p>
        </w:tc>
        <w:tc>
          <w:tcPr>
            <w:tcW w:w="2130" w:type="dxa"/>
            <w:tcBorders>
              <w:left w:val="single" w:color="000000" w:sz="4" w:space="0"/>
              <w:right w:val="single" w:color="000000" w:sz="4" w:space="0"/>
            </w:tcBorders>
            <w:vAlign w:val="top"/>
          </w:tcPr>
          <w:p w14:paraId="5237C144">
            <w:pPr>
              <w:spacing w:before="93" w:line="195" w:lineRule="auto"/>
              <w:ind w:left="963"/>
              <w:rPr>
                <w:rFonts w:ascii="Times New Roman" w:hAnsi="Times New Roman" w:eastAsia="Times New Roman" w:cs="Times New Roman"/>
                <w:sz w:val="20"/>
                <w:szCs w:val="20"/>
              </w:rPr>
            </w:pPr>
            <w:r>
              <w:rPr>
                <w:rFonts w:ascii="Times New Roman" w:hAnsi="Times New Roman" w:eastAsia="Times New Roman" w:cs="Times New Roman"/>
                <w:sz w:val="20"/>
                <w:szCs w:val="20"/>
              </w:rPr>
              <w:t>53</w:t>
            </w:r>
          </w:p>
        </w:tc>
        <w:tc>
          <w:tcPr>
            <w:tcW w:w="2130" w:type="dxa"/>
            <w:tcBorders>
              <w:left w:val="single" w:color="000000" w:sz="4" w:space="0"/>
              <w:right w:val="single" w:color="000000" w:sz="4" w:space="0"/>
            </w:tcBorders>
            <w:vAlign w:val="top"/>
          </w:tcPr>
          <w:p w14:paraId="67E436F9">
            <w:pPr>
              <w:spacing w:before="57" w:line="229" w:lineRule="auto"/>
              <w:ind w:left="961"/>
              <w:rPr>
                <w:rFonts w:ascii="宋体" w:hAnsi="宋体" w:eastAsia="宋体" w:cs="宋体"/>
                <w:sz w:val="20"/>
                <w:szCs w:val="20"/>
              </w:rPr>
            </w:pPr>
            <w:r>
              <w:rPr>
                <w:rFonts w:ascii="宋体" w:hAnsi="宋体" w:eastAsia="宋体" w:cs="宋体"/>
                <w:spacing w:val="2"/>
                <w:sz w:val="20"/>
                <w:szCs w:val="20"/>
              </w:rPr>
              <w:t>䓛</w:t>
            </w:r>
          </w:p>
        </w:tc>
        <w:tc>
          <w:tcPr>
            <w:tcW w:w="2132" w:type="dxa"/>
            <w:tcBorders>
              <w:left w:val="single" w:color="000000" w:sz="4" w:space="0"/>
              <w:right w:val="nil"/>
            </w:tcBorders>
            <w:vAlign w:val="top"/>
          </w:tcPr>
          <w:p w14:paraId="5D8CF82B">
            <w:pPr>
              <w:spacing w:before="93" w:line="195" w:lineRule="auto"/>
              <w:ind w:left="8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1293</w:t>
            </w:r>
          </w:p>
        </w:tc>
      </w:tr>
      <w:tr w14:paraId="5B9A1B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130" w:type="dxa"/>
            <w:tcBorders>
              <w:left w:val="nil"/>
              <w:right w:val="single" w:color="000000" w:sz="4" w:space="0"/>
            </w:tcBorders>
            <w:vAlign w:val="top"/>
          </w:tcPr>
          <w:p w14:paraId="045D777B">
            <w:pPr>
              <w:spacing w:before="59" w:line="233" w:lineRule="auto"/>
              <w:ind w:left="425"/>
              <w:rPr>
                <w:rFonts w:ascii="宋体" w:hAnsi="宋体" w:eastAsia="宋体" w:cs="宋体"/>
                <w:sz w:val="20"/>
                <w:szCs w:val="20"/>
              </w:rPr>
            </w:pPr>
            <w:r>
              <w:rPr>
                <w:rFonts w:ascii="Times New Roman" w:hAnsi="Times New Roman" w:eastAsia="Times New Roman" w:cs="Times New Roman"/>
                <w:spacing w:val="-9"/>
                <w:sz w:val="20"/>
                <w:szCs w:val="20"/>
              </w:rPr>
              <w:t>1</w:t>
            </w:r>
            <w:r>
              <w:rPr>
                <w:rFonts w:ascii="Times New Roman" w:hAnsi="Times New Roman" w:eastAsia="Times New Roman" w:cs="Times New Roman"/>
                <w:spacing w:val="-5"/>
                <w:sz w:val="20"/>
                <w:szCs w:val="20"/>
              </w:rPr>
              <w:t>, 1, 1-</w:t>
            </w:r>
            <w:r>
              <w:rPr>
                <w:rFonts w:ascii="宋体" w:hAnsi="宋体" w:eastAsia="宋体" w:cs="宋体"/>
                <w:spacing w:val="-5"/>
                <w:sz w:val="20"/>
                <w:szCs w:val="20"/>
              </w:rPr>
              <w:t>三氯乙烷</w:t>
            </w:r>
          </w:p>
        </w:tc>
        <w:tc>
          <w:tcPr>
            <w:tcW w:w="2130" w:type="dxa"/>
            <w:tcBorders>
              <w:left w:val="single" w:color="000000" w:sz="4" w:space="0"/>
              <w:right w:val="single" w:color="000000" w:sz="4" w:space="0"/>
            </w:tcBorders>
            <w:vAlign w:val="top"/>
          </w:tcPr>
          <w:p w14:paraId="7E0FA3D0">
            <w:pPr>
              <w:spacing w:before="95" w:line="195" w:lineRule="auto"/>
              <w:ind w:left="91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84</w:t>
            </w:r>
            <w:r>
              <w:rPr>
                <w:rFonts w:ascii="Times New Roman" w:hAnsi="Times New Roman" w:eastAsia="Times New Roman" w:cs="Times New Roman"/>
                <w:sz w:val="20"/>
                <w:szCs w:val="20"/>
              </w:rPr>
              <w:t>0</w:t>
            </w:r>
          </w:p>
        </w:tc>
        <w:tc>
          <w:tcPr>
            <w:tcW w:w="2130" w:type="dxa"/>
            <w:tcBorders>
              <w:left w:val="single" w:color="000000" w:sz="4" w:space="0"/>
              <w:right w:val="single" w:color="000000" w:sz="4" w:space="0"/>
            </w:tcBorders>
            <w:vAlign w:val="top"/>
          </w:tcPr>
          <w:p w14:paraId="2C0DB4ED">
            <w:pPr>
              <w:spacing w:before="21" w:line="281" w:lineRule="exact"/>
              <w:ind w:left="378"/>
              <w:rPr>
                <w:rFonts w:ascii="宋体" w:hAnsi="宋体" w:eastAsia="宋体" w:cs="宋体"/>
                <w:sz w:val="20"/>
                <w:szCs w:val="20"/>
              </w:rPr>
            </w:pPr>
            <w:r>
              <w:rPr>
                <w:rFonts w:ascii="宋体" w:hAnsi="宋体" w:eastAsia="宋体" w:cs="宋体"/>
                <w:spacing w:val="1"/>
                <w:position w:val="2"/>
                <w:sz w:val="20"/>
                <w:szCs w:val="20"/>
              </w:rPr>
              <w:t>二苯并</w:t>
            </w:r>
            <w:r>
              <w:rPr>
                <w:rFonts w:ascii="Times New Roman" w:hAnsi="Times New Roman" w:eastAsia="Times New Roman" w:cs="Times New Roman"/>
                <w:position w:val="2"/>
                <w:sz w:val="20"/>
                <w:szCs w:val="20"/>
              </w:rPr>
              <w:t xml:space="preserve">[a </w:t>
            </w:r>
            <w:r>
              <w:rPr>
                <w:rFonts w:ascii="宋体" w:hAnsi="宋体" w:eastAsia="宋体" w:cs="宋体"/>
                <w:position w:val="2"/>
                <w:sz w:val="20"/>
                <w:szCs w:val="20"/>
              </w:rPr>
              <w:t>、</w:t>
            </w:r>
            <w:r>
              <w:rPr>
                <w:rFonts w:ascii="Times New Roman" w:hAnsi="Times New Roman" w:eastAsia="Times New Roman" w:cs="Times New Roman"/>
                <w:position w:val="2"/>
                <w:sz w:val="20"/>
                <w:szCs w:val="20"/>
              </w:rPr>
              <w:t>h]</w:t>
            </w:r>
            <w:r>
              <w:rPr>
                <w:rFonts w:ascii="宋体" w:hAnsi="宋体" w:eastAsia="宋体" w:cs="宋体"/>
                <w:position w:val="2"/>
                <w:sz w:val="20"/>
                <w:szCs w:val="20"/>
              </w:rPr>
              <w:t>蒽</w:t>
            </w:r>
          </w:p>
        </w:tc>
        <w:tc>
          <w:tcPr>
            <w:tcW w:w="2132" w:type="dxa"/>
            <w:tcBorders>
              <w:left w:val="single" w:color="000000" w:sz="4" w:space="0"/>
              <w:right w:val="nil"/>
            </w:tcBorders>
            <w:vAlign w:val="top"/>
          </w:tcPr>
          <w:p w14:paraId="67D7A956">
            <w:pPr>
              <w:spacing w:before="95" w:line="195" w:lineRule="auto"/>
              <w:ind w:left="95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 xml:space="preserve"> 5</w:t>
            </w:r>
          </w:p>
        </w:tc>
      </w:tr>
      <w:tr w14:paraId="0161AE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130" w:type="dxa"/>
            <w:tcBorders>
              <w:left w:val="nil"/>
              <w:right w:val="single" w:color="000000" w:sz="4" w:space="0"/>
            </w:tcBorders>
            <w:vAlign w:val="top"/>
          </w:tcPr>
          <w:p w14:paraId="3D69277F">
            <w:pPr>
              <w:spacing w:before="59" w:line="233" w:lineRule="auto"/>
              <w:ind w:left="425"/>
              <w:rPr>
                <w:rFonts w:ascii="宋体" w:hAnsi="宋体" w:eastAsia="宋体" w:cs="宋体"/>
                <w:sz w:val="20"/>
                <w:szCs w:val="20"/>
              </w:rPr>
            </w:pPr>
            <w:r>
              <w:rPr>
                <w:rFonts w:ascii="Times New Roman" w:hAnsi="Times New Roman" w:eastAsia="Times New Roman" w:cs="Times New Roman"/>
                <w:spacing w:val="-2"/>
                <w:sz w:val="20"/>
                <w:szCs w:val="20"/>
              </w:rPr>
              <w:t xml:space="preserve">1, </w:t>
            </w:r>
            <w:r>
              <w:rPr>
                <w:rFonts w:ascii="Times New Roman" w:hAnsi="Times New Roman" w:eastAsia="Times New Roman" w:cs="Times New Roman"/>
                <w:spacing w:val="-1"/>
                <w:sz w:val="20"/>
                <w:szCs w:val="20"/>
              </w:rPr>
              <w:t>1,2-</w:t>
            </w:r>
            <w:r>
              <w:rPr>
                <w:rFonts w:ascii="宋体" w:hAnsi="宋体" w:eastAsia="宋体" w:cs="宋体"/>
                <w:spacing w:val="-1"/>
                <w:sz w:val="20"/>
                <w:szCs w:val="20"/>
              </w:rPr>
              <w:t>三氯乙烷</w:t>
            </w:r>
          </w:p>
        </w:tc>
        <w:tc>
          <w:tcPr>
            <w:tcW w:w="2130" w:type="dxa"/>
            <w:tcBorders>
              <w:left w:val="single" w:color="000000" w:sz="4" w:space="0"/>
              <w:right w:val="single" w:color="000000" w:sz="4" w:space="0"/>
            </w:tcBorders>
            <w:vAlign w:val="top"/>
          </w:tcPr>
          <w:p w14:paraId="5357A33E">
            <w:pPr>
              <w:spacing w:before="94" w:line="198" w:lineRule="auto"/>
              <w:ind w:left="93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5"/>
                <w:sz w:val="20"/>
                <w:szCs w:val="20"/>
              </w:rPr>
              <w:t>.8</w:t>
            </w:r>
          </w:p>
        </w:tc>
        <w:tc>
          <w:tcPr>
            <w:tcW w:w="2130" w:type="dxa"/>
            <w:tcBorders>
              <w:left w:val="single" w:color="000000" w:sz="4" w:space="0"/>
              <w:right w:val="single" w:color="000000" w:sz="4" w:space="0"/>
            </w:tcBorders>
            <w:vAlign w:val="top"/>
          </w:tcPr>
          <w:p w14:paraId="480CF190">
            <w:pPr>
              <w:spacing w:before="21" w:line="281" w:lineRule="exact"/>
              <w:ind w:left="345"/>
              <w:rPr>
                <w:rFonts w:ascii="宋体" w:hAnsi="宋体" w:eastAsia="宋体" w:cs="宋体"/>
                <w:sz w:val="20"/>
                <w:szCs w:val="20"/>
              </w:rPr>
            </w:pPr>
            <w:r>
              <w:rPr>
                <w:rFonts w:ascii="宋体" w:hAnsi="宋体" w:eastAsia="宋体" w:cs="宋体"/>
                <w:spacing w:val="6"/>
                <w:position w:val="2"/>
                <w:sz w:val="20"/>
                <w:szCs w:val="20"/>
              </w:rPr>
              <w:t>茚</w:t>
            </w:r>
            <w:r>
              <w:rPr>
                <w:rFonts w:ascii="宋体" w:hAnsi="宋体" w:eastAsia="宋体" w:cs="宋体"/>
                <w:spacing w:val="5"/>
                <w:position w:val="2"/>
                <w:sz w:val="20"/>
                <w:szCs w:val="20"/>
              </w:rPr>
              <w:t>并</w:t>
            </w:r>
            <w:r>
              <w:rPr>
                <w:rFonts w:ascii="Times New Roman" w:hAnsi="Times New Roman" w:eastAsia="Times New Roman" w:cs="Times New Roman"/>
                <w:spacing w:val="5"/>
                <w:position w:val="2"/>
                <w:sz w:val="20"/>
                <w:szCs w:val="20"/>
              </w:rPr>
              <w:t>[1,2,3-</w:t>
            </w:r>
            <w:r>
              <w:rPr>
                <w:rFonts w:ascii="Times New Roman" w:hAnsi="Times New Roman" w:eastAsia="Times New Roman" w:cs="Times New Roman"/>
                <w:position w:val="2"/>
                <w:sz w:val="20"/>
                <w:szCs w:val="20"/>
              </w:rPr>
              <w:t>cd</w:t>
            </w:r>
            <w:r>
              <w:rPr>
                <w:rFonts w:ascii="Times New Roman" w:hAnsi="Times New Roman" w:eastAsia="Times New Roman" w:cs="Times New Roman"/>
                <w:spacing w:val="5"/>
                <w:position w:val="2"/>
                <w:sz w:val="20"/>
                <w:szCs w:val="20"/>
              </w:rPr>
              <w:t>]</w:t>
            </w:r>
            <w:r>
              <w:rPr>
                <w:rFonts w:ascii="宋体" w:hAnsi="宋体" w:eastAsia="宋体" w:cs="宋体"/>
                <w:spacing w:val="5"/>
                <w:position w:val="2"/>
                <w:sz w:val="20"/>
                <w:szCs w:val="20"/>
              </w:rPr>
              <w:t>芘</w:t>
            </w:r>
          </w:p>
        </w:tc>
        <w:tc>
          <w:tcPr>
            <w:tcW w:w="2132" w:type="dxa"/>
            <w:tcBorders>
              <w:left w:val="single" w:color="000000" w:sz="4" w:space="0"/>
              <w:right w:val="nil"/>
            </w:tcBorders>
            <w:vAlign w:val="top"/>
          </w:tcPr>
          <w:p w14:paraId="0765DC0B">
            <w:pPr>
              <w:spacing w:before="94" w:line="195" w:lineRule="auto"/>
              <w:ind w:left="98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r>
      <w:tr w14:paraId="63FF0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2130" w:type="dxa"/>
            <w:tcBorders>
              <w:left w:val="nil"/>
              <w:right w:val="single" w:color="000000" w:sz="4" w:space="0"/>
            </w:tcBorders>
            <w:vAlign w:val="top"/>
          </w:tcPr>
          <w:p w14:paraId="5223932E">
            <w:pPr>
              <w:spacing w:before="59" w:line="228" w:lineRule="auto"/>
              <w:ind w:left="968"/>
              <w:rPr>
                <w:rFonts w:ascii="宋体" w:hAnsi="宋体" w:eastAsia="宋体" w:cs="宋体"/>
                <w:sz w:val="20"/>
                <w:szCs w:val="20"/>
              </w:rPr>
            </w:pPr>
            <w:r>
              <w:rPr>
                <w:rFonts w:ascii="宋体" w:hAnsi="宋体" w:eastAsia="宋体" w:cs="宋体"/>
                <w:sz w:val="20"/>
                <w:szCs w:val="20"/>
              </w:rPr>
              <w:t>萘</w:t>
            </w:r>
          </w:p>
        </w:tc>
        <w:tc>
          <w:tcPr>
            <w:tcW w:w="2130" w:type="dxa"/>
            <w:tcBorders>
              <w:left w:val="single" w:color="000000" w:sz="4" w:space="0"/>
              <w:right w:val="single" w:color="000000" w:sz="4" w:space="0"/>
            </w:tcBorders>
            <w:vAlign w:val="top"/>
          </w:tcPr>
          <w:p w14:paraId="33A23399">
            <w:pPr>
              <w:spacing w:before="95" w:line="195" w:lineRule="auto"/>
              <w:ind w:left="96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w:t>
            </w:r>
          </w:p>
        </w:tc>
        <w:tc>
          <w:tcPr>
            <w:tcW w:w="4262" w:type="dxa"/>
            <w:gridSpan w:val="2"/>
            <w:tcBorders>
              <w:left w:val="single" w:color="000000" w:sz="4" w:space="0"/>
              <w:right w:val="nil"/>
            </w:tcBorders>
            <w:vAlign w:val="top"/>
          </w:tcPr>
          <w:p w14:paraId="4F191B18">
            <w:pPr>
              <w:rPr>
                <w:rFonts w:ascii="Arial"/>
                <w:sz w:val="21"/>
              </w:rPr>
            </w:pPr>
          </w:p>
        </w:tc>
      </w:tr>
    </w:tbl>
    <w:p w14:paraId="1CD48F3F">
      <w:pPr>
        <w:spacing w:line="260" w:lineRule="auto"/>
        <w:rPr>
          <w:rFonts w:ascii="Arial"/>
          <w:sz w:val="21"/>
        </w:rPr>
      </w:pPr>
    </w:p>
    <w:p w14:paraId="534E251D">
      <w:pPr>
        <w:spacing w:before="75" w:line="226" w:lineRule="auto"/>
        <w:ind w:left="608"/>
        <w:rPr>
          <w:rFonts w:ascii="宋体" w:hAnsi="宋体" w:eastAsia="宋体" w:cs="宋体"/>
          <w:sz w:val="23"/>
          <w:szCs w:val="23"/>
        </w:rPr>
      </w:pPr>
      <w:r>
        <w:rPr>
          <w:rFonts w:ascii="宋体" w:hAnsi="宋体" w:eastAsia="宋体" w:cs="宋体"/>
          <w:spacing w:val="20"/>
          <w:sz w:val="23"/>
          <w:szCs w:val="23"/>
        </w:rPr>
        <w:t>(</w:t>
      </w:r>
      <w:r>
        <w:rPr>
          <w:rFonts w:ascii="Times New Roman" w:hAnsi="Times New Roman" w:eastAsia="Times New Roman" w:cs="Times New Roman"/>
          <w:spacing w:val="20"/>
          <w:sz w:val="23"/>
          <w:szCs w:val="23"/>
        </w:rPr>
        <w:t>2</w:t>
      </w:r>
      <w:r>
        <w:rPr>
          <w:rFonts w:ascii="宋体" w:hAnsi="宋体" w:eastAsia="宋体" w:cs="宋体"/>
          <w:spacing w:val="20"/>
          <w:sz w:val="23"/>
          <w:szCs w:val="23"/>
        </w:rPr>
        <w:t>) 评价方</w:t>
      </w:r>
      <w:r>
        <w:rPr>
          <w:rFonts w:ascii="宋体" w:hAnsi="宋体" w:eastAsia="宋体" w:cs="宋体"/>
          <w:spacing w:val="19"/>
          <w:sz w:val="23"/>
          <w:szCs w:val="23"/>
        </w:rPr>
        <w:t>法</w:t>
      </w:r>
    </w:p>
    <w:p w14:paraId="145E6966">
      <w:pPr>
        <w:spacing w:line="277" w:lineRule="auto"/>
        <w:rPr>
          <w:rFonts w:ascii="Arial"/>
          <w:sz w:val="21"/>
        </w:rPr>
      </w:pPr>
    </w:p>
    <w:p w14:paraId="56ED9F5A">
      <w:pPr>
        <w:spacing w:before="76" w:line="226" w:lineRule="auto"/>
        <w:ind w:left="596"/>
        <w:rPr>
          <w:rFonts w:ascii="宋体" w:hAnsi="宋体" w:eastAsia="宋体" w:cs="宋体"/>
          <w:sz w:val="23"/>
          <w:szCs w:val="23"/>
        </w:rPr>
      </w:pPr>
      <w:r>
        <w:rPr>
          <w:rFonts w:ascii="宋体" w:hAnsi="宋体" w:eastAsia="宋体" w:cs="宋体"/>
          <w:spacing w:val="15"/>
          <w:sz w:val="23"/>
          <w:szCs w:val="23"/>
        </w:rPr>
        <w:t>评</w:t>
      </w:r>
      <w:r>
        <w:rPr>
          <w:rFonts w:ascii="宋体" w:hAnsi="宋体" w:eastAsia="宋体" w:cs="宋体"/>
          <w:spacing w:val="8"/>
          <w:sz w:val="23"/>
          <w:szCs w:val="23"/>
        </w:rPr>
        <w:t>价方法采用单因子指数法。</w:t>
      </w:r>
    </w:p>
    <w:p w14:paraId="2BDFC39F">
      <w:pPr>
        <w:spacing w:before="309" w:line="322" w:lineRule="exact"/>
        <w:ind w:left="599"/>
        <w:rPr>
          <w:rFonts w:ascii="宋体" w:hAnsi="宋体" w:eastAsia="宋体" w:cs="宋体"/>
          <w:sz w:val="23"/>
          <w:szCs w:val="23"/>
        </w:rPr>
      </w:pPr>
      <w:r>
        <w:rPr>
          <w:rFonts w:ascii="宋体" w:hAnsi="宋体" w:eastAsia="宋体" w:cs="宋体"/>
          <w:spacing w:val="8"/>
          <w:position w:val="3"/>
          <w:sz w:val="23"/>
          <w:szCs w:val="23"/>
        </w:rPr>
        <w:t xml:space="preserve">单项土壤因子 </w:t>
      </w:r>
      <w:r>
        <w:rPr>
          <w:rFonts w:ascii="Times New Roman" w:hAnsi="Times New Roman" w:eastAsia="Times New Roman" w:cs="Times New Roman"/>
          <w:position w:val="3"/>
          <w:sz w:val="23"/>
          <w:szCs w:val="23"/>
        </w:rPr>
        <w:t>i</w:t>
      </w:r>
      <w:r>
        <w:rPr>
          <w:rFonts w:ascii="Times New Roman" w:hAnsi="Times New Roman" w:eastAsia="Times New Roman" w:cs="Times New Roman"/>
          <w:spacing w:val="8"/>
          <w:position w:val="3"/>
          <w:sz w:val="23"/>
          <w:szCs w:val="23"/>
        </w:rPr>
        <w:t xml:space="preserve"> </w:t>
      </w:r>
      <w:r>
        <w:rPr>
          <w:rFonts w:ascii="宋体" w:hAnsi="宋体" w:eastAsia="宋体" w:cs="宋体"/>
          <w:spacing w:val="8"/>
          <w:position w:val="3"/>
          <w:sz w:val="23"/>
          <w:szCs w:val="23"/>
        </w:rPr>
        <w:t>在第</w:t>
      </w:r>
      <w:r>
        <w:rPr>
          <w:rFonts w:ascii="Times New Roman" w:hAnsi="Times New Roman" w:eastAsia="Times New Roman" w:cs="Times New Roman"/>
          <w:position w:val="3"/>
          <w:sz w:val="23"/>
          <w:szCs w:val="23"/>
        </w:rPr>
        <w:t>j</w:t>
      </w:r>
      <w:r>
        <w:rPr>
          <w:rFonts w:ascii="Times New Roman" w:hAnsi="Times New Roman" w:eastAsia="Times New Roman" w:cs="Times New Roman"/>
          <w:spacing w:val="8"/>
          <w:position w:val="3"/>
          <w:sz w:val="23"/>
          <w:szCs w:val="23"/>
        </w:rPr>
        <w:t xml:space="preserve"> </w:t>
      </w:r>
      <w:r>
        <w:rPr>
          <w:rFonts w:ascii="宋体" w:hAnsi="宋体" w:eastAsia="宋体" w:cs="宋体"/>
          <w:spacing w:val="8"/>
          <w:position w:val="3"/>
          <w:sz w:val="23"/>
          <w:szCs w:val="23"/>
        </w:rPr>
        <w:t>点的标准指数</w:t>
      </w:r>
      <w:r>
        <w:rPr>
          <w:rFonts w:ascii="宋体" w:hAnsi="宋体" w:eastAsia="宋体" w:cs="宋体"/>
          <w:spacing w:val="6"/>
          <w:position w:val="3"/>
          <w:sz w:val="23"/>
          <w:szCs w:val="23"/>
        </w:rPr>
        <w:t>：</w:t>
      </w:r>
    </w:p>
    <w:p w14:paraId="0D4995DD">
      <w:pPr>
        <w:sectPr>
          <w:headerReference r:id="rId185" w:type="default"/>
          <w:footerReference r:id="rId186" w:type="default"/>
          <w:pgSz w:w="11906" w:h="16839"/>
          <w:pgMar w:top="1132" w:right="1691" w:bottom="1182" w:left="1691" w:header="878" w:footer="1022" w:gutter="0"/>
          <w:cols w:space="720" w:num="1"/>
        </w:sectPr>
      </w:pPr>
    </w:p>
    <w:p w14:paraId="1A1BC99C">
      <w:pPr>
        <w:spacing w:line="435" w:lineRule="auto"/>
        <w:rPr>
          <w:rFonts w:ascii="Arial"/>
          <w:sz w:val="21"/>
        </w:rPr>
      </w:pPr>
      <w:r>
        <w:pict>
          <v:shape id="_x0000_s1230" o:spid="_x0000_s1230" style="position:absolute;left:0pt;margin-left:90pt;margin-top:57.35pt;height:0.75pt;width:415.3pt;mso-position-horizontal-relative:page;mso-position-vertical-relative:page;z-index:251882496;mso-width-relative:page;mso-height-relative:page;" fillcolor="#000000" filled="t" stroked="f" coordsize="8305,15" o:allowincell="f" path="m0,0l8305,0,8305,14,0,14,0,0xe">
            <v:path/>
            <v:fill on="t" focussize="0,0"/>
            <v:stroke on="f"/>
            <v:imagedata o:title=""/>
            <o:lock v:ext="edit"/>
          </v:shape>
        </w:pict>
      </w:r>
    </w:p>
    <w:p w14:paraId="3BF99AFB">
      <w:pPr>
        <w:spacing w:before="61" w:line="164" w:lineRule="auto"/>
        <w:ind w:left="3826"/>
        <w:rPr>
          <w:rFonts w:ascii="Times New Roman" w:hAnsi="Times New Roman" w:eastAsia="Times New Roman" w:cs="Times New Roman"/>
          <w:sz w:val="12"/>
          <w:szCs w:val="12"/>
        </w:rPr>
      </w:pPr>
      <w:r>
        <w:rPr>
          <w:rFonts w:ascii="Times New Roman" w:hAnsi="Times New Roman" w:eastAsia="Times New Roman" w:cs="Times New Roman"/>
          <w:position w:val="-6"/>
          <w:sz w:val="20"/>
          <w:szCs w:val="20"/>
        </w:rPr>
        <w:t>P</w:t>
      </w:r>
      <w:r>
        <w:rPr>
          <w:rFonts w:ascii="Times New Roman" w:hAnsi="Times New Roman" w:eastAsia="Times New Roman" w:cs="Times New Roman"/>
          <w:spacing w:val="10"/>
          <w:position w:val="-6"/>
          <w:sz w:val="20"/>
          <w:szCs w:val="20"/>
        </w:rPr>
        <w:t xml:space="preserve">  </w:t>
      </w:r>
      <w:r>
        <w:rPr>
          <w:rFonts w:ascii="Symbol" w:hAnsi="Symbol" w:eastAsia="Symbol" w:cs="Symbol"/>
          <w:spacing w:val="10"/>
          <w:position w:val="-6"/>
          <w:sz w:val="20"/>
          <w:szCs w:val="20"/>
        </w:rPr>
        <w:t xml:space="preserve">= </w:t>
      </w:r>
      <w:r>
        <w:rPr>
          <w:rFonts w:ascii="Times New Roman" w:hAnsi="Times New Roman" w:eastAsia="Times New Roman" w:cs="Times New Roman"/>
          <w:spacing w:val="10"/>
          <w:position w:val="6"/>
          <w:sz w:val="20"/>
          <w:szCs w:val="20"/>
          <w:u w:val="single" w:color="auto"/>
        </w:rPr>
        <w:t xml:space="preserve"> </w:t>
      </w:r>
      <w:r>
        <w:rPr>
          <w:rFonts w:ascii="Times New Roman" w:hAnsi="Times New Roman" w:eastAsia="Times New Roman" w:cs="Times New Roman"/>
          <w:position w:val="6"/>
          <w:sz w:val="20"/>
          <w:szCs w:val="20"/>
          <w:u w:val="single" w:color="auto"/>
        </w:rPr>
        <w:t>C</w:t>
      </w:r>
      <w:r>
        <w:rPr>
          <w:rFonts w:ascii="Times New Roman" w:hAnsi="Times New Roman" w:eastAsia="Times New Roman" w:cs="Times New Roman"/>
          <w:i/>
          <w:iCs/>
          <w:position w:val="1"/>
          <w:sz w:val="12"/>
          <w:szCs w:val="12"/>
          <w:u w:val="single" w:color="auto"/>
        </w:rPr>
        <w:t>i</w:t>
      </w:r>
    </w:p>
    <w:p w14:paraId="44CE90E3">
      <w:pPr>
        <w:spacing w:line="331" w:lineRule="exact"/>
        <w:ind w:left="3939"/>
        <w:rPr>
          <w:rFonts w:ascii="Times New Roman" w:hAnsi="Times New Roman" w:eastAsia="Times New Roman" w:cs="Times New Roman"/>
          <w:sz w:val="12"/>
          <w:szCs w:val="12"/>
        </w:rPr>
      </w:pPr>
      <w:r>
        <w:rPr>
          <w:rFonts w:ascii="Times New Roman" w:hAnsi="Times New Roman" w:eastAsia="Times New Roman" w:cs="Times New Roman"/>
          <w:position w:val="14"/>
          <w:sz w:val="12"/>
          <w:szCs w:val="12"/>
        </w:rPr>
        <w:t>i</w:t>
      </w:r>
      <w:r>
        <w:rPr>
          <w:rFonts w:ascii="Times New Roman" w:hAnsi="Times New Roman" w:eastAsia="Times New Roman" w:cs="Times New Roman"/>
          <w:spacing w:val="3"/>
          <w:position w:val="14"/>
          <w:sz w:val="12"/>
          <w:szCs w:val="12"/>
        </w:rPr>
        <w:t xml:space="preserve"> </w:t>
      </w:r>
      <w:r>
        <w:rPr>
          <w:rFonts w:ascii="Times New Roman" w:hAnsi="Times New Roman" w:eastAsia="Times New Roman" w:cs="Times New Roman"/>
          <w:spacing w:val="2"/>
          <w:position w:val="14"/>
          <w:sz w:val="12"/>
          <w:szCs w:val="12"/>
        </w:rPr>
        <w:t xml:space="preserve">         </w:t>
      </w:r>
      <w:r>
        <w:rPr>
          <w:rFonts w:ascii="Times New Roman" w:hAnsi="Times New Roman" w:eastAsia="Times New Roman" w:cs="Times New Roman"/>
          <w:position w:val="3"/>
          <w:sz w:val="21"/>
          <w:szCs w:val="21"/>
        </w:rPr>
        <w:t>S</w:t>
      </w:r>
      <w:r>
        <w:rPr>
          <w:rFonts w:ascii="Times New Roman" w:hAnsi="Times New Roman" w:eastAsia="Times New Roman" w:cs="Times New Roman"/>
          <w:position w:val="-2"/>
          <w:sz w:val="12"/>
          <w:szCs w:val="12"/>
        </w:rPr>
        <w:t>i</w:t>
      </w:r>
    </w:p>
    <w:p w14:paraId="351C4657">
      <w:pPr>
        <w:spacing w:line="289" w:lineRule="auto"/>
        <w:rPr>
          <w:rFonts w:ascii="Arial"/>
          <w:sz w:val="21"/>
        </w:rPr>
      </w:pPr>
    </w:p>
    <w:p w14:paraId="7384A3C5">
      <w:pPr>
        <w:spacing w:before="75" w:line="323" w:lineRule="exact"/>
        <w:ind w:left="517"/>
        <w:rPr>
          <w:rFonts w:ascii="宋体" w:hAnsi="宋体" w:eastAsia="宋体" w:cs="宋体"/>
          <w:sz w:val="23"/>
          <w:szCs w:val="23"/>
        </w:rPr>
      </w:pPr>
      <w:r>
        <w:rPr>
          <w:rFonts w:ascii="宋体" w:hAnsi="宋体" w:eastAsia="宋体" w:cs="宋体"/>
          <w:spacing w:val="12"/>
          <w:position w:val="1"/>
          <w:sz w:val="23"/>
          <w:szCs w:val="23"/>
        </w:rPr>
        <w:t>式中：</w:t>
      </w:r>
      <w:r>
        <w:rPr>
          <w:rFonts w:ascii="Times New Roman" w:hAnsi="Times New Roman" w:eastAsia="Times New Roman" w:cs="Times New Roman"/>
          <w:position w:val="1"/>
          <w:sz w:val="23"/>
          <w:szCs w:val="23"/>
        </w:rPr>
        <w:t>Pi</w:t>
      </w:r>
      <w:r>
        <w:rPr>
          <w:rFonts w:ascii="Times New Roman" w:hAnsi="Times New Roman" w:eastAsia="Times New Roman" w:cs="Times New Roman"/>
          <w:spacing w:val="12"/>
          <w:position w:val="1"/>
          <w:sz w:val="23"/>
          <w:szCs w:val="23"/>
        </w:rPr>
        <w:t>—</w:t>
      </w:r>
      <w:r>
        <w:rPr>
          <w:rFonts w:ascii="宋体" w:hAnsi="宋体" w:eastAsia="宋体" w:cs="宋体"/>
          <w:spacing w:val="12"/>
          <w:position w:val="1"/>
          <w:sz w:val="23"/>
          <w:szCs w:val="23"/>
        </w:rPr>
        <w:t>土壤中污染物</w:t>
      </w:r>
      <w:r>
        <w:rPr>
          <w:rFonts w:ascii="Times New Roman" w:hAnsi="Times New Roman" w:eastAsia="Times New Roman" w:cs="Times New Roman"/>
          <w:position w:val="1"/>
          <w:sz w:val="23"/>
          <w:szCs w:val="23"/>
        </w:rPr>
        <w:t>i</w:t>
      </w:r>
      <w:r>
        <w:rPr>
          <w:rFonts w:ascii="Times New Roman" w:hAnsi="Times New Roman" w:eastAsia="Times New Roman" w:cs="Times New Roman"/>
          <w:spacing w:val="12"/>
          <w:position w:val="1"/>
          <w:sz w:val="23"/>
          <w:szCs w:val="23"/>
        </w:rPr>
        <w:t xml:space="preserve"> </w:t>
      </w:r>
      <w:r>
        <w:rPr>
          <w:rFonts w:ascii="宋体" w:hAnsi="宋体" w:eastAsia="宋体" w:cs="宋体"/>
          <w:spacing w:val="12"/>
          <w:position w:val="1"/>
          <w:sz w:val="23"/>
          <w:szCs w:val="23"/>
        </w:rPr>
        <w:t>的单因子污染指数</w:t>
      </w:r>
      <w:r>
        <w:rPr>
          <w:rFonts w:ascii="宋体" w:hAnsi="宋体" w:eastAsia="宋体" w:cs="宋体"/>
          <w:spacing w:val="11"/>
          <w:position w:val="1"/>
          <w:sz w:val="23"/>
          <w:szCs w:val="23"/>
        </w:rPr>
        <w:t>；</w:t>
      </w:r>
    </w:p>
    <w:p w14:paraId="7BA40DA7">
      <w:pPr>
        <w:spacing w:before="79" w:line="333" w:lineRule="auto"/>
        <w:ind w:left="1237" w:right="938" w:hanging="6"/>
        <w:rPr>
          <w:rFonts w:ascii="宋体" w:hAnsi="宋体" w:eastAsia="宋体" w:cs="宋体"/>
          <w:sz w:val="23"/>
          <w:szCs w:val="23"/>
        </w:rPr>
      </w:pPr>
      <w:r>
        <w:rPr>
          <w:rFonts w:ascii="Times New Roman" w:hAnsi="Times New Roman" w:eastAsia="Times New Roman" w:cs="Times New Roman"/>
          <w:sz w:val="23"/>
          <w:szCs w:val="23"/>
        </w:rPr>
        <w:t>Ci</w:t>
      </w:r>
      <w:r>
        <w:rPr>
          <w:rFonts w:ascii="Times New Roman" w:hAnsi="Times New Roman" w:eastAsia="Times New Roman" w:cs="Times New Roman"/>
          <w:spacing w:val="14"/>
          <w:sz w:val="23"/>
          <w:szCs w:val="23"/>
        </w:rPr>
        <w:t>—</w:t>
      </w:r>
      <w:r>
        <w:rPr>
          <w:rFonts w:ascii="宋体" w:hAnsi="宋体" w:eastAsia="宋体" w:cs="宋体"/>
          <w:spacing w:val="7"/>
          <w:sz w:val="23"/>
          <w:szCs w:val="23"/>
        </w:rPr>
        <w:t>监测点位土壤中污染物</w:t>
      </w:r>
      <w:r>
        <w:rPr>
          <w:rFonts w:ascii="Times New Roman" w:hAnsi="Times New Roman" w:eastAsia="Times New Roman" w:cs="Times New Roman"/>
          <w:sz w:val="23"/>
          <w:szCs w:val="23"/>
        </w:rPr>
        <w:t>i</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 xml:space="preserve">的实测浓度，单位与 </w:t>
      </w:r>
      <w:r>
        <w:rPr>
          <w:rFonts w:ascii="Times New Roman" w:hAnsi="Times New Roman" w:eastAsia="Times New Roman" w:cs="Times New Roman"/>
          <w:sz w:val="23"/>
          <w:szCs w:val="23"/>
        </w:rPr>
        <w:t>Si</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一致；</w:t>
      </w:r>
      <w:r>
        <w:rPr>
          <w:rFonts w:ascii="宋体" w:hAnsi="宋体" w:eastAsia="宋体" w:cs="宋体"/>
          <w:sz w:val="23"/>
          <w:szCs w:val="23"/>
        </w:rPr>
        <w:t xml:space="preserve"> </w:t>
      </w:r>
      <w:r>
        <w:rPr>
          <w:rFonts w:ascii="Times New Roman" w:hAnsi="Times New Roman" w:eastAsia="Times New Roman" w:cs="Times New Roman"/>
          <w:sz w:val="23"/>
          <w:szCs w:val="23"/>
        </w:rPr>
        <w:t>Si</w:t>
      </w:r>
      <w:r>
        <w:rPr>
          <w:rFonts w:ascii="Times New Roman" w:hAnsi="Times New Roman" w:eastAsia="Times New Roman" w:cs="Times New Roman"/>
          <w:spacing w:val="16"/>
          <w:sz w:val="23"/>
          <w:szCs w:val="23"/>
        </w:rPr>
        <w:t>—</w:t>
      </w:r>
      <w:r>
        <w:rPr>
          <w:rFonts w:ascii="Times New Roman" w:hAnsi="Times New Roman" w:eastAsia="Times New Roman" w:cs="Times New Roman"/>
          <w:spacing w:val="12"/>
          <w:sz w:val="23"/>
          <w:szCs w:val="23"/>
        </w:rPr>
        <w:t>—</w:t>
      </w:r>
      <w:r>
        <w:rPr>
          <w:rFonts w:ascii="宋体" w:hAnsi="宋体" w:eastAsia="宋体" w:cs="宋体"/>
          <w:spacing w:val="12"/>
          <w:sz w:val="23"/>
          <w:szCs w:val="23"/>
        </w:rPr>
        <w:t>污染物</w:t>
      </w:r>
      <w:r>
        <w:rPr>
          <w:rFonts w:ascii="Times New Roman" w:hAnsi="Times New Roman" w:eastAsia="Times New Roman" w:cs="Times New Roman"/>
          <w:sz w:val="23"/>
          <w:szCs w:val="23"/>
        </w:rPr>
        <w:t>i</w:t>
      </w:r>
      <w:r>
        <w:rPr>
          <w:rFonts w:ascii="Times New Roman" w:hAnsi="Times New Roman" w:eastAsia="Times New Roman" w:cs="Times New Roman"/>
          <w:spacing w:val="12"/>
          <w:sz w:val="23"/>
          <w:szCs w:val="23"/>
        </w:rPr>
        <w:t xml:space="preserve"> </w:t>
      </w:r>
      <w:r>
        <w:rPr>
          <w:rFonts w:ascii="宋体" w:hAnsi="宋体" w:eastAsia="宋体" w:cs="宋体"/>
          <w:spacing w:val="12"/>
          <w:sz w:val="23"/>
          <w:szCs w:val="23"/>
        </w:rPr>
        <w:t>的评价标准值或参考值。</w:t>
      </w:r>
    </w:p>
    <w:p w14:paraId="54B982AE">
      <w:pPr>
        <w:spacing w:before="189" w:line="396" w:lineRule="auto"/>
        <w:ind w:left="32" w:right="22" w:firstLine="480"/>
        <w:rPr>
          <w:rFonts w:ascii="宋体" w:hAnsi="宋体" w:eastAsia="宋体" w:cs="宋体"/>
          <w:sz w:val="23"/>
          <w:szCs w:val="23"/>
        </w:rPr>
      </w:pPr>
      <w:r>
        <w:rPr>
          <w:rFonts w:ascii="宋体" w:hAnsi="宋体" w:eastAsia="宋体" w:cs="宋体"/>
          <w:spacing w:val="22"/>
          <w:sz w:val="23"/>
          <w:szCs w:val="23"/>
        </w:rPr>
        <w:t>若</w:t>
      </w:r>
      <w:r>
        <w:rPr>
          <w:rFonts w:ascii="宋体" w:hAnsi="宋体" w:eastAsia="宋体" w:cs="宋体"/>
          <w:spacing w:val="18"/>
          <w:sz w:val="23"/>
          <w:szCs w:val="23"/>
        </w:rPr>
        <w:t>土</w:t>
      </w:r>
      <w:r>
        <w:rPr>
          <w:rFonts w:ascii="宋体" w:hAnsi="宋体" w:eastAsia="宋体" w:cs="宋体"/>
          <w:spacing w:val="11"/>
          <w:sz w:val="23"/>
          <w:szCs w:val="23"/>
        </w:rPr>
        <w:t>壤中污染物</w:t>
      </w:r>
      <w:r>
        <w:rPr>
          <w:rFonts w:ascii="Times New Roman" w:hAnsi="Times New Roman" w:eastAsia="Times New Roman" w:cs="Times New Roman"/>
          <w:sz w:val="23"/>
          <w:szCs w:val="23"/>
        </w:rPr>
        <w:t>i</w:t>
      </w:r>
      <w:r>
        <w:rPr>
          <w:rFonts w:ascii="Times New Roman" w:hAnsi="Times New Roman" w:eastAsia="Times New Roman" w:cs="Times New Roman"/>
          <w:spacing w:val="11"/>
          <w:sz w:val="23"/>
          <w:szCs w:val="23"/>
        </w:rPr>
        <w:t xml:space="preserve"> </w:t>
      </w:r>
      <w:r>
        <w:rPr>
          <w:rFonts w:ascii="宋体" w:hAnsi="宋体" w:eastAsia="宋体" w:cs="宋体"/>
          <w:spacing w:val="11"/>
          <w:sz w:val="23"/>
          <w:szCs w:val="23"/>
        </w:rPr>
        <w:t>的单因子污染指数＞</w:t>
      </w:r>
      <w:r>
        <w:rPr>
          <w:rFonts w:ascii="Times New Roman" w:hAnsi="Times New Roman" w:eastAsia="Times New Roman" w:cs="Times New Roman"/>
          <w:spacing w:val="11"/>
          <w:sz w:val="23"/>
          <w:szCs w:val="23"/>
        </w:rPr>
        <w:t xml:space="preserve">1 </w:t>
      </w:r>
      <w:r>
        <w:rPr>
          <w:rFonts w:ascii="宋体" w:hAnsi="宋体" w:eastAsia="宋体" w:cs="宋体"/>
          <w:spacing w:val="11"/>
          <w:sz w:val="23"/>
          <w:szCs w:val="23"/>
        </w:rPr>
        <w:t>，表明该土壤参数超过了规定的土</w:t>
      </w:r>
      <w:r>
        <w:rPr>
          <w:rFonts w:ascii="宋体" w:hAnsi="宋体" w:eastAsia="宋体" w:cs="宋体"/>
          <w:sz w:val="23"/>
          <w:szCs w:val="23"/>
        </w:rPr>
        <w:t xml:space="preserve"> </w:t>
      </w:r>
      <w:r>
        <w:rPr>
          <w:rFonts w:ascii="宋体" w:hAnsi="宋体" w:eastAsia="宋体" w:cs="宋体"/>
          <w:spacing w:val="18"/>
          <w:sz w:val="23"/>
          <w:szCs w:val="23"/>
        </w:rPr>
        <w:t>壤</w:t>
      </w:r>
      <w:r>
        <w:rPr>
          <w:rFonts w:ascii="宋体" w:hAnsi="宋体" w:eastAsia="宋体" w:cs="宋体"/>
          <w:spacing w:val="11"/>
          <w:sz w:val="23"/>
          <w:szCs w:val="23"/>
        </w:rPr>
        <w:t>标</w:t>
      </w:r>
      <w:r>
        <w:rPr>
          <w:rFonts w:ascii="宋体" w:hAnsi="宋体" w:eastAsia="宋体" w:cs="宋体"/>
          <w:spacing w:val="9"/>
          <w:sz w:val="23"/>
          <w:szCs w:val="23"/>
        </w:rPr>
        <w:t>准限值；土壤参数的标准指数越大，说明该土壤参数超标越严重。</w:t>
      </w:r>
    </w:p>
    <w:p w14:paraId="4DDFD026">
      <w:pPr>
        <w:spacing w:before="172" w:line="226" w:lineRule="auto"/>
        <w:ind w:left="523"/>
        <w:rPr>
          <w:rFonts w:ascii="宋体" w:hAnsi="宋体" w:eastAsia="宋体" w:cs="宋体"/>
          <w:sz w:val="23"/>
          <w:szCs w:val="23"/>
        </w:rPr>
      </w:pPr>
      <w:r>
        <w:rPr>
          <w:rFonts w:ascii="宋体" w:hAnsi="宋体" w:eastAsia="宋体" w:cs="宋体"/>
          <w:spacing w:val="20"/>
          <w:sz w:val="23"/>
          <w:szCs w:val="23"/>
        </w:rPr>
        <w:t>(</w:t>
      </w:r>
      <w:r>
        <w:rPr>
          <w:rFonts w:ascii="Times New Roman" w:hAnsi="Times New Roman" w:eastAsia="Times New Roman" w:cs="Times New Roman"/>
          <w:spacing w:val="20"/>
          <w:sz w:val="23"/>
          <w:szCs w:val="23"/>
        </w:rPr>
        <w:t>3</w:t>
      </w:r>
      <w:r>
        <w:rPr>
          <w:rFonts w:ascii="宋体" w:hAnsi="宋体" w:eastAsia="宋体" w:cs="宋体"/>
          <w:spacing w:val="20"/>
          <w:sz w:val="23"/>
          <w:szCs w:val="23"/>
        </w:rPr>
        <w:t>) 评价结</w:t>
      </w:r>
      <w:r>
        <w:rPr>
          <w:rFonts w:ascii="宋体" w:hAnsi="宋体" w:eastAsia="宋体" w:cs="宋体"/>
          <w:spacing w:val="19"/>
          <w:sz w:val="23"/>
          <w:szCs w:val="23"/>
        </w:rPr>
        <w:t>果</w:t>
      </w:r>
    </w:p>
    <w:p w14:paraId="2F02D6C3">
      <w:pPr>
        <w:spacing w:line="279" w:lineRule="auto"/>
        <w:rPr>
          <w:rFonts w:ascii="Arial"/>
          <w:sz w:val="21"/>
        </w:rPr>
      </w:pPr>
    </w:p>
    <w:p w14:paraId="24AA80F5">
      <w:pPr>
        <w:spacing w:before="74" w:line="392" w:lineRule="auto"/>
        <w:ind w:left="36" w:right="22" w:firstLine="475"/>
        <w:rPr>
          <w:rFonts w:ascii="宋体" w:hAnsi="宋体" w:eastAsia="宋体" w:cs="宋体"/>
          <w:sz w:val="23"/>
          <w:szCs w:val="23"/>
        </w:rPr>
      </w:pPr>
      <w:r>
        <w:rPr>
          <w:rFonts w:ascii="宋体" w:hAnsi="宋体" w:eastAsia="宋体" w:cs="宋体"/>
          <w:spacing w:val="7"/>
          <w:sz w:val="23"/>
          <w:szCs w:val="23"/>
        </w:rPr>
        <w:t>对各监测点的原始数据进行整理，利用所选评价标准和评价方法对污染物</w:t>
      </w:r>
      <w:r>
        <w:rPr>
          <w:rFonts w:ascii="宋体" w:hAnsi="宋体" w:eastAsia="宋体" w:cs="宋体"/>
          <w:spacing w:val="3"/>
          <w:sz w:val="23"/>
          <w:szCs w:val="23"/>
        </w:rPr>
        <w:t>进</w:t>
      </w:r>
      <w:r>
        <w:rPr>
          <w:rFonts w:ascii="宋体" w:hAnsi="宋体" w:eastAsia="宋体" w:cs="宋体"/>
          <w:sz w:val="23"/>
          <w:szCs w:val="23"/>
        </w:rPr>
        <w:t xml:space="preserve"> </w:t>
      </w:r>
      <w:r>
        <w:rPr>
          <w:rFonts w:ascii="宋体" w:hAnsi="宋体" w:eastAsia="宋体" w:cs="宋体"/>
          <w:spacing w:val="7"/>
          <w:sz w:val="23"/>
          <w:szCs w:val="23"/>
        </w:rPr>
        <w:t xml:space="preserve">行评价，统计各监测项目标准指数、超标率及超标倍数。评价结果见表 </w:t>
      </w:r>
      <w:r>
        <w:rPr>
          <w:rFonts w:ascii="Times New Roman" w:hAnsi="Times New Roman" w:eastAsia="Times New Roman" w:cs="Times New Roman"/>
          <w:spacing w:val="7"/>
          <w:sz w:val="23"/>
          <w:szCs w:val="23"/>
        </w:rPr>
        <w:t>4-21</w:t>
      </w:r>
      <w:r>
        <w:rPr>
          <w:rFonts w:ascii="宋体" w:hAnsi="宋体" w:eastAsia="宋体" w:cs="宋体"/>
          <w:spacing w:val="7"/>
          <w:sz w:val="23"/>
          <w:szCs w:val="23"/>
        </w:rPr>
        <w:t>。</w:t>
      </w:r>
    </w:p>
    <w:p w14:paraId="39281B70">
      <w:pPr>
        <w:spacing w:before="138" w:line="226" w:lineRule="auto"/>
        <w:ind w:left="2073"/>
        <w:rPr>
          <w:rFonts w:ascii="宋体" w:hAnsi="宋体" w:eastAsia="宋体" w:cs="宋体"/>
          <w:sz w:val="23"/>
          <w:szCs w:val="23"/>
        </w:rPr>
      </w:pPr>
      <w:r>
        <w:rPr>
          <w:rFonts w:ascii="宋体" w:hAnsi="宋体" w:eastAsia="宋体" w:cs="宋体"/>
          <w:spacing w:val="5"/>
          <w:sz w:val="23"/>
          <w:szCs w:val="23"/>
          <w14:textOutline w14:w="4358" w14:cap="sq" w14:cmpd="sng">
            <w14:solidFill>
              <w14:srgbClr w14:val="000000"/>
            </w14:solidFill>
            <w14:prstDash w14:val="solid"/>
            <w14:bevel/>
          </w14:textOutline>
        </w:rPr>
        <w:t>表</w:t>
      </w:r>
      <w:r>
        <w:rPr>
          <w:rFonts w:ascii="宋体" w:hAnsi="宋体" w:eastAsia="宋体" w:cs="宋体"/>
          <w:spacing w:val="5"/>
          <w:sz w:val="23"/>
          <w:szCs w:val="23"/>
        </w:rPr>
        <w:t xml:space="preserve"> </w:t>
      </w:r>
      <w:r>
        <w:rPr>
          <w:rFonts w:ascii="Times New Roman" w:hAnsi="Times New Roman" w:eastAsia="Times New Roman" w:cs="Times New Roman"/>
          <w:b/>
          <w:bCs/>
          <w:spacing w:val="5"/>
          <w:sz w:val="23"/>
          <w:szCs w:val="23"/>
        </w:rPr>
        <w:t>4-21</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14:textOutline w14:w="4358" w14:cap="sq" w14:cmpd="sng">
            <w14:solidFill>
              <w14:srgbClr w14:val="000000"/>
            </w14:solidFill>
            <w14:prstDash w14:val="solid"/>
            <w14:bevel/>
          </w14:textOutline>
        </w:rPr>
        <w:t>土壤环境质量评价结果统计</w:t>
      </w:r>
      <w:r>
        <w:rPr>
          <w:rFonts w:ascii="宋体" w:hAnsi="宋体" w:eastAsia="宋体" w:cs="宋体"/>
          <w:spacing w:val="1"/>
          <w:sz w:val="23"/>
          <w:szCs w:val="23"/>
          <w14:textOutline w14:w="4358" w14:cap="sq" w14:cmpd="sng">
            <w14:solidFill>
              <w14:srgbClr w14:val="000000"/>
            </w14:solidFill>
            <w14:prstDash w14:val="solid"/>
            <w14:bevel/>
          </w14:textOutline>
        </w:rPr>
        <w:t>表</w:t>
      </w:r>
    </w:p>
    <w:p w14:paraId="7BD98FB8">
      <w:pPr>
        <w:spacing w:line="20" w:lineRule="exact"/>
      </w:pPr>
    </w:p>
    <w:tbl>
      <w:tblPr>
        <w:tblStyle w:val="4"/>
        <w:tblW w:w="835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2"/>
        <w:gridCol w:w="944"/>
        <w:gridCol w:w="1680"/>
        <w:gridCol w:w="1651"/>
        <w:gridCol w:w="930"/>
        <w:gridCol w:w="1226"/>
        <w:gridCol w:w="705"/>
        <w:gridCol w:w="684"/>
      </w:tblGrid>
      <w:tr w14:paraId="3D89B4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532" w:type="dxa"/>
            <w:tcBorders>
              <w:left w:val="nil"/>
              <w:right w:val="single" w:color="000000" w:sz="4" w:space="0"/>
            </w:tcBorders>
            <w:vAlign w:val="top"/>
          </w:tcPr>
          <w:p w14:paraId="5969931F">
            <w:pPr>
              <w:spacing w:before="178" w:line="229" w:lineRule="auto"/>
              <w:ind w:left="63"/>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序号</w:t>
            </w:r>
          </w:p>
        </w:tc>
        <w:tc>
          <w:tcPr>
            <w:tcW w:w="944" w:type="dxa"/>
            <w:tcBorders>
              <w:left w:val="single" w:color="000000" w:sz="4" w:space="0"/>
              <w:right w:val="single" w:color="000000" w:sz="4" w:space="0"/>
            </w:tcBorders>
            <w:vAlign w:val="top"/>
          </w:tcPr>
          <w:p w14:paraId="34FB8B65">
            <w:pPr>
              <w:spacing w:before="68" w:line="204" w:lineRule="auto"/>
              <w:ind w:left="263"/>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采样</w:t>
            </w:r>
          </w:p>
          <w:p w14:paraId="66B3BDAE">
            <w:pPr>
              <w:spacing w:line="229" w:lineRule="auto"/>
              <w:ind w:left="275"/>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点</w:t>
            </w:r>
            <w:r>
              <w:rPr>
                <w:rFonts w:ascii="宋体" w:hAnsi="宋体" w:eastAsia="宋体" w:cs="宋体"/>
                <w:sz w:val="20"/>
                <w:szCs w:val="20"/>
                <w14:textOutline w14:w="3795" w14:cap="sq" w14:cmpd="sng">
                  <w14:solidFill>
                    <w14:srgbClr w14:val="000000"/>
                  </w14:solidFill>
                  <w14:prstDash w14:val="solid"/>
                  <w14:bevel/>
                </w14:textOutline>
              </w:rPr>
              <w:t>位</w:t>
            </w:r>
          </w:p>
        </w:tc>
        <w:tc>
          <w:tcPr>
            <w:tcW w:w="1680" w:type="dxa"/>
            <w:tcBorders>
              <w:left w:val="single" w:color="000000" w:sz="4" w:space="0"/>
              <w:right w:val="single" w:color="000000" w:sz="4" w:space="0"/>
            </w:tcBorders>
            <w:vAlign w:val="top"/>
          </w:tcPr>
          <w:p w14:paraId="77BEF4FC">
            <w:pPr>
              <w:spacing w:before="188" w:line="228" w:lineRule="auto"/>
              <w:ind w:left="636"/>
              <w:rPr>
                <w:rFonts w:ascii="宋体" w:hAnsi="宋体" w:eastAsia="宋体" w:cs="宋体"/>
                <w:sz w:val="20"/>
                <w:szCs w:val="20"/>
              </w:rPr>
            </w:pPr>
            <w:r>
              <w:rPr>
                <w:rFonts w:ascii="宋体" w:hAnsi="宋体" w:eastAsia="宋体" w:cs="宋体"/>
                <w:spacing w:val="4"/>
                <w:sz w:val="20"/>
                <w:szCs w:val="20"/>
                <w14:textOutline w14:w="3795" w14:cap="sq" w14:cmpd="sng">
                  <w14:solidFill>
                    <w14:srgbClr w14:val="000000"/>
                  </w14:solidFill>
                  <w14:prstDash w14:val="solid"/>
                  <w14:bevel/>
                </w14:textOutline>
              </w:rPr>
              <w:t>项目</w:t>
            </w:r>
          </w:p>
        </w:tc>
        <w:tc>
          <w:tcPr>
            <w:tcW w:w="1651" w:type="dxa"/>
            <w:tcBorders>
              <w:left w:val="single" w:color="000000" w:sz="4" w:space="0"/>
            </w:tcBorders>
            <w:vAlign w:val="top"/>
          </w:tcPr>
          <w:p w14:paraId="268D140F">
            <w:pPr>
              <w:spacing w:before="188" w:line="228" w:lineRule="auto"/>
              <w:ind w:left="407"/>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检</w:t>
            </w:r>
            <w:r>
              <w:rPr>
                <w:rFonts w:ascii="宋体" w:hAnsi="宋体" w:eastAsia="宋体" w:cs="宋体"/>
                <w:spacing w:val="8"/>
                <w:sz w:val="20"/>
                <w:szCs w:val="20"/>
                <w14:textOutline w14:w="3795" w14:cap="sq" w14:cmpd="sng">
                  <w14:solidFill>
                    <w14:srgbClr w14:val="000000"/>
                  </w14:solidFill>
                  <w14:prstDash w14:val="solid"/>
                  <w14:bevel/>
                </w14:textOutline>
              </w:rPr>
              <w:t>测范围</w:t>
            </w:r>
          </w:p>
        </w:tc>
        <w:tc>
          <w:tcPr>
            <w:tcW w:w="930" w:type="dxa"/>
            <w:tcBorders>
              <w:right w:val="single" w:color="000000" w:sz="4" w:space="0"/>
            </w:tcBorders>
            <w:vAlign w:val="top"/>
          </w:tcPr>
          <w:p w14:paraId="49510311">
            <w:pPr>
              <w:spacing w:before="68" w:line="245" w:lineRule="auto"/>
              <w:ind w:left="122" w:right="107" w:firstLine="34"/>
              <w:rPr>
                <w:rFonts w:ascii="Times New Roman" w:hAnsi="Times New Roman" w:eastAsia="Times New Roman" w:cs="Times New Roman"/>
                <w:sz w:val="20"/>
                <w:szCs w:val="20"/>
              </w:rPr>
            </w:pPr>
            <w:r>
              <w:rPr>
                <w:rFonts w:ascii="宋体" w:hAnsi="宋体" w:eastAsia="宋体" w:cs="宋体"/>
                <w:spacing w:val="8"/>
                <w:sz w:val="20"/>
                <w:szCs w:val="20"/>
                <w14:textOutline w14:w="3764" w14:cap="sq" w14:cmpd="sng">
                  <w14:solidFill>
                    <w14:srgbClr w14:val="000000"/>
                  </w14:solidFill>
                  <w14:prstDash w14:val="solid"/>
                  <w14:bevel/>
                </w14:textOutline>
              </w:rPr>
              <w:t>标</w:t>
            </w:r>
            <w:r>
              <w:rPr>
                <w:rFonts w:ascii="宋体" w:hAnsi="宋体" w:eastAsia="宋体" w:cs="宋体"/>
                <w:spacing w:val="7"/>
                <w:sz w:val="20"/>
                <w:szCs w:val="20"/>
                <w14:textOutline w14:w="3764" w14:cap="sq" w14:cmpd="sng">
                  <w14:solidFill>
                    <w14:srgbClr w14:val="000000"/>
                  </w14:solidFill>
                  <w14:prstDash w14:val="solid"/>
                  <w14:bevel/>
                </w14:textOutline>
              </w:rPr>
              <w:t>准值</w:t>
            </w:r>
            <w:r>
              <w:rPr>
                <w:rFonts w:ascii="宋体" w:hAnsi="宋体" w:eastAsia="宋体" w:cs="宋体"/>
                <w:sz w:val="20"/>
                <w:szCs w:val="20"/>
              </w:rPr>
              <w:t xml:space="preserve"> </w:t>
            </w:r>
            <w:r>
              <w:rPr>
                <w:rFonts w:ascii="Times New Roman" w:hAnsi="Times New Roman" w:eastAsia="Times New Roman" w:cs="Times New Roman"/>
                <w:b/>
                <w:bCs/>
                <w:spacing w:val="9"/>
                <w:sz w:val="20"/>
                <w:szCs w:val="20"/>
              </w:rPr>
              <w:t>(</w:t>
            </w:r>
            <w:r>
              <w:rPr>
                <w:rFonts w:ascii="Times New Roman" w:hAnsi="Times New Roman" w:eastAsia="Times New Roman" w:cs="Times New Roman"/>
                <w:b/>
                <w:bCs/>
                <w:sz w:val="20"/>
                <w:szCs w:val="20"/>
              </w:rPr>
              <w:t>mg</w:t>
            </w:r>
            <w:r>
              <w:rPr>
                <w:rFonts w:ascii="Times New Roman" w:hAnsi="Times New Roman" w:eastAsia="Times New Roman" w:cs="Times New Roman"/>
                <w:b/>
                <w:bCs/>
                <w:spacing w:val="8"/>
                <w:sz w:val="20"/>
                <w:szCs w:val="20"/>
              </w:rPr>
              <w:t>/</w:t>
            </w:r>
            <w:r>
              <w:rPr>
                <w:rFonts w:ascii="Times New Roman" w:hAnsi="Times New Roman" w:eastAsia="Times New Roman" w:cs="Times New Roman"/>
                <w:b/>
                <w:bCs/>
                <w:sz w:val="20"/>
                <w:szCs w:val="20"/>
              </w:rPr>
              <w:t>kg</w:t>
            </w:r>
            <w:r>
              <w:rPr>
                <w:rFonts w:ascii="Times New Roman" w:hAnsi="Times New Roman" w:eastAsia="Times New Roman" w:cs="Times New Roman"/>
                <w:b/>
                <w:bCs/>
                <w:spacing w:val="8"/>
                <w:sz w:val="20"/>
                <w:szCs w:val="20"/>
              </w:rPr>
              <w:t>)</w:t>
            </w:r>
          </w:p>
        </w:tc>
        <w:tc>
          <w:tcPr>
            <w:tcW w:w="1226" w:type="dxa"/>
            <w:tcBorders>
              <w:left w:val="single" w:color="000000" w:sz="4" w:space="0"/>
            </w:tcBorders>
            <w:vAlign w:val="top"/>
          </w:tcPr>
          <w:p w14:paraId="78D50FBA">
            <w:pPr>
              <w:spacing w:before="188" w:line="228" w:lineRule="auto"/>
              <w:ind w:left="196"/>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标</w:t>
            </w:r>
            <w:r>
              <w:rPr>
                <w:rFonts w:ascii="宋体" w:hAnsi="宋体" w:eastAsia="宋体" w:cs="宋体"/>
                <w:spacing w:val="8"/>
                <w:sz w:val="20"/>
                <w:szCs w:val="20"/>
                <w14:textOutline w14:w="3795" w14:cap="sq" w14:cmpd="sng">
                  <w14:solidFill>
                    <w14:srgbClr w14:val="000000"/>
                  </w14:solidFill>
                  <w14:prstDash w14:val="solid"/>
                  <w14:bevel/>
                </w14:textOutline>
              </w:rPr>
              <w:t>准指数</w:t>
            </w:r>
          </w:p>
        </w:tc>
        <w:tc>
          <w:tcPr>
            <w:tcW w:w="705" w:type="dxa"/>
            <w:vAlign w:val="top"/>
          </w:tcPr>
          <w:p w14:paraId="35CE51C9">
            <w:pPr>
              <w:spacing w:before="68" w:line="231" w:lineRule="auto"/>
              <w:ind w:left="183" w:right="34" w:hanging="142"/>
              <w:rPr>
                <w:rFonts w:ascii="Times New Roman" w:hAnsi="Times New Roman" w:eastAsia="Times New Roman" w:cs="Times New Roman"/>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超标率</w:t>
            </w:r>
            <w:r>
              <w:rPr>
                <w:rFonts w:ascii="宋体" w:hAnsi="宋体" w:eastAsia="宋体" w:cs="宋体"/>
                <w:sz w:val="20"/>
                <w:szCs w:val="20"/>
              </w:rPr>
              <w:t xml:space="preserve"> </w:t>
            </w:r>
            <w:r>
              <w:rPr>
                <w:rFonts w:ascii="Times New Roman" w:hAnsi="Times New Roman" w:eastAsia="Times New Roman" w:cs="Times New Roman"/>
                <w:b/>
                <w:bCs/>
                <w:spacing w:val="3"/>
                <w:sz w:val="20"/>
                <w:szCs w:val="20"/>
              </w:rPr>
              <w:t>(%</w:t>
            </w:r>
            <w:r>
              <w:rPr>
                <w:rFonts w:ascii="Times New Roman" w:hAnsi="Times New Roman" w:eastAsia="Times New Roman" w:cs="Times New Roman"/>
                <w:b/>
                <w:bCs/>
                <w:spacing w:val="2"/>
                <w:sz w:val="20"/>
                <w:szCs w:val="20"/>
              </w:rPr>
              <w:t>)</w:t>
            </w:r>
          </w:p>
        </w:tc>
        <w:tc>
          <w:tcPr>
            <w:tcW w:w="684" w:type="dxa"/>
            <w:tcBorders>
              <w:right w:val="nil"/>
            </w:tcBorders>
            <w:vAlign w:val="top"/>
          </w:tcPr>
          <w:p w14:paraId="06978D55">
            <w:pPr>
              <w:spacing w:before="67" w:line="221" w:lineRule="auto"/>
              <w:ind w:left="34" w:right="24" w:firstLine="1"/>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最大</w:t>
            </w:r>
            <w:r>
              <w:rPr>
                <w:rFonts w:ascii="宋体" w:hAnsi="宋体" w:eastAsia="宋体" w:cs="宋体"/>
                <w:spacing w:val="6"/>
                <w:sz w:val="20"/>
                <w:szCs w:val="20"/>
                <w14:textOutline w14:w="3795" w14:cap="sq" w14:cmpd="sng">
                  <w14:solidFill>
                    <w14:srgbClr w14:val="000000"/>
                  </w14:solidFill>
                  <w14:prstDash w14:val="solid"/>
                  <w14:bevel/>
                </w14:textOutline>
              </w:rPr>
              <w:t>超</w:t>
            </w:r>
            <w:r>
              <w:rPr>
                <w:rFonts w:ascii="宋体" w:hAnsi="宋体" w:eastAsia="宋体" w:cs="宋体"/>
                <w:sz w:val="20"/>
                <w:szCs w:val="20"/>
              </w:rPr>
              <w:t xml:space="preserve"> </w:t>
            </w:r>
            <w:r>
              <w:rPr>
                <w:rFonts w:ascii="宋体" w:hAnsi="宋体" w:eastAsia="宋体" w:cs="宋体"/>
                <w:spacing w:val="8"/>
                <w:sz w:val="20"/>
                <w:szCs w:val="20"/>
                <w14:textOutline w14:w="3795" w14:cap="sq" w14:cmpd="sng">
                  <w14:solidFill>
                    <w14:srgbClr w14:val="000000"/>
                  </w14:solidFill>
                  <w14:prstDash w14:val="solid"/>
                  <w14:bevel/>
                </w14:textOutline>
              </w:rPr>
              <w:t>标</w:t>
            </w:r>
            <w:r>
              <w:rPr>
                <w:rFonts w:ascii="宋体" w:hAnsi="宋体" w:eastAsia="宋体" w:cs="宋体"/>
                <w:spacing w:val="7"/>
                <w:sz w:val="20"/>
                <w:szCs w:val="20"/>
                <w14:textOutline w14:w="3795" w14:cap="sq" w14:cmpd="sng">
                  <w14:solidFill>
                    <w14:srgbClr w14:val="000000"/>
                  </w14:solidFill>
                  <w14:prstDash w14:val="solid"/>
                  <w14:bevel/>
                </w14:textOutline>
              </w:rPr>
              <w:t>倍数</w:t>
            </w:r>
          </w:p>
        </w:tc>
      </w:tr>
      <w:tr w14:paraId="04239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532" w:type="dxa"/>
            <w:tcBorders>
              <w:left w:val="nil"/>
              <w:right w:val="single" w:color="000000" w:sz="4" w:space="0"/>
            </w:tcBorders>
            <w:vAlign w:val="top"/>
          </w:tcPr>
          <w:p w14:paraId="2E2C52AF">
            <w:pPr>
              <w:spacing w:before="89" w:line="195" w:lineRule="auto"/>
              <w:ind w:left="237"/>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944" w:type="dxa"/>
            <w:vMerge w:val="restart"/>
            <w:tcBorders>
              <w:left w:val="single" w:color="000000" w:sz="4" w:space="0"/>
              <w:bottom w:val="nil"/>
              <w:right w:val="single" w:color="000000" w:sz="4" w:space="0"/>
            </w:tcBorders>
            <w:vAlign w:val="top"/>
          </w:tcPr>
          <w:p w14:paraId="2429F25B">
            <w:pPr>
              <w:rPr>
                <w:rFonts w:ascii="Arial"/>
                <w:sz w:val="21"/>
              </w:rPr>
            </w:pPr>
          </w:p>
          <w:p w14:paraId="6EE85ED8">
            <w:pPr>
              <w:rPr>
                <w:rFonts w:ascii="Arial"/>
                <w:sz w:val="21"/>
              </w:rPr>
            </w:pPr>
          </w:p>
          <w:p w14:paraId="155C227F">
            <w:pPr>
              <w:rPr>
                <w:rFonts w:ascii="Arial"/>
                <w:sz w:val="21"/>
              </w:rPr>
            </w:pPr>
          </w:p>
          <w:p w14:paraId="53B228E0">
            <w:pPr>
              <w:spacing w:line="241" w:lineRule="auto"/>
              <w:rPr>
                <w:rFonts w:ascii="Arial"/>
                <w:sz w:val="21"/>
              </w:rPr>
            </w:pPr>
          </w:p>
          <w:p w14:paraId="5373C86D">
            <w:pPr>
              <w:spacing w:line="241" w:lineRule="auto"/>
              <w:rPr>
                <w:rFonts w:ascii="Arial"/>
                <w:sz w:val="21"/>
              </w:rPr>
            </w:pPr>
          </w:p>
          <w:p w14:paraId="31E81440">
            <w:pPr>
              <w:spacing w:line="241" w:lineRule="auto"/>
              <w:rPr>
                <w:rFonts w:ascii="Arial"/>
                <w:sz w:val="21"/>
              </w:rPr>
            </w:pPr>
          </w:p>
          <w:p w14:paraId="6F53C961">
            <w:pPr>
              <w:spacing w:line="241" w:lineRule="auto"/>
              <w:rPr>
                <w:rFonts w:ascii="Arial"/>
                <w:sz w:val="21"/>
              </w:rPr>
            </w:pPr>
          </w:p>
          <w:p w14:paraId="45E025C6">
            <w:pPr>
              <w:spacing w:line="241" w:lineRule="auto"/>
              <w:rPr>
                <w:rFonts w:ascii="Arial"/>
                <w:sz w:val="21"/>
              </w:rPr>
            </w:pPr>
          </w:p>
          <w:p w14:paraId="0040C02C">
            <w:pPr>
              <w:spacing w:line="241" w:lineRule="auto"/>
              <w:rPr>
                <w:rFonts w:ascii="Arial"/>
                <w:sz w:val="21"/>
              </w:rPr>
            </w:pPr>
          </w:p>
          <w:p w14:paraId="42BA366D">
            <w:pPr>
              <w:spacing w:line="241" w:lineRule="auto"/>
              <w:rPr>
                <w:rFonts w:ascii="Arial"/>
                <w:sz w:val="21"/>
              </w:rPr>
            </w:pPr>
          </w:p>
          <w:p w14:paraId="6F14D8CC">
            <w:pPr>
              <w:spacing w:line="241" w:lineRule="auto"/>
              <w:rPr>
                <w:rFonts w:ascii="Arial"/>
                <w:sz w:val="21"/>
              </w:rPr>
            </w:pPr>
          </w:p>
          <w:p w14:paraId="28CE5E4C">
            <w:pPr>
              <w:spacing w:line="241" w:lineRule="auto"/>
              <w:rPr>
                <w:rFonts w:ascii="Arial"/>
                <w:sz w:val="21"/>
              </w:rPr>
            </w:pPr>
          </w:p>
          <w:p w14:paraId="22FDD616">
            <w:pPr>
              <w:spacing w:line="241" w:lineRule="auto"/>
              <w:rPr>
                <w:rFonts w:ascii="Arial"/>
                <w:sz w:val="21"/>
              </w:rPr>
            </w:pPr>
          </w:p>
          <w:p w14:paraId="56131057">
            <w:pPr>
              <w:spacing w:line="241" w:lineRule="auto"/>
              <w:rPr>
                <w:rFonts w:ascii="Arial"/>
                <w:sz w:val="21"/>
              </w:rPr>
            </w:pPr>
          </w:p>
          <w:p w14:paraId="261873E6">
            <w:pPr>
              <w:spacing w:before="65" w:line="304" w:lineRule="auto"/>
              <w:ind w:left="158" w:right="154" w:firstLine="16"/>
              <w:rPr>
                <w:rFonts w:ascii="宋体" w:hAnsi="宋体" w:eastAsia="宋体" w:cs="宋体"/>
                <w:sz w:val="20"/>
                <w:szCs w:val="20"/>
              </w:rPr>
            </w:pPr>
            <w:r>
              <w:rPr>
                <w:rFonts w:ascii="Times New Roman" w:hAnsi="Times New Roman" w:eastAsia="Times New Roman" w:cs="Times New Roman"/>
                <w:spacing w:val="1"/>
                <w:sz w:val="20"/>
                <w:szCs w:val="20"/>
              </w:rPr>
              <w:t>1#</w:t>
            </w:r>
            <w:r>
              <w:rPr>
                <w:rFonts w:ascii="宋体" w:hAnsi="宋体" w:eastAsia="宋体" w:cs="宋体"/>
                <w:spacing w:val="1"/>
                <w:sz w:val="20"/>
                <w:szCs w:val="20"/>
              </w:rPr>
              <w:t>项目</w:t>
            </w:r>
            <w:r>
              <w:rPr>
                <w:rFonts w:ascii="宋体" w:hAnsi="宋体" w:eastAsia="宋体" w:cs="宋体"/>
                <w:sz w:val="20"/>
                <w:szCs w:val="20"/>
              </w:rPr>
              <w:t xml:space="preserve"> </w:t>
            </w:r>
            <w:r>
              <w:rPr>
                <w:rFonts w:ascii="宋体" w:hAnsi="宋体" w:eastAsia="宋体" w:cs="宋体"/>
                <w:spacing w:val="7"/>
                <w:sz w:val="20"/>
                <w:szCs w:val="20"/>
              </w:rPr>
              <w:t>所在</w:t>
            </w:r>
            <w:r>
              <w:rPr>
                <w:rFonts w:ascii="宋体" w:hAnsi="宋体" w:eastAsia="宋体" w:cs="宋体"/>
                <w:spacing w:val="6"/>
                <w:sz w:val="20"/>
                <w:szCs w:val="20"/>
              </w:rPr>
              <w:t>地</w:t>
            </w:r>
          </w:p>
        </w:tc>
        <w:tc>
          <w:tcPr>
            <w:tcW w:w="1680" w:type="dxa"/>
            <w:tcBorders>
              <w:left w:val="single" w:color="000000" w:sz="4" w:space="0"/>
              <w:right w:val="single" w:color="000000" w:sz="4" w:space="0"/>
            </w:tcBorders>
            <w:vAlign w:val="top"/>
          </w:tcPr>
          <w:p w14:paraId="4EE58975">
            <w:pPr>
              <w:spacing w:before="92" w:line="192" w:lineRule="auto"/>
              <w:ind w:left="7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PH</w:t>
            </w:r>
          </w:p>
        </w:tc>
        <w:tc>
          <w:tcPr>
            <w:tcW w:w="1651" w:type="dxa"/>
            <w:tcBorders>
              <w:left w:val="single" w:color="000000" w:sz="4" w:space="0"/>
              <w:right w:val="single" w:color="000000" w:sz="4" w:space="0"/>
            </w:tcBorders>
            <w:vAlign w:val="top"/>
          </w:tcPr>
          <w:p w14:paraId="70496392">
            <w:pPr>
              <w:spacing w:before="68" w:line="195" w:lineRule="auto"/>
              <w:ind w:left="64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w:t>
            </w:r>
            <w:r>
              <w:rPr>
                <w:rFonts w:ascii="Times New Roman" w:hAnsi="Times New Roman" w:eastAsia="Times New Roman" w:cs="Times New Roman"/>
                <w:spacing w:val="1"/>
                <w:sz w:val="20"/>
                <w:szCs w:val="20"/>
              </w:rPr>
              <w:t>.04</w:t>
            </w:r>
          </w:p>
        </w:tc>
        <w:tc>
          <w:tcPr>
            <w:tcW w:w="930" w:type="dxa"/>
            <w:tcBorders>
              <w:left w:val="single" w:color="000000" w:sz="4" w:space="0"/>
              <w:right w:val="single" w:color="000000" w:sz="4" w:space="0"/>
            </w:tcBorders>
            <w:vAlign w:val="top"/>
          </w:tcPr>
          <w:p w14:paraId="05F7ABE5">
            <w:pPr>
              <w:spacing w:before="16" w:line="263" w:lineRule="exact"/>
              <w:ind w:left="431"/>
              <w:rPr>
                <w:rFonts w:ascii="Times New Roman" w:hAnsi="Times New Roman" w:eastAsia="Times New Roman" w:cs="Times New Roman"/>
                <w:sz w:val="19"/>
                <w:szCs w:val="19"/>
              </w:rPr>
            </w:pPr>
            <w:r>
              <w:rPr>
                <w:rFonts w:ascii="Times New Roman" w:hAnsi="Times New Roman" w:eastAsia="Times New Roman" w:cs="Times New Roman"/>
                <w:spacing w:val="5"/>
                <w:position w:val="1"/>
                <w:sz w:val="19"/>
                <w:szCs w:val="19"/>
              </w:rPr>
              <w:t>/</w:t>
            </w:r>
          </w:p>
        </w:tc>
        <w:tc>
          <w:tcPr>
            <w:tcW w:w="1226" w:type="dxa"/>
            <w:tcBorders>
              <w:left w:val="single" w:color="000000" w:sz="4" w:space="0"/>
            </w:tcBorders>
            <w:vAlign w:val="top"/>
          </w:tcPr>
          <w:p w14:paraId="16D12CC9">
            <w:pPr>
              <w:spacing w:before="16" w:line="263" w:lineRule="exact"/>
              <w:ind w:left="578"/>
              <w:rPr>
                <w:rFonts w:ascii="Times New Roman" w:hAnsi="Times New Roman" w:eastAsia="Times New Roman" w:cs="Times New Roman"/>
                <w:sz w:val="19"/>
                <w:szCs w:val="19"/>
              </w:rPr>
            </w:pPr>
            <w:r>
              <w:rPr>
                <w:rFonts w:ascii="Times New Roman" w:hAnsi="Times New Roman" w:eastAsia="Times New Roman" w:cs="Times New Roman"/>
                <w:spacing w:val="5"/>
                <w:position w:val="1"/>
                <w:sz w:val="19"/>
                <w:szCs w:val="19"/>
              </w:rPr>
              <w:t>/</w:t>
            </w:r>
          </w:p>
        </w:tc>
        <w:tc>
          <w:tcPr>
            <w:tcW w:w="705" w:type="dxa"/>
            <w:vAlign w:val="top"/>
          </w:tcPr>
          <w:p w14:paraId="373345F3">
            <w:pPr>
              <w:spacing w:before="16" w:line="263" w:lineRule="exact"/>
              <w:ind w:left="320"/>
              <w:rPr>
                <w:rFonts w:ascii="Times New Roman" w:hAnsi="Times New Roman" w:eastAsia="Times New Roman" w:cs="Times New Roman"/>
                <w:sz w:val="19"/>
                <w:szCs w:val="19"/>
              </w:rPr>
            </w:pPr>
            <w:r>
              <w:rPr>
                <w:rFonts w:ascii="Times New Roman" w:hAnsi="Times New Roman" w:eastAsia="Times New Roman" w:cs="Times New Roman"/>
                <w:spacing w:val="5"/>
                <w:position w:val="1"/>
                <w:sz w:val="19"/>
                <w:szCs w:val="19"/>
              </w:rPr>
              <w:t>/</w:t>
            </w:r>
          </w:p>
        </w:tc>
        <w:tc>
          <w:tcPr>
            <w:tcW w:w="684" w:type="dxa"/>
            <w:tcBorders>
              <w:right w:val="nil"/>
            </w:tcBorders>
            <w:vAlign w:val="top"/>
          </w:tcPr>
          <w:p w14:paraId="7342189E">
            <w:pPr>
              <w:spacing w:before="16" w:line="263" w:lineRule="exact"/>
              <w:ind w:left="311"/>
              <w:rPr>
                <w:rFonts w:ascii="Times New Roman" w:hAnsi="Times New Roman" w:eastAsia="Times New Roman" w:cs="Times New Roman"/>
                <w:sz w:val="19"/>
                <w:szCs w:val="19"/>
              </w:rPr>
            </w:pPr>
            <w:r>
              <w:rPr>
                <w:rFonts w:ascii="Times New Roman" w:hAnsi="Times New Roman" w:eastAsia="Times New Roman" w:cs="Times New Roman"/>
                <w:spacing w:val="5"/>
                <w:position w:val="1"/>
                <w:sz w:val="19"/>
                <w:szCs w:val="19"/>
              </w:rPr>
              <w:t>/</w:t>
            </w:r>
          </w:p>
        </w:tc>
      </w:tr>
      <w:tr w14:paraId="6540B5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532" w:type="dxa"/>
            <w:tcBorders>
              <w:left w:val="nil"/>
              <w:right w:val="single" w:color="000000" w:sz="4" w:space="0"/>
            </w:tcBorders>
            <w:vAlign w:val="top"/>
          </w:tcPr>
          <w:p w14:paraId="08257BA9">
            <w:pPr>
              <w:spacing w:before="91" w:line="195" w:lineRule="auto"/>
              <w:ind w:left="216"/>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944" w:type="dxa"/>
            <w:vMerge w:val="continue"/>
            <w:tcBorders>
              <w:top w:val="nil"/>
              <w:left w:val="single" w:color="000000" w:sz="4" w:space="0"/>
              <w:bottom w:val="nil"/>
              <w:right w:val="single" w:color="000000" w:sz="4" w:space="0"/>
            </w:tcBorders>
            <w:vAlign w:val="top"/>
          </w:tcPr>
          <w:p w14:paraId="54D14B36">
            <w:pPr>
              <w:rPr>
                <w:rFonts w:ascii="Arial"/>
                <w:sz w:val="21"/>
              </w:rPr>
            </w:pPr>
          </w:p>
        </w:tc>
        <w:tc>
          <w:tcPr>
            <w:tcW w:w="1680" w:type="dxa"/>
            <w:tcBorders>
              <w:left w:val="single" w:color="000000" w:sz="4" w:space="0"/>
              <w:right w:val="single" w:color="000000" w:sz="4" w:space="0"/>
            </w:tcBorders>
            <w:vAlign w:val="top"/>
          </w:tcPr>
          <w:p w14:paraId="26F27D32">
            <w:pPr>
              <w:spacing w:before="55" w:line="228" w:lineRule="auto"/>
              <w:ind w:left="738"/>
              <w:rPr>
                <w:rFonts w:ascii="宋体" w:hAnsi="宋体" w:eastAsia="宋体" w:cs="宋体"/>
                <w:sz w:val="20"/>
                <w:szCs w:val="20"/>
              </w:rPr>
            </w:pPr>
            <w:r>
              <w:rPr>
                <w:rFonts w:ascii="宋体" w:hAnsi="宋体" w:eastAsia="宋体" w:cs="宋体"/>
                <w:spacing w:val="1"/>
                <w:sz w:val="20"/>
                <w:szCs w:val="20"/>
              </w:rPr>
              <w:t>砷</w:t>
            </w:r>
          </w:p>
        </w:tc>
        <w:tc>
          <w:tcPr>
            <w:tcW w:w="1651" w:type="dxa"/>
            <w:tcBorders>
              <w:left w:val="single" w:color="000000" w:sz="4" w:space="0"/>
              <w:right w:val="single" w:color="000000" w:sz="4" w:space="0"/>
            </w:tcBorders>
            <w:vAlign w:val="top"/>
          </w:tcPr>
          <w:p w14:paraId="37728063">
            <w:pPr>
              <w:spacing w:before="17" w:line="281" w:lineRule="exact"/>
              <w:ind w:left="392"/>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1.22</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7E656B43">
            <w:pPr>
              <w:spacing w:before="91" w:line="195" w:lineRule="auto"/>
              <w:ind w:left="36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0</w:t>
            </w:r>
          </w:p>
        </w:tc>
        <w:tc>
          <w:tcPr>
            <w:tcW w:w="1226" w:type="dxa"/>
            <w:tcBorders>
              <w:left w:val="single" w:color="000000" w:sz="4" w:space="0"/>
            </w:tcBorders>
            <w:vAlign w:val="top"/>
          </w:tcPr>
          <w:p w14:paraId="2333F956">
            <w:pPr>
              <w:spacing w:before="91" w:line="195" w:lineRule="auto"/>
              <w:ind w:left="43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w:t>
            </w:r>
          </w:p>
        </w:tc>
        <w:tc>
          <w:tcPr>
            <w:tcW w:w="705" w:type="dxa"/>
            <w:vAlign w:val="top"/>
          </w:tcPr>
          <w:p w14:paraId="427966F8">
            <w:pPr>
              <w:spacing w:before="91" w:line="195" w:lineRule="auto"/>
              <w:ind w:left="30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76474A6D">
            <w:pPr>
              <w:spacing w:before="91"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5D7977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6A7670C2">
            <w:pPr>
              <w:spacing w:before="91" w:line="195" w:lineRule="auto"/>
              <w:ind w:left="221"/>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944" w:type="dxa"/>
            <w:vMerge w:val="continue"/>
            <w:tcBorders>
              <w:top w:val="nil"/>
              <w:left w:val="single" w:color="000000" w:sz="4" w:space="0"/>
              <w:bottom w:val="nil"/>
              <w:right w:val="single" w:color="000000" w:sz="4" w:space="0"/>
            </w:tcBorders>
            <w:vAlign w:val="top"/>
          </w:tcPr>
          <w:p w14:paraId="7579A9E1">
            <w:pPr>
              <w:rPr>
                <w:rFonts w:ascii="Arial"/>
                <w:sz w:val="21"/>
              </w:rPr>
            </w:pPr>
          </w:p>
        </w:tc>
        <w:tc>
          <w:tcPr>
            <w:tcW w:w="1680" w:type="dxa"/>
            <w:tcBorders>
              <w:left w:val="single" w:color="000000" w:sz="4" w:space="0"/>
              <w:right w:val="single" w:color="000000" w:sz="4" w:space="0"/>
            </w:tcBorders>
            <w:vAlign w:val="top"/>
          </w:tcPr>
          <w:p w14:paraId="53355865">
            <w:pPr>
              <w:spacing w:before="55" w:line="231" w:lineRule="auto"/>
              <w:ind w:left="737"/>
              <w:rPr>
                <w:rFonts w:ascii="宋体" w:hAnsi="宋体" w:eastAsia="宋体" w:cs="宋体"/>
                <w:sz w:val="20"/>
                <w:szCs w:val="20"/>
              </w:rPr>
            </w:pPr>
            <w:r>
              <w:rPr>
                <w:rFonts w:ascii="宋体" w:hAnsi="宋体" w:eastAsia="宋体" w:cs="宋体"/>
                <w:spacing w:val="2"/>
                <w:sz w:val="20"/>
                <w:szCs w:val="20"/>
              </w:rPr>
              <w:t>镉</w:t>
            </w:r>
          </w:p>
        </w:tc>
        <w:tc>
          <w:tcPr>
            <w:tcW w:w="1651" w:type="dxa"/>
            <w:tcBorders>
              <w:left w:val="single" w:color="000000" w:sz="4" w:space="0"/>
              <w:right w:val="single" w:color="000000" w:sz="4" w:space="0"/>
            </w:tcBorders>
            <w:vAlign w:val="top"/>
          </w:tcPr>
          <w:p w14:paraId="404FC79D">
            <w:pPr>
              <w:spacing w:before="18" w:line="281" w:lineRule="exact"/>
              <w:ind w:left="323"/>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0</w:t>
            </w:r>
            <w:r>
              <w:rPr>
                <w:rFonts w:ascii="Times New Roman" w:hAnsi="Times New Roman" w:eastAsia="Times New Roman" w:cs="Times New Roman"/>
                <w:spacing w:val="6"/>
                <w:position w:val="2"/>
                <w:sz w:val="20"/>
                <w:szCs w:val="20"/>
              </w:rPr>
              <w:t>.223</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768E4E16">
            <w:pPr>
              <w:spacing w:before="91" w:line="195" w:lineRule="auto"/>
              <w:ind w:left="36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5</w:t>
            </w:r>
          </w:p>
        </w:tc>
        <w:tc>
          <w:tcPr>
            <w:tcW w:w="1226" w:type="dxa"/>
            <w:tcBorders>
              <w:left w:val="single" w:color="000000" w:sz="4" w:space="0"/>
              <w:right w:val="single" w:color="000000" w:sz="4" w:space="0"/>
            </w:tcBorders>
            <w:vAlign w:val="top"/>
          </w:tcPr>
          <w:p w14:paraId="115465BB">
            <w:pPr>
              <w:spacing w:before="92"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.003</w:t>
            </w:r>
          </w:p>
        </w:tc>
        <w:tc>
          <w:tcPr>
            <w:tcW w:w="705" w:type="dxa"/>
            <w:tcBorders>
              <w:left w:val="single" w:color="000000" w:sz="4" w:space="0"/>
            </w:tcBorders>
            <w:vAlign w:val="top"/>
          </w:tcPr>
          <w:p w14:paraId="13496A0C">
            <w:pPr>
              <w:spacing w:before="91"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3443319E">
            <w:pPr>
              <w:spacing w:before="91"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D79F8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7AD33BCB">
            <w:pPr>
              <w:spacing w:before="91" w:line="195" w:lineRule="auto"/>
              <w:ind w:left="21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944" w:type="dxa"/>
            <w:vMerge w:val="continue"/>
            <w:tcBorders>
              <w:top w:val="nil"/>
              <w:left w:val="single" w:color="000000" w:sz="4" w:space="0"/>
              <w:bottom w:val="nil"/>
              <w:right w:val="single" w:color="000000" w:sz="4" w:space="0"/>
            </w:tcBorders>
            <w:vAlign w:val="top"/>
          </w:tcPr>
          <w:p w14:paraId="7AF9DEC3">
            <w:pPr>
              <w:rPr>
                <w:rFonts w:ascii="Arial"/>
                <w:sz w:val="21"/>
              </w:rPr>
            </w:pPr>
          </w:p>
        </w:tc>
        <w:tc>
          <w:tcPr>
            <w:tcW w:w="1680" w:type="dxa"/>
            <w:tcBorders>
              <w:left w:val="single" w:color="000000" w:sz="4" w:space="0"/>
              <w:right w:val="single" w:color="000000" w:sz="4" w:space="0"/>
            </w:tcBorders>
            <w:vAlign w:val="top"/>
          </w:tcPr>
          <w:p w14:paraId="64C15603">
            <w:pPr>
              <w:spacing w:before="18" w:line="281" w:lineRule="exact"/>
              <w:ind w:left="457"/>
              <w:rPr>
                <w:rFonts w:ascii="Times New Roman" w:hAnsi="Times New Roman" w:eastAsia="Times New Roman" w:cs="Times New Roman"/>
                <w:sz w:val="20"/>
                <w:szCs w:val="20"/>
              </w:rPr>
            </w:pPr>
            <w:r>
              <w:rPr>
                <w:rFonts w:ascii="宋体" w:hAnsi="宋体" w:eastAsia="宋体" w:cs="宋体"/>
                <w:spacing w:val="6"/>
                <w:position w:val="2"/>
                <w:sz w:val="20"/>
                <w:szCs w:val="20"/>
              </w:rPr>
              <w:t>铬</w:t>
            </w:r>
            <w:r>
              <w:rPr>
                <w:rFonts w:ascii="Times New Roman" w:hAnsi="Times New Roman" w:eastAsia="Times New Roman" w:cs="Times New Roman"/>
                <w:spacing w:val="6"/>
                <w:position w:val="2"/>
                <w:sz w:val="20"/>
                <w:szCs w:val="20"/>
              </w:rPr>
              <w:t>(</w:t>
            </w:r>
            <w:r>
              <w:rPr>
                <w:rFonts w:ascii="宋体" w:hAnsi="宋体" w:eastAsia="宋体" w:cs="宋体"/>
                <w:spacing w:val="6"/>
                <w:position w:val="2"/>
                <w:sz w:val="20"/>
                <w:szCs w:val="20"/>
              </w:rPr>
              <w:t>六价</w:t>
            </w:r>
            <w:r>
              <w:rPr>
                <w:rFonts w:ascii="Times New Roman" w:hAnsi="Times New Roman" w:eastAsia="Times New Roman" w:cs="Times New Roman"/>
                <w:spacing w:val="5"/>
                <w:position w:val="2"/>
                <w:sz w:val="20"/>
                <w:szCs w:val="20"/>
              </w:rPr>
              <w:t>)</w:t>
            </w:r>
          </w:p>
        </w:tc>
        <w:tc>
          <w:tcPr>
            <w:tcW w:w="1651" w:type="dxa"/>
            <w:tcBorders>
              <w:left w:val="single" w:color="000000" w:sz="4" w:space="0"/>
              <w:right w:val="single" w:color="000000" w:sz="4" w:space="0"/>
            </w:tcBorders>
            <w:vAlign w:val="top"/>
          </w:tcPr>
          <w:p w14:paraId="3E9A7A1C">
            <w:pPr>
              <w:spacing w:before="18" w:line="281" w:lineRule="exact"/>
              <w:ind w:left="418"/>
              <w:rPr>
                <w:rFonts w:ascii="Times New Roman" w:hAnsi="Times New Roman" w:eastAsia="Times New Roman" w:cs="Times New Roman"/>
                <w:sz w:val="20"/>
                <w:szCs w:val="20"/>
              </w:rPr>
            </w:pPr>
            <w:r>
              <w:rPr>
                <w:rFonts w:ascii="宋体" w:hAnsi="宋体" w:eastAsia="宋体" w:cs="宋体"/>
                <w:spacing w:val="5"/>
                <w:position w:val="4"/>
                <w:sz w:val="20"/>
                <w:szCs w:val="20"/>
              </w:rPr>
              <w:t>＜</w:t>
            </w:r>
            <w:r>
              <w:rPr>
                <w:rFonts w:ascii="Times New Roman" w:hAnsi="Times New Roman" w:eastAsia="Times New Roman" w:cs="Times New Roman"/>
                <w:spacing w:val="4"/>
                <w:position w:val="4"/>
                <w:sz w:val="20"/>
                <w:szCs w:val="20"/>
              </w:rPr>
              <w:t>2</w:t>
            </w:r>
            <w:r>
              <w:rPr>
                <w:rFonts w:ascii="Times New Roman" w:hAnsi="Times New Roman" w:eastAsia="Times New Roman" w:cs="Times New Roman"/>
                <w:position w:val="4"/>
                <w:sz w:val="20"/>
                <w:szCs w:val="20"/>
              </w:rPr>
              <w:t>mg</w:t>
            </w:r>
            <w:r>
              <w:rPr>
                <w:rFonts w:ascii="Times New Roman" w:hAnsi="Times New Roman" w:eastAsia="Times New Roman" w:cs="Times New Roman"/>
                <w:spacing w:val="4"/>
                <w:position w:val="4"/>
                <w:sz w:val="20"/>
                <w:szCs w:val="20"/>
              </w:rPr>
              <w:t>/</w:t>
            </w:r>
            <w:r>
              <w:rPr>
                <w:rFonts w:ascii="Times New Roman" w:hAnsi="Times New Roman" w:eastAsia="Times New Roman" w:cs="Times New Roman"/>
                <w:position w:val="4"/>
                <w:sz w:val="20"/>
                <w:szCs w:val="20"/>
              </w:rPr>
              <w:t>kg</w:t>
            </w:r>
          </w:p>
        </w:tc>
        <w:tc>
          <w:tcPr>
            <w:tcW w:w="930" w:type="dxa"/>
            <w:tcBorders>
              <w:left w:val="single" w:color="000000" w:sz="4" w:space="0"/>
              <w:right w:val="single" w:color="000000" w:sz="4" w:space="0"/>
            </w:tcBorders>
            <w:vAlign w:val="top"/>
          </w:tcPr>
          <w:p w14:paraId="7B46A401">
            <w:pPr>
              <w:spacing w:before="95" w:line="192" w:lineRule="auto"/>
              <w:ind w:left="33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5.7</w:t>
            </w:r>
          </w:p>
        </w:tc>
        <w:tc>
          <w:tcPr>
            <w:tcW w:w="1226" w:type="dxa"/>
            <w:tcBorders>
              <w:left w:val="single" w:color="000000" w:sz="4" w:space="0"/>
              <w:right w:val="single" w:color="000000" w:sz="4" w:space="0"/>
            </w:tcBorders>
            <w:vAlign w:val="top"/>
          </w:tcPr>
          <w:p w14:paraId="5B0876B4">
            <w:pPr>
              <w:spacing w:before="18"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30259C89">
            <w:pPr>
              <w:spacing w:before="91"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5B025CFE">
            <w:pPr>
              <w:spacing w:before="91"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B282E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532" w:type="dxa"/>
            <w:tcBorders>
              <w:left w:val="nil"/>
              <w:right w:val="single" w:color="000000" w:sz="4" w:space="0"/>
            </w:tcBorders>
            <w:vAlign w:val="top"/>
          </w:tcPr>
          <w:p w14:paraId="05877E04">
            <w:pPr>
              <w:spacing w:before="94" w:line="192" w:lineRule="auto"/>
              <w:ind w:left="222"/>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944" w:type="dxa"/>
            <w:vMerge w:val="continue"/>
            <w:tcBorders>
              <w:top w:val="nil"/>
              <w:left w:val="single" w:color="000000" w:sz="4" w:space="0"/>
              <w:bottom w:val="nil"/>
              <w:right w:val="single" w:color="000000" w:sz="4" w:space="0"/>
            </w:tcBorders>
            <w:vAlign w:val="top"/>
          </w:tcPr>
          <w:p w14:paraId="618FA405">
            <w:pPr>
              <w:rPr>
                <w:rFonts w:ascii="Arial"/>
                <w:sz w:val="21"/>
              </w:rPr>
            </w:pPr>
          </w:p>
        </w:tc>
        <w:tc>
          <w:tcPr>
            <w:tcW w:w="1680" w:type="dxa"/>
            <w:tcBorders>
              <w:left w:val="single" w:color="000000" w:sz="4" w:space="0"/>
              <w:right w:val="single" w:color="000000" w:sz="4" w:space="0"/>
            </w:tcBorders>
            <w:vAlign w:val="top"/>
          </w:tcPr>
          <w:p w14:paraId="11D350ED">
            <w:pPr>
              <w:spacing w:before="55" w:line="229" w:lineRule="auto"/>
              <w:ind w:left="738"/>
              <w:rPr>
                <w:rFonts w:ascii="宋体" w:hAnsi="宋体" w:eastAsia="宋体" w:cs="宋体"/>
                <w:sz w:val="20"/>
                <w:szCs w:val="20"/>
              </w:rPr>
            </w:pPr>
            <w:r>
              <w:rPr>
                <w:rFonts w:ascii="宋体" w:hAnsi="宋体" w:eastAsia="宋体" w:cs="宋体"/>
                <w:sz w:val="20"/>
                <w:szCs w:val="20"/>
              </w:rPr>
              <w:t>铜</w:t>
            </w:r>
          </w:p>
        </w:tc>
        <w:tc>
          <w:tcPr>
            <w:tcW w:w="1651" w:type="dxa"/>
            <w:tcBorders>
              <w:left w:val="single" w:color="000000" w:sz="4" w:space="0"/>
              <w:right w:val="single" w:color="000000" w:sz="4" w:space="0"/>
            </w:tcBorders>
            <w:vAlign w:val="top"/>
          </w:tcPr>
          <w:p w14:paraId="120A1248">
            <w:pPr>
              <w:spacing w:before="18" w:line="281" w:lineRule="exact"/>
              <w:ind w:left="403"/>
              <w:rPr>
                <w:rFonts w:ascii="Times New Roman" w:hAnsi="Times New Roman" w:eastAsia="Times New Roman" w:cs="Times New Roman"/>
                <w:sz w:val="20"/>
                <w:szCs w:val="20"/>
              </w:rPr>
            </w:pPr>
            <w:r>
              <w:rPr>
                <w:rFonts w:ascii="Times New Roman" w:hAnsi="Times New Roman" w:eastAsia="Times New Roman" w:cs="Times New Roman"/>
                <w:spacing w:val="7"/>
                <w:position w:val="4"/>
                <w:sz w:val="20"/>
                <w:szCs w:val="20"/>
              </w:rPr>
              <w:t>326</w:t>
            </w:r>
            <w:r>
              <w:rPr>
                <w:rFonts w:ascii="Times New Roman" w:hAnsi="Times New Roman" w:eastAsia="Times New Roman" w:cs="Times New Roman"/>
                <w:position w:val="4"/>
                <w:sz w:val="20"/>
                <w:szCs w:val="20"/>
              </w:rPr>
              <w:t>mg</w:t>
            </w:r>
            <w:r>
              <w:rPr>
                <w:rFonts w:ascii="Times New Roman" w:hAnsi="Times New Roman" w:eastAsia="Times New Roman" w:cs="Times New Roman"/>
                <w:spacing w:val="7"/>
                <w:position w:val="4"/>
                <w:sz w:val="20"/>
                <w:szCs w:val="20"/>
              </w:rPr>
              <w:t>/</w:t>
            </w:r>
            <w:r>
              <w:rPr>
                <w:rFonts w:ascii="Times New Roman" w:hAnsi="Times New Roman" w:eastAsia="Times New Roman" w:cs="Times New Roman"/>
                <w:position w:val="4"/>
                <w:sz w:val="20"/>
                <w:szCs w:val="20"/>
              </w:rPr>
              <w:t>kg</w:t>
            </w:r>
          </w:p>
        </w:tc>
        <w:tc>
          <w:tcPr>
            <w:tcW w:w="930" w:type="dxa"/>
            <w:tcBorders>
              <w:left w:val="single" w:color="000000" w:sz="4" w:space="0"/>
              <w:right w:val="single" w:color="000000" w:sz="4" w:space="0"/>
            </w:tcBorders>
            <w:vAlign w:val="top"/>
          </w:tcPr>
          <w:p w14:paraId="2A8B08D1">
            <w:pPr>
              <w:spacing w:before="91" w:line="195" w:lineRule="auto"/>
              <w:ind w:left="220"/>
              <w:rPr>
                <w:rFonts w:ascii="Times New Roman" w:hAnsi="Times New Roman" w:eastAsia="Times New Roman" w:cs="Times New Roman"/>
                <w:sz w:val="20"/>
                <w:szCs w:val="20"/>
              </w:rPr>
            </w:pPr>
            <w:r>
              <w:rPr>
                <w:rFonts w:ascii="Times New Roman" w:hAnsi="Times New Roman" w:eastAsia="Times New Roman" w:cs="Times New Roman"/>
                <w:sz w:val="20"/>
                <w:szCs w:val="20"/>
              </w:rPr>
              <w:t>18000</w:t>
            </w:r>
          </w:p>
        </w:tc>
        <w:tc>
          <w:tcPr>
            <w:tcW w:w="1226" w:type="dxa"/>
            <w:tcBorders>
              <w:left w:val="single" w:color="000000" w:sz="4" w:space="0"/>
              <w:right w:val="single" w:color="000000" w:sz="4" w:space="0"/>
            </w:tcBorders>
            <w:vAlign w:val="top"/>
          </w:tcPr>
          <w:p w14:paraId="1C68EF68">
            <w:pPr>
              <w:spacing w:before="91" w:line="195" w:lineRule="auto"/>
              <w:ind w:left="43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w:t>
            </w:r>
          </w:p>
        </w:tc>
        <w:tc>
          <w:tcPr>
            <w:tcW w:w="705" w:type="dxa"/>
            <w:tcBorders>
              <w:left w:val="single" w:color="000000" w:sz="4" w:space="0"/>
            </w:tcBorders>
            <w:vAlign w:val="top"/>
          </w:tcPr>
          <w:p w14:paraId="0F9BEEAC">
            <w:pPr>
              <w:spacing w:before="91"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7827B394">
            <w:pPr>
              <w:spacing w:before="91"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6ABCA9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230EE5B4">
            <w:pPr>
              <w:spacing w:before="92" w:line="195" w:lineRule="auto"/>
              <w:ind w:left="221"/>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944" w:type="dxa"/>
            <w:vMerge w:val="continue"/>
            <w:tcBorders>
              <w:top w:val="nil"/>
              <w:left w:val="single" w:color="000000" w:sz="4" w:space="0"/>
              <w:bottom w:val="nil"/>
              <w:right w:val="single" w:color="000000" w:sz="4" w:space="0"/>
            </w:tcBorders>
            <w:vAlign w:val="top"/>
          </w:tcPr>
          <w:p w14:paraId="0980CCB5">
            <w:pPr>
              <w:rPr>
                <w:rFonts w:ascii="Arial"/>
                <w:sz w:val="21"/>
              </w:rPr>
            </w:pPr>
          </w:p>
        </w:tc>
        <w:tc>
          <w:tcPr>
            <w:tcW w:w="1680" w:type="dxa"/>
            <w:tcBorders>
              <w:left w:val="single" w:color="000000" w:sz="4" w:space="0"/>
              <w:right w:val="single" w:color="000000" w:sz="4" w:space="0"/>
            </w:tcBorders>
            <w:vAlign w:val="top"/>
          </w:tcPr>
          <w:p w14:paraId="67254995">
            <w:pPr>
              <w:spacing w:before="56" w:line="232" w:lineRule="auto"/>
              <w:ind w:left="738"/>
              <w:rPr>
                <w:rFonts w:ascii="宋体" w:hAnsi="宋体" w:eastAsia="宋体" w:cs="宋体"/>
                <w:sz w:val="20"/>
                <w:szCs w:val="20"/>
              </w:rPr>
            </w:pPr>
            <w:r>
              <w:rPr>
                <w:rFonts w:ascii="宋体" w:hAnsi="宋体" w:eastAsia="宋体" w:cs="宋体"/>
                <w:sz w:val="20"/>
                <w:szCs w:val="20"/>
              </w:rPr>
              <w:t>铅</w:t>
            </w:r>
          </w:p>
        </w:tc>
        <w:tc>
          <w:tcPr>
            <w:tcW w:w="1651" w:type="dxa"/>
            <w:tcBorders>
              <w:left w:val="single" w:color="000000" w:sz="4" w:space="0"/>
              <w:right w:val="single" w:color="000000" w:sz="4" w:space="0"/>
            </w:tcBorders>
            <w:vAlign w:val="top"/>
          </w:tcPr>
          <w:p w14:paraId="59042A89">
            <w:pPr>
              <w:spacing w:before="18" w:line="281" w:lineRule="exact"/>
              <w:ind w:left="429"/>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9</w:t>
            </w:r>
            <w:r>
              <w:rPr>
                <w:rFonts w:ascii="Times New Roman" w:hAnsi="Times New Roman" w:eastAsia="Times New Roman" w:cs="Times New Roman"/>
                <w:spacing w:val="6"/>
                <w:position w:val="2"/>
                <w:sz w:val="20"/>
                <w:szCs w:val="20"/>
              </w:rPr>
              <w:t>.3</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601926A0">
            <w:pPr>
              <w:spacing w:before="92" w:line="195" w:lineRule="auto"/>
              <w:ind w:left="31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80</w:t>
            </w:r>
            <w:r>
              <w:rPr>
                <w:rFonts w:ascii="Times New Roman" w:hAnsi="Times New Roman" w:eastAsia="Times New Roman" w:cs="Times New Roman"/>
                <w:sz w:val="20"/>
                <w:szCs w:val="20"/>
              </w:rPr>
              <w:t>0</w:t>
            </w:r>
          </w:p>
        </w:tc>
        <w:tc>
          <w:tcPr>
            <w:tcW w:w="1226" w:type="dxa"/>
            <w:tcBorders>
              <w:left w:val="single" w:color="000000" w:sz="4" w:space="0"/>
              <w:right w:val="single" w:color="000000" w:sz="4" w:space="0"/>
            </w:tcBorders>
            <w:vAlign w:val="top"/>
          </w:tcPr>
          <w:p w14:paraId="64AE3BBA">
            <w:pPr>
              <w:spacing w:before="92" w:line="195" w:lineRule="auto"/>
              <w:ind w:left="43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0.01</w:t>
            </w:r>
          </w:p>
        </w:tc>
        <w:tc>
          <w:tcPr>
            <w:tcW w:w="705" w:type="dxa"/>
            <w:tcBorders>
              <w:left w:val="single" w:color="000000" w:sz="4" w:space="0"/>
            </w:tcBorders>
            <w:vAlign w:val="top"/>
          </w:tcPr>
          <w:p w14:paraId="02529793">
            <w:pPr>
              <w:spacing w:before="92"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2D9E4591">
            <w:pPr>
              <w:spacing w:before="92"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3DC560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532" w:type="dxa"/>
            <w:tcBorders>
              <w:left w:val="nil"/>
              <w:right w:val="single" w:color="000000" w:sz="4" w:space="0"/>
            </w:tcBorders>
            <w:vAlign w:val="top"/>
          </w:tcPr>
          <w:p w14:paraId="6EA655B5">
            <w:pPr>
              <w:spacing w:before="95" w:line="192" w:lineRule="auto"/>
              <w:ind w:left="220"/>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944" w:type="dxa"/>
            <w:vMerge w:val="continue"/>
            <w:tcBorders>
              <w:top w:val="nil"/>
              <w:left w:val="single" w:color="000000" w:sz="4" w:space="0"/>
              <w:bottom w:val="nil"/>
              <w:right w:val="single" w:color="000000" w:sz="4" w:space="0"/>
            </w:tcBorders>
            <w:vAlign w:val="top"/>
          </w:tcPr>
          <w:p w14:paraId="595A1EC1">
            <w:pPr>
              <w:rPr>
                <w:rFonts w:ascii="Arial"/>
                <w:sz w:val="21"/>
              </w:rPr>
            </w:pPr>
          </w:p>
        </w:tc>
        <w:tc>
          <w:tcPr>
            <w:tcW w:w="1680" w:type="dxa"/>
            <w:tcBorders>
              <w:left w:val="single" w:color="000000" w:sz="4" w:space="0"/>
              <w:right w:val="single" w:color="000000" w:sz="4" w:space="0"/>
            </w:tcBorders>
            <w:vAlign w:val="top"/>
          </w:tcPr>
          <w:p w14:paraId="01572141">
            <w:pPr>
              <w:spacing w:before="56" w:line="228" w:lineRule="auto"/>
              <w:ind w:left="739"/>
              <w:rPr>
                <w:rFonts w:ascii="宋体" w:hAnsi="宋体" w:eastAsia="宋体" w:cs="宋体"/>
                <w:sz w:val="20"/>
                <w:szCs w:val="20"/>
              </w:rPr>
            </w:pPr>
            <w:r>
              <w:rPr>
                <w:rFonts w:ascii="宋体" w:hAnsi="宋体" w:eastAsia="宋体" w:cs="宋体"/>
                <w:sz w:val="20"/>
                <w:szCs w:val="20"/>
              </w:rPr>
              <w:t>汞</w:t>
            </w:r>
          </w:p>
        </w:tc>
        <w:tc>
          <w:tcPr>
            <w:tcW w:w="1651" w:type="dxa"/>
            <w:tcBorders>
              <w:left w:val="single" w:color="000000" w:sz="4" w:space="0"/>
              <w:right w:val="single" w:color="000000" w:sz="4" w:space="0"/>
            </w:tcBorders>
            <w:vAlign w:val="top"/>
          </w:tcPr>
          <w:p w14:paraId="57FBE257">
            <w:pPr>
              <w:spacing w:before="18" w:line="281" w:lineRule="exact"/>
              <w:ind w:left="323"/>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0</w:t>
            </w:r>
            <w:r>
              <w:rPr>
                <w:rFonts w:ascii="Times New Roman" w:hAnsi="Times New Roman" w:eastAsia="Times New Roman" w:cs="Times New Roman"/>
                <w:spacing w:val="6"/>
                <w:position w:val="2"/>
                <w:sz w:val="20"/>
                <w:szCs w:val="20"/>
              </w:rPr>
              <w:t>.629</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524D9FDF">
            <w:pPr>
              <w:spacing w:before="92" w:line="195" w:lineRule="auto"/>
              <w:ind w:left="36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8</w:t>
            </w:r>
          </w:p>
        </w:tc>
        <w:tc>
          <w:tcPr>
            <w:tcW w:w="1226" w:type="dxa"/>
            <w:tcBorders>
              <w:left w:val="single" w:color="000000" w:sz="4" w:space="0"/>
              <w:right w:val="single" w:color="000000" w:sz="4" w:space="0"/>
            </w:tcBorders>
            <w:vAlign w:val="top"/>
          </w:tcPr>
          <w:p w14:paraId="790FDCFA">
            <w:pPr>
              <w:spacing w:before="92" w:line="195" w:lineRule="auto"/>
              <w:ind w:left="43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w:t>
            </w:r>
          </w:p>
        </w:tc>
        <w:tc>
          <w:tcPr>
            <w:tcW w:w="705" w:type="dxa"/>
            <w:tcBorders>
              <w:left w:val="single" w:color="000000" w:sz="4" w:space="0"/>
            </w:tcBorders>
            <w:vAlign w:val="top"/>
          </w:tcPr>
          <w:p w14:paraId="15AA37AF">
            <w:pPr>
              <w:spacing w:before="92"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0BCDEC6A">
            <w:pPr>
              <w:spacing w:before="92"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385793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72EECC6A">
            <w:pPr>
              <w:spacing w:before="95" w:line="195" w:lineRule="auto"/>
              <w:ind w:left="225"/>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944" w:type="dxa"/>
            <w:vMerge w:val="continue"/>
            <w:tcBorders>
              <w:top w:val="nil"/>
              <w:left w:val="single" w:color="000000" w:sz="4" w:space="0"/>
              <w:bottom w:val="nil"/>
              <w:right w:val="single" w:color="000000" w:sz="4" w:space="0"/>
            </w:tcBorders>
            <w:vAlign w:val="top"/>
          </w:tcPr>
          <w:p w14:paraId="19C60D9B">
            <w:pPr>
              <w:rPr>
                <w:rFonts w:ascii="Arial"/>
                <w:sz w:val="21"/>
              </w:rPr>
            </w:pPr>
          </w:p>
        </w:tc>
        <w:tc>
          <w:tcPr>
            <w:tcW w:w="1680" w:type="dxa"/>
            <w:tcBorders>
              <w:left w:val="single" w:color="000000" w:sz="4" w:space="0"/>
              <w:right w:val="single" w:color="000000" w:sz="4" w:space="0"/>
            </w:tcBorders>
            <w:vAlign w:val="top"/>
          </w:tcPr>
          <w:p w14:paraId="10EE8B5B">
            <w:pPr>
              <w:spacing w:before="59" w:line="228" w:lineRule="auto"/>
              <w:ind w:left="738"/>
              <w:rPr>
                <w:rFonts w:ascii="宋体" w:hAnsi="宋体" w:eastAsia="宋体" w:cs="宋体"/>
                <w:sz w:val="20"/>
                <w:szCs w:val="20"/>
              </w:rPr>
            </w:pPr>
            <w:r>
              <w:rPr>
                <w:rFonts w:ascii="宋体" w:hAnsi="宋体" w:eastAsia="宋体" w:cs="宋体"/>
                <w:spacing w:val="1"/>
                <w:sz w:val="20"/>
                <w:szCs w:val="20"/>
              </w:rPr>
              <w:t>镍</w:t>
            </w:r>
          </w:p>
        </w:tc>
        <w:tc>
          <w:tcPr>
            <w:tcW w:w="1651" w:type="dxa"/>
            <w:tcBorders>
              <w:left w:val="single" w:color="000000" w:sz="4" w:space="0"/>
              <w:right w:val="single" w:color="000000" w:sz="4" w:space="0"/>
            </w:tcBorders>
            <w:vAlign w:val="top"/>
          </w:tcPr>
          <w:p w14:paraId="46BF2F4C">
            <w:pPr>
              <w:spacing w:before="21" w:line="281" w:lineRule="exact"/>
              <w:ind w:left="403"/>
              <w:rPr>
                <w:rFonts w:ascii="Times New Roman" w:hAnsi="Times New Roman" w:eastAsia="Times New Roman" w:cs="Times New Roman"/>
                <w:sz w:val="20"/>
                <w:szCs w:val="20"/>
              </w:rPr>
            </w:pPr>
            <w:r>
              <w:rPr>
                <w:rFonts w:ascii="Times New Roman" w:hAnsi="Times New Roman" w:eastAsia="Times New Roman" w:cs="Times New Roman"/>
                <w:spacing w:val="7"/>
                <w:position w:val="4"/>
                <w:sz w:val="20"/>
                <w:szCs w:val="20"/>
              </w:rPr>
              <w:t>300</w:t>
            </w:r>
            <w:r>
              <w:rPr>
                <w:rFonts w:ascii="Times New Roman" w:hAnsi="Times New Roman" w:eastAsia="Times New Roman" w:cs="Times New Roman"/>
                <w:position w:val="4"/>
                <w:sz w:val="20"/>
                <w:szCs w:val="20"/>
              </w:rPr>
              <w:t>mg</w:t>
            </w:r>
            <w:r>
              <w:rPr>
                <w:rFonts w:ascii="Times New Roman" w:hAnsi="Times New Roman" w:eastAsia="Times New Roman" w:cs="Times New Roman"/>
                <w:spacing w:val="7"/>
                <w:position w:val="4"/>
                <w:sz w:val="20"/>
                <w:szCs w:val="20"/>
              </w:rPr>
              <w:t>/</w:t>
            </w:r>
            <w:r>
              <w:rPr>
                <w:rFonts w:ascii="Times New Roman" w:hAnsi="Times New Roman" w:eastAsia="Times New Roman" w:cs="Times New Roman"/>
                <w:position w:val="4"/>
                <w:sz w:val="20"/>
                <w:szCs w:val="20"/>
              </w:rPr>
              <w:t>kg</w:t>
            </w:r>
          </w:p>
        </w:tc>
        <w:tc>
          <w:tcPr>
            <w:tcW w:w="930" w:type="dxa"/>
            <w:tcBorders>
              <w:left w:val="single" w:color="000000" w:sz="4" w:space="0"/>
              <w:right w:val="single" w:color="000000" w:sz="4" w:space="0"/>
            </w:tcBorders>
            <w:vAlign w:val="top"/>
          </w:tcPr>
          <w:p w14:paraId="10D51E53">
            <w:pPr>
              <w:spacing w:before="95" w:line="195" w:lineRule="auto"/>
              <w:ind w:left="30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w:t>
            </w:r>
            <w:r>
              <w:rPr>
                <w:rFonts w:ascii="Times New Roman" w:hAnsi="Times New Roman" w:eastAsia="Times New Roman" w:cs="Times New Roman"/>
                <w:spacing w:val="2"/>
                <w:sz w:val="20"/>
                <w:szCs w:val="20"/>
              </w:rPr>
              <w:t>00</w:t>
            </w:r>
          </w:p>
        </w:tc>
        <w:tc>
          <w:tcPr>
            <w:tcW w:w="1226" w:type="dxa"/>
            <w:tcBorders>
              <w:left w:val="single" w:color="000000" w:sz="4" w:space="0"/>
              <w:right w:val="single" w:color="000000" w:sz="4" w:space="0"/>
            </w:tcBorders>
            <w:vAlign w:val="top"/>
          </w:tcPr>
          <w:p w14:paraId="7415F05B">
            <w:pPr>
              <w:spacing w:before="95" w:line="195" w:lineRule="auto"/>
              <w:ind w:left="43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0.33</w:t>
            </w:r>
          </w:p>
        </w:tc>
        <w:tc>
          <w:tcPr>
            <w:tcW w:w="705" w:type="dxa"/>
            <w:tcBorders>
              <w:left w:val="single" w:color="000000" w:sz="4" w:space="0"/>
            </w:tcBorders>
            <w:vAlign w:val="top"/>
          </w:tcPr>
          <w:p w14:paraId="2D7386A7">
            <w:pPr>
              <w:spacing w:before="95"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109537B0">
            <w:pPr>
              <w:spacing w:before="95"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1FE37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7F4BE3A3">
            <w:pPr>
              <w:spacing w:before="95" w:line="195" w:lineRule="auto"/>
              <w:ind w:left="220"/>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944" w:type="dxa"/>
            <w:vMerge w:val="continue"/>
            <w:tcBorders>
              <w:top w:val="nil"/>
              <w:left w:val="single" w:color="000000" w:sz="4" w:space="0"/>
              <w:bottom w:val="nil"/>
              <w:right w:val="single" w:color="000000" w:sz="4" w:space="0"/>
            </w:tcBorders>
            <w:vAlign w:val="top"/>
          </w:tcPr>
          <w:p w14:paraId="2C70375E">
            <w:pPr>
              <w:rPr>
                <w:rFonts w:ascii="Arial"/>
                <w:sz w:val="21"/>
              </w:rPr>
            </w:pPr>
          </w:p>
        </w:tc>
        <w:tc>
          <w:tcPr>
            <w:tcW w:w="1680" w:type="dxa"/>
            <w:tcBorders>
              <w:left w:val="single" w:color="000000" w:sz="4" w:space="0"/>
              <w:right w:val="single" w:color="000000" w:sz="4" w:space="0"/>
            </w:tcBorders>
            <w:vAlign w:val="top"/>
          </w:tcPr>
          <w:p w14:paraId="688A4AB0">
            <w:pPr>
              <w:spacing w:before="59" w:line="233" w:lineRule="auto"/>
              <w:ind w:left="527"/>
              <w:rPr>
                <w:rFonts w:ascii="宋体" w:hAnsi="宋体" w:eastAsia="宋体" w:cs="宋体"/>
                <w:sz w:val="20"/>
                <w:szCs w:val="20"/>
              </w:rPr>
            </w:pPr>
            <w:r>
              <w:rPr>
                <w:rFonts w:ascii="宋体" w:hAnsi="宋体" w:eastAsia="宋体" w:cs="宋体"/>
                <w:spacing w:val="7"/>
                <w:sz w:val="20"/>
                <w:szCs w:val="20"/>
              </w:rPr>
              <w:t>全盐</w:t>
            </w:r>
            <w:r>
              <w:rPr>
                <w:rFonts w:ascii="宋体" w:hAnsi="宋体" w:eastAsia="宋体" w:cs="宋体"/>
                <w:spacing w:val="6"/>
                <w:sz w:val="20"/>
                <w:szCs w:val="20"/>
              </w:rPr>
              <w:t>量</w:t>
            </w:r>
          </w:p>
        </w:tc>
        <w:tc>
          <w:tcPr>
            <w:tcW w:w="1651" w:type="dxa"/>
            <w:tcBorders>
              <w:left w:val="single" w:color="000000" w:sz="4" w:space="0"/>
              <w:right w:val="single" w:color="000000" w:sz="4" w:space="0"/>
            </w:tcBorders>
            <w:vAlign w:val="top"/>
          </w:tcPr>
          <w:p w14:paraId="0BB78DF3">
            <w:pPr>
              <w:spacing w:before="21" w:line="281" w:lineRule="exact"/>
              <w:ind w:left="507"/>
              <w:rPr>
                <w:rFonts w:ascii="Times New Roman" w:hAnsi="Times New Roman" w:eastAsia="Times New Roman" w:cs="Times New Roman"/>
                <w:sz w:val="20"/>
                <w:szCs w:val="20"/>
              </w:rPr>
            </w:pPr>
            <w:r>
              <w:rPr>
                <w:rFonts w:ascii="Times New Roman" w:hAnsi="Times New Roman" w:eastAsia="Times New Roman" w:cs="Times New Roman"/>
                <w:spacing w:val="7"/>
                <w:position w:val="2"/>
                <w:sz w:val="20"/>
                <w:szCs w:val="20"/>
              </w:rPr>
              <w:t>2</w:t>
            </w:r>
            <w:r>
              <w:rPr>
                <w:rFonts w:ascii="Times New Roman" w:hAnsi="Times New Roman" w:eastAsia="Times New Roman" w:cs="Times New Roman"/>
                <w:spacing w:val="5"/>
                <w:position w:val="2"/>
                <w:sz w:val="20"/>
                <w:szCs w:val="20"/>
              </w:rPr>
              <w:t>.3</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5"/>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45750949">
            <w:pPr>
              <w:spacing w:before="21" w:line="281" w:lineRule="exact"/>
              <w:ind w:left="431"/>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226" w:type="dxa"/>
            <w:tcBorders>
              <w:left w:val="single" w:color="000000" w:sz="4" w:space="0"/>
              <w:right w:val="single" w:color="000000" w:sz="4" w:space="0"/>
            </w:tcBorders>
            <w:vAlign w:val="top"/>
          </w:tcPr>
          <w:p w14:paraId="63351924">
            <w:pPr>
              <w:spacing w:before="21"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1F988414">
            <w:pPr>
              <w:spacing w:before="21" w:line="281" w:lineRule="exact"/>
              <w:ind w:left="317"/>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684" w:type="dxa"/>
            <w:tcBorders>
              <w:right w:val="nil"/>
            </w:tcBorders>
            <w:vAlign w:val="top"/>
          </w:tcPr>
          <w:p w14:paraId="504E06AF">
            <w:pPr>
              <w:spacing w:before="21" w:line="281" w:lineRule="exact"/>
              <w:ind w:left="311"/>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037A31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1417BAC1">
            <w:pPr>
              <w:spacing w:before="94" w:line="195" w:lineRule="auto"/>
              <w:ind w:left="18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944" w:type="dxa"/>
            <w:vMerge w:val="continue"/>
            <w:tcBorders>
              <w:top w:val="nil"/>
              <w:left w:val="single" w:color="000000" w:sz="4" w:space="0"/>
              <w:bottom w:val="nil"/>
              <w:right w:val="single" w:color="000000" w:sz="4" w:space="0"/>
            </w:tcBorders>
            <w:vAlign w:val="top"/>
          </w:tcPr>
          <w:p w14:paraId="7B9724CD">
            <w:pPr>
              <w:rPr>
                <w:rFonts w:ascii="Arial"/>
                <w:sz w:val="21"/>
              </w:rPr>
            </w:pPr>
          </w:p>
        </w:tc>
        <w:tc>
          <w:tcPr>
            <w:tcW w:w="1680" w:type="dxa"/>
            <w:tcBorders>
              <w:left w:val="single" w:color="000000" w:sz="4" w:space="0"/>
              <w:right w:val="single" w:color="000000" w:sz="4" w:space="0"/>
            </w:tcBorders>
            <w:vAlign w:val="top"/>
          </w:tcPr>
          <w:p w14:paraId="38B6E448">
            <w:pPr>
              <w:spacing w:before="59" w:line="228" w:lineRule="auto"/>
              <w:ind w:left="441"/>
              <w:rPr>
                <w:rFonts w:ascii="宋体" w:hAnsi="宋体" w:eastAsia="宋体" w:cs="宋体"/>
                <w:sz w:val="20"/>
                <w:szCs w:val="20"/>
              </w:rPr>
            </w:pPr>
            <w:r>
              <w:rPr>
                <w:rFonts w:ascii="宋体" w:hAnsi="宋体" w:eastAsia="宋体" w:cs="宋体"/>
                <w:spacing w:val="3"/>
                <w:sz w:val="20"/>
                <w:szCs w:val="20"/>
              </w:rPr>
              <w:t>四</w:t>
            </w:r>
            <w:r>
              <w:rPr>
                <w:rFonts w:ascii="宋体" w:hAnsi="宋体" w:eastAsia="宋体" w:cs="宋体"/>
                <w:spacing w:val="2"/>
                <w:sz w:val="20"/>
                <w:szCs w:val="20"/>
              </w:rPr>
              <w:t>氯化碳</w:t>
            </w:r>
          </w:p>
        </w:tc>
        <w:tc>
          <w:tcPr>
            <w:tcW w:w="1651" w:type="dxa"/>
            <w:tcBorders>
              <w:left w:val="single" w:color="000000" w:sz="4" w:space="0"/>
              <w:right w:val="single" w:color="000000" w:sz="4" w:space="0"/>
            </w:tcBorders>
            <w:vAlign w:val="top"/>
          </w:tcPr>
          <w:p w14:paraId="3DD593AC">
            <w:pPr>
              <w:spacing w:before="19"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1.3μ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40AED0D6">
            <w:pPr>
              <w:spacing w:before="94" w:line="198" w:lineRule="auto"/>
              <w:ind w:left="33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5"/>
                <w:sz w:val="20"/>
                <w:szCs w:val="20"/>
              </w:rPr>
              <w:t>.8</w:t>
            </w:r>
          </w:p>
        </w:tc>
        <w:tc>
          <w:tcPr>
            <w:tcW w:w="1226" w:type="dxa"/>
            <w:tcBorders>
              <w:left w:val="single" w:color="000000" w:sz="4" w:space="0"/>
              <w:right w:val="single" w:color="000000" w:sz="4" w:space="0"/>
            </w:tcBorders>
            <w:vAlign w:val="top"/>
          </w:tcPr>
          <w:p w14:paraId="60F9203A">
            <w:pPr>
              <w:spacing w:before="21"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499A4760">
            <w:pPr>
              <w:spacing w:before="94"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418DB2A8">
            <w:pPr>
              <w:spacing w:before="94"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55698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6FEF456A">
            <w:pPr>
              <w:spacing w:before="94" w:line="195" w:lineRule="auto"/>
              <w:ind w:left="189"/>
              <w:rPr>
                <w:rFonts w:ascii="Times New Roman" w:hAnsi="Times New Roman" w:eastAsia="Times New Roman" w:cs="Times New Roman"/>
                <w:sz w:val="20"/>
                <w:szCs w:val="20"/>
              </w:rPr>
            </w:pPr>
            <w:r>
              <w:rPr>
                <w:rFonts w:ascii="Times New Roman" w:hAnsi="Times New Roman" w:eastAsia="Times New Roman" w:cs="Times New Roman"/>
                <w:spacing w:val="-11"/>
                <w:sz w:val="20"/>
                <w:szCs w:val="20"/>
              </w:rPr>
              <w:t>1</w:t>
            </w:r>
            <w:r>
              <w:rPr>
                <w:rFonts w:ascii="Times New Roman" w:hAnsi="Times New Roman" w:eastAsia="Times New Roman" w:cs="Times New Roman"/>
                <w:spacing w:val="-9"/>
                <w:sz w:val="20"/>
                <w:szCs w:val="20"/>
              </w:rPr>
              <w:t>1</w:t>
            </w:r>
          </w:p>
        </w:tc>
        <w:tc>
          <w:tcPr>
            <w:tcW w:w="944" w:type="dxa"/>
            <w:vMerge w:val="continue"/>
            <w:tcBorders>
              <w:top w:val="nil"/>
              <w:left w:val="single" w:color="000000" w:sz="4" w:space="0"/>
              <w:bottom w:val="nil"/>
              <w:right w:val="single" w:color="000000" w:sz="4" w:space="0"/>
            </w:tcBorders>
            <w:vAlign w:val="top"/>
          </w:tcPr>
          <w:p w14:paraId="5FB714CA">
            <w:pPr>
              <w:rPr>
                <w:rFonts w:ascii="Arial"/>
                <w:sz w:val="21"/>
              </w:rPr>
            </w:pPr>
          </w:p>
        </w:tc>
        <w:tc>
          <w:tcPr>
            <w:tcW w:w="1680" w:type="dxa"/>
            <w:tcBorders>
              <w:left w:val="single" w:color="000000" w:sz="4" w:space="0"/>
              <w:right w:val="single" w:color="000000" w:sz="4" w:space="0"/>
            </w:tcBorders>
            <w:vAlign w:val="top"/>
          </w:tcPr>
          <w:p w14:paraId="56BE3CED">
            <w:pPr>
              <w:spacing w:before="59" w:line="228" w:lineRule="auto"/>
              <w:ind w:left="636"/>
              <w:rPr>
                <w:rFonts w:ascii="宋体" w:hAnsi="宋体" w:eastAsia="宋体" w:cs="宋体"/>
                <w:sz w:val="20"/>
                <w:szCs w:val="20"/>
              </w:rPr>
            </w:pPr>
            <w:r>
              <w:rPr>
                <w:rFonts w:ascii="宋体" w:hAnsi="宋体" w:eastAsia="宋体" w:cs="宋体"/>
                <w:spacing w:val="3"/>
                <w:sz w:val="20"/>
                <w:szCs w:val="20"/>
              </w:rPr>
              <w:t>氯仿</w:t>
            </w:r>
          </w:p>
        </w:tc>
        <w:tc>
          <w:tcPr>
            <w:tcW w:w="1651" w:type="dxa"/>
            <w:tcBorders>
              <w:left w:val="single" w:color="000000" w:sz="4" w:space="0"/>
              <w:right w:val="single" w:color="000000" w:sz="4" w:space="0"/>
            </w:tcBorders>
            <w:vAlign w:val="top"/>
          </w:tcPr>
          <w:p w14:paraId="6D3BA54C">
            <w:pPr>
              <w:spacing w:before="18" w:line="281" w:lineRule="exact"/>
              <w:ind w:left="365"/>
              <w:rPr>
                <w:rFonts w:ascii="Times New Roman" w:hAnsi="Times New Roman" w:eastAsia="Times New Roman" w:cs="Times New Roman"/>
                <w:sz w:val="20"/>
                <w:szCs w:val="20"/>
              </w:rPr>
            </w:pPr>
            <w:r>
              <w:rPr>
                <w:rFonts w:ascii="宋体" w:hAnsi="宋体" w:eastAsia="宋体" w:cs="宋体"/>
                <w:spacing w:val="-3"/>
                <w:position w:val="4"/>
                <w:sz w:val="20"/>
                <w:szCs w:val="20"/>
              </w:rPr>
              <w:t>＜</w:t>
            </w:r>
            <w:r>
              <w:rPr>
                <w:rFonts w:ascii="Times New Roman" w:hAnsi="Times New Roman" w:eastAsia="Times New Roman" w:cs="Times New Roman"/>
                <w:spacing w:val="-3"/>
                <w:position w:val="4"/>
                <w:sz w:val="20"/>
                <w:szCs w:val="20"/>
              </w:rPr>
              <w:t>1. 1μg/kg</w:t>
            </w:r>
          </w:p>
        </w:tc>
        <w:tc>
          <w:tcPr>
            <w:tcW w:w="930" w:type="dxa"/>
            <w:tcBorders>
              <w:left w:val="single" w:color="000000" w:sz="4" w:space="0"/>
              <w:right w:val="single" w:color="000000" w:sz="4" w:space="0"/>
            </w:tcBorders>
            <w:vAlign w:val="top"/>
          </w:tcPr>
          <w:p w14:paraId="2D20FB8C">
            <w:pPr>
              <w:spacing w:before="95" w:line="195" w:lineRule="auto"/>
              <w:ind w:left="33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w:t>
            </w:r>
          </w:p>
        </w:tc>
        <w:tc>
          <w:tcPr>
            <w:tcW w:w="1226" w:type="dxa"/>
            <w:tcBorders>
              <w:left w:val="single" w:color="000000" w:sz="4" w:space="0"/>
              <w:right w:val="single" w:color="000000" w:sz="4" w:space="0"/>
            </w:tcBorders>
            <w:vAlign w:val="top"/>
          </w:tcPr>
          <w:p w14:paraId="426B2148">
            <w:pPr>
              <w:spacing w:before="21"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4D37F3BB">
            <w:pPr>
              <w:spacing w:before="94"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60C53440">
            <w:pPr>
              <w:spacing w:before="94"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3C4319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532" w:type="dxa"/>
            <w:tcBorders>
              <w:left w:val="nil"/>
              <w:right w:val="single" w:color="000000" w:sz="4" w:space="0"/>
            </w:tcBorders>
            <w:vAlign w:val="top"/>
          </w:tcPr>
          <w:p w14:paraId="18A653A7">
            <w:pPr>
              <w:spacing w:before="94" w:line="195" w:lineRule="auto"/>
              <w:ind w:left="18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2</w:t>
            </w:r>
          </w:p>
        </w:tc>
        <w:tc>
          <w:tcPr>
            <w:tcW w:w="944" w:type="dxa"/>
            <w:vMerge w:val="continue"/>
            <w:tcBorders>
              <w:top w:val="nil"/>
              <w:left w:val="single" w:color="000000" w:sz="4" w:space="0"/>
              <w:bottom w:val="nil"/>
              <w:right w:val="single" w:color="000000" w:sz="4" w:space="0"/>
            </w:tcBorders>
            <w:vAlign w:val="top"/>
          </w:tcPr>
          <w:p w14:paraId="42F7AD2B">
            <w:pPr>
              <w:rPr>
                <w:rFonts w:ascii="Arial"/>
                <w:sz w:val="21"/>
              </w:rPr>
            </w:pPr>
          </w:p>
        </w:tc>
        <w:tc>
          <w:tcPr>
            <w:tcW w:w="1680" w:type="dxa"/>
            <w:tcBorders>
              <w:left w:val="single" w:color="000000" w:sz="4" w:space="0"/>
              <w:right w:val="single" w:color="000000" w:sz="4" w:space="0"/>
            </w:tcBorders>
            <w:vAlign w:val="top"/>
          </w:tcPr>
          <w:p w14:paraId="589F7112">
            <w:pPr>
              <w:spacing w:before="59" w:line="228" w:lineRule="auto"/>
              <w:ind w:left="531"/>
              <w:rPr>
                <w:rFonts w:ascii="宋体" w:hAnsi="宋体" w:eastAsia="宋体" w:cs="宋体"/>
                <w:sz w:val="20"/>
                <w:szCs w:val="20"/>
              </w:rPr>
            </w:pPr>
            <w:r>
              <w:rPr>
                <w:rFonts w:ascii="宋体" w:hAnsi="宋体" w:eastAsia="宋体" w:cs="宋体"/>
                <w:spacing w:val="6"/>
                <w:sz w:val="20"/>
                <w:szCs w:val="20"/>
              </w:rPr>
              <w:t>氯甲</w:t>
            </w:r>
            <w:r>
              <w:rPr>
                <w:rFonts w:ascii="宋体" w:hAnsi="宋体" w:eastAsia="宋体" w:cs="宋体"/>
                <w:spacing w:val="5"/>
                <w:sz w:val="20"/>
                <w:szCs w:val="20"/>
              </w:rPr>
              <w:t>烷</w:t>
            </w:r>
          </w:p>
        </w:tc>
        <w:tc>
          <w:tcPr>
            <w:tcW w:w="1651" w:type="dxa"/>
            <w:tcBorders>
              <w:left w:val="single" w:color="000000" w:sz="4" w:space="0"/>
              <w:right w:val="single" w:color="000000" w:sz="4" w:space="0"/>
            </w:tcBorders>
            <w:vAlign w:val="top"/>
          </w:tcPr>
          <w:p w14:paraId="1BBBF96F">
            <w:pPr>
              <w:spacing w:before="18"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1.0μ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1672E2CD">
            <w:pPr>
              <w:spacing w:before="94" w:line="195" w:lineRule="auto"/>
              <w:ind w:left="36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7</w:t>
            </w:r>
          </w:p>
        </w:tc>
        <w:tc>
          <w:tcPr>
            <w:tcW w:w="1226" w:type="dxa"/>
            <w:tcBorders>
              <w:left w:val="single" w:color="000000" w:sz="4" w:space="0"/>
              <w:right w:val="single" w:color="000000" w:sz="4" w:space="0"/>
            </w:tcBorders>
            <w:vAlign w:val="top"/>
          </w:tcPr>
          <w:p w14:paraId="39297C6C">
            <w:pPr>
              <w:spacing w:before="21"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7CC40016">
            <w:pPr>
              <w:spacing w:before="94"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262C2278">
            <w:pPr>
              <w:spacing w:before="94"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316F6B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719221EF">
            <w:pPr>
              <w:spacing w:before="95" w:line="195" w:lineRule="auto"/>
              <w:ind w:left="18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3</w:t>
            </w:r>
          </w:p>
        </w:tc>
        <w:tc>
          <w:tcPr>
            <w:tcW w:w="944" w:type="dxa"/>
            <w:vMerge w:val="continue"/>
            <w:tcBorders>
              <w:top w:val="nil"/>
              <w:left w:val="single" w:color="000000" w:sz="4" w:space="0"/>
              <w:bottom w:val="nil"/>
              <w:right w:val="single" w:color="000000" w:sz="4" w:space="0"/>
            </w:tcBorders>
            <w:vAlign w:val="top"/>
          </w:tcPr>
          <w:p w14:paraId="68E17F29">
            <w:pPr>
              <w:rPr>
                <w:rFonts w:ascii="Arial"/>
                <w:sz w:val="21"/>
              </w:rPr>
            </w:pPr>
          </w:p>
        </w:tc>
        <w:tc>
          <w:tcPr>
            <w:tcW w:w="1680" w:type="dxa"/>
            <w:tcBorders>
              <w:left w:val="single" w:color="000000" w:sz="4" w:space="0"/>
              <w:right w:val="single" w:color="000000" w:sz="4" w:space="0"/>
            </w:tcBorders>
            <w:vAlign w:val="top"/>
          </w:tcPr>
          <w:p w14:paraId="4DD197C8">
            <w:pPr>
              <w:spacing w:before="59" w:line="233" w:lineRule="auto"/>
              <w:ind w:left="272"/>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2"/>
                <w:sz w:val="20"/>
                <w:szCs w:val="20"/>
              </w:rPr>
              <w:t>, 1-</w:t>
            </w:r>
            <w:r>
              <w:rPr>
                <w:rFonts w:ascii="宋体" w:hAnsi="宋体" w:eastAsia="宋体" w:cs="宋体"/>
                <w:spacing w:val="-2"/>
                <w:sz w:val="20"/>
                <w:szCs w:val="20"/>
              </w:rPr>
              <w:t>二氯乙烷</w:t>
            </w:r>
          </w:p>
        </w:tc>
        <w:tc>
          <w:tcPr>
            <w:tcW w:w="1651" w:type="dxa"/>
            <w:tcBorders>
              <w:left w:val="single" w:color="000000" w:sz="4" w:space="0"/>
              <w:right w:val="single" w:color="000000" w:sz="4" w:space="0"/>
            </w:tcBorders>
            <w:vAlign w:val="top"/>
          </w:tcPr>
          <w:p w14:paraId="65AF8D09">
            <w:pPr>
              <w:spacing w:before="21"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1.2μ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66D959F8">
            <w:pPr>
              <w:spacing w:before="95" w:line="195" w:lineRule="auto"/>
              <w:ind w:left="415"/>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226" w:type="dxa"/>
            <w:tcBorders>
              <w:left w:val="single" w:color="000000" w:sz="4" w:space="0"/>
              <w:right w:val="single" w:color="000000" w:sz="4" w:space="0"/>
            </w:tcBorders>
            <w:vAlign w:val="top"/>
          </w:tcPr>
          <w:p w14:paraId="042A70E0">
            <w:pPr>
              <w:spacing w:before="21"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74F75A58">
            <w:pPr>
              <w:spacing w:before="95"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1CC58089">
            <w:pPr>
              <w:spacing w:before="95"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3939C1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42A2D6AC">
            <w:pPr>
              <w:spacing w:before="95" w:line="195" w:lineRule="auto"/>
              <w:ind w:left="18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4</w:t>
            </w:r>
          </w:p>
        </w:tc>
        <w:tc>
          <w:tcPr>
            <w:tcW w:w="944" w:type="dxa"/>
            <w:vMerge w:val="continue"/>
            <w:tcBorders>
              <w:top w:val="nil"/>
              <w:left w:val="single" w:color="000000" w:sz="4" w:space="0"/>
              <w:bottom w:val="nil"/>
              <w:right w:val="single" w:color="000000" w:sz="4" w:space="0"/>
            </w:tcBorders>
            <w:vAlign w:val="top"/>
          </w:tcPr>
          <w:p w14:paraId="6085778D">
            <w:pPr>
              <w:rPr>
                <w:rFonts w:ascii="Arial"/>
                <w:sz w:val="21"/>
              </w:rPr>
            </w:pPr>
          </w:p>
        </w:tc>
        <w:tc>
          <w:tcPr>
            <w:tcW w:w="1680" w:type="dxa"/>
            <w:tcBorders>
              <w:left w:val="single" w:color="000000" w:sz="4" w:space="0"/>
              <w:right w:val="single" w:color="000000" w:sz="4" w:space="0"/>
            </w:tcBorders>
            <w:vAlign w:val="top"/>
          </w:tcPr>
          <w:p w14:paraId="51295B14">
            <w:pPr>
              <w:spacing w:before="59" w:line="233" w:lineRule="auto"/>
              <w:ind w:left="272"/>
              <w:rPr>
                <w:rFonts w:ascii="宋体" w:hAnsi="宋体" w:eastAsia="宋体" w:cs="宋体"/>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2-</w:t>
            </w:r>
            <w:r>
              <w:rPr>
                <w:rFonts w:ascii="宋体" w:hAnsi="宋体" w:eastAsia="宋体" w:cs="宋体"/>
                <w:spacing w:val="3"/>
                <w:sz w:val="20"/>
                <w:szCs w:val="20"/>
              </w:rPr>
              <w:t>二氯乙烷</w:t>
            </w:r>
          </w:p>
        </w:tc>
        <w:tc>
          <w:tcPr>
            <w:tcW w:w="1651" w:type="dxa"/>
            <w:tcBorders>
              <w:left w:val="single" w:color="000000" w:sz="4" w:space="0"/>
              <w:right w:val="single" w:color="000000" w:sz="4" w:space="0"/>
            </w:tcBorders>
            <w:vAlign w:val="top"/>
          </w:tcPr>
          <w:p w14:paraId="13FE97B6">
            <w:pPr>
              <w:spacing w:before="21"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1.3μ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34E7BB8C">
            <w:pPr>
              <w:spacing w:before="98" w:line="192" w:lineRule="auto"/>
              <w:ind w:left="417"/>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226" w:type="dxa"/>
            <w:tcBorders>
              <w:left w:val="single" w:color="000000" w:sz="4" w:space="0"/>
              <w:right w:val="single" w:color="000000" w:sz="4" w:space="0"/>
            </w:tcBorders>
            <w:vAlign w:val="top"/>
          </w:tcPr>
          <w:p w14:paraId="05A88A89">
            <w:pPr>
              <w:spacing w:before="21"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0C4082F1">
            <w:pPr>
              <w:spacing w:before="95"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041FC502">
            <w:pPr>
              <w:spacing w:before="95"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F1FD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461B9D25">
            <w:pPr>
              <w:spacing w:before="94" w:line="195" w:lineRule="auto"/>
              <w:ind w:left="18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c>
          <w:tcPr>
            <w:tcW w:w="944" w:type="dxa"/>
            <w:vMerge w:val="continue"/>
            <w:tcBorders>
              <w:top w:val="nil"/>
              <w:left w:val="single" w:color="000000" w:sz="4" w:space="0"/>
              <w:bottom w:val="nil"/>
              <w:right w:val="single" w:color="000000" w:sz="4" w:space="0"/>
            </w:tcBorders>
            <w:vAlign w:val="top"/>
          </w:tcPr>
          <w:p w14:paraId="2F2FA6B5">
            <w:pPr>
              <w:rPr>
                <w:rFonts w:ascii="Arial"/>
                <w:sz w:val="21"/>
              </w:rPr>
            </w:pPr>
          </w:p>
        </w:tc>
        <w:tc>
          <w:tcPr>
            <w:tcW w:w="1680" w:type="dxa"/>
            <w:tcBorders>
              <w:left w:val="single" w:color="000000" w:sz="4" w:space="0"/>
              <w:right w:val="single" w:color="000000" w:sz="4" w:space="0"/>
            </w:tcBorders>
            <w:vAlign w:val="top"/>
          </w:tcPr>
          <w:p w14:paraId="5D58A2A2">
            <w:pPr>
              <w:spacing w:before="58" w:line="233" w:lineRule="auto"/>
              <w:ind w:left="272"/>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2"/>
                <w:sz w:val="20"/>
                <w:szCs w:val="20"/>
              </w:rPr>
              <w:t>, 1-</w:t>
            </w:r>
            <w:r>
              <w:rPr>
                <w:rFonts w:ascii="宋体" w:hAnsi="宋体" w:eastAsia="宋体" w:cs="宋体"/>
                <w:spacing w:val="-2"/>
                <w:sz w:val="20"/>
                <w:szCs w:val="20"/>
              </w:rPr>
              <w:t>二氯乙烯</w:t>
            </w:r>
          </w:p>
        </w:tc>
        <w:tc>
          <w:tcPr>
            <w:tcW w:w="1651" w:type="dxa"/>
            <w:tcBorders>
              <w:left w:val="single" w:color="000000" w:sz="4" w:space="0"/>
              <w:right w:val="single" w:color="000000" w:sz="4" w:space="0"/>
            </w:tcBorders>
            <w:vAlign w:val="top"/>
          </w:tcPr>
          <w:p w14:paraId="167881D6">
            <w:pPr>
              <w:spacing w:before="21"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1.0μ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02F9475B">
            <w:pPr>
              <w:spacing w:before="94" w:line="195" w:lineRule="auto"/>
              <w:ind w:left="36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6</w:t>
            </w:r>
          </w:p>
        </w:tc>
        <w:tc>
          <w:tcPr>
            <w:tcW w:w="1226" w:type="dxa"/>
            <w:tcBorders>
              <w:left w:val="single" w:color="000000" w:sz="4" w:space="0"/>
              <w:right w:val="single" w:color="000000" w:sz="4" w:space="0"/>
            </w:tcBorders>
            <w:vAlign w:val="top"/>
          </w:tcPr>
          <w:p w14:paraId="228301C0">
            <w:pPr>
              <w:spacing w:before="21"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45FEDE60">
            <w:pPr>
              <w:spacing w:before="94"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62240EC2">
            <w:pPr>
              <w:spacing w:before="94"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23897A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6CA9A2EA">
            <w:pPr>
              <w:spacing w:before="94" w:line="195" w:lineRule="auto"/>
              <w:ind w:left="18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6</w:t>
            </w:r>
          </w:p>
        </w:tc>
        <w:tc>
          <w:tcPr>
            <w:tcW w:w="944" w:type="dxa"/>
            <w:vMerge w:val="continue"/>
            <w:tcBorders>
              <w:top w:val="nil"/>
              <w:left w:val="single" w:color="000000" w:sz="4" w:space="0"/>
              <w:bottom w:val="nil"/>
              <w:right w:val="single" w:color="000000" w:sz="4" w:space="0"/>
            </w:tcBorders>
            <w:vAlign w:val="top"/>
          </w:tcPr>
          <w:p w14:paraId="0E1AC6E4">
            <w:pPr>
              <w:rPr>
                <w:rFonts w:ascii="Arial"/>
                <w:sz w:val="21"/>
              </w:rPr>
            </w:pPr>
          </w:p>
        </w:tc>
        <w:tc>
          <w:tcPr>
            <w:tcW w:w="1680" w:type="dxa"/>
            <w:tcBorders>
              <w:left w:val="single" w:color="000000" w:sz="4" w:space="0"/>
              <w:right w:val="single" w:color="000000" w:sz="4" w:space="0"/>
            </w:tcBorders>
            <w:vAlign w:val="top"/>
          </w:tcPr>
          <w:p w14:paraId="113C4177">
            <w:pPr>
              <w:spacing w:before="58" w:line="233" w:lineRule="auto"/>
              <w:ind w:left="118"/>
              <w:rPr>
                <w:rFonts w:ascii="宋体" w:hAnsi="宋体" w:eastAsia="宋体" w:cs="宋体"/>
                <w:sz w:val="20"/>
                <w:szCs w:val="20"/>
              </w:rPr>
            </w:pPr>
            <w:r>
              <w:rPr>
                <w:rFonts w:ascii="宋体" w:hAnsi="宋体" w:eastAsia="宋体" w:cs="宋体"/>
                <w:spacing w:val="1"/>
                <w:sz w:val="20"/>
                <w:szCs w:val="20"/>
              </w:rPr>
              <w:t>顺</w:t>
            </w:r>
            <w:r>
              <w:rPr>
                <w:rFonts w:ascii="Times New Roman" w:hAnsi="Times New Roman" w:eastAsia="Times New Roman" w:cs="Times New Roman"/>
                <w:spacing w:val="1"/>
                <w:sz w:val="20"/>
                <w:szCs w:val="20"/>
              </w:rPr>
              <w:t>- 1,2-</w:t>
            </w:r>
            <w:r>
              <w:rPr>
                <w:rFonts w:ascii="宋体" w:hAnsi="宋体" w:eastAsia="宋体" w:cs="宋体"/>
                <w:sz w:val="20"/>
                <w:szCs w:val="20"/>
              </w:rPr>
              <w:t>二氯乙烯</w:t>
            </w:r>
          </w:p>
        </w:tc>
        <w:tc>
          <w:tcPr>
            <w:tcW w:w="1651" w:type="dxa"/>
            <w:tcBorders>
              <w:left w:val="single" w:color="000000" w:sz="4" w:space="0"/>
              <w:right w:val="single" w:color="000000" w:sz="4" w:space="0"/>
            </w:tcBorders>
            <w:vAlign w:val="top"/>
          </w:tcPr>
          <w:p w14:paraId="6E437F68">
            <w:pPr>
              <w:spacing w:before="21"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1.3μ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303A9AE2">
            <w:pPr>
              <w:spacing w:before="94" w:line="195" w:lineRule="auto"/>
              <w:ind w:left="3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59</w:t>
            </w:r>
            <w:r>
              <w:rPr>
                <w:rFonts w:ascii="Times New Roman" w:hAnsi="Times New Roman" w:eastAsia="Times New Roman" w:cs="Times New Roman"/>
                <w:spacing w:val="1"/>
                <w:sz w:val="20"/>
                <w:szCs w:val="20"/>
              </w:rPr>
              <w:t>6</w:t>
            </w:r>
          </w:p>
        </w:tc>
        <w:tc>
          <w:tcPr>
            <w:tcW w:w="1226" w:type="dxa"/>
            <w:tcBorders>
              <w:left w:val="single" w:color="000000" w:sz="4" w:space="0"/>
              <w:right w:val="single" w:color="000000" w:sz="4" w:space="0"/>
            </w:tcBorders>
            <w:vAlign w:val="top"/>
          </w:tcPr>
          <w:p w14:paraId="4895D5A0">
            <w:pPr>
              <w:spacing w:before="21"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1642248A">
            <w:pPr>
              <w:spacing w:before="94"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6C2C7543">
            <w:pPr>
              <w:spacing w:before="94"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72F0A2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71BD97AC">
            <w:pPr>
              <w:spacing w:before="94" w:line="195" w:lineRule="auto"/>
              <w:ind w:left="18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7</w:t>
            </w:r>
          </w:p>
        </w:tc>
        <w:tc>
          <w:tcPr>
            <w:tcW w:w="944" w:type="dxa"/>
            <w:vMerge w:val="continue"/>
            <w:tcBorders>
              <w:top w:val="nil"/>
              <w:left w:val="single" w:color="000000" w:sz="4" w:space="0"/>
              <w:bottom w:val="nil"/>
              <w:right w:val="single" w:color="000000" w:sz="4" w:space="0"/>
            </w:tcBorders>
            <w:vAlign w:val="top"/>
          </w:tcPr>
          <w:p w14:paraId="2546BC4E">
            <w:pPr>
              <w:rPr>
                <w:rFonts w:ascii="Arial"/>
                <w:sz w:val="21"/>
              </w:rPr>
            </w:pPr>
          </w:p>
        </w:tc>
        <w:tc>
          <w:tcPr>
            <w:tcW w:w="1680" w:type="dxa"/>
            <w:tcBorders>
              <w:left w:val="single" w:color="000000" w:sz="4" w:space="0"/>
              <w:right w:val="single" w:color="000000" w:sz="4" w:space="0"/>
            </w:tcBorders>
            <w:vAlign w:val="top"/>
          </w:tcPr>
          <w:p w14:paraId="30B087E0">
            <w:pPr>
              <w:spacing w:before="58" w:line="233" w:lineRule="auto"/>
              <w:ind w:left="118"/>
              <w:rPr>
                <w:rFonts w:ascii="宋体" w:hAnsi="宋体" w:eastAsia="宋体" w:cs="宋体"/>
                <w:sz w:val="20"/>
                <w:szCs w:val="20"/>
              </w:rPr>
            </w:pPr>
            <w:r>
              <w:rPr>
                <w:rFonts w:ascii="宋体" w:hAnsi="宋体" w:eastAsia="宋体" w:cs="宋体"/>
                <w:spacing w:val="1"/>
                <w:sz w:val="20"/>
                <w:szCs w:val="20"/>
              </w:rPr>
              <w:t>反</w:t>
            </w:r>
            <w:r>
              <w:rPr>
                <w:rFonts w:ascii="Times New Roman" w:hAnsi="Times New Roman" w:eastAsia="Times New Roman" w:cs="Times New Roman"/>
                <w:spacing w:val="1"/>
                <w:sz w:val="20"/>
                <w:szCs w:val="20"/>
              </w:rPr>
              <w:t>- 1,2-</w:t>
            </w:r>
            <w:r>
              <w:rPr>
                <w:rFonts w:ascii="宋体" w:hAnsi="宋体" w:eastAsia="宋体" w:cs="宋体"/>
                <w:sz w:val="20"/>
                <w:szCs w:val="20"/>
              </w:rPr>
              <w:t>二氯乙烯</w:t>
            </w:r>
          </w:p>
        </w:tc>
        <w:tc>
          <w:tcPr>
            <w:tcW w:w="1651" w:type="dxa"/>
            <w:tcBorders>
              <w:left w:val="single" w:color="000000" w:sz="4" w:space="0"/>
              <w:right w:val="single" w:color="000000" w:sz="4" w:space="0"/>
            </w:tcBorders>
            <w:vAlign w:val="top"/>
          </w:tcPr>
          <w:p w14:paraId="6A0239C0">
            <w:pPr>
              <w:spacing w:before="21"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1.4μ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47CBF04C">
            <w:pPr>
              <w:spacing w:before="94" w:line="195" w:lineRule="auto"/>
              <w:ind w:left="364"/>
              <w:rPr>
                <w:rFonts w:ascii="Times New Roman" w:hAnsi="Times New Roman" w:eastAsia="Times New Roman" w:cs="Times New Roman"/>
                <w:sz w:val="20"/>
                <w:szCs w:val="20"/>
              </w:rPr>
            </w:pPr>
            <w:r>
              <w:rPr>
                <w:rFonts w:ascii="Times New Roman" w:hAnsi="Times New Roman" w:eastAsia="Times New Roman" w:cs="Times New Roman"/>
                <w:sz w:val="20"/>
                <w:szCs w:val="20"/>
              </w:rPr>
              <w:t>54</w:t>
            </w:r>
          </w:p>
        </w:tc>
        <w:tc>
          <w:tcPr>
            <w:tcW w:w="1226" w:type="dxa"/>
            <w:tcBorders>
              <w:left w:val="single" w:color="000000" w:sz="4" w:space="0"/>
              <w:right w:val="single" w:color="000000" w:sz="4" w:space="0"/>
            </w:tcBorders>
            <w:vAlign w:val="top"/>
          </w:tcPr>
          <w:p w14:paraId="7FD9DA86">
            <w:pPr>
              <w:spacing w:before="21"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5786C957">
            <w:pPr>
              <w:spacing w:before="94"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37889D46">
            <w:pPr>
              <w:spacing w:before="94"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684532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532" w:type="dxa"/>
            <w:tcBorders>
              <w:left w:val="nil"/>
              <w:right w:val="single" w:color="000000" w:sz="4" w:space="0"/>
            </w:tcBorders>
            <w:vAlign w:val="top"/>
          </w:tcPr>
          <w:p w14:paraId="55DD6386">
            <w:pPr>
              <w:spacing w:before="94" w:line="195" w:lineRule="auto"/>
              <w:ind w:left="18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8</w:t>
            </w:r>
          </w:p>
        </w:tc>
        <w:tc>
          <w:tcPr>
            <w:tcW w:w="944" w:type="dxa"/>
            <w:vMerge w:val="continue"/>
            <w:tcBorders>
              <w:top w:val="nil"/>
              <w:left w:val="single" w:color="000000" w:sz="4" w:space="0"/>
              <w:bottom w:val="nil"/>
              <w:right w:val="single" w:color="000000" w:sz="4" w:space="0"/>
            </w:tcBorders>
            <w:vAlign w:val="top"/>
          </w:tcPr>
          <w:p w14:paraId="4D1F085A">
            <w:pPr>
              <w:rPr>
                <w:rFonts w:ascii="Arial"/>
                <w:sz w:val="21"/>
              </w:rPr>
            </w:pPr>
          </w:p>
        </w:tc>
        <w:tc>
          <w:tcPr>
            <w:tcW w:w="1680" w:type="dxa"/>
            <w:tcBorders>
              <w:left w:val="single" w:color="000000" w:sz="4" w:space="0"/>
              <w:right w:val="single" w:color="000000" w:sz="4" w:space="0"/>
            </w:tcBorders>
            <w:vAlign w:val="top"/>
          </w:tcPr>
          <w:p w14:paraId="6D8371CB">
            <w:pPr>
              <w:spacing w:before="58" w:line="228" w:lineRule="auto"/>
              <w:ind w:left="425"/>
              <w:rPr>
                <w:rFonts w:ascii="宋体" w:hAnsi="宋体" w:eastAsia="宋体" w:cs="宋体"/>
                <w:sz w:val="20"/>
                <w:szCs w:val="20"/>
              </w:rPr>
            </w:pPr>
            <w:r>
              <w:rPr>
                <w:rFonts w:ascii="宋体" w:hAnsi="宋体" w:eastAsia="宋体" w:cs="宋体"/>
                <w:spacing w:val="8"/>
                <w:sz w:val="20"/>
                <w:szCs w:val="20"/>
              </w:rPr>
              <w:t>二</w:t>
            </w:r>
            <w:r>
              <w:rPr>
                <w:rFonts w:ascii="宋体" w:hAnsi="宋体" w:eastAsia="宋体" w:cs="宋体"/>
                <w:spacing w:val="6"/>
                <w:sz w:val="20"/>
                <w:szCs w:val="20"/>
              </w:rPr>
              <w:t>氯甲烷</w:t>
            </w:r>
          </w:p>
        </w:tc>
        <w:tc>
          <w:tcPr>
            <w:tcW w:w="1651" w:type="dxa"/>
            <w:tcBorders>
              <w:left w:val="single" w:color="000000" w:sz="4" w:space="0"/>
              <w:right w:val="single" w:color="000000" w:sz="4" w:space="0"/>
            </w:tcBorders>
            <w:vAlign w:val="top"/>
          </w:tcPr>
          <w:p w14:paraId="72B9E431">
            <w:pPr>
              <w:spacing w:before="20"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1.5μ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6DEDD313">
            <w:pPr>
              <w:spacing w:before="94" w:line="195" w:lineRule="auto"/>
              <w:ind w:left="31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616</w:t>
            </w:r>
          </w:p>
        </w:tc>
        <w:tc>
          <w:tcPr>
            <w:tcW w:w="1226" w:type="dxa"/>
            <w:tcBorders>
              <w:left w:val="single" w:color="000000" w:sz="4" w:space="0"/>
              <w:right w:val="single" w:color="000000" w:sz="4" w:space="0"/>
            </w:tcBorders>
            <w:vAlign w:val="top"/>
          </w:tcPr>
          <w:p w14:paraId="7F2F4B13">
            <w:pPr>
              <w:spacing w:before="20"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0894DF4B">
            <w:pPr>
              <w:spacing w:before="94"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303E32AF">
            <w:pPr>
              <w:spacing w:before="94"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5158F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3CB9C9D2">
            <w:pPr>
              <w:spacing w:before="95" w:line="195" w:lineRule="auto"/>
              <w:ind w:left="18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9</w:t>
            </w:r>
          </w:p>
        </w:tc>
        <w:tc>
          <w:tcPr>
            <w:tcW w:w="944" w:type="dxa"/>
            <w:vMerge w:val="continue"/>
            <w:tcBorders>
              <w:top w:val="nil"/>
              <w:left w:val="single" w:color="000000" w:sz="4" w:space="0"/>
              <w:bottom w:val="nil"/>
              <w:right w:val="single" w:color="000000" w:sz="4" w:space="0"/>
            </w:tcBorders>
            <w:vAlign w:val="top"/>
          </w:tcPr>
          <w:p w14:paraId="2FFD2569">
            <w:pPr>
              <w:rPr>
                <w:rFonts w:ascii="Arial"/>
                <w:sz w:val="21"/>
              </w:rPr>
            </w:pPr>
          </w:p>
        </w:tc>
        <w:tc>
          <w:tcPr>
            <w:tcW w:w="1680" w:type="dxa"/>
            <w:tcBorders>
              <w:left w:val="single" w:color="000000" w:sz="4" w:space="0"/>
              <w:right w:val="single" w:color="000000" w:sz="4" w:space="0"/>
            </w:tcBorders>
            <w:vAlign w:val="top"/>
          </w:tcPr>
          <w:p w14:paraId="06087115">
            <w:pPr>
              <w:spacing w:before="59" w:line="233" w:lineRule="auto"/>
              <w:ind w:left="272"/>
              <w:rPr>
                <w:rFonts w:ascii="宋体" w:hAnsi="宋体" w:eastAsia="宋体" w:cs="宋体"/>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2-</w:t>
            </w:r>
            <w:r>
              <w:rPr>
                <w:rFonts w:ascii="宋体" w:hAnsi="宋体" w:eastAsia="宋体" w:cs="宋体"/>
                <w:spacing w:val="3"/>
                <w:sz w:val="20"/>
                <w:szCs w:val="20"/>
              </w:rPr>
              <w:t>二氯丙烷</w:t>
            </w:r>
          </w:p>
        </w:tc>
        <w:tc>
          <w:tcPr>
            <w:tcW w:w="1651" w:type="dxa"/>
            <w:tcBorders>
              <w:left w:val="single" w:color="000000" w:sz="4" w:space="0"/>
              <w:right w:val="single" w:color="000000" w:sz="4" w:space="0"/>
            </w:tcBorders>
            <w:vAlign w:val="top"/>
          </w:tcPr>
          <w:p w14:paraId="2438C753">
            <w:pPr>
              <w:spacing w:before="21" w:line="281" w:lineRule="exact"/>
              <w:ind w:left="365"/>
              <w:rPr>
                <w:rFonts w:ascii="Times New Roman" w:hAnsi="Times New Roman" w:eastAsia="Times New Roman" w:cs="Times New Roman"/>
                <w:sz w:val="20"/>
                <w:szCs w:val="20"/>
              </w:rPr>
            </w:pPr>
            <w:r>
              <w:rPr>
                <w:rFonts w:ascii="宋体" w:hAnsi="宋体" w:eastAsia="宋体" w:cs="宋体"/>
                <w:spacing w:val="-3"/>
                <w:position w:val="4"/>
                <w:sz w:val="20"/>
                <w:szCs w:val="20"/>
              </w:rPr>
              <w:t>＜</w:t>
            </w:r>
            <w:r>
              <w:rPr>
                <w:rFonts w:ascii="Times New Roman" w:hAnsi="Times New Roman" w:eastAsia="Times New Roman" w:cs="Times New Roman"/>
                <w:spacing w:val="-3"/>
                <w:position w:val="4"/>
                <w:sz w:val="20"/>
                <w:szCs w:val="20"/>
              </w:rPr>
              <w:t>1. 1μg/kg</w:t>
            </w:r>
          </w:p>
        </w:tc>
        <w:tc>
          <w:tcPr>
            <w:tcW w:w="930" w:type="dxa"/>
            <w:tcBorders>
              <w:left w:val="single" w:color="000000" w:sz="4" w:space="0"/>
              <w:right w:val="single" w:color="000000" w:sz="4" w:space="0"/>
            </w:tcBorders>
            <w:vAlign w:val="top"/>
          </w:tcPr>
          <w:p w14:paraId="483AEB1D">
            <w:pPr>
              <w:spacing w:before="98" w:line="192" w:lineRule="auto"/>
              <w:ind w:left="417"/>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226" w:type="dxa"/>
            <w:tcBorders>
              <w:left w:val="single" w:color="000000" w:sz="4" w:space="0"/>
              <w:right w:val="single" w:color="000000" w:sz="4" w:space="0"/>
            </w:tcBorders>
            <w:vAlign w:val="top"/>
          </w:tcPr>
          <w:p w14:paraId="5C7A7F4F">
            <w:pPr>
              <w:spacing w:before="21"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6CDBDE7F">
            <w:pPr>
              <w:spacing w:before="95"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4A8889BA">
            <w:pPr>
              <w:spacing w:before="95"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38B53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4C10F282">
            <w:pPr>
              <w:spacing w:before="97"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0</w:t>
            </w:r>
          </w:p>
        </w:tc>
        <w:tc>
          <w:tcPr>
            <w:tcW w:w="944" w:type="dxa"/>
            <w:vMerge w:val="continue"/>
            <w:tcBorders>
              <w:top w:val="nil"/>
              <w:left w:val="single" w:color="000000" w:sz="4" w:space="0"/>
              <w:bottom w:val="nil"/>
              <w:right w:val="single" w:color="000000" w:sz="4" w:space="0"/>
            </w:tcBorders>
            <w:vAlign w:val="top"/>
          </w:tcPr>
          <w:p w14:paraId="36DA3334">
            <w:pPr>
              <w:rPr>
                <w:rFonts w:ascii="Arial"/>
                <w:sz w:val="21"/>
              </w:rPr>
            </w:pPr>
          </w:p>
        </w:tc>
        <w:tc>
          <w:tcPr>
            <w:tcW w:w="1680" w:type="dxa"/>
            <w:tcBorders>
              <w:left w:val="single" w:color="000000" w:sz="4" w:space="0"/>
              <w:right w:val="single" w:color="000000" w:sz="4" w:space="0"/>
            </w:tcBorders>
            <w:vAlign w:val="top"/>
          </w:tcPr>
          <w:p w14:paraId="42056032">
            <w:pPr>
              <w:spacing w:before="61" w:line="221" w:lineRule="auto"/>
              <w:ind w:left="116"/>
              <w:rPr>
                <w:rFonts w:ascii="宋体" w:hAnsi="宋体" w:eastAsia="宋体" w:cs="宋体"/>
                <w:sz w:val="20"/>
                <w:szCs w:val="20"/>
              </w:rPr>
            </w:pPr>
            <w:r>
              <w:rPr>
                <w:rFonts w:ascii="Times New Roman" w:hAnsi="Times New Roman" w:eastAsia="Times New Roman" w:cs="Times New Roman"/>
                <w:spacing w:val="-10"/>
                <w:sz w:val="20"/>
                <w:szCs w:val="20"/>
              </w:rPr>
              <w:t>1</w:t>
            </w:r>
            <w:r>
              <w:rPr>
                <w:rFonts w:ascii="Times New Roman" w:hAnsi="Times New Roman" w:eastAsia="Times New Roman" w:cs="Times New Roman"/>
                <w:spacing w:val="-7"/>
                <w:sz w:val="20"/>
                <w:szCs w:val="20"/>
              </w:rPr>
              <w:t xml:space="preserve">, 1, 1,2- </w:t>
            </w:r>
            <w:r>
              <w:rPr>
                <w:rFonts w:ascii="宋体" w:hAnsi="宋体" w:eastAsia="宋体" w:cs="宋体"/>
                <w:spacing w:val="-7"/>
                <w:sz w:val="20"/>
                <w:szCs w:val="20"/>
              </w:rPr>
              <w:t>四氯乙烷</w:t>
            </w:r>
          </w:p>
        </w:tc>
        <w:tc>
          <w:tcPr>
            <w:tcW w:w="1651" w:type="dxa"/>
            <w:tcBorders>
              <w:left w:val="single" w:color="000000" w:sz="4" w:space="0"/>
              <w:right w:val="single" w:color="000000" w:sz="4" w:space="0"/>
            </w:tcBorders>
            <w:vAlign w:val="top"/>
          </w:tcPr>
          <w:p w14:paraId="7281FCE7">
            <w:pPr>
              <w:spacing w:before="21"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1.2μ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7D156A51">
            <w:pPr>
              <w:spacing w:before="97" w:line="195" w:lineRule="auto"/>
              <w:ind w:left="37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1226" w:type="dxa"/>
            <w:tcBorders>
              <w:left w:val="single" w:color="000000" w:sz="4" w:space="0"/>
              <w:right w:val="single" w:color="000000" w:sz="4" w:space="0"/>
            </w:tcBorders>
            <w:vAlign w:val="top"/>
          </w:tcPr>
          <w:p w14:paraId="04D6E896">
            <w:pPr>
              <w:spacing w:before="23"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5B04D1BB">
            <w:pPr>
              <w:spacing w:before="97"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4BC3B456">
            <w:pPr>
              <w:spacing w:before="97"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59BA53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7BD41154">
            <w:pPr>
              <w:spacing w:before="97"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1</w:t>
            </w:r>
          </w:p>
        </w:tc>
        <w:tc>
          <w:tcPr>
            <w:tcW w:w="944" w:type="dxa"/>
            <w:vMerge w:val="continue"/>
            <w:tcBorders>
              <w:top w:val="nil"/>
              <w:left w:val="single" w:color="000000" w:sz="4" w:space="0"/>
              <w:bottom w:val="nil"/>
              <w:right w:val="single" w:color="000000" w:sz="4" w:space="0"/>
            </w:tcBorders>
            <w:vAlign w:val="top"/>
          </w:tcPr>
          <w:p w14:paraId="706C3E81">
            <w:pPr>
              <w:rPr>
                <w:rFonts w:ascii="Arial"/>
                <w:sz w:val="21"/>
              </w:rPr>
            </w:pPr>
          </w:p>
        </w:tc>
        <w:tc>
          <w:tcPr>
            <w:tcW w:w="1680" w:type="dxa"/>
            <w:tcBorders>
              <w:left w:val="single" w:color="000000" w:sz="4" w:space="0"/>
              <w:right w:val="single" w:color="000000" w:sz="4" w:space="0"/>
            </w:tcBorders>
            <w:vAlign w:val="top"/>
          </w:tcPr>
          <w:p w14:paraId="589A7C54">
            <w:pPr>
              <w:spacing w:before="61" w:line="233" w:lineRule="auto"/>
              <w:ind w:left="116"/>
              <w:rPr>
                <w:rFonts w:ascii="宋体" w:hAnsi="宋体" w:eastAsia="宋体" w:cs="宋体"/>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4"/>
                <w:sz w:val="20"/>
                <w:szCs w:val="20"/>
              </w:rPr>
              <w:t xml:space="preserve">, 1,2,2- </w:t>
            </w:r>
            <w:r>
              <w:rPr>
                <w:rFonts w:ascii="宋体" w:hAnsi="宋体" w:eastAsia="宋体" w:cs="宋体"/>
                <w:spacing w:val="-4"/>
                <w:sz w:val="20"/>
                <w:szCs w:val="20"/>
              </w:rPr>
              <w:t>四氯乙烷</w:t>
            </w:r>
          </w:p>
        </w:tc>
        <w:tc>
          <w:tcPr>
            <w:tcW w:w="1651" w:type="dxa"/>
            <w:tcBorders>
              <w:left w:val="single" w:color="000000" w:sz="4" w:space="0"/>
              <w:right w:val="single" w:color="000000" w:sz="4" w:space="0"/>
            </w:tcBorders>
            <w:vAlign w:val="top"/>
          </w:tcPr>
          <w:p w14:paraId="40EF19D8">
            <w:pPr>
              <w:spacing w:before="21"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1.2μ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35F9FA46">
            <w:pPr>
              <w:spacing w:before="97" w:line="195" w:lineRule="auto"/>
              <w:ind w:left="33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6.8</w:t>
            </w:r>
          </w:p>
        </w:tc>
        <w:tc>
          <w:tcPr>
            <w:tcW w:w="1226" w:type="dxa"/>
            <w:tcBorders>
              <w:left w:val="single" w:color="000000" w:sz="4" w:space="0"/>
              <w:right w:val="single" w:color="000000" w:sz="4" w:space="0"/>
            </w:tcBorders>
            <w:vAlign w:val="top"/>
          </w:tcPr>
          <w:p w14:paraId="05CDE830">
            <w:pPr>
              <w:spacing w:before="23"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70096CC4">
            <w:pPr>
              <w:spacing w:before="97"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677A93C4">
            <w:pPr>
              <w:spacing w:before="97"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174EF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415B8250">
            <w:pPr>
              <w:spacing w:before="97"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2</w:t>
            </w:r>
          </w:p>
        </w:tc>
        <w:tc>
          <w:tcPr>
            <w:tcW w:w="944" w:type="dxa"/>
            <w:vMerge w:val="continue"/>
            <w:tcBorders>
              <w:top w:val="nil"/>
              <w:left w:val="single" w:color="000000" w:sz="4" w:space="0"/>
              <w:bottom w:val="nil"/>
              <w:right w:val="single" w:color="000000" w:sz="4" w:space="0"/>
            </w:tcBorders>
            <w:vAlign w:val="top"/>
          </w:tcPr>
          <w:p w14:paraId="76B3FF50">
            <w:pPr>
              <w:rPr>
                <w:rFonts w:ascii="Arial"/>
                <w:sz w:val="21"/>
              </w:rPr>
            </w:pPr>
          </w:p>
        </w:tc>
        <w:tc>
          <w:tcPr>
            <w:tcW w:w="1680" w:type="dxa"/>
            <w:tcBorders>
              <w:left w:val="single" w:color="000000" w:sz="4" w:space="0"/>
              <w:right w:val="single" w:color="000000" w:sz="4" w:space="0"/>
            </w:tcBorders>
            <w:vAlign w:val="top"/>
          </w:tcPr>
          <w:p w14:paraId="023CD6A6">
            <w:pPr>
              <w:spacing w:before="60" w:line="228" w:lineRule="auto"/>
              <w:ind w:left="441"/>
              <w:rPr>
                <w:rFonts w:ascii="宋体" w:hAnsi="宋体" w:eastAsia="宋体" w:cs="宋体"/>
                <w:sz w:val="20"/>
                <w:szCs w:val="20"/>
              </w:rPr>
            </w:pPr>
            <w:r>
              <w:rPr>
                <w:rFonts w:ascii="宋体" w:hAnsi="宋体" w:eastAsia="宋体" w:cs="宋体"/>
                <w:spacing w:val="3"/>
                <w:sz w:val="20"/>
                <w:szCs w:val="20"/>
              </w:rPr>
              <w:t>四</w:t>
            </w:r>
            <w:r>
              <w:rPr>
                <w:rFonts w:ascii="宋体" w:hAnsi="宋体" w:eastAsia="宋体" w:cs="宋体"/>
                <w:spacing w:val="2"/>
                <w:sz w:val="20"/>
                <w:szCs w:val="20"/>
              </w:rPr>
              <w:t>氯乙烯</w:t>
            </w:r>
          </w:p>
        </w:tc>
        <w:tc>
          <w:tcPr>
            <w:tcW w:w="1651" w:type="dxa"/>
            <w:tcBorders>
              <w:left w:val="single" w:color="000000" w:sz="4" w:space="0"/>
              <w:right w:val="single" w:color="000000" w:sz="4" w:space="0"/>
            </w:tcBorders>
            <w:vAlign w:val="top"/>
          </w:tcPr>
          <w:p w14:paraId="6C5366ED">
            <w:pPr>
              <w:spacing w:before="21"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1.4μ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62224570">
            <w:pPr>
              <w:spacing w:before="96" w:line="195" w:lineRule="auto"/>
              <w:ind w:left="364"/>
              <w:rPr>
                <w:rFonts w:ascii="Times New Roman" w:hAnsi="Times New Roman" w:eastAsia="Times New Roman" w:cs="Times New Roman"/>
                <w:sz w:val="20"/>
                <w:szCs w:val="20"/>
              </w:rPr>
            </w:pPr>
            <w:r>
              <w:rPr>
                <w:rFonts w:ascii="Times New Roman" w:hAnsi="Times New Roman" w:eastAsia="Times New Roman" w:cs="Times New Roman"/>
                <w:sz w:val="20"/>
                <w:szCs w:val="20"/>
              </w:rPr>
              <w:t>53</w:t>
            </w:r>
          </w:p>
        </w:tc>
        <w:tc>
          <w:tcPr>
            <w:tcW w:w="1226" w:type="dxa"/>
            <w:tcBorders>
              <w:left w:val="single" w:color="000000" w:sz="4" w:space="0"/>
              <w:right w:val="single" w:color="000000" w:sz="4" w:space="0"/>
            </w:tcBorders>
            <w:vAlign w:val="top"/>
          </w:tcPr>
          <w:p w14:paraId="0EA1BCBB">
            <w:pPr>
              <w:spacing w:before="23"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29C38BFC">
            <w:pPr>
              <w:spacing w:before="96"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44CD720D">
            <w:pPr>
              <w:spacing w:before="96"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4306DB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532" w:type="dxa"/>
            <w:tcBorders>
              <w:left w:val="nil"/>
              <w:right w:val="single" w:color="000000" w:sz="4" w:space="0"/>
            </w:tcBorders>
            <w:vAlign w:val="top"/>
          </w:tcPr>
          <w:p w14:paraId="5B54FFDB">
            <w:pPr>
              <w:spacing w:before="96"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3</w:t>
            </w:r>
          </w:p>
        </w:tc>
        <w:tc>
          <w:tcPr>
            <w:tcW w:w="944" w:type="dxa"/>
            <w:vMerge w:val="continue"/>
            <w:tcBorders>
              <w:top w:val="nil"/>
              <w:left w:val="single" w:color="000000" w:sz="4" w:space="0"/>
              <w:right w:val="single" w:color="000000" w:sz="4" w:space="0"/>
            </w:tcBorders>
            <w:vAlign w:val="top"/>
          </w:tcPr>
          <w:p w14:paraId="2B843018">
            <w:pPr>
              <w:rPr>
                <w:rFonts w:ascii="Arial"/>
                <w:sz w:val="21"/>
              </w:rPr>
            </w:pPr>
          </w:p>
        </w:tc>
        <w:tc>
          <w:tcPr>
            <w:tcW w:w="1680" w:type="dxa"/>
            <w:tcBorders>
              <w:left w:val="single" w:color="000000" w:sz="4" w:space="0"/>
              <w:right w:val="single" w:color="000000" w:sz="4" w:space="0"/>
            </w:tcBorders>
            <w:vAlign w:val="top"/>
          </w:tcPr>
          <w:p w14:paraId="3232DAB2">
            <w:pPr>
              <w:spacing w:before="61" w:line="233" w:lineRule="auto"/>
              <w:ind w:left="196"/>
              <w:rPr>
                <w:rFonts w:ascii="宋体" w:hAnsi="宋体" w:eastAsia="宋体" w:cs="宋体"/>
                <w:sz w:val="20"/>
                <w:szCs w:val="20"/>
              </w:rPr>
            </w:pPr>
            <w:r>
              <w:rPr>
                <w:rFonts w:ascii="Times New Roman" w:hAnsi="Times New Roman" w:eastAsia="Times New Roman" w:cs="Times New Roman"/>
                <w:spacing w:val="-10"/>
                <w:sz w:val="20"/>
                <w:szCs w:val="20"/>
              </w:rPr>
              <w:t>1</w:t>
            </w:r>
            <w:r>
              <w:rPr>
                <w:rFonts w:ascii="Times New Roman" w:hAnsi="Times New Roman" w:eastAsia="Times New Roman" w:cs="Times New Roman"/>
                <w:spacing w:val="-7"/>
                <w:sz w:val="20"/>
                <w:szCs w:val="20"/>
              </w:rPr>
              <w:t>,</w:t>
            </w:r>
            <w:r>
              <w:rPr>
                <w:rFonts w:ascii="Times New Roman" w:hAnsi="Times New Roman" w:eastAsia="Times New Roman" w:cs="Times New Roman"/>
                <w:spacing w:val="-5"/>
                <w:sz w:val="20"/>
                <w:szCs w:val="20"/>
              </w:rPr>
              <w:t xml:space="preserve"> 1, 1-</w:t>
            </w:r>
            <w:r>
              <w:rPr>
                <w:rFonts w:ascii="宋体" w:hAnsi="宋体" w:eastAsia="宋体" w:cs="宋体"/>
                <w:spacing w:val="-5"/>
                <w:sz w:val="20"/>
                <w:szCs w:val="20"/>
              </w:rPr>
              <w:t>三氯乙烷</w:t>
            </w:r>
          </w:p>
        </w:tc>
        <w:tc>
          <w:tcPr>
            <w:tcW w:w="1651" w:type="dxa"/>
            <w:tcBorders>
              <w:left w:val="single" w:color="000000" w:sz="4" w:space="0"/>
              <w:right w:val="single" w:color="000000" w:sz="4" w:space="0"/>
            </w:tcBorders>
            <w:vAlign w:val="top"/>
          </w:tcPr>
          <w:p w14:paraId="078A676B">
            <w:pPr>
              <w:spacing w:before="20"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1.3μ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38B84C5E">
            <w:pPr>
              <w:spacing w:before="96" w:line="195" w:lineRule="auto"/>
              <w:ind w:left="31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84</w:t>
            </w:r>
            <w:r>
              <w:rPr>
                <w:rFonts w:ascii="Times New Roman" w:hAnsi="Times New Roman" w:eastAsia="Times New Roman" w:cs="Times New Roman"/>
                <w:sz w:val="20"/>
                <w:szCs w:val="20"/>
              </w:rPr>
              <w:t>0</w:t>
            </w:r>
          </w:p>
        </w:tc>
        <w:tc>
          <w:tcPr>
            <w:tcW w:w="1226" w:type="dxa"/>
            <w:tcBorders>
              <w:left w:val="single" w:color="000000" w:sz="4" w:space="0"/>
              <w:right w:val="single" w:color="000000" w:sz="4" w:space="0"/>
            </w:tcBorders>
            <w:vAlign w:val="top"/>
          </w:tcPr>
          <w:p w14:paraId="2077F5E9">
            <w:pPr>
              <w:spacing w:before="23"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4FDDE369">
            <w:pPr>
              <w:spacing w:before="96"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2F5D463A">
            <w:pPr>
              <w:spacing w:before="96"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bl>
    <w:p w14:paraId="1DD419EF">
      <w:pPr>
        <w:rPr>
          <w:rFonts w:ascii="Arial"/>
          <w:sz w:val="21"/>
        </w:rPr>
      </w:pPr>
    </w:p>
    <w:p w14:paraId="4A4F9756">
      <w:pPr>
        <w:sectPr>
          <w:headerReference r:id="rId187" w:type="default"/>
          <w:footerReference r:id="rId188" w:type="default"/>
          <w:pgSz w:w="11906" w:h="16839"/>
          <w:pgMar w:top="1132" w:right="1776" w:bottom="1182" w:left="1776" w:header="878" w:footer="1022" w:gutter="0"/>
          <w:cols w:space="720" w:num="1"/>
        </w:sectPr>
      </w:pPr>
    </w:p>
    <w:p w14:paraId="0F8BD0E4">
      <w:r>
        <w:pict>
          <v:rect id="_x0000_s1231" o:spid="_x0000_s1231" o:spt="1" style="position:absolute;left:0pt;margin-left:90pt;margin-top:57.35pt;height:0.75pt;width:415.3pt;mso-position-horizontal-relative:page;mso-position-vertical-relative:page;z-index:251883520;mso-width-relative:page;mso-height-relative:page;" fillcolor="#000000" filled="t" stroked="f" coordsize="21600,21600" o:allowincell="f">
            <v:path/>
            <v:fill on="t" focussize="0,0"/>
            <v:stroke on="f"/>
            <v:imagedata o:title=""/>
            <o:lock v:ext="edit"/>
          </v:rect>
        </w:pict>
      </w:r>
    </w:p>
    <w:p w14:paraId="1B818821">
      <w:pPr>
        <w:spacing w:line="65" w:lineRule="exact"/>
      </w:pPr>
    </w:p>
    <w:tbl>
      <w:tblPr>
        <w:tblStyle w:val="4"/>
        <w:tblW w:w="835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2"/>
        <w:gridCol w:w="944"/>
        <w:gridCol w:w="1680"/>
        <w:gridCol w:w="1650"/>
        <w:gridCol w:w="930"/>
        <w:gridCol w:w="1226"/>
        <w:gridCol w:w="705"/>
        <w:gridCol w:w="684"/>
      </w:tblGrid>
      <w:tr w14:paraId="044A0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532" w:type="dxa"/>
            <w:tcBorders>
              <w:left w:val="nil"/>
              <w:right w:val="single" w:color="000000" w:sz="4" w:space="0"/>
            </w:tcBorders>
            <w:vAlign w:val="top"/>
          </w:tcPr>
          <w:p w14:paraId="63AADA2F">
            <w:pPr>
              <w:spacing w:before="111"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4</w:t>
            </w:r>
          </w:p>
        </w:tc>
        <w:tc>
          <w:tcPr>
            <w:tcW w:w="944" w:type="dxa"/>
            <w:vMerge w:val="restart"/>
            <w:tcBorders>
              <w:left w:val="single" w:color="000000" w:sz="4" w:space="0"/>
              <w:bottom w:val="nil"/>
              <w:right w:val="single" w:color="000000" w:sz="4" w:space="0"/>
            </w:tcBorders>
            <w:vAlign w:val="top"/>
          </w:tcPr>
          <w:p w14:paraId="4598166B">
            <w:pPr>
              <w:rPr>
                <w:rFonts w:ascii="Arial"/>
                <w:sz w:val="21"/>
              </w:rPr>
            </w:pPr>
          </w:p>
        </w:tc>
        <w:tc>
          <w:tcPr>
            <w:tcW w:w="1680" w:type="dxa"/>
            <w:tcBorders>
              <w:left w:val="single" w:color="000000" w:sz="4" w:space="0"/>
              <w:right w:val="single" w:color="000000" w:sz="4" w:space="0"/>
            </w:tcBorders>
            <w:vAlign w:val="top"/>
          </w:tcPr>
          <w:p w14:paraId="1526A17F">
            <w:pPr>
              <w:spacing w:before="76" w:line="233" w:lineRule="auto"/>
              <w:ind w:left="196"/>
              <w:rPr>
                <w:rFonts w:ascii="宋体" w:hAnsi="宋体" w:eastAsia="宋体" w:cs="宋体"/>
                <w:sz w:val="20"/>
                <w:szCs w:val="20"/>
              </w:rPr>
            </w:pPr>
            <w:r>
              <w:rPr>
                <w:rFonts w:ascii="Times New Roman" w:hAnsi="Times New Roman" w:eastAsia="Times New Roman" w:cs="Times New Roman"/>
                <w:spacing w:val="-2"/>
                <w:sz w:val="20"/>
                <w:szCs w:val="20"/>
              </w:rPr>
              <w:t>1, 1,2</w:t>
            </w:r>
            <w:r>
              <w:rPr>
                <w:rFonts w:ascii="Times New Roman" w:hAnsi="Times New Roman" w:eastAsia="Times New Roman" w:cs="Times New Roman"/>
                <w:spacing w:val="-1"/>
                <w:sz w:val="20"/>
                <w:szCs w:val="20"/>
              </w:rPr>
              <w:t>-</w:t>
            </w:r>
            <w:r>
              <w:rPr>
                <w:rFonts w:ascii="宋体" w:hAnsi="宋体" w:eastAsia="宋体" w:cs="宋体"/>
                <w:spacing w:val="-1"/>
                <w:sz w:val="20"/>
                <w:szCs w:val="20"/>
              </w:rPr>
              <w:t>三氯乙烷</w:t>
            </w:r>
          </w:p>
        </w:tc>
        <w:tc>
          <w:tcPr>
            <w:tcW w:w="1650" w:type="dxa"/>
            <w:tcBorders>
              <w:left w:val="single" w:color="000000" w:sz="4" w:space="0"/>
              <w:right w:val="single" w:color="000000" w:sz="4" w:space="0"/>
            </w:tcBorders>
            <w:vAlign w:val="top"/>
          </w:tcPr>
          <w:p w14:paraId="7BB1A5EF">
            <w:pPr>
              <w:spacing w:before="30"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1.2μ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784C2B68">
            <w:pPr>
              <w:spacing w:before="111" w:line="198" w:lineRule="auto"/>
              <w:ind w:left="333"/>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5"/>
                <w:sz w:val="20"/>
                <w:szCs w:val="20"/>
              </w:rPr>
              <w:t>.8</w:t>
            </w:r>
          </w:p>
        </w:tc>
        <w:tc>
          <w:tcPr>
            <w:tcW w:w="1226" w:type="dxa"/>
            <w:tcBorders>
              <w:left w:val="single" w:color="000000" w:sz="4" w:space="0"/>
              <w:right w:val="single" w:color="000000" w:sz="4" w:space="0"/>
            </w:tcBorders>
            <w:vAlign w:val="top"/>
          </w:tcPr>
          <w:p w14:paraId="0B8AD0E4">
            <w:pPr>
              <w:spacing w:before="38"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2762798D">
            <w:pPr>
              <w:spacing w:before="111"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15AD761E">
            <w:pPr>
              <w:spacing w:before="111"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695C3E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532" w:type="dxa"/>
            <w:tcBorders>
              <w:left w:val="nil"/>
              <w:right w:val="single" w:color="000000" w:sz="4" w:space="0"/>
            </w:tcBorders>
            <w:vAlign w:val="top"/>
          </w:tcPr>
          <w:p w14:paraId="3A639267">
            <w:pPr>
              <w:spacing w:before="92"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5</w:t>
            </w:r>
          </w:p>
        </w:tc>
        <w:tc>
          <w:tcPr>
            <w:tcW w:w="944" w:type="dxa"/>
            <w:vMerge w:val="continue"/>
            <w:tcBorders>
              <w:top w:val="nil"/>
              <w:left w:val="single" w:color="000000" w:sz="4" w:space="0"/>
              <w:bottom w:val="nil"/>
              <w:right w:val="single" w:color="000000" w:sz="4" w:space="0"/>
            </w:tcBorders>
            <w:vAlign w:val="top"/>
          </w:tcPr>
          <w:p w14:paraId="272D11A4">
            <w:pPr>
              <w:rPr>
                <w:rFonts w:ascii="Arial"/>
                <w:sz w:val="21"/>
              </w:rPr>
            </w:pPr>
          </w:p>
        </w:tc>
        <w:tc>
          <w:tcPr>
            <w:tcW w:w="1680" w:type="dxa"/>
            <w:tcBorders>
              <w:left w:val="single" w:color="000000" w:sz="4" w:space="0"/>
              <w:right w:val="single" w:color="000000" w:sz="4" w:space="0"/>
            </w:tcBorders>
            <w:vAlign w:val="top"/>
          </w:tcPr>
          <w:p w14:paraId="292AFAB0">
            <w:pPr>
              <w:spacing w:before="56" w:line="228" w:lineRule="auto"/>
              <w:ind w:left="422"/>
              <w:rPr>
                <w:rFonts w:ascii="宋体" w:hAnsi="宋体" w:eastAsia="宋体" w:cs="宋体"/>
                <w:sz w:val="20"/>
                <w:szCs w:val="20"/>
              </w:rPr>
            </w:pPr>
            <w:r>
              <w:rPr>
                <w:rFonts w:ascii="宋体" w:hAnsi="宋体" w:eastAsia="宋体" w:cs="宋体"/>
                <w:spacing w:val="8"/>
                <w:sz w:val="20"/>
                <w:szCs w:val="20"/>
              </w:rPr>
              <w:t>三</w:t>
            </w:r>
            <w:r>
              <w:rPr>
                <w:rFonts w:ascii="宋体" w:hAnsi="宋体" w:eastAsia="宋体" w:cs="宋体"/>
                <w:spacing w:val="7"/>
                <w:sz w:val="20"/>
                <w:szCs w:val="20"/>
              </w:rPr>
              <w:t>氯乙烯</w:t>
            </w:r>
          </w:p>
        </w:tc>
        <w:tc>
          <w:tcPr>
            <w:tcW w:w="1650" w:type="dxa"/>
            <w:tcBorders>
              <w:left w:val="single" w:color="000000" w:sz="4" w:space="0"/>
              <w:right w:val="single" w:color="000000" w:sz="4" w:space="0"/>
            </w:tcBorders>
            <w:vAlign w:val="top"/>
          </w:tcPr>
          <w:p w14:paraId="0E02C42A">
            <w:pPr>
              <w:spacing w:before="16"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1.2μ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57DF374B">
            <w:pPr>
              <w:spacing w:before="92" w:line="198" w:lineRule="auto"/>
              <w:ind w:left="333"/>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5"/>
                <w:sz w:val="20"/>
                <w:szCs w:val="20"/>
              </w:rPr>
              <w:t>.8</w:t>
            </w:r>
          </w:p>
        </w:tc>
        <w:tc>
          <w:tcPr>
            <w:tcW w:w="1226" w:type="dxa"/>
            <w:tcBorders>
              <w:left w:val="single" w:color="000000" w:sz="4" w:space="0"/>
              <w:right w:val="single" w:color="000000" w:sz="4" w:space="0"/>
            </w:tcBorders>
            <w:vAlign w:val="top"/>
          </w:tcPr>
          <w:p w14:paraId="450BC347">
            <w:pPr>
              <w:spacing w:before="18"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495EB74E">
            <w:pPr>
              <w:spacing w:before="92"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6845F38F">
            <w:pPr>
              <w:spacing w:before="92"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5C954A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1FE6A77B">
            <w:pPr>
              <w:spacing w:before="93"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6</w:t>
            </w:r>
          </w:p>
        </w:tc>
        <w:tc>
          <w:tcPr>
            <w:tcW w:w="944" w:type="dxa"/>
            <w:vMerge w:val="continue"/>
            <w:tcBorders>
              <w:top w:val="nil"/>
              <w:left w:val="single" w:color="000000" w:sz="4" w:space="0"/>
              <w:bottom w:val="nil"/>
              <w:right w:val="single" w:color="000000" w:sz="4" w:space="0"/>
            </w:tcBorders>
            <w:vAlign w:val="top"/>
          </w:tcPr>
          <w:p w14:paraId="69AF0129">
            <w:pPr>
              <w:rPr>
                <w:rFonts w:ascii="Arial"/>
                <w:sz w:val="21"/>
              </w:rPr>
            </w:pPr>
          </w:p>
        </w:tc>
        <w:tc>
          <w:tcPr>
            <w:tcW w:w="1680" w:type="dxa"/>
            <w:tcBorders>
              <w:left w:val="single" w:color="000000" w:sz="4" w:space="0"/>
              <w:right w:val="single" w:color="000000" w:sz="4" w:space="0"/>
            </w:tcBorders>
            <w:vAlign w:val="top"/>
          </w:tcPr>
          <w:p w14:paraId="233DBCDA">
            <w:pPr>
              <w:spacing w:before="57" w:line="233" w:lineRule="auto"/>
              <w:ind w:left="196"/>
              <w:rPr>
                <w:rFonts w:ascii="宋体" w:hAnsi="宋体" w:eastAsia="宋体" w:cs="宋体"/>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,2,3-</w:t>
            </w:r>
            <w:r>
              <w:rPr>
                <w:rFonts w:ascii="宋体" w:hAnsi="宋体" w:eastAsia="宋体" w:cs="宋体"/>
                <w:spacing w:val="3"/>
                <w:sz w:val="20"/>
                <w:szCs w:val="20"/>
              </w:rPr>
              <w:t>三氯丙烷</w:t>
            </w:r>
          </w:p>
        </w:tc>
        <w:tc>
          <w:tcPr>
            <w:tcW w:w="1650" w:type="dxa"/>
            <w:tcBorders>
              <w:left w:val="single" w:color="000000" w:sz="4" w:space="0"/>
              <w:right w:val="single" w:color="000000" w:sz="4" w:space="0"/>
            </w:tcBorders>
            <w:vAlign w:val="top"/>
          </w:tcPr>
          <w:p w14:paraId="10BC35F9">
            <w:pPr>
              <w:spacing w:before="17"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1.2μ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1481FB9A">
            <w:pPr>
              <w:spacing w:before="93" w:line="195" w:lineRule="auto"/>
              <w:ind w:left="33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.5</w:t>
            </w:r>
          </w:p>
        </w:tc>
        <w:tc>
          <w:tcPr>
            <w:tcW w:w="1226" w:type="dxa"/>
            <w:tcBorders>
              <w:left w:val="single" w:color="000000" w:sz="4" w:space="0"/>
              <w:right w:val="single" w:color="000000" w:sz="4" w:space="0"/>
            </w:tcBorders>
            <w:vAlign w:val="top"/>
          </w:tcPr>
          <w:p w14:paraId="461F7640">
            <w:pPr>
              <w:spacing w:before="19"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4130FD32">
            <w:pPr>
              <w:spacing w:before="93"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4E38106E">
            <w:pPr>
              <w:spacing w:before="93"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69F556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4EC3A56B">
            <w:pPr>
              <w:spacing w:before="92"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7</w:t>
            </w:r>
          </w:p>
        </w:tc>
        <w:tc>
          <w:tcPr>
            <w:tcW w:w="944" w:type="dxa"/>
            <w:vMerge w:val="continue"/>
            <w:tcBorders>
              <w:top w:val="nil"/>
              <w:left w:val="single" w:color="000000" w:sz="4" w:space="0"/>
              <w:bottom w:val="nil"/>
              <w:right w:val="single" w:color="000000" w:sz="4" w:space="0"/>
            </w:tcBorders>
            <w:vAlign w:val="top"/>
          </w:tcPr>
          <w:p w14:paraId="1F33A9BB">
            <w:pPr>
              <w:rPr>
                <w:rFonts w:ascii="Arial"/>
                <w:sz w:val="21"/>
              </w:rPr>
            </w:pPr>
          </w:p>
        </w:tc>
        <w:tc>
          <w:tcPr>
            <w:tcW w:w="1680" w:type="dxa"/>
            <w:tcBorders>
              <w:left w:val="single" w:color="000000" w:sz="4" w:space="0"/>
              <w:right w:val="single" w:color="000000" w:sz="4" w:space="0"/>
            </w:tcBorders>
            <w:vAlign w:val="top"/>
          </w:tcPr>
          <w:p w14:paraId="3BA4AC50">
            <w:pPr>
              <w:spacing w:before="56" w:line="228" w:lineRule="auto"/>
              <w:ind w:left="531"/>
              <w:rPr>
                <w:rFonts w:ascii="宋体" w:hAnsi="宋体" w:eastAsia="宋体" w:cs="宋体"/>
                <w:sz w:val="20"/>
                <w:szCs w:val="20"/>
              </w:rPr>
            </w:pPr>
            <w:r>
              <w:rPr>
                <w:rFonts w:ascii="宋体" w:hAnsi="宋体" w:eastAsia="宋体" w:cs="宋体"/>
                <w:spacing w:val="6"/>
                <w:sz w:val="20"/>
                <w:szCs w:val="20"/>
              </w:rPr>
              <w:t>氯乙</w:t>
            </w:r>
            <w:r>
              <w:rPr>
                <w:rFonts w:ascii="宋体" w:hAnsi="宋体" w:eastAsia="宋体" w:cs="宋体"/>
                <w:spacing w:val="5"/>
                <w:sz w:val="20"/>
                <w:szCs w:val="20"/>
              </w:rPr>
              <w:t>烯</w:t>
            </w:r>
          </w:p>
        </w:tc>
        <w:tc>
          <w:tcPr>
            <w:tcW w:w="1650" w:type="dxa"/>
            <w:tcBorders>
              <w:left w:val="single" w:color="000000" w:sz="4" w:space="0"/>
              <w:right w:val="single" w:color="000000" w:sz="4" w:space="0"/>
            </w:tcBorders>
            <w:vAlign w:val="top"/>
          </w:tcPr>
          <w:p w14:paraId="7238EA5B">
            <w:pPr>
              <w:spacing w:before="17"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1.0μ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6A5344F5">
            <w:pPr>
              <w:spacing w:before="93" w:line="195" w:lineRule="auto"/>
              <w:ind w:left="28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.43</w:t>
            </w:r>
          </w:p>
        </w:tc>
        <w:tc>
          <w:tcPr>
            <w:tcW w:w="1226" w:type="dxa"/>
            <w:tcBorders>
              <w:left w:val="single" w:color="000000" w:sz="4" w:space="0"/>
              <w:right w:val="single" w:color="000000" w:sz="4" w:space="0"/>
            </w:tcBorders>
            <w:vAlign w:val="top"/>
          </w:tcPr>
          <w:p w14:paraId="3A50656A">
            <w:pPr>
              <w:spacing w:before="19"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6A4C368C">
            <w:pPr>
              <w:spacing w:before="92"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7751FE8C">
            <w:pPr>
              <w:spacing w:before="92"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29F6A2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72D41ED0">
            <w:pPr>
              <w:spacing w:before="92"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8</w:t>
            </w:r>
          </w:p>
        </w:tc>
        <w:tc>
          <w:tcPr>
            <w:tcW w:w="944" w:type="dxa"/>
            <w:vMerge w:val="continue"/>
            <w:tcBorders>
              <w:top w:val="nil"/>
              <w:left w:val="single" w:color="000000" w:sz="4" w:space="0"/>
              <w:bottom w:val="nil"/>
              <w:right w:val="single" w:color="000000" w:sz="4" w:space="0"/>
            </w:tcBorders>
            <w:vAlign w:val="top"/>
          </w:tcPr>
          <w:p w14:paraId="7EACA52C">
            <w:pPr>
              <w:rPr>
                <w:rFonts w:ascii="Arial"/>
                <w:sz w:val="21"/>
              </w:rPr>
            </w:pPr>
          </w:p>
        </w:tc>
        <w:tc>
          <w:tcPr>
            <w:tcW w:w="1680" w:type="dxa"/>
            <w:tcBorders>
              <w:left w:val="single" w:color="000000" w:sz="4" w:space="0"/>
              <w:right w:val="single" w:color="000000" w:sz="4" w:space="0"/>
            </w:tcBorders>
            <w:vAlign w:val="top"/>
          </w:tcPr>
          <w:p w14:paraId="0B20D5A5">
            <w:pPr>
              <w:spacing w:before="56" w:line="227" w:lineRule="auto"/>
              <w:ind w:left="741"/>
              <w:rPr>
                <w:rFonts w:ascii="宋体" w:hAnsi="宋体" w:eastAsia="宋体" w:cs="宋体"/>
                <w:sz w:val="20"/>
                <w:szCs w:val="20"/>
              </w:rPr>
            </w:pPr>
            <w:r>
              <w:rPr>
                <w:rFonts w:ascii="宋体" w:hAnsi="宋体" w:eastAsia="宋体" w:cs="宋体"/>
                <w:sz w:val="20"/>
                <w:szCs w:val="20"/>
              </w:rPr>
              <w:t>苯</w:t>
            </w:r>
          </w:p>
        </w:tc>
        <w:tc>
          <w:tcPr>
            <w:tcW w:w="1650" w:type="dxa"/>
            <w:tcBorders>
              <w:left w:val="single" w:color="000000" w:sz="4" w:space="0"/>
              <w:right w:val="single" w:color="000000" w:sz="4" w:space="0"/>
            </w:tcBorders>
            <w:vAlign w:val="top"/>
          </w:tcPr>
          <w:p w14:paraId="416DFFA0">
            <w:pPr>
              <w:spacing w:before="19" w:line="281" w:lineRule="exact"/>
              <w:ind w:left="402"/>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71.9μ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5"/>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06EC0745">
            <w:pPr>
              <w:spacing w:before="92" w:line="195" w:lineRule="auto"/>
              <w:ind w:left="41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226" w:type="dxa"/>
            <w:tcBorders>
              <w:left w:val="single" w:color="000000" w:sz="4" w:space="0"/>
              <w:right w:val="single" w:color="000000" w:sz="4" w:space="0"/>
            </w:tcBorders>
            <w:vAlign w:val="top"/>
          </w:tcPr>
          <w:p w14:paraId="43957F3A">
            <w:pPr>
              <w:spacing w:before="93" w:line="195" w:lineRule="auto"/>
              <w:ind w:left="4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w:t>
            </w:r>
          </w:p>
        </w:tc>
        <w:tc>
          <w:tcPr>
            <w:tcW w:w="705" w:type="dxa"/>
            <w:tcBorders>
              <w:left w:val="single" w:color="000000" w:sz="4" w:space="0"/>
            </w:tcBorders>
            <w:vAlign w:val="top"/>
          </w:tcPr>
          <w:p w14:paraId="3614E2E7">
            <w:pPr>
              <w:spacing w:before="92"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30F8D3D2">
            <w:pPr>
              <w:spacing w:before="92"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2B3DB2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1AA9E83B">
            <w:pPr>
              <w:spacing w:before="92"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9</w:t>
            </w:r>
          </w:p>
        </w:tc>
        <w:tc>
          <w:tcPr>
            <w:tcW w:w="944" w:type="dxa"/>
            <w:vMerge w:val="continue"/>
            <w:tcBorders>
              <w:top w:val="nil"/>
              <w:left w:val="single" w:color="000000" w:sz="4" w:space="0"/>
              <w:bottom w:val="nil"/>
              <w:right w:val="single" w:color="000000" w:sz="4" w:space="0"/>
            </w:tcBorders>
            <w:vAlign w:val="top"/>
          </w:tcPr>
          <w:p w14:paraId="7A76CC9A">
            <w:pPr>
              <w:rPr>
                <w:rFonts w:ascii="Arial"/>
                <w:sz w:val="21"/>
              </w:rPr>
            </w:pPr>
          </w:p>
        </w:tc>
        <w:tc>
          <w:tcPr>
            <w:tcW w:w="1680" w:type="dxa"/>
            <w:tcBorders>
              <w:left w:val="single" w:color="000000" w:sz="4" w:space="0"/>
              <w:right w:val="single" w:color="000000" w:sz="4" w:space="0"/>
            </w:tcBorders>
            <w:vAlign w:val="top"/>
          </w:tcPr>
          <w:p w14:paraId="657D5DAD">
            <w:pPr>
              <w:spacing w:before="56" w:line="227" w:lineRule="auto"/>
              <w:ind w:left="636"/>
              <w:rPr>
                <w:rFonts w:ascii="宋体" w:hAnsi="宋体" w:eastAsia="宋体" w:cs="宋体"/>
                <w:sz w:val="20"/>
                <w:szCs w:val="20"/>
              </w:rPr>
            </w:pPr>
            <w:r>
              <w:rPr>
                <w:rFonts w:ascii="宋体" w:hAnsi="宋体" w:eastAsia="宋体" w:cs="宋体"/>
                <w:spacing w:val="3"/>
                <w:sz w:val="20"/>
                <w:szCs w:val="20"/>
              </w:rPr>
              <w:t>氯苯</w:t>
            </w:r>
          </w:p>
        </w:tc>
        <w:tc>
          <w:tcPr>
            <w:tcW w:w="1650" w:type="dxa"/>
            <w:tcBorders>
              <w:left w:val="single" w:color="000000" w:sz="4" w:space="0"/>
              <w:right w:val="single" w:color="000000" w:sz="4" w:space="0"/>
            </w:tcBorders>
            <w:vAlign w:val="top"/>
          </w:tcPr>
          <w:p w14:paraId="1EC56EED">
            <w:pPr>
              <w:spacing w:before="16"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1.2μ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3E08645D">
            <w:pPr>
              <w:spacing w:before="92" w:line="195" w:lineRule="auto"/>
              <w:ind w:left="306"/>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70</w:t>
            </w:r>
          </w:p>
        </w:tc>
        <w:tc>
          <w:tcPr>
            <w:tcW w:w="1226" w:type="dxa"/>
            <w:tcBorders>
              <w:left w:val="single" w:color="000000" w:sz="4" w:space="0"/>
              <w:right w:val="single" w:color="000000" w:sz="4" w:space="0"/>
            </w:tcBorders>
            <w:vAlign w:val="top"/>
          </w:tcPr>
          <w:p w14:paraId="2D3F9BD2">
            <w:pPr>
              <w:spacing w:before="19"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25D26558">
            <w:pPr>
              <w:spacing w:before="92"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4192C934">
            <w:pPr>
              <w:spacing w:before="92"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5C0D9C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532" w:type="dxa"/>
            <w:tcBorders>
              <w:left w:val="nil"/>
              <w:right w:val="single" w:color="000000" w:sz="4" w:space="0"/>
            </w:tcBorders>
            <w:vAlign w:val="top"/>
          </w:tcPr>
          <w:p w14:paraId="414268A2">
            <w:pPr>
              <w:spacing w:before="92"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0</w:t>
            </w:r>
          </w:p>
        </w:tc>
        <w:tc>
          <w:tcPr>
            <w:tcW w:w="944" w:type="dxa"/>
            <w:vMerge w:val="continue"/>
            <w:tcBorders>
              <w:top w:val="nil"/>
              <w:left w:val="single" w:color="000000" w:sz="4" w:space="0"/>
              <w:bottom w:val="nil"/>
              <w:right w:val="single" w:color="000000" w:sz="4" w:space="0"/>
            </w:tcBorders>
            <w:vAlign w:val="top"/>
          </w:tcPr>
          <w:p w14:paraId="5A8B1E1C">
            <w:pPr>
              <w:rPr>
                <w:rFonts w:ascii="Arial"/>
                <w:sz w:val="21"/>
              </w:rPr>
            </w:pPr>
          </w:p>
        </w:tc>
        <w:tc>
          <w:tcPr>
            <w:tcW w:w="1680" w:type="dxa"/>
            <w:tcBorders>
              <w:left w:val="single" w:color="000000" w:sz="4" w:space="0"/>
              <w:right w:val="single" w:color="000000" w:sz="4" w:space="0"/>
            </w:tcBorders>
            <w:vAlign w:val="top"/>
          </w:tcPr>
          <w:p w14:paraId="4A69EFFF">
            <w:pPr>
              <w:spacing w:before="56" w:line="232" w:lineRule="auto"/>
              <w:ind w:left="378"/>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w:t>
            </w:r>
            <w:r>
              <w:rPr>
                <w:rFonts w:ascii="宋体" w:hAnsi="宋体" w:eastAsia="宋体" w:cs="宋体"/>
                <w:spacing w:val="2"/>
                <w:sz w:val="20"/>
                <w:szCs w:val="20"/>
              </w:rPr>
              <w:t>二氯苯</w:t>
            </w:r>
          </w:p>
        </w:tc>
        <w:tc>
          <w:tcPr>
            <w:tcW w:w="1650" w:type="dxa"/>
            <w:tcBorders>
              <w:left w:val="single" w:color="000000" w:sz="4" w:space="0"/>
              <w:right w:val="single" w:color="000000" w:sz="4" w:space="0"/>
            </w:tcBorders>
            <w:vAlign w:val="top"/>
          </w:tcPr>
          <w:p w14:paraId="30838084">
            <w:pPr>
              <w:spacing w:before="18"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1.5μ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06FBAE71">
            <w:pPr>
              <w:spacing w:before="92" w:line="195" w:lineRule="auto"/>
              <w:ind w:left="31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56</w:t>
            </w:r>
            <w:r>
              <w:rPr>
                <w:rFonts w:ascii="Times New Roman" w:hAnsi="Times New Roman" w:eastAsia="Times New Roman" w:cs="Times New Roman"/>
                <w:spacing w:val="1"/>
                <w:sz w:val="20"/>
                <w:szCs w:val="20"/>
              </w:rPr>
              <w:t>0</w:t>
            </w:r>
          </w:p>
        </w:tc>
        <w:tc>
          <w:tcPr>
            <w:tcW w:w="1226" w:type="dxa"/>
            <w:tcBorders>
              <w:left w:val="single" w:color="000000" w:sz="4" w:space="0"/>
              <w:right w:val="single" w:color="000000" w:sz="4" w:space="0"/>
            </w:tcBorders>
            <w:vAlign w:val="top"/>
          </w:tcPr>
          <w:p w14:paraId="316FD8E8">
            <w:pPr>
              <w:spacing w:before="18"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57E84626">
            <w:pPr>
              <w:spacing w:before="92"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1282C277">
            <w:pPr>
              <w:spacing w:before="92"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520B37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321A69DF">
            <w:pPr>
              <w:spacing w:before="93"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1</w:t>
            </w:r>
          </w:p>
        </w:tc>
        <w:tc>
          <w:tcPr>
            <w:tcW w:w="944" w:type="dxa"/>
            <w:vMerge w:val="continue"/>
            <w:tcBorders>
              <w:top w:val="nil"/>
              <w:left w:val="single" w:color="000000" w:sz="4" w:space="0"/>
              <w:bottom w:val="nil"/>
              <w:right w:val="single" w:color="000000" w:sz="4" w:space="0"/>
            </w:tcBorders>
            <w:vAlign w:val="top"/>
          </w:tcPr>
          <w:p w14:paraId="09EAD08B">
            <w:pPr>
              <w:rPr>
                <w:rFonts w:ascii="Arial"/>
                <w:sz w:val="21"/>
              </w:rPr>
            </w:pPr>
          </w:p>
        </w:tc>
        <w:tc>
          <w:tcPr>
            <w:tcW w:w="1680" w:type="dxa"/>
            <w:tcBorders>
              <w:left w:val="single" w:color="000000" w:sz="4" w:space="0"/>
              <w:right w:val="single" w:color="000000" w:sz="4" w:space="0"/>
            </w:tcBorders>
            <w:vAlign w:val="top"/>
          </w:tcPr>
          <w:p w14:paraId="2A7A232E">
            <w:pPr>
              <w:spacing w:before="57" w:line="232" w:lineRule="auto"/>
              <w:ind w:left="378"/>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4</w:t>
            </w:r>
            <w:r>
              <w:rPr>
                <w:rFonts w:ascii="Times New Roman" w:hAnsi="Times New Roman" w:eastAsia="Times New Roman" w:cs="Times New Roman"/>
                <w:spacing w:val="2"/>
                <w:sz w:val="20"/>
                <w:szCs w:val="20"/>
              </w:rPr>
              <w:t>-</w:t>
            </w:r>
            <w:r>
              <w:rPr>
                <w:rFonts w:ascii="宋体" w:hAnsi="宋体" w:eastAsia="宋体" w:cs="宋体"/>
                <w:spacing w:val="2"/>
                <w:sz w:val="20"/>
                <w:szCs w:val="20"/>
              </w:rPr>
              <w:t>二氯苯</w:t>
            </w:r>
          </w:p>
        </w:tc>
        <w:tc>
          <w:tcPr>
            <w:tcW w:w="1650" w:type="dxa"/>
            <w:tcBorders>
              <w:left w:val="single" w:color="000000" w:sz="4" w:space="0"/>
              <w:right w:val="single" w:color="000000" w:sz="4" w:space="0"/>
            </w:tcBorders>
            <w:vAlign w:val="top"/>
          </w:tcPr>
          <w:p w14:paraId="3FFBBEA0">
            <w:pPr>
              <w:spacing w:before="19"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1.5μ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72491192">
            <w:pPr>
              <w:spacing w:before="93" w:line="195" w:lineRule="auto"/>
              <w:ind w:left="35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0</w:t>
            </w:r>
          </w:p>
        </w:tc>
        <w:tc>
          <w:tcPr>
            <w:tcW w:w="1226" w:type="dxa"/>
            <w:tcBorders>
              <w:left w:val="single" w:color="000000" w:sz="4" w:space="0"/>
              <w:right w:val="single" w:color="000000" w:sz="4" w:space="0"/>
            </w:tcBorders>
            <w:vAlign w:val="top"/>
          </w:tcPr>
          <w:p w14:paraId="6E1589DB">
            <w:pPr>
              <w:spacing w:before="19"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7E131222">
            <w:pPr>
              <w:spacing w:before="93"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7404DC48">
            <w:pPr>
              <w:spacing w:before="93"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6E7DF8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532" w:type="dxa"/>
            <w:tcBorders>
              <w:left w:val="nil"/>
              <w:right w:val="single" w:color="000000" w:sz="4" w:space="0"/>
            </w:tcBorders>
            <w:vAlign w:val="top"/>
          </w:tcPr>
          <w:p w14:paraId="1F29AEE8">
            <w:pPr>
              <w:spacing w:before="92"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2</w:t>
            </w:r>
          </w:p>
        </w:tc>
        <w:tc>
          <w:tcPr>
            <w:tcW w:w="944" w:type="dxa"/>
            <w:vMerge w:val="continue"/>
            <w:tcBorders>
              <w:top w:val="nil"/>
              <w:left w:val="single" w:color="000000" w:sz="4" w:space="0"/>
              <w:bottom w:val="nil"/>
              <w:right w:val="single" w:color="000000" w:sz="4" w:space="0"/>
            </w:tcBorders>
            <w:vAlign w:val="top"/>
          </w:tcPr>
          <w:p w14:paraId="3B767D79">
            <w:pPr>
              <w:rPr>
                <w:rFonts w:ascii="Arial"/>
                <w:sz w:val="21"/>
              </w:rPr>
            </w:pPr>
          </w:p>
        </w:tc>
        <w:tc>
          <w:tcPr>
            <w:tcW w:w="1680" w:type="dxa"/>
            <w:tcBorders>
              <w:left w:val="single" w:color="000000" w:sz="4" w:space="0"/>
              <w:right w:val="single" w:color="000000" w:sz="4" w:space="0"/>
            </w:tcBorders>
            <w:vAlign w:val="top"/>
          </w:tcPr>
          <w:p w14:paraId="2DF619DA">
            <w:pPr>
              <w:spacing w:before="56" w:line="227" w:lineRule="auto"/>
              <w:ind w:left="653"/>
              <w:rPr>
                <w:rFonts w:ascii="宋体" w:hAnsi="宋体" w:eastAsia="宋体" w:cs="宋体"/>
                <w:sz w:val="20"/>
                <w:szCs w:val="20"/>
              </w:rPr>
            </w:pPr>
            <w:r>
              <w:rPr>
                <w:rFonts w:ascii="宋体" w:hAnsi="宋体" w:eastAsia="宋体" w:cs="宋体"/>
                <w:spacing w:val="-6"/>
                <w:sz w:val="20"/>
                <w:szCs w:val="20"/>
              </w:rPr>
              <w:t>乙</w:t>
            </w:r>
            <w:r>
              <w:rPr>
                <w:rFonts w:ascii="宋体" w:hAnsi="宋体" w:eastAsia="宋体" w:cs="宋体"/>
                <w:spacing w:val="-5"/>
                <w:sz w:val="20"/>
                <w:szCs w:val="20"/>
              </w:rPr>
              <w:t>苯</w:t>
            </w:r>
          </w:p>
        </w:tc>
        <w:tc>
          <w:tcPr>
            <w:tcW w:w="1650" w:type="dxa"/>
            <w:tcBorders>
              <w:left w:val="single" w:color="000000" w:sz="4" w:space="0"/>
              <w:right w:val="single" w:color="000000" w:sz="4" w:space="0"/>
            </w:tcBorders>
            <w:vAlign w:val="top"/>
          </w:tcPr>
          <w:p w14:paraId="13955540">
            <w:pPr>
              <w:spacing w:before="19" w:line="281" w:lineRule="exact"/>
              <w:ind w:left="403"/>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63.6μ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57E1FC7E">
            <w:pPr>
              <w:spacing w:before="92" w:line="195" w:lineRule="auto"/>
              <w:ind w:left="35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8</w:t>
            </w:r>
          </w:p>
        </w:tc>
        <w:tc>
          <w:tcPr>
            <w:tcW w:w="1226" w:type="dxa"/>
            <w:tcBorders>
              <w:left w:val="single" w:color="000000" w:sz="4" w:space="0"/>
              <w:right w:val="single" w:color="000000" w:sz="4" w:space="0"/>
            </w:tcBorders>
            <w:vAlign w:val="top"/>
          </w:tcPr>
          <w:p w14:paraId="53897556">
            <w:pPr>
              <w:spacing w:before="93" w:line="195" w:lineRule="auto"/>
              <w:ind w:left="38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.002</w:t>
            </w:r>
          </w:p>
        </w:tc>
        <w:tc>
          <w:tcPr>
            <w:tcW w:w="705" w:type="dxa"/>
            <w:tcBorders>
              <w:left w:val="single" w:color="000000" w:sz="4" w:space="0"/>
            </w:tcBorders>
            <w:vAlign w:val="top"/>
          </w:tcPr>
          <w:p w14:paraId="5A784024">
            <w:pPr>
              <w:spacing w:before="92"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51300E54">
            <w:pPr>
              <w:spacing w:before="92"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1407E1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494863B3">
            <w:pPr>
              <w:spacing w:before="93"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3</w:t>
            </w:r>
          </w:p>
        </w:tc>
        <w:tc>
          <w:tcPr>
            <w:tcW w:w="944" w:type="dxa"/>
            <w:vMerge w:val="continue"/>
            <w:tcBorders>
              <w:top w:val="nil"/>
              <w:left w:val="single" w:color="000000" w:sz="4" w:space="0"/>
              <w:bottom w:val="nil"/>
              <w:right w:val="single" w:color="000000" w:sz="4" w:space="0"/>
            </w:tcBorders>
            <w:vAlign w:val="top"/>
          </w:tcPr>
          <w:p w14:paraId="3139455E">
            <w:pPr>
              <w:rPr>
                <w:rFonts w:ascii="Arial"/>
                <w:sz w:val="21"/>
              </w:rPr>
            </w:pPr>
          </w:p>
        </w:tc>
        <w:tc>
          <w:tcPr>
            <w:tcW w:w="1680" w:type="dxa"/>
            <w:tcBorders>
              <w:left w:val="single" w:color="000000" w:sz="4" w:space="0"/>
              <w:right w:val="single" w:color="000000" w:sz="4" w:space="0"/>
            </w:tcBorders>
            <w:vAlign w:val="top"/>
          </w:tcPr>
          <w:p w14:paraId="0B06A709">
            <w:pPr>
              <w:spacing w:before="57" w:line="227" w:lineRule="auto"/>
              <w:ind w:left="530"/>
              <w:rPr>
                <w:rFonts w:ascii="宋体" w:hAnsi="宋体" w:eastAsia="宋体" w:cs="宋体"/>
                <w:sz w:val="20"/>
                <w:szCs w:val="20"/>
              </w:rPr>
            </w:pPr>
            <w:r>
              <w:rPr>
                <w:rFonts w:ascii="宋体" w:hAnsi="宋体" w:eastAsia="宋体" w:cs="宋体"/>
                <w:spacing w:val="6"/>
                <w:sz w:val="20"/>
                <w:szCs w:val="20"/>
              </w:rPr>
              <w:t>苯乙烯</w:t>
            </w:r>
          </w:p>
        </w:tc>
        <w:tc>
          <w:tcPr>
            <w:tcW w:w="1650" w:type="dxa"/>
            <w:tcBorders>
              <w:left w:val="single" w:color="000000" w:sz="4" w:space="0"/>
              <w:right w:val="single" w:color="000000" w:sz="4" w:space="0"/>
            </w:tcBorders>
            <w:vAlign w:val="top"/>
          </w:tcPr>
          <w:p w14:paraId="57C4F29C">
            <w:pPr>
              <w:spacing w:before="20" w:line="281" w:lineRule="exact"/>
              <w:ind w:left="398"/>
              <w:rPr>
                <w:rFonts w:ascii="Times New Roman" w:hAnsi="Times New Roman" w:eastAsia="Times New Roman" w:cs="Times New Roman"/>
                <w:sz w:val="20"/>
                <w:szCs w:val="20"/>
              </w:rPr>
            </w:pPr>
            <w:r>
              <w:rPr>
                <w:rFonts w:ascii="Times New Roman" w:hAnsi="Times New Roman" w:eastAsia="Times New Roman" w:cs="Times New Roman"/>
                <w:spacing w:val="9"/>
                <w:position w:val="2"/>
                <w:sz w:val="20"/>
                <w:szCs w:val="20"/>
              </w:rPr>
              <w:t>4</w:t>
            </w:r>
            <w:r>
              <w:rPr>
                <w:rFonts w:ascii="Times New Roman" w:hAnsi="Times New Roman" w:eastAsia="Times New Roman" w:cs="Times New Roman"/>
                <w:spacing w:val="5"/>
                <w:position w:val="2"/>
                <w:sz w:val="20"/>
                <w:szCs w:val="20"/>
              </w:rPr>
              <w:t>2.3μ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5"/>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6DDDC4E4">
            <w:pPr>
              <w:spacing w:before="93" w:line="195" w:lineRule="auto"/>
              <w:ind w:left="27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12</w:t>
            </w:r>
            <w:r>
              <w:rPr>
                <w:rFonts w:ascii="Times New Roman" w:hAnsi="Times New Roman" w:eastAsia="Times New Roman" w:cs="Times New Roman"/>
                <w:spacing w:val="-1"/>
                <w:sz w:val="20"/>
                <w:szCs w:val="20"/>
              </w:rPr>
              <w:t>90</w:t>
            </w:r>
          </w:p>
        </w:tc>
        <w:tc>
          <w:tcPr>
            <w:tcW w:w="1226" w:type="dxa"/>
            <w:tcBorders>
              <w:left w:val="single" w:color="000000" w:sz="4" w:space="0"/>
              <w:right w:val="single" w:color="000000" w:sz="4" w:space="0"/>
            </w:tcBorders>
            <w:vAlign w:val="top"/>
          </w:tcPr>
          <w:p w14:paraId="06429573">
            <w:pPr>
              <w:spacing w:before="94"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00003</w:t>
            </w:r>
          </w:p>
        </w:tc>
        <w:tc>
          <w:tcPr>
            <w:tcW w:w="705" w:type="dxa"/>
            <w:tcBorders>
              <w:left w:val="single" w:color="000000" w:sz="4" w:space="0"/>
            </w:tcBorders>
            <w:vAlign w:val="top"/>
          </w:tcPr>
          <w:p w14:paraId="5010AC22">
            <w:pPr>
              <w:spacing w:before="93"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2A83E58B">
            <w:pPr>
              <w:spacing w:before="93"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B39C4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59DDD4C9">
            <w:pPr>
              <w:spacing w:before="93"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4</w:t>
            </w:r>
          </w:p>
        </w:tc>
        <w:tc>
          <w:tcPr>
            <w:tcW w:w="944" w:type="dxa"/>
            <w:vMerge w:val="continue"/>
            <w:tcBorders>
              <w:top w:val="nil"/>
              <w:left w:val="single" w:color="000000" w:sz="4" w:space="0"/>
              <w:bottom w:val="nil"/>
              <w:right w:val="single" w:color="000000" w:sz="4" w:space="0"/>
            </w:tcBorders>
            <w:vAlign w:val="top"/>
          </w:tcPr>
          <w:p w14:paraId="054B3FED">
            <w:pPr>
              <w:rPr>
                <w:rFonts w:ascii="Arial"/>
                <w:sz w:val="21"/>
              </w:rPr>
            </w:pPr>
          </w:p>
        </w:tc>
        <w:tc>
          <w:tcPr>
            <w:tcW w:w="1680" w:type="dxa"/>
            <w:tcBorders>
              <w:left w:val="single" w:color="000000" w:sz="4" w:space="0"/>
              <w:right w:val="single" w:color="000000" w:sz="4" w:space="0"/>
            </w:tcBorders>
            <w:vAlign w:val="top"/>
          </w:tcPr>
          <w:p w14:paraId="023B6275">
            <w:pPr>
              <w:spacing w:before="57" w:line="227" w:lineRule="auto"/>
              <w:ind w:left="660"/>
              <w:rPr>
                <w:rFonts w:ascii="宋体" w:hAnsi="宋体" w:eastAsia="宋体" w:cs="宋体"/>
                <w:sz w:val="20"/>
                <w:szCs w:val="20"/>
              </w:rPr>
            </w:pPr>
            <w:r>
              <w:rPr>
                <w:rFonts w:ascii="宋体" w:hAnsi="宋体" w:eastAsia="宋体" w:cs="宋体"/>
                <w:spacing w:val="-10"/>
                <w:sz w:val="20"/>
                <w:szCs w:val="20"/>
              </w:rPr>
              <w:t>甲</w:t>
            </w:r>
            <w:r>
              <w:rPr>
                <w:rFonts w:ascii="宋体" w:hAnsi="宋体" w:eastAsia="宋体" w:cs="宋体"/>
                <w:spacing w:val="-8"/>
                <w:sz w:val="20"/>
                <w:szCs w:val="20"/>
              </w:rPr>
              <w:t>苯</w:t>
            </w:r>
          </w:p>
        </w:tc>
        <w:tc>
          <w:tcPr>
            <w:tcW w:w="1650" w:type="dxa"/>
            <w:tcBorders>
              <w:left w:val="single" w:color="000000" w:sz="4" w:space="0"/>
              <w:right w:val="single" w:color="000000" w:sz="4" w:space="0"/>
            </w:tcBorders>
            <w:vAlign w:val="top"/>
          </w:tcPr>
          <w:p w14:paraId="53DCD18D">
            <w:pPr>
              <w:spacing w:before="20" w:line="281" w:lineRule="exact"/>
              <w:ind w:left="403"/>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98.8μ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50EBE695">
            <w:pPr>
              <w:spacing w:before="93" w:line="195" w:lineRule="auto"/>
              <w:ind w:left="27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12</w:t>
            </w:r>
            <w:r>
              <w:rPr>
                <w:rFonts w:ascii="Times New Roman" w:hAnsi="Times New Roman" w:eastAsia="Times New Roman" w:cs="Times New Roman"/>
                <w:spacing w:val="-1"/>
                <w:sz w:val="20"/>
                <w:szCs w:val="20"/>
              </w:rPr>
              <w:t>00</w:t>
            </w:r>
          </w:p>
        </w:tc>
        <w:tc>
          <w:tcPr>
            <w:tcW w:w="1226" w:type="dxa"/>
            <w:tcBorders>
              <w:left w:val="single" w:color="000000" w:sz="4" w:space="0"/>
              <w:right w:val="single" w:color="000000" w:sz="4" w:space="0"/>
            </w:tcBorders>
            <w:vAlign w:val="top"/>
          </w:tcPr>
          <w:p w14:paraId="179F92FD">
            <w:pPr>
              <w:spacing w:before="93" w:line="195" w:lineRule="auto"/>
              <w:ind w:left="32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.0001</w:t>
            </w:r>
          </w:p>
        </w:tc>
        <w:tc>
          <w:tcPr>
            <w:tcW w:w="705" w:type="dxa"/>
            <w:tcBorders>
              <w:left w:val="single" w:color="000000" w:sz="4" w:space="0"/>
            </w:tcBorders>
            <w:vAlign w:val="top"/>
          </w:tcPr>
          <w:p w14:paraId="0EB5AECE">
            <w:pPr>
              <w:spacing w:before="93"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44727D2E">
            <w:pPr>
              <w:spacing w:before="93"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2078F7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532" w:type="dxa"/>
            <w:tcBorders>
              <w:left w:val="nil"/>
              <w:right w:val="single" w:color="000000" w:sz="4" w:space="0"/>
            </w:tcBorders>
            <w:vAlign w:val="top"/>
          </w:tcPr>
          <w:p w14:paraId="3FA65AE0">
            <w:pPr>
              <w:spacing w:before="93"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5</w:t>
            </w:r>
          </w:p>
        </w:tc>
        <w:tc>
          <w:tcPr>
            <w:tcW w:w="944" w:type="dxa"/>
            <w:vMerge w:val="continue"/>
            <w:tcBorders>
              <w:top w:val="nil"/>
              <w:left w:val="single" w:color="000000" w:sz="4" w:space="0"/>
              <w:bottom w:val="nil"/>
              <w:right w:val="single" w:color="000000" w:sz="4" w:space="0"/>
            </w:tcBorders>
            <w:vAlign w:val="top"/>
          </w:tcPr>
          <w:p w14:paraId="0BBB7A6D">
            <w:pPr>
              <w:rPr>
                <w:rFonts w:ascii="Arial"/>
                <w:sz w:val="21"/>
              </w:rPr>
            </w:pPr>
          </w:p>
        </w:tc>
        <w:tc>
          <w:tcPr>
            <w:tcW w:w="1680" w:type="dxa"/>
            <w:tcBorders>
              <w:left w:val="single" w:color="000000" w:sz="4" w:space="0"/>
              <w:right w:val="single" w:color="000000" w:sz="4" w:space="0"/>
            </w:tcBorders>
            <w:vAlign w:val="top"/>
          </w:tcPr>
          <w:p w14:paraId="481AE36A">
            <w:pPr>
              <w:spacing w:before="19" w:line="281" w:lineRule="exact"/>
              <w:ind w:left="306"/>
              <w:rPr>
                <w:rFonts w:ascii="宋体" w:hAnsi="宋体" w:eastAsia="宋体" w:cs="宋体"/>
                <w:sz w:val="20"/>
                <w:szCs w:val="20"/>
              </w:rPr>
            </w:pPr>
            <w:r>
              <w:rPr>
                <w:rFonts w:ascii="宋体" w:hAnsi="宋体" w:eastAsia="宋体" w:cs="宋体"/>
                <w:spacing w:val="4"/>
                <w:position w:val="1"/>
                <w:sz w:val="20"/>
                <w:szCs w:val="20"/>
              </w:rPr>
              <w:t>间</w:t>
            </w:r>
            <w:r>
              <w:rPr>
                <w:rFonts w:ascii="Times New Roman" w:hAnsi="Times New Roman" w:eastAsia="Times New Roman" w:cs="Times New Roman"/>
                <w:spacing w:val="4"/>
                <w:position w:val="1"/>
                <w:sz w:val="20"/>
                <w:szCs w:val="20"/>
              </w:rPr>
              <w:t>/</w:t>
            </w:r>
            <w:r>
              <w:rPr>
                <w:rFonts w:ascii="宋体" w:hAnsi="宋体" w:eastAsia="宋体" w:cs="宋体"/>
                <w:spacing w:val="4"/>
                <w:position w:val="1"/>
                <w:sz w:val="20"/>
                <w:szCs w:val="20"/>
              </w:rPr>
              <w:t>对二甲苯</w:t>
            </w:r>
          </w:p>
        </w:tc>
        <w:tc>
          <w:tcPr>
            <w:tcW w:w="1650" w:type="dxa"/>
            <w:tcBorders>
              <w:left w:val="single" w:color="000000" w:sz="4" w:space="0"/>
              <w:right w:val="single" w:color="000000" w:sz="4" w:space="0"/>
            </w:tcBorders>
            <w:vAlign w:val="top"/>
          </w:tcPr>
          <w:p w14:paraId="51492D30">
            <w:pPr>
              <w:spacing w:before="19" w:line="281" w:lineRule="exact"/>
              <w:ind w:left="404"/>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5</w:t>
            </w:r>
            <w:r>
              <w:rPr>
                <w:rFonts w:ascii="Times New Roman" w:hAnsi="Times New Roman" w:eastAsia="Times New Roman" w:cs="Times New Roman"/>
                <w:spacing w:val="4"/>
                <w:position w:val="2"/>
                <w:sz w:val="20"/>
                <w:szCs w:val="20"/>
              </w:rPr>
              <w:t>6.3μ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29C30812">
            <w:pPr>
              <w:spacing w:before="93" w:line="195" w:lineRule="auto"/>
              <w:ind w:left="31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57</w:t>
            </w:r>
            <w:r>
              <w:rPr>
                <w:rFonts w:ascii="Times New Roman" w:hAnsi="Times New Roman" w:eastAsia="Times New Roman" w:cs="Times New Roman"/>
                <w:spacing w:val="1"/>
                <w:sz w:val="20"/>
                <w:szCs w:val="20"/>
              </w:rPr>
              <w:t>0</w:t>
            </w:r>
          </w:p>
        </w:tc>
        <w:tc>
          <w:tcPr>
            <w:tcW w:w="1226" w:type="dxa"/>
            <w:tcBorders>
              <w:left w:val="single" w:color="000000" w:sz="4" w:space="0"/>
              <w:right w:val="single" w:color="000000" w:sz="4" w:space="0"/>
            </w:tcBorders>
            <w:vAlign w:val="top"/>
          </w:tcPr>
          <w:p w14:paraId="278632AA">
            <w:pPr>
              <w:spacing w:before="93" w:line="195" w:lineRule="auto"/>
              <w:ind w:left="32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.0001</w:t>
            </w:r>
          </w:p>
        </w:tc>
        <w:tc>
          <w:tcPr>
            <w:tcW w:w="705" w:type="dxa"/>
            <w:tcBorders>
              <w:left w:val="single" w:color="000000" w:sz="4" w:space="0"/>
            </w:tcBorders>
            <w:vAlign w:val="top"/>
          </w:tcPr>
          <w:p w14:paraId="02EC1DC7">
            <w:pPr>
              <w:spacing w:before="93"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2BA5B5C9">
            <w:pPr>
              <w:spacing w:before="93"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6B8ACE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6FCA3369">
            <w:pPr>
              <w:spacing w:before="94"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6</w:t>
            </w:r>
          </w:p>
        </w:tc>
        <w:tc>
          <w:tcPr>
            <w:tcW w:w="944" w:type="dxa"/>
            <w:vMerge w:val="continue"/>
            <w:tcBorders>
              <w:top w:val="nil"/>
              <w:left w:val="single" w:color="000000" w:sz="4" w:space="0"/>
              <w:bottom w:val="nil"/>
              <w:right w:val="single" w:color="000000" w:sz="4" w:space="0"/>
            </w:tcBorders>
            <w:vAlign w:val="top"/>
          </w:tcPr>
          <w:p w14:paraId="41714F00">
            <w:pPr>
              <w:rPr>
                <w:rFonts w:ascii="Arial"/>
                <w:sz w:val="21"/>
              </w:rPr>
            </w:pPr>
          </w:p>
        </w:tc>
        <w:tc>
          <w:tcPr>
            <w:tcW w:w="1680" w:type="dxa"/>
            <w:tcBorders>
              <w:left w:val="single" w:color="000000" w:sz="4" w:space="0"/>
              <w:right w:val="single" w:color="000000" w:sz="4" w:space="0"/>
            </w:tcBorders>
            <w:vAlign w:val="top"/>
          </w:tcPr>
          <w:p w14:paraId="1A0773E9">
            <w:pPr>
              <w:spacing w:before="58" w:line="227" w:lineRule="auto"/>
              <w:ind w:left="421"/>
              <w:rPr>
                <w:rFonts w:ascii="宋体" w:hAnsi="宋体" w:eastAsia="宋体" w:cs="宋体"/>
                <w:sz w:val="20"/>
                <w:szCs w:val="20"/>
              </w:rPr>
            </w:pPr>
            <w:r>
              <w:rPr>
                <w:rFonts w:ascii="宋体" w:hAnsi="宋体" w:eastAsia="宋体" w:cs="宋体"/>
                <w:spacing w:val="9"/>
                <w:sz w:val="20"/>
                <w:szCs w:val="20"/>
              </w:rPr>
              <w:t>邻</w:t>
            </w:r>
            <w:r>
              <w:rPr>
                <w:rFonts w:ascii="宋体" w:hAnsi="宋体" w:eastAsia="宋体" w:cs="宋体"/>
                <w:spacing w:val="7"/>
                <w:sz w:val="20"/>
                <w:szCs w:val="20"/>
              </w:rPr>
              <w:t>二甲苯</w:t>
            </w:r>
          </w:p>
        </w:tc>
        <w:tc>
          <w:tcPr>
            <w:tcW w:w="1650" w:type="dxa"/>
            <w:tcBorders>
              <w:left w:val="single" w:color="000000" w:sz="4" w:space="0"/>
              <w:right w:val="single" w:color="000000" w:sz="4" w:space="0"/>
            </w:tcBorders>
            <w:vAlign w:val="top"/>
          </w:tcPr>
          <w:p w14:paraId="4E09C0C8">
            <w:pPr>
              <w:spacing w:before="20" w:line="281" w:lineRule="exact"/>
              <w:ind w:left="403"/>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67.9μ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3426533D">
            <w:pPr>
              <w:spacing w:before="94" w:line="195" w:lineRule="auto"/>
              <w:ind w:left="3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640</w:t>
            </w:r>
          </w:p>
        </w:tc>
        <w:tc>
          <w:tcPr>
            <w:tcW w:w="1226" w:type="dxa"/>
            <w:tcBorders>
              <w:left w:val="single" w:color="000000" w:sz="4" w:space="0"/>
              <w:right w:val="single" w:color="000000" w:sz="4" w:space="0"/>
            </w:tcBorders>
            <w:vAlign w:val="top"/>
          </w:tcPr>
          <w:p w14:paraId="635444CE">
            <w:pPr>
              <w:spacing w:before="94" w:line="195" w:lineRule="auto"/>
              <w:ind w:left="38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.001</w:t>
            </w:r>
          </w:p>
        </w:tc>
        <w:tc>
          <w:tcPr>
            <w:tcW w:w="705" w:type="dxa"/>
            <w:tcBorders>
              <w:left w:val="single" w:color="000000" w:sz="4" w:space="0"/>
            </w:tcBorders>
            <w:vAlign w:val="top"/>
          </w:tcPr>
          <w:p w14:paraId="4D74C985">
            <w:pPr>
              <w:spacing w:before="94"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13170746">
            <w:pPr>
              <w:spacing w:before="94"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798987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532" w:type="dxa"/>
            <w:tcBorders>
              <w:left w:val="nil"/>
              <w:right w:val="single" w:color="000000" w:sz="4" w:space="0"/>
            </w:tcBorders>
            <w:vAlign w:val="top"/>
          </w:tcPr>
          <w:p w14:paraId="2AD608B7">
            <w:pPr>
              <w:spacing w:before="96"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7</w:t>
            </w:r>
          </w:p>
        </w:tc>
        <w:tc>
          <w:tcPr>
            <w:tcW w:w="944" w:type="dxa"/>
            <w:vMerge w:val="continue"/>
            <w:tcBorders>
              <w:top w:val="nil"/>
              <w:left w:val="single" w:color="000000" w:sz="4" w:space="0"/>
              <w:bottom w:val="nil"/>
              <w:right w:val="single" w:color="000000" w:sz="4" w:space="0"/>
            </w:tcBorders>
            <w:vAlign w:val="top"/>
          </w:tcPr>
          <w:p w14:paraId="5462F5F6">
            <w:pPr>
              <w:rPr>
                <w:rFonts w:ascii="Arial"/>
                <w:sz w:val="21"/>
              </w:rPr>
            </w:pPr>
          </w:p>
        </w:tc>
        <w:tc>
          <w:tcPr>
            <w:tcW w:w="1680" w:type="dxa"/>
            <w:tcBorders>
              <w:left w:val="single" w:color="000000" w:sz="4" w:space="0"/>
              <w:right w:val="single" w:color="000000" w:sz="4" w:space="0"/>
            </w:tcBorders>
            <w:vAlign w:val="top"/>
          </w:tcPr>
          <w:p w14:paraId="2D603254">
            <w:pPr>
              <w:spacing w:before="60" w:line="227" w:lineRule="auto"/>
              <w:ind w:left="529"/>
              <w:rPr>
                <w:rFonts w:ascii="宋体" w:hAnsi="宋体" w:eastAsia="宋体" w:cs="宋体"/>
                <w:sz w:val="20"/>
                <w:szCs w:val="20"/>
              </w:rPr>
            </w:pPr>
            <w:r>
              <w:rPr>
                <w:rFonts w:ascii="宋体" w:hAnsi="宋体" w:eastAsia="宋体" w:cs="宋体"/>
                <w:spacing w:val="7"/>
                <w:sz w:val="20"/>
                <w:szCs w:val="20"/>
              </w:rPr>
              <w:t>硝</w:t>
            </w:r>
            <w:r>
              <w:rPr>
                <w:rFonts w:ascii="宋体" w:hAnsi="宋体" w:eastAsia="宋体" w:cs="宋体"/>
                <w:spacing w:val="6"/>
                <w:sz w:val="20"/>
                <w:szCs w:val="20"/>
              </w:rPr>
              <w:t>基苯</w:t>
            </w:r>
          </w:p>
        </w:tc>
        <w:tc>
          <w:tcPr>
            <w:tcW w:w="1650" w:type="dxa"/>
            <w:tcBorders>
              <w:left w:val="single" w:color="000000" w:sz="4" w:space="0"/>
              <w:right w:val="single" w:color="000000" w:sz="4" w:space="0"/>
            </w:tcBorders>
            <w:vAlign w:val="top"/>
          </w:tcPr>
          <w:p w14:paraId="3A3D1E99">
            <w:pPr>
              <w:spacing w:before="20" w:line="281" w:lineRule="exact"/>
              <w:ind w:left="286"/>
              <w:rPr>
                <w:rFonts w:ascii="Times New Roman" w:hAnsi="Times New Roman" w:eastAsia="Times New Roman" w:cs="Times New Roman"/>
                <w:sz w:val="20"/>
                <w:szCs w:val="20"/>
              </w:rPr>
            </w:pPr>
            <w:r>
              <w:rPr>
                <w:rFonts w:ascii="宋体" w:hAnsi="宋体" w:eastAsia="宋体" w:cs="宋体"/>
                <w:spacing w:val="7"/>
                <w:position w:val="2"/>
                <w:sz w:val="20"/>
                <w:szCs w:val="20"/>
              </w:rPr>
              <w:t>＜</w:t>
            </w:r>
            <w:r>
              <w:rPr>
                <w:rFonts w:ascii="Times New Roman" w:hAnsi="Times New Roman" w:eastAsia="Times New Roman" w:cs="Times New Roman"/>
                <w:spacing w:val="4"/>
                <w:position w:val="2"/>
                <w:sz w:val="20"/>
                <w:szCs w:val="20"/>
              </w:rPr>
              <w:t>0.09</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2034173B">
            <w:pPr>
              <w:spacing w:before="96" w:line="195" w:lineRule="auto"/>
              <w:ind w:left="36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76</w:t>
            </w:r>
          </w:p>
        </w:tc>
        <w:tc>
          <w:tcPr>
            <w:tcW w:w="1226" w:type="dxa"/>
            <w:tcBorders>
              <w:left w:val="single" w:color="000000" w:sz="4" w:space="0"/>
              <w:right w:val="single" w:color="000000" w:sz="4" w:space="0"/>
            </w:tcBorders>
            <w:vAlign w:val="top"/>
          </w:tcPr>
          <w:p w14:paraId="13D3B8C6">
            <w:pPr>
              <w:spacing w:before="22"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0D847814">
            <w:pPr>
              <w:spacing w:before="96"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251C068E">
            <w:pPr>
              <w:spacing w:before="96"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3A8FC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65FC83F2">
            <w:pPr>
              <w:spacing w:before="97"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8</w:t>
            </w:r>
          </w:p>
        </w:tc>
        <w:tc>
          <w:tcPr>
            <w:tcW w:w="944" w:type="dxa"/>
            <w:vMerge w:val="continue"/>
            <w:tcBorders>
              <w:top w:val="nil"/>
              <w:left w:val="single" w:color="000000" w:sz="4" w:space="0"/>
              <w:bottom w:val="nil"/>
              <w:right w:val="single" w:color="000000" w:sz="4" w:space="0"/>
            </w:tcBorders>
            <w:vAlign w:val="top"/>
          </w:tcPr>
          <w:p w14:paraId="11D473EA">
            <w:pPr>
              <w:rPr>
                <w:rFonts w:ascii="Arial"/>
                <w:sz w:val="21"/>
              </w:rPr>
            </w:pPr>
          </w:p>
        </w:tc>
        <w:tc>
          <w:tcPr>
            <w:tcW w:w="1680" w:type="dxa"/>
            <w:tcBorders>
              <w:left w:val="single" w:color="000000" w:sz="4" w:space="0"/>
              <w:right w:val="single" w:color="000000" w:sz="4" w:space="0"/>
            </w:tcBorders>
            <w:vAlign w:val="top"/>
          </w:tcPr>
          <w:p w14:paraId="65988BED">
            <w:pPr>
              <w:spacing w:before="61" w:line="227" w:lineRule="auto"/>
              <w:ind w:left="635"/>
              <w:rPr>
                <w:rFonts w:ascii="宋体" w:hAnsi="宋体" w:eastAsia="宋体" w:cs="宋体"/>
                <w:sz w:val="20"/>
                <w:szCs w:val="20"/>
              </w:rPr>
            </w:pPr>
            <w:r>
              <w:rPr>
                <w:rFonts w:ascii="宋体" w:hAnsi="宋体" w:eastAsia="宋体" w:cs="宋体"/>
                <w:spacing w:val="4"/>
                <w:sz w:val="20"/>
                <w:szCs w:val="20"/>
              </w:rPr>
              <w:t>苯</w:t>
            </w:r>
            <w:r>
              <w:rPr>
                <w:rFonts w:ascii="宋体" w:hAnsi="宋体" w:eastAsia="宋体" w:cs="宋体"/>
                <w:spacing w:val="3"/>
                <w:sz w:val="20"/>
                <w:szCs w:val="20"/>
              </w:rPr>
              <w:t>胺</w:t>
            </w:r>
          </w:p>
        </w:tc>
        <w:tc>
          <w:tcPr>
            <w:tcW w:w="1650" w:type="dxa"/>
            <w:tcBorders>
              <w:left w:val="single" w:color="000000" w:sz="4" w:space="0"/>
              <w:right w:val="single" w:color="000000" w:sz="4" w:space="0"/>
            </w:tcBorders>
            <w:vAlign w:val="top"/>
          </w:tcPr>
          <w:p w14:paraId="3491B7CD">
            <w:pPr>
              <w:spacing w:before="21" w:line="281" w:lineRule="exact"/>
              <w:ind w:left="339"/>
              <w:rPr>
                <w:rFonts w:ascii="Times New Roman" w:hAnsi="Times New Roman" w:eastAsia="Times New Roman" w:cs="Times New Roman"/>
                <w:sz w:val="20"/>
                <w:szCs w:val="20"/>
              </w:rPr>
            </w:pPr>
            <w:r>
              <w:rPr>
                <w:rFonts w:ascii="宋体" w:hAnsi="宋体" w:eastAsia="宋体" w:cs="宋体"/>
                <w:spacing w:val="-4"/>
                <w:position w:val="4"/>
                <w:sz w:val="20"/>
                <w:szCs w:val="20"/>
              </w:rPr>
              <w:t>＜</w:t>
            </w:r>
            <w:r>
              <w:rPr>
                <w:rFonts w:ascii="Times New Roman" w:hAnsi="Times New Roman" w:eastAsia="Times New Roman" w:cs="Times New Roman"/>
                <w:spacing w:val="-4"/>
                <w:position w:val="4"/>
                <w:sz w:val="20"/>
                <w:szCs w:val="20"/>
              </w:rPr>
              <w:t xml:space="preserve">0. </w:t>
            </w:r>
            <w:r>
              <w:rPr>
                <w:rFonts w:ascii="Times New Roman" w:hAnsi="Times New Roman" w:eastAsia="Times New Roman" w:cs="Times New Roman"/>
                <w:spacing w:val="-2"/>
                <w:position w:val="4"/>
                <w:sz w:val="20"/>
                <w:szCs w:val="20"/>
              </w:rPr>
              <w:t>1mg/kg</w:t>
            </w:r>
          </w:p>
        </w:tc>
        <w:tc>
          <w:tcPr>
            <w:tcW w:w="930" w:type="dxa"/>
            <w:tcBorders>
              <w:left w:val="single" w:color="000000" w:sz="4" w:space="0"/>
              <w:right w:val="single" w:color="000000" w:sz="4" w:space="0"/>
            </w:tcBorders>
            <w:vAlign w:val="top"/>
          </w:tcPr>
          <w:p w14:paraId="49E25F24">
            <w:pPr>
              <w:spacing w:before="97" w:line="195" w:lineRule="auto"/>
              <w:ind w:left="306"/>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60</w:t>
            </w:r>
          </w:p>
        </w:tc>
        <w:tc>
          <w:tcPr>
            <w:tcW w:w="1226" w:type="dxa"/>
            <w:tcBorders>
              <w:left w:val="single" w:color="000000" w:sz="4" w:space="0"/>
              <w:right w:val="single" w:color="000000" w:sz="4" w:space="0"/>
            </w:tcBorders>
            <w:vAlign w:val="top"/>
          </w:tcPr>
          <w:p w14:paraId="7041611A">
            <w:pPr>
              <w:spacing w:before="23"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6271E1AE">
            <w:pPr>
              <w:spacing w:before="97"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08BC3C65">
            <w:pPr>
              <w:spacing w:before="97"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53D512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57457A64">
            <w:pPr>
              <w:spacing w:before="96"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9</w:t>
            </w:r>
          </w:p>
        </w:tc>
        <w:tc>
          <w:tcPr>
            <w:tcW w:w="944" w:type="dxa"/>
            <w:vMerge w:val="continue"/>
            <w:tcBorders>
              <w:top w:val="nil"/>
              <w:left w:val="single" w:color="000000" w:sz="4" w:space="0"/>
              <w:bottom w:val="nil"/>
              <w:right w:val="single" w:color="000000" w:sz="4" w:space="0"/>
            </w:tcBorders>
            <w:vAlign w:val="top"/>
          </w:tcPr>
          <w:p w14:paraId="274C56AF">
            <w:pPr>
              <w:rPr>
                <w:rFonts w:ascii="Arial"/>
                <w:sz w:val="21"/>
              </w:rPr>
            </w:pPr>
          </w:p>
        </w:tc>
        <w:tc>
          <w:tcPr>
            <w:tcW w:w="1680" w:type="dxa"/>
            <w:tcBorders>
              <w:left w:val="single" w:color="000000" w:sz="4" w:space="0"/>
              <w:right w:val="single" w:color="000000" w:sz="4" w:space="0"/>
            </w:tcBorders>
            <w:vAlign w:val="top"/>
          </w:tcPr>
          <w:p w14:paraId="6AB225D3">
            <w:pPr>
              <w:spacing w:before="61" w:line="229" w:lineRule="auto"/>
              <w:ind w:left="543"/>
              <w:rPr>
                <w:rFonts w:ascii="宋体" w:hAnsi="宋体" w:eastAsia="宋体" w:cs="宋体"/>
                <w:sz w:val="20"/>
                <w:szCs w:val="20"/>
              </w:rPr>
            </w:pPr>
            <w:r>
              <w:rPr>
                <w:rFonts w:ascii="Times New Roman" w:hAnsi="Times New Roman" w:eastAsia="Times New Roman" w:cs="Times New Roman"/>
                <w:spacing w:val="5"/>
                <w:sz w:val="20"/>
                <w:szCs w:val="20"/>
              </w:rPr>
              <w:t>2-</w:t>
            </w:r>
            <w:r>
              <w:rPr>
                <w:rFonts w:ascii="宋体" w:hAnsi="宋体" w:eastAsia="宋体" w:cs="宋体"/>
                <w:spacing w:val="5"/>
                <w:sz w:val="20"/>
                <w:szCs w:val="20"/>
              </w:rPr>
              <w:t>氯</w:t>
            </w:r>
            <w:r>
              <w:rPr>
                <w:rFonts w:ascii="宋体" w:hAnsi="宋体" w:eastAsia="宋体" w:cs="宋体"/>
                <w:spacing w:val="4"/>
                <w:sz w:val="20"/>
                <w:szCs w:val="20"/>
              </w:rPr>
              <w:t>酚</w:t>
            </w:r>
          </w:p>
        </w:tc>
        <w:tc>
          <w:tcPr>
            <w:tcW w:w="1650" w:type="dxa"/>
            <w:tcBorders>
              <w:left w:val="single" w:color="000000" w:sz="4" w:space="0"/>
              <w:right w:val="single" w:color="000000" w:sz="4" w:space="0"/>
            </w:tcBorders>
            <w:vAlign w:val="top"/>
          </w:tcPr>
          <w:p w14:paraId="2DB408CB">
            <w:pPr>
              <w:spacing w:before="21" w:line="281" w:lineRule="exact"/>
              <w:ind w:left="286"/>
              <w:rPr>
                <w:rFonts w:ascii="Times New Roman" w:hAnsi="Times New Roman" w:eastAsia="Times New Roman" w:cs="Times New Roman"/>
                <w:sz w:val="20"/>
                <w:szCs w:val="20"/>
              </w:rPr>
            </w:pPr>
            <w:r>
              <w:rPr>
                <w:rFonts w:ascii="宋体" w:hAnsi="宋体" w:eastAsia="宋体" w:cs="宋体"/>
                <w:spacing w:val="7"/>
                <w:position w:val="2"/>
                <w:sz w:val="20"/>
                <w:szCs w:val="20"/>
              </w:rPr>
              <w:t>＜</w:t>
            </w:r>
            <w:r>
              <w:rPr>
                <w:rFonts w:ascii="Times New Roman" w:hAnsi="Times New Roman" w:eastAsia="Times New Roman" w:cs="Times New Roman"/>
                <w:spacing w:val="4"/>
                <w:position w:val="2"/>
                <w:sz w:val="20"/>
                <w:szCs w:val="20"/>
              </w:rPr>
              <w:t>0.06</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41D50C89">
            <w:pPr>
              <w:spacing w:before="96" w:line="195" w:lineRule="auto"/>
              <w:ind w:left="256"/>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256</w:t>
            </w:r>
          </w:p>
        </w:tc>
        <w:tc>
          <w:tcPr>
            <w:tcW w:w="1226" w:type="dxa"/>
            <w:tcBorders>
              <w:left w:val="single" w:color="000000" w:sz="4" w:space="0"/>
              <w:right w:val="single" w:color="000000" w:sz="4" w:space="0"/>
            </w:tcBorders>
            <w:vAlign w:val="top"/>
          </w:tcPr>
          <w:p w14:paraId="1EB00DDC">
            <w:pPr>
              <w:spacing w:before="23"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6DD90B1A">
            <w:pPr>
              <w:spacing w:before="96"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44B7939F">
            <w:pPr>
              <w:spacing w:before="96"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287311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48E8E1A7">
            <w:pPr>
              <w:spacing w:before="96" w:line="195" w:lineRule="auto"/>
              <w:ind w:left="1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944" w:type="dxa"/>
            <w:vMerge w:val="continue"/>
            <w:tcBorders>
              <w:top w:val="nil"/>
              <w:left w:val="single" w:color="000000" w:sz="4" w:space="0"/>
              <w:bottom w:val="nil"/>
              <w:right w:val="single" w:color="000000" w:sz="4" w:space="0"/>
            </w:tcBorders>
            <w:vAlign w:val="top"/>
          </w:tcPr>
          <w:p w14:paraId="0FDDF9D8">
            <w:pPr>
              <w:rPr>
                <w:rFonts w:ascii="Arial"/>
                <w:sz w:val="21"/>
              </w:rPr>
            </w:pPr>
          </w:p>
        </w:tc>
        <w:tc>
          <w:tcPr>
            <w:tcW w:w="1680" w:type="dxa"/>
            <w:tcBorders>
              <w:left w:val="single" w:color="000000" w:sz="4" w:space="0"/>
              <w:right w:val="single" w:color="000000" w:sz="4" w:space="0"/>
            </w:tcBorders>
            <w:vAlign w:val="top"/>
          </w:tcPr>
          <w:p w14:paraId="4BF86363">
            <w:pPr>
              <w:spacing w:before="23" w:line="281" w:lineRule="exact"/>
              <w:ind w:left="415"/>
              <w:rPr>
                <w:rFonts w:ascii="宋体" w:hAnsi="宋体" w:eastAsia="宋体" w:cs="宋体"/>
                <w:sz w:val="20"/>
                <w:szCs w:val="20"/>
              </w:rPr>
            </w:pPr>
            <w:r>
              <w:rPr>
                <w:rFonts w:ascii="宋体" w:hAnsi="宋体" w:eastAsia="宋体" w:cs="宋体"/>
                <w:spacing w:val="6"/>
                <w:position w:val="2"/>
                <w:sz w:val="20"/>
                <w:szCs w:val="20"/>
              </w:rPr>
              <w:t>苯并</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a</w:t>
            </w:r>
            <w:r>
              <w:rPr>
                <w:rFonts w:ascii="Times New Roman" w:hAnsi="Times New Roman" w:eastAsia="Times New Roman" w:cs="Times New Roman"/>
                <w:spacing w:val="6"/>
                <w:position w:val="2"/>
                <w:sz w:val="20"/>
                <w:szCs w:val="20"/>
              </w:rPr>
              <w:t>]</w:t>
            </w:r>
            <w:r>
              <w:rPr>
                <w:rFonts w:ascii="宋体" w:hAnsi="宋体" w:eastAsia="宋体" w:cs="宋体"/>
                <w:spacing w:val="5"/>
                <w:position w:val="2"/>
                <w:sz w:val="20"/>
                <w:szCs w:val="20"/>
              </w:rPr>
              <w:t>蒽</w:t>
            </w:r>
          </w:p>
        </w:tc>
        <w:tc>
          <w:tcPr>
            <w:tcW w:w="1650" w:type="dxa"/>
            <w:tcBorders>
              <w:left w:val="single" w:color="000000" w:sz="4" w:space="0"/>
              <w:right w:val="single" w:color="000000" w:sz="4" w:space="0"/>
            </w:tcBorders>
            <w:vAlign w:val="top"/>
          </w:tcPr>
          <w:p w14:paraId="4AA6C716">
            <w:pPr>
              <w:spacing w:before="20" w:line="281" w:lineRule="exact"/>
              <w:ind w:left="339"/>
              <w:rPr>
                <w:rFonts w:ascii="Times New Roman" w:hAnsi="Times New Roman" w:eastAsia="Times New Roman" w:cs="Times New Roman"/>
                <w:sz w:val="20"/>
                <w:szCs w:val="20"/>
              </w:rPr>
            </w:pPr>
            <w:r>
              <w:rPr>
                <w:rFonts w:ascii="宋体" w:hAnsi="宋体" w:eastAsia="宋体" w:cs="宋体"/>
                <w:spacing w:val="-4"/>
                <w:position w:val="4"/>
                <w:sz w:val="20"/>
                <w:szCs w:val="20"/>
              </w:rPr>
              <w:t>＜</w:t>
            </w:r>
            <w:r>
              <w:rPr>
                <w:rFonts w:ascii="Times New Roman" w:hAnsi="Times New Roman" w:eastAsia="Times New Roman" w:cs="Times New Roman"/>
                <w:spacing w:val="-4"/>
                <w:position w:val="4"/>
                <w:sz w:val="20"/>
                <w:szCs w:val="20"/>
              </w:rPr>
              <w:t xml:space="preserve">0. </w:t>
            </w:r>
            <w:r>
              <w:rPr>
                <w:rFonts w:ascii="Times New Roman" w:hAnsi="Times New Roman" w:eastAsia="Times New Roman" w:cs="Times New Roman"/>
                <w:spacing w:val="-2"/>
                <w:position w:val="4"/>
                <w:sz w:val="20"/>
                <w:szCs w:val="20"/>
              </w:rPr>
              <w:t>1mg/kg</w:t>
            </w:r>
          </w:p>
        </w:tc>
        <w:tc>
          <w:tcPr>
            <w:tcW w:w="930" w:type="dxa"/>
            <w:tcBorders>
              <w:left w:val="single" w:color="000000" w:sz="4" w:space="0"/>
              <w:right w:val="single" w:color="000000" w:sz="4" w:space="0"/>
            </w:tcBorders>
            <w:vAlign w:val="top"/>
          </w:tcPr>
          <w:p w14:paraId="17A12E14">
            <w:pPr>
              <w:spacing w:before="96"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c>
          <w:tcPr>
            <w:tcW w:w="1226" w:type="dxa"/>
            <w:tcBorders>
              <w:left w:val="single" w:color="000000" w:sz="4" w:space="0"/>
              <w:right w:val="single" w:color="000000" w:sz="4" w:space="0"/>
            </w:tcBorders>
            <w:vAlign w:val="top"/>
          </w:tcPr>
          <w:p w14:paraId="0CB6971E">
            <w:pPr>
              <w:spacing w:before="23"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0857E2C4">
            <w:pPr>
              <w:spacing w:before="96"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0FEBD2F0">
            <w:pPr>
              <w:spacing w:before="96"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331FC9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67BD01EF">
            <w:pPr>
              <w:spacing w:before="96" w:line="195" w:lineRule="auto"/>
              <w:ind w:left="1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41</w:t>
            </w:r>
          </w:p>
        </w:tc>
        <w:tc>
          <w:tcPr>
            <w:tcW w:w="944" w:type="dxa"/>
            <w:vMerge w:val="continue"/>
            <w:tcBorders>
              <w:top w:val="nil"/>
              <w:left w:val="single" w:color="000000" w:sz="4" w:space="0"/>
              <w:bottom w:val="nil"/>
              <w:right w:val="single" w:color="000000" w:sz="4" w:space="0"/>
            </w:tcBorders>
            <w:vAlign w:val="top"/>
          </w:tcPr>
          <w:p w14:paraId="1255AD54">
            <w:pPr>
              <w:rPr>
                <w:rFonts w:ascii="Arial"/>
                <w:sz w:val="21"/>
              </w:rPr>
            </w:pPr>
          </w:p>
        </w:tc>
        <w:tc>
          <w:tcPr>
            <w:tcW w:w="1680" w:type="dxa"/>
            <w:tcBorders>
              <w:left w:val="single" w:color="000000" w:sz="4" w:space="0"/>
              <w:right w:val="single" w:color="000000" w:sz="4" w:space="0"/>
            </w:tcBorders>
            <w:vAlign w:val="top"/>
          </w:tcPr>
          <w:p w14:paraId="7C74D193">
            <w:pPr>
              <w:spacing w:before="23" w:line="281" w:lineRule="exact"/>
              <w:ind w:left="415"/>
              <w:rPr>
                <w:rFonts w:ascii="宋体" w:hAnsi="宋体" w:eastAsia="宋体" w:cs="宋体"/>
                <w:sz w:val="20"/>
                <w:szCs w:val="20"/>
              </w:rPr>
            </w:pPr>
            <w:r>
              <w:rPr>
                <w:rFonts w:ascii="宋体" w:hAnsi="宋体" w:eastAsia="宋体" w:cs="宋体"/>
                <w:spacing w:val="6"/>
                <w:position w:val="2"/>
                <w:sz w:val="20"/>
                <w:szCs w:val="20"/>
              </w:rPr>
              <w:t>苯并</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a</w:t>
            </w:r>
            <w:r>
              <w:rPr>
                <w:rFonts w:ascii="Times New Roman" w:hAnsi="Times New Roman" w:eastAsia="Times New Roman" w:cs="Times New Roman"/>
                <w:spacing w:val="6"/>
                <w:position w:val="2"/>
                <w:sz w:val="20"/>
                <w:szCs w:val="20"/>
              </w:rPr>
              <w:t>]</w:t>
            </w:r>
            <w:r>
              <w:rPr>
                <w:rFonts w:ascii="宋体" w:hAnsi="宋体" w:eastAsia="宋体" w:cs="宋体"/>
                <w:spacing w:val="5"/>
                <w:position w:val="2"/>
                <w:sz w:val="20"/>
                <w:szCs w:val="20"/>
              </w:rPr>
              <w:t>芘</w:t>
            </w:r>
          </w:p>
        </w:tc>
        <w:tc>
          <w:tcPr>
            <w:tcW w:w="1650" w:type="dxa"/>
            <w:tcBorders>
              <w:left w:val="single" w:color="000000" w:sz="4" w:space="0"/>
              <w:right w:val="single" w:color="000000" w:sz="4" w:space="0"/>
            </w:tcBorders>
            <w:vAlign w:val="top"/>
          </w:tcPr>
          <w:p w14:paraId="5EF68D6C">
            <w:pPr>
              <w:spacing w:before="20" w:line="281" w:lineRule="exact"/>
              <w:ind w:left="339"/>
              <w:rPr>
                <w:rFonts w:ascii="Times New Roman" w:hAnsi="Times New Roman" w:eastAsia="Times New Roman" w:cs="Times New Roman"/>
                <w:sz w:val="20"/>
                <w:szCs w:val="20"/>
              </w:rPr>
            </w:pPr>
            <w:r>
              <w:rPr>
                <w:rFonts w:ascii="宋体" w:hAnsi="宋体" w:eastAsia="宋体" w:cs="宋体"/>
                <w:spacing w:val="-4"/>
                <w:position w:val="4"/>
                <w:sz w:val="20"/>
                <w:szCs w:val="20"/>
              </w:rPr>
              <w:t>＜</w:t>
            </w:r>
            <w:r>
              <w:rPr>
                <w:rFonts w:ascii="Times New Roman" w:hAnsi="Times New Roman" w:eastAsia="Times New Roman" w:cs="Times New Roman"/>
                <w:spacing w:val="-4"/>
                <w:position w:val="4"/>
                <w:sz w:val="20"/>
                <w:szCs w:val="20"/>
              </w:rPr>
              <w:t xml:space="preserve">0. </w:t>
            </w:r>
            <w:r>
              <w:rPr>
                <w:rFonts w:ascii="Times New Roman" w:hAnsi="Times New Roman" w:eastAsia="Times New Roman" w:cs="Times New Roman"/>
                <w:spacing w:val="-2"/>
                <w:position w:val="4"/>
                <w:sz w:val="20"/>
                <w:szCs w:val="20"/>
              </w:rPr>
              <w:t>1mg/kg</w:t>
            </w:r>
          </w:p>
        </w:tc>
        <w:tc>
          <w:tcPr>
            <w:tcW w:w="930" w:type="dxa"/>
            <w:tcBorders>
              <w:left w:val="single" w:color="000000" w:sz="4" w:space="0"/>
              <w:right w:val="single" w:color="000000" w:sz="4" w:space="0"/>
            </w:tcBorders>
            <w:vAlign w:val="top"/>
          </w:tcPr>
          <w:p w14:paraId="46CA56F2">
            <w:pPr>
              <w:spacing w:before="96" w:line="198"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.5</w:t>
            </w:r>
          </w:p>
        </w:tc>
        <w:tc>
          <w:tcPr>
            <w:tcW w:w="1226" w:type="dxa"/>
            <w:tcBorders>
              <w:left w:val="single" w:color="000000" w:sz="4" w:space="0"/>
              <w:right w:val="single" w:color="000000" w:sz="4" w:space="0"/>
            </w:tcBorders>
            <w:vAlign w:val="top"/>
          </w:tcPr>
          <w:p w14:paraId="38820A0B">
            <w:pPr>
              <w:spacing w:before="23"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5F1EB9C8">
            <w:pPr>
              <w:spacing w:before="96"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2CE65652">
            <w:pPr>
              <w:spacing w:before="96"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38D5E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766BB512">
            <w:pPr>
              <w:spacing w:before="96" w:line="195" w:lineRule="auto"/>
              <w:ind w:left="1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w:t>
            </w:r>
          </w:p>
        </w:tc>
        <w:tc>
          <w:tcPr>
            <w:tcW w:w="944" w:type="dxa"/>
            <w:vMerge w:val="continue"/>
            <w:tcBorders>
              <w:top w:val="nil"/>
              <w:left w:val="single" w:color="000000" w:sz="4" w:space="0"/>
              <w:bottom w:val="nil"/>
              <w:right w:val="single" w:color="000000" w:sz="4" w:space="0"/>
            </w:tcBorders>
            <w:vAlign w:val="top"/>
          </w:tcPr>
          <w:p w14:paraId="38770F47">
            <w:pPr>
              <w:rPr>
                <w:rFonts w:ascii="Arial"/>
                <w:sz w:val="21"/>
              </w:rPr>
            </w:pPr>
          </w:p>
        </w:tc>
        <w:tc>
          <w:tcPr>
            <w:tcW w:w="1680" w:type="dxa"/>
            <w:tcBorders>
              <w:left w:val="single" w:color="000000" w:sz="4" w:space="0"/>
              <w:right w:val="single" w:color="000000" w:sz="4" w:space="0"/>
            </w:tcBorders>
            <w:vAlign w:val="top"/>
          </w:tcPr>
          <w:p w14:paraId="01270C67">
            <w:pPr>
              <w:spacing w:before="22" w:line="281" w:lineRule="exact"/>
              <w:ind w:left="304"/>
              <w:rPr>
                <w:rFonts w:ascii="宋体" w:hAnsi="宋体" w:eastAsia="宋体" w:cs="宋体"/>
                <w:sz w:val="20"/>
                <w:szCs w:val="20"/>
              </w:rPr>
            </w:pPr>
            <w:r>
              <w:rPr>
                <w:rFonts w:ascii="宋体" w:hAnsi="宋体" w:eastAsia="宋体" w:cs="宋体"/>
                <w:spacing w:val="6"/>
                <w:position w:val="2"/>
                <w:sz w:val="20"/>
                <w:szCs w:val="20"/>
              </w:rPr>
              <w:t>苯并</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b</w:t>
            </w:r>
            <w:r>
              <w:rPr>
                <w:rFonts w:ascii="Times New Roman" w:hAnsi="Times New Roman" w:eastAsia="Times New Roman" w:cs="Times New Roman"/>
                <w:spacing w:val="6"/>
                <w:position w:val="2"/>
                <w:sz w:val="20"/>
                <w:szCs w:val="20"/>
              </w:rPr>
              <w:t>]</w:t>
            </w:r>
            <w:r>
              <w:rPr>
                <w:rFonts w:ascii="宋体" w:hAnsi="宋体" w:eastAsia="宋体" w:cs="宋体"/>
                <w:spacing w:val="6"/>
                <w:position w:val="2"/>
                <w:sz w:val="20"/>
                <w:szCs w:val="20"/>
              </w:rPr>
              <w:t>荧蒽</w:t>
            </w:r>
          </w:p>
        </w:tc>
        <w:tc>
          <w:tcPr>
            <w:tcW w:w="1650" w:type="dxa"/>
            <w:tcBorders>
              <w:left w:val="single" w:color="000000" w:sz="4" w:space="0"/>
              <w:right w:val="single" w:color="000000" w:sz="4" w:space="0"/>
            </w:tcBorders>
            <w:vAlign w:val="top"/>
          </w:tcPr>
          <w:p w14:paraId="1AAE5DFE">
            <w:pPr>
              <w:spacing w:before="22" w:line="281" w:lineRule="exact"/>
              <w:ind w:left="339"/>
              <w:rPr>
                <w:rFonts w:ascii="Times New Roman" w:hAnsi="Times New Roman" w:eastAsia="Times New Roman" w:cs="Times New Roman"/>
                <w:sz w:val="20"/>
                <w:szCs w:val="20"/>
              </w:rPr>
            </w:pPr>
            <w:r>
              <w:rPr>
                <w:rFonts w:ascii="宋体" w:hAnsi="宋体" w:eastAsia="宋体" w:cs="宋体"/>
                <w:spacing w:val="6"/>
                <w:position w:val="2"/>
                <w:sz w:val="20"/>
                <w:szCs w:val="20"/>
              </w:rPr>
              <w:t>＜</w:t>
            </w:r>
            <w:r>
              <w:rPr>
                <w:rFonts w:ascii="Times New Roman" w:hAnsi="Times New Roman" w:eastAsia="Times New Roman" w:cs="Times New Roman"/>
                <w:spacing w:val="4"/>
                <w:position w:val="2"/>
                <w:sz w:val="20"/>
                <w:szCs w:val="20"/>
              </w:rPr>
              <w:t>0.2</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6E876812">
            <w:pPr>
              <w:spacing w:before="96"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c>
          <w:tcPr>
            <w:tcW w:w="1226" w:type="dxa"/>
            <w:tcBorders>
              <w:left w:val="single" w:color="000000" w:sz="4" w:space="0"/>
              <w:right w:val="single" w:color="000000" w:sz="4" w:space="0"/>
            </w:tcBorders>
            <w:vAlign w:val="top"/>
          </w:tcPr>
          <w:p w14:paraId="6E1AE539">
            <w:pPr>
              <w:spacing w:before="22"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080B3343">
            <w:pPr>
              <w:spacing w:before="96"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44066813">
            <w:pPr>
              <w:spacing w:before="96"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18B91D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0861A8F1">
            <w:pPr>
              <w:spacing w:before="96" w:line="195" w:lineRule="auto"/>
              <w:ind w:left="1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43</w:t>
            </w:r>
          </w:p>
        </w:tc>
        <w:tc>
          <w:tcPr>
            <w:tcW w:w="944" w:type="dxa"/>
            <w:vMerge w:val="continue"/>
            <w:tcBorders>
              <w:top w:val="nil"/>
              <w:left w:val="single" w:color="000000" w:sz="4" w:space="0"/>
              <w:bottom w:val="nil"/>
              <w:right w:val="single" w:color="000000" w:sz="4" w:space="0"/>
            </w:tcBorders>
            <w:vAlign w:val="top"/>
          </w:tcPr>
          <w:p w14:paraId="3D4084C7">
            <w:pPr>
              <w:rPr>
                <w:rFonts w:ascii="Arial"/>
                <w:sz w:val="21"/>
              </w:rPr>
            </w:pPr>
          </w:p>
        </w:tc>
        <w:tc>
          <w:tcPr>
            <w:tcW w:w="1680" w:type="dxa"/>
            <w:tcBorders>
              <w:left w:val="single" w:color="000000" w:sz="4" w:space="0"/>
              <w:right w:val="single" w:color="000000" w:sz="4" w:space="0"/>
            </w:tcBorders>
            <w:vAlign w:val="top"/>
          </w:tcPr>
          <w:p w14:paraId="7DA0B38B">
            <w:pPr>
              <w:spacing w:before="22" w:line="281" w:lineRule="exact"/>
              <w:ind w:left="304"/>
              <w:rPr>
                <w:rFonts w:ascii="宋体" w:hAnsi="宋体" w:eastAsia="宋体" w:cs="宋体"/>
                <w:sz w:val="20"/>
                <w:szCs w:val="20"/>
              </w:rPr>
            </w:pPr>
            <w:r>
              <w:rPr>
                <w:rFonts w:ascii="宋体" w:hAnsi="宋体" w:eastAsia="宋体" w:cs="宋体"/>
                <w:spacing w:val="6"/>
                <w:position w:val="2"/>
                <w:sz w:val="20"/>
                <w:szCs w:val="20"/>
              </w:rPr>
              <w:t>苯并</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k</w:t>
            </w:r>
            <w:r>
              <w:rPr>
                <w:rFonts w:ascii="Times New Roman" w:hAnsi="Times New Roman" w:eastAsia="Times New Roman" w:cs="Times New Roman"/>
                <w:spacing w:val="6"/>
                <w:position w:val="2"/>
                <w:sz w:val="20"/>
                <w:szCs w:val="20"/>
              </w:rPr>
              <w:t>]</w:t>
            </w:r>
            <w:r>
              <w:rPr>
                <w:rFonts w:ascii="宋体" w:hAnsi="宋体" w:eastAsia="宋体" w:cs="宋体"/>
                <w:spacing w:val="6"/>
                <w:position w:val="2"/>
                <w:sz w:val="20"/>
                <w:szCs w:val="20"/>
              </w:rPr>
              <w:t>荧蒽</w:t>
            </w:r>
          </w:p>
        </w:tc>
        <w:tc>
          <w:tcPr>
            <w:tcW w:w="1650" w:type="dxa"/>
            <w:tcBorders>
              <w:left w:val="single" w:color="000000" w:sz="4" w:space="0"/>
              <w:right w:val="single" w:color="000000" w:sz="4" w:space="0"/>
            </w:tcBorders>
            <w:vAlign w:val="top"/>
          </w:tcPr>
          <w:p w14:paraId="26A10D67">
            <w:pPr>
              <w:spacing w:before="22" w:line="281" w:lineRule="exact"/>
              <w:ind w:left="339"/>
              <w:rPr>
                <w:rFonts w:ascii="Times New Roman" w:hAnsi="Times New Roman" w:eastAsia="Times New Roman" w:cs="Times New Roman"/>
                <w:sz w:val="20"/>
                <w:szCs w:val="20"/>
              </w:rPr>
            </w:pPr>
            <w:r>
              <w:rPr>
                <w:rFonts w:ascii="宋体" w:hAnsi="宋体" w:eastAsia="宋体" w:cs="宋体"/>
                <w:spacing w:val="-4"/>
                <w:position w:val="4"/>
                <w:sz w:val="20"/>
                <w:szCs w:val="20"/>
              </w:rPr>
              <w:t>＜</w:t>
            </w:r>
            <w:r>
              <w:rPr>
                <w:rFonts w:ascii="Times New Roman" w:hAnsi="Times New Roman" w:eastAsia="Times New Roman" w:cs="Times New Roman"/>
                <w:spacing w:val="-4"/>
                <w:position w:val="4"/>
                <w:sz w:val="20"/>
                <w:szCs w:val="20"/>
              </w:rPr>
              <w:t xml:space="preserve">0. </w:t>
            </w:r>
            <w:r>
              <w:rPr>
                <w:rFonts w:ascii="Times New Roman" w:hAnsi="Times New Roman" w:eastAsia="Times New Roman" w:cs="Times New Roman"/>
                <w:spacing w:val="-2"/>
                <w:position w:val="4"/>
                <w:sz w:val="20"/>
                <w:szCs w:val="20"/>
              </w:rPr>
              <w:t>1mg/kg</w:t>
            </w:r>
          </w:p>
        </w:tc>
        <w:tc>
          <w:tcPr>
            <w:tcW w:w="930" w:type="dxa"/>
            <w:tcBorders>
              <w:left w:val="single" w:color="000000" w:sz="4" w:space="0"/>
              <w:right w:val="single" w:color="000000" w:sz="4" w:space="0"/>
            </w:tcBorders>
            <w:vAlign w:val="top"/>
          </w:tcPr>
          <w:p w14:paraId="01BC9514">
            <w:pPr>
              <w:spacing w:before="96" w:line="195" w:lineRule="auto"/>
              <w:ind w:left="32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151</w:t>
            </w:r>
          </w:p>
        </w:tc>
        <w:tc>
          <w:tcPr>
            <w:tcW w:w="1226" w:type="dxa"/>
            <w:tcBorders>
              <w:left w:val="single" w:color="000000" w:sz="4" w:space="0"/>
              <w:right w:val="single" w:color="000000" w:sz="4" w:space="0"/>
            </w:tcBorders>
            <w:vAlign w:val="top"/>
          </w:tcPr>
          <w:p w14:paraId="26D78683">
            <w:pPr>
              <w:spacing w:before="22"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1267C3F2">
            <w:pPr>
              <w:spacing w:before="96"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7CF96141">
            <w:pPr>
              <w:spacing w:before="96"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33ADE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77CC651C">
            <w:pPr>
              <w:spacing w:before="95" w:line="195" w:lineRule="auto"/>
              <w:ind w:left="1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44</w:t>
            </w:r>
          </w:p>
        </w:tc>
        <w:tc>
          <w:tcPr>
            <w:tcW w:w="944" w:type="dxa"/>
            <w:vMerge w:val="continue"/>
            <w:tcBorders>
              <w:top w:val="nil"/>
              <w:left w:val="single" w:color="000000" w:sz="4" w:space="0"/>
              <w:bottom w:val="nil"/>
              <w:right w:val="single" w:color="000000" w:sz="4" w:space="0"/>
            </w:tcBorders>
            <w:vAlign w:val="top"/>
          </w:tcPr>
          <w:p w14:paraId="1D3A563A">
            <w:pPr>
              <w:rPr>
                <w:rFonts w:ascii="Arial"/>
                <w:sz w:val="21"/>
              </w:rPr>
            </w:pPr>
          </w:p>
        </w:tc>
        <w:tc>
          <w:tcPr>
            <w:tcW w:w="1680" w:type="dxa"/>
            <w:tcBorders>
              <w:left w:val="single" w:color="000000" w:sz="4" w:space="0"/>
              <w:right w:val="single" w:color="000000" w:sz="4" w:space="0"/>
            </w:tcBorders>
            <w:vAlign w:val="top"/>
          </w:tcPr>
          <w:p w14:paraId="3ECCF599">
            <w:pPr>
              <w:spacing w:before="60" w:line="229" w:lineRule="auto"/>
              <w:ind w:left="737"/>
              <w:rPr>
                <w:rFonts w:ascii="宋体" w:hAnsi="宋体" w:eastAsia="宋体" w:cs="宋体"/>
                <w:sz w:val="20"/>
                <w:szCs w:val="20"/>
              </w:rPr>
            </w:pPr>
            <w:r>
              <w:rPr>
                <w:rFonts w:ascii="宋体" w:hAnsi="宋体" w:eastAsia="宋体" w:cs="宋体"/>
                <w:spacing w:val="2"/>
                <w:sz w:val="20"/>
                <w:szCs w:val="20"/>
              </w:rPr>
              <w:t>䓛</w:t>
            </w:r>
          </w:p>
        </w:tc>
        <w:tc>
          <w:tcPr>
            <w:tcW w:w="1650" w:type="dxa"/>
            <w:tcBorders>
              <w:left w:val="single" w:color="000000" w:sz="4" w:space="0"/>
              <w:right w:val="single" w:color="000000" w:sz="4" w:space="0"/>
            </w:tcBorders>
            <w:vAlign w:val="top"/>
          </w:tcPr>
          <w:p w14:paraId="62A03CEC">
            <w:pPr>
              <w:spacing w:before="22" w:line="281" w:lineRule="exact"/>
              <w:ind w:left="339"/>
              <w:rPr>
                <w:rFonts w:ascii="Times New Roman" w:hAnsi="Times New Roman" w:eastAsia="Times New Roman" w:cs="Times New Roman"/>
                <w:sz w:val="20"/>
                <w:szCs w:val="20"/>
              </w:rPr>
            </w:pPr>
            <w:r>
              <w:rPr>
                <w:rFonts w:ascii="宋体" w:hAnsi="宋体" w:eastAsia="宋体" w:cs="宋体"/>
                <w:spacing w:val="-4"/>
                <w:position w:val="4"/>
                <w:sz w:val="20"/>
                <w:szCs w:val="20"/>
              </w:rPr>
              <w:t>＜</w:t>
            </w:r>
            <w:r>
              <w:rPr>
                <w:rFonts w:ascii="Times New Roman" w:hAnsi="Times New Roman" w:eastAsia="Times New Roman" w:cs="Times New Roman"/>
                <w:spacing w:val="-4"/>
                <w:position w:val="4"/>
                <w:sz w:val="20"/>
                <w:szCs w:val="20"/>
              </w:rPr>
              <w:t xml:space="preserve">0. </w:t>
            </w:r>
            <w:r>
              <w:rPr>
                <w:rFonts w:ascii="Times New Roman" w:hAnsi="Times New Roman" w:eastAsia="Times New Roman" w:cs="Times New Roman"/>
                <w:spacing w:val="-2"/>
                <w:position w:val="4"/>
                <w:sz w:val="20"/>
                <w:szCs w:val="20"/>
              </w:rPr>
              <w:t>1mg/kg</w:t>
            </w:r>
          </w:p>
        </w:tc>
        <w:tc>
          <w:tcPr>
            <w:tcW w:w="930" w:type="dxa"/>
            <w:tcBorders>
              <w:left w:val="single" w:color="000000" w:sz="4" w:space="0"/>
              <w:right w:val="single" w:color="000000" w:sz="4" w:space="0"/>
            </w:tcBorders>
            <w:vAlign w:val="top"/>
          </w:tcPr>
          <w:p w14:paraId="1EA6C8F4">
            <w:pPr>
              <w:spacing w:before="95" w:line="195" w:lineRule="auto"/>
              <w:ind w:left="27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12</w:t>
            </w:r>
            <w:r>
              <w:rPr>
                <w:rFonts w:ascii="Times New Roman" w:hAnsi="Times New Roman" w:eastAsia="Times New Roman" w:cs="Times New Roman"/>
                <w:spacing w:val="-1"/>
                <w:sz w:val="20"/>
                <w:szCs w:val="20"/>
              </w:rPr>
              <w:t>93</w:t>
            </w:r>
          </w:p>
        </w:tc>
        <w:tc>
          <w:tcPr>
            <w:tcW w:w="1226" w:type="dxa"/>
            <w:tcBorders>
              <w:left w:val="single" w:color="000000" w:sz="4" w:space="0"/>
              <w:right w:val="single" w:color="000000" w:sz="4" w:space="0"/>
            </w:tcBorders>
            <w:vAlign w:val="top"/>
          </w:tcPr>
          <w:p w14:paraId="6CB949D5">
            <w:pPr>
              <w:spacing w:before="22"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0BB96B3B">
            <w:pPr>
              <w:spacing w:before="95"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2BC77AB6">
            <w:pPr>
              <w:spacing w:before="95"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38367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25D07A26">
            <w:pPr>
              <w:spacing w:before="95" w:line="195" w:lineRule="auto"/>
              <w:ind w:left="1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w:t>
            </w:r>
          </w:p>
        </w:tc>
        <w:tc>
          <w:tcPr>
            <w:tcW w:w="944" w:type="dxa"/>
            <w:vMerge w:val="continue"/>
            <w:tcBorders>
              <w:top w:val="nil"/>
              <w:left w:val="single" w:color="000000" w:sz="4" w:space="0"/>
              <w:bottom w:val="nil"/>
              <w:right w:val="single" w:color="000000" w:sz="4" w:space="0"/>
            </w:tcBorders>
            <w:vAlign w:val="top"/>
          </w:tcPr>
          <w:p w14:paraId="7705E1A8">
            <w:pPr>
              <w:rPr>
                <w:rFonts w:ascii="Arial"/>
                <w:sz w:val="21"/>
              </w:rPr>
            </w:pPr>
          </w:p>
        </w:tc>
        <w:tc>
          <w:tcPr>
            <w:tcW w:w="1680" w:type="dxa"/>
            <w:tcBorders>
              <w:left w:val="single" w:color="000000" w:sz="4" w:space="0"/>
              <w:right w:val="single" w:color="000000" w:sz="4" w:space="0"/>
            </w:tcBorders>
            <w:vAlign w:val="top"/>
          </w:tcPr>
          <w:p w14:paraId="237B8995">
            <w:pPr>
              <w:spacing w:before="22" w:line="281" w:lineRule="exact"/>
              <w:ind w:left="154"/>
              <w:rPr>
                <w:rFonts w:ascii="宋体" w:hAnsi="宋体" w:eastAsia="宋体" w:cs="宋体"/>
                <w:sz w:val="20"/>
                <w:szCs w:val="20"/>
              </w:rPr>
            </w:pPr>
            <w:r>
              <w:rPr>
                <w:rFonts w:ascii="宋体" w:hAnsi="宋体" w:eastAsia="宋体" w:cs="宋体"/>
                <w:spacing w:val="1"/>
                <w:position w:val="2"/>
                <w:sz w:val="20"/>
                <w:szCs w:val="20"/>
              </w:rPr>
              <w:t>二</w:t>
            </w:r>
            <w:r>
              <w:rPr>
                <w:rFonts w:ascii="宋体" w:hAnsi="宋体" w:eastAsia="宋体" w:cs="宋体"/>
                <w:position w:val="2"/>
                <w:sz w:val="20"/>
                <w:szCs w:val="20"/>
              </w:rPr>
              <w:t>苯并</w:t>
            </w:r>
            <w:r>
              <w:rPr>
                <w:rFonts w:ascii="Times New Roman" w:hAnsi="Times New Roman" w:eastAsia="Times New Roman" w:cs="Times New Roman"/>
                <w:position w:val="2"/>
                <w:sz w:val="20"/>
                <w:szCs w:val="20"/>
              </w:rPr>
              <w:t xml:space="preserve">[a </w:t>
            </w:r>
            <w:r>
              <w:rPr>
                <w:rFonts w:ascii="宋体" w:hAnsi="宋体" w:eastAsia="宋体" w:cs="宋体"/>
                <w:position w:val="2"/>
                <w:sz w:val="20"/>
                <w:szCs w:val="20"/>
              </w:rPr>
              <w:t>，</w:t>
            </w:r>
            <w:r>
              <w:rPr>
                <w:rFonts w:ascii="Times New Roman" w:hAnsi="Times New Roman" w:eastAsia="Times New Roman" w:cs="Times New Roman"/>
                <w:position w:val="2"/>
                <w:sz w:val="20"/>
                <w:szCs w:val="20"/>
              </w:rPr>
              <w:t>h]</w:t>
            </w:r>
            <w:r>
              <w:rPr>
                <w:rFonts w:ascii="宋体" w:hAnsi="宋体" w:eastAsia="宋体" w:cs="宋体"/>
                <w:position w:val="2"/>
                <w:sz w:val="20"/>
                <w:szCs w:val="20"/>
              </w:rPr>
              <w:t>蒽</w:t>
            </w:r>
          </w:p>
        </w:tc>
        <w:tc>
          <w:tcPr>
            <w:tcW w:w="1650" w:type="dxa"/>
            <w:tcBorders>
              <w:left w:val="single" w:color="000000" w:sz="4" w:space="0"/>
              <w:right w:val="single" w:color="000000" w:sz="4" w:space="0"/>
            </w:tcBorders>
            <w:vAlign w:val="top"/>
          </w:tcPr>
          <w:p w14:paraId="0B637118">
            <w:pPr>
              <w:spacing w:before="22" w:line="281" w:lineRule="exact"/>
              <w:ind w:left="339"/>
              <w:rPr>
                <w:rFonts w:ascii="Times New Roman" w:hAnsi="Times New Roman" w:eastAsia="Times New Roman" w:cs="Times New Roman"/>
                <w:sz w:val="20"/>
                <w:szCs w:val="20"/>
              </w:rPr>
            </w:pPr>
            <w:r>
              <w:rPr>
                <w:rFonts w:ascii="宋体" w:hAnsi="宋体" w:eastAsia="宋体" w:cs="宋体"/>
                <w:spacing w:val="-4"/>
                <w:position w:val="4"/>
                <w:sz w:val="20"/>
                <w:szCs w:val="20"/>
              </w:rPr>
              <w:t>＜</w:t>
            </w:r>
            <w:r>
              <w:rPr>
                <w:rFonts w:ascii="Times New Roman" w:hAnsi="Times New Roman" w:eastAsia="Times New Roman" w:cs="Times New Roman"/>
                <w:spacing w:val="-4"/>
                <w:position w:val="4"/>
                <w:sz w:val="20"/>
                <w:szCs w:val="20"/>
              </w:rPr>
              <w:t xml:space="preserve">0. </w:t>
            </w:r>
            <w:r>
              <w:rPr>
                <w:rFonts w:ascii="Times New Roman" w:hAnsi="Times New Roman" w:eastAsia="Times New Roman" w:cs="Times New Roman"/>
                <w:spacing w:val="-2"/>
                <w:position w:val="4"/>
                <w:sz w:val="20"/>
                <w:szCs w:val="20"/>
              </w:rPr>
              <w:t>1mg/kg</w:t>
            </w:r>
          </w:p>
        </w:tc>
        <w:tc>
          <w:tcPr>
            <w:tcW w:w="930" w:type="dxa"/>
            <w:tcBorders>
              <w:left w:val="single" w:color="000000" w:sz="4" w:space="0"/>
              <w:right w:val="single" w:color="000000" w:sz="4" w:space="0"/>
            </w:tcBorders>
            <w:vAlign w:val="top"/>
          </w:tcPr>
          <w:p w14:paraId="61B1C08A">
            <w:pPr>
              <w:spacing w:before="95" w:line="198"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.5</w:t>
            </w:r>
          </w:p>
        </w:tc>
        <w:tc>
          <w:tcPr>
            <w:tcW w:w="1226" w:type="dxa"/>
            <w:tcBorders>
              <w:left w:val="single" w:color="000000" w:sz="4" w:space="0"/>
              <w:right w:val="single" w:color="000000" w:sz="4" w:space="0"/>
            </w:tcBorders>
            <w:vAlign w:val="top"/>
          </w:tcPr>
          <w:p w14:paraId="7760F273">
            <w:pPr>
              <w:spacing w:before="22"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208C5307">
            <w:pPr>
              <w:spacing w:before="95"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7D4C9912">
            <w:pPr>
              <w:spacing w:before="95"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3B822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6ADBE2AC">
            <w:pPr>
              <w:spacing w:before="95" w:line="195" w:lineRule="auto"/>
              <w:ind w:left="1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46</w:t>
            </w:r>
          </w:p>
        </w:tc>
        <w:tc>
          <w:tcPr>
            <w:tcW w:w="944" w:type="dxa"/>
            <w:vMerge w:val="continue"/>
            <w:tcBorders>
              <w:top w:val="nil"/>
              <w:left w:val="single" w:color="000000" w:sz="4" w:space="0"/>
              <w:bottom w:val="nil"/>
              <w:right w:val="single" w:color="000000" w:sz="4" w:space="0"/>
            </w:tcBorders>
            <w:vAlign w:val="top"/>
          </w:tcPr>
          <w:p w14:paraId="43A33794">
            <w:pPr>
              <w:rPr>
                <w:rFonts w:ascii="Arial"/>
                <w:sz w:val="21"/>
              </w:rPr>
            </w:pPr>
          </w:p>
        </w:tc>
        <w:tc>
          <w:tcPr>
            <w:tcW w:w="1680" w:type="dxa"/>
            <w:tcBorders>
              <w:left w:val="single" w:color="000000" w:sz="4" w:space="0"/>
              <w:right w:val="single" w:color="000000" w:sz="4" w:space="0"/>
            </w:tcBorders>
            <w:vAlign w:val="top"/>
          </w:tcPr>
          <w:p w14:paraId="60DFCDD9">
            <w:pPr>
              <w:spacing w:before="22" w:line="281" w:lineRule="exact"/>
              <w:ind w:left="119"/>
              <w:rPr>
                <w:rFonts w:ascii="宋体" w:hAnsi="宋体" w:eastAsia="宋体" w:cs="宋体"/>
                <w:sz w:val="20"/>
                <w:szCs w:val="20"/>
              </w:rPr>
            </w:pPr>
            <w:r>
              <w:rPr>
                <w:rFonts w:ascii="宋体" w:hAnsi="宋体" w:eastAsia="宋体" w:cs="宋体"/>
                <w:spacing w:val="6"/>
                <w:position w:val="2"/>
                <w:sz w:val="20"/>
                <w:szCs w:val="20"/>
              </w:rPr>
              <w:t>茚</w:t>
            </w:r>
            <w:r>
              <w:rPr>
                <w:rFonts w:ascii="宋体" w:hAnsi="宋体" w:eastAsia="宋体" w:cs="宋体"/>
                <w:spacing w:val="5"/>
                <w:position w:val="2"/>
                <w:sz w:val="20"/>
                <w:szCs w:val="20"/>
              </w:rPr>
              <w:t>并</w:t>
            </w:r>
            <w:r>
              <w:rPr>
                <w:rFonts w:ascii="Times New Roman" w:hAnsi="Times New Roman" w:eastAsia="Times New Roman" w:cs="Times New Roman"/>
                <w:spacing w:val="5"/>
                <w:position w:val="2"/>
                <w:sz w:val="20"/>
                <w:szCs w:val="20"/>
              </w:rPr>
              <w:t>[1,2,3-</w:t>
            </w:r>
            <w:r>
              <w:rPr>
                <w:rFonts w:ascii="Times New Roman" w:hAnsi="Times New Roman" w:eastAsia="Times New Roman" w:cs="Times New Roman"/>
                <w:position w:val="2"/>
                <w:sz w:val="20"/>
                <w:szCs w:val="20"/>
              </w:rPr>
              <w:t>cd</w:t>
            </w:r>
            <w:r>
              <w:rPr>
                <w:rFonts w:ascii="Times New Roman" w:hAnsi="Times New Roman" w:eastAsia="Times New Roman" w:cs="Times New Roman"/>
                <w:spacing w:val="5"/>
                <w:position w:val="2"/>
                <w:sz w:val="20"/>
                <w:szCs w:val="20"/>
              </w:rPr>
              <w:t>]</w:t>
            </w:r>
            <w:r>
              <w:rPr>
                <w:rFonts w:ascii="宋体" w:hAnsi="宋体" w:eastAsia="宋体" w:cs="宋体"/>
                <w:spacing w:val="5"/>
                <w:position w:val="2"/>
                <w:sz w:val="20"/>
                <w:szCs w:val="20"/>
              </w:rPr>
              <w:t>芘</w:t>
            </w:r>
          </w:p>
        </w:tc>
        <w:tc>
          <w:tcPr>
            <w:tcW w:w="1650" w:type="dxa"/>
            <w:tcBorders>
              <w:left w:val="single" w:color="000000" w:sz="4" w:space="0"/>
              <w:right w:val="single" w:color="000000" w:sz="4" w:space="0"/>
            </w:tcBorders>
            <w:vAlign w:val="top"/>
          </w:tcPr>
          <w:p w14:paraId="12BD00DF">
            <w:pPr>
              <w:spacing w:before="22" w:line="281" w:lineRule="exact"/>
              <w:ind w:left="339"/>
              <w:rPr>
                <w:rFonts w:ascii="Times New Roman" w:hAnsi="Times New Roman" w:eastAsia="Times New Roman" w:cs="Times New Roman"/>
                <w:sz w:val="20"/>
                <w:szCs w:val="20"/>
              </w:rPr>
            </w:pPr>
            <w:r>
              <w:rPr>
                <w:rFonts w:ascii="宋体" w:hAnsi="宋体" w:eastAsia="宋体" w:cs="宋体"/>
                <w:spacing w:val="-4"/>
                <w:position w:val="4"/>
                <w:sz w:val="20"/>
                <w:szCs w:val="20"/>
              </w:rPr>
              <w:t>＜</w:t>
            </w:r>
            <w:r>
              <w:rPr>
                <w:rFonts w:ascii="Times New Roman" w:hAnsi="Times New Roman" w:eastAsia="Times New Roman" w:cs="Times New Roman"/>
                <w:spacing w:val="-4"/>
                <w:position w:val="4"/>
                <w:sz w:val="20"/>
                <w:szCs w:val="20"/>
              </w:rPr>
              <w:t xml:space="preserve">0. </w:t>
            </w:r>
            <w:r>
              <w:rPr>
                <w:rFonts w:ascii="Times New Roman" w:hAnsi="Times New Roman" w:eastAsia="Times New Roman" w:cs="Times New Roman"/>
                <w:spacing w:val="-2"/>
                <w:position w:val="4"/>
                <w:sz w:val="20"/>
                <w:szCs w:val="20"/>
              </w:rPr>
              <w:t>1mg/kg</w:t>
            </w:r>
          </w:p>
        </w:tc>
        <w:tc>
          <w:tcPr>
            <w:tcW w:w="930" w:type="dxa"/>
            <w:tcBorders>
              <w:left w:val="single" w:color="000000" w:sz="4" w:space="0"/>
              <w:right w:val="single" w:color="000000" w:sz="4" w:space="0"/>
            </w:tcBorders>
            <w:vAlign w:val="top"/>
          </w:tcPr>
          <w:p w14:paraId="6357FBDD">
            <w:pPr>
              <w:spacing w:before="95"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c>
          <w:tcPr>
            <w:tcW w:w="1226" w:type="dxa"/>
            <w:tcBorders>
              <w:left w:val="single" w:color="000000" w:sz="4" w:space="0"/>
              <w:right w:val="single" w:color="000000" w:sz="4" w:space="0"/>
            </w:tcBorders>
            <w:vAlign w:val="top"/>
          </w:tcPr>
          <w:p w14:paraId="23D34648">
            <w:pPr>
              <w:spacing w:before="22"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1B6F3D32">
            <w:pPr>
              <w:spacing w:before="95"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307D7D30">
            <w:pPr>
              <w:spacing w:before="95"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2B4E2E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18D76368">
            <w:pPr>
              <w:spacing w:before="95" w:line="195" w:lineRule="auto"/>
              <w:ind w:left="1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47</w:t>
            </w:r>
          </w:p>
        </w:tc>
        <w:tc>
          <w:tcPr>
            <w:tcW w:w="944" w:type="dxa"/>
            <w:vMerge w:val="continue"/>
            <w:tcBorders>
              <w:top w:val="nil"/>
              <w:left w:val="single" w:color="000000" w:sz="4" w:space="0"/>
              <w:right w:val="single" w:color="000000" w:sz="4" w:space="0"/>
            </w:tcBorders>
            <w:vAlign w:val="top"/>
          </w:tcPr>
          <w:p w14:paraId="5DF24ED0">
            <w:pPr>
              <w:rPr>
                <w:rFonts w:ascii="Arial"/>
                <w:sz w:val="21"/>
              </w:rPr>
            </w:pPr>
          </w:p>
        </w:tc>
        <w:tc>
          <w:tcPr>
            <w:tcW w:w="1680" w:type="dxa"/>
            <w:tcBorders>
              <w:left w:val="single" w:color="000000" w:sz="4" w:space="0"/>
              <w:right w:val="single" w:color="000000" w:sz="4" w:space="0"/>
            </w:tcBorders>
            <w:vAlign w:val="top"/>
          </w:tcPr>
          <w:p w14:paraId="730B37FF">
            <w:pPr>
              <w:spacing w:before="59" w:line="228" w:lineRule="auto"/>
              <w:ind w:left="739"/>
              <w:rPr>
                <w:rFonts w:ascii="宋体" w:hAnsi="宋体" w:eastAsia="宋体" w:cs="宋体"/>
                <w:sz w:val="20"/>
                <w:szCs w:val="20"/>
              </w:rPr>
            </w:pPr>
            <w:r>
              <w:rPr>
                <w:rFonts w:ascii="宋体" w:hAnsi="宋体" w:eastAsia="宋体" w:cs="宋体"/>
                <w:sz w:val="20"/>
                <w:szCs w:val="20"/>
              </w:rPr>
              <w:t>萘</w:t>
            </w:r>
          </w:p>
        </w:tc>
        <w:tc>
          <w:tcPr>
            <w:tcW w:w="1650" w:type="dxa"/>
            <w:tcBorders>
              <w:left w:val="single" w:color="000000" w:sz="4" w:space="0"/>
              <w:right w:val="single" w:color="000000" w:sz="4" w:space="0"/>
            </w:tcBorders>
            <w:vAlign w:val="top"/>
          </w:tcPr>
          <w:p w14:paraId="6689014D">
            <w:pPr>
              <w:spacing w:before="21" w:line="281" w:lineRule="exact"/>
              <w:ind w:left="286"/>
              <w:rPr>
                <w:rFonts w:ascii="Times New Roman" w:hAnsi="Times New Roman" w:eastAsia="Times New Roman" w:cs="Times New Roman"/>
                <w:sz w:val="20"/>
                <w:szCs w:val="20"/>
              </w:rPr>
            </w:pPr>
            <w:r>
              <w:rPr>
                <w:rFonts w:ascii="宋体" w:hAnsi="宋体" w:eastAsia="宋体" w:cs="宋体"/>
                <w:spacing w:val="7"/>
                <w:position w:val="2"/>
                <w:sz w:val="20"/>
                <w:szCs w:val="20"/>
              </w:rPr>
              <w:t>＜</w:t>
            </w:r>
            <w:r>
              <w:rPr>
                <w:rFonts w:ascii="Times New Roman" w:hAnsi="Times New Roman" w:eastAsia="Times New Roman" w:cs="Times New Roman"/>
                <w:spacing w:val="4"/>
                <w:position w:val="2"/>
                <w:sz w:val="20"/>
                <w:szCs w:val="20"/>
              </w:rPr>
              <w:t>0.09</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0D859894">
            <w:pPr>
              <w:spacing w:before="95" w:line="195" w:lineRule="auto"/>
              <w:ind w:left="36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w:t>
            </w:r>
          </w:p>
        </w:tc>
        <w:tc>
          <w:tcPr>
            <w:tcW w:w="1226" w:type="dxa"/>
            <w:tcBorders>
              <w:left w:val="single" w:color="000000" w:sz="4" w:space="0"/>
              <w:right w:val="single" w:color="000000" w:sz="4" w:space="0"/>
            </w:tcBorders>
            <w:vAlign w:val="top"/>
          </w:tcPr>
          <w:p w14:paraId="39965AA8">
            <w:pPr>
              <w:spacing w:before="21"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5123C520">
            <w:pPr>
              <w:spacing w:before="95"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253DF650">
            <w:pPr>
              <w:spacing w:before="95"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1284B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63407CD8">
            <w:pPr>
              <w:spacing w:before="95" w:line="195" w:lineRule="auto"/>
              <w:ind w:left="237"/>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944" w:type="dxa"/>
            <w:vMerge w:val="restart"/>
            <w:tcBorders>
              <w:left w:val="single" w:color="000000" w:sz="4" w:space="0"/>
              <w:bottom w:val="nil"/>
              <w:right w:val="single" w:color="000000" w:sz="4" w:space="0"/>
            </w:tcBorders>
            <w:vAlign w:val="top"/>
          </w:tcPr>
          <w:p w14:paraId="3E4002C4">
            <w:pPr>
              <w:spacing w:line="242" w:lineRule="auto"/>
              <w:rPr>
                <w:rFonts w:ascii="Arial"/>
                <w:sz w:val="21"/>
              </w:rPr>
            </w:pPr>
          </w:p>
          <w:p w14:paraId="7E8B146B">
            <w:pPr>
              <w:spacing w:line="242" w:lineRule="auto"/>
              <w:rPr>
                <w:rFonts w:ascii="Arial"/>
                <w:sz w:val="21"/>
              </w:rPr>
            </w:pPr>
          </w:p>
          <w:p w14:paraId="0A10EBDF">
            <w:pPr>
              <w:spacing w:line="242" w:lineRule="auto"/>
              <w:rPr>
                <w:rFonts w:ascii="Arial"/>
                <w:sz w:val="21"/>
              </w:rPr>
            </w:pPr>
          </w:p>
          <w:p w14:paraId="659E061C">
            <w:pPr>
              <w:spacing w:line="242" w:lineRule="auto"/>
              <w:rPr>
                <w:rFonts w:ascii="Arial"/>
                <w:sz w:val="21"/>
              </w:rPr>
            </w:pPr>
          </w:p>
          <w:p w14:paraId="7A7CC74A">
            <w:pPr>
              <w:spacing w:line="242" w:lineRule="auto"/>
              <w:rPr>
                <w:rFonts w:ascii="Arial"/>
                <w:sz w:val="21"/>
              </w:rPr>
            </w:pPr>
          </w:p>
          <w:p w14:paraId="79A476CF">
            <w:pPr>
              <w:spacing w:line="243" w:lineRule="auto"/>
              <w:rPr>
                <w:rFonts w:ascii="Arial"/>
                <w:sz w:val="21"/>
              </w:rPr>
            </w:pPr>
          </w:p>
          <w:p w14:paraId="7C53A86B">
            <w:pPr>
              <w:spacing w:line="243" w:lineRule="auto"/>
              <w:rPr>
                <w:rFonts w:ascii="Arial"/>
                <w:sz w:val="21"/>
              </w:rPr>
            </w:pPr>
          </w:p>
          <w:p w14:paraId="651F029F">
            <w:pPr>
              <w:spacing w:line="243" w:lineRule="auto"/>
              <w:rPr>
                <w:rFonts w:ascii="Arial"/>
                <w:sz w:val="21"/>
              </w:rPr>
            </w:pPr>
          </w:p>
          <w:p w14:paraId="1D5ADA72">
            <w:pPr>
              <w:spacing w:line="243" w:lineRule="auto"/>
              <w:rPr>
                <w:rFonts w:ascii="Arial"/>
                <w:sz w:val="21"/>
              </w:rPr>
            </w:pPr>
          </w:p>
          <w:p w14:paraId="75038C18">
            <w:pPr>
              <w:spacing w:line="243" w:lineRule="auto"/>
              <w:rPr>
                <w:rFonts w:ascii="Arial"/>
                <w:sz w:val="21"/>
              </w:rPr>
            </w:pPr>
          </w:p>
          <w:p w14:paraId="5B25C863">
            <w:pPr>
              <w:spacing w:before="65" w:line="281" w:lineRule="exact"/>
              <w:ind w:left="51"/>
              <w:rPr>
                <w:rFonts w:ascii="宋体" w:hAnsi="宋体" w:eastAsia="宋体" w:cs="宋体"/>
                <w:sz w:val="20"/>
                <w:szCs w:val="20"/>
              </w:rPr>
            </w:pPr>
            <w:r>
              <w:rPr>
                <w:rFonts w:ascii="Times New Roman" w:hAnsi="Times New Roman" w:eastAsia="Times New Roman" w:cs="Times New Roman"/>
                <w:spacing w:val="9"/>
                <w:position w:val="1"/>
                <w:sz w:val="20"/>
                <w:szCs w:val="20"/>
              </w:rPr>
              <w:t>2</w:t>
            </w:r>
            <w:r>
              <w:rPr>
                <w:rFonts w:ascii="Times New Roman" w:hAnsi="Times New Roman" w:eastAsia="Times New Roman" w:cs="Times New Roman"/>
                <w:spacing w:val="6"/>
                <w:position w:val="1"/>
                <w:sz w:val="20"/>
                <w:szCs w:val="20"/>
              </w:rPr>
              <w:t>#</w:t>
            </w:r>
            <w:r>
              <w:rPr>
                <w:rFonts w:ascii="宋体" w:hAnsi="宋体" w:eastAsia="宋体" w:cs="宋体"/>
                <w:spacing w:val="6"/>
                <w:position w:val="1"/>
                <w:sz w:val="20"/>
                <w:szCs w:val="20"/>
              </w:rPr>
              <w:t>项目占</w:t>
            </w:r>
          </w:p>
          <w:p w14:paraId="25B67F71">
            <w:pPr>
              <w:spacing w:before="68" w:line="228" w:lineRule="auto"/>
              <w:ind w:left="55"/>
              <w:rPr>
                <w:rFonts w:ascii="宋体" w:hAnsi="宋体" w:eastAsia="宋体" w:cs="宋体"/>
                <w:sz w:val="20"/>
                <w:szCs w:val="20"/>
              </w:rPr>
            </w:pPr>
            <w:r>
              <w:rPr>
                <w:rFonts w:ascii="宋体" w:hAnsi="宋体" w:eastAsia="宋体" w:cs="宋体"/>
                <w:spacing w:val="8"/>
                <w:sz w:val="20"/>
                <w:szCs w:val="20"/>
              </w:rPr>
              <w:t>地</w:t>
            </w:r>
            <w:r>
              <w:rPr>
                <w:rFonts w:ascii="宋体" w:hAnsi="宋体" w:eastAsia="宋体" w:cs="宋体"/>
                <w:spacing w:val="7"/>
                <w:sz w:val="20"/>
                <w:szCs w:val="20"/>
              </w:rPr>
              <w:t>范围内</w:t>
            </w:r>
          </w:p>
          <w:p w14:paraId="180EB8D2">
            <w:pPr>
              <w:spacing w:before="65" w:line="228" w:lineRule="auto"/>
              <w:ind w:left="271"/>
              <w:rPr>
                <w:rFonts w:ascii="宋体" w:hAnsi="宋体" w:eastAsia="宋体" w:cs="宋体"/>
                <w:sz w:val="20"/>
                <w:szCs w:val="20"/>
              </w:rPr>
            </w:pPr>
            <w:r>
              <w:rPr>
                <w:rFonts w:ascii="宋体" w:hAnsi="宋体" w:eastAsia="宋体" w:cs="宋体"/>
                <w:spacing w:val="1"/>
                <w:sz w:val="20"/>
                <w:szCs w:val="20"/>
              </w:rPr>
              <w:t>东侧</w:t>
            </w:r>
          </w:p>
        </w:tc>
        <w:tc>
          <w:tcPr>
            <w:tcW w:w="1680" w:type="dxa"/>
            <w:tcBorders>
              <w:left w:val="single" w:color="000000" w:sz="4" w:space="0"/>
              <w:right w:val="single" w:color="000000" w:sz="4" w:space="0"/>
            </w:tcBorders>
            <w:vAlign w:val="top"/>
          </w:tcPr>
          <w:p w14:paraId="1B5DE024">
            <w:pPr>
              <w:spacing w:before="98" w:line="192" w:lineRule="auto"/>
              <w:ind w:left="7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PH</w:t>
            </w:r>
          </w:p>
        </w:tc>
        <w:tc>
          <w:tcPr>
            <w:tcW w:w="1650" w:type="dxa"/>
            <w:tcBorders>
              <w:left w:val="single" w:color="000000" w:sz="4" w:space="0"/>
              <w:right w:val="single" w:color="000000" w:sz="4" w:space="0"/>
            </w:tcBorders>
            <w:vAlign w:val="top"/>
          </w:tcPr>
          <w:p w14:paraId="5B344274">
            <w:pPr>
              <w:spacing w:before="95" w:line="195" w:lineRule="auto"/>
              <w:ind w:left="649"/>
              <w:rPr>
                <w:rFonts w:ascii="Times New Roman" w:hAnsi="Times New Roman" w:eastAsia="Times New Roman" w:cs="Times New Roman"/>
                <w:sz w:val="20"/>
                <w:szCs w:val="20"/>
              </w:rPr>
            </w:pPr>
            <w:r>
              <w:rPr>
                <w:rFonts w:ascii="Times New Roman" w:hAnsi="Times New Roman" w:eastAsia="Times New Roman" w:cs="Times New Roman"/>
                <w:spacing w:val="-9"/>
                <w:sz w:val="20"/>
                <w:szCs w:val="20"/>
              </w:rPr>
              <w:t>8. 15</w:t>
            </w:r>
          </w:p>
        </w:tc>
        <w:tc>
          <w:tcPr>
            <w:tcW w:w="930" w:type="dxa"/>
            <w:tcBorders>
              <w:left w:val="single" w:color="000000" w:sz="4" w:space="0"/>
              <w:right w:val="single" w:color="000000" w:sz="4" w:space="0"/>
            </w:tcBorders>
            <w:vAlign w:val="top"/>
          </w:tcPr>
          <w:p w14:paraId="11F10144">
            <w:pPr>
              <w:spacing w:before="21" w:line="281" w:lineRule="exact"/>
              <w:ind w:left="43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226" w:type="dxa"/>
            <w:tcBorders>
              <w:left w:val="single" w:color="000000" w:sz="4" w:space="0"/>
              <w:right w:val="single" w:color="000000" w:sz="4" w:space="0"/>
            </w:tcBorders>
            <w:vAlign w:val="top"/>
          </w:tcPr>
          <w:p w14:paraId="04934F02">
            <w:pPr>
              <w:spacing w:before="21"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2E891E4E">
            <w:pPr>
              <w:spacing w:before="21" w:line="281" w:lineRule="exact"/>
              <w:ind w:left="31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684" w:type="dxa"/>
            <w:tcBorders>
              <w:right w:val="nil"/>
            </w:tcBorders>
            <w:vAlign w:val="top"/>
          </w:tcPr>
          <w:p w14:paraId="43C80011">
            <w:pPr>
              <w:spacing w:before="21" w:line="281" w:lineRule="exact"/>
              <w:ind w:left="31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586800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7133A3E7">
            <w:pPr>
              <w:spacing w:before="97" w:line="195" w:lineRule="auto"/>
              <w:ind w:left="216"/>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944" w:type="dxa"/>
            <w:vMerge w:val="continue"/>
            <w:tcBorders>
              <w:top w:val="nil"/>
              <w:left w:val="single" w:color="000000" w:sz="4" w:space="0"/>
              <w:bottom w:val="nil"/>
              <w:right w:val="single" w:color="000000" w:sz="4" w:space="0"/>
            </w:tcBorders>
            <w:vAlign w:val="top"/>
          </w:tcPr>
          <w:p w14:paraId="36BF120F">
            <w:pPr>
              <w:rPr>
                <w:rFonts w:ascii="Arial"/>
                <w:sz w:val="21"/>
              </w:rPr>
            </w:pPr>
          </w:p>
        </w:tc>
        <w:tc>
          <w:tcPr>
            <w:tcW w:w="1680" w:type="dxa"/>
            <w:tcBorders>
              <w:left w:val="single" w:color="000000" w:sz="4" w:space="0"/>
              <w:right w:val="single" w:color="000000" w:sz="4" w:space="0"/>
            </w:tcBorders>
            <w:vAlign w:val="top"/>
          </w:tcPr>
          <w:p w14:paraId="0F06FF6E">
            <w:pPr>
              <w:spacing w:before="61" w:line="228" w:lineRule="auto"/>
              <w:ind w:left="738"/>
              <w:rPr>
                <w:rFonts w:ascii="宋体" w:hAnsi="宋体" w:eastAsia="宋体" w:cs="宋体"/>
                <w:sz w:val="20"/>
                <w:szCs w:val="20"/>
              </w:rPr>
            </w:pPr>
            <w:r>
              <w:rPr>
                <w:rFonts w:ascii="宋体" w:hAnsi="宋体" w:eastAsia="宋体" w:cs="宋体"/>
                <w:spacing w:val="1"/>
                <w:sz w:val="20"/>
                <w:szCs w:val="20"/>
              </w:rPr>
              <w:t>砷</w:t>
            </w:r>
          </w:p>
        </w:tc>
        <w:tc>
          <w:tcPr>
            <w:tcW w:w="1650" w:type="dxa"/>
            <w:tcBorders>
              <w:left w:val="single" w:color="000000" w:sz="4" w:space="0"/>
              <w:right w:val="single" w:color="000000" w:sz="4" w:space="0"/>
            </w:tcBorders>
            <w:vAlign w:val="top"/>
          </w:tcPr>
          <w:p w14:paraId="1D17A70B">
            <w:pPr>
              <w:spacing w:before="23" w:line="281" w:lineRule="exact"/>
              <w:ind w:left="392"/>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1.06</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11B77495">
            <w:pPr>
              <w:spacing w:before="97" w:line="195" w:lineRule="auto"/>
              <w:ind w:left="36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0</w:t>
            </w:r>
          </w:p>
        </w:tc>
        <w:tc>
          <w:tcPr>
            <w:tcW w:w="1226" w:type="dxa"/>
            <w:tcBorders>
              <w:left w:val="single" w:color="000000" w:sz="4" w:space="0"/>
              <w:right w:val="single" w:color="000000" w:sz="4" w:space="0"/>
            </w:tcBorders>
            <w:vAlign w:val="top"/>
          </w:tcPr>
          <w:p w14:paraId="52271133">
            <w:pPr>
              <w:spacing w:before="97" w:line="195" w:lineRule="auto"/>
              <w:ind w:left="4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w:t>
            </w:r>
          </w:p>
        </w:tc>
        <w:tc>
          <w:tcPr>
            <w:tcW w:w="705" w:type="dxa"/>
            <w:tcBorders>
              <w:left w:val="single" w:color="000000" w:sz="4" w:space="0"/>
            </w:tcBorders>
            <w:vAlign w:val="top"/>
          </w:tcPr>
          <w:p w14:paraId="3126661C">
            <w:pPr>
              <w:spacing w:before="97"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1B410204">
            <w:pPr>
              <w:spacing w:before="97"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7EEBC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17C9E50B">
            <w:pPr>
              <w:spacing w:before="97" w:line="195" w:lineRule="auto"/>
              <w:ind w:left="221"/>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944" w:type="dxa"/>
            <w:vMerge w:val="continue"/>
            <w:tcBorders>
              <w:top w:val="nil"/>
              <w:left w:val="single" w:color="000000" w:sz="4" w:space="0"/>
              <w:bottom w:val="nil"/>
              <w:right w:val="single" w:color="000000" w:sz="4" w:space="0"/>
            </w:tcBorders>
            <w:vAlign w:val="top"/>
          </w:tcPr>
          <w:p w14:paraId="28AEE230">
            <w:pPr>
              <w:rPr>
                <w:rFonts w:ascii="Arial"/>
                <w:sz w:val="21"/>
              </w:rPr>
            </w:pPr>
          </w:p>
        </w:tc>
        <w:tc>
          <w:tcPr>
            <w:tcW w:w="1680" w:type="dxa"/>
            <w:tcBorders>
              <w:left w:val="single" w:color="000000" w:sz="4" w:space="0"/>
              <w:right w:val="single" w:color="000000" w:sz="4" w:space="0"/>
            </w:tcBorders>
            <w:vAlign w:val="top"/>
          </w:tcPr>
          <w:p w14:paraId="04B9AE49">
            <w:pPr>
              <w:spacing w:before="60" w:line="231" w:lineRule="auto"/>
              <w:ind w:left="737"/>
              <w:rPr>
                <w:rFonts w:ascii="宋体" w:hAnsi="宋体" w:eastAsia="宋体" w:cs="宋体"/>
                <w:sz w:val="20"/>
                <w:szCs w:val="20"/>
              </w:rPr>
            </w:pPr>
            <w:r>
              <w:rPr>
                <w:rFonts w:ascii="宋体" w:hAnsi="宋体" w:eastAsia="宋体" w:cs="宋体"/>
                <w:spacing w:val="2"/>
                <w:sz w:val="20"/>
                <w:szCs w:val="20"/>
              </w:rPr>
              <w:t>镉</w:t>
            </w:r>
          </w:p>
        </w:tc>
        <w:tc>
          <w:tcPr>
            <w:tcW w:w="1650" w:type="dxa"/>
            <w:tcBorders>
              <w:left w:val="single" w:color="000000" w:sz="4" w:space="0"/>
              <w:right w:val="single" w:color="000000" w:sz="4" w:space="0"/>
            </w:tcBorders>
            <w:vAlign w:val="top"/>
          </w:tcPr>
          <w:p w14:paraId="46B1391F">
            <w:pPr>
              <w:spacing w:before="23" w:line="281" w:lineRule="exact"/>
              <w:ind w:left="323"/>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0</w:t>
            </w:r>
            <w:r>
              <w:rPr>
                <w:rFonts w:ascii="Times New Roman" w:hAnsi="Times New Roman" w:eastAsia="Times New Roman" w:cs="Times New Roman"/>
                <w:spacing w:val="6"/>
                <w:position w:val="2"/>
                <w:sz w:val="20"/>
                <w:szCs w:val="20"/>
              </w:rPr>
              <w:t>.261</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5FFB5C21">
            <w:pPr>
              <w:spacing w:before="97" w:line="195" w:lineRule="auto"/>
              <w:ind w:left="36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5</w:t>
            </w:r>
          </w:p>
        </w:tc>
        <w:tc>
          <w:tcPr>
            <w:tcW w:w="1226" w:type="dxa"/>
            <w:tcBorders>
              <w:left w:val="single" w:color="000000" w:sz="4" w:space="0"/>
              <w:right w:val="single" w:color="000000" w:sz="4" w:space="0"/>
            </w:tcBorders>
            <w:vAlign w:val="top"/>
          </w:tcPr>
          <w:p w14:paraId="252FB0FA">
            <w:pPr>
              <w:spacing w:before="97" w:line="195" w:lineRule="auto"/>
              <w:ind w:left="38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.004</w:t>
            </w:r>
          </w:p>
        </w:tc>
        <w:tc>
          <w:tcPr>
            <w:tcW w:w="705" w:type="dxa"/>
            <w:tcBorders>
              <w:left w:val="single" w:color="000000" w:sz="4" w:space="0"/>
            </w:tcBorders>
            <w:vAlign w:val="top"/>
          </w:tcPr>
          <w:p w14:paraId="21A5D1AA">
            <w:pPr>
              <w:spacing w:before="97"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0084C360">
            <w:pPr>
              <w:spacing w:before="97"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32FECB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5B936F36">
            <w:pPr>
              <w:spacing w:before="96" w:line="195" w:lineRule="auto"/>
              <w:ind w:left="21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944" w:type="dxa"/>
            <w:vMerge w:val="continue"/>
            <w:tcBorders>
              <w:top w:val="nil"/>
              <w:left w:val="single" w:color="000000" w:sz="4" w:space="0"/>
              <w:bottom w:val="nil"/>
              <w:right w:val="single" w:color="000000" w:sz="4" w:space="0"/>
            </w:tcBorders>
            <w:vAlign w:val="top"/>
          </w:tcPr>
          <w:p w14:paraId="421821E9">
            <w:pPr>
              <w:rPr>
                <w:rFonts w:ascii="Arial"/>
                <w:sz w:val="21"/>
              </w:rPr>
            </w:pPr>
          </w:p>
        </w:tc>
        <w:tc>
          <w:tcPr>
            <w:tcW w:w="1680" w:type="dxa"/>
            <w:tcBorders>
              <w:left w:val="single" w:color="000000" w:sz="4" w:space="0"/>
              <w:right w:val="single" w:color="000000" w:sz="4" w:space="0"/>
            </w:tcBorders>
            <w:vAlign w:val="top"/>
          </w:tcPr>
          <w:p w14:paraId="6405982E">
            <w:pPr>
              <w:spacing w:before="23" w:line="281" w:lineRule="exact"/>
              <w:ind w:left="457"/>
              <w:rPr>
                <w:rFonts w:ascii="Times New Roman" w:hAnsi="Times New Roman" w:eastAsia="Times New Roman" w:cs="Times New Roman"/>
                <w:sz w:val="20"/>
                <w:szCs w:val="20"/>
              </w:rPr>
            </w:pPr>
            <w:r>
              <w:rPr>
                <w:rFonts w:ascii="宋体" w:hAnsi="宋体" w:eastAsia="宋体" w:cs="宋体"/>
                <w:spacing w:val="6"/>
                <w:position w:val="2"/>
                <w:sz w:val="20"/>
                <w:szCs w:val="20"/>
              </w:rPr>
              <w:t>铬</w:t>
            </w:r>
            <w:r>
              <w:rPr>
                <w:rFonts w:ascii="Times New Roman" w:hAnsi="Times New Roman" w:eastAsia="Times New Roman" w:cs="Times New Roman"/>
                <w:spacing w:val="6"/>
                <w:position w:val="2"/>
                <w:sz w:val="20"/>
                <w:szCs w:val="20"/>
              </w:rPr>
              <w:t>(</w:t>
            </w:r>
            <w:r>
              <w:rPr>
                <w:rFonts w:ascii="宋体" w:hAnsi="宋体" w:eastAsia="宋体" w:cs="宋体"/>
                <w:spacing w:val="6"/>
                <w:position w:val="2"/>
                <w:sz w:val="20"/>
                <w:szCs w:val="20"/>
              </w:rPr>
              <w:t>六价</w:t>
            </w:r>
            <w:r>
              <w:rPr>
                <w:rFonts w:ascii="Times New Roman" w:hAnsi="Times New Roman" w:eastAsia="Times New Roman" w:cs="Times New Roman"/>
                <w:spacing w:val="5"/>
                <w:position w:val="2"/>
                <w:sz w:val="20"/>
                <w:szCs w:val="20"/>
              </w:rPr>
              <w:t>)</w:t>
            </w:r>
          </w:p>
        </w:tc>
        <w:tc>
          <w:tcPr>
            <w:tcW w:w="1650" w:type="dxa"/>
            <w:tcBorders>
              <w:left w:val="single" w:color="000000" w:sz="4" w:space="0"/>
              <w:right w:val="single" w:color="000000" w:sz="4" w:space="0"/>
            </w:tcBorders>
            <w:vAlign w:val="top"/>
          </w:tcPr>
          <w:p w14:paraId="12414D9D">
            <w:pPr>
              <w:spacing w:before="21" w:line="281" w:lineRule="exact"/>
              <w:ind w:left="418"/>
              <w:rPr>
                <w:rFonts w:ascii="Times New Roman" w:hAnsi="Times New Roman" w:eastAsia="Times New Roman" w:cs="Times New Roman"/>
                <w:sz w:val="20"/>
                <w:szCs w:val="20"/>
              </w:rPr>
            </w:pPr>
            <w:r>
              <w:rPr>
                <w:rFonts w:ascii="宋体" w:hAnsi="宋体" w:eastAsia="宋体" w:cs="宋体"/>
                <w:spacing w:val="5"/>
                <w:position w:val="4"/>
                <w:sz w:val="20"/>
                <w:szCs w:val="20"/>
              </w:rPr>
              <w:t>＜</w:t>
            </w:r>
            <w:r>
              <w:rPr>
                <w:rFonts w:ascii="Times New Roman" w:hAnsi="Times New Roman" w:eastAsia="Times New Roman" w:cs="Times New Roman"/>
                <w:spacing w:val="4"/>
                <w:position w:val="4"/>
                <w:sz w:val="20"/>
                <w:szCs w:val="20"/>
              </w:rPr>
              <w:t>2</w:t>
            </w:r>
            <w:r>
              <w:rPr>
                <w:rFonts w:ascii="Times New Roman" w:hAnsi="Times New Roman" w:eastAsia="Times New Roman" w:cs="Times New Roman"/>
                <w:position w:val="4"/>
                <w:sz w:val="20"/>
                <w:szCs w:val="20"/>
              </w:rPr>
              <w:t>mg</w:t>
            </w:r>
            <w:r>
              <w:rPr>
                <w:rFonts w:ascii="Times New Roman" w:hAnsi="Times New Roman" w:eastAsia="Times New Roman" w:cs="Times New Roman"/>
                <w:spacing w:val="4"/>
                <w:position w:val="4"/>
                <w:sz w:val="20"/>
                <w:szCs w:val="20"/>
              </w:rPr>
              <w:t>/</w:t>
            </w:r>
            <w:r>
              <w:rPr>
                <w:rFonts w:ascii="Times New Roman" w:hAnsi="Times New Roman" w:eastAsia="Times New Roman" w:cs="Times New Roman"/>
                <w:position w:val="4"/>
                <w:sz w:val="20"/>
                <w:szCs w:val="20"/>
              </w:rPr>
              <w:t>kg</w:t>
            </w:r>
          </w:p>
        </w:tc>
        <w:tc>
          <w:tcPr>
            <w:tcW w:w="930" w:type="dxa"/>
            <w:tcBorders>
              <w:left w:val="single" w:color="000000" w:sz="4" w:space="0"/>
              <w:right w:val="single" w:color="000000" w:sz="4" w:space="0"/>
            </w:tcBorders>
            <w:vAlign w:val="top"/>
          </w:tcPr>
          <w:p w14:paraId="4A0821BA">
            <w:pPr>
              <w:spacing w:before="100" w:line="192" w:lineRule="auto"/>
              <w:ind w:left="33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5.7</w:t>
            </w:r>
          </w:p>
        </w:tc>
        <w:tc>
          <w:tcPr>
            <w:tcW w:w="1226" w:type="dxa"/>
            <w:tcBorders>
              <w:left w:val="single" w:color="000000" w:sz="4" w:space="0"/>
              <w:right w:val="single" w:color="000000" w:sz="4" w:space="0"/>
            </w:tcBorders>
            <w:vAlign w:val="top"/>
          </w:tcPr>
          <w:p w14:paraId="34BF3B43">
            <w:pPr>
              <w:spacing w:before="23"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636909EF">
            <w:pPr>
              <w:spacing w:before="96"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05B1DBB1">
            <w:pPr>
              <w:spacing w:before="96"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444692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24D19632">
            <w:pPr>
              <w:spacing w:before="99" w:line="192" w:lineRule="auto"/>
              <w:ind w:left="222"/>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944" w:type="dxa"/>
            <w:vMerge w:val="continue"/>
            <w:tcBorders>
              <w:top w:val="nil"/>
              <w:left w:val="single" w:color="000000" w:sz="4" w:space="0"/>
              <w:bottom w:val="nil"/>
              <w:right w:val="single" w:color="000000" w:sz="4" w:space="0"/>
            </w:tcBorders>
            <w:vAlign w:val="top"/>
          </w:tcPr>
          <w:p w14:paraId="39C9CB7E">
            <w:pPr>
              <w:rPr>
                <w:rFonts w:ascii="Arial"/>
                <w:sz w:val="21"/>
              </w:rPr>
            </w:pPr>
          </w:p>
        </w:tc>
        <w:tc>
          <w:tcPr>
            <w:tcW w:w="1680" w:type="dxa"/>
            <w:tcBorders>
              <w:left w:val="single" w:color="000000" w:sz="4" w:space="0"/>
              <w:right w:val="single" w:color="000000" w:sz="4" w:space="0"/>
            </w:tcBorders>
            <w:vAlign w:val="top"/>
          </w:tcPr>
          <w:p w14:paraId="045EA978">
            <w:pPr>
              <w:spacing w:before="60" w:line="229" w:lineRule="auto"/>
              <w:ind w:left="738"/>
              <w:rPr>
                <w:rFonts w:ascii="宋体" w:hAnsi="宋体" w:eastAsia="宋体" w:cs="宋体"/>
                <w:sz w:val="20"/>
                <w:szCs w:val="20"/>
              </w:rPr>
            </w:pPr>
            <w:r>
              <w:rPr>
                <w:rFonts w:ascii="宋体" w:hAnsi="宋体" w:eastAsia="宋体" w:cs="宋体"/>
                <w:sz w:val="20"/>
                <w:szCs w:val="20"/>
              </w:rPr>
              <w:t>铜</w:t>
            </w:r>
          </w:p>
        </w:tc>
        <w:tc>
          <w:tcPr>
            <w:tcW w:w="1650" w:type="dxa"/>
            <w:tcBorders>
              <w:left w:val="single" w:color="000000" w:sz="4" w:space="0"/>
              <w:right w:val="single" w:color="000000" w:sz="4" w:space="0"/>
            </w:tcBorders>
            <w:vAlign w:val="top"/>
          </w:tcPr>
          <w:p w14:paraId="005E153F">
            <w:pPr>
              <w:spacing w:before="23" w:line="281" w:lineRule="exact"/>
              <w:ind w:left="399"/>
              <w:rPr>
                <w:rFonts w:ascii="Times New Roman" w:hAnsi="Times New Roman" w:eastAsia="Times New Roman" w:cs="Times New Roman"/>
                <w:sz w:val="20"/>
                <w:szCs w:val="20"/>
              </w:rPr>
            </w:pPr>
            <w:r>
              <w:rPr>
                <w:rFonts w:ascii="Times New Roman" w:hAnsi="Times New Roman" w:eastAsia="Times New Roman" w:cs="Times New Roman"/>
                <w:spacing w:val="8"/>
                <w:position w:val="4"/>
                <w:sz w:val="20"/>
                <w:szCs w:val="20"/>
              </w:rPr>
              <w:t>272</w:t>
            </w:r>
            <w:r>
              <w:rPr>
                <w:rFonts w:ascii="Times New Roman" w:hAnsi="Times New Roman" w:eastAsia="Times New Roman" w:cs="Times New Roman"/>
                <w:position w:val="4"/>
                <w:sz w:val="20"/>
                <w:szCs w:val="20"/>
              </w:rPr>
              <w:t>mg</w:t>
            </w:r>
            <w:r>
              <w:rPr>
                <w:rFonts w:ascii="Times New Roman" w:hAnsi="Times New Roman" w:eastAsia="Times New Roman" w:cs="Times New Roman"/>
                <w:spacing w:val="8"/>
                <w:position w:val="4"/>
                <w:sz w:val="20"/>
                <w:szCs w:val="20"/>
              </w:rPr>
              <w:t>/</w:t>
            </w:r>
            <w:r>
              <w:rPr>
                <w:rFonts w:ascii="Times New Roman" w:hAnsi="Times New Roman" w:eastAsia="Times New Roman" w:cs="Times New Roman"/>
                <w:position w:val="4"/>
                <w:sz w:val="20"/>
                <w:szCs w:val="20"/>
              </w:rPr>
              <w:t>kg</w:t>
            </w:r>
          </w:p>
        </w:tc>
        <w:tc>
          <w:tcPr>
            <w:tcW w:w="930" w:type="dxa"/>
            <w:tcBorders>
              <w:left w:val="single" w:color="000000" w:sz="4" w:space="0"/>
              <w:right w:val="single" w:color="000000" w:sz="4" w:space="0"/>
            </w:tcBorders>
            <w:vAlign w:val="top"/>
          </w:tcPr>
          <w:p w14:paraId="565393F0">
            <w:pPr>
              <w:spacing w:before="96" w:line="195" w:lineRule="auto"/>
              <w:ind w:left="221"/>
              <w:rPr>
                <w:rFonts w:ascii="Times New Roman" w:hAnsi="Times New Roman" w:eastAsia="Times New Roman" w:cs="Times New Roman"/>
                <w:sz w:val="20"/>
                <w:szCs w:val="20"/>
              </w:rPr>
            </w:pPr>
            <w:r>
              <w:rPr>
                <w:rFonts w:ascii="Times New Roman" w:hAnsi="Times New Roman" w:eastAsia="Times New Roman" w:cs="Times New Roman"/>
                <w:sz w:val="20"/>
                <w:szCs w:val="20"/>
              </w:rPr>
              <w:t>18000</w:t>
            </w:r>
          </w:p>
        </w:tc>
        <w:tc>
          <w:tcPr>
            <w:tcW w:w="1226" w:type="dxa"/>
            <w:tcBorders>
              <w:left w:val="single" w:color="000000" w:sz="4" w:space="0"/>
              <w:right w:val="single" w:color="000000" w:sz="4" w:space="0"/>
            </w:tcBorders>
            <w:vAlign w:val="top"/>
          </w:tcPr>
          <w:p w14:paraId="03799876">
            <w:pPr>
              <w:spacing w:before="97" w:line="195" w:lineRule="auto"/>
              <w:ind w:left="4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w:t>
            </w:r>
          </w:p>
        </w:tc>
        <w:tc>
          <w:tcPr>
            <w:tcW w:w="705" w:type="dxa"/>
            <w:tcBorders>
              <w:left w:val="single" w:color="000000" w:sz="4" w:space="0"/>
            </w:tcBorders>
            <w:vAlign w:val="top"/>
          </w:tcPr>
          <w:p w14:paraId="6815EDE4">
            <w:pPr>
              <w:spacing w:before="96"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667B4B63">
            <w:pPr>
              <w:spacing w:before="96"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1292D6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6A2A1F77">
            <w:pPr>
              <w:spacing w:before="96" w:line="195" w:lineRule="auto"/>
              <w:ind w:left="221"/>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944" w:type="dxa"/>
            <w:vMerge w:val="continue"/>
            <w:tcBorders>
              <w:top w:val="nil"/>
              <w:left w:val="single" w:color="000000" w:sz="4" w:space="0"/>
              <w:bottom w:val="nil"/>
              <w:right w:val="single" w:color="000000" w:sz="4" w:space="0"/>
            </w:tcBorders>
            <w:vAlign w:val="top"/>
          </w:tcPr>
          <w:p w14:paraId="13D9A70F">
            <w:pPr>
              <w:rPr>
                <w:rFonts w:ascii="Arial"/>
                <w:sz w:val="21"/>
              </w:rPr>
            </w:pPr>
          </w:p>
        </w:tc>
        <w:tc>
          <w:tcPr>
            <w:tcW w:w="1680" w:type="dxa"/>
            <w:tcBorders>
              <w:left w:val="single" w:color="000000" w:sz="4" w:space="0"/>
              <w:right w:val="single" w:color="000000" w:sz="4" w:space="0"/>
            </w:tcBorders>
            <w:vAlign w:val="top"/>
          </w:tcPr>
          <w:p w14:paraId="6E4EAE8B">
            <w:pPr>
              <w:spacing w:before="60" w:line="232" w:lineRule="auto"/>
              <w:ind w:left="738"/>
              <w:rPr>
                <w:rFonts w:ascii="宋体" w:hAnsi="宋体" w:eastAsia="宋体" w:cs="宋体"/>
                <w:sz w:val="20"/>
                <w:szCs w:val="20"/>
              </w:rPr>
            </w:pPr>
            <w:r>
              <w:rPr>
                <w:rFonts w:ascii="宋体" w:hAnsi="宋体" w:eastAsia="宋体" w:cs="宋体"/>
                <w:sz w:val="20"/>
                <w:szCs w:val="20"/>
              </w:rPr>
              <w:t>铅</w:t>
            </w:r>
          </w:p>
        </w:tc>
        <w:tc>
          <w:tcPr>
            <w:tcW w:w="1650" w:type="dxa"/>
            <w:tcBorders>
              <w:left w:val="single" w:color="000000" w:sz="4" w:space="0"/>
              <w:right w:val="single" w:color="000000" w:sz="4" w:space="0"/>
            </w:tcBorders>
            <w:vAlign w:val="top"/>
          </w:tcPr>
          <w:p w14:paraId="3F9D17DD">
            <w:pPr>
              <w:spacing w:before="23" w:line="281" w:lineRule="exact"/>
              <w:ind w:left="428"/>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7</w:t>
            </w:r>
            <w:r>
              <w:rPr>
                <w:rFonts w:ascii="Times New Roman" w:hAnsi="Times New Roman" w:eastAsia="Times New Roman" w:cs="Times New Roman"/>
                <w:spacing w:val="6"/>
                <w:position w:val="2"/>
                <w:sz w:val="20"/>
                <w:szCs w:val="20"/>
              </w:rPr>
              <w:t>.4</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77AA0023">
            <w:pPr>
              <w:spacing w:before="96" w:line="195" w:lineRule="auto"/>
              <w:ind w:left="31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80</w:t>
            </w:r>
            <w:r>
              <w:rPr>
                <w:rFonts w:ascii="Times New Roman" w:hAnsi="Times New Roman" w:eastAsia="Times New Roman" w:cs="Times New Roman"/>
                <w:sz w:val="20"/>
                <w:szCs w:val="20"/>
              </w:rPr>
              <w:t>0</w:t>
            </w:r>
          </w:p>
        </w:tc>
        <w:tc>
          <w:tcPr>
            <w:tcW w:w="1226" w:type="dxa"/>
            <w:tcBorders>
              <w:left w:val="single" w:color="000000" w:sz="4" w:space="0"/>
              <w:right w:val="single" w:color="000000" w:sz="4" w:space="0"/>
            </w:tcBorders>
            <w:vAlign w:val="top"/>
          </w:tcPr>
          <w:p w14:paraId="2DA89CE4">
            <w:pPr>
              <w:spacing w:before="96" w:line="195" w:lineRule="auto"/>
              <w:ind w:left="4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0.01</w:t>
            </w:r>
          </w:p>
        </w:tc>
        <w:tc>
          <w:tcPr>
            <w:tcW w:w="705" w:type="dxa"/>
            <w:tcBorders>
              <w:left w:val="single" w:color="000000" w:sz="4" w:space="0"/>
            </w:tcBorders>
            <w:vAlign w:val="top"/>
          </w:tcPr>
          <w:p w14:paraId="0C928568">
            <w:pPr>
              <w:spacing w:before="96"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15D665BD">
            <w:pPr>
              <w:spacing w:before="96"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4513F9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1B857A69">
            <w:pPr>
              <w:spacing w:before="99" w:line="192" w:lineRule="auto"/>
              <w:ind w:left="220"/>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944" w:type="dxa"/>
            <w:vMerge w:val="continue"/>
            <w:tcBorders>
              <w:top w:val="nil"/>
              <w:left w:val="single" w:color="000000" w:sz="4" w:space="0"/>
              <w:bottom w:val="nil"/>
              <w:right w:val="single" w:color="000000" w:sz="4" w:space="0"/>
            </w:tcBorders>
            <w:vAlign w:val="top"/>
          </w:tcPr>
          <w:p w14:paraId="7C46C9EE">
            <w:pPr>
              <w:rPr>
                <w:rFonts w:ascii="Arial"/>
                <w:sz w:val="21"/>
              </w:rPr>
            </w:pPr>
          </w:p>
        </w:tc>
        <w:tc>
          <w:tcPr>
            <w:tcW w:w="1680" w:type="dxa"/>
            <w:tcBorders>
              <w:left w:val="single" w:color="000000" w:sz="4" w:space="0"/>
              <w:right w:val="single" w:color="000000" w:sz="4" w:space="0"/>
            </w:tcBorders>
            <w:vAlign w:val="top"/>
          </w:tcPr>
          <w:p w14:paraId="56285AA1">
            <w:pPr>
              <w:spacing w:before="60" w:line="228" w:lineRule="auto"/>
              <w:ind w:left="739"/>
              <w:rPr>
                <w:rFonts w:ascii="宋体" w:hAnsi="宋体" w:eastAsia="宋体" w:cs="宋体"/>
                <w:sz w:val="20"/>
                <w:szCs w:val="20"/>
              </w:rPr>
            </w:pPr>
            <w:r>
              <w:rPr>
                <w:rFonts w:ascii="宋体" w:hAnsi="宋体" w:eastAsia="宋体" w:cs="宋体"/>
                <w:sz w:val="20"/>
                <w:szCs w:val="20"/>
              </w:rPr>
              <w:t>汞</w:t>
            </w:r>
          </w:p>
        </w:tc>
        <w:tc>
          <w:tcPr>
            <w:tcW w:w="1650" w:type="dxa"/>
            <w:tcBorders>
              <w:left w:val="single" w:color="000000" w:sz="4" w:space="0"/>
              <w:right w:val="single" w:color="000000" w:sz="4" w:space="0"/>
            </w:tcBorders>
            <w:vAlign w:val="top"/>
          </w:tcPr>
          <w:p w14:paraId="3E226908">
            <w:pPr>
              <w:spacing w:before="22" w:line="281" w:lineRule="exact"/>
              <w:ind w:left="323"/>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0</w:t>
            </w:r>
            <w:r>
              <w:rPr>
                <w:rFonts w:ascii="Times New Roman" w:hAnsi="Times New Roman" w:eastAsia="Times New Roman" w:cs="Times New Roman"/>
                <w:spacing w:val="6"/>
                <w:position w:val="2"/>
                <w:sz w:val="20"/>
                <w:szCs w:val="20"/>
              </w:rPr>
              <w:t>.620</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1F8C2649">
            <w:pPr>
              <w:spacing w:before="96" w:line="195" w:lineRule="auto"/>
              <w:ind w:left="36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8</w:t>
            </w:r>
          </w:p>
        </w:tc>
        <w:tc>
          <w:tcPr>
            <w:tcW w:w="1226" w:type="dxa"/>
            <w:tcBorders>
              <w:left w:val="single" w:color="000000" w:sz="4" w:space="0"/>
              <w:right w:val="single" w:color="000000" w:sz="4" w:space="0"/>
            </w:tcBorders>
            <w:vAlign w:val="top"/>
          </w:tcPr>
          <w:p w14:paraId="26CC93DD">
            <w:pPr>
              <w:spacing w:before="96" w:line="195" w:lineRule="auto"/>
              <w:ind w:left="4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w:t>
            </w:r>
          </w:p>
        </w:tc>
        <w:tc>
          <w:tcPr>
            <w:tcW w:w="705" w:type="dxa"/>
            <w:tcBorders>
              <w:left w:val="single" w:color="000000" w:sz="4" w:space="0"/>
            </w:tcBorders>
            <w:vAlign w:val="top"/>
          </w:tcPr>
          <w:p w14:paraId="648249A2">
            <w:pPr>
              <w:spacing w:before="96"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399A1CFA">
            <w:pPr>
              <w:spacing w:before="96"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63EF16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163FAEBD">
            <w:pPr>
              <w:spacing w:before="96" w:line="195" w:lineRule="auto"/>
              <w:ind w:left="225"/>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944" w:type="dxa"/>
            <w:vMerge w:val="continue"/>
            <w:tcBorders>
              <w:top w:val="nil"/>
              <w:left w:val="single" w:color="000000" w:sz="4" w:space="0"/>
              <w:bottom w:val="nil"/>
              <w:right w:val="single" w:color="000000" w:sz="4" w:space="0"/>
            </w:tcBorders>
            <w:vAlign w:val="top"/>
          </w:tcPr>
          <w:p w14:paraId="0CE2408F">
            <w:pPr>
              <w:rPr>
                <w:rFonts w:ascii="Arial"/>
                <w:sz w:val="21"/>
              </w:rPr>
            </w:pPr>
          </w:p>
        </w:tc>
        <w:tc>
          <w:tcPr>
            <w:tcW w:w="1680" w:type="dxa"/>
            <w:tcBorders>
              <w:left w:val="single" w:color="000000" w:sz="4" w:space="0"/>
              <w:right w:val="single" w:color="000000" w:sz="4" w:space="0"/>
            </w:tcBorders>
            <w:vAlign w:val="top"/>
          </w:tcPr>
          <w:p w14:paraId="1DFC4CC4">
            <w:pPr>
              <w:spacing w:before="60" w:line="228" w:lineRule="auto"/>
              <w:ind w:left="738"/>
              <w:rPr>
                <w:rFonts w:ascii="宋体" w:hAnsi="宋体" w:eastAsia="宋体" w:cs="宋体"/>
                <w:sz w:val="20"/>
                <w:szCs w:val="20"/>
              </w:rPr>
            </w:pPr>
            <w:r>
              <w:rPr>
                <w:rFonts w:ascii="宋体" w:hAnsi="宋体" w:eastAsia="宋体" w:cs="宋体"/>
                <w:spacing w:val="1"/>
                <w:sz w:val="20"/>
                <w:szCs w:val="20"/>
              </w:rPr>
              <w:t>镍</w:t>
            </w:r>
          </w:p>
        </w:tc>
        <w:tc>
          <w:tcPr>
            <w:tcW w:w="1650" w:type="dxa"/>
            <w:tcBorders>
              <w:left w:val="single" w:color="000000" w:sz="4" w:space="0"/>
              <w:right w:val="single" w:color="000000" w:sz="4" w:space="0"/>
            </w:tcBorders>
            <w:vAlign w:val="top"/>
          </w:tcPr>
          <w:p w14:paraId="193C75FB">
            <w:pPr>
              <w:spacing w:before="22" w:line="281" w:lineRule="exact"/>
              <w:ind w:left="399"/>
              <w:rPr>
                <w:rFonts w:ascii="Times New Roman" w:hAnsi="Times New Roman" w:eastAsia="Times New Roman" w:cs="Times New Roman"/>
                <w:sz w:val="20"/>
                <w:szCs w:val="20"/>
              </w:rPr>
            </w:pPr>
            <w:r>
              <w:rPr>
                <w:rFonts w:ascii="Times New Roman" w:hAnsi="Times New Roman" w:eastAsia="Times New Roman" w:cs="Times New Roman"/>
                <w:spacing w:val="8"/>
                <w:position w:val="4"/>
                <w:sz w:val="20"/>
                <w:szCs w:val="20"/>
              </w:rPr>
              <w:t>271</w:t>
            </w:r>
            <w:r>
              <w:rPr>
                <w:rFonts w:ascii="Times New Roman" w:hAnsi="Times New Roman" w:eastAsia="Times New Roman" w:cs="Times New Roman"/>
                <w:position w:val="4"/>
                <w:sz w:val="20"/>
                <w:szCs w:val="20"/>
              </w:rPr>
              <w:t>mg</w:t>
            </w:r>
            <w:r>
              <w:rPr>
                <w:rFonts w:ascii="Times New Roman" w:hAnsi="Times New Roman" w:eastAsia="Times New Roman" w:cs="Times New Roman"/>
                <w:spacing w:val="8"/>
                <w:position w:val="4"/>
                <w:sz w:val="20"/>
                <w:szCs w:val="20"/>
              </w:rPr>
              <w:t>/</w:t>
            </w:r>
            <w:r>
              <w:rPr>
                <w:rFonts w:ascii="Times New Roman" w:hAnsi="Times New Roman" w:eastAsia="Times New Roman" w:cs="Times New Roman"/>
                <w:position w:val="4"/>
                <w:sz w:val="20"/>
                <w:szCs w:val="20"/>
              </w:rPr>
              <w:t>kg</w:t>
            </w:r>
          </w:p>
        </w:tc>
        <w:tc>
          <w:tcPr>
            <w:tcW w:w="930" w:type="dxa"/>
            <w:tcBorders>
              <w:left w:val="single" w:color="000000" w:sz="4" w:space="0"/>
              <w:right w:val="single" w:color="000000" w:sz="4" w:space="0"/>
            </w:tcBorders>
            <w:vAlign w:val="top"/>
          </w:tcPr>
          <w:p w14:paraId="4946AD98">
            <w:pPr>
              <w:spacing w:before="96" w:line="195" w:lineRule="auto"/>
              <w:ind w:left="3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w:t>
            </w:r>
            <w:r>
              <w:rPr>
                <w:rFonts w:ascii="Times New Roman" w:hAnsi="Times New Roman" w:eastAsia="Times New Roman" w:cs="Times New Roman"/>
                <w:spacing w:val="2"/>
                <w:sz w:val="20"/>
                <w:szCs w:val="20"/>
              </w:rPr>
              <w:t>00</w:t>
            </w:r>
          </w:p>
        </w:tc>
        <w:tc>
          <w:tcPr>
            <w:tcW w:w="1226" w:type="dxa"/>
            <w:tcBorders>
              <w:left w:val="single" w:color="000000" w:sz="4" w:space="0"/>
              <w:right w:val="single" w:color="000000" w:sz="4" w:space="0"/>
            </w:tcBorders>
            <w:vAlign w:val="top"/>
          </w:tcPr>
          <w:p w14:paraId="133443F5">
            <w:pPr>
              <w:spacing w:before="96" w:line="195" w:lineRule="auto"/>
              <w:ind w:left="4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0.30</w:t>
            </w:r>
          </w:p>
        </w:tc>
        <w:tc>
          <w:tcPr>
            <w:tcW w:w="705" w:type="dxa"/>
            <w:tcBorders>
              <w:left w:val="single" w:color="000000" w:sz="4" w:space="0"/>
            </w:tcBorders>
            <w:vAlign w:val="top"/>
          </w:tcPr>
          <w:p w14:paraId="69504FD9">
            <w:pPr>
              <w:spacing w:before="96"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5EEAFA63">
            <w:pPr>
              <w:spacing w:before="96"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5BAF04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463704BB">
            <w:pPr>
              <w:spacing w:before="95" w:line="195" w:lineRule="auto"/>
              <w:ind w:left="220"/>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944" w:type="dxa"/>
            <w:vMerge w:val="continue"/>
            <w:tcBorders>
              <w:top w:val="nil"/>
              <w:left w:val="single" w:color="000000" w:sz="4" w:space="0"/>
              <w:bottom w:val="nil"/>
              <w:right w:val="single" w:color="000000" w:sz="4" w:space="0"/>
            </w:tcBorders>
            <w:vAlign w:val="top"/>
          </w:tcPr>
          <w:p w14:paraId="5248B7EF">
            <w:pPr>
              <w:rPr>
                <w:rFonts w:ascii="Arial"/>
                <w:sz w:val="21"/>
              </w:rPr>
            </w:pPr>
          </w:p>
        </w:tc>
        <w:tc>
          <w:tcPr>
            <w:tcW w:w="1680" w:type="dxa"/>
            <w:tcBorders>
              <w:left w:val="single" w:color="000000" w:sz="4" w:space="0"/>
              <w:right w:val="single" w:color="000000" w:sz="4" w:space="0"/>
            </w:tcBorders>
            <w:vAlign w:val="top"/>
          </w:tcPr>
          <w:p w14:paraId="18226A67">
            <w:pPr>
              <w:spacing w:before="60" w:line="233" w:lineRule="auto"/>
              <w:ind w:left="527"/>
              <w:rPr>
                <w:rFonts w:ascii="宋体" w:hAnsi="宋体" w:eastAsia="宋体" w:cs="宋体"/>
                <w:sz w:val="20"/>
                <w:szCs w:val="20"/>
              </w:rPr>
            </w:pPr>
            <w:r>
              <w:rPr>
                <w:rFonts w:ascii="宋体" w:hAnsi="宋体" w:eastAsia="宋体" w:cs="宋体"/>
                <w:spacing w:val="7"/>
                <w:sz w:val="20"/>
                <w:szCs w:val="20"/>
              </w:rPr>
              <w:t>全盐</w:t>
            </w:r>
            <w:r>
              <w:rPr>
                <w:rFonts w:ascii="宋体" w:hAnsi="宋体" w:eastAsia="宋体" w:cs="宋体"/>
                <w:spacing w:val="6"/>
                <w:sz w:val="20"/>
                <w:szCs w:val="20"/>
              </w:rPr>
              <w:t>量</w:t>
            </w:r>
          </w:p>
        </w:tc>
        <w:tc>
          <w:tcPr>
            <w:tcW w:w="1650" w:type="dxa"/>
            <w:tcBorders>
              <w:left w:val="single" w:color="000000" w:sz="4" w:space="0"/>
              <w:right w:val="single" w:color="000000" w:sz="4" w:space="0"/>
            </w:tcBorders>
            <w:vAlign w:val="top"/>
          </w:tcPr>
          <w:p w14:paraId="31A3E5DA">
            <w:pPr>
              <w:spacing w:before="22" w:line="281" w:lineRule="exact"/>
              <w:ind w:left="507"/>
              <w:rPr>
                <w:rFonts w:ascii="Times New Roman" w:hAnsi="Times New Roman" w:eastAsia="Times New Roman" w:cs="Times New Roman"/>
                <w:sz w:val="20"/>
                <w:szCs w:val="20"/>
              </w:rPr>
            </w:pPr>
            <w:r>
              <w:rPr>
                <w:rFonts w:ascii="Times New Roman" w:hAnsi="Times New Roman" w:eastAsia="Times New Roman" w:cs="Times New Roman"/>
                <w:spacing w:val="7"/>
                <w:position w:val="2"/>
                <w:sz w:val="20"/>
                <w:szCs w:val="20"/>
              </w:rPr>
              <w:t>2</w:t>
            </w:r>
            <w:r>
              <w:rPr>
                <w:rFonts w:ascii="Times New Roman" w:hAnsi="Times New Roman" w:eastAsia="Times New Roman" w:cs="Times New Roman"/>
                <w:spacing w:val="5"/>
                <w:position w:val="2"/>
                <w:sz w:val="20"/>
                <w:szCs w:val="20"/>
              </w:rPr>
              <w:t>.2</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5"/>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529255B7">
            <w:pPr>
              <w:spacing w:before="22" w:line="281" w:lineRule="exact"/>
              <w:ind w:left="43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226" w:type="dxa"/>
            <w:tcBorders>
              <w:left w:val="single" w:color="000000" w:sz="4" w:space="0"/>
              <w:right w:val="single" w:color="000000" w:sz="4" w:space="0"/>
            </w:tcBorders>
            <w:vAlign w:val="top"/>
          </w:tcPr>
          <w:p w14:paraId="1BE6A080">
            <w:pPr>
              <w:spacing w:before="22"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40F1D6D0">
            <w:pPr>
              <w:spacing w:before="22" w:line="281" w:lineRule="exact"/>
              <w:ind w:left="31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684" w:type="dxa"/>
            <w:tcBorders>
              <w:right w:val="nil"/>
            </w:tcBorders>
            <w:vAlign w:val="top"/>
          </w:tcPr>
          <w:p w14:paraId="2D34A262">
            <w:pPr>
              <w:spacing w:before="22" w:line="281" w:lineRule="exact"/>
              <w:ind w:left="31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731A8F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6E369308">
            <w:pPr>
              <w:spacing w:before="95" w:line="195" w:lineRule="auto"/>
              <w:ind w:left="18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944" w:type="dxa"/>
            <w:vMerge w:val="continue"/>
            <w:tcBorders>
              <w:top w:val="nil"/>
              <w:left w:val="single" w:color="000000" w:sz="4" w:space="0"/>
              <w:bottom w:val="nil"/>
              <w:right w:val="single" w:color="000000" w:sz="4" w:space="0"/>
            </w:tcBorders>
            <w:vAlign w:val="top"/>
          </w:tcPr>
          <w:p w14:paraId="491052F0">
            <w:pPr>
              <w:rPr>
                <w:rFonts w:ascii="Arial"/>
                <w:sz w:val="21"/>
              </w:rPr>
            </w:pPr>
          </w:p>
        </w:tc>
        <w:tc>
          <w:tcPr>
            <w:tcW w:w="1680" w:type="dxa"/>
            <w:tcBorders>
              <w:left w:val="single" w:color="000000" w:sz="4" w:space="0"/>
              <w:right w:val="single" w:color="000000" w:sz="4" w:space="0"/>
            </w:tcBorders>
            <w:vAlign w:val="top"/>
          </w:tcPr>
          <w:p w14:paraId="7C8CCCC6">
            <w:pPr>
              <w:spacing w:before="60" w:line="228" w:lineRule="auto"/>
              <w:ind w:left="441"/>
              <w:rPr>
                <w:rFonts w:ascii="宋体" w:hAnsi="宋体" w:eastAsia="宋体" w:cs="宋体"/>
                <w:sz w:val="20"/>
                <w:szCs w:val="20"/>
              </w:rPr>
            </w:pPr>
            <w:r>
              <w:rPr>
                <w:rFonts w:ascii="宋体" w:hAnsi="宋体" w:eastAsia="宋体" w:cs="宋体"/>
                <w:spacing w:val="3"/>
                <w:sz w:val="20"/>
                <w:szCs w:val="20"/>
              </w:rPr>
              <w:t>四</w:t>
            </w:r>
            <w:r>
              <w:rPr>
                <w:rFonts w:ascii="宋体" w:hAnsi="宋体" w:eastAsia="宋体" w:cs="宋体"/>
                <w:spacing w:val="2"/>
                <w:sz w:val="20"/>
                <w:szCs w:val="20"/>
              </w:rPr>
              <w:t>氯化碳</w:t>
            </w:r>
          </w:p>
        </w:tc>
        <w:tc>
          <w:tcPr>
            <w:tcW w:w="1650" w:type="dxa"/>
            <w:tcBorders>
              <w:left w:val="single" w:color="000000" w:sz="4" w:space="0"/>
              <w:right w:val="single" w:color="000000" w:sz="4" w:space="0"/>
            </w:tcBorders>
            <w:vAlign w:val="top"/>
          </w:tcPr>
          <w:p w14:paraId="43BF3163">
            <w:pPr>
              <w:spacing w:before="22"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1.3μ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4104DB00">
            <w:pPr>
              <w:spacing w:before="95" w:line="198" w:lineRule="auto"/>
              <w:ind w:left="333"/>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5"/>
                <w:sz w:val="20"/>
                <w:szCs w:val="20"/>
              </w:rPr>
              <w:t>.8</w:t>
            </w:r>
          </w:p>
        </w:tc>
        <w:tc>
          <w:tcPr>
            <w:tcW w:w="1226" w:type="dxa"/>
            <w:tcBorders>
              <w:left w:val="single" w:color="000000" w:sz="4" w:space="0"/>
              <w:right w:val="single" w:color="000000" w:sz="4" w:space="0"/>
            </w:tcBorders>
            <w:vAlign w:val="top"/>
          </w:tcPr>
          <w:p w14:paraId="082DA093">
            <w:pPr>
              <w:spacing w:before="22"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37062347">
            <w:pPr>
              <w:spacing w:before="95"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1FB9BFBD">
            <w:pPr>
              <w:spacing w:before="95"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2E9852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2C900B89">
            <w:pPr>
              <w:spacing w:before="95" w:line="195" w:lineRule="auto"/>
              <w:ind w:left="189"/>
              <w:rPr>
                <w:rFonts w:ascii="Times New Roman" w:hAnsi="Times New Roman" w:eastAsia="Times New Roman" w:cs="Times New Roman"/>
                <w:sz w:val="20"/>
                <w:szCs w:val="20"/>
              </w:rPr>
            </w:pPr>
            <w:r>
              <w:rPr>
                <w:rFonts w:ascii="Times New Roman" w:hAnsi="Times New Roman" w:eastAsia="Times New Roman" w:cs="Times New Roman"/>
                <w:spacing w:val="-11"/>
                <w:sz w:val="20"/>
                <w:szCs w:val="20"/>
              </w:rPr>
              <w:t>1</w:t>
            </w:r>
            <w:r>
              <w:rPr>
                <w:rFonts w:ascii="Times New Roman" w:hAnsi="Times New Roman" w:eastAsia="Times New Roman" w:cs="Times New Roman"/>
                <w:spacing w:val="-9"/>
                <w:sz w:val="20"/>
                <w:szCs w:val="20"/>
              </w:rPr>
              <w:t>1</w:t>
            </w:r>
          </w:p>
        </w:tc>
        <w:tc>
          <w:tcPr>
            <w:tcW w:w="944" w:type="dxa"/>
            <w:vMerge w:val="continue"/>
            <w:tcBorders>
              <w:top w:val="nil"/>
              <w:left w:val="single" w:color="000000" w:sz="4" w:space="0"/>
              <w:bottom w:val="nil"/>
              <w:right w:val="single" w:color="000000" w:sz="4" w:space="0"/>
            </w:tcBorders>
            <w:vAlign w:val="top"/>
          </w:tcPr>
          <w:p w14:paraId="3899F206">
            <w:pPr>
              <w:rPr>
                <w:rFonts w:ascii="Arial"/>
                <w:sz w:val="21"/>
              </w:rPr>
            </w:pPr>
          </w:p>
        </w:tc>
        <w:tc>
          <w:tcPr>
            <w:tcW w:w="1680" w:type="dxa"/>
            <w:tcBorders>
              <w:left w:val="single" w:color="000000" w:sz="4" w:space="0"/>
              <w:right w:val="single" w:color="000000" w:sz="4" w:space="0"/>
            </w:tcBorders>
            <w:vAlign w:val="top"/>
          </w:tcPr>
          <w:p w14:paraId="45D62783">
            <w:pPr>
              <w:spacing w:before="60" w:line="228" w:lineRule="auto"/>
              <w:ind w:left="636"/>
              <w:rPr>
                <w:rFonts w:ascii="宋体" w:hAnsi="宋体" w:eastAsia="宋体" w:cs="宋体"/>
                <w:sz w:val="20"/>
                <w:szCs w:val="20"/>
              </w:rPr>
            </w:pPr>
            <w:r>
              <w:rPr>
                <w:rFonts w:ascii="宋体" w:hAnsi="宋体" w:eastAsia="宋体" w:cs="宋体"/>
                <w:spacing w:val="3"/>
                <w:sz w:val="20"/>
                <w:szCs w:val="20"/>
              </w:rPr>
              <w:t>氯仿</w:t>
            </w:r>
          </w:p>
        </w:tc>
        <w:tc>
          <w:tcPr>
            <w:tcW w:w="1650" w:type="dxa"/>
            <w:tcBorders>
              <w:left w:val="single" w:color="000000" w:sz="4" w:space="0"/>
              <w:right w:val="single" w:color="000000" w:sz="4" w:space="0"/>
            </w:tcBorders>
            <w:vAlign w:val="top"/>
          </w:tcPr>
          <w:p w14:paraId="0E119A3F">
            <w:pPr>
              <w:spacing w:before="22" w:line="281" w:lineRule="exact"/>
              <w:ind w:left="365"/>
              <w:rPr>
                <w:rFonts w:ascii="Times New Roman" w:hAnsi="Times New Roman" w:eastAsia="Times New Roman" w:cs="Times New Roman"/>
                <w:sz w:val="20"/>
                <w:szCs w:val="20"/>
              </w:rPr>
            </w:pPr>
            <w:r>
              <w:rPr>
                <w:rFonts w:ascii="宋体" w:hAnsi="宋体" w:eastAsia="宋体" w:cs="宋体"/>
                <w:spacing w:val="-3"/>
                <w:position w:val="4"/>
                <w:sz w:val="20"/>
                <w:szCs w:val="20"/>
              </w:rPr>
              <w:t>＜</w:t>
            </w:r>
            <w:r>
              <w:rPr>
                <w:rFonts w:ascii="Times New Roman" w:hAnsi="Times New Roman" w:eastAsia="Times New Roman" w:cs="Times New Roman"/>
                <w:spacing w:val="-3"/>
                <w:position w:val="4"/>
                <w:sz w:val="20"/>
                <w:szCs w:val="20"/>
              </w:rPr>
              <w:t>1. 1μg/kg</w:t>
            </w:r>
          </w:p>
        </w:tc>
        <w:tc>
          <w:tcPr>
            <w:tcW w:w="930" w:type="dxa"/>
            <w:tcBorders>
              <w:left w:val="single" w:color="000000" w:sz="4" w:space="0"/>
              <w:right w:val="single" w:color="000000" w:sz="4" w:space="0"/>
            </w:tcBorders>
            <w:vAlign w:val="top"/>
          </w:tcPr>
          <w:p w14:paraId="58A4715A">
            <w:pPr>
              <w:spacing w:before="95" w:line="195" w:lineRule="auto"/>
              <w:ind w:left="33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w:t>
            </w:r>
          </w:p>
        </w:tc>
        <w:tc>
          <w:tcPr>
            <w:tcW w:w="1226" w:type="dxa"/>
            <w:tcBorders>
              <w:left w:val="single" w:color="000000" w:sz="4" w:space="0"/>
              <w:right w:val="single" w:color="000000" w:sz="4" w:space="0"/>
            </w:tcBorders>
            <w:vAlign w:val="top"/>
          </w:tcPr>
          <w:p w14:paraId="3BFA30C7">
            <w:pPr>
              <w:spacing w:before="22"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15F9AD92">
            <w:pPr>
              <w:spacing w:before="95"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0F113EAA">
            <w:pPr>
              <w:spacing w:before="95"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765D81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0E0BF581">
            <w:pPr>
              <w:spacing w:before="95" w:line="195" w:lineRule="auto"/>
              <w:ind w:left="18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2</w:t>
            </w:r>
          </w:p>
        </w:tc>
        <w:tc>
          <w:tcPr>
            <w:tcW w:w="944" w:type="dxa"/>
            <w:vMerge w:val="continue"/>
            <w:tcBorders>
              <w:top w:val="nil"/>
              <w:left w:val="single" w:color="000000" w:sz="4" w:space="0"/>
              <w:bottom w:val="nil"/>
              <w:right w:val="single" w:color="000000" w:sz="4" w:space="0"/>
            </w:tcBorders>
            <w:vAlign w:val="top"/>
          </w:tcPr>
          <w:p w14:paraId="48E22E5C">
            <w:pPr>
              <w:rPr>
                <w:rFonts w:ascii="Arial"/>
                <w:sz w:val="21"/>
              </w:rPr>
            </w:pPr>
          </w:p>
        </w:tc>
        <w:tc>
          <w:tcPr>
            <w:tcW w:w="1680" w:type="dxa"/>
            <w:tcBorders>
              <w:left w:val="single" w:color="000000" w:sz="4" w:space="0"/>
              <w:right w:val="single" w:color="000000" w:sz="4" w:space="0"/>
            </w:tcBorders>
            <w:vAlign w:val="top"/>
          </w:tcPr>
          <w:p w14:paraId="72876E6A">
            <w:pPr>
              <w:spacing w:before="59" w:line="228" w:lineRule="auto"/>
              <w:ind w:left="531"/>
              <w:rPr>
                <w:rFonts w:ascii="宋体" w:hAnsi="宋体" w:eastAsia="宋体" w:cs="宋体"/>
                <w:sz w:val="20"/>
                <w:szCs w:val="20"/>
              </w:rPr>
            </w:pPr>
            <w:r>
              <w:rPr>
                <w:rFonts w:ascii="宋体" w:hAnsi="宋体" w:eastAsia="宋体" w:cs="宋体"/>
                <w:spacing w:val="6"/>
                <w:sz w:val="20"/>
                <w:szCs w:val="20"/>
              </w:rPr>
              <w:t>氯甲</w:t>
            </w:r>
            <w:r>
              <w:rPr>
                <w:rFonts w:ascii="宋体" w:hAnsi="宋体" w:eastAsia="宋体" w:cs="宋体"/>
                <w:spacing w:val="5"/>
                <w:sz w:val="20"/>
                <w:szCs w:val="20"/>
              </w:rPr>
              <w:t>烷</w:t>
            </w:r>
          </w:p>
        </w:tc>
        <w:tc>
          <w:tcPr>
            <w:tcW w:w="1650" w:type="dxa"/>
            <w:tcBorders>
              <w:left w:val="single" w:color="000000" w:sz="4" w:space="0"/>
              <w:right w:val="single" w:color="000000" w:sz="4" w:space="0"/>
            </w:tcBorders>
            <w:vAlign w:val="top"/>
          </w:tcPr>
          <w:p w14:paraId="0375F96D">
            <w:pPr>
              <w:spacing w:before="21"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1.0μ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37C79531">
            <w:pPr>
              <w:spacing w:before="95" w:line="195" w:lineRule="auto"/>
              <w:ind w:left="36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7</w:t>
            </w:r>
          </w:p>
        </w:tc>
        <w:tc>
          <w:tcPr>
            <w:tcW w:w="1226" w:type="dxa"/>
            <w:tcBorders>
              <w:left w:val="single" w:color="000000" w:sz="4" w:space="0"/>
              <w:right w:val="single" w:color="000000" w:sz="4" w:space="0"/>
            </w:tcBorders>
            <w:vAlign w:val="top"/>
          </w:tcPr>
          <w:p w14:paraId="4C843036">
            <w:pPr>
              <w:spacing w:before="21"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5B9532D4">
            <w:pPr>
              <w:spacing w:before="95"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3EBF36E4">
            <w:pPr>
              <w:spacing w:before="95"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A80FF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3AFB3F50">
            <w:pPr>
              <w:spacing w:before="95" w:line="195" w:lineRule="auto"/>
              <w:ind w:left="18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3</w:t>
            </w:r>
          </w:p>
        </w:tc>
        <w:tc>
          <w:tcPr>
            <w:tcW w:w="944" w:type="dxa"/>
            <w:vMerge w:val="continue"/>
            <w:tcBorders>
              <w:top w:val="nil"/>
              <w:left w:val="single" w:color="000000" w:sz="4" w:space="0"/>
              <w:bottom w:val="nil"/>
              <w:right w:val="single" w:color="000000" w:sz="4" w:space="0"/>
            </w:tcBorders>
            <w:vAlign w:val="top"/>
          </w:tcPr>
          <w:p w14:paraId="5575242C">
            <w:pPr>
              <w:rPr>
                <w:rFonts w:ascii="Arial"/>
                <w:sz w:val="21"/>
              </w:rPr>
            </w:pPr>
          </w:p>
        </w:tc>
        <w:tc>
          <w:tcPr>
            <w:tcW w:w="1680" w:type="dxa"/>
            <w:tcBorders>
              <w:left w:val="single" w:color="000000" w:sz="4" w:space="0"/>
              <w:right w:val="single" w:color="000000" w:sz="4" w:space="0"/>
            </w:tcBorders>
            <w:vAlign w:val="top"/>
          </w:tcPr>
          <w:p w14:paraId="7E43F762">
            <w:pPr>
              <w:spacing w:before="59" w:line="233" w:lineRule="auto"/>
              <w:ind w:left="272"/>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2"/>
                <w:sz w:val="20"/>
                <w:szCs w:val="20"/>
              </w:rPr>
              <w:t>, 1-</w:t>
            </w:r>
            <w:r>
              <w:rPr>
                <w:rFonts w:ascii="宋体" w:hAnsi="宋体" w:eastAsia="宋体" w:cs="宋体"/>
                <w:spacing w:val="-2"/>
                <w:sz w:val="20"/>
                <w:szCs w:val="20"/>
              </w:rPr>
              <w:t>二氯乙烷</w:t>
            </w:r>
          </w:p>
        </w:tc>
        <w:tc>
          <w:tcPr>
            <w:tcW w:w="1650" w:type="dxa"/>
            <w:tcBorders>
              <w:left w:val="single" w:color="000000" w:sz="4" w:space="0"/>
              <w:right w:val="single" w:color="000000" w:sz="4" w:space="0"/>
            </w:tcBorders>
            <w:vAlign w:val="top"/>
          </w:tcPr>
          <w:p w14:paraId="4081994C">
            <w:pPr>
              <w:spacing w:before="21"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1.2μ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090EB768">
            <w:pPr>
              <w:spacing w:before="95" w:line="195" w:lineRule="auto"/>
              <w:ind w:left="416"/>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226" w:type="dxa"/>
            <w:tcBorders>
              <w:left w:val="single" w:color="000000" w:sz="4" w:space="0"/>
              <w:right w:val="single" w:color="000000" w:sz="4" w:space="0"/>
            </w:tcBorders>
            <w:vAlign w:val="top"/>
          </w:tcPr>
          <w:p w14:paraId="03720B33">
            <w:pPr>
              <w:spacing w:before="21"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6F57BC24">
            <w:pPr>
              <w:spacing w:before="95"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1C851929">
            <w:pPr>
              <w:spacing w:before="95"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60C501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2F8D38F0">
            <w:pPr>
              <w:spacing w:before="97" w:line="195" w:lineRule="auto"/>
              <w:ind w:left="18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4</w:t>
            </w:r>
          </w:p>
        </w:tc>
        <w:tc>
          <w:tcPr>
            <w:tcW w:w="944" w:type="dxa"/>
            <w:vMerge w:val="continue"/>
            <w:tcBorders>
              <w:top w:val="nil"/>
              <w:left w:val="single" w:color="000000" w:sz="4" w:space="0"/>
              <w:bottom w:val="nil"/>
              <w:right w:val="single" w:color="000000" w:sz="4" w:space="0"/>
            </w:tcBorders>
            <w:vAlign w:val="top"/>
          </w:tcPr>
          <w:p w14:paraId="1C4C491C">
            <w:pPr>
              <w:rPr>
                <w:rFonts w:ascii="Arial"/>
                <w:sz w:val="21"/>
              </w:rPr>
            </w:pPr>
          </w:p>
        </w:tc>
        <w:tc>
          <w:tcPr>
            <w:tcW w:w="1680" w:type="dxa"/>
            <w:tcBorders>
              <w:left w:val="single" w:color="000000" w:sz="4" w:space="0"/>
              <w:right w:val="single" w:color="000000" w:sz="4" w:space="0"/>
            </w:tcBorders>
            <w:vAlign w:val="top"/>
          </w:tcPr>
          <w:p w14:paraId="31AEF40F">
            <w:pPr>
              <w:spacing w:before="61" w:line="233" w:lineRule="auto"/>
              <w:ind w:left="272"/>
              <w:rPr>
                <w:rFonts w:ascii="宋体" w:hAnsi="宋体" w:eastAsia="宋体" w:cs="宋体"/>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2-</w:t>
            </w:r>
            <w:r>
              <w:rPr>
                <w:rFonts w:ascii="宋体" w:hAnsi="宋体" w:eastAsia="宋体" w:cs="宋体"/>
                <w:spacing w:val="3"/>
                <w:sz w:val="20"/>
                <w:szCs w:val="20"/>
              </w:rPr>
              <w:t>二氯乙烷</w:t>
            </w:r>
          </w:p>
        </w:tc>
        <w:tc>
          <w:tcPr>
            <w:tcW w:w="1650" w:type="dxa"/>
            <w:tcBorders>
              <w:left w:val="single" w:color="000000" w:sz="4" w:space="0"/>
              <w:right w:val="single" w:color="000000" w:sz="4" w:space="0"/>
            </w:tcBorders>
            <w:vAlign w:val="top"/>
          </w:tcPr>
          <w:p w14:paraId="233B6397">
            <w:pPr>
              <w:spacing w:before="21"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1.3μ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10168A97">
            <w:pPr>
              <w:spacing w:before="100" w:line="192" w:lineRule="auto"/>
              <w:ind w:left="418"/>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226" w:type="dxa"/>
            <w:tcBorders>
              <w:left w:val="single" w:color="000000" w:sz="4" w:space="0"/>
              <w:right w:val="single" w:color="000000" w:sz="4" w:space="0"/>
            </w:tcBorders>
            <w:vAlign w:val="top"/>
          </w:tcPr>
          <w:p w14:paraId="512050F2">
            <w:pPr>
              <w:spacing w:before="23"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2CE476BA">
            <w:pPr>
              <w:spacing w:before="97"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56B34D4D">
            <w:pPr>
              <w:spacing w:before="97"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30559B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21F6AFB6">
            <w:pPr>
              <w:spacing w:before="97" w:line="195" w:lineRule="auto"/>
              <w:ind w:left="18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c>
          <w:tcPr>
            <w:tcW w:w="944" w:type="dxa"/>
            <w:vMerge w:val="continue"/>
            <w:tcBorders>
              <w:top w:val="nil"/>
              <w:left w:val="single" w:color="000000" w:sz="4" w:space="0"/>
              <w:bottom w:val="nil"/>
              <w:right w:val="single" w:color="000000" w:sz="4" w:space="0"/>
            </w:tcBorders>
            <w:vAlign w:val="top"/>
          </w:tcPr>
          <w:p w14:paraId="1CA6A7E8">
            <w:pPr>
              <w:rPr>
                <w:rFonts w:ascii="Arial"/>
                <w:sz w:val="21"/>
              </w:rPr>
            </w:pPr>
          </w:p>
        </w:tc>
        <w:tc>
          <w:tcPr>
            <w:tcW w:w="1680" w:type="dxa"/>
            <w:tcBorders>
              <w:left w:val="single" w:color="000000" w:sz="4" w:space="0"/>
              <w:right w:val="single" w:color="000000" w:sz="4" w:space="0"/>
            </w:tcBorders>
            <w:vAlign w:val="top"/>
          </w:tcPr>
          <w:p w14:paraId="578ADC0B">
            <w:pPr>
              <w:spacing w:before="60" w:line="233" w:lineRule="auto"/>
              <w:ind w:left="272"/>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2"/>
                <w:sz w:val="20"/>
                <w:szCs w:val="20"/>
              </w:rPr>
              <w:t>, 1-</w:t>
            </w:r>
            <w:r>
              <w:rPr>
                <w:rFonts w:ascii="宋体" w:hAnsi="宋体" w:eastAsia="宋体" w:cs="宋体"/>
                <w:spacing w:val="-2"/>
                <w:sz w:val="20"/>
                <w:szCs w:val="20"/>
              </w:rPr>
              <w:t>二氯乙烯</w:t>
            </w:r>
          </w:p>
        </w:tc>
        <w:tc>
          <w:tcPr>
            <w:tcW w:w="1650" w:type="dxa"/>
            <w:tcBorders>
              <w:left w:val="single" w:color="000000" w:sz="4" w:space="0"/>
              <w:right w:val="single" w:color="000000" w:sz="4" w:space="0"/>
            </w:tcBorders>
            <w:vAlign w:val="top"/>
          </w:tcPr>
          <w:p w14:paraId="334A8D6E">
            <w:pPr>
              <w:spacing w:before="21"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1.0μ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0A287042">
            <w:pPr>
              <w:spacing w:before="97" w:line="195" w:lineRule="auto"/>
              <w:ind w:left="36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6</w:t>
            </w:r>
          </w:p>
        </w:tc>
        <w:tc>
          <w:tcPr>
            <w:tcW w:w="1226" w:type="dxa"/>
            <w:tcBorders>
              <w:left w:val="single" w:color="000000" w:sz="4" w:space="0"/>
              <w:right w:val="single" w:color="000000" w:sz="4" w:space="0"/>
            </w:tcBorders>
            <w:vAlign w:val="top"/>
          </w:tcPr>
          <w:p w14:paraId="7200FE21">
            <w:pPr>
              <w:spacing w:before="23"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138F3081">
            <w:pPr>
              <w:spacing w:before="97"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6FA1B2AC">
            <w:pPr>
              <w:spacing w:before="97"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4ADD17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67101C60">
            <w:pPr>
              <w:spacing w:before="96" w:line="195" w:lineRule="auto"/>
              <w:ind w:left="18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6</w:t>
            </w:r>
          </w:p>
        </w:tc>
        <w:tc>
          <w:tcPr>
            <w:tcW w:w="944" w:type="dxa"/>
            <w:vMerge w:val="continue"/>
            <w:tcBorders>
              <w:top w:val="nil"/>
              <w:left w:val="single" w:color="000000" w:sz="4" w:space="0"/>
              <w:bottom w:val="nil"/>
              <w:right w:val="single" w:color="000000" w:sz="4" w:space="0"/>
            </w:tcBorders>
            <w:vAlign w:val="top"/>
          </w:tcPr>
          <w:p w14:paraId="751FFE25">
            <w:pPr>
              <w:rPr>
                <w:rFonts w:ascii="Arial"/>
                <w:sz w:val="21"/>
              </w:rPr>
            </w:pPr>
          </w:p>
        </w:tc>
        <w:tc>
          <w:tcPr>
            <w:tcW w:w="1680" w:type="dxa"/>
            <w:tcBorders>
              <w:left w:val="single" w:color="000000" w:sz="4" w:space="0"/>
              <w:right w:val="single" w:color="000000" w:sz="4" w:space="0"/>
            </w:tcBorders>
            <w:vAlign w:val="top"/>
          </w:tcPr>
          <w:p w14:paraId="5A093C43">
            <w:pPr>
              <w:spacing w:before="60" w:line="233" w:lineRule="auto"/>
              <w:ind w:left="118"/>
              <w:rPr>
                <w:rFonts w:ascii="宋体" w:hAnsi="宋体" w:eastAsia="宋体" w:cs="宋体"/>
                <w:sz w:val="20"/>
                <w:szCs w:val="20"/>
              </w:rPr>
            </w:pPr>
            <w:r>
              <w:rPr>
                <w:rFonts w:ascii="宋体" w:hAnsi="宋体" w:eastAsia="宋体" w:cs="宋体"/>
                <w:spacing w:val="1"/>
                <w:sz w:val="20"/>
                <w:szCs w:val="20"/>
              </w:rPr>
              <w:t>顺</w:t>
            </w:r>
            <w:r>
              <w:rPr>
                <w:rFonts w:ascii="Times New Roman" w:hAnsi="Times New Roman" w:eastAsia="Times New Roman" w:cs="Times New Roman"/>
                <w:spacing w:val="1"/>
                <w:sz w:val="20"/>
                <w:szCs w:val="20"/>
              </w:rPr>
              <w:t>- 1,2-</w:t>
            </w:r>
            <w:r>
              <w:rPr>
                <w:rFonts w:ascii="宋体" w:hAnsi="宋体" w:eastAsia="宋体" w:cs="宋体"/>
                <w:sz w:val="20"/>
                <w:szCs w:val="20"/>
              </w:rPr>
              <w:t>二氯乙烯</w:t>
            </w:r>
          </w:p>
        </w:tc>
        <w:tc>
          <w:tcPr>
            <w:tcW w:w="1650" w:type="dxa"/>
            <w:tcBorders>
              <w:left w:val="single" w:color="000000" w:sz="4" w:space="0"/>
              <w:right w:val="single" w:color="000000" w:sz="4" w:space="0"/>
            </w:tcBorders>
            <w:vAlign w:val="top"/>
          </w:tcPr>
          <w:p w14:paraId="585B2E95">
            <w:pPr>
              <w:spacing w:before="21"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1.3μ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5FB0C80D">
            <w:pPr>
              <w:spacing w:before="96" w:line="195" w:lineRule="auto"/>
              <w:ind w:left="31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59</w:t>
            </w:r>
            <w:r>
              <w:rPr>
                <w:rFonts w:ascii="Times New Roman" w:hAnsi="Times New Roman" w:eastAsia="Times New Roman" w:cs="Times New Roman"/>
                <w:spacing w:val="1"/>
                <w:sz w:val="20"/>
                <w:szCs w:val="20"/>
              </w:rPr>
              <w:t>6</w:t>
            </w:r>
          </w:p>
        </w:tc>
        <w:tc>
          <w:tcPr>
            <w:tcW w:w="1226" w:type="dxa"/>
            <w:tcBorders>
              <w:left w:val="single" w:color="000000" w:sz="4" w:space="0"/>
              <w:right w:val="single" w:color="000000" w:sz="4" w:space="0"/>
            </w:tcBorders>
            <w:vAlign w:val="top"/>
          </w:tcPr>
          <w:p w14:paraId="6510279B">
            <w:pPr>
              <w:spacing w:before="23"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151A8DF6">
            <w:pPr>
              <w:spacing w:before="96"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7C45D631">
            <w:pPr>
              <w:spacing w:before="96"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2D675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70597D94">
            <w:pPr>
              <w:spacing w:before="96" w:line="195" w:lineRule="auto"/>
              <w:ind w:left="18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7</w:t>
            </w:r>
          </w:p>
        </w:tc>
        <w:tc>
          <w:tcPr>
            <w:tcW w:w="944" w:type="dxa"/>
            <w:vMerge w:val="continue"/>
            <w:tcBorders>
              <w:top w:val="nil"/>
              <w:left w:val="single" w:color="000000" w:sz="4" w:space="0"/>
              <w:bottom w:val="nil"/>
              <w:right w:val="single" w:color="000000" w:sz="4" w:space="0"/>
            </w:tcBorders>
            <w:vAlign w:val="top"/>
          </w:tcPr>
          <w:p w14:paraId="6A2F6CBF">
            <w:pPr>
              <w:rPr>
                <w:rFonts w:ascii="Arial"/>
                <w:sz w:val="21"/>
              </w:rPr>
            </w:pPr>
          </w:p>
        </w:tc>
        <w:tc>
          <w:tcPr>
            <w:tcW w:w="1680" w:type="dxa"/>
            <w:tcBorders>
              <w:left w:val="single" w:color="000000" w:sz="4" w:space="0"/>
              <w:right w:val="single" w:color="000000" w:sz="4" w:space="0"/>
            </w:tcBorders>
            <w:vAlign w:val="top"/>
          </w:tcPr>
          <w:p w14:paraId="6D792688">
            <w:pPr>
              <w:spacing w:before="60" w:line="233" w:lineRule="auto"/>
              <w:ind w:left="118"/>
              <w:rPr>
                <w:rFonts w:ascii="宋体" w:hAnsi="宋体" w:eastAsia="宋体" w:cs="宋体"/>
                <w:sz w:val="20"/>
                <w:szCs w:val="20"/>
              </w:rPr>
            </w:pPr>
            <w:r>
              <w:rPr>
                <w:rFonts w:ascii="宋体" w:hAnsi="宋体" w:eastAsia="宋体" w:cs="宋体"/>
                <w:spacing w:val="1"/>
                <w:sz w:val="20"/>
                <w:szCs w:val="20"/>
              </w:rPr>
              <w:t>反</w:t>
            </w:r>
            <w:r>
              <w:rPr>
                <w:rFonts w:ascii="Times New Roman" w:hAnsi="Times New Roman" w:eastAsia="Times New Roman" w:cs="Times New Roman"/>
                <w:spacing w:val="1"/>
                <w:sz w:val="20"/>
                <w:szCs w:val="20"/>
              </w:rPr>
              <w:t>- 1,2-</w:t>
            </w:r>
            <w:r>
              <w:rPr>
                <w:rFonts w:ascii="宋体" w:hAnsi="宋体" w:eastAsia="宋体" w:cs="宋体"/>
                <w:sz w:val="20"/>
                <w:szCs w:val="20"/>
              </w:rPr>
              <w:t>二氯乙烯</w:t>
            </w:r>
          </w:p>
        </w:tc>
        <w:tc>
          <w:tcPr>
            <w:tcW w:w="1650" w:type="dxa"/>
            <w:tcBorders>
              <w:left w:val="single" w:color="000000" w:sz="4" w:space="0"/>
              <w:right w:val="single" w:color="000000" w:sz="4" w:space="0"/>
            </w:tcBorders>
            <w:vAlign w:val="top"/>
          </w:tcPr>
          <w:p w14:paraId="680D243E">
            <w:pPr>
              <w:spacing w:before="20"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1.4μ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05B7FD65">
            <w:pPr>
              <w:spacing w:before="96" w:line="195" w:lineRule="auto"/>
              <w:ind w:left="365"/>
              <w:rPr>
                <w:rFonts w:ascii="Times New Roman" w:hAnsi="Times New Roman" w:eastAsia="Times New Roman" w:cs="Times New Roman"/>
                <w:sz w:val="20"/>
                <w:szCs w:val="20"/>
              </w:rPr>
            </w:pPr>
            <w:r>
              <w:rPr>
                <w:rFonts w:ascii="Times New Roman" w:hAnsi="Times New Roman" w:eastAsia="Times New Roman" w:cs="Times New Roman"/>
                <w:sz w:val="20"/>
                <w:szCs w:val="20"/>
              </w:rPr>
              <w:t>54</w:t>
            </w:r>
          </w:p>
        </w:tc>
        <w:tc>
          <w:tcPr>
            <w:tcW w:w="1226" w:type="dxa"/>
            <w:tcBorders>
              <w:left w:val="single" w:color="000000" w:sz="4" w:space="0"/>
              <w:right w:val="single" w:color="000000" w:sz="4" w:space="0"/>
            </w:tcBorders>
            <w:vAlign w:val="top"/>
          </w:tcPr>
          <w:p w14:paraId="146A05BD">
            <w:pPr>
              <w:spacing w:before="23"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3CE19B11">
            <w:pPr>
              <w:spacing w:before="96"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40C12A76">
            <w:pPr>
              <w:spacing w:before="96"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15F4A3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532" w:type="dxa"/>
            <w:tcBorders>
              <w:left w:val="nil"/>
              <w:right w:val="single" w:color="000000" w:sz="4" w:space="0"/>
            </w:tcBorders>
            <w:vAlign w:val="top"/>
          </w:tcPr>
          <w:p w14:paraId="7AB534AF">
            <w:pPr>
              <w:spacing w:before="96" w:line="195" w:lineRule="auto"/>
              <w:ind w:left="18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8</w:t>
            </w:r>
          </w:p>
        </w:tc>
        <w:tc>
          <w:tcPr>
            <w:tcW w:w="944" w:type="dxa"/>
            <w:vMerge w:val="continue"/>
            <w:tcBorders>
              <w:top w:val="nil"/>
              <w:left w:val="single" w:color="000000" w:sz="4" w:space="0"/>
              <w:right w:val="single" w:color="000000" w:sz="4" w:space="0"/>
            </w:tcBorders>
            <w:vAlign w:val="top"/>
          </w:tcPr>
          <w:p w14:paraId="688020D5">
            <w:pPr>
              <w:rPr>
                <w:rFonts w:ascii="Arial"/>
                <w:sz w:val="21"/>
              </w:rPr>
            </w:pPr>
          </w:p>
        </w:tc>
        <w:tc>
          <w:tcPr>
            <w:tcW w:w="1680" w:type="dxa"/>
            <w:tcBorders>
              <w:left w:val="single" w:color="000000" w:sz="4" w:space="0"/>
              <w:right w:val="single" w:color="000000" w:sz="4" w:space="0"/>
            </w:tcBorders>
            <w:vAlign w:val="top"/>
          </w:tcPr>
          <w:p w14:paraId="3D06CC75">
            <w:pPr>
              <w:spacing w:before="61" w:line="228" w:lineRule="auto"/>
              <w:ind w:left="425"/>
              <w:rPr>
                <w:rFonts w:ascii="宋体" w:hAnsi="宋体" w:eastAsia="宋体" w:cs="宋体"/>
                <w:sz w:val="20"/>
                <w:szCs w:val="20"/>
              </w:rPr>
            </w:pPr>
            <w:r>
              <w:rPr>
                <w:rFonts w:ascii="宋体" w:hAnsi="宋体" w:eastAsia="宋体" w:cs="宋体"/>
                <w:spacing w:val="8"/>
                <w:sz w:val="20"/>
                <w:szCs w:val="20"/>
              </w:rPr>
              <w:t>二</w:t>
            </w:r>
            <w:r>
              <w:rPr>
                <w:rFonts w:ascii="宋体" w:hAnsi="宋体" w:eastAsia="宋体" w:cs="宋体"/>
                <w:spacing w:val="6"/>
                <w:sz w:val="20"/>
                <w:szCs w:val="20"/>
              </w:rPr>
              <w:t>氯甲烷</w:t>
            </w:r>
          </w:p>
        </w:tc>
        <w:tc>
          <w:tcPr>
            <w:tcW w:w="1650" w:type="dxa"/>
            <w:tcBorders>
              <w:left w:val="single" w:color="000000" w:sz="4" w:space="0"/>
              <w:right w:val="single" w:color="000000" w:sz="4" w:space="0"/>
            </w:tcBorders>
            <w:vAlign w:val="top"/>
          </w:tcPr>
          <w:p w14:paraId="070E9EDA">
            <w:pPr>
              <w:spacing w:before="20"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1.5μ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70977CD0">
            <w:pPr>
              <w:spacing w:before="96" w:line="195" w:lineRule="auto"/>
              <w:ind w:left="3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616</w:t>
            </w:r>
          </w:p>
        </w:tc>
        <w:tc>
          <w:tcPr>
            <w:tcW w:w="1226" w:type="dxa"/>
            <w:tcBorders>
              <w:left w:val="single" w:color="000000" w:sz="4" w:space="0"/>
              <w:right w:val="single" w:color="000000" w:sz="4" w:space="0"/>
            </w:tcBorders>
            <w:vAlign w:val="top"/>
          </w:tcPr>
          <w:p w14:paraId="6DD8EC8B">
            <w:pPr>
              <w:spacing w:before="23"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02FE7389">
            <w:pPr>
              <w:spacing w:before="96"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6174780E">
            <w:pPr>
              <w:spacing w:before="96"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bl>
    <w:p w14:paraId="20995000">
      <w:pPr>
        <w:rPr>
          <w:rFonts w:ascii="Arial"/>
          <w:sz w:val="21"/>
        </w:rPr>
      </w:pPr>
    </w:p>
    <w:p w14:paraId="38200AE9">
      <w:pPr>
        <w:sectPr>
          <w:headerReference r:id="rId189" w:type="default"/>
          <w:footerReference r:id="rId190" w:type="default"/>
          <w:pgSz w:w="11906" w:h="16839"/>
          <w:pgMar w:top="1132" w:right="1777" w:bottom="1182" w:left="1777" w:header="878" w:footer="1022" w:gutter="0"/>
          <w:cols w:space="720" w:num="1"/>
        </w:sectPr>
      </w:pPr>
    </w:p>
    <w:p w14:paraId="5247B527">
      <w:r>
        <w:pict>
          <v:rect id="_x0000_s1232" o:spid="_x0000_s1232" o:spt="1" style="position:absolute;left:0pt;margin-left:90pt;margin-top:57.35pt;height:0.75pt;width:415.3pt;mso-position-horizontal-relative:page;mso-position-vertical-relative:page;z-index:251884544;mso-width-relative:page;mso-height-relative:page;" fillcolor="#000000" filled="t" stroked="f" coordsize="21600,21600" o:allowincell="f">
            <v:path/>
            <v:fill on="t" focussize="0,0"/>
            <v:stroke on="f"/>
            <v:imagedata o:title=""/>
            <o:lock v:ext="edit"/>
          </v:rect>
        </w:pict>
      </w:r>
    </w:p>
    <w:p w14:paraId="6673DCB7">
      <w:pPr>
        <w:spacing w:line="65" w:lineRule="exact"/>
      </w:pPr>
    </w:p>
    <w:tbl>
      <w:tblPr>
        <w:tblStyle w:val="4"/>
        <w:tblW w:w="835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2"/>
        <w:gridCol w:w="944"/>
        <w:gridCol w:w="1680"/>
        <w:gridCol w:w="1650"/>
        <w:gridCol w:w="930"/>
        <w:gridCol w:w="1226"/>
        <w:gridCol w:w="705"/>
        <w:gridCol w:w="684"/>
      </w:tblGrid>
      <w:tr w14:paraId="5B00C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532" w:type="dxa"/>
            <w:tcBorders>
              <w:left w:val="nil"/>
              <w:right w:val="single" w:color="000000" w:sz="4" w:space="0"/>
            </w:tcBorders>
            <w:vAlign w:val="top"/>
          </w:tcPr>
          <w:p w14:paraId="35D4CB9F">
            <w:pPr>
              <w:spacing w:before="111" w:line="195" w:lineRule="auto"/>
              <w:ind w:left="18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9</w:t>
            </w:r>
          </w:p>
        </w:tc>
        <w:tc>
          <w:tcPr>
            <w:tcW w:w="944" w:type="dxa"/>
            <w:vMerge w:val="restart"/>
            <w:tcBorders>
              <w:left w:val="single" w:color="000000" w:sz="4" w:space="0"/>
              <w:bottom w:val="nil"/>
              <w:right w:val="single" w:color="000000" w:sz="4" w:space="0"/>
            </w:tcBorders>
            <w:vAlign w:val="top"/>
          </w:tcPr>
          <w:p w14:paraId="3E54BA15">
            <w:pPr>
              <w:rPr>
                <w:rFonts w:ascii="Arial"/>
                <w:sz w:val="21"/>
              </w:rPr>
            </w:pPr>
          </w:p>
        </w:tc>
        <w:tc>
          <w:tcPr>
            <w:tcW w:w="1680" w:type="dxa"/>
            <w:tcBorders>
              <w:left w:val="single" w:color="000000" w:sz="4" w:space="0"/>
              <w:right w:val="single" w:color="000000" w:sz="4" w:space="0"/>
            </w:tcBorders>
            <w:vAlign w:val="top"/>
          </w:tcPr>
          <w:p w14:paraId="0A25ED64">
            <w:pPr>
              <w:spacing w:before="76" w:line="233" w:lineRule="auto"/>
              <w:ind w:left="272"/>
              <w:rPr>
                <w:rFonts w:ascii="宋体" w:hAnsi="宋体" w:eastAsia="宋体" w:cs="宋体"/>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2-</w:t>
            </w:r>
            <w:r>
              <w:rPr>
                <w:rFonts w:ascii="宋体" w:hAnsi="宋体" w:eastAsia="宋体" w:cs="宋体"/>
                <w:spacing w:val="3"/>
                <w:sz w:val="20"/>
                <w:szCs w:val="20"/>
              </w:rPr>
              <w:t>二氯丙烷</w:t>
            </w:r>
          </w:p>
        </w:tc>
        <w:tc>
          <w:tcPr>
            <w:tcW w:w="1650" w:type="dxa"/>
            <w:tcBorders>
              <w:left w:val="single" w:color="000000" w:sz="4" w:space="0"/>
              <w:right w:val="single" w:color="000000" w:sz="4" w:space="0"/>
            </w:tcBorders>
            <w:vAlign w:val="top"/>
          </w:tcPr>
          <w:p w14:paraId="33D0A588">
            <w:pPr>
              <w:spacing w:before="30" w:line="281" w:lineRule="exact"/>
              <w:ind w:left="365"/>
              <w:rPr>
                <w:rFonts w:ascii="Times New Roman" w:hAnsi="Times New Roman" w:eastAsia="Times New Roman" w:cs="Times New Roman"/>
                <w:sz w:val="20"/>
                <w:szCs w:val="20"/>
              </w:rPr>
            </w:pPr>
            <w:r>
              <w:rPr>
                <w:rFonts w:ascii="宋体" w:hAnsi="宋体" w:eastAsia="宋体" w:cs="宋体"/>
                <w:spacing w:val="-3"/>
                <w:position w:val="4"/>
                <w:sz w:val="20"/>
                <w:szCs w:val="20"/>
              </w:rPr>
              <w:t>＜</w:t>
            </w:r>
            <w:r>
              <w:rPr>
                <w:rFonts w:ascii="Times New Roman" w:hAnsi="Times New Roman" w:eastAsia="Times New Roman" w:cs="Times New Roman"/>
                <w:spacing w:val="-3"/>
                <w:position w:val="4"/>
                <w:sz w:val="20"/>
                <w:szCs w:val="20"/>
              </w:rPr>
              <w:t>1. 1μg/kg</w:t>
            </w:r>
          </w:p>
        </w:tc>
        <w:tc>
          <w:tcPr>
            <w:tcW w:w="930" w:type="dxa"/>
            <w:tcBorders>
              <w:left w:val="single" w:color="000000" w:sz="4" w:space="0"/>
              <w:right w:val="single" w:color="000000" w:sz="4" w:space="0"/>
            </w:tcBorders>
            <w:vAlign w:val="top"/>
          </w:tcPr>
          <w:p w14:paraId="14DE548D">
            <w:pPr>
              <w:spacing w:before="114" w:line="192" w:lineRule="auto"/>
              <w:ind w:left="418"/>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226" w:type="dxa"/>
            <w:tcBorders>
              <w:left w:val="single" w:color="000000" w:sz="4" w:space="0"/>
              <w:right w:val="single" w:color="000000" w:sz="4" w:space="0"/>
            </w:tcBorders>
            <w:vAlign w:val="top"/>
          </w:tcPr>
          <w:p w14:paraId="4EEC7DCF">
            <w:pPr>
              <w:spacing w:before="38"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383A0FF1">
            <w:pPr>
              <w:spacing w:before="111"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65636FEA">
            <w:pPr>
              <w:spacing w:before="111"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45B137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532" w:type="dxa"/>
            <w:tcBorders>
              <w:left w:val="nil"/>
              <w:right w:val="single" w:color="000000" w:sz="4" w:space="0"/>
            </w:tcBorders>
            <w:vAlign w:val="top"/>
          </w:tcPr>
          <w:p w14:paraId="21007BAC">
            <w:pPr>
              <w:spacing w:before="92"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0</w:t>
            </w:r>
          </w:p>
        </w:tc>
        <w:tc>
          <w:tcPr>
            <w:tcW w:w="944" w:type="dxa"/>
            <w:vMerge w:val="continue"/>
            <w:tcBorders>
              <w:top w:val="nil"/>
              <w:left w:val="single" w:color="000000" w:sz="4" w:space="0"/>
              <w:bottom w:val="nil"/>
              <w:right w:val="single" w:color="000000" w:sz="4" w:space="0"/>
            </w:tcBorders>
            <w:vAlign w:val="top"/>
          </w:tcPr>
          <w:p w14:paraId="10802F7A">
            <w:pPr>
              <w:rPr>
                <w:rFonts w:ascii="Arial"/>
                <w:sz w:val="21"/>
              </w:rPr>
            </w:pPr>
          </w:p>
        </w:tc>
        <w:tc>
          <w:tcPr>
            <w:tcW w:w="1680" w:type="dxa"/>
            <w:tcBorders>
              <w:left w:val="single" w:color="000000" w:sz="4" w:space="0"/>
              <w:right w:val="single" w:color="000000" w:sz="4" w:space="0"/>
            </w:tcBorders>
            <w:vAlign w:val="top"/>
          </w:tcPr>
          <w:p w14:paraId="456CC378">
            <w:pPr>
              <w:spacing w:before="56" w:line="221" w:lineRule="auto"/>
              <w:ind w:left="116"/>
              <w:rPr>
                <w:rFonts w:ascii="宋体" w:hAnsi="宋体" w:eastAsia="宋体" w:cs="宋体"/>
                <w:sz w:val="20"/>
                <w:szCs w:val="20"/>
              </w:rPr>
            </w:pPr>
            <w:r>
              <w:rPr>
                <w:rFonts w:ascii="Times New Roman" w:hAnsi="Times New Roman" w:eastAsia="Times New Roman" w:cs="Times New Roman"/>
                <w:spacing w:val="-10"/>
                <w:sz w:val="20"/>
                <w:szCs w:val="20"/>
              </w:rPr>
              <w:t>1</w:t>
            </w:r>
            <w:r>
              <w:rPr>
                <w:rFonts w:ascii="Times New Roman" w:hAnsi="Times New Roman" w:eastAsia="Times New Roman" w:cs="Times New Roman"/>
                <w:spacing w:val="-7"/>
                <w:sz w:val="20"/>
                <w:szCs w:val="20"/>
              </w:rPr>
              <w:t xml:space="preserve">, 1, 1,2- </w:t>
            </w:r>
            <w:r>
              <w:rPr>
                <w:rFonts w:ascii="宋体" w:hAnsi="宋体" w:eastAsia="宋体" w:cs="宋体"/>
                <w:spacing w:val="-7"/>
                <w:sz w:val="20"/>
                <w:szCs w:val="20"/>
              </w:rPr>
              <w:t>四氯乙烷</w:t>
            </w:r>
          </w:p>
        </w:tc>
        <w:tc>
          <w:tcPr>
            <w:tcW w:w="1650" w:type="dxa"/>
            <w:tcBorders>
              <w:left w:val="single" w:color="000000" w:sz="4" w:space="0"/>
              <w:right w:val="single" w:color="000000" w:sz="4" w:space="0"/>
            </w:tcBorders>
            <w:vAlign w:val="top"/>
          </w:tcPr>
          <w:p w14:paraId="5B1538A8">
            <w:pPr>
              <w:spacing w:before="16"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1.2μ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4E5C233D">
            <w:pPr>
              <w:spacing w:before="92"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1226" w:type="dxa"/>
            <w:tcBorders>
              <w:left w:val="single" w:color="000000" w:sz="4" w:space="0"/>
              <w:right w:val="single" w:color="000000" w:sz="4" w:space="0"/>
            </w:tcBorders>
            <w:vAlign w:val="top"/>
          </w:tcPr>
          <w:p w14:paraId="76E89789">
            <w:pPr>
              <w:spacing w:before="18"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64C0C2DB">
            <w:pPr>
              <w:spacing w:before="92"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36C153D1">
            <w:pPr>
              <w:spacing w:before="92"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E6AD8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73429317">
            <w:pPr>
              <w:spacing w:before="93"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1</w:t>
            </w:r>
          </w:p>
        </w:tc>
        <w:tc>
          <w:tcPr>
            <w:tcW w:w="944" w:type="dxa"/>
            <w:vMerge w:val="continue"/>
            <w:tcBorders>
              <w:top w:val="nil"/>
              <w:left w:val="single" w:color="000000" w:sz="4" w:space="0"/>
              <w:bottom w:val="nil"/>
              <w:right w:val="single" w:color="000000" w:sz="4" w:space="0"/>
            </w:tcBorders>
            <w:vAlign w:val="top"/>
          </w:tcPr>
          <w:p w14:paraId="57D0E9DC">
            <w:pPr>
              <w:rPr>
                <w:rFonts w:ascii="Arial"/>
                <w:sz w:val="21"/>
              </w:rPr>
            </w:pPr>
          </w:p>
        </w:tc>
        <w:tc>
          <w:tcPr>
            <w:tcW w:w="1680" w:type="dxa"/>
            <w:tcBorders>
              <w:left w:val="single" w:color="000000" w:sz="4" w:space="0"/>
              <w:right w:val="single" w:color="000000" w:sz="4" w:space="0"/>
            </w:tcBorders>
            <w:vAlign w:val="top"/>
          </w:tcPr>
          <w:p w14:paraId="03BCE019">
            <w:pPr>
              <w:spacing w:before="57" w:line="233" w:lineRule="auto"/>
              <w:ind w:left="116"/>
              <w:rPr>
                <w:rFonts w:ascii="宋体" w:hAnsi="宋体" w:eastAsia="宋体" w:cs="宋体"/>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4"/>
                <w:sz w:val="20"/>
                <w:szCs w:val="20"/>
              </w:rPr>
              <w:t xml:space="preserve">, 1,2,2- </w:t>
            </w:r>
            <w:r>
              <w:rPr>
                <w:rFonts w:ascii="宋体" w:hAnsi="宋体" w:eastAsia="宋体" w:cs="宋体"/>
                <w:spacing w:val="-4"/>
                <w:sz w:val="20"/>
                <w:szCs w:val="20"/>
              </w:rPr>
              <w:t>四氯乙烷</w:t>
            </w:r>
          </w:p>
        </w:tc>
        <w:tc>
          <w:tcPr>
            <w:tcW w:w="1650" w:type="dxa"/>
            <w:tcBorders>
              <w:left w:val="single" w:color="000000" w:sz="4" w:space="0"/>
              <w:right w:val="single" w:color="000000" w:sz="4" w:space="0"/>
            </w:tcBorders>
            <w:vAlign w:val="top"/>
          </w:tcPr>
          <w:p w14:paraId="2E21EB93">
            <w:pPr>
              <w:spacing w:before="17"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1.2μ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21C68F96">
            <w:pPr>
              <w:spacing w:before="93" w:line="195" w:lineRule="auto"/>
              <w:ind w:left="33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6.8</w:t>
            </w:r>
          </w:p>
        </w:tc>
        <w:tc>
          <w:tcPr>
            <w:tcW w:w="1226" w:type="dxa"/>
            <w:tcBorders>
              <w:left w:val="single" w:color="000000" w:sz="4" w:space="0"/>
              <w:right w:val="single" w:color="000000" w:sz="4" w:space="0"/>
            </w:tcBorders>
            <w:vAlign w:val="top"/>
          </w:tcPr>
          <w:p w14:paraId="7967E189">
            <w:pPr>
              <w:spacing w:before="19"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0271C484">
            <w:pPr>
              <w:spacing w:before="93"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0AC49B57">
            <w:pPr>
              <w:spacing w:before="93"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9A705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5D888DD0">
            <w:pPr>
              <w:spacing w:before="93"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2</w:t>
            </w:r>
          </w:p>
        </w:tc>
        <w:tc>
          <w:tcPr>
            <w:tcW w:w="944" w:type="dxa"/>
            <w:vMerge w:val="continue"/>
            <w:tcBorders>
              <w:top w:val="nil"/>
              <w:left w:val="single" w:color="000000" w:sz="4" w:space="0"/>
              <w:bottom w:val="nil"/>
              <w:right w:val="single" w:color="000000" w:sz="4" w:space="0"/>
            </w:tcBorders>
            <w:vAlign w:val="top"/>
          </w:tcPr>
          <w:p w14:paraId="7E979B32">
            <w:pPr>
              <w:rPr>
                <w:rFonts w:ascii="Arial"/>
                <w:sz w:val="21"/>
              </w:rPr>
            </w:pPr>
          </w:p>
        </w:tc>
        <w:tc>
          <w:tcPr>
            <w:tcW w:w="1680" w:type="dxa"/>
            <w:tcBorders>
              <w:left w:val="single" w:color="000000" w:sz="4" w:space="0"/>
              <w:right w:val="single" w:color="000000" w:sz="4" w:space="0"/>
            </w:tcBorders>
            <w:vAlign w:val="top"/>
          </w:tcPr>
          <w:p w14:paraId="61687200">
            <w:pPr>
              <w:spacing w:before="56" w:line="228" w:lineRule="auto"/>
              <w:ind w:left="441"/>
              <w:rPr>
                <w:rFonts w:ascii="宋体" w:hAnsi="宋体" w:eastAsia="宋体" w:cs="宋体"/>
                <w:sz w:val="20"/>
                <w:szCs w:val="20"/>
              </w:rPr>
            </w:pPr>
            <w:r>
              <w:rPr>
                <w:rFonts w:ascii="宋体" w:hAnsi="宋体" w:eastAsia="宋体" w:cs="宋体"/>
                <w:spacing w:val="3"/>
                <w:sz w:val="20"/>
                <w:szCs w:val="20"/>
              </w:rPr>
              <w:t>四</w:t>
            </w:r>
            <w:r>
              <w:rPr>
                <w:rFonts w:ascii="宋体" w:hAnsi="宋体" w:eastAsia="宋体" w:cs="宋体"/>
                <w:spacing w:val="2"/>
                <w:sz w:val="20"/>
                <w:szCs w:val="20"/>
              </w:rPr>
              <w:t>氯乙烯</w:t>
            </w:r>
          </w:p>
        </w:tc>
        <w:tc>
          <w:tcPr>
            <w:tcW w:w="1650" w:type="dxa"/>
            <w:tcBorders>
              <w:left w:val="single" w:color="000000" w:sz="4" w:space="0"/>
              <w:right w:val="single" w:color="000000" w:sz="4" w:space="0"/>
            </w:tcBorders>
            <w:vAlign w:val="top"/>
          </w:tcPr>
          <w:p w14:paraId="5E41BDC8">
            <w:pPr>
              <w:spacing w:before="17"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1.4μ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67153AE2">
            <w:pPr>
              <w:spacing w:before="92" w:line="195" w:lineRule="auto"/>
              <w:ind w:left="365"/>
              <w:rPr>
                <w:rFonts w:ascii="Times New Roman" w:hAnsi="Times New Roman" w:eastAsia="Times New Roman" w:cs="Times New Roman"/>
                <w:sz w:val="20"/>
                <w:szCs w:val="20"/>
              </w:rPr>
            </w:pPr>
            <w:r>
              <w:rPr>
                <w:rFonts w:ascii="Times New Roman" w:hAnsi="Times New Roman" w:eastAsia="Times New Roman" w:cs="Times New Roman"/>
                <w:sz w:val="20"/>
                <w:szCs w:val="20"/>
              </w:rPr>
              <w:t>53</w:t>
            </w:r>
          </w:p>
        </w:tc>
        <w:tc>
          <w:tcPr>
            <w:tcW w:w="1226" w:type="dxa"/>
            <w:tcBorders>
              <w:left w:val="single" w:color="000000" w:sz="4" w:space="0"/>
              <w:right w:val="single" w:color="000000" w:sz="4" w:space="0"/>
            </w:tcBorders>
            <w:vAlign w:val="top"/>
          </w:tcPr>
          <w:p w14:paraId="6B262BD8">
            <w:pPr>
              <w:spacing w:before="19"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782CF46B">
            <w:pPr>
              <w:spacing w:before="92"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4EEA1673">
            <w:pPr>
              <w:spacing w:before="92"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371055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1450AAC7">
            <w:pPr>
              <w:spacing w:before="92"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3</w:t>
            </w:r>
          </w:p>
        </w:tc>
        <w:tc>
          <w:tcPr>
            <w:tcW w:w="944" w:type="dxa"/>
            <w:vMerge w:val="continue"/>
            <w:tcBorders>
              <w:top w:val="nil"/>
              <w:left w:val="single" w:color="000000" w:sz="4" w:space="0"/>
              <w:bottom w:val="nil"/>
              <w:right w:val="single" w:color="000000" w:sz="4" w:space="0"/>
            </w:tcBorders>
            <w:vAlign w:val="top"/>
          </w:tcPr>
          <w:p w14:paraId="60D2E3A0">
            <w:pPr>
              <w:rPr>
                <w:rFonts w:ascii="Arial"/>
                <w:sz w:val="21"/>
              </w:rPr>
            </w:pPr>
          </w:p>
        </w:tc>
        <w:tc>
          <w:tcPr>
            <w:tcW w:w="1680" w:type="dxa"/>
            <w:tcBorders>
              <w:left w:val="single" w:color="000000" w:sz="4" w:space="0"/>
              <w:right w:val="single" w:color="000000" w:sz="4" w:space="0"/>
            </w:tcBorders>
            <w:vAlign w:val="top"/>
          </w:tcPr>
          <w:p w14:paraId="35678E3E">
            <w:pPr>
              <w:spacing w:before="57" w:line="233" w:lineRule="auto"/>
              <w:ind w:left="196"/>
              <w:rPr>
                <w:rFonts w:ascii="宋体" w:hAnsi="宋体" w:eastAsia="宋体" w:cs="宋体"/>
                <w:sz w:val="20"/>
                <w:szCs w:val="20"/>
              </w:rPr>
            </w:pPr>
            <w:r>
              <w:rPr>
                <w:rFonts w:ascii="Times New Roman" w:hAnsi="Times New Roman" w:eastAsia="Times New Roman" w:cs="Times New Roman"/>
                <w:spacing w:val="-10"/>
                <w:sz w:val="20"/>
                <w:szCs w:val="20"/>
              </w:rPr>
              <w:t>1</w:t>
            </w:r>
            <w:r>
              <w:rPr>
                <w:rFonts w:ascii="Times New Roman" w:hAnsi="Times New Roman" w:eastAsia="Times New Roman" w:cs="Times New Roman"/>
                <w:spacing w:val="-7"/>
                <w:sz w:val="20"/>
                <w:szCs w:val="20"/>
              </w:rPr>
              <w:t>,</w:t>
            </w:r>
            <w:r>
              <w:rPr>
                <w:rFonts w:ascii="Times New Roman" w:hAnsi="Times New Roman" w:eastAsia="Times New Roman" w:cs="Times New Roman"/>
                <w:spacing w:val="-5"/>
                <w:sz w:val="20"/>
                <w:szCs w:val="20"/>
              </w:rPr>
              <w:t xml:space="preserve"> 1, 1-</w:t>
            </w:r>
            <w:r>
              <w:rPr>
                <w:rFonts w:ascii="宋体" w:hAnsi="宋体" w:eastAsia="宋体" w:cs="宋体"/>
                <w:spacing w:val="-5"/>
                <w:sz w:val="20"/>
                <w:szCs w:val="20"/>
              </w:rPr>
              <w:t>三氯乙烷</w:t>
            </w:r>
          </w:p>
        </w:tc>
        <w:tc>
          <w:tcPr>
            <w:tcW w:w="1650" w:type="dxa"/>
            <w:tcBorders>
              <w:left w:val="single" w:color="000000" w:sz="4" w:space="0"/>
              <w:right w:val="single" w:color="000000" w:sz="4" w:space="0"/>
            </w:tcBorders>
            <w:vAlign w:val="top"/>
          </w:tcPr>
          <w:p w14:paraId="4D080807">
            <w:pPr>
              <w:spacing w:before="16"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1.3μ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5FD44261">
            <w:pPr>
              <w:spacing w:before="92" w:line="195" w:lineRule="auto"/>
              <w:ind w:left="31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84</w:t>
            </w:r>
            <w:r>
              <w:rPr>
                <w:rFonts w:ascii="Times New Roman" w:hAnsi="Times New Roman" w:eastAsia="Times New Roman" w:cs="Times New Roman"/>
                <w:sz w:val="20"/>
                <w:szCs w:val="20"/>
              </w:rPr>
              <w:t>0</w:t>
            </w:r>
          </w:p>
        </w:tc>
        <w:tc>
          <w:tcPr>
            <w:tcW w:w="1226" w:type="dxa"/>
            <w:tcBorders>
              <w:left w:val="single" w:color="000000" w:sz="4" w:space="0"/>
              <w:right w:val="single" w:color="000000" w:sz="4" w:space="0"/>
            </w:tcBorders>
            <w:vAlign w:val="top"/>
          </w:tcPr>
          <w:p w14:paraId="6871A2C5">
            <w:pPr>
              <w:spacing w:before="19"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7F46FF5F">
            <w:pPr>
              <w:spacing w:before="92"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5EB62E46">
            <w:pPr>
              <w:spacing w:before="92"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20B3B6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74DDA686">
            <w:pPr>
              <w:spacing w:before="92"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4</w:t>
            </w:r>
          </w:p>
        </w:tc>
        <w:tc>
          <w:tcPr>
            <w:tcW w:w="944" w:type="dxa"/>
            <w:vMerge w:val="continue"/>
            <w:tcBorders>
              <w:top w:val="nil"/>
              <w:left w:val="single" w:color="000000" w:sz="4" w:space="0"/>
              <w:bottom w:val="nil"/>
              <w:right w:val="single" w:color="000000" w:sz="4" w:space="0"/>
            </w:tcBorders>
            <w:vAlign w:val="top"/>
          </w:tcPr>
          <w:p w14:paraId="5E09FC43">
            <w:pPr>
              <w:rPr>
                <w:rFonts w:ascii="Arial"/>
                <w:sz w:val="21"/>
              </w:rPr>
            </w:pPr>
          </w:p>
        </w:tc>
        <w:tc>
          <w:tcPr>
            <w:tcW w:w="1680" w:type="dxa"/>
            <w:tcBorders>
              <w:left w:val="single" w:color="000000" w:sz="4" w:space="0"/>
              <w:right w:val="single" w:color="000000" w:sz="4" w:space="0"/>
            </w:tcBorders>
            <w:vAlign w:val="top"/>
          </w:tcPr>
          <w:p w14:paraId="780D40B0">
            <w:pPr>
              <w:spacing w:before="57" w:line="233" w:lineRule="auto"/>
              <w:ind w:left="196"/>
              <w:rPr>
                <w:rFonts w:ascii="宋体" w:hAnsi="宋体" w:eastAsia="宋体" w:cs="宋体"/>
                <w:sz w:val="20"/>
                <w:szCs w:val="20"/>
              </w:rPr>
            </w:pPr>
            <w:r>
              <w:rPr>
                <w:rFonts w:ascii="Times New Roman" w:hAnsi="Times New Roman" w:eastAsia="Times New Roman" w:cs="Times New Roman"/>
                <w:spacing w:val="-2"/>
                <w:sz w:val="20"/>
                <w:szCs w:val="20"/>
              </w:rPr>
              <w:t>1, 1,2</w:t>
            </w:r>
            <w:r>
              <w:rPr>
                <w:rFonts w:ascii="Times New Roman" w:hAnsi="Times New Roman" w:eastAsia="Times New Roman" w:cs="Times New Roman"/>
                <w:spacing w:val="-1"/>
                <w:sz w:val="20"/>
                <w:szCs w:val="20"/>
              </w:rPr>
              <w:t>-</w:t>
            </w:r>
            <w:r>
              <w:rPr>
                <w:rFonts w:ascii="宋体" w:hAnsi="宋体" w:eastAsia="宋体" w:cs="宋体"/>
                <w:spacing w:val="-1"/>
                <w:sz w:val="20"/>
                <w:szCs w:val="20"/>
              </w:rPr>
              <w:t>三氯乙烷</w:t>
            </w:r>
          </w:p>
        </w:tc>
        <w:tc>
          <w:tcPr>
            <w:tcW w:w="1650" w:type="dxa"/>
            <w:tcBorders>
              <w:left w:val="single" w:color="000000" w:sz="4" w:space="0"/>
              <w:right w:val="single" w:color="000000" w:sz="4" w:space="0"/>
            </w:tcBorders>
            <w:vAlign w:val="top"/>
          </w:tcPr>
          <w:p w14:paraId="7ED5D693">
            <w:pPr>
              <w:spacing w:before="16"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1.2μ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535EC98B">
            <w:pPr>
              <w:spacing w:before="92" w:line="198" w:lineRule="auto"/>
              <w:ind w:left="333"/>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5"/>
                <w:sz w:val="20"/>
                <w:szCs w:val="20"/>
              </w:rPr>
              <w:t>.8</w:t>
            </w:r>
          </w:p>
        </w:tc>
        <w:tc>
          <w:tcPr>
            <w:tcW w:w="1226" w:type="dxa"/>
            <w:tcBorders>
              <w:left w:val="single" w:color="000000" w:sz="4" w:space="0"/>
              <w:right w:val="single" w:color="000000" w:sz="4" w:space="0"/>
            </w:tcBorders>
            <w:vAlign w:val="top"/>
          </w:tcPr>
          <w:p w14:paraId="749146C7">
            <w:pPr>
              <w:spacing w:before="19"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49626962">
            <w:pPr>
              <w:spacing w:before="92"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139599E6">
            <w:pPr>
              <w:spacing w:before="92"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7BF0E1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532" w:type="dxa"/>
            <w:tcBorders>
              <w:left w:val="nil"/>
              <w:right w:val="single" w:color="000000" w:sz="4" w:space="0"/>
            </w:tcBorders>
            <w:vAlign w:val="top"/>
          </w:tcPr>
          <w:p w14:paraId="6D255D3D">
            <w:pPr>
              <w:spacing w:before="92"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5</w:t>
            </w:r>
          </w:p>
        </w:tc>
        <w:tc>
          <w:tcPr>
            <w:tcW w:w="944" w:type="dxa"/>
            <w:vMerge w:val="continue"/>
            <w:tcBorders>
              <w:top w:val="nil"/>
              <w:left w:val="single" w:color="000000" w:sz="4" w:space="0"/>
              <w:bottom w:val="nil"/>
              <w:right w:val="single" w:color="000000" w:sz="4" w:space="0"/>
            </w:tcBorders>
            <w:vAlign w:val="top"/>
          </w:tcPr>
          <w:p w14:paraId="44DA626C">
            <w:pPr>
              <w:rPr>
                <w:rFonts w:ascii="Arial"/>
                <w:sz w:val="21"/>
              </w:rPr>
            </w:pPr>
          </w:p>
        </w:tc>
        <w:tc>
          <w:tcPr>
            <w:tcW w:w="1680" w:type="dxa"/>
            <w:tcBorders>
              <w:left w:val="single" w:color="000000" w:sz="4" w:space="0"/>
              <w:right w:val="single" w:color="000000" w:sz="4" w:space="0"/>
            </w:tcBorders>
            <w:vAlign w:val="top"/>
          </w:tcPr>
          <w:p w14:paraId="143DDA65">
            <w:pPr>
              <w:spacing w:before="56" w:line="228" w:lineRule="auto"/>
              <w:ind w:left="422"/>
              <w:rPr>
                <w:rFonts w:ascii="宋体" w:hAnsi="宋体" w:eastAsia="宋体" w:cs="宋体"/>
                <w:sz w:val="20"/>
                <w:szCs w:val="20"/>
              </w:rPr>
            </w:pPr>
            <w:r>
              <w:rPr>
                <w:rFonts w:ascii="宋体" w:hAnsi="宋体" w:eastAsia="宋体" w:cs="宋体"/>
                <w:spacing w:val="8"/>
                <w:sz w:val="20"/>
                <w:szCs w:val="20"/>
              </w:rPr>
              <w:t>三</w:t>
            </w:r>
            <w:r>
              <w:rPr>
                <w:rFonts w:ascii="宋体" w:hAnsi="宋体" w:eastAsia="宋体" w:cs="宋体"/>
                <w:spacing w:val="7"/>
                <w:sz w:val="20"/>
                <w:szCs w:val="20"/>
              </w:rPr>
              <w:t>氯乙烯</w:t>
            </w:r>
          </w:p>
        </w:tc>
        <w:tc>
          <w:tcPr>
            <w:tcW w:w="1650" w:type="dxa"/>
            <w:tcBorders>
              <w:left w:val="single" w:color="000000" w:sz="4" w:space="0"/>
              <w:right w:val="single" w:color="000000" w:sz="4" w:space="0"/>
            </w:tcBorders>
            <w:vAlign w:val="top"/>
          </w:tcPr>
          <w:p w14:paraId="6E71188B">
            <w:pPr>
              <w:spacing w:before="18"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1.2μ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1E147892">
            <w:pPr>
              <w:spacing w:before="92" w:line="198" w:lineRule="auto"/>
              <w:ind w:left="333"/>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5"/>
                <w:sz w:val="20"/>
                <w:szCs w:val="20"/>
              </w:rPr>
              <w:t>.8</w:t>
            </w:r>
          </w:p>
        </w:tc>
        <w:tc>
          <w:tcPr>
            <w:tcW w:w="1226" w:type="dxa"/>
            <w:tcBorders>
              <w:left w:val="single" w:color="000000" w:sz="4" w:space="0"/>
              <w:right w:val="single" w:color="000000" w:sz="4" w:space="0"/>
            </w:tcBorders>
            <w:vAlign w:val="top"/>
          </w:tcPr>
          <w:p w14:paraId="449FB489">
            <w:pPr>
              <w:spacing w:before="18"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7A42F8F4">
            <w:pPr>
              <w:spacing w:before="92"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391AE6DE">
            <w:pPr>
              <w:spacing w:before="92"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4EA3C6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1478BD78">
            <w:pPr>
              <w:spacing w:before="93"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6</w:t>
            </w:r>
          </w:p>
        </w:tc>
        <w:tc>
          <w:tcPr>
            <w:tcW w:w="944" w:type="dxa"/>
            <w:vMerge w:val="continue"/>
            <w:tcBorders>
              <w:top w:val="nil"/>
              <w:left w:val="single" w:color="000000" w:sz="4" w:space="0"/>
              <w:bottom w:val="nil"/>
              <w:right w:val="single" w:color="000000" w:sz="4" w:space="0"/>
            </w:tcBorders>
            <w:vAlign w:val="top"/>
          </w:tcPr>
          <w:p w14:paraId="642D4365">
            <w:pPr>
              <w:rPr>
                <w:rFonts w:ascii="Arial"/>
                <w:sz w:val="21"/>
              </w:rPr>
            </w:pPr>
          </w:p>
        </w:tc>
        <w:tc>
          <w:tcPr>
            <w:tcW w:w="1680" w:type="dxa"/>
            <w:tcBorders>
              <w:left w:val="single" w:color="000000" w:sz="4" w:space="0"/>
              <w:right w:val="single" w:color="000000" w:sz="4" w:space="0"/>
            </w:tcBorders>
            <w:vAlign w:val="top"/>
          </w:tcPr>
          <w:p w14:paraId="69975F00">
            <w:pPr>
              <w:spacing w:before="57" w:line="233" w:lineRule="auto"/>
              <w:ind w:left="196"/>
              <w:rPr>
                <w:rFonts w:ascii="宋体" w:hAnsi="宋体" w:eastAsia="宋体" w:cs="宋体"/>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,2,3-</w:t>
            </w:r>
            <w:r>
              <w:rPr>
                <w:rFonts w:ascii="宋体" w:hAnsi="宋体" w:eastAsia="宋体" w:cs="宋体"/>
                <w:spacing w:val="3"/>
                <w:sz w:val="20"/>
                <w:szCs w:val="20"/>
              </w:rPr>
              <w:t>三氯丙烷</w:t>
            </w:r>
          </w:p>
        </w:tc>
        <w:tc>
          <w:tcPr>
            <w:tcW w:w="1650" w:type="dxa"/>
            <w:tcBorders>
              <w:left w:val="single" w:color="000000" w:sz="4" w:space="0"/>
              <w:right w:val="single" w:color="000000" w:sz="4" w:space="0"/>
            </w:tcBorders>
            <w:vAlign w:val="top"/>
          </w:tcPr>
          <w:p w14:paraId="6F34AF88">
            <w:pPr>
              <w:spacing w:before="19"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1.2μ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6435DEF5">
            <w:pPr>
              <w:spacing w:before="93" w:line="195" w:lineRule="auto"/>
              <w:ind w:left="33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.5</w:t>
            </w:r>
          </w:p>
        </w:tc>
        <w:tc>
          <w:tcPr>
            <w:tcW w:w="1226" w:type="dxa"/>
            <w:tcBorders>
              <w:left w:val="single" w:color="000000" w:sz="4" w:space="0"/>
              <w:right w:val="single" w:color="000000" w:sz="4" w:space="0"/>
            </w:tcBorders>
            <w:vAlign w:val="top"/>
          </w:tcPr>
          <w:p w14:paraId="6CA14FEE">
            <w:pPr>
              <w:spacing w:before="19"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4BD5487E">
            <w:pPr>
              <w:spacing w:before="93"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34478BED">
            <w:pPr>
              <w:spacing w:before="93"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1A385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532" w:type="dxa"/>
            <w:tcBorders>
              <w:left w:val="nil"/>
              <w:right w:val="single" w:color="000000" w:sz="4" w:space="0"/>
            </w:tcBorders>
            <w:vAlign w:val="top"/>
          </w:tcPr>
          <w:p w14:paraId="112B3B22">
            <w:pPr>
              <w:spacing w:before="92"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7</w:t>
            </w:r>
          </w:p>
        </w:tc>
        <w:tc>
          <w:tcPr>
            <w:tcW w:w="944" w:type="dxa"/>
            <w:vMerge w:val="continue"/>
            <w:tcBorders>
              <w:top w:val="nil"/>
              <w:left w:val="single" w:color="000000" w:sz="4" w:space="0"/>
              <w:bottom w:val="nil"/>
              <w:right w:val="single" w:color="000000" w:sz="4" w:space="0"/>
            </w:tcBorders>
            <w:vAlign w:val="top"/>
          </w:tcPr>
          <w:p w14:paraId="0F8FD9D0">
            <w:pPr>
              <w:rPr>
                <w:rFonts w:ascii="Arial"/>
                <w:sz w:val="21"/>
              </w:rPr>
            </w:pPr>
          </w:p>
        </w:tc>
        <w:tc>
          <w:tcPr>
            <w:tcW w:w="1680" w:type="dxa"/>
            <w:tcBorders>
              <w:left w:val="single" w:color="000000" w:sz="4" w:space="0"/>
              <w:right w:val="single" w:color="000000" w:sz="4" w:space="0"/>
            </w:tcBorders>
            <w:vAlign w:val="top"/>
          </w:tcPr>
          <w:p w14:paraId="5EFDE6BB">
            <w:pPr>
              <w:spacing w:before="56" w:line="228" w:lineRule="auto"/>
              <w:ind w:left="531"/>
              <w:rPr>
                <w:rFonts w:ascii="宋体" w:hAnsi="宋体" w:eastAsia="宋体" w:cs="宋体"/>
                <w:sz w:val="20"/>
                <w:szCs w:val="20"/>
              </w:rPr>
            </w:pPr>
            <w:r>
              <w:rPr>
                <w:rFonts w:ascii="宋体" w:hAnsi="宋体" w:eastAsia="宋体" w:cs="宋体"/>
                <w:spacing w:val="6"/>
                <w:sz w:val="20"/>
                <w:szCs w:val="20"/>
              </w:rPr>
              <w:t>氯乙</w:t>
            </w:r>
            <w:r>
              <w:rPr>
                <w:rFonts w:ascii="宋体" w:hAnsi="宋体" w:eastAsia="宋体" w:cs="宋体"/>
                <w:spacing w:val="5"/>
                <w:sz w:val="20"/>
                <w:szCs w:val="20"/>
              </w:rPr>
              <w:t>烯</w:t>
            </w:r>
          </w:p>
        </w:tc>
        <w:tc>
          <w:tcPr>
            <w:tcW w:w="1650" w:type="dxa"/>
            <w:tcBorders>
              <w:left w:val="single" w:color="000000" w:sz="4" w:space="0"/>
              <w:right w:val="single" w:color="000000" w:sz="4" w:space="0"/>
            </w:tcBorders>
            <w:vAlign w:val="top"/>
          </w:tcPr>
          <w:p w14:paraId="40D20848">
            <w:pPr>
              <w:spacing w:before="19"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1.0μ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7EF2D918">
            <w:pPr>
              <w:spacing w:before="93" w:line="195" w:lineRule="auto"/>
              <w:ind w:left="28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.43</w:t>
            </w:r>
          </w:p>
        </w:tc>
        <w:tc>
          <w:tcPr>
            <w:tcW w:w="1226" w:type="dxa"/>
            <w:tcBorders>
              <w:left w:val="single" w:color="000000" w:sz="4" w:space="0"/>
              <w:right w:val="single" w:color="000000" w:sz="4" w:space="0"/>
            </w:tcBorders>
            <w:vAlign w:val="top"/>
          </w:tcPr>
          <w:p w14:paraId="5E64C6DB">
            <w:pPr>
              <w:spacing w:before="19"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11BA42A1">
            <w:pPr>
              <w:spacing w:before="92"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6CF5D6CF">
            <w:pPr>
              <w:spacing w:before="92"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212FA1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1418BB92">
            <w:pPr>
              <w:spacing w:before="93"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8</w:t>
            </w:r>
          </w:p>
        </w:tc>
        <w:tc>
          <w:tcPr>
            <w:tcW w:w="944" w:type="dxa"/>
            <w:vMerge w:val="continue"/>
            <w:tcBorders>
              <w:top w:val="nil"/>
              <w:left w:val="single" w:color="000000" w:sz="4" w:space="0"/>
              <w:bottom w:val="nil"/>
              <w:right w:val="single" w:color="000000" w:sz="4" w:space="0"/>
            </w:tcBorders>
            <w:vAlign w:val="top"/>
          </w:tcPr>
          <w:p w14:paraId="21FE1C98">
            <w:pPr>
              <w:rPr>
                <w:rFonts w:ascii="Arial"/>
                <w:sz w:val="21"/>
              </w:rPr>
            </w:pPr>
          </w:p>
        </w:tc>
        <w:tc>
          <w:tcPr>
            <w:tcW w:w="1680" w:type="dxa"/>
            <w:tcBorders>
              <w:left w:val="single" w:color="000000" w:sz="4" w:space="0"/>
              <w:right w:val="single" w:color="000000" w:sz="4" w:space="0"/>
            </w:tcBorders>
            <w:vAlign w:val="top"/>
          </w:tcPr>
          <w:p w14:paraId="6E9EDCA5">
            <w:pPr>
              <w:spacing w:before="57" w:line="227" w:lineRule="auto"/>
              <w:ind w:left="741"/>
              <w:rPr>
                <w:rFonts w:ascii="宋体" w:hAnsi="宋体" w:eastAsia="宋体" w:cs="宋体"/>
                <w:sz w:val="20"/>
                <w:szCs w:val="20"/>
              </w:rPr>
            </w:pPr>
            <w:r>
              <w:rPr>
                <w:rFonts w:ascii="宋体" w:hAnsi="宋体" w:eastAsia="宋体" w:cs="宋体"/>
                <w:sz w:val="20"/>
                <w:szCs w:val="20"/>
              </w:rPr>
              <w:t>苯</w:t>
            </w:r>
          </w:p>
        </w:tc>
        <w:tc>
          <w:tcPr>
            <w:tcW w:w="1650" w:type="dxa"/>
            <w:tcBorders>
              <w:left w:val="single" w:color="000000" w:sz="4" w:space="0"/>
              <w:right w:val="single" w:color="000000" w:sz="4" w:space="0"/>
            </w:tcBorders>
            <w:vAlign w:val="top"/>
          </w:tcPr>
          <w:p w14:paraId="167D2237">
            <w:pPr>
              <w:spacing w:before="20" w:line="281" w:lineRule="exact"/>
              <w:ind w:left="398"/>
              <w:rPr>
                <w:rFonts w:ascii="Times New Roman" w:hAnsi="Times New Roman" w:eastAsia="Times New Roman" w:cs="Times New Roman"/>
                <w:sz w:val="20"/>
                <w:szCs w:val="20"/>
              </w:rPr>
            </w:pPr>
            <w:r>
              <w:rPr>
                <w:rFonts w:ascii="Times New Roman" w:hAnsi="Times New Roman" w:eastAsia="Times New Roman" w:cs="Times New Roman"/>
                <w:spacing w:val="9"/>
                <w:position w:val="2"/>
                <w:sz w:val="20"/>
                <w:szCs w:val="20"/>
              </w:rPr>
              <w:t>4</w:t>
            </w:r>
            <w:r>
              <w:rPr>
                <w:rFonts w:ascii="Times New Roman" w:hAnsi="Times New Roman" w:eastAsia="Times New Roman" w:cs="Times New Roman"/>
                <w:spacing w:val="5"/>
                <w:position w:val="2"/>
                <w:sz w:val="20"/>
                <w:szCs w:val="20"/>
              </w:rPr>
              <w:t>3.3μ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5"/>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1E4ED852">
            <w:pPr>
              <w:spacing w:before="93" w:line="195" w:lineRule="auto"/>
              <w:ind w:left="41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226" w:type="dxa"/>
            <w:tcBorders>
              <w:left w:val="single" w:color="000000" w:sz="4" w:space="0"/>
              <w:right w:val="single" w:color="000000" w:sz="4" w:space="0"/>
            </w:tcBorders>
            <w:vAlign w:val="top"/>
          </w:tcPr>
          <w:p w14:paraId="29D2A670">
            <w:pPr>
              <w:spacing w:before="94" w:line="195" w:lineRule="auto"/>
              <w:ind w:left="4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0.01</w:t>
            </w:r>
          </w:p>
        </w:tc>
        <w:tc>
          <w:tcPr>
            <w:tcW w:w="705" w:type="dxa"/>
            <w:tcBorders>
              <w:left w:val="single" w:color="000000" w:sz="4" w:space="0"/>
            </w:tcBorders>
            <w:vAlign w:val="top"/>
          </w:tcPr>
          <w:p w14:paraId="484236B4">
            <w:pPr>
              <w:spacing w:before="93"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0F6066EF">
            <w:pPr>
              <w:spacing w:before="93"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566BA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56BAEB3B">
            <w:pPr>
              <w:spacing w:before="93"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9</w:t>
            </w:r>
          </w:p>
        </w:tc>
        <w:tc>
          <w:tcPr>
            <w:tcW w:w="944" w:type="dxa"/>
            <w:vMerge w:val="continue"/>
            <w:tcBorders>
              <w:top w:val="nil"/>
              <w:left w:val="single" w:color="000000" w:sz="4" w:space="0"/>
              <w:bottom w:val="nil"/>
              <w:right w:val="single" w:color="000000" w:sz="4" w:space="0"/>
            </w:tcBorders>
            <w:vAlign w:val="top"/>
          </w:tcPr>
          <w:p w14:paraId="3D239192">
            <w:pPr>
              <w:rPr>
                <w:rFonts w:ascii="Arial"/>
                <w:sz w:val="21"/>
              </w:rPr>
            </w:pPr>
          </w:p>
        </w:tc>
        <w:tc>
          <w:tcPr>
            <w:tcW w:w="1680" w:type="dxa"/>
            <w:tcBorders>
              <w:left w:val="single" w:color="000000" w:sz="4" w:space="0"/>
              <w:right w:val="single" w:color="000000" w:sz="4" w:space="0"/>
            </w:tcBorders>
            <w:vAlign w:val="top"/>
          </w:tcPr>
          <w:p w14:paraId="2F0A96D1">
            <w:pPr>
              <w:spacing w:before="57" w:line="227" w:lineRule="auto"/>
              <w:ind w:left="636"/>
              <w:rPr>
                <w:rFonts w:ascii="宋体" w:hAnsi="宋体" w:eastAsia="宋体" w:cs="宋体"/>
                <w:sz w:val="20"/>
                <w:szCs w:val="20"/>
              </w:rPr>
            </w:pPr>
            <w:r>
              <w:rPr>
                <w:rFonts w:ascii="宋体" w:hAnsi="宋体" w:eastAsia="宋体" w:cs="宋体"/>
                <w:spacing w:val="3"/>
                <w:sz w:val="20"/>
                <w:szCs w:val="20"/>
              </w:rPr>
              <w:t>氯苯</w:t>
            </w:r>
          </w:p>
        </w:tc>
        <w:tc>
          <w:tcPr>
            <w:tcW w:w="1650" w:type="dxa"/>
            <w:tcBorders>
              <w:left w:val="single" w:color="000000" w:sz="4" w:space="0"/>
              <w:right w:val="single" w:color="000000" w:sz="4" w:space="0"/>
            </w:tcBorders>
            <w:vAlign w:val="top"/>
          </w:tcPr>
          <w:p w14:paraId="678C6BD8">
            <w:pPr>
              <w:spacing w:before="20"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1.2μ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19D2BB4F">
            <w:pPr>
              <w:spacing w:before="93" w:line="195" w:lineRule="auto"/>
              <w:ind w:left="306"/>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70</w:t>
            </w:r>
          </w:p>
        </w:tc>
        <w:tc>
          <w:tcPr>
            <w:tcW w:w="1226" w:type="dxa"/>
            <w:tcBorders>
              <w:left w:val="single" w:color="000000" w:sz="4" w:space="0"/>
              <w:right w:val="single" w:color="000000" w:sz="4" w:space="0"/>
            </w:tcBorders>
            <w:vAlign w:val="top"/>
          </w:tcPr>
          <w:p w14:paraId="67E058BA">
            <w:pPr>
              <w:spacing w:before="20"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036C0D51">
            <w:pPr>
              <w:spacing w:before="93"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7D63FC04">
            <w:pPr>
              <w:spacing w:before="93"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15936D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532" w:type="dxa"/>
            <w:tcBorders>
              <w:left w:val="nil"/>
              <w:right w:val="single" w:color="000000" w:sz="4" w:space="0"/>
            </w:tcBorders>
            <w:vAlign w:val="top"/>
          </w:tcPr>
          <w:p w14:paraId="35A1A6C1">
            <w:pPr>
              <w:spacing w:before="93"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0</w:t>
            </w:r>
          </w:p>
        </w:tc>
        <w:tc>
          <w:tcPr>
            <w:tcW w:w="944" w:type="dxa"/>
            <w:vMerge w:val="continue"/>
            <w:tcBorders>
              <w:top w:val="nil"/>
              <w:left w:val="single" w:color="000000" w:sz="4" w:space="0"/>
              <w:bottom w:val="nil"/>
              <w:right w:val="single" w:color="000000" w:sz="4" w:space="0"/>
            </w:tcBorders>
            <w:vAlign w:val="top"/>
          </w:tcPr>
          <w:p w14:paraId="3461AC80">
            <w:pPr>
              <w:rPr>
                <w:rFonts w:ascii="Arial"/>
                <w:sz w:val="21"/>
              </w:rPr>
            </w:pPr>
          </w:p>
        </w:tc>
        <w:tc>
          <w:tcPr>
            <w:tcW w:w="1680" w:type="dxa"/>
            <w:tcBorders>
              <w:left w:val="single" w:color="000000" w:sz="4" w:space="0"/>
              <w:right w:val="single" w:color="000000" w:sz="4" w:space="0"/>
            </w:tcBorders>
            <w:vAlign w:val="top"/>
          </w:tcPr>
          <w:p w14:paraId="4E1431CB">
            <w:pPr>
              <w:spacing w:before="57" w:line="232" w:lineRule="auto"/>
              <w:ind w:left="378"/>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w:t>
            </w:r>
            <w:r>
              <w:rPr>
                <w:rFonts w:ascii="宋体" w:hAnsi="宋体" w:eastAsia="宋体" w:cs="宋体"/>
                <w:spacing w:val="2"/>
                <w:sz w:val="20"/>
                <w:szCs w:val="20"/>
              </w:rPr>
              <w:t>二氯苯</w:t>
            </w:r>
          </w:p>
        </w:tc>
        <w:tc>
          <w:tcPr>
            <w:tcW w:w="1650" w:type="dxa"/>
            <w:tcBorders>
              <w:left w:val="single" w:color="000000" w:sz="4" w:space="0"/>
              <w:right w:val="single" w:color="000000" w:sz="4" w:space="0"/>
            </w:tcBorders>
            <w:vAlign w:val="top"/>
          </w:tcPr>
          <w:p w14:paraId="4045878A">
            <w:pPr>
              <w:spacing w:before="19"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1.5μ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61513AFE">
            <w:pPr>
              <w:spacing w:before="93" w:line="195" w:lineRule="auto"/>
              <w:ind w:left="31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56</w:t>
            </w:r>
            <w:r>
              <w:rPr>
                <w:rFonts w:ascii="Times New Roman" w:hAnsi="Times New Roman" w:eastAsia="Times New Roman" w:cs="Times New Roman"/>
                <w:spacing w:val="1"/>
                <w:sz w:val="20"/>
                <w:szCs w:val="20"/>
              </w:rPr>
              <w:t>0</w:t>
            </w:r>
          </w:p>
        </w:tc>
        <w:tc>
          <w:tcPr>
            <w:tcW w:w="1226" w:type="dxa"/>
            <w:tcBorders>
              <w:left w:val="single" w:color="000000" w:sz="4" w:space="0"/>
              <w:right w:val="single" w:color="000000" w:sz="4" w:space="0"/>
            </w:tcBorders>
            <w:vAlign w:val="top"/>
          </w:tcPr>
          <w:p w14:paraId="45CC829E">
            <w:pPr>
              <w:spacing w:before="19"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539A61E6">
            <w:pPr>
              <w:spacing w:before="93"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7423F6E0">
            <w:pPr>
              <w:spacing w:before="93"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39D2CA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58ACD224">
            <w:pPr>
              <w:spacing w:before="94"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1</w:t>
            </w:r>
          </w:p>
        </w:tc>
        <w:tc>
          <w:tcPr>
            <w:tcW w:w="944" w:type="dxa"/>
            <w:vMerge w:val="continue"/>
            <w:tcBorders>
              <w:top w:val="nil"/>
              <w:left w:val="single" w:color="000000" w:sz="4" w:space="0"/>
              <w:bottom w:val="nil"/>
              <w:right w:val="single" w:color="000000" w:sz="4" w:space="0"/>
            </w:tcBorders>
            <w:vAlign w:val="top"/>
          </w:tcPr>
          <w:p w14:paraId="4875220F">
            <w:pPr>
              <w:rPr>
                <w:rFonts w:ascii="Arial"/>
                <w:sz w:val="21"/>
              </w:rPr>
            </w:pPr>
          </w:p>
        </w:tc>
        <w:tc>
          <w:tcPr>
            <w:tcW w:w="1680" w:type="dxa"/>
            <w:tcBorders>
              <w:left w:val="single" w:color="000000" w:sz="4" w:space="0"/>
              <w:right w:val="single" w:color="000000" w:sz="4" w:space="0"/>
            </w:tcBorders>
            <w:vAlign w:val="top"/>
          </w:tcPr>
          <w:p w14:paraId="3A2CEA08">
            <w:pPr>
              <w:spacing w:before="58" w:line="232" w:lineRule="auto"/>
              <w:ind w:left="378"/>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4</w:t>
            </w:r>
            <w:r>
              <w:rPr>
                <w:rFonts w:ascii="Times New Roman" w:hAnsi="Times New Roman" w:eastAsia="Times New Roman" w:cs="Times New Roman"/>
                <w:spacing w:val="2"/>
                <w:sz w:val="20"/>
                <w:szCs w:val="20"/>
              </w:rPr>
              <w:t>-</w:t>
            </w:r>
            <w:r>
              <w:rPr>
                <w:rFonts w:ascii="宋体" w:hAnsi="宋体" w:eastAsia="宋体" w:cs="宋体"/>
                <w:spacing w:val="2"/>
                <w:sz w:val="20"/>
                <w:szCs w:val="20"/>
              </w:rPr>
              <w:t>二氯苯</w:t>
            </w:r>
          </w:p>
        </w:tc>
        <w:tc>
          <w:tcPr>
            <w:tcW w:w="1650" w:type="dxa"/>
            <w:tcBorders>
              <w:left w:val="single" w:color="000000" w:sz="4" w:space="0"/>
              <w:right w:val="single" w:color="000000" w:sz="4" w:space="0"/>
            </w:tcBorders>
            <w:vAlign w:val="top"/>
          </w:tcPr>
          <w:p w14:paraId="03D50FAC">
            <w:pPr>
              <w:spacing w:before="20"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1.5μ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7B443AEC">
            <w:pPr>
              <w:spacing w:before="94" w:line="195" w:lineRule="auto"/>
              <w:ind w:left="35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0</w:t>
            </w:r>
          </w:p>
        </w:tc>
        <w:tc>
          <w:tcPr>
            <w:tcW w:w="1226" w:type="dxa"/>
            <w:tcBorders>
              <w:left w:val="single" w:color="000000" w:sz="4" w:space="0"/>
              <w:right w:val="single" w:color="000000" w:sz="4" w:space="0"/>
            </w:tcBorders>
            <w:vAlign w:val="top"/>
          </w:tcPr>
          <w:p w14:paraId="3F2CDB03">
            <w:pPr>
              <w:spacing w:before="20"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6DF0F254">
            <w:pPr>
              <w:spacing w:before="94"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54A8C6D6">
            <w:pPr>
              <w:spacing w:before="94"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571529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532" w:type="dxa"/>
            <w:tcBorders>
              <w:left w:val="nil"/>
              <w:right w:val="single" w:color="000000" w:sz="4" w:space="0"/>
            </w:tcBorders>
            <w:vAlign w:val="top"/>
          </w:tcPr>
          <w:p w14:paraId="366BFC47">
            <w:pPr>
              <w:spacing w:before="96"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2</w:t>
            </w:r>
          </w:p>
        </w:tc>
        <w:tc>
          <w:tcPr>
            <w:tcW w:w="944" w:type="dxa"/>
            <w:vMerge w:val="continue"/>
            <w:tcBorders>
              <w:top w:val="nil"/>
              <w:left w:val="single" w:color="000000" w:sz="4" w:space="0"/>
              <w:bottom w:val="nil"/>
              <w:right w:val="single" w:color="000000" w:sz="4" w:space="0"/>
            </w:tcBorders>
            <w:vAlign w:val="top"/>
          </w:tcPr>
          <w:p w14:paraId="62D23E81">
            <w:pPr>
              <w:rPr>
                <w:rFonts w:ascii="Arial"/>
                <w:sz w:val="21"/>
              </w:rPr>
            </w:pPr>
          </w:p>
        </w:tc>
        <w:tc>
          <w:tcPr>
            <w:tcW w:w="1680" w:type="dxa"/>
            <w:tcBorders>
              <w:left w:val="single" w:color="000000" w:sz="4" w:space="0"/>
              <w:right w:val="single" w:color="000000" w:sz="4" w:space="0"/>
            </w:tcBorders>
            <w:vAlign w:val="top"/>
          </w:tcPr>
          <w:p w14:paraId="78DEE8D0">
            <w:pPr>
              <w:spacing w:before="60" w:line="227" w:lineRule="auto"/>
              <w:ind w:left="653"/>
              <w:rPr>
                <w:rFonts w:ascii="宋体" w:hAnsi="宋体" w:eastAsia="宋体" w:cs="宋体"/>
                <w:sz w:val="20"/>
                <w:szCs w:val="20"/>
              </w:rPr>
            </w:pPr>
            <w:r>
              <w:rPr>
                <w:rFonts w:ascii="宋体" w:hAnsi="宋体" w:eastAsia="宋体" w:cs="宋体"/>
                <w:spacing w:val="-6"/>
                <w:sz w:val="20"/>
                <w:szCs w:val="20"/>
              </w:rPr>
              <w:t>乙</w:t>
            </w:r>
            <w:r>
              <w:rPr>
                <w:rFonts w:ascii="宋体" w:hAnsi="宋体" w:eastAsia="宋体" w:cs="宋体"/>
                <w:spacing w:val="-5"/>
                <w:sz w:val="20"/>
                <w:szCs w:val="20"/>
              </w:rPr>
              <w:t>苯</w:t>
            </w:r>
          </w:p>
        </w:tc>
        <w:tc>
          <w:tcPr>
            <w:tcW w:w="1650" w:type="dxa"/>
            <w:tcBorders>
              <w:left w:val="single" w:color="000000" w:sz="4" w:space="0"/>
              <w:right w:val="single" w:color="000000" w:sz="4" w:space="0"/>
            </w:tcBorders>
            <w:vAlign w:val="top"/>
          </w:tcPr>
          <w:p w14:paraId="1908EFAF">
            <w:pPr>
              <w:spacing w:before="22" w:line="281" w:lineRule="exact"/>
              <w:ind w:left="403"/>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63.7μ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39E8B48B">
            <w:pPr>
              <w:spacing w:before="96" w:line="195" w:lineRule="auto"/>
              <w:ind w:left="35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8</w:t>
            </w:r>
          </w:p>
        </w:tc>
        <w:tc>
          <w:tcPr>
            <w:tcW w:w="1226" w:type="dxa"/>
            <w:tcBorders>
              <w:left w:val="single" w:color="000000" w:sz="4" w:space="0"/>
              <w:right w:val="single" w:color="000000" w:sz="4" w:space="0"/>
            </w:tcBorders>
            <w:vAlign w:val="top"/>
          </w:tcPr>
          <w:p w14:paraId="52C202B6">
            <w:pPr>
              <w:spacing w:before="96" w:line="195" w:lineRule="auto"/>
              <w:ind w:left="38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.002</w:t>
            </w:r>
          </w:p>
        </w:tc>
        <w:tc>
          <w:tcPr>
            <w:tcW w:w="705" w:type="dxa"/>
            <w:tcBorders>
              <w:left w:val="single" w:color="000000" w:sz="4" w:space="0"/>
            </w:tcBorders>
            <w:vAlign w:val="top"/>
          </w:tcPr>
          <w:p w14:paraId="1F6002F2">
            <w:pPr>
              <w:spacing w:before="96"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1B22AF1A">
            <w:pPr>
              <w:spacing w:before="96"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27FB0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3939ADDF">
            <w:pPr>
              <w:spacing w:before="97"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3</w:t>
            </w:r>
          </w:p>
        </w:tc>
        <w:tc>
          <w:tcPr>
            <w:tcW w:w="944" w:type="dxa"/>
            <w:vMerge w:val="continue"/>
            <w:tcBorders>
              <w:top w:val="nil"/>
              <w:left w:val="single" w:color="000000" w:sz="4" w:space="0"/>
              <w:bottom w:val="nil"/>
              <w:right w:val="single" w:color="000000" w:sz="4" w:space="0"/>
            </w:tcBorders>
            <w:vAlign w:val="top"/>
          </w:tcPr>
          <w:p w14:paraId="6A821E63">
            <w:pPr>
              <w:rPr>
                <w:rFonts w:ascii="Arial"/>
                <w:sz w:val="21"/>
              </w:rPr>
            </w:pPr>
          </w:p>
        </w:tc>
        <w:tc>
          <w:tcPr>
            <w:tcW w:w="1680" w:type="dxa"/>
            <w:tcBorders>
              <w:left w:val="single" w:color="000000" w:sz="4" w:space="0"/>
              <w:right w:val="single" w:color="000000" w:sz="4" w:space="0"/>
            </w:tcBorders>
            <w:vAlign w:val="top"/>
          </w:tcPr>
          <w:p w14:paraId="3AB6D82F">
            <w:pPr>
              <w:spacing w:before="61" w:line="227" w:lineRule="auto"/>
              <w:ind w:left="530"/>
              <w:rPr>
                <w:rFonts w:ascii="宋体" w:hAnsi="宋体" w:eastAsia="宋体" w:cs="宋体"/>
                <w:sz w:val="20"/>
                <w:szCs w:val="20"/>
              </w:rPr>
            </w:pPr>
            <w:r>
              <w:rPr>
                <w:rFonts w:ascii="宋体" w:hAnsi="宋体" w:eastAsia="宋体" w:cs="宋体"/>
                <w:spacing w:val="6"/>
                <w:sz w:val="20"/>
                <w:szCs w:val="20"/>
              </w:rPr>
              <w:t>苯乙烯</w:t>
            </w:r>
          </w:p>
        </w:tc>
        <w:tc>
          <w:tcPr>
            <w:tcW w:w="1650" w:type="dxa"/>
            <w:tcBorders>
              <w:left w:val="single" w:color="000000" w:sz="4" w:space="0"/>
              <w:right w:val="single" w:color="000000" w:sz="4" w:space="0"/>
            </w:tcBorders>
            <w:vAlign w:val="top"/>
          </w:tcPr>
          <w:p w14:paraId="2DE81995">
            <w:pPr>
              <w:spacing w:before="23" w:line="281" w:lineRule="exact"/>
              <w:ind w:left="403"/>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60.6μ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7A1AF76F">
            <w:pPr>
              <w:spacing w:before="97" w:line="195" w:lineRule="auto"/>
              <w:ind w:left="27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12</w:t>
            </w:r>
            <w:r>
              <w:rPr>
                <w:rFonts w:ascii="Times New Roman" w:hAnsi="Times New Roman" w:eastAsia="Times New Roman" w:cs="Times New Roman"/>
                <w:spacing w:val="-1"/>
                <w:sz w:val="20"/>
                <w:szCs w:val="20"/>
              </w:rPr>
              <w:t>90</w:t>
            </w:r>
          </w:p>
        </w:tc>
        <w:tc>
          <w:tcPr>
            <w:tcW w:w="1226" w:type="dxa"/>
            <w:tcBorders>
              <w:left w:val="single" w:color="000000" w:sz="4" w:space="0"/>
              <w:right w:val="single" w:color="000000" w:sz="4" w:space="0"/>
            </w:tcBorders>
            <w:vAlign w:val="top"/>
          </w:tcPr>
          <w:p w14:paraId="7AB9CD93">
            <w:pPr>
              <w:spacing w:before="97"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00005</w:t>
            </w:r>
          </w:p>
        </w:tc>
        <w:tc>
          <w:tcPr>
            <w:tcW w:w="705" w:type="dxa"/>
            <w:tcBorders>
              <w:left w:val="single" w:color="000000" w:sz="4" w:space="0"/>
            </w:tcBorders>
            <w:vAlign w:val="top"/>
          </w:tcPr>
          <w:p w14:paraId="3D22EC29">
            <w:pPr>
              <w:spacing w:before="97"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3347C495">
            <w:pPr>
              <w:spacing w:before="97"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1D14C6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1D8D8369">
            <w:pPr>
              <w:spacing w:before="96"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4</w:t>
            </w:r>
          </w:p>
        </w:tc>
        <w:tc>
          <w:tcPr>
            <w:tcW w:w="944" w:type="dxa"/>
            <w:vMerge w:val="continue"/>
            <w:tcBorders>
              <w:top w:val="nil"/>
              <w:left w:val="single" w:color="000000" w:sz="4" w:space="0"/>
              <w:bottom w:val="nil"/>
              <w:right w:val="single" w:color="000000" w:sz="4" w:space="0"/>
            </w:tcBorders>
            <w:vAlign w:val="top"/>
          </w:tcPr>
          <w:p w14:paraId="350142C5">
            <w:pPr>
              <w:rPr>
                <w:rFonts w:ascii="Arial"/>
                <w:sz w:val="21"/>
              </w:rPr>
            </w:pPr>
          </w:p>
        </w:tc>
        <w:tc>
          <w:tcPr>
            <w:tcW w:w="1680" w:type="dxa"/>
            <w:tcBorders>
              <w:left w:val="single" w:color="000000" w:sz="4" w:space="0"/>
              <w:right w:val="single" w:color="000000" w:sz="4" w:space="0"/>
            </w:tcBorders>
            <w:vAlign w:val="top"/>
          </w:tcPr>
          <w:p w14:paraId="736624F7">
            <w:pPr>
              <w:spacing w:before="60" w:line="227" w:lineRule="auto"/>
              <w:ind w:left="660"/>
              <w:rPr>
                <w:rFonts w:ascii="宋体" w:hAnsi="宋体" w:eastAsia="宋体" w:cs="宋体"/>
                <w:sz w:val="20"/>
                <w:szCs w:val="20"/>
              </w:rPr>
            </w:pPr>
            <w:r>
              <w:rPr>
                <w:rFonts w:ascii="宋体" w:hAnsi="宋体" w:eastAsia="宋体" w:cs="宋体"/>
                <w:spacing w:val="-10"/>
                <w:sz w:val="20"/>
                <w:szCs w:val="20"/>
              </w:rPr>
              <w:t>甲</w:t>
            </w:r>
            <w:r>
              <w:rPr>
                <w:rFonts w:ascii="宋体" w:hAnsi="宋体" w:eastAsia="宋体" w:cs="宋体"/>
                <w:spacing w:val="-8"/>
                <w:sz w:val="20"/>
                <w:szCs w:val="20"/>
              </w:rPr>
              <w:t>苯</w:t>
            </w:r>
          </w:p>
        </w:tc>
        <w:tc>
          <w:tcPr>
            <w:tcW w:w="1650" w:type="dxa"/>
            <w:tcBorders>
              <w:left w:val="single" w:color="000000" w:sz="4" w:space="0"/>
              <w:right w:val="single" w:color="000000" w:sz="4" w:space="0"/>
            </w:tcBorders>
            <w:vAlign w:val="top"/>
          </w:tcPr>
          <w:p w14:paraId="1EE907EE">
            <w:pPr>
              <w:spacing w:before="23" w:line="281" w:lineRule="exact"/>
              <w:ind w:left="404"/>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5</w:t>
            </w:r>
            <w:r>
              <w:rPr>
                <w:rFonts w:ascii="Times New Roman" w:hAnsi="Times New Roman" w:eastAsia="Times New Roman" w:cs="Times New Roman"/>
                <w:spacing w:val="4"/>
                <w:position w:val="2"/>
                <w:sz w:val="20"/>
                <w:szCs w:val="20"/>
              </w:rPr>
              <w:t>7.5μ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31AD8075">
            <w:pPr>
              <w:spacing w:before="96" w:line="195" w:lineRule="auto"/>
              <w:ind w:left="27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12</w:t>
            </w:r>
            <w:r>
              <w:rPr>
                <w:rFonts w:ascii="Times New Roman" w:hAnsi="Times New Roman" w:eastAsia="Times New Roman" w:cs="Times New Roman"/>
                <w:spacing w:val="-1"/>
                <w:sz w:val="20"/>
                <w:szCs w:val="20"/>
              </w:rPr>
              <w:t>00</w:t>
            </w:r>
          </w:p>
        </w:tc>
        <w:tc>
          <w:tcPr>
            <w:tcW w:w="1226" w:type="dxa"/>
            <w:tcBorders>
              <w:left w:val="single" w:color="000000" w:sz="4" w:space="0"/>
              <w:right w:val="single" w:color="000000" w:sz="4" w:space="0"/>
            </w:tcBorders>
            <w:vAlign w:val="top"/>
          </w:tcPr>
          <w:p w14:paraId="00C1DBC0">
            <w:pPr>
              <w:spacing w:before="97"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00005</w:t>
            </w:r>
          </w:p>
        </w:tc>
        <w:tc>
          <w:tcPr>
            <w:tcW w:w="705" w:type="dxa"/>
            <w:tcBorders>
              <w:left w:val="single" w:color="000000" w:sz="4" w:space="0"/>
            </w:tcBorders>
            <w:vAlign w:val="top"/>
          </w:tcPr>
          <w:p w14:paraId="1B49CFFE">
            <w:pPr>
              <w:spacing w:before="96"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0085FA62">
            <w:pPr>
              <w:spacing w:before="96"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70C2F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5C7ACA0C">
            <w:pPr>
              <w:spacing w:before="96"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5</w:t>
            </w:r>
          </w:p>
        </w:tc>
        <w:tc>
          <w:tcPr>
            <w:tcW w:w="944" w:type="dxa"/>
            <w:vMerge w:val="continue"/>
            <w:tcBorders>
              <w:top w:val="nil"/>
              <w:left w:val="single" w:color="000000" w:sz="4" w:space="0"/>
              <w:bottom w:val="nil"/>
              <w:right w:val="single" w:color="000000" w:sz="4" w:space="0"/>
            </w:tcBorders>
            <w:vAlign w:val="top"/>
          </w:tcPr>
          <w:p w14:paraId="03493A55">
            <w:pPr>
              <w:rPr>
                <w:rFonts w:ascii="Arial"/>
                <w:sz w:val="21"/>
              </w:rPr>
            </w:pPr>
          </w:p>
        </w:tc>
        <w:tc>
          <w:tcPr>
            <w:tcW w:w="1680" w:type="dxa"/>
            <w:tcBorders>
              <w:left w:val="single" w:color="000000" w:sz="4" w:space="0"/>
              <w:right w:val="single" w:color="000000" w:sz="4" w:space="0"/>
            </w:tcBorders>
            <w:vAlign w:val="top"/>
          </w:tcPr>
          <w:p w14:paraId="35E7E000">
            <w:pPr>
              <w:spacing w:before="23" w:line="281" w:lineRule="exact"/>
              <w:ind w:left="306"/>
              <w:rPr>
                <w:rFonts w:ascii="宋体" w:hAnsi="宋体" w:eastAsia="宋体" w:cs="宋体"/>
                <w:sz w:val="20"/>
                <w:szCs w:val="20"/>
              </w:rPr>
            </w:pPr>
            <w:r>
              <w:rPr>
                <w:rFonts w:ascii="宋体" w:hAnsi="宋体" w:eastAsia="宋体" w:cs="宋体"/>
                <w:spacing w:val="4"/>
                <w:position w:val="1"/>
                <w:sz w:val="20"/>
                <w:szCs w:val="20"/>
              </w:rPr>
              <w:t>间</w:t>
            </w:r>
            <w:r>
              <w:rPr>
                <w:rFonts w:ascii="Times New Roman" w:hAnsi="Times New Roman" w:eastAsia="Times New Roman" w:cs="Times New Roman"/>
                <w:spacing w:val="4"/>
                <w:position w:val="1"/>
                <w:sz w:val="20"/>
                <w:szCs w:val="20"/>
              </w:rPr>
              <w:t>/</w:t>
            </w:r>
            <w:r>
              <w:rPr>
                <w:rFonts w:ascii="宋体" w:hAnsi="宋体" w:eastAsia="宋体" w:cs="宋体"/>
                <w:spacing w:val="4"/>
                <w:position w:val="1"/>
                <w:sz w:val="20"/>
                <w:szCs w:val="20"/>
              </w:rPr>
              <w:t>对二甲苯</w:t>
            </w:r>
          </w:p>
        </w:tc>
        <w:tc>
          <w:tcPr>
            <w:tcW w:w="1650" w:type="dxa"/>
            <w:tcBorders>
              <w:left w:val="single" w:color="000000" w:sz="4" w:space="0"/>
              <w:right w:val="single" w:color="000000" w:sz="4" w:space="0"/>
            </w:tcBorders>
            <w:vAlign w:val="top"/>
          </w:tcPr>
          <w:p w14:paraId="29B11680">
            <w:pPr>
              <w:spacing w:before="23" w:line="281" w:lineRule="exact"/>
              <w:ind w:left="403"/>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62.5μ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4FCEDCA7">
            <w:pPr>
              <w:spacing w:before="96" w:line="195" w:lineRule="auto"/>
              <w:ind w:left="31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57</w:t>
            </w:r>
            <w:r>
              <w:rPr>
                <w:rFonts w:ascii="Times New Roman" w:hAnsi="Times New Roman" w:eastAsia="Times New Roman" w:cs="Times New Roman"/>
                <w:spacing w:val="1"/>
                <w:sz w:val="20"/>
                <w:szCs w:val="20"/>
              </w:rPr>
              <w:t>0</w:t>
            </w:r>
          </w:p>
        </w:tc>
        <w:tc>
          <w:tcPr>
            <w:tcW w:w="1226" w:type="dxa"/>
            <w:tcBorders>
              <w:left w:val="single" w:color="000000" w:sz="4" w:space="0"/>
              <w:right w:val="single" w:color="000000" w:sz="4" w:space="0"/>
            </w:tcBorders>
            <w:vAlign w:val="top"/>
          </w:tcPr>
          <w:p w14:paraId="2AA475C0">
            <w:pPr>
              <w:spacing w:before="97" w:line="195" w:lineRule="auto"/>
              <w:ind w:left="32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.0001</w:t>
            </w:r>
          </w:p>
        </w:tc>
        <w:tc>
          <w:tcPr>
            <w:tcW w:w="705" w:type="dxa"/>
            <w:tcBorders>
              <w:left w:val="single" w:color="000000" w:sz="4" w:space="0"/>
            </w:tcBorders>
            <w:vAlign w:val="top"/>
          </w:tcPr>
          <w:p w14:paraId="79947BE2">
            <w:pPr>
              <w:spacing w:before="96"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136FC7A7">
            <w:pPr>
              <w:spacing w:before="96"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53623E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73903370">
            <w:pPr>
              <w:spacing w:before="96"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6</w:t>
            </w:r>
          </w:p>
        </w:tc>
        <w:tc>
          <w:tcPr>
            <w:tcW w:w="944" w:type="dxa"/>
            <w:vMerge w:val="continue"/>
            <w:tcBorders>
              <w:top w:val="nil"/>
              <w:left w:val="single" w:color="000000" w:sz="4" w:space="0"/>
              <w:bottom w:val="nil"/>
              <w:right w:val="single" w:color="000000" w:sz="4" w:space="0"/>
            </w:tcBorders>
            <w:vAlign w:val="top"/>
          </w:tcPr>
          <w:p w14:paraId="6B2967AC">
            <w:pPr>
              <w:rPr>
                <w:rFonts w:ascii="Arial"/>
                <w:sz w:val="21"/>
              </w:rPr>
            </w:pPr>
          </w:p>
        </w:tc>
        <w:tc>
          <w:tcPr>
            <w:tcW w:w="1680" w:type="dxa"/>
            <w:tcBorders>
              <w:left w:val="single" w:color="000000" w:sz="4" w:space="0"/>
              <w:right w:val="single" w:color="000000" w:sz="4" w:space="0"/>
            </w:tcBorders>
            <w:vAlign w:val="top"/>
          </w:tcPr>
          <w:p w14:paraId="4BFD5B9C">
            <w:pPr>
              <w:spacing w:before="60" w:line="227" w:lineRule="auto"/>
              <w:ind w:left="421"/>
              <w:rPr>
                <w:rFonts w:ascii="宋体" w:hAnsi="宋体" w:eastAsia="宋体" w:cs="宋体"/>
                <w:sz w:val="20"/>
                <w:szCs w:val="20"/>
              </w:rPr>
            </w:pPr>
            <w:r>
              <w:rPr>
                <w:rFonts w:ascii="宋体" w:hAnsi="宋体" w:eastAsia="宋体" w:cs="宋体"/>
                <w:spacing w:val="9"/>
                <w:sz w:val="20"/>
                <w:szCs w:val="20"/>
              </w:rPr>
              <w:t>邻</w:t>
            </w:r>
            <w:r>
              <w:rPr>
                <w:rFonts w:ascii="宋体" w:hAnsi="宋体" w:eastAsia="宋体" w:cs="宋体"/>
                <w:spacing w:val="7"/>
                <w:sz w:val="20"/>
                <w:szCs w:val="20"/>
              </w:rPr>
              <w:t>二甲苯</w:t>
            </w:r>
          </w:p>
        </w:tc>
        <w:tc>
          <w:tcPr>
            <w:tcW w:w="1650" w:type="dxa"/>
            <w:tcBorders>
              <w:left w:val="single" w:color="000000" w:sz="4" w:space="0"/>
              <w:right w:val="single" w:color="000000" w:sz="4" w:space="0"/>
            </w:tcBorders>
            <w:vAlign w:val="top"/>
          </w:tcPr>
          <w:p w14:paraId="70836589">
            <w:pPr>
              <w:spacing w:before="23" w:line="281" w:lineRule="exact"/>
              <w:ind w:left="403"/>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63.3μ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3BB5FFDB">
            <w:pPr>
              <w:spacing w:before="96" w:line="195" w:lineRule="auto"/>
              <w:ind w:left="3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640</w:t>
            </w:r>
          </w:p>
        </w:tc>
        <w:tc>
          <w:tcPr>
            <w:tcW w:w="1226" w:type="dxa"/>
            <w:tcBorders>
              <w:left w:val="single" w:color="000000" w:sz="4" w:space="0"/>
              <w:right w:val="single" w:color="000000" w:sz="4" w:space="0"/>
            </w:tcBorders>
            <w:vAlign w:val="top"/>
          </w:tcPr>
          <w:p w14:paraId="473D85DD">
            <w:pPr>
              <w:spacing w:before="96" w:line="195" w:lineRule="auto"/>
              <w:ind w:left="32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.0001</w:t>
            </w:r>
          </w:p>
        </w:tc>
        <w:tc>
          <w:tcPr>
            <w:tcW w:w="705" w:type="dxa"/>
            <w:tcBorders>
              <w:left w:val="single" w:color="000000" w:sz="4" w:space="0"/>
            </w:tcBorders>
            <w:vAlign w:val="top"/>
          </w:tcPr>
          <w:p w14:paraId="20B7C13A">
            <w:pPr>
              <w:spacing w:before="96"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66BA73A9">
            <w:pPr>
              <w:spacing w:before="96"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25594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5F4C7AEE">
            <w:pPr>
              <w:spacing w:before="96"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7</w:t>
            </w:r>
          </w:p>
        </w:tc>
        <w:tc>
          <w:tcPr>
            <w:tcW w:w="944" w:type="dxa"/>
            <w:vMerge w:val="continue"/>
            <w:tcBorders>
              <w:top w:val="nil"/>
              <w:left w:val="single" w:color="000000" w:sz="4" w:space="0"/>
              <w:bottom w:val="nil"/>
              <w:right w:val="single" w:color="000000" w:sz="4" w:space="0"/>
            </w:tcBorders>
            <w:vAlign w:val="top"/>
          </w:tcPr>
          <w:p w14:paraId="2466F52E">
            <w:pPr>
              <w:rPr>
                <w:rFonts w:ascii="Arial"/>
                <w:sz w:val="21"/>
              </w:rPr>
            </w:pPr>
          </w:p>
        </w:tc>
        <w:tc>
          <w:tcPr>
            <w:tcW w:w="1680" w:type="dxa"/>
            <w:tcBorders>
              <w:left w:val="single" w:color="000000" w:sz="4" w:space="0"/>
              <w:right w:val="single" w:color="000000" w:sz="4" w:space="0"/>
            </w:tcBorders>
            <w:vAlign w:val="top"/>
          </w:tcPr>
          <w:p w14:paraId="2F820945">
            <w:pPr>
              <w:spacing w:before="60" w:line="227" w:lineRule="auto"/>
              <w:ind w:left="529"/>
              <w:rPr>
                <w:rFonts w:ascii="宋体" w:hAnsi="宋体" w:eastAsia="宋体" w:cs="宋体"/>
                <w:sz w:val="20"/>
                <w:szCs w:val="20"/>
              </w:rPr>
            </w:pPr>
            <w:r>
              <w:rPr>
                <w:rFonts w:ascii="宋体" w:hAnsi="宋体" w:eastAsia="宋体" w:cs="宋体"/>
                <w:spacing w:val="7"/>
                <w:sz w:val="20"/>
                <w:szCs w:val="20"/>
              </w:rPr>
              <w:t>硝</w:t>
            </w:r>
            <w:r>
              <w:rPr>
                <w:rFonts w:ascii="宋体" w:hAnsi="宋体" w:eastAsia="宋体" w:cs="宋体"/>
                <w:spacing w:val="6"/>
                <w:sz w:val="20"/>
                <w:szCs w:val="20"/>
              </w:rPr>
              <w:t>基苯</w:t>
            </w:r>
          </w:p>
        </w:tc>
        <w:tc>
          <w:tcPr>
            <w:tcW w:w="1650" w:type="dxa"/>
            <w:tcBorders>
              <w:left w:val="single" w:color="000000" w:sz="4" w:space="0"/>
              <w:right w:val="single" w:color="000000" w:sz="4" w:space="0"/>
            </w:tcBorders>
            <w:vAlign w:val="top"/>
          </w:tcPr>
          <w:p w14:paraId="00D1904D">
            <w:pPr>
              <w:spacing w:before="22" w:line="281" w:lineRule="exact"/>
              <w:ind w:left="286"/>
              <w:rPr>
                <w:rFonts w:ascii="Times New Roman" w:hAnsi="Times New Roman" w:eastAsia="Times New Roman" w:cs="Times New Roman"/>
                <w:sz w:val="20"/>
                <w:szCs w:val="20"/>
              </w:rPr>
            </w:pPr>
            <w:r>
              <w:rPr>
                <w:rFonts w:ascii="宋体" w:hAnsi="宋体" w:eastAsia="宋体" w:cs="宋体"/>
                <w:spacing w:val="7"/>
                <w:position w:val="2"/>
                <w:sz w:val="20"/>
                <w:szCs w:val="20"/>
              </w:rPr>
              <w:t>＜</w:t>
            </w:r>
            <w:r>
              <w:rPr>
                <w:rFonts w:ascii="Times New Roman" w:hAnsi="Times New Roman" w:eastAsia="Times New Roman" w:cs="Times New Roman"/>
                <w:spacing w:val="4"/>
                <w:position w:val="2"/>
                <w:sz w:val="20"/>
                <w:szCs w:val="20"/>
              </w:rPr>
              <w:t>0.09</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1EE9E712">
            <w:pPr>
              <w:spacing w:before="96" w:line="195" w:lineRule="auto"/>
              <w:ind w:left="36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76</w:t>
            </w:r>
          </w:p>
        </w:tc>
        <w:tc>
          <w:tcPr>
            <w:tcW w:w="1226" w:type="dxa"/>
            <w:tcBorders>
              <w:left w:val="single" w:color="000000" w:sz="4" w:space="0"/>
              <w:right w:val="single" w:color="000000" w:sz="4" w:space="0"/>
            </w:tcBorders>
            <w:vAlign w:val="top"/>
          </w:tcPr>
          <w:p w14:paraId="6D2C4DA3">
            <w:pPr>
              <w:spacing w:before="22"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4AEBCB74">
            <w:pPr>
              <w:spacing w:before="96"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4F433B44">
            <w:pPr>
              <w:spacing w:before="96"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621D39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46057E6A">
            <w:pPr>
              <w:spacing w:before="96"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8</w:t>
            </w:r>
          </w:p>
        </w:tc>
        <w:tc>
          <w:tcPr>
            <w:tcW w:w="944" w:type="dxa"/>
            <w:vMerge w:val="continue"/>
            <w:tcBorders>
              <w:top w:val="nil"/>
              <w:left w:val="single" w:color="000000" w:sz="4" w:space="0"/>
              <w:bottom w:val="nil"/>
              <w:right w:val="single" w:color="000000" w:sz="4" w:space="0"/>
            </w:tcBorders>
            <w:vAlign w:val="top"/>
          </w:tcPr>
          <w:p w14:paraId="0E0A2C33">
            <w:pPr>
              <w:rPr>
                <w:rFonts w:ascii="Arial"/>
                <w:sz w:val="21"/>
              </w:rPr>
            </w:pPr>
          </w:p>
        </w:tc>
        <w:tc>
          <w:tcPr>
            <w:tcW w:w="1680" w:type="dxa"/>
            <w:tcBorders>
              <w:left w:val="single" w:color="000000" w:sz="4" w:space="0"/>
              <w:right w:val="single" w:color="000000" w:sz="4" w:space="0"/>
            </w:tcBorders>
            <w:vAlign w:val="top"/>
          </w:tcPr>
          <w:p w14:paraId="762DF39D">
            <w:pPr>
              <w:spacing w:before="60" w:line="227" w:lineRule="auto"/>
              <w:ind w:left="635"/>
              <w:rPr>
                <w:rFonts w:ascii="宋体" w:hAnsi="宋体" w:eastAsia="宋体" w:cs="宋体"/>
                <w:sz w:val="20"/>
                <w:szCs w:val="20"/>
              </w:rPr>
            </w:pPr>
            <w:r>
              <w:rPr>
                <w:rFonts w:ascii="宋体" w:hAnsi="宋体" w:eastAsia="宋体" w:cs="宋体"/>
                <w:spacing w:val="4"/>
                <w:sz w:val="20"/>
                <w:szCs w:val="20"/>
              </w:rPr>
              <w:t>苯</w:t>
            </w:r>
            <w:r>
              <w:rPr>
                <w:rFonts w:ascii="宋体" w:hAnsi="宋体" w:eastAsia="宋体" w:cs="宋体"/>
                <w:spacing w:val="3"/>
                <w:sz w:val="20"/>
                <w:szCs w:val="20"/>
              </w:rPr>
              <w:t>胺</w:t>
            </w:r>
          </w:p>
        </w:tc>
        <w:tc>
          <w:tcPr>
            <w:tcW w:w="1650" w:type="dxa"/>
            <w:tcBorders>
              <w:left w:val="single" w:color="000000" w:sz="4" w:space="0"/>
              <w:right w:val="single" w:color="000000" w:sz="4" w:space="0"/>
            </w:tcBorders>
            <w:vAlign w:val="top"/>
          </w:tcPr>
          <w:p w14:paraId="4C733B9D">
            <w:pPr>
              <w:spacing w:before="22" w:line="281" w:lineRule="exact"/>
              <w:ind w:left="339"/>
              <w:rPr>
                <w:rFonts w:ascii="Times New Roman" w:hAnsi="Times New Roman" w:eastAsia="Times New Roman" w:cs="Times New Roman"/>
                <w:sz w:val="20"/>
                <w:szCs w:val="20"/>
              </w:rPr>
            </w:pPr>
            <w:r>
              <w:rPr>
                <w:rFonts w:ascii="宋体" w:hAnsi="宋体" w:eastAsia="宋体" w:cs="宋体"/>
                <w:spacing w:val="-4"/>
                <w:position w:val="4"/>
                <w:sz w:val="20"/>
                <w:szCs w:val="20"/>
              </w:rPr>
              <w:t>＜</w:t>
            </w:r>
            <w:r>
              <w:rPr>
                <w:rFonts w:ascii="Times New Roman" w:hAnsi="Times New Roman" w:eastAsia="Times New Roman" w:cs="Times New Roman"/>
                <w:spacing w:val="-4"/>
                <w:position w:val="4"/>
                <w:sz w:val="20"/>
                <w:szCs w:val="20"/>
              </w:rPr>
              <w:t xml:space="preserve">0. </w:t>
            </w:r>
            <w:r>
              <w:rPr>
                <w:rFonts w:ascii="Times New Roman" w:hAnsi="Times New Roman" w:eastAsia="Times New Roman" w:cs="Times New Roman"/>
                <w:spacing w:val="-2"/>
                <w:position w:val="4"/>
                <w:sz w:val="20"/>
                <w:szCs w:val="20"/>
              </w:rPr>
              <w:t>1mg/kg</w:t>
            </w:r>
          </w:p>
        </w:tc>
        <w:tc>
          <w:tcPr>
            <w:tcW w:w="930" w:type="dxa"/>
            <w:tcBorders>
              <w:left w:val="single" w:color="000000" w:sz="4" w:space="0"/>
              <w:right w:val="single" w:color="000000" w:sz="4" w:space="0"/>
            </w:tcBorders>
            <w:vAlign w:val="top"/>
          </w:tcPr>
          <w:p w14:paraId="2CD35784">
            <w:pPr>
              <w:spacing w:before="96" w:line="195" w:lineRule="auto"/>
              <w:ind w:left="306"/>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60</w:t>
            </w:r>
          </w:p>
        </w:tc>
        <w:tc>
          <w:tcPr>
            <w:tcW w:w="1226" w:type="dxa"/>
            <w:tcBorders>
              <w:left w:val="single" w:color="000000" w:sz="4" w:space="0"/>
              <w:right w:val="single" w:color="000000" w:sz="4" w:space="0"/>
            </w:tcBorders>
            <w:vAlign w:val="top"/>
          </w:tcPr>
          <w:p w14:paraId="14476480">
            <w:pPr>
              <w:spacing w:before="22"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34237E1D">
            <w:pPr>
              <w:spacing w:before="96"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1A38360E">
            <w:pPr>
              <w:spacing w:before="96"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56A9B4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54568BAF">
            <w:pPr>
              <w:spacing w:before="95"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9</w:t>
            </w:r>
          </w:p>
        </w:tc>
        <w:tc>
          <w:tcPr>
            <w:tcW w:w="944" w:type="dxa"/>
            <w:vMerge w:val="continue"/>
            <w:tcBorders>
              <w:top w:val="nil"/>
              <w:left w:val="single" w:color="000000" w:sz="4" w:space="0"/>
              <w:bottom w:val="nil"/>
              <w:right w:val="single" w:color="000000" w:sz="4" w:space="0"/>
            </w:tcBorders>
            <w:vAlign w:val="top"/>
          </w:tcPr>
          <w:p w14:paraId="1455D38A">
            <w:pPr>
              <w:rPr>
                <w:rFonts w:ascii="Arial"/>
                <w:sz w:val="21"/>
              </w:rPr>
            </w:pPr>
          </w:p>
        </w:tc>
        <w:tc>
          <w:tcPr>
            <w:tcW w:w="1680" w:type="dxa"/>
            <w:tcBorders>
              <w:left w:val="single" w:color="000000" w:sz="4" w:space="0"/>
              <w:right w:val="single" w:color="000000" w:sz="4" w:space="0"/>
            </w:tcBorders>
            <w:vAlign w:val="top"/>
          </w:tcPr>
          <w:p w14:paraId="1E42EE2E">
            <w:pPr>
              <w:spacing w:before="60" w:line="229" w:lineRule="auto"/>
              <w:ind w:left="543"/>
              <w:rPr>
                <w:rFonts w:ascii="宋体" w:hAnsi="宋体" w:eastAsia="宋体" w:cs="宋体"/>
                <w:sz w:val="20"/>
                <w:szCs w:val="20"/>
              </w:rPr>
            </w:pPr>
            <w:r>
              <w:rPr>
                <w:rFonts w:ascii="Times New Roman" w:hAnsi="Times New Roman" w:eastAsia="Times New Roman" w:cs="Times New Roman"/>
                <w:spacing w:val="5"/>
                <w:sz w:val="20"/>
                <w:szCs w:val="20"/>
              </w:rPr>
              <w:t>2-</w:t>
            </w:r>
            <w:r>
              <w:rPr>
                <w:rFonts w:ascii="宋体" w:hAnsi="宋体" w:eastAsia="宋体" w:cs="宋体"/>
                <w:spacing w:val="5"/>
                <w:sz w:val="20"/>
                <w:szCs w:val="20"/>
              </w:rPr>
              <w:t>氯</w:t>
            </w:r>
            <w:r>
              <w:rPr>
                <w:rFonts w:ascii="宋体" w:hAnsi="宋体" w:eastAsia="宋体" w:cs="宋体"/>
                <w:spacing w:val="4"/>
                <w:sz w:val="20"/>
                <w:szCs w:val="20"/>
              </w:rPr>
              <w:t>酚</w:t>
            </w:r>
          </w:p>
        </w:tc>
        <w:tc>
          <w:tcPr>
            <w:tcW w:w="1650" w:type="dxa"/>
            <w:tcBorders>
              <w:left w:val="single" w:color="000000" w:sz="4" w:space="0"/>
              <w:right w:val="single" w:color="000000" w:sz="4" w:space="0"/>
            </w:tcBorders>
            <w:vAlign w:val="top"/>
          </w:tcPr>
          <w:p w14:paraId="4EE9D899">
            <w:pPr>
              <w:spacing w:before="22" w:line="281" w:lineRule="exact"/>
              <w:ind w:left="286"/>
              <w:rPr>
                <w:rFonts w:ascii="Times New Roman" w:hAnsi="Times New Roman" w:eastAsia="Times New Roman" w:cs="Times New Roman"/>
                <w:sz w:val="20"/>
                <w:szCs w:val="20"/>
              </w:rPr>
            </w:pPr>
            <w:r>
              <w:rPr>
                <w:rFonts w:ascii="宋体" w:hAnsi="宋体" w:eastAsia="宋体" w:cs="宋体"/>
                <w:spacing w:val="7"/>
                <w:position w:val="2"/>
                <w:sz w:val="20"/>
                <w:szCs w:val="20"/>
              </w:rPr>
              <w:t>＜</w:t>
            </w:r>
            <w:r>
              <w:rPr>
                <w:rFonts w:ascii="Times New Roman" w:hAnsi="Times New Roman" w:eastAsia="Times New Roman" w:cs="Times New Roman"/>
                <w:spacing w:val="4"/>
                <w:position w:val="2"/>
                <w:sz w:val="20"/>
                <w:szCs w:val="20"/>
              </w:rPr>
              <w:t>0.06</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7A544617">
            <w:pPr>
              <w:spacing w:before="95" w:line="195" w:lineRule="auto"/>
              <w:ind w:left="256"/>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256</w:t>
            </w:r>
          </w:p>
        </w:tc>
        <w:tc>
          <w:tcPr>
            <w:tcW w:w="1226" w:type="dxa"/>
            <w:tcBorders>
              <w:left w:val="single" w:color="000000" w:sz="4" w:space="0"/>
              <w:right w:val="single" w:color="000000" w:sz="4" w:space="0"/>
            </w:tcBorders>
            <w:vAlign w:val="top"/>
          </w:tcPr>
          <w:p w14:paraId="636DA702">
            <w:pPr>
              <w:spacing w:before="22"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4B2CC2DE">
            <w:pPr>
              <w:spacing w:before="95"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2CB07A90">
            <w:pPr>
              <w:spacing w:before="95"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E61C0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7916BA9E">
            <w:pPr>
              <w:spacing w:before="95" w:line="195" w:lineRule="auto"/>
              <w:ind w:left="1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944" w:type="dxa"/>
            <w:vMerge w:val="continue"/>
            <w:tcBorders>
              <w:top w:val="nil"/>
              <w:left w:val="single" w:color="000000" w:sz="4" w:space="0"/>
              <w:bottom w:val="nil"/>
              <w:right w:val="single" w:color="000000" w:sz="4" w:space="0"/>
            </w:tcBorders>
            <w:vAlign w:val="top"/>
          </w:tcPr>
          <w:p w14:paraId="01AB73E4">
            <w:pPr>
              <w:rPr>
                <w:rFonts w:ascii="Arial"/>
                <w:sz w:val="21"/>
              </w:rPr>
            </w:pPr>
          </w:p>
        </w:tc>
        <w:tc>
          <w:tcPr>
            <w:tcW w:w="1680" w:type="dxa"/>
            <w:tcBorders>
              <w:left w:val="single" w:color="000000" w:sz="4" w:space="0"/>
              <w:right w:val="single" w:color="000000" w:sz="4" w:space="0"/>
            </w:tcBorders>
            <w:vAlign w:val="top"/>
          </w:tcPr>
          <w:p w14:paraId="70E847F0">
            <w:pPr>
              <w:spacing w:before="22" w:line="281" w:lineRule="exact"/>
              <w:ind w:left="415"/>
              <w:rPr>
                <w:rFonts w:ascii="宋体" w:hAnsi="宋体" w:eastAsia="宋体" w:cs="宋体"/>
                <w:sz w:val="20"/>
                <w:szCs w:val="20"/>
              </w:rPr>
            </w:pPr>
            <w:r>
              <w:rPr>
                <w:rFonts w:ascii="宋体" w:hAnsi="宋体" w:eastAsia="宋体" w:cs="宋体"/>
                <w:spacing w:val="6"/>
                <w:position w:val="2"/>
                <w:sz w:val="20"/>
                <w:szCs w:val="20"/>
              </w:rPr>
              <w:t>苯并</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a</w:t>
            </w:r>
            <w:r>
              <w:rPr>
                <w:rFonts w:ascii="Times New Roman" w:hAnsi="Times New Roman" w:eastAsia="Times New Roman" w:cs="Times New Roman"/>
                <w:spacing w:val="6"/>
                <w:position w:val="2"/>
                <w:sz w:val="20"/>
                <w:szCs w:val="20"/>
              </w:rPr>
              <w:t>]</w:t>
            </w:r>
            <w:r>
              <w:rPr>
                <w:rFonts w:ascii="宋体" w:hAnsi="宋体" w:eastAsia="宋体" w:cs="宋体"/>
                <w:spacing w:val="5"/>
                <w:position w:val="2"/>
                <w:sz w:val="20"/>
                <w:szCs w:val="20"/>
              </w:rPr>
              <w:t>蒽</w:t>
            </w:r>
          </w:p>
        </w:tc>
        <w:tc>
          <w:tcPr>
            <w:tcW w:w="1650" w:type="dxa"/>
            <w:tcBorders>
              <w:left w:val="single" w:color="000000" w:sz="4" w:space="0"/>
              <w:right w:val="single" w:color="000000" w:sz="4" w:space="0"/>
            </w:tcBorders>
            <w:vAlign w:val="top"/>
          </w:tcPr>
          <w:p w14:paraId="0A662F9A">
            <w:pPr>
              <w:spacing w:before="22" w:line="281" w:lineRule="exact"/>
              <w:ind w:left="339"/>
              <w:rPr>
                <w:rFonts w:ascii="Times New Roman" w:hAnsi="Times New Roman" w:eastAsia="Times New Roman" w:cs="Times New Roman"/>
                <w:sz w:val="20"/>
                <w:szCs w:val="20"/>
              </w:rPr>
            </w:pPr>
            <w:r>
              <w:rPr>
                <w:rFonts w:ascii="宋体" w:hAnsi="宋体" w:eastAsia="宋体" w:cs="宋体"/>
                <w:spacing w:val="-4"/>
                <w:position w:val="4"/>
                <w:sz w:val="20"/>
                <w:szCs w:val="20"/>
              </w:rPr>
              <w:t>＜</w:t>
            </w:r>
            <w:r>
              <w:rPr>
                <w:rFonts w:ascii="Times New Roman" w:hAnsi="Times New Roman" w:eastAsia="Times New Roman" w:cs="Times New Roman"/>
                <w:spacing w:val="-4"/>
                <w:position w:val="4"/>
                <w:sz w:val="20"/>
                <w:szCs w:val="20"/>
              </w:rPr>
              <w:t xml:space="preserve">0. </w:t>
            </w:r>
            <w:r>
              <w:rPr>
                <w:rFonts w:ascii="Times New Roman" w:hAnsi="Times New Roman" w:eastAsia="Times New Roman" w:cs="Times New Roman"/>
                <w:spacing w:val="-2"/>
                <w:position w:val="4"/>
                <w:sz w:val="20"/>
                <w:szCs w:val="20"/>
              </w:rPr>
              <w:t>1mg/kg</w:t>
            </w:r>
          </w:p>
        </w:tc>
        <w:tc>
          <w:tcPr>
            <w:tcW w:w="930" w:type="dxa"/>
            <w:tcBorders>
              <w:left w:val="single" w:color="000000" w:sz="4" w:space="0"/>
              <w:right w:val="single" w:color="000000" w:sz="4" w:space="0"/>
            </w:tcBorders>
            <w:vAlign w:val="top"/>
          </w:tcPr>
          <w:p w14:paraId="3834389D">
            <w:pPr>
              <w:spacing w:before="95"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c>
          <w:tcPr>
            <w:tcW w:w="1226" w:type="dxa"/>
            <w:tcBorders>
              <w:left w:val="single" w:color="000000" w:sz="4" w:space="0"/>
              <w:right w:val="single" w:color="000000" w:sz="4" w:space="0"/>
            </w:tcBorders>
            <w:vAlign w:val="top"/>
          </w:tcPr>
          <w:p w14:paraId="4B66808E">
            <w:pPr>
              <w:spacing w:before="22"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483E318E">
            <w:pPr>
              <w:spacing w:before="95"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032EEB7B">
            <w:pPr>
              <w:spacing w:before="95"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A5E91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3A58FBA2">
            <w:pPr>
              <w:spacing w:before="95" w:line="195" w:lineRule="auto"/>
              <w:ind w:left="1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41</w:t>
            </w:r>
          </w:p>
        </w:tc>
        <w:tc>
          <w:tcPr>
            <w:tcW w:w="944" w:type="dxa"/>
            <w:vMerge w:val="continue"/>
            <w:tcBorders>
              <w:top w:val="nil"/>
              <w:left w:val="single" w:color="000000" w:sz="4" w:space="0"/>
              <w:bottom w:val="nil"/>
              <w:right w:val="single" w:color="000000" w:sz="4" w:space="0"/>
            </w:tcBorders>
            <w:vAlign w:val="top"/>
          </w:tcPr>
          <w:p w14:paraId="723582C6">
            <w:pPr>
              <w:rPr>
                <w:rFonts w:ascii="Arial"/>
                <w:sz w:val="21"/>
              </w:rPr>
            </w:pPr>
          </w:p>
        </w:tc>
        <w:tc>
          <w:tcPr>
            <w:tcW w:w="1680" w:type="dxa"/>
            <w:tcBorders>
              <w:left w:val="single" w:color="000000" w:sz="4" w:space="0"/>
              <w:right w:val="single" w:color="000000" w:sz="4" w:space="0"/>
            </w:tcBorders>
            <w:vAlign w:val="top"/>
          </w:tcPr>
          <w:p w14:paraId="6CC97BF8">
            <w:pPr>
              <w:spacing w:before="22" w:line="281" w:lineRule="exact"/>
              <w:ind w:left="415"/>
              <w:rPr>
                <w:rFonts w:ascii="宋体" w:hAnsi="宋体" w:eastAsia="宋体" w:cs="宋体"/>
                <w:sz w:val="20"/>
                <w:szCs w:val="20"/>
              </w:rPr>
            </w:pPr>
            <w:r>
              <w:rPr>
                <w:rFonts w:ascii="宋体" w:hAnsi="宋体" w:eastAsia="宋体" w:cs="宋体"/>
                <w:spacing w:val="6"/>
                <w:position w:val="2"/>
                <w:sz w:val="20"/>
                <w:szCs w:val="20"/>
              </w:rPr>
              <w:t>苯并</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a</w:t>
            </w:r>
            <w:r>
              <w:rPr>
                <w:rFonts w:ascii="Times New Roman" w:hAnsi="Times New Roman" w:eastAsia="Times New Roman" w:cs="Times New Roman"/>
                <w:spacing w:val="6"/>
                <w:position w:val="2"/>
                <w:sz w:val="20"/>
                <w:szCs w:val="20"/>
              </w:rPr>
              <w:t>]</w:t>
            </w:r>
            <w:r>
              <w:rPr>
                <w:rFonts w:ascii="宋体" w:hAnsi="宋体" w:eastAsia="宋体" w:cs="宋体"/>
                <w:spacing w:val="5"/>
                <w:position w:val="2"/>
                <w:sz w:val="20"/>
                <w:szCs w:val="20"/>
              </w:rPr>
              <w:t>芘</w:t>
            </w:r>
          </w:p>
        </w:tc>
        <w:tc>
          <w:tcPr>
            <w:tcW w:w="1650" w:type="dxa"/>
            <w:tcBorders>
              <w:left w:val="single" w:color="000000" w:sz="4" w:space="0"/>
              <w:right w:val="single" w:color="000000" w:sz="4" w:space="0"/>
            </w:tcBorders>
            <w:vAlign w:val="top"/>
          </w:tcPr>
          <w:p w14:paraId="18010C5A">
            <w:pPr>
              <w:spacing w:before="22" w:line="281" w:lineRule="exact"/>
              <w:ind w:left="339"/>
              <w:rPr>
                <w:rFonts w:ascii="Times New Roman" w:hAnsi="Times New Roman" w:eastAsia="Times New Roman" w:cs="Times New Roman"/>
                <w:sz w:val="20"/>
                <w:szCs w:val="20"/>
              </w:rPr>
            </w:pPr>
            <w:r>
              <w:rPr>
                <w:rFonts w:ascii="宋体" w:hAnsi="宋体" w:eastAsia="宋体" w:cs="宋体"/>
                <w:spacing w:val="-4"/>
                <w:position w:val="4"/>
                <w:sz w:val="20"/>
                <w:szCs w:val="20"/>
              </w:rPr>
              <w:t>＜</w:t>
            </w:r>
            <w:r>
              <w:rPr>
                <w:rFonts w:ascii="Times New Roman" w:hAnsi="Times New Roman" w:eastAsia="Times New Roman" w:cs="Times New Roman"/>
                <w:spacing w:val="-4"/>
                <w:position w:val="4"/>
                <w:sz w:val="20"/>
                <w:szCs w:val="20"/>
              </w:rPr>
              <w:t xml:space="preserve">0. </w:t>
            </w:r>
            <w:r>
              <w:rPr>
                <w:rFonts w:ascii="Times New Roman" w:hAnsi="Times New Roman" w:eastAsia="Times New Roman" w:cs="Times New Roman"/>
                <w:spacing w:val="-2"/>
                <w:position w:val="4"/>
                <w:sz w:val="20"/>
                <w:szCs w:val="20"/>
              </w:rPr>
              <w:t>1mg/kg</w:t>
            </w:r>
          </w:p>
        </w:tc>
        <w:tc>
          <w:tcPr>
            <w:tcW w:w="930" w:type="dxa"/>
            <w:tcBorders>
              <w:left w:val="single" w:color="000000" w:sz="4" w:space="0"/>
              <w:right w:val="single" w:color="000000" w:sz="4" w:space="0"/>
            </w:tcBorders>
            <w:vAlign w:val="top"/>
          </w:tcPr>
          <w:p w14:paraId="2A7E08CC">
            <w:pPr>
              <w:spacing w:before="95" w:line="198"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.5</w:t>
            </w:r>
          </w:p>
        </w:tc>
        <w:tc>
          <w:tcPr>
            <w:tcW w:w="1226" w:type="dxa"/>
            <w:tcBorders>
              <w:left w:val="single" w:color="000000" w:sz="4" w:space="0"/>
              <w:right w:val="single" w:color="000000" w:sz="4" w:space="0"/>
            </w:tcBorders>
            <w:vAlign w:val="top"/>
          </w:tcPr>
          <w:p w14:paraId="24C95CA0">
            <w:pPr>
              <w:spacing w:before="22"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0DB6AA71">
            <w:pPr>
              <w:spacing w:before="95"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2D6F17A3">
            <w:pPr>
              <w:spacing w:before="95"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206E35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41C0258B">
            <w:pPr>
              <w:spacing w:before="95" w:line="195" w:lineRule="auto"/>
              <w:ind w:left="1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w:t>
            </w:r>
          </w:p>
        </w:tc>
        <w:tc>
          <w:tcPr>
            <w:tcW w:w="944" w:type="dxa"/>
            <w:vMerge w:val="continue"/>
            <w:tcBorders>
              <w:top w:val="nil"/>
              <w:left w:val="single" w:color="000000" w:sz="4" w:space="0"/>
              <w:bottom w:val="nil"/>
              <w:right w:val="single" w:color="000000" w:sz="4" w:space="0"/>
            </w:tcBorders>
            <w:vAlign w:val="top"/>
          </w:tcPr>
          <w:p w14:paraId="041CED8C">
            <w:pPr>
              <w:rPr>
                <w:rFonts w:ascii="Arial"/>
                <w:sz w:val="21"/>
              </w:rPr>
            </w:pPr>
          </w:p>
        </w:tc>
        <w:tc>
          <w:tcPr>
            <w:tcW w:w="1680" w:type="dxa"/>
            <w:tcBorders>
              <w:left w:val="single" w:color="000000" w:sz="4" w:space="0"/>
              <w:right w:val="single" w:color="000000" w:sz="4" w:space="0"/>
            </w:tcBorders>
            <w:vAlign w:val="top"/>
          </w:tcPr>
          <w:p w14:paraId="3FEA627B">
            <w:pPr>
              <w:spacing w:before="21" w:line="281" w:lineRule="exact"/>
              <w:ind w:left="304"/>
              <w:rPr>
                <w:rFonts w:ascii="宋体" w:hAnsi="宋体" w:eastAsia="宋体" w:cs="宋体"/>
                <w:sz w:val="20"/>
                <w:szCs w:val="20"/>
              </w:rPr>
            </w:pPr>
            <w:r>
              <w:rPr>
                <w:rFonts w:ascii="宋体" w:hAnsi="宋体" w:eastAsia="宋体" w:cs="宋体"/>
                <w:spacing w:val="6"/>
                <w:position w:val="2"/>
                <w:sz w:val="20"/>
                <w:szCs w:val="20"/>
              </w:rPr>
              <w:t>苯并</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b</w:t>
            </w:r>
            <w:r>
              <w:rPr>
                <w:rFonts w:ascii="Times New Roman" w:hAnsi="Times New Roman" w:eastAsia="Times New Roman" w:cs="Times New Roman"/>
                <w:spacing w:val="6"/>
                <w:position w:val="2"/>
                <w:sz w:val="20"/>
                <w:szCs w:val="20"/>
              </w:rPr>
              <w:t>]</w:t>
            </w:r>
            <w:r>
              <w:rPr>
                <w:rFonts w:ascii="宋体" w:hAnsi="宋体" w:eastAsia="宋体" w:cs="宋体"/>
                <w:spacing w:val="6"/>
                <w:position w:val="2"/>
                <w:sz w:val="20"/>
                <w:szCs w:val="20"/>
              </w:rPr>
              <w:t>荧蒽</w:t>
            </w:r>
          </w:p>
        </w:tc>
        <w:tc>
          <w:tcPr>
            <w:tcW w:w="1650" w:type="dxa"/>
            <w:tcBorders>
              <w:left w:val="single" w:color="000000" w:sz="4" w:space="0"/>
              <w:right w:val="single" w:color="000000" w:sz="4" w:space="0"/>
            </w:tcBorders>
            <w:vAlign w:val="top"/>
          </w:tcPr>
          <w:p w14:paraId="7D3F3798">
            <w:pPr>
              <w:spacing w:before="21" w:line="281" w:lineRule="exact"/>
              <w:ind w:left="339"/>
              <w:rPr>
                <w:rFonts w:ascii="Times New Roman" w:hAnsi="Times New Roman" w:eastAsia="Times New Roman" w:cs="Times New Roman"/>
                <w:sz w:val="20"/>
                <w:szCs w:val="20"/>
              </w:rPr>
            </w:pPr>
            <w:r>
              <w:rPr>
                <w:rFonts w:ascii="宋体" w:hAnsi="宋体" w:eastAsia="宋体" w:cs="宋体"/>
                <w:spacing w:val="6"/>
                <w:position w:val="2"/>
                <w:sz w:val="20"/>
                <w:szCs w:val="20"/>
              </w:rPr>
              <w:t>＜</w:t>
            </w:r>
            <w:r>
              <w:rPr>
                <w:rFonts w:ascii="Times New Roman" w:hAnsi="Times New Roman" w:eastAsia="Times New Roman" w:cs="Times New Roman"/>
                <w:spacing w:val="4"/>
                <w:position w:val="2"/>
                <w:sz w:val="20"/>
                <w:szCs w:val="20"/>
              </w:rPr>
              <w:t>0.2</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3F5461B0">
            <w:pPr>
              <w:spacing w:before="95"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c>
          <w:tcPr>
            <w:tcW w:w="1226" w:type="dxa"/>
            <w:tcBorders>
              <w:left w:val="single" w:color="000000" w:sz="4" w:space="0"/>
              <w:right w:val="single" w:color="000000" w:sz="4" w:space="0"/>
            </w:tcBorders>
            <w:vAlign w:val="top"/>
          </w:tcPr>
          <w:p w14:paraId="323F0A6C">
            <w:pPr>
              <w:spacing w:before="21"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21EB4DCC">
            <w:pPr>
              <w:spacing w:before="95"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7340AA52">
            <w:pPr>
              <w:spacing w:before="95"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1FAE5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445068F6">
            <w:pPr>
              <w:spacing w:before="95" w:line="195" w:lineRule="auto"/>
              <w:ind w:left="1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43</w:t>
            </w:r>
          </w:p>
        </w:tc>
        <w:tc>
          <w:tcPr>
            <w:tcW w:w="944" w:type="dxa"/>
            <w:vMerge w:val="continue"/>
            <w:tcBorders>
              <w:top w:val="nil"/>
              <w:left w:val="single" w:color="000000" w:sz="4" w:space="0"/>
              <w:bottom w:val="nil"/>
              <w:right w:val="single" w:color="000000" w:sz="4" w:space="0"/>
            </w:tcBorders>
            <w:vAlign w:val="top"/>
          </w:tcPr>
          <w:p w14:paraId="6EE0F03F">
            <w:pPr>
              <w:rPr>
                <w:rFonts w:ascii="Arial"/>
                <w:sz w:val="21"/>
              </w:rPr>
            </w:pPr>
          </w:p>
        </w:tc>
        <w:tc>
          <w:tcPr>
            <w:tcW w:w="1680" w:type="dxa"/>
            <w:tcBorders>
              <w:left w:val="single" w:color="000000" w:sz="4" w:space="0"/>
              <w:right w:val="single" w:color="000000" w:sz="4" w:space="0"/>
            </w:tcBorders>
            <w:vAlign w:val="top"/>
          </w:tcPr>
          <w:p w14:paraId="1A5E695F">
            <w:pPr>
              <w:spacing w:before="21" w:line="281" w:lineRule="exact"/>
              <w:ind w:left="304"/>
              <w:rPr>
                <w:rFonts w:ascii="宋体" w:hAnsi="宋体" w:eastAsia="宋体" w:cs="宋体"/>
                <w:sz w:val="20"/>
                <w:szCs w:val="20"/>
              </w:rPr>
            </w:pPr>
            <w:r>
              <w:rPr>
                <w:rFonts w:ascii="宋体" w:hAnsi="宋体" w:eastAsia="宋体" w:cs="宋体"/>
                <w:spacing w:val="6"/>
                <w:position w:val="2"/>
                <w:sz w:val="20"/>
                <w:szCs w:val="20"/>
              </w:rPr>
              <w:t>苯并</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k</w:t>
            </w:r>
            <w:r>
              <w:rPr>
                <w:rFonts w:ascii="Times New Roman" w:hAnsi="Times New Roman" w:eastAsia="Times New Roman" w:cs="Times New Roman"/>
                <w:spacing w:val="6"/>
                <w:position w:val="2"/>
                <w:sz w:val="20"/>
                <w:szCs w:val="20"/>
              </w:rPr>
              <w:t>]</w:t>
            </w:r>
            <w:r>
              <w:rPr>
                <w:rFonts w:ascii="宋体" w:hAnsi="宋体" w:eastAsia="宋体" w:cs="宋体"/>
                <w:spacing w:val="6"/>
                <w:position w:val="2"/>
                <w:sz w:val="20"/>
                <w:szCs w:val="20"/>
              </w:rPr>
              <w:t>荧蒽</w:t>
            </w:r>
          </w:p>
        </w:tc>
        <w:tc>
          <w:tcPr>
            <w:tcW w:w="1650" w:type="dxa"/>
            <w:tcBorders>
              <w:left w:val="single" w:color="000000" w:sz="4" w:space="0"/>
              <w:right w:val="single" w:color="000000" w:sz="4" w:space="0"/>
            </w:tcBorders>
            <w:vAlign w:val="top"/>
          </w:tcPr>
          <w:p w14:paraId="34079FFE">
            <w:pPr>
              <w:spacing w:before="21" w:line="281" w:lineRule="exact"/>
              <w:ind w:left="339"/>
              <w:rPr>
                <w:rFonts w:ascii="Times New Roman" w:hAnsi="Times New Roman" w:eastAsia="Times New Roman" w:cs="Times New Roman"/>
                <w:sz w:val="20"/>
                <w:szCs w:val="20"/>
              </w:rPr>
            </w:pPr>
            <w:r>
              <w:rPr>
                <w:rFonts w:ascii="宋体" w:hAnsi="宋体" w:eastAsia="宋体" w:cs="宋体"/>
                <w:spacing w:val="-4"/>
                <w:position w:val="4"/>
                <w:sz w:val="20"/>
                <w:szCs w:val="20"/>
              </w:rPr>
              <w:t>＜</w:t>
            </w:r>
            <w:r>
              <w:rPr>
                <w:rFonts w:ascii="Times New Roman" w:hAnsi="Times New Roman" w:eastAsia="Times New Roman" w:cs="Times New Roman"/>
                <w:spacing w:val="-4"/>
                <w:position w:val="4"/>
                <w:sz w:val="20"/>
                <w:szCs w:val="20"/>
              </w:rPr>
              <w:t xml:space="preserve">0. </w:t>
            </w:r>
            <w:r>
              <w:rPr>
                <w:rFonts w:ascii="Times New Roman" w:hAnsi="Times New Roman" w:eastAsia="Times New Roman" w:cs="Times New Roman"/>
                <w:spacing w:val="-2"/>
                <w:position w:val="4"/>
                <w:sz w:val="20"/>
                <w:szCs w:val="20"/>
              </w:rPr>
              <w:t>1mg/kg</w:t>
            </w:r>
          </w:p>
        </w:tc>
        <w:tc>
          <w:tcPr>
            <w:tcW w:w="930" w:type="dxa"/>
            <w:tcBorders>
              <w:left w:val="single" w:color="000000" w:sz="4" w:space="0"/>
              <w:right w:val="single" w:color="000000" w:sz="4" w:space="0"/>
            </w:tcBorders>
            <w:vAlign w:val="top"/>
          </w:tcPr>
          <w:p w14:paraId="7CD883BF">
            <w:pPr>
              <w:spacing w:before="95" w:line="195" w:lineRule="auto"/>
              <w:ind w:left="32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151</w:t>
            </w:r>
          </w:p>
        </w:tc>
        <w:tc>
          <w:tcPr>
            <w:tcW w:w="1226" w:type="dxa"/>
            <w:tcBorders>
              <w:left w:val="single" w:color="000000" w:sz="4" w:space="0"/>
              <w:right w:val="single" w:color="000000" w:sz="4" w:space="0"/>
            </w:tcBorders>
            <w:vAlign w:val="top"/>
          </w:tcPr>
          <w:p w14:paraId="4FCF72C7">
            <w:pPr>
              <w:spacing w:before="21"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396971F2">
            <w:pPr>
              <w:spacing w:before="95"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21CD35AD">
            <w:pPr>
              <w:spacing w:before="95"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24A6A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51831488">
            <w:pPr>
              <w:spacing w:before="97" w:line="195" w:lineRule="auto"/>
              <w:ind w:left="1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44</w:t>
            </w:r>
          </w:p>
        </w:tc>
        <w:tc>
          <w:tcPr>
            <w:tcW w:w="944" w:type="dxa"/>
            <w:vMerge w:val="continue"/>
            <w:tcBorders>
              <w:top w:val="nil"/>
              <w:left w:val="single" w:color="000000" w:sz="4" w:space="0"/>
              <w:bottom w:val="nil"/>
              <w:right w:val="single" w:color="000000" w:sz="4" w:space="0"/>
            </w:tcBorders>
            <w:vAlign w:val="top"/>
          </w:tcPr>
          <w:p w14:paraId="7EE58055">
            <w:pPr>
              <w:rPr>
                <w:rFonts w:ascii="Arial"/>
                <w:sz w:val="21"/>
              </w:rPr>
            </w:pPr>
          </w:p>
        </w:tc>
        <w:tc>
          <w:tcPr>
            <w:tcW w:w="1680" w:type="dxa"/>
            <w:tcBorders>
              <w:left w:val="single" w:color="000000" w:sz="4" w:space="0"/>
              <w:right w:val="single" w:color="000000" w:sz="4" w:space="0"/>
            </w:tcBorders>
            <w:vAlign w:val="top"/>
          </w:tcPr>
          <w:p w14:paraId="401E0F15">
            <w:pPr>
              <w:spacing w:before="61" w:line="229" w:lineRule="auto"/>
              <w:ind w:left="737"/>
              <w:rPr>
                <w:rFonts w:ascii="宋体" w:hAnsi="宋体" w:eastAsia="宋体" w:cs="宋体"/>
                <w:sz w:val="20"/>
                <w:szCs w:val="20"/>
              </w:rPr>
            </w:pPr>
            <w:r>
              <w:rPr>
                <w:rFonts w:ascii="宋体" w:hAnsi="宋体" w:eastAsia="宋体" w:cs="宋体"/>
                <w:spacing w:val="2"/>
                <w:sz w:val="20"/>
                <w:szCs w:val="20"/>
              </w:rPr>
              <w:t>䓛</w:t>
            </w:r>
          </w:p>
        </w:tc>
        <w:tc>
          <w:tcPr>
            <w:tcW w:w="1650" w:type="dxa"/>
            <w:tcBorders>
              <w:left w:val="single" w:color="000000" w:sz="4" w:space="0"/>
              <w:right w:val="single" w:color="000000" w:sz="4" w:space="0"/>
            </w:tcBorders>
            <w:vAlign w:val="top"/>
          </w:tcPr>
          <w:p w14:paraId="2F8F8352">
            <w:pPr>
              <w:spacing w:before="21" w:line="281" w:lineRule="exact"/>
              <w:ind w:left="339"/>
              <w:rPr>
                <w:rFonts w:ascii="Times New Roman" w:hAnsi="Times New Roman" w:eastAsia="Times New Roman" w:cs="Times New Roman"/>
                <w:sz w:val="20"/>
                <w:szCs w:val="20"/>
              </w:rPr>
            </w:pPr>
            <w:r>
              <w:rPr>
                <w:rFonts w:ascii="宋体" w:hAnsi="宋体" w:eastAsia="宋体" w:cs="宋体"/>
                <w:spacing w:val="-4"/>
                <w:position w:val="4"/>
                <w:sz w:val="20"/>
                <w:szCs w:val="20"/>
              </w:rPr>
              <w:t>＜</w:t>
            </w:r>
            <w:r>
              <w:rPr>
                <w:rFonts w:ascii="Times New Roman" w:hAnsi="Times New Roman" w:eastAsia="Times New Roman" w:cs="Times New Roman"/>
                <w:spacing w:val="-4"/>
                <w:position w:val="4"/>
                <w:sz w:val="20"/>
                <w:szCs w:val="20"/>
              </w:rPr>
              <w:t xml:space="preserve">0. </w:t>
            </w:r>
            <w:r>
              <w:rPr>
                <w:rFonts w:ascii="Times New Roman" w:hAnsi="Times New Roman" w:eastAsia="Times New Roman" w:cs="Times New Roman"/>
                <w:spacing w:val="-2"/>
                <w:position w:val="4"/>
                <w:sz w:val="20"/>
                <w:szCs w:val="20"/>
              </w:rPr>
              <w:t>1mg/kg</w:t>
            </w:r>
          </w:p>
        </w:tc>
        <w:tc>
          <w:tcPr>
            <w:tcW w:w="930" w:type="dxa"/>
            <w:tcBorders>
              <w:left w:val="single" w:color="000000" w:sz="4" w:space="0"/>
              <w:right w:val="single" w:color="000000" w:sz="4" w:space="0"/>
            </w:tcBorders>
            <w:vAlign w:val="top"/>
          </w:tcPr>
          <w:p w14:paraId="71B69B53">
            <w:pPr>
              <w:spacing w:before="97" w:line="195" w:lineRule="auto"/>
              <w:ind w:left="27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12</w:t>
            </w:r>
            <w:r>
              <w:rPr>
                <w:rFonts w:ascii="Times New Roman" w:hAnsi="Times New Roman" w:eastAsia="Times New Roman" w:cs="Times New Roman"/>
                <w:spacing w:val="-1"/>
                <w:sz w:val="20"/>
                <w:szCs w:val="20"/>
              </w:rPr>
              <w:t>93</w:t>
            </w:r>
          </w:p>
        </w:tc>
        <w:tc>
          <w:tcPr>
            <w:tcW w:w="1226" w:type="dxa"/>
            <w:tcBorders>
              <w:left w:val="single" w:color="000000" w:sz="4" w:space="0"/>
              <w:right w:val="single" w:color="000000" w:sz="4" w:space="0"/>
            </w:tcBorders>
            <w:vAlign w:val="top"/>
          </w:tcPr>
          <w:p w14:paraId="711886BA">
            <w:pPr>
              <w:spacing w:before="23"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5987A750">
            <w:pPr>
              <w:spacing w:before="97"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166F2DF0">
            <w:pPr>
              <w:spacing w:before="97"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4F874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40A6C1C7">
            <w:pPr>
              <w:spacing w:before="97" w:line="195" w:lineRule="auto"/>
              <w:ind w:left="1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w:t>
            </w:r>
          </w:p>
        </w:tc>
        <w:tc>
          <w:tcPr>
            <w:tcW w:w="944" w:type="dxa"/>
            <w:vMerge w:val="continue"/>
            <w:tcBorders>
              <w:top w:val="nil"/>
              <w:left w:val="single" w:color="000000" w:sz="4" w:space="0"/>
              <w:bottom w:val="nil"/>
              <w:right w:val="single" w:color="000000" w:sz="4" w:space="0"/>
            </w:tcBorders>
            <w:vAlign w:val="top"/>
          </w:tcPr>
          <w:p w14:paraId="1CEC65E2">
            <w:pPr>
              <w:rPr>
                <w:rFonts w:ascii="Arial"/>
                <w:sz w:val="21"/>
              </w:rPr>
            </w:pPr>
          </w:p>
        </w:tc>
        <w:tc>
          <w:tcPr>
            <w:tcW w:w="1680" w:type="dxa"/>
            <w:tcBorders>
              <w:left w:val="single" w:color="000000" w:sz="4" w:space="0"/>
              <w:right w:val="single" w:color="000000" w:sz="4" w:space="0"/>
            </w:tcBorders>
            <w:vAlign w:val="top"/>
          </w:tcPr>
          <w:p w14:paraId="3DB9F403">
            <w:pPr>
              <w:spacing w:before="23" w:line="281" w:lineRule="exact"/>
              <w:ind w:left="154"/>
              <w:rPr>
                <w:rFonts w:ascii="宋体" w:hAnsi="宋体" w:eastAsia="宋体" w:cs="宋体"/>
                <w:sz w:val="20"/>
                <w:szCs w:val="20"/>
              </w:rPr>
            </w:pPr>
            <w:r>
              <w:rPr>
                <w:rFonts w:ascii="宋体" w:hAnsi="宋体" w:eastAsia="宋体" w:cs="宋体"/>
                <w:spacing w:val="1"/>
                <w:position w:val="2"/>
                <w:sz w:val="20"/>
                <w:szCs w:val="20"/>
              </w:rPr>
              <w:t>二</w:t>
            </w:r>
            <w:r>
              <w:rPr>
                <w:rFonts w:ascii="宋体" w:hAnsi="宋体" w:eastAsia="宋体" w:cs="宋体"/>
                <w:position w:val="2"/>
                <w:sz w:val="20"/>
                <w:szCs w:val="20"/>
              </w:rPr>
              <w:t>苯并</w:t>
            </w:r>
            <w:r>
              <w:rPr>
                <w:rFonts w:ascii="Times New Roman" w:hAnsi="Times New Roman" w:eastAsia="Times New Roman" w:cs="Times New Roman"/>
                <w:position w:val="2"/>
                <w:sz w:val="20"/>
                <w:szCs w:val="20"/>
              </w:rPr>
              <w:t xml:space="preserve">[a </w:t>
            </w:r>
            <w:r>
              <w:rPr>
                <w:rFonts w:ascii="宋体" w:hAnsi="宋体" w:eastAsia="宋体" w:cs="宋体"/>
                <w:position w:val="2"/>
                <w:sz w:val="20"/>
                <w:szCs w:val="20"/>
              </w:rPr>
              <w:t>，</w:t>
            </w:r>
            <w:r>
              <w:rPr>
                <w:rFonts w:ascii="Times New Roman" w:hAnsi="Times New Roman" w:eastAsia="Times New Roman" w:cs="Times New Roman"/>
                <w:position w:val="2"/>
                <w:sz w:val="20"/>
                <w:szCs w:val="20"/>
              </w:rPr>
              <w:t>h]</w:t>
            </w:r>
            <w:r>
              <w:rPr>
                <w:rFonts w:ascii="宋体" w:hAnsi="宋体" w:eastAsia="宋体" w:cs="宋体"/>
                <w:position w:val="2"/>
                <w:sz w:val="20"/>
                <w:szCs w:val="20"/>
              </w:rPr>
              <w:t>蒽</w:t>
            </w:r>
          </w:p>
        </w:tc>
        <w:tc>
          <w:tcPr>
            <w:tcW w:w="1650" w:type="dxa"/>
            <w:tcBorders>
              <w:left w:val="single" w:color="000000" w:sz="4" w:space="0"/>
              <w:right w:val="single" w:color="000000" w:sz="4" w:space="0"/>
            </w:tcBorders>
            <w:vAlign w:val="top"/>
          </w:tcPr>
          <w:p w14:paraId="33E0360A">
            <w:pPr>
              <w:spacing w:before="21" w:line="281" w:lineRule="exact"/>
              <w:ind w:left="339"/>
              <w:rPr>
                <w:rFonts w:ascii="Times New Roman" w:hAnsi="Times New Roman" w:eastAsia="Times New Roman" w:cs="Times New Roman"/>
                <w:sz w:val="20"/>
                <w:szCs w:val="20"/>
              </w:rPr>
            </w:pPr>
            <w:r>
              <w:rPr>
                <w:rFonts w:ascii="宋体" w:hAnsi="宋体" w:eastAsia="宋体" w:cs="宋体"/>
                <w:spacing w:val="-4"/>
                <w:position w:val="4"/>
                <w:sz w:val="20"/>
                <w:szCs w:val="20"/>
              </w:rPr>
              <w:t>＜</w:t>
            </w:r>
            <w:r>
              <w:rPr>
                <w:rFonts w:ascii="Times New Roman" w:hAnsi="Times New Roman" w:eastAsia="Times New Roman" w:cs="Times New Roman"/>
                <w:spacing w:val="-4"/>
                <w:position w:val="4"/>
                <w:sz w:val="20"/>
                <w:szCs w:val="20"/>
              </w:rPr>
              <w:t xml:space="preserve">0. </w:t>
            </w:r>
            <w:r>
              <w:rPr>
                <w:rFonts w:ascii="Times New Roman" w:hAnsi="Times New Roman" w:eastAsia="Times New Roman" w:cs="Times New Roman"/>
                <w:spacing w:val="-2"/>
                <w:position w:val="4"/>
                <w:sz w:val="20"/>
                <w:szCs w:val="20"/>
              </w:rPr>
              <w:t>1mg/kg</w:t>
            </w:r>
          </w:p>
        </w:tc>
        <w:tc>
          <w:tcPr>
            <w:tcW w:w="930" w:type="dxa"/>
            <w:tcBorders>
              <w:left w:val="single" w:color="000000" w:sz="4" w:space="0"/>
              <w:right w:val="single" w:color="000000" w:sz="4" w:space="0"/>
            </w:tcBorders>
            <w:vAlign w:val="top"/>
          </w:tcPr>
          <w:p w14:paraId="36F40499">
            <w:pPr>
              <w:spacing w:before="97" w:line="198"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.5</w:t>
            </w:r>
          </w:p>
        </w:tc>
        <w:tc>
          <w:tcPr>
            <w:tcW w:w="1226" w:type="dxa"/>
            <w:tcBorders>
              <w:left w:val="single" w:color="000000" w:sz="4" w:space="0"/>
              <w:right w:val="single" w:color="000000" w:sz="4" w:space="0"/>
            </w:tcBorders>
            <w:vAlign w:val="top"/>
          </w:tcPr>
          <w:p w14:paraId="02846103">
            <w:pPr>
              <w:spacing w:before="23"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01E2DE4D">
            <w:pPr>
              <w:spacing w:before="97"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6B5309E5">
            <w:pPr>
              <w:spacing w:before="97"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2C3B3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77B6BCAD">
            <w:pPr>
              <w:spacing w:before="96" w:line="195" w:lineRule="auto"/>
              <w:ind w:left="1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46</w:t>
            </w:r>
          </w:p>
        </w:tc>
        <w:tc>
          <w:tcPr>
            <w:tcW w:w="944" w:type="dxa"/>
            <w:vMerge w:val="continue"/>
            <w:tcBorders>
              <w:top w:val="nil"/>
              <w:left w:val="single" w:color="000000" w:sz="4" w:space="0"/>
              <w:bottom w:val="nil"/>
              <w:right w:val="single" w:color="000000" w:sz="4" w:space="0"/>
            </w:tcBorders>
            <w:vAlign w:val="top"/>
          </w:tcPr>
          <w:p w14:paraId="63CFA165">
            <w:pPr>
              <w:rPr>
                <w:rFonts w:ascii="Arial"/>
                <w:sz w:val="21"/>
              </w:rPr>
            </w:pPr>
          </w:p>
        </w:tc>
        <w:tc>
          <w:tcPr>
            <w:tcW w:w="1680" w:type="dxa"/>
            <w:tcBorders>
              <w:left w:val="single" w:color="000000" w:sz="4" w:space="0"/>
              <w:right w:val="single" w:color="000000" w:sz="4" w:space="0"/>
            </w:tcBorders>
            <w:vAlign w:val="top"/>
          </w:tcPr>
          <w:p w14:paraId="17B162AC">
            <w:pPr>
              <w:spacing w:before="23" w:line="281" w:lineRule="exact"/>
              <w:ind w:left="119"/>
              <w:rPr>
                <w:rFonts w:ascii="宋体" w:hAnsi="宋体" w:eastAsia="宋体" w:cs="宋体"/>
                <w:sz w:val="20"/>
                <w:szCs w:val="20"/>
              </w:rPr>
            </w:pPr>
            <w:r>
              <w:rPr>
                <w:rFonts w:ascii="宋体" w:hAnsi="宋体" w:eastAsia="宋体" w:cs="宋体"/>
                <w:spacing w:val="6"/>
                <w:position w:val="2"/>
                <w:sz w:val="20"/>
                <w:szCs w:val="20"/>
              </w:rPr>
              <w:t>茚</w:t>
            </w:r>
            <w:r>
              <w:rPr>
                <w:rFonts w:ascii="宋体" w:hAnsi="宋体" w:eastAsia="宋体" w:cs="宋体"/>
                <w:spacing w:val="5"/>
                <w:position w:val="2"/>
                <w:sz w:val="20"/>
                <w:szCs w:val="20"/>
              </w:rPr>
              <w:t>并</w:t>
            </w:r>
            <w:r>
              <w:rPr>
                <w:rFonts w:ascii="Times New Roman" w:hAnsi="Times New Roman" w:eastAsia="Times New Roman" w:cs="Times New Roman"/>
                <w:spacing w:val="5"/>
                <w:position w:val="2"/>
                <w:sz w:val="20"/>
                <w:szCs w:val="20"/>
              </w:rPr>
              <w:t>[1,2,3-</w:t>
            </w:r>
            <w:r>
              <w:rPr>
                <w:rFonts w:ascii="Times New Roman" w:hAnsi="Times New Roman" w:eastAsia="Times New Roman" w:cs="Times New Roman"/>
                <w:position w:val="2"/>
                <w:sz w:val="20"/>
                <w:szCs w:val="20"/>
              </w:rPr>
              <w:t>cd</w:t>
            </w:r>
            <w:r>
              <w:rPr>
                <w:rFonts w:ascii="Times New Roman" w:hAnsi="Times New Roman" w:eastAsia="Times New Roman" w:cs="Times New Roman"/>
                <w:spacing w:val="5"/>
                <w:position w:val="2"/>
                <w:sz w:val="20"/>
                <w:szCs w:val="20"/>
              </w:rPr>
              <w:t>]</w:t>
            </w:r>
            <w:r>
              <w:rPr>
                <w:rFonts w:ascii="宋体" w:hAnsi="宋体" w:eastAsia="宋体" w:cs="宋体"/>
                <w:spacing w:val="5"/>
                <w:position w:val="2"/>
                <w:sz w:val="20"/>
                <w:szCs w:val="20"/>
              </w:rPr>
              <w:t>芘</w:t>
            </w:r>
          </w:p>
        </w:tc>
        <w:tc>
          <w:tcPr>
            <w:tcW w:w="1650" w:type="dxa"/>
            <w:tcBorders>
              <w:left w:val="single" w:color="000000" w:sz="4" w:space="0"/>
              <w:right w:val="single" w:color="000000" w:sz="4" w:space="0"/>
            </w:tcBorders>
            <w:vAlign w:val="top"/>
          </w:tcPr>
          <w:p w14:paraId="2FD70C42">
            <w:pPr>
              <w:spacing w:before="21" w:line="281" w:lineRule="exact"/>
              <w:ind w:left="339"/>
              <w:rPr>
                <w:rFonts w:ascii="Times New Roman" w:hAnsi="Times New Roman" w:eastAsia="Times New Roman" w:cs="Times New Roman"/>
                <w:sz w:val="20"/>
                <w:szCs w:val="20"/>
              </w:rPr>
            </w:pPr>
            <w:r>
              <w:rPr>
                <w:rFonts w:ascii="宋体" w:hAnsi="宋体" w:eastAsia="宋体" w:cs="宋体"/>
                <w:spacing w:val="-4"/>
                <w:position w:val="4"/>
                <w:sz w:val="20"/>
                <w:szCs w:val="20"/>
              </w:rPr>
              <w:t>＜</w:t>
            </w:r>
            <w:r>
              <w:rPr>
                <w:rFonts w:ascii="Times New Roman" w:hAnsi="Times New Roman" w:eastAsia="Times New Roman" w:cs="Times New Roman"/>
                <w:spacing w:val="-4"/>
                <w:position w:val="4"/>
                <w:sz w:val="20"/>
                <w:szCs w:val="20"/>
              </w:rPr>
              <w:t xml:space="preserve">0. </w:t>
            </w:r>
            <w:r>
              <w:rPr>
                <w:rFonts w:ascii="Times New Roman" w:hAnsi="Times New Roman" w:eastAsia="Times New Roman" w:cs="Times New Roman"/>
                <w:spacing w:val="-2"/>
                <w:position w:val="4"/>
                <w:sz w:val="20"/>
                <w:szCs w:val="20"/>
              </w:rPr>
              <w:t>1mg/kg</w:t>
            </w:r>
          </w:p>
        </w:tc>
        <w:tc>
          <w:tcPr>
            <w:tcW w:w="930" w:type="dxa"/>
            <w:tcBorders>
              <w:left w:val="single" w:color="000000" w:sz="4" w:space="0"/>
              <w:right w:val="single" w:color="000000" w:sz="4" w:space="0"/>
            </w:tcBorders>
            <w:vAlign w:val="top"/>
          </w:tcPr>
          <w:p w14:paraId="3CC51ABF">
            <w:pPr>
              <w:spacing w:before="96"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c>
          <w:tcPr>
            <w:tcW w:w="1226" w:type="dxa"/>
            <w:tcBorders>
              <w:left w:val="single" w:color="000000" w:sz="4" w:space="0"/>
              <w:right w:val="single" w:color="000000" w:sz="4" w:space="0"/>
            </w:tcBorders>
            <w:vAlign w:val="top"/>
          </w:tcPr>
          <w:p w14:paraId="73A3108F">
            <w:pPr>
              <w:spacing w:before="23"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5B02E89B">
            <w:pPr>
              <w:spacing w:before="96"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71D364A7">
            <w:pPr>
              <w:spacing w:before="96"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7ACCF3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784AA467">
            <w:pPr>
              <w:spacing w:before="96" w:line="195" w:lineRule="auto"/>
              <w:ind w:left="1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47</w:t>
            </w:r>
          </w:p>
        </w:tc>
        <w:tc>
          <w:tcPr>
            <w:tcW w:w="944" w:type="dxa"/>
            <w:vMerge w:val="continue"/>
            <w:tcBorders>
              <w:top w:val="nil"/>
              <w:left w:val="single" w:color="000000" w:sz="4" w:space="0"/>
              <w:right w:val="single" w:color="000000" w:sz="4" w:space="0"/>
            </w:tcBorders>
            <w:vAlign w:val="top"/>
          </w:tcPr>
          <w:p w14:paraId="512869F7">
            <w:pPr>
              <w:rPr>
                <w:rFonts w:ascii="Arial"/>
                <w:sz w:val="21"/>
              </w:rPr>
            </w:pPr>
          </w:p>
        </w:tc>
        <w:tc>
          <w:tcPr>
            <w:tcW w:w="1680" w:type="dxa"/>
            <w:tcBorders>
              <w:left w:val="single" w:color="000000" w:sz="4" w:space="0"/>
              <w:right w:val="single" w:color="000000" w:sz="4" w:space="0"/>
            </w:tcBorders>
            <w:vAlign w:val="top"/>
          </w:tcPr>
          <w:p w14:paraId="5241ACCF">
            <w:pPr>
              <w:spacing w:before="61" w:line="228" w:lineRule="auto"/>
              <w:ind w:left="739"/>
              <w:rPr>
                <w:rFonts w:ascii="宋体" w:hAnsi="宋体" w:eastAsia="宋体" w:cs="宋体"/>
                <w:sz w:val="20"/>
                <w:szCs w:val="20"/>
              </w:rPr>
            </w:pPr>
            <w:r>
              <w:rPr>
                <w:rFonts w:ascii="宋体" w:hAnsi="宋体" w:eastAsia="宋体" w:cs="宋体"/>
                <w:sz w:val="20"/>
                <w:szCs w:val="20"/>
              </w:rPr>
              <w:t>萘</w:t>
            </w:r>
          </w:p>
        </w:tc>
        <w:tc>
          <w:tcPr>
            <w:tcW w:w="1650" w:type="dxa"/>
            <w:tcBorders>
              <w:left w:val="single" w:color="000000" w:sz="4" w:space="0"/>
              <w:right w:val="single" w:color="000000" w:sz="4" w:space="0"/>
            </w:tcBorders>
            <w:vAlign w:val="top"/>
          </w:tcPr>
          <w:p w14:paraId="4D020DD7">
            <w:pPr>
              <w:spacing w:before="20" w:line="281" w:lineRule="exact"/>
              <w:ind w:left="286"/>
              <w:rPr>
                <w:rFonts w:ascii="Times New Roman" w:hAnsi="Times New Roman" w:eastAsia="Times New Roman" w:cs="Times New Roman"/>
                <w:sz w:val="20"/>
                <w:szCs w:val="20"/>
              </w:rPr>
            </w:pPr>
            <w:r>
              <w:rPr>
                <w:rFonts w:ascii="宋体" w:hAnsi="宋体" w:eastAsia="宋体" w:cs="宋体"/>
                <w:spacing w:val="7"/>
                <w:position w:val="2"/>
                <w:sz w:val="20"/>
                <w:szCs w:val="20"/>
              </w:rPr>
              <w:t>＜</w:t>
            </w:r>
            <w:r>
              <w:rPr>
                <w:rFonts w:ascii="Times New Roman" w:hAnsi="Times New Roman" w:eastAsia="Times New Roman" w:cs="Times New Roman"/>
                <w:spacing w:val="4"/>
                <w:position w:val="2"/>
                <w:sz w:val="20"/>
                <w:szCs w:val="20"/>
              </w:rPr>
              <w:t>0.09</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145D68F2">
            <w:pPr>
              <w:spacing w:before="96" w:line="195" w:lineRule="auto"/>
              <w:ind w:left="36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w:t>
            </w:r>
          </w:p>
        </w:tc>
        <w:tc>
          <w:tcPr>
            <w:tcW w:w="1226" w:type="dxa"/>
            <w:tcBorders>
              <w:left w:val="single" w:color="000000" w:sz="4" w:space="0"/>
              <w:right w:val="single" w:color="000000" w:sz="4" w:space="0"/>
            </w:tcBorders>
            <w:vAlign w:val="top"/>
          </w:tcPr>
          <w:p w14:paraId="28B4FC7D">
            <w:pPr>
              <w:spacing w:before="23"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7932D744">
            <w:pPr>
              <w:spacing w:before="96"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0DF14A3F">
            <w:pPr>
              <w:spacing w:before="96"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551E01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5EC9E2EA">
            <w:pPr>
              <w:spacing w:before="96" w:line="195" w:lineRule="auto"/>
              <w:ind w:left="237"/>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944" w:type="dxa"/>
            <w:vMerge w:val="restart"/>
            <w:tcBorders>
              <w:left w:val="single" w:color="000000" w:sz="4" w:space="0"/>
              <w:bottom w:val="nil"/>
              <w:right w:val="single" w:color="000000" w:sz="4" w:space="0"/>
            </w:tcBorders>
            <w:vAlign w:val="top"/>
          </w:tcPr>
          <w:p w14:paraId="7F401A8E">
            <w:pPr>
              <w:spacing w:line="268" w:lineRule="auto"/>
              <w:rPr>
                <w:rFonts w:ascii="Arial"/>
                <w:sz w:val="21"/>
              </w:rPr>
            </w:pPr>
          </w:p>
          <w:p w14:paraId="7AF30266">
            <w:pPr>
              <w:spacing w:line="268" w:lineRule="auto"/>
              <w:rPr>
                <w:rFonts w:ascii="Arial"/>
                <w:sz w:val="21"/>
              </w:rPr>
            </w:pPr>
          </w:p>
          <w:p w14:paraId="1637CEA2">
            <w:pPr>
              <w:spacing w:line="268" w:lineRule="auto"/>
              <w:rPr>
                <w:rFonts w:ascii="Arial"/>
                <w:sz w:val="21"/>
              </w:rPr>
            </w:pPr>
          </w:p>
          <w:p w14:paraId="4B86917C">
            <w:pPr>
              <w:spacing w:line="268" w:lineRule="auto"/>
              <w:rPr>
                <w:rFonts w:ascii="Arial"/>
                <w:sz w:val="21"/>
              </w:rPr>
            </w:pPr>
          </w:p>
          <w:p w14:paraId="698D3D9A">
            <w:pPr>
              <w:spacing w:line="268" w:lineRule="auto"/>
              <w:rPr>
                <w:rFonts w:ascii="Arial"/>
                <w:sz w:val="21"/>
              </w:rPr>
            </w:pPr>
          </w:p>
          <w:p w14:paraId="40B19361">
            <w:pPr>
              <w:spacing w:line="268" w:lineRule="auto"/>
              <w:rPr>
                <w:rFonts w:ascii="Arial"/>
                <w:sz w:val="21"/>
              </w:rPr>
            </w:pPr>
          </w:p>
          <w:p w14:paraId="46E7DA71">
            <w:pPr>
              <w:spacing w:before="65" w:line="282" w:lineRule="exact"/>
              <w:ind w:left="56"/>
              <w:rPr>
                <w:rFonts w:ascii="宋体" w:hAnsi="宋体" w:eastAsia="宋体" w:cs="宋体"/>
                <w:sz w:val="20"/>
                <w:szCs w:val="20"/>
              </w:rPr>
            </w:pPr>
            <w:r>
              <w:rPr>
                <w:rFonts w:ascii="Times New Roman" w:hAnsi="Times New Roman" w:eastAsia="Times New Roman" w:cs="Times New Roman"/>
                <w:spacing w:val="6"/>
                <w:position w:val="1"/>
                <w:sz w:val="20"/>
                <w:szCs w:val="20"/>
              </w:rPr>
              <w:t>3#</w:t>
            </w:r>
            <w:r>
              <w:rPr>
                <w:rFonts w:ascii="宋体" w:hAnsi="宋体" w:eastAsia="宋体" w:cs="宋体"/>
                <w:spacing w:val="6"/>
                <w:position w:val="1"/>
                <w:sz w:val="20"/>
                <w:szCs w:val="20"/>
              </w:rPr>
              <w:t>项目</w:t>
            </w:r>
            <w:r>
              <w:rPr>
                <w:rFonts w:ascii="宋体" w:hAnsi="宋体" w:eastAsia="宋体" w:cs="宋体"/>
                <w:spacing w:val="5"/>
                <w:position w:val="1"/>
                <w:sz w:val="20"/>
                <w:szCs w:val="20"/>
              </w:rPr>
              <w:t>占</w:t>
            </w:r>
          </w:p>
          <w:p w14:paraId="336A2951">
            <w:pPr>
              <w:spacing w:before="68" w:line="228" w:lineRule="auto"/>
              <w:ind w:left="55"/>
              <w:rPr>
                <w:rFonts w:ascii="宋体" w:hAnsi="宋体" w:eastAsia="宋体" w:cs="宋体"/>
                <w:sz w:val="20"/>
                <w:szCs w:val="20"/>
              </w:rPr>
            </w:pPr>
            <w:r>
              <w:rPr>
                <w:rFonts w:ascii="宋体" w:hAnsi="宋体" w:eastAsia="宋体" w:cs="宋体"/>
                <w:spacing w:val="8"/>
                <w:sz w:val="20"/>
                <w:szCs w:val="20"/>
              </w:rPr>
              <w:t>地</w:t>
            </w:r>
            <w:r>
              <w:rPr>
                <w:rFonts w:ascii="宋体" w:hAnsi="宋体" w:eastAsia="宋体" w:cs="宋体"/>
                <w:spacing w:val="7"/>
                <w:sz w:val="20"/>
                <w:szCs w:val="20"/>
              </w:rPr>
              <w:t>范围内</w:t>
            </w:r>
          </w:p>
          <w:p w14:paraId="27E1714A">
            <w:pPr>
              <w:spacing w:before="64" w:line="228" w:lineRule="auto"/>
              <w:ind w:left="269"/>
              <w:rPr>
                <w:rFonts w:ascii="宋体" w:hAnsi="宋体" w:eastAsia="宋体" w:cs="宋体"/>
                <w:sz w:val="20"/>
                <w:szCs w:val="20"/>
              </w:rPr>
            </w:pPr>
            <w:r>
              <w:rPr>
                <w:rFonts w:ascii="宋体" w:hAnsi="宋体" w:eastAsia="宋体" w:cs="宋体"/>
                <w:spacing w:val="2"/>
                <w:sz w:val="20"/>
                <w:szCs w:val="20"/>
              </w:rPr>
              <w:t>西侧</w:t>
            </w:r>
          </w:p>
        </w:tc>
        <w:tc>
          <w:tcPr>
            <w:tcW w:w="1680" w:type="dxa"/>
            <w:tcBorders>
              <w:left w:val="single" w:color="000000" w:sz="4" w:space="0"/>
              <w:right w:val="single" w:color="000000" w:sz="4" w:space="0"/>
            </w:tcBorders>
            <w:vAlign w:val="top"/>
          </w:tcPr>
          <w:p w14:paraId="40E1A77A">
            <w:pPr>
              <w:spacing w:before="99" w:line="192" w:lineRule="auto"/>
              <w:ind w:left="7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PH</w:t>
            </w:r>
          </w:p>
        </w:tc>
        <w:tc>
          <w:tcPr>
            <w:tcW w:w="1650" w:type="dxa"/>
            <w:tcBorders>
              <w:left w:val="single" w:color="000000" w:sz="4" w:space="0"/>
              <w:right w:val="single" w:color="000000" w:sz="4" w:space="0"/>
            </w:tcBorders>
            <w:vAlign w:val="top"/>
          </w:tcPr>
          <w:p w14:paraId="183592B5">
            <w:pPr>
              <w:spacing w:before="96" w:line="195" w:lineRule="auto"/>
              <w:ind w:left="64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w:t>
            </w:r>
            <w:r>
              <w:rPr>
                <w:rFonts w:ascii="Times New Roman" w:hAnsi="Times New Roman" w:eastAsia="Times New Roman" w:cs="Times New Roman"/>
                <w:spacing w:val="1"/>
                <w:sz w:val="20"/>
                <w:szCs w:val="20"/>
              </w:rPr>
              <w:t>.37</w:t>
            </w:r>
          </w:p>
        </w:tc>
        <w:tc>
          <w:tcPr>
            <w:tcW w:w="930" w:type="dxa"/>
            <w:tcBorders>
              <w:left w:val="single" w:color="000000" w:sz="4" w:space="0"/>
              <w:right w:val="single" w:color="000000" w:sz="4" w:space="0"/>
            </w:tcBorders>
            <w:vAlign w:val="top"/>
          </w:tcPr>
          <w:p w14:paraId="01378859">
            <w:pPr>
              <w:spacing w:before="23" w:line="281" w:lineRule="exact"/>
              <w:ind w:left="43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226" w:type="dxa"/>
            <w:tcBorders>
              <w:left w:val="single" w:color="000000" w:sz="4" w:space="0"/>
              <w:right w:val="single" w:color="000000" w:sz="4" w:space="0"/>
            </w:tcBorders>
            <w:vAlign w:val="top"/>
          </w:tcPr>
          <w:p w14:paraId="3A66D50C">
            <w:pPr>
              <w:spacing w:before="23"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6D8FF5A3">
            <w:pPr>
              <w:spacing w:before="23" w:line="281" w:lineRule="exact"/>
              <w:ind w:left="31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684" w:type="dxa"/>
            <w:tcBorders>
              <w:right w:val="nil"/>
            </w:tcBorders>
            <w:vAlign w:val="top"/>
          </w:tcPr>
          <w:p w14:paraId="5B703FCE">
            <w:pPr>
              <w:spacing w:before="23" w:line="281" w:lineRule="exact"/>
              <w:ind w:left="31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397DD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610647FC">
            <w:pPr>
              <w:spacing w:before="96" w:line="195" w:lineRule="auto"/>
              <w:ind w:left="216"/>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944" w:type="dxa"/>
            <w:vMerge w:val="continue"/>
            <w:tcBorders>
              <w:top w:val="nil"/>
              <w:left w:val="single" w:color="000000" w:sz="4" w:space="0"/>
              <w:bottom w:val="nil"/>
              <w:right w:val="single" w:color="000000" w:sz="4" w:space="0"/>
            </w:tcBorders>
            <w:vAlign w:val="top"/>
          </w:tcPr>
          <w:p w14:paraId="0B1BE3B7">
            <w:pPr>
              <w:rPr>
                <w:rFonts w:ascii="Arial"/>
                <w:sz w:val="21"/>
              </w:rPr>
            </w:pPr>
          </w:p>
        </w:tc>
        <w:tc>
          <w:tcPr>
            <w:tcW w:w="1680" w:type="dxa"/>
            <w:tcBorders>
              <w:left w:val="single" w:color="000000" w:sz="4" w:space="0"/>
              <w:right w:val="single" w:color="000000" w:sz="4" w:space="0"/>
            </w:tcBorders>
            <w:vAlign w:val="top"/>
          </w:tcPr>
          <w:p w14:paraId="713089DC">
            <w:pPr>
              <w:spacing w:before="60" w:line="228" w:lineRule="auto"/>
              <w:ind w:left="738"/>
              <w:rPr>
                <w:rFonts w:ascii="宋体" w:hAnsi="宋体" w:eastAsia="宋体" w:cs="宋体"/>
                <w:sz w:val="20"/>
                <w:szCs w:val="20"/>
              </w:rPr>
            </w:pPr>
            <w:r>
              <w:rPr>
                <w:rFonts w:ascii="宋体" w:hAnsi="宋体" w:eastAsia="宋体" w:cs="宋体"/>
                <w:spacing w:val="1"/>
                <w:sz w:val="20"/>
                <w:szCs w:val="20"/>
              </w:rPr>
              <w:t>砷</w:t>
            </w:r>
          </w:p>
        </w:tc>
        <w:tc>
          <w:tcPr>
            <w:tcW w:w="1650" w:type="dxa"/>
            <w:tcBorders>
              <w:left w:val="single" w:color="000000" w:sz="4" w:space="0"/>
              <w:right w:val="single" w:color="000000" w:sz="4" w:space="0"/>
            </w:tcBorders>
            <w:vAlign w:val="top"/>
          </w:tcPr>
          <w:p w14:paraId="0DC1F425">
            <w:pPr>
              <w:spacing w:before="22" w:line="281" w:lineRule="exact"/>
              <w:ind w:left="392"/>
              <w:rPr>
                <w:rFonts w:ascii="Times New Roman" w:hAnsi="Times New Roman" w:eastAsia="Times New Roman" w:cs="Times New Roman"/>
                <w:sz w:val="20"/>
                <w:szCs w:val="20"/>
              </w:rPr>
            </w:pPr>
            <w:r>
              <w:rPr>
                <w:rFonts w:ascii="Times New Roman" w:hAnsi="Times New Roman" w:eastAsia="Times New Roman" w:cs="Times New Roman"/>
                <w:spacing w:val="-6"/>
                <w:position w:val="4"/>
                <w:sz w:val="20"/>
                <w:szCs w:val="20"/>
              </w:rPr>
              <w:t>1</w:t>
            </w:r>
            <w:r>
              <w:rPr>
                <w:rFonts w:ascii="Times New Roman" w:hAnsi="Times New Roman" w:eastAsia="Times New Roman" w:cs="Times New Roman"/>
                <w:spacing w:val="-5"/>
                <w:position w:val="4"/>
                <w:sz w:val="20"/>
                <w:szCs w:val="20"/>
              </w:rPr>
              <w:t>.</w:t>
            </w:r>
            <w:r>
              <w:rPr>
                <w:rFonts w:ascii="Times New Roman" w:hAnsi="Times New Roman" w:eastAsia="Times New Roman" w:cs="Times New Roman"/>
                <w:spacing w:val="-3"/>
                <w:position w:val="4"/>
                <w:sz w:val="20"/>
                <w:szCs w:val="20"/>
              </w:rPr>
              <w:t xml:space="preserve"> 16mg/kg</w:t>
            </w:r>
          </w:p>
        </w:tc>
        <w:tc>
          <w:tcPr>
            <w:tcW w:w="930" w:type="dxa"/>
            <w:tcBorders>
              <w:left w:val="single" w:color="000000" w:sz="4" w:space="0"/>
              <w:right w:val="single" w:color="000000" w:sz="4" w:space="0"/>
            </w:tcBorders>
            <w:vAlign w:val="top"/>
          </w:tcPr>
          <w:p w14:paraId="20D821C1">
            <w:pPr>
              <w:spacing w:before="96" w:line="195" w:lineRule="auto"/>
              <w:ind w:left="36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0</w:t>
            </w:r>
          </w:p>
        </w:tc>
        <w:tc>
          <w:tcPr>
            <w:tcW w:w="1226" w:type="dxa"/>
            <w:tcBorders>
              <w:left w:val="single" w:color="000000" w:sz="4" w:space="0"/>
              <w:right w:val="single" w:color="000000" w:sz="4" w:space="0"/>
            </w:tcBorders>
            <w:vAlign w:val="top"/>
          </w:tcPr>
          <w:p w14:paraId="70012ABD">
            <w:pPr>
              <w:spacing w:before="96" w:line="195" w:lineRule="auto"/>
              <w:ind w:left="4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w:t>
            </w:r>
          </w:p>
        </w:tc>
        <w:tc>
          <w:tcPr>
            <w:tcW w:w="705" w:type="dxa"/>
            <w:tcBorders>
              <w:left w:val="single" w:color="000000" w:sz="4" w:space="0"/>
            </w:tcBorders>
            <w:vAlign w:val="top"/>
          </w:tcPr>
          <w:p w14:paraId="5E24D308">
            <w:pPr>
              <w:spacing w:before="96"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05E5D594">
            <w:pPr>
              <w:spacing w:before="96"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C6F8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27B03B34">
            <w:pPr>
              <w:spacing w:before="96" w:line="195" w:lineRule="auto"/>
              <w:ind w:left="221"/>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944" w:type="dxa"/>
            <w:vMerge w:val="continue"/>
            <w:tcBorders>
              <w:top w:val="nil"/>
              <w:left w:val="single" w:color="000000" w:sz="4" w:space="0"/>
              <w:bottom w:val="nil"/>
              <w:right w:val="single" w:color="000000" w:sz="4" w:space="0"/>
            </w:tcBorders>
            <w:vAlign w:val="top"/>
          </w:tcPr>
          <w:p w14:paraId="724ACA60">
            <w:pPr>
              <w:rPr>
                <w:rFonts w:ascii="Arial"/>
                <w:sz w:val="21"/>
              </w:rPr>
            </w:pPr>
          </w:p>
        </w:tc>
        <w:tc>
          <w:tcPr>
            <w:tcW w:w="1680" w:type="dxa"/>
            <w:tcBorders>
              <w:left w:val="single" w:color="000000" w:sz="4" w:space="0"/>
              <w:right w:val="single" w:color="000000" w:sz="4" w:space="0"/>
            </w:tcBorders>
            <w:vAlign w:val="top"/>
          </w:tcPr>
          <w:p w14:paraId="7659FD13">
            <w:pPr>
              <w:spacing w:before="59" w:line="231" w:lineRule="auto"/>
              <w:ind w:left="737"/>
              <w:rPr>
                <w:rFonts w:ascii="宋体" w:hAnsi="宋体" w:eastAsia="宋体" w:cs="宋体"/>
                <w:sz w:val="20"/>
                <w:szCs w:val="20"/>
              </w:rPr>
            </w:pPr>
            <w:r>
              <w:rPr>
                <w:rFonts w:ascii="宋体" w:hAnsi="宋体" w:eastAsia="宋体" w:cs="宋体"/>
                <w:spacing w:val="2"/>
                <w:sz w:val="20"/>
                <w:szCs w:val="20"/>
              </w:rPr>
              <w:t>镉</w:t>
            </w:r>
          </w:p>
        </w:tc>
        <w:tc>
          <w:tcPr>
            <w:tcW w:w="1650" w:type="dxa"/>
            <w:tcBorders>
              <w:left w:val="single" w:color="000000" w:sz="4" w:space="0"/>
              <w:right w:val="single" w:color="000000" w:sz="4" w:space="0"/>
            </w:tcBorders>
            <w:vAlign w:val="top"/>
          </w:tcPr>
          <w:p w14:paraId="0F811043">
            <w:pPr>
              <w:spacing w:before="22" w:line="281" w:lineRule="exact"/>
              <w:ind w:left="323"/>
              <w:rPr>
                <w:rFonts w:ascii="Times New Roman" w:hAnsi="Times New Roman" w:eastAsia="Times New Roman" w:cs="Times New Roman"/>
                <w:sz w:val="20"/>
                <w:szCs w:val="20"/>
              </w:rPr>
            </w:pPr>
            <w:r>
              <w:rPr>
                <w:rFonts w:ascii="Times New Roman" w:hAnsi="Times New Roman" w:eastAsia="Times New Roman" w:cs="Times New Roman"/>
                <w:spacing w:val="-2"/>
                <w:position w:val="4"/>
                <w:sz w:val="20"/>
                <w:szCs w:val="20"/>
              </w:rPr>
              <w:t>0</w:t>
            </w:r>
            <w:r>
              <w:rPr>
                <w:rFonts w:ascii="Times New Roman" w:hAnsi="Times New Roman" w:eastAsia="Times New Roman" w:cs="Times New Roman"/>
                <w:spacing w:val="-1"/>
                <w:position w:val="4"/>
                <w:sz w:val="20"/>
                <w:szCs w:val="20"/>
              </w:rPr>
              <w:t>. 138mg/kg</w:t>
            </w:r>
          </w:p>
        </w:tc>
        <w:tc>
          <w:tcPr>
            <w:tcW w:w="930" w:type="dxa"/>
            <w:tcBorders>
              <w:left w:val="single" w:color="000000" w:sz="4" w:space="0"/>
              <w:right w:val="single" w:color="000000" w:sz="4" w:space="0"/>
            </w:tcBorders>
            <w:vAlign w:val="top"/>
          </w:tcPr>
          <w:p w14:paraId="0BC89491">
            <w:pPr>
              <w:spacing w:before="96" w:line="195" w:lineRule="auto"/>
              <w:ind w:left="36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5</w:t>
            </w:r>
          </w:p>
        </w:tc>
        <w:tc>
          <w:tcPr>
            <w:tcW w:w="1226" w:type="dxa"/>
            <w:tcBorders>
              <w:left w:val="single" w:color="000000" w:sz="4" w:space="0"/>
              <w:right w:val="single" w:color="000000" w:sz="4" w:space="0"/>
            </w:tcBorders>
            <w:vAlign w:val="top"/>
          </w:tcPr>
          <w:p w14:paraId="68E4BD8C">
            <w:pPr>
              <w:spacing w:before="96" w:line="195" w:lineRule="auto"/>
              <w:ind w:left="38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.002</w:t>
            </w:r>
          </w:p>
        </w:tc>
        <w:tc>
          <w:tcPr>
            <w:tcW w:w="705" w:type="dxa"/>
            <w:tcBorders>
              <w:left w:val="single" w:color="000000" w:sz="4" w:space="0"/>
            </w:tcBorders>
            <w:vAlign w:val="top"/>
          </w:tcPr>
          <w:p w14:paraId="14E15EC3">
            <w:pPr>
              <w:spacing w:before="96"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6C2151FF">
            <w:pPr>
              <w:spacing w:before="96"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343A6D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3931B7C0">
            <w:pPr>
              <w:spacing w:before="95" w:line="195" w:lineRule="auto"/>
              <w:ind w:left="21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944" w:type="dxa"/>
            <w:vMerge w:val="continue"/>
            <w:tcBorders>
              <w:top w:val="nil"/>
              <w:left w:val="single" w:color="000000" w:sz="4" w:space="0"/>
              <w:bottom w:val="nil"/>
              <w:right w:val="single" w:color="000000" w:sz="4" w:space="0"/>
            </w:tcBorders>
            <w:vAlign w:val="top"/>
          </w:tcPr>
          <w:p w14:paraId="3239B434">
            <w:pPr>
              <w:rPr>
                <w:rFonts w:ascii="Arial"/>
                <w:sz w:val="21"/>
              </w:rPr>
            </w:pPr>
          </w:p>
        </w:tc>
        <w:tc>
          <w:tcPr>
            <w:tcW w:w="1680" w:type="dxa"/>
            <w:tcBorders>
              <w:left w:val="single" w:color="000000" w:sz="4" w:space="0"/>
              <w:right w:val="single" w:color="000000" w:sz="4" w:space="0"/>
            </w:tcBorders>
            <w:vAlign w:val="top"/>
          </w:tcPr>
          <w:p w14:paraId="0E06B509">
            <w:pPr>
              <w:spacing w:before="22" w:line="281" w:lineRule="exact"/>
              <w:ind w:left="457"/>
              <w:rPr>
                <w:rFonts w:ascii="Times New Roman" w:hAnsi="Times New Roman" w:eastAsia="Times New Roman" w:cs="Times New Roman"/>
                <w:sz w:val="20"/>
                <w:szCs w:val="20"/>
              </w:rPr>
            </w:pPr>
            <w:r>
              <w:rPr>
                <w:rFonts w:ascii="宋体" w:hAnsi="宋体" w:eastAsia="宋体" w:cs="宋体"/>
                <w:spacing w:val="6"/>
                <w:position w:val="2"/>
                <w:sz w:val="20"/>
                <w:szCs w:val="20"/>
              </w:rPr>
              <w:t>铬</w:t>
            </w:r>
            <w:r>
              <w:rPr>
                <w:rFonts w:ascii="Times New Roman" w:hAnsi="Times New Roman" w:eastAsia="Times New Roman" w:cs="Times New Roman"/>
                <w:spacing w:val="6"/>
                <w:position w:val="2"/>
                <w:sz w:val="20"/>
                <w:szCs w:val="20"/>
              </w:rPr>
              <w:t>(</w:t>
            </w:r>
            <w:r>
              <w:rPr>
                <w:rFonts w:ascii="宋体" w:hAnsi="宋体" w:eastAsia="宋体" w:cs="宋体"/>
                <w:spacing w:val="6"/>
                <w:position w:val="2"/>
                <w:sz w:val="20"/>
                <w:szCs w:val="20"/>
              </w:rPr>
              <w:t>六价</w:t>
            </w:r>
            <w:r>
              <w:rPr>
                <w:rFonts w:ascii="Times New Roman" w:hAnsi="Times New Roman" w:eastAsia="Times New Roman" w:cs="Times New Roman"/>
                <w:spacing w:val="5"/>
                <w:position w:val="2"/>
                <w:sz w:val="20"/>
                <w:szCs w:val="20"/>
              </w:rPr>
              <w:t>)</w:t>
            </w:r>
          </w:p>
        </w:tc>
        <w:tc>
          <w:tcPr>
            <w:tcW w:w="1650" w:type="dxa"/>
            <w:tcBorders>
              <w:left w:val="single" w:color="000000" w:sz="4" w:space="0"/>
              <w:right w:val="single" w:color="000000" w:sz="4" w:space="0"/>
            </w:tcBorders>
            <w:vAlign w:val="top"/>
          </w:tcPr>
          <w:p w14:paraId="1A1AF276">
            <w:pPr>
              <w:spacing w:before="22" w:line="281" w:lineRule="exact"/>
              <w:ind w:left="418"/>
              <w:rPr>
                <w:rFonts w:ascii="Times New Roman" w:hAnsi="Times New Roman" w:eastAsia="Times New Roman" w:cs="Times New Roman"/>
                <w:sz w:val="20"/>
                <w:szCs w:val="20"/>
              </w:rPr>
            </w:pPr>
            <w:r>
              <w:rPr>
                <w:rFonts w:ascii="宋体" w:hAnsi="宋体" w:eastAsia="宋体" w:cs="宋体"/>
                <w:spacing w:val="5"/>
                <w:position w:val="4"/>
                <w:sz w:val="20"/>
                <w:szCs w:val="20"/>
              </w:rPr>
              <w:t>＜</w:t>
            </w:r>
            <w:r>
              <w:rPr>
                <w:rFonts w:ascii="Times New Roman" w:hAnsi="Times New Roman" w:eastAsia="Times New Roman" w:cs="Times New Roman"/>
                <w:spacing w:val="4"/>
                <w:position w:val="4"/>
                <w:sz w:val="20"/>
                <w:szCs w:val="20"/>
              </w:rPr>
              <w:t>2</w:t>
            </w:r>
            <w:r>
              <w:rPr>
                <w:rFonts w:ascii="Times New Roman" w:hAnsi="Times New Roman" w:eastAsia="Times New Roman" w:cs="Times New Roman"/>
                <w:position w:val="4"/>
                <w:sz w:val="20"/>
                <w:szCs w:val="20"/>
              </w:rPr>
              <w:t>mg</w:t>
            </w:r>
            <w:r>
              <w:rPr>
                <w:rFonts w:ascii="Times New Roman" w:hAnsi="Times New Roman" w:eastAsia="Times New Roman" w:cs="Times New Roman"/>
                <w:spacing w:val="4"/>
                <w:position w:val="4"/>
                <w:sz w:val="20"/>
                <w:szCs w:val="20"/>
              </w:rPr>
              <w:t>/</w:t>
            </w:r>
            <w:r>
              <w:rPr>
                <w:rFonts w:ascii="Times New Roman" w:hAnsi="Times New Roman" w:eastAsia="Times New Roman" w:cs="Times New Roman"/>
                <w:position w:val="4"/>
                <w:sz w:val="20"/>
                <w:szCs w:val="20"/>
              </w:rPr>
              <w:t>kg</w:t>
            </w:r>
          </w:p>
        </w:tc>
        <w:tc>
          <w:tcPr>
            <w:tcW w:w="930" w:type="dxa"/>
            <w:tcBorders>
              <w:left w:val="single" w:color="000000" w:sz="4" w:space="0"/>
              <w:right w:val="single" w:color="000000" w:sz="4" w:space="0"/>
            </w:tcBorders>
            <w:vAlign w:val="top"/>
          </w:tcPr>
          <w:p w14:paraId="21FBB40D">
            <w:pPr>
              <w:spacing w:before="99" w:line="192" w:lineRule="auto"/>
              <w:ind w:left="33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5.7</w:t>
            </w:r>
          </w:p>
        </w:tc>
        <w:tc>
          <w:tcPr>
            <w:tcW w:w="1226" w:type="dxa"/>
            <w:tcBorders>
              <w:left w:val="single" w:color="000000" w:sz="4" w:space="0"/>
              <w:right w:val="single" w:color="000000" w:sz="4" w:space="0"/>
            </w:tcBorders>
            <w:vAlign w:val="top"/>
          </w:tcPr>
          <w:p w14:paraId="34EAB0F8">
            <w:pPr>
              <w:spacing w:before="22"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125DDD5D">
            <w:pPr>
              <w:spacing w:before="95"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41E1B5FA">
            <w:pPr>
              <w:spacing w:before="95"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8184D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28008F03">
            <w:pPr>
              <w:spacing w:before="98" w:line="192" w:lineRule="auto"/>
              <w:ind w:left="222"/>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944" w:type="dxa"/>
            <w:vMerge w:val="continue"/>
            <w:tcBorders>
              <w:top w:val="nil"/>
              <w:left w:val="single" w:color="000000" w:sz="4" w:space="0"/>
              <w:bottom w:val="nil"/>
              <w:right w:val="single" w:color="000000" w:sz="4" w:space="0"/>
            </w:tcBorders>
            <w:vAlign w:val="top"/>
          </w:tcPr>
          <w:p w14:paraId="606D11D3">
            <w:pPr>
              <w:rPr>
                <w:rFonts w:ascii="Arial"/>
                <w:sz w:val="21"/>
              </w:rPr>
            </w:pPr>
          </w:p>
        </w:tc>
        <w:tc>
          <w:tcPr>
            <w:tcW w:w="1680" w:type="dxa"/>
            <w:tcBorders>
              <w:left w:val="single" w:color="000000" w:sz="4" w:space="0"/>
              <w:right w:val="single" w:color="000000" w:sz="4" w:space="0"/>
            </w:tcBorders>
            <w:vAlign w:val="top"/>
          </w:tcPr>
          <w:p w14:paraId="662E4804">
            <w:pPr>
              <w:spacing w:before="59" w:line="229" w:lineRule="auto"/>
              <w:ind w:left="738"/>
              <w:rPr>
                <w:rFonts w:ascii="宋体" w:hAnsi="宋体" w:eastAsia="宋体" w:cs="宋体"/>
                <w:sz w:val="20"/>
                <w:szCs w:val="20"/>
              </w:rPr>
            </w:pPr>
            <w:r>
              <w:rPr>
                <w:rFonts w:ascii="宋体" w:hAnsi="宋体" w:eastAsia="宋体" w:cs="宋体"/>
                <w:sz w:val="20"/>
                <w:szCs w:val="20"/>
              </w:rPr>
              <w:t>铜</w:t>
            </w:r>
          </w:p>
        </w:tc>
        <w:tc>
          <w:tcPr>
            <w:tcW w:w="1650" w:type="dxa"/>
            <w:tcBorders>
              <w:left w:val="single" w:color="000000" w:sz="4" w:space="0"/>
              <w:right w:val="single" w:color="000000" w:sz="4" w:space="0"/>
            </w:tcBorders>
            <w:vAlign w:val="top"/>
          </w:tcPr>
          <w:p w14:paraId="05405069">
            <w:pPr>
              <w:spacing w:before="22" w:line="281" w:lineRule="exact"/>
              <w:ind w:left="403"/>
              <w:rPr>
                <w:rFonts w:ascii="Times New Roman" w:hAnsi="Times New Roman" w:eastAsia="Times New Roman" w:cs="Times New Roman"/>
                <w:sz w:val="20"/>
                <w:szCs w:val="20"/>
              </w:rPr>
            </w:pPr>
            <w:r>
              <w:rPr>
                <w:rFonts w:ascii="Times New Roman" w:hAnsi="Times New Roman" w:eastAsia="Times New Roman" w:cs="Times New Roman"/>
                <w:spacing w:val="7"/>
                <w:position w:val="4"/>
                <w:sz w:val="20"/>
                <w:szCs w:val="20"/>
              </w:rPr>
              <w:t>300</w:t>
            </w:r>
            <w:r>
              <w:rPr>
                <w:rFonts w:ascii="Times New Roman" w:hAnsi="Times New Roman" w:eastAsia="Times New Roman" w:cs="Times New Roman"/>
                <w:position w:val="4"/>
                <w:sz w:val="20"/>
                <w:szCs w:val="20"/>
              </w:rPr>
              <w:t>mg</w:t>
            </w:r>
            <w:r>
              <w:rPr>
                <w:rFonts w:ascii="Times New Roman" w:hAnsi="Times New Roman" w:eastAsia="Times New Roman" w:cs="Times New Roman"/>
                <w:spacing w:val="7"/>
                <w:position w:val="4"/>
                <w:sz w:val="20"/>
                <w:szCs w:val="20"/>
              </w:rPr>
              <w:t>/</w:t>
            </w:r>
            <w:r>
              <w:rPr>
                <w:rFonts w:ascii="Times New Roman" w:hAnsi="Times New Roman" w:eastAsia="Times New Roman" w:cs="Times New Roman"/>
                <w:position w:val="4"/>
                <w:sz w:val="20"/>
                <w:szCs w:val="20"/>
              </w:rPr>
              <w:t>kg</w:t>
            </w:r>
          </w:p>
        </w:tc>
        <w:tc>
          <w:tcPr>
            <w:tcW w:w="930" w:type="dxa"/>
            <w:tcBorders>
              <w:left w:val="single" w:color="000000" w:sz="4" w:space="0"/>
              <w:right w:val="single" w:color="000000" w:sz="4" w:space="0"/>
            </w:tcBorders>
            <w:vAlign w:val="top"/>
          </w:tcPr>
          <w:p w14:paraId="3DA7174E">
            <w:pPr>
              <w:spacing w:before="95" w:line="195" w:lineRule="auto"/>
              <w:ind w:left="221"/>
              <w:rPr>
                <w:rFonts w:ascii="Times New Roman" w:hAnsi="Times New Roman" w:eastAsia="Times New Roman" w:cs="Times New Roman"/>
                <w:sz w:val="20"/>
                <w:szCs w:val="20"/>
              </w:rPr>
            </w:pPr>
            <w:r>
              <w:rPr>
                <w:rFonts w:ascii="Times New Roman" w:hAnsi="Times New Roman" w:eastAsia="Times New Roman" w:cs="Times New Roman"/>
                <w:sz w:val="20"/>
                <w:szCs w:val="20"/>
              </w:rPr>
              <w:t>18000</w:t>
            </w:r>
          </w:p>
        </w:tc>
        <w:tc>
          <w:tcPr>
            <w:tcW w:w="1226" w:type="dxa"/>
            <w:tcBorders>
              <w:left w:val="single" w:color="000000" w:sz="4" w:space="0"/>
              <w:right w:val="single" w:color="000000" w:sz="4" w:space="0"/>
            </w:tcBorders>
            <w:vAlign w:val="top"/>
          </w:tcPr>
          <w:p w14:paraId="63D8F4B8">
            <w:pPr>
              <w:spacing w:before="96" w:line="195" w:lineRule="auto"/>
              <w:ind w:left="4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w:t>
            </w:r>
          </w:p>
        </w:tc>
        <w:tc>
          <w:tcPr>
            <w:tcW w:w="705" w:type="dxa"/>
            <w:tcBorders>
              <w:left w:val="single" w:color="000000" w:sz="4" w:space="0"/>
            </w:tcBorders>
            <w:vAlign w:val="top"/>
          </w:tcPr>
          <w:p w14:paraId="5B84C59F">
            <w:pPr>
              <w:spacing w:before="95"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08B1558E">
            <w:pPr>
              <w:spacing w:before="95"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63FC6E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2324E48A">
            <w:pPr>
              <w:spacing w:before="95" w:line="195" w:lineRule="auto"/>
              <w:ind w:left="221"/>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944" w:type="dxa"/>
            <w:vMerge w:val="continue"/>
            <w:tcBorders>
              <w:top w:val="nil"/>
              <w:left w:val="single" w:color="000000" w:sz="4" w:space="0"/>
              <w:bottom w:val="nil"/>
              <w:right w:val="single" w:color="000000" w:sz="4" w:space="0"/>
            </w:tcBorders>
            <w:vAlign w:val="top"/>
          </w:tcPr>
          <w:p w14:paraId="38F07BCA">
            <w:pPr>
              <w:rPr>
                <w:rFonts w:ascii="Arial"/>
                <w:sz w:val="21"/>
              </w:rPr>
            </w:pPr>
          </w:p>
        </w:tc>
        <w:tc>
          <w:tcPr>
            <w:tcW w:w="1680" w:type="dxa"/>
            <w:tcBorders>
              <w:left w:val="single" w:color="000000" w:sz="4" w:space="0"/>
              <w:right w:val="single" w:color="000000" w:sz="4" w:space="0"/>
            </w:tcBorders>
            <w:vAlign w:val="top"/>
          </w:tcPr>
          <w:p w14:paraId="131F9D19">
            <w:pPr>
              <w:spacing w:before="59" w:line="232" w:lineRule="auto"/>
              <w:ind w:left="738"/>
              <w:rPr>
                <w:rFonts w:ascii="宋体" w:hAnsi="宋体" w:eastAsia="宋体" w:cs="宋体"/>
                <w:sz w:val="20"/>
                <w:szCs w:val="20"/>
              </w:rPr>
            </w:pPr>
            <w:r>
              <w:rPr>
                <w:rFonts w:ascii="宋体" w:hAnsi="宋体" w:eastAsia="宋体" w:cs="宋体"/>
                <w:sz w:val="20"/>
                <w:szCs w:val="20"/>
              </w:rPr>
              <w:t>铅</w:t>
            </w:r>
          </w:p>
        </w:tc>
        <w:tc>
          <w:tcPr>
            <w:tcW w:w="1650" w:type="dxa"/>
            <w:tcBorders>
              <w:left w:val="single" w:color="000000" w:sz="4" w:space="0"/>
              <w:right w:val="single" w:color="000000" w:sz="4" w:space="0"/>
            </w:tcBorders>
            <w:vAlign w:val="top"/>
          </w:tcPr>
          <w:p w14:paraId="176A8C7D">
            <w:pPr>
              <w:spacing w:before="22" w:line="281" w:lineRule="exact"/>
              <w:ind w:left="428"/>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7</w:t>
            </w:r>
            <w:r>
              <w:rPr>
                <w:rFonts w:ascii="Times New Roman" w:hAnsi="Times New Roman" w:eastAsia="Times New Roman" w:cs="Times New Roman"/>
                <w:spacing w:val="6"/>
                <w:position w:val="2"/>
                <w:sz w:val="20"/>
                <w:szCs w:val="20"/>
              </w:rPr>
              <w:t>.0</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061A51C3">
            <w:pPr>
              <w:spacing w:before="95" w:line="195" w:lineRule="auto"/>
              <w:ind w:left="31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80</w:t>
            </w:r>
            <w:r>
              <w:rPr>
                <w:rFonts w:ascii="Times New Roman" w:hAnsi="Times New Roman" w:eastAsia="Times New Roman" w:cs="Times New Roman"/>
                <w:sz w:val="20"/>
                <w:szCs w:val="20"/>
              </w:rPr>
              <w:t>0</w:t>
            </w:r>
          </w:p>
        </w:tc>
        <w:tc>
          <w:tcPr>
            <w:tcW w:w="1226" w:type="dxa"/>
            <w:tcBorders>
              <w:left w:val="single" w:color="000000" w:sz="4" w:space="0"/>
              <w:right w:val="single" w:color="000000" w:sz="4" w:space="0"/>
            </w:tcBorders>
            <w:vAlign w:val="top"/>
          </w:tcPr>
          <w:p w14:paraId="237A8BCC">
            <w:pPr>
              <w:spacing w:before="95" w:line="195" w:lineRule="auto"/>
              <w:ind w:left="38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.009</w:t>
            </w:r>
          </w:p>
        </w:tc>
        <w:tc>
          <w:tcPr>
            <w:tcW w:w="705" w:type="dxa"/>
            <w:tcBorders>
              <w:left w:val="single" w:color="000000" w:sz="4" w:space="0"/>
            </w:tcBorders>
            <w:vAlign w:val="top"/>
          </w:tcPr>
          <w:p w14:paraId="79D4C7E2">
            <w:pPr>
              <w:spacing w:before="95"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4E526D08">
            <w:pPr>
              <w:spacing w:before="95"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73E1F2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7C2F0ABE">
            <w:pPr>
              <w:spacing w:before="98" w:line="192" w:lineRule="auto"/>
              <w:ind w:left="220"/>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944" w:type="dxa"/>
            <w:vMerge w:val="continue"/>
            <w:tcBorders>
              <w:top w:val="nil"/>
              <w:left w:val="single" w:color="000000" w:sz="4" w:space="0"/>
              <w:bottom w:val="nil"/>
              <w:right w:val="single" w:color="000000" w:sz="4" w:space="0"/>
            </w:tcBorders>
            <w:vAlign w:val="top"/>
          </w:tcPr>
          <w:p w14:paraId="244D0D7C">
            <w:pPr>
              <w:rPr>
                <w:rFonts w:ascii="Arial"/>
                <w:sz w:val="21"/>
              </w:rPr>
            </w:pPr>
          </w:p>
        </w:tc>
        <w:tc>
          <w:tcPr>
            <w:tcW w:w="1680" w:type="dxa"/>
            <w:tcBorders>
              <w:left w:val="single" w:color="000000" w:sz="4" w:space="0"/>
              <w:right w:val="single" w:color="000000" w:sz="4" w:space="0"/>
            </w:tcBorders>
            <w:vAlign w:val="top"/>
          </w:tcPr>
          <w:p w14:paraId="20AAB645">
            <w:pPr>
              <w:spacing w:before="59" w:line="228" w:lineRule="auto"/>
              <w:ind w:left="739"/>
              <w:rPr>
                <w:rFonts w:ascii="宋体" w:hAnsi="宋体" w:eastAsia="宋体" w:cs="宋体"/>
                <w:sz w:val="20"/>
                <w:szCs w:val="20"/>
              </w:rPr>
            </w:pPr>
            <w:r>
              <w:rPr>
                <w:rFonts w:ascii="宋体" w:hAnsi="宋体" w:eastAsia="宋体" w:cs="宋体"/>
                <w:sz w:val="20"/>
                <w:szCs w:val="20"/>
              </w:rPr>
              <w:t>汞</w:t>
            </w:r>
          </w:p>
        </w:tc>
        <w:tc>
          <w:tcPr>
            <w:tcW w:w="1650" w:type="dxa"/>
            <w:tcBorders>
              <w:left w:val="single" w:color="000000" w:sz="4" w:space="0"/>
              <w:right w:val="single" w:color="000000" w:sz="4" w:space="0"/>
            </w:tcBorders>
            <w:vAlign w:val="top"/>
          </w:tcPr>
          <w:p w14:paraId="5DCE8174">
            <w:pPr>
              <w:spacing w:before="21" w:line="281" w:lineRule="exact"/>
              <w:ind w:left="323"/>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0</w:t>
            </w:r>
            <w:r>
              <w:rPr>
                <w:rFonts w:ascii="Times New Roman" w:hAnsi="Times New Roman" w:eastAsia="Times New Roman" w:cs="Times New Roman"/>
                <w:spacing w:val="6"/>
                <w:position w:val="2"/>
                <w:sz w:val="20"/>
                <w:szCs w:val="20"/>
              </w:rPr>
              <w:t>.723</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2BB1A0CC">
            <w:pPr>
              <w:spacing w:before="95" w:line="195" w:lineRule="auto"/>
              <w:ind w:left="36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8</w:t>
            </w:r>
          </w:p>
        </w:tc>
        <w:tc>
          <w:tcPr>
            <w:tcW w:w="1226" w:type="dxa"/>
            <w:tcBorders>
              <w:left w:val="single" w:color="000000" w:sz="4" w:space="0"/>
              <w:right w:val="single" w:color="000000" w:sz="4" w:space="0"/>
            </w:tcBorders>
            <w:vAlign w:val="top"/>
          </w:tcPr>
          <w:p w14:paraId="64609480">
            <w:pPr>
              <w:spacing w:before="95" w:line="195" w:lineRule="auto"/>
              <w:ind w:left="4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w:t>
            </w:r>
          </w:p>
        </w:tc>
        <w:tc>
          <w:tcPr>
            <w:tcW w:w="705" w:type="dxa"/>
            <w:tcBorders>
              <w:left w:val="single" w:color="000000" w:sz="4" w:space="0"/>
            </w:tcBorders>
            <w:vAlign w:val="top"/>
          </w:tcPr>
          <w:p w14:paraId="7C45031A">
            <w:pPr>
              <w:spacing w:before="95"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3E5D545C">
            <w:pPr>
              <w:spacing w:before="95"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E74F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04F2036E">
            <w:pPr>
              <w:spacing w:before="95" w:line="195" w:lineRule="auto"/>
              <w:ind w:left="225"/>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944" w:type="dxa"/>
            <w:vMerge w:val="continue"/>
            <w:tcBorders>
              <w:top w:val="nil"/>
              <w:left w:val="single" w:color="000000" w:sz="4" w:space="0"/>
              <w:bottom w:val="nil"/>
              <w:right w:val="single" w:color="000000" w:sz="4" w:space="0"/>
            </w:tcBorders>
            <w:vAlign w:val="top"/>
          </w:tcPr>
          <w:p w14:paraId="33772109">
            <w:pPr>
              <w:rPr>
                <w:rFonts w:ascii="Arial"/>
                <w:sz w:val="21"/>
              </w:rPr>
            </w:pPr>
          </w:p>
        </w:tc>
        <w:tc>
          <w:tcPr>
            <w:tcW w:w="1680" w:type="dxa"/>
            <w:tcBorders>
              <w:left w:val="single" w:color="000000" w:sz="4" w:space="0"/>
              <w:right w:val="single" w:color="000000" w:sz="4" w:space="0"/>
            </w:tcBorders>
            <w:vAlign w:val="top"/>
          </w:tcPr>
          <w:p w14:paraId="2A822301">
            <w:pPr>
              <w:spacing w:before="59" w:line="228" w:lineRule="auto"/>
              <w:ind w:left="738"/>
              <w:rPr>
                <w:rFonts w:ascii="宋体" w:hAnsi="宋体" w:eastAsia="宋体" w:cs="宋体"/>
                <w:sz w:val="20"/>
                <w:szCs w:val="20"/>
              </w:rPr>
            </w:pPr>
            <w:r>
              <w:rPr>
                <w:rFonts w:ascii="宋体" w:hAnsi="宋体" w:eastAsia="宋体" w:cs="宋体"/>
                <w:spacing w:val="1"/>
                <w:sz w:val="20"/>
                <w:szCs w:val="20"/>
              </w:rPr>
              <w:t>镍</w:t>
            </w:r>
          </w:p>
        </w:tc>
        <w:tc>
          <w:tcPr>
            <w:tcW w:w="1650" w:type="dxa"/>
            <w:tcBorders>
              <w:left w:val="single" w:color="000000" w:sz="4" w:space="0"/>
              <w:right w:val="single" w:color="000000" w:sz="4" w:space="0"/>
            </w:tcBorders>
            <w:vAlign w:val="top"/>
          </w:tcPr>
          <w:p w14:paraId="293E03E3">
            <w:pPr>
              <w:spacing w:before="21" w:line="281" w:lineRule="exact"/>
              <w:ind w:left="399"/>
              <w:rPr>
                <w:rFonts w:ascii="Times New Roman" w:hAnsi="Times New Roman" w:eastAsia="Times New Roman" w:cs="Times New Roman"/>
                <w:sz w:val="20"/>
                <w:szCs w:val="20"/>
              </w:rPr>
            </w:pPr>
            <w:r>
              <w:rPr>
                <w:rFonts w:ascii="Times New Roman" w:hAnsi="Times New Roman" w:eastAsia="Times New Roman" w:cs="Times New Roman"/>
                <w:spacing w:val="8"/>
                <w:position w:val="4"/>
                <w:sz w:val="20"/>
                <w:szCs w:val="20"/>
              </w:rPr>
              <w:t>277</w:t>
            </w:r>
            <w:r>
              <w:rPr>
                <w:rFonts w:ascii="Times New Roman" w:hAnsi="Times New Roman" w:eastAsia="Times New Roman" w:cs="Times New Roman"/>
                <w:position w:val="4"/>
                <w:sz w:val="20"/>
                <w:szCs w:val="20"/>
              </w:rPr>
              <w:t>mg</w:t>
            </w:r>
            <w:r>
              <w:rPr>
                <w:rFonts w:ascii="Times New Roman" w:hAnsi="Times New Roman" w:eastAsia="Times New Roman" w:cs="Times New Roman"/>
                <w:spacing w:val="8"/>
                <w:position w:val="4"/>
                <w:sz w:val="20"/>
                <w:szCs w:val="20"/>
              </w:rPr>
              <w:t>/</w:t>
            </w:r>
            <w:r>
              <w:rPr>
                <w:rFonts w:ascii="Times New Roman" w:hAnsi="Times New Roman" w:eastAsia="Times New Roman" w:cs="Times New Roman"/>
                <w:position w:val="4"/>
                <w:sz w:val="20"/>
                <w:szCs w:val="20"/>
              </w:rPr>
              <w:t>kg</w:t>
            </w:r>
          </w:p>
        </w:tc>
        <w:tc>
          <w:tcPr>
            <w:tcW w:w="930" w:type="dxa"/>
            <w:tcBorders>
              <w:left w:val="single" w:color="000000" w:sz="4" w:space="0"/>
              <w:right w:val="single" w:color="000000" w:sz="4" w:space="0"/>
            </w:tcBorders>
            <w:vAlign w:val="top"/>
          </w:tcPr>
          <w:p w14:paraId="495157A5">
            <w:pPr>
              <w:spacing w:before="95" w:line="195" w:lineRule="auto"/>
              <w:ind w:left="3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w:t>
            </w:r>
            <w:r>
              <w:rPr>
                <w:rFonts w:ascii="Times New Roman" w:hAnsi="Times New Roman" w:eastAsia="Times New Roman" w:cs="Times New Roman"/>
                <w:spacing w:val="2"/>
                <w:sz w:val="20"/>
                <w:szCs w:val="20"/>
              </w:rPr>
              <w:t>00</w:t>
            </w:r>
          </w:p>
        </w:tc>
        <w:tc>
          <w:tcPr>
            <w:tcW w:w="1226" w:type="dxa"/>
            <w:tcBorders>
              <w:left w:val="single" w:color="000000" w:sz="4" w:space="0"/>
              <w:right w:val="single" w:color="000000" w:sz="4" w:space="0"/>
            </w:tcBorders>
            <w:vAlign w:val="top"/>
          </w:tcPr>
          <w:p w14:paraId="726C5BBC">
            <w:pPr>
              <w:spacing w:before="95" w:line="195" w:lineRule="auto"/>
              <w:ind w:left="4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0.31</w:t>
            </w:r>
          </w:p>
        </w:tc>
        <w:tc>
          <w:tcPr>
            <w:tcW w:w="705" w:type="dxa"/>
            <w:tcBorders>
              <w:left w:val="single" w:color="000000" w:sz="4" w:space="0"/>
            </w:tcBorders>
            <w:vAlign w:val="top"/>
          </w:tcPr>
          <w:p w14:paraId="44DB3411">
            <w:pPr>
              <w:spacing w:before="95"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7BA79B26">
            <w:pPr>
              <w:spacing w:before="95"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4146D4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700B912C">
            <w:pPr>
              <w:spacing w:before="97" w:line="195" w:lineRule="auto"/>
              <w:ind w:left="220"/>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944" w:type="dxa"/>
            <w:vMerge w:val="continue"/>
            <w:tcBorders>
              <w:top w:val="nil"/>
              <w:left w:val="single" w:color="000000" w:sz="4" w:space="0"/>
              <w:bottom w:val="nil"/>
              <w:right w:val="single" w:color="000000" w:sz="4" w:space="0"/>
            </w:tcBorders>
            <w:vAlign w:val="top"/>
          </w:tcPr>
          <w:p w14:paraId="36581F26">
            <w:pPr>
              <w:rPr>
                <w:rFonts w:ascii="Arial"/>
                <w:sz w:val="21"/>
              </w:rPr>
            </w:pPr>
          </w:p>
        </w:tc>
        <w:tc>
          <w:tcPr>
            <w:tcW w:w="1680" w:type="dxa"/>
            <w:tcBorders>
              <w:left w:val="single" w:color="000000" w:sz="4" w:space="0"/>
              <w:right w:val="single" w:color="000000" w:sz="4" w:space="0"/>
            </w:tcBorders>
            <w:vAlign w:val="top"/>
          </w:tcPr>
          <w:p w14:paraId="234BA7FD">
            <w:pPr>
              <w:spacing w:before="61" w:line="233" w:lineRule="auto"/>
              <w:ind w:left="527"/>
              <w:rPr>
                <w:rFonts w:ascii="宋体" w:hAnsi="宋体" w:eastAsia="宋体" w:cs="宋体"/>
                <w:sz w:val="20"/>
                <w:szCs w:val="20"/>
              </w:rPr>
            </w:pPr>
            <w:r>
              <w:rPr>
                <w:rFonts w:ascii="宋体" w:hAnsi="宋体" w:eastAsia="宋体" w:cs="宋体"/>
                <w:spacing w:val="7"/>
                <w:sz w:val="20"/>
                <w:szCs w:val="20"/>
              </w:rPr>
              <w:t>全盐</w:t>
            </w:r>
            <w:r>
              <w:rPr>
                <w:rFonts w:ascii="宋体" w:hAnsi="宋体" w:eastAsia="宋体" w:cs="宋体"/>
                <w:spacing w:val="6"/>
                <w:sz w:val="20"/>
                <w:szCs w:val="20"/>
              </w:rPr>
              <w:t>量</w:t>
            </w:r>
          </w:p>
        </w:tc>
        <w:tc>
          <w:tcPr>
            <w:tcW w:w="1650" w:type="dxa"/>
            <w:tcBorders>
              <w:left w:val="single" w:color="000000" w:sz="4" w:space="0"/>
              <w:right w:val="single" w:color="000000" w:sz="4" w:space="0"/>
            </w:tcBorders>
            <w:vAlign w:val="top"/>
          </w:tcPr>
          <w:p w14:paraId="0AD437FA">
            <w:pPr>
              <w:spacing w:before="23" w:line="281" w:lineRule="exact"/>
              <w:ind w:left="507"/>
              <w:rPr>
                <w:rFonts w:ascii="Times New Roman" w:hAnsi="Times New Roman" w:eastAsia="Times New Roman" w:cs="Times New Roman"/>
                <w:sz w:val="20"/>
                <w:szCs w:val="20"/>
              </w:rPr>
            </w:pPr>
            <w:r>
              <w:rPr>
                <w:rFonts w:ascii="Times New Roman" w:hAnsi="Times New Roman" w:eastAsia="Times New Roman" w:cs="Times New Roman"/>
                <w:spacing w:val="-6"/>
                <w:position w:val="4"/>
                <w:sz w:val="20"/>
                <w:szCs w:val="20"/>
              </w:rPr>
              <w:t>2</w:t>
            </w:r>
            <w:r>
              <w:rPr>
                <w:rFonts w:ascii="Times New Roman" w:hAnsi="Times New Roman" w:eastAsia="Times New Roman" w:cs="Times New Roman"/>
                <w:spacing w:val="-4"/>
                <w:position w:val="4"/>
                <w:sz w:val="20"/>
                <w:szCs w:val="20"/>
              </w:rPr>
              <w:t>.</w:t>
            </w:r>
            <w:r>
              <w:rPr>
                <w:rFonts w:ascii="Times New Roman" w:hAnsi="Times New Roman" w:eastAsia="Times New Roman" w:cs="Times New Roman"/>
                <w:spacing w:val="-3"/>
                <w:position w:val="4"/>
                <w:sz w:val="20"/>
                <w:szCs w:val="20"/>
              </w:rPr>
              <w:t xml:space="preserve"> 1g/kg</w:t>
            </w:r>
          </w:p>
        </w:tc>
        <w:tc>
          <w:tcPr>
            <w:tcW w:w="930" w:type="dxa"/>
            <w:tcBorders>
              <w:left w:val="single" w:color="000000" w:sz="4" w:space="0"/>
              <w:right w:val="single" w:color="000000" w:sz="4" w:space="0"/>
            </w:tcBorders>
            <w:vAlign w:val="top"/>
          </w:tcPr>
          <w:p w14:paraId="0FF94356">
            <w:pPr>
              <w:spacing w:before="23" w:line="281" w:lineRule="exact"/>
              <w:ind w:left="43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226" w:type="dxa"/>
            <w:tcBorders>
              <w:left w:val="single" w:color="000000" w:sz="4" w:space="0"/>
              <w:right w:val="single" w:color="000000" w:sz="4" w:space="0"/>
            </w:tcBorders>
            <w:vAlign w:val="top"/>
          </w:tcPr>
          <w:p w14:paraId="48B1042B">
            <w:pPr>
              <w:spacing w:before="23"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1BD163FB">
            <w:pPr>
              <w:spacing w:before="23" w:line="281" w:lineRule="exact"/>
              <w:ind w:left="31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684" w:type="dxa"/>
            <w:tcBorders>
              <w:right w:val="nil"/>
            </w:tcBorders>
            <w:vAlign w:val="top"/>
          </w:tcPr>
          <w:p w14:paraId="29E471CB">
            <w:pPr>
              <w:spacing w:before="23" w:line="281" w:lineRule="exact"/>
              <w:ind w:left="31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580FD4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60C7F760">
            <w:pPr>
              <w:spacing w:before="97" w:line="195" w:lineRule="auto"/>
              <w:ind w:left="18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944" w:type="dxa"/>
            <w:vMerge w:val="continue"/>
            <w:tcBorders>
              <w:top w:val="nil"/>
              <w:left w:val="single" w:color="000000" w:sz="4" w:space="0"/>
              <w:bottom w:val="nil"/>
              <w:right w:val="single" w:color="000000" w:sz="4" w:space="0"/>
            </w:tcBorders>
            <w:vAlign w:val="top"/>
          </w:tcPr>
          <w:p w14:paraId="5C7FEE98">
            <w:pPr>
              <w:rPr>
                <w:rFonts w:ascii="Arial"/>
                <w:sz w:val="21"/>
              </w:rPr>
            </w:pPr>
          </w:p>
        </w:tc>
        <w:tc>
          <w:tcPr>
            <w:tcW w:w="1680" w:type="dxa"/>
            <w:tcBorders>
              <w:left w:val="single" w:color="000000" w:sz="4" w:space="0"/>
              <w:right w:val="single" w:color="000000" w:sz="4" w:space="0"/>
            </w:tcBorders>
            <w:vAlign w:val="top"/>
          </w:tcPr>
          <w:p w14:paraId="7572289E">
            <w:pPr>
              <w:spacing w:before="61" w:line="228" w:lineRule="auto"/>
              <w:ind w:left="441"/>
              <w:rPr>
                <w:rFonts w:ascii="宋体" w:hAnsi="宋体" w:eastAsia="宋体" w:cs="宋体"/>
                <w:sz w:val="20"/>
                <w:szCs w:val="20"/>
              </w:rPr>
            </w:pPr>
            <w:r>
              <w:rPr>
                <w:rFonts w:ascii="宋体" w:hAnsi="宋体" w:eastAsia="宋体" w:cs="宋体"/>
                <w:spacing w:val="3"/>
                <w:sz w:val="20"/>
                <w:szCs w:val="20"/>
              </w:rPr>
              <w:t>四</w:t>
            </w:r>
            <w:r>
              <w:rPr>
                <w:rFonts w:ascii="宋体" w:hAnsi="宋体" w:eastAsia="宋体" w:cs="宋体"/>
                <w:spacing w:val="2"/>
                <w:sz w:val="20"/>
                <w:szCs w:val="20"/>
              </w:rPr>
              <w:t>氯化碳</w:t>
            </w:r>
          </w:p>
        </w:tc>
        <w:tc>
          <w:tcPr>
            <w:tcW w:w="1650" w:type="dxa"/>
            <w:tcBorders>
              <w:left w:val="single" w:color="000000" w:sz="4" w:space="0"/>
              <w:right w:val="single" w:color="000000" w:sz="4" w:space="0"/>
            </w:tcBorders>
            <w:vAlign w:val="top"/>
          </w:tcPr>
          <w:p w14:paraId="458F02D9">
            <w:pPr>
              <w:spacing w:before="21"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1.3μ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5AE24FB0">
            <w:pPr>
              <w:spacing w:before="97" w:line="198" w:lineRule="auto"/>
              <w:ind w:left="333"/>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5"/>
                <w:sz w:val="20"/>
                <w:szCs w:val="20"/>
              </w:rPr>
              <w:t>.8</w:t>
            </w:r>
          </w:p>
        </w:tc>
        <w:tc>
          <w:tcPr>
            <w:tcW w:w="1226" w:type="dxa"/>
            <w:tcBorders>
              <w:left w:val="single" w:color="000000" w:sz="4" w:space="0"/>
              <w:right w:val="single" w:color="000000" w:sz="4" w:space="0"/>
            </w:tcBorders>
            <w:vAlign w:val="top"/>
          </w:tcPr>
          <w:p w14:paraId="44395003">
            <w:pPr>
              <w:spacing w:before="23"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3C518482">
            <w:pPr>
              <w:spacing w:before="97"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523A144B">
            <w:pPr>
              <w:spacing w:before="97"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1AEFBE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0ECFC8F5">
            <w:pPr>
              <w:spacing w:before="96" w:line="195" w:lineRule="auto"/>
              <w:ind w:left="189"/>
              <w:rPr>
                <w:rFonts w:ascii="Times New Roman" w:hAnsi="Times New Roman" w:eastAsia="Times New Roman" w:cs="Times New Roman"/>
                <w:sz w:val="20"/>
                <w:szCs w:val="20"/>
              </w:rPr>
            </w:pPr>
            <w:r>
              <w:rPr>
                <w:rFonts w:ascii="Times New Roman" w:hAnsi="Times New Roman" w:eastAsia="Times New Roman" w:cs="Times New Roman"/>
                <w:spacing w:val="-11"/>
                <w:sz w:val="20"/>
                <w:szCs w:val="20"/>
              </w:rPr>
              <w:t>1</w:t>
            </w:r>
            <w:r>
              <w:rPr>
                <w:rFonts w:ascii="Times New Roman" w:hAnsi="Times New Roman" w:eastAsia="Times New Roman" w:cs="Times New Roman"/>
                <w:spacing w:val="-9"/>
                <w:sz w:val="20"/>
                <w:szCs w:val="20"/>
              </w:rPr>
              <w:t>1</w:t>
            </w:r>
          </w:p>
        </w:tc>
        <w:tc>
          <w:tcPr>
            <w:tcW w:w="944" w:type="dxa"/>
            <w:vMerge w:val="continue"/>
            <w:tcBorders>
              <w:top w:val="nil"/>
              <w:left w:val="single" w:color="000000" w:sz="4" w:space="0"/>
              <w:bottom w:val="nil"/>
              <w:right w:val="single" w:color="000000" w:sz="4" w:space="0"/>
            </w:tcBorders>
            <w:vAlign w:val="top"/>
          </w:tcPr>
          <w:p w14:paraId="23A5691B">
            <w:pPr>
              <w:rPr>
                <w:rFonts w:ascii="Arial"/>
                <w:sz w:val="21"/>
              </w:rPr>
            </w:pPr>
          </w:p>
        </w:tc>
        <w:tc>
          <w:tcPr>
            <w:tcW w:w="1680" w:type="dxa"/>
            <w:tcBorders>
              <w:left w:val="single" w:color="000000" w:sz="4" w:space="0"/>
              <w:right w:val="single" w:color="000000" w:sz="4" w:space="0"/>
            </w:tcBorders>
            <w:vAlign w:val="top"/>
          </w:tcPr>
          <w:p w14:paraId="3DA5D7D1">
            <w:pPr>
              <w:spacing w:before="61" w:line="228" w:lineRule="auto"/>
              <w:ind w:left="636"/>
              <w:rPr>
                <w:rFonts w:ascii="宋体" w:hAnsi="宋体" w:eastAsia="宋体" w:cs="宋体"/>
                <w:sz w:val="20"/>
                <w:szCs w:val="20"/>
              </w:rPr>
            </w:pPr>
            <w:r>
              <w:rPr>
                <w:rFonts w:ascii="宋体" w:hAnsi="宋体" w:eastAsia="宋体" w:cs="宋体"/>
                <w:spacing w:val="3"/>
                <w:sz w:val="20"/>
                <w:szCs w:val="20"/>
              </w:rPr>
              <w:t>氯仿</w:t>
            </w:r>
          </w:p>
        </w:tc>
        <w:tc>
          <w:tcPr>
            <w:tcW w:w="1650" w:type="dxa"/>
            <w:tcBorders>
              <w:left w:val="single" w:color="000000" w:sz="4" w:space="0"/>
              <w:right w:val="single" w:color="000000" w:sz="4" w:space="0"/>
            </w:tcBorders>
            <w:vAlign w:val="top"/>
          </w:tcPr>
          <w:p w14:paraId="51FD0842">
            <w:pPr>
              <w:spacing w:before="21" w:line="281" w:lineRule="exact"/>
              <w:ind w:left="365"/>
              <w:rPr>
                <w:rFonts w:ascii="Times New Roman" w:hAnsi="Times New Roman" w:eastAsia="Times New Roman" w:cs="Times New Roman"/>
                <w:sz w:val="20"/>
                <w:szCs w:val="20"/>
              </w:rPr>
            </w:pPr>
            <w:r>
              <w:rPr>
                <w:rFonts w:ascii="宋体" w:hAnsi="宋体" w:eastAsia="宋体" w:cs="宋体"/>
                <w:spacing w:val="-3"/>
                <w:position w:val="4"/>
                <w:sz w:val="20"/>
                <w:szCs w:val="20"/>
              </w:rPr>
              <w:t>＜</w:t>
            </w:r>
            <w:r>
              <w:rPr>
                <w:rFonts w:ascii="Times New Roman" w:hAnsi="Times New Roman" w:eastAsia="Times New Roman" w:cs="Times New Roman"/>
                <w:spacing w:val="-3"/>
                <w:position w:val="4"/>
                <w:sz w:val="20"/>
                <w:szCs w:val="20"/>
              </w:rPr>
              <w:t>1. 1μg/kg</w:t>
            </w:r>
          </w:p>
        </w:tc>
        <w:tc>
          <w:tcPr>
            <w:tcW w:w="930" w:type="dxa"/>
            <w:tcBorders>
              <w:left w:val="single" w:color="000000" w:sz="4" w:space="0"/>
              <w:right w:val="single" w:color="000000" w:sz="4" w:space="0"/>
            </w:tcBorders>
            <w:vAlign w:val="top"/>
          </w:tcPr>
          <w:p w14:paraId="76896A11">
            <w:pPr>
              <w:spacing w:before="97" w:line="195" w:lineRule="auto"/>
              <w:ind w:left="33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w:t>
            </w:r>
          </w:p>
        </w:tc>
        <w:tc>
          <w:tcPr>
            <w:tcW w:w="1226" w:type="dxa"/>
            <w:tcBorders>
              <w:left w:val="single" w:color="000000" w:sz="4" w:space="0"/>
              <w:right w:val="single" w:color="000000" w:sz="4" w:space="0"/>
            </w:tcBorders>
            <w:vAlign w:val="top"/>
          </w:tcPr>
          <w:p w14:paraId="5ACFA7B9">
            <w:pPr>
              <w:spacing w:before="23"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193B5E61">
            <w:pPr>
              <w:spacing w:before="96"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2F790554">
            <w:pPr>
              <w:spacing w:before="96"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25848E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718764BC">
            <w:pPr>
              <w:spacing w:before="96" w:line="195" w:lineRule="auto"/>
              <w:ind w:left="18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2</w:t>
            </w:r>
          </w:p>
        </w:tc>
        <w:tc>
          <w:tcPr>
            <w:tcW w:w="944" w:type="dxa"/>
            <w:vMerge w:val="continue"/>
            <w:tcBorders>
              <w:top w:val="nil"/>
              <w:left w:val="single" w:color="000000" w:sz="4" w:space="0"/>
              <w:bottom w:val="nil"/>
              <w:right w:val="single" w:color="000000" w:sz="4" w:space="0"/>
            </w:tcBorders>
            <w:vAlign w:val="top"/>
          </w:tcPr>
          <w:p w14:paraId="327651EF">
            <w:pPr>
              <w:rPr>
                <w:rFonts w:ascii="Arial"/>
                <w:sz w:val="21"/>
              </w:rPr>
            </w:pPr>
          </w:p>
        </w:tc>
        <w:tc>
          <w:tcPr>
            <w:tcW w:w="1680" w:type="dxa"/>
            <w:tcBorders>
              <w:left w:val="single" w:color="000000" w:sz="4" w:space="0"/>
              <w:right w:val="single" w:color="000000" w:sz="4" w:space="0"/>
            </w:tcBorders>
            <w:vAlign w:val="top"/>
          </w:tcPr>
          <w:p w14:paraId="69153547">
            <w:pPr>
              <w:spacing w:before="61" w:line="228" w:lineRule="auto"/>
              <w:ind w:left="531"/>
              <w:rPr>
                <w:rFonts w:ascii="宋体" w:hAnsi="宋体" w:eastAsia="宋体" w:cs="宋体"/>
                <w:sz w:val="20"/>
                <w:szCs w:val="20"/>
              </w:rPr>
            </w:pPr>
            <w:r>
              <w:rPr>
                <w:rFonts w:ascii="宋体" w:hAnsi="宋体" w:eastAsia="宋体" w:cs="宋体"/>
                <w:spacing w:val="6"/>
                <w:sz w:val="20"/>
                <w:szCs w:val="20"/>
              </w:rPr>
              <w:t>氯甲</w:t>
            </w:r>
            <w:r>
              <w:rPr>
                <w:rFonts w:ascii="宋体" w:hAnsi="宋体" w:eastAsia="宋体" w:cs="宋体"/>
                <w:spacing w:val="5"/>
                <w:sz w:val="20"/>
                <w:szCs w:val="20"/>
              </w:rPr>
              <w:t>烷</w:t>
            </w:r>
          </w:p>
        </w:tc>
        <w:tc>
          <w:tcPr>
            <w:tcW w:w="1650" w:type="dxa"/>
            <w:tcBorders>
              <w:left w:val="single" w:color="000000" w:sz="4" w:space="0"/>
              <w:right w:val="single" w:color="000000" w:sz="4" w:space="0"/>
            </w:tcBorders>
            <w:vAlign w:val="top"/>
          </w:tcPr>
          <w:p w14:paraId="0D911539">
            <w:pPr>
              <w:spacing w:before="20"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1.0μ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2AA6B826">
            <w:pPr>
              <w:spacing w:before="96" w:line="195" w:lineRule="auto"/>
              <w:ind w:left="36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7</w:t>
            </w:r>
          </w:p>
        </w:tc>
        <w:tc>
          <w:tcPr>
            <w:tcW w:w="1226" w:type="dxa"/>
            <w:tcBorders>
              <w:left w:val="single" w:color="000000" w:sz="4" w:space="0"/>
              <w:right w:val="single" w:color="000000" w:sz="4" w:space="0"/>
            </w:tcBorders>
            <w:vAlign w:val="top"/>
          </w:tcPr>
          <w:p w14:paraId="01845A6C">
            <w:pPr>
              <w:spacing w:before="23"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5939B24A">
            <w:pPr>
              <w:spacing w:before="96"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43760CE9">
            <w:pPr>
              <w:spacing w:before="96"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5F1E5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532" w:type="dxa"/>
            <w:tcBorders>
              <w:left w:val="nil"/>
              <w:right w:val="single" w:color="000000" w:sz="4" w:space="0"/>
            </w:tcBorders>
            <w:vAlign w:val="top"/>
          </w:tcPr>
          <w:p w14:paraId="6ABF1AE6">
            <w:pPr>
              <w:spacing w:before="96" w:line="195" w:lineRule="auto"/>
              <w:ind w:left="18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3</w:t>
            </w:r>
          </w:p>
        </w:tc>
        <w:tc>
          <w:tcPr>
            <w:tcW w:w="944" w:type="dxa"/>
            <w:vMerge w:val="continue"/>
            <w:tcBorders>
              <w:top w:val="nil"/>
              <w:left w:val="single" w:color="000000" w:sz="4" w:space="0"/>
              <w:right w:val="single" w:color="000000" w:sz="4" w:space="0"/>
            </w:tcBorders>
            <w:vAlign w:val="top"/>
          </w:tcPr>
          <w:p w14:paraId="33946974">
            <w:pPr>
              <w:rPr>
                <w:rFonts w:ascii="Arial"/>
                <w:sz w:val="21"/>
              </w:rPr>
            </w:pPr>
          </w:p>
        </w:tc>
        <w:tc>
          <w:tcPr>
            <w:tcW w:w="1680" w:type="dxa"/>
            <w:tcBorders>
              <w:left w:val="single" w:color="000000" w:sz="4" w:space="0"/>
              <w:right w:val="single" w:color="000000" w:sz="4" w:space="0"/>
            </w:tcBorders>
            <w:vAlign w:val="top"/>
          </w:tcPr>
          <w:p w14:paraId="5790EF60">
            <w:pPr>
              <w:spacing w:before="61" w:line="233" w:lineRule="auto"/>
              <w:ind w:left="272"/>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2"/>
                <w:sz w:val="20"/>
                <w:szCs w:val="20"/>
              </w:rPr>
              <w:t>, 1-</w:t>
            </w:r>
            <w:r>
              <w:rPr>
                <w:rFonts w:ascii="宋体" w:hAnsi="宋体" w:eastAsia="宋体" w:cs="宋体"/>
                <w:spacing w:val="-2"/>
                <w:sz w:val="20"/>
                <w:szCs w:val="20"/>
              </w:rPr>
              <w:t>二氯乙烷</w:t>
            </w:r>
          </w:p>
        </w:tc>
        <w:tc>
          <w:tcPr>
            <w:tcW w:w="1650" w:type="dxa"/>
            <w:tcBorders>
              <w:left w:val="single" w:color="000000" w:sz="4" w:space="0"/>
              <w:right w:val="single" w:color="000000" w:sz="4" w:space="0"/>
            </w:tcBorders>
            <w:vAlign w:val="top"/>
          </w:tcPr>
          <w:p w14:paraId="6C64F8D0">
            <w:pPr>
              <w:spacing w:before="20"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1.2μ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3DB6895F">
            <w:pPr>
              <w:spacing w:before="96" w:line="195" w:lineRule="auto"/>
              <w:ind w:left="416"/>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226" w:type="dxa"/>
            <w:tcBorders>
              <w:left w:val="single" w:color="000000" w:sz="4" w:space="0"/>
              <w:right w:val="single" w:color="000000" w:sz="4" w:space="0"/>
            </w:tcBorders>
            <w:vAlign w:val="top"/>
          </w:tcPr>
          <w:p w14:paraId="70A2A309">
            <w:pPr>
              <w:spacing w:before="23" w:line="281" w:lineRule="exact"/>
              <w:ind w:left="57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74452C70">
            <w:pPr>
              <w:spacing w:before="96"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338CB03B">
            <w:pPr>
              <w:spacing w:before="96"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bl>
    <w:p w14:paraId="5A9745D7">
      <w:pPr>
        <w:rPr>
          <w:rFonts w:ascii="Arial"/>
          <w:sz w:val="21"/>
        </w:rPr>
      </w:pPr>
    </w:p>
    <w:p w14:paraId="16B813EE">
      <w:pPr>
        <w:sectPr>
          <w:footerReference r:id="rId191" w:type="default"/>
          <w:pgSz w:w="11906" w:h="16839"/>
          <w:pgMar w:top="1132" w:right="1777" w:bottom="1182" w:left="1777" w:header="878" w:footer="1022" w:gutter="0"/>
          <w:cols w:space="720" w:num="1"/>
        </w:sectPr>
      </w:pPr>
    </w:p>
    <w:p w14:paraId="1FF85E03">
      <w:r>
        <w:pict>
          <v:shape id="_x0000_s1233" o:spid="_x0000_s1233" style="position:absolute;left:0pt;margin-left:90pt;margin-top:57.35pt;height:0.75pt;width:415.3pt;mso-position-horizontal-relative:page;mso-position-vertical-relative:page;z-index:251885568;mso-width-relative:page;mso-height-relative:page;" fillcolor="#000000" filled="t" stroked="f" coordsize="8305,15" o:allowincell="f" path="m0,0l8305,0,8305,14,0,14,0,0xe">
            <v:path/>
            <v:fill on="t" focussize="0,0"/>
            <v:stroke on="f"/>
            <v:imagedata o:title=""/>
            <o:lock v:ext="edit"/>
          </v:shape>
        </w:pict>
      </w:r>
    </w:p>
    <w:p w14:paraId="4C7AA5B9">
      <w:pPr>
        <w:spacing w:line="65" w:lineRule="exact"/>
      </w:pPr>
    </w:p>
    <w:tbl>
      <w:tblPr>
        <w:tblStyle w:val="4"/>
        <w:tblW w:w="835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2"/>
        <w:gridCol w:w="944"/>
        <w:gridCol w:w="1680"/>
        <w:gridCol w:w="1651"/>
        <w:gridCol w:w="930"/>
        <w:gridCol w:w="1226"/>
        <w:gridCol w:w="705"/>
        <w:gridCol w:w="684"/>
      </w:tblGrid>
      <w:tr w14:paraId="51B229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532" w:type="dxa"/>
            <w:tcBorders>
              <w:left w:val="nil"/>
              <w:right w:val="single" w:color="000000" w:sz="4" w:space="0"/>
            </w:tcBorders>
            <w:vAlign w:val="top"/>
          </w:tcPr>
          <w:p w14:paraId="5872850C">
            <w:pPr>
              <w:spacing w:before="111" w:line="195" w:lineRule="auto"/>
              <w:ind w:left="18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4</w:t>
            </w:r>
          </w:p>
        </w:tc>
        <w:tc>
          <w:tcPr>
            <w:tcW w:w="944" w:type="dxa"/>
            <w:vMerge w:val="restart"/>
            <w:tcBorders>
              <w:left w:val="single" w:color="000000" w:sz="4" w:space="0"/>
              <w:bottom w:val="nil"/>
              <w:right w:val="single" w:color="000000" w:sz="4" w:space="0"/>
            </w:tcBorders>
            <w:vAlign w:val="top"/>
          </w:tcPr>
          <w:p w14:paraId="17EEEF3F">
            <w:pPr>
              <w:rPr>
                <w:rFonts w:ascii="Arial"/>
                <w:sz w:val="21"/>
              </w:rPr>
            </w:pPr>
          </w:p>
        </w:tc>
        <w:tc>
          <w:tcPr>
            <w:tcW w:w="1680" w:type="dxa"/>
            <w:tcBorders>
              <w:left w:val="single" w:color="000000" w:sz="4" w:space="0"/>
              <w:right w:val="single" w:color="000000" w:sz="4" w:space="0"/>
            </w:tcBorders>
            <w:vAlign w:val="top"/>
          </w:tcPr>
          <w:p w14:paraId="313FDED2">
            <w:pPr>
              <w:spacing w:before="76" w:line="233" w:lineRule="auto"/>
              <w:ind w:left="272"/>
              <w:rPr>
                <w:rFonts w:ascii="宋体" w:hAnsi="宋体" w:eastAsia="宋体" w:cs="宋体"/>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2-</w:t>
            </w:r>
            <w:r>
              <w:rPr>
                <w:rFonts w:ascii="宋体" w:hAnsi="宋体" w:eastAsia="宋体" w:cs="宋体"/>
                <w:spacing w:val="3"/>
                <w:sz w:val="20"/>
                <w:szCs w:val="20"/>
              </w:rPr>
              <w:t>二氯乙烷</w:t>
            </w:r>
          </w:p>
        </w:tc>
        <w:tc>
          <w:tcPr>
            <w:tcW w:w="1651" w:type="dxa"/>
            <w:tcBorders>
              <w:left w:val="single" w:color="000000" w:sz="4" w:space="0"/>
              <w:right w:val="single" w:color="000000" w:sz="4" w:space="0"/>
            </w:tcBorders>
            <w:vAlign w:val="top"/>
          </w:tcPr>
          <w:p w14:paraId="2873706F">
            <w:pPr>
              <w:spacing w:before="30"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1.3μ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6D30C378">
            <w:pPr>
              <w:spacing w:before="114" w:line="192" w:lineRule="auto"/>
              <w:ind w:left="417"/>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226" w:type="dxa"/>
            <w:tcBorders>
              <w:left w:val="single" w:color="000000" w:sz="4" w:space="0"/>
              <w:right w:val="single" w:color="000000" w:sz="4" w:space="0"/>
            </w:tcBorders>
            <w:vAlign w:val="top"/>
          </w:tcPr>
          <w:p w14:paraId="337DF0D7">
            <w:pPr>
              <w:spacing w:before="38"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1285E049">
            <w:pPr>
              <w:spacing w:before="111"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42F985A9">
            <w:pPr>
              <w:spacing w:before="111"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493E07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532" w:type="dxa"/>
            <w:tcBorders>
              <w:left w:val="nil"/>
              <w:right w:val="single" w:color="000000" w:sz="4" w:space="0"/>
            </w:tcBorders>
            <w:vAlign w:val="top"/>
          </w:tcPr>
          <w:p w14:paraId="48F8D923">
            <w:pPr>
              <w:spacing w:before="92" w:line="195" w:lineRule="auto"/>
              <w:ind w:left="18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c>
          <w:tcPr>
            <w:tcW w:w="944" w:type="dxa"/>
            <w:vMerge w:val="continue"/>
            <w:tcBorders>
              <w:top w:val="nil"/>
              <w:left w:val="single" w:color="000000" w:sz="4" w:space="0"/>
              <w:bottom w:val="nil"/>
              <w:right w:val="single" w:color="000000" w:sz="4" w:space="0"/>
            </w:tcBorders>
            <w:vAlign w:val="top"/>
          </w:tcPr>
          <w:p w14:paraId="4ABC0FEB">
            <w:pPr>
              <w:rPr>
                <w:rFonts w:ascii="Arial"/>
                <w:sz w:val="21"/>
              </w:rPr>
            </w:pPr>
          </w:p>
        </w:tc>
        <w:tc>
          <w:tcPr>
            <w:tcW w:w="1680" w:type="dxa"/>
            <w:tcBorders>
              <w:left w:val="single" w:color="000000" w:sz="4" w:space="0"/>
              <w:right w:val="single" w:color="000000" w:sz="4" w:space="0"/>
            </w:tcBorders>
            <w:vAlign w:val="top"/>
          </w:tcPr>
          <w:p w14:paraId="7BE19386">
            <w:pPr>
              <w:spacing w:before="56" w:line="233" w:lineRule="auto"/>
              <w:ind w:left="272"/>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2"/>
                <w:sz w:val="20"/>
                <w:szCs w:val="20"/>
              </w:rPr>
              <w:t>, 1-</w:t>
            </w:r>
            <w:r>
              <w:rPr>
                <w:rFonts w:ascii="宋体" w:hAnsi="宋体" w:eastAsia="宋体" w:cs="宋体"/>
                <w:spacing w:val="-2"/>
                <w:sz w:val="20"/>
                <w:szCs w:val="20"/>
              </w:rPr>
              <w:t>二氯乙烯</w:t>
            </w:r>
          </w:p>
        </w:tc>
        <w:tc>
          <w:tcPr>
            <w:tcW w:w="1651" w:type="dxa"/>
            <w:tcBorders>
              <w:left w:val="single" w:color="000000" w:sz="4" w:space="0"/>
              <w:right w:val="single" w:color="000000" w:sz="4" w:space="0"/>
            </w:tcBorders>
            <w:vAlign w:val="top"/>
          </w:tcPr>
          <w:p w14:paraId="7DC34605">
            <w:pPr>
              <w:spacing w:before="16"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1.0μ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47D20CBA">
            <w:pPr>
              <w:spacing w:before="92" w:line="195" w:lineRule="auto"/>
              <w:ind w:left="36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6</w:t>
            </w:r>
          </w:p>
        </w:tc>
        <w:tc>
          <w:tcPr>
            <w:tcW w:w="1226" w:type="dxa"/>
            <w:tcBorders>
              <w:left w:val="single" w:color="000000" w:sz="4" w:space="0"/>
              <w:right w:val="single" w:color="000000" w:sz="4" w:space="0"/>
            </w:tcBorders>
            <w:vAlign w:val="top"/>
          </w:tcPr>
          <w:p w14:paraId="21061055">
            <w:pPr>
              <w:spacing w:before="18"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7195275C">
            <w:pPr>
              <w:spacing w:before="92"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35B4BF5F">
            <w:pPr>
              <w:spacing w:before="92"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6FDF6D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23790CA0">
            <w:pPr>
              <w:spacing w:before="93" w:line="195" w:lineRule="auto"/>
              <w:ind w:left="18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6</w:t>
            </w:r>
          </w:p>
        </w:tc>
        <w:tc>
          <w:tcPr>
            <w:tcW w:w="944" w:type="dxa"/>
            <w:vMerge w:val="continue"/>
            <w:tcBorders>
              <w:top w:val="nil"/>
              <w:left w:val="single" w:color="000000" w:sz="4" w:space="0"/>
              <w:bottom w:val="nil"/>
              <w:right w:val="single" w:color="000000" w:sz="4" w:space="0"/>
            </w:tcBorders>
            <w:vAlign w:val="top"/>
          </w:tcPr>
          <w:p w14:paraId="232BEEEA">
            <w:pPr>
              <w:rPr>
                <w:rFonts w:ascii="Arial"/>
                <w:sz w:val="21"/>
              </w:rPr>
            </w:pPr>
          </w:p>
        </w:tc>
        <w:tc>
          <w:tcPr>
            <w:tcW w:w="1680" w:type="dxa"/>
            <w:tcBorders>
              <w:left w:val="single" w:color="000000" w:sz="4" w:space="0"/>
              <w:right w:val="single" w:color="000000" w:sz="4" w:space="0"/>
            </w:tcBorders>
            <w:vAlign w:val="top"/>
          </w:tcPr>
          <w:p w14:paraId="2892B08F">
            <w:pPr>
              <w:spacing w:before="56" w:line="233" w:lineRule="auto"/>
              <w:ind w:left="118"/>
              <w:rPr>
                <w:rFonts w:ascii="宋体" w:hAnsi="宋体" w:eastAsia="宋体" w:cs="宋体"/>
                <w:sz w:val="20"/>
                <w:szCs w:val="20"/>
              </w:rPr>
            </w:pPr>
            <w:r>
              <w:rPr>
                <w:rFonts w:ascii="宋体" w:hAnsi="宋体" w:eastAsia="宋体" w:cs="宋体"/>
                <w:spacing w:val="1"/>
                <w:sz w:val="20"/>
                <w:szCs w:val="20"/>
              </w:rPr>
              <w:t>顺</w:t>
            </w:r>
            <w:r>
              <w:rPr>
                <w:rFonts w:ascii="Times New Roman" w:hAnsi="Times New Roman" w:eastAsia="Times New Roman" w:cs="Times New Roman"/>
                <w:spacing w:val="1"/>
                <w:sz w:val="20"/>
                <w:szCs w:val="20"/>
              </w:rPr>
              <w:t>- 1,2-</w:t>
            </w:r>
            <w:r>
              <w:rPr>
                <w:rFonts w:ascii="宋体" w:hAnsi="宋体" w:eastAsia="宋体" w:cs="宋体"/>
                <w:sz w:val="20"/>
                <w:szCs w:val="20"/>
              </w:rPr>
              <w:t>二氯乙烯</w:t>
            </w:r>
          </w:p>
        </w:tc>
        <w:tc>
          <w:tcPr>
            <w:tcW w:w="1651" w:type="dxa"/>
            <w:tcBorders>
              <w:left w:val="single" w:color="000000" w:sz="4" w:space="0"/>
              <w:right w:val="single" w:color="000000" w:sz="4" w:space="0"/>
            </w:tcBorders>
            <w:vAlign w:val="top"/>
          </w:tcPr>
          <w:p w14:paraId="22587EB6">
            <w:pPr>
              <w:spacing w:before="17"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1.3μ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4C56A06A">
            <w:pPr>
              <w:spacing w:before="93" w:line="195" w:lineRule="auto"/>
              <w:ind w:left="3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59</w:t>
            </w:r>
            <w:r>
              <w:rPr>
                <w:rFonts w:ascii="Times New Roman" w:hAnsi="Times New Roman" w:eastAsia="Times New Roman" w:cs="Times New Roman"/>
                <w:spacing w:val="1"/>
                <w:sz w:val="20"/>
                <w:szCs w:val="20"/>
              </w:rPr>
              <w:t>6</w:t>
            </w:r>
          </w:p>
        </w:tc>
        <w:tc>
          <w:tcPr>
            <w:tcW w:w="1226" w:type="dxa"/>
            <w:tcBorders>
              <w:left w:val="single" w:color="000000" w:sz="4" w:space="0"/>
              <w:right w:val="single" w:color="000000" w:sz="4" w:space="0"/>
            </w:tcBorders>
            <w:vAlign w:val="top"/>
          </w:tcPr>
          <w:p w14:paraId="01B71CEB">
            <w:pPr>
              <w:spacing w:before="19"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70BD32A2">
            <w:pPr>
              <w:spacing w:before="93"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332681D7">
            <w:pPr>
              <w:spacing w:before="93"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35F9FD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25F63D69">
            <w:pPr>
              <w:spacing w:before="92" w:line="195" w:lineRule="auto"/>
              <w:ind w:left="18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7</w:t>
            </w:r>
          </w:p>
        </w:tc>
        <w:tc>
          <w:tcPr>
            <w:tcW w:w="944" w:type="dxa"/>
            <w:vMerge w:val="continue"/>
            <w:tcBorders>
              <w:top w:val="nil"/>
              <w:left w:val="single" w:color="000000" w:sz="4" w:space="0"/>
              <w:bottom w:val="nil"/>
              <w:right w:val="single" w:color="000000" w:sz="4" w:space="0"/>
            </w:tcBorders>
            <w:vAlign w:val="top"/>
          </w:tcPr>
          <w:p w14:paraId="0823A681">
            <w:pPr>
              <w:rPr>
                <w:rFonts w:ascii="Arial"/>
                <w:sz w:val="21"/>
              </w:rPr>
            </w:pPr>
          </w:p>
        </w:tc>
        <w:tc>
          <w:tcPr>
            <w:tcW w:w="1680" w:type="dxa"/>
            <w:tcBorders>
              <w:left w:val="single" w:color="000000" w:sz="4" w:space="0"/>
              <w:right w:val="single" w:color="000000" w:sz="4" w:space="0"/>
            </w:tcBorders>
            <w:vAlign w:val="top"/>
          </w:tcPr>
          <w:p w14:paraId="352C224B">
            <w:pPr>
              <w:spacing w:before="56" w:line="233" w:lineRule="auto"/>
              <w:ind w:left="118"/>
              <w:rPr>
                <w:rFonts w:ascii="宋体" w:hAnsi="宋体" w:eastAsia="宋体" w:cs="宋体"/>
                <w:sz w:val="20"/>
                <w:szCs w:val="20"/>
              </w:rPr>
            </w:pPr>
            <w:r>
              <w:rPr>
                <w:rFonts w:ascii="宋体" w:hAnsi="宋体" w:eastAsia="宋体" w:cs="宋体"/>
                <w:spacing w:val="1"/>
                <w:sz w:val="20"/>
                <w:szCs w:val="20"/>
              </w:rPr>
              <w:t>反</w:t>
            </w:r>
            <w:r>
              <w:rPr>
                <w:rFonts w:ascii="Times New Roman" w:hAnsi="Times New Roman" w:eastAsia="Times New Roman" w:cs="Times New Roman"/>
                <w:spacing w:val="1"/>
                <w:sz w:val="20"/>
                <w:szCs w:val="20"/>
              </w:rPr>
              <w:t>- 1,2-</w:t>
            </w:r>
            <w:r>
              <w:rPr>
                <w:rFonts w:ascii="宋体" w:hAnsi="宋体" w:eastAsia="宋体" w:cs="宋体"/>
                <w:sz w:val="20"/>
                <w:szCs w:val="20"/>
              </w:rPr>
              <w:t>二氯乙烯</w:t>
            </w:r>
          </w:p>
        </w:tc>
        <w:tc>
          <w:tcPr>
            <w:tcW w:w="1651" w:type="dxa"/>
            <w:tcBorders>
              <w:left w:val="single" w:color="000000" w:sz="4" w:space="0"/>
              <w:right w:val="single" w:color="000000" w:sz="4" w:space="0"/>
            </w:tcBorders>
            <w:vAlign w:val="top"/>
          </w:tcPr>
          <w:p w14:paraId="3953E1EF">
            <w:pPr>
              <w:spacing w:before="17"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1.4μ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5BC354A2">
            <w:pPr>
              <w:spacing w:before="92" w:line="195" w:lineRule="auto"/>
              <w:ind w:left="364"/>
              <w:rPr>
                <w:rFonts w:ascii="Times New Roman" w:hAnsi="Times New Roman" w:eastAsia="Times New Roman" w:cs="Times New Roman"/>
                <w:sz w:val="20"/>
                <w:szCs w:val="20"/>
              </w:rPr>
            </w:pPr>
            <w:r>
              <w:rPr>
                <w:rFonts w:ascii="Times New Roman" w:hAnsi="Times New Roman" w:eastAsia="Times New Roman" w:cs="Times New Roman"/>
                <w:sz w:val="20"/>
                <w:szCs w:val="20"/>
              </w:rPr>
              <w:t>54</w:t>
            </w:r>
          </w:p>
        </w:tc>
        <w:tc>
          <w:tcPr>
            <w:tcW w:w="1226" w:type="dxa"/>
            <w:tcBorders>
              <w:left w:val="single" w:color="000000" w:sz="4" w:space="0"/>
              <w:right w:val="single" w:color="000000" w:sz="4" w:space="0"/>
            </w:tcBorders>
            <w:vAlign w:val="top"/>
          </w:tcPr>
          <w:p w14:paraId="71A10966">
            <w:pPr>
              <w:spacing w:before="19"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41C91B87">
            <w:pPr>
              <w:spacing w:before="92"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27073FDD">
            <w:pPr>
              <w:spacing w:before="92"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7F6BA3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1B95816B">
            <w:pPr>
              <w:spacing w:before="92" w:line="195" w:lineRule="auto"/>
              <w:ind w:left="18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8</w:t>
            </w:r>
          </w:p>
        </w:tc>
        <w:tc>
          <w:tcPr>
            <w:tcW w:w="944" w:type="dxa"/>
            <w:vMerge w:val="continue"/>
            <w:tcBorders>
              <w:top w:val="nil"/>
              <w:left w:val="single" w:color="000000" w:sz="4" w:space="0"/>
              <w:bottom w:val="nil"/>
              <w:right w:val="single" w:color="000000" w:sz="4" w:space="0"/>
            </w:tcBorders>
            <w:vAlign w:val="top"/>
          </w:tcPr>
          <w:p w14:paraId="5588B737">
            <w:pPr>
              <w:rPr>
                <w:rFonts w:ascii="Arial"/>
                <w:sz w:val="21"/>
              </w:rPr>
            </w:pPr>
          </w:p>
        </w:tc>
        <w:tc>
          <w:tcPr>
            <w:tcW w:w="1680" w:type="dxa"/>
            <w:tcBorders>
              <w:left w:val="single" w:color="000000" w:sz="4" w:space="0"/>
              <w:right w:val="single" w:color="000000" w:sz="4" w:space="0"/>
            </w:tcBorders>
            <w:vAlign w:val="top"/>
          </w:tcPr>
          <w:p w14:paraId="00283834">
            <w:pPr>
              <w:spacing w:before="57" w:line="228" w:lineRule="auto"/>
              <w:ind w:left="425"/>
              <w:rPr>
                <w:rFonts w:ascii="宋体" w:hAnsi="宋体" w:eastAsia="宋体" w:cs="宋体"/>
                <w:sz w:val="20"/>
                <w:szCs w:val="20"/>
              </w:rPr>
            </w:pPr>
            <w:r>
              <w:rPr>
                <w:rFonts w:ascii="宋体" w:hAnsi="宋体" w:eastAsia="宋体" w:cs="宋体"/>
                <w:spacing w:val="8"/>
                <w:sz w:val="20"/>
                <w:szCs w:val="20"/>
              </w:rPr>
              <w:t>二</w:t>
            </w:r>
            <w:r>
              <w:rPr>
                <w:rFonts w:ascii="宋体" w:hAnsi="宋体" w:eastAsia="宋体" w:cs="宋体"/>
                <w:spacing w:val="6"/>
                <w:sz w:val="20"/>
                <w:szCs w:val="20"/>
              </w:rPr>
              <w:t>氯甲烷</w:t>
            </w:r>
          </w:p>
        </w:tc>
        <w:tc>
          <w:tcPr>
            <w:tcW w:w="1651" w:type="dxa"/>
            <w:tcBorders>
              <w:left w:val="single" w:color="000000" w:sz="4" w:space="0"/>
              <w:right w:val="single" w:color="000000" w:sz="4" w:space="0"/>
            </w:tcBorders>
            <w:vAlign w:val="top"/>
          </w:tcPr>
          <w:p w14:paraId="760AC30F">
            <w:pPr>
              <w:spacing w:before="16"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1.5μ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58E7E6A8">
            <w:pPr>
              <w:spacing w:before="92" w:line="195" w:lineRule="auto"/>
              <w:ind w:left="31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616</w:t>
            </w:r>
          </w:p>
        </w:tc>
        <w:tc>
          <w:tcPr>
            <w:tcW w:w="1226" w:type="dxa"/>
            <w:tcBorders>
              <w:left w:val="single" w:color="000000" w:sz="4" w:space="0"/>
              <w:right w:val="single" w:color="000000" w:sz="4" w:space="0"/>
            </w:tcBorders>
            <w:vAlign w:val="top"/>
          </w:tcPr>
          <w:p w14:paraId="2A1E22A9">
            <w:pPr>
              <w:spacing w:before="19"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74E3FA3C">
            <w:pPr>
              <w:spacing w:before="92"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13371640">
            <w:pPr>
              <w:spacing w:before="92"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4B5BBF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69FB7BE3">
            <w:pPr>
              <w:spacing w:before="92" w:line="195" w:lineRule="auto"/>
              <w:ind w:left="18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9</w:t>
            </w:r>
          </w:p>
        </w:tc>
        <w:tc>
          <w:tcPr>
            <w:tcW w:w="944" w:type="dxa"/>
            <w:vMerge w:val="continue"/>
            <w:tcBorders>
              <w:top w:val="nil"/>
              <w:left w:val="single" w:color="000000" w:sz="4" w:space="0"/>
              <w:bottom w:val="nil"/>
              <w:right w:val="single" w:color="000000" w:sz="4" w:space="0"/>
            </w:tcBorders>
            <w:vAlign w:val="top"/>
          </w:tcPr>
          <w:p w14:paraId="0610AA57">
            <w:pPr>
              <w:rPr>
                <w:rFonts w:ascii="Arial"/>
                <w:sz w:val="21"/>
              </w:rPr>
            </w:pPr>
          </w:p>
        </w:tc>
        <w:tc>
          <w:tcPr>
            <w:tcW w:w="1680" w:type="dxa"/>
            <w:tcBorders>
              <w:left w:val="single" w:color="000000" w:sz="4" w:space="0"/>
              <w:right w:val="single" w:color="000000" w:sz="4" w:space="0"/>
            </w:tcBorders>
            <w:vAlign w:val="top"/>
          </w:tcPr>
          <w:p w14:paraId="12C3F702">
            <w:pPr>
              <w:spacing w:before="57" w:line="233" w:lineRule="auto"/>
              <w:ind w:left="272"/>
              <w:rPr>
                <w:rFonts w:ascii="宋体" w:hAnsi="宋体" w:eastAsia="宋体" w:cs="宋体"/>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2-</w:t>
            </w:r>
            <w:r>
              <w:rPr>
                <w:rFonts w:ascii="宋体" w:hAnsi="宋体" w:eastAsia="宋体" w:cs="宋体"/>
                <w:spacing w:val="3"/>
                <w:sz w:val="20"/>
                <w:szCs w:val="20"/>
              </w:rPr>
              <w:t>二氯丙烷</w:t>
            </w:r>
          </w:p>
        </w:tc>
        <w:tc>
          <w:tcPr>
            <w:tcW w:w="1651" w:type="dxa"/>
            <w:tcBorders>
              <w:left w:val="single" w:color="000000" w:sz="4" w:space="0"/>
              <w:right w:val="single" w:color="000000" w:sz="4" w:space="0"/>
            </w:tcBorders>
            <w:vAlign w:val="top"/>
          </w:tcPr>
          <w:p w14:paraId="0F840C60">
            <w:pPr>
              <w:spacing w:before="16" w:line="281" w:lineRule="exact"/>
              <w:ind w:left="365"/>
              <w:rPr>
                <w:rFonts w:ascii="Times New Roman" w:hAnsi="Times New Roman" w:eastAsia="Times New Roman" w:cs="Times New Roman"/>
                <w:sz w:val="20"/>
                <w:szCs w:val="20"/>
              </w:rPr>
            </w:pPr>
            <w:r>
              <w:rPr>
                <w:rFonts w:ascii="宋体" w:hAnsi="宋体" w:eastAsia="宋体" w:cs="宋体"/>
                <w:spacing w:val="-3"/>
                <w:position w:val="4"/>
                <w:sz w:val="20"/>
                <w:szCs w:val="20"/>
              </w:rPr>
              <w:t>＜</w:t>
            </w:r>
            <w:r>
              <w:rPr>
                <w:rFonts w:ascii="Times New Roman" w:hAnsi="Times New Roman" w:eastAsia="Times New Roman" w:cs="Times New Roman"/>
                <w:spacing w:val="-3"/>
                <w:position w:val="4"/>
                <w:sz w:val="20"/>
                <w:szCs w:val="20"/>
              </w:rPr>
              <w:t>1. 1μg/kg</w:t>
            </w:r>
          </w:p>
        </w:tc>
        <w:tc>
          <w:tcPr>
            <w:tcW w:w="930" w:type="dxa"/>
            <w:tcBorders>
              <w:left w:val="single" w:color="000000" w:sz="4" w:space="0"/>
              <w:right w:val="single" w:color="000000" w:sz="4" w:space="0"/>
            </w:tcBorders>
            <w:vAlign w:val="top"/>
          </w:tcPr>
          <w:p w14:paraId="51832CA5">
            <w:pPr>
              <w:spacing w:before="95" w:line="192" w:lineRule="auto"/>
              <w:ind w:left="417"/>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226" w:type="dxa"/>
            <w:tcBorders>
              <w:left w:val="single" w:color="000000" w:sz="4" w:space="0"/>
              <w:right w:val="single" w:color="000000" w:sz="4" w:space="0"/>
            </w:tcBorders>
            <w:vAlign w:val="top"/>
          </w:tcPr>
          <w:p w14:paraId="26ACE91D">
            <w:pPr>
              <w:spacing w:before="19"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3A59E052">
            <w:pPr>
              <w:spacing w:before="92"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2E370D2B">
            <w:pPr>
              <w:spacing w:before="92"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6C82A1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532" w:type="dxa"/>
            <w:tcBorders>
              <w:left w:val="nil"/>
              <w:right w:val="single" w:color="000000" w:sz="4" w:space="0"/>
            </w:tcBorders>
            <w:vAlign w:val="top"/>
          </w:tcPr>
          <w:p w14:paraId="4DC571E6">
            <w:pPr>
              <w:spacing w:before="92"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0</w:t>
            </w:r>
          </w:p>
        </w:tc>
        <w:tc>
          <w:tcPr>
            <w:tcW w:w="944" w:type="dxa"/>
            <w:vMerge w:val="continue"/>
            <w:tcBorders>
              <w:top w:val="nil"/>
              <w:left w:val="single" w:color="000000" w:sz="4" w:space="0"/>
              <w:bottom w:val="nil"/>
              <w:right w:val="single" w:color="000000" w:sz="4" w:space="0"/>
            </w:tcBorders>
            <w:vAlign w:val="top"/>
          </w:tcPr>
          <w:p w14:paraId="3CD088ED">
            <w:pPr>
              <w:rPr>
                <w:rFonts w:ascii="Arial"/>
                <w:sz w:val="21"/>
              </w:rPr>
            </w:pPr>
          </w:p>
        </w:tc>
        <w:tc>
          <w:tcPr>
            <w:tcW w:w="1680" w:type="dxa"/>
            <w:tcBorders>
              <w:left w:val="single" w:color="000000" w:sz="4" w:space="0"/>
              <w:right w:val="single" w:color="000000" w:sz="4" w:space="0"/>
            </w:tcBorders>
            <w:vAlign w:val="top"/>
          </w:tcPr>
          <w:p w14:paraId="6CB9D560">
            <w:pPr>
              <w:spacing w:before="56" w:line="221" w:lineRule="auto"/>
              <w:ind w:left="116"/>
              <w:rPr>
                <w:rFonts w:ascii="宋体" w:hAnsi="宋体" w:eastAsia="宋体" w:cs="宋体"/>
                <w:sz w:val="20"/>
                <w:szCs w:val="20"/>
              </w:rPr>
            </w:pPr>
            <w:r>
              <w:rPr>
                <w:rFonts w:ascii="Times New Roman" w:hAnsi="Times New Roman" w:eastAsia="Times New Roman" w:cs="Times New Roman"/>
                <w:spacing w:val="-10"/>
                <w:sz w:val="20"/>
                <w:szCs w:val="20"/>
              </w:rPr>
              <w:t>1</w:t>
            </w:r>
            <w:r>
              <w:rPr>
                <w:rFonts w:ascii="Times New Roman" w:hAnsi="Times New Roman" w:eastAsia="Times New Roman" w:cs="Times New Roman"/>
                <w:spacing w:val="-7"/>
                <w:sz w:val="20"/>
                <w:szCs w:val="20"/>
              </w:rPr>
              <w:t xml:space="preserve">, 1, 1,2- </w:t>
            </w:r>
            <w:r>
              <w:rPr>
                <w:rFonts w:ascii="宋体" w:hAnsi="宋体" w:eastAsia="宋体" w:cs="宋体"/>
                <w:spacing w:val="-7"/>
                <w:sz w:val="20"/>
                <w:szCs w:val="20"/>
              </w:rPr>
              <w:t>四氯乙烷</w:t>
            </w:r>
          </w:p>
        </w:tc>
        <w:tc>
          <w:tcPr>
            <w:tcW w:w="1651" w:type="dxa"/>
            <w:tcBorders>
              <w:left w:val="single" w:color="000000" w:sz="4" w:space="0"/>
              <w:right w:val="single" w:color="000000" w:sz="4" w:space="0"/>
            </w:tcBorders>
            <w:vAlign w:val="top"/>
          </w:tcPr>
          <w:p w14:paraId="0A957551">
            <w:pPr>
              <w:spacing w:before="18"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1.2μ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270D8BF7">
            <w:pPr>
              <w:spacing w:before="92" w:line="195" w:lineRule="auto"/>
              <w:ind w:left="37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1226" w:type="dxa"/>
            <w:tcBorders>
              <w:left w:val="single" w:color="000000" w:sz="4" w:space="0"/>
              <w:right w:val="single" w:color="000000" w:sz="4" w:space="0"/>
            </w:tcBorders>
            <w:vAlign w:val="top"/>
          </w:tcPr>
          <w:p w14:paraId="250D6408">
            <w:pPr>
              <w:spacing w:before="18"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2E7DFD30">
            <w:pPr>
              <w:spacing w:before="92"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476BBD9A">
            <w:pPr>
              <w:spacing w:before="92"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C1443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66F09EA1">
            <w:pPr>
              <w:spacing w:before="93"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1</w:t>
            </w:r>
          </w:p>
        </w:tc>
        <w:tc>
          <w:tcPr>
            <w:tcW w:w="944" w:type="dxa"/>
            <w:vMerge w:val="continue"/>
            <w:tcBorders>
              <w:top w:val="nil"/>
              <w:left w:val="single" w:color="000000" w:sz="4" w:space="0"/>
              <w:bottom w:val="nil"/>
              <w:right w:val="single" w:color="000000" w:sz="4" w:space="0"/>
            </w:tcBorders>
            <w:vAlign w:val="top"/>
          </w:tcPr>
          <w:p w14:paraId="77D4D334">
            <w:pPr>
              <w:rPr>
                <w:rFonts w:ascii="Arial"/>
                <w:sz w:val="21"/>
              </w:rPr>
            </w:pPr>
          </w:p>
        </w:tc>
        <w:tc>
          <w:tcPr>
            <w:tcW w:w="1680" w:type="dxa"/>
            <w:tcBorders>
              <w:left w:val="single" w:color="000000" w:sz="4" w:space="0"/>
              <w:right w:val="single" w:color="000000" w:sz="4" w:space="0"/>
            </w:tcBorders>
            <w:vAlign w:val="top"/>
          </w:tcPr>
          <w:p w14:paraId="2A13110B">
            <w:pPr>
              <w:spacing w:before="57" w:line="233" w:lineRule="auto"/>
              <w:ind w:left="116"/>
              <w:rPr>
                <w:rFonts w:ascii="宋体" w:hAnsi="宋体" w:eastAsia="宋体" w:cs="宋体"/>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4"/>
                <w:sz w:val="20"/>
                <w:szCs w:val="20"/>
              </w:rPr>
              <w:t xml:space="preserve">, 1,2,2- </w:t>
            </w:r>
            <w:r>
              <w:rPr>
                <w:rFonts w:ascii="宋体" w:hAnsi="宋体" w:eastAsia="宋体" w:cs="宋体"/>
                <w:spacing w:val="-4"/>
                <w:sz w:val="20"/>
                <w:szCs w:val="20"/>
              </w:rPr>
              <w:t>四氯乙烷</w:t>
            </w:r>
          </w:p>
        </w:tc>
        <w:tc>
          <w:tcPr>
            <w:tcW w:w="1651" w:type="dxa"/>
            <w:tcBorders>
              <w:left w:val="single" w:color="000000" w:sz="4" w:space="0"/>
              <w:right w:val="single" w:color="000000" w:sz="4" w:space="0"/>
            </w:tcBorders>
            <w:vAlign w:val="top"/>
          </w:tcPr>
          <w:p w14:paraId="546ACC10">
            <w:pPr>
              <w:spacing w:before="19"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1.2μ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5C5F2FAB">
            <w:pPr>
              <w:spacing w:before="93" w:line="195" w:lineRule="auto"/>
              <w:ind w:left="33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6.8</w:t>
            </w:r>
          </w:p>
        </w:tc>
        <w:tc>
          <w:tcPr>
            <w:tcW w:w="1226" w:type="dxa"/>
            <w:tcBorders>
              <w:left w:val="single" w:color="000000" w:sz="4" w:space="0"/>
              <w:right w:val="single" w:color="000000" w:sz="4" w:space="0"/>
            </w:tcBorders>
            <w:vAlign w:val="top"/>
          </w:tcPr>
          <w:p w14:paraId="381BC136">
            <w:pPr>
              <w:spacing w:before="19"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32EAAE48">
            <w:pPr>
              <w:spacing w:before="93"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3A14103B">
            <w:pPr>
              <w:spacing w:before="93"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73673F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532" w:type="dxa"/>
            <w:tcBorders>
              <w:left w:val="nil"/>
              <w:right w:val="single" w:color="000000" w:sz="4" w:space="0"/>
            </w:tcBorders>
            <w:vAlign w:val="top"/>
          </w:tcPr>
          <w:p w14:paraId="37B07782">
            <w:pPr>
              <w:spacing w:before="93"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2</w:t>
            </w:r>
          </w:p>
        </w:tc>
        <w:tc>
          <w:tcPr>
            <w:tcW w:w="944" w:type="dxa"/>
            <w:vMerge w:val="continue"/>
            <w:tcBorders>
              <w:top w:val="nil"/>
              <w:left w:val="single" w:color="000000" w:sz="4" w:space="0"/>
              <w:bottom w:val="nil"/>
              <w:right w:val="single" w:color="000000" w:sz="4" w:space="0"/>
            </w:tcBorders>
            <w:vAlign w:val="top"/>
          </w:tcPr>
          <w:p w14:paraId="0CE1B67C">
            <w:pPr>
              <w:rPr>
                <w:rFonts w:ascii="Arial"/>
                <w:sz w:val="21"/>
              </w:rPr>
            </w:pPr>
          </w:p>
        </w:tc>
        <w:tc>
          <w:tcPr>
            <w:tcW w:w="1680" w:type="dxa"/>
            <w:tcBorders>
              <w:left w:val="single" w:color="000000" w:sz="4" w:space="0"/>
              <w:right w:val="single" w:color="000000" w:sz="4" w:space="0"/>
            </w:tcBorders>
            <w:vAlign w:val="top"/>
          </w:tcPr>
          <w:p w14:paraId="2C44F9CE">
            <w:pPr>
              <w:spacing w:before="56" w:line="228" w:lineRule="auto"/>
              <w:ind w:left="441"/>
              <w:rPr>
                <w:rFonts w:ascii="宋体" w:hAnsi="宋体" w:eastAsia="宋体" w:cs="宋体"/>
                <w:sz w:val="20"/>
                <w:szCs w:val="20"/>
              </w:rPr>
            </w:pPr>
            <w:r>
              <w:rPr>
                <w:rFonts w:ascii="宋体" w:hAnsi="宋体" w:eastAsia="宋体" w:cs="宋体"/>
                <w:spacing w:val="3"/>
                <w:sz w:val="20"/>
                <w:szCs w:val="20"/>
              </w:rPr>
              <w:t>四</w:t>
            </w:r>
            <w:r>
              <w:rPr>
                <w:rFonts w:ascii="宋体" w:hAnsi="宋体" w:eastAsia="宋体" w:cs="宋体"/>
                <w:spacing w:val="2"/>
                <w:sz w:val="20"/>
                <w:szCs w:val="20"/>
              </w:rPr>
              <w:t>氯乙烯</w:t>
            </w:r>
          </w:p>
        </w:tc>
        <w:tc>
          <w:tcPr>
            <w:tcW w:w="1651" w:type="dxa"/>
            <w:tcBorders>
              <w:left w:val="single" w:color="000000" w:sz="4" w:space="0"/>
              <w:right w:val="single" w:color="000000" w:sz="4" w:space="0"/>
            </w:tcBorders>
            <w:vAlign w:val="top"/>
          </w:tcPr>
          <w:p w14:paraId="190E8C7B">
            <w:pPr>
              <w:spacing w:before="19"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1.4μ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5D15FD94">
            <w:pPr>
              <w:spacing w:before="92" w:line="195" w:lineRule="auto"/>
              <w:ind w:left="364"/>
              <w:rPr>
                <w:rFonts w:ascii="Times New Roman" w:hAnsi="Times New Roman" w:eastAsia="Times New Roman" w:cs="Times New Roman"/>
                <w:sz w:val="20"/>
                <w:szCs w:val="20"/>
              </w:rPr>
            </w:pPr>
            <w:r>
              <w:rPr>
                <w:rFonts w:ascii="Times New Roman" w:hAnsi="Times New Roman" w:eastAsia="Times New Roman" w:cs="Times New Roman"/>
                <w:sz w:val="20"/>
                <w:szCs w:val="20"/>
              </w:rPr>
              <w:t>53</w:t>
            </w:r>
          </w:p>
        </w:tc>
        <w:tc>
          <w:tcPr>
            <w:tcW w:w="1226" w:type="dxa"/>
            <w:tcBorders>
              <w:left w:val="single" w:color="000000" w:sz="4" w:space="0"/>
              <w:right w:val="single" w:color="000000" w:sz="4" w:space="0"/>
            </w:tcBorders>
            <w:vAlign w:val="top"/>
          </w:tcPr>
          <w:p w14:paraId="22644436">
            <w:pPr>
              <w:spacing w:before="19"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2CA047B7">
            <w:pPr>
              <w:spacing w:before="92"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77F5077C">
            <w:pPr>
              <w:spacing w:before="92"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668B3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45355573">
            <w:pPr>
              <w:spacing w:before="93"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3</w:t>
            </w:r>
          </w:p>
        </w:tc>
        <w:tc>
          <w:tcPr>
            <w:tcW w:w="944" w:type="dxa"/>
            <w:vMerge w:val="continue"/>
            <w:tcBorders>
              <w:top w:val="nil"/>
              <w:left w:val="single" w:color="000000" w:sz="4" w:space="0"/>
              <w:bottom w:val="nil"/>
              <w:right w:val="single" w:color="000000" w:sz="4" w:space="0"/>
            </w:tcBorders>
            <w:vAlign w:val="top"/>
          </w:tcPr>
          <w:p w14:paraId="76C239DD">
            <w:pPr>
              <w:rPr>
                <w:rFonts w:ascii="Arial"/>
                <w:sz w:val="21"/>
              </w:rPr>
            </w:pPr>
          </w:p>
        </w:tc>
        <w:tc>
          <w:tcPr>
            <w:tcW w:w="1680" w:type="dxa"/>
            <w:tcBorders>
              <w:left w:val="single" w:color="000000" w:sz="4" w:space="0"/>
              <w:right w:val="single" w:color="000000" w:sz="4" w:space="0"/>
            </w:tcBorders>
            <w:vAlign w:val="top"/>
          </w:tcPr>
          <w:p w14:paraId="5577AB60">
            <w:pPr>
              <w:spacing w:before="58" w:line="233" w:lineRule="auto"/>
              <w:ind w:left="196"/>
              <w:rPr>
                <w:rFonts w:ascii="宋体" w:hAnsi="宋体" w:eastAsia="宋体" w:cs="宋体"/>
                <w:sz w:val="20"/>
                <w:szCs w:val="20"/>
              </w:rPr>
            </w:pPr>
            <w:r>
              <w:rPr>
                <w:rFonts w:ascii="Times New Roman" w:hAnsi="Times New Roman" w:eastAsia="Times New Roman" w:cs="Times New Roman"/>
                <w:spacing w:val="-10"/>
                <w:sz w:val="20"/>
                <w:szCs w:val="20"/>
              </w:rPr>
              <w:t>1</w:t>
            </w:r>
            <w:r>
              <w:rPr>
                <w:rFonts w:ascii="Times New Roman" w:hAnsi="Times New Roman" w:eastAsia="Times New Roman" w:cs="Times New Roman"/>
                <w:spacing w:val="-7"/>
                <w:sz w:val="20"/>
                <w:szCs w:val="20"/>
              </w:rPr>
              <w:t>,</w:t>
            </w:r>
            <w:r>
              <w:rPr>
                <w:rFonts w:ascii="Times New Roman" w:hAnsi="Times New Roman" w:eastAsia="Times New Roman" w:cs="Times New Roman"/>
                <w:spacing w:val="-5"/>
                <w:sz w:val="20"/>
                <w:szCs w:val="20"/>
              </w:rPr>
              <w:t xml:space="preserve"> 1, 1-</w:t>
            </w:r>
            <w:r>
              <w:rPr>
                <w:rFonts w:ascii="宋体" w:hAnsi="宋体" w:eastAsia="宋体" w:cs="宋体"/>
                <w:spacing w:val="-5"/>
                <w:sz w:val="20"/>
                <w:szCs w:val="20"/>
              </w:rPr>
              <w:t>三氯乙烷</w:t>
            </w:r>
          </w:p>
        </w:tc>
        <w:tc>
          <w:tcPr>
            <w:tcW w:w="1651" w:type="dxa"/>
            <w:tcBorders>
              <w:left w:val="single" w:color="000000" w:sz="4" w:space="0"/>
              <w:right w:val="single" w:color="000000" w:sz="4" w:space="0"/>
            </w:tcBorders>
            <w:vAlign w:val="top"/>
          </w:tcPr>
          <w:p w14:paraId="1AFA85E4">
            <w:pPr>
              <w:spacing w:before="20"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1.3μ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029E20FA">
            <w:pPr>
              <w:spacing w:before="93" w:line="195" w:lineRule="auto"/>
              <w:ind w:left="31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84</w:t>
            </w:r>
            <w:r>
              <w:rPr>
                <w:rFonts w:ascii="Times New Roman" w:hAnsi="Times New Roman" w:eastAsia="Times New Roman" w:cs="Times New Roman"/>
                <w:sz w:val="20"/>
                <w:szCs w:val="20"/>
              </w:rPr>
              <w:t>0</w:t>
            </w:r>
          </w:p>
        </w:tc>
        <w:tc>
          <w:tcPr>
            <w:tcW w:w="1226" w:type="dxa"/>
            <w:tcBorders>
              <w:left w:val="single" w:color="000000" w:sz="4" w:space="0"/>
              <w:right w:val="single" w:color="000000" w:sz="4" w:space="0"/>
            </w:tcBorders>
            <w:vAlign w:val="top"/>
          </w:tcPr>
          <w:p w14:paraId="38DEB54D">
            <w:pPr>
              <w:spacing w:before="20"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6A92C458">
            <w:pPr>
              <w:spacing w:before="93"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1ABF2DA2">
            <w:pPr>
              <w:spacing w:before="93"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E38F7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7AE31C9E">
            <w:pPr>
              <w:spacing w:before="93"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4</w:t>
            </w:r>
          </w:p>
        </w:tc>
        <w:tc>
          <w:tcPr>
            <w:tcW w:w="944" w:type="dxa"/>
            <w:vMerge w:val="continue"/>
            <w:tcBorders>
              <w:top w:val="nil"/>
              <w:left w:val="single" w:color="000000" w:sz="4" w:space="0"/>
              <w:bottom w:val="nil"/>
              <w:right w:val="single" w:color="000000" w:sz="4" w:space="0"/>
            </w:tcBorders>
            <w:vAlign w:val="top"/>
          </w:tcPr>
          <w:p w14:paraId="509D9FCC">
            <w:pPr>
              <w:rPr>
                <w:rFonts w:ascii="Arial"/>
                <w:sz w:val="21"/>
              </w:rPr>
            </w:pPr>
          </w:p>
        </w:tc>
        <w:tc>
          <w:tcPr>
            <w:tcW w:w="1680" w:type="dxa"/>
            <w:tcBorders>
              <w:left w:val="single" w:color="000000" w:sz="4" w:space="0"/>
              <w:right w:val="single" w:color="000000" w:sz="4" w:space="0"/>
            </w:tcBorders>
            <w:vAlign w:val="top"/>
          </w:tcPr>
          <w:p w14:paraId="2D004B0A">
            <w:pPr>
              <w:spacing w:before="58" w:line="233" w:lineRule="auto"/>
              <w:ind w:left="196"/>
              <w:rPr>
                <w:rFonts w:ascii="宋体" w:hAnsi="宋体" w:eastAsia="宋体" w:cs="宋体"/>
                <w:sz w:val="20"/>
                <w:szCs w:val="20"/>
              </w:rPr>
            </w:pPr>
            <w:r>
              <w:rPr>
                <w:rFonts w:ascii="Times New Roman" w:hAnsi="Times New Roman" w:eastAsia="Times New Roman" w:cs="Times New Roman"/>
                <w:spacing w:val="-2"/>
                <w:sz w:val="20"/>
                <w:szCs w:val="20"/>
              </w:rPr>
              <w:t>1, 1,2</w:t>
            </w:r>
            <w:r>
              <w:rPr>
                <w:rFonts w:ascii="Times New Roman" w:hAnsi="Times New Roman" w:eastAsia="Times New Roman" w:cs="Times New Roman"/>
                <w:spacing w:val="-1"/>
                <w:sz w:val="20"/>
                <w:szCs w:val="20"/>
              </w:rPr>
              <w:t>-</w:t>
            </w:r>
            <w:r>
              <w:rPr>
                <w:rFonts w:ascii="宋体" w:hAnsi="宋体" w:eastAsia="宋体" w:cs="宋体"/>
                <w:spacing w:val="-1"/>
                <w:sz w:val="20"/>
                <w:szCs w:val="20"/>
              </w:rPr>
              <w:t>三氯乙烷</w:t>
            </w:r>
          </w:p>
        </w:tc>
        <w:tc>
          <w:tcPr>
            <w:tcW w:w="1651" w:type="dxa"/>
            <w:tcBorders>
              <w:left w:val="single" w:color="000000" w:sz="4" w:space="0"/>
              <w:right w:val="single" w:color="000000" w:sz="4" w:space="0"/>
            </w:tcBorders>
            <w:vAlign w:val="top"/>
          </w:tcPr>
          <w:p w14:paraId="052F6EB2">
            <w:pPr>
              <w:spacing w:before="20"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1.2μ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2A3B9F11">
            <w:pPr>
              <w:spacing w:before="93" w:line="198" w:lineRule="auto"/>
              <w:ind w:left="33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5"/>
                <w:sz w:val="20"/>
                <w:szCs w:val="20"/>
              </w:rPr>
              <w:t>.8</w:t>
            </w:r>
          </w:p>
        </w:tc>
        <w:tc>
          <w:tcPr>
            <w:tcW w:w="1226" w:type="dxa"/>
            <w:tcBorders>
              <w:left w:val="single" w:color="000000" w:sz="4" w:space="0"/>
              <w:right w:val="single" w:color="000000" w:sz="4" w:space="0"/>
            </w:tcBorders>
            <w:vAlign w:val="top"/>
          </w:tcPr>
          <w:p w14:paraId="224F62AA">
            <w:pPr>
              <w:spacing w:before="20"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6ECB5986">
            <w:pPr>
              <w:spacing w:before="93"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090DDE60">
            <w:pPr>
              <w:spacing w:before="93"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52B27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532" w:type="dxa"/>
            <w:tcBorders>
              <w:left w:val="nil"/>
              <w:right w:val="single" w:color="000000" w:sz="4" w:space="0"/>
            </w:tcBorders>
            <w:vAlign w:val="top"/>
          </w:tcPr>
          <w:p w14:paraId="4EB2BF4E">
            <w:pPr>
              <w:spacing w:before="93"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5</w:t>
            </w:r>
          </w:p>
        </w:tc>
        <w:tc>
          <w:tcPr>
            <w:tcW w:w="944" w:type="dxa"/>
            <w:vMerge w:val="continue"/>
            <w:tcBorders>
              <w:top w:val="nil"/>
              <w:left w:val="single" w:color="000000" w:sz="4" w:space="0"/>
              <w:bottom w:val="nil"/>
              <w:right w:val="single" w:color="000000" w:sz="4" w:space="0"/>
            </w:tcBorders>
            <w:vAlign w:val="top"/>
          </w:tcPr>
          <w:p w14:paraId="786AECFF">
            <w:pPr>
              <w:rPr>
                <w:rFonts w:ascii="Arial"/>
                <w:sz w:val="21"/>
              </w:rPr>
            </w:pPr>
          </w:p>
        </w:tc>
        <w:tc>
          <w:tcPr>
            <w:tcW w:w="1680" w:type="dxa"/>
            <w:tcBorders>
              <w:left w:val="single" w:color="000000" w:sz="4" w:space="0"/>
              <w:right w:val="single" w:color="000000" w:sz="4" w:space="0"/>
            </w:tcBorders>
            <w:vAlign w:val="top"/>
          </w:tcPr>
          <w:p w14:paraId="7143B7AF">
            <w:pPr>
              <w:spacing w:before="57" w:line="228" w:lineRule="auto"/>
              <w:ind w:left="422"/>
              <w:rPr>
                <w:rFonts w:ascii="宋体" w:hAnsi="宋体" w:eastAsia="宋体" w:cs="宋体"/>
                <w:sz w:val="20"/>
                <w:szCs w:val="20"/>
              </w:rPr>
            </w:pPr>
            <w:r>
              <w:rPr>
                <w:rFonts w:ascii="宋体" w:hAnsi="宋体" w:eastAsia="宋体" w:cs="宋体"/>
                <w:spacing w:val="8"/>
                <w:sz w:val="20"/>
                <w:szCs w:val="20"/>
              </w:rPr>
              <w:t>三</w:t>
            </w:r>
            <w:r>
              <w:rPr>
                <w:rFonts w:ascii="宋体" w:hAnsi="宋体" w:eastAsia="宋体" w:cs="宋体"/>
                <w:spacing w:val="7"/>
                <w:sz w:val="20"/>
                <w:szCs w:val="20"/>
              </w:rPr>
              <w:t>氯乙烯</w:t>
            </w:r>
          </w:p>
        </w:tc>
        <w:tc>
          <w:tcPr>
            <w:tcW w:w="1651" w:type="dxa"/>
            <w:tcBorders>
              <w:left w:val="single" w:color="000000" w:sz="4" w:space="0"/>
              <w:right w:val="single" w:color="000000" w:sz="4" w:space="0"/>
            </w:tcBorders>
            <w:vAlign w:val="top"/>
          </w:tcPr>
          <w:p w14:paraId="4EEC0938">
            <w:pPr>
              <w:spacing w:before="19"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1.2μ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5C5C1C81">
            <w:pPr>
              <w:spacing w:before="93" w:line="198" w:lineRule="auto"/>
              <w:ind w:left="33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5"/>
                <w:sz w:val="20"/>
                <w:szCs w:val="20"/>
              </w:rPr>
              <w:t>.8</w:t>
            </w:r>
          </w:p>
        </w:tc>
        <w:tc>
          <w:tcPr>
            <w:tcW w:w="1226" w:type="dxa"/>
            <w:tcBorders>
              <w:left w:val="single" w:color="000000" w:sz="4" w:space="0"/>
              <w:right w:val="single" w:color="000000" w:sz="4" w:space="0"/>
            </w:tcBorders>
            <w:vAlign w:val="top"/>
          </w:tcPr>
          <w:p w14:paraId="08464BD7">
            <w:pPr>
              <w:spacing w:before="19"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56726FE1">
            <w:pPr>
              <w:spacing w:before="93"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7FB4FDB3">
            <w:pPr>
              <w:spacing w:before="93"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5CB627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5F8AF7A6">
            <w:pPr>
              <w:spacing w:before="94"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6</w:t>
            </w:r>
          </w:p>
        </w:tc>
        <w:tc>
          <w:tcPr>
            <w:tcW w:w="944" w:type="dxa"/>
            <w:vMerge w:val="continue"/>
            <w:tcBorders>
              <w:top w:val="nil"/>
              <w:left w:val="single" w:color="000000" w:sz="4" w:space="0"/>
              <w:bottom w:val="nil"/>
              <w:right w:val="single" w:color="000000" w:sz="4" w:space="0"/>
            </w:tcBorders>
            <w:vAlign w:val="top"/>
          </w:tcPr>
          <w:p w14:paraId="285DAFFA">
            <w:pPr>
              <w:rPr>
                <w:rFonts w:ascii="Arial"/>
                <w:sz w:val="21"/>
              </w:rPr>
            </w:pPr>
          </w:p>
        </w:tc>
        <w:tc>
          <w:tcPr>
            <w:tcW w:w="1680" w:type="dxa"/>
            <w:tcBorders>
              <w:left w:val="single" w:color="000000" w:sz="4" w:space="0"/>
              <w:right w:val="single" w:color="000000" w:sz="4" w:space="0"/>
            </w:tcBorders>
            <w:vAlign w:val="top"/>
          </w:tcPr>
          <w:p w14:paraId="14FA7207">
            <w:pPr>
              <w:spacing w:before="58" w:line="233" w:lineRule="auto"/>
              <w:ind w:left="196"/>
              <w:rPr>
                <w:rFonts w:ascii="宋体" w:hAnsi="宋体" w:eastAsia="宋体" w:cs="宋体"/>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,2,3-</w:t>
            </w:r>
            <w:r>
              <w:rPr>
                <w:rFonts w:ascii="宋体" w:hAnsi="宋体" w:eastAsia="宋体" w:cs="宋体"/>
                <w:spacing w:val="3"/>
                <w:sz w:val="20"/>
                <w:szCs w:val="20"/>
              </w:rPr>
              <w:t>三氯丙烷</w:t>
            </w:r>
          </w:p>
        </w:tc>
        <w:tc>
          <w:tcPr>
            <w:tcW w:w="1651" w:type="dxa"/>
            <w:tcBorders>
              <w:left w:val="single" w:color="000000" w:sz="4" w:space="0"/>
              <w:right w:val="single" w:color="000000" w:sz="4" w:space="0"/>
            </w:tcBorders>
            <w:vAlign w:val="top"/>
          </w:tcPr>
          <w:p w14:paraId="2D8236EA">
            <w:pPr>
              <w:spacing w:before="20"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1.2μ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3A414D96">
            <w:pPr>
              <w:spacing w:before="94" w:line="195" w:lineRule="auto"/>
              <w:ind w:left="33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.5</w:t>
            </w:r>
          </w:p>
        </w:tc>
        <w:tc>
          <w:tcPr>
            <w:tcW w:w="1226" w:type="dxa"/>
            <w:tcBorders>
              <w:left w:val="single" w:color="000000" w:sz="4" w:space="0"/>
              <w:right w:val="single" w:color="000000" w:sz="4" w:space="0"/>
            </w:tcBorders>
            <w:vAlign w:val="top"/>
          </w:tcPr>
          <w:p w14:paraId="73E44773">
            <w:pPr>
              <w:spacing w:before="20"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2850F7C9">
            <w:pPr>
              <w:spacing w:before="94"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31237D22">
            <w:pPr>
              <w:spacing w:before="94"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E6A2C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532" w:type="dxa"/>
            <w:tcBorders>
              <w:left w:val="nil"/>
              <w:right w:val="single" w:color="000000" w:sz="4" w:space="0"/>
            </w:tcBorders>
            <w:vAlign w:val="top"/>
          </w:tcPr>
          <w:p w14:paraId="01197F99">
            <w:pPr>
              <w:spacing w:before="96"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7</w:t>
            </w:r>
          </w:p>
        </w:tc>
        <w:tc>
          <w:tcPr>
            <w:tcW w:w="944" w:type="dxa"/>
            <w:vMerge w:val="continue"/>
            <w:tcBorders>
              <w:top w:val="nil"/>
              <w:left w:val="single" w:color="000000" w:sz="4" w:space="0"/>
              <w:bottom w:val="nil"/>
              <w:right w:val="single" w:color="000000" w:sz="4" w:space="0"/>
            </w:tcBorders>
            <w:vAlign w:val="top"/>
          </w:tcPr>
          <w:p w14:paraId="430B6F82">
            <w:pPr>
              <w:rPr>
                <w:rFonts w:ascii="Arial"/>
                <w:sz w:val="21"/>
              </w:rPr>
            </w:pPr>
          </w:p>
        </w:tc>
        <w:tc>
          <w:tcPr>
            <w:tcW w:w="1680" w:type="dxa"/>
            <w:tcBorders>
              <w:left w:val="single" w:color="000000" w:sz="4" w:space="0"/>
              <w:right w:val="single" w:color="000000" w:sz="4" w:space="0"/>
            </w:tcBorders>
            <w:vAlign w:val="top"/>
          </w:tcPr>
          <w:p w14:paraId="67431A9E">
            <w:pPr>
              <w:spacing w:before="60" w:line="228" w:lineRule="auto"/>
              <w:ind w:left="531"/>
              <w:rPr>
                <w:rFonts w:ascii="宋体" w:hAnsi="宋体" w:eastAsia="宋体" w:cs="宋体"/>
                <w:sz w:val="20"/>
                <w:szCs w:val="20"/>
              </w:rPr>
            </w:pPr>
            <w:r>
              <w:rPr>
                <w:rFonts w:ascii="宋体" w:hAnsi="宋体" w:eastAsia="宋体" w:cs="宋体"/>
                <w:spacing w:val="6"/>
                <w:sz w:val="20"/>
                <w:szCs w:val="20"/>
              </w:rPr>
              <w:t>氯乙</w:t>
            </w:r>
            <w:r>
              <w:rPr>
                <w:rFonts w:ascii="宋体" w:hAnsi="宋体" w:eastAsia="宋体" w:cs="宋体"/>
                <w:spacing w:val="5"/>
                <w:sz w:val="20"/>
                <w:szCs w:val="20"/>
              </w:rPr>
              <w:t>烯</w:t>
            </w:r>
          </w:p>
        </w:tc>
        <w:tc>
          <w:tcPr>
            <w:tcW w:w="1651" w:type="dxa"/>
            <w:tcBorders>
              <w:left w:val="single" w:color="000000" w:sz="4" w:space="0"/>
              <w:right w:val="single" w:color="000000" w:sz="4" w:space="0"/>
            </w:tcBorders>
            <w:vAlign w:val="top"/>
          </w:tcPr>
          <w:p w14:paraId="39F1AAA1">
            <w:pPr>
              <w:spacing w:before="20"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1.0μ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1F863769">
            <w:pPr>
              <w:spacing w:before="96" w:line="195" w:lineRule="auto"/>
              <w:ind w:left="28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.43</w:t>
            </w:r>
          </w:p>
        </w:tc>
        <w:tc>
          <w:tcPr>
            <w:tcW w:w="1226" w:type="dxa"/>
            <w:tcBorders>
              <w:left w:val="single" w:color="000000" w:sz="4" w:space="0"/>
              <w:right w:val="single" w:color="000000" w:sz="4" w:space="0"/>
            </w:tcBorders>
            <w:vAlign w:val="top"/>
          </w:tcPr>
          <w:p w14:paraId="7B3992C2">
            <w:pPr>
              <w:spacing w:before="22"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7E3CD3D9">
            <w:pPr>
              <w:spacing w:before="96"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08F2F3C8">
            <w:pPr>
              <w:spacing w:before="96"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673DC4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5E989D79">
            <w:pPr>
              <w:spacing w:before="97"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8</w:t>
            </w:r>
          </w:p>
        </w:tc>
        <w:tc>
          <w:tcPr>
            <w:tcW w:w="944" w:type="dxa"/>
            <w:vMerge w:val="continue"/>
            <w:tcBorders>
              <w:top w:val="nil"/>
              <w:left w:val="single" w:color="000000" w:sz="4" w:space="0"/>
              <w:bottom w:val="nil"/>
              <w:right w:val="single" w:color="000000" w:sz="4" w:space="0"/>
            </w:tcBorders>
            <w:vAlign w:val="top"/>
          </w:tcPr>
          <w:p w14:paraId="63C6A160">
            <w:pPr>
              <w:rPr>
                <w:rFonts w:ascii="Arial"/>
                <w:sz w:val="21"/>
              </w:rPr>
            </w:pPr>
          </w:p>
        </w:tc>
        <w:tc>
          <w:tcPr>
            <w:tcW w:w="1680" w:type="dxa"/>
            <w:tcBorders>
              <w:left w:val="single" w:color="000000" w:sz="4" w:space="0"/>
              <w:right w:val="single" w:color="000000" w:sz="4" w:space="0"/>
            </w:tcBorders>
            <w:vAlign w:val="top"/>
          </w:tcPr>
          <w:p w14:paraId="43723853">
            <w:pPr>
              <w:spacing w:before="61" w:line="227" w:lineRule="auto"/>
              <w:ind w:left="741"/>
              <w:rPr>
                <w:rFonts w:ascii="宋体" w:hAnsi="宋体" w:eastAsia="宋体" w:cs="宋体"/>
                <w:sz w:val="20"/>
                <w:szCs w:val="20"/>
              </w:rPr>
            </w:pPr>
            <w:r>
              <w:rPr>
                <w:rFonts w:ascii="宋体" w:hAnsi="宋体" w:eastAsia="宋体" w:cs="宋体"/>
                <w:sz w:val="20"/>
                <w:szCs w:val="20"/>
              </w:rPr>
              <w:t>苯</w:t>
            </w:r>
          </w:p>
        </w:tc>
        <w:tc>
          <w:tcPr>
            <w:tcW w:w="1651" w:type="dxa"/>
            <w:tcBorders>
              <w:left w:val="single" w:color="000000" w:sz="4" w:space="0"/>
              <w:right w:val="single" w:color="000000" w:sz="4" w:space="0"/>
            </w:tcBorders>
            <w:vAlign w:val="top"/>
          </w:tcPr>
          <w:p w14:paraId="45058663">
            <w:pPr>
              <w:spacing w:before="23" w:line="281" w:lineRule="exact"/>
              <w:ind w:left="398"/>
              <w:rPr>
                <w:rFonts w:ascii="Times New Roman" w:hAnsi="Times New Roman" w:eastAsia="Times New Roman" w:cs="Times New Roman"/>
                <w:sz w:val="20"/>
                <w:szCs w:val="20"/>
              </w:rPr>
            </w:pPr>
            <w:r>
              <w:rPr>
                <w:rFonts w:ascii="Times New Roman" w:hAnsi="Times New Roman" w:eastAsia="Times New Roman" w:cs="Times New Roman"/>
                <w:spacing w:val="9"/>
                <w:position w:val="2"/>
                <w:sz w:val="20"/>
                <w:szCs w:val="20"/>
              </w:rPr>
              <w:t>4</w:t>
            </w:r>
            <w:r>
              <w:rPr>
                <w:rFonts w:ascii="Times New Roman" w:hAnsi="Times New Roman" w:eastAsia="Times New Roman" w:cs="Times New Roman"/>
                <w:spacing w:val="5"/>
                <w:position w:val="2"/>
                <w:sz w:val="20"/>
                <w:szCs w:val="20"/>
              </w:rPr>
              <w:t>0.9μ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5"/>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3B940C64">
            <w:pPr>
              <w:spacing w:before="97" w:line="195" w:lineRule="auto"/>
              <w:ind w:left="41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226" w:type="dxa"/>
            <w:tcBorders>
              <w:left w:val="single" w:color="000000" w:sz="4" w:space="0"/>
              <w:right w:val="single" w:color="000000" w:sz="4" w:space="0"/>
            </w:tcBorders>
            <w:vAlign w:val="top"/>
          </w:tcPr>
          <w:p w14:paraId="58FE8FE1">
            <w:pPr>
              <w:spacing w:before="97" w:line="195" w:lineRule="auto"/>
              <w:ind w:left="43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0.01</w:t>
            </w:r>
          </w:p>
        </w:tc>
        <w:tc>
          <w:tcPr>
            <w:tcW w:w="705" w:type="dxa"/>
            <w:tcBorders>
              <w:left w:val="single" w:color="000000" w:sz="4" w:space="0"/>
            </w:tcBorders>
            <w:vAlign w:val="top"/>
          </w:tcPr>
          <w:p w14:paraId="1334B34E">
            <w:pPr>
              <w:spacing w:before="97"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589975F5">
            <w:pPr>
              <w:spacing w:before="97"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5A570C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7F2F4021">
            <w:pPr>
              <w:spacing w:before="96"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9</w:t>
            </w:r>
          </w:p>
        </w:tc>
        <w:tc>
          <w:tcPr>
            <w:tcW w:w="944" w:type="dxa"/>
            <w:vMerge w:val="continue"/>
            <w:tcBorders>
              <w:top w:val="nil"/>
              <w:left w:val="single" w:color="000000" w:sz="4" w:space="0"/>
              <w:bottom w:val="nil"/>
              <w:right w:val="single" w:color="000000" w:sz="4" w:space="0"/>
            </w:tcBorders>
            <w:vAlign w:val="top"/>
          </w:tcPr>
          <w:p w14:paraId="2DC31E21">
            <w:pPr>
              <w:rPr>
                <w:rFonts w:ascii="Arial"/>
                <w:sz w:val="21"/>
              </w:rPr>
            </w:pPr>
          </w:p>
        </w:tc>
        <w:tc>
          <w:tcPr>
            <w:tcW w:w="1680" w:type="dxa"/>
            <w:tcBorders>
              <w:left w:val="single" w:color="000000" w:sz="4" w:space="0"/>
              <w:right w:val="single" w:color="000000" w:sz="4" w:space="0"/>
            </w:tcBorders>
            <w:vAlign w:val="top"/>
          </w:tcPr>
          <w:p w14:paraId="365C208A">
            <w:pPr>
              <w:spacing w:before="60" w:line="227" w:lineRule="auto"/>
              <w:ind w:left="636"/>
              <w:rPr>
                <w:rFonts w:ascii="宋体" w:hAnsi="宋体" w:eastAsia="宋体" w:cs="宋体"/>
                <w:sz w:val="20"/>
                <w:szCs w:val="20"/>
              </w:rPr>
            </w:pPr>
            <w:r>
              <w:rPr>
                <w:rFonts w:ascii="宋体" w:hAnsi="宋体" w:eastAsia="宋体" w:cs="宋体"/>
                <w:spacing w:val="3"/>
                <w:sz w:val="20"/>
                <w:szCs w:val="20"/>
              </w:rPr>
              <w:t>氯苯</w:t>
            </w:r>
          </w:p>
        </w:tc>
        <w:tc>
          <w:tcPr>
            <w:tcW w:w="1651" w:type="dxa"/>
            <w:tcBorders>
              <w:left w:val="single" w:color="000000" w:sz="4" w:space="0"/>
              <w:right w:val="single" w:color="000000" w:sz="4" w:space="0"/>
            </w:tcBorders>
            <w:vAlign w:val="top"/>
          </w:tcPr>
          <w:p w14:paraId="56DC1D5B">
            <w:pPr>
              <w:spacing w:before="21"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1.2μ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0CDDC51D">
            <w:pPr>
              <w:spacing w:before="96" w:line="195" w:lineRule="auto"/>
              <w:ind w:left="305"/>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70</w:t>
            </w:r>
          </w:p>
        </w:tc>
        <w:tc>
          <w:tcPr>
            <w:tcW w:w="1226" w:type="dxa"/>
            <w:tcBorders>
              <w:left w:val="single" w:color="000000" w:sz="4" w:space="0"/>
              <w:right w:val="single" w:color="000000" w:sz="4" w:space="0"/>
            </w:tcBorders>
            <w:vAlign w:val="top"/>
          </w:tcPr>
          <w:p w14:paraId="2150A9CA">
            <w:pPr>
              <w:spacing w:before="23"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515CE56D">
            <w:pPr>
              <w:spacing w:before="96"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01050A0B">
            <w:pPr>
              <w:spacing w:before="96"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57F3B1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6319B900">
            <w:pPr>
              <w:spacing w:before="96"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0</w:t>
            </w:r>
          </w:p>
        </w:tc>
        <w:tc>
          <w:tcPr>
            <w:tcW w:w="944" w:type="dxa"/>
            <w:vMerge w:val="continue"/>
            <w:tcBorders>
              <w:top w:val="nil"/>
              <w:left w:val="single" w:color="000000" w:sz="4" w:space="0"/>
              <w:bottom w:val="nil"/>
              <w:right w:val="single" w:color="000000" w:sz="4" w:space="0"/>
            </w:tcBorders>
            <w:vAlign w:val="top"/>
          </w:tcPr>
          <w:p w14:paraId="1568F110">
            <w:pPr>
              <w:rPr>
                <w:rFonts w:ascii="Arial"/>
                <w:sz w:val="21"/>
              </w:rPr>
            </w:pPr>
          </w:p>
        </w:tc>
        <w:tc>
          <w:tcPr>
            <w:tcW w:w="1680" w:type="dxa"/>
            <w:tcBorders>
              <w:left w:val="single" w:color="000000" w:sz="4" w:space="0"/>
              <w:right w:val="single" w:color="000000" w:sz="4" w:space="0"/>
            </w:tcBorders>
            <w:vAlign w:val="top"/>
          </w:tcPr>
          <w:p w14:paraId="7D75C626">
            <w:pPr>
              <w:spacing w:before="60" w:line="232" w:lineRule="auto"/>
              <w:ind w:left="378"/>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w:t>
            </w:r>
            <w:r>
              <w:rPr>
                <w:rFonts w:ascii="宋体" w:hAnsi="宋体" w:eastAsia="宋体" w:cs="宋体"/>
                <w:spacing w:val="2"/>
                <w:sz w:val="20"/>
                <w:szCs w:val="20"/>
              </w:rPr>
              <w:t>二氯苯</w:t>
            </w:r>
          </w:p>
        </w:tc>
        <w:tc>
          <w:tcPr>
            <w:tcW w:w="1651" w:type="dxa"/>
            <w:tcBorders>
              <w:left w:val="single" w:color="000000" w:sz="4" w:space="0"/>
              <w:right w:val="single" w:color="000000" w:sz="4" w:space="0"/>
            </w:tcBorders>
            <w:vAlign w:val="top"/>
          </w:tcPr>
          <w:p w14:paraId="714FF26B">
            <w:pPr>
              <w:spacing w:before="20"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1.5μ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2494C5E2">
            <w:pPr>
              <w:spacing w:before="96" w:line="195" w:lineRule="auto"/>
              <w:ind w:left="3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56</w:t>
            </w:r>
            <w:r>
              <w:rPr>
                <w:rFonts w:ascii="Times New Roman" w:hAnsi="Times New Roman" w:eastAsia="Times New Roman" w:cs="Times New Roman"/>
                <w:spacing w:val="1"/>
                <w:sz w:val="20"/>
                <w:szCs w:val="20"/>
              </w:rPr>
              <w:t>0</w:t>
            </w:r>
          </w:p>
        </w:tc>
        <w:tc>
          <w:tcPr>
            <w:tcW w:w="1226" w:type="dxa"/>
            <w:tcBorders>
              <w:left w:val="single" w:color="000000" w:sz="4" w:space="0"/>
              <w:right w:val="single" w:color="000000" w:sz="4" w:space="0"/>
            </w:tcBorders>
            <w:vAlign w:val="top"/>
          </w:tcPr>
          <w:p w14:paraId="4B2AB0DD">
            <w:pPr>
              <w:spacing w:before="23"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56257544">
            <w:pPr>
              <w:spacing w:before="96"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06CA0290">
            <w:pPr>
              <w:spacing w:before="96"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141261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3C527CF4">
            <w:pPr>
              <w:spacing w:before="96"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1</w:t>
            </w:r>
          </w:p>
        </w:tc>
        <w:tc>
          <w:tcPr>
            <w:tcW w:w="944" w:type="dxa"/>
            <w:vMerge w:val="continue"/>
            <w:tcBorders>
              <w:top w:val="nil"/>
              <w:left w:val="single" w:color="000000" w:sz="4" w:space="0"/>
              <w:bottom w:val="nil"/>
              <w:right w:val="single" w:color="000000" w:sz="4" w:space="0"/>
            </w:tcBorders>
            <w:vAlign w:val="top"/>
          </w:tcPr>
          <w:p w14:paraId="42985191">
            <w:pPr>
              <w:rPr>
                <w:rFonts w:ascii="Arial"/>
                <w:sz w:val="21"/>
              </w:rPr>
            </w:pPr>
          </w:p>
        </w:tc>
        <w:tc>
          <w:tcPr>
            <w:tcW w:w="1680" w:type="dxa"/>
            <w:tcBorders>
              <w:left w:val="single" w:color="000000" w:sz="4" w:space="0"/>
              <w:right w:val="single" w:color="000000" w:sz="4" w:space="0"/>
            </w:tcBorders>
            <w:vAlign w:val="top"/>
          </w:tcPr>
          <w:p w14:paraId="5C6A8A37">
            <w:pPr>
              <w:spacing w:before="60" w:line="232" w:lineRule="auto"/>
              <w:ind w:left="378"/>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4</w:t>
            </w:r>
            <w:r>
              <w:rPr>
                <w:rFonts w:ascii="Times New Roman" w:hAnsi="Times New Roman" w:eastAsia="Times New Roman" w:cs="Times New Roman"/>
                <w:spacing w:val="2"/>
                <w:sz w:val="20"/>
                <w:szCs w:val="20"/>
              </w:rPr>
              <w:t>-</w:t>
            </w:r>
            <w:r>
              <w:rPr>
                <w:rFonts w:ascii="宋体" w:hAnsi="宋体" w:eastAsia="宋体" w:cs="宋体"/>
                <w:spacing w:val="2"/>
                <w:sz w:val="20"/>
                <w:szCs w:val="20"/>
              </w:rPr>
              <w:t>二氯苯</w:t>
            </w:r>
          </w:p>
        </w:tc>
        <w:tc>
          <w:tcPr>
            <w:tcW w:w="1651" w:type="dxa"/>
            <w:tcBorders>
              <w:left w:val="single" w:color="000000" w:sz="4" w:space="0"/>
              <w:right w:val="single" w:color="000000" w:sz="4" w:space="0"/>
            </w:tcBorders>
            <w:vAlign w:val="top"/>
          </w:tcPr>
          <w:p w14:paraId="37694469">
            <w:pPr>
              <w:spacing w:before="20" w:line="281" w:lineRule="exact"/>
              <w:ind w:left="365"/>
              <w:rPr>
                <w:rFonts w:ascii="Times New Roman" w:hAnsi="Times New Roman" w:eastAsia="Times New Roman" w:cs="Times New Roman"/>
                <w:sz w:val="20"/>
                <w:szCs w:val="20"/>
              </w:rPr>
            </w:pPr>
            <w:r>
              <w:rPr>
                <w:rFonts w:ascii="宋体" w:hAnsi="宋体" w:eastAsia="宋体" w:cs="宋体"/>
                <w:spacing w:val="5"/>
                <w:position w:val="2"/>
                <w:sz w:val="20"/>
                <w:szCs w:val="20"/>
              </w:rPr>
              <w:t>＜</w:t>
            </w:r>
            <w:r>
              <w:rPr>
                <w:rFonts w:ascii="Times New Roman" w:hAnsi="Times New Roman" w:eastAsia="Times New Roman" w:cs="Times New Roman"/>
                <w:spacing w:val="3"/>
                <w:position w:val="2"/>
                <w:sz w:val="20"/>
                <w:szCs w:val="20"/>
              </w:rPr>
              <w:t>1.5μ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3"/>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0F9B46BF">
            <w:pPr>
              <w:spacing w:before="96" w:line="195" w:lineRule="auto"/>
              <w:ind w:left="3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0</w:t>
            </w:r>
          </w:p>
        </w:tc>
        <w:tc>
          <w:tcPr>
            <w:tcW w:w="1226" w:type="dxa"/>
            <w:tcBorders>
              <w:left w:val="single" w:color="000000" w:sz="4" w:space="0"/>
              <w:right w:val="single" w:color="000000" w:sz="4" w:space="0"/>
            </w:tcBorders>
            <w:vAlign w:val="top"/>
          </w:tcPr>
          <w:p w14:paraId="313CE6A0">
            <w:pPr>
              <w:spacing w:before="23"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0CA16C0F">
            <w:pPr>
              <w:spacing w:before="96"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36CFACC6">
            <w:pPr>
              <w:spacing w:before="96"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1FDC9C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6BDDB773">
            <w:pPr>
              <w:spacing w:before="96"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2</w:t>
            </w:r>
          </w:p>
        </w:tc>
        <w:tc>
          <w:tcPr>
            <w:tcW w:w="944" w:type="dxa"/>
            <w:vMerge w:val="continue"/>
            <w:tcBorders>
              <w:top w:val="nil"/>
              <w:left w:val="single" w:color="000000" w:sz="4" w:space="0"/>
              <w:bottom w:val="nil"/>
              <w:right w:val="single" w:color="000000" w:sz="4" w:space="0"/>
            </w:tcBorders>
            <w:vAlign w:val="top"/>
          </w:tcPr>
          <w:p w14:paraId="2F3AE768">
            <w:pPr>
              <w:rPr>
                <w:rFonts w:ascii="Arial"/>
                <w:sz w:val="21"/>
              </w:rPr>
            </w:pPr>
          </w:p>
        </w:tc>
        <w:tc>
          <w:tcPr>
            <w:tcW w:w="1680" w:type="dxa"/>
            <w:tcBorders>
              <w:left w:val="single" w:color="000000" w:sz="4" w:space="0"/>
              <w:right w:val="single" w:color="000000" w:sz="4" w:space="0"/>
            </w:tcBorders>
            <w:vAlign w:val="top"/>
          </w:tcPr>
          <w:p w14:paraId="707A1591">
            <w:pPr>
              <w:spacing w:before="60" w:line="227" w:lineRule="auto"/>
              <w:ind w:left="653"/>
              <w:rPr>
                <w:rFonts w:ascii="宋体" w:hAnsi="宋体" w:eastAsia="宋体" w:cs="宋体"/>
                <w:sz w:val="20"/>
                <w:szCs w:val="20"/>
              </w:rPr>
            </w:pPr>
            <w:r>
              <w:rPr>
                <w:rFonts w:ascii="宋体" w:hAnsi="宋体" w:eastAsia="宋体" w:cs="宋体"/>
                <w:spacing w:val="-6"/>
                <w:sz w:val="20"/>
                <w:szCs w:val="20"/>
              </w:rPr>
              <w:t>乙</w:t>
            </w:r>
            <w:r>
              <w:rPr>
                <w:rFonts w:ascii="宋体" w:hAnsi="宋体" w:eastAsia="宋体" w:cs="宋体"/>
                <w:spacing w:val="-5"/>
                <w:sz w:val="20"/>
                <w:szCs w:val="20"/>
              </w:rPr>
              <w:t>苯</w:t>
            </w:r>
          </w:p>
        </w:tc>
        <w:tc>
          <w:tcPr>
            <w:tcW w:w="1651" w:type="dxa"/>
            <w:tcBorders>
              <w:left w:val="single" w:color="000000" w:sz="4" w:space="0"/>
              <w:right w:val="single" w:color="000000" w:sz="4" w:space="0"/>
            </w:tcBorders>
            <w:vAlign w:val="top"/>
          </w:tcPr>
          <w:p w14:paraId="7BC86164">
            <w:pPr>
              <w:spacing w:before="22" w:line="281" w:lineRule="exact"/>
              <w:ind w:left="403"/>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63.6μ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2BE4CA49">
            <w:pPr>
              <w:spacing w:before="96" w:line="195" w:lineRule="auto"/>
              <w:ind w:left="3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8</w:t>
            </w:r>
          </w:p>
        </w:tc>
        <w:tc>
          <w:tcPr>
            <w:tcW w:w="1226" w:type="dxa"/>
            <w:tcBorders>
              <w:left w:val="single" w:color="000000" w:sz="4" w:space="0"/>
              <w:right w:val="single" w:color="000000" w:sz="4" w:space="0"/>
            </w:tcBorders>
            <w:vAlign w:val="top"/>
          </w:tcPr>
          <w:p w14:paraId="24B1B7F9">
            <w:pPr>
              <w:spacing w:before="96"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.002</w:t>
            </w:r>
          </w:p>
        </w:tc>
        <w:tc>
          <w:tcPr>
            <w:tcW w:w="705" w:type="dxa"/>
            <w:tcBorders>
              <w:left w:val="single" w:color="000000" w:sz="4" w:space="0"/>
            </w:tcBorders>
            <w:vAlign w:val="top"/>
          </w:tcPr>
          <w:p w14:paraId="11E32492">
            <w:pPr>
              <w:spacing w:before="96"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0D447CC6">
            <w:pPr>
              <w:spacing w:before="96"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210DFE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0A7C0A44">
            <w:pPr>
              <w:spacing w:before="96"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3</w:t>
            </w:r>
          </w:p>
        </w:tc>
        <w:tc>
          <w:tcPr>
            <w:tcW w:w="944" w:type="dxa"/>
            <w:vMerge w:val="continue"/>
            <w:tcBorders>
              <w:top w:val="nil"/>
              <w:left w:val="single" w:color="000000" w:sz="4" w:space="0"/>
              <w:bottom w:val="nil"/>
              <w:right w:val="single" w:color="000000" w:sz="4" w:space="0"/>
            </w:tcBorders>
            <w:vAlign w:val="top"/>
          </w:tcPr>
          <w:p w14:paraId="5C42DEC1">
            <w:pPr>
              <w:rPr>
                <w:rFonts w:ascii="Arial"/>
                <w:sz w:val="21"/>
              </w:rPr>
            </w:pPr>
          </w:p>
        </w:tc>
        <w:tc>
          <w:tcPr>
            <w:tcW w:w="1680" w:type="dxa"/>
            <w:tcBorders>
              <w:left w:val="single" w:color="000000" w:sz="4" w:space="0"/>
              <w:right w:val="single" w:color="000000" w:sz="4" w:space="0"/>
            </w:tcBorders>
            <w:vAlign w:val="top"/>
          </w:tcPr>
          <w:p w14:paraId="109DAC03">
            <w:pPr>
              <w:spacing w:before="60" w:line="227" w:lineRule="auto"/>
              <w:ind w:left="530"/>
              <w:rPr>
                <w:rFonts w:ascii="宋体" w:hAnsi="宋体" w:eastAsia="宋体" w:cs="宋体"/>
                <w:sz w:val="20"/>
                <w:szCs w:val="20"/>
              </w:rPr>
            </w:pPr>
            <w:r>
              <w:rPr>
                <w:rFonts w:ascii="宋体" w:hAnsi="宋体" w:eastAsia="宋体" w:cs="宋体"/>
                <w:spacing w:val="6"/>
                <w:sz w:val="20"/>
                <w:szCs w:val="20"/>
              </w:rPr>
              <w:t>苯乙烯</w:t>
            </w:r>
          </w:p>
        </w:tc>
        <w:tc>
          <w:tcPr>
            <w:tcW w:w="1651" w:type="dxa"/>
            <w:tcBorders>
              <w:left w:val="single" w:color="000000" w:sz="4" w:space="0"/>
              <w:right w:val="single" w:color="000000" w:sz="4" w:space="0"/>
            </w:tcBorders>
            <w:vAlign w:val="top"/>
          </w:tcPr>
          <w:p w14:paraId="23839C4D">
            <w:pPr>
              <w:spacing w:before="22" w:line="281" w:lineRule="exact"/>
              <w:ind w:left="403"/>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60.5μ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632A1437">
            <w:pPr>
              <w:spacing w:before="96"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12</w:t>
            </w:r>
            <w:r>
              <w:rPr>
                <w:rFonts w:ascii="Times New Roman" w:hAnsi="Times New Roman" w:eastAsia="Times New Roman" w:cs="Times New Roman"/>
                <w:spacing w:val="-1"/>
                <w:sz w:val="20"/>
                <w:szCs w:val="20"/>
              </w:rPr>
              <w:t>90</w:t>
            </w:r>
          </w:p>
        </w:tc>
        <w:tc>
          <w:tcPr>
            <w:tcW w:w="1226" w:type="dxa"/>
            <w:tcBorders>
              <w:left w:val="single" w:color="000000" w:sz="4" w:space="0"/>
              <w:right w:val="single" w:color="000000" w:sz="4" w:space="0"/>
            </w:tcBorders>
            <w:vAlign w:val="top"/>
          </w:tcPr>
          <w:p w14:paraId="79A31392">
            <w:pPr>
              <w:spacing w:before="96" w:line="195" w:lineRule="auto"/>
              <w:ind w:left="27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00005</w:t>
            </w:r>
          </w:p>
        </w:tc>
        <w:tc>
          <w:tcPr>
            <w:tcW w:w="705" w:type="dxa"/>
            <w:tcBorders>
              <w:left w:val="single" w:color="000000" w:sz="4" w:space="0"/>
            </w:tcBorders>
            <w:vAlign w:val="top"/>
          </w:tcPr>
          <w:p w14:paraId="5DB1EA7F">
            <w:pPr>
              <w:spacing w:before="96"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35021AF3">
            <w:pPr>
              <w:spacing w:before="96"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38F593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32A45296">
            <w:pPr>
              <w:spacing w:before="95"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4</w:t>
            </w:r>
          </w:p>
        </w:tc>
        <w:tc>
          <w:tcPr>
            <w:tcW w:w="944" w:type="dxa"/>
            <w:vMerge w:val="continue"/>
            <w:tcBorders>
              <w:top w:val="nil"/>
              <w:left w:val="single" w:color="000000" w:sz="4" w:space="0"/>
              <w:bottom w:val="nil"/>
              <w:right w:val="single" w:color="000000" w:sz="4" w:space="0"/>
            </w:tcBorders>
            <w:vAlign w:val="top"/>
          </w:tcPr>
          <w:p w14:paraId="7F433473">
            <w:pPr>
              <w:rPr>
                <w:rFonts w:ascii="Arial"/>
                <w:sz w:val="21"/>
              </w:rPr>
            </w:pPr>
          </w:p>
        </w:tc>
        <w:tc>
          <w:tcPr>
            <w:tcW w:w="1680" w:type="dxa"/>
            <w:tcBorders>
              <w:left w:val="single" w:color="000000" w:sz="4" w:space="0"/>
              <w:right w:val="single" w:color="000000" w:sz="4" w:space="0"/>
            </w:tcBorders>
            <w:vAlign w:val="top"/>
          </w:tcPr>
          <w:p w14:paraId="18582E27">
            <w:pPr>
              <w:spacing w:before="59" w:line="227" w:lineRule="auto"/>
              <w:ind w:left="660"/>
              <w:rPr>
                <w:rFonts w:ascii="宋体" w:hAnsi="宋体" w:eastAsia="宋体" w:cs="宋体"/>
                <w:sz w:val="20"/>
                <w:szCs w:val="20"/>
              </w:rPr>
            </w:pPr>
            <w:r>
              <w:rPr>
                <w:rFonts w:ascii="宋体" w:hAnsi="宋体" w:eastAsia="宋体" w:cs="宋体"/>
                <w:spacing w:val="-10"/>
                <w:sz w:val="20"/>
                <w:szCs w:val="20"/>
              </w:rPr>
              <w:t>甲</w:t>
            </w:r>
            <w:r>
              <w:rPr>
                <w:rFonts w:ascii="宋体" w:hAnsi="宋体" w:eastAsia="宋体" w:cs="宋体"/>
                <w:spacing w:val="-8"/>
                <w:sz w:val="20"/>
                <w:szCs w:val="20"/>
              </w:rPr>
              <w:t>苯</w:t>
            </w:r>
          </w:p>
        </w:tc>
        <w:tc>
          <w:tcPr>
            <w:tcW w:w="1651" w:type="dxa"/>
            <w:tcBorders>
              <w:left w:val="single" w:color="000000" w:sz="4" w:space="0"/>
              <w:right w:val="single" w:color="000000" w:sz="4" w:space="0"/>
            </w:tcBorders>
            <w:vAlign w:val="top"/>
          </w:tcPr>
          <w:p w14:paraId="331F1B90">
            <w:pPr>
              <w:spacing w:before="22" w:line="281" w:lineRule="exact"/>
              <w:ind w:left="402"/>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74.0μ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5"/>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0763111C">
            <w:pPr>
              <w:spacing w:before="95"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12</w:t>
            </w:r>
            <w:r>
              <w:rPr>
                <w:rFonts w:ascii="Times New Roman" w:hAnsi="Times New Roman" w:eastAsia="Times New Roman" w:cs="Times New Roman"/>
                <w:spacing w:val="-1"/>
                <w:sz w:val="20"/>
                <w:szCs w:val="20"/>
              </w:rPr>
              <w:t>00</w:t>
            </w:r>
          </w:p>
        </w:tc>
        <w:tc>
          <w:tcPr>
            <w:tcW w:w="1226" w:type="dxa"/>
            <w:tcBorders>
              <w:left w:val="single" w:color="000000" w:sz="4" w:space="0"/>
              <w:right w:val="single" w:color="000000" w:sz="4" w:space="0"/>
            </w:tcBorders>
            <w:vAlign w:val="top"/>
          </w:tcPr>
          <w:p w14:paraId="542C9C68">
            <w:pPr>
              <w:spacing w:before="96" w:line="195" w:lineRule="auto"/>
              <w:ind w:left="27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00006</w:t>
            </w:r>
          </w:p>
        </w:tc>
        <w:tc>
          <w:tcPr>
            <w:tcW w:w="705" w:type="dxa"/>
            <w:tcBorders>
              <w:left w:val="single" w:color="000000" w:sz="4" w:space="0"/>
            </w:tcBorders>
            <w:vAlign w:val="top"/>
          </w:tcPr>
          <w:p w14:paraId="48AF76BC">
            <w:pPr>
              <w:spacing w:before="95"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3BCB7866">
            <w:pPr>
              <w:spacing w:before="95"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1AA2C8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0406507A">
            <w:pPr>
              <w:spacing w:before="95"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5</w:t>
            </w:r>
          </w:p>
        </w:tc>
        <w:tc>
          <w:tcPr>
            <w:tcW w:w="944" w:type="dxa"/>
            <w:vMerge w:val="continue"/>
            <w:tcBorders>
              <w:top w:val="nil"/>
              <w:left w:val="single" w:color="000000" w:sz="4" w:space="0"/>
              <w:bottom w:val="nil"/>
              <w:right w:val="single" w:color="000000" w:sz="4" w:space="0"/>
            </w:tcBorders>
            <w:vAlign w:val="top"/>
          </w:tcPr>
          <w:p w14:paraId="73E8BD30">
            <w:pPr>
              <w:rPr>
                <w:rFonts w:ascii="Arial"/>
                <w:sz w:val="21"/>
              </w:rPr>
            </w:pPr>
          </w:p>
        </w:tc>
        <w:tc>
          <w:tcPr>
            <w:tcW w:w="1680" w:type="dxa"/>
            <w:tcBorders>
              <w:left w:val="single" w:color="000000" w:sz="4" w:space="0"/>
              <w:right w:val="single" w:color="000000" w:sz="4" w:space="0"/>
            </w:tcBorders>
            <w:vAlign w:val="top"/>
          </w:tcPr>
          <w:p w14:paraId="35FE1C81">
            <w:pPr>
              <w:spacing w:before="22" w:line="281" w:lineRule="exact"/>
              <w:ind w:left="306"/>
              <w:rPr>
                <w:rFonts w:ascii="宋体" w:hAnsi="宋体" w:eastAsia="宋体" w:cs="宋体"/>
                <w:sz w:val="20"/>
                <w:szCs w:val="20"/>
              </w:rPr>
            </w:pPr>
            <w:r>
              <w:rPr>
                <w:rFonts w:ascii="宋体" w:hAnsi="宋体" w:eastAsia="宋体" w:cs="宋体"/>
                <w:spacing w:val="4"/>
                <w:position w:val="1"/>
                <w:sz w:val="20"/>
                <w:szCs w:val="20"/>
              </w:rPr>
              <w:t>间</w:t>
            </w:r>
            <w:r>
              <w:rPr>
                <w:rFonts w:ascii="Times New Roman" w:hAnsi="Times New Roman" w:eastAsia="Times New Roman" w:cs="Times New Roman"/>
                <w:spacing w:val="4"/>
                <w:position w:val="1"/>
                <w:sz w:val="20"/>
                <w:szCs w:val="20"/>
              </w:rPr>
              <w:t>/</w:t>
            </w:r>
            <w:r>
              <w:rPr>
                <w:rFonts w:ascii="宋体" w:hAnsi="宋体" w:eastAsia="宋体" w:cs="宋体"/>
                <w:spacing w:val="4"/>
                <w:position w:val="1"/>
                <w:sz w:val="20"/>
                <w:szCs w:val="20"/>
              </w:rPr>
              <w:t>对二甲苯</w:t>
            </w:r>
          </w:p>
        </w:tc>
        <w:tc>
          <w:tcPr>
            <w:tcW w:w="1651" w:type="dxa"/>
            <w:tcBorders>
              <w:left w:val="single" w:color="000000" w:sz="4" w:space="0"/>
              <w:right w:val="single" w:color="000000" w:sz="4" w:space="0"/>
            </w:tcBorders>
            <w:vAlign w:val="top"/>
          </w:tcPr>
          <w:p w14:paraId="60D4CC6E">
            <w:pPr>
              <w:spacing w:before="22" w:line="281" w:lineRule="exact"/>
              <w:ind w:left="404"/>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5</w:t>
            </w:r>
            <w:r>
              <w:rPr>
                <w:rFonts w:ascii="Times New Roman" w:hAnsi="Times New Roman" w:eastAsia="Times New Roman" w:cs="Times New Roman"/>
                <w:spacing w:val="4"/>
                <w:position w:val="2"/>
                <w:sz w:val="20"/>
                <w:szCs w:val="20"/>
              </w:rPr>
              <w:t>3.5μ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6151142B">
            <w:pPr>
              <w:spacing w:before="95" w:line="195" w:lineRule="auto"/>
              <w:ind w:left="3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57</w:t>
            </w:r>
            <w:r>
              <w:rPr>
                <w:rFonts w:ascii="Times New Roman" w:hAnsi="Times New Roman" w:eastAsia="Times New Roman" w:cs="Times New Roman"/>
                <w:spacing w:val="1"/>
                <w:sz w:val="20"/>
                <w:szCs w:val="20"/>
              </w:rPr>
              <w:t>0</w:t>
            </w:r>
          </w:p>
        </w:tc>
        <w:tc>
          <w:tcPr>
            <w:tcW w:w="1226" w:type="dxa"/>
            <w:tcBorders>
              <w:left w:val="single" w:color="000000" w:sz="4" w:space="0"/>
              <w:right w:val="single" w:color="000000" w:sz="4" w:space="0"/>
            </w:tcBorders>
            <w:vAlign w:val="top"/>
          </w:tcPr>
          <w:p w14:paraId="47D5F80B">
            <w:pPr>
              <w:spacing w:before="96" w:line="195" w:lineRule="auto"/>
              <w:ind w:left="32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.0001</w:t>
            </w:r>
          </w:p>
        </w:tc>
        <w:tc>
          <w:tcPr>
            <w:tcW w:w="705" w:type="dxa"/>
            <w:tcBorders>
              <w:left w:val="single" w:color="000000" w:sz="4" w:space="0"/>
            </w:tcBorders>
            <w:vAlign w:val="top"/>
          </w:tcPr>
          <w:p w14:paraId="36CAB786">
            <w:pPr>
              <w:spacing w:before="95"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66600828">
            <w:pPr>
              <w:spacing w:before="95"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3F8BF3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11814A8C">
            <w:pPr>
              <w:spacing w:before="95"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6</w:t>
            </w:r>
          </w:p>
        </w:tc>
        <w:tc>
          <w:tcPr>
            <w:tcW w:w="944" w:type="dxa"/>
            <w:vMerge w:val="continue"/>
            <w:tcBorders>
              <w:top w:val="nil"/>
              <w:left w:val="single" w:color="000000" w:sz="4" w:space="0"/>
              <w:bottom w:val="nil"/>
              <w:right w:val="single" w:color="000000" w:sz="4" w:space="0"/>
            </w:tcBorders>
            <w:vAlign w:val="top"/>
          </w:tcPr>
          <w:p w14:paraId="55BF0A1C">
            <w:pPr>
              <w:rPr>
                <w:rFonts w:ascii="Arial"/>
                <w:sz w:val="21"/>
              </w:rPr>
            </w:pPr>
          </w:p>
        </w:tc>
        <w:tc>
          <w:tcPr>
            <w:tcW w:w="1680" w:type="dxa"/>
            <w:tcBorders>
              <w:left w:val="single" w:color="000000" w:sz="4" w:space="0"/>
              <w:right w:val="single" w:color="000000" w:sz="4" w:space="0"/>
            </w:tcBorders>
            <w:vAlign w:val="top"/>
          </w:tcPr>
          <w:p w14:paraId="6DE87E36">
            <w:pPr>
              <w:spacing w:before="59" w:line="227" w:lineRule="auto"/>
              <w:ind w:left="421"/>
              <w:rPr>
                <w:rFonts w:ascii="宋体" w:hAnsi="宋体" w:eastAsia="宋体" w:cs="宋体"/>
                <w:sz w:val="20"/>
                <w:szCs w:val="20"/>
              </w:rPr>
            </w:pPr>
            <w:r>
              <w:rPr>
                <w:rFonts w:ascii="宋体" w:hAnsi="宋体" w:eastAsia="宋体" w:cs="宋体"/>
                <w:spacing w:val="9"/>
                <w:sz w:val="20"/>
                <w:szCs w:val="20"/>
              </w:rPr>
              <w:t>邻</w:t>
            </w:r>
            <w:r>
              <w:rPr>
                <w:rFonts w:ascii="宋体" w:hAnsi="宋体" w:eastAsia="宋体" w:cs="宋体"/>
                <w:spacing w:val="7"/>
                <w:sz w:val="20"/>
                <w:szCs w:val="20"/>
              </w:rPr>
              <w:t>二甲苯</w:t>
            </w:r>
          </w:p>
        </w:tc>
        <w:tc>
          <w:tcPr>
            <w:tcW w:w="1651" w:type="dxa"/>
            <w:tcBorders>
              <w:left w:val="single" w:color="000000" w:sz="4" w:space="0"/>
              <w:right w:val="single" w:color="000000" w:sz="4" w:space="0"/>
            </w:tcBorders>
            <w:vAlign w:val="top"/>
          </w:tcPr>
          <w:p w14:paraId="685027AC">
            <w:pPr>
              <w:spacing w:before="22" w:line="281" w:lineRule="exact"/>
              <w:ind w:left="403"/>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65.8μ</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277C6ABE">
            <w:pPr>
              <w:spacing w:before="95" w:line="195" w:lineRule="auto"/>
              <w:ind w:left="31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640</w:t>
            </w:r>
          </w:p>
        </w:tc>
        <w:tc>
          <w:tcPr>
            <w:tcW w:w="1226" w:type="dxa"/>
            <w:tcBorders>
              <w:left w:val="single" w:color="000000" w:sz="4" w:space="0"/>
              <w:right w:val="single" w:color="000000" w:sz="4" w:space="0"/>
            </w:tcBorders>
            <w:vAlign w:val="top"/>
          </w:tcPr>
          <w:p w14:paraId="67C4A081">
            <w:pPr>
              <w:spacing w:before="95" w:line="195" w:lineRule="auto"/>
              <w:ind w:left="32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.0001</w:t>
            </w:r>
          </w:p>
        </w:tc>
        <w:tc>
          <w:tcPr>
            <w:tcW w:w="705" w:type="dxa"/>
            <w:tcBorders>
              <w:left w:val="single" w:color="000000" w:sz="4" w:space="0"/>
            </w:tcBorders>
            <w:vAlign w:val="top"/>
          </w:tcPr>
          <w:p w14:paraId="607B76CC">
            <w:pPr>
              <w:spacing w:before="95"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1E2E65AA">
            <w:pPr>
              <w:spacing w:before="95"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7CE0A7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56B42566">
            <w:pPr>
              <w:spacing w:before="95"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7</w:t>
            </w:r>
          </w:p>
        </w:tc>
        <w:tc>
          <w:tcPr>
            <w:tcW w:w="944" w:type="dxa"/>
            <w:vMerge w:val="continue"/>
            <w:tcBorders>
              <w:top w:val="nil"/>
              <w:left w:val="single" w:color="000000" w:sz="4" w:space="0"/>
              <w:bottom w:val="nil"/>
              <w:right w:val="single" w:color="000000" w:sz="4" w:space="0"/>
            </w:tcBorders>
            <w:vAlign w:val="top"/>
          </w:tcPr>
          <w:p w14:paraId="6F34AF3C">
            <w:pPr>
              <w:rPr>
                <w:rFonts w:ascii="Arial"/>
                <w:sz w:val="21"/>
              </w:rPr>
            </w:pPr>
          </w:p>
        </w:tc>
        <w:tc>
          <w:tcPr>
            <w:tcW w:w="1680" w:type="dxa"/>
            <w:tcBorders>
              <w:left w:val="single" w:color="000000" w:sz="4" w:space="0"/>
              <w:right w:val="single" w:color="000000" w:sz="4" w:space="0"/>
            </w:tcBorders>
            <w:vAlign w:val="top"/>
          </w:tcPr>
          <w:p w14:paraId="32B3794C">
            <w:pPr>
              <w:spacing w:before="59" w:line="227" w:lineRule="auto"/>
              <w:ind w:left="529"/>
              <w:rPr>
                <w:rFonts w:ascii="宋体" w:hAnsi="宋体" w:eastAsia="宋体" w:cs="宋体"/>
                <w:sz w:val="20"/>
                <w:szCs w:val="20"/>
              </w:rPr>
            </w:pPr>
            <w:r>
              <w:rPr>
                <w:rFonts w:ascii="宋体" w:hAnsi="宋体" w:eastAsia="宋体" w:cs="宋体"/>
                <w:spacing w:val="7"/>
                <w:sz w:val="20"/>
                <w:szCs w:val="20"/>
              </w:rPr>
              <w:t>硝</w:t>
            </w:r>
            <w:r>
              <w:rPr>
                <w:rFonts w:ascii="宋体" w:hAnsi="宋体" w:eastAsia="宋体" w:cs="宋体"/>
                <w:spacing w:val="6"/>
                <w:sz w:val="20"/>
                <w:szCs w:val="20"/>
              </w:rPr>
              <w:t>基苯</w:t>
            </w:r>
          </w:p>
        </w:tc>
        <w:tc>
          <w:tcPr>
            <w:tcW w:w="1651" w:type="dxa"/>
            <w:tcBorders>
              <w:left w:val="single" w:color="000000" w:sz="4" w:space="0"/>
              <w:right w:val="single" w:color="000000" w:sz="4" w:space="0"/>
            </w:tcBorders>
            <w:vAlign w:val="top"/>
          </w:tcPr>
          <w:p w14:paraId="767EB68C">
            <w:pPr>
              <w:spacing w:before="21" w:line="281" w:lineRule="exact"/>
              <w:ind w:left="286"/>
              <w:rPr>
                <w:rFonts w:ascii="Times New Roman" w:hAnsi="Times New Roman" w:eastAsia="Times New Roman" w:cs="Times New Roman"/>
                <w:sz w:val="20"/>
                <w:szCs w:val="20"/>
              </w:rPr>
            </w:pPr>
            <w:r>
              <w:rPr>
                <w:rFonts w:ascii="宋体" w:hAnsi="宋体" w:eastAsia="宋体" w:cs="宋体"/>
                <w:spacing w:val="7"/>
                <w:position w:val="2"/>
                <w:sz w:val="20"/>
                <w:szCs w:val="20"/>
              </w:rPr>
              <w:t>＜</w:t>
            </w:r>
            <w:r>
              <w:rPr>
                <w:rFonts w:ascii="Times New Roman" w:hAnsi="Times New Roman" w:eastAsia="Times New Roman" w:cs="Times New Roman"/>
                <w:spacing w:val="4"/>
                <w:position w:val="2"/>
                <w:sz w:val="20"/>
                <w:szCs w:val="20"/>
              </w:rPr>
              <w:t>0.09</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50D707A6">
            <w:pPr>
              <w:spacing w:before="95" w:line="195" w:lineRule="auto"/>
              <w:ind w:left="36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76</w:t>
            </w:r>
          </w:p>
        </w:tc>
        <w:tc>
          <w:tcPr>
            <w:tcW w:w="1226" w:type="dxa"/>
            <w:tcBorders>
              <w:left w:val="single" w:color="000000" w:sz="4" w:space="0"/>
              <w:right w:val="single" w:color="000000" w:sz="4" w:space="0"/>
            </w:tcBorders>
            <w:vAlign w:val="top"/>
          </w:tcPr>
          <w:p w14:paraId="7C001B06">
            <w:pPr>
              <w:spacing w:before="21"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262243D6">
            <w:pPr>
              <w:spacing w:before="95"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67373641">
            <w:pPr>
              <w:spacing w:before="95"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769E58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2EC4052D">
            <w:pPr>
              <w:spacing w:before="95"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8</w:t>
            </w:r>
          </w:p>
        </w:tc>
        <w:tc>
          <w:tcPr>
            <w:tcW w:w="944" w:type="dxa"/>
            <w:vMerge w:val="continue"/>
            <w:tcBorders>
              <w:top w:val="nil"/>
              <w:left w:val="single" w:color="000000" w:sz="4" w:space="0"/>
              <w:bottom w:val="nil"/>
              <w:right w:val="single" w:color="000000" w:sz="4" w:space="0"/>
            </w:tcBorders>
            <w:vAlign w:val="top"/>
          </w:tcPr>
          <w:p w14:paraId="3614E7F8">
            <w:pPr>
              <w:rPr>
                <w:rFonts w:ascii="Arial"/>
                <w:sz w:val="21"/>
              </w:rPr>
            </w:pPr>
          </w:p>
        </w:tc>
        <w:tc>
          <w:tcPr>
            <w:tcW w:w="1680" w:type="dxa"/>
            <w:tcBorders>
              <w:left w:val="single" w:color="000000" w:sz="4" w:space="0"/>
              <w:right w:val="single" w:color="000000" w:sz="4" w:space="0"/>
            </w:tcBorders>
            <w:vAlign w:val="top"/>
          </w:tcPr>
          <w:p w14:paraId="0797E1F6">
            <w:pPr>
              <w:spacing w:before="59" w:line="227" w:lineRule="auto"/>
              <w:ind w:left="635"/>
              <w:rPr>
                <w:rFonts w:ascii="宋体" w:hAnsi="宋体" w:eastAsia="宋体" w:cs="宋体"/>
                <w:sz w:val="20"/>
                <w:szCs w:val="20"/>
              </w:rPr>
            </w:pPr>
            <w:r>
              <w:rPr>
                <w:rFonts w:ascii="宋体" w:hAnsi="宋体" w:eastAsia="宋体" w:cs="宋体"/>
                <w:spacing w:val="4"/>
                <w:sz w:val="20"/>
                <w:szCs w:val="20"/>
              </w:rPr>
              <w:t>苯</w:t>
            </w:r>
            <w:r>
              <w:rPr>
                <w:rFonts w:ascii="宋体" w:hAnsi="宋体" w:eastAsia="宋体" w:cs="宋体"/>
                <w:spacing w:val="3"/>
                <w:sz w:val="20"/>
                <w:szCs w:val="20"/>
              </w:rPr>
              <w:t>胺</w:t>
            </w:r>
          </w:p>
        </w:tc>
        <w:tc>
          <w:tcPr>
            <w:tcW w:w="1651" w:type="dxa"/>
            <w:tcBorders>
              <w:left w:val="single" w:color="000000" w:sz="4" w:space="0"/>
              <w:right w:val="single" w:color="000000" w:sz="4" w:space="0"/>
            </w:tcBorders>
            <w:vAlign w:val="top"/>
          </w:tcPr>
          <w:p w14:paraId="2425C0BA">
            <w:pPr>
              <w:spacing w:before="21" w:line="281" w:lineRule="exact"/>
              <w:ind w:left="339"/>
              <w:rPr>
                <w:rFonts w:ascii="Times New Roman" w:hAnsi="Times New Roman" w:eastAsia="Times New Roman" w:cs="Times New Roman"/>
                <w:sz w:val="20"/>
                <w:szCs w:val="20"/>
              </w:rPr>
            </w:pPr>
            <w:r>
              <w:rPr>
                <w:rFonts w:ascii="宋体" w:hAnsi="宋体" w:eastAsia="宋体" w:cs="宋体"/>
                <w:spacing w:val="-4"/>
                <w:position w:val="4"/>
                <w:sz w:val="20"/>
                <w:szCs w:val="20"/>
              </w:rPr>
              <w:t>＜</w:t>
            </w:r>
            <w:r>
              <w:rPr>
                <w:rFonts w:ascii="Times New Roman" w:hAnsi="Times New Roman" w:eastAsia="Times New Roman" w:cs="Times New Roman"/>
                <w:spacing w:val="-4"/>
                <w:position w:val="4"/>
                <w:sz w:val="20"/>
                <w:szCs w:val="20"/>
              </w:rPr>
              <w:t xml:space="preserve">0. </w:t>
            </w:r>
            <w:r>
              <w:rPr>
                <w:rFonts w:ascii="Times New Roman" w:hAnsi="Times New Roman" w:eastAsia="Times New Roman" w:cs="Times New Roman"/>
                <w:spacing w:val="-2"/>
                <w:position w:val="4"/>
                <w:sz w:val="20"/>
                <w:szCs w:val="20"/>
              </w:rPr>
              <w:t>1mg/kg</w:t>
            </w:r>
          </w:p>
        </w:tc>
        <w:tc>
          <w:tcPr>
            <w:tcW w:w="930" w:type="dxa"/>
            <w:tcBorders>
              <w:left w:val="single" w:color="000000" w:sz="4" w:space="0"/>
              <w:right w:val="single" w:color="000000" w:sz="4" w:space="0"/>
            </w:tcBorders>
            <w:vAlign w:val="top"/>
          </w:tcPr>
          <w:p w14:paraId="399F29EA">
            <w:pPr>
              <w:spacing w:before="95" w:line="195" w:lineRule="auto"/>
              <w:ind w:left="305"/>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60</w:t>
            </w:r>
          </w:p>
        </w:tc>
        <w:tc>
          <w:tcPr>
            <w:tcW w:w="1226" w:type="dxa"/>
            <w:tcBorders>
              <w:left w:val="single" w:color="000000" w:sz="4" w:space="0"/>
              <w:right w:val="single" w:color="000000" w:sz="4" w:space="0"/>
            </w:tcBorders>
            <w:vAlign w:val="top"/>
          </w:tcPr>
          <w:p w14:paraId="717A7D93">
            <w:pPr>
              <w:spacing w:before="21"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2E1270F1">
            <w:pPr>
              <w:spacing w:before="95"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27C94464">
            <w:pPr>
              <w:spacing w:before="95"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61A7A6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2C3C0F31">
            <w:pPr>
              <w:spacing w:before="97"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9</w:t>
            </w:r>
          </w:p>
        </w:tc>
        <w:tc>
          <w:tcPr>
            <w:tcW w:w="944" w:type="dxa"/>
            <w:vMerge w:val="continue"/>
            <w:tcBorders>
              <w:top w:val="nil"/>
              <w:left w:val="single" w:color="000000" w:sz="4" w:space="0"/>
              <w:bottom w:val="nil"/>
              <w:right w:val="single" w:color="000000" w:sz="4" w:space="0"/>
            </w:tcBorders>
            <w:vAlign w:val="top"/>
          </w:tcPr>
          <w:p w14:paraId="1FDB4A1D">
            <w:pPr>
              <w:rPr>
                <w:rFonts w:ascii="Arial"/>
                <w:sz w:val="21"/>
              </w:rPr>
            </w:pPr>
          </w:p>
        </w:tc>
        <w:tc>
          <w:tcPr>
            <w:tcW w:w="1680" w:type="dxa"/>
            <w:tcBorders>
              <w:left w:val="single" w:color="000000" w:sz="4" w:space="0"/>
              <w:right w:val="single" w:color="000000" w:sz="4" w:space="0"/>
            </w:tcBorders>
            <w:vAlign w:val="top"/>
          </w:tcPr>
          <w:p w14:paraId="08DCEB11">
            <w:pPr>
              <w:spacing w:before="61" w:line="229" w:lineRule="auto"/>
              <w:ind w:left="543"/>
              <w:rPr>
                <w:rFonts w:ascii="宋体" w:hAnsi="宋体" w:eastAsia="宋体" w:cs="宋体"/>
                <w:sz w:val="20"/>
                <w:szCs w:val="20"/>
              </w:rPr>
            </w:pPr>
            <w:r>
              <w:rPr>
                <w:rFonts w:ascii="Times New Roman" w:hAnsi="Times New Roman" w:eastAsia="Times New Roman" w:cs="Times New Roman"/>
                <w:spacing w:val="5"/>
                <w:sz w:val="20"/>
                <w:szCs w:val="20"/>
              </w:rPr>
              <w:t>2-</w:t>
            </w:r>
            <w:r>
              <w:rPr>
                <w:rFonts w:ascii="宋体" w:hAnsi="宋体" w:eastAsia="宋体" w:cs="宋体"/>
                <w:spacing w:val="5"/>
                <w:sz w:val="20"/>
                <w:szCs w:val="20"/>
              </w:rPr>
              <w:t>氯</w:t>
            </w:r>
            <w:r>
              <w:rPr>
                <w:rFonts w:ascii="宋体" w:hAnsi="宋体" w:eastAsia="宋体" w:cs="宋体"/>
                <w:spacing w:val="4"/>
                <w:sz w:val="20"/>
                <w:szCs w:val="20"/>
              </w:rPr>
              <w:t>酚</w:t>
            </w:r>
          </w:p>
        </w:tc>
        <w:tc>
          <w:tcPr>
            <w:tcW w:w="1651" w:type="dxa"/>
            <w:tcBorders>
              <w:left w:val="single" w:color="000000" w:sz="4" w:space="0"/>
              <w:right w:val="single" w:color="000000" w:sz="4" w:space="0"/>
            </w:tcBorders>
            <w:vAlign w:val="top"/>
          </w:tcPr>
          <w:p w14:paraId="0ED15851">
            <w:pPr>
              <w:spacing w:before="21" w:line="281" w:lineRule="exact"/>
              <w:ind w:left="286"/>
              <w:rPr>
                <w:rFonts w:ascii="Times New Roman" w:hAnsi="Times New Roman" w:eastAsia="Times New Roman" w:cs="Times New Roman"/>
                <w:sz w:val="20"/>
                <w:szCs w:val="20"/>
              </w:rPr>
            </w:pPr>
            <w:r>
              <w:rPr>
                <w:rFonts w:ascii="宋体" w:hAnsi="宋体" w:eastAsia="宋体" w:cs="宋体"/>
                <w:spacing w:val="7"/>
                <w:position w:val="2"/>
                <w:sz w:val="20"/>
                <w:szCs w:val="20"/>
              </w:rPr>
              <w:t>＜</w:t>
            </w:r>
            <w:r>
              <w:rPr>
                <w:rFonts w:ascii="Times New Roman" w:hAnsi="Times New Roman" w:eastAsia="Times New Roman" w:cs="Times New Roman"/>
                <w:spacing w:val="4"/>
                <w:position w:val="2"/>
                <w:sz w:val="20"/>
                <w:szCs w:val="20"/>
              </w:rPr>
              <w:t>0.06</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7E896D87">
            <w:pPr>
              <w:spacing w:before="97" w:line="195" w:lineRule="auto"/>
              <w:ind w:left="255"/>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256</w:t>
            </w:r>
          </w:p>
        </w:tc>
        <w:tc>
          <w:tcPr>
            <w:tcW w:w="1226" w:type="dxa"/>
            <w:tcBorders>
              <w:left w:val="single" w:color="000000" w:sz="4" w:space="0"/>
              <w:right w:val="single" w:color="000000" w:sz="4" w:space="0"/>
            </w:tcBorders>
            <w:vAlign w:val="top"/>
          </w:tcPr>
          <w:p w14:paraId="2462D273">
            <w:pPr>
              <w:spacing w:before="23"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4EAFA4C4">
            <w:pPr>
              <w:spacing w:before="97"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1C9D2EB4">
            <w:pPr>
              <w:spacing w:before="97"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224FE5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03093760">
            <w:pPr>
              <w:spacing w:before="97" w:line="195" w:lineRule="auto"/>
              <w:ind w:left="1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944" w:type="dxa"/>
            <w:vMerge w:val="continue"/>
            <w:tcBorders>
              <w:top w:val="nil"/>
              <w:left w:val="single" w:color="000000" w:sz="4" w:space="0"/>
              <w:bottom w:val="nil"/>
              <w:right w:val="single" w:color="000000" w:sz="4" w:space="0"/>
            </w:tcBorders>
            <w:vAlign w:val="top"/>
          </w:tcPr>
          <w:p w14:paraId="5656012C">
            <w:pPr>
              <w:rPr>
                <w:rFonts w:ascii="Arial"/>
                <w:sz w:val="21"/>
              </w:rPr>
            </w:pPr>
          </w:p>
        </w:tc>
        <w:tc>
          <w:tcPr>
            <w:tcW w:w="1680" w:type="dxa"/>
            <w:tcBorders>
              <w:left w:val="single" w:color="000000" w:sz="4" w:space="0"/>
              <w:right w:val="single" w:color="000000" w:sz="4" w:space="0"/>
            </w:tcBorders>
            <w:vAlign w:val="top"/>
          </w:tcPr>
          <w:p w14:paraId="15DE3EF0">
            <w:pPr>
              <w:spacing w:before="23" w:line="281" w:lineRule="exact"/>
              <w:ind w:left="415"/>
              <w:rPr>
                <w:rFonts w:ascii="宋体" w:hAnsi="宋体" w:eastAsia="宋体" w:cs="宋体"/>
                <w:sz w:val="20"/>
                <w:szCs w:val="20"/>
              </w:rPr>
            </w:pPr>
            <w:r>
              <w:rPr>
                <w:rFonts w:ascii="宋体" w:hAnsi="宋体" w:eastAsia="宋体" w:cs="宋体"/>
                <w:spacing w:val="6"/>
                <w:position w:val="2"/>
                <w:sz w:val="20"/>
                <w:szCs w:val="20"/>
              </w:rPr>
              <w:t>苯并</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a</w:t>
            </w:r>
            <w:r>
              <w:rPr>
                <w:rFonts w:ascii="Times New Roman" w:hAnsi="Times New Roman" w:eastAsia="Times New Roman" w:cs="Times New Roman"/>
                <w:spacing w:val="6"/>
                <w:position w:val="2"/>
                <w:sz w:val="20"/>
                <w:szCs w:val="20"/>
              </w:rPr>
              <w:t>]</w:t>
            </w:r>
            <w:r>
              <w:rPr>
                <w:rFonts w:ascii="宋体" w:hAnsi="宋体" w:eastAsia="宋体" w:cs="宋体"/>
                <w:spacing w:val="5"/>
                <w:position w:val="2"/>
                <w:sz w:val="20"/>
                <w:szCs w:val="20"/>
              </w:rPr>
              <w:t>蒽</w:t>
            </w:r>
          </w:p>
        </w:tc>
        <w:tc>
          <w:tcPr>
            <w:tcW w:w="1651" w:type="dxa"/>
            <w:tcBorders>
              <w:left w:val="single" w:color="000000" w:sz="4" w:space="0"/>
              <w:right w:val="single" w:color="000000" w:sz="4" w:space="0"/>
            </w:tcBorders>
            <w:vAlign w:val="top"/>
          </w:tcPr>
          <w:p w14:paraId="51E2F6A2">
            <w:pPr>
              <w:spacing w:before="21" w:line="281" w:lineRule="exact"/>
              <w:ind w:left="339"/>
              <w:rPr>
                <w:rFonts w:ascii="Times New Roman" w:hAnsi="Times New Roman" w:eastAsia="Times New Roman" w:cs="Times New Roman"/>
                <w:sz w:val="20"/>
                <w:szCs w:val="20"/>
              </w:rPr>
            </w:pPr>
            <w:r>
              <w:rPr>
                <w:rFonts w:ascii="宋体" w:hAnsi="宋体" w:eastAsia="宋体" w:cs="宋体"/>
                <w:spacing w:val="-4"/>
                <w:position w:val="4"/>
                <w:sz w:val="20"/>
                <w:szCs w:val="20"/>
              </w:rPr>
              <w:t>＜</w:t>
            </w:r>
            <w:r>
              <w:rPr>
                <w:rFonts w:ascii="Times New Roman" w:hAnsi="Times New Roman" w:eastAsia="Times New Roman" w:cs="Times New Roman"/>
                <w:spacing w:val="-4"/>
                <w:position w:val="4"/>
                <w:sz w:val="20"/>
                <w:szCs w:val="20"/>
              </w:rPr>
              <w:t xml:space="preserve">0. </w:t>
            </w:r>
            <w:r>
              <w:rPr>
                <w:rFonts w:ascii="Times New Roman" w:hAnsi="Times New Roman" w:eastAsia="Times New Roman" w:cs="Times New Roman"/>
                <w:spacing w:val="-2"/>
                <w:position w:val="4"/>
                <w:sz w:val="20"/>
                <w:szCs w:val="20"/>
              </w:rPr>
              <w:t>1mg/kg</w:t>
            </w:r>
          </w:p>
        </w:tc>
        <w:tc>
          <w:tcPr>
            <w:tcW w:w="930" w:type="dxa"/>
            <w:tcBorders>
              <w:left w:val="single" w:color="000000" w:sz="4" w:space="0"/>
              <w:right w:val="single" w:color="000000" w:sz="4" w:space="0"/>
            </w:tcBorders>
            <w:vAlign w:val="top"/>
          </w:tcPr>
          <w:p w14:paraId="3FEB6166">
            <w:pPr>
              <w:spacing w:before="97" w:line="195" w:lineRule="auto"/>
              <w:ind w:left="37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c>
          <w:tcPr>
            <w:tcW w:w="1226" w:type="dxa"/>
            <w:tcBorders>
              <w:left w:val="single" w:color="000000" w:sz="4" w:space="0"/>
              <w:right w:val="single" w:color="000000" w:sz="4" w:space="0"/>
            </w:tcBorders>
            <w:vAlign w:val="top"/>
          </w:tcPr>
          <w:p w14:paraId="130E880C">
            <w:pPr>
              <w:spacing w:before="23"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215A4705">
            <w:pPr>
              <w:spacing w:before="97"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61887EF9">
            <w:pPr>
              <w:spacing w:before="97"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C740B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3473C2A5">
            <w:pPr>
              <w:spacing w:before="96" w:line="195" w:lineRule="auto"/>
              <w:ind w:left="1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41</w:t>
            </w:r>
          </w:p>
        </w:tc>
        <w:tc>
          <w:tcPr>
            <w:tcW w:w="944" w:type="dxa"/>
            <w:vMerge w:val="continue"/>
            <w:tcBorders>
              <w:top w:val="nil"/>
              <w:left w:val="single" w:color="000000" w:sz="4" w:space="0"/>
              <w:bottom w:val="nil"/>
              <w:right w:val="single" w:color="000000" w:sz="4" w:space="0"/>
            </w:tcBorders>
            <w:vAlign w:val="top"/>
          </w:tcPr>
          <w:p w14:paraId="47BC96D9">
            <w:pPr>
              <w:rPr>
                <w:rFonts w:ascii="Arial"/>
                <w:sz w:val="21"/>
              </w:rPr>
            </w:pPr>
          </w:p>
        </w:tc>
        <w:tc>
          <w:tcPr>
            <w:tcW w:w="1680" w:type="dxa"/>
            <w:tcBorders>
              <w:left w:val="single" w:color="000000" w:sz="4" w:space="0"/>
              <w:right w:val="single" w:color="000000" w:sz="4" w:space="0"/>
            </w:tcBorders>
            <w:vAlign w:val="top"/>
          </w:tcPr>
          <w:p w14:paraId="191A44D5">
            <w:pPr>
              <w:spacing w:before="23" w:line="281" w:lineRule="exact"/>
              <w:ind w:left="415"/>
              <w:rPr>
                <w:rFonts w:ascii="宋体" w:hAnsi="宋体" w:eastAsia="宋体" w:cs="宋体"/>
                <w:sz w:val="20"/>
                <w:szCs w:val="20"/>
              </w:rPr>
            </w:pPr>
            <w:r>
              <w:rPr>
                <w:rFonts w:ascii="宋体" w:hAnsi="宋体" w:eastAsia="宋体" w:cs="宋体"/>
                <w:spacing w:val="6"/>
                <w:position w:val="2"/>
                <w:sz w:val="20"/>
                <w:szCs w:val="20"/>
              </w:rPr>
              <w:t>苯并</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a</w:t>
            </w:r>
            <w:r>
              <w:rPr>
                <w:rFonts w:ascii="Times New Roman" w:hAnsi="Times New Roman" w:eastAsia="Times New Roman" w:cs="Times New Roman"/>
                <w:spacing w:val="6"/>
                <w:position w:val="2"/>
                <w:sz w:val="20"/>
                <w:szCs w:val="20"/>
              </w:rPr>
              <w:t>]</w:t>
            </w:r>
            <w:r>
              <w:rPr>
                <w:rFonts w:ascii="宋体" w:hAnsi="宋体" w:eastAsia="宋体" w:cs="宋体"/>
                <w:spacing w:val="5"/>
                <w:position w:val="2"/>
                <w:sz w:val="20"/>
                <w:szCs w:val="20"/>
              </w:rPr>
              <w:t>芘</w:t>
            </w:r>
          </w:p>
        </w:tc>
        <w:tc>
          <w:tcPr>
            <w:tcW w:w="1651" w:type="dxa"/>
            <w:tcBorders>
              <w:left w:val="single" w:color="000000" w:sz="4" w:space="0"/>
              <w:right w:val="single" w:color="000000" w:sz="4" w:space="0"/>
            </w:tcBorders>
            <w:vAlign w:val="top"/>
          </w:tcPr>
          <w:p w14:paraId="380A3C56">
            <w:pPr>
              <w:spacing w:before="21" w:line="281" w:lineRule="exact"/>
              <w:ind w:left="339"/>
              <w:rPr>
                <w:rFonts w:ascii="Times New Roman" w:hAnsi="Times New Roman" w:eastAsia="Times New Roman" w:cs="Times New Roman"/>
                <w:sz w:val="20"/>
                <w:szCs w:val="20"/>
              </w:rPr>
            </w:pPr>
            <w:r>
              <w:rPr>
                <w:rFonts w:ascii="宋体" w:hAnsi="宋体" w:eastAsia="宋体" w:cs="宋体"/>
                <w:spacing w:val="-4"/>
                <w:position w:val="4"/>
                <w:sz w:val="20"/>
                <w:szCs w:val="20"/>
              </w:rPr>
              <w:t>＜</w:t>
            </w:r>
            <w:r>
              <w:rPr>
                <w:rFonts w:ascii="Times New Roman" w:hAnsi="Times New Roman" w:eastAsia="Times New Roman" w:cs="Times New Roman"/>
                <w:spacing w:val="-4"/>
                <w:position w:val="4"/>
                <w:sz w:val="20"/>
                <w:szCs w:val="20"/>
              </w:rPr>
              <w:t xml:space="preserve">0. </w:t>
            </w:r>
            <w:r>
              <w:rPr>
                <w:rFonts w:ascii="Times New Roman" w:hAnsi="Times New Roman" w:eastAsia="Times New Roman" w:cs="Times New Roman"/>
                <w:spacing w:val="-2"/>
                <w:position w:val="4"/>
                <w:sz w:val="20"/>
                <w:szCs w:val="20"/>
              </w:rPr>
              <w:t>1mg/kg</w:t>
            </w:r>
          </w:p>
        </w:tc>
        <w:tc>
          <w:tcPr>
            <w:tcW w:w="930" w:type="dxa"/>
            <w:tcBorders>
              <w:left w:val="single" w:color="000000" w:sz="4" w:space="0"/>
              <w:right w:val="single" w:color="000000" w:sz="4" w:space="0"/>
            </w:tcBorders>
            <w:vAlign w:val="top"/>
          </w:tcPr>
          <w:p w14:paraId="775E6B4E">
            <w:pPr>
              <w:spacing w:before="96" w:line="198" w:lineRule="auto"/>
              <w:ind w:left="35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.5</w:t>
            </w:r>
          </w:p>
        </w:tc>
        <w:tc>
          <w:tcPr>
            <w:tcW w:w="1226" w:type="dxa"/>
            <w:tcBorders>
              <w:left w:val="single" w:color="000000" w:sz="4" w:space="0"/>
              <w:right w:val="single" w:color="000000" w:sz="4" w:space="0"/>
            </w:tcBorders>
            <w:vAlign w:val="top"/>
          </w:tcPr>
          <w:p w14:paraId="718A631F">
            <w:pPr>
              <w:spacing w:before="23"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17159473">
            <w:pPr>
              <w:spacing w:before="96"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405699F7">
            <w:pPr>
              <w:spacing w:before="96"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6C636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790D825C">
            <w:pPr>
              <w:spacing w:before="96" w:line="195" w:lineRule="auto"/>
              <w:ind w:left="1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w:t>
            </w:r>
          </w:p>
        </w:tc>
        <w:tc>
          <w:tcPr>
            <w:tcW w:w="944" w:type="dxa"/>
            <w:vMerge w:val="continue"/>
            <w:tcBorders>
              <w:top w:val="nil"/>
              <w:left w:val="single" w:color="000000" w:sz="4" w:space="0"/>
              <w:bottom w:val="nil"/>
              <w:right w:val="single" w:color="000000" w:sz="4" w:space="0"/>
            </w:tcBorders>
            <w:vAlign w:val="top"/>
          </w:tcPr>
          <w:p w14:paraId="362EF177">
            <w:pPr>
              <w:rPr>
                <w:rFonts w:ascii="Arial"/>
                <w:sz w:val="21"/>
              </w:rPr>
            </w:pPr>
          </w:p>
        </w:tc>
        <w:tc>
          <w:tcPr>
            <w:tcW w:w="1680" w:type="dxa"/>
            <w:tcBorders>
              <w:left w:val="single" w:color="000000" w:sz="4" w:space="0"/>
              <w:right w:val="single" w:color="000000" w:sz="4" w:space="0"/>
            </w:tcBorders>
            <w:vAlign w:val="top"/>
          </w:tcPr>
          <w:p w14:paraId="3A61B9E6">
            <w:pPr>
              <w:spacing w:before="23" w:line="281" w:lineRule="exact"/>
              <w:ind w:left="304"/>
              <w:rPr>
                <w:rFonts w:ascii="宋体" w:hAnsi="宋体" w:eastAsia="宋体" w:cs="宋体"/>
                <w:sz w:val="20"/>
                <w:szCs w:val="20"/>
              </w:rPr>
            </w:pPr>
            <w:r>
              <w:rPr>
                <w:rFonts w:ascii="宋体" w:hAnsi="宋体" w:eastAsia="宋体" w:cs="宋体"/>
                <w:spacing w:val="6"/>
                <w:position w:val="2"/>
                <w:sz w:val="20"/>
                <w:szCs w:val="20"/>
              </w:rPr>
              <w:t>苯并</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b</w:t>
            </w:r>
            <w:r>
              <w:rPr>
                <w:rFonts w:ascii="Times New Roman" w:hAnsi="Times New Roman" w:eastAsia="Times New Roman" w:cs="Times New Roman"/>
                <w:spacing w:val="6"/>
                <w:position w:val="2"/>
                <w:sz w:val="20"/>
                <w:szCs w:val="20"/>
              </w:rPr>
              <w:t>]</w:t>
            </w:r>
            <w:r>
              <w:rPr>
                <w:rFonts w:ascii="宋体" w:hAnsi="宋体" w:eastAsia="宋体" w:cs="宋体"/>
                <w:spacing w:val="6"/>
                <w:position w:val="2"/>
                <w:sz w:val="20"/>
                <w:szCs w:val="20"/>
              </w:rPr>
              <w:t>荧蒽</w:t>
            </w:r>
          </w:p>
        </w:tc>
        <w:tc>
          <w:tcPr>
            <w:tcW w:w="1651" w:type="dxa"/>
            <w:tcBorders>
              <w:left w:val="single" w:color="000000" w:sz="4" w:space="0"/>
              <w:right w:val="single" w:color="000000" w:sz="4" w:space="0"/>
            </w:tcBorders>
            <w:vAlign w:val="top"/>
          </w:tcPr>
          <w:p w14:paraId="62E59FED">
            <w:pPr>
              <w:spacing w:before="20" w:line="281" w:lineRule="exact"/>
              <w:ind w:left="339"/>
              <w:rPr>
                <w:rFonts w:ascii="Times New Roman" w:hAnsi="Times New Roman" w:eastAsia="Times New Roman" w:cs="Times New Roman"/>
                <w:sz w:val="20"/>
                <w:szCs w:val="20"/>
              </w:rPr>
            </w:pPr>
            <w:r>
              <w:rPr>
                <w:rFonts w:ascii="宋体" w:hAnsi="宋体" w:eastAsia="宋体" w:cs="宋体"/>
                <w:spacing w:val="6"/>
                <w:position w:val="2"/>
                <w:sz w:val="20"/>
                <w:szCs w:val="20"/>
              </w:rPr>
              <w:t>＜</w:t>
            </w:r>
            <w:r>
              <w:rPr>
                <w:rFonts w:ascii="Times New Roman" w:hAnsi="Times New Roman" w:eastAsia="Times New Roman" w:cs="Times New Roman"/>
                <w:spacing w:val="4"/>
                <w:position w:val="2"/>
                <w:sz w:val="20"/>
                <w:szCs w:val="20"/>
              </w:rPr>
              <w:t>0.2</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5C13C4A4">
            <w:pPr>
              <w:spacing w:before="96" w:line="195" w:lineRule="auto"/>
              <w:ind w:left="37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c>
          <w:tcPr>
            <w:tcW w:w="1226" w:type="dxa"/>
            <w:tcBorders>
              <w:left w:val="single" w:color="000000" w:sz="4" w:space="0"/>
              <w:right w:val="single" w:color="000000" w:sz="4" w:space="0"/>
            </w:tcBorders>
            <w:vAlign w:val="top"/>
          </w:tcPr>
          <w:p w14:paraId="767B3CCF">
            <w:pPr>
              <w:spacing w:before="23"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7FEE1CCD">
            <w:pPr>
              <w:spacing w:before="96"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42451C8A">
            <w:pPr>
              <w:spacing w:before="96"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1A887B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1D76E6A5">
            <w:pPr>
              <w:spacing w:before="96" w:line="195" w:lineRule="auto"/>
              <w:ind w:left="1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43</w:t>
            </w:r>
          </w:p>
        </w:tc>
        <w:tc>
          <w:tcPr>
            <w:tcW w:w="944" w:type="dxa"/>
            <w:vMerge w:val="continue"/>
            <w:tcBorders>
              <w:top w:val="nil"/>
              <w:left w:val="single" w:color="000000" w:sz="4" w:space="0"/>
              <w:bottom w:val="nil"/>
              <w:right w:val="single" w:color="000000" w:sz="4" w:space="0"/>
            </w:tcBorders>
            <w:vAlign w:val="top"/>
          </w:tcPr>
          <w:p w14:paraId="7B468B45">
            <w:pPr>
              <w:rPr>
                <w:rFonts w:ascii="Arial"/>
                <w:sz w:val="21"/>
              </w:rPr>
            </w:pPr>
          </w:p>
        </w:tc>
        <w:tc>
          <w:tcPr>
            <w:tcW w:w="1680" w:type="dxa"/>
            <w:tcBorders>
              <w:left w:val="single" w:color="000000" w:sz="4" w:space="0"/>
              <w:right w:val="single" w:color="000000" w:sz="4" w:space="0"/>
            </w:tcBorders>
            <w:vAlign w:val="top"/>
          </w:tcPr>
          <w:p w14:paraId="312FFE7B">
            <w:pPr>
              <w:spacing w:before="23" w:line="281" w:lineRule="exact"/>
              <w:ind w:left="304"/>
              <w:rPr>
                <w:rFonts w:ascii="宋体" w:hAnsi="宋体" w:eastAsia="宋体" w:cs="宋体"/>
                <w:sz w:val="20"/>
                <w:szCs w:val="20"/>
              </w:rPr>
            </w:pPr>
            <w:r>
              <w:rPr>
                <w:rFonts w:ascii="宋体" w:hAnsi="宋体" w:eastAsia="宋体" w:cs="宋体"/>
                <w:spacing w:val="6"/>
                <w:position w:val="2"/>
                <w:sz w:val="20"/>
                <w:szCs w:val="20"/>
              </w:rPr>
              <w:t>苯并</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k</w:t>
            </w:r>
            <w:r>
              <w:rPr>
                <w:rFonts w:ascii="Times New Roman" w:hAnsi="Times New Roman" w:eastAsia="Times New Roman" w:cs="Times New Roman"/>
                <w:spacing w:val="6"/>
                <w:position w:val="2"/>
                <w:sz w:val="20"/>
                <w:szCs w:val="20"/>
              </w:rPr>
              <w:t>]</w:t>
            </w:r>
            <w:r>
              <w:rPr>
                <w:rFonts w:ascii="宋体" w:hAnsi="宋体" w:eastAsia="宋体" w:cs="宋体"/>
                <w:spacing w:val="6"/>
                <w:position w:val="2"/>
                <w:sz w:val="20"/>
                <w:szCs w:val="20"/>
              </w:rPr>
              <w:t>荧蒽</w:t>
            </w:r>
          </w:p>
        </w:tc>
        <w:tc>
          <w:tcPr>
            <w:tcW w:w="1651" w:type="dxa"/>
            <w:tcBorders>
              <w:left w:val="single" w:color="000000" w:sz="4" w:space="0"/>
              <w:right w:val="single" w:color="000000" w:sz="4" w:space="0"/>
            </w:tcBorders>
            <w:vAlign w:val="top"/>
          </w:tcPr>
          <w:p w14:paraId="4DDC1860">
            <w:pPr>
              <w:spacing w:before="20" w:line="281" w:lineRule="exact"/>
              <w:ind w:left="339"/>
              <w:rPr>
                <w:rFonts w:ascii="Times New Roman" w:hAnsi="Times New Roman" w:eastAsia="Times New Roman" w:cs="Times New Roman"/>
                <w:sz w:val="20"/>
                <w:szCs w:val="20"/>
              </w:rPr>
            </w:pPr>
            <w:r>
              <w:rPr>
                <w:rFonts w:ascii="宋体" w:hAnsi="宋体" w:eastAsia="宋体" w:cs="宋体"/>
                <w:spacing w:val="-4"/>
                <w:position w:val="4"/>
                <w:sz w:val="20"/>
                <w:szCs w:val="20"/>
              </w:rPr>
              <w:t>＜</w:t>
            </w:r>
            <w:r>
              <w:rPr>
                <w:rFonts w:ascii="Times New Roman" w:hAnsi="Times New Roman" w:eastAsia="Times New Roman" w:cs="Times New Roman"/>
                <w:spacing w:val="-4"/>
                <w:position w:val="4"/>
                <w:sz w:val="20"/>
                <w:szCs w:val="20"/>
              </w:rPr>
              <w:t xml:space="preserve">0. </w:t>
            </w:r>
            <w:r>
              <w:rPr>
                <w:rFonts w:ascii="Times New Roman" w:hAnsi="Times New Roman" w:eastAsia="Times New Roman" w:cs="Times New Roman"/>
                <w:spacing w:val="-2"/>
                <w:position w:val="4"/>
                <w:sz w:val="20"/>
                <w:szCs w:val="20"/>
              </w:rPr>
              <w:t>1mg/kg</w:t>
            </w:r>
          </w:p>
        </w:tc>
        <w:tc>
          <w:tcPr>
            <w:tcW w:w="930" w:type="dxa"/>
            <w:tcBorders>
              <w:left w:val="single" w:color="000000" w:sz="4" w:space="0"/>
              <w:right w:val="single" w:color="000000" w:sz="4" w:space="0"/>
            </w:tcBorders>
            <w:vAlign w:val="top"/>
          </w:tcPr>
          <w:p w14:paraId="54FB794A">
            <w:pPr>
              <w:spacing w:before="96" w:line="195" w:lineRule="auto"/>
              <w:ind w:left="32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151</w:t>
            </w:r>
          </w:p>
        </w:tc>
        <w:tc>
          <w:tcPr>
            <w:tcW w:w="1226" w:type="dxa"/>
            <w:tcBorders>
              <w:left w:val="single" w:color="000000" w:sz="4" w:space="0"/>
              <w:right w:val="single" w:color="000000" w:sz="4" w:space="0"/>
            </w:tcBorders>
            <w:vAlign w:val="top"/>
          </w:tcPr>
          <w:p w14:paraId="4ED6272B">
            <w:pPr>
              <w:spacing w:before="23"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2E5FF91B">
            <w:pPr>
              <w:spacing w:before="96"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4CEB3700">
            <w:pPr>
              <w:spacing w:before="96"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4F5965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48BAEA9B">
            <w:pPr>
              <w:spacing w:before="96" w:line="195" w:lineRule="auto"/>
              <w:ind w:left="1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44</w:t>
            </w:r>
          </w:p>
        </w:tc>
        <w:tc>
          <w:tcPr>
            <w:tcW w:w="944" w:type="dxa"/>
            <w:vMerge w:val="continue"/>
            <w:tcBorders>
              <w:top w:val="nil"/>
              <w:left w:val="single" w:color="000000" w:sz="4" w:space="0"/>
              <w:bottom w:val="nil"/>
              <w:right w:val="single" w:color="000000" w:sz="4" w:space="0"/>
            </w:tcBorders>
            <w:vAlign w:val="top"/>
          </w:tcPr>
          <w:p w14:paraId="20DB0C46">
            <w:pPr>
              <w:rPr>
                <w:rFonts w:ascii="Arial"/>
                <w:sz w:val="21"/>
              </w:rPr>
            </w:pPr>
          </w:p>
        </w:tc>
        <w:tc>
          <w:tcPr>
            <w:tcW w:w="1680" w:type="dxa"/>
            <w:tcBorders>
              <w:left w:val="single" w:color="000000" w:sz="4" w:space="0"/>
              <w:right w:val="single" w:color="000000" w:sz="4" w:space="0"/>
            </w:tcBorders>
            <w:vAlign w:val="top"/>
          </w:tcPr>
          <w:p w14:paraId="5FD8F0F3">
            <w:pPr>
              <w:spacing w:before="60" w:line="229" w:lineRule="auto"/>
              <w:ind w:left="737"/>
              <w:rPr>
                <w:rFonts w:ascii="宋体" w:hAnsi="宋体" w:eastAsia="宋体" w:cs="宋体"/>
                <w:sz w:val="20"/>
                <w:szCs w:val="20"/>
              </w:rPr>
            </w:pPr>
            <w:r>
              <w:rPr>
                <w:rFonts w:ascii="宋体" w:hAnsi="宋体" w:eastAsia="宋体" w:cs="宋体"/>
                <w:spacing w:val="2"/>
                <w:sz w:val="20"/>
                <w:szCs w:val="20"/>
              </w:rPr>
              <w:t>䓛</w:t>
            </w:r>
          </w:p>
        </w:tc>
        <w:tc>
          <w:tcPr>
            <w:tcW w:w="1651" w:type="dxa"/>
            <w:tcBorders>
              <w:left w:val="single" w:color="000000" w:sz="4" w:space="0"/>
              <w:right w:val="single" w:color="000000" w:sz="4" w:space="0"/>
            </w:tcBorders>
            <w:vAlign w:val="top"/>
          </w:tcPr>
          <w:p w14:paraId="21EFCAC3">
            <w:pPr>
              <w:spacing w:before="22" w:line="281" w:lineRule="exact"/>
              <w:ind w:left="339"/>
              <w:rPr>
                <w:rFonts w:ascii="Times New Roman" w:hAnsi="Times New Roman" w:eastAsia="Times New Roman" w:cs="Times New Roman"/>
                <w:sz w:val="20"/>
                <w:szCs w:val="20"/>
              </w:rPr>
            </w:pPr>
            <w:r>
              <w:rPr>
                <w:rFonts w:ascii="宋体" w:hAnsi="宋体" w:eastAsia="宋体" w:cs="宋体"/>
                <w:spacing w:val="-4"/>
                <w:position w:val="4"/>
                <w:sz w:val="20"/>
                <w:szCs w:val="20"/>
              </w:rPr>
              <w:t>＜</w:t>
            </w:r>
            <w:r>
              <w:rPr>
                <w:rFonts w:ascii="Times New Roman" w:hAnsi="Times New Roman" w:eastAsia="Times New Roman" w:cs="Times New Roman"/>
                <w:spacing w:val="-4"/>
                <w:position w:val="4"/>
                <w:sz w:val="20"/>
                <w:szCs w:val="20"/>
              </w:rPr>
              <w:t xml:space="preserve">0. </w:t>
            </w:r>
            <w:r>
              <w:rPr>
                <w:rFonts w:ascii="Times New Roman" w:hAnsi="Times New Roman" w:eastAsia="Times New Roman" w:cs="Times New Roman"/>
                <w:spacing w:val="-2"/>
                <w:position w:val="4"/>
                <w:sz w:val="20"/>
                <w:szCs w:val="20"/>
              </w:rPr>
              <w:t>1mg/kg</w:t>
            </w:r>
          </w:p>
        </w:tc>
        <w:tc>
          <w:tcPr>
            <w:tcW w:w="930" w:type="dxa"/>
            <w:tcBorders>
              <w:left w:val="single" w:color="000000" w:sz="4" w:space="0"/>
              <w:right w:val="single" w:color="000000" w:sz="4" w:space="0"/>
            </w:tcBorders>
            <w:vAlign w:val="top"/>
          </w:tcPr>
          <w:p w14:paraId="5EFE1C1D">
            <w:pPr>
              <w:spacing w:before="96"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12</w:t>
            </w:r>
            <w:r>
              <w:rPr>
                <w:rFonts w:ascii="Times New Roman" w:hAnsi="Times New Roman" w:eastAsia="Times New Roman" w:cs="Times New Roman"/>
                <w:spacing w:val="-1"/>
                <w:sz w:val="20"/>
                <w:szCs w:val="20"/>
              </w:rPr>
              <w:t>93</w:t>
            </w:r>
          </w:p>
        </w:tc>
        <w:tc>
          <w:tcPr>
            <w:tcW w:w="1226" w:type="dxa"/>
            <w:tcBorders>
              <w:left w:val="single" w:color="000000" w:sz="4" w:space="0"/>
              <w:right w:val="single" w:color="000000" w:sz="4" w:space="0"/>
            </w:tcBorders>
            <w:vAlign w:val="top"/>
          </w:tcPr>
          <w:p w14:paraId="4E4BD71C">
            <w:pPr>
              <w:spacing w:before="22"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7AA06C23">
            <w:pPr>
              <w:spacing w:before="96"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71318DD5">
            <w:pPr>
              <w:spacing w:before="96"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54367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6C6A27F0">
            <w:pPr>
              <w:spacing w:before="96" w:line="195" w:lineRule="auto"/>
              <w:ind w:left="1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w:t>
            </w:r>
          </w:p>
        </w:tc>
        <w:tc>
          <w:tcPr>
            <w:tcW w:w="944" w:type="dxa"/>
            <w:vMerge w:val="continue"/>
            <w:tcBorders>
              <w:top w:val="nil"/>
              <w:left w:val="single" w:color="000000" w:sz="4" w:space="0"/>
              <w:bottom w:val="nil"/>
              <w:right w:val="single" w:color="000000" w:sz="4" w:space="0"/>
            </w:tcBorders>
            <w:vAlign w:val="top"/>
          </w:tcPr>
          <w:p w14:paraId="700AB444">
            <w:pPr>
              <w:rPr>
                <w:rFonts w:ascii="Arial"/>
                <w:sz w:val="21"/>
              </w:rPr>
            </w:pPr>
          </w:p>
        </w:tc>
        <w:tc>
          <w:tcPr>
            <w:tcW w:w="1680" w:type="dxa"/>
            <w:tcBorders>
              <w:left w:val="single" w:color="000000" w:sz="4" w:space="0"/>
              <w:right w:val="single" w:color="000000" w:sz="4" w:space="0"/>
            </w:tcBorders>
            <w:vAlign w:val="top"/>
          </w:tcPr>
          <w:p w14:paraId="4BEC6898">
            <w:pPr>
              <w:spacing w:before="22" w:line="281" w:lineRule="exact"/>
              <w:ind w:left="154"/>
              <w:rPr>
                <w:rFonts w:ascii="宋体" w:hAnsi="宋体" w:eastAsia="宋体" w:cs="宋体"/>
                <w:sz w:val="20"/>
                <w:szCs w:val="20"/>
              </w:rPr>
            </w:pPr>
            <w:r>
              <w:rPr>
                <w:rFonts w:ascii="宋体" w:hAnsi="宋体" w:eastAsia="宋体" w:cs="宋体"/>
                <w:spacing w:val="1"/>
                <w:position w:val="2"/>
                <w:sz w:val="20"/>
                <w:szCs w:val="20"/>
              </w:rPr>
              <w:t>二</w:t>
            </w:r>
            <w:r>
              <w:rPr>
                <w:rFonts w:ascii="宋体" w:hAnsi="宋体" w:eastAsia="宋体" w:cs="宋体"/>
                <w:position w:val="2"/>
                <w:sz w:val="20"/>
                <w:szCs w:val="20"/>
              </w:rPr>
              <w:t>苯并</w:t>
            </w:r>
            <w:r>
              <w:rPr>
                <w:rFonts w:ascii="Times New Roman" w:hAnsi="Times New Roman" w:eastAsia="Times New Roman" w:cs="Times New Roman"/>
                <w:position w:val="2"/>
                <w:sz w:val="20"/>
                <w:szCs w:val="20"/>
              </w:rPr>
              <w:t xml:space="preserve">[a </w:t>
            </w:r>
            <w:r>
              <w:rPr>
                <w:rFonts w:ascii="宋体" w:hAnsi="宋体" w:eastAsia="宋体" w:cs="宋体"/>
                <w:position w:val="2"/>
                <w:sz w:val="20"/>
                <w:szCs w:val="20"/>
              </w:rPr>
              <w:t>，</w:t>
            </w:r>
            <w:r>
              <w:rPr>
                <w:rFonts w:ascii="Times New Roman" w:hAnsi="Times New Roman" w:eastAsia="Times New Roman" w:cs="Times New Roman"/>
                <w:position w:val="2"/>
                <w:sz w:val="20"/>
                <w:szCs w:val="20"/>
              </w:rPr>
              <w:t>h]</w:t>
            </w:r>
            <w:r>
              <w:rPr>
                <w:rFonts w:ascii="宋体" w:hAnsi="宋体" w:eastAsia="宋体" w:cs="宋体"/>
                <w:position w:val="2"/>
                <w:sz w:val="20"/>
                <w:szCs w:val="20"/>
              </w:rPr>
              <w:t>蒽</w:t>
            </w:r>
          </w:p>
        </w:tc>
        <w:tc>
          <w:tcPr>
            <w:tcW w:w="1651" w:type="dxa"/>
            <w:tcBorders>
              <w:left w:val="single" w:color="000000" w:sz="4" w:space="0"/>
              <w:right w:val="single" w:color="000000" w:sz="4" w:space="0"/>
            </w:tcBorders>
            <w:vAlign w:val="top"/>
          </w:tcPr>
          <w:p w14:paraId="06182E89">
            <w:pPr>
              <w:spacing w:before="22" w:line="281" w:lineRule="exact"/>
              <w:ind w:left="339"/>
              <w:rPr>
                <w:rFonts w:ascii="Times New Roman" w:hAnsi="Times New Roman" w:eastAsia="Times New Roman" w:cs="Times New Roman"/>
                <w:sz w:val="20"/>
                <w:szCs w:val="20"/>
              </w:rPr>
            </w:pPr>
            <w:r>
              <w:rPr>
                <w:rFonts w:ascii="宋体" w:hAnsi="宋体" w:eastAsia="宋体" w:cs="宋体"/>
                <w:spacing w:val="-4"/>
                <w:position w:val="4"/>
                <w:sz w:val="20"/>
                <w:szCs w:val="20"/>
              </w:rPr>
              <w:t>＜</w:t>
            </w:r>
            <w:r>
              <w:rPr>
                <w:rFonts w:ascii="Times New Roman" w:hAnsi="Times New Roman" w:eastAsia="Times New Roman" w:cs="Times New Roman"/>
                <w:spacing w:val="-4"/>
                <w:position w:val="4"/>
                <w:sz w:val="20"/>
                <w:szCs w:val="20"/>
              </w:rPr>
              <w:t xml:space="preserve">0. </w:t>
            </w:r>
            <w:r>
              <w:rPr>
                <w:rFonts w:ascii="Times New Roman" w:hAnsi="Times New Roman" w:eastAsia="Times New Roman" w:cs="Times New Roman"/>
                <w:spacing w:val="-2"/>
                <w:position w:val="4"/>
                <w:sz w:val="20"/>
                <w:szCs w:val="20"/>
              </w:rPr>
              <w:t>1mg/kg</w:t>
            </w:r>
          </w:p>
        </w:tc>
        <w:tc>
          <w:tcPr>
            <w:tcW w:w="930" w:type="dxa"/>
            <w:tcBorders>
              <w:left w:val="single" w:color="000000" w:sz="4" w:space="0"/>
              <w:right w:val="single" w:color="000000" w:sz="4" w:space="0"/>
            </w:tcBorders>
            <w:vAlign w:val="top"/>
          </w:tcPr>
          <w:p w14:paraId="234BB6CF">
            <w:pPr>
              <w:spacing w:before="96" w:line="198" w:lineRule="auto"/>
              <w:ind w:left="35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.5</w:t>
            </w:r>
          </w:p>
        </w:tc>
        <w:tc>
          <w:tcPr>
            <w:tcW w:w="1226" w:type="dxa"/>
            <w:tcBorders>
              <w:left w:val="single" w:color="000000" w:sz="4" w:space="0"/>
              <w:right w:val="single" w:color="000000" w:sz="4" w:space="0"/>
            </w:tcBorders>
            <w:vAlign w:val="top"/>
          </w:tcPr>
          <w:p w14:paraId="21327A6C">
            <w:pPr>
              <w:spacing w:before="22"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7F5AF808">
            <w:pPr>
              <w:spacing w:before="96"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3D8084E5">
            <w:pPr>
              <w:spacing w:before="96"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55212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532" w:type="dxa"/>
            <w:tcBorders>
              <w:left w:val="nil"/>
              <w:right w:val="single" w:color="000000" w:sz="4" w:space="0"/>
            </w:tcBorders>
            <w:vAlign w:val="top"/>
          </w:tcPr>
          <w:p w14:paraId="3CF83229">
            <w:pPr>
              <w:spacing w:before="95" w:line="195" w:lineRule="auto"/>
              <w:ind w:left="1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46</w:t>
            </w:r>
          </w:p>
        </w:tc>
        <w:tc>
          <w:tcPr>
            <w:tcW w:w="944" w:type="dxa"/>
            <w:vMerge w:val="continue"/>
            <w:tcBorders>
              <w:top w:val="nil"/>
              <w:left w:val="single" w:color="000000" w:sz="4" w:space="0"/>
              <w:bottom w:val="nil"/>
              <w:right w:val="single" w:color="000000" w:sz="4" w:space="0"/>
            </w:tcBorders>
            <w:vAlign w:val="top"/>
          </w:tcPr>
          <w:p w14:paraId="40D980ED">
            <w:pPr>
              <w:rPr>
                <w:rFonts w:ascii="Arial"/>
                <w:sz w:val="21"/>
              </w:rPr>
            </w:pPr>
          </w:p>
        </w:tc>
        <w:tc>
          <w:tcPr>
            <w:tcW w:w="1680" w:type="dxa"/>
            <w:tcBorders>
              <w:left w:val="single" w:color="000000" w:sz="4" w:space="0"/>
              <w:right w:val="single" w:color="000000" w:sz="4" w:space="0"/>
            </w:tcBorders>
            <w:vAlign w:val="top"/>
          </w:tcPr>
          <w:p w14:paraId="51D38F82">
            <w:pPr>
              <w:spacing w:before="22" w:line="281" w:lineRule="exact"/>
              <w:ind w:left="119"/>
              <w:rPr>
                <w:rFonts w:ascii="宋体" w:hAnsi="宋体" w:eastAsia="宋体" w:cs="宋体"/>
                <w:sz w:val="20"/>
                <w:szCs w:val="20"/>
              </w:rPr>
            </w:pPr>
            <w:r>
              <w:rPr>
                <w:rFonts w:ascii="宋体" w:hAnsi="宋体" w:eastAsia="宋体" w:cs="宋体"/>
                <w:spacing w:val="6"/>
                <w:position w:val="2"/>
                <w:sz w:val="20"/>
                <w:szCs w:val="20"/>
              </w:rPr>
              <w:t>茚</w:t>
            </w:r>
            <w:r>
              <w:rPr>
                <w:rFonts w:ascii="宋体" w:hAnsi="宋体" w:eastAsia="宋体" w:cs="宋体"/>
                <w:spacing w:val="5"/>
                <w:position w:val="2"/>
                <w:sz w:val="20"/>
                <w:szCs w:val="20"/>
              </w:rPr>
              <w:t>并</w:t>
            </w:r>
            <w:r>
              <w:rPr>
                <w:rFonts w:ascii="Times New Roman" w:hAnsi="Times New Roman" w:eastAsia="Times New Roman" w:cs="Times New Roman"/>
                <w:spacing w:val="5"/>
                <w:position w:val="2"/>
                <w:sz w:val="20"/>
                <w:szCs w:val="20"/>
              </w:rPr>
              <w:t>[1,2,3-</w:t>
            </w:r>
            <w:r>
              <w:rPr>
                <w:rFonts w:ascii="Times New Roman" w:hAnsi="Times New Roman" w:eastAsia="Times New Roman" w:cs="Times New Roman"/>
                <w:position w:val="2"/>
                <w:sz w:val="20"/>
                <w:szCs w:val="20"/>
              </w:rPr>
              <w:t>cd</w:t>
            </w:r>
            <w:r>
              <w:rPr>
                <w:rFonts w:ascii="Times New Roman" w:hAnsi="Times New Roman" w:eastAsia="Times New Roman" w:cs="Times New Roman"/>
                <w:spacing w:val="5"/>
                <w:position w:val="2"/>
                <w:sz w:val="20"/>
                <w:szCs w:val="20"/>
              </w:rPr>
              <w:t>]</w:t>
            </w:r>
            <w:r>
              <w:rPr>
                <w:rFonts w:ascii="宋体" w:hAnsi="宋体" w:eastAsia="宋体" w:cs="宋体"/>
                <w:spacing w:val="5"/>
                <w:position w:val="2"/>
                <w:sz w:val="20"/>
                <w:szCs w:val="20"/>
              </w:rPr>
              <w:t>芘</w:t>
            </w:r>
          </w:p>
        </w:tc>
        <w:tc>
          <w:tcPr>
            <w:tcW w:w="1651" w:type="dxa"/>
            <w:tcBorders>
              <w:left w:val="single" w:color="000000" w:sz="4" w:space="0"/>
              <w:right w:val="single" w:color="000000" w:sz="4" w:space="0"/>
            </w:tcBorders>
            <w:vAlign w:val="top"/>
          </w:tcPr>
          <w:p w14:paraId="21F86588">
            <w:pPr>
              <w:spacing w:before="22" w:line="281" w:lineRule="exact"/>
              <w:ind w:left="339"/>
              <w:rPr>
                <w:rFonts w:ascii="Times New Roman" w:hAnsi="Times New Roman" w:eastAsia="Times New Roman" w:cs="Times New Roman"/>
                <w:sz w:val="20"/>
                <w:szCs w:val="20"/>
              </w:rPr>
            </w:pPr>
            <w:r>
              <w:rPr>
                <w:rFonts w:ascii="宋体" w:hAnsi="宋体" w:eastAsia="宋体" w:cs="宋体"/>
                <w:spacing w:val="-4"/>
                <w:position w:val="4"/>
                <w:sz w:val="20"/>
                <w:szCs w:val="20"/>
              </w:rPr>
              <w:t>＜</w:t>
            </w:r>
            <w:r>
              <w:rPr>
                <w:rFonts w:ascii="Times New Roman" w:hAnsi="Times New Roman" w:eastAsia="Times New Roman" w:cs="Times New Roman"/>
                <w:spacing w:val="-4"/>
                <w:position w:val="4"/>
                <w:sz w:val="20"/>
                <w:szCs w:val="20"/>
              </w:rPr>
              <w:t xml:space="preserve">0. </w:t>
            </w:r>
            <w:r>
              <w:rPr>
                <w:rFonts w:ascii="Times New Roman" w:hAnsi="Times New Roman" w:eastAsia="Times New Roman" w:cs="Times New Roman"/>
                <w:spacing w:val="-2"/>
                <w:position w:val="4"/>
                <w:sz w:val="20"/>
                <w:szCs w:val="20"/>
              </w:rPr>
              <w:t>1mg/kg</w:t>
            </w:r>
          </w:p>
        </w:tc>
        <w:tc>
          <w:tcPr>
            <w:tcW w:w="930" w:type="dxa"/>
            <w:tcBorders>
              <w:left w:val="single" w:color="000000" w:sz="4" w:space="0"/>
              <w:right w:val="single" w:color="000000" w:sz="4" w:space="0"/>
            </w:tcBorders>
            <w:vAlign w:val="top"/>
          </w:tcPr>
          <w:p w14:paraId="62209E0F">
            <w:pPr>
              <w:spacing w:before="95" w:line="195" w:lineRule="auto"/>
              <w:ind w:left="37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c>
          <w:tcPr>
            <w:tcW w:w="1226" w:type="dxa"/>
            <w:tcBorders>
              <w:left w:val="single" w:color="000000" w:sz="4" w:space="0"/>
              <w:right w:val="single" w:color="000000" w:sz="4" w:space="0"/>
            </w:tcBorders>
            <w:vAlign w:val="top"/>
          </w:tcPr>
          <w:p w14:paraId="46412A46">
            <w:pPr>
              <w:spacing w:before="22"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7EAC9949">
            <w:pPr>
              <w:spacing w:before="95"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584B7D08">
            <w:pPr>
              <w:spacing w:before="95"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48A2C7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532" w:type="dxa"/>
            <w:tcBorders>
              <w:left w:val="nil"/>
              <w:right w:val="single" w:color="000000" w:sz="4" w:space="0"/>
            </w:tcBorders>
            <w:vAlign w:val="top"/>
          </w:tcPr>
          <w:p w14:paraId="7F5A59AB">
            <w:pPr>
              <w:spacing w:before="95" w:line="195" w:lineRule="auto"/>
              <w:ind w:left="1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47</w:t>
            </w:r>
          </w:p>
        </w:tc>
        <w:tc>
          <w:tcPr>
            <w:tcW w:w="944" w:type="dxa"/>
            <w:vMerge w:val="continue"/>
            <w:tcBorders>
              <w:top w:val="nil"/>
              <w:left w:val="single" w:color="000000" w:sz="4" w:space="0"/>
              <w:right w:val="single" w:color="000000" w:sz="4" w:space="0"/>
            </w:tcBorders>
            <w:vAlign w:val="top"/>
          </w:tcPr>
          <w:p w14:paraId="211DE0C3">
            <w:pPr>
              <w:rPr>
                <w:rFonts w:ascii="Arial"/>
                <w:sz w:val="21"/>
              </w:rPr>
            </w:pPr>
          </w:p>
        </w:tc>
        <w:tc>
          <w:tcPr>
            <w:tcW w:w="1680" w:type="dxa"/>
            <w:tcBorders>
              <w:left w:val="single" w:color="000000" w:sz="4" w:space="0"/>
              <w:right w:val="single" w:color="000000" w:sz="4" w:space="0"/>
            </w:tcBorders>
            <w:vAlign w:val="top"/>
          </w:tcPr>
          <w:p w14:paraId="3799CF73">
            <w:pPr>
              <w:spacing w:before="60" w:line="228" w:lineRule="auto"/>
              <w:ind w:left="739"/>
              <w:rPr>
                <w:rFonts w:ascii="宋体" w:hAnsi="宋体" w:eastAsia="宋体" w:cs="宋体"/>
                <w:sz w:val="20"/>
                <w:szCs w:val="20"/>
              </w:rPr>
            </w:pPr>
            <w:r>
              <w:rPr>
                <w:rFonts w:ascii="宋体" w:hAnsi="宋体" w:eastAsia="宋体" w:cs="宋体"/>
                <w:sz w:val="20"/>
                <w:szCs w:val="20"/>
              </w:rPr>
              <w:t>萘</w:t>
            </w:r>
          </w:p>
        </w:tc>
        <w:tc>
          <w:tcPr>
            <w:tcW w:w="1651" w:type="dxa"/>
            <w:tcBorders>
              <w:left w:val="single" w:color="000000" w:sz="4" w:space="0"/>
              <w:right w:val="single" w:color="000000" w:sz="4" w:space="0"/>
            </w:tcBorders>
            <w:vAlign w:val="top"/>
          </w:tcPr>
          <w:p w14:paraId="245964AA">
            <w:pPr>
              <w:spacing w:before="22" w:line="281" w:lineRule="exact"/>
              <w:ind w:left="286"/>
              <w:rPr>
                <w:rFonts w:ascii="Times New Roman" w:hAnsi="Times New Roman" w:eastAsia="Times New Roman" w:cs="Times New Roman"/>
                <w:sz w:val="20"/>
                <w:szCs w:val="20"/>
              </w:rPr>
            </w:pPr>
            <w:r>
              <w:rPr>
                <w:rFonts w:ascii="宋体" w:hAnsi="宋体" w:eastAsia="宋体" w:cs="宋体"/>
                <w:spacing w:val="7"/>
                <w:position w:val="2"/>
                <w:sz w:val="20"/>
                <w:szCs w:val="20"/>
              </w:rPr>
              <w:t>＜</w:t>
            </w:r>
            <w:r>
              <w:rPr>
                <w:rFonts w:ascii="Times New Roman" w:hAnsi="Times New Roman" w:eastAsia="Times New Roman" w:cs="Times New Roman"/>
                <w:spacing w:val="4"/>
                <w:position w:val="2"/>
                <w:sz w:val="20"/>
                <w:szCs w:val="20"/>
              </w:rPr>
              <w:t>0.09</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position w:val="2"/>
                <w:sz w:val="20"/>
                <w:szCs w:val="20"/>
              </w:rPr>
              <w:t>kg</w:t>
            </w:r>
          </w:p>
        </w:tc>
        <w:tc>
          <w:tcPr>
            <w:tcW w:w="930" w:type="dxa"/>
            <w:tcBorders>
              <w:left w:val="single" w:color="000000" w:sz="4" w:space="0"/>
              <w:right w:val="single" w:color="000000" w:sz="4" w:space="0"/>
            </w:tcBorders>
            <w:vAlign w:val="top"/>
          </w:tcPr>
          <w:p w14:paraId="07A6DF12">
            <w:pPr>
              <w:spacing w:before="95" w:line="195" w:lineRule="auto"/>
              <w:ind w:left="36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w:t>
            </w:r>
          </w:p>
        </w:tc>
        <w:tc>
          <w:tcPr>
            <w:tcW w:w="1226" w:type="dxa"/>
            <w:tcBorders>
              <w:left w:val="single" w:color="000000" w:sz="4" w:space="0"/>
              <w:right w:val="single" w:color="000000" w:sz="4" w:space="0"/>
            </w:tcBorders>
            <w:vAlign w:val="top"/>
          </w:tcPr>
          <w:p w14:paraId="66446E2C">
            <w:pPr>
              <w:spacing w:before="22" w:line="281" w:lineRule="exact"/>
              <w:ind w:left="57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705" w:type="dxa"/>
            <w:tcBorders>
              <w:left w:val="single" w:color="000000" w:sz="4" w:space="0"/>
            </w:tcBorders>
            <w:vAlign w:val="top"/>
          </w:tcPr>
          <w:p w14:paraId="678CDA24">
            <w:pPr>
              <w:spacing w:before="95" w:line="195" w:lineRule="auto"/>
              <w:ind w:left="3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84" w:type="dxa"/>
            <w:tcBorders>
              <w:right w:val="nil"/>
            </w:tcBorders>
            <w:vAlign w:val="top"/>
          </w:tcPr>
          <w:p w14:paraId="75013F17">
            <w:pPr>
              <w:spacing w:before="95"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bl>
    <w:p w14:paraId="47C08EC1">
      <w:pPr>
        <w:spacing w:line="259" w:lineRule="auto"/>
        <w:rPr>
          <w:rFonts w:ascii="Arial"/>
          <w:sz w:val="21"/>
        </w:rPr>
      </w:pPr>
    </w:p>
    <w:p w14:paraId="72D146D6">
      <w:pPr>
        <w:spacing w:before="75" w:line="389" w:lineRule="auto"/>
        <w:ind w:left="31" w:right="20" w:firstLine="510"/>
        <w:rPr>
          <w:rFonts w:ascii="宋体" w:hAnsi="宋体" w:eastAsia="宋体" w:cs="宋体"/>
          <w:sz w:val="23"/>
          <w:szCs w:val="23"/>
        </w:rPr>
      </w:pPr>
      <w:r>
        <w:rPr>
          <w:rFonts w:ascii="宋体" w:hAnsi="宋体" w:eastAsia="宋体" w:cs="宋体"/>
          <w:spacing w:val="8"/>
          <w:sz w:val="23"/>
          <w:szCs w:val="23"/>
        </w:rPr>
        <w:t>由</w:t>
      </w:r>
      <w:r>
        <w:rPr>
          <w:rFonts w:ascii="宋体" w:hAnsi="宋体" w:eastAsia="宋体" w:cs="宋体"/>
          <w:spacing w:val="6"/>
          <w:sz w:val="23"/>
          <w:szCs w:val="23"/>
        </w:rPr>
        <w:t>上表可知，建设项目占地范围内土壤酸化、碱化强度为无酸化或碱化，盐</w:t>
      </w:r>
      <w:r>
        <w:rPr>
          <w:rFonts w:ascii="宋体" w:hAnsi="宋体" w:eastAsia="宋体" w:cs="宋体"/>
          <w:sz w:val="23"/>
          <w:szCs w:val="23"/>
        </w:rPr>
        <w:t xml:space="preserve"> </w:t>
      </w:r>
      <w:r>
        <w:rPr>
          <w:rFonts w:ascii="宋体" w:hAnsi="宋体" w:eastAsia="宋体" w:cs="宋体"/>
          <w:spacing w:val="1"/>
          <w:sz w:val="23"/>
          <w:szCs w:val="23"/>
        </w:rPr>
        <w:t>化等级为中度盐化，监测点位的土壤各</w:t>
      </w:r>
      <w:r>
        <w:rPr>
          <w:rFonts w:ascii="宋体" w:hAnsi="宋体" w:eastAsia="宋体" w:cs="宋体"/>
          <w:sz w:val="23"/>
          <w:szCs w:val="23"/>
        </w:rPr>
        <w:t xml:space="preserve">项因子标准指数值均小于 </w:t>
      </w:r>
      <w:r>
        <w:rPr>
          <w:rFonts w:ascii="Times New Roman" w:hAnsi="Times New Roman" w:eastAsia="Times New Roman" w:cs="Times New Roman"/>
          <w:sz w:val="23"/>
          <w:szCs w:val="23"/>
        </w:rPr>
        <w:t>1</w:t>
      </w:r>
      <w:r>
        <w:rPr>
          <w:rFonts w:ascii="宋体" w:hAnsi="宋体" w:eastAsia="宋体" w:cs="宋体"/>
          <w:sz w:val="23"/>
          <w:szCs w:val="23"/>
        </w:rPr>
        <w:t xml:space="preserve">，能够满足《土 </w:t>
      </w:r>
      <w:r>
        <w:rPr>
          <w:rFonts w:ascii="宋体" w:hAnsi="宋体" w:eastAsia="宋体" w:cs="宋体"/>
          <w:spacing w:val="8"/>
          <w:sz w:val="23"/>
          <w:szCs w:val="23"/>
        </w:rPr>
        <w:t>壤环境质量</w:t>
      </w:r>
      <w:r>
        <w:rPr>
          <w:rFonts w:ascii="宋体" w:hAnsi="宋体" w:eastAsia="宋体" w:cs="宋体"/>
          <w:spacing w:val="7"/>
          <w:sz w:val="23"/>
          <w:szCs w:val="23"/>
        </w:rPr>
        <w:t xml:space="preserve"> </w:t>
      </w:r>
      <w:r>
        <w:rPr>
          <w:rFonts w:ascii="宋体" w:hAnsi="宋体" w:eastAsia="宋体" w:cs="宋体"/>
          <w:spacing w:val="4"/>
          <w:sz w:val="23"/>
          <w:szCs w:val="23"/>
        </w:rPr>
        <w:t>建设用地土壤污染风险管控标准 (试行) 》  (</w:t>
      </w:r>
      <w:r>
        <w:rPr>
          <w:rFonts w:ascii="Times New Roman" w:hAnsi="Times New Roman" w:eastAsia="Times New Roman" w:cs="Times New Roman"/>
          <w:sz w:val="23"/>
          <w:szCs w:val="23"/>
        </w:rPr>
        <w:t>GB</w:t>
      </w:r>
      <w:r>
        <w:rPr>
          <w:rFonts w:ascii="Times New Roman" w:hAnsi="Times New Roman" w:eastAsia="Times New Roman" w:cs="Times New Roman"/>
          <w:spacing w:val="4"/>
          <w:sz w:val="23"/>
          <w:szCs w:val="23"/>
        </w:rPr>
        <w:t>36600-2018</w:t>
      </w:r>
      <w:r>
        <w:rPr>
          <w:rFonts w:ascii="宋体" w:hAnsi="宋体" w:eastAsia="宋体" w:cs="宋体"/>
          <w:spacing w:val="4"/>
          <w:sz w:val="23"/>
          <w:szCs w:val="23"/>
        </w:rPr>
        <w:t>) 中筛</w:t>
      </w:r>
      <w:r>
        <w:rPr>
          <w:rFonts w:ascii="宋体" w:hAnsi="宋体" w:eastAsia="宋体" w:cs="宋体"/>
          <w:sz w:val="23"/>
          <w:szCs w:val="23"/>
        </w:rPr>
        <w:t xml:space="preserve"> </w:t>
      </w:r>
      <w:r>
        <w:rPr>
          <w:rFonts w:ascii="宋体" w:hAnsi="宋体" w:eastAsia="宋体" w:cs="宋体"/>
          <w:spacing w:val="14"/>
          <w:sz w:val="23"/>
          <w:szCs w:val="23"/>
        </w:rPr>
        <w:t>选</w:t>
      </w:r>
      <w:r>
        <w:rPr>
          <w:rFonts w:ascii="宋体" w:hAnsi="宋体" w:eastAsia="宋体" w:cs="宋体"/>
          <w:spacing w:val="9"/>
          <w:sz w:val="23"/>
          <w:szCs w:val="23"/>
        </w:rPr>
        <w:t>值第二类标准；说明评价区域内土壤环境质量较好。</w:t>
      </w:r>
    </w:p>
    <w:p w14:paraId="5E040AC6">
      <w:pPr>
        <w:sectPr>
          <w:headerReference r:id="rId192" w:type="default"/>
          <w:footerReference r:id="rId193" w:type="default"/>
          <w:pgSz w:w="11906" w:h="16839"/>
          <w:pgMar w:top="1132" w:right="1776" w:bottom="1182" w:left="1777" w:header="878" w:footer="1022" w:gutter="0"/>
          <w:cols w:space="720" w:num="1"/>
        </w:sectPr>
      </w:pPr>
    </w:p>
    <w:p w14:paraId="5AB343D1">
      <w:r>
        <w:pict>
          <v:shape id="_x0000_s1234" o:spid="_x0000_s1234" style="position:absolute;left:0pt;margin-left:72pt;margin-top:57.35pt;height:0.75pt;width:697.95pt;mso-position-horizontal-relative:page;mso-position-vertical-relative:page;z-index:251888640;mso-width-relative:page;mso-height-relative:page;" fillcolor="#000000" filled="t" stroked="f" coordsize="13959,15" o:allowincell="f" path="m0,0l13958,0,13958,14,0,14,0,0xe">
            <v:path/>
            <v:fill on="t" focussize="0,0"/>
            <v:stroke on="f"/>
            <v:imagedata o:title=""/>
            <o:lock v:ext="edit"/>
          </v:shape>
        </w:pict>
      </w:r>
      <w:r>
        <w:pict>
          <v:shape id="_x0000_s1235" o:spid="_x0000_s1235" o:spt="202" type="#_x0000_t202" style="position:absolute;left:0pt;margin-left:341pt;margin-top:476.8pt;height:33.4pt;width:163.5pt;mso-position-horizontal-relative:page;mso-position-vertical-relative:page;z-index:-251429888;mso-width-relative:page;mso-height-relative:page;" fillcolor="#FFFF00" filled="t" stroked="f" coordsize="21600,21600" o:allowincell="f">
            <v:path/>
            <v:fill on="t" focussize="0,0"/>
            <v:stroke on="f"/>
            <v:imagedata o:title=""/>
            <o:lock v:ext="edit" aspectratio="f"/>
            <v:textbox inset="0mm,0mm,0mm,0mm">
              <w:txbxContent>
                <w:p w14:paraId="1CC4C4E7">
                  <w:pPr>
                    <w:spacing w:line="272" w:lineRule="auto"/>
                    <w:rPr>
                      <w:rFonts w:ascii="Arial"/>
                      <w:sz w:val="21"/>
                    </w:rPr>
                  </w:pPr>
                </w:p>
                <w:p w14:paraId="78AD9238">
                  <w:pPr>
                    <w:spacing w:before="74" w:line="228" w:lineRule="auto"/>
                    <w:ind w:left="33"/>
                    <w:rPr>
                      <w:rFonts w:ascii="宋体" w:hAnsi="宋体" w:eastAsia="宋体" w:cs="宋体"/>
                      <w:sz w:val="23"/>
                      <w:szCs w:val="23"/>
                    </w:rPr>
                  </w:pPr>
                  <w:r>
                    <w:rPr>
                      <w:rFonts w:ascii="宋体" w:hAnsi="宋体" w:eastAsia="宋体" w:cs="宋体"/>
                      <w:spacing w:val="4"/>
                      <w:sz w:val="23"/>
                      <w:szCs w:val="23"/>
                      <w14:textOutline w14:w="4358" w14:cap="sq" w14:cmpd="sng">
                        <w14:solidFill>
                          <w14:srgbClr w14:val="000000"/>
                        </w14:solidFill>
                        <w14:prstDash w14:val="solid"/>
                        <w14:bevel/>
                      </w14:textOutline>
                    </w:rPr>
                    <w:t>图</w:t>
                  </w:r>
                  <w:r>
                    <w:rPr>
                      <w:rFonts w:ascii="宋体" w:hAnsi="宋体" w:eastAsia="宋体" w:cs="宋体"/>
                      <w:spacing w:val="4"/>
                      <w:sz w:val="23"/>
                      <w:szCs w:val="23"/>
                    </w:rPr>
                    <w:t xml:space="preserve"> </w:t>
                  </w:r>
                  <w:r>
                    <w:rPr>
                      <w:rFonts w:ascii="Times New Roman" w:hAnsi="Times New Roman" w:eastAsia="Times New Roman" w:cs="Times New Roman"/>
                      <w:b/>
                      <w:bCs/>
                      <w:spacing w:val="4"/>
                      <w:sz w:val="23"/>
                      <w:szCs w:val="23"/>
                    </w:rPr>
                    <w:t>4</w:t>
                  </w:r>
                  <w:r>
                    <w:rPr>
                      <w:rFonts w:ascii="Times New Roman" w:hAnsi="Times New Roman" w:eastAsia="Times New Roman" w:cs="Times New Roman"/>
                      <w:b/>
                      <w:bCs/>
                      <w:spacing w:val="3"/>
                      <w:sz w:val="23"/>
                      <w:szCs w:val="23"/>
                    </w:rPr>
                    <w:t>-</w:t>
                  </w:r>
                  <w:r>
                    <w:rPr>
                      <w:rFonts w:ascii="Times New Roman" w:hAnsi="Times New Roman" w:eastAsia="Times New Roman" w:cs="Times New Roman"/>
                      <w:b/>
                      <w:bCs/>
                      <w:spacing w:val="2"/>
                      <w:sz w:val="23"/>
                      <w:szCs w:val="23"/>
                    </w:rPr>
                    <w:t>1</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14:textOutline w14:w="4358" w14:cap="sq" w14:cmpd="sng">
                        <w14:solidFill>
                          <w14:srgbClr w14:val="000000"/>
                        </w14:solidFill>
                        <w14:prstDash w14:val="solid"/>
                        <w14:bevel/>
                      </w14:textOutline>
                    </w:rPr>
                    <w:t>建设项目监测点位图</w:t>
                  </w:r>
                </w:p>
              </w:txbxContent>
            </v:textbox>
          </v:shape>
        </w:pict>
      </w:r>
    </w:p>
    <w:p w14:paraId="1BE62FF5"/>
    <w:p w14:paraId="6BFD3C4C"/>
    <w:p w14:paraId="3152D0A2"/>
    <w:p w14:paraId="36443865">
      <w:pPr>
        <w:spacing w:line="44" w:lineRule="exact"/>
      </w:pPr>
    </w:p>
    <w:tbl>
      <w:tblPr>
        <w:tblStyle w:val="4"/>
        <w:tblW w:w="14011" w:type="dxa"/>
        <w:tblInd w:w="30" w:type="dxa"/>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Layout w:type="fixed"/>
        <w:tblCellMar>
          <w:top w:w="0" w:type="dxa"/>
          <w:left w:w="0" w:type="dxa"/>
          <w:bottom w:w="0" w:type="dxa"/>
          <w:right w:w="0" w:type="dxa"/>
        </w:tblCellMar>
      </w:tblPr>
      <w:tblGrid>
        <w:gridCol w:w="14011"/>
      </w:tblGrid>
      <w:tr w14:paraId="2CD1B93E">
        <w:tblPrEx>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CellMar>
            <w:top w:w="0" w:type="dxa"/>
            <w:left w:w="0" w:type="dxa"/>
            <w:bottom w:w="0" w:type="dxa"/>
            <w:right w:w="0" w:type="dxa"/>
          </w:tblCellMar>
        </w:tblPrEx>
        <w:trPr>
          <w:trHeight w:val="7459" w:hRule="atLeast"/>
        </w:trPr>
        <w:tc>
          <w:tcPr>
            <w:tcW w:w="14011" w:type="dxa"/>
            <w:vAlign w:val="top"/>
          </w:tcPr>
          <w:p w14:paraId="3944837C">
            <w:pPr>
              <w:spacing w:line="1569" w:lineRule="exact"/>
              <w:textAlignment w:val="center"/>
            </w:pPr>
            <w:r>
              <w:drawing>
                <wp:anchor distT="0" distB="0" distL="0" distR="0" simplePos="0" relativeHeight="251891712" behindDoc="0" locked="0" layoutInCell="1" allowOverlap="1">
                  <wp:simplePos x="0" y="0"/>
                  <wp:positionH relativeFrom="rightMargin">
                    <wp:posOffset>-991870</wp:posOffset>
                  </wp:positionH>
                  <wp:positionV relativeFrom="topMargin">
                    <wp:posOffset>4144645</wp:posOffset>
                  </wp:positionV>
                  <wp:extent cx="732790" cy="514985"/>
                  <wp:effectExtent l="0" t="0" r="0" b="0"/>
                  <wp:wrapNone/>
                  <wp:docPr id="107" name="IM 107"/>
                  <wp:cNvGraphicFramePr/>
                  <a:graphic xmlns:a="http://schemas.openxmlformats.org/drawingml/2006/main">
                    <a:graphicData uri="http://schemas.openxmlformats.org/drawingml/2006/picture">
                      <pic:pic xmlns:pic="http://schemas.openxmlformats.org/drawingml/2006/picture">
                        <pic:nvPicPr>
                          <pic:cNvPr id="107" name="IM 107"/>
                          <pic:cNvPicPr/>
                        </pic:nvPicPr>
                        <pic:blipFill>
                          <a:blip r:embed="rId494"/>
                          <a:stretch>
                            <a:fillRect/>
                          </a:stretch>
                        </pic:blipFill>
                        <pic:spPr>
                          <a:xfrm>
                            <a:off x="0" y="0"/>
                            <a:ext cx="733044" cy="515111"/>
                          </a:xfrm>
                          <a:prstGeom prst="rect">
                            <a:avLst/>
                          </a:prstGeom>
                        </pic:spPr>
                      </pic:pic>
                    </a:graphicData>
                  </a:graphic>
                </wp:anchor>
              </w:drawing>
            </w:r>
            <w:r>
              <w:drawing>
                <wp:anchor distT="0" distB="0" distL="0" distR="0" simplePos="0" relativeHeight="251892736" behindDoc="0" locked="0" layoutInCell="1" allowOverlap="1">
                  <wp:simplePos x="0" y="0"/>
                  <wp:positionH relativeFrom="rightMargin">
                    <wp:posOffset>-6503670</wp:posOffset>
                  </wp:positionH>
                  <wp:positionV relativeFrom="topMargin">
                    <wp:posOffset>899795</wp:posOffset>
                  </wp:positionV>
                  <wp:extent cx="313690" cy="270510"/>
                  <wp:effectExtent l="0" t="0" r="0" b="0"/>
                  <wp:wrapNone/>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r:embed="rId495"/>
                          <a:stretch>
                            <a:fillRect/>
                          </a:stretch>
                        </pic:blipFill>
                        <pic:spPr>
                          <a:xfrm>
                            <a:off x="0" y="0"/>
                            <a:ext cx="313575" cy="270331"/>
                          </a:xfrm>
                          <a:prstGeom prst="rect">
                            <a:avLst/>
                          </a:prstGeom>
                        </pic:spPr>
                      </pic:pic>
                    </a:graphicData>
                  </a:graphic>
                </wp:anchor>
              </w:drawing>
            </w:r>
            <w:r>
              <w:drawing>
                <wp:anchor distT="0" distB="0" distL="0" distR="0" simplePos="0" relativeHeight="251890688" behindDoc="0" locked="0" layoutInCell="1" allowOverlap="1">
                  <wp:simplePos x="0" y="0"/>
                  <wp:positionH relativeFrom="rightMargin">
                    <wp:posOffset>-5300980</wp:posOffset>
                  </wp:positionH>
                  <wp:positionV relativeFrom="topMargin">
                    <wp:posOffset>1622425</wp:posOffset>
                  </wp:positionV>
                  <wp:extent cx="159385" cy="159385"/>
                  <wp:effectExtent l="0" t="0" r="0" b="0"/>
                  <wp:wrapNone/>
                  <wp:docPr id="109" name="IM 109"/>
                  <wp:cNvGraphicFramePr/>
                  <a:graphic xmlns:a="http://schemas.openxmlformats.org/drawingml/2006/main">
                    <a:graphicData uri="http://schemas.openxmlformats.org/drawingml/2006/picture">
                      <pic:pic xmlns:pic="http://schemas.openxmlformats.org/drawingml/2006/picture">
                        <pic:nvPicPr>
                          <pic:cNvPr id="109" name="IM 109"/>
                          <pic:cNvPicPr/>
                        </pic:nvPicPr>
                        <pic:blipFill>
                          <a:blip r:embed="rId496"/>
                          <a:stretch>
                            <a:fillRect/>
                          </a:stretch>
                        </pic:blipFill>
                        <pic:spPr>
                          <a:xfrm>
                            <a:off x="0" y="0"/>
                            <a:ext cx="159562" cy="159562"/>
                          </a:xfrm>
                          <a:prstGeom prst="rect">
                            <a:avLst/>
                          </a:prstGeom>
                        </pic:spPr>
                      </pic:pic>
                    </a:graphicData>
                  </a:graphic>
                </wp:anchor>
              </w:drawing>
            </w:r>
            <w:r>
              <w:drawing>
                <wp:anchor distT="0" distB="0" distL="0" distR="0" simplePos="0" relativeHeight="251889664" behindDoc="0" locked="0" layoutInCell="1" allowOverlap="1">
                  <wp:simplePos x="0" y="0"/>
                  <wp:positionH relativeFrom="rightMargin">
                    <wp:posOffset>-5013960</wp:posOffset>
                  </wp:positionH>
                  <wp:positionV relativeFrom="topMargin">
                    <wp:posOffset>1799590</wp:posOffset>
                  </wp:positionV>
                  <wp:extent cx="81280" cy="81280"/>
                  <wp:effectExtent l="0" t="0" r="0" b="0"/>
                  <wp:wrapNone/>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r:embed="rId497"/>
                          <a:stretch>
                            <a:fillRect/>
                          </a:stretch>
                        </pic:blipFill>
                        <pic:spPr>
                          <a:xfrm>
                            <a:off x="0" y="0"/>
                            <a:ext cx="81279" cy="81280"/>
                          </a:xfrm>
                          <a:prstGeom prst="rect">
                            <a:avLst/>
                          </a:prstGeom>
                        </pic:spPr>
                      </pic:pic>
                    </a:graphicData>
                  </a:graphic>
                </wp:anchor>
              </w:drawing>
            </w:r>
            <w:r>
              <w:drawing>
                <wp:anchor distT="0" distB="0" distL="0" distR="0" simplePos="0" relativeHeight="251893760" behindDoc="0" locked="0" layoutInCell="1" allowOverlap="1">
                  <wp:simplePos x="0" y="0"/>
                  <wp:positionH relativeFrom="rightMargin">
                    <wp:posOffset>-5034280</wp:posOffset>
                  </wp:positionH>
                  <wp:positionV relativeFrom="topMargin">
                    <wp:posOffset>2003425</wp:posOffset>
                  </wp:positionV>
                  <wp:extent cx="159385" cy="159385"/>
                  <wp:effectExtent l="0" t="0" r="0" b="0"/>
                  <wp:wrapNone/>
                  <wp:docPr id="111" name="IM 111"/>
                  <wp:cNvGraphicFramePr/>
                  <a:graphic xmlns:a="http://schemas.openxmlformats.org/drawingml/2006/main">
                    <a:graphicData uri="http://schemas.openxmlformats.org/drawingml/2006/picture">
                      <pic:pic xmlns:pic="http://schemas.openxmlformats.org/drawingml/2006/picture">
                        <pic:nvPicPr>
                          <pic:cNvPr id="111" name="IM 111"/>
                          <pic:cNvPicPr/>
                        </pic:nvPicPr>
                        <pic:blipFill>
                          <a:blip r:embed="rId496"/>
                          <a:stretch>
                            <a:fillRect/>
                          </a:stretch>
                        </pic:blipFill>
                        <pic:spPr>
                          <a:xfrm>
                            <a:off x="0" y="0"/>
                            <a:ext cx="159562" cy="159562"/>
                          </a:xfrm>
                          <a:prstGeom prst="rect">
                            <a:avLst/>
                          </a:prstGeom>
                        </pic:spPr>
                      </pic:pic>
                    </a:graphicData>
                  </a:graphic>
                </wp:anchor>
              </w:drawing>
            </w:r>
            <w:r>
              <w:drawing>
                <wp:inline distT="0" distB="0" distL="0" distR="0">
                  <wp:extent cx="972185" cy="996315"/>
                  <wp:effectExtent l="0" t="0" r="0" b="0"/>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r:embed="rId498"/>
                          <a:stretch>
                            <a:fillRect/>
                          </a:stretch>
                        </pic:blipFill>
                        <pic:spPr>
                          <a:xfrm>
                            <a:off x="0" y="0"/>
                            <a:ext cx="972311" cy="996696"/>
                          </a:xfrm>
                          <a:prstGeom prst="rect">
                            <a:avLst/>
                          </a:prstGeom>
                        </pic:spPr>
                      </pic:pic>
                    </a:graphicData>
                  </a:graphic>
                </wp:inline>
              </w:drawing>
            </w:r>
          </w:p>
          <w:p w14:paraId="3A9CF800">
            <w:pPr>
              <w:spacing w:line="311" w:lineRule="auto"/>
              <w:rPr>
                <w:rFonts w:ascii="Arial"/>
                <w:sz w:val="21"/>
              </w:rPr>
            </w:pPr>
          </w:p>
          <w:p w14:paraId="5866527A">
            <w:pPr>
              <w:spacing w:line="311" w:lineRule="auto"/>
              <w:rPr>
                <w:rFonts w:ascii="Arial"/>
                <w:sz w:val="21"/>
              </w:rPr>
            </w:pPr>
          </w:p>
          <w:p w14:paraId="0C359544">
            <w:pPr>
              <w:spacing w:line="312" w:lineRule="auto"/>
              <w:rPr>
                <w:rFonts w:ascii="Arial"/>
                <w:sz w:val="21"/>
              </w:rPr>
            </w:pPr>
          </w:p>
          <w:p w14:paraId="36B7B32D">
            <w:pPr>
              <w:spacing w:line="251" w:lineRule="exact"/>
              <w:ind w:firstLine="6277"/>
              <w:textAlignment w:val="center"/>
            </w:pPr>
            <w:r>
              <w:drawing>
                <wp:inline distT="0" distB="0" distL="0" distR="0">
                  <wp:extent cx="159385" cy="159385"/>
                  <wp:effectExtent l="0" t="0" r="0" b="0"/>
                  <wp:docPr id="113" name="IM 113"/>
                  <wp:cNvGraphicFramePr/>
                  <a:graphic xmlns:a="http://schemas.openxmlformats.org/drawingml/2006/main">
                    <a:graphicData uri="http://schemas.openxmlformats.org/drawingml/2006/picture">
                      <pic:pic xmlns:pic="http://schemas.openxmlformats.org/drawingml/2006/picture">
                        <pic:nvPicPr>
                          <pic:cNvPr id="113" name="IM 113"/>
                          <pic:cNvPicPr/>
                        </pic:nvPicPr>
                        <pic:blipFill>
                          <a:blip r:embed="rId499"/>
                          <a:stretch>
                            <a:fillRect/>
                          </a:stretch>
                        </pic:blipFill>
                        <pic:spPr>
                          <a:xfrm>
                            <a:off x="0" y="0"/>
                            <a:ext cx="159562" cy="159562"/>
                          </a:xfrm>
                          <a:prstGeom prst="rect">
                            <a:avLst/>
                          </a:prstGeom>
                        </pic:spPr>
                      </pic:pic>
                    </a:graphicData>
                  </a:graphic>
                </wp:inline>
              </w:drawing>
            </w:r>
          </w:p>
          <w:p w14:paraId="32DEF936">
            <w:pPr>
              <w:spacing w:before="98" w:line="592" w:lineRule="exact"/>
              <w:ind w:firstLine="5407"/>
              <w:textAlignment w:val="center"/>
            </w:pPr>
            <w:r>
              <w:drawing>
                <wp:inline distT="0" distB="0" distL="0" distR="0">
                  <wp:extent cx="388620" cy="375285"/>
                  <wp:effectExtent l="0" t="0" r="0" b="0"/>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r:embed="rId500"/>
                          <a:stretch>
                            <a:fillRect/>
                          </a:stretch>
                        </pic:blipFill>
                        <pic:spPr>
                          <a:xfrm>
                            <a:off x="0" y="0"/>
                            <a:ext cx="388620" cy="375513"/>
                          </a:xfrm>
                          <a:prstGeom prst="rect">
                            <a:avLst/>
                          </a:prstGeom>
                        </pic:spPr>
                      </pic:pic>
                    </a:graphicData>
                  </a:graphic>
                </wp:inline>
              </w:drawing>
            </w:r>
          </w:p>
          <w:p w14:paraId="3C87517B">
            <w:pPr>
              <w:spacing w:line="290" w:lineRule="auto"/>
              <w:rPr>
                <w:rFonts w:ascii="Arial"/>
                <w:sz w:val="21"/>
              </w:rPr>
            </w:pPr>
          </w:p>
          <w:p w14:paraId="7A50E806">
            <w:pPr>
              <w:spacing w:line="291" w:lineRule="auto"/>
              <w:rPr>
                <w:rFonts w:ascii="Arial"/>
                <w:sz w:val="21"/>
              </w:rPr>
            </w:pPr>
          </w:p>
          <w:p w14:paraId="39260977">
            <w:pPr>
              <w:spacing w:line="327" w:lineRule="exact"/>
              <w:ind w:firstLine="10848"/>
              <w:textAlignment w:val="center"/>
            </w:pPr>
            <w:r>
              <w:drawing>
                <wp:inline distT="0" distB="0" distL="0" distR="0">
                  <wp:extent cx="206375" cy="207010"/>
                  <wp:effectExtent l="0" t="0" r="0" b="0"/>
                  <wp:docPr id="115" name="IM 115"/>
                  <wp:cNvGraphicFramePr/>
                  <a:graphic xmlns:a="http://schemas.openxmlformats.org/drawingml/2006/main">
                    <a:graphicData uri="http://schemas.openxmlformats.org/drawingml/2006/picture">
                      <pic:pic xmlns:pic="http://schemas.openxmlformats.org/drawingml/2006/picture">
                        <pic:nvPicPr>
                          <pic:cNvPr id="115" name="IM 115"/>
                          <pic:cNvPicPr/>
                        </pic:nvPicPr>
                        <pic:blipFill>
                          <a:blip r:embed="rId501"/>
                          <a:stretch>
                            <a:fillRect/>
                          </a:stretch>
                        </pic:blipFill>
                        <pic:spPr>
                          <a:xfrm>
                            <a:off x="0" y="0"/>
                            <a:ext cx="206857" cy="207607"/>
                          </a:xfrm>
                          <a:prstGeom prst="rect">
                            <a:avLst/>
                          </a:prstGeom>
                        </pic:spPr>
                      </pic:pic>
                    </a:graphicData>
                  </a:graphic>
                </wp:inline>
              </w:drawing>
            </w:r>
          </w:p>
          <w:p w14:paraId="44449563"/>
          <w:p w14:paraId="41445008"/>
          <w:p w14:paraId="2B6E90DC"/>
          <w:p w14:paraId="5E92DB4C"/>
          <w:p w14:paraId="3E3E3D42">
            <w:pPr>
              <w:spacing w:line="96" w:lineRule="exact"/>
            </w:pPr>
          </w:p>
          <w:tbl>
            <w:tblPr>
              <w:tblStyle w:val="4"/>
              <w:tblW w:w="2913" w:type="dxa"/>
              <w:tblInd w:w="10"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2913"/>
            </w:tblGrid>
            <w:tr w14:paraId="5EF0389F">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1992" w:hRule="atLeast"/>
              </w:trPr>
              <w:tc>
                <w:tcPr>
                  <w:tcW w:w="2913" w:type="dxa"/>
                  <w:shd w:val="clear" w:color="auto" w:fill="FFFFFF"/>
                  <w:vAlign w:val="top"/>
                </w:tcPr>
                <w:p w14:paraId="1C15AEF9">
                  <w:pPr>
                    <w:spacing w:before="129" w:line="229" w:lineRule="auto"/>
                    <w:ind w:left="1093"/>
                    <w:rPr>
                      <w:rFonts w:ascii="宋体" w:hAnsi="宋体" w:eastAsia="宋体" w:cs="宋体"/>
                      <w:sz w:val="20"/>
                      <w:szCs w:val="20"/>
                    </w:rPr>
                  </w:pPr>
                  <w:r>
                    <w:drawing>
                      <wp:anchor distT="0" distB="0" distL="0" distR="0" simplePos="0" relativeHeight="251887616" behindDoc="1" locked="0" layoutInCell="1" allowOverlap="1">
                        <wp:simplePos x="0" y="0"/>
                        <wp:positionH relativeFrom="column">
                          <wp:posOffset>-12700</wp:posOffset>
                        </wp:positionH>
                        <wp:positionV relativeFrom="paragraph">
                          <wp:posOffset>-3457575</wp:posOffset>
                        </wp:positionV>
                        <wp:extent cx="8858885" cy="4736465"/>
                        <wp:effectExtent l="0" t="0" r="0" b="0"/>
                        <wp:wrapNone/>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r:embed="rId502"/>
                                <a:stretch>
                                  <a:fillRect/>
                                </a:stretch>
                              </pic:blipFill>
                              <pic:spPr>
                                <a:xfrm>
                                  <a:off x="0" y="0"/>
                                  <a:ext cx="8859011" cy="4736591"/>
                                </a:xfrm>
                                <a:prstGeom prst="rect">
                                  <a:avLst/>
                                </a:prstGeom>
                              </pic:spPr>
                            </pic:pic>
                          </a:graphicData>
                        </a:graphic>
                      </wp:anchor>
                    </w:drawing>
                  </w:r>
                  <w:r>
                    <w:rPr>
                      <w:rFonts w:ascii="宋体" w:hAnsi="宋体" w:eastAsia="宋体" w:cs="宋体"/>
                      <w:spacing w:val="1"/>
                      <w:sz w:val="20"/>
                      <w:szCs w:val="20"/>
                      <w:u w:val="single" w:color="auto"/>
                      <w14:textOutline w14:w="3795" w14:cap="sq" w14:cmpd="sng">
                        <w14:solidFill>
                          <w14:srgbClr w14:val="000000"/>
                        </w14:solidFill>
                        <w14:prstDash w14:val="solid"/>
                        <w14:bevel/>
                      </w14:textOutline>
                    </w:rPr>
                    <w:t>图</w:t>
                  </w:r>
                  <w:r>
                    <w:rPr>
                      <w:rFonts w:ascii="宋体" w:hAnsi="宋体" w:eastAsia="宋体" w:cs="宋体"/>
                      <w:spacing w:val="1"/>
                      <w:sz w:val="20"/>
                      <w:szCs w:val="20"/>
                      <w:u w:val="single" w:color="auto"/>
                    </w:rPr>
                    <w:t xml:space="preserve">   </w:t>
                  </w:r>
                  <w:r>
                    <w:rPr>
                      <w:rFonts w:ascii="宋体" w:hAnsi="宋体" w:eastAsia="宋体" w:cs="宋体"/>
                      <w:spacing w:val="1"/>
                      <w:sz w:val="20"/>
                      <w:szCs w:val="20"/>
                      <w:u w:val="single" w:color="auto"/>
                      <w14:textOutline w14:w="3795" w14:cap="sq" w14:cmpd="sng">
                        <w14:solidFill>
                          <w14:srgbClr w14:val="000000"/>
                        </w14:solidFill>
                        <w14:prstDash w14:val="solid"/>
                        <w14:bevel/>
                      </w14:textOutline>
                    </w:rPr>
                    <w:t>例</w:t>
                  </w:r>
                </w:p>
                <w:p w14:paraId="59230FD8">
                  <w:pPr>
                    <w:spacing w:before="28" w:line="241" w:lineRule="auto"/>
                    <w:ind w:left="234"/>
                    <w:rPr>
                      <w:rFonts w:ascii="宋体" w:hAnsi="宋体" w:eastAsia="宋体" w:cs="宋体"/>
                      <w:sz w:val="20"/>
                      <w:szCs w:val="20"/>
                    </w:rPr>
                  </w:pPr>
                  <w:r>
                    <w:rPr>
                      <w:rFonts w:ascii="宋体" w:hAnsi="宋体" w:eastAsia="宋体" w:cs="宋体"/>
                      <w:position w:val="-1"/>
                      <w:sz w:val="20"/>
                      <w:szCs w:val="20"/>
                    </w:rPr>
                    <w:drawing>
                      <wp:inline distT="0" distB="0" distL="0" distR="0">
                        <wp:extent cx="130175" cy="131445"/>
                        <wp:effectExtent l="0" t="0" r="0" b="0"/>
                        <wp:docPr id="117" name="IM 117"/>
                        <wp:cNvGraphicFramePr/>
                        <a:graphic xmlns:a="http://schemas.openxmlformats.org/drawingml/2006/main">
                          <a:graphicData uri="http://schemas.openxmlformats.org/drawingml/2006/picture">
                            <pic:pic xmlns:pic="http://schemas.openxmlformats.org/drawingml/2006/picture">
                              <pic:nvPicPr>
                                <pic:cNvPr id="117" name="IM 117"/>
                                <pic:cNvPicPr/>
                              </pic:nvPicPr>
                              <pic:blipFill>
                                <a:blip r:embed="rId503"/>
                                <a:stretch>
                                  <a:fillRect/>
                                </a:stretch>
                              </pic:blipFill>
                              <pic:spPr>
                                <a:xfrm>
                                  <a:off x="0" y="0"/>
                                  <a:ext cx="130175" cy="131445"/>
                                </a:xfrm>
                                <a:prstGeom prst="rect">
                                  <a:avLst/>
                                </a:prstGeom>
                              </pic:spPr>
                            </pic:pic>
                          </a:graphicData>
                        </a:graphic>
                      </wp:inline>
                    </w:drawing>
                  </w:r>
                  <w:r>
                    <w:rPr>
                      <w:rFonts w:ascii="宋体" w:hAnsi="宋体" w:eastAsia="宋体" w:cs="宋体"/>
                      <w:spacing w:val="7"/>
                      <w:sz w:val="20"/>
                      <w:szCs w:val="20"/>
                    </w:rPr>
                    <w:t xml:space="preserve"> </w:t>
                  </w:r>
                  <w:r>
                    <w:rPr>
                      <w:rFonts w:ascii="宋体" w:hAnsi="宋体" w:eastAsia="宋体" w:cs="宋体"/>
                      <w:spacing w:val="6"/>
                      <w:sz w:val="20"/>
                      <w:szCs w:val="20"/>
                    </w:rPr>
                    <w:t>建设项目所在地</w:t>
                  </w:r>
                </w:p>
                <w:p w14:paraId="4D724726">
                  <w:pPr>
                    <w:tabs>
                      <w:tab w:val="left" w:pos="255"/>
                    </w:tabs>
                    <w:spacing w:before="64" w:line="279" w:lineRule="auto"/>
                    <w:ind w:left="216" w:right="265" w:firstLine="28"/>
                    <w:rPr>
                      <w:rFonts w:ascii="宋体" w:hAnsi="宋体" w:eastAsia="宋体" w:cs="宋体"/>
                      <w:sz w:val="20"/>
                      <w:szCs w:val="20"/>
                    </w:rPr>
                  </w:pPr>
                  <w:r>
                    <w:rPr>
                      <w:rFonts w:ascii="宋体" w:hAnsi="宋体" w:eastAsia="宋体" w:cs="宋体"/>
                      <w:position w:val="-1"/>
                      <w:sz w:val="20"/>
                      <w:szCs w:val="20"/>
                    </w:rPr>
                    <w:drawing>
                      <wp:inline distT="0" distB="0" distL="0" distR="0">
                        <wp:extent cx="117475" cy="117475"/>
                        <wp:effectExtent l="0" t="0" r="0" b="0"/>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r:embed="rId504"/>
                                <a:stretch>
                                  <a:fillRect/>
                                </a:stretch>
                              </pic:blipFill>
                              <pic:spPr>
                                <a:xfrm>
                                  <a:off x="0" y="0"/>
                                  <a:ext cx="117475" cy="117475"/>
                                </a:xfrm>
                                <a:prstGeom prst="rect">
                                  <a:avLst/>
                                </a:prstGeom>
                              </pic:spPr>
                            </pic:pic>
                          </a:graphicData>
                        </a:graphic>
                      </wp:inline>
                    </w:drawing>
                  </w:r>
                  <w:r>
                    <w:rPr>
                      <w:rFonts w:ascii="宋体" w:hAnsi="宋体" w:eastAsia="宋体" w:cs="宋体"/>
                      <w:spacing w:val="8"/>
                      <w:sz w:val="20"/>
                      <w:szCs w:val="20"/>
                    </w:rPr>
                    <w:t xml:space="preserve"> 空气环境质量监测</w:t>
                  </w:r>
                  <w:r>
                    <w:rPr>
                      <w:rFonts w:ascii="宋体" w:hAnsi="宋体" w:eastAsia="宋体" w:cs="宋体"/>
                      <w:spacing w:val="7"/>
                      <w:sz w:val="20"/>
                      <w:szCs w:val="20"/>
                    </w:rPr>
                    <w:t>点</w:t>
                  </w:r>
                  <w:r>
                    <w:rPr>
                      <w:rFonts w:ascii="宋体" w:hAnsi="宋体" w:eastAsia="宋体" w:cs="宋体"/>
                      <w:sz w:val="20"/>
                      <w:szCs w:val="20"/>
                    </w:rPr>
                    <w:t xml:space="preserve">  </w:t>
                  </w:r>
                  <w:r>
                    <w:rPr>
                      <w:rFonts w:ascii="宋体" w:hAnsi="宋体" w:eastAsia="宋体" w:cs="宋体"/>
                      <w:sz w:val="20"/>
                      <w:szCs w:val="20"/>
                    </w:rPr>
                    <w:tab/>
                  </w:r>
                  <w:r>
                    <w:rPr>
                      <w:rFonts w:ascii="宋体" w:hAnsi="宋体" w:eastAsia="宋体" w:cs="宋体"/>
                      <w:sz w:val="20"/>
                      <w:szCs w:val="20"/>
                    </w:rPr>
                    <w:drawing>
                      <wp:inline distT="0" distB="0" distL="0" distR="0">
                        <wp:extent cx="123190" cy="123190"/>
                        <wp:effectExtent l="0" t="0" r="0" b="0"/>
                        <wp:docPr id="119" name="IM 119"/>
                        <wp:cNvGraphicFramePr/>
                        <a:graphic xmlns:a="http://schemas.openxmlformats.org/drawingml/2006/main">
                          <a:graphicData uri="http://schemas.openxmlformats.org/drawingml/2006/picture">
                            <pic:pic xmlns:pic="http://schemas.openxmlformats.org/drawingml/2006/picture">
                              <pic:nvPicPr>
                                <pic:cNvPr id="119" name="IM 119"/>
                                <pic:cNvPicPr/>
                              </pic:nvPicPr>
                              <pic:blipFill>
                                <a:blip r:embed="rId505"/>
                                <a:stretch>
                                  <a:fillRect/>
                                </a:stretch>
                              </pic:blipFill>
                              <pic:spPr>
                                <a:xfrm>
                                  <a:off x="0" y="0"/>
                                  <a:ext cx="123532" cy="123368"/>
                                </a:xfrm>
                                <a:prstGeom prst="rect">
                                  <a:avLst/>
                                </a:prstGeom>
                              </pic:spPr>
                            </pic:pic>
                          </a:graphicData>
                        </a:graphic>
                      </wp:inline>
                    </w:drawing>
                  </w:r>
                  <w:r>
                    <w:rPr>
                      <w:rFonts w:ascii="宋体" w:hAnsi="宋体" w:eastAsia="宋体" w:cs="宋体"/>
                      <w:spacing w:val="9"/>
                      <w:sz w:val="20"/>
                      <w:szCs w:val="20"/>
                    </w:rPr>
                    <w:t xml:space="preserve"> </w:t>
                  </w:r>
                  <w:r>
                    <w:rPr>
                      <w:rFonts w:ascii="宋体" w:hAnsi="宋体" w:eastAsia="宋体" w:cs="宋体"/>
                      <w:spacing w:val="6"/>
                      <w:sz w:val="20"/>
                      <w:szCs w:val="20"/>
                    </w:rPr>
                    <w:t>声环境质量监测点</w:t>
                  </w:r>
                  <w:r>
                    <w:rPr>
                      <w:rFonts w:ascii="宋体" w:hAnsi="宋体" w:eastAsia="宋体" w:cs="宋体"/>
                      <w:sz w:val="20"/>
                      <w:szCs w:val="20"/>
                    </w:rPr>
                    <w:t xml:space="preserve">    </w:t>
                  </w:r>
                  <w:r>
                    <w:rPr>
                      <w:rFonts w:ascii="宋体" w:hAnsi="宋体" w:eastAsia="宋体" w:cs="宋体"/>
                      <w:position w:val="-4"/>
                      <w:sz w:val="20"/>
                      <w:szCs w:val="20"/>
                    </w:rPr>
                    <w:drawing>
                      <wp:inline distT="0" distB="0" distL="0" distR="0">
                        <wp:extent cx="171450" cy="172085"/>
                        <wp:effectExtent l="0" t="0" r="0" b="0"/>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r:embed="rId506"/>
                                <a:stretch>
                                  <a:fillRect/>
                                </a:stretch>
                              </pic:blipFill>
                              <pic:spPr>
                                <a:xfrm>
                                  <a:off x="0" y="0"/>
                                  <a:ext cx="171450" cy="172199"/>
                                </a:xfrm>
                                <a:prstGeom prst="rect">
                                  <a:avLst/>
                                </a:prstGeom>
                              </pic:spPr>
                            </pic:pic>
                          </a:graphicData>
                        </a:graphic>
                      </wp:inline>
                    </w:drawing>
                  </w:r>
                  <w:r>
                    <w:rPr>
                      <w:rFonts w:ascii="宋体" w:hAnsi="宋体" w:eastAsia="宋体" w:cs="宋体"/>
                      <w:spacing w:val="14"/>
                      <w:sz w:val="20"/>
                      <w:szCs w:val="20"/>
                    </w:rPr>
                    <w:t>地下水环境质量监测点</w:t>
                  </w:r>
                </w:p>
                <w:p w14:paraId="3B8E6A6A">
                  <w:pPr>
                    <w:spacing w:line="228" w:lineRule="auto"/>
                    <w:ind w:left="225"/>
                    <w:rPr>
                      <w:rFonts w:ascii="宋体" w:hAnsi="宋体" w:eastAsia="宋体" w:cs="宋体"/>
                      <w:sz w:val="20"/>
                      <w:szCs w:val="20"/>
                    </w:rPr>
                  </w:pPr>
                  <w:r>
                    <w:rPr>
                      <w:rFonts w:ascii="宋体" w:hAnsi="宋体" w:eastAsia="宋体" w:cs="宋体"/>
                      <w:position w:val="-1"/>
                      <w:sz w:val="20"/>
                      <w:szCs w:val="20"/>
                    </w:rPr>
                    <w:drawing>
                      <wp:inline distT="0" distB="0" distL="0" distR="0">
                        <wp:extent cx="117475" cy="117475"/>
                        <wp:effectExtent l="0" t="0" r="0" b="0"/>
                        <wp:docPr id="121" name="IM 121"/>
                        <wp:cNvGraphicFramePr/>
                        <a:graphic xmlns:a="http://schemas.openxmlformats.org/drawingml/2006/main">
                          <a:graphicData uri="http://schemas.openxmlformats.org/drawingml/2006/picture">
                            <pic:pic xmlns:pic="http://schemas.openxmlformats.org/drawingml/2006/picture">
                              <pic:nvPicPr>
                                <pic:cNvPr id="121" name="IM 121"/>
                                <pic:cNvPicPr/>
                              </pic:nvPicPr>
                              <pic:blipFill>
                                <a:blip r:embed="rId507"/>
                                <a:stretch>
                                  <a:fillRect/>
                                </a:stretch>
                              </pic:blipFill>
                              <pic:spPr>
                                <a:xfrm>
                                  <a:off x="0" y="0"/>
                                  <a:ext cx="117475" cy="117475"/>
                                </a:xfrm>
                                <a:prstGeom prst="rect">
                                  <a:avLst/>
                                </a:prstGeom>
                              </pic:spPr>
                            </pic:pic>
                          </a:graphicData>
                        </a:graphic>
                      </wp:inline>
                    </w:drawing>
                  </w:r>
                  <w:r>
                    <w:rPr>
                      <w:rFonts w:ascii="宋体" w:hAnsi="宋体" w:eastAsia="宋体" w:cs="宋体"/>
                      <w:spacing w:val="17"/>
                      <w:sz w:val="20"/>
                      <w:szCs w:val="20"/>
                    </w:rPr>
                    <w:t xml:space="preserve"> </w:t>
                  </w:r>
                  <w:r>
                    <w:rPr>
                      <w:rFonts w:ascii="宋体" w:hAnsi="宋体" w:eastAsia="宋体" w:cs="宋体"/>
                      <w:spacing w:val="10"/>
                      <w:sz w:val="20"/>
                      <w:szCs w:val="20"/>
                    </w:rPr>
                    <w:t>土壤环境质量监测点</w:t>
                  </w:r>
                </w:p>
              </w:tc>
            </w:tr>
          </w:tbl>
          <w:p w14:paraId="002CC209">
            <w:pPr>
              <w:spacing w:line="14" w:lineRule="auto"/>
              <w:rPr>
                <w:rFonts w:ascii="Arial"/>
                <w:sz w:val="2"/>
              </w:rPr>
            </w:pPr>
          </w:p>
        </w:tc>
      </w:tr>
    </w:tbl>
    <w:p w14:paraId="76B35954">
      <w:pPr>
        <w:rPr>
          <w:rFonts w:ascii="Arial"/>
          <w:sz w:val="21"/>
        </w:rPr>
      </w:pPr>
    </w:p>
    <w:p w14:paraId="2963F0CF">
      <w:pPr>
        <w:sectPr>
          <w:headerReference r:id="rId194" w:type="default"/>
          <w:footerReference r:id="rId195" w:type="default"/>
          <w:pgSz w:w="16839" w:h="11906"/>
          <w:pgMar w:top="1132" w:right="1341" w:bottom="1182" w:left="1425" w:header="878" w:footer="1022" w:gutter="0"/>
          <w:cols w:space="720" w:num="1"/>
        </w:sectPr>
      </w:pPr>
    </w:p>
    <w:p w14:paraId="7531846B">
      <w:pPr>
        <w:spacing w:line="422" w:lineRule="auto"/>
        <w:rPr>
          <w:rFonts w:ascii="Arial"/>
          <w:sz w:val="21"/>
        </w:rPr>
      </w:pPr>
      <w:r>
        <w:pict>
          <v:shape id="_x0000_s1236" o:spid="_x0000_s1236" style="position:absolute;left:0pt;margin-left:90pt;margin-top:57.35pt;height:0.75pt;width:415.3pt;mso-position-horizontal-relative:page;mso-position-vertical-relative:page;z-index:251894784;mso-width-relative:page;mso-height-relative:page;" fillcolor="#000000" filled="t" stroked="f" coordsize="8305,15" o:allowincell="f" path="m0,0l8305,0,8305,14,0,14,0,0xe">
            <v:path/>
            <v:fill on="t" focussize="0,0"/>
            <v:stroke on="f"/>
            <v:imagedata o:title=""/>
            <o:lock v:ext="edit"/>
          </v:shape>
        </w:pict>
      </w:r>
    </w:p>
    <w:p w14:paraId="1FBF5FC2">
      <w:pPr>
        <w:spacing w:before="114" w:line="223" w:lineRule="auto"/>
        <w:ind w:left="26"/>
        <w:outlineLvl w:val="0"/>
        <w:rPr>
          <w:rFonts w:ascii="宋体" w:hAnsi="宋体" w:eastAsia="宋体" w:cs="宋体"/>
          <w:sz w:val="35"/>
          <w:szCs w:val="35"/>
        </w:rPr>
      </w:pPr>
      <w:bookmarkStart w:id="22" w:name="_bookmark23"/>
      <w:bookmarkEnd w:id="22"/>
      <w:r>
        <w:rPr>
          <w:rFonts w:ascii="Times New Roman" w:hAnsi="Times New Roman" w:eastAsia="Times New Roman" w:cs="Times New Roman"/>
          <w:b/>
          <w:bCs/>
          <w:spacing w:val="11"/>
          <w:sz w:val="35"/>
          <w:szCs w:val="35"/>
        </w:rPr>
        <w:t>5</w:t>
      </w:r>
      <w:r>
        <w:rPr>
          <w:rFonts w:ascii="Times New Roman" w:hAnsi="Times New Roman" w:eastAsia="Times New Roman" w:cs="Times New Roman"/>
          <w:spacing w:val="8"/>
          <w:sz w:val="35"/>
          <w:szCs w:val="35"/>
        </w:rPr>
        <w:t xml:space="preserve">  </w:t>
      </w:r>
      <w:r>
        <w:rPr>
          <w:rFonts w:ascii="宋体" w:hAnsi="宋体" w:eastAsia="宋体" w:cs="宋体"/>
          <w:spacing w:val="8"/>
          <w:sz w:val="35"/>
          <w:szCs w:val="35"/>
          <w14:textOutline w14:w="6537" w14:cap="sq" w14:cmpd="sng">
            <w14:solidFill>
              <w14:srgbClr w14:val="000000"/>
            </w14:solidFill>
            <w14:prstDash w14:val="solid"/>
            <w14:bevel/>
          </w14:textOutline>
        </w:rPr>
        <w:t>环境影响预测与评价</w:t>
      </w:r>
    </w:p>
    <w:p w14:paraId="5E0B949E">
      <w:pPr>
        <w:spacing w:before="248" w:line="223" w:lineRule="auto"/>
        <w:ind w:left="24"/>
        <w:outlineLvl w:val="1"/>
        <w:rPr>
          <w:rFonts w:ascii="宋体" w:hAnsi="宋体" w:eastAsia="宋体" w:cs="宋体"/>
          <w:sz w:val="31"/>
          <w:szCs w:val="31"/>
        </w:rPr>
      </w:pPr>
      <w:bookmarkStart w:id="23" w:name="_bookmark24"/>
      <w:bookmarkEnd w:id="23"/>
      <w:r>
        <w:rPr>
          <w:rFonts w:ascii="Times New Roman" w:hAnsi="Times New Roman" w:eastAsia="Times New Roman" w:cs="Times New Roman"/>
          <w:b/>
          <w:bCs/>
          <w:spacing w:val="8"/>
          <w:sz w:val="31"/>
          <w:szCs w:val="31"/>
        </w:rPr>
        <w:t>5.1</w:t>
      </w:r>
      <w:r>
        <w:rPr>
          <w:rFonts w:ascii="Times New Roman" w:hAnsi="Times New Roman" w:eastAsia="Times New Roman" w:cs="Times New Roman"/>
          <w:spacing w:val="8"/>
          <w:sz w:val="31"/>
          <w:szCs w:val="31"/>
        </w:rPr>
        <w:t xml:space="preserve"> </w:t>
      </w:r>
      <w:r>
        <w:rPr>
          <w:rFonts w:ascii="宋体" w:hAnsi="宋体" w:eastAsia="宋体" w:cs="宋体"/>
          <w:spacing w:val="8"/>
          <w:sz w:val="31"/>
          <w:szCs w:val="31"/>
          <w14:textOutline w14:w="5793" w14:cap="sq" w14:cmpd="sng">
            <w14:solidFill>
              <w14:srgbClr w14:val="000000"/>
            </w14:solidFill>
            <w14:prstDash w14:val="solid"/>
            <w14:bevel/>
          </w14:textOutline>
        </w:rPr>
        <w:t>施工期环境影响评</w:t>
      </w:r>
      <w:r>
        <w:rPr>
          <w:rFonts w:ascii="宋体" w:hAnsi="宋体" w:eastAsia="宋体" w:cs="宋体"/>
          <w:spacing w:val="7"/>
          <w:sz w:val="31"/>
          <w:szCs w:val="31"/>
          <w14:textOutline w14:w="5793" w14:cap="sq" w14:cmpd="sng">
            <w14:solidFill>
              <w14:srgbClr w14:val="000000"/>
            </w14:solidFill>
            <w14:prstDash w14:val="solid"/>
            <w14:bevel/>
          </w14:textOutline>
        </w:rPr>
        <w:t>价</w:t>
      </w:r>
    </w:p>
    <w:p w14:paraId="6F8F6A62">
      <w:pPr>
        <w:spacing w:before="278" w:line="226" w:lineRule="auto"/>
        <w:ind w:left="24"/>
        <w:outlineLvl w:val="2"/>
        <w:rPr>
          <w:rFonts w:ascii="宋体" w:hAnsi="宋体" w:eastAsia="宋体" w:cs="宋体"/>
          <w:sz w:val="29"/>
          <w:szCs w:val="29"/>
        </w:rPr>
      </w:pPr>
      <w:r>
        <w:rPr>
          <w:rFonts w:ascii="Times New Roman" w:hAnsi="Times New Roman" w:eastAsia="Times New Roman" w:cs="Times New Roman"/>
          <w:b/>
          <w:bCs/>
          <w:spacing w:val="8"/>
          <w:sz w:val="29"/>
          <w:szCs w:val="29"/>
        </w:rPr>
        <w:t>5.1.1</w:t>
      </w:r>
      <w:r>
        <w:rPr>
          <w:rFonts w:ascii="Times New Roman" w:hAnsi="Times New Roman" w:eastAsia="Times New Roman" w:cs="Times New Roman"/>
          <w:spacing w:val="8"/>
          <w:sz w:val="29"/>
          <w:szCs w:val="29"/>
        </w:rPr>
        <w:t xml:space="preserve"> </w:t>
      </w:r>
      <w:r>
        <w:rPr>
          <w:rFonts w:ascii="宋体" w:hAnsi="宋体" w:eastAsia="宋体" w:cs="宋体"/>
          <w:spacing w:val="8"/>
          <w:sz w:val="29"/>
          <w:szCs w:val="29"/>
          <w14:textOutline w14:w="5448" w14:cap="sq" w14:cmpd="sng">
            <w14:solidFill>
              <w14:srgbClr w14:val="000000"/>
            </w14:solidFill>
            <w14:prstDash w14:val="solid"/>
            <w14:bevel/>
          </w14:textOutline>
        </w:rPr>
        <w:t>施工期环境空气影响分</w:t>
      </w:r>
      <w:r>
        <w:rPr>
          <w:rFonts w:ascii="宋体" w:hAnsi="宋体" w:eastAsia="宋体" w:cs="宋体"/>
          <w:spacing w:val="5"/>
          <w:sz w:val="29"/>
          <w:szCs w:val="29"/>
          <w14:textOutline w14:w="5448" w14:cap="sq" w14:cmpd="sng">
            <w14:solidFill>
              <w14:srgbClr w14:val="000000"/>
            </w14:solidFill>
            <w14:prstDash w14:val="solid"/>
            <w14:bevel/>
          </w14:textOutline>
        </w:rPr>
        <w:t>析</w:t>
      </w:r>
    </w:p>
    <w:p w14:paraId="58F9F2EA">
      <w:pPr>
        <w:spacing w:line="252" w:lineRule="auto"/>
        <w:rPr>
          <w:rFonts w:ascii="Arial"/>
          <w:sz w:val="21"/>
        </w:rPr>
      </w:pPr>
    </w:p>
    <w:p w14:paraId="15A9BCBB">
      <w:pPr>
        <w:spacing w:before="75" w:line="389" w:lineRule="auto"/>
        <w:ind w:left="24" w:right="23" w:firstLine="482"/>
        <w:rPr>
          <w:rFonts w:ascii="宋体" w:hAnsi="宋体" w:eastAsia="宋体" w:cs="宋体"/>
          <w:sz w:val="23"/>
          <w:szCs w:val="23"/>
        </w:rPr>
      </w:pPr>
      <w:r>
        <w:rPr>
          <w:rFonts w:ascii="宋体" w:hAnsi="宋体" w:eastAsia="宋体" w:cs="宋体"/>
          <w:spacing w:val="12"/>
          <w:sz w:val="23"/>
          <w:szCs w:val="23"/>
        </w:rPr>
        <w:t>项目施工</w:t>
      </w:r>
      <w:r>
        <w:rPr>
          <w:rFonts w:ascii="宋体" w:hAnsi="宋体" w:eastAsia="宋体" w:cs="宋体"/>
          <w:spacing w:val="7"/>
          <w:sz w:val="23"/>
          <w:szCs w:val="23"/>
        </w:rPr>
        <w:t>期</w:t>
      </w:r>
      <w:r>
        <w:rPr>
          <w:rFonts w:ascii="宋体" w:hAnsi="宋体" w:eastAsia="宋体" w:cs="宋体"/>
          <w:spacing w:val="6"/>
          <w:sz w:val="23"/>
          <w:szCs w:val="23"/>
        </w:rPr>
        <w:t>大气污染源主要为扬尘源和机动车尾气污染源。扬尘源主要来自</w:t>
      </w:r>
      <w:r>
        <w:rPr>
          <w:rFonts w:ascii="宋体" w:hAnsi="宋体" w:eastAsia="宋体" w:cs="宋体"/>
          <w:sz w:val="23"/>
          <w:szCs w:val="23"/>
        </w:rPr>
        <w:t xml:space="preserve"> </w:t>
      </w:r>
      <w:r>
        <w:rPr>
          <w:rFonts w:ascii="宋体" w:hAnsi="宋体" w:eastAsia="宋体" w:cs="宋体"/>
          <w:spacing w:val="4"/>
          <w:sz w:val="23"/>
          <w:szCs w:val="23"/>
        </w:rPr>
        <w:t>土方的</w:t>
      </w:r>
      <w:r>
        <w:rPr>
          <w:rFonts w:ascii="宋体" w:hAnsi="宋体" w:eastAsia="宋体" w:cs="宋体"/>
          <w:spacing w:val="3"/>
          <w:sz w:val="23"/>
          <w:szCs w:val="23"/>
        </w:rPr>
        <w:t>挖</w:t>
      </w:r>
      <w:r>
        <w:rPr>
          <w:rFonts w:ascii="宋体" w:hAnsi="宋体" w:eastAsia="宋体" w:cs="宋体"/>
          <w:spacing w:val="2"/>
          <w:sz w:val="23"/>
          <w:szCs w:val="23"/>
        </w:rPr>
        <w:t>掘、运输及现场堆放；建筑材料的运输及堆放；施工垃圾的运输及堆放，</w:t>
      </w:r>
      <w:r>
        <w:rPr>
          <w:rFonts w:ascii="宋体" w:hAnsi="宋体" w:eastAsia="宋体" w:cs="宋体"/>
          <w:sz w:val="23"/>
          <w:szCs w:val="23"/>
        </w:rPr>
        <w:t xml:space="preserve"> </w:t>
      </w:r>
      <w:r>
        <w:rPr>
          <w:rFonts w:ascii="宋体" w:hAnsi="宋体" w:eastAsia="宋体" w:cs="宋体"/>
          <w:spacing w:val="20"/>
          <w:sz w:val="23"/>
          <w:szCs w:val="23"/>
        </w:rPr>
        <w:t>以及</w:t>
      </w:r>
      <w:r>
        <w:rPr>
          <w:rFonts w:ascii="宋体" w:hAnsi="宋体" w:eastAsia="宋体" w:cs="宋体"/>
          <w:spacing w:val="17"/>
          <w:sz w:val="23"/>
          <w:szCs w:val="23"/>
        </w:rPr>
        <w:t>裸</w:t>
      </w:r>
      <w:r>
        <w:rPr>
          <w:rFonts w:ascii="宋体" w:hAnsi="宋体" w:eastAsia="宋体" w:cs="宋体"/>
          <w:spacing w:val="10"/>
          <w:sz w:val="23"/>
          <w:szCs w:val="23"/>
        </w:rPr>
        <w:t xml:space="preserve">露地面的风致扬尘，主要污染物是 </w:t>
      </w:r>
      <w:r>
        <w:rPr>
          <w:rFonts w:ascii="Times New Roman" w:hAnsi="Times New Roman" w:eastAsia="Times New Roman" w:cs="Times New Roman"/>
          <w:sz w:val="23"/>
          <w:szCs w:val="23"/>
        </w:rPr>
        <w:t>TSP</w:t>
      </w:r>
      <w:r>
        <w:rPr>
          <w:rFonts w:ascii="Times New Roman" w:hAnsi="Times New Roman" w:eastAsia="Times New Roman" w:cs="Times New Roman"/>
          <w:spacing w:val="10"/>
          <w:sz w:val="23"/>
          <w:szCs w:val="23"/>
        </w:rPr>
        <w:t xml:space="preserve"> </w:t>
      </w:r>
      <w:r>
        <w:rPr>
          <w:rFonts w:ascii="宋体" w:hAnsi="宋体" w:eastAsia="宋体" w:cs="宋体"/>
          <w:spacing w:val="10"/>
          <w:sz w:val="23"/>
          <w:szCs w:val="23"/>
        </w:rPr>
        <w:t>等。机动车尾气污染源主要是施</w:t>
      </w:r>
      <w:r>
        <w:rPr>
          <w:rFonts w:ascii="宋体" w:hAnsi="宋体" w:eastAsia="宋体" w:cs="宋体"/>
          <w:sz w:val="23"/>
          <w:szCs w:val="23"/>
        </w:rPr>
        <w:t xml:space="preserve"> </w:t>
      </w:r>
      <w:r>
        <w:rPr>
          <w:rFonts w:ascii="宋体" w:hAnsi="宋体" w:eastAsia="宋体" w:cs="宋体"/>
          <w:spacing w:val="8"/>
          <w:sz w:val="23"/>
          <w:szCs w:val="23"/>
        </w:rPr>
        <w:t>工机</w:t>
      </w:r>
      <w:r>
        <w:rPr>
          <w:rFonts w:ascii="宋体" w:hAnsi="宋体" w:eastAsia="宋体" w:cs="宋体"/>
          <w:spacing w:val="4"/>
          <w:sz w:val="23"/>
          <w:szCs w:val="23"/>
        </w:rPr>
        <w:t xml:space="preserve">械和车辆排放的尾气，主要污染物是 </w:t>
      </w:r>
      <w:r>
        <w:rPr>
          <w:rFonts w:ascii="Times New Roman" w:hAnsi="Times New Roman" w:eastAsia="Times New Roman" w:cs="Times New Roman"/>
          <w:sz w:val="23"/>
          <w:szCs w:val="23"/>
        </w:rPr>
        <w:t>NO</w:t>
      </w:r>
      <w:r>
        <w:rPr>
          <w:rFonts w:ascii="Times New Roman" w:hAnsi="Times New Roman" w:eastAsia="Times New Roman" w:cs="Times New Roman"/>
          <w:position w:val="-1"/>
          <w:sz w:val="15"/>
          <w:szCs w:val="15"/>
        </w:rPr>
        <w:t>X</w:t>
      </w:r>
      <w:r>
        <w:rPr>
          <w:rFonts w:ascii="Times New Roman" w:hAnsi="Times New Roman" w:eastAsia="Times New Roman" w:cs="Times New Roman"/>
          <w:spacing w:val="4"/>
          <w:position w:val="-1"/>
          <w:sz w:val="15"/>
          <w:szCs w:val="15"/>
        </w:rPr>
        <w:t xml:space="preserve"> </w:t>
      </w:r>
      <w:r>
        <w:rPr>
          <w:rFonts w:ascii="宋体" w:hAnsi="宋体" w:eastAsia="宋体" w:cs="宋体"/>
          <w:spacing w:val="4"/>
          <w:sz w:val="23"/>
          <w:szCs w:val="23"/>
        </w:rPr>
        <w:t>、</w:t>
      </w:r>
      <w:r>
        <w:rPr>
          <w:rFonts w:ascii="Times New Roman" w:hAnsi="Times New Roman" w:eastAsia="Times New Roman" w:cs="Times New Roman"/>
          <w:sz w:val="23"/>
          <w:szCs w:val="23"/>
        </w:rPr>
        <w:t>CO</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w:t>
      </w:r>
      <w:r>
        <w:rPr>
          <w:rFonts w:ascii="Times New Roman" w:hAnsi="Times New Roman" w:eastAsia="Times New Roman" w:cs="Times New Roman"/>
          <w:sz w:val="23"/>
          <w:szCs w:val="23"/>
        </w:rPr>
        <w:t>THC</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。主要的大气污染源</w:t>
      </w:r>
      <w:r>
        <w:rPr>
          <w:rFonts w:ascii="宋体" w:hAnsi="宋体" w:eastAsia="宋体" w:cs="宋体"/>
          <w:sz w:val="23"/>
          <w:szCs w:val="23"/>
        </w:rPr>
        <w:t xml:space="preserve"> </w:t>
      </w:r>
      <w:r>
        <w:rPr>
          <w:rFonts w:ascii="宋体" w:hAnsi="宋体" w:eastAsia="宋体" w:cs="宋体"/>
          <w:spacing w:val="3"/>
          <w:sz w:val="23"/>
          <w:szCs w:val="23"/>
        </w:rPr>
        <w:t>如下：</w:t>
      </w:r>
    </w:p>
    <w:p w14:paraId="14DEDB35">
      <w:pPr>
        <w:spacing w:before="135" w:line="229" w:lineRule="auto"/>
        <w:ind w:left="514"/>
        <w:rPr>
          <w:rFonts w:ascii="宋体" w:hAnsi="宋体" w:eastAsia="宋体" w:cs="宋体"/>
          <w:sz w:val="23"/>
          <w:szCs w:val="23"/>
        </w:rPr>
      </w:pPr>
      <w:r>
        <w:rPr>
          <w:rFonts w:ascii="宋体" w:hAnsi="宋体" w:eastAsia="宋体" w:cs="宋体"/>
          <w:spacing w:val="17"/>
          <w:sz w:val="23"/>
          <w:szCs w:val="23"/>
        </w:rPr>
        <w:t>(</w:t>
      </w:r>
      <w:r>
        <w:rPr>
          <w:rFonts w:ascii="Times New Roman" w:hAnsi="Times New Roman" w:eastAsia="Times New Roman" w:cs="Times New Roman"/>
          <w:spacing w:val="12"/>
          <w:sz w:val="23"/>
          <w:szCs w:val="23"/>
        </w:rPr>
        <w:t>1</w:t>
      </w:r>
      <w:r>
        <w:rPr>
          <w:rFonts w:ascii="宋体" w:hAnsi="宋体" w:eastAsia="宋体" w:cs="宋体"/>
          <w:spacing w:val="12"/>
          <w:sz w:val="23"/>
          <w:szCs w:val="23"/>
        </w:rPr>
        <w:t>) 土方的挖掘、堆放、清运、回填和场地平整等过程产生的扬尘；</w:t>
      </w:r>
    </w:p>
    <w:p w14:paraId="220E948E">
      <w:pPr>
        <w:spacing w:line="274" w:lineRule="auto"/>
        <w:rPr>
          <w:rFonts w:ascii="Arial"/>
          <w:sz w:val="21"/>
        </w:rPr>
      </w:pPr>
    </w:p>
    <w:p w14:paraId="6FD530BF">
      <w:pPr>
        <w:spacing w:before="75" w:line="393" w:lineRule="auto"/>
        <w:ind w:left="24" w:right="89" w:firstLine="490"/>
        <w:rPr>
          <w:rFonts w:ascii="宋体" w:hAnsi="宋体" w:eastAsia="宋体" w:cs="宋体"/>
          <w:sz w:val="23"/>
          <w:szCs w:val="23"/>
        </w:rPr>
      </w:pPr>
      <w:r>
        <w:rPr>
          <w:rFonts w:ascii="宋体" w:hAnsi="宋体" w:eastAsia="宋体" w:cs="宋体"/>
          <w:spacing w:val="14"/>
          <w:sz w:val="23"/>
          <w:szCs w:val="23"/>
        </w:rPr>
        <w:t>(</w:t>
      </w:r>
      <w:r>
        <w:rPr>
          <w:rFonts w:ascii="Times New Roman" w:hAnsi="Times New Roman" w:eastAsia="Times New Roman" w:cs="Times New Roman"/>
          <w:spacing w:val="13"/>
          <w:sz w:val="23"/>
          <w:szCs w:val="23"/>
        </w:rPr>
        <w:t>2</w:t>
      </w:r>
      <w:r>
        <w:rPr>
          <w:rFonts w:ascii="宋体" w:hAnsi="宋体" w:eastAsia="宋体" w:cs="宋体"/>
          <w:spacing w:val="13"/>
          <w:sz w:val="23"/>
          <w:szCs w:val="23"/>
        </w:rPr>
        <w:t>) 建筑材料如水泥、石灰、砂子等在其装卸、运输、堆放等过程中，因</w:t>
      </w:r>
      <w:r>
        <w:rPr>
          <w:rFonts w:ascii="宋体" w:hAnsi="宋体" w:eastAsia="宋体" w:cs="宋体"/>
          <w:sz w:val="23"/>
          <w:szCs w:val="23"/>
        </w:rPr>
        <w:t xml:space="preserve"> </w:t>
      </w:r>
      <w:r>
        <w:rPr>
          <w:rFonts w:ascii="宋体" w:hAnsi="宋体" w:eastAsia="宋体" w:cs="宋体"/>
          <w:spacing w:val="13"/>
          <w:sz w:val="23"/>
          <w:szCs w:val="23"/>
        </w:rPr>
        <w:t>风</w:t>
      </w:r>
      <w:r>
        <w:rPr>
          <w:rFonts w:ascii="宋体" w:hAnsi="宋体" w:eastAsia="宋体" w:cs="宋体"/>
          <w:spacing w:val="8"/>
          <w:sz w:val="23"/>
          <w:szCs w:val="23"/>
        </w:rPr>
        <w:t>力作用而产生的扬尘污染；</w:t>
      </w:r>
    </w:p>
    <w:p w14:paraId="21A9B18B">
      <w:pPr>
        <w:spacing w:before="136" w:line="227" w:lineRule="auto"/>
        <w:ind w:left="514"/>
        <w:rPr>
          <w:rFonts w:ascii="宋体" w:hAnsi="宋体" w:eastAsia="宋体" w:cs="宋体"/>
          <w:sz w:val="23"/>
          <w:szCs w:val="23"/>
        </w:rPr>
      </w:pPr>
      <w:r>
        <w:rPr>
          <w:rFonts w:ascii="宋体" w:hAnsi="宋体" w:eastAsia="宋体" w:cs="宋体"/>
          <w:spacing w:val="16"/>
          <w:sz w:val="23"/>
          <w:szCs w:val="23"/>
        </w:rPr>
        <w:t>(</w:t>
      </w:r>
      <w:r>
        <w:rPr>
          <w:rFonts w:ascii="Times New Roman" w:hAnsi="Times New Roman" w:eastAsia="Times New Roman" w:cs="Times New Roman"/>
          <w:spacing w:val="13"/>
          <w:sz w:val="23"/>
          <w:szCs w:val="23"/>
        </w:rPr>
        <w:t>3</w:t>
      </w:r>
      <w:r>
        <w:rPr>
          <w:rFonts w:ascii="宋体" w:hAnsi="宋体" w:eastAsia="宋体" w:cs="宋体"/>
          <w:spacing w:val="13"/>
          <w:sz w:val="23"/>
          <w:szCs w:val="23"/>
        </w:rPr>
        <w:t>) 施工机械和运输车辆往来造成地面扬尘；</w:t>
      </w:r>
    </w:p>
    <w:p w14:paraId="0123D9F1">
      <w:pPr>
        <w:spacing w:line="277" w:lineRule="auto"/>
        <w:rPr>
          <w:rFonts w:ascii="Arial"/>
          <w:sz w:val="21"/>
        </w:rPr>
      </w:pPr>
    </w:p>
    <w:p w14:paraId="4EA6A0D0">
      <w:pPr>
        <w:spacing w:before="76" w:line="227" w:lineRule="auto"/>
        <w:ind w:left="514"/>
        <w:rPr>
          <w:rFonts w:ascii="宋体" w:hAnsi="宋体" w:eastAsia="宋体" w:cs="宋体"/>
          <w:sz w:val="23"/>
          <w:szCs w:val="23"/>
        </w:rPr>
      </w:pPr>
      <w:r>
        <w:rPr>
          <w:rFonts w:ascii="宋体" w:hAnsi="宋体" w:eastAsia="宋体" w:cs="宋体"/>
          <w:spacing w:val="16"/>
          <w:sz w:val="23"/>
          <w:szCs w:val="23"/>
        </w:rPr>
        <w:t>(</w:t>
      </w:r>
      <w:r>
        <w:rPr>
          <w:rFonts w:ascii="Times New Roman" w:hAnsi="Times New Roman" w:eastAsia="Times New Roman" w:cs="Times New Roman"/>
          <w:spacing w:val="13"/>
          <w:sz w:val="23"/>
          <w:szCs w:val="23"/>
        </w:rPr>
        <w:t>4</w:t>
      </w:r>
      <w:r>
        <w:rPr>
          <w:rFonts w:ascii="宋体" w:hAnsi="宋体" w:eastAsia="宋体" w:cs="宋体"/>
          <w:spacing w:val="13"/>
          <w:sz w:val="23"/>
          <w:szCs w:val="23"/>
        </w:rPr>
        <w:t>) 施工垃圾堆放及清运过程中产生的扬尘；</w:t>
      </w:r>
    </w:p>
    <w:p w14:paraId="752E1E47">
      <w:pPr>
        <w:spacing w:line="275" w:lineRule="auto"/>
        <w:rPr>
          <w:rFonts w:ascii="Arial"/>
          <w:sz w:val="21"/>
        </w:rPr>
      </w:pPr>
    </w:p>
    <w:p w14:paraId="23BC25DF">
      <w:pPr>
        <w:spacing w:before="75" w:line="227" w:lineRule="auto"/>
        <w:ind w:left="514"/>
        <w:rPr>
          <w:rFonts w:ascii="宋体" w:hAnsi="宋体" w:eastAsia="宋体" w:cs="宋体"/>
          <w:sz w:val="23"/>
          <w:szCs w:val="23"/>
        </w:rPr>
      </w:pPr>
      <w:r>
        <w:rPr>
          <w:rFonts w:ascii="宋体" w:hAnsi="宋体" w:eastAsia="宋体" w:cs="宋体"/>
          <w:spacing w:val="12"/>
          <w:sz w:val="23"/>
          <w:szCs w:val="23"/>
        </w:rPr>
        <w:t>(</w:t>
      </w:r>
      <w:r>
        <w:rPr>
          <w:rFonts w:ascii="Times New Roman" w:hAnsi="Times New Roman" w:eastAsia="Times New Roman" w:cs="Times New Roman"/>
          <w:spacing w:val="12"/>
          <w:sz w:val="23"/>
          <w:szCs w:val="23"/>
        </w:rPr>
        <w:t>5</w:t>
      </w:r>
      <w:r>
        <w:rPr>
          <w:rFonts w:ascii="宋体" w:hAnsi="宋体" w:eastAsia="宋体" w:cs="宋体"/>
          <w:spacing w:val="9"/>
          <w:sz w:val="23"/>
          <w:szCs w:val="23"/>
        </w:rPr>
        <w:t>)</w:t>
      </w:r>
      <w:r>
        <w:rPr>
          <w:rFonts w:ascii="宋体" w:hAnsi="宋体" w:eastAsia="宋体" w:cs="宋体"/>
          <w:spacing w:val="6"/>
          <w:sz w:val="23"/>
          <w:szCs w:val="23"/>
        </w:rPr>
        <w:t xml:space="preserve"> 施工机械和运输车辆往来排放的主要污染物为 </w:t>
      </w:r>
      <w:r>
        <w:rPr>
          <w:rFonts w:ascii="Times New Roman" w:hAnsi="Times New Roman" w:eastAsia="Times New Roman" w:cs="Times New Roman"/>
          <w:sz w:val="23"/>
          <w:szCs w:val="23"/>
        </w:rPr>
        <w:t>NOx</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w:t>
      </w:r>
      <w:r>
        <w:rPr>
          <w:rFonts w:ascii="Times New Roman" w:hAnsi="Times New Roman" w:eastAsia="Times New Roman" w:cs="Times New Roman"/>
          <w:sz w:val="23"/>
          <w:szCs w:val="23"/>
        </w:rPr>
        <w:t>CO</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和烃类物等。</w:t>
      </w:r>
    </w:p>
    <w:p w14:paraId="2496A468">
      <w:pPr>
        <w:spacing w:line="277" w:lineRule="auto"/>
        <w:rPr>
          <w:rFonts w:ascii="Arial"/>
          <w:sz w:val="21"/>
        </w:rPr>
      </w:pPr>
    </w:p>
    <w:p w14:paraId="11A20B9E">
      <w:pPr>
        <w:spacing w:before="75" w:line="303" w:lineRule="exact"/>
        <w:ind w:left="522"/>
        <w:rPr>
          <w:rFonts w:ascii="宋体" w:hAnsi="宋体" w:eastAsia="宋体" w:cs="宋体"/>
          <w:sz w:val="23"/>
          <w:szCs w:val="23"/>
        </w:rPr>
      </w:pPr>
      <w:r>
        <w:rPr>
          <w:rFonts w:ascii="Times New Roman" w:hAnsi="Times New Roman" w:eastAsia="Times New Roman" w:cs="Times New Roman"/>
          <w:spacing w:val="-11"/>
          <w:position w:val="1"/>
          <w:sz w:val="23"/>
          <w:szCs w:val="23"/>
        </w:rPr>
        <w:t>1</w:t>
      </w:r>
      <w:r>
        <w:rPr>
          <w:rFonts w:ascii="Times New Roman" w:hAnsi="Times New Roman" w:eastAsia="Times New Roman" w:cs="Times New Roman"/>
          <w:spacing w:val="-10"/>
          <w:position w:val="1"/>
          <w:sz w:val="23"/>
          <w:szCs w:val="23"/>
        </w:rPr>
        <w:t xml:space="preserve"> </w:t>
      </w:r>
      <w:r>
        <w:rPr>
          <w:rFonts w:ascii="宋体" w:hAnsi="宋体" w:eastAsia="宋体" w:cs="宋体"/>
          <w:spacing w:val="-10"/>
          <w:position w:val="1"/>
          <w:sz w:val="23"/>
          <w:szCs w:val="23"/>
        </w:rPr>
        <w:t>、扬尘</w:t>
      </w:r>
    </w:p>
    <w:p w14:paraId="5265E5CE">
      <w:pPr>
        <w:spacing w:line="258" w:lineRule="auto"/>
        <w:rPr>
          <w:rFonts w:ascii="Arial"/>
          <w:sz w:val="21"/>
        </w:rPr>
      </w:pPr>
    </w:p>
    <w:p w14:paraId="020663F8">
      <w:pPr>
        <w:spacing w:before="76" w:line="389" w:lineRule="auto"/>
        <w:ind w:left="22" w:right="52" w:firstLine="480"/>
        <w:rPr>
          <w:rFonts w:ascii="宋体" w:hAnsi="宋体" w:eastAsia="宋体" w:cs="宋体"/>
          <w:sz w:val="23"/>
          <w:szCs w:val="23"/>
        </w:rPr>
      </w:pPr>
      <w:r>
        <w:rPr>
          <w:rFonts w:ascii="宋体" w:hAnsi="宋体" w:eastAsia="宋体" w:cs="宋体"/>
          <w:spacing w:val="7"/>
          <w:sz w:val="23"/>
          <w:szCs w:val="23"/>
        </w:rPr>
        <w:t>施工扬尘污染属低空面源污染，其影响范围有限，影响面主要为施工场地</w:t>
      </w:r>
      <w:r>
        <w:rPr>
          <w:rFonts w:ascii="宋体" w:hAnsi="宋体" w:eastAsia="宋体" w:cs="宋体"/>
          <w:spacing w:val="3"/>
          <w:sz w:val="23"/>
          <w:szCs w:val="23"/>
        </w:rPr>
        <w:t>附</w:t>
      </w:r>
      <w:r>
        <w:rPr>
          <w:rFonts w:ascii="宋体" w:hAnsi="宋体" w:eastAsia="宋体" w:cs="宋体"/>
          <w:sz w:val="23"/>
          <w:szCs w:val="23"/>
        </w:rPr>
        <w:t xml:space="preserve"> </w:t>
      </w:r>
      <w:r>
        <w:rPr>
          <w:rFonts w:ascii="宋体" w:hAnsi="宋体" w:eastAsia="宋体" w:cs="宋体"/>
          <w:spacing w:val="11"/>
          <w:sz w:val="23"/>
          <w:szCs w:val="23"/>
        </w:rPr>
        <w:t>近</w:t>
      </w:r>
      <w:r>
        <w:rPr>
          <w:rFonts w:ascii="宋体" w:hAnsi="宋体" w:eastAsia="宋体" w:cs="宋体"/>
          <w:spacing w:val="8"/>
          <w:sz w:val="23"/>
          <w:szCs w:val="23"/>
        </w:rPr>
        <w:t>区域。施工扬尘产生量受天气和施工场地状况及管理等多因素影响，变化大，</w:t>
      </w:r>
      <w:r>
        <w:rPr>
          <w:rFonts w:ascii="宋体" w:hAnsi="宋体" w:eastAsia="宋体" w:cs="宋体"/>
          <w:sz w:val="23"/>
          <w:szCs w:val="23"/>
        </w:rPr>
        <w:t xml:space="preserve"> </w:t>
      </w:r>
      <w:r>
        <w:rPr>
          <w:rFonts w:ascii="宋体" w:hAnsi="宋体" w:eastAsia="宋体" w:cs="宋体"/>
          <w:spacing w:val="9"/>
          <w:sz w:val="23"/>
          <w:szCs w:val="23"/>
        </w:rPr>
        <w:t>随</w:t>
      </w:r>
      <w:r>
        <w:rPr>
          <w:rFonts w:ascii="宋体" w:hAnsi="宋体" w:eastAsia="宋体" w:cs="宋体"/>
          <w:spacing w:val="7"/>
          <w:sz w:val="23"/>
          <w:szCs w:val="23"/>
        </w:rPr>
        <w:t>机性强，是一个复杂、较难定量的问题。本评价采用类比法，参考其他项目施</w:t>
      </w:r>
      <w:r>
        <w:rPr>
          <w:rFonts w:ascii="宋体" w:hAnsi="宋体" w:eastAsia="宋体" w:cs="宋体"/>
          <w:sz w:val="23"/>
          <w:szCs w:val="23"/>
        </w:rPr>
        <w:t xml:space="preserve"> </w:t>
      </w:r>
      <w:r>
        <w:rPr>
          <w:rFonts w:ascii="宋体" w:hAnsi="宋体" w:eastAsia="宋体" w:cs="宋体"/>
          <w:spacing w:val="13"/>
          <w:sz w:val="23"/>
          <w:szCs w:val="23"/>
        </w:rPr>
        <w:t>工</w:t>
      </w:r>
      <w:r>
        <w:rPr>
          <w:rFonts w:ascii="宋体" w:hAnsi="宋体" w:eastAsia="宋体" w:cs="宋体"/>
          <w:spacing w:val="8"/>
          <w:sz w:val="23"/>
          <w:szCs w:val="23"/>
        </w:rPr>
        <w:t>场地实测资料进行分析。</w:t>
      </w:r>
    </w:p>
    <w:p w14:paraId="1B8E4B8F">
      <w:pPr>
        <w:spacing w:before="135" w:line="394" w:lineRule="auto"/>
        <w:ind w:left="30" w:right="89" w:firstLine="474"/>
        <w:rPr>
          <w:rFonts w:ascii="宋体" w:hAnsi="宋体" w:eastAsia="宋体" w:cs="宋体"/>
          <w:sz w:val="23"/>
          <w:szCs w:val="23"/>
        </w:rPr>
      </w:pPr>
      <w:r>
        <w:rPr>
          <w:rFonts w:ascii="宋体" w:hAnsi="宋体" w:eastAsia="宋体" w:cs="宋体"/>
          <w:spacing w:val="22"/>
          <w:sz w:val="23"/>
          <w:szCs w:val="23"/>
        </w:rPr>
        <w:t>参</w:t>
      </w:r>
      <w:r>
        <w:rPr>
          <w:rFonts w:ascii="宋体" w:hAnsi="宋体" w:eastAsia="宋体" w:cs="宋体"/>
          <w:spacing w:val="21"/>
          <w:sz w:val="23"/>
          <w:szCs w:val="23"/>
        </w:rPr>
        <w:t>照</w:t>
      </w:r>
      <w:r>
        <w:rPr>
          <w:rFonts w:ascii="宋体" w:hAnsi="宋体" w:eastAsia="宋体" w:cs="宋体"/>
          <w:spacing w:val="11"/>
          <w:sz w:val="23"/>
          <w:szCs w:val="23"/>
        </w:rPr>
        <w:t xml:space="preserve">北京市环科院曾对 </w:t>
      </w:r>
      <w:r>
        <w:rPr>
          <w:rFonts w:ascii="Times New Roman" w:hAnsi="Times New Roman" w:eastAsia="Times New Roman" w:cs="Times New Roman"/>
          <w:spacing w:val="11"/>
          <w:sz w:val="23"/>
          <w:szCs w:val="23"/>
        </w:rPr>
        <w:t xml:space="preserve">7 </w:t>
      </w:r>
      <w:r>
        <w:rPr>
          <w:rFonts w:ascii="宋体" w:hAnsi="宋体" w:eastAsia="宋体" w:cs="宋体"/>
          <w:spacing w:val="11"/>
          <w:sz w:val="23"/>
          <w:szCs w:val="23"/>
        </w:rPr>
        <w:t>个建筑施工工地的扬尘情况进行了测定，结果如</w:t>
      </w:r>
      <w:r>
        <w:rPr>
          <w:rFonts w:ascii="宋体" w:hAnsi="宋体" w:eastAsia="宋体" w:cs="宋体"/>
          <w:sz w:val="23"/>
          <w:szCs w:val="23"/>
        </w:rPr>
        <w:t xml:space="preserve"> </w:t>
      </w:r>
      <w:r>
        <w:rPr>
          <w:rFonts w:ascii="宋体" w:hAnsi="宋体" w:eastAsia="宋体" w:cs="宋体"/>
          <w:spacing w:val="-4"/>
          <w:sz w:val="23"/>
          <w:szCs w:val="23"/>
        </w:rPr>
        <w:t>下</w:t>
      </w:r>
      <w:r>
        <w:rPr>
          <w:rFonts w:ascii="宋体" w:hAnsi="宋体" w:eastAsia="宋体" w:cs="宋体"/>
          <w:spacing w:val="-3"/>
          <w:sz w:val="23"/>
          <w:szCs w:val="23"/>
        </w:rPr>
        <w:t>：</w:t>
      </w:r>
    </w:p>
    <w:p w14:paraId="55E4FFE4">
      <w:pPr>
        <w:spacing w:before="91" w:line="323" w:lineRule="exact"/>
        <w:ind w:left="504"/>
        <w:rPr>
          <w:rFonts w:ascii="宋体" w:hAnsi="宋体" w:eastAsia="宋体" w:cs="宋体"/>
          <w:sz w:val="23"/>
          <w:szCs w:val="23"/>
        </w:rPr>
      </w:pPr>
      <w:r>
        <w:rPr>
          <w:rFonts w:ascii="宋体" w:hAnsi="宋体" w:eastAsia="宋体" w:cs="宋体"/>
          <w:spacing w:val="10"/>
          <w:position w:val="1"/>
          <w:sz w:val="23"/>
          <w:szCs w:val="23"/>
        </w:rPr>
        <w:t>风</w:t>
      </w:r>
      <w:r>
        <w:rPr>
          <w:rFonts w:ascii="宋体" w:hAnsi="宋体" w:eastAsia="宋体" w:cs="宋体"/>
          <w:spacing w:val="7"/>
          <w:position w:val="1"/>
          <w:sz w:val="23"/>
          <w:szCs w:val="23"/>
        </w:rPr>
        <w:t>速</w:t>
      </w:r>
      <w:r>
        <w:rPr>
          <w:rFonts w:ascii="宋体" w:hAnsi="宋体" w:eastAsia="宋体" w:cs="宋体"/>
          <w:spacing w:val="5"/>
          <w:position w:val="1"/>
          <w:sz w:val="23"/>
          <w:szCs w:val="23"/>
        </w:rPr>
        <w:t>：</w:t>
      </w:r>
      <w:r>
        <w:rPr>
          <w:rFonts w:ascii="Times New Roman" w:hAnsi="Times New Roman" w:eastAsia="Times New Roman" w:cs="Times New Roman"/>
          <w:spacing w:val="5"/>
          <w:position w:val="1"/>
          <w:sz w:val="23"/>
          <w:szCs w:val="23"/>
        </w:rPr>
        <w:t>2.4</w:t>
      </w:r>
      <w:r>
        <w:rPr>
          <w:rFonts w:ascii="Times New Roman" w:hAnsi="Times New Roman" w:eastAsia="Times New Roman" w:cs="Times New Roman"/>
          <w:position w:val="1"/>
          <w:sz w:val="23"/>
          <w:szCs w:val="23"/>
        </w:rPr>
        <w:t>m</w:t>
      </w:r>
      <w:r>
        <w:rPr>
          <w:rFonts w:ascii="Times New Roman" w:hAnsi="Times New Roman" w:eastAsia="Times New Roman" w:cs="Times New Roman"/>
          <w:spacing w:val="5"/>
          <w:position w:val="1"/>
          <w:sz w:val="23"/>
          <w:szCs w:val="23"/>
        </w:rPr>
        <w:t>/</w:t>
      </w:r>
      <w:r>
        <w:rPr>
          <w:rFonts w:ascii="Times New Roman" w:hAnsi="Times New Roman" w:eastAsia="Times New Roman" w:cs="Times New Roman"/>
          <w:position w:val="1"/>
          <w:sz w:val="23"/>
          <w:szCs w:val="23"/>
        </w:rPr>
        <w:t>s</w:t>
      </w:r>
      <w:r>
        <w:rPr>
          <w:rFonts w:ascii="Times New Roman" w:hAnsi="Times New Roman" w:eastAsia="Times New Roman" w:cs="Times New Roman"/>
          <w:spacing w:val="5"/>
          <w:position w:val="1"/>
          <w:sz w:val="23"/>
          <w:szCs w:val="23"/>
        </w:rPr>
        <w:t xml:space="preserve"> </w:t>
      </w:r>
      <w:r>
        <w:rPr>
          <w:rFonts w:ascii="宋体" w:hAnsi="宋体" w:eastAsia="宋体" w:cs="宋体"/>
          <w:spacing w:val="5"/>
          <w:position w:val="1"/>
          <w:sz w:val="23"/>
          <w:szCs w:val="23"/>
        </w:rPr>
        <w:t>时；</w:t>
      </w:r>
    </w:p>
    <w:p w14:paraId="54DE2D54">
      <w:pPr>
        <w:spacing w:line="280" w:lineRule="auto"/>
        <w:rPr>
          <w:rFonts w:ascii="Arial"/>
          <w:sz w:val="21"/>
        </w:rPr>
      </w:pPr>
    </w:p>
    <w:p w14:paraId="281EBD6A">
      <w:pPr>
        <w:spacing w:before="75" w:line="227" w:lineRule="auto"/>
        <w:ind w:left="504"/>
        <w:rPr>
          <w:rFonts w:ascii="宋体" w:hAnsi="宋体" w:eastAsia="宋体" w:cs="宋体"/>
          <w:sz w:val="23"/>
          <w:szCs w:val="23"/>
        </w:rPr>
      </w:pPr>
      <w:r>
        <w:rPr>
          <w:rFonts w:ascii="宋体" w:hAnsi="宋体" w:eastAsia="宋体" w:cs="宋体"/>
          <w:spacing w:val="6"/>
          <w:sz w:val="23"/>
          <w:szCs w:val="23"/>
        </w:rPr>
        <w:t xml:space="preserve">测点：上风向对照点、工地内、下风向 </w:t>
      </w:r>
      <w:r>
        <w:rPr>
          <w:rFonts w:ascii="Times New Roman" w:hAnsi="Times New Roman" w:eastAsia="Times New Roman" w:cs="Times New Roman"/>
          <w:spacing w:val="6"/>
          <w:sz w:val="23"/>
          <w:szCs w:val="23"/>
        </w:rPr>
        <w:t>150</w:t>
      </w:r>
      <w:r>
        <w:rPr>
          <w:rFonts w:ascii="Times New Roman" w:hAnsi="Times New Roman" w:eastAsia="Times New Roman" w:cs="Times New Roman"/>
          <w:sz w:val="23"/>
          <w:szCs w:val="23"/>
        </w:rPr>
        <w:t>m</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之内</w:t>
      </w:r>
      <w:r>
        <w:rPr>
          <w:rFonts w:ascii="宋体" w:hAnsi="宋体" w:eastAsia="宋体" w:cs="宋体"/>
          <w:spacing w:val="4"/>
          <w:sz w:val="23"/>
          <w:szCs w:val="23"/>
        </w:rPr>
        <w:t>；</w:t>
      </w:r>
    </w:p>
    <w:p w14:paraId="50BB4F75">
      <w:pPr>
        <w:spacing w:before="310" w:line="323" w:lineRule="exact"/>
        <w:ind w:left="504"/>
        <w:rPr>
          <w:rFonts w:ascii="宋体" w:hAnsi="宋体" w:eastAsia="宋体" w:cs="宋体"/>
          <w:sz w:val="23"/>
          <w:szCs w:val="23"/>
        </w:rPr>
      </w:pPr>
      <w:r>
        <w:rPr>
          <w:rFonts w:ascii="宋体" w:hAnsi="宋体" w:eastAsia="宋体" w:cs="宋体"/>
          <w:spacing w:val="-1"/>
          <w:position w:val="1"/>
          <w:sz w:val="23"/>
          <w:szCs w:val="23"/>
        </w:rPr>
        <w:t xml:space="preserve">监测结果：上风向对照点的 </w:t>
      </w:r>
      <w:r>
        <w:rPr>
          <w:rFonts w:ascii="Times New Roman" w:hAnsi="Times New Roman" w:eastAsia="Times New Roman" w:cs="Times New Roman"/>
          <w:spacing w:val="-1"/>
          <w:position w:val="1"/>
          <w:sz w:val="23"/>
          <w:szCs w:val="23"/>
        </w:rPr>
        <w:t>T</w:t>
      </w:r>
      <w:r>
        <w:rPr>
          <w:rFonts w:ascii="Times New Roman" w:hAnsi="Times New Roman" w:eastAsia="Times New Roman" w:cs="Times New Roman"/>
          <w:position w:val="1"/>
          <w:sz w:val="23"/>
          <w:szCs w:val="23"/>
        </w:rPr>
        <w:t>SP</w:t>
      </w:r>
      <w:r>
        <w:rPr>
          <w:rFonts w:ascii="Times New Roman" w:hAnsi="Times New Roman" w:eastAsia="Times New Roman" w:cs="Times New Roman"/>
          <w:spacing w:val="-1"/>
          <w:position w:val="1"/>
          <w:sz w:val="23"/>
          <w:szCs w:val="23"/>
        </w:rPr>
        <w:t xml:space="preserve"> </w:t>
      </w:r>
      <w:r>
        <w:rPr>
          <w:rFonts w:ascii="宋体" w:hAnsi="宋体" w:eastAsia="宋体" w:cs="宋体"/>
          <w:spacing w:val="-1"/>
          <w:position w:val="1"/>
          <w:sz w:val="23"/>
          <w:szCs w:val="23"/>
        </w:rPr>
        <w:t xml:space="preserve">浓度为 </w:t>
      </w:r>
      <w:r>
        <w:rPr>
          <w:rFonts w:ascii="Times New Roman" w:hAnsi="Times New Roman" w:eastAsia="Times New Roman" w:cs="Times New Roman"/>
          <w:spacing w:val="-1"/>
          <w:position w:val="1"/>
          <w:sz w:val="23"/>
          <w:szCs w:val="23"/>
        </w:rPr>
        <w:t>0.28</w:t>
      </w:r>
      <w:r>
        <w:rPr>
          <w:rFonts w:ascii="宋体" w:hAnsi="宋体" w:eastAsia="宋体" w:cs="宋体"/>
          <w:spacing w:val="-1"/>
          <w:position w:val="1"/>
          <w:sz w:val="23"/>
          <w:szCs w:val="23"/>
        </w:rPr>
        <w:t>~</w:t>
      </w:r>
      <w:r>
        <w:rPr>
          <w:rFonts w:ascii="Times New Roman" w:hAnsi="Times New Roman" w:eastAsia="Times New Roman" w:cs="Times New Roman"/>
          <w:spacing w:val="-1"/>
          <w:position w:val="1"/>
          <w:sz w:val="23"/>
          <w:szCs w:val="23"/>
        </w:rPr>
        <w:t>0.33</w:t>
      </w:r>
      <w:r>
        <w:rPr>
          <w:rFonts w:ascii="Times New Roman" w:hAnsi="Times New Roman" w:eastAsia="Times New Roman" w:cs="Times New Roman"/>
          <w:position w:val="1"/>
          <w:sz w:val="23"/>
          <w:szCs w:val="23"/>
        </w:rPr>
        <w:t>mg</w:t>
      </w:r>
      <w:r>
        <w:rPr>
          <w:rFonts w:ascii="Times New Roman" w:hAnsi="Times New Roman" w:eastAsia="Times New Roman" w:cs="Times New Roman"/>
          <w:spacing w:val="-1"/>
          <w:position w:val="1"/>
          <w:sz w:val="23"/>
          <w:szCs w:val="23"/>
        </w:rPr>
        <w:t>/</w:t>
      </w:r>
      <w:r>
        <w:rPr>
          <w:rFonts w:ascii="Times New Roman" w:hAnsi="Times New Roman" w:eastAsia="Times New Roman" w:cs="Times New Roman"/>
          <w:position w:val="1"/>
          <w:sz w:val="23"/>
          <w:szCs w:val="23"/>
        </w:rPr>
        <w:t>m</w:t>
      </w:r>
      <w:r>
        <w:rPr>
          <w:rFonts w:ascii="Times New Roman" w:hAnsi="Times New Roman" w:eastAsia="Times New Roman" w:cs="Times New Roman"/>
          <w:spacing w:val="-1"/>
          <w:position w:val="9"/>
          <w:sz w:val="15"/>
          <w:szCs w:val="15"/>
        </w:rPr>
        <w:t>3</w:t>
      </w:r>
      <w:r>
        <w:rPr>
          <w:rFonts w:ascii="宋体" w:hAnsi="宋体" w:eastAsia="宋体" w:cs="宋体"/>
          <w:spacing w:val="-1"/>
          <w:position w:val="1"/>
          <w:sz w:val="23"/>
          <w:szCs w:val="23"/>
        </w:rPr>
        <w:t xml:space="preserve">，平均为 </w:t>
      </w:r>
      <w:r>
        <w:rPr>
          <w:rFonts w:ascii="Times New Roman" w:hAnsi="Times New Roman" w:eastAsia="Times New Roman" w:cs="Times New Roman"/>
          <w:spacing w:val="-1"/>
          <w:position w:val="1"/>
          <w:sz w:val="23"/>
          <w:szCs w:val="23"/>
        </w:rPr>
        <w:t>0.31</w:t>
      </w:r>
      <w:r>
        <w:rPr>
          <w:rFonts w:ascii="Times New Roman" w:hAnsi="Times New Roman" w:eastAsia="Times New Roman" w:cs="Times New Roman"/>
          <w:position w:val="1"/>
          <w:sz w:val="23"/>
          <w:szCs w:val="23"/>
        </w:rPr>
        <w:t>mg</w:t>
      </w:r>
      <w:r>
        <w:rPr>
          <w:rFonts w:ascii="Times New Roman" w:hAnsi="Times New Roman" w:eastAsia="Times New Roman" w:cs="Times New Roman"/>
          <w:spacing w:val="-1"/>
          <w:position w:val="1"/>
          <w:sz w:val="23"/>
          <w:szCs w:val="23"/>
        </w:rPr>
        <w:t>/</w:t>
      </w:r>
      <w:r>
        <w:rPr>
          <w:rFonts w:ascii="Times New Roman" w:hAnsi="Times New Roman" w:eastAsia="Times New Roman" w:cs="Times New Roman"/>
          <w:position w:val="1"/>
          <w:sz w:val="23"/>
          <w:szCs w:val="23"/>
        </w:rPr>
        <w:t>m</w:t>
      </w:r>
      <w:r>
        <w:rPr>
          <w:rFonts w:ascii="Times New Roman" w:hAnsi="Times New Roman" w:eastAsia="Times New Roman" w:cs="Times New Roman"/>
          <w:spacing w:val="-1"/>
          <w:position w:val="9"/>
          <w:sz w:val="15"/>
          <w:szCs w:val="15"/>
        </w:rPr>
        <w:t>3</w:t>
      </w:r>
      <w:r>
        <w:rPr>
          <w:rFonts w:ascii="宋体" w:hAnsi="宋体" w:eastAsia="宋体" w:cs="宋体"/>
          <w:spacing w:val="-1"/>
          <w:position w:val="1"/>
          <w:sz w:val="23"/>
          <w:szCs w:val="23"/>
        </w:rPr>
        <w:t>。</w:t>
      </w:r>
    </w:p>
    <w:p w14:paraId="15D52D3F">
      <w:pPr>
        <w:sectPr>
          <w:headerReference r:id="rId196" w:type="default"/>
          <w:footerReference r:id="rId197" w:type="default"/>
          <w:pgSz w:w="11906" w:h="16839"/>
          <w:pgMar w:top="1132" w:right="1712" w:bottom="1182" w:left="1785" w:header="878" w:footer="1022" w:gutter="0"/>
          <w:cols w:space="720" w:num="1"/>
        </w:sectPr>
      </w:pPr>
    </w:p>
    <w:p w14:paraId="53972327">
      <w:pPr>
        <w:spacing w:line="368" w:lineRule="auto"/>
        <w:rPr>
          <w:rFonts w:ascii="Arial"/>
          <w:sz w:val="21"/>
        </w:rPr>
      </w:pPr>
      <w:r>
        <w:pict>
          <v:shape id="_x0000_s1237" o:spid="_x0000_s1237" style="position:absolute;left:0pt;margin-left:90pt;margin-top:57.35pt;height:0.75pt;width:415.3pt;mso-position-horizontal-relative:page;mso-position-vertical-relative:page;z-index:251895808;mso-width-relative:page;mso-height-relative:page;" fillcolor="#000000" filled="t" stroked="f" coordsize="8305,15" o:allowincell="f" path="m0,0l8305,0,8305,14,0,14,0,0xe">
            <v:path/>
            <v:fill on="t" focussize="0,0"/>
            <v:stroke on="f"/>
            <v:imagedata o:title=""/>
            <o:lock v:ext="edit"/>
          </v:shape>
        </w:pict>
      </w:r>
    </w:p>
    <w:p w14:paraId="0B10E94B">
      <w:pPr>
        <w:spacing w:before="74" w:line="390" w:lineRule="auto"/>
        <w:ind w:left="113" w:right="102" w:firstLine="7"/>
        <w:rPr>
          <w:rFonts w:ascii="宋体" w:hAnsi="宋体" w:eastAsia="宋体" w:cs="宋体"/>
          <w:sz w:val="23"/>
          <w:szCs w:val="23"/>
        </w:rPr>
      </w:pPr>
      <w:r>
        <w:rPr>
          <w:rFonts w:ascii="宋体" w:hAnsi="宋体" w:eastAsia="宋体" w:cs="宋体"/>
          <w:spacing w:val="2"/>
          <w:sz w:val="23"/>
          <w:szCs w:val="23"/>
        </w:rPr>
        <w:t xml:space="preserve">工地内的 </w:t>
      </w:r>
      <w:r>
        <w:rPr>
          <w:rFonts w:ascii="Times New Roman" w:hAnsi="Times New Roman" w:eastAsia="Times New Roman" w:cs="Times New Roman"/>
          <w:sz w:val="23"/>
          <w:szCs w:val="23"/>
        </w:rPr>
        <w:t>TSP</w:t>
      </w:r>
      <w:r>
        <w:rPr>
          <w:rFonts w:ascii="Times New Roman" w:hAnsi="Times New Roman" w:eastAsia="Times New Roman" w:cs="Times New Roman"/>
          <w:spacing w:val="2"/>
          <w:sz w:val="23"/>
          <w:szCs w:val="23"/>
        </w:rPr>
        <w:t xml:space="preserve"> </w:t>
      </w:r>
      <w:r>
        <w:rPr>
          <w:rFonts w:ascii="宋体" w:hAnsi="宋体" w:eastAsia="宋体" w:cs="宋体"/>
          <w:spacing w:val="1"/>
          <w:sz w:val="23"/>
          <w:szCs w:val="23"/>
        </w:rPr>
        <w:t xml:space="preserve">浓度为 </w:t>
      </w:r>
      <w:r>
        <w:rPr>
          <w:rFonts w:ascii="Times New Roman" w:hAnsi="Times New Roman" w:eastAsia="Times New Roman" w:cs="Times New Roman"/>
          <w:spacing w:val="1"/>
          <w:sz w:val="23"/>
          <w:szCs w:val="23"/>
        </w:rPr>
        <w:t>0.42</w:t>
      </w:r>
      <w:r>
        <w:rPr>
          <w:rFonts w:ascii="宋体" w:hAnsi="宋体" w:eastAsia="宋体" w:cs="宋体"/>
          <w:spacing w:val="1"/>
          <w:sz w:val="23"/>
          <w:szCs w:val="23"/>
        </w:rPr>
        <w:t>~</w:t>
      </w:r>
      <w:r>
        <w:rPr>
          <w:rFonts w:ascii="Times New Roman" w:hAnsi="Times New Roman" w:eastAsia="Times New Roman" w:cs="Times New Roman"/>
          <w:spacing w:val="1"/>
          <w:sz w:val="23"/>
          <w:szCs w:val="23"/>
        </w:rPr>
        <w:t>0.75</w:t>
      </w:r>
      <w:r>
        <w:rPr>
          <w:rFonts w:ascii="Times New Roman" w:hAnsi="Times New Roman" w:eastAsia="Times New Roman" w:cs="Times New Roman"/>
          <w:sz w:val="23"/>
          <w:szCs w:val="23"/>
        </w:rPr>
        <w:t>mg</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m</w:t>
      </w:r>
      <w:r>
        <w:rPr>
          <w:rFonts w:ascii="Times New Roman" w:hAnsi="Times New Roman" w:eastAsia="Times New Roman" w:cs="Times New Roman"/>
          <w:spacing w:val="1"/>
          <w:position w:val="8"/>
          <w:sz w:val="15"/>
          <w:szCs w:val="15"/>
        </w:rPr>
        <w:t>3</w:t>
      </w:r>
      <w:r>
        <w:rPr>
          <w:rFonts w:ascii="宋体" w:hAnsi="宋体" w:eastAsia="宋体" w:cs="宋体"/>
          <w:spacing w:val="1"/>
          <w:sz w:val="23"/>
          <w:szCs w:val="23"/>
        </w:rPr>
        <w:t xml:space="preserve">，平均 </w:t>
      </w:r>
      <w:r>
        <w:rPr>
          <w:rFonts w:ascii="Times New Roman" w:hAnsi="Times New Roman" w:eastAsia="Times New Roman" w:cs="Times New Roman"/>
          <w:spacing w:val="1"/>
          <w:sz w:val="23"/>
          <w:szCs w:val="23"/>
        </w:rPr>
        <w:t>0.59</w:t>
      </w:r>
      <w:r>
        <w:rPr>
          <w:rFonts w:ascii="Times New Roman" w:hAnsi="Times New Roman" w:eastAsia="Times New Roman" w:cs="Times New Roman"/>
          <w:sz w:val="23"/>
          <w:szCs w:val="23"/>
        </w:rPr>
        <w:t>mg</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m</w:t>
      </w:r>
      <w:r>
        <w:rPr>
          <w:rFonts w:ascii="Times New Roman" w:hAnsi="Times New Roman" w:eastAsia="Times New Roman" w:cs="Times New Roman"/>
          <w:spacing w:val="1"/>
          <w:position w:val="8"/>
          <w:sz w:val="15"/>
          <w:szCs w:val="15"/>
        </w:rPr>
        <w:t>3</w:t>
      </w:r>
      <w:r>
        <w:rPr>
          <w:rFonts w:ascii="宋体" w:hAnsi="宋体" w:eastAsia="宋体" w:cs="宋体"/>
          <w:spacing w:val="1"/>
          <w:sz w:val="23"/>
          <w:szCs w:val="23"/>
        </w:rPr>
        <w:t xml:space="preserve">，是上风向对照点的 </w:t>
      </w:r>
      <w:r>
        <w:rPr>
          <w:rFonts w:ascii="Times New Roman" w:hAnsi="Times New Roman" w:eastAsia="Times New Roman" w:cs="Times New Roman"/>
          <w:spacing w:val="1"/>
          <w:sz w:val="23"/>
          <w:szCs w:val="23"/>
        </w:rPr>
        <w:t>1.5</w:t>
      </w:r>
      <w:r>
        <w:rPr>
          <w:rFonts w:ascii="宋体" w:hAnsi="宋体" w:eastAsia="宋体" w:cs="宋体"/>
          <w:spacing w:val="1"/>
          <w:sz w:val="23"/>
          <w:szCs w:val="23"/>
        </w:rPr>
        <w:t>~</w:t>
      </w:r>
      <w:r>
        <w:rPr>
          <w:rFonts w:ascii="宋体" w:hAnsi="宋体" w:eastAsia="宋体" w:cs="宋体"/>
          <w:sz w:val="23"/>
          <w:szCs w:val="23"/>
        </w:rPr>
        <w:t xml:space="preserve"> </w:t>
      </w:r>
      <w:r>
        <w:rPr>
          <w:rFonts w:ascii="Times New Roman" w:hAnsi="Times New Roman" w:eastAsia="Times New Roman" w:cs="Times New Roman"/>
          <w:spacing w:val="12"/>
          <w:sz w:val="23"/>
          <w:szCs w:val="23"/>
        </w:rPr>
        <w:t>2.3</w:t>
      </w:r>
      <w:r>
        <w:rPr>
          <w:rFonts w:ascii="Times New Roman" w:hAnsi="Times New Roman" w:eastAsia="Times New Roman" w:cs="Times New Roman"/>
          <w:spacing w:val="7"/>
          <w:sz w:val="23"/>
          <w:szCs w:val="23"/>
        </w:rPr>
        <w:t xml:space="preserve"> </w:t>
      </w:r>
      <w:r>
        <w:rPr>
          <w:rFonts w:ascii="宋体" w:hAnsi="宋体" w:eastAsia="宋体" w:cs="宋体"/>
          <w:spacing w:val="6"/>
          <w:sz w:val="23"/>
          <w:szCs w:val="23"/>
        </w:rPr>
        <w:t xml:space="preserve">倍，平均 </w:t>
      </w:r>
      <w:r>
        <w:rPr>
          <w:rFonts w:ascii="Times New Roman" w:hAnsi="Times New Roman" w:eastAsia="Times New Roman" w:cs="Times New Roman"/>
          <w:spacing w:val="6"/>
          <w:sz w:val="23"/>
          <w:szCs w:val="23"/>
        </w:rPr>
        <w:t xml:space="preserve">1.9 </w:t>
      </w:r>
      <w:r>
        <w:rPr>
          <w:rFonts w:ascii="宋体" w:hAnsi="宋体" w:eastAsia="宋体" w:cs="宋体"/>
          <w:spacing w:val="6"/>
          <w:sz w:val="23"/>
          <w:szCs w:val="23"/>
        </w:rPr>
        <w:t xml:space="preserve">倍，相当于环境空气标准日均值的 </w:t>
      </w:r>
      <w:r>
        <w:rPr>
          <w:rFonts w:ascii="Times New Roman" w:hAnsi="Times New Roman" w:eastAsia="Times New Roman" w:cs="Times New Roman"/>
          <w:spacing w:val="6"/>
          <w:sz w:val="23"/>
          <w:szCs w:val="23"/>
        </w:rPr>
        <w:t>1.4</w:t>
      </w:r>
      <w:r>
        <w:rPr>
          <w:rFonts w:ascii="宋体" w:hAnsi="宋体" w:eastAsia="宋体" w:cs="宋体"/>
          <w:spacing w:val="6"/>
          <w:sz w:val="23"/>
          <w:szCs w:val="23"/>
        </w:rPr>
        <w:t>~</w:t>
      </w:r>
      <w:r>
        <w:rPr>
          <w:rFonts w:ascii="Times New Roman" w:hAnsi="Times New Roman" w:eastAsia="Times New Roman" w:cs="Times New Roman"/>
          <w:spacing w:val="6"/>
          <w:sz w:val="23"/>
          <w:szCs w:val="23"/>
        </w:rPr>
        <w:t xml:space="preserve">2.5 </w:t>
      </w:r>
      <w:r>
        <w:rPr>
          <w:rFonts w:ascii="宋体" w:hAnsi="宋体" w:eastAsia="宋体" w:cs="宋体"/>
          <w:spacing w:val="6"/>
          <w:sz w:val="23"/>
          <w:szCs w:val="23"/>
        </w:rPr>
        <w:t xml:space="preserve">倍，平均 </w:t>
      </w:r>
      <w:r>
        <w:rPr>
          <w:rFonts w:ascii="Times New Roman" w:hAnsi="Times New Roman" w:eastAsia="Times New Roman" w:cs="Times New Roman"/>
          <w:spacing w:val="6"/>
          <w:sz w:val="23"/>
          <w:szCs w:val="23"/>
        </w:rPr>
        <w:t xml:space="preserve">1.97 </w:t>
      </w:r>
      <w:r>
        <w:rPr>
          <w:rFonts w:ascii="宋体" w:hAnsi="宋体" w:eastAsia="宋体" w:cs="宋体"/>
          <w:spacing w:val="6"/>
          <w:sz w:val="23"/>
          <w:szCs w:val="23"/>
        </w:rPr>
        <w:t>倍。</w:t>
      </w:r>
      <w:r>
        <w:rPr>
          <w:rFonts w:ascii="宋体" w:hAnsi="宋体" w:eastAsia="宋体" w:cs="宋体"/>
          <w:sz w:val="23"/>
          <w:szCs w:val="23"/>
        </w:rPr>
        <w:t xml:space="preserve"> </w:t>
      </w:r>
      <w:r>
        <w:rPr>
          <w:rFonts w:ascii="宋体" w:hAnsi="宋体" w:eastAsia="宋体" w:cs="宋体"/>
          <w:spacing w:val="2"/>
          <w:sz w:val="23"/>
          <w:szCs w:val="23"/>
        </w:rPr>
        <w:t xml:space="preserve">下风向 </w:t>
      </w:r>
      <w:r>
        <w:rPr>
          <w:rFonts w:ascii="Times New Roman" w:hAnsi="Times New Roman" w:eastAsia="Times New Roman" w:cs="Times New Roman"/>
          <w:spacing w:val="2"/>
          <w:sz w:val="23"/>
          <w:szCs w:val="23"/>
        </w:rPr>
        <w:t>150</w:t>
      </w:r>
      <w:r>
        <w:rPr>
          <w:rFonts w:ascii="Times New Roman" w:hAnsi="Times New Roman" w:eastAsia="Times New Roman" w:cs="Times New Roman"/>
          <w:sz w:val="23"/>
          <w:szCs w:val="23"/>
        </w:rPr>
        <w:t>m</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 xml:space="preserve">之内的 </w:t>
      </w:r>
      <w:r>
        <w:rPr>
          <w:rFonts w:ascii="Times New Roman" w:hAnsi="Times New Roman" w:eastAsia="Times New Roman" w:cs="Times New Roman"/>
          <w:sz w:val="23"/>
          <w:szCs w:val="23"/>
        </w:rPr>
        <w:t>TSP</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 xml:space="preserve">平均浓度为 </w:t>
      </w:r>
      <w:r>
        <w:rPr>
          <w:rFonts w:ascii="Times New Roman" w:hAnsi="Times New Roman" w:eastAsia="Times New Roman" w:cs="Times New Roman"/>
          <w:spacing w:val="2"/>
          <w:sz w:val="23"/>
          <w:szCs w:val="23"/>
        </w:rPr>
        <w:t>0.4</w:t>
      </w:r>
      <w:r>
        <w:rPr>
          <w:rFonts w:ascii="Times New Roman" w:hAnsi="Times New Roman" w:eastAsia="Times New Roman" w:cs="Times New Roman"/>
          <w:spacing w:val="1"/>
          <w:sz w:val="23"/>
          <w:szCs w:val="23"/>
        </w:rPr>
        <w:t xml:space="preserve">9 </w:t>
      </w:r>
      <w:r>
        <w:rPr>
          <w:rFonts w:ascii="Times New Roman" w:hAnsi="Times New Roman" w:eastAsia="Times New Roman" w:cs="Times New Roman"/>
          <w:sz w:val="23"/>
          <w:szCs w:val="23"/>
        </w:rPr>
        <w:t>mg</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m</w:t>
      </w:r>
      <w:r>
        <w:rPr>
          <w:rFonts w:ascii="Times New Roman" w:hAnsi="Times New Roman" w:eastAsia="Times New Roman" w:cs="Times New Roman"/>
          <w:spacing w:val="1"/>
          <w:position w:val="8"/>
          <w:sz w:val="15"/>
          <w:szCs w:val="15"/>
        </w:rPr>
        <w:t xml:space="preserve">3 </w:t>
      </w:r>
      <w:r>
        <w:rPr>
          <w:rFonts w:ascii="宋体" w:hAnsi="宋体" w:eastAsia="宋体" w:cs="宋体"/>
          <w:spacing w:val="1"/>
          <w:sz w:val="23"/>
          <w:szCs w:val="23"/>
        </w:rPr>
        <w:t xml:space="preserve">。是上风向对照点的 </w:t>
      </w:r>
      <w:r>
        <w:rPr>
          <w:rFonts w:ascii="Times New Roman" w:hAnsi="Times New Roman" w:eastAsia="Times New Roman" w:cs="Times New Roman"/>
          <w:spacing w:val="1"/>
          <w:sz w:val="23"/>
          <w:szCs w:val="23"/>
        </w:rPr>
        <w:t xml:space="preserve">1.6 </w:t>
      </w:r>
      <w:r>
        <w:rPr>
          <w:rFonts w:ascii="宋体" w:hAnsi="宋体" w:eastAsia="宋体" w:cs="宋体"/>
          <w:spacing w:val="1"/>
          <w:sz w:val="23"/>
          <w:szCs w:val="23"/>
        </w:rPr>
        <w:t>倍，相</w:t>
      </w:r>
      <w:r>
        <w:rPr>
          <w:rFonts w:ascii="宋体" w:hAnsi="宋体" w:eastAsia="宋体" w:cs="宋体"/>
          <w:sz w:val="23"/>
          <w:szCs w:val="23"/>
        </w:rPr>
        <w:t xml:space="preserve"> </w:t>
      </w:r>
      <w:r>
        <w:rPr>
          <w:rFonts w:ascii="宋体" w:hAnsi="宋体" w:eastAsia="宋体" w:cs="宋体"/>
          <w:spacing w:val="8"/>
          <w:sz w:val="23"/>
          <w:szCs w:val="23"/>
        </w:rPr>
        <w:t>当于</w:t>
      </w:r>
      <w:r>
        <w:rPr>
          <w:rFonts w:ascii="宋体" w:hAnsi="宋体" w:eastAsia="宋体" w:cs="宋体"/>
          <w:spacing w:val="4"/>
          <w:sz w:val="23"/>
          <w:szCs w:val="23"/>
        </w:rPr>
        <w:t xml:space="preserve">环境空气标准日均值的 </w:t>
      </w:r>
      <w:r>
        <w:rPr>
          <w:rFonts w:ascii="Times New Roman" w:hAnsi="Times New Roman" w:eastAsia="Times New Roman" w:cs="Times New Roman"/>
          <w:spacing w:val="4"/>
          <w:sz w:val="23"/>
          <w:szCs w:val="23"/>
        </w:rPr>
        <w:t xml:space="preserve">1.6 </w:t>
      </w:r>
      <w:r>
        <w:rPr>
          <w:rFonts w:ascii="宋体" w:hAnsi="宋体" w:eastAsia="宋体" w:cs="宋体"/>
          <w:spacing w:val="4"/>
          <w:sz w:val="23"/>
          <w:szCs w:val="23"/>
        </w:rPr>
        <w:t>倍。</w:t>
      </w:r>
    </w:p>
    <w:p w14:paraId="2BA4ADBE">
      <w:pPr>
        <w:spacing w:before="175" w:line="390" w:lineRule="auto"/>
        <w:ind w:left="113" w:right="107" w:firstLine="511"/>
        <w:rPr>
          <w:rFonts w:ascii="宋体" w:hAnsi="宋体" w:eastAsia="宋体" w:cs="宋体"/>
          <w:sz w:val="23"/>
          <w:szCs w:val="23"/>
        </w:rPr>
      </w:pPr>
      <w:r>
        <w:rPr>
          <w:rFonts w:ascii="宋体" w:hAnsi="宋体" w:eastAsia="宋体" w:cs="宋体"/>
          <w:spacing w:val="7"/>
          <w:sz w:val="23"/>
          <w:szCs w:val="23"/>
        </w:rPr>
        <w:t>以</w:t>
      </w:r>
      <w:r>
        <w:rPr>
          <w:rFonts w:ascii="宋体" w:hAnsi="宋体" w:eastAsia="宋体" w:cs="宋体"/>
          <w:spacing w:val="6"/>
          <w:sz w:val="23"/>
          <w:szCs w:val="23"/>
        </w:rPr>
        <w:t>上结果表明，建筑施工扬尘严重，但影响范围有限。国内外的其它研究成</w:t>
      </w:r>
      <w:r>
        <w:rPr>
          <w:rFonts w:ascii="宋体" w:hAnsi="宋体" w:eastAsia="宋体" w:cs="宋体"/>
          <w:sz w:val="23"/>
          <w:szCs w:val="23"/>
        </w:rPr>
        <w:t xml:space="preserve"> </w:t>
      </w:r>
      <w:r>
        <w:rPr>
          <w:rFonts w:ascii="宋体" w:hAnsi="宋体" w:eastAsia="宋体" w:cs="宋体"/>
          <w:spacing w:val="5"/>
          <w:sz w:val="23"/>
          <w:szCs w:val="23"/>
        </w:rPr>
        <w:t>果</w:t>
      </w:r>
      <w:r>
        <w:rPr>
          <w:rFonts w:ascii="宋体" w:hAnsi="宋体" w:eastAsia="宋体" w:cs="宋体"/>
          <w:spacing w:val="3"/>
          <w:sz w:val="23"/>
          <w:szCs w:val="23"/>
        </w:rPr>
        <w:t xml:space="preserve">也表明，地面、堆场和道路扬尘由于排放高度低，一般影响范围在下风向 </w:t>
      </w:r>
      <w:r>
        <w:rPr>
          <w:rFonts w:ascii="Times New Roman" w:hAnsi="Times New Roman" w:eastAsia="Times New Roman" w:cs="Times New Roman"/>
          <w:spacing w:val="3"/>
          <w:sz w:val="23"/>
          <w:szCs w:val="23"/>
        </w:rPr>
        <w:t>100</w:t>
      </w:r>
      <w:r>
        <w:rPr>
          <w:rFonts w:ascii="宋体" w:hAnsi="宋体" w:eastAsia="宋体" w:cs="宋体"/>
          <w:spacing w:val="3"/>
          <w:sz w:val="23"/>
          <w:szCs w:val="23"/>
        </w:rPr>
        <w:t>~</w:t>
      </w:r>
      <w:r>
        <w:rPr>
          <w:rFonts w:ascii="宋体" w:hAnsi="宋体" w:eastAsia="宋体" w:cs="宋体"/>
          <w:sz w:val="23"/>
          <w:szCs w:val="23"/>
        </w:rPr>
        <w:t xml:space="preserve"> </w:t>
      </w:r>
      <w:r>
        <w:rPr>
          <w:rFonts w:ascii="Times New Roman" w:hAnsi="Times New Roman" w:eastAsia="Times New Roman" w:cs="Times New Roman"/>
          <w:spacing w:val="10"/>
          <w:sz w:val="23"/>
          <w:szCs w:val="23"/>
        </w:rPr>
        <w:t>2</w:t>
      </w:r>
      <w:r>
        <w:rPr>
          <w:rFonts w:ascii="Times New Roman" w:hAnsi="Times New Roman" w:eastAsia="Times New Roman" w:cs="Times New Roman"/>
          <w:spacing w:val="6"/>
          <w:sz w:val="23"/>
          <w:szCs w:val="23"/>
        </w:rPr>
        <w:t>00</w:t>
      </w:r>
      <w:r>
        <w:rPr>
          <w:rFonts w:ascii="Times New Roman" w:hAnsi="Times New Roman" w:eastAsia="Times New Roman" w:cs="Times New Roman"/>
          <w:sz w:val="23"/>
          <w:szCs w:val="23"/>
        </w:rPr>
        <w:t>m</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以内区域。</w:t>
      </w:r>
    </w:p>
    <w:p w14:paraId="27FFE3D8">
      <w:pPr>
        <w:spacing w:before="136" w:line="393" w:lineRule="auto"/>
        <w:ind w:left="117" w:right="107" w:firstLine="482"/>
        <w:rPr>
          <w:rFonts w:ascii="宋体" w:hAnsi="宋体" w:eastAsia="宋体" w:cs="宋体"/>
          <w:sz w:val="23"/>
          <w:szCs w:val="23"/>
        </w:rPr>
      </w:pPr>
      <w:r>
        <w:rPr>
          <w:rFonts w:ascii="宋体" w:hAnsi="宋体" w:eastAsia="宋体" w:cs="宋体"/>
          <w:spacing w:val="12"/>
          <w:sz w:val="23"/>
          <w:szCs w:val="23"/>
        </w:rPr>
        <w:t>从本项目</w:t>
      </w:r>
      <w:r>
        <w:rPr>
          <w:rFonts w:ascii="宋体" w:hAnsi="宋体" w:eastAsia="宋体" w:cs="宋体"/>
          <w:spacing w:val="8"/>
          <w:sz w:val="23"/>
          <w:szCs w:val="23"/>
        </w:rPr>
        <w:t>施</w:t>
      </w:r>
      <w:r>
        <w:rPr>
          <w:rFonts w:ascii="宋体" w:hAnsi="宋体" w:eastAsia="宋体" w:cs="宋体"/>
          <w:spacing w:val="6"/>
          <w:sz w:val="23"/>
          <w:szCs w:val="23"/>
        </w:rPr>
        <w:t>工场地周围的社会环境现状看，最近的居民区未处于施工扬尘的</w:t>
      </w:r>
      <w:r>
        <w:rPr>
          <w:rFonts w:ascii="宋体" w:hAnsi="宋体" w:eastAsia="宋体" w:cs="宋体"/>
          <w:sz w:val="23"/>
          <w:szCs w:val="23"/>
        </w:rPr>
        <w:t xml:space="preserve"> </w:t>
      </w:r>
      <w:r>
        <w:rPr>
          <w:rFonts w:ascii="宋体" w:hAnsi="宋体" w:eastAsia="宋体" w:cs="宋体"/>
          <w:spacing w:val="12"/>
          <w:sz w:val="23"/>
          <w:szCs w:val="23"/>
        </w:rPr>
        <w:t>影</w:t>
      </w:r>
      <w:r>
        <w:rPr>
          <w:rFonts w:ascii="宋体" w:hAnsi="宋体" w:eastAsia="宋体" w:cs="宋体"/>
          <w:spacing w:val="9"/>
          <w:sz w:val="23"/>
          <w:szCs w:val="23"/>
        </w:rPr>
        <w:t>响范围之内，项目施工扬尘会对其产生影响很小。</w:t>
      </w:r>
    </w:p>
    <w:p w14:paraId="69ACA86E">
      <w:pPr>
        <w:spacing w:before="136" w:line="303" w:lineRule="exact"/>
        <w:ind w:left="593"/>
        <w:rPr>
          <w:rFonts w:ascii="宋体" w:hAnsi="宋体" w:eastAsia="宋体" w:cs="宋体"/>
          <w:sz w:val="23"/>
          <w:szCs w:val="23"/>
        </w:rPr>
      </w:pPr>
      <w:r>
        <w:rPr>
          <w:rFonts w:ascii="Times New Roman" w:hAnsi="Times New Roman" w:eastAsia="Times New Roman" w:cs="Times New Roman"/>
          <w:spacing w:val="-2"/>
          <w:position w:val="1"/>
          <w:sz w:val="23"/>
          <w:szCs w:val="23"/>
        </w:rPr>
        <w:t>2</w:t>
      </w:r>
      <w:r>
        <w:rPr>
          <w:rFonts w:ascii="Times New Roman" w:hAnsi="Times New Roman" w:eastAsia="Times New Roman" w:cs="Times New Roman"/>
          <w:spacing w:val="-1"/>
          <w:position w:val="1"/>
          <w:sz w:val="23"/>
          <w:szCs w:val="23"/>
        </w:rPr>
        <w:t xml:space="preserve"> </w:t>
      </w:r>
      <w:r>
        <w:rPr>
          <w:rFonts w:ascii="宋体" w:hAnsi="宋体" w:eastAsia="宋体" w:cs="宋体"/>
          <w:spacing w:val="-1"/>
          <w:position w:val="1"/>
          <w:sz w:val="23"/>
          <w:szCs w:val="23"/>
        </w:rPr>
        <w:t>、汽车尾气</w:t>
      </w:r>
    </w:p>
    <w:p w14:paraId="6F8BF069">
      <w:pPr>
        <w:spacing w:line="259" w:lineRule="auto"/>
        <w:rPr>
          <w:rFonts w:ascii="Arial"/>
          <w:sz w:val="21"/>
        </w:rPr>
      </w:pPr>
    </w:p>
    <w:p w14:paraId="3CCC72C0">
      <w:pPr>
        <w:spacing w:before="75" w:line="385" w:lineRule="auto"/>
        <w:ind w:left="116" w:right="105" w:firstLine="480"/>
        <w:rPr>
          <w:rFonts w:ascii="宋体" w:hAnsi="宋体" w:eastAsia="宋体" w:cs="宋体"/>
          <w:sz w:val="23"/>
          <w:szCs w:val="23"/>
        </w:rPr>
      </w:pPr>
      <w:r>
        <w:rPr>
          <w:rFonts w:ascii="宋体" w:hAnsi="宋体" w:eastAsia="宋体" w:cs="宋体"/>
          <w:spacing w:val="7"/>
          <w:sz w:val="23"/>
          <w:szCs w:val="23"/>
        </w:rPr>
        <w:t>施工期尾气污染源主要是各种施工车辆。在土石方和结构施工阶段，施工</w:t>
      </w:r>
      <w:r>
        <w:rPr>
          <w:rFonts w:ascii="宋体" w:hAnsi="宋体" w:eastAsia="宋体" w:cs="宋体"/>
          <w:spacing w:val="3"/>
          <w:sz w:val="23"/>
          <w:szCs w:val="23"/>
        </w:rPr>
        <w:t>作</w:t>
      </w:r>
      <w:r>
        <w:rPr>
          <w:rFonts w:ascii="宋体" w:hAnsi="宋体" w:eastAsia="宋体" w:cs="宋体"/>
          <w:sz w:val="23"/>
          <w:szCs w:val="23"/>
        </w:rPr>
        <w:t xml:space="preserve"> </w:t>
      </w:r>
      <w:r>
        <w:rPr>
          <w:rFonts w:ascii="宋体" w:hAnsi="宋体" w:eastAsia="宋体" w:cs="宋体"/>
          <w:spacing w:val="9"/>
          <w:sz w:val="23"/>
          <w:szCs w:val="23"/>
        </w:rPr>
        <w:t>业</w:t>
      </w:r>
      <w:r>
        <w:rPr>
          <w:rFonts w:ascii="宋体" w:hAnsi="宋体" w:eastAsia="宋体" w:cs="宋体"/>
          <w:spacing w:val="7"/>
          <w:sz w:val="23"/>
          <w:szCs w:val="23"/>
        </w:rPr>
        <w:t>车辆相对较多，是污染物排放较集中的阶段，主要污染源是大型运输车，主要</w:t>
      </w:r>
      <w:r>
        <w:rPr>
          <w:rFonts w:ascii="宋体" w:hAnsi="宋体" w:eastAsia="宋体" w:cs="宋体"/>
          <w:sz w:val="23"/>
          <w:szCs w:val="23"/>
        </w:rPr>
        <w:t xml:space="preserve"> </w:t>
      </w:r>
      <w:r>
        <w:rPr>
          <w:rFonts w:ascii="宋体" w:hAnsi="宋体" w:eastAsia="宋体" w:cs="宋体"/>
          <w:spacing w:val="6"/>
          <w:sz w:val="23"/>
          <w:szCs w:val="23"/>
        </w:rPr>
        <w:t>污染物是</w:t>
      </w:r>
      <w:r>
        <w:rPr>
          <w:rFonts w:ascii="宋体" w:hAnsi="宋体" w:eastAsia="宋体" w:cs="宋体"/>
          <w:spacing w:val="4"/>
          <w:sz w:val="23"/>
          <w:szCs w:val="23"/>
        </w:rPr>
        <w:t xml:space="preserve"> </w:t>
      </w:r>
      <w:r>
        <w:rPr>
          <w:rFonts w:ascii="Times New Roman" w:hAnsi="Times New Roman" w:eastAsia="Times New Roman" w:cs="Times New Roman"/>
          <w:sz w:val="23"/>
          <w:szCs w:val="23"/>
        </w:rPr>
        <w:t>NO</w:t>
      </w:r>
      <w:r>
        <w:rPr>
          <w:rFonts w:ascii="Times New Roman" w:hAnsi="Times New Roman" w:eastAsia="Times New Roman" w:cs="Times New Roman"/>
          <w:position w:val="-1"/>
          <w:sz w:val="15"/>
          <w:szCs w:val="15"/>
        </w:rPr>
        <w:t>x</w:t>
      </w:r>
      <w:r>
        <w:rPr>
          <w:rFonts w:ascii="Times New Roman" w:hAnsi="Times New Roman" w:eastAsia="Times New Roman" w:cs="Times New Roman"/>
          <w:spacing w:val="3"/>
          <w:position w:val="-1"/>
          <w:sz w:val="15"/>
          <w:szCs w:val="15"/>
        </w:rPr>
        <w:t xml:space="preserve"> </w:t>
      </w:r>
      <w:r>
        <w:rPr>
          <w:rFonts w:ascii="宋体" w:hAnsi="宋体" w:eastAsia="宋体" w:cs="宋体"/>
          <w:spacing w:val="3"/>
          <w:sz w:val="23"/>
          <w:szCs w:val="23"/>
        </w:rPr>
        <w:t>、</w:t>
      </w:r>
      <w:r>
        <w:rPr>
          <w:rFonts w:ascii="Times New Roman" w:hAnsi="Times New Roman" w:eastAsia="Times New Roman" w:cs="Times New Roman"/>
          <w:sz w:val="23"/>
          <w:szCs w:val="23"/>
        </w:rPr>
        <w:t>CO</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w:t>
      </w:r>
      <w:r>
        <w:rPr>
          <w:rFonts w:ascii="Times New Roman" w:hAnsi="Times New Roman" w:eastAsia="Times New Roman" w:cs="Times New Roman"/>
          <w:sz w:val="23"/>
          <w:szCs w:val="23"/>
        </w:rPr>
        <w:t>THC</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 xml:space="preserve">等。施工期预计使用燃柴油施工机械 </w:t>
      </w:r>
      <w:r>
        <w:rPr>
          <w:rFonts w:ascii="Times New Roman" w:hAnsi="Times New Roman" w:eastAsia="Times New Roman" w:cs="Times New Roman"/>
          <w:spacing w:val="3"/>
          <w:sz w:val="23"/>
          <w:szCs w:val="23"/>
        </w:rPr>
        <w:t xml:space="preserve">4 </w:t>
      </w:r>
      <w:r>
        <w:rPr>
          <w:rFonts w:ascii="宋体" w:hAnsi="宋体" w:eastAsia="宋体" w:cs="宋体"/>
          <w:spacing w:val="3"/>
          <w:sz w:val="23"/>
          <w:szCs w:val="23"/>
        </w:rPr>
        <w:t>台、重型运输</w:t>
      </w:r>
      <w:r>
        <w:rPr>
          <w:rFonts w:ascii="宋体" w:hAnsi="宋体" w:eastAsia="宋体" w:cs="宋体"/>
          <w:sz w:val="23"/>
          <w:szCs w:val="23"/>
        </w:rPr>
        <w:t xml:space="preserve"> </w:t>
      </w:r>
      <w:r>
        <w:rPr>
          <w:rFonts w:ascii="宋体" w:hAnsi="宋体" w:eastAsia="宋体" w:cs="宋体"/>
          <w:spacing w:val="6"/>
          <w:sz w:val="23"/>
          <w:szCs w:val="23"/>
        </w:rPr>
        <w:t xml:space="preserve">汽车 </w:t>
      </w:r>
      <w:r>
        <w:rPr>
          <w:rFonts w:ascii="Times New Roman" w:hAnsi="Times New Roman" w:eastAsia="Times New Roman" w:cs="Times New Roman"/>
          <w:spacing w:val="6"/>
          <w:sz w:val="23"/>
          <w:szCs w:val="23"/>
        </w:rPr>
        <w:t xml:space="preserve">2 </w:t>
      </w:r>
      <w:r>
        <w:rPr>
          <w:rFonts w:ascii="宋体" w:hAnsi="宋体" w:eastAsia="宋体" w:cs="宋体"/>
          <w:spacing w:val="3"/>
          <w:sz w:val="23"/>
          <w:szCs w:val="23"/>
        </w:rPr>
        <w:t xml:space="preserve">辆，预测日耗柴油量为 </w:t>
      </w:r>
      <w:r>
        <w:rPr>
          <w:rFonts w:ascii="Times New Roman" w:hAnsi="Times New Roman" w:eastAsia="Times New Roman" w:cs="Times New Roman"/>
          <w:spacing w:val="3"/>
          <w:sz w:val="23"/>
          <w:szCs w:val="23"/>
        </w:rPr>
        <w:t>140</w:t>
      </w:r>
      <w:r>
        <w:rPr>
          <w:rFonts w:ascii="Times New Roman" w:hAnsi="Times New Roman" w:eastAsia="Times New Roman" w:cs="Times New Roman"/>
          <w:sz w:val="23"/>
          <w:szCs w:val="23"/>
        </w:rPr>
        <w:t>kg</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，其汽车尾气主要污染物排放负荷预测结果</w:t>
      </w:r>
      <w:r>
        <w:rPr>
          <w:rFonts w:ascii="宋体" w:hAnsi="宋体" w:eastAsia="宋体" w:cs="宋体"/>
          <w:sz w:val="23"/>
          <w:szCs w:val="23"/>
        </w:rPr>
        <w:t xml:space="preserve"> </w:t>
      </w:r>
      <w:r>
        <w:rPr>
          <w:rFonts w:ascii="宋体" w:hAnsi="宋体" w:eastAsia="宋体" w:cs="宋体"/>
          <w:spacing w:val="-12"/>
          <w:sz w:val="23"/>
          <w:szCs w:val="23"/>
        </w:rPr>
        <w:t>见</w:t>
      </w:r>
      <w:r>
        <w:rPr>
          <w:rFonts w:ascii="宋体" w:hAnsi="宋体" w:eastAsia="宋体" w:cs="宋体"/>
          <w:spacing w:val="-11"/>
          <w:sz w:val="23"/>
          <w:szCs w:val="23"/>
        </w:rPr>
        <w:t xml:space="preserve">表 </w:t>
      </w:r>
      <w:r>
        <w:rPr>
          <w:rFonts w:ascii="Times New Roman" w:hAnsi="Times New Roman" w:eastAsia="Times New Roman" w:cs="Times New Roman"/>
          <w:spacing w:val="-11"/>
          <w:sz w:val="23"/>
          <w:szCs w:val="23"/>
        </w:rPr>
        <w:t>5- 1</w:t>
      </w:r>
      <w:r>
        <w:rPr>
          <w:rFonts w:ascii="宋体" w:hAnsi="宋体" w:eastAsia="宋体" w:cs="宋体"/>
          <w:spacing w:val="-11"/>
          <w:sz w:val="23"/>
          <w:szCs w:val="23"/>
        </w:rPr>
        <w:t>。</w:t>
      </w:r>
    </w:p>
    <w:p w14:paraId="2E8E7CC7">
      <w:pPr>
        <w:spacing w:before="156" w:line="227" w:lineRule="auto"/>
        <w:ind w:left="1798"/>
        <w:rPr>
          <w:rFonts w:ascii="宋体" w:hAnsi="宋体" w:eastAsia="宋体" w:cs="宋体"/>
          <w:sz w:val="23"/>
          <w:szCs w:val="23"/>
        </w:rPr>
      </w:pPr>
      <w:r>
        <w:rPr>
          <w:rFonts w:ascii="宋体" w:hAnsi="宋体" w:eastAsia="宋体" w:cs="宋体"/>
          <w:spacing w:val="10"/>
          <w:sz w:val="23"/>
          <w:szCs w:val="23"/>
          <w14:textOutline w14:w="4358" w14:cap="sq" w14:cmpd="sng">
            <w14:solidFill>
              <w14:srgbClr w14:val="000000"/>
            </w14:solidFill>
            <w14:prstDash w14:val="solid"/>
            <w14:bevel/>
          </w14:textOutline>
        </w:rPr>
        <w:t>表</w:t>
      </w:r>
      <w:r>
        <w:rPr>
          <w:rFonts w:ascii="宋体" w:hAnsi="宋体" w:eastAsia="宋体" w:cs="宋体"/>
          <w:spacing w:val="10"/>
          <w:sz w:val="23"/>
          <w:szCs w:val="23"/>
        </w:rPr>
        <w:t xml:space="preserve"> </w:t>
      </w:r>
      <w:r>
        <w:rPr>
          <w:rFonts w:ascii="Times New Roman" w:hAnsi="Times New Roman" w:eastAsia="Times New Roman" w:cs="Times New Roman"/>
          <w:b/>
          <w:bCs/>
          <w:spacing w:val="5"/>
          <w:sz w:val="23"/>
          <w:szCs w:val="23"/>
        </w:rPr>
        <w:t>5-1</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14:textOutline w14:w="4358" w14:cap="sq" w14:cmpd="sng">
            <w14:solidFill>
              <w14:srgbClr w14:val="000000"/>
            </w14:solidFill>
            <w14:prstDash w14:val="solid"/>
            <w14:bevel/>
          </w14:textOutline>
        </w:rPr>
        <w:t>施工期汽车尾气污染物负荷预测结果</w:t>
      </w:r>
    </w:p>
    <w:p w14:paraId="2CB31243">
      <w:pPr>
        <w:spacing w:line="17"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62"/>
        <w:gridCol w:w="2121"/>
        <w:gridCol w:w="2120"/>
        <w:gridCol w:w="2119"/>
      </w:tblGrid>
      <w:tr w14:paraId="68C3A2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2162" w:type="dxa"/>
            <w:tcBorders>
              <w:left w:val="nil"/>
            </w:tcBorders>
            <w:vAlign w:val="top"/>
          </w:tcPr>
          <w:p w14:paraId="04FED107">
            <w:pPr>
              <w:spacing w:before="76" w:line="228" w:lineRule="auto"/>
              <w:ind w:left="775"/>
              <w:rPr>
                <w:rFonts w:ascii="宋体" w:hAnsi="宋体" w:eastAsia="宋体" w:cs="宋体"/>
                <w:sz w:val="20"/>
                <w:szCs w:val="20"/>
              </w:rPr>
            </w:pPr>
            <w:r>
              <w:rPr>
                <w:rFonts w:ascii="宋体" w:hAnsi="宋体" w:eastAsia="宋体" w:cs="宋体"/>
                <w:spacing w:val="7"/>
                <w:sz w:val="20"/>
                <w:szCs w:val="20"/>
              </w:rPr>
              <w:t>污</w:t>
            </w:r>
            <w:r>
              <w:rPr>
                <w:rFonts w:ascii="宋体" w:hAnsi="宋体" w:eastAsia="宋体" w:cs="宋体"/>
                <w:spacing w:val="6"/>
                <w:sz w:val="20"/>
                <w:szCs w:val="20"/>
              </w:rPr>
              <w:t>染物</w:t>
            </w:r>
          </w:p>
        </w:tc>
        <w:tc>
          <w:tcPr>
            <w:tcW w:w="2121" w:type="dxa"/>
            <w:vAlign w:val="top"/>
          </w:tcPr>
          <w:p w14:paraId="37206E54">
            <w:pPr>
              <w:spacing w:before="111" w:line="195" w:lineRule="auto"/>
              <w:ind w:left="852"/>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NO</w:t>
            </w:r>
            <w:r>
              <w:rPr>
                <w:rFonts w:ascii="Times New Roman" w:hAnsi="Times New Roman" w:eastAsia="Times New Roman" w:cs="Times New Roman"/>
                <w:spacing w:val="6"/>
                <w:sz w:val="20"/>
                <w:szCs w:val="20"/>
              </w:rPr>
              <w:t>x</w:t>
            </w:r>
          </w:p>
        </w:tc>
        <w:tc>
          <w:tcPr>
            <w:tcW w:w="2120" w:type="dxa"/>
            <w:vAlign w:val="top"/>
          </w:tcPr>
          <w:p w14:paraId="17037963">
            <w:pPr>
              <w:spacing w:before="111" w:line="195" w:lineRule="auto"/>
              <w:ind w:left="91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CO</w:t>
            </w:r>
          </w:p>
        </w:tc>
        <w:tc>
          <w:tcPr>
            <w:tcW w:w="2119" w:type="dxa"/>
            <w:tcBorders>
              <w:right w:val="nil"/>
            </w:tcBorders>
            <w:vAlign w:val="top"/>
          </w:tcPr>
          <w:p w14:paraId="7ACFC8F3">
            <w:pPr>
              <w:spacing w:before="111" w:line="195" w:lineRule="auto"/>
              <w:ind w:left="85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T</w:t>
            </w:r>
            <w:r>
              <w:rPr>
                <w:rFonts w:ascii="Times New Roman" w:hAnsi="Times New Roman" w:eastAsia="Times New Roman" w:cs="Times New Roman"/>
                <w:spacing w:val="3"/>
                <w:sz w:val="20"/>
                <w:szCs w:val="20"/>
              </w:rPr>
              <w:t>HC</w:t>
            </w:r>
          </w:p>
        </w:tc>
      </w:tr>
      <w:tr w14:paraId="6896F8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2162" w:type="dxa"/>
            <w:tcBorders>
              <w:left w:val="nil"/>
            </w:tcBorders>
            <w:vAlign w:val="top"/>
          </w:tcPr>
          <w:p w14:paraId="44B66EC7">
            <w:pPr>
              <w:spacing w:before="24" w:line="281" w:lineRule="exact"/>
              <w:ind w:left="377"/>
              <w:rPr>
                <w:rFonts w:ascii="宋体" w:hAnsi="宋体" w:eastAsia="宋体" w:cs="宋体"/>
                <w:sz w:val="20"/>
                <w:szCs w:val="20"/>
              </w:rPr>
            </w:pPr>
            <w:r>
              <w:rPr>
                <w:rFonts w:ascii="宋体" w:hAnsi="宋体" w:eastAsia="宋体" w:cs="宋体"/>
                <w:spacing w:val="11"/>
                <w:position w:val="2"/>
                <w:sz w:val="20"/>
                <w:szCs w:val="20"/>
              </w:rPr>
              <w:t>排</w:t>
            </w:r>
            <w:r>
              <w:rPr>
                <w:rFonts w:ascii="宋体" w:hAnsi="宋体" w:eastAsia="宋体" w:cs="宋体"/>
                <w:spacing w:val="6"/>
                <w:position w:val="2"/>
                <w:sz w:val="20"/>
                <w:szCs w:val="20"/>
              </w:rPr>
              <w:t>放量 (</w:t>
            </w:r>
            <w:r>
              <w:rPr>
                <w:rFonts w:ascii="Times New Roman" w:hAnsi="Times New Roman" w:eastAsia="Times New Roman" w:cs="Times New Roman"/>
                <w:position w:val="2"/>
                <w:sz w:val="20"/>
                <w:szCs w:val="20"/>
              </w:rPr>
              <w:t>kg</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d</w:t>
            </w:r>
            <w:r>
              <w:rPr>
                <w:rFonts w:ascii="宋体" w:hAnsi="宋体" w:eastAsia="宋体" w:cs="宋体"/>
                <w:spacing w:val="6"/>
                <w:position w:val="2"/>
                <w:sz w:val="20"/>
                <w:szCs w:val="20"/>
              </w:rPr>
              <w:t>)</w:t>
            </w:r>
          </w:p>
        </w:tc>
        <w:tc>
          <w:tcPr>
            <w:tcW w:w="2121" w:type="dxa"/>
            <w:vAlign w:val="top"/>
          </w:tcPr>
          <w:p w14:paraId="4134B970">
            <w:pPr>
              <w:spacing w:before="98" w:line="195" w:lineRule="auto"/>
              <w:ind w:left="88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5.35</w:t>
            </w:r>
          </w:p>
        </w:tc>
        <w:tc>
          <w:tcPr>
            <w:tcW w:w="2120" w:type="dxa"/>
            <w:vAlign w:val="top"/>
          </w:tcPr>
          <w:p w14:paraId="5C439D6E">
            <w:pPr>
              <w:spacing w:before="98" w:line="195" w:lineRule="auto"/>
              <w:ind w:left="93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.7</w:t>
            </w:r>
          </w:p>
        </w:tc>
        <w:tc>
          <w:tcPr>
            <w:tcW w:w="2119" w:type="dxa"/>
            <w:tcBorders>
              <w:right w:val="nil"/>
            </w:tcBorders>
            <w:vAlign w:val="top"/>
          </w:tcPr>
          <w:p w14:paraId="72F62C2E">
            <w:pPr>
              <w:spacing w:before="98" w:line="198" w:lineRule="auto"/>
              <w:ind w:left="95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2"/>
                <w:sz w:val="20"/>
                <w:szCs w:val="20"/>
              </w:rPr>
              <w:t>.1</w:t>
            </w:r>
          </w:p>
        </w:tc>
      </w:tr>
    </w:tbl>
    <w:p w14:paraId="238D14AC">
      <w:pPr>
        <w:spacing w:line="260" w:lineRule="auto"/>
        <w:rPr>
          <w:rFonts w:ascii="Arial"/>
          <w:sz w:val="21"/>
        </w:rPr>
      </w:pPr>
    </w:p>
    <w:p w14:paraId="0C1359F5">
      <w:pPr>
        <w:spacing w:before="76" w:line="393" w:lineRule="auto"/>
        <w:ind w:left="138" w:right="105" w:firstLine="458"/>
        <w:rPr>
          <w:rFonts w:ascii="宋体" w:hAnsi="宋体" w:eastAsia="宋体" w:cs="宋体"/>
          <w:sz w:val="23"/>
          <w:szCs w:val="23"/>
        </w:rPr>
      </w:pPr>
      <w:r>
        <w:rPr>
          <w:rFonts w:ascii="宋体" w:hAnsi="宋体" w:eastAsia="宋体" w:cs="宋体"/>
          <w:spacing w:val="6"/>
          <w:sz w:val="23"/>
          <w:szCs w:val="23"/>
        </w:rPr>
        <w:t xml:space="preserve">表 </w:t>
      </w:r>
      <w:r>
        <w:rPr>
          <w:rFonts w:ascii="Times New Roman" w:hAnsi="Times New Roman" w:eastAsia="Times New Roman" w:cs="Times New Roman"/>
          <w:spacing w:val="6"/>
          <w:sz w:val="23"/>
          <w:szCs w:val="23"/>
        </w:rPr>
        <w:t>5-2</w:t>
      </w:r>
      <w:r>
        <w:rPr>
          <w:rFonts w:ascii="Times New Roman" w:hAnsi="Times New Roman" w:eastAsia="Times New Roman" w:cs="Times New Roman"/>
          <w:spacing w:val="4"/>
          <w:sz w:val="23"/>
          <w:szCs w:val="23"/>
        </w:rPr>
        <w:t xml:space="preserve"> </w:t>
      </w:r>
      <w:r>
        <w:rPr>
          <w:rFonts w:ascii="宋体" w:hAnsi="宋体" w:eastAsia="宋体" w:cs="宋体"/>
          <w:spacing w:val="3"/>
          <w:sz w:val="23"/>
          <w:szCs w:val="23"/>
        </w:rPr>
        <w:t xml:space="preserve">列出了不同工况条件下汽车排气中的 </w:t>
      </w:r>
      <w:r>
        <w:rPr>
          <w:rFonts w:ascii="Times New Roman" w:hAnsi="Times New Roman" w:eastAsia="Times New Roman" w:cs="Times New Roman"/>
          <w:sz w:val="23"/>
          <w:szCs w:val="23"/>
        </w:rPr>
        <w:t>CO</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w:t>
      </w:r>
      <w:r>
        <w:rPr>
          <w:rFonts w:ascii="Times New Roman" w:hAnsi="Times New Roman" w:eastAsia="Times New Roman" w:cs="Times New Roman"/>
          <w:sz w:val="23"/>
          <w:szCs w:val="23"/>
        </w:rPr>
        <w:t>THC</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的变化情况，可以看</w:t>
      </w:r>
      <w:r>
        <w:rPr>
          <w:rFonts w:ascii="宋体" w:hAnsi="宋体" w:eastAsia="宋体" w:cs="宋体"/>
          <w:sz w:val="23"/>
          <w:szCs w:val="23"/>
        </w:rPr>
        <w:t xml:space="preserve"> </w:t>
      </w:r>
      <w:r>
        <w:rPr>
          <w:rFonts w:ascii="宋体" w:hAnsi="宋体" w:eastAsia="宋体" w:cs="宋体"/>
          <w:spacing w:val="8"/>
          <w:sz w:val="23"/>
          <w:szCs w:val="23"/>
        </w:rPr>
        <w:t>出空挡、减</w:t>
      </w:r>
      <w:r>
        <w:rPr>
          <w:rFonts w:ascii="宋体" w:hAnsi="宋体" w:eastAsia="宋体" w:cs="宋体"/>
          <w:spacing w:val="6"/>
          <w:sz w:val="23"/>
          <w:szCs w:val="23"/>
        </w:rPr>
        <w:t>速</w:t>
      </w:r>
      <w:r>
        <w:rPr>
          <w:rFonts w:ascii="宋体" w:hAnsi="宋体" w:eastAsia="宋体" w:cs="宋体"/>
          <w:spacing w:val="4"/>
          <w:sz w:val="23"/>
          <w:szCs w:val="23"/>
        </w:rPr>
        <w:t xml:space="preserve">时排放的尾气中 </w:t>
      </w:r>
      <w:r>
        <w:rPr>
          <w:rFonts w:ascii="Times New Roman" w:hAnsi="Times New Roman" w:eastAsia="Times New Roman" w:cs="Times New Roman"/>
          <w:sz w:val="23"/>
          <w:szCs w:val="23"/>
        </w:rPr>
        <w:t>CO</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w:t>
      </w:r>
      <w:r>
        <w:rPr>
          <w:rFonts w:ascii="Times New Roman" w:hAnsi="Times New Roman" w:eastAsia="Times New Roman" w:cs="Times New Roman"/>
          <w:sz w:val="23"/>
          <w:szCs w:val="23"/>
        </w:rPr>
        <w:t>THC</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的浓度比正常行驶时高。</w:t>
      </w:r>
    </w:p>
    <w:p w14:paraId="50FA87DB">
      <w:pPr>
        <w:spacing w:before="137" w:line="227" w:lineRule="auto"/>
        <w:ind w:left="1659"/>
        <w:rPr>
          <w:rFonts w:ascii="宋体" w:hAnsi="宋体" w:eastAsia="宋体" w:cs="宋体"/>
          <w:sz w:val="23"/>
          <w:szCs w:val="23"/>
        </w:rPr>
      </w:pPr>
      <w:r>
        <w:rPr>
          <w:rFonts w:ascii="宋体" w:hAnsi="宋体" w:eastAsia="宋体" w:cs="宋体"/>
          <w:spacing w:val="2"/>
          <w:sz w:val="23"/>
          <w:szCs w:val="23"/>
          <w14:textOutline w14:w="4358" w14:cap="sq" w14:cmpd="sng">
            <w14:solidFill>
              <w14:srgbClr w14:val="000000"/>
            </w14:solidFill>
            <w14:prstDash w14:val="solid"/>
            <w14:bevel/>
          </w14:textOutline>
        </w:rPr>
        <w:t>表</w:t>
      </w:r>
      <w:r>
        <w:rPr>
          <w:rFonts w:ascii="宋体" w:hAnsi="宋体" w:eastAsia="宋体" w:cs="宋体"/>
          <w:spacing w:val="2"/>
          <w:sz w:val="23"/>
          <w:szCs w:val="23"/>
        </w:rPr>
        <w:t xml:space="preserve"> </w:t>
      </w:r>
      <w:r>
        <w:rPr>
          <w:rFonts w:ascii="Times New Roman" w:hAnsi="Times New Roman" w:eastAsia="Times New Roman" w:cs="Times New Roman"/>
          <w:b/>
          <w:bCs/>
          <w:spacing w:val="2"/>
          <w:sz w:val="23"/>
          <w:szCs w:val="23"/>
        </w:rPr>
        <w:t>5-2</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14:textOutline w14:w="4358" w14:cap="sq" w14:cmpd="sng">
            <w14:solidFill>
              <w14:srgbClr w14:val="000000"/>
            </w14:solidFill>
            <w14:prstDash w14:val="solid"/>
            <w14:bevel/>
          </w14:textOutline>
        </w:rPr>
        <w:t>汽车尾气中</w:t>
      </w:r>
      <w:r>
        <w:rPr>
          <w:rFonts w:ascii="宋体" w:hAnsi="宋体" w:eastAsia="宋体" w:cs="宋体"/>
          <w:spacing w:val="2"/>
          <w:sz w:val="23"/>
          <w:szCs w:val="23"/>
        </w:rPr>
        <w:t xml:space="preserve"> </w:t>
      </w:r>
      <w:r>
        <w:rPr>
          <w:rFonts w:ascii="Times New Roman" w:hAnsi="Times New Roman" w:eastAsia="Times New Roman" w:cs="Times New Roman"/>
          <w:b/>
          <w:bCs/>
          <w:sz w:val="23"/>
          <w:szCs w:val="23"/>
        </w:rPr>
        <w:t>CO</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14:textOutline w14:w="4358" w14:cap="sq" w14:cmpd="sng">
            <w14:solidFill>
              <w14:srgbClr w14:val="000000"/>
            </w14:solidFill>
            <w14:prstDash w14:val="solid"/>
            <w14:bevel/>
          </w14:textOutline>
        </w:rPr>
        <w:t>、</w:t>
      </w:r>
      <w:r>
        <w:rPr>
          <w:rFonts w:ascii="Times New Roman" w:hAnsi="Times New Roman" w:eastAsia="Times New Roman" w:cs="Times New Roman"/>
          <w:b/>
          <w:bCs/>
          <w:sz w:val="23"/>
          <w:szCs w:val="23"/>
        </w:rPr>
        <w:t>THC</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14:textOutline w14:w="4358" w14:cap="sq" w14:cmpd="sng">
            <w14:solidFill>
              <w14:srgbClr w14:val="000000"/>
            </w14:solidFill>
            <w14:prstDash w14:val="solid"/>
            <w14:bevel/>
          </w14:textOutline>
        </w:rPr>
        <w:t>浓度的变化情况</w:t>
      </w:r>
    </w:p>
    <w:p w14:paraId="37E67600">
      <w:pPr>
        <w:spacing w:line="17"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51"/>
        <w:gridCol w:w="1113"/>
        <w:gridCol w:w="1111"/>
        <w:gridCol w:w="1111"/>
        <w:gridCol w:w="1111"/>
        <w:gridCol w:w="1114"/>
        <w:gridCol w:w="1111"/>
      </w:tblGrid>
      <w:tr w14:paraId="65D02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851" w:type="dxa"/>
            <w:vMerge w:val="restart"/>
            <w:tcBorders>
              <w:left w:val="nil"/>
              <w:bottom w:val="nil"/>
            </w:tcBorders>
            <w:vAlign w:val="top"/>
          </w:tcPr>
          <w:p w14:paraId="2BF64B02">
            <w:pPr>
              <w:spacing w:before="243" w:line="228" w:lineRule="auto"/>
              <w:ind w:left="515"/>
              <w:rPr>
                <w:rFonts w:ascii="宋体" w:hAnsi="宋体" w:eastAsia="宋体" w:cs="宋体"/>
                <w:sz w:val="20"/>
                <w:szCs w:val="20"/>
              </w:rPr>
            </w:pPr>
            <w:r>
              <w:rPr>
                <w:rFonts w:ascii="宋体" w:hAnsi="宋体" w:eastAsia="宋体" w:cs="宋体"/>
                <w:spacing w:val="8"/>
                <w:sz w:val="20"/>
                <w:szCs w:val="20"/>
              </w:rPr>
              <w:t>行</w:t>
            </w:r>
            <w:r>
              <w:rPr>
                <w:rFonts w:ascii="宋体" w:hAnsi="宋体" w:eastAsia="宋体" w:cs="宋体"/>
                <w:spacing w:val="6"/>
                <w:sz w:val="20"/>
                <w:szCs w:val="20"/>
              </w:rPr>
              <w:t>车情况</w:t>
            </w:r>
          </w:p>
        </w:tc>
        <w:tc>
          <w:tcPr>
            <w:tcW w:w="1113" w:type="dxa"/>
            <w:vMerge w:val="restart"/>
            <w:tcBorders>
              <w:bottom w:val="nil"/>
            </w:tcBorders>
            <w:vAlign w:val="top"/>
          </w:tcPr>
          <w:p w14:paraId="4E6150EB">
            <w:pPr>
              <w:spacing w:before="243" w:line="228" w:lineRule="auto"/>
              <w:ind w:left="357"/>
              <w:rPr>
                <w:rFonts w:ascii="宋体" w:hAnsi="宋体" w:eastAsia="宋体" w:cs="宋体"/>
                <w:sz w:val="20"/>
                <w:szCs w:val="20"/>
              </w:rPr>
            </w:pPr>
            <w:r>
              <w:rPr>
                <w:rFonts w:ascii="宋体" w:hAnsi="宋体" w:eastAsia="宋体" w:cs="宋体"/>
                <w:spacing w:val="2"/>
                <w:sz w:val="20"/>
                <w:szCs w:val="20"/>
              </w:rPr>
              <w:t>空</w:t>
            </w:r>
            <w:r>
              <w:rPr>
                <w:rFonts w:ascii="宋体" w:hAnsi="宋体" w:eastAsia="宋体" w:cs="宋体"/>
                <w:spacing w:val="1"/>
                <w:sz w:val="20"/>
                <w:szCs w:val="20"/>
              </w:rPr>
              <w:t>挡</w:t>
            </w:r>
          </w:p>
        </w:tc>
        <w:tc>
          <w:tcPr>
            <w:tcW w:w="2222" w:type="dxa"/>
            <w:gridSpan w:val="2"/>
            <w:vAlign w:val="top"/>
          </w:tcPr>
          <w:p w14:paraId="23406677">
            <w:pPr>
              <w:spacing w:before="73" w:line="228" w:lineRule="auto"/>
              <w:ind w:left="701"/>
              <w:rPr>
                <w:rFonts w:ascii="宋体" w:hAnsi="宋体" w:eastAsia="宋体" w:cs="宋体"/>
                <w:sz w:val="20"/>
                <w:szCs w:val="20"/>
              </w:rPr>
            </w:pPr>
            <w:r>
              <w:rPr>
                <w:rFonts w:ascii="宋体" w:hAnsi="宋体" w:eastAsia="宋体" w:cs="宋体"/>
                <w:spacing w:val="7"/>
                <w:sz w:val="20"/>
                <w:szCs w:val="20"/>
              </w:rPr>
              <w:t>正</w:t>
            </w:r>
            <w:r>
              <w:rPr>
                <w:rFonts w:ascii="宋体" w:hAnsi="宋体" w:eastAsia="宋体" w:cs="宋体"/>
                <w:spacing w:val="6"/>
                <w:sz w:val="20"/>
                <w:szCs w:val="20"/>
              </w:rPr>
              <w:t>常行驶</w:t>
            </w:r>
          </w:p>
        </w:tc>
        <w:tc>
          <w:tcPr>
            <w:tcW w:w="2225" w:type="dxa"/>
            <w:gridSpan w:val="2"/>
            <w:vAlign w:val="top"/>
          </w:tcPr>
          <w:p w14:paraId="4E8FFD52">
            <w:pPr>
              <w:spacing w:before="73" w:line="231" w:lineRule="auto"/>
              <w:ind w:left="908"/>
              <w:rPr>
                <w:rFonts w:ascii="宋体" w:hAnsi="宋体" w:eastAsia="宋体" w:cs="宋体"/>
                <w:sz w:val="20"/>
                <w:szCs w:val="20"/>
              </w:rPr>
            </w:pPr>
            <w:r>
              <w:rPr>
                <w:rFonts w:ascii="宋体" w:hAnsi="宋体" w:eastAsia="宋体" w:cs="宋体"/>
                <w:spacing w:val="5"/>
                <w:sz w:val="20"/>
                <w:szCs w:val="20"/>
              </w:rPr>
              <w:t>加</w:t>
            </w:r>
            <w:r>
              <w:rPr>
                <w:rFonts w:ascii="宋体" w:hAnsi="宋体" w:eastAsia="宋体" w:cs="宋体"/>
                <w:spacing w:val="4"/>
                <w:sz w:val="20"/>
                <w:szCs w:val="20"/>
              </w:rPr>
              <w:t>速</w:t>
            </w:r>
          </w:p>
        </w:tc>
        <w:tc>
          <w:tcPr>
            <w:tcW w:w="1111" w:type="dxa"/>
            <w:vMerge w:val="restart"/>
            <w:tcBorders>
              <w:bottom w:val="nil"/>
              <w:right w:val="nil"/>
            </w:tcBorders>
            <w:vAlign w:val="top"/>
          </w:tcPr>
          <w:p w14:paraId="20108E03">
            <w:pPr>
              <w:spacing w:before="244" w:line="229" w:lineRule="auto"/>
              <w:ind w:left="351"/>
              <w:rPr>
                <w:rFonts w:ascii="宋体" w:hAnsi="宋体" w:eastAsia="宋体" w:cs="宋体"/>
                <w:sz w:val="20"/>
                <w:szCs w:val="20"/>
              </w:rPr>
            </w:pPr>
            <w:r>
              <w:rPr>
                <w:rFonts w:ascii="宋体" w:hAnsi="宋体" w:eastAsia="宋体" w:cs="宋体"/>
                <w:spacing w:val="5"/>
                <w:sz w:val="20"/>
                <w:szCs w:val="20"/>
              </w:rPr>
              <w:t>减</w:t>
            </w:r>
            <w:r>
              <w:rPr>
                <w:rFonts w:ascii="宋体" w:hAnsi="宋体" w:eastAsia="宋体" w:cs="宋体"/>
                <w:spacing w:val="4"/>
                <w:sz w:val="20"/>
                <w:szCs w:val="20"/>
              </w:rPr>
              <w:t>速</w:t>
            </w:r>
          </w:p>
        </w:tc>
      </w:tr>
      <w:tr w14:paraId="77A078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851" w:type="dxa"/>
            <w:vMerge w:val="continue"/>
            <w:tcBorders>
              <w:top w:val="nil"/>
              <w:left w:val="nil"/>
            </w:tcBorders>
            <w:vAlign w:val="top"/>
          </w:tcPr>
          <w:p w14:paraId="139F0403">
            <w:pPr>
              <w:rPr>
                <w:rFonts w:ascii="Arial"/>
                <w:sz w:val="21"/>
              </w:rPr>
            </w:pPr>
          </w:p>
        </w:tc>
        <w:tc>
          <w:tcPr>
            <w:tcW w:w="1113" w:type="dxa"/>
            <w:vMerge w:val="continue"/>
            <w:tcBorders>
              <w:top w:val="nil"/>
            </w:tcBorders>
            <w:vAlign w:val="top"/>
          </w:tcPr>
          <w:p w14:paraId="57BB7880">
            <w:pPr>
              <w:rPr>
                <w:rFonts w:ascii="Arial"/>
                <w:sz w:val="21"/>
              </w:rPr>
            </w:pPr>
          </w:p>
        </w:tc>
        <w:tc>
          <w:tcPr>
            <w:tcW w:w="1111" w:type="dxa"/>
            <w:vAlign w:val="top"/>
          </w:tcPr>
          <w:p w14:paraId="623E10DA">
            <w:pPr>
              <w:spacing w:before="62" w:line="228" w:lineRule="auto"/>
              <w:ind w:left="352"/>
              <w:rPr>
                <w:rFonts w:ascii="宋体" w:hAnsi="宋体" w:eastAsia="宋体" w:cs="宋体"/>
                <w:sz w:val="20"/>
                <w:szCs w:val="20"/>
              </w:rPr>
            </w:pPr>
            <w:r>
              <w:rPr>
                <w:rFonts w:ascii="宋体" w:hAnsi="宋体" w:eastAsia="宋体" w:cs="宋体"/>
                <w:spacing w:val="4"/>
                <w:sz w:val="20"/>
                <w:szCs w:val="20"/>
              </w:rPr>
              <w:t>慢速</w:t>
            </w:r>
          </w:p>
        </w:tc>
        <w:tc>
          <w:tcPr>
            <w:tcW w:w="1111" w:type="dxa"/>
            <w:vAlign w:val="top"/>
          </w:tcPr>
          <w:p w14:paraId="03DDBBED">
            <w:pPr>
              <w:spacing w:before="62" w:line="228" w:lineRule="auto"/>
              <w:ind w:left="353"/>
              <w:rPr>
                <w:rFonts w:ascii="宋体" w:hAnsi="宋体" w:eastAsia="宋体" w:cs="宋体"/>
                <w:sz w:val="20"/>
                <w:szCs w:val="20"/>
              </w:rPr>
            </w:pPr>
            <w:r>
              <w:rPr>
                <w:rFonts w:ascii="宋体" w:hAnsi="宋体" w:eastAsia="宋体" w:cs="宋体"/>
                <w:spacing w:val="4"/>
                <w:sz w:val="20"/>
                <w:szCs w:val="20"/>
              </w:rPr>
              <w:t>快</w:t>
            </w:r>
            <w:r>
              <w:rPr>
                <w:rFonts w:ascii="宋体" w:hAnsi="宋体" w:eastAsia="宋体" w:cs="宋体"/>
                <w:spacing w:val="3"/>
                <w:sz w:val="20"/>
                <w:szCs w:val="20"/>
              </w:rPr>
              <w:t>速</w:t>
            </w:r>
          </w:p>
        </w:tc>
        <w:tc>
          <w:tcPr>
            <w:tcW w:w="1111" w:type="dxa"/>
            <w:vAlign w:val="top"/>
          </w:tcPr>
          <w:p w14:paraId="6C4039CE">
            <w:pPr>
              <w:spacing w:before="61" w:line="228" w:lineRule="auto"/>
              <w:ind w:left="371"/>
              <w:rPr>
                <w:rFonts w:ascii="宋体" w:hAnsi="宋体" w:eastAsia="宋体" w:cs="宋体"/>
                <w:sz w:val="20"/>
                <w:szCs w:val="20"/>
              </w:rPr>
            </w:pPr>
            <w:r>
              <w:rPr>
                <w:rFonts w:ascii="宋体" w:hAnsi="宋体" w:eastAsia="宋体" w:cs="宋体"/>
                <w:spacing w:val="-5"/>
                <w:sz w:val="20"/>
                <w:szCs w:val="20"/>
              </w:rPr>
              <w:t>中等</w:t>
            </w:r>
          </w:p>
        </w:tc>
        <w:tc>
          <w:tcPr>
            <w:tcW w:w="1114" w:type="dxa"/>
            <w:vAlign w:val="top"/>
          </w:tcPr>
          <w:p w14:paraId="2EE46525">
            <w:pPr>
              <w:spacing w:before="62" w:line="228" w:lineRule="auto"/>
              <w:ind w:left="354"/>
              <w:rPr>
                <w:rFonts w:ascii="宋体" w:hAnsi="宋体" w:eastAsia="宋体" w:cs="宋体"/>
                <w:sz w:val="20"/>
                <w:szCs w:val="20"/>
              </w:rPr>
            </w:pPr>
            <w:r>
              <w:rPr>
                <w:rFonts w:ascii="宋体" w:hAnsi="宋体" w:eastAsia="宋体" w:cs="宋体"/>
                <w:spacing w:val="4"/>
                <w:sz w:val="20"/>
                <w:szCs w:val="20"/>
              </w:rPr>
              <w:t>快</w:t>
            </w:r>
            <w:r>
              <w:rPr>
                <w:rFonts w:ascii="宋体" w:hAnsi="宋体" w:eastAsia="宋体" w:cs="宋体"/>
                <w:spacing w:val="3"/>
                <w:sz w:val="20"/>
                <w:szCs w:val="20"/>
              </w:rPr>
              <w:t>速</w:t>
            </w:r>
          </w:p>
        </w:tc>
        <w:tc>
          <w:tcPr>
            <w:tcW w:w="1111" w:type="dxa"/>
            <w:vMerge w:val="continue"/>
            <w:tcBorders>
              <w:top w:val="nil"/>
              <w:right w:val="nil"/>
            </w:tcBorders>
            <w:vAlign w:val="top"/>
          </w:tcPr>
          <w:p w14:paraId="3043EA2B">
            <w:pPr>
              <w:rPr>
                <w:rFonts w:ascii="Arial"/>
                <w:sz w:val="21"/>
              </w:rPr>
            </w:pPr>
          </w:p>
        </w:tc>
      </w:tr>
      <w:tr w14:paraId="25F3EB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851" w:type="dxa"/>
            <w:tcBorders>
              <w:left w:val="nil"/>
            </w:tcBorders>
            <w:vAlign w:val="top"/>
          </w:tcPr>
          <w:p w14:paraId="4488650C">
            <w:pPr>
              <w:spacing w:before="61" w:line="228" w:lineRule="auto"/>
              <w:ind w:left="549"/>
              <w:rPr>
                <w:rFonts w:ascii="宋体" w:hAnsi="宋体" w:eastAsia="宋体" w:cs="宋体"/>
                <w:sz w:val="20"/>
                <w:szCs w:val="20"/>
              </w:rPr>
            </w:pPr>
            <w:r>
              <w:rPr>
                <w:rFonts w:ascii="Times New Roman" w:hAnsi="Times New Roman" w:eastAsia="Times New Roman" w:cs="Times New Roman"/>
                <w:sz w:val="20"/>
                <w:szCs w:val="20"/>
              </w:rPr>
              <w:t>CO</w:t>
            </w:r>
            <w:r>
              <w:rPr>
                <w:rFonts w:ascii="Times New Roman" w:hAnsi="Times New Roman" w:eastAsia="Times New Roman" w:cs="Times New Roman"/>
                <w:spacing w:val="10"/>
                <w:sz w:val="20"/>
                <w:szCs w:val="20"/>
              </w:rPr>
              <w:t xml:space="preserve"> </w:t>
            </w:r>
            <w:r>
              <w:rPr>
                <w:rFonts w:ascii="宋体" w:hAnsi="宋体" w:eastAsia="宋体" w:cs="宋体"/>
                <w:spacing w:val="9"/>
                <w:sz w:val="20"/>
                <w:szCs w:val="20"/>
              </w:rPr>
              <w:t>浓度</w:t>
            </w:r>
          </w:p>
        </w:tc>
        <w:tc>
          <w:tcPr>
            <w:tcW w:w="1113" w:type="dxa"/>
            <w:vAlign w:val="top"/>
          </w:tcPr>
          <w:p w14:paraId="1269F63C">
            <w:pPr>
              <w:spacing w:before="60" w:line="228" w:lineRule="auto"/>
              <w:ind w:left="461"/>
              <w:rPr>
                <w:rFonts w:ascii="宋体" w:hAnsi="宋体" w:eastAsia="宋体" w:cs="宋体"/>
                <w:sz w:val="20"/>
                <w:szCs w:val="20"/>
              </w:rPr>
            </w:pPr>
            <w:r>
              <w:rPr>
                <w:rFonts w:ascii="宋体" w:hAnsi="宋体" w:eastAsia="宋体" w:cs="宋体"/>
                <w:sz w:val="20"/>
                <w:szCs w:val="20"/>
              </w:rPr>
              <w:t>高</w:t>
            </w:r>
          </w:p>
        </w:tc>
        <w:tc>
          <w:tcPr>
            <w:tcW w:w="1111" w:type="dxa"/>
            <w:vAlign w:val="top"/>
          </w:tcPr>
          <w:p w14:paraId="7CFA55CB">
            <w:pPr>
              <w:spacing w:before="61" w:line="229" w:lineRule="auto"/>
              <w:ind w:left="453"/>
              <w:rPr>
                <w:rFonts w:ascii="宋体" w:hAnsi="宋体" w:eastAsia="宋体" w:cs="宋体"/>
                <w:sz w:val="20"/>
                <w:szCs w:val="20"/>
              </w:rPr>
            </w:pPr>
            <w:r>
              <w:rPr>
                <w:rFonts w:ascii="宋体" w:hAnsi="宋体" w:eastAsia="宋体" w:cs="宋体"/>
                <w:spacing w:val="1"/>
                <w:sz w:val="20"/>
                <w:szCs w:val="20"/>
              </w:rPr>
              <w:t>低</w:t>
            </w:r>
          </w:p>
        </w:tc>
        <w:tc>
          <w:tcPr>
            <w:tcW w:w="1111" w:type="dxa"/>
            <w:vAlign w:val="top"/>
          </w:tcPr>
          <w:p w14:paraId="4425D465">
            <w:pPr>
              <w:spacing w:before="61" w:line="228" w:lineRule="auto"/>
              <w:ind w:left="353"/>
              <w:rPr>
                <w:rFonts w:ascii="宋体" w:hAnsi="宋体" w:eastAsia="宋体" w:cs="宋体"/>
                <w:sz w:val="20"/>
                <w:szCs w:val="20"/>
              </w:rPr>
            </w:pPr>
            <w:r>
              <w:rPr>
                <w:rFonts w:ascii="宋体" w:hAnsi="宋体" w:eastAsia="宋体" w:cs="宋体"/>
                <w:spacing w:val="4"/>
                <w:sz w:val="20"/>
                <w:szCs w:val="20"/>
              </w:rPr>
              <w:t>极</w:t>
            </w:r>
            <w:r>
              <w:rPr>
                <w:rFonts w:ascii="宋体" w:hAnsi="宋体" w:eastAsia="宋体" w:cs="宋体"/>
                <w:spacing w:val="3"/>
                <w:sz w:val="20"/>
                <w:szCs w:val="20"/>
              </w:rPr>
              <w:t>低</w:t>
            </w:r>
          </w:p>
        </w:tc>
        <w:tc>
          <w:tcPr>
            <w:tcW w:w="1111" w:type="dxa"/>
            <w:vAlign w:val="top"/>
          </w:tcPr>
          <w:p w14:paraId="0F3A9189">
            <w:pPr>
              <w:spacing w:before="61" w:line="229" w:lineRule="auto"/>
              <w:ind w:left="453"/>
              <w:rPr>
                <w:rFonts w:ascii="宋体" w:hAnsi="宋体" w:eastAsia="宋体" w:cs="宋体"/>
                <w:sz w:val="20"/>
                <w:szCs w:val="20"/>
              </w:rPr>
            </w:pPr>
            <w:r>
              <w:rPr>
                <w:rFonts w:ascii="宋体" w:hAnsi="宋体" w:eastAsia="宋体" w:cs="宋体"/>
                <w:spacing w:val="1"/>
                <w:sz w:val="20"/>
                <w:szCs w:val="20"/>
              </w:rPr>
              <w:t>低</w:t>
            </w:r>
          </w:p>
        </w:tc>
        <w:tc>
          <w:tcPr>
            <w:tcW w:w="1114" w:type="dxa"/>
            <w:vAlign w:val="top"/>
          </w:tcPr>
          <w:p w14:paraId="68846548">
            <w:pPr>
              <w:spacing w:before="60" w:line="228" w:lineRule="auto"/>
              <w:ind w:left="463"/>
              <w:rPr>
                <w:rFonts w:ascii="宋体" w:hAnsi="宋体" w:eastAsia="宋体" w:cs="宋体"/>
                <w:sz w:val="20"/>
                <w:szCs w:val="20"/>
              </w:rPr>
            </w:pPr>
            <w:r>
              <w:rPr>
                <w:rFonts w:ascii="宋体" w:hAnsi="宋体" w:eastAsia="宋体" w:cs="宋体"/>
                <w:sz w:val="20"/>
                <w:szCs w:val="20"/>
              </w:rPr>
              <w:t>高</w:t>
            </w:r>
          </w:p>
        </w:tc>
        <w:tc>
          <w:tcPr>
            <w:tcW w:w="1111" w:type="dxa"/>
            <w:tcBorders>
              <w:right w:val="nil"/>
            </w:tcBorders>
            <w:vAlign w:val="top"/>
          </w:tcPr>
          <w:p w14:paraId="76527493">
            <w:pPr>
              <w:spacing w:before="61" w:line="229" w:lineRule="auto"/>
              <w:ind w:left="453"/>
              <w:rPr>
                <w:rFonts w:ascii="宋体" w:hAnsi="宋体" w:eastAsia="宋体" w:cs="宋体"/>
                <w:sz w:val="20"/>
                <w:szCs w:val="20"/>
              </w:rPr>
            </w:pPr>
            <w:r>
              <w:rPr>
                <w:rFonts w:ascii="宋体" w:hAnsi="宋体" w:eastAsia="宋体" w:cs="宋体"/>
                <w:spacing w:val="1"/>
                <w:sz w:val="20"/>
                <w:szCs w:val="20"/>
              </w:rPr>
              <w:t>低</w:t>
            </w:r>
          </w:p>
        </w:tc>
      </w:tr>
      <w:tr w14:paraId="37603E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1851" w:type="dxa"/>
            <w:tcBorders>
              <w:left w:val="nil"/>
            </w:tcBorders>
            <w:vAlign w:val="top"/>
          </w:tcPr>
          <w:p w14:paraId="5FE995C3">
            <w:pPr>
              <w:spacing w:before="63" w:line="228" w:lineRule="auto"/>
              <w:ind w:left="486"/>
              <w:rPr>
                <w:rFonts w:ascii="宋体" w:hAnsi="宋体" w:eastAsia="宋体" w:cs="宋体"/>
                <w:sz w:val="20"/>
                <w:szCs w:val="20"/>
              </w:rPr>
            </w:pPr>
            <w:r>
              <w:rPr>
                <w:rFonts w:ascii="Times New Roman" w:hAnsi="Times New Roman" w:eastAsia="Times New Roman" w:cs="Times New Roman"/>
                <w:sz w:val="20"/>
                <w:szCs w:val="20"/>
              </w:rPr>
              <w:t>THC</w:t>
            </w:r>
            <w:r>
              <w:rPr>
                <w:rFonts w:ascii="Times New Roman" w:hAnsi="Times New Roman" w:eastAsia="Times New Roman" w:cs="Times New Roman"/>
                <w:spacing w:val="12"/>
                <w:sz w:val="20"/>
                <w:szCs w:val="20"/>
              </w:rPr>
              <w:t xml:space="preserve"> </w:t>
            </w:r>
            <w:r>
              <w:rPr>
                <w:rFonts w:ascii="宋体" w:hAnsi="宋体" w:eastAsia="宋体" w:cs="宋体"/>
                <w:spacing w:val="11"/>
                <w:sz w:val="20"/>
                <w:szCs w:val="20"/>
              </w:rPr>
              <w:t>浓度</w:t>
            </w:r>
          </w:p>
        </w:tc>
        <w:tc>
          <w:tcPr>
            <w:tcW w:w="1113" w:type="dxa"/>
            <w:vAlign w:val="top"/>
          </w:tcPr>
          <w:p w14:paraId="457A79E8">
            <w:pPr>
              <w:spacing w:before="62" w:line="228" w:lineRule="auto"/>
              <w:ind w:left="461"/>
              <w:rPr>
                <w:rFonts w:ascii="宋体" w:hAnsi="宋体" w:eastAsia="宋体" w:cs="宋体"/>
                <w:sz w:val="20"/>
                <w:szCs w:val="20"/>
              </w:rPr>
            </w:pPr>
            <w:r>
              <w:rPr>
                <w:rFonts w:ascii="宋体" w:hAnsi="宋体" w:eastAsia="宋体" w:cs="宋体"/>
                <w:sz w:val="20"/>
                <w:szCs w:val="20"/>
              </w:rPr>
              <w:t>高</w:t>
            </w:r>
          </w:p>
        </w:tc>
        <w:tc>
          <w:tcPr>
            <w:tcW w:w="1111" w:type="dxa"/>
            <w:vAlign w:val="top"/>
          </w:tcPr>
          <w:p w14:paraId="11356031">
            <w:pPr>
              <w:spacing w:before="63" w:line="229" w:lineRule="auto"/>
              <w:ind w:left="453"/>
              <w:rPr>
                <w:rFonts w:ascii="宋体" w:hAnsi="宋体" w:eastAsia="宋体" w:cs="宋体"/>
                <w:sz w:val="20"/>
                <w:szCs w:val="20"/>
              </w:rPr>
            </w:pPr>
            <w:r>
              <w:rPr>
                <w:rFonts w:ascii="宋体" w:hAnsi="宋体" w:eastAsia="宋体" w:cs="宋体"/>
                <w:spacing w:val="1"/>
                <w:sz w:val="20"/>
                <w:szCs w:val="20"/>
              </w:rPr>
              <w:t>低</w:t>
            </w:r>
          </w:p>
        </w:tc>
        <w:tc>
          <w:tcPr>
            <w:tcW w:w="1111" w:type="dxa"/>
            <w:vAlign w:val="top"/>
          </w:tcPr>
          <w:p w14:paraId="14064295">
            <w:pPr>
              <w:spacing w:before="63" w:line="228" w:lineRule="auto"/>
              <w:ind w:left="353"/>
              <w:rPr>
                <w:rFonts w:ascii="宋体" w:hAnsi="宋体" w:eastAsia="宋体" w:cs="宋体"/>
                <w:sz w:val="20"/>
                <w:szCs w:val="20"/>
              </w:rPr>
            </w:pPr>
            <w:r>
              <w:rPr>
                <w:rFonts w:ascii="宋体" w:hAnsi="宋体" w:eastAsia="宋体" w:cs="宋体"/>
                <w:spacing w:val="4"/>
                <w:sz w:val="20"/>
                <w:szCs w:val="20"/>
              </w:rPr>
              <w:t>极</w:t>
            </w:r>
            <w:r>
              <w:rPr>
                <w:rFonts w:ascii="宋体" w:hAnsi="宋体" w:eastAsia="宋体" w:cs="宋体"/>
                <w:spacing w:val="3"/>
                <w:sz w:val="20"/>
                <w:szCs w:val="20"/>
              </w:rPr>
              <w:t>低</w:t>
            </w:r>
          </w:p>
        </w:tc>
        <w:tc>
          <w:tcPr>
            <w:tcW w:w="1111" w:type="dxa"/>
            <w:vAlign w:val="top"/>
          </w:tcPr>
          <w:p w14:paraId="706BBF99">
            <w:pPr>
              <w:spacing w:before="63" w:line="229" w:lineRule="auto"/>
              <w:ind w:left="453"/>
              <w:rPr>
                <w:rFonts w:ascii="宋体" w:hAnsi="宋体" w:eastAsia="宋体" w:cs="宋体"/>
                <w:sz w:val="20"/>
                <w:szCs w:val="20"/>
              </w:rPr>
            </w:pPr>
            <w:r>
              <w:rPr>
                <w:rFonts w:ascii="宋体" w:hAnsi="宋体" w:eastAsia="宋体" w:cs="宋体"/>
                <w:spacing w:val="1"/>
                <w:sz w:val="20"/>
                <w:szCs w:val="20"/>
              </w:rPr>
              <w:t>低</w:t>
            </w:r>
          </w:p>
        </w:tc>
        <w:tc>
          <w:tcPr>
            <w:tcW w:w="1114" w:type="dxa"/>
            <w:vAlign w:val="top"/>
          </w:tcPr>
          <w:p w14:paraId="4CC72018">
            <w:pPr>
              <w:spacing w:before="62" w:line="228" w:lineRule="auto"/>
              <w:ind w:left="371"/>
              <w:rPr>
                <w:rFonts w:ascii="宋体" w:hAnsi="宋体" w:eastAsia="宋体" w:cs="宋体"/>
                <w:sz w:val="20"/>
                <w:szCs w:val="20"/>
              </w:rPr>
            </w:pPr>
            <w:r>
              <w:rPr>
                <w:rFonts w:ascii="宋体" w:hAnsi="宋体" w:eastAsia="宋体" w:cs="宋体"/>
                <w:spacing w:val="-5"/>
                <w:sz w:val="20"/>
                <w:szCs w:val="20"/>
              </w:rPr>
              <w:t>中等</w:t>
            </w:r>
          </w:p>
        </w:tc>
        <w:tc>
          <w:tcPr>
            <w:tcW w:w="1111" w:type="dxa"/>
            <w:tcBorders>
              <w:right w:val="nil"/>
            </w:tcBorders>
            <w:vAlign w:val="top"/>
          </w:tcPr>
          <w:p w14:paraId="7C7CCB96">
            <w:pPr>
              <w:spacing w:before="63" w:line="229" w:lineRule="auto"/>
              <w:ind w:left="453"/>
              <w:rPr>
                <w:rFonts w:ascii="宋体" w:hAnsi="宋体" w:eastAsia="宋体" w:cs="宋体"/>
                <w:sz w:val="20"/>
                <w:szCs w:val="20"/>
              </w:rPr>
            </w:pPr>
            <w:r>
              <w:rPr>
                <w:rFonts w:ascii="宋体" w:hAnsi="宋体" w:eastAsia="宋体" w:cs="宋体"/>
                <w:spacing w:val="1"/>
                <w:sz w:val="20"/>
                <w:szCs w:val="20"/>
              </w:rPr>
              <w:t>低</w:t>
            </w:r>
          </w:p>
        </w:tc>
      </w:tr>
    </w:tbl>
    <w:p w14:paraId="66224128">
      <w:pPr>
        <w:spacing w:line="261" w:lineRule="auto"/>
        <w:rPr>
          <w:rFonts w:ascii="Arial"/>
          <w:sz w:val="21"/>
        </w:rPr>
      </w:pPr>
    </w:p>
    <w:p w14:paraId="20DFD3F0">
      <w:pPr>
        <w:spacing w:before="75" w:line="390" w:lineRule="auto"/>
        <w:ind w:left="117" w:right="107" w:firstLine="479"/>
        <w:rPr>
          <w:rFonts w:ascii="宋体" w:hAnsi="宋体" w:eastAsia="宋体" w:cs="宋体"/>
          <w:sz w:val="23"/>
          <w:szCs w:val="23"/>
        </w:rPr>
      </w:pPr>
      <w:r>
        <w:rPr>
          <w:rFonts w:ascii="宋体" w:hAnsi="宋体" w:eastAsia="宋体" w:cs="宋体"/>
          <w:spacing w:val="7"/>
          <w:sz w:val="23"/>
          <w:szCs w:val="23"/>
        </w:rPr>
        <w:t>在施工过程中施工方应保证施工机械及车辆运行状态的良好。在机械、车</w:t>
      </w:r>
      <w:r>
        <w:rPr>
          <w:rFonts w:ascii="宋体" w:hAnsi="宋体" w:eastAsia="宋体" w:cs="宋体"/>
          <w:spacing w:val="3"/>
          <w:sz w:val="23"/>
          <w:szCs w:val="23"/>
        </w:rPr>
        <w:t>辆</w:t>
      </w:r>
      <w:r>
        <w:rPr>
          <w:rFonts w:ascii="宋体" w:hAnsi="宋体" w:eastAsia="宋体" w:cs="宋体"/>
          <w:sz w:val="23"/>
          <w:szCs w:val="23"/>
        </w:rPr>
        <w:t xml:space="preserve"> </w:t>
      </w:r>
      <w:r>
        <w:rPr>
          <w:rFonts w:ascii="宋体" w:hAnsi="宋体" w:eastAsia="宋体" w:cs="宋体"/>
          <w:spacing w:val="9"/>
          <w:sz w:val="23"/>
          <w:szCs w:val="23"/>
        </w:rPr>
        <w:t>运</w:t>
      </w:r>
      <w:r>
        <w:rPr>
          <w:rFonts w:ascii="宋体" w:hAnsi="宋体" w:eastAsia="宋体" w:cs="宋体"/>
          <w:spacing w:val="7"/>
          <w:sz w:val="23"/>
          <w:szCs w:val="23"/>
        </w:rPr>
        <w:t>转状况良好的条件下，产生的上述污染物浓度较低，不会对环境空气质量产生</w:t>
      </w:r>
      <w:r>
        <w:rPr>
          <w:rFonts w:ascii="宋体" w:hAnsi="宋体" w:eastAsia="宋体" w:cs="宋体"/>
          <w:sz w:val="23"/>
          <w:szCs w:val="23"/>
        </w:rPr>
        <w:t xml:space="preserve"> </w:t>
      </w:r>
      <w:r>
        <w:rPr>
          <w:rFonts w:ascii="宋体" w:hAnsi="宋体" w:eastAsia="宋体" w:cs="宋体"/>
          <w:spacing w:val="9"/>
          <w:sz w:val="23"/>
          <w:szCs w:val="23"/>
        </w:rPr>
        <w:t>较</w:t>
      </w:r>
      <w:r>
        <w:rPr>
          <w:rFonts w:ascii="宋体" w:hAnsi="宋体" w:eastAsia="宋体" w:cs="宋体"/>
          <w:spacing w:val="7"/>
          <w:sz w:val="23"/>
          <w:szCs w:val="23"/>
        </w:rPr>
        <w:t>明显的影响，并且施工期在一般情况下相对运营期较短，主体建筑物施工结束</w:t>
      </w:r>
    </w:p>
    <w:p w14:paraId="1D574316">
      <w:pPr>
        <w:sectPr>
          <w:headerReference r:id="rId198" w:type="default"/>
          <w:footerReference r:id="rId199" w:type="default"/>
          <w:pgSz w:w="11906" w:h="16839"/>
          <w:pgMar w:top="1132" w:right="1691" w:bottom="1182" w:left="1691" w:header="878" w:footer="1022" w:gutter="0"/>
          <w:cols w:space="720" w:num="1"/>
        </w:sectPr>
      </w:pPr>
    </w:p>
    <w:p w14:paraId="576A1AC4">
      <w:pPr>
        <w:spacing w:line="409" w:lineRule="auto"/>
        <w:rPr>
          <w:rFonts w:ascii="Arial"/>
          <w:sz w:val="21"/>
        </w:rPr>
      </w:pPr>
      <w:r>
        <w:pict>
          <v:shape id="_x0000_s1238" o:spid="_x0000_s1238" style="position:absolute;left:0pt;margin-left:90pt;margin-top:57.35pt;height:0.75pt;width:415.3pt;mso-position-horizontal-relative:page;mso-position-vertical-relative:page;z-index:251896832;mso-width-relative:page;mso-height-relative:page;" fillcolor="#000000" filled="t" stroked="f" coordsize="8305,15" o:allowincell="f" path="m0,0l8305,0,8305,14,0,14,0,0xe">
            <v:path/>
            <v:fill on="t" focussize="0,0"/>
            <v:stroke on="f"/>
            <v:imagedata o:title=""/>
            <o:lock v:ext="edit"/>
          </v:shape>
        </w:pict>
      </w:r>
    </w:p>
    <w:p w14:paraId="41ACFD9F">
      <w:pPr>
        <w:spacing w:before="74" w:line="393" w:lineRule="auto"/>
        <w:ind w:left="117" w:right="113" w:firstLine="1"/>
        <w:rPr>
          <w:rFonts w:ascii="宋体" w:hAnsi="宋体" w:eastAsia="宋体" w:cs="宋体"/>
          <w:sz w:val="23"/>
          <w:szCs w:val="23"/>
        </w:rPr>
      </w:pPr>
      <w:r>
        <w:rPr>
          <w:rFonts w:ascii="宋体" w:hAnsi="宋体" w:eastAsia="宋体" w:cs="宋体"/>
          <w:spacing w:val="7"/>
          <w:sz w:val="23"/>
          <w:szCs w:val="23"/>
        </w:rPr>
        <w:t>后，施工机械即停止运转，因此施工机械对环境的影响仅是暂时性的，不会对当</w:t>
      </w:r>
      <w:r>
        <w:rPr>
          <w:rFonts w:ascii="宋体" w:hAnsi="宋体" w:eastAsia="宋体" w:cs="宋体"/>
          <w:sz w:val="23"/>
          <w:szCs w:val="23"/>
        </w:rPr>
        <w:t xml:space="preserve"> </w:t>
      </w:r>
      <w:r>
        <w:rPr>
          <w:rFonts w:ascii="宋体" w:hAnsi="宋体" w:eastAsia="宋体" w:cs="宋体"/>
          <w:spacing w:val="16"/>
          <w:sz w:val="23"/>
          <w:szCs w:val="23"/>
        </w:rPr>
        <w:t>地</w:t>
      </w:r>
      <w:r>
        <w:rPr>
          <w:rFonts w:ascii="宋体" w:hAnsi="宋体" w:eastAsia="宋体" w:cs="宋体"/>
          <w:spacing w:val="12"/>
          <w:sz w:val="23"/>
          <w:szCs w:val="23"/>
        </w:rPr>
        <w:t>的</w:t>
      </w:r>
      <w:r>
        <w:rPr>
          <w:rFonts w:ascii="宋体" w:hAnsi="宋体" w:eastAsia="宋体" w:cs="宋体"/>
          <w:spacing w:val="8"/>
          <w:sz w:val="23"/>
          <w:szCs w:val="23"/>
        </w:rPr>
        <w:t>环境空气质量带来长久的影响。</w:t>
      </w:r>
    </w:p>
    <w:p w14:paraId="0B0A2DF3">
      <w:pPr>
        <w:spacing w:before="84" w:line="226" w:lineRule="auto"/>
        <w:ind w:left="118"/>
        <w:outlineLvl w:val="2"/>
        <w:rPr>
          <w:rFonts w:ascii="宋体" w:hAnsi="宋体" w:eastAsia="宋体" w:cs="宋体"/>
          <w:sz w:val="29"/>
          <w:szCs w:val="29"/>
        </w:rPr>
      </w:pPr>
      <w:r>
        <w:rPr>
          <w:rFonts w:ascii="Times New Roman" w:hAnsi="Times New Roman" w:eastAsia="Times New Roman" w:cs="Times New Roman"/>
          <w:b/>
          <w:bCs/>
          <w:spacing w:val="14"/>
          <w:sz w:val="29"/>
          <w:szCs w:val="29"/>
        </w:rPr>
        <w:t>5</w:t>
      </w:r>
      <w:r>
        <w:rPr>
          <w:rFonts w:ascii="Times New Roman" w:hAnsi="Times New Roman" w:eastAsia="Times New Roman" w:cs="Times New Roman"/>
          <w:b/>
          <w:bCs/>
          <w:spacing w:val="9"/>
          <w:sz w:val="29"/>
          <w:szCs w:val="29"/>
        </w:rPr>
        <w:t>.</w:t>
      </w:r>
      <w:r>
        <w:rPr>
          <w:rFonts w:ascii="Times New Roman" w:hAnsi="Times New Roman" w:eastAsia="Times New Roman" w:cs="Times New Roman"/>
          <w:b/>
          <w:bCs/>
          <w:spacing w:val="7"/>
          <w:sz w:val="29"/>
          <w:szCs w:val="29"/>
        </w:rPr>
        <w:t>1.2</w:t>
      </w:r>
      <w:r>
        <w:rPr>
          <w:rFonts w:ascii="Times New Roman" w:hAnsi="Times New Roman" w:eastAsia="Times New Roman" w:cs="Times New Roman"/>
          <w:spacing w:val="7"/>
          <w:sz w:val="29"/>
          <w:szCs w:val="29"/>
        </w:rPr>
        <w:t xml:space="preserve"> </w:t>
      </w:r>
      <w:r>
        <w:rPr>
          <w:rFonts w:ascii="宋体" w:hAnsi="宋体" w:eastAsia="宋体" w:cs="宋体"/>
          <w:spacing w:val="7"/>
          <w:sz w:val="29"/>
          <w:szCs w:val="29"/>
          <w14:textOutline w14:w="5448" w14:cap="sq" w14:cmpd="sng">
            <w14:solidFill>
              <w14:srgbClr w14:val="000000"/>
            </w14:solidFill>
            <w14:prstDash w14:val="solid"/>
            <w14:bevel/>
          </w14:textOutline>
        </w:rPr>
        <w:t>施工期水环境影响分析</w:t>
      </w:r>
    </w:p>
    <w:p w14:paraId="6B414EA8">
      <w:pPr>
        <w:spacing w:line="257" w:lineRule="auto"/>
        <w:rPr>
          <w:rFonts w:ascii="Arial"/>
          <w:sz w:val="21"/>
        </w:rPr>
      </w:pPr>
    </w:p>
    <w:p w14:paraId="66BF2612">
      <w:pPr>
        <w:spacing w:before="74" w:line="227" w:lineRule="auto"/>
        <w:ind w:left="596"/>
        <w:rPr>
          <w:rFonts w:ascii="宋体" w:hAnsi="宋体" w:eastAsia="宋体" w:cs="宋体"/>
          <w:sz w:val="23"/>
          <w:szCs w:val="23"/>
        </w:rPr>
      </w:pPr>
      <w:r>
        <w:rPr>
          <w:rFonts w:ascii="宋体" w:hAnsi="宋体" w:eastAsia="宋体" w:cs="宋体"/>
          <w:spacing w:val="12"/>
          <w:sz w:val="23"/>
          <w:szCs w:val="23"/>
        </w:rPr>
        <w:t>施</w:t>
      </w:r>
      <w:r>
        <w:rPr>
          <w:rFonts w:ascii="宋体" w:hAnsi="宋体" w:eastAsia="宋体" w:cs="宋体"/>
          <w:spacing w:val="9"/>
          <w:sz w:val="23"/>
          <w:szCs w:val="23"/>
        </w:rPr>
        <w:t>工期产生的废水主要包括施工废水和生活污水。</w:t>
      </w:r>
    </w:p>
    <w:p w14:paraId="2E2D5617">
      <w:pPr>
        <w:spacing w:line="275" w:lineRule="auto"/>
        <w:rPr>
          <w:rFonts w:ascii="Arial"/>
          <w:sz w:val="21"/>
        </w:rPr>
      </w:pPr>
    </w:p>
    <w:p w14:paraId="2059DB4D">
      <w:pPr>
        <w:spacing w:before="75" w:line="394" w:lineRule="auto"/>
        <w:ind w:left="120" w:right="113" w:firstLine="479"/>
        <w:rPr>
          <w:rFonts w:ascii="宋体" w:hAnsi="宋体" w:eastAsia="宋体" w:cs="宋体"/>
          <w:sz w:val="23"/>
          <w:szCs w:val="23"/>
        </w:rPr>
      </w:pPr>
      <w:r>
        <w:rPr>
          <w:rFonts w:ascii="宋体" w:hAnsi="宋体" w:eastAsia="宋体" w:cs="宋体"/>
          <w:spacing w:val="9"/>
          <w:sz w:val="23"/>
          <w:szCs w:val="23"/>
        </w:rPr>
        <w:t>生</w:t>
      </w:r>
      <w:r>
        <w:rPr>
          <w:rFonts w:ascii="宋体" w:hAnsi="宋体" w:eastAsia="宋体" w:cs="宋体"/>
          <w:spacing w:val="8"/>
          <w:sz w:val="23"/>
          <w:szCs w:val="23"/>
        </w:rPr>
        <w:t xml:space="preserve">活污水：本项目施工期生活污水主要成分为 </w:t>
      </w:r>
      <w:r>
        <w:rPr>
          <w:rFonts w:ascii="Times New Roman" w:hAnsi="Times New Roman" w:eastAsia="Times New Roman" w:cs="Times New Roman"/>
          <w:sz w:val="23"/>
          <w:szCs w:val="23"/>
        </w:rPr>
        <w:t>COD</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和氨氮，排入自建防渗</w:t>
      </w:r>
      <w:r>
        <w:rPr>
          <w:rFonts w:ascii="宋体" w:hAnsi="宋体" w:eastAsia="宋体" w:cs="宋体"/>
          <w:sz w:val="23"/>
          <w:szCs w:val="23"/>
        </w:rPr>
        <w:t xml:space="preserve"> </w:t>
      </w:r>
      <w:r>
        <w:rPr>
          <w:rFonts w:ascii="宋体" w:hAnsi="宋体" w:eastAsia="宋体" w:cs="宋体"/>
          <w:spacing w:val="8"/>
          <w:sz w:val="23"/>
          <w:szCs w:val="23"/>
        </w:rPr>
        <w:t>旱</w:t>
      </w:r>
      <w:r>
        <w:rPr>
          <w:rFonts w:ascii="宋体" w:hAnsi="宋体" w:eastAsia="宋体" w:cs="宋体"/>
          <w:spacing w:val="7"/>
          <w:sz w:val="23"/>
          <w:szCs w:val="23"/>
        </w:rPr>
        <w:t>厕，定期清掏。</w:t>
      </w:r>
    </w:p>
    <w:p w14:paraId="189B527B">
      <w:pPr>
        <w:spacing w:before="136" w:line="389" w:lineRule="auto"/>
        <w:ind w:left="116" w:right="113" w:firstLine="480"/>
        <w:rPr>
          <w:rFonts w:ascii="宋体" w:hAnsi="宋体" w:eastAsia="宋体" w:cs="宋体"/>
          <w:sz w:val="23"/>
          <w:szCs w:val="23"/>
        </w:rPr>
      </w:pPr>
      <w:r>
        <w:rPr>
          <w:rFonts w:ascii="宋体" w:hAnsi="宋体" w:eastAsia="宋体" w:cs="宋体"/>
          <w:spacing w:val="7"/>
          <w:sz w:val="23"/>
          <w:szCs w:val="23"/>
        </w:rPr>
        <w:t>施工废水：施工临时用地如储料厂、施工机械、车辆停放区等，其中施工</w:t>
      </w:r>
      <w:r>
        <w:rPr>
          <w:rFonts w:ascii="宋体" w:hAnsi="宋体" w:eastAsia="宋体" w:cs="宋体"/>
          <w:spacing w:val="3"/>
          <w:sz w:val="23"/>
          <w:szCs w:val="23"/>
        </w:rPr>
        <w:t>机</w:t>
      </w:r>
      <w:r>
        <w:rPr>
          <w:rFonts w:ascii="宋体" w:hAnsi="宋体" w:eastAsia="宋体" w:cs="宋体"/>
          <w:sz w:val="23"/>
          <w:szCs w:val="23"/>
        </w:rPr>
        <w:t xml:space="preserve"> </w:t>
      </w:r>
      <w:r>
        <w:rPr>
          <w:rFonts w:ascii="宋体" w:hAnsi="宋体" w:eastAsia="宋体" w:cs="宋体"/>
          <w:spacing w:val="8"/>
          <w:sz w:val="23"/>
          <w:szCs w:val="23"/>
        </w:rPr>
        <w:t xml:space="preserve">械、车辆停放维修区在设备冲洗时将产生含石油类物质和 </w:t>
      </w:r>
      <w:r>
        <w:rPr>
          <w:rFonts w:ascii="Times New Roman" w:hAnsi="Times New Roman" w:eastAsia="Times New Roman" w:cs="Times New Roman"/>
          <w:sz w:val="23"/>
          <w:szCs w:val="23"/>
        </w:rPr>
        <w:t>SS</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的废水，经隔油</w:t>
      </w:r>
      <w:r>
        <w:rPr>
          <w:rFonts w:ascii="宋体" w:hAnsi="宋体" w:eastAsia="宋体" w:cs="宋体"/>
          <w:spacing w:val="7"/>
          <w:sz w:val="23"/>
          <w:szCs w:val="23"/>
        </w:rPr>
        <w:t>、</w:t>
      </w:r>
      <w:r>
        <w:rPr>
          <w:rFonts w:ascii="宋体" w:hAnsi="宋体" w:eastAsia="宋体" w:cs="宋体"/>
          <w:sz w:val="23"/>
          <w:szCs w:val="23"/>
        </w:rPr>
        <w:t xml:space="preserve"> </w:t>
      </w:r>
      <w:r>
        <w:rPr>
          <w:rFonts w:ascii="宋体" w:hAnsi="宋体" w:eastAsia="宋体" w:cs="宋体"/>
          <w:spacing w:val="9"/>
          <w:sz w:val="23"/>
          <w:szCs w:val="23"/>
        </w:rPr>
        <w:t>沉</w:t>
      </w:r>
      <w:r>
        <w:rPr>
          <w:rFonts w:ascii="宋体" w:hAnsi="宋体" w:eastAsia="宋体" w:cs="宋体"/>
          <w:spacing w:val="7"/>
          <w:sz w:val="23"/>
          <w:szCs w:val="23"/>
        </w:rPr>
        <w:t>淀后用于厂区洒水降尘，不会对周围水体造成不良影响，并且随着施工的结束</w:t>
      </w:r>
      <w:r>
        <w:rPr>
          <w:rFonts w:ascii="宋体" w:hAnsi="宋体" w:eastAsia="宋体" w:cs="宋体"/>
          <w:sz w:val="23"/>
          <w:szCs w:val="23"/>
        </w:rPr>
        <w:t xml:space="preserve"> </w:t>
      </w:r>
      <w:r>
        <w:rPr>
          <w:rFonts w:ascii="宋体" w:hAnsi="宋体" w:eastAsia="宋体" w:cs="宋体"/>
          <w:spacing w:val="8"/>
          <w:sz w:val="23"/>
          <w:szCs w:val="23"/>
        </w:rPr>
        <w:t>该影响也随着结束</w:t>
      </w:r>
      <w:r>
        <w:rPr>
          <w:rFonts w:ascii="宋体" w:hAnsi="宋体" w:eastAsia="宋体" w:cs="宋体"/>
          <w:spacing w:val="7"/>
          <w:sz w:val="23"/>
          <w:szCs w:val="23"/>
        </w:rPr>
        <w:t>。</w:t>
      </w:r>
    </w:p>
    <w:p w14:paraId="23100FF9">
      <w:pPr>
        <w:spacing w:before="86" w:line="226" w:lineRule="auto"/>
        <w:ind w:left="118"/>
        <w:outlineLvl w:val="2"/>
        <w:rPr>
          <w:rFonts w:ascii="宋体" w:hAnsi="宋体" w:eastAsia="宋体" w:cs="宋体"/>
          <w:sz w:val="29"/>
          <w:szCs w:val="29"/>
        </w:rPr>
      </w:pPr>
      <w:r>
        <w:rPr>
          <w:rFonts w:ascii="Times New Roman" w:hAnsi="Times New Roman" w:eastAsia="Times New Roman" w:cs="Times New Roman"/>
          <w:b/>
          <w:bCs/>
          <w:spacing w:val="8"/>
          <w:sz w:val="29"/>
          <w:szCs w:val="29"/>
        </w:rPr>
        <w:t>5</w:t>
      </w:r>
      <w:r>
        <w:rPr>
          <w:rFonts w:ascii="Times New Roman" w:hAnsi="Times New Roman" w:eastAsia="Times New Roman" w:cs="Times New Roman"/>
          <w:b/>
          <w:bCs/>
          <w:spacing w:val="7"/>
          <w:sz w:val="29"/>
          <w:szCs w:val="29"/>
        </w:rPr>
        <w:t>.1.3</w:t>
      </w:r>
      <w:r>
        <w:rPr>
          <w:rFonts w:ascii="Times New Roman" w:hAnsi="Times New Roman" w:eastAsia="Times New Roman" w:cs="Times New Roman"/>
          <w:spacing w:val="7"/>
          <w:sz w:val="29"/>
          <w:szCs w:val="29"/>
        </w:rPr>
        <w:t xml:space="preserve">  </w:t>
      </w:r>
      <w:r>
        <w:rPr>
          <w:rFonts w:ascii="宋体" w:hAnsi="宋体" w:eastAsia="宋体" w:cs="宋体"/>
          <w:spacing w:val="7"/>
          <w:sz w:val="29"/>
          <w:szCs w:val="29"/>
          <w14:textOutline w14:w="5448" w14:cap="sq" w14:cmpd="sng">
            <w14:solidFill>
              <w14:srgbClr w14:val="000000"/>
            </w14:solidFill>
            <w14:prstDash w14:val="solid"/>
            <w14:bevel/>
          </w14:textOutline>
        </w:rPr>
        <w:t>施工期噪声影响分析</w:t>
      </w:r>
    </w:p>
    <w:p w14:paraId="1FBCC69E">
      <w:pPr>
        <w:spacing w:line="257" w:lineRule="auto"/>
        <w:rPr>
          <w:rFonts w:ascii="Arial"/>
          <w:sz w:val="21"/>
        </w:rPr>
      </w:pPr>
    </w:p>
    <w:p w14:paraId="7342F730">
      <w:pPr>
        <w:spacing w:before="75" w:line="389" w:lineRule="auto"/>
        <w:ind w:left="118" w:right="49" w:firstLine="482"/>
        <w:rPr>
          <w:rFonts w:ascii="宋体" w:hAnsi="宋体" w:eastAsia="宋体" w:cs="宋体"/>
          <w:sz w:val="23"/>
          <w:szCs w:val="23"/>
        </w:rPr>
      </w:pPr>
      <w:r>
        <w:rPr>
          <w:rFonts w:ascii="宋体" w:hAnsi="宋体" w:eastAsia="宋体" w:cs="宋体"/>
          <w:spacing w:val="12"/>
          <w:sz w:val="23"/>
          <w:szCs w:val="23"/>
        </w:rPr>
        <w:t>项目施工</w:t>
      </w:r>
      <w:r>
        <w:rPr>
          <w:rFonts w:ascii="宋体" w:hAnsi="宋体" w:eastAsia="宋体" w:cs="宋体"/>
          <w:spacing w:val="7"/>
          <w:sz w:val="23"/>
          <w:szCs w:val="23"/>
        </w:rPr>
        <w:t>期</w:t>
      </w:r>
      <w:r>
        <w:rPr>
          <w:rFonts w:ascii="宋体" w:hAnsi="宋体" w:eastAsia="宋体" w:cs="宋体"/>
          <w:spacing w:val="6"/>
          <w:sz w:val="23"/>
          <w:szCs w:val="23"/>
        </w:rPr>
        <w:t>噪声主要是施工现场的机械设备运行及作业中产生的噪声，以及</w:t>
      </w:r>
      <w:r>
        <w:rPr>
          <w:rFonts w:ascii="宋体" w:hAnsi="宋体" w:eastAsia="宋体" w:cs="宋体"/>
          <w:sz w:val="23"/>
          <w:szCs w:val="23"/>
        </w:rPr>
        <w:t xml:space="preserve"> </w:t>
      </w:r>
      <w:r>
        <w:rPr>
          <w:rFonts w:ascii="宋体" w:hAnsi="宋体" w:eastAsia="宋体" w:cs="宋体"/>
          <w:spacing w:val="4"/>
          <w:sz w:val="23"/>
          <w:szCs w:val="23"/>
        </w:rPr>
        <w:t>车辆运</w:t>
      </w:r>
      <w:r>
        <w:rPr>
          <w:rFonts w:ascii="宋体" w:hAnsi="宋体" w:eastAsia="宋体" w:cs="宋体"/>
          <w:spacing w:val="3"/>
          <w:sz w:val="23"/>
          <w:szCs w:val="23"/>
        </w:rPr>
        <w:t>输</w:t>
      </w:r>
      <w:r>
        <w:rPr>
          <w:rFonts w:ascii="宋体" w:hAnsi="宋体" w:eastAsia="宋体" w:cs="宋体"/>
          <w:spacing w:val="2"/>
          <w:sz w:val="23"/>
          <w:szCs w:val="23"/>
        </w:rPr>
        <w:t>产生的噪声，这些噪声源的数量和种类较多，既有固定源，也有流动源，</w:t>
      </w:r>
      <w:r>
        <w:rPr>
          <w:rFonts w:ascii="宋体" w:hAnsi="宋体" w:eastAsia="宋体" w:cs="宋体"/>
          <w:sz w:val="23"/>
          <w:szCs w:val="23"/>
        </w:rPr>
        <w:t xml:space="preserve"> </w:t>
      </w:r>
      <w:r>
        <w:rPr>
          <w:rFonts w:ascii="宋体" w:hAnsi="宋体" w:eastAsia="宋体" w:cs="宋体"/>
          <w:spacing w:val="12"/>
          <w:sz w:val="23"/>
          <w:szCs w:val="23"/>
        </w:rPr>
        <w:t>有的是连</w:t>
      </w:r>
      <w:r>
        <w:rPr>
          <w:rFonts w:ascii="宋体" w:hAnsi="宋体" w:eastAsia="宋体" w:cs="宋体"/>
          <w:spacing w:val="6"/>
          <w:sz w:val="23"/>
          <w:szCs w:val="23"/>
        </w:rPr>
        <w:t>续源，也有不少属瞬时源 (突发性噪声) ，且一般噪声源强较大，对周</w:t>
      </w:r>
      <w:r>
        <w:rPr>
          <w:rFonts w:ascii="宋体" w:hAnsi="宋体" w:eastAsia="宋体" w:cs="宋体"/>
          <w:sz w:val="23"/>
          <w:szCs w:val="23"/>
        </w:rPr>
        <w:t xml:space="preserve"> </w:t>
      </w:r>
      <w:r>
        <w:rPr>
          <w:rFonts w:ascii="宋体" w:hAnsi="宋体" w:eastAsia="宋体" w:cs="宋体"/>
          <w:spacing w:val="10"/>
          <w:sz w:val="23"/>
          <w:szCs w:val="23"/>
        </w:rPr>
        <w:t>围</w:t>
      </w:r>
      <w:r>
        <w:rPr>
          <w:rFonts w:ascii="宋体" w:hAnsi="宋体" w:eastAsia="宋体" w:cs="宋体"/>
          <w:spacing w:val="7"/>
          <w:sz w:val="23"/>
          <w:szCs w:val="23"/>
        </w:rPr>
        <w:t>环境影响较大。</w:t>
      </w:r>
    </w:p>
    <w:p w14:paraId="168C4667">
      <w:pPr>
        <w:spacing w:before="135" w:line="393" w:lineRule="auto"/>
        <w:ind w:left="122" w:right="113" w:firstLine="475"/>
        <w:rPr>
          <w:rFonts w:ascii="宋体" w:hAnsi="宋体" w:eastAsia="宋体" w:cs="宋体"/>
          <w:sz w:val="23"/>
          <w:szCs w:val="23"/>
        </w:rPr>
      </w:pPr>
      <w:r>
        <w:rPr>
          <w:rFonts w:ascii="宋体" w:hAnsi="宋体" w:eastAsia="宋体" w:cs="宋体"/>
          <w:spacing w:val="7"/>
          <w:sz w:val="23"/>
          <w:szCs w:val="23"/>
        </w:rPr>
        <w:t>根据类比相关资料，仅按点声源的距离衰减估算，各施工段主要使用设备</w:t>
      </w:r>
      <w:r>
        <w:rPr>
          <w:rFonts w:ascii="宋体" w:hAnsi="宋体" w:eastAsia="宋体" w:cs="宋体"/>
          <w:spacing w:val="3"/>
          <w:sz w:val="23"/>
          <w:szCs w:val="23"/>
        </w:rPr>
        <w:t>噪</w:t>
      </w:r>
      <w:r>
        <w:rPr>
          <w:rFonts w:ascii="宋体" w:hAnsi="宋体" w:eastAsia="宋体" w:cs="宋体"/>
          <w:sz w:val="23"/>
          <w:szCs w:val="23"/>
        </w:rPr>
        <w:t xml:space="preserve"> </w:t>
      </w:r>
      <w:r>
        <w:rPr>
          <w:rFonts w:ascii="宋体" w:hAnsi="宋体" w:eastAsia="宋体" w:cs="宋体"/>
          <w:spacing w:val="7"/>
          <w:sz w:val="23"/>
          <w:szCs w:val="23"/>
        </w:rPr>
        <w:t xml:space="preserve">声源强及各施工期主要施工机械对应于不同噪声限值的干扰半径见表 </w:t>
      </w:r>
      <w:r>
        <w:rPr>
          <w:rFonts w:ascii="Times New Roman" w:hAnsi="Times New Roman" w:eastAsia="Times New Roman" w:cs="Times New Roman"/>
          <w:spacing w:val="7"/>
          <w:sz w:val="23"/>
          <w:szCs w:val="23"/>
        </w:rPr>
        <w:t>5-3</w:t>
      </w:r>
      <w:r>
        <w:rPr>
          <w:rFonts w:ascii="宋体" w:hAnsi="宋体" w:eastAsia="宋体" w:cs="宋体"/>
          <w:spacing w:val="5"/>
          <w:sz w:val="23"/>
          <w:szCs w:val="23"/>
        </w:rPr>
        <w:t>：</w:t>
      </w:r>
    </w:p>
    <w:p w14:paraId="4919381D">
      <w:pPr>
        <w:spacing w:before="137" w:line="227" w:lineRule="auto"/>
        <w:ind w:left="1318"/>
        <w:rPr>
          <w:rFonts w:ascii="宋体" w:hAnsi="宋体" w:eastAsia="宋体" w:cs="宋体"/>
          <w:sz w:val="23"/>
          <w:szCs w:val="23"/>
        </w:rPr>
      </w:pPr>
      <w:r>
        <w:rPr>
          <w:rFonts w:ascii="宋体" w:hAnsi="宋体" w:eastAsia="宋体" w:cs="宋体"/>
          <w:spacing w:val="6"/>
          <w:sz w:val="23"/>
          <w:szCs w:val="23"/>
          <w14:textOutline w14:w="4358" w14:cap="sq" w14:cmpd="sng">
            <w14:solidFill>
              <w14:srgbClr w14:val="000000"/>
            </w14:solidFill>
            <w14:prstDash w14:val="solid"/>
            <w14:bevel/>
          </w14:textOutline>
        </w:rPr>
        <w:t>表</w:t>
      </w:r>
      <w:r>
        <w:rPr>
          <w:rFonts w:ascii="宋体" w:hAnsi="宋体" w:eastAsia="宋体" w:cs="宋体"/>
          <w:spacing w:val="6"/>
          <w:sz w:val="23"/>
          <w:szCs w:val="23"/>
        </w:rPr>
        <w:t xml:space="preserve"> </w:t>
      </w:r>
      <w:r>
        <w:rPr>
          <w:rFonts w:ascii="Times New Roman" w:hAnsi="Times New Roman" w:eastAsia="Times New Roman" w:cs="Times New Roman"/>
          <w:b/>
          <w:bCs/>
          <w:spacing w:val="6"/>
          <w:sz w:val="23"/>
          <w:szCs w:val="23"/>
        </w:rPr>
        <w:t>5-3</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14:textOutline w14:w="4358" w14:cap="sq" w14:cmpd="sng">
            <w14:solidFill>
              <w14:srgbClr w14:val="000000"/>
            </w14:solidFill>
            <w14:prstDash w14:val="solid"/>
            <w14:bevel/>
          </w14:textOutline>
        </w:rPr>
        <w:t>各种施工机械对应于不同噪声限值的干扰半径</w:t>
      </w:r>
    </w:p>
    <w:p w14:paraId="6B61A614">
      <w:pPr>
        <w:spacing w:line="18" w:lineRule="exact"/>
      </w:pPr>
    </w:p>
    <w:tbl>
      <w:tblPr>
        <w:tblStyle w:val="4"/>
        <w:tblW w:w="852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67"/>
        <w:gridCol w:w="1950"/>
        <w:gridCol w:w="1371"/>
        <w:gridCol w:w="1370"/>
        <w:gridCol w:w="1369"/>
      </w:tblGrid>
      <w:tr w14:paraId="38C29B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2467" w:type="dxa"/>
            <w:vMerge w:val="restart"/>
            <w:tcBorders>
              <w:left w:val="nil"/>
              <w:bottom w:val="nil"/>
            </w:tcBorders>
            <w:vAlign w:val="top"/>
          </w:tcPr>
          <w:p w14:paraId="2EF1E808">
            <w:pPr>
              <w:spacing w:before="246" w:line="228" w:lineRule="auto"/>
              <w:ind w:left="612"/>
              <w:rPr>
                <w:rFonts w:ascii="宋体" w:hAnsi="宋体" w:eastAsia="宋体" w:cs="宋体"/>
                <w:sz w:val="20"/>
                <w:szCs w:val="20"/>
              </w:rPr>
            </w:pPr>
            <w:r>
              <w:rPr>
                <w:rFonts w:ascii="宋体" w:hAnsi="宋体" w:eastAsia="宋体" w:cs="宋体"/>
                <w:spacing w:val="8"/>
                <w:sz w:val="20"/>
                <w:szCs w:val="20"/>
              </w:rPr>
              <w:t>主要声源名</w:t>
            </w:r>
            <w:r>
              <w:rPr>
                <w:rFonts w:ascii="宋体" w:hAnsi="宋体" w:eastAsia="宋体" w:cs="宋体"/>
                <w:spacing w:val="7"/>
                <w:sz w:val="20"/>
                <w:szCs w:val="20"/>
              </w:rPr>
              <w:t>称</w:t>
            </w:r>
          </w:p>
        </w:tc>
        <w:tc>
          <w:tcPr>
            <w:tcW w:w="1950" w:type="dxa"/>
            <w:vMerge w:val="restart"/>
            <w:tcBorders>
              <w:bottom w:val="nil"/>
            </w:tcBorders>
            <w:vAlign w:val="top"/>
          </w:tcPr>
          <w:p w14:paraId="46129302">
            <w:pPr>
              <w:spacing w:before="89" w:line="272" w:lineRule="auto"/>
              <w:ind w:left="373" w:right="374" w:firstLine="196"/>
              <w:rPr>
                <w:rFonts w:ascii="宋体" w:hAnsi="宋体" w:eastAsia="宋体" w:cs="宋体"/>
                <w:sz w:val="20"/>
                <w:szCs w:val="20"/>
              </w:rPr>
            </w:pPr>
            <w:r>
              <w:rPr>
                <w:rFonts w:ascii="宋体" w:hAnsi="宋体" w:eastAsia="宋体" w:cs="宋体"/>
                <w:spacing w:val="5"/>
                <w:sz w:val="20"/>
                <w:szCs w:val="20"/>
              </w:rPr>
              <w:t>噪声源</w:t>
            </w:r>
            <w:r>
              <w:rPr>
                <w:rFonts w:ascii="宋体" w:hAnsi="宋体" w:eastAsia="宋体" w:cs="宋体"/>
                <w:spacing w:val="4"/>
                <w:sz w:val="20"/>
                <w:szCs w:val="20"/>
              </w:rPr>
              <w:t>强</w:t>
            </w:r>
            <w:r>
              <w:rPr>
                <w:rFonts w:ascii="宋体" w:hAnsi="宋体" w:eastAsia="宋体" w:cs="宋体"/>
                <w:sz w:val="20"/>
                <w:szCs w:val="20"/>
              </w:rPr>
              <w:t xml:space="preserve">  </w:t>
            </w:r>
            <w:r>
              <w:rPr>
                <w:rFonts w:ascii="宋体" w:hAnsi="宋体" w:eastAsia="宋体" w:cs="宋体"/>
                <w:spacing w:val="17"/>
                <w:sz w:val="20"/>
                <w:szCs w:val="20"/>
              </w:rPr>
              <w:t>(</w:t>
            </w:r>
            <w:r>
              <w:rPr>
                <w:rFonts w:ascii="Times New Roman" w:hAnsi="Times New Roman" w:eastAsia="Times New Roman" w:cs="Times New Roman"/>
                <w:sz w:val="20"/>
                <w:szCs w:val="20"/>
              </w:rPr>
              <w:t>dB</w:t>
            </w:r>
            <w:r>
              <w:rPr>
                <w:rFonts w:ascii="Times New Roman" w:hAnsi="Times New Roman" w:eastAsia="Times New Roman" w:cs="Times New Roman"/>
                <w:spacing w:val="17"/>
                <w:sz w:val="20"/>
                <w:szCs w:val="20"/>
              </w:rPr>
              <w:t xml:space="preserve">  </w:t>
            </w:r>
            <w:r>
              <w:rPr>
                <w:rFonts w:ascii="宋体" w:hAnsi="宋体" w:eastAsia="宋体" w:cs="宋体"/>
                <w:spacing w:val="17"/>
                <w:sz w:val="20"/>
                <w:szCs w:val="20"/>
              </w:rPr>
              <w:t>(</w:t>
            </w:r>
            <w:r>
              <w:rPr>
                <w:rFonts w:ascii="Times New Roman" w:hAnsi="Times New Roman" w:eastAsia="Times New Roman" w:cs="Times New Roman"/>
                <w:sz w:val="20"/>
                <w:szCs w:val="20"/>
              </w:rPr>
              <w:t>A</w:t>
            </w:r>
            <w:r>
              <w:rPr>
                <w:rFonts w:ascii="宋体" w:hAnsi="宋体" w:eastAsia="宋体" w:cs="宋体"/>
                <w:spacing w:val="17"/>
                <w:sz w:val="20"/>
                <w:szCs w:val="20"/>
              </w:rPr>
              <w:t>) )</w:t>
            </w:r>
          </w:p>
        </w:tc>
        <w:tc>
          <w:tcPr>
            <w:tcW w:w="4110" w:type="dxa"/>
            <w:gridSpan w:val="3"/>
            <w:tcBorders>
              <w:right w:val="nil"/>
            </w:tcBorders>
            <w:vAlign w:val="top"/>
          </w:tcPr>
          <w:p w14:paraId="76AB1E3F">
            <w:pPr>
              <w:spacing w:before="75" w:line="227" w:lineRule="auto"/>
              <w:ind w:left="507"/>
              <w:rPr>
                <w:rFonts w:ascii="宋体" w:hAnsi="宋体" w:eastAsia="宋体" w:cs="宋体"/>
                <w:sz w:val="20"/>
                <w:szCs w:val="20"/>
              </w:rPr>
            </w:pPr>
            <w:r>
              <w:rPr>
                <w:rFonts w:ascii="宋体" w:hAnsi="宋体" w:eastAsia="宋体" w:cs="宋体"/>
                <w:spacing w:val="7"/>
                <w:sz w:val="20"/>
                <w:szCs w:val="20"/>
              </w:rPr>
              <w:t>对应于不同限值的干扰半径 (</w:t>
            </w:r>
            <w:r>
              <w:rPr>
                <w:rFonts w:ascii="Times New Roman" w:hAnsi="Times New Roman" w:eastAsia="Times New Roman" w:cs="Times New Roman"/>
                <w:sz w:val="20"/>
                <w:szCs w:val="20"/>
              </w:rPr>
              <w:t>m</w:t>
            </w:r>
            <w:r>
              <w:rPr>
                <w:rFonts w:ascii="Times New Roman" w:hAnsi="Times New Roman" w:eastAsia="Times New Roman" w:cs="Times New Roman"/>
                <w:spacing w:val="7"/>
                <w:sz w:val="20"/>
                <w:szCs w:val="20"/>
              </w:rPr>
              <w:t xml:space="preserve"> </w:t>
            </w:r>
            <w:r>
              <w:rPr>
                <w:rFonts w:ascii="宋体" w:hAnsi="宋体" w:eastAsia="宋体" w:cs="宋体"/>
                <w:spacing w:val="6"/>
                <w:sz w:val="20"/>
                <w:szCs w:val="20"/>
              </w:rPr>
              <w:t>)</w:t>
            </w:r>
          </w:p>
        </w:tc>
      </w:tr>
      <w:tr w14:paraId="28A1A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467" w:type="dxa"/>
            <w:vMerge w:val="continue"/>
            <w:tcBorders>
              <w:top w:val="nil"/>
              <w:left w:val="nil"/>
            </w:tcBorders>
            <w:vAlign w:val="top"/>
          </w:tcPr>
          <w:p w14:paraId="50F703C6">
            <w:pPr>
              <w:rPr>
                <w:rFonts w:ascii="Arial"/>
                <w:sz w:val="21"/>
              </w:rPr>
            </w:pPr>
          </w:p>
        </w:tc>
        <w:tc>
          <w:tcPr>
            <w:tcW w:w="1950" w:type="dxa"/>
            <w:vMerge w:val="continue"/>
            <w:tcBorders>
              <w:top w:val="nil"/>
            </w:tcBorders>
            <w:vAlign w:val="top"/>
          </w:tcPr>
          <w:p w14:paraId="069E8DE6">
            <w:pPr>
              <w:rPr>
                <w:rFonts w:ascii="Arial"/>
                <w:sz w:val="21"/>
              </w:rPr>
            </w:pPr>
          </w:p>
        </w:tc>
        <w:tc>
          <w:tcPr>
            <w:tcW w:w="1371" w:type="dxa"/>
            <w:vAlign w:val="top"/>
          </w:tcPr>
          <w:p w14:paraId="499DAEF9">
            <w:pPr>
              <w:spacing w:before="99" w:line="192" w:lineRule="auto"/>
              <w:ind w:left="544"/>
              <w:rPr>
                <w:rFonts w:ascii="Times New Roman" w:hAnsi="Times New Roman" w:eastAsia="Times New Roman" w:cs="Times New Roman"/>
                <w:sz w:val="20"/>
                <w:szCs w:val="20"/>
              </w:rPr>
            </w:pPr>
            <w:r>
              <w:rPr>
                <w:rFonts w:ascii="Times New Roman" w:hAnsi="Times New Roman" w:eastAsia="Times New Roman" w:cs="Times New Roman"/>
                <w:sz w:val="20"/>
                <w:szCs w:val="20"/>
              </w:rPr>
              <w:t>r</w:t>
            </w:r>
            <w:r>
              <w:rPr>
                <w:rFonts w:ascii="Times New Roman" w:hAnsi="Times New Roman" w:eastAsia="Times New Roman" w:cs="Times New Roman"/>
                <w:spacing w:val="6"/>
                <w:sz w:val="20"/>
                <w:szCs w:val="20"/>
              </w:rPr>
              <w:t>5</w:t>
            </w:r>
            <w:r>
              <w:rPr>
                <w:rFonts w:ascii="Times New Roman" w:hAnsi="Times New Roman" w:eastAsia="Times New Roman" w:cs="Times New Roman"/>
                <w:spacing w:val="5"/>
                <w:sz w:val="20"/>
                <w:szCs w:val="20"/>
              </w:rPr>
              <w:t>5</w:t>
            </w:r>
          </w:p>
        </w:tc>
        <w:tc>
          <w:tcPr>
            <w:tcW w:w="1370" w:type="dxa"/>
            <w:vAlign w:val="top"/>
          </w:tcPr>
          <w:p w14:paraId="0418C46A">
            <w:pPr>
              <w:spacing w:before="96" w:line="195" w:lineRule="auto"/>
              <w:ind w:left="544"/>
              <w:rPr>
                <w:rFonts w:ascii="Times New Roman" w:hAnsi="Times New Roman" w:eastAsia="Times New Roman" w:cs="Times New Roman"/>
                <w:sz w:val="20"/>
                <w:szCs w:val="20"/>
              </w:rPr>
            </w:pPr>
            <w:r>
              <w:rPr>
                <w:rFonts w:ascii="Times New Roman" w:hAnsi="Times New Roman" w:eastAsia="Times New Roman" w:cs="Times New Roman"/>
                <w:sz w:val="20"/>
                <w:szCs w:val="20"/>
              </w:rPr>
              <w:t>r</w:t>
            </w:r>
            <w:r>
              <w:rPr>
                <w:rFonts w:ascii="Times New Roman" w:hAnsi="Times New Roman" w:eastAsia="Times New Roman" w:cs="Times New Roman"/>
                <w:spacing w:val="6"/>
                <w:sz w:val="20"/>
                <w:szCs w:val="20"/>
              </w:rPr>
              <w:t>6</w:t>
            </w:r>
            <w:r>
              <w:rPr>
                <w:rFonts w:ascii="Times New Roman" w:hAnsi="Times New Roman" w:eastAsia="Times New Roman" w:cs="Times New Roman"/>
                <w:spacing w:val="5"/>
                <w:sz w:val="20"/>
                <w:szCs w:val="20"/>
              </w:rPr>
              <w:t>5</w:t>
            </w:r>
          </w:p>
        </w:tc>
        <w:tc>
          <w:tcPr>
            <w:tcW w:w="1369" w:type="dxa"/>
            <w:tcBorders>
              <w:right w:val="nil"/>
            </w:tcBorders>
            <w:vAlign w:val="top"/>
          </w:tcPr>
          <w:p w14:paraId="0D5BF41A">
            <w:pPr>
              <w:spacing w:before="96" w:line="195" w:lineRule="auto"/>
              <w:ind w:left="544"/>
              <w:rPr>
                <w:rFonts w:ascii="Times New Roman" w:hAnsi="Times New Roman" w:eastAsia="Times New Roman" w:cs="Times New Roman"/>
                <w:sz w:val="20"/>
                <w:szCs w:val="20"/>
              </w:rPr>
            </w:pPr>
            <w:r>
              <w:rPr>
                <w:rFonts w:ascii="Times New Roman" w:hAnsi="Times New Roman" w:eastAsia="Times New Roman" w:cs="Times New Roman"/>
                <w:sz w:val="20"/>
                <w:szCs w:val="20"/>
              </w:rPr>
              <w:t>r</w:t>
            </w:r>
            <w:r>
              <w:rPr>
                <w:rFonts w:ascii="Times New Roman" w:hAnsi="Times New Roman" w:eastAsia="Times New Roman" w:cs="Times New Roman"/>
                <w:spacing w:val="6"/>
                <w:sz w:val="20"/>
                <w:szCs w:val="20"/>
              </w:rPr>
              <w:t>7</w:t>
            </w:r>
            <w:r>
              <w:rPr>
                <w:rFonts w:ascii="Times New Roman" w:hAnsi="Times New Roman" w:eastAsia="Times New Roman" w:cs="Times New Roman"/>
                <w:spacing w:val="5"/>
                <w:sz w:val="20"/>
                <w:szCs w:val="20"/>
              </w:rPr>
              <w:t>0</w:t>
            </w:r>
          </w:p>
        </w:tc>
      </w:tr>
      <w:tr w14:paraId="2FA1EC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2467" w:type="dxa"/>
            <w:tcBorders>
              <w:left w:val="nil"/>
            </w:tcBorders>
            <w:vAlign w:val="top"/>
          </w:tcPr>
          <w:p w14:paraId="639C46DB">
            <w:pPr>
              <w:spacing w:before="61" w:line="227" w:lineRule="auto"/>
              <w:ind w:left="926"/>
              <w:rPr>
                <w:rFonts w:ascii="宋体" w:hAnsi="宋体" w:eastAsia="宋体" w:cs="宋体"/>
                <w:sz w:val="20"/>
                <w:szCs w:val="20"/>
              </w:rPr>
            </w:pPr>
            <w:r>
              <w:rPr>
                <w:rFonts w:ascii="宋体" w:hAnsi="宋体" w:eastAsia="宋体" w:cs="宋体"/>
                <w:spacing w:val="7"/>
                <w:sz w:val="20"/>
                <w:szCs w:val="20"/>
              </w:rPr>
              <w:t>折</w:t>
            </w:r>
            <w:r>
              <w:rPr>
                <w:rFonts w:ascii="宋体" w:hAnsi="宋体" w:eastAsia="宋体" w:cs="宋体"/>
                <w:spacing w:val="6"/>
                <w:sz w:val="20"/>
                <w:szCs w:val="20"/>
              </w:rPr>
              <w:t>弯机</w:t>
            </w:r>
          </w:p>
        </w:tc>
        <w:tc>
          <w:tcPr>
            <w:tcW w:w="1950" w:type="dxa"/>
            <w:vAlign w:val="top"/>
          </w:tcPr>
          <w:p w14:paraId="2822031A">
            <w:pPr>
              <w:spacing w:before="60" w:line="231" w:lineRule="auto"/>
              <w:ind w:left="531"/>
              <w:rPr>
                <w:rFonts w:ascii="宋体" w:hAnsi="宋体" w:eastAsia="宋体" w:cs="宋体"/>
                <w:sz w:val="20"/>
                <w:szCs w:val="20"/>
              </w:rPr>
            </w:pPr>
            <w:r>
              <w:rPr>
                <w:rFonts w:ascii="Times New Roman" w:hAnsi="Times New Roman" w:eastAsia="Times New Roman" w:cs="Times New Roman"/>
                <w:spacing w:val="6"/>
                <w:sz w:val="20"/>
                <w:szCs w:val="20"/>
              </w:rPr>
              <w:t>9</w:t>
            </w:r>
            <w:r>
              <w:rPr>
                <w:rFonts w:ascii="Times New Roman" w:hAnsi="Times New Roman" w:eastAsia="Times New Roman" w:cs="Times New Roman"/>
                <w:spacing w:val="3"/>
                <w:sz w:val="20"/>
                <w:szCs w:val="20"/>
              </w:rPr>
              <w:t xml:space="preserve">0  </w:t>
            </w:r>
            <w:r>
              <w:rPr>
                <w:rFonts w:ascii="宋体" w:hAnsi="宋体" w:eastAsia="宋体" w:cs="宋体"/>
                <w:spacing w:val="3"/>
                <w:sz w:val="20"/>
                <w:szCs w:val="20"/>
              </w:rPr>
              <w:t>(</w:t>
            </w:r>
            <w:r>
              <w:rPr>
                <w:rFonts w:ascii="Times New Roman" w:hAnsi="Times New Roman" w:eastAsia="Times New Roman" w:cs="Times New Roman"/>
                <w:spacing w:val="3"/>
                <w:sz w:val="20"/>
                <w:szCs w:val="20"/>
              </w:rPr>
              <w:t>1</w:t>
            </w:r>
            <w:r>
              <w:rPr>
                <w:rFonts w:ascii="Times New Roman" w:hAnsi="Times New Roman" w:eastAsia="Times New Roman" w:cs="Times New Roman"/>
                <w:sz w:val="20"/>
                <w:szCs w:val="20"/>
              </w:rPr>
              <w:t>m</w:t>
            </w:r>
            <w:r>
              <w:rPr>
                <w:rFonts w:ascii="宋体" w:hAnsi="宋体" w:eastAsia="宋体" w:cs="宋体"/>
                <w:spacing w:val="3"/>
                <w:sz w:val="20"/>
                <w:szCs w:val="20"/>
              </w:rPr>
              <w:t>)</w:t>
            </w:r>
          </w:p>
        </w:tc>
        <w:tc>
          <w:tcPr>
            <w:tcW w:w="1371" w:type="dxa"/>
            <w:vAlign w:val="top"/>
          </w:tcPr>
          <w:p w14:paraId="670249D2">
            <w:pPr>
              <w:spacing w:before="97" w:line="195" w:lineRule="auto"/>
              <w:ind w:left="528"/>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81</w:t>
            </w:r>
          </w:p>
        </w:tc>
        <w:tc>
          <w:tcPr>
            <w:tcW w:w="1370" w:type="dxa"/>
            <w:vAlign w:val="top"/>
          </w:tcPr>
          <w:p w14:paraId="6753F48B">
            <w:pPr>
              <w:spacing w:before="106" w:line="195" w:lineRule="auto"/>
              <w:ind w:left="58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w:t>
            </w:r>
            <w:r>
              <w:rPr>
                <w:rFonts w:ascii="Times New Roman" w:hAnsi="Times New Roman" w:eastAsia="Times New Roman" w:cs="Times New Roman"/>
                <w:spacing w:val="-1"/>
                <w:sz w:val="20"/>
                <w:szCs w:val="20"/>
              </w:rPr>
              <w:t>9</w:t>
            </w:r>
          </w:p>
        </w:tc>
        <w:tc>
          <w:tcPr>
            <w:tcW w:w="1369" w:type="dxa"/>
            <w:tcBorders>
              <w:right w:val="nil"/>
            </w:tcBorders>
            <w:vAlign w:val="top"/>
          </w:tcPr>
          <w:p w14:paraId="4A583489">
            <w:pPr>
              <w:spacing w:before="106" w:line="195" w:lineRule="auto"/>
              <w:ind w:left="587"/>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r>
      <w:tr w14:paraId="2782C4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2467" w:type="dxa"/>
            <w:tcBorders>
              <w:left w:val="nil"/>
            </w:tcBorders>
            <w:vAlign w:val="top"/>
          </w:tcPr>
          <w:p w14:paraId="21860174">
            <w:pPr>
              <w:spacing w:before="62" w:line="227" w:lineRule="auto"/>
              <w:ind w:left="924"/>
              <w:rPr>
                <w:rFonts w:ascii="宋体" w:hAnsi="宋体" w:eastAsia="宋体" w:cs="宋体"/>
                <w:sz w:val="20"/>
                <w:szCs w:val="20"/>
              </w:rPr>
            </w:pPr>
            <w:r>
              <w:rPr>
                <w:rFonts w:ascii="宋体" w:hAnsi="宋体" w:eastAsia="宋体" w:cs="宋体"/>
                <w:spacing w:val="7"/>
                <w:sz w:val="20"/>
                <w:szCs w:val="20"/>
              </w:rPr>
              <w:t>挖掘机</w:t>
            </w:r>
          </w:p>
        </w:tc>
        <w:tc>
          <w:tcPr>
            <w:tcW w:w="1950" w:type="dxa"/>
            <w:vAlign w:val="top"/>
          </w:tcPr>
          <w:p w14:paraId="0FD589E6">
            <w:pPr>
              <w:spacing w:before="62" w:line="231" w:lineRule="auto"/>
              <w:ind w:left="536"/>
              <w:rPr>
                <w:rFonts w:ascii="宋体" w:hAnsi="宋体" w:eastAsia="宋体" w:cs="宋体"/>
                <w:sz w:val="20"/>
                <w:szCs w:val="20"/>
              </w:rPr>
            </w:pPr>
            <w:r>
              <w:rPr>
                <w:rFonts w:ascii="Times New Roman" w:hAnsi="Times New Roman" w:eastAsia="Times New Roman" w:cs="Times New Roman"/>
                <w:spacing w:val="3"/>
                <w:sz w:val="20"/>
                <w:szCs w:val="20"/>
              </w:rPr>
              <w:t xml:space="preserve">81  </w:t>
            </w:r>
            <w:r>
              <w:rPr>
                <w:rFonts w:ascii="宋体" w:hAnsi="宋体" w:eastAsia="宋体" w:cs="宋体"/>
                <w:spacing w:val="3"/>
                <w:sz w:val="20"/>
                <w:szCs w:val="20"/>
              </w:rPr>
              <w:t>(</w:t>
            </w:r>
            <w:r>
              <w:rPr>
                <w:rFonts w:ascii="Times New Roman" w:hAnsi="Times New Roman" w:eastAsia="Times New Roman" w:cs="Times New Roman"/>
                <w:spacing w:val="3"/>
                <w:sz w:val="20"/>
                <w:szCs w:val="20"/>
              </w:rPr>
              <w:t>5</w:t>
            </w:r>
            <w:r>
              <w:rPr>
                <w:rFonts w:ascii="Times New Roman" w:hAnsi="Times New Roman" w:eastAsia="Times New Roman" w:cs="Times New Roman"/>
                <w:sz w:val="20"/>
                <w:szCs w:val="20"/>
              </w:rPr>
              <w:t>m</w:t>
            </w:r>
            <w:r>
              <w:rPr>
                <w:rFonts w:ascii="宋体" w:hAnsi="宋体" w:eastAsia="宋体" w:cs="宋体"/>
                <w:spacing w:val="1"/>
                <w:sz w:val="20"/>
                <w:szCs w:val="20"/>
              </w:rPr>
              <w:t>)</w:t>
            </w:r>
          </w:p>
        </w:tc>
        <w:tc>
          <w:tcPr>
            <w:tcW w:w="1371" w:type="dxa"/>
            <w:vAlign w:val="top"/>
          </w:tcPr>
          <w:p w14:paraId="71AF46DD">
            <w:pPr>
              <w:spacing w:before="98" w:line="195" w:lineRule="auto"/>
              <w:ind w:left="54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100</w:t>
            </w:r>
          </w:p>
        </w:tc>
        <w:tc>
          <w:tcPr>
            <w:tcW w:w="1370" w:type="dxa"/>
            <w:vAlign w:val="top"/>
          </w:tcPr>
          <w:p w14:paraId="0C3233D2">
            <w:pPr>
              <w:spacing w:before="106" w:line="195" w:lineRule="auto"/>
              <w:ind w:left="58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2</w:t>
            </w:r>
          </w:p>
        </w:tc>
        <w:tc>
          <w:tcPr>
            <w:tcW w:w="1369" w:type="dxa"/>
            <w:tcBorders>
              <w:right w:val="nil"/>
            </w:tcBorders>
            <w:vAlign w:val="top"/>
          </w:tcPr>
          <w:p w14:paraId="0BC4D54A">
            <w:pPr>
              <w:spacing w:before="106" w:line="195" w:lineRule="auto"/>
              <w:ind w:left="60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8</w:t>
            </w:r>
          </w:p>
        </w:tc>
      </w:tr>
      <w:tr w14:paraId="1D6098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2467" w:type="dxa"/>
            <w:tcBorders>
              <w:left w:val="nil"/>
            </w:tcBorders>
            <w:vAlign w:val="top"/>
          </w:tcPr>
          <w:p w14:paraId="692487ED">
            <w:pPr>
              <w:spacing w:before="62" w:line="227" w:lineRule="auto"/>
              <w:ind w:left="949"/>
              <w:rPr>
                <w:rFonts w:ascii="宋体" w:hAnsi="宋体" w:eastAsia="宋体" w:cs="宋体"/>
                <w:sz w:val="20"/>
                <w:szCs w:val="20"/>
              </w:rPr>
            </w:pPr>
            <w:r>
              <w:rPr>
                <w:rFonts w:ascii="宋体" w:hAnsi="宋体" w:eastAsia="宋体" w:cs="宋体"/>
                <w:spacing w:val="-2"/>
                <w:sz w:val="20"/>
                <w:szCs w:val="20"/>
              </w:rPr>
              <w:t>电</w:t>
            </w:r>
            <w:r>
              <w:rPr>
                <w:rFonts w:ascii="宋体" w:hAnsi="宋体" w:eastAsia="宋体" w:cs="宋体"/>
                <w:spacing w:val="-1"/>
                <w:sz w:val="20"/>
                <w:szCs w:val="20"/>
              </w:rPr>
              <w:t>焊机</w:t>
            </w:r>
          </w:p>
        </w:tc>
        <w:tc>
          <w:tcPr>
            <w:tcW w:w="1950" w:type="dxa"/>
            <w:vAlign w:val="top"/>
          </w:tcPr>
          <w:p w14:paraId="102333B0">
            <w:pPr>
              <w:spacing w:before="61" w:line="231" w:lineRule="auto"/>
              <w:ind w:left="536"/>
              <w:rPr>
                <w:rFonts w:ascii="宋体" w:hAnsi="宋体" w:eastAsia="宋体" w:cs="宋体"/>
                <w:sz w:val="20"/>
                <w:szCs w:val="20"/>
              </w:rPr>
            </w:pPr>
            <w:r>
              <w:rPr>
                <w:rFonts w:ascii="Times New Roman" w:hAnsi="Times New Roman" w:eastAsia="Times New Roman" w:cs="Times New Roman"/>
                <w:spacing w:val="3"/>
                <w:sz w:val="20"/>
                <w:szCs w:val="20"/>
              </w:rPr>
              <w:t xml:space="preserve">86  </w:t>
            </w:r>
            <w:r>
              <w:rPr>
                <w:rFonts w:ascii="宋体" w:hAnsi="宋体" w:eastAsia="宋体" w:cs="宋体"/>
                <w:spacing w:val="3"/>
                <w:sz w:val="20"/>
                <w:szCs w:val="20"/>
              </w:rPr>
              <w:t>(</w:t>
            </w:r>
            <w:r>
              <w:rPr>
                <w:rFonts w:ascii="Times New Roman" w:hAnsi="Times New Roman" w:eastAsia="Times New Roman" w:cs="Times New Roman"/>
                <w:spacing w:val="3"/>
                <w:sz w:val="20"/>
                <w:szCs w:val="20"/>
              </w:rPr>
              <w:t>1</w:t>
            </w:r>
            <w:r>
              <w:rPr>
                <w:rFonts w:ascii="Times New Roman" w:hAnsi="Times New Roman" w:eastAsia="Times New Roman" w:cs="Times New Roman"/>
                <w:sz w:val="20"/>
                <w:szCs w:val="20"/>
              </w:rPr>
              <w:t>m</w:t>
            </w:r>
            <w:r>
              <w:rPr>
                <w:rFonts w:ascii="宋体" w:hAnsi="宋体" w:eastAsia="宋体" w:cs="宋体"/>
                <w:spacing w:val="1"/>
                <w:sz w:val="20"/>
                <w:szCs w:val="20"/>
              </w:rPr>
              <w:t>)</w:t>
            </w:r>
          </w:p>
        </w:tc>
        <w:tc>
          <w:tcPr>
            <w:tcW w:w="1371" w:type="dxa"/>
            <w:vAlign w:val="top"/>
          </w:tcPr>
          <w:p w14:paraId="3BAB335E">
            <w:pPr>
              <w:spacing w:before="98" w:line="195" w:lineRule="auto"/>
              <w:ind w:left="54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177</w:t>
            </w:r>
          </w:p>
        </w:tc>
        <w:tc>
          <w:tcPr>
            <w:tcW w:w="1370" w:type="dxa"/>
            <w:vAlign w:val="top"/>
          </w:tcPr>
          <w:p w14:paraId="4BB69BE4">
            <w:pPr>
              <w:spacing w:before="107" w:line="195" w:lineRule="auto"/>
              <w:ind w:left="586"/>
              <w:rPr>
                <w:rFonts w:ascii="Times New Roman" w:hAnsi="Times New Roman" w:eastAsia="Times New Roman" w:cs="Times New Roman"/>
                <w:sz w:val="20"/>
                <w:szCs w:val="20"/>
              </w:rPr>
            </w:pPr>
            <w:r>
              <w:rPr>
                <w:rFonts w:ascii="Times New Roman" w:hAnsi="Times New Roman" w:eastAsia="Times New Roman" w:cs="Times New Roman"/>
                <w:sz w:val="20"/>
                <w:szCs w:val="20"/>
              </w:rPr>
              <w:t>56</w:t>
            </w:r>
          </w:p>
        </w:tc>
        <w:tc>
          <w:tcPr>
            <w:tcW w:w="1369" w:type="dxa"/>
            <w:tcBorders>
              <w:right w:val="nil"/>
            </w:tcBorders>
            <w:vAlign w:val="top"/>
          </w:tcPr>
          <w:p w14:paraId="12EF6AFA">
            <w:pPr>
              <w:spacing w:before="107" w:line="195" w:lineRule="auto"/>
              <w:ind w:left="58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2</w:t>
            </w:r>
          </w:p>
        </w:tc>
      </w:tr>
      <w:tr w14:paraId="0DC524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2467" w:type="dxa"/>
            <w:tcBorders>
              <w:left w:val="nil"/>
            </w:tcBorders>
            <w:vAlign w:val="top"/>
          </w:tcPr>
          <w:p w14:paraId="77B87A89">
            <w:pPr>
              <w:spacing w:before="63" w:line="228" w:lineRule="auto"/>
              <w:ind w:left="613"/>
              <w:rPr>
                <w:rFonts w:ascii="宋体" w:hAnsi="宋体" w:eastAsia="宋体" w:cs="宋体"/>
                <w:sz w:val="20"/>
                <w:szCs w:val="20"/>
              </w:rPr>
            </w:pPr>
            <w:r>
              <w:rPr>
                <w:rFonts w:ascii="宋体" w:hAnsi="宋体" w:eastAsia="宋体" w:cs="宋体"/>
                <w:spacing w:val="8"/>
                <w:sz w:val="20"/>
                <w:szCs w:val="20"/>
              </w:rPr>
              <w:t>混凝土搅拌</w:t>
            </w:r>
            <w:r>
              <w:rPr>
                <w:rFonts w:ascii="宋体" w:hAnsi="宋体" w:eastAsia="宋体" w:cs="宋体"/>
                <w:spacing w:val="7"/>
                <w:sz w:val="20"/>
                <w:szCs w:val="20"/>
              </w:rPr>
              <w:t>车</w:t>
            </w:r>
          </w:p>
        </w:tc>
        <w:tc>
          <w:tcPr>
            <w:tcW w:w="1950" w:type="dxa"/>
            <w:vAlign w:val="top"/>
          </w:tcPr>
          <w:p w14:paraId="3D86EABE">
            <w:pPr>
              <w:spacing w:before="63" w:line="231" w:lineRule="auto"/>
              <w:ind w:left="536"/>
              <w:rPr>
                <w:rFonts w:ascii="宋体" w:hAnsi="宋体" w:eastAsia="宋体" w:cs="宋体"/>
                <w:sz w:val="20"/>
                <w:szCs w:val="20"/>
              </w:rPr>
            </w:pPr>
            <w:r>
              <w:rPr>
                <w:rFonts w:ascii="Times New Roman" w:hAnsi="Times New Roman" w:eastAsia="Times New Roman" w:cs="Times New Roman"/>
                <w:spacing w:val="3"/>
                <w:sz w:val="20"/>
                <w:szCs w:val="20"/>
              </w:rPr>
              <w:t xml:space="preserve">87  </w:t>
            </w:r>
            <w:r>
              <w:rPr>
                <w:rFonts w:ascii="宋体" w:hAnsi="宋体" w:eastAsia="宋体" w:cs="宋体"/>
                <w:spacing w:val="3"/>
                <w:sz w:val="20"/>
                <w:szCs w:val="20"/>
              </w:rPr>
              <w:t>(</w:t>
            </w:r>
            <w:r>
              <w:rPr>
                <w:rFonts w:ascii="Times New Roman" w:hAnsi="Times New Roman" w:eastAsia="Times New Roman" w:cs="Times New Roman"/>
                <w:spacing w:val="3"/>
                <w:sz w:val="20"/>
                <w:szCs w:val="20"/>
              </w:rPr>
              <w:t>3</w:t>
            </w:r>
            <w:r>
              <w:rPr>
                <w:rFonts w:ascii="Times New Roman" w:hAnsi="Times New Roman" w:eastAsia="Times New Roman" w:cs="Times New Roman"/>
                <w:sz w:val="20"/>
                <w:szCs w:val="20"/>
              </w:rPr>
              <w:t>m</w:t>
            </w:r>
            <w:r>
              <w:rPr>
                <w:rFonts w:ascii="宋体" w:hAnsi="宋体" w:eastAsia="宋体" w:cs="宋体"/>
                <w:spacing w:val="1"/>
                <w:sz w:val="20"/>
                <w:szCs w:val="20"/>
              </w:rPr>
              <w:t>)</w:t>
            </w:r>
          </w:p>
        </w:tc>
        <w:tc>
          <w:tcPr>
            <w:tcW w:w="1371" w:type="dxa"/>
            <w:vAlign w:val="top"/>
          </w:tcPr>
          <w:p w14:paraId="5154BB4E">
            <w:pPr>
              <w:spacing w:before="100" w:line="195" w:lineRule="auto"/>
              <w:ind w:left="553"/>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5"/>
                <w:sz w:val="20"/>
                <w:szCs w:val="20"/>
              </w:rPr>
              <w:t>19</w:t>
            </w:r>
          </w:p>
        </w:tc>
        <w:tc>
          <w:tcPr>
            <w:tcW w:w="1370" w:type="dxa"/>
            <w:vAlign w:val="top"/>
          </w:tcPr>
          <w:p w14:paraId="4D62195D">
            <w:pPr>
              <w:spacing w:before="109" w:line="195" w:lineRule="auto"/>
              <w:ind w:left="58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8</w:t>
            </w:r>
          </w:p>
        </w:tc>
        <w:tc>
          <w:tcPr>
            <w:tcW w:w="1369" w:type="dxa"/>
            <w:tcBorders>
              <w:right w:val="nil"/>
            </w:tcBorders>
            <w:vAlign w:val="top"/>
          </w:tcPr>
          <w:p w14:paraId="122B4F83">
            <w:pPr>
              <w:spacing w:before="109" w:line="195" w:lineRule="auto"/>
              <w:ind w:left="58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1</w:t>
            </w:r>
          </w:p>
        </w:tc>
      </w:tr>
      <w:tr w14:paraId="4C482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467" w:type="dxa"/>
            <w:tcBorders>
              <w:left w:val="nil"/>
            </w:tcBorders>
            <w:vAlign w:val="top"/>
          </w:tcPr>
          <w:p w14:paraId="118FC418">
            <w:pPr>
              <w:spacing w:before="65" w:line="227" w:lineRule="auto"/>
              <w:ind w:left="714"/>
              <w:rPr>
                <w:rFonts w:ascii="宋体" w:hAnsi="宋体" w:eastAsia="宋体" w:cs="宋体"/>
                <w:sz w:val="20"/>
                <w:szCs w:val="20"/>
              </w:rPr>
            </w:pPr>
            <w:r>
              <w:rPr>
                <w:rFonts w:ascii="宋体" w:hAnsi="宋体" w:eastAsia="宋体" w:cs="宋体"/>
                <w:spacing w:val="10"/>
                <w:sz w:val="20"/>
                <w:szCs w:val="20"/>
              </w:rPr>
              <w:t>钢</w:t>
            </w:r>
            <w:r>
              <w:rPr>
                <w:rFonts w:ascii="宋体" w:hAnsi="宋体" w:eastAsia="宋体" w:cs="宋体"/>
                <w:spacing w:val="8"/>
                <w:sz w:val="20"/>
                <w:szCs w:val="20"/>
              </w:rPr>
              <w:t>筋切断机</w:t>
            </w:r>
          </w:p>
        </w:tc>
        <w:tc>
          <w:tcPr>
            <w:tcW w:w="1950" w:type="dxa"/>
            <w:vAlign w:val="top"/>
          </w:tcPr>
          <w:p w14:paraId="51459D40">
            <w:pPr>
              <w:spacing w:before="65" w:line="231" w:lineRule="auto"/>
              <w:ind w:left="531"/>
              <w:rPr>
                <w:rFonts w:ascii="宋体" w:hAnsi="宋体" w:eastAsia="宋体" w:cs="宋体"/>
                <w:sz w:val="20"/>
                <w:szCs w:val="20"/>
              </w:rPr>
            </w:pPr>
            <w:r>
              <w:rPr>
                <w:rFonts w:ascii="Times New Roman" w:hAnsi="Times New Roman" w:eastAsia="Times New Roman" w:cs="Times New Roman"/>
                <w:spacing w:val="6"/>
                <w:sz w:val="20"/>
                <w:szCs w:val="20"/>
              </w:rPr>
              <w:t>7</w:t>
            </w:r>
            <w:r>
              <w:rPr>
                <w:rFonts w:ascii="Times New Roman" w:hAnsi="Times New Roman" w:eastAsia="Times New Roman" w:cs="Times New Roman"/>
                <w:spacing w:val="3"/>
                <w:sz w:val="20"/>
                <w:szCs w:val="20"/>
              </w:rPr>
              <w:t xml:space="preserve">7  </w:t>
            </w:r>
            <w:r>
              <w:rPr>
                <w:rFonts w:ascii="宋体" w:hAnsi="宋体" w:eastAsia="宋体" w:cs="宋体"/>
                <w:spacing w:val="3"/>
                <w:sz w:val="20"/>
                <w:szCs w:val="20"/>
              </w:rPr>
              <w:t>(</w:t>
            </w:r>
            <w:r>
              <w:rPr>
                <w:rFonts w:ascii="Times New Roman" w:hAnsi="Times New Roman" w:eastAsia="Times New Roman" w:cs="Times New Roman"/>
                <w:spacing w:val="3"/>
                <w:sz w:val="20"/>
                <w:szCs w:val="20"/>
              </w:rPr>
              <w:t>7</w:t>
            </w:r>
            <w:r>
              <w:rPr>
                <w:rFonts w:ascii="Times New Roman" w:hAnsi="Times New Roman" w:eastAsia="Times New Roman" w:cs="Times New Roman"/>
                <w:sz w:val="20"/>
                <w:szCs w:val="20"/>
              </w:rPr>
              <w:t>m</w:t>
            </w:r>
            <w:r>
              <w:rPr>
                <w:rFonts w:ascii="宋体" w:hAnsi="宋体" w:eastAsia="宋体" w:cs="宋体"/>
                <w:spacing w:val="3"/>
                <w:sz w:val="20"/>
                <w:szCs w:val="20"/>
              </w:rPr>
              <w:t>)</w:t>
            </w:r>
          </w:p>
        </w:tc>
        <w:tc>
          <w:tcPr>
            <w:tcW w:w="1371" w:type="dxa"/>
            <w:vAlign w:val="top"/>
          </w:tcPr>
          <w:p w14:paraId="2DD6F67F">
            <w:pPr>
              <w:spacing w:before="101" w:line="195" w:lineRule="auto"/>
              <w:ind w:left="59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w:t>
            </w:r>
            <w:r>
              <w:rPr>
                <w:rFonts w:ascii="Times New Roman" w:hAnsi="Times New Roman" w:eastAsia="Times New Roman" w:cs="Times New Roman"/>
                <w:spacing w:val="-1"/>
                <w:sz w:val="20"/>
                <w:szCs w:val="20"/>
              </w:rPr>
              <w:t>8</w:t>
            </w:r>
          </w:p>
        </w:tc>
        <w:tc>
          <w:tcPr>
            <w:tcW w:w="1370" w:type="dxa"/>
            <w:vAlign w:val="top"/>
          </w:tcPr>
          <w:p w14:paraId="14E2C2BE">
            <w:pPr>
              <w:spacing w:before="109" w:line="195" w:lineRule="auto"/>
              <w:ind w:left="58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8</w:t>
            </w:r>
          </w:p>
        </w:tc>
        <w:tc>
          <w:tcPr>
            <w:tcW w:w="1369" w:type="dxa"/>
            <w:tcBorders>
              <w:right w:val="nil"/>
            </w:tcBorders>
            <w:vAlign w:val="top"/>
          </w:tcPr>
          <w:p w14:paraId="27AB1DF5">
            <w:pPr>
              <w:spacing w:before="109" w:line="195" w:lineRule="auto"/>
              <w:ind w:left="60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6</w:t>
            </w:r>
          </w:p>
        </w:tc>
      </w:tr>
      <w:tr w14:paraId="313EF0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467" w:type="dxa"/>
            <w:tcBorders>
              <w:left w:val="nil"/>
            </w:tcBorders>
            <w:vAlign w:val="top"/>
          </w:tcPr>
          <w:p w14:paraId="6214962F">
            <w:pPr>
              <w:spacing w:before="64" w:line="228" w:lineRule="auto"/>
              <w:ind w:left="718"/>
              <w:rPr>
                <w:rFonts w:ascii="宋体" w:hAnsi="宋体" w:eastAsia="宋体" w:cs="宋体"/>
                <w:sz w:val="20"/>
                <w:szCs w:val="20"/>
              </w:rPr>
            </w:pPr>
            <w:r>
              <w:rPr>
                <w:rFonts w:ascii="宋体" w:hAnsi="宋体" w:eastAsia="宋体" w:cs="宋体"/>
                <w:spacing w:val="10"/>
                <w:sz w:val="20"/>
                <w:szCs w:val="20"/>
              </w:rPr>
              <w:t>混</w:t>
            </w:r>
            <w:r>
              <w:rPr>
                <w:rFonts w:ascii="宋体" w:hAnsi="宋体" w:eastAsia="宋体" w:cs="宋体"/>
                <w:spacing w:val="7"/>
                <w:sz w:val="20"/>
                <w:szCs w:val="20"/>
              </w:rPr>
              <w:t>凝土泵车</w:t>
            </w:r>
          </w:p>
        </w:tc>
        <w:tc>
          <w:tcPr>
            <w:tcW w:w="1950" w:type="dxa"/>
            <w:vAlign w:val="top"/>
          </w:tcPr>
          <w:p w14:paraId="1900F4BC">
            <w:pPr>
              <w:spacing w:before="63" w:line="231" w:lineRule="auto"/>
              <w:ind w:left="536"/>
              <w:rPr>
                <w:rFonts w:ascii="宋体" w:hAnsi="宋体" w:eastAsia="宋体" w:cs="宋体"/>
                <w:sz w:val="20"/>
                <w:szCs w:val="20"/>
              </w:rPr>
            </w:pPr>
            <w:r>
              <w:rPr>
                <w:rFonts w:ascii="Times New Roman" w:hAnsi="Times New Roman" w:eastAsia="Times New Roman" w:cs="Times New Roman"/>
                <w:spacing w:val="3"/>
                <w:sz w:val="20"/>
                <w:szCs w:val="20"/>
              </w:rPr>
              <w:t xml:space="preserve">85  </w:t>
            </w:r>
            <w:r>
              <w:rPr>
                <w:rFonts w:ascii="宋体" w:hAnsi="宋体" w:eastAsia="宋体" w:cs="宋体"/>
                <w:spacing w:val="3"/>
                <w:sz w:val="20"/>
                <w:szCs w:val="20"/>
              </w:rPr>
              <w:t>(</w:t>
            </w:r>
            <w:r>
              <w:rPr>
                <w:rFonts w:ascii="Times New Roman" w:hAnsi="Times New Roman" w:eastAsia="Times New Roman" w:cs="Times New Roman"/>
                <w:spacing w:val="3"/>
                <w:sz w:val="20"/>
                <w:szCs w:val="20"/>
              </w:rPr>
              <w:t>5</w:t>
            </w:r>
            <w:r>
              <w:rPr>
                <w:rFonts w:ascii="Times New Roman" w:hAnsi="Times New Roman" w:eastAsia="Times New Roman" w:cs="Times New Roman"/>
                <w:sz w:val="20"/>
                <w:szCs w:val="20"/>
              </w:rPr>
              <w:t>m</w:t>
            </w:r>
            <w:r>
              <w:rPr>
                <w:rFonts w:ascii="宋体" w:hAnsi="宋体" w:eastAsia="宋体" w:cs="宋体"/>
                <w:spacing w:val="1"/>
                <w:sz w:val="20"/>
                <w:szCs w:val="20"/>
              </w:rPr>
              <w:t>)</w:t>
            </w:r>
          </w:p>
        </w:tc>
        <w:tc>
          <w:tcPr>
            <w:tcW w:w="1371" w:type="dxa"/>
            <w:vAlign w:val="top"/>
          </w:tcPr>
          <w:p w14:paraId="4AC3075C">
            <w:pPr>
              <w:spacing w:before="100" w:line="195" w:lineRule="auto"/>
              <w:ind w:left="54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158</w:t>
            </w:r>
          </w:p>
        </w:tc>
        <w:tc>
          <w:tcPr>
            <w:tcW w:w="1370" w:type="dxa"/>
            <w:vAlign w:val="top"/>
          </w:tcPr>
          <w:p w14:paraId="76B0F20D">
            <w:pPr>
              <w:spacing w:before="109" w:line="195" w:lineRule="auto"/>
              <w:ind w:left="586"/>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c>
          <w:tcPr>
            <w:tcW w:w="1369" w:type="dxa"/>
            <w:tcBorders>
              <w:right w:val="nil"/>
            </w:tcBorders>
            <w:vAlign w:val="top"/>
          </w:tcPr>
          <w:p w14:paraId="717FE492">
            <w:pPr>
              <w:spacing w:before="109" w:line="195" w:lineRule="auto"/>
              <w:ind w:left="58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8</w:t>
            </w:r>
          </w:p>
        </w:tc>
      </w:tr>
      <w:tr w14:paraId="043641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467" w:type="dxa"/>
            <w:tcBorders>
              <w:left w:val="nil"/>
            </w:tcBorders>
            <w:vAlign w:val="top"/>
          </w:tcPr>
          <w:p w14:paraId="50B97BA1">
            <w:pPr>
              <w:spacing w:before="65" w:line="228" w:lineRule="auto"/>
              <w:ind w:left="925"/>
              <w:rPr>
                <w:rFonts w:ascii="宋体" w:hAnsi="宋体" w:eastAsia="宋体" w:cs="宋体"/>
                <w:sz w:val="20"/>
                <w:szCs w:val="20"/>
              </w:rPr>
            </w:pPr>
            <w:r>
              <w:rPr>
                <w:rFonts w:ascii="宋体" w:hAnsi="宋体" w:eastAsia="宋体" w:cs="宋体"/>
                <w:spacing w:val="7"/>
                <w:sz w:val="20"/>
                <w:szCs w:val="20"/>
              </w:rPr>
              <w:t>木</w:t>
            </w:r>
            <w:r>
              <w:rPr>
                <w:rFonts w:ascii="宋体" w:hAnsi="宋体" w:eastAsia="宋体" w:cs="宋体"/>
                <w:spacing w:val="6"/>
                <w:sz w:val="20"/>
                <w:szCs w:val="20"/>
              </w:rPr>
              <w:t>工刨</w:t>
            </w:r>
          </w:p>
        </w:tc>
        <w:tc>
          <w:tcPr>
            <w:tcW w:w="1950" w:type="dxa"/>
            <w:vAlign w:val="top"/>
          </w:tcPr>
          <w:p w14:paraId="4FB8B9BD">
            <w:pPr>
              <w:spacing w:before="64" w:line="231" w:lineRule="auto"/>
              <w:ind w:left="536"/>
              <w:rPr>
                <w:rFonts w:ascii="宋体" w:hAnsi="宋体" w:eastAsia="宋体" w:cs="宋体"/>
                <w:sz w:val="20"/>
                <w:szCs w:val="20"/>
              </w:rPr>
            </w:pPr>
            <w:r>
              <w:rPr>
                <w:rFonts w:ascii="Times New Roman" w:hAnsi="Times New Roman" w:eastAsia="Times New Roman" w:cs="Times New Roman"/>
                <w:spacing w:val="3"/>
                <w:sz w:val="20"/>
                <w:szCs w:val="20"/>
              </w:rPr>
              <w:t xml:space="preserve">87  </w:t>
            </w:r>
            <w:r>
              <w:rPr>
                <w:rFonts w:ascii="宋体" w:hAnsi="宋体" w:eastAsia="宋体" w:cs="宋体"/>
                <w:spacing w:val="3"/>
                <w:sz w:val="20"/>
                <w:szCs w:val="20"/>
              </w:rPr>
              <w:t>(</w:t>
            </w:r>
            <w:r>
              <w:rPr>
                <w:rFonts w:ascii="Times New Roman" w:hAnsi="Times New Roman" w:eastAsia="Times New Roman" w:cs="Times New Roman"/>
                <w:spacing w:val="3"/>
                <w:sz w:val="20"/>
                <w:szCs w:val="20"/>
              </w:rPr>
              <w:t>1</w:t>
            </w:r>
            <w:r>
              <w:rPr>
                <w:rFonts w:ascii="Times New Roman" w:hAnsi="Times New Roman" w:eastAsia="Times New Roman" w:cs="Times New Roman"/>
                <w:sz w:val="20"/>
                <w:szCs w:val="20"/>
              </w:rPr>
              <w:t>m</w:t>
            </w:r>
            <w:r>
              <w:rPr>
                <w:rFonts w:ascii="宋体" w:hAnsi="宋体" w:eastAsia="宋体" w:cs="宋体"/>
                <w:spacing w:val="1"/>
                <w:sz w:val="20"/>
                <w:szCs w:val="20"/>
              </w:rPr>
              <w:t>)</w:t>
            </w:r>
          </w:p>
        </w:tc>
        <w:tc>
          <w:tcPr>
            <w:tcW w:w="1371" w:type="dxa"/>
            <w:vAlign w:val="top"/>
          </w:tcPr>
          <w:p w14:paraId="73B8E301">
            <w:pPr>
              <w:spacing w:before="101" w:line="195" w:lineRule="auto"/>
              <w:ind w:left="553"/>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5"/>
                <w:sz w:val="20"/>
                <w:szCs w:val="20"/>
              </w:rPr>
              <w:t>19</w:t>
            </w:r>
          </w:p>
        </w:tc>
        <w:tc>
          <w:tcPr>
            <w:tcW w:w="1370" w:type="dxa"/>
            <w:vAlign w:val="top"/>
          </w:tcPr>
          <w:p w14:paraId="4C81734C">
            <w:pPr>
              <w:spacing w:before="110" w:line="195" w:lineRule="auto"/>
              <w:ind w:left="58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8</w:t>
            </w:r>
          </w:p>
        </w:tc>
        <w:tc>
          <w:tcPr>
            <w:tcW w:w="1369" w:type="dxa"/>
            <w:tcBorders>
              <w:right w:val="nil"/>
            </w:tcBorders>
            <w:vAlign w:val="top"/>
          </w:tcPr>
          <w:p w14:paraId="4F874E2D">
            <w:pPr>
              <w:spacing w:before="110" w:line="195" w:lineRule="auto"/>
              <w:ind w:left="58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1</w:t>
            </w:r>
          </w:p>
        </w:tc>
      </w:tr>
      <w:tr w14:paraId="554D39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2467" w:type="dxa"/>
            <w:tcBorders>
              <w:left w:val="nil"/>
            </w:tcBorders>
            <w:vAlign w:val="top"/>
          </w:tcPr>
          <w:p w14:paraId="789A032F">
            <w:pPr>
              <w:spacing w:before="65" w:line="230" w:lineRule="auto"/>
              <w:ind w:left="1055"/>
              <w:rPr>
                <w:rFonts w:ascii="宋体" w:hAnsi="宋体" w:eastAsia="宋体" w:cs="宋体"/>
                <w:sz w:val="20"/>
                <w:szCs w:val="20"/>
              </w:rPr>
            </w:pPr>
            <w:r>
              <w:rPr>
                <w:rFonts w:ascii="宋体" w:hAnsi="宋体" w:eastAsia="宋体" w:cs="宋体"/>
                <w:spacing w:val="-8"/>
                <w:sz w:val="20"/>
                <w:szCs w:val="20"/>
              </w:rPr>
              <w:t>电</w:t>
            </w:r>
            <w:r>
              <w:rPr>
                <w:rFonts w:ascii="宋体" w:hAnsi="宋体" w:eastAsia="宋体" w:cs="宋体"/>
                <w:spacing w:val="-7"/>
                <w:sz w:val="20"/>
                <w:szCs w:val="20"/>
              </w:rPr>
              <w:t>锯</w:t>
            </w:r>
          </w:p>
        </w:tc>
        <w:tc>
          <w:tcPr>
            <w:tcW w:w="1950" w:type="dxa"/>
            <w:vAlign w:val="top"/>
          </w:tcPr>
          <w:p w14:paraId="11BF1ECB">
            <w:pPr>
              <w:spacing w:before="65" w:line="231" w:lineRule="auto"/>
              <w:ind w:left="494"/>
              <w:rPr>
                <w:rFonts w:ascii="宋体" w:hAnsi="宋体" w:eastAsia="宋体" w:cs="宋体"/>
                <w:sz w:val="20"/>
                <w:szCs w:val="20"/>
              </w:rPr>
            </w:pPr>
            <w:r>
              <w:rPr>
                <w:rFonts w:ascii="Times New Roman" w:hAnsi="Times New Roman" w:eastAsia="Times New Roman" w:cs="Times New Roman"/>
                <w:spacing w:val="2"/>
                <w:sz w:val="20"/>
                <w:szCs w:val="20"/>
              </w:rPr>
              <w:t xml:space="preserve">103  </w:t>
            </w:r>
            <w:r>
              <w:rPr>
                <w:rFonts w:ascii="宋体" w:hAnsi="宋体" w:eastAsia="宋体" w:cs="宋体"/>
                <w:spacing w:val="1"/>
                <w:sz w:val="20"/>
                <w:szCs w:val="20"/>
              </w:rPr>
              <w:t>(</w:t>
            </w:r>
            <w:r>
              <w:rPr>
                <w:rFonts w:ascii="Times New Roman" w:hAnsi="Times New Roman" w:eastAsia="Times New Roman" w:cs="Times New Roman"/>
                <w:spacing w:val="1"/>
                <w:sz w:val="20"/>
                <w:szCs w:val="20"/>
              </w:rPr>
              <w:t>1</w:t>
            </w:r>
            <w:r>
              <w:rPr>
                <w:rFonts w:ascii="Times New Roman" w:hAnsi="Times New Roman" w:eastAsia="Times New Roman" w:cs="Times New Roman"/>
                <w:sz w:val="20"/>
                <w:szCs w:val="20"/>
              </w:rPr>
              <w:t>m</w:t>
            </w:r>
            <w:r>
              <w:rPr>
                <w:rFonts w:ascii="宋体" w:hAnsi="宋体" w:eastAsia="宋体" w:cs="宋体"/>
                <w:spacing w:val="1"/>
                <w:sz w:val="20"/>
                <w:szCs w:val="20"/>
              </w:rPr>
              <w:t>)</w:t>
            </w:r>
          </w:p>
        </w:tc>
        <w:tc>
          <w:tcPr>
            <w:tcW w:w="1371" w:type="dxa"/>
            <w:vAlign w:val="top"/>
          </w:tcPr>
          <w:p w14:paraId="00BB482E">
            <w:pPr>
              <w:spacing w:before="101" w:line="195" w:lineRule="auto"/>
              <w:ind w:left="528"/>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51</w:t>
            </w:r>
          </w:p>
        </w:tc>
        <w:tc>
          <w:tcPr>
            <w:tcW w:w="1370" w:type="dxa"/>
            <w:vAlign w:val="top"/>
          </w:tcPr>
          <w:p w14:paraId="0416E7DD">
            <w:pPr>
              <w:spacing w:before="109" w:line="195" w:lineRule="auto"/>
              <w:ind w:left="58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79</w:t>
            </w:r>
          </w:p>
        </w:tc>
        <w:tc>
          <w:tcPr>
            <w:tcW w:w="1369" w:type="dxa"/>
            <w:tcBorders>
              <w:right w:val="nil"/>
            </w:tcBorders>
            <w:vAlign w:val="top"/>
          </w:tcPr>
          <w:p w14:paraId="35B14140">
            <w:pPr>
              <w:spacing w:before="109" w:line="195" w:lineRule="auto"/>
              <w:ind w:left="58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w:t>
            </w:r>
          </w:p>
        </w:tc>
      </w:tr>
    </w:tbl>
    <w:p w14:paraId="3143BE91">
      <w:pPr>
        <w:spacing w:before="53" w:line="232" w:lineRule="auto"/>
        <w:ind w:left="116"/>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注：表中为每种设备单台作业时的数据，多台时会有所变化。</w:t>
      </w:r>
    </w:p>
    <w:p w14:paraId="31D796E9">
      <w:pPr>
        <w:sectPr>
          <w:headerReference r:id="rId200" w:type="default"/>
          <w:footerReference r:id="rId201" w:type="default"/>
          <w:pgSz w:w="11906" w:h="16839"/>
          <w:pgMar w:top="1132" w:right="1685" w:bottom="1182" w:left="1691" w:header="878" w:footer="1022" w:gutter="0"/>
          <w:cols w:space="720" w:num="1"/>
        </w:sectPr>
      </w:pPr>
    </w:p>
    <w:p w14:paraId="1C80EB08">
      <w:pPr>
        <w:spacing w:line="410" w:lineRule="auto"/>
        <w:rPr>
          <w:rFonts w:ascii="Arial"/>
          <w:sz w:val="21"/>
        </w:rPr>
      </w:pPr>
      <w:r>
        <w:pict>
          <v:shape id="_x0000_s1239" o:spid="_x0000_s1239" style="position:absolute;left:0pt;margin-left:90pt;margin-top:57.35pt;height:0.75pt;width:415.3pt;mso-position-horizontal-relative:page;mso-position-vertical-relative:page;z-index:251912192;mso-width-relative:page;mso-height-relative:page;" fillcolor="#000000" filled="t" stroked="f" coordsize="8305,15" o:allowincell="f" path="m0,0l8305,0,8305,14,0,14,0,0xe">
            <v:path/>
            <v:fill on="t" focussize="0,0"/>
            <v:stroke on="f"/>
            <v:imagedata o:title=""/>
            <o:lock v:ext="edit"/>
          </v:shape>
        </w:pict>
      </w:r>
    </w:p>
    <w:p w14:paraId="5B8BEA0D">
      <w:pPr>
        <w:spacing w:before="75" w:line="386" w:lineRule="auto"/>
        <w:ind w:left="24" w:firstLine="480"/>
        <w:rPr>
          <w:rFonts w:ascii="宋体" w:hAnsi="宋体" w:eastAsia="宋体" w:cs="宋体"/>
          <w:sz w:val="23"/>
          <w:szCs w:val="23"/>
        </w:rPr>
      </w:pPr>
      <w:r>
        <w:rPr>
          <w:rFonts w:ascii="宋体" w:hAnsi="宋体" w:eastAsia="宋体" w:cs="宋体"/>
          <w:spacing w:val="10"/>
          <w:sz w:val="23"/>
          <w:szCs w:val="23"/>
        </w:rPr>
        <w:t>本项目厂</w:t>
      </w:r>
      <w:r>
        <w:rPr>
          <w:rFonts w:ascii="宋体" w:hAnsi="宋体" w:eastAsia="宋体" w:cs="宋体"/>
          <w:spacing w:val="9"/>
          <w:sz w:val="23"/>
          <w:szCs w:val="23"/>
        </w:rPr>
        <w:t>界</w:t>
      </w:r>
      <w:r>
        <w:rPr>
          <w:rFonts w:ascii="宋体" w:hAnsi="宋体" w:eastAsia="宋体" w:cs="宋体"/>
          <w:spacing w:val="5"/>
          <w:sz w:val="23"/>
          <w:szCs w:val="23"/>
        </w:rPr>
        <w:t>噪声执行《建筑施工场界环境噪声排放标准》 (</w:t>
      </w:r>
      <w:r>
        <w:rPr>
          <w:rFonts w:ascii="Times New Roman" w:hAnsi="Times New Roman" w:eastAsia="Times New Roman" w:cs="Times New Roman"/>
          <w:sz w:val="23"/>
          <w:szCs w:val="23"/>
        </w:rPr>
        <w:t>GB</w:t>
      </w:r>
      <w:r>
        <w:rPr>
          <w:rFonts w:ascii="Times New Roman" w:hAnsi="Times New Roman" w:eastAsia="Times New Roman" w:cs="Times New Roman"/>
          <w:spacing w:val="5"/>
          <w:sz w:val="23"/>
          <w:szCs w:val="23"/>
        </w:rPr>
        <w:t xml:space="preserve"> 12523-2011</w:t>
      </w:r>
      <w:r>
        <w:rPr>
          <w:rFonts w:ascii="宋体" w:hAnsi="宋体" w:eastAsia="宋体" w:cs="宋体"/>
          <w:spacing w:val="5"/>
          <w:sz w:val="23"/>
          <w:szCs w:val="23"/>
        </w:rPr>
        <w:t>)</w:t>
      </w:r>
      <w:r>
        <w:rPr>
          <w:rFonts w:ascii="宋体" w:hAnsi="宋体" w:eastAsia="宋体" w:cs="宋体"/>
          <w:sz w:val="23"/>
          <w:szCs w:val="23"/>
        </w:rPr>
        <w:t xml:space="preserve"> </w:t>
      </w:r>
      <w:r>
        <w:rPr>
          <w:rFonts w:ascii="宋体" w:hAnsi="宋体" w:eastAsia="宋体" w:cs="宋体"/>
          <w:spacing w:val="1"/>
          <w:sz w:val="23"/>
          <w:szCs w:val="23"/>
        </w:rPr>
        <w:t xml:space="preserve">标准中昼间 </w:t>
      </w:r>
      <w:r>
        <w:rPr>
          <w:rFonts w:ascii="Times New Roman" w:hAnsi="Times New Roman" w:eastAsia="Times New Roman" w:cs="Times New Roman"/>
          <w:spacing w:val="1"/>
          <w:sz w:val="23"/>
          <w:szCs w:val="23"/>
        </w:rPr>
        <w:t>70</w:t>
      </w:r>
      <w:r>
        <w:rPr>
          <w:rFonts w:ascii="Times New Roman" w:hAnsi="Times New Roman" w:eastAsia="Times New Roman" w:cs="Times New Roman"/>
          <w:sz w:val="23"/>
          <w:szCs w:val="23"/>
        </w:rPr>
        <w:t>dB</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 xml:space="preserve">，夜间 </w:t>
      </w:r>
      <w:r>
        <w:rPr>
          <w:rFonts w:ascii="Times New Roman" w:hAnsi="Times New Roman" w:eastAsia="Times New Roman" w:cs="Times New Roman"/>
          <w:spacing w:val="1"/>
          <w:sz w:val="23"/>
          <w:szCs w:val="23"/>
        </w:rPr>
        <w:t>55</w:t>
      </w:r>
      <w:r>
        <w:rPr>
          <w:rFonts w:ascii="Times New Roman" w:hAnsi="Times New Roman" w:eastAsia="Times New Roman" w:cs="Times New Roman"/>
          <w:sz w:val="23"/>
          <w:szCs w:val="23"/>
        </w:rPr>
        <w:t>dB</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 xml:space="preserve">，从表 </w:t>
      </w:r>
      <w:r>
        <w:rPr>
          <w:rFonts w:ascii="Times New Roman" w:hAnsi="Times New Roman" w:eastAsia="Times New Roman" w:cs="Times New Roman"/>
          <w:spacing w:val="1"/>
          <w:sz w:val="23"/>
          <w:szCs w:val="23"/>
        </w:rPr>
        <w:t xml:space="preserve">5-3 </w:t>
      </w:r>
      <w:r>
        <w:rPr>
          <w:rFonts w:ascii="宋体" w:hAnsi="宋体" w:eastAsia="宋体" w:cs="宋体"/>
          <w:spacing w:val="1"/>
          <w:sz w:val="23"/>
          <w:szCs w:val="23"/>
        </w:rPr>
        <w:t>中可以看出，施工设备在</w:t>
      </w:r>
      <w:r>
        <w:rPr>
          <w:rFonts w:ascii="宋体" w:hAnsi="宋体" w:eastAsia="宋体" w:cs="宋体"/>
          <w:sz w:val="23"/>
          <w:szCs w:val="23"/>
        </w:rPr>
        <w:t xml:space="preserve">距周边场界距 </w:t>
      </w:r>
      <w:r>
        <w:rPr>
          <w:rFonts w:ascii="宋体" w:hAnsi="宋体" w:eastAsia="宋体" w:cs="宋体"/>
          <w:spacing w:val="8"/>
          <w:sz w:val="23"/>
          <w:szCs w:val="23"/>
        </w:rPr>
        <w:t xml:space="preserve">离为 </w:t>
      </w:r>
      <w:r>
        <w:rPr>
          <w:rFonts w:ascii="Times New Roman" w:hAnsi="Times New Roman" w:eastAsia="Times New Roman" w:cs="Times New Roman"/>
          <w:spacing w:val="8"/>
          <w:sz w:val="23"/>
          <w:szCs w:val="23"/>
        </w:rPr>
        <w:t>12</w:t>
      </w:r>
      <w:r>
        <w:rPr>
          <w:rFonts w:ascii="Times New Roman" w:hAnsi="Times New Roman" w:eastAsia="Times New Roman" w:cs="Times New Roman"/>
          <w:sz w:val="23"/>
          <w:szCs w:val="23"/>
        </w:rPr>
        <w:t>m</w:t>
      </w:r>
      <w:r>
        <w:rPr>
          <w:rFonts w:ascii="宋体" w:hAnsi="宋体" w:eastAsia="宋体" w:cs="宋体"/>
          <w:spacing w:val="8"/>
          <w:sz w:val="23"/>
          <w:szCs w:val="23"/>
        </w:rPr>
        <w:t>~</w:t>
      </w:r>
      <w:r>
        <w:rPr>
          <w:rFonts w:ascii="Times New Roman" w:hAnsi="Times New Roman" w:eastAsia="Times New Roman" w:cs="Times New Roman"/>
          <w:spacing w:val="8"/>
          <w:sz w:val="23"/>
          <w:szCs w:val="23"/>
        </w:rPr>
        <w:t>50</w:t>
      </w:r>
      <w:r>
        <w:rPr>
          <w:rFonts w:ascii="Times New Roman" w:hAnsi="Times New Roman" w:eastAsia="Times New Roman" w:cs="Times New Roman"/>
          <w:sz w:val="23"/>
          <w:szCs w:val="23"/>
        </w:rPr>
        <w:t>m</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以外的范围作业时，昼间场界噪声可以达标；夜间场界噪声达</w:t>
      </w:r>
      <w:r>
        <w:rPr>
          <w:rFonts w:ascii="宋体" w:hAnsi="宋体" w:eastAsia="宋体" w:cs="宋体"/>
          <w:spacing w:val="2"/>
          <w:sz w:val="23"/>
          <w:szCs w:val="23"/>
        </w:rPr>
        <w:t>标</w:t>
      </w:r>
      <w:r>
        <w:rPr>
          <w:rFonts w:ascii="宋体" w:hAnsi="宋体" w:eastAsia="宋体" w:cs="宋体"/>
          <w:sz w:val="23"/>
          <w:szCs w:val="23"/>
        </w:rPr>
        <w:t xml:space="preserve"> </w:t>
      </w:r>
      <w:r>
        <w:rPr>
          <w:rFonts w:ascii="宋体" w:hAnsi="宋体" w:eastAsia="宋体" w:cs="宋体"/>
          <w:spacing w:val="11"/>
          <w:sz w:val="23"/>
          <w:szCs w:val="23"/>
        </w:rPr>
        <w:t xml:space="preserve">则需要施工设备在距周边场界距离 </w:t>
      </w:r>
      <w:r>
        <w:rPr>
          <w:rFonts w:ascii="Times New Roman" w:hAnsi="Times New Roman" w:eastAsia="Times New Roman" w:cs="Times New Roman"/>
          <w:spacing w:val="11"/>
          <w:sz w:val="23"/>
          <w:szCs w:val="23"/>
        </w:rPr>
        <w:t>67</w:t>
      </w:r>
      <w:r>
        <w:rPr>
          <w:rFonts w:ascii="Times New Roman" w:hAnsi="Times New Roman" w:eastAsia="Times New Roman" w:cs="Times New Roman"/>
          <w:sz w:val="23"/>
          <w:szCs w:val="23"/>
        </w:rPr>
        <w:t>m</w:t>
      </w:r>
      <w:r>
        <w:rPr>
          <w:rFonts w:ascii="宋体" w:hAnsi="宋体" w:eastAsia="宋体" w:cs="宋体"/>
          <w:spacing w:val="11"/>
          <w:sz w:val="23"/>
          <w:szCs w:val="23"/>
        </w:rPr>
        <w:t>~</w:t>
      </w:r>
      <w:r>
        <w:rPr>
          <w:rFonts w:ascii="Times New Roman" w:hAnsi="Times New Roman" w:eastAsia="Times New Roman" w:cs="Times New Roman"/>
          <w:spacing w:val="11"/>
          <w:sz w:val="23"/>
          <w:szCs w:val="23"/>
        </w:rPr>
        <w:t>281</w:t>
      </w:r>
      <w:r>
        <w:rPr>
          <w:rFonts w:ascii="Times New Roman" w:hAnsi="Times New Roman" w:eastAsia="Times New Roman" w:cs="Times New Roman"/>
          <w:sz w:val="23"/>
          <w:szCs w:val="23"/>
        </w:rPr>
        <w:t>m</w:t>
      </w:r>
      <w:r>
        <w:rPr>
          <w:rFonts w:ascii="Times New Roman" w:hAnsi="Times New Roman" w:eastAsia="Times New Roman" w:cs="Times New Roman"/>
          <w:spacing w:val="11"/>
          <w:sz w:val="23"/>
          <w:szCs w:val="23"/>
        </w:rPr>
        <w:t xml:space="preserve"> </w:t>
      </w:r>
      <w:r>
        <w:rPr>
          <w:rFonts w:ascii="宋体" w:hAnsi="宋体" w:eastAsia="宋体" w:cs="宋体"/>
          <w:spacing w:val="11"/>
          <w:sz w:val="23"/>
          <w:szCs w:val="23"/>
        </w:rPr>
        <w:t>以外范围。本项目施工厂界为</w:t>
      </w:r>
      <w:r>
        <w:rPr>
          <w:rFonts w:ascii="宋体" w:hAnsi="宋体" w:eastAsia="宋体" w:cs="宋体"/>
          <w:spacing w:val="9"/>
          <w:sz w:val="23"/>
          <w:szCs w:val="23"/>
        </w:rPr>
        <w:t>长</w:t>
      </w:r>
      <w:r>
        <w:rPr>
          <w:rFonts w:ascii="宋体" w:hAnsi="宋体" w:eastAsia="宋体" w:cs="宋体"/>
          <w:sz w:val="23"/>
          <w:szCs w:val="23"/>
        </w:rPr>
        <w:t xml:space="preserve"> </w:t>
      </w:r>
      <w:r>
        <w:rPr>
          <w:rFonts w:ascii="宋体" w:hAnsi="宋体" w:eastAsia="宋体" w:cs="宋体"/>
          <w:spacing w:val="1"/>
          <w:sz w:val="23"/>
          <w:szCs w:val="23"/>
        </w:rPr>
        <w:t>方形区</w:t>
      </w:r>
      <w:r>
        <w:rPr>
          <w:rFonts w:ascii="宋体" w:hAnsi="宋体" w:eastAsia="宋体" w:cs="宋体"/>
          <w:sz w:val="23"/>
          <w:szCs w:val="23"/>
        </w:rPr>
        <w:t xml:space="preserve">域，南北长约 </w:t>
      </w:r>
      <w:r>
        <w:rPr>
          <w:rFonts w:ascii="Times New Roman" w:hAnsi="Times New Roman" w:eastAsia="Times New Roman" w:cs="Times New Roman"/>
          <w:sz w:val="23"/>
          <w:szCs w:val="23"/>
        </w:rPr>
        <w:t xml:space="preserve">217m </w:t>
      </w:r>
      <w:r>
        <w:rPr>
          <w:rFonts w:ascii="宋体" w:hAnsi="宋体" w:eastAsia="宋体" w:cs="宋体"/>
          <w:sz w:val="23"/>
          <w:szCs w:val="23"/>
        </w:rPr>
        <w:t xml:space="preserve">，东西宽约 </w:t>
      </w:r>
      <w:r>
        <w:rPr>
          <w:rFonts w:ascii="Times New Roman" w:hAnsi="Times New Roman" w:eastAsia="Times New Roman" w:cs="Times New Roman"/>
          <w:sz w:val="23"/>
          <w:szCs w:val="23"/>
        </w:rPr>
        <w:t xml:space="preserve">149m </w:t>
      </w:r>
      <w:r>
        <w:rPr>
          <w:rFonts w:ascii="宋体" w:hAnsi="宋体" w:eastAsia="宋体" w:cs="宋体"/>
          <w:sz w:val="23"/>
          <w:szCs w:val="23"/>
        </w:rPr>
        <w:t xml:space="preserve">。由于施工设备位置不固定，流动性 </w:t>
      </w:r>
      <w:r>
        <w:rPr>
          <w:rFonts w:ascii="宋体" w:hAnsi="宋体" w:eastAsia="宋体" w:cs="宋体"/>
          <w:spacing w:val="8"/>
          <w:sz w:val="23"/>
          <w:szCs w:val="23"/>
        </w:rPr>
        <w:t>强</w:t>
      </w:r>
      <w:r>
        <w:rPr>
          <w:rFonts w:ascii="宋体" w:hAnsi="宋体" w:eastAsia="宋体" w:cs="宋体"/>
          <w:spacing w:val="7"/>
          <w:sz w:val="23"/>
          <w:szCs w:val="23"/>
        </w:rPr>
        <w:t>，对比达标要求与场地大小分析，并结合实际考虑，项目施工场界噪声昼夜均</w:t>
      </w:r>
      <w:r>
        <w:rPr>
          <w:rFonts w:ascii="宋体" w:hAnsi="宋体" w:eastAsia="宋体" w:cs="宋体"/>
          <w:sz w:val="23"/>
          <w:szCs w:val="23"/>
        </w:rPr>
        <w:t xml:space="preserve"> </w:t>
      </w:r>
      <w:r>
        <w:rPr>
          <w:rFonts w:ascii="宋体" w:hAnsi="宋体" w:eastAsia="宋体" w:cs="宋体"/>
          <w:spacing w:val="9"/>
          <w:sz w:val="23"/>
          <w:szCs w:val="23"/>
        </w:rPr>
        <w:t>有不同程度的超标，但尤以夜间为重</w:t>
      </w:r>
      <w:r>
        <w:rPr>
          <w:rFonts w:ascii="宋体" w:hAnsi="宋体" w:eastAsia="宋体" w:cs="宋体"/>
          <w:spacing w:val="5"/>
          <w:sz w:val="23"/>
          <w:szCs w:val="23"/>
        </w:rPr>
        <w:t>。</w:t>
      </w:r>
    </w:p>
    <w:p w14:paraId="70BEDF09">
      <w:pPr>
        <w:spacing w:before="147" w:line="381" w:lineRule="auto"/>
        <w:ind w:left="22" w:right="101" w:firstLine="480"/>
        <w:rPr>
          <w:rFonts w:ascii="宋体" w:hAnsi="宋体" w:eastAsia="宋体" w:cs="宋体"/>
          <w:sz w:val="23"/>
          <w:szCs w:val="23"/>
        </w:rPr>
      </w:pPr>
      <w:r>
        <w:rPr>
          <w:rFonts w:ascii="宋体" w:hAnsi="宋体" w:eastAsia="宋体" w:cs="宋体"/>
          <w:spacing w:val="5"/>
          <w:sz w:val="23"/>
          <w:szCs w:val="23"/>
        </w:rPr>
        <w:t xml:space="preserve">根据声环境功能区划，项目建设区域及敏感点声环境执行 </w:t>
      </w:r>
      <w:r>
        <w:rPr>
          <w:rFonts w:ascii="Times New Roman" w:hAnsi="Times New Roman" w:eastAsia="Times New Roman" w:cs="Times New Roman"/>
          <w:spacing w:val="5"/>
          <w:sz w:val="23"/>
          <w:szCs w:val="23"/>
        </w:rPr>
        <w:t xml:space="preserve">1 </w:t>
      </w:r>
      <w:r>
        <w:rPr>
          <w:rFonts w:ascii="宋体" w:hAnsi="宋体" w:eastAsia="宋体" w:cs="宋体"/>
          <w:spacing w:val="5"/>
          <w:sz w:val="23"/>
          <w:szCs w:val="23"/>
        </w:rPr>
        <w:t>类标准，即</w:t>
      </w:r>
      <w:r>
        <w:rPr>
          <w:rFonts w:ascii="宋体" w:hAnsi="宋体" w:eastAsia="宋体" w:cs="宋体"/>
          <w:spacing w:val="4"/>
          <w:sz w:val="23"/>
          <w:szCs w:val="23"/>
        </w:rPr>
        <w:t>昼</w:t>
      </w:r>
      <w:r>
        <w:rPr>
          <w:rFonts w:ascii="宋体" w:hAnsi="宋体" w:eastAsia="宋体" w:cs="宋体"/>
          <w:sz w:val="23"/>
          <w:szCs w:val="23"/>
        </w:rPr>
        <w:t xml:space="preserve">间 </w:t>
      </w:r>
      <w:r>
        <w:rPr>
          <w:rFonts w:ascii="Times New Roman" w:hAnsi="Times New Roman" w:eastAsia="Times New Roman" w:cs="Times New Roman"/>
          <w:spacing w:val="8"/>
          <w:sz w:val="23"/>
          <w:szCs w:val="23"/>
        </w:rPr>
        <w:t>55</w:t>
      </w:r>
      <w:r>
        <w:rPr>
          <w:rFonts w:ascii="Times New Roman" w:hAnsi="Times New Roman" w:eastAsia="Times New Roman" w:cs="Times New Roman"/>
          <w:sz w:val="23"/>
          <w:szCs w:val="23"/>
        </w:rPr>
        <w:t>dB</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，夜</w:t>
      </w:r>
      <w:r>
        <w:rPr>
          <w:rFonts w:ascii="宋体" w:hAnsi="宋体" w:eastAsia="宋体" w:cs="宋体"/>
          <w:spacing w:val="7"/>
          <w:sz w:val="23"/>
          <w:szCs w:val="23"/>
        </w:rPr>
        <w:t>间</w:t>
      </w:r>
      <w:r>
        <w:rPr>
          <w:rFonts w:ascii="宋体" w:hAnsi="宋体" w:eastAsia="宋体" w:cs="宋体"/>
          <w:spacing w:val="4"/>
          <w:sz w:val="23"/>
          <w:szCs w:val="23"/>
        </w:rPr>
        <w:t xml:space="preserve"> </w:t>
      </w:r>
      <w:r>
        <w:rPr>
          <w:rFonts w:ascii="Times New Roman" w:hAnsi="Times New Roman" w:eastAsia="Times New Roman" w:cs="Times New Roman"/>
          <w:spacing w:val="4"/>
          <w:sz w:val="23"/>
          <w:szCs w:val="23"/>
        </w:rPr>
        <w:t>45</w:t>
      </w:r>
      <w:r>
        <w:rPr>
          <w:rFonts w:ascii="Times New Roman" w:hAnsi="Times New Roman" w:eastAsia="Times New Roman" w:cs="Times New Roman"/>
          <w:sz w:val="23"/>
          <w:szCs w:val="23"/>
        </w:rPr>
        <w:t>dB</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。按照环保要求，夜间禁止施工，因此，仅分析昼间施工噪声</w:t>
      </w:r>
      <w:r>
        <w:rPr>
          <w:rFonts w:ascii="宋体" w:hAnsi="宋体" w:eastAsia="宋体" w:cs="宋体"/>
          <w:sz w:val="23"/>
          <w:szCs w:val="23"/>
        </w:rPr>
        <w:t xml:space="preserve"> </w:t>
      </w:r>
      <w:r>
        <w:rPr>
          <w:rFonts w:ascii="宋体" w:hAnsi="宋体" w:eastAsia="宋体" w:cs="宋体"/>
          <w:spacing w:val="8"/>
          <w:sz w:val="23"/>
          <w:szCs w:val="23"/>
        </w:rPr>
        <w:t>对周围环境的影响</w:t>
      </w:r>
      <w:r>
        <w:rPr>
          <w:rFonts w:ascii="宋体" w:hAnsi="宋体" w:eastAsia="宋体" w:cs="宋体"/>
          <w:spacing w:val="7"/>
          <w:sz w:val="23"/>
          <w:szCs w:val="23"/>
        </w:rPr>
        <w:t>。</w:t>
      </w:r>
    </w:p>
    <w:p w14:paraId="68CB91AE">
      <w:pPr>
        <w:spacing w:before="174" w:line="393" w:lineRule="auto"/>
        <w:ind w:left="24" w:right="99" w:firstLine="481"/>
        <w:rPr>
          <w:rFonts w:ascii="宋体" w:hAnsi="宋体" w:eastAsia="宋体" w:cs="宋体"/>
          <w:sz w:val="23"/>
          <w:szCs w:val="23"/>
        </w:rPr>
      </w:pPr>
      <w:r>
        <w:rPr>
          <w:rFonts w:ascii="宋体" w:hAnsi="宋体" w:eastAsia="宋体" w:cs="宋体"/>
          <w:spacing w:val="12"/>
          <w:sz w:val="23"/>
          <w:szCs w:val="23"/>
        </w:rPr>
        <w:t xml:space="preserve">从表 </w:t>
      </w:r>
      <w:r>
        <w:rPr>
          <w:rFonts w:ascii="Times New Roman" w:hAnsi="Times New Roman" w:eastAsia="Times New Roman" w:cs="Times New Roman"/>
          <w:spacing w:val="12"/>
          <w:sz w:val="23"/>
          <w:szCs w:val="23"/>
        </w:rPr>
        <w:t>5</w:t>
      </w:r>
      <w:r>
        <w:rPr>
          <w:rFonts w:ascii="Times New Roman" w:hAnsi="Times New Roman" w:eastAsia="Times New Roman" w:cs="Times New Roman"/>
          <w:spacing w:val="6"/>
          <w:sz w:val="23"/>
          <w:szCs w:val="23"/>
        </w:rPr>
        <w:t xml:space="preserve">-3 </w:t>
      </w:r>
      <w:r>
        <w:rPr>
          <w:rFonts w:ascii="宋体" w:hAnsi="宋体" w:eastAsia="宋体" w:cs="宋体"/>
          <w:spacing w:val="6"/>
          <w:sz w:val="23"/>
          <w:szCs w:val="23"/>
        </w:rPr>
        <w:t xml:space="preserve">中可以看出，施工设备在距周边场界距离为 </w:t>
      </w:r>
      <w:r>
        <w:rPr>
          <w:rFonts w:ascii="Times New Roman" w:hAnsi="Times New Roman" w:eastAsia="Times New Roman" w:cs="Times New Roman"/>
          <w:spacing w:val="6"/>
          <w:sz w:val="23"/>
          <w:szCs w:val="23"/>
        </w:rPr>
        <w:t>21</w:t>
      </w:r>
      <w:r>
        <w:rPr>
          <w:rFonts w:ascii="Times New Roman" w:hAnsi="Times New Roman" w:eastAsia="Times New Roman" w:cs="Times New Roman"/>
          <w:sz w:val="23"/>
          <w:szCs w:val="23"/>
        </w:rPr>
        <w:t>m</w:t>
      </w:r>
      <w:r>
        <w:rPr>
          <w:rFonts w:ascii="宋体" w:hAnsi="宋体" w:eastAsia="宋体" w:cs="宋体"/>
          <w:spacing w:val="6"/>
          <w:sz w:val="23"/>
          <w:szCs w:val="23"/>
        </w:rPr>
        <w:t>~</w:t>
      </w:r>
      <w:r>
        <w:rPr>
          <w:rFonts w:ascii="Times New Roman" w:hAnsi="Times New Roman" w:eastAsia="Times New Roman" w:cs="Times New Roman"/>
          <w:spacing w:val="6"/>
          <w:sz w:val="23"/>
          <w:szCs w:val="23"/>
        </w:rPr>
        <w:t>89</w:t>
      </w:r>
      <w:r>
        <w:rPr>
          <w:rFonts w:ascii="Times New Roman" w:hAnsi="Times New Roman" w:eastAsia="Times New Roman" w:cs="Times New Roman"/>
          <w:sz w:val="23"/>
          <w:szCs w:val="23"/>
        </w:rPr>
        <w:t>m</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以外的范围</w:t>
      </w:r>
      <w:r>
        <w:rPr>
          <w:rFonts w:ascii="宋体" w:hAnsi="宋体" w:eastAsia="宋体" w:cs="宋体"/>
          <w:sz w:val="23"/>
          <w:szCs w:val="23"/>
        </w:rPr>
        <w:t xml:space="preserve"> </w:t>
      </w:r>
      <w:r>
        <w:rPr>
          <w:rFonts w:ascii="宋体" w:hAnsi="宋体" w:eastAsia="宋体" w:cs="宋体"/>
          <w:spacing w:val="13"/>
          <w:sz w:val="23"/>
          <w:szCs w:val="23"/>
        </w:rPr>
        <w:t>作</w:t>
      </w:r>
      <w:r>
        <w:rPr>
          <w:rFonts w:ascii="宋体" w:hAnsi="宋体" w:eastAsia="宋体" w:cs="宋体"/>
          <w:spacing w:val="8"/>
          <w:sz w:val="23"/>
          <w:szCs w:val="23"/>
        </w:rPr>
        <w:t>业时，对周围环境无影响。</w:t>
      </w:r>
    </w:p>
    <w:p w14:paraId="33606171">
      <w:pPr>
        <w:spacing w:before="136" w:line="227" w:lineRule="auto"/>
        <w:ind w:left="507"/>
        <w:rPr>
          <w:rFonts w:ascii="宋体" w:hAnsi="宋体" w:eastAsia="宋体" w:cs="宋体"/>
          <w:sz w:val="23"/>
          <w:szCs w:val="23"/>
        </w:rPr>
      </w:pPr>
      <w:r>
        <w:rPr>
          <w:rFonts w:ascii="宋体" w:hAnsi="宋体" w:eastAsia="宋体" w:cs="宋体"/>
          <w:spacing w:val="7"/>
          <w:sz w:val="23"/>
          <w:szCs w:val="23"/>
        </w:rPr>
        <w:t xml:space="preserve">项目厂界周边 </w:t>
      </w:r>
      <w:r>
        <w:rPr>
          <w:rFonts w:ascii="Times New Roman" w:hAnsi="Times New Roman" w:eastAsia="Times New Roman" w:cs="Times New Roman"/>
          <w:spacing w:val="7"/>
          <w:sz w:val="23"/>
          <w:szCs w:val="23"/>
        </w:rPr>
        <w:t>500</w:t>
      </w:r>
      <w:r>
        <w:rPr>
          <w:rFonts w:ascii="Times New Roman" w:hAnsi="Times New Roman" w:eastAsia="Times New Roman" w:cs="Times New Roman"/>
          <w:sz w:val="23"/>
          <w:szCs w:val="23"/>
        </w:rPr>
        <w:t>m</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内无居民住宅，因此施工噪声对周围居民的影响较小。</w:t>
      </w:r>
    </w:p>
    <w:p w14:paraId="724F85BD">
      <w:pPr>
        <w:spacing w:before="300" w:line="226" w:lineRule="auto"/>
        <w:ind w:left="24"/>
        <w:outlineLvl w:val="2"/>
        <w:rPr>
          <w:rFonts w:ascii="宋体" w:hAnsi="宋体" w:eastAsia="宋体" w:cs="宋体"/>
          <w:sz w:val="29"/>
          <w:szCs w:val="29"/>
        </w:rPr>
      </w:pPr>
      <w:r>
        <w:rPr>
          <w:rFonts w:ascii="Times New Roman" w:hAnsi="Times New Roman" w:eastAsia="Times New Roman" w:cs="Times New Roman"/>
          <w:b/>
          <w:bCs/>
          <w:spacing w:val="12"/>
          <w:sz w:val="29"/>
          <w:szCs w:val="29"/>
        </w:rPr>
        <w:t>5</w:t>
      </w:r>
      <w:r>
        <w:rPr>
          <w:rFonts w:ascii="Times New Roman" w:hAnsi="Times New Roman" w:eastAsia="Times New Roman" w:cs="Times New Roman"/>
          <w:b/>
          <w:bCs/>
          <w:spacing w:val="8"/>
          <w:sz w:val="29"/>
          <w:szCs w:val="29"/>
        </w:rPr>
        <w:t>.1.4</w:t>
      </w:r>
      <w:r>
        <w:rPr>
          <w:rFonts w:ascii="Times New Roman" w:hAnsi="Times New Roman" w:eastAsia="Times New Roman" w:cs="Times New Roman"/>
          <w:spacing w:val="8"/>
          <w:sz w:val="29"/>
          <w:szCs w:val="29"/>
        </w:rPr>
        <w:t xml:space="preserve">  </w:t>
      </w:r>
      <w:r>
        <w:rPr>
          <w:rFonts w:ascii="宋体" w:hAnsi="宋体" w:eastAsia="宋体" w:cs="宋体"/>
          <w:spacing w:val="8"/>
          <w:sz w:val="29"/>
          <w:szCs w:val="29"/>
          <w14:textOutline w14:w="5448" w14:cap="sq" w14:cmpd="sng">
            <w14:solidFill>
              <w14:srgbClr w14:val="000000"/>
            </w14:solidFill>
            <w14:prstDash w14:val="solid"/>
            <w14:bevel/>
          </w14:textOutline>
        </w:rPr>
        <w:t>施工期固体废弃物影响分析及对策</w:t>
      </w:r>
    </w:p>
    <w:p w14:paraId="2DA8E2F1">
      <w:pPr>
        <w:spacing w:line="256" w:lineRule="auto"/>
        <w:rPr>
          <w:rFonts w:ascii="Arial"/>
          <w:sz w:val="21"/>
        </w:rPr>
      </w:pPr>
    </w:p>
    <w:p w14:paraId="54B876F7">
      <w:pPr>
        <w:spacing w:before="75" w:line="228" w:lineRule="auto"/>
        <w:ind w:left="514"/>
        <w:rPr>
          <w:rFonts w:ascii="宋体" w:hAnsi="宋体" w:eastAsia="宋体" w:cs="宋体"/>
          <w:sz w:val="23"/>
          <w:szCs w:val="23"/>
        </w:rPr>
      </w:pPr>
      <w:r>
        <w:rPr>
          <w:rFonts w:ascii="宋体" w:hAnsi="宋体" w:eastAsia="宋体" w:cs="宋体"/>
          <w:spacing w:val="17"/>
          <w:sz w:val="23"/>
          <w:szCs w:val="23"/>
        </w:rPr>
        <w:t>(</w:t>
      </w:r>
      <w:r>
        <w:rPr>
          <w:rFonts w:ascii="Times New Roman" w:hAnsi="Times New Roman" w:eastAsia="Times New Roman" w:cs="Times New Roman"/>
          <w:spacing w:val="16"/>
          <w:sz w:val="23"/>
          <w:szCs w:val="23"/>
        </w:rPr>
        <w:t>1</w:t>
      </w:r>
      <w:r>
        <w:rPr>
          <w:rFonts w:ascii="宋体" w:hAnsi="宋体" w:eastAsia="宋体" w:cs="宋体"/>
          <w:spacing w:val="16"/>
          <w:sz w:val="23"/>
          <w:szCs w:val="23"/>
        </w:rPr>
        <w:t>) 施工人员的生活垃圾</w:t>
      </w:r>
    </w:p>
    <w:p w14:paraId="7A3F4265">
      <w:pPr>
        <w:spacing w:line="275" w:lineRule="auto"/>
        <w:rPr>
          <w:rFonts w:ascii="Arial"/>
          <w:sz w:val="21"/>
        </w:rPr>
      </w:pPr>
    </w:p>
    <w:p w14:paraId="040C4BD6">
      <w:pPr>
        <w:spacing w:before="75" w:line="227" w:lineRule="auto"/>
        <w:ind w:left="502"/>
        <w:rPr>
          <w:rFonts w:ascii="宋体" w:hAnsi="宋体" w:eastAsia="宋体" w:cs="宋体"/>
          <w:sz w:val="23"/>
          <w:szCs w:val="23"/>
        </w:rPr>
      </w:pPr>
      <w:r>
        <w:rPr>
          <w:rFonts w:ascii="宋体" w:hAnsi="宋体" w:eastAsia="宋体" w:cs="宋体"/>
          <w:spacing w:val="18"/>
          <w:sz w:val="23"/>
          <w:szCs w:val="23"/>
        </w:rPr>
        <w:t>施</w:t>
      </w:r>
      <w:r>
        <w:rPr>
          <w:rFonts w:ascii="宋体" w:hAnsi="宋体" w:eastAsia="宋体" w:cs="宋体"/>
          <w:spacing w:val="11"/>
          <w:sz w:val="23"/>
          <w:szCs w:val="23"/>
        </w:rPr>
        <w:t>工</w:t>
      </w:r>
      <w:r>
        <w:rPr>
          <w:rFonts w:ascii="宋体" w:hAnsi="宋体" w:eastAsia="宋体" w:cs="宋体"/>
          <w:spacing w:val="9"/>
          <w:sz w:val="23"/>
          <w:szCs w:val="23"/>
        </w:rPr>
        <w:t>人员产生的生活垃圾集中收集，定期由市政环卫部门统一处理。</w:t>
      </w:r>
    </w:p>
    <w:p w14:paraId="7BF5AEA9">
      <w:pPr>
        <w:spacing w:line="276" w:lineRule="auto"/>
        <w:rPr>
          <w:rFonts w:ascii="Arial"/>
          <w:sz w:val="21"/>
        </w:rPr>
      </w:pPr>
    </w:p>
    <w:p w14:paraId="67FDC495">
      <w:pPr>
        <w:spacing w:before="75" w:line="228" w:lineRule="auto"/>
        <w:ind w:left="514"/>
        <w:rPr>
          <w:rFonts w:ascii="宋体" w:hAnsi="宋体" w:eastAsia="宋体" w:cs="宋体"/>
          <w:sz w:val="23"/>
          <w:szCs w:val="23"/>
        </w:rPr>
      </w:pPr>
      <w:r>
        <w:rPr>
          <w:rFonts w:ascii="宋体" w:hAnsi="宋体" w:eastAsia="宋体" w:cs="宋体"/>
          <w:spacing w:val="20"/>
          <w:sz w:val="23"/>
          <w:szCs w:val="23"/>
        </w:rPr>
        <w:t>(</w:t>
      </w:r>
      <w:r>
        <w:rPr>
          <w:rFonts w:ascii="Times New Roman" w:hAnsi="Times New Roman" w:eastAsia="Times New Roman" w:cs="Times New Roman"/>
          <w:spacing w:val="20"/>
          <w:sz w:val="23"/>
          <w:szCs w:val="23"/>
        </w:rPr>
        <w:t>2</w:t>
      </w:r>
      <w:r>
        <w:rPr>
          <w:rFonts w:ascii="宋体" w:hAnsi="宋体" w:eastAsia="宋体" w:cs="宋体"/>
          <w:spacing w:val="20"/>
          <w:sz w:val="23"/>
          <w:szCs w:val="23"/>
        </w:rPr>
        <w:t>) 建筑垃</w:t>
      </w:r>
      <w:r>
        <w:rPr>
          <w:rFonts w:ascii="宋体" w:hAnsi="宋体" w:eastAsia="宋体" w:cs="宋体"/>
          <w:spacing w:val="19"/>
          <w:sz w:val="23"/>
          <w:szCs w:val="23"/>
        </w:rPr>
        <w:t>圾</w:t>
      </w:r>
    </w:p>
    <w:p w14:paraId="21E9A91A">
      <w:pPr>
        <w:spacing w:line="275" w:lineRule="auto"/>
        <w:rPr>
          <w:rFonts w:ascii="Arial"/>
          <w:sz w:val="21"/>
        </w:rPr>
      </w:pPr>
    </w:p>
    <w:p w14:paraId="68138B0A">
      <w:pPr>
        <w:spacing w:before="75" w:line="391" w:lineRule="auto"/>
        <w:ind w:left="27" w:right="40" w:firstLine="479"/>
        <w:rPr>
          <w:rFonts w:ascii="宋体" w:hAnsi="宋体" w:eastAsia="宋体" w:cs="宋体"/>
          <w:sz w:val="23"/>
          <w:szCs w:val="23"/>
        </w:rPr>
      </w:pPr>
      <w:r>
        <w:rPr>
          <w:rFonts w:ascii="宋体" w:hAnsi="宋体" w:eastAsia="宋体" w:cs="宋体"/>
          <w:spacing w:val="2"/>
          <w:sz w:val="23"/>
          <w:szCs w:val="23"/>
        </w:rPr>
        <w:t>建筑垃圾、施工建设过程中产生的废弃装饰建筑</w:t>
      </w:r>
      <w:r>
        <w:rPr>
          <w:rFonts w:ascii="宋体" w:hAnsi="宋体" w:eastAsia="宋体" w:cs="宋体"/>
          <w:spacing w:val="1"/>
          <w:sz w:val="23"/>
          <w:szCs w:val="23"/>
        </w:rPr>
        <w:t>材料，集中收集，尽量回用，</w:t>
      </w:r>
      <w:r>
        <w:rPr>
          <w:rFonts w:ascii="宋体" w:hAnsi="宋体" w:eastAsia="宋体" w:cs="宋体"/>
          <w:sz w:val="23"/>
          <w:szCs w:val="23"/>
        </w:rPr>
        <w:t xml:space="preserve"> </w:t>
      </w:r>
      <w:r>
        <w:rPr>
          <w:rFonts w:ascii="宋体" w:hAnsi="宋体" w:eastAsia="宋体" w:cs="宋体"/>
          <w:spacing w:val="7"/>
          <w:sz w:val="23"/>
          <w:szCs w:val="23"/>
        </w:rPr>
        <w:t>不能回用的送至建筑垃圾填埋场。施工期产生少量弃土，场地平整过程中可全</w:t>
      </w:r>
      <w:r>
        <w:rPr>
          <w:rFonts w:ascii="宋体" w:hAnsi="宋体" w:eastAsia="宋体" w:cs="宋体"/>
          <w:spacing w:val="5"/>
          <w:sz w:val="23"/>
          <w:szCs w:val="23"/>
        </w:rPr>
        <w:t>部</w:t>
      </w:r>
      <w:r>
        <w:rPr>
          <w:rFonts w:ascii="宋体" w:hAnsi="宋体" w:eastAsia="宋体" w:cs="宋体"/>
          <w:sz w:val="23"/>
          <w:szCs w:val="23"/>
        </w:rPr>
        <w:t xml:space="preserve"> </w:t>
      </w:r>
      <w:r>
        <w:rPr>
          <w:rFonts w:ascii="宋体" w:hAnsi="宋体" w:eastAsia="宋体" w:cs="宋体"/>
          <w:spacing w:val="2"/>
          <w:sz w:val="23"/>
          <w:szCs w:val="23"/>
        </w:rPr>
        <w:t>回用。</w:t>
      </w:r>
    </w:p>
    <w:p w14:paraId="3984941D">
      <w:pPr>
        <w:spacing w:before="92" w:line="322" w:lineRule="exact"/>
        <w:ind w:left="507"/>
        <w:rPr>
          <w:rFonts w:ascii="宋体" w:hAnsi="宋体" w:eastAsia="宋体" w:cs="宋体"/>
          <w:sz w:val="23"/>
          <w:szCs w:val="23"/>
        </w:rPr>
      </w:pPr>
      <w:r>
        <w:rPr>
          <w:rFonts w:ascii="宋体" w:hAnsi="宋体" w:eastAsia="宋体" w:cs="宋体"/>
          <w:spacing w:val="8"/>
          <w:position w:val="1"/>
          <w:sz w:val="23"/>
          <w:szCs w:val="23"/>
        </w:rPr>
        <w:t>项目</w:t>
      </w:r>
      <w:r>
        <w:rPr>
          <w:rFonts w:ascii="宋体" w:hAnsi="宋体" w:eastAsia="宋体" w:cs="宋体"/>
          <w:spacing w:val="5"/>
          <w:position w:val="1"/>
          <w:sz w:val="23"/>
          <w:szCs w:val="23"/>
        </w:rPr>
        <w:t>施</w:t>
      </w:r>
      <w:r>
        <w:rPr>
          <w:rFonts w:ascii="宋体" w:hAnsi="宋体" w:eastAsia="宋体" w:cs="宋体"/>
          <w:spacing w:val="4"/>
          <w:position w:val="1"/>
          <w:sz w:val="23"/>
          <w:szCs w:val="23"/>
        </w:rPr>
        <w:t xml:space="preserve">工期固体废物处置率为 </w:t>
      </w:r>
      <w:r>
        <w:rPr>
          <w:rFonts w:ascii="Times New Roman" w:hAnsi="Times New Roman" w:eastAsia="Times New Roman" w:cs="Times New Roman"/>
          <w:spacing w:val="4"/>
          <w:position w:val="1"/>
          <w:sz w:val="23"/>
          <w:szCs w:val="23"/>
        </w:rPr>
        <w:t>100%</w:t>
      </w:r>
      <w:r>
        <w:rPr>
          <w:rFonts w:ascii="宋体" w:hAnsi="宋体" w:eastAsia="宋体" w:cs="宋体"/>
          <w:spacing w:val="4"/>
          <w:position w:val="1"/>
          <w:sz w:val="23"/>
          <w:szCs w:val="23"/>
        </w:rPr>
        <w:t>。</w:t>
      </w:r>
    </w:p>
    <w:p w14:paraId="79E944AF">
      <w:pPr>
        <w:spacing w:before="305" w:line="226" w:lineRule="auto"/>
        <w:ind w:left="24"/>
        <w:outlineLvl w:val="2"/>
        <w:rPr>
          <w:rFonts w:ascii="宋体" w:hAnsi="宋体" w:eastAsia="宋体" w:cs="宋体"/>
          <w:sz w:val="29"/>
          <w:szCs w:val="29"/>
        </w:rPr>
      </w:pPr>
      <w:r>
        <w:rPr>
          <w:rFonts w:ascii="Times New Roman" w:hAnsi="Times New Roman" w:eastAsia="Times New Roman" w:cs="Times New Roman"/>
          <w:b/>
          <w:bCs/>
          <w:spacing w:val="12"/>
          <w:sz w:val="29"/>
          <w:szCs w:val="29"/>
        </w:rPr>
        <w:t>5</w:t>
      </w:r>
      <w:r>
        <w:rPr>
          <w:rFonts w:ascii="Times New Roman" w:hAnsi="Times New Roman" w:eastAsia="Times New Roman" w:cs="Times New Roman"/>
          <w:b/>
          <w:bCs/>
          <w:spacing w:val="8"/>
          <w:sz w:val="29"/>
          <w:szCs w:val="29"/>
        </w:rPr>
        <w:t>.1.5</w:t>
      </w:r>
      <w:r>
        <w:rPr>
          <w:rFonts w:ascii="Times New Roman" w:hAnsi="Times New Roman" w:eastAsia="Times New Roman" w:cs="Times New Roman"/>
          <w:spacing w:val="8"/>
          <w:sz w:val="29"/>
          <w:szCs w:val="29"/>
        </w:rPr>
        <w:t xml:space="preserve"> </w:t>
      </w:r>
      <w:r>
        <w:rPr>
          <w:rFonts w:ascii="宋体" w:hAnsi="宋体" w:eastAsia="宋体" w:cs="宋体"/>
          <w:spacing w:val="8"/>
          <w:sz w:val="29"/>
          <w:szCs w:val="29"/>
          <w14:textOutline w14:w="5448" w14:cap="sq" w14:cmpd="sng">
            <w14:solidFill>
              <w14:srgbClr w14:val="000000"/>
            </w14:solidFill>
            <w14:prstDash w14:val="solid"/>
            <w14:bevel/>
          </w14:textOutline>
        </w:rPr>
        <w:t>施工期对水土保持的影响分析</w:t>
      </w:r>
    </w:p>
    <w:p w14:paraId="2AA190D6">
      <w:pPr>
        <w:spacing w:before="194" w:line="405" w:lineRule="auto"/>
        <w:ind w:left="23" w:right="66" w:firstLine="479"/>
        <w:rPr>
          <w:rFonts w:ascii="宋体" w:hAnsi="宋体" w:eastAsia="宋体" w:cs="宋体"/>
          <w:sz w:val="23"/>
          <w:szCs w:val="23"/>
        </w:rPr>
      </w:pPr>
      <w:r>
        <w:pict>
          <v:rect id="_x0000_s1240" o:spid="_x0000_s1240" o:spt="1" style="position:absolute;left:0pt;margin-left:102.85pt;margin-top:18.4pt;height:0.85pt;width:3.25pt;z-index:-251411456;mso-width-relative:page;mso-height-relative:page;" fillcolor="#000000" filled="t" stroked="f" coordsize="21600,21600">
            <v:path/>
            <v:fill on="t" opacity="57826f" focussize="0,0"/>
            <v:stroke on="f"/>
            <v:imagedata o:title=""/>
            <o:lock v:ext="edit"/>
          </v:rect>
        </w:pict>
      </w:r>
      <w:r>
        <w:pict>
          <v:rect id="_x0000_s1241" o:spid="_x0000_s1241" o:spt="1" style="position:absolute;left:0pt;margin-left:102.85pt;margin-top:18.4pt;height:0.85pt;width:3.25pt;z-index:-251410432;mso-width-relative:page;mso-height-relative:page;" fillcolor="#000000" filled="t" stroked="f" coordsize="21600,21600">
            <v:path/>
            <v:fill on="t" opacity="57826f" focussize="0,0"/>
            <v:stroke on="f"/>
            <v:imagedata o:title=""/>
            <o:lock v:ext="edit"/>
          </v:rect>
        </w:pict>
      </w:r>
      <w:r>
        <w:pict>
          <v:rect id="_x0000_s1242" o:spid="_x0000_s1242" o:spt="1" style="position:absolute;left:0pt;margin-left:102.85pt;margin-top:18.4pt;height:0.85pt;width:3.25pt;z-index:-251407360;mso-width-relative:page;mso-height-relative:page;" fillcolor="#000000" filled="t" stroked="f" coordsize="21600,21600">
            <v:path/>
            <v:fill on="t" opacity="57826f" focussize="0,0"/>
            <v:stroke on="f"/>
            <v:imagedata o:title=""/>
            <o:lock v:ext="edit"/>
          </v:rect>
        </w:pict>
      </w:r>
      <w:r>
        <w:pict>
          <v:rect id="_x0000_s1243" o:spid="_x0000_s1243" o:spt="1" style="position:absolute;left:0pt;margin-left:102.85pt;margin-top:18.4pt;height:0.85pt;width:3.25pt;z-index:-251405312;mso-width-relative:page;mso-height-relative:page;" fillcolor="#000000" filled="t" stroked="f" coordsize="21600,21600">
            <v:path/>
            <v:fill on="t" opacity="57826f" focussize="0,0"/>
            <v:stroke on="f"/>
            <v:imagedata o:title=""/>
            <o:lock v:ext="edit"/>
          </v:rect>
        </w:pict>
      </w:r>
      <w:r>
        <w:pict>
          <v:rect id="_x0000_s1244" o:spid="_x0000_s1244" o:spt="1" style="position:absolute;left:0pt;margin-left:104.1pt;margin-top:18.4pt;height:0.8pt;width:0.85pt;z-index:-251409408;mso-width-relative:page;mso-height-relative:page;" fillcolor="#000000" filled="t" stroked="f" coordsize="21600,21600">
            <v:path/>
            <v:fill on="t" opacity="57826f" focussize="0,0"/>
            <v:stroke on="f"/>
            <v:imagedata o:title=""/>
            <o:lock v:ext="edit"/>
          </v:rect>
        </w:pict>
      </w:r>
      <w:r>
        <w:pict>
          <v:rect id="_x0000_s1245" o:spid="_x0000_s1245" o:spt="1" style="position:absolute;left:0pt;margin-left:104.1pt;margin-top:18.4pt;height:0.8pt;width:0.85pt;z-index:-251408384;mso-width-relative:page;mso-height-relative:page;" fillcolor="#000000" filled="t" stroked="f" coordsize="21600,21600">
            <v:path/>
            <v:fill on="t" opacity="57826f" focussize="0,0"/>
            <v:stroke on="f"/>
            <v:imagedata o:title=""/>
            <o:lock v:ext="edit"/>
          </v:rect>
        </w:pict>
      </w:r>
      <w:r>
        <w:pict>
          <v:rect id="_x0000_s1246" o:spid="_x0000_s1246" o:spt="1" style="position:absolute;left:0pt;margin-left:104.1pt;margin-top:18.4pt;height:0.8pt;width:0.85pt;z-index:-251406336;mso-width-relative:page;mso-height-relative:page;" fillcolor="#000000" filled="t" stroked="f" coordsize="21600,21600">
            <v:path/>
            <v:fill on="t" opacity="57826f" focussize="0,0"/>
            <v:stroke on="f"/>
            <v:imagedata o:title=""/>
            <o:lock v:ext="edit"/>
          </v:rect>
        </w:pict>
      </w:r>
      <w:r>
        <w:pict>
          <v:rect id="_x0000_s1247" o:spid="_x0000_s1247" o:spt="1" style="position:absolute;left:0pt;margin-left:104.35pt;margin-top:18.9pt;height:0.85pt;width:3.25pt;z-index:-251418624;mso-width-relative:page;mso-height-relative:page;" fillcolor="#000000" filled="t" stroked="f" coordsize="21600,21600">
            <v:path/>
            <v:fill on="t" opacity="57826f" focussize="0,0"/>
            <v:stroke on="f"/>
            <v:imagedata o:title=""/>
            <o:lock v:ext="edit"/>
          </v:rect>
        </w:pict>
      </w:r>
      <w:r>
        <w:pict>
          <v:rect id="_x0000_s1248" o:spid="_x0000_s1248" o:spt="1" style="position:absolute;left:0pt;margin-left:104.35pt;margin-top:18.9pt;height:0.85pt;width:3.25pt;z-index:-251417600;mso-width-relative:page;mso-height-relative:page;" fillcolor="#000000" filled="t" stroked="f" coordsize="21600,21600">
            <v:path/>
            <v:fill on="t" opacity="57826f" focussize="0,0"/>
            <v:stroke on="f"/>
            <v:imagedata o:title=""/>
            <o:lock v:ext="edit"/>
          </v:rect>
        </w:pict>
      </w:r>
      <w:r>
        <w:pict>
          <v:rect id="_x0000_s1249" o:spid="_x0000_s1249" o:spt="1" style="position:absolute;left:0pt;margin-left:104.35pt;margin-top:18.9pt;height:0.85pt;width:3.25pt;z-index:-251414528;mso-width-relative:page;mso-height-relative:page;" fillcolor="#000000" filled="t" stroked="f" coordsize="21600,21600">
            <v:path/>
            <v:fill on="t" opacity="57826f" focussize="0,0"/>
            <v:stroke on="f"/>
            <v:imagedata o:title=""/>
            <o:lock v:ext="edit"/>
          </v:rect>
        </w:pict>
      </w:r>
      <w:r>
        <w:pict>
          <v:rect id="_x0000_s1250" o:spid="_x0000_s1250" o:spt="1" style="position:absolute;left:0pt;margin-left:104.35pt;margin-top:18.9pt;height:0.85pt;width:3.25pt;z-index:-251412480;mso-width-relative:page;mso-height-relative:page;" fillcolor="#000000" filled="t" stroked="f" coordsize="21600,21600">
            <v:path/>
            <v:fill on="t" opacity="57826f" focussize="0,0"/>
            <v:stroke on="f"/>
            <v:imagedata o:title=""/>
            <o:lock v:ext="edit"/>
          </v:rect>
        </w:pict>
      </w:r>
      <w:r>
        <w:pict>
          <v:rect id="_x0000_s1251" o:spid="_x0000_s1251" o:spt="1" style="position:absolute;left:0pt;margin-left:105.6pt;margin-top:18.9pt;height:0.8pt;width:0.85pt;z-index:-251416576;mso-width-relative:page;mso-height-relative:page;" fillcolor="#000000" filled="t" stroked="f" coordsize="21600,21600">
            <v:path/>
            <v:fill on="t" opacity="26471f" focussize="0,0"/>
            <v:stroke on="f"/>
            <v:imagedata o:title=""/>
            <o:lock v:ext="edit"/>
          </v:rect>
        </w:pict>
      </w:r>
      <w:r>
        <w:pict>
          <v:rect id="_x0000_s1252" o:spid="_x0000_s1252" o:spt="1" style="position:absolute;left:0pt;margin-left:105.6pt;margin-top:18.9pt;height:0.8pt;width:0.85pt;z-index:-251415552;mso-width-relative:page;mso-height-relative:page;" fillcolor="#000000" filled="t" stroked="f" coordsize="21600,21600">
            <v:path/>
            <v:fill on="t" opacity="26471f" focussize="0,0"/>
            <v:stroke on="f"/>
            <v:imagedata o:title=""/>
            <o:lock v:ext="edit"/>
          </v:rect>
        </w:pict>
      </w:r>
      <w:r>
        <w:pict>
          <v:rect id="_x0000_s1253" o:spid="_x0000_s1253" o:spt="1" style="position:absolute;left:0pt;margin-left:105.6pt;margin-top:18.9pt;height:0.8pt;width:0.85pt;z-index:-251413504;mso-width-relative:page;mso-height-relative:page;" fillcolor="#000000" filled="t" stroked="f" coordsize="21600,21600">
            <v:path/>
            <v:fill on="t" opacity="26471f" focussize="0,0"/>
            <v:stroke on="f"/>
            <v:imagedata o:title=""/>
            <o:lock v:ext="edit"/>
          </v:rect>
        </w:pict>
      </w:r>
      <w:r>
        <w:rPr>
          <w:rFonts w:ascii="宋体" w:hAnsi="宋体" w:eastAsia="宋体" w:cs="宋体"/>
          <w:spacing w:val="7"/>
          <w:sz w:val="23"/>
          <w:szCs w:val="23"/>
        </w:rPr>
        <w:t>施工扰动用土地导致地表裸露，容易引起水土流失。施工期应严格将活动</w:t>
      </w:r>
      <w:r>
        <w:rPr>
          <w:rFonts w:ascii="宋体" w:hAnsi="宋体" w:eastAsia="宋体" w:cs="宋体"/>
          <w:spacing w:val="3"/>
          <w:sz w:val="23"/>
          <w:szCs w:val="23"/>
        </w:rPr>
        <w:t>范</w:t>
      </w:r>
      <w:r>
        <w:rPr>
          <w:rFonts w:ascii="宋体" w:hAnsi="宋体" w:eastAsia="宋体" w:cs="宋体"/>
          <w:sz w:val="23"/>
          <w:szCs w:val="23"/>
        </w:rPr>
        <w:t xml:space="preserve"> </w:t>
      </w:r>
      <w:r>
        <w:rPr>
          <w:rFonts w:ascii="宋体" w:hAnsi="宋体" w:eastAsia="宋体" w:cs="宋体"/>
          <w:spacing w:val="10"/>
          <w:sz w:val="23"/>
          <w:szCs w:val="23"/>
        </w:rPr>
        <w:t>围</w:t>
      </w:r>
      <w:r>
        <w:rPr>
          <w:rFonts w:ascii="宋体" w:hAnsi="宋体" w:eastAsia="宋体" w:cs="宋体"/>
          <w:spacing w:val="8"/>
          <w:sz w:val="23"/>
          <w:szCs w:val="23"/>
        </w:rPr>
        <w:t>控制在项目用地范围内，不占用其它土地。合理安排施工期，避免雨天施工，</w:t>
      </w:r>
      <w:r>
        <w:rPr>
          <w:rFonts w:ascii="宋体" w:hAnsi="宋体" w:eastAsia="宋体" w:cs="宋体"/>
          <w:sz w:val="23"/>
          <w:szCs w:val="23"/>
        </w:rPr>
        <w:t xml:space="preserve"> </w:t>
      </w:r>
      <w:r>
        <w:rPr>
          <w:rFonts w:ascii="宋体" w:hAnsi="宋体" w:eastAsia="宋体" w:cs="宋体"/>
          <w:spacing w:val="15"/>
          <w:sz w:val="23"/>
          <w:szCs w:val="23"/>
        </w:rPr>
        <w:t>通</w:t>
      </w:r>
      <w:r>
        <w:rPr>
          <w:rFonts w:ascii="宋体" w:hAnsi="宋体" w:eastAsia="宋体" w:cs="宋体"/>
          <w:spacing w:val="9"/>
          <w:sz w:val="23"/>
          <w:szCs w:val="23"/>
        </w:rPr>
        <w:t>过采取上述措施可将项目施工期对土地的扰动降到最低。</w:t>
      </w:r>
    </w:p>
    <w:p w14:paraId="16B62E7D">
      <w:pPr>
        <w:sectPr>
          <w:headerReference r:id="rId202" w:type="default"/>
          <w:footerReference r:id="rId203" w:type="default"/>
          <w:pgSz w:w="11906" w:h="16839"/>
          <w:pgMar w:top="1132" w:right="1698" w:bottom="1182" w:left="1785" w:header="878" w:footer="1022" w:gutter="0"/>
          <w:cols w:space="720" w:num="1"/>
        </w:sectPr>
      </w:pPr>
    </w:p>
    <w:p w14:paraId="2EED46C4">
      <w:pPr>
        <w:spacing w:line="323" w:lineRule="auto"/>
        <w:rPr>
          <w:rFonts w:ascii="Arial"/>
          <w:sz w:val="21"/>
        </w:rPr>
      </w:pPr>
      <w:r>
        <w:pict>
          <v:shape id="_x0000_s1254" o:spid="_x0000_s1254" style="position:absolute;left:0pt;margin-left:90pt;margin-top:57.35pt;height:0.75pt;width:415.3pt;mso-position-horizontal-relative:page;mso-position-vertical-relative:page;z-index:251913216;mso-width-relative:page;mso-height-relative:page;" fillcolor="#000000" filled="t" stroked="f" coordsize="8305,15" o:allowincell="f" path="m0,0l8305,0,8305,14,0,14,0,0xe">
            <v:path/>
            <v:fill on="t" focussize="0,0"/>
            <v:stroke on="f"/>
            <v:imagedata o:title=""/>
            <o:lock v:ext="edit"/>
          </v:shape>
        </w:pict>
      </w:r>
    </w:p>
    <w:p w14:paraId="3C06BCA5">
      <w:pPr>
        <w:spacing w:before="100" w:line="223" w:lineRule="auto"/>
        <w:ind w:left="118"/>
        <w:outlineLvl w:val="1"/>
        <w:rPr>
          <w:rFonts w:ascii="宋体" w:hAnsi="宋体" w:eastAsia="宋体" w:cs="宋体"/>
          <w:sz w:val="31"/>
          <w:szCs w:val="31"/>
        </w:rPr>
      </w:pPr>
      <w:bookmarkStart w:id="24" w:name="_bookmark25"/>
      <w:bookmarkEnd w:id="24"/>
      <w:r>
        <w:rPr>
          <w:rFonts w:ascii="Times New Roman" w:hAnsi="Times New Roman" w:eastAsia="Times New Roman" w:cs="Times New Roman"/>
          <w:b/>
          <w:bCs/>
          <w:spacing w:val="17"/>
          <w:sz w:val="31"/>
          <w:szCs w:val="31"/>
        </w:rPr>
        <w:t>5.2</w:t>
      </w:r>
      <w:r>
        <w:rPr>
          <w:rFonts w:ascii="Times New Roman" w:hAnsi="Times New Roman" w:eastAsia="Times New Roman" w:cs="Times New Roman"/>
          <w:spacing w:val="17"/>
          <w:sz w:val="31"/>
          <w:szCs w:val="31"/>
        </w:rPr>
        <w:t xml:space="preserve"> </w:t>
      </w:r>
      <w:r>
        <w:rPr>
          <w:rFonts w:ascii="宋体" w:hAnsi="宋体" w:eastAsia="宋体" w:cs="宋体"/>
          <w:spacing w:val="17"/>
          <w:sz w:val="31"/>
          <w:szCs w:val="31"/>
          <w14:textOutline w14:w="5793" w14:cap="sq" w14:cmpd="sng">
            <w14:solidFill>
              <w14:srgbClr w14:val="000000"/>
            </w14:solidFill>
            <w14:prstDash w14:val="solid"/>
            <w14:bevel/>
          </w14:textOutline>
        </w:rPr>
        <w:t>营运期环境影响评价</w:t>
      </w:r>
    </w:p>
    <w:p w14:paraId="28CC4413">
      <w:pPr>
        <w:spacing w:before="287" w:line="226" w:lineRule="auto"/>
        <w:ind w:left="118"/>
        <w:outlineLvl w:val="2"/>
        <w:rPr>
          <w:rFonts w:ascii="宋体" w:hAnsi="宋体" w:eastAsia="宋体" w:cs="宋体"/>
          <w:sz w:val="29"/>
          <w:szCs w:val="29"/>
        </w:rPr>
      </w:pPr>
      <w:r>
        <w:rPr>
          <w:rFonts w:ascii="Times New Roman" w:hAnsi="Times New Roman" w:eastAsia="Times New Roman" w:cs="Times New Roman"/>
          <w:b/>
          <w:bCs/>
          <w:spacing w:val="17"/>
          <w:sz w:val="29"/>
          <w:szCs w:val="29"/>
        </w:rPr>
        <w:t>5.2.1</w:t>
      </w:r>
      <w:r>
        <w:rPr>
          <w:rFonts w:ascii="Times New Roman" w:hAnsi="Times New Roman" w:eastAsia="Times New Roman" w:cs="Times New Roman"/>
          <w:spacing w:val="17"/>
          <w:sz w:val="29"/>
          <w:szCs w:val="29"/>
        </w:rPr>
        <w:t xml:space="preserve"> </w:t>
      </w:r>
      <w:r>
        <w:rPr>
          <w:rFonts w:ascii="宋体" w:hAnsi="宋体" w:eastAsia="宋体" w:cs="宋体"/>
          <w:spacing w:val="17"/>
          <w:sz w:val="29"/>
          <w:szCs w:val="29"/>
          <w14:textOutline w14:w="5448" w14:cap="sq" w14:cmpd="sng">
            <w14:solidFill>
              <w14:srgbClr w14:val="000000"/>
            </w14:solidFill>
            <w14:prstDash w14:val="solid"/>
            <w14:bevel/>
          </w14:textOutline>
        </w:rPr>
        <w:t>运营期环境空气影响分</w:t>
      </w:r>
      <w:r>
        <w:rPr>
          <w:rFonts w:ascii="宋体" w:hAnsi="宋体" w:eastAsia="宋体" w:cs="宋体"/>
          <w:spacing w:val="15"/>
          <w:sz w:val="29"/>
          <w:szCs w:val="29"/>
          <w14:textOutline w14:w="5448" w14:cap="sq" w14:cmpd="sng">
            <w14:solidFill>
              <w14:srgbClr w14:val="000000"/>
            </w14:solidFill>
            <w14:prstDash w14:val="solid"/>
            <w14:bevel/>
          </w14:textOutline>
        </w:rPr>
        <w:t>析</w:t>
      </w:r>
    </w:p>
    <w:p w14:paraId="6BFA0C17">
      <w:pPr>
        <w:spacing w:line="269" w:lineRule="auto"/>
        <w:rPr>
          <w:rFonts w:ascii="Arial"/>
          <w:sz w:val="21"/>
        </w:rPr>
      </w:pPr>
    </w:p>
    <w:p w14:paraId="6E59FB35">
      <w:pPr>
        <w:spacing w:before="74" w:line="398" w:lineRule="auto"/>
        <w:ind w:left="117" w:right="107" w:firstLine="480"/>
        <w:rPr>
          <w:rFonts w:ascii="宋体" w:hAnsi="宋体" w:eastAsia="宋体" w:cs="宋体"/>
          <w:sz w:val="23"/>
          <w:szCs w:val="23"/>
        </w:rPr>
      </w:pPr>
      <w:r>
        <w:rPr>
          <w:rFonts w:ascii="宋体" w:hAnsi="宋体" w:eastAsia="宋体" w:cs="宋体"/>
          <w:spacing w:val="7"/>
          <w:sz w:val="23"/>
          <w:szCs w:val="23"/>
        </w:rPr>
        <w:t>根据工程分析，该项目运营期大气污染物主要有洗字工序所用热风炉产生</w:t>
      </w:r>
      <w:r>
        <w:rPr>
          <w:rFonts w:ascii="宋体" w:hAnsi="宋体" w:eastAsia="宋体" w:cs="宋体"/>
          <w:spacing w:val="3"/>
          <w:sz w:val="23"/>
          <w:szCs w:val="23"/>
        </w:rPr>
        <w:t>的</w:t>
      </w:r>
      <w:r>
        <w:rPr>
          <w:rFonts w:ascii="宋体" w:hAnsi="宋体" w:eastAsia="宋体" w:cs="宋体"/>
          <w:sz w:val="23"/>
          <w:szCs w:val="23"/>
        </w:rPr>
        <w:t xml:space="preserve"> </w:t>
      </w:r>
      <w:r>
        <w:rPr>
          <w:rFonts w:ascii="宋体" w:hAnsi="宋体" w:eastAsia="宋体" w:cs="宋体"/>
          <w:spacing w:val="7"/>
          <w:sz w:val="23"/>
          <w:szCs w:val="23"/>
        </w:rPr>
        <w:t>烟气、分拣工序产生粉尘以及热熔、造粒工序产生挥发性有机物 (以非甲烷总</w:t>
      </w:r>
      <w:r>
        <w:rPr>
          <w:rFonts w:ascii="宋体" w:hAnsi="宋体" w:eastAsia="宋体" w:cs="宋体"/>
          <w:spacing w:val="2"/>
          <w:sz w:val="23"/>
          <w:szCs w:val="23"/>
        </w:rPr>
        <w:t>烃</w:t>
      </w:r>
      <w:r>
        <w:rPr>
          <w:rFonts w:ascii="宋体" w:hAnsi="宋体" w:eastAsia="宋体" w:cs="宋体"/>
          <w:sz w:val="23"/>
          <w:szCs w:val="23"/>
        </w:rPr>
        <w:t xml:space="preserve"> </w:t>
      </w:r>
      <w:r>
        <w:rPr>
          <w:rFonts w:ascii="宋体" w:hAnsi="宋体" w:eastAsia="宋体" w:cs="宋体"/>
          <w:spacing w:val="3"/>
          <w:sz w:val="23"/>
          <w:szCs w:val="23"/>
        </w:rPr>
        <w:t>计) 。</w:t>
      </w:r>
    </w:p>
    <w:p w14:paraId="53E985C1">
      <w:pPr>
        <w:spacing w:before="101" w:line="219" w:lineRule="auto"/>
        <w:ind w:left="117"/>
        <w:outlineLvl w:val="3"/>
        <w:rPr>
          <w:rFonts w:ascii="宋体" w:hAnsi="宋体" w:eastAsia="宋体" w:cs="宋体"/>
          <w:sz w:val="28"/>
          <w:szCs w:val="28"/>
        </w:rPr>
      </w:pPr>
      <w:r>
        <w:rPr>
          <w:rFonts w:ascii="Times New Roman" w:hAnsi="Times New Roman" w:eastAsia="Times New Roman" w:cs="Times New Roman"/>
          <w:b/>
          <w:bCs/>
          <w:spacing w:val="12"/>
          <w:sz w:val="28"/>
          <w:szCs w:val="28"/>
        </w:rPr>
        <w:t>5</w:t>
      </w:r>
      <w:r>
        <w:rPr>
          <w:rFonts w:ascii="Times New Roman" w:hAnsi="Times New Roman" w:eastAsia="Times New Roman" w:cs="Times New Roman"/>
          <w:b/>
          <w:bCs/>
          <w:spacing w:val="7"/>
          <w:sz w:val="28"/>
          <w:szCs w:val="28"/>
        </w:rPr>
        <w:t>.2.1.1</w:t>
      </w:r>
      <w:r>
        <w:rPr>
          <w:rFonts w:ascii="Times New Roman" w:hAnsi="Times New Roman" w:eastAsia="Times New Roman" w:cs="Times New Roman"/>
          <w:spacing w:val="7"/>
          <w:sz w:val="28"/>
          <w:szCs w:val="28"/>
        </w:rPr>
        <w:t xml:space="preserve"> </w:t>
      </w:r>
      <w:r>
        <w:rPr>
          <w:rFonts w:ascii="宋体" w:hAnsi="宋体" w:eastAsia="宋体" w:cs="宋体"/>
          <w:spacing w:val="7"/>
          <w:sz w:val="28"/>
          <w:szCs w:val="28"/>
          <w14:textOutline w14:w="5103" w14:cap="sq" w14:cmpd="sng">
            <w14:solidFill>
              <w14:srgbClr w14:val="000000"/>
            </w14:solidFill>
            <w14:prstDash w14:val="solid"/>
            <w14:bevel/>
          </w14:textOutline>
        </w:rPr>
        <w:t>基本气象资料</w:t>
      </w:r>
    </w:p>
    <w:p w14:paraId="77745709">
      <w:pPr>
        <w:spacing w:line="272" w:lineRule="auto"/>
        <w:rPr>
          <w:rFonts w:ascii="Arial"/>
          <w:sz w:val="21"/>
        </w:rPr>
      </w:pPr>
    </w:p>
    <w:p w14:paraId="7241D940">
      <w:pPr>
        <w:spacing w:before="75" w:line="400" w:lineRule="auto"/>
        <w:ind w:left="118" w:right="107" w:firstLine="478"/>
        <w:rPr>
          <w:rFonts w:ascii="宋体" w:hAnsi="宋体" w:eastAsia="宋体" w:cs="宋体"/>
          <w:sz w:val="23"/>
          <w:szCs w:val="23"/>
        </w:rPr>
      </w:pPr>
      <w:r>
        <w:rPr>
          <w:rFonts w:ascii="宋体" w:hAnsi="宋体" w:eastAsia="宋体" w:cs="宋体"/>
          <w:spacing w:val="7"/>
          <w:sz w:val="23"/>
          <w:szCs w:val="23"/>
        </w:rPr>
        <w:t>采用本溪市气象站累年地面常规气象资料进行统计分析。本溪市累年各月</w:t>
      </w:r>
      <w:r>
        <w:rPr>
          <w:rFonts w:ascii="宋体" w:hAnsi="宋体" w:eastAsia="宋体" w:cs="宋体"/>
          <w:spacing w:val="3"/>
          <w:sz w:val="23"/>
          <w:szCs w:val="23"/>
        </w:rPr>
        <w:t>各</w:t>
      </w:r>
      <w:r>
        <w:rPr>
          <w:rFonts w:ascii="宋体" w:hAnsi="宋体" w:eastAsia="宋体" w:cs="宋体"/>
          <w:sz w:val="23"/>
          <w:szCs w:val="23"/>
        </w:rPr>
        <w:t xml:space="preserve"> </w:t>
      </w:r>
      <w:r>
        <w:rPr>
          <w:rFonts w:ascii="宋体" w:hAnsi="宋体" w:eastAsia="宋体" w:cs="宋体"/>
          <w:spacing w:val="1"/>
          <w:sz w:val="23"/>
          <w:szCs w:val="23"/>
        </w:rPr>
        <w:t xml:space="preserve">要素统计见表 </w:t>
      </w:r>
      <w:r>
        <w:rPr>
          <w:rFonts w:ascii="Times New Roman" w:hAnsi="Times New Roman" w:eastAsia="Times New Roman" w:cs="Times New Roman"/>
          <w:sz w:val="23"/>
          <w:szCs w:val="23"/>
        </w:rPr>
        <w:t>5-4</w:t>
      </w:r>
      <w:r>
        <w:rPr>
          <w:rFonts w:ascii="宋体" w:hAnsi="宋体" w:eastAsia="宋体" w:cs="宋体"/>
          <w:sz w:val="23"/>
          <w:szCs w:val="23"/>
        </w:rPr>
        <w:t>。</w:t>
      </w:r>
    </w:p>
    <w:p w14:paraId="6D0FD71B">
      <w:pPr>
        <w:spacing w:before="140" w:line="227" w:lineRule="auto"/>
        <w:ind w:left="2158"/>
        <w:rPr>
          <w:rFonts w:ascii="宋体" w:hAnsi="宋体" w:eastAsia="宋体" w:cs="宋体"/>
          <w:sz w:val="23"/>
          <w:szCs w:val="23"/>
        </w:rPr>
      </w:pPr>
      <w:r>
        <w:rPr>
          <w:rFonts w:ascii="宋体" w:hAnsi="宋体" w:eastAsia="宋体" w:cs="宋体"/>
          <w:spacing w:val="8"/>
          <w:sz w:val="23"/>
          <w:szCs w:val="23"/>
          <w14:textOutline w14:w="4358" w14:cap="sq" w14:cmpd="sng">
            <w14:solidFill>
              <w14:srgbClr w14:val="000000"/>
            </w14:solidFill>
            <w14:prstDash w14:val="solid"/>
            <w14:bevel/>
          </w14:textOutline>
        </w:rPr>
        <w:t>表</w:t>
      </w:r>
      <w:r>
        <w:rPr>
          <w:rFonts w:ascii="宋体" w:hAnsi="宋体" w:eastAsia="宋体" w:cs="宋体"/>
          <w:spacing w:val="8"/>
          <w:sz w:val="23"/>
          <w:szCs w:val="23"/>
        </w:rPr>
        <w:t xml:space="preserve"> </w:t>
      </w:r>
      <w:r>
        <w:rPr>
          <w:rFonts w:ascii="Times New Roman" w:hAnsi="Times New Roman" w:eastAsia="Times New Roman" w:cs="Times New Roman"/>
          <w:b/>
          <w:bCs/>
          <w:spacing w:val="8"/>
          <w:sz w:val="23"/>
          <w:szCs w:val="23"/>
        </w:rPr>
        <w:t>5-</w:t>
      </w:r>
      <w:r>
        <w:rPr>
          <w:rFonts w:ascii="Times New Roman" w:hAnsi="Times New Roman" w:eastAsia="Times New Roman" w:cs="Times New Roman"/>
          <w:b/>
          <w:bCs/>
          <w:spacing w:val="7"/>
          <w:sz w:val="23"/>
          <w:szCs w:val="23"/>
        </w:rPr>
        <w:t>4</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本溪市累年各月各要素统计表</w:t>
      </w:r>
    </w:p>
    <w:p w14:paraId="305C2982">
      <w:pPr>
        <w:spacing w:line="20"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1"/>
        <w:gridCol w:w="580"/>
        <w:gridCol w:w="580"/>
        <w:gridCol w:w="580"/>
        <w:gridCol w:w="580"/>
        <w:gridCol w:w="580"/>
        <w:gridCol w:w="580"/>
        <w:gridCol w:w="580"/>
        <w:gridCol w:w="580"/>
        <w:gridCol w:w="580"/>
        <w:gridCol w:w="580"/>
        <w:gridCol w:w="580"/>
        <w:gridCol w:w="580"/>
        <w:gridCol w:w="581"/>
      </w:tblGrid>
      <w:tr w14:paraId="4BEB26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981" w:type="dxa"/>
            <w:tcBorders>
              <w:left w:val="nil"/>
            </w:tcBorders>
            <w:vAlign w:val="top"/>
          </w:tcPr>
          <w:p w14:paraId="14D44030">
            <w:pPr>
              <w:spacing w:before="14" w:line="288" w:lineRule="exact"/>
              <w:ind w:left="157"/>
              <w:rPr>
                <w:rFonts w:ascii="宋体" w:hAnsi="宋体" w:eastAsia="宋体" w:cs="宋体"/>
                <w:sz w:val="20"/>
                <w:szCs w:val="20"/>
              </w:rPr>
            </w:pPr>
            <w:r>
              <w:rPr>
                <w:rFonts w:ascii="宋体" w:hAnsi="宋体" w:eastAsia="宋体" w:cs="宋体"/>
                <w:spacing w:val="5"/>
                <w:position w:val="2"/>
                <w:sz w:val="20"/>
                <w:szCs w:val="20"/>
                <w14:textOutline w14:w="3780" w14:cap="sq" w14:cmpd="sng">
                  <w14:solidFill>
                    <w14:srgbClr w14:val="000000"/>
                  </w14:solidFill>
                  <w14:prstDash w14:val="solid"/>
                  <w14:bevel/>
                </w14:textOutline>
              </w:rPr>
              <w:t>项目</w:t>
            </w:r>
            <w:r>
              <w:rPr>
                <w:rFonts w:ascii="Times New Roman" w:hAnsi="Times New Roman" w:eastAsia="Times New Roman" w:cs="Times New Roman"/>
                <w:b/>
                <w:bCs/>
                <w:spacing w:val="5"/>
                <w:position w:val="2"/>
                <w:sz w:val="20"/>
                <w:szCs w:val="20"/>
              </w:rPr>
              <w:t>/</w:t>
            </w:r>
            <w:r>
              <w:rPr>
                <w:rFonts w:ascii="宋体" w:hAnsi="宋体" w:eastAsia="宋体" w:cs="宋体"/>
                <w:spacing w:val="4"/>
                <w:position w:val="2"/>
                <w:sz w:val="20"/>
                <w:szCs w:val="20"/>
                <w14:textOutline w14:w="3780" w14:cap="sq" w14:cmpd="sng">
                  <w14:solidFill>
                    <w14:srgbClr w14:val="000000"/>
                  </w14:solidFill>
                  <w14:prstDash w14:val="solid"/>
                  <w14:bevel/>
                </w14:textOutline>
              </w:rPr>
              <w:t>月</w:t>
            </w:r>
          </w:p>
        </w:tc>
        <w:tc>
          <w:tcPr>
            <w:tcW w:w="580" w:type="dxa"/>
            <w:vAlign w:val="top"/>
          </w:tcPr>
          <w:p w14:paraId="6EAC6FC3">
            <w:pPr>
              <w:spacing w:before="91" w:line="195" w:lineRule="auto"/>
              <w:ind w:left="247"/>
              <w:rPr>
                <w:rFonts w:ascii="Times New Roman" w:hAnsi="Times New Roman" w:eastAsia="Times New Roman" w:cs="Times New Roman"/>
                <w:sz w:val="20"/>
                <w:szCs w:val="20"/>
              </w:rPr>
            </w:pPr>
            <w:r>
              <w:rPr>
                <w:rFonts w:ascii="Times New Roman" w:hAnsi="Times New Roman" w:eastAsia="Times New Roman" w:cs="Times New Roman"/>
                <w:b/>
                <w:bCs/>
                <w:sz w:val="20"/>
                <w:szCs w:val="20"/>
              </w:rPr>
              <w:t>1</w:t>
            </w:r>
          </w:p>
        </w:tc>
        <w:tc>
          <w:tcPr>
            <w:tcW w:w="580" w:type="dxa"/>
            <w:vAlign w:val="top"/>
          </w:tcPr>
          <w:p w14:paraId="597D088E">
            <w:pPr>
              <w:spacing w:before="91" w:line="195" w:lineRule="auto"/>
              <w:ind w:left="239"/>
              <w:rPr>
                <w:rFonts w:ascii="Times New Roman" w:hAnsi="Times New Roman" w:eastAsia="Times New Roman" w:cs="Times New Roman"/>
                <w:sz w:val="20"/>
                <w:szCs w:val="20"/>
              </w:rPr>
            </w:pPr>
            <w:r>
              <w:rPr>
                <w:rFonts w:ascii="Times New Roman" w:hAnsi="Times New Roman" w:eastAsia="Times New Roman" w:cs="Times New Roman"/>
                <w:b/>
                <w:bCs/>
                <w:sz w:val="20"/>
                <w:szCs w:val="20"/>
              </w:rPr>
              <w:t>2</w:t>
            </w:r>
          </w:p>
        </w:tc>
        <w:tc>
          <w:tcPr>
            <w:tcW w:w="580" w:type="dxa"/>
            <w:vAlign w:val="top"/>
          </w:tcPr>
          <w:p w14:paraId="53C862A3">
            <w:pPr>
              <w:spacing w:before="91" w:line="195" w:lineRule="auto"/>
              <w:ind w:left="238"/>
              <w:rPr>
                <w:rFonts w:ascii="Times New Roman" w:hAnsi="Times New Roman" w:eastAsia="Times New Roman" w:cs="Times New Roman"/>
                <w:sz w:val="20"/>
                <w:szCs w:val="20"/>
              </w:rPr>
            </w:pPr>
            <w:r>
              <w:rPr>
                <w:rFonts w:ascii="Times New Roman" w:hAnsi="Times New Roman" w:eastAsia="Times New Roman" w:cs="Times New Roman"/>
                <w:b/>
                <w:bCs/>
                <w:spacing w:val="1"/>
                <w:sz w:val="20"/>
                <w:szCs w:val="20"/>
              </w:rPr>
              <w:t>3</w:t>
            </w:r>
          </w:p>
        </w:tc>
        <w:tc>
          <w:tcPr>
            <w:tcW w:w="580" w:type="dxa"/>
            <w:vAlign w:val="top"/>
          </w:tcPr>
          <w:p w14:paraId="474566AE">
            <w:pPr>
              <w:spacing w:before="91" w:line="195" w:lineRule="auto"/>
              <w:ind w:left="238"/>
              <w:rPr>
                <w:rFonts w:ascii="Times New Roman" w:hAnsi="Times New Roman" w:eastAsia="Times New Roman" w:cs="Times New Roman"/>
                <w:sz w:val="20"/>
                <w:szCs w:val="20"/>
              </w:rPr>
            </w:pPr>
            <w:r>
              <w:rPr>
                <w:rFonts w:ascii="Times New Roman" w:hAnsi="Times New Roman" w:eastAsia="Times New Roman" w:cs="Times New Roman"/>
                <w:b/>
                <w:bCs/>
                <w:sz w:val="20"/>
                <w:szCs w:val="20"/>
              </w:rPr>
              <w:t>4</w:t>
            </w:r>
          </w:p>
        </w:tc>
        <w:tc>
          <w:tcPr>
            <w:tcW w:w="580" w:type="dxa"/>
            <w:vAlign w:val="top"/>
          </w:tcPr>
          <w:p w14:paraId="04418D5F">
            <w:pPr>
              <w:spacing w:before="94" w:line="192" w:lineRule="auto"/>
              <w:ind w:left="241"/>
              <w:rPr>
                <w:rFonts w:ascii="Times New Roman" w:hAnsi="Times New Roman" w:eastAsia="Times New Roman" w:cs="Times New Roman"/>
                <w:sz w:val="20"/>
                <w:szCs w:val="20"/>
              </w:rPr>
            </w:pPr>
            <w:r>
              <w:rPr>
                <w:rFonts w:ascii="Times New Roman" w:hAnsi="Times New Roman" w:eastAsia="Times New Roman" w:cs="Times New Roman"/>
                <w:b/>
                <w:bCs/>
                <w:sz w:val="20"/>
                <w:szCs w:val="20"/>
              </w:rPr>
              <w:t>5</w:t>
            </w:r>
          </w:p>
        </w:tc>
        <w:tc>
          <w:tcPr>
            <w:tcW w:w="580" w:type="dxa"/>
            <w:vAlign w:val="top"/>
          </w:tcPr>
          <w:p w14:paraId="5EB2A047">
            <w:pPr>
              <w:spacing w:before="91" w:line="195" w:lineRule="auto"/>
              <w:ind w:left="242"/>
              <w:rPr>
                <w:rFonts w:ascii="Times New Roman" w:hAnsi="Times New Roman" w:eastAsia="Times New Roman" w:cs="Times New Roman"/>
                <w:sz w:val="20"/>
                <w:szCs w:val="20"/>
              </w:rPr>
            </w:pPr>
            <w:r>
              <w:rPr>
                <w:rFonts w:ascii="Times New Roman" w:hAnsi="Times New Roman" w:eastAsia="Times New Roman" w:cs="Times New Roman"/>
                <w:b/>
                <w:bCs/>
                <w:sz w:val="20"/>
                <w:szCs w:val="20"/>
              </w:rPr>
              <w:t>6</w:t>
            </w:r>
          </w:p>
        </w:tc>
        <w:tc>
          <w:tcPr>
            <w:tcW w:w="580" w:type="dxa"/>
            <w:vAlign w:val="top"/>
          </w:tcPr>
          <w:p w14:paraId="56AD4D17">
            <w:pPr>
              <w:spacing w:before="94" w:line="192" w:lineRule="auto"/>
              <w:ind w:left="240"/>
              <w:rPr>
                <w:rFonts w:ascii="Times New Roman" w:hAnsi="Times New Roman" w:eastAsia="Times New Roman" w:cs="Times New Roman"/>
                <w:sz w:val="20"/>
                <w:szCs w:val="20"/>
              </w:rPr>
            </w:pPr>
            <w:r>
              <w:rPr>
                <w:rFonts w:ascii="Times New Roman" w:hAnsi="Times New Roman" w:eastAsia="Times New Roman" w:cs="Times New Roman"/>
                <w:b/>
                <w:bCs/>
                <w:sz w:val="20"/>
                <w:szCs w:val="20"/>
              </w:rPr>
              <w:t>7</w:t>
            </w:r>
          </w:p>
        </w:tc>
        <w:tc>
          <w:tcPr>
            <w:tcW w:w="580" w:type="dxa"/>
            <w:vAlign w:val="top"/>
          </w:tcPr>
          <w:p w14:paraId="66F3DE60">
            <w:pPr>
              <w:spacing w:before="92" w:line="194" w:lineRule="auto"/>
              <w:ind w:left="241"/>
              <w:rPr>
                <w:rFonts w:ascii="Times New Roman" w:hAnsi="Times New Roman" w:eastAsia="Times New Roman" w:cs="Times New Roman"/>
                <w:sz w:val="20"/>
                <w:szCs w:val="20"/>
              </w:rPr>
            </w:pPr>
            <w:r>
              <w:rPr>
                <w:rFonts w:ascii="Times New Roman" w:hAnsi="Times New Roman" w:eastAsia="Times New Roman" w:cs="Times New Roman"/>
                <w:b/>
                <w:bCs/>
                <w:sz w:val="20"/>
                <w:szCs w:val="20"/>
              </w:rPr>
              <w:t>8</w:t>
            </w:r>
          </w:p>
        </w:tc>
        <w:tc>
          <w:tcPr>
            <w:tcW w:w="580" w:type="dxa"/>
            <w:vAlign w:val="top"/>
          </w:tcPr>
          <w:p w14:paraId="04F9DC82">
            <w:pPr>
              <w:spacing w:before="91" w:line="195" w:lineRule="auto"/>
              <w:ind w:left="241"/>
              <w:rPr>
                <w:rFonts w:ascii="Times New Roman" w:hAnsi="Times New Roman" w:eastAsia="Times New Roman" w:cs="Times New Roman"/>
                <w:sz w:val="20"/>
                <w:szCs w:val="20"/>
              </w:rPr>
            </w:pPr>
            <w:r>
              <w:rPr>
                <w:rFonts w:ascii="Times New Roman" w:hAnsi="Times New Roman" w:eastAsia="Times New Roman" w:cs="Times New Roman"/>
                <w:b/>
                <w:bCs/>
                <w:sz w:val="20"/>
                <w:szCs w:val="20"/>
              </w:rPr>
              <w:t>9</w:t>
            </w:r>
          </w:p>
        </w:tc>
        <w:tc>
          <w:tcPr>
            <w:tcW w:w="580" w:type="dxa"/>
            <w:vAlign w:val="top"/>
          </w:tcPr>
          <w:p w14:paraId="17F3906E">
            <w:pPr>
              <w:spacing w:before="91" w:line="195" w:lineRule="auto"/>
              <w:ind w:left="196"/>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10</w:t>
            </w:r>
          </w:p>
        </w:tc>
        <w:tc>
          <w:tcPr>
            <w:tcW w:w="580" w:type="dxa"/>
            <w:vAlign w:val="top"/>
          </w:tcPr>
          <w:p w14:paraId="63CA9CAD">
            <w:pPr>
              <w:spacing w:before="91" w:line="195" w:lineRule="auto"/>
              <w:ind w:left="195"/>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11</w:t>
            </w:r>
          </w:p>
        </w:tc>
        <w:tc>
          <w:tcPr>
            <w:tcW w:w="580" w:type="dxa"/>
            <w:vAlign w:val="top"/>
          </w:tcPr>
          <w:p w14:paraId="7B6E7409">
            <w:pPr>
              <w:spacing w:before="91" w:line="195" w:lineRule="auto"/>
              <w:ind w:left="195"/>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12</w:t>
            </w:r>
          </w:p>
        </w:tc>
        <w:tc>
          <w:tcPr>
            <w:tcW w:w="581" w:type="dxa"/>
            <w:tcBorders>
              <w:right w:val="nil"/>
            </w:tcBorders>
            <w:vAlign w:val="top"/>
          </w:tcPr>
          <w:p w14:paraId="3202B0B5">
            <w:pPr>
              <w:spacing w:before="54" w:line="228" w:lineRule="auto"/>
              <w:ind w:left="191"/>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年</w:t>
            </w:r>
          </w:p>
        </w:tc>
      </w:tr>
      <w:tr w14:paraId="5F885A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981" w:type="dxa"/>
            <w:tcBorders>
              <w:left w:val="nil"/>
            </w:tcBorders>
            <w:vAlign w:val="top"/>
          </w:tcPr>
          <w:p w14:paraId="64A99D86">
            <w:pPr>
              <w:spacing w:before="31" w:line="239" w:lineRule="auto"/>
              <w:ind w:left="174" w:right="160" w:firstLine="7"/>
              <w:rPr>
                <w:rFonts w:ascii="Times New Roman" w:hAnsi="Times New Roman" w:eastAsia="Times New Roman" w:cs="Times New Roman"/>
                <w:sz w:val="20"/>
                <w:szCs w:val="20"/>
              </w:rPr>
            </w:pPr>
            <w:r>
              <w:rPr>
                <w:rFonts w:ascii="宋体" w:hAnsi="宋体" w:eastAsia="宋体" w:cs="宋体"/>
                <w:spacing w:val="7"/>
                <w:sz w:val="20"/>
                <w:szCs w:val="20"/>
              </w:rPr>
              <w:t>平均气</w:t>
            </w:r>
            <w:r>
              <w:rPr>
                <w:rFonts w:ascii="宋体" w:hAnsi="宋体" w:eastAsia="宋体" w:cs="宋体"/>
                <w:sz w:val="20"/>
                <w:szCs w:val="20"/>
              </w:rPr>
              <w:t xml:space="preserve"> </w:t>
            </w:r>
            <w:r>
              <w:rPr>
                <w:rFonts w:ascii="宋体" w:hAnsi="宋体" w:eastAsia="宋体" w:cs="宋体"/>
                <w:spacing w:val="7"/>
                <w:sz w:val="20"/>
                <w:szCs w:val="20"/>
              </w:rPr>
              <w:t>压</w:t>
            </w:r>
            <w:r>
              <w:rPr>
                <w:rFonts w:ascii="Times New Roman" w:hAnsi="Times New Roman" w:eastAsia="Times New Roman" w:cs="Times New Roman"/>
                <w:spacing w:val="7"/>
                <w:sz w:val="20"/>
                <w:szCs w:val="20"/>
              </w:rPr>
              <w:t>(</w:t>
            </w:r>
            <w:r>
              <w:rPr>
                <w:rFonts w:ascii="Times New Roman" w:hAnsi="Times New Roman" w:eastAsia="Times New Roman" w:cs="Times New Roman"/>
                <w:sz w:val="20"/>
                <w:szCs w:val="20"/>
              </w:rPr>
              <w:t>hpa</w:t>
            </w:r>
            <w:r>
              <w:rPr>
                <w:rFonts w:ascii="Times New Roman" w:hAnsi="Times New Roman" w:eastAsia="Times New Roman" w:cs="Times New Roman"/>
                <w:spacing w:val="7"/>
                <w:sz w:val="20"/>
                <w:szCs w:val="20"/>
              </w:rPr>
              <w:t>)</w:t>
            </w:r>
          </w:p>
        </w:tc>
        <w:tc>
          <w:tcPr>
            <w:tcW w:w="580" w:type="dxa"/>
            <w:vAlign w:val="top"/>
          </w:tcPr>
          <w:p w14:paraId="2990D685">
            <w:pPr>
              <w:spacing w:before="82" w:line="242" w:lineRule="exact"/>
              <w:ind w:left="154"/>
              <w:rPr>
                <w:rFonts w:ascii="Times New Roman" w:hAnsi="Times New Roman" w:eastAsia="Times New Roman" w:cs="Times New Roman"/>
                <w:sz w:val="20"/>
                <w:szCs w:val="20"/>
              </w:rPr>
            </w:pPr>
            <w:r>
              <w:rPr>
                <w:rFonts w:ascii="Times New Roman" w:hAnsi="Times New Roman" w:eastAsia="Times New Roman" w:cs="Times New Roman"/>
                <w:spacing w:val="-3"/>
                <w:position w:val="5"/>
                <w:sz w:val="20"/>
                <w:szCs w:val="20"/>
              </w:rPr>
              <w:t>102</w:t>
            </w:r>
          </w:p>
          <w:p w14:paraId="54409147">
            <w:pPr>
              <w:spacing w:line="197" w:lineRule="auto"/>
              <w:ind w:left="15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4.5</w:t>
            </w:r>
          </w:p>
        </w:tc>
        <w:tc>
          <w:tcPr>
            <w:tcW w:w="580" w:type="dxa"/>
            <w:vAlign w:val="top"/>
          </w:tcPr>
          <w:p w14:paraId="6F8D2656">
            <w:pPr>
              <w:spacing w:before="82" w:line="242" w:lineRule="exact"/>
              <w:ind w:left="152"/>
              <w:rPr>
                <w:rFonts w:ascii="Times New Roman" w:hAnsi="Times New Roman" w:eastAsia="Times New Roman" w:cs="Times New Roman"/>
                <w:sz w:val="20"/>
                <w:szCs w:val="20"/>
              </w:rPr>
            </w:pPr>
            <w:r>
              <w:rPr>
                <w:rFonts w:ascii="Times New Roman" w:hAnsi="Times New Roman" w:eastAsia="Times New Roman" w:cs="Times New Roman"/>
                <w:spacing w:val="-3"/>
                <w:position w:val="5"/>
                <w:sz w:val="20"/>
                <w:szCs w:val="20"/>
              </w:rPr>
              <w:t>102</w:t>
            </w:r>
          </w:p>
          <w:p w14:paraId="6232A5B2">
            <w:pPr>
              <w:spacing w:line="197" w:lineRule="auto"/>
              <w:ind w:left="16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4</w:t>
            </w:r>
          </w:p>
        </w:tc>
        <w:tc>
          <w:tcPr>
            <w:tcW w:w="580" w:type="dxa"/>
            <w:vAlign w:val="top"/>
          </w:tcPr>
          <w:p w14:paraId="46B28419">
            <w:pPr>
              <w:spacing w:before="82" w:line="242" w:lineRule="exact"/>
              <w:ind w:left="153"/>
              <w:rPr>
                <w:rFonts w:ascii="Times New Roman" w:hAnsi="Times New Roman" w:eastAsia="Times New Roman" w:cs="Times New Roman"/>
                <w:sz w:val="20"/>
                <w:szCs w:val="20"/>
              </w:rPr>
            </w:pPr>
            <w:r>
              <w:rPr>
                <w:rFonts w:ascii="Times New Roman" w:hAnsi="Times New Roman" w:eastAsia="Times New Roman" w:cs="Times New Roman"/>
                <w:spacing w:val="-3"/>
                <w:position w:val="5"/>
                <w:sz w:val="20"/>
                <w:szCs w:val="20"/>
              </w:rPr>
              <w:t>101</w:t>
            </w:r>
          </w:p>
          <w:p w14:paraId="4B537601">
            <w:pPr>
              <w:spacing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8</w:t>
            </w:r>
            <w:r>
              <w:rPr>
                <w:rFonts w:ascii="Times New Roman" w:hAnsi="Times New Roman" w:eastAsia="Times New Roman" w:cs="Times New Roman"/>
                <w:spacing w:val="6"/>
                <w:sz w:val="20"/>
                <w:szCs w:val="20"/>
              </w:rPr>
              <w:t>.1</w:t>
            </w:r>
          </w:p>
        </w:tc>
        <w:tc>
          <w:tcPr>
            <w:tcW w:w="580" w:type="dxa"/>
            <w:vAlign w:val="top"/>
          </w:tcPr>
          <w:p w14:paraId="7A2FCF2C">
            <w:pPr>
              <w:spacing w:before="81" w:line="195" w:lineRule="auto"/>
              <w:ind w:left="15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101</w:t>
            </w:r>
          </w:p>
          <w:p w14:paraId="47AF530B">
            <w:pPr>
              <w:spacing w:before="55" w:line="195" w:lineRule="auto"/>
              <w:ind w:left="257"/>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580" w:type="dxa"/>
            <w:vAlign w:val="top"/>
          </w:tcPr>
          <w:p w14:paraId="55FBCC90">
            <w:pPr>
              <w:spacing w:before="82" w:line="242" w:lineRule="exact"/>
              <w:ind w:left="152"/>
              <w:rPr>
                <w:rFonts w:ascii="Times New Roman" w:hAnsi="Times New Roman" w:eastAsia="Times New Roman" w:cs="Times New Roman"/>
                <w:sz w:val="20"/>
                <w:szCs w:val="20"/>
              </w:rPr>
            </w:pPr>
            <w:r>
              <w:rPr>
                <w:rFonts w:ascii="Times New Roman" w:hAnsi="Times New Roman" w:eastAsia="Times New Roman" w:cs="Times New Roman"/>
                <w:spacing w:val="-3"/>
                <w:position w:val="5"/>
                <w:sz w:val="20"/>
                <w:szCs w:val="20"/>
              </w:rPr>
              <w:t>100</w:t>
            </w:r>
          </w:p>
          <w:p w14:paraId="56C110E2">
            <w:pPr>
              <w:spacing w:line="195" w:lineRule="auto"/>
              <w:ind w:left="16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6.8</w:t>
            </w:r>
          </w:p>
        </w:tc>
        <w:tc>
          <w:tcPr>
            <w:tcW w:w="580" w:type="dxa"/>
            <w:vAlign w:val="top"/>
          </w:tcPr>
          <w:p w14:paraId="4D1EA57E">
            <w:pPr>
              <w:spacing w:before="82" w:line="242" w:lineRule="exact"/>
              <w:ind w:left="153"/>
              <w:rPr>
                <w:rFonts w:ascii="Times New Roman" w:hAnsi="Times New Roman" w:eastAsia="Times New Roman" w:cs="Times New Roman"/>
                <w:sz w:val="20"/>
                <w:szCs w:val="20"/>
              </w:rPr>
            </w:pPr>
            <w:r>
              <w:rPr>
                <w:rFonts w:ascii="Times New Roman" w:hAnsi="Times New Roman" w:eastAsia="Times New Roman" w:cs="Times New Roman"/>
                <w:spacing w:val="-3"/>
                <w:position w:val="5"/>
                <w:sz w:val="20"/>
                <w:szCs w:val="20"/>
              </w:rPr>
              <w:t>100</w:t>
            </w:r>
          </w:p>
          <w:p w14:paraId="73D2587C">
            <w:pPr>
              <w:spacing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3.1</w:t>
            </w:r>
          </w:p>
        </w:tc>
        <w:tc>
          <w:tcPr>
            <w:tcW w:w="580" w:type="dxa"/>
            <w:vAlign w:val="top"/>
          </w:tcPr>
          <w:p w14:paraId="1FF394BB">
            <w:pPr>
              <w:spacing w:before="82" w:line="242" w:lineRule="exact"/>
              <w:ind w:left="154"/>
              <w:rPr>
                <w:rFonts w:ascii="Times New Roman" w:hAnsi="Times New Roman" w:eastAsia="Times New Roman" w:cs="Times New Roman"/>
                <w:sz w:val="20"/>
                <w:szCs w:val="20"/>
              </w:rPr>
            </w:pPr>
            <w:r>
              <w:rPr>
                <w:rFonts w:ascii="Times New Roman" w:hAnsi="Times New Roman" w:eastAsia="Times New Roman" w:cs="Times New Roman"/>
                <w:spacing w:val="-3"/>
                <w:position w:val="5"/>
                <w:sz w:val="20"/>
                <w:szCs w:val="20"/>
              </w:rPr>
              <w:t>100</w:t>
            </w:r>
          </w:p>
          <w:p w14:paraId="73BB7A85">
            <w:pPr>
              <w:spacing w:line="197" w:lineRule="auto"/>
              <w:ind w:left="18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.8</w:t>
            </w:r>
          </w:p>
        </w:tc>
        <w:tc>
          <w:tcPr>
            <w:tcW w:w="580" w:type="dxa"/>
            <w:vAlign w:val="top"/>
          </w:tcPr>
          <w:p w14:paraId="30A1BE04">
            <w:pPr>
              <w:spacing w:before="82" w:line="242" w:lineRule="exact"/>
              <w:ind w:left="152"/>
              <w:rPr>
                <w:rFonts w:ascii="Times New Roman" w:hAnsi="Times New Roman" w:eastAsia="Times New Roman" w:cs="Times New Roman"/>
                <w:sz w:val="20"/>
                <w:szCs w:val="20"/>
              </w:rPr>
            </w:pPr>
            <w:r>
              <w:rPr>
                <w:rFonts w:ascii="Times New Roman" w:hAnsi="Times New Roman" w:eastAsia="Times New Roman" w:cs="Times New Roman"/>
                <w:spacing w:val="-3"/>
                <w:position w:val="5"/>
                <w:sz w:val="20"/>
                <w:szCs w:val="20"/>
              </w:rPr>
              <w:t>100</w:t>
            </w:r>
          </w:p>
          <w:p w14:paraId="32B39546">
            <w:pPr>
              <w:spacing w:line="195" w:lineRule="auto"/>
              <w:ind w:left="1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w:t>
            </w:r>
            <w:r>
              <w:rPr>
                <w:rFonts w:ascii="Times New Roman" w:hAnsi="Times New Roman" w:eastAsia="Times New Roman" w:cs="Times New Roman"/>
                <w:spacing w:val="1"/>
                <w:sz w:val="20"/>
                <w:szCs w:val="20"/>
              </w:rPr>
              <w:t>0</w:t>
            </w:r>
          </w:p>
        </w:tc>
        <w:tc>
          <w:tcPr>
            <w:tcW w:w="580" w:type="dxa"/>
            <w:vAlign w:val="top"/>
          </w:tcPr>
          <w:p w14:paraId="79D78589">
            <w:pPr>
              <w:spacing w:before="82" w:line="242" w:lineRule="exact"/>
              <w:ind w:left="158"/>
              <w:rPr>
                <w:rFonts w:ascii="Times New Roman" w:hAnsi="Times New Roman" w:eastAsia="Times New Roman" w:cs="Times New Roman"/>
                <w:sz w:val="20"/>
                <w:szCs w:val="20"/>
              </w:rPr>
            </w:pPr>
            <w:r>
              <w:rPr>
                <w:rFonts w:ascii="Times New Roman" w:hAnsi="Times New Roman" w:eastAsia="Times New Roman" w:cs="Times New Roman"/>
                <w:spacing w:val="-3"/>
                <w:position w:val="5"/>
                <w:sz w:val="20"/>
                <w:szCs w:val="20"/>
              </w:rPr>
              <w:t>101</w:t>
            </w:r>
          </w:p>
          <w:p w14:paraId="3BCB745F">
            <w:pPr>
              <w:spacing w:line="197" w:lineRule="auto"/>
              <w:ind w:left="18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1.4</w:t>
            </w:r>
          </w:p>
        </w:tc>
        <w:tc>
          <w:tcPr>
            <w:tcW w:w="580" w:type="dxa"/>
            <w:vAlign w:val="top"/>
          </w:tcPr>
          <w:p w14:paraId="18A315D1">
            <w:pPr>
              <w:spacing w:before="82" w:line="242" w:lineRule="exact"/>
              <w:ind w:left="154"/>
              <w:rPr>
                <w:rFonts w:ascii="Times New Roman" w:hAnsi="Times New Roman" w:eastAsia="Times New Roman" w:cs="Times New Roman"/>
                <w:sz w:val="20"/>
                <w:szCs w:val="20"/>
              </w:rPr>
            </w:pPr>
            <w:r>
              <w:rPr>
                <w:rFonts w:ascii="Times New Roman" w:hAnsi="Times New Roman" w:eastAsia="Times New Roman" w:cs="Times New Roman"/>
                <w:spacing w:val="-3"/>
                <w:position w:val="5"/>
                <w:sz w:val="20"/>
                <w:szCs w:val="20"/>
              </w:rPr>
              <w:t>101</w:t>
            </w:r>
          </w:p>
          <w:p w14:paraId="117FEE72">
            <w:pPr>
              <w:spacing w:line="194"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w:t>
            </w:r>
            <w:r>
              <w:rPr>
                <w:rFonts w:ascii="Times New Roman" w:hAnsi="Times New Roman" w:eastAsia="Times New Roman" w:cs="Times New Roman"/>
                <w:spacing w:val="1"/>
                <w:sz w:val="20"/>
                <w:szCs w:val="20"/>
              </w:rPr>
              <w:t>4</w:t>
            </w:r>
          </w:p>
        </w:tc>
        <w:tc>
          <w:tcPr>
            <w:tcW w:w="580" w:type="dxa"/>
            <w:vAlign w:val="top"/>
          </w:tcPr>
          <w:p w14:paraId="0B58495E">
            <w:pPr>
              <w:spacing w:before="82" w:line="242" w:lineRule="exact"/>
              <w:ind w:left="152"/>
              <w:rPr>
                <w:rFonts w:ascii="Times New Roman" w:hAnsi="Times New Roman" w:eastAsia="Times New Roman" w:cs="Times New Roman"/>
                <w:sz w:val="20"/>
                <w:szCs w:val="20"/>
              </w:rPr>
            </w:pPr>
            <w:r>
              <w:rPr>
                <w:rFonts w:ascii="Times New Roman" w:hAnsi="Times New Roman" w:eastAsia="Times New Roman" w:cs="Times New Roman"/>
                <w:spacing w:val="-3"/>
                <w:position w:val="5"/>
                <w:sz w:val="20"/>
                <w:szCs w:val="20"/>
              </w:rPr>
              <w:t>102</w:t>
            </w:r>
          </w:p>
          <w:p w14:paraId="6F530E90">
            <w:pPr>
              <w:spacing w:line="197" w:lineRule="auto"/>
              <w:ind w:left="18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2"/>
                <w:sz w:val="20"/>
                <w:szCs w:val="20"/>
              </w:rPr>
              <w:t>.6</w:t>
            </w:r>
          </w:p>
        </w:tc>
        <w:tc>
          <w:tcPr>
            <w:tcW w:w="580" w:type="dxa"/>
            <w:vAlign w:val="top"/>
          </w:tcPr>
          <w:p w14:paraId="47F0775D">
            <w:pPr>
              <w:spacing w:before="82" w:line="242" w:lineRule="exact"/>
              <w:ind w:left="153"/>
              <w:rPr>
                <w:rFonts w:ascii="Times New Roman" w:hAnsi="Times New Roman" w:eastAsia="Times New Roman" w:cs="Times New Roman"/>
                <w:sz w:val="20"/>
                <w:szCs w:val="20"/>
              </w:rPr>
            </w:pPr>
            <w:r>
              <w:rPr>
                <w:rFonts w:ascii="Times New Roman" w:hAnsi="Times New Roman" w:eastAsia="Times New Roman" w:cs="Times New Roman"/>
                <w:spacing w:val="-3"/>
                <w:position w:val="5"/>
                <w:sz w:val="20"/>
                <w:szCs w:val="20"/>
              </w:rPr>
              <w:t>102</w:t>
            </w:r>
          </w:p>
          <w:p w14:paraId="7429F875">
            <w:pPr>
              <w:spacing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3.8</w:t>
            </w:r>
          </w:p>
        </w:tc>
        <w:tc>
          <w:tcPr>
            <w:tcW w:w="581" w:type="dxa"/>
            <w:tcBorders>
              <w:right w:val="nil"/>
            </w:tcBorders>
            <w:vAlign w:val="top"/>
          </w:tcPr>
          <w:p w14:paraId="43B72077">
            <w:pPr>
              <w:spacing w:before="82" w:line="242" w:lineRule="exact"/>
              <w:ind w:left="154"/>
              <w:rPr>
                <w:rFonts w:ascii="Times New Roman" w:hAnsi="Times New Roman" w:eastAsia="Times New Roman" w:cs="Times New Roman"/>
                <w:sz w:val="20"/>
                <w:szCs w:val="20"/>
              </w:rPr>
            </w:pPr>
            <w:r>
              <w:rPr>
                <w:rFonts w:ascii="Times New Roman" w:hAnsi="Times New Roman" w:eastAsia="Times New Roman" w:cs="Times New Roman"/>
                <w:spacing w:val="-3"/>
                <w:position w:val="5"/>
                <w:sz w:val="20"/>
                <w:szCs w:val="20"/>
              </w:rPr>
              <w:t>101</w:t>
            </w:r>
          </w:p>
          <w:p w14:paraId="3B38928B">
            <w:pPr>
              <w:spacing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3</w:t>
            </w:r>
            <w:r>
              <w:rPr>
                <w:rFonts w:ascii="Times New Roman" w:hAnsi="Times New Roman" w:eastAsia="Times New Roman" w:cs="Times New Roman"/>
                <w:spacing w:val="2"/>
                <w:sz w:val="20"/>
                <w:szCs w:val="20"/>
              </w:rPr>
              <w:t>.9</w:t>
            </w:r>
          </w:p>
        </w:tc>
      </w:tr>
      <w:tr w14:paraId="198400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981" w:type="dxa"/>
            <w:tcBorders>
              <w:left w:val="nil"/>
            </w:tcBorders>
            <w:vAlign w:val="top"/>
          </w:tcPr>
          <w:p w14:paraId="21338A8E">
            <w:pPr>
              <w:spacing w:before="31" w:line="239" w:lineRule="auto"/>
              <w:ind w:left="218" w:right="174" w:hanging="36"/>
              <w:rPr>
                <w:rFonts w:ascii="Times New Roman" w:hAnsi="Times New Roman" w:eastAsia="Times New Roman" w:cs="Times New Roman"/>
                <w:sz w:val="20"/>
                <w:szCs w:val="20"/>
              </w:rPr>
            </w:pPr>
            <w:r>
              <w:rPr>
                <w:rFonts w:ascii="宋体" w:hAnsi="宋体" w:eastAsia="宋体" w:cs="宋体"/>
                <w:spacing w:val="7"/>
                <w:sz w:val="20"/>
                <w:szCs w:val="20"/>
              </w:rPr>
              <w:t>平均气</w:t>
            </w:r>
            <w:r>
              <w:rPr>
                <w:rFonts w:ascii="宋体" w:hAnsi="宋体" w:eastAsia="宋体" w:cs="宋体"/>
                <w:sz w:val="20"/>
                <w:szCs w:val="20"/>
              </w:rPr>
              <w:t xml:space="preserve"> </w:t>
            </w:r>
            <w:r>
              <w:rPr>
                <w:rFonts w:ascii="宋体" w:hAnsi="宋体" w:eastAsia="宋体" w:cs="宋体"/>
                <w:spacing w:val="4"/>
                <w:sz w:val="20"/>
                <w:szCs w:val="20"/>
              </w:rPr>
              <w:t>温</w:t>
            </w:r>
            <w:r>
              <w:rPr>
                <w:rFonts w:ascii="Times New Roman" w:hAnsi="Times New Roman" w:eastAsia="Times New Roman" w:cs="Times New Roman"/>
                <w:spacing w:val="4"/>
                <w:sz w:val="20"/>
                <w:szCs w:val="20"/>
              </w:rPr>
              <w:t>(℃)</w:t>
            </w:r>
          </w:p>
        </w:tc>
        <w:tc>
          <w:tcPr>
            <w:tcW w:w="580" w:type="dxa"/>
            <w:vAlign w:val="top"/>
          </w:tcPr>
          <w:p w14:paraId="50E784F2">
            <w:pPr>
              <w:spacing w:before="82" w:line="242" w:lineRule="exact"/>
              <w:ind w:left="129"/>
              <w:rPr>
                <w:rFonts w:ascii="Times New Roman" w:hAnsi="Times New Roman" w:eastAsia="Times New Roman" w:cs="Times New Roman"/>
                <w:sz w:val="20"/>
                <w:szCs w:val="20"/>
              </w:rPr>
            </w:pPr>
            <w:r>
              <w:rPr>
                <w:rFonts w:ascii="Times New Roman" w:hAnsi="Times New Roman" w:eastAsia="Times New Roman" w:cs="Times New Roman"/>
                <w:spacing w:val="-6"/>
                <w:position w:val="5"/>
                <w:sz w:val="20"/>
                <w:szCs w:val="20"/>
              </w:rPr>
              <w:t>- 13.</w:t>
            </w:r>
          </w:p>
          <w:p w14:paraId="0FF34E11">
            <w:pPr>
              <w:spacing w:line="194" w:lineRule="auto"/>
              <w:ind w:left="237"/>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580" w:type="dxa"/>
            <w:vAlign w:val="top"/>
          </w:tcPr>
          <w:p w14:paraId="5FBDC162">
            <w:pPr>
              <w:spacing w:before="204" w:line="195" w:lineRule="auto"/>
              <w:ind w:left="12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w:t>
            </w:r>
            <w:r>
              <w:rPr>
                <w:rFonts w:ascii="Times New Roman" w:hAnsi="Times New Roman" w:eastAsia="Times New Roman" w:cs="Times New Roman"/>
                <w:spacing w:val="1"/>
                <w:sz w:val="20"/>
                <w:szCs w:val="20"/>
              </w:rPr>
              <w:t>4</w:t>
            </w:r>
          </w:p>
        </w:tc>
        <w:tc>
          <w:tcPr>
            <w:tcW w:w="580" w:type="dxa"/>
            <w:vAlign w:val="top"/>
          </w:tcPr>
          <w:p w14:paraId="0444213E">
            <w:pPr>
              <w:spacing w:before="204" w:line="198" w:lineRule="auto"/>
              <w:ind w:left="18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.5</w:t>
            </w:r>
          </w:p>
        </w:tc>
        <w:tc>
          <w:tcPr>
            <w:tcW w:w="580" w:type="dxa"/>
            <w:vAlign w:val="top"/>
          </w:tcPr>
          <w:p w14:paraId="50F86B7B">
            <w:pPr>
              <w:spacing w:before="82" w:line="245" w:lineRule="exact"/>
              <w:ind w:left="180"/>
              <w:rPr>
                <w:rFonts w:ascii="Times New Roman" w:hAnsi="Times New Roman" w:eastAsia="Times New Roman" w:cs="Times New Roman"/>
                <w:sz w:val="20"/>
                <w:szCs w:val="20"/>
              </w:rPr>
            </w:pPr>
            <w:r>
              <w:rPr>
                <w:rFonts w:ascii="Times New Roman" w:hAnsi="Times New Roman" w:eastAsia="Times New Roman" w:cs="Times New Roman"/>
                <w:spacing w:val="1"/>
                <w:position w:val="6"/>
                <w:sz w:val="20"/>
                <w:szCs w:val="20"/>
              </w:rPr>
              <w:t>1</w:t>
            </w:r>
            <w:r>
              <w:rPr>
                <w:rFonts w:ascii="Times New Roman" w:hAnsi="Times New Roman" w:eastAsia="Times New Roman" w:cs="Times New Roman"/>
                <w:position w:val="6"/>
                <w:sz w:val="20"/>
                <w:szCs w:val="20"/>
              </w:rPr>
              <w:t>0.</w:t>
            </w:r>
          </w:p>
          <w:p w14:paraId="1CF1EB07">
            <w:pPr>
              <w:spacing w:line="191" w:lineRule="auto"/>
              <w:ind w:left="241"/>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580" w:type="dxa"/>
            <w:vAlign w:val="top"/>
          </w:tcPr>
          <w:p w14:paraId="4A15D15E">
            <w:pPr>
              <w:spacing w:before="82" w:line="242" w:lineRule="exact"/>
              <w:ind w:left="181"/>
              <w:rPr>
                <w:rFonts w:ascii="Times New Roman" w:hAnsi="Times New Roman" w:eastAsia="Times New Roman" w:cs="Times New Roman"/>
                <w:sz w:val="20"/>
                <w:szCs w:val="20"/>
              </w:rPr>
            </w:pPr>
            <w:r>
              <w:rPr>
                <w:rFonts w:ascii="Times New Roman" w:hAnsi="Times New Roman" w:eastAsia="Times New Roman" w:cs="Times New Roman"/>
                <w:spacing w:val="1"/>
                <w:position w:val="5"/>
                <w:sz w:val="20"/>
                <w:szCs w:val="20"/>
              </w:rPr>
              <w:t>1</w:t>
            </w:r>
            <w:r>
              <w:rPr>
                <w:rFonts w:ascii="Times New Roman" w:hAnsi="Times New Roman" w:eastAsia="Times New Roman" w:cs="Times New Roman"/>
                <w:position w:val="5"/>
                <w:sz w:val="20"/>
                <w:szCs w:val="20"/>
              </w:rPr>
              <w:t>7.</w:t>
            </w:r>
          </w:p>
          <w:p w14:paraId="5E877B4A">
            <w:pPr>
              <w:spacing w:line="194" w:lineRule="auto"/>
              <w:ind w:left="23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580" w:type="dxa"/>
            <w:vAlign w:val="top"/>
          </w:tcPr>
          <w:p w14:paraId="3EA1FC3F">
            <w:pPr>
              <w:spacing w:before="82" w:line="242" w:lineRule="exact"/>
              <w:ind w:left="160"/>
              <w:rPr>
                <w:rFonts w:ascii="Times New Roman" w:hAnsi="Times New Roman" w:eastAsia="Times New Roman" w:cs="Times New Roman"/>
                <w:sz w:val="20"/>
                <w:szCs w:val="20"/>
              </w:rPr>
            </w:pPr>
            <w:r>
              <w:rPr>
                <w:rFonts w:ascii="Times New Roman" w:hAnsi="Times New Roman" w:eastAsia="Times New Roman" w:cs="Times New Roman"/>
                <w:spacing w:val="7"/>
                <w:position w:val="5"/>
                <w:sz w:val="20"/>
                <w:szCs w:val="20"/>
              </w:rPr>
              <w:t>22.</w:t>
            </w:r>
          </w:p>
          <w:p w14:paraId="0063B622">
            <w:pPr>
              <w:spacing w:line="194" w:lineRule="auto"/>
              <w:ind w:left="23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580" w:type="dxa"/>
            <w:vAlign w:val="top"/>
          </w:tcPr>
          <w:p w14:paraId="44A1F116">
            <w:pPr>
              <w:spacing w:before="82" w:line="242" w:lineRule="exact"/>
              <w:ind w:left="160"/>
              <w:rPr>
                <w:rFonts w:ascii="Times New Roman" w:hAnsi="Times New Roman" w:eastAsia="Times New Roman" w:cs="Times New Roman"/>
                <w:sz w:val="20"/>
                <w:szCs w:val="20"/>
              </w:rPr>
            </w:pPr>
            <w:r>
              <w:rPr>
                <w:rFonts w:ascii="Times New Roman" w:hAnsi="Times New Roman" w:eastAsia="Times New Roman" w:cs="Times New Roman"/>
                <w:spacing w:val="7"/>
                <w:position w:val="5"/>
                <w:sz w:val="20"/>
                <w:szCs w:val="20"/>
              </w:rPr>
              <w:t>23.</w:t>
            </w:r>
          </w:p>
          <w:p w14:paraId="71DF746D">
            <w:pPr>
              <w:spacing w:line="194" w:lineRule="auto"/>
              <w:ind w:left="257"/>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580" w:type="dxa"/>
            <w:vAlign w:val="top"/>
          </w:tcPr>
          <w:p w14:paraId="36A17B0D">
            <w:pPr>
              <w:spacing w:before="82" w:line="245" w:lineRule="exact"/>
              <w:ind w:left="161"/>
              <w:rPr>
                <w:rFonts w:ascii="Times New Roman" w:hAnsi="Times New Roman" w:eastAsia="Times New Roman" w:cs="Times New Roman"/>
                <w:sz w:val="20"/>
                <w:szCs w:val="20"/>
              </w:rPr>
            </w:pPr>
            <w:r>
              <w:rPr>
                <w:rFonts w:ascii="Times New Roman" w:hAnsi="Times New Roman" w:eastAsia="Times New Roman" w:cs="Times New Roman"/>
                <w:spacing w:val="7"/>
                <w:position w:val="6"/>
                <w:sz w:val="20"/>
                <w:szCs w:val="20"/>
              </w:rPr>
              <w:t>23.</w:t>
            </w:r>
          </w:p>
          <w:p w14:paraId="0088C5B7">
            <w:pPr>
              <w:spacing w:line="191" w:lineRule="auto"/>
              <w:ind w:left="244"/>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580" w:type="dxa"/>
            <w:vAlign w:val="top"/>
          </w:tcPr>
          <w:p w14:paraId="6D9CF0C3">
            <w:pPr>
              <w:spacing w:before="82" w:line="242" w:lineRule="exact"/>
              <w:ind w:left="180"/>
              <w:rPr>
                <w:rFonts w:ascii="Times New Roman" w:hAnsi="Times New Roman" w:eastAsia="Times New Roman" w:cs="Times New Roman"/>
                <w:sz w:val="20"/>
                <w:szCs w:val="20"/>
              </w:rPr>
            </w:pPr>
            <w:r>
              <w:rPr>
                <w:rFonts w:ascii="Times New Roman" w:hAnsi="Times New Roman" w:eastAsia="Times New Roman" w:cs="Times New Roman"/>
                <w:spacing w:val="1"/>
                <w:position w:val="5"/>
                <w:sz w:val="20"/>
                <w:szCs w:val="20"/>
              </w:rPr>
              <w:t>1</w:t>
            </w:r>
            <w:r>
              <w:rPr>
                <w:rFonts w:ascii="Times New Roman" w:hAnsi="Times New Roman" w:eastAsia="Times New Roman" w:cs="Times New Roman"/>
                <w:position w:val="5"/>
                <w:sz w:val="20"/>
                <w:szCs w:val="20"/>
              </w:rPr>
              <w:t>7.</w:t>
            </w:r>
          </w:p>
          <w:p w14:paraId="3591526C">
            <w:pPr>
              <w:spacing w:line="194" w:lineRule="auto"/>
              <w:ind w:left="243"/>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580" w:type="dxa"/>
            <w:vAlign w:val="top"/>
          </w:tcPr>
          <w:p w14:paraId="6540D959">
            <w:pPr>
              <w:spacing w:before="82" w:line="242" w:lineRule="exact"/>
              <w:ind w:left="180"/>
              <w:rPr>
                <w:rFonts w:ascii="Times New Roman" w:hAnsi="Times New Roman" w:eastAsia="Times New Roman" w:cs="Times New Roman"/>
                <w:sz w:val="20"/>
                <w:szCs w:val="20"/>
              </w:rPr>
            </w:pPr>
            <w:r>
              <w:rPr>
                <w:rFonts w:ascii="Times New Roman" w:hAnsi="Times New Roman" w:eastAsia="Times New Roman" w:cs="Times New Roman"/>
                <w:spacing w:val="1"/>
                <w:position w:val="5"/>
                <w:sz w:val="20"/>
                <w:szCs w:val="20"/>
              </w:rPr>
              <w:t>1</w:t>
            </w:r>
            <w:r>
              <w:rPr>
                <w:rFonts w:ascii="Times New Roman" w:hAnsi="Times New Roman" w:eastAsia="Times New Roman" w:cs="Times New Roman"/>
                <w:position w:val="5"/>
                <w:sz w:val="20"/>
                <w:szCs w:val="20"/>
              </w:rPr>
              <w:t>0.</w:t>
            </w:r>
          </w:p>
          <w:p w14:paraId="7EF8AE4F">
            <w:pPr>
              <w:spacing w:line="194" w:lineRule="auto"/>
              <w:ind w:left="24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80" w:type="dxa"/>
            <w:vAlign w:val="top"/>
          </w:tcPr>
          <w:p w14:paraId="274DD405">
            <w:pPr>
              <w:spacing w:before="204"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w:t>
            </w:r>
          </w:p>
        </w:tc>
        <w:tc>
          <w:tcPr>
            <w:tcW w:w="580" w:type="dxa"/>
            <w:vAlign w:val="top"/>
          </w:tcPr>
          <w:p w14:paraId="5F47DF2E">
            <w:pPr>
              <w:spacing w:before="204" w:line="195" w:lineRule="auto"/>
              <w:ind w:left="13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6.8</w:t>
            </w:r>
          </w:p>
        </w:tc>
        <w:tc>
          <w:tcPr>
            <w:tcW w:w="581" w:type="dxa"/>
            <w:tcBorders>
              <w:right w:val="nil"/>
            </w:tcBorders>
            <w:vAlign w:val="top"/>
          </w:tcPr>
          <w:p w14:paraId="240E01AC">
            <w:pPr>
              <w:spacing w:before="204"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7</w:t>
            </w:r>
            <w:r>
              <w:rPr>
                <w:rFonts w:ascii="Times New Roman" w:hAnsi="Times New Roman" w:eastAsia="Times New Roman" w:cs="Times New Roman"/>
                <w:spacing w:val="4"/>
                <w:sz w:val="20"/>
                <w:szCs w:val="20"/>
              </w:rPr>
              <w:t>.8</w:t>
            </w:r>
          </w:p>
        </w:tc>
      </w:tr>
      <w:tr w14:paraId="6529A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981" w:type="dxa"/>
            <w:tcBorders>
              <w:left w:val="nil"/>
            </w:tcBorders>
            <w:vAlign w:val="top"/>
          </w:tcPr>
          <w:p w14:paraId="267F2DF0">
            <w:pPr>
              <w:spacing w:before="32" w:line="238" w:lineRule="auto"/>
              <w:ind w:left="150" w:right="92" w:hanging="27"/>
              <w:rPr>
                <w:rFonts w:ascii="Times New Roman" w:hAnsi="Times New Roman" w:eastAsia="Times New Roman" w:cs="Times New Roman"/>
                <w:sz w:val="20"/>
                <w:szCs w:val="20"/>
              </w:rPr>
            </w:pPr>
            <w:r>
              <w:rPr>
                <w:rFonts w:ascii="宋体" w:hAnsi="宋体" w:eastAsia="宋体" w:cs="宋体"/>
                <w:spacing w:val="-11"/>
                <w:sz w:val="20"/>
                <w:szCs w:val="20"/>
              </w:rPr>
              <w:t>极</w:t>
            </w:r>
            <w:r>
              <w:rPr>
                <w:rFonts w:ascii="宋体" w:hAnsi="宋体" w:eastAsia="宋体" w:cs="宋体"/>
                <w:spacing w:val="-9"/>
                <w:sz w:val="20"/>
                <w:szCs w:val="20"/>
              </w:rPr>
              <w:t>端最高</w:t>
            </w:r>
            <w:r>
              <w:rPr>
                <w:rFonts w:ascii="宋体" w:hAnsi="宋体" w:eastAsia="宋体" w:cs="宋体"/>
                <w:sz w:val="20"/>
                <w:szCs w:val="20"/>
              </w:rPr>
              <w:t xml:space="preserve"> </w:t>
            </w:r>
            <w:r>
              <w:rPr>
                <w:rFonts w:ascii="宋体" w:hAnsi="宋体" w:eastAsia="宋体" w:cs="宋体"/>
                <w:spacing w:val="-9"/>
                <w:sz w:val="20"/>
                <w:szCs w:val="20"/>
              </w:rPr>
              <w:t>气</w:t>
            </w:r>
            <w:r>
              <w:rPr>
                <w:rFonts w:ascii="宋体" w:hAnsi="宋体" w:eastAsia="宋体" w:cs="宋体"/>
                <w:spacing w:val="-6"/>
                <w:sz w:val="20"/>
                <w:szCs w:val="20"/>
              </w:rPr>
              <w:t>温</w:t>
            </w:r>
            <w:r>
              <w:rPr>
                <w:rFonts w:ascii="Times New Roman" w:hAnsi="Times New Roman" w:eastAsia="Times New Roman" w:cs="Times New Roman"/>
                <w:spacing w:val="-6"/>
                <w:sz w:val="20"/>
                <w:szCs w:val="20"/>
              </w:rPr>
              <w:t>(℃)</w:t>
            </w:r>
          </w:p>
        </w:tc>
        <w:tc>
          <w:tcPr>
            <w:tcW w:w="580" w:type="dxa"/>
            <w:vAlign w:val="top"/>
          </w:tcPr>
          <w:p w14:paraId="589879C6">
            <w:pPr>
              <w:spacing w:before="204"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w:t>
            </w:r>
            <w:r>
              <w:rPr>
                <w:rFonts w:ascii="Times New Roman" w:hAnsi="Times New Roman" w:eastAsia="Times New Roman" w:cs="Times New Roman"/>
                <w:spacing w:val="2"/>
                <w:sz w:val="20"/>
                <w:szCs w:val="20"/>
              </w:rPr>
              <w:t>3</w:t>
            </w:r>
          </w:p>
        </w:tc>
        <w:tc>
          <w:tcPr>
            <w:tcW w:w="580" w:type="dxa"/>
            <w:vAlign w:val="top"/>
          </w:tcPr>
          <w:p w14:paraId="6B3B4C97">
            <w:pPr>
              <w:spacing w:before="82" w:line="243" w:lineRule="exact"/>
              <w:ind w:left="181"/>
              <w:rPr>
                <w:rFonts w:ascii="Times New Roman" w:hAnsi="Times New Roman" w:eastAsia="Times New Roman" w:cs="Times New Roman"/>
                <w:sz w:val="20"/>
                <w:szCs w:val="20"/>
              </w:rPr>
            </w:pPr>
            <w:r>
              <w:rPr>
                <w:rFonts w:ascii="Times New Roman" w:hAnsi="Times New Roman" w:eastAsia="Times New Roman" w:cs="Times New Roman"/>
                <w:spacing w:val="1"/>
                <w:position w:val="5"/>
                <w:sz w:val="20"/>
                <w:szCs w:val="20"/>
              </w:rPr>
              <w:t>1</w:t>
            </w:r>
            <w:r>
              <w:rPr>
                <w:rFonts w:ascii="Times New Roman" w:hAnsi="Times New Roman" w:eastAsia="Times New Roman" w:cs="Times New Roman"/>
                <w:position w:val="5"/>
                <w:sz w:val="20"/>
                <w:szCs w:val="20"/>
              </w:rPr>
              <w:t>8.</w:t>
            </w:r>
          </w:p>
          <w:p w14:paraId="06A331A5">
            <w:pPr>
              <w:spacing w:line="194" w:lineRule="auto"/>
              <w:ind w:left="24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80" w:type="dxa"/>
            <w:vAlign w:val="top"/>
          </w:tcPr>
          <w:p w14:paraId="4DBF52E9">
            <w:pPr>
              <w:spacing w:before="82" w:line="243" w:lineRule="exact"/>
              <w:ind w:left="160"/>
              <w:rPr>
                <w:rFonts w:ascii="Times New Roman" w:hAnsi="Times New Roman" w:eastAsia="Times New Roman" w:cs="Times New Roman"/>
                <w:sz w:val="20"/>
                <w:szCs w:val="20"/>
              </w:rPr>
            </w:pPr>
            <w:r>
              <w:rPr>
                <w:rFonts w:ascii="Times New Roman" w:hAnsi="Times New Roman" w:eastAsia="Times New Roman" w:cs="Times New Roman"/>
                <w:spacing w:val="7"/>
                <w:position w:val="5"/>
                <w:sz w:val="20"/>
                <w:szCs w:val="20"/>
              </w:rPr>
              <w:t>21.</w:t>
            </w:r>
          </w:p>
          <w:p w14:paraId="68B990A4">
            <w:pPr>
              <w:spacing w:line="194" w:lineRule="auto"/>
              <w:ind w:left="23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580" w:type="dxa"/>
            <w:vAlign w:val="top"/>
          </w:tcPr>
          <w:p w14:paraId="64AED5DC">
            <w:pPr>
              <w:spacing w:before="82" w:line="243" w:lineRule="exact"/>
              <w:ind w:left="165"/>
              <w:rPr>
                <w:rFonts w:ascii="Times New Roman" w:hAnsi="Times New Roman" w:eastAsia="Times New Roman" w:cs="Times New Roman"/>
                <w:sz w:val="20"/>
                <w:szCs w:val="20"/>
              </w:rPr>
            </w:pPr>
            <w:r>
              <w:rPr>
                <w:rFonts w:ascii="Times New Roman" w:hAnsi="Times New Roman" w:eastAsia="Times New Roman" w:cs="Times New Roman"/>
                <w:spacing w:val="6"/>
                <w:position w:val="5"/>
                <w:sz w:val="20"/>
                <w:szCs w:val="20"/>
              </w:rPr>
              <w:t>31</w:t>
            </w:r>
            <w:r>
              <w:rPr>
                <w:rFonts w:ascii="Times New Roman" w:hAnsi="Times New Roman" w:eastAsia="Times New Roman" w:cs="Times New Roman"/>
                <w:spacing w:val="5"/>
                <w:position w:val="5"/>
                <w:sz w:val="20"/>
                <w:szCs w:val="20"/>
              </w:rPr>
              <w:t>.</w:t>
            </w:r>
          </w:p>
          <w:p w14:paraId="71D3B05E">
            <w:pPr>
              <w:spacing w:line="194" w:lineRule="auto"/>
              <w:ind w:left="257"/>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580" w:type="dxa"/>
            <w:vAlign w:val="top"/>
          </w:tcPr>
          <w:p w14:paraId="05E16E1B">
            <w:pPr>
              <w:spacing w:before="82" w:line="246" w:lineRule="exact"/>
              <w:ind w:left="165"/>
              <w:rPr>
                <w:rFonts w:ascii="Times New Roman" w:hAnsi="Times New Roman" w:eastAsia="Times New Roman" w:cs="Times New Roman"/>
                <w:sz w:val="20"/>
                <w:szCs w:val="20"/>
              </w:rPr>
            </w:pPr>
            <w:r>
              <w:rPr>
                <w:rFonts w:ascii="Times New Roman" w:hAnsi="Times New Roman" w:eastAsia="Times New Roman" w:cs="Times New Roman"/>
                <w:spacing w:val="6"/>
                <w:position w:val="6"/>
                <w:sz w:val="20"/>
                <w:szCs w:val="20"/>
              </w:rPr>
              <w:t>34</w:t>
            </w:r>
            <w:r>
              <w:rPr>
                <w:rFonts w:ascii="Times New Roman" w:hAnsi="Times New Roman" w:eastAsia="Times New Roman" w:cs="Times New Roman"/>
                <w:spacing w:val="5"/>
                <w:position w:val="6"/>
                <w:sz w:val="20"/>
                <w:szCs w:val="20"/>
              </w:rPr>
              <w:t>.</w:t>
            </w:r>
          </w:p>
          <w:p w14:paraId="3C27381E">
            <w:pPr>
              <w:spacing w:line="191" w:lineRule="auto"/>
              <w:ind w:left="244"/>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580" w:type="dxa"/>
            <w:vAlign w:val="top"/>
          </w:tcPr>
          <w:p w14:paraId="0C5892CE">
            <w:pPr>
              <w:spacing w:before="204" w:line="195"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7</w:t>
            </w:r>
          </w:p>
        </w:tc>
        <w:tc>
          <w:tcPr>
            <w:tcW w:w="580" w:type="dxa"/>
            <w:vAlign w:val="top"/>
          </w:tcPr>
          <w:p w14:paraId="4042E773">
            <w:pPr>
              <w:spacing w:before="82" w:line="243" w:lineRule="exact"/>
              <w:ind w:left="165"/>
              <w:rPr>
                <w:rFonts w:ascii="Times New Roman" w:hAnsi="Times New Roman" w:eastAsia="Times New Roman" w:cs="Times New Roman"/>
                <w:sz w:val="20"/>
                <w:szCs w:val="20"/>
              </w:rPr>
            </w:pPr>
            <w:r>
              <w:rPr>
                <w:rFonts w:ascii="Times New Roman" w:hAnsi="Times New Roman" w:eastAsia="Times New Roman" w:cs="Times New Roman"/>
                <w:spacing w:val="6"/>
                <w:position w:val="5"/>
                <w:sz w:val="20"/>
                <w:szCs w:val="20"/>
              </w:rPr>
              <w:t>36</w:t>
            </w:r>
            <w:r>
              <w:rPr>
                <w:rFonts w:ascii="Times New Roman" w:hAnsi="Times New Roman" w:eastAsia="Times New Roman" w:cs="Times New Roman"/>
                <w:spacing w:val="5"/>
                <w:position w:val="5"/>
                <w:sz w:val="20"/>
                <w:szCs w:val="20"/>
              </w:rPr>
              <w:t>.</w:t>
            </w:r>
          </w:p>
          <w:p w14:paraId="0B8F7EFA">
            <w:pPr>
              <w:spacing w:line="194" w:lineRule="auto"/>
              <w:ind w:left="237"/>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580" w:type="dxa"/>
            <w:vAlign w:val="top"/>
          </w:tcPr>
          <w:p w14:paraId="5564D3F8">
            <w:pPr>
              <w:spacing w:before="82" w:line="246" w:lineRule="exact"/>
              <w:ind w:left="165"/>
              <w:rPr>
                <w:rFonts w:ascii="Times New Roman" w:hAnsi="Times New Roman" w:eastAsia="Times New Roman" w:cs="Times New Roman"/>
                <w:sz w:val="20"/>
                <w:szCs w:val="20"/>
              </w:rPr>
            </w:pPr>
            <w:r>
              <w:rPr>
                <w:rFonts w:ascii="Times New Roman" w:hAnsi="Times New Roman" w:eastAsia="Times New Roman" w:cs="Times New Roman"/>
                <w:spacing w:val="6"/>
                <w:position w:val="6"/>
                <w:sz w:val="20"/>
                <w:szCs w:val="20"/>
              </w:rPr>
              <w:t>35</w:t>
            </w:r>
            <w:r>
              <w:rPr>
                <w:rFonts w:ascii="Times New Roman" w:hAnsi="Times New Roman" w:eastAsia="Times New Roman" w:cs="Times New Roman"/>
                <w:spacing w:val="5"/>
                <w:position w:val="6"/>
                <w:sz w:val="20"/>
                <w:szCs w:val="20"/>
              </w:rPr>
              <w:t>.</w:t>
            </w:r>
          </w:p>
          <w:p w14:paraId="5EC502F7">
            <w:pPr>
              <w:spacing w:line="191" w:lineRule="auto"/>
              <w:ind w:left="244"/>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580" w:type="dxa"/>
            <w:vAlign w:val="top"/>
          </w:tcPr>
          <w:p w14:paraId="1AA9C8C6">
            <w:pPr>
              <w:spacing w:before="82" w:line="243" w:lineRule="exact"/>
              <w:ind w:left="164"/>
              <w:rPr>
                <w:rFonts w:ascii="Times New Roman" w:hAnsi="Times New Roman" w:eastAsia="Times New Roman" w:cs="Times New Roman"/>
                <w:sz w:val="20"/>
                <w:szCs w:val="20"/>
              </w:rPr>
            </w:pPr>
            <w:r>
              <w:rPr>
                <w:rFonts w:ascii="Times New Roman" w:hAnsi="Times New Roman" w:eastAsia="Times New Roman" w:cs="Times New Roman"/>
                <w:spacing w:val="6"/>
                <w:position w:val="5"/>
                <w:sz w:val="20"/>
                <w:szCs w:val="20"/>
              </w:rPr>
              <w:t>32</w:t>
            </w:r>
            <w:r>
              <w:rPr>
                <w:rFonts w:ascii="Times New Roman" w:hAnsi="Times New Roman" w:eastAsia="Times New Roman" w:cs="Times New Roman"/>
                <w:spacing w:val="5"/>
                <w:position w:val="5"/>
                <w:sz w:val="20"/>
                <w:szCs w:val="20"/>
              </w:rPr>
              <w:t>.</w:t>
            </w:r>
          </w:p>
          <w:p w14:paraId="644F7FCD">
            <w:pPr>
              <w:spacing w:line="194" w:lineRule="auto"/>
              <w:ind w:left="247"/>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580" w:type="dxa"/>
            <w:vAlign w:val="top"/>
          </w:tcPr>
          <w:p w14:paraId="711756F4">
            <w:pPr>
              <w:spacing w:before="82" w:line="246" w:lineRule="exact"/>
              <w:ind w:left="165"/>
              <w:rPr>
                <w:rFonts w:ascii="Times New Roman" w:hAnsi="Times New Roman" w:eastAsia="Times New Roman" w:cs="Times New Roman"/>
                <w:sz w:val="20"/>
                <w:szCs w:val="20"/>
              </w:rPr>
            </w:pPr>
            <w:r>
              <w:rPr>
                <w:rFonts w:ascii="Times New Roman" w:hAnsi="Times New Roman" w:eastAsia="Times New Roman" w:cs="Times New Roman"/>
                <w:spacing w:val="6"/>
                <w:position w:val="6"/>
                <w:sz w:val="20"/>
                <w:szCs w:val="20"/>
              </w:rPr>
              <w:t>30</w:t>
            </w:r>
            <w:r>
              <w:rPr>
                <w:rFonts w:ascii="Times New Roman" w:hAnsi="Times New Roman" w:eastAsia="Times New Roman" w:cs="Times New Roman"/>
                <w:spacing w:val="5"/>
                <w:position w:val="6"/>
                <w:sz w:val="20"/>
                <w:szCs w:val="20"/>
              </w:rPr>
              <w:t>.</w:t>
            </w:r>
          </w:p>
          <w:p w14:paraId="5B0D862F">
            <w:pPr>
              <w:spacing w:line="191" w:lineRule="auto"/>
              <w:ind w:left="243"/>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580" w:type="dxa"/>
            <w:vAlign w:val="top"/>
          </w:tcPr>
          <w:p w14:paraId="19D55897">
            <w:pPr>
              <w:spacing w:before="82" w:line="246" w:lineRule="exact"/>
              <w:ind w:left="161"/>
              <w:rPr>
                <w:rFonts w:ascii="Times New Roman" w:hAnsi="Times New Roman" w:eastAsia="Times New Roman" w:cs="Times New Roman"/>
                <w:sz w:val="20"/>
                <w:szCs w:val="20"/>
              </w:rPr>
            </w:pPr>
            <w:r>
              <w:rPr>
                <w:rFonts w:ascii="Times New Roman" w:hAnsi="Times New Roman" w:eastAsia="Times New Roman" w:cs="Times New Roman"/>
                <w:spacing w:val="7"/>
                <w:position w:val="6"/>
                <w:sz w:val="20"/>
                <w:szCs w:val="20"/>
              </w:rPr>
              <w:t>24.</w:t>
            </w:r>
          </w:p>
          <w:p w14:paraId="0D327465">
            <w:pPr>
              <w:spacing w:line="191" w:lineRule="auto"/>
              <w:ind w:left="241"/>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580" w:type="dxa"/>
            <w:vAlign w:val="top"/>
          </w:tcPr>
          <w:p w14:paraId="01E22966">
            <w:pPr>
              <w:spacing w:before="82" w:line="243" w:lineRule="exact"/>
              <w:ind w:left="180"/>
              <w:rPr>
                <w:rFonts w:ascii="Times New Roman" w:hAnsi="Times New Roman" w:eastAsia="Times New Roman" w:cs="Times New Roman"/>
                <w:sz w:val="20"/>
                <w:szCs w:val="20"/>
              </w:rPr>
            </w:pPr>
            <w:r>
              <w:rPr>
                <w:rFonts w:ascii="Times New Roman" w:hAnsi="Times New Roman" w:eastAsia="Times New Roman" w:cs="Times New Roman"/>
                <w:spacing w:val="1"/>
                <w:position w:val="5"/>
                <w:sz w:val="20"/>
                <w:szCs w:val="20"/>
              </w:rPr>
              <w:t>1</w:t>
            </w:r>
            <w:r>
              <w:rPr>
                <w:rFonts w:ascii="Times New Roman" w:hAnsi="Times New Roman" w:eastAsia="Times New Roman" w:cs="Times New Roman"/>
                <w:position w:val="5"/>
                <w:sz w:val="20"/>
                <w:szCs w:val="20"/>
              </w:rPr>
              <w:t>3.</w:t>
            </w:r>
          </w:p>
          <w:p w14:paraId="62D511ED">
            <w:pPr>
              <w:spacing w:line="194" w:lineRule="auto"/>
              <w:ind w:left="23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581" w:type="dxa"/>
            <w:tcBorders>
              <w:right w:val="nil"/>
            </w:tcBorders>
            <w:vAlign w:val="top"/>
          </w:tcPr>
          <w:p w14:paraId="74BAE10D">
            <w:pPr>
              <w:spacing w:before="82" w:line="243" w:lineRule="exact"/>
              <w:ind w:left="165"/>
              <w:rPr>
                <w:rFonts w:ascii="Times New Roman" w:hAnsi="Times New Roman" w:eastAsia="Times New Roman" w:cs="Times New Roman"/>
                <w:sz w:val="20"/>
                <w:szCs w:val="20"/>
              </w:rPr>
            </w:pPr>
            <w:r>
              <w:rPr>
                <w:rFonts w:ascii="Times New Roman" w:hAnsi="Times New Roman" w:eastAsia="Times New Roman" w:cs="Times New Roman"/>
                <w:spacing w:val="6"/>
                <w:position w:val="5"/>
                <w:sz w:val="20"/>
                <w:szCs w:val="20"/>
              </w:rPr>
              <w:t>37</w:t>
            </w:r>
            <w:r>
              <w:rPr>
                <w:rFonts w:ascii="Times New Roman" w:hAnsi="Times New Roman" w:eastAsia="Times New Roman" w:cs="Times New Roman"/>
                <w:spacing w:val="5"/>
                <w:position w:val="5"/>
                <w:sz w:val="20"/>
                <w:szCs w:val="20"/>
              </w:rPr>
              <w:t>.</w:t>
            </w:r>
          </w:p>
          <w:p w14:paraId="2F98252B">
            <w:pPr>
              <w:spacing w:line="194" w:lineRule="auto"/>
              <w:ind w:left="244"/>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r>
      <w:tr w14:paraId="5CE6A0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981" w:type="dxa"/>
            <w:tcBorders>
              <w:left w:val="nil"/>
            </w:tcBorders>
            <w:vAlign w:val="top"/>
          </w:tcPr>
          <w:p w14:paraId="6A0AD39E">
            <w:pPr>
              <w:spacing w:before="33" w:line="238" w:lineRule="auto"/>
              <w:ind w:left="150" w:right="92" w:hanging="27"/>
              <w:rPr>
                <w:rFonts w:ascii="Times New Roman" w:hAnsi="Times New Roman" w:eastAsia="Times New Roman" w:cs="Times New Roman"/>
                <w:sz w:val="20"/>
                <w:szCs w:val="20"/>
              </w:rPr>
            </w:pPr>
            <w:r>
              <w:rPr>
                <w:rFonts w:ascii="宋体" w:hAnsi="宋体" w:eastAsia="宋体" w:cs="宋体"/>
                <w:spacing w:val="-11"/>
                <w:sz w:val="20"/>
                <w:szCs w:val="20"/>
              </w:rPr>
              <w:t>极</w:t>
            </w:r>
            <w:r>
              <w:rPr>
                <w:rFonts w:ascii="宋体" w:hAnsi="宋体" w:eastAsia="宋体" w:cs="宋体"/>
                <w:spacing w:val="-9"/>
                <w:sz w:val="20"/>
                <w:szCs w:val="20"/>
              </w:rPr>
              <w:t>端最低</w:t>
            </w:r>
            <w:r>
              <w:rPr>
                <w:rFonts w:ascii="宋体" w:hAnsi="宋体" w:eastAsia="宋体" w:cs="宋体"/>
                <w:sz w:val="20"/>
                <w:szCs w:val="20"/>
              </w:rPr>
              <w:t xml:space="preserve"> </w:t>
            </w:r>
            <w:r>
              <w:rPr>
                <w:rFonts w:ascii="宋体" w:hAnsi="宋体" w:eastAsia="宋体" w:cs="宋体"/>
                <w:spacing w:val="-9"/>
                <w:sz w:val="20"/>
                <w:szCs w:val="20"/>
              </w:rPr>
              <w:t>气</w:t>
            </w:r>
            <w:r>
              <w:rPr>
                <w:rFonts w:ascii="宋体" w:hAnsi="宋体" w:eastAsia="宋体" w:cs="宋体"/>
                <w:spacing w:val="-6"/>
                <w:sz w:val="20"/>
                <w:szCs w:val="20"/>
              </w:rPr>
              <w:t>温</w:t>
            </w:r>
            <w:r>
              <w:rPr>
                <w:rFonts w:ascii="Times New Roman" w:hAnsi="Times New Roman" w:eastAsia="Times New Roman" w:cs="Times New Roman"/>
                <w:spacing w:val="-6"/>
                <w:sz w:val="20"/>
                <w:szCs w:val="20"/>
              </w:rPr>
              <w:t>(℃)</w:t>
            </w:r>
          </w:p>
        </w:tc>
        <w:tc>
          <w:tcPr>
            <w:tcW w:w="580" w:type="dxa"/>
            <w:vAlign w:val="top"/>
          </w:tcPr>
          <w:p w14:paraId="4C28100D">
            <w:pPr>
              <w:spacing w:before="86" w:line="240" w:lineRule="exact"/>
              <w:ind w:left="129"/>
              <w:rPr>
                <w:rFonts w:ascii="Times New Roman" w:hAnsi="Times New Roman" w:eastAsia="Times New Roman" w:cs="Times New Roman"/>
                <w:sz w:val="20"/>
                <w:szCs w:val="20"/>
              </w:rPr>
            </w:pPr>
            <w:r>
              <w:rPr>
                <w:rFonts w:ascii="Times New Roman" w:hAnsi="Times New Roman" w:eastAsia="Times New Roman" w:cs="Times New Roman"/>
                <w:spacing w:val="5"/>
                <w:position w:val="5"/>
                <w:sz w:val="20"/>
                <w:szCs w:val="20"/>
              </w:rPr>
              <w:t>-35.</w:t>
            </w:r>
          </w:p>
          <w:p w14:paraId="0B7D525A">
            <w:pPr>
              <w:spacing w:line="194" w:lineRule="auto"/>
              <w:ind w:left="242"/>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580" w:type="dxa"/>
            <w:vAlign w:val="top"/>
          </w:tcPr>
          <w:p w14:paraId="5B12ACFD">
            <w:pPr>
              <w:spacing w:before="86" w:line="240" w:lineRule="exact"/>
              <w:ind w:left="129"/>
              <w:rPr>
                <w:rFonts w:ascii="Times New Roman" w:hAnsi="Times New Roman" w:eastAsia="Times New Roman" w:cs="Times New Roman"/>
                <w:sz w:val="20"/>
                <w:szCs w:val="20"/>
              </w:rPr>
            </w:pPr>
            <w:r>
              <w:rPr>
                <w:rFonts w:ascii="Times New Roman" w:hAnsi="Times New Roman" w:eastAsia="Times New Roman" w:cs="Times New Roman"/>
                <w:spacing w:val="5"/>
                <w:position w:val="5"/>
                <w:sz w:val="20"/>
                <w:szCs w:val="20"/>
              </w:rPr>
              <w:t>-34.</w:t>
            </w:r>
          </w:p>
          <w:p w14:paraId="7A9ECB87">
            <w:pPr>
              <w:spacing w:line="194" w:lineRule="auto"/>
              <w:ind w:left="242"/>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580" w:type="dxa"/>
            <w:vAlign w:val="top"/>
          </w:tcPr>
          <w:p w14:paraId="34E664AC">
            <w:pPr>
              <w:spacing w:before="86" w:line="240" w:lineRule="exact"/>
              <w:ind w:left="130"/>
              <w:rPr>
                <w:rFonts w:ascii="Times New Roman" w:hAnsi="Times New Roman" w:eastAsia="Times New Roman" w:cs="Times New Roman"/>
                <w:sz w:val="20"/>
                <w:szCs w:val="20"/>
              </w:rPr>
            </w:pPr>
            <w:r>
              <w:rPr>
                <w:rFonts w:ascii="Times New Roman" w:hAnsi="Times New Roman" w:eastAsia="Times New Roman" w:cs="Times New Roman"/>
                <w:spacing w:val="6"/>
                <w:position w:val="5"/>
                <w:sz w:val="20"/>
                <w:szCs w:val="20"/>
              </w:rPr>
              <w:t>-</w:t>
            </w:r>
            <w:r>
              <w:rPr>
                <w:rFonts w:ascii="Times New Roman" w:hAnsi="Times New Roman" w:eastAsia="Times New Roman" w:cs="Times New Roman"/>
                <w:spacing w:val="4"/>
                <w:position w:val="5"/>
                <w:sz w:val="20"/>
                <w:szCs w:val="20"/>
              </w:rPr>
              <w:t>26.</w:t>
            </w:r>
          </w:p>
          <w:p w14:paraId="43224A03">
            <w:pPr>
              <w:spacing w:line="194" w:lineRule="auto"/>
              <w:ind w:left="25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580" w:type="dxa"/>
            <w:vAlign w:val="top"/>
          </w:tcPr>
          <w:p w14:paraId="764F1CC5">
            <w:pPr>
              <w:spacing w:before="86" w:line="240" w:lineRule="exact"/>
              <w:ind w:left="129"/>
              <w:rPr>
                <w:rFonts w:ascii="Times New Roman" w:hAnsi="Times New Roman" w:eastAsia="Times New Roman" w:cs="Times New Roman"/>
                <w:sz w:val="20"/>
                <w:szCs w:val="20"/>
              </w:rPr>
            </w:pPr>
            <w:r>
              <w:rPr>
                <w:rFonts w:ascii="Times New Roman" w:hAnsi="Times New Roman" w:eastAsia="Times New Roman" w:cs="Times New Roman"/>
                <w:spacing w:val="-6"/>
                <w:position w:val="5"/>
                <w:sz w:val="20"/>
                <w:szCs w:val="20"/>
              </w:rPr>
              <w:t>- 12.</w:t>
            </w:r>
          </w:p>
          <w:p w14:paraId="56F900A0">
            <w:pPr>
              <w:spacing w:line="194" w:lineRule="auto"/>
              <w:ind w:left="257"/>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580" w:type="dxa"/>
            <w:vAlign w:val="top"/>
          </w:tcPr>
          <w:p w14:paraId="19F9F77B">
            <w:pPr>
              <w:spacing w:before="206" w:line="198" w:lineRule="auto"/>
              <w:ind w:left="129"/>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w:t>
            </w:r>
            <w:r>
              <w:rPr>
                <w:rFonts w:ascii="Times New Roman" w:hAnsi="Times New Roman" w:eastAsia="Times New Roman" w:cs="Times New Roman"/>
                <w:spacing w:val="-4"/>
                <w:sz w:val="20"/>
                <w:szCs w:val="20"/>
              </w:rPr>
              <w:t>2. 1</w:t>
            </w:r>
          </w:p>
        </w:tc>
        <w:tc>
          <w:tcPr>
            <w:tcW w:w="580" w:type="dxa"/>
            <w:vAlign w:val="top"/>
          </w:tcPr>
          <w:p w14:paraId="12E4F181">
            <w:pPr>
              <w:spacing w:before="206"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5.</w:t>
            </w:r>
            <w:r>
              <w:rPr>
                <w:rFonts w:ascii="Times New Roman" w:hAnsi="Times New Roman" w:eastAsia="Times New Roman" w:cs="Times New Roman"/>
                <w:sz w:val="20"/>
                <w:szCs w:val="20"/>
              </w:rPr>
              <w:t>4</w:t>
            </w:r>
          </w:p>
        </w:tc>
        <w:tc>
          <w:tcPr>
            <w:tcW w:w="580" w:type="dxa"/>
            <w:vAlign w:val="top"/>
          </w:tcPr>
          <w:p w14:paraId="6D740949">
            <w:pPr>
              <w:spacing w:before="86" w:line="243" w:lineRule="exact"/>
              <w:ind w:left="180"/>
              <w:rPr>
                <w:rFonts w:ascii="Times New Roman" w:hAnsi="Times New Roman" w:eastAsia="Times New Roman" w:cs="Times New Roman"/>
                <w:sz w:val="20"/>
                <w:szCs w:val="20"/>
              </w:rPr>
            </w:pPr>
            <w:r>
              <w:rPr>
                <w:rFonts w:ascii="Times New Roman" w:hAnsi="Times New Roman" w:eastAsia="Times New Roman" w:cs="Times New Roman"/>
                <w:spacing w:val="1"/>
                <w:position w:val="5"/>
                <w:sz w:val="20"/>
                <w:szCs w:val="20"/>
              </w:rPr>
              <w:t>1</w:t>
            </w:r>
            <w:r>
              <w:rPr>
                <w:rFonts w:ascii="Times New Roman" w:hAnsi="Times New Roman" w:eastAsia="Times New Roman" w:cs="Times New Roman"/>
                <w:position w:val="5"/>
                <w:sz w:val="20"/>
                <w:szCs w:val="20"/>
              </w:rPr>
              <w:t>2.</w:t>
            </w:r>
          </w:p>
          <w:p w14:paraId="4BAD86CA">
            <w:pPr>
              <w:spacing w:line="191" w:lineRule="auto"/>
              <w:ind w:left="243"/>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580" w:type="dxa"/>
            <w:vAlign w:val="top"/>
          </w:tcPr>
          <w:p w14:paraId="274D0BA0">
            <w:pPr>
              <w:spacing w:before="206" w:line="195"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w:t>
            </w:r>
            <w:r>
              <w:rPr>
                <w:rFonts w:ascii="Times New Roman" w:hAnsi="Times New Roman" w:eastAsia="Times New Roman" w:cs="Times New Roman"/>
                <w:spacing w:val="1"/>
                <w:sz w:val="20"/>
                <w:szCs w:val="20"/>
              </w:rPr>
              <w:t>.6</w:t>
            </w:r>
          </w:p>
        </w:tc>
        <w:tc>
          <w:tcPr>
            <w:tcW w:w="580" w:type="dxa"/>
            <w:vAlign w:val="top"/>
          </w:tcPr>
          <w:p w14:paraId="3E501F96">
            <w:pPr>
              <w:spacing w:before="206" w:line="195" w:lineRule="auto"/>
              <w:ind w:left="13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w:t>
            </w:r>
          </w:p>
        </w:tc>
        <w:tc>
          <w:tcPr>
            <w:tcW w:w="580" w:type="dxa"/>
            <w:vAlign w:val="top"/>
          </w:tcPr>
          <w:p w14:paraId="59B69C81">
            <w:pPr>
              <w:spacing w:before="206" w:line="237" w:lineRule="auto"/>
              <w:ind w:left="12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8</w:t>
            </w:r>
            <w:r>
              <w:rPr>
                <w:rFonts w:ascii="Times New Roman" w:hAnsi="Times New Roman" w:eastAsia="Times New Roman" w:cs="Times New Roman"/>
                <w:spacing w:val="2"/>
                <w:sz w:val="20"/>
                <w:szCs w:val="20"/>
              </w:rPr>
              <w:t>.9</w:t>
            </w:r>
          </w:p>
        </w:tc>
        <w:tc>
          <w:tcPr>
            <w:tcW w:w="580" w:type="dxa"/>
            <w:vAlign w:val="top"/>
          </w:tcPr>
          <w:p w14:paraId="15AFD16E">
            <w:pPr>
              <w:spacing w:before="86" w:line="243" w:lineRule="exact"/>
              <w:ind w:left="129"/>
              <w:rPr>
                <w:rFonts w:ascii="Times New Roman" w:hAnsi="Times New Roman" w:eastAsia="Times New Roman" w:cs="Times New Roman"/>
                <w:sz w:val="20"/>
                <w:szCs w:val="20"/>
              </w:rPr>
            </w:pPr>
            <w:r>
              <w:rPr>
                <w:rFonts w:ascii="Times New Roman" w:hAnsi="Times New Roman" w:eastAsia="Times New Roman" w:cs="Times New Roman"/>
                <w:spacing w:val="5"/>
                <w:position w:val="5"/>
                <w:sz w:val="20"/>
                <w:szCs w:val="20"/>
              </w:rPr>
              <w:t>-24.</w:t>
            </w:r>
          </w:p>
          <w:p w14:paraId="03CAA289">
            <w:pPr>
              <w:spacing w:line="191" w:lineRule="auto"/>
              <w:ind w:left="241"/>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580" w:type="dxa"/>
            <w:vAlign w:val="top"/>
          </w:tcPr>
          <w:p w14:paraId="1DACDF30">
            <w:pPr>
              <w:spacing w:before="86" w:line="240" w:lineRule="exact"/>
              <w:ind w:left="130"/>
              <w:rPr>
                <w:rFonts w:ascii="Times New Roman" w:hAnsi="Times New Roman" w:eastAsia="Times New Roman" w:cs="Times New Roman"/>
                <w:sz w:val="20"/>
                <w:szCs w:val="20"/>
              </w:rPr>
            </w:pPr>
            <w:r>
              <w:rPr>
                <w:rFonts w:ascii="Times New Roman" w:hAnsi="Times New Roman" w:eastAsia="Times New Roman" w:cs="Times New Roman"/>
                <w:spacing w:val="6"/>
                <w:position w:val="5"/>
                <w:sz w:val="20"/>
                <w:szCs w:val="20"/>
              </w:rPr>
              <w:t>-</w:t>
            </w:r>
            <w:r>
              <w:rPr>
                <w:rFonts w:ascii="Times New Roman" w:hAnsi="Times New Roman" w:eastAsia="Times New Roman" w:cs="Times New Roman"/>
                <w:spacing w:val="4"/>
                <w:position w:val="5"/>
                <w:sz w:val="20"/>
                <w:szCs w:val="20"/>
              </w:rPr>
              <w:t>29.</w:t>
            </w:r>
          </w:p>
          <w:p w14:paraId="7F03B2C0">
            <w:pPr>
              <w:spacing w:line="194" w:lineRule="auto"/>
              <w:ind w:left="247"/>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581" w:type="dxa"/>
            <w:tcBorders>
              <w:right w:val="nil"/>
            </w:tcBorders>
            <w:vAlign w:val="top"/>
          </w:tcPr>
          <w:p w14:paraId="467834E6">
            <w:pPr>
              <w:spacing w:before="86" w:line="240" w:lineRule="exact"/>
              <w:ind w:left="131"/>
              <w:rPr>
                <w:rFonts w:ascii="Times New Roman" w:hAnsi="Times New Roman" w:eastAsia="Times New Roman" w:cs="Times New Roman"/>
                <w:sz w:val="20"/>
                <w:szCs w:val="20"/>
              </w:rPr>
            </w:pPr>
            <w:r>
              <w:rPr>
                <w:rFonts w:ascii="Times New Roman" w:hAnsi="Times New Roman" w:eastAsia="Times New Roman" w:cs="Times New Roman"/>
                <w:spacing w:val="6"/>
                <w:position w:val="5"/>
                <w:sz w:val="20"/>
                <w:szCs w:val="20"/>
              </w:rPr>
              <w:t>-</w:t>
            </w:r>
            <w:r>
              <w:rPr>
                <w:rFonts w:ascii="Times New Roman" w:hAnsi="Times New Roman" w:eastAsia="Times New Roman" w:cs="Times New Roman"/>
                <w:spacing w:val="4"/>
                <w:position w:val="5"/>
                <w:sz w:val="20"/>
                <w:szCs w:val="20"/>
              </w:rPr>
              <w:t>35.</w:t>
            </w:r>
          </w:p>
          <w:p w14:paraId="7F54CBCD">
            <w:pPr>
              <w:spacing w:line="194" w:lineRule="auto"/>
              <w:ind w:left="244"/>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r>
      <w:tr w14:paraId="10BC47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981" w:type="dxa"/>
            <w:tcBorders>
              <w:left w:val="nil"/>
            </w:tcBorders>
            <w:vAlign w:val="top"/>
          </w:tcPr>
          <w:p w14:paraId="118C39BA">
            <w:pPr>
              <w:spacing w:before="36" w:line="216" w:lineRule="auto"/>
              <w:ind w:left="120"/>
              <w:rPr>
                <w:rFonts w:ascii="宋体" w:hAnsi="宋体" w:eastAsia="宋体" w:cs="宋体"/>
                <w:sz w:val="20"/>
                <w:szCs w:val="20"/>
              </w:rPr>
            </w:pPr>
            <w:r>
              <w:rPr>
                <w:rFonts w:ascii="宋体" w:hAnsi="宋体" w:eastAsia="宋体" w:cs="宋体"/>
                <w:spacing w:val="-7"/>
                <w:sz w:val="20"/>
                <w:szCs w:val="20"/>
              </w:rPr>
              <w:t>平</w:t>
            </w:r>
            <w:r>
              <w:rPr>
                <w:rFonts w:ascii="宋体" w:hAnsi="宋体" w:eastAsia="宋体" w:cs="宋体"/>
                <w:spacing w:val="-5"/>
                <w:sz w:val="20"/>
                <w:szCs w:val="20"/>
              </w:rPr>
              <w:t>均相对</w:t>
            </w:r>
          </w:p>
          <w:p w14:paraId="3DB2A890">
            <w:pPr>
              <w:spacing w:line="278" w:lineRule="exact"/>
              <w:ind w:left="171"/>
              <w:rPr>
                <w:rFonts w:ascii="Times New Roman" w:hAnsi="Times New Roman" w:eastAsia="Times New Roman" w:cs="Times New Roman"/>
                <w:sz w:val="20"/>
                <w:szCs w:val="20"/>
              </w:rPr>
            </w:pPr>
            <w:r>
              <w:rPr>
                <w:rFonts w:ascii="宋体" w:hAnsi="宋体" w:eastAsia="宋体" w:cs="宋体"/>
                <w:spacing w:val="-9"/>
                <w:position w:val="2"/>
                <w:sz w:val="20"/>
                <w:szCs w:val="20"/>
              </w:rPr>
              <w:t>湿</w:t>
            </w:r>
            <w:r>
              <w:rPr>
                <w:rFonts w:ascii="宋体" w:hAnsi="宋体" w:eastAsia="宋体" w:cs="宋体"/>
                <w:spacing w:val="-5"/>
                <w:position w:val="2"/>
                <w:sz w:val="20"/>
                <w:szCs w:val="20"/>
              </w:rPr>
              <w:t>度</w:t>
            </w:r>
            <w:r>
              <w:rPr>
                <w:rFonts w:ascii="Times New Roman" w:hAnsi="Times New Roman" w:eastAsia="Times New Roman" w:cs="Times New Roman"/>
                <w:spacing w:val="-5"/>
                <w:position w:val="2"/>
                <w:sz w:val="20"/>
                <w:szCs w:val="20"/>
              </w:rPr>
              <w:t>(%)</w:t>
            </w:r>
          </w:p>
        </w:tc>
        <w:tc>
          <w:tcPr>
            <w:tcW w:w="580" w:type="dxa"/>
            <w:vAlign w:val="top"/>
          </w:tcPr>
          <w:p w14:paraId="5765D394">
            <w:pPr>
              <w:spacing w:before="206" w:line="195" w:lineRule="auto"/>
              <w:ind w:left="19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2</w:t>
            </w:r>
          </w:p>
        </w:tc>
        <w:tc>
          <w:tcPr>
            <w:tcW w:w="580" w:type="dxa"/>
            <w:vAlign w:val="top"/>
          </w:tcPr>
          <w:p w14:paraId="49EAB6B1">
            <w:pPr>
              <w:spacing w:before="209" w:line="192" w:lineRule="auto"/>
              <w:ind w:left="191"/>
              <w:rPr>
                <w:rFonts w:ascii="Times New Roman" w:hAnsi="Times New Roman" w:eastAsia="Times New Roman" w:cs="Times New Roman"/>
                <w:sz w:val="20"/>
                <w:szCs w:val="20"/>
              </w:rPr>
            </w:pPr>
            <w:r>
              <w:rPr>
                <w:rFonts w:ascii="Times New Roman" w:hAnsi="Times New Roman" w:eastAsia="Times New Roman" w:cs="Times New Roman"/>
                <w:sz w:val="20"/>
                <w:szCs w:val="20"/>
              </w:rPr>
              <w:t>57</w:t>
            </w:r>
          </w:p>
        </w:tc>
        <w:tc>
          <w:tcPr>
            <w:tcW w:w="580" w:type="dxa"/>
            <w:vAlign w:val="top"/>
          </w:tcPr>
          <w:p w14:paraId="5FE5C84D">
            <w:pPr>
              <w:spacing w:before="206" w:line="195" w:lineRule="auto"/>
              <w:ind w:left="192"/>
              <w:rPr>
                <w:rFonts w:ascii="Times New Roman" w:hAnsi="Times New Roman" w:eastAsia="Times New Roman" w:cs="Times New Roman"/>
                <w:sz w:val="20"/>
                <w:szCs w:val="20"/>
              </w:rPr>
            </w:pPr>
            <w:r>
              <w:rPr>
                <w:rFonts w:ascii="Times New Roman" w:hAnsi="Times New Roman" w:eastAsia="Times New Roman" w:cs="Times New Roman"/>
                <w:sz w:val="20"/>
                <w:szCs w:val="20"/>
              </w:rPr>
              <w:t>54</w:t>
            </w:r>
          </w:p>
        </w:tc>
        <w:tc>
          <w:tcPr>
            <w:tcW w:w="580" w:type="dxa"/>
            <w:vAlign w:val="top"/>
          </w:tcPr>
          <w:p w14:paraId="7F374789">
            <w:pPr>
              <w:spacing w:before="206" w:line="195" w:lineRule="auto"/>
              <w:ind w:left="192"/>
              <w:rPr>
                <w:rFonts w:ascii="Times New Roman" w:hAnsi="Times New Roman" w:eastAsia="Times New Roman" w:cs="Times New Roman"/>
                <w:sz w:val="20"/>
                <w:szCs w:val="20"/>
              </w:rPr>
            </w:pPr>
            <w:r>
              <w:rPr>
                <w:rFonts w:ascii="Times New Roman" w:hAnsi="Times New Roman" w:eastAsia="Times New Roman" w:cs="Times New Roman"/>
                <w:sz w:val="20"/>
                <w:szCs w:val="20"/>
              </w:rPr>
              <w:t>51</w:t>
            </w:r>
          </w:p>
        </w:tc>
        <w:tc>
          <w:tcPr>
            <w:tcW w:w="580" w:type="dxa"/>
            <w:vAlign w:val="top"/>
          </w:tcPr>
          <w:p w14:paraId="622EC99D">
            <w:pPr>
              <w:spacing w:before="206" w:line="195" w:lineRule="auto"/>
              <w:ind w:left="191"/>
              <w:rPr>
                <w:rFonts w:ascii="Times New Roman" w:hAnsi="Times New Roman" w:eastAsia="Times New Roman" w:cs="Times New Roman"/>
                <w:sz w:val="20"/>
                <w:szCs w:val="20"/>
              </w:rPr>
            </w:pPr>
            <w:r>
              <w:rPr>
                <w:rFonts w:ascii="Times New Roman" w:hAnsi="Times New Roman" w:eastAsia="Times New Roman" w:cs="Times New Roman"/>
                <w:sz w:val="20"/>
                <w:szCs w:val="20"/>
              </w:rPr>
              <w:t>54</w:t>
            </w:r>
          </w:p>
        </w:tc>
        <w:tc>
          <w:tcPr>
            <w:tcW w:w="580" w:type="dxa"/>
            <w:vAlign w:val="top"/>
          </w:tcPr>
          <w:p w14:paraId="47664E5A">
            <w:pPr>
              <w:spacing w:before="206" w:line="195" w:lineRule="auto"/>
              <w:ind w:left="19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6</w:t>
            </w:r>
          </w:p>
        </w:tc>
        <w:tc>
          <w:tcPr>
            <w:tcW w:w="580" w:type="dxa"/>
            <w:vAlign w:val="top"/>
          </w:tcPr>
          <w:p w14:paraId="62965C21">
            <w:pPr>
              <w:spacing w:before="206" w:line="195"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78</w:t>
            </w:r>
          </w:p>
        </w:tc>
        <w:tc>
          <w:tcPr>
            <w:tcW w:w="580" w:type="dxa"/>
            <w:vAlign w:val="top"/>
          </w:tcPr>
          <w:p w14:paraId="69724D3E">
            <w:pPr>
              <w:spacing w:before="206" w:line="195"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w:t>
            </w:r>
            <w:r>
              <w:rPr>
                <w:rFonts w:ascii="Times New Roman" w:hAnsi="Times New Roman" w:eastAsia="Times New Roman" w:cs="Times New Roman"/>
                <w:spacing w:val="-1"/>
                <w:sz w:val="20"/>
                <w:szCs w:val="20"/>
              </w:rPr>
              <w:t>0</w:t>
            </w:r>
          </w:p>
        </w:tc>
        <w:tc>
          <w:tcPr>
            <w:tcW w:w="580" w:type="dxa"/>
            <w:vAlign w:val="top"/>
          </w:tcPr>
          <w:p w14:paraId="02A336C3">
            <w:pPr>
              <w:spacing w:before="206" w:line="195" w:lineRule="auto"/>
              <w:ind w:left="18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73</w:t>
            </w:r>
          </w:p>
        </w:tc>
        <w:tc>
          <w:tcPr>
            <w:tcW w:w="580" w:type="dxa"/>
            <w:vAlign w:val="top"/>
          </w:tcPr>
          <w:p w14:paraId="5216F31F">
            <w:pPr>
              <w:spacing w:before="206" w:line="195" w:lineRule="auto"/>
              <w:ind w:left="19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6</w:t>
            </w:r>
          </w:p>
        </w:tc>
        <w:tc>
          <w:tcPr>
            <w:tcW w:w="580" w:type="dxa"/>
            <w:vAlign w:val="top"/>
          </w:tcPr>
          <w:p w14:paraId="472D4CB6">
            <w:pPr>
              <w:spacing w:before="206" w:line="195"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4</w:t>
            </w:r>
          </w:p>
        </w:tc>
        <w:tc>
          <w:tcPr>
            <w:tcW w:w="580" w:type="dxa"/>
            <w:vAlign w:val="top"/>
          </w:tcPr>
          <w:p w14:paraId="071FABCD">
            <w:pPr>
              <w:spacing w:before="206" w:line="195" w:lineRule="auto"/>
              <w:ind w:left="19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3</w:t>
            </w:r>
          </w:p>
        </w:tc>
        <w:tc>
          <w:tcPr>
            <w:tcW w:w="581" w:type="dxa"/>
            <w:tcBorders>
              <w:right w:val="nil"/>
            </w:tcBorders>
            <w:vAlign w:val="top"/>
          </w:tcPr>
          <w:p w14:paraId="790EF88F">
            <w:pPr>
              <w:spacing w:before="206" w:line="195" w:lineRule="auto"/>
              <w:ind w:left="19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4</w:t>
            </w:r>
          </w:p>
        </w:tc>
      </w:tr>
      <w:tr w14:paraId="1279D4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981" w:type="dxa"/>
            <w:tcBorders>
              <w:left w:val="nil"/>
            </w:tcBorders>
            <w:vAlign w:val="top"/>
          </w:tcPr>
          <w:p w14:paraId="556F1DB6">
            <w:pPr>
              <w:spacing w:before="35" w:line="237" w:lineRule="auto"/>
              <w:ind w:left="264" w:right="174" w:hanging="65"/>
              <w:rPr>
                <w:rFonts w:ascii="Times New Roman" w:hAnsi="Times New Roman" w:eastAsia="Times New Roman" w:cs="Times New Roman"/>
                <w:sz w:val="20"/>
                <w:szCs w:val="20"/>
              </w:rPr>
            </w:pPr>
            <w:r>
              <w:rPr>
                <w:rFonts w:ascii="宋体" w:hAnsi="宋体" w:eastAsia="宋体" w:cs="宋体"/>
                <w:spacing w:val="2"/>
                <w:sz w:val="20"/>
                <w:szCs w:val="20"/>
              </w:rPr>
              <w:t>降</w:t>
            </w:r>
            <w:r>
              <w:rPr>
                <w:rFonts w:ascii="宋体" w:hAnsi="宋体" w:eastAsia="宋体" w:cs="宋体"/>
                <w:spacing w:val="1"/>
                <w:sz w:val="20"/>
                <w:szCs w:val="20"/>
              </w:rPr>
              <w:t>水量</w:t>
            </w:r>
            <w:r>
              <w:rPr>
                <w:rFonts w:ascii="宋体" w:hAnsi="宋体" w:eastAsia="宋体" w:cs="宋体"/>
                <w:sz w:val="20"/>
                <w:szCs w:val="20"/>
              </w:rPr>
              <w:t xml:space="preserve"> </w:t>
            </w:r>
            <w:r>
              <w:rPr>
                <w:rFonts w:ascii="Times New Roman" w:hAnsi="Times New Roman" w:eastAsia="Times New Roman" w:cs="Times New Roman"/>
                <w:spacing w:val="6"/>
                <w:sz w:val="20"/>
                <w:szCs w:val="20"/>
              </w:rPr>
              <w:t>(</w:t>
            </w:r>
            <w:r>
              <w:rPr>
                <w:rFonts w:ascii="Times New Roman" w:hAnsi="Times New Roman" w:eastAsia="Times New Roman" w:cs="Times New Roman"/>
                <w:sz w:val="20"/>
                <w:szCs w:val="20"/>
              </w:rPr>
              <w:t>mm</w:t>
            </w:r>
            <w:r>
              <w:rPr>
                <w:rFonts w:ascii="Times New Roman" w:hAnsi="Times New Roman" w:eastAsia="Times New Roman" w:cs="Times New Roman"/>
                <w:spacing w:val="6"/>
                <w:sz w:val="20"/>
                <w:szCs w:val="20"/>
              </w:rPr>
              <w:t>)</w:t>
            </w:r>
          </w:p>
        </w:tc>
        <w:tc>
          <w:tcPr>
            <w:tcW w:w="580" w:type="dxa"/>
            <w:vAlign w:val="top"/>
          </w:tcPr>
          <w:p w14:paraId="6490419D">
            <w:pPr>
              <w:spacing w:before="70" w:line="243" w:lineRule="exact"/>
              <w:ind w:left="164"/>
              <w:rPr>
                <w:rFonts w:ascii="Times New Roman" w:hAnsi="Times New Roman" w:eastAsia="Times New Roman" w:cs="Times New Roman"/>
                <w:sz w:val="20"/>
                <w:szCs w:val="20"/>
              </w:rPr>
            </w:pPr>
            <w:r>
              <w:rPr>
                <w:rFonts w:ascii="Times New Roman" w:hAnsi="Times New Roman" w:eastAsia="Times New Roman" w:cs="Times New Roman"/>
                <w:spacing w:val="4"/>
                <w:position w:val="5"/>
                <w:sz w:val="20"/>
                <w:szCs w:val="20"/>
              </w:rPr>
              <w:t>9.8</w:t>
            </w:r>
          </w:p>
          <w:p w14:paraId="7E128520">
            <w:pPr>
              <w:spacing w:line="194" w:lineRule="auto"/>
              <w:ind w:left="237"/>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580" w:type="dxa"/>
            <w:vAlign w:val="top"/>
          </w:tcPr>
          <w:p w14:paraId="13D21E97">
            <w:pPr>
              <w:spacing w:before="70" w:line="224" w:lineRule="auto"/>
              <w:ind w:left="258" w:right="99" w:hanging="127"/>
              <w:rPr>
                <w:rFonts w:ascii="Times New Roman" w:hAnsi="Times New Roman" w:eastAsia="Times New Roman" w:cs="Times New Roman"/>
                <w:sz w:val="20"/>
                <w:szCs w:val="20"/>
              </w:rPr>
            </w:pPr>
            <w:r>
              <w:rPr>
                <w:rFonts w:ascii="Times New Roman" w:hAnsi="Times New Roman" w:eastAsia="Times New Roman" w:cs="Times New Roman"/>
                <w:spacing w:val="-12"/>
                <w:sz w:val="20"/>
                <w:szCs w:val="20"/>
              </w:rPr>
              <w:t>1</w:t>
            </w:r>
            <w:r>
              <w:rPr>
                <w:rFonts w:ascii="Times New Roman" w:hAnsi="Times New Roman" w:eastAsia="Times New Roman" w:cs="Times New Roman"/>
                <w:spacing w:val="-11"/>
                <w:sz w:val="20"/>
                <w:szCs w:val="20"/>
              </w:rPr>
              <w:t>5. 1</w:t>
            </w:r>
            <w:r>
              <w:rPr>
                <w:rFonts w:ascii="Times New Roman" w:hAnsi="Times New Roman" w:eastAsia="Times New Roman" w:cs="Times New Roman"/>
                <w:sz w:val="20"/>
                <w:szCs w:val="20"/>
              </w:rPr>
              <w:t xml:space="preserve"> 1</w:t>
            </w:r>
          </w:p>
        </w:tc>
        <w:tc>
          <w:tcPr>
            <w:tcW w:w="580" w:type="dxa"/>
            <w:vAlign w:val="top"/>
          </w:tcPr>
          <w:p w14:paraId="014DF9EC">
            <w:pPr>
              <w:spacing w:before="70" w:line="243" w:lineRule="exact"/>
              <w:ind w:left="160"/>
              <w:rPr>
                <w:rFonts w:ascii="Times New Roman" w:hAnsi="Times New Roman" w:eastAsia="Times New Roman" w:cs="Times New Roman"/>
                <w:sz w:val="20"/>
                <w:szCs w:val="20"/>
              </w:rPr>
            </w:pPr>
            <w:r>
              <w:rPr>
                <w:rFonts w:ascii="Times New Roman" w:hAnsi="Times New Roman" w:eastAsia="Times New Roman" w:cs="Times New Roman"/>
                <w:spacing w:val="7"/>
                <w:position w:val="5"/>
                <w:sz w:val="20"/>
                <w:szCs w:val="20"/>
              </w:rPr>
              <w:t>25.</w:t>
            </w:r>
          </w:p>
          <w:p w14:paraId="24430CB3">
            <w:pPr>
              <w:spacing w:line="194" w:lineRule="auto"/>
              <w:ind w:left="192"/>
              <w:rPr>
                <w:rFonts w:ascii="Times New Roman" w:hAnsi="Times New Roman" w:eastAsia="Times New Roman" w:cs="Times New Roman"/>
                <w:sz w:val="20"/>
                <w:szCs w:val="20"/>
              </w:rPr>
            </w:pPr>
            <w:r>
              <w:rPr>
                <w:rFonts w:ascii="Times New Roman" w:hAnsi="Times New Roman" w:eastAsia="Times New Roman" w:cs="Times New Roman"/>
                <w:sz w:val="20"/>
                <w:szCs w:val="20"/>
              </w:rPr>
              <w:t>53</w:t>
            </w:r>
          </w:p>
        </w:tc>
        <w:tc>
          <w:tcPr>
            <w:tcW w:w="580" w:type="dxa"/>
            <w:vAlign w:val="top"/>
          </w:tcPr>
          <w:p w14:paraId="7D37052D">
            <w:pPr>
              <w:spacing w:before="73" w:line="240" w:lineRule="exact"/>
              <w:ind w:left="166"/>
              <w:rPr>
                <w:rFonts w:ascii="Times New Roman" w:hAnsi="Times New Roman" w:eastAsia="Times New Roman" w:cs="Times New Roman"/>
                <w:sz w:val="20"/>
                <w:szCs w:val="20"/>
              </w:rPr>
            </w:pPr>
            <w:r>
              <w:rPr>
                <w:rFonts w:ascii="Times New Roman" w:hAnsi="Times New Roman" w:eastAsia="Times New Roman" w:cs="Times New Roman"/>
                <w:spacing w:val="5"/>
                <w:position w:val="6"/>
                <w:sz w:val="20"/>
                <w:szCs w:val="20"/>
              </w:rPr>
              <w:t>57.</w:t>
            </w:r>
          </w:p>
          <w:p w14:paraId="1438D286">
            <w:pPr>
              <w:spacing w:line="194"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71</w:t>
            </w:r>
          </w:p>
        </w:tc>
        <w:tc>
          <w:tcPr>
            <w:tcW w:w="580" w:type="dxa"/>
            <w:vAlign w:val="top"/>
          </w:tcPr>
          <w:p w14:paraId="129FE80D">
            <w:pPr>
              <w:spacing w:before="73" w:line="240" w:lineRule="exact"/>
              <w:ind w:left="167"/>
              <w:rPr>
                <w:rFonts w:ascii="Times New Roman" w:hAnsi="Times New Roman" w:eastAsia="Times New Roman" w:cs="Times New Roman"/>
                <w:sz w:val="20"/>
                <w:szCs w:val="20"/>
              </w:rPr>
            </w:pPr>
            <w:r>
              <w:rPr>
                <w:rFonts w:ascii="Times New Roman" w:hAnsi="Times New Roman" w:eastAsia="Times New Roman" w:cs="Times New Roman"/>
                <w:spacing w:val="5"/>
                <w:position w:val="5"/>
                <w:sz w:val="20"/>
                <w:szCs w:val="20"/>
              </w:rPr>
              <w:t>55.</w:t>
            </w:r>
          </w:p>
          <w:p w14:paraId="35D896DD">
            <w:pPr>
              <w:spacing w:line="194"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2</w:t>
            </w:r>
          </w:p>
        </w:tc>
        <w:tc>
          <w:tcPr>
            <w:tcW w:w="580" w:type="dxa"/>
            <w:vAlign w:val="top"/>
          </w:tcPr>
          <w:p w14:paraId="49825748">
            <w:pPr>
              <w:spacing w:before="70" w:line="243" w:lineRule="exact"/>
              <w:ind w:left="153"/>
              <w:rPr>
                <w:rFonts w:ascii="Times New Roman" w:hAnsi="Times New Roman" w:eastAsia="Times New Roman" w:cs="Times New Roman"/>
                <w:sz w:val="20"/>
                <w:szCs w:val="20"/>
              </w:rPr>
            </w:pPr>
            <w:r>
              <w:rPr>
                <w:rFonts w:ascii="Times New Roman" w:hAnsi="Times New Roman" w:eastAsia="Times New Roman" w:cs="Times New Roman"/>
                <w:spacing w:val="-3"/>
                <w:position w:val="5"/>
                <w:sz w:val="20"/>
                <w:szCs w:val="20"/>
              </w:rPr>
              <w:t>108</w:t>
            </w:r>
          </w:p>
          <w:p w14:paraId="4BC2CB0B">
            <w:pPr>
              <w:spacing w:line="194"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w:t>
            </w:r>
            <w:r>
              <w:rPr>
                <w:rFonts w:ascii="Times New Roman" w:hAnsi="Times New Roman" w:eastAsia="Times New Roman" w:cs="Times New Roman"/>
                <w:sz w:val="20"/>
                <w:szCs w:val="20"/>
              </w:rPr>
              <w:t>5</w:t>
            </w:r>
          </w:p>
        </w:tc>
        <w:tc>
          <w:tcPr>
            <w:tcW w:w="580" w:type="dxa"/>
            <w:vAlign w:val="top"/>
          </w:tcPr>
          <w:p w14:paraId="385D607B">
            <w:pPr>
              <w:spacing w:before="70" w:line="243" w:lineRule="exact"/>
              <w:ind w:left="154"/>
              <w:rPr>
                <w:rFonts w:ascii="Times New Roman" w:hAnsi="Times New Roman" w:eastAsia="Times New Roman" w:cs="Times New Roman"/>
                <w:sz w:val="20"/>
                <w:szCs w:val="20"/>
              </w:rPr>
            </w:pPr>
            <w:r>
              <w:rPr>
                <w:rFonts w:ascii="Times New Roman" w:hAnsi="Times New Roman" w:eastAsia="Times New Roman" w:cs="Times New Roman"/>
                <w:spacing w:val="-3"/>
                <w:position w:val="5"/>
                <w:sz w:val="20"/>
                <w:szCs w:val="20"/>
              </w:rPr>
              <w:t>170</w:t>
            </w:r>
          </w:p>
          <w:p w14:paraId="06110105">
            <w:pPr>
              <w:spacing w:line="194" w:lineRule="auto"/>
              <w:ind w:left="17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w:t>
            </w:r>
            <w:r>
              <w:rPr>
                <w:rFonts w:ascii="Times New Roman" w:hAnsi="Times New Roman" w:eastAsia="Times New Roman" w:cs="Times New Roman"/>
                <w:sz w:val="20"/>
                <w:szCs w:val="20"/>
              </w:rPr>
              <w:t>4</w:t>
            </w:r>
          </w:p>
        </w:tc>
        <w:tc>
          <w:tcPr>
            <w:tcW w:w="580" w:type="dxa"/>
            <w:vAlign w:val="top"/>
          </w:tcPr>
          <w:p w14:paraId="45570AE8">
            <w:pPr>
              <w:spacing w:before="70" w:line="243" w:lineRule="exact"/>
              <w:ind w:left="152"/>
              <w:rPr>
                <w:rFonts w:ascii="Times New Roman" w:hAnsi="Times New Roman" w:eastAsia="Times New Roman" w:cs="Times New Roman"/>
                <w:sz w:val="20"/>
                <w:szCs w:val="20"/>
              </w:rPr>
            </w:pPr>
            <w:r>
              <w:rPr>
                <w:rFonts w:ascii="Times New Roman" w:hAnsi="Times New Roman" w:eastAsia="Times New Roman" w:cs="Times New Roman"/>
                <w:spacing w:val="-3"/>
                <w:position w:val="5"/>
                <w:sz w:val="20"/>
                <w:szCs w:val="20"/>
              </w:rPr>
              <w:t>158</w:t>
            </w:r>
          </w:p>
          <w:p w14:paraId="61A2E2E0">
            <w:pPr>
              <w:spacing w:line="194" w:lineRule="auto"/>
              <w:ind w:left="17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w:t>
            </w:r>
            <w:r>
              <w:rPr>
                <w:rFonts w:ascii="Times New Roman" w:hAnsi="Times New Roman" w:eastAsia="Times New Roman" w:cs="Times New Roman"/>
                <w:sz w:val="20"/>
                <w:szCs w:val="20"/>
              </w:rPr>
              <w:t>1</w:t>
            </w:r>
          </w:p>
        </w:tc>
        <w:tc>
          <w:tcPr>
            <w:tcW w:w="580" w:type="dxa"/>
            <w:vAlign w:val="top"/>
          </w:tcPr>
          <w:p w14:paraId="4D883481">
            <w:pPr>
              <w:spacing w:before="70" w:line="243" w:lineRule="exact"/>
              <w:ind w:left="164"/>
              <w:rPr>
                <w:rFonts w:ascii="Times New Roman" w:hAnsi="Times New Roman" w:eastAsia="Times New Roman" w:cs="Times New Roman"/>
                <w:sz w:val="20"/>
                <w:szCs w:val="20"/>
              </w:rPr>
            </w:pPr>
            <w:r>
              <w:rPr>
                <w:rFonts w:ascii="Times New Roman" w:hAnsi="Times New Roman" w:eastAsia="Times New Roman" w:cs="Times New Roman"/>
                <w:spacing w:val="6"/>
                <w:position w:val="5"/>
                <w:sz w:val="20"/>
                <w:szCs w:val="20"/>
              </w:rPr>
              <w:t>39</w:t>
            </w:r>
            <w:r>
              <w:rPr>
                <w:rFonts w:ascii="Times New Roman" w:hAnsi="Times New Roman" w:eastAsia="Times New Roman" w:cs="Times New Roman"/>
                <w:spacing w:val="5"/>
                <w:position w:val="5"/>
                <w:sz w:val="20"/>
                <w:szCs w:val="20"/>
              </w:rPr>
              <w:t>.</w:t>
            </w:r>
          </w:p>
          <w:p w14:paraId="2F9497E5">
            <w:pPr>
              <w:spacing w:line="194"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9</w:t>
            </w:r>
            <w:r>
              <w:rPr>
                <w:rFonts w:ascii="Times New Roman" w:hAnsi="Times New Roman" w:eastAsia="Times New Roman" w:cs="Times New Roman"/>
                <w:sz w:val="20"/>
                <w:szCs w:val="20"/>
              </w:rPr>
              <w:t>3</w:t>
            </w:r>
          </w:p>
        </w:tc>
        <w:tc>
          <w:tcPr>
            <w:tcW w:w="580" w:type="dxa"/>
            <w:vAlign w:val="top"/>
          </w:tcPr>
          <w:p w14:paraId="111630DF">
            <w:pPr>
              <w:spacing w:before="70" w:line="243" w:lineRule="exact"/>
              <w:ind w:left="159"/>
              <w:rPr>
                <w:rFonts w:ascii="Times New Roman" w:hAnsi="Times New Roman" w:eastAsia="Times New Roman" w:cs="Times New Roman"/>
                <w:sz w:val="20"/>
                <w:szCs w:val="20"/>
              </w:rPr>
            </w:pPr>
            <w:r>
              <w:rPr>
                <w:rFonts w:ascii="Times New Roman" w:hAnsi="Times New Roman" w:eastAsia="Times New Roman" w:cs="Times New Roman"/>
                <w:spacing w:val="8"/>
                <w:position w:val="5"/>
                <w:sz w:val="20"/>
                <w:szCs w:val="20"/>
              </w:rPr>
              <w:t>4</w:t>
            </w:r>
            <w:r>
              <w:rPr>
                <w:rFonts w:ascii="Times New Roman" w:hAnsi="Times New Roman" w:eastAsia="Times New Roman" w:cs="Times New Roman"/>
                <w:spacing w:val="7"/>
                <w:position w:val="5"/>
                <w:sz w:val="20"/>
                <w:szCs w:val="20"/>
              </w:rPr>
              <w:t>6.</w:t>
            </w:r>
          </w:p>
          <w:p w14:paraId="5497274E">
            <w:pPr>
              <w:spacing w:line="194" w:lineRule="auto"/>
              <w:ind w:left="19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9</w:t>
            </w:r>
            <w:r>
              <w:rPr>
                <w:rFonts w:ascii="Times New Roman" w:hAnsi="Times New Roman" w:eastAsia="Times New Roman" w:cs="Times New Roman"/>
                <w:sz w:val="20"/>
                <w:szCs w:val="20"/>
              </w:rPr>
              <w:t>9</w:t>
            </w:r>
          </w:p>
        </w:tc>
        <w:tc>
          <w:tcPr>
            <w:tcW w:w="580" w:type="dxa"/>
            <w:vAlign w:val="top"/>
          </w:tcPr>
          <w:p w14:paraId="1C489FF1">
            <w:pPr>
              <w:spacing w:before="70" w:line="243" w:lineRule="exact"/>
              <w:ind w:left="161"/>
              <w:rPr>
                <w:rFonts w:ascii="Times New Roman" w:hAnsi="Times New Roman" w:eastAsia="Times New Roman" w:cs="Times New Roman"/>
                <w:sz w:val="20"/>
                <w:szCs w:val="20"/>
              </w:rPr>
            </w:pPr>
            <w:r>
              <w:rPr>
                <w:rFonts w:ascii="Times New Roman" w:hAnsi="Times New Roman" w:eastAsia="Times New Roman" w:cs="Times New Roman"/>
                <w:spacing w:val="7"/>
                <w:position w:val="5"/>
                <w:sz w:val="20"/>
                <w:szCs w:val="20"/>
              </w:rPr>
              <w:t>24.</w:t>
            </w:r>
          </w:p>
          <w:p w14:paraId="5C9836B2">
            <w:pPr>
              <w:spacing w:line="194" w:lineRule="auto"/>
              <w:ind w:left="18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9</w:t>
            </w:r>
          </w:p>
        </w:tc>
        <w:tc>
          <w:tcPr>
            <w:tcW w:w="580" w:type="dxa"/>
            <w:vAlign w:val="top"/>
          </w:tcPr>
          <w:p w14:paraId="495181D3">
            <w:pPr>
              <w:spacing w:before="70" w:line="243" w:lineRule="exact"/>
              <w:ind w:left="180"/>
              <w:rPr>
                <w:rFonts w:ascii="Times New Roman" w:hAnsi="Times New Roman" w:eastAsia="Times New Roman" w:cs="Times New Roman"/>
                <w:sz w:val="20"/>
                <w:szCs w:val="20"/>
              </w:rPr>
            </w:pPr>
            <w:r>
              <w:rPr>
                <w:rFonts w:ascii="Times New Roman" w:hAnsi="Times New Roman" w:eastAsia="Times New Roman" w:cs="Times New Roman"/>
                <w:spacing w:val="1"/>
                <w:position w:val="5"/>
                <w:sz w:val="20"/>
                <w:szCs w:val="20"/>
              </w:rPr>
              <w:t>1</w:t>
            </w:r>
            <w:r>
              <w:rPr>
                <w:rFonts w:ascii="Times New Roman" w:hAnsi="Times New Roman" w:eastAsia="Times New Roman" w:cs="Times New Roman"/>
                <w:position w:val="5"/>
                <w:sz w:val="20"/>
                <w:szCs w:val="20"/>
              </w:rPr>
              <w:t>2.</w:t>
            </w:r>
          </w:p>
          <w:p w14:paraId="58646607">
            <w:pPr>
              <w:spacing w:line="194" w:lineRule="auto"/>
              <w:ind w:left="20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4</w:t>
            </w:r>
          </w:p>
        </w:tc>
        <w:tc>
          <w:tcPr>
            <w:tcW w:w="581" w:type="dxa"/>
            <w:tcBorders>
              <w:right w:val="nil"/>
            </w:tcBorders>
            <w:vAlign w:val="top"/>
          </w:tcPr>
          <w:p w14:paraId="7FDB1512">
            <w:pPr>
              <w:spacing w:before="70" w:line="243" w:lineRule="exact"/>
              <w:ind w:left="137"/>
              <w:rPr>
                <w:rFonts w:ascii="Times New Roman" w:hAnsi="Times New Roman" w:eastAsia="Times New Roman" w:cs="Times New Roman"/>
                <w:sz w:val="20"/>
                <w:szCs w:val="20"/>
              </w:rPr>
            </w:pPr>
            <w:r>
              <w:rPr>
                <w:rFonts w:ascii="Times New Roman" w:hAnsi="Times New Roman" w:eastAsia="Times New Roman" w:cs="Times New Roman"/>
                <w:spacing w:val="3"/>
                <w:position w:val="5"/>
                <w:sz w:val="20"/>
                <w:szCs w:val="20"/>
              </w:rPr>
              <w:t>7</w:t>
            </w:r>
            <w:r>
              <w:rPr>
                <w:rFonts w:ascii="Times New Roman" w:hAnsi="Times New Roman" w:eastAsia="Times New Roman" w:cs="Times New Roman"/>
                <w:spacing w:val="2"/>
                <w:position w:val="5"/>
                <w:sz w:val="20"/>
                <w:szCs w:val="20"/>
              </w:rPr>
              <w:t>24</w:t>
            </w:r>
          </w:p>
          <w:p w14:paraId="4A4779E2">
            <w:pPr>
              <w:spacing w:line="194" w:lineRule="auto"/>
              <w:ind w:left="17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r>
              <w:rPr>
                <w:rFonts w:ascii="Times New Roman" w:hAnsi="Times New Roman" w:eastAsia="Times New Roman" w:cs="Times New Roman"/>
                <w:sz w:val="20"/>
                <w:szCs w:val="20"/>
              </w:rPr>
              <w:t>4</w:t>
            </w:r>
          </w:p>
        </w:tc>
      </w:tr>
      <w:tr w14:paraId="5672F8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81" w:type="dxa"/>
            <w:tcBorders>
              <w:left w:val="nil"/>
            </w:tcBorders>
            <w:vAlign w:val="top"/>
          </w:tcPr>
          <w:p w14:paraId="60EFA11C">
            <w:pPr>
              <w:spacing w:before="36" w:line="247" w:lineRule="auto"/>
              <w:ind w:left="115" w:right="19" w:firstLine="67"/>
              <w:rPr>
                <w:rFonts w:ascii="宋体" w:hAnsi="宋体" w:eastAsia="宋体" w:cs="宋体"/>
                <w:sz w:val="20"/>
                <w:szCs w:val="20"/>
              </w:rPr>
            </w:pPr>
            <w:r>
              <w:rPr>
                <w:rFonts w:ascii="宋体" w:hAnsi="宋体" w:eastAsia="宋体" w:cs="宋体"/>
                <w:spacing w:val="7"/>
                <w:sz w:val="20"/>
                <w:szCs w:val="20"/>
              </w:rPr>
              <w:t>平均风</w:t>
            </w:r>
            <w:r>
              <w:rPr>
                <w:rFonts w:ascii="宋体" w:hAnsi="宋体" w:eastAsia="宋体" w:cs="宋体"/>
                <w:sz w:val="20"/>
                <w:szCs w:val="20"/>
              </w:rPr>
              <w:t xml:space="preserve"> </w:t>
            </w:r>
            <w:r>
              <w:rPr>
                <w:rFonts w:ascii="宋体" w:hAnsi="宋体" w:eastAsia="宋体" w:cs="宋体"/>
                <w:spacing w:val="-12"/>
                <w:sz w:val="20"/>
                <w:szCs w:val="20"/>
              </w:rPr>
              <w:t>速 (</w:t>
            </w:r>
            <w:r>
              <w:rPr>
                <w:rFonts w:ascii="Times New Roman" w:hAnsi="Times New Roman" w:eastAsia="Times New Roman" w:cs="Times New Roman"/>
                <w:spacing w:val="-12"/>
                <w:sz w:val="20"/>
                <w:szCs w:val="20"/>
              </w:rPr>
              <w:t xml:space="preserve">m/s </w:t>
            </w:r>
            <w:r>
              <w:rPr>
                <w:rFonts w:ascii="宋体" w:hAnsi="宋体" w:eastAsia="宋体" w:cs="宋体"/>
                <w:spacing w:val="-12"/>
                <w:sz w:val="20"/>
                <w:szCs w:val="20"/>
              </w:rPr>
              <w:t>)</w:t>
            </w:r>
          </w:p>
        </w:tc>
        <w:tc>
          <w:tcPr>
            <w:tcW w:w="580" w:type="dxa"/>
            <w:vAlign w:val="top"/>
          </w:tcPr>
          <w:p w14:paraId="3BB2E9C4">
            <w:pPr>
              <w:spacing w:before="206" w:line="198" w:lineRule="auto"/>
              <w:ind w:left="16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2</w:t>
            </w:r>
          </w:p>
        </w:tc>
        <w:tc>
          <w:tcPr>
            <w:tcW w:w="580" w:type="dxa"/>
            <w:vAlign w:val="top"/>
          </w:tcPr>
          <w:p w14:paraId="0C1B2766">
            <w:pPr>
              <w:spacing w:before="206" w:line="198" w:lineRule="auto"/>
              <w:ind w:left="161"/>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4"/>
                <w:sz w:val="20"/>
                <w:szCs w:val="20"/>
              </w:rPr>
              <w:t>.5</w:t>
            </w:r>
          </w:p>
        </w:tc>
        <w:tc>
          <w:tcPr>
            <w:tcW w:w="580" w:type="dxa"/>
            <w:vAlign w:val="top"/>
          </w:tcPr>
          <w:p w14:paraId="600029AA">
            <w:pPr>
              <w:spacing w:before="206"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w:t>
            </w:r>
            <w:r>
              <w:rPr>
                <w:rFonts w:ascii="Times New Roman" w:hAnsi="Times New Roman" w:eastAsia="Times New Roman" w:cs="Times New Roman"/>
                <w:spacing w:val="1"/>
                <w:sz w:val="20"/>
                <w:szCs w:val="20"/>
              </w:rPr>
              <w:t>.2</w:t>
            </w:r>
          </w:p>
        </w:tc>
        <w:tc>
          <w:tcPr>
            <w:tcW w:w="580" w:type="dxa"/>
            <w:vAlign w:val="top"/>
          </w:tcPr>
          <w:p w14:paraId="7F829E71">
            <w:pPr>
              <w:spacing w:before="206" w:line="198" w:lineRule="auto"/>
              <w:ind w:left="1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4.0</w:t>
            </w:r>
          </w:p>
        </w:tc>
        <w:tc>
          <w:tcPr>
            <w:tcW w:w="580" w:type="dxa"/>
            <w:vAlign w:val="top"/>
          </w:tcPr>
          <w:p w14:paraId="5B1D46E4">
            <w:pPr>
              <w:spacing w:before="206"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3.8</w:t>
            </w:r>
          </w:p>
        </w:tc>
        <w:tc>
          <w:tcPr>
            <w:tcW w:w="580" w:type="dxa"/>
            <w:vAlign w:val="top"/>
          </w:tcPr>
          <w:p w14:paraId="2F1214FE">
            <w:pPr>
              <w:spacing w:before="206"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3.1</w:t>
            </w:r>
          </w:p>
        </w:tc>
        <w:tc>
          <w:tcPr>
            <w:tcW w:w="580" w:type="dxa"/>
            <w:vAlign w:val="top"/>
          </w:tcPr>
          <w:p w14:paraId="3CAC23B7">
            <w:pPr>
              <w:spacing w:before="206" w:line="198" w:lineRule="auto"/>
              <w:ind w:left="16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4</w:t>
            </w:r>
          </w:p>
        </w:tc>
        <w:tc>
          <w:tcPr>
            <w:tcW w:w="580" w:type="dxa"/>
            <w:vAlign w:val="top"/>
          </w:tcPr>
          <w:p w14:paraId="0BF1E268">
            <w:pPr>
              <w:spacing w:before="206" w:line="198" w:lineRule="auto"/>
              <w:ind w:left="161"/>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2</w:t>
            </w:r>
            <w:r>
              <w:rPr>
                <w:rFonts w:ascii="Times New Roman" w:hAnsi="Times New Roman" w:eastAsia="Times New Roman" w:cs="Times New Roman"/>
                <w:spacing w:val="9"/>
                <w:sz w:val="20"/>
                <w:szCs w:val="20"/>
              </w:rPr>
              <w:t>.1</w:t>
            </w:r>
          </w:p>
        </w:tc>
        <w:tc>
          <w:tcPr>
            <w:tcW w:w="580" w:type="dxa"/>
            <w:vAlign w:val="top"/>
          </w:tcPr>
          <w:p w14:paraId="5CA2C973">
            <w:pPr>
              <w:spacing w:before="206" w:line="198" w:lineRule="auto"/>
              <w:ind w:left="160"/>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2</w:t>
            </w:r>
            <w:r>
              <w:rPr>
                <w:rFonts w:ascii="Times New Roman" w:hAnsi="Times New Roman" w:eastAsia="Times New Roman" w:cs="Times New Roman"/>
                <w:spacing w:val="9"/>
                <w:sz w:val="20"/>
                <w:szCs w:val="20"/>
              </w:rPr>
              <w:t>.1</w:t>
            </w:r>
          </w:p>
        </w:tc>
        <w:tc>
          <w:tcPr>
            <w:tcW w:w="580" w:type="dxa"/>
            <w:vAlign w:val="top"/>
          </w:tcPr>
          <w:p w14:paraId="382D0FDD">
            <w:pPr>
              <w:spacing w:before="206" w:line="198" w:lineRule="auto"/>
              <w:ind w:left="16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2.6</w:t>
            </w:r>
          </w:p>
        </w:tc>
        <w:tc>
          <w:tcPr>
            <w:tcW w:w="580" w:type="dxa"/>
            <w:vAlign w:val="top"/>
          </w:tcPr>
          <w:p w14:paraId="37C9F7CF">
            <w:pPr>
              <w:spacing w:before="206" w:line="198" w:lineRule="auto"/>
              <w:ind w:left="16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w:t>
            </w:r>
            <w:r>
              <w:rPr>
                <w:rFonts w:ascii="Times New Roman" w:hAnsi="Times New Roman" w:eastAsia="Times New Roman" w:cs="Times New Roman"/>
                <w:spacing w:val="3"/>
                <w:sz w:val="20"/>
                <w:szCs w:val="20"/>
              </w:rPr>
              <w:t>7</w:t>
            </w:r>
          </w:p>
        </w:tc>
        <w:tc>
          <w:tcPr>
            <w:tcW w:w="580" w:type="dxa"/>
            <w:vAlign w:val="top"/>
          </w:tcPr>
          <w:p w14:paraId="4B9C8ECB">
            <w:pPr>
              <w:spacing w:before="206" w:line="198" w:lineRule="auto"/>
              <w:ind w:left="16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2.3</w:t>
            </w:r>
          </w:p>
        </w:tc>
        <w:tc>
          <w:tcPr>
            <w:tcW w:w="581" w:type="dxa"/>
            <w:tcBorders>
              <w:right w:val="nil"/>
            </w:tcBorders>
            <w:vAlign w:val="top"/>
          </w:tcPr>
          <w:p w14:paraId="74141E94">
            <w:pPr>
              <w:spacing w:before="206" w:line="198" w:lineRule="auto"/>
              <w:ind w:left="16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w:t>
            </w:r>
            <w:r>
              <w:rPr>
                <w:rFonts w:ascii="Times New Roman" w:hAnsi="Times New Roman" w:eastAsia="Times New Roman" w:cs="Times New Roman"/>
                <w:spacing w:val="3"/>
                <w:sz w:val="20"/>
                <w:szCs w:val="20"/>
              </w:rPr>
              <w:t>7</w:t>
            </w:r>
          </w:p>
        </w:tc>
      </w:tr>
    </w:tbl>
    <w:p w14:paraId="195E41A8">
      <w:pPr>
        <w:spacing w:line="260" w:lineRule="auto"/>
        <w:rPr>
          <w:rFonts w:ascii="Arial"/>
          <w:sz w:val="21"/>
        </w:rPr>
      </w:pPr>
    </w:p>
    <w:p w14:paraId="3B2738BD">
      <w:pPr>
        <w:spacing w:before="75" w:line="228" w:lineRule="auto"/>
        <w:ind w:left="589"/>
        <w:rPr>
          <w:rFonts w:ascii="宋体" w:hAnsi="宋体" w:eastAsia="宋体" w:cs="宋体"/>
          <w:sz w:val="23"/>
          <w:szCs w:val="23"/>
        </w:rPr>
      </w:pPr>
      <w:r>
        <w:rPr>
          <w:rFonts w:ascii="Times New Roman" w:hAnsi="Times New Roman" w:eastAsia="Times New Roman" w:cs="Times New Roman"/>
          <w:b/>
          <w:bCs/>
          <w:sz w:val="23"/>
          <w:szCs w:val="23"/>
        </w:rPr>
        <w:t>A</w:t>
      </w:r>
      <w:r>
        <w:rPr>
          <w:rFonts w:ascii="Times New Roman" w:hAnsi="Times New Roman" w:eastAsia="Times New Roman" w:cs="Times New Roman"/>
          <w:b/>
          <w:bCs/>
          <w:spacing w:val="9"/>
          <w:sz w:val="23"/>
          <w:szCs w:val="23"/>
        </w:rPr>
        <w:t>.</w:t>
      </w:r>
      <w:r>
        <w:rPr>
          <w:rFonts w:ascii="宋体" w:hAnsi="宋体" w:eastAsia="宋体" w:cs="宋体"/>
          <w:spacing w:val="9"/>
          <w:sz w:val="23"/>
          <w:szCs w:val="23"/>
          <w14:textOutline w14:w="4358" w14:cap="sq" w14:cmpd="sng">
            <w14:solidFill>
              <w14:srgbClr w14:val="000000"/>
            </w14:solidFill>
            <w14:prstDash w14:val="solid"/>
            <w14:bevel/>
          </w14:textOutline>
        </w:rPr>
        <w:t>风向</w:t>
      </w:r>
    </w:p>
    <w:p w14:paraId="2FBFD643">
      <w:pPr>
        <w:spacing w:before="305" w:line="386" w:lineRule="auto"/>
        <w:ind w:left="123" w:right="46" w:firstLine="478"/>
        <w:rPr>
          <w:rFonts w:ascii="宋体" w:hAnsi="宋体" w:eastAsia="宋体" w:cs="宋体"/>
          <w:sz w:val="23"/>
          <w:szCs w:val="23"/>
        </w:rPr>
      </w:pPr>
      <w:r>
        <w:rPr>
          <w:rFonts w:ascii="宋体" w:hAnsi="宋体" w:eastAsia="宋体" w:cs="宋体"/>
          <w:spacing w:val="1"/>
          <w:sz w:val="23"/>
          <w:szCs w:val="23"/>
        </w:rPr>
        <w:t>该地区年主导风向为北风，次导风向</w:t>
      </w:r>
      <w:r>
        <w:rPr>
          <w:rFonts w:ascii="宋体" w:hAnsi="宋体" w:eastAsia="宋体" w:cs="宋体"/>
          <w:sz w:val="23"/>
          <w:szCs w:val="23"/>
        </w:rPr>
        <w:t xml:space="preserve">为东南风，频率分别为 </w:t>
      </w:r>
      <w:r>
        <w:rPr>
          <w:rFonts w:ascii="Times New Roman" w:hAnsi="Times New Roman" w:eastAsia="Times New Roman" w:cs="Times New Roman"/>
          <w:sz w:val="23"/>
          <w:szCs w:val="23"/>
        </w:rPr>
        <w:t>9.67%</w:t>
      </w:r>
      <w:r>
        <w:rPr>
          <w:rFonts w:ascii="宋体" w:hAnsi="宋体" w:eastAsia="宋体" w:cs="宋体"/>
          <w:sz w:val="23"/>
          <w:szCs w:val="23"/>
        </w:rPr>
        <w:t xml:space="preserve">和 </w:t>
      </w:r>
      <w:r>
        <w:rPr>
          <w:rFonts w:ascii="Times New Roman" w:hAnsi="Times New Roman" w:eastAsia="Times New Roman" w:cs="Times New Roman"/>
          <w:sz w:val="23"/>
          <w:szCs w:val="23"/>
        </w:rPr>
        <w:t>9.50%</w:t>
      </w:r>
      <w:r>
        <w:rPr>
          <w:rFonts w:ascii="宋体" w:hAnsi="宋体" w:eastAsia="宋体" w:cs="宋体"/>
          <w:sz w:val="23"/>
          <w:szCs w:val="23"/>
        </w:rPr>
        <w:t xml:space="preserve">， </w:t>
      </w:r>
      <w:r>
        <w:rPr>
          <w:rFonts w:ascii="宋体" w:hAnsi="宋体" w:eastAsia="宋体" w:cs="宋体"/>
          <w:spacing w:val="-2"/>
          <w:sz w:val="23"/>
          <w:szCs w:val="23"/>
        </w:rPr>
        <w:t xml:space="preserve">冬季盛行北风，频率为 </w:t>
      </w:r>
      <w:r>
        <w:rPr>
          <w:rFonts w:ascii="Times New Roman" w:hAnsi="Times New Roman" w:eastAsia="Times New Roman" w:cs="Times New Roman"/>
          <w:spacing w:val="-2"/>
          <w:sz w:val="23"/>
          <w:szCs w:val="23"/>
        </w:rPr>
        <w:t xml:space="preserve">11.00% </w:t>
      </w:r>
      <w:r>
        <w:rPr>
          <w:rFonts w:ascii="宋体" w:hAnsi="宋体" w:eastAsia="宋体" w:cs="宋体"/>
          <w:spacing w:val="-2"/>
          <w:sz w:val="23"/>
          <w:szCs w:val="23"/>
        </w:rPr>
        <w:t xml:space="preserve">，夏季盛行西南风，频率为 </w:t>
      </w:r>
      <w:r>
        <w:rPr>
          <w:rFonts w:ascii="Times New Roman" w:hAnsi="Times New Roman" w:eastAsia="Times New Roman" w:cs="Times New Roman"/>
          <w:spacing w:val="-2"/>
          <w:sz w:val="23"/>
          <w:szCs w:val="23"/>
        </w:rPr>
        <w:t xml:space="preserve">11. 14% </w:t>
      </w:r>
      <w:r>
        <w:rPr>
          <w:rFonts w:ascii="宋体" w:hAnsi="宋体" w:eastAsia="宋体" w:cs="宋体"/>
          <w:spacing w:val="-2"/>
          <w:sz w:val="23"/>
          <w:szCs w:val="23"/>
        </w:rPr>
        <w:t xml:space="preserve">，见图 </w:t>
      </w:r>
      <w:r>
        <w:rPr>
          <w:rFonts w:ascii="Times New Roman" w:hAnsi="Times New Roman" w:eastAsia="Times New Roman" w:cs="Times New Roman"/>
          <w:spacing w:val="-2"/>
          <w:sz w:val="23"/>
          <w:szCs w:val="23"/>
        </w:rPr>
        <w:t>5</w:t>
      </w:r>
      <w:r>
        <w:rPr>
          <w:rFonts w:ascii="Times New Roman" w:hAnsi="Times New Roman" w:eastAsia="Times New Roman" w:cs="Times New Roman"/>
          <w:sz w:val="23"/>
          <w:szCs w:val="23"/>
        </w:rPr>
        <w:t>- 1</w:t>
      </w:r>
      <w:r>
        <w:rPr>
          <w:rFonts w:ascii="宋体" w:hAnsi="宋体" w:eastAsia="宋体" w:cs="宋体"/>
          <w:sz w:val="23"/>
          <w:szCs w:val="23"/>
        </w:rPr>
        <w:t>。</w:t>
      </w:r>
    </w:p>
    <w:p w14:paraId="1CA49C70">
      <w:pPr>
        <w:spacing w:line="1980" w:lineRule="exact"/>
        <w:ind w:firstLine="240"/>
        <w:textAlignment w:val="center"/>
      </w:pPr>
      <w:r>
        <w:drawing>
          <wp:inline distT="0" distB="0" distL="0" distR="0">
            <wp:extent cx="5172075" cy="1257300"/>
            <wp:effectExtent l="0" t="0" r="0" b="0"/>
            <wp:docPr id="122" name="IM 122"/>
            <wp:cNvGraphicFramePr/>
            <a:graphic xmlns:a="http://schemas.openxmlformats.org/drawingml/2006/main">
              <a:graphicData uri="http://schemas.openxmlformats.org/drawingml/2006/picture">
                <pic:pic xmlns:pic="http://schemas.openxmlformats.org/drawingml/2006/picture">
                  <pic:nvPicPr>
                    <pic:cNvPr id="122" name="IM 122"/>
                    <pic:cNvPicPr/>
                  </pic:nvPicPr>
                  <pic:blipFill>
                    <a:blip r:embed="rId508"/>
                    <a:stretch>
                      <a:fillRect/>
                    </a:stretch>
                  </pic:blipFill>
                  <pic:spPr>
                    <a:xfrm>
                      <a:off x="0" y="0"/>
                      <a:ext cx="5172455" cy="1257300"/>
                    </a:xfrm>
                    <a:prstGeom prst="rect">
                      <a:avLst/>
                    </a:prstGeom>
                  </pic:spPr>
                </pic:pic>
              </a:graphicData>
            </a:graphic>
          </wp:inline>
        </w:drawing>
      </w:r>
    </w:p>
    <w:p w14:paraId="7421D92A">
      <w:pPr>
        <w:spacing w:before="129" w:line="227" w:lineRule="auto"/>
        <w:ind w:left="2063"/>
        <w:rPr>
          <w:rFonts w:ascii="宋体" w:hAnsi="宋体" w:eastAsia="宋体" w:cs="宋体"/>
          <w:sz w:val="23"/>
          <w:szCs w:val="23"/>
        </w:rPr>
      </w:pPr>
      <w:r>
        <w:rPr>
          <w:rFonts w:ascii="宋体" w:hAnsi="宋体" w:eastAsia="宋体" w:cs="宋体"/>
          <w:spacing w:val="6"/>
          <w:sz w:val="23"/>
          <w:szCs w:val="23"/>
          <w14:textOutline w14:w="4358" w14:cap="sq" w14:cmpd="sng">
            <w14:solidFill>
              <w14:srgbClr w14:val="000000"/>
            </w14:solidFill>
            <w14:prstDash w14:val="solid"/>
            <w14:bevel/>
          </w14:textOutline>
        </w:rPr>
        <w:t>图</w:t>
      </w:r>
      <w:r>
        <w:rPr>
          <w:rFonts w:ascii="宋体" w:hAnsi="宋体" w:eastAsia="宋体" w:cs="宋体"/>
          <w:spacing w:val="6"/>
          <w:sz w:val="23"/>
          <w:szCs w:val="23"/>
        </w:rPr>
        <w:t xml:space="preserve"> </w:t>
      </w:r>
      <w:r>
        <w:rPr>
          <w:rFonts w:ascii="Times New Roman" w:hAnsi="Times New Roman" w:eastAsia="Times New Roman" w:cs="Times New Roman"/>
          <w:b/>
          <w:bCs/>
          <w:spacing w:val="6"/>
          <w:sz w:val="23"/>
          <w:szCs w:val="23"/>
        </w:rPr>
        <w:t>5-1</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14:textOutline w14:w="4358" w14:cap="sq" w14:cmpd="sng">
            <w14:solidFill>
              <w14:srgbClr w14:val="000000"/>
            </w14:solidFill>
            <w14:prstDash w14:val="solid"/>
            <w14:bevel/>
          </w14:textOutline>
        </w:rPr>
        <w:t>项目地区风频玫瑰图</w:t>
      </w:r>
      <w:r>
        <w:rPr>
          <w:rFonts w:ascii="宋体" w:hAnsi="宋体" w:eastAsia="宋体" w:cs="宋体"/>
          <w:spacing w:val="3"/>
          <w:sz w:val="23"/>
          <w:szCs w:val="23"/>
        </w:rPr>
        <w:t xml:space="preserve"> </w:t>
      </w:r>
      <w:r>
        <w:rPr>
          <w:rFonts w:ascii="宋体" w:hAnsi="宋体" w:eastAsia="宋体" w:cs="宋体"/>
          <w:spacing w:val="3"/>
          <w:sz w:val="23"/>
          <w:szCs w:val="23"/>
          <w14:textOutline w14:w="4358" w14:cap="sq" w14:cmpd="sng">
            <w14:solidFill>
              <w14:srgbClr w14:val="000000"/>
            </w14:solidFill>
            <w14:prstDash w14:val="solid"/>
            <w14:bevel/>
          </w14:textOutline>
        </w:rPr>
        <w:t>(累年值)</w:t>
      </w:r>
    </w:p>
    <w:p w14:paraId="3E379734">
      <w:pPr>
        <w:sectPr>
          <w:headerReference r:id="rId204" w:type="default"/>
          <w:footerReference r:id="rId205" w:type="default"/>
          <w:pgSz w:w="11906" w:h="16839"/>
          <w:pgMar w:top="1132" w:right="1691" w:bottom="1182" w:left="1691" w:header="878" w:footer="1022" w:gutter="0"/>
          <w:cols w:space="720" w:num="1"/>
        </w:sectPr>
      </w:pPr>
    </w:p>
    <w:p w14:paraId="1572C2D3">
      <w:pPr>
        <w:spacing w:line="408" w:lineRule="auto"/>
        <w:rPr>
          <w:rFonts w:ascii="Arial"/>
          <w:sz w:val="21"/>
        </w:rPr>
      </w:pPr>
      <w:r>
        <w:pict>
          <v:shape id="_x0000_s1255" o:spid="_x0000_s1255" style="position:absolute;left:0pt;margin-left:90pt;margin-top:57.35pt;height:0.75pt;width:415.3pt;mso-position-horizontal-relative:page;mso-position-vertical-relative:page;z-index:251914240;mso-width-relative:page;mso-height-relative:page;" fillcolor="#000000" filled="t" stroked="f" coordsize="8305,15" o:allowincell="f" path="m0,0l8305,0,8305,14,0,14,0,0xe">
            <v:path/>
            <v:fill on="t" focussize="0,0"/>
            <v:stroke on="f"/>
            <v:imagedata o:title=""/>
            <o:lock v:ext="edit"/>
          </v:shape>
        </w:pict>
      </w:r>
    </w:p>
    <w:p w14:paraId="32B7E9CE">
      <w:pPr>
        <w:spacing w:before="75" w:line="228" w:lineRule="auto"/>
        <w:ind w:left="593"/>
        <w:rPr>
          <w:rFonts w:ascii="宋体" w:hAnsi="宋体" w:eastAsia="宋体" w:cs="宋体"/>
          <w:sz w:val="23"/>
          <w:szCs w:val="23"/>
        </w:rPr>
      </w:pPr>
      <w:r>
        <w:rPr>
          <w:rFonts w:ascii="Times New Roman" w:hAnsi="Times New Roman" w:eastAsia="Times New Roman" w:cs="Times New Roman"/>
          <w:b/>
          <w:bCs/>
          <w:sz w:val="23"/>
          <w:szCs w:val="23"/>
        </w:rPr>
        <w:t>B</w:t>
      </w:r>
      <w:r>
        <w:rPr>
          <w:rFonts w:ascii="Times New Roman" w:hAnsi="Times New Roman" w:eastAsia="Times New Roman" w:cs="Times New Roman"/>
          <w:b/>
          <w:bCs/>
          <w:spacing w:val="8"/>
          <w:sz w:val="23"/>
          <w:szCs w:val="23"/>
        </w:rPr>
        <w:t>.</w:t>
      </w:r>
      <w:r>
        <w:rPr>
          <w:rFonts w:ascii="宋体" w:hAnsi="宋体" w:eastAsia="宋体" w:cs="宋体"/>
          <w:spacing w:val="8"/>
          <w:sz w:val="23"/>
          <w:szCs w:val="23"/>
          <w14:textOutline w14:w="4358" w14:cap="sq" w14:cmpd="sng">
            <w14:solidFill>
              <w14:srgbClr w14:val="000000"/>
            </w14:solidFill>
            <w14:prstDash w14:val="solid"/>
            <w14:bevel/>
          </w14:textOutline>
        </w:rPr>
        <w:t>风速</w:t>
      </w:r>
    </w:p>
    <w:p w14:paraId="44E354EF">
      <w:pPr>
        <w:spacing w:before="308" w:line="397" w:lineRule="auto"/>
        <w:ind w:left="121" w:right="34" w:firstLine="481"/>
        <w:rPr>
          <w:rFonts w:ascii="宋体" w:hAnsi="宋体" w:eastAsia="宋体" w:cs="宋体"/>
          <w:sz w:val="23"/>
          <w:szCs w:val="23"/>
        </w:rPr>
      </w:pPr>
      <w:r>
        <w:rPr>
          <w:rFonts w:ascii="宋体" w:hAnsi="宋体" w:eastAsia="宋体" w:cs="宋体"/>
          <w:spacing w:val="-20"/>
          <w:sz w:val="23"/>
          <w:szCs w:val="23"/>
        </w:rPr>
        <w:t xml:space="preserve">由表 </w:t>
      </w:r>
      <w:r>
        <w:rPr>
          <w:rFonts w:ascii="Times New Roman" w:hAnsi="Times New Roman" w:eastAsia="Times New Roman" w:cs="Times New Roman"/>
          <w:spacing w:val="-14"/>
          <w:sz w:val="23"/>
          <w:szCs w:val="23"/>
        </w:rPr>
        <w:t>5</w:t>
      </w:r>
      <w:r>
        <w:rPr>
          <w:rFonts w:ascii="Times New Roman" w:hAnsi="Times New Roman" w:eastAsia="Times New Roman" w:cs="Times New Roman"/>
          <w:spacing w:val="-10"/>
          <w:sz w:val="23"/>
          <w:szCs w:val="23"/>
        </w:rPr>
        <w:t xml:space="preserve">-5 </w:t>
      </w:r>
      <w:r>
        <w:rPr>
          <w:rFonts w:ascii="宋体" w:hAnsi="宋体" w:eastAsia="宋体" w:cs="宋体"/>
          <w:spacing w:val="-10"/>
          <w:sz w:val="23"/>
          <w:szCs w:val="23"/>
        </w:rPr>
        <w:t xml:space="preserve">可见，该地区全年平均风速为 </w:t>
      </w:r>
      <w:r>
        <w:rPr>
          <w:rFonts w:ascii="Times New Roman" w:hAnsi="Times New Roman" w:eastAsia="Times New Roman" w:cs="Times New Roman"/>
          <w:spacing w:val="-10"/>
          <w:sz w:val="23"/>
          <w:szCs w:val="23"/>
        </w:rPr>
        <w:t>2.7m/s</w:t>
      </w:r>
      <w:r>
        <w:rPr>
          <w:rFonts w:ascii="宋体" w:hAnsi="宋体" w:eastAsia="宋体" w:cs="宋体"/>
          <w:spacing w:val="-10"/>
          <w:sz w:val="23"/>
          <w:szCs w:val="23"/>
        </w:rPr>
        <w:t xml:space="preserve">，四月份平均风速最大，为 </w:t>
      </w:r>
      <w:r>
        <w:rPr>
          <w:rFonts w:ascii="Times New Roman" w:hAnsi="Times New Roman" w:eastAsia="Times New Roman" w:cs="Times New Roman"/>
          <w:spacing w:val="-10"/>
          <w:sz w:val="23"/>
          <w:szCs w:val="23"/>
        </w:rPr>
        <w:t>4.0m/s</w:t>
      </w:r>
      <w:r>
        <w:rPr>
          <w:rFonts w:ascii="宋体" w:hAnsi="宋体" w:eastAsia="宋体" w:cs="宋体"/>
          <w:spacing w:val="-10"/>
          <w:sz w:val="23"/>
          <w:szCs w:val="23"/>
        </w:rPr>
        <w:t>，</w:t>
      </w:r>
      <w:r>
        <w:rPr>
          <w:rFonts w:ascii="宋体" w:hAnsi="宋体" w:eastAsia="宋体" w:cs="宋体"/>
          <w:sz w:val="23"/>
          <w:szCs w:val="23"/>
        </w:rPr>
        <w:t xml:space="preserve"> </w:t>
      </w:r>
      <w:r>
        <w:rPr>
          <w:rFonts w:ascii="宋体" w:hAnsi="宋体" w:eastAsia="宋体" w:cs="宋体"/>
          <w:spacing w:val="-6"/>
          <w:sz w:val="23"/>
          <w:szCs w:val="23"/>
        </w:rPr>
        <w:t xml:space="preserve">八、九月份平均风速最小，为 </w:t>
      </w:r>
      <w:r>
        <w:rPr>
          <w:rFonts w:ascii="Times New Roman" w:hAnsi="Times New Roman" w:eastAsia="Times New Roman" w:cs="Times New Roman"/>
          <w:spacing w:val="-6"/>
          <w:sz w:val="23"/>
          <w:szCs w:val="23"/>
        </w:rPr>
        <w:t>2.1m/</w:t>
      </w:r>
      <w:r>
        <w:rPr>
          <w:rFonts w:ascii="Times New Roman" w:hAnsi="Times New Roman" w:eastAsia="Times New Roman" w:cs="Times New Roman"/>
          <w:spacing w:val="-1"/>
          <w:sz w:val="23"/>
          <w:szCs w:val="23"/>
        </w:rPr>
        <w:t>s</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 xml:space="preserve">。该地区一年四季风速日均值变化见表 </w:t>
      </w:r>
      <w:r>
        <w:rPr>
          <w:rFonts w:ascii="Times New Roman" w:hAnsi="Times New Roman" w:eastAsia="Times New Roman" w:cs="Times New Roman"/>
          <w:spacing w:val="-6"/>
          <w:sz w:val="23"/>
          <w:szCs w:val="23"/>
        </w:rPr>
        <w:t>5-5</w:t>
      </w:r>
      <w:r>
        <w:rPr>
          <w:rFonts w:ascii="宋体" w:hAnsi="宋体" w:eastAsia="宋体" w:cs="宋体"/>
          <w:spacing w:val="-6"/>
          <w:sz w:val="23"/>
          <w:szCs w:val="23"/>
        </w:rPr>
        <w:t>。</w:t>
      </w:r>
    </w:p>
    <w:p w14:paraId="0B9DED76">
      <w:pPr>
        <w:spacing w:before="170" w:line="227" w:lineRule="auto"/>
        <w:ind w:left="2878"/>
        <w:rPr>
          <w:rFonts w:ascii="宋体" w:hAnsi="宋体" w:eastAsia="宋体" w:cs="宋体"/>
          <w:sz w:val="23"/>
          <w:szCs w:val="23"/>
        </w:rPr>
      </w:pPr>
      <w:r>
        <w:rPr>
          <w:rFonts w:ascii="宋体" w:hAnsi="宋体" w:eastAsia="宋体" w:cs="宋体"/>
          <w:spacing w:val="3"/>
          <w:sz w:val="23"/>
          <w:szCs w:val="23"/>
          <w14:textOutline w14:w="4358" w14:cap="sq" w14:cmpd="sng">
            <w14:solidFill>
              <w14:srgbClr w14:val="000000"/>
            </w14:solidFill>
            <w14:prstDash w14:val="solid"/>
            <w14:bevel/>
          </w14:textOutline>
        </w:rPr>
        <w:t>表</w:t>
      </w:r>
      <w:r>
        <w:rPr>
          <w:rFonts w:ascii="宋体" w:hAnsi="宋体" w:eastAsia="宋体" w:cs="宋体"/>
          <w:spacing w:val="3"/>
          <w:sz w:val="23"/>
          <w:szCs w:val="23"/>
        </w:rPr>
        <w:t xml:space="preserve"> </w:t>
      </w:r>
      <w:r>
        <w:rPr>
          <w:rFonts w:ascii="Times New Roman" w:hAnsi="Times New Roman" w:eastAsia="Times New Roman" w:cs="Times New Roman"/>
          <w:b/>
          <w:bCs/>
          <w:spacing w:val="3"/>
          <w:sz w:val="23"/>
          <w:szCs w:val="23"/>
        </w:rPr>
        <w:t>5-5</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14:textOutline w14:w="4358" w14:cap="sq" w14:cmpd="sng">
            <w14:solidFill>
              <w14:srgbClr w14:val="000000"/>
            </w14:solidFill>
            <w14:prstDash w14:val="solid"/>
            <w14:bevel/>
          </w14:textOutline>
        </w:rPr>
        <w:t>四季风速日</w:t>
      </w:r>
      <w:r>
        <w:rPr>
          <w:rFonts w:ascii="宋体" w:hAnsi="宋体" w:eastAsia="宋体" w:cs="宋体"/>
          <w:spacing w:val="2"/>
          <w:sz w:val="23"/>
          <w:szCs w:val="23"/>
          <w14:textOutline w14:w="4358" w14:cap="sq" w14:cmpd="sng">
            <w14:solidFill>
              <w14:srgbClr w14:val="000000"/>
            </w14:solidFill>
            <w14:prstDash w14:val="solid"/>
            <w14:bevel/>
          </w14:textOutline>
        </w:rPr>
        <w:t>均</w:t>
      </w:r>
      <w:r>
        <w:rPr>
          <w:rFonts w:ascii="宋体" w:hAnsi="宋体" w:eastAsia="宋体" w:cs="宋体"/>
          <w:sz w:val="23"/>
          <w:szCs w:val="23"/>
          <w14:textOutline w14:w="4358" w14:cap="sq" w14:cmpd="sng">
            <w14:solidFill>
              <w14:srgbClr w14:val="000000"/>
            </w14:solidFill>
            <w14:prstDash w14:val="solid"/>
            <w14:bevel/>
          </w14:textOutline>
        </w:rPr>
        <w:t>值</w:t>
      </w:r>
    </w:p>
    <w:p w14:paraId="736CA439">
      <w:pPr>
        <w:spacing w:line="17" w:lineRule="exact"/>
      </w:pPr>
    </w:p>
    <w:tbl>
      <w:tblPr>
        <w:tblStyle w:val="4"/>
        <w:tblW w:w="852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16"/>
        <w:gridCol w:w="1420"/>
        <w:gridCol w:w="1421"/>
        <w:gridCol w:w="1421"/>
        <w:gridCol w:w="1422"/>
        <w:gridCol w:w="1421"/>
      </w:tblGrid>
      <w:tr w14:paraId="5ADFD5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1" w:hRule="atLeast"/>
        </w:trPr>
        <w:tc>
          <w:tcPr>
            <w:tcW w:w="1416" w:type="dxa"/>
            <w:tcBorders>
              <w:left w:val="nil"/>
            </w:tcBorders>
            <w:vAlign w:val="top"/>
          </w:tcPr>
          <w:p w14:paraId="64219BD9">
            <w:pPr>
              <w:spacing w:before="56" w:line="226" w:lineRule="auto"/>
              <w:ind w:left="524"/>
              <w:rPr>
                <w:rFonts w:ascii="宋体" w:hAnsi="宋体" w:eastAsia="宋体" w:cs="宋体"/>
                <w:sz w:val="20"/>
                <w:szCs w:val="20"/>
              </w:rPr>
            </w:pPr>
            <w:r>
              <w:rPr>
                <w:rFonts w:ascii="宋体" w:hAnsi="宋体" w:eastAsia="宋体" w:cs="宋体"/>
                <w:spacing w:val="-4"/>
                <w:sz w:val="20"/>
                <w:szCs w:val="20"/>
                <w14:textOutline w14:w="3795" w14:cap="sq" w14:cmpd="sng">
                  <w14:solidFill>
                    <w14:srgbClr w14:val="000000"/>
                  </w14:solidFill>
                  <w14:prstDash w14:val="solid"/>
                  <w14:bevel/>
                </w14:textOutline>
              </w:rPr>
              <w:t>四季</w:t>
            </w:r>
          </w:p>
        </w:tc>
        <w:tc>
          <w:tcPr>
            <w:tcW w:w="1420" w:type="dxa"/>
            <w:vAlign w:val="top"/>
          </w:tcPr>
          <w:p w14:paraId="0C0C25C3">
            <w:pPr>
              <w:spacing w:before="56" w:line="226" w:lineRule="auto"/>
              <w:ind w:left="448"/>
              <w:rPr>
                <w:rFonts w:ascii="Times New Roman" w:hAnsi="Times New Roman" w:eastAsia="Times New Roman" w:cs="Times New Roman"/>
                <w:sz w:val="20"/>
                <w:szCs w:val="20"/>
              </w:rPr>
            </w:pPr>
            <w:r>
              <w:rPr>
                <w:rFonts w:ascii="Times New Roman" w:hAnsi="Times New Roman" w:eastAsia="Times New Roman" w:cs="Times New Roman"/>
                <w:b/>
                <w:bCs/>
                <w:spacing w:val="-7"/>
                <w:sz w:val="20"/>
                <w:szCs w:val="20"/>
              </w:rPr>
              <w:t>2</w:t>
            </w:r>
            <w:r>
              <w:rPr>
                <w:rFonts w:ascii="Times New Roman" w:hAnsi="Times New Roman" w:eastAsia="Times New Roman" w:cs="Times New Roman"/>
                <w:spacing w:val="-6"/>
                <w:sz w:val="20"/>
                <w:szCs w:val="20"/>
              </w:rPr>
              <w:t xml:space="preserve"> </w:t>
            </w:r>
            <w:r>
              <w:rPr>
                <w:rFonts w:ascii="宋体" w:hAnsi="宋体" w:eastAsia="宋体" w:cs="宋体"/>
                <w:spacing w:val="-6"/>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spacing w:val="-6"/>
                <w:sz w:val="20"/>
                <w:szCs w:val="20"/>
              </w:rPr>
              <w:t>00</w:t>
            </w:r>
          </w:p>
        </w:tc>
        <w:tc>
          <w:tcPr>
            <w:tcW w:w="1421" w:type="dxa"/>
            <w:vAlign w:val="top"/>
          </w:tcPr>
          <w:p w14:paraId="517F34A8">
            <w:pPr>
              <w:spacing w:before="56" w:line="226" w:lineRule="auto"/>
              <w:ind w:left="451"/>
              <w:rPr>
                <w:rFonts w:ascii="Times New Roman" w:hAnsi="Times New Roman" w:eastAsia="Times New Roman" w:cs="Times New Roman"/>
                <w:sz w:val="20"/>
                <w:szCs w:val="20"/>
              </w:rPr>
            </w:pPr>
            <w:r>
              <w:rPr>
                <w:rFonts w:ascii="Times New Roman" w:hAnsi="Times New Roman" w:eastAsia="Times New Roman" w:cs="Times New Roman"/>
                <w:b/>
                <w:bCs/>
                <w:spacing w:val="-7"/>
                <w:sz w:val="20"/>
                <w:szCs w:val="20"/>
              </w:rPr>
              <w:t>8</w:t>
            </w:r>
            <w:r>
              <w:rPr>
                <w:rFonts w:ascii="Times New Roman" w:hAnsi="Times New Roman" w:eastAsia="Times New Roman" w:cs="Times New Roman"/>
                <w:spacing w:val="-6"/>
                <w:sz w:val="20"/>
                <w:szCs w:val="20"/>
              </w:rPr>
              <w:t xml:space="preserve"> </w:t>
            </w:r>
            <w:r>
              <w:rPr>
                <w:rFonts w:ascii="宋体" w:hAnsi="宋体" w:eastAsia="宋体" w:cs="宋体"/>
                <w:spacing w:val="-6"/>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spacing w:val="-6"/>
                <w:sz w:val="20"/>
                <w:szCs w:val="20"/>
              </w:rPr>
              <w:t>00</w:t>
            </w:r>
          </w:p>
        </w:tc>
        <w:tc>
          <w:tcPr>
            <w:tcW w:w="1421" w:type="dxa"/>
            <w:vAlign w:val="top"/>
          </w:tcPr>
          <w:p w14:paraId="56FAFE5D">
            <w:pPr>
              <w:spacing w:before="56" w:line="226" w:lineRule="auto"/>
              <w:ind w:left="405"/>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1</w:t>
            </w:r>
            <w:r>
              <w:rPr>
                <w:rFonts w:ascii="Times New Roman" w:hAnsi="Times New Roman" w:eastAsia="Times New Roman" w:cs="Times New Roman"/>
                <w:b/>
                <w:bCs/>
                <w:spacing w:val="3"/>
                <w:sz w:val="20"/>
                <w:szCs w:val="20"/>
              </w:rPr>
              <w:t>4</w:t>
            </w:r>
            <w:r>
              <w:rPr>
                <w:rFonts w:ascii="宋体" w:hAnsi="宋体" w:eastAsia="宋体" w:cs="宋体"/>
                <w:spacing w:val="3"/>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spacing w:val="3"/>
                <w:sz w:val="20"/>
                <w:szCs w:val="20"/>
              </w:rPr>
              <w:t>00</w:t>
            </w:r>
          </w:p>
        </w:tc>
        <w:tc>
          <w:tcPr>
            <w:tcW w:w="1422" w:type="dxa"/>
            <w:vAlign w:val="top"/>
          </w:tcPr>
          <w:p w14:paraId="263BD54F">
            <w:pPr>
              <w:spacing w:before="56" w:line="226" w:lineRule="auto"/>
              <w:ind w:left="398"/>
              <w:rPr>
                <w:rFonts w:ascii="Times New Roman" w:hAnsi="Times New Roman" w:eastAsia="Times New Roman" w:cs="Times New Roman"/>
                <w:sz w:val="20"/>
                <w:szCs w:val="20"/>
              </w:rPr>
            </w:pPr>
            <w:r>
              <w:rPr>
                <w:rFonts w:ascii="Times New Roman" w:hAnsi="Times New Roman" w:eastAsia="Times New Roman" w:cs="Times New Roman"/>
                <w:b/>
                <w:bCs/>
                <w:spacing w:val="5"/>
                <w:sz w:val="20"/>
                <w:szCs w:val="20"/>
              </w:rPr>
              <w:t>20</w:t>
            </w:r>
            <w:r>
              <w:rPr>
                <w:rFonts w:ascii="宋体" w:hAnsi="宋体" w:eastAsia="宋体" w:cs="宋体"/>
                <w:spacing w:val="5"/>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spacing w:val="5"/>
                <w:sz w:val="20"/>
                <w:szCs w:val="20"/>
              </w:rPr>
              <w:t>00</w:t>
            </w:r>
          </w:p>
        </w:tc>
        <w:tc>
          <w:tcPr>
            <w:tcW w:w="1421" w:type="dxa"/>
            <w:tcBorders>
              <w:right w:val="nil"/>
            </w:tcBorders>
            <w:vAlign w:val="top"/>
          </w:tcPr>
          <w:p w14:paraId="12DE9DBA">
            <w:pPr>
              <w:spacing w:before="56" w:line="226" w:lineRule="auto"/>
              <w:ind w:left="436"/>
              <w:rPr>
                <w:rFonts w:ascii="宋体" w:hAnsi="宋体" w:eastAsia="宋体" w:cs="宋体"/>
                <w:sz w:val="20"/>
                <w:szCs w:val="20"/>
              </w:rPr>
            </w:pPr>
            <w:r>
              <w:rPr>
                <w:rFonts w:ascii="宋体" w:hAnsi="宋体" w:eastAsia="宋体" w:cs="宋体"/>
                <w:spacing w:val="-5"/>
                <w:sz w:val="20"/>
                <w:szCs w:val="20"/>
                <w14:textOutline w14:w="3795" w14:cap="sq" w14:cmpd="sng">
                  <w14:solidFill>
                    <w14:srgbClr w14:val="000000"/>
                  </w14:solidFill>
                  <w14:prstDash w14:val="solid"/>
                  <w14:bevel/>
                </w14:textOutline>
              </w:rPr>
              <w:t>日</w:t>
            </w:r>
            <w:r>
              <w:rPr>
                <w:rFonts w:ascii="宋体" w:hAnsi="宋体" w:eastAsia="宋体" w:cs="宋体"/>
                <w:spacing w:val="-4"/>
                <w:sz w:val="20"/>
                <w:szCs w:val="20"/>
                <w14:textOutline w14:w="3795" w14:cap="sq" w14:cmpd="sng">
                  <w14:solidFill>
                    <w14:srgbClr w14:val="000000"/>
                  </w14:solidFill>
                  <w14:prstDash w14:val="solid"/>
                  <w14:bevel/>
                </w14:textOutline>
              </w:rPr>
              <w:t>平均</w:t>
            </w:r>
          </w:p>
        </w:tc>
      </w:tr>
      <w:tr w14:paraId="107022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1416" w:type="dxa"/>
            <w:tcBorders>
              <w:left w:val="nil"/>
            </w:tcBorders>
            <w:vAlign w:val="top"/>
          </w:tcPr>
          <w:p w14:paraId="434E00E5">
            <w:pPr>
              <w:spacing w:before="50" w:line="216" w:lineRule="auto"/>
              <w:ind w:left="615"/>
              <w:rPr>
                <w:rFonts w:ascii="宋体" w:hAnsi="宋体" w:eastAsia="宋体" w:cs="宋体"/>
                <w:sz w:val="20"/>
                <w:szCs w:val="20"/>
              </w:rPr>
            </w:pPr>
            <w:r>
              <w:rPr>
                <w:rFonts w:ascii="宋体" w:hAnsi="宋体" w:eastAsia="宋体" w:cs="宋体"/>
                <w:sz w:val="20"/>
                <w:szCs w:val="20"/>
              </w:rPr>
              <w:t>冬</w:t>
            </w:r>
          </w:p>
        </w:tc>
        <w:tc>
          <w:tcPr>
            <w:tcW w:w="1420" w:type="dxa"/>
            <w:vAlign w:val="top"/>
          </w:tcPr>
          <w:p w14:paraId="66E8C6AF">
            <w:pPr>
              <w:spacing w:before="88" w:line="195" w:lineRule="auto"/>
              <w:ind w:left="60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2"/>
                <w:sz w:val="20"/>
                <w:szCs w:val="20"/>
              </w:rPr>
              <w:t xml:space="preserve"> 9</w:t>
            </w:r>
          </w:p>
        </w:tc>
        <w:tc>
          <w:tcPr>
            <w:tcW w:w="1421" w:type="dxa"/>
            <w:vAlign w:val="top"/>
          </w:tcPr>
          <w:p w14:paraId="4D17865E">
            <w:pPr>
              <w:spacing w:before="88" w:line="195" w:lineRule="auto"/>
              <w:ind w:left="60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 xml:space="preserve"> </w:t>
            </w:r>
            <w:r>
              <w:rPr>
                <w:rFonts w:ascii="Times New Roman" w:hAnsi="Times New Roman" w:eastAsia="Times New Roman" w:cs="Times New Roman"/>
                <w:spacing w:val="-2"/>
                <w:sz w:val="20"/>
                <w:szCs w:val="20"/>
              </w:rPr>
              <w:t>7</w:t>
            </w:r>
          </w:p>
        </w:tc>
        <w:tc>
          <w:tcPr>
            <w:tcW w:w="1421" w:type="dxa"/>
            <w:vAlign w:val="top"/>
          </w:tcPr>
          <w:p w14:paraId="0612AF29">
            <w:pPr>
              <w:spacing w:before="88" w:line="195" w:lineRule="auto"/>
              <w:ind w:left="57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4 0</w:t>
            </w:r>
          </w:p>
        </w:tc>
        <w:tc>
          <w:tcPr>
            <w:tcW w:w="1422" w:type="dxa"/>
            <w:vAlign w:val="top"/>
          </w:tcPr>
          <w:p w14:paraId="06C7D5EC">
            <w:pPr>
              <w:spacing w:before="88" w:line="195" w:lineRule="auto"/>
              <w:ind w:left="60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2"/>
                <w:sz w:val="20"/>
                <w:szCs w:val="20"/>
              </w:rPr>
              <w:t xml:space="preserve"> 9</w:t>
            </w:r>
          </w:p>
        </w:tc>
        <w:tc>
          <w:tcPr>
            <w:tcW w:w="1421" w:type="dxa"/>
            <w:tcBorders>
              <w:right w:val="nil"/>
            </w:tcBorders>
            <w:vAlign w:val="top"/>
          </w:tcPr>
          <w:p w14:paraId="42308890">
            <w:pPr>
              <w:spacing w:before="88" w:line="195" w:lineRule="auto"/>
              <w:ind w:left="58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 xml:space="preserve">2 </w:t>
            </w:r>
            <w:r>
              <w:rPr>
                <w:rFonts w:ascii="Times New Roman" w:hAnsi="Times New Roman" w:eastAsia="Times New Roman" w:cs="Times New Roman"/>
                <w:spacing w:val="2"/>
                <w:sz w:val="20"/>
                <w:szCs w:val="20"/>
              </w:rPr>
              <w:t>4</w:t>
            </w:r>
          </w:p>
        </w:tc>
      </w:tr>
      <w:tr w14:paraId="7F206D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1416" w:type="dxa"/>
            <w:tcBorders>
              <w:left w:val="nil"/>
            </w:tcBorders>
            <w:vAlign w:val="top"/>
          </w:tcPr>
          <w:p w14:paraId="43F32EAF">
            <w:pPr>
              <w:spacing w:before="85" w:line="228" w:lineRule="auto"/>
              <w:ind w:left="609"/>
              <w:rPr>
                <w:rFonts w:ascii="宋体" w:hAnsi="宋体" w:eastAsia="宋体" w:cs="宋体"/>
                <w:sz w:val="20"/>
                <w:szCs w:val="20"/>
              </w:rPr>
            </w:pPr>
            <w:r>
              <w:rPr>
                <w:rFonts w:ascii="宋体" w:hAnsi="宋体" w:eastAsia="宋体" w:cs="宋体"/>
                <w:spacing w:val="1"/>
                <w:sz w:val="20"/>
                <w:szCs w:val="20"/>
              </w:rPr>
              <w:t>春</w:t>
            </w:r>
          </w:p>
        </w:tc>
        <w:tc>
          <w:tcPr>
            <w:tcW w:w="1420" w:type="dxa"/>
            <w:vAlign w:val="top"/>
          </w:tcPr>
          <w:p w14:paraId="6CA0496A">
            <w:pPr>
              <w:spacing w:before="121" w:line="198" w:lineRule="auto"/>
              <w:ind w:left="58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w:t>
            </w:r>
            <w:r>
              <w:rPr>
                <w:rFonts w:ascii="Times New Roman" w:hAnsi="Times New Roman" w:eastAsia="Times New Roman" w:cs="Times New Roman"/>
                <w:spacing w:val="3"/>
                <w:sz w:val="20"/>
                <w:szCs w:val="20"/>
              </w:rPr>
              <w:t>7</w:t>
            </w:r>
          </w:p>
        </w:tc>
        <w:tc>
          <w:tcPr>
            <w:tcW w:w="1421" w:type="dxa"/>
            <w:vAlign w:val="top"/>
          </w:tcPr>
          <w:p w14:paraId="6DD8445D">
            <w:pPr>
              <w:spacing w:before="121" w:line="195" w:lineRule="auto"/>
              <w:ind w:left="58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3.8</w:t>
            </w:r>
          </w:p>
        </w:tc>
        <w:tc>
          <w:tcPr>
            <w:tcW w:w="1421" w:type="dxa"/>
            <w:vAlign w:val="top"/>
          </w:tcPr>
          <w:p w14:paraId="7C8AAA80">
            <w:pPr>
              <w:spacing w:before="124" w:line="192" w:lineRule="auto"/>
              <w:ind w:left="5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5.7</w:t>
            </w:r>
          </w:p>
        </w:tc>
        <w:tc>
          <w:tcPr>
            <w:tcW w:w="1422" w:type="dxa"/>
            <w:vAlign w:val="top"/>
          </w:tcPr>
          <w:p w14:paraId="267BBFBD">
            <w:pPr>
              <w:spacing w:before="121" w:line="195" w:lineRule="auto"/>
              <w:ind w:left="58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3.1</w:t>
            </w:r>
          </w:p>
        </w:tc>
        <w:tc>
          <w:tcPr>
            <w:tcW w:w="1421" w:type="dxa"/>
            <w:tcBorders>
              <w:right w:val="nil"/>
            </w:tcBorders>
            <w:vAlign w:val="top"/>
          </w:tcPr>
          <w:p w14:paraId="6C12FC84">
            <w:pPr>
              <w:spacing w:before="121" w:line="195" w:lineRule="auto"/>
              <w:ind w:left="58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3.8</w:t>
            </w:r>
          </w:p>
        </w:tc>
      </w:tr>
      <w:tr w14:paraId="7CF3C9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416" w:type="dxa"/>
            <w:tcBorders>
              <w:left w:val="nil"/>
            </w:tcBorders>
            <w:vAlign w:val="top"/>
          </w:tcPr>
          <w:p w14:paraId="236CA216">
            <w:pPr>
              <w:spacing w:before="54" w:line="230" w:lineRule="auto"/>
              <w:ind w:left="610"/>
              <w:rPr>
                <w:rFonts w:ascii="宋体" w:hAnsi="宋体" w:eastAsia="宋体" w:cs="宋体"/>
                <w:sz w:val="20"/>
                <w:szCs w:val="20"/>
              </w:rPr>
            </w:pPr>
            <w:r>
              <w:rPr>
                <w:rFonts w:ascii="宋体" w:hAnsi="宋体" w:eastAsia="宋体" w:cs="宋体"/>
                <w:sz w:val="20"/>
                <w:szCs w:val="20"/>
              </w:rPr>
              <w:t>夏</w:t>
            </w:r>
          </w:p>
        </w:tc>
        <w:tc>
          <w:tcPr>
            <w:tcW w:w="1420" w:type="dxa"/>
            <w:vAlign w:val="top"/>
          </w:tcPr>
          <w:p w14:paraId="59885E05">
            <w:pPr>
              <w:spacing w:before="90" w:line="198" w:lineRule="auto"/>
              <w:ind w:left="60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1.4</w:t>
            </w:r>
          </w:p>
        </w:tc>
        <w:tc>
          <w:tcPr>
            <w:tcW w:w="1421" w:type="dxa"/>
            <w:vAlign w:val="top"/>
          </w:tcPr>
          <w:p w14:paraId="6942B979">
            <w:pPr>
              <w:spacing w:before="90" w:line="198" w:lineRule="auto"/>
              <w:ind w:left="58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2</w:t>
            </w:r>
          </w:p>
        </w:tc>
        <w:tc>
          <w:tcPr>
            <w:tcW w:w="1421" w:type="dxa"/>
            <w:vAlign w:val="top"/>
          </w:tcPr>
          <w:p w14:paraId="73C519D0">
            <w:pPr>
              <w:spacing w:before="91" w:line="195" w:lineRule="auto"/>
              <w:ind w:left="58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w:t>
            </w:r>
            <w:r>
              <w:rPr>
                <w:rFonts w:ascii="Times New Roman" w:hAnsi="Times New Roman" w:eastAsia="Times New Roman" w:cs="Times New Roman"/>
                <w:spacing w:val="1"/>
                <w:sz w:val="20"/>
                <w:szCs w:val="20"/>
              </w:rPr>
              <w:t>.4</w:t>
            </w:r>
          </w:p>
        </w:tc>
        <w:tc>
          <w:tcPr>
            <w:tcW w:w="1422" w:type="dxa"/>
            <w:vAlign w:val="top"/>
          </w:tcPr>
          <w:p w14:paraId="6C9107C9">
            <w:pPr>
              <w:spacing w:before="90" w:line="198" w:lineRule="auto"/>
              <w:ind w:left="60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.8</w:t>
            </w:r>
          </w:p>
        </w:tc>
        <w:tc>
          <w:tcPr>
            <w:tcW w:w="1421" w:type="dxa"/>
            <w:tcBorders>
              <w:right w:val="nil"/>
            </w:tcBorders>
            <w:vAlign w:val="top"/>
          </w:tcPr>
          <w:p w14:paraId="5DAE08AB">
            <w:pPr>
              <w:spacing w:before="90" w:line="198" w:lineRule="auto"/>
              <w:ind w:left="58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2.3</w:t>
            </w:r>
          </w:p>
        </w:tc>
      </w:tr>
      <w:tr w14:paraId="19F68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416" w:type="dxa"/>
            <w:tcBorders>
              <w:left w:val="nil"/>
            </w:tcBorders>
            <w:vAlign w:val="top"/>
          </w:tcPr>
          <w:p w14:paraId="6A3303D5">
            <w:pPr>
              <w:spacing w:before="56" w:line="228" w:lineRule="auto"/>
              <w:ind w:left="612"/>
              <w:rPr>
                <w:rFonts w:ascii="宋体" w:hAnsi="宋体" w:eastAsia="宋体" w:cs="宋体"/>
                <w:sz w:val="20"/>
                <w:szCs w:val="20"/>
              </w:rPr>
            </w:pPr>
            <w:r>
              <w:rPr>
                <w:rFonts w:ascii="宋体" w:hAnsi="宋体" w:eastAsia="宋体" w:cs="宋体"/>
                <w:sz w:val="20"/>
                <w:szCs w:val="20"/>
              </w:rPr>
              <w:t>秋</w:t>
            </w:r>
          </w:p>
        </w:tc>
        <w:tc>
          <w:tcPr>
            <w:tcW w:w="1420" w:type="dxa"/>
            <w:vAlign w:val="top"/>
          </w:tcPr>
          <w:p w14:paraId="165A4308">
            <w:pPr>
              <w:spacing w:before="91" w:line="198" w:lineRule="auto"/>
              <w:ind w:left="60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2"/>
                <w:sz w:val="20"/>
                <w:szCs w:val="20"/>
              </w:rPr>
              <w:t>.9</w:t>
            </w:r>
          </w:p>
        </w:tc>
        <w:tc>
          <w:tcPr>
            <w:tcW w:w="1421" w:type="dxa"/>
            <w:vAlign w:val="top"/>
          </w:tcPr>
          <w:p w14:paraId="1916BFB2">
            <w:pPr>
              <w:spacing w:before="91" w:line="198" w:lineRule="auto"/>
              <w:ind w:left="58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4</w:t>
            </w:r>
          </w:p>
        </w:tc>
        <w:tc>
          <w:tcPr>
            <w:tcW w:w="1421" w:type="dxa"/>
            <w:vAlign w:val="top"/>
          </w:tcPr>
          <w:p w14:paraId="71363218">
            <w:pPr>
              <w:spacing w:before="91" w:line="198" w:lineRule="auto"/>
              <w:ind w:left="57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4.5</w:t>
            </w:r>
          </w:p>
        </w:tc>
        <w:tc>
          <w:tcPr>
            <w:tcW w:w="1422" w:type="dxa"/>
            <w:vAlign w:val="top"/>
          </w:tcPr>
          <w:p w14:paraId="7D768133">
            <w:pPr>
              <w:spacing w:before="91" w:line="198" w:lineRule="auto"/>
              <w:ind w:left="58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w:t>
            </w:r>
            <w:r>
              <w:rPr>
                <w:rFonts w:ascii="Times New Roman" w:hAnsi="Times New Roman" w:eastAsia="Times New Roman" w:cs="Times New Roman"/>
                <w:spacing w:val="3"/>
                <w:sz w:val="20"/>
                <w:szCs w:val="20"/>
              </w:rPr>
              <w:t>0</w:t>
            </w:r>
          </w:p>
        </w:tc>
        <w:tc>
          <w:tcPr>
            <w:tcW w:w="1421" w:type="dxa"/>
            <w:tcBorders>
              <w:right w:val="nil"/>
            </w:tcBorders>
            <w:vAlign w:val="top"/>
          </w:tcPr>
          <w:p w14:paraId="3201EF65">
            <w:pPr>
              <w:spacing w:before="91" w:line="198" w:lineRule="auto"/>
              <w:ind w:left="58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w:t>
            </w:r>
            <w:r>
              <w:rPr>
                <w:rFonts w:ascii="Times New Roman" w:hAnsi="Times New Roman" w:eastAsia="Times New Roman" w:cs="Times New Roman"/>
                <w:spacing w:val="3"/>
                <w:sz w:val="20"/>
                <w:szCs w:val="20"/>
              </w:rPr>
              <w:t>7</w:t>
            </w:r>
          </w:p>
        </w:tc>
      </w:tr>
    </w:tbl>
    <w:p w14:paraId="530F908A">
      <w:pPr>
        <w:spacing w:before="300" w:line="219" w:lineRule="auto"/>
        <w:ind w:left="117"/>
        <w:outlineLvl w:val="3"/>
        <w:rPr>
          <w:rFonts w:ascii="宋体" w:hAnsi="宋体" w:eastAsia="宋体" w:cs="宋体"/>
          <w:sz w:val="28"/>
          <w:szCs w:val="28"/>
        </w:rPr>
      </w:pPr>
      <w:r>
        <w:rPr>
          <w:rFonts w:ascii="Times New Roman" w:hAnsi="Times New Roman" w:eastAsia="Times New Roman" w:cs="Times New Roman"/>
          <w:b/>
          <w:bCs/>
          <w:spacing w:val="10"/>
          <w:sz w:val="28"/>
          <w:szCs w:val="28"/>
        </w:rPr>
        <w:t>5</w:t>
      </w:r>
      <w:r>
        <w:rPr>
          <w:rFonts w:ascii="Times New Roman" w:hAnsi="Times New Roman" w:eastAsia="Times New Roman" w:cs="Times New Roman"/>
          <w:b/>
          <w:bCs/>
          <w:spacing w:val="8"/>
          <w:sz w:val="28"/>
          <w:szCs w:val="28"/>
        </w:rPr>
        <w:t>.2.1.2</w:t>
      </w:r>
      <w:r>
        <w:rPr>
          <w:rFonts w:ascii="Times New Roman" w:hAnsi="Times New Roman" w:eastAsia="Times New Roman" w:cs="Times New Roman"/>
          <w:spacing w:val="8"/>
          <w:sz w:val="28"/>
          <w:szCs w:val="28"/>
        </w:rPr>
        <w:t xml:space="preserve">  </w:t>
      </w:r>
      <w:r>
        <w:rPr>
          <w:rFonts w:ascii="宋体" w:hAnsi="宋体" w:eastAsia="宋体" w:cs="宋体"/>
          <w:spacing w:val="8"/>
          <w:sz w:val="28"/>
          <w:szCs w:val="28"/>
          <w14:textOutline w14:w="5103" w14:cap="sq" w14:cmpd="sng">
            <w14:solidFill>
              <w14:srgbClr w14:val="000000"/>
            </w14:solidFill>
            <w14:prstDash w14:val="solid"/>
            <w14:bevel/>
          </w14:textOutline>
        </w:rPr>
        <w:t>大气评价等级判定</w:t>
      </w:r>
    </w:p>
    <w:p w14:paraId="3191F5B9">
      <w:pPr>
        <w:spacing w:line="263" w:lineRule="auto"/>
        <w:rPr>
          <w:rFonts w:ascii="Arial"/>
          <w:sz w:val="21"/>
        </w:rPr>
      </w:pPr>
    </w:p>
    <w:p w14:paraId="5915A56D">
      <w:pPr>
        <w:spacing w:before="76" w:line="225" w:lineRule="auto"/>
        <w:ind w:left="596"/>
        <w:rPr>
          <w:rFonts w:ascii="宋体" w:hAnsi="宋体" w:eastAsia="宋体" w:cs="宋体"/>
          <w:sz w:val="23"/>
          <w:szCs w:val="23"/>
        </w:rPr>
      </w:pPr>
      <w:r>
        <w:rPr>
          <w:rFonts w:ascii="宋体" w:hAnsi="宋体" w:eastAsia="宋体" w:cs="宋体"/>
          <w:spacing w:val="9"/>
          <w:sz w:val="23"/>
          <w:szCs w:val="23"/>
        </w:rPr>
        <w:t>①</w:t>
      </w:r>
      <w:r>
        <w:rPr>
          <w:rFonts w:ascii="宋体" w:hAnsi="宋体" w:eastAsia="宋体" w:cs="宋体"/>
          <w:spacing w:val="8"/>
          <w:sz w:val="23"/>
          <w:szCs w:val="23"/>
        </w:rPr>
        <w:t>预测因子</w:t>
      </w:r>
    </w:p>
    <w:p w14:paraId="11AE145E">
      <w:pPr>
        <w:spacing w:line="278" w:lineRule="auto"/>
        <w:rPr>
          <w:rFonts w:ascii="Arial"/>
          <w:sz w:val="21"/>
        </w:rPr>
      </w:pPr>
    </w:p>
    <w:p w14:paraId="094C72C5">
      <w:pPr>
        <w:spacing w:before="74" w:line="407" w:lineRule="auto"/>
        <w:ind w:left="105" w:right="105" w:firstLine="492"/>
        <w:rPr>
          <w:rFonts w:ascii="宋体" w:hAnsi="宋体" w:eastAsia="宋体" w:cs="宋体"/>
          <w:sz w:val="23"/>
          <w:szCs w:val="23"/>
        </w:rPr>
      </w:pPr>
      <w:r>
        <w:rPr>
          <w:rFonts w:ascii="宋体" w:hAnsi="宋体" w:eastAsia="宋体" w:cs="宋体"/>
          <w:spacing w:val="19"/>
          <w:sz w:val="23"/>
          <w:szCs w:val="23"/>
        </w:rPr>
        <w:t>根</w:t>
      </w:r>
      <w:r>
        <w:rPr>
          <w:rFonts w:ascii="宋体" w:hAnsi="宋体" w:eastAsia="宋体" w:cs="宋体"/>
          <w:spacing w:val="18"/>
          <w:sz w:val="23"/>
          <w:szCs w:val="23"/>
        </w:rPr>
        <w:t xml:space="preserve">据工程分析，该项目面源预测因子为 </w:t>
      </w:r>
      <w:r>
        <w:rPr>
          <w:rFonts w:ascii="Times New Roman" w:hAnsi="Times New Roman" w:eastAsia="Times New Roman" w:cs="Times New Roman"/>
          <w:sz w:val="23"/>
          <w:szCs w:val="23"/>
        </w:rPr>
        <w:t>TSP</w:t>
      </w:r>
      <w:r>
        <w:rPr>
          <w:rFonts w:ascii="Times New Roman" w:hAnsi="Times New Roman" w:eastAsia="Times New Roman" w:cs="Times New Roman"/>
          <w:spacing w:val="18"/>
          <w:sz w:val="23"/>
          <w:szCs w:val="23"/>
        </w:rPr>
        <w:t xml:space="preserve"> </w:t>
      </w:r>
      <w:r>
        <w:rPr>
          <w:rFonts w:ascii="宋体" w:hAnsi="宋体" w:eastAsia="宋体" w:cs="宋体"/>
          <w:spacing w:val="18"/>
          <w:sz w:val="23"/>
          <w:szCs w:val="23"/>
        </w:rPr>
        <w:t>、</w:t>
      </w:r>
      <w:r>
        <w:rPr>
          <w:rFonts w:ascii="Times New Roman" w:hAnsi="Times New Roman" w:eastAsia="Times New Roman" w:cs="Times New Roman"/>
          <w:sz w:val="23"/>
          <w:szCs w:val="23"/>
        </w:rPr>
        <w:t>NMHC</w:t>
      </w:r>
      <w:r>
        <w:rPr>
          <w:rFonts w:ascii="Times New Roman" w:hAnsi="Times New Roman" w:eastAsia="Times New Roman" w:cs="Times New Roman"/>
          <w:spacing w:val="18"/>
          <w:sz w:val="23"/>
          <w:szCs w:val="23"/>
        </w:rPr>
        <w:t xml:space="preserve"> </w:t>
      </w:r>
      <w:r>
        <w:rPr>
          <w:rFonts w:ascii="宋体" w:hAnsi="宋体" w:eastAsia="宋体" w:cs="宋体"/>
          <w:spacing w:val="18"/>
          <w:sz w:val="23"/>
          <w:szCs w:val="23"/>
        </w:rPr>
        <w:t>，点源预测因子为</w:t>
      </w:r>
      <w:r>
        <w:rPr>
          <w:rFonts w:ascii="宋体" w:hAnsi="宋体" w:eastAsia="宋体" w:cs="宋体"/>
          <w:sz w:val="23"/>
          <w:szCs w:val="23"/>
        </w:rPr>
        <w:t xml:space="preserve"> </w:t>
      </w:r>
      <w:r>
        <w:rPr>
          <w:rFonts w:ascii="Times New Roman" w:hAnsi="Times New Roman" w:eastAsia="Times New Roman" w:cs="Times New Roman"/>
          <w:sz w:val="23"/>
          <w:szCs w:val="23"/>
        </w:rPr>
        <w:t>NMHC</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w:t>
      </w:r>
      <w:r>
        <w:rPr>
          <w:rFonts w:ascii="Times New Roman" w:hAnsi="Times New Roman" w:eastAsia="Times New Roman" w:cs="Times New Roman"/>
          <w:sz w:val="23"/>
          <w:szCs w:val="23"/>
        </w:rPr>
        <w:t>PM</w:t>
      </w:r>
      <w:r>
        <w:rPr>
          <w:rFonts w:ascii="Times New Roman" w:hAnsi="Times New Roman" w:eastAsia="Times New Roman" w:cs="Times New Roman"/>
          <w:spacing w:val="6"/>
          <w:position w:val="-1"/>
          <w:sz w:val="15"/>
          <w:szCs w:val="15"/>
        </w:rPr>
        <w:t xml:space="preserve">10 </w:t>
      </w:r>
      <w:r>
        <w:rPr>
          <w:rFonts w:ascii="宋体" w:hAnsi="宋体" w:eastAsia="宋体" w:cs="宋体"/>
          <w:spacing w:val="6"/>
          <w:sz w:val="23"/>
          <w:szCs w:val="23"/>
        </w:rPr>
        <w:t>、</w:t>
      </w:r>
      <w:r>
        <w:rPr>
          <w:rFonts w:ascii="Times New Roman" w:hAnsi="Times New Roman" w:eastAsia="Times New Roman" w:cs="Times New Roman"/>
          <w:sz w:val="23"/>
          <w:szCs w:val="23"/>
        </w:rPr>
        <w:t>SO</w:t>
      </w:r>
      <w:r>
        <w:rPr>
          <w:rFonts w:ascii="Times New Roman" w:hAnsi="Times New Roman" w:eastAsia="Times New Roman" w:cs="Times New Roman"/>
          <w:spacing w:val="6"/>
          <w:position w:val="-1"/>
          <w:sz w:val="15"/>
          <w:szCs w:val="15"/>
        </w:rPr>
        <w:t xml:space="preserve">2 </w:t>
      </w:r>
      <w:r>
        <w:rPr>
          <w:rFonts w:ascii="宋体" w:hAnsi="宋体" w:eastAsia="宋体" w:cs="宋体"/>
          <w:spacing w:val="6"/>
          <w:sz w:val="23"/>
          <w:szCs w:val="23"/>
        </w:rPr>
        <w:t>、</w:t>
      </w:r>
      <w:r>
        <w:rPr>
          <w:rFonts w:ascii="Times New Roman" w:hAnsi="Times New Roman" w:eastAsia="Times New Roman" w:cs="Times New Roman"/>
          <w:sz w:val="23"/>
          <w:szCs w:val="23"/>
        </w:rPr>
        <w:t>NOx</w:t>
      </w:r>
      <w:r>
        <w:rPr>
          <w:rFonts w:ascii="宋体" w:hAnsi="宋体" w:eastAsia="宋体" w:cs="宋体"/>
          <w:spacing w:val="5"/>
          <w:sz w:val="23"/>
          <w:szCs w:val="23"/>
        </w:rPr>
        <w:t>。</w:t>
      </w:r>
    </w:p>
    <w:p w14:paraId="306DC9B4">
      <w:pPr>
        <w:spacing w:before="104" w:line="225" w:lineRule="auto"/>
        <w:ind w:left="595"/>
        <w:rPr>
          <w:rFonts w:ascii="宋体" w:hAnsi="宋体" w:eastAsia="宋体" w:cs="宋体"/>
          <w:sz w:val="23"/>
          <w:szCs w:val="23"/>
        </w:rPr>
      </w:pPr>
      <w:r>
        <w:rPr>
          <w:rFonts w:ascii="宋体" w:hAnsi="宋体" w:eastAsia="宋体" w:cs="宋体"/>
          <w:spacing w:val="10"/>
          <w:sz w:val="23"/>
          <w:szCs w:val="23"/>
        </w:rPr>
        <w:t>②</w:t>
      </w:r>
      <w:r>
        <w:rPr>
          <w:rFonts w:ascii="宋体" w:hAnsi="宋体" w:eastAsia="宋体" w:cs="宋体"/>
          <w:spacing w:val="8"/>
          <w:sz w:val="23"/>
          <w:szCs w:val="23"/>
        </w:rPr>
        <w:t>预测内容</w:t>
      </w:r>
    </w:p>
    <w:p w14:paraId="65E74244">
      <w:pPr>
        <w:spacing w:line="277" w:lineRule="auto"/>
        <w:rPr>
          <w:rFonts w:ascii="Arial"/>
          <w:sz w:val="21"/>
        </w:rPr>
      </w:pPr>
    </w:p>
    <w:p w14:paraId="2C1396CA">
      <w:pPr>
        <w:spacing w:before="75" w:line="391" w:lineRule="auto"/>
        <w:ind w:left="115" w:right="105" w:firstLine="481"/>
        <w:rPr>
          <w:rFonts w:ascii="宋体" w:hAnsi="宋体" w:eastAsia="宋体" w:cs="宋体"/>
          <w:sz w:val="23"/>
          <w:szCs w:val="23"/>
        </w:rPr>
      </w:pPr>
      <w:r>
        <w:rPr>
          <w:rFonts w:ascii="宋体" w:hAnsi="宋体" w:eastAsia="宋体" w:cs="宋体"/>
          <w:spacing w:val="14"/>
          <w:sz w:val="23"/>
          <w:szCs w:val="23"/>
        </w:rPr>
        <w:t>根据《</w:t>
      </w:r>
      <w:r>
        <w:rPr>
          <w:rFonts w:ascii="宋体" w:hAnsi="宋体" w:eastAsia="宋体" w:cs="宋体"/>
          <w:spacing w:val="12"/>
          <w:sz w:val="23"/>
          <w:szCs w:val="23"/>
        </w:rPr>
        <w:t>环</w:t>
      </w:r>
      <w:r>
        <w:rPr>
          <w:rFonts w:ascii="宋体" w:hAnsi="宋体" w:eastAsia="宋体" w:cs="宋体"/>
          <w:spacing w:val="7"/>
          <w:sz w:val="23"/>
          <w:szCs w:val="23"/>
        </w:rPr>
        <w:t>境影响评价技术导则 大气环境》  (</w:t>
      </w:r>
      <w:r>
        <w:rPr>
          <w:rFonts w:ascii="Times New Roman" w:hAnsi="Times New Roman" w:eastAsia="Times New Roman" w:cs="Times New Roman"/>
          <w:sz w:val="23"/>
          <w:szCs w:val="23"/>
        </w:rPr>
        <w:t>HJ</w:t>
      </w:r>
      <w:r>
        <w:rPr>
          <w:rFonts w:ascii="Times New Roman" w:hAnsi="Times New Roman" w:eastAsia="Times New Roman" w:cs="Times New Roman"/>
          <w:spacing w:val="7"/>
          <w:sz w:val="23"/>
          <w:szCs w:val="23"/>
        </w:rPr>
        <w:t>2.2-2018</w:t>
      </w:r>
      <w:r>
        <w:rPr>
          <w:rFonts w:ascii="宋体" w:hAnsi="宋体" w:eastAsia="宋体" w:cs="宋体"/>
          <w:spacing w:val="7"/>
          <w:sz w:val="23"/>
          <w:szCs w:val="23"/>
        </w:rPr>
        <w:t>) 要求，本次大气</w:t>
      </w:r>
      <w:r>
        <w:rPr>
          <w:rFonts w:ascii="宋体" w:hAnsi="宋体" w:eastAsia="宋体" w:cs="宋体"/>
          <w:sz w:val="23"/>
          <w:szCs w:val="23"/>
        </w:rPr>
        <w:t xml:space="preserve"> </w:t>
      </w:r>
      <w:r>
        <w:rPr>
          <w:rFonts w:ascii="宋体" w:hAnsi="宋体" w:eastAsia="宋体" w:cs="宋体"/>
          <w:spacing w:val="6"/>
          <w:sz w:val="23"/>
          <w:szCs w:val="23"/>
        </w:rPr>
        <w:t xml:space="preserve">环境影响评价采用估算模式 </w:t>
      </w:r>
      <w:r>
        <w:rPr>
          <w:rFonts w:ascii="Times New Roman" w:hAnsi="Times New Roman" w:eastAsia="Times New Roman" w:cs="Times New Roman"/>
          <w:sz w:val="23"/>
          <w:szCs w:val="23"/>
        </w:rPr>
        <w:t>AERSCREEN</w:t>
      </w:r>
      <w:r>
        <w:rPr>
          <w:rFonts w:ascii="宋体" w:hAnsi="宋体" w:eastAsia="宋体" w:cs="宋体"/>
          <w:spacing w:val="6"/>
          <w:sz w:val="23"/>
          <w:szCs w:val="23"/>
        </w:rPr>
        <w:t>，对项目产生的废气对大气环境的影</w:t>
      </w:r>
      <w:r>
        <w:rPr>
          <w:rFonts w:ascii="宋体" w:hAnsi="宋体" w:eastAsia="宋体" w:cs="宋体"/>
          <w:sz w:val="23"/>
          <w:szCs w:val="23"/>
        </w:rPr>
        <w:t xml:space="preserve">响 </w:t>
      </w:r>
      <w:r>
        <w:rPr>
          <w:rFonts w:ascii="宋体" w:hAnsi="宋体" w:eastAsia="宋体" w:cs="宋体"/>
          <w:spacing w:val="8"/>
          <w:sz w:val="23"/>
          <w:szCs w:val="23"/>
        </w:rPr>
        <w:t>进</w:t>
      </w:r>
      <w:r>
        <w:rPr>
          <w:rFonts w:ascii="宋体" w:hAnsi="宋体" w:eastAsia="宋体" w:cs="宋体"/>
          <w:spacing w:val="6"/>
          <w:sz w:val="23"/>
          <w:szCs w:val="23"/>
        </w:rPr>
        <w:t>行预测。</w:t>
      </w:r>
    </w:p>
    <w:p w14:paraId="6CD31DE4">
      <w:pPr>
        <w:spacing w:before="136" w:line="225" w:lineRule="auto"/>
        <w:ind w:left="595"/>
        <w:rPr>
          <w:rFonts w:ascii="宋体" w:hAnsi="宋体" w:eastAsia="宋体" w:cs="宋体"/>
          <w:sz w:val="23"/>
          <w:szCs w:val="23"/>
        </w:rPr>
      </w:pPr>
      <w:r>
        <w:rPr>
          <w:rFonts w:ascii="宋体" w:hAnsi="宋体" w:eastAsia="宋体" w:cs="宋体"/>
          <w:spacing w:val="10"/>
          <w:sz w:val="23"/>
          <w:szCs w:val="23"/>
        </w:rPr>
        <w:t>③</w:t>
      </w:r>
      <w:r>
        <w:rPr>
          <w:rFonts w:ascii="宋体" w:hAnsi="宋体" w:eastAsia="宋体" w:cs="宋体"/>
          <w:spacing w:val="8"/>
          <w:sz w:val="23"/>
          <w:szCs w:val="23"/>
        </w:rPr>
        <w:t>预测参数</w:t>
      </w:r>
    </w:p>
    <w:p w14:paraId="7025724C">
      <w:pPr>
        <w:spacing w:line="279" w:lineRule="auto"/>
        <w:rPr>
          <w:rFonts w:ascii="Arial"/>
          <w:sz w:val="21"/>
        </w:rPr>
      </w:pPr>
    </w:p>
    <w:p w14:paraId="0A90B604">
      <w:pPr>
        <w:spacing w:before="75" w:line="227" w:lineRule="auto"/>
        <w:ind w:left="597"/>
        <w:rPr>
          <w:rFonts w:ascii="宋体" w:hAnsi="宋体" w:eastAsia="宋体" w:cs="宋体"/>
          <w:sz w:val="23"/>
          <w:szCs w:val="23"/>
        </w:rPr>
      </w:pPr>
      <w:r>
        <w:rPr>
          <w:rFonts w:ascii="宋体" w:hAnsi="宋体" w:eastAsia="宋体" w:cs="宋体"/>
          <w:spacing w:val="3"/>
          <w:sz w:val="23"/>
          <w:szCs w:val="23"/>
        </w:rPr>
        <w:t xml:space="preserve">根据工程分析，污染源排放参数见表 </w:t>
      </w:r>
      <w:r>
        <w:rPr>
          <w:rFonts w:ascii="Times New Roman" w:hAnsi="Times New Roman" w:eastAsia="Times New Roman" w:cs="Times New Roman"/>
          <w:spacing w:val="3"/>
          <w:sz w:val="23"/>
          <w:szCs w:val="23"/>
        </w:rPr>
        <w:t>5-6~</w:t>
      </w:r>
      <w:r>
        <w:rPr>
          <w:rFonts w:ascii="宋体" w:hAnsi="宋体" w:eastAsia="宋体" w:cs="宋体"/>
          <w:spacing w:val="3"/>
          <w:sz w:val="23"/>
          <w:szCs w:val="23"/>
        </w:rPr>
        <w:t xml:space="preserve">表 </w:t>
      </w:r>
      <w:r>
        <w:rPr>
          <w:rFonts w:ascii="Times New Roman" w:hAnsi="Times New Roman" w:eastAsia="Times New Roman" w:cs="Times New Roman"/>
          <w:spacing w:val="3"/>
          <w:sz w:val="23"/>
          <w:szCs w:val="23"/>
        </w:rPr>
        <w:t>5-7</w:t>
      </w:r>
      <w:r>
        <w:rPr>
          <w:rFonts w:ascii="宋体" w:hAnsi="宋体" w:eastAsia="宋体" w:cs="宋体"/>
          <w:spacing w:val="3"/>
          <w:sz w:val="23"/>
          <w:szCs w:val="23"/>
        </w:rPr>
        <w:t>。</w:t>
      </w:r>
    </w:p>
    <w:p w14:paraId="5CE67218">
      <w:pPr>
        <w:spacing w:line="276" w:lineRule="auto"/>
        <w:rPr>
          <w:rFonts w:ascii="Arial"/>
          <w:sz w:val="21"/>
        </w:rPr>
      </w:pPr>
    </w:p>
    <w:p w14:paraId="04A18EE3">
      <w:pPr>
        <w:spacing w:before="76" w:line="227" w:lineRule="auto"/>
        <w:ind w:left="3118"/>
        <w:rPr>
          <w:rFonts w:ascii="宋体" w:hAnsi="宋体" w:eastAsia="宋体" w:cs="宋体"/>
          <w:sz w:val="23"/>
          <w:szCs w:val="23"/>
        </w:rPr>
      </w:pPr>
      <w:r>
        <w:rPr>
          <w:rFonts w:ascii="宋体" w:hAnsi="宋体" w:eastAsia="宋体" w:cs="宋体"/>
          <w:spacing w:val="2"/>
          <w:sz w:val="23"/>
          <w:szCs w:val="23"/>
          <w14:textOutline w14:w="4358" w14:cap="sq" w14:cmpd="sng">
            <w14:solidFill>
              <w14:srgbClr w14:val="000000"/>
            </w14:solidFill>
            <w14:prstDash w14:val="solid"/>
            <w14:bevel/>
          </w14:textOutline>
        </w:rPr>
        <w:t>表</w:t>
      </w:r>
      <w:r>
        <w:rPr>
          <w:rFonts w:ascii="宋体" w:hAnsi="宋体" w:eastAsia="宋体" w:cs="宋体"/>
          <w:spacing w:val="2"/>
          <w:sz w:val="23"/>
          <w:szCs w:val="23"/>
        </w:rPr>
        <w:t xml:space="preserve"> </w:t>
      </w:r>
      <w:r>
        <w:rPr>
          <w:rFonts w:ascii="Times New Roman" w:hAnsi="Times New Roman" w:eastAsia="Times New Roman" w:cs="Times New Roman"/>
          <w:b/>
          <w:bCs/>
          <w:spacing w:val="2"/>
          <w:sz w:val="23"/>
          <w:szCs w:val="23"/>
        </w:rPr>
        <w:t>5-6</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14:textOutline w14:w="4358" w14:cap="sq" w14:cmpd="sng">
            <w14:solidFill>
              <w14:srgbClr w14:val="000000"/>
            </w14:solidFill>
            <w14:prstDash w14:val="solid"/>
            <w14:bevel/>
          </w14:textOutline>
        </w:rPr>
        <w:t>点源参数表</w:t>
      </w:r>
    </w:p>
    <w:p w14:paraId="12B6F04A">
      <w:pPr>
        <w:spacing w:line="18" w:lineRule="exact"/>
      </w:pPr>
    </w:p>
    <w:tbl>
      <w:tblPr>
        <w:tblStyle w:val="4"/>
        <w:tblW w:w="8305"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4"/>
        <w:gridCol w:w="622"/>
        <w:gridCol w:w="465"/>
        <w:gridCol w:w="697"/>
        <w:gridCol w:w="698"/>
        <w:gridCol w:w="495"/>
        <w:gridCol w:w="465"/>
        <w:gridCol w:w="465"/>
        <w:gridCol w:w="519"/>
        <w:gridCol w:w="562"/>
        <w:gridCol w:w="509"/>
        <w:gridCol w:w="508"/>
        <w:gridCol w:w="710"/>
        <w:gridCol w:w="397"/>
        <w:gridCol w:w="431"/>
        <w:gridCol w:w="518"/>
      </w:tblGrid>
      <w:tr w14:paraId="73F5A5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3" w:hRule="atLeast"/>
        </w:trPr>
        <w:tc>
          <w:tcPr>
            <w:tcW w:w="244" w:type="dxa"/>
            <w:vMerge w:val="restart"/>
            <w:tcBorders>
              <w:left w:val="nil"/>
              <w:bottom w:val="nil"/>
            </w:tcBorders>
            <w:textDirection w:val="tbRlV"/>
            <w:vAlign w:val="top"/>
          </w:tcPr>
          <w:p w14:paraId="523D6EE2">
            <w:pPr>
              <w:spacing w:before="1" w:line="214" w:lineRule="auto"/>
              <w:ind w:left="385"/>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编</w:t>
            </w:r>
            <w:r>
              <w:rPr>
                <w:rFonts w:ascii="宋体" w:hAnsi="宋体" w:eastAsia="宋体" w:cs="宋体"/>
                <w:spacing w:val="-10"/>
                <w:sz w:val="20"/>
                <w:szCs w:val="20"/>
              </w:rPr>
              <w:t xml:space="preserve"> </w:t>
            </w:r>
            <w:r>
              <w:rPr>
                <w:rFonts w:ascii="宋体" w:hAnsi="宋体" w:eastAsia="宋体" w:cs="宋体"/>
                <w:spacing w:val="-10"/>
                <w:sz w:val="20"/>
                <w:szCs w:val="20"/>
                <w14:textOutline w14:w="3795" w14:cap="sq" w14:cmpd="sng">
                  <w14:solidFill>
                    <w14:srgbClr w14:val="000000"/>
                  </w14:solidFill>
                  <w14:prstDash w14:val="solid"/>
                  <w14:bevel/>
                </w14:textOutline>
              </w:rPr>
              <w:t>号</w:t>
            </w:r>
          </w:p>
        </w:tc>
        <w:tc>
          <w:tcPr>
            <w:tcW w:w="622" w:type="dxa"/>
            <w:vMerge w:val="restart"/>
            <w:tcBorders>
              <w:left w:val="nil"/>
              <w:bottom w:val="nil"/>
            </w:tcBorders>
            <w:vAlign w:val="top"/>
          </w:tcPr>
          <w:p w14:paraId="5E9FE594">
            <w:pPr>
              <w:spacing w:line="449" w:lineRule="auto"/>
              <w:rPr>
                <w:rFonts w:ascii="Arial"/>
                <w:sz w:val="21"/>
              </w:rPr>
            </w:pPr>
          </w:p>
          <w:p w14:paraId="1887CCFC">
            <w:pPr>
              <w:spacing w:before="65" w:line="230" w:lineRule="auto"/>
              <w:ind w:left="126"/>
              <w:rPr>
                <w:rFonts w:ascii="宋体" w:hAnsi="宋体" w:eastAsia="宋体" w:cs="宋体"/>
                <w:sz w:val="20"/>
                <w:szCs w:val="20"/>
              </w:rPr>
            </w:pPr>
            <w:r>
              <w:rPr>
                <w:rFonts w:ascii="宋体" w:hAnsi="宋体" w:eastAsia="宋体" w:cs="宋体"/>
                <w:spacing w:val="5"/>
                <w:sz w:val="20"/>
                <w:szCs w:val="20"/>
                <w14:textOutline w14:w="3795" w14:cap="sq" w14:cmpd="sng">
                  <w14:solidFill>
                    <w14:srgbClr w14:val="000000"/>
                  </w14:solidFill>
                  <w14:prstDash w14:val="solid"/>
                  <w14:bevel/>
                </w14:textOutline>
              </w:rPr>
              <w:t>名</w:t>
            </w:r>
            <w:r>
              <w:rPr>
                <w:rFonts w:ascii="宋体" w:hAnsi="宋体" w:eastAsia="宋体" w:cs="宋体"/>
                <w:spacing w:val="4"/>
                <w:sz w:val="20"/>
                <w:szCs w:val="20"/>
                <w14:textOutline w14:w="3795" w14:cap="sq" w14:cmpd="sng">
                  <w14:solidFill>
                    <w14:srgbClr w14:val="000000"/>
                  </w14:solidFill>
                  <w14:prstDash w14:val="solid"/>
                  <w14:bevel/>
                </w14:textOutline>
              </w:rPr>
              <w:t>称</w:t>
            </w:r>
          </w:p>
        </w:tc>
        <w:tc>
          <w:tcPr>
            <w:tcW w:w="465" w:type="dxa"/>
            <w:vMerge w:val="restart"/>
            <w:tcBorders>
              <w:bottom w:val="nil"/>
            </w:tcBorders>
            <w:vAlign w:val="top"/>
          </w:tcPr>
          <w:p w14:paraId="625E7817">
            <w:pPr>
              <w:spacing w:line="249" w:lineRule="auto"/>
              <w:rPr>
                <w:rFonts w:ascii="Arial"/>
                <w:sz w:val="21"/>
              </w:rPr>
            </w:pPr>
          </w:p>
          <w:p w14:paraId="30DDB4FE">
            <w:pPr>
              <w:spacing w:before="65" w:line="229" w:lineRule="auto"/>
              <w:ind w:left="27"/>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排放</w:t>
            </w:r>
          </w:p>
          <w:p w14:paraId="6ACD05C4">
            <w:pPr>
              <w:spacing w:before="13" w:line="228" w:lineRule="auto"/>
              <w:ind w:left="59"/>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口编</w:t>
            </w:r>
          </w:p>
          <w:p w14:paraId="54AC4880">
            <w:pPr>
              <w:spacing w:before="12" w:line="229" w:lineRule="auto"/>
              <w:ind w:left="138"/>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号</w:t>
            </w:r>
          </w:p>
        </w:tc>
        <w:tc>
          <w:tcPr>
            <w:tcW w:w="1395" w:type="dxa"/>
            <w:gridSpan w:val="2"/>
            <w:vAlign w:val="top"/>
          </w:tcPr>
          <w:p w14:paraId="06D5565D">
            <w:pPr>
              <w:spacing w:before="284" w:line="258" w:lineRule="auto"/>
              <w:ind w:left="187" w:right="156" w:hanging="10"/>
              <w:rPr>
                <w:rFonts w:ascii="Times New Roman" w:hAnsi="Times New Roman" w:eastAsia="Times New Roman" w:cs="Times New Roman"/>
                <w:sz w:val="20"/>
                <w:szCs w:val="20"/>
              </w:rPr>
            </w:pPr>
            <w:r>
              <w:rPr>
                <w:rFonts w:ascii="宋体" w:hAnsi="宋体" w:eastAsia="宋体" w:cs="宋体"/>
                <w:spacing w:val="11"/>
                <w:sz w:val="20"/>
                <w:szCs w:val="20"/>
                <w14:textOutline w14:w="3795" w14:cap="sq" w14:cmpd="sng">
                  <w14:solidFill>
                    <w14:srgbClr w14:val="000000"/>
                  </w14:solidFill>
                  <w14:prstDash w14:val="solid"/>
                  <w14:bevel/>
                </w14:textOutline>
              </w:rPr>
              <w:t>排</w:t>
            </w:r>
            <w:r>
              <w:rPr>
                <w:rFonts w:ascii="宋体" w:hAnsi="宋体" w:eastAsia="宋体" w:cs="宋体"/>
                <w:spacing w:val="8"/>
                <w:sz w:val="20"/>
                <w:szCs w:val="20"/>
                <w14:textOutline w14:w="3795" w14:cap="sq" w14:cmpd="sng">
                  <w14:solidFill>
                    <w14:srgbClr w14:val="000000"/>
                  </w14:solidFill>
                  <w14:prstDash w14:val="solid"/>
                  <w14:bevel/>
                </w14:textOutline>
              </w:rPr>
              <w:t>气筒底部</w:t>
            </w:r>
            <w:r>
              <w:rPr>
                <w:rFonts w:ascii="宋体" w:hAnsi="宋体" w:eastAsia="宋体" w:cs="宋体"/>
                <w:sz w:val="20"/>
                <w:szCs w:val="20"/>
              </w:rPr>
              <w:t xml:space="preserve"> </w:t>
            </w:r>
            <w:r>
              <w:rPr>
                <w:rFonts w:ascii="宋体" w:hAnsi="宋体" w:eastAsia="宋体" w:cs="宋体"/>
                <w:spacing w:val="5"/>
                <w:sz w:val="20"/>
                <w:szCs w:val="20"/>
                <w14:textOutline w14:w="3795" w14:cap="sq" w14:cmpd="sng">
                  <w14:solidFill>
                    <w14:srgbClr w14:val="000000"/>
                  </w14:solidFill>
                  <w14:prstDash w14:val="solid"/>
                  <w14:bevel/>
                </w14:textOutline>
              </w:rPr>
              <w:t>中心坐标</w:t>
            </w:r>
            <w:r>
              <w:rPr>
                <w:rFonts w:ascii="Times New Roman" w:hAnsi="Times New Roman" w:eastAsia="Times New Roman" w:cs="Times New Roman"/>
                <w:b/>
                <w:bCs/>
                <w:spacing w:val="4"/>
                <w:sz w:val="20"/>
                <w:szCs w:val="20"/>
              </w:rPr>
              <w:t>/</w:t>
            </w:r>
            <w:r>
              <w:rPr>
                <w:rFonts w:ascii="Times New Roman" w:hAnsi="Times New Roman" w:eastAsia="Times New Roman" w:cs="Times New Roman"/>
                <w:b/>
                <w:bCs/>
                <w:sz w:val="20"/>
                <w:szCs w:val="20"/>
              </w:rPr>
              <w:t>m</w:t>
            </w:r>
          </w:p>
        </w:tc>
        <w:tc>
          <w:tcPr>
            <w:tcW w:w="495" w:type="dxa"/>
            <w:vMerge w:val="restart"/>
            <w:tcBorders>
              <w:bottom w:val="nil"/>
            </w:tcBorders>
            <w:vAlign w:val="top"/>
          </w:tcPr>
          <w:p w14:paraId="49DEFA35">
            <w:pPr>
              <w:spacing w:before="55" w:line="236" w:lineRule="auto"/>
              <w:ind w:left="53" w:right="32" w:firstLine="10"/>
              <w:rPr>
                <w:rFonts w:ascii="Times New Roman" w:hAnsi="Times New Roman" w:eastAsia="Times New Roman" w:cs="Times New Roman"/>
                <w:sz w:val="20"/>
                <w:szCs w:val="20"/>
              </w:rPr>
            </w:pPr>
            <w:r>
              <w:rPr>
                <w:rFonts w:ascii="宋体" w:hAnsi="宋体" w:eastAsia="宋体" w:cs="宋体"/>
                <w:spacing w:val="-6"/>
                <w:sz w:val="20"/>
                <w:szCs w:val="20"/>
                <w14:textOutline w14:w="3767" w14:cap="sq" w14:cmpd="sng">
                  <w14:solidFill>
                    <w14:srgbClr w14:val="000000"/>
                  </w14:solidFill>
                  <w14:prstDash w14:val="solid"/>
                  <w14:bevel/>
                </w14:textOutline>
              </w:rPr>
              <w:t>排</w:t>
            </w:r>
            <w:r>
              <w:rPr>
                <w:rFonts w:ascii="宋体" w:hAnsi="宋体" w:eastAsia="宋体" w:cs="宋体"/>
                <w:spacing w:val="-4"/>
                <w:sz w:val="20"/>
                <w:szCs w:val="20"/>
                <w14:textOutline w14:w="3767" w14:cap="sq" w14:cmpd="sng">
                  <w14:solidFill>
                    <w14:srgbClr w14:val="000000"/>
                  </w14:solidFill>
                  <w14:prstDash w14:val="solid"/>
                  <w14:bevel/>
                </w14:textOutline>
              </w:rPr>
              <w:t>气</w:t>
            </w:r>
            <w:r>
              <w:rPr>
                <w:rFonts w:ascii="宋体" w:hAnsi="宋体" w:eastAsia="宋体" w:cs="宋体"/>
                <w:sz w:val="20"/>
                <w:szCs w:val="20"/>
              </w:rPr>
              <w:t xml:space="preserve"> </w:t>
            </w:r>
            <w:r>
              <w:rPr>
                <w:rFonts w:ascii="宋体" w:hAnsi="宋体" w:eastAsia="宋体" w:cs="宋体"/>
                <w:sz w:val="20"/>
                <w:szCs w:val="20"/>
                <w14:textOutline w14:w="3767" w14:cap="sq" w14:cmpd="sng">
                  <w14:solidFill>
                    <w14:srgbClr w14:val="000000"/>
                  </w14:solidFill>
                  <w14:prstDash w14:val="solid"/>
                  <w14:bevel/>
                </w14:textOutline>
              </w:rPr>
              <w:t>筒底</w:t>
            </w:r>
            <w:r>
              <w:rPr>
                <w:rFonts w:ascii="宋体" w:hAnsi="宋体" w:eastAsia="宋体" w:cs="宋体"/>
                <w:sz w:val="20"/>
                <w:szCs w:val="20"/>
              </w:rPr>
              <w:t xml:space="preserve"> </w:t>
            </w:r>
            <w:r>
              <w:rPr>
                <w:rFonts w:ascii="宋体" w:hAnsi="宋体" w:eastAsia="宋体" w:cs="宋体"/>
                <w:sz w:val="20"/>
                <w:szCs w:val="20"/>
                <w14:textOutline w14:w="3767" w14:cap="sq" w14:cmpd="sng">
                  <w14:solidFill>
                    <w14:srgbClr w14:val="000000"/>
                  </w14:solidFill>
                  <w14:prstDash w14:val="solid"/>
                  <w14:bevel/>
                </w14:textOutline>
              </w:rPr>
              <w:t>部海</w:t>
            </w:r>
            <w:r>
              <w:rPr>
                <w:rFonts w:ascii="宋体" w:hAnsi="宋体" w:eastAsia="宋体" w:cs="宋体"/>
                <w:sz w:val="20"/>
                <w:szCs w:val="20"/>
              </w:rPr>
              <w:t xml:space="preserve"> </w:t>
            </w:r>
            <w:r>
              <w:rPr>
                <w:rFonts w:ascii="宋体" w:hAnsi="宋体" w:eastAsia="宋体" w:cs="宋体"/>
                <w:sz w:val="20"/>
                <w:szCs w:val="20"/>
                <w14:textOutline w14:w="3767" w14:cap="sq" w14:cmpd="sng">
                  <w14:solidFill>
                    <w14:srgbClr w14:val="000000"/>
                  </w14:solidFill>
                  <w14:prstDash w14:val="solid"/>
                  <w14:bevel/>
                </w14:textOutline>
              </w:rPr>
              <w:t>拔高</w:t>
            </w:r>
            <w:r>
              <w:rPr>
                <w:rFonts w:ascii="宋体" w:hAnsi="宋体" w:eastAsia="宋体" w:cs="宋体"/>
                <w:sz w:val="20"/>
                <w:szCs w:val="20"/>
              </w:rPr>
              <w:t xml:space="preserve"> </w:t>
            </w:r>
            <w:r>
              <w:rPr>
                <w:rFonts w:ascii="宋体" w:hAnsi="宋体" w:eastAsia="宋体" w:cs="宋体"/>
                <w:spacing w:val="-6"/>
                <w:sz w:val="20"/>
                <w:szCs w:val="20"/>
                <w14:textOutline w14:w="3767" w14:cap="sq" w14:cmpd="sng">
                  <w14:solidFill>
                    <w14:srgbClr w14:val="000000"/>
                  </w14:solidFill>
                  <w14:prstDash w14:val="solid"/>
                  <w14:bevel/>
                </w14:textOutline>
              </w:rPr>
              <w:t>度</w:t>
            </w:r>
            <w:r>
              <w:rPr>
                <w:rFonts w:ascii="Times New Roman" w:hAnsi="Times New Roman" w:eastAsia="Times New Roman" w:cs="Times New Roman"/>
                <w:b/>
                <w:bCs/>
                <w:spacing w:val="-6"/>
                <w:sz w:val="20"/>
                <w:szCs w:val="20"/>
              </w:rPr>
              <w:t>/m</w:t>
            </w:r>
          </w:p>
        </w:tc>
        <w:tc>
          <w:tcPr>
            <w:tcW w:w="465" w:type="dxa"/>
            <w:vMerge w:val="restart"/>
            <w:tcBorders>
              <w:bottom w:val="nil"/>
            </w:tcBorders>
            <w:vAlign w:val="top"/>
          </w:tcPr>
          <w:p w14:paraId="0DF44782">
            <w:pPr>
              <w:spacing w:line="249" w:lineRule="auto"/>
              <w:rPr>
                <w:rFonts w:ascii="Arial"/>
                <w:sz w:val="21"/>
              </w:rPr>
            </w:pPr>
          </w:p>
          <w:p w14:paraId="1A0268BC">
            <w:pPr>
              <w:spacing w:before="65" w:line="257" w:lineRule="auto"/>
              <w:ind w:left="28" w:right="12" w:firstLine="10"/>
              <w:rPr>
                <w:rFonts w:ascii="Times New Roman" w:hAnsi="Times New Roman" w:eastAsia="Times New Roman" w:cs="Times New Roman"/>
                <w:sz w:val="20"/>
                <w:szCs w:val="20"/>
              </w:rPr>
            </w:pPr>
            <w:r>
              <w:rPr>
                <w:rFonts w:ascii="宋体" w:hAnsi="宋体" w:eastAsia="宋体" w:cs="宋体"/>
                <w:sz w:val="20"/>
                <w:szCs w:val="20"/>
                <w14:textOutline w14:w="3795" w14:cap="sq" w14:cmpd="sng">
                  <w14:solidFill>
                    <w14:srgbClr w14:val="000000"/>
                  </w14:solidFill>
                  <w14:prstDash w14:val="solid"/>
                  <w14:bevel/>
                </w14:textOutline>
              </w:rPr>
              <w:t>排气</w:t>
            </w:r>
            <w:r>
              <w:rPr>
                <w:rFonts w:ascii="宋体" w:hAnsi="宋体" w:eastAsia="宋体" w:cs="宋体"/>
                <w:sz w:val="20"/>
                <w:szCs w:val="20"/>
              </w:rPr>
              <w:t xml:space="preserve"> </w:t>
            </w:r>
            <w:r>
              <w:rPr>
                <w:rFonts w:ascii="宋体" w:hAnsi="宋体" w:eastAsia="宋体" w:cs="宋体"/>
                <w:spacing w:val="5"/>
                <w:sz w:val="20"/>
                <w:szCs w:val="20"/>
                <w14:textOutline w14:w="3795" w14:cap="sq" w14:cmpd="sng">
                  <w14:solidFill>
                    <w14:srgbClr w14:val="000000"/>
                  </w14:solidFill>
                  <w14:prstDash w14:val="solid"/>
                  <w14:bevel/>
                </w14:textOutline>
              </w:rPr>
              <w:t>筒高</w:t>
            </w:r>
            <w:r>
              <w:rPr>
                <w:rFonts w:ascii="宋体" w:hAnsi="宋体" w:eastAsia="宋体" w:cs="宋体"/>
                <w:sz w:val="20"/>
                <w:szCs w:val="20"/>
              </w:rPr>
              <w:t xml:space="preserve"> </w:t>
            </w:r>
            <w:r>
              <w:rPr>
                <w:rFonts w:ascii="宋体" w:hAnsi="宋体" w:eastAsia="宋体" w:cs="宋体"/>
                <w:spacing w:val="-2"/>
                <w:sz w:val="20"/>
                <w:szCs w:val="20"/>
                <w14:textOutline w14:w="3795" w14:cap="sq" w14:cmpd="sng">
                  <w14:solidFill>
                    <w14:srgbClr w14:val="000000"/>
                  </w14:solidFill>
                  <w14:prstDash w14:val="solid"/>
                  <w14:bevel/>
                </w14:textOutline>
              </w:rPr>
              <w:t>度</w:t>
            </w:r>
            <w:r>
              <w:rPr>
                <w:rFonts w:ascii="Times New Roman" w:hAnsi="Times New Roman" w:eastAsia="Times New Roman" w:cs="Times New Roman"/>
                <w:b/>
                <w:bCs/>
                <w:spacing w:val="-1"/>
                <w:sz w:val="20"/>
                <w:szCs w:val="20"/>
              </w:rPr>
              <w:t>/m</w:t>
            </w:r>
          </w:p>
        </w:tc>
        <w:tc>
          <w:tcPr>
            <w:tcW w:w="465" w:type="dxa"/>
            <w:vMerge w:val="restart"/>
            <w:tcBorders>
              <w:bottom w:val="nil"/>
            </w:tcBorders>
            <w:vAlign w:val="top"/>
          </w:tcPr>
          <w:p w14:paraId="4018A6F0">
            <w:pPr>
              <w:spacing w:before="184" w:line="254" w:lineRule="auto"/>
              <w:ind w:left="15" w:right="9" w:firstLine="12"/>
              <w:rPr>
                <w:rFonts w:ascii="Times New Roman" w:hAnsi="Times New Roman" w:eastAsia="Times New Roman" w:cs="Times New Roman"/>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排气</w:t>
            </w:r>
            <w:r>
              <w:rPr>
                <w:rFonts w:ascii="宋体" w:hAnsi="宋体" w:eastAsia="宋体" w:cs="宋体"/>
                <w:sz w:val="20"/>
                <w:szCs w:val="20"/>
              </w:rPr>
              <w:t xml:space="preserve"> </w:t>
            </w:r>
            <w:r>
              <w:rPr>
                <w:rFonts w:ascii="宋体" w:hAnsi="宋体" w:eastAsia="宋体" w:cs="宋体"/>
                <w:spacing w:val="12"/>
                <w:sz w:val="20"/>
                <w:szCs w:val="20"/>
                <w14:textOutline w14:w="3795" w14:cap="sq" w14:cmpd="sng">
                  <w14:solidFill>
                    <w14:srgbClr w14:val="000000"/>
                  </w14:solidFill>
                  <w14:prstDash w14:val="solid"/>
                  <w14:bevel/>
                </w14:textOutline>
              </w:rPr>
              <w:t>筒出</w:t>
            </w:r>
            <w:r>
              <w:rPr>
                <w:rFonts w:ascii="宋体" w:hAnsi="宋体" w:eastAsia="宋体" w:cs="宋体"/>
                <w:sz w:val="20"/>
                <w:szCs w:val="20"/>
              </w:rPr>
              <w:t xml:space="preserve"> </w:t>
            </w:r>
            <w:r>
              <w:rPr>
                <w:rFonts w:ascii="宋体" w:hAnsi="宋体" w:eastAsia="宋体" w:cs="宋体"/>
                <w:spacing w:val="12"/>
                <w:sz w:val="20"/>
                <w:szCs w:val="20"/>
                <w14:textOutline w14:w="3795" w14:cap="sq" w14:cmpd="sng">
                  <w14:solidFill>
                    <w14:srgbClr w14:val="000000"/>
                  </w14:solidFill>
                  <w14:prstDash w14:val="solid"/>
                  <w14:bevel/>
                </w14:textOutline>
              </w:rPr>
              <w:t>口内</w:t>
            </w:r>
            <w:r>
              <w:rPr>
                <w:rFonts w:ascii="宋体" w:hAnsi="宋体" w:eastAsia="宋体" w:cs="宋体"/>
                <w:sz w:val="20"/>
                <w:szCs w:val="20"/>
              </w:rPr>
              <w:t xml:space="preserve"> </w:t>
            </w:r>
            <w:r>
              <w:rPr>
                <w:rFonts w:ascii="宋体" w:hAnsi="宋体" w:eastAsia="宋体" w:cs="宋体"/>
                <w:spacing w:val="6"/>
                <w:sz w:val="20"/>
                <w:szCs w:val="20"/>
                <w14:textOutline w14:w="3795" w14:cap="sq" w14:cmpd="sng">
                  <w14:solidFill>
                    <w14:srgbClr w14:val="000000"/>
                  </w14:solidFill>
                  <w14:prstDash w14:val="solid"/>
                  <w14:bevel/>
                </w14:textOutline>
              </w:rPr>
              <w:t>径</w:t>
            </w:r>
            <w:r>
              <w:rPr>
                <w:rFonts w:ascii="Times New Roman" w:hAnsi="Times New Roman" w:eastAsia="Times New Roman" w:cs="Times New Roman"/>
                <w:b/>
                <w:bCs/>
                <w:spacing w:val="6"/>
                <w:sz w:val="20"/>
                <w:szCs w:val="20"/>
              </w:rPr>
              <w:t>/</w:t>
            </w:r>
            <w:r>
              <w:rPr>
                <w:rFonts w:ascii="Times New Roman" w:hAnsi="Times New Roman" w:eastAsia="Times New Roman" w:cs="Times New Roman"/>
                <w:b/>
                <w:bCs/>
                <w:sz w:val="20"/>
                <w:szCs w:val="20"/>
              </w:rPr>
              <w:t>m</w:t>
            </w:r>
          </w:p>
        </w:tc>
        <w:tc>
          <w:tcPr>
            <w:tcW w:w="519" w:type="dxa"/>
            <w:vMerge w:val="restart"/>
            <w:tcBorders>
              <w:bottom w:val="nil"/>
            </w:tcBorders>
            <w:vAlign w:val="top"/>
          </w:tcPr>
          <w:p w14:paraId="21CF8BB3">
            <w:pPr>
              <w:spacing w:line="249" w:lineRule="auto"/>
              <w:rPr>
                <w:rFonts w:ascii="Arial"/>
                <w:sz w:val="21"/>
              </w:rPr>
            </w:pPr>
          </w:p>
          <w:p w14:paraId="49A73A02">
            <w:pPr>
              <w:spacing w:before="65" w:line="256" w:lineRule="auto"/>
              <w:ind w:left="40" w:right="28" w:firstLine="15"/>
              <w:rPr>
                <w:rFonts w:ascii="Times New Roman" w:hAnsi="Times New Roman" w:eastAsia="Times New Roman" w:cs="Times New Roman"/>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烟</w:t>
            </w:r>
            <w:r>
              <w:rPr>
                <w:rFonts w:ascii="宋体" w:hAnsi="宋体" w:eastAsia="宋体" w:cs="宋体"/>
                <w:spacing w:val="5"/>
                <w:sz w:val="20"/>
                <w:szCs w:val="20"/>
                <w14:textOutline w14:w="3795" w14:cap="sq" w14:cmpd="sng">
                  <w14:solidFill>
                    <w14:srgbClr w14:val="000000"/>
                  </w14:solidFill>
                  <w14:prstDash w14:val="solid"/>
                  <w14:bevel/>
                </w14:textOutline>
              </w:rPr>
              <w:t>气</w:t>
            </w:r>
            <w:r>
              <w:rPr>
                <w:rFonts w:ascii="宋体" w:hAnsi="宋体" w:eastAsia="宋体" w:cs="宋体"/>
                <w:sz w:val="20"/>
                <w:szCs w:val="20"/>
              </w:rPr>
              <w:t xml:space="preserve"> </w:t>
            </w:r>
            <w:r>
              <w:rPr>
                <w:rFonts w:ascii="宋体" w:hAnsi="宋体" w:eastAsia="宋体" w:cs="宋体"/>
                <w:spacing w:val="13"/>
                <w:sz w:val="20"/>
                <w:szCs w:val="20"/>
                <w14:textOutline w14:w="3795" w14:cap="sq" w14:cmpd="sng">
                  <w14:solidFill>
                    <w14:srgbClr w14:val="000000"/>
                  </w14:solidFill>
                  <w14:prstDash w14:val="solid"/>
                  <w14:bevel/>
                </w14:textOutline>
              </w:rPr>
              <w:t>流速</w:t>
            </w:r>
            <w:r>
              <w:rPr>
                <w:rFonts w:ascii="宋体" w:hAnsi="宋体" w:eastAsia="宋体" w:cs="宋体"/>
                <w:sz w:val="20"/>
                <w:szCs w:val="20"/>
              </w:rPr>
              <w:t xml:space="preserve"> </w:t>
            </w:r>
            <w:r>
              <w:rPr>
                <w:rFonts w:ascii="Times New Roman" w:hAnsi="Times New Roman" w:eastAsia="Times New Roman" w:cs="Times New Roman"/>
                <w:b/>
                <w:bCs/>
                <w:spacing w:val="4"/>
                <w:sz w:val="20"/>
                <w:szCs w:val="20"/>
              </w:rPr>
              <w:t>(</w:t>
            </w:r>
            <w:r>
              <w:rPr>
                <w:rFonts w:ascii="Times New Roman" w:hAnsi="Times New Roman" w:eastAsia="Times New Roman" w:cs="Times New Roman"/>
                <w:b/>
                <w:bCs/>
                <w:sz w:val="20"/>
                <w:szCs w:val="20"/>
              </w:rPr>
              <w:t>m</w:t>
            </w:r>
            <w:r>
              <w:rPr>
                <w:rFonts w:ascii="Times New Roman" w:hAnsi="Times New Roman" w:eastAsia="Times New Roman" w:cs="Times New Roman"/>
                <w:b/>
                <w:bCs/>
                <w:spacing w:val="4"/>
                <w:sz w:val="20"/>
                <w:szCs w:val="20"/>
              </w:rPr>
              <w:t>/</w:t>
            </w:r>
            <w:r>
              <w:rPr>
                <w:rFonts w:ascii="Times New Roman" w:hAnsi="Times New Roman" w:eastAsia="Times New Roman" w:cs="Times New Roman"/>
                <w:b/>
                <w:bCs/>
                <w:sz w:val="20"/>
                <w:szCs w:val="20"/>
              </w:rPr>
              <w:t>s</w:t>
            </w:r>
            <w:r>
              <w:rPr>
                <w:rFonts w:ascii="Times New Roman" w:hAnsi="Times New Roman" w:eastAsia="Times New Roman" w:cs="Times New Roman"/>
                <w:b/>
                <w:bCs/>
                <w:spacing w:val="4"/>
                <w:sz w:val="20"/>
                <w:szCs w:val="20"/>
              </w:rPr>
              <w:t>)</w:t>
            </w:r>
          </w:p>
        </w:tc>
        <w:tc>
          <w:tcPr>
            <w:tcW w:w="562" w:type="dxa"/>
            <w:vMerge w:val="restart"/>
            <w:tcBorders>
              <w:bottom w:val="nil"/>
            </w:tcBorders>
            <w:vAlign w:val="top"/>
          </w:tcPr>
          <w:p w14:paraId="1ADB6DDA">
            <w:pPr>
              <w:spacing w:line="249" w:lineRule="auto"/>
              <w:rPr>
                <w:rFonts w:ascii="Arial"/>
                <w:sz w:val="21"/>
              </w:rPr>
            </w:pPr>
          </w:p>
          <w:p w14:paraId="7E56D400">
            <w:pPr>
              <w:spacing w:before="65" w:line="229" w:lineRule="auto"/>
              <w:ind w:left="76"/>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烟</w:t>
            </w:r>
            <w:r>
              <w:rPr>
                <w:rFonts w:ascii="宋体" w:hAnsi="宋体" w:eastAsia="宋体" w:cs="宋体"/>
                <w:spacing w:val="5"/>
                <w:sz w:val="20"/>
                <w:szCs w:val="20"/>
                <w14:textOutline w14:w="3795" w14:cap="sq" w14:cmpd="sng">
                  <w14:solidFill>
                    <w14:srgbClr w14:val="000000"/>
                  </w14:solidFill>
                  <w14:prstDash w14:val="solid"/>
                  <w14:bevel/>
                </w14:textOutline>
              </w:rPr>
              <w:t>气</w:t>
            </w:r>
          </w:p>
          <w:p w14:paraId="2EEE44B7">
            <w:pPr>
              <w:spacing w:before="13" w:line="201" w:lineRule="auto"/>
              <w:ind w:left="77"/>
              <w:rPr>
                <w:rFonts w:ascii="宋体" w:hAnsi="宋体" w:eastAsia="宋体" w:cs="宋体"/>
                <w:sz w:val="20"/>
                <w:szCs w:val="20"/>
              </w:rPr>
            </w:pPr>
            <w:r>
              <w:rPr>
                <w:rFonts w:ascii="宋体" w:hAnsi="宋体" w:eastAsia="宋体" w:cs="宋体"/>
                <w:spacing w:val="5"/>
                <w:sz w:val="20"/>
                <w:szCs w:val="20"/>
                <w14:textOutline w14:w="3795" w14:cap="sq" w14:cmpd="sng">
                  <w14:solidFill>
                    <w14:srgbClr w14:val="000000"/>
                  </w14:solidFill>
                  <w14:prstDash w14:val="solid"/>
                  <w14:bevel/>
                </w14:textOutline>
              </w:rPr>
              <w:t>温度</w:t>
            </w:r>
          </w:p>
          <w:p w14:paraId="53003FDD">
            <w:pPr>
              <w:spacing w:line="288" w:lineRule="exact"/>
              <w:ind w:left="134"/>
              <w:rPr>
                <w:rFonts w:ascii="Times New Roman" w:hAnsi="Times New Roman" w:eastAsia="Times New Roman" w:cs="Times New Roman"/>
                <w:sz w:val="20"/>
                <w:szCs w:val="20"/>
              </w:rPr>
            </w:pPr>
            <w:r>
              <w:rPr>
                <w:rFonts w:ascii="Times New Roman" w:hAnsi="Times New Roman" w:eastAsia="Times New Roman" w:cs="Times New Roman"/>
                <w:b/>
                <w:bCs/>
                <w:spacing w:val="6"/>
                <w:position w:val="2"/>
                <w:sz w:val="20"/>
                <w:szCs w:val="20"/>
              </w:rPr>
              <w:t>/</w:t>
            </w:r>
            <w:r>
              <w:rPr>
                <w:rFonts w:ascii="Times New Roman" w:hAnsi="Times New Roman" w:eastAsia="Times New Roman" w:cs="Times New Roman"/>
                <w:b/>
                <w:bCs/>
                <w:spacing w:val="5"/>
                <w:position w:val="2"/>
                <w:sz w:val="20"/>
                <w:szCs w:val="20"/>
              </w:rPr>
              <w:t>℃</w:t>
            </w:r>
          </w:p>
        </w:tc>
        <w:tc>
          <w:tcPr>
            <w:tcW w:w="509" w:type="dxa"/>
            <w:vMerge w:val="restart"/>
            <w:tcBorders>
              <w:bottom w:val="nil"/>
            </w:tcBorders>
            <w:vAlign w:val="top"/>
          </w:tcPr>
          <w:p w14:paraId="51597C40">
            <w:pPr>
              <w:spacing w:before="185" w:line="228" w:lineRule="auto"/>
              <w:ind w:left="49"/>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年</w:t>
            </w:r>
            <w:r>
              <w:rPr>
                <w:rFonts w:ascii="宋体" w:hAnsi="宋体" w:eastAsia="宋体" w:cs="宋体"/>
                <w:spacing w:val="5"/>
                <w:sz w:val="20"/>
                <w:szCs w:val="20"/>
                <w14:textOutline w14:w="3795" w14:cap="sq" w14:cmpd="sng">
                  <w14:solidFill>
                    <w14:srgbClr w14:val="000000"/>
                  </w14:solidFill>
                  <w14:prstDash w14:val="solid"/>
                  <w14:bevel/>
                </w14:textOutline>
              </w:rPr>
              <w:t>排</w:t>
            </w:r>
          </w:p>
          <w:p w14:paraId="38CE0180">
            <w:pPr>
              <w:spacing w:before="12" w:line="229" w:lineRule="auto"/>
              <w:ind w:left="48"/>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放小</w:t>
            </w:r>
          </w:p>
          <w:p w14:paraId="06627D95">
            <w:pPr>
              <w:spacing w:before="13" w:line="201" w:lineRule="auto"/>
              <w:ind w:left="58"/>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时数</w:t>
            </w:r>
          </w:p>
          <w:p w14:paraId="7469986B">
            <w:pPr>
              <w:spacing w:line="289" w:lineRule="exact"/>
              <w:ind w:left="165"/>
              <w:rPr>
                <w:rFonts w:ascii="Times New Roman" w:hAnsi="Times New Roman" w:eastAsia="Times New Roman" w:cs="Times New Roman"/>
                <w:sz w:val="20"/>
                <w:szCs w:val="20"/>
              </w:rPr>
            </w:pPr>
            <w:r>
              <w:rPr>
                <w:rFonts w:ascii="Times New Roman" w:hAnsi="Times New Roman" w:eastAsia="Times New Roman" w:cs="Times New Roman"/>
                <w:b/>
                <w:bCs/>
                <w:spacing w:val="6"/>
                <w:position w:val="2"/>
                <w:sz w:val="20"/>
                <w:szCs w:val="20"/>
              </w:rPr>
              <w:t>/</w:t>
            </w:r>
            <w:r>
              <w:rPr>
                <w:rFonts w:ascii="Times New Roman" w:hAnsi="Times New Roman" w:eastAsia="Times New Roman" w:cs="Times New Roman"/>
                <w:b/>
                <w:bCs/>
                <w:position w:val="2"/>
                <w:sz w:val="20"/>
                <w:szCs w:val="20"/>
              </w:rPr>
              <w:t>h</w:t>
            </w:r>
          </w:p>
        </w:tc>
        <w:tc>
          <w:tcPr>
            <w:tcW w:w="508" w:type="dxa"/>
            <w:vMerge w:val="restart"/>
            <w:tcBorders>
              <w:bottom w:val="nil"/>
            </w:tcBorders>
            <w:vAlign w:val="top"/>
          </w:tcPr>
          <w:p w14:paraId="2B12BA4A">
            <w:pPr>
              <w:spacing w:line="377" w:lineRule="auto"/>
              <w:rPr>
                <w:rFonts w:ascii="Arial"/>
                <w:sz w:val="21"/>
              </w:rPr>
            </w:pPr>
          </w:p>
          <w:p w14:paraId="558F2559">
            <w:pPr>
              <w:spacing w:before="65" w:line="257" w:lineRule="auto"/>
              <w:ind w:left="50" w:right="42" w:hanging="2"/>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排放</w:t>
            </w:r>
            <w:r>
              <w:rPr>
                <w:rFonts w:ascii="宋体" w:hAnsi="宋体" w:eastAsia="宋体" w:cs="宋体"/>
                <w:sz w:val="20"/>
                <w:szCs w:val="20"/>
              </w:rPr>
              <w:t xml:space="preserve"> </w:t>
            </w:r>
            <w:r>
              <w:rPr>
                <w:rFonts w:ascii="宋体" w:hAnsi="宋体" w:eastAsia="宋体" w:cs="宋体"/>
                <w:spacing w:val="5"/>
                <w:sz w:val="20"/>
                <w:szCs w:val="20"/>
                <w14:textOutline w14:w="3795" w14:cap="sq" w14:cmpd="sng">
                  <w14:solidFill>
                    <w14:srgbClr w14:val="000000"/>
                  </w14:solidFill>
                  <w14:prstDash w14:val="solid"/>
                  <w14:bevel/>
                </w14:textOutline>
              </w:rPr>
              <w:t>工</w:t>
            </w:r>
            <w:r>
              <w:rPr>
                <w:rFonts w:ascii="宋体" w:hAnsi="宋体" w:eastAsia="宋体" w:cs="宋体"/>
                <w:spacing w:val="4"/>
                <w:sz w:val="20"/>
                <w:szCs w:val="20"/>
                <w14:textOutline w14:w="3795" w14:cap="sq" w14:cmpd="sng">
                  <w14:solidFill>
                    <w14:srgbClr w14:val="000000"/>
                  </w14:solidFill>
                  <w14:prstDash w14:val="solid"/>
                  <w14:bevel/>
                </w14:textOutline>
              </w:rPr>
              <w:t>况</w:t>
            </w:r>
          </w:p>
        </w:tc>
        <w:tc>
          <w:tcPr>
            <w:tcW w:w="2056" w:type="dxa"/>
            <w:gridSpan w:val="4"/>
            <w:tcBorders>
              <w:right w:val="nil"/>
            </w:tcBorders>
            <w:vAlign w:val="top"/>
          </w:tcPr>
          <w:p w14:paraId="720F543B">
            <w:pPr>
              <w:spacing w:before="284" w:line="204" w:lineRule="auto"/>
              <w:ind w:left="303"/>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污染物排放速率</w:t>
            </w:r>
          </w:p>
          <w:p w14:paraId="4CC21A55">
            <w:pPr>
              <w:spacing w:line="288" w:lineRule="exact"/>
              <w:ind w:left="637"/>
              <w:rPr>
                <w:rFonts w:ascii="宋体" w:hAnsi="宋体" w:eastAsia="宋体" w:cs="宋体"/>
                <w:sz w:val="20"/>
                <w:szCs w:val="20"/>
              </w:rPr>
            </w:pPr>
            <w:r>
              <w:rPr>
                <w:rFonts w:ascii="宋体" w:hAnsi="宋体" w:eastAsia="宋体" w:cs="宋体"/>
                <w:spacing w:val="37"/>
                <w:position w:val="3"/>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position w:val="3"/>
                <w:sz w:val="20"/>
                <w:szCs w:val="20"/>
              </w:rPr>
              <w:t>kg</w:t>
            </w:r>
            <w:r>
              <w:rPr>
                <w:rFonts w:ascii="Times New Roman" w:hAnsi="Times New Roman" w:eastAsia="Times New Roman" w:cs="Times New Roman"/>
                <w:b/>
                <w:bCs/>
                <w:spacing w:val="36"/>
                <w:position w:val="3"/>
                <w:sz w:val="20"/>
                <w:szCs w:val="20"/>
              </w:rPr>
              <w:t>/</w:t>
            </w:r>
            <w:r>
              <w:rPr>
                <w:rFonts w:ascii="Times New Roman" w:hAnsi="Times New Roman" w:eastAsia="Times New Roman" w:cs="Times New Roman"/>
                <w:b/>
                <w:bCs/>
                <w:position w:val="3"/>
                <w:sz w:val="20"/>
                <w:szCs w:val="20"/>
              </w:rPr>
              <w:t>h</w:t>
            </w:r>
            <w:r>
              <w:rPr>
                <w:rFonts w:ascii="宋体" w:hAnsi="宋体" w:eastAsia="宋体" w:cs="宋体"/>
                <w:spacing w:val="36"/>
                <w:position w:val="3"/>
                <w:sz w:val="20"/>
                <w:szCs w:val="20"/>
                <w14:textOutline w14:w="3795" w14:cap="sq" w14:cmpd="sng">
                  <w14:solidFill>
                    <w14:srgbClr w14:val="000000"/>
                  </w14:solidFill>
                  <w14:prstDash w14:val="solid"/>
                  <w14:bevel/>
                </w14:textOutline>
              </w:rPr>
              <w:t>)</w:t>
            </w:r>
          </w:p>
        </w:tc>
      </w:tr>
      <w:tr w14:paraId="416F20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44" w:type="dxa"/>
            <w:vMerge w:val="continue"/>
            <w:tcBorders>
              <w:top w:val="nil"/>
              <w:left w:val="nil"/>
            </w:tcBorders>
            <w:textDirection w:val="tbRlV"/>
            <w:vAlign w:val="top"/>
          </w:tcPr>
          <w:p w14:paraId="5B4A2EEF">
            <w:pPr>
              <w:spacing w:line="241" w:lineRule="exact"/>
              <w:rPr>
                <w:rFonts w:ascii="Arial"/>
                <w:sz w:val="20"/>
              </w:rPr>
            </w:pPr>
          </w:p>
        </w:tc>
        <w:tc>
          <w:tcPr>
            <w:tcW w:w="622" w:type="dxa"/>
            <w:vMerge w:val="continue"/>
            <w:tcBorders>
              <w:top w:val="nil"/>
              <w:left w:val="nil"/>
            </w:tcBorders>
            <w:vAlign w:val="top"/>
          </w:tcPr>
          <w:p w14:paraId="70477F6B">
            <w:pPr>
              <w:rPr>
                <w:rFonts w:ascii="Arial"/>
                <w:sz w:val="21"/>
              </w:rPr>
            </w:pPr>
          </w:p>
        </w:tc>
        <w:tc>
          <w:tcPr>
            <w:tcW w:w="465" w:type="dxa"/>
            <w:vMerge w:val="continue"/>
            <w:tcBorders>
              <w:top w:val="nil"/>
            </w:tcBorders>
            <w:vAlign w:val="top"/>
          </w:tcPr>
          <w:p w14:paraId="490269DF">
            <w:pPr>
              <w:rPr>
                <w:rFonts w:ascii="Arial"/>
                <w:sz w:val="21"/>
              </w:rPr>
            </w:pPr>
          </w:p>
        </w:tc>
        <w:tc>
          <w:tcPr>
            <w:tcW w:w="697" w:type="dxa"/>
            <w:vAlign w:val="top"/>
          </w:tcPr>
          <w:p w14:paraId="219CD758">
            <w:pPr>
              <w:spacing w:before="92" w:line="192" w:lineRule="auto"/>
              <w:ind w:left="271"/>
              <w:rPr>
                <w:rFonts w:ascii="Times New Roman" w:hAnsi="Times New Roman" w:eastAsia="Times New Roman" w:cs="Times New Roman"/>
                <w:sz w:val="20"/>
                <w:szCs w:val="20"/>
              </w:rPr>
            </w:pPr>
            <w:r>
              <w:rPr>
                <w:rFonts w:ascii="Times New Roman" w:hAnsi="Times New Roman" w:eastAsia="Times New Roman" w:cs="Times New Roman"/>
                <w:b/>
                <w:bCs/>
                <w:spacing w:val="5"/>
                <w:sz w:val="20"/>
                <w:szCs w:val="20"/>
              </w:rPr>
              <w:t>X</w:t>
            </w:r>
          </w:p>
        </w:tc>
        <w:tc>
          <w:tcPr>
            <w:tcW w:w="698" w:type="dxa"/>
            <w:vAlign w:val="top"/>
          </w:tcPr>
          <w:p w14:paraId="0ABF1323">
            <w:pPr>
              <w:spacing w:before="92" w:line="192" w:lineRule="auto"/>
              <w:ind w:left="272"/>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Y</w:t>
            </w:r>
          </w:p>
        </w:tc>
        <w:tc>
          <w:tcPr>
            <w:tcW w:w="495" w:type="dxa"/>
            <w:vMerge w:val="continue"/>
            <w:tcBorders>
              <w:top w:val="nil"/>
            </w:tcBorders>
            <w:vAlign w:val="top"/>
          </w:tcPr>
          <w:p w14:paraId="7220D715">
            <w:pPr>
              <w:rPr>
                <w:rFonts w:ascii="Arial"/>
                <w:sz w:val="21"/>
              </w:rPr>
            </w:pPr>
          </w:p>
        </w:tc>
        <w:tc>
          <w:tcPr>
            <w:tcW w:w="465" w:type="dxa"/>
            <w:vMerge w:val="continue"/>
            <w:tcBorders>
              <w:top w:val="nil"/>
            </w:tcBorders>
            <w:vAlign w:val="top"/>
          </w:tcPr>
          <w:p w14:paraId="6E9571B3">
            <w:pPr>
              <w:rPr>
                <w:rFonts w:ascii="Arial"/>
                <w:sz w:val="21"/>
              </w:rPr>
            </w:pPr>
          </w:p>
        </w:tc>
        <w:tc>
          <w:tcPr>
            <w:tcW w:w="465" w:type="dxa"/>
            <w:vMerge w:val="continue"/>
            <w:tcBorders>
              <w:top w:val="nil"/>
            </w:tcBorders>
            <w:vAlign w:val="top"/>
          </w:tcPr>
          <w:p w14:paraId="2BA7D424">
            <w:pPr>
              <w:rPr>
                <w:rFonts w:ascii="Arial"/>
                <w:sz w:val="21"/>
              </w:rPr>
            </w:pPr>
          </w:p>
        </w:tc>
        <w:tc>
          <w:tcPr>
            <w:tcW w:w="519" w:type="dxa"/>
            <w:vMerge w:val="continue"/>
            <w:tcBorders>
              <w:top w:val="nil"/>
            </w:tcBorders>
            <w:vAlign w:val="top"/>
          </w:tcPr>
          <w:p w14:paraId="17E96927">
            <w:pPr>
              <w:rPr>
                <w:rFonts w:ascii="Arial"/>
                <w:sz w:val="21"/>
              </w:rPr>
            </w:pPr>
          </w:p>
        </w:tc>
        <w:tc>
          <w:tcPr>
            <w:tcW w:w="562" w:type="dxa"/>
            <w:vMerge w:val="continue"/>
            <w:tcBorders>
              <w:top w:val="nil"/>
            </w:tcBorders>
            <w:vAlign w:val="top"/>
          </w:tcPr>
          <w:p w14:paraId="5389F299">
            <w:pPr>
              <w:rPr>
                <w:rFonts w:ascii="Arial"/>
                <w:sz w:val="21"/>
              </w:rPr>
            </w:pPr>
          </w:p>
        </w:tc>
        <w:tc>
          <w:tcPr>
            <w:tcW w:w="509" w:type="dxa"/>
            <w:vMerge w:val="continue"/>
            <w:tcBorders>
              <w:top w:val="nil"/>
            </w:tcBorders>
            <w:vAlign w:val="top"/>
          </w:tcPr>
          <w:p w14:paraId="4BD2CE3C">
            <w:pPr>
              <w:rPr>
                <w:rFonts w:ascii="Arial"/>
                <w:sz w:val="21"/>
              </w:rPr>
            </w:pPr>
          </w:p>
        </w:tc>
        <w:tc>
          <w:tcPr>
            <w:tcW w:w="508" w:type="dxa"/>
            <w:vMerge w:val="continue"/>
            <w:tcBorders>
              <w:top w:val="nil"/>
            </w:tcBorders>
            <w:vAlign w:val="top"/>
          </w:tcPr>
          <w:p w14:paraId="5F1AFC41">
            <w:pPr>
              <w:rPr>
                <w:rFonts w:ascii="Arial"/>
                <w:sz w:val="21"/>
              </w:rPr>
            </w:pPr>
          </w:p>
        </w:tc>
        <w:tc>
          <w:tcPr>
            <w:tcW w:w="710" w:type="dxa"/>
            <w:vAlign w:val="top"/>
          </w:tcPr>
          <w:p w14:paraId="217F0801">
            <w:pPr>
              <w:spacing w:before="89" w:line="195" w:lineRule="auto"/>
              <w:ind w:left="22"/>
              <w:rPr>
                <w:rFonts w:ascii="Times New Roman" w:hAnsi="Times New Roman" w:eastAsia="Times New Roman" w:cs="Times New Roman"/>
                <w:sz w:val="20"/>
                <w:szCs w:val="20"/>
              </w:rPr>
            </w:pPr>
            <w:r>
              <w:rPr>
                <w:rFonts w:ascii="Times New Roman" w:hAnsi="Times New Roman" w:eastAsia="Times New Roman" w:cs="Times New Roman"/>
                <w:b/>
                <w:bCs/>
                <w:spacing w:val="7"/>
                <w:sz w:val="20"/>
                <w:szCs w:val="20"/>
              </w:rPr>
              <w:t>N</w:t>
            </w:r>
            <w:r>
              <w:rPr>
                <w:rFonts w:ascii="Times New Roman" w:hAnsi="Times New Roman" w:eastAsia="Times New Roman" w:cs="Times New Roman"/>
                <w:b/>
                <w:bCs/>
                <w:spacing w:val="6"/>
                <w:sz w:val="20"/>
                <w:szCs w:val="20"/>
              </w:rPr>
              <w:t>MHC</w:t>
            </w:r>
          </w:p>
        </w:tc>
        <w:tc>
          <w:tcPr>
            <w:tcW w:w="397" w:type="dxa"/>
            <w:vAlign w:val="top"/>
          </w:tcPr>
          <w:p w14:paraId="14B1D475">
            <w:pPr>
              <w:spacing w:before="89" w:line="202" w:lineRule="auto"/>
              <w:ind w:left="23"/>
              <w:rPr>
                <w:rFonts w:ascii="Times New Roman" w:hAnsi="Times New Roman" w:eastAsia="Times New Roman" w:cs="Times New Roman"/>
                <w:sz w:val="13"/>
                <w:szCs w:val="13"/>
              </w:rPr>
            </w:pPr>
            <w:r>
              <w:rPr>
                <w:rFonts w:ascii="Times New Roman" w:hAnsi="Times New Roman" w:eastAsia="Times New Roman" w:cs="Times New Roman"/>
                <w:b/>
                <w:bCs/>
                <w:sz w:val="20"/>
                <w:szCs w:val="20"/>
              </w:rPr>
              <w:t>SO</w:t>
            </w:r>
            <w:r>
              <w:rPr>
                <w:rFonts w:ascii="Times New Roman" w:hAnsi="Times New Roman" w:eastAsia="Times New Roman" w:cs="Times New Roman"/>
                <w:b/>
                <w:bCs/>
                <w:spacing w:val="18"/>
                <w:position w:val="-1"/>
                <w:sz w:val="13"/>
                <w:szCs w:val="13"/>
              </w:rPr>
              <w:t>2</w:t>
            </w:r>
          </w:p>
        </w:tc>
        <w:tc>
          <w:tcPr>
            <w:tcW w:w="431" w:type="dxa"/>
            <w:vAlign w:val="top"/>
          </w:tcPr>
          <w:p w14:paraId="3594718F">
            <w:pPr>
              <w:spacing w:before="89" w:line="202" w:lineRule="auto"/>
              <w:ind w:left="17"/>
              <w:rPr>
                <w:rFonts w:ascii="Times New Roman" w:hAnsi="Times New Roman" w:eastAsia="Times New Roman" w:cs="Times New Roman"/>
                <w:sz w:val="13"/>
                <w:szCs w:val="13"/>
              </w:rPr>
            </w:pPr>
            <w:r>
              <w:rPr>
                <w:rFonts w:ascii="Times New Roman" w:hAnsi="Times New Roman" w:eastAsia="Times New Roman" w:cs="Times New Roman"/>
                <w:b/>
                <w:bCs/>
                <w:sz w:val="20"/>
                <w:szCs w:val="20"/>
              </w:rPr>
              <w:t>NO</w:t>
            </w:r>
            <w:r>
              <w:rPr>
                <w:rFonts w:ascii="Times New Roman" w:hAnsi="Times New Roman" w:eastAsia="Times New Roman" w:cs="Times New Roman"/>
                <w:b/>
                <w:bCs/>
                <w:spacing w:val="26"/>
                <w:position w:val="-1"/>
                <w:sz w:val="13"/>
                <w:szCs w:val="13"/>
              </w:rPr>
              <w:t>2</w:t>
            </w:r>
          </w:p>
        </w:tc>
        <w:tc>
          <w:tcPr>
            <w:tcW w:w="518" w:type="dxa"/>
            <w:tcBorders>
              <w:right w:val="nil"/>
            </w:tcBorders>
            <w:vAlign w:val="top"/>
          </w:tcPr>
          <w:p w14:paraId="3C895887">
            <w:pPr>
              <w:spacing w:before="92" w:line="199" w:lineRule="auto"/>
              <w:ind w:left="20"/>
              <w:rPr>
                <w:rFonts w:ascii="Times New Roman" w:hAnsi="Times New Roman" w:eastAsia="Times New Roman" w:cs="Times New Roman"/>
                <w:sz w:val="13"/>
                <w:szCs w:val="13"/>
              </w:rPr>
            </w:pPr>
            <w:r>
              <w:rPr>
                <w:rFonts w:ascii="Times New Roman" w:hAnsi="Times New Roman" w:eastAsia="Times New Roman" w:cs="Times New Roman"/>
                <w:b/>
                <w:bCs/>
                <w:sz w:val="20"/>
                <w:szCs w:val="20"/>
              </w:rPr>
              <w:t>PM</w:t>
            </w:r>
            <w:r>
              <w:rPr>
                <w:rFonts w:ascii="Times New Roman" w:hAnsi="Times New Roman" w:eastAsia="Times New Roman" w:cs="Times New Roman"/>
                <w:b/>
                <w:bCs/>
                <w:spacing w:val="16"/>
                <w:position w:val="-1"/>
                <w:sz w:val="13"/>
                <w:szCs w:val="13"/>
              </w:rPr>
              <w:t>10</w:t>
            </w:r>
          </w:p>
        </w:tc>
      </w:tr>
      <w:tr w14:paraId="001A9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4" w:type="dxa"/>
            <w:tcBorders>
              <w:left w:val="nil"/>
            </w:tcBorders>
            <w:vAlign w:val="top"/>
          </w:tcPr>
          <w:p w14:paraId="50679003">
            <w:pPr>
              <w:spacing w:before="186" w:line="195" w:lineRule="auto"/>
              <w:ind w:left="108"/>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622" w:type="dxa"/>
            <w:tcBorders>
              <w:left w:val="nil"/>
            </w:tcBorders>
            <w:vAlign w:val="top"/>
          </w:tcPr>
          <w:p w14:paraId="1CAB7F73">
            <w:pPr>
              <w:spacing w:before="17" w:line="275" w:lineRule="auto"/>
              <w:ind w:left="124" w:right="83" w:firstLine="15"/>
              <w:rPr>
                <w:rFonts w:ascii="宋体" w:hAnsi="宋体" w:eastAsia="宋体" w:cs="宋体"/>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w:t>
            </w:r>
            <w:r>
              <w:rPr>
                <w:rFonts w:ascii="宋体" w:hAnsi="宋体" w:eastAsia="宋体" w:cs="宋体"/>
                <w:spacing w:val="-2"/>
                <w:sz w:val="20"/>
                <w:szCs w:val="20"/>
              </w:rPr>
              <w:t>排</w:t>
            </w:r>
            <w:r>
              <w:rPr>
                <w:rFonts w:ascii="宋体" w:hAnsi="宋体" w:eastAsia="宋体" w:cs="宋体"/>
                <w:sz w:val="20"/>
                <w:szCs w:val="20"/>
              </w:rPr>
              <w:t xml:space="preserve"> </w:t>
            </w:r>
            <w:r>
              <w:rPr>
                <w:rFonts w:ascii="宋体" w:hAnsi="宋体" w:eastAsia="宋体" w:cs="宋体"/>
                <w:spacing w:val="4"/>
                <w:sz w:val="20"/>
                <w:szCs w:val="20"/>
              </w:rPr>
              <w:t>气筒</w:t>
            </w:r>
          </w:p>
        </w:tc>
        <w:tc>
          <w:tcPr>
            <w:tcW w:w="465" w:type="dxa"/>
            <w:vAlign w:val="top"/>
          </w:tcPr>
          <w:p w14:paraId="335B400E">
            <w:pPr>
              <w:spacing w:before="90" w:line="312" w:lineRule="exact"/>
              <w:ind w:left="83"/>
              <w:rPr>
                <w:rFonts w:ascii="Times New Roman" w:hAnsi="Times New Roman" w:eastAsia="Times New Roman" w:cs="Times New Roman"/>
                <w:sz w:val="20"/>
                <w:szCs w:val="20"/>
              </w:rPr>
            </w:pPr>
            <w:r>
              <w:rPr>
                <w:rFonts w:ascii="Times New Roman" w:hAnsi="Times New Roman" w:eastAsia="Times New Roman" w:cs="Times New Roman"/>
                <w:spacing w:val="5"/>
                <w:position w:val="11"/>
                <w:sz w:val="20"/>
                <w:szCs w:val="20"/>
              </w:rPr>
              <w:t>D</w:t>
            </w:r>
            <w:r>
              <w:rPr>
                <w:rFonts w:ascii="Times New Roman" w:hAnsi="Times New Roman" w:eastAsia="Times New Roman" w:cs="Times New Roman"/>
                <w:spacing w:val="4"/>
                <w:position w:val="11"/>
                <w:sz w:val="20"/>
                <w:szCs w:val="20"/>
              </w:rPr>
              <w:t>A</w:t>
            </w:r>
          </w:p>
          <w:p w14:paraId="55957ACE">
            <w:pPr>
              <w:spacing w:line="194" w:lineRule="auto"/>
              <w:ind w:left="7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01</w:t>
            </w:r>
          </w:p>
        </w:tc>
        <w:tc>
          <w:tcPr>
            <w:tcW w:w="697" w:type="dxa"/>
            <w:vAlign w:val="top"/>
          </w:tcPr>
          <w:p w14:paraId="48EF043B">
            <w:pPr>
              <w:spacing w:before="90" w:line="312" w:lineRule="exact"/>
              <w:ind w:left="58"/>
              <w:rPr>
                <w:rFonts w:ascii="Times New Roman" w:hAnsi="Times New Roman" w:eastAsia="Times New Roman" w:cs="Times New Roman"/>
                <w:sz w:val="20"/>
                <w:szCs w:val="20"/>
              </w:rPr>
            </w:pPr>
            <w:r>
              <w:rPr>
                <w:rFonts w:ascii="Times New Roman" w:hAnsi="Times New Roman" w:eastAsia="Times New Roman" w:cs="Times New Roman"/>
                <w:spacing w:val="-13"/>
                <w:position w:val="11"/>
                <w:sz w:val="20"/>
                <w:szCs w:val="20"/>
              </w:rPr>
              <w:t>1</w:t>
            </w:r>
            <w:r>
              <w:rPr>
                <w:rFonts w:ascii="Times New Roman" w:hAnsi="Times New Roman" w:eastAsia="Times New Roman" w:cs="Times New Roman"/>
                <w:spacing w:val="-12"/>
                <w:position w:val="11"/>
                <w:sz w:val="20"/>
                <w:szCs w:val="20"/>
              </w:rPr>
              <w:t>23°42′3</w:t>
            </w:r>
          </w:p>
          <w:p w14:paraId="23A2E5A8">
            <w:pPr>
              <w:spacing w:line="194" w:lineRule="auto"/>
              <w:ind w:left="34"/>
              <w:rPr>
                <w:rFonts w:ascii="Times New Roman" w:hAnsi="Times New Roman" w:eastAsia="Times New Roman" w:cs="Times New Roman"/>
                <w:sz w:val="20"/>
                <w:szCs w:val="20"/>
              </w:rPr>
            </w:pPr>
            <w:r>
              <w:rPr>
                <w:rFonts w:ascii="Times New Roman" w:hAnsi="Times New Roman" w:eastAsia="Times New Roman" w:cs="Times New Roman"/>
                <w:spacing w:val="-13"/>
                <w:sz w:val="20"/>
                <w:szCs w:val="20"/>
              </w:rPr>
              <w:t>2</w:t>
            </w:r>
            <w:r>
              <w:rPr>
                <w:rFonts w:ascii="Times New Roman" w:hAnsi="Times New Roman" w:eastAsia="Times New Roman" w:cs="Times New Roman"/>
                <w:spacing w:val="-11"/>
                <w:sz w:val="20"/>
                <w:szCs w:val="20"/>
              </w:rPr>
              <w:t>.56512″</w:t>
            </w:r>
          </w:p>
        </w:tc>
        <w:tc>
          <w:tcPr>
            <w:tcW w:w="698" w:type="dxa"/>
            <w:vAlign w:val="top"/>
          </w:tcPr>
          <w:p w14:paraId="23DA0D7D">
            <w:pPr>
              <w:spacing w:before="90" w:line="312" w:lineRule="exact"/>
              <w:ind w:left="20"/>
              <w:rPr>
                <w:rFonts w:ascii="Times New Roman" w:hAnsi="Times New Roman" w:eastAsia="Times New Roman" w:cs="Times New Roman"/>
                <w:sz w:val="20"/>
                <w:szCs w:val="20"/>
              </w:rPr>
            </w:pPr>
            <w:r>
              <w:rPr>
                <w:rFonts w:ascii="Times New Roman" w:hAnsi="Times New Roman" w:eastAsia="Times New Roman" w:cs="Times New Roman"/>
                <w:spacing w:val="-13"/>
                <w:position w:val="11"/>
                <w:sz w:val="20"/>
                <w:szCs w:val="20"/>
              </w:rPr>
              <w:t>4</w:t>
            </w:r>
            <w:r>
              <w:rPr>
                <w:rFonts w:ascii="Times New Roman" w:hAnsi="Times New Roman" w:eastAsia="Times New Roman" w:cs="Times New Roman"/>
                <w:spacing w:val="-11"/>
                <w:position w:val="11"/>
                <w:sz w:val="20"/>
                <w:szCs w:val="20"/>
              </w:rPr>
              <w:t>1°21′55.</w:t>
            </w:r>
          </w:p>
          <w:p w14:paraId="3FDCBD79">
            <w:pPr>
              <w:spacing w:line="194" w:lineRule="auto"/>
              <w:ind w:left="115"/>
              <w:rPr>
                <w:rFonts w:ascii="Times New Roman" w:hAnsi="Times New Roman" w:eastAsia="Times New Roman" w:cs="Times New Roman"/>
                <w:sz w:val="20"/>
                <w:szCs w:val="20"/>
              </w:rPr>
            </w:pPr>
            <w:r>
              <w:rPr>
                <w:rFonts w:ascii="Times New Roman" w:hAnsi="Times New Roman" w:eastAsia="Times New Roman" w:cs="Times New Roman"/>
                <w:spacing w:val="-12"/>
                <w:sz w:val="20"/>
                <w:szCs w:val="20"/>
              </w:rPr>
              <w:t>1</w:t>
            </w:r>
            <w:r>
              <w:rPr>
                <w:rFonts w:ascii="Times New Roman" w:hAnsi="Times New Roman" w:eastAsia="Times New Roman" w:cs="Times New Roman"/>
                <w:spacing w:val="-11"/>
                <w:sz w:val="20"/>
                <w:szCs w:val="20"/>
              </w:rPr>
              <w:t>2779″</w:t>
            </w:r>
          </w:p>
        </w:tc>
        <w:tc>
          <w:tcPr>
            <w:tcW w:w="495" w:type="dxa"/>
            <w:vAlign w:val="top"/>
          </w:tcPr>
          <w:p w14:paraId="7FB33E9C">
            <w:pPr>
              <w:spacing w:before="246" w:line="195" w:lineRule="auto"/>
              <w:ind w:left="19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465" w:type="dxa"/>
            <w:vAlign w:val="top"/>
          </w:tcPr>
          <w:p w14:paraId="1A866E80">
            <w:pPr>
              <w:spacing w:before="246" w:line="195" w:lineRule="auto"/>
              <w:ind w:left="14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c>
          <w:tcPr>
            <w:tcW w:w="465" w:type="dxa"/>
            <w:vAlign w:val="top"/>
          </w:tcPr>
          <w:p w14:paraId="65C6DCC7">
            <w:pPr>
              <w:spacing w:before="246"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.5</w:t>
            </w:r>
          </w:p>
        </w:tc>
        <w:tc>
          <w:tcPr>
            <w:tcW w:w="519" w:type="dxa"/>
            <w:vAlign w:val="top"/>
          </w:tcPr>
          <w:p w14:paraId="40FDACEA">
            <w:pPr>
              <w:spacing w:before="246" w:line="195" w:lineRule="auto"/>
              <w:ind w:left="13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.5</w:t>
            </w:r>
          </w:p>
        </w:tc>
        <w:tc>
          <w:tcPr>
            <w:tcW w:w="562" w:type="dxa"/>
            <w:vAlign w:val="top"/>
          </w:tcPr>
          <w:p w14:paraId="262D702C">
            <w:pPr>
              <w:spacing w:before="246" w:line="195" w:lineRule="auto"/>
              <w:ind w:left="1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5</w:t>
            </w:r>
          </w:p>
        </w:tc>
        <w:tc>
          <w:tcPr>
            <w:tcW w:w="509" w:type="dxa"/>
            <w:vAlign w:val="top"/>
          </w:tcPr>
          <w:p w14:paraId="5DD6D135">
            <w:pPr>
              <w:spacing w:before="246" w:line="195" w:lineRule="auto"/>
              <w:ind w:left="4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7</w:t>
            </w:r>
            <w:r>
              <w:rPr>
                <w:rFonts w:ascii="Times New Roman" w:hAnsi="Times New Roman" w:eastAsia="Times New Roman" w:cs="Times New Roman"/>
                <w:spacing w:val="3"/>
                <w:sz w:val="20"/>
                <w:szCs w:val="20"/>
              </w:rPr>
              <w:t>200</w:t>
            </w:r>
          </w:p>
        </w:tc>
        <w:tc>
          <w:tcPr>
            <w:tcW w:w="508" w:type="dxa"/>
            <w:vAlign w:val="top"/>
          </w:tcPr>
          <w:p w14:paraId="719CE8E6">
            <w:pPr>
              <w:spacing w:before="54" w:line="258" w:lineRule="auto"/>
              <w:ind w:left="51" w:right="44" w:firstLine="1"/>
              <w:rPr>
                <w:rFonts w:ascii="宋体" w:hAnsi="宋体" w:eastAsia="宋体" w:cs="宋体"/>
                <w:sz w:val="20"/>
                <w:szCs w:val="20"/>
              </w:rPr>
            </w:pPr>
            <w:r>
              <w:rPr>
                <w:rFonts w:ascii="宋体" w:hAnsi="宋体" w:eastAsia="宋体" w:cs="宋体"/>
                <w:spacing w:val="3"/>
                <w:sz w:val="20"/>
                <w:szCs w:val="20"/>
              </w:rPr>
              <w:t>正</w:t>
            </w:r>
            <w:r>
              <w:rPr>
                <w:rFonts w:ascii="宋体" w:hAnsi="宋体" w:eastAsia="宋体" w:cs="宋体"/>
                <w:spacing w:val="2"/>
                <w:sz w:val="20"/>
                <w:szCs w:val="20"/>
              </w:rPr>
              <w:t>常</w:t>
            </w:r>
            <w:r>
              <w:rPr>
                <w:rFonts w:ascii="宋体" w:hAnsi="宋体" w:eastAsia="宋体" w:cs="宋体"/>
                <w:sz w:val="20"/>
                <w:szCs w:val="20"/>
              </w:rPr>
              <w:t xml:space="preserve"> </w:t>
            </w:r>
            <w:r>
              <w:rPr>
                <w:rFonts w:ascii="宋体" w:hAnsi="宋体" w:eastAsia="宋体" w:cs="宋体"/>
                <w:spacing w:val="4"/>
                <w:sz w:val="20"/>
                <w:szCs w:val="20"/>
              </w:rPr>
              <w:t>工</w:t>
            </w:r>
            <w:r>
              <w:rPr>
                <w:rFonts w:ascii="宋体" w:hAnsi="宋体" w:eastAsia="宋体" w:cs="宋体"/>
                <w:spacing w:val="3"/>
                <w:sz w:val="20"/>
                <w:szCs w:val="20"/>
              </w:rPr>
              <w:t>况</w:t>
            </w:r>
          </w:p>
        </w:tc>
        <w:tc>
          <w:tcPr>
            <w:tcW w:w="710" w:type="dxa"/>
            <w:vAlign w:val="top"/>
          </w:tcPr>
          <w:p w14:paraId="15A5761C">
            <w:pPr>
              <w:spacing w:before="246" w:line="195" w:lineRule="auto"/>
              <w:ind w:left="18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w:t>
            </w:r>
            <w:r>
              <w:rPr>
                <w:rFonts w:ascii="Times New Roman" w:hAnsi="Times New Roman" w:eastAsia="Times New Roman" w:cs="Times New Roman"/>
                <w:spacing w:val="-1"/>
                <w:sz w:val="20"/>
                <w:szCs w:val="20"/>
              </w:rPr>
              <w:t>.16</w:t>
            </w:r>
          </w:p>
        </w:tc>
        <w:tc>
          <w:tcPr>
            <w:tcW w:w="397" w:type="dxa"/>
            <w:vAlign w:val="top"/>
          </w:tcPr>
          <w:p w14:paraId="7AF65C02">
            <w:pPr>
              <w:spacing w:before="172" w:line="281" w:lineRule="exact"/>
              <w:ind w:left="16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431" w:type="dxa"/>
            <w:vAlign w:val="top"/>
          </w:tcPr>
          <w:p w14:paraId="0AC95525">
            <w:pPr>
              <w:spacing w:before="172" w:line="281" w:lineRule="exact"/>
              <w:ind w:left="187"/>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518" w:type="dxa"/>
            <w:tcBorders>
              <w:right w:val="nil"/>
            </w:tcBorders>
            <w:vAlign w:val="top"/>
          </w:tcPr>
          <w:p w14:paraId="2D8ED8D3">
            <w:pPr>
              <w:spacing w:before="172" w:line="281" w:lineRule="exact"/>
              <w:ind w:left="23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36304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4" w:type="dxa"/>
            <w:tcBorders>
              <w:left w:val="nil"/>
            </w:tcBorders>
            <w:vAlign w:val="top"/>
          </w:tcPr>
          <w:p w14:paraId="1871B4ED">
            <w:pPr>
              <w:spacing w:before="186" w:line="195" w:lineRule="auto"/>
              <w:ind w:left="8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622" w:type="dxa"/>
            <w:tcBorders>
              <w:left w:val="nil"/>
            </w:tcBorders>
            <w:vAlign w:val="top"/>
          </w:tcPr>
          <w:p w14:paraId="350F745C">
            <w:pPr>
              <w:spacing w:before="17" w:line="275" w:lineRule="auto"/>
              <w:ind w:left="124" w:right="83" w:hanging="4"/>
              <w:rPr>
                <w:rFonts w:ascii="宋体" w:hAnsi="宋体" w:eastAsia="宋体" w:cs="宋体"/>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4"/>
                <w:sz w:val="20"/>
                <w:szCs w:val="20"/>
              </w:rPr>
              <w:t>#</w:t>
            </w:r>
            <w:r>
              <w:rPr>
                <w:rFonts w:ascii="宋体" w:hAnsi="宋体" w:eastAsia="宋体" w:cs="宋体"/>
                <w:spacing w:val="4"/>
                <w:sz w:val="20"/>
                <w:szCs w:val="20"/>
              </w:rPr>
              <w:t>排</w:t>
            </w:r>
            <w:r>
              <w:rPr>
                <w:rFonts w:ascii="宋体" w:hAnsi="宋体" w:eastAsia="宋体" w:cs="宋体"/>
                <w:sz w:val="20"/>
                <w:szCs w:val="20"/>
              </w:rPr>
              <w:t xml:space="preserve"> </w:t>
            </w:r>
            <w:r>
              <w:rPr>
                <w:rFonts w:ascii="宋体" w:hAnsi="宋体" w:eastAsia="宋体" w:cs="宋体"/>
                <w:spacing w:val="4"/>
                <w:sz w:val="20"/>
                <w:szCs w:val="20"/>
              </w:rPr>
              <w:t>气筒</w:t>
            </w:r>
          </w:p>
        </w:tc>
        <w:tc>
          <w:tcPr>
            <w:tcW w:w="465" w:type="dxa"/>
            <w:vAlign w:val="top"/>
          </w:tcPr>
          <w:p w14:paraId="55EF155F">
            <w:pPr>
              <w:spacing w:before="90" w:line="313" w:lineRule="exact"/>
              <w:ind w:left="83"/>
              <w:rPr>
                <w:rFonts w:ascii="Times New Roman" w:hAnsi="Times New Roman" w:eastAsia="Times New Roman" w:cs="Times New Roman"/>
                <w:sz w:val="20"/>
                <w:szCs w:val="20"/>
              </w:rPr>
            </w:pPr>
            <w:r>
              <w:rPr>
                <w:rFonts w:ascii="Times New Roman" w:hAnsi="Times New Roman" w:eastAsia="Times New Roman" w:cs="Times New Roman"/>
                <w:spacing w:val="5"/>
                <w:position w:val="11"/>
                <w:sz w:val="20"/>
                <w:szCs w:val="20"/>
              </w:rPr>
              <w:t>D</w:t>
            </w:r>
            <w:r>
              <w:rPr>
                <w:rFonts w:ascii="Times New Roman" w:hAnsi="Times New Roman" w:eastAsia="Times New Roman" w:cs="Times New Roman"/>
                <w:spacing w:val="4"/>
                <w:position w:val="11"/>
                <w:sz w:val="20"/>
                <w:szCs w:val="20"/>
              </w:rPr>
              <w:t>A</w:t>
            </w:r>
          </w:p>
          <w:p w14:paraId="0006E993">
            <w:pPr>
              <w:spacing w:line="194" w:lineRule="auto"/>
              <w:ind w:left="7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02</w:t>
            </w:r>
          </w:p>
        </w:tc>
        <w:tc>
          <w:tcPr>
            <w:tcW w:w="697" w:type="dxa"/>
            <w:vAlign w:val="top"/>
          </w:tcPr>
          <w:p w14:paraId="0F9E0B72">
            <w:pPr>
              <w:spacing w:before="90" w:line="312" w:lineRule="exact"/>
              <w:ind w:left="58"/>
              <w:rPr>
                <w:rFonts w:ascii="Times New Roman" w:hAnsi="Times New Roman" w:eastAsia="Times New Roman" w:cs="Times New Roman"/>
                <w:sz w:val="20"/>
                <w:szCs w:val="20"/>
              </w:rPr>
            </w:pPr>
            <w:r>
              <w:rPr>
                <w:rFonts w:ascii="Times New Roman" w:hAnsi="Times New Roman" w:eastAsia="Times New Roman" w:cs="Times New Roman"/>
                <w:spacing w:val="-13"/>
                <w:position w:val="11"/>
                <w:sz w:val="20"/>
                <w:szCs w:val="20"/>
              </w:rPr>
              <w:t>1</w:t>
            </w:r>
            <w:r>
              <w:rPr>
                <w:rFonts w:ascii="Times New Roman" w:hAnsi="Times New Roman" w:eastAsia="Times New Roman" w:cs="Times New Roman"/>
                <w:spacing w:val="-12"/>
                <w:position w:val="11"/>
                <w:sz w:val="20"/>
                <w:szCs w:val="20"/>
              </w:rPr>
              <w:t>23°42′3</w:t>
            </w:r>
          </w:p>
          <w:p w14:paraId="20223B64">
            <w:pPr>
              <w:spacing w:line="194" w:lineRule="auto"/>
              <w:ind w:left="38"/>
              <w:rPr>
                <w:rFonts w:ascii="Times New Roman" w:hAnsi="Times New Roman" w:eastAsia="Times New Roman" w:cs="Times New Roman"/>
                <w:sz w:val="20"/>
                <w:szCs w:val="20"/>
              </w:rPr>
            </w:pPr>
            <w:r>
              <w:rPr>
                <w:rFonts w:ascii="Times New Roman" w:hAnsi="Times New Roman" w:eastAsia="Times New Roman" w:cs="Times New Roman"/>
                <w:spacing w:val="-17"/>
                <w:sz w:val="20"/>
                <w:szCs w:val="20"/>
              </w:rPr>
              <w:t>3</w:t>
            </w:r>
            <w:r>
              <w:rPr>
                <w:rFonts w:ascii="Times New Roman" w:hAnsi="Times New Roman" w:eastAsia="Times New Roman" w:cs="Times New Roman"/>
                <w:spacing w:val="-11"/>
                <w:sz w:val="20"/>
                <w:szCs w:val="20"/>
              </w:rPr>
              <w:t>.18310″</w:t>
            </w:r>
          </w:p>
        </w:tc>
        <w:tc>
          <w:tcPr>
            <w:tcW w:w="698" w:type="dxa"/>
            <w:vAlign w:val="top"/>
          </w:tcPr>
          <w:p w14:paraId="396B7102">
            <w:pPr>
              <w:spacing w:before="90" w:line="312" w:lineRule="exact"/>
              <w:ind w:left="20"/>
              <w:rPr>
                <w:rFonts w:ascii="Times New Roman" w:hAnsi="Times New Roman" w:eastAsia="Times New Roman" w:cs="Times New Roman"/>
                <w:sz w:val="20"/>
                <w:szCs w:val="20"/>
              </w:rPr>
            </w:pPr>
            <w:r>
              <w:rPr>
                <w:rFonts w:ascii="Times New Roman" w:hAnsi="Times New Roman" w:eastAsia="Times New Roman" w:cs="Times New Roman"/>
                <w:spacing w:val="-13"/>
                <w:position w:val="11"/>
                <w:sz w:val="20"/>
                <w:szCs w:val="20"/>
              </w:rPr>
              <w:t>4</w:t>
            </w:r>
            <w:r>
              <w:rPr>
                <w:rFonts w:ascii="Times New Roman" w:hAnsi="Times New Roman" w:eastAsia="Times New Roman" w:cs="Times New Roman"/>
                <w:spacing w:val="-11"/>
                <w:position w:val="11"/>
                <w:sz w:val="20"/>
                <w:szCs w:val="20"/>
              </w:rPr>
              <w:t>1°21′54.</w:t>
            </w:r>
          </w:p>
          <w:p w14:paraId="65396F32">
            <w:pPr>
              <w:spacing w:line="194" w:lineRule="auto"/>
              <w:ind w:left="94"/>
              <w:rPr>
                <w:rFonts w:ascii="Times New Roman" w:hAnsi="Times New Roman" w:eastAsia="Times New Roman" w:cs="Times New Roman"/>
                <w:sz w:val="20"/>
                <w:szCs w:val="20"/>
              </w:rPr>
            </w:pPr>
            <w:r>
              <w:rPr>
                <w:rFonts w:ascii="Times New Roman" w:hAnsi="Times New Roman" w:eastAsia="Times New Roman" w:cs="Times New Roman"/>
                <w:spacing w:val="-11"/>
                <w:sz w:val="20"/>
                <w:szCs w:val="20"/>
              </w:rPr>
              <w:t>4</w:t>
            </w:r>
            <w:r>
              <w:rPr>
                <w:rFonts w:ascii="Times New Roman" w:hAnsi="Times New Roman" w:eastAsia="Times New Roman" w:cs="Times New Roman"/>
                <w:spacing w:val="-7"/>
                <w:sz w:val="20"/>
                <w:szCs w:val="20"/>
              </w:rPr>
              <w:t>3257″</w:t>
            </w:r>
          </w:p>
        </w:tc>
        <w:tc>
          <w:tcPr>
            <w:tcW w:w="495" w:type="dxa"/>
            <w:vAlign w:val="top"/>
          </w:tcPr>
          <w:p w14:paraId="169C1E99">
            <w:pPr>
              <w:spacing w:before="246" w:line="195" w:lineRule="auto"/>
              <w:ind w:left="19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465" w:type="dxa"/>
            <w:vAlign w:val="top"/>
          </w:tcPr>
          <w:p w14:paraId="52B3C1F0">
            <w:pPr>
              <w:spacing w:before="246" w:line="195" w:lineRule="auto"/>
              <w:ind w:left="14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c>
          <w:tcPr>
            <w:tcW w:w="465" w:type="dxa"/>
            <w:vAlign w:val="top"/>
          </w:tcPr>
          <w:p w14:paraId="60FE7054">
            <w:pPr>
              <w:spacing w:before="247"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.5</w:t>
            </w:r>
          </w:p>
        </w:tc>
        <w:tc>
          <w:tcPr>
            <w:tcW w:w="519" w:type="dxa"/>
            <w:vAlign w:val="top"/>
          </w:tcPr>
          <w:p w14:paraId="1DF98E7A">
            <w:pPr>
              <w:spacing w:before="247" w:line="195" w:lineRule="auto"/>
              <w:ind w:left="13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.5</w:t>
            </w:r>
          </w:p>
        </w:tc>
        <w:tc>
          <w:tcPr>
            <w:tcW w:w="562" w:type="dxa"/>
            <w:vAlign w:val="top"/>
          </w:tcPr>
          <w:p w14:paraId="2F2B1BDF">
            <w:pPr>
              <w:spacing w:before="246" w:line="195" w:lineRule="auto"/>
              <w:ind w:left="1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5</w:t>
            </w:r>
          </w:p>
        </w:tc>
        <w:tc>
          <w:tcPr>
            <w:tcW w:w="509" w:type="dxa"/>
            <w:vAlign w:val="top"/>
          </w:tcPr>
          <w:p w14:paraId="1FCC7884">
            <w:pPr>
              <w:spacing w:before="246" w:line="195" w:lineRule="auto"/>
              <w:ind w:left="4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7</w:t>
            </w:r>
            <w:r>
              <w:rPr>
                <w:rFonts w:ascii="Times New Roman" w:hAnsi="Times New Roman" w:eastAsia="Times New Roman" w:cs="Times New Roman"/>
                <w:spacing w:val="3"/>
                <w:sz w:val="20"/>
                <w:szCs w:val="20"/>
              </w:rPr>
              <w:t>200</w:t>
            </w:r>
          </w:p>
        </w:tc>
        <w:tc>
          <w:tcPr>
            <w:tcW w:w="508" w:type="dxa"/>
            <w:vAlign w:val="top"/>
          </w:tcPr>
          <w:p w14:paraId="77EB9A9E">
            <w:pPr>
              <w:spacing w:before="55" w:line="258" w:lineRule="auto"/>
              <w:ind w:left="51" w:right="44" w:firstLine="1"/>
              <w:rPr>
                <w:rFonts w:ascii="宋体" w:hAnsi="宋体" w:eastAsia="宋体" w:cs="宋体"/>
                <w:sz w:val="20"/>
                <w:szCs w:val="20"/>
              </w:rPr>
            </w:pPr>
            <w:r>
              <w:rPr>
                <w:rFonts w:ascii="宋体" w:hAnsi="宋体" w:eastAsia="宋体" w:cs="宋体"/>
                <w:spacing w:val="3"/>
                <w:sz w:val="20"/>
                <w:szCs w:val="20"/>
              </w:rPr>
              <w:t>正</w:t>
            </w:r>
            <w:r>
              <w:rPr>
                <w:rFonts w:ascii="宋体" w:hAnsi="宋体" w:eastAsia="宋体" w:cs="宋体"/>
                <w:spacing w:val="2"/>
                <w:sz w:val="20"/>
                <w:szCs w:val="20"/>
              </w:rPr>
              <w:t>常</w:t>
            </w:r>
            <w:r>
              <w:rPr>
                <w:rFonts w:ascii="宋体" w:hAnsi="宋体" w:eastAsia="宋体" w:cs="宋体"/>
                <w:sz w:val="20"/>
                <w:szCs w:val="20"/>
              </w:rPr>
              <w:t xml:space="preserve"> </w:t>
            </w:r>
            <w:r>
              <w:rPr>
                <w:rFonts w:ascii="宋体" w:hAnsi="宋体" w:eastAsia="宋体" w:cs="宋体"/>
                <w:spacing w:val="4"/>
                <w:sz w:val="20"/>
                <w:szCs w:val="20"/>
              </w:rPr>
              <w:t>工</w:t>
            </w:r>
            <w:r>
              <w:rPr>
                <w:rFonts w:ascii="宋体" w:hAnsi="宋体" w:eastAsia="宋体" w:cs="宋体"/>
                <w:spacing w:val="3"/>
                <w:sz w:val="20"/>
                <w:szCs w:val="20"/>
              </w:rPr>
              <w:t>况</w:t>
            </w:r>
          </w:p>
        </w:tc>
        <w:tc>
          <w:tcPr>
            <w:tcW w:w="710" w:type="dxa"/>
            <w:vAlign w:val="top"/>
          </w:tcPr>
          <w:p w14:paraId="6A16B6B1">
            <w:pPr>
              <w:spacing w:before="247" w:line="195" w:lineRule="auto"/>
              <w:ind w:left="18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w:t>
            </w:r>
            <w:r>
              <w:rPr>
                <w:rFonts w:ascii="Times New Roman" w:hAnsi="Times New Roman" w:eastAsia="Times New Roman" w:cs="Times New Roman"/>
                <w:spacing w:val="-1"/>
                <w:sz w:val="20"/>
                <w:szCs w:val="20"/>
              </w:rPr>
              <w:t>.16</w:t>
            </w:r>
          </w:p>
        </w:tc>
        <w:tc>
          <w:tcPr>
            <w:tcW w:w="397" w:type="dxa"/>
            <w:vAlign w:val="top"/>
          </w:tcPr>
          <w:p w14:paraId="53A1846C">
            <w:pPr>
              <w:spacing w:before="173" w:line="281" w:lineRule="exact"/>
              <w:ind w:left="16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431" w:type="dxa"/>
            <w:vAlign w:val="top"/>
          </w:tcPr>
          <w:p w14:paraId="633AFB92">
            <w:pPr>
              <w:spacing w:before="173" w:line="281" w:lineRule="exact"/>
              <w:ind w:left="187"/>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518" w:type="dxa"/>
            <w:tcBorders>
              <w:right w:val="nil"/>
            </w:tcBorders>
            <w:vAlign w:val="top"/>
          </w:tcPr>
          <w:p w14:paraId="4A0C74A2">
            <w:pPr>
              <w:spacing w:before="173" w:line="281" w:lineRule="exact"/>
              <w:ind w:left="23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r>
      <w:tr w14:paraId="2F819E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244" w:type="dxa"/>
            <w:tcBorders>
              <w:left w:val="nil"/>
            </w:tcBorders>
            <w:vAlign w:val="top"/>
          </w:tcPr>
          <w:p w14:paraId="77622870">
            <w:pPr>
              <w:spacing w:before="187" w:line="195" w:lineRule="auto"/>
              <w:ind w:left="92"/>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622" w:type="dxa"/>
            <w:tcBorders>
              <w:left w:val="nil"/>
            </w:tcBorders>
            <w:vAlign w:val="top"/>
          </w:tcPr>
          <w:p w14:paraId="1B922532">
            <w:pPr>
              <w:spacing w:before="17" w:line="293" w:lineRule="auto"/>
              <w:ind w:left="124" w:right="83"/>
              <w:rPr>
                <w:rFonts w:ascii="宋体" w:hAnsi="宋体" w:eastAsia="宋体" w:cs="宋体"/>
                <w:sz w:val="20"/>
                <w:szCs w:val="20"/>
              </w:rPr>
            </w:pPr>
            <w:r>
              <w:rPr>
                <w:rFonts w:ascii="Times New Roman" w:hAnsi="Times New Roman" w:eastAsia="Times New Roman" w:cs="Times New Roman"/>
                <w:spacing w:val="3"/>
                <w:sz w:val="20"/>
                <w:szCs w:val="20"/>
              </w:rPr>
              <w:t>3#</w:t>
            </w:r>
            <w:r>
              <w:rPr>
                <w:rFonts w:ascii="宋体" w:hAnsi="宋体" w:eastAsia="宋体" w:cs="宋体"/>
                <w:spacing w:val="3"/>
                <w:sz w:val="20"/>
                <w:szCs w:val="20"/>
              </w:rPr>
              <w:t>排</w:t>
            </w:r>
            <w:r>
              <w:rPr>
                <w:rFonts w:ascii="宋体" w:hAnsi="宋体" w:eastAsia="宋体" w:cs="宋体"/>
                <w:sz w:val="20"/>
                <w:szCs w:val="20"/>
              </w:rPr>
              <w:t xml:space="preserve"> </w:t>
            </w:r>
            <w:r>
              <w:rPr>
                <w:rFonts w:ascii="宋体" w:hAnsi="宋体" w:eastAsia="宋体" w:cs="宋体"/>
                <w:spacing w:val="4"/>
                <w:sz w:val="20"/>
                <w:szCs w:val="20"/>
              </w:rPr>
              <w:t>气筒</w:t>
            </w:r>
          </w:p>
        </w:tc>
        <w:tc>
          <w:tcPr>
            <w:tcW w:w="465" w:type="dxa"/>
            <w:vAlign w:val="top"/>
          </w:tcPr>
          <w:p w14:paraId="33A18EF3">
            <w:pPr>
              <w:spacing w:before="91" w:line="312" w:lineRule="exact"/>
              <w:ind w:left="83"/>
              <w:rPr>
                <w:rFonts w:ascii="Times New Roman" w:hAnsi="Times New Roman" w:eastAsia="Times New Roman" w:cs="Times New Roman"/>
                <w:sz w:val="20"/>
                <w:szCs w:val="20"/>
              </w:rPr>
            </w:pPr>
            <w:r>
              <w:rPr>
                <w:rFonts w:ascii="Times New Roman" w:hAnsi="Times New Roman" w:eastAsia="Times New Roman" w:cs="Times New Roman"/>
                <w:spacing w:val="5"/>
                <w:position w:val="11"/>
                <w:sz w:val="20"/>
                <w:szCs w:val="20"/>
              </w:rPr>
              <w:t>D</w:t>
            </w:r>
            <w:r>
              <w:rPr>
                <w:rFonts w:ascii="Times New Roman" w:hAnsi="Times New Roman" w:eastAsia="Times New Roman" w:cs="Times New Roman"/>
                <w:spacing w:val="4"/>
                <w:position w:val="11"/>
                <w:sz w:val="20"/>
                <w:szCs w:val="20"/>
              </w:rPr>
              <w:t>A</w:t>
            </w:r>
          </w:p>
          <w:p w14:paraId="7AC43969">
            <w:pPr>
              <w:spacing w:line="194" w:lineRule="auto"/>
              <w:ind w:left="7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03</w:t>
            </w:r>
          </w:p>
        </w:tc>
        <w:tc>
          <w:tcPr>
            <w:tcW w:w="697" w:type="dxa"/>
            <w:vAlign w:val="top"/>
          </w:tcPr>
          <w:p w14:paraId="414B4E76">
            <w:pPr>
              <w:spacing w:before="91" w:line="312" w:lineRule="exact"/>
              <w:ind w:left="58"/>
              <w:rPr>
                <w:rFonts w:ascii="Times New Roman" w:hAnsi="Times New Roman" w:eastAsia="Times New Roman" w:cs="Times New Roman"/>
                <w:sz w:val="20"/>
                <w:szCs w:val="20"/>
              </w:rPr>
            </w:pPr>
            <w:r>
              <w:rPr>
                <w:rFonts w:ascii="Times New Roman" w:hAnsi="Times New Roman" w:eastAsia="Times New Roman" w:cs="Times New Roman"/>
                <w:spacing w:val="-13"/>
                <w:position w:val="11"/>
                <w:sz w:val="20"/>
                <w:szCs w:val="20"/>
              </w:rPr>
              <w:t>1</w:t>
            </w:r>
            <w:r>
              <w:rPr>
                <w:rFonts w:ascii="Times New Roman" w:hAnsi="Times New Roman" w:eastAsia="Times New Roman" w:cs="Times New Roman"/>
                <w:spacing w:val="-12"/>
                <w:position w:val="11"/>
                <w:sz w:val="20"/>
                <w:szCs w:val="20"/>
              </w:rPr>
              <w:t>23°42′3</w:t>
            </w:r>
          </w:p>
          <w:p w14:paraId="5066E314">
            <w:pPr>
              <w:spacing w:line="194" w:lineRule="auto"/>
              <w:ind w:left="38"/>
              <w:rPr>
                <w:rFonts w:ascii="Times New Roman" w:hAnsi="Times New Roman" w:eastAsia="Times New Roman" w:cs="Times New Roman"/>
                <w:sz w:val="20"/>
                <w:szCs w:val="20"/>
              </w:rPr>
            </w:pPr>
            <w:r>
              <w:rPr>
                <w:rFonts w:ascii="Times New Roman" w:hAnsi="Times New Roman" w:eastAsia="Times New Roman" w:cs="Times New Roman"/>
                <w:spacing w:val="-17"/>
                <w:sz w:val="20"/>
                <w:szCs w:val="20"/>
              </w:rPr>
              <w:t>3</w:t>
            </w:r>
            <w:r>
              <w:rPr>
                <w:rFonts w:ascii="Times New Roman" w:hAnsi="Times New Roman" w:eastAsia="Times New Roman" w:cs="Times New Roman"/>
                <w:spacing w:val="-11"/>
                <w:sz w:val="20"/>
                <w:szCs w:val="20"/>
              </w:rPr>
              <w:t>.91695″</w:t>
            </w:r>
          </w:p>
        </w:tc>
        <w:tc>
          <w:tcPr>
            <w:tcW w:w="698" w:type="dxa"/>
            <w:vAlign w:val="top"/>
          </w:tcPr>
          <w:p w14:paraId="1E44B49B">
            <w:pPr>
              <w:spacing w:before="91" w:line="312" w:lineRule="exact"/>
              <w:ind w:left="20"/>
              <w:rPr>
                <w:rFonts w:ascii="Times New Roman" w:hAnsi="Times New Roman" w:eastAsia="Times New Roman" w:cs="Times New Roman"/>
                <w:sz w:val="20"/>
                <w:szCs w:val="20"/>
              </w:rPr>
            </w:pPr>
            <w:r>
              <w:rPr>
                <w:rFonts w:ascii="Times New Roman" w:hAnsi="Times New Roman" w:eastAsia="Times New Roman" w:cs="Times New Roman"/>
                <w:spacing w:val="-13"/>
                <w:position w:val="11"/>
                <w:sz w:val="20"/>
                <w:szCs w:val="20"/>
              </w:rPr>
              <w:t>4</w:t>
            </w:r>
            <w:r>
              <w:rPr>
                <w:rFonts w:ascii="Times New Roman" w:hAnsi="Times New Roman" w:eastAsia="Times New Roman" w:cs="Times New Roman"/>
                <w:spacing w:val="-11"/>
                <w:position w:val="11"/>
                <w:sz w:val="20"/>
                <w:szCs w:val="20"/>
              </w:rPr>
              <w:t>1°21′55.</w:t>
            </w:r>
          </w:p>
          <w:p w14:paraId="144865D6">
            <w:pPr>
              <w:spacing w:line="194" w:lineRule="auto"/>
              <w:ind w:left="98"/>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0</w:t>
            </w:r>
            <w:r>
              <w:rPr>
                <w:rFonts w:ascii="Times New Roman" w:hAnsi="Times New Roman" w:eastAsia="Times New Roman" w:cs="Times New Roman"/>
                <w:spacing w:val="-8"/>
                <w:sz w:val="20"/>
                <w:szCs w:val="20"/>
              </w:rPr>
              <w:t>5054″</w:t>
            </w:r>
          </w:p>
        </w:tc>
        <w:tc>
          <w:tcPr>
            <w:tcW w:w="495" w:type="dxa"/>
            <w:vAlign w:val="top"/>
          </w:tcPr>
          <w:p w14:paraId="33889F0A">
            <w:pPr>
              <w:spacing w:before="247" w:line="195" w:lineRule="auto"/>
              <w:ind w:left="19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465" w:type="dxa"/>
            <w:vAlign w:val="top"/>
          </w:tcPr>
          <w:p w14:paraId="659D4EF3">
            <w:pPr>
              <w:spacing w:before="247" w:line="195" w:lineRule="auto"/>
              <w:ind w:left="14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c>
          <w:tcPr>
            <w:tcW w:w="465" w:type="dxa"/>
            <w:vAlign w:val="top"/>
          </w:tcPr>
          <w:p w14:paraId="632E0D1A">
            <w:pPr>
              <w:spacing w:before="247"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.5</w:t>
            </w:r>
          </w:p>
        </w:tc>
        <w:tc>
          <w:tcPr>
            <w:tcW w:w="519" w:type="dxa"/>
            <w:vAlign w:val="top"/>
          </w:tcPr>
          <w:p w14:paraId="6BD37993">
            <w:pPr>
              <w:spacing w:before="247" w:line="195" w:lineRule="auto"/>
              <w:ind w:left="13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.5</w:t>
            </w:r>
          </w:p>
        </w:tc>
        <w:tc>
          <w:tcPr>
            <w:tcW w:w="562" w:type="dxa"/>
            <w:vAlign w:val="top"/>
          </w:tcPr>
          <w:p w14:paraId="466195B6">
            <w:pPr>
              <w:spacing w:before="247" w:line="195"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100</w:t>
            </w:r>
          </w:p>
        </w:tc>
        <w:tc>
          <w:tcPr>
            <w:tcW w:w="509" w:type="dxa"/>
            <w:vAlign w:val="top"/>
          </w:tcPr>
          <w:p w14:paraId="4035EA1F">
            <w:pPr>
              <w:spacing w:before="247" w:line="195" w:lineRule="auto"/>
              <w:ind w:left="6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1800</w:t>
            </w:r>
          </w:p>
        </w:tc>
        <w:tc>
          <w:tcPr>
            <w:tcW w:w="508" w:type="dxa"/>
            <w:vAlign w:val="top"/>
          </w:tcPr>
          <w:p w14:paraId="03839B5D">
            <w:pPr>
              <w:spacing w:before="55" w:line="258" w:lineRule="auto"/>
              <w:ind w:left="51" w:right="44" w:firstLine="1"/>
              <w:rPr>
                <w:rFonts w:ascii="宋体" w:hAnsi="宋体" w:eastAsia="宋体" w:cs="宋体"/>
                <w:sz w:val="20"/>
                <w:szCs w:val="20"/>
              </w:rPr>
            </w:pPr>
            <w:r>
              <w:rPr>
                <w:rFonts w:ascii="宋体" w:hAnsi="宋体" w:eastAsia="宋体" w:cs="宋体"/>
                <w:spacing w:val="3"/>
                <w:sz w:val="20"/>
                <w:szCs w:val="20"/>
              </w:rPr>
              <w:t>正</w:t>
            </w:r>
            <w:r>
              <w:rPr>
                <w:rFonts w:ascii="宋体" w:hAnsi="宋体" w:eastAsia="宋体" w:cs="宋体"/>
                <w:spacing w:val="2"/>
                <w:sz w:val="20"/>
                <w:szCs w:val="20"/>
              </w:rPr>
              <w:t>常</w:t>
            </w:r>
            <w:r>
              <w:rPr>
                <w:rFonts w:ascii="宋体" w:hAnsi="宋体" w:eastAsia="宋体" w:cs="宋体"/>
                <w:sz w:val="20"/>
                <w:szCs w:val="20"/>
              </w:rPr>
              <w:t xml:space="preserve"> </w:t>
            </w:r>
            <w:r>
              <w:rPr>
                <w:rFonts w:ascii="宋体" w:hAnsi="宋体" w:eastAsia="宋体" w:cs="宋体"/>
                <w:spacing w:val="4"/>
                <w:sz w:val="20"/>
                <w:szCs w:val="20"/>
              </w:rPr>
              <w:t>工</w:t>
            </w:r>
            <w:r>
              <w:rPr>
                <w:rFonts w:ascii="宋体" w:hAnsi="宋体" w:eastAsia="宋体" w:cs="宋体"/>
                <w:spacing w:val="3"/>
                <w:sz w:val="20"/>
                <w:szCs w:val="20"/>
              </w:rPr>
              <w:t>况</w:t>
            </w:r>
          </w:p>
        </w:tc>
        <w:tc>
          <w:tcPr>
            <w:tcW w:w="710" w:type="dxa"/>
            <w:vAlign w:val="top"/>
          </w:tcPr>
          <w:p w14:paraId="4C9F3A33">
            <w:pPr>
              <w:spacing w:before="173" w:line="281" w:lineRule="exact"/>
              <w:ind w:left="327"/>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397" w:type="dxa"/>
            <w:vAlign w:val="top"/>
          </w:tcPr>
          <w:p w14:paraId="7F1DE15B">
            <w:pPr>
              <w:spacing w:before="247" w:line="195" w:lineRule="auto"/>
              <w:ind w:left="3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w:t>
            </w:r>
            <w:r>
              <w:rPr>
                <w:rFonts w:ascii="Times New Roman" w:hAnsi="Times New Roman" w:eastAsia="Times New Roman" w:cs="Times New Roman"/>
                <w:spacing w:val="-1"/>
                <w:sz w:val="20"/>
                <w:szCs w:val="20"/>
              </w:rPr>
              <w:t>.63</w:t>
            </w:r>
          </w:p>
        </w:tc>
        <w:tc>
          <w:tcPr>
            <w:tcW w:w="431" w:type="dxa"/>
            <w:vAlign w:val="top"/>
          </w:tcPr>
          <w:p w14:paraId="64F49C69">
            <w:pPr>
              <w:spacing w:before="247" w:line="195" w:lineRule="auto"/>
              <w:ind w:left="4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w:t>
            </w:r>
            <w:r>
              <w:rPr>
                <w:rFonts w:ascii="Times New Roman" w:hAnsi="Times New Roman" w:eastAsia="Times New Roman" w:cs="Times New Roman"/>
                <w:spacing w:val="-1"/>
                <w:sz w:val="20"/>
                <w:szCs w:val="20"/>
              </w:rPr>
              <w:t>.38</w:t>
            </w:r>
          </w:p>
        </w:tc>
        <w:tc>
          <w:tcPr>
            <w:tcW w:w="518" w:type="dxa"/>
            <w:tcBorders>
              <w:right w:val="nil"/>
            </w:tcBorders>
            <w:vAlign w:val="top"/>
          </w:tcPr>
          <w:p w14:paraId="3F322492">
            <w:pPr>
              <w:spacing w:before="247" w:line="195" w:lineRule="auto"/>
              <w:ind w:left="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w:t>
            </w:r>
            <w:r>
              <w:rPr>
                <w:rFonts w:ascii="Times New Roman" w:hAnsi="Times New Roman" w:eastAsia="Times New Roman" w:cs="Times New Roman"/>
                <w:spacing w:val="-1"/>
                <w:sz w:val="20"/>
                <w:szCs w:val="20"/>
              </w:rPr>
              <w:t>.001</w:t>
            </w:r>
          </w:p>
        </w:tc>
      </w:tr>
    </w:tbl>
    <w:p w14:paraId="37C9F75C">
      <w:pPr>
        <w:rPr>
          <w:rFonts w:ascii="Arial"/>
          <w:sz w:val="21"/>
        </w:rPr>
      </w:pPr>
    </w:p>
    <w:p w14:paraId="456EB9DC">
      <w:pPr>
        <w:sectPr>
          <w:footerReference r:id="rId206" w:type="default"/>
          <w:pgSz w:w="11906" w:h="16839"/>
          <w:pgMar w:top="1132" w:right="1691" w:bottom="1182" w:left="1691" w:header="878" w:footer="1022" w:gutter="0"/>
          <w:cols w:space="720" w:num="1"/>
        </w:sectPr>
      </w:pPr>
    </w:p>
    <w:p w14:paraId="7C35AB36">
      <w:pPr>
        <w:spacing w:line="409" w:lineRule="auto"/>
        <w:rPr>
          <w:rFonts w:ascii="Arial"/>
          <w:sz w:val="21"/>
        </w:rPr>
      </w:pPr>
      <w:r>
        <w:pict>
          <v:shape id="_x0000_s1256" o:spid="_x0000_s1256" style="position:absolute;left:0pt;margin-left:90pt;margin-top:57.35pt;height:0.75pt;width:415.3pt;mso-position-horizontal-relative:page;mso-position-vertical-relative:page;z-index:251915264;mso-width-relative:page;mso-height-relative:page;" fillcolor="#000000" filled="t" stroked="f" coordsize="8305,15" o:allowincell="f" path="m0,0l8305,0,8305,14,0,14,0,0xe">
            <v:path/>
            <v:fill on="t" focussize="0,0"/>
            <v:stroke on="f"/>
            <v:imagedata o:title=""/>
            <o:lock v:ext="edit"/>
          </v:shape>
        </w:pict>
      </w:r>
    </w:p>
    <w:p w14:paraId="44124489">
      <w:pPr>
        <w:spacing w:before="74" w:line="227" w:lineRule="auto"/>
        <w:ind w:left="3038"/>
        <w:rPr>
          <w:rFonts w:ascii="宋体" w:hAnsi="宋体" w:eastAsia="宋体" w:cs="宋体"/>
          <w:sz w:val="23"/>
          <w:szCs w:val="23"/>
        </w:rPr>
      </w:pPr>
      <w:r>
        <w:rPr>
          <w:rFonts w:ascii="宋体" w:hAnsi="宋体" w:eastAsia="宋体" w:cs="宋体"/>
          <w:spacing w:val="2"/>
          <w:sz w:val="23"/>
          <w:szCs w:val="23"/>
          <w14:textOutline w14:w="4358" w14:cap="sq" w14:cmpd="sng">
            <w14:solidFill>
              <w14:srgbClr w14:val="000000"/>
            </w14:solidFill>
            <w14:prstDash w14:val="solid"/>
            <w14:bevel/>
          </w14:textOutline>
        </w:rPr>
        <w:t>表</w:t>
      </w:r>
      <w:r>
        <w:rPr>
          <w:rFonts w:ascii="宋体" w:hAnsi="宋体" w:eastAsia="宋体" w:cs="宋体"/>
          <w:spacing w:val="2"/>
          <w:sz w:val="23"/>
          <w:szCs w:val="23"/>
        </w:rPr>
        <w:t xml:space="preserve"> </w:t>
      </w:r>
      <w:r>
        <w:rPr>
          <w:rFonts w:ascii="Times New Roman" w:hAnsi="Times New Roman" w:eastAsia="Times New Roman" w:cs="Times New Roman"/>
          <w:b/>
          <w:bCs/>
          <w:spacing w:val="2"/>
          <w:sz w:val="23"/>
          <w:szCs w:val="23"/>
        </w:rPr>
        <w:t>5-7</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14:textOutline w14:w="4358" w14:cap="sq" w14:cmpd="sng">
            <w14:solidFill>
              <w14:srgbClr w14:val="000000"/>
            </w14:solidFill>
            <w14:prstDash w14:val="solid"/>
            <w14:bevel/>
          </w14:textOutline>
        </w:rPr>
        <w:t>面源参数表</w:t>
      </w:r>
    </w:p>
    <w:p w14:paraId="56A79BB9">
      <w:pPr>
        <w:spacing w:line="17" w:lineRule="exact"/>
      </w:pPr>
    </w:p>
    <w:tbl>
      <w:tblPr>
        <w:tblStyle w:val="4"/>
        <w:tblW w:w="8351"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2"/>
        <w:gridCol w:w="513"/>
        <w:gridCol w:w="812"/>
        <w:gridCol w:w="765"/>
        <w:gridCol w:w="734"/>
        <w:gridCol w:w="523"/>
        <w:gridCol w:w="597"/>
        <w:gridCol w:w="717"/>
        <w:gridCol w:w="717"/>
        <w:gridCol w:w="672"/>
        <w:gridCol w:w="510"/>
        <w:gridCol w:w="629"/>
        <w:gridCol w:w="750"/>
      </w:tblGrid>
      <w:tr w14:paraId="1F4927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412" w:type="dxa"/>
            <w:vMerge w:val="restart"/>
            <w:tcBorders>
              <w:left w:val="nil"/>
              <w:bottom w:val="nil"/>
            </w:tcBorders>
            <w:textDirection w:val="tbRlV"/>
            <w:vAlign w:val="top"/>
          </w:tcPr>
          <w:p w14:paraId="134F3FDC">
            <w:pPr>
              <w:spacing w:before="100" w:line="214" w:lineRule="auto"/>
              <w:ind w:left="236"/>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编</w:t>
            </w:r>
            <w:r>
              <w:rPr>
                <w:rFonts w:ascii="宋体" w:hAnsi="宋体" w:eastAsia="宋体" w:cs="宋体"/>
                <w:spacing w:val="7"/>
                <w:sz w:val="20"/>
                <w:szCs w:val="20"/>
              </w:rPr>
              <w:t xml:space="preserve"> </w:t>
            </w:r>
            <w:r>
              <w:rPr>
                <w:rFonts w:ascii="宋体" w:hAnsi="宋体" w:eastAsia="宋体" w:cs="宋体"/>
                <w:spacing w:val="6"/>
                <w:sz w:val="20"/>
                <w:szCs w:val="20"/>
                <w14:textOutline w14:w="3795" w14:cap="sq" w14:cmpd="sng">
                  <w14:solidFill>
                    <w14:srgbClr w14:val="000000"/>
                  </w14:solidFill>
                  <w14:prstDash w14:val="solid"/>
                  <w14:bevel/>
                </w14:textOutline>
              </w:rPr>
              <w:t>号</w:t>
            </w:r>
          </w:p>
        </w:tc>
        <w:tc>
          <w:tcPr>
            <w:tcW w:w="513" w:type="dxa"/>
            <w:vMerge w:val="restart"/>
            <w:tcBorders>
              <w:bottom w:val="nil"/>
            </w:tcBorders>
            <w:vAlign w:val="top"/>
          </w:tcPr>
          <w:p w14:paraId="7397F9B4">
            <w:pPr>
              <w:spacing w:line="325" w:lineRule="auto"/>
              <w:rPr>
                <w:rFonts w:ascii="Arial"/>
                <w:sz w:val="21"/>
              </w:rPr>
            </w:pPr>
          </w:p>
          <w:p w14:paraId="5D790643">
            <w:pPr>
              <w:spacing w:before="65" w:line="230" w:lineRule="auto"/>
              <w:ind w:left="53"/>
              <w:rPr>
                <w:rFonts w:ascii="宋体" w:hAnsi="宋体" w:eastAsia="宋体" w:cs="宋体"/>
                <w:sz w:val="20"/>
                <w:szCs w:val="20"/>
              </w:rPr>
            </w:pPr>
            <w:r>
              <w:rPr>
                <w:rFonts w:ascii="宋体" w:hAnsi="宋体" w:eastAsia="宋体" w:cs="宋体"/>
                <w:spacing w:val="5"/>
                <w:sz w:val="20"/>
                <w:szCs w:val="20"/>
                <w14:textOutline w14:w="3795" w14:cap="sq" w14:cmpd="sng">
                  <w14:solidFill>
                    <w14:srgbClr w14:val="000000"/>
                  </w14:solidFill>
                  <w14:prstDash w14:val="solid"/>
                  <w14:bevel/>
                </w14:textOutline>
              </w:rPr>
              <w:t>名</w:t>
            </w:r>
            <w:r>
              <w:rPr>
                <w:rFonts w:ascii="宋体" w:hAnsi="宋体" w:eastAsia="宋体" w:cs="宋体"/>
                <w:spacing w:val="4"/>
                <w:sz w:val="20"/>
                <w:szCs w:val="20"/>
                <w14:textOutline w14:w="3795" w14:cap="sq" w14:cmpd="sng">
                  <w14:solidFill>
                    <w14:srgbClr w14:val="000000"/>
                  </w14:solidFill>
                  <w14:prstDash w14:val="solid"/>
                  <w14:bevel/>
                </w14:textOutline>
              </w:rPr>
              <w:t>称</w:t>
            </w:r>
          </w:p>
        </w:tc>
        <w:tc>
          <w:tcPr>
            <w:tcW w:w="1577" w:type="dxa"/>
            <w:gridSpan w:val="2"/>
            <w:vAlign w:val="top"/>
          </w:tcPr>
          <w:p w14:paraId="74F3A608">
            <w:pPr>
              <w:spacing w:before="232" w:line="228" w:lineRule="auto"/>
              <w:ind w:left="165"/>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面源起点坐</w:t>
            </w:r>
            <w:r>
              <w:rPr>
                <w:rFonts w:ascii="宋体" w:hAnsi="宋体" w:eastAsia="宋体" w:cs="宋体"/>
                <w:spacing w:val="8"/>
                <w:sz w:val="20"/>
                <w:szCs w:val="20"/>
                <w14:textOutline w14:w="3795" w14:cap="sq" w14:cmpd="sng">
                  <w14:solidFill>
                    <w14:srgbClr w14:val="000000"/>
                  </w14:solidFill>
                  <w14:prstDash w14:val="solid"/>
                  <w14:bevel/>
                </w14:textOutline>
              </w:rPr>
              <w:t>标</w:t>
            </w:r>
          </w:p>
        </w:tc>
        <w:tc>
          <w:tcPr>
            <w:tcW w:w="734" w:type="dxa"/>
            <w:vMerge w:val="restart"/>
            <w:tcBorders>
              <w:bottom w:val="nil"/>
            </w:tcBorders>
            <w:vAlign w:val="top"/>
          </w:tcPr>
          <w:p w14:paraId="2B775822">
            <w:pPr>
              <w:spacing w:before="80" w:line="229" w:lineRule="auto"/>
              <w:ind w:left="59"/>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面</w:t>
            </w:r>
            <w:r>
              <w:rPr>
                <w:rFonts w:ascii="宋体" w:hAnsi="宋体" w:eastAsia="宋体" w:cs="宋体"/>
                <w:spacing w:val="7"/>
                <w:sz w:val="20"/>
                <w:szCs w:val="20"/>
                <w14:textOutline w14:w="3795" w14:cap="sq" w14:cmpd="sng">
                  <w14:solidFill>
                    <w14:srgbClr w14:val="000000"/>
                  </w14:solidFill>
                  <w14:prstDash w14:val="solid"/>
                  <w14:bevel/>
                </w14:textOutline>
              </w:rPr>
              <w:t>源海</w:t>
            </w:r>
          </w:p>
          <w:p w14:paraId="2C6C4A91">
            <w:pPr>
              <w:spacing w:before="63" w:line="228" w:lineRule="auto"/>
              <w:ind w:left="58"/>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拔</w:t>
            </w:r>
            <w:r>
              <w:rPr>
                <w:rFonts w:ascii="宋体" w:hAnsi="宋体" w:eastAsia="宋体" w:cs="宋体"/>
                <w:spacing w:val="7"/>
                <w:sz w:val="20"/>
                <w:szCs w:val="20"/>
                <w14:textOutline w14:w="3795" w14:cap="sq" w14:cmpd="sng">
                  <w14:solidFill>
                    <w14:srgbClr w14:val="000000"/>
                  </w14:solidFill>
                  <w14:prstDash w14:val="solid"/>
                  <w14:bevel/>
                </w14:textOutline>
              </w:rPr>
              <w:t>高度</w:t>
            </w:r>
          </w:p>
          <w:p w14:paraId="0DBD20D9">
            <w:pPr>
              <w:spacing w:before="24" w:line="289" w:lineRule="exact"/>
              <w:ind w:left="247"/>
              <w:rPr>
                <w:rFonts w:ascii="Times New Roman" w:hAnsi="Times New Roman" w:eastAsia="Times New Roman" w:cs="Times New Roman"/>
                <w:sz w:val="20"/>
                <w:szCs w:val="20"/>
              </w:rPr>
            </w:pPr>
            <w:r>
              <w:rPr>
                <w:rFonts w:ascii="Times New Roman" w:hAnsi="Times New Roman" w:eastAsia="Times New Roman" w:cs="Times New Roman"/>
                <w:b/>
                <w:bCs/>
                <w:spacing w:val="9"/>
                <w:position w:val="2"/>
                <w:sz w:val="20"/>
                <w:szCs w:val="20"/>
              </w:rPr>
              <w:t>/</w:t>
            </w:r>
            <w:r>
              <w:rPr>
                <w:rFonts w:ascii="Times New Roman" w:hAnsi="Times New Roman" w:eastAsia="Times New Roman" w:cs="Times New Roman"/>
                <w:b/>
                <w:bCs/>
                <w:position w:val="2"/>
                <w:sz w:val="20"/>
                <w:szCs w:val="20"/>
              </w:rPr>
              <w:t>m</w:t>
            </w:r>
          </w:p>
        </w:tc>
        <w:tc>
          <w:tcPr>
            <w:tcW w:w="523" w:type="dxa"/>
            <w:vMerge w:val="restart"/>
            <w:tcBorders>
              <w:bottom w:val="nil"/>
            </w:tcBorders>
            <w:vAlign w:val="top"/>
          </w:tcPr>
          <w:p w14:paraId="44807143">
            <w:pPr>
              <w:spacing w:before="80" w:line="229" w:lineRule="auto"/>
              <w:ind w:left="57"/>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面</w:t>
            </w:r>
            <w:r>
              <w:rPr>
                <w:rFonts w:ascii="宋体" w:hAnsi="宋体" w:eastAsia="宋体" w:cs="宋体"/>
                <w:spacing w:val="5"/>
                <w:sz w:val="20"/>
                <w:szCs w:val="20"/>
                <w14:textOutline w14:w="3795" w14:cap="sq" w14:cmpd="sng">
                  <w14:solidFill>
                    <w14:srgbClr w14:val="000000"/>
                  </w14:solidFill>
                  <w14:prstDash w14:val="solid"/>
                  <w14:bevel/>
                </w14:textOutline>
              </w:rPr>
              <w:t>源</w:t>
            </w:r>
          </w:p>
          <w:p w14:paraId="0D1AD94D">
            <w:pPr>
              <w:spacing w:before="64" w:line="228" w:lineRule="auto"/>
              <w:ind w:left="57"/>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长</w:t>
            </w:r>
            <w:r>
              <w:rPr>
                <w:rFonts w:ascii="宋体" w:hAnsi="宋体" w:eastAsia="宋体" w:cs="宋体"/>
                <w:spacing w:val="5"/>
                <w:sz w:val="20"/>
                <w:szCs w:val="20"/>
                <w14:textOutline w14:w="3795" w14:cap="sq" w14:cmpd="sng">
                  <w14:solidFill>
                    <w14:srgbClr w14:val="000000"/>
                  </w14:solidFill>
                  <w14:prstDash w14:val="solid"/>
                  <w14:bevel/>
                </w14:textOutline>
              </w:rPr>
              <w:t>度</w:t>
            </w:r>
          </w:p>
          <w:p w14:paraId="471A6790">
            <w:pPr>
              <w:spacing w:before="23" w:line="289" w:lineRule="exact"/>
              <w:ind w:left="142"/>
              <w:rPr>
                <w:rFonts w:ascii="Times New Roman" w:hAnsi="Times New Roman" w:eastAsia="Times New Roman" w:cs="Times New Roman"/>
                <w:sz w:val="20"/>
                <w:szCs w:val="20"/>
              </w:rPr>
            </w:pPr>
            <w:r>
              <w:rPr>
                <w:rFonts w:ascii="Times New Roman" w:hAnsi="Times New Roman" w:eastAsia="Times New Roman" w:cs="Times New Roman"/>
                <w:b/>
                <w:bCs/>
                <w:spacing w:val="9"/>
                <w:position w:val="2"/>
                <w:sz w:val="20"/>
                <w:szCs w:val="20"/>
              </w:rPr>
              <w:t>/</w:t>
            </w:r>
            <w:r>
              <w:rPr>
                <w:rFonts w:ascii="Times New Roman" w:hAnsi="Times New Roman" w:eastAsia="Times New Roman" w:cs="Times New Roman"/>
                <w:b/>
                <w:bCs/>
                <w:position w:val="2"/>
                <w:sz w:val="20"/>
                <w:szCs w:val="20"/>
              </w:rPr>
              <w:t>m</w:t>
            </w:r>
          </w:p>
        </w:tc>
        <w:tc>
          <w:tcPr>
            <w:tcW w:w="597" w:type="dxa"/>
            <w:vMerge w:val="restart"/>
            <w:tcBorders>
              <w:bottom w:val="nil"/>
            </w:tcBorders>
            <w:vAlign w:val="top"/>
          </w:tcPr>
          <w:p w14:paraId="6BE1D3C4">
            <w:pPr>
              <w:spacing w:before="80" w:line="229" w:lineRule="auto"/>
              <w:ind w:left="93"/>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面</w:t>
            </w:r>
            <w:r>
              <w:rPr>
                <w:rFonts w:ascii="宋体" w:hAnsi="宋体" w:eastAsia="宋体" w:cs="宋体"/>
                <w:spacing w:val="5"/>
                <w:sz w:val="20"/>
                <w:szCs w:val="20"/>
                <w14:textOutline w14:w="3795" w14:cap="sq" w14:cmpd="sng">
                  <w14:solidFill>
                    <w14:srgbClr w14:val="000000"/>
                  </w14:solidFill>
                  <w14:prstDash w14:val="solid"/>
                  <w14:bevel/>
                </w14:textOutline>
              </w:rPr>
              <w:t>源</w:t>
            </w:r>
          </w:p>
          <w:p w14:paraId="49589E35">
            <w:pPr>
              <w:spacing w:before="64" w:line="228" w:lineRule="auto"/>
              <w:ind w:left="103"/>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宽</w:t>
            </w:r>
            <w:r>
              <w:rPr>
                <w:rFonts w:ascii="宋体" w:hAnsi="宋体" w:eastAsia="宋体" w:cs="宋体"/>
                <w:sz w:val="20"/>
                <w:szCs w:val="20"/>
                <w14:textOutline w14:w="3795" w14:cap="sq" w14:cmpd="sng">
                  <w14:solidFill>
                    <w14:srgbClr w14:val="000000"/>
                  </w14:solidFill>
                  <w14:prstDash w14:val="solid"/>
                  <w14:bevel/>
                </w14:textOutline>
              </w:rPr>
              <w:t>度</w:t>
            </w:r>
          </w:p>
          <w:p w14:paraId="2F3F41B2">
            <w:pPr>
              <w:spacing w:before="23" w:line="289" w:lineRule="exact"/>
              <w:ind w:left="178"/>
              <w:rPr>
                <w:rFonts w:ascii="Times New Roman" w:hAnsi="Times New Roman" w:eastAsia="Times New Roman" w:cs="Times New Roman"/>
                <w:sz w:val="20"/>
                <w:szCs w:val="20"/>
              </w:rPr>
            </w:pPr>
            <w:r>
              <w:rPr>
                <w:rFonts w:ascii="Times New Roman" w:hAnsi="Times New Roman" w:eastAsia="Times New Roman" w:cs="Times New Roman"/>
                <w:b/>
                <w:bCs/>
                <w:spacing w:val="9"/>
                <w:position w:val="2"/>
                <w:sz w:val="20"/>
                <w:szCs w:val="20"/>
              </w:rPr>
              <w:t>/</w:t>
            </w:r>
            <w:r>
              <w:rPr>
                <w:rFonts w:ascii="Times New Roman" w:hAnsi="Times New Roman" w:eastAsia="Times New Roman" w:cs="Times New Roman"/>
                <w:b/>
                <w:bCs/>
                <w:position w:val="2"/>
                <w:sz w:val="20"/>
                <w:szCs w:val="20"/>
              </w:rPr>
              <w:t>m</w:t>
            </w:r>
          </w:p>
        </w:tc>
        <w:tc>
          <w:tcPr>
            <w:tcW w:w="717" w:type="dxa"/>
            <w:vMerge w:val="restart"/>
            <w:tcBorders>
              <w:bottom w:val="nil"/>
            </w:tcBorders>
            <w:vAlign w:val="top"/>
          </w:tcPr>
          <w:p w14:paraId="57818608">
            <w:pPr>
              <w:spacing w:before="80" w:line="230" w:lineRule="auto"/>
              <w:ind w:left="52"/>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与</w:t>
            </w:r>
            <w:r>
              <w:rPr>
                <w:rFonts w:ascii="宋体" w:hAnsi="宋体" w:eastAsia="宋体" w:cs="宋体"/>
                <w:spacing w:val="6"/>
                <w:sz w:val="20"/>
                <w:szCs w:val="20"/>
                <w14:textOutline w14:w="3795" w14:cap="sq" w14:cmpd="sng">
                  <w14:solidFill>
                    <w14:srgbClr w14:val="000000"/>
                  </w14:solidFill>
                  <w14:prstDash w14:val="solid"/>
                  <w14:bevel/>
                </w14:textOutline>
              </w:rPr>
              <w:t>正北</w:t>
            </w:r>
          </w:p>
          <w:p w14:paraId="057F4DE8">
            <w:pPr>
              <w:spacing w:before="62" w:line="227" w:lineRule="auto"/>
              <w:ind w:left="69"/>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向</w:t>
            </w:r>
            <w:r>
              <w:rPr>
                <w:rFonts w:ascii="宋体" w:hAnsi="宋体" w:eastAsia="宋体" w:cs="宋体"/>
                <w:sz w:val="20"/>
                <w:szCs w:val="20"/>
                <w14:textOutline w14:w="3795" w14:cap="sq" w14:cmpd="sng">
                  <w14:solidFill>
                    <w14:srgbClr w14:val="000000"/>
                  </w14:solidFill>
                  <w14:prstDash w14:val="solid"/>
                  <w14:bevel/>
                </w14:textOutline>
              </w:rPr>
              <w:t>夹角</w:t>
            </w:r>
          </w:p>
          <w:p w14:paraId="1ADC3661">
            <w:pPr>
              <w:spacing w:before="25" w:line="289" w:lineRule="exact"/>
              <w:ind w:left="284"/>
              <w:rPr>
                <w:rFonts w:ascii="Times New Roman" w:hAnsi="Times New Roman" w:eastAsia="Times New Roman" w:cs="Times New Roman"/>
                <w:sz w:val="20"/>
                <w:szCs w:val="20"/>
              </w:rPr>
            </w:pPr>
            <w:r>
              <w:rPr>
                <w:rFonts w:ascii="Times New Roman" w:hAnsi="Times New Roman" w:eastAsia="Times New Roman" w:cs="Times New Roman"/>
                <w:b/>
                <w:bCs/>
                <w:spacing w:val="4"/>
                <w:position w:val="2"/>
                <w:sz w:val="20"/>
                <w:szCs w:val="20"/>
              </w:rPr>
              <w:t>/</w:t>
            </w:r>
            <w:r>
              <w:rPr>
                <w:rFonts w:ascii="Times New Roman" w:hAnsi="Times New Roman" w:eastAsia="Times New Roman" w:cs="Times New Roman"/>
                <w:b/>
                <w:bCs/>
                <w:spacing w:val="3"/>
                <w:position w:val="2"/>
                <w:sz w:val="20"/>
                <w:szCs w:val="20"/>
              </w:rPr>
              <w:t>°</w:t>
            </w:r>
          </w:p>
        </w:tc>
        <w:tc>
          <w:tcPr>
            <w:tcW w:w="717" w:type="dxa"/>
            <w:vMerge w:val="restart"/>
            <w:tcBorders>
              <w:bottom w:val="nil"/>
            </w:tcBorders>
            <w:vAlign w:val="top"/>
          </w:tcPr>
          <w:p w14:paraId="0087EB44">
            <w:pPr>
              <w:spacing w:before="81" w:line="274" w:lineRule="auto"/>
              <w:ind w:left="42" w:right="29" w:firstLine="7"/>
              <w:rPr>
                <w:rFonts w:ascii="Times New Roman" w:hAnsi="Times New Roman" w:eastAsia="Times New Roman" w:cs="Times New Roman"/>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面</w:t>
            </w:r>
            <w:r>
              <w:rPr>
                <w:rFonts w:ascii="宋体" w:hAnsi="宋体" w:eastAsia="宋体" w:cs="宋体"/>
                <w:spacing w:val="7"/>
                <w:sz w:val="20"/>
                <w:szCs w:val="20"/>
                <w14:textOutline w14:w="3795" w14:cap="sq" w14:cmpd="sng">
                  <w14:solidFill>
                    <w14:srgbClr w14:val="000000"/>
                  </w14:solidFill>
                  <w14:prstDash w14:val="solid"/>
                  <w14:bevel/>
                </w14:textOutline>
              </w:rPr>
              <w:t>源有</w:t>
            </w:r>
            <w:r>
              <w:rPr>
                <w:rFonts w:ascii="宋体" w:hAnsi="宋体" w:eastAsia="宋体" w:cs="宋体"/>
                <w:sz w:val="20"/>
                <w:szCs w:val="20"/>
              </w:rPr>
              <w:t xml:space="preserve"> </w:t>
            </w:r>
            <w:r>
              <w:rPr>
                <w:rFonts w:ascii="宋体" w:hAnsi="宋体" w:eastAsia="宋体" w:cs="宋体"/>
                <w:spacing w:val="10"/>
                <w:sz w:val="20"/>
                <w:szCs w:val="20"/>
                <w14:textOutline w14:w="3795" w14:cap="sq" w14:cmpd="sng">
                  <w14:solidFill>
                    <w14:srgbClr w14:val="000000"/>
                  </w14:solidFill>
                  <w14:prstDash w14:val="solid"/>
                  <w14:bevel/>
                </w14:textOutline>
              </w:rPr>
              <w:t>效排</w:t>
            </w:r>
            <w:r>
              <w:rPr>
                <w:rFonts w:ascii="宋体" w:hAnsi="宋体" w:eastAsia="宋体" w:cs="宋体"/>
                <w:spacing w:val="9"/>
                <w:sz w:val="20"/>
                <w:szCs w:val="20"/>
                <w14:textOutline w14:w="3795" w14:cap="sq" w14:cmpd="sng">
                  <w14:solidFill>
                    <w14:srgbClr w14:val="000000"/>
                  </w14:solidFill>
                  <w14:prstDash w14:val="solid"/>
                  <w14:bevel/>
                </w14:textOutline>
              </w:rPr>
              <w:t>放</w:t>
            </w:r>
            <w:r>
              <w:rPr>
                <w:rFonts w:ascii="宋体" w:hAnsi="宋体" w:eastAsia="宋体" w:cs="宋体"/>
                <w:sz w:val="20"/>
                <w:szCs w:val="20"/>
              </w:rPr>
              <w:t xml:space="preserve"> </w:t>
            </w:r>
            <w:r>
              <w:rPr>
                <w:rFonts w:ascii="宋体" w:hAnsi="宋体" w:eastAsia="宋体" w:cs="宋体"/>
                <w:spacing w:val="6"/>
                <w:sz w:val="20"/>
                <w:szCs w:val="20"/>
                <w14:textOutline w14:w="3795" w14:cap="sq" w14:cmpd="sng">
                  <w14:solidFill>
                    <w14:srgbClr w14:val="000000"/>
                  </w14:solidFill>
                  <w14:prstDash w14:val="solid"/>
                  <w14:bevel/>
                </w14:textOutline>
              </w:rPr>
              <w:t>高度</w:t>
            </w:r>
            <w:r>
              <w:rPr>
                <w:rFonts w:ascii="Times New Roman" w:hAnsi="Times New Roman" w:eastAsia="Times New Roman" w:cs="Times New Roman"/>
                <w:b/>
                <w:bCs/>
                <w:spacing w:val="6"/>
                <w:sz w:val="20"/>
                <w:szCs w:val="20"/>
              </w:rPr>
              <w:t>/</w:t>
            </w:r>
            <w:r>
              <w:rPr>
                <w:rFonts w:ascii="Times New Roman" w:hAnsi="Times New Roman" w:eastAsia="Times New Roman" w:cs="Times New Roman"/>
                <w:b/>
                <w:bCs/>
                <w:sz w:val="20"/>
                <w:szCs w:val="20"/>
              </w:rPr>
              <w:t>m</w:t>
            </w:r>
          </w:p>
        </w:tc>
        <w:tc>
          <w:tcPr>
            <w:tcW w:w="672" w:type="dxa"/>
            <w:vMerge w:val="restart"/>
            <w:tcBorders>
              <w:bottom w:val="nil"/>
            </w:tcBorders>
            <w:vAlign w:val="top"/>
          </w:tcPr>
          <w:p w14:paraId="2AE9369A">
            <w:pPr>
              <w:spacing w:before="80" w:line="228" w:lineRule="auto"/>
              <w:ind w:left="131"/>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年</w:t>
            </w:r>
            <w:r>
              <w:rPr>
                <w:rFonts w:ascii="宋体" w:hAnsi="宋体" w:eastAsia="宋体" w:cs="宋体"/>
                <w:spacing w:val="5"/>
                <w:sz w:val="20"/>
                <w:szCs w:val="20"/>
                <w14:textOutline w14:w="3795" w14:cap="sq" w14:cmpd="sng">
                  <w14:solidFill>
                    <w14:srgbClr w14:val="000000"/>
                  </w14:solidFill>
                  <w14:prstDash w14:val="solid"/>
                  <w14:bevel/>
                </w14:textOutline>
              </w:rPr>
              <w:t>排</w:t>
            </w:r>
          </w:p>
          <w:p w14:paraId="56C46B83">
            <w:pPr>
              <w:spacing w:before="65" w:line="229" w:lineRule="auto"/>
              <w:ind w:left="130"/>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放小</w:t>
            </w:r>
          </w:p>
          <w:p w14:paraId="495DF7FC">
            <w:pPr>
              <w:spacing w:before="22" w:line="289" w:lineRule="exact"/>
              <w:ind w:left="54"/>
              <w:rPr>
                <w:rFonts w:ascii="Times New Roman" w:hAnsi="Times New Roman" w:eastAsia="Times New Roman" w:cs="Times New Roman"/>
                <w:sz w:val="20"/>
                <w:szCs w:val="20"/>
              </w:rPr>
            </w:pPr>
            <w:r>
              <w:rPr>
                <w:rFonts w:ascii="宋体" w:hAnsi="宋体" w:eastAsia="宋体" w:cs="宋体"/>
                <w:spacing w:val="4"/>
                <w:position w:val="1"/>
                <w:sz w:val="20"/>
                <w:szCs w:val="20"/>
                <w14:textOutline w14:w="3795" w14:cap="sq" w14:cmpd="sng">
                  <w14:solidFill>
                    <w14:srgbClr w14:val="000000"/>
                  </w14:solidFill>
                  <w14:prstDash w14:val="solid"/>
                  <w14:bevel/>
                </w14:textOutline>
              </w:rPr>
              <w:t>时数</w:t>
            </w:r>
            <w:r>
              <w:rPr>
                <w:rFonts w:ascii="Times New Roman" w:hAnsi="Times New Roman" w:eastAsia="Times New Roman" w:cs="Times New Roman"/>
                <w:b/>
                <w:bCs/>
                <w:spacing w:val="3"/>
                <w:position w:val="1"/>
                <w:sz w:val="20"/>
                <w:szCs w:val="20"/>
              </w:rPr>
              <w:t>/</w:t>
            </w:r>
            <w:r>
              <w:rPr>
                <w:rFonts w:ascii="Times New Roman" w:hAnsi="Times New Roman" w:eastAsia="Times New Roman" w:cs="Times New Roman"/>
                <w:b/>
                <w:bCs/>
                <w:position w:val="1"/>
                <w:sz w:val="20"/>
                <w:szCs w:val="20"/>
              </w:rPr>
              <w:t>h</w:t>
            </w:r>
          </w:p>
        </w:tc>
        <w:tc>
          <w:tcPr>
            <w:tcW w:w="510" w:type="dxa"/>
            <w:vMerge w:val="restart"/>
            <w:tcBorders>
              <w:bottom w:val="nil"/>
            </w:tcBorders>
            <w:vAlign w:val="top"/>
          </w:tcPr>
          <w:p w14:paraId="2828B9C5">
            <w:pPr>
              <w:spacing w:before="236" w:line="301" w:lineRule="auto"/>
              <w:ind w:left="53" w:right="41" w:hanging="2"/>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排放</w:t>
            </w:r>
            <w:r>
              <w:rPr>
                <w:rFonts w:ascii="宋体" w:hAnsi="宋体" w:eastAsia="宋体" w:cs="宋体"/>
                <w:sz w:val="20"/>
                <w:szCs w:val="20"/>
              </w:rPr>
              <w:t xml:space="preserve"> </w:t>
            </w:r>
            <w:r>
              <w:rPr>
                <w:rFonts w:ascii="宋体" w:hAnsi="宋体" w:eastAsia="宋体" w:cs="宋体"/>
                <w:spacing w:val="5"/>
                <w:sz w:val="20"/>
                <w:szCs w:val="20"/>
                <w14:textOutline w14:w="3795" w14:cap="sq" w14:cmpd="sng">
                  <w14:solidFill>
                    <w14:srgbClr w14:val="000000"/>
                  </w14:solidFill>
                  <w14:prstDash w14:val="solid"/>
                  <w14:bevel/>
                </w14:textOutline>
              </w:rPr>
              <w:t>工</w:t>
            </w:r>
            <w:r>
              <w:rPr>
                <w:rFonts w:ascii="宋体" w:hAnsi="宋体" w:eastAsia="宋体" w:cs="宋体"/>
                <w:spacing w:val="4"/>
                <w:sz w:val="20"/>
                <w:szCs w:val="20"/>
                <w14:textOutline w14:w="3795" w14:cap="sq" w14:cmpd="sng">
                  <w14:solidFill>
                    <w14:srgbClr w14:val="000000"/>
                  </w14:solidFill>
                  <w14:prstDash w14:val="solid"/>
                  <w14:bevel/>
                </w14:textOutline>
              </w:rPr>
              <w:t>况</w:t>
            </w:r>
          </w:p>
        </w:tc>
        <w:tc>
          <w:tcPr>
            <w:tcW w:w="1379" w:type="dxa"/>
            <w:gridSpan w:val="2"/>
            <w:tcBorders>
              <w:right w:val="nil"/>
            </w:tcBorders>
            <w:vAlign w:val="top"/>
          </w:tcPr>
          <w:p w14:paraId="2C0FD452">
            <w:pPr>
              <w:spacing w:before="76" w:line="265" w:lineRule="auto"/>
              <w:ind w:left="183" w:right="57" w:hanging="117"/>
              <w:rPr>
                <w:rFonts w:ascii="宋体" w:hAnsi="宋体" w:eastAsia="宋体" w:cs="宋体"/>
                <w:sz w:val="20"/>
                <w:szCs w:val="20"/>
              </w:rPr>
            </w:pPr>
            <w:r>
              <w:rPr>
                <w:rFonts w:ascii="宋体" w:hAnsi="宋体" w:eastAsia="宋体" w:cs="宋体"/>
                <w:spacing w:val="12"/>
                <w:sz w:val="20"/>
                <w:szCs w:val="20"/>
                <w14:textOutline w14:w="3795" w14:cap="sq" w14:cmpd="sng">
                  <w14:solidFill>
                    <w14:srgbClr w14:val="000000"/>
                  </w14:solidFill>
                  <w14:prstDash w14:val="solid"/>
                  <w14:bevel/>
                </w14:textOutline>
              </w:rPr>
              <w:t>污</w:t>
            </w:r>
            <w:r>
              <w:rPr>
                <w:rFonts w:ascii="宋体" w:hAnsi="宋体" w:eastAsia="宋体" w:cs="宋体"/>
                <w:spacing w:val="8"/>
                <w:sz w:val="20"/>
                <w:szCs w:val="20"/>
                <w14:textOutline w14:w="3795" w14:cap="sq" w14:cmpd="sng">
                  <w14:solidFill>
                    <w14:srgbClr w14:val="000000"/>
                  </w14:solidFill>
                  <w14:prstDash w14:val="solid"/>
                  <w14:bevel/>
                </w14:textOutline>
              </w:rPr>
              <w:t>染物排放速</w:t>
            </w:r>
            <w:r>
              <w:rPr>
                <w:rFonts w:ascii="宋体" w:hAnsi="宋体" w:eastAsia="宋体" w:cs="宋体"/>
                <w:sz w:val="20"/>
                <w:szCs w:val="20"/>
              </w:rPr>
              <w:t xml:space="preserve"> </w:t>
            </w:r>
            <w:r>
              <w:rPr>
                <w:rFonts w:ascii="宋体" w:hAnsi="宋体" w:eastAsia="宋体" w:cs="宋体"/>
                <w:spacing w:val="6"/>
                <w:sz w:val="20"/>
                <w:szCs w:val="20"/>
                <w14:textOutline w14:w="3795" w14:cap="sq" w14:cmpd="sng">
                  <w14:solidFill>
                    <w14:srgbClr w14:val="000000"/>
                  </w14:solidFill>
                  <w14:prstDash w14:val="solid"/>
                  <w14:bevel/>
                </w14:textOutline>
              </w:rPr>
              <w:t>率</w:t>
            </w:r>
            <w:r>
              <w:rPr>
                <w:rFonts w:ascii="宋体" w:hAnsi="宋体" w:eastAsia="宋体" w:cs="宋体"/>
                <w:spacing w:val="6"/>
                <w:sz w:val="20"/>
                <w:szCs w:val="20"/>
              </w:rPr>
              <w:t xml:space="preserve"> </w:t>
            </w:r>
            <w:r>
              <w:rPr>
                <w:rFonts w:ascii="宋体" w:hAnsi="宋体" w:eastAsia="宋体" w:cs="宋体"/>
                <w:spacing w:val="6"/>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sz w:val="20"/>
                <w:szCs w:val="20"/>
              </w:rPr>
              <w:t>kg</w:t>
            </w:r>
            <w:r>
              <w:rPr>
                <w:rFonts w:ascii="Times New Roman" w:hAnsi="Times New Roman" w:eastAsia="Times New Roman" w:cs="Times New Roman"/>
                <w:b/>
                <w:bCs/>
                <w:spacing w:val="6"/>
                <w:sz w:val="20"/>
                <w:szCs w:val="20"/>
              </w:rPr>
              <w:t>/</w:t>
            </w:r>
            <w:r>
              <w:rPr>
                <w:rFonts w:ascii="Times New Roman" w:hAnsi="Times New Roman" w:eastAsia="Times New Roman" w:cs="Times New Roman"/>
                <w:b/>
                <w:bCs/>
                <w:sz w:val="20"/>
                <w:szCs w:val="20"/>
              </w:rPr>
              <w:t>h</w:t>
            </w:r>
            <w:r>
              <w:rPr>
                <w:rFonts w:ascii="宋体" w:hAnsi="宋体" w:eastAsia="宋体" w:cs="宋体"/>
                <w:spacing w:val="5"/>
                <w:sz w:val="20"/>
                <w:szCs w:val="20"/>
                <w14:textOutline w14:w="3795" w14:cap="sq" w14:cmpd="sng">
                  <w14:solidFill>
                    <w14:srgbClr w14:val="000000"/>
                  </w14:solidFill>
                  <w14:prstDash w14:val="solid"/>
                  <w14:bevel/>
                </w14:textOutline>
              </w:rPr>
              <w:t>)</w:t>
            </w:r>
          </w:p>
        </w:tc>
      </w:tr>
      <w:tr w14:paraId="6CE87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412" w:type="dxa"/>
            <w:vMerge w:val="continue"/>
            <w:tcBorders>
              <w:top w:val="nil"/>
              <w:left w:val="nil"/>
            </w:tcBorders>
            <w:textDirection w:val="tbRlV"/>
            <w:vAlign w:val="top"/>
          </w:tcPr>
          <w:p w14:paraId="7FC44FDD">
            <w:pPr>
              <w:rPr>
                <w:rFonts w:ascii="Arial"/>
                <w:sz w:val="21"/>
              </w:rPr>
            </w:pPr>
          </w:p>
        </w:tc>
        <w:tc>
          <w:tcPr>
            <w:tcW w:w="513" w:type="dxa"/>
            <w:vMerge w:val="continue"/>
            <w:tcBorders>
              <w:top w:val="nil"/>
            </w:tcBorders>
            <w:vAlign w:val="top"/>
          </w:tcPr>
          <w:p w14:paraId="2270164D">
            <w:pPr>
              <w:rPr>
                <w:rFonts w:ascii="Arial"/>
                <w:sz w:val="21"/>
              </w:rPr>
            </w:pPr>
          </w:p>
        </w:tc>
        <w:tc>
          <w:tcPr>
            <w:tcW w:w="812" w:type="dxa"/>
            <w:vAlign w:val="top"/>
          </w:tcPr>
          <w:p w14:paraId="5870327B">
            <w:pPr>
              <w:spacing w:before="92" w:line="192" w:lineRule="auto"/>
              <w:ind w:left="328"/>
              <w:rPr>
                <w:rFonts w:ascii="Times New Roman" w:hAnsi="Times New Roman" w:eastAsia="Times New Roman" w:cs="Times New Roman"/>
                <w:sz w:val="20"/>
                <w:szCs w:val="20"/>
              </w:rPr>
            </w:pPr>
            <w:r>
              <w:rPr>
                <w:rFonts w:ascii="Times New Roman" w:hAnsi="Times New Roman" w:eastAsia="Times New Roman" w:cs="Times New Roman"/>
                <w:b/>
                <w:bCs/>
                <w:spacing w:val="5"/>
                <w:sz w:val="20"/>
                <w:szCs w:val="20"/>
              </w:rPr>
              <w:t>X</w:t>
            </w:r>
          </w:p>
        </w:tc>
        <w:tc>
          <w:tcPr>
            <w:tcW w:w="765" w:type="dxa"/>
            <w:vAlign w:val="top"/>
          </w:tcPr>
          <w:p w14:paraId="4B356690">
            <w:pPr>
              <w:spacing w:before="92" w:line="192" w:lineRule="auto"/>
              <w:ind w:left="306"/>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Y</w:t>
            </w:r>
          </w:p>
        </w:tc>
        <w:tc>
          <w:tcPr>
            <w:tcW w:w="734" w:type="dxa"/>
            <w:vMerge w:val="continue"/>
            <w:tcBorders>
              <w:top w:val="nil"/>
            </w:tcBorders>
            <w:vAlign w:val="top"/>
          </w:tcPr>
          <w:p w14:paraId="3E11C8B4">
            <w:pPr>
              <w:rPr>
                <w:rFonts w:ascii="Arial"/>
                <w:sz w:val="21"/>
              </w:rPr>
            </w:pPr>
          </w:p>
        </w:tc>
        <w:tc>
          <w:tcPr>
            <w:tcW w:w="523" w:type="dxa"/>
            <w:vMerge w:val="continue"/>
            <w:tcBorders>
              <w:top w:val="nil"/>
            </w:tcBorders>
            <w:vAlign w:val="top"/>
          </w:tcPr>
          <w:p w14:paraId="41F87BA1">
            <w:pPr>
              <w:rPr>
                <w:rFonts w:ascii="Arial"/>
                <w:sz w:val="21"/>
              </w:rPr>
            </w:pPr>
          </w:p>
        </w:tc>
        <w:tc>
          <w:tcPr>
            <w:tcW w:w="597" w:type="dxa"/>
            <w:vMerge w:val="continue"/>
            <w:tcBorders>
              <w:top w:val="nil"/>
            </w:tcBorders>
            <w:vAlign w:val="top"/>
          </w:tcPr>
          <w:p w14:paraId="42CCAB3E">
            <w:pPr>
              <w:rPr>
                <w:rFonts w:ascii="Arial"/>
                <w:sz w:val="21"/>
              </w:rPr>
            </w:pPr>
          </w:p>
        </w:tc>
        <w:tc>
          <w:tcPr>
            <w:tcW w:w="717" w:type="dxa"/>
            <w:vMerge w:val="continue"/>
            <w:tcBorders>
              <w:top w:val="nil"/>
            </w:tcBorders>
            <w:vAlign w:val="top"/>
          </w:tcPr>
          <w:p w14:paraId="6C2CE60F">
            <w:pPr>
              <w:rPr>
                <w:rFonts w:ascii="Arial"/>
                <w:sz w:val="21"/>
              </w:rPr>
            </w:pPr>
          </w:p>
        </w:tc>
        <w:tc>
          <w:tcPr>
            <w:tcW w:w="717" w:type="dxa"/>
            <w:vMerge w:val="continue"/>
            <w:tcBorders>
              <w:top w:val="nil"/>
            </w:tcBorders>
            <w:vAlign w:val="top"/>
          </w:tcPr>
          <w:p w14:paraId="46E6C5A4">
            <w:pPr>
              <w:rPr>
                <w:rFonts w:ascii="Arial"/>
                <w:sz w:val="21"/>
              </w:rPr>
            </w:pPr>
          </w:p>
        </w:tc>
        <w:tc>
          <w:tcPr>
            <w:tcW w:w="672" w:type="dxa"/>
            <w:vMerge w:val="continue"/>
            <w:tcBorders>
              <w:top w:val="nil"/>
            </w:tcBorders>
            <w:vAlign w:val="top"/>
          </w:tcPr>
          <w:p w14:paraId="26B5B655">
            <w:pPr>
              <w:rPr>
                <w:rFonts w:ascii="Arial"/>
                <w:sz w:val="21"/>
              </w:rPr>
            </w:pPr>
          </w:p>
        </w:tc>
        <w:tc>
          <w:tcPr>
            <w:tcW w:w="510" w:type="dxa"/>
            <w:vMerge w:val="continue"/>
            <w:tcBorders>
              <w:top w:val="nil"/>
            </w:tcBorders>
            <w:vAlign w:val="top"/>
          </w:tcPr>
          <w:p w14:paraId="144E2EAA">
            <w:pPr>
              <w:rPr>
                <w:rFonts w:ascii="Arial"/>
                <w:sz w:val="21"/>
              </w:rPr>
            </w:pPr>
          </w:p>
        </w:tc>
        <w:tc>
          <w:tcPr>
            <w:tcW w:w="629" w:type="dxa"/>
            <w:vAlign w:val="top"/>
          </w:tcPr>
          <w:p w14:paraId="036A3DD7">
            <w:pPr>
              <w:spacing w:before="89" w:line="195" w:lineRule="auto"/>
              <w:ind w:left="128"/>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T</w:t>
            </w:r>
            <w:r>
              <w:rPr>
                <w:rFonts w:ascii="Times New Roman" w:hAnsi="Times New Roman" w:eastAsia="Times New Roman" w:cs="Times New Roman"/>
                <w:b/>
                <w:bCs/>
                <w:spacing w:val="2"/>
                <w:sz w:val="20"/>
                <w:szCs w:val="20"/>
              </w:rPr>
              <w:t>SP</w:t>
            </w:r>
          </w:p>
        </w:tc>
        <w:tc>
          <w:tcPr>
            <w:tcW w:w="750" w:type="dxa"/>
            <w:tcBorders>
              <w:right w:val="nil"/>
            </w:tcBorders>
            <w:vAlign w:val="top"/>
          </w:tcPr>
          <w:p w14:paraId="6A8868B6">
            <w:pPr>
              <w:spacing w:before="89" w:line="195" w:lineRule="auto"/>
              <w:ind w:left="44"/>
              <w:rPr>
                <w:rFonts w:ascii="Times New Roman" w:hAnsi="Times New Roman" w:eastAsia="Times New Roman" w:cs="Times New Roman"/>
                <w:sz w:val="20"/>
                <w:szCs w:val="20"/>
              </w:rPr>
            </w:pPr>
            <w:r>
              <w:rPr>
                <w:rFonts w:ascii="Times New Roman" w:hAnsi="Times New Roman" w:eastAsia="Times New Roman" w:cs="Times New Roman"/>
                <w:b/>
                <w:bCs/>
                <w:spacing w:val="7"/>
                <w:sz w:val="20"/>
                <w:szCs w:val="20"/>
              </w:rPr>
              <w:t>N</w:t>
            </w:r>
            <w:r>
              <w:rPr>
                <w:rFonts w:ascii="Times New Roman" w:hAnsi="Times New Roman" w:eastAsia="Times New Roman" w:cs="Times New Roman"/>
                <w:b/>
                <w:bCs/>
                <w:spacing w:val="6"/>
                <w:sz w:val="20"/>
                <w:szCs w:val="20"/>
              </w:rPr>
              <w:t>MHC</w:t>
            </w:r>
          </w:p>
        </w:tc>
      </w:tr>
      <w:tr w14:paraId="370785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412" w:type="dxa"/>
            <w:tcBorders>
              <w:left w:val="nil"/>
            </w:tcBorders>
            <w:vAlign w:val="top"/>
          </w:tcPr>
          <w:p w14:paraId="50BE2186">
            <w:pPr>
              <w:spacing w:before="248" w:line="195" w:lineRule="auto"/>
              <w:ind w:left="177"/>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513" w:type="dxa"/>
            <w:vAlign w:val="top"/>
          </w:tcPr>
          <w:p w14:paraId="50FD7DAA">
            <w:pPr>
              <w:spacing w:before="56" w:line="258" w:lineRule="auto"/>
              <w:ind w:left="52" w:right="47"/>
              <w:rPr>
                <w:rFonts w:ascii="宋体" w:hAnsi="宋体" w:eastAsia="宋体" w:cs="宋体"/>
                <w:sz w:val="20"/>
                <w:szCs w:val="20"/>
              </w:rPr>
            </w:pPr>
            <w:r>
              <w:rPr>
                <w:rFonts w:ascii="宋体" w:hAnsi="宋体" w:eastAsia="宋体" w:cs="宋体"/>
                <w:spacing w:val="4"/>
                <w:sz w:val="20"/>
                <w:szCs w:val="20"/>
              </w:rPr>
              <w:t>生</w:t>
            </w:r>
            <w:r>
              <w:rPr>
                <w:rFonts w:ascii="宋体" w:hAnsi="宋体" w:eastAsia="宋体" w:cs="宋体"/>
                <w:spacing w:val="3"/>
                <w:sz w:val="20"/>
                <w:szCs w:val="20"/>
              </w:rPr>
              <w:t>产</w:t>
            </w:r>
            <w:r>
              <w:rPr>
                <w:rFonts w:ascii="宋体" w:hAnsi="宋体" w:eastAsia="宋体" w:cs="宋体"/>
                <w:sz w:val="20"/>
                <w:szCs w:val="20"/>
              </w:rPr>
              <w:t xml:space="preserve"> </w:t>
            </w:r>
            <w:r>
              <w:rPr>
                <w:rFonts w:ascii="宋体" w:hAnsi="宋体" w:eastAsia="宋体" w:cs="宋体"/>
                <w:spacing w:val="4"/>
                <w:sz w:val="20"/>
                <w:szCs w:val="20"/>
              </w:rPr>
              <w:t>厂</w:t>
            </w:r>
            <w:r>
              <w:rPr>
                <w:rFonts w:ascii="宋体" w:hAnsi="宋体" w:eastAsia="宋体" w:cs="宋体"/>
                <w:spacing w:val="3"/>
                <w:sz w:val="20"/>
                <w:szCs w:val="20"/>
              </w:rPr>
              <w:t>房</w:t>
            </w:r>
          </w:p>
        </w:tc>
        <w:tc>
          <w:tcPr>
            <w:tcW w:w="812" w:type="dxa"/>
            <w:vAlign w:val="top"/>
          </w:tcPr>
          <w:p w14:paraId="7BFE2168">
            <w:pPr>
              <w:spacing w:before="92" w:line="312" w:lineRule="exact"/>
              <w:ind w:left="72"/>
              <w:rPr>
                <w:rFonts w:ascii="Times New Roman" w:hAnsi="Times New Roman" w:eastAsia="Times New Roman" w:cs="Times New Roman"/>
                <w:sz w:val="20"/>
                <w:szCs w:val="20"/>
              </w:rPr>
            </w:pPr>
            <w:r>
              <w:rPr>
                <w:rFonts w:ascii="Times New Roman" w:hAnsi="Times New Roman" w:eastAsia="Times New Roman" w:cs="Times New Roman"/>
                <w:spacing w:val="-4"/>
                <w:position w:val="11"/>
                <w:sz w:val="20"/>
                <w:szCs w:val="20"/>
              </w:rPr>
              <w:t>123°42′3</w:t>
            </w:r>
          </w:p>
          <w:p w14:paraId="41E00314">
            <w:pPr>
              <w:spacing w:line="197" w:lineRule="auto"/>
              <w:ind w:left="4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2.2561</w:t>
            </w:r>
            <w:r>
              <w:rPr>
                <w:rFonts w:ascii="Times New Roman" w:hAnsi="Times New Roman" w:eastAsia="Times New Roman" w:cs="Times New Roman"/>
                <w:sz w:val="20"/>
                <w:szCs w:val="20"/>
              </w:rPr>
              <w:t>3″</w:t>
            </w:r>
          </w:p>
        </w:tc>
        <w:tc>
          <w:tcPr>
            <w:tcW w:w="765" w:type="dxa"/>
            <w:vAlign w:val="top"/>
          </w:tcPr>
          <w:p w14:paraId="6592E735">
            <w:pPr>
              <w:spacing w:before="92" w:line="312" w:lineRule="exact"/>
              <w:ind w:left="26"/>
              <w:rPr>
                <w:rFonts w:ascii="Times New Roman" w:hAnsi="Times New Roman" w:eastAsia="Times New Roman" w:cs="Times New Roman"/>
                <w:sz w:val="20"/>
                <w:szCs w:val="20"/>
              </w:rPr>
            </w:pPr>
            <w:r>
              <w:rPr>
                <w:rFonts w:ascii="Times New Roman" w:hAnsi="Times New Roman" w:eastAsia="Times New Roman" w:cs="Times New Roman"/>
                <w:spacing w:val="-1"/>
                <w:position w:val="11"/>
                <w:sz w:val="20"/>
                <w:szCs w:val="20"/>
              </w:rPr>
              <w:t>41°21′</w:t>
            </w:r>
            <w:r>
              <w:rPr>
                <w:rFonts w:ascii="Times New Roman" w:hAnsi="Times New Roman" w:eastAsia="Times New Roman" w:cs="Times New Roman"/>
                <w:position w:val="11"/>
                <w:sz w:val="20"/>
                <w:szCs w:val="20"/>
              </w:rPr>
              <w:t>55</w:t>
            </w:r>
          </w:p>
          <w:p w14:paraId="3C58701C">
            <w:pPr>
              <w:spacing w:line="194" w:lineRule="auto"/>
              <w:ind w:left="8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.39816″</w:t>
            </w:r>
          </w:p>
        </w:tc>
        <w:tc>
          <w:tcPr>
            <w:tcW w:w="734" w:type="dxa"/>
            <w:vAlign w:val="top"/>
          </w:tcPr>
          <w:p w14:paraId="6FD2D8F6">
            <w:pPr>
              <w:spacing w:before="248" w:line="195" w:lineRule="auto"/>
              <w:ind w:left="2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206.788</w:t>
            </w:r>
          </w:p>
        </w:tc>
        <w:tc>
          <w:tcPr>
            <w:tcW w:w="523" w:type="dxa"/>
            <w:vAlign w:val="top"/>
          </w:tcPr>
          <w:p w14:paraId="414BAC57">
            <w:pPr>
              <w:spacing w:before="248" w:line="195" w:lineRule="auto"/>
              <w:ind w:left="12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110</w:t>
            </w:r>
          </w:p>
        </w:tc>
        <w:tc>
          <w:tcPr>
            <w:tcW w:w="597" w:type="dxa"/>
            <w:vAlign w:val="top"/>
          </w:tcPr>
          <w:p w14:paraId="51F0211D">
            <w:pPr>
              <w:spacing w:before="248" w:line="195" w:lineRule="auto"/>
              <w:ind w:left="200"/>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c>
          <w:tcPr>
            <w:tcW w:w="717" w:type="dxa"/>
            <w:vAlign w:val="top"/>
          </w:tcPr>
          <w:p w14:paraId="06057778">
            <w:pPr>
              <w:spacing w:before="248" w:line="195" w:lineRule="auto"/>
              <w:ind w:left="31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717" w:type="dxa"/>
            <w:vAlign w:val="top"/>
          </w:tcPr>
          <w:p w14:paraId="0F51CE66">
            <w:pPr>
              <w:spacing w:before="248" w:line="195" w:lineRule="auto"/>
              <w:ind w:left="312"/>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672" w:type="dxa"/>
            <w:vAlign w:val="top"/>
          </w:tcPr>
          <w:p w14:paraId="521D5A87">
            <w:pPr>
              <w:spacing w:before="248" w:line="195" w:lineRule="auto"/>
              <w:ind w:left="13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7</w:t>
            </w:r>
            <w:r>
              <w:rPr>
                <w:rFonts w:ascii="Times New Roman" w:hAnsi="Times New Roman" w:eastAsia="Times New Roman" w:cs="Times New Roman"/>
                <w:spacing w:val="3"/>
                <w:sz w:val="20"/>
                <w:szCs w:val="20"/>
              </w:rPr>
              <w:t>200</w:t>
            </w:r>
          </w:p>
        </w:tc>
        <w:tc>
          <w:tcPr>
            <w:tcW w:w="510" w:type="dxa"/>
            <w:vAlign w:val="top"/>
          </w:tcPr>
          <w:p w14:paraId="2100A26A">
            <w:pPr>
              <w:spacing w:before="56" w:line="258" w:lineRule="auto"/>
              <w:ind w:left="53" w:right="43" w:firstLine="1"/>
              <w:rPr>
                <w:rFonts w:ascii="宋体" w:hAnsi="宋体" w:eastAsia="宋体" w:cs="宋体"/>
                <w:sz w:val="20"/>
                <w:szCs w:val="20"/>
              </w:rPr>
            </w:pPr>
            <w:r>
              <w:rPr>
                <w:rFonts w:ascii="宋体" w:hAnsi="宋体" w:eastAsia="宋体" w:cs="宋体"/>
                <w:spacing w:val="3"/>
                <w:sz w:val="20"/>
                <w:szCs w:val="20"/>
              </w:rPr>
              <w:t>正</w:t>
            </w:r>
            <w:r>
              <w:rPr>
                <w:rFonts w:ascii="宋体" w:hAnsi="宋体" w:eastAsia="宋体" w:cs="宋体"/>
                <w:spacing w:val="2"/>
                <w:sz w:val="20"/>
                <w:szCs w:val="20"/>
              </w:rPr>
              <w:t>常</w:t>
            </w:r>
            <w:r>
              <w:rPr>
                <w:rFonts w:ascii="宋体" w:hAnsi="宋体" w:eastAsia="宋体" w:cs="宋体"/>
                <w:sz w:val="20"/>
                <w:szCs w:val="20"/>
              </w:rPr>
              <w:t xml:space="preserve"> </w:t>
            </w:r>
            <w:r>
              <w:rPr>
                <w:rFonts w:ascii="宋体" w:hAnsi="宋体" w:eastAsia="宋体" w:cs="宋体"/>
                <w:spacing w:val="4"/>
                <w:sz w:val="20"/>
                <w:szCs w:val="20"/>
              </w:rPr>
              <w:t>工</w:t>
            </w:r>
            <w:r>
              <w:rPr>
                <w:rFonts w:ascii="宋体" w:hAnsi="宋体" w:eastAsia="宋体" w:cs="宋体"/>
                <w:spacing w:val="3"/>
                <w:sz w:val="20"/>
                <w:szCs w:val="20"/>
              </w:rPr>
              <w:t>况</w:t>
            </w:r>
          </w:p>
        </w:tc>
        <w:tc>
          <w:tcPr>
            <w:tcW w:w="629" w:type="dxa"/>
            <w:vAlign w:val="top"/>
          </w:tcPr>
          <w:p w14:paraId="3A14F973">
            <w:pPr>
              <w:spacing w:before="248" w:line="195" w:lineRule="auto"/>
              <w:ind w:left="13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0. 14</w:t>
            </w:r>
          </w:p>
        </w:tc>
        <w:tc>
          <w:tcPr>
            <w:tcW w:w="750" w:type="dxa"/>
            <w:tcBorders>
              <w:right w:val="nil"/>
            </w:tcBorders>
            <w:vAlign w:val="top"/>
          </w:tcPr>
          <w:p w14:paraId="7D8782FA">
            <w:pPr>
              <w:spacing w:before="248" w:line="195" w:lineRule="auto"/>
              <w:ind w:left="19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.25</w:t>
            </w:r>
          </w:p>
        </w:tc>
      </w:tr>
    </w:tbl>
    <w:p w14:paraId="25B490D3">
      <w:pPr>
        <w:spacing w:line="259" w:lineRule="auto"/>
        <w:rPr>
          <w:rFonts w:ascii="Arial"/>
          <w:sz w:val="21"/>
        </w:rPr>
      </w:pPr>
    </w:p>
    <w:p w14:paraId="018540CC">
      <w:pPr>
        <w:spacing w:before="74" w:line="225" w:lineRule="auto"/>
        <w:ind w:left="515"/>
        <w:rPr>
          <w:rFonts w:ascii="宋体" w:hAnsi="宋体" w:eastAsia="宋体" w:cs="宋体"/>
          <w:sz w:val="23"/>
          <w:szCs w:val="23"/>
        </w:rPr>
      </w:pPr>
      <w:r>
        <w:rPr>
          <w:rFonts w:ascii="宋体" w:hAnsi="宋体" w:eastAsia="宋体" w:cs="宋体"/>
          <w:spacing w:val="9"/>
          <w:sz w:val="23"/>
          <w:szCs w:val="23"/>
        </w:rPr>
        <w:t>④影响预测结</w:t>
      </w:r>
      <w:r>
        <w:rPr>
          <w:rFonts w:ascii="宋体" w:hAnsi="宋体" w:eastAsia="宋体" w:cs="宋体"/>
          <w:spacing w:val="8"/>
          <w:sz w:val="23"/>
          <w:szCs w:val="23"/>
        </w:rPr>
        <w:t>果</w:t>
      </w:r>
    </w:p>
    <w:p w14:paraId="3BE791AD">
      <w:pPr>
        <w:spacing w:line="279" w:lineRule="auto"/>
        <w:rPr>
          <w:rFonts w:ascii="Arial"/>
          <w:sz w:val="21"/>
        </w:rPr>
      </w:pPr>
    </w:p>
    <w:p w14:paraId="7ED6942F">
      <w:pPr>
        <w:spacing w:before="76" w:line="392" w:lineRule="auto"/>
        <w:ind w:left="37" w:right="25" w:firstLine="479"/>
        <w:rPr>
          <w:rFonts w:ascii="宋体" w:hAnsi="宋体" w:eastAsia="宋体" w:cs="宋体"/>
          <w:sz w:val="23"/>
          <w:szCs w:val="23"/>
        </w:rPr>
      </w:pPr>
      <w:r>
        <w:rPr>
          <w:rFonts w:ascii="宋体" w:hAnsi="宋体" w:eastAsia="宋体" w:cs="宋体"/>
          <w:spacing w:val="25"/>
          <w:sz w:val="23"/>
          <w:szCs w:val="23"/>
        </w:rPr>
        <w:t>采</w:t>
      </w:r>
      <w:r>
        <w:rPr>
          <w:rFonts w:ascii="宋体" w:hAnsi="宋体" w:eastAsia="宋体" w:cs="宋体"/>
          <w:spacing w:val="16"/>
          <w:sz w:val="23"/>
          <w:szCs w:val="23"/>
        </w:rPr>
        <w:t>用</w:t>
      </w:r>
      <w:r>
        <w:rPr>
          <w:rFonts w:ascii="Times New Roman" w:hAnsi="Times New Roman" w:eastAsia="Times New Roman" w:cs="Times New Roman"/>
          <w:sz w:val="23"/>
          <w:szCs w:val="23"/>
        </w:rPr>
        <w:t>AERSCREEN</w:t>
      </w:r>
      <w:r>
        <w:rPr>
          <w:rFonts w:ascii="Times New Roman" w:hAnsi="Times New Roman" w:eastAsia="Times New Roman" w:cs="Times New Roman"/>
          <w:spacing w:val="16"/>
          <w:sz w:val="23"/>
          <w:szCs w:val="23"/>
        </w:rPr>
        <w:t xml:space="preserve"> </w:t>
      </w:r>
      <w:r>
        <w:rPr>
          <w:rFonts w:ascii="宋体" w:hAnsi="宋体" w:eastAsia="宋体" w:cs="宋体"/>
          <w:spacing w:val="16"/>
          <w:sz w:val="23"/>
          <w:szCs w:val="23"/>
        </w:rPr>
        <w:t>估算模式对本项目排放的有组织、无组织的废气进行了</w:t>
      </w:r>
      <w:r>
        <w:rPr>
          <w:rFonts w:ascii="宋体" w:hAnsi="宋体" w:eastAsia="宋体" w:cs="宋体"/>
          <w:sz w:val="23"/>
          <w:szCs w:val="23"/>
        </w:rPr>
        <w:t xml:space="preserve"> </w:t>
      </w:r>
      <w:r>
        <w:rPr>
          <w:rFonts w:ascii="宋体" w:hAnsi="宋体" w:eastAsia="宋体" w:cs="宋体"/>
          <w:spacing w:val="-4"/>
          <w:sz w:val="23"/>
          <w:szCs w:val="23"/>
        </w:rPr>
        <w:t>估</w:t>
      </w:r>
      <w:r>
        <w:rPr>
          <w:rFonts w:ascii="宋体" w:hAnsi="宋体" w:eastAsia="宋体" w:cs="宋体"/>
          <w:spacing w:val="-3"/>
          <w:sz w:val="23"/>
          <w:szCs w:val="23"/>
        </w:rPr>
        <w:t>算</w:t>
      </w:r>
      <w:r>
        <w:rPr>
          <w:rFonts w:ascii="宋体" w:hAnsi="宋体" w:eastAsia="宋体" w:cs="宋体"/>
          <w:spacing w:val="-2"/>
          <w:sz w:val="23"/>
          <w:szCs w:val="23"/>
        </w:rPr>
        <w:t xml:space="preserve">，预测结果见表 </w:t>
      </w:r>
      <w:r>
        <w:rPr>
          <w:rFonts w:ascii="Times New Roman" w:hAnsi="Times New Roman" w:eastAsia="Times New Roman" w:cs="Times New Roman"/>
          <w:spacing w:val="-2"/>
          <w:sz w:val="23"/>
          <w:szCs w:val="23"/>
        </w:rPr>
        <w:t>5-8~</w:t>
      </w:r>
      <w:r>
        <w:rPr>
          <w:rFonts w:ascii="宋体" w:hAnsi="宋体" w:eastAsia="宋体" w:cs="宋体"/>
          <w:spacing w:val="-2"/>
          <w:sz w:val="23"/>
          <w:szCs w:val="23"/>
        </w:rPr>
        <w:t xml:space="preserve">表 </w:t>
      </w:r>
      <w:r>
        <w:rPr>
          <w:rFonts w:ascii="Times New Roman" w:hAnsi="Times New Roman" w:eastAsia="Times New Roman" w:cs="Times New Roman"/>
          <w:spacing w:val="-2"/>
          <w:sz w:val="23"/>
          <w:szCs w:val="23"/>
        </w:rPr>
        <w:t>5- 11</w:t>
      </w:r>
      <w:r>
        <w:rPr>
          <w:rFonts w:ascii="宋体" w:hAnsi="宋体" w:eastAsia="宋体" w:cs="宋体"/>
          <w:spacing w:val="-2"/>
          <w:sz w:val="23"/>
          <w:szCs w:val="23"/>
        </w:rPr>
        <w:t>。</w:t>
      </w:r>
    </w:p>
    <w:p w14:paraId="09BCBA8F">
      <w:pPr>
        <w:spacing w:before="91" w:line="332" w:lineRule="exact"/>
        <w:ind w:left="758"/>
        <w:rPr>
          <w:rFonts w:ascii="宋体" w:hAnsi="宋体" w:eastAsia="宋体" w:cs="宋体"/>
          <w:sz w:val="23"/>
          <w:szCs w:val="23"/>
        </w:rPr>
      </w:pPr>
      <w:r>
        <w:rPr>
          <w:rFonts w:ascii="宋体" w:hAnsi="宋体" w:eastAsia="宋体" w:cs="宋体"/>
          <w:spacing w:val="12"/>
          <w:position w:val="2"/>
          <w:sz w:val="23"/>
          <w:szCs w:val="23"/>
          <w14:textOutline w14:w="4358" w14:cap="sq" w14:cmpd="sng">
            <w14:solidFill>
              <w14:srgbClr w14:val="000000"/>
            </w14:solidFill>
            <w14:prstDash w14:val="solid"/>
            <w14:bevel/>
          </w14:textOutline>
        </w:rPr>
        <w:t>表</w:t>
      </w:r>
      <w:r>
        <w:rPr>
          <w:rFonts w:ascii="宋体" w:hAnsi="宋体" w:eastAsia="宋体" w:cs="宋体"/>
          <w:spacing w:val="12"/>
          <w:position w:val="2"/>
          <w:sz w:val="23"/>
          <w:szCs w:val="23"/>
        </w:rPr>
        <w:t xml:space="preserve"> </w:t>
      </w:r>
      <w:r>
        <w:rPr>
          <w:rFonts w:ascii="Times New Roman" w:hAnsi="Times New Roman" w:eastAsia="Times New Roman" w:cs="Times New Roman"/>
          <w:b/>
          <w:bCs/>
          <w:spacing w:val="9"/>
          <w:position w:val="2"/>
          <w:sz w:val="23"/>
          <w:szCs w:val="23"/>
        </w:rPr>
        <w:t>5</w:t>
      </w:r>
      <w:r>
        <w:rPr>
          <w:rFonts w:ascii="Times New Roman" w:hAnsi="Times New Roman" w:eastAsia="Times New Roman" w:cs="Times New Roman"/>
          <w:b/>
          <w:bCs/>
          <w:spacing w:val="6"/>
          <w:position w:val="2"/>
          <w:sz w:val="23"/>
          <w:szCs w:val="23"/>
        </w:rPr>
        <w:t>-8</w:t>
      </w:r>
      <w:r>
        <w:rPr>
          <w:rFonts w:ascii="Times New Roman" w:hAnsi="Times New Roman" w:eastAsia="Times New Roman" w:cs="Times New Roman"/>
          <w:spacing w:val="6"/>
          <w:position w:val="2"/>
          <w:sz w:val="23"/>
          <w:szCs w:val="23"/>
        </w:rPr>
        <w:t xml:space="preserve">        </w:t>
      </w:r>
      <w:r>
        <w:rPr>
          <w:rFonts w:ascii="Times New Roman" w:hAnsi="Times New Roman" w:eastAsia="Times New Roman" w:cs="Times New Roman"/>
          <w:b/>
          <w:bCs/>
          <w:spacing w:val="6"/>
          <w:position w:val="2"/>
          <w:sz w:val="23"/>
          <w:szCs w:val="23"/>
        </w:rPr>
        <w:t>1#</w:t>
      </w:r>
      <w:r>
        <w:rPr>
          <w:rFonts w:ascii="宋体" w:hAnsi="宋体" w:eastAsia="宋体" w:cs="宋体"/>
          <w:spacing w:val="6"/>
          <w:position w:val="2"/>
          <w:sz w:val="23"/>
          <w:szCs w:val="23"/>
          <w14:textOutline w14:w="4358" w14:cap="sq" w14:cmpd="sng">
            <w14:solidFill>
              <w14:srgbClr w14:val="000000"/>
            </w14:solidFill>
            <w14:prstDash w14:val="solid"/>
            <w14:bevel/>
          </w14:textOutline>
        </w:rPr>
        <w:t>排气筒有组织废气主要污染因子估算模式的计算结果</w:t>
      </w:r>
    </w:p>
    <w:p w14:paraId="63D80988">
      <w:pPr>
        <w:spacing w:line="17" w:lineRule="exact"/>
      </w:pPr>
    </w:p>
    <w:tbl>
      <w:tblPr>
        <w:tblStyle w:val="4"/>
        <w:tblW w:w="836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51"/>
        <w:gridCol w:w="2118"/>
        <w:gridCol w:w="2296"/>
        <w:gridCol w:w="2297"/>
      </w:tblGrid>
      <w:tr w14:paraId="475DDF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 w:hRule="atLeast"/>
        </w:trPr>
        <w:tc>
          <w:tcPr>
            <w:tcW w:w="1651" w:type="dxa"/>
            <w:vMerge w:val="restart"/>
            <w:tcBorders>
              <w:left w:val="nil"/>
              <w:bottom w:val="nil"/>
            </w:tcBorders>
            <w:vAlign w:val="top"/>
          </w:tcPr>
          <w:p w14:paraId="08F6B868">
            <w:pPr>
              <w:spacing w:line="329" w:lineRule="auto"/>
              <w:rPr>
                <w:rFonts w:ascii="Arial"/>
                <w:sz w:val="21"/>
              </w:rPr>
            </w:pPr>
          </w:p>
          <w:p w14:paraId="214CE72C">
            <w:pPr>
              <w:spacing w:before="65" w:line="229" w:lineRule="auto"/>
              <w:ind w:left="623"/>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序号</w:t>
            </w:r>
          </w:p>
        </w:tc>
        <w:tc>
          <w:tcPr>
            <w:tcW w:w="2118" w:type="dxa"/>
            <w:vMerge w:val="restart"/>
            <w:tcBorders>
              <w:bottom w:val="nil"/>
            </w:tcBorders>
            <w:vAlign w:val="top"/>
          </w:tcPr>
          <w:p w14:paraId="1E0545F2">
            <w:pPr>
              <w:spacing w:line="288" w:lineRule="auto"/>
              <w:rPr>
                <w:rFonts w:ascii="Arial"/>
                <w:sz w:val="21"/>
              </w:rPr>
            </w:pPr>
          </w:p>
          <w:p w14:paraId="5891300A">
            <w:pPr>
              <w:spacing w:before="65" w:line="289" w:lineRule="exact"/>
              <w:ind w:left="697"/>
              <w:rPr>
                <w:rFonts w:ascii="Times New Roman" w:hAnsi="Times New Roman" w:eastAsia="Times New Roman" w:cs="Times New Roman"/>
                <w:sz w:val="20"/>
                <w:szCs w:val="20"/>
              </w:rPr>
            </w:pPr>
            <w:r>
              <w:rPr>
                <w:rFonts w:ascii="宋体" w:hAnsi="宋体" w:eastAsia="宋体" w:cs="宋体"/>
                <w:spacing w:val="7"/>
                <w:position w:val="2"/>
                <w:sz w:val="20"/>
                <w:szCs w:val="20"/>
                <w14:textOutline w14:w="3795" w14:cap="sq" w14:cmpd="sng">
                  <w14:solidFill>
                    <w14:srgbClr w14:val="000000"/>
                  </w14:solidFill>
                  <w14:prstDash w14:val="solid"/>
                  <w14:bevel/>
                </w14:textOutline>
              </w:rPr>
              <w:t>距离</w:t>
            </w:r>
            <w:r>
              <w:rPr>
                <w:rFonts w:ascii="Times New Roman" w:hAnsi="Times New Roman" w:eastAsia="Times New Roman" w:cs="Times New Roman"/>
                <w:b/>
                <w:bCs/>
                <w:spacing w:val="7"/>
                <w:position w:val="2"/>
                <w:sz w:val="20"/>
                <w:szCs w:val="20"/>
              </w:rPr>
              <w:t>(</w:t>
            </w:r>
            <w:r>
              <w:rPr>
                <w:rFonts w:ascii="Times New Roman" w:hAnsi="Times New Roman" w:eastAsia="Times New Roman" w:cs="Times New Roman"/>
                <w:b/>
                <w:bCs/>
                <w:position w:val="2"/>
                <w:sz w:val="20"/>
                <w:szCs w:val="20"/>
              </w:rPr>
              <w:t>m</w:t>
            </w:r>
            <w:r>
              <w:rPr>
                <w:rFonts w:ascii="Times New Roman" w:hAnsi="Times New Roman" w:eastAsia="Times New Roman" w:cs="Times New Roman"/>
                <w:b/>
                <w:bCs/>
                <w:spacing w:val="6"/>
                <w:position w:val="2"/>
                <w:sz w:val="20"/>
                <w:szCs w:val="20"/>
              </w:rPr>
              <w:t>)</w:t>
            </w:r>
          </w:p>
        </w:tc>
        <w:tc>
          <w:tcPr>
            <w:tcW w:w="4593" w:type="dxa"/>
            <w:gridSpan w:val="2"/>
            <w:tcBorders>
              <w:right w:val="nil"/>
            </w:tcBorders>
            <w:vAlign w:val="top"/>
          </w:tcPr>
          <w:p w14:paraId="00B7846D">
            <w:pPr>
              <w:spacing w:before="43" w:line="286" w:lineRule="exact"/>
              <w:ind w:left="1991"/>
              <w:rPr>
                <w:rFonts w:ascii="宋体" w:hAnsi="宋体" w:eastAsia="宋体" w:cs="宋体"/>
                <w:sz w:val="20"/>
                <w:szCs w:val="20"/>
              </w:rPr>
            </w:pPr>
            <w:r>
              <w:rPr>
                <w:rFonts w:ascii="Times New Roman" w:hAnsi="Times New Roman" w:eastAsia="Times New Roman" w:cs="Times New Roman"/>
                <w:b/>
                <w:bCs/>
                <w:spacing w:val="5"/>
                <w:position w:val="1"/>
                <w:sz w:val="20"/>
                <w:szCs w:val="20"/>
              </w:rPr>
              <w:t>1</w:t>
            </w:r>
            <w:r>
              <w:rPr>
                <w:rFonts w:ascii="Times New Roman" w:hAnsi="Times New Roman" w:eastAsia="Times New Roman" w:cs="Times New Roman"/>
                <w:b/>
                <w:bCs/>
                <w:spacing w:val="4"/>
                <w:position w:val="1"/>
                <w:sz w:val="20"/>
                <w:szCs w:val="20"/>
              </w:rPr>
              <w:t>#</w:t>
            </w:r>
            <w:r>
              <w:rPr>
                <w:rFonts w:ascii="宋体" w:hAnsi="宋体" w:eastAsia="宋体" w:cs="宋体"/>
                <w:spacing w:val="4"/>
                <w:position w:val="1"/>
                <w:sz w:val="20"/>
                <w:szCs w:val="20"/>
                <w14:textOutline w14:w="3751" w14:cap="sq" w14:cmpd="sng">
                  <w14:solidFill>
                    <w14:srgbClr w14:val="000000"/>
                  </w14:solidFill>
                  <w14:prstDash w14:val="solid"/>
                  <w14:bevel/>
                </w14:textOutline>
              </w:rPr>
              <w:t>点源</w:t>
            </w:r>
          </w:p>
        </w:tc>
      </w:tr>
      <w:tr w14:paraId="3478A0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651" w:type="dxa"/>
            <w:vMerge w:val="continue"/>
            <w:tcBorders>
              <w:top w:val="nil"/>
              <w:left w:val="nil"/>
              <w:bottom w:val="nil"/>
            </w:tcBorders>
            <w:vAlign w:val="top"/>
          </w:tcPr>
          <w:p w14:paraId="363E5245">
            <w:pPr>
              <w:rPr>
                <w:rFonts w:ascii="Arial"/>
                <w:sz w:val="21"/>
              </w:rPr>
            </w:pPr>
          </w:p>
        </w:tc>
        <w:tc>
          <w:tcPr>
            <w:tcW w:w="2118" w:type="dxa"/>
            <w:vMerge w:val="continue"/>
            <w:tcBorders>
              <w:top w:val="nil"/>
              <w:bottom w:val="nil"/>
            </w:tcBorders>
            <w:vAlign w:val="top"/>
          </w:tcPr>
          <w:p w14:paraId="03948E2F">
            <w:pPr>
              <w:rPr>
                <w:rFonts w:ascii="Arial"/>
                <w:sz w:val="21"/>
              </w:rPr>
            </w:pPr>
          </w:p>
        </w:tc>
        <w:tc>
          <w:tcPr>
            <w:tcW w:w="4593" w:type="dxa"/>
            <w:gridSpan w:val="2"/>
            <w:tcBorders>
              <w:right w:val="nil"/>
            </w:tcBorders>
            <w:vAlign w:val="top"/>
          </w:tcPr>
          <w:p w14:paraId="3BEFFAC1">
            <w:pPr>
              <w:spacing w:before="98" w:line="195" w:lineRule="auto"/>
              <w:ind w:left="1964"/>
              <w:rPr>
                <w:rFonts w:ascii="Times New Roman" w:hAnsi="Times New Roman" w:eastAsia="Times New Roman" w:cs="Times New Roman"/>
                <w:sz w:val="20"/>
                <w:szCs w:val="20"/>
              </w:rPr>
            </w:pPr>
            <w:r>
              <w:rPr>
                <w:rFonts w:ascii="Times New Roman" w:hAnsi="Times New Roman" w:eastAsia="Times New Roman" w:cs="Times New Roman"/>
                <w:b/>
                <w:bCs/>
                <w:spacing w:val="7"/>
                <w:sz w:val="20"/>
                <w:szCs w:val="20"/>
              </w:rPr>
              <w:t>N</w:t>
            </w:r>
            <w:r>
              <w:rPr>
                <w:rFonts w:ascii="Times New Roman" w:hAnsi="Times New Roman" w:eastAsia="Times New Roman" w:cs="Times New Roman"/>
                <w:b/>
                <w:bCs/>
                <w:spacing w:val="6"/>
                <w:sz w:val="20"/>
                <w:szCs w:val="20"/>
              </w:rPr>
              <w:t>MHC</w:t>
            </w:r>
          </w:p>
        </w:tc>
      </w:tr>
      <w:tr w14:paraId="304A03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vMerge w:val="continue"/>
            <w:tcBorders>
              <w:top w:val="nil"/>
              <w:left w:val="nil"/>
            </w:tcBorders>
            <w:vAlign w:val="top"/>
          </w:tcPr>
          <w:p w14:paraId="60572520">
            <w:pPr>
              <w:rPr>
                <w:rFonts w:ascii="Arial"/>
                <w:sz w:val="21"/>
              </w:rPr>
            </w:pPr>
          </w:p>
        </w:tc>
        <w:tc>
          <w:tcPr>
            <w:tcW w:w="2118" w:type="dxa"/>
            <w:vMerge w:val="continue"/>
            <w:tcBorders>
              <w:top w:val="nil"/>
            </w:tcBorders>
            <w:vAlign w:val="top"/>
          </w:tcPr>
          <w:p w14:paraId="52EECB9C">
            <w:pPr>
              <w:rPr>
                <w:rFonts w:ascii="Arial"/>
                <w:sz w:val="21"/>
              </w:rPr>
            </w:pPr>
          </w:p>
        </w:tc>
        <w:tc>
          <w:tcPr>
            <w:tcW w:w="2296" w:type="dxa"/>
            <w:vAlign w:val="top"/>
          </w:tcPr>
          <w:p w14:paraId="4AE1D6FC">
            <w:pPr>
              <w:spacing w:before="22" w:line="282" w:lineRule="exact"/>
              <w:ind w:left="183"/>
              <w:rPr>
                <w:rFonts w:ascii="Times New Roman" w:hAnsi="Times New Roman" w:eastAsia="Times New Roman" w:cs="Times New Roman"/>
                <w:sz w:val="20"/>
                <w:szCs w:val="20"/>
              </w:rPr>
            </w:pPr>
            <w:r>
              <w:rPr>
                <w:rFonts w:ascii="宋体" w:hAnsi="宋体" w:eastAsia="宋体" w:cs="宋体"/>
                <w:spacing w:val="-15"/>
                <w:position w:val="2"/>
                <w:sz w:val="20"/>
                <w:szCs w:val="20"/>
                <w14:textOutline w14:w="3717" w14:cap="sq" w14:cmpd="sng">
                  <w14:solidFill>
                    <w14:srgbClr w14:val="000000"/>
                  </w14:solidFill>
                  <w14:prstDash w14:val="solid"/>
                  <w14:bevel/>
                </w14:textOutline>
              </w:rPr>
              <w:t>下</w:t>
            </w:r>
            <w:r>
              <w:rPr>
                <w:rFonts w:ascii="宋体" w:hAnsi="宋体" w:eastAsia="宋体" w:cs="宋体"/>
                <w:spacing w:val="-8"/>
                <w:position w:val="2"/>
                <w:sz w:val="20"/>
                <w:szCs w:val="20"/>
                <w14:textOutline w14:w="3717" w14:cap="sq" w14:cmpd="sng">
                  <w14:solidFill>
                    <w14:srgbClr w14:val="000000"/>
                  </w14:solidFill>
                  <w14:prstDash w14:val="solid"/>
                  <w14:bevel/>
                </w14:textOutline>
              </w:rPr>
              <w:t>风向预测浓度</w:t>
            </w:r>
            <w:r>
              <w:rPr>
                <w:rFonts w:ascii="Times New Roman" w:hAnsi="Times New Roman" w:eastAsia="Times New Roman" w:cs="Times New Roman"/>
                <w:b/>
                <w:bCs/>
                <w:spacing w:val="-8"/>
                <w:position w:val="2"/>
                <w:sz w:val="20"/>
                <w:szCs w:val="20"/>
              </w:rPr>
              <w:t>(mg/m</w:t>
            </w:r>
            <w:r>
              <w:rPr>
                <w:rFonts w:ascii="Times New Roman" w:hAnsi="Times New Roman" w:eastAsia="Times New Roman" w:cs="Times New Roman"/>
                <w:b/>
                <w:bCs/>
                <w:spacing w:val="-8"/>
                <w:position w:val="8"/>
                <w:sz w:val="13"/>
                <w:szCs w:val="13"/>
              </w:rPr>
              <w:t>3</w:t>
            </w:r>
            <w:r>
              <w:rPr>
                <w:rFonts w:ascii="Times New Roman" w:hAnsi="Times New Roman" w:eastAsia="Times New Roman" w:cs="Times New Roman"/>
                <w:b/>
                <w:bCs/>
                <w:spacing w:val="-8"/>
                <w:position w:val="2"/>
                <w:sz w:val="20"/>
                <w:szCs w:val="20"/>
              </w:rPr>
              <w:t>)</w:t>
            </w:r>
          </w:p>
        </w:tc>
        <w:tc>
          <w:tcPr>
            <w:tcW w:w="2297" w:type="dxa"/>
            <w:tcBorders>
              <w:right w:val="nil"/>
            </w:tcBorders>
            <w:vAlign w:val="top"/>
          </w:tcPr>
          <w:p w14:paraId="55F77C6D">
            <w:pPr>
              <w:spacing w:before="22" w:line="282" w:lineRule="exact"/>
              <w:ind w:left="698"/>
              <w:rPr>
                <w:rFonts w:ascii="Times New Roman" w:hAnsi="Times New Roman" w:eastAsia="Times New Roman" w:cs="Times New Roman"/>
                <w:sz w:val="20"/>
                <w:szCs w:val="20"/>
              </w:rPr>
            </w:pPr>
            <w:r>
              <w:rPr>
                <w:rFonts w:ascii="宋体" w:hAnsi="宋体" w:eastAsia="宋体" w:cs="宋体"/>
                <w:spacing w:val="1"/>
                <w:position w:val="2"/>
                <w:sz w:val="20"/>
                <w:szCs w:val="20"/>
                <w14:textOutline w14:w="3717" w14:cap="sq" w14:cmpd="sng">
                  <w14:solidFill>
                    <w14:srgbClr w14:val="000000"/>
                  </w14:solidFill>
                  <w14:prstDash w14:val="solid"/>
                  <w14:bevel/>
                </w14:textOutline>
              </w:rPr>
              <w:t>占标率</w:t>
            </w:r>
            <w:r>
              <w:rPr>
                <w:rFonts w:ascii="Times New Roman" w:hAnsi="Times New Roman" w:eastAsia="Times New Roman" w:cs="Times New Roman"/>
                <w:b/>
                <w:bCs/>
                <w:spacing w:val="1"/>
                <w:position w:val="2"/>
                <w:sz w:val="20"/>
                <w:szCs w:val="20"/>
              </w:rPr>
              <w:t>(%</w:t>
            </w:r>
            <w:r>
              <w:rPr>
                <w:rFonts w:ascii="Times New Roman" w:hAnsi="Times New Roman" w:eastAsia="Times New Roman" w:cs="Times New Roman"/>
                <w:b/>
                <w:bCs/>
                <w:position w:val="2"/>
                <w:sz w:val="20"/>
                <w:szCs w:val="20"/>
              </w:rPr>
              <w:t>)</w:t>
            </w:r>
          </w:p>
        </w:tc>
      </w:tr>
      <w:tr w14:paraId="213BC6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38E57B5E">
            <w:pPr>
              <w:spacing w:before="98" w:line="195" w:lineRule="auto"/>
              <w:ind w:left="796"/>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118" w:type="dxa"/>
            <w:vAlign w:val="top"/>
          </w:tcPr>
          <w:p w14:paraId="79E7724C">
            <w:pPr>
              <w:spacing w:before="98" w:line="195" w:lineRule="auto"/>
              <w:ind w:left="97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2296" w:type="dxa"/>
            <w:vAlign w:val="top"/>
          </w:tcPr>
          <w:p w14:paraId="1CA55F2C">
            <w:pPr>
              <w:spacing w:before="98" w:line="195" w:lineRule="auto"/>
              <w:ind w:left="110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2297" w:type="dxa"/>
            <w:tcBorders>
              <w:right w:val="nil"/>
            </w:tcBorders>
            <w:vAlign w:val="top"/>
          </w:tcPr>
          <w:p w14:paraId="2E86DCF3">
            <w:pPr>
              <w:spacing w:before="98"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.00</w:t>
            </w:r>
          </w:p>
        </w:tc>
      </w:tr>
      <w:tr w14:paraId="368662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42D7F203">
            <w:pPr>
              <w:spacing w:before="98" w:line="195" w:lineRule="auto"/>
              <w:ind w:left="776"/>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118" w:type="dxa"/>
            <w:vAlign w:val="top"/>
          </w:tcPr>
          <w:p w14:paraId="0573E671">
            <w:pPr>
              <w:spacing w:before="98" w:line="195" w:lineRule="auto"/>
              <w:ind w:left="9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100</w:t>
            </w:r>
          </w:p>
        </w:tc>
        <w:tc>
          <w:tcPr>
            <w:tcW w:w="2296" w:type="dxa"/>
            <w:vAlign w:val="top"/>
          </w:tcPr>
          <w:p w14:paraId="61F37C2D">
            <w:pPr>
              <w:spacing w:before="98"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0.00309</w:t>
            </w:r>
            <w:r>
              <w:rPr>
                <w:rFonts w:ascii="Times New Roman" w:hAnsi="Times New Roman" w:eastAsia="Times New Roman" w:cs="Times New Roman"/>
                <w:spacing w:val="2"/>
                <w:sz w:val="20"/>
                <w:szCs w:val="20"/>
              </w:rPr>
              <w:t>6</w:t>
            </w:r>
          </w:p>
        </w:tc>
        <w:tc>
          <w:tcPr>
            <w:tcW w:w="2297" w:type="dxa"/>
            <w:tcBorders>
              <w:right w:val="nil"/>
            </w:tcBorders>
            <w:vAlign w:val="top"/>
          </w:tcPr>
          <w:p w14:paraId="5CFEB3FD">
            <w:pPr>
              <w:spacing w:before="98"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0. 15</w:t>
            </w:r>
          </w:p>
        </w:tc>
      </w:tr>
      <w:tr w14:paraId="378BA9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217071D7">
            <w:pPr>
              <w:spacing w:before="97" w:line="195" w:lineRule="auto"/>
              <w:ind w:left="780"/>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118" w:type="dxa"/>
            <w:vAlign w:val="top"/>
          </w:tcPr>
          <w:p w14:paraId="26E54BBF">
            <w:pPr>
              <w:spacing w:before="97" w:line="195" w:lineRule="auto"/>
              <w:ind w:left="90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00</w:t>
            </w:r>
          </w:p>
        </w:tc>
        <w:tc>
          <w:tcPr>
            <w:tcW w:w="2296" w:type="dxa"/>
            <w:vAlign w:val="top"/>
          </w:tcPr>
          <w:p w14:paraId="20CE2632">
            <w:pPr>
              <w:spacing w:before="98"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0.00380</w:t>
            </w:r>
            <w:r>
              <w:rPr>
                <w:rFonts w:ascii="Times New Roman" w:hAnsi="Times New Roman" w:eastAsia="Times New Roman" w:cs="Times New Roman"/>
                <w:spacing w:val="2"/>
                <w:sz w:val="20"/>
                <w:szCs w:val="20"/>
              </w:rPr>
              <w:t>5</w:t>
            </w:r>
          </w:p>
        </w:tc>
        <w:tc>
          <w:tcPr>
            <w:tcW w:w="2297" w:type="dxa"/>
            <w:tcBorders>
              <w:right w:val="nil"/>
            </w:tcBorders>
            <w:vAlign w:val="top"/>
          </w:tcPr>
          <w:p w14:paraId="1CCA34B5">
            <w:pPr>
              <w:spacing w:before="97"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0. 19</w:t>
            </w:r>
          </w:p>
        </w:tc>
      </w:tr>
      <w:tr w14:paraId="6BF84F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0567E1E8">
            <w:pPr>
              <w:spacing w:before="97" w:line="195" w:lineRule="auto"/>
              <w:ind w:left="7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2118" w:type="dxa"/>
            <w:vAlign w:val="top"/>
          </w:tcPr>
          <w:p w14:paraId="07103FC1">
            <w:pPr>
              <w:spacing w:before="97" w:line="195" w:lineRule="auto"/>
              <w:ind w:left="9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00</w:t>
            </w:r>
          </w:p>
        </w:tc>
        <w:tc>
          <w:tcPr>
            <w:tcW w:w="2296" w:type="dxa"/>
            <w:vAlign w:val="top"/>
          </w:tcPr>
          <w:p w14:paraId="1398E01C">
            <w:pPr>
              <w:spacing w:before="97" w:line="195" w:lineRule="auto"/>
              <w:ind w:left="81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00404</w:t>
            </w:r>
          </w:p>
        </w:tc>
        <w:tc>
          <w:tcPr>
            <w:tcW w:w="2297" w:type="dxa"/>
            <w:tcBorders>
              <w:right w:val="nil"/>
            </w:tcBorders>
            <w:vAlign w:val="top"/>
          </w:tcPr>
          <w:p w14:paraId="4C0A3755">
            <w:pPr>
              <w:spacing w:before="97"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.20</w:t>
            </w:r>
          </w:p>
        </w:tc>
      </w:tr>
      <w:tr w14:paraId="774F8C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2984490D">
            <w:pPr>
              <w:spacing w:before="102" w:line="192" w:lineRule="auto"/>
              <w:ind w:left="782"/>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2118" w:type="dxa"/>
            <w:vAlign w:val="top"/>
          </w:tcPr>
          <w:p w14:paraId="55ECE2A6">
            <w:pPr>
              <w:spacing w:before="99" w:line="195" w:lineRule="auto"/>
              <w:ind w:left="9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19</w:t>
            </w:r>
          </w:p>
        </w:tc>
        <w:tc>
          <w:tcPr>
            <w:tcW w:w="2296" w:type="dxa"/>
            <w:vAlign w:val="top"/>
          </w:tcPr>
          <w:p w14:paraId="46D6656E">
            <w:pPr>
              <w:spacing w:before="99"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0.00406</w:t>
            </w:r>
            <w:r>
              <w:rPr>
                <w:rFonts w:ascii="Times New Roman" w:hAnsi="Times New Roman" w:eastAsia="Times New Roman" w:cs="Times New Roman"/>
                <w:spacing w:val="2"/>
                <w:sz w:val="20"/>
                <w:szCs w:val="20"/>
              </w:rPr>
              <w:t>5</w:t>
            </w:r>
          </w:p>
        </w:tc>
        <w:tc>
          <w:tcPr>
            <w:tcW w:w="2297" w:type="dxa"/>
            <w:tcBorders>
              <w:right w:val="nil"/>
            </w:tcBorders>
            <w:vAlign w:val="top"/>
          </w:tcPr>
          <w:p w14:paraId="77B9BD67">
            <w:pPr>
              <w:spacing w:before="99"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.20</w:t>
            </w:r>
          </w:p>
        </w:tc>
      </w:tr>
      <w:tr w14:paraId="4A7AD1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13D0261F">
            <w:pPr>
              <w:spacing w:before="98" w:line="195" w:lineRule="auto"/>
              <w:ind w:left="780"/>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2118" w:type="dxa"/>
            <w:vAlign w:val="top"/>
          </w:tcPr>
          <w:p w14:paraId="0845F69B">
            <w:pPr>
              <w:spacing w:before="98" w:line="195" w:lineRule="auto"/>
              <w:ind w:left="90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400</w:t>
            </w:r>
          </w:p>
        </w:tc>
        <w:tc>
          <w:tcPr>
            <w:tcW w:w="2296" w:type="dxa"/>
            <w:vAlign w:val="top"/>
          </w:tcPr>
          <w:p w14:paraId="76C29296">
            <w:pPr>
              <w:spacing w:before="99"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0.00385</w:t>
            </w:r>
            <w:r>
              <w:rPr>
                <w:rFonts w:ascii="Times New Roman" w:hAnsi="Times New Roman" w:eastAsia="Times New Roman" w:cs="Times New Roman"/>
                <w:spacing w:val="2"/>
                <w:sz w:val="20"/>
                <w:szCs w:val="20"/>
              </w:rPr>
              <w:t>4</w:t>
            </w:r>
          </w:p>
        </w:tc>
        <w:tc>
          <w:tcPr>
            <w:tcW w:w="2297" w:type="dxa"/>
            <w:tcBorders>
              <w:right w:val="nil"/>
            </w:tcBorders>
            <w:vAlign w:val="top"/>
          </w:tcPr>
          <w:p w14:paraId="6121283A">
            <w:pPr>
              <w:spacing w:before="98"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0. 19</w:t>
            </w:r>
          </w:p>
        </w:tc>
      </w:tr>
      <w:tr w14:paraId="0E48EB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082C2352">
            <w:pPr>
              <w:spacing w:before="101" w:line="192" w:lineRule="auto"/>
              <w:ind w:left="779"/>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2118" w:type="dxa"/>
            <w:vAlign w:val="top"/>
          </w:tcPr>
          <w:p w14:paraId="67B989BA">
            <w:pPr>
              <w:spacing w:before="98" w:line="195" w:lineRule="auto"/>
              <w:ind w:left="9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50</w:t>
            </w:r>
            <w:r>
              <w:rPr>
                <w:rFonts w:ascii="Times New Roman" w:hAnsi="Times New Roman" w:eastAsia="Times New Roman" w:cs="Times New Roman"/>
                <w:spacing w:val="1"/>
                <w:sz w:val="20"/>
                <w:szCs w:val="20"/>
              </w:rPr>
              <w:t>0</w:t>
            </w:r>
          </w:p>
        </w:tc>
        <w:tc>
          <w:tcPr>
            <w:tcW w:w="2296" w:type="dxa"/>
            <w:vAlign w:val="top"/>
          </w:tcPr>
          <w:p w14:paraId="5DE9F0DE">
            <w:pPr>
              <w:spacing w:before="98"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0.00363</w:t>
            </w:r>
            <w:r>
              <w:rPr>
                <w:rFonts w:ascii="Times New Roman" w:hAnsi="Times New Roman" w:eastAsia="Times New Roman" w:cs="Times New Roman"/>
                <w:spacing w:val="2"/>
                <w:sz w:val="20"/>
                <w:szCs w:val="20"/>
              </w:rPr>
              <w:t>7</w:t>
            </w:r>
          </w:p>
        </w:tc>
        <w:tc>
          <w:tcPr>
            <w:tcW w:w="2297" w:type="dxa"/>
            <w:tcBorders>
              <w:right w:val="nil"/>
            </w:tcBorders>
            <w:vAlign w:val="top"/>
          </w:tcPr>
          <w:p w14:paraId="408A2D48">
            <w:pPr>
              <w:spacing w:before="98"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0. 18</w:t>
            </w:r>
          </w:p>
        </w:tc>
      </w:tr>
      <w:tr w14:paraId="355E58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5B32D0C8">
            <w:pPr>
              <w:spacing w:before="98" w:line="195" w:lineRule="auto"/>
              <w:ind w:left="784"/>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2118" w:type="dxa"/>
            <w:vAlign w:val="top"/>
          </w:tcPr>
          <w:p w14:paraId="33FA19B8">
            <w:pPr>
              <w:spacing w:before="98" w:line="195" w:lineRule="auto"/>
              <w:ind w:left="90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600</w:t>
            </w:r>
          </w:p>
        </w:tc>
        <w:tc>
          <w:tcPr>
            <w:tcW w:w="2296" w:type="dxa"/>
            <w:vAlign w:val="top"/>
          </w:tcPr>
          <w:p w14:paraId="12057128">
            <w:pPr>
              <w:spacing w:before="98"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0.00341</w:t>
            </w:r>
            <w:r>
              <w:rPr>
                <w:rFonts w:ascii="Times New Roman" w:hAnsi="Times New Roman" w:eastAsia="Times New Roman" w:cs="Times New Roman"/>
                <w:spacing w:val="2"/>
                <w:sz w:val="20"/>
                <w:szCs w:val="20"/>
              </w:rPr>
              <w:t>5</w:t>
            </w:r>
          </w:p>
        </w:tc>
        <w:tc>
          <w:tcPr>
            <w:tcW w:w="2297" w:type="dxa"/>
            <w:tcBorders>
              <w:right w:val="nil"/>
            </w:tcBorders>
            <w:vAlign w:val="top"/>
          </w:tcPr>
          <w:p w14:paraId="0A874E25">
            <w:pPr>
              <w:spacing w:before="98"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0. 17</w:t>
            </w:r>
          </w:p>
        </w:tc>
      </w:tr>
      <w:tr w14:paraId="5862D1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0AE20D9E">
            <w:pPr>
              <w:spacing w:before="97" w:line="195" w:lineRule="auto"/>
              <w:ind w:left="780"/>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2118" w:type="dxa"/>
            <w:vAlign w:val="top"/>
          </w:tcPr>
          <w:p w14:paraId="020E76F7">
            <w:pPr>
              <w:spacing w:before="97" w:line="195" w:lineRule="auto"/>
              <w:ind w:left="9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w:t>
            </w:r>
            <w:r>
              <w:rPr>
                <w:rFonts w:ascii="Times New Roman" w:hAnsi="Times New Roman" w:eastAsia="Times New Roman" w:cs="Times New Roman"/>
                <w:spacing w:val="2"/>
                <w:sz w:val="20"/>
                <w:szCs w:val="20"/>
              </w:rPr>
              <w:t>00</w:t>
            </w:r>
          </w:p>
        </w:tc>
        <w:tc>
          <w:tcPr>
            <w:tcW w:w="2296" w:type="dxa"/>
            <w:vAlign w:val="top"/>
          </w:tcPr>
          <w:p w14:paraId="6888DF51">
            <w:pPr>
              <w:spacing w:before="98"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0.00327</w:t>
            </w:r>
            <w:r>
              <w:rPr>
                <w:rFonts w:ascii="Times New Roman" w:hAnsi="Times New Roman" w:eastAsia="Times New Roman" w:cs="Times New Roman"/>
                <w:spacing w:val="2"/>
                <w:sz w:val="20"/>
                <w:szCs w:val="20"/>
              </w:rPr>
              <w:t>8</w:t>
            </w:r>
          </w:p>
        </w:tc>
        <w:tc>
          <w:tcPr>
            <w:tcW w:w="2297" w:type="dxa"/>
            <w:tcBorders>
              <w:right w:val="nil"/>
            </w:tcBorders>
            <w:vAlign w:val="top"/>
          </w:tcPr>
          <w:p w14:paraId="1AFC149C">
            <w:pPr>
              <w:spacing w:before="98"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0. 16</w:t>
            </w:r>
          </w:p>
        </w:tc>
      </w:tr>
      <w:tr w14:paraId="4E9A2A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31DB0FD2">
            <w:pPr>
              <w:spacing w:before="97" w:line="195" w:lineRule="auto"/>
              <w:ind w:left="74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2118" w:type="dxa"/>
            <w:vAlign w:val="top"/>
          </w:tcPr>
          <w:p w14:paraId="5493816B">
            <w:pPr>
              <w:spacing w:before="97" w:line="195" w:lineRule="auto"/>
              <w:ind w:left="91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80</w:t>
            </w:r>
            <w:r>
              <w:rPr>
                <w:rFonts w:ascii="Times New Roman" w:hAnsi="Times New Roman" w:eastAsia="Times New Roman" w:cs="Times New Roman"/>
                <w:sz w:val="20"/>
                <w:szCs w:val="20"/>
              </w:rPr>
              <w:t>0</w:t>
            </w:r>
          </w:p>
        </w:tc>
        <w:tc>
          <w:tcPr>
            <w:tcW w:w="2296" w:type="dxa"/>
            <w:vAlign w:val="top"/>
          </w:tcPr>
          <w:p w14:paraId="4195E0C5">
            <w:pPr>
              <w:spacing w:before="97"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0.00316</w:t>
            </w:r>
            <w:r>
              <w:rPr>
                <w:rFonts w:ascii="Times New Roman" w:hAnsi="Times New Roman" w:eastAsia="Times New Roman" w:cs="Times New Roman"/>
                <w:spacing w:val="2"/>
                <w:sz w:val="20"/>
                <w:szCs w:val="20"/>
              </w:rPr>
              <w:t>2</w:t>
            </w:r>
          </w:p>
        </w:tc>
        <w:tc>
          <w:tcPr>
            <w:tcW w:w="2297" w:type="dxa"/>
            <w:tcBorders>
              <w:right w:val="nil"/>
            </w:tcBorders>
            <w:vAlign w:val="top"/>
          </w:tcPr>
          <w:p w14:paraId="528F942C">
            <w:pPr>
              <w:spacing w:before="97"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0. 16</w:t>
            </w:r>
          </w:p>
        </w:tc>
      </w:tr>
      <w:tr w14:paraId="58B2D7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651" w:type="dxa"/>
            <w:tcBorders>
              <w:left w:val="nil"/>
            </w:tcBorders>
            <w:vAlign w:val="top"/>
          </w:tcPr>
          <w:p w14:paraId="179571C9">
            <w:pPr>
              <w:spacing w:before="99" w:line="195" w:lineRule="auto"/>
              <w:ind w:left="748"/>
              <w:rPr>
                <w:rFonts w:ascii="Times New Roman" w:hAnsi="Times New Roman" w:eastAsia="Times New Roman" w:cs="Times New Roman"/>
                <w:sz w:val="20"/>
                <w:szCs w:val="20"/>
              </w:rPr>
            </w:pPr>
            <w:r>
              <w:rPr>
                <w:rFonts w:ascii="Times New Roman" w:hAnsi="Times New Roman" w:eastAsia="Times New Roman" w:cs="Times New Roman"/>
                <w:spacing w:val="-11"/>
                <w:sz w:val="20"/>
                <w:szCs w:val="20"/>
              </w:rPr>
              <w:t>1</w:t>
            </w:r>
            <w:r>
              <w:rPr>
                <w:rFonts w:ascii="Times New Roman" w:hAnsi="Times New Roman" w:eastAsia="Times New Roman" w:cs="Times New Roman"/>
                <w:spacing w:val="-9"/>
                <w:sz w:val="20"/>
                <w:szCs w:val="20"/>
              </w:rPr>
              <w:t>1</w:t>
            </w:r>
          </w:p>
        </w:tc>
        <w:tc>
          <w:tcPr>
            <w:tcW w:w="2118" w:type="dxa"/>
            <w:vAlign w:val="top"/>
          </w:tcPr>
          <w:p w14:paraId="5D7D1C24">
            <w:pPr>
              <w:spacing w:before="99" w:line="195" w:lineRule="auto"/>
              <w:ind w:left="9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w:t>
            </w:r>
            <w:r>
              <w:rPr>
                <w:rFonts w:ascii="Times New Roman" w:hAnsi="Times New Roman" w:eastAsia="Times New Roman" w:cs="Times New Roman"/>
                <w:spacing w:val="2"/>
                <w:sz w:val="20"/>
                <w:szCs w:val="20"/>
              </w:rPr>
              <w:t>00</w:t>
            </w:r>
          </w:p>
        </w:tc>
        <w:tc>
          <w:tcPr>
            <w:tcW w:w="2296" w:type="dxa"/>
            <w:vAlign w:val="top"/>
          </w:tcPr>
          <w:p w14:paraId="213EDBCB">
            <w:pPr>
              <w:spacing w:before="99"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0.00306</w:t>
            </w:r>
            <w:r>
              <w:rPr>
                <w:rFonts w:ascii="Times New Roman" w:hAnsi="Times New Roman" w:eastAsia="Times New Roman" w:cs="Times New Roman"/>
                <w:spacing w:val="2"/>
                <w:sz w:val="20"/>
                <w:szCs w:val="20"/>
              </w:rPr>
              <w:t>5</w:t>
            </w:r>
          </w:p>
        </w:tc>
        <w:tc>
          <w:tcPr>
            <w:tcW w:w="2297" w:type="dxa"/>
            <w:tcBorders>
              <w:right w:val="nil"/>
            </w:tcBorders>
            <w:vAlign w:val="top"/>
          </w:tcPr>
          <w:p w14:paraId="2A209C44">
            <w:pPr>
              <w:spacing w:before="99"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0. 15</w:t>
            </w:r>
          </w:p>
        </w:tc>
      </w:tr>
      <w:tr w14:paraId="15DAE7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15C09489">
            <w:pPr>
              <w:spacing w:before="100" w:line="195" w:lineRule="auto"/>
              <w:ind w:left="74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2</w:t>
            </w:r>
          </w:p>
        </w:tc>
        <w:tc>
          <w:tcPr>
            <w:tcW w:w="2118" w:type="dxa"/>
            <w:vAlign w:val="top"/>
          </w:tcPr>
          <w:p w14:paraId="376EE539">
            <w:pPr>
              <w:spacing w:before="99" w:line="195" w:lineRule="auto"/>
              <w:ind w:left="87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1000</w:t>
            </w:r>
          </w:p>
        </w:tc>
        <w:tc>
          <w:tcPr>
            <w:tcW w:w="2296" w:type="dxa"/>
            <w:vAlign w:val="top"/>
          </w:tcPr>
          <w:p w14:paraId="3847E8DB">
            <w:pPr>
              <w:spacing w:before="100"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0.00291</w:t>
            </w:r>
            <w:r>
              <w:rPr>
                <w:rFonts w:ascii="Times New Roman" w:hAnsi="Times New Roman" w:eastAsia="Times New Roman" w:cs="Times New Roman"/>
                <w:spacing w:val="2"/>
                <w:sz w:val="20"/>
                <w:szCs w:val="20"/>
              </w:rPr>
              <w:t>3</w:t>
            </w:r>
          </w:p>
        </w:tc>
        <w:tc>
          <w:tcPr>
            <w:tcW w:w="2297" w:type="dxa"/>
            <w:tcBorders>
              <w:right w:val="nil"/>
            </w:tcBorders>
            <w:vAlign w:val="top"/>
          </w:tcPr>
          <w:p w14:paraId="0FCBF969">
            <w:pPr>
              <w:spacing w:before="100"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0. 15</w:t>
            </w:r>
          </w:p>
        </w:tc>
      </w:tr>
      <w:tr w14:paraId="457CD0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35F22B5A">
            <w:pPr>
              <w:spacing w:before="99" w:line="195" w:lineRule="auto"/>
              <w:ind w:left="74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3</w:t>
            </w:r>
          </w:p>
        </w:tc>
        <w:tc>
          <w:tcPr>
            <w:tcW w:w="2118" w:type="dxa"/>
            <w:vAlign w:val="top"/>
          </w:tcPr>
          <w:p w14:paraId="1CB3A18F">
            <w:pPr>
              <w:spacing w:before="99" w:line="195" w:lineRule="auto"/>
              <w:ind w:left="87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100</w:t>
            </w:r>
          </w:p>
        </w:tc>
        <w:tc>
          <w:tcPr>
            <w:tcW w:w="2296" w:type="dxa"/>
            <w:vAlign w:val="top"/>
          </w:tcPr>
          <w:p w14:paraId="53A31055">
            <w:pPr>
              <w:spacing w:before="99"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0.00272</w:t>
            </w:r>
            <w:r>
              <w:rPr>
                <w:rFonts w:ascii="Times New Roman" w:hAnsi="Times New Roman" w:eastAsia="Times New Roman" w:cs="Times New Roman"/>
                <w:spacing w:val="2"/>
                <w:sz w:val="20"/>
                <w:szCs w:val="20"/>
              </w:rPr>
              <w:t>6</w:t>
            </w:r>
          </w:p>
        </w:tc>
        <w:tc>
          <w:tcPr>
            <w:tcW w:w="2297" w:type="dxa"/>
            <w:tcBorders>
              <w:right w:val="nil"/>
            </w:tcBorders>
            <w:vAlign w:val="top"/>
          </w:tcPr>
          <w:p w14:paraId="41E43D7A">
            <w:pPr>
              <w:spacing w:before="99"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0. 14</w:t>
            </w:r>
          </w:p>
        </w:tc>
      </w:tr>
      <w:tr w14:paraId="452108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6D69A2E7">
            <w:pPr>
              <w:spacing w:before="99" w:line="195" w:lineRule="auto"/>
              <w:ind w:left="74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4</w:t>
            </w:r>
          </w:p>
        </w:tc>
        <w:tc>
          <w:tcPr>
            <w:tcW w:w="2118" w:type="dxa"/>
            <w:vAlign w:val="top"/>
          </w:tcPr>
          <w:p w14:paraId="026692B8">
            <w:pPr>
              <w:spacing w:before="99" w:line="195" w:lineRule="auto"/>
              <w:ind w:left="87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1200</w:t>
            </w:r>
          </w:p>
        </w:tc>
        <w:tc>
          <w:tcPr>
            <w:tcW w:w="2296" w:type="dxa"/>
            <w:vAlign w:val="top"/>
          </w:tcPr>
          <w:p w14:paraId="41D79A0C">
            <w:pPr>
              <w:spacing w:before="99"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0.00254</w:t>
            </w:r>
            <w:r>
              <w:rPr>
                <w:rFonts w:ascii="Times New Roman" w:hAnsi="Times New Roman" w:eastAsia="Times New Roman" w:cs="Times New Roman"/>
                <w:spacing w:val="2"/>
                <w:sz w:val="20"/>
                <w:szCs w:val="20"/>
              </w:rPr>
              <w:t>7</w:t>
            </w:r>
          </w:p>
        </w:tc>
        <w:tc>
          <w:tcPr>
            <w:tcW w:w="2297" w:type="dxa"/>
            <w:tcBorders>
              <w:right w:val="nil"/>
            </w:tcBorders>
            <w:vAlign w:val="top"/>
          </w:tcPr>
          <w:p w14:paraId="654A90E5">
            <w:pPr>
              <w:spacing w:before="99"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0. 13</w:t>
            </w:r>
          </w:p>
        </w:tc>
      </w:tr>
      <w:tr w14:paraId="1DC910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2AAB8FF9">
            <w:pPr>
              <w:spacing w:before="98" w:line="195" w:lineRule="auto"/>
              <w:ind w:left="74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c>
          <w:tcPr>
            <w:tcW w:w="2118" w:type="dxa"/>
            <w:vAlign w:val="top"/>
          </w:tcPr>
          <w:p w14:paraId="035AC24A">
            <w:pPr>
              <w:spacing w:before="98" w:line="195" w:lineRule="auto"/>
              <w:ind w:left="87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1300</w:t>
            </w:r>
          </w:p>
        </w:tc>
        <w:tc>
          <w:tcPr>
            <w:tcW w:w="2296" w:type="dxa"/>
            <w:vAlign w:val="top"/>
          </w:tcPr>
          <w:p w14:paraId="350B3FF4">
            <w:pPr>
              <w:spacing w:before="99"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0.00237</w:t>
            </w:r>
            <w:r>
              <w:rPr>
                <w:rFonts w:ascii="Times New Roman" w:hAnsi="Times New Roman" w:eastAsia="Times New Roman" w:cs="Times New Roman"/>
                <w:spacing w:val="2"/>
                <w:sz w:val="20"/>
                <w:szCs w:val="20"/>
              </w:rPr>
              <w:t>8</w:t>
            </w:r>
          </w:p>
        </w:tc>
        <w:tc>
          <w:tcPr>
            <w:tcW w:w="2297" w:type="dxa"/>
            <w:tcBorders>
              <w:right w:val="nil"/>
            </w:tcBorders>
            <w:vAlign w:val="top"/>
          </w:tcPr>
          <w:p w14:paraId="4B50AEED">
            <w:pPr>
              <w:spacing w:before="99"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0. 12</w:t>
            </w:r>
          </w:p>
        </w:tc>
      </w:tr>
      <w:tr w14:paraId="4220C5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7A0C3A61">
            <w:pPr>
              <w:spacing w:before="98" w:line="195" w:lineRule="auto"/>
              <w:ind w:left="74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6</w:t>
            </w:r>
          </w:p>
        </w:tc>
        <w:tc>
          <w:tcPr>
            <w:tcW w:w="2118" w:type="dxa"/>
            <w:vAlign w:val="top"/>
          </w:tcPr>
          <w:p w14:paraId="6366BA8D">
            <w:pPr>
              <w:spacing w:before="98" w:line="195" w:lineRule="auto"/>
              <w:ind w:left="87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1400</w:t>
            </w:r>
          </w:p>
        </w:tc>
        <w:tc>
          <w:tcPr>
            <w:tcW w:w="2296" w:type="dxa"/>
            <w:vAlign w:val="top"/>
          </w:tcPr>
          <w:p w14:paraId="1DED8FB2">
            <w:pPr>
              <w:spacing w:before="98"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0.00222</w:t>
            </w:r>
            <w:r>
              <w:rPr>
                <w:rFonts w:ascii="Times New Roman" w:hAnsi="Times New Roman" w:eastAsia="Times New Roman" w:cs="Times New Roman"/>
                <w:spacing w:val="2"/>
                <w:sz w:val="20"/>
                <w:szCs w:val="20"/>
              </w:rPr>
              <w:t>2</w:t>
            </w:r>
          </w:p>
        </w:tc>
        <w:tc>
          <w:tcPr>
            <w:tcW w:w="2297" w:type="dxa"/>
            <w:tcBorders>
              <w:right w:val="nil"/>
            </w:tcBorders>
            <w:vAlign w:val="top"/>
          </w:tcPr>
          <w:p w14:paraId="6CAF5025">
            <w:pPr>
              <w:spacing w:before="98" w:line="195" w:lineRule="auto"/>
              <w:ind w:left="973"/>
              <w:rPr>
                <w:rFonts w:ascii="Times New Roman" w:hAnsi="Times New Roman" w:eastAsia="Times New Roman" w:cs="Times New Roman"/>
                <w:sz w:val="20"/>
                <w:szCs w:val="20"/>
              </w:rPr>
            </w:pPr>
            <w:r>
              <w:rPr>
                <w:rFonts w:ascii="Times New Roman" w:hAnsi="Times New Roman" w:eastAsia="Times New Roman" w:cs="Times New Roman"/>
                <w:spacing w:val="-12"/>
                <w:sz w:val="20"/>
                <w:szCs w:val="20"/>
              </w:rPr>
              <w:t>0</w:t>
            </w:r>
            <w:r>
              <w:rPr>
                <w:rFonts w:ascii="Times New Roman" w:hAnsi="Times New Roman" w:eastAsia="Times New Roman" w:cs="Times New Roman"/>
                <w:spacing w:val="-8"/>
                <w:sz w:val="20"/>
                <w:szCs w:val="20"/>
              </w:rPr>
              <w:t>. 11</w:t>
            </w:r>
          </w:p>
        </w:tc>
      </w:tr>
      <w:tr w14:paraId="7467BD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181CDEE0">
            <w:pPr>
              <w:spacing w:before="100" w:line="195" w:lineRule="auto"/>
              <w:ind w:left="74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7</w:t>
            </w:r>
          </w:p>
        </w:tc>
        <w:tc>
          <w:tcPr>
            <w:tcW w:w="2118" w:type="dxa"/>
            <w:vAlign w:val="top"/>
          </w:tcPr>
          <w:p w14:paraId="0D745692">
            <w:pPr>
              <w:spacing w:before="100" w:line="195" w:lineRule="auto"/>
              <w:ind w:left="87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1500</w:t>
            </w:r>
          </w:p>
        </w:tc>
        <w:tc>
          <w:tcPr>
            <w:tcW w:w="2296" w:type="dxa"/>
            <w:vAlign w:val="top"/>
          </w:tcPr>
          <w:p w14:paraId="6647CAE0">
            <w:pPr>
              <w:spacing w:before="100"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0.00207</w:t>
            </w:r>
            <w:r>
              <w:rPr>
                <w:rFonts w:ascii="Times New Roman" w:hAnsi="Times New Roman" w:eastAsia="Times New Roman" w:cs="Times New Roman"/>
                <w:spacing w:val="2"/>
                <w:sz w:val="20"/>
                <w:szCs w:val="20"/>
              </w:rPr>
              <w:t>8</w:t>
            </w:r>
          </w:p>
        </w:tc>
        <w:tc>
          <w:tcPr>
            <w:tcW w:w="2297" w:type="dxa"/>
            <w:tcBorders>
              <w:right w:val="nil"/>
            </w:tcBorders>
            <w:vAlign w:val="top"/>
          </w:tcPr>
          <w:p w14:paraId="0EDEC71D">
            <w:pPr>
              <w:spacing w:before="100"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0. 10</w:t>
            </w:r>
          </w:p>
        </w:tc>
      </w:tr>
      <w:tr w14:paraId="08DB80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13B2FC4C">
            <w:pPr>
              <w:spacing w:before="99" w:line="195" w:lineRule="auto"/>
              <w:ind w:left="74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8</w:t>
            </w:r>
          </w:p>
        </w:tc>
        <w:tc>
          <w:tcPr>
            <w:tcW w:w="2118" w:type="dxa"/>
            <w:vAlign w:val="top"/>
          </w:tcPr>
          <w:p w14:paraId="7E7E64B4">
            <w:pPr>
              <w:spacing w:before="99" w:line="195" w:lineRule="auto"/>
              <w:ind w:left="87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1600</w:t>
            </w:r>
          </w:p>
        </w:tc>
        <w:tc>
          <w:tcPr>
            <w:tcW w:w="2296" w:type="dxa"/>
            <w:vAlign w:val="top"/>
          </w:tcPr>
          <w:p w14:paraId="05AC2779">
            <w:pPr>
              <w:spacing w:before="100"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0.00194</w:t>
            </w:r>
            <w:r>
              <w:rPr>
                <w:rFonts w:ascii="Times New Roman" w:hAnsi="Times New Roman" w:eastAsia="Times New Roman" w:cs="Times New Roman"/>
                <w:spacing w:val="2"/>
                <w:sz w:val="20"/>
                <w:szCs w:val="20"/>
              </w:rPr>
              <w:t>7</w:t>
            </w:r>
          </w:p>
        </w:tc>
        <w:tc>
          <w:tcPr>
            <w:tcW w:w="2297" w:type="dxa"/>
            <w:tcBorders>
              <w:right w:val="nil"/>
            </w:tcBorders>
            <w:vAlign w:val="top"/>
          </w:tcPr>
          <w:p w14:paraId="13BB50E3">
            <w:pPr>
              <w:spacing w:before="100"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0. 10</w:t>
            </w:r>
          </w:p>
        </w:tc>
      </w:tr>
      <w:tr w14:paraId="402903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651" w:type="dxa"/>
            <w:tcBorders>
              <w:left w:val="nil"/>
            </w:tcBorders>
            <w:vAlign w:val="top"/>
          </w:tcPr>
          <w:p w14:paraId="1556AB8F">
            <w:pPr>
              <w:spacing w:before="99" w:line="195" w:lineRule="auto"/>
              <w:ind w:left="74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9</w:t>
            </w:r>
          </w:p>
        </w:tc>
        <w:tc>
          <w:tcPr>
            <w:tcW w:w="2118" w:type="dxa"/>
            <w:vAlign w:val="top"/>
          </w:tcPr>
          <w:p w14:paraId="2414E4FC">
            <w:pPr>
              <w:spacing w:before="99" w:line="195" w:lineRule="auto"/>
              <w:ind w:left="87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1700</w:t>
            </w:r>
          </w:p>
        </w:tc>
        <w:tc>
          <w:tcPr>
            <w:tcW w:w="2296" w:type="dxa"/>
            <w:vAlign w:val="top"/>
          </w:tcPr>
          <w:p w14:paraId="4FA7F200">
            <w:pPr>
              <w:spacing w:before="99"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0.00182</w:t>
            </w:r>
            <w:r>
              <w:rPr>
                <w:rFonts w:ascii="Times New Roman" w:hAnsi="Times New Roman" w:eastAsia="Times New Roman" w:cs="Times New Roman"/>
                <w:spacing w:val="2"/>
                <w:sz w:val="20"/>
                <w:szCs w:val="20"/>
              </w:rPr>
              <w:t>6</w:t>
            </w:r>
          </w:p>
        </w:tc>
        <w:tc>
          <w:tcPr>
            <w:tcW w:w="2297" w:type="dxa"/>
            <w:tcBorders>
              <w:right w:val="nil"/>
            </w:tcBorders>
            <w:vAlign w:val="top"/>
          </w:tcPr>
          <w:p w14:paraId="5688B17D">
            <w:pPr>
              <w:spacing w:before="99"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.09</w:t>
            </w:r>
          </w:p>
        </w:tc>
      </w:tr>
      <w:tr w14:paraId="46289B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19D2C07A">
            <w:pPr>
              <w:spacing w:before="100" w:line="195" w:lineRule="auto"/>
              <w:ind w:left="7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0</w:t>
            </w:r>
          </w:p>
        </w:tc>
        <w:tc>
          <w:tcPr>
            <w:tcW w:w="2118" w:type="dxa"/>
            <w:vAlign w:val="top"/>
          </w:tcPr>
          <w:p w14:paraId="5FD86CE5">
            <w:pPr>
              <w:spacing w:before="100" w:line="195" w:lineRule="auto"/>
              <w:ind w:left="87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1800</w:t>
            </w:r>
          </w:p>
        </w:tc>
        <w:tc>
          <w:tcPr>
            <w:tcW w:w="2296" w:type="dxa"/>
            <w:vAlign w:val="top"/>
          </w:tcPr>
          <w:p w14:paraId="363CF6D4">
            <w:pPr>
              <w:spacing w:before="100"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0.00171</w:t>
            </w:r>
            <w:r>
              <w:rPr>
                <w:rFonts w:ascii="Times New Roman" w:hAnsi="Times New Roman" w:eastAsia="Times New Roman" w:cs="Times New Roman"/>
                <w:spacing w:val="2"/>
                <w:sz w:val="20"/>
                <w:szCs w:val="20"/>
              </w:rPr>
              <w:t>6</w:t>
            </w:r>
          </w:p>
        </w:tc>
        <w:tc>
          <w:tcPr>
            <w:tcW w:w="2297" w:type="dxa"/>
            <w:tcBorders>
              <w:right w:val="nil"/>
            </w:tcBorders>
            <w:vAlign w:val="top"/>
          </w:tcPr>
          <w:p w14:paraId="6AD0F467">
            <w:pPr>
              <w:spacing w:before="100"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.09</w:t>
            </w:r>
          </w:p>
        </w:tc>
      </w:tr>
      <w:tr w14:paraId="5BF191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3B788A0E">
            <w:pPr>
              <w:spacing w:before="99" w:line="195" w:lineRule="auto"/>
              <w:ind w:left="7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1</w:t>
            </w:r>
          </w:p>
        </w:tc>
        <w:tc>
          <w:tcPr>
            <w:tcW w:w="2118" w:type="dxa"/>
            <w:vAlign w:val="top"/>
          </w:tcPr>
          <w:p w14:paraId="4E719D42">
            <w:pPr>
              <w:spacing w:before="99" w:line="195" w:lineRule="auto"/>
              <w:ind w:left="87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1900</w:t>
            </w:r>
          </w:p>
        </w:tc>
        <w:tc>
          <w:tcPr>
            <w:tcW w:w="2296" w:type="dxa"/>
            <w:vAlign w:val="top"/>
          </w:tcPr>
          <w:p w14:paraId="65F8E477">
            <w:pPr>
              <w:spacing w:before="100"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0.00165</w:t>
            </w:r>
            <w:r>
              <w:rPr>
                <w:rFonts w:ascii="Times New Roman" w:hAnsi="Times New Roman" w:eastAsia="Times New Roman" w:cs="Times New Roman"/>
                <w:spacing w:val="2"/>
                <w:sz w:val="20"/>
                <w:szCs w:val="20"/>
              </w:rPr>
              <w:t>5</w:t>
            </w:r>
          </w:p>
        </w:tc>
        <w:tc>
          <w:tcPr>
            <w:tcW w:w="2297" w:type="dxa"/>
            <w:tcBorders>
              <w:right w:val="nil"/>
            </w:tcBorders>
            <w:vAlign w:val="top"/>
          </w:tcPr>
          <w:p w14:paraId="0A4B37CE">
            <w:pPr>
              <w:spacing w:before="100"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.08</w:t>
            </w:r>
          </w:p>
        </w:tc>
      </w:tr>
      <w:tr w14:paraId="517CFD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651" w:type="dxa"/>
            <w:tcBorders>
              <w:left w:val="nil"/>
            </w:tcBorders>
            <w:vAlign w:val="top"/>
          </w:tcPr>
          <w:p w14:paraId="36DD74E0">
            <w:pPr>
              <w:spacing w:before="99" w:line="195" w:lineRule="auto"/>
              <w:ind w:left="7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2</w:t>
            </w:r>
          </w:p>
        </w:tc>
        <w:tc>
          <w:tcPr>
            <w:tcW w:w="2118" w:type="dxa"/>
            <w:vAlign w:val="top"/>
          </w:tcPr>
          <w:p w14:paraId="1521CAC1">
            <w:pPr>
              <w:spacing w:before="99" w:line="195" w:lineRule="auto"/>
              <w:ind w:left="85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2000</w:t>
            </w:r>
          </w:p>
        </w:tc>
        <w:tc>
          <w:tcPr>
            <w:tcW w:w="2296" w:type="dxa"/>
            <w:vAlign w:val="top"/>
          </w:tcPr>
          <w:p w14:paraId="5CBBA6E6">
            <w:pPr>
              <w:spacing w:before="99"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0.00168</w:t>
            </w:r>
            <w:r>
              <w:rPr>
                <w:rFonts w:ascii="Times New Roman" w:hAnsi="Times New Roman" w:eastAsia="Times New Roman" w:cs="Times New Roman"/>
                <w:spacing w:val="2"/>
                <w:sz w:val="20"/>
                <w:szCs w:val="20"/>
              </w:rPr>
              <w:t>3</w:t>
            </w:r>
          </w:p>
        </w:tc>
        <w:tc>
          <w:tcPr>
            <w:tcW w:w="2297" w:type="dxa"/>
            <w:tcBorders>
              <w:right w:val="nil"/>
            </w:tcBorders>
            <w:vAlign w:val="top"/>
          </w:tcPr>
          <w:p w14:paraId="4D06A26B">
            <w:pPr>
              <w:spacing w:before="99"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.08</w:t>
            </w:r>
          </w:p>
        </w:tc>
      </w:tr>
      <w:tr w14:paraId="16DF0E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3769" w:type="dxa"/>
            <w:gridSpan w:val="2"/>
            <w:tcBorders>
              <w:left w:val="nil"/>
            </w:tcBorders>
            <w:vAlign w:val="top"/>
          </w:tcPr>
          <w:p w14:paraId="08DCA775">
            <w:pPr>
              <w:spacing w:before="66" w:line="220" w:lineRule="auto"/>
              <w:ind w:left="849"/>
              <w:rPr>
                <w:rFonts w:ascii="宋体" w:hAnsi="宋体" w:eastAsia="宋体" w:cs="宋体"/>
                <w:sz w:val="20"/>
                <w:szCs w:val="20"/>
              </w:rPr>
            </w:pPr>
            <w:r>
              <w:rPr>
                <w:rFonts w:ascii="宋体" w:hAnsi="宋体" w:eastAsia="宋体" w:cs="宋体"/>
                <w:spacing w:val="11"/>
                <w:sz w:val="20"/>
                <w:szCs w:val="20"/>
              </w:rPr>
              <w:t>下</w:t>
            </w:r>
            <w:r>
              <w:rPr>
                <w:rFonts w:ascii="宋体" w:hAnsi="宋体" w:eastAsia="宋体" w:cs="宋体"/>
                <w:spacing w:val="8"/>
                <w:sz w:val="20"/>
                <w:szCs w:val="20"/>
              </w:rPr>
              <w:t>风向最大落地点浓度</w:t>
            </w:r>
          </w:p>
        </w:tc>
        <w:tc>
          <w:tcPr>
            <w:tcW w:w="2296" w:type="dxa"/>
            <w:vAlign w:val="top"/>
          </w:tcPr>
          <w:p w14:paraId="3DE70773">
            <w:pPr>
              <w:spacing w:before="102"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0.00406</w:t>
            </w:r>
            <w:r>
              <w:rPr>
                <w:rFonts w:ascii="Times New Roman" w:hAnsi="Times New Roman" w:eastAsia="Times New Roman" w:cs="Times New Roman"/>
                <w:spacing w:val="2"/>
                <w:sz w:val="20"/>
                <w:szCs w:val="20"/>
              </w:rPr>
              <w:t>5</w:t>
            </w:r>
          </w:p>
        </w:tc>
        <w:tc>
          <w:tcPr>
            <w:tcW w:w="2297" w:type="dxa"/>
            <w:tcBorders>
              <w:right w:val="nil"/>
            </w:tcBorders>
            <w:vAlign w:val="top"/>
          </w:tcPr>
          <w:p w14:paraId="7C9B1877">
            <w:pPr>
              <w:spacing w:before="102"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.20</w:t>
            </w:r>
          </w:p>
        </w:tc>
      </w:tr>
      <w:tr w14:paraId="61C2E3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3769" w:type="dxa"/>
            <w:gridSpan w:val="2"/>
            <w:tcBorders>
              <w:left w:val="nil"/>
            </w:tcBorders>
            <w:vAlign w:val="top"/>
          </w:tcPr>
          <w:p w14:paraId="359595F0">
            <w:pPr>
              <w:spacing w:before="28" w:line="281" w:lineRule="exact"/>
              <w:ind w:left="861"/>
              <w:rPr>
                <w:rFonts w:ascii="Times New Roman" w:hAnsi="Times New Roman" w:eastAsia="Times New Roman" w:cs="Times New Roman"/>
                <w:sz w:val="20"/>
                <w:szCs w:val="20"/>
              </w:rPr>
            </w:pPr>
            <w:r>
              <w:rPr>
                <w:rFonts w:ascii="宋体" w:hAnsi="宋体" w:eastAsia="宋体" w:cs="宋体"/>
                <w:spacing w:val="-2"/>
                <w:position w:val="2"/>
                <w:sz w:val="20"/>
                <w:szCs w:val="20"/>
              </w:rPr>
              <w:t>最大落地点浓度距离</w:t>
            </w:r>
            <w:r>
              <w:rPr>
                <w:rFonts w:ascii="Times New Roman" w:hAnsi="Times New Roman" w:eastAsia="Times New Roman" w:cs="Times New Roman"/>
                <w:spacing w:val="-1"/>
                <w:position w:val="2"/>
                <w:sz w:val="20"/>
                <w:szCs w:val="20"/>
              </w:rPr>
              <w:t>(m)</w:t>
            </w:r>
          </w:p>
        </w:tc>
        <w:tc>
          <w:tcPr>
            <w:tcW w:w="4593" w:type="dxa"/>
            <w:gridSpan w:val="2"/>
            <w:tcBorders>
              <w:right w:val="nil"/>
            </w:tcBorders>
            <w:vAlign w:val="top"/>
          </w:tcPr>
          <w:p w14:paraId="10B5F076">
            <w:pPr>
              <w:spacing w:before="101" w:line="195" w:lineRule="auto"/>
              <w:ind w:left="214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19</w:t>
            </w:r>
          </w:p>
        </w:tc>
      </w:tr>
    </w:tbl>
    <w:p w14:paraId="128CF06A">
      <w:pPr>
        <w:rPr>
          <w:rFonts w:ascii="Arial"/>
          <w:sz w:val="21"/>
        </w:rPr>
      </w:pPr>
    </w:p>
    <w:p w14:paraId="23835D9E">
      <w:pPr>
        <w:sectPr>
          <w:headerReference r:id="rId207" w:type="default"/>
          <w:footerReference r:id="rId208" w:type="default"/>
          <w:pgSz w:w="11906" w:h="16839"/>
          <w:pgMar w:top="1132" w:right="1771" w:bottom="1182" w:left="1771" w:header="878" w:footer="1022" w:gutter="0"/>
          <w:cols w:space="720" w:num="1"/>
        </w:sectPr>
      </w:pPr>
    </w:p>
    <w:p w14:paraId="0C501C86">
      <w:pPr>
        <w:spacing w:line="362" w:lineRule="auto"/>
        <w:rPr>
          <w:rFonts w:ascii="Arial"/>
          <w:sz w:val="21"/>
        </w:rPr>
      </w:pPr>
      <w:r>
        <w:pict>
          <v:shape id="_x0000_s1257" o:spid="_x0000_s1257" style="position:absolute;left:0pt;margin-left:90pt;margin-top:57.35pt;height:0.75pt;width:415.3pt;mso-position-horizontal-relative:page;mso-position-vertical-relative:page;z-index:251916288;mso-width-relative:page;mso-height-relative:page;" fillcolor="#000000" filled="t" stroked="f" coordsize="8305,15" o:allowincell="f" path="m0,0l8305,0,8305,14,0,14,0,0xe">
            <v:path/>
            <v:fill on="t" focussize="0,0"/>
            <v:stroke on="f"/>
            <v:imagedata o:title=""/>
            <o:lock v:ext="edit"/>
          </v:shape>
        </w:pict>
      </w:r>
    </w:p>
    <w:p w14:paraId="7AB22B55">
      <w:pPr>
        <w:spacing w:before="74" w:line="332" w:lineRule="exact"/>
        <w:ind w:left="798"/>
        <w:rPr>
          <w:rFonts w:ascii="宋体" w:hAnsi="宋体" w:eastAsia="宋体" w:cs="宋体"/>
          <w:sz w:val="23"/>
          <w:szCs w:val="23"/>
        </w:rPr>
      </w:pPr>
      <w:r>
        <w:rPr>
          <w:rFonts w:ascii="宋体" w:hAnsi="宋体" w:eastAsia="宋体" w:cs="宋体"/>
          <w:spacing w:val="12"/>
          <w:position w:val="2"/>
          <w:sz w:val="23"/>
          <w:szCs w:val="23"/>
          <w14:textOutline w14:w="4358" w14:cap="sq" w14:cmpd="sng">
            <w14:solidFill>
              <w14:srgbClr w14:val="000000"/>
            </w14:solidFill>
            <w14:prstDash w14:val="solid"/>
            <w14:bevel/>
          </w14:textOutline>
        </w:rPr>
        <w:t>表</w:t>
      </w:r>
      <w:r>
        <w:rPr>
          <w:rFonts w:ascii="宋体" w:hAnsi="宋体" w:eastAsia="宋体" w:cs="宋体"/>
          <w:spacing w:val="12"/>
          <w:position w:val="2"/>
          <w:sz w:val="23"/>
          <w:szCs w:val="23"/>
        </w:rPr>
        <w:t xml:space="preserve"> </w:t>
      </w:r>
      <w:r>
        <w:rPr>
          <w:rFonts w:ascii="Times New Roman" w:hAnsi="Times New Roman" w:eastAsia="Times New Roman" w:cs="Times New Roman"/>
          <w:b/>
          <w:bCs/>
          <w:spacing w:val="9"/>
          <w:position w:val="2"/>
          <w:sz w:val="23"/>
          <w:szCs w:val="23"/>
        </w:rPr>
        <w:t>5</w:t>
      </w:r>
      <w:r>
        <w:rPr>
          <w:rFonts w:ascii="Times New Roman" w:hAnsi="Times New Roman" w:eastAsia="Times New Roman" w:cs="Times New Roman"/>
          <w:b/>
          <w:bCs/>
          <w:spacing w:val="6"/>
          <w:position w:val="2"/>
          <w:sz w:val="23"/>
          <w:szCs w:val="23"/>
        </w:rPr>
        <w:t>-9</w:t>
      </w:r>
      <w:r>
        <w:rPr>
          <w:rFonts w:ascii="Times New Roman" w:hAnsi="Times New Roman" w:eastAsia="Times New Roman" w:cs="Times New Roman"/>
          <w:spacing w:val="6"/>
          <w:position w:val="2"/>
          <w:sz w:val="23"/>
          <w:szCs w:val="23"/>
        </w:rPr>
        <w:t xml:space="preserve">        </w:t>
      </w:r>
      <w:r>
        <w:rPr>
          <w:rFonts w:ascii="Times New Roman" w:hAnsi="Times New Roman" w:eastAsia="Times New Roman" w:cs="Times New Roman"/>
          <w:b/>
          <w:bCs/>
          <w:spacing w:val="6"/>
          <w:position w:val="2"/>
          <w:sz w:val="23"/>
          <w:szCs w:val="23"/>
        </w:rPr>
        <w:t>2#</w:t>
      </w:r>
      <w:r>
        <w:rPr>
          <w:rFonts w:ascii="宋体" w:hAnsi="宋体" w:eastAsia="宋体" w:cs="宋体"/>
          <w:spacing w:val="6"/>
          <w:position w:val="2"/>
          <w:sz w:val="23"/>
          <w:szCs w:val="23"/>
          <w14:textOutline w14:w="4358" w14:cap="sq" w14:cmpd="sng">
            <w14:solidFill>
              <w14:srgbClr w14:val="000000"/>
            </w14:solidFill>
            <w14:prstDash w14:val="solid"/>
            <w14:bevel/>
          </w14:textOutline>
        </w:rPr>
        <w:t>排气筒有组织废气主要污染因子估算模式的计算结果</w:t>
      </w:r>
    </w:p>
    <w:p w14:paraId="6E8ECD92">
      <w:pPr>
        <w:spacing w:line="16" w:lineRule="exact"/>
      </w:pPr>
    </w:p>
    <w:tbl>
      <w:tblPr>
        <w:tblStyle w:val="4"/>
        <w:tblW w:w="8362" w:type="dxa"/>
        <w:tblInd w:w="4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51"/>
        <w:gridCol w:w="2118"/>
        <w:gridCol w:w="2296"/>
        <w:gridCol w:w="2297"/>
      </w:tblGrid>
      <w:tr w14:paraId="4A0B51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 w:hRule="atLeast"/>
        </w:trPr>
        <w:tc>
          <w:tcPr>
            <w:tcW w:w="1651" w:type="dxa"/>
            <w:vMerge w:val="restart"/>
            <w:tcBorders>
              <w:left w:val="nil"/>
              <w:bottom w:val="nil"/>
            </w:tcBorders>
            <w:vAlign w:val="top"/>
          </w:tcPr>
          <w:p w14:paraId="521A36B6">
            <w:pPr>
              <w:spacing w:line="327" w:lineRule="auto"/>
              <w:rPr>
                <w:rFonts w:ascii="Arial"/>
                <w:sz w:val="21"/>
              </w:rPr>
            </w:pPr>
          </w:p>
          <w:p w14:paraId="1DB018C4">
            <w:pPr>
              <w:spacing w:before="65" w:line="229" w:lineRule="auto"/>
              <w:ind w:left="623"/>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序号</w:t>
            </w:r>
          </w:p>
        </w:tc>
        <w:tc>
          <w:tcPr>
            <w:tcW w:w="2118" w:type="dxa"/>
            <w:vMerge w:val="restart"/>
            <w:tcBorders>
              <w:bottom w:val="nil"/>
            </w:tcBorders>
            <w:vAlign w:val="top"/>
          </w:tcPr>
          <w:p w14:paraId="67DA9212">
            <w:pPr>
              <w:spacing w:line="287" w:lineRule="auto"/>
              <w:rPr>
                <w:rFonts w:ascii="Arial"/>
                <w:sz w:val="21"/>
              </w:rPr>
            </w:pPr>
          </w:p>
          <w:p w14:paraId="15435F76">
            <w:pPr>
              <w:spacing w:before="65" w:line="288" w:lineRule="exact"/>
              <w:ind w:left="697"/>
              <w:rPr>
                <w:rFonts w:ascii="Times New Roman" w:hAnsi="Times New Roman" w:eastAsia="Times New Roman" w:cs="Times New Roman"/>
                <w:sz w:val="20"/>
                <w:szCs w:val="20"/>
              </w:rPr>
            </w:pPr>
            <w:r>
              <w:rPr>
                <w:rFonts w:ascii="宋体" w:hAnsi="宋体" w:eastAsia="宋体" w:cs="宋体"/>
                <w:spacing w:val="7"/>
                <w:position w:val="2"/>
                <w:sz w:val="20"/>
                <w:szCs w:val="20"/>
                <w14:textOutline w14:w="3795" w14:cap="sq" w14:cmpd="sng">
                  <w14:solidFill>
                    <w14:srgbClr w14:val="000000"/>
                  </w14:solidFill>
                  <w14:prstDash w14:val="solid"/>
                  <w14:bevel/>
                </w14:textOutline>
              </w:rPr>
              <w:t>距离</w:t>
            </w:r>
            <w:r>
              <w:rPr>
                <w:rFonts w:ascii="Times New Roman" w:hAnsi="Times New Roman" w:eastAsia="Times New Roman" w:cs="Times New Roman"/>
                <w:b/>
                <w:bCs/>
                <w:spacing w:val="7"/>
                <w:position w:val="2"/>
                <w:sz w:val="20"/>
                <w:szCs w:val="20"/>
              </w:rPr>
              <w:t>(</w:t>
            </w:r>
            <w:r>
              <w:rPr>
                <w:rFonts w:ascii="Times New Roman" w:hAnsi="Times New Roman" w:eastAsia="Times New Roman" w:cs="Times New Roman"/>
                <w:b/>
                <w:bCs/>
                <w:position w:val="2"/>
                <w:sz w:val="20"/>
                <w:szCs w:val="20"/>
              </w:rPr>
              <w:t>m</w:t>
            </w:r>
            <w:r>
              <w:rPr>
                <w:rFonts w:ascii="Times New Roman" w:hAnsi="Times New Roman" w:eastAsia="Times New Roman" w:cs="Times New Roman"/>
                <w:b/>
                <w:bCs/>
                <w:spacing w:val="6"/>
                <w:position w:val="2"/>
                <w:sz w:val="20"/>
                <w:szCs w:val="20"/>
              </w:rPr>
              <w:t>)</w:t>
            </w:r>
          </w:p>
        </w:tc>
        <w:tc>
          <w:tcPr>
            <w:tcW w:w="4593" w:type="dxa"/>
            <w:gridSpan w:val="2"/>
            <w:tcBorders>
              <w:right w:val="nil"/>
            </w:tcBorders>
            <w:vAlign w:val="top"/>
          </w:tcPr>
          <w:p w14:paraId="2E916A9C">
            <w:pPr>
              <w:spacing w:before="44" w:line="285" w:lineRule="exact"/>
              <w:ind w:left="1983"/>
              <w:rPr>
                <w:rFonts w:ascii="宋体" w:hAnsi="宋体" w:eastAsia="宋体" w:cs="宋体"/>
                <w:sz w:val="20"/>
                <w:szCs w:val="20"/>
              </w:rPr>
            </w:pPr>
            <w:r>
              <w:rPr>
                <w:rFonts w:ascii="Times New Roman" w:hAnsi="Times New Roman" w:eastAsia="Times New Roman" w:cs="Times New Roman"/>
                <w:b/>
                <w:bCs/>
                <w:spacing w:val="8"/>
                <w:position w:val="1"/>
                <w:sz w:val="20"/>
                <w:szCs w:val="20"/>
              </w:rPr>
              <w:t>2</w:t>
            </w:r>
            <w:r>
              <w:rPr>
                <w:rFonts w:ascii="Times New Roman" w:hAnsi="Times New Roman" w:eastAsia="Times New Roman" w:cs="Times New Roman"/>
                <w:b/>
                <w:bCs/>
                <w:spacing w:val="6"/>
                <w:position w:val="1"/>
                <w:sz w:val="20"/>
                <w:szCs w:val="20"/>
              </w:rPr>
              <w:t>#</w:t>
            </w:r>
            <w:r>
              <w:rPr>
                <w:rFonts w:ascii="宋体" w:hAnsi="宋体" w:eastAsia="宋体" w:cs="宋体"/>
                <w:spacing w:val="6"/>
                <w:position w:val="1"/>
                <w:sz w:val="20"/>
                <w:szCs w:val="20"/>
                <w14:textOutline w14:w="3741" w14:cap="sq" w14:cmpd="sng">
                  <w14:solidFill>
                    <w14:srgbClr w14:val="000000"/>
                  </w14:solidFill>
                  <w14:prstDash w14:val="solid"/>
                  <w14:bevel/>
                </w14:textOutline>
              </w:rPr>
              <w:t>点源</w:t>
            </w:r>
          </w:p>
        </w:tc>
      </w:tr>
      <w:tr w14:paraId="434434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vMerge w:val="continue"/>
            <w:tcBorders>
              <w:top w:val="nil"/>
              <w:left w:val="nil"/>
              <w:bottom w:val="nil"/>
            </w:tcBorders>
            <w:vAlign w:val="top"/>
          </w:tcPr>
          <w:p w14:paraId="43E0E678">
            <w:pPr>
              <w:rPr>
                <w:rFonts w:ascii="Arial"/>
                <w:sz w:val="21"/>
              </w:rPr>
            </w:pPr>
          </w:p>
        </w:tc>
        <w:tc>
          <w:tcPr>
            <w:tcW w:w="2118" w:type="dxa"/>
            <w:vMerge w:val="continue"/>
            <w:tcBorders>
              <w:top w:val="nil"/>
              <w:bottom w:val="nil"/>
            </w:tcBorders>
            <w:vAlign w:val="top"/>
          </w:tcPr>
          <w:p w14:paraId="3001578B">
            <w:pPr>
              <w:rPr>
                <w:rFonts w:ascii="Arial"/>
                <w:sz w:val="21"/>
              </w:rPr>
            </w:pPr>
          </w:p>
        </w:tc>
        <w:tc>
          <w:tcPr>
            <w:tcW w:w="4593" w:type="dxa"/>
            <w:gridSpan w:val="2"/>
            <w:tcBorders>
              <w:right w:val="nil"/>
            </w:tcBorders>
            <w:vAlign w:val="top"/>
          </w:tcPr>
          <w:p w14:paraId="441C987D">
            <w:pPr>
              <w:spacing w:before="96" w:line="195" w:lineRule="auto"/>
              <w:ind w:left="1964"/>
              <w:rPr>
                <w:rFonts w:ascii="Times New Roman" w:hAnsi="Times New Roman" w:eastAsia="Times New Roman" w:cs="Times New Roman"/>
                <w:sz w:val="20"/>
                <w:szCs w:val="20"/>
              </w:rPr>
            </w:pPr>
            <w:r>
              <w:rPr>
                <w:rFonts w:ascii="Times New Roman" w:hAnsi="Times New Roman" w:eastAsia="Times New Roman" w:cs="Times New Roman"/>
                <w:b/>
                <w:bCs/>
                <w:spacing w:val="7"/>
                <w:sz w:val="20"/>
                <w:szCs w:val="20"/>
              </w:rPr>
              <w:t>N</w:t>
            </w:r>
            <w:r>
              <w:rPr>
                <w:rFonts w:ascii="Times New Roman" w:hAnsi="Times New Roman" w:eastAsia="Times New Roman" w:cs="Times New Roman"/>
                <w:b/>
                <w:bCs/>
                <w:spacing w:val="6"/>
                <w:sz w:val="20"/>
                <w:szCs w:val="20"/>
              </w:rPr>
              <w:t>MHC</w:t>
            </w:r>
          </w:p>
        </w:tc>
      </w:tr>
      <w:tr w14:paraId="1138B7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651" w:type="dxa"/>
            <w:vMerge w:val="continue"/>
            <w:tcBorders>
              <w:top w:val="nil"/>
              <w:left w:val="nil"/>
            </w:tcBorders>
            <w:vAlign w:val="top"/>
          </w:tcPr>
          <w:p w14:paraId="1DFC118A">
            <w:pPr>
              <w:rPr>
                <w:rFonts w:ascii="Arial"/>
                <w:sz w:val="21"/>
              </w:rPr>
            </w:pPr>
          </w:p>
        </w:tc>
        <w:tc>
          <w:tcPr>
            <w:tcW w:w="2118" w:type="dxa"/>
            <w:vMerge w:val="continue"/>
            <w:tcBorders>
              <w:top w:val="nil"/>
            </w:tcBorders>
            <w:vAlign w:val="top"/>
          </w:tcPr>
          <w:p w14:paraId="012A13B7">
            <w:pPr>
              <w:rPr>
                <w:rFonts w:ascii="Arial"/>
                <w:sz w:val="21"/>
              </w:rPr>
            </w:pPr>
          </w:p>
        </w:tc>
        <w:tc>
          <w:tcPr>
            <w:tcW w:w="2296" w:type="dxa"/>
            <w:vAlign w:val="top"/>
          </w:tcPr>
          <w:p w14:paraId="78AD2111">
            <w:pPr>
              <w:spacing w:before="19" w:line="285" w:lineRule="exact"/>
              <w:ind w:left="183"/>
              <w:rPr>
                <w:rFonts w:ascii="Times New Roman" w:hAnsi="Times New Roman" w:eastAsia="Times New Roman" w:cs="Times New Roman"/>
                <w:sz w:val="20"/>
                <w:szCs w:val="20"/>
              </w:rPr>
            </w:pPr>
            <w:r>
              <w:rPr>
                <w:rFonts w:ascii="宋体" w:hAnsi="宋体" w:eastAsia="宋体" w:cs="宋体"/>
                <w:spacing w:val="-15"/>
                <w:position w:val="2"/>
                <w:sz w:val="20"/>
                <w:szCs w:val="20"/>
                <w14:textOutline w14:w="3738" w14:cap="sq" w14:cmpd="sng">
                  <w14:solidFill>
                    <w14:srgbClr w14:val="000000"/>
                  </w14:solidFill>
                  <w14:prstDash w14:val="solid"/>
                  <w14:bevel/>
                </w14:textOutline>
              </w:rPr>
              <w:t>下</w:t>
            </w:r>
            <w:r>
              <w:rPr>
                <w:rFonts w:ascii="宋体" w:hAnsi="宋体" w:eastAsia="宋体" w:cs="宋体"/>
                <w:spacing w:val="-8"/>
                <w:position w:val="2"/>
                <w:sz w:val="20"/>
                <w:szCs w:val="20"/>
                <w14:textOutline w14:w="3738" w14:cap="sq" w14:cmpd="sng">
                  <w14:solidFill>
                    <w14:srgbClr w14:val="000000"/>
                  </w14:solidFill>
                  <w14:prstDash w14:val="solid"/>
                  <w14:bevel/>
                </w14:textOutline>
              </w:rPr>
              <w:t>风向预测浓度</w:t>
            </w:r>
            <w:r>
              <w:rPr>
                <w:rFonts w:ascii="Times New Roman" w:hAnsi="Times New Roman" w:eastAsia="Times New Roman" w:cs="Times New Roman"/>
                <w:b/>
                <w:bCs/>
                <w:spacing w:val="-8"/>
                <w:position w:val="2"/>
                <w:sz w:val="20"/>
                <w:szCs w:val="20"/>
              </w:rPr>
              <w:t>(mg/m</w:t>
            </w:r>
            <w:r>
              <w:rPr>
                <w:rFonts w:ascii="Times New Roman" w:hAnsi="Times New Roman" w:eastAsia="Times New Roman" w:cs="Times New Roman"/>
                <w:b/>
                <w:bCs/>
                <w:spacing w:val="-8"/>
                <w:position w:val="8"/>
                <w:sz w:val="13"/>
                <w:szCs w:val="13"/>
              </w:rPr>
              <w:t>3</w:t>
            </w:r>
            <w:r>
              <w:rPr>
                <w:rFonts w:ascii="Times New Roman" w:hAnsi="Times New Roman" w:eastAsia="Times New Roman" w:cs="Times New Roman"/>
                <w:b/>
                <w:bCs/>
                <w:spacing w:val="-8"/>
                <w:position w:val="2"/>
                <w:sz w:val="20"/>
                <w:szCs w:val="20"/>
              </w:rPr>
              <w:t>)</w:t>
            </w:r>
          </w:p>
        </w:tc>
        <w:tc>
          <w:tcPr>
            <w:tcW w:w="2297" w:type="dxa"/>
            <w:tcBorders>
              <w:right w:val="nil"/>
            </w:tcBorders>
            <w:vAlign w:val="top"/>
          </w:tcPr>
          <w:p w14:paraId="0CC03039">
            <w:pPr>
              <w:spacing w:before="19" w:line="285" w:lineRule="exact"/>
              <w:ind w:left="698"/>
              <w:rPr>
                <w:rFonts w:ascii="Times New Roman" w:hAnsi="Times New Roman" w:eastAsia="Times New Roman" w:cs="Times New Roman"/>
                <w:sz w:val="20"/>
                <w:szCs w:val="20"/>
              </w:rPr>
            </w:pPr>
            <w:r>
              <w:rPr>
                <w:rFonts w:ascii="宋体" w:hAnsi="宋体" w:eastAsia="宋体" w:cs="宋体"/>
                <w:spacing w:val="1"/>
                <w:position w:val="2"/>
                <w:sz w:val="20"/>
                <w:szCs w:val="20"/>
                <w14:textOutline w14:w="3738" w14:cap="sq" w14:cmpd="sng">
                  <w14:solidFill>
                    <w14:srgbClr w14:val="000000"/>
                  </w14:solidFill>
                  <w14:prstDash w14:val="solid"/>
                  <w14:bevel/>
                </w14:textOutline>
              </w:rPr>
              <w:t>占标率</w:t>
            </w:r>
            <w:r>
              <w:rPr>
                <w:rFonts w:ascii="Times New Roman" w:hAnsi="Times New Roman" w:eastAsia="Times New Roman" w:cs="Times New Roman"/>
                <w:b/>
                <w:bCs/>
                <w:spacing w:val="1"/>
                <w:position w:val="2"/>
                <w:sz w:val="20"/>
                <w:szCs w:val="20"/>
              </w:rPr>
              <w:t>(%</w:t>
            </w:r>
            <w:r>
              <w:rPr>
                <w:rFonts w:ascii="Times New Roman" w:hAnsi="Times New Roman" w:eastAsia="Times New Roman" w:cs="Times New Roman"/>
                <w:b/>
                <w:bCs/>
                <w:position w:val="2"/>
                <w:sz w:val="20"/>
                <w:szCs w:val="20"/>
              </w:rPr>
              <w:t>)</w:t>
            </w:r>
          </w:p>
        </w:tc>
      </w:tr>
      <w:tr w14:paraId="1DA32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651" w:type="dxa"/>
            <w:tcBorders>
              <w:left w:val="nil"/>
            </w:tcBorders>
            <w:vAlign w:val="top"/>
          </w:tcPr>
          <w:p w14:paraId="487598E2">
            <w:pPr>
              <w:spacing w:before="99" w:line="195" w:lineRule="auto"/>
              <w:ind w:left="796"/>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118" w:type="dxa"/>
            <w:vAlign w:val="top"/>
          </w:tcPr>
          <w:p w14:paraId="6C75B5CF">
            <w:pPr>
              <w:spacing w:before="99" w:line="195" w:lineRule="auto"/>
              <w:ind w:left="97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2296" w:type="dxa"/>
            <w:vAlign w:val="top"/>
          </w:tcPr>
          <w:p w14:paraId="16B927A1">
            <w:pPr>
              <w:spacing w:before="99" w:line="195" w:lineRule="auto"/>
              <w:ind w:left="110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2297" w:type="dxa"/>
            <w:tcBorders>
              <w:right w:val="nil"/>
            </w:tcBorders>
            <w:vAlign w:val="top"/>
          </w:tcPr>
          <w:p w14:paraId="5452754D">
            <w:pPr>
              <w:spacing w:before="99"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.00</w:t>
            </w:r>
          </w:p>
        </w:tc>
      </w:tr>
      <w:tr w14:paraId="6AE047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651" w:type="dxa"/>
            <w:tcBorders>
              <w:left w:val="nil"/>
            </w:tcBorders>
            <w:vAlign w:val="top"/>
          </w:tcPr>
          <w:p w14:paraId="72B447AD">
            <w:pPr>
              <w:spacing w:before="100" w:line="195" w:lineRule="auto"/>
              <w:ind w:left="776"/>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118" w:type="dxa"/>
            <w:vAlign w:val="top"/>
          </w:tcPr>
          <w:p w14:paraId="6FDF30C6">
            <w:pPr>
              <w:spacing w:before="99" w:line="195" w:lineRule="auto"/>
              <w:ind w:left="9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100</w:t>
            </w:r>
          </w:p>
        </w:tc>
        <w:tc>
          <w:tcPr>
            <w:tcW w:w="2296" w:type="dxa"/>
            <w:vAlign w:val="top"/>
          </w:tcPr>
          <w:p w14:paraId="40C6B0CD">
            <w:pPr>
              <w:spacing w:before="100"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0.00309</w:t>
            </w:r>
            <w:r>
              <w:rPr>
                <w:rFonts w:ascii="Times New Roman" w:hAnsi="Times New Roman" w:eastAsia="Times New Roman" w:cs="Times New Roman"/>
                <w:spacing w:val="2"/>
                <w:sz w:val="20"/>
                <w:szCs w:val="20"/>
              </w:rPr>
              <w:t>6</w:t>
            </w:r>
          </w:p>
        </w:tc>
        <w:tc>
          <w:tcPr>
            <w:tcW w:w="2297" w:type="dxa"/>
            <w:tcBorders>
              <w:right w:val="nil"/>
            </w:tcBorders>
            <w:vAlign w:val="top"/>
          </w:tcPr>
          <w:p w14:paraId="061FBBE4">
            <w:pPr>
              <w:spacing w:before="100"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0. 15</w:t>
            </w:r>
          </w:p>
        </w:tc>
      </w:tr>
      <w:tr w14:paraId="47D7D1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7E085A21">
            <w:pPr>
              <w:spacing w:before="100" w:line="195" w:lineRule="auto"/>
              <w:ind w:left="780"/>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118" w:type="dxa"/>
            <w:vAlign w:val="top"/>
          </w:tcPr>
          <w:p w14:paraId="08BBA459">
            <w:pPr>
              <w:spacing w:before="100" w:line="195" w:lineRule="auto"/>
              <w:ind w:left="90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00</w:t>
            </w:r>
          </w:p>
        </w:tc>
        <w:tc>
          <w:tcPr>
            <w:tcW w:w="2296" w:type="dxa"/>
            <w:vAlign w:val="top"/>
          </w:tcPr>
          <w:p w14:paraId="509260D5">
            <w:pPr>
              <w:spacing w:before="100"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0.00380</w:t>
            </w:r>
            <w:r>
              <w:rPr>
                <w:rFonts w:ascii="Times New Roman" w:hAnsi="Times New Roman" w:eastAsia="Times New Roman" w:cs="Times New Roman"/>
                <w:spacing w:val="2"/>
                <w:sz w:val="20"/>
                <w:szCs w:val="20"/>
              </w:rPr>
              <w:t>5</w:t>
            </w:r>
          </w:p>
        </w:tc>
        <w:tc>
          <w:tcPr>
            <w:tcW w:w="2297" w:type="dxa"/>
            <w:tcBorders>
              <w:right w:val="nil"/>
            </w:tcBorders>
            <w:vAlign w:val="top"/>
          </w:tcPr>
          <w:p w14:paraId="0ABA232E">
            <w:pPr>
              <w:spacing w:before="100"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0. 19</w:t>
            </w:r>
          </w:p>
        </w:tc>
      </w:tr>
      <w:tr w14:paraId="280C69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7729313F">
            <w:pPr>
              <w:spacing w:before="100" w:line="195" w:lineRule="auto"/>
              <w:ind w:left="7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2118" w:type="dxa"/>
            <w:vAlign w:val="top"/>
          </w:tcPr>
          <w:p w14:paraId="1B6A1ECA">
            <w:pPr>
              <w:spacing w:before="100" w:line="195" w:lineRule="auto"/>
              <w:ind w:left="9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00</w:t>
            </w:r>
          </w:p>
        </w:tc>
        <w:tc>
          <w:tcPr>
            <w:tcW w:w="2296" w:type="dxa"/>
            <w:vAlign w:val="top"/>
          </w:tcPr>
          <w:p w14:paraId="4C556C9E">
            <w:pPr>
              <w:spacing w:before="100" w:line="195" w:lineRule="auto"/>
              <w:ind w:left="81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00404</w:t>
            </w:r>
          </w:p>
        </w:tc>
        <w:tc>
          <w:tcPr>
            <w:tcW w:w="2297" w:type="dxa"/>
            <w:tcBorders>
              <w:right w:val="nil"/>
            </w:tcBorders>
            <w:vAlign w:val="top"/>
          </w:tcPr>
          <w:p w14:paraId="22CD6EF3">
            <w:pPr>
              <w:spacing w:before="100"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.20</w:t>
            </w:r>
          </w:p>
        </w:tc>
      </w:tr>
      <w:tr w14:paraId="17CFAB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778712A0">
            <w:pPr>
              <w:spacing w:before="102" w:line="192" w:lineRule="auto"/>
              <w:ind w:left="782"/>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2118" w:type="dxa"/>
            <w:vAlign w:val="top"/>
          </w:tcPr>
          <w:p w14:paraId="216AA013">
            <w:pPr>
              <w:spacing w:before="99" w:line="195" w:lineRule="auto"/>
              <w:ind w:left="9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19</w:t>
            </w:r>
          </w:p>
        </w:tc>
        <w:tc>
          <w:tcPr>
            <w:tcW w:w="2296" w:type="dxa"/>
            <w:vAlign w:val="top"/>
          </w:tcPr>
          <w:p w14:paraId="095346A3">
            <w:pPr>
              <w:spacing w:before="100"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0.00406</w:t>
            </w:r>
            <w:r>
              <w:rPr>
                <w:rFonts w:ascii="Times New Roman" w:hAnsi="Times New Roman" w:eastAsia="Times New Roman" w:cs="Times New Roman"/>
                <w:spacing w:val="2"/>
                <w:sz w:val="20"/>
                <w:szCs w:val="20"/>
              </w:rPr>
              <w:t>5</w:t>
            </w:r>
          </w:p>
        </w:tc>
        <w:tc>
          <w:tcPr>
            <w:tcW w:w="2297" w:type="dxa"/>
            <w:tcBorders>
              <w:right w:val="nil"/>
            </w:tcBorders>
            <w:vAlign w:val="top"/>
          </w:tcPr>
          <w:p w14:paraId="06D9C311">
            <w:pPr>
              <w:spacing w:before="100"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.20</w:t>
            </w:r>
          </w:p>
        </w:tc>
      </w:tr>
      <w:tr w14:paraId="41BBEB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54E4D3F8">
            <w:pPr>
              <w:spacing w:before="99" w:line="195" w:lineRule="auto"/>
              <w:ind w:left="780"/>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2118" w:type="dxa"/>
            <w:vAlign w:val="top"/>
          </w:tcPr>
          <w:p w14:paraId="5C1D21BF">
            <w:pPr>
              <w:spacing w:before="99" w:line="195" w:lineRule="auto"/>
              <w:ind w:left="90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400</w:t>
            </w:r>
          </w:p>
        </w:tc>
        <w:tc>
          <w:tcPr>
            <w:tcW w:w="2296" w:type="dxa"/>
            <w:vAlign w:val="top"/>
          </w:tcPr>
          <w:p w14:paraId="40D15FE0">
            <w:pPr>
              <w:spacing w:before="99"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0.00385</w:t>
            </w:r>
            <w:r>
              <w:rPr>
                <w:rFonts w:ascii="Times New Roman" w:hAnsi="Times New Roman" w:eastAsia="Times New Roman" w:cs="Times New Roman"/>
                <w:spacing w:val="2"/>
                <w:sz w:val="20"/>
                <w:szCs w:val="20"/>
              </w:rPr>
              <w:t>4</w:t>
            </w:r>
          </w:p>
        </w:tc>
        <w:tc>
          <w:tcPr>
            <w:tcW w:w="2297" w:type="dxa"/>
            <w:tcBorders>
              <w:right w:val="nil"/>
            </w:tcBorders>
            <w:vAlign w:val="top"/>
          </w:tcPr>
          <w:p w14:paraId="2B84F211">
            <w:pPr>
              <w:spacing w:before="99"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0. 19</w:t>
            </w:r>
          </w:p>
        </w:tc>
      </w:tr>
      <w:tr w14:paraId="61A2EB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4190B672">
            <w:pPr>
              <w:spacing w:before="104" w:line="192" w:lineRule="auto"/>
              <w:ind w:left="779"/>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2118" w:type="dxa"/>
            <w:vAlign w:val="top"/>
          </w:tcPr>
          <w:p w14:paraId="65781096">
            <w:pPr>
              <w:spacing w:before="101" w:line="195" w:lineRule="auto"/>
              <w:ind w:left="9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50</w:t>
            </w:r>
            <w:r>
              <w:rPr>
                <w:rFonts w:ascii="Times New Roman" w:hAnsi="Times New Roman" w:eastAsia="Times New Roman" w:cs="Times New Roman"/>
                <w:spacing w:val="1"/>
                <w:sz w:val="20"/>
                <w:szCs w:val="20"/>
              </w:rPr>
              <w:t>0</w:t>
            </w:r>
          </w:p>
        </w:tc>
        <w:tc>
          <w:tcPr>
            <w:tcW w:w="2296" w:type="dxa"/>
            <w:vAlign w:val="top"/>
          </w:tcPr>
          <w:p w14:paraId="3C591D9D">
            <w:pPr>
              <w:spacing w:before="101"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0.00363</w:t>
            </w:r>
            <w:r>
              <w:rPr>
                <w:rFonts w:ascii="Times New Roman" w:hAnsi="Times New Roman" w:eastAsia="Times New Roman" w:cs="Times New Roman"/>
                <w:spacing w:val="2"/>
                <w:sz w:val="20"/>
                <w:szCs w:val="20"/>
              </w:rPr>
              <w:t>7</w:t>
            </w:r>
          </w:p>
        </w:tc>
        <w:tc>
          <w:tcPr>
            <w:tcW w:w="2297" w:type="dxa"/>
            <w:tcBorders>
              <w:right w:val="nil"/>
            </w:tcBorders>
            <w:vAlign w:val="top"/>
          </w:tcPr>
          <w:p w14:paraId="3FB64F03">
            <w:pPr>
              <w:spacing w:before="101"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0. 18</w:t>
            </w:r>
          </w:p>
        </w:tc>
      </w:tr>
      <w:tr w14:paraId="090C4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27BE83C5">
            <w:pPr>
              <w:spacing w:before="100" w:line="195" w:lineRule="auto"/>
              <w:ind w:left="784"/>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2118" w:type="dxa"/>
            <w:vAlign w:val="top"/>
          </w:tcPr>
          <w:p w14:paraId="26B25F39">
            <w:pPr>
              <w:spacing w:before="100" w:line="195" w:lineRule="auto"/>
              <w:ind w:left="90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600</w:t>
            </w:r>
          </w:p>
        </w:tc>
        <w:tc>
          <w:tcPr>
            <w:tcW w:w="2296" w:type="dxa"/>
            <w:vAlign w:val="top"/>
          </w:tcPr>
          <w:p w14:paraId="2CBC5B7D">
            <w:pPr>
              <w:spacing w:before="101"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0.00341</w:t>
            </w:r>
            <w:r>
              <w:rPr>
                <w:rFonts w:ascii="Times New Roman" w:hAnsi="Times New Roman" w:eastAsia="Times New Roman" w:cs="Times New Roman"/>
                <w:spacing w:val="2"/>
                <w:sz w:val="20"/>
                <w:szCs w:val="20"/>
              </w:rPr>
              <w:t>5</w:t>
            </w:r>
          </w:p>
        </w:tc>
        <w:tc>
          <w:tcPr>
            <w:tcW w:w="2297" w:type="dxa"/>
            <w:tcBorders>
              <w:right w:val="nil"/>
            </w:tcBorders>
            <w:vAlign w:val="top"/>
          </w:tcPr>
          <w:p w14:paraId="7472BA26">
            <w:pPr>
              <w:spacing w:before="100"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0. 17</w:t>
            </w:r>
          </w:p>
        </w:tc>
      </w:tr>
      <w:tr w14:paraId="4BDD76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6E2D380E">
            <w:pPr>
              <w:spacing w:before="100" w:line="195" w:lineRule="auto"/>
              <w:ind w:left="780"/>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2118" w:type="dxa"/>
            <w:vAlign w:val="top"/>
          </w:tcPr>
          <w:p w14:paraId="33CDD40B">
            <w:pPr>
              <w:spacing w:before="100" w:line="195" w:lineRule="auto"/>
              <w:ind w:left="9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w:t>
            </w:r>
            <w:r>
              <w:rPr>
                <w:rFonts w:ascii="Times New Roman" w:hAnsi="Times New Roman" w:eastAsia="Times New Roman" w:cs="Times New Roman"/>
                <w:spacing w:val="2"/>
                <w:sz w:val="20"/>
                <w:szCs w:val="20"/>
              </w:rPr>
              <w:t>00</w:t>
            </w:r>
          </w:p>
        </w:tc>
        <w:tc>
          <w:tcPr>
            <w:tcW w:w="2296" w:type="dxa"/>
            <w:vAlign w:val="top"/>
          </w:tcPr>
          <w:p w14:paraId="22E0EA99">
            <w:pPr>
              <w:spacing w:before="100"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0.00327</w:t>
            </w:r>
            <w:r>
              <w:rPr>
                <w:rFonts w:ascii="Times New Roman" w:hAnsi="Times New Roman" w:eastAsia="Times New Roman" w:cs="Times New Roman"/>
                <w:spacing w:val="2"/>
                <w:sz w:val="20"/>
                <w:szCs w:val="20"/>
              </w:rPr>
              <w:t>8</w:t>
            </w:r>
          </w:p>
        </w:tc>
        <w:tc>
          <w:tcPr>
            <w:tcW w:w="2297" w:type="dxa"/>
            <w:tcBorders>
              <w:right w:val="nil"/>
            </w:tcBorders>
            <w:vAlign w:val="top"/>
          </w:tcPr>
          <w:p w14:paraId="63F5A872">
            <w:pPr>
              <w:spacing w:before="100"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0. 16</w:t>
            </w:r>
          </w:p>
        </w:tc>
      </w:tr>
      <w:tr w14:paraId="698211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3CAE3989">
            <w:pPr>
              <w:spacing w:before="100" w:line="195" w:lineRule="auto"/>
              <w:ind w:left="74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2118" w:type="dxa"/>
            <w:vAlign w:val="top"/>
          </w:tcPr>
          <w:p w14:paraId="7FB040BB">
            <w:pPr>
              <w:spacing w:before="100" w:line="195" w:lineRule="auto"/>
              <w:ind w:left="91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80</w:t>
            </w:r>
            <w:r>
              <w:rPr>
                <w:rFonts w:ascii="Times New Roman" w:hAnsi="Times New Roman" w:eastAsia="Times New Roman" w:cs="Times New Roman"/>
                <w:sz w:val="20"/>
                <w:szCs w:val="20"/>
              </w:rPr>
              <w:t>0</w:t>
            </w:r>
          </w:p>
        </w:tc>
        <w:tc>
          <w:tcPr>
            <w:tcW w:w="2296" w:type="dxa"/>
            <w:vAlign w:val="top"/>
          </w:tcPr>
          <w:p w14:paraId="41938315">
            <w:pPr>
              <w:spacing w:before="100"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0.00316</w:t>
            </w:r>
            <w:r>
              <w:rPr>
                <w:rFonts w:ascii="Times New Roman" w:hAnsi="Times New Roman" w:eastAsia="Times New Roman" w:cs="Times New Roman"/>
                <w:spacing w:val="2"/>
                <w:sz w:val="20"/>
                <w:szCs w:val="20"/>
              </w:rPr>
              <w:t>2</w:t>
            </w:r>
          </w:p>
        </w:tc>
        <w:tc>
          <w:tcPr>
            <w:tcW w:w="2297" w:type="dxa"/>
            <w:tcBorders>
              <w:right w:val="nil"/>
            </w:tcBorders>
            <w:vAlign w:val="top"/>
          </w:tcPr>
          <w:p w14:paraId="3D681B64">
            <w:pPr>
              <w:spacing w:before="100"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0. 16</w:t>
            </w:r>
          </w:p>
        </w:tc>
      </w:tr>
      <w:tr w14:paraId="19A991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6CE8F4AB">
            <w:pPr>
              <w:spacing w:before="99" w:line="195" w:lineRule="auto"/>
              <w:ind w:left="748"/>
              <w:rPr>
                <w:rFonts w:ascii="Times New Roman" w:hAnsi="Times New Roman" w:eastAsia="Times New Roman" w:cs="Times New Roman"/>
                <w:sz w:val="20"/>
                <w:szCs w:val="20"/>
              </w:rPr>
            </w:pPr>
            <w:r>
              <w:rPr>
                <w:rFonts w:ascii="Times New Roman" w:hAnsi="Times New Roman" w:eastAsia="Times New Roman" w:cs="Times New Roman"/>
                <w:spacing w:val="-11"/>
                <w:sz w:val="20"/>
                <w:szCs w:val="20"/>
              </w:rPr>
              <w:t>1</w:t>
            </w:r>
            <w:r>
              <w:rPr>
                <w:rFonts w:ascii="Times New Roman" w:hAnsi="Times New Roman" w:eastAsia="Times New Roman" w:cs="Times New Roman"/>
                <w:spacing w:val="-9"/>
                <w:sz w:val="20"/>
                <w:szCs w:val="20"/>
              </w:rPr>
              <w:t>1</w:t>
            </w:r>
          </w:p>
        </w:tc>
        <w:tc>
          <w:tcPr>
            <w:tcW w:w="2118" w:type="dxa"/>
            <w:vAlign w:val="top"/>
          </w:tcPr>
          <w:p w14:paraId="65C38836">
            <w:pPr>
              <w:spacing w:before="99" w:line="195" w:lineRule="auto"/>
              <w:ind w:left="9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w:t>
            </w:r>
            <w:r>
              <w:rPr>
                <w:rFonts w:ascii="Times New Roman" w:hAnsi="Times New Roman" w:eastAsia="Times New Roman" w:cs="Times New Roman"/>
                <w:spacing w:val="2"/>
                <w:sz w:val="20"/>
                <w:szCs w:val="20"/>
              </w:rPr>
              <w:t>00</w:t>
            </w:r>
          </w:p>
        </w:tc>
        <w:tc>
          <w:tcPr>
            <w:tcW w:w="2296" w:type="dxa"/>
            <w:vAlign w:val="top"/>
          </w:tcPr>
          <w:p w14:paraId="0CB9265D">
            <w:pPr>
              <w:spacing w:before="100"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0.00306</w:t>
            </w:r>
            <w:r>
              <w:rPr>
                <w:rFonts w:ascii="Times New Roman" w:hAnsi="Times New Roman" w:eastAsia="Times New Roman" w:cs="Times New Roman"/>
                <w:spacing w:val="2"/>
                <w:sz w:val="20"/>
                <w:szCs w:val="20"/>
              </w:rPr>
              <w:t>5</w:t>
            </w:r>
          </w:p>
        </w:tc>
        <w:tc>
          <w:tcPr>
            <w:tcW w:w="2297" w:type="dxa"/>
            <w:tcBorders>
              <w:right w:val="nil"/>
            </w:tcBorders>
            <w:vAlign w:val="top"/>
          </w:tcPr>
          <w:p w14:paraId="317134CF">
            <w:pPr>
              <w:spacing w:before="100"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0. 15</w:t>
            </w:r>
          </w:p>
        </w:tc>
      </w:tr>
      <w:tr w14:paraId="7717DF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2B963D71">
            <w:pPr>
              <w:spacing w:before="99" w:line="195" w:lineRule="auto"/>
              <w:ind w:left="74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2</w:t>
            </w:r>
          </w:p>
        </w:tc>
        <w:tc>
          <w:tcPr>
            <w:tcW w:w="2118" w:type="dxa"/>
            <w:vAlign w:val="top"/>
          </w:tcPr>
          <w:p w14:paraId="46A93FB8">
            <w:pPr>
              <w:spacing w:before="99" w:line="195" w:lineRule="auto"/>
              <w:ind w:left="87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1000</w:t>
            </w:r>
          </w:p>
        </w:tc>
        <w:tc>
          <w:tcPr>
            <w:tcW w:w="2296" w:type="dxa"/>
            <w:vAlign w:val="top"/>
          </w:tcPr>
          <w:p w14:paraId="38806AAE">
            <w:pPr>
              <w:spacing w:before="99"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0.00291</w:t>
            </w:r>
            <w:r>
              <w:rPr>
                <w:rFonts w:ascii="Times New Roman" w:hAnsi="Times New Roman" w:eastAsia="Times New Roman" w:cs="Times New Roman"/>
                <w:spacing w:val="2"/>
                <w:sz w:val="20"/>
                <w:szCs w:val="20"/>
              </w:rPr>
              <w:t>3</w:t>
            </w:r>
          </w:p>
        </w:tc>
        <w:tc>
          <w:tcPr>
            <w:tcW w:w="2297" w:type="dxa"/>
            <w:tcBorders>
              <w:right w:val="nil"/>
            </w:tcBorders>
            <w:vAlign w:val="top"/>
          </w:tcPr>
          <w:p w14:paraId="48F32C0C">
            <w:pPr>
              <w:spacing w:before="99"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0. 15</w:t>
            </w:r>
          </w:p>
        </w:tc>
      </w:tr>
      <w:tr w14:paraId="460AD2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225FEB49">
            <w:pPr>
              <w:spacing w:before="101" w:line="195" w:lineRule="auto"/>
              <w:ind w:left="74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3</w:t>
            </w:r>
          </w:p>
        </w:tc>
        <w:tc>
          <w:tcPr>
            <w:tcW w:w="2118" w:type="dxa"/>
            <w:vAlign w:val="top"/>
          </w:tcPr>
          <w:p w14:paraId="5BA8622B">
            <w:pPr>
              <w:spacing w:before="101" w:line="195" w:lineRule="auto"/>
              <w:ind w:left="87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100</w:t>
            </w:r>
          </w:p>
        </w:tc>
        <w:tc>
          <w:tcPr>
            <w:tcW w:w="2296" w:type="dxa"/>
            <w:vAlign w:val="top"/>
          </w:tcPr>
          <w:p w14:paraId="58CC7145">
            <w:pPr>
              <w:spacing w:before="101"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0.00272</w:t>
            </w:r>
            <w:r>
              <w:rPr>
                <w:rFonts w:ascii="Times New Roman" w:hAnsi="Times New Roman" w:eastAsia="Times New Roman" w:cs="Times New Roman"/>
                <w:spacing w:val="2"/>
                <w:sz w:val="20"/>
                <w:szCs w:val="20"/>
              </w:rPr>
              <w:t>6</w:t>
            </w:r>
          </w:p>
        </w:tc>
        <w:tc>
          <w:tcPr>
            <w:tcW w:w="2297" w:type="dxa"/>
            <w:tcBorders>
              <w:right w:val="nil"/>
            </w:tcBorders>
            <w:vAlign w:val="top"/>
          </w:tcPr>
          <w:p w14:paraId="510BBA96">
            <w:pPr>
              <w:spacing w:before="101"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0. 14</w:t>
            </w:r>
          </w:p>
        </w:tc>
      </w:tr>
      <w:tr w14:paraId="6F6286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24AC0009">
            <w:pPr>
              <w:spacing w:before="101" w:line="195" w:lineRule="auto"/>
              <w:ind w:left="74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4</w:t>
            </w:r>
          </w:p>
        </w:tc>
        <w:tc>
          <w:tcPr>
            <w:tcW w:w="2118" w:type="dxa"/>
            <w:vAlign w:val="top"/>
          </w:tcPr>
          <w:p w14:paraId="50FE98FB">
            <w:pPr>
              <w:spacing w:before="100" w:line="195" w:lineRule="auto"/>
              <w:ind w:left="87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1200</w:t>
            </w:r>
          </w:p>
        </w:tc>
        <w:tc>
          <w:tcPr>
            <w:tcW w:w="2296" w:type="dxa"/>
            <w:vAlign w:val="top"/>
          </w:tcPr>
          <w:p w14:paraId="72F87EF5">
            <w:pPr>
              <w:spacing w:before="101"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0.00254</w:t>
            </w:r>
            <w:r>
              <w:rPr>
                <w:rFonts w:ascii="Times New Roman" w:hAnsi="Times New Roman" w:eastAsia="Times New Roman" w:cs="Times New Roman"/>
                <w:spacing w:val="2"/>
                <w:sz w:val="20"/>
                <w:szCs w:val="20"/>
              </w:rPr>
              <w:t>7</w:t>
            </w:r>
          </w:p>
        </w:tc>
        <w:tc>
          <w:tcPr>
            <w:tcW w:w="2297" w:type="dxa"/>
            <w:tcBorders>
              <w:right w:val="nil"/>
            </w:tcBorders>
            <w:vAlign w:val="top"/>
          </w:tcPr>
          <w:p w14:paraId="074E3B0C">
            <w:pPr>
              <w:spacing w:before="101"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0. 13</w:t>
            </w:r>
          </w:p>
        </w:tc>
      </w:tr>
      <w:tr w14:paraId="3B73B8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22B2B7CC">
            <w:pPr>
              <w:spacing w:before="100" w:line="195" w:lineRule="auto"/>
              <w:ind w:left="74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c>
          <w:tcPr>
            <w:tcW w:w="2118" w:type="dxa"/>
            <w:vAlign w:val="top"/>
          </w:tcPr>
          <w:p w14:paraId="1B28E2D7">
            <w:pPr>
              <w:spacing w:before="100" w:line="195" w:lineRule="auto"/>
              <w:ind w:left="87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1300</w:t>
            </w:r>
          </w:p>
        </w:tc>
        <w:tc>
          <w:tcPr>
            <w:tcW w:w="2296" w:type="dxa"/>
            <w:vAlign w:val="top"/>
          </w:tcPr>
          <w:p w14:paraId="534596AA">
            <w:pPr>
              <w:spacing w:before="100"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0.00237</w:t>
            </w:r>
            <w:r>
              <w:rPr>
                <w:rFonts w:ascii="Times New Roman" w:hAnsi="Times New Roman" w:eastAsia="Times New Roman" w:cs="Times New Roman"/>
                <w:spacing w:val="2"/>
                <w:sz w:val="20"/>
                <w:szCs w:val="20"/>
              </w:rPr>
              <w:t>8</w:t>
            </w:r>
          </w:p>
        </w:tc>
        <w:tc>
          <w:tcPr>
            <w:tcW w:w="2297" w:type="dxa"/>
            <w:tcBorders>
              <w:right w:val="nil"/>
            </w:tcBorders>
            <w:vAlign w:val="top"/>
          </w:tcPr>
          <w:p w14:paraId="02265D2A">
            <w:pPr>
              <w:spacing w:before="100"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0. 12</w:t>
            </w:r>
          </w:p>
        </w:tc>
      </w:tr>
      <w:tr w14:paraId="46D2A6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4771AB3D">
            <w:pPr>
              <w:spacing w:before="100" w:line="195" w:lineRule="auto"/>
              <w:ind w:left="74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6</w:t>
            </w:r>
          </w:p>
        </w:tc>
        <w:tc>
          <w:tcPr>
            <w:tcW w:w="2118" w:type="dxa"/>
            <w:vAlign w:val="top"/>
          </w:tcPr>
          <w:p w14:paraId="5747BA91">
            <w:pPr>
              <w:spacing w:before="100" w:line="195" w:lineRule="auto"/>
              <w:ind w:left="87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1400</w:t>
            </w:r>
          </w:p>
        </w:tc>
        <w:tc>
          <w:tcPr>
            <w:tcW w:w="2296" w:type="dxa"/>
            <w:vAlign w:val="top"/>
          </w:tcPr>
          <w:p w14:paraId="04CF9195">
            <w:pPr>
              <w:spacing w:before="100"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0.00222</w:t>
            </w:r>
            <w:r>
              <w:rPr>
                <w:rFonts w:ascii="Times New Roman" w:hAnsi="Times New Roman" w:eastAsia="Times New Roman" w:cs="Times New Roman"/>
                <w:spacing w:val="2"/>
                <w:sz w:val="20"/>
                <w:szCs w:val="20"/>
              </w:rPr>
              <w:t>2</w:t>
            </w:r>
          </w:p>
        </w:tc>
        <w:tc>
          <w:tcPr>
            <w:tcW w:w="2297" w:type="dxa"/>
            <w:tcBorders>
              <w:right w:val="nil"/>
            </w:tcBorders>
            <w:vAlign w:val="top"/>
          </w:tcPr>
          <w:p w14:paraId="7F1F8C89">
            <w:pPr>
              <w:spacing w:before="100" w:line="195" w:lineRule="auto"/>
              <w:ind w:left="973"/>
              <w:rPr>
                <w:rFonts w:ascii="Times New Roman" w:hAnsi="Times New Roman" w:eastAsia="Times New Roman" w:cs="Times New Roman"/>
                <w:sz w:val="20"/>
                <w:szCs w:val="20"/>
              </w:rPr>
            </w:pPr>
            <w:r>
              <w:rPr>
                <w:rFonts w:ascii="Times New Roman" w:hAnsi="Times New Roman" w:eastAsia="Times New Roman" w:cs="Times New Roman"/>
                <w:spacing w:val="-12"/>
                <w:sz w:val="20"/>
                <w:szCs w:val="20"/>
              </w:rPr>
              <w:t>0</w:t>
            </w:r>
            <w:r>
              <w:rPr>
                <w:rFonts w:ascii="Times New Roman" w:hAnsi="Times New Roman" w:eastAsia="Times New Roman" w:cs="Times New Roman"/>
                <w:spacing w:val="-8"/>
                <w:sz w:val="20"/>
                <w:szCs w:val="20"/>
              </w:rPr>
              <w:t>. 11</w:t>
            </w:r>
          </w:p>
        </w:tc>
      </w:tr>
      <w:tr w14:paraId="3F1BC0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029FDCE2">
            <w:pPr>
              <w:spacing w:before="99" w:line="195" w:lineRule="auto"/>
              <w:ind w:left="74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7</w:t>
            </w:r>
          </w:p>
        </w:tc>
        <w:tc>
          <w:tcPr>
            <w:tcW w:w="2118" w:type="dxa"/>
            <w:vAlign w:val="top"/>
          </w:tcPr>
          <w:p w14:paraId="3D2EB331">
            <w:pPr>
              <w:spacing w:before="99" w:line="195" w:lineRule="auto"/>
              <w:ind w:left="87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1500</w:t>
            </w:r>
          </w:p>
        </w:tc>
        <w:tc>
          <w:tcPr>
            <w:tcW w:w="2296" w:type="dxa"/>
            <w:vAlign w:val="top"/>
          </w:tcPr>
          <w:p w14:paraId="56E27EE2">
            <w:pPr>
              <w:spacing w:before="100"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0.00207</w:t>
            </w:r>
            <w:r>
              <w:rPr>
                <w:rFonts w:ascii="Times New Roman" w:hAnsi="Times New Roman" w:eastAsia="Times New Roman" w:cs="Times New Roman"/>
                <w:spacing w:val="2"/>
                <w:sz w:val="20"/>
                <w:szCs w:val="20"/>
              </w:rPr>
              <w:t>8</w:t>
            </w:r>
          </w:p>
        </w:tc>
        <w:tc>
          <w:tcPr>
            <w:tcW w:w="2297" w:type="dxa"/>
            <w:tcBorders>
              <w:right w:val="nil"/>
            </w:tcBorders>
            <w:vAlign w:val="top"/>
          </w:tcPr>
          <w:p w14:paraId="62752669">
            <w:pPr>
              <w:spacing w:before="100"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0. 10</w:t>
            </w:r>
          </w:p>
        </w:tc>
      </w:tr>
      <w:tr w14:paraId="46DC96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72913044">
            <w:pPr>
              <w:spacing w:before="99" w:line="195" w:lineRule="auto"/>
              <w:ind w:left="74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8</w:t>
            </w:r>
          </w:p>
        </w:tc>
        <w:tc>
          <w:tcPr>
            <w:tcW w:w="2118" w:type="dxa"/>
            <w:vAlign w:val="top"/>
          </w:tcPr>
          <w:p w14:paraId="75B8C27C">
            <w:pPr>
              <w:spacing w:before="99" w:line="195" w:lineRule="auto"/>
              <w:ind w:left="87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1600</w:t>
            </w:r>
          </w:p>
        </w:tc>
        <w:tc>
          <w:tcPr>
            <w:tcW w:w="2296" w:type="dxa"/>
            <w:vAlign w:val="top"/>
          </w:tcPr>
          <w:p w14:paraId="59C5F7F5">
            <w:pPr>
              <w:spacing w:before="99"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0.00194</w:t>
            </w:r>
            <w:r>
              <w:rPr>
                <w:rFonts w:ascii="Times New Roman" w:hAnsi="Times New Roman" w:eastAsia="Times New Roman" w:cs="Times New Roman"/>
                <w:spacing w:val="2"/>
                <w:sz w:val="20"/>
                <w:szCs w:val="20"/>
              </w:rPr>
              <w:t>7</w:t>
            </w:r>
          </w:p>
        </w:tc>
        <w:tc>
          <w:tcPr>
            <w:tcW w:w="2297" w:type="dxa"/>
            <w:tcBorders>
              <w:right w:val="nil"/>
            </w:tcBorders>
            <w:vAlign w:val="top"/>
          </w:tcPr>
          <w:p w14:paraId="716889A1">
            <w:pPr>
              <w:spacing w:before="99"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0. 10</w:t>
            </w:r>
          </w:p>
        </w:tc>
      </w:tr>
      <w:tr w14:paraId="658A4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57200494">
            <w:pPr>
              <w:spacing w:before="101" w:line="195" w:lineRule="auto"/>
              <w:ind w:left="74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9</w:t>
            </w:r>
          </w:p>
        </w:tc>
        <w:tc>
          <w:tcPr>
            <w:tcW w:w="2118" w:type="dxa"/>
            <w:vAlign w:val="top"/>
          </w:tcPr>
          <w:p w14:paraId="7396057E">
            <w:pPr>
              <w:spacing w:before="101" w:line="195" w:lineRule="auto"/>
              <w:ind w:left="87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1700</w:t>
            </w:r>
          </w:p>
        </w:tc>
        <w:tc>
          <w:tcPr>
            <w:tcW w:w="2296" w:type="dxa"/>
            <w:vAlign w:val="top"/>
          </w:tcPr>
          <w:p w14:paraId="3D8233EE">
            <w:pPr>
              <w:spacing w:before="101"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0.00182</w:t>
            </w:r>
            <w:r>
              <w:rPr>
                <w:rFonts w:ascii="Times New Roman" w:hAnsi="Times New Roman" w:eastAsia="Times New Roman" w:cs="Times New Roman"/>
                <w:spacing w:val="2"/>
                <w:sz w:val="20"/>
                <w:szCs w:val="20"/>
              </w:rPr>
              <w:t>6</w:t>
            </w:r>
          </w:p>
        </w:tc>
        <w:tc>
          <w:tcPr>
            <w:tcW w:w="2297" w:type="dxa"/>
            <w:tcBorders>
              <w:right w:val="nil"/>
            </w:tcBorders>
            <w:vAlign w:val="top"/>
          </w:tcPr>
          <w:p w14:paraId="7C58AB2C">
            <w:pPr>
              <w:spacing w:before="101"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.09</w:t>
            </w:r>
          </w:p>
        </w:tc>
      </w:tr>
      <w:tr w14:paraId="335A3D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6FD4BAB2">
            <w:pPr>
              <w:spacing w:before="100" w:line="195" w:lineRule="auto"/>
              <w:ind w:left="7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0</w:t>
            </w:r>
          </w:p>
        </w:tc>
        <w:tc>
          <w:tcPr>
            <w:tcW w:w="2118" w:type="dxa"/>
            <w:vAlign w:val="top"/>
          </w:tcPr>
          <w:p w14:paraId="5976F39E">
            <w:pPr>
              <w:spacing w:before="100" w:line="195" w:lineRule="auto"/>
              <w:ind w:left="87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1800</w:t>
            </w:r>
          </w:p>
        </w:tc>
        <w:tc>
          <w:tcPr>
            <w:tcW w:w="2296" w:type="dxa"/>
            <w:vAlign w:val="top"/>
          </w:tcPr>
          <w:p w14:paraId="68127D3D">
            <w:pPr>
              <w:spacing w:before="101"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0.00171</w:t>
            </w:r>
            <w:r>
              <w:rPr>
                <w:rFonts w:ascii="Times New Roman" w:hAnsi="Times New Roman" w:eastAsia="Times New Roman" w:cs="Times New Roman"/>
                <w:spacing w:val="2"/>
                <w:sz w:val="20"/>
                <w:szCs w:val="20"/>
              </w:rPr>
              <w:t>6</w:t>
            </w:r>
          </w:p>
        </w:tc>
        <w:tc>
          <w:tcPr>
            <w:tcW w:w="2297" w:type="dxa"/>
            <w:tcBorders>
              <w:right w:val="nil"/>
            </w:tcBorders>
            <w:vAlign w:val="top"/>
          </w:tcPr>
          <w:p w14:paraId="3305571A">
            <w:pPr>
              <w:spacing w:before="101"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.09</w:t>
            </w:r>
          </w:p>
        </w:tc>
      </w:tr>
      <w:tr w14:paraId="5B3AB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42FA9824">
            <w:pPr>
              <w:spacing w:before="100" w:line="195" w:lineRule="auto"/>
              <w:ind w:left="7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1</w:t>
            </w:r>
          </w:p>
        </w:tc>
        <w:tc>
          <w:tcPr>
            <w:tcW w:w="2118" w:type="dxa"/>
            <w:vAlign w:val="top"/>
          </w:tcPr>
          <w:p w14:paraId="7AD4295C">
            <w:pPr>
              <w:spacing w:before="100" w:line="195" w:lineRule="auto"/>
              <w:ind w:left="87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1900</w:t>
            </w:r>
          </w:p>
        </w:tc>
        <w:tc>
          <w:tcPr>
            <w:tcW w:w="2296" w:type="dxa"/>
            <w:vAlign w:val="top"/>
          </w:tcPr>
          <w:p w14:paraId="61DCC5C9">
            <w:pPr>
              <w:spacing w:before="100"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0.00165</w:t>
            </w:r>
            <w:r>
              <w:rPr>
                <w:rFonts w:ascii="Times New Roman" w:hAnsi="Times New Roman" w:eastAsia="Times New Roman" w:cs="Times New Roman"/>
                <w:spacing w:val="2"/>
                <w:sz w:val="20"/>
                <w:szCs w:val="20"/>
              </w:rPr>
              <w:t>5</w:t>
            </w:r>
          </w:p>
        </w:tc>
        <w:tc>
          <w:tcPr>
            <w:tcW w:w="2297" w:type="dxa"/>
            <w:tcBorders>
              <w:right w:val="nil"/>
            </w:tcBorders>
            <w:vAlign w:val="top"/>
          </w:tcPr>
          <w:p w14:paraId="63DE3828">
            <w:pPr>
              <w:spacing w:before="100"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.08</w:t>
            </w:r>
          </w:p>
        </w:tc>
      </w:tr>
      <w:tr w14:paraId="16BB7F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651" w:type="dxa"/>
            <w:tcBorders>
              <w:left w:val="nil"/>
            </w:tcBorders>
            <w:vAlign w:val="top"/>
          </w:tcPr>
          <w:p w14:paraId="59EBD15E">
            <w:pPr>
              <w:spacing w:before="100" w:line="195" w:lineRule="auto"/>
              <w:ind w:left="7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2</w:t>
            </w:r>
          </w:p>
        </w:tc>
        <w:tc>
          <w:tcPr>
            <w:tcW w:w="2118" w:type="dxa"/>
            <w:vAlign w:val="top"/>
          </w:tcPr>
          <w:p w14:paraId="57130623">
            <w:pPr>
              <w:spacing w:before="100" w:line="195" w:lineRule="auto"/>
              <w:ind w:left="85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2000</w:t>
            </w:r>
          </w:p>
        </w:tc>
        <w:tc>
          <w:tcPr>
            <w:tcW w:w="2296" w:type="dxa"/>
            <w:vAlign w:val="top"/>
          </w:tcPr>
          <w:p w14:paraId="4B7F6BC3">
            <w:pPr>
              <w:spacing w:before="100"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0.00168</w:t>
            </w:r>
            <w:r>
              <w:rPr>
                <w:rFonts w:ascii="Times New Roman" w:hAnsi="Times New Roman" w:eastAsia="Times New Roman" w:cs="Times New Roman"/>
                <w:spacing w:val="2"/>
                <w:sz w:val="20"/>
                <w:szCs w:val="20"/>
              </w:rPr>
              <w:t>3</w:t>
            </w:r>
          </w:p>
        </w:tc>
        <w:tc>
          <w:tcPr>
            <w:tcW w:w="2297" w:type="dxa"/>
            <w:tcBorders>
              <w:right w:val="nil"/>
            </w:tcBorders>
            <w:vAlign w:val="top"/>
          </w:tcPr>
          <w:p w14:paraId="2088BCB6">
            <w:pPr>
              <w:spacing w:before="100"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.08</w:t>
            </w:r>
          </w:p>
        </w:tc>
      </w:tr>
      <w:tr w14:paraId="59FDE0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3769" w:type="dxa"/>
            <w:gridSpan w:val="2"/>
            <w:tcBorders>
              <w:left w:val="nil"/>
            </w:tcBorders>
            <w:vAlign w:val="top"/>
          </w:tcPr>
          <w:p w14:paraId="3CEB297D">
            <w:pPr>
              <w:spacing w:before="63" w:line="222" w:lineRule="auto"/>
              <w:ind w:left="849"/>
              <w:rPr>
                <w:rFonts w:ascii="宋体" w:hAnsi="宋体" w:eastAsia="宋体" w:cs="宋体"/>
                <w:sz w:val="20"/>
                <w:szCs w:val="20"/>
              </w:rPr>
            </w:pPr>
            <w:r>
              <w:rPr>
                <w:rFonts w:ascii="宋体" w:hAnsi="宋体" w:eastAsia="宋体" w:cs="宋体"/>
                <w:spacing w:val="11"/>
                <w:sz w:val="20"/>
                <w:szCs w:val="20"/>
              </w:rPr>
              <w:t>下</w:t>
            </w:r>
            <w:r>
              <w:rPr>
                <w:rFonts w:ascii="宋体" w:hAnsi="宋体" w:eastAsia="宋体" w:cs="宋体"/>
                <w:spacing w:val="8"/>
                <w:sz w:val="20"/>
                <w:szCs w:val="20"/>
              </w:rPr>
              <w:t>风向最大落地点浓度</w:t>
            </w:r>
          </w:p>
        </w:tc>
        <w:tc>
          <w:tcPr>
            <w:tcW w:w="2296" w:type="dxa"/>
            <w:vAlign w:val="top"/>
          </w:tcPr>
          <w:p w14:paraId="694359E2">
            <w:pPr>
              <w:spacing w:before="100"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0.00406</w:t>
            </w:r>
            <w:r>
              <w:rPr>
                <w:rFonts w:ascii="Times New Roman" w:hAnsi="Times New Roman" w:eastAsia="Times New Roman" w:cs="Times New Roman"/>
                <w:spacing w:val="2"/>
                <w:sz w:val="20"/>
                <w:szCs w:val="20"/>
              </w:rPr>
              <w:t>5</w:t>
            </w:r>
          </w:p>
        </w:tc>
        <w:tc>
          <w:tcPr>
            <w:tcW w:w="2297" w:type="dxa"/>
            <w:tcBorders>
              <w:right w:val="nil"/>
            </w:tcBorders>
            <w:vAlign w:val="top"/>
          </w:tcPr>
          <w:p w14:paraId="1219BC4A">
            <w:pPr>
              <w:spacing w:before="100" w:line="195" w:lineRule="auto"/>
              <w:ind w:left="96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.20</w:t>
            </w:r>
          </w:p>
        </w:tc>
      </w:tr>
      <w:tr w14:paraId="5CD28E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3769" w:type="dxa"/>
            <w:gridSpan w:val="2"/>
            <w:tcBorders>
              <w:left w:val="nil"/>
            </w:tcBorders>
            <w:vAlign w:val="top"/>
          </w:tcPr>
          <w:p w14:paraId="72D184DB">
            <w:pPr>
              <w:spacing w:before="26" w:line="281" w:lineRule="exact"/>
              <w:ind w:left="861"/>
              <w:rPr>
                <w:rFonts w:ascii="Times New Roman" w:hAnsi="Times New Roman" w:eastAsia="Times New Roman" w:cs="Times New Roman"/>
                <w:sz w:val="20"/>
                <w:szCs w:val="20"/>
              </w:rPr>
            </w:pPr>
            <w:r>
              <w:rPr>
                <w:rFonts w:ascii="宋体" w:hAnsi="宋体" w:eastAsia="宋体" w:cs="宋体"/>
                <w:spacing w:val="-2"/>
                <w:position w:val="2"/>
                <w:sz w:val="20"/>
                <w:szCs w:val="20"/>
              </w:rPr>
              <w:t>最大落地点浓度距离</w:t>
            </w:r>
            <w:r>
              <w:rPr>
                <w:rFonts w:ascii="Times New Roman" w:hAnsi="Times New Roman" w:eastAsia="Times New Roman" w:cs="Times New Roman"/>
                <w:spacing w:val="-1"/>
                <w:position w:val="2"/>
                <w:sz w:val="20"/>
                <w:szCs w:val="20"/>
              </w:rPr>
              <w:t>(m)</w:t>
            </w:r>
          </w:p>
        </w:tc>
        <w:tc>
          <w:tcPr>
            <w:tcW w:w="4593" w:type="dxa"/>
            <w:gridSpan w:val="2"/>
            <w:tcBorders>
              <w:right w:val="nil"/>
            </w:tcBorders>
            <w:vAlign w:val="top"/>
          </w:tcPr>
          <w:p w14:paraId="56A3B500">
            <w:pPr>
              <w:spacing w:before="100" w:line="195" w:lineRule="auto"/>
              <w:ind w:left="214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19</w:t>
            </w:r>
          </w:p>
        </w:tc>
      </w:tr>
    </w:tbl>
    <w:p w14:paraId="2B67A3BD">
      <w:pPr>
        <w:spacing w:before="288" w:line="331" w:lineRule="exact"/>
        <w:ind w:left="906"/>
        <w:rPr>
          <w:rFonts w:ascii="宋体" w:hAnsi="宋体" w:eastAsia="宋体" w:cs="宋体"/>
          <w:sz w:val="23"/>
          <w:szCs w:val="23"/>
        </w:rPr>
      </w:pPr>
      <w:r>
        <w:rPr>
          <w:rFonts w:ascii="宋体" w:hAnsi="宋体" w:eastAsia="宋体" w:cs="宋体"/>
          <w:spacing w:val="7"/>
          <w:position w:val="2"/>
          <w:sz w:val="23"/>
          <w:szCs w:val="23"/>
          <w14:textOutline w14:w="4358" w14:cap="sq" w14:cmpd="sng">
            <w14:solidFill>
              <w14:srgbClr w14:val="000000"/>
            </w14:solidFill>
            <w14:prstDash w14:val="solid"/>
            <w14:bevel/>
          </w14:textOutline>
        </w:rPr>
        <w:t>表</w:t>
      </w:r>
      <w:r>
        <w:rPr>
          <w:rFonts w:ascii="宋体" w:hAnsi="宋体" w:eastAsia="宋体" w:cs="宋体"/>
          <w:spacing w:val="7"/>
          <w:position w:val="2"/>
          <w:sz w:val="23"/>
          <w:szCs w:val="23"/>
        </w:rPr>
        <w:t xml:space="preserve"> </w:t>
      </w:r>
      <w:r>
        <w:rPr>
          <w:rFonts w:ascii="Times New Roman" w:hAnsi="Times New Roman" w:eastAsia="Times New Roman" w:cs="Times New Roman"/>
          <w:b/>
          <w:bCs/>
          <w:spacing w:val="7"/>
          <w:position w:val="2"/>
          <w:sz w:val="23"/>
          <w:szCs w:val="23"/>
        </w:rPr>
        <w:t>5-10</w:t>
      </w:r>
      <w:r>
        <w:rPr>
          <w:rFonts w:ascii="Times New Roman" w:hAnsi="Times New Roman" w:eastAsia="Times New Roman" w:cs="Times New Roman"/>
          <w:spacing w:val="7"/>
          <w:position w:val="2"/>
          <w:sz w:val="23"/>
          <w:szCs w:val="23"/>
        </w:rPr>
        <w:t xml:space="preserve">         </w:t>
      </w:r>
      <w:r>
        <w:rPr>
          <w:rFonts w:ascii="Times New Roman" w:hAnsi="Times New Roman" w:eastAsia="Times New Roman" w:cs="Times New Roman"/>
          <w:b/>
          <w:bCs/>
          <w:spacing w:val="7"/>
          <w:position w:val="2"/>
          <w:sz w:val="23"/>
          <w:szCs w:val="23"/>
        </w:rPr>
        <w:t>3#</w:t>
      </w:r>
      <w:r>
        <w:rPr>
          <w:rFonts w:ascii="宋体" w:hAnsi="宋体" w:eastAsia="宋体" w:cs="宋体"/>
          <w:spacing w:val="7"/>
          <w:position w:val="2"/>
          <w:sz w:val="23"/>
          <w:szCs w:val="23"/>
          <w14:textOutline w14:w="4358" w14:cap="sq" w14:cmpd="sng">
            <w14:solidFill>
              <w14:srgbClr w14:val="000000"/>
            </w14:solidFill>
            <w14:prstDash w14:val="solid"/>
            <w14:bevel/>
          </w14:textOutline>
        </w:rPr>
        <w:t>排气筒有组织废气主要污染因子估算模式的计算结</w:t>
      </w:r>
      <w:r>
        <w:rPr>
          <w:rFonts w:ascii="宋体" w:hAnsi="宋体" w:eastAsia="宋体" w:cs="宋体"/>
          <w:spacing w:val="1"/>
          <w:position w:val="2"/>
          <w:sz w:val="23"/>
          <w:szCs w:val="23"/>
          <w14:textOutline w14:w="4358" w14:cap="sq" w14:cmpd="sng">
            <w14:solidFill>
              <w14:srgbClr w14:val="000000"/>
            </w14:solidFill>
            <w14:prstDash w14:val="solid"/>
            <w14:bevel/>
          </w14:textOutline>
        </w:rPr>
        <w:t>果</w:t>
      </w:r>
    </w:p>
    <w:p w14:paraId="763B2138">
      <w:pPr>
        <w:spacing w:line="17" w:lineRule="exact"/>
      </w:pPr>
    </w:p>
    <w:tbl>
      <w:tblPr>
        <w:tblStyle w:val="4"/>
        <w:tblW w:w="835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0"/>
        <w:gridCol w:w="1164"/>
        <w:gridCol w:w="1233"/>
        <w:gridCol w:w="793"/>
        <w:gridCol w:w="1232"/>
        <w:gridCol w:w="794"/>
        <w:gridCol w:w="1126"/>
        <w:gridCol w:w="900"/>
      </w:tblGrid>
      <w:tr w14:paraId="78B239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1" w:hRule="atLeast"/>
        </w:trPr>
        <w:tc>
          <w:tcPr>
            <w:tcW w:w="1110" w:type="dxa"/>
            <w:vMerge w:val="restart"/>
            <w:tcBorders>
              <w:left w:val="nil"/>
              <w:bottom w:val="nil"/>
            </w:tcBorders>
            <w:vAlign w:val="top"/>
          </w:tcPr>
          <w:p w14:paraId="4E0AF24F">
            <w:pPr>
              <w:spacing w:line="434" w:lineRule="auto"/>
              <w:rPr>
                <w:rFonts w:ascii="Arial"/>
                <w:sz w:val="21"/>
              </w:rPr>
            </w:pPr>
          </w:p>
          <w:p w14:paraId="7277DB5B">
            <w:pPr>
              <w:spacing w:before="65" w:line="229" w:lineRule="auto"/>
              <w:ind w:left="351"/>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序号</w:t>
            </w:r>
          </w:p>
        </w:tc>
        <w:tc>
          <w:tcPr>
            <w:tcW w:w="1164" w:type="dxa"/>
            <w:vMerge w:val="restart"/>
            <w:tcBorders>
              <w:bottom w:val="nil"/>
            </w:tcBorders>
            <w:vAlign w:val="top"/>
          </w:tcPr>
          <w:p w14:paraId="6A925C35">
            <w:pPr>
              <w:spacing w:line="393" w:lineRule="auto"/>
              <w:rPr>
                <w:rFonts w:ascii="Arial"/>
                <w:sz w:val="21"/>
              </w:rPr>
            </w:pPr>
          </w:p>
          <w:p w14:paraId="59F49A9B">
            <w:pPr>
              <w:spacing w:before="65" w:line="289" w:lineRule="exact"/>
              <w:ind w:left="220"/>
              <w:rPr>
                <w:rFonts w:ascii="Times New Roman" w:hAnsi="Times New Roman" w:eastAsia="Times New Roman" w:cs="Times New Roman"/>
                <w:sz w:val="20"/>
                <w:szCs w:val="20"/>
              </w:rPr>
            </w:pPr>
            <w:r>
              <w:rPr>
                <w:rFonts w:ascii="宋体" w:hAnsi="宋体" w:eastAsia="宋体" w:cs="宋体"/>
                <w:spacing w:val="7"/>
                <w:position w:val="2"/>
                <w:sz w:val="20"/>
                <w:szCs w:val="20"/>
                <w14:textOutline w14:w="3795" w14:cap="sq" w14:cmpd="sng">
                  <w14:solidFill>
                    <w14:srgbClr w14:val="000000"/>
                  </w14:solidFill>
                  <w14:prstDash w14:val="solid"/>
                  <w14:bevel/>
                </w14:textOutline>
              </w:rPr>
              <w:t>距离</w:t>
            </w:r>
            <w:r>
              <w:rPr>
                <w:rFonts w:ascii="Times New Roman" w:hAnsi="Times New Roman" w:eastAsia="Times New Roman" w:cs="Times New Roman"/>
                <w:b/>
                <w:bCs/>
                <w:spacing w:val="7"/>
                <w:position w:val="2"/>
                <w:sz w:val="20"/>
                <w:szCs w:val="20"/>
              </w:rPr>
              <w:t>(</w:t>
            </w:r>
            <w:r>
              <w:rPr>
                <w:rFonts w:ascii="Times New Roman" w:hAnsi="Times New Roman" w:eastAsia="Times New Roman" w:cs="Times New Roman"/>
                <w:b/>
                <w:bCs/>
                <w:position w:val="2"/>
                <w:sz w:val="20"/>
                <w:szCs w:val="20"/>
              </w:rPr>
              <w:t>m</w:t>
            </w:r>
            <w:r>
              <w:rPr>
                <w:rFonts w:ascii="Times New Roman" w:hAnsi="Times New Roman" w:eastAsia="Times New Roman" w:cs="Times New Roman"/>
                <w:b/>
                <w:bCs/>
                <w:spacing w:val="6"/>
                <w:position w:val="2"/>
                <w:sz w:val="20"/>
                <w:szCs w:val="20"/>
              </w:rPr>
              <w:t>)</w:t>
            </w:r>
          </w:p>
        </w:tc>
        <w:tc>
          <w:tcPr>
            <w:tcW w:w="6078" w:type="dxa"/>
            <w:gridSpan w:val="6"/>
            <w:tcBorders>
              <w:right w:val="nil"/>
            </w:tcBorders>
            <w:vAlign w:val="top"/>
          </w:tcPr>
          <w:p w14:paraId="41DEF00E">
            <w:pPr>
              <w:spacing w:before="14" w:line="286" w:lineRule="exact"/>
              <w:ind w:left="2724"/>
              <w:rPr>
                <w:rFonts w:ascii="宋体" w:hAnsi="宋体" w:eastAsia="宋体" w:cs="宋体"/>
                <w:sz w:val="20"/>
                <w:szCs w:val="20"/>
              </w:rPr>
            </w:pPr>
            <w:r>
              <w:rPr>
                <w:rFonts w:ascii="Times New Roman" w:hAnsi="Times New Roman" w:eastAsia="Times New Roman" w:cs="Times New Roman"/>
                <w:b/>
                <w:bCs/>
                <w:spacing w:val="7"/>
                <w:position w:val="1"/>
                <w:sz w:val="20"/>
                <w:szCs w:val="20"/>
              </w:rPr>
              <w:t>3#</w:t>
            </w:r>
            <w:r>
              <w:rPr>
                <w:rFonts w:ascii="宋体" w:hAnsi="宋体" w:eastAsia="宋体" w:cs="宋体"/>
                <w:spacing w:val="7"/>
                <w:position w:val="1"/>
                <w:sz w:val="20"/>
                <w:szCs w:val="20"/>
                <w14:textOutline w14:w="3762" w14:cap="sq" w14:cmpd="sng">
                  <w14:solidFill>
                    <w14:srgbClr w14:val="000000"/>
                  </w14:solidFill>
                  <w14:prstDash w14:val="solid"/>
                  <w14:bevel/>
                </w14:textOutline>
              </w:rPr>
              <w:t>点源</w:t>
            </w:r>
          </w:p>
        </w:tc>
      </w:tr>
      <w:tr w14:paraId="4E902D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1110" w:type="dxa"/>
            <w:vMerge w:val="continue"/>
            <w:tcBorders>
              <w:top w:val="nil"/>
              <w:left w:val="nil"/>
              <w:bottom w:val="nil"/>
            </w:tcBorders>
            <w:vAlign w:val="top"/>
          </w:tcPr>
          <w:p w14:paraId="79B87C1D">
            <w:pPr>
              <w:rPr>
                <w:rFonts w:ascii="Arial"/>
                <w:sz w:val="21"/>
              </w:rPr>
            </w:pPr>
          </w:p>
        </w:tc>
        <w:tc>
          <w:tcPr>
            <w:tcW w:w="1164" w:type="dxa"/>
            <w:vMerge w:val="continue"/>
            <w:tcBorders>
              <w:top w:val="nil"/>
              <w:bottom w:val="nil"/>
            </w:tcBorders>
            <w:vAlign w:val="top"/>
          </w:tcPr>
          <w:p w14:paraId="3BB8EAE1">
            <w:pPr>
              <w:rPr>
                <w:rFonts w:ascii="Arial"/>
                <w:sz w:val="21"/>
              </w:rPr>
            </w:pPr>
          </w:p>
        </w:tc>
        <w:tc>
          <w:tcPr>
            <w:tcW w:w="2026" w:type="dxa"/>
            <w:gridSpan w:val="2"/>
            <w:vAlign w:val="top"/>
          </w:tcPr>
          <w:p w14:paraId="71953774">
            <w:pPr>
              <w:spacing w:before="54" w:line="201" w:lineRule="auto"/>
              <w:ind w:left="838"/>
              <w:rPr>
                <w:rFonts w:ascii="Times New Roman" w:hAnsi="Times New Roman" w:eastAsia="Times New Roman" w:cs="Times New Roman"/>
                <w:sz w:val="13"/>
                <w:szCs w:val="13"/>
              </w:rPr>
            </w:pPr>
            <w:r>
              <w:rPr>
                <w:rFonts w:ascii="Times New Roman" w:hAnsi="Times New Roman" w:eastAsia="Times New Roman" w:cs="Times New Roman"/>
                <w:b/>
                <w:bCs/>
                <w:sz w:val="20"/>
                <w:szCs w:val="20"/>
              </w:rPr>
              <w:t>SO</w:t>
            </w:r>
            <w:r>
              <w:rPr>
                <w:rFonts w:ascii="Times New Roman" w:hAnsi="Times New Roman" w:eastAsia="Times New Roman" w:cs="Times New Roman"/>
                <w:b/>
                <w:bCs/>
                <w:spacing w:val="18"/>
                <w:position w:val="-1"/>
                <w:sz w:val="13"/>
                <w:szCs w:val="13"/>
              </w:rPr>
              <w:t>2</w:t>
            </w:r>
          </w:p>
        </w:tc>
        <w:tc>
          <w:tcPr>
            <w:tcW w:w="2026" w:type="dxa"/>
            <w:gridSpan w:val="2"/>
            <w:vAlign w:val="top"/>
          </w:tcPr>
          <w:p w14:paraId="6D86D1ED">
            <w:pPr>
              <w:spacing w:before="54" w:line="201" w:lineRule="auto"/>
              <w:ind w:left="813"/>
              <w:rPr>
                <w:rFonts w:ascii="Times New Roman" w:hAnsi="Times New Roman" w:eastAsia="Times New Roman" w:cs="Times New Roman"/>
                <w:sz w:val="13"/>
                <w:szCs w:val="13"/>
              </w:rPr>
            </w:pPr>
            <w:r>
              <w:rPr>
                <w:rFonts w:ascii="Times New Roman" w:hAnsi="Times New Roman" w:eastAsia="Times New Roman" w:cs="Times New Roman"/>
                <w:b/>
                <w:bCs/>
                <w:sz w:val="20"/>
                <w:szCs w:val="20"/>
              </w:rPr>
              <w:t>NO</w:t>
            </w:r>
            <w:r>
              <w:rPr>
                <w:rFonts w:ascii="Times New Roman" w:hAnsi="Times New Roman" w:eastAsia="Times New Roman" w:cs="Times New Roman"/>
                <w:b/>
                <w:bCs/>
                <w:spacing w:val="26"/>
                <w:position w:val="-1"/>
                <w:sz w:val="13"/>
                <w:szCs w:val="13"/>
              </w:rPr>
              <w:t>2</w:t>
            </w:r>
          </w:p>
        </w:tc>
        <w:tc>
          <w:tcPr>
            <w:tcW w:w="2026" w:type="dxa"/>
            <w:gridSpan w:val="2"/>
            <w:tcBorders>
              <w:right w:val="nil"/>
            </w:tcBorders>
            <w:vAlign w:val="top"/>
          </w:tcPr>
          <w:p w14:paraId="1496CF48">
            <w:pPr>
              <w:spacing w:before="57" w:line="198" w:lineRule="auto"/>
              <w:ind w:left="771"/>
              <w:rPr>
                <w:rFonts w:ascii="Times New Roman" w:hAnsi="Times New Roman" w:eastAsia="Times New Roman" w:cs="Times New Roman"/>
                <w:sz w:val="13"/>
                <w:szCs w:val="13"/>
              </w:rPr>
            </w:pPr>
            <w:r>
              <w:rPr>
                <w:rFonts w:ascii="Times New Roman" w:hAnsi="Times New Roman" w:eastAsia="Times New Roman" w:cs="Times New Roman"/>
                <w:b/>
                <w:bCs/>
                <w:sz w:val="20"/>
                <w:szCs w:val="20"/>
              </w:rPr>
              <w:t>PM</w:t>
            </w:r>
            <w:r>
              <w:rPr>
                <w:rFonts w:ascii="Times New Roman" w:hAnsi="Times New Roman" w:eastAsia="Times New Roman" w:cs="Times New Roman"/>
                <w:b/>
                <w:bCs/>
                <w:spacing w:val="16"/>
                <w:position w:val="-1"/>
                <w:sz w:val="13"/>
                <w:szCs w:val="13"/>
              </w:rPr>
              <w:t>10</w:t>
            </w:r>
          </w:p>
        </w:tc>
      </w:tr>
      <w:tr w14:paraId="4FA0EC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110" w:type="dxa"/>
            <w:vMerge w:val="continue"/>
            <w:tcBorders>
              <w:top w:val="nil"/>
              <w:left w:val="nil"/>
            </w:tcBorders>
            <w:vAlign w:val="top"/>
          </w:tcPr>
          <w:p w14:paraId="13D89492">
            <w:pPr>
              <w:rPr>
                <w:rFonts w:ascii="Arial"/>
                <w:sz w:val="21"/>
              </w:rPr>
            </w:pPr>
          </w:p>
        </w:tc>
        <w:tc>
          <w:tcPr>
            <w:tcW w:w="1164" w:type="dxa"/>
            <w:vMerge w:val="continue"/>
            <w:tcBorders>
              <w:top w:val="nil"/>
            </w:tcBorders>
            <w:vAlign w:val="top"/>
          </w:tcPr>
          <w:p w14:paraId="0D257677">
            <w:pPr>
              <w:rPr>
                <w:rFonts w:ascii="Arial"/>
                <w:sz w:val="21"/>
              </w:rPr>
            </w:pPr>
          </w:p>
        </w:tc>
        <w:tc>
          <w:tcPr>
            <w:tcW w:w="1233" w:type="dxa"/>
            <w:vAlign w:val="top"/>
          </w:tcPr>
          <w:p w14:paraId="0FEE4E19">
            <w:pPr>
              <w:spacing w:before="60" w:line="251" w:lineRule="auto"/>
              <w:ind w:left="205" w:right="25" w:hanging="141"/>
              <w:rPr>
                <w:rFonts w:ascii="Times New Roman" w:hAnsi="Times New Roman" w:eastAsia="Times New Roman" w:cs="Times New Roman"/>
                <w:sz w:val="20"/>
                <w:szCs w:val="20"/>
              </w:rPr>
            </w:pPr>
            <w:r>
              <w:rPr>
                <w:rFonts w:ascii="宋体" w:hAnsi="宋体" w:eastAsia="宋体" w:cs="宋体"/>
                <w:spacing w:val="-13"/>
                <w:sz w:val="20"/>
                <w:szCs w:val="20"/>
                <w14:textOutline w14:w="3773" w14:cap="sq" w14:cmpd="sng">
                  <w14:solidFill>
                    <w14:srgbClr w14:val="000000"/>
                  </w14:solidFill>
                  <w14:prstDash w14:val="solid"/>
                  <w14:bevel/>
                </w14:textOutline>
              </w:rPr>
              <w:t>下</w:t>
            </w:r>
            <w:r>
              <w:rPr>
                <w:rFonts w:ascii="宋体" w:hAnsi="宋体" w:eastAsia="宋体" w:cs="宋体"/>
                <w:spacing w:val="-10"/>
                <w:sz w:val="20"/>
                <w:szCs w:val="20"/>
                <w14:textOutline w14:w="3773" w14:cap="sq" w14:cmpd="sng">
                  <w14:solidFill>
                    <w14:srgbClr w14:val="000000"/>
                  </w14:solidFill>
                  <w14:prstDash w14:val="solid"/>
                  <w14:bevel/>
                </w14:textOutline>
              </w:rPr>
              <w:t>风向预测浓</w:t>
            </w:r>
            <w:r>
              <w:rPr>
                <w:rFonts w:ascii="宋体" w:hAnsi="宋体" w:eastAsia="宋体" w:cs="宋体"/>
                <w:sz w:val="20"/>
                <w:szCs w:val="20"/>
              </w:rPr>
              <w:t xml:space="preserve"> </w:t>
            </w:r>
            <w:r>
              <w:rPr>
                <w:rFonts w:ascii="宋体" w:hAnsi="宋体" w:eastAsia="宋体" w:cs="宋体"/>
                <w:spacing w:val="-7"/>
                <w:sz w:val="20"/>
                <w:szCs w:val="20"/>
                <w14:textOutline w14:w="3773" w14:cap="sq" w14:cmpd="sng">
                  <w14:solidFill>
                    <w14:srgbClr w14:val="000000"/>
                  </w14:solidFill>
                  <w14:prstDash w14:val="solid"/>
                  <w14:bevel/>
                </w14:textOutline>
              </w:rPr>
              <w:t>度</w:t>
            </w:r>
            <w:r>
              <w:rPr>
                <w:rFonts w:ascii="Times New Roman" w:hAnsi="Times New Roman" w:eastAsia="Times New Roman" w:cs="Times New Roman"/>
                <w:b/>
                <w:bCs/>
                <w:spacing w:val="-5"/>
                <w:sz w:val="20"/>
                <w:szCs w:val="20"/>
              </w:rPr>
              <w:t>(mg/m</w:t>
            </w:r>
            <w:r>
              <w:rPr>
                <w:rFonts w:ascii="Times New Roman" w:hAnsi="Times New Roman" w:eastAsia="Times New Roman" w:cs="Times New Roman"/>
                <w:b/>
                <w:bCs/>
                <w:spacing w:val="-5"/>
                <w:position w:val="6"/>
                <w:sz w:val="13"/>
                <w:szCs w:val="13"/>
              </w:rPr>
              <w:t>3</w:t>
            </w:r>
            <w:r>
              <w:rPr>
                <w:rFonts w:ascii="Times New Roman" w:hAnsi="Times New Roman" w:eastAsia="Times New Roman" w:cs="Times New Roman"/>
                <w:b/>
                <w:bCs/>
                <w:spacing w:val="-5"/>
                <w:sz w:val="20"/>
                <w:szCs w:val="20"/>
              </w:rPr>
              <w:t>)</w:t>
            </w:r>
          </w:p>
        </w:tc>
        <w:tc>
          <w:tcPr>
            <w:tcW w:w="793" w:type="dxa"/>
            <w:vAlign w:val="top"/>
          </w:tcPr>
          <w:p w14:paraId="3594C1C9">
            <w:pPr>
              <w:spacing w:before="58" w:line="267" w:lineRule="auto"/>
              <w:ind w:left="226" w:right="77" w:hanging="105"/>
              <w:rPr>
                <w:rFonts w:ascii="Times New Roman" w:hAnsi="Times New Roman" w:eastAsia="Times New Roman" w:cs="Times New Roman"/>
                <w:sz w:val="20"/>
                <w:szCs w:val="20"/>
              </w:rPr>
            </w:pPr>
            <w:r>
              <w:rPr>
                <w:rFonts w:ascii="宋体" w:hAnsi="宋体" w:eastAsia="宋体" w:cs="宋体"/>
                <w:spacing w:val="-6"/>
                <w:sz w:val="20"/>
                <w:szCs w:val="20"/>
                <w14:textOutline w14:w="3773" w14:cap="sq" w14:cmpd="sng">
                  <w14:solidFill>
                    <w14:srgbClr w14:val="000000"/>
                  </w14:solidFill>
                  <w14:prstDash w14:val="solid"/>
                  <w14:bevel/>
                </w14:textOutline>
              </w:rPr>
              <w:t>占</w:t>
            </w:r>
            <w:r>
              <w:rPr>
                <w:rFonts w:ascii="宋体" w:hAnsi="宋体" w:eastAsia="宋体" w:cs="宋体"/>
                <w:spacing w:val="-3"/>
                <w:sz w:val="20"/>
                <w:szCs w:val="20"/>
                <w14:textOutline w14:w="3773" w14:cap="sq" w14:cmpd="sng">
                  <w14:solidFill>
                    <w14:srgbClr w14:val="000000"/>
                  </w14:solidFill>
                  <w14:prstDash w14:val="solid"/>
                  <w14:bevel/>
                </w14:textOutline>
              </w:rPr>
              <w:t>标率</w:t>
            </w:r>
            <w:r>
              <w:rPr>
                <w:rFonts w:ascii="宋体" w:hAnsi="宋体" w:eastAsia="宋体" w:cs="宋体"/>
                <w:sz w:val="20"/>
                <w:szCs w:val="20"/>
              </w:rPr>
              <w:t xml:space="preserve"> </w:t>
            </w:r>
            <w:r>
              <w:rPr>
                <w:rFonts w:ascii="Times New Roman" w:hAnsi="Times New Roman" w:eastAsia="Times New Roman" w:cs="Times New Roman"/>
                <w:b/>
                <w:bCs/>
                <w:spacing w:val="3"/>
                <w:sz w:val="20"/>
                <w:szCs w:val="20"/>
              </w:rPr>
              <w:t>(%</w:t>
            </w:r>
            <w:r>
              <w:rPr>
                <w:rFonts w:ascii="Times New Roman" w:hAnsi="Times New Roman" w:eastAsia="Times New Roman" w:cs="Times New Roman"/>
                <w:b/>
                <w:bCs/>
                <w:spacing w:val="2"/>
                <w:sz w:val="20"/>
                <w:szCs w:val="20"/>
              </w:rPr>
              <w:t>)</w:t>
            </w:r>
          </w:p>
        </w:tc>
        <w:tc>
          <w:tcPr>
            <w:tcW w:w="1232" w:type="dxa"/>
            <w:vAlign w:val="top"/>
          </w:tcPr>
          <w:p w14:paraId="5A57F52E">
            <w:pPr>
              <w:spacing w:before="60" w:line="251" w:lineRule="auto"/>
              <w:ind w:left="205" w:right="25" w:hanging="141"/>
              <w:rPr>
                <w:rFonts w:ascii="Times New Roman" w:hAnsi="Times New Roman" w:eastAsia="Times New Roman" w:cs="Times New Roman"/>
                <w:sz w:val="20"/>
                <w:szCs w:val="20"/>
              </w:rPr>
            </w:pPr>
            <w:r>
              <w:rPr>
                <w:rFonts w:ascii="宋体" w:hAnsi="宋体" w:eastAsia="宋体" w:cs="宋体"/>
                <w:spacing w:val="-13"/>
                <w:sz w:val="20"/>
                <w:szCs w:val="20"/>
                <w14:textOutline w14:w="3773" w14:cap="sq" w14:cmpd="sng">
                  <w14:solidFill>
                    <w14:srgbClr w14:val="000000"/>
                  </w14:solidFill>
                  <w14:prstDash w14:val="solid"/>
                  <w14:bevel/>
                </w14:textOutline>
              </w:rPr>
              <w:t>下</w:t>
            </w:r>
            <w:r>
              <w:rPr>
                <w:rFonts w:ascii="宋体" w:hAnsi="宋体" w:eastAsia="宋体" w:cs="宋体"/>
                <w:spacing w:val="-10"/>
                <w:sz w:val="20"/>
                <w:szCs w:val="20"/>
                <w14:textOutline w14:w="3773" w14:cap="sq" w14:cmpd="sng">
                  <w14:solidFill>
                    <w14:srgbClr w14:val="000000"/>
                  </w14:solidFill>
                  <w14:prstDash w14:val="solid"/>
                  <w14:bevel/>
                </w14:textOutline>
              </w:rPr>
              <w:t>风向预测浓</w:t>
            </w:r>
            <w:r>
              <w:rPr>
                <w:rFonts w:ascii="宋体" w:hAnsi="宋体" w:eastAsia="宋体" w:cs="宋体"/>
                <w:sz w:val="20"/>
                <w:szCs w:val="20"/>
              </w:rPr>
              <w:t xml:space="preserve"> </w:t>
            </w:r>
            <w:r>
              <w:rPr>
                <w:rFonts w:ascii="宋体" w:hAnsi="宋体" w:eastAsia="宋体" w:cs="宋体"/>
                <w:spacing w:val="-7"/>
                <w:sz w:val="20"/>
                <w:szCs w:val="20"/>
                <w14:textOutline w14:w="3773" w14:cap="sq" w14:cmpd="sng">
                  <w14:solidFill>
                    <w14:srgbClr w14:val="000000"/>
                  </w14:solidFill>
                  <w14:prstDash w14:val="solid"/>
                  <w14:bevel/>
                </w14:textOutline>
              </w:rPr>
              <w:t>度</w:t>
            </w:r>
            <w:r>
              <w:rPr>
                <w:rFonts w:ascii="Times New Roman" w:hAnsi="Times New Roman" w:eastAsia="Times New Roman" w:cs="Times New Roman"/>
                <w:b/>
                <w:bCs/>
                <w:spacing w:val="-5"/>
                <w:sz w:val="20"/>
                <w:szCs w:val="20"/>
              </w:rPr>
              <w:t>(mg/m</w:t>
            </w:r>
            <w:r>
              <w:rPr>
                <w:rFonts w:ascii="Times New Roman" w:hAnsi="Times New Roman" w:eastAsia="Times New Roman" w:cs="Times New Roman"/>
                <w:b/>
                <w:bCs/>
                <w:spacing w:val="-5"/>
                <w:position w:val="6"/>
                <w:sz w:val="13"/>
                <w:szCs w:val="13"/>
              </w:rPr>
              <w:t>3</w:t>
            </w:r>
            <w:r>
              <w:rPr>
                <w:rFonts w:ascii="Times New Roman" w:hAnsi="Times New Roman" w:eastAsia="Times New Roman" w:cs="Times New Roman"/>
                <w:b/>
                <w:bCs/>
                <w:spacing w:val="-5"/>
                <w:sz w:val="20"/>
                <w:szCs w:val="20"/>
              </w:rPr>
              <w:t>)</w:t>
            </w:r>
          </w:p>
        </w:tc>
        <w:tc>
          <w:tcPr>
            <w:tcW w:w="794" w:type="dxa"/>
            <w:vAlign w:val="top"/>
          </w:tcPr>
          <w:p w14:paraId="164B9076">
            <w:pPr>
              <w:spacing w:before="58" w:line="267" w:lineRule="auto"/>
              <w:ind w:left="229" w:right="77" w:hanging="107"/>
              <w:rPr>
                <w:rFonts w:ascii="Times New Roman" w:hAnsi="Times New Roman" w:eastAsia="Times New Roman" w:cs="Times New Roman"/>
                <w:sz w:val="20"/>
                <w:szCs w:val="20"/>
              </w:rPr>
            </w:pPr>
            <w:r>
              <w:rPr>
                <w:rFonts w:ascii="宋体" w:hAnsi="宋体" w:eastAsia="宋体" w:cs="宋体"/>
                <w:spacing w:val="-6"/>
                <w:sz w:val="20"/>
                <w:szCs w:val="20"/>
                <w14:textOutline w14:w="3773" w14:cap="sq" w14:cmpd="sng">
                  <w14:solidFill>
                    <w14:srgbClr w14:val="000000"/>
                  </w14:solidFill>
                  <w14:prstDash w14:val="solid"/>
                  <w14:bevel/>
                </w14:textOutline>
              </w:rPr>
              <w:t>占</w:t>
            </w:r>
            <w:r>
              <w:rPr>
                <w:rFonts w:ascii="宋体" w:hAnsi="宋体" w:eastAsia="宋体" w:cs="宋体"/>
                <w:spacing w:val="-3"/>
                <w:sz w:val="20"/>
                <w:szCs w:val="20"/>
                <w14:textOutline w14:w="3773" w14:cap="sq" w14:cmpd="sng">
                  <w14:solidFill>
                    <w14:srgbClr w14:val="000000"/>
                  </w14:solidFill>
                  <w14:prstDash w14:val="solid"/>
                  <w14:bevel/>
                </w14:textOutline>
              </w:rPr>
              <w:t>标率</w:t>
            </w:r>
            <w:r>
              <w:rPr>
                <w:rFonts w:ascii="宋体" w:hAnsi="宋体" w:eastAsia="宋体" w:cs="宋体"/>
                <w:sz w:val="20"/>
                <w:szCs w:val="20"/>
              </w:rPr>
              <w:t xml:space="preserve"> </w:t>
            </w:r>
            <w:r>
              <w:rPr>
                <w:rFonts w:ascii="Times New Roman" w:hAnsi="Times New Roman" w:eastAsia="Times New Roman" w:cs="Times New Roman"/>
                <w:b/>
                <w:bCs/>
                <w:spacing w:val="3"/>
                <w:sz w:val="20"/>
                <w:szCs w:val="20"/>
              </w:rPr>
              <w:t>(%</w:t>
            </w:r>
            <w:r>
              <w:rPr>
                <w:rFonts w:ascii="Times New Roman" w:hAnsi="Times New Roman" w:eastAsia="Times New Roman" w:cs="Times New Roman"/>
                <w:b/>
                <w:bCs/>
                <w:spacing w:val="2"/>
                <w:sz w:val="20"/>
                <w:szCs w:val="20"/>
              </w:rPr>
              <w:t>)</w:t>
            </w:r>
          </w:p>
        </w:tc>
        <w:tc>
          <w:tcPr>
            <w:tcW w:w="1126" w:type="dxa"/>
            <w:vAlign w:val="top"/>
          </w:tcPr>
          <w:p w14:paraId="4235B34A">
            <w:pPr>
              <w:spacing w:before="60" w:line="251" w:lineRule="auto"/>
              <w:ind w:left="59" w:right="37" w:firstLine="44"/>
              <w:rPr>
                <w:rFonts w:ascii="Times New Roman" w:hAnsi="Times New Roman" w:eastAsia="Times New Roman" w:cs="Times New Roman"/>
                <w:sz w:val="20"/>
                <w:szCs w:val="20"/>
              </w:rPr>
            </w:pPr>
            <w:r>
              <w:rPr>
                <w:rFonts w:ascii="宋体" w:hAnsi="宋体" w:eastAsia="宋体" w:cs="宋体"/>
                <w:spacing w:val="-10"/>
                <w:sz w:val="20"/>
                <w:szCs w:val="20"/>
                <w14:textOutline w14:w="3773" w14:cap="sq" w14:cmpd="sng">
                  <w14:solidFill>
                    <w14:srgbClr w14:val="000000"/>
                  </w14:solidFill>
                  <w14:prstDash w14:val="solid"/>
                  <w14:bevel/>
                </w14:textOutline>
              </w:rPr>
              <w:t>下风向预测</w:t>
            </w:r>
            <w:r>
              <w:rPr>
                <w:rFonts w:ascii="宋体" w:hAnsi="宋体" w:eastAsia="宋体" w:cs="宋体"/>
                <w:sz w:val="20"/>
                <w:szCs w:val="20"/>
              </w:rPr>
              <w:t xml:space="preserve"> </w:t>
            </w:r>
            <w:r>
              <w:rPr>
                <w:rFonts w:ascii="宋体" w:hAnsi="宋体" w:eastAsia="宋体" w:cs="宋体"/>
                <w:spacing w:val="-8"/>
                <w:sz w:val="20"/>
                <w:szCs w:val="20"/>
                <w14:textOutline w14:w="3773" w14:cap="sq" w14:cmpd="sng">
                  <w14:solidFill>
                    <w14:srgbClr w14:val="000000"/>
                  </w14:solidFill>
                  <w14:prstDash w14:val="solid"/>
                  <w14:bevel/>
                </w14:textOutline>
              </w:rPr>
              <w:t>浓</w:t>
            </w:r>
            <w:r>
              <w:rPr>
                <w:rFonts w:ascii="宋体" w:hAnsi="宋体" w:eastAsia="宋体" w:cs="宋体"/>
                <w:spacing w:val="-7"/>
                <w:sz w:val="20"/>
                <w:szCs w:val="20"/>
                <w14:textOutline w14:w="3773" w14:cap="sq" w14:cmpd="sng">
                  <w14:solidFill>
                    <w14:srgbClr w14:val="000000"/>
                  </w14:solidFill>
                  <w14:prstDash w14:val="solid"/>
                  <w14:bevel/>
                </w14:textOutline>
              </w:rPr>
              <w:t>度</w:t>
            </w:r>
            <w:r>
              <w:rPr>
                <w:rFonts w:ascii="Times New Roman" w:hAnsi="Times New Roman" w:eastAsia="Times New Roman" w:cs="Times New Roman"/>
                <w:b/>
                <w:bCs/>
                <w:spacing w:val="-7"/>
                <w:sz w:val="20"/>
                <w:szCs w:val="20"/>
              </w:rPr>
              <w:t>(mg/m</w:t>
            </w:r>
            <w:r>
              <w:rPr>
                <w:rFonts w:ascii="Times New Roman" w:hAnsi="Times New Roman" w:eastAsia="Times New Roman" w:cs="Times New Roman"/>
                <w:b/>
                <w:bCs/>
                <w:spacing w:val="-7"/>
                <w:position w:val="6"/>
                <w:sz w:val="13"/>
                <w:szCs w:val="13"/>
              </w:rPr>
              <w:t>3</w:t>
            </w:r>
            <w:r>
              <w:rPr>
                <w:rFonts w:ascii="Times New Roman" w:hAnsi="Times New Roman" w:eastAsia="Times New Roman" w:cs="Times New Roman"/>
                <w:b/>
                <w:bCs/>
                <w:spacing w:val="-7"/>
                <w:sz w:val="20"/>
                <w:szCs w:val="20"/>
              </w:rPr>
              <w:t>)</w:t>
            </w:r>
          </w:p>
        </w:tc>
        <w:tc>
          <w:tcPr>
            <w:tcW w:w="900" w:type="dxa"/>
            <w:tcBorders>
              <w:right w:val="nil"/>
            </w:tcBorders>
            <w:vAlign w:val="top"/>
          </w:tcPr>
          <w:p w14:paraId="70AA0E5C">
            <w:pPr>
              <w:spacing w:before="58" w:line="267" w:lineRule="auto"/>
              <w:ind w:left="282" w:right="133" w:hanging="107"/>
              <w:rPr>
                <w:rFonts w:ascii="Times New Roman" w:hAnsi="Times New Roman" w:eastAsia="Times New Roman" w:cs="Times New Roman"/>
                <w:sz w:val="20"/>
                <w:szCs w:val="20"/>
              </w:rPr>
            </w:pPr>
            <w:r>
              <w:rPr>
                <w:rFonts w:ascii="宋体" w:hAnsi="宋体" w:eastAsia="宋体" w:cs="宋体"/>
                <w:spacing w:val="-6"/>
                <w:sz w:val="20"/>
                <w:szCs w:val="20"/>
                <w14:textOutline w14:w="3773" w14:cap="sq" w14:cmpd="sng">
                  <w14:solidFill>
                    <w14:srgbClr w14:val="000000"/>
                  </w14:solidFill>
                  <w14:prstDash w14:val="solid"/>
                  <w14:bevel/>
                </w14:textOutline>
              </w:rPr>
              <w:t>占</w:t>
            </w:r>
            <w:r>
              <w:rPr>
                <w:rFonts w:ascii="宋体" w:hAnsi="宋体" w:eastAsia="宋体" w:cs="宋体"/>
                <w:spacing w:val="-3"/>
                <w:sz w:val="20"/>
                <w:szCs w:val="20"/>
                <w14:textOutline w14:w="3773" w14:cap="sq" w14:cmpd="sng">
                  <w14:solidFill>
                    <w14:srgbClr w14:val="000000"/>
                  </w14:solidFill>
                  <w14:prstDash w14:val="solid"/>
                  <w14:bevel/>
                </w14:textOutline>
              </w:rPr>
              <w:t>标率</w:t>
            </w:r>
            <w:r>
              <w:rPr>
                <w:rFonts w:ascii="宋体" w:hAnsi="宋体" w:eastAsia="宋体" w:cs="宋体"/>
                <w:sz w:val="20"/>
                <w:szCs w:val="20"/>
              </w:rPr>
              <w:t xml:space="preserve"> </w:t>
            </w:r>
            <w:r>
              <w:rPr>
                <w:rFonts w:ascii="Times New Roman" w:hAnsi="Times New Roman" w:eastAsia="Times New Roman" w:cs="Times New Roman"/>
                <w:b/>
                <w:bCs/>
                <w:spacing w:val="3"/>
                <w:sz w:val="20"/>
                <w:szCs w:val="20"/>
              </w:rPr>
              <w:t>(%</w:t>
            </w:r>
            <w:r>
              <w:rPr>
                <w:rFonts w:ascii="Times New Roman" w:hAnsi="Times New Roman" w:eastAsia="Times New Roman" w:cs="Times New Roman"/>
                <w:b/>
                <w:bCs/>
                <w:spacing w:val="2"/>
                <w:sz w:val="20"/>
                <w:szCs w:val="20"/>
              </w:rPr>
              <w:t>)</w:t>
            </w:r>
          </w:p>
        </w:tc>
      </w:tr>
      <w:tr w14:paraId="252368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10" w:type="dxa"/>
            <w:tcBorders>
              <w:left w:val="nil"/>
            </w:tcBorders>
            <w:vAlign w:val="top"/>
          </w:tcPr>
          <w:p w14:paraId="5924940B">
            <w:pPr>
              <w:spacing w:before="103" w:line="195" w:lineRule="auto"/>
              <w:ind w:left="526"/>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164" w:type="dxa"/>
            <w:vAlign w:val="top"/>
          </w:tcPr>
          <w:p w14:paraId="56DE97BD">
            <w:pPr>
              <w:spacing w:before="88" w:line="195" w:lineRule="auto"/>
              <w:ind w:left="499"/>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1233" w:type="dxa"/>
            <w:vAlign w:val="top"/>
          </w:tcPr>
          <w:p w14:paraId="2A4E0921">
            <w:pPr>
              <w:spacing w:before="88" w:line="195" w:lineRule="auto"/>
              <w:ind w:left="56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793" w:type="dxa"/>
            <w:vAlign w:val="top"/>
          </w:tcPr>
          <w:p w14:paraId="337D7590">
            <w:pPr>
              <w:spacing w:before="88" w:line="195" w:lineRule="auto"/>
              <w:ind w:left="21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.00</w:t>
            </w:r>
          </w:p>
        </w:tc>
        <w:tc>
          <w:tcPr>
            <w:tcW w:w="1232" w:type="dxa"/>
            <w:vAlign w:val="top"/>
          </w:tcPr>
          <w:p w14:paraId="72F1438A">
            <w:pPr>
              <w:spacing w:before="88" w:line="195" w:lineRule="auto"/>
              <w:ind w:left="56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794" w:type="dxa"/>
            <w:vAlign w:val="top"/>
          </w:tcPr>
          <w:p w14:paraId="07DDD7DB">
            <w:pPr>
              <w:spacing w:before="88" w:line="195" w:lineRule="auto"/>
              <w:ind w:left="21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.00</w:t>
            </w:r>
          </w:p>
        </w:tc>
        <w:tc>
          <w:tcPr>
            <w:tcW w:w="1126" w:type="dxa"/>
            <w:vAlign w:val="top"/>
          </w:tcPr>
          <w:p w14:paraId="7A4B9F57">
            <w:pPr>
              <w:spacing w:before="88" w:line="195" w:lineRule="auto"/>
              <w:ind w:left="51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900" w:type="dxa"/>
            <w:tcBorders>
              <w:right w:val="nil"/>
            </w:tcBorders>
            <w:vAlign w:val="top"/>
          </w:tcPr>
          <w:p w14:paraId="35E7B7BE">
            <w:pPr>
              <w:spacing w:before="88"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.00</w:t>
            </w:r>
          </w:p>
        </w:tc>
      </w:tr>
      <w:tr w14:paraId="6BB633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10" w:type="dxa"/>
            <w:tcBorders>
              <w:left w:val="nil"/>
            </w:tcBorders>
            <w:vAlign w:val="top"/>
          </w:tcPr>
          <w:p w14:paraId="5BD60CBA">
            <w:pPr>
              <w:spacing w:before="102" w:line="195" w:lineRule="auto"/>
              <w:ind w:left="506"/>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164" w:type="dxa"/>
            <w:vAlign w:val="top"/>
          </w:tcPr>
          <w:p w14:paraId="42DB817D">
            <w:pPr>
              <w:spacing w:before="88" w:line="195" w:lineRule="auto"/>
              <w:ind w:left="44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100</w:t>
            </w:r>
          </w:p>
        </w:tc>
        <w:tc>
          <w:tcPr>
            <w:tcW w:w="1233" w:type="dxa"/>
            <w:vAlign w:val="top"/>
          </w:tcPr>
          <w:p w14:paraId="598559B2">
            <w:pPr>
              <w:spacing w:before="88"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01655</w:t>
            </w:r>
          </w:p>
        </w:tc>
        <w:tc>
          <w:tcPr>
            <w:tcW w:w="793" w:type="dxa"/>
            <w:vAlign w:val="top"/>
          </w:tcPr>
          <w:p w14:paraId="72FF6968">
            <w:pPr>
              <w:spacing w:before="88" w:line="195" w:lineRule="auto"/>
              <w:ind w:left="21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.31</w:t>
            </w:r>
          </w:p>
        </w:tc>
        <w:tc>
          <w:tcPr>
            <w:tcW w:w="1232" w:type="dxa"/>
            <w:vAlign w:val="top"/>
          </w:tcPr>
          <w:p w14:paraId="1EEBE35F">
            <w:pPr>
              <w:spacing w:before="88" w:line="195" w:lineRule="auto"/>
              <w:ind w:left="22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0.00998</w:t>
            </w:r>
            <w:r>
              <w:rPr>
                <w:rFonts w:ascii="Times New Roman" w:hAnsi="Times New Roman" w:eastAsia="Times New Roman" w:cs="Times New Roman"/>
                <w:spacing w:val="2"/>
                <w:sz w:val="20"/>
                <w:szCs w:val="20"/>
              </w:rPr>
              <w:t>1</w:t>
            </w:r>
          </w:p>
        </w:tc>
        <w:tc>
          <w:tcPr>
            <w:tcW w:w="794" w:type="dxa"/>
            <w:vAlign w:val="top"/>
          </w:tcPr>
          <w:p w14:paraId="6CF2475A">
            <w:pPr>
              <w:spacing w:before="88" w:line="198" w:lineRule="auto"/>
              <w:ind w:left="21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4</w:t>
            </w:r>
            <w:r>
              <w:rPr>
                <w:rFonts w:ascii="Times New Roman" w:hAnsi="Times New Roman" w:eastAsia="Times New Roman" w:cs="Times New Roman"/>
                <w:spacing w:val="3"/>
                <w:sz w:val="20"/>
                <w:szCs w:val="20"/>
              </w:rPr>
              <w:t>.99</w:t>
            </w:r>
          </w:p>
        </w:tc>
        <w:tc>
          <w:tcPr>
            <w:tcW w:w="1126" w:type="dxa"/>
            <w:vAlign w:val="top"/>
          </w:tcPr>
          <w:p w14:paraId="54BCC6BA">
            <w:pPr>
              <w:spacing w:before="72" w:line="211" w:lineRule="auto"/>
              <w:ind w:left="164"/>
              <w:rPr>
                <w:rFonts w:ascii="Times New Roman" w:hAnsi="Times New Roman" w:eastAsia="Times New Roman" w:cs="Times New Roman"/>
                <w:sz w:val="13"/>
                <w:szCs w:val="13"/>
              </w:rPr>
            </w:pPr>
            <w:r>
              <w:rPr>
                <w:rFonts w:ascii="Times New Roman" w:hAnsi="Times New Roman" w:eastAsia="Times New Roman" w:cs="Times New Roman"/>
                <w:spacing w:val="3"/>
                <w:sz w:val="20"/>
                <w:szCs w:val="20"/>
              </w:rPr>
              <w:t>7.88×10</w:t>
            </w:r>
            <w:r>
              <w:rPr>
                <w:rFonts w:ascii="Times New Roman" w:hAnsi="Times New Roman" w:eastAsia="Times New Roman" w:cs="Times New Roman"/>
                <w:spacing w:val="3"/>
                <w:position w:val="6"/>
                <w:sz w:val="13"/>
                <w:szCs w:val="13"/>
              </w:rPr>
              <w:t>-</w:t>
            </w:r>
            <w:r>
              <w:rPr>
                <w:rFonts w:ascii="Times New Roman" w:hAnsi="Times New Roman" w:eastAsia="Times New Roman" w:cs="Times New Roman"/>
                <w:spacing w:val="2"/>
                <w:position w:val="6"/>
                <w:sz w:val="13"/>
                <w:szCs w:val="13"/>
              </w:rPr>
              <w:t>5</w:t>
            </w:r>
          </w:p>
        </w:tc>
        <w:tc>
          <w:tcPr>
            <w:tcW w:w="900" w:type="dxa"/>
            <w:tcBorders>
              <w:right w:val="nil"/>
            </w:tcBorders>
            <w:vAlign w:val="top"/>
          </w:tcPr>
          <w:p w14:paraId="20C9F530">
            <w:pPr>
              <w:spacing w:before="88"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.02</w:t>
            </w:r>
          </w:p>
        </w:tc>
      </w:tr>
      <w:tr w14:paraId="34C2BB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10" w:type="dxa"/>
            <w:tcBorders>
              <w:left w:val="nil"/>
            </w:tcBorders>
            <w:vAlign w:val="top"/>
          </w:tcPr>
          <w:p w14:paraId="7BD6680F">
            <w:pPr>
              <w:spacing w:before="102" w:line="195" w:lineRule="auto"/>
              <w:ind w:left="510"/>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164" w:type="dxa"/>
            <w:vAlign w:val="top"/>
          </w:tcPr>
          <w:p w14:paraId="624647C8">
            <w:pPr>
              <w:spacing w:before="87" w:line="195" w:lineRule="auto"/>
              <w:ind w:left="426"/>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00</w:t>
            </w:r>
          </w:p>
        </w:tc>
        <w:tc>
          <w:tcPr>
            <w:tcW w:w="1233" w:type="dxa"/>
            <w:vAlign w:val="top"/>
          </w:tcPr>
          <w:p w14:paraId="1B7ECB20">
            <w:pPr>
              <w:spacing w:before="88"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02006</w:t>
            </w:r>
          </w:p>
        </w:tc>
        <w:tc>
          <w:tcPr>
            <w:tcW w:w="793" w:type="dxa"/>
            <w:vAlign w:val="top"/>
          </w:tcPr>
          <w:p w14:paraId="55FD5B6A">
            <w:pPr>
              <w:spacing w:before="87" w:line="198" w:lineRule="auto"/>
              <w:ind w:left="21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4</w:t>
            </w:r>
            <w:r>
              <w:rPr>
                <w:rFonts w:ascii="Times New Roman" w:hAnsi="Times New Roman" w:eastAsia="Times New Roman" w:cs="Times New Roman"/>
                <w:spacing w:val="3"/>
                <w:sz w:val="20"/>
                <w:szCs w:val="20"/>
              </w:rPr>
              <w:t>.01</w:t>
            </w:r>
          </w:p>
        </w:tc>
        <w:tc>
          <w:tcPr>
            <w:tcW w:w="1232" w:type="dxa"/>
            <w:vAlign w:val="top"/>
          </w:tcPr>
          <w:p w14:paraId="11B1BCD8">
            <w:pPr>
              <w:spacing w:before="88" w:line="195" w:lineRule="auto"/>
              <w:ind w:left="33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.0121</w:t>
            </w:r>
          </w:p>
        </w:tc>
        <w:tc>
          <w:tcPr>
            <w:tcW w:w="794" w:type="dxa"/>
            <w:vAlign w:val="top"/>
          </w:tcPr>
          <w:p w14:paraId="7C969522">
            <w:pPr>
              <w:spacing w:before="88" w:line="195" w:lineRule="auto"/>
              <w:ind w:left="21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w:t>
            </w:r>
            <w:r>
              <w:rPr>
                <w:rFonts w:ascii="Times New Roman" w:hAnsi="Times New Roman" w:eastAsia="Times New Roman" w:cs="Times New Roman"/>
                <w:spacing w:val="2"/>
                <w:sz w:val="20"/>
                <w:szCs w:val="20"/>
              </w:rPr>
              <w:t>.05</w:t>
            </w:r>
          </w:p>
        </w:tc>
        <w:tc>
          <w:tcPr>
            <w:tcW w:w="1126" w:type="dxa"/>
            <w:vAlign w:val="top"/>
          </w:tcPr>
          <w:p w14:paraId="664776F8">
            <w:pPr>
              <w:spacing w:before="71" w:line="214" w:lineRule="auto"/>
              <w:ind w:left="112"/>
              <w:rPr>
                <w:rFonts w:ascii="Times New Roman" w:hAnsi="Times New Roman" w:eastAsia="Times New Roman" w:cs="Times New Roman"/>
                <w:sz w:val="13"/>
                <w:szCs w:val="13"/>
              </w:rPr>
            </w:pPr>
            <w:r>
              <w:rPr>
                <w:rFonts w:ascii="Times New Roman" w:hAnsi="Times New Roman" w:eastAsia="Times New Roman" w:cs="Times New Roman"/>
                <w:spacing w:val="4"/>
                <w:sz w:val="20"/>
                <w:szCs w:val="20"/>
              </w:rPr>
              <w:t>9</w:t>
            </w:r>
            <w:r>
              <w:rPr>
                <w:rFonts w:ascii="Times New Roman" w:hAnsi="Times New Roman" w:eastAsia="Times New Roman" w:cs="Times New Roman"/>
                <w:spacing w:val="3"/>
                <w:sz w:val="20"/>
                <w:szCs w:val="20"/>
              </w:rPr>
              <w:t>.551×10</w:t>
            </w:r>
            <w:r>
              <w:rPr>
                <w:rFonts w:ascii="Times New Roman" w:hAnsi="Times New Roman" w:eastAsia="Times New Roman" w:cs="Times New Roman"/>
                <w:spacing w:val="3"/>
                <w:position w:val="6"/>
                <w:sz w:val="13"/>
                <w:szCs w:val="13"/>
              </w:rPr>
              <w:t>-5</w:t>
            </w:r>
          </w:p>
        </w:tc>
        <w:tc>
          <w:tcPr>
            <w:tcW w:w="900" w:type="dxa"/>
            <w:tcBorders>
              <w:right w:val="nil"/>
            </w:tcBorders>
            <w:vAlign w:val="top"/>
          </w:tcPr>
          <w:p w14:paraId="70D513F1">
            <w:pPr>
              <w:spacing w:before="90"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.02</w:t>
            </w:r>
          </w:p>
        </w:tc>
      </w:tr>
      <w:tr w14:paraId="5AD5F1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10" w:type="dxa"/>
            <w:tcBorders>
              <w:left w:val="nil"/>
            </w:tcBorders>
            <w:vAlign w:val="top"/>
          </w:tcPr>
          <w:p w14:paraId="743D9435">
            <w:pPr>
              <w:spacing w:before="105" w:line="195" w:lineRule="auto"/>
              <w:ind w:left="50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164" w:type="dxa"/>
            <w:vAlign w:val="top"/>
          </w:tcPr>
          <w:p w14:paraId="60A8E472">
            <w:pPr>
              <w:spacing w:before="88" w:line="195" w:lineRule="auto"/>
              <w:ind w:left="43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00</w:t>
            </w:r>
          </w:p>
        </w:tc>
        <w:tc>
          <w:tcPr>
            <w:tcW w:w="1233" w:type="dxa"/>
            <w:vAlign w:val="top"/>
          </w:tcPr>
          <w:p w14:paraId="6A888B64">
            <w:pPr>
              <w:spacing w:before="88" w:line="195" w:lineRule="auto"/>
              <w:ind w:left="28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02115</w:t>
            </w:r>
          </w:p>
        </w:tc>
        <w:tc>
          <w:tcPr>
            <w:tcW w:w="793" w:type="dxa"/>
            <w:vAlign w:val="top"/>
          </w:tcPr>
          <w:p w14:paraId="7733BA19">
            <w:pPr>
              <w:spacing w:before="88" w:line="198" w:lineRule="auto"/>
              <w:ind w:left="21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4</w:t>
            </w:r>
            <w:r>
              <w:rPr>
                <w:rFonts w:ascii="Times New Roman" w:hAnsi="Times New Roman" w:eastAsia="Times New Roman" w:cs="Times New Roman"/>
                <w:spacing w:val="3"/>
                <w:sz w:val="20"/>
                <w:szCs w:val="20"/>
              </w:rPr>
              <w:t>.23</w:t>
            </w:r>
          </w:p>
        </w:tc>
        <w:tc>
          <w:tcPr>
            <w:tcW w:w="1232" w:type="dxa"/>
            <w:vAlign w:val="top"/>
          </w:tcPr>
          <w:p w14:paraId="3F1FD1B9">
            <w:pPr>
              <w:spacing w:before="88"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01276</w:t>
            </w:r>
          </w:p>
        </w:tc>
        <w:tc>
          <w:tcPr>
            <w:tcW w:w="794" w:type="dxa"/>
            <w:vAlign w:val="top"/>
          </w:tcPr>
          <w:p w14:paraId="6CBE7F83">
            <w:pPr>
              <w:spacing w:before="88" w:line="195" w:lineRule="auto"/>
              <w:ind w:left="21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w:t>
            </w:r>
            <w:r>
              <w:rPr>
                <w:rFonts w:ascii="Times New Roman" w:hAnsi="Times New Roman" w:eastAsia="Times New Roman" w:cs="Times New Roman"/>
                <w:spacing w:val="2"/>
                <w:sz w:val="20"/>
                <w:szCs w:val="20"/>
              </w:rPr>
              <w:t>.38</w:t>
            </w:r>
          </w:p>
        </w:tc>
        <w:tc>
          <w:tcPr>
            <w:tcW w:w="1126" w:type="dxa"/>
            <w:vAlign w:val="top"/>
          </w:tcPr>
          <w:p w14:paraId="389770BA">
            <w:pPr>
              <w:spacing w:before="91" w:line="195" w:lineRule="auto"/>
              <w:ind w:left="12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0.0001007</w:t>
            </w:r>
          </w:p>
        </w:tc>
        <w:tc>
          <w:tcPr>
            <w:tcW w:w="900" w:type="dxa"/>
            <w:tcBorders>
              <w:right w:val="nil"/>
            </w:tcBorders>
            <w:vAlign w:val="top"/>
          </w:tcPr>
          <w:p w14:paraId="2FF4B018">
            <w:pPr>
              <w:spacing w:before="91"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.02</w:t>
            </w:r>
          </w:p>
        </w:tc>
      </w:tr>
      <w:tr w14:paraId="48E98B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10" w:type="dxa"/>
            <w:tcBorders>
              <w:left w:val="nil"/>
            </w:tcBorders>
            <w:vAlign w:val="top"/>
          </w:tcPr>
          <w:p w14:paraId="2918DB48">
            <w:pPr>
              <w:spacing w:before="107" w:line="192" w:lineRule="auto"/>
              <w:ind w:left="512"/>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164" w:type="dxa"/>
            <w:vAlign w:val="top"/>
          </w:tcPr>
          <w:p w14:paraId="1A090C57">
            <w:pPr>
              <w:spacing w:before="90" w:line="195" w:lineRule="auto"/>
              <w:ind w:left="43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38</w:t>
            </w:r>
          </w:p>
        </w:tc>
        <w:tc>
          <w:tcPr>
            <w:tcW w:w="1233" w:type="dxa"/>
            <w:vAlign w:val="top"/>
          </w:tcPr>
          <w:p w14:paraId="3BC2743B">
            <w:pPr>
              <w:spacing w:before="90"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02157</w:t>
            </w:r>
          </w:p>
        </w:tc>
        <w:tc>
          <w:tcPr>
            <w:tcW w:w="793" w:type="dxa"/>
            <w:vAlign w:val="top"/>
          </w:tcPr>
          <w:p w14:paraId="6E47CD5A">
            <w:pPr>
              <w:spacing w:before="90" w:line="198" w:lineRule="auto"/>
              <w:ind w:left="21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4</w:t>
            </w:r>
            <w:r>
              <w:rPr>
                <w:rFonts w:ascii="Times New Roman" w:hAnsi="Times New Roman" w:eastAsia="Times New Roman" w:cs="Times New Roman"/>
                <w:spacing w:val="3"/>
                <w:sz w:val="20"/>
                <w:szCs w:val="20"/>
              </w:rPr>
              <w:t>.31</w:t>
            </w:r>
          </w:p>
        </w:tc>
        <w:tc>
          <w:tcPr>
            <w:tcW w:w="1232" w:type="dxa"/>
            <w:vAlign w:val="top"/>
          </w:tcPr>
          <w:p w14:paraId="3419F812">
            <w:pPr>
              <w:spacing w:before="90"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01301</w:t>
            </w:r>
          </w:p>
        </w:tc>
        <w:tc>
          <w:tcPr>
            <w:tcW w:w="794" w:type="dxa"/>
            <w:vAlign w:val="top"/>
          </w:tcPr>
          <w:p w14:paraId="7A310C9E">
            <w:pPr>
              <w:spacing w:before="90" w:line="195" w:lineRule="auto"/>
              <w:ind w:left="21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w:t>
            </w:r>
            <w:r>
              <w:rPr>
                <w:rFonts w:ascii="Times New Roman" w:hAnsi="Times New Roman" w:eastAsia="Times New Roman" w:cs="Times New Roman"/>
                <w:spacing w:val="2"/>
                <w:sz w:val="20"/>
                <w:szCs w:val="20"/>
              </w:rPr>
              <w:t>.50</w:t>
            </w:r>
          </w:p>
        </w:tc>
        <w:tc>
          <w:tcPr>
            <w:tcW w:w="1126" w:type="dxa"/>
            <w:vAlign w:val="top"/>
          </w:tcPr>
          <w:p w14:paraId="780F9FCB">
            <w:pPr>
              <w:spacing w:before="90" w:line="195" w:lineRule="auto"/>
              <w:ind w:left="12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0.0001027</w:t>
            </w:r>
          </w:p>
        </w:tc>
        <w:tc>
          <w:tcPr>
            <w:tcW w:w="900" w:type="dxa"/>
            <w:tcBorders>
              <w:right w:val="nil"/>
            </w:tcBorders>
            <w:vAlign w:val="top"/>
          </w:tcPr>
          <w:p w14:paraId="5DB1F033">
            <w:pPr>
              <w:spacing w:before="90"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.02</w:t>
            </w:r>
          </w:p>
        </w:tc>
      </w:tr>
      <w:tr w14:paraId="643F41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10" w:type="dxa"/>
            <w:tcBorders>
              <w:left w:val="nil"/>
            </w:tcBorders>
            <w:vAlign w:val="top"/>
          </w:tcPr>
          <w:p w14:paraId="0D6A8465">
            <w:pPr>
              <w:spacing w:before="104" w:line="195" w:lineRule="auto"/>
              <w:ind w:left="511"/>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164" w:type="dxa"/>
            <w:vAlign w:val="top"/>
          </w:tcPr>
          <w:p w14:paraId="51353D20">
            <w:pPr>
              <w:spacing w:before="89" w:line="195" w:lineRule="auto"/>
              <w:ind w:left="42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400</w:t>
            </w:r>
          </w:p>
        </w:tc>
        <w:tc>
          <w:tcPr>
            <w:tcW w:w="1233" w:type="dxa"/>
            <w:vAlign w:val="top"/>
          </w:tcPr>
          <w:p w14:paraId="72ADBB55">
            <w:pPr>
              <w:spacing w:before="90"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02072</w:t>
            </w:r>
          </w:p>
        </w:tc>
        <w:tc>
          <w:tcPr>
            <w:tcW w:w="793" w:type="dxa"/>
            <w:vAlign w:val="top"/>
          </w:tcPr>
          <w:p w14:paraId="685AA549">
            <w:pPr>
              <w:spacing w:before="89" w:line="198" w:lineRule="auto"/>
              <w:ind w:left="214"/>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4. 14</w:t>
            </w:r>
          </w:p>
        </w:tc>
        <w:tc>
          <w:tcPr>
            <w:tcW w:w="1232" w:type="dxa"/>
            <w:vAlign w:val="top"/>
          </w:tcPr>
          <w:p w14:paraId="7F8967B7">
            <w:pPr>
              <w:spacing w:before="90" w:line="195" w:lineRule="auto"/>
              <w:ind w:left="33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.0125</w:t>
            </w:r>
          </w:p>
        </w:tc>
        <w:tc>
          <w:tcPr>
            <w:tcW w:w="794" w:type="dxa"/>
            <w:vAlign w:val="top"/>
          </w:tcPr>
          <w:p w14:paraId="52E856EE">
            <w:pPr>
              <w:spacing w:before="90" w:line="195" w:lineRule="auto"/>
              <w:ind w:left="21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w:t>
            </w:r>
            <w:r>
              <w:rPr>
                <w:rFonts w:ascii="Times New Roman" w:hAnsi="Times New Roman" w:eastAsia="Times New Roman" w:cs="Times New Roman"/>
                <w:spacing w:val="2"/>
                <w:sz w:val="20"/>
                <w:szCs w:val="20"/>
              </w:rPr>
              <w:t>.25</w:t>
            </w:r>
          </w:p>
        </w:tc>
        <w:tc>
          <w:tcPr>
            <w:tcW w:w="1126" w:type="dxa"/>
            <w:vAlign w:val="top"/>
          </w:tcPr>
          <w:p w14:paraId="298F73C1">
            <w:pPr>
              <w:spacing w:before="71" w:line="214" w:lineRule="auto"/>
              <w:ind w:left="112"/>
              <w:rPr>
                <w:rFonts w:ascii="Times New Roman" w:hAnsi="Times New Roman" w:eastAsia="Times New Roman" w:cs="Times New Roman"/>
                <w:sz w:val="13"/>
                <w:szCs w:val="13"/>
              </w:rPr>
            </w:pPr>
            <w:r>
              <w:rPr>
                <w:rFonts w:ascii="Times New Roman" w:hAnsi="Times New Roman" w:eastAsia="Times New Roman" w:cs="Times New Roman"/>
                <w:spacing w:val="4"/>
                <w:sz w:val="20"/>
                <w:szCs w:val="20"/>
              </w:rPr>
              <w:t>9</w:t>
            </w:r>
            <w:r>
              <w:rPr>
                <w:rFonts w:ascii="Times New Roman" w:hAnsi="Times New Roman" w:eastAsia="Times New Roman" w:cs="Times New Roman"/>
                <w:spacing w:val="3"/>
                <w:sz w:val="20"/>
                <w:szCs w:val="20"/>
              </w:rPr>
              <w:t>.867×10</w:t>
            </w:r>
            <w:r>
              <w:rPr>
                <w:rFonts w:ascii="Times New Roman" w:hAnsi="Times New Roman" w:eastAsia="Times New Roman" w:cs="Times New Roman"/>
                <w:spacing w:val="3"/>
                <w:position w:val="6"/>
                <w:sz w:val="13"/>
                <w:szCs w:val="13"/>
              </w:rPr>
              <w:t>-5</w:t>
            </w:r>
          </w:p>
        </w:tc>
        <w:tc>
          <w:tcPr>
            <w:tcW w:w="900" w:type="dxa"/>
            <w:tcBorders>
              <w:right w:val="nil"/>
            </w:tcBorders>
            <w:vAlign w:val="top"/>
          </w:tcPr>
          <w:p w14:paraId="3DD9D7A8">
            <w:pPr>
              <w:spacing w:before="90"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.02</w:t>
            </w:r>
          </w:p>
        </w:tc>
      </w:tr>
      <w:tr w14:paraId="2A235D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10" w:type="dxa"/>
            <w:tcBorders>
              <w:left w:val="nil"/>
            </w:tcBorders>
            <w:vAlign w:val="top"/>
          </w:tcPr>
          <w:p w14:paraId="4E715628">
            <w:pPr>
              <w:spacing w:before="107" w:line="192" w:lineRule="auto"/>
              <w:ind w:left="510"/>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164" w:type="dxa"/>
            <w:vAlign w:val="top"/>
          </w:tcPr>
          <w:p w14:paraId="44A215B9">
            <w:pPr>
              <w:spacing w:before="90" w:line="195" w:lineRule="auto"/>
              <w:ind w:left="43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50</w:t>
            </w:r>
            <w:r>
              <w:rPr>
                <w:rFonts w:ascii="Times New Roman" w:hAnsi="Times New Roman" w:eastAsia="Times New Roman" w:cs="Times New Roman"/>
                <w:spacing w:val="1"/>
                <w:sz w:val="20"/>
                <w:szCs w:val="20"/>
              </w:rPr>
              <w:t>0</w:t>
            </w:r>
          </w:p>
        </w:tc>
        <w:tc>
          <w:tcPr>
            <w:tcW w:w="1233" w:type="dxa"/>
            <w:vAlign w:val="top"/>
          </w:tcPr>
          <w:p w14:paraId="779ABF06">
            <w:pPr>
              <w:spacing w:before="90"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01825</w:t>
            </w:r>
          </w:p>
        </w:tc>
        <w:tc>
          <w:tcPr>
            <w:tcW w:w="793" w:type="dxa"/>
            <w:vAlign w:val="top"/>
          </w:tcPr>
          <w:p w14:paraId="39EC3F34">
            <w:pPr>
              <w:spacing w:before="90" w:line="195" w:lineRule="auto"/>
              <w:ind w:left="21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.65</w:t>
            </w:r>
          </w:p>
        </w:tc>
        <w:tc>
          <w:tcPr>
            <w:tcW w:w="1232" w:type="dxa"/>
            <w:vAlign w:val="top"/>
          </w:tcPr>
          <w:p w14:paraId="2FBE7D34">
            <w:pPr>
              <w:spacing w:before="90" w:line="195" w:lineRule="auto"/>
              <w:ind w:left="28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w:t>
            </w:r>
            <w:r>
              <w:rPr>
                <w:rFonts w:ascii="Times New Roman" w:hAnsi="Times New Roman" w:eastAsia="Times New Roman" w:cs="Times New Roman"/>
                <w:spacing w:val="2"/>
                <w:sz w:val="20"/>
                <w:szCs w:val="20"/>
              </w:rPr>
              <w:t>.01101</w:t>
            </w:r>
          </w:p>
        </w:tc>
        <w:tc>
          <w:tcPr>
            <w:tcW w:w="794" w:type="dxa"/>
            <w:vAlign w:val="top"/>
          </w:tcPr>
          <w:p w14:paraId="297318F9">
            <w:pPr>
              <w:spacing w:before="90" w:line="195" w:lineRule="auto"/>
              <w:ind w:left="21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5.50</w:t>
            </w:r>
          </w:p>
        </w:tc>
        <w:tc>
          <w:tcPr>
            <w:tcW w:w="1126" w:type="dxa"/>
            <w:vAlign w:val="top"/>
          </w:tcPr>
          <w:p w14:paraId="7D7BF41D">
            <w:pPr>
              <w:spacing w:before="74" w:line="212" w:lineRule="auto"/>
              <w:ind w:left="117"/>
              <w:rPr>
                <w:rFonts w:ascii="Times New Roman" w:hAnsi="Times New Roman" w:eastAsia="Times New Roman" w:cs="Times New Roman"/>
                <w:sz w:val="13"/>
                <w:szCs w:val="13"/>
              </w:rPr>
            </w:pPr>
            <w:r>
              <w:rPr>
                <w:rFonts w:ascii="Times New Roman" w:hAnsi="Times New Roman" w:eastAsia="Times New Roman" w:cs="Times New Roman"/>
                <w:spacing w:val="4"/>
                <w:sz w:val="20"/>
                <w:szCs w:val="20"/>
              </w:rPr>
              <w:t>8.6</w:t>
            </w:r>
            <w:r>
              <w:rPr>
                <w:rFonts w:ascii="Times New Roman" w:hAnsi="Times New Roman" w:eastAsia="Times New Roman" w:cs="Times New Roman"/>
                <w:spacing w:val="3"/>
                <w:sz w:val="20"/>
                <w:szCs w:val="20"/>
              </w:rPr>
              <w:t>9</w:t>
            </w:r>
            <w:r>
              <w:rPr>
                <w:rFonts w:ascii="Times New Roman" w:hAnsi="Times New Roman" w:eastAsia="Times New Roman" w:cs="Times New Roman"/>
                <w:spacing w:val="2"/>
                <w:sz w:val="20"/>
                <w:szCs w:val="20"/>
              </w:rPr>
              <w:t>2×10</w:t>
            </w:r>
            <w:r>
              <w:rPr>
                <w:rFonts w:ascii="Times New Roman" w:hAnsi="Times New Roman" w:eastAsia="Times New Roman" w:cs="Times New Roman"/>
                <w:spacing w:val="2"/>
                <w:position w:val="6"/>
                <w:sz w:val="13"/>
                <w:szCs w:val="13"/>
              </w:rPr>
              <w:t>-5</w:t>
            </w:r>
          </w:p>
        </w:tc>
        <w:tc>
          <w:tcPr>
            <w:tcW w:w="900" w:type="dxa"/>
            <w:tcBorders>
              <w:right w:val="nil"/>
            </w:tcBorders>
            <w:vAlign w:val="top"/>
          </w:tcPr>
          <w:p w14:paraId="7A693120">
            <w:pPr>
              <w:spacing w:before="90"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.02</w:t>
            </w:r>
          </w:p>
        </w:tc>
      </w:tr>
      <w:tr w14:paraId="6006E0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10" w:type="dxa"/>
            <w:tcBorders>
              <w:left w:val="nil"/>
            </w:tcBorders>
            <w:vAlign w:val="top"/>
          </w:tcPr>
          <w:p w14:paraId="1F24CFCB">
            <w:pPr>
              <w:spacing w:before="104" w:line="195" w:lineRule="auto"/>
              <w:ind w:left="515"/>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164" w:type="dxa"/>
            <w:vAlign w:val="top"/>
          </w:tcPr>
          <w:p w14:paraId="25629BB5">
            <w:pPr>
              <w:spacing w:before="90" w:line="195" w:lineRule="auto"/>
              <w:ind w:left="43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600</w:t>
            </w:r>
          </w:p>
        </w:tc>
        <w:tc>
          <w:tcPr>
            <w:tcW w:w="1233" w:type="dxa"/>
            <w:vAlign w:val="top"/>
          </w:tcPr>
          <w:p w14:paraId="2229310C">
            <w:pPr>
              <w:spacing w:before="90"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01805</w:t>
            </w:r>
          </w:p>
        </w:tc>
        <w:tc>
          <w:tcPr>
            <w:tcW w:w="793" w:type="dxa"/>
            <w:vAlign w:val="top"/>
          </w:tcPr>
          <w:p w14:paraId="7C966654">
            <w:pPr>
              <w:spacing w:before="90" w:line="195" w:lineRule="auto"/>
              <w:ind w:left="21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.61</w:t>
            </w:r>
          </w:p>
        </w:tc>
        <w:tc>
          <w:tcPr>
            <w:tcW w:w="1232" w:type="dxa"/>
            <w:vAlign w:val="top"/>
          </w:tcPr>
          <w:p w14:paraId="2C00295D">
            <w:pPr>
              <w:spacing w:before="90"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01089</w:t>
            </w:r>
          </w:p>
        </w:tc>
        <w:tc>
          <w:tcPr>
            <w:tcW w:w="794" w:type="dxa"/>
            <w:vAlign w:val="top"/>
          </w:tcPr>
          <w:p w14:paraId="5EE5CC6A">
            <w:pPr>
              <w:spacing w:before="90" w:line="195" w:lineRule="auto"/>
              <w:ind w:left="21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5.44</w:t>
            </w:r>
          </w:p>
        </w:tc>
        <w:tc>
          <w:tcPr>
            <w:tcW w:w="1126" w:type="dxa"/>
            <w:vAlign w:val="top"/>
          </w:tcPr>
          <w:p w14:paraId="1B167570">
            <w:pPr>
              <w:spacing w:before="74" w:line="212" w:lineRule="auto"/>
              <w:ind w:left="117"/>
              <w:rPr>
                <w:rFonts w:ascii="Times New Roman" w:hAnsi="Times New Roman" w:eastAsia="Times New Roman" w:cs="Times New Roman"/>
                <w:sz w:val="13"/>
                <w:szCs w:val="13"/>
              </w:rPr>
            </w:pPr>
            <w:r>
              <w:rPr>
                <w:rFonts w:ascii="Times New Roman" w:hAnsi="Times New Roman" w:eastAsia="Times New Roman" w:cs="Times New Roman"/>
                <w:spacing w:val="4"/>
                <w:sz w:val="20"/>
                <w:szCs w:val="20"/>
              </w:rPr>
              <w:t>8.5</w:t>
            </w:r>
            <w:r>
              <w:rPr>
                <w:rFonts w:ascii="Times New Roman" w:hAnsi="Times New Roman" w:eastAsia="Times New Roman" w:cs="Times New Roman"/>
                <w:spacing w:val="3"/>
                <w:sz w:val="20"/>
                <w:szCs w:val="20"/>
              </w:rPr>
              <w:t>9</w:t>
            </w:r>
            <w:r>
              <w:rPr>
                <w:rFonts w:ascii="Times New Roman" w:hAnsi="Times New Roman" w:eastAsia="Times New Roman" w:cs="Times New Roman"/>
                <w:spacing w:val="2"/>
                <w:sz w:val="20"/>
                <w:szCs w:val="20"/>
              </w:rPr>
              <w:t>5×10</w:t>
            </w:r>
            <w:r>
              <w:rPr>
                <w:rFonts w:ascii="Times New Roman" w:hAnsi="Times New Roman" w:eastAsia="Times New Roman" w:cs="Times New Roman"/>
                <w:spacing w:val="2"/>
                <w:position w:val="6"/>
                <w:sz w:val="13"/>
                <w:szCs w:val="13"/>
              </w:rPr>
              <w:t>-5</w:t>
            </w:r>
          </w:p>
        </w:tc>
        <w:tc>
          <w:tcPr>
            <w:tcW w:w="900" w:type="dxa"/>
            <w:tcBorders>
              <w:right w:val="nil"/>
            </w:tcBorders>
            <w:vAlign w:val="top"/>
          </w:tcPr>
          <w:p w14:paraId="7D6B5534">
            <w:pPr>
              <w:spacing w:before="90"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.02</w:t>
            </w:r>
          </w:p>
        </w:tc>
      </w:tr>
      <w:tr w14:paraId="6230A3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10" w:type="dxa"/>
            <w:tcBorders>
              <w:left w:val="nil"/>
            </w:tcBorders>
            <w:vAlign w:val="top"/>
          </w:tcPr>
          <w:p w14:paraId="5A6307D1">
            <w:pPr>
              <w:spacing w:before="105" w:line="195" w:lineRule="auto"/>
              <w:ind w:left="510"/>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164" w:type="dxa"/>
            <w:vAlign w:val="top"/>
          </w:tcPr>
          <w:p w14:paraId="1488C6A9">
            <w:pPr>
              <w:spacing w:before="90" w:line="195" w:lineRule="auto"/>
              <w:ind w:left="42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w:t>
            </w:r>
            <w:r>
              <w:rPr>
                <w:rFonts w:ascii="Times New Roman" w:hAnsi="Times New Roman" w:eastAsia="Times New Roman" w:cs="Times New Roman"/>
                <w:spacing w:val="2"/>
                <w:sz w:val="20"/>
                <w:szCs w:val="20"/>
              </w:rPr>
              <w:t>00</w:t>
            </w:r>
          </w:p>
        </w:tc>
        <w:tc>
          <w:tcPr>
            <w:tcW w:w="1233" w:type="dxa"/>
            <w:vAlign w:val="top"/>
          </w:tcPr>
          <w:p w14:paraId="2A8C8E6E">
            <w:pPr>
              <w:spacing w:before="91"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01771</w:t>
            </w:r>
          </w:p>
        </w:tc>
        <w:tc>
          <w:tcPr>
            <w:tcW w:w="793" w:type="dxa"/>
            <w:vAlign w:val="top"/>
          </w:tcPr>
          <w:p w14:paraId="08E4DAC6">
            <w:pPr>
              <w:spacing w:before="91" w:line="195" w:lineRule="auto"/>
              <w:ind w:left="21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.54</w:t>
            </w:r>
          </w:p>
        </w:tc>
        <w:tc>
          <w:tcPr>
            <w:tcW w:w="1232" w:type="dxa"/>
            <w:vAlign w:val="top"/>
          </w:tcPr>
          <w:p w14:paraId="053A2B01">
            <w:pPr>
              <w:spacing w:before="91"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01068</w:t>
            </w:r>
          </w:p>
        </w:tc>
        <w:tc>
          <w:tcPr>
            <w:tcW w:w="794" w:type="dxa"/>
            <w:vAlign w:val="top"/>
          </w:tcPr>
          <w:p w14:paraId="17A4785B">
            <w:pPr>
              <w:spacing w:before="91" w:line="195" w:lineRule="auto"/>
              <w:ind w:left="21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5.34</w:t>
            </w:r>
          </w:p>
        </w:tc>
        <w:tc>
          <w:tcPr>
            <w:tcW w:w="1126" w:type="dxa"/>
            <w:vAlign w:val="top"/>
          </w:tcPr>
          <w:p w14:paraId="0FAA65C7">
            <w:pPr>
              <w:spacing w:before="75" w:line="214" w:lineRule="auto"/>
              <w:ind w:left="117"/>
              <w:rPr>
                <w:rFonts w:ascii="Times New Roman" w:hAnsi="Times New Roman" w:eastAsia="Times New Roman" w:cs="Times New Roman"/>
                <w:sz w:val="13"/>
                <w:szCs w:val="13"/>
              </w:rPr>
            </w:pPr>
            <w:r>
              <w:rPr>
                <w:rFonts w:ascii="Times New Roman" w:hAnsi="Times New Roman" w:eastAsia="Times New Roman" w:cs="Times New Roman"/>
                <w:spacing w:val="4"/>
                <w:sz w:val="20"/>
                <w:szCs w:val="20"/>
              </w:rPr>
              <w:t>8.4</w:t>
            </w: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2×10</w:t>
            </w:r>
            <w:r>
              <w:rPr>
                <w:rFonts w:ascii="Times New Roman" w:hAnsi="Times New Roman" w:eastAsia="Times New Roman" w:cs="Times New Roman"/>
                <w:spacing w:val="2"/>
                <w:position w:val="6"/>
                <w:sz w:val="13"/>
                <w:szCs w:val="13"/>
              </w:rPr>
              <w:t>-5</w:t>
            </w:r>
          </w:p>
        </w:tc>
        <w:tc>
          <w:tcPr>
            <w:tcW w:w="900" w:type="dxa"/>
            <w:tcBorders>
              <w:right w:val="nil"/>
            </w:tcBorders>
            <w:vAlign w:val="top"/>
          </w:tcPr>
          <w:p w14:paraId="57E951A5">
            <w:pPr>
              <w:spacing w:before="93"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.02</w:t>
            </w:r>
          </w:p>
        </w:tc>
      </w:tr>
      <w:tr w14:paraId="1A6B2B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110" w:type="dxa"/>
            <w:tcBorders>
              <w:left w:val="nil"/>
            </w:tcBorders>
            <w:vAlign w:val="top"/>
          </w:tcPr>
          <w:p w14:paraId="7F259E42">
            <w:pPr>
              <w:spacing w:before="107" w:line="195" w:lineRule="auto"/>
              <w:ind w:left="47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1164" w:type="dxa"/>
            <w:vAlign w:val="top"/>
          </w:tcPr>
          <w:p w14:paraId="18D1339E">
            <w:pPr>
              <w:spacing w:before="90" w:line="195" w:lineRule="auto"/>
              <w:ind w:left="43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80</w:t>
            </w:r>
            <w:r>
              <w:rPr>
                <w:rFonts w:ascii="Times New Roman" w:hAnsi="Times New Roman" w:eastAsia="Times New Roman" w:cs="Times New Roman"/>
                <w:sz w:val="20"/>
                <w:szCs w:val="20"/>
              </w:rPr>
              <w:t>0</w:t>
            </w:r>
          </w:p>
        </w:tc>
        <w:tc>
          <w:tcPr>
            <w:tcW w:w="1233" w:type="dxa"/>
            <w:vAlign w:val="top"/>
          </w:tcPr>
          <w:p w14:paraId="7EBDB294">
            <w:pPr>
              <w:spacing w:before="90"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01672</w:t>
            </w:r>
          </w:p>
        </w:tc>
        <w:tc>
          <w:tcPr>
            <w:tcW w:w="793" w:type="dxa"/>
            <w:vAlign w:val="top"/>
          </w:tcPr>
          <w:p w14:paraId="24CBDEE1">
            <w:pPr>
              <w:spacing w:before="90" w:line="195" w:lineRule="auto"/>
              <w:ind w:left="21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.34</w:t>
            </w:r>
          </w:p>
        </w:tc>
        <w:tc>
          <w:tcPr>
            <w:tcW w:w="1232" w:type="dxa"/>
            <w:vAlign w:val="top"/>
          </w:tcPr>
          <w:p w14:paraId="7E499C3A">
            <w:pPr>
              <w:spacing w:before="90"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01008</w:t>
            </w:r>
          </w:p>
        </w:tc>
        <w:tc>
          <w:tcPr>
            <w:tcW w:w="794" w:type="dxa"/>
            <w:vAlign w:val="top"/>
          </w:tcPr>
          <w:p w14:paraId="759C1D8E">
            <w:pPr>
              <w:spacing w:before="90" w:line="195" w:lineRule="auto"/>
              <w:ind w:left="21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5.04</w:t>
            </w:r>
          </w:p>
        </w:tc>
        <w:tc>
          <w:tcPr>
            <w:tcW w:w="1126" w:type="dxa"/>
            <w:vAlign w:val="top"/>
          </w:tcPr>
          <w:p w14:paraId="353871F9">
            <w:pPr>
              <w:spacing w:before="74" w:line="214" w:lineRule="auto"/>
              <w:ind w:left="164"/>
              <w:rPr>
                <w:rFonts w:ascii="Times New Roman" w:hAnsi="Times New Roman" w:eastAsia="Times New Roman" w:cs="Times New Roman"/>
                <w:sz w:val="13"/>
                <w:szCs w:val="13"/>
              </w:rPr>
            </w:pPr>
            <w:r>
              <w:rPr>
                <w:rFonts w:ascii="Times New Roman" w:hAnsi="Times New Roman" w:eastAsia="Times New Roman" w:cs="Times New Roman"/>
                <w:spacing w:val="3"/>
                <w:sz w:val="20"/>
                <w:szCs w:val="20"/>
              </w:rPr>
              <w:t>7.96×10</w:t>
            </w:r>
            <w:r>
              <w:rPr>
                <w:rFonts w:ascii="Times New Roman" w:hAnsi="Times New Roman" w:eastAsia="Times New Roman" w:cs="Times New Roman"/>
                <w:spacing w:val="3"/>
                <w:position w:val="6"/>
                <w:sz w:val="13"/>
                <w:szCs w:val="13"/>
              </w:rPr>
              <w:t>-</w:t>
            </w:r>
            <w:r>
              <w:rPr>
                <w:rFonts w:ascii="Times New Roman" w:hAnsi="Times New Roman" w:eastAsia="Times New Roman" w:cs="Times New Roman"/>
                <w:spacing w:val="2"/>
                <w:position w:val="6"/>
                <w:sz w:val="13"/>
                <w:szCs w:val="13"/>
              </w:rPr>
              <w:t>5</w:t>
            </w:r>
          </w:p>
        </w:tc>
        <w:tc>
          <w:tcPr>
            <w:tcW w:w="900" w:type="dxa"/>
            <w:tcBorders>
              <w:right w:val="nil"/>
            </w:tcBorders>
            <w:vAlign w:val="top"/>
          </w:tcPr>
          <w:p w14:paraId="7A83F7E3">
            <w:pPr>
              <w:spacing w:before="93"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.02</w:t>
            </w:r>
          </w:p>
        </w:tc>
      </w:tr>
    </w:tbl>
    <w:p w14:paraId="37BEC29D">
      <w:pPr>
        <w:rPr>
          <w:rFonts w:ascii="Arial"/>
          <w:sz w:val="21"/>
        </w:rPr>
      </w:pPr>
    </w:p>
    <w:p w14:paraId="5ADC945E">
      <w:pPr>
        <w:sectPr>
          <w:headerReference r:id="rId209" w:type="default"/>
          <w:footerReference r:id="rId210" w:type="default"/>
          <w:pgSz w:w="11906" w:h="16839"/>
          <w:pgMar w:top="1132" w:right="1771" w:bottom="1182" w:left="1731" w:header="878" w:footer="1022" w:gutter="0"/>
          <w:cols w:space="720" w:num="1"/>
        </w:sectPr>
      </w:pPr>
    </w:p>
    <w:p w14:paraId="205DDA7D">
      <w:r>
        <w:pict>
          <v:rect id="_x0000_s1258" o:spid="_x0000_s1258" o:spt="1" style="position:absolute;left:0pt;margin-left:90pt;margin-top:57.35pt;height:0.75pt;width:415.3pt;mso-position-horizontal-relative:page;mso-position-vertical-relative:page;z-index:251917312;mso-width-relative:page;mso-height-relative:page;" fillcolor="#000000" filled="t" stroked="f" coordsize="21600,21600" o:allowincell="f">
            <v:path/>
            <v:fill on="t" focussize="0,0"/>
            <v:stroke on="f"/>
            <v:imagedata o:title=""/>
            <o:lock v:ext="edit"/>
          </v:rect>
        </w:pict>
      </w:r>
    </w:p>
    <w:p w14:paraId="2450AD34">
      <w:pPr>
        <w:spacing w:line="65" w:lineRule="exact"/>
      </w:pPr>
    </w:p>
    <w:tbl>
      <w:tblPr>
        <w:tblStyle w:val="4"/>
        <w:tblW w:w="8442" w:type="dxa"/>
        <w:tblInd w:w="3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0"/>
        <w:gridCol w:w="1164"/>
        <w:gridCol w:w="1233"/>
        <w:gridCol w:w="793"/>
        <w:gridCol w:w="1232"/>
        <w:gridCol w:w="794"/>
        <w:gridCol w:w="1126"/>
        <w:gridCol w:w="990"/>
      </w:tblGrid>
      <w:tr w14:paraId="704152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1110" w:type="dxa"/>
            <w:tcBorders>
              <w:left w:val="nil"/>
            </w:tcBorders>
            <w:vAlign w:val="top"/>
          </w:tcPr>
          <w:p w14:paraId="79EB5E22">
            <w:pPr>
              <w:spacing w:before="128" w:line="195" w:lineRule="auto"/>
              <w:ind w:left="478"/>
              <w:rPr>
                <w:rFonts w:ascii="Times New Roman" w:hAnsi="Times New Roman" w:eastAsia="Times New Roman" w:cs="Times New Roman"/>
                <w:sz w:val="20"/>
                <w:szCs w:val="20"/>
              </w:rPr>
            </w:pPr>
            <w:r>
              <w:rPr>
                <w:rFonts w:ascii="Times New Roman" w:hAnsi="Times New Roman" w:eastAsia="Times New Roman" w:cs="Times New Roman"/>
                <w:spacing w:val="-11"/>
                <w:sz w:val="20"/>
                <w:szCs w:val="20"/>
              </w:rPr>
              <w:t>1</w:t>
            </w:r>
            <w:r>
              <w:rPr>
                <w:rFonts w:ascii="Times New Roman" w:hAnsi="Times New Roman" w:eastAsia="Times New Roman" w:cs="Times New Roman"/>
                <w:spacing w:val="-9"/>
                <w:sz w:val="20"/>
                <w:szCs w:val="20"/>
              </w:rPr>
              <w:t>1</w:t>
            </w:r>
          </w:p>
        </w:tc>
        <w:tc>
          <w:tcPr>
            <w:tcW w:w="1164" w:type="dxa"/>
            <w:vAlign w:val="top"/>
          </w:tcPr>
          <w:p w14:paraId="49E38D7D">
            <w:pPr>
              <w:spacing w:before="111" w:line="195" w:lineRule="auto"/>
              <w:ind w:left="43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w:t>
            </w:r>
            <w:r>
              <w:rPr>
                <w:rFonts w:ascii="Times New Roman" w:hAnsi="Times New Roman" w:eastAsia="Times New Roman" w:cs="Times New Roman"/>
                <w:spacing w:val="2"/>
                <w:sz w:val="20"/>
                <w:szCs w:val="20"/>
              </w:rPr>
              <w:t>00</w:t>
            </w:r>
          </w:p>
        </w:tc>
        <w:tc>
          <w:tcPr>
            <w:tcW w:w="1233" w:type="dxa"/>
            <w:vAlign w:val="top"/>
          </w:tcPr>
          <w:p w14:paraId="695614DC">
            <w:pPr>
              <w:spacing w:before="111"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01548</w:t>
            </w:r>
          </w:p>
        </w:tc>
        <w:tc>
          <w:tcPr>
            <w:tcW w:w="793" w:type="dxa"/>
            <w:vAlign w:val="top"/>
          </w:tcPr>
          <w:p w14:paraId="2026A024">
            <w:pPr>
              <w:spacing w:before="111" w:line="195" w:lineRule="auto"/>
              <w:ind w:left="219"/>
              <w:rPr>
                <w:rFonts w:ascii="Times New Roman" w:hAnsi="Times New Roman" w:eastAsia="Times New Roman" w:cs="Times New Roman"/>
                <w:sz w:val="20"/>
                <w:szCs w:val="20"/>
              </w:rPr>
            </w:pPr>
            <w:r>
              <w:rPr>
                <w:rFonts w:ascii="Times New Roman" w:hAnsi="Times New Roman" w:eastAsia="Times New Roman" w:cs="Times New Roman"/>
                <w:spacing w:val="-9"/>
                <w:sz w:val="20"/>
                <w:szCs w:val="20"/>
              </w:rPr>
              <w:t>3</w:t>
            </w:r>
            <w:r>
              <w:rPr>
                <w:rFonts w:ascii="Times New Roman" w:hAnsi="Times New Roman" w:eastAsia="Times New Roman" w:cs="Times New Roman"/>
                <w:spacing w:val="-8"/>
                <w:sz w:val="20"/>
                <w:szCs w:val="20"/>
              </w:rPr>
              <w:t>. 10</w:t>
            </w:r>
          </w:p>
        </w:tc>
        <w:tc>
          <w:tcPr>
            <w:tcW w:w="1232" w:type="dxa"/>
            <w:vAlign w:val="top"/>
          </w:tcPr>
          <w:p w14:paraId="101EABCF">
            <w:pPr>
              <w:spacing w:before="111" w:line="195" w:lineRule="auto"/>
              <w:ind w:left="22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0.00933</w:t>
            </w:r>
            <w:r>
              <w:rPr>
                <w:rFonts w:ascii="Times New Roman" w:hAnsi="Times New Roman" w:eastAsia="Times New Roman" w:cs="Times New Roman"/>
                <w:spacing w:val="2"/>
                <w:sz w:val="20"/>
                <w:szCs w:val="20"/>
              </w:rPr>
              <w:t>5</w:t>
            </w:r>
          </w:p>
        </w:tc>
        <w:tc>
          <w:tcPr>
            <w:tcW w:w="794" w:type="dxa"/>
            <w:vAlign w:val="top"/>
          </w:tcPr>
          <w:p w14:paraId="4BF0C26D">
            <w:pPr>
              <w:spacing w:before="111" w:line="198" w:lineRule="auto"/>
              <w:ind w:left="21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4</w:t>
            </w:r>
            <w:r>
              <w:rPr>
                <w:rFonts w:ascii="Times New Roman" w:hAnsi="Times New Roman" w:eastAsia="Times New Roman" w:cs="Times New Roman"/>
                <w:spacing w:val="3"/>
                <w:sz w:val="20"/>
                <w:szCs w:val="20"/>
              </w:rPr>
              <w:t>.67</w:t>
            </w:r>
          </w:p>
        </w:tc>
        <w:tc>
          <w:tcPr>
            <w:tcW w:w="1126" w:type="dxa"/>
            <w:vAlign w:val="top"/>
          </w:tcPr>
          <w:p w14:paraId="41657539">
            <w:pPr>
              <w:spacing w:before="95" w:line="214" w:lineRule="auto"/>
              <w:ind w:left="164"/>
              <w:rPr>
                <w:rFonts w:ascii="Times New Roman" w:hAnsi="Times New Roman" w:eastAsia="Times New Roman" w:cs="Times New Roman"/>
                <w:sz w:val="13"/>
                <w:szCs w:val="13"/>
              </w:rPr>
            </w:pPr>
            <w:r>
              <w:rPr>
                <w:rFonts w:ascii="Times New Roman" w:hAnsi="Times New Roman" w:eastAsia="Times New Roman" w:cs="Times New Roman"/>
                <w:spacing w:val="3"/>
                <w:sz w:val="20"/>
                <w:szCs w:val="20"/>
              </w:rPr>
              <w:t>7.37×10</w:t>
            </w:r>
            <w:r>
              <w:rPr>
                <w:rFonts w:ascii="Times New Roman" w:hAnsi="Times New Roman" w:eastAsia="Times New Roman" w:cs="Times New Roman"/>
                <w:spacing w:val="3"/>
                <w:position w:val="6"/>
                <w:sz w:val="13"/>
                <w:szCs w:val="13"/>
              </w:rPr>
              <w:t>-</w:t>
            </w:r>
            <w:r>
              <w:rPr>
                <w:rFonts w:ascii="Times New Roman" w:hAnsi="Times New Roman" w:eastAsia="Times New Roman" w:cs="Times New Roman"/>
                <w:spacing w:val="2"/>
                <w:position w:val="6"/>
                <w:sz w:val="13"/>
                <w:szCs w:val="13"/>
              </w:rPr>
              <w:t>5</w:t>
            </w:r>
          </w:p>
        </w:tc>
        <w:tc>
          <w:tcPr>
            <w:tcW w:w="990" w:type="dxa"/>
            <w:tcBorders>
              <w:right w:val="nil"/>
            </w:tcBorders>
            <w:vAlign w:val="top"/>
          </w:tcPr>
          <w:p w14:paraId="6510E11A">
            <w:pPr>
              <w:spacing w:before="114"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.02</w:t>
            </w:r>
          </w:p>
        </w:tc>
      </w:tr>
      <w:tr w14:paraId="6A5F31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10" w:type="dxa"/>
            <w:tcBorders>
              <w:left w:val="nil"/>
            </w:tcBorders>
            <w:vAlign w:val="top"/>
          </w:tcPr>
          <w:p w14:paraId="63EC5721">
            <w:pPr>
              <w:spacing w:before="104" w:line="195" w:lineRule="auto"/>
              <w:ind w:left="47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2</w:t>
            </w:r>
          </w:p>
        </w:tc>
        <w:tc>
          <w:tcPr>
            <w:tcW w:w="1164" w:type="dxa"/>
            <w:vAlign w:val="top"/>
          </w:tcPr>
          <w:p w14:paraId="384AAB8A">
            <w:pPr>
              <w:spacing w:before="87" w:line="195" w:lineRule="auto"/>
              <w:ind w:left="39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1000</w:t>
            </w:r>
          </w:p>
        </w:tc>
        <w:tc>
          <w:tcPr>
            <w:tcW w:w="1233" w:type="dxa"/>
            <w:vAlign w:val="top"/>
          </w:tcPr>
          <w:p w14:paraId="5A189447">
            <w:pPr>
              <w:spacing w:before="87"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01419</w:t>
            </w:r>
          </w:p>
        </w:tc>
        <w:tc>
          <w:tcPr>
            <w:tcW w:w="793" w:type="dxa"/>
            <w:vAlign w:val="top"/>
          </w:tcPr>
          <w:p w14:paraId="7EA7E71B">
            <w:pPr>
              <w:spacing w:before="87" w:line="198" w:lineRule="auto"/>
              <w:ind w:left="215"/>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.84</w:t>
            </w:r>
          </w:p>
        </w:tc>
        <w:tc>
          <w:tcPr>
            <w:tcW w:w="1232" w:type="dxa"/>
            <w:vAlign w:val="top"/>
          </w:tcPr>
          <w:p w14:paraId="201BB274">
            <w:pPr>
              <w:spacing w:before="87" w:line="195" w:lineRule="auto"/>
              <w:ind w:left="22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0.00856</w:t>
            </w:r>
            <w:r>
              <w:rPr>
                <w:rFonts w:ascii="Times New Roman" w:hAnsi="Times New Roman" w:eastAsia="Times New Roman" w:cs="Times New Roman"/>
                <w:spacing w:val="2"/>
                <w:sz w:val="20"/>
                <w:szCs w:val="20"/>
              </w:rPr>
              <w:t>1</w:t>
            </w:r>
          </w:p>
        </w:tc>
        <w:tc>
          <w:tcPr>
            <w:tcW w:w="794" w:type="dxa"/>
            <w:vAlign w:val="top"/>
          </w:tcPr>
          <w:p w14:paraId="29960B22">
            <w:pPr>
              <w:spacing w:before="87" w:line="198" w:lineRule="auto"/>
              <w:ind w:left="21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4</w:t>
            </w:r>
            <w:r>
              <w:rPr>
                <w:rFonts w:ascii="Times New Roman" w:hAnsi="Times New Roman" w:eastAsia="Times New Roman" w:cs="Times New Roman"/>
                <w:spacing w:val="3"/>
                <w:sz w:val="20"/>
                <w:szCs w:val="20"/>
              </w:rPr>
              <w:t>.28</w:t>
            </w:r>
          </w:p>
        </w:tc>
        <w:tc>
          <w:tcPr>
            <w:tcW w:w="1126" w:type="dxa"/>
            <w:vAlign w:val="top"/>
          </w:tcPr>
          <w:p w14:paraId="2AB54B37">
            <w:pPr>
              <w:spacing w:before="71" w:line="214" w:lineRule="auto"/>
              <w:ind w:left="113"/>
              <w:rPr>
                <w:rFonts w:ascii="Times New Roman" w:hAnsi="Times New Roman" w:eastAsia="Times New Roman" w:cs="Times New Roman"/>
                <w:sz w:val="13"/>
                <w:szCs w:val="13"/>
              </w:rPr>
            </w:pPr>
            <w:r>
              <w:rPr>
                <w:rFonts w:ascii="Times New Roman" w:hAnsi="Times New Roman" w:eastAsia="Times New Roman" w:cs="Times New Roman"/>
                <w:spacing w:val="3"/>
                <w:sz w:val="20"/>
                <w:szCs w:val="20"/>
              </w:rPr>
              <w:t>6.758×10</w:t>
            </w:r>
            <w:r>
              <w:rPr>
                <w:rFonts w:ascii="Times New Roman" w:hAnsi="Times New Roman" w:eastAsia="Times New Roman" w:cs="Times New Roman"/>
                <w:spacing w:val="3"/>
                <w:position w:val="6"/>
                <w:sz w:val="13"/>
                <w:szCs w:val="13"/>
              </w:rPr>
              <w:t>-5</w:t>
            </w:r>
          </w:p>
        </w:tc>
        <w:tc>
          <w:tcPr>
            <w:tcW w:w="990" w:type="dxa"/>
            <w:tcBorders>
              <w:right w:val="nil"/>
            </w:tcBorders>
            <w:vAlign w:val="top"/>
          </w:tcPr>
          <w:p w14:paraId="49472432">
            <w:pPr>
              <w:spacing w:before="89" w:line="195" w:lineRule="auto"/>
              <w:ind w:left="31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.02</w:t>
            </w:r>
          </w:p>
        </w:tc>
      </w:tr>
      <w:tr w14:paraId="22BFE2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10" w:type="dxa"/>
            <w:tcBorders>
              <w:left w:val="nil"/>
            </w:tcBorders>
            <w:vAlign w:val="top"/>
          </w:tcPr>
          <w:p w14:paraId="76BADC54">
            <w:pPr>
              <w:spacing w:before="103" w:line="195" w:lineRule="auto"/>
              <w:ind w:left="47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3</w:t>
            </w:r>
          </w:p>
        </w:tc>
        <w:tc>
          <w:tcPr>
            <w:tcW w:w="1164" w:type="dxa"/>
            <w:vAlign w:val="top"/>
          </w:tcPr>
          <w:p w14:paraId="7792B69B">
            <w:pPr>
              <w:spacing w:before="89" w:line="195" w:lineRule="auto"/>
              <w:ind w:left="39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100</w:t>
            </w:r>
          </w:p>
        </w:tc>
        <w:tc>
          <w:tcPr>
            <w:tcW w:w="1233" w:type="dxa"/>
            <w:vAlign w:val="top"/>
          </w:tcPr>
          <w:p w14:paraId="07F1417D">
            <w:pPr>
              <w:spacing w:before="89"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01299</w:t>
            </w:r>
          </w:p>
        </w:tc>
        <w:tc>
          <w:tcPr>
            <w:tcW w:w="793" w:type="dxa"/>
            <w:vAlign w:val="top"/>
          </w:tcPr>
          <w:p w14:paraId="573A66BB">
            <w:pPr>
              <w:spacing w:before="89" w:line="198" w:lineRule="auto"/>
              <w:ind w:left="215"/>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.60</w:t>
            </w:r>
          </w:p>
        </w:tc>
        <w:tc>
          <w:tcPr>
            <w:tcW w:w="1232" w:type="dxa"/>
            <w:vAlign w:val="top"/>
          </w:tcPr>
          <w:p w14:paraId="18E6BEB7">
            <w:pPr>
              <w:spacing w:before="89" w:line="195" w:lineRule="auto"/>
              <w:ind w:left="22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0.00783</w:t>
            </w:r>
            <w:r>
              <w:rPr>
                <w:rFonts w:ascii="Times New Roman" w:hAnsi="Times New Roman" w:eastAsia="Times New Roman" w:cs="Times New Roman"/>
                <w:spacing w:val="2"/>
                <w:sz w:val="20"/>
                <w:szCs w:val="20"/>
              </w:rPr>
              <w:t>3</w:t>
            </w:r>
          </w:p>
        </w:tc>
        <w:tc>
          <w:tcPr>
            <w:tcW w:w="794" w:type="dxa"/>
            <w:vAlign w:val="top"/>
          </w:tcPr>
          <w:p w14:paraId="567DF622">
            <w:pPr>
              <w:spacing w:before="89" w:line="195" w:lineRule="auto"/>
              <w:ind w:left="21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.92</w:t>
            </w:r>
          </w:p>
        </w:tc>
        <w:tc>
          <w:tcPr>
            <w:tcW w:w="1126" w:type="dxa"/>
            <w:vAlign w:val="top"/>
          </w:tcPr>
          <w:p w14:paraId="188A5E59">
            <w:pPr>
              <w:spacing w:before="71" w:line="214" w:lineRule="auto"/>
              <w:ind w:left="113"/>
              <w:rPr>
                <w:rFonts w:ascii="Times New Roman" w:hAnsi="Times New Roman" w:eastAsia="Times New Roman" w:cs="Times New Roman"/>
                <w:sz w:val="13"/>
                <w:szCs w:val="13"/>
              </w:rPr>
            </w:pPr>
            <w:r>
              <w:rPr>
                <w:rFonts w:ascii="Times New Roman" w:hAnsi="Times New Roman" w:eastAsia="Times New Roman" w:cs="Times New Roman"/>
                <w:spacing w:val="-2"/>
                <w:sz w:val="20"/>
                <w:szCs w:val="20"/>
              </w:rPr>
              <w:t>6. 184×10</w:t>
            </w:r>
            <w:r>
              <w:rPr>
                <w:rFonts w:ascii="Times New Roman" w:hAnsi="Times New Roman" w:eastAsia="Times New Roman" w:cs="Times New Roman"/>
                <w:spacing w:val="-1"/>
                <w:position w:val="6"/>
                <w:sz w:val="13"/>
                <w:szCs w:val="13"/>
              </w:rPr>
              <w:t>-5</w:t>
            </w:r>
          </w:p>
        </w:tc>
        <w:tc>
          <w:tcPr>
            <w:tcW w:w="990" w:type="dxa"/>
            <w:tcBorders>
              <w:right w:val="nil"/>
            </w:tcBorders>
            <w:vAlign w:val="top"/>
          </w:tcPr>
          <w:p w14:paraId="4464C3A1">
            <w:pPr>
              <w:spacing w:before="89" w:line="195" w:lineRule="auto"/>
              <w:ind w:left="31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.01</w:t>
            </w:r>
          </w:p>
        </w:tc>
      </w:tr>
      <w:tr w14:paraId="37E67C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10" w:type="dxa"/>
            <w:tcBorders>
              <w:left w:val="nil"/>
            </w:tcBorders>
            <w:vAlign w:val="top"/>
          </w:tcPr>
          <w:p w14:paraId="5FC100D7">
            <w:pPr>
              <w:spacing w:before="104" w:line="195" w:lineRule="auto"/>
              <w:ind w:left="47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4</w:t>
            </w:r>
          </w:p>
        </w:tc>
        <w:tc>
          <w:tcPr>
            <w:tcW w:w="1164" w:type="dxa"/>
            <w:vAlign w:val="top"/>
          </w:tcPr>
          <w:p w14:paraId="6FD1748A">
            <w:pPr>
              <w:spacing w:before="89" w:line="195" w:lineRule="auto"/>
              <w:ind w:left="39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1200</w:t>
            </w:r>
          </w:p>
        </w:tc>
        <w:tc>
          <w:tcPr>
            <w:tcW w:w="1233" w:type="dxa"/>
            <w:vAlign w:val="top"/>
          </w:tcPr>
          <w:p w14:paraId="3DD70D0D">
            <w:pPr>
              <w:spacing w:before="90" w:line="195" w:lineRule="auto"/>
              <w:ind w:left="28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01191</w:t>
            </w:r>
          </w:p>
        </w:tc>
        <w:tc>
          <w:tcPr>
            <w:tcW w:w="793" w:type="dxa"/>
            <w:vAlign w:val="top"/>
          </w:tcPr>
          <w:p w14:paraId="6B412EE5">
            <w:pPr>
              <w:spacing w:before="89" w:line="198" w:lineRule="auto"/>
              <w:ind w:left="215"/>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.38</w:t>
            </w:r>
          </w:p>
        </w:tc>
        <w:tc>
          <w:tcPr>
            <w:tcW w:w="1232" w:type="dxa"/>
            <w:vAlign w:val="top"/>
          </w:tcPr>
          <w:p w14:paraId="41825763">
            <w:pPr>
              <w:spacing w:before="90" w:line="195" w:lineRule="auto"/>
              <w:ind w:left="22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0.00718</w:t>
            </w:r>
            <w:r>
              <w:rPr>
                <w:rFonts w:ascii="Times New Roman" w:hAnsi="Times New Roman" w:eastAsia="Times New Roman" w:cs="Times New Roman"/>
                <w:spacing w:val="2"/>
                <w:sz w:val="20"/>
                <w:szCs w:val="20"/>
              </w:rPr>
              <w:t>1</w:t>
            </w:r>
          </w:p>
        </w:tc>
        <w:tc>
          <w:tcPr>
            <w:tcW w:w="794" w:type="dxa"/>
            <w:vAlign w:val="top"/>
          </w:tcPr>
          <w:p w14:paraId="3200892D">
            <w:pPr>
              <w:spacing w:before="90" w:line="195" w:lineRule="auto"/>
              <w:ind w:left="21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.59</w:t>
            </w:r>
          </w:p>
        </w:tc>
        <w:tc>
          <w:tcPr>
            <w:tcW w:w="1126" w:type="dxa"/>
            <w:vAlign w:val="top"/>
          </w:tcPr>
          <w:p w14:paraId="0A74CF9F">
            <w:pPr>
              <w:spacing w:before="71" w:line="214" w:lineRule="auto"/>
              <w:ind w:left="114"/>
              <w:rPr>
                <w:rFonts w:ascii="Times New Roman" w:hAnsi="Times New Roman" w:eastAsia="Times New Roman" w:cs="Times New Roman"/>
                <w:sz w:val="13"/>
                <w:szCs w:val="13"/>
              </w:rPr>
            </w:pPr>
            <w:r>
              <w:rPr>
                <w:rFonts w:ascii="Times New Roman" w:hAnsi="Times New Roman" w:eastAsia="Times New Roman" w:cs="Times New Roman"/>
                <w:spacing w:val="3"/>
                <w:sz w:val="20"/>
                <w:szCs w:val="20"/>
              </w:rPr>
              <w:t>5.669×10</w:t>
            </w:r>
            <w:r>
              <w:rPr>
                <w:rFonts w:ascii="Times New Roman" w:hAnsi="Times New Roman" w:eastAsia="Times New Roman" w:cs="Times New Roman"/>
                <w:spacing w:val="3"/>
                <w:position w:val="6"/>
                <w:sz w:val="13"/>
                <w:szCs w:val="13"/>
              </w:rPr>
              <w:t>-</w:t>
            </w:r>
            <w:r>
              <w:rPr>
                <w:rFonts w:ascii="Times New Roman" w:hAnsi="Times New Roman" w:eastAsia="Times New Roman" w:cs="Times New Roman"/>
                <w:spacing w:val="2"/>
                <w:position w:val="6"/>
                <w:sz w:val="13"/>
                <w:szCs w:val="13"/>
              </w:rPr>
              <w:t>5</w:t>
            </w:r>
          </w:p>
        </w:tc>
        <w:tc>
          <w:tcPr>
            <w:tcW w:w="990" w:type="dxa"/>
            <w:tcBorders>
              <w:right w:val="nil"/>
            </w:tcBorders>
            <w:vAlign w:val="top"/>
          </w:tcPr>
          <w:p w14:paraId="573AA96B">
            <w:pPr>
              <w:spacing w:before="90" w:line="195" w:lineRule="auto"/>
              <w:ind w:left="31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.01</w:t>
            </w:r>
          </w:p>
        </w:tc>
      </w:tr>
      <w:tr w14:paraId="3EF65D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10" w:type="dxa"/>
            <w:tcBorders>
              <w:left w:val="nil"/>
            </w:tcBorders>
            <w:vAlign w:val="top"/>
          </w:tcPr>
          <w:p w14:paraId="54016717">
            <w:pPr>
              <w:spacing w:before="103" w:line="195" w:lineRule="auto"/>
              <w:ind w:left="47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c>
          <w:tcPr>
            <w:tcW w:w="1164" w:type="dxa"/>
            <w:vAlign w:val="top"/>
          </w:tcPr>
          <w:p w14:paraId="73C0FFFF">
            <w:pPr>
              <w:spacing w:before="89" w:line="195" w:lineRule="auto"/>
              <w:ind w:left="39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1300</w:t>
            </w:r>
          </w:p>
        </w:tc>
        <w:tc>
          <w:tcPr>
            <w:tcW w:w="1233" w:type="dxa"/>
            <w:vAlign w:val="top"/>
          </w:tcPr>
          <w:p w14:paraId="60215237">
            <w:pPr>
              <w:spacing w:before="89"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01094</w:t>
            </w:r>
          </w:p>
        </w:tc>
        <w:tc>
          <w:tcPr>
            <w:tcW w:w="793" w:type="dxa"/>
            <w:vAlign w:val="top"/>
          </w:tcPr>
          <w:p w14:paraId="4E18D0D6">
            <w:pPr>
              <w:spacing w:before="89" w:line="195" w:lineRule="auto"/>
              <w:ind w:left="21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2</w:t>
            </w:r>
            <w:r>
              <w:rPr>
                <w:rFonts w:ascii="Times New Roman" w:hAnsi="Times New Roman" w:eastAsia="Times New Roman" w:cs="Times New Roman"/>
                <w:spacing w:val="-7"/>
                <w:sz w:val="20"/>
                <w:szCs w:val="20"/>
              </w:rPr>
              <w:t>. 19</w:t>
            </w:r>
          </w:p>
        </w:tc>
        <w:tc>
          <w:tcPr>
            <w:tcW w:w="1232" w:type="dxa"/>
            <w:vAlign w:val="top"/>
          </w:tcPr>
          <w:p w14:paraId="2F8357AB">
            <w:pPr>
              <w:spacing w:before="89" w:line="195" w:lineRule="auto"/>
              <w:ind w:left="22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0.00660</w:t>
            </w:r>
            <w:r>
              <w:rPr>
                <w:rFonts w:ascii="Times New Roman" w:hAnsi="Times New Roman" w:eastAsia="Times New Roman" w:cs="Times New Roman"/>
                <w:spacing w:val="2"/>
                <w:sz w:val="20"/>
                <w:szCs w:val="20"/>
              </w:rPr>
              <w:t>1</w:t>
            </w:r>
          </w:p>
        </w:tc>
        <w:tc>
          <w:tcPr>
            <w:tcW w:w="794" w:type="dxa"/>
            <w:vAlign w:val="top"/>
          </w:tcPr>
          <w:p w14:paraId="3EA1CAAB">
            <w:pPr>
              <w:spacing w:before="89" w:line="195" w:lineRule="auto"/>
              <w:ind w:left="21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.30</w:t>
            </w:r>
          </w:p>
        </w:tc>
        <w:tc>
          <w:tcPr>
            <w:tcW w:w="1126" w:type="dxa"/>
            <w:vAlign w:val="top"/>
          </w:tcPr>
          <w:p w14:paraId="399AD176">
            <w:pPr>
              <w:spacing w:before="73" w:line="212" w:lineRule="auto"/>
              <w:ind w:left="116"/>
              <w:rPr>
                <w:rFonts w:ascii="Times New Roman" w:hAnsi="Times New Roman" w:eastAsia="Times New Roman" w:cs="Times New Roman"/>
                <w:sz w:val="13"/>
                <w:szCs w:val="13"/>
              </w:rPr>
            </w:pPr>
            <w:r>
              <w:rPr>
                <w:rFonts w:ascii="Times New Roman" w:hAnsi="Times New Roman" w:eastAsia="Times New Roman" w:cs="Times New Roman"/>
                <w:spacing w:val="4"/>
                <w:sz w:val="20"/>
                <w:szCs w:val="20"/>
              </w:rPr>
              <w:t>5.</w:t>
            </w:r>
            <w:r>
              <w:rPr>
                <w:rFonts w:ascii="Times New Roman" w:hAnsi="Times New Roman" w:eastAsia="Times New Roman" w:cs="Times New Roman"/>
                <w:spacing w:val="2"/>
                <w:sz w:val="20"/>
                <w:szCs w:val="20"/>
              </w:rPr>
              <w:t>211×10</w:t>
            </w:r>
            <w:r>
              <w:rPr>
                <w:rFonts w:ascii="Times New Roman" w:hAnsi="Times New Roman" w:eastAsia="Times New Roman" w:cs="Times New Roman"/>
                <w:spacing w:val="2"/>
                <w:position w:val="6"/>
                <w:sz w:val="13"/>
                <w:szCs w:val="13"/>
              </w:rPr>
              <w:t>-5</w:t>
            </w:r>
          </w:p>
        </w:tc>
        <w:tc>
          <w:tcPr>
            <w:tcW w:w="990" w:type="dxa"/>
            <w:tcBorders>
              <w:right w:val="nil"/>
            </w:tcBorders>
            <w:vAlign w:val="top"/>
          </w:tcPr>
          <w:p w14:paraId="32742A11">
            <w:pPr>
              <w:spacing w:before="89" w:line="195" w:lineRule="auto"/>
              <w:ind w:left="31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.01</w:t>
            </w:r>
          </w:p>
        </w:tc>
      </w:tr>
      <w:tr w14:paraId="7CB059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10" w:type="dxa"/>
            <w:tcBorders>
              <w:left w:val="nil"/>
            </w:tcBorders>
            <w:vAlign w:val="top"/>
          </w:tcPr>
          <w:p w14:paraId="54D21BEE">
            <w:pPr>
              <w:spacing w:before="104" w:line="195" w:lineRule="auto"/>
              <w:ind w:left="47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6</w:t>
            </w:r>
          </w:p>
        </w:tc>
        <w:tc>
          <w:tcPr>
            <w:tcW w:w="1164" w:type="dxa"/>
            <w:vAlign w:val="top"/>
          </w:tcPr>
          <w:p w14:paraId="53023158">
            <w:pPr>
              <w:spacing w:before="89" w:line="195" w:lineRule="auto"/>
              <w:ind w:left="39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1400</w:t>
            </w:r>
          </w:p>
        </w:tc>
        <w:tc>
          <w:tcPr>
            <w:tcW w:w="1233" w:type="dxa"/>
            <w:vAlign w:val="top"/>
          </w:tcPr>
          <w:p w14:paraId="227C8058">
            <w:pPr>
              <w:spacing w:before="90"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01009</w:t>
            </w:r>
          </w:p>
        </w:tc>
        <w:tc>
          <w:tcPr>
            <w:tcW w:w="793" w:type="dxa"/>
            <w:vAlign w:val="top"/>
          </w:tcPr>
          <w:p w14:paraId="133AFF8C">
            <w:pPr>
              <w:spacing w:before="89" w:line="198" w:lineRule="auto"/>
              <w:ind w:left="215"/>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.02</w:t>
            </w:r>
          </w:p>
        </w:tc>
        <w:tc>
          <w:tcPr>
            <w:tcW w:w="1232" w:type="dxa"/>
            <w:vAlign w:val="top"/>
          </w:tcPr>
          <w:p w14:paraId="30F37151">
            <w:pPr>
              <w:spacing w:before="90" w:line="195" w:lineRule="auto"/>
              <w:ind w:left="22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0.00608</w:t>
            </w:r>
            <w:r>
              <w:rPr>
                <w:rFonts w:ascii="Times New Roman" w:hAnsi="Times New Roman" w:eastAsia="Times New Roman" w:cs="Times New Roman"/>
                <w:spacing w:val="2"/>
                <w:sz w:val="20"/>
                <w:szCs w:val="20"/>
              </w:rPr>
              <w:t>5</w:t>
            </w:r>
          </w:p>
        </w:tc>
        <w:tc>
          <w:tcPr>
            <w:tcW w:w="794" w:type="dxa"/>
            <w:vAlign w:val="top"/>
          </w:tcPr>
          <w:p w14:paraId="5EA9035A">
            <w:pPr>
              <w:spacing w:before="90" w:line="195" w:lineRule="auto"/>
              <w:ind w:left="21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.04</w:t>
            </w:r>
          </w:p>
        </w:tc>
        <w:tc>
          <w:tcPr>
            <w:tcW w:w="1126" w:type="dxa"/>
            <w:vAlign w:val="top"/>
          </w:tcPr>
          <w:p w14:paraId="780CC677">
            <w:pPr>
              <w:spacing w:before="74" w:line="217" w:lineRule="auto"/>
              <w:ind w:left="107"/>
              <w:rPr>
                <w:rFonts w:ascii="Times New Roman" w:hAnsi="Times New Roman" w:eastAsia="Times New Roman" w:cs="Times New Roman"/>
                <w:sz w:val="13"/>
                <w:szCs w:val="13"/>
              </w:rPr>
            </w:pPr>
            <w:r>
              <w:rPr>
                <w:rFonts w:ascii="Times New Roman" w:hAnsi="Times New Roman" w:eastAsia="Times New Roman" w:cs="Times New Roman"/>
                <w:spacing w:val="6"/>
                <w:sz w:val="20"/>
                <w:szCs w:val="20"/>
              </w:rPr>
              <w:t>4.</w:t>
            </w:r>
            <w:r>
              <w:rPr>
                <w:rFonts w:ascii="Times New Roman" w:hAnsi="Times New Roman" w:eastAsia="Times New Roman" w:cs="Times New Roman"/>
                <w:spacing w:val="3"/>
                <w:sz w:val="20"/>
                <w:szCs w:val="20"/>
              </w:rPr>
              <w:t>804×10</w:t>
            </w:r>
            <w:r>
              <w:rPr>
                <w:rFonts w:ascii="Times New Roman" w:hAnsi="Times New Roman" w:eastAsia="Times New Roman" w:cs="Times New Roman"/>
                <w:spacing w:val="3"/>
                <w:position w:val="6"/>
                <w:sz w:val="13"/>
                <w:szCs w:val="13"/>
              </w:rPr>
              <w:t>-5</w:t>
            </w:r>
          </w:p>
        </w:tc>
        <w:tc>
          <w:tcPr>
            <w:tcW w:w="990" w:type="dxa"/>
            <w:tcBorders>
              <w:right w:val="nil"/>
            </w:tcBorders>
            <w:vAlign w:val="top"/>
          </w:tcPr>
          <w:p w14:paraId="0901AA25">
            <w:pPr>
              <w:spacing w:before="92" w:line="195" w:lineRule="auto"/>
              <w:ind w:left="31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.01</w:t>
            </w:r>
          </w:p>
        </w:tc>
      </w:tr>
      <w:tr w14:paraId="4CDFB7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10" w:type="dxa"/>
            <w:tcBorders>
              <w:left w:val="nil"/>
            </w:tcBorders>
            <w:vAlign w:val="top"/>
          </w:tcPr>
          <w:p w14:paraId="18404D9B">
            <w:pPr>
              <w:spacing w:before="107" w:line="195" w:lineRule="auto"/>
              <w:ind w:left="47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7</w:t>
            </w:r>
          </w:p>
        </w:tc>
        <w:tc>
          <w:tcPr>
            <w:tcW w:w="1164" w:type="dxa"/>
            <w:vAlign w:val="top"/>
          </w:tcPr>
          <w:p w14:paraId="0D49DE9E">
            <w:pPr>
              <w:spacing w:before="90" w:line="195" w:lineRule="auto"/>
              <w:ind w:left="39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1500</w:t>
            </w:r>
          </w:p>
        </w:tc>
        <w:tc>
          <w:tcPr>
            <w:tcW w:w="1233" w:type="dxa"/>
            <w:vAlign w:val="top"/>
          </w:tcPr>
          <w:p w14:paraId="581AD659">
            <w:pPr>
              <w:spacing w:before="90" w:line="195" w:lineRule="auto"/>
              <w:ind w:left="22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0.00932</w:t>
            </w:r>
            <w:r>
              <w:rPr>
                <w:rFonts w:ascii="Times New Roman" w:hAnsi="Times New Roman" w:eastAsia="Times New Roman" w:cs="Times New Roman"/>
                <w:spacing w:val="2"/>
                <w:sz w:val="20"/>
                <w:szCs w:val="20"/>
              </w:rPr>
              <w:t>8</w:t>
            </w:r>
          </w:p>
        </w:tc>
        <w:tc>
          <w:tcPr>
            <w:tcW w:w="793" w:type="dxa"/>
            <w:vAlign w:val="top"/>
          </w:tcPr>
          <w:p w14:paraId="3E3E317A">
            <w:pPr>
              <w:spacing w:before="90" w:line="198" w:lineRule="auto"/>
              <w:ind w:left="23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87</w:t>
            </w:r>
          </w:p>
        </w:tc>
        <w:tc>
          <w:tcPr>
            <w:tcW w:w="1232" w:type="dxa"/>
            <w:vAlign w:val="top"/>
          </w:tcPr>
          <w:p w14:paraId="35320507">
            <w:pPr>
              <w:spacing w:before="90" w:line="195" w:lineRule="auto"/>
              <w:ind w:left="22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0.00562</w:t>
            </w:r>
            <w:r>
              <w:rPr>
                <w:rFonts w:ascii="Times New Roman" w:hAnsi="Times New Roman" w:eastAsia="Times New Roman" w:cs="Times New Roman"/>
                <w:spacing w:val="2"/>
                <w:sz w:val="20"/>
                <w:szCs w:val="20"/>
              </w:rPr>
              <w:t>6</w:t>
            </w:r>
          </w:p>
        </w:tc>
        <w:tc>
          <w:tcPr>
            <w:tcW w:w="794" w:type="dxa"/>
            <w:vAlign w:val="top"/>
          </w:tcPr>
          <w:p w14:paraId="6A407A9E">
            <w:pPr>
              <w:spacing w:before="90" w:line="198" w:lineRule="auto"/>
              <w:ind w:left="21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.81</w:t>
            </w:r>
          </w:p>
        </w:tc>
        <w:tc>
          <w:tcPr>
            <w:tcW w:w="1126" w:type="dxa"/>
            <w:vAlign w:val="top"/>
          </w:tcPr>
          <w:p w14:paraId="3DC11751">
            <w:pPr>
              <w:spacing w:before="74" w:line="217" w:lineRule="auto"/>
              <w:ind w:left="107"/>
              <w:rPr>
                <w:rFonts w:ascii="Times New Roman" w:hAnsi="Times New Roman" w:eastAsia="Times New Roman" w:cs="Times New Roman"/>
                <w:sz w:val="13"/>
                <w:szCs w:val="13"/>
              </w:rPr>
            </w:pPr>
            <w:r>
              <w:rPr>
                <w:rFonts w:ascii="Times New Roman" w:hAnsi="Times New Roman" w:eastAsia="Times New Roman" w:cs="Times New Roman"/>
                <w:spacing w:val="6"/>
                <w:sz w:val="20"/>
                <w:szCs w:val="20"/>
              </w:rPr>
              <w:t>4.</w:t>
            </w:r>
            <w:r>
              <w:rPr>
                <w:rFonts w:ascii="Times New Roman" w:hAnsi="Times New Roman" w:eastAsia="Times New Roman" w:cs="Times New Roman"/>
                <w:spacing w:val="3"/>
                <w:sz w:val="20"/>
                <w:szCs w:val="20"/>
              </w:rPr>
              <w:t>442×10</w:t>
            </w:r>
            <w:r>
              <w:rPr>
                <w:rFonts w:ascii="Times New Roman" w:hAnsi="Times New Roman" w:eastAsia="Times New Roman" w:cs="Times New Roman"/>
                <w:spacing w:val="3"/>
                <w:position w:val="6"/>
                <w:sz w:val="13"/>
                <w:szCs w:val="13"/>
              </w:rPr>
              <w:t>-5</w:t>
            </w:r>
          </w:p>
        </w:tc>
        <w:tc>
          <w:tcPr>
            <w:tcW w:w="990" w:type="dxa"/>
            <w:tcBorders>
              <w:right w:val="nil"/>
            </w:tcBorders>
            <w:vAlign w:val="top"/>
          </w:tcPr>
          <w:p w14:paraId="26F8796D">
            <w:pPr>
              <w:spacing w:before="93" w:line="195" w:lineRule="auto"/>
              <w:ind w:left="31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.01</w:t>
            </w:r>
          </w:p>
        </w:tc>
      </w:tr>
      <w:tr w14:paraId="0B93E6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10" w:type="dxa"/>
            <w:tcBorders>
              <w:left w:val="nil"/>
            </w:tcBorders>
            <w:vAlign w:val="top"/>
          </w:tcPr>
          <w:p w14:paraId="21E7B4A2">
            <w:pPr>
              <w:spacing w:before="106" w:line="195" w:lineRule="auto"/>
              <w:ind w:left="47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8</w:t>
            </w:r>
          </w:p>
        </w:tc>
        <w:tc>
          <w:tcPr>
            <w:tcW w:w="1164" w:type="dxa"/>
            <w:vAlign w:val="top"/>
          </w:tcPr>
          <w:p w14:paraId="213847B3">
            <w:pPr>
              <w:spacing w:before="90" w:line="195" w:lineRule="auto"/>
              <w:ind w:left="39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1600</w:t>
            </w:r>
          </w:p>
        </w:tc>
        <w:tc>
          <w:tcPr>
            <w:tcW w:w="1233" w:type="dxa"/>
            <w:vAlign w:val="top"/>
          </w:tcPr>
          <w:p w14:paraId="2D7AD654">
            <w:pPr>
              <w:spacing w:before="90"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00865</w:t>
            </w:r>
          </w:p>
        </w:tc>
        <w:tc>
          <w:tcPr>
            <w:tcW w:w="793" w:type="dxa"/>
            <w:vAlign w:val="top"/>
          </w:tcPr>
          <w:p w14:paraId="77D1359A">
            <w:pPr>
              <w:spacing w:before="90" w:line="198" w:lineRule="auto"/>
              <w:ind w:left="23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73</w:t>
            </w:r>
          </w:p>
        </w:tc>
        <w:tc>
          <w:tcPr>
            <w:tcW w:w="1232" w:type="dxa"/>
            <w:vAlign w:val="top"/>
          </w:tcPr>
          <w:p w14:paraId="2A2D3C31">
            <w:pPr>
              <w:spacing w:before="90" w:line="195" w:lineRule="auto"/>
              <w:ind w:left="22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0.00521</w:t>
            </w:r>
            <w:r>
              <w:rPr>
                <w:rFonts w:ascii="Times New Roman" w:hAnsi="Times New Roman" w:eastAsia="Times New Roman" w:cs="Times New Roman"/>
                <w:spacing w:val="2"/>
                <w:sz w:val="20"/>
                <w:szCs w:val="20"/>
              </w:rPr>
              <w:t>7</w:t>
            </w:r>
          </w:p>
        </w:tc>
        <w:tc>
          <w:tcPr>
            <w:tcW w:w="794" w:type="dxa"/>
            <w:vAlign w:val="top"/>
          </w:tcPr>
          <w:p w14:paraId="6C205091">
            <w:pPr>
              <w:spacing w:before="90" w:line="198" w:lineRule="auto"/>
              <w:ind w:left="21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.61</w:t>
            </w:r>
          </w:p>
        </w:tc>
        <w:tc>
          <w:tcPr>
            <w:tcW w:w="1126" w:type="dxa"/>
            <w:vAlign w:val="top"/>
          </w:tcPr>
          <w:p w14:paraId="7B1B71C8">
            <w:pPr>
              <w:spacing w:before="74" w:line="214" w:lineRule="auto"/>
              <w:ind w:left="110"/>
              <w:rPr>
                <w:rFonts w:ascii="Times New Roman" w:hAnsi="Times New Roman" w:eastAsia="Times New Roman" w:cs="Times New Roman"/>
                <w:sz w:val="13"/>
                <w:szCs w:val="13"/>
              </w:rPr>
            </w:pPr>
            <w:r>
              <w:rPr>
                <w:rFonts w:ascii="Times New Roman" w:hAnsi="Times New Roman" w:eastAsia="Times New Roman" w:cs="Times New Roman"/>
                <w:spacing w:val="-2"/>
                <w:sz w:val="20"/>
                <w:szCs w:val="20"/>
              </w:rPr>
              <w:t>4. 119×1</w:t>
            </w:r>
            <w:r>
              <w:rPr>
                <w:rFonts w:ascii="Times New Roman" w:hAnsi="Times New Roman" w:eastAsia="Times New Roman" w:cs="Times New Roman"/>
                <w:spacing w:val="-1"/>
                <w:sz w:val="20"/>
                <w:szCs w:val="20"/>
              </w:rPr>
              <w:t>0</w:t>
            </w:r>
            <w:r>
              <w:rPr>
                <w:rFonts w:ascii="Times New Roman" w:hAnsi="Times New Roman" w:eastAsia="Times New Roman" w:cs="Times New Roman"/>
                <w:spacing w:val="-1"/>
                <w:position w:val="6"/>
                <w:sz w:val="13"/>
                <w:szCs w:val="13"/>
              </w:rPr>
              <w:t>-5</w:t>
            </w:r>
          </w:p>
        </w:tc>
        <w:tc>
          <w:tcPr>
            <w:tcW w:w="990" w:type="dxa"/>
            <w:tcBorders>
              <w:right w:val="nil"/>
            </w:tcBorders>
            <w:vAlign w:val="top"/>
          </w:tcPr>
          <w:p w14:paraId="46EEDCF3">
            <w:pPr>
              <w:spacing w:before="92" w:line="195" w:lineRule="auto"/>
              <w:ind w:left="31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.01</w:t>
            </w:r>
          </w:p>
        </w:tc>
      </w:tr>
      <w:tr w14:paraId="2A8224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10" w:type="dxa"/>
            <w:tcBorders>
              <w:left w:val="nil"/>
            </w:tcBorders>
            <w:vAlign w:val="top"/>
          </w:tcPr>
          <w:p w14:paraId="6D68CBE6">
            <w:pPr>
              <w:spacing w:before="106" w:line="195" w:lineRule="auto"/>
              <w:ind w:left="47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9</w:t>
            </w:r>
          </w:p>
        </w:tc>
        <w:tc>
          <w:tcPr>
            <w:tcW w:w="1164" w:type="dxa"/>
            <w:vAlign w:val="top"/>
          </w:tcPr>
          <w:p w14:paraId="1146BACE">
            <w:pPr>
              <w:spacing w:before="92" w:line="195" w:lineRule="auto"/>
              <w:ind w:left="39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1700</w:t>
            </w:r>
          </w:p>
        </w:tc>
        <w:tc>
          <w:tcPr>
            <w:tcW w:w="1233" w:type="dxa"/>
            <w:vAlign w:val="top"/>
          </w:tcPr>
          <w:p w14:paraId="195B8BD5">
            <w:pPr>
              <w:spacing w:before="92" w:line="195" w:lineRule="auto"/>
              <w:ind w:left="22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0.00804</w:t>
            </w:r>
            <w:r>
              <w:rPr>
                <w:rFonts w:ascii="Times New Roman" w:hAnsi="Times New Roman" w:eastAsia="Times New Roman" w:cs="Times New Roman"/>
                <w:spacing w:val="2"/>
                <w:sz w:val="20"/>
                <w:szCs w:val="20"/>
              </w:rPr>
              <w:t>4</w:t>
            </w:r>
          </w:p>
        </w:tc>
        <w:tc>
          <w:tcPr>
            <w:tcW w:w="793" w:type="dxa"/>
            <w:vAlign w:val="top"/>
          </w:tcPr>
          <w:p w14:paraId="4948A46C">
            <w:pPr>
              <w:spacing w:before="92" w:line="198" w:lineRule="auto"/>
              <w:ind w:left="23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61</w:t>
            </w:r>
          </w:p>
        </w:tc>
        <w:tc>
          <w:tcPr>
            <w:tcW w:w="1232" w:type="dxa"/>
            <w:vAlign w:val="top"/>
          </w:tcPr>
          <w:p w14:paraId="625DECBE">
            <w:pPr>
              <w:spacing w:before="92" w:line="195" w:lineRule="auto"/>
              <w:ind w:left="22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0.00485</w:t>
            </w:r>
            <w:r>
              <w:rPr>
                <w:rFonts w:ascii="Times New Roman" w:hAnsi="Times New Roman" w:eastAsia="Times New Roman" w:cs="Times New Roman"/>
                <w:spacing w:val="2"/>
                <w:sz w:val="20"/>
                <w:szCs w:val="20"/>
              </w:rPr>
              <w:t>2</w:t>
            </w:r>
          </w:p>
        </w:tc>
        <w:tc>
          <w:tcPr>
            <w:tcW w:w="794" w:type="dxa"/>
            <w:vAlign w:val="top"/>
          </w:tcPr>
          <w:p w14:paraId="08FDEF3D">
            <w:pPr>
              <w:spacing w:before="92" w:line="198" w:lineRule="auto"/>
              <w:ind w:left="21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.43</w:t>
            </w:r>
          </w:p>
        </w:tc>
        <w:tc>
          <w:tcPr>
            <w:tcW w:w="1126" w:type="dxa"/>
            <w:vAlign w:val="top"/>
          </w:tcPr>
          <w:p w14:paraId="478E751A">
            <w:pPr>
              <w:spacing w:before="74" w:line="214" w:lineRule="auto"/>
              <w:ind w:left="165"/>
              <w:rPr>
                <w:rFonts w:ascii="Times New Roman" w:hAnsi="Times New Roman" w:eastAsia="Times New Roman" w:cs="Times New Roman"/>
                <w:sz w:val="13"/>
                <w:szCs w:val="13"/>
              </w:rPr>
            </w:pPr>
            <w:r>
              <w:rPr>
                <w:rFonts w:ascii="Times New Roman" w:hAnsi="Times New Roman" w:eastAsia="Times New Roman" w:cs="Times New Roman"/>
                <w:spacing w:val="3"/>
                <w:sz w:val="20"/>
                <w:szCs w:val="20"/>
              </w:rPr>
              <w:t>3.83×10</w:t>
            </w:r>
            <w:r>
              <w:rPr>
                <w:rFonts w:ascii="Times New Roman" w:hAnsi="Times New Roman" w:eastAsia="Times New Roman" w:cs="Times New Roman"/>
                <w:spacing w:val="3"/>
                <w:position w:val="6"/>
                <w:sz w:val="13"/>
                <w:szCs w:val="13"/>
              </w:rPr>
              <w:t>-</w:t>
            </w:r>
            <w:r>
              <w:rPr>
                <w:rFonts w:ascii="Times New Roman" w:hAnsi="Times New Roman" w:eastAsia="Times New Roman" w:cs="Times New Roman"/>
                <w:spacing w:val="1"/>
                <w:position w:val="6"/>
                <w:sz w:val="13"/>
                <w:szCs w:val="13"/>
              </w:rPr>
              <w:t>5</w:t>
            </w:r>
          </w:p>
        </w:tc>
        <w:tc>
          <w:tcPr>
            <w:tcW w:w="990" w:type="dxa"/>
            <w:tcBorders>
              <w:right w:val="nil"/>
            </w:tcBorders>
            <w:vAlign w:val="top"/>
          </w:tcPr>
          <w:p w14:paraId="267B577C">
            <w:pPr>
              <w:spacing w:before="92" w:line="195" w:lineRule="auto"/>
              <w:ind w:left="31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.01</w:t>
            </w:r>
          </w:p>
        </w:tc>
      </w:tr>
      <w:tr w14:paraId="53344F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10" w:type="dxa"/>
            <w:tcBorders>
              <w:left w:val="nil"/>
            </w:tcBorders>
            <w:vAlign w:val="top"/>
          </w:tcPr>
          <w:p w14:paraId="59712E36">
            <w:pPr>
              <w:spacing w:before="106" w:line="195" w:lineRule="auto"/>
              <w:ind w:left="4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0</w:t>
            </w:r>
          </w:p>
        </w:tc>
        <w:tc>
          <w:tcPr>
            <w:tcW w:w="1164" w:type="dxa"/>
            <w:vAlign w:val="top"/>
          </w:tcPr>
          <w:p w14:paraId="0AA1FDB3">
            <w:pPr>
              <w:spacing w:before="91" w:line="195" w:lineRule="auto"/>
              <w:ind w:left="39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1800</w:t>
            </w:r>
          </w:p>
        </w:tc>
        <w:tc>
          <w:tcPr>
            <w:tcW w:w="1233" w:type="dxa"/>
            <w:vAlign w:val="top"/>
          </w:tcPr>
          <w:p w14:paraId="6CF572F3">
            <w:pPr>
              <w:spacing w:before="92" w:line="195" w:lineRule="auto"/>
              <w:ind w:left="22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0.00806</w:t>
            </w:r>
            <w:r>
              <w:rPr>
                <w:rFonts w:ascii="Times New Roman" w:hAnsi="Times New Roman" w:eastAsia="Times New Roman" w:cs="Times New Roman"/>
                <w:spacing w:val="2"/>
                <w:sz w:val="20"/>
                <w:szCs w:val="20"/>
              </w:rPr>
              <w:t>7</w:t>
            </w:r>
          </w:p>
        </w:tc>
        <w:tc>
          <w:tcPr>
            <w:tcW w:w="793" w:type="dxa"/>
            <w:vAlign w:val="top"/>
          </w:tcPr>
          <w:p w14:paraId="72C7A46E">
            <w:pPr>
              <w:spacing w:before="91" w:line="198" w:lineRule="auto"/>
              <w:ind w:left="23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61</w:t>
            </w:r>
          </w:p>
        </w:tc>
        <w:tc>
          <w:tcPr>
            <w:tcW w:w="1232" w:type="dxa"/>
            <w:vAlign w:val="top"/>
          </w:tcPr>
          <w:p w14:paraId="4700A7D1">
            <w:pPr>
              <w:spacing w:before="92" w:line="195" w:lineRule="auto"/>
              <w:ind w:left="22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0.00486</w:t>
            </w:r>
            <w:r>
              <w:rPr>
                <w:rFonts w:ascii="Times New Roman" w:hAnsi="Times New Roman" w:eastAsia="Times New Roman" w:cs="Times New Roman"/>
                <w:spacing w:val="2"/>
                <w:sz w:val="20"/>
                <w:szCs w:val="20"/>
              </w:rPr>
              <w:t>6</w:t>
            </w:r>
          </w:p>
        </w:tc>
        <w:tc>
          <w:tcPr>
            <w:tcW w:w="794" w:type="dxa"/>
            <w:vAlign w:val="top"/>
          </w:tcPr>
          <w:p w14:paraId="6AC81FBE">
            <w:pPr>
              <w:spacing w:before="91" w:line="198" w:lineRule="auto"/>
              <w:ind w:left="21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.43</w:t>
            </w:r>
          </w:p>
        </w:tc>
        <w:tc>
          <w:tcPr>
            <w:tcW w:w="1126" w:type="dxa"/>
            <w:vAlign w:val="top"/>
          </w:tcPr>
          <w:p w14:paraId="462B710B">
            <w:pPr>
              <w:spacing w:before="73" w:line="214" w:lineRule="auto"/>
              <w:ind w:left="112"/>
              <w:rPr>
                <w:rFonts w:ascii="Times New Roman" w:hAnsi="Times New Roman" w:eastAsia="Times New Roman" w:cs="Times New Roman"/>
                <w:sz w:val="13"/>
                <w:szCs w:val="13"/>
              </w:rPr>
            </w:pPr>
            <w:r>
              <w:rPr>
                <w:rFonts w:ascii="Times New Roman" w:hAnsi="Times New Roman" w:eastAsia="Times New Roman" w:cs="Times New Roman"/>
                <w:spacing w:val="4"/>
                <w:sz w:val="20"/>
                <w:szCs w:val="20"/>
              </w:rPr>
              <w:t>3</w:t>
            </w:r>
            <w:r>
              <w:rPr>
                <w:rFonts w:ascii="Times New Roman" w:hAnsi="Times New Roman" w:eastAsia="Times New Roman" w:cs="Times New Roman"/>
                <w:spacing w:val="3"/>
                <w:sz w:val="20"/>
                <w:szCs w:val="20"/>
              </w:rPr>
              <w:t>.842×10</w:t>
            </w:r>
            <w:r>
              <w:rPr>
                <w:rFonts w:ascii="Times New Roman" w:hAnsi="Times New Roman" w:eastAsia="Times New Roman" w:cs="Times New Roman"/>
                <w:spacing w:val="3"/>
                <w:position w:val="6"/>
                <w:sz w:val="13"/>
                <w:szCs w:val="13"/>
              </w:rPr>
              <w:t>-5</w:t>
            </w:r>
          </w:p>
        </w:tc>
        <w:tc>
          <w:tcPr>
            <w:tcW w:w="990" w:type="dxa"/>
            <w:tcBorders>
              <w:right w:val="nil"/>
            </w:tcBorders>
            <w:vAlign w:val="top"/>
          </w:tcPr>
          <w:p w14:paraId="08FD872D">
            <w:pPr>
              <w:spacing w:before="92" w:line="195" w:lineRule="auto"/>
              <w:ind w:left="31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.01</w:t>
            </w:r>
          </w:p>
        </w:tc>
      </w:tr>
      <w:tr w14:paraId="7BCB85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10" w:type="dxa"/>
            <w:tcBorders>
              <w:left w:val="nil"/>
            </w:tcBorders>
            <w:vAlign w:val="top"/>
          </w:tcPr>
          <w:p w14:paraId="1229D546">
            <w:pPr>
              <w:spacing w:before="106" w:line="195" w:lineRule="auto"/>
              <w:ind w:left="4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1</w:t>
            </w:r>
          </w:p>
        </w:tc>
        <w:tc>
          <w:tcPr>
            <w:tcW w:w="1164" w:type="dxa"/>
            <w:vAlign w:val="top"/>
          </w:tcPr>
          <w:p w14:paraId="67163409">
            <w:pPr>
              <w:spacing w:before="92" w:line="195" w:lineRule="auto"/>
              <w:ind w:left="39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1900</w:t>
            </w:r>
          </w:p>
        </w:tc>
        <w:tc>
          <w:tcPr>
            <w:tcW w:w="1233" w:type="dxa"/>
            <w:vAlign w:val="top"/>
          </w:tcPr>
          <w:p w14:paraId="74879361">
            <w:pPr>
              <w:spacing w:before="92" w:line="195" w:lineRule="auto"/>
              <w:ind w:left="22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0.00815</w:t>
            </w:r>
            <w:r>
              <w:rPr>
                <w:rFonts w:ascii="Times New Roman" w:hAnsi="Times New Roman" w:eastAsia="Times New Roman" w:cs="Times New Roman"/>
                <w:spacing w:val="2"/>
                <w:sz w:val="20"/>
                <w:szCs w:val="20"/>
              </w:rPr>
              <w:t>9</w:t>
            </w:r>
          </w:p>
        </w:tc>
        <w:tc>
          <w:tcPr>
            <w:tcW w:w="793" w:type="dxa"/>
            <w:vAlign w:val="top"/>
          </w:tcPr>
          <w:p w14:paraId="008A9E3B">
            <w:pPr>
              <w:spacing w:before="92" w:line="198" w:lineRule="auto"/>
              <w:ind w:left="23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63</w:t>
            </w:r>
          </w:p>
        </w:tc>
        <w:tc>
          <w:tcPr>
            <w:tcW w:w="1232" w:type="dxa"/>
            <w:vAlign w:val="top"/>
          </w:tcPr>
          <w:p w14:paraId="30154AA5">
            <w:pPr>
              <w:spacing w:before="92" w:line="195" w:lineRule="auto"/>
              <w:ind w:left="22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0.00492</w:t>
            </w:r>
            <w:r>
              <w:rPr>
                <w:rFonts w:ascii="Times New Roman" w:hAnsi="Times New Roman" w:eastAsia="Times New Roman" w:cs="Times New Roman"/>
                <w:spacing w:val="2"/>
                <w:sz w:val="20"/>
                <w:szCs w:val="20"/>
              </w:rPr>
              <w:t>1</w:t>
            </w:r>
          </w:p>
        </w:tc>
        <w:tc>
          <w:tcPr>
            <w:tcW w:w="794" w:type="dxa"/>
            <w:vAlign w:val="top"/>
          </w:tcPr>
          <w:p w14:paraId="2398FDB9">
            <w:pPr>
              <w:spacing w:before="92" w:line="198" w:lineRule="auto"/>
              <w:ind w:left="21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.46</w:t>
            </w:r>
          </w:p>
        </w:tc>
        <w:tc>
          <w:tcPr>
            <w:tcW w:w="1126" w:type="dxa"/>
            <w:vAlign w:val="top"/>
          </w:tcPr>
          <w:p w14:paraId="42D8AB38">
            <w:pPr>
              <w:spacing w:before="76" w:line="212" w:lineRule="auto"/>
              <w:ind w:left="112"/>
              <w:rPr>
                <w:rFonts w:ascii="Times New Roman" w:hAnsi="Times New Roman" w:eastAsia="Times New Roman" w:cs="Times New Roman"/>
                <w:sz w:val="13"/>
                <w:szCs w:val="13"/>
              </w:rPr>
            </w:pPr>
            <w:r>
              <w:rPr>
                <w:rFonts w:ascii="Times New Roman" w:hAnsi="Times New Roman" w:eastAsia="Times New Roman" w:cs="Times New Roman"/>
                <w:spacing w:val="4"/>
                <w:sz w:val="20"/>
                <w:szCs w:val="20"/>
              </w:rPr>
              <w:t>3</w:t>
            </w:r>
            <w:r>
              <w:rPr>
                <w:rFonts w:ascii="Times New Roman" w:hAnsi="Times New Roman" w:eastAsia="Times New Roman" w:cs="Times New Roman"/>
                <w:spacing w:val="3"/>
                <w:sz w:val="20"/>
                <w:szCs w:val="20"/>
              </w:rPr>
              <w:t>.885×10</w:t>
            </w:r>
            <w:r>
              <w:rPr>
                <w:rFonts w:ascii="Times New Roman" w:hAnsi="Times New Roman" w:eastAsia="Times New Roman" w:cs="Times New Roman"/>
                <w:spacing w:val="3"/>
                <w:position w:val="6"/>
                <w:sz w:val="13"/>
                <w:szCs w:val="13"/>
              </w:rPr>
              <w:t>-5</w:t>
            </w:r>
          </w:p>
        </w:tc>
        <w:tc>
          <w:tcPr>
            <w:tcW w:w="990" w:type="dxa"/>
            <w:tcBorders>
              <w:right w:val="nil"/>
            </w:tcBorders>
            <w:vAlign w:val="top"/>
          </w:tcPr>
          <w:p w14:paraId="239DD535">
            <w:pPr>
              <w:spacing w:before="92" w:line="195" w:lineRule="auto"/>
              <w:ind w:left="31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.01</w:t>
            </w:r>
          </w:p>
        </w:tc>
      </w:tr>
      <w:tr w14:paraId="13BDE4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10" w:type="dxa"/>
            <w:tcBorders>
              <w:left w:val="nil"/>
            </w:tcBorders>
            <w:vAlign w:val="top"/>
          </w:tcPr>
          <w:p w14:paraId="70BACB06">
            <w:pPr>
              <w:spacing w:before="106" w:line="195" w:lineRule="auto"/>
              <w:ind w:left="4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2</w:t>
            </w:r>
          </w:p>
        </w:tc>
        <w:tc>
          <w:tcPr>
            <w:tcW w:w="1164" w:type="dxa"/>
            <w:vAlign w:val="top"/>
          </w:tcPr>
          <w:p w14:paraId="13461617">
            <w:pPr>
              <w:spacing w:before="91" w:line="195" w:lineRule="auto"/>
              <w:ind w:left="37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2000</w:t>
            </w:r>
          </w:p>
        </w:tc>
        <w:tc>
          <w:tcPr>
            <w:tcW w:w="1233" w:type="dxa"/>
            <w:vAlign w:val="top"/>
          </w:tcPr>
          <w:p w14:paraId="684559B3">
            <w:pPr>
              <w:spacing w:before="92" w:line="195" w:lineRule="auto"/>
              <w:ind w:left="22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0.00820</w:t>
            </w:r>
            <w:r>
              <w:rPr>
                <w:rFonts w:ascii="Times New Roman" w:hAnsi="Times New Roman" w:eastAsia="Times New Roman" w:cs="Times New Roman"/>
                <w:spacing w:val="2"/>
                <w:sz w:val="20"/>
                <w:szCs w:val="20"/>
              </w:rPr>
              <w:t>7</w:t>
            </w:r>
          </w:p>
        </w:tc>
        <w:tc>
          <w:tcPr>
            <w:tcW w:w="793" w:type="dxa"/>
            <w:vAlign w:val="top"/>
          </w:tcPr>
          <w:p w14:paraId="6C1F06E2">
            <w:pPr>
              <w:spacing w:before="91" w:line="198" w:lineRule="auto"/>
              <w:ind w:left="23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64</w:t>
            </w:r>
          </w:p>
        </w:tc>
        <w:tc>
          <w:tcPr>
            <w:tcW w:w="1232" w:type="dxa"/>
            <w:vAlign w:val="top"/>
          </w:tcPr>
          <w:p w14:paraId="3C5DADA1">
            <w:pPr>
              <w:spacing w:before="92"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00495</w:t>
            </w:r>
          </w:p>
        </w:tc>
        <w:tc>
          <w:tcPr>
            <w:tcW w:w="794" w:type="dxa"/>
            <w:vAlign w:val="top"/>
          </w:tcPr>
          <w:p w14:paraId="39A0651A">
            <w:pPr>
              <w:spacing w:before="91" w:line="198" w:lineRule="auto"/>
              <w:ind w:left="21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.47</w:t>
            </w:r>
          </w:p>
        </w:tc>
        <w:tc>
          <w:tcPr>
            <w:tcW w:w="1126" w:type="dxa"/>
            <w:vAlign w:val="top"/>
          </w:tcPr>
          <w:p w14:paraId="7DE74EDA">
            <w:pPr>
              <w:spacing w:before="76" w:line="214" w:lineRule="auto"/>
              <w:ind w:left="112"/>
              <w:rPr>
                <w:rFonts w:ascii="Times New Roman" w:hAnsi="Times New Roman" w:eastAsia="Times New Roman" w:cs="Times New Roman"/>
                <w:sz w:val="13"/>
                <w:szCs w:val="13"/>
              </w:rPr>
            </w:pPr>
            <w:r>
              <w:rPr>
                <w:rFonts w:ascii="Times New Roman" w:hAnsi="Times New Roman" w:eastAsia="Times New Roman" w:cs="Times New Roman"/>
                <w:spacing w:val="4"/>
                <w:sz w:val="20"/>
                <w:szCs w:val="20"/>
              </w:rPr>
              <w:t>3</w:t>
            </w:r>
            <w:r>
              <w:rPr>
                <w:rFonts w:ascii="Times New Roman" w:hAnsi="Times New Roman" w:eastAsia="Times New Roman" w:cs="Times New Roman"/>
                <w:spacing w:val="3"/>
                <w:sz w:val="20"/>
                <w:szCs w:val="20"/>
              </w:rPr>
              <w:t>.908×10</w:t>
            </w:r>
            <w:r>
              <w:rPr>
                <w:rFonts w:ascii="Times New Roman" w:hAnsi="Times New Roman" w:eastAsia="Times New Roman" w:cs="Times New Roman"/>
                <w:spacing w:val="3"/>
                <w:position w:val="6"/>
                <w:sz w:val="13"/>
                <w:szCs w:val="13"/>
              </w:rPr>
              <w:t>-5</w:t>
            </w:r>
          </w:p>
        </w:tc>
        <w:tc>
          <w:tcPr>
            <w:tcW w:w="990" w:type="dxa"/>
            <w:tcBorders>
              <w:right w:val="nil"/>
            </w:tcBorders>
            <w:vAlign w:val="top"/>
          </w:tcPr>
          <w:p w14:paraId="144235FD">
            <w:pPr>
              <w:spacing w:before="94" w:line="195" w:lineRule="auto"/>
              <w:ind w:left="31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.01</w:t>
            </w:r>
          </w:p>
        </w:tc>
      </w:tr>
      <w:tr w14:paraId="582F4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274" w:type="dxa"/>
            <w:gridSpan w:val="2"/>
            <w:tcBorders>
              <w:left w:val="nil"/>
            </w:tcBorders>
            <w:vAlign w:val="top"/>
          </w:tcPr>
          <w:p w14:paraId="1E0AEED9">
            <w:pPr>
              <w:spacing w:before="72" w:line="226" w:lineRule="auto"/>
              <w:ind w:left="101"/>
              <w:rPr>
                <w:rFonts w:ascii="宋体" w:hAnsi="宋体" w:eastAsia="宋体" w:cs="宋体"/>
                <w:sz w:val="20"/>
                <w:szCs w:val="20"/>
              </w:rPr>
            </w:pPr>
            <w:r>
              <w:rPr>
                <w:rFonts w:ascii="宋体" w:hAnsi="宋体" w:eastAsia="宋体" w:cs="宋体"/>
                <w:spacing w:val="11"/>
                <w:sz w:val="20"/>
                <w:szCs w:val="20"/>
              </w:rPr>
              <w:t>下</w:t>
            </w:r>
            <w:r>
              <w:rPr>
                <w:rFonts w:ascii="宋体" w:hAnsi="宋体" w:eastAsia="宋体" w:cs="宋体"/>
                <w:spacing w:val="8"/>
                <w:sz w:val="20"/>
                <w:szCs w:val="20"/>
              </w:rPr>
              <w:t>风向最大落地点浓度</w:t>
            </w:r>
          </w:p>
        </w:tc>
        <w:tc>
          <w:tcPr>
            <w:tcW w:w="1233" w:type="dxa"/>
            <w:vAlign w:val="top"/>
          </w:tcPr>
          <w:p w14:paraId="6A1BA597">
            <w:pPr>
              <w:spacing w:before="91"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02157</w:t>
            </w:r>
          </w:p>
        </w:tc>
        <w:tc>
          <w:tcPr>
            <w:tcW w:w="793" w:type="dxa"/>
            <w:vAlign w:val="top"/>
          </w:tcPr>
          <w:p w14:paraId="00C3854E">
            <w:pPr>
              <w:spacing w:before="91" w:line="198" w:lineRule="auto"/>
              <w:ind w:left="21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4</w:t>
            </w:r>
            <w:r>
              <w:rPr>
                <w:rFonts w:ascii="Times New Roman" w:hAnsi="Times New Roman" w:eastAsia="Times New Roman" w:cs="Times New Roman"/>
                <w:spacing w:val="3"/>
                <w:sz w:val="20"/>
                <w:szCs w:val="20"/>
              </w:rPr>
              <w:t>.31</w:t>
            </w:r>
          </w:p>
        </w:tc>
        <w:tc>
          <w:tcPr>
            <w:tcW w:w="1232" w:type="dxa"/>
            <w:vAlign w:val="top"/>
          </w:tcPr>
          <w:p w14:paraId="727DCF9B">
            <w:pPr>
              <w:spacing w:before="91"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01301</w:t>
            </w:r>
          </w:p>
        </w:tc>
        <w:tc>
          <w:tcPr>
            <w:tcW w:w="794" w:type="dxa"/>
            <w:vAlign w:val="top"/>
          </w:tcPr>
          <w:p w14:paraId="58702153">
            <w:pPr>
              <w:spacing w:before="91" w:line="195" w:lineRule="auto"/>
              <w:ind w:left="21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w:t>
            </w:r>
            <w:r>
              <w:rPr>
                <w:rFonts w:ascii="Times New Roman" w:hAnsi="Times New Roman" w:eastAsia="Times New Roman" w:cs="Times New Roman"/>
                <w:spacing w:val="2"/>
                <w:sz w:val="20"/>
                <w:szCs w:val="20"/>
              </w:rPr>
              <w:t>.50</w:t>
            </w:r>
          </w:p>
        </w:tc>
        <w:tc>
          <w:tcPr>
            <w:tcW w:w="1126" w:type="dxa"/>
            <w:vAlign w:val="top"/>
          </w:tcPr>
          <w:p w14:paraId="0A247388">
            <w:pPr>
              <w:spacing w:before="94" w:line="195" w:lineRule="auto"/>
              <w:ind w:left="12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0.0001027</w:t>
            </w:r>
          </w:p>
        </w:tc>
        <w:tc>
          <w:tcPr>
            <w:tcW w:w="990" w:type="dxa"/>
            <w:tcBorders>
              <w:right w:val="nil"/>
            </w:tcBorders>
            <w:vAlign w:val="top"/>
          </w:tcPr>
          <w:p w14:paraId="2AB9D8C7">
            <w:pPr>
              <w:spacing w:before="94" w:line="195" w:lineRule="auto"/>
              <w:ind w:left="31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.02</w:t>
            </w:r>
          </w:p>
        </w:tc>
      </w:tr>
      <w:tr w14:paraId="359BD7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274" w:type="dxa"/>
            <w:gridSpan w:val="2"/>
            <w:tcBorders>
              <w:left w:val="nil"/>
            </w:tcBorders>
            <w:vAlign w:val="top"/>
          </w:tcPr>
          <w:p w14:paraId="0D91A3C2">
            <w:pPr>
              <w:spacing w:before="27" w:line="281" w:lineRule="exact"/>
              <w:ind w:left="114"/>
              <w:rPr>
                <w:rFonts w:ascii="Times New Roman" w:hAnsi="Times New Roman" w:eastAsia="Times New Roman" w:cs="Times New Roman"/>
                <w:sz w:val="20"/>
                <w:szCs w:val="20"/>
              </w:rPr>
            </w:pPr>
            <w:r>
              <w:rPr>
                <w:rFonts w:ascii="宋体" w:hAnsi="宋体" w:eastAsia="宋体" w:cs="宋体"/>
                <w:spacing w:val="-2"/>
                <w:position w:val="2"/>
                <w:sz w:val="20"/>
                <w:szCs w:val="20"/>
              </w:rPr>
              <w:t>最大落地点浓度距离</w:t>
            </w:r>
            <w:r>
              <w:rPr>
                <w:rFonts w:ascii="Times New Roman" w:hAnsi="Times New Roman" w:eastAsia="Times New Roman" w:cs="Times New Roman"/>
                <w:spacing w:val="-2"/>
                <w:position w:val="2"/>
                <w:sz w:val="20"/>
                <w:szCs w:val="20"/>
              </w:rPr>
              <w:t>(</w:t>
            </w:r>
            <w:r>
              <w:rPr>
                <w:rFonts w:ascii="Times New Roman" w:hAnsi="Times New Roman" w:eastAsia="Times New Roman" w:cs="Times New Roman"/>
                <w:spacing w:val="-1"/>
                <w:position w:val="2"/>
                <w:sz w:val="20"/>
                <w:szCs w:val="20"/>
              </w:rPr>
              <w:t>m</w:t>
            </w:r>
            <w:r>
              <w:rPr>
                <w:rFonts w:ascii="Times New Roman" w:hAnsi="Times New Roman" w:eastAsia="Times New Roman" w:cs="Times New Roman"/>
                <w:spacing w:val="-2"/>
                <w:position w:val="2"/>
                <w:sz w:val="20"/>
                <w:szCs w:val="20"/>
              </w:rPr>
              <w:t>)</w:t>
            </w:r>
          </w:p>
        </w:tc>
        <w:tc>
          <w:tcPr>
            <w:tcW w:w="6168" w:type="dxa"/>
            <w:gridSpan w:val="6"/>
            <w:tcBorders>
              <w:right w:val="nil"/>
            </w:tcBorders>
            <w:vAlign w:val="top"/>
          </w:tcPr>
          <w:p w14:paraId="1C6B6DF2">
            <w:pPr>
              <w:spacing w:before="86" w:line="195" w:lineRule="auto"/>
              <w:ind w:left="2878"/>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3</w:t>
            </w:r>
            <w:r>
              <w:rPr>
                <w:rFonts w:ascii="Times New Roman" w:hAnsi="Times New Roman" w:eastAsia="Times New Roman" w:cs="Times New Roman"/>
                <w:spacing w:val="4"/>
                <w:sz w:val="20"/>
                <w:szCs w:val="20"/>
              </w:rPr>
              <w:t>38</w:t>
            </w:r>
          </w:p>
        </w:tc>
      </w:tr>
    </w:tbl>
    <w:p w14:paraId="3AF8438B">
      <w:pPr>
        <w:spacing w:line="261" w:lineRule="auto"/>
        <w:rPr>
          <w:rFonts w:ascii="Arial"/>
          <w:sz w:val="21"/>
        </w:rPr>
      </w:pPr>
    </w:p>
    <w:p w14:paraId="6D115992">
      <w:pPr>
        <w:spacing w:before="75" w:line="226" w:lineRule="auto"/>
        <w:ind w:left="1984"/>
        <w:rPr>
          <w:rFonts w:ascii="宋体" w:hAnsi="宋体" w:eastAsia="宋体" w:cs="宋体"/>
          <w:sz w:val="23"/>
          <w:szCs w:val="23"/>
        </w:rPr>
      </w:pPr>
      <w:r>
        <w:rPr>
          <w:rFonts w:ascii="宋体" w:hAnsi="宋体" w:eastAsia="宋体" w:cs="宋体"/>
          <w:spacing w:val="8"/>
          <w:sz w:val="23"/>
          <w:szCs w:val="23"/>
          <w14:textOutline w14:w="4358" w14:cap="sq" w14:cmpd="sng">
            <w14:solidFill>
              <w14:srgbClr w14:val="000000"/>
            </w14:solidFill>
            <w14:prstDash w14:val="solid"/>
            <w14:bevel/>
          </w14:textOutline>
        </w:rPr>
        <w:t>表</w:t>
      </w:r>
      <w:r>
        <w:rPr>
          <w:rFonts w:ascii="宋体" w:hAnsi="宋体" w:eastAsia="宋体" w:cs="宋体"/>
          <w:spacing w:val="8"/>
          <w:sz w:val="23"/>
          <w:szCs w:val="23"/>
        </w:rPr>
        <w:t xml:space="preserve"> </w:t>
      </w:r>
      <w:r>
        <w:rPr>
          <w:rFonts w:ascii="Times New Roman" w:hAnsi="Times New Roman" w:eastAsia="Times New Roman" w:cs="Times New Roman"/>
          <w:b/>
          <w:bCs/>
          <w:spacing w:val="8"/>
          <w:sz w:val="23"/>
          <w:szCs w:val="23"/>
        </w:rPr>
        <w:t>5</w:t>
      </w:r>
      <w:r>
        <w:rPr>
          <w:rFonts w:ascii="Times New Roman" w:hAnsi="Times New Roman" w:eastAsia="Times New Roman" w:cs="Times New Roman"/>
          <w:b/>
          <w:bCs/>
          <w:spacing w:val="4"/>
          <w:sz w:val="23"/>
          <w:szCs w:val="23"/>
        </w:rPr>
        <w:t>-11</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无组织废气估算模式计算结果表</w:t>
      </w:r>
    </w:p>
    <w:p w14:paraId="64CC1496">
      <w:pPr>
        <w:spacing w:line="18" w:lineRule="exact"/>
      </w:pPr>
    </w:p>
    <w:tbl>
      <w:tblPr>
        <w:tblStyle w:val="4"/>
        <w:tblW w:w="852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43"/>
        <w:gridCol w:w="1191"/>
        <w:gridCol w:w="2025"/>
        <w:gridCol w:w="1080"/>
        <w:gridCol w:w="2040"/>
        <w:gridCol w:w="1041"/>
      </w:tblGrid>
      <w:tr w14:paraId="6953C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1143" w:type="dxa"/>
            <w:vMerge w:val="restart"/>
            <w:tcBorders>
              <w:left w:val="nil"/>
              <w:bottom w:val="nil"/>
            </w:tcBorders>
            <w:vAlign w:val="top"/>
          </w:tcPr>
          <w:p w14:paraId="2DB42A18">
            <w:pPr>
              <w:spacing w:line="314" w:lineRule="auto"/>
              <w:rPr>
                <w:rFonts w:ascii="Arial"/>
                <w:sz w:val="21"/>
              </w:rPr>
            </w:pPr>
          </w:p>
          <w:p w14:paraId="6DE1E5D3">
            <w:pPr>
              <w:spacing w:before="65" w:line="229" w:lineRule="auto"/>
              <w:ind w:left="368"/>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序号</w:t>
            </w:r>
          </w:p>
        </w:tc>
        <w:tc>
          <w:tcPr>
            <w:tcW w:w="1191" w:type="dxa"/>
            <w:vMerge w:val="restart"/>
            <w:tcBorders>
              <w:bottom w:val="nil"/>
            </w:tcBorders>
            <w:vAlign w:val="top"/>
          </w:tcPr>
          <w:p w14:paraId="610925E8">
            <w:pPr>
              <w:spacing w:line="273" w:lineRule="auto"/>
              <w:rPr>
                <w:rFonts w:ascii="Arial"/>
                <w:sz w:val="21"/>
              </w:rPr>
            </w:pPr>
          </w:p>
          <w:p w14:paraId="3882C878">
            <w:pPr>
              <w:spacing w:before="65" w:line="289" w:lineRule="exact"/>
              <w:ind w:left="233"/>
              <w:rPr>
                <w:rFonts w:ascii="Times New Roman" w:hAnsi="Times New Roman" w:eastAsia="Times New Roman" w:cs="Times New Roman"/>
                <w:sz w:val="20"/>
                <w:szCs w:val="20"/>
              </w:rPr>
            </w:pPr>
            <w:r>
              <w:rPr>
                <w:rFonts w:ascii="宋体" w:hAnsi="宋体" w:eastAsia="宋体" w:cs="宋体"/>
                <w:spacing w:val="7"/>
                <w:position w:val="2"/>
                <w:sz w:val="20"/>
                <w:szCs w:val="20"/>
                <w14:textOutline w14:w="3795" w14:cap="sq" w14:cmpd="sng">
                  <w14:solidFill>
                    <w14:srgbClr w14:val="000000"/>
                  </w14:solidFill>
                  <w14:prstDash w14:val="solid"/>
                  <w14:bevel/>
                </w14:textOutline>
              </w:rPr>
              <w:t>距离</w:t>
            </w:r>
            <w:r>
              <w:rPr>
                <w:rFonts w:ascii="Times New Roman" w:hAnsi="Times New Roman" w:eastAsia="Times New Roman" w:cs="Times New Roman"/>
                <w:b/>
                <w:bCs/>
                <w:spacing w:val="7"/>
                <w:position w:val="2"/>
                <w:sz w:val="20"/>
                <w:szCs w:val="20"/>
              </w:rPr>
              <w:t>(</w:t>
            </w:r>
            <w:r>
              <w:rPr>
                <w:rFonts w:ascii="Times New Roman" w:hAnsi="Times New Roman" w:eastAsia="Times New Roman" w:cs="Times New Roman"/>
                <w:b/>
                <w:bCs/>
                <w:position w:val="2"/>
                <w:sz w:val="20"/>
                <w:szCs w:val="20"/>
              </w:rPr>
              <w:t>m</w:t>
            </w:r>
            <w:r>
              <w:rPr>
                <w:rFonts w:ascii="Times New Roman" w:hAnsi="Times New Roman" w:eastAsia="Times New Roman" w:cs="Times New Roman"/>
                <w:b/>
                <w:bCs/>
                <w:spacing w:val="6"/>
                <w:position w:val="2"/>
                <w:sz w:val="20"/>
                <w:szCs w:val="20"/>
              </w:rPr>
              <w:t>)</w:t>
            </w:r>
          </w:p>
        </w:tc>
        <w:tc>
          <w:tcPr>
            <w:tcW w:w="6186" w:type="dxa"/>
            <w:gridSpan w:val="4"/>
            <w:tcBorders>
              <w:right w:val="nil"/>
            </w:tcBorders>
            <w:vAlign w:val="top"/>
          </w:tcPr>
          <w:p w14:paraId="1B78348C">
            <w:pPr>
              <w:spacing w:before="77" w:line="228" w:lineRule="auto"/>
              <w:ind w:left="2575"/>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无</w:t>
            </w:r>
            <w:r>
              <w:rPr>
                <w:rFonts w:ascii="宋体" w:hAnsi="宋体" w:eastAsia="宋体" w:cs="宋体"/>
                <w:spacing w:val="8"/>
                <w:sz w:val="20"/>
                <w:szCs w:val="20"/>
                <w14:textOutline w14:w="3795" w14:cap="sq" w14:cmpd="sng">
                  <w14:solidFill>
                    <w14:srgbClr w14:val="000000"/>
                  </w14:solidFill>
                  <w14:prstDash w14:val="solid"/>
                  <w14:bevel/>
                </w14:textOutline>
              </w:rPr>
              <w:t>组织排放</w:t>
            </w:r>
          </w:p>
        </w:tc>
      </w:tr>
      <w:tr w14:paraId="66266F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43" w:type="dxa"/>
            <w:vMerge w:val="continue"/>
            <w:tcBorders>
              <w:top w:val="nil"/>
              <w:left w:val="nil"/>
              <w:bottom w:val="nil"/>
            </w:tcBorders>
            <w:vAlign w:val="top"/>
          </w:tcPr>
          <w:p w14:paraId="416416FD">
            <w:pPr>
              <w:rPr>
                <w:rFonts w:ascii="Arial"/>
                <w:sz w:val="21"/>
              </w:rPr>
            </w:pPr>
          </w:p>
        </w:tc>
        <w:tc>
          <w:tcPr>
            <w:tcW w:w="1191" w:type="dxa"/>
            <w:vMerge w:val="continue"/>
            <w:tcBorders>
              <w:top w:val="nil"/>
              <w:bottom w:val="nil"/>
            </w:tcBorders>
            <w:vAlign w:val="top"/>
          </w:tcPr>
          <w:p w14:paraId="21053995">
            <w:pPr>
              <w:rPr>
                <w:rFonts w:ascii="Arial"/>
                <w:sz w:val="21"/>
              </w:rPr>
            </w:pPr>
          </w:p>
        </w:tc>
        <w:tc>
          <w:tcPr>
            <w:tcW w:w="3105" w:type="dxa"/>
            <w:gridSpan w:val="2"/>
            <w:vAlign w:val="top"/>
          </w:tcPr>
          <w:p w14:paraId="0A4438CA">
            <w:pPr>
              <w:spacing w:before="88" w:line="195" w:lineRule="auto"/>
              <w:ind w:left="1366"/>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T</w:t>
            </w:r>
            <w:r>
              <w:rPr>
                <w:rFonts w:ascii="Times New Roman" w:hAnsi="Times New Roman" w:eastAsia="Times New Roman" w:cs="Times New Roman"/>
                <w:b/>
                <w:bCs/>
                <w:spacing w:val="2"/>
                <w:sz w:val="20"/>
                <w:szCs w:val="20"/>
              </w:rPr>
              <w:t>SP</w:t>
            </w:r>
          </w:p>
        </w:tc>
        <w:tc>
          <w:tcPr>
            <w:tcW w:w="3081" w:type="dxa"/>
            <w:gridSpan w:val="2"/>
            <w:tcBorders>
              <w:right w:val="nil"/>
            </w:tcBorders>
            <w:vAlign w:val="top"/>
          </w:tcPr>
          <w:p w14:paraId="3CF99271">
            <w:pPr>
              <w:spacing w:before="88" w:line="195" w:lineRule="auto"/>
              <w:ind w:left="1208"/>
              <w:rPr>
                <w:rFonts w:ascii="Times New Roman" w:hAnsi="Times New Roman" w:eastAsia="Times New Roman" w:cs="Times New Roman"/>
                <w:sz w:val="20"/>
                <w:szCs w:val="20"/>
              </w:rPr>
            </w:pPr>
            <w:r>
              <w:rPr>
                <w:rFonts w:ascii="Times New Roman" w:hAnsi="Times New Roman" w:eastAsia="Times New Roman" w:cs="Times New Roman"/>
                <w:b/>
                <w:bCs/>
                <w:spacing w:val="7"/>
                <w:sz w:val="20"/>
                <w:szCs w:val="20"/>
              </w:rPr>
              <w:t>N</w:t>
            </w:r>
            <w:r>
              <w:rPr>
                <w:rFonts w:ascii="Times New Roman" w:hAnsi="Times New Roman" w:eastAsia="Times New Roman" w:cs="Times New Roman"/>
                <w:b/>
                <w:bCs/>
                <w:spacing w:val="6"/>
                <w:sz w:val="20"/>
                <w:szCs w:val="20"/>
              </w:rPr>
              <w:t>MHC</w:t>
            </w:r>
          </w:p>
        </w:tc>
      </w:tr>
      <w:tr w14:paraId="2AE01D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143" w:type="dxa"/>
            <w:vMerge w:val="continue"/>
            <w:tcBorders>
              <w:top w:val="nil"/>
              <w:left w:val="nil"/>
            </w:tcBorders>
            <w:vAlign w:val="top"/>
          </w:tcPr>
          <w:p w14:paraId="0807C0FC">
            <w:pPr>
              <w:rPr>
                <w:rFonts w:ascii="Arial"/>
                <w:sz w:val="21"/>
              </w:rPr>
            </w:pPr>
          </w:p>
        </w:tc>
        <w:tc>
          <w:tcPr>
            <w:tcW w:w="1191" w:type="dxa"/>
            <w:vMerge w:val="continue"/>
            <w:tcBorders>
              <w:top w:val="nil"/>
            </w:tcBorders>
            <w:vAlign w:val="top"/>
          </w:tcPr>
          <w:p w14:paraId="6B84F7E3">
            <w:pPr>
              <w:rPr>
                <w:rFonts w:ascii="Arial"/>
                <w:sz w:val="21"/>
              </w:rPr>
            </w:pPr>
          </w:p>
        </w:tc>
        <w:tc>
          <w:tcPr>
            <w:tcW w:w="2025" w:type="dxa"/>
            <w:vAlign w:val="top"/>
          </w:tcPr>
          <w:p w14:paraId="4DA430D2">
            <w:pPr>
              <w:spacing w:before="3" w:line="282" w:lineRule="exact"/>
              <w:ind w:left="45"/>
              <w:rPr>
                <w:rFonts w:ascii="Times New Roman" w:hAnsi="Times New Roman" w:eastAsia="Times New Roman" w:cs="Times New Roman"/>
                <w:sz w:val="20"/>
                <w:szCs w:val="20"/>
              </w:rPr>
            </w:pPr>
            <w:r>
              <w:rPr>
                <w:rFonts w:ascii="宋体" w:hAnsi="宋体" w:eastAsia="宋体" w:cs="宋体"/>
                <w:spacing w:val="-15"/>
                <w:position w:val="2"/>
                <w:sz w:val="20"/>
                <w:szCs w:val="20"/>
                <w14:textOutline w14:w="3696" w14:cap="sq" w14:cmpd="sng">
                  <w14:solidFill>
                    <w14:srgbClr w14:val="000000"/>
                  </w14:solidFill>
                  <w14:prstDash w14:val="solid"/>
                  <w14:bevel/>
                </w14:textOutline>
              </w:rPr>
              <w:t>下</w:t>
            </w:r>
            <w:r>
              <w:rPr>
                <w:rFonts w:ascii="宋体" w:hAnsi="宋体" w:eastAsia="宋体" w:cs="宋体"/>
                <w:spacing w:val="-8"/>
                <w:position w:val="2"/>
                <w:sz w:val="20"/>
                <w:szCs w:val="20"/>
                <w14:textOutline w14:w="3696" w14:cap="sq" w14:cmpd="sng">
                  <w14:solidFill>
                    <w14:srgbClr w14:val="000000"/>
                  </w14:solidFill>
                  <w14:prstDash w14:val="solid"/>
                  <w14:bevel/>
                </w14:textOutline>
              </w:rPr>
              <w:t>风向预测浓度</w:t>
            </w:r>
            <w:r>
              <w:rPr>
                <w:rFonts w:ascii="Times New Roman" w:hAnsi="Times New Roman" w:eastAsia="Times New Roman" w:cs="Times New Roman"/>
                <w:b/>
                <w:bCs/>
                <w:spacing w:val="-8"/>
                <w:position w:val="2"/>
                <w:sz w:val="20"/>
                <w:szCs w:val="20"/>
              </w:rPr>
              <w:t>(mg/m</w:t>
            </w:r>
            <w:r>
              <w:rPr>
                <w:rFonts w:ascii="Times New Roman" w:hAnsi="Times New Roman" w:eastAsia="Times New Roman" w:cs="Times New Roman"/>
                <w:b/>
                <w:bCs/>
                <w:spacing w:val="-8"/>
                <w:position w:val="8"/>
                <w:sz w:val="13"/>
                <w:szCs w:val="13"/>
              </w:rPr>
              <w:t>3</w:t>
            </w:r>
            <w:r>
              <w:rPr>
                <w:rFonts w:ascii="Times New Roman" w:hAnsi="Times New Roman" w:eastAsia="Times New Roman" w:cs="Times New Roman"/>
                <w:b/>
                <w:bCs/>
                <w:spacing w:val="-8"/>
                <w:position w:val="2"/>
                <w:sz w:val="20"/>
                <w:szCs w:val="20"/>
              </w:rPr>
              <w:t>)</w:t>
            </w:r>
          </w:p>
        </w:tc>
        <w:tc>
          <w:tcPr>
            <w:tcW w:w="1080" w:type="dxa"/>
            <w:vAlign w:val="top"/>
          </w:tcPr>
          <w:p w14:paraId="15666B42">
            <w:pPr>
              <w:spacing w:before="3" w:line="282" w:lineRule="exact"/>
              <w:ind w:left="91"/>
              <w:rPr>
                <w:rFonts w:ascii="Times New Roman" w:hAnsi="Times New Roman" w:eastAsia="Times New Roman" w:cs="Times New Roman"/>
                <w:sz w:val="20"/>
                <w:szCs w:val="20"/>
              </w:rPr>
            </w:pPr>
            <w:r>
              <w:rPr>
                <w:rFonts w:ascii="宋体" w:hAnsi="宋体" w:eastAsia="宋体" w:cs="宋体"/>
                <w:spacing w:val="1"/>
                <w:position w:val="2"/>
                <w:sz w:val="20"/>
                <w:szCs w:val="20"/>
                <w14:textOutline w14:w="3696" w14:cap="sq" w14:cmpd="sng">
                  <w14:solidFill>
                    <w14:srgbClr w14:val="000000"/>
                  </w14:solidFill>
                  <w14:prstDash w14:val="solid"/>
                  <w14:bevel/>
                </w14:textOutline>
              </w:rPr>
              <w:t>占标率</w:t>
            </w:r>
            <w:r>
              <w:rPr>
                <w:rFonts w:ascii="Times New Roman" w:hAnsi="Times New Roman" w:eastAsia="Times New Roman" w:cs="Times New Roman"/>
                <w:b/>
                <w:bCs/>
                <w:spacing w:val="1"/>
                <w:position w:val="2"/>
                <w:sz w:val="20"/>
                <w:szCs w:val="20"/>
              </w:rPr>
              <w:t>(%</w:t>
            </w:r>
            <w:r>
              <w:rPr>
                <w:rFonts w:ascii="Times New Roman" w:hAnsi="Times New Roman" w:eastAsia="Times New Roman" w:cs="Times New Roman"/>
                <w:b/>
                <w:bCs/>
                <w:position w:val="2"/>
                <w:sz w:val="20"/>
                <w:szCs w:val="20"/>
              </w:rPr>
              <w:t>)</w:t>
            </w:r>
          </w:p>
        </w:tc>
        <w:tc>
          <w:tcPr>
            <w:tcW w:w="2040" w:type="dxa"/>
            <w:vAlign w:val="top"/>
          </w:tcPr>
          <w:p w14:paraId="10FCE9E8">
            <w:pPr>
              <w:spacing w:before="3" w:line="282" w:lineRule="exact"/>
              <w:ind w:left="53"/>
              <w:rPr>
                <w:rFonts w:ascii="Times New Roman" w:hAnsi="Times New Roman" w:eastAsia="Times New Roman" w:cs="Times New Roman"/>
                <w:sz w:val="20"/>
                <w:szCs w:val="20"/>
              </w:rPr>
            </w:pPr>
            <w:r>
              <w:rPr>
                <w:rFonts w:ascii="宋体" w:hAnsi="宋体" w:eastAsia="宋体" w:cs="宋体"/>
                <w:spacing w:val="-13"/>
                <w:position w:val="2"/>
                <w:sz w:val="20"/>
                <w:szCs w:val="20"/>
                <w14:textOutline w14:w="3696" w14:cap="sq" w14:cmpd="sng">
                  <w14:solidFill>
                    <w14:srgbClr w14:val="000000"/>
                  </w14:solidFill>
                  <w14:prstDash w14:val="solid"/>
                  <w14:bevel/>
                </w14:textOutline>
              </w:rPr>
              <w:t>下</w:t>
            </w:r>
            <w:r>
              <w:rPr>
                <w:rFonts w:ascii="宋体" w:hAnsi="宋体" w:eastAsia="宋体" w:cs="宋体"/>
                <w:spacing w:val="-8"/>
                <w:position w:val="2"/>
                <w:sz w:val="20"/>
                <w:szCs w:val="20"/>
                <w14:textOutline w14:w="3696" w14:cap="sq" w14:cmpd="sng">
                  <w14:solidFill>
                    <w14:srgbClr w14:val="000000"/>
                  </w14:solidFill>
                  <w14:prstDash w14:val="solid"/>
                  <w14:bevel/>
                </w14:textOutline>
              </w:rPr>
              <w:t>风向预测浓度</w:t>
            </w:r>
            <w:r>
              <w:rPr>
                <w:rFonts w:ascii="Times New Roman" w:hAnsi="Times New Roman" w:eastAsia="Times New Roman" w:cs="Times New Roman"/>
                <w:b/>
                <w:bCs/>
                <w:spacing w:val="-8"/>
                <w:position w:val="2"/>
                <w:sz w:val="20"/>
                <w:szCs w:val="20"/>
              </w:rPr>
              <w:t>(mg/m</w:t>
            </w:r>
            <w:r>
              <w:rPr>
                <w:rFonts w:ascii="Times New Roman" w:hAnsi="Times New Roman" w:eastAsia="Times New Roman" w:cs="Times New Roman"/>
                <w:b/>
                <w:bCs/>
                <w:spacing w:val="-8"/>
                <w:position w:val="8"/>
                <w:sz w:val="13"/>
                <w:szCs w:val="13"/>
              </w:rPr>
              <w:t>3</w:t>
            </w:r>
            <w:r>
              <w:rPr>
                <w:rFonts w:ascii="Times New Roman" w:hAnsi="Times New Roman" w:eastAsia="Times New Roman" w:cs="Times New Roman"/>
                <w:b/>
                <w:bCs/>
                <w:spacing w:val="-8"/>
                <w:position w:val="2"/>
                <w:sz w:val="20"/>
                <w:szCs w:val="20"/>
              </w:rPr>
              <w:t>)</w:t>
            </w:r>
          </w:p>
        </w:tc>
        <w:tc>
          <w:tcPr>
            <w:tcW w:w="1041" w:type="dxa"/>
            <w:tcBorders>
              <w:right w:val="nil"/>
            </w:tcBorders>
            <w:vAlign w:val="top"/>
          </w:tcPr>
          <w:p w14:paraId="5BE0DE27">
            <w:pPr>
              <w:spacing w:before="3" w:line="282" w:lineRule="exact"/>
              <w:ind w:left="69"/>
              <w:rPr>
                <w:rFonts w:ascii="Times New Roman" w:hAnsi="Times New Roman" w:eastAsia="Times New Roman" w:cs="Times New Roman"/>
                <w:sz w:val="20"/>
                <w:szCs w:val="20"/>
              </w:rPr>
            </w:pPr>
            <w:r>
              <w:rPr>
                <w:rFonts w:ascii="宋体" w:hAnsi="宋体" w:eastAsia="宋体" w:cs="宋体"/>
                <w:spacing w:val="1"/>
                <w:position w:val="2"/>
                <w:sz w:val="20"/>
                <w:szCs w:val="20"/>
                <w14:textOutline w14:w="3696" w14:cap="sq" w14:cmpd="sng">
                  <w14:solidFill>
                    <w14:srgbClr w14:val="000000"/>
                  </w14:solidFill>
                  <w14:prstDash w14:val="solid"/>
                  <w14:bevel/>
                </w14:textOutline>
              </w:rPr>
              <w:t>占标率</w:t>
            </w:r>
            <w:r>
              <w:rPr>
                <w:rFonts w:ascii="Times New Roman" w:hAnsi="Times New Roman" w:eastAsia="Times New Roman" w:cs="Times New Roman"/>
                <w:b/>
                <w:bCs/>
                <w:spacing w:val="1"/>
                <w:position w:val="2"/>
                <w:sz w:val="20"/>
                <w:szCs w:val="20"/>
              </w:rPr>
              <w:t>(%</w:t>
            </w:r>
            <w:r>
              <w:rPr>
                <w:rFonts w:ascii="Times New Roman" w:hAnsi="Times New Roman" w:eastAsia="Times New Roman" w:cs="Times New Roman"/>
                <w:b/>
                <w:bCs/>
                <w:position w:val="2"/>
                <w:sz w:val="20"/>
                <w:szCs w:val="20"/>
              </w:rPr>
              <w:t>)</w:t>
            </w:r>
          </w:p>
        </w:tc>
      </w:tr>
      <w:tr w14:paraId="410201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43" w:type="dxa"/>
            <w:tcBorders>
              <w:left w:val="nil"/>
            </w:tcBorders>
            <w:vAlign w:val="top"/>
          </w:tcPr>
          <w:p w14:paraId="7685271D">
            <w:pPr>
              <w:spacing w:before="88" w:line="195" w:lineRule="auto"/>
              <w:ind w:left="544"/>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191" w:type="dxa"/>
            <w:vAlign w:val="top"/>
          </w:tcPr>
          <w:p w14:paraId="78220AD1">
            <w:pPr>
              <w:spacing w:before="88" w:line="195" w:lineRule="auto"/>
              <w:ind w:left="512"/>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2025" w:type="dxa"/>
            <w:vAlign w:val="top"/>
          </w:tcPr>
          <w:p w14:paraId="45121863">
            <w:pPr>
              <w:spacing w:before="88" w:line="195" w:lineRule="auto"/>
              <w:ind w:left="67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03334</w:t>
            </w:r>
          </w:p>
        </w:tc>
        <w:tc>
          <w:tcPr>
            <w:tcW w:w="1080" w:type="dxa"/>
            <w:vAlign w:val="top"/>
          </w:tcPr>
          <w:p w14:paraId="166F0D3C">
            <w:pPr>
              <w:spacing w:before="88" w:line="195" w:lineRule="auto"/>
              <w:ind w:left="36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.70</w:t>
            </w:r>
          </w:p>
        </w:tc>
        <w:tc>
          <w:tcPr>
            <w:tcW w:w="2040" w:type="dxa"/>
            <w:vAlign w:val="top"/>
          </w:tcPr>
          <w:p w14:paraId="58C9B2A4">
            <w:pPr>
              <w:spacing w:before="88" w:line="195" w:lineRule="auto"/>
              <w:ind w:left="68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07038</w:t>
            </w:r>
          </w:p>
        </w:tc>
        <w:tc>
          <w:tcPr>
            <w:tcW w:w="1041" w:type="dxa"/>
            <w:tcBorders>
              <w:right w:val="nil"/>
            </w:tcBorders>
            <w:vAlign w:val="top"/>
          </w:tcPr>
          <w:p w14:paraId="55CC7A39">
            <w:pPr>
              <w:spacing w:before="88" w:line="195" w:lineRule="auto"/>
              <w:ind w:left="34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.52</w:t>
            </w:r>
          </w:p>
        </w:tc>
      </w:tr>
      <w:tr w14:paraId="6FFB13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43" w:type="dxa"/>
            <w:tcBorders>
              <w:left w:val="nil"/>
            </w:tcBorders>
            <w:vAlign w:val="top"/>
          </w:tcPr>
          <w:p w14:paraId="2FF9A0DE">
            <w:pPr>
              <w:spacing w:before="87" w:line="195" w:lineRule="auto"/>
              <w:ind w:left="524"/>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191" w:type="dxa"/>
            <w:vAlign w:val="top"/>
          </w:tcPr>
          <w:p w14:paraId="1FCC4E3B">
            <w:pPr>
              <w:spacing w:before="87" w:line="195" w:lineRule="auto"/>
              <w:ind w:left="45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100</w:t>
            </w:r>
          </w:p>
        </w:tc>
        <w:tc>
          <w:tcPr>
            <w:tcW w:w="2025" w:type="dxa"/>
            <w:vAlign w:val="top"/>
          </w:tcPr>
          <w:p w14:paraId="3D2331E4">
            <w:pPr>
              <w:spacing w:before="88" w:line="195" w:lineRule="auto"/>
              <w:ind w:left="67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07145</w:t>
            </w:r>
          </w:p>
        </w:tc>
        <w:tc>
          <w:tcPr>
            <w:tcW w:w="1080" w:type="dxa"/>
            <w:vAlign w:val="top"/>
          </w:tcPr>
          <w:p w14:paraId="11DF03D5">
            <w:pPr>
              <w:spacing w:before="87" w:line="195" w:lineRule="auto"/>
              <w:ind w:left="36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7</w:t>
            </w:r>
            <w:r>
              <w:rPr>
                <w:rFonts w:ascii="Times New Roman" w:hAnsi="Times New Roman" w:eastAsia="Times New Roman" w:cs="Times New Roman"/>
                <w:spacing w:val="2"/>
                <w:sz w:val="20"/>
                <w:szCs w:val="20"/>
              </w:rPr>
              <w:t>.94</w:t>
            </w:r>
          </w:p>
        </w:tc>
        <w:tc>
          <w:tcPr>
            <w:tcW w:w="2040" w:type="dxa"/>
            <w:vAlign w:val="top"/>
          </w:tcPr>
          <w:p w14:paraId="78986400">
            <w:pPr>
              <w:spacing w:before="88" w:line="195" w:lineRule="auto"/>
              <w:ind w:left="735"/>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0</w:t>
            </w:r>
            <w:r>
              <w:rPr>
                <w:rFonts w:ascii="Times New Roman" w:hAnsi="Times New Roman" w:eastAsia="Times New Roman" w:cs="Times New Roman"/>
                <w:spacing w:val="-4"/>
                <w:sz w:val="20"/>
                <w:szCs w:val="20"/>
              </w:rPr>
              <w:t>. 1508</w:t>
            </w:r>
          </w:p>
        </w:tc>
        <w:tc>
          <w:tcPr>
            <w:tcW w:w="1041" w:type="dxa"/>
            <w:tcBorders>
              <w:right w:val="nil"/>
            </w:tcBorders>
            <w:vAlign w:val="top"/>
          </w:tcPr>
          <w:p w14:paraId="131E42CD">
            <w:pPr>
              <w:spacing w:before="87" w:line="195" w:lineRule="auto"/>
              <w:ind w:left="34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7</w:t>
            </w:r>
            <w:r>
              <w:rPr>
                <w:rFonts w:ascii="Times New Roman" w:hAnsi="Times New Roman" w:eastAsia="Times New Roman" w:cs="Times New Roman"/>
                <w:spacing w:val="2"/>
                <w:sz w:val="20"/>
                <w:szCs w:val="20"/>
              </w:rPr>
              <w:t>.54</w:t>
            </w:r>
          </w:p>
        </w:tc>
      </w:tr>
      <w:tr w14:paraId="35CF08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43" w:type="dxa"/>
            <w:tcBorders>
              <w:left w:val="nil"/>
            </w:tcBorders>
            <w:vAlign w:val="top"/>
          </w:tcPr>
          <w:p w14:paraId="6B0CB474">
            <w:pPr>
              <w:spacing w:before="87" w:line="195" w:lineRule="auto"/>
              <w:ind w:left="528"/>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191" w:type="dxa"/>
            <w:vAlign w:val="top"/>
          </w:tcPr>
          <w:p w14:paraId="546A0BE9">
            <w:pPr>
              <w:spacing w:before="87" w:line="195" w:lineRule="auto"/>
              <w:ind w:left="45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180</w:t>
            </w:r>
          </w:p>
        </w:tc>
        <w:tc>
          <w:tcPr>
            <w:tcW w:w="2025" w:type="dxa"/>
            <w:vAlign w:val="top"/>
          </w:tcPr>
          <w:p w14:paraId="58B2585B">
            <w:pPr>
              <w:spacing w:before="87" w:line="195" w:lineRule="auto"/>
              <w:ind w:left="67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08286</w:t>
            </w:r>
          </w:p>
        </w:tc>
        <w:tc>
          <w:tcPr>
            <w:tcW w:w="1080" w:type="dxa"/>
            <w:vAlign w:val="top"/>
          </w:tcPr>
          <w:p w14:paraId="53636FF8">
            <w:pPr>
              <w:spacing w:before="87" w:line="195" w:lineRule="auto"/>
              <w:ind w:left="36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9</w:t>
            </w:r>
            <w:r>
              <w:rPr>
                <w:rFonts w:ascii="Times New Roman" w:hAnsi="Times New Roman" w:eastAsia="Times New Roman" w:cs="Times New Roman"/>
                <w:spacing w:val="2"/>
                <w:sz w:val="20"/>
                <w:szCs w:val="20"/>
              </w:rPr>
              <w:t>.21</w:t>
            </w:r>
          </w:p>
        </w:tc>
        <w:tc>
          <w:tcPr>
            <w:tcW w:w="2040" w:type="dxa"/>
            <w:vAlign w:val="top"/>
          </w:tcPr>
          <w:p w14:paraId="756C0009">
            <w:pPr>
              <w:spacing w:before="87" w:line="195" w:lineRule="auto"/>
              <w:ind w:left="735"/>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0</w:t>
            </w:r>
            <w:r>
              <w:rPr>
                <w:rFonts w:ascii="Times New Roman" w:hAnsi="Times New Roman" w:eastAsia="Times New Roman" w:cs="Times New Roman"/>
                <w:spacing w:val="-4"/>
                <w:sz w:val="20"/>
                <w:szCs w:val="20"/>
              </w:rPr>
              <w:t>. 1749</w:t>
            </w:r>
          </w:p>
        </w:tc>
        <w:tc>
          <w:tcPr>
            <w:tcW w:w="1041" w:type="dxa"/>
            <w:tcBorders>
              <w:right w:val="nil"/>
            </w:tcBorders>
            <w:vAlign w:val="top"/>
          </w:tcPr>
          <w:p w14:paraId="72509CCD">
            <w:pPr>
              <w:spacing w:before="87" w:line="195" w:lineRule="auto"/>
              <w:ind w:left="3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w:t>
            </w:r>
            <w:r>
              <w:rPr>
                <w:rFonts w:ascii="Times New Roman" w:hAnsi="Times New Roman" w:eastAsia="Times New Roman" w:cs="Times New Roman"/>
                <w:spacing w:val="1"/>
                <w:sz w:val="20"/>
                <w:szCs w:val="20"/>
              </w:rPr>
              <w:t>.75</w:t>
            </w:r>
          </w:p>
        </w:tc>
      </w:tr>
      <w:tr w14:paraId="39860B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43" w:type="dxa"/>
            <w:tcBorders>
              <w:left w:val="nil"/>
            </w:tcBorders>
            <w:vAlign w:val="top"/>
          </w:tcPr>
          <w:p w14:paraId="525235E3">
            <w:pPr>
              <w:spacing w:before="90" w:line="195" w:lineRule="auto"/>
              <w:ind w:left="52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191" w:type="dxa"/>
            <w:vAlign w:val="top"/>
          </w:tcPr>
          <w:p w14:paraId="3E7D943F">
            <w:pPr>
              <w:spacing w:before="90" w:line="195" w:lineRule="auto"/>
              <w:ind w:left="43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00</w:t>
            </w:r>
          </w:p>
        </w:tc>
        <w:tc>
          <w:tcPr>
            <w:tcW w:w="2025" w:type="dxa"/>
            <w:vAlign w:val="top"/>
          </w:tcPr>
          <w:p w14:paraId="19AD89F8">
            <w:pPr>
              <w:spacing w:before="90" w:line="195" w:lineRule="auto"/>
              <w:ind w:left="67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08207</w:t>
            </w:r>
          </w:p>
        </w:tc>
        <w:tc>
          <w:tcPr>
            <w:tcW w:w="1080" w:type="dxa"/>
            <w:vAlign w:val="top"/>
          </w:tcPr>
          <w:p w14:paraId="0E260114">
            <w:pPr>
              <w:spacing w:before="90" w:line="195" w:lineRule="auto"/>
              <w:ind w:left="36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9. 12</w:t>
            </w:r>
          </w:p>
        </w:tc>
        <w:tc>
          <w:tcPr>
            <w:tcW w:w="2040" w:type="dxa"/>
            <w:vAlign w:val="top"/>
          </w:tcPr>
          <w:p w14:paraId="429D3187">
            <w:pPr>
              <w:spacing w:before="90" w:line="195" w:lineRule="auto"/>
              <w:ind w:left="735"/>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0</w:t>
            </w:r>
            <w:r>
              <w:rPr>
                <w:rFonts w:ascii="Times New Roman" w:hAnsi="Times New Roman" w:eastAsia="Times New Roman" w:cs="Times New Roman"/>
                <w:spacing w:val="-4"/>
                <w:sz w:val="20"/>
                <w:szCs w:val="20"/>
              </w:rPr>
              <w:t>. 1733</w:t>
            </w:r>
          </w:p>
        </w:tc>
        <w:tc>
          <w:tcPr>
            <w:tcW w:w="1041" w:type="dxa"/>
            <w:tcBorders>
              <w:right w:val="nil"/>
            </w:tcBorders>
            <w:vAlign w:val="top"/>
          </w:tcPr>
          <w:p w14:paraId="4A13F8E9">
            <w:pPr>
              <w:spacing w:before="90" w:line="195" w:lineRule="auto"/>
              <w:ind w:left="3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w:t>
            </w:r>
            <w:r>
              <w:rPr>
                <w:rFonts w:ascii="Times New Roman" w:hAnsi="Times New Roman" w:eastAsia="Times New Roman" w:cs="Times New Roman"/>
                <w:spacing w:val="1"/>
                <w:sz w:val="20"/>
                <w:szCs w:val="20"/>
              </w:rPr>
              <w:t>.67</w:t>
            </w:r>
          </w:p>
        </w:tc>
      </w:tr>
      <w:tr w14:paraId="350EED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43" w:type="dxa"/>
            <w:tcBorders>
              <w:left w:val="nil"/>
            </w:tcBorders>
            <w:vAlign w:val="top"/>
          </w:tcPr>
          <w:p w14:paraId="4FE485E5">
            <w:pPr>
              <w:spacing w:before="92" w:line="192" w:lineRule="auto"/>
              <w:ind w:left="529"/>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191" w:type="dxa"/>
            <w:vAlign w:val="top"/>
          </w:tcPr>
          <w:p w14:paraId="2117F05B">
            <w:pPr>
              <w:spacing w:before="89" w:line="195" w:lineRule="auto"/>
              <w:ind w:left="44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00</w:t>
            </w:r>
          </w:p>
        </w:tc>
        <w:tc>
          <w:tcPr>
            <w:tcW w:w="2025" w:type="dxa"/>
            <w:vAlign w:val="top"/>
          </w:tcPr>
          <w:p w14:paraId="36EAEAE1">
            <w:pPr>
              <w:spacing w:before="90" w:line="195" w:lineRule="auto"/>
              <w:ind w:left="67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06766</w:t>
            </w:r>
          </w:p>
        </w:tc>
        <w:tc>
          <w:tcPr>
            <w:tcW w:w="1080" w:type="dxa"/>
            <w:vAlign w:val="top"/>
          </w:tcPr>
          <w:p w14:paraId="1F6BAA8F">
            <w:pPr>
              <w:spacing w:before="89" w:line="195" w:lineRule="auto"/>
              <w:ind w:left="36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7</w:t>
            </w:r>
            <w:r>
              <w:rPr>
                <w:rFonts w:ascii="Times New Roman" w:hAnsi="Times New Roman" w:eastAsia="Times New Roman" w:cs="Times New Roman"/>
                <w:spacing w:val="2"/>
                <w:sz w:val="20"/>
                <w:szCs w:val="20"/>
              </w:rPr>
              <w:t>.52</w:t>
            </w:r>
          </w:p>
        </w:tc>
        <w:tc>
          <w:tcPr>
            <w:tcW w:w="2040" w:type="dxa"/>
            <w:vAlign w:val="top"/>
          </w:tcPr>
          <w:p w14:paraId="6EF66E1A">
            <w:pPr>
              <w:spacing w:before="90" w:line="195" w:lineRule="auto"/>
              <w:ind w:left="735"/>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0</w:t>
            </w:r>
            <w:r>
              <w:rPr>
                <w:rFonts w:ascii="Times New Roman" w:hAnsi="Times New Roman" w:eastAsia="Times New Roman" w:cs="Times New Roman"/>
                <w:spacing w:val="-4"/>
                <w:sz w:val="20"/>
                <w:szCs w:val="20"/>
              </w:rPr>
              <w:t>. 1428</w:t>
            </w:r>
          </w:p>
        </w:tc>
        <w:tc>
          <w:tcPr>
            <w:tcW w:w="1041" w:type="dxa"/>
            <w:tcBorders>
              <w:right w:val="nil"/>
            </w:tcBorders>
            <w:vAlign w:val="top"/>
          </w:tcPr>
          <w:p w14:paraId="76D12FC0">
            <w:pPr>
              <w:spacing w:before="89" w:line="195" w:lineRule="auto"/>
              <w:ind w:left="342"/>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7. 14</w:t>
            </w:r>
          </w:p>
        </w:tc>
      </w:tr>
      <w:tr w14:paraId="64FED0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43" w:type="dxa"/>
            <w:tcBorders>
              <w:left w:val="nil"/>
            </w:tcBorders>
            <w:vAlign w:val="top"/>
          </w:tcPr>
          <w:p w14:paraId="1E0C1D52">
            <w:pPr>
              <w:spacing w:before="89" w:line="195" w:lineRule="auto"/>
              <w:ind w:left="528"/>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191" w:type="dxa"/>
            <w:vAlign w:val="top"/>
          </w:tcPr>
          <w:p w14:paraId="7905967F">
            <w:pPr>
              <w:spacing w:before="89" w:line="195" w:lineRule="auto"/>
              <w:ind w:left="43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400</w:t>
            </w:r>
          </w:p>
        </w:tc>
        <w:tc>
          <w:tcPr>
            <w:tcW w:w="2025" w:type="dxa"/>
            <w:vAlign w:val="top"/>
          </w:tcPr>
          <w:p w14:paraId="46904BD4">
            <w:pPr>
              <w:spacing w:before="89" w:line="195" w:lineRule="auto"/>
              <w:ind w:left="67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05209</w:t>
            </w:r>
          </w:p>
        </w:tc>
        <w:tc>
          <w:tcPr>
            <w:tcW w:w="1080" w:type="dxa"/>
            <w:vAlign w:val="top"/>
          </w:tcPr>
          <w:p w14:paraId="32653D6B">
            <w:pPr>
              <w:spacing w:before="89" w:line="195" w:lineRule="auto"/>
              <w:ind w:left="36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5.79</w:t>
            </w:r>
          </w:p>
        </w:tc>
        <w:tc>
          <w:tcPr>
            <w:tcW w:w="2040" w:type="dxa"/>
            <w:vAlign w:val="top"/>
          </w:tcPr>
          <w:p w14:paraId="3A907770">
            <w:pPr>
              <w:spacing w:before="89" w:line="195" w:lineRule="auto"/>
              <w:ind w:left="845"/>
              <w:rPr>
                <w:rFonts w:ascii="Times New Roman" w:hAnsi="Times New Roman" w:eastAsia="Times New Roman" w:cs="Times New Roman"/>
                <w:sz w:val="20"/>
                <w:szCs w:val="20"/>
              </w:rPr>
            </w:pPr>
            <w:r>
              <w:rPr>
                <w:rFonts w:ascii="Times New Roman" w:hAnsi="Times New Roman" w:eastAsia="Times New Roman" w:cs="Times New Roman"/>
                <w:spacing w:val="-9"/>
                <w:sz w:val="20"/>
                <w:szCs w:val="20"/>
              </w:rPr>
              <w:t>0. 11</w:t>
            </w:r>
          </w:p>
        </w:tc>
        <w:tc>
          <w:tcPr>
            <w:tcW w:w="1041" w:type="dxa"/>
            <w:tcBorders>
              <w:right w:val="nil"/>
            </w:tcBorders>
            <w:vAlign w:val="top"/>
          </w:tcPr>
          <w:p w14:paraId="566A564E">
            <w:pPr>
              <w:spacing w:before="89" w:line="195" w:lineRule="auto"/>
              <w:ind w:left="3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5.50</w:t>
            </w:r>
          </w:p>
        </w:tc>
      </w:tr>
      <w:tr w14:paraId="66E105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43" w:type="dxa"/>
            <w:tcBorders>
              <w:left w:val="nil"/>
            </w:tcBorders>
            <w:vAlign w:val="top"/>
          </w:tcPr>
          <w:p w14:paraId="76949278">
            <w:pPr>
              <w:spacing w:before="92" w:line="192" w:lineRule="auto"/>
              <w:ind w:left="527"/>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191" w:type="dxa"/>
            <w:vAlign w:val="top"/>
          </w:tcPr>
          <w:p w14:paraId="588D96EF">
            <w:pPr>
              <w:spacing w:before="89" w:line="195" w:lineRule="auto"/>
              <w:ind w:left="44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50</w:t>
            </w:r>
            <w:r>
              <w:rPr>
                <w:rFonts w:ascii="Times New Roman" w:hAnsi="Times New Roman" w:eastAsia="Times New Roman" w:cs="Times New Roman"/>
                <w:spacing w:val="1"/>
                <w:sz w:val="20"/>
                <w:szCs w:val="20"/>
              </w:rPr>
              <w:t>0</w:t>
            </w:r>
          </w:p>
        </w:tc>
        <w:tc>
          <w:tcPr>
            <w:tcW w:w="2025" w:type="dxa"/>
            <w:vAlign w:val="top"/>
          </w:tcPr>
          <w:p w14:paraId="3811CB1A">
            <w:pPr>
              <w:spacing w:before="89" w:line="195" w:lineRule="auto"/>
              <w:ind w:left="67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04022</w:t>
            </w:r>
          </w:p>
        </w:tc>
        <w:tc>
          <w:tcPr>
            <w:tcW w:w="1080" w:type="dxa"/>
            <w:vAlign w:val="top"/>
          </w:tcPr>
          <w:p w14:paraId="7A10A311">
            <w:pPr>
              <w:spacing w:before="89" w:line="198" w:lineRule="auto"/>
              <w:ind w:left="356"/>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4</w:t>
            </w:r>
            <w:r>
              <w:rPr>
                <w:rFonts w:ascii="Times New Roman" w:hAnsi="Times New Roman" w:eastAsia="Times New Roman" w:cs="Times New Roman"/>
                <w:spacing w:val="3"/>
                <w:sz w:val="20"/>
                <w:szCs w:val="20"/>
              </w:rPr>
              <w:t>.47</w:t>
            </w:r>
          </w:p>
        </w:tc>
        <w:tc>
          <w:tcPr>
            <w:tcW w:w="2040" w:type="dxa"/>
            <w:vAlign w:val="top"/>
          </w:tcPr>
          <w:p w14:paraId="3FA9069B">
            <w:pPr>
              <w:spacing w:before="89" w:line="195" w:lineRule="auto"/>
              <w:ind w:left="73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.0849</w:t>
            </w:r>
          </w:p>
        </w:tc>
        <w:tc>
          <w:tcPr>
            <w:tcW w:w="1041" w:type="dxa"/>
            <w:tcBorders>
              <w:right w:val="nil"/>
            </w:tcBorders>
            <w:vAlign w:val="top"/>
          </w:tcPr>
          <w:p w14:paraId="70A18FDD">
            <w:pPr>
              <w:spacing w:before="89" w:line="198" w:lineRule="auto"/>
              <w:ind w:left="337"/>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4</w:t>
            </w:r>
            <w:r>
              <w:rPr>
                <w:rFonts w:ascii="Times New Roman" w:hAnsi="Times New Roman" w:eastAsia="Times New Roman" w:cs="Times New Roman"/>
                <w:spacing w:val="3"/>
                <w:sz w:val="20"/>
                <w:szCs w:val="20"/>
              </w:rPr>
              <w:t>.25</w:t>
            </w:r>
          </w:p>
        </w:tc>
      </w:tr>
      <w:tr w14:paraId="1B0495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43" w:type="dxa"/>
            <w:tcBorders>
              <w:left w:val="nil"/>
            </w:tcBorders>
            <w:vAlign w:val="top"/>
          </w:tcPr>
          <w:p w14:paraId="238E9871">
            <w:pPr>
              <w:spacing w:before="89" w:line="195" w:lineRule="auto"/>
              <w:ind w:left="532"/>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191" w:type="dxa"/>
            <w:vAlign w:val="top"/>
          </w:tcPr>
          <w:p w14:paraId="565220A3">
            <w:pPr>
              <w:spacing w:before="89" w:line="195" w:lineRule="auto"/>
              <w:ind w:left="4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600</w:t>
            </w:r>
          </w:p>
        </w:tc>
        <w:tc>
          <w:tcPr>
            <w:tcW w:w="2025" w:type="dxa"/>
            <w:vAlign w:val="top"/>
          </w:tcPr>
          <w:p w14:paraId="7D44AA76">
            <w:pPr>
              <w:spacing w:before="90" w:line="195" w:lineRule="auto"/>
              <w:ind w:left="67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03168</w:t>
            </w:r>
          </w:p>
        </w:tc>
        <w:tc>
          <w:tcPr>
            <w:tcW w:w="1080" w:type="dxa"/>
            <w:vAlign w:val="top"/>
          </w:tcPr>
          <w:p w14:paraId="17349398">
            <w:pPr>
              <w:spacing w:before="90" w:line="195" w:lineRule="auto"/>
              <w:ind w:left="36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.52</w:t>
            </w:r>
          </w:p>
        </w:tc>
        <w:tc>
          <w:tcPr>
            <w:tcW w:w="2040" w:type="dxa"/>
            <w:vAlign w:val="top"/>
          </w:tcPr>
          <w:p w14:paraId="7CEF8718">
            <w:pPr>
              <w:spacing w:before="90" w:line="195" w:lineRule="auto"/>
              <w:ind w:left="68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06688</w:t>
            </w:r>
          </w:p>
        </w:tc>
        <w:tc>
          <w:tcPr>
            <w:tcW w:w="1041" w:type="dxa"/>
            <w:tcBorders>
              <w:right w:val="nil"/>
            </w:tcBorders>
            <w:vAlign w:val="top"/>
          </w:tcPr>
          <w:p w14:paraId="73C53586">
            <w:pPr>
              <w:spacing w:before="90" w:line="195" w:lineRule="auto"/>
              <w:ind w:left="34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.34</w:t>
            </w:r>
          </w:p>
        </w:tc>
      </w:tr>
      <w:tr w14:paraId="23F3E3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43" w:type="dxa"/>
            <w:tcBorders>
              <w:left w:val="nil"/>
            </w:tcBorders>
            <w:vAlign w:val="top"/>
          </w:tcPr>
          <w:p w14:paraId="6E6E71EC">
            <w:pPr>
              <w:spacing w:before="89" w:line="195" w:lineRule="auto"/>
              <w:ind w:left="528"/>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191" w:type="dxa"/>
            <w:vAlign w:val="top"/>
          </w:tcPr>
          <w:p w14:paraId="717D7399">
            <w:pPr>
              <w:spacing w:before="89" w:line="195" w:lineRule="auto"/>
              <w:ind w:left="44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w:t>
            </w:r>
            <w:r>
              <w:rPr>
                <w:rFonts w:ascii="Times New Roman" w:hAnsi="Times New Roman" w:eastAsia="Times New Roman" w:cs="Times New Roman"/>
                <w:spacing w:val="2"/>
                <w:sz w:val="20"/>
                <w:szCs w:val="20"/>
              </w:rPr>
              <w:t>00</w:t>
            </w:r>
          </w:p>
        </w:tc>
        <w:tc>
          <w:tcPr>
            <w:tcW w:w="2025" w:type="dxa"/>
            <w:vAlign w:val="top"/>
          </w:tcPr>
          <w:p w14:paraId="291A792D">
            <w:pPr>
              <w:spacing w:before="89" w:line="195" w:lineRule="auto"/>
              <w:ind w:left="67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02557</w:t>
            </w:r>
          </w:p>
        </w:tc>
        <w:tc>
          <w:tcPr>
            <w:tcW w:w="1080" w:type="dxa"/>
            <w:vAlign w:val="top"/>
          </w:tcPr>
          <w:p w14:paraId="7910C2F9">
            <w:pPr>
              <w:spacing w:before="89" w:line="198" w:lineRule="auto"/>
              <w:ind w:left="357"/>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.84</w:t>
            </w:r>
          </w:p>
        </w:tc>
        <w:tc>
          <w:tcPr>
            <w:tcW w:w="2040" w:type="dxa"/>
            <w:vAlign w:val="top"/>
          </w:tcPr>
          <w:p w14:paraId="3DECE771">
            <w:pPr>
              <w:spacing w:before="89" w:line="195" w:lineRule="auto"/>
              <w:ind w:left="68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05399</w:t>
            </w:r>
          </w:p>
        </w:tc>
        <w:tc>
          <w:tcPr>
            <w:tcW w:w="1041" w:type="dxa"/>
            <w:tcBorders>
              <w:right w:val="nil"/>
            </w:tcBorders>
            <w:vAlign w:val="top"/>
          </w:tcPr>
          <w:p w14:paraId="2C5CFD05">
            <w:pPr>
              <w:spacing w:before="89" w:line="198" w:lineRule="auto"/>
              <w:ind w:left="338"/>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.70</w:t>
            </w:r>
          </w:p>
        </w:tc>
      </w:tr>
      <w:tr w14:paraId="4A992D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43" w:type="dxa"/>
            <w:tcBorders>
              <w:left w:val="nil"/>
            </w:tcBorders>
            <w:vAlign w:val="top"/>
          </w:tcPr>
          <w:p w14:paraId="3E65AA80">
            <w:pPr>
              <w:spacing w:before="91" w:line="195" w:lineRule="auto"/>
              <w:ind w:left="49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1191" w:type="dxa"/>
            <w:vAlign w:val="top"/>
          </w:tcPr>
          <w:p w14:paraId="42C6DA03">
            <w:pPr>
              <w:spacing w:before="91" w:line="195" w:lineRule="auto"/>
              <w:ind w:left="44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80</w:t>
            </w:r>
            <w:r>
              <w:rPr>
                <w:rFonts w:ascii="Times New Roman" w:hAnsi="Times New Roman" w:eastAsia="Times New Roman" w:cs="Times New Roman"/>
                <w:sz w:val="20"/>
                <w:szCs w:val="20"/>
              </w:rPr>
              <w:t>0</w:t>
            </w:r>
          </w:p>
        </w:tc>
        <w:tc>
          <w:tcPr>
            <w:tcW w:w="2025" w:type="dxa"/>
            <w:vAlign w:val="top"/>
          </w:tcPr>
          <w:p w14:paraId="4AE7E8C7">
            <w:pPr>
              <w:spacing w:before="91" w:line="195" w:lineRule="auto"/>
              <w:ind w:left="67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02123</w:t>
            </w:r>
          </w:p>
        </w:tc>
        <w:tc>
          <w:tcPr>
            <w:tcW w:w="1080" w:type="dxa"/>
            <w:vAlign w:val="top"/>
          </w:tcPr>
          <w:p w14:paraId="7A88B13B">
            <w:pPr>
              <w:spacing w:before="91" w:line="198" w:lineRule="auto"/>
              <w:ind w:left="357"/>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.36</w:t>
            </w:r>
          </w:p>
        </w:tc>
        <w:tc>
          <w:tcPr>
            <w:tcW w:w="2040" w:type="dxa"/>
            <w:vAlign w:val="top"/>
          </w:tcPr>
          <w:p w14:paraId="4D620959">
            <w:pPr>
              <w:spacing w:before="91" w:line="195" w:lineRule="auto"/>
              <w:ind w:left="68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04483</w:t>
            </w:r>
          </w:p>
        </w:tc>
        <w:tc>
          <w:tcPr>
            <w:tcW w:w="1041" w:type="dxa"/>
            <w:tcBorders>
              <w:right w:val="nil"/>
            </w:tcBorders>
            <w:vAlign w:val="top"/>
          </w:tcPr>
          <w:p w14:paraId="620DF29C">
            <w:pPr>
              <w:spacing w:before="91" w:line="198" w:lineRule="auto"/>
              <w:ind w:left="338"/>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.24</w:t>
            </w:r>
          </w:p>
        </w:tc>
      </w:tr>
      <w:tr w14:paraId="34476E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43" w:type="dxa"/>
            <w:tcBorders>
              <w:left w:val="nil"/>
            </w:tcBorders>
            <w:vAlign w:val="top"/>
          </w:tcPr>
          <w:p w14:paraId="397182CC">
            <w:pPr>
              <w:spacing w:before="92" w:line="195" w:lineRule="auto"/>
              <w:ind w:left="493"/>
              <w:rPr>
                <w:rFonts w:ascii="Times New Roman" w:hAnsi="Times New Roman" w:eastAsia="Times New Roman" w:cs="Times New Roman"/>
                <w:sz w:val="20"/>
                <w:szCs w:val="20"/>
              </w:rPr>
            </w:pPr>
            <w:r>
              <w:rPr>
                <w:rFonts w:ascii="Times New Roman" w:hAnsi="Times New Roman" w:eastAsia="Times New Roman" w:cs="Times New Roman"/>
                <w:spacing w:val="-11"/>
                <w:sz w:val="20"/>
                <w:szCs w:val="20"/>
              </w:rPr>
              <w:t>1</w:t>
            </w:r>
            <w:r>
              <w:rPr>
                <w:rFonts w:ascii="Times New Roman" w:hAnsi="Times New Roman" w:eastAsia="Times New Roman" w:cs="Times New Roman"/>
                <w:spacing w:val="-9"/>
                <w:sz w:val="20"/>
                <w:szCs w:val="20"/>
              </w:rPr>
              <w:t>1</w:t>
            </w:r>
          </w:p>
        </w:tc>
        <w:tc>
          <w:tcPr>
            <w:tcW w:w="1191" w:type="dxa"/>
            <w:vAlign w:val="top"/>
          </w:tcPr>
          <w:p w14:paraId="7F850C6E">
            <w:pPr>
              <w:spacing w:before="91" w:line="195" w:lineRule="auto"/>
              <w:ind w:left="44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w:t>
            </w:r>
            <w:r>
              <w:rPr>
                <w:rFonts w:ascii="Times New Roman" w:hAnsi="Times New Roman" w:eastAsia="Times New Roman" w:cs="Times New Roman"/>
                <w:spacing w:val="2"/>
                <w:sz w:val="20"/>
                <w:szCs w:val="20"/>
              </w:rPr>
              <w:t>00</w:t>
            </w:r>
          </w:p>
        </w:tc>
        <w:tc>
          <w:tcPr>
            <w:tcW w:w="2025" w:type="dxa"/>
            <w:vAlign w:val="top"/>
          </w:tcPr>
          <w:p w14:paraId="73D66DE0">
            <w:pPr>
              <w:spacing w:before="92" w:line="195" w:lineRule="auto"/>
              <w:ind w:left="67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01798</w:t>
            </w:r>
          </w:p>
        </w:tc>
        <w:tc>
          <w:tcPr>
            <w:tcW w:w="1080" w:type="dxa"/>
            <w:vAlign w:val="top"/>
          </w:tcPr>
          <w:p w14:paraId="3C09FCD6">
            <w:pPr>
              <w:spacing w:before="91" w:line="198" w:lineRule="auto"/>
              <w:ind w:left="357"/>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.00</w:t>
            </w:r>
          </w:p>
        </w:tc>
        <w:tc>
          <w:tcPr>
            <w:tcW w:w="2040" w:type="dxa"/>
            <w:vAlign w:val="top"/>
          </w:tcPr>
          <w:p w14:paraId="69BE29E9">
            <w:pPr>
              <w:spacing w:before="92" w:line="195" w:lineRule="auto"/>
              <w:ind w:left="68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03795</w:t>
            </w:r>
          </w:p>
        </w:tc>
        <w:tc>
          <w:tcPr>
            <w:tcW w:w="1041" w:type="dxa"/>
            <w:tcBorders>
              <w:right w:val="nil"/>
            </w:tcBorders>
            <w:vAlign w:val="top"/>
          </w:tcPr>
          <w:p w14:paraId="618DEF14">
            <w:pPr>
              <w:spacing w:before="91" w:line="198" w:lineRule="auto"/>
              <w:ind w:left="35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90</w:t>
            </w:r>
          </w:p>
        </w:tc>
      </w:tr>
      <w:tr w14:paraId="51962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43" w:type="dxa"/>
            <w:tcBorders>
              <w:left w:val="nil"/>
            </w:tcBorders>
            <w:vAlign w:val="top"/>
          </w:tcPr>
          <w:p w14:paraId="788B3176">
            <w:pPr>
              <w:spacing w:before="91" w:line="195" w:lineRule="auto"/>
              <w:ind w:left="49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2</w:t>
            </w:r>
          </w:p>
        </w:tc>
        <w:tc>
          <w:tcPr>
            <w:tcW w:w="1191" w:type="dxa"/>
            <w:vAlign w:val="top"/>
          </w:tcPr>
          <w:p w14:paraId="3A3D389D">
            <w:pPr>
              <w:spacing w:before="91" w:line="195" w:lineRule="auto"/>
              <w:ind w:left="40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1000</w:t>
            </w:r>
          </w:p>
        </w:tc>
        <w:tc>
          <w:tcPr>
            <w:tcW w:w="2025" w:type="dxa"/>
            <w:vAlign w:val="top"/>
          </w:tcPr>
          <w:p w14:paraId="65F3F9D8">
            <w:pPr>
              <w:spacing w:before="91" w:line="195" w:lineRule="auto"/>
              <w:ind w:left="67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01546</w:t>
            </w:r>
          </w:p>
        </w:tc>
        <w:tc>
          <w:tcPr>
            <w:tcW w:w="1080" w:type="dxa"/>
            <w:vAlign w:val="top"/>
          </w:tcPr>
          <w:p w14:paraId="14FC5521">
            <w:pPr>
              <w:spacing w:before="91" w:line="198" w:lineRule="auto"/>
              <w:ind w:left="3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72</w:t>
            </w:r>
          </w:p>
        </w:tc>
        <w:tc>
          <w:tcPr>
            <w:tcW w:w="2040" w:type="dxa"/>
            <w:vAlign w:val="top"/>
          </w:tcPr>
          <w:p w14:paraId="0CDAB8E2">
            <w:pPr>
              <w:spacing w:before="91" w:line="195" w:lineRule="auto"/>
              <w:ind w:left="68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03263</w:t>
            </w:r>
          </w:p>
        </w:tc>
        <w:tc>
          <w:tcPr>
            <w:tcW w:w="1041" w:type="dxa"/>
            <w:tcBorders>
              <w:right w:val="nil"/>
            </w:tcBorders>
            <w:vAlign w:val="top"/>
          </w:tcPr>
          <w:p w14:paraId="7B3DE2BE">
            <w:pPr>
              <w:spacing w:before="91" w:line="198" w:lineRule="auto"/>
              <w:ind w:left="35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63</w:t>
            </w:r>
          </w:p>
        </w:tc>
      </w:tr>
      <w:tr w14:paraId="138E6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43" w:type="dxa"/>
            <w:tcBorders>
              <w:left w:val="nil"/>
            </w:tcBorders>
            <w:vAlign w:val="top"/>
          </w:tcPr>
          <w:p w14:paraId="597BD72F">
            <w:pPr>
              <w:spacing w:before="91" w:line="195" w:lineRule="auto"/>
              <w:ind w:left="49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3</w:t>
            </w:r>
          </w:p>
        </w:tc>
        <w:tc>
          <w:tcPr>
            <w:tcW w:w="1191" w:type="dxa"/>
            <w:vAlign w:val="top"/>
          </w:tcPr>
          <w:p w14:paraId="0E3B7A12">
            <w:pPr>
              <w:spacing w:before="91" w:line="195" w:lineRule="auto"/>
              <w:ind w:left="41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100</w:t>
            </w:r>
          </w:p>
        </w:tc>
        <w:tc>
          <w:tcPr>
            <w:tcW w:w="2025" w:type="dxa"/>
            <w:vAlign w:val="top"/>
          </w:tcPr>
          <w:p w14:paraId="7E92A2AD">
            <w:pPr>
              <w:spacing w:before="91" w:line="195" w:lineRule="auto"/>
              <w:ind w:left="67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01349</w:t>
            </w:r>
          </w:p>
        </w:tc>
        <w:tc>
          <w:tcPr>
            <w:tcW w:w="1080" w:type="dxa"/>
            <w:vAlign w:val="top"/>
          </w:tcPr>
          <w:p w14:paraId="55F2607F">
            <w:pPr>
              <w:spacing w:before="91" w:line="198" w:lineRule="auto"/>
              <w:ind w:left="3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50</w:t>
            </w:r>
          </w:p>
        </w:tc>
        <w:tc>
          <w:tcPr>
            <w:tcW w:w="2040" w:type="dxa"/>
            <w:vAlign w:val="top"/>
          </w:tcPr>
          <w:p w14:paraId="65D8CA4F">
            <w:pPr>
              <w:spacing w:before="91" w:line="195" w:lineRule="auto"/>
              <w:ind w:left="68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02847</w:t>
            </w:r>
          </w:p>
        </w:tc>
        <w:tc>
          <w:tcPr>
            <w:tcW w:w="1041" w:type="dxa"/>
            <w:tcBorders>
              <w:right w:val="nil"/>
            </w:tcBorders>
            <w:vAlign w:val="top"/>
          </w:tcPr>
          <w:p w14:paraId="7B7A554A">
            <w:pPr>
              <w:spacing w:before="91" w:line="198" w:lineRule="auto"/>
              <w:ind w:left="35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42</w:t>
            </w:r>
          </w:p>
        </w:tc>
      </w:tr>
      <w:tr w14:paraId="517ED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43" w:type="dxa"/>
            <w:tcBorders>
              <w:left w:val="nil"/>
            </w:tcBorders>
            <w:vAlign w:val="top"/>
          </w:tcPr>
          <w:p w14:paraId="5EA7EB98">
            <w:pPr>
              <w:spacing w:before="90" w:line="195" w:lineRule="auto"/>
              <w:ind w:left="49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4</w:t>
            </w:r>
          </w:p>
        </w:tc>
        <w:tc>
          <w:tcPr>
            <w:tcW w:w="1191" w:type="dxa"/>
            <w:vAlign w:val="top"/>
          </w:tcPr>
          <w:p w14:paraId="1B8AF199">
            <w:pPr>
              <w:spacing w:before="90" w:line="195" w:lineRule="auto"/>
              <w:ind w:left="40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1200</w:t>
            </w:r>
          </w:p>
        </w:tc>
        <w:tc>
          <w:tcPr>
            <w:tcW w:w="2025" w:type="dxa"/>
            <w:vAlign w:val="top"/>
          </w:tcPr>
          <w:p w14:paraId="5EBB2604">
            <w:pPr>
              <w:spacing w:before="91" w:line="195" w:lineRule="auto"/>
              <w:ind w:left="67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01191</w:t>
            </w:r>
          </w:p>
        </w:tc>
        <w:tc>
          <w:tcPr>
            <w:tcW w:w="1080" w:type="dxa"/>
            <w:vAlign w:val="top"/>
          </w:tcPr>
          <w:p w14:paraId="35ADE771">
            <w:pPr>
              <w:spacing w:before="90" w:line="198" w:lineRule="auto"/>
              <w:ind w:left="3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32</w:t>
            </w:r>
          </w:p>
        </w:tc>
        <w:tc>
          <w:tcPr>
            <w:tcW w:w="2040" w:type="dxa"/>
            <w:vAlign w:val="top"/>
          </w:tcPr>
          <w:p w14:paraId="7A00E177">
            <w:pPr>
              <w:spacing w:before="91" w:line="195" w:lineRule="auto"/>
              <w:ind w:left="68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02514</w:t>
            </w:r>
          </w:p>
        </w:tc>
        <w:tc>
          <w:tcPr>
            <w:tcW w:w="1041" w:type="dxa"/>
            <w:tcBorders>
              <w:right w:val="nil"/>
            </w:tcBorders>
            <w:vAlign w:val="top"/>
          </w:tcPr>
          <w:p w14:paraId="0DF19F20">
            <w:pPr>
              <w:spacing w:before="90" w:line="198" w:lineRule="auto"/>
              <w:ind w:left="35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26</w:t>
            </w:r>
          </w:p>
        </w:tc>
      </w:tr>
      <w:tr w14:paraId="6B2CDE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43" w:type="dxa"/>
            <w:tcBorders>
              <w:left w:val="nil"/>
            </w:tcBorders>
            <w:vAlign w:val="top"/>
          </w:tcPr>
          <w:p w14:paraId="36C0E786">
            <w:pPr>
              <w:spacing w:before="90" w:line="195" w:lineRule="auto"/>
              <w:ind w:left="49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c>
          <w:tcPr>
            <w:tcW w:w="1191" w:type="dxa"/>
            <w:vAlign w:val="top"/>
          </w:tcPr>
          <w:p w14:paraId="21DB8A4A">
            <w:pPr>
              <w:spacing w:before="90" w:line="195" w:lineRule="auto"/>
              <w:ind w:left="40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1300</w:t>
            </w:r>
          </w:p>
        </w:tc>
        <w:tc>
          <w:tcPr>
            <w:tcW w:w="2025" w:type="dxa"/>
            <w:vAlign w:val="top"/>
          </w:tcPr>
          <w:p w14:paraId="3D3CDF3F">
            <w:pPr>
              <w:spacing w:before="90" w:line="195" w:lineRule="auto"/>
              <w:ind w:left="73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.0106</w:t>
            </w:r>
          </w:p>
        </w:tc>
        <w:tc>
          <w:tcPr>
            <w:tcW w:w="1080" w:type="dxa"/>
            <w:vAlign w:val="top"/>
          </w:tcPr>
          <w:p w14:paraId="1FFBC816">
            <w:pPr>
              <w:spacing w:before="90" w:line="195" w:lineRule="auto"/>
              <w:ind w:left="377"/>
              <w:rPr>
                <w:rFonts w:ascii="Times New Roman" w:hAnsi="Times New Roman" w:eastAsia="Times New Roman" w:cs="Times New Roman"/>
                <w:sz w:val="20"/>
                <w:szCs w:val="20"/>
              </w:rPr>
            </w:pPr>
            <w:r>
              <w:rPr>
                <w:rFonts w:ascii="Times New Roman" w:hAnsi="Times New Roman" w:eastAsia="Times New Roman" w:cs="Times New Roman"/>
                <w:spacing w:val="-12"/>
                <w:sz w:val="20"/>
                <w:szCs w:val="20"/>
              </w:rPr>
              <w:t>1</w:t>
            </w:r>
            <w:r>
              <w:rPr>
                <w:rFonts w:ascii="Times New Roman" w:hAnsi="Times New Roman" w:eastAsia="Times New Roman" w:cs="Times New Roman"/>
                <w:spacing w:val="-11"/>
                <w:sz w:val="20"/>
                <w:szCs w:val="20"/>
              </w:rPr>
              <w:t>. 18</w:t>
            </w:r>
          </w:p>
        </w:tc>
        <w:tc>
          <w:tcPr>
            <w:tcW w:w="2040" w:type="dxa"/>
            <w:vAlign w:val="top"/>
          </w:tcPr>
          <w:p w14:paraId="6C9C0D92">
            <w:pPr>
              <w:spacing w:before="90" w:line="195" w:lineRule="auto"/>
              <w:ind w:left="68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02238</w:t>
            </w:r>
          </w:p>
        </w:tc>
        <w:tc>
          <w:tcPr>
            <w:tcW w:w="1041" w:type="dxa"/>
            <w:tcBorders>
              <w:right w:val="nil"/>
            </w:tcBorders>
            <w:vAlign w:val="top"/>
          </w:tcPr>
          <w:p w14:paraId="068411CB">
            <w:pPr>
              <w:spacing w:before="90" w:line="198" w:lineRule="auto"/>
              <w:ind w:left="358"/>
              <w:rPr>
                <w:rFonts w:ascii="Times New Roman" w:hAnsi="Times New Roman" w:eastAsia="Times New Roman" w:cs="Times New Roman"/>
                <w:sz w:val="20"/>
                <w:szCs w:val="20"/>
              </w:rPr>
            </w:pPr>
            <w:r>
              <w:rPr>
                <w:rFonts w:ascii="Times New Roman" w:hAnsi="Times New Roman" w:eastAsia="Times New Roman" w:cs="Times New Roman"/>
                <w:spacing w:val="-12"/>
                <w:sz w:val="20"/>
                <w:szCs w:val="20"/>
              </w:rPr>
              <w:t>1</w:t>
            </w:r>
            <w:r>
              <w:rPr>
                <w:rFonts w:ascii="Times New Roman" w:hAnsi="Times New Roman" w:eastAsia="Times New Roman" w:cs="Times New Roman"/>
                <w:spacing w:val="-11"/>
                <w:sz w:val="20"/>
                <w:szCs w:val="20"/>
              </w:rPr>
              <w:t>. 12</w:t>
            </w:r>
          </w:p>
        </w:tc>
      </w:tr>
      <w:tr w14:paraId="1BF434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43" w:type="dxa"/>
            <w:tcBorders>
              <w:left w:val="nil"/>
            </w:tcBorders>
            <w:vAlign w:val="top"/>
          </w:tcPr>
          <w:p w14:paraId="5AA41507">
            <w:pPr>
              <w:spacing w:before="93" w:line="195" w:lineRule="auto"/>
              <w:ind w:left="49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6</w:t>
            </w:r>
          </w:p>
        </w:tc>
        <w:tc>
          <w:tcPr>
            <w:tcW w:w="1191" w:type="dxa"/>
            <w:vAlign w:val="top"/>
          </w:tcPr>
          <w:p w14:paraId="3884C441">
            <w:pPr>
              <w:spacing w:before="93" w:line="195" w:lineRule="auto"/>
              <w:ind w:left="40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1400</w:t>
            </w:r>
          </w:p>
        </w:tc>
        <w:tc>
          <w:tcPr>
            <w:tcW w:w="2025" w:type="dxa"/>
            <w:vAlign w:val="top"/>
          </w:tcPr>
          <w:p w14:paraId="4B9FFE6E">
            <w:pPr>
              <w:spacing w:before="93" w:line="195" w:lineRule="auto"/>
              <w:ind w:left="62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0.00951</w:t>
            </w:r>
            <w:r>
              <w:rPr>
                <w:rFonts w:ascii="Times New Roman" w:hAnsi="Times New Roman" w:eastAsia="Times New Roman" w:cs="Times New Roman"/>
                <w:spacing w:val="2"/>
                <w:sz w:val="20"/>
                <w:szCs w:val="20"/>
              </w:rPr>
              <w:t>5</w:t>
            </w:r>
          </w:p>
        </w:tc>
        <w:tc>
          <w:tcPr>
            <w:tcW w:w="1080" w:type="dxa"/>
            <w:vAlign w:val="top"/>
          </w:tcPr>
          <w:p w14:paraId="2F194319">
            <w:pPr>
              <w:spacing w:before="93" w:line="198" w:lineRule="auto"/>
              <w:ind w:left="3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06</w:t>
            </w:r>
          </w:p>
        </w:tc>
        <w:tc>
          <w:tcPr>
            <w:tcW w:w="2040" w:type="dxa"/>
            <w:vAlign w:val="top"/>
          </w:tcPr>
          <w:p w14:paraId="07D997BA">
            <w:pPr>
              <w:spacing w:before="93" w:line="195" w:lineRule="auto"/>
              <w:ind w:left="68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02009</w:t>
            </w:r>
          </w:p>
        </w:tc>
        <w:tc>
          <w:tcPr>
            <w:tcW w:w="1041" w:type="dxa"/>
            <w:tcBorders>
              <w:right w:val="nil"/>
            </w:tcBorders>
            <w:vAlign w:val="top"/>
          </w:tcPr>
          <w:p w14:paraId="4E6064DC">
            <w:pPr>
              <w:spacing w:before="93" w:line="198" w:lineRule="auto"/>
              <w:ind w:left="35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00</w:t>
            </w:r>
          </w:p>
        </w:tc>
      </w:tr>
      <w:tr w14:paraId="1D60C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43" w:type="dxa"/>
            <w:tcBorders>
              <w:left w:val="nil"/>
            </w:tcBorders>
            <w:vAlign w:val="top"/>
          </w:tcPr>
          <w:p w14:paraId="41BF90C1">
            <w:pPr>
              <w:spacing w:before="92" w:line="195" w:lineRule="auto"/>
              <w:ind w:left="49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7</w:t>
            </w:r>
          </w:p>
        </w:tc>
        <w:tc>
          <w:tcPr>
            <w:tcW w:w="1191" w:type="dxa"/>
            <w:vAlign w:val="top"/>
          </w:tcPr>
          <w:p w14:paraId="2BB1659C">
            <w:pPr>
              <w:spacing w:before="92" w:line="195" w:lineRule="auto"/>
              <w:ind w:left="40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1500</w:t>
            </w:r>
          </w:p>
        </w:tc>
        <w:tc>
          <w:tcPr>
            <w:tcW w:w="2025" w:type="dxa"/>
            <w:vAlign w:val="top"/>
          </w:tcPr>
          <w:p w14:paraId="4821F98C">
            <w:pPr>
              <w:spacing w:before="93" w:line="195" w:lineRule="auto"/>
              <w:ind w:left="62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0.00860</w:t>
            </w:r>
            <w:r>
              <w:rPr>
                <w:rFonts w:ascii="Times New Roman" w:hAnsi="Times New Roman" w:eastAsia="Times New Roman" w:cs="Times New Roman"/>
                <w:spacing w:val="2"/>
                <w:sz w:val="20"/>
                <w:szCs w:val="20"/>
              </w:rPr>
              <w:t>5</w:t>
            </w:r>
          </w:p>
        </w:tc>
        <w:tc>
          <w:tcPr>
            <w:tcW w:w="1080" w:type="dxa"/>
            <w:vAlign w:val="top"/>
          </w:tcPr>
          <w:p w14:paraId="5F935359">
            <w:pPr>
              <w:spacing w:before="93" w:line="195" w:lineRule="auto"/>
              <w:ind w:left="36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.96</w:t>
            </w:r>
          </w:p>
        </w:tc>
        <w:tc>
          <w:tcPr>
            <w:tcW w:w="2040" w:type="dxa"/>
            <w:vAlign w:val="top"/>
          </w:tcPr>
          <w:p w14:paraId="05F470DB">
            <w:pPr>
              <w:spacing w:before="93" w:line="195" w:lineRule="auto"/>
              <w:ind w:left="68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01817</w:t>
            </w:r>
          </w:p>
        </w:tc>
        <w:tc>
          <w:tcPr>
            <w:tcW w:w="1041" w:type="dxa"/>
            <w:tcBorders>
              <w:right w:val="nil"/>
            </w:tcBorders>
            <w:vAlign w:val="top"/>
          </w:tcPr>
          <w:p w14:paraId="56CE756B">
            <w:pPr>
              <w:spacing w:before="93" w:line="195" w:lineRule="auto"/>
              <w:ind w:left="34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.91</w:t>
            </w:r>
          </w:p>
        </w:tc>
      </w:tr>
      <w:tr w14:paraId="4E460C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43" w:type="dxa"/>
            <w:tcBorders>
              <w:left w:val="nil"/>
            </w:tcBorders>
            <w:vAlign w:val="top"/>
          </w:tcPr>
          <w:p w14:paraId="71F32A14">
            <w:pPr>
              <w:spacing w:before="92" w:line="195" w:lineRule="auto"/>
              <w:ind w:left="49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8</w:t>
            </w:r>
          </w:p>
        </w:tc>
        <w:tc>
          <w:tcPr>
            <w:tcW w:w="1191" w:type="dxa"/>
            <w:vAlign w:val="top"/>
          </w:tcPr>
          <w:p w14:paraId="06EB6572">
            <w:pPr>
              <w:spacing w:before="92" w:line="195" w:lineRule="auto"/>
              <w:ind w:left="40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1600</w:t>
            </w:r>
          </w:p>
        </w:tc>
        <w:tc>
          <w:tcPr>
            <w:tcW w:w="2025" w:type="dxa"/>
            <w:vAlign w:val="top"/>
          </w:tcPr>
          <w:p w14:paraId="7D97D49E">
            <w:pPr>
              <w:spacing w:before="92" w:line="195" w:lineRule="auto"/>
              <w:ind w:left="62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0.00782</w:t>
            </w:r>
            <w:r>
              <w:rPr>
                <w:rFonts w:ascii="Times New Roman" w:hAnsi="Times New Roman" w:eastAsia="Times New Roman" w:cs="Times New Roman"/>
                <w:spacing w:val="2"/>
                <w:sz w:val="20"/>
                <w:szCs w:val="20"/>
              </w:rPr>
              <w:t>3</w:t>
            </w:r>
          </w:p>
        </w:tc>
        <w:tc>
          <w:tcPr>
            <w:tcW w:w="1080" w:type="dxa"/>
            <w:vAlign w:val="top"/>
          </w:tcPr>
          <w:p w14:paraId="694A8552">
            <w:pPr>
              <w:spacing w:before="92" w:line="195" w:lineRule="auto"/>
              <w:ind w:left="36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.87</w:t>
            </w:r>
          </w:p>
        </w:tc>
        <w:tc>
          <w:tcPr>
            <w:tcW w:w="2040" w:type="dxa"/>
            <w:vAlign w:val="top"/>
          </w:tcPr>
          <w:p w14:paraId="0C9CEB90">
            <w:pPr>
              <w:spacing w:before="92" w:line="195" w:lineRule="auto"/>
              <w:ind w:left="68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01652</w:t>
            </w:r>
          </w:p>
        </w:tc>
        <w:tc>
          <w:tcPr>
            <w:tcW w:w="1041" w:type="dxa"/>
            <w:tcBorders>
              <w:right w:val="nil"/>
            </w:tcBorders>
            <w:vAlign w:val="top"/>
          </w:tcPr>
          <w:p w14:paraId="2B77A43D">
            <w:pPr>
              <w:spacing w:before="92" w:line="195" w:lineRule="auto"/>
              <w:ind w:left="34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.83</w:t>
            </w:r>
          </w:p>
        </w:tc>
      </w:tr>
      <w:tr w14:paraId="534B78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43" w:type="dxa"/>
            <w:tcBorders>
              <w:left w:val="nil"/>
            </w:tcBorders>
            <w:vAlign w:val="top"/>
          </w:tcPr>
          <w:p w14:paraId="34E8ECFB">
            <w:pPr>
              <w:spacing w:before="92" w:line="195" w:lineRule="auto"/>
              <w:ind w:left="49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9</w:t>
            </w:r>
          </w:p>
        </w:tc>
        <w:tc>
          <w:tcPr>
            <w:tcW w:w="1191" w:type="dxa"/>
            <w:vAlign w:val="top"/>
          </w:tcPr>
          <w:p w14:paraId="2227F6CA">
            <w:pPr>
              <w:spacing w:before="92" w:line="195" w:lineRule="auto"/>
              <w:ind w:left="40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1700</w:t>
            </w:r>
          </w:p>
        </w:tc>
        <w:tc>
          <w:tcPr>
            <w:tcW w:w="2025" w:type="dxa"/>
            <w:vAlign w:val="top"/>
          </w:tcPr>
          <w:p w14:paraId="222AE6B9">
            <w:pPr>
              <w:spacing w:before="92" w:line="195" w:lineRule="auto"/>
              <w:ind w:left="62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0.00714</w:t>
            </w:r>
            <w:r>
              <w:rPr>
                <w:rFonts w:ascii="Times New Roman" w:hAnsi="Times New Roman" w:eastAsia="Times New Roman" w:cs="Times New Roman"/>
                <w:spacing w:val="2"/>
                <w:sz w:val="20"/>
                <w:szCs w:val="20"/>
              </w:rPr>
              <w:t>7</w:t>
            </w:r>
          </w:p>
        </w:tc>
        <w:tc>
          <w:tcPr>
            <w:tcW w:w="1080" w:type="dxa"/>
            <w:vAlign w:val="top"/>
          </w:tcPr>
          <w:p w14:paraId="2769B5CF">
            <w:pPr>
              <w:spacing w:before="92" w:line="195" w:lineRule="auto"/>
              <w:ind w:left="36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.79</w:t>
            </w:r>
          </w:p>
        </w:tc>
        <w:tc>
          <w:tcPr>
            <w:tcW w:w="2040" w:type="dxa"/>
            <w:vAlign w:val="top"/>
          </w:tcPr>
          <w:p w14:paraId="32222562">
            <w:pPr>
              <w:spacing w:before="92" w:line="195" w:lineRule="auto"/>
              <w:ind w:left="68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01509</w:t>
            </w:r>
          </w:p>
        </w:tc>
        <w:tc>
          <w:tcPr>
            <w:tcW w:w="1041" w:type="dxa"/>
            <w:tcBorders>
              <w:right w:val="nil"/>
            </w:tcBorders>
            <w:vAlign w:val="top"/>
          </w:tcPr>
          <w:p w14:paraId="4E9D76BC">
            <w:pPr>
              <w:spacing w:before="92" w:line="195" w:lineRule="auto"/>
              <w:ind w:left="34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.75</w:t>
            </w:r>
          </w:p>
        </w:tc>
      </w:tr>
      <w:tr w14:paraId="32EF5E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43" w:type="dxa"/>
            <w:tcBorders>
              <w:left w:val="nil"/>
            </w:tcBorders>
            <w:vAlign w:val="top"/>
          </w:tcPr>
          <w:p w14:paraId="7950E96A">
            <w:pPr>
              <w:spacing w:before="91" w:line="195" w:lineRule="auto"/>
              <w:ind w:left="47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0</w:t>
            </w:r>
          </w:p>
        </w:tc>
        <w:tc>
          <w:tcPr>
            <w:tcW w:w="1191" w:type="dxa"/>
            <w:vAlign w:val="top"/>
          </w:tcPr>
          <w:p w14:paraId="0FF77515">
            <w:pPr>
              <w:spacing w:before="91" w:line="195" w:lineRule="auto"/>
              <w:ind w:left="40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1800</w:t>
            </w:r>
          </w:p>
        </w:tc>
        <w:tc>
          <w:tcPr>
            <w:tcW w:w="2025" w:type="dxa"/>
            <w:vAlign w:val="top"/>
          </w:tcPr>
          <w:p w14:paraId="27B9121A">
            <w:pPr>
              <w:spacing w:before="92" w:line="195" w:lineRule="auto"/>
              <w:ind w:left="62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0.00656</w:t>
            </w:r>
            <w:r>
              <w:rPr>
                <w:rFonts w:ascii="Times New Roman" w:hAnsi="Times New Roman" w:eastAsia="Times New Roman" w:cs="Times New Roman"/>
                <w:spacing w:val="2"/>
                <w:sz w:val="20"/>
                <w:szCs w:val="20"/>
              </w:rPr>
              <w:t>4</w:t>
            </w:r>
          </w:p>
        </w:tc>
        <w:tc>
          <w:tcPr>
            <w:tcW w:w="1080" w:type="dxa"/>
            <w:vAlign w:val="top"/>
          </w:tcPr>
          <w:p w14:paraId="1BADDCB9">
            <w:pPr>
              <w:spacing w:before="92" w:line="195" w:lineRule="auto"/>
              <w:ind w:left="36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.73</w:t>
            </w:r>
          </w:p>
        </w:tc>
        <w:tc>
          <w:tcPr>
            <w:tcW w:w="2040" w:type="dxa"/>
            <w:vAlign w:val="top"/>
          </w:tcPr>
          <w:p w14:paraId="5AD1926F">
            <w:pPr>
              <w:spacing w:before="92" w:line="195" w:lineRule="auto"/>
              <w:ind w:left="68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01386</w:t>
            </w:r>
          </w:p>
        </w:tc>
        <w:tc>
          <w:tcPr>
            <w:tcW w:w="1041" w:type="dxa"/>
            <w:tcBorders>
              <w:right w:val="nil"/>
            </w:tcBorders>
            <w:vAlign w:val="top"/>
          </w:tcPr>
          <w:p w14:paraId="3166F44E">
            <w:pPr>
              <w:spacing w:before="92" w:line="195" w:lineRule="auto"/>
              <w:ind w:left="34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.69</w:t>
            </w:r>
          </w:p>
        </w:tc>
      </w:tr>
      <w:tr w14:paraId="6765C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43" w:type="dxa"/>
            <w:tcBorders>
              <w:left w:val="nil"/>
            </w:tcBorders>
            <w:vAlign w:val="top"/>
          </w:tcPr>
          <w:p w14:paraId="38DC9FDD">
            <w:pPr>
              <w:spacing w:before="91" w:line="195" w:lineRule="auto"/>
              <w:ind w:left="47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1</w:t>
            </w:r>
          </w:p>
        </w:tc>
        <w:tc>
          <w:tcPr>
            <w:tcW w:w="1191" w:type="dxa"/>
            <w:vAlign w:val="top"/>
          </w:tcPr>
          <w:p w14:paraId="243F7634">
            <w:pPr>
              <w:spacing w:before="91" w:line="195" w:lineRule="auto"/>
              <w:ind w:left="40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1900</w:t>
            </w:r>
          </w:p>
        </w:tc>
        <w:tc>
          <w:tcPr>
            <w:tcW w:w="2025" w:type="dxa"/>
            <w:vAlign w:val="top"/>
          </w:tcPr>
          <w:p w14:paraId="041C9101">
            <w:pPr>
              <w:spacing w:before="91" w:line="195" w:lineRule="auto"/>
              <w:ind w:left="62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0.00605</w:t>
            </w:r>
            <w:r>
              <w:rPr>
                <w:rFonts w:ascii="Times New Roman" w:hAnsi="Times New Roman" w:eastAsia="Times New Roman" w:cs="Times New Roman"/>
                <w:spacing w:val="2"/>
                <w:sz w:val="20"/>
                <w:szCs w:val="20"/>
              </w:rPr>
              <w:t>6</w:t>
            </w:r>
          </w:p>
        </w:tc>
        <w:tc>
          <w:tcPr>
            <w:tcW w:w="1080" w:type="dxa"/>
            <w:vAlign w:val="top"/>
          </w:tcPr>
          <w:p w14:paraId="49596169">
            <w:pPr>
              <w:spacing w:before="91" w:line="195" w:lineRule="auto"/>
              <w:ind w:left="36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.67</w:t>
            </w:r>
          </w:p>
        </w:tc>
        <w:tc>
          <w:tcPr>
            <w:tcW w:w="2040" w:type="dxa"/>
            <w:vAlign w:val="top"/>
          </w:tcPr>
          <w:p w14:paraId="5DD8A4B2">
            <w:pPr>
              <w:spacing w:before="91" w:line="195" w:lineRule="auto"/>
              <w:ind w:left="68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01279</w:t>
            </w:r>
          </w:p>
        </w:tc>
        <w:tc>
          <w:tcPr>
            <w:tcW w:w="1041" w:type="dxa"/>
            <w:tcBorders>
              <w:right w:val="nil"/>
            </w:tcBorders>
            <w:vAlign w:val="top"/>
          </w:tcPr>
          <w:p w14:paraId="237E608A">
            <w:pPr>
              <w:spacing w:before="91" w:line="195" w:lineRule="auto"/>
              <w:ind w:left="34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.64</w:t>
            </w:r>
          </w:p>
        </w:tc>
      </w:tr>
      <w:tr w14:paraId="7A21E0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43" w:type="dxa"/>
            <w:tcBorders>
              <w:left w:val="nil"/>
            </w:tcBorders>
            <w:vAlign w:val="top"/>
          </w:tcPr>
          <w:p w14:paraId="36CEF870">
            <w:pPr>
              <w:spacing w:before="93" w:line="195" w:lineRule="auto"/>
              <w:ind w:left="47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2</w:t>
            </w:r>
          </w:p>
        </w:tc>
        <w:tc>
          <w:tcPr>
            <w:tcW w:w="1191" w:type="dxa"/>
            <w:vAlign w:val="top"/>
          </w:tcPr>
          <w:p w14:paraId="425C5915">
            <w:pPr>
              <w:spacing w:before="93" w:line="195" w:lineRule="auto"/>
              <w:ind w:left="38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2000</w:t>
            </w:r>
          </w:p>
        </w:tc>
        <w:tc>
          <w:tcPr>
            <w:tcW w:w="2025" w:type="dxa"/>
            <w:vAlign w:val="top"/>
          </w:tcPr>
          <w:p w14:paraId="5B5AAB25">
            <w:pPr>
              <w:spacing w:before="93" w:line="195" w:lineRule="auto"/>
              <w:ind w:left="62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0.00561</w:t>
            </w:r>
            <w:r>
              <w:rPr>
                <w:rFonts w:ascii="Times New Roman" w:hAnsi="Times New Roman" w:eastAsia="Times New Roman" w:cs="Times New Roman"/>
                <w:spacing w:val="2"/>
                <w:sz w:val="20"/>
                <w:szCs w:val="20"/>
              </w:rPr>
              <w:t>5</w:t>
            </w:r>
          </w:p>
        </w:tc>
        <w:tc>
          <w:tcPr>
            <w:tcW w:w="1080" w:type="dxa"/>
            <w:vAlign w:val="top"/>
          </w:tcPr>
          <w:p w14:paraId="690682DE">
            <w:pPr>
              <w:spacing w:before="93" w:line="195" w:lineRule="auto"/>
              <w:ind w:left="36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.62</w:t>
            </w:r>
          </w:p>
        </w:tc>
        <w:tc>
          <w:tcPr>
            <w:tcW w:w="2040" w:type="dxa"/>
            <w:vAlign w:val="top"/>
          </w:tcPr>
          <w:p w14:paraId="2B4C0BE4">
            <w:pPr>
              <w:spacing w:before="93" w:line="195" w:lineRule="auto"/>
              <w:ind w:left="68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01185</w:t>
            </w:r>
          </w:p>
        </w:tc>
        <w:tc>
          <w:tcPr>
            <w:tcW w:w="1041" w:type="dxa"/>
            <w:tcBorders>
              <w:right w:val="nil"/>
            </w:tcBorders>
            <w:vAlign w:val="top"/>
          </w:tcPr>
          <w:p w14:paraId="4A7B7442">
            <w:pPr>
              <w:spacing w:before="93" w:line="195" w:lineRule="auto"/>
              <w:ind w:left="34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.59</w:t>
            </w:r>
          </w:p>
        </w:tc>
      </w:tr>
      <w:tr w14:paraId="7DC4C8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34" w:type="dxa"/>
            <w:gridSpan w:val="2"/>
            <w:tcBorders>
              <w:left w:val="nil"/>
            </w:tcBorders>
            <w:vAlign w:val="top"/>
          </w:tcPr>
          <w:p w14:paraId="4C2A87E8">
            <w:pPr>
              <w:spacing w:before="63" w:line="228" w:lineRule="auto"/>
              <w:ind w:left="131"/>
              <w:rPr>
                <w:rFonts w:ascii="宋体" w:hAnsi="宋体" w:eastAsia="宋体" w:cs="宋体"/>
                <w:sz w:val="20"/>
                <w:szCs w:val="20"/>
              </w:rPr>
            </w:pPr>
            <w:r>
              <w:rPr>
                <w:rFonts w:ascii="宋体" w:hAnsi="宋体" w:eastAsia="宋体" w:cs="宋体"/>
                <w:spacing w:val="11"/>
                <w:sz w:val="20"/>
                <w:szCs w:val="20"/>
              </w:rPr>
              <w:t>下</w:t>
            </w:r>
            <w:r>
              <w:rPr>
                <w:rFonts w:ascii="宋体" w:hAnsi="宋体" w:eastAsia="宋体" w:cs="宋体"/>
                <w:spacing w:val="8"/>
                <w:sz w:val="20"/>
                <w:szCs w:val="20"/>
              </w:rPr>
              <w:t>风向最大落地点浓度</w:t>
            </w:r>
          </w:p>
        </w:tc>
        <w:tc>
          <w:tcPr>
            <w:tcW w:w="2025" w:type="dxa"/>
            <w:vAlign w:val="top"/>
          </w:tcPr>
          <w:p w14:paraId="269CBE91">
            <w:pPr>
              <w:spacing w:before="93" w:line="195" w:lineRule="auto"/>
              <w:ind w:left="67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08286</w:t>
            </w:r>
          </w:p>
        </w:tc>
        <w:tc>
          <w:tcPr>
            <w:tcW w:w="1080" w:type="dxa"/>
            <w:vAlign w:val="top"/>
          </w:tcPr>
          <w:p w14:paraId="0741F5CE">
            <w:pPr>
              <w:spacing w:before="92" w:line="195" w:lineRule="auto"/>
              <w:ind w:left="36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9</w:t>
            </w:r>
            <w:r>
              <w:rPr>
                <w:rFonts w:ascii="Times New Roman" w:hAnsi="Times New Roman" w:eastAsia="Times New Roman" w:cs="Times New Roman"/>
                <w:spacing w:val="2"/>
                <w:sz w:val="20"/>
                <w:szCs w:val="20"/>
              </w:rPr>
              <w:t>.21</w:t>
            </w:r>
          </w:p>
        </w:tc>
        <w:tc>
          <w:tcPr>
            <w:tcW w:w="2040" w:type="dxa"/>
            <w:vAlign w:val="top"/>
          </w:tcPr>
          <w:p w14:paraId="08E32186">
            <w:pPr>
              <w:spacing w:before="92" w:line="195" w:lineRule="auto"/>
              <w:ind w:left="735"/>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0</w:t>
            </w:r>
            <w:r>
              <w:rPr>
                <w:rFonts w:ascii="Times New Roman" w:hAnsi="Times New Roman" w:eastAsia="Times New Roman" w:cs="Times New Roman"/>
                <w:spacing w:val="-4"/>
                <w:sz w:val="20"/>
                <w:szCs w:val="20"/>
              </w:rPr>
              <w:t>. 1749</w:t>
            </w:r>
          </w:p>
        </w:tc>
        <w:tc>
          <w:tcPr>
            <w:tcW w:w="1041" w:type="dxa"/>
            <w:tcBorders>
              <w:right w:val="nil"/>
            </w:tcBorders>
            <w:vAlign w:val="top"/>
          </w:tcPr>
          <w:p w14:paraId="1221DCAA">
            <w:pPr>
              <w:spacing w:before="93" w:line="195" w:lineRule="auto"/>
              <w:ind w:left="3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w:t>
            </w:r>
            <w:r>
              <w:rPr>
                <w:rFonts w:ascii="Times New Roman" w:hAnsi="Times New Roman" w:eastAsia="Times New Roman" w:cs="Times New Roman"/>
                <w:spacing w:val="1"/>
                <w:sz w:val="20"/>
                <w:szCs w:val="20"/>
              </w:rPr>
              <w:t>.75</w:t>
            </w:r>
          </w:p>
        </w:tc>
      </w:tr>
      <w:tr w14:paraId="08F15D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334" w:type="dxa"/>
            <w:gridSpan w:val="2"/>
            <w:tcBorders>
              <w:left w:val="nil"/>
            </w:tcBorders>
            <w:vAlign w:val="top"/>
          </w:tcPr>
          <w:p w14:paraId="6FFBF859">
            <w:pPr>
              <w:spacing w:before="19" w:line="281" w:lineRule="exact"/>
              <w:ind w:left="144"/>
              <w:rPr>
                <w:rFonts w:ascii="Times New Roman" w:hAnsi="Times New Roman" w:eastAsia="Times New Roman" w:cs="Times New Roman"/>
                <w:sz w:val="20"/>
                <w:szCs w:val="20"/>
              </w:rPr>
            </w:pPr>
            <w:r>
              <w:rPr>
                <w:rFonts w:ascii="宋体" w:hAnsi="宋体" w:eastAsia="宋体" w:cs="宋体"/>
                <w:spacing w:val="-2"/>
                <w:position w:val="2"/>
                <w:sz w:val="20"/>
                <w:szCs w:val="20"/>
              </w:rPr>
              <w:t>最大落地点浓度距离</w:t>
            </w:r>
            <w:r>
              <w:rPr>
                <w:rFonts w:ascii="Times New Roman" w:hAnsi="Times New Roman" w:eastAsia="Times New Roman" w:cs="Times New Roman"/>
                <w:spacing w:val="-1"/>
                <w:position w:val="2"/>
                <w:sz w:val="20"/>
                <w:szCs w:val="20"/>
              </w:rPr>
              <w:t>(m)</w:t>
            </w:r>
          </w:p>
        </w:tc>
        <w:tc>
          <w:tcPr>
            <w:tcW w:w="6186" w:type="dxa"/>
            <w:gridSpan w:val="4"/>
            <w:tcBorders>
              <w:right w:val="nil"/>
            </w:tcBorders>
            <w:vAlign w:val="top"/>
          </w:tcPr>
          <w:p w14:paraId="0475570C">
            <w:pPr>
              <w:spacing w:before="92" w:line="195" w:lineRule="auto"/>
              <w:ind w:left="29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180</w:t>
            </w:r>
          </w:p>
        </w:tc>
      </w:tr>
    </w:tbl>
    <w:p w14:paraId="5991561B">
      <w:pPr>
        <w:rPr>
          <w:rFonts w:ascii="Arial"/>
          <w:sz w:val="21"/>
        </w:rPr>
      </w:pPr>
    </w:p>
    <w:p w14:paraId="0BC59D35">
      <w:pPr>
        <w:sectPr>
          <w:headerReference r:id="rId211" w:type="default"/>
          <w:footerReference r:id="rId212" w:type="default"/>
          <w:pgSz w:w="11906" w:h="16839"/>
          <w:pgMar w:top="1132" w:right="1692" w:bottom="1182" w:left="1693" w:header="878" w:footer="1022" w:gutter="0"/>
          <w:cols w:space="720" w:num="1"/>
        </w:sectPr>
      </w:pPr>
    </w:p>
    <w:p w14:paraId="6C3C6975">
      <w:pPr>
        <w:spacing w:line="369" w:lineRule="auto"/>
        <w:rPr>
          <w:rFonts w:ascii="Arial"/>
          <w:sz w:val="21"/>
        </w:rPr>
      </w:pPr>
      <w:r>
        <w:pict>
          <v:shape id="_x0000_s1259" o:spid="_x0000_s1259" style="position:absolute;left:0pt;margin-left:90pt;margin-top:57.35pt;height:0.75pt;width:415.3pt;mso-position-horizontal-relative:page;mso-position-vertical-relative:page;z-index:251918336;mso-width-relative:page;mso-height-relative:page;" fillcolor="#000000" filled="t" stroked="f" coordsize="8305,15" o:allowincell="f" path="m0,0l8305,0,8305,14,0,14,0,0xe">
            <v:path/>
            <v:fill on="t" focussize="0,0"/>
            <v:stroke on="f"/>
            <v:imagedata o:title=""/>
            <o:lock v:ext="edit"/>
          </v:shape>
        </w:pict>
      </w:r>
    </w:p>
    <w:p w14:paraId="34CE2AD3">
      <w:pPr>
        <w:spacing w:before="75" w:line="386" w:lineRule="auto"/>
        <w:ind w:left="116" w:right="98" w:firstLine="480"/>
        <w:rPr>
          <w:rFonts w:ascii="宋体" w:hAnsi="宋体" w:eastAsia="宋体" w:cs="宋体"/>
          <w:sz w:val="23"/>
          <w:szCs w:val="23"/>
        </w:rPr>
      </w:pPr>
      <w:r>
        <w:rPr>
          <w:rFonts w:ascii="宋体" w:hAnsi="宋体" w:eastAsia="宋体" w:cs="宋体"/>
          <w:spacing w:val="16"/>
          <w:sz w:val="23"/>
          <w:szCs w:val="23"/>
        </w:rPr>
        <w:t>根据</w:t>
      </w:r>
      <w:r>
        <w:rPr>
          <w:rFonts w:ascii="宋体" w:hAnsi="宋体" w:eastAsia="宋体" w:cs="宋体"/>
          <w:spacing w:val="12"/>
          <w:sz w:val="23"/>
          <w:szCs w:val="23"/>
        </w:rPr>
        <w:t>预</w:t>
      </w:r>
      <w:r>
        <w:rPr>
          <w:rFonts w:ascii="宋体" w:hAnsi="宋体" w:eastAsia="宋体" w:cs="宋体"/>
          <w:spacing w:val="8"/>
          <w:sz w:val="23"/>
          <w:szCs w:val="23"/>
        </w:rPr>
        <w:t>测结果，</w:t>
      </w:r>
      <w:r>
        <w:rPr>
          <w:rFonts w:ascii="Times New Roman" w:hAnsi="Times New Roman" w:eastAsia="Times New Roman" w:cs="Times New Roman"/>
          <w:spacing w:val="8"/>
          <w:sz w:val="23"/>
          <w:szCs w:val="23"/>
        </w:rPr>
        <w:t>1#</w:t>
      </w:r>
      <w:r>
        <w:rPr>
          <w:rFonts w:ascii="宋体" w:hAnsi="宋体" w:eastAsia="宋体" w:cs="宋体"/>
          <w:spacing w:val="8"/>
          <w:sz w:val="23"/>
          <w:szCs w:val="23"/>
        </w:rPr>
        <w:t>排气筒、</w:t>
      </w:r>
      <w:r>
        <w:rPr>
          <w:rFonts w:ascii="Times New Roman" w:hAnsi="Times New Roman" w:eastAsia="Times New Roman" w:cs="Times New Roman"/>
          <w:spacing w:val="8"/>
          <w:sz w:val="23"/>
          <w:szCs w:val="23"/>
        </w:rPr>
        <w:t>2#</w:t>
      </w:r>
      <w:r>
        <w:rPr>
          <w:rFonts w:ascii="宋体" w:hAnsi="宋体" w:eastAsia="宋体" w:cs="宋体"/>
          <w:spacing w:val="8"/>
          <w:sz w:val="23"/>
          <w:szCs w:val="23"/>
        </w:rPr>
        <w:t xml:space="preserve">排气筒有组织排放的 </w:t>
      </w:r>
      <w:r>
        <w:rPr>
          <w:rFonts w:ascii="Times New Roman" w:hAnsi="Times New Roman" w:eastAsia="Times New Roman" w:cs="Times New Roman"/>
          <w:sz w:val="23"/>
          <w:szCs w:val="23"/>
        </w:rPr>
        <w:t>NMHC</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下风向最大落地</w:t>
      </w:r>
      <w:r>
        <w:rPr>
          <w:rFonts w:ascii="宋体" w:hAnsi="宋体" w:eastAsia="宋体" w:cs="宋体"/>
          <w:sz w:val="23"/>
          <w:szCs w:val="23"/>
        </w:rPr>
        <w:t xml:space="preserve"> </w:t>
      </w:r>
      <w:r>
        <w:rPr>
          <w:rFonts w:ascii="宋体" w:hAnsi="宋体" w:eastAsia="宋体" w:cs="宋体"/>
          <w:spacing w:val="8"/>
          <w:sz w:val="23"/>
          <w:szCs w:val="23"/>
        </w:rPr>
        <w:t xml:space="preserve">浓度均为 </w:t>
      </w:r>
      <w:r>
        <w:rPr>
          <w:rFonts w:ascii="Times New Roman" w:hAnsi="Times New Roman" w:eastAsia="Times New Roman" w:cs="Times New Roman"/>
          <w:spacing w:val="6"/>
          <w:sz w:val="23"/>
          <w:szCs w:val="23"/>
        </w:rPr>
        <w:t>0</w:t>
      </w:r>
      <w:r>
        <w:rPr>
          <w:rFonts w:ascii="Times New Roman" w:hAnsi="Times New Roman" w:eastAsia="Times New Roman" w:cs="Times New Roman"/>
          <w:spacing w:val="4"/>
          <w:sz w:val="23"/>
          <w:szCs w:val="23"/>
        </w:rPr>
        <w:t>.0044065</w:t>
      </w:r>
      <w:r>
        <w:rPr>
          <w:rFonts w:ascii="Times New Roman" w:hAnsi="Times New Roman" w:eastAsia="Times New Roman" w:cs="Times New Roman"/>
          <w:sz w:val="23"/>
          <w:szCs w:val="23"/>
        </w:rPr>
        <w:t>mg</w:t>
      </w:r>
      <w:r>
        <w:rPr>
          <w:rFonts w:ascii="Times New Roman" w:hAnsi="Times New Roman" w:eastAsia="Times New Roman" w:cs="Times New Roman"/>
          <w:spacing w:val="4"/>
          <w:sz w:val="23"/>
          <w:szCs w:val="23"/>
        </w:rPr>
        <w:t>/</w:t>
      </w:r>
      <w:r>
        <w:rPr>
          <w:rFonts w:ascii="Times New Roman" w:hAnsi="Times New Roman" w:eastAsia="Times New Roman" w:cs="Times New Roman"/>
          <w:sz w:val="23"/>
          <w:szCs w:val="23"/>
        </w:rPr>
        <w:t>m</w:t>
      </w:r>
      <w:r>
        <w:rPr>
          <w:rFonts w:ascii="Times New Roman" w:hAnsi="Times New Roman" w:eastAsia="Times New Roman" w:cs="Times New Roman"/>
          <w:spacing w:val="4"/>
          <w:position w:val="8"/>
          <w:sz w:val="15"/>
          <w:szCs w:val="15"/>
        </w:rPr>
        <w:t xml:space="preserve">3 </w:t>
      </w:r>
      <w:r>
        <w:rPr>
          <w:rFonts w:ascii="宋体" w:hAnsi="宋体" w:eastAsia="宋体" w:cs="宋体"/>
          <w:spacing w:val="4"/>
          <w:sz w:val="23"/>
          <w:szCs w:val="23"/>
        </w:rPr>
        <w:t xml:space="preserve">， 占标率为 </w:t>
      </w:r>
      <w:r>
        <w:rPr>
          <w:rFonts w:ascii="Times New Roman" w:hAnsi="Times New Roman" w:eastAsia="Times New Roman" w:cs="Times New Roman"/>
          <w:spacing w:val="4"/>
          <w:sz w:val="23"/>
          <w:szCs w:val="23"/>
        </w:rPr>
        <w:t>0.20%</w:t>
      </w:r>
      <w:r>
        <w:rPr>
          <w:rFonts w:ascii="宋体" w:hAnsi="宋体" w:eastAsia="宋体" w:cs="宋体"/>
          <w:spacing w:val="4"/>
          <w:sz w:val="23"/>
          <w:szCs w:val="23"/>
        </w:rPr>
        <w:t>；</w:t>
      </w:r>
      <w:r>
        <w:rPr>
          <w:rFonts w:ascii="Times New Roman" w:hAnsi="Times New Roman" w:eastAsia="Times New Roman" w:cs="Times New Roman"/>
          <w:spacing w:val="4"/>
          <w:sz w:val="23"/>
          <w:szCs w:val="23"/>
        </w:rPr>
        <w:t>3#</w:t>
      </w:r>
      <w:r>
        <w:rPr>
          <w:rFonts w:ascii="宋体" w:hAnsi="宋体" w:eastAsia="宋体" w:cs="宋体"/>
          <w:spacing w:val="4"/>
          <w:sz w:val="23"/>
          <w:szCs w:val="23"/>
        </w:rPr>
        <w:t>排气筒二氧化硫最大落地浓度</w:t>
      </w:r>
      <w:r>
        <w:rPr>
          <w:rFonts w:ascii="宋体" w:hAnsi="宋体" w:eastAsia="宋体" w:cs="宋体"/>
          <w:sz w:val="23"/>
          <w:szCs w:val="23"/>
        </w:rPr>
        <w:t xml:space="preserve"> </w:t>
      </w:r>
      <w:r>
        <w:rPr>
          <w:rFonts w:ascii="宋体" w:hAnsi="宋体" w:eastAsia="宋体" w:cs="宋体"/>
          <w:spacing w:val="-8"/>
          <w:sz w:val="23"/>
          <w:szCs w:val="23"/>
        </w:rPr>
        <w:t xml:space="preserve">是 </w:t>
      </w:r>
      <w:r>
        <w:rPr>
          <w:rFonts w:ascii="Times New Roman" w:hAnsi="Times New Roman" w:eastAsia="Times New Roman" w:cs="Times New Roman"/>
          <w:spacing w:val="-8"/>
          <w:sz w:val="23"/>
          <w:szCs w:val="23"/>
        </w:rPr>
        <w:t>0.02157mg/</w:t>
      </w:r>
      <w:r>
        <w:rPr>
          <w:rFonts w:ascii="Times New Roman" w:hAnsi="Times New Roman" w:eastAsia="Times New Roman" w:cs="Times New Roman"/>
          <w:spacing w:val="-4"/>
          <w:sz w:val="23"/>
          <w:szCs w:val="23"/>
        </w:rPr>
        <w:t>m</w:t>
      </w:r>
      <w:r>
        <w:rPr>
          <w:rFonts w:ascii="Times New Roman" w:hAnsi="Times New Roman" w:eastAsia="Times New Roman" w:cs="Times New Roman"/>
          <w:spacing w:val="-8"/>
          <w:position w:val="8"/>
          <w:sz w:val="15"/>
          <w:szCs w:val="15"/>
        </w:rPr>
        <w:t xml:space="preserve">3  </w:t>
      </w:r>
      <w:r>
        <w:rPr>
          <w:rFonts w:ascii="宋体" w:hAnsi="宋体" w:eastAsia="宋体" w:cs="宋体"/>
          <w:spacing w:val="-8"/>
          <w:sz w:val="23"/>
          <w:szCs w:val="23"/>
        </w:rPr>
        <w:t xml:space="preserve">，  占 标 百 分 比 </w:t>
      </w:r>
      <w:r>
        <w:rPr>
          <w:rFonts w:ascii="Times New Roman" w:hAnsi="Times New Roman" w:eastAsia="Times New Roman" w:cs="Times New Roman"/>
          <w:spacing w:val="-8"/>
          <w:sz w:val="23"/>
          <w:szCs w:val="23"/>
        </w:rPr>
        <w:t xml:space="preserve">4.31% </w:t>
      </w:r>
      <w:r>
        <w:rPr>
          <w:rFonts w:ascii="宋体" w:hAnsi="宋体" w:eastAsia="宋体" w:cs="宋体"/>
          <w:spacing w:val="-8"/>
          <w:sz w:val="23"/>
          <w:szCs w:val="23"/>
        </w:rPr>
        <w:t>，  二 氧 化 氮 最 大 落 地 浓 度 是</w:t>
      </w:r>
      <w:r>
        <w:rPr>
          <w:rFonts w:ascii="宋体" w:hAnsi="宋体" w:eastAsia="宋体" w:cs="宋体"/>
          <w:sz w:val="23"/>
          <w:szCs w:val="23"/>
        </w:rPr>
        <w:t xml:space="preserve"> </w:t>
      </w:r>
      <w:r>
        <w:rPr>
          <w:rFonts w:ascii="Times New Roman" w:hAnsi="Times New Roman" w:eastAsia="Times New Roman" w:cs="Times New Roman"/>
          <w:spacing w:val="5"/>
          <w:sz w:val="23"/>
          <w:szCs w:val="23"/>
        </w:rPr>
        <w:t>0.01301</w:t>
      </w:r>
      <w:r>
        <w:rPr>
          <w:rFonts w:ascii="Times New Roman" w:hAnsi="Times New Roman" w:eastAsia="Times New Roman" w:cs="Times New Roman"/>
          <w:sz w:val="23"/>
          <w:szCs w:val="23"/>
        </w:rPr>
        <w:t>mg</w:t>
      </w:r>
      <w:r>
        <w:rPr>
          <w:rFonts w:ascii="Times New Roman" w:hAnsi="Times New Roman" w:eastAsia="Times New Roman" w:cs="Times New Roman"/>
          <w:spacing w:val="5"/>
          <w:sz w:val="23"/>
          <w:szCs w:val="23"/>
        </w:rPr>
        <w:t>/</w:t>
      </w:r>
      <w:r>
        <w:rPr>
          <w:rFonts w:ascii="Times New Roman" w:hAnsi="Times New Roman" w:eastAsia="Times New Roman" w:cs="Times New Roman"/>
          <w:sz w:val="23"/>
          <w:szCs w:val="23"/>
        </w:rPr>
        <w:t>m</w:t>
      </w:r>
      <w:r>
        <w:rPr>
          <w:rFonts w:ascii="Times New Roman" w:hAnsi="Times New Roman" w:eastAsia="Times New Roman" w:cs="Times New Roman"/>
          <w:spacing w:val="5"/>
          <w:position w:val="8"/>
          <w:sz w:val="15"/>
          <w:szCs w:val="15"/>
        </w:rPr>
        <w:t xml:space="preserve">3 </w:t>
      </w:r>
      <w:r>
        <w:rPr>
          <w:rFonts w:ascii="宋体" w:hAnsi="宋体" w:eastAsia="宋体" w:cs="宋体"/>
          <w:spacing w:val="5"/>
          <w:sz w:val="23"/>
          <w:szCs w:val="23"/>
        </w:rPr>
        <w:t xml:space="preserve">，  占标百分比 </w:t>
      </w:r>
      <w:r>
        <w:rPr>
          <w:rFonts w:ascii="Times New Roman" w:hAnsi="Times New Roman" w:eastAsia="Times New Roman" w:cs="Times New Roman"/>
          <w:spacing w:val="5"/>
          <w:sz w:val="23"/>
          <w:szCs w:val="23"/>
        </w:rPr>
        <w:t xml:space="preserve">6.50% </w:t>
      </w:r>
      <w:r>
        <w:rPr>
          <w:rFonts w:ascii="宋体" w:hAnsi="宋体" w:eastAsia="宋体" w:cs="宋体"/>
          <w:spacing w:val="5"/>
          <w:sz w:val="23"/>
          <w:szCs w:val="23"/>
        </w:rPr>
        <w:t>，</w:t>
      </w:r>
      <w:r>
        <w:rPr>
          <w:rFonts w:ascii="Times New Roman" w:hAnsi="Times New Roman" w:eastAsia="Times New Roman" w:cs="Times New Roman"/>
          <w:sz w:val="23"/>
          <w:szCs w:val="23"/>
        </w:rPr>
        <w:t>PM</w:t>
      </w:r>
      <w:r>
        <w:rPr>
          <w:rFonts w:ascii="Times New Roman" w:hAnsi="Times New Roman" w:eastAsia="Times New Roman" w:cs="Times New Roman"/>
          <w:spacing w:val="5"/>
          <w:position w:val="-1"/>
          <w:sz w:val="15"/>
          <w:szCs w:val="15"/>
        </w:rPr>
        <w:t xml:space="preserve">10 </w:t>
      </w:r>
      <w:r>
        <w:rPr>
          <w:rFonts w:ascii="宋体" w:hAnsi="宋体" w:eastAsia="宋体" w:cs="宋体"/>
          <w:spacing w:val="5"/>
          <w:sz w:val="23"/>
          <w:szCs w:val="23"/>
        </w:rPr>
        <w:t xml:space="preserve">最大落地浓度是 </w:t>
      </w:r>
      <w:r>
        <w:rPr>
          <w:rFonts w:ascii="Times New Roman" w:hAnsi="Times New Roman" w:eastAsia="Times New Roman" w:cs="Times New Roman"/>
          <w:spacing w:val="5"/>
          <w:sz w:val="23"/>
          <w:szCs w:val="23"/>
        </w:rPr>
        <w:t>0.0001027</w:t>
      </w:r>
      <w:r>
        <w:rPr>
          <w:rFonts w:ascii="Times New Roman" w:hAnsi="Times New Roman" w:eastAsia="Times New Roman" w:cs="Times New Roman"/>
          <w:sz w:val="23"/>
          <w:szCs w:val="23"/>
        </w:rPr>
        <w:t>mg</w:t>
      </w:r>
      <w:r>
        <w:rPr>
          <w:rFonts w:ascii="Times New Roman" w:hAnsi="Times New Roman" w:eastAsia="Times New Roman" w:cs="Times New Roman"/>
          <w:spacing w:val="5"/>
          <w:sz w:val="23"/>
          <w:szCs w:val="23"/>
        </w:rPr>
        <w:t>/</w:t>
      </w:r>
      <w:r>
        <w:rPr>
          <w:rFonts w:ascii="Times New Roman" w:hAnsi="Times New Roman" w:eastAsia="Times New Roman" w:cs="Times New Roman"/>
          <w:sz w:val="23"/>
          <w:szCs w:val="23"/>
        </w:rPr>
        <w:t>m</w:t>
      </w:r>
      <w:r>
        <w:rPr>
          <w:rFonts w:ascii="Times New Roman" w:hAnsi="Times New Roman" w:eastAsia="Times New Roman" w:cs="Times New Roman"/>
          <w:spacing w:val="3"/>
          <w:position w:val="8"/>
          <w:sz w:val="15"/>
          <w:szCs w:val="15"/>
        </w:rPr>
        <w:t>3</w:t>
      </w:r>
      <w:r>
        <w:rPr>
          <w:rFonts w:ascii="宋体" w:hAnsi="宋体" w:eastAsia="宋体" w:cs="宋体"/>
          <w:sz w:val="23"/>
          <w:szCs w:val="23"/>
        </w:rPr>
        <w:t xml:space="preserve">， </w:t>
      </w:r>
      <w:r>
        <w:rPr>
          <w:rFonts w:ascii="宋体" w:hAnsi="宋体" w:eastAsia="宋体" w:cs="宋体"/>
          <w:spacing w:val="25"/>
          <w:sz w:val="23"/>
          <w:szCs w:val="23"/>
        </w:rPr>
        <w:t>占</w:t>
      </w:r>
      <w:r>
        <w:rPr>
          <w:rFonts w:ascii="宋体" w:hAnsi="宋体" w:eastAsia="宋体" w:cs="宋体"/>
          <w:spacing w:val="13"/>
          <w:sz w:val="23"/>
          <w:szCs w:val="23"/>
        </w:rPr>
        <w:t xml:space="preserve">标百分比 </w:t>
      </w:r>
      <w:r>
        <w:rPr>
          <w:rFonts w:ascii="Times New Roman" w:hAnsi="Times New Roman" w:eastAsia="Times New Roman" w:cs="Times New Roman"/>
          <w:spacing w:val="13"/>
          <w:sz w:val="23"/>
          <w:szCs w:val="23"/>
        </w:rPr>
        <w:t xml:space="preserve">0.02% </w:t>
      </w:r>
      <w:r>
        <w:rPr>
          <w:rFonts w:ascii="宋体" w:hAnsi="宋体" w:eastAsia="宋体" w:cs="宋体"/>
          <w:spacing w:val="13"/>
          <w:sz w:val="23"/>
          <w:szCs w:val="23"/>
        </w:rPr>
        <w:t xml:space="preserve">；无组织排放的 </w:t>
      </w:r>
      <w:r>
        <w:rPr>
          <w:rFonts w:ascii="Times New Roman" w:hAnsi="Times New Roman" w:eastAsia="Times New Roman" w:cs="Times New Roman"/>
          <w:sz w:val="23"/>
          <w:szCs w:val="23"/>
        </w:rPr>
        <w:t>TSP</w:t>
      </w:r>
      <w:r>
        <w:rPr>
          <w:rFonts w:ascii="Times New Roman" w:hAnsi="Times New Roman" w:eastAsia="Times New Roman" w:cs="Times New Roman"/>
          <w:spacing w:val="13"/>
          <w:sz w:val="23"/>
          <w:szCs w:val="23"/>
        </w:rPr>
        <w:t xml:space="preserve"> </w:t>
      </w:r>
      <w:r>
        <w:rPr>
          <w:rFonts w:ascii="宋体" w:hAnsi="宋体" w:eastAsia="宋体" w:cs="宋体"/>
          <w:spacing w:val="13"/>
          <w:sz w:val="23"/>
          <w:szCs w:val="23"/>
        </w:rPr>
        <w:t>、</w:t>
      </w:r>
      <w:r>
        <w:rPr>
          <w:rFonts w:ascii="Times New Roman" w:hAnsi="Times New Roman" w:eastAsia="Times New Roman" w:cs="Times New Roman"/>
          <w:sz w:val="23"/>
          <w:szCs w:val="23"/>
        </w:rPr>
        <w:t>NMHC</w:t>
      </w:r>
      <w:r>
        <w:rPr>
          <w:rFonts w:ascii="Times New Roman" w:hAnsi="Times New Roman" w:eastAsia="Times New Roman" w:cs="Times New Roman"/>
          <w:spacing w:val="13"/>
          <w:sz w:val="23"/>
          <w:szCs w:val="23"/>
        </w:rPr>
        <w:t xml:space="preserve"> </w:t>
      </w:r>
      <w:r>
        <w:rPr>
          <w:rFonts w:ascii="宋体" w:hAnsi="宋体" w:eastAsia="宋体" w:cs="宋体"/>
          <w:spacing w:val="13"/>
          <w:sz w:val="23"/>
          <w:szCs w:val="23"/>
        </w:rPr>
        <w:t>下风向最大落地浓度分别为</w:t>
      </w:r>
      <w:r>
        <w:rPr>
          <w:rFonts w:ascii="宋体" w:hAnsi="宋体" w:eastAsia="宋体" w:cs="宋体"/>
          <w:sz w:val="23"/>
          <w:szCs w:val="23"/>
        </w:rPr>
        <w:t xml:space="preserve"> </w:t>
      </w:r>
      <w:r>
        <w:rPr>
          <w:rFonts w:ascii="Times New Roman" w:hAnsi="Times New Roman" w:eastAsia="Times New Roman" w:cs="Times New Roman"/>
          <w:spacing w:val="-2"/>
          <w:sz w:val="23"/>
          <w:szCs w:val="23"/>
        </w:rPr>
        <w:t>0.08286</w:t>
      </w:r>
      <w:r>
        <w:rPr>
          <w:rFonts w:ascii="Times New Roman" w:hAnsi="Times New Roman" w:eastAsia="Times New Roman" w:cs="Times New Roman"/>
          <w:spacing w:val="-1"/>
          <w:sz w:val="23"/>
          <w:szCs w:val="23"/>
        </w:rPr>
        <w:t>mg</w:t>
      </w:r>
      <w:r>
        <w:rPr>
          <w:rFonts w:ascii="Times New Roman" w:hAnsi="Times New Roman" w:eastAsia="Times New Roman" w:cs="Times New Roman"/>
          <w:spacing w:val="-2"/>
          <w:sz w:val="23"/>
          <w:szCs w:val="23"/>
        </w:rPr>
        <w:t>/</w:t>
      </w:r>
      <w:r>
        <w:rPr>
          <w:rFonts w:ascii="Times New Roman" w:hAnsi="Times New Roman" w:eastAsia="Times New Roman" w:cs="Times New Roman"/>
          <w:spacing w:val="-1"/>
          <w:sz w:val="23"/>
          <w:szCs w:val="23"/>
        </w:rPr>
        <w:t>m</w:t>
      </w:r>
      <w:r>
        <w:rPr>
          <w:rFonts w:ascii="Times New Roman" w:hAnsi="Times New Roman" w:eastAsia="Times New Roman" w:cs="Times New Roman"/>
          <w:spacing w:val="-2"/>
          <w:position w:val="8"/>
          <w:sz w:val="15"/>
          <w:szCs w:val="15"/>
        </w:rPr>
        <w:t xml:space="preserve">3 </w:t>
      </w:r>
      <w:r>
        <w:rPr>
          <w:rFonts w:ascii="宋体" w:hAnsi="宋体" w:eastAsia="宋体" w:cs="宋体"/>
          <w:spacing w:val="-2"/>
          <w:sz w:val="23"/>
          <w:szCs w:val="23"/>
        </w:rPr>
        <w:t>、</w:t>
      </w:r>
      <w:r>
        <w:rPr>
          <w:rFonts w:ascii="Times New Roman" w:hAnsi="Times New Roman" w:eastAsia="Times New Roman" w:cs="Times New Roman"/>
          <w:spacing w:val="-2"/>
          <w:sz w:val="23"/>
          <w:szCs w:val="23"/>
        </w:rPr>
        <w:t>0. 1749</w:t>
      </w:r>
      <w:r>
        <w:rPr>
          <w:rFonts w:ascii="Times New Roman" w:hAnsi="Times New Roman" w:eastAsia="Times New Roman" w:cs="Times New Roman"/>
          <w:spacing w:val="-1"/>
          <w:sz w:val="23"/>
          <w:szCs w:val="23"/>
        </w:rPr>
        <w:t>mg</w:t>
      </w:r>
      <w:r>
        <w:rPr>
          <w:rFonts w:ascii="Times New Roman" w:hAnsi="Times New Roman" w:eastAsia="Times New Roman" w:cs="Times New Roman"/>
          <w:spacing w:val="-2"/>
          <w:sz w:val="23"/>
          <w:szCs w:val="23"/>
        </w:rPr>
        <w:t>/</w:t>
      </w:r>
      <w:r>
        <w:rPr>
          <w:rFonts w:ascii="Times New Roman" w:hAnsi="Times New Roman" w:eastAsia="Times New Roman" w:cs="Times New Roman"/>
          <w:spacing w:val="-1"/>
          <w:sz w:val="23"/>
          <w:szCs w:val="23"/>
        </w:rPr>
        <w:t>m</w:t>
      </w:r>
      <w:r>
        <w:rPr>
          <w:rFonts w:ascii="Times New Roman" w:hAnsi="Times New Roman" w:eastAsia="Times New Roman" w:cs="Times New Roman"/>
          <w:spacing w:val="-2"/>
          <w:position w:val="8"/>
          <w:sz w:val="15"/>
          <w:szCs w:val="15"/>
        </w:rPr>
        <w:t xml:space="preserve">3 </w:t>
      </w:r>
      <w:r>
        <w:rPr>
          <w:rFonts w:ascii="宋体" w:hAnsi="宋体" w:eastAsia="宋体" w:cs="宋体"/>
          <w:spacing w:val="-2"/>
          <w:sz w:val="23"/>
          <w:szCs w:val="23"/>
        </w:rPr>
        <w:t xml:space="preserve">， 占标率分别为 </w:t>
      </w:r>
      <w:r>
        <w:rPr>
          <w:rFonts w:ascii="Times New Roman" w:hAnsi="Times New Roman" w:eastAsia="Times New Roman" w:cs="Times New Roman"/>
          <w:spacing w:val="-2"/>
          <w:sz w:val="23"/>
          <w:szCs w:val="23"/>
        </w:rPr>
        <w:t xml:space="preserve">9.21% </w:t>
      </w:r>
      <w:r>
        <w:rPr>
          <w:rFonts w:ascii="宋体" w:hAnsi="宋体" w:eastAsia="宋体" w:cs="宋体"/>
          <w:spacing w:val="-2"/>
          <w:sz w:val="23"/>
          <w:szCs w:val="23"/>
        </w:rPr>
        <w:t>、</w:t>
      </w:r>
      <w:r>
        <w:rPr>
          <w:rFonts w:ascii="Times New Roman" w:hAnsi="Times New Roman" w:eastAsia="Times New Roman" w:cs="Times New Roman"/>
          <w:spacing w:val="-2"/>
          <w:sz w:val="23"/>
          <w:szCs w:val="23"/>
        </w:rPr>
        <w:t>8</w:t>
      </w:r>
      <w:r>
        <w:rPr>
          <w:rFonts w:ascii="Times New Roman" w:hAnsi="Times New Roman" w:eastAsia="Times New Roman" w:cs="Times New Roman"/>
          <w:spacing w:val="-1"/>
          <w:sz w:val="23"/>
          <w:szCs w:val="23"/>
        </w:rPr>
        <w:t>.75%</w:t>
      </w:r>
      <w:r>
        <w:rPr>
          <w:rFonts w:ascii="宋体" w:hAnsi="宋体" w:eastAsia="宋体" w:cs="宋体"/>
          <w:spacing w:val="-1"/>
          <w:sz w:val="23"/>
          <w:szCs w:val="23"/>
        </w:rPr>
        <w:t xml:space="preserve">；项目建设地区 </w:t>
      </w:r>
      <w:r>
        <w:rPr>
          <w:rFonts w:ascii="Times New Roman" w:hAnsi="Times New Roman" w:eastAsia="Times New Roman" w:cs="Times New Roman"/>
          <w:spacing w:val="-1"/>
          <w:sz w:val="23"/>
          <w:szCs w:val="23"/>
        </w:rPr>
        <w:t>TSP</w:t>
      </w:r>
      <w:r>
        <w:rPr>
          <w:rFonts w:ascii="Times New Roman" w:hAnsi="Times New Roman" w:eastAsia="Times New Roman" w:cs="Times New Roman"/>
          <w:sz w:val="23"/>
          <w:szCs w:val="23"/>
        </w:rPr>
        <w:t xml:space="preserve"> </w:t>
      </w:r>
      <w:r>
        <w:rPr>
          <w:rFonts w:ascii="宋体" w:hAnsi="宋体" w:eastAsia="宋体" w:cs="宋体"/>
          <w:spacing w:val="8"/>
          <w:sz w:val="23"/>
          <w:szCs w:val="23"/>
        </w:rPr>
        <w:t>浓度值低于《环</w:t>
      </w:r>
      <w:r>
        <w:rPr>
          <w:rFonts w:ascii="宋体" w:hAnsi="宋体" w:eastAsia="宋体" w:cs="宋体"/>
          <w:spacing w:val="7"/>
          <w:sz w:val="23"/>
          <w:szCs w:val="23"/>
        </w:rPr>
        <w:t>境</w:t>
      </w:r>
      <w:r>
        <w:rPr>
          <w:rFonts w:ascii="宋体" w:hAnsi="宋体" w:eastAsia="宋体" w:cs="宋体"/>
          <w:spacing w:val="4"/>
          <w:sz w:val="23"/>
          <w:szCs w:val="23"/>
        </w:rPr>
        <w:t>空气质量标准》  (</w:t>
      </w:r>
      <w:r>
        <w:rPr>
          <w:rFonts w:ascii="Times New Roman" w:hAnsi="Times New Roman" w:eastAsia="Times New Roman" w:cs="Times New Roman"/>
          <w:sz w:val="23"/>
          <w:szCs w:val="23"/>
        </w:rPr>
        <w:t>GB</w:t>
      </w:r>
      <w:r>
        <w:rPr>
          <w:rFonts w:ascii="Times New Roman" w:hAnsi="Times New Roman" w:eastAsia="Times New Roman" w:cs="Times New Roman"/>
          <w:spacing w:val="4"/>
          <w:sz w:val="23"/>
          <w:szCs w:val="23"/>
        </w:rPr>
        <w:t>3095-2012</w:t>
      </w:r>
      <w:r>
        <w:rPr>
          <w:rFonts w:ascii="宋体" w:hAnsi="宋体" w:eastAsia="宋体" w:cs="宋体"/>
          <w:spacing w:val="4"/>
          <w:sz w:val="23"/>
          <w:szCs w:val="23"/>
        </w:rPr>
        <w:t>) 及其修改单的公告 (生态环</w:t>
      </w:r>
      <w:r>
        <w:rPr>
          <w:rFonts w:ascii="宋体" w:hAnsi="宋体" w:eastAsia="宋体" w:cs="宋体"/>
          <w:sz w:val="23"/>
          <w:szCs w:val="23"/>
        </w:rPr>
        <w:t xml:space="preserve"> </w:t>
      </w:r>
      <w:r>
        <w:rPr>
          <w:rFonts w:ascii="宋体" w:hAnsi="宋体" w:eastAsia="宋体" w:cs="宋体"/>
          <w:spacing w:val="2"/>
          <w:sz w:val="23"/>
          <w:szCs w:val="23"/>
        </w:rPr>
        <w:t xml:space="preserve">境部公告，公告 </w:t>
      </w:r>
      <w:r>
        <w:rPr>
          <w:rFonts w:ascii="Times New Roman" w:hAnsi="Times New Roman" w:eastAsia="Times New Roman" w:cs="Times New Roman"/>
          <w:spacing w:val="2"/>
          <w:sz w:val="23"/>
          <w:szCs w:val="23"/>
        </w:rPr>
        <w:t xml:space="preserve">2018 </w:t>
      </w:r>
      <w:r>
        <w:rPr>
          <w:rFonts w:ascii="宋体" w:hAnsi="宋体" w:eastAsia="宋体" w:cs="宋体"/>
          <w:spacing w:val="2"/>
          <w:sz w:val="23"/>
          <w:szCs w:val="23"/>
        </w:rPr>
        <w:t xml:space="preserve">年第 </w:t>
      </w:r>
      <w:r>
        <w:rPr>
          <w:rFonts w:ascii="Times New Roman" w:hAnsi="Times New Roman" w:eastAsia="Times New Roman" w:cs="Times New Roman"/>
          <w:spacing w:val="2"/>
          <w:sz w:val="23"/>
          <w:szCs w:val="23"/>
        </w:rPr>
        <w:t xml:space="preserve">29 </w:t>
      </w:r>
      <w:r>
        <w:rPr>
          <w:rFonts w:ascii="宋体" w:hAnsi="宋体" w:eastAsia="宋体" w:cs="宋体"/>
          <w:spacing w:val="2"/>
          <w:sz w:val="23"/>
          <w:szCs w:val="23"/>
        </w:rPr>
        <w:t>号，</w:t>
      </w:r>
      <w:r>
        <w:rPr>
          <w:rFonts w:ascii="Times New Roman" w:hAnsi="Times New Roman" w:eastAsia="Times New Roman" w:cs="Times New Roman"/>
          <w:spacing w:val="2"/>
          <w:sz w:val="23"/>
          <w:szCs w:val="23"/>
        </w:rPr>
        <w:t xml:space="preserve">2018 </w:t>
      </w:r>
      <w:r>
        <w:rPr>
          <w:rFonts w:ascii="宋体" w:hAnsi="宋体" w:eastAsia="宋体" w:cs="宋体"/>
          <w:spacing w:val="2"/>
          <w:sz w:val="23"/>
          <w:szCs w:val="23"/>
        </w:rPr>
        <w:t xml:space="preserve">年 </w:t>
      </w:r>
      <w:r>
        <w:rPr>
          <w:rFonts w:ascii="Times New Roman" w:hAnsi="Times New Roman" w:eastAsia="Times New Roman" w:cs="Times New Roman"/>
          <w:spacing w:val="2"/>
          <w:sz w:val="23"/>
          <w:szCs w:val="23"/>
        </w:rPr>
        <w:t xml:space="preserve">8 </w:t>
      </w:r>
      <w:r>
        <w:rPr>
          <w:rFonts w:ascii="宋体" w:hAnsi="宋体" w:eastAsia="宋体" w:cs="宋体"/>
          <w:spacing w:val="1"/>
          <w:sz w:val="23"/>
          <w:szCs w:val="23"/>
        </w:rPr>
        <w:t xml:space="preserve">月 </w:t>
      </w:r>
      <w:r>
        <w:rPr>
          <w:rFonts w:ascii="Times New Roman" w:hAnsi="Times New Roman" w:eastAsia="Times New Roman" w:cs="Times New Roman"/>
          <w:spacing w:val="1"/>
          <w:sz w:val="23"/>
          <w:szCs w:val="23"/>
        </w:rPr>
        <w:t xml:space="preserve">13 </w:t>
      </w:r>
      <w:r>
        <w:rPr>
          <w:rFonts w:ascii="宋体" w:hAnsi="宋体" w:eastAsia="宋体" w:cs="宋体"/>
          <w:spacing w:val="1"/>
          <w:sz w:val="23"/>
          <w:szCs w:val="23"/>
        </w:rPr>
        <w:t>日) 中二级标准要求，</w:t>
      </w:r>
      <w:r>
        <w:rPr>
          <w:rFonts w:ascii="Times New Roman" w:hAnsi="Times New Roman" w:eastAsia="Times New Roman" w:cs="Times New Roman"/>
          <w:sz w:val="23"/>
          <w:szCs w:val="23"/>
        </w:rPr>
        <w:t xml:space="preserve">NMHC </w:t>
      </w:r>
      <w:r>
        <w:rPr>
          <w:rFonts w:ascii="宋体" w:hAnsi="宋体" w:eastAsia="宋体" w:cs="宋体"/>
          <w:spacing w:val="16"/>
          <w:sz w:val="23"/>
          <w:szCs w:val="23"/>
        </w:rPr>
        <w:t>浓</w:t>
      </w:r>
      <w:r>
        <w:rPr>
          <w:rFonts w:ascii="宋体" w:hAnsi="宋体" w:eastAsia="宋体" w:cs="宋体"/>
          <w:spacing w:val="9"/>
          <w:sz w:val="23"/>
          <w:szCs w:val="23"/>
        </w:rPr>
        <w:t>度值低于《大气污染物综合排放标准详解》中浓度要求。</w:t>
      </w:r>
    </w:p>
    <w:p w14:paraId="158DD929">
      <w:pPr>
        <w:spacing w:before="187" w:line="225" w:lineRule="auto"/>
        <w:ind w:left="595"/>
        <w:rPr>
          <w:rFonts w:ascii="宋体" w:hAnsi="宋体" w:eastAsia="宋体" w:cs="宋体"/>
          <w:sz w:val="23"/>
          <w:szCs w:val="23"/>
        </w:rPr>
      </w:pPr>
      <w:r>
        <w:rPr>
          <w:rFonts w:ascii="宋体" w:hAnsi="宋体" w:eastAsia="宋体" w:cs="宋体"/>
          <w:spacing w:val="10"/>
          <w:sz w:val="23"/>
          <w:szCs w:val="23"/>
        </w:rPr>
        <w:t>⑤</w:t>
      </w:r>
      <w:r>
        <w:rPr>
          <w:rFonts w:ascii="宋体" w:hAnsi="宋体" w:eastAsia="宋体" w:cs="宋体"/>
          <w:spacing w:val="9"/>
          <w:sz w:val="23"/>
          <w:szCs w:val="23"/>
        </w:rPr>
        <w:t>大气评价等级判定</w:t>
      </w:r>
    </w:p>
    <w:p w14:paraId="3E732FF9">
      <w:pPr>
        <w:spacing w:line="279" w:lineRule="auto"/>
        <w:rPr>
          <w:rFonts w:ascii="Arial"/>
          <w:sz w:val="21"/>
        </w:rPr>
      </w:pPr>
    </w:p>
    <w:p w14:paraId="7F1941C1">
      <w:pPr>
        <w:spacing w:before="75" w:line="392" w:lineRule="auto"/>
        <w:ind w:left="118" w:right="105" w:firstLine="479"/>
        <w:rPr>
          <w:rFonts w:ascii="宋体" w:hAnsi="宋体" w:eastAsia="宋体" w:cs="宋体"/>
          <w:sz w:val="23"/>
          <w:szCs w:val="23"/>
        </w:rPr>
      </w:pPr>
      <w:r>
        <w:rPr>
          <w:rFonts w:ascii="宋体" w:hAnsi="宋体" w:eastAsia="宋体" w:cs="宋体"/>
          <w:spacing w:val="14"/>
          <w:sz w:val="23"/>
          <w:szCs w:val="23"/>
        </w:rPr>
        <w:t>根据《</w:t>
      </w:r>
      <w:r>
        <w:rPr>
          <w:rFonts w:ascii="宋体" w:hAnsi="宋体" w:eastAsia="宋体" w:cs="宋体"/>
          <w:spacing w:val="12"/>
          <w:sz w:val="23"/>
          <w:szCs w:val="23"/>
        </w:rPr>
        <w:t>环</w:t>
      </w:r>
      <w:r>
        <w:rPr>
          <w:rFonts w:ascii="宋体" w:hAnsi="宋体" w:eastAsia="宋体" w:cs="宋体"/>
          <w:spacing w:val="7"/>
          <w:sz w:val="23"/>
          <w:szCs w:val="23"/>
        </w:rPr>
        <w:t>境影响评价技术导则 大气环境》  (</w:t>
      </w:r>
      <w:r>
        <w:rPr>
          <w:rFonts w:ascii="Times New Roman" w:hAnsi="Times New Roman" w:eastAsia="Times New Roman" w:cs="Times New Roman"/>
          <w:sz w:val="23"/>
          <w:szCs w:val="23"/>
        </w:rPr>
        <w:t>HJ</w:t>
      </w:r>
      <w:r>
        <w:rPr>
          <w:rFonts w:ascii="Times New Roman" w:hAnsi="Times New Roman" w:eastAsia="Times New Roman" w:cs="Times New Roman"/>
          <w:spacing w:val="7"/>
          <w:sz w:val="23"/>
          <w:szCs w:val="23"/>
        </w:rPr>
        <w:t>2.2-2018</w:t>
      </w:r>
      <w:r>
        <w:rPr>
          <w:rFonts w:ascii="宋体" w:hAnsi="宋体" w:eastAsia="宋体" w:cs="宋体"/>
          <w:spacing w:val="7"/>
          <w:sz w:val="23"/>
          <w:szCs w:val="23"/>
        </w:rPr>
        <w:t>) 有关规定，将大</w:t>
      </w:r>
      <w:r>
        <w:rPr>
          <w:rFonts w:ascii="宋体" w:hAnsi="宋体" w:eastAsia="宋体" w:cs="宋体"/>
          <w:sz w:val="23"/>
          <w:szCs w:val="23"/>
        </w:rPr>
        <w:t xml:space="preserve"> </w:t>
      </w:r>
      <w:r>
        <w:rPr>
          <w:rFonts w:ascii="宋体" w:hAnsi="宋体" w:eastAsia="宋体" w:cs="宋体"/>
          <w:spacing w:val="8"/>
          <w:sz w:val="23"/>
          <w:szCs w:val="23"/>
        </w:rPr>
        <w:t>气环境影响</w:t>
      </w:r>
      <w:r>
        <w:rPr>
          <w:rFonts w:ascii="宋体" w:hAnsi="宋体" w:eastAsia="宋体" w:cs="宋体"/>
          <w:spacing w:val="6"/>
          <w:sz w:val="23"/>
          <w:szCs w:val="23"/>
        </w:rPr>
        <w:t>评</w:t>
      </w:r>
      <w:r>
        <w:rPr>
          <w:rFonts w:ascii="宋体" w:hAnsi="宋体" w:eastAsia="宋体" w:cs="宋体"/>
          <w:spacing w:val="4"/>
          <w:sz w:val="23"/>
          <w:szCs w:val="23"/>
        </w:rPr>
        <w:t xml:space="preserve">价工作等级分为一、二、三级，划分依据见表 </w:t>
      </w:r>
      <w:r>
        <w:rPr>
          <w:rFonts w:ascii="Times New Roman" w:hAnsi="Times New Roman" w:eastAsia="Times New Roman" w:cs="Times New Roman"/>
          <w:spacing w:val="4"/>
          <w:sz w:val="23"/>
          <w:szCs w:val="23"/>
        </w:rPr>
        <w:t>5- 12</w:t>
      </w:r>
      <w:r>
        <w:rPr>
          <w:rFonts w:ascii="宋体" w:hAnsi="宋体" w:eastAsia="宋体" w:cs="宋体"/>
          <w:spacing w:val="4"/>
          <w:sz w:val="23"/>
          <w:szCs w:val="23"/>
        </w:rPr>
        <w:t>。</w:t>
      </w:r>
    </w:p>
    <w:p w14:paraId="7CEB4409">
      <w:pPr>
        <w:spacing w:before="138" w:line="226" w:lineRule="auto"/>
        <w:ind w:left="2818"/>
        <w:rPr>
          <w:rFonts w:ascii="宋体" w:hAnsi="宋体" w:eastAsia="宋体" w:cs="宋体"/>
          <w:sz w:val="23"/>
          <w:szCs w:val="23"/>
        </w:rPr>
      </w:pPr>
      <w:r>
        <w:rPr>
          <w:rFonts w:ascii="宋体" w:hAnsi="宋体" w:eastAsia="宋体" w:cs="宋体"/>
          <w:spacing w:val="6"/>
          <w:sz w:val="23"/>
          <w:szCs w:val="23"/>
          <w14:textOutline w14:w="4358" w14:cap="sq" w14:cmpd="sng">
            <w14:solidFill>
              <w14:srgbClr w14:val="000000"/>
            </w14:solidFill>
            <w14:prstDash w14:val="solid"/>
            <w14:bevel/>
          </w14:textOutline>
        </w:rPr>
        <w:t>表</w:t>
      </w:r>
      <w:r>
        <w:rPr>
          <w:rFonts w:ascii="宋体" w:hAnsi="宋体" w:eastAsia="宋体" w:cs="宋体"/>
          <w:spacing w:val="6"/>
          <w:sz w:val="23"/>
          <w:szCs w:val="23"/>
        </w:rPr>
        <w:t xml:space="preserve"> </w:t>
      </w:r>
      <w:r>
        <w:rPr>
          <w:rFonts w:ascii="Times New Roman" w:hAnsi="Times New Roman" w:eastAsia="Times New Roman" w:cs="Times New Roman"/>
          <w:b/>
          <w:bCs/>
          <w:spacing w:val="6"/>
          <w:sz w:val="23"/>
          <w:szCs w:val="23"/>
        </w:rPr>
        <w:t>5-</w:t>
      </w:r>
      <w:r>
        <w:rPr>
          <w:rFonts w:ascii="Times New Roman" w:hAnsi="Times New Roman" w:eastAsia="Times New Roman" w:cs="Times New Roman"/>
          <w:b/>
          <w:bCs/>
          <w:spacing w:val="5"/>
          <w:sz w:val="23"/>
          <w:szCs w:val="23"/>
        </w:rPr>
        <w:t>1</w:t>
      </w:r>
      <w:r>
        <w:rPr>
          <w:rFonts w:ascii="Times New Roman" w:hAnsi="Times New Roman" w:eastAsia="Times New Roman" w:cs="Times New Roman"/>
          <w:b/>
          <w:bCs/>
          <w:spacing w:val="3"/>
          <w:sz w:val="23"/>
          <w:szCs w:val="23"/>
        </w:rPr>
        <w:t>2</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14:textOutline w14:w="4358" w14:cap="sq" w14:cmpd="sng">
            <w14:solidFill>
              <w14:srgbClr w14:val="000000"/>
            </w14:solidFill>
            <w14:prstDash w14:val="solid"/>
            <w14:bevel/>
          </w14:textOutline>
        </w:rPr>
        <w:t>大气评价等级确定表</w:t>
      </w:r>
    </w:p>
    <w:p w14:paraId="3585562E">
      <w:pPr>
        <w:spacing w:line="19"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61"/>
        <w:gridCol w:w="4261"/>
      </w:tblGrid>
      <w:tr w14:paraId="26E10A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4261" w:type="dxa"/>
            <w:tcBorders>
              <w:left w:val="nil"/>
            </w:tcBorders>
            <w:vAlign w:val="top"/>
          </w:tcPr>
          <w:p w14:paraId="164F9602">
            <w:pPr>
              <w:spacing w:before="75" w:line="226" w:lineRule="auto"/>
              <w:ind w:left="1248"/>
              <w:rPr>
                <w:rFonts w:ascii="宋体" w:hAnsi="宋体" w:eastAsia="宋体" w:cs="宋体"/>
                <w:sz w:val="20"/>
                <w:szCs w:val="20"/>
              </w:rPr>
            </w:pPr>
            <w:r>
              <w:rPr>
                <w:rFonts w:ascii="宋体" w:hAnsi="宋体" w:eastAsia="宋体" w:cs="宋体"/>
                <w:spacing w:val="21"/>
                <w:sz w:val="20"/>
                <w:szCs w:val="20"/>
                <w14:textOutline w14:w="3795" w14:cap="sq" w14:cmpd="sng">
                  <w14:solidFill>
                    <w14:srgbClr w14:val="000000"/>
                  </w14:solidFill>
                  <w14:prstDash w14:val="solid"/>
                  <w14:bevel/>
                </w14:textOutline>
              </w:rPr>
              <w:t>评</w:t>
            </w:r>
            <w:r>
              <w:rPr>
                <w:rFonts w:ascii="宋体" w:hAnsi="宋体" w:eastAsia="宋体" w:cs="宋体"/>
                <w:spacing w:val="20"/>
                <w:sz w:val="20"/>
                <w:szCs w:val="20"/>
                <w14:textOutline w14:w="3795" w14:cap="sq" w14:cmpd="sng">
                  <w14:solidFill>
                    <w14:srgbClr w14:val="000000"/>
                  </w14:solidFill>
                  <w14:prstDash w14:val="solid"/>
                  <w14:bevel/>
                </w14:textOutline>
              </w:rPr>
              <w:t>价工作等级判据</w:t>
            </w:r>
          </w:p>
        </w:tc>
        <w:tc>
          <w:tcPr>
            <w:tcW w:w="4261" w:type="dxa"/>
            <w:tcBorders>
              <w:right w:val="nil"/>
            </w:tcBorders>
            <w:vAlign w:val="top"/>
          </w:tcPr>
          <w:p w14:paraId="0684E1A1">
            <w:pPr>
              <w:spacing w:before="75" w:line="226" w:lineRule="auto"/>
              <w:ind w:left="1467"/>
              <w:rPr>
                <w:rFonts w:ascii="宋体" w:hAnsi="宋体" w:eastAsia="宋体" w:cs="宋体"/>
                <w:sz w:val="20"/>
                <w:szCs w:val="20"/>
              </w:rPr>
            </w:pPr>
            <w:r>
              <w:rPr>
                <w:rFonts w:ascii="宋体" w:hAnsi="宋体" w:eastAsia="宋体" w:cs="宋体"/>
                <w:spacing w:val="20"/>
                <w:sz w:val="20"/>
                <w:szCs w:val="20"/>
                <w14:textOutline w14:w="3795" w14:cap="sq" w14:cmpd="sng">
                  <w14:solidFill>
                    <w14:srgbClr w14:val="000000"/>
                  </w14:solidFill>
                  <w14:prstDash w14:val="solid"/>
                  <w14:bevel/>
                </w14:textOutline>
              </w:rPr>
              <w:t>评</w:t>
            </w:r>
            <w:r>
              <w:rPr>
                <w:rFonts w:ascii="宋体" w:hAnsi="宋体" w:eastAsia="宋体" w:cs="宋体"/>
                <w:spacing w:val="19"/>
                <w:sz w:val="20"/>
                <w:szCs w:val="20"/>
                <w14:textOutline w14:w="3795" w14:cap="sq" w14:cmpd="sng">
                  <w14:solidFill>
                    <w14:srgbClr w14:val="000000"/>
                  </w14:solidFill>
                  <w14:prstDash w14:val="solid"/>
                  <w14:bevel/>
                </w14:textOutline>
              </w:rPr>
              <w:t>价工作等级</w:t>
            </w:r>
          </w:p>
        </w:tc>
      </w:tr>
      <w:tr w14:paraId="1F7C16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4261" w:type="dxa"/>
            <w:tcBorders>
              <w:left w:val="nil"/>
            </w:tcBorders>
            <w:vAlign w:val="top"/>
          </w:tcPr>
          <w:p w14:paraId="291E61FA">
            <w:pPr>
              <w:spacing w:before="23" w:line="281" w:lineRule="exact"/>
              <w:ind w:left="1685"/>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P</w:t>
            </w:r>
            <w:r>
              <w:rPr>
                <w:rFonts w:ascii="Times New Roman" w:hAnsi="Times New Roman" w:eastAsia="Times New Roman" w:cs="Times New Roman"/>
                <w:position w:val="1"/>
                <w:sz w:val="13"/>
                <w:szCs w:val="13"/>
              </w:rPr>
              <w:t>max</w:t>
            </w:r>
            <w:r>
              <w:rPr>
                <w:rFonts w:ascii="Times New Roman" w:hAnsi="Times New Roman" w:eastAsia="Times New Roman" w:cs="Times New Roman"/>
                <w:spacing w:val="5"/>
                <w:position w:val="2"/>
                <w:sz w:val="20"/>
                <w:szCs w:val="20"/>
              </w:rPr>
              <w:t>≥</w:t>
            </w:r>
            <w:r>
              <w:rPr>
                <w:rFonts w:ascii="Times New Roman" w:hAnsi="Times New Roman" w:eastAsia="Times New Roman" w:cs="Times New Roman"/>
                <w:spacing w:val="4"/>
                <w:position w:val="2"/>
                <w:sz w:val="20"/>
                <w:szCs w:val="20"/>
              </w:rPr>
              <w:t xml:space="preserve"> 10%</w:t>
            </w:r>
          </w:p>
        </w:tc>
        <w:tc>
          <w:tcPr>
            <w:tcW w:w="4261" w:type="dxa"/>
            <w:tcBorders>
              <w:right w:val="nil"/>
            </w:tcBorders>
            <w:vAlign w:val="top"/>
          </w:tcPr>
          <w:p w14:paraId="737D7940">
            <w:pPr>
              <w:spacing w:before="61" w:line="273" w:lineRule="exact"/>
              <w:ind w:left="1915"/>
              <w:rPr>
                <w:rFonts w:ascii="宋体" w:hAnsi="宋体" w:eastAsia="宋体" w:cs="宋体"/>
                <w:sz w:val="20"/>
                <w:szCs w:val="20"/>
              </w:rPr>
            </w:pPr>
            <w:r>
              <w:rPr>
                <w:rFonts w:ascii="宋体" w:hAnsi="宋体" w:eastAsia="宋体" w:cs="宋体"/>
                <w:spacing w:val="10"/>
                <w:sz w:val="20"/>
                <w:szCs w:val="20"/>
              </w:rPr>
              <w:t>一级</w:t>
            </w:r>
          </w:p>
        </w:tc>
      </w:tr>
      <w:tr w14:paraId="56941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4261" w:type="dxa"/>
            <w:tcBorders>
              <w:left w:val="nil"/>
            </w:tcBorders>
            <w:vAlign w:val="top"/>
          </w:tcPr>
          <w:p w14:paraId="69D83EE0">
            <w:pPr>
              <w:spacing w:before="25" w:line="281" w:lineRule="exact"/>
              <w:ind w:left="1450"/>
              <w:rPr>
                <w:rFonts w:ascii="Times New Roman" w:hAnsi="Times New Roman" w:eastAsia="Times New Roman" w:cs="Times New Roman"/>
                <w:sz w:val="20"/>
                <w:szCs w:val="20"/>
              </w:rPr>
            </w:pPr>
            <w:r>
              <w:rPr>
                <w:rFonts w:ascii="Times New Roman" w:hAnsi="Times New Roman" w:eastAsia="Times New Roman" w:cs="Times New Roman"/>
                <w:spacing w:val="11"/>
                <w:position w:val="2"/>
                <w:sz w:val="20"/>
                <w:szCs w:val="20"/>
              </w:rPr>
              <w:t>1</w:t>
            </w:r>
            <w:r>
              <w:rPr>
                <w:rFonts w:ascii="Times New Roman" w:hAnsi="Times New Roman" w:eastAsia="Times New Roman" w:cs="Times New Roman"/>
                <w:spacing w:val="8"/>
                <w:position w:val="2"/>
                <w:sz w:val="20"/>
                <w:szCs w:val="20"/>
              </w:rPr>
              <w:t>%≤</w:t>
            </w:r>
            <w:r>
              <w:rPr>
                <w:rFonts w:ascii="Times New Roman" w:hAnsi="Times New Roman" w:eastAsia="Times New Roman" w:cs="Times New Roman"/>
                <w:position w:val="2"/>
                <w:sz w:val="20"/>
                <w:szCs w:val="20"/>
              </w:rPr>
              <w:t>P</w:t>
            </w:r>
            <w:r>
              <w:rPr>
                <w:rFonts w:ascii="Times New Roman" w:hAnsi="Times New Roman" w:eastAsia="Times New Roman" w:cs="Times New Roman"/>
                <w:position w:val="1"/>
                <w:sz w:val="13"/>
                <w:szCs w:val="13"/>
              </w:rPr>
              <w:t>max</w:t>
            </w:r>
            <w:r>
              <w:rPr>
                <w:rFonts w:ascii="Times New Roman" w:hAnsi="Times New Roman" w:eastAsia="Times New Roman" w:cs="Times New Roman"/>
                <w:spacing w:val="8"/>
                <w:position w:val="1"/>
                <w:sz w:val="13"/>
                <w:szCs w:val="13"/>
              </w:rPr>
              <w:t xml:space="preserve"> </w:t>
            </w:r>
            <w:r>
              <w:rPr>
                <w:rFonts w:ascii="宋体" w:hAnsi="宋体" w:eastAsia="宋体" w:cs="宋体"/>
                <w:spacing w:val="8"/>
                <w:position w:val="2"/>
                <w:sz w:val="20"/>
                <w:szCs w:val="20"/>
              </w:rPr>
              <w:t>＜</w:t>
            </w:r>
            <w:r>
              <w:rPr>
                <w:rFonts w:ascii="Times New Roman" w:hAnsi="Times New Roman" w:eastAsia="Times New Roman" w:cs="Times New Roman"/>
                <w:spacing w:val="8"/>
                <w:position w:val="2"/>
                <w:sz w:val="20"/>
                <w:szCs w:val="20"/>
              </w:rPr>
              <w:t>10%</w:t>
            </w:r>
          </w:p>
        </w:tc>
        <w:tc>
          <w:tcPr>
            <w:tcW w:w="4261" w:type="dxa"/>
            <w:tcBorders>
              <w:right w:val="nil"/>
            </w:tcBorders>
            <w:vAlign w:val="top"/>
          </w:tcPr>
          <w:p w14:paraId="38077981">
            <w:pPr>
              <w:spacing w:before="63" w:line="230" w:lineRule="auto"/>
              <w:ind w:left="1915"/>
              <w:rPr>
                <w:rFonts w:ascii="宋体" w:hAnsi="宋体" w:eastAsia="宋体" w:cs="宋体"/>
                <w:sz w:val="20"/>
                <w:szCs w:val="20"/>
              </w:rPr>
            </w:pPr>
            <w:r>
              <w:rPr>
                <w:rFonts w:ascii="宋体" w:hAnsi="宋体" w:eastAsia="宋体" w:cs="宋体"/>
                <w:spacing w:val="9"/>
                <w:sz w:val="20"/>
                <w:szCs w:val="20"/>
              </w:rPr>
              <w:t>二级</w:t>
            </w:r>
          </w:p>
        </w:tc>
      </w:tr>
      <w:tr w14:paraId="2F8813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4261" w:type="dxa"/>
            <w:tcBorders>
              <w:left w:val="nil"/>
            </w:tcBorders>
            <w:vAlign w:val="top"/>
          </w:tcPr>
          <w:p w14:paraId="392BB34F">
            <w:pPr>
              <w:spacing w:before="27" w:line="281" w:lineRule="exact"/>
              <w:ind w:left="1690"/>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P</w:t>
            </w:r>
            <w:r>
              <w:rPr>
                <w:rFonts w:ascii="Times New Roman" w:hAnsi="Times New Roman" w:eastAsia="Times New Roman" w:cs="Times New Roman"/>
                <w:position w:val="1"/>
                <w:sz w:val="13"/>
                <w:szCs w:val="13"/>
              </w:rPr>
              <w:t>max</w:t>
            </w:r>
            <w:r>
              <w:rPr>
                <w:rFonts w:ascii="Times New Roman" w:hAnsi="Times New Roman" w:eastAsia="Times New Roman" w:cs="Times New Roman"/>
                <w:spacing w:val="10"/>
                <w:position w:val="1"/>
                <w:sz w:val="13"/>
                <w:szCs w:val="13"/>
              </w:rPr>
              <w:t xml:space="preserve"> </w:t>
            </w:r>
            <w:r>
              <w:rPr>
                <w:rFonts w:ascii="宋体" w:hAnsi="宋体" w:eastAsia="宋体" w:cs="宋体"/>
                <w:spacing w:val="10"/>
                <w:position w:val="2"/>
                <w:sz w:val="20"/>
                <w:szCs w:val="20"/>
              </w:rPr>
              <w:t>＜</w:t>
            </w:r>
            <w:r>
              <w:rPr>
                <w:rFonts w:ascii="Times New Roman" w:hAnsi="Times New Roman" w:eastAsia="Times New Roman" w:cs="Times New Roman"/>
                <w:spacing w:val="10"/>
                <w:position w:val="2"/>
                <w:sz w:val="20"/>
                <w:szCs w:val="20"/>
              </w:rPr>
              <w:t>1</w:t>
            </w:r>
            <w:r>
              <w:rPr>
                <w:rFonts w:ascii="Times New Roman" w:hAnsi="Times New Roman" w:eastAsia="Times New Roman" w:cs="Times New Roman"/>
                <w:spacing w:val="9"/>
                <w:position w:val="2"/>
                <w:sz w:val="20"/>
                <w:szCs w:val="20"/>
              </w:rPr>
              <w:t>%</w:t>
            </w:r>
          </w:p>
        </w:tc>
        <w:tc>
          <w:tcPr>
            <w:tcW w:w="4261" w:type="dxa"/>
            <w:tcBorders>
              <w:right w:val="nil"/>
            </w:tcBorders>
            <w:vAlign w:val="top"/>
          </w:tcPr>
          <w:p w14:paraId="16CB961A">
            <w:pPr>
              <w:spacing w:before="64" w:line="230" w:lineRule="auto"/>
              <w:ind w:left="1912"/>
              <w:rPr>
                <w:rFonts w:ascii="宋体" w:hAnsi="宋体" w:eastAsia="宋体" w:cs="宋体"/>
                <w:sz w:val="20"/>
                <w:szCs w:val="20"/>
              </w:rPr>
            </w:pPr>
            <w:r>
              <w:rPr>
                <w:rFonts w:ascii="宋体" w:hAnsi="宋体" w:eastAsia="宋体" w:cs="宋体"/>
                <w:spacing w:val="11"/>
                <w:sz w:val="20"/>
                <w:szCs w:val="20"/>
              </w:rPr>
              <w:t>三</w:t>
            </w:r>
            <w:r>
              <w:rPr>
                <w:rFonts w:ascii="宋体" w:hAnsi="宋体" w:eastAsia="宋体" w:cs="宋体"/>
                <w:spacing w:val="10"/>
                <w:sz w:val="20"/>
                <w:szCs w:val="20"/>
              </w:rPr>
              <w:t>级</w:t>
            </w:r>
          </w:p>
        </w:tc>
      </w:tr>
    </w:tbl>
    <w:p w14:paraId="2A01E7DF">
      <w:pPr>
        <w:spacing w:before="292" w:line="397" w:lineRule="auto"/>
        <w:ind w:left="120" w:right="105" w:firstLine="476"/>
        <w:rPr>
          <w:rFonts w:ascii="宋体" w:hAnsi="宋体" w:eastAsia="宋体" w:cs="宋体"/>
          <w:sz w:val="23"/>
          <w:szCs w:val="23"/>
        </w:rPr>
      </w:pPr>
      <w:r>
        <w:rPr>
          <w:rFonts w:ascii="宋体" w:hAnsi="宋体" w:eastAsia="宋体" w:cs="宋体"/>
          <w:spacing w:val="2"/>
          <w:sz w:val="23"/>
          <w:szCs w:val="23"/>
        </w:rPr>
        <w:t xml:space="preserve">评价工作等级按表 </w:t>
      </w:r>
      <w:r>
        <w:rPr>
          <w:rFonts w:ascii="Times New Roman" w:hAnsi="Times New Roman" w:eastAsia="Times New Roman" w:cs="Times New Roman"/>
          <w:spacing w:val="2"/>
          <w:sz w:val="23"/>
          <w:szCs w:val="23"/>
        </w:rPr>
        <w:t xml:space="preserve">5- 12 </w:t>
      </w:r>
      <w:r>
        <w:rPr>
          <w:rFonts w:ascii="宋体" w:hAnsi="宋体" w:eastAsia="宋体" w:cs="宋体"/>
          <w:spacing w:val="2"/>
          <w:sz w:val="23"/>
          <w:szCs w:val="23"/>
        </w:rPr>
        <w:t>的分级判据进行划分，如污染物</w:t>
      </w:r>
      <w:r>
        <w:rPr>
          <w:rFonts w:ascii="宋体" w:hAnsi="宋体" w:eastAsia="宋体" w:cs="宋体"/>
          <w:spacing w:val="1"/>
          <w:sz w:val="23"/>
          <w:szCs w:val="23"/>
        </w:rPr>
        <w:t xml:space="preserve"> </w:t>
      </w:r>
      <w:r>
        <w:rPr>
          <w:rFonts w:ascii="Times New Roman" w:hAnsi="Times New Roman" w:eastAsia="Times New Roman" w:cs="Times New Roman"/>
          <w:sz w:val="23"/>
          <w:szCs w:val="23"/>
        </w:rPr>
        <w:t>i</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 xml:space="preserve">大于 </w:t>
      </w:r>
      <w:r>
        <w:rPr>
          <w:rFonts w:ascii="Times New Roman" w:hAnsi="Times New Roman" w:eastAsia="Times New Roman" w:cs="Times New Roman"/>
          <w:spacing w:val="1"/>
          <w:sz w:val="23"/>
          <w:szCs w:val="23"/>
        </w:rPr>
        <w:t xml:space="preserve">1 </w:t>
      </w:r>
      <w:r>
        <w:rPr>
          <w:rFonts w:ascii="宋体" w:hAnsi="宋体" w:eastAsia="宋体" w:cs="宋体"/>
          <w:spacing w:val="1"/>
          <w:sz w:val="23"/>
          <w:szCs w:val="23"/>
        </w:rPr>
        <w:t xml:space="preserve">，取 </w:t>
      </w:r>
      <w:r>
        <w:rPr>
          <w:rFonts w:ascii="Times New Roman" w:hAnsi="Times New Roman" w:eastAsia="Times New Roman" w:cs="Times New Roman"/>
          <w:sz w:val="23"/>
          <w:szCs w:val="23"/>
        </w:rPr>
        <w:t>Pi</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值</w:t>
      </w:r>
      <w:r>
        <w:rPr>
          <w:rFonts w:ascii="宋体" w:hAnsi="宋体" w:eastAsia="宋体" w:cs="宋体"/>
          <w:sz w:val="23"/>
          <w:szCs w:val="23"/>
        </w:rPr>
        <w:t xml:space="preserve"> </w:t>
      </w:r>
      <w:r>
        <w:rPr>
          <w:rFonts w:ascii="宋体" w:hAnsi="宋体" w:eastAsia="宋体" w:cs="宋体"/>
          <w:spacing w:val="22"/>
          <w:sz w:val="23"/>
          <w:szCs w:val="23"/>
        </w:rPr>
        <w:t>最</w:t>
      </w:r>
      <w:r>
        <w:rPr>
          <w:rFonts w:ascii="宋体" w:hAnsi="宋体" w:eastAsia="宋体" w:cs="宋体"/>
          <w:spacing w:val="14"/>
          <w:sz w:val="23"/>
          <w:szCs w:val="23"/>
        </w:rPr>
        <w:t>大</w:t>
      </w:r>
      <w:r>
        <w:rPr>
          <w:rFonts w:ascii="宋体" w:hAnsi="宋体" w:eastAsia="宋体" w:cs="宋体"/>
          <w:spacing w:val="11"/>
          <w:sz w:val="23"/>
          <w:szCs w:val="23"/>
        </w:rPr>
        <w:t>者 (</w:t>
      </w:r>
      <w:r>
        <w:rPr>
          <w:rFonts w:ascii="Times New Roman" w:hAnsi="Times New Roman" w:eastAsia="Times New Roman" w:cs="Times New Roman"/>
          <w:sz w:val="23"/>
          <w:szCs w:val="23"/>
        </w:rPr>
        <w:t>Pmax</w:t>
      </w:r>
      <w:r>
        <w:rPr>
          <w:rFonts w:ascii="宋体" w:hAnsi="宋体" w:eastAsia="宋体" w:cs="宋体"/>
          <w:spacing w:val="11"/>
          <w:sz w:val="23"/>
          <w:szCs w:val="23"/>
        </w:rPr>
        <w:t>) 。同一项目有多个 (两个以上，含两个) 污染源时，则按各污</w:t>
      </w:r>
      <w:r>
        <w:rPr>
          <w:rFonts w:ascii="宋体" w:hAnsi="宋体" w:eastAsia="宋体" w:cs="宋体"/>
          <w:sz w:val="23"/>
          <w:szCs w:val="23"/>
        </w:rPr>
        <w:t xml:space="preserve"> </w:t>
      </w:r>
      <w:r>
        <w:rPr>
          <w:rFonts w:ascii="宋体" w:hAnsi="宋体" w:eastAsia="宋体" w:cs="宋体"/>
          <w:spacing w:val="17"/>
          <w:sz w:val="23"/>
          <w:szCs w:val="23"/>
        </w:rPr>
        <w:t>染</w:t>
      </w:r>
      <w:r>
        <w:rPr>
          <w:rFonts w:ascii="宋体" w:hAnsi="宋体" w:eastAsia="宋体" w:cs="宋体"/>
          <w:spacing w:val="9"/>
          <w:sz w:val="23"/>
          <w:szCs w:val="23"/>
        </w:rPr>
        <w:t>源分别确定其评价等级，并取评价级别最高者作为项目的评价等级。</w:t>
      </w:r>
    </w:p>
    <w:p w14:paraId="5C8F9EDB">
      <w:pPr>
        <w:spacing w:before="155" w:line="389" w:lineRule="auto"/>
        <w:ind w:left="116" w:right="117" w:firstLine="506"/>
        <w:rPr>
          <w:rFonts w:ascii="宋体" w:hAnsi="宋体" w:eastAsia="宋体" w:cs="宋体"/>
          <w:sz w:val="23"/>
          <w:szCs w:val="23"/>
        </w:rPr>
      </w:pPr>
      <w:r>
        <w:rPr>
          <w:rFonts w:ascii="宋体" w:hAnsi="宋体" w:eastAsia="宋体" w:cs="宋体"/>
          <w:spacing w:val="21"/>
          <w:sz w:val="23"/>
          <w:szCs w:val="23"/>
        </w:rPr>
        <w:t>经计算，确定本项目大气评价等级为二级，《环境影响评价技术导则</w:t>
      </w:r>
      <w:r>
        <w:rPr>
          <w:rFonts w:ascii="宋体" w:hAnsi="宋体" w:eastAsia="宋体" w:cs="宋体"/>
          <w:spacing w:val="19"/>
          <w:sz w:val="23"/>
          <w:szCs w:val="23"/>
        </w:rPr>
        <w:t>大</w:t>
      </w:r>
      <w:r>
        <w:rPr>
          <w:rFonts w:ascii="宋体" w:hAnsi="宋体" w:eastAsia="宋体" w:cs="宋体"/>
          <w:sz w:val="23"/>
          <w:szCs w:val="23"/>
        </w:rPr>
        <w:t xml:space="preserve"> </w:t>
      </w:r>
      <w:r>
        <w:rPr>
          <w:rFonts w:ascii="宋体" w:hAnsi="宋体" w:eastAsia="宋体" w:cs="宋体"/>
          <w:spacing w:val="26"/>
          <w:sz w:val="23"/>
          <w:szCs w:val="23"/>
        </w:rPr>
        <w:t>气环</w:t>
      </w:r>
      <w:r>
        <w:rPr>
          <w:rFonts w:ascii="宋体" w:hAnsi="宋体" w:eastAsia="宋体" w:cs="宋体"/>
          <w:spacing w:val="18"/>
          <w:sz w:val="23"/>
          <w:szCs w:val="23"/>
        </w:rPr>
        <w:t>境</w:t>
      </w:r>
      <w:r>
        <w:rPr>
          <w:rFonts w:ascii="宋体" w:hAnsi="宋体" w:eastAsia="宋体" w:cs="宋体"/>
          <w:spacing w:val="13"/>
          <w:sz w:val="23"/>
          <w:szCs w:val="23"/>
        </w:rPr>
        <w:t>》  (</w:t>
      </w:r>
      <w:r>
        <w:rPr>
          <w:rFonts w:ascii="Times New Roman" w:hAnsi="Times New Roman" w:eastAsia="Times New Roman" w:cs="Times New Roman"/>
          <w:sz w:val="23"/>
          <w:szCs w:val="23"/>
        </w:rPr>
        <w:t>HJ</w:t>
      </w:r>
      <w:r>
        <w:rPr>
          <w:rFonts w:ascii="Times New Roman" w:hAnsi="Times New Roman" w:eastAsia="Times New Roman" w:cs="Times New Roman"/>
          <w:spacing w:val="13"/>
          <w:sz w:val="23"/>
          <w:szCs w:val="23"/>
        </w:rPr>
        <w:t>2.2-2018</w:t>
      </w:r>
      <w:r>
        <w:rPr>
          <w:rFonts w:ascii="宋体" w:hAnsi="宋体" w:eastAsia="宋体" w:cs="宋体"/>
          <w:spacing w:val="13"/>
          <w:sz w:val="23"/>
          <w:szCs w:val="23"/>
        </w:rPr>
        <w:t>) 中对大气环境影响预测与评价一般性要求为</w:t>
      </w:r>
      <w:r>
        <w:rPr>
          <w:rFonts w:ascii="Times New Roman" w:hAnsi="Times New Roman" w:eastAsia="Times New Roman" w:cs="Times New Roman"/>
          <w:spacing w:val="13"/>
          <w:sz w:val="23"/>
          <w:szCs w:val="23"/>
        </w:rPr>
        <w:t>“</w:t>
      </w:r>
      <w:r>
        <w:rPr>
          <w:rFonts w:ascii="宋体" w:hAnsi="宋体" w:eastAsia="宋体" w:cs="宋体"/>
          <w:spacing w:val="13"/>
          <w:sz w:val="23"/>
          <w:szCs w:val="23"/>
        </w:rPr>
        <w:t>二级评</w:t>
      </w:r>
      <w:r>
        <w:rPr>
          <w:rFonts w:ascii="宋体" w:hAnsi="宋体" w:eastAsia="宋体" w:cs="宋体"/>
          <w:sz w:val="23"/>
          <w:szCs w:val="23"/>
        </w:rPr>
        <w:t xml:space="preserve"> </w:t>
      </w:r>
      <w:r>
        <w:rPr>
          <w:rFonts w:ascii="宋体" w:hAnsi="宋体" w:eastAsia="宋体" w:cs="宋体"/>
          <w:spacing w:val="26"/>
          <w:sz w:val="23"/>
          <w:szCs w:val="23"/>
        </w:rPr>
        <w:t>价</w:t>
      </w:r>
      <w:r>
        <w:rPr>
          <w:rFonts w:ascii="宋体" w:hAnsi="宋体" w:eastAsia="宋体" w:cs="宋体"/>
          <w:spacing w:val="15"/>
          <w:sz w:val="23"/>
          <w:szCs w:val="23"/>
        </w:rPr>
        <w:t>项目不进行进一步预测与评价，只对污染物排放量进行核算</w:t>
      </w:r>
      <w:r>
        <w:rPr>
          <w:rFonts w:ascii="Times New Roman" w:hAnsi="Times New Roman" w:eastAsia="Times New Roman" w:cs="Times New Roman"/>
          <w:spacing w:val="15"/>
          <w:sz w:val="23"/>
          <w:szCs w:val="23"/>
        </w:rPr>
        <w:t xml:space="preserve">” </w:t>
      </w:r>
      <w:r>
        <w:rPr>
          <w:rFonts w:ascii="宋体" w:hAnsi="宋体" w:eastAsia="宋体" w:cs="宋体"/>
          <w:spacing w:val="15"/>
          <w:sz w:val="23"/>
          <w:szCs w:val="23"/>
        </w:rPr>
        <w:t>。因此，本次</w:t>
      </w:r>
      <w:r>
        <w:rPr>
          <w:rFonts w:ascii="宋体" w:hAnsi="宋体" w:eastAsia="宋体" w:cs="宋体"/>
          <w:sz w:val="23"/>
          <w:szCs w:val="23"/>
        </w:rPr>
        <w:t xml:space="preserve"> </w:t>
      </w:r>
      <w:r>
        <w:rPr>
          <w:rFonts w:ascii="宋体" w:hAnsi="宋体" w:eastAsia="宋体" w:cs="宋体"/>
          <w:spacing w:val="20"/>
          <w:sz w:val="23"/>
          <w:szCs w:val="23"/>
        </w:rPr>
        <w:t>评价不对大气环境环境影响进行预测与评价</w:t>
      </w:r>
      <w:r>
        <w:rPr>
          <w:rFonts w:ascii="宋体" w:hAnsi="宋体" w:eastAsia="宋体" w:cs="宋体"/>
          <w:spacing w:val="17"/>
          <w:sz w:val="23"/>
          <w:szCs w:val="23"/>
        </w:rPr>
        <w:t>。</w:t>
      </w:r>
    </w:p>
    <w:p w14:paraId="6FF58161">
      <w:pPr>
        <w:spacing w:before="103" w:line="221" w:lineRule="auto"/>
        <w:ind w:left="117"/>
        <w:outlineLvl w:val="3"/>
        <w:rPr>
          <w:rFonts w:ascii="宋体" w:hAnsi="宋体" w:eastAsia="宋体" w:cs="宋体"/>
          <w:sz w:val="28"/>
          <w:szCs w:val="28"/>
        </w:rPr>
      </w:pPr>
      <w:r>
        <w:rPr>
          <w:rFonts w:ascii="Times New Roman" w:hAnsi="Times New Roman" w:eastAsia="Times New Roman" w:cs="Times New Roman"/>
          <w:b/>
          <w:bCs/>
          <w:spacing w:val="9"/>
          <w:sz w:val="28"/>
          <w:szCs w:val="28"/>
        </w:rPr>
        <w:t>5.2.1.3</w:t>
      </w:r>
      <w:r>
        <w:rPr>
          <w:rFonts w:ascii="Times New Roman" w:hAnsi="Times New Roman" w:eastAsia="Times New Roman" w:cs="Times New Roman"/>
          <w:spacing w:val="9"/>
          <w:sz w:val="28"/>
          <w:szCs w:val="28"/>
        </w:rPr>
        <w:t xml:space="preserve"> </w:t>
      </w:r>
      <w:r>
        <w:rPr>
          <w:rFonts w:ascii="宋体" w:hAnsi="宋体" w:eastAsia="宋体" w:cs="宋体"/>
          <w:spacing w:val="9"/>
          <w:sz w:val="28"/>
          <w:szCs w:val="28"/>
          <w14:textOutline w14:w="5103" w14:cap="sq" w14:cmpd="sng">
            <w14:solidFill>
              <w14:srgbClr w14:val="000000"/>
            </w14:solidFill>
            <w14:prstDash w14:val="solid"/>
            <w14:bevel/>
          </w14:textOutline>
        </w:rPr>
        <w:t>大气环境防护距离的确</w:t>
      </w:r>
      <w:r>
        <w:rPr>
          <w:rFonts w:ascii="宋体" w:hAnsi="宋体" w:eastAsia="宋体" w:cs="宋体"/>
          <w:spacing w:val="5"/>
          <w:sz w:val="28"/>
          <w:szCs w:val="28"/>
          <w14:textOutline w14:w="5103" w14:cap="sq" w14:cmpd="sng">
            <w14:solidFill>
              <w14:srgbClr w14:val="000000"/>
            </w14:solidFill>
            <w14:prstDash w14:val="solid"/>
            <w14:bevel/>
          </w14:textOutline>
        </w:rPr>
        <w:t>定</w:t>
      </w:r>
    </w:p>
    <w:p w14:paraId="4FD2FAED">
      <w:pPr>
        <w:spacing w:line="260" w:lineRule="auto"/>
        <w:rPr>
          <w:rFonts w:ascii="Arial"/>
          <w:sz w:val="21"/>
        </w:rPr>
      </w:pPr>
    </w:p>
    <w:p w14:paraId="4019BCC2">
      <w:pPr>
        <w:spacing w:before="75" w:line="393" w:lineRule="auto"/>
        <w:ind w:left="132" w:right="119" w:firstLine="488"/>
        <w:rPr>
          <w:rFonts w:ascii="宋体" w:hAnsi="宋体" w:eastAsia="宋体" w:cs="宋体"/>
          <w:sz w:val="23"/>
          <w:szCs w:val="23"/>
        </w:rPr>
      </w:pPr>
      <w:r>
        <w:rPr>
          <w:rFonts w:ascii="宋体" w:hAnsi="宋体" w:eastAsia="宋体" w:cs="宋体"/>
          <w:spacing w:val="28"/>
          <w:sz w:val="23"/>
          <w:szCs w:val="23"/>
        </w:rPr>
        <w:t>根</w:t>
      </w:r>
      <w:r>
        <w:rPr>
          <w:rFonts w:ascii="宋体" w:hAnsi="宋体" w:eastAsia="宋体" w:cs="宋体"/>
          <w:spacing w:val="16"/>
          <w:sz w:val="23"/>
          <w:szCs w:val="23"/>
        </w:rPr>
        <w:t>据</w:t>
      </w:r>
      <w:r>
        <w:rPr>
          <w:rFonts w:ascii="宋体" w:hAnsi="宋体" w:eastAsia="宋体" w:cs="宋体"/>
          <w:spacing w:val="14"/>
          <w:sz w:val="23"/>
          <w:szCs w:val="23"/>
        </w:rPr>
        <w:t>《环境影响评价技术导则大气环境》  (</w:t>
      </w:r>
      <w:r>
        <w:rPr>
          <w:rFonts w:ascii="Times New Roman" w:hAnsi="Times New Roman" w:eastAsia="Times New Roman" w:cs="Times New Roman"/>
          <w:sz w:val="23"/>
          <w:szCs w:val="23"/>
        </w:rPr>
        <w:t>HJ</w:t>
      </w:r>
      <w:r>
        <w:rPr>
          <w:rFonts w:ascii="Times New Roman" w:hAnsi="Times New Roman" w:eastAsia="Times New Roman" w:cs="Times New Roman"/>
          <w:spacing w:val="14"/>
          <w:sz w:val="23"/>
          <w:szCs w:val="23"/>
        </w:rPr>
        <w:t>2 .2-2018</w:t>
      </w:r>
      <w:r>
        <w:rPr>
          <w:rFonts w:ascii="宋体" w:hAnsi="宋体" w:eastAsia="宋体" w:cs="宋体"/>
          <w:spacing w:val="14"/>
          <w:sz w:val="23"/>
          <w:szCs w:val="23"/>
        </w:rPr>
        <w:t>) 对于大气环境</w:t>
      </w:r>
      <w:r>
        <w:rPr>
          <w:rFonts w:ascii="宋体" w:hAnsi="宋体" w:eastAsia="宋体" w:cs="宋体"/>
          <w:sz w:val="23"/>
          <w:szCs w:val="23"/>
        </w:rPr>
        <w:t xml:space="preserve"> </w:t>
      </w:r>
      <w:r>
        <w:rPr>
          <w:rFonts w:ascii="宋体" w:hAnsi="宋体" w:eastAsia="宋体" w:cs="宋体"/>
          <w:spacing w:val="17"/>
          <w:sz w:val="23"/>
          <w:szCs w:val="23"/>
        </w:rPr>
        <w:t>防护距离的要求为</w:t>
      </w:r>
      <w:r>
        <w:rPr>
          <w:rFonts w:ascii="Times New Roman" w:hAnsi="Times New Roman" w:eastAsia="Times New Roman" w:cs="Times New Roman"/>
          <w:spacing w:val="17"/>
          <w:sz w:val="23"/>
          <w:szCs w:val="23"/>
        </w:rPr>
        <w:t>“</w:t>
      </w:r>
      <w:r>
        <w:rPr>
          <w:rFonts w:ascii="宋体" w:hAnsi="宋体" w:eastAsia="宋体" w:cs="宋体"/>
          <w:spacing w:val="17"/>
          <w:sz w:val="23"/>
          <w:szCs w:val="23"/>
        </w:rPr>
        <w:t>对于项目厂界浓度满足大气污染物厂界浓度限值，但厂</w:t>
      </w:r>
      <w:r>
        <w:rPr>
          <w:rFonts w:ascii="宋体" w:hAnsi="宋体" w:eastAsia="宋体" w:cs="宋体"/>
          <w:spacing w:val="16"/>
          <w:sz w:val="23"/>
          <w:szCs w:val="23"/>
        </w:rPr>
        <w:t>界</w:t>
      </w:r>
    </w:p>
    <w:p w14:paraId="0A459F9F">
      <w:pPr>
        <w:sectPr>
          <w:headerReference r:id="rId213" w:type="default"/>
          <w:footerReference r:id="rId214" w:type="default"/>
          <w:pgSz w:w="11906" w:h="16839"/>
          <w:pgMar w:top="1132" w:right="1691" w:bottom="1182" w:left="1691" w:header="878" w:footer="1022" w:gutter="0"/>
          <w:cols w:space="720" w:num="1"/>
        </w:sectPr>
      </w:pPr>
    </w:p>
    <w:p w14:paraId="2E9F2B01">
      <w:pPr>
        <w:spacing w:line="410" w:lineRule="auto"/>
        <w:rPr>
          <w:rFonts w:ascii="Arial"/>
          <w:sz w:val="21"/>
        </w:rPr>
      </w:pPr>
      <w:r>
        <w:pict>
          <v:shape id="_x0000_s1260" o:spid="_x0000_s1260" style="position:absolute;left:0pt;margin-left:90pt;margin-top:57.35pt;height:0.75pt;width:415.3pt;mso-position-horizontal-relative:page;mso-position-vertical-relative:page;z-index:251919360;mso-width-relative:page;mso-height-relative:page;" fillcolor="#000000" filled="t" stroked="f" coordsize="8305,15" o:allowincell="f" path="m0,0l8305,0,8305,14,0,14,0,0xe">
            <v:path/>
            <v:fill on="t" focussize="0,0"/>
            <v:stroke on="f"/>
            <v:imagedata o:title=""/>
            <o:lock v:ext="edit"/>
          </v:shape>
        </w:pict>
      </w:r>
    </w:p>
    <w:p w14:paraId="2E262F60">
      <w:pPr>
        <w:spacing w:before="75" w:line="390" w:lineRule="auto"/>
        <w:ind w:left="123" w:right="125" w:firstLine="5"/>
        <w:rPr>
          <w:rFonts w:ascii="宋体" w:hAnsi="宋体" w:eastAsia="宋体" w:cs="宋体"/>
          <w:sz w:val="23"/>
          <w:szCs w:val="23"/>
        </w:rPr>
      </w:pPr>
      <w:r>
        <w:rPr>
          <w:rFonts w:ascii="宋体" w:hAnsi="宋体" w:eastAsia="宋体" w:cs="宋体"/>
          <w:spacing w:val="21"/>
          <w:sz w:val="23"/>
          <w:szCs w:val="23"/>
        </w:rPr>
        <w:t>外大气污染物短期贡献浓度超过环境质量浓度限值的，可以自厂界向外设</w:t>
      </w:r>
      <w:r>
        <w:rPr>
          <w:rFonts w:ascii="宋体" w:hAnsi="宋体" w:eastAsia="宋体" w:cs="宋体"/>
          <w:spacing w:val="18"/>
          <w:sz w:val="23"/>
          <w:szCs w:val="23"/>
        </w:rPr>
        <w:t>置</w:t>
      </w:r>
      <w:r>
        <w:rPr>
          <w:rFonts w:ascii="宋体" w:hAnsi="宋体" w:eastAsia="宋体" w:cs="宋体"/>
          <w:sz w:val="23"/>
          <w:szCs w:val="23"/>
        </w:rPr>
        <w:t xml:space="preserve"> </w:t>
      </w:r>
      <w:r>
        <w:rPr>
          <w:rFonts w:ascii="宋体" w:hAnsi="宋体" w:eastAsia="宋体" w:cs="宋体"/>
          <w:spacing w:val="19"/>
          <w:sz w:val="23"/>
          <w:szCs w:val="23"/>
        </w:rPr>
        <w:t>一</w:t>
      </w:r>
      <w:r>
        <w:rPr>
          <w:rFonts w:ascii="宋体" w:hAnsi="宋体" w:eastAsia="宋体" w:cs="宋体"/>
          <w:spacing w:val="17"/>
          <w:sz w:val="23"/>
          <w:szCs w:val="23"/>
        </w:rPr>
        <w:t>定范围的大气环境防护区域， 以确保大气环境防护区域外的污染物贡献浓</w:t>
      </w:r>
      <w:r>
        <w:rPr>
          <w:rFonts w:ascii="宋体" w:hAnsi="宋体" w:eastAsia="宋体" w:cs="宋体"/>
          <w:sz w:val="23"/>
          <w:szCs w:val="23"/>
        </w:rPr>
        <w:t xml:space="preserve"> </w:t>
      </w:r>
      <w:r>
        <w:rPr>
          <w:rFonts w:ascii="宋体" w:hAnsi="宋体" w:eastAsia="宋体" w:cs="宋体"/>
          <w:spacing w:val="23"/>
          <w:sz w:val="23"/>
          <w:szCs w:val="23"/>
        </w:rPr>
        <w:t>度</w:t>
      </w:r>
      <w:r>
        <w:rPr>
          <w:rFonts w:ascii="宋体" w:hAnsi="宋体" w:eastAsia="宋体" w:cs="宋体"/>
          <w:spacing w:val="17"/>
          <w:sz w:val="23"/>
          <w:szCs w:val="23"/>
        </w:rPr>
        <w:t>满足环境质量标准</w:t>
      </w:r>
      <w:r>
        <w:rPr>
          <w:rFonts w:ascii="Times New Roman" w:hAnsi="Times New Roman" w:eastAsia="Times New Roman" w:cs="Times New Roman"/>
          <w:spacing w:val="17"/>
          <w:sz w:val="23"/>
          <w:szCs w:val="23"/>
        </w:rPr>
        <w:t>”</w:t>
      </w:r>
      <w:r>
        <w:rPr>
          <w:rFonts w:ascii="宋体" w:hAnsi="宋体" w:eastAsia="宋体" w:cs="宋体"/>
          <w:spacing w:val="17"/>
          <w:sz w:val="23"/>
          <w:szCs w:val="23"/>
        </w:rPr>
        <w:t>。</w:t>
      </w:r>
    </w:p>
    <w:p w14:paraId="6D0920AF">
      <w:pPr>
        <w:spacing w:before="135" w:line="391" w:lineRule="auto"/>
        <w:ind w:left="170" w:right="123" w:firstLine="457"/>
        <w:rPr>
          <w:rFonts w:ascii="宋体" w:hAnsi="宋体" w:eastAsia="宋体" w:cs="宋体"/>
          <w:sz w:val="23"/>
          <w:szCs w:val="23"/>
        </w:rPr>
      </w:pPr>
      <w:r>
        <w:rPr>
          <w:rFonts w:ascii="宋体" w:hAnsi="宋体" w:eastAsia="宋体" w:cs="宋体"/>
          <w:spacing w:val="34"/>
          <w:sz w:val="23"/>
          <w:szCs w:val="23"/>
        </w:rPr>
        <w:t>在</w:t>
      </w:r>
      <w:r>
        <w:rPr>
          <w:rFonts w:ascii="宋体" w:hAnsi="宋体" w:eastAsia="宋体" w:cs="宋体"/>
          <w:spacing w:val="23"/>
          <w:sz w:val="23"/>
          <w:szCs w:val="23"/>
        </w:rPr>
        <w:t xml:space="preserve">确定评价等级时采用导则推荐的 </w:t>
      </w:r>
      <w:r>
        <w:rPr>
          <w:rFonts w:ascii="Times New Roman" w:hAnsi="Times New Roman" w:eastAsia="Times New Roman" w:cs="Times New Roman"/>
          <w:sz w:val="23"/>
          <w:szCs w:val="23"/>
        </w:rPr>
        <w:t>AEERSCREEN</w:t>
      </w:r>
      <w:r>
        <w:rPr>
          <w:rFonts w:ascii="Times New Roman" w:hAnsi="Times New Roman" w:eastAsia="Times New Roman" w:cs="Times New Roman"/>
          <w:spacing w:val="23"/>
          <w:sz w:val="23"/>
          <w:szCs w:val="23"/>
        </w:rPr>
        <w:t xml:space="preserve"> </w:t>
      </w:r>
      <w:r>
        <w:rPr>
          <w:rFonts w:ascii="宋体" w:hAnsi="宋体" w:eastAsia="宋体" w:cs="宋体"/>
          <w:spacing w:val="23"/>
          <w:sz w:val="23"/>
          <w:szCs w:val="23"/>
        </w:rPr>
        <w:t>模式运算结果，该项</w:t>
      </w:r>
      <w:r>
        <w:rPr>
          <w:rFonts w:ascii="宋体" w:hAnsi="宋体" w:eastAsia="宋体" w:cs="宋体"/>
          <w:sz w:val="23"/>
          <w:szCs w:val="23"/>
        </w:rPr>
        <w:t xml:space="preserve"> </w:t>
      </w:r>
      <w:r>
        <w:rPr>
          <w:rFonts w:ascii="宋体" w:hAnsi="宋体" w:eastAsia="宋体" w:cs="宋体"/>
          <w:spacing w:val="38"/>
          <w:sz w:val="23"/>
          <w:szCs w:val="23"/>
        </w:rPr>
        <w:t>目</w:t>
      </w:r>
      <w:r>
        <w:rPr>
          <w:rFonts w:ascii="宋体" w:hAnsi="宋体" w:eastAsia="宋体" w:cs="宋体"/>
          <w:spacing w:val="22"/>
          <w:sz w:val="23"/>
          <w:szCs w:val="23"/>
        </w:rPr>
        <w:t>厂</w:t>
      </w:r>
      <w:r>
        <w:rPr>
          <w:rFonts w:ascii="宋体" w:hAnsi="宋体" w:eastAsia="宋体" w:cs="宋体"/>
          <w:spacing w:val="19"/>
          <w:sz w:val="23"/>
          <w:szCs w:val="23"/>
        </w:rPr>
        <w:t>界外大气污染物短期贡献浓度没有超过环境质量浓度限值，因此，该项</w:t>
      </w:r>
      <w:r>
        <w:rPr>
          <w:rFonts w:ascii="宋体" w:hAnsi="宋体" w:eastAsia="宋体" w:cs="宋体"/>
          <w:sz w:val="23"/>
          <w:szCs w:val="23"/>
        </w:rPr>
        <w:t xml:space="preserve"> </w:t>
      </w:r>
      <w:r>
        <w:rPr>
          <w:rFonts w:ascii="宋体" w:hAnsi="宋体" w:eastAsia="宋体" w:cs="宋体"/>
          <w:spacing w:val="16"/>
          <w:sz w:val="23"/>
          <w:szCs w:val="23"/>
        </w:rPr>
        <w:t>目不需要设置大气环境防护距离。</w:t>
      </w:r>
    </w:p>
    <w:p w14:paraId="4AF75C12">
      <w:pPr>
        <w:spacing w:before="99" w:line="221" w:lineRule="auto"/>
        <w:ind w:left="124"/>
        <w:outlineLvl w:val="3"/>
        <w:rPr>
          <w:rFonts w:ascii="宋体" w:hAnsi="宋体" w:eastAsia="宋体" w:cs="宋体"/>
          <w:sz w:val="28"/>
          <w:szCs w:val="28"/>
        </w:rPr>
      </w:pPr>
      <w:r>
        <w:rPr>
          <w:rFonts w:ascii="Times New Roman" w:hAnsi="Times New Roman" w:eastAsia="Times New Roman" w:cs="Times New Roman"/>
          <w:b/>
          <w:bCs/>
          <w:spacing w:val="9"/>
          <w:sz w:val="28"/>
          <w:szCs w:val="28"/>
        </w:rPr>
        <w:t>5.2.1.3</w:t>
      </w:r>
      <w:r>
        <w:rPr>
          <w:rFonts w:ascii="Times New Roman" w:hAnsi="Times New Roman" w:eastAsia="Times New Roman" w:cs="Times New Roman"/>
          <w:spacing w:val="9"/>
          <w:sz w:val="28"/>
          <w:szCs w:val="28"/>
        </w:rPr>
        <w:t xml:space="preserve"> </w:t>
      </w:r>
      <w:r>
        <w:rPr>
          <w:rFonts w:ascii="宋体" w:hAnsi="宋体" w:eastAsia="宋体" w:cs="宋体"/>
          <w:spacing w:val="9"/>
          <w:sz w:val="28"/>
          <w:szCs w:val="28"/>
          <w14:textOutline w14:w="5103" w14:cap="sq" w14:cmpd="sng">
            <w14:solidFill>
              <w14:srgbClr w14:val="000000"/>
            </w14:solidFill>
            <w14:prstDash w14:val="solid"/>
            <w14:bevel/>
          </w14:textOutline>
        </w:rPr>
        <w:t>大气环境防护距离的确</w:t>
      </w:r>
      <w:r>
        <w:rPr>
          <w:rFonts w:ascii="宋体" w:hAnsi="宋体" w:eastAsia="宋体" w:cs="宋体"/>
          <w:spacing w:val="5"/>
          <w:sz w:val="28"/>
          <w:szCs w:val="28"/>
          <w14:textOutline w14:w="5103" w14:cap="sq" w14:cmpd="sng">
            <w14:solidFill>
              <w14:srgbClr w14:val="000000"/>
            </w14:solidFill>
            <w14:prstDash w14:val="solid"/>
            <w14:bevel/>
          </w14:textOutline>
        </w:rPr>
        <w:t>定</w:t>
      </w:r>
    </w:p>
    <w:p w14:paraId="774DAF7A">
      <w:pPr>
        <w:spacing w:before="292" w:line="396" w:lineRule="auto"/>
        <w:ind w:left="139" w:right="108" w:firstLine="466"/>
        <w:rPr>
          <w:rFonts w:ascii="宋体" w:hAnsi="宋体" w:eastAsia="宋体" w:cs="宋体"/>
          <w:sz w:val="23"/>
          <w:szCs w:val="23"/>
        </w:rPr>
      </w:pPr>
      <w:r>
        <w:rPr>
          <w:rFonts w:ascii="宋体" w:hAnsi="宋体" w:eastAsia="宋体" w:cs="宋体"/>
          <w:spacing w:val="10"/>
          <w:sz w:val="23"/>
          <w:szCs w:val="23"/>
        </w:rPr>
        <w:t>按照</w:t>
      </w:r>
      <w:r>
        <w:rPr>
          <w:rFonts w:ascii="宋体" w:hAnsi="宋体" w:eastAsia="宋体" w:cs="宋体"/>
          <w:spacing w:val="9"/>
          <w:sz w:val="23"/>
          <w:szCs w:val="23"/>
        </w:rPr>
        <w:t>《</w:t>
      </w:r>
      <w:r>
        <w:rPr>
          <w:rFonts w:ascii="宋体" w:hAnsi="宋体" w:eastAsia="宋体" w:cs="宋体"/>
          <w:spacing w:val="5"/>
          <w:sz w:val="23"/>
          <w:szCs w:val="23"/>
        </w:rPr>
        <w:t>制定地方大气污染物排放标准的技术方法》  (</w:t>
      </w:r>
      <w:r>
        <w:rPr>
          <w:rFonts w:ascii="Times New Roman" w:hAnsi="Times New Roman" w:eastAsia="Times New Roman" w:cs="Times New Roman"/>
          <w:sz w:val="23"/>
          <w:szCs w:val="23"/>
        </w:rPr>
        <w:t>GB</w:t>
      </w:r>
      <w:r>
        <w:rPr>
          <w:rFonts w:ascii="Times New Roman" w:hAnsi="Times New Roman" w:eastAsia="Times New Roman" w:cs="Times New Roman"/>
          <w:spacing w:val="5"/>
          <w:sz w:val="23"/>
          <w:szCs w:val="23"/>
        </w:rPr>
        <w:t>/</w:t>
      </w:r>
      <w:r>
        <w:rPr>
          <w:rFonts w:ascii="Times New Roman" w:hAnsi="Times New Roman" w:eastAsia="Times New Roman" w:cs="Times New Roman"/>
          <w:sz w:val="23"/>
          <w:szCs w:val="23"/>
        </w:rPr>
        <w:t>T</w:t>
      </w:r>
      <w:r>
        <w:rPr>
          <w:rFonts w:ascii="Times New Roman" w:hAnsi="Times New Roman" w:eastAsia="Times New Roman" w:cs="Times New Roman"/>
          <w:spacing w:val="5"/>
          <w:sz w:val="23"/>
          <w:szCs w:val="23"/>
        </w:rPr>
        <w:t>3840-91</w:t>
      </w:r>
      <w:r>
        <w:rPr>
          <w:rFonts w:ascii="宋体" w:hAnsi="宋体" w:eastAsia="宋体" w:cs="宋体"/>
          <w:spacing w:val="5"/>
          <w:sz w:val="23"/>
          <w:szCs w:val="23"/>
        </w:rPr>
        <w:t>) 中卫生</w:t>
      </w:r>
      <w:r>
        <w:rPr>
          <w:rFonts w:ascii="宋体" w:hAnsi="宋体" w:eastAsia="宋体" w:cs="宋体"/>
          <w:sz w:val="23"/>
          <w:szCs w:val="23"/>
        </w:rPr>
        <w:t xml:space="preserve"> </w:t>
      </w:r>
      <w:r>
        <w:rPr>
          <w:rFonts w:ascii="宋体" w:hAnsi="宋体" w:eastAsia="宋体" w:cs="宋体"/>
          <w:spacing w:val="13"/>
          <w:sz w:val="23"/>
          <w:szCs w:val="23"/>
        </w:rPr>
        <w:t>防</w:t>
      </w:r>
      <w:r>
        <w:rPr>
          <w:rFonts w:ascii="宋体" w:hAnsi="宋体" w:eastAsia="宋体" w:cs="宋体"/>
          <w:spacing w:val="8"/>
          <w:sz w:val="23"/>
          <w:szCs w:val="23"/>
        </w:rPr>
        <w:t>护距离计算公式核定本项目卫生防护距离。</w:t>
      </w:r>
    </w:p>
    <w:p w14:paraId="6A614213">
      <w:pPr>
        <w:spacing w:before="173" w:line="228" w:lineRule="auto"/>
        <w:ind w:left="605"/>
        <w:rPr>
          <w:rFonts w:ascii="宋体" w:hAnsi="宋体" w:eastAsia="宋体" w:cs="宋体"/>
          <w:sz w:val="23"/>
          <w:szCs w:val="23"/>
        </w:rPr>
      </w:pPr>
      <w:r>
        <w:rPr>
          <w:rFonts w:ascii="宋体" w:hAnsi="宋体" w:eastAsia="宋体" w:cs="宋体"/>
          <w:spacing w:val="9"/>
          <w:sz w:val="23"/>
          <w:szCs w:val="23"/>
        </w:rPr>
        <w:t>其</w:t>
      </w:r>
      <w:r>
        <w:rPr>
          <w:rFonts w:ascii="宋体" w:hAnsi="宋体" w:eastAsia="宋体" w:cs="宋体"/>
          <w:spacing w:val="6"/>
          <w:sz w:val="23"/>
          <w:szCs w:val="23"/>
        </w:rPr>
        <w:t>公式如下：</w:t>
      </w:r>
    </w:p>
    <w:p w14:paraId="46B03CDD">
      <w:pPr>
        <w:spacing w:line="276" w:lineRule="auto"/>
        <w:rPr>
          <w:rFonts w:ascii="Arial"/>
          <w:sz w:val="21"/>
        </w:rPr>
      </w:pPr>
    </w:p>
    <w:p w14:paraId="20C5F9F2">
      <w:pPr>
        <w:spacing w:before="1" w:line="631" w:lineRule="exact"/>
        <w:ind w:firstLine="2438"/>
        <w:textAlignment w:val="center"/>
      </w:pPr>
      <w:r>
        <w:drawing>
          <wp:inline distT="0" distB="0" distL="0" distR="0">
            <wp:extent cx="1696085" cy="400685"/>
            <wp:effectExtent l="0" t="0" r="0" b="0"/>
            <wp:docPr id="123" name="IM 123"/>
            <wp:cNvGraphicFramePr/>
            <a:graphic xmlns:a="http://schemas.openxmlformats.org/drawingml/2006/main">
              <a:graphicData uri="http://schemas.openxmlformats.org/drawingml/2006/picture">
                <pic:pic xmlns:pic="http://schemas.openxmlformats.org/drawingml/2006/picture">
                  <pic:nvPicPr>
                    <pic:cNvPr id="123" name="IM 123"/>
                    <pic:cNvPicPr/>
                  </pic:nvPicPr>
                  <pic:blipFill>
                    <a:blip r:embed="rId509"/>
                    <a:stretch>
                      <a:fillRect/>
                    </a:stretch>
                  </pic:blipFill>
                  <pic:spPr>
                    <a:xfrm>
                      <a:off x="0" y="0"/>
                      <a:ext cx="1696211" cy="400811"/>
                    </a:xfrm>
                    <a:prstGeom prst="rect">
                      <a:avLst/>
                    </a:prstGeom>
                  </pic:spPr>
                </pic:pic>
              </a:graphicData>
            </a:graphic>
          </wp:inline>
        </w:drawing>
      </w:r>
    </w:p>
    <w:p w14:paraId="2C8E5B14">
      <w:pPr>
        <w:spacing w:before="35" w:line="323" w:lineRule="exact"/>
        <w:ind w:left="609"/>
        <w:rPr>
          <w:rFonts w:ascii="宋体" w:hAnsi="宋体" w:eastAsia="宋体" w:cs="宋体"/>
          <w:sz w:val="23"/>
          <w:szCs w:val="23"/>
        </w:rPr>
      </w:pPr>
      <w:r>
        <w:rPr>
          <w:rFonts w:ascii="宋体" w:hAnsi="宋体" w:eastAsia="宋体" w:cs="宋体"/>
          <w:spacing w:val="18"/>
          <w:position w:val="3"/>
          <w:sz w:val="23"/>
          <w:szCs w:val="23"/>
        </w:rPr>
        <w:t>式中</w:t>
      </w:r>
      <w:r>
        <w:rPr>
          <w:rFonts w:ascii="宋体" w:hAnsi="宋体" w:eastAsia="宋体" w:cs="宋体"/>
          <w:spacing w:val="12"/>
          <w:position w:val="3"/>
          <w:sz w:val="23"/>
          <w:szCs w:val="23"/>
        </w:rPr>
        <w:t>：</w:t>
      </w:r>
      <w:r>
        <w:rPr>
          <w:rFonts w:ascii="Times New Roman" w:hAnsi="Times New Roman" w:eastAsia="Times New Roman" w:cs="Times New Roman"/>
          <w:position w:val="3"/>
          <w:sz w:val="23"/>
          <w:szCs w:val="23"/>
        </w:rPr>
        <w:t>Q</w:t>
      </w:r>
      <w:r>
        <w:rPr>
          <w:rFonts w:ascii="Times New Roman" w:hAnsi="Times New Roman" w:eastAsia="Times New Roman" w:cs="Times New Roman"/>
          <w:position w:val="2"/>
          <w:sz w:val="15"/>
          <w:szCs w:val="15"/>
        </w:rPr>
        <w:t>C</w:t>
      </w:r>
      <w:r>
        <w:rPr>
          <w:rFonts w:ascii="Times New Roman" w:hAnsi="Times New Roman" w:eastAsia="Times New Roman" w:cs="Times New Roman"/>
          <w:spacing w:val="9"/>
          <w:position w:val="3"/>
          <w:sz w:val="23"/>
          <w:szCs w:val="23"/>
        </w:rPr>
        <w:t>—</w:t>
      </w:r>
      <w:r>
        <w:rPr>
          <w:rFonts w:ascii="宋体" w:hAnsi="宋体" w:eastAsia="宋体" w:cs="宋体"/>
          <w:spacing w:val="9"/>
          <w:position w:val="3"/>
          <w:sz w:val="23"/>
          <w:szCs w:val="23"/>
        </w:rPr>
        <w:t>工业企业有害气体无组织排放量可以达到的控制水平，</w:t>
      </w:r>
      <w:r>
        <w:rPr>
          <w:rFonts w:ascii="Times New Roman" w:hAnsi="Times New Roman" w:eastAsia="Times New Roman" w:cs="Times New Roman"/>
          <w:position w:val="3"/>
          <w:sz w:val="23"/>
          <w:szCs w:val="23"/>
        </w:rPr>
        <w:t>kg</w:t>
      </w:r>
      <w:r>
        <w:rPr>
          <w:rFonts w:ascii="Times New Roman" w:hAnsi="Times New Roman" w:eastAsia="Times New Roman" w:cs="Times New Roman"/>
          <w:spacing w:val="9"/>
          <w:position w:val="3"/>
          <w:sz w:val="23"/>
          <w:szCs w:val="23"/>
        </w:rPr>
        <w:t>/</w:t>
      </w:r>
      <w:r>
        <w:rPr>
          <w:rFonts w:ascii="Times New Roman" w:hAnsi="Times New Roman" w:eastAsia="Times New Roman" w:cs="Times New Roman"/>
          <w:position w:val="3"/>
          <w:sz w:val="23"/>
          <w:szCs w:val="23"/>
        </w:rPr>
        <w:t>h</w:t>
      </w:r>
      <w:r>
        <w:rPr>
          <w:rFonts w:ascii="宋体" w:hAnsi="宋体" w:eastAsia="宋体" w:cs="宋体"/>
          <w:spacing w:val="9"/>
          <w:position w:val="3"/>
          <w:sz w:val="23"/>
          <w:szCs w:val="23"/>
        </w:rPr>
        <w:t>；</w:t>
      </w:r>
    </w:p>
    <w:p w14:paraId="55203302">
      <w:pPr>
        <w:spacing w:before="313" w:line="323" w:lineRule="exact"/>
        <w:ind w:left="1323"/>
        <w:rPr>
          <w:rFonts w:ascii="宋体" w:hAnsi="宋体" w:eastAsia="宋体" w:cs="宋体"/>
          <w:sz w:val="23"/>
          <w:szCs w:val="23"/>
        </w:rPr>
      </w:pPr>
      <w:r>
        <w:rPr>
          <w:rFonts w:ascii="Times New Roman" w:hAnsi="Times New Roman" w:eastAsia="Times New Roman" w:cs="Times New Roman"/>
          <w:position w:val="3"/>
          <w:sz w:val="23"/>
          <w:szCs w:val="23"/>
        </w:rPr>
        <w:t>C</w:t>
      </w:r>
      <w:r>
        <w:rPr>
          <w:rFonts w:ascii="Times New Roman" w:hAnsi="Times New Roman" w:eastAsia="Times New Roman" w:cs="Times New Roman"/>
          <w:position w:val="2"/>
          <w:sz w:val="15"/>
          <w:szCs w:val="15"/>
        </w:rPr>
        <w:t>m</w:t>
      </w:r>
      <w:r>
        <w:rPr>
          <w:rFonts w:ascii="Times New Roman" w:hAnsi="Times New Roman" w:eastAsia="Times New Roman" w:cs="Times New Roman"/>
          <w:spacing w:val="17"/>
          <w:position w:val="3"/>
          <w:sz w:val="23"/>
          <w:szCs w:val="23"/>
        </w:rPr>
        <w:t>—</w:t>
      </w:r>
      <w:r>
        <w:rPr>
          <w:rFonts w:ascii="宋体" w:hAnsi="宋体" w:eastAsia="宋体" w:cs="宋体"/>
          <w:spacing w:val="9"/>
          <w:position w:val="3"/>
          <w:sz w:val="23"/>
          <w:szCs w:val="23"/>
        </w:rPr>
        <w:t>标准浓度限值，</w:t>
      </w:r>
      <w:r>
        <w:rPr>
          <w:rFonts w:ascii="Times New Roman" w:hAnsi="Times New Roman" w:eastAsia="Times New Roman" w:cs="Times New Roman"/>
          <w:position w:val="3"/>
          <w:sz w:val="23"/>
          <w:szCs w:val="23"/>
        </w:rPr>
        <w:t>mg</w:t>
      </w:r>
      <w:r>
        <w:rPr>
          <w:rFonts w:ascii="Times New Roman" w:hAnsi="Times New Roman" w:eastAsia="Times New Roman" w:cs="Times New Roman"/>
          <w:spacing w:val="9"/>
          <w:position w:val="3"/>
          <w:sz w:val="23"/>
          <w:szCs w:val="23"/>
        </w:rPr>
        <w:t>/</w:t>
      </w:r>
      <w:r>
        <w:rPr>
          <w:rFonts w:ascii="Times New Roman" w:hAnsi="Times New Roman" w:eastAsia="Times New Roman" w:cs="Times New Roman"/>
          <w:position w:val="3"/>
          <w:sz w:val="23"/>
          <w:szCs w:val="23"/>
        </w:rPr>
        <w:t>m</w:t>
      </w:r>
      <w:r>
        <w:rPr>
          <w:rFonts w:ascii="Times New Roman" w:hAnsi="Times New Roman" w:eastAsia="Times New Roman" w:cs="Times New Roman"/>
          <w:spacing w:val="9"/>
          <w:position w:val="11"/>
          <w:sz w:val="15"/>
          <w:szCs w:val="15"/>
        </w:rPr>
        <w:t>3</w:t>
      </w:r>
      <w:r>
        <w:rPr>
          <w:rFonts w:ascii="宋体" w:hAnsi="宋体" w:eastAsia="宋体" w:cs="宋体"/>
          <w:spacing w:val="9"/>
          <w:position w:val="3"/>
          <w:sz w:val="23"/>
          <w:szCs w:val="23"/>
        </w:rPr>
        <w:t>；</w:t>
      </w:r>
    </w:p>
    <w:p w14:paraId="1628ABBC">
      <w:pPr>
        <w:spacing w:line="280" w:lineRule="auto"/>
        <w:rPr>
          <w:rFonts w:ascii="Arial"/>
          <w:sz w:val="21"/>
        </w:rPr>
      </w:pPr>
    </w:p>
    <w:p w14:paraId="4EFB7DFC">
      <w:pPr>
        <w:spacing w:before="75" w:line="228" w:lineRule="auto"/>
        <w:ind w:left="1319"/>
        <w:rPr>
          <w:rFonts w:ascii="宋体" w:hAnsi="宋体" w:eastAsia="宋体" w:cs="宋体"/>
          <w:sz w:val="23"/>
          <w:szCs w:val="23"/>
        </w:rPr>
      </w:pPr>
      <w:r>
        <w:rPr>
          <w:rFonts w:ascii="Times New Roman" w:hAnsi="Times New Roman" w:eastAsia="Times New Roman" w:cs="Times New Roman"/>
          <w:sz w:val="23"/>
          <w:szCs w:val="23"/>
        </w:rPr>
        <w:t>L</w:t>
      </w:r>
      <w:r>
        <w:rPr>
          <w:rFonts w:ascii="Times New Roman" w:hAnsi="Times New Roman" w:eastAsia="Times New Roman" w:cs="Times New Roman"/>
          <w:spacing w:val="10"/>
          <w:sz w:val="23"/>
          <w:szCs w:val="23"/>
        </w:rPr>
        <w:t>—</w:t>
      </w:r>
      <w:r>
        <w:rPr>
          <w:rFonts w:ascii="宋体" w:hAnsi="宋体" w:eastAsia="宋体" w:cs="宋体"/>
          <w:spacing w:val="10"/>
          <w:sz w:val="23"/>
          <w:szCs w:val="23"/>
        </w:rPr>
        <w:t>工业企业所需卫生防护距离，</w:t>
      </w:r>
      <w:r>
        <w:rPr>
          <w:rFonts w:ascii="Times New Roman" w:hAnsi="Times New Roman" w:eastAsia="Times New Roman" w:cs="Times New Roman"/>
          <w:sz w:val="23"/>
          <w:szCs w:val="23"/>
        </w:rPr>
        <w:t>m</w:t>
      </w:r>
      <w:r>
        <w:rPr>
          <w:rFonts w:ascii="宋体" w:hAnsi="宋体" w:eastAsia="宋体" w:cs="宋体"/>
          <w:spacing w:val="8"/>
          <w:sz w:val="23"/>
          <w:szCs w:val="23"/>
        </w:rPr>
        <w:t>；</w:t>
      </w:r>
    </w:p>
    <w:p w14:paraId="15D4576E">
      <w:pPr>
        <w:spacing w:line="275" w:lineRule="auto"/>
        <w:rPr>
          <w:rFonts w:ascii="Arial"/>
          <w:sz w:val="21"/>
        </w:rPr>
      </w:pPr>
    </w:p>
    <w:p w14:paraId="52509898">
      <w:pPr>
        <w:spacing w:before="75" w:line="227" w:lineRule="auto"/>
        <w:ind w:left="1316"/>
        <w:rPr>
          <w:rFonts w:ascii="宋体" w:hAnsi="宋体" w:eastAsia="宋体" w:cs="宋体"/>
          <w:sz w:val="23"/>
          <w:szCs w:val="23"/>
        </w:rPr>
      </w:pPr>
      <w:r>
        <w:rPr>
          <w:rFonts w:ascii="Times New Roman" w:hAnsi="Times New Roman" w:eastAsia="Times New Roman" w:cs="Times New Roman"/>
          <w:sz w:val="23"/>
          <w:szCs w:val="23"/>
        </w:rPr>
        <w:t>r</w:t>
      </w:r>
      <w:r>
        <w:rPr>
          <w:rFonts w:ascii="Times New Roman" w:hAnsi="Times New Roman" w:eastAsia="Times New Roman" w:cs="Times New Roman"/>
          <w:spacing w:val="18"/>
          <w:sz w:val="23"/>
          <w:szCs w:val="23"/>
        </w:rPr>
        <w:t xml:space="preserve"> </w:t>
      </w:r>
      <w:r>
        <w:rPr>
          <w:rFonts w:ascii="Times New Roman" w:hAnsi="Times New Roman" w:eastAsia="Times New Roman" w:cs="Times New Roman"/>
          <w:spacing w:val="16"/>
          <w:sz w:val="23"/>
          <w:szCs w:val="23"/>
        </w:rPr>
        <w:t>—</w:t>
      </w:r>
      <w:r>
        <w:rPr>
          <w:rFonts w:ascii="宋体" w:hAnsi="宋体" w:eastAsia="宋体" w:cs="宋体"/>
          <w:spacing w:val="9"/>
          <w:sz w:val="23"/>
          <w:szCs w:val="23"/>
        </w:rPr>
        <w:t>有害气体无组织排放源所在生产单元的等效半径，</w:t>
      </w:r>
      <w:r>
        <w:rPr>
          <w:rFonts w:ascii="Times New Roman" w:hAnsi="Times New Roman" w:eastAsia="Times New Roman" w:cs="Times New Roman"/>
          <w:sz w:val="23"/>
          <w:szCs w:val="23"/>
        </w:rPr>
        <w:t>m</w:t>
      </w:r>
      <w:r>
        <w:rPr>
          <w:rFonts w:ascii="宋体" w:hAnsi="宋体" w:eastAsia="宋体" w:cs="宋体"/>
          <w:spacing w:val="9"/>
          <w:sz w:val="23"/>
          <w:szCs w:val="23"/>
        </w:rPr>
        <w:t>；</w:t>
      </w:r>
    </w:p>
    <w:p w14:paraId="1883B63E">
      <w:pPr>
        <w:spacing w:line="276" w:lineRule="auto"/>
        <w:rPr>
          <w:rFonts w:ascii="Arial"/>
          <w:sz w:val="21"/>
        </w:rPr>
      </w:pPr>
    </w:p>
    <w:p w14:paraId="57D543DE">
      <w:pPr>
        <w:spacing w:before="75" w:line="636" w:lineRule="exact"/>
        <w:ind w:left="1316"/>
        <w:rPr>
          <w:rFonts w:ascii="宋体" w:hAnsi="宋体" w:eastAsia="宋体" w:cs="宋体"/>
          <w:sz w:val="23"/>
          <w:szCs w:val="23"/>
        </w:rPr>
      </w:pPr>
      <w:r>
        <w:rPr>
          <w:rFonts w:ascii="Times New Roman" w:hAnsi="Times New Roman" w:eastAsia="Times New Roman" w:cs="Times New Roman"/>
          <w:position w:val="31"/>
          <w:sz w:val="23"/>
          <w:szCs w:val="23"/>
        </w:rPr>
        <w:t>A</w:t>
      </w:r>
      <w:r>
        <w:rPr>
          <w:rFonts w:ascii="Times New Roman" w:hAnsi="Times New Roman" w:eastAsia="Times New Roman" w:cs="Times New Roman"/>
          <w:spacing w:val="2"/>
          <w:position w:val="31"/>
          <w:sz w:val="23"/>
          <w:szCs w:val="23"/>
        </w:rPr>
        <w:t xml:space="preserve"> </w:t>
      </w:r>
      <w:r>
        <w:rPr>
          <w:rFonts w:ascii="宋体" w:hAnsi="宋体" w:eastAsia="宋体" w:cs="宋体"/>
          <w:spacing w:val="2"/>
          <w:position w:val="31"/>
          <w:sz w:val="23"/>
          <w:szCs w:val="23"/>
        </w:rPr>
        <w:t>、</w:t>
      </w:r>
      <w:r>
        <w:rPr>
          <w:rFonts w:ascii="Times New Roman" w:hAnsi="Times New Roman" w:eastAsia="Times New Roman" w:cs="Times New Roman"/>
          <w:position w:val="31"/>
          <w:sz w:val="23"/>
          <w:szCs w:val="23"/>
        </w:rPr>
        <w:t>B</w:t>
      </w:r>
      <w:r>
        <w:rPr>
          <w:rFonts w:ascii="Times New Roman" w:hAnsi="Times New Roman" w:eastAsia="Times New Roman" w:cs="Times New Roman"/>
          <w:spacing w:val="2"/>
          <w:position w:val="31"/>
          <w:sz w:val="23"/>
          <w:szCs w:val="23"/>
        </w:rPr>
        <w:t xml:space="preserve"> </w:t>
      </w:r>
      <w:r>
        <w:rPr>
          <w:rFonts w:ascii="宋体" w:hAnsi="宋体" w:eastAsia="宋体" w:cs="宋体"/>
          <w:spacing w:val="2"/>
          <w:position w:val="31"/>
          <w:sz w:val="23"/>
          <w:szCs w:val="23"/>
        </w:rPr>
        <w:t>、</w:t>
      </w:r>
      <w:r>
        <w:rPr>
          <w:rFonts w:ascii="Times New Roman" w:hAnsi="Times New Roman" w:eastAsia="Times New Roman" w:cs="Times New Roman"/>
          <w:position w:val="31"/>
          <w:sz w:val="23"/>
          <w:szCs w:val="23"/>
        </w:rPr>
        <w:t>C</w:t>
      </w:r>
      <w:r>
        <w:rPr>
          <w:rFonts w:ascii="Times New Roman" w:hAnsi="Times New Roman" w:eastAsia="Times New Roman" w:cs="Times New Roman"/>
          <w:spacing w:val="2"/>
          <w:position w:val="31"/>
          <w:sz w:val="23"/>
          <w:szCs w:val="23"/>
        </w:rPr>
        <w:t xml:space="preserve"> </w:t>
      </w:r>
      <w:r>
        <w:rPr>
          <w:rFonts w:ascii="宋体" w:hAnsi="宋体" w:eastAsia="宋体" w:cs="宋体"/>
          <w:spacing w:val="2"/>
          <w:position w:val="31"/>
          <w:sz w:val="23"/>
          <w:szCs w:val="23"/>
        </w:rPr>
        <w:t>、</w:t>
      </w:r>
      <w:r>
        <w:rPr>
          <w:rFonts w:ascii="Times New Roman" w:hAnsi="Times New Roman" w:eastAsia="Times New Roman" w:cs="Times New Roman"/>
          <w:position w:val="31"/>
          <w:sz w:val="23"/>
          <w:szCs w:val="23"/>
        </w:rPr>
        <w:t>D</w:t>
      </w:r>
      <w:r>
        <w:rPr>
          <w:rFonts w:ascii="Times New Roman" w:hAnsi="Times New Roman" w:eastAsia="Times New Roman" w:cs="Times New Roman"/>
          <w:spacing w:val="2"/>
          <w:position w:val="31"/>
          <w:sz w:val="23"/>
          <w:szCs w:val="23"/>
        </w:rPr>
        <w:t>—</w:t>
      </w:r>
      <w:r>
        <w:rPr>
          <w:rFonts w:ascii="宋体" w:hAnsi="宋体" w:eastAsia="宋体" w:cs="宋体"/>
          <w:spacing w:val="2"/>
          <w:position w:val="31"/>
          <w:sz w:val="23"/>
          <w:szCs w:val="23"/>
        </w:rPr>
        <w:t>卫生</w:t>
      </w:r>
      <w:r>
        <w:rPr>
          <w:rFonts w:ascii="宋体" w:hAnsi="宋体" w:eastAsia="宋体" w:cs="宋体"/>
          <w:spacing w:val="1"/>
          <w:position w:val="31"/>
          <w:sz w:val="23"/>
          <w:szCs w:val="23"/>
        </w:rPr>
        <w:t>防护距离计算参数，无因次。</w:t>
      </w:r>
    </w:p>
    <w:p w14:paraId="0445BC2A">
      <w:pPr>
        <w:spacing w:before="1" w:line="227" w:lineRule="auto"/>
        <w:ind w:left="608"/>
        <w:rPr>
          <w:rFonts w:ascii="宋体" w:hAnsi="宋体" w:eastAsia="宋体" w:cs="宋体"/>
          <w:sz w:val="23"/>
          <w:szCs w:val="23"/>
        </w:rPr>
      </w:pPr>
      <w:r>
        <w:rPr>
          <w:rFonts w:ascii="宋体" w:hAnsi="宋体" w:eastAsia="宋体" w:cs="宋体"/>
          <w:spacing w:val="5"/>
          <w:sz w:val="23"/>
          <w:szCs w:val="23"/>
        </w:rPr>
        <w:t>该项目粉尘的卫生防护距离结果见表</w:t>
      </w:r>
      <w:r>
        <w:rPr>
          <w:rFonts w:ascii="Times New Roman" w:hAnsi="Times New Roman" w:eastAsia="Times New Roman" w:cs="Times New Roman"/>
          <w:spacing w:val="5"/>
          <w:sz w:val="23"/>
          <w:szCs w:val="23"/>
        </w:rPr>
        <w:t>5- 13</w:t>
      </w:r>
      <w:r>
        <w:rPr>
          <w:rFonts w:ascii="宋体" w:hAnsi="宋体" w:eastAsia="宋体" w:cs="宋体"/>
          <w:spacing w:val="1"/>
          <w:sz w:val="23"/>
          <w:szCs w:val="23"/>
        </w:rPr>
        <w:t>。</w:t>
      </w:r>
    </w:p>
    <w:p w14:paraId="70921B03">
      <w:pPr>
        <w:spacing w:line="276" w:lineRule="auto"/>
        <w:rPr>
          <w:rFonts w:ascii="Arial"/>
          <w:sz w:val="21"/>
        </w:rPr>
      </w:pPr>
    </w:p>
    <w:p w14:paraId="529BFD77">
      <w:pPr>
        <w:spacing w:before="75" w:line="227" w:lineRule="auto"/>
        <w:ind w:left="2105"/>
        <w:rPr>
          <w:rFonts w:ascii="宋体" w:hAnsi="宋体" w:eastAsia="宋体" w:cs="宋体"/>
          <w:sz w:val="23"/>
          <w:szCs w:val="23"/>
        </w:rPr>
      </w:pPr>
      <w:r>
        <w:rPr>
          <w:rFonts w:ascii="宋体" w:hAnsi="宋体" w:eastAsia="宋体" w:cs="宋体"/>
          <w:spacing w:val="8"/>
          <w:sz w:val="23"/>
          <w:szCs w:val="23"/>
          <w14:textOutline w14:w="4358" w14:cap="sq" w14:cmpd="sng">
            <w14:solidFill>
              <w14:srgbClr w14:val="000000"/>
            </w14:solidFill>
            <w14:prstDash w14:val="solid"/>
            <w14:bevel/>
          </w14:textOutline>
        </w:rPr>
        <w:t>表</w:t>
      </w:r>
      <w:r>
        <w:rPr>
          <w:rFonts w:ascii="宋体" w:hAnsi="宋体" w:eastAsia="宋体" w:cs="宋体"/>
          <w:spacing w:val="8"/>
          <w:sz w:val="23"/>
          <w:szCs w:val="23"/>
        </w:rPr>
        <w:t xml:space="preserve"> </w:t>
      </w:r>
      <w:r>
        <w:rPr>
          <w:rFonts w:ascii="Times New Roman" w:hAnsi="Times New Roman" w:eastAsia="Times New Roman" w:cs="Times New Roman"/>
          <w:b/>
          <w:bCs/>
          <w:spacing w:val="8"/>
          <w:sz w:val="23"/>
          <w:szCs w:val="23"/>
        </w:rPr>
        <w:t>5-1</w:t>
      </w:r>
      <w:r>
        <w:rPr>
          <w:rFonts w:ascii="Times New Roman" w:hAnsi="Times New Roman" w:eastAsia="Times New Roman" w:cs="Times New Roman"/>
          <w:b/>
          <w:bCs/>
          <w:spacing w:val="4"/>
          <w:sz w:val="23"/>
          <w:szCs w:val="23"/>
        </w:rPr>
        <w:t>3</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卫生防护距离计算结果一览表</w:t>
      </w:r>
    </w:p>
    <w:p w14:paraId="68DEFF9F">
      <w:pPr>
        <w:spacing w:line="18" w:lineRule="exact"/>
      </w:pPr>
    </w:p>
    <w:tbl>
      <w:tblPr>
        <w:tblStyle w:val="4"/>
        <w:tblW w:w="853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9"/>
        <w:gridCol w:w="1023"/>
        <w:gridCol w:w="1266"/>
        <w:gridCol w:w="1540"/>
        <w:gridCol w:w="1618"/>
        <w:gridCol w:w="1898"/>
      </w:tblGrid>
      <w:tr w14:paraId="188058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6" w:hRule="atLeast"/>
        </w:trPr>
        <w:tc>
          <w:tcPr>
            <w:tcW w:w="1189" w:type="dxa"/>
            <w:tcBorders>
              <w:left w:val="nil"/>
            </w:tcBorders>
            <w:vAlign w:val="top"/>
          </w:tcPr>
          <w:p w14:paraId="4A0D8B09">
            <w:pPr>
              <w:spacing w:before="164" w:line="228" w:lineRule="auto"/>
              <w:ind w:left="288"/>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污染物</w:t>
            </w:r>
          </w:p>
        </w:tc>
        <w:tc>
          <w:tcPr>
            <w:tcW w:w="1023" w:type="dxa"/>
            <w:vAlign w:val="top"/>
          </w:tcPr>
          <w:p w14:paraId="6B910484">
            <w:pPr>
              <w:spacing w:before="164" w:line="229" w:lineRule="auto"/>
              <w:ind w:left="96"/>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面</w:t>
            </w:r>
            <w:r>
              <w:rPr>
                <w:rFonts w:ascii="宋体" w:hAnsi="宋体" w:eastAsia="宋体" w:cs="宋体"/>
                <w:spacing w:val="8"/>
                <w:sz w:val="20"/>
                <w:szCs w:val="20"/>
                <w14:textOutline w14:w="3795" w14:cap="sq" w14:cmpd="sng">
                  <w14:solidFill>
                    <w14:srgbClr w14:val="000000"/>
                  </w14:solidFill>
                  <w14:prstDash w14:val="solid"/>
                  <w14:bevel/>
                </w14:textOutline>
              </w:rPr>
              <w:t>源名称</w:t>
            </w:r>
          </w:p>
        </w:tc>
        <w:tc>
          <w:tcPr>
            <w:tcW w:w="1266" w:type="dxa"/>
            <w:vAlign w:val="top"/>
          </w:tcPr>
          <w:p w14:paraId="73415081">
            <w:pPr>
              <w:spacing w:before="123" w:line="289" w:lineRule="exact"/>
              <w:ind w:left="62"/>
              <w:rPr>
                <w:rFonts w:ascii="Times New Roman" w:hAnsi="Times New Roman" w:eastAsia="Times New Roman" w:cs="Times New Roman"/>
                <w:sz w:val="20"/>
                <w:szCs w:val="20"/>
              </w:rPr>
            </w:pPr>
            <w:r>
              <w:rPr>
                <w:rFonts w:ascii="宋体" w:hAnsi="宋体" w:eastAsia="宋体" w:cs="宋体"/>
                <w:spacing w:val="8"/>
                <w:position w:val="2"/>
                <w:sz w:val="20"/>
                <w:szCs w:val="20"/>
                <w14:textOutline w14:w="3795" w14:cap="sq" w14:cmpd="sng">
                  <w14:solidFill>
                    <w14:srgbClr w14:val="000000"/>
                  </w14:solidFill>
                  <w14:prstDash w14:val="solid"/>
                  <w14:bevel/>
                </w14:textOutline>
              </w:rPr>
              <w:t>面源长度</w:t>
            </w:r>
            <w:r>
              <w:rPr>
                <w:rFonts w:ascii="Times New Roman" w:hAnsi="Times New Roman" w:eastAsia="Times New Roman" w:cs="Times New Roman"/>
                <w:b/>
                <w:bCs/>
                <w:spacing w:val="8"/>
                <w:position w:val="2"/>
                <w:sz w:val="20"/>
                <w:szCs w:val="20"/>
              </w:rPr>
              <w:t>(</w:t>
            </w:r>
            <w:r>
              <w:rPr>
                <w:rFonts w:ascii="Times New Roman" w:hAnsi="Times New Roman" w:eastAsia="Times New Roman" w:cs="Times New Roman"/>
                <w:b/>
                <w:bCs/>
                <w:position w:val="2"/>
                <w:sz w:val="20"/>
                <w:szCs w:val="20"/>
              </w:rPr>
              <w:t>m</w:t>
            </w:r>
            <w:r>
              <w:rPr>
                <w:rFonts w:ascii="Times New Roman" w:hAnsi="Times New Roman" w:eastAsia="Times New Roman" w:cs="Times New Roman"/>
                <w:b/>
                <w:bCs/>
                <w:spacing w:val="7"/>
                <w:position w:val="2"/>
                <w:sz w:val="20"/>
                <w:szCs w:val="20"/>
              </w:rPr>
              <w:t>)</w:t>
            </w:r>
          </w:p>
        </w:tc>
        <w:tc>
          <w:tcPr>
            <w:tcW w:w="1540" w:type="dxa"/>
            <w:vAlign w:val="top"/>
          </w:tcPr>
          <w:p w14:paraId="5CD77C2A">
            <w:pPr>
              <w:spacing w:before="123" w:line="289" w:lineRule="exact"/>
              <w:ind w:left="200"/>
              <w:rPr>
                <w:rFonts w:ascii="Times New Roman" w:hAnsi="Times New Roman" w:eastAsia="Times New Roman" w:cs="Times New Roman"/>
                <w:sz w:val="20"/>
                <w:szCs w:val="20"/>
              </w:rPr>
            </w:pPr>
            <w:r>
              <w:rPr>
                <w:rFonts w:ascii="宋体" w:hAnsi="宋体" w:eastAsia="宋体" w:cs="宋体"/>
                <w:spacing w:val="8"/>
                <w:position w:val="2"/>
                <w:sz w:val="20"/>
                <w:szCs w:val="20"/>
                <w14:textOutline w14:w="3795" w14:cap="sq" w14:cmpd="sng">
                  <w14:solidFill>
                    <w14:srgbClr w14:val="000000"/>
                  </w14:solidFill>
                  <w14:prstDash w14:val="solid"/>
                  <w14:bevel/>
                </w14:textOutline>
              </w:rPr>
              <w:t>面源宽度</w:t>
            </w:r>
            <w:r>
              <w:rPr>
                <w:rFonts w:ascii="Times New Roman" w:hAnsi="Times New Roman" w:eastAsia="Times New Roman" w:cs="Times New Roman"/>
                <w:b/>
                <w:bCs/>
                <w:spacing w:val="8"/>
                <w:position w:val="2"/>
                <w:sz w:val="20"/>
                <w:szCs w:val="20"/>
              </w:rPr>
              <w:t>(</w:t>
            </w:r>
            <w:r>
              <w:rPr>
                <w:rFonts w:ascii="Times New Roman" w:hAnsi="Times New Roman" w:eastAsia="Times New Roman" w:cs="Times New Roman"/>
                <w:b/>
                <w:bCs/>
                <w:position w:val="2"/>
                <w:sz w:val="20"/>
                <w:szCs w:val="20"/>
              </w:rPr>
              <w:t>m</w:t>
            </w:r>
            <w:r>
              <w:rPr>
                <w:rFonts w:ascii="Times New Roman" w:hAnsi="Times New Roman" w:eastAsia="Times New Roman" w:cs="Times New Roman"/>
                <w:b/>
                <w:bCs/>
                <w:spacing w:val="7"/>
                <w:position w:val="2"/>
                <w:sz w:val="20"/>
                <w:szCs w:val="20"/>
              </w:rPr>
              <w:t>)</w:t>
            </w:r>
          </w:p>
        </w:tc>
        <w:tc>
          <w:tcPr>
            <w:tcW w:w="1618" w:type="dxa"/>
            <w:vAlign w:val="top"/>
          </w:tcPr>
          <w:p w14:paraId="53D3E526">
            <w:pPr>
              <w:spacing w:before="123" w:line="289" w:lineRule="exact"/>
              <w:ind w:left="30"/>
              <w:rPr>
                <w:rFonts w:ascii="Times New Roman" w:hAnsi="Times New Roman" w:eastAsia="Times New Roman" w:cs="Times New Roman"/>
                <w:sz w:val="20"/>
                <w:szCs w:val="20"/>
              </w:rPr>
            </w:pPr>
            <w:r>
              <w:rPr>
                <w:rFonts w:ascii="宋体" w:hAnsi="宋体" w:eastAsia="宋体" w:cs="宋体"/>
                <w:spacing w:val="12"/>
                <w:position w:val="2"/>
                <w:sz w:val="20"/>
                <w:szCs w:val="20"/>
                <w14:textOutline w14:w="3795" w14:cap="sq" w14:cmpd="sng">
                  <w14:solidFill>
                    <w14:srgbClr w14:val="000000"/>
                  </w14:solidFill>
                  <w14:prstDash w14:val="solid"/>
                  <w14:bevel/>
                </w14:textOutline>
              </w:rPr>
              <w:t>面</w:t>
            </w:r>
            <w:r>
              <w:rPr>
                <w:rFonts w:ascii="宋体" w:hAnsi="宋体" w:eastAsia="宋体" w:cs="宋体"/>
                <w:spacing w:val="8"/>
                <w:position w:val="2"/>
                <w:sz w:val="20"/>
                <w:szCs w:val="20"/>
                <w14:textOutline w14:w="3795" w14:cap="sq" w14:cmpd="sng">
                  <w14:solidFill>
                    <w14:srgbClr w14:val="000000"/>
                  </w14:solidFill>
                  <w14:prstDash w14:val="solid"/>
                  <w14:bevel/>
                </w14:textOutline>
              </w:rPr>
              <w:t>源有效高度</w:t>
            </w:r>
            <w:r>
              <w:rPr>
                <w:rFonts w:ascii="Times New Roman" w:hAnsi="Times New Roman" w:eastAsia="Times New Roman" w:cs="Times New Roman"/>
                <w:b/>
                <w:bCs/>
                <w:spacing w:val="8"/>
                <w:position w:val="2"/>
                <w:sz w:val="20"/>
                <w:szCs w:val="20"/>
              </w:rPr>
              <w:t>(</w:t>
            </w:r>
            <w:r>
              <w:rPr>
                <w:rFonts w:ascii="Times New Roman" w:hAnsi="Times New Roman" w:eastAsia="Times New Roman" w:cs="Times New Roman"/>
                <w:b/>
                <w:bCs/>
                <w:position w:val="2"/>
                <w:sz w:val="20"/>
                <w:szCs w:val="20"/>
              </w:rPr>
              <w:t>m</w:t>
            </w:r>
            <w:r>
              <w:rPr>
                <w:rFonts w:ascii="Times New Roman" w:hAnsi="Times New Roman" w:eastAsia="Times New Roman" w:cs="Times New Roman"/>
                <w:b/>
                <w:bCs/>
                <w:spacing w:val="8"/>
                <w:position w:val="2"/>
                <w:sz w:val="20"/>
                <w:szCs w:val="20"/>
              </w:rPr>
              <w:t>)</w:t>
            </w:r>
          </w:p>
        </w:tc>
        <w:tc>
          <w:tcPr>
            <w:tcW w:w="1898" w:type="dxa"/>
            <w:tcBorders>
              <w:right w:val="nil"/>
            </w:tcBorders>
            <w:vAlign w:val="top"/>
          </w:tcPr>
          <w:p w14:paraId="42458F1F">
            <w:pPr>
              <w:spacing w:before="123" w:line="289" w:lineRule="exact"/>
              <w:ind w:left="71"/>
              <w:rPr>
                <w:rFonts w:ascii="Times New Roman" w:hAnsi="Times New Roman" w:eastAsia="Times New Roman" w:cs="Times New Roman"/>
                <w:sz w:val="20"/>
                <w:szCs w:val="20"/>
              </w:rPr>
            </w:pPr>
            <w:r>
              <w:rPr>
                <w:rFonts w:ascii="宋体" w:hAnsi="宋体" w:eastAsia="宋体" w:cs="宋体"/>
                <w:spacing w:val="7"/>
                <w:position w:val="3"/>
                <w:sz w:val="20"/>
                <w:szCs w:val="20"/>
                <w14:textOutline w14:w="3795" w14:cap="sq" w14:cmpd="sng">
                  <w14:solidFill>
                    <w14:srgbClr w14:val="000000"/>
                  </w14:solidFill>
                  <w14:prstDash w14:val="solid"/>
                  <w14:bevel/>
                </w14:textOutline>
              </w:rPr>
              <w:t>污染物排放量</w:t>
            </w:r>
            <w:r>
              <w:rPr>
                <w:rFonts w:ascii="Times New Roman" w:hAnsi="Times New Roman" w:eastAsia="Times New Roman" w:cs="Times New Roman"/>
                <w:b/>
                <w:bCs/>
                <w:spacing w:val="7"/>
                <w:position w:val="3"/>
                <w:sz w:val="20"/>
                <w:szCs w:val="20"/>
              </w:rPr>
              <w:t>(</w:t>
            </w:r>
            <w:r>
              <w:rPr>
                <w:rFonts w:ascii="Times New Roman" w:hAnsi="Times New Roman" w:eastAsia="Times New Roman" w:cs="Times New Roman"/>
                <w:b/>
                <w:bCs/>
                <w:position w:val="3"/>
                <w:sz w:val="20"/>
                <w:szCs w:val="20"/>
              </w:rPr>
              <w:t>kg</w:t>
            </w:r>
            <w:r>
              <w:rPr>
                <w:rFonts w:ascii="Times New Roman" w:hAnsi="Times New Roman" w:eastAsia="Times New Roman" w:cs="Times New Roman"/>
                <w:b/>
                <w:bCs/>
                <w:spacing w:val="7"/>
                <w:position w:val="3"/>
                <w:sz w:val="20"/>
                <w:szCs w:val="20"/>
              </w:rPr>
              <w:t>/</w:t>
            </w:r>
            <w:r>
              <w:rPr>
                <w:rFonts w:ascii="Times New Roman" w:hAnsi="Times New Roman" w:eastAsia="Times New Roman" w:cs="Times New Roman"/>
                <w:b/>
                <w:bCs/>
                <w:position w:val="3"/>
                <w:sz w:val="20"/>
                <w:szCs w:val="20"/>
              </w:rPr>
              <w:t>h</w:t>
            </w:r>
            <w:r>
              <w:rPr>
                <w:rFonts w:ascii="Times New Roman" w:hAnsi="Times New Roman" w:eastAsia="Times New Roman" w:cs="Times New Roman"/>
                <w:b/>
                <w:bCs/>
                <w:spacing w:val="6"/>
                <w:position w:val="3"/>
                <w:sz w:val="20"/>
                <w:szCs w:val="20"/>
              </w:rPr>
              <w:t>)</w:t>
            </w:r>
          </w:p>
        </w:tc>
      </w:tr>
      <w:tr w14:paraId="7F35DB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89" w:type="dxa"/>
            <w:tcBorders>
              <w:left w:val="nil"/>
            </w:tcBorders>
            <w:vAlign w:val="top"/>
          </w:tcPr>
          <w:p w14:paraId="0DEA8B2B">
            <w:pPr>
              <w:spacing w:before="53" w:line="228" w:lineRule="auto"/>
              <w:ind w:left="391"/>
              <w:rPr>
                <w:rFonts w:ascii="宋体" w:hAnsi="宋体" w:eastAsia="宋体" w:cs="宋体"/>
                <w:sz w:val="20"/>
                <w:szCs w:val="20"/>
              </w:rPr>
            </w:pPr>
            <w:r>
              <w:rPr>
                <w:rFonts w:ascii="宋体" w:hAnsi="宋体" w:eastAsia="宋体" w:cs="宋体"/>
                <w:spacing w:val="5"/>
                <w:sz w:val="20"/>
                <w:szCs w:val="20"/>
              </w:rPr>
              <w:t>粉尘</w:t>
            </w:r>
          </w:p>
        </w:tc>
        <w:tc>
          <w:tcPr>
            <w:tcW w:w="1023" w:type="dxa"/>
            <w:vAlign w:val="top"/>
          </w:tcPr>
          <w:p w14:paraId="448E0DE5">
            <w:pPr>
              <w:spacing w:before="53" w:line="228" w:lineRule="auto"/>
              <w:ind w:left="97"/>
              <w:rPr>
                <w:rFonts w:ascii="宋体" w:hAnsi="宋体" w:eastAsia="宋体" w:cs="宋体"/>
                <w:sz w:val="20"/>
                <w:szCs w:val="20"/>
              </w:rPr>
            </w:pPr>
            <w:r>
              <w:rPr>
                <w:rFonts w:ascii="宋体" w:hAnsi="宋体" w:eastAsia="宋体" w:cs="宋体"/>
                <w:spacing w:val="7"/>
                <w:sz w:val="20"/>
                <w:szCs w:val="20"/>
              </w:rPr>
              <w:t>生产厂</w:t>
            </w:r>
            <w:r>
              <w:rPr>
                <w:rFonts w:ascii="宋体" w:hAnsi="宋体" w:eastAsia="宋体" w:cs="宋体"/>
                <w:spacing w:val="6"/>
                <w:sz w:val="20"/>
                <w:szCs w:val="20"/>
              </w:rPr>
              <w:t>房</w:t>
            </w:r>
          </w:p>
        </w:tc>
        <w:tc>
          <w:tcPr>
            <w:tcW w:w="1266" w:type="dxa"/>
            <w:vAlign w:val="top"/>
          </w:tcPr>
          <w:p w14:paraId="08E845EF">
            <w:pPr>
              <w:spacing w:before="89" w:line="195" w:lineRule="auto"/>
              <w:ind w:left="49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110</w:t>
            </w:r>
          </w:p>
        </w:tc>
        <w:tc>
          <w:tcPr>
            <w:tcW w:w="1540" w:type="dxa"/>
            <w:vAlign w:val="top"/>
          </w:tcPr>
          <w:p w14:paraId="6EE9011C">
            <w:pPr>
              <w:spacing w:before="89" w:line="195" w:lineRule="auto"/>
              <w:ind w:left="671"/>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c>
          <w:tcPr>
            <w:tcW w:w="1618" w:type="dxa"/>
            <w:vAlign w:val="top"/>
          </w:tcPr>
          <w:p w14:paraId="0B5B3F10">
            <w:pPr>
              <w:spacing w:before="89" w:line="195" w:lineRule="auto"/>
              <w:ind w:left="762"/>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898" w:type="dxa"/>
            <w:tcBorders>
              <w:right w:val="nil"/>
            </w:tcBorders>
            <w:vAlign w:val="top"/>
          </w:tcPr>
          <w:p w14:paraId="771229D8">
            <w:pPr>
              <w:spacing w:before="90" w:line="195" w:lineRule="auto"/>
              <w:ind w:left="77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0. 14</w:t>
            </w:r>
          </w:p>
        </w:tc>
      </w:tr>
      <w:tr w14:paraId="0903DC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9" w:type="dxa"/>
            <w:tcBorders>
              <w:left w:val="nil"/>
            </w:tcBorders>
            <w:vAlign w:val="top"/>
          </w:tcPr>
          <w:p w14:paraId="18FAD524">
            <w:pPr>
              <w:spacing w:before="90"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NMHC</w:t>
            </w:r>
          </w:p>
        </w:tc>
        <w:tc>
          <w:tcPr>
            <w:tcW w:w="1023" w:type="dxa"/>
            <w:vAlign w:val="top"/>
          </w:tcPr>
          <w:p w14:paraId="1D23DD99">
            <w:pPr>
              <w:spacing w:before="54" w:line="228" w:lineRule="auto"/>
              <w:ind w:left="97"/>
              <w:rPr>
                <w:rFonts w:ascii="宋体" w:hAnsi="宋体" w:eastAsia="宋体" w:cs="宋体"/>
                <w:sz w:val="20"/>
                <w:szCs w:val="20"/>
              </w:rPr>
            </w:pPr>
            <w:r>
              <w:rPr>
                <w:rFonts w:ascii="宋体" w:hAnsi="宋体" w:eastAsia="宋体" w:cs="宋体"/>
                <w:spacing w:val="7"/>
                <w:sz w:val="20"/>
                <w:szCs w:val="20"/>
              </w:rPr>
              <w:t>生产厂</w:t>
            </w:r>
            <w:r>
              <w:rPr>
                <w:rFonts w:ascii="宋体" w:hAnsi="宋体" w:eastAsia="宋体" w:cs="宋体"/>
                <w:spacing w:val="6"/>
                <w:sz w:val="20"/>
                <w:szCs w:val="20"/>
              </w:rPr>
              <w:t>房</w:t>
            </w:r>
          </w:p>
        </w:tc>
        <w:tc>
          <w:tcPr>
            <w:tcW w:w="1266" w:type="dxa"/>
            <w:vAlign w:val="top"/>
          </w:tcPr>
          <w:p w14:paraId="4681A6D1">
            <w:pPr>
              <w:spacing w:before="90" w:line="195" w:lineRule="auto"/>
              <w:ind w:left="49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110</w:t>
            </w:r>
          </w:p>
        </w:tc>
        <w:tc>
          <w:tcPr>
            <w:tcW w:w="1540" w:type="dxa"/>
            <w:vAlign w:val="top"/>
          </w:tcPr>
          <w:p w14:paraId="522B622E">
            <w:pPr>
              <w:spacing w:before="90" w:line="195" w:lineRule="auto"/>
              <w:ind w:left="671"/>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c>
          <w:tcPr>
            <w:tcW w:w="1618" w:type="dxa"/>
            <w:vAlign w:val="top"/>
          </w:tcPr>
          <w:p w14:paraId="3A76D62B">
            <w:pPr>
              <w:spacing w:before="90" w:line="195" w:lineRule="auto"/>
              <w:ind w:left="762"/>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898" w:type="dxa"/>
            <w:tcBorders>
              <w:right w:val="nil"/>
            </w:tcBorders>
            <w:vAlign w:val="top"/>
          </w:tcPr>
          <w:p w14:paraId="239E90B7">
            <w:pPr>
              <w:spacing w:before="90" w:line="195" w:lineRule="auto"/>
              <w:ind w:left="77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.25</w:t>
            </w:r>
          </w:p>
        </w:tc>
      </w:tr>
    </w:tbl>
    <w:p w14:paraId="3BD48DFE">
      <w:pPr>
        <w:spacing w:before="295" w:line="385" w:lineRule="auto"/>
        <w:ind w:left="125" w:right="108" w:firstLine="480"/>
        <w:rPr>
          <w:rFonts w:ascii="宋体" w:hAnsi="宋体" w:eastAsia="宋体" w:cs="宋体"/>
          <w:sz w:val="23"/>
          <w:szCs w:val="23"/>
        </w:rPr>
      </w:pPr>
      <w:r>
        <w:rPr>
          <w:rFonts w:ascii="宋体" w:hAnsi="宋体" w:eastAsia="宋体" w:cs="宋体"/>
          <w:spacing w:val="10"/>
          <w:sz w:val="23"/>
          <w:szCs w:val="23"/>
        </w:rPr>
        <w:t>依据</w:t>
      </w:r>
      <w:r>
        <w:rPr>
          <w:rFonts w:ascii="宋体" w:hAnsi="宋体" w:eastAsia="宋体" w:cs="宋体"/>
          <w:spacing w:val="9"/>
          <w:sz w:val="23"/>
          <w:szCs w:val="23"/>
        </w:rPr>
        <w:t>《</w:t>
      </w:r>
      <w:r>
        <w:rPr>
          <w:rFonts w:ascii="宋体" w:hAnsi="宋体" w:eastAsia="宋体" w:cs="宋体"/>
          <w:spacing w:val="5"/>
          <w:sz w:val="23"/>
          <w:szCs w:val="23"/>
        </w:rPr>
        <w:t>制定地方大气污染物排放标准的技术方法》  (</w:t>
      </w:r>
      <w:r>
        <w:rPr>
          <w:rFonts w:ascii="Times New Roman" w:hAnsi="Times New Roman" w:eastAsia="Times New Roman" w:cs="Times New Roman"/>
          <w:sz w:val="23"/>
          <w:szCs w:val="23"/>
        </w:rPr>
        <w:t>GB</w:t>
      </w:r>
      <w:r>
        <w:rPr>
          <w:rFonts w:ascii="Times New Roman" w:hAnsi="Times New Roman" w:eastAsia="Times New Roman" w:cs="Times New Roman"/>
          <w:spacing w:val="5"/>
          <w:sz w:val="23"/>
          <w:szCs w:val="23"/>
        </w:rPr>
        <w:t>/</w:t>
      </w:r>
      <w:r>
        <w:rPr>
          <w:rFonts w:ascii="Times New Roman" w:hAnsi="Times New Roman" w:eastAsia="Times New Roman" w:cs="Times New Roman"/>
          <w:sz w:val="23"/>
          <w:szCs w:val="23"/>
        </w:rPr>
        <w:t>T</w:t>
      </w:r>
      <w:r>
        <w:rPr>
          <w:rFonts w:ascii="Times New Roman" w:hAnsi="Times New Roman" w:eastAsia="Times New Roman" w:cs="Times New Roman"/>
          <w:spacing w:val="5"/>
          <w:sz w:val="23"/>
          <w:szCs w:val="23"/>
        </w:rPr>
        <w:t>3840-91</w:t>
      </w:r>
      <w:r>
        <w:rPr>
          <w:rFonts w:ascii="宋体" w:hAnsi="宋体" w:eastAsia="宋体" w:cs="宋体"/>
          <w:spacing w:val="5"/>
          <w:sz w:val="23"/>
          <w:szCs w:val="23"/>
        </w:rPr>
        <w:t>) 相关规</w:t>
      </w:r>
      <w:r>
        <w:rPr>
          <w:rFonts w:ascii="宋体" w:hAnsi="宋体" w:eastAsia="宋体" w:cs="宋体"/>
          <w:sz w:val="23"/>
          <w:szCs w:val="23"/>
        </w:rPr>
        <w:t xml:space="preserve"> </w:t>
      </w:r>
      <w:r>
        <w:rPr>
          <w:rFonts w:ascii="宋体" w:hAnsi="宋体" w:eastAsia="宋体" w:cs="宋体"/>
          <w:spacing w:val="10"/>
          <w:sz w:val="23"/>
          <w:szCs w:val="23"/>
        </w:rPr>
        <w:t>定</w:t>
      </w:r>
      <w:r>
        <w:rPr>
          <w:rFonts w:ascii="宋体" w:hAnsi="宋体" w:eastAsia="宋体" w:cs="宋体"/>
          <w:spacing w:val="8"/>
          <w:sz w:val="23"/>
          <w:szCs w:val="23"/>
        </w:rPr>
        <w:t>，</w:t>
      </w:r>
      <w:r>
        <w:rPr>
          <w:rFonts w:ascii="宋体" w:hAnsi="宋体" w:eastAsia="宋体" w:cs="宋体"/>
          <w:spacing w:val="5"/>
          <w:sz w:val="23"/>
          <w:szCs w:val="23"/>
        </w:rPr>
        <w:t xml:space="preserve">无组织排放多种有害气体的工业企业，按 </w:t>
      </w:r>
      <w:r>
        <w:rPr>
          <w:rFonts w:ascii="Times New Roman" w:hAnsi="Times New Roman" w:eastAsia="Times New Roman" w:cs="Times New Roman"/>
          <w:sz w:val="23"/>
          <w:szCs w:val="23"/>
        </w:rPr>
        <w:t>Q</w:t>
      </w:r>
      <w:r>
        <w:rPr>
          <w:rFonts w:ascii="Times New Roman" w:hAnsi="Times New Roman" w:eastAsia="Times New Roman" w:cs="Times New Roman"/>
          <w:position w:val="-1"/>
          <w:sz w:val="15"/>
          <w:szCs w:val="15"/>
        </w:rPr>
        <w:t>C</w:t>
      </w:r>
      <w:r>
        <w:rPr>
          <w:rFonts w:ascii="Times New Roman" w:hAnsi="Times New Roman" w:eastAsia="Times New Roman" w:cs="Times New Roman"/>
          <w:spacing w:val="5"/>
          <w:sz w:val="23"/>
          <w:szCs w:val="23"/>
        </w:rPr>
        <w:t>/</w:t>
      </w:r>
      <w:r>
        <w:rPr>
          <w:rFonts w:ascii="Times New Roman" w:hAnsi="Times New Roman" w:eastAsia="Times New Roman" w:cs="Times New Roman"/>
          <w:sz w:val="23"/>
          <w:szCs w:val="23"/>
        </w:rPr>
        <w:t>C</w:t>
      </w:r>
      <w:r>
        <w:rPr>
          <w:rFonts w:ascii="Times New Roman" w:hAnsi="Times New Roman" w:eastAsia="Times New Roman" w:cs="Times New Roman"/>
          <w:position w:val="-1"/>
          <w:sz w:val="15"/>
          <w:szCs w:val="15"/>
        </w:rPr>
        <w:t>m</w:t>
      </w:r>
      <w:r>
        <w:rPr>
          <w:rFonts w:ascii="Times New Roman" w:hAnsi="Times New Roman" w:eastAsia="Times New Roman" w:cs="Times New Roman"/>
          <w:spacing w:val="5"/>
          <w:position w:val="-1"/>
          <w:sz w:val="15"/>
          <w:szCs w:val="15"/>
        </w:rPr>
        <w:t xml:space="preserve"> </w:t>
      </w:r>
      <w:r>
        <w:rPr>
          <w:rFonts w:ascii="宋体" w:hAnsi="宋体" w:eastAsia="宋体" w:cs="宋体"/>
          <w:spacing w:val="5"/>
          <w:sz w:val="23"/>
          <w:szCs w:val="23"/>
        </w:rPr>
        <w:t>的最大值计算其所需卫生防</w:t>
      </w:r>
      <w:r>
        <w:rPr>
          <w:rFonts w:ascii="宋体" w:hAnsi="宋体" w:eastAsia="宋体" w:cs="宋体"/>
          <w:sz w:val="23"/>
          <w:szCs w:val="23"/>
        </w:rPr>
        <w:t xml:space="preserve"> </w:t>
      </w:r>
      <w:r>
        <w:rPr>
          <w:rFonts w:ascii="宋体" w:hAnsi="宋体" w:eastAsia="宋体" w:cs="宋体"/>
          <w:spacing w:val="10"/>
          <w:sz w:val="23"/>
          <w:szCs w:val="23"/>
        </w:rPr>
        <w:t>护</w:t>
      </w:r>
      <w:r>
        <w:rPr>
          <w:rFonts w:ascii="宋体" w:hAnsi="宋体" w:eastAsia="宋体" w:cs="宋体"/>
          <w:spacing w:val="8"/>
          <w:sz w:val="23"/>
          <w:szCs w:val="23"/>
        </w:rPr>
        <w:t>距</w:t>
      </w:r>
      <w:r>
        <w:rPr>
          <w:rFonts w:ascii="宋体" w:hAnsi="宋体" w:eastAsia="宋体" w:cs="宋体"/>
          <w:spacing w:val="5"/>
          <w:sz w:val="23"/>
          <w:szCs w:val="23"/>
        </w:rPr>
        <w:t xml:space="preserve">离，但当按两种或两种以上的有害气体的 </w:t>
      </w:r>
      <w:r>
        <w:rPr>
          <w:rFonts w:ascii="Times New Roman" w:hAnsi="Times New Roman" w:eastAsia="Times New Roman" w:cs="Times New Roman"/>
          <w:sz w:val="23"/>
          <w:szCs w:val="23"/>
        </w:rPr>
        <w:t>Q</w:t>
      </w:r>
      <w:r>
        <w:rPr>
          <w:rFonts w:ascii="Times New Roman" w:hAnsi="Times New Roman" w:eastAsia="Times New Roman" w:cs="Times New Roman"/>
          <w:position w:val="-1"/>
          <w:sz w:val="15"/>
          <w:szCs w:val="15"/>
        </w:rPr>
        <w:t>C</w:t>
      </w:r>
      <w:r>
        <w:rPr>
          <w:rFonts w:ascii="Times New Roman" w:hAnsi="Times New Roman" w:eastAsia="Times New Roman" w:cs="Times New Roman"/>
          <w:spacing w:val="5"/>
          <w:sz w:val="23"/>
          <w:szCs w:val="23"/>
        </w:rPr>
        <w:t>/</w:t>
      </w:r>
      <w:r>
        <w:rPr>
          <w:rFonts w:ascii="Times New Roman" w:hAnsi="Times New Roman" w:eastAsia="Times New Roman" w:cs="Times New Roman"/>
          <w:sz w:val="23"/>
          <w:szCs w:val="23"/>
        </w:rPr>
        <w:t>C</w:t>
      </w:r>
      <w:r>
        <w:rPr>
          <w:rFonts w:ascii="Times New Roman" w:hAnsi="Times New Roman" w:eastAsia="Times New Roman" w:cs="Times New Roman"/>
          <w:position w:val="-1"/>
          <w:sz w:val="15"/>
          <w:szCs w:val="15"/>
        </w:rPr>
        <w:t>m</w:t>
      </w:r>
      <w:r>
        <w:rPr>
          <w:rFonts w:ascii="Times New Roman" w:hAnsi="Times New Roman" w:eastAsia="Times New Roman" w:cs="Times New Roman"/>
          <w:spacing w:val="5"/>
          <w:position w:val="-1"/>
          <w:sz w:val="15"/>
          <w:szCs w:val="15"/>
        </w:rPr>
        <w:t xml:space="preserve"> </w:t>
      </w:r>
      <w:r>
        <w:rPr>
          <w:rFonts w:ascii="宋体" w:hAnsi="宋体" w:eastAsia="宋体" w:cs="宋体"/>
          <w:spacing w:val="5"/>
          <w:sz w:val="23"/>
          <w:szCs w:val="23"/>
        </w:rPr>
        <w:t>值计算的卫生防护距离在同</w:t>
      </w:r>
      <w:r>
        <w:rPr>
          <w:rFonts w:ascii="宋体" w:hAnsi="宋体" w:eastAsia="宋体" w:cs="宋体"/>
          <w:sz w:val="23"/>
          <w:szCs w:val="23"/>
        </w:rPr>
        <w:t xml:space="preserve"> </w:t>
      </w:r>
      <w:r>
        <w:rPr>
          <w:rFonts w:ascii="宋体" w:hAnsi="宋体" w:eastAsia="宋体" w:cs="宋体"/>
          <w:spacing w:val="12"/>
          <w:sz w:val="23"/>
          <w:szCs w:val="23"/>
        </w:rPr>
        <w:t>一级别</w:t>
      </w:r>
      <w:r>
        <w:rPr>
          <w:rFonts w:ascii="宋体" w:hAnsi="宋体" w:eastAsia="宋体" w:cs="宋体"/>
          <w:spacing w:val="8"/>
          <w:sz w:val="23"/>
          <w:szCs w:val="23"/>
        </w:rPr>
        <w:t>时</w:t>
      </w:r>
      <w:r>
        <w:rPr>
          <w:rFonts w:ascii="宋体" w:hAnsi="宋体" w:eastAsia="宋体" w:cs="宋体"/>
          <w:spacing w:val="6"/>
          <w:sz w:val="23"/>
          <w:szCs w:val="23"/>
        </w:rPr>
        <w:t xml:space="preserve">卫生防护距离级别应提高一级。卫生防护距离在 </w:t>
      </w:r>
      <w:r>
        <w:rPr>
          <w:rFonts w:ascii="Times New Roman" w:hAnsi="Times New Roman" w:eastAsia="Times New Roman" w:cs="Times New Roman"/>
          <w:spacing w:val="6"/>
          <w:sz w:val="23"/>
          <w:szCs w:val="23"/>
        </w:rPr>
        <w:t>100</w:t>
      </w:r>
      <w:r>
        <w:rPr>
          <w:rFonts w:ascii="Times New Roman" w:hAnsi="Times New Roman" w:eastAsia="Times New Roman" w:cs="Times New Roman"/>
          <w:sz w:val="23"/>
          <w:szCs w:val="23"/>
        </w:rPr>
        <w:t>m</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以内时，级差为</w:t>
      </w:r>
    </w:p>
    <w:p w14:paraId="06E2B20D">
      <w:pPr>
        <w:sectPr>
          <w:headerReference r:id="rId215" w:type="default"/>
          <w:footerReference r:id="rId216" w:type="default"/>
          <w:pgSz w:w="11906" w:h="16839"/>
          <w:pgMar w:top="1132" w:right="1685" w:bottom="1182" w:left="1685" w:header="878" w:footer="1022" w:gutter="0"/>
          <w:cols w:space="720" w:num="1"/>
        </w:sectPr>
      </w:pPr>
    </w:p>
    <w:p w14:paraId="719ACCA9">
      <w:pPr>
        <w:spacing w:line="408" w:lineRule="auto"/>
        <w:rPr>
          <w:rFonts w:ascii="Arial"/>
          <w:sz w:val="21"/>
        </w:rPr>
      </w:pPr>
      <w:r>
        <w:pict>
          <v:shape id="_x0000_s1261" o:spid="_x0000_s1261" style="position:absolute;left:0pt;margin-left:90pt;margin-top:57.35pt;height:0.75pt;width:415.3pt;mso-position-horizontal-relative:page;mso-position-vertical-relative:page;z-index:251920384;mso-width-relative:page;mso-height-relative:page;" fillcolor="#000000" filled="t" stroked="f" coordsize="8305,15" o:allowincell="f" path="m0,0l8305,0,8305,14,0,14,0,0xe">
            <v:path/>
            <v:fill on="t" focussize="0,0"/>
            <v:stroke on="f"/>
            <v:imagedata o:title=""/>
            <o:lock v:ext="edit"/>
          </v:shape>
        </w:pict>
      </w:r>
    </w:p>
    <w:p w14:paraId="1F2F4330">
      <w:pPr>
        <w:spacing w:before="75" w:line="394" w:lineRule="auto"/>
        <w:ind w:left="26" w:right="69" w:hanging="1"/>
        <w:rPr>
          <w:rFonts w:ascii="宋体" w:hAnsi="宋体" w:eastAsia="宋体" w:cs="宋体"/>
          <w:sz w:val="23"/>
          <w:szCs w:val="23"/>
        </w:rPr>
      </w:pPr>
      <w:r>
        <w:rPr>
          <w:rFonts w:ascii="Times New Roman" w:hAnsi="Times New Roman" w:eastAsia="Times New Roman" w:cs="Times New Roman"/>
          <w:spacing w:val="1"/>
          <w:sz w:val="23"/>
          <w:szCs w:val="23"/>
        </w:rPr>
        <w:t>50</w:t>
      </w:r>
      <w:r>
        <w:rPr>
          <w:rFonts w:ascii="Times New Roman" w:hAnsi="Times New Roman" w:eastAsia="Times New Roman" w:cs="Times New Roman"/>
          <w:sz w:val="23"/>
          <w:szCs w:val="23"/>
        </w:rPr>
        <w:t>m</w:t>
      </w:r>
      <w:r>
        <w:rPr>
          <w:rFonts w:ascii="宋体" w:hAnsi="宋体" w:eastAsia="宋体" w:cs="宋体"/>
          <w:spacing w:val="1"/>
          <w:sz w:val="23"/>
          <w:szCs w:val="23"/>
        </w:rPr>
        <w:t xml:space="preserve">；超过 </w:t>
      </w:r>
      <w:r>
        <w:rPr>
          <w:rFonts w:ascii="Times New Roman" w:hAnsi="Times New Roman" w:eastAsia="Times New Roman" w:cs="Times New Roman"/>
          <w:spacing w:val="1"/>
          <w:sz w:val="23"/>
          <w:szCs w:val="23"/>
        </w:rPr>
        <w:t>100</w:t>
      </w:r>
      <w:r>
        <w:rPr>
          <w:rFonts w:ascii="Times New Roman" w:hAnsi="Times New Roman" w:eastAsia="Times New Roman" w:cs="Times New Roman"/>
          <w:sz w:val="23"/>
          <w:szCs w:val="23"/>
        </w:rPr>
        <w:t>m</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 xml:space="preserve">，但小于或等于 </w:t>
      </w:r>
      <w:r>
        <w:rPr>
          <w:rFonts w:ascii="Times New Roman" w:hAnsi="Times New Roman" w:eastAsia="Times New Roman" w:cs="Times New Roman"/>
          <w:spacing w:val="1"/>
          <w:sz w:val="23"/>
          <w:szCs w:val="23"/>
        </w:rPr>
        <w:t>1000</w:t>
      </w:r>
      <w:r>
        <w:rPr>
          <w:rFonts w:ascii="Times New Roman" w:hAnsi="Times New Roman" w:eastAsia="Times New Roman" w:cs="Times New Roman"/>
          <w:sz w:val="23"/>
          <w:szCs w:val="23"/>
        </w:rPr>
        <w:t>m</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 xml:space="preserve">时，级差为 </w:t>
      </w:r>
      <w:r>
        <w:rPr>
          <w:rFonts w:ascii="Times New Roman" w:hAnsi="Times New Roman" w:eastAsia="Times New Roman" w:cs="Times New Roman"/>
          <w:spacing w:val="1"/>
          <w:sz w:val="23"/>
          <w:szCs w:val="23"/>
        </w:rPr>
        <w:t>100</w:t>
      </w:r>
      <w:r>
        <w:rPr>
          <w:rFonts w:ascii="Times New Roman" w:hAnsi="Times New Roman" w:eastAsia="Times New Roman" w:cs="Times New Roman"/>
          <w:sz w:val="23"/>
          <w:szCs w:val="23"/>
        </w:rPr>
        <w:t>m</w:t>
      </w:r>
      <w:r>
        <w:rPr>
          <w:rFonts w:ascii="宋体" w:hAnsi="宋体" w:eastAsia="宋体" w:cs="宋体"/>
          <w:spacing w:val="1"/>
          <w:sz w:val="23"/>
          <w:szCs w:val="23"/>
        </w:rPr>
        <w:t xml:space="preserve">；超过 </w:t>
      </w:r>
      <w:r>
        <w:rPr>
          <w:rFonts w:ascii="Times New Roman" w:hAnsi="Times New Roman" w:eastAsia="Times New Roman" w:cs="Times New Roman"/>
          <w:spacing w:val="1"/>
          <w:sz w:val="23"/>
          <w:szCs w:val="23"/>
        </w:rPr>
        <w:t>1000</w:t>
      </w:r>
      <w:r>
        <w:rPr>
          <w:rFonts w:ascii="Times New Roman" w:hAnsi="Times New Roman" w:eastAsia="Times New Roman" w:cs="Times New Roman"/>
          <w:sz w:val="23"/>
          <w:szCs w:val="23"/>
        </w:rPr>
        <w:t>m</w:t>
      </w:r>
      <w:r>
        <w:rPr>
          <w:rFonts w:ascii="Times New Roman" w:hAnsi="Times New Roman" w:eastAsia="Times New Roman" w:cs="Times New Roman"/>
          <w:spacing w:val="1"/>
          <w:sz w:val="23"/>
          <w:szCs w:val="23"/>
        </w:rPr>
        <w:t xml:space="preserve"> </w:t>
      </w:r>
      <w:r>
        <w:rPr>
          <w:rFonts w:ascii="宋体" w:hAnsi="宋体" w:eastAsia="宋体" w:cs="宋体"/>
          <w:sz w:val="23"/>
          <w:szCs w:val="23"/>
        </w:rPr>
        <w:t xml:space="preserve">以上， </w:t>
      </w:r>
      <w:r>
        <w:rPr>
          <w:rFonts w:ascii="宋体" w:hAnsi="宋体" w:eastAsia="宋体" w:cs="宋体"/>
          <w:spacing w:val="-2"/>
          <w:sz w:val="23"/>
          <w:szCs w:val="23"/>
        </w:rPr>
        <w:t xml:space="preserve">级差为 </w:t>
      </w:r>
      <w:r>
        <w:rPr>
          <w:rFonts w:ascii="Times New Roman" w:hAnsi="Times New Roman" w:eastAsia="Times New Roman" w:cs="Times New Roman"/>
          <w:spacing w:val="-2"/>
          <w:sz w:val="23"/>
          <w:szCs w:val="23"/>
        </w:rPr>
        <w:t>200</w:t>
      </w:r>
      <w:r>
        <w:rPr>
          <w:rFonts w:ascii="Times New Roman" w:hAnsi="Times New Roman" w:eastAsia="Times New Roman" w:cs="Times New Roman"/>
          <w:spacing w:val="-1"/>
          <w:sz w:val="23"/>
          <w:szCs w:val="23"/>
        </w:rPr>
        <w:t>m</w:t>
      </w:r>
      <w:r>
        <w:rPr>
          <w:rFonts w:ascii="宋体" w:hAnsi="宋体" w:eastAsia="宋体" w:cs="宋体"/>
          <w:spacing w:val="-1"/>
          <w:sz w:val="23"/>
          <w:szCs w:val="23"/>
        </w:rPr>
        <w:t>。</w:t>
      </w:r>
    </w:p>
    <w:p w14:paraId="1E03A474">
      <w:pPr>
        <w:spacing w:before="133" w:line="388" w:lineRule="auto"/>
        <w:ind w:left="22" w:right="13" w:firstLine="506"/>
        <w:rPr>
          <w:rFonts w:ascii="宋体" w:hAnsi="宋体" w:eastAsia="宋体" w:cs="宋体"/>
          <w:sz w:val="23"/>
          <w:szCs w:val="23"/>
        </w:rPr>
      </w:pPr>
      <w:r>
        <w:rPr>
          <w:rFonts w:ascii="宋体" w:hAnsi="宋体" w:eastAsia="宋体" w:cs="宋体"/>
          <w:spacing w:val="14"/>
          <w:sz w:val="23"/>
          <w:szCs w:val="23"/>
        </w:rPr>
        <w:t>经计</w:t>
      </w:r>
      <w:r>
        <w:rPr>
          <w:rFonts w:ascii="宋体" w:hAnsi="宋体" w:eastAsia="宋体" w:cs="宋体"/>
          <w:spacing w:val="9"/>
          <w:sz w:val="23"/>
          <w:szCs w:val="23"/>
        </w:rPr>
        <w:t>算</w:t>
      </w:r>
      <w:r>
        <w:rPr>
          <w:rFonts w:ascii="宋体" w:hAnsi="宋体" w:eastAsia="宋体" w:cs="宋体"/>
          <w:spacing w:val="7"/>
          <w:sz w:val="23"/>
          <w:szCs w:val="23"/>
        </w:rPr>
        <w:t xml:space="preserve">，项目厂区卫生防护距离为 </w:t>
      </w:r>
      <w:r>
        <w:rPr>
          <w:rFonts w:ascii="Times New Roman" w:hAnsi="Times New Roman" w:eastAsia="Times New Roman" w:cs="Times New Roman"/>
          <w:spacing w:val="7"/>
          <w:sz w:val="23"/>
          <w:szCs w:val="23"/>
        </w:rPr>
        <w:t>20 .229</w:t>
      </w:r>
      <w:r>
        <w:rPr>
          <w:rFonts w:ascii="Times New Roman" w:hAnsi="Times New Roman" w:eastAsia="Times New Roman" w:cs="Times New Roman"/>
          <w:sz w:val="23"/>
          <w:szCs w:val="23"/>
        </w:rPr>
        <w:t>m</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w:t>
      </w:r>
      <w:r>
        <w:rPr>
          <w:rFonts w:ascii="Times New Roman" w:hAnsi="Times New Roman" w:eastAsia="Times New Roman" w:cs="Times New Roman"/>
          <w:spacing w:val="7"/>
          <w:sz w:val="23"/>
          <w:szCs w:val="23"/>
        </w:rPr>
        <w:t>15 .636</w:t>
      </w:r>
      <w:r>
        <w:rPr>
          <w:rFonts w:ascii="Times New Roman" w:hAnsi="Times New Roman" w:eastAsia="Times New Roman" w:cs="Times New Roman"/>
          <w:sz w:val="23"/>
          <w:szCs w:val="23"/>
        </w:rPr>
        <w:t>m</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，提级后卫生防护</w:t>
      </w:r>
      <w:r>
        <w:rPr>
          <w:rFonts w:ascii="宋体" w:hAnsi="宋体" w:eastAsia="宋体" w:cs="宋体"/>
          <w:sz w:val="23"/>
          <w:szCs w:val="23"/>
        </w:rPr>
        <w:t xml:space="preserve"> </w:t>
      </w:r>
      <w:r>
        <w:rPr>
          <w:rFonts w:ascii="宋体" w:hAnsi="宋体" w:eastAsia="宋体" w:cs="宋体"/>
          <w:spacing w:val="10"/>
          <w:sz w:val="23"/>
          <w:szCs w:val="23"/>
        </w:rPr>
        <w:t>距离确定</w:t>
      </w:r>
      <w:r>
        <w:rPr>
          <w:rFonts w:ascii="宋体" w:hAnsi="宋体" w:eastAsia="宋体" w:cs="宋体"/>
          <w:spacing w:val="7"/>
          <w:sz w:val="23"/>
          <w:szCs w:val="23"/>
        </w:rPr>
        <w:t>为</w:t>
      </w:r>
      <w:r>
        <w:rPr>
          <w:rFonts w:ascii="宋体" w:hAnsi="宋体" w:eastAsia="宋体" w:cs="宋体"/>
          <w:spacing w:val="5"/>
          <w:sz w:val="23"/>
          <w:szCs w:val="23"/>
        </w:rPr>
        <w:t xml:space="preserve"> </w:t>
      </w:r>
      <w:r>
        <w:rPr>
          <w:rFonts w:ascii="Times New Roman" w:hAnsi="Times New Roman" w:eastAsia="Times New Roman" w:cs="Times New Roman"/>
          <w:spacing w:val="5"/>
          <w:sz w:val="23"/>
          <w:szCs w:val="23"/>
        </w:rPr>
        <w:t>100</w:t>
      </w:r>
      <w:r>
        <w:rPr>
          <w:rFonts w:ascii="Times New Roman" w:hAnsi="Times New Roman" w:eastAsia="Times New Roman" w:cs="Times New Roman"/>
          <w:sz w:val="23"/>
          <w:szCs w:val="23"/>
        </w:rPr>
        <w:t>m</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rPr>
        <w:t xml:space="preserve">。该项目卫生包络线图见图 </w:t>
      </w:r>
      <w:r>
        <w:rPr>
          <w:rFonts w:ascii="Times New Roman" w:hAnsi="Times New Roman" w:eastAsia="Times New Roman" w:cs="Times New Roman"/>
          <w:spacing w:val="5"/>
          <w:sz w:val="23"/>
          <w:szCs w:val="23"/>
        </w:rPr>
        <w:t xml:space="preserve">5-2 </w:t>
      </w:r>
      <w:r>
        <w:rPr>
          <w:rFonts w:ascii="宋体" w:hAnsi="宋体" w:eastAsia="宋体" w:cs="宋体"/>
          <w:spacing w:val="5"/>
          <w:sz w:val="23"/>
          <w:szCs w:val="23"/>
        </w:rPr>
        <w:t>。卫生防护距离是指产生有害</w:t>
      </w:r>
      <w:r>
        <w:rPr>
          <w:rFonts w:ascii="宋体" w:hAnsi="宋体" w:eastAsia="宋体" w:cs="宋体"/>
          <w:sz w:val="23"/>
          <w:szCs w:val="23"/>
        </w:rPr>
        <w:t xml:space="preserve"> </w:t>
      </w:r>
      <w:r>
        <w:rPr>
          <w:rFonts w:ascii="宋体" w:hAnsi="宋体" w:eastAsia="宋体" w:cs="宋体"/>
          <w:spacing w:val="12"/>
          <w:sz w:val="23"/>
          <w:szCs w:val="23"/>
        </w:rPr>
        <w:t>因素的部</w:t>
      </w:r>
      <w:r>
        <w:rPr>
          <w:rFonts w:ascii="宋体" w:hAnsi="宋体" w:eastAsia="宋体" w:cs="宋体"/>
          <w:spacing w:val="7"/>
          <w:sz w:val="23"/>
          <w:szCs w:val="23"/>
        </w:rPr>
        <w:t>门</w:t>
      </w:r>
      <w:r>
        <w:rPr>
          <w:rFonts w:ascii="宋体" w:hAnsi="宋体" w:eastAsia="宋体" w:cs="宋体"/>
          <w:spacing w:val="6"/>
          <w:sz w:val="23"/>
          <w:szCs w:val="23"/>
        </w:rPr>
        <w:t xml:space="preserve"> (生产车间或作业场所) 的边界至敏感区边界的最小距离。该项目距</w:t>
      </w:r>
      <w:r>
        <w:rPr>
          <w:rFonts w:ascii="宋体" w:hAnsi="宋体" w:eastAsia="宋体" w:cs="宋体"/>
          <w:sz w:val="23"/>
          <w:szCs w:val="23"/>
        </w:rPr>
        <w:t xml:space="preserve"> </w:t>
      </w:r>
      <w:r>
        <w:rPr>
          <w:rFonts w:ascii="宋体" w:hAnsi="宋体" w:eastAsia="宋体" w:cs="宋体"/>
          <w:spacing w:val="12"/>
          <w:sz w:val="23"/>
          <w:szCs w:val="23"/>
        </w:rPr>
        <w:t>离最近</w:t>
      </w:r>
      <w:r>
        <w:rPr>
          <w:rFonts w:ascii="宋体" w:hAnsi="宋体" w:eastAsia="宋体" w:cs="宋体"/>
          <w:spacing w:val="7"/>
          <w:sz w:val="23"/>
          <w:szCs w:val="23"/>
        </w:rPr>
        <w:t>居</w:t>
      </w:r>
      <w:r>
        <w:rPr>
          <w:rFonts w:ascii="宋体" w:hAnsi="宋体" w:eastAsia="宋体" w:cs="宋体"/>
          <w:spacing w:val="6"/>
          <w:sz w:val="23"/>
          <w:szCs w:val="23"/>
        </w:rPr>
        <w:t xml:space="preserve">民点为项目厂区西北侧 </w:t>
      </w:r>
      <w:r>
        <w:rPr>
          <w:rFonts w:ascii="Times New Roman" w:hAnsi="Times New Roman" w:eastAsia="Times New Roman" w:cs="Times New Roman"/>
          <w:spacing w:val="6"/>
          <w:sz w:val="23"/>
          <w:szCs w:val="23"/>
        </w:rPr>
        <w:t>330</w:t>
      </w:r>
      <w:r>
        <w:rPr>
          <w:rFonts w:ascii="Times New Roman" w:hAnsi="Times New Roman" w:eastAsia="Times New Roman" w:cs="Times New Roman"/>
          <w:sz w:val="23"/>
          <w:szCs w:val="23"/>
        </w:rPr>
        <w:t>m</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处的榆树底村，满足卫生防护距离要求。</w:t>
      </w:r>
      <w:r>
        <w:rPr>
          <w:rFonts w:ascii="宋体" w:hAnsi="宋体" w:eastAsia="宋体" w:cs="宋体"/>
          <w:sz w:val="23"/>
          <w:szCs w:val="23"/>
        </w:rPr>
        <w:t xml:space="preserve"> </w:t>
      </w:r>
      <w:r>
        <w:rPr>
          <w:rFonts w:ascii="宋体" w:hAnsi="宋体" w:eastAsia="宋体" w:cs="宋体"/>
          <w:spacing w:val="9"/>
          <w:sz w:val="23"/>
          <w:szCs w:val="23"/>
        </w:rPr>
        <w:t>环</w:t>
      </w:r>
      <w:r>
        <w:rPr>
          <w:rFonts w:ascii="宋体" w:hAnsi="宋体" w:eastAsia="宋体" w:cs="宋体"/>
          <w:spacing w:val="7"/>
          <w:sz w:val="23"/>
          <w:szCs w:val="23"/>
        </w:rPr>
        <w:t>评要求今后在本项目周围卫生防护距离内不得新建居民区、学校、医院等环境</w:t>
      </w:r>
      <w:r>
        <w:rPr>
          <w:rFonts w:ascii="宋体" w:hAnsi="宋体" w:eastAsia="宋体" w:cs="宋体"/>
          <w:sz w:val="23"/>
          <w:szCs w:val="23"/>
        </w:rPr>
        <w:t xml:space="preserve"> </w:t>
      </w:r>
      <w:r>
        <w:rPr>
          <w:rFonts w:ascii="宋体" w:hAnsi="宋体" w:eastAsia="宋体" w:cs="宋体"/>
          <w:spacing w:val="7"/>
          <w:sz w:val="23"/>
          <w:szCs w:val="23"/>
        </w:rPr>
        <w:t>敏感建筑物</w:t>
      </w:r>
      <w:r>
        <w:rPr>
          <w:rFonts w:ascii="宋体" w:hAnsi="宋体" w:eastAsia="宋体" w:cs="宋体"/>
          <w:spacing w:val="6"/>
          <w:sz w:val="23"/>
          <w:szCs w:val="23"/>
        </w:rPr>
        <w:t>。</w:t>
      </w:r>
    </w:p>
    <w:p w14:paraId="3B1BA96E">
      <w:pPr>
        <w:sectPr>
          <w:headerReference r:id="rId217" w:type="default"/>
          <w:footerReference r:id="rId218" w:type="default"/>
          <w:pgSz w:w="11906" w:h="16839"/>
          <w:pgMar w:top="1132" w:right="1785" w:bottom="1182" w:left="1785" w:header="878" w:footer="1022" w:gutter="0"/>
          <w:cols w:space="720" w:num="1"/>
        </w:sectPr>
      </w:pPr>
    </w:p>
    <w:p w14:paraId="0F898E80">
      <w:r>
        <w:pict>
          <v:shape id="_x0000_s1262" o:spid="_x0000_s1262" style="position:absolute;left:0pt;margin-left:72pt;margin-top:57.35pt;height:0.75pt;width:697.95pt;mso-position-horizontal-relative:page;mso-position-vertical-relative:page;z-index:251922432;mso-width-relative:page;mso-height-relative:page;" fillcolor="#000000" filled="t" stroked="f" coordsize="13959,15" o:allowincell="f" path="m0,0l13958,0,13958,14,0,14,0,0xe">
            <v:path/>
            <v:fill on="t" focussize="0,0"/>
            <v:stroke on="f"/>
            <v:imagedata o:title=""/>
            <o:lock v:ext="edit"/>
          </v:shape>
        </w:pict>
      </w:r>
    </w:p>
    <w:p w14:paraId="47FB3235"/>
    <w:p w14:paraId="062077CE"/>
    <w:p w14:paraId="1FAC2075"/>
    <w:p w14:paraId="1775AC5A">
      <w:pPr>
        <w:spacing w:line="18" w:lineRule="exact"/>
      </w:pPr>
    </w:p>
    <w:tbl>
      <w:tblPr>
        <w:tblStyle w:val="4"/>
        <w:tblW w:w="14011" w:type="dxa"/>
        <w:tblInd w:w="30" w:type="dxa"/>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Layout w:type="fixed"/>
        <w:tblCellMar>
          <w:top w:w="0" w:type="dxa"/>
          <w:left w:w="0" w:type="dxa"/>
          <w:bottom w:w="0" w:type="dxa"/>
          <w:right w:w="0" w:type="dxa"/>
        </w:tblCellMar>
      </w:tblPr>
      <w:tblGrid>
        <w:gridCol w:w="14011"/>
      </w:tblGrid>
      <w:tr w14:paraId="2E42976B">
        <w:tblPrEx>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CellMar>
            <w:top w:w="0" w:type="dxa"/>
            <w:left w:w="0" w:type="dxa"/>
            <w:bottom w:w="0" w:type="dxa"/>
            <w:right w:w="0" w:type="dxa"/>
          </w:tblCellMar>
        </w:tblPrEx>
        <w:trPr>
          <w:trHeight w:val="7454" w:hRule="atLeast"/>
        </w:trPr>
        <w:tc>
          <w:tcPr>
            <w:tcW w:w="14011" w:type="dxa"/>
            <w:vAlign w:val="top"/>
          </w:tcPr>
          <w:p w14:paraId="51730824">
            <w:pPr>
              <w:spacing w:line="326" w:lineRule="auto"/>
              <w:rPr>
                <w:rFonts w:ascii="Arial"/>
                <w:sz w:val="21"/>
              </w:rPr>
            </w:pPr>
            <w:r>
              <w:pict>
                <v:shape id="_x0000_s1263" o:spid="_x0000_s1263" o:spt="202" type="#_x0000_t202" style="position:absolute;left:0pt;margin-left:-0.7pt;margin-top:320.2pt;height:56.65pt;width:136.05pt;mso-position-horizontal-relative:page;mso-position-vertical-relative:page;z-index:251923456;mso-width-relative:page;mso-height-relative:page;" filled="f" stroked="f" coordsize="21600,21600">
                  <v:path/>
                  <v:fill on="f" focussize="0,0"/>
                  <v:stroke on="f"/>
                  <v:imagedata o:title=""/>
                  <o:lock v:ext="edit" aspectratio="f"/>
                  <v:textbox inset="0mm,0mm,0mm,0mm">
                    <w:txbxContent>
                      <w:p w14:paraId="19E2F8F4">
                        <w:pPr>
                          <w:spacing w:line="20" w:lineRule="exact"/>
                        </w:pPr>
                      </w:p>
                      <w:tbl>
                        <w:tblPr>
                          <w:tblStyle w:val="4"/>
                          <w:tblW w:w="2660" w:type="dxa"/>
                          <w:tblInd w:w="30"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2660"/>
                        </w:tblGrid>
                        <w:tr w14:paraId="0957D1FB">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1052" w:hRule="atLeast"/>
                          </w:trPr>
                          <w:tc>
                            <w:tcPr>
                              <w:tcW w:w="2660" w:type="dxa"/>
                              <w:shd w:val="clear" w:color="auto" w:fill="FFFFFF"/>
                              <w:vAlign w:val="top"/>
                            </w:tcPr>
                            <w:p w14:paraId="70E01EB5">
                              <w:pPr>
                                <w:spacing w:before="118" w:line="229" w:lineRule="auto"/>
                                <w:ind w:left="1033"/>
                                <w:rPr>
                                  <w:rFonts w:ascii="宋体" w:hAnsi="宋体" w:eastAsia="宋体" w:cs="宋体"/>
                                  <w:sz w:val="20"/>
                                  <w:szCs w:val="20"/>
                                </w:rPr>
                              </w:pPr>
                              <w:r>
                                <w:rPr>
                                  <w:rFonts w:ascii="宋体" w:hAnsi="宋体" w:eastAsia="宋体" w:cs="宋体"/>
                                  <w:sz w:val="20"/>
                                  <w:szCs w:val="20"/>
                                  <w:u w:val="single" w:color="auto"/>
                                  <w14:textOutline w14:w="3795" w14:cap="sq" w14:cmpd="sng">
                                    <w14:solidFill>
                                      <w14:srgbClr w14:val="000000"/>
                                    </w14:solidFill>
                                    <w14:prstDash w14:val="solid"/>
                                    <w14:bevel/>
                                  </w14:textOutline>
                                </w:rPr>
                                <w:t>图</w:t>
                              </w:r>
                              <w:r>
                                <w:rPr>
                                  <w:rFonts w:ascii="宋体" w:hAnsi="宋体" w:eastAsia="宋体" w:cs="宋体"/>
                                  <w:sz w:val="20"/>
                                  <w:szCs w:val="20"/>
                                  <w:u w:val="single" w:color="auto"/>
                                </w:rPr>
                                <w:t xml:space="preserve">  </w:t>
                              </w:r>
                              <w:r>
                                <w:rPr>
                                  <w:rFonts w:ascii="宋体" w:hAnsi="宋体" w:eastAsia="宋体" w:cs="宋体"/>
                                  <w:sz w:val="20"/>
                                  <w:szCs w:val="20"/>
                                  <w:u w:val="single" w:color="auto"/>
                                  <w14:textOutline w14:w="3795" w14:cap="sq" w14:cmpd="sng">
                                    <w14:solidFill>
                                      <w14:srgbClr w14:val="000000"/>
                                    </w14:solidFill>
                                    <w14:prstDash w14:val="solid"/>
                                    <w14:bevel/>
                                  </w14:textOutline>
                                </w:rPr>
                                <w:t>例</w:t>
                              </w:r>
                            </w:p>
                            <w:p w14:paraId="6B431392">
                              <w:pPr>
                                <w:spacing w:before="6" w:line="295" w:lineRule="auto"/>
                                <w:ind w:left="275" w:right="401" w:hanging="5"/>
                                <w:rPr>
                                  <w:rFonts w:ascii="宋体" w:hAnsi="宋体" w:eastAsia="宋体" w:cs="宋体"/>
                                  <w:sz w:val="20"/>
                                  <w:szCs w:val="20"/>
                                </w:rPr>
                              </w:pPr>
                              <w:r>
                                <w:rPr>
                                  <w:rFonts w:ascii="宋体" w:hAnsi="宋体" w:eastAsia="宋体" w:cs="宋体"/>
                                  <w:sz w:val="20"/>
                                  <w:szCs w:val="20"/>
                                </w:rPr>
                                <w:drawing>
                                  <wp:inline distT="0" distB="0" distL="0" distR="0">
                                    <wp:extent cx="189230" cy="153670"/>
                                    <wp:effectExtent l="0" t="0" r="0" b="0"/>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r:embed="rId510"/>
                                            <a:stretch>
                                              <a:fillRect/>
                                            </a:stretch>
                                          </pic:blipFill>
                                          <pic:spPr>
                                            <a:xfrm>
                                              <a:off x="0" y="0"/>
                                              <a:ext cx="189230" cy="153670"/>
                                            </a:xfrm>
                                            <a:prstGeom prst="rect">
                                              <a:avLst/>
                                            </a:prstGeom>
                                          </pic:spPr>
                                        </pic:pic>
                                      </a:graphicData>
                                    </a:graphic>
                                  </wp:inline>
                                </w:drawing>
                              </w:r>
                              <w:r>
                                <w:rPr>
                                  <w:rFonts w:ascii="宋体" w:hAnsi="宋体" w:eastAsia="宋体" w:cs="宋体"/>
                                  <w:spacing w:val="8"/>
                                  <w:sz w:val="20"/>
                                  <w:szCs w:val="20"/>
                                </w:rPr>
                                <w:t xml:space="preserve">  建设项目所在</w:t>
                              </w:r>
                              <w:r>
                                <w:rPr>
                                  <w:rFonts w:ascii="宋体" w:hAnsi="宋体" w:eastAsia="宋体" w:cs="宋体"/>
                                  <w:spacing w:val="6"/>
                                  <w:sz w:val="20"/>
                                  <w:szCs w:val="20"/>
                                </w:rPr>
                                <w:t>地</w:t>
                              </w:r>
                              <w:r>
                                <w:rPr>
                                  <w:rFonts w:ascii="宋体" w:hAnsi="宋体" w:eastAsia="宋体" w:cs="宋体"/>
                                  <w:sz w:val="20"/>
                                  <w:szCs w:val="20"/>
                                </w:rPr>
                                <w:t xml:space="preserve"> </w:t>
                              </w:r>
                              <w:r>
                                <w:rPr>
                                  <w:rFonts w:ascii="宋体" w:hAnsi="宋体" w:eastAsia="宋体" w:cs="宋体"/>
                                  <w:position w:val="-3"/>
                                  <w:sz w:val="20"/>
                                  <w:szCs w:val="20"/>
                                </w:rPr>
                                <w:drawing>
                                  <wp:inline distT="0" distB="0" distL="0" distR="0">
                                    <wp:extent cx="179705" cy="142875"/>
                                    <wp:effectExtent l="0" t="0" r="0" b="0"/>
                                    <wp:docPr id="125" name="IM 125"/>
                                    <wp:cNvGraphicFramePr/>
                                    <a:graphic xmlns:a="http://schemas.openxmlformats.org/drawingml/2006/main">
                                      <a:graphicData uri="http://schemas.openxmlformats.org/drawingml/2006/picture">
                                        <pic:pic xmlns:pic="http://schemas.openxmlformats.org/drawingml/2006/picture">
                                          <pic:nvPicPr>
                                            <pic:cNvPr id="125" name="IM 125"/>
                                            <pic:cNvPicPr/>
                                          </pic:nvPicPr>
                                          <pic:blipFill>
                                            <a:blip r:embed="rId511"/>
                                            <a:stretch>
                                              <a:fillRect/>
                                            </a:stretch>
                                          </pic:blipFill>
                                          <pic:spPr>
                                            <a:xfrm>
                                              <a:off x="0" y="0"/>
                                              <a:ext cx="179832" cy="143255"/>
                                            </a:xfrm>
                                            <a:prstGeom prst="rect">
                                              <a:avLst/>
                                            </a:prstGeom>
                                          </pic:spPr>
                                        </pic:pic>
                                      </a:graphicData>
                                    </a:graphic>
                                  </wp:inline>
                                </w:drawing>
                              </w:r>
                              <w:r>
                                <w:rPr>
                                  <w:rFonts w:ascii="宋体" w:hAnsi="宋体" w:eastAsia="宋体" w:cs="宋体"/>
                                  <w:spacing w:val="8"/>
                                  <w:sz w:val="20"/>
                                  <w:szCs w:val="20"/>
                                </w:rPr>
                                <w:t xml:space="preserve">  生产区</w:t>
                              </w:r>
                            </w:p>
                          </w:tc>
                        </w:tr>
                      </w:tbl>
                      <w:p w14:paraId="2A6AE35D">
                        <w:pPr>
                          <w:rPr>
                            <w:rFonts w:ascii="Arial"/>
                            <w:sz w:val="21"/>
                          </w:rPr>
                        </w:pPr>
                      </w:p>
                    </w:txbxContent>
                  </v:textbox>
                </v:shape>
              </w:pict>
            </w:r>
            <w:r>
              <w:drawing>
                <wp:anchor distT="0" distB="0" distL="0" distR="0" simplePos="0" relativeHeight="251924480" behindDoc="0" locked="0" layoutInCell="1" allowOverlap="1">
                  <wp:simplePos x="0" y="0"/>
                  <wp:positionH relativeFrom="rightMargin">
                    <wp:posOffset>-772160</wp:posOffset>
                  </wp:positionH>
                  <wp:positionV relativeFrom="topMargin">
                    <wp:posOffset>-8890</wp:posOffset>
                  </wp:positionV>
                  <wp:extent cx="781685" cy="800100"/>
                  <wp:effectExtent l="0" t="0" r="0" b="0"/>
                  <wp:wrapNone/>
                  <wp:docPr id="126" name="IM 126"/>
                  <wp:cNvGraphicFramePr/>
                  <a:graphic xmlns:a="http://schemas.openxmlformats.org/drawingml/2006/main">
                    <a:graphicData uri="http://schemas.openxmlformats.org/drawingml/2006/picture">
                      <pic:pic xmlns:pic="http://schemas.openxmlformats.org/drawingml/2006/picture">
                        <pic:nvPicPr>
                          <pic:cNvPr id="126" name="IM 126"/>
                          <pic:cNvPicPr/>
                        </pic:nvPicPr>
                        <pic:blipFill>
                          <a:blip r:embed="rId498"/>
                          <a:stretch>
                            <a:fillRect/>
                          </a:stretch>
                        </pic:blipFill>
                        <pic:spPr>
                          <a:xfrm>
                            <a:off x="0" y="0"/>
                            <a:ext cx="781811" cy="800100"/>
                          </a:xfrm>
                          <a:prstGeom prst="rect">
                            <a:avLst/>
                          </a:prstGeom>
                        </pic:spPr>
                      </pic:pic>
                    </a:graphicData>
                  </a:graphic>
                </wp:anchor>
              </w:drawing>
            </w:r>
            <w:r>
              <w:drawing>
                <wp:anchor distT="0" distB="0" distL="0" distR="0" simplePos="0" relativeHeight="251925504" behindDoc="0" locked="0" layoutInCell="1" allowOverlap="1">
                  <wp:simplePos x="0" y="0"/>
                  <wp:positionH relativeFrom="rightMargin">
                    <wp:posOffset>-496570</wp:posOffset>
                  </wp:positionH>
                  <wp:positionV relativeFrom="topMargin">
                    <wp:posOffset>4303395</wp:posOffset>
                  </wp:positionV>
                  <wp:extent cx="415925" cy="359410"/>
                  <wp:effectExtent l="0" t="0" r="0" b="0"/>
                  <wp:wrapNone/>
                  <wp:docPr id="127" name="IM 127"/>
                  <wp:cNvGraphicFramePr/>
                  <a:graphic xmlns:a="http://schemas.openxmlformats.org/drawingml/2006/main">
                    <a:graphicData uri="http://schemas.openxmlformats.org/drawingml/2006/picture">
                      <pic:pic xmlns:pic="http://schemas.openxmlformats.org/drawingml/2006/picture">
                        <pic:nvPicPr>
                          <pic:cNvPr id="127" name="IM 127"/>
                          <pic:cNvPicPr/>
                        </pic:nvPicPr>
                        <pic:blipFill>
                          <a:blip r:embed="rId512"/>
                          <a:stretch>
                            <a:fillRect/>
                          </a:stretch>
                        </pic:blipFill>
                        <pic:spPr>
                          <a:xfrm>
                            <a:off x="0" y="0"/>
                            <a:ext cx="416052" cy="359664"/>
                          </a:xfrm>
                          <a:prstGeom prst="rect">
                            <a:avLst/>
                          </a:prstGeom>
                        </pic:spPr>
                      </pic:pic>
                    </a:graphicData>
                  </a:graphic>
                </wp:anchor>
              </w:drawing>
            </w:r>
            <w:r>
              <w:drawing>
                <wp:anchor distT="0" distB="0" distL="0" distR="0" simplePos="0" relativeHeight="251921408" behindDoc="1" locked="0" layoutInCell="1" allowOverlap="1">
                  <wp:simplePos x="0" y="0"/>
                  <wp:positionH relativeFrom="rightMargin">
                    <wp:posOffset>-8858885</wp:posOffset>
                  </wp:positionH>
                  <wp:positionV relativeFrom="topMargin">
                    <wp:posOffset>0</wp:posOffset>
                  </wp:positionV>
                  <wp:extent cx="8858885" cy="4733290"/>
                  <wp:effectExtent l="0" t="0" r="0" b="0"/>
                  <wp:wrapNone/>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r:embed="rId513"/>
                          <a:stretch>
                            <a:fillRect/>
                          </a:stretch>
                        </pic:blipFill>
                        <pic:spPr>
                          <a:xfrm>
                            <a:off x="0" y="0"/>
                            <a:ext cx="8859011" cy="4733544"/>
                          </a:xfrm>
                          <a:prstGeom prst="rect">
                            <a:avLst/>
                          </a:prstGeom>
                        </pic:spPr>
                      </pic:pic>
                    </a:graphicData>
                  </a:graphic>
                </wp:anchor>
              </w:drawing>
            </w:r>
          </w:p>
          <w:p w14:paraId="42456D73">
            <w:pPr>
              <w:spacing w:line="326" w:lineRule="auto"/>
              <w:rPr>
                <w:rFonts w:ascii="Arial"/>
                <w:sz w:val="21"/>
              </w:rPr>
            </w:pPr>
          </w:p>
          <w:p w14:paraId="72AACF32">
            <w:pPr>
              <w:spacing w:line="6659" w:lineRule="exact"/>
              <w:ind w:firstLine="3463"/>
              <w:textAlignment w:val="center"/>
            </w:pPr>
            <w:r>
              <w:pict>
                <v:group id="_x0000_s1264" o:spid="_x0000_s1264" o:spt="203" style="height:333pt;width:342.55pt;" coordsize="6850,6660">
                  <o:lock v:ext="edit"/>
                  <v:shape id="_x0000_s1265" o:spid="_x0000_s1265" o:spt="75" type="#_x0000_t75" style="position:absolute;left:0;top:0;height:6660;width:6850;" filled="f" stroked="f" coordsize="21600,21600">
                    <v:path/>
                    <v:fill on="f" focussize="0,0"/>
                    <v:stroke on="f"/>
                    <v:imagedata r:id="rId514" o:title=""/>
                    <o:lock v:ext="edit" aspectratio="t"/>
                  </v:shape>
                  <v:shape id="_x0000_s1266" o:spid="_x0000_s1266" o:spt="75" type="#_x0000_t75" style="position:absolute;left:2016;top:1416;height:2906;width:3152;" filled="f" stroked="f" coordsize="21600,21600">
                    <v:path/>
                    <v:fill on="f" focussize="0,0"/>
                    <v:stroke on="f"/>
                    <v:imagedata r:id="rId515" o:title=""/>
                    <o:lock v:ext="edit" aspectratio="t"/>
                  </v:shape>
                  <v:shape id="_x0000_s1267" o:spid="_x0000_s1267" o:spt="75" type="#_x0000_t75" style="position:absolute;left:2804;top:2859;height:1023;width:1171;" filled="f" stroked="f" coordsize="21600,21600">
                    <v:path/>
                    <v:fill on="f" focussize="0,0"/>
                    <v:stroke on="f"/>
                    <v:imagedata r:id="rId516" o:title=""/>
                    <o:lock v:ext="edit" aspectratio="t"/>
                  </v:shape>
                  <v:shape id="_x0000_s1268" o:spid="_x0000_s1268" o:spt="202" type="#_x0000_t202" style="position:absolute;left:5168;top:2980;height:227;width:417;" filled="f" stroked="f" coordsize="21600,21600">
                    <v:path/>
                    <v:fill on="f" focussize="0,0"/>
                    <v:stroke on="f"/>
                    <v:imagedata o:title=""/>
                    <o:lock v:ext="edit" aspectratio="f"/>
                    <v:textbox inset="0mm,0mm,0mm,0mm">
                      <w:txbxContent>
                        <w:p w14:paraId="559F9E81">
                          <w:pPr>
                            <w:spacing w:before="19" w:line="195" w:lineRule="auto"/>
                            <w:ind w:left="20"/>
                            <w:rPr>
                              <w:rFonts w:ascii="Times New Roman" w:hAnsi="Times New Roman" w:eastAsia="Times New Roman" w:cs="Times New Roman"/>
                              <w:sz w:val="20"/>
                              <w:szCs w:val="20"/>
                            </w:rPr>
                          </w:pPr>
                          <w:r>
                            <w:rPr>
                              <w:rFonts w:ascii="Times New Roman" w:hAnsi="Times New Roman" w:eastAsia="Times New Roman" w:cs="Times New Roman"/>
                              <w:b/>
                              <w:bCs/>
                              <w:color w:val="FFFFFF"/>
                              <w:spacing w:val="6"/>
                              <w:sz w:val="20"/>
                              <w:szCs w:val="20"/>
                            </w:rPr>
                            <w:t>0</w:t>
                          </w:r>
                          <w:r>
                            <w:rPr>
                              <w:rFonts w:ascii="Times New Roman" w:hAnsi="Times New Roman" w:eastAsia="Times New Roman" w:cs="Times New Roman"/>
                              <w:b/>
                              <w:bCs/>
                              <w:color w:val="FFFFFF"/>
                              <w:spacing w:val="5"/>
                              <w:sz w:val="20"/>
                              <w:szCs w:val="20"/>
                            </w:rPr>
                            <w:t>0</w:t>
                          </w:r>
                          <w:r>
                            <w:rPr>
                              <w:rFonts w:ascii="Times New Roman" w:hAnsi="Times New Roman" w:eastAsia="Times New Roman" w:cs="Times New Roman"/>
                              <w:b/>
                              <w:bCs/>
                              <w:color w:val="FFFFFF"/>
                              <w:sz w:val="20"/>
                              <w:szCs w:val="20"/>
                            </w:rPr>
                            <w:t>m</w:t>
                          </w:r>
                        </w:p>
                      </w:txbxContent>
                    </v:textbox>
                  </v:shape>
                  <v:shape id="_x0000_s1269" o:spid="_x0000_s1269" o:spt="202" type="#_x0000_t202" style="position:absolute;left:5069;top:2980;height:227;width:131;" filled="f" stroked="f" coordsize="21600,21600">
                    <v:path/>
                    <v:fill on="f" focussize="0,0"/>
                    <v:stroke on="f"/>
                    <v:imagedata o:title=""/>
                    <o:lock v:ext="edit" aspectratio="f"/>
                    <v:textbox inset="0mm,0mm,0mm,0mm">
                      <w:txbxContent>
                        <w:p w14:paraId="21EB546F">
                          <w:pPr>
                            <w:spacing w:before="19" w:line="195" w:lineRule="auto"/>
                            <w:ind w:left="20"/>
                            <w:rPr>
                              <w:rFonts w:ascii="Times New Roman" w:hAnsi="Times New Roman" w:eastAsia="Times New Roman" w:cs="Times New Roman"/>
                              <w:sz w:val="20"/>
                              <w:szCs w:val="20"/>
                            </w:rPr>
                          </w:pPr>
                          <w:r>
                            <w:rPr>
                              <w:rFonts w:ascii="Times New Roman" w:hAnsi="Times New Roman" w:eastAsia="Times New Roman" w:cs="Times New Roman"/>
                              <w:b/>
                              <w:bCs/>
                              <w:color w:val="FFFFFF"/>
                              <w:sz w:val="20"/>
                              <w:szCs w:val="20"/>
                            </w:rPr>
                            <w:t>1</w:t>
                          </w:r>
                        </w:p>
                      </w:txbxContent>
                    </v:textbox>
                  </v:shape>
                  <v:shape id="_x0000_s1270" o:spid="_x0000_s1270" o:spt="75" type="#_x0000_t75" style="position:absolute;left:3943;top:3124;height:120;width:2836;" filled="f" stroked="f" coordsize="21600,21600">
                    <v:path/>
                    <v:fill on="f" focussize="0,0"/>
                    <v:stroke on="f"/>
                    <v:imagedata r:id="rId517" o:title=""/>
                    <o:lock v:ext="edit" aspectratio="t"/>
                  </v:shape>
                  <w10:wrap type="none"/>
                  <w10:anchorlock/>
                </v:group>
              </w:pict>
            </w:r>
          </w:p>
        </w:tc>
      </w:tr>
    </w:tbl>
    <w:p w14:paraId="37A60FC5">
      <w:pPr>
        <w:spacing w:before="130" w:line="228" w:lineRule="auto"/>
        <w:ind w:left="5317"/>
        <w:rPr>
          <w:rFonts w:ascii="宋体" w:hAnsi="宋体" w:eastAsia="宋体" w:cs="宋体"/>
          <w:sz w:val="23"/>
          <w:szCs w:val="23"/>
        </w:rPr>
      </w:pPr>
      <w:r>
        <w:rPr>
          <w:rFonts w:ascii="宋体" w:hAnsi="宋体" w:eastAsia="宋体" w:cs="宋体"/>
          <w:spacing w:val="3"/>
          <w:sz w:val="23"/>
          <w:szCs w:val="23"/>
          <w14:textOutline w14:w="4358" w14:cap="sq" w14:cmpd="sng">
            <w14:solidFill>
              <w14:srgbClr w14:val="000000"/>
            </w14:solidFill>
            <w14:prstDash w14:val="solid"/>
            <w14:bevel/>
          </w14:textOutline>
        </w:rPr>
        <w:t>图</w:t>
      </w:r>
      <w:r>
        <w:rPr>
          <w:rFonts w:ascii="宋体" w:hAnsi="宋体" w:eastAsia="宋体" w:cs="宋体"/>
          <w:spacing w:val="3"/>
          <w:sz w:val="23"/>
          <w:szCs w:val="23"/>
        </w:rPr>
        <w:t xml:space="preserve"> </w:t>
      </w:r>
      <w:r>
        <w:rPr>
          <w:rFonts w:ascii="Times New Roman" w:hAnsi="Times New Roman" w:eastAsia="Times New Roman" w:cs="Times New Roman"/>
          <w:b/>
          <w:bCs/>
          <w:spacing w:val="3"/>
          <w:sz w:val="23"/>
          <w:szCs w:val="23"/>
        </w:rPr>
        <w:t>5-2</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14:textOutline w14:w="4358" w14:cap="sq" w14:cmpd="sng">
            <w14:solidFill>
              <w14:srgbClr w14:val="000000"/>
            </w14:solidFill>
            <w14:prstDash w14:val="solid"/>
            <w14:bevel/>
          </w14:textOutline>
        </w:rPr>
        <w:t>建设项目卫生包络线</w:t>
      </w:r>
      <w:r>
        <w:rPr>
          <w:rFonts w:ascii="宋体" w:hAnsi="宋体" w:eastAsia="宋体" w:cs="宋体"/>
          <w:sz w:val="23"/>
          <w:szCs w:val="23"/>
          <w14:textOutline w14:w="4358" w14:cap="sq" w14:cmpd="sng">
            <w14:solidFill>
              <w14:srgbClr w14:val="000000"/>
            </w14:solidFill>
            <w14:prstDash w14:val="solid"/>
            <w14:bevel/>
          </w14:textOutline>
        </w:rPr>
        <w:t>图</w:t>
      </w:r>
    </w:p>
    <w:p w14:paraId="2D5EE170">
      <w:pPr>
        <w:sectPr>
          <w:headerReference r:id="rId219" w:type="default"/>
          <w:footerReference r:id="rId220" w:type="default"/>
          <w:pgSz w:w="16839" w:h="11906"/>
          <w:pgMar w:top="1132" w:right="1401" w:bottom="1182" w:left="1365" w:header="878" w:footer="1022" w:gutter="0"/>
          <w:cols w:space="720" w:num="1"/>
        </w:sectPr>
      </w:pPr>
    </w:p>
    <w:p w14:paraId="3620D7FD">
      <w:pPr>
        <w:spacing w:line="246" w:lineRule="auto"/>
        <w:rPr>
          <w:rFonts w:ascii="Arial"/>
          <w:sz w:val="21"/>
        </w:rPr>
      </w:pPr>
      <w:r>
        <w:pict>
          <v:shape id="_x0000_s1271" o:spid="_x0000_s1271" style="position:absolute;left:0pt;margin-left:90pt;margin-top:57.35pt;height:0.75pt;width:415.3pt;mso-position-horizontal-relative:page;mso-position-vertical-relative:page;z-index:251926528;mso-width-relative:page;mso-height-relative:page;" fillcolor="#000000" filled="t" stroked="f" coordsize="8305,15" o:allowincell="f" path="m0,0l8305,0,8305,14,0,14,0,0xe">
            <v:path/>
            <v:fill on="t" focussize="0,0"/>
            <v:stroke on="f"/>
            <v:imagedata o:title=""/>
            <o:lock v:ext="edit"/>
          </v:shape>
        </w:pict>
      </w:r>
    </w:p>
    <w:p w14:paraId="3DAE7A75">
      <w:pPr>
        <w:spacing w:line="246" w:lineRule="auto"/>
        <w:rPr>
          <w:rFonts w:ascii="Arial"/>
          <w:sz w:val="21"/>
        </w:rPr>
      </w:pPr>
    </w:p>
    <w:p w14:paraId="195A22FE">
      <w:pPr>
        <w:spacing w:before="94" w:line="226" w:lineRule="auto"/>
        <w:ind w:left="33"/>
        <w:outlineLvl w:val="2"/>
        <w:rPr>
          <w:rFonts w:ascii="宋体" w:hAnsi="宋体" w:eastAsia="宋体" w:cs="宋体"/>
          <w:sz w:val="29"/>
          <w:szCs w:val="29"/>
        </w:rPr>
      </w:pPr>
      <w:r>
        <w:rPr>
          <w:rFonts w:ascii="Times New Roman" w:hAnsi="Times New Roman" w:eastAsia="Times New Roman" w:cs="Times New Roman"/>
          <w:b/>
          <w:bCs/>
          <w:spacing w:val="14"/>
          <w:sz w:val="29"/>
          <w:szCs w:val="29"/>
        </w:rPr>
        <w:t>5</w:t>
      </w:r>
      <w:r>
        <w:rPr>
          <w:rFonts w:ascii="Times New Roman" w:hAnsi="Times New Roman" w:eastAsia="Times New Roman" w:cs="Times New Roman"/>
          <w:b/>
          <w:bCs/>
          <w:spacing w:val="12"/>
          <w:sz w:val="29"/>
          <w:szCs w:val="29"/>
        </w:rPr>
        <w:t>.</w:t>
      </w:r>
      <w:r>
        <w:rPr>
          <w:rFonts w:ascii="Times New Roman" w:hAnsi="Times New Roman" w:eastAsia="Times New Roman" w:cs="Times New Roman"/>
          <w:b/>
          <w:bCs/>
          <w:spacing w:val="7"/>
          <w:sz w:val="29"/>
          <w:szCs w:val="29"/>
        </w:rPr>
        <w:t>2.2</w:t>
      </w:r>
      <w:r>
        <w:rPr>
          <w:rFonts w:ascii="Times New Roman" w:hAnsi="Times New Roman" w:eastAsia="Times New Roman" w:cs="Times New Roman"/>
          <w:spacing w:val="7"/>
          <w:sz w:val="29"/>
          <w:szCs w:val="29"/>
        </w:rPr>
        <w:t xml:space="preserve">  </w:t>
      </w:r>
      <w:r>
        <w:rPr>
          <w:rFonts w:ascii="宋体" w:hAnsi="宋体" w:eastAsia="宋体" w:cs="宋体"/>
          <w:spacing w:val="7"/>
          <w:sz w:val="29"/>
          <w:szCs w:val="29"/>
          <w14:textOutline w14:w="5448" w14:cap="sq" w14:cmpd="sng">
            <w14:solidFill>
              <w14:srgbClr w14:val="000000"/>
            </w14:solidFill>
            <w14:prstDash w14:val="solid"/>
            <w14:bevel/>
          </w14:textOutline>
        </w:rPr>
        <w:t>运营期地表水环境影响分析</w:t>
      </w:r>
    </w:p>
    <w:p w14:paraId="35677AF0">
      <w:pPr>
        <w:spacing w:line="257" w:lineRule="auto"/>
        <w:rPr>
          <w:rFonts w:ascii="Arial"/>
          <w:sz w:val="21"/>
        </w:rPr>
      </w:pPr>
    </w:p>
    <w:p w14:paraId="41E49F13">
      <w:pPr>
        <w:spacing w:before="74" w:line="227" w:lineRule="auto"/>
        <w:ind w:left="523"/>
        <w:rPr>
          <w:rFonts w:ascii="宋体" w:hAnsi="宋体" w:eastAsia="宋体" w:cs="宋体"/>
          <w:sz w:val="23"/>
          <w:szCs w:val="23"/>
        </w:rPr>
      </w:pPr>
      <w:r>
        <w:rPr>
          <w:rFonts w:ascii="宋体" w:hAnsi="宋体" w:eastAsia="宋体" w:cs="宋体"/>
          <w:spacing w:val="16"/>
          <w:sz w:val="23"/>
          <w:szCs w:val="23"/>
          <w14:textOutline w14:w="4358" w14:cap="sq" w14:cmpd="sng">
            <w14:solidFill>
              <w14:srgbClr w14:val="000000"/>
            </w14:solidFill>
            <w14:prstDash w14:val="solid"/>
            <w14:bevel/>
          </w14:textOutline>
        </w:rPr>
        <w:t>(</w:t>
      </w:r>
      <w:r>
        <w:rPr>
          <w:rFonts w:ascii="Times New Roman" w:hAnsi="Times New Roman" w:eastAsia="Times New Roman" w:cs="Times New Roman"/>
          <w:b/>
          <w:bCs/>
          <w:spacing w:val="16"/>
          <w:sz w:val="23"/>
          <w:szCs w:val="23"/>
        </w:rPr>
        <w:t>1</w:t>
      </w:r>
      <w:r>
        <w:rPr>
          <w:rFonts w:ascii="宋体" w:hAnsi="宋体" w:eastAsia="宋体" w:cs="宋体"/>
          <w:spacing w:val="16"/>
          <w:sz w:val="23"/>
          <w:szCs w:val="23"/>
          <w14:textOutline w14:w="4358" w14:cap="sq" w14:cmpd="sng">
            <w14:solidFill>
              <w14:srgbClr w14:val="000000"/>
            </w14:solidFill>
            <w14:prstDash w14:val="solid"/>
            <w14:bevel/>
          </w14:textOutline>
        </w:rPr>
        <w:t>)</w:t>
      </w:r>
      <w:r>
        <w:rPr>
          <w:rFonts w:ascii="宋体" w:hAnsi="宋体" w:eastAsia="宋体" w:cs="宋体"/>
          <w:spacing w:val="16"/>
          <w:sz w:val="23"/>
          <w:szCs w:val="23"/>
        </w:rPr>
        <w:t xml:space="preserve"> </w:t>
      </w:r>
      <w:r>
        <w:rPr>
          <w:rFonts w:ascii="宋体" w:hAnsi="宋体" w:eastAsia="宋体" w:cs="宋体"/>
          <w:spacing w:val="16"/>
          <w:sz w:val="23"/>
          <w:szCs w:val="23"/>
          <w14:textOutline w14:w="4358" w14:cap="sq" w14:cmpd="sng">
            <w14:solidFill>
              <w14:srgbClr w14:val="000000"/>
            </w14:solidFill>
            <w14:prstDash w14:val="solid"/>
            <w14:bevel/>
          </w14:textOutline>
        </w:rPr>
        <w:t>污水处理设施可行性分</w:t>
      </w:r>
      <w:r>
        <w:rPr>
          <w:rFonts w:ascii="宋体" w:hAnsi="宋体" w:eastAsia="宋体" w:cs="宋体"/>
          <w:spacing w:val="14"/>
          <w:sz w:val="23"/>
          <w:szCs w:val="23"/>
          <w14:textOutline w14:w="4358" w14:cap="sq" w14:cmpd="sng">
            <w14:solidFill>
              <w14:srgbClr w14:val="000000"/>
            </w14:solidFill>
            <w14:prstDash w14:val="solid"/>
            <w14:bevel/>
          </w14:textOutline>
        </w:rPr>
        <w:t>析</w:t>
      </w:r>
    </w:p>
    <w:p w14:paraId="1978E3A8">
      <w:pPr>
        <w:spacing w:line="276" w:lineRule="auto"/>
        <w:rPr>
          <w:rFonts w:ascii="Arial"/>
          <w:sz w:val="21"/>
        </w:rPr>
      </w:pPr>
    </w:p>
    <w:p w14:paraId="4D48FFBD">
      <w:pPr>
        <w:spacing w:before="75" w:line="395" w:lineRule="auto"/>
        <w:ind w:left="28" w:firstLine="484"/>
        <w:rPr>
          <w:rFonts w:ascii="宋体" w:hAnsi="宋体" w:eastAsia="宋体" w:cs="宋体"/>
          <w:sz w:val="23"/>
          <w:szCs w:val="23"/>
        </w:rPr>
      </w:pPr>
      <w:r>
        <w:rPr>
          <w:rFonts w:ascii="宋体" w:hAnsi="宋体" w:eastAsia="宋体" w:cs="宋体"/>
          <w:spacing w:val="7"/>
          <w:sz w:val="23"/>
          <w:szCs w:val="23"/>
        </w:rPr>
        <w:t>根据工程分析结果，该项目排水主要包括生活污水以及生产废水，其中生</w:t>
      </w:r>
      <w:r>
        <w:rPr>
          <w:rFonts w:ascii="宋体" w:hAnsi="宋体" w:eastAsia="宋体" w:cs="宋体"/>
          <w:spacing w:val="2"/>
          <w:sz w:val="23"/>
          <w:szCs w:val="23"/>
        </w:rPr>
        <w:t>产</w:t>
      </w:r>
      <w:r>
        <w:rPr>
          <w:rFonts w:ascii="宋体" w:hAnsi="宋体" w:eastAsia="宋体" w:cs="宋体"/>
          <w:sz w:val="23"/>
          <w:szCs w:val="23"/>
        </w:rPr>
        <w:t xml:space="preserve"> </w:t>
      </w:r>
      <w:r>
        <w:rPr>
          <w:rFonts w:ascii="宋体" w:hAnsi="宋体" w:eastAsia="宋体" w:cs="宋体"/>
          <w:spacing w:val="13"/>
          <w:sz w:val="23"/>
          <w:szCs w:val="23"/>
        </w:rPr>
        <w:t>废</w:t>
      </w:r>
      <w:r>
        <w:rPr>
          <w:rFonts w:ascii="宋体" w:hAnsi="宋体" w:eastAsia="宋体" w:cs="宋体"/>
          <w:spacing w:val="7"/>
          <w:sz w:val="23"/>
          <w:szCs w:val="23"/>
        </w:rPr>
        <w:t>水主要包括破碎工序产生的废水，原料初洗工序、洗字工序、二次清洗工序产</w:t>
      </w:r>
      <w:r>
        <w:rPr>
          <w:rFonts w:ascii="宋体" w:hAnsi="宋体" w:eastAsia="宋体" w:cs="宋体"/>
          <w:sz w:val="23"/>
          <w:szCs w:val="23"/>
        </w:rPr>
        <w:t xml:space="preserve"> </w:t>
      </w:r>
      <w:r>
        <w:rPr>
          <w:rFonts w:ascii="宋体" w:hAnsi="宋体" w:eastAsia="宋体" w:cs="宋体"/>
          <w:spacing w:val="-5"/>
          <w:sz w:val="23"/>
          <w:szCs w:val="23"/>
        </w:rPr>
        <w:t>生</w:t>
      </w:r>
      <w:r>
        <w:rPr>
          <w:rFonts w:ascii="宋体" w:hAnsi="宋体" w:eastAsia="宋体" w:cs="宋体"/>
          <w:spacing w:val="-22"/>
          <w:sz w:val="23"/>
          <w:szCs w:val="23"/>
        </w:rPr>
        <w:t xml:space="preserve"> </w:t>
      </w:r>
      <w:r>
        <w:rPr>
          <w:rFonts w:ascii="宋体" w:hAnsi="宋体" w:eastAsia="宋体" w:cs="宋体"/>
          <w:spacing w:val="-5"/>
          <w:sz w:val="23"/>
          <w:szCs w:val="23"/>
        </w:rPr>
        <w:t>的</w:t>
      </w:r>
      <w:r>
        <w:rPr>
          <w:rFonts w:ascii="宋体" w:hAnsi="宋体" w:eastAsia="宋体" w:cs="宋体"/>
          <w:spacing w:val="-67"/>
          <w:sz w:val="23"/>
          <w:szCs w:val="23"/>
        </w:rPr>
        <w:t xml:space="preserve"> </w:t>
      </w:r>
      <w:r>
        <w:rPr>
          <w:rFonts w:ascii="宋体" w:hAnsi="宋体" w:eastAsia="宋体" w:cs="宋体"/>
          <w:spacing w:val="-5"/>
          <w:sz w:val="23"/>
          <w:szCs w:val="23"/>
        </w:rPr>
        <w:t>清</w:t>
      </w:r>
      <w:r>
        <w:rPr>
          <w:rFonts w:ascii="宋体" w:hAnsi="宋体" w:eastAsia="宋体" w:cs="宋体"/>
          <w:spacing w:val="-68"/>
          <w:sz w:val="23"/>
          <w:szCs w:val="23"/>
        </w:rPr>
        <w:t xml:space="preserve"> </w:t>
      </w:r>
      <w:r>
        <w:rPr>
          <w:rFonts w:ascii="宋体" w:hAnsi="宋体" w:eastAsia="宋体" w:cs="宋体"/>
          <w:spacing w:val="-5"/>
          <w:sz w:val="23"/>
          <w:szCs w:val="23"/>
        </w:rPr>
        <w:t>洗</w:t>
      </w:r>
      <w:r>
        <w:rPr>
          <w:rFonts w:ascii="宋体" w:hAnsi="宋体" w:eastAsia="宋体" w:cs="宋体"/>
          <w:spacing w:val="-69"/>
          <w:sz w:val="23"/>
          <w:szCs w:val="23"/>
        </w:rPr>
        <w:t xml:space="preserve"> </w:t>
      </w:r>
      <w:r>
        <w:rPr>
          <w:rFonts w:ascii="宋体" w:hAnsi="宋体" w:eastAsia="宋体" w:cs="宋体"/>
          <w:spacing w:val="-5"/>
          <w:sz w:val="23"/>
          <w:szCs w:val="23"/>
        </w:rPr>
        <w:t>废</w:t>
      </w:r>
      <w:r>
        <w:rPr>
          <w:rFonts w:ascii="宋体" w:hAnsi="宋体" w:eastAsia="宋体" w:cs="宋体"/>
          <w:spacing w:val="-66"/>
          <w:sz w:val="23"/>
          <w:szCs w:val="23"/>
        </w:rPr>
        <w:t xml:space="preserve"> </w:t>
      </w:r>
      <w:r>
        <w:rPr>
          <w:rFonts w:ascii="宋体" w:hAnsi="宋体" w:eastAsia="宋体" w:cs="宋体"/>
          <w:spacing w:val="-5"/>
          <w:sz w:val="23"/>
          <w:szCs w:val="23"/>
        </w:rPr>
        <w:t>水</w:t>
      </w:r>
      <w:r>
        <w:rPr>
          <w:rFonts w:ascii="宋体" w:hAnsi="宋体" w:eastAsia="宋体" w:cs="宋体"/>
          <w:spacing w:val="-51"/>
          <w:sz w:val="23"/>
          <w:szCs w:val="23"/>
        </w:rPr>
        <w:t xml:space="preserve"> </w:t>
      </w:r>
      <w:r>
        <w:rPr>
          <w:rFonts w:ascii="宋体" w:hAnsi="宋体" w:eastAsia="宋体" w:cs="宋体"/>
          <w:spacing w:val="-5"/>
          <w:sz w:val="23"/>
          <w:szCs w:val="23"/>
        </w:rPr>
        <w:t>、</w:t>
      </w:r>
      <w:r>
        <w:rPr>
          <w:rFonts w:ascii="宋体" w:hAnsi="宋体" w:eastAsia="宋体" w:cs="宋体"/>
          <w:spacing w:val="-59"/>
          <w:sz w:val="23"/>
          <w:szCs w:val="23"/>
        </w:rPr>
        <w:t xml:space="preserve"> </w:t>
      </w:r>
      <w:r>
        <w:rPr>
          <w:rFonts w:ascii="宋体" w:hAnsi="宋体" w:eastAsia="宋体" w:cs="宋体"/>
          <w:spacing w:val="-5"/>
          <w:sz w:val="23"/>
          <w:szCs w:val="23"/>
        </w:rPr>
        <w:t>脱</w:t>
      </w:r>
      <w:r>
        <w:rPr>
          <w:rFonts w:ascii="宋体" w:hAnsi="宋体" w:eastAsia="宋体" w:cs="宋体"/>
          <w:spacing w:val="-65"/>
          <w:sz w:val="23"/>
          <w:szCs w:val="23"/>
        </w:rPr>
        <w:t xml:space="preserve"> </w:t>
      </w:r>
      <w:r>
        <w:rPr>
          <w:rFonts w:ascii="宋体" w:hAnsi="宋体" w:eastAsia="宋体" w:cs="宋体"/>
          <w:spacing w:val="-5"/>
          <w:sz w:val="23"/>
          <w:szCs w:val="23"/>
        </w:rPr>
        <w:t>水</w:t>
      </w:r>
      <w:r>
        <w:rPr>
          <w:rFonts w:ascii="宋体" w:hAnsi="宋体" w:eastAsia="宋体" w:cs="宋体"/>
          <w:spacing w:val="-64"/>
          <w:sz w:val="23"/>
          <w:szCs w:val="23"/>
        </w:rPr>
        <w:t xml:space="preserve"> </w:t>
      </w:r>
      <w:r>
        <w:rPr>
          <w:rFonts w:ascii="宋体" w:hAnsi="宋体" w:eastAsia="宋体" w:cs="宋体"/>
          <w:spacing w:val="-5"/>
          <w:sz w:val="23"/>
          <w:szCs w:val="23"/>
        </w:rPr>
        <w:t>工</w:t>
      </w:r>
      <w:r>
        <w:rPr>
          <w:rFonts w:ascii="宋体" w:hAnsi="宋体" w:eastAsia="宋体" w:cs="宋体"/>
          <w:spacing w:val="-68"/>
          <w:sz w:val="23"/>
          <w:szCs w:val="23"/>
        </w:rPr>
        <w:t xml:space="preserve"> </w:t>
      </w:r>
      <w:r>
        <w:rPr>
          <w:rFonts w:ascii="宋体" w:hAnsi="宋体" w:eastAsia="宋体" w:cs="宋体"/>
          <w:spacing w:val="-5"/>
          <w:sz w:val="23"/>
          <w:szCs w:val="23"/>
        </w:rPr>
        <w:t>序</w:t>
      </w:r>
      <w:r>
        <w:rPr>
          <w:rFonts w:ascii="宋体" w:hAnsi="宋体" w:eastAsia="宋体" w:cs="宋体"/>
          <w:spacing w:val="-68"/>
          <w:sz w:val="23"/>
          <w:szCs w:val="23"/>
        </w:rPr>
        <w:t xml:space="preserve"> </w:t>
      </w:r>
      <w:r>
        <w:rPr>
          <w:rFonts w:ascii="宋体" w:hAnsi="宋体" w:eastAsia="宋体" w:cs="宋体"/>
          <w:spacing w:val="-5"/>
          <w:sz w:val="23"/>
          <w:szCs w:val="23"/>
        </w:rPr>
        <w:t>产</w:t>
      </w:r>
      <w:r>
        <w:rPr>
          <w:rFonts w:ascii="宋体" w:hAnsi="宋体" w:eastAsia="宋体" w:cs="宋体"/>
          <w:spacing w:val="-65"/>
          <w:sz w:val="23"/>
          <w:szCs w:val="23"/>
        </w:rPr>
        <w:t xml:space="preserve"> </w:t>
      </w:r>
      <w:r>
        <w:rPr>
          <w:rFonts w:ascii="宋体" w:hAnsi="宋体" w:eastAsia="宋体" w:cs="宋体"/>
          <w:spacing w:val="-5"/>
          <w:sz w:val="23"/>
          <w:szCs w:val="23"/>
        </w:rPr>
        <w:t>生</w:t>
      </w:r>
      <w:r>
        <w:rPr>
          <w:rFonts w:ascii="宋体" w:hAnsi="宋体" w:eastAsia="宋体" w:cs="宋体"/>
          <w:spacing w:val="-48"/>
          <w:sz w:val="23"/>
          <w:szCs w:val="23"/>
        </w:rPr>
        <w:t xml:space="preserve"> </w:t>
      </w:r>
      <w:r>
        <w:rPr>
          <w:rFonts w:ascii="宋体" w:hAnsi="宋体" w:eastAsia="宋体" w:cs="宋体"/>
          <w:spacing w:val="-5"/>
          <w:sz w:val="23"/>
          <w:szCs w:val="23"/>
        </w:rPr>
        <w:t>的</w:t>
      </w:r>
      <w:r>
        <w:rPr>
          <w:rFonts w:ascii="宋体" w:hAnsi="宋体" w:eastAsia="宋体" w:cs="宋体"/>
          <w:spacing w:val="-70"/>
          <w:sz w:val="23"/>
          <w:szCs w:val="23"/>
        </w:rPr>
        <w:t xml:space="preserve"> </w:t>
      </w:r>
      <w:r>
        <w:rPr>
          <w:rFonts w:ascii="宋体" w:hAnsi="宋体" w:eastAsia="宋体" w:cs="宋体"/>
          <w:spacing w:val="-5"/>
          <w:sz w:val="23"/>
          <w:szCs w:val="23"/>
        </w:rPr>
        <w:t>废</w:t>
      </w:r>
      <w:r>
        <w:rPr>
          <w:rFonts w:ascii="宋体" w:hAnsi="宋体" w:eastAsia="宋体" w:cs="宋体"/>
          <w:spacing w:val="-65"/>
          <w:sz w:val="23"/>
          <w:szCs w:val="23"/>
        </w:rPr>
        <w:t xml:space="preserve"> </w:t>
      </w:r>
      <w:r>
        <w:rPr>
          <w:rFonts w:ascii="宋体" w:hAnsi="宋体" w:eastAsia="宋体" w:cs="宋体"/>
          <w:spacing w:val="-5"/>
          <w:sz w:val="23"/>
          <w:szCs w:val="23"/>
        </w:rPr>
        <w:t>水</w:t>
      </w:r>
      <w:r>
        <w:rPr>
          <w:rFonts w:ascii="宋体" w:hAnsi="宋体" w:eastAsia="宋体" w:cs="宋体"/>
          <w:spacing w:val="-40"/>
          <w:sz w:val="23"/>
          <w:szCs w:val="23"/>
        </w:rPr>
        <w:t xml:space="preserve"> </w:t>
      </w:r>
      <w:r>
        <w:rPr>
          <w:rFonts w:ascii="宋体" w:hAnsi="宋体" w:eastAsia="宋体" w:cs="宋体"/>
          <w:spacing w:val="-5"/>
          <w:sz w:val="23"/>
          <w:szCs w:val="23"/>
        </w:rPr>
        <w:t>以</w:t>
      </w:r>
      <w:r>
        <w:rPr>
          <w:rFonts w:ascii="宋体" w:hAnsi="宋体" w:eastAsia="宋体" w:cs="宋体"/>
          <w:spacing w:val="-68"/>
          <w:sz w:val="23"/>
          <w:szCs w:val="23"/>
        </w:rPr>
        <w:t xml:space="preserve"> </w:t>
      </w:r>
      <w:r>
        <w:rPr>
          <w:rFonts w:ascii="宋体" w:hAnsi="宋体" w:eastAsia="宋体" w:cs="宋体"/>
          <w:spacing w:val="-5"/>
          <w:sz w:val="23"/>
          <w:szCs w:val="23"/>
        </w:rPr>
        <w:t>及</w:t>
      </w:r>
      <w:r>
        <w:rPr>
          <w:rFonts w:ascii="宋体" w:hAnsi="宋体" w:eastAsia="宋体" w:cs="宋体"/>
          <w:spacing w:val="-67"/>
          <w:sz w:val="23"/>
          <w:szCs w:val="23"/>
        </w:rPr>
        <w:t xml:space="preserve"> </w:t>
      </w:r>
      <w:r>
        <w:rPr>
          <w:rFonts w:ascii="宋体" w:hAnsi="宋体" w:eastAsia="宋体" w:cs="宋体"/>
          <w:spacing w:val="-5"/>
          <w:sz w:val="23"/>
          <w:szCs w:val="23"/>
        </w:rPr>
        <w:t>循</w:t>
      </w:r>
      <w:r>
        <w:rPr>
          <w:rFonts w:ascii="宋体" w:hAnsi="宋体" w:eastAsia="宋体" w:cs="宋体"/>
          <w:spacing w:val="-67"/>
          <w:sz w:val="23"/>
          <w:szCs w:val="23"/>
        </w:rPr>
        <w:t xml:space="preserve"> </w:t>
      </w:r>
      <w:r>
        <w:rPr>
          <w:rFonts w:ascii="宋体" w:hAnsi="宋体" w:eastAsia="宋体" w:cs="宋体"/>
          <w:spacing w:val="-5"/>
          <w:sz w:val="23"/>
          <w:szCs w:val="23"/>
        </w:rPr>
        <w:t>环</w:t>
      </w:r>
      <w:r>
        <w:rPr>
          <w:rFonts w:ascii="宋体" w:hAnsi="宋体" w:eastAsia="宋体" w:cs="宋体"/>
          <w:spacing w:val="-66"/>
          <w:sz w:val="23"/>
          <w:szCs w:val="23"/>
        </w:rPr>
        <w:t xml:space="preserve"> </w:t>
      </w:r>
      <w:r>
        <w:rPr>
          <w:rFonts w:ascii="宋体" w:hAnsi="宋体" w:eastAsia="宋体" w:cs="宋体"/>
          <w:spacing w:val="-5"/>
          <w:sz w:val="23"/>
          <w:szCs w:val="23"/>
        </w:rPr>
        <w:t>冷</w:t>
      </w:r>
      <w:r>
        <w:rPr>
          <w:rFonts w:ascii="宋体" w:hAnsi="宋体" w:eastAsia="宋体" w:cs="宋体"/>
          <w:spacing w:val="-62"/>
          <w:sz w:val="23"/>
          <w:szCs w:val="23"/>
        </w:rPr>
        <w:t xml:space="preserve"> </w:t>
      </w:r>
      <w:r>
        <w:rPr>
          <w:rFonts w:ascii="宋体" w:hAnsi="宋体" w:eastAsia="宋体" w:cs="宋体"/>
          <w:spacing w:val="-5"/>
          <w:sz w:val="23"/>
          <w:szCs w:val="23"/>
        </w:rPr>
        <w:t>却</w:t>
      </w:r>
      <w:r>
        <w:rPr>
          <w:rFonts w:ascii="宋体" w:hAnsi="宋体" w:eastAsia="宋体" w:cs="宋体"/>
          <w:spacing w:val="-68"/>
          <w:sz w:val="23"/>
          <w:szCs w:val="23"/>
        </w:rPr>
        <w:t xml:space="preserve"> </w:t>
      </w:r>
      <w:r>
        <w:rPr>
          <w:rFonts w:ascii="宋体" w:hAnsi="宋体" w:eastAsia="宋体" w:cs="宋体"/>
          <w:spacing w:val="-5"/>
          <w:sz w:val="23"/>
          <w:szCs w:val="23"/>
        </w:rPr>
        <w:t>废</w:t>
      </w:r>
      <w:r>
        <w:rPr>
          <w:rFonts w:ascii="宋体" w:hAnsi="宋体" w:eastAsia="宋体" w:cs="宋体"/>
          <w:spacing w:val="-67"/>
          <w:sz w:val="23"/>
          <w:szCs w:val="23"/>
        </w:rPr>
        <w:t xml:space="preserve"> </w:t>
      </w:r>
      <w:r>
        <w:rPr>
          <w:rFonts w:ascii="宋体" w:hAnsi="宋体" w:eastAsia="宋体" w:cs="宋体"/>
          <w:spacing w:val="-5"/>
          <w:sz w:val="23"/>
          <w:szCs w:val="23"/>
        </w:rPr>
        <w:t>水</w:t>
      </w:r>
      <w:r>
        <w:rPr>
          <w:rFonts w:ascii="宋体" w:hAnsi="宋体" w:eastAsia="宋体" w:cs="宋体"/>
          <w:spacing w:val="-48"/>
          <w:sz w:val="23"/>
          <w:szCs w:val="23"/>
        </w:rPr>
        <w:t xml:space="preserve"> </w:t>
      </w:r>
      <w:r>
        <w:rPr>
          <w:rFonts w:ascii="宋体" w:hAnsi="宋体" w:eastAsia="宋体" w:cs="宋体"/>
          <w:spacing w:val="-5"/>
          <w:sz w:val="23"/>
          <w:szCs w:val="23"/>
        </w:rPr>
        <w:t>，</w:t>
      </w:r>
      <w:r>
        <w:rPr>
          <w:rFonts w:ascii="宋体" w:hAnsi="宋体" w:eastAsia="宋体" w:cs="宋体"/>
          <w:spacing w:val="-53"/>
          <w:sz w:val="23"/>
          <w:szCs w:val="23"/>
        </w:rPr>
        <w:t xml:space="preserve"> </w:t>
      </w:r>
      <w:r>
        <w:rPr>
          <w:rFonts w:ascii="宋体" w:hAnsi="宋体" w:eastAsia="宋体" w:cs="宋体"/>
          <w:spacing w:val="-5"/>
          <w:sz w:val="23"/>
          <w:szCs w:val="23"/>
        </w:rPr>
        <w:t>总</w:t>
      </w:r>
      <w:r>
        <w:rPr>
          <w:rFonts w:ascii="宋体" w:hAnsi="宋体" w:eastAsia="宋体" w:cs="宋体"/>
          <w:spacing w:val="-67"/>
          <w:sz w:val="23"/>
          <w:szCs w:val="23"/>
        </w:rPr>
        <w:t xml:space="preserve"> </w:t>
      </w:r>
      <w:r>
        <w:rPr>
          <w:rFonts w:ascii="宋体" w:hAnsi="宋体" w:eastAsia="宋体" w:cs="宋体"/>
          <w:spacing w:val="-5"/>
          <w:sz w:val="23"/>
          <w:szCs w:val="23"/>
        </w:rPr>
        <w:t>排</w:t>
      </w:r>
      <w:r>
        <w:rPr>
          <w:rFonts w:ascii="宋体" w:hAnsi="宋体" w:eastAsia="宋体" w:cs="宋体"/>
          <w:spacing w:val="-65"/>
          <w:sz w:val="23"/>
          <w:szCs w:val="23"/>
        </w:rPr>
        <w:t xml:space="preserve"> </w:t>
      </w:r>
      <w:r>
        <w:rPr>
          <w:rFonts w:ascii="宋体" w:hAnsi="宋体" w:eastAsia="宋体" w:cs="宋体"/>
          <w:spacing w:val="-5"/>
          <w:sz w:val="23"/>
          <w:szCs w:val="23"/>
        </w:rPr>
        <w:t>水</w:t>
      </w:r>
      <w:r>
        <w:rPr>
          <w:rFonts w:ascii="宋体" w:hAnsi="宋体" w:eastAsia="宋体" w:cs="宋体"/>
          <w:spacing w:val="-67"/>
          <w:sz w:val="23"/>
          <w:szCs w:val="23"/>
        </w:rPr>
        <w:t xml:space="preserve"> </w:t>
      </w:r>
      <w:r>
        <w:rPr>
          <w:rFonts w:ascii="宋体" w:hAnsi="宋体" w:eastAsia="宋体" w:cs="宋体"/>
          <w:spacing w:val="-5"/>
          <w:sz w:val="23"/>
          <w:szCs w:val="23"/>
        </w:rPr>
        <w:t>量</w:t>
      </w:r>
      <w:r>
        <w:rPr>
          <w:rFonts w:ascii="宋体" w:hAnsi="宋体" w:eastAsia="宋体" w:cs="宋体"/>
          <w:spacing w:val="-67"/>
          <w:sz w:val="23"/>
          <w:szCs w:val="23"/>
        </w:rPr>
        <w:t xml:space="preserve"> </w:t>
      </w:r>
      <w:r>
        <w:rPr>
          <w:rFonts w:ascii="宋体" w:hAnsi="宋体" w:eastAsia="宋体" w:cs="宋体"/>
          <w:spacing w:val="-5"/>
          <w:sz w:val="23"/>
          <w:szCs w:val="23"/>
        </w:rPr>
        <w:t>为</w:t>
      </w:r>
      <w:r>
        <w:rPr>
          <w:rFonts w:ascii="宋体" w:hAnsi="宋体" w:eastAsia="宋体" w:cs="宋体"/>
          <w:sz w:val="23"/>
          <w:szCs w:val="23"/>
        </w:rPr>
        <w:t xml:space="preserve"> </w:t>
      </w:r>
      <w:r>
        <w:rPr>
          <w:rFonts w:ascii="Times New Roman" w:hAnsi="Times New Roman" w:eastAsia="Times New Roman" w:cs="Times New Roman"/>
          <w:spacing w:val="-1"/>
          <w:sz w:val="23"/>
          <w:szCs w:val="23"/>
        </w:rPr>
        <w:t>2483.52</w:t>
      </w:r>
      <w:r>
        <w:rPr>
          <w:rFonts w:ascii="Times New Roman" w:hAnsi="Times New Roman" w:eastAsia="Times New Roman" w:cs="Times New Roman"/>
          <w:sz w:val="23"/>
          <w:szCs w:val="23"/>
        </w:rPr>
        <w:t>m</w:t>
      </w:r>
      <w:r>
        <w:rPr>
          <w:rFonts w:ascii="Times New Roman" w:hAnsi="Times New Roman" w:eastAsia="Times New Roman" w:cs="Times New Roman"/>
          <w:spacing w:val="-1"/>
          <w:position w:val="8"/>
          <w:sz w:val="15"/>
          <w:szCs w:val="15"/>
        </w:rPr>
        <w:t>3</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a</w:t>
      </w:r>
      <w:r>
        <w:rPr>
          <w:rFonts w:ascii="宋体" w:hAnsi="宋体" w:eastAsia="宋体" w:cs="宋体"/>
          <w:sz w:val="23"/>
          <w:szCs w:val="23"/>
        </w:rPr>
        <w:t xml:space="preserve">。其中，生活污水排放量为 </w:t>
      </w:r>
      <w:r>
        <w:rPr>
          <w:rFonts w:ascii="Times New Roman" w:hAnsi="Times New Roman" w:eastAsia="Times New Roman" w:cs="Times New Roman"/>
          <w:sz w:val="23"/>
          <w:szCs w:val="23"/>
        </w:rPr>
        <w:t>960m</w:t>
      </w:r>
      <w:r>
        <w:rPr>
          <w:rFonts w:ascii="Times New Roman" w:hAnsi="Times New Roman" w:eastAsia="Times New Roman" w:cs="Times New Roman"/>
          <w:position w:val="8"/>
          <w:sz w:val="15"/>
          <w:szCs w:val="15"/>
        </w:rPr>
        <w:t>3</w:t>
      </w:r>
      <w:r>
        <w:rPr>
          <w:rFonts w:ascii="Times New Roman" w:hAnsi="Times New Roman" w:eastAsia="Times New Roman" w:cs="Times New Roman"/>
          <w:sz w:val="23"/>
          <w:szCs w:val="23"/>
        </w:rPr>
        <w:t>/a</w:t>
      </w:r>
      <w:r>
        <w:rPr>
          <w:rFonts w:ascii="宋体" w:hAnsi="宋体" w:eastAsia="宋体" w:cs="宋体"/>
          <w:sz w:val="23"/>
          <w:szCs w:val="23"/>
        </w:rPr>
        <w:t xml:space="preserve">；生产废水排放量为 </w:t>
      </w:r>
      <w:r>
        <w:rPr>
          <w:rFonts w:ascii="Times New Roman" w:hAnsi="Times New Roman" w:eastAsia="Times New Roman" w:cs="Times New Roman"/>
          <w:sz w:val="23"/>
          <w:szCs w:val="23"/>
        </w:rPr>
        <w:t>1523.52m</w:t>
      </w:r>
      <w:r>
        <w:rPr>
          <w:rFonts w:ascii="Times New Roman" w:hAnsi="Times New Roman" w:eastAsia="Times New Roman" w:cs="Times New Roman"/>
          <w:position w:val="8"/>
          <w:sz w:val="15"/>
          <w:szCs w:val="15"/>
        </w:rPr>
        <w:t>3</w:t>
      </w:r>
      <w:r>
        <w:rPr>
          <w:rFonts w:ascii="Times New Roman" w:hAnsi="Times New Roman" w:eastAsia="Times New Roman" w:cs="Times New Roman"/>
          <w:sz w:val="23"/>
          <w:szCs w:val="23"/>
        </w:rPr>
        <w:t>/a</w:t>
      </w:r>
      <w:r>
        <w:rPr>
          <w:rFonts w:ascii="宋体" w:hAnsi="宋体" w:eastAsia="宋体" w:cs="宋体"/>
          <w:sz w:val="23"/>
          <w:szCs w:val="23"/>
        </w:rPr>
        <w:t>。</w:t>
      </w:r>
    </w:p>
    <w:p w14:paraId="4481AB76">
      <w:pPr>
        <w:spacing w:before="105" w:line="388" w:lineRule="auto"/>
        <w:ind w:left="31" w:right="14" w:firstLine="484"/>
        <w:rPr>
          <w:rFonts w:ascii="宋体" w:hAnsi="宋体" w:eastAsia="宋体" w:cs="宋体"/>
          <w:sz w:val="23"/>
          <w:szCs w:val="23"/>
        </w:rPr>
      </w:pPr>
      <w:r>
        <w:rPr>
          <w:rFonts w:ascii="宋体" w:hAnsi="宋体" w:eastAsia="宋体" w:cs="宋体"/>
          <w:spacing w:val="23"/>
          <w:sz w:val="23"/>
          <w:szCs w:val="23"/>
        </w:rPr>
        <w:t>该</w:t>
      </w:r>
      <w:r>
        <w:rPr>
          <w:rFonts w:ascii="宋体" w:hAnsi="宋体" w:eastAsia="宋体" w:cs="宋体"/>
          <w:spacing w:val="16"/>
          <w:sz w:val="23"/>
          <w:szCs w:val="23"/>
        </w:rPr>
        <w:t>项目在厂区东南侧设有旱厕，员工使用防渗旱厕，定期清掏，不外排；</w:t>
      </w:r>
      <w:r>
        <w:rPr>
          <w:rFonts w:ascii="宋体" w:hAnsi="宋体" w:eastAsia="宋体" w:cs="宋体"/>
          <w:sz w:val="23"/>
          <w:szCs w:val="23"/>
        </w:rPr>
        <w:t xml:space="preserve"> </w:t>
      </w:r>
      <w:r>
        <w:rPr>
          <w:rFonts w:ascii="宋体" w:hAnsi="宋体" w:eastAsia="宋体" w:cs="宋体"/>
          <w:spacing w:val="1"/>
          <w:sz w:val="23"/>
          <w:szCs w:val="23"/>
        </w:rPr>
        <w:t xml:space="preserve">项目设有 </w:t>
      </w:r>
      <w:r>
        <w:rPr>
          <w:rFonts w:ascii="Times New Roman" w:hAnsi="Times New Roman" w:eastAsia="Times New Roman" w:cs="Times New Roman"/>
          <w:spacing w:val="1"/>
          <w:sz w:val="23"/>
          <w:szCs w:val="23"/>
        </w:rPr>
        <w:t xml:space="preserve">1 </w:t>
      </w:r>
      <w:r>
        <w:rPr>
          <w:rFonts w:ascii="宋体" w:hAnsi="宋体" w:eastAsia="宋体" w:cs="宋体"/>
          <w:spacing w:val="1"/>
          <w:sz w:val="23"/>
          <w:szCs w:val="23"/>
        </w:rPr>
        <w:t xml:space="preserve">座容积为 </w:t>
      </w:r>
      <w:r>
        <w:rPr>
          <w:rFonts w:ascii="Times New Roman" w:hAnsi="Times New Roman" w:eastAsia="Times New Roman" w:cs="Times New Roman"/>
          <w:spacing w:val="1"/>
          <w:sz w:val="23"/>
          <w:szCs w:val="23"/>
        </w:rPr>
        <w:t>324</w:t>
      </w:r>
      <w:r>
        <w:rPr>
          <w:rFonts w:ascii="Times New Roman" w:hAnsi="Times New Roman" w:eastAsia="Times New Roman" w:cs="Times New Roman"/>
          <w:sz w:val="23"/>
          <w:szCs w:val="23"/>
        </w:rPr>
        <w:t>m</w:t>
      </w:r>
      <w:r>
        <w:rPr>
          <w:rFonts w:ascii="Times New Roman" w:hAnsi="Times New Roman" w:eastAsia="Times New Roman" w:cs="Times New Roman"/>
          <w:spacing w:val="1"/>
          <w:position w:val="8"/>
          <w:sz w:val="15"/>
          <w:szCs w:val="15"/>
        </w:rPr>
        <w:t xml:space="preserve">3 </w:t>
      </w:r>
      <w:r>
        <w:rPr>
          <w:rFonts w:ascii="宋体" w:hAnsi="宋体" w:eastAsia="宋体" w:cs="宋体"/>
          <w:spacing w:val="1"/>
          <w:sz w:val="23"/>
          <w:szCs w:val="23"/>
        </w:rPr>
        <w:t>的三级沉淀池 (</w:t>
      </w:r>
      <w:r>
        <w:rPr>
          <w:rFonts w:ascii="Times New Roman" w:hAnsi="Times New Roman" w:eastAsia="Times New Roman" w:cs="Times New Roman"/>
          <w:sz w:val="23"/>
          <w:szCs w:val="23"/>
        </w:rPr>
        <w:t>12m×6m×4.5m</w:t>
      </w:r>
      <w:r>
        <w:rPr>
          <w:rFonts w:ascii="宋体" w:hAnsi="宋体" w:eastAsia="宋体" w:cs="宋体"/>
          <w:sz w:val="23"/>
          <w:szCs w:val="23"/>
        </w:rPr>
        <w:t xml:space="preserve">) ，同时配套设有 </w:t>
      </w:r>
      <w:r>
        <w:rPr>
          <w:rFonts w:ascii="Times New Roman" w:hAnsi="Times New Roman" w:eastAsia="Times New Roman" w:cs="Times New Roman"/>
          <w:sz w:val="23"/>
          <w:szCs w:val="23"/>
        </w:rPr>
        <w:t xml:space="preserve">1 </w:t>
      </w:r>
      <w:r>
        <w:rPr>
          <w:rFonts w:ascii="宋体" w:hAnsi="宋体" w:eastAsia="宋体" w:cs="宋体"/>
          <w:sz w:val="23"/>
          <w:szCs w:val="23"/>
        </w:rPr>
        <w:t xml:space="preserve">台 </w:t>
      </w:r>
      <w:r>
        <w:rPr>
          <w:rFonts w:ascii="宋体" w:hAnsi="宋体" w:eastAsia="宋体" w:cs="宋体"/>
          <w:spacing w:val="9"/>
          <w:sz w:val="23"/>
          <w:szCs w:val="23"/>
        </w:rPr>
        <w:t>一</w:t>
      </w:r>
      <w:r>
        <w:rPr>
          <w:rFonts w:ascii="宋体" w:hAnsi="宋体" w:eastAsia="宋体" w:cs="宋体"/>
          <w:spacing w:val="7"/>
          <w:sz w:val="23"/>
          <w:szCs w:val="23"/>
        </w:rPr>
        <w:t>体化污水预处理设备，均位于生产厂房西南侧，产生的生产废水经一体化污水</w:t>
      </w:r>
      <w:r>
        <w:rPr>
          <w:rFonts w:ascii="宋体" w:hAnsi="宋体" w:eastAsia="宋体" w:cs="宋体"/>
          <w:sz w:val="23"/>
          <w:szCs w:val="23"/>
        </w:rPr>
        <w:t xml:space="preserve"> </w:t>
      </w:r>
      <w:r>
        <w:rPr>
          <w:rFonts w:ascii="宋体" w:hAnsi="宋体" w:eastAsia="宋体" w:cs="宋体"/>
          <w:spacing w:val="12"/>
          <w:sz w:val="23"/>
          <w:szCs w:val="23"/>
        </w:rPr>
        <w:t>预处</w:t>
      </w:r>
      <w:r>
        <w:rPr>
          <w:rFonts w:ascii="宋体" w:hAnsi="宋体" w:eastAsia="宋体" w:cs="宋体"/>
          <w:spacing w:val="8"/>
          <w:sz w:val="23"/>
          <w:szCs w:val="23"/>
        </w:rPr>
        <w:t>理</w:t>
      </w:r>
      <w:r>
        <w:rPr>
          <w:rFonts w:ascii="宋体" w:hAnsi="宋体" w:eastAsia="宋体" w:cs="宋体"/>
          <w:spacing w:val="6"/>
          <w:sz w:val="23"/>
          <w:szCs w:val="23"/>
        </w:rPr>
        <w:t>设备处理后排入三级沉淀池 (</w:t>
      </w:r>
      <w:r>
        <w:rPr>
          <w:rFonts w:ascii="Times New Roman" w:hAnsi="Times New Roman" w:eastAsia="Times New Roman" w:cs="Times New Roman"/>
          <w:spacing w:val="6"/>
          <w:sz w:val="23"/>
          <w:szCs w:val="23"/>
        </w:rPr>
        <w:t>12</w:t>
      </w:r>
      <w:r>
        <w:rPr>
          <w:rFonts w:ascii="Times New Roman" w:hAnsi="Times New Roman" w:eastAsia="Times New Roman" w:cs="Times New Roman"/>
          <w:sz w:val="23"/>
          <w:szCs w:val="23"/>
        </w:rPr>
        <w:t>m</w:t>
      </w:r>
      <w:r>
        <w:rPr>
          <w:rFonts w:ascii="Times New Roman" w:hAnsi="Times New Roman" w:eastAsia="Times New Roman" w:cs="Times New Roman"/>
          <w:spacing w:val="6"/>
          <w:sz w:val="23"/>
          <w:szCs w:val="23"/>
        </w:rPr>
        <w:t>×6</w:t>
      </w:r>
      <w:r>
        <w:rPr>
          <w:rFonts w:ascii="Times New Roman" w:hAnsi="Times New Roman" w:eastAsia="Times New Roman" w:cs="Times New Roman"/>
          <w:sz w:val="23"/>
          <w:szCs w:val="23"/>
        </w:rPr>
        <w:t>m</w:t>
      </w:r>
      <w:r>
        <w:rPr>
          <w:rFonts w:ascii="Times New Roman" w:hAnsi="Times New Roman" w:eastAsia="Times New Roman" w:cs="Times New Roman"/>
          <w:spacing w:val="6"/>
          <w:sz w:val="23"/>
          <w:szCs w:val="23"/>
        </w:rPr>
        <w:t>×4.5</w:t>
      </w:r>
      <w:r>
        <w:rPr>
          <w:rFonts w:ascii="Times New Roman" w:hAnsi="Times New Roman" w:eastAsia="Times New Roman" w:cs="Times New Roman"/>
          <w:sz w:val="23"/>
          <w:szCs w:val="23"/>
        </w:rPr>
        <w:t>m</w:t>
      </w:r>
      <w:r>
        <w:rPr>
          <w:rFonts w:ascii="宋体" w:hAnsi="宋体" w:eastAsia="宋体" w:cs="宋体"/>
          <w:spacing w:val="6"/>
          <w:sz w:val="23"/>
          <w:szCs w:val="23"/>
        </w:rPr>
        <w:t>) 沉淀处理，随后循环使用。</w:t>
      </w:r>
      <w:r>
        <w:rPr>
          <w:rFonts w:ascii="宋体" w:hAnsi="宋体" w:eastAsia="宋体" w:cs="宋体"/>
          <w:sz w:val="23"/>
          <w:szCs w:val="23"/>
        </w:rPr>
        <w:t xml:space="preserve"> </w:t>
      </w:r>
      <w:r>
        <w:rPr>
          <w:rFonts w:ascii="宋体" w:hAnsi="宋体" w:eastAsia="宋体" w:cs="宋体"/>
          <w:spacing w:val="1"/>
          <w:sz w:val="23"/>
          <w:szCs w:val="23"/>
        </w:rPr>
        <w:t>污水处理设施</w:t>
      </w:r>
      <w:r>
        <w:rPr>
          <w:rFonts w:ascii="宋体" w:hAnsi="宋体" w:eastAsia="宋体" w:cs="宋体"/>
          <w:sz w:val="23"/>
          <w:szCs w:val="23"/>
        </w:rPr>
        <w:t xml:space="preserve">废水每月更换 </w:t>
      </w:r>
      <w:r>
        <w:rPr>
          <w:rFonts w:ascii="Times New Roman" w:hAnsi="Times New Roman" w:eastAsia="Times New Roman" w:cs="Times New Roman"/>
          <w:sz w:val="23"/>
          <w:szCs w:val="23"/>
        </w:rPr>
        <w:t xml:space="preserve">1 </w:t>
      </w:r>
      <w:r>
        <w:rPr>
          <w:rFonts w:ascii="宋体" w:hAnsi="宋体" w:eastAsia="宋体" w:cs="宋体"/>
          <w:sz w:val="23"/>
          <w:szCs w:val="23"/>
        </w:rPr>
        <w:t xml:space="preserve">次，则该项目全年更换废水量为 </w:t>
      </w:r>
      <w:r>
        <w:rPr>
          <w:rFonts w:ascii="Times New Roman" w:hAnsi="Times New Roman" w:eastAsia="Times New Roman" w:cs="Times New Roman"/>
          <w:sz w:val="23"/>
          <w:szCs w:val="23"/>
        </w:rPr>
        <w:t>1523.52m</w:t>
      </w:r>
      <w:r>
        <w:rPr>
          <w:rFonts w:ascii="Times New Roman" w:hAnsi="Times New Roman" w:eastAsia="Times New Roman" w:cs="Times New Roman"/>
          <w:position w:val="8"/>
          <w:sz w:val="15"/>
          <w:szCs w:val="15"/>
        </w:rPr>
        <w:t>3</w:t>
      </w:r>
      <w:r>
        <w:rPr>
          <w:rFonts w:ascii="宋体" w:hAnsi="宋体" w:eastAsia="宋体" w:cs="宋体"/>
          <w:sz w:val="23"/>
          <w:szCs w:val="23"/>
        </w:rPr>
        <w:t xml:space="preserve">，更换过 </w:t>
      </w:r>
      <w:r>
        <w:rPr>
          <w:rFonts w:ascii="宋体" w:hAnsi="宋体" w:eastAsia="宋体" w:cs="宋体"/>
          <w:spacing w:val="-2"/>
          <w:sz w:val="23"/>
          <w:szCs w:val="23"/>
        </w:rPr>
        <w:t>程产生的废水经吸污车运送至本溪市科态污水处理有限责任公司统一</w:t>
      </w:r>
      <w:r>
        <w:rPr>
          <w:rFonts w:ascii="宋体" w:hAnsi="宋体" w:eastAsia="宋体" w:cs="宋体"/>
          <w:spacing w:val="-1"/>
          <w:sz w:val="23"/>
          <w:szCs w:val="23"/>
        </w:rPr>
        <w:t>处</w:t>
      </w:r>
      <w:r>
        <w:rPr>
          <w:rFonts w:ascii="宋体" w:hAnsi="宋体" w:eastAsia="宋体" w:cs="宋体"/>
          <w:sz w:val="23"/>
          <w:szCs w:val="23"/>
        </w:rPr>
        <w:t>理。</w:t>
      </w:r>
    </w:p>
    <w:p w14:paraId="2853459C">
      <w:pPr>
        <w:spacing w:before="94" w:line="401" w:lineRule="auto"/>
        <w:ind w:left="32" w:right="80" w:firstLine="480"/>
        <w:rPr>
          <w:rFonts w:ascii="宋体" w:hAnsi="宋体" w:eastAsia="宋体" w:cs="宋体"/>
          <w:sz w:val="23"/>
          <w:szCs w:val="23"/>
        </w:rPr>
      </w:pPr>
      <w:r>
        <w:rPr>
          <w:rFonts w:ascii="宋体" w:hAnsi="宋体" w:eastAsia="宋体" w:cs="宋体"/>
          <w:spacing w:val="12"/>
          <w:sz w:val="23"/>
          <w:szCs w:val="23"/>
        </w:rPr>
        <w:t>根据</w:t>
      </w:r>
      <w:r>
        <w:rPr>
          <w:rFonts w:ascii="宋体" w:hAnsi="宋体" w:eastAsia="宋体" w:cs="宋体"/>
          <w:spacing w:val="7"/>
          <w:sz w:val="23"/>
          <w:szCs w:val="23"/>
        </w:rPr>
        <w:t>建</w:t>
      </w:r>
      <w:r>
        <w:rPr>
          <w:rFonts w:ascii="宋体" w:hAnsi="宋体" w:eastAsia="宋体" w:cs="宋体"/>
          <w:spacing w:val="6"/>
          <w:sz w:val="23"/>
          <w:szCs w:val="23"/>
        </w:rPr>
        <w:t>设单位提供的资料，该项目拟采用</w:t>
      </w:r>
      <w:r>
        <w:rPr>
          <w:rFonts w:ascii="Times New Roman" w:hAnsi="Times New Roman" w:eastAsia="Times New Roman" w:cs="Times New Roman"/>
          <w:spacing w:val="6"/>
          <w:sz w:val="23"/>
          <w:szCs w:val="23"/>
        </w:rPr>
        <w:t>“</w:t>
      </w:r>
      <w:r>
        <w:rPr>
          <w:rFonts w:ascii="宋体" w:hAnsi="宋体" w:eastAsia="宋体" w:cs="宋体"/>
          <w:spacing w:val="6"/>
          <w:sz w:val="23"/>
          <w:szCs w:val="23"/>
        </w:rPr>
        <w:t>调节</w:t>
      </w:r>
      <w:r>
        <w:rPr>
          <w:rFonts w:ascii="Times New Roman" w:hAnsi="Times New Roman" w:eastAsia="Times New Roman" w:cs="Times New Roman"/>
          <w:spacing w:val="6"/>
          <w:sz w:val="23"/>
          <w:szCs w:val="23"/>
        </w:rPr>
        <w:t>+</w:t>
      </w:r>
      <w:r>
        <w:rPr>
          <w:rFonts w:ascii="宋体" w:hAnsi="宋体" w:eastAsia="宋体" w:cs="宋体"/>
          <w:spacing w:val="6"/>
          <w:sz w:val="23"/>
          <w:szCs w:val="23"/>
        </w:rPr>
        <w:t>混凝</w:t>
      </w:r>
      <w:r>
        <w:rPr>
          <w:rFonts w:ascii="Times New Roman" w:hAnsi="Times New Roman" w:eastAsia="Times New Roman" w:cs="Times New Roman"/>
          <w:spacing w:val="6"/>
          <w:sz w:val="23"/>
          <w:szCs w:val="23"/>
        </w:rPr>
        <w:t>+</w:t>
      </w:r>
      <w:r>
        <w:rPr>
          <w:rFonts w:ascii="宋体" w:hAnsi="宋体" w:eastAsia="宋体" w:cs="宋体"/>
          <w:spacing w:val="6"/>
          <w:sz w:val="23"/>
          <w:szCs w:val="23"/>
        </w:rPr>
        <w:t>气浮工艺</w:t>
      </w:r>
      <w:r>
        <w:rPr>
          <w:rFonts w:ascii="Times New Roman" w:hAnsi="Times New Roman" w:eastAsia="Times New Roman" w:cs="Times New Roman"/>
          <w:spacing w:val="6"/>
          <w:sz w:val="23"/>
          <w:szCs w:val="23"/>
        </w:rPr>
        <w:t>”</w:t>
      </w:r>
      <w:r>
        <w:rPr>
          <w:rFonts w:ascii="宋体" w:hAnsi="宋体" w:eastAsia="宋体" w:cs="宋体"/>
          <w:spacing w:val="6"/>
          <w:sz w:val="23"/>
          <w:szCs w:val="23"/>
        </w:rPr>
        <w:t>相结合的预</w:t>
      </w:r>
      <w:r>
        <w:rPr>
          <w:rFonts w:ascii="宋体" w:hAnsi="宋体" w:eastAsia="宋体" w:cs="宋体"/>
          <w:sz w:val="23"/>
          <w:szCs w:val="23"/>
        </w:rPr>
        <w:t xml:space="preserve"> </w:t>
      </w:r>
      <w:r>
        <w:rPr>
          <w:rFonts w:ascii="宋体" w:hAnsi="宋体" w:eastAsia="宋体" w:cs="宋体"/>
          <w:spacing w:val="9"/>
          <w:sz w:val="23"/>
          <w:szCs w:val="23"/>
        </w:rPr>
        <w:t>处</w:t>
      </w:r>
      <w:r>
        <w:rPr>
          <w:rFonts w:ascii="宋体" w:hAnsi="宋体" w:eastAsia="宋体" w:cs="宋体"/>
          <w:spacing w:val="7"/>
          <w:sz w:val="23"/>
          <w:szCs w:val="23"/>
        </w:rPr>
        <w:t>理工艺，即在预处理阶段先对呈弱碱性的废水进行中和处理，调节水质，随后</w:t>
      </w:r>
      <w:r>
        <w:rPr>
          <w:rFonts w:ascii="宋体" w:hAnsi="宋体" w:eastAsia="宋体" w:cs="宋体"/>
          <w:sz w:val="23"/>
          <w:szCs w:val="23"/>
        </w:rPr>
        <w:t xml:space="preserve"> </w:t>
      </w:r>
      <w:r>
        <w:rPr>
          <w:rFonts w:ascii="宋体" w:hAnsi="宋体" w:eastAsia="宋体" w:cs="宋体"/>
          <w:spacing w:val="8"/>
          <w:sz w:val="23"/>
          <w:szCs w:val="23"/>
        </w:rPr>
        <w:t xml:space="preserve">加入 </w:t>
      </w:r>
      <w:r>
        <w:rPr>
          <w:rFonts w:ascii="Times New Roman" w:hAnsi="Times New Roman" w:eastAsia="Times New Roman" w:cs="Times New Roman"/>
          <w:sz w:val="23"/>
          <w:szCs w:val="23"/>
        </w:rPr>
        <w:t>PAM</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等混凝剂使水中的悬浮物凝聚成大颗粒，易于去除，最后利用气浮</w:t>
      </w:r>
      <w:r>
        <w:rPr>
          <w:rFonts w:ascii="宋体" w:hAnsi="宋体" w:eastAsia="宋体" w:cs="宋体"/>
          <w:spacing w:val="2"/>
          <w:sz w:val="23"/>
          <w:szCs w:val="23"/>
        </w:rPr>
        <w:t>工</w:t>
      </w:r>
      <w:r>
        <w:rPr>
          <w:rFonts w:ascii="宋体" w:hAnsi="宋体" w:eastAsia="宋体" w:cs="宋体"/>
          <w:sz w:val="23"/>
          <w:szCs w:val="23"/>
        </w:rPr>
        <w:t xml:space="preserve"> </w:t>
      </w:r>
      <w:r>
        <w:rPr>
          <w:rFonts w:ascii="宋体" w:hAnsi="宋体" w:eastAsia="宋体" w:cs="宋体"/>
          <w:spacing w:val="10"/>
          <w:sz w:val="23"/>
          <w:szCs w:val="23"/>
        </w:rPr>
        <w:t>艺</w:t>
      </w:r>
      <w:r>
        <w:rPr>
          <w:rFonts w:ascii="宋体" w:hAnsi="宋体" w:eastAsia="宋体" w:cs="宋体"/>
          <w:spacing w:val="9"/>
          <w:sz w:val="23"/>
          <w:szCs w:val="23"/>
        </w:rPr>
        <w:t>去</w:t>
      </w:r>
      <w:r>
        <w:rPr>
          <w:rFonts w:ascii="宋体" w:hAnsi="宋体" w:eastAsia="宋体" w:cs="宋体"/>
          <w:spacing w:val="5"/>
          <w:sz w:val="23"/>
          <w:szCs w:val="23"/>
        </w:rPr>
        <w:t xml:space="preserve">除水中的悬浮物，设计规模为 </w:t>
      </w:r>
      <w:r>
        <w:rPr>
          <w:rFonts w:ascii="Times New Roman" w:hAnsi="Times New Roman" w:eastAsia="Times New Roman" w:cs="Times New Roman"/>
          <w:spacing w:val="5"/>
          <w:sz w:val="23"/>
          <w:szCs w:val="23"/>
        </w:rPr>
        <w:t>150</w:t>
      </w:r>
      <w:r>
        <w:rPr>
          <w:rFonts w:ascii="Times New Roman" w:hAnsi="Times New Roman" w:eastAsia="Times New Roman" w:cs="Times New Roman"/>
          <w:sz w:val="23"/>
          <w:szCs w:val="23"/>
        </w:rPr>
        <w:t>m</w:t>
      </w:r>
      <w:r>
        <w:rPr>
          <w:rFonts w:ascii="Times New Roman" w:hAnsi="Times New Roman" w:eastAsia="Times New Roman" w:cs="Times New Roman"/>
          <w:spacing w:val="5"/>
          <w:position w:val="8"/>
          <w:sz w:val="15"/>
          <w:szCs w:val="15"/>
        </w:rPr>
        <w:t>3</w:t>
      </w:r>
      <w:r>
        <w:rPr>
          <w:rFonts w:ascii="Times New Roman" w:hAnsi="Times New Roman" w:eastAsia="Times New Roman" w:cs="Times New Roman"/>
          <w:spacing w:val="5"/>
          <w:sz w:val="23"/>
          <w:szCs w:val="23"/>
        </w:rPr>
        <w:t>/</w:t>
      </w:r>
      <w:r>
        <w:rPr>
          <w:rFonts w:ascii="Times New Roman" w:hAnsi="Times New Roman" w:eastAsia="Times New Roman" w:cs="Times New Roman"/>
          <w:sz w:val="23"/>
          <w:szCs w:val="23"/>
        </w:rPr>
        <w:t>d</w:t>
      </w:r>
      <w:r>
        <w:rPr>
          <w:rFonts w:ascii="宋体" w:hAnsi="宋体" w:eastAsia="宋体" w:cs="宋体"/>
          <w:spacing w:val="5"/>
          <w:sz w:val="23"/>
          <w:szCs w:val="23"/>
        </w:rPr>
        <w:t>。</w:t>
      </w:r>
    </w:p>
    <w:p w14:paraId="0A238B0E">
      <w:pPr>
        <w:spacing w:before="122" w:line="393" w:lineRule="auto"/>
        <w:ind w:left="35" w:right="80" w:firstLine="480"/>
        <w:rPr>
          <w:rFonts w:ascii="宋体" w:hAnsi="宋体" w:eastAsia="宋体" w:cs="宋体"/>
          <w:sz w:val="23"/>
          <w:szCs w:val="23"/>
        </w:rPr>
      </w:pPr>
      <w:r>
        <w:rPr>
          <w:rFonts w:ascii="宋体" w:hAnsi="宋体" w:eastAsia="宋体" w:cs="宋体"/>
          <w:spacing w:val="12"/>
          <w:sz w:val="23"/>
          <w:szCs w:val="23"/>
        </w:rPr>
        <w:t>该项目生</w:t>
      </w:r>
      <w:r>
        <w:rPr>
          <w:rFonts w:ascii="宋体" w:hAnsi="宋体" w:eastAsia="宋体" w:cs="宋体"/>
          <w:spacing w:val="7"/>
          <w:sz w:val="23"/>
          <w:szCs w:val="23"/>
        </w:rPr>
        <w:t>产</w:t>
      </w:r>
      <w:r>
        <w:rPr>
          <w:rFonts w:ascii="宋体" w:hAnsi="宋体" w:eastAsia="宋体" w:cs="宋体"/>
          <w:spacing w:val="6"/>
          <w:sz w:val="23"/>
          <w:szCs w:val="23"/>
        </w:rPr>
        <w:t>废水具有悬浮物含量高的特点。根据类比同类型企业，该项目污</w:t>
      </w:r>
      <w:r>
        <w:rPr>
          <w:rFonts w:ascii="宋体" w:hAnsi="宋体" w:eastAsia="宋体" w:cs="宋体"/>
          <w:sz w:val="23"/>
          <w:szCs w:val="23"/>
        </w:rPr>
        <w:t xml:space="preserve"> </w:t>
      </w:r>
      <w:r>
        <w:rPr>
          <w:rFonts w:ascii="宋体" w:hAnsi="宋体" w:eastAsia="宋体" w:cs="宋体"/>
          <w:spacing w:val="1"/>
          <w:sz w:val="23"/>
          <w:szCs w:val="23"/>
        </w:rPr>
        <w:t>水中各污染物产生情况见表</w:t>
      </w:r>
      <w:r>
        <w:rPr>
          <w:rFonts w:ascii="宋体" w:hAnsi="宋体" w:eastAsia="宋体" w:cs="宋体"/>
          <w:sz w:val="23"/>
          <w:szCs w:val="23"/>
        </w:rPr>
        <w:t xml:space="preserve"> </w:t>
      </w:r>
      <w:r>
        <w:rPr>
          <w:rFonts w:ascii="Times New Roman" w:hAnsi="Times New Roman" w:eastAsia="Times New Roman" w:cs="Times New Roman"/>
          <w:sz w:val="23"/>
          <w:szCs w:val="23"/>
        </w:rPr>
        <w:t>5- 14</w:t>
      </w:r>
      <w:r>
        <w:rPr>
          <w:rFonts w:ascii="宋体" w:hAnsi="宋体" w:eastAsia="宋体" w:cs="宋体"/>
          <w:sz w:val="23"/>
          <w:szCs w:val="23"/>
        </w:rPr>
        <w:t>。</w:t>
      </w:r>
    </w:p>
    <w:p w14:paraId="5BF99579">
      <w:pPr>
        <w:spacing w:before="137" w:line="227" w:lineRule="auto"/>
        <w:ind w:left="2133"/>
        <w:rPr>
          <w:rFonts w:ascii="宋体" w:hAnsi="宋体" w:eastAsia="宋体" w:cs="宋体"/>
          <w:sz w:val="23"/>
          <w:szCs w:val="23"/>
        </w:rPr>
      </w:pPr>
      <w:r>
        <w:rPr>
          <w:rFonts w:ascii="宋体" w:hAnsi="宋体" w:eastAsia="宋体" w:cs="宋体"/>
          <w:spacing w:val="8"/>
          <w:sz w:val="23"/>
          <w:szCs w:val="23"/>
          <w14:textOutline w14:w="4358" w14:cap="sq" w14:cmpd="sng">
            <w14:solidFill>
              <w14:srgbClr w14:val="000000"/>
            </w14:solidFill>
            <w14:prstDash w14:val="solid"/>
            <w14:bevel/>
          </w14:textOutline>
        </w:rPr>
        <w:t>表</w:t>
      </w:r>
      <w:r>
        <w:rPr>
          <w:rFonts w:ascii="宋体" w:hAnsi="宋体" w:eastAsia="宋体" w:cs="宋体"/>
          <w:spacing w:val="8"/>
          <w:sz w:val="23"/>
          <w:szCs w:val="23"/>
        </w:rPr>
        <w:t xml:space="preserve"> </w:t>
      </w:r>
      <w:r>
        <w:rPr>
          <w:rFonts w:ascii="Times New Roman" w:hAnsi="Times New Roman" w:eastAsia="Times New Roman" w:cs="Times New Roman"/>
          <w:b/>
          <w:bCs/>
          <w:spacing w:val="8"/>
          <w:sz w:val="23"/>
          <w:szCs w:val="23"/>
        </w:rPr>
        <w:t>5</w:t>
      </w:r>
      <w:r>
        <w:rPr>
          <w:rFonts w:ascii="Times New Roman" w:hAnsi="Times New Roman" w:eastAsia="Times New Roman" w:cs="Times New Roman"/>
          <w:b/>
          <w:bCs/>
          <w:spacing w:val="4"/>
          <w:sz w:val="23"/>
          <w:szCs w:val="23"/>
        </w:rPr>
        <w:t>-14</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该项目水污染物产排情况表</w:t>
      </w:r>
    </w:p>
    <w:p w14:paraId="1894402E">
      <w:pPr>
        <w:spacing w:line="18" w:lineRule="exact"/>
      </w:pPr>
    </w:p>
    <w:tbl>
      <w:tblPr>
        <w:tblStyle w:val="4"/>
        <w:tblW w:w="835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97"/>
        <w:gridCol w:w="2135"/>
        <w:gridCol w:w="1055"/>
        <w:gridCol w:w="1055"/>
        <w:gridCol w:w="1054"/>
        <w:gridCol w:w="1056"/>
      </w:tblGrid>
      <w:tr w14:paraId="74C4CD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1997" w:type="dxa"/>
            <w:tcBorders>
              <w:left w:val="nil"/>
            </w:tcBorders>
            <w:vAlign w:val="top"/>
          </w:tcPr>
          <w:p w14:paraId="2560D88B">
            <w:pPr>
              <w:spacing w:before="75" w:line="228" w:lineRule="auto"/>
              <w:ind w:left="796"/>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种类</w:t>
            </w:r>
          </w:p>
        </w:tc>
        <w:tc>
          <w:tcPr>
            <w:tcW w:w="2135" w:type="dxa"/>
            <w:vAlign w:val="top"/>
          </w:tcPr>
          <w:p w14:paraId="7D2282B9">
            <w:pPr>
              <w:spacing w:before="76" w:line="228" w:lineRule="auto"/>
              <w:ind w:left="866"/>
              <w:rPr>
                <w:rFonts w:ascii="宋体" w:hAnsi="宋体" w:eastAsia="宋体" w:cs="宋体"/>
                <w:sz w:val="20"/>
                <w:szCs w:val="20"/>
              </w:rPr>
            </w:pPr>
            <w:r>
              <w:rPr>
                <w:rFonts w:ascii="宋体" w:hAnsi="宋体" w:eastAsia="宋体" w:cs="宋体"/>
                <w:spacing w:val="4"/>
                <w:sz w:val="20"/>
                <w:szCs w:val="20"/>
                <w14:textOutline w14:w="3795" w14:cap="sq" w14:cmpd="sng">
                  <w14:solidFill>
                    <w14:srgbClr w14:val="000000"/>
                  </w14:solidFill>
                  <w14:prstDash w14:val="solid"/>
                  <w14:bevel/>
                </w14:textOutline>
              </w:rPr>
              <w:t>项目</w:t>
            </w:r>
          </w:p>
        </w:tc>
        <w:tc>
          <w:tcPr>
            <w:tcW w:w="1055" w:type="dxa"/>
            <w:vAlign w:val="top"/>
          </w:tcPr>
          <w:p w14:paraId="052D1632">
            <w:pPr>
              <w:spacing w:before="111" w:line="195" w:lineRule="auto"/>
              <w:ind w:left="300"/>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COD</w:t>
            </w:r>
          </w:p>
        </w:tc>
        <w:tc>
          <w:tcPr>
            <w:tcW w:w="1055" w:type="dxa"/>
            <w:vAlign w:val="top"/>
          </w:tcPr>
          <w:p w14:paraId="09AB0C51">
            <w:pPr>
              <w:spacing w:before="111" w:line="195" w:lineRule="auto"/>
              <w:ind w:left="419"/>
              <w:rPr>
                <w:rFonts w:ascii="Times New Roman" w:hAnsi="Times New Roman" w:eastAsia="Times New Roman" w:cs="Times New Roman"/>
                <w:sz w:val="20"/>
                <w:szCs w:val="20"/>
              </w:rPr>
            </w:pPr>
            <w:r>
              <w:rPr>
                <w:rFonts w:ascii="Times New Roman" w:hAnsi="Times New Roman" w:eastAsia="Times New Roman" w:cs="Times New Roman"/>
                <w:b/>
                <w:bCs/>
                <w:spacing w:val="-1"/>
                <w:sz w:val="20"/>
                <w:szCs w:val="20"/>
              </w:rPr>
              <w:t>SS</w:t>
            </w:r>
          </w:p>
        </w:tc>
        <w:tc>
          <w:tcPr>
            <w:tcW w:w="1054" w:type="dxa"/>
            <w:vAlign w:val="top"/>
          </w:tcPr>
          <w:p w14:paraId="4A091AF2">
            <w:pPr>
              <w:spacing w:before="75" w:line="228" w:lineRule="auto"/>
              <w:ind w:left="219"/>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石</w:t>
            </w:r>
            <w:r>
              <w:rPr>
                <w:rFonts w:ascii="宋体" w:hAnsi="宋体" w:eastAsia="宋体" w:cs="宋体"/>
                <w:spacing w:val="7"/>
                <w:sz w:val="20"/>
                <w:szCs w:val="20"/>
                <w14:textOutline w14:w="3795" w14:cap="sq" w14:cmpd="sng">
                  <w14:solidFill>
                    <w14:srgbClr w14:val="000000"/>
                  </w14:solidFill>
                  <w14:prstDash w14:val="solid"/>
                  <w14:bevel/>
                </w14:textOutline>
              </w:rPr>
              <w:t>油类</w:t>
            </w:r>
          </w:p>
        </w:tc>
        <w:tc>
          <w:tcPr>
            <w:tcW w:w="1056" w:type="dxa"/>
            <w:tcBorders>
              <w:right w:val="nil"/>
            </w:tcBorders>
            <w:vAlign w:val="top"/>
          </w:tcPr>
          <w:p w14:paraId="12EA4557">
            <w:pPr>
              <w:spacing w:before="114" w:line="199" w:lineRule="auto"/>
              <w:ind w:left="227"/>
              <w:rPr>
                <w:rFonts w:ascii="Times New Roman" w:hAnsi="Times New Roman" w:eastAsia="Times New Roman" w:cs="Times New Roman"/>
                <w:sz w:val="20"/>
                <w:szCs w:val="20"/>
              </w:rPr>
            </w:pPr>
            <w:r>
              <w:rPr>
                <w:rFonts w:ascii="Times New Roman" w:hAnsi="Times New Roman" w:eastAsia="Times New Roman" w:cs="Times New Roman"/>
                <w:b/>
                <w:bCs/>
                <w:sz w:val="20"/>
                <w:szCs w:val="20"/>
              </w:rPr>
              <w:t>NH</w:t>
            </w:r>
            <w:r>
              <w:rPr>
                <w:rFonts w:ascii="Times New Roman" w:hAnsi="Times New Roman" w:eastAsia="Times New Roman" w:cs="Times New Roman"/>
                <w:b/>
                <w:bCs/>
                <w:spacing w:val="13"/>
                <w:position w:val="-1"/>
                <w:sz w:val="13"/>
                <w:szCs w:val="13"/>
              </w:rPr>
              <w:t>3</w:t>
            </w:r>
            <w:r>
              <w:rPr>
                <w:rFonts w:ascii="Times New Roman" w:hAnsi="Times New Roman" w:eastAsia="Times New Roman" w:cs="Times New Roman"/>
                <w:b/>
                <w:bCs/>
                <w:spacing w:val="12"/>
                <w:sz w:val="20"/>
                <w:szCs w:val="20"/>
              </w:rPr>
              <w:t>-</w:t>
            </w:r>
            <w:r>
              <w:rPr>
                <w:rFonts w:ascii="Times New Roman" w:hAnsi="Times New Roman" w:eastAsia="Times New Roman" w:cs="Times New Roman"/>
                <w:b/>
                <w:bCs/>
                <w:sz w:val="20"/>
                <w:szCs w:val="20"/>
              </w:rPr>
              <w:t>N</w:t>
            </w:r>
          </w:p>
        </w:tc>
      </w:tr>
      <w:tr w14:paraId="34AE4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97" w:type="dxa"/>
            <w:vMerge w:val="restart"/>
            <w:tcBorders>
              <w:left w:val="nil"/>
              <w:bottom w:val="nil"/>
            </w:tcBorders>
            <w:vAlign w:val="top"/>
          </w:tcPr>
          <w:p w14:paraId="6FFCE509">
            <w:pPr>
              <w:spacing w:before="74" w:line="260" w:lineRule="auto"/>
              <w:ind w:left="379" w:right="376" w:firstLine="205"/>
              <w:rPr>
                <w:rFonts w:ascii="宋体" w:hAnsi="宋体" w:eastAsia="宋体" w:cs="宋体"/>
                <w:sz w:val="20"/>
                <w:szCs w:val="20"/>
              </w:rPr>
            </w:pPr>
            <w:r>
              <w:rPr>
                <w:rFonts w:ascii="宋体" w:hAnsi="宋体" w:eastAsia="宋体" w:cs="宋体"/>
                <w:spacing w:val="9"/>
                <w:sz w:val="20"/>
                <w:szCs w:val="20"/>
              </w:rPr>
              <w:t>破</w:t>
            </w:r>
            <w:r>
              <w:rPr>
                <w:rFonts w:ascii="宋体" w:hAnsi="宋体" w:eastAsia="宋体" w:cs="宋体"/>
                <w:spacing w:val="7"/>
                <w:sz w:val="20"/>
                <w:szCs w:val="20"/>
              </w:rPr>
              <w:t>碎废水</w:t>
            </w:r>
            <w:r>
              <w:rPr>
                <w:rFonts w:ascii="宋体" w:hAnsi="宋体" w:eastAsia="宋体" w:cs="宋体"/>
                <w:sz w:val="20"/>
                <w:szCs w:val="20"/>
              </w:rPr>
              <w:t xml:space="preserve">  </w:t>
            </w:r>
            <w:r>
              <w:rPr>
                <w:rFonts w:ascii="宋体" w:hAnsi="宋体" w:eastAsia="宋体" w:cs="宋体"/>
                <w:spacing w:val="10"/>
                <w:sz w:val="20"/>
                <w:szCs w:val="20"/>
              </w:rPr>
              <w:t>(</w:t>
            </w:r>
            <w:r>
              <w:rPr>
                <w:rFonts w:ascii="Times New Roman" w:hAnsi="Times New Roman" w:eastAsia="Times New Roman" w:cs="Times New Roman"/>
                <w:spacing w:val="7"/>
                <w:sz w:val="20"/>
                <w:szCs w:val="20"/>
              </w:rPr>
              <w:t>193.8</w:t>
            </w:r>
            <w:r>
              <w:rPr>
                <w:rFonts w:ascii="Times New Roman" w:hAnsi="Times New Roman" w:eastAsia="Times New Roman" w:cs="Times New Roman"/>
                <w:sz w:val="20"/>
                <w:szCs w:val="20"/>
              </w:rPr>
              <w:t>m</w:t>
            </w:r>
            <w:r>
              <w:rPr>
                <w:rFonts w:ascii="Times New Roman" w:hAnsi="Times New Roman" w:eastAsia="Times New Roman" w:cs="Times New Roman"/>
                <w:spacing w:val="7"/>
                <w:position w:val="6"/>
                <w:sz w:val="13"/>
                <w:szCs w:val="13"/>
              </w:rPr>
              <w:t>3</w:t>
            </w:r>
            <w:r>
              <w:rPr>
                <w:rFonts w:ascii="Times New Roman" w:hAnsi="Times New Roman" w:eastAsia="Times New Roman" w:cs="Times New Roman"/>
                <w:spacing w:val="7"/>
                <w:sz w:val="20"/>
                <w:szCs w:val="20"/>
              </w:rPr>
              <w:t>/</w:t>
            </w:r>
            <w:r>
              <w:rPr>
                <w:rFonts w:ascii="Times New Roman" w:hAnsi="Times New Roman" w:eastAsia="Times New Roman" w:cs="Times New Roman"/>
                <w:sz w:val="20"/>
                <w:szCs w:val="20"/>
              </w:rPr>
              <w:t>a</w:t>
            </w:r>
            <w:r>
              <w:rPr>
                <w:rFonts w:ascii="Times New Roman" w:hAnsi="Times New Roman" w:eastAsia="Times New Roman" w:cs="Times New Roman"/>
                <w:spacing w:val="7"/>
                <w:sz w:val="20"/>
                <w:szCs w:val="20"/>
              </w:rPr>
              <w:t xml:space="preserve"> </w:t>
            </w:r>
            <w:r>
              <w:rPr>
                <w:rFonts w:ascii="宋体" w:hAnsi="宋体" w:eastAsia="宋体" w:cs="宋体"/>
                <w:spacing w:val="7"/>
                <w:sz w:val="20"/>
                <w:szCs w:val="20"/>
              </w:rPr>
              <w:t>)</w:t>
            </w:r>
          </w:p>
        </w:tc>
        <w:tc>
          <w:tcPr>
            <w:tcW w:w="2135" w:type="dxa"/>
            <w:vAlign w:val="top"/>
          </w:tcPr>
          <w:p w14:paraId="4690A9BA">
            <w:pPr>
              <w:spacing w:before="13" w:line="281" w:lineRule="exact"/>
              <w:ind w:left="357"/>
              <w:rPr>
                <w:rFonts w:ascii="Times New Roman" w:hAnsi="Times New Roman" w:eastAsia="Times New Roman" w:cs="Times New Roman"/>
                <w:sz w:val="20"/>
                <w:szCs w:val="20"/>
              </w:rPr>
            </w:pPr>
            <w:r>
              <w:rPr>
                <w:rFonts w:ascii="宋体" w:hAnsi="宋体" w:eastAsia="宋体" w:cs="宋体"/>
                <w:spacing w:val="8"/>
                <w:position w:val="2"/>
                <w:sz w:val="20"/>
                <w:szCs w:val="20"/>
              </w:rPr>
              <w:t>产生浓度</w:t>
            </w:r>
            <w:r>
              <w:rPr>
                <w:rFonts w:ascii="Times New Roman" w:hAnsi="Times New Roman" w:eastAsia="Times New Roman" w:cs="Times New Roman"/>
                <w:spacing w:val="8"/>
                <w:position w:val="2"/>
                <w:sz w:val="20"/>
                <w:szCs w:val="20"/>
              </w:rPr>
              <w:t>(</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8"/>
                <w:position w:val="2"/>
                <w:sz w:val="20"/>
                <w:szCs w:val="20"/>
              </w:rPr>
              <w:t>/</w:t>
            </w:r>
            <w:r>
              <w:rPr>
                <w:rFonts w:ascii="Times New Roman" w:hAnsi="Times New Roman" w:eastAsia="Times New Roman" w:cs="Times New Roman"/>
                <w:position w:val="2"/>
                <w:sz w:val="20"/>
                <w:szCs w:val="20"/>
              </w:rPr>
              <w:t>L</w:t>
            </w:r>
            <w:r>
              <w:rPr>
                <w:rFonts w:ascii="Times New Roman" w:hAnsi="Times New Roman" w:eastAsia="Times New Roman" w:cs="Times New Roman"/>
                <w:spacing w:val="7"/>
                <w:position w:val="2"/>
                <w:sz w:val="20"/>
                <w:szCs w:val="20"/>
              </w:rPr>
              <w:t>)</w:t>
            </w:r>
          </w:p>
        </w:tc>
        <w:tc>
          <w:tcPr>
            <w:tcW w:w="1055" w:type="dxa"/>
            <w:vAlign w:val="top"/>
          </w:tcPr>
          <w:p w14:paraId="02B0CB39">
            <w:pPr>
              <w:spacing w:before="89" w:line="195" w:lineRule="auto"/>
              <w:ind w:left="37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00</w:t>
            </w:r>
          </w:p>
        </w:tc>
        <w:tc>
          <w:tcPr>
            <w:tcW w:w="1055" w:type="dxa"/>
            <w:vAlign w:val="top"/>
          </w:tcPr>
          <w:p w14:paraId="0A146D5A">
            <w:pPr>
              <w:spacing w:before="89" w:line="195" w:lineRule="auto"/>
              <w:ind w:left="3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50</w:t>
            </w:r>
            <w:r>
              <w:rPr>
                <w:rFonts w:ascii="Times New Roman" w:hAnsi="Times New Roman" w:eastAsia="Times New Roman" w:cs="Times New Roman"/>
                <w:spacing w:val="1"/>
                <w:sz w:val="20"/>
                <w:szCs w:val="20"/>
              </w:rPr>
              <w:t>0</w:t>
            </w:r>
          </w:p>
        </w:tc>
        <w:tc>
          <w:tcPr>
            <w:tcW w:w="1054" w:type="dxa"/>
            <w:vAlign w:val="top"/>
          </w:tcPr>
          <w:p w14:paraId="315B6C64">
            <w:pPr>
              <w:spacing w:before="92" w:line="192" w:lineRule="auto"/>
              <w:ind w:left="482"/>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056" w:type="dxa"/>
            <w:tcBorders>
              <w:right w:val="nil"/>
            </w:tcBorders>
            <w:vAlign w:val="top"/>
          </w:tcPr>
          <w:p w14:paraId="5B80E3A9">
            <w:pPr>
              <w:spacing w:before="89" w:line="195" w:lineRule="auto"/>
              <w:ind w:left="44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8</w:t>
            </w:r>
          </w:p>
        </w:tc>
      </w:tr>
      <w:tr w14:paraId="07CBFF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97" w:type="dxa"/>
            <w:vMerge w:val="continue"/>
            <w:tcBorders>
              <w:top w:val="nil"/>
              <w:left w:val="nil"/>
            </w:tcBorders>
            <w:vAlign w:val="top"/>
          </w:tcPr>
          <w:p w14:paraId="46D7EE01">
            <w:pPr>
              <w:rPr>
                <w:rFonts w:ascii="Arial"/>
                <w:sz w:val="21"/>
              </w:rPr>
            </w:pPr>
          </w:p>
        </w:tc>
        <w:tc>
          <w:tcPr>
            <w:tcW w:w="2135" w:type="dxa"/>
            <w:vAlign w:val="top"/>
          </w:tcPr>
          <w:p w14:paraId="3D3FDCBA">
            <w:pPr>
              <w:spacing w:before="14" w:line="281" w:lineRule="exact"/>
              <w:ind w:left="585"/>
              <w:rPr>
                <w:rFonts w:ascii="Times New Roman" w:hAnsi="Times New Roman" w:eastAsia="Times New Roman" w:cs="Times New Roman"/>
                <w:sz w:val="20"/>
                <w:szCs w:val="20"/>
              </w:rPr>
            </w:pPr>
            <w:r>
              <w:rPr>
                <w:rFonts w:ascii="宋体" w:hAnsi="宋体" w:eastAsia="宋体" w:cs="宋体"/>
                <w:spacing w:val="6"/>
                <w:position w:val="2"/>
                <w:sz w:val="20"/>
                <w:szCs w:val="20"/>
              </w:rPr>
              <w:t>产生量</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a</w:t>
            </w:r>
            <w:r>
              <w:rPr>
                <w:rFonts w:ascii="Times New Roman" w:hAnsi="Times New Roman" w:eastAsia="Times New Roman" w:cs="Times New Roman"/>
                <w:spacing w:val="5"/>
                <w:position w:val="2"/>
                <w:sz w:val="20"/>
                <w:szCs w:val="20"/>
              </w:rPr>
              <w:t>)</w:t>
            </w:r>
          </w:p>
        </w:tc>
        <w:tc>
          <w:tcPr>
            <w:tcW w:w="1055" w:type="dxa"/>
            <w:vAlign w:val="top"/>
          </w:tcPr>
          <w:p w14:paraId="200FF586">
            <w:pPr>
              <w:spacing w:before="90" w:line="195" w:lineRule="auto"/>
              <w:ind w:left="34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.06</w:t>
            </w:r>
          </w:p>
        </w:tc>
        <w:tc>
          <w:tcPr>
            <w:tcW w:w="1055" w:type="dxa"/>
            <w:vAlign w:val="top"/>
          </w:tcPr>
          <w:p w14:paraId="7BB04602">
            <w:pPr>
              <w:spacing w:before="90" w:line="195" w:lineRule="auto"/>
              <w:ind w:left="349"/>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0. 10</w:t>
            </w:r>
          </w:p>
        </w:tc>
        <w:tc>
          <w:tcPr>
            <w:tcW w:w="1054" w:type="dxa"/>
            <w:vAlign w:val="top"/>
          </w:tcPr>
          <w:p w14:paraId="0E6C7CC3">
            <w:pPr>
              <w:spacing w:before="90" w:line="195" w:lineRule="auto"/>
              <w:ind w:left="29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.001</w:t>
            </w:r>
          </w:p>
        </w:tc>
        <w:tc>
          <w:tcPr>
            <w:tcW w:w="1056" w:type="dxa"/>
            <w:tcBorders>
              <w:right w:val="nil"/>
            </w:tcBorders>
            <w:vAlign w:val="top"/>
          </w:tcPr>
          <w:p w14:paraId="5550B674">
            <w:pPr>
              <w:spacing w:before="90" w:line="195" w:lineRule="auto"/>
              <w:ind w:left="29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.003</w:t>
            </w:r>
          </w:p>
        </w:tc>
      </w:tr>
      <w:tr w14:paraId="6422AF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97" w:type="dxa"/>
            <w:vMerge w:val="restart"/>
            <w:tcBorders>
              <w:left w:val="nil"/>
              <w:bottom w:val="nil"/>
            </w:tcBorders>
            <w:vAlign w:val="top"/>
          </w:tcPr>
          <w:p w14:paraId="6D44EEE4">
            <w:pPr>
              <w:spacing w:before="88" w:line="263" w:lineRule="auto"/>
              <w:ind w:left="378" w:right="368" w:hanging="3"/>
              <w:rPr>
                <w:rFonts w:ascii="宋体" w:hAnsi="宋体" w:eastAsia="宋体" w:cs="宋体"/>
                <w:sz w:val="20"/>
                <w:szCs w:val="20"/>
              </w:rPr>
            </w:pPr>
            <w:r>
              <w:rPr>
                <w:rFonts w:ascii="宋体" w:hAnsi="宋体" w:eastAsia="宋体" w:cs="宋体"/>
                <w:spacing w:val="10"/>
                <w:sz w:val="20"/>
                <w:szCs w:val="20"/>
              </w:rPr>
              <w:t>洗</w:t>
            </w:r>
            <w:r>
              <w:rPr>
                <w:rFonts w:ascii="宋体" w:hAnsi="宋体" w:eastAsia="宋体" w:cs="宋体"/>
                <w:spacing w:val="8"/>
                <w:sz w:val="20"/>
                <w:szCs w:val="20"/>
              </w:rPr>
              <w:t>字清洗废水</w:t>
            </w:r>
            <w:r>
              <w:rPr>
                <w:rFonts w:ascii="宋体" w:hAnsi="宋体" w:eastAsia="宋体" w:cs="宋体"/>
                <w:sz w:val="20"/>
                <w:szCs w:val="20"/>
              </w:rPr>
              <w:t xml:space="preserve"> </w:t>
            </w:r>
            <w:r>
              <w:rPr>
                <w:rFonts w:ascii="宋体" w:hAnsi="宋体" w:eastAsia="宋体" w:cs="宋体"/>
                <w:spacing w:val="10"/>
                <w:sz w:val="20"/>
                <w:szCs w:val="20"/>
              </w:rPr>
              <w:t>(</w:t>
            </w:r>
            <w:r>
              <w:rPr>
                <w:rFonts w:ascii="Times New Roman" w:hAnsi="Times New Roman" w:eastAsia="Times New Roman" w:cs="Times New Roman"/>
                <w:spacing w:val="7"/>
                <w:sz w:val="20"/>
                <w:szCs w:val="20"/>
              </w:rPr>
              <w:t>36.72</w:t>
            </w:r>
            <w:r>
              <w:rPr>
                <w:rFonts w:ascii="Times New Roman" w:hAnsi="Times New Roman" w:eastAsia="Times New Roman" w:cs="Times New Roman"/>
                <w:sz w:val="20"/>
                <w:szCs w:val="20"/>
              </w:rPr>
              <w:t>m</w:t>
            </w:r>
            <w:r>
              <w:rPr>
                <w:rFonts w:ascii="Times New Roman" w:hAnsi="Times New Roman" w:eastAsia="Times New Roman" w:cs="Times New Roman"/>
                <w:spacing w:val="7"/>
                <w:position w:val="6"/>
                <w:sz w:val="13"/>
                <w:szCs w:val="13"/>
              </w:rPr>
              <w:t>3</w:t>
            </w:r>
            <w:r>
              <w:rPr>
                <w:rFonts w:ascii="Times New Roman" w:hAnsi="Times New Roman" w:eastAsia="Times New Roman" w:cs="Times New Roman"/>
                <w:spacing w:val="7"/>
                <w:sz w:val="20"/>
                <w:szCs w:val="20"/>
              </w:rPr>
              <w:t>/</w:t>
            </w:r>
            <w:r>
              <w:rPr>
                <w:rFonts w:ascii="Times New Roman" w:hAnsi="Times New Roman" w:eastAsia="Times New Roman" w:cs="Times New Roman"/>
                <w:sz w:val="20"/>
                <w:szCs w:val="20"/>
              </w:rPr>
              <w:t>a</w:t>
            </w:r>
            <w:r>
              <w:rPr>
                <w:rFonts w:ascii="Times New Roman" w:hAnsi="Times New Roman" w:eastAsia="Times New Roman" w:cs="Times New Roman"/>
                <w:spacing w:val="7"/>
                <w:sz w:val="20"/>
                <w:szCs w:val="20"/>
              </w:rPr>
              <w:t xml:space="preserve"> </w:t>
            </w:r>
            <w:r>
              <w:rPr>
                <w:rFonts w:ascii="宋体" w:hAnsi="宋体" w:eastAsia="宋体" w:cs="宋体"/>
                <w:spacing w:val="7"/>
                <w:sz w:val="20"/>
                <w:szCs w:val="20"/>
              </w:rPr>
              <w:t>)</w:t>
            </w:r>
          </w:p>
        </w:tc>
        <w:tc>
          <w:tcPr>
            <w:tcW w:w="2135" w:type="dxa"/>
            <w:vAlign w:val="top"/>
          </w:tcPr>
          <w:p w14:paraId="3A11195F">
            <w:pPr>
              <w:spacing w:before="13" w:line="281" w:lineRule="exact"/>
              <w:ind w:left="357"/>
              <w:rPr>
                <w:rFonts w:ascii="Times New Roman" w:hAnsi="Times New Roman" w:eastAsia="Times New Roman" w:cs="Times New Roman"/>
                <w:sz w:val="20"/>
                <w:szCs w:val="20"/>
              </w:rPr>
            </w:pPr>
            <w:r>
              <w:rPr>
                <w:rFonts w:ascii="宋体" w:hAnsi="宋体" w:eastAsia="宋体" w:cs="宋体"/>
                <w:spacing w:val="8"/>
                <w:position w:val="2"/>
                <w:sz w:val="20"/>
                <w:szCs w:val="20"/>
              </w:rPr>
              <w:t>产生浓度</w:t>
            </w:r>
            <w:r>
              <w:rPr>
                <w:rFonts w:ascii="Times New Roman" w:hAnsi="Times New Roman" w:eastAsia="Times New Roman" w:cs="Times New Roman"/>
                <w:spacing w:val="8"/>
                <w:position w:val="2"/>
                <w:sz w:val="20"/>
                <w:szCs w:val="20"/>
              </w:rPr>
              <w:t>(</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8"/>
                <w:position w:val="2"/>
                <w:sz w:val="20"/>
                <w:szCs w:val="20"/>
              </w:rPr>
              <w:t>/</w:t>
            </w:r>
            <w:r>
              <w:rPr>
                <w:rFonts w:ascii="Times New Roman" w:hAnsi="Times New Roman" w:eastAsia="Times New Roman" w:cs="Times New Roman"/>
                <w:position w:val="2"/>
                <w:sz w:val="20"/>
                <w:szCs w:val="20"/>
              </w:rPr>
              <w:t>L</w:t>
            </w:r>
            <w:r>
              <w:rPr>
                <w:rFonts w:ascii="Times New Roman" w:hAnsi="Times New Roman" w:eastAsia="Times New Roman" w:cs="Times New Roman"/>
                <w:spacing w:val="7"/>
                <w:position w:val="2"/>
                <w:sz w:val="20"/>
                <w:szCs w:val="20"/>
              </w:rPr>
              <w:t>)</w:t>
            </w:r>
          </w:p>
        </w:tc>
        <w:tc>
          <w:tcPr>
            <w:tcW w:w="1055" w:type="dxa"/>
            <w:vAlign w:val="top"/>
          </w:tcPr>
          <w:p w14:paraId="0C5460D1">
            <w:pPr>
              <w:spacing w:before="89" w:line="195" w:lineRule="auto"/>
              <w:ind w:left="37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50</w:t>
            </w:r>
          </w:p>
        </w:tc>
        <w:tc>
          <w:tcPr>
            <w:tcW w:w="1055" w:type="dxa"/>
            <w:vAlign w:val="top"/>
          </w:tcPr>
          <w:p w14:paraId="4B58E84F">
            <w:pPr>
              <w:spacing w:before="89" w:line="195" w:lineRule="auto"/>
              <w:ind w:left="38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80</w:t>
            </w:r>
            <w:r>
              <w:rPr>
                <w:rFonts w:ascii="Times New Roman" w:hAnsi="Times New Roman" w:eastAsia="Times New Roman" w:cs="Times New Roman"/>
                <w:sz w:val="20"/>
                <w:szCs w:val="20"/>
              </w:rPr>
              <w:t>0</w:t>
            </w:r>
          </w:p>
        </w:tc>
        <w:tc>
          <w:tcPr>
            <w:tcW w:w="1054" w:type="dxa"/>
            <w:vAlign w:val="top"/>
          </w:tcPr>
          <w:p w14:paraId="7DA41090">
            <w:pPr>
              <w:spacing w:before="92" w:line="192" w:lineRule="auto"/>
              <w:ind w:left="482"/>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056" w:type="dxa"/>
            <w:tcBorders>
              <w:right w:val="nil"/>
            </w:tcBorders>
            <w:vAlign w:val="top"/>
          </w:tcPr>
          <w:p w14:paraId="0DA95B2E">
            <w:pPr>
              <w:spacing w:before="89" w:line="195" w:lineRule="auto"/>
              <w:ind w:left="44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8</w:t>
            </w:r>
          </w:p>
        </w:tc>
      </w:tr>
      <w:tr w14:paraId="710D03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7" w:type="dxa"/>
            <w:vMerge w:val="continue"/>
            <w:tcBorders>
              <w:top w:val="nil"/>
              <w:left w:val="nil"/>
            </w:tcBorders>
            <w:vAlign w:val="top"/>
          </w:tcPr>
          <w:p w14:paraId="4E745DA6">
            <w:pPr>
              <w:rPr>
                <w:rFonts w:ascii="Arial"/>
                <w:sz w:val="21"/>
              </w:rPr>
            </w:pPr>
          </w:p>
        </w:tc>
        <w:tc>
          <w:tcPr>
            <w:tcW w:w="2135" w:type="dxa"/>
            <w:vAlign w:val="top"/>
          </w:tcPr>
          <w:p w14:paraId="1AF29ECA">
            <w:pPr>
              <w:spacing w:before="25" w:line="281" w:lineRule="exact"/>
              <w:ind w:left="585"/>
              <w:rPr>
                <w:rFonts w:ascii="Times New Roman" w:hAnsi="Times New Roman" w:eastAsia="Times New Roman" w:cs="Times New Roman"/>
                <w:sz w:val="20"/>
                <w:szCs w:val="20"/>
              </w:rPr>
            </w:pPr>
            <w:r>
              <w:rPr>
                <w:rFonts w:ascii="宋体" w:hAnsi="宋体" w:eastAsia="宋体" w:cs="宋体"/>
                <w:spacing w:val="6"/>
                <w:position w:val="2"/>
                <w:sz w:val="20"/>
                <w:szCs w:val="20"/>
              </w:rPr>
              <w:t>产生量</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a</w:t>
            </w:r>
            <w:r>
              <w:rPr>
                <w:rFonts w:ascii="Times New Roman" w:hAnsi="Times New Roman" w:eastAsia="Times New Roman" w:cs="Times New Roman"/>
                <w:spacing w:val="5"/>
                <w:position w:val="2"/>
                <w:sz w:val="20"/>
                <w:szCs w:val="20"/>
              </w:rPr>
              <w:t>)</w:t>
            </w:r>
          </w:p>
        </w:tc>
        <w:tc>
          <w:tcPr>
            <w:tcW w:w="1055" w:type="dxa"/>
            <w:vAlign w:val="top"/>
          </w:tcPr>
          <w:p w14:paraId="1B285951">
            <w:pPr>
              <w:spacing w:before="101" w:line="195" w:lineRule="auto"/>
              <w:ind w:left="34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.01</w:t>
            </w:r>
          </w:p>
        </w:tc>
        <w:tc>
          <w:tcPr>
            <w:tcW w:w="1055" w:type="dxa"/>
            <w:vAlign w:val="top"/>
          </w:tcPr>
          <w:p w14:paraId="41B058AD">
            <w:pPr>
              <w:spacing w:before="101" w:line="195" w:lineRule="auto"/>
              <w:ind w:left="34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.03</w:t>
            </w:r>
          </w:p>
        </w:tc>
        <w:tc>
          <w:tcPr>
            <w:tcW w:w="1054" w:type="dxa"/>
            <w:vAlign w:val="top"/>
          </w:tcPr>
          <w:p w14:paraId="40F6BA5A">
            <w:pPr>
              <w:spacing w:before="101" w:line="195" w:lineRule="auto"/>
              <w:ind w:left="24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.0001</w:t>
            </w:r>
          </w:p>
        </w:tc>
        <w:tc>
          <w:tcPr>
            <w:tcW w:w="1056" w:type="dxa"/>
            <w:tcBorders>
              <w:right w:val="nil"/>
            </w:tcBorders>
            <w:vAlign w:val="top"/>
          </w:tcPr>
          <w:p w14:paraId="004EAF3F">
            <w:pPr>
              <w:spacing w:before="101" w:line="195" w:lineRule="auto"/>
              <w:ind w:left="29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.001</w:t>
            </w:r>
          </w:p>
        </w:tc>
      </w:tr>
      <w:tr w14:paraId="3ECE8A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97" w:type="dxa"/>
            <w:vMerge w:val="restart"/>
            <w:tcBorders>
              <w:left w:val="nil"/>
              <w:bottom w:val="nil"/>
            </w:tcBorders>
            <w:vAlign w:val="top"/>
          </w:tcPr>
          <w:p w14:paraId="72CFDE68">
            <w:pPr>
              <w:spacing w:before="77" w:line="218" w:lineRule="auto"/>
              <w:ind w:left="59"/>
              <w:rPr>
                <w:rFonts w:ascii="宋体" w:hAnsi="宋体" w:eastAsia="宋体" w:cs="宋体"/>
                <w:sz w:val="20"/>
                <w:szCs w:val="20"/>
              </w:rPr>
            </w:pPr>
            <w:r>
              <w:rPr>
                <w:rFonts w:ascii="宋体" w:hAnsi="宋体" w:eastAsia="宋体" w:cs="宋体"/>
                <w:spacing w:val="9"/>
                <w:sz w:val="20"/>
                <w:szCs w:val="20"/>
              </w:rPr>
              <w:t>初洗及二级清洗废水</w:t>
            </w:r>
          </w:p>
          <w:p w14:paraId="5542C564">
            <w:pPr>
              <w:spacing w:line="281" w:lineRule="exact"/>
              <w:ind w:left="458"/>
              <w:rPr>
                <w:rFonts w:ascii="宋体" w:hAnsi="宋体" w:eastAsia="宋体" w:cs="宋体"/>
                <w:sz w:val="20"/>
                <w:szCs w:val="20"/>
              </w:rPr>
            </w:pPr>
            <w:r>
              <w:rPr>
                <w:rFonts w:ascii="宋体" w:hAnsi="宋体" w:eastAsia="宋体" w:cs="宋体"/>
                <w:spacing w:val="13"/>
                <w:position w:val="1"/>
                <w:sz w:val="20"/>
                <w:szCs w:val="20"/>
              </w:rPr>
              <w:t>(</w:t>
            </w:r>
            <w:r>
              <w:rPr>
                <w:rFonts w:ascii="Times New Roman" w:hAnsi="Times New Roman" w:eastAsia="Times New Roman" w:cs="Times New Roman"/>
                <w:spacing w:val="13"/>
                <w:position w:val="1"/>
                <w:sz w:val="20"/>
                <w:szCs w:val="20"/>
              </w:rPr>
              <w:t>969</w:t>
            </w:r>
            <w:r>
              <w:rPr>
                <w:rFonts w:ascii="Times New Roman" w:hAnsi="Times New Roman" w:eastAsia="Times New Roman" w:cs="Times New Roman"/>
                <w:position w:val="1"/>
                <w:sz w:val="20"/>
                <w:szCs w:val="20"/>
              </w:rPr>
              <w:t>m</w:t>
            </w:r>
            <w:r>
              <w:rPr>
                <w:rFonts w:ascii="Times New Roman" w:hAnsi="Times New Roman" w:eastAsia="Times New Roman" w:cs="Times New Roman"/>
                <w:spacing w:val="13"/>
                <w:position w:val="7"/>
                <w:sz w:val="13"/>
                <w:szCs w:val="13"/>
              </w:rPr>
              <w:t>3</w:t>
            </w:r>
            <w:r>
              <w:rPr>
                <w:rFonts w:ascii="Times New Roman" w:hAnsi="Times New Roman" w:eastAsia="Times New Roman" w:cs="Times New Roman"/>
                <w:spacing w:val="13"/>
                <w:position w:val="1"/>
                <w:sz w:val="20"/>
                <w:szCs w:val="20"/>
              </w:rPr>
              <w:t>/</w:t>
            </w:r>
            <w:r>
              <w:rPr>
                <w:rFonts w:ascii="Times New Roman" w:hAnsi="Times New Roman" w:eastAsia="Times New Roman" w:cs="Times New Roman"/>
                <w:position w:val="1"/>
                <w:sz w:val="20"/>
                <w:szCs w:val="20"/>
              </w:rPr>
              <w:t>a</w:t>
            </w:r>
            <w:r>
              <w:rPr>
                <w:rFonts w:ascii="Times New Roman" w:hAnsi="Times New Roman" w:eastAsia="Times New Roman" w:cs="Times New Roman"/>
                <w:spacing w:val="13"/>
                <w:position w:val="1"/>
                <w:sz w:val="20"/>
                <w:szCs w:val="20"/>
              </w:rPr>
              <w:t xml:space="preserve"> </w:t>
            </w:r>
            <w:r>
              <w:rPr>
                <w:rFonts w:ascii="宋体" w:hAnsi="宋体" w:eastAsia="宋体" w:cs="宋体"/>
                <w:spacing w:val="13"/>
                <w:position w:val="1"/>
                <w:sz w:val="20"/>
                <w:szCs w:val="20"/>
              </w:rPr>
              <w:t>)</w:t>
            </w:r>
          </w:p>
        </w:tc>
        <w:tc>
          <w:tcPr>
            <w:tcW w:w="2135" w:type="dxa"/>
            <w:vAlign w:val="top"/>
          </w:tcPr>
          <w:p w14:paraId="5D2DEB52">
            <w:pPr>
              <w:spacing w:before="15" w:line="281" w:lineRule="exact"/>
              <w:ind w:left="357"/>
              <w:rPr>
                <w:rFonts w:ascii="Times New Roman" w:hAnsi="Times New Roman" w:eastAsia="Times New Roman" w:cs="Times New Roman"/>
                <w:sz w:val="20"/>
                <w:szCs w:val="20"/>
              </w:rPr>
            </w:pPr>
            <w:r>
              <w:rPr>
                <w:rFonts w:ascii="宋体" w:hAnsi="宋体" w:eastAsia="宋体" w:cs="宋体"/>
                <w:spacing w:val="8"/>
                <w:position w:val="2"/>
                <w:sz w:val="20"/>
                <w:szCs w:val="20"/>
              </w:rPr>
              <w:t>产生浓度</w:t>
            </w:r>
            <w:r>
              <w:rPr>
                <w:rFonts w:ascii="Times New Roman" w:hAnsi="Times New Roman" w:eastAsia="Times New Roman" w:cs="Times New Roman"/>
                <w:spacing w:val="8"/>
                <w:position w:val="2"/>
                <w:sz w:val="20"/>
                <w:szCs w:val="20"/>
              </w:rPr>
              <w:t>(</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8"/>
                <w:position w:val="2"/>
                <w:sz w:val="20"/>
                <w:szCs w:val="20"/>
              </w:rPr>
              <w:t>/</w:t>
            </w:r>
            <w:r>
              <w:rPr>
                <w:rFonts w:ascii="Times New Roman" w:hAnsi="Times New Roman" w:eastAsia="Times New Roman" w:cs="Times New Roman"/>
                <w:position w:val="2"/>
                <w:sz w:val="20"/>
                <w:szCs w:val="20"/>
              </w:rPr>
              <w:t>L</w:t>
            </w:r>
            <w:r>
              <w:rPr>
                <w:rFonts w:ascii="Times New Roman" w:hAnsi="Times New Roman" w:eastAsia="Times New Roman" w:cs="Times New Roman"/>
                <w:spacing w:val="7"/>
                <w:position w:val="2"/>
                <w:sz w:val="20"/>
                <w:szCs w:val="20"/>
              </w:rPr>
              <w:t>)</w:t>
            </w:r>
          </w:p>
        </w:tc>
        <w:tc>
          <w:tcPr>
            <w:tcW w:w="1055" w:type="dxa"/>
            <w:vAlign w:val="top"/>
          </w:tcPr>
          <w:p w14:paraId="6884418A">
            <w:pPr>
              <w:spacing w:before="91" w:line="195" w:lineRule="auto"/>
              <w:ind w:left="37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00</w:t>
            </w:r>
          </w:p>
        </w:tc>
        <w:tc>
          <w:tcPr>
            <w:tcW w:w="1055" w:type="dxa"/>
            <w:vAlign w:val="top"/>
          </w:tcPr>
          <w:p w14:paraId="70694F95">
            <w:pPr>
              <w:spacing w:before="91" w:line="195" w:lineRule="auto"/>
              <w:ind w:left="37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00</w:t>
            </w:r>
          </w:p>
        </w:tc>
        <w:tc>
          <w:tcPr>
            <w:tcW w:w="1054" w:type="dxa"/>
            <w:vAlign w:val="top"/>
          </w:tcPr>
          <w:p w14:paraId="56E718C1">
            <w:pPr>
              <w:spacing w:before="94" w:line="192" w:lineRule="auto"/>
              <w:ind w:left="482"/>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056" w:type="dxa"/>
            <w:tcBorders>
              <w:right w:val="nil"/>
            </w:tcBorders>
            <w:vAlign w:val="top"/>
          </w:tcPr>
          <w:p w14:paraId="265B1AE3">
            <w:pPr>
              <w:spacing w:before="91" w:line="195" w:lineRule="auto"/>
              <w:ind w:left="44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8</w:t>
            </w:r>
          </w:p>
        </w:tc>
      </w:tr>
      <w:tr w14:paraId="23D627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97" w:type="dxa"/>
            <w:vMerge w:val="continue"/>
            <w:tcBorders>
              <w:top w:val="nil"/>
              <w:left w:val="nil"/>
            </w:tcBorders>
            <w:vAlign w:val="top"/>
          </w:tcPr>
          <w:p w14:paraId="4B4981D7">
            <w:pPr>
              <w:rPr>
                <w:rFonts w:ascii="Arial"/>
                <w:sz w:val="21"/>
              </w:rPr>
            </w:pPr>
          </w:p>
        </w:tc>
        <w:tc>
          <w:tcPr>
            <w:tcW w:w="2135" w:type="dxa"/>
            <w:vAlign w:val="top"/>
          </w:tcPr>
          <w:p w14:paraId="72C0DDFB">
            <w:pPr>
              <w:spacing w:before="15" w:line="281" w:lineRule="exact"/>
              <w:ind w:left="585"/>
              <w:rPr>
                <w:rFonts w:ascii="Times New Roman" w:hAnsi="Times New Roman" w:eastAsia="Times New Roman" w:cs="Times New Roman"/>
                <w:sz w:val="20"/>
                <w:szCs w:val="20"/>
              </w:rPr>
            </w:pPr>
            <w:r>
              <w:rPr>
                <w:rFonts w:ascii="宋体" w:hAnsi="宋体" w:eastAsia="宋体" w:cs="宋体"/>
                <w:spacing w:val="6"/>
                <w:position w:val="2"/>
                <w:sz w:val="20"/>
                <w:szCs w:val="20"/>
              </w:rPr>
              <w:t>产生量</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a</w:t>
            </w:r>
            <w:r>
              <w:rPr>
                <w:rFonts w:ascii="Times New Roman" w:hAnsi="Times New Roman" w:eastAsia="Times New Roman" w:cs="Times New Roman"/>
                <w:spacing w:val="5"/>
                <w:position w:val="2"/>
                <w:sz w:val="20"/>
                <w:szCs w:val="20"/>
              </w:rPr>
              <w:t>)</w:t>
            </w:r>
          </w:p>
        </w:tc>
        <w:tc>
          <w:tcPr>
            <w:tcW w:w="1055" w:type="dxa"/>
            <w:vAlign w:val="top"/>
          </w:tcPr>
          <w:p w14:paraId="5D7D694B">
            <w:pPr>
              <w:spacing w:before="91" w:line="195" w:lineRule="auto"/>
              <w:ind w:left="34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.29</w:t>
            </w:r>
          </w:p>
        </w:tc>
        <w:tc>
          <w:tcPr>
            <w:tcW w:w="1055" w:type="dxa"/>
            <w:vAlign w:val="top"/>
          </w:tcPr>
          <w:p w14:paraId="1ACD4D91">
            <w:pPr>
              <w:spacing w:before="91" w:line="195" w:lineRule="auto"/>
              <w:ind w:left="34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.30</w:t>
            </w:r>
          </w:p>
        </w:tc>
        <w:tc>
          <w:tcPr>
            <w:tcW w:w="1054" w:type="dxa"/>
            <w:vAlign w:val="top"/>
          </w:tcPr>
          <w:p w14:paraId="5A03D2BE">
            <w:pPr>
              <w:spacing w:before="91" w:line="195" w:lineRule="auto"/>
              <w:ind w:left="29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.005</w:t>
            </w:r>
          </w:p>
        </w:tc>
        <w:tc>
          <w:tcPr>
            <w:tcW w:w="1056" w:type="dxa"/>
            <w:tcBorders>
              <w:right w:val="nil"/>
            </w:tcBorders>
            <w:vAlign w:val="top"/>
          </w:tcPr>
          <w:p w14:paraId="5CFFE5DE">
            <w:pPr>
              <w:spacing w:before="91" w:line="195" w:lineRule="auto"/>
              <w:ind w:left="29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.017</w:t>
            </w:r>
          </w:p>
        </w:tc>
      </w:tr>
      <w:tr w14:paraId="57C7AC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97" w:type="dxa"/>
            <w:vMerge w:val="restart"/>
            <w:tcBorders>
              <w:left w:val="nil"/>
              <w:bottom w:val="nil"/>
            </w:tcBorders>
            <w:vAlign w:val="top"/>
          </w:tcPr>
          <w:p w14:paraId="78258074">
            <w:pPr>
              <w:spacing w:before="79" w:line="216" w:lineRule="auto"/>
              <w:ind w:left="587"/>
              <w:rPr>
                <w:rFonts w:ascii="宋体" w:hAnsi="宋体" w:eastAsia="宋体" w:cs="宋体"/>
                <w:sz w:val="20"/>
                <w:szCs w:val="20"/>
              </w:rPr>
            </w:pPr>
            <w:r>
              <w:rPr>
                <w:rFonts w:ascii="宋体" w:hAnsi="宋体" w:eastAsia="宋体" w:cs="宋体"/>
                <w:spacing w:val="7"/>
                <w:sz w:val="20"/>
                <w:szCs w:val="20"/>
              </w:rPr>
              <w:t>冷却废</w:t>
            </w:r>
            <w:r>
              <w:rPr>
                <w:rFonts w:ascii="宋体" w:hAnsi="宋体" w:eastAsia="宋体" w:cs="宋体"/>
                <w:spacing w:val="6"/>
                <w:sz w:val="20"/>
                <w:szCs w:val="20"/>
              </w:rPr>
              <w:t>水</w:t>
            </w:r>
          </w:p>
          <w:p w14:paraId="4DF53DFD">
            <w:pPr>
              <w:spacing w:line="281" w:lineRule="exact"/>
              <w:ind w:left="458"/>
              <w:rPr>
                <w:rFonts w:ascii="宋体" w:hAnsi="宋体" w:eastAsia="宋体" w:cs="宋体"/>
                <w:sz w:val="20"/>
                <w:szCs w:val="20"/>
              </w:rPr>
            </w:pPr>
            <w:r>
              <w:rPr>
                <w:rFonts w:ascii="宋体" w:hAnsi="宋体" w:eastAsia="宋体" w:cs="宋体"/>
                <w:spacing w:val="13"/>
                <w:position w:val="1"/>
                <w:sz w:val="20"/>
                <w:szCs w:val="20"/>
              </w:rPr>
              <w:t>(</w:t>
            </w:r>
            <w:r>
              <w:rPr>
                <w:rFonts w:ascii="Times New Roman" w:hAnsi="Times New Roman" w:eastAsia="Times New Roman" w:cs="Times New Roman"/>
                <w:spacing w:val="13"/>
                <w:position w:val="1"/>
                <w:sz w:val="20"/>
                <w:szCs w:val="20"/>
              </w:rPr>
              <w:t>324</w:t>
            </w:r>
            <w:r>
              <w:rPr>
                <w:rFonts w:ascii="Times New Roman" w:hAnsi="Times New Roman" w:eastAsia="Times New Roman" w:cs="Times New Roman"/>
                <w:position w:val="1"/>
                <w:sz w:val="20"/>
                <w:szCs w:val="20"/>
              </w:rPr>
              <w:t>m</w:t>
            </w:r>
            <w:r>
              <w:rPr>
                <w:rFonts w:ascii="Times New Roman" w:hAnsi="Times New Roman" w:eastAsia="Times New Roman" w:cs="Times New Roman"/>
                <w:spacing w:val="13"/>
                <w:position w:val="7"/>
                <w:sz w:val="13"/>
                <w:szCs w:val="13"/>
              </w:rPr>
              <w:t>3</w:t>
            </w:r>
            <w:r>
              <w:rPr>
                <w:rFonts w:ascii="Times New Roman" w:hAnsi="Times New Roman" w:eastAsia="Times New Roman" w:cs="Times New Roman"/>
                <w:spacing w:val="13"/>
                <w:position w:val="1"/>
                <w:sz w:val="20"/>
                <w:szCs w:val="20"/>
              </w:rPr>
              <w:t>/</w:t>
            </w:r>
            <w:r>
              <w:rPr>
                <w:rFonts w:ascii="Times New Roman" w:hAnsi="Times New Roman" w:eastAsia="Times New Roman" w:cs="Times New Roman"/>
                <w:position w:val="1"/>
                <w:sz w:val="20"/>
                <w:szCs w:val="20"/>
              </w:rPr>
              <w:t>a</w:t>
            </w:r>
            <w:r>
              <w:rPr>
                <w:rFonts w:ascii="Times New Roman" w:hAnsi="Times New Roman" w:eastAsia="Times New Roman" w:cs="Times New Roman"/>
                <w:spacing w:val="13"/>
                <w:position w:val="1"/>
                <w:sz w:val="20"/>
                <w:szCs w:val="20"/>
              </w:rPr>
              <w:t xml:space="preserve"> </w:t>
            </w:r>
            <w:r>
              <w:rPr>
                <w:rFonts w:ascii="宋体" w:hAnsi="宋体" w:eastAsia="宋体" w:cs="宋体"/>
                <w:spacing w:val="13"/>
                <w:position w:val="1"/>
                <w:sz w:val="20"/>
                <w:szCs w:val="20"/>
              </w:rPr>
              <w:t>)</w:t>
            </w:r>
          </w:p>
        </w:tc>
        <w:tc>
          <w:tcPr>
            <w:tcW w:w="2135" w:type="dxa"/>
            <w:vAlign w:val="top"/>
          </w:tcPr>
          <w:p w14:paraId="130E045E">
            <w:pPr>
              <w:spacing w:before="15" w:line="281" w:lineRule="exact"/>
              <w:ind w:left="357"/>
              <w:rPr>
                <w:rFonts w:ascii="Times New Roman" w:hAnsi="Times New Roman" w:eastAsia="Times New Roman" w:cs="Times New Roman"/>
                <w:sz w:val="20"/>
                <w:szCs w:val="20"/>
              </w:rPr>
            </w:pPr>
            <w:r>
              <w:rPr>
                <w:rFonts w:ascii="宋体" w:hAnsi="宋体" w:eastAsia="宋体" w:cs="宋体"/>
                <w:spacing w:val="8"/>
                <w:position w:val="2"/>
                <w:sz w:val="20"/>
                <w:szCs w:val="20"/>
              </w:rPr>
              <w:t>产生浓度</w:t>
            </w:r>
            <w:r>
              <w:rPr>
                <w:rFonts w:ascii="Times New Roman" w:hAnsi="Times New Roman" w:eastAsia="Times New Roman" w:cs="Times New Roman"/>
                <w:spacing w:val="8"/>
                <w:position w:val="2"/>
                <w:sz w:val="20"/>
                <w:szCs w:val="20"/>
              </w:rPr>
              <w:t>(</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8"/>
                <w:position w:val="2"/>
                <w:sz w:val="20"/>
                <w:szCs w:val="20"/>
              </w:rPr>
              <w:t>/</w:t>
            </w:r>
            <w:r>
              <w:rPr>
                <w:rFonts w:ascii="Times New Roman" w:hAnsi="Times New Roman" w:eastAsia="Times New Roman" w:cs="Times New Roman"/>
                <w:position w:val="2"/>
                <w:sz w:val="20"/>
                <w:szCs w:val="20"/>
              </w:rPr>
              <w:t>L</w:t>
            </w:r>
            <w:r>
              <w:rPr>
                <w:rFonts w:ascii="Times New Roman" w:hAnsi="Times New Roman" w:eastAsia="Times New Roman" w:cs="Times New Roman"/>
                <w:spacing w:val="7"/>
                <w:position w:val="2"/>
                <w:sz w:val="20"/>
                <w:szCs w:val="20"/>
              </w:rPr>
              <w:t>)</w:t>
            </w:r>
          </w:p>
        </w:tc>
        <w:tc>
          <w:tcPr>
            <w:tcW w:w="1055" w:type="dxa"/>
            <w:vAlign w:val="top"/>
          </w:tcPr>
          <w:p w14:paraId="11193236">
            <w:pPr>
              <w:spacing w:before="91" w:line="195" w:lineRule="auto"/>
              <w:ind w:left="37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00</w:t>
            </w:r>
          </w:p>
        </w:tc>
        <w:tc>
          <w:tcPr>
            <w:tcW w:w="1055" w:type="dxa"/>
            <w:vAlign w:val="top"/>
          </w:tcPr>
          <w:p w14:paraId="19B38B38">
            <w:pPr>
              <w:spacing w:before="91" w:line="195" w:lineRule="auto"/>
              <w:ind w:left="372"/>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00</w:t>
            </w:r>
          </w:p>
        </w:tc>
        <w:tc>
          <w:tcPr>
            <w:tcW w:w="1054" w:type="dxa"/>
            <w:vAlign w:val="top"/>
          </w:tcPr>
          <w:p w14:paraId="28A191FE">
            <w:pPr>
              <w:spacing w:before="94" w:line="192" w:lineRule="auto"/>
              <w:ind w:left="482"/>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056" w:type="dxa"/>
            <w:tcBorders>
              <w:right w:val="nil"/>
            </w:tcBorders>
            <w:vAlign w:val="top"/>
          </w:tcPr>
          <w:p w14:paraId="324E8607">
            <w:pPr>
              <w:spacing w:before="91" w:line="195" w:lineRule="auto"/>
              <w:ind w:left="44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8</w:t>
            </w:r>
          </w:p>
        </w:tc>
      </w:tr>
      <w:tr w14:paraId="5F63F5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97" w:type="dxa"/>
            <w:vMerge w:val="continue"/>
            <w:tcBorders>
              <w:top w:val="nil"/>
              <w:left w:val="nil"/>
            </w:tcBorders>
            <w:vAlign w:val="top"/>
          </w:tcPr>
          <w:p w14:paraId="129AEDD9">
            <w:pPr>
              <w:rPr>
                <w:rFonts w:ascii="Arial"/>
                <w:sz w:val="21"/>
              </w:rPr>
            </w:pPr>
          </w:p>
        </w:tc>
        <w:tc>
          <w:tcPr>
            <w:tcW w:w="2135" w:type="dxa"/>
            <w:vAlign w:val="top"/>
          </w:tcPr>
          <w:p w14:paraId="089E7A5E">
            <w:pPr>
              <w:spacing w:before="17" w:line="281" w:lineRule="exact"/>
              <w:ind w:left="585"/>
              <w:rPr>
                <w:rFonts w:ascii="Times New Roman" w:hAnsi="Times New Roman" w:eastAsia="Times New Roman" w:cs="Times New Roman"/>
                <w:sz w:val="20"/>
                <w:szCs w:val="20"/>
              </w:rPr>
            </w:pPr>
            <w:r>
              <w:rPr>
                <w:rFonts w:ascii="宋体" w:hAnsi="宋体" w:eastAsia="宋体" w:cs="宋体"/>
                <w:spacing w:val="6"/>
                <w:position w:val="2"/>
                <w:sz w:val="20"/>
                <w:szCs w:val="20"/>
              </w:rPr>
              <w:t>产生量</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a</w:t>
            </w:r>
            <w:r>
              <w:rPr>
                <w:rFonts w:ascii="Times New Roman" w:hAnsi="Times New Roman" w:eastAsia="Times New Roman" w:cs="Times New Roman"/>
                <w:spacing w:val="5"/>
                <w:position w:val="2"/>
                <w:sz w:val="20"/>
                <w:szCs w:val="20"/>
              </w:rPr>
              <w:t>)</w:t>
            </w:r>
          </w:p>
        </w:tc>
        <w:tc>
          <w:tcPr>
            <w:tcW w:w="1055" w:type="dxa"/>
            <w:vAlign w:val="top"/>
          </w:tcPr>
          <w:p w14:paraId="1B694C25">
            <w:pPr>
              <w:spacing w:before="91" w:line="195" w:lineRule="auto"/>
              <w:ind w:left="34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0. 10</w:t>
            </w:r>
          </w:p>
        </w:tc>
        <w:tc>
          <w:tcPr>
            <w:tcW w:w="1055" w:type="dxa"/>
            <w:vAlign w:val="top"/>
          </w:tcPr>
          <w:p w14:paraId="7A93B6C5">
            <w:pPr>
              <w:spacing w:before="91" w:line="195" w:lineRule="auto"/>
              <w:ind w:left="34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.06</w:t>
            </w:r>
          </w:p>
        </w:tc>
        <w:tc>
          <w:tcPr>
            <w:tcW w:w="1054" w:type="dxa"/>
            <w:vAlign w:val="top"/>
          </w:tcPr>
          <w:p w14:paraId="52BC0A87">
            <w:pPr>
              <w:spacing w:before="91" w:line="195" w:lineRule="auto"/>
              <w:ind w:left="29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.002</w:t>
            </w:r>
          </w:p>
        </w:tc>
        <w:tc>
          <w:tcPr>
            <w:tcW w:w="1056" w:type="dxa"/>
            <w:tcBorders>
              <w:right w:val="nil"/>
            </w:tcBorders>
            <w:vAlign w:val="top"/>
          </w:tcPr>
          <w:p w14:paraId="3B4688C6">
            <w:pPr>
              <w:spacing w:before="91" w:line="195" w:lineRule="auto"/>
              <w:ind w:left="29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.006</w:t>
            </w:r>
          </w:p>
        </w:tc>
      </w:tr>
      <w:tr w14:paraId="70B71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97" w:type="dxa"/>
            <w:vMerge w:val="restart"/>
            <w:tcBorders>
              <w:left w:val="nil"/>
              <w:bottom w:val="nil"/>
            </w:tcBorders>
            <w:vAlign w:val="top"/>
          </w:tcPr>
          <w:p w14:paraId="1BF6B2E4">
            <w:pPr>
              <w:spacing w:before="78" w:line="259" w:lineRule="auto"/>
              <w:ind w:left="274" w:right="273" w:firstLine="313"/>
              <w:rPr>
                <w:rFonts w:ascii="宋体" w:hAnsi="宋体" w:eastAsia="宋体" w:cs="宋体"/>
                <w:sz w:val="20"/>
                <w:szCs w:val="20"/>
              </w:rPr>
            </w:pPr>
            <w:r>
              <w:rPr>
                <w:rFonts w:ascii="宋体" w:hAnsi="宋体" w:eastAsia="宋体" w:cs="宋体"/>
                <w:spacing w:val="7"/>
                <w:sz w:val="20"/>
                <w:szCs w:val="20"/>
              </w:rPr>
              <w:t>污水总</w:t>
            </w:r>
            <w:r>
              <w:rPr>
                <w:rFonts w:ascii="宋体" w:hAnsi="宋体" w:eastAsia="宋体" w:cs="宋体"/>
                <w:spacing w:val="6"/>
                <w:sz w:val="20"/>
                <w:szCs w:val="20"/>
              </w:rPr>
              <w:t>量</w:t>
            </w:r>
            <w:r>
              <w:rPr>
                <w:rFonts w:ascii="宋体" w:hAnsi="宋体" w:eastAsia="宋体" w:cs="宋体"/>
                <w:sz w:val="20"/>
                <w:szCs w:val="20"/>
              </w:rPr>
              <w:t xml:space="preserve">   </w:t>
            </w:r>
            <w:r>
              <w:rPr>
                <w:rFonts w:ascii="宋体" w:hAnsi="宋体" w:eastAsia="宋体" w:cs="宋体"/>
                <w:spacing w:val="7"/>
                <w:sz w:val="20"/>
                <w:szCs w:val="20"/>
              </w:rPr>
              <w:t>(</w:t>
            </w:r>
            <w:r>
              <w:rPr>
                <w:rFonts w:ascii="Times New Roman" w:hAnsi="Times New Roman" w:eastAsia="Times New Roman" w:cs="Times New Roman"/>
                <w:spacing w:val="7"/>
                <w:sz w:val="20"/>
                <w:szCs w:val="20"/>
              </w:rPr>
              <w:t>1523.52</w:t>
            </w:r>
            <w:r>
              <w:rPr>
                <w:rFonts w:ascii="Times New Roman" w:hAnsi="Times New Roman" w:eastAsia="Times New Roman" w:cs="Times New Roman"/>
                <w:sz w:val="20"/>
                <w:szCs w:val="20"/>
              </w:rPr>
              <w:t>m</w:t>
            </w:r>
            <w:r>
              <w:rPr>
                <w:rFonts w:ascii="Times New Roman" w:hAnsi="Times New Roman" w:eastAsia="Times New Roman" w:cs="Times New Roman"/>
                <w:spacing w:val="7"/>
                <w:position w:val="6"/>
                <w:sz w:val="13"/>
                <w:szCs w:val="13"/>
              </w:rPr>
              <w:t>3</w:t>
            </w:r>
            <w:r>
              <w:rPr>
                <w:rFonts w:ascii="Times New Roman" w:hAnsi="Times New Roman" w:eastAsia="Times New Roman" w:cs="Times New Roman"/>
                <w:spacing w:val="7"/>
                <w:sz w:val="20"/>
                <w:szCs w:val="20"/>
              </w:rPr>
              <w:t>/</w:t>
            </w:r>
            <w:r>
              <w:rPr>
                <w:rFonts w:ascii="Times New Roman" w:hAnsi="Times New Roman" w:eastAsia="Times New Roman" w:cs="Times New Roman"/>
                <w:sz w:val="20"/>
                <w:szCs w:val="20"/>
              </w:rPr>
              <w:t>a</w:t>
            </w:r>
            <w:r>
              <w:rPr>
                <w:rFonts w:ascii="Times New Roman" w:hAnsi="Times New Roman" w:eastAsia="Times New Roman" w:cs="Times New Roman"/>
                <w:spacing w:val="7"/>
                <w:sz w:val="20"/>
                <w:szCs w:val="20"/>
              </w:rPr>
              <w:t xml:space="preserve"> </w:t>
            </w:r>
            <w:r>
              <w:rPr>
                <w:rFonts w:ascii="宋体" w:hAnsi="宋体" w:eastAsia="宋体" w:cs="宋体"/>
                <w:spacing w:val="4"/>
                <w:sz w:val="20"/>
                <w:szCs w:val="20"/>
              </w:rPr>
              <w:t>)</w:t>
            </w:r>
          </w:p>
        </w:tc>
        <w:tc>
          <w:tcPr>
            <w:tcW w:w="2135" w:type="dxa"/>
            <w:vAlign w:val="top"/>
          </w:tcPr>
          <w:p w14:paraId="3EABC7AF">
            <w:pPr>
              <w:spacing w:before="17" w:line="281" w:lineRule="exact"/>
              <w:ind w:left="357"/>
              <w:rPr>
                <w:rFonts w:ascii="Times New Roman" w:hAnsi="Times New Roman" w:eastAsia="Times New Roman" w:cs="Times New Roman"/>
                <w:sz w:val="20"/>
                <w:szCs w:val="20"/>
              </w:rPr>
            </w:pPr>
            <w:r>
              <w:rPr>
                <w:rFonts w:ascii="宋体" w:hAnsi="宋体" w:eastAsia="宋体" w:cs="宋体"/>
                <w:spacing w:val="8"/>
                <w:position w:val="2"/>
                <w:sz w:val="20"/>
                <w:szCs w:val="20"/>
              </w:rPr>
              <w:t>产生浓度</w:t>
            </w:r>
            <w:r>
              <w:rPr>
                <w:rFonts w:ascii="Times New Roman" w:hAnsi="Times New Roman" w:eastAsia="Times New Roman" w:cs="Times New Roman"/>
                <w:spacing w:val="8"/>
                <w:position w:val="2"/>
                <w:sz w:val="20"/>
                <w:szCs w:val="20"/>
              </w:rPr>
              <w:t>(</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8"/>
                <w:position w:val="2"/>
                <w:sz w:val="20"/>
                <w:szCs w:val="20"/>
              </w:rPr>
              <w:t>/</w:t>
            </w:r>
            <w:r>
              <w:rPr>
                <w:rFonts w:ascii="Times New Roman" w:hAnsi="Times New Roman" w:eastAsia="Times New Roman" w:cs="Times New Roman"/>
                <w:position w:val="2"/>
                <w:sz w:val="20"/>
                <w:szCs w:val="20"/>
              </w:rPr>
              <w:t>L</w:t>
            </w:r>
            <w:r>
              <w:rPr>
                <w:rFonts w:ascii="Times New Roman" w:hAnsi="Times New Roman" w:eastAsia="Times New Roman" w:cs="Times New Roman"/>
                <w:spacing w:val="7"/>
                <w:position w:val="2"/>
                <w:sz w:val="20"/>
                <w:szCs w:val="20"/>
              </w:rPr>
              <w:t>)</w:t>
            </w:r>
          </w:p>
        </w:tc>
        <w:tc>
          <w:tcPr>
            <w:tcW w:w="1055" w:type="dxa"/>
            <w:vAlign w:val="top"/>
          </w:tcPr>
          <w:p w14:paraId="579D0AF4">
            <w:pPr>
              <w:spacing w:before="93" w:line="195" w:lineRule="auto"/>
              <w:ind w:left="37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00</w:t>
            </w:r>
          </w:p>
        </w:tc>
        <w:tc>
          <w:tcPr>
            <w:tcW w:w="1055" w:type="dxa"/>
            <w:vAlign w:val="top"/>
          </w:tcPr>
          <w:p w14:paraId="193317DD">
            <w:pPr>
              <w:spacing w:before="93" w:line="195" w:lineRule="auto"/>
              <w:ind w:left="37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20</w:t>
            </w:r>
          </w:p>
        </w:tc>
        <w:tc>
          <w:tcPr>
            <w:tcW w:w="1054" w:type="dxa"/>
            <w:vAlign w:val="top"/>
          </w:tcPr>
          <w:p w14:paraId="39C4D3EA">
            <w:pPr>
              <w:spacing w:before="96" w:line="192" w:lineRule="auto"/>
              <w:ind w:left="482"/>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056" w:type="dxa"/>
            <w:tcBorders>
              <w:right w:val="nil"/>
            </w:tcBorders>
            <w:vAlign w:val="top"/>
          </w:tcPr>
          <w:p w14:paraId="03E58E30">
            <w:pPr>
              <w:spacing w:before="93" w:line="195" w:lineRule="auto"/>
              <w:ind w:left="44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8</w:t>
            </w:r>
          </w:p>
        </w:tc>
      </w:tr>
      <w:tr w14:paraId="590334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997" w:type="dxa"/>
            <w:vMerge w:val="continue"/>
            <w:tcBorders>
              <w:top w:val="nil"/>
              <w:left w:val="nil"/>
            </w:tcBorders>
            <w:vAlign w:val="top"/>
          </w:tcPr>
          <w:p w14:paraId="10FB8ADE">
            <w:pPr>
              <w:rPr>
                <w:rFonts w:ascii="Arial"/>
                <w:sz w:val="21"/>
              </w:rPr>
            </w:pPr>
          </w:p>
        </w:tc>
        <w:tc>
          <w:tcPr>
            <w:tcW w:w="2135" w:type="dxa"/>
            <w:vAlign w:val="top"/>
          </w:tcPr>
          <w:p w14:paraId="62750C8C">
            <w:pPr>
              <w:spacing w:before="18" w:line="281" w:lineRule="exact"/>
              <w:ind w:left="585"/>
              <w:rPr>
                <w:rFonts w:ascii="Times New Roman" w:hAnsi="Times New Roman" w:eastAsia="Times New Roman" w:cs="Times New Roman"/>
                <w:sz w:val="20"/>
                <w:szCs w:val="20"/>
              </w:rPr>
            </w:pPr>
            <w:r>
              <w:rPr>
                <w:rFonts w:ascii="宋体" w:hAnsi="宋体" w:eastAsia="宋体" w:cs="宋体"/>
                <w:spacing w:val="6"/>
                <w:position w:val="2"/>
                <w:sz w:val="20"/>
                <w:szCs w:val="20"/>
              </w:rPr>
              <w:t>产生量</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a</w:t>
            </w:r>
            <w:r>
              <w:rPr>
                <w:rFonts w:ascii="Times New Roman" w:hAnsi="Times New Roman" w:eastAsia="Times New Roman" w:cs="Times New Roman"/>
                <w:spacing w:val="5"/>
                <w:position w:val="2"/>
                <w:sz w:val="20"/>
                <w:szCs w:val="20"/>
              </w:rPr>
              <w:t>)</w:t>
            </w:r>
          </w:p>
        </w:tc>
        <w:tc>
          <w:tcPr>
            <w:tcW w:w="1055" w:type="dxa"/>
            <w:vAlign w:val="top"/>
          </w:tcPr>
          <w:p w14:paraId="7905864E">
            <w:pPr>
              <w:spacing w:before="94" w:line="195" w:lineRule="auto"/>
              <w:ind w:left="34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.46</w:t>
            </w:r>
          </w:p>
        </w:tc>
        <w:tc>
          <w:tcPr>
            <w:tcW w:w="1055" w:type="dxa"/>
            <w:vAlign w:val="top"/>
          </w:tcPr>
          <w:p w14:paraId="247DC4E6">
            <w:pPr>
              <w:spacing w:before="94" w:line="195" w:lineRule="auto"/>
              <w:ind w:left="34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.49</w:t>
            </w:r>
          </w:p>
        </w:tc>
        <w:tc>
          <w:tcPr>
            <w:tcW w:w="1054" w:type="dxa"/>
            <w:vAlign w:val="top"/>
          </w:tcPr>
          <w:p w14:paraId="3C6B3DD9">
            <w:pPr>
              <w:spacing w:before="94" w:line="195" w:lineRule="auto"/>
              <w:ind w:left="29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.008</w:t>
            </w:r>
          </w:p>
        </w:tc>
        <w:tc>
          <w:tcPr>
            <w:tcW w:w="1056" w:type="dxa"/>
            <w:tcBorders>
              <w:right w:val="nil"/>
            </w:tcBorders>
            <w:vAlign w:val="top"/>
          </w:tcPr>
          <w:p w14:paraId="4EA746C8">
            <w:pPr>
              <w:spacing w:before="94" w:line="195" w:lineRule="auto"/>
              <w:ind w:left="34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.03</w:t>
            </w:r>
          </w:p>
        </w:tc>
      </w:tr>
    </w:tbl>
    <w:p w14:paraId="251FAB34">
      <w:pPr>
        <w:rPr>
          <w:rFonts w:ascii="Arial"/>
          <w:sz w:val="21"/>
        </w:rPr>
      </w:pPr>
    </w:p>
    <w:p w14:paraId="348B3B2B">
      <w:pPr>
        <w:sectPr>
          <w:headerReference r:id="rId221" w:type="default"/>
          <w:footerReference r:id="rId222" w:type="default"/>
          <w:pgSz w:w="11906" w:h="16839"/>
          <w:pgMar w:top="1132" w:right="1719" w:bottom="1182" w:left="1777" w:header="878" w:footer="1022" w:gutter="0"/>
          <w:cols w:space="720" w:num="1"/>
        </w:sectPr>
      </w:pPr>
    </w:p>
    <w:p w14:paraId="21B78DA0">
      <w:r>
        <w:pict>
          <v:rect id="_x0000_s1272" o:spid="_x0000_s1272" o:spt="1" style="position:absolute;left:0pt;margin-left:90pt;margin-top:57.35pt;height:0.75pt;width:415.3pt;mso-position-horizontal-relative:page;mso-position-vertical-relative:page;z-index:251927552;mso-width-relative:page;mso-height-relative:page;" fillcolor="#000000" filled="t" stroked="f" coordsize="21600,21600" o:allowincell="f">
            <v:path/>
            <v:fill on="t" focussize="0,0"/>
            <v:stroke on="f"/>
            <v:imagedata o:title=""/>
            <o:lock v:ext="edit"/>
          </v:rect>
        </w:pict>
      </w:r>
    </w:p>
    <w:p w14:paraId="3BAFBA82">
      <w:pPr>
        <w:spacing w:line="65" w:lineRule="exact"/>
      </w:pPr>
    </w:p>
    <w:tbl>
      <w:tblPr>
        <w:tblStyle w:val="4"/>
        <w:tblW w:w="835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97"/>
        <w:gridCol w:w="2135"/>
        <w:gridCol w:w="1055"/>
        <w:gridCol w:w="1055"/>
        <w:gridCol w:w="1054"/>
        <w:gridCol w:w="1055"/>
      </w:tblGrid>
      <w:tr w14:paraId="4B9568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997" w:type="dxa"/>
            <w:vMerge w:val="restart"/>
            <w:tcBorders>
              <w:left w:val="nil"/>
              <w:bottom w:val="nil"/>
            </w:tcBorders>
            <w:vAlign w:val="top"/>
          </w:tcPr>
          <w:p w14:paraId="7E729B1D">
            <w:pPr>
              <w:spacing w:before="79" w:line="259" w:lineRule="auto"/>
              <w:ind w:left="274" w:right="273" w:firstLine="313"/>
              <w:rPr>
                <w:rFonts w:ascii="宋体" w:hAnsi="宋体" w:eastAsia="宋体" w:cs="宋体"/>
                <w:sz w:val="20"/>
                <w:szCs w:val="20"/>
              </w:rPr>
            </w:pPr>
            <w:r>
              <w:rPr>
                <w:rFonts w:ascii="宋体" w:hAnsi="宋体" w:eastAsia="宋体" w:cs="宋体"/>
                <w:spacing w:val="7"/>
                <w:sz w:val="20"/>
                <w:szCs w:val="20"/>
              </w:rPr>
              <w:t>污水总</w:t>
            </w:r>
            <w:r>
              <w:rPr>
                <w:rFonts w:ascii="宋体" w:hAnsi="宋体" w:eastAsia="宋体" w:cs="宋体"/>
                <w:spacing w:val="6"/>
                <w:sz w:val="20"/>
                <w:szCs w:val="20"/>
              </w:rPr>
              <w:t>量</w:t>
            </w:r>
            <w:r>
              <w:rPr>
                <w:rFonts w:ascii="宋体" w:hAnsi="宋体" w:eastAsia="宋体" w:cs="宋体"/>
                <w:sz w:val="20"/>
                <w:szCs w:val="20"/>
              </w:rPr>
              <w:t xml:space="preserve">   </w:t>
            </w:r>
            <w:r>
              <w:rPr>
                <w:rFonts w:ascii="宋体" w:hAnsi="宋体" w:eastAsia="宋体" w:cs="宋体"/>
                <w:spacing w:val="7"/>
                <w:sz w:val="20"/>
                <w:szCs w:val="20"/>
              </w:rPr>
              <w:t>(</w:t>
            </w:r>
            <w:r>
              <w:rPr>
                <w:rFonts w:ascii="Times New Roman" w:hAnsi="Times New Roman" w:eastAsia="Times New Roman" w:cs="Times New Roman"/>
                <w:spacing w:val="7"/>
                <w:sz w:val="20"/>
                <w:szCs w:val="20"/>
              </w:rPr>
              <w:t>1523.52</w:t>
            </w:r>
            <w:r>
              <w:rPr>
                <w:rFonts w:ascii="Times New Roman" w:hAnsi="Times New Roman" w:eastAsia="Times New Roman" w:cs="Times New Roman"/>
                <w:sz w:val="20"/>
                <w:szCs w:val="20"/>
              </w:rPr>
              <w:t>m</w:t>
            </w:r>
            <w:r>
              <w:rPr>
                <w:rFonts w:ascii="Times New Roman" w:hAnsi="Times New Roman" w:eastAsia="Times New Roman" w:cs="Times New Roman"/>
                <w:spacing w:val="7"/>
                <w:position w:val="6"/>
                <w:sz w:val="13"/>
                <w:szCs w:val="13"/>
              </w:rPr>
              <w:t>3</w:t>
            </w:r>
            <w:r>
              <w:rPr>
                <w:rFonts w:ascii="Times New Roman" w:hAnsi="Times New Roman" w:eastAsia="Times New Roman" w:cs="Times New Roman"/>
                <w:spacing w:val="7"/>
                <w:sz w:val="20"/>
                <w:szCs w:val="20"/>
              </w:rPr>
              <w:t>/</w:t>
            </w:r>
            <w:r>
              <w:rPr>
                <w:rFonts w:ascii="Times New Roman" w:hAnsi="Times New Roman" w:eastAsia="Times New Roman" w:cs="Times New Roman"/>
                <w:sz w:val="20"/>
                <w:szCs w:val="20"/>
              </w:rPr>
              <w:t>a</w:t>
            </w:r>
            <w:r>
              <w:rPr>
                <w:rFonts w:ascii="Times New Roman" w:hAnsi="Times New Roman" w:eastAsia="Times New Roman" w:cs="Times New Roman"/>
                <w:spacing w:val="7"/>
                <w:sz w:val="20"/>
                <w:szCs w:val="20"/>
              </w:rPr>
              <w:t xml:space="preserve"> </w:t>
            </w:r>
            <w:r>
              <w:rPr>
                <w:rFonts w:ascii="宋体" w:hAnsi="宋体" w:eastAsia="宋体" w:cs="宋体"/>
                <w:spacing w:val="4"/>
                <w:sz w:val="20"/>
                <w:szCs w:val="20"/>
              </w:rPr>
              <w:t>)</w:t>
            </w:r>
          </w:p>
        </w:tc>
        <w:tc>
          <w:tcPr>
            <w:tcW w:w="2135" w:type="dxa"/>
            <w:vAlign w:val="top"/>
          </w:tcPr>
          <w:p w14:paraId="0AB6230A">
            <w:pPr>
              <w:spacing w:before="18" w:line="281" w:lineRule="exact"/>
              <w:ind w:left="215"/>
              <w:rPr>
                <w:rFonts w:ascii="宋体" w:hAnsi="宋体" w:eastAsia="宋体" w:cs="宋体"/>
                <w:sz w:val="20"/>
                <w:szCs w:val="20"/>
              </w:rPr>
            </w:pPr>
            <w:r>
              <w:rPr>
                <w:rFonts w:ascii="宋体" w:hAnsi="宋体" w:eastAsia="宋体" w:cs="宋体"/>
                <w:spacing w:val="12"/>
                <w:position w:val="2"/>
                <w:sz w:val="20"/>
                <w:szCs w:val="20"/>
              </w:rPr>
              <w:t>排</w:t>
            </w:r>
            <w:r>
              <w:rPr>
                <w:rFonts w:ascii="宋体" w:hAnsi="宋体" w:eastAsia="宋体" w:cs="宋体"/>
                <w:spacing w:val="7"/>
                <w:position w:val="2"/>
                <w:sz w:val="20"/>
                <w:szCs w:val="20"/>
              </w:rPr>
              <w:t>放浓度 (</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7"/>
                <w:position w:val="2"/>
                <w:sz w:val="20"/>
                <w:szCs w:val="20"/>
              </w:rPr>
              <w:t>/</w:t>
            </w:r>
            <w:r>
              <w:rPr>
                <w:rFonts w:ascii="Times New Roman" w:hAnsi="Times New Roman" w:eastAsia="Times New Roman" w:cs="Times New Roman"/>
                <w:position w:val="2"/>
                <w:sz w:val="20"/>
                <w:szCs w:val="20"/>
              </w:rPr>
              <w:t>L</w:t>
            </w:r>
            <w:r>
              <w:rPr>
                <w:rFonts w:ascii="宋体" w:hAnsi="宋体" w:eastAsia="宋体" w:cs="宋体"/>
                <w:spacing w:val="7"/>
                <w:position w:val="2"/>
                <w:sz w:val="20"/>
                <w:szCs w:val="20"/>
              </w:rPr>
              <w:t>)</w:t>
            </w:r>
          </w:p>
        </w:tc>
        <w:tc>
          <w:tcPr>
            <w:tcW w:w="1055" w:type="dxa"/>
            <w:vAlign w:val="top"/>
          </w:tcPr>
          <w:p w14:paraId="7AD23172">
            <w:pPr>
              <w:spacing w:before="92" w:line="195" w:lineRule="auto"/>
              <w:ind w:left="39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150</w:t>
            </w:r>
          </w:p>
        </w:tc>
        <w:tc>
          <w:tcPr>
            <w:tcW w:w="1055" w:type="dxa"/>
            <w:vAlign w:val="top"/>
          </w:tcPr>
          <w:p w14:paraId="1F76454E">
            <w:pPr>
              <w:spacing w:before="92" w:line="195" w:lineRule="auto"/>
              <w:ind w:left="42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0</w:t>
            </w:r>
          </w:p>
        </w:tc>
        <w:tc>
          <w:tcPr>
            <w:tcW w:w="1054" w:type="dxa"/>
            <w:vAlign w:val="top"/>
          </w:tcPr>
          <w:p w14:paraId="5A465AE3">
            <w:pPr>
              <w:spacing w:before="95" w:line="192" w:lineRule="auto"/>
              <w:ind w:left="482"/>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055" w:type="dxa"/>
            <w:tcBorders>
              <w:right w:val="nil"/>
            </w:tcBorders>
            <w:vAlign w:val="top"/>
          </w:tcPr>
          <w:p w14:paraId="7007FD92">
            <w:pPr>
              <w:spacing w:before="92" w:line="195" w:lineRule="auto"/>
              <w:ind w:left="44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7</w:t>
            </w:r>
          </w:p>
        </w:tc>
      </w:tr>
      <w:tr w14:paraId="01EB7A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97" w:type="dxa"/>
            <w:vMerge w:val="continue"/>
            <w:tcBorders>
              <w:top w:val="nil"/>
              <w:left w:val="nil"/>
            </w:tcBorders>
            <w:vAlign w:val="top"/>
          </w:tcPr>
          <w:p w14:paraId="36A68979">
            <w:pPr>
              <w:rPr>
                <w:rFonts w:ascii="Arial"/>
                <w:sz w:val="21"/>
              </w:rPr>
            </w:pPr>
          </w:p>
        </w:tc>
        <w:tc>
          <w:tcPr>
            <w:tcW w:w="2135" w:type="dxa"/>
            <w:vAlign w:val="top"/>
          </w:tcPr>
          <w:p w14:paraId="787F707A">
            <w:pPr>
              <w:spacing w:before="15" w:line="281" w:lineRule="exact"/>
              <w:ind w:left="443"/>
              <w:rPr>
                <w:rFonts w:ascii="宋体" w:hAnsi="宋体" w:eastAsia="宋体" w:cs="宋体"/>
                <w:sz w:val="20"/>
                <w:szCs w:val="20"/>
              </w:rPr>
            </w:pPr>
            <w:r>
              <w:rPr>
                <w:rFonts w:ascii="宋体" w:hAnsi="宋体" w:eastAsia="宋体" w:cs="宋体"/>
                <w:spacing w:val="4"/>
                <w:position w:val="1"/>
                <w:sz w:val="20"/>
                <w:szCs w:val="20"/>
              </w:rPr>
              <w:t>排放</w:t>
            </w:r>
            <w:r>
              <w:rPr>
                <w:rFonts w:ascii="宋体" w:hAnsi="宋体" w:eastAsia="宋体" w:cs="宋体"/>
                <w:spacing w:val="3"/>
                <w:position w:val="1"/>
                <w:sz w:val="20"/>
                <w:szCs w:val="20"/>
              </w:rPr>
              <w:t>量</w:t>
            </w:r>
            <w:r>
              <w:rPr>
                <w:rFonts w:ascii="宋体" w:hAnsi="宋体" w:eastAsia="宋体" w:cs="宋体"/>
                <w:spacing w:val="2"/>
                <w:position w:val="1"/>
                <w:sz w:val="20"/>
                <w:szCs w:val="20"/>
              </w:rPr>
              <w:t xml:space="preserve"> (</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2"/>
                <w:position w:val="1"/>
                <w:sz w:val="20"/>
                <w:szCs w:val="20"/>
              </w:rPr>
              <w:t>/</w:t>
            </w:r>
            <w:r>
              <w:rPr>
                <w:rFonts w:ascii="Times New Roman" w:hAnsi="Times New Roman" w:eastAsia="Times New Roman" w:cs="Times New Roman"/>
                <w:position w:val="1"/>
                <w:sz w:val="20"/>
                <w:szCs w:val="20"/>
              </w:rPr>
              <w:t>a</w:t>
            </w:r>
            <w:r>
              <w:rPr>
                <w:rFonts w:ascii="Times New Roman" w:hAnsi="Times New Roman" w:eastAsia="Times New Roman" w:cs="Times New Roman"/>
                <w:spacing w:val="2"/>
                <w:position w:val="1"/>
                <w:sz w:val="20"/>
                <w:szCs w:val="20"/>
              </w:rPr>
              <w:t xml:space="preserve"> </w:t>
            </w:r>
            <w:r>
              <w:rPr>
                <w:rFonts w:ascii="宋体" w:hAnsi="宋体" w:eastAsia="宋体" w:cs="宋体"/>
                <w:spacing w:val="2"/>
                <w:position w:val="1"/>
                <w:sz w:val="20"/>
                <w:szCs w:val="20"/>
              </w:rPr>
              <w:t>)</w:t>
            </w:r>
          </w:p>
        </w:tc>
        <w:tc>
          <w:tcPr>
            <w:tcW w:w="1055" w:type="dxa"/>
            <w:vAlign w:val="top"/>
          </w:tcPr>
          <w:p w14:paraId="1ADB11DE">
            <w:pPr>
              <w:spacing w:before="91" w:line="195" w:lineRule="auto"/>
              <w:ind w:left="34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.23</w:t>
            </w:r>
          </w:p>
        </w:tc>
        <w:tc>
          <w:tcPr>
            <w:tcW w:w="1055" w:type="dxa"/>
            <w:vAlign w:val="top"/>
          </w:tcPr>
          <w:p w14:paraId="1E15F0BD">
            <w:pPr>
              <w:spacing w:before="91" w:line="195" w:lineRule="auto"/>
              <w:ind w:left="34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.05</w:t>
            </w:r>
          </w:p>
        </w:tc>
        <w:tc>
          <w:tcPr>
            <w:tcW w:w="1054" w:type="dxa"/>
            <w:vAlign w:val="top"/>
          </w:tcPr>
          <w:p w14:paraId="5F38518D">
            <w:pPr>
              <w:spacing w:before="91" w:line="195" w:lineRule="auto"/>
              <w:ind w:left="29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.008</w:t>
            </w:r>
          </w:p>
        </w:tc>
        <w:tc>
          <w:tcPr>
            <w:tcW w:w="1055" w:type="dxa"/>
            <w:tcBorders>
              <w:right w:val="nil"/>
            </w:tcBorders>
            <w:vAlign w:val="top"/>
          </w:tcPr>
          <w:p w14:paraId="3CD9D601">
            <w:pPr>
              <w:spacing w:before="91" w:line="195" w:lineRule="auto"/>
              <w:ind w:left="34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
                <w:sz w:val="20"/>
                <w:szCs w:val="20"/>
              </w:rPr>
              <w:t>.03</w:t>
            </w:r>
          </w:p>
        </w:tc>
      </w:tr>
      <w:tr w14:paraId="3BA882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2" w:hRule="atLeast"/>
        </w:trPr>
        <w:tc>
          <w:tcPr>
            <w:tcW w:w="4132" w:type="dxa"/>
            <w:gridSpan w:val="2"/>
            <w:tcBorders>
              <w:left w:val="nil"/>
            </w:tcBorders>
            <w:vAlign w:val="top"/>
          </w:tcPr>
          <w:p w14:paraId="2F975522">
            <w:pPr>
              <w:spacing w:before="255" w:line="301" w:lineRule="auto"/>
              <w:ind w:left="1651" w:right="82" w:hanging="1571"/>
              <w:rPr>
                <w:rFonts w:ascii="宋体" w:hAnsi="宋体" w:eastAsia="宋体" w:cs="宋体"/>
                <w:sz w:val="20"/>
                <w:szCs w:val="20"/>
              </w:rPr>
            </w:pPr>
            <w:r>
              <w:rPr>
                <w:rFonts w:ascii="宋体" w:hAnsi="宋体" w:eastAsia="宋体" w:cs="宋体"/>
                <w:spacing w:val="16"/>
                <w:sz w:val="20"/>
                <w:szCs w:val="20"/>
              </w:rPr>
              <w:t>污</w:t>
            </w:r>
            <w:r>
              <w:rPr>
                <w:rFonts w:ascii="宋体" w:hAnsi="宋体" w:eastAsia="宋体" w:cs="宋体"/>
                <w:spacing w:val="14"/>
                <w:sz w:val="20"/>
                <w:szCs w:val="20"/>
              </w:rPr>
              <w:t>水</w:t>
            </w:r>
            <w:r>
              <w:rPr>
                <w:rFonts w:ascii="宋体" w:hAnsi="宋体" w:eastAsia="宋体" w:cs="宋体"/>
                <w:spacing w:val="8"/>
                <w:sz w:val="20"/>
                <w:szCs w:val="20"/>
              </w:rPr>
              <w:t>排放执行《辽宁省污水综合排放标准》</w:t>
            </w:r>
            <w:r>
              <w:rPr>
                <w:rFonts w:ascii="宋体" w:hAnsi="宋体" w:eastAsia="宋体" w:cs="宋体"/>
                <w:sz w:val="20"/>
                <w:szCs w:val="20"/>
              </w:rPr>
              <w:t xml:space="preserve"> </w:t>
            </w:r>
            <w:r>
              <w:rPr>
                <w:rFonts w:ascii="宋体" w:hAnsi="宋体" w:eastAsia="宋体" w:cs="宋体"/>
                <w:spacing w:val="-5"/>
                <w:sz w:val="20"/>
                <w:szCs w:val="20"/>
              </w:rPr>
              <w:t>表</w:t>
            </w:r>
            <w:r>
              <w:rPr>
                <w:rFonts w:ascii="宋体" w:hAnsi="宋体" w:eastAsia="宋体" w:cs="宋体"/>
                <w:spacing w:val="-3"/>
                <w:sz w:val="20"/>
                <w:szCs w:val="20"/>
              </w:rPr>
              <w:t xml:space="preserve"> </w:t>
            </w:r>
            <w:r>
              <w:rPr>
                <w:rFonts w:ascii="Times New Roman" w:hAnsi="Times New Roman" w:eastAsia="Times New Roman" w:cs="Times New Roman"/>
                <w:spacing w:val="-3"/>
                <w:sz w:val="20"/>
                <w:szCs w:val="20"/>
              </w:rPr>
              <w:t xml:space="preserve">2 </w:t>
            </w:r>
            <w:r>
              <w:rPr>
                <w:rFonts w:ascii="宋体" w:hAnsi="宋体" w:eastAsia="宋体" w:cs="宋体"/>
                <w:spacing w:val="-3"/>
                <w:sz w:val="20"/>
                <w:szCs w:val="20"/>
              </w:rPr>
              <w:t>标准</w:t>
            </w:r>
          </w:p>
        </w:tc>
        <w:tc>
          <w:tcPr>
            <w:tcW w:w="1055" w:type="dxa"/>
            <w:vAlign w:val="top"/>
          </w:tcPr>
          <w:p w14:paraId="5785092D">
            <w:pPr>
              <w:spacing w:line="387" w:lineRule="auto"/>
              <w:rPr>
                <w:rFonts w:ascii="Arial"/>
                <w:sz w:val="21"/>
              </w:rPr>
            </w:pPr>
          </w:p>
          <w:p w14:paraId="29A1DC86">
            <w:pPr>
              <w:spacing w:before="57" w:line="195" w:lineRule="auto"/>
              <w:ind w:left="37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00</w:t>
            </w:r>
          </w:p>
        </w:tc>
        <w:tc>
          <w:tcPr>
            <w:tcW w:w="1055" w:type="dxa"/>
            <w:vAlign w:val="top"/>
          </w:tcPr>
          <w:p w14:paraId="75FA6E8C">
            <w:pPr>
              <w:spacing w:line="387" w:lineRule="auto"/>
              <w:rPr>
                <w:rFonts w:ascii="Arial"/>
                <w:sz w:val="21"/>
              </w:rPr>
            </w:pPr>
          </w:p>
          <w:p w14:paraId="60648D08">
            <w:pPr>
              <w:spacing w:before="57" w:line="195" w:lineRule="auto"/>
              <w:ind w:left="37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00</w:t>
            </w:r>
          </w:p>
        </w:tc>
        <w:tc>
          <w:tcPr>
            <w:tcW w:w="1054" w:type="dxa"/>
            <w:vAlign w:val="top"/>
          </w:tcPr>
          <w:p w14:paraId="5F6F5330">
            <w:pPr>
              <w:spacing w:line="387" w:lineRule="auto"/>
              <w:rPr>
                <w:rFonts w:ascii="Arial"/>
                <w:sz w:val="21"/>
              </w:rPr>
            </w:pPr>
          </w:p>
          <w:p w14:paraId="511B6E1C">
            <w:pPr>
              <w:spacing w:before="57" w:line="195" w:lineRule="auto"/>
              <w:ind w:left="4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0</w:t>
            </w:r>
          </w:p>
        </w:tc>
        <w:tc>
          <w:tcPr>
            <w:tcW w:w="1055" w:type="dxa"/>
            <w:tcBorders>
              <w:right w:val="nil"/>
            </w:tcBorders>
            <w:vAlign w:val="top"/>
          </w:tcPr>
          <w:p w14:paraId="7532E792">
            <w:pPr>
              <w:spacing w:line="387" w:lineRule="auto"/>
              <w:rPr>
                <w:rFonts w:ascii="Arial"/>
                <w:sz w:val="21"/>
              </w:rPr>
            </w:pPr>
          </w:p>
          <w:p w14:paraId="5E77E19B">
            <w:pPr>
              <w:spacing w:before="57" w:line="195" w:lineRule="auto"/>
              <w:ind w:left="42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0</w:t>
            </w:r>
          </w:p>
        </w:tc>
      </w:tr>
    </w:tbl>
    <w:p w14:paraId="74A7BB68">
      <w:pPr>
        <w:spacing w:line="259" w:lineRule="auto"/>
        <w:rPr>
          <w:rFonts w:ascii="Arial"/>
          <w:sz w:val="21"/>
        </w:rPr>
      </w:pPr>
    </w:p>
    <w:p w14:paraId="2CECC2B1">
      <w:pPr>
        <w:spacing w:before="75" w:line="379" w:lineRule="auto"/>
        <w:ind w:left="33" w:right="51" w:firstLine="481"/>
        <w:rPr>
          <w:rFonts w:ascii="宋体" w:hAnsi="宋体" w:eastAsia="宋体" w:cs="宋体"/>
          <w:sz w:val="23"/>
          <w:szCs w:val="23"/>
        </w:rPr>
      </w:pPr>
      <w:r>
        <w:rPr>
          <w:rFonts w:ascii="宋体" w:hAnsi="宋体" w:eastAsia="宋体" w:cs="宋体"/>
          <w:spacing w:val="10"/>
          <w:sz w:val="23"/>
          <w:szCs w:val="23"/>
        </w:rPr>
        <w:t>从处理效</w:t>
      </w:r>
      <w:r>
        <w:rPr>
          <w:rFonts w:ascii="宋体" w:hAnsi="宋体" w:eastAsia="宋体" w:cs="宋体"/>
          <w:spacing w:val="7"/>
          <w:sz w:val="23"/>
          <w:szCs w:val="23"/>
        </w:rPr>
        <w:t>果</w:t>
      </w:r>
      <w:r>
        <w:rPr>
          <w:rFonts w:ascii="宋体" w:hAnsi="宋体" w:eastAsia="宋体" w:cs="宋体"/>
          <w:spacing w:val="5"/>
          <w:sz w:val="23"/>
          <w:szCs w:val="23"/>
        </w:rPr>
        <w:t xml:space="preserve">上可以看出，采取上述方法处理后的废水中 </w:t>
      </w:r>
      <w:r>
        <w:rPr>
          <w:rFonts w:ascii="Times New Roman" w:hAnsi="Times New Roman" w:eastAsia="Times New Roman" w:cs="Times New Roman"/>
          <w:sz w:val="23"/>
          <w:szCs w:val="23"/>
        </w:rPr>
        <w:t>COD</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rPr>
        <w:t>、</w:t>
      </w:r>
      <w:r>
        <w:rPr>
          <w:rFonts w:ascii="Times New Roman" w:hAnsi="Times New Roman" w:eastAsia="Times New Roman" w:cs="Times New Roman"/>
          <w:sz w:val="23"/>
          <w:szCs w:val="23"/>
        </w:rPr>
        <w:t>SS</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rPr>
        <w:t>、氨氮、</w:t>
      </w:r>
      <w:r>
        <w:rPr>
          <w:rFonts w:ascii="宋体" w:hAnsi="宋体" w:eastAsia="宋体" w:cs="宋体"/>
          <w:sz w:val="23"/>
          <w:szCs w:val="23"/>
        </w:rPr>
        <w:t xml:space="preserve"> </w:t>
      </w:r>
      <w:r>
        <w:rPr>
          <w:rFonts w:ascii="宋体" w:hAnsi="宋体" w:eastAsia="宋体" w:cs="宋体"/>
          <w:spacing w:val="3"/>
          <w:sz w:val="23"/>
          <w:szCs w:val="23"/>
        </w:rPr>
        <w:t>石油类可以达到《辽宁省污水综合排放标准》 (</w:t>
      </w:r>
      <w:r>
        <w:rPr>
          <w:rFonts w:ascii="Times New Roman" w:hAnsi="Times New Roman" w:eastAsia="Times New Roman" w:cs="Times New Roman"/>
          <w:sz w:val="23"/>
          <w:szCs w:val="23"/>
        </w:rPr>
        <w:t>DB</w:t>
      </w:r>
      <w:r>
        <w:rPr>
          <w:rFonts w:ascii="Times New Roman" w:hAnsi="Times New Roman" w:eastAsia="Times New Roman" w:cs="Times New Roman"/>
          <w:spacing w:val="3"/>
          <w:sz w:val="23"/>
          <w:szCs w:val="23"/>
        </w:rPr>
        <w:t>21/ 1627-2008</w:t>
      </w:r>
      <w:r>
        <w:rPr>
          <w:rFonts w:ascii="宋体" w:hAnsi="宋体" w:eastAsia="宋体" w:cs="宋体"/>
          <w:spacing w:val="3"/>
          <w:sz w:val="23"/>
          <w:szCs w:val="23"/>
        </w:rPr>
        <w:t xml:space="preserve">) 表 </w:t>
      </w:r>
      <w:r>
        <w:rPr>
          <w:rFonts w:ascii="Times New Roman" w:hAnsi="Times New Roman" w:eastAsia="Times New Roman" w:cs="Times New Roman"/>
          <w:spacing w:val="3"/>
          <w:sz w:val="23"/>
          <w:szCs w:val="23"/>
        </w:rPr>
        <w:t xml:space="preserve">2 </w:t>
      </w:r>
      <w:r>
        <w:rPr>
          <w:rFonts w:ascii="宋体" w:hAnsi="宋体" w:eastAsia="宋体" w:cs="宋体"/>
          <w:spacing w:val="3"/>
          <w:sz w:val="23"/>
          <w:szCs w:val="23"/>
        </w:rPr>
        <w:t>中标准</w:t>
      </w:r>
      <w:r>
        <w:rPr>
          <w:rFonts w:ascii="宋体" w:hAnsi="宋体" w:eastAsia="宋体" w:cs="宋体"/>
          <w:spacing w:val="1"/>
          <w:sz w:val="23"/>
          <w:szCs w:val="23"/>
        </w:rPr>
        <w:t>要</w:t>
      </w:r>
      <w:r>
        <w:rPr>
          <w:rFonts w:ascii="宋体" w:hAnsi="宋体" w:eastAsia="宋体" w:cs="宋体"/>
          <w:sz w:val="23"/>
          <w:szCs w:val="23"/>
        </w:rPr>
        <w:t xml:space="preserve"> </w:t>
      </w:r>
      <w:r>
        <w:rPr>
          <w:rFonts w:ascii="宋体" w:hAnsi="宋体" w:eastAsia="宋体" w:cs="宋体"/>
          <w:spacing w:val="8"/>
          <w:sz w:val="23"/>
          <w:szCs w:val="23"/>
        </w:rPr>
        <w:t xml:space="preserve">求，即 </w:t>
      </w:r>
      <w:r>
        <w:rPr>
          <w:rFonts w:ascii="Times New Roman" w:hAnsi="Times New Roman" w:eastAsia="Times New Roman" w:cs="Times New Roman"/>
          <w:sz w:val="23"/>
          <w:szCs w:val="23"/>
        </w:rPr>
        <w:t>COD</w:t>
      </w:r>
      <w:r>
        <w:rPr>
          <w:rFonts w:ascii="宋体" w:hAnsi="宋体" w:eastAsia="宋体" w:cs="宋体"/>
          <w:spacing w:val="8"/>
          <w:sz w:val="23"/>
          <w:szCs w:val="23"/>
        </w:rPr>
        <w:t>：</w:t>
      </w:r>
      <w:r>
        <w:rPr>
          <w:rFonts w:ascii="Times New Roman" w:hAnsi="Times New Roman" w:eastAsia="Times New Roman" w:cs="Times New Roman"/>
          <w:spacing w:val="6"/>
          <w:sz w:val="23"/>
          <w:szCs w:val="23"/>
        </w:rPr>
        <w:t>3</w:t>
      </w:r>
      <w:r>
        <w:rPr>
          <w:rFonts w:ascii="Times New Roman" w:hAnsi="Times New Roman" w:eastAsia="Times New Roman" w:cs="Times New Roman"/>
          <w:spacing w:val="4"/>
          <w:sz w:val="23"/>
          <w:szCs w:val="23"/>
        </w:rPr>
        <w:t>00</w:t>
      </w:r>
      <w:r>
        <w:rPr>
          <w:rFonts w:ascii="Times New Roman" w:hAnsi="Times New Roman" w:eastAsia="Times New Roman" w:cs="Times New Roman"/>
          <w:sz w:val="23"/>
          <w:szCs w:val="23"/>
        </w:rPr>
        <w:t>mg</w:t>
      </w:r>
      <w:r>
        <w:rPr>
          <w:rFonts w:ascii="Times New Roman" w:hAnsi="Times New Roman" w:eastAsia="Times New Roman" w:cs="Times New Roman"/>
          <w:spacing w:val="4"/>
          <w:sz w:val="23"/>
          <w:szCs w:val="23"/>
        </w:rPr>
        <w:t>/</w:t>
      </w:r>
      <w:r>
        <w:rPr>
          <w:rFonts w:ascii="Times New Roman" w:hAnsi="Times New Roman" w:eastAsia="Times New Roman" w:cs="Times New Roman"/>
          <w:sz w:val="23"/>
          <w:szCs w:val="23"/>
        </w:rPr>
        <w:t>L</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w:t>
      </w:r>
      <w:r>
        <w:rPr>
          <w:rFonts w:ascii="Times New Roman" w:hAnsi="Times New Roman" w:eastAsia="Times New Roman" w:cs="Times New Roman"/>
          <w:sz w:val="23"/>
          <w:szCs w:val="23"/>
        </w:rPr>
        <w:t>SS</w:t>
      </w:r>
      <w:r>
        <w:rPr>
          <w:rFonts w:ascii="宋体" w:hAnsi="宋体" w:eastAsia="宋体" w:cs="宋体"/>
          <w:spacing w:val="4"/>
          <w:sz w:val="23"/>
          <w:szCs w:val="23"/>
        </w:rPr>
        <w:t>：</w:t>
      </w:r>
      <w:r>
        <w:rPr>
          <w:rFonts w:ascii="Times New Roman" w:hAnsi="Times New Roman" w:eastAsia="Times New Roman" w:cs="Times New Roman"/>
          <w:spacing w:val="4"/>
          <w:sz w:val="23"/>
          <w:szCs w:val="23"/>
        </w:rPr>
        <w:t>300</w:t>
      </w:r>
      <w:r>
        <w:rPr>
          <w:rFonts w:ascii="Times New Roman" w:hAnsi="Times New Roman" w:eastAsia="Times New Roman" w:cs="Times New Roman"/>
          <w:sz w:val="23"/>
          <w:szCs w:val="23"/>
        </w:rPr>
        <w:t>mg</w:t>
      </w:r>
      <w:r>
        <w:rPr>
          <w:rFonts w:ascii="Times New Roman" w:hAnsi="Times New Roman" w:eastAsia="Times New Roman" w:cs="Times New Roman"/>
          <w:spacing w:val="4"/>
          <w:sz w:val="23"/>
          <w:szCs w:val="23"/>
        </w:rPr>
        <w:t>/</w:t>
      </w:r>
      <w:r>
        <w:rPr>
          <w:rFonts w:ascii="Times New Roman" w:hAnsi="Times New Roman" w:eastAsia="Times New Roman" w:cs="Times New Roman"/>
          <w:sz w:val="23"/>
          <w:szCs w:val="23"/>
        </w:rPr>
        <w:t>L</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、氨氮：</w:t>
      </w:r>
      <w:r>
        <w:rPr>
          <w:rFonts w:ascii="Times New Roman" w:hAnsi="Times New Roman" w:eastAsia="Times New Roman" w:cs="Times New Roman"/>
          <w:spacing w:val="4"/>
          <w:sz w:val="23"/>
          <w:szCs w:val="23"/>
        </w:rPr>
        <w:t>30</w:t>
      </w:r>
      <w:r>
        <w:rPr>
          <w:rFonts w:ascii="Times New Roman" w:hAnsi="Times New Roman" w:eastAsia="Times New Roman" w:cs="Times New Roman"/>
          <w:sz w:val="23"/>
          <w:szCs w:val="23"/>
        </w:rPr>
        <w:t>mg</w:t>
      </w:r>
      <w:r>
        <w:rPr>
          <w:rFonts w:ascii="Times New Roman" w:hAnsi="Times New Roman" w:eastAsia="Times New Roman" w:cs="Times New Roman"/>
          <w:spacing w:val="4"/>
          <w:sz w:val="23"/>
          <w:szCs w:val="23"/>
        </w:rPr>
        <w:t>/</w:t>
      </w:r>
      <w:r>
        <w:rPr>
          <w:rFonts w:ascii="Times New Roman" w:hAnsi="Times New Roman" w:eastAsia="Times New Roman" w:cs="Times New Roman"/>
          <w:sz w:val="23"/>
          <w:szCs w:val="23"/>
        </w:rPr>
        <w:t>L</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、石油类：</w:t>
      </w:r>
      <w:r>
        <w:rPr>
          <w:rFonts w:ascii="Times New Roman" w:hAnsi="Times New Roman" w:eastAsia="Times New Roman" w:cs="Times New Roman"/>
          <w:spacing w:val="4"/>
          <w:sz w:val="23"/>
          <w:szCs w:val="23"/>
        </w:rPr>
        <w:t>20</w:t>
      </w:r>
      <w:r>
        <w:rPr>
          <w:rFonts w:ascii="Times New Roman" w:hAnsi="Times New Roman" w:eastAsia="Times New Roman" w:cs="Times New Roman"/>
          <w:sz w:val="23"/>
          <w:szCs w:val="23"/>
        </w:rPr>
        <w:t>mg</w:t>
      </w:r>
      <w:r>
        <w:rPr>
          <w:rFonts w:ascii="Times New Roman" w:hAnsi="Times New Roman" w:eastAsia="Times New Roman" w:cs="Times New Roman"/>
          <w:spacing w:val="4"/>
          <w:sz w:val="23"/>
          <w:szCs w:val="23"/>
        </w:rPr>
        <w:t>/</w:t>
      </w:r>
      <w:r>
        <w:rPr>
          <w:rFonts w:ascii="Times New Roman" w:hAnsi="Times New Roman" w:eastAsia="Times New Roman" w:cs="Times New Roman"/>
          <w:sz w:val="23"/>
          <w:szCs w:val="23"/>
        </w:rPr>
        <w:t>L</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，可</w:t>
      </w:r>
      <w:r>
        <w:rPr>
          <w:rFonts w:ascii="宋体" w:hAnsi="宋体" w:eastAsia="宋体" w:cs="宋体"/>
          <w:sz w:val="23"/>
          <w:szCs w:val="23"/>
        </w:rPr>
        <w:t xml:space="preserve"> </w:t>
      </w:r>
      <w:r>
        <w:rPr>
          <w:rFonts w:ascii="宋体" w:hAnsi="宋体" w:eastAsia="宋体" w:cs="宋体"/>
          <w:spacing w:val="9"/>
          <w:sz w:val="23"/>
          <w:szCs w:val="23"/>
        </w:rPr>
        <w:t>以做到达标排放。因此对地表水影响较小</w:t>
      </w:r>
      <w:r>
        <w:rPr>
          <w:rFonts w:ascii="宋体" w:hAnsi="宋体" w:eastAsia="宋体" w:cs="宋体"/>
          <w:spacing w:val="7"/>
          <w:sz w:val="23"/>
          <w:szCs w:val="23"/>
        </w:rPr>
        <w:t>。</w:t>
      </w:r>
    </w:p>
    <w:p w14:paraId="015805B9">
      <w:pPr>
        <w:spacing w:before="161" w:line="227" w:lineRule="auto"/>
        <w:ind w:left="603"/>
        <w:rPr>
          <w:rFonts w:ascii="宋体" w:hAnsi="宋体" w:eastAsia="宋体" w:cs="宋体"/>
          <w:sz w:val="23"/>
          <w:szCs w:val="23"/>
        </w:rPr>
      </w:pPr>
      <w:r>
        <w:rPr>
          <w:rFonts w:ascii="宋体" w:hAnsi="宋体" w:eastAsia="宋体" w:cs="宋体"/>
          <w:spacing w:val="20"/>
          <w:sz w:val="23"/>
          <w:szCs w:val="23"/>
          <w14:textOutline w14:w="4358" w14:cap="sq" w14:cmpd="sng">
            <w14:solidFill>
              <w14:srgbClr w14:val="000000"/>
            </w14:solidFill>
            <w14:prstDash w14:val="solid"/>
            <w14:bevel/>
          </w14:textOutline>
        </w:rPr>
        <w:t>(</w:t>
      </w:r>
      <w:r>
        <w:rPr>
          <w:rFonts w:ascii="Times New Roman" w:hAnsi="Times New Roman" w:eastAsia="Times New Roman" w:cs="Times New Roman"/>
          <w:b/>
          <w:bCs/>
          <w:spacing w:val="16"/>
          <w:sz w:val="23"/>
          <w:szCs w:val="23"/>
        </w:rPr>
        <w:t>2</w:t>
      </w:r>
      <w:r>
        <w:rPr>
          <w:rFonts w:ascii="宋体" w:hAnsi="宋体" w:eastAsia="宋体" w:cs="宋体"/>
          <w:spacing w:val="16"/>
          <w:sz w:val="23"/>
          <w:szCs w:val="23"/>
          <w14:textOutline w14:w="4358" w14:cap="sq" w14:cmpd="sng">
            <w14:solidFill>
              <w14:srgbClr w14:val="000000"/>
            </w14:solidFill>
            <w14:prstDash w14:val="solid"/>
            <w14:bevel/>
          </w14:textOutline>
        </w:rPr>
        <w:t>)</w:t>
      </w:r>
      <w:r>
        <w:rPr>
          <w:rFonts w:ascii="宋体" w:hAnsi="宋体" w:eastAsia="宋体" w:cs="宋体"/>
          <w:spacing w:val="16"/>
          <w:sz w:val="23"/>
          <w:szCs w:val="23"/>
        </w:rPr>
        <w:t xml:space="preserve"> </w:t>
      </w:r>
      <w:r>
        <w:rPr>
          <w:rFonts w:ascii="宋体" w:hAnsi="宋体" w:eastAsia="宋体" w:cs="宋体"/>
          <w:spacing w:val="16"/>
          <w:sz w:val="23"/>
          <w:szCs w:val="23"/>
          <w14:textOutline w14:w="4358" w14:cap="sq" w14:cmpd="sng">
            <w14:solidFill>
              <w14:srgbClr w14:val="000000"/>
            </w14:solidFill>
            <w14:prstDash w14:val="solid"/>
            <w14:bevel/>
          </w14:textOutline>
        </w:rPr>
        <w:t>污水处理厂依托可行性</w:t>
      </w:r>
    </w:p>
    <w:p w14:paraId="78E58D3A">
      <w:pPr>
        <w:spacing w:line="248" w:lineRule="auto"/>
        <w:rPr>
          <w:rFonts w:ascii="Arial"/>
          <w:sz w:val="21"/>
        </w:rPr>
      </w:pPr>
    </w:p>
    <w:p w14:paraId="778EBB89">
      <w:pPr>
        <w:spacing w:before="75" w:line="357" w:lineRule="auto"/>
        <w:ind w:left="33" w:right="61" w:firstLine="559"/>
        <w:rPr>
          <w:rFonts w:ascii="宋体" w:hAnsi="宋体" w:eastAsia="宋体" w:cs="宋体"/>
          <w:sz w:val="23"/>
          <w:szCs w:val="23"/>
        </w:rPr>
      </w:pPr>
      <w:r>
        <w:rPr>
          <w:rFonts w:ascii="宋体" w:hAnsi="宋体" w:eastAsia="宋体" w:cs="宋体"/>
          <w:spacing w:val="-1"/>
          <w:sz w:val="23"/>
          <w:szCs w:val="23"/>
        </w:rPr>
        <w:t xml:space="preserve">本溪市科态污水处理有限责任公司建设规模为日处理能力 </w:t>
      </w:r>
      <w:r>
        <w:rPr>
          <w:rFonts w:ascii="Times New Roman" w:hAnsi="Times New Roman" w:eastAsia="Times New Roman" w:cs="Times New Roman"/>
          <w:sz w:val="23"/>
          <w:szCs w:val="23"/>
        </w:rPr>
        <w:t xml:space="preserve">30 </w:t>
      </w:r>
      <w:r>
        <w:rPr>
          <w:rFonts w:ascii="宋体" w:hAnsi="宋体" w:eastAsia="宋体" w:cs="宋体"/>
          <w:sz w:val="23"/>
          <w:szCs w:val="23"/>
        </w:rPr>
        <w:t xml:space="preserve">万吨，采用预处 </w:t>
      </w:r>
      <w:r>
        <w:rPr>
          <w:rFonts w:ascii="宋体" w:hAnsi="宋体" w:eastAsia="宋体" w:cs="宋体"/>
          <w:spacing w:val="-1"/>
          <w:sz w:val="23"/>
          <w:szCs w:val="23"/>
        </w:rPr>
        <w:t>理</w:t>
      </w:r>
      <w:r>
        <w:rPr>
          <w:rFonts w:ascii="Times New Roman" w:hAnsi="Times New Roman" w:eastAsia="Times New Roman" w:cs="Times New Roman"/>
          <w:sz w:val="23"/>
          <w:szCs w:val="23"/>
        </w:rPr>
        <w:t>+A2/O+</w:t>
      </w:r>
      <w:r>
        <w:rPr>
          <w:rFonts w:ascii="宋体" w:hAnsi="宋体" w:eastAsia="宋体" w:cs="宋体"/>
          <w:sz w:val="23"/>
          <w:szCs w:val="23"/>
        </w:rPr>
        <w:t xml:space="preserve">深化处理工艺，年运行 </w:t>
      </w:r>
      <w:r>
        <w:rPr>
          <w:rFonts w:ascii="Times New Roman" w:hAnsi="Times New Roman" w:eastAsia="Times New Roman" w:cs="Times New Roman"/>
          <w:sz w:val="23"/>
          <w:szCs w:val="23"/>
        </w:rPr>
        <w:t xml:space="preserve">365 </w:t>
      </w:r>
      <w:r>
        <w:rPr>
          <w:rFonts w:ascii="宋体" w:hAnsi="宋体" w:eastAsia="宋体" w:cs="宋体"/>
          <w:sz w:val="23"/>
          <w:szCs w:val="23"/>
        </w:rPr>
        <w:t xml:space="preserve">天，出水指标为一级 </w:t>
      </w:r>
      <w:r>
        <w:rPr>
          <w:rFonts w:ascii="Times New Roman" w:hAnsi="Times New Roman" w:eastAsia="Times New Roman" w:cs="Times New Roman"/>
          <w:sz w:val="23"/>
          <w:szCs w:val="23"/>
        </w:rPr>
        <w:t xml:space="preserve">A </w:t>
      </w:r>
      <w:r>
        <w:rPr>
          <w:rFonts w:ascii="宋体" w:hAnsi="宋体" w:eastAsia="宋体" w:cs="宋体"/>
          <w:sz w:val="23"/>
          <w:szCs w:val="23"/>
        </w:rPr>
        <w:t xml:space="preserve">处理标准，  目前， </w:t>
      </w:r>
      <w:r>
        <w:rPr>
          <w:rFonts w:ascii="宋体" w:hAnsi="宋体" w:eastAsia="宋体" w:cs="宋体"/>
          <w:spacing w:val="2"/>
          <w:sz w:val="23"/>
          <w:szCs w:val="23"/>
        </w:rPr>
        <w:t xml:space="preserve">本溪市科态污水处理有限责任公司设备已于 </w:t>
      </w:r>
      <w:r>
        <w:rPr>
          <w:rFonts w:ascii="Times New Roman" w:hAnsi="Times New Roman" w:eastAsia="Times New Roman" w:cs="Times New Roman"/>
          <w:spacing w:val="2"/>
          <w:sz w:val="23"/>
          <w:szCs w:val="23"/>
        </w:rPr>
        <w:t xml:space="preserve">2013 </w:t>
      </w:r>
      <w:r>
        <w:rPr>
          <w:rFonts w:ascii="宋体" w:hAnsi="宋体" w:eastAsia="宋体" w:cs="宋体"/>
          <w:spacing w:val="2"/>
          <w:sz w:val="23"/>
          <w:szCs w:val="23"/>
        </w:rPr>
        <w:t>年安装</w:t>
      </w:r>
      <w:r>
        <w:rPr>
          <w:rFonts w:ascii="宋体" w:hAnsi="宋体" w:eastAsia="宋体" w:cs="宋体"/>
          <w:spacing w:val="1"/>
          <w:sz w:val="23"/>
          <w:szCs w:val="23"/>
        </w:rPr>
        <w:t>调试完成，并投入运行。</w:t>
      </w:r>
    </w:p>
    <w:p w14:paraId="448566F2">
      <w:pPr>
        <w:tabs>
          <w:tab w:val="left" w:pos="158"/>
        </w:tabs>
        <w:spacing w:before="189" w:line="386" w:lineRule="auto"/>
        <w:ind w:left="31" w:firstLine="460"/>
        <w:rPr>
          <w:rFonts w:ascii="宋体" w:hAnsi="宋体" w:eastAsia="宋体" w:cs="宋体"/>
          <w:sz w:val="23"/>
          <w:szCs w:val="23"/>
        </w:rPr>
      </w:pPr>
      <w:r>
        <w:rPr>
          <w:rFonts w:ascii="宋体" w:hAnsi="宋体" w:eastAsia="宋体" w:cs="宋体"/>
          <w:spacing w:val="14"/>
          <w:sz w:val="23"/>
          <w:szCs w:val="23"/>
        </w:rPr>
        <w:t>该</w:t>
      </w:r>
      <w:r>
        <w:rPr>
          <w:rFonts w:ascii="宋体" w:hAnsi="宋体" w:eastAsia="宋体" w:cs="宋体"/>
          <w:spacing w:val="13"/>
          <w:sz w:val="23"/>
          <w:szCs w:val="23"/>
        </w:rPr>
        <w:t>项</w:t>
      </w:r>
      <w:r>
        <w:rPr>
          <w:rFonts w:ascii="宋体" w:hAnsi="宋体" w:eastAsia="宋体" w:cs="宋体"/>
          <w:spacing w:val="7"/>
          <w:sz w:val="23"/>
          <w:szCs w:val="23"/>
        </w:rPr>
        <w:t>目排水主要包括生活污水以及生产废水，其中生产废水主要包括破碎工</w:t>
      </w:r>
      <w:r>
        <w:rPr>
          <w:rFonts w:ascii="宋体" w:hAnsi="宋体" w:eastAsia="宋体" w:cs="宋体"/>
          <w:sz w:val="23"/>
          <w:szCs w:val="23"/>
        </w:rPr>
        <w:t xml:space="preserve"> </w:t>
      </w:r>
      <w:r>
        <w:rPr>
          <w:rFonts w:ascii="宋体" w:hAnsi="宋体" w:eastAsia="宋体" w:cs="宋体"/>
          <w:spacing w:val="9"/>
          <w:sz w:val="23"/>
          <w:szCs w:val="23"/>
        </w:rPr>
        <w:t>序</w:t>
      </w:r>
      <w:r>
        <w:rPr>
          <w:rFonts w:ascii="宋体" w:hAnsi="宋体" w:eastAsia="宋体" w:cs="宋体"/>
          <w:spacing w:val="7"/>
          <w:sz w:val="23"/>
          <w:szCs w:val="23"/>
        </w:rPr>
        <w:t>产生的废水，原料初洗工序、洗字工序、二次清洗工序产生的清洗废水、脱水</w:t>
      </w:r>
      <w:r>
        <w:rPr>
          <w:rFonts w:ascii="宋体" w:hAnsi="宋体" w:eastAsia="宋体" w:cs="宋体"/>
          <w:sz w:val="23"/>
          <w:szCs w:val="23"/>
        </w:rPr>
        <w:t xml:space="preserve"> </w:t>
      </w:r>
      <w:r>
        <w:rPr>
          <w:rFonts w:ascii="宋体" w:hAnsi="宋体" w:eastAsia="宋体" w:cs="宋体"/>
          <w:spacing w:val="7"/>
          <w:sz w:val="23"/>
          <w:szCs w:val="23"/>
        </w:rPr>
        <w:t xml:space="preserve">工序产生的废水以及循环冷却废水，总排水量为 </w:t>
      </w:r>
      <w:r>
        <w:rPr>
          <w:rFonts w:ascii="Times New Roman" w:hAnsi="Times New Roman" w:eastAsia="Times New Roman" w:cs="Times New Roman"/>
          <w:spacing w:val="7"/>
          <w:sz w:val="23"/>
          <w:szCs w:val="23"/>
        </w:rPr>
        <w:t>2483.52</w:t>
      </w:r>
      <w:r>
        <w:rPr>
          <w:rFonts w:ascii="Times New Roman" w:hAnsi="Times New Roman" w:eastAsia="Times New Roman" w:cs="Times New Roman"/>
          <w:sz w:val="23"/>
          <w:szCs w:val="23"/>
        </w:rPr>
        <w:t>m</w:t>
      </w:r>
      <w:r>
        <w:rPr>
          <w:rFonts w:ascii="Times New Roman" w:hAnsi="Times New Roman" w:eastAsia="Times New Roman" w:cs="Times New Roman"/>
          <w:spacing w:val="7"/>
          <w:position w:val="7"/>
          <w:sz w:val="15"/>
          <w:szCs w:val="15"/>
        </w:rPr>
        <w:t>3</w:t>
      </w:r>
      <w:r>
        <w:rPr>
          <w:rFonts w:ascii="Times New Roman" w:hAnsi="Times New Roman" w:eastAsia="Times New Roman" w:cs="Times New Roman"/>
          <w:spacing w:val="7"/>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。该项目在厂区</w:t>
      </w:r>
      <w:r>
        <w:rPr>
          <w:rFonts w:ascii="宋体" w:hAnsi="宋体" w:eastAsia="宋体" w:cs="宋体"/>
          <w:spacing w:val="5"/>
          <w:sz w:val="23"/>
          <w:szCs w:val="23"/>
        </w:rPr>
        <w:t>东</w:t>
      </w:r>
      <w:r>
        <w:rPr>
          <w:rFonts w:ascii="宋体" w:hAnsi="宋体" w:eastAsia="宋体" w:cs="宋体"/>
          <w:sz w:val="23"/>
          <w:szCs w:val="23"/>
        </w:rPr>
        <w:t xml:space="preserve"> </w:t>
      </w:r>
      <w:r>
        <w:rPr>
          <w:rFonts w:ascii="宋体" w:hAnsi="宋体" w:eastAsia="宋体" w:cs="宋体"/>
          <w:spacing w:val="12"/>
          <w:sz w:val="23"/>
          <w:szCs w:val="23"/>
        </w:rPr>
        <w:t xml:space="preserve">南侧设有旱厕，员工使用防渗旱厕，定期清掏，不外排；项目设有 </w:t>
      </w:r>
      <w:r>
        <w:rPr>
          <w:rFonts w:ascii="Times New Roman" w:hAnsi="Times New Roman" w:eastAsia="Times New Roman" w:cs="Times New Roman"/>
          <w:spacing w:val="12"/>
          <w:sz w:val="23"/>
          <w:szCs w:val="23"/>
        </w:rPr>
        <w:t xml:space="preserve">1 </w:t>
      </w:r>
      <w:r>
        <w:rPr>
          <w:rFonts w:ascii="宋体" w:hAnsi="宋体" w:eastAsia="宋体" w:cs="宋体"/>
          <w:spacing w:val="12"/>
          <w:sz w:val="23"/>
          <w:szCs w:val="23"/>
        </w:rPr>
        <w:t>座容积为</w:t>
      </w:r>
      <w:r>
        <w:rPr>
          <w:rFonts w:ascii="宋体" w:hAnsi="宋体" w:eastAsia="宋体" w:cs="宋体"/>
          <w:sz w:val="23"/>
          <w:szCs w:val="23"/>
        </w:rPr>
        <w:t xml:space="preserve"> </w:t>
      </w:r>
      <w:r>
        <w:rPr>
          <w:rFonts w:ascii="Times New Roman" w:hAnsi="Times New Roman" w:eastAsia="Times New Roman" w:cs="Times New Roman"/>
          <w:spacing w:val="8"/>
          <w:sz w:val="23"/>
          <w:szCs w:val="23"/>
        </w:rPr>
        <w:t>324</w:t>
      </w:r>
      <w:r>
        <w:rPr>
          <w:rFonts w:ascii="Times New Roman" w:hAnsi="Times New Roman" w:eastAsia="Times New Roman" w:cs="Times New Roman"/>
          <w:sz w:val="23"/>
          <w:szCs w:val="23"/>
        </w:rPr>
        <w:t>m</w:t>
      </w:r>
      <w:r>
        <w:rPr>
          <w:rFonts w:ascii="Times New Roman" w:hAnsi="Times New Roman" w:eastAsia="Times New Roman" w:cs="Times New Roman"/>
          <w:spacing w:val="8"/>
          <w:position w:val="7"/>
          <w:sz w:val="15"/>
          <w:szCs w:val="15"/>
        </w:rPr>
        <w:t xml:space="preserve">3 </w:t>
      </w:r>
      <w:r>
        <w:rPr>
          <w:rFonts w:ascii="宋体" w:hAnsi="宋体" w:eastAsia="宋体" w:cs="宋体"/>
          <w:spacing w:val="8"/>
          <w:sz w:val="23"/>
          <w:szCs w:val="23"/>
        </w:rPr>
        <w:t>的三</w:t>
      </w:r>
      <w:r>
        <w:rPr>
          <w:rFonts w:ascii="宋体" w:hAnsi="宋体" w:eastAsia="宋体" w:cs="宋体"/>
          <w:spacing w:val="4"/>
          <w:sz w:val="23"/>
          <w:szCs w:val="23"/>
        </w:rPr>
        <w:t>级沉淀池 (</w:t>
      </w:r>
      <w:r>
        <w:rPr>
          <w:rFonts w:ascii="Times New Roman" w:hAnsi="Times New Roman" w:eastAsia="Times New Roman" w:cs="Times New Roman"/>
          <w:spacing w:val="4"/>
          <w:sz w:val="23"/>
          <w:szCs w:val="23"/>
        </w:rPr>
        <w:t>12</w:t>
      </w:r>
      <w:r>
        <w:rPr>
          <w:rFonts w:ascii="Times New Roman" w:hAnsi="Times New Roman" w:eastAsia="Times New Roman" w:cs="Times New Roman"/>
          <w:sz w:val="23"/>
          <w:szCs w:val="23"/>
        </w:rPr>
        <w:t>m</w:t>
      </w:r>
      <w:r>
        <w:rPr>
          <w:rFonts w:ascii="Times New Roman" w:hAnsi="Times New Roman" w:eastAsia="Times New Roman" w:cs="Times New Roman"/>
          <w:spacing w:val="4"/>
          <w:sz w:val="23"/>
          <w:szCs w:val="23"/>
        </w:rPr>
        <w:t>×6</w:t>
      </w:r>
      <w:r>
        <w:rPr>
          <w:rFonts w:ascii="Times New Roman" w:hAnsi="Times New Roman" w:eastAsia="Times New Roman" w:cs="Times New Roman"/>
          <w:sz w:val="23"/>
          <w:szCs w:val="23"/>
        </w:rPr>
        <w:t>m</w:t>
      </w:r>
      <w:r>
        <w:rPr>
          <w:rFonts w:ascii="Times New Roman" w:hAnsi="Times New Roman" w:eastAsia="Times New Roman" w:cs="Times New Roman"/>
          <w:spacing w:val="4"/>
          <w:sz w:val="23"/>
          <w:szCs w:val="23"/>
        </w:rPr>
        <w:t>×4.5</w:t>
      </w:r>
      <w:r>
        <w:rPr>
          <w:rFonts w:ascii="Times New Roman" w:hAnsi="Times New Roman" w:eastAsia="Times New Roman" w:cs="Times New Roman"/>
          <w:sz w:val="23"/>
          <w:szCs w:val="23"/>
        </w:rPr>
        <w:t>m</w:t>
      </w:r>
      <w:r>
        <w:rPr>
          <w:rFonts w:ascii="宋体" w:hAnsi="宋体" w:eastAsia="宋体" w:cs="宋体"/>
          <w:spacing w:val="4"/>
          <w:sz w:val="23"/>
          <w:szCs w:val="23"/>
        </w:rPr>
        <w:t xml:space="preserve">) ，同时配套设有 </w:t>
      </w:r>
      <w:r>
        <w:rPr>
          <w:rFonts w:ascii="Times New Roman" w:hAnsi="Times New Roman" w:eastAsia="Times New Roman" w:cs="Times New Roman"/>
          <w:spacing w:val="4"/>
          <w:sz w:val="23"/>
          <w:szCs w:val="23"/>
        </w:rPr>
        <w:t xml:space="preserve">1 </w:t>
      </w:r>
      <w:r>
        <w:rPr>
          <w:rFonts w:ascii="宋体" w:hAnsi="宋体" w:eastAsia="宋体" w:cs="宋体"/>
          <w:spacing w:val="4"/>
          <w:sz w:val="23"/>
          <w:szCs w:val="23"/>
        </w:rPr>
        <w:t>台一体化污水预处理设</w:t>
      </w:r>
      <w:r>
        <w:rPr>
          <w:rFonts w:ascii="宋体" w:hAnsi="宋体" w:eastAsia="宋体" w:cs="宋体"/>
          <w:sz w:val="23"/>
          <w:szCs w:val="23"/>
        </w:rPr>
        <w:t xml:space="preserve"> </w:t>
      </w:r>
      <w:r>
        <w:rPr>
          <w:rFonts w:ascii="宋体" w:hAnsi="宋体" w:eastAsia="宋体" w:cs="宋体"/>
          <w:spacing w:val="9"/>
          <w:sz w:val="23"/>
          <w:szCs w:val="23"/>
        </w:rPr>
        <w:t>备</w:t>
      </w:r>
      <w:r>
        <w:rPr>
          <w:rFonts w:ascii="宋体" w:hAnsi="宋体" w:eastAsia="宋体" w:cs="宋体"/>
          <w:spacing w:val="7"/>
          <w:sz w:val="23"/>
          <w:szCs w:val="23"/>
        </w:rPr>
        <w:t>，均位于生产厂房西南侧，产生的生产废水经一体化污水预处理设备处理后排</w:t>
      </w:r>
      <w:r>
        <w:rPr>
          <w:rFonts w:ascii="宋体" w:hAnsi="宋体" w:eastAsia="宋体" w:cs="宋体"/>
          <w:sz w:val="23"/>
          <w:szCs w:val="23"/>
        </w:rPr>
        <w:t xml:space="preserve"> </w:t>
      </w:r>
      <w:r>
        <w:rPr>
          <w:rFonts w:ascii="宋体" w:hAnsi="宋体" w:eastAsia="宋体" w:cs="宋体"/>
          <w:spacing w:val="10"/>
          <w:sz w:val="23"/>
          <w:szCs w:val="23"/>
        </w:rPr>
        <w:t>入三级</w:t>
      </w:r>
      <w:r>
        <w:rPr>
          <w:rFonts w:ascii="宋体" w:hAnsi="宋体" w:eastAsia="宋体" w:cs="宋体"/>
          <w:spacing w:val="8"/>
          <w:sz w:val="23"/>
          <w:szCs w:val="23"/>
        </w:rPr>
        <w:t>沉</w:t>
      </w:r>
      <w:r>
        <w:rPr>
          <w:rFonts w:ascii="宋体" w:hAnsi="宋体" w:eastAsia="宋体" w:cs="宋体"/>
          <w:spacing w:val="5"/>
          <w:sz w:val="23"/>
          <w:szCs w:val="23"/>
        </w:rPr>
        <w:t>淀池 (</w:t>
      </w:r>
      <w:r>
        <w:rPr>
          <w:rFonts w:ascii="Times New Roman" w:hAnsi="Times New Roman" w:eastAsia="Times New Roman" w:cs="Times New Roman"/>
          <w:spacing w:val="5"/>
          <w:sz w:val="23"/>
          <w:szCs w:val="23"/>
        </w:rPr>
        <w:t>12</w:t>
      </w:r>
      <w:r>
        <w:rPr>
          <w:rFonts w:ascii="Times New Roman" w:hAnsi="Times New Roman" w:eastAsia="Times New Roman" w:cs="Times New Roman"/>
          <w:sz w:val="23"/>
          <w:szCs w:val="23"/>
        </w:rPr>
        <w:t>m</w:t>
      </w:r>
      <w:r>
        <w:rPr>
          <w:rFonts w:ascii="Times New Roman" w:hAnsi="Times New Roman" w:eastAsia="Times New Roman" w:cs="Times New Roman"/>
          <w:spacing w:val="5"/>
          <w:sz w:val="23"/>
          <w:szCs w:val="23"/>
        </w:rPr>
        <w:t>×6</w:t>
      </w:r>
      <w:r>
        <w:rPr>
          <w:rFonts w:ascii="Times New Roman" w:hAnsi="Times New Roman" w:eastAsia="Times New Roman" w:cs="Times New Roman"/>
          <w:sz w:val="23"/>
          <w:szCs w:val="23"/>
        </w:rPr>
        <w:t>m</w:t>
      </w:r>
      <w:r>
        <w:rPr>
          <w:rFonts w:ascii="Times New Roman" w:hAnsi="Times New Roman" w:eastAsia="Times New Roman" w:cs="Times New Roman"/>
          <w:spacing w:val="5"/>
          <w:sz w:val="23"/>
          <w:szCs w:val="23"/>
        </w:rPr>
        <w:t>×4.5</w:t>
      </w:r>
      <w:r>
        <w:rPr>
          <w:rFonts w:ascii="Times New Roman" w:hAnsi="Times New Roman" w:eastAsia="Times New Roman" w:cs="Times New Roman"/>
          <w:sz w:val="23"/>
          <w:szCs w:val="23"/>
        </w:rPr>
        <w:t>m</w:t>
      </w:r>
      <w:r>
        <w:rPr>
          <w:rFonts w:ascii="宋体" w:hAnsi="宋体" w:eastAsia="宋体" w:cs="宋体"/>
          <w:spacing w:val="5"/>
          <w:sz w:val="23"/>
          <w:szCs w:val="23"/>
        </w:rPr>
        <w:t>) 沉淀处理，随后循环使用。污水处理设施废水每</w:t>
      </w:r>
      <w:r>
        <w:rPr>
          <w:rFonts w:ascii="宋体" w:hAnsi="宋体" w:eastAsia="宋体" w:cs="宋体"/>
          <w:sz w:val="23"/>
          <w:szCs w:val="23"/>
        </w:rPr>
        <w:t xml:space="preserve"> </w:t>
      </w:r>
      <w:r>
        <w:rPr>
          <w:rFonts w:ascii="宋体" w:hAnsi="宋体" w:eastAsia="宋体" w:cs="宋体"/>
          <w:spacing w:val="-1"/>
          <w:sz w:val="23"/>
          <w:szCs w:val="23"/>
        </w:rPr>
        <w:t xml:space="preserve">月更换 </w:t>
      </w:r>
      <w:r>
        <w:rPr>
          <w:rFonts w:ascii="Times New Roman" w:hAnsi="Times New Roman" w:eastAsia="Times New Roman" w:cs="Times New Roman"/>
          <w:spacing w:val="-1"/>
          <w:sz w:val="23"/>
          <w:szCs w:val="23"/>
        </w:rPr>
        <w:t xml:space="preserve">1 </w:t>
      </w:r>
      <w:r>
        <w:rPr>
          <w:rFonts w:ascii="宋体" w:hAnsi="宋体" w:eastAsia="宋体" w:cs="宋体"/>
          <w:spacing w:val="-1"/>
          <w:sz w:val="23"/>
          <w:szCs w:val="23"/>
        </w:rPr>
        <w:t xml:space="preserve">次，则该项目全年更换废水量为 </w:t>
      </w:r>
      <w:r>
        <w:rPr>
          <w:rFonts w:ascii="Times New Roman" w:hAnsi="Times New Roman" w:eastAsia="Times New Roman" w:cs="Times New Roman"/>
          <w:spacing w:val="-1"/>
          <w:sz w:val="23"/>
          <w:szCs w:val="23"/>
        </w:rPr>
        <w:t>1523.52</w:t>
      </w:r>
      <w:r>
        <w:rPr>
          <w:rFonts w:ascii="Times New Roman" w:hAnsi="Times New Roman" w:eastAsia="Times New Roman" w:cs="Times New Roman"/>
          <w:sz w:val="23"/>
          <w:szCs w:val="23"/>
        </w:rPr>
        <w:t>m</w:t>
      </w:r>
      <w:r>
        <w:rPr>
          <w:rFonts w:ascii="Times New Roman" w:hAnsi="Times New Roman" w:eastAsia="Times New Roman" w:cs="Times New Roman"/>
          <w:spacing w:val="-1"/>
          <w:position w:val="7"/>
          <w:sz w:val="15"/>
          <w:szCs w:val="15"/>
        </w:rPr>
        <w:t xml:space="preserve">3 </w:t>
      </w:r>
      <w:r>
        <w:rPr>
          <w:rFonts w:ascii="宋体" w:hAnsi="宋体" w:eastAsia="宋体" w:cs="宋体"/>
          <w:spacing w:val="-1"/>
          <w:sz w:val="23"/>
          <w:szCs w:val="23"/>
        </w:rPr>
        <w:t>，更</w:t>
      </w:r>
      <w:r>
        <w:rPr>
          <w:rFonts w:ascii="宋体" w:hAnsi="宋体" w:eastAsia="宋体" w:cs="宋体"/>
          <w:sz w:val="23"/>
          <w:szCs w:val="23"/>
        </w:rPr>
        <w:t xml:space="preserve">换过程产生的废水经吸污 </w:t>
      </w:r>
      <w:r>
        <w:rPr>
          <w:rFonts w:ascii="宋体" w:hAnsi="宋体" w:eastAsia="宋体" w:cs="宋体"/>
          <w:spacing w:val="1"/>
          <w:sz w:val="23"/>
          <w:szCs w:val="23"/>
        </w:rPr>
        <w:t>车运送至本溪市科态污水处理有限责任</w:t>
      </w:r>
      <w:r>
        <w:rPr>
          <w:rFonts w:ascii="宋体" w:hAnsi="宋体" w:eastAsia="宋体" w:cs="宋体"/>
          <w:sz w:val="23"/>
          <w:szCs w:val="23"/>
        </w:rPr>
        <w:t xml:space="preserve">公司统一处理。由工程分析章节可知，该项 </w:t>
      </w:r>
      <w:r>
        <w:rPr>
          <w:rFonts w:ascii="宋体" w:hAnsi="宋体" w:eastAsia="宋体" w:cs="宋体"/>
          <w:spacing w:val="28"/>
          <w:sz w:val="23"/>
          <w:szCs w:val="23"/>
        </w:rPr>
        <w:t>目生产废水经厂区设施处理后 ， 可以满足《辽宁省污水综合排放标准</w:t>
      </w:r>
      <w:r>
        <w:rPr>
          <w:rFonts w:ascii="宋体" w:hAnsi="宋体" w:eastAsia="宋体" w:cs="宋体"/>
          <w:spacing w:val="25"/>
          <w:sz w:val="23"/>
          <w:szCs w:val="23"/>
        </w:rPr>
        <w:t>》</w:t>
      </w:r>
      <w:r>
        <w:rPr>
          <w:rFonts w:ascii="宋体" w:hAnsi="宋体" w:eastAsia="宋体" w:cs="宋体"/>
          <w:sz w:val="23"/>
          <w:szCs w:val="23"/>
        </w:rPr>
        <w:t xml:space="preserve"> </w:t>
      </w:r>
      <w:r>
        <w:rPr>
          <w:rFonts w:ascii="宋体" w:hAnsi="宋体" w:eastAsia="宋体" w:cs="宋体"/>
          <w:sz w:val="23"/>
          <w:szCs w:val="23"/>
        </w:rPr>
        <w:tab/>
      </w:r>
      <w:r>
        <w:rPr>
          <w:rFonts w:ascii="宋体" w:hAnsi="宋体" w:eastAsia="宋体" w:cs="宋体"/>
          <w:spacing w:val="10"/>
          <w:sz w:val="23"/>
          <w:szCs w:val="23"/>
        </w:rPr>
        <w:t>(</w:t>
      </w:r>
      <w:r>
        <w:rPr>
          <w:rFonts w:ascii="Times New Roman" w:hAnsi="Times New Roman" w:eastAsia="Times New Roman" w:cs="Times New Roman"/>
          <w:sz w:val="23"/>
          <w:szCs w:val="23"/>
        </w:rPr>
        <w:t>DB</w:t>
      </w:r>
      <w:r>
        <w:rPr>
          <w:rFonts w:ascii="Times New Roman" w:hAnsi="Times New Roman" w:eastAsia="Times New Roman" w:cs="Times New Roman"/>
          <w:spacing w:val="10"/>
          <w:sz w:val="23"/>
          <w:szCs w:val="23"/>
        </w:rPr>
        <w:t>21/ 1</w:t>
      </w:r>
      <w:r>
        <w:rPr>
          <w:rFonts w:ascii="Times New Roman" w:hAnsi="Times New Roman" w:eastAsia="Times New Roman" w:cs="Times New Roman"/>
          <w:spacing w:val="5"/>
          <w:sz w:val="23"/>
          <w:szCs w:val="23"/>
        </w:rPr>
        <w:t>627-2008</w:t>
      </w:r>
      <w:r>
        <w:rPr>
          <w:rFonts w:ascii="宋体" w:hAnsi="宋体" w:eastAsia="宋体" w:cs="宋体"/>
          <w:spacing w:val="5"/>
          <w:sz w:val="23"/>
          <w:szCs w:val="23"/>
        </w:rPr>
        <w:t>) 中排入污水处理厂的水污染物最高允许排放浓度限制要求，</w:t>
      </w:r>
      <w:r>
        <w:rPr>
          <w:rFonts w:ascii="宋体" w:hAnsi="宋体" w:eastAsia="宋体" w:cs="宋体"/>
          <w:sz w:val="23"/>
          <w:szCs w:val="23"/>
        </w:rPr>
        <w:t xml:space="preserve"> </w:t>
      </w:r>
      <w:r>
        <w:rPr>
          <w:rFonts w:ascii="宋体" w:hAnsi="宋体" w:eastAsia="宋体" w:cs="宋体"/>
          <w:spacing w:val="4"/>
          <w:sz w:val="23"/>
          <w:szCs w:val="23"/>
        </w:rPr>
        <w:t>且本溪</w:t>
      </w:r>
      <w:r>
        <w:rPr>
          <w:rFonts w:ascii="宋体" w:hAnsi="宋体" w:eastAsia="宋体" w:cs="宋体"/>
          <w:spacing w:val="3"/>
          <w:sz w:val="23"/>
          <w:szCs w:val="23"/>
        </w:rPr>
        <w:t>市</w:t>
      </w:r>
      <w:r>
        <w:rPr>
          <w:rFonts w:ascii="宋体" w:hAnsi="宋体" w:eastAsia="宋体" w:cs="宋体"/>
          <w:spacing w:val="2"/>
          <w:sz w:val="23"/>
          <w:szCs w:val="23"/>
        </w:rPr>
        <w:t>科态污水处理有限责任公司污水处理规模可满足本项目需求。综上所述，</w:t>
      </w:r>
      <w:r>
        <w:rPr>
          <w:rFonts w:ascii="宋体" w:hAnsi="宋体" w:eastAsia="宋体" w:cs="宋体"/>
          <w:sz w:val="23"/>
          <w:szCs w:val="23"/>
        </w:rPr>
        <w:t xml:space="preserve"> </w:t>
      </w:r>
      <w:r>
        <w:rPr>
          <w:rFonts w:ascii="宋体" w:hAnsi="宋体" w:eastAsia="宋体" w:cs="宋体"/>
          <w:spacing w:val="4"/>
          <w:sz w:val="23"/>
          <w:szCs w:val="23"/>
        </w:rPr>
        <w:t>本溪市科态污水处</w:t>
      </w:r>
      <w:r>
        <w:rPr>
          <w:rFonts w:ascii="宋体" w:hAnsi="宋体" w:eastAsia="宋体" w:cs="宋体"/>
          <w:spacing w:val="3"/>
          <w:sz w:val="23"/>
          <w:szCs w:val="23"/>
        </w:rPr>
        <w:t>理</w:t>
      </w:r>
      <w:r>
        <w:rPr>
          <w:rFonts w:ascii="宋体" w:hAnsi="宋体" w:eastAsia="宋体" w:cs="宋体"/>
          <w:spacing w:val="2"/>
          <w:sz w:val="23"/>
          <w:szCs w:val="23"/>
        </w:rPr>
        <w:t>有限责任公司现可满足本项目排水需求。</w:t>
      </w:r>
    </w:p>
    <w:p w14:paraId="182781A3">
      <w:pPr>
        <w:spacing w:before="98" w:line="226" w:lineRule="auto"/>
        <w:ind w:left="33"/>
        <w:outlineLvl w:val="2"/>
        <w:rPr>
          <w:rFonts w:ascii="宋体" w:hAnsi="宋体" w:eastAsia="宋体" w:cs="宋体"/>
          <w:sz w:val="29"/>
          <w:szCs w:val="29"/>
        </w:rPr>
      </w:pPr>
      <w:r>
        <w:rPr>
          <w:rFonts w:ascii="Times New Roman" w:hAnsi="Times New Roman" w:eastAsia="Times New Roman" w:cs="Times New Roman"/>
          <w:b/>
          <w:bCs/>
          <w:spacing w:val="8"/>
          <w:sz w:val="29"/>
          <w:szCs w:val="29"/>
        </w:rPr>
        <w:t>5.2.3</w:t>
      </w:r>
      <w:r>
        <w:rPr>
          <w:rFonts w:ascii="Times New Roman" w:hAnsi="Times New Roman" w:eastAsia="Times New Roman" w:cs="Times New Roman"/>
          <w:spacing w:val="8"/>
          <w:sz w:val="29"/>
          <w:szCs w:val="29"/>
        </w:rPr>
        <w:t xml:space="preserve"> </w:t>
      </w:r>
      <w:r>
        <w:rPr>
          <w:rFonts w:ascii="宋体" w:hAnsi="宋体" w:eastAsia="宋体" w:cs="宋体"/>
          <w:spacing w:val="8"/>
          <w:sz w:val="29"/>
          <w:szCs w:val="29"/>
          <w14:textOutline w14:w="5448" w14:cap="sq" w14:cmpd="sng">
            <w14:solidFill>
              <w14:srgbClr w14:val="000000"/>
            </w14:solidFill>
            <w14:prstDash w14:val="solid"/>
            <w14:bevel/>
          </w14:textOutline>
        </w:rPr>
        <w:t>运营期地下水环境影响分</w:t>
      </w:r>
      <w:r>
        <w:rPr>
          <w:rFonts w:ascii="宋体" w:hAnsi="宋体" w:eastAsia="宋体" w:cs="宋体"/>
          <w:spacing w:val="7"/>
          <w:sz w:val="29"/>
          <w:szCs w:val="29"/>
          <w14:textOutline w14:w="5448" w14:cap="sq" w14:cmpd="sng">
            <w14:solidFill>
              <w14:srgbClr w14:val="000000"/>
            </w14:solidFill>
            <w14:prstDash w14:val="solid"/>
            <w14:bevel/>
          </w14:textOutline>
        </w:rPr>
        <w:t>析</w:t>
      </w:r>
    </w:p>
    <w:p w14:paraId="2C9D5172">
      <w:pPr>
        <w:spacing w:line="273" w:lineRule="auto"/>
        <w:rPr>
          <w:rFonts w:ascii="Arial"/>
          <w:sz w:val="21"/>
        </w:rPr>
      </w:pPr>
    </w:p>
    <w:p w14:paraId="42FD9670">
      <w:pPr>
        <w:spacing w:before="75" w:line="227" w:lineRule="auto"/>
        <w:ind w:left="512"/>
        <w:rPr>
          <w:rFonts w:ascii="宋体" w:hAnsi="宋体" w:eastAsia="宋体" w:cs="宋体"/>
          <w:sz w:val="23"/>
          <w:szCs w:val="23"/>
        </w:rPr>
      </w:pPr>
      <w:r>
        <w:rPr>
          <w:rFonts w:ascii="宋体" w:hAnsi="宋体" w:eastAsia="宋体" w:cs="宋体"/>
          <w:spacing w:val="11"/>
          <w:sz w:val="23"/>
          <w:szCs w:val="23"/>
        </w:rPr>
        <w:t>根</w:t>
      </w:r>
      <w:r>
        <w:rPr>
          <w:rFonts w:ascii="宋体" w:hAnsi="宋体" w:eastAsia="宋体" w:cs="宋体"/>
          <w:spacing w:val="6"/>
          <w:sz w:val="23"/>
          <w:szCs w:val="23"/>
        </w:rPr>
        <w:t>据《环境影响评价技术导则 地下水》  (</w:t>
      </w:r>
      <w:r>
        <w:rPr>
          <w:rFonts w:ascii="Times New Roman" w:hAnsi="Times New Roman" w:eastAsia="Times New Roman" w:cs="Times New Roman"/>
          <w:sz w:val="23"/>
          <w:szCs w:val="23"/>
        </w:rPr>
        <w:t>HJ</w:t>
      </w:r>
      <w:r>
        <w:rPr>
          <w:rFonts w:ascii="Times New Roman" w:hAnsi="Times New Roman" w:eastAsia="Times New Roman" w:cs="Times New Roman"/>
          <w:spacing w:val="6"/>
          <w:sz w:val="23"/>
          <w:szCs w:val="23"/>
        </w:rPr>
        <w:t>610-2016</w:t>
      </w:r>
      <w:r>
        <w:rPr>
          <w:rFonts w:ascii="宋体" w:hAnsi="宋体" w:eastAsia="宋体" w:cs="宋体"/>
          <w:spacing w:val="6"/>
          <w:sz w:val="23"/>
          <w:szCs w:val="23"/>
        </w:rPr>
        <w:t>) ，本项目地下水评</w:t>
      </w:r>
    </w:p>
    <w:p w14:paraId="6A21E720">
      <w:pPr>
        <w:sectPr>
          <w:headerReference r:id="rId223" w:type="default"/>
          <w:footerReference r:id="rId224" w:type="default"/>
          <w:pgSz w:w="11906" w:h="16839"/>
          <w:pgMar w:top="1132" w:right="1738" w:bottom="1182" w:left="1777" w:header="878" w:footer="1022" w:gutter="0"/>
          <w:cols w:space="720" w:num="1"/>
        </w:sectPr>
      </w:pPr>
    </w:p>
    <w:p w14:paraId="216A4B02">
      <w:pPr>
        <w:spacing w:line="425" w:lineRule="auto"/>
        <w:rPr>
          <w:rFonts w:ascii="Arial"/>
          <w:sz w:val="21"/>
        </w:rPr>
      </w:pPr>
      <w:r>
        <w:pict>
          <v:shape id="_x0000_s1273" o:spid="_x0000_s1273" style="position:absolute;left:0pt;margin-left:90pt;margin-top:57.35pt;height:0.75pt;width:415.3pt;mso-position-horizontal-relative:page;mso-position-vertical-relative:page;z-index:251928576;mso-width-relative:page;mso-height-relative:page;" fillcolor="#000000" filled="t" stroked="f" coordsize="8305,15" o:allowincell="f" path="m0,0l8305,0,8305,14,0,14,0,0xe">
            <v:path/>
            <v:fill on="t" focussize="0,0"/>
            <v:stroke on="f"/>
            <v:imagedata o:title=""/>
            <o:lock v:ext="edit"/>
          </v:shape>
        </w:pict>
      </w:r>
    </w:p>
    <w:p w14:paraId="6E3FB65D">
      <w:pPr>
        <w:spacing w:before="75" w:line="405" w:lineRule="auto"/>
        <w:ind w:left="21" w:right="35" w:firstLine="2"/>
        <w:rPr>
          <w:rFonts w:ascii="宋体" w:hAnsi="宋体" w:eastAsia="宋体" w:cs="宋体"/>
          <w:sz w:val="23"/>
          <w:szCs w:val="23"/>
        </w:rPr>
      </w:pPr>
      <w:r>
        <w:rPr>
          <w:rFonts w:ascii="宋体" w:hAnsi="宋体" w:eastAsia="宋体" w:cs="宋体"/>
          <w:spacing w:val="8"/>
          <w:sz w:val="23"/>
          <w:szCs w:val="23"/>
        </w:rPr>
        <w:t>价</w:t>
      </w:r>
      <w:r>
        <w:rPr>
          <w:rFonts w:ascii="宋体" w:hAnsi="宋体" w:eastAsia="宋体" w:cs="宋体"/>
          <w:spacing w:val="7"/>
          <w:sz w:val="23"/>
          <w:szCs w:val="23"/>
        </w:rPr>
        <w:t>等级为三级，三级评价应了解调查评价区和场地环境水文地质条件，基本掌握</w:t>
      </w:r>
      <w:r>
        <w:rPr>
          <w:rFonts w:ascii="宋体" w:hAnsi="宋体" w:eastAsia="宋体" w:cs="宋体"/>
          <w:sz w:val="23"/>
          <w:szCs w:val="23"/>
        </w:rPr>
        <w:t xml:space="preserve"> </w:t>
      </w:r>
      <w:r>
        <w:rPr>
          <w:rFonts w:ascii="宋体" w:hAnsi="宋体" w:eastAsia="宋体" w:cs="宋体"/>
          <w:spacing w:val="10"/>
          <w:sz w:val="23"/>
          <w:szCs w:val="23"/>
        </w:rPr>
        <w:t>评</w:t>
      </w:r>
      <w:r>
        <w:rPr>
          <w:rFonts w:ascii="宋体" w:hAnsi="宋体" w:eastAsia="宋体" w:cs="宋体"/>
          <w:spacing w:val="7"/>
          <w:sz w:val="23"/>
          <w:szCs w:val="23"/>
        </w:rPr>
        <w:t>价区的地下水补给径流条件和地下水环境质量现状。采用解析法或类比分析法</w:t>
      </w:r>
      <w:r>
        <w:rPr>
          <w:rFonts w:ascii="宋体" w:hAnsi="宋体" w:eastAsia="宋体" w:cs="宋体"/>
          <w:sz w:val="23"/>
          <w:szCs w:val="23"/>
        </w:rPr>
        <w:t xml:space="preserve"> </w:t>
      </w:r>
      <w:r>
        <w:rPr>
          <w:rFonts w:ascii="宋体" w:hAnsi="宋体" w:eastAsia="宋体" w:cs="宋体"/>
          <w:spacing w:val="10"/>
          <w:sz w:val="23"/>
          <w:szCs w:val="23"/>
        </w:rPr>
        <w:t>进</w:t>
      </w:r>
      <w:r>
        <w:rPr>
          <w:rFonts w:ascii="宋体" w:hAnsi="宋体" w:eastAsia="宋体" w:cs="宋体"/>
          <w:spacing w:val="7"/>
          <w:sz w:val="23"/>
          <w:szCs w:val="23"/>
        </w:rPr>
        <w:t>行地下水影响分析与评价。提出切实可行的环境保护措施与地下水环境影响跟</w:t>
      </w:r>
      <w:r>
        <w:rPr>
          <w:rFonts w:ascii="宋体" w:hAnsi="宋体" w:eastAsia="宋体" w:cs="宋体"/>
          <w:sz w:val="23"/>
          <w:szCs w:val="23"/>
        </w:rPr>
        <w:t xml:space="preserve"> </w:t>
      </w:r>
      <w:r>
        <w:rPr>
          <w:rFonts w:ascii="宋体" w:hAnsi="宋体" w:eastAsia="宋体" w:cs="宋体"/>
          <w:spacing w:val="7"/>
          <w:sz w:val="23"/>
          <w:szCs w:val="23"/>
        </w:rPr>
        <w:t>踪监测计划。</w:t>
      </w:r>
    </w:p>
    <w:p w14:paraId="6A8B92B6">
      <w:pPr>
        <w:spacing w:before="84" w:line="220" w:lineRule="auto"/>
        <w:ind w:left="23"/>
        <w:outlineLvl w:val="3"/>
        <w:rPr>
          <w:rFonts w:ascii="宋体" w:hAnsi="宋体" w:eastAsia="宋体" w:cs="宋体"/>
          <w:sz w:val="28"/>
          <w:szCs w:val="28"/>
        </w:rPr>
      </w:pPr>
      <w:r>
        <w:rPr>
          <w:rFonts w:ascii="Times New Roman" w:hAnsi="Times New Roman" w:eastAsia="Times New Roman" w:cs="Times New Roman"/>
          <w:b/>
          <w:bCs/>
          <w:spacing w:val="18"/>
          <w:sz w:val="28"/>
          <w:szCs w:val="28"/>
        </w:rPr>
        <w:t>5</w:t>
      </w:r>
      <w:r>
        <w:rPr>
          <w:rFonts w:ascii="Times New Roman" w:hAnsi="Times New Roman" w:eastAsia="Times New Roman" w:cs="Times New Roman"/>
          <w:b/>
          <w:bCs/>
          <w:spacing w:val="10"/>
          <w:sz w:val="28"/>
          <w:szCs w:val="28"/>
        </w:rPr>
        <w:t>.</w:t>
      </w:r>
      <w:r>
        <w:rPr>
          <w:rFonts w:ascii="Times New Roman" w:hAnsi="Times New Roman" w:eastAsia="Times New Roman" w:cs="Times New Roman"/>
          <w:b/>
          <w:bCs/>
          <w:spacing w:val="9"/>
          <w:sz w:val="28"/>
          <w:szCs w:val="28"/>
        </w:rPr>
        <w:t>2.3.1</w:t>
      </w:r>
      <w:r>
        <w:rPr>
          <w:rFonts w:ascii="Times New Roman" w:hAnsi="Times New Roman" w:eastAsia="Times New Roman" w:cs="Times New Roman"/>
          <w:spacing w:val="9"/>
          <w:sz w:val="28"/>
          <w:szCs w:val="28"/>
        </w:rPr>
        <w:t xml:space="preserve"> </w:t>
      </w:r>
      <w:r>
        <w:rPr>
          <w:rFonts w:ascii="宋体" w:hAnsi="宋体" w:eastAsia="宋体" w:cs="宋体"/>
          <w:spacing w:val="9"/>
          <w:sz w:val="28"/>
          <w:szCs w:val="28"/>
          <w14:textOutline w14:w="5103" w14:cap="sq" w14:cmpd="sng">
            <w14:solidFill>
              <w14:srgbClr w14:val="000000"/>
            </w14:solidFill>
            <w14:prstDash w14:val="solid"/>
            <w14:bevel/>
          </w14:textOutline>
        </w:rPr>
        <w:t>正常情况下对地下水水质的影响</w:t>
      </w:r>
    </w:p>
    <w:p w14:paraId="1F9C03D2">
      <w:pPr>
        <w:spacing w:line="279" w:lineRule="auto"/>
        <w:rPr>
          <w:rFonts w:ascii="Arial"/>
          <w:sz w:val="21"/>
        </w:rPr>
      </w:pPr>
    </w:p>
    <w:p w14:paraId="3672D0A9">
      <w:pPr>
        <w:spacing w:before="74" w:line="408" w:lineRule="auto"/>
        <w:ind w:left="26" w:right="47" w:firstLine="480"/>
        <w:rPr>
          <w:rFonts w:ascii="宋体" w:hAnsi="宋体" w:eastAsia="宋体" w:cs="宋体"/>
          <w:sz w:val="23"/>
          <w:szCs w:val="23"/>
        </w:rPr>
      </w:pPr>
      <w:r>
        <w:rPr>
          <w:rFonts w:ascii="宋体" w:hAnsi="宋体" w:eastAsia="宋体" w:cs="宋体"/>
          <w:spacing w:val="26"/>
          <w:sz w:val="23"/>
          <w:szCs w:val="23"/>
        </w:rPr>
        <w:t>该</w:t>
      </w:r>
      <w:r>
        <w:rPr>
          <w:rFonts w:ascii="宋体" w:hAnsi="宋体" w:eastAsia="宋体" w:cs="宋体"/>
          <w:spacing w:val="25"/>
          <w:sz w:val="23"/>
          <w:szCs w:val="23"/>
        </w:rPr>
        <w:t>项</w:t>
      </w:r>
      <w:r>
        <w:rPr>
          <w:rFonts w:ascii="宋体" w:hAnsi="宋体" w:eastAsia="宋体" w:cs="宋体"/>
          <w:spacing w:val="13"/>
          <w:sz w:val="23"/>
          <w:szCs w:val="23"/>
        </w:rPr>
        <w:t>目用水来源为自来水给水管网，所有生产废水零排放，员工使用防渗</w:t>
      </w:r>
      <w:r>
        <w:rPr>
          <w:rFonts w:ascii="宋体" w:hAnsi="宋体" w:eastAsia="宋体" w:cs="宋体"/>
          <w:sz w:val="23"/>
          <w:szCs w:val="23"/>
        </w:rPr>
        <w:t xml:space="preserve"> </w:t>
      </w:r>
      <w:r>
        <w:rPr>
          <w:rFonts w:ascii="宋体" w:hAnsi="宋体" w:eastAsia="宋体" w:cs="宋体"/>
          <w:spacing w:val="27"/>
          <w:sz w:val="23"/>
          <w:szCs w:val="23"/>
        </w:rPr>
        <w:t>旱</w:t>
      </w:r>
      <w:r>
        <w:rPr>
          <w:rFonts w:ascii="宋体" w:hAnsi="宋体" w:eastAsia="宋体" w:cs="宋体"/>
          <w:spacing w:val="14"/>
          <w:sz w:val="23"/>
          <w:szCs w:val="23"/>
        </w:rPr>
        <w:t>厕，定期清掏，不外排，因此，不涉及地下水回灌。</w:t>
      </w:r>
    </w:p>
    <w:p w14:paraId="584DBEAD">
      <w:pPr>
        <w:spacing w:before="138" w:line="409" w:lineRule="auto"/>
        <w:ind w:left="43" w:right="23" w:firstLine="437"/>
        <w:rPr>
          <w:rFonts w:ascii="宋体" w:hAnsi="宋体" w:eastAsia="宋体" w:cs="宋体"/>
          <w:sz w:val="23"/>
          <w:szCs w:val="23"/>
        </w:rPr>
      </w:pPr>
      <w:r>
        <w:rPr>
          <w:rFonts w:ascii="宋体" w:hAnsi="宋体" w:eastAsia="宋体" w:cs="宋体"/>
          <w:spacing w:val="1"/>
          <w:sz w:val="23"/>
          <w:szCs w:val="23"/>
        </w:rPr>
        <w:t>本工程对项目周边地下水环境的影响，主要是对项目场地地下水下游方</w:t>
      </w:r>
      <w:r>
        <w:rPr>
          <w:rFonts w:ascii="宋体" w:hAnsi="宋体" w:eastAsia="宋体" w:cs="宋体"/>
          <w:sz w:val="23"/>
          <w:szCs w:val="23"/>
        </w:rPr>
        <w:t xml:space="preserve">向潜水 </w:t>
      </w:r>
      <w:r>
        <w:rPr>
          <w:rFonts w:ascii="宋体" w:hAnsi="宋体" w:eastAsia="宋体" w:cs="宋体"/>
          <w:spacing w:val="-4"/>
          <w:sz w:val="23"/>
          <w:szCs w:val="23"/>
        </w:rPr>
        <w:t>的影响。该区域潜</w:t>
      </w:r>
      <w:r>
        <w:rPr>
          <w:rFonts w:ascii="宋体" w:hAnsi="宋体" w:eastAsia="宋体" w:cs="宋体"/>
          <w:spacing w:val="-2"/>
          <w:sz w:val="23"/>
          <w:szCs w:val="23"/>
        </w:rPr>
        <w:t>水的污染途径主要来自项目场地的渗漏产生的渗滤液地面径流。</w:t>
      </w:r>
    </w:p>
    <w:p w14:paraId="4BA62BAF">
      <w:pPr>
        <w:spacing w:before="135" w:line="402" w:lineRule="auto"/>
        <w:ind w:left="23" w:firstLine="480"/>
        <w:rPr>
          <w:rFonts w:ascii="宋体" w:hAnsi="宋体" w:eastAsia="宋体" w:cs="宋体"/>
          <w:sz w:val="23"/>
          <w:szCs w:val="23"/>
        </w:rPr>
      </w:pPr>
      <w:r>
        <w:rPr>
          <w:rFonts w:ascii="宋体" w:hAnsi="宋体" w:eastAsia="宋体" w:cs="宋体"/>
          <w:spacing w:val="7"/>
          <w:sz w:val="23"/>
          <w:szCs w:val="23"/>
        </w:rPr>
        <w:t>本项目属松散岩类孔隙含水岩组，场地地下水为第四系孔隙潜水，浅水层</w:t>
      </w:r>
      <w:r>
        <w:rPr>
          <w:rFonts w:ascii="宋体" w:hAnsi="宋体" w:eastAsia="宋体" w:cs="宋体"/>
          <w:spacing w:val="2"/>
          <w:sz w:val="23"/>
          <w:szCs w:val="23"/>
        </w:rPr>
        <w:t>上</w:t>
      </w:r>
      <w:r>
        <w:rPr>
          <w:rFonts w:ascii="宋体" w:hAnsi="宋体" w:eastAsia="宋体" w:cs="宋体"/>
          <w:sz w:val="23"/>
          <w:szCs w:val="23"/>
        </w:rPr>
        <w:t xml:space="preserve"> </w:t>
      </w:r>
      <w:r>
        <w:rPr>
          <w:rFonts w:ascii="宋体" w:hAnsi="宋体" w:eastAsia="宋体" w:cs="宋体"/>
          <w:spacing w:val="-4"/>
          <w:sz w:val="23"/>
          <w:szCs w:val="23"/>
        </w:rPr>
        <w:t>部为粘土，下部以砂砾石为主，卵砾</w:t>
      </w:r>
      <w:r>
        <w:rPr>
          <w:rFonts w:ascii="宋体" w:hAnsi="宋体" w:eastAsia="宋体" w:cs="宋体"/>
          <w:spacing w:val="-2"/>
          <w:sz w:val="23"/>
          <w:szCs w:val="23"/>
        </w:rPr>
        <w:t xml:space="preserve">石其次。含水层为砾石层，最大颗粒为 </w:t>
      </w:r>
      <w:r>
        <w:rPr>
          <w:rFonts w:ascii="Times New Roman" w:hAnsi="Times New Roman" w:eastAsia="Times New Roman" w:cs="Times New Roman"/>
          <w:spacing w:val="-2"/>
          <w:sz w:val="23"/>
          <w:szCs w:val="23"/>
        </w:rPr>
        <w:t>100mm</w:t>
      </w:r>
      <w:r>
        <w:rPr>
          <w:rFonts w:ascii="Times New Roman" w:hAnsi="Times New Roman" w:eastAsia="Times New Roman" w:cs="Times New Roman"/>
          <w:sz w:val="23"/>
          <w:szCs w:val="23"/>
        </w:rPr>
        <w:t xml:space="preserve"> </w:t>
      </w:r>
      <w:r>
        <w:rPr>
          <w:rFonts w:ascii="宋体" w:hAnsi="宋体" w:eastAsia="宋体" w:cs="宋体"/>
          <w:spacing w:val="14"/>
          <w:sz w:val="23"/>
          <w:szCs w:val="23"/>
        </w:rPr>
        <w:t>左右，</w:t>
      </w:r>
      <w:r>
        <w:rPr>
          <w:rFonts w:ascii="宋体" w:hAnsi="宋体" w:eastAsia="宋体" w:cs="宋体"/>
          <w:spacing w:val="11"/>
          <w:sz w:val="23"/>
          <w:szCs w:val="23"/>
        </w:rPr>
        <w:t>平</w:t>
      </w:r>
      <w:r>
        <w:rPr>
          <w:rFonts w:ascii="宋体" w:hAnsi="宋体" w:eastAsia="宋体" w:cs="宋体"/>
          <w:spacing w:val="7"/>
          <w:sz w:val="23"/>
          <w:szCs w:val="23"/>
        </w:rPr>
        <w:t xml:space="preserve">均 </w:t>
      </w:r>
      <w:r>
        <w:rPr>
          <w:rFonts w:ascii="Times New Roman" w:hAnsi="Times New Roman" w:eastAsia="Times New Roman" w:cs="Times New Roman"/>
          <w:spacing w:val="7"/>
          <w:sz w:val="23"/>
          <w:szCs w:val="23"/>
        </w:rPr>
        <w:t>30~60</w:t>
      </w:r>
      <w:r>
        <w:rPr>
          <w:rFonts w:ascii="Times New Roman" w:hAnsi="Times New Roman" w:eastAsia="Times New Roman" w:cs="Times New Roman"/>
          <w:sz w:val="23"/>
          <w:szCs w:val="23"/>
        </w:rPr>
        <w:t>mm</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，该层上部磨圆度好，下部多呈棱角状，分选较差，砾石</w:t>
      </w:r>
      <w:r>
        <w:rPr>
          <w:rFonts w:ascii="宋体" w:hAnsi="宋体" w:eastAsia="宋体" w:cs="宋体"/>
          <w:sz w:val="23"/>
          <w:szCs w:val="23"/>
        </w:rPr>
        <w:t xml:space="preserve"> </w:t>
      </w:r>
      <w:r>
        <w:rPr>
          <w:rFonts w:ascii="宋体" w:hAnsi="宋体" w:eastAsia="宋体" w:cs="宋体"/>
          <w:spacing w:val="-1"/>
          <w:sz w:val="23"/>
          <w:szCs w:val="23"/>
        </w:rPr>
        <w:t xml:space="preserve">层中地下水水位埋深 </w:t>
      </w:r>
      <w:r>
        <w:rPr>
          <w:rFonts w:ascii="Times New Roman" w:hAnsi="Times New Roman" w:eastAsia="Times New Roman" w:cs="Times New Roman"/>
          <w:spacing w:val="-1"/>
          <w:sz w:val="23"/>
          <w:szCs w:val="23"/>
        </w:rPr>
        <w:t>0~ 1.6</w:t>
      </w:r>
      <w:r>
        <w:rPr>
          <w:rFonts w:ascii="Times New Roman" w:hAnsi="Times New Roman" w:eastAsia="Times New Roman" w:cs="Times New Roman"/>
          <w:sz w:val="23"/>
          <w:szCs w:val="23"/>
        </w:rPr>
        <w:t xml:space="preserve">m </w:t>
      </w:r>
      <w:r>
        <w:rPr>
          <w:rFonts w:ascii="宋体" w:hAnsi="宋体" w:eastAsia="宋体" w:cs="宋体"/>
          <w:sz w:val="23"/>
          <w:szCs w:val="23"/>
        </w:rPr>
        <w:t xml:space="preserve">，含水层平均厚度 </w:t>
      </w:r>
      <w:r>
        <w:rPr>
          <w:rFonts w:ascii="Times New Roman" w:hAnsi="Times New Roman" w:eastAsia="Times New Roman" w:cs="Times New Roman"/>
          <w:sz w:val="23"/>
          <w:szCs w:val="23"/>
        </w:rPr>
        <w:t xml:space="preserve">2.0m </w:t>
      </w:r>
      <w:r>
        <w:rPr>
          <w:rFonts w:ascii="宋体" w:hAnsi="宋体" w:eastAsia="宋体" w:cs="宋体"/>
          <w:sz w:val="23"/>
          <w:szCs w:val="23"/>
        </w:rPr>
        <w:t xml:space="preserve">，渗透系数 </w:t>
      </w:r>
      <w:r>
        <w:rPr>
          <w:rFonts w:ascii="Times New Roman" w:hAnsi="Times New Roman" w:eastAsia="Times New Roman" w:cs="Times New Roman"/>
          <w:sz w:val="23"/>
          <w:szCs w:val="23"/>
        </w:rPr>
        <w:t xml:space="preserve">30m/d </w:t>
      </w:r>
      <w:r>
        <w:rPr>
          <w:rFonts w:ascii="宋体" w:hAnsi="宋体" w:eastAsia="宋体" w:cs="宋体"/>
          <w:sz w:val="23"/>
          <w:szCs w:val="23"/>
        </w:rPr>
        <w:t xml:space="preserve">，按埋藏 </w:t>
      </w:r>
      <w:r>
        <w:rPr>
          <w:rFonts w:ascii="宋体" w:hAnsi="宋体" w:eastAsia="宋体" w:cs="宋体"/>
          <w:spacing w:val="10"/>
          <w:sz w:val="23"/>
          <w:szCs w:val="23"/>
        </w:rPr>
        <w:t>条</w:t>
      </w:r>
      <w:r>
        <w:rPr>
          <w:rFonts w:ascii="宋体" w:hAnsi="宋体" w:eastAsia="宋体" w:cs="宋体"/>
          <w:spacing w:val="8"/>
          <w:sz w:val="23"/>
          <w:szCs w:val="23"/>
        </w:rPr>
        <w:t>件划分，区内地下水类型为潜水。此类型地下水主要受降水和蒸发控制影响，</w:t>
      </w:r>
      <w:r>
        <w:rPr>
          <w:rFonts w:ascii="宋体" w:hAnsi="宋体" w:eastAsia="宋体" w:cs="宋体"/>
          <w:sz w:val="23"/>
          <w:szCs w:val="23"/>
        </w:rPr>
        <w:t xml:space="preserve"> </w:t>
      </w:r>
      <w:r>
        <w:rPr>
          <w:rFonts w:ascii="宋体" w:hAnsi="宋体" w:eastAsia="宋体" w:cs="宋体"/>
          <w:spacing w:val="8"/>
          <w:sz w:val="23"/>
          <w:szCs w:val="23"/>
        </w:rPr>
        <w:t>比</w:t>
      </w:r>
      <w:r>
        <w:rPr>
          <w:rFonts w:ascii="宋体" w:hAnsi="宋体" w:eastAsia="宋体" w:cs="宋体"/>
          <w:spacing w:val="6"/>
          <w:sz w:val="23"/>
          <w:szCs w:val="23"/>
        </w:rPr>
        <w:t xml:space="preserve">较容易受到污染。该项目区域水文地质图见图 </w:t>
      </w:r>
      <w:r>
        <w:rPr>
          <w:rFonts w:ascii="Times New Roman" w:hAnsi="Times New Roman" w:eastAsia="Times New Roman" w:cs="Times New Roman"/>
          <w:spacing w:val="6"/>
          <w:sz w:val="23"/>
          <w:szCs w:val="23"/>
        </w:rPr>
        <w:t>5-3</w:t>
      </w:r>
      <w:r>
        <w:rPr>
          <w:rFonts w:ascii="宋体" w:hAnsi="宋体" w:eastAsia="宋体" w:cs="宋体"/>
          <w:spacing w:val="6"/>
          <w:sz w:val="23"/>
          <w:szCs w:val="23"/>
        </w:rPr>
        <w:t>。</w:t>
      </w:r>
    </w:p>
    <w:p w14:paraId="0C5BFCF9">
      <w:pPr>
        <w:spacing w:before="151" w:line="405" w:lineRule="auto"/>
        <w:ind w:left="22" w:right="35" w:firstLine="485"/>
        <w:rPr>
          <w:rFonts w:ascii="宋体" w:hAnsi="宋体" w:eastAsia="宋体" w:cs="宋体"/>
          <w:sz w:val="23"/>
          <w:szCs w:val="23"/>
        </w:rPr>
      </w:pPr>
      <w:r>
        <w:rPr>
          <w:rFonts w:ascii="宋体" w:hAnsi="宋体" w:eastAsia="宋体" w:cs="宋体"/>
          <w:spacing w:val="12"/>
          <w:sz w:val="23"/>
          <w:szCs w:val="23"/>
        </w:rPr>
        <w:t>正常情况</w:t>
      </w:r>
      <w:r>
        <w:rPr>
          <w:rFonts w:ascii="宋体" w:hAnsi="宋体" w:eastAsia="宋体" w:cs="宋体"/>
          <w:spacing w:val="6"/>
          <w:sz w:val="23"/>
          <w:szCs w:val="23"/>
        </w:rPr>
        <w:t>下，建设项目的工艺设备和地下水环境保护措施均达到设计要求条</w:t>
      </w:r>
      <w:r>
        <w:rPr>
          <w:rFonts w:ascii="宋体" w:hAnsi="宋体" w:eastAsia="宋体" w:cs="宋体"/>
          <w:sz w:val="23"/>
          <w:szCs w:val="23"/>
        </w:rPr>
        <w:t xml:space="preserve"> </w:t>
      </w:r>
      <w:r>
        <w:rPr>
          <w:rFonts w:ascii="宋体" w:hAnsi="宋体" w:eastAsia="宋体" w:cs="宋体"/>
          <w:spacing w:val="9"/>
          <w:sz w:val="23"/>
          <w:szCs w:val="23"/>
        </w:rPr>
        <w:t>件</w:t>
      </w:r>
      <w:r>
        <w:rPr>
          <w:rFonts w:ascii="宋体" w:hAnsi="宋体" w:eastAsia="宋体" w:cs="宋体"/>
          <w:spacing w:val="7"/>
          <w:sz w:val="23"/>
          <w:szCs w:val="23"/>
        </w:rPr>
        <w:t>下的运行状况，严格落实了各项地下水防渗措施，则本项目的渗漏量很小，通</w:t>
      </w:r>
      <w:r>
        <w:rPr>
          <w:rFonts w:ascii="宋体" w:hAnsi="宋体" w:eastAsia="宋体" w:cs="宋体"/>
          <w:sz w:val="23"/>
          <w:szCs w:val="23"/>
        </w:rPr>
        <w:t xml:space="preserve"> </w:t>
      </w:r>
      <w:r>
        <w:rPr>
          <w:rFonts w:ascii="宋体" w:hAnsi="宋体" w:eastAsia="宋体" w:cs="宋体"/>
          <w:spacing w:val="9"/>
          <w:sz w:val="23"/>
          <w:szCs w:val="23"/>
        </w:rPr>
        <w:t>过</w:t>
      </w:r>
      <w:r>
        <w:rPr>
          <w:rFonts w:ascii="宋体" w:hAnsi="宋体" w:eastAsia="宋体" w:cs="宋体"/>
          <w:spacing w:val="7"/>
          <w:sz w:val="23"/>
          <w:szCs w:val="23"/>
        </w:rPr>
        <w:t>源头控制、分区防渗、加强环境管理、定期跟踪监测，可有效防控本项目改变</w:t>
      </w:r>
      <w:r>
        <w:rPr>
          <w:rFonts w:ascii="宋体" w:hAnsi="宋体" w:eastAsia="宋体" w:cs="宋体"/>
          <w:sz w:val="23"/>
          <w:szCs w:val="23"/>
        </w:rPr>
        <w:t xml:space="preserve"> </w:t>
      </w:r>
      <w:r>
        <w:rPr>
          <w:rFonts w:ascii="宋体" w:hAnsi="宋体" w:eastAsia="宋体" w:cs="宋体"/>
          <w:spacing w:val="18"/>
          <w:sz w:val="23"/>
          <w:szCs w:val="23"/>
        </w:rPr>
        <w:t>场</w:t>
      </w:r>
      <w:r>
        <w:rPr>
          <w:rFonts w:ascii="宋体" w:hAnsi="宋体" w:eastAsia="宋体" w:cs="宋体"/>
          <w:spacing w:val="14"/>
          <w:sz w:val="23"/>
          <w:szCs w:val="23"/>
        </w:rPr>
        <w:t>界</w:t>
      </w:r>
      <w:r>
        <w:rPr>
          <w:rFonts w:ascii="宋体" w:hAnsi="宋体" w:eastAsia="宋体" w:cs="宋体"/>
          <w:spacing w:val="9"/>
          <w:sz w:val="23"/>
          <w:szCs w:val="23"/>
        </w:rPr>
        <w:t>以外地区现有的地下水环境质量，正常状况对地下水环境的影响很小。</w:t>
      </w:r>
    </w:p>
    <w:p w14:paraId="795DF81D">
      <w:pPr>
        <w:spacing w:before="88" w:line="220" w:lineRule="auto"/>
        <w:ind w:left="23"/>
        <w:outlineLvl w:val="3"/>
        <w:rPr>
          <w:rFonts w:ascii="宋体" w:hAnsi="宋体" w:eastAsia="宋体" w:cs="宋体"/>
          <w:sz w:val="28"/>
          <w:szCs w:val="28"/>
        </w:rPr>
      </w:pPr>
      <w:r>
        <w:rPr>
          <w:rFonts w:ascii="Times New Roman" w:hAnsi="Times New Roman" w:eastAsia="Times New Roman" w:cs="Times New Roman"/>
          <w:b/>
          <w:bCs/>
          <w:spacing w:val="18"/>
          <w:sz w:val="28"/>
          <w:szCs w:val="28"/>
        </w:rPr>
        <w:t>5</w:t>
      </w:r>
      <w:r>
        <w:rPr>
          <w:rFonts w:ascii="Times New Roman" w:hAnsi="Times New Roman" w:eastAsia="Times New Roman" w:cs="Times New Roman"/>
          <w:b/>
          <w:bCs/>
          <w:spacing w:val="17"/>
          <w:sz w:val="28"/>
          <w:szCs w:val="28"/>
        </w:rPr>
        <w:t>.</w:t>
      </w:r>
      <w:r>
        <w:rPr>
          <w:rFonts w:ascii="Times New Roman" w:hAnsi="Times New Roman" w:eastAsia="Times New Roman" w:cs="Times New Roman"/>
          <w:b/>
          <w:bCs/>
          <w:spacing w:val="9"/>
          <w:sz w:val="28"/>
          <w:szCs w:val="28"/>
        </w:rPr>
        <w:t>2.3.2</w:t>
      </w:r>
      <w:r>
        <w:rPr>
          <w:rFonts w:ascii="Times New Roman" w:hAnsi="Times New Roman" w:eastAsia="Times New Roman" w:cs="Times New Roman"/>
          <w:spacing w:val="9"/>
          <w:sz w:val="28"/>
          <w:szCs w:val="28"/>
        </w:rPr>
        <w:t xml:space="preserve"> </w:t>
      </w:r>
      <w:r>
        <w:rPr>
          <w:rFonts w:ascii="宋体" w:hAnsi="宋体" w:eastAsia="宋体" w:cs="宋体"/>
          <w:spacing w:val="9"/>
          <w:sz w:val="28"/>
          <w:szCs w:val="28"/>
          <w14:textOutline w14:w="5103" w14:cap="sq" w14:cmpd="sng">
            <w14:solidFill>
              <w14:srgbClr w14:val="000000"/>
            </w14:solidFill>
            <w14:prstDash w14:val="solid"/>
            <w14:bevel/>
          </w14:textOutline>
        </w:rPr>
        <w:t>非正常情况下对地下水水质影响分析</w:t>
      </w:r>
    </w:p>
    <w:p w14:paraId="2A8BCF09">
      <w:pPr>
        <w:spacing w:line="277" w:lineRule="auto"/>
        <w:rPr>
          <w:rFonts w:ascii="Arial"/>
          <w:sz w:val="21"/>
        </w:rPr>
      </w:pPr>
    </w:p>
    <w:p w14:paraId="27E20C69">
      <w:pPr>
        <w:spacing w:before="76" w:line="303" w:lineRule="exact"/>
        <w:ind w:left="522"/>
        <w:rPr>
          <w:rFonts w:ascii="宋体" w:hAnsi="宋体" w:eastAsia="宋体" w:cs="宋体"/>
          <w:sz w:val="23"/>
          <w:szCs w:val="23"/>
        </w:rPr>
      </w:pPr>
      <w:r>
        <w:rPr>
          <w:rFonts w:ascii="Times New Roman" w:hAnsi="Times New Roman" w:eastAsia="Times New Roman" w:cs="Times New Roman"/>
          <w:spacing w:val="-1"/>
          <w:position w:val="1"/>
          <w:sz w:val="23"/>
          <w:szCs w:val="23"/>
        </w:rPr>
        <w:t>1</w:t>
      </w:r>
      <w:r>
        <w:rPr>
          <w:rFonts w:ascii="Times New Roman" w:hAnsi="Times New Roman" w:eastAsia="Times New Roman" w:cs="Times New Roman"/>
          <w:position w:val="1"/>
          <w:sz w:val="23"/>
          <w:szCs w:val="23"/>
        </w:rPr>
        <w:t xml:space="preserve"> </w:t>
      </w:r>
      <w:r>
        <w:rPr>
          <w:rFonts w:ascii="宋体" w:hAnsi="宋体" w:eastAsia="宋体" w:cs="宋体"/>
          <w:position w:val="1"/>
          <w:sz w:val="23"/>
          <w:szCs w:val="23"/>
        </w:rPr>
        <w:t>、预测情景与范围</w:t>
      </w:r>
    </w:p>
    <w:p w14:paraId="2FF2993F">
      <w:pPr>
        <w:spacing w:line="275" w:lineRule="auto"/>
        <w:rPr>
          <w:rFonts w:ascii="Arial"/>
          <w:sz w:val="21"/>
        </w:rPr>
      </w:pPr>
    </w:p>
    <w:p w14:paraId="5A61620D">
      <w:pPr>
        <w:spacing w:before="75" w:line="405" w:lineRule="auto"/>
        <w:ind w:left="24" w:right="35" w:firstLine="479"/>
        <w:rPr>
          <w:rFonts w:ascii="宋体" w:hAnsi="宋体" w:eastAsia="宋体" w:cs="宋体"/>
          <w:sz w:val="23"/>
          <w:szCs w:val="23"/>
        </w:rPr>
      </w:pPr>
      <w:r>
        <w:rPr>
          <w:rFonts w:ascii="宋体" w:hAnsi="宋体" w:eastAsia="宋体" w:cs="宋体"/>
          <w:spacing w:val="22"/>
          <w:sz w:val="23"/>
          <w:szCs w:val="23"/>
        </w:rPr>
        <w:t>根据</w:t>
      </w:r>
      <w:r>
        <w:rPr>
          <w:rFonts w:ascii="宋体" w:hAnsi="宋体" w:eastAsia="宋体" w:cs="宋体"/>
          <w:spacing w:val="11"/>
          <w:sz w:val="23"/>
          <w:szCs w:val="23"/>
        </w:rPr>
        <w:t>地下水导则第</w:t>
      </w:r>
      <w:r>
        <w:rPr>
          <w:rFonts w:ascii="Times New Roman" w:hAnsi="Times New Roman" w:eastAsia="Times New Roman" w:cs="Times New Roman"/>
          <w:spacing w:val="11"/>
          <w:sz w:val="23"/>
          <w:szCs w:val="23"/>
        </w:rPr>
        <w:t>9.6</w:t>
      </w:r>
      <w:r>
        <w:rPr>
          <w:rFonts w:ascii="宋体" w:hAnsi="宋体" w:eastAsia="宋体" w:cs="宋体"/>
          <w:spacing w:val="11"/>
          <w:sz w:val="23"/>
          <w:szCs w:val="23"/>
        </w:rPr>
        <w:t>条的要求，非正常状况下，预测源强可根据工艺设备</w:t>
      </w:r>
      <w:r>
        <w:rPr>
          <w:rFonts w:ascii="宋体" w:hAnsi="宋体" w:eastAsia="宋体" w:cs="宋体"/>
          <w:sz w:val="23"/>
          <w:szCs w:val="23"/>
        </w:rPr>
        <w:t xml:space="preserve"> </w:t>
      </w:r>
      <w:r>
        <w:rPr>
          <w:rFonts w:ascii="宋体" w:hAnsi="宋体" w:eastAsia="宋体" w:cs="宋体"/>
          <w:spacing w:val="8"/>
          <w:sz w:val="23"/>
          <w:szCs w:val="23"/>
        </w:rPr>
        <w:t>或</w:t>
      </w:r>
      <w:r>
        <w:rPr>
          <w:rFonts w:ascii="宋体" w:hAnsi="宋体" w:eastAsia="宋体" w:cs="宋体"/>
          <w:spacing w:val="7"/>
          <w:sz w:val="23"/>
          <w:szCs w:val="23"/>
        </w:rPr>
        <w:t>地下水环境保护措施因系统老化或腐蚀程度等设定。本项目设定项目三级污沉</w:t>
      </w:r>
      <w:r>
        <w:rPr>
          <w:rFonts w:ascii="宋体" w:hAnsi="宋体" w:eastAsia="宋体" w:cs="宋体"/>
          <w:sz w:val="23"/>
          <w:szCs w:val="23"/>
        </w:rPr>
        <w:t xml:space="preserve"> </w:t>
      </w:r>
      <w:r>
        <w:rPr>
          <w:rFonts w:ascii="宋体" w:hAnsi="宋体" w:eastAsia="宋体" w:cs="宋体"/>
          <w:spacing w:val="8"/>
          <w:sz w:val="23"/>
          <w:szCs w:val="23"/>
        </w:rPr>
        <w:t>淀</w:t>
      </w:r>
      <w:r>
        <w:rPr>
          <w:rFonts w:ascii="宋体" w:hAnsi="宋体" w:eastAsia="宋体" w:cs="宋体"/>
          <w:spacing w:val="7"/>
          <w:sz w:val="23"/>
          <w:szCs w:val="23"/>
        </w:rPr>
        <w:t>池、污水管网等防渗系统老化、腐蚀保护效果达不到设计要求时的情景，最不</w:t>
      </w:r>
      <w:r>
        <w:rPr>
          <w:rFonts w:ascii="宋体" w:hAnsi="宋体" w:eastAsia="宋体" w:cs="宋体"/>
          <w:sz w:val="23"/>
          <w:szCs w:val="23"/>
        </w:rPr>
        <w:t xml:space="preserve"> </w:t>
      </w:r>
      <w:r>
        <w:rPr>
          <w:rFonts w:ascii="宋体" w:hAnsi="宋体" w:eastAsia="宋体" w:cs="宋体"/>
          <w:spacing w:val="8"/>
          <w:sz w:val="23"/>
          <w:szCs w:val="23"/>
        </w:rPr>
        <w:t>利</w:t>
      </w:r>
      <w:r>
        <w:rPr>
          <w:rFonts w:ascii="宋体" w:hAnsi="宋体" w:eastAsia="宋体" w:cs="宋体"/>
          <w:spacing w:val="7"/>
          <w:sz w:val="23"/>
          <w:szCs w:val="23"/>
        </w:rPr>
        <w:t>情况，防渗层出现漏洞，持续点源发生渗漏的情景，该情景下不考虑包气带防</w:t>
      </w:r>
    </w:p>
    <w:p w14:paraId="0EC43F5A">
      <w:pPr>
        <w:sectPr>
          <w:headerReference r:id="rId225" w:type="default"/>
          <w:footerReference r:id="rId226" w:type="default"/>
          <w:pgSz w:w="11906" w:h="16839"/>
          <w:pgMar w:top="1132" w:right="1764" w:bottom="1182" w:left="1785" w:header="878" w:footer="1022" w:gutter="0"/>
          <w:cols w:space="720" w:num="1"/>
        </w:sectPr>
      </w:pPr>
    </w:p>
    <w:p w14:paraId="297CC27C">
      <w:pPr>
        <w:spacing w:line="424" w:lineRule="auto"/>
        <w:rPr>
          <w:rFonts w:ascii="Arial"/>
          <w:sz w:val="21"/>
        </w:rPr>
      </w:pPr>
      <w:r>
        <w:pict>
          <v:shape id="_x0000_s1274" o:spid="_x0000_s1274" style="position:absolute;left:0pt;margin-left:90pt;margin-top:57.35pt;height:0.75pt;width:415.3pt;mso-position-horizontal-relative:page;mso-position-vertical-relative:page;z-index:251929600;mso-width-relative:page;mso-height-relative:page;" fillcolor="#000000" filled="t" stroked="f" coordsize="8305,15" o:allowincell="f" path="m0,0l8305,0,8305,14,0,14,0,0xe">
            <v:path/>
            <v:fill on="t" focussize="0,0"/>
            <v:stroke on="f"/>
            <v:imagedata o:title=""/>
            <o:lock v:ext="edit"/>
          </v:shape>
        </w:pict>
      </w:r>
    </w:p>
    <w:p w14:paraId="1C7D1077">
      <w:pPr>
        <w:spacing w:before="75" w:line="408" w:lineRule="auto"/>
        <w:ind w:left="22" w:right="66" w:firstLine="2"/>
        <w:rPr>
          <w:rFonts w:ascii="宋体" w:hAnsi="宋体" w:eastAsia="宋体" w:cs="宋体"/>
          <w:sz w:val="23"/>
          <w:szCs w:val="23"/>
        </w:rPr>
      </w:pPr>
      <w:r>
        <w:rPr>
          <w:rFonts w:ascii="宋体" w:hAnsi="宋体" w:eastAsia="宋体" w:cs="宋体"/>
          <w:spacing w:val="7"/>
          <w:sz w:val="23"/>
          <w:szCs w:val="23"/>
        </w:rPr>
        <w:t>污性能带来的吸附作用和时间滞后效应，取污染物原始浓度随污水沿垂直方向直</w:t>
      </w:r>
      <w:r>
        <w:rPr>
          <w:rFonts w:ascii="宋体" w:hAnsi="宋体" w:eastAsia="宋体" w:cs="宋体"/>
          <w:sz w:val="23"/>
          <w:szCs w:val="23"/>
        </w:rPr>
        <w:t xml:space="preserve"> </w:t>
      </w:r>
      <w:r>
        <w:rPr>
          <w:rFonts w:ascii="宋体" w:hAnsi="宋体" w:eastAsia="宋体" w:cs="宋体"/>
          <w:spacing w:val="16"/>
          <w:sz w:val="23"/>
          <w:szCs w:val="23"/>
        </w:rPr>
        <w:t>接</w:t>
      </w:r>
      <w:r>
        <w:rPr>
          <w:rFonts w:ascii="宋体" w:hAnsi="宋体" w:eastAsia="宋体" w:cs="宋体"/>
          <w:spacing w:val="9"/>
          <w:sz w:val="23"/>
          <w:szCs w:val="23"/>
        </w:rPr>
        <w:t>进</w:t>
      </w:r>
      <w:r>
        <w:rPr>
          <w:rFonts w:ascii="宋体" w:hAnsi="宋体" w:eastAsia="宋体" w:cs="宋体"/>
          <w:spacing w:val="8"/>
          <w:sz w:val="23"/>
          <w:szCs w:val="23"/>
        </w:rPr>
        <w:t>入到潜水含水层进行预测。</w:t>
      </w:r>
    </w:p>
    <w:p w14:paraId="3D560C6C">
      <w:pPr>
        <w:spacing w:before="137" w:line="410" w:lineRule="auto"/>
        <w:ind w:left="22" w:firstLine="457"/>
        <w:rPr>
          <w:rFonts w:ascii="宋体" w:hAnsi="宋体" w:eastAsia="宋体" w:cs="宋体"/>
          <w:sz w:val="23"/>
          <w:szCs w:val="23"/>
        </w:rPr>
      </w:pPr>
      <w:r>
        <w:rPr>
          <w:rFonts w:ascii="宋体" w:hAnsi="宋体" w:eastAsia="宋体" w:cs="宋体"/>
          <w:spacing w:val="-8"/>
          <w:sz w:val="23"/>
          <w:szCs w:val="23"/>
        </w:rPr>
        <w:t>本</w:t>
      </w:r>
      <w:r>
        <w:rPr>
          <w:rFonts w:ascii="宋体" w:hAnsi="宋体" w:eastAsia="宋体" w:cs="宋体"/>
          <w:spacing w:val="-4"/>
          <w:sz w:val="23"/>
          <w:szCs w:val="23"/>
        </w:rPr>
        <w:t>项目预测范围同评价范围。地下水系统的上边以自由水面为界，通过该边界，</w:t>
      </w:r>
      <w:r>
        <w:rPr>
          <w:rFonts w:ascii="宋体" w:hAnsi="宋体" w:eastAsia="宋体" w:cs="宋体"/>
          <w:sz w:val="23"/>
          <w:szCs w:val="23"/>
        </w:rPr>
        <w:t xml:space="preserve"> </w:t>
      </w:r>
      <w:r>
        <w:rPr>
          <w:rFonts w:ascii="宋体" w:hAnsi="宋体" w:eastAsia="宋体" w:cs="宋体"/>
          <w:spacing w:val="-2"/>
          <w:sz w:val="23"/>
          <w:szCs w:val="23"/>
        </w:rPr>
        <w:t>潜水与系统外界发生垂向水量交换，如接受大气降水入渗补给、地表水渗</w:t>
      </w:r>
      <w:r>
        <w:rPr>
          <w:rFonts w:ascii="宋体" w:hAnsi="宋体" w:eastAsia="宋体" w:cs="宋体"/>
          <w:spacing w:val="-1"/>
          <w:sz w:val="23"/>
          <w:szCs w:val="23"/>
        </w:rPr>
        <w:t>漏</w:t>
      </w:r>
      <w:r>
        <w:rPr>
          <w:rFonts w:ascii="宋体" w:hAnsi="宋体" w:eastAsia="宋体" w:cs="宋体"/>
          <w:sz w:val="23"/>
          <w:szCs w:val="23"/>
        </w:rPr>
        <w:t>等。</w:t>
      </w:r>
    </w:p>
    <w:p w14:paraId="51A3D8C0">
      <w:pPr>
        <w:spacing w:before="136" w:line="303" w:lineRule="exact"/>
        <w:ind w:left="499"/>
        <w:rPr>
          <w:rFonts w:ascii="宋体" w:hAnsi="宋体" w:eastAsia="宋体" w:cs="宋体"/>
          <w:sz w:val="23"/>
          <w:szCs w:val="23"/>
        </w:rPr>
      </w:pPr>
      <w:r>
        <w:rPr>
          <w:rFonts w:ascii="Times New Roman" w:hAnsi="Times New Roman" w:eastAsia="Times New Roman" w:cs="Times New Roman"/>
          <w:spacing w:val="-2"/>
          <w:position w:val="1"/>
          <w:sz w:val="23"/>
          <w:szCs w:val="23"/>
        </w:rPr>
        <w:t>2</w:t>
      </w:r>
      <w:r>
        <w:rPr>
          <w:rFonts w:ascii="Times New Roman" w:hAnsi="Times New Roman" w:eastAsia="Times New Roman" w:cs="Times New Roman"/>
          <w:spacing w:val="-1"/>
          <w:position w:val="1"/>
          <w:sz w:val="23"/>
          <w:szCs w:val="23"/>
        </w:rPr>
        <w:t xml:space="preserve"> </w:t>
      </w:r>
      <w:r>
        <w:rPr>
          <w:rFonts w:ascii="宋体" w:hAnsi="宋体" w:eastAsia="宋体" w:cs="宋体"/>
          <w:spacing w:val="-1"/>
          <w:position w:val="1"/>
          <w:sz w:val="23"/>
          <w:szCs w:val="23"/>
        </w:rPr>
        <w:t>、预测时间</w:t>
      </w:r>
    </w:p>
    <w:p w14:paraId="1C4FF6FC">
      <w:pPr>
        <w:spacing w:before="307" w:line="412" w:lineRule="auto"/>
        <w:ind w:left="23" w:right="63" w:firstLine="481"/>
        <w:rPr>
          <w:rFonts w:ascii="宋体" w:hAnsi="宋体" w:eastAsia="宋体" w:cs="宋体"/>
          <w:sz w:val="23"/>
          <w:szCs w:val="23"/>
        </w:rPr>
      </w:pPr>
      <w:r>
        <w:rPr>
          <w:rFonts w:ascii="宋体" w:hAnsi="宋体" w:eastAsia="宋体" w:cs="宋体"/>
          <w:spacing w:val="9"/>
          <w:sz w:val="23"/>
          <w:szCs w:val="23"/>
        </w:rPr>
        <w:t>污</w:t>
      </w:r>
      <w:r>
        <w:rPr>
          <w:rFonts w:ascii="宋体" w:hAnsi="宋体" w:eastAsia="宋体" w:cs="宋体"/>
          <w:spacing w:val="6"/>
          <w:sz w:val="23"/>
          <w:szCs w:val="23"/>
        </w:rPr>
        <w:t>染发生后</w:t>
      </w:r>
      <w:r>
        <w:rPr>
          <w:rFonts w:ascii="Times New Roman" w:hAnsi="Times New Roman" w:eastAsia="Times New Roman" w:cs="Times New Roman"/>
          <w:spacing w:val="6"/>
          <w:sz w:val="23"/>
          <w:szCs w:val="23"/>
        </w:rPr>
        <w:t>100</w:t>
      </w:r>
      <w:r>
        <w:rPr>
          <w:rFonts w:ascii="Times New Roman" w:hAnsi="Times New Roman" w:eastAsia="Times New Roman" w:cs="Times New Roman"/>
          <w:sz w:val="23"/>
          <w:szCs w:val="23"/>
        </w:rPr>
        <w:t>d</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w:t>
      </w:r>
      <w:r>
        <w:rPr>
          <w:rFonts w:ascii="Times New Roman" w:hAnsi="Times New Roman" w:eastAsia="Times New Roman" w:cs="Times New Roman"/>
          <w:spacing w:val="6"/>
          <w:sz w:val="23"/>
          <w:szCs w:val="23"/>
        </w:rPr>
        <w:t>1000</w:t>
      </w:r>
      <w:r>
        <w:rPr>
          <w:rFonts w:ascii="Times New Roman" w:hAnsi="Times New Roman" w:eastAsia="Times New Roman" w:cs="Times New Roman"/>
          <w:sz w:val="23"/>
          <w:szCs w:val="23"/>
        </w:rPr>
        <w:t>d</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。由于本项目企业自身环境管理目标设定较高且有</w:t>
      </w:r>
      <w:r>
        <w:rPr>
          <w:rFonts w:ascii="宋体" w:hAnsi="宋体" w:eastAsia="宋体" w:cs="宋体"/>
          <w:sz w:val="23"/>
          <w:szCs w:val="23"/>
        </w:rPr>
        <w:t xml:space="preserve"> </w:t>
      </w:r>
      <w:r>
        <w:rPr>
          <w:rFonts w:ascii="宋体" w:hAnsi="宋体" w:eastAsia="宋体" w:cs="宋体"/>
          <w:spacing w:val="11"/>
          <w:sz w:val="23"/>
          <w:szCs w:val="23"/>
        </w:rPr>
        <w:t>定</w:t>
      </w:r>
      <w:r>
        <w:rPr>
          <w:rFonts w:ascii="宋体" w:hAnsi="宋体" w:eastAsia="宋体" w:cs="宋体"/>
          <w:spacing w:val="10"/>
          <w:sz w:val="23"/>
          <w:szCs w:val="23"/>
        </w:rPr>
        <w:t>期跟踪监测和环境保护主管部门的监管，因此出现</w:t>
      </w:r>
      <w:r>
        <w:rPr>
          <w:rFonts w:ascii="Times New Roman" w:hAnsi="Times New Roman" w:eastAsia="Times New Roman" w:cs="Times New Roman"/>
          <w:spacing w:val="10"/>
          <w:sz w:val="23"/>
          <w:szCs w:val="23"/>
        </w:rPr>
        <w:t>1000</w:t>
      </w:r>
      <w:r>
        <w:rPr>
          <w:rFonts w:ascii="Times New Roman" w:hAnsi="Times New Roman" w:eastAsia="Times New Roman" w:cs="Times New Roman"/>
          <w:sz w:val="23"/>
          <w:szCs w:val="23"/>
        </w:rPr>
        <w:t>d</w:t>
      </w:r>
      <w:r>
        <w:rPr>
          <w:rFonts w:ascii="宋体" w:hAnsi="宋体" w:eastAsia="宋体" w:cs="宋体"/>
          <w:spacing w:val="10"/>
          <w:sz w:val="23"/>
          <w:szCs w:val="23"/>
        </w:rPr>
        <w:t>以上的非正常状况持</w:t>
      </w:r>
      <w:r>
        <w:rPr>
          <w:rFonts w:ascii="宋体" w:hAnsi="宋体" w:eastAsia="宋体" w:cs="宋体"/>
          <w:sz w:val="23"/>
          <w:szCs w:val="23"/>
        </w:rPr>
        <w:t xml:space="preserve"> </w:t>
      </w:r>
      <w:r>
        <w:rPr>
          <w:rFonts w:ascii="宋体" w:hAnsi="宋体" w:eastAsia="宋体" w:cs="宋体"/>
          <w:spacing w:val="12"/>
          <w:sz w:val="23"/>
          <w:szCs w:val="23"/>
        </w:rPr>
        <w:t>续泄露</w:t>
      </w:r>
      <w:r>
        <w:rPr>
          <w:rFonts w:ascii="宋体" w:hAnsi="宋体" w:eastAsia="宋体" w:cs="宋体"/>
          <w:spacing w:val="9"/>
          <w:sz w:val="23"/>
          <w:szCs w:val="23"/>
        </w:rPr>
        <w:t xml:space="preserve"> </w:t>
      </w:r>
      <w:r>
        <w:rPr>
          <w:rFonts w:ascii="宋体" w:hAnsi="宋体" w:eastAsia="宋体" w:cs="宋体"/>
          <w:spacing w:val="6"/>
          <w:sz w:val="23"/>
          <w:szCs w:val="23"/>
        </w:rPr>
        <w:t>(例如运营期</w:t>
      </w:r>
      <w:r>
        <w:rPr>
          <w:rFonts w:ascii="Times New Roman" w:hAnsi="Times New Roman" w:eastAsia="Times New Roman" w:cs="Times New Roman"/>
          <w:spacing w:val="6"/>
          <w:sz w:val="23"/>
          <w:szCs w:val="23"/>
        </w:rPr>
        <w:t>20</w:t>
      </w:r>
      <w:r>
        <w:rPr>
          <w:rFonts w:ascii="宋体" w:hAnsi="宋体" w:eastAsia="宋体" w:cs="宋体"/>
          <w:spacing w:val="6"/>
          <w:sz w:val="23"/>
          <w:szCs w:val="23"/>
        </w:rPr>
        <w:t>年) ，长期污染地下水而未发现或发现确不采取应急响应</w:t>
      </w:r>
      <w:r>
        <w:rPr>
          <w:rFonts w:ascii="宋体" w:hAnsi="宋体" w:eastAsia="宋体" w:cs="宋体"/>
          <w:sz w:val="23"/>
          <w:szCs w:val="23"/>
        </w:rPr>
        <w:t xml:space="preserve"> </w:t>
      </w:r>
      <w:r>
        <w:rPr>
          <w:rFonts w:ascii="宋体" w:hAnsi="宋体" w:eastAsia="宋体" w:cs="宋体"/>
          <w:spacing w:val="11"/>
          <w:sz w:val="23"/>
          <w:szCs w:val="23"/>
        </w:rPr>
        <w:t>措</w:t>
      </w:r>
      <w:r>
        <w:rPr>
          <w:rFonts w:ascii="宋体" w:hAnsi="宋体" w:eastAsia="宋体" w:cs="宋体"/>
          <w:spacing w:val="9"/>
          <w:sz w:val="23"/>
          <w:szCs w:val="23"/>
        </w:rPr>
        <w:t>施是不现实的，因此本项目最长的持续泄露时间取导则规定的时间为</w:t>
      </w:r>
      <w:r>
        <w:rPr>
          <w:rFonts w:ascii="Times New Roman" w:hAnsi="Times New Roman" w:eastAsia="Times New Roman" w:cs="Times New Roman"/>
          <w:spacing w:val="9"/>
          <w:sz w:val="23"/>
          <w:szCs w:val="23"/>
        </w:rPr>
        <w:t>1000</w:t>
      </w:r>
      <w:r>
        <w:rPr>
          <w:rFonts w:ascii="Times New Roman" w:hAnsi="Times New Roman" w:eastAsia="Times New Roman" w:cs="Times New Roman"/>
          <w:sz w:val="23"/>
          <w:szCs w:val="23"/>
        </w:rPr>
        <w:t>d</w:t>
      </w:r>
      <w:r>
        <w:rPr>
          <w:rFonts w:ascii="宋体" w:hAnsi="宋体" w:eastAsia="宋体" w:cs="宋体"/>
          <w:spacing w:val="9"/>
          <w:sz w:val="23"/>
          <w:szCs w:val="23"/>
        </w:rPr>
        <w:t>。</w:t>
      </w:r>
    </w:p>
    <w:p w14:paraId="3D5F58B3">
      <w:pPr>
        <w:spacing w:before="149" w:line="303" w:lineRule="exact"/>
        <w:ind w:left="503"/>
        <w:rPr>
          <w:rFonts w:ascii="宋体" w:hAnsi="宋体" w:eastAsia="宋体" w:cs="宋体"/>
          <w:sz w:val="23"/>
          <w:szCs w:val="23"/>
        </w:rPr>
      </w:pPr>
      <w:r>
        <w:rPr>
          <w:rFonts w:ascii="Times New Roman" w:hAnsi="Times New Roman" w:eastAsia="Times New Roman" w:cs="Times New Roman"/>
          <w:spacing w:val="-2"/>
          <w:position w:val="1"/>
          <w:sz w:val="23"/>
          <w:szCs w:val="23"/>
        </w:rPr>
        <w:t xml:space="preserve">3 </w:t>
      </w:r>
      <w:r>
        <w:rPr>
          <w:rFonts w:ascii="宋体" w:hAnsi="宋体" w:eastAsia="宋体" w:cs="宋体"/>
          <w:spacing w:val="-2"/>
          <w:position w:val="1"/>
          <w:sz w:val="23"/>
          <w:szCs w:val="23"/>
        </w:rPr>
        <w:t>、预测方</w:t>
      </w:r>
      <w:r>
        <w:rPr>
          <w:rFonts w:ascii="宋体" w:hAnsi="宋体" w:eastAsia="宋体" w:cs="宋体"/>
          <w:spacing w:val="-1"/>
          <w:position w:val="1"/>
          <w:sz w:val="23"/>
          <w:szCs w:val="23"/>
        </w:rPr>
        <w:t>法</w:t>
      </w:r>
    </w:p>
    <w:p w14:paraId="5AE99A75">
      <w:pPr>
        <w:spacing w:line="274" w:lineRule="auto"/>
        <w:rPr>
          <w:rFonts w:ascii="Arial"/>
          <w:sz w:val="21"/>
        </w:rPr>
      </w:pPr>
    </w:p>
    <w:p w14:paraId="0E8E493A">
      <w:pPr>
        <w:spacing w:before="75" w:line="443" w:lineRule="auto"/>
        <w:ind w:left="27" w:right="31" w:firstLine="475"/>
        <w:rPr>
          <w:rFonts w:ascii="宋体" w:hAnsi="宋体" w:eastAsia="宋体" w:cs="宋体"/>
          <w:sz w:val="23"/>
          <w:szCs w:val="23"/>
        </w:rPr>
      </w:pPr>
      <w:r>
        <w:rPr>
          <w:rFonts w:ascii="宋体" w:hAnsi="宋体" w:eastAsia="宋体" w:cs="宋体"/>
          <w:spacing w:val="8"/>
          <w:sz w:val="23"/>
          <w:szCs w:val="23"/>
        </w:rPr>
        <w:t>采用解析模型预测污染物在含水层中的扩散，一维半无限长多孔介质柱体</w:t>
      </w:r>
      <w:r>
        <w:rPr>
          <w:rFonts w:ascii="宋体" w:hAnsi="宋体" w:eastAsia="宋体" w:cs="宋体"/>
          <w:spacing w:val="7"/>
          <w:sz w:val="23"/>
          <w:szCs w:val="23"/>
        </w:rPr>
        <w:t>，</w:t>
      </w:r>
      <w:r>
        <w:rPr>
          <w:rFonts w:ascii="宋体" w:hAnsi="宋体" w:eastAsia="宋体" w:cs="宋体"/>
          <w:sz w:val="23"/>
          <w:szCs w:val="23"/>
        </w:rPr>
        <w:t xml:space="preserve"> </w:t>
      </w:r>
      <w:r>
        <w:rPr>
          <w:rFonts w:ascii="宋体" w:hAnsi="宋体" w:eastAsia="宋体" w:cs="宋体"/>
          <w:spacing w:val="16"/>
          <w:sz w:val="23"/>
          <w:szCs w:val="23"/>
        </w:rPr>
        <w:t>一</w:t>
      </w:r>
      <w:r>
        <w:rPr>
          <w:rFonts w:ascii="宋体" w:hAnsi="宋体" w:eastAsia="宋体" w:cs="宋体"/>
          <w:spacing w:val="9"/>
          <w:sz w:val="23"/>
          <w:szCs w:val="23"/>
        </w:rPr>
        <w:t>端为定浓度边界。不考虑吸附解析作用和化学反应作用，公式如下：</w:t>
      </w:r>
    </w:p>
    <w:p w14:paraId="28DF8161">
      <w:pPr>
        <w:spacing w:line="965" w:lineRule="exact"/>
        <w:ind w:firstLine="494"/>
        <w:textAlignment w:val="center"/>
      </w:pPr>
      <w:r>
        <w:drawing>
          <wp:inline distT="0" distB="0" distL="0" distR="0">
            <wp:extent cx="2590800" cy="612140"/>
            <wp:effectExtent l="0" t="0" r="0" b="0"/>
            <wp:docPr id="129" name="IM 129"/>
            <wp:cNvGraphicFramePr/>
            <a:graphic xmlns:a="http://schemas.openxmlformats.org/drawingml/2006/main">
              <a:graphicData uri="http://schemas.openxmlformats.org/drawingml/2006/picture">
                <pic:pic xmlns:pic="http://schemas.openxmlformats.org/drawingml/2006/picture">
                  <pic:nvPicPr>
                    <pic:cNvPr id="129" name="IM 129"/>
                    <pic:cNvPicPr/>
                  </pic:nvPicPr>
                  <pic:blipFill>
                    <a:blip r:embed="rId518"/>
                    <a:stretch>
                      <a:fillRect/>
                    </a:stretch>
                  </pic:blipFill>
                  <pic:spPr>
                    <a:xfrm>
                      <a:off x="0" y="0"/>
                      <a:ext cx="2590800" cy="612647"/>
                    </a:xfrm>
                    <a:prstGeom prst="rect">
                      <a:avLst/>
                    </a:prstGeom>
                  </pic:spPr>
                </pic:pic>
              </a:graphicData>
            </a:graphic>
          </wp:inline>
        </w:drawing>
      </w:r>
    </w:p>
    <w:p w14:paraId="022E010F">
      <w:pPr>
        <w:spacing w:line="416" w:lineRule="auto"/>
        <w:rPr>
          <w:rFonts w:ascii="Arial"/>
          <w:sz w:val="21"/>
        </w:rPr>
      </w:pPr>
    </w:p>
    <w:p w14:paraId="233DDD3E">
      <w:pPr>
        <w:spacing w:before="74" w:line="228" w:lineRule="auto"/>
        <w:ind w:left="508"/>
        <w:rPr>
          <w:rFonts w:ascii="宋体" w:hAnsi="宋体" w:eastAsia="宋体" w:cs="宋体"/>
          <w:sz w:val="23"/>
          <w:szCs w:val="23"/>
        </w:rPr>
      </w:pPr>
      <w:r>
        <w:rPr>
          <w:rFonts w:ascii="宋体" w:hAnsi="宋体" w:eastAsia="宋体" w:cs="宋体"/>
          <w:spacing w:val="10"/>
          <w:sz w:val="23"/>
          <w:szCs w:val="23"/>
        </w:rPr>
        <w:t>式</w:t>
      </w:r>
      <w:r>
        <w:rPr>
          <w:rFonts w:ascii="宋体" w:hAnsi="宋体" w:eastAsia="宋体" w:cs="宋体"/>
          <w:spacing w:val="9"/>
          <w:sz w:val="23"/>
          <w:szCs w:val="23"/>
        </w:rPr>
        <w:t>中：</w:t>
      </w:r>
      <w:r>
        <w:rPr>
          <w:rFonts w:ascii="Times New Roman" w:hAnsi="Times New Roman" w:eastAsia="Times New Roman" w:cs="Times New Roman"/>
          <w:sz w:val="23"/>
          <w:szCs w:val="23"/>
        </w:rPr>
        <w:t>x</w:t>
      </w:r>
      <w:r>
        <w:rPr>
          <w:rFonts w:ascii="Times New Roman" w:hAnsi="Times New Roman" w:eastAsia="Times New Roman" w:cs="Times New Roman"/>
          <w:spacing w:val="9"/>
          <w:sz w:val="23"/>
          <w:szCs w:val="23"/>
        </w:rPr>
        <w:t>—</w:t>
      </w:r>
      <w:r>
        <w:rPr>
          <w:rFonts w:ascii="宋体" w:hAnsi="宋体" w:eastAsia="宋体" w:cs="宋体"/>
          <w:spacing w:val="9"/>
          <w:sz w:val="23"/>
          <w:szCs w:val="23"/>
        </w:rPr>
        <w:t>距注入点的距离，</w:t>
      </w:r>
      <w:r>
        <w:rPr>
          <w:rFonts w:ascii="Times New Roman" w:hAnsi="Times New Roman" w:eastAsia="Times New Roman" w:cs="Times New Roman"/>
          <w:sz w:val="23"/>
          <w:szCs w:val="23"/>
        </w:rPr>
        <w:t>m</w:t>
      </w:r>
      <w:r>
        <w:rPr>
          <w:rFonts w:ascii="宋体" w:hAnsi="宋体" w:eastAsia="宋体" w:cs="宋体"/>
          <w:spacing w:val="9"/>
          <w:sz w:val="23"/>
          <w:szCs w:val="23"/>
        </w:rPr>
        <w:t>；</w:t>
      </w:r>
    </w:p>
    <w:p w14:paraId="4FDA9750">
      <w:pPr>
        <w:spacing w:before="311" w:line="323" w:lineRule="exact"/>
        <w:ind w:left="1216"/>
        <w:rPr>
          <w:rFonts w:ascii="宋体" w:hAnsi="宋体" w:eastAsia="宋体" w:cs="宋体"/>
          <w:sz w:val="23"/>
          <w:szCs w:val="23"/>
        </w:rPr>
      </w:pPr>
      <w:r>
        <w:rPr>
          <w:rFonts w:ascii="Times New Roman" w:hAnsi="Times New Roman" w:eastAsia="Times New Roman" w:cs="Times New Roman"/>
          <w:spacing w:val="-1"/>
          <w:position w:val="1"/>
          <w:sz w:val="23"/>
          <w:szCs w:val="23"/>
        </w:rPr>
        <w:t>t</w:t>
      </w:r>
      <w:r>
        <w:rPr>
          <w:rFonts w:ascii="Times New Roman" w:hAnsi="Times New Roman" w:eastAsia="Times New Roman" w:cs="Times New Roman"/>
          <w:spacing w:val="-2"/>
          <w:position w:val="1"/>
          <w:sz w:val="23"/>
          <w:szCs w:val="23"/>
        </w:rPr>
        <w:t xml:space="preserve">— </w:t>
      </w:r>
      <w:r>
        <w:rPr>
          <w:rFonts w:ascii="宋体" w:hAnsi="宋体" w:eastAsia="宋体" w:cs="宋体"/>
          <w:spacing w:val="-2"/>
          <w:position w:val="1"/>
          <w:sz w:val="23"/>
          <w:szCs w:val="23"/>
        </w:rPr>
        <w:t>时间，</w:t>
      </w:r>
      <w:r>
        <w:rPr>
          <w:rFonts w:ascii="Times New Roman" w:hAnsi="Times New Roman" w:eastAsia="Times New Roman" w:cs="Times New Roman"/>
          <w:spacing w:val="-1"/>
          <w:position w:val="1"/>
          <w:sz w:val="23"/>
          <w:szCs w:val="23"/>
        </w:rPr>
        <w:t>d</w:t>
      </w:r>
      <w:r>
        <w:rPr>
          <w:rFonts w:ascii="宋体" w:hAnsi="宋体" w:eastAsia="宋体" w:cs="宋体"/>
          <w:spacing w:val="-2"/>
          <w:position w:val="1"/>
          <w:sz w:val="23"/>
          <w:szCs w:val="23"/>
        </w:rPr>
        <w:t>；</w:t>
      </w:r>
    </w:p>
    <w:p w14:paraId="0651CD9E">
      <w:pPr>
        <w:spacing w:before="313" w:line="636" w:lineRule="exact"/>
        <w:ind w:left="1222"/>
        <w:rPr>
          <w:rFonts w:ascii="宋体" w:hAnsi="宋体" w:eastAsia="宋体" w:cs="宋体"/>
          <w:sz w:val="23"/>
          <w:szCs w:val="23"/>
        </w:rPr>
      </w:pPr>
      <w:r>
        <w:rPr>
          <w:rFonts w:ascii="Times New Roman" w:hAnsi="Times New Roman" w:eastAsia="Times New Roman" w:cs="Times New Roman"/>
          <w:position w:val="28"/>
          <w:sz w:val="23"/>
          <w:szCs w:val="23"/>
        </w:rPr>
        <w:t>C</w:t>
      </w:r>
      <w:r>
        <w:rPr>
          <w:rFonts w:ascii="Times New Roman" w:hAnsi="Times New Roman" w:eastAsia="Times New Roman" w:cs="Times New Roman"/>
          <w:spacing w:val="9"/>
          <w:position w:val="28"/>
          <w:sz w:val="23"/>
          <w:szCs w:val="23"/>
        </w:rPr>
        <w:t>(</w:t>
      </w:r>
      <w:r>
        <w:rPr>
          <w:rFonts w:ascii="Times New Roman" w:hAnsi="Times New Roman" w:eastAsia="Times New Roman" w:cs="Times New Roman"/>
          <w:position w:val="28"/>
          <w:sz w:val="23"/>
          <w:szCs w:val="23"/>
        </w:rPr>
        <w:t>x</w:t>
      </w:r>
      <w:r>
        <w:rPr>
          <w:rFonts w:ascii="Times New Roman" w:hAnsi="Times New Roman" w:eastAsia="Times New Roman" w:cs="Times New Roman"/>
          <w:spacing w:val="5"/>
          <w:position w:val="28"/>
          <w:sz w:val="23"/>
          <w:szCs w:val="23"/>
        </w:rPr>
        <w:t>,</w:t>
      </w:r>
      <w:r>
        <w:rPr>
          <w:rFonts w:ascii="Times New Roman" w:hAnsi="Times New Roman" w:eastAsia="Times New Roman" w:cs="Times New Roman"/>
          <w:position w:val="28"/>
          <w:sz w:val="23"/>
          <w:szCs w:val="23"/>
        </w:rPr>
        <w:t>t</w:t>
      </w:r>
      <w:r>
        <w:rPr>
          <w:rFonts w:ascii="Times New Roman" w:hAnsi="Times New Roman" w:eastAsia="Times New Roman" w:cs="Times New Roman"/>
          <w:spacing w:val="5"/>
          <w:position w:val="28"/>
          <w:sz w:val="23"/>
          <w:szCs w:val="23"/>
        </w:rPr>
        <w:t>)—</w:t>
      </w:r>
      <w:r>
        <w:rPr>
          <w:rFonts w:ascii="Times New Roman" w:hAnsi="Times New Roman" w:eastAsia="Times New Roman" w:cs="Times New Roman"/>
          <w:position w:val="28"/>
          <w:sz w:val="23"/>
          <w:szCs w:val="23"/>
        </w:rPr>
        <w:t>t</w:t>
      </w:r>
      <w:r>
        <w:rPr>
          <w:rFonts w:ascii="Times New Roman" w:hAnsi="Times New Roman" w:eastAsia="Times New Roman" w:cs="Times New Roman"/>
          <w:spacing w:val="5"/>
          <w:position w:val="28"/>
          <w:sz w:val="23"/>
          <w:szCs w:val="23"/>
        </w:rPr>
        <w:t xml:space="preserve"> </w:t>
      </w:r>
      <w:r>
        <w:rPr>
          <w:rFonts w:ascii="宋体" w:hAnsi="宋体" w:eastAsia="宋体" w:cs="宋体"/>
          <w:spacing w:val="5"/>
          <w:position w:val="28"/>
          <w:sz w:val="23"/>
          <w:szCs w:val="23"/>
        </w:rPr>
        <w:t xml:space="preserve">时刻点 </w:t>
      </w:r>
      <w:r>
        <w:rPr>
          <w:rFonts w:ascii="Times New Roman" w:hAnsi="Times New Roman" w:eastAsia="Times New Roman" w:cs="Times New Roman"/>
          <w:position w:val="28"/>
          <w:sz w:val="23"/>
          <w:szCs w:val="23"/>
        </w:rPr>
        <w:t>x</w:t>
      </w:r>
      <w:r>
        <w:rPr>
          <w:rFonts w:ascii="Times New Roman" w:hAnsi="Times New Roman" w:eastAsia="Times New Roman" w:cs="Times New Roman"/>
          <w:spacing w:val="5"/>
          <w:position w:val="28"/>
          <w:sz w:val="23"/>
          <w:szCs w:val="23"/>
        </w:rPr>
        <w:t xml:space="preserve"> </w:t>
      </w:r>
      <w:r>
        <w:rPr>
          <w:rFonts w:ascii="宋体" w:hAnsi="宋体" w:eastAsia="宋体" w:cs="宋体"/>
          <w:spacing w:val="5"/>
          <w:position w:val="28"/>
          <w:sz w:val="23"/>
          <w:szCs w:val="23"/>
        </w:rPr>
        <w:t>处的示踪剂浓度，</w:t>
      </w:r>
      <w:r>
        <w:rPr>
          <w:rFonts w:ascii="Times New Roman" w:hAnsi="Times New Roman" w:eastAsia="Times New Roman" w:cs="Times New Roman"/>
          <w:position w:val="28"/>
          <w:sz w:val="23"/>
          <w:szCs w:val="23"/>
        </w:rPr>
        <w:t>g</w:t>
      </w:r>
      <w:r>
        <w:rPr>
          <w:rFonts w:ascii="Times New Roman" w:hAnsi="Times New Roman" w:eastAsia="Times New Roman" w:cs="Times New Roman"/>
          <w:spacing w:val="5"/>
          <w:position w:val="28"/>
          <w:sz w:val="23"/>
          <w:szCs w:val="23"/>
        </w:rPr>
        <w:t>/</w:t>
      </w:r>
      <w:r>
        <w:rPr>
          <w:rFonts w:ascii="Times New Roman" w:hAnsi="Times New Roman" w:eastAsia="Times New Roman" w:cs="Times New Roman"/>
          <w:position w:val="28"/>
          <w:sz w:val="23"/>
          <w:szCs w:val="23"/>
        </w:rPr>
        <w:t>L</w:t>
      </w:r>
      <w:r>
        <w:rPr>
          <w:rFonts w:ascii="宋体" w:hAnsi="宋体" w:eastAsia="宋体" w:cs="宋体"/>
          <w:spacing w:val="5"/>
          <w:position w:val="28"/>
          <w:sz w:val="23"/>
          <w:szCs w:val="23"/>
        </w:rPr>
        <w:t>；</w:t>
      </w:r>
    </w:p>
    <w:p w14:paraId="5B428643">
      <w:pPr>
        <w:spacing w:line="323" w:lineRule="exact"/>
        <w:ind w:left="1222"/>
        <w:rPr>
          <w:rFonts w:ascii="宋体" w:hAnsi="宋体" w:eastAsia="宋体" w:cs="宋体"/>
          <w:sz w:val="23"/>
          <w:szCs w:val="23"/>
        </w:rPr>
      </w:pPr>
      <w:r>
        <w:rPr>
          <w:rFonts w:ascii="Times New Roman" w:hAnsi="Times New Roman" w:eastAsia="Times New Roman" w:cs="Times New Roman"/>
          <w:position w:val="3"/>
          <w:sz w:val="23"/>
          <w:szCs w:val="23"/>
        </w:rPr>
        <w:t>C</w:t>
      </w:r>
      <w:r>
        <w:rPr>
          <w:rFonts w:ascii="Times New Roman" w:hAnsi="Times New Roman" w:eastAsia="Times New Roman" w:cs="Times New Roman"/>
          <w:spacing w:val="14"/>
          <w:position w:val="2"/>
          <w:sz w:val="15"/>
          <w:szCs w:val="15"/>
        </w:rPr>
        <w:t>0</w:t>
      </w:r>
      <w:r>
        <w:rPr>
          <w:rFonts w:ascii="Times New Roman" w:hAnsi="Times New Roman" w:eastAsia="Times New Roman" w:cs="Times New Roman"/>
          <w:spacing w:val="8"/>
          <w:position w:val="3"/>
          <w:sz w:val="23"/>
          <w:szCs w:val="23"/>
        </w:rPr>
        <w:t>—</w:t>
      </w:r>
      <w:r>
        <w:rPr>
          <w:rFonts w:ascii="宋体" w:hAnsi="宋体" w:eastAsia="宋体" w:cs="宋体"/>
          <w:spacing w:val="8"/>
          <w:position w:val="3"/>
          <w:sz w:val="23"/>
          <w:szCs w:val="23"/>
        </w:rPr>
        <w:t>注入示踪剂浓度，</w:t>
      </w:r>
      <w:r>
        <w:rPr>
          <w:rFonts w:ascii="Times New Roman" w:hAnsi="Times New Roman" w:eastAsia="Times New Roman" w:cs="Times New Roman"/>
          <w:position w:val="3"/>
          <w:sz w:val="23"/>
          <w:szCs w:val="23"/>
        </w:rPr>
        <w:t>g</w:t>
      </w:r>
      <w:r>
        <w:rPr>
          <w:rFonts w:ascii="Times New Roman" w:hAnsi="Times New Roman" w:eastAsia="Times New Roman" w:cs="Times New Roman"/>
          <w:spacing w:val="8"/>
          <w:position w:val="3"/>
          <w:sz w:val="23"/>
          <w:szCs w:val="23"/>
        </w:rPr>
        <w:t>/</w:t>
      </w:r>
      <w:r>
        <w:rPr>
          <w:rFonts w:ascii="Times New Roman" w:hAnsi="Times New Roman" w:eastAsia="Times New Roman" w:cs="Times New Roman"/>
          <w:position w:val="3"/>
          <w:sz w:val="23"/>
          <w:szCs w:val="23"/>
        </w:rPr>
        <w:t>L</w:t>
      </w:r>
      <w:r>
        <w:rPr>
          <w:rFonts w:ascii="宋体" w:hAnsi="宋体" w:eastAsia="宋体" w:cs="宋体"/>
          <w:spacing w:val="8"/>
          <w:position w:val="3"/>
          <w:sz w:val="23"/>
          <w:szCs w:val="23"/>
        </w:rPr>
        <w:t>；</w:t>
      </w:r>
    </w:p>
    <w:p w14:paraId="6AFA0FD4">
      <w:pPr>
        <w:spacing w:before="313" w:line="636" w:lineRule="exact"/>
        <w:ind w:left="1214"/>
        <w:rPr>
          <w:rFonts w:ascii="宋体" w:hAnsi="宋体" w:eastAsia="宋体" w:cs="宋体"/>
          <w:sz w:val="23"/>
          <w:szCs w:val="23"/>
        </w:rPr>
      </w:pPr>
      <w:r>
        <w:rPr>
          <w:rFonts w:ascii="Times New Roman" w:hAnsi="Times New Roman" w:eastAsia="Times New Roman" w:cs="Times New Roman"/>
          <w:position w:val="26"/>
          <w:sz w:val="23"/>
          <w:szCs w:val="23"/>
        </w:rPr>
        <w:t>u</w:t>
      </w:r>
      <w:r>
        <w:rPr>
          <w:rFonts w:ascii="Times New Roman" w:hAnsi="Times New Roman" w:eastAsia="Times New Roman" w:cs="Times New Roman"/>
          <w:spacing w:val="11"/>
          <w:position w:val="26"/>
          <w:sz w:val="23"/>
          <w:szCs w:val="23"/>
        </w:rPr>
        <w:t>—</w:t>
      </w:r>
      <w:r>
        <w:rPr>
          <w:rFonts w:ascii="宋体" w:hAnsi="宋体" w:eastAsia="宋体" w:cs="宋体"/>
          <w:spacing w:val="10"/>
          <w:position w:val="26"/>
          <w:sz w:val="23"/>
          <w:szCs w:val="23"/>
        </w:rPr>
        <w:t>水流速度，</w:t>
      </w:r>
      <w:r>
        <w:rPr>
          <w:rFonts w:ascii="Times New Roman" w:hAnsi="Times New Roman" w:eastAsia="Times New Roman" w:cs="Times New Roman"/>
          <w:position w:val="26"/>
          <w:sz w:val="23"/>
          <w:szCs w:val="23"/>
        </w:rPr>
        <w:t>m</w:t>
      </w:r>
      <w:r>
        <w:rPr>
          <w:rFonts w:ascii="Times New Roman" w:hAnsi="Times New Roman" w:eastAsia="Times New Roman" w:cs="Times New Roman"/>
          <w:spacing w:val="10"/>
          <w:position w:val="26"/>
          <w:sz w:val="23"/>
          <w:szCs w:val="23"/>
        </w:rPr>
        <w:t>/</w:t>
      </w:r>
      <w:r>
        <w:rPr>
          <w:rFonts w:ascii="Times New Roman" w:hAnsi="Times New Roman" w:eastAsia="Times New Roman" w:cs="Times New Roman"/>
          <w:position w:val="26"/>
          <w:sz w:val="23"/>
          <w:szCs w:val="23"/>
        </w:rPr>
        <w:t>d</w:t>
      </w:r>
      <w:r>
        <w:rPr>
          <w:rFonts w:ascii="宋体" w:hAnsi="宋体" w:eastAsia="宋体" w:cs="宋体"/>
          <w:spacing w:val="10"/>
          <w:position w:val="26"/>
          <w:sz w:val="23"/>
          <w:szCs w:val="23"/>
        </w:rPr>
        <w:t>；</w:t>
      </w:r>
    </w:p>
    <w:p w14:paraId="3211F881">
      <w:pPr>
        <w:spacing w:line="323" w:lineRule="exact"/>
        <w:ind w:left="1218"/>
        <w:rPr>
          <w:rFonts w:ascii="宋体" w:hAnsi="宋体" w:eastAsia="宋体" w:cs="宋体"/>
          <w:sz w:val="23"/>
          <w:szCs w:val="23"/>
        </w:rPr>
      </w:pPr>
      <w:r>
        <w:rPr>
          <w:rFonts w:ascii="Times New Roman" w:hAnsi="Times New Roman" w:eastAsia="Times New Roman" w:cs="Times New Roman"/>
          <w:position w:val="1"/>
          <w:sz w:val="23"/>
          <w:szCs w:val="23"/>
        </w:rPr>
        <w:t>D</w:t>
      </w:r>
      <w:r>
        <w:rPr>
          <w:rFonts w:ascii="Times New Roman" w:hAnsi="Times New Roman" w:eastAsia="Times New Roman" w:cs="Times New Roman"/>
          <w:sz w:val="15"/>
          <w:szCs w:val="15"/>
        </w:rPr>
        <w:t>L</w:t>
      </w:r>
      <w:r>
        <w:rPr>
          <w:rFonts w:ascii="Times New Roman" w:hAnsi="Times New Roman" w:eastAsia="Times New Roman" w:cs="Times New Roman"/>
          <w:spacing w:val="15"/>
          <w:position w:val="1"/>
          <w:sz w:val="23"/>
          <w:szCs w:val="23"/>
        </w:rPr>
        <w:t>—</w:t>
      </w:r>
      <w:r>
        <w:rPr>
          <w:rFonts w:ascii="宋体" w:hAnsi="宋体" w:eastAsia="宋体" w:cs="宋体"/>
          <w:spacing w:val="9"/>
          <w:position w:val="1"/>
          <w:sz w:val="23"/>
          <w:szCs w:val="23"/>
        </w:rPr>
        <w:t>纵向弥散系数，</w:t>
      </w:r>
      <w:r>
        <w:rPr>
          <w:rFonts w:ascii="Times New Roman" w:hAnsi="Times New Roman" w:eastAsia="Times New Roman" w:cs="Times New Roman"/>
          <w:position w:val="1"/>
          <w:sz w:val="23"/>
          <w:szCs w:val="23"/>
        </w:rPr>
        <w:t>m</w:t>
      </w:r>
      <w:r>
        <w:rPr>
          <w:rFonts w:ascii="Times New Roman" w:hAnsi="Times New Roman" w:eastAsia="Times New Roman" w:cs="Times New Roman"/>
          <w:spacing w:val="9"/>
          <w:position w:val="8"/>
          <w:sz w:val="15"/>
          <w:szCs w:val="15"/>
        </w:rPr>
        <w:t>2</w:t>
      </w:r>
      <w:r>
        <w:rPr>
          <w:rFonts w:ascii="Times New Roman" w:hAnsi="Times New Roman" w:eastAsia="Times New Roman" w:cs="Times New Roman"/>
          <w:spacing w:val="9"/>
          <w:position w:val="1"/>
          <w:sz w:val="23"/>
          <w:szCs w:val="23"/>
        </w:rPr>
        <w:t>/</w:t>
      </w:r>
      <w:r>
        <w:rPr>
          <w:rFonts w:ascii="Times New Roman" w:hAnsi="Times New Roman" w:eastAsia="Times New Roman" w:cs="Times New Roman"/>
          <w:position w:val="1"/>
          <w:sz w:val="23"/>
          <w:szCs w:val="23"/>
        </w:rPr>
        <w:t>d</w:t>
      </w:r>
      <w:r>
        <w:rPr>
          <w:rFonts w:ascii="宋体" w:hAnsi="宋体" w:eastAsia="宋体" w:cs="宋体"/>
          <w:spacing w:val="9"/>
          <w:position w:val="1"/>
          <w:sz w:val="23"/>
          <w:szCs w:val="23"/>
        </w:rPr>
        <w:t>；</w:t>
      </w:r>
    </w:p>
    <w:p w14:paraId="3EB51EAF">
      <w:pPr>
        <w:spacing w:before="313" w:line="323" w:lineRule="exact"/>
        <w:ind w:left="1222"/>
        <w:rPr>
          <w:rFonts w:ascii="宋体" w:hAnsi="宋体" w:eastAsia="宋体" w:cs="宋体"/>
          <w:sz w:val="23"/>
          <w:szCs w:val="23"/>
        </w:rPr>
      </w:pPr>
      <w:r>
        <w:rPr>
          <w:rFonts w:ascii="Times New Roman" w:hAnsi="Times New Roman" w:eastAsia="Times New Roman" w:cs="Times New Roman"/>
          <w:position w:val="1"/>
          <w:sz w:val="23"/>
          <w:szCs w:val="23"/>
        </w:rPr>
        <w:t>erfc</w:t>
      </w:r>
      <w:r>
        <w:rPr>
          <w:rFonts w:ascii="Times New Roman" w:hAnsi="Times New Roman" w:eastAsia="Times New Roman" w:cs="Times New Roman"/>
          <w:spacing w:val="9"/>
          <w:position w:val="1"/>
          <w:sz w:val="23"/>
          <w:szCs w:val="23"/>
        </w:rPr>
        <w:t>(</w:t>
      </w:r>
      <w:r>
        <w:rPr>
          <w:rFonts w:ascii="Times New Roman" w:hAnsi="Times New Roman" w:eastAsia="Times New Roman" w:cs="Times New Roman"/>
          <w:spacing w:val="8"/>
          <w:position w:val="1"/>
          <w:sz w:val="23"/>
          <w:szCs w:val="23"/>
        </w:rPr>
        <w:t>)—</w:t>
      </w:r>
      <w:r>
        <w:rPr>
          <w:rFonts w:ascii="宋体" w:hAnsi="宋体" w:eastAsia="宋体" w:cs="宋体"/>
          <w:spacing w:val="8"/>
          <w:position w:val="1"/>
          <w:sz w:val="23"/>
          <w:szCs w:val="23"/>
        </w:rPr>
        <w:t>余差数函数；</w:t>
      </w:r>
    </w:p>
    <w:p w14:paraId="0ADAD358">
      <w:pPr>
        <w:spacing w:line="279" w:lineRule="auto"/>
        <w:rPr>
          <w:rFonts w:ascii="Arial"/>
          <w:sz w:val="21"/>
        </w:rPr>
      </w:pPr>
    </w:p>
    <w:p w14:paraId="36E71BB1">
      <w:pPr>
        <w:spacing w:before="76" w:line="303" w:lineRule="exact"/>
        <w:ind w:left="497"/>
        <w:rPr>
          <w:rFonts w:ascii="宋体" w:hAnsi="宋体" w:eastAsia="宋体" w:cs="宋体"/>
          <w:sz w:val="23"/>
          <w:szCs w:val="23"/>
        </w:rPr>
      </w:pPr>
      <w:r>
        <w:rPr>
          <w:rFonts w:ascii="Times New Roman" w:hAnsi="Times New Roman" w:eastAsia="Times New Roman" w:cs="Times New Roman"/>
          <w:spacing w:val="4"/>
          <w:position w:val="1"/>
          <w:sz w:val="23"/>
          <w:szCs w:val="23"/>
        </w:rPr>
        <w:t>4</w:t>
      </w:r>
      <w:r>
        <w:rPr>
          <w:rFonts w:ascii="Times New Roman" w:hAnsi="Times New Roman" w:eastAsia="Times New Roman" w:cs="Times New Roman"/>
          <w:spacing w:val="3"/>
          <w:position w:val="1"/>
          <w:sz w:val="23"/>
          <w:szCs w:val="23"/>
        </w:rPr>
        <w:t xml:space="preserve"> </w:t>
      </w:r>
      <w:r>
        <w:rPr>
          <w:rFonts w:ascii="宋体" w:hAnsi="宋体" w:eastAsia="宋体" w:cs="宋体"/>
          <w:spacing w:val="2"/>
          <w:position w:val="1"/>
          <w:sz w:val="23"/>
          <w:szCs w:val="23"/>
        </w:rPr>
        <w:t>、预测因子、标准</w:t>
      </w:r>
    </w:p>
    <w:p w14:paraId="384ECBB4">
      <w:pPr>
        <w:spacing w:line="256" w:lineRule="auto"/>
        <w:rPr>
          <w:rFonts w:ascii="Arial"/>
          <w:sz w:val="21"/>
        </w:rPr>
      </w:pPr>
    </w:p>
    <w:p w14:paraId="40F6496C">
      <w:pPr>
        <w:spacing w:before="75" w:line="227" w:lineRule="auto"/>
        <w:ind w:left="504"/>
        <w:rPr>
          <w:rFonts w:ascii="宋体" w:hAnsi="宋体" w:eastAsia="宋体" w:cs="宋体"/>
          <w:sz w:val="23"/>
          <w:szCs w:val="23"/>
        </w:rPr>
      </w:pPr>
      <w:r>
        <w:rPr>
          <w:rFonts w:ascii="宋体" w:hAnsi="宋体" w:eastAsia="宋体" w:cs="宋体"/>
          <w:spacing w:val="12"/>
          <w:sz w:val="23"/>
          <w:szCs w:val="23"/>
        </w:rPr>
        <w:t>本项目不涉及重金属，有机污染物中主要污染物因子为</w:t>
      </w:r>
      <w:r>
        <w:rPr>
          <w:rFonts w:ascii="Times New Roman" w:hAnsi="Times New Roman" w:eastAsia="Times New Roman" w:cs="Times New Roman"/>
          <w:sz w:val="23"/>
          <w:szCs w:val="23"/>
        </w:rPr>
        <w:t>COD</w:t>
      </w:r>
      <w:r>
        <w:rPr>
          <w:rFonts w:ascii="Times New Roman" w:hAnsi="Times New Roman" w:eastAsia="Times New Roman" w:cs="Times New Roman"/>
          <w:spacing w:val="12"/>
          <w:sz w:val="23"/>
          <w:szCs w:val="23"/>
        </w:rPr>
        <w:t xml:space="preserve"> </w:t>
      </w:r>
      <w:r>
        <w:rPr>
          <w:rFonts w:ascii="宋体" w:hAnsi="宋体" w:eastAsia="宋体" w:cs="宋体"/>
          <w:spacing w:val="12"/>
          <w:sz w:val="23"/>
          <w:szCs w:val="23"/>
        </w:rPr>
        <w:t>、氨氮，选</w:t>
      </w:r>
      <w:r>
        <w:rPr>
          <w:rFonts w:ascii="宋体" w:hAnsi="宋体" w:eastAsia="宋体" w:cs="宋体"/>
          <w:spacing w:val="10"/>
          <w:sz w:val="23"/>
          <w:szCs w:val="23"/>
        </w:rPr>
        <w:t>取</w:t>
      </w:r>
    </w:p>
    <w:p w14:paraId="47BC888B">
      <w:pPr>
        <w:sectPr>
          <w:headerReference r:id="rId227" w:type="default"/>
          <w:footerReference r:id="rId228" w:type="default"/>
          <w:pgSz w:w="11906" w:h="16839"/>
          <w:pgMar w:top="1132" w:right="1733" w:bottom="1182" w:left="1785" w:header="878" w:footer="1022" w:gutter="0"/>
          <w:cols w:space="720" w:num="1"/>
        </w:sectPr>
      </w:pPr>
    </w:p>
    <w:p w14:paraId="647D0D29">
      <w:pPr>
        <w:spacing w:line="365" w:lineRule="auto"/>
        <w:rPr>
          <w:rFonts w:ascii="Arial"/>
          <w:sz w:val="21"/>
        </w:rPr>
      </w:pPr>
      <w:r>
        <w:pict>
          <v:shape id="_x0000_s1275" o:spid="_x0000_s1275" style="position:absolute;left:0pt;margin-left:90pt;margin-top:57.35pt;height:0.75pt;width:415.3pt;mso-position-horizontal-relative:page;mso-position-vertical-relative:page;z-index:251930624;mso-width-relative:page;mso-height-relative:page;" fillcolor="#000000" filled="t" stroked="f" coordsize="8305,15" o:allowincell="f" path="m0,0l8305,0,8305,14,0,14,0,0xe">
            <v:path/>
            <v:fill on="t" focussize="0,0"/>
            <v:stroke on="f"/>
            <v:imagedata o:title=""/>
            <o:lock v:ext="edit"/>
          </v:shape>
        </w:pict>
      </w:r>
    </w:p>
    <w:p w14:paraId="38D0ED97">
      <w:pPr>
        <w:spacing w:before="74" w:line="396" w:lineRule="auto"/>
        <w:ind w:left="138" w:right="108" w:hanging="17"/>
        <w:rPr>
          <w:rFonts w:ascii="宋体" w:hAnsi="宋体" w:eastAsia="宋体" w:cs="宋体"/>
          <w:sz w:val="23"/>
          <w:szCs w:val="23"/>
        </w:rPr>
      </w:pPr>
      <w:r>
        <w:rPr>
          <w:rFonts w:ascii="宋体" w:hAnsi="宋体" w:eastAsia="宋体" w:cs="宋体"/>
          <w:spacing w:val="19"/>
          <w:sz w:val="23"/>
          <w:szCs w:val="23"/>
        </w:rPr>
        <w:t>标准指数法排序靠前的氨氮为预测因子 。参照《地下水质量标准》  (</w:t>
      </w:r>
      <w:r>
        <w:rPr>
          <w:rFonts w:ascii="Times New Roman" w:hAnsi="Times New Roman" w:eastAsia="Times New Roman" w:cs="Times New Roman"/>
          <w:sz w:val="23"/>
          <w:szCs w:val="23"/>
        </w:rPr>
        <w:t>GB</w:t>
      </w:r>
      <w:r>
        <w:rPr>
          <w:rFonts w:ascii="Times New Roman" w:hAnsi="Times New Roman" w:eastAsia="Times New Roman" w:cs="Times New Roman"/>
          <w:spacing w:val="17"/>
          <w:sz w:val="23"/>
          <w:szCs w:val="23"/>
        </w:rPr>
        <w:t>/</w:t>
      </w:r>
      <w:r>
        <w:rPr>
          <w:rFonts w:ascii="Times New Roman" w:hAnsi="Times New Roman" w:eastAsia="Times New Roman" w:cs="Times New Roman"/>
          <w:sz w:val="23"/>
          <w:szCs w:val="23"/>
        </w:rPr>
        <w:t xml:space="preserve">T </w:t>
      </w:r>
      <w:r>
        <w:rPr>
          <w:rFonts w:ascii="Times New Roman" w:hAnsi="Times New Roman" w:eastAsia="Times New Roman" w:cs="Times New Roman"/>
          <w:spacing w:val="14"/>
          <w:sz w:val="23"/>
          <w:szCs w:val="23"/>
        </w:rPr>
        <w:t>1</w:t>
      </w:r>
      <w:r>
        <w:rPr>
          <w:rFonts w:ascii="Times New Roman" w:hAnsi="Times New Roman" w:eastAsia="Times New Roman" w:cs="Times New Roman"/>
          <w:spacing w:val="7"/>
          <w:sz w:val="23"/>
          <w:szCs w:val="23"/>
        </w:rPr>
        <w:t>4848-93</w:t>
      </w:r>
      <w:r>
        <w:rPr>
          <w:rFonts w:ascii="宋体" w:hAnsi="宋体" w:eastAsia="宋体" w:cs="宋体"/>
          <w:spacing w:val="7"/>
          <w:sz w:val="23"/>
          <w:szCs w:val="23"/>
        </w:rPr>
        <w:t>) 中</w:t>
      </w:r>
      <w:r>
        <w:rPr>
          <w:rFonts w:ascii="Times New Roman" w:hAnsi="Times New Roman" w:eastAsia="Times New Roman" w:cs="Times New Roman"/>
          <w:sz w:val="23"/>
          <w:szCs w:val="23"/>
        </w:rPr>
        <w:t>III</w:t>
      </w:r>
      <w:r>
        <w:rPr>
          <w:rFonts w:ascii="宋体" w:hAnsi="宋体" w:eastAsia="宋体" w:cs="宋体"/>
          <w:spacing w:val="7"/>
          <w:sz w:val="23"/>
          <w:szCs w:val="23"/>
        </w:rPr>
        <w:t>类水质标准要求，即</w:t>
      </w:r>
      <w:r>
        <w:rPr>
          <w:rFonts w:ascii="Times New Roman" w:hAnsi="Times New Roman" w:eastAsia="Times New Roman" w:cs="Times New Roman"/>
          <w:spacing w:val="7"/>
          <w:sz w:val="23"/>
          <w:szCs w:val="23"/>
        </w:rPr>
        <w:t>0.5</w:t>
      </w:r>
      <w:r>
        <w:rPr>
          <w:rFonts w:ascii="Times New Roman" w:hAnsi="Times New Roman" w:eastAsia="Times New Roman" w:cs="Times New Roman"/>
          <w:sz w:val="23"/>
          <w:szCs w:val="23"/>
        </w:rPr>
        <w:t>mg</w:t>
      </w:r>
      <w:r>
        <w:rPr>
          <w:rFonts w:ascii="Times New Roman" w:hAnsi="Times New Roman" w:eastAsia="Times New Roman" w:cs="Times New Roman"/>
          <w:spacing w:val="7"/>
          <w:sz w:val="23"/>
          <w:szCs w:val="23"/>
        </w:rPr>
        <w:t>/</w:t>
      </w:r>
      <w:r>
        <w:rPr>
          <w:rFonts w:ascii="Times New Roman" w:hAnsi="Times New Roman" w:eastAsia="Times New Roman" w:cs="Times New Roman"/>
          <w:sz w:val="23"/>
          <w:szCs w:val="23"/>
        </w:rPr>
        <w:t>L</w:t>
      </w:r>
      <w:r>
        <w:rPr>
          <w:rFonts w:ascii="宋体" w:hAnsi="宋体" w:eastAsia="宋体" w:cs="宋体"/>
          <w:spacing w:val="7"/>
          <w:sz w:val="23"/>
          <w:szCs w:val="23"/>
        </w:rPr>
        <w:t>作为评价标准。</w:t>
      </w:r>
    </w:p>
    <w:p w14:paraId="3305D2CE">
      <w:pPr>
        <w:spacing w:before="173" w:line="303" w:lineRule="exact"/>
        <w:ind w:left="602"/>
        <w:rPr>
          <w:rFonts w:ascii="宋体" w:hAnsi="宋体" w:eastAsia="宋体" w:cs="宋体"/>
          <w:sz w:val="23"/>
          <w:szCs w:val="23"/>
        </w:rPr>
      </w:pPr>
      <w:r>
        <w:rPr>
          <w:rFonts w:ascii="Times New Roman" w:hAnsi="Times New Roman" w:eastAsia="Times New Roman" w:cs="Times New Roman"/>
          <w:spacing w:val="1"/>
          <w:position w:val="2"/>
          <w:sz w:val="23"/>
          <w:szCs w:val="23"/>
        </w:rPr>
        <w:t xml:space="preserve">5 </w:t>
      </w:r>
      <w:r>
        <w:rPr>
          <w:rFonts w:ascii="宋体" w:hAnsi="宋体" w:eastAsia="宋体" w:cs="宋体"/>
          <w:spacing w:val="1"/>
          <w:position w:val="2"/>
          <w:sz w:val="23"/>
          <w:szCs w:val="23"/>
        </w:rPr>
        <w:t>、预测</w:t>
      </w:r>
      <w:r>
        <w:rPr>
          <w:rFonts w:ascii="宋体" w:hAnsi="宋体" w:eastAsia="宋体" w:cs="宋体"/>
          <w:position w:val="2"/>
          <w:sz w:val="23"/>
          <w:szCs w:val="23"/>
        </w:rPr>
        <w:t>参数选取</w:t>
      </w:r>
    </w:p>
    <w:p w14:paraId="564110C6">
      <w:pPr>
        <w:spacing w:line="257" w:lineRule="auto"/>
        <w:rPr>
          <w:rFonts w:ascii="Arial"/>
          <w:sz w:val="21"/>
        </w:rPr>
      </w:pPr>
    </w:p>
    <w:p w14:paraId="354D4A31">
      <w:pPr>
        <w:spacing w:before="74" w:line="227" w:lineRule="auto"/>
        <w:ind w:left="1621"/>
        <w:rPr>
          <w:rFonts w:ascii="宋体" w:hAnsi="宋体" w:eastAsia="宋体" w:cs="宋体"/>
          <w:sz w:val="23"/>
          <w:szCs w:val="23"/>
        </w:rPr>
      </w:pPr>
      <w:r>
        <w:rPr>
          <w:rFonts w:ascii="宋体" w:hAnsi="宋体" w:eastAsia="宋体" w:cs="宋体"/>
          <w:spacing w:val="10"/>
          <w:sz w:val="23"/>
          <w:szCs w:val="23"/>
          <w14:textOutline w14:w="4358" w14:cap="sq" w14:cmpd="sng">
            <w14:solidFill>
              <w14:srgbClr w14:val="000000"/>
            </w14:solidFill>
            <w14:prstDash w14:val="solid"/>
            <w14:bevel/>
          </w14:textOutline>
        </w:rPr>
        <w:t>表</w:t>
      </w:r>
      <w:r>
        <w:rPr>
          <w:rFonts w:ascii="宋体" w:hAnsi="宋体" w:eastAsia="宋体" w:cs="宋体"/>
          <w:spacing w:val="10"/>
          <w:sz w:val="23"/>
          <w:szCs w:val="23"/>
        </w:rPr>
        <w:t xml:space="preserve"> </w:t>
      </w:r>
      <w:r>
        <w:rPr>
          <w:rFonts w:ascii="Times New Roman" w:hAnsi="Times New Roman" w:eastAsia="Times New Roman" w:cs="Times New Roman"/>
          <w:b/>
          <w:bCs/>
          <w:spacing w:val="10"/>
          <w:sz w:val="23"/>
          <w:szCs w:val="23"/>
        </w:rPr>
        <w:t>5</w:t>
      </w:r>
      <w:r>
        <w:rPr>
          <w:rFonts w:ascii="Times New Roman" w:hAnsi="Times New Roman" w:eastAsia="Times New Roman" w:cs="Times New Roman"/>
          <w:b/>
          <w:bCs/>
          <w:spacing w:val="5"/>
          <w:sz w:val="23"/>
          <w:szCs w:val="23"/>
        </w:rPr>
        <w:t>-15</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14:textOutline w14:w="4358" w14:cap="sq" w14:cmpd="sng">
            <w14:solidFill>
              <w14:srgbClr w14:val="000000"/>
            </w14:solidFill>
            <w14:prstDash w14:val="solid"/>
            <w14:bevel/>
          </w14:textOutline>
        </w:rPr>
        <w:t>非正常状况地下水预测参数选取一览表</w:t>
      </w:r>
    </w:p>
    <w:p w14:paraId="2BEBB3C6">
      <w:pPr>
        <w:spacing w:line="17" w:lineRule="exact"/>
      </w:pPr>
    </w:p>
    <w:tbl>
      <w:tblPr>
        <w:tblStyle w:val="4"/>
        <w:tblW w:w="852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48"/>
        <w:gridCol w:w="816"/>
        <w:gridCol w:w="695"/>
        <w:gridCol w:w="4568"/>
      </w:tblGrid>
      <w:tr w14:paraId="3B2B2B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trPr>
        <w:tc>
          <w:tcPr>
            <w:tcW w:w="2448" w:type="dxa"/>
            <w:tcBorders>
              <w:left w:val="nil"/>
              <w:right w:val="single" w:color="000000" w:sz="4" w:space="0"/>
            </w:tcBorders>
            <w:vAlign w:val="top"/>
          </w:tcPr>
          <w:p w14:paraId="456A45F7">
            <w:pPr>
              <w:spacing w:before="102" w:line="228" w:lineRule="auto"/>
              <w:ind w:left="1024"/>
              <w:rPr>
                <w:rFonts w:ascii="宋体" w:hAnsi="宋体" w:eastAsia="宋体" w:cs="宋体"/>
                <w:sz w:val="20"/>
                <w:szCs w:val="20"/>
              </w:rPr>
            </w:pPr>
            <w:r>
              <w:rPr>
                <w:rFonts w:ascii="宋体" w:hAnsi="宋体" w:eastAsia="宋体" w:cs="宋体"/>
                <w:spacing w:val="3"/>
                <w:sz w:val="20"/>
                <w:szCs w:val="20"/>
              </w:rPr>
              <w:t>项目</w:t>
            </w:r>
          </w:p>
        </w:tc>
        <w:tc>
          <w:tcPr>
            <w:tcW w:w="816" w:type="dxa"/>
            <w:tcBorders>
              <w:left w:val="single" w:color="000000" w:sz="4" w:space="0"/>
              <w:right w:val="single" w:color="000000" w:sz="4" w:space="0"/>
            </w:tcBorders>
            <w:vAlign w:val="top"/>
          </w:tcPr>
          <w:p w14:paraId="1B057ED9">
            <w:pPr>
              <w:spacing w:before="102" w:line="228" w:lineRule="auto"/>
              <w:ind w:left="202"/>
              <w:rPr>
                <w:rFonts w:ascii="宋体" w:hAnsi="宋体" w:eastAsia="宋体" w:cs="宋体"/>
                <w:sz w:val="20"/>
                <w:szCs w:val="20"/>
              </w:rPr>
            </w:pPr>
            <w:r>
              <w:rPr>
                <w:rFonts w:ascii="宋体" w:hAnsi="宋体" w:eastAsia="宋体" w:cs="宋体"/>
                <w:spacing w:val="4"/>
                <w:sz w:val="20"/>
                <w:szCs w:val="20"/>
              </w:rPr>
              <w:t>单</w:t>
            </w:r>
            <w:r>
              <w:rPr>
                <w:rFonts w:ascii="宋体" w:hAnsi="宋体" w:eastAsia="宋体" w:cs="宋体"/>
                <w:spacing w:val="3"/>
                <w:sz w:val="20"/>
                <w:szCs w:val="20"/>
              </w:rPr>
              <w:t>位</w:t>
            </w:r>
          </w:p>
        </w:tc>
        <w:tc>
          <w:tcPr>
            <w:tcW w:w="695" w:type="dxa"/>
            <w:tcBorders>
              <w:left w:val="single" w:color="000000" w:sz="4" w:space="0"/>
              <w:right w:val="single" w:color="000000" w:sz="4" w:space="0"/>
            </w:tcBorders>
            <w:vAlign w:val="top"/>
          </w:tcPr>
          <w:p w14:paraId="11E8FF05">
            <w:pPr>
              <w:spacing w:before="101" w:line="228" w:lineRule="auto"/>
              <w:ind w:left="143"/>
              <w:rPr>
                <w:rFonts w:ascii="宋体" w:hAnsi="宋体" w:eastAsia="宋体" w:cs="宋体"/>
                <w:sz w:val="20"/>
                <w:szCs w:val="20"/>
              </w:rPr>
            </w:pPr>
            <w:r>
              <w:rPr>
                <w:rFonts w:ascii="宋体" w:hAnsi="宋体" w:eastAsia="宋体" w:cs="宋体"/>
                <w:spacing w:val="4"/>
                <w:sz w:val="20"/>
                <w:szCs w:val="20"/>
              </w:rPr>
              <w:t>取</w:t>
            </w:r>
            <w:r>
              <w:rPr>
                <w:rFonts w:ascii="宋体" w:hAnsi="宋体" w:eastAsia="宋体" w:cs="宋体"/>
                <w:spacing w:val="3"/>
                <w:sz w:val="20"/>
                <w:szCs w:val="20"/>
              </w:rPr>
              <w:t>值</w:t>
            </w:r>
          </w:p>
        </w:tc>
        <w:tc>
          <w:tcPr>
            <w:tcW w:w="4568" w:type="dxa"/>
            <w:tcBorders>
              <w:left w:val="single" w:color="000000" w:sz="4" w:space="0"/>
              <w:right w:val="nil"/>
            </w:tcBorders>
            <w:vAlign w:val="top"/>
          </w:tcPr>
          <w:p w14:paraId="389E9BA1">
            <w:pPr>
              <w:spacing w:before="101" w:line="227" w:lineRule="auto"/>
              <w:ind w:left="1866"/>
              <w:rPr>
                <w:rFonts w:ascii="宋体" w:hAnsi="宋体" w:eastAsia="宋体" w:cs="宋体"/>
                <w:sz w:val="20"/>
                <w:szCs w:val="20"/>
              </w:rPr>
            </w:pPr>
            <w:r>
              <w:rPr>
                <w:rFonts w:ascii="宋体" w:hAnsi="宋体" w:eastAsia="宋体" w:cs="宋体"/>
                <w:spacing w:val="9"/>
                <w:sz w:val="20"/>
                <w:szCs w:val="20"/>
              </w:rPr>
              <w:t>选</w:t>
            </w:r>
            <w:r>
              <w:rPr>
                <w:rFonts w:ascii="宋体" w:hAnsi="宋体" w:eastAsia="宋体" w:cs="宋体"/>
                <w:spacing w:val="7"/>
                <w:sz w:val="20"/>
                <w:szCs w:val="20"/>
              </w:rPr>
              <w:t>取依据</w:t>
            </w:r>
          </w:p>
        </w:tc>
      </w:tr>
      <w:tr w14:paraId="0C4CA0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2448" w:type="dxa"/>
            <w:tcBorders>
              <w:left w:val="nil"/>
              <w:right w:val="single" w:color="000000" w:sz="4" w:space="0"/>
            </w:tcBorders>
            <w:vAlign w:val="top"/>
          </w:tcPr>
          <w:p w14:paraId="53505C97">
            <w:pPr>
              <w:spacing w:before="240" w:line="227" w:lineRule="auto"/>
              <w:ind w:left="116"/>
              <w:rPr>
                <w:rFonts w:ascii="宋体" w:hAnsi="宋体" w:eastAsia="宋体" w:cs="宋体"/>
                <w:sz w:val="20"/>
                <w:szCs w:val="20"/>
              </w:rPr>
            </w:pPr>
            <w:r>
              <w:rPr>
                <w:rFonts w:ascii="宋体" w:hAnsi="宋体" w:eastAsia="宋体" w:cs="宋体"/>
                <w:spacing w:val="2"/>
                <w:sz w:val="20"/>
                <w:szCs w:val="20"/>
              </w:rPr>
              <w:t>注入示踪剂 (氨</w:t>
            </w:r>
            <w:r>
              <w:rPr>
                <w:rFonts w:ascii="宋体" w:hAnsi="宋体" w:eastAsia="宋体" w:cs="宋体"/>
                <w:spacing w:val="1"/>
                <w:sz w:val="20"/>
                <w:szCs w:val="20"/>
              </w:rPr>
              <w:t>氮) 浓度</w:t>
            </w:r>
          </w:p>
        </w:tc>
        <w:tc>
          <w:tcPr>
            <w:tcW w:w="816" w:type="dxa"/>
            <w:tcBorders>
              <w:left w:val="single" w:color="000000" w:sz="4" w:space="0"/>
              <w:right w:val="single" w:color="000000" w:sz="4" w:space="0"/>
            </w:tcBorders>
            <w:vAlign w:val="top"/>
          </w:tcPr>
          <w:p w14:paraId="48DB3C48">
            <w:pPr>
              <w:spacing w:before="202" w:line="281" w:lineRule="exact"/>
              <w:ind w:left="177"/>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mg</w:t>
            </w:r>
            <w:r>
              <w:rPr>
                <w:rFonts w:ascii="Times New Roman" w:hAnsi="Times New Roman" w:eastAsia="Times New Roman" w:cs="Times New Roman"/>
                <w:spacing w:val="18"/>
                <w:position w:val="4"/>
                <w:sz w:val="20"/>
                <w:szCs w:val="20"/>
              </w:rPr>
              <w:t>/</w:t>
            </w:r>
            <w:r>
              <w:rPr>
                <w:rFonts w:ascii="Times New Roman" w:hAnsi="Times New Roman" w:eastAsia="Times New Roman" w:cs="Times New Roman"/>
                <w:position w:val="4"/>
                <w:sz w:val="20"/>
                <w:szCs w:val="20"/>
              </w:rPr>
              <w:t>L</w:t>
            </w:r>
          </w:p>
        </w:tc>
        <w:tc>
          <w:tcPr>
            <w:tcW w:w="695" w:type="dxa"/>
            <w:tcBorders>
              <w:left w:val="single" w:color="000000" w:sz="4" w:space="0"/>
              <w:right w:val="single" w:color="000000" w:sz="4" w:space="0"/>
            </w:tcBorders>
            <w:vAlign w:val="top"/>
          </w:tcPr>
          <w:p w14:paraId="42DB4118">
            <w:pPr>
              <w:spacing w:before="276" w:line="195" w:lineRule="auto"/>
              <w:ind w:left="18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w:t>
            </w:r>
            <w:r>
              <w:rPr>
                <w:rFonts w:ascii="Times New Roman" w:hAnsi="Times New Roman" w:eastAsia="Times New Roman" w:cs="Times New Roman"/>
                <w:spacing w:val="2"/>
                <w:sz w:val="20"/>
                <w:szCs w:val="20"/>
              </w:rPr>
              <w:t>0</w:t>
            </w:r>
          </w:p>
        </w:tc>
        <w:tc>
          <w:tcPr>
            <w:tcW w:w="4568" w:type="dxa"/>
            <w:tcBorders>
              <w:left w:val="single" w:color="000000" w:sz="4" w:space="0"/>
              <w:right w:val="nil"/>
            </w:tcBorders>
            <w:vAlign w:val="top"/>
          </w:tcPr>
          <w:p w14:paraId="2E50959B">
            <w:pPr>
              <w:spacing w:before="79" w:line="262" w:lineRule="auto"/>
              <w:ind w:left="1026" w:right="109" w:hanging="912"/>
              <w:rPr>
                <w:rFonts w:ascii="宋体" w:hAnsi="宋体" w:eastAsia="宋体" w:cs="宋体"/>
                <w:sz w:val="20"/>
                <w:szCs w:val="20"/>
              </w:rPr>
            </w:pPr>
            <w:r>
              <w:rPr>
                <w:rFonts w:ascii="宋体" w:hAnsi="宋体" w:eastAsia="宋体" w:cs="宋体"/>
                <w:spacing w:val="12"/>
                <w:sz w:val="20"/>
                <w:szCs w:val="20"/>
              </w:rPr>
              <w:t>按最</w:t>
            </w:r>
            <w:r>
              <w:rPr>
                <w:rFonts w:ascii="宋体" w:hAnsi="宋体" w:eastAsia="宋体" w:cs="宋体"/>
                <w:spacing w:val="7"/>
                <w:sz w:val="20"/>
                <w:szCs w:val="20"/>
              </w:rPr>
              <w:t>不</w:t>
            </w:r>
            <w:r>
              <w:rPr>
                <w:rFonts w:ascii="宋体" w:hAnsi="宋体" w:eastAsia="宋体" w:cs="宋体"/>
                <w:spacing w:val="6"/>
                <w:sz w:val="20"/>
                <w:szCs w:val="20"/>
              </w:rPr>
              <w:t>利情况，工程自身无防渗效果，取各工序</w:t>
            </w:r>
            <w:r>
              <w:rPr>
                <w:rFonts w:ascii="宋体" w:hAnsi="宋体" w:eastAsia="宋体" w:cs="宋体"/>
                <w:sz w:val="20"/>
                <w:szCs w:val="20"/>
              </w:rPr>
              <w:t xml:space="preserve"> </w:t>
            </w:r>
            <w:r>
              <w:rPr>
                <w:rFonts w:ascii="宋体" w:hAnsi="宋体" w:eastAsia="宋体" w:cs="宋体"/>
                <w:spacing w:val="10"/>
                <w:sz w:val="20"/>
                <w:szCs w:val="20"/>
              </w:rPr>
              <w:t>氨</w:t>
            </w:r>
            <w:r>
              <w:rPr>
                <w:rFonts w:ascii="宋体" w:hAnsi="宋体" w:eastAsia="宋体" w:cs="宋体"/>
                <w:spacing w:val="9"/>
                <w:sz w:val="20"/>
                <w:szCs w:val="20"/>
              </w:rPr>
              <w:t>氮最大污染物浓度为源强</w:t>
            </w:r>
          </w:p>
        </w:tc>
      </w:tr>
      <w:tr w14:paraId="0B110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8" w:hRule="atLeast"/>
        </w:trPr>
        <w:tc>
          <w:tcPr>
            <w:tcW w:w="2448" w:type="dxa"/>
            <w:tcBorders>
              <w:left w:val="nil"/>
              <w:right w:val="single" w:color="000000" w:sz="4" w:space="0"/>
            </w:tcBorders>
            <w:vAlign w:val="top"/>
          </w:tcPr>
          <w:p w14:paraId="6925811C">
            <w:pPr>
              <w:spacing w:line="335" w:lineRule="auto"/>
              <w:rPr>
                <w:rFonts w:ascii="Arial"/>
                <w:sz w:val="21"/>
              </w:rPr>
            </w:pPr>
          </w:p>
          <w:p w14:paraId="2B41A28D">
            <w:pPr>
              <w:spacing w:before="65" w:line="228" w:lineRule="auto"/>
              <w:ind w:left="815"/>
              <w:rPr>
                <w:rFonts w:ascii="宋体" w:hAnsi="宋体" w:eastAsia="宋体" w:cs="宋体"/>
                <w:sz w:val="20"/>
                <w:szCs w:val="20"/>
              </w:rPr>
            </w:pPr>
            <w:r>
              <w:rPr>
                <w:rFonts w:ascii="宋体" w:hAnsi="宋体" w:eastAsia="宋体" w:cs="宋体"/>
                <w:spacing w:val="9"/>
                <w:sz w:val="20"/>
                <w:szCs w:val="20"/>
              </w:rPr>
              <w:t>水</w:t>
            </w:r>
            <w:r>
              <w:rPr>
                <w:rFonts w:ascii="宋体" w:hAnsi="宋体" w:eastAsia="宋体" w:cs="宋体"/>
                <w:spacing w:val="6"/>
                <w:sz w:val="20"/>
                <w:szCs w:val="20"/>
              </w:rPr>
              <w:t>流速度</w:t>
            </w:r>
          </w:p>
        </w:tc>
        <w:tc>
          <w:tcPr>
            <w:tcW w:w="816" w:type="dxa"/>
            <w:tcBorders>
              <w:left w:val="single" w:color="000000" w:sz="4" w:space="0"/>
              <w:right w:val="single" w:color="000000" w:sz="4" w:space="0"/>
            </w:tcBorders>
            <w:vAlign w:val="top"/>
          </w:tcPr>
          <w:p w14:paraId="628D534C">
            <w:pPr>
              <w:spacing w:line="305" w:lineRule="auto"/>
              <w:rPr>
                <w:rFonts w:ascii="Arial"/>
                <w:sz w:val="21"/>
              </w:rPr>
            </w:pPr>
          </w:p>
          <w:p w14:paraId="5C44F3AF">
            <w:pPr>
              <w:spacing w:before="57" w:line="282" w:lineRule="exact"/>
              <w:ind w:left="24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m</w:t>
            </w:r>
            <w:r>
              <w:rPr>
                <w:rFonts w:ascii="Times New Roman" w:hAnsi="Times New Roman" w:eastAsia="Times New Roman" w:cs="Times New Roman"/>
                <w:spacing w:val="12"/>
                <w:position w:val="2"/>
                <w:sz w:val="20"/>
                <w:szCs w:val="20"/>
              </w:rPr>
              <w:t>/</w:t>
            </w:r>
            <w:r>
              <w:rPr>
                <w:rFonts w:ascii="Times New Roman" w:hAnsi="Times New Roman" w:eastAsia="Times New Roman" w:cs="Times New Roman"/>
                <w:position w:val="2"/>
                <w:sz w:val="20"/>
                <w:szCs w:val="20"/>
              </w:rPr>
              <w:t>d</w:t>
            </w:r>
          </w:p>
        </w:tc>
        <w:tc>
          <w:tcPr>
            <w:tcW w:w="695" w:type="dxa"/>
            <w:tcBorders>
              <w:left w:val="single" w:color="000000" w:sz="4" w:space="0"/>
              <w:right w:val="single" w:color="000000" w:sz="4" w:space="0"/>
            </w:tcBorders>
            <w:vAlign w:val="top"/>
          </w:tcPr>
          <w:p w14:paraId="596C25F0">
            <w:pPr>
              <w:spacing w:line="378" w:lineRule="auto"/>
              <w:rPr>
                <w:rFonts w:ascii="Arial"/>
                <w:sz w:val="21"/>
              </w:rPr>
            </w:pPr>
          </w:p>
          <w:p w14:paraId="4755309A">
            <w:pPr>
              <w:spacing w:before="58" w:line="195" w:lineRule="auto"/>
              <w:ind w:left="11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.286</w:t>
            </w:r>
          </w:p>
        </w:tc>
        <w:tc>
          <w:tcPr>
            <w:tcW w:w="4568" w:type="dxa"/>
            <w:tcBorders>
              <w:left w:val="single" w:color="000000" w:sz="4" w:space="0"/>
              <w:right w:val="nil"/>
            </w:tcBorders>
            <w:vAlign w:val="top"/>
          </w:tcPr>
          <w:p w14:paraId="0F217857">
            <w:pPr>
              <w:spacing w:before="80" w:line="227" w:lineRule="auto"/>
              <w:ind w:left="112"/>
              <w:rPr>
                <w:rFonts w:ascii="宋体" w:hAnsi="宋体" w:eastAsia="宋体" w:cs="宋体"/>
                <w:sz w:val="20"/>
                <w:szCs w:val="20"/>
              </w:rPr>
            </w:pPr>
            <w:r>
              <w:rPr>
                <w:rFonts w:ascii="宋体" w:hAnsi="宋体" w:eastAsia="宋体" w:cs="宋体"/>
                <w:spacing w:val="12"/>
                <w:sz w:val="20"/>
                <w:szCs w:val="20"/>
              </w:rPr>
              <w:t>根据</w:t>
            </w:r>
            <w:r>
              <w:rPr>
                <w:rFonts w:ascii="宋体" w:hAnsi="宋体" w:eastAsia="宋体" w:cs="宋体"/>
                <w:spacing w:val="8"/>
                <w:sz w:val="20"/>
                <w:szCs w:val="20"/>
              </w:rPr>
              <w:t>达</w:t>
            </w:r>
            <w:r>
              <w:rPr>
                <w:rFonts w:ascii="宋体" w:hAnsi="宋体" w:eastAsia="宋体" w:cs="宋体"/>
                <w:spacing w:val="6"/>
                <w:sz w:val="20"/>
                <w:szCs w:val="20"/>
              </w:rPr>
              <w:t>西定律并考虑孔隙度计算。含水层为砂砾</w:t>
            </w:r>
          </w:p>
          <w:p w14:paraId="395707D9">
            <w:pPr>
              <w:spacing w:before="75" w:line="228" w:lineRule="auto"/>
              <w:ind w:left="112"/>
              <w:rPr>
                <w:rFonts w:ascii="宋体" w:hAnsi="宋体" w:eastAsia="宋体" w:cs="宋体"/>
                <w:sz w:val="20"/>
                <w:szCs w:val="20"/>
              </w:rPr>
            </w:pPr>
            <w:r>
              <w:rPr>
                <w:rFonts w:ascii="宋体" w:hAnsi="宋体" w:eastAsia="宋体" w:cs="宋体"/>
                <w:spacing w:val="4"/>
                <w:sz w:val="20"/>
                <w:szCs w:val="20"/>
              </w:rPr>
              <w:t>层，参照导则附</w:t>
            </w:r>
            <w:r>
              <w:rPr>
                <w:rFonts w:ascii="宋体" w:hAnsi="宋体" w:eastAsia="宋体" w:cs="宋体"/>
                <w:spacing w:val="3"/>
                <w:sz w:val="20"/>
                <w:szCs w:val="20"/>
              </w:rPr>
              <w:t>录</w:t>
            </w:r>
            <w:r>
              <w:rPr>
                <w:rFonts w:ascii="宋体" w:hAnsi="宋体" w:eastAsia="宋体" w:cs="宋体"/>
                <w:spacing w:val="2"/>
                <w:sz w:val="20"/>
                <w:szCs w:val="20"/>
              </w:rPr>
              <w:t xml:space="preserve"> </w:t>
            </w:r>
            <w:r>
              <w:rPr>
                <w:rFonts w:ascii="Times New Roman" w:hAnsi="Times New Roman" w:eastAsia="Times New Roman" w:cs="Times New Roman"/>
                <w:sz w:val="20"/>
                <w:szCs w:val="20"/>
              </w:rPr>
              <w:t>B</w:t>
            </w:r>
            <w:r>
              <w:rPr>
                <w:rFonts w:ascii="Times New Roman" w:hAnsi="Times New Roman" w:eastAsia="Times New Roman" w:cs="Times New Roman"/>
                <w:spacing w:val="2"/>
                <w:sz w:val="20"/>
                <w:szCs w:val="20"/>
              </w:rPr>
              <w:t xml:space="preserve"> </w:t>
            </w:r>
            <w:r>
              <w:rPr>
                <w:rFonts w:ascii="宋体" w:hAnsi="宋体" w:eastAsia="宋体" w:cs="宋体"/>
                <w:spacing w:val="2"/>
                <w:sz w:val="20"/>
                <w:szCs w:val="20"/>
              </w:rPr>
              <w:t>中砂砾的参数取值，渗透系</w:t>
            </w:r>
          </w:p>
          <w:p w14:paraId="5A45BCA0">
            <w:pPr>
              <w:spacing w:before="34" w:line="282" w:lineRule="exact"/>
              <w:ind w:left="419"/>
              <w:rPr>
                <w:rFonts w:ascii="Times New Roman" w:hAnsi="Times New Roman" w:eastAsia="Times New Roman" w:cs="Times New Roman"/>
                <w:sz w:val="20"/>
                <w:szCs w:val="20"/>
              </w:rPr>
            </w:pPr>
            <w:r>
              <w:rPr>
                <w:rFonts w:ascii="宋体" w:hAnsi="宋体" w:eastAsia="宋体" w:cs="宋体"/>
                <w:spacing w:val="-8"/>
                <w:position w:val="1"/>
                <w:sz w:val="20"/>
                <w:szCs w:val="20"/>
              </w:rPr>
              <w:t xml:space="preserve">数 </w:t>
            </w:r>
            <w:r>
              <w:rPr>
                <w:rFonts w:ascii="Times New Roman" w:hAnsi="Times New Roman" w:eastAsia="Times New Roman" w:cs="Times New Roman"/>
                <w:spacing w:val="-4"/>
                <w:position w:val="1"/>
                <w:sz w:val="20"/>
                <w:szCs w:val="20"/>
              </w:rPr>
              <w:t xml:space="preserve">30m/d </w:t>
            </w:r>
            <w:r>
              <w:rPr>
                <w:rFonts w:ascii="宋体" w:hAnsi="宋体" w:eastAsia="宋体" w:cs="宋体"/>
                <w:spacing w:val="-4"/>
                <w:position w:val="1"/>
                <w:sz w:val="20"/>
                <w:szCs w:val="20"/>
              </w:rPr>
              <w:t xml:space="preserve">，孔隙度 </w:t>
            </w:r>
            <w:r>
              <w:rPr>
                <w:rFonts w:ascii="Times New Roman" w:hAnsi="Times New Roman" w:eastAsia="Times New Roman" w:cs="Times New Roman"/>
                <w:spacing w:val="-4"/>
                <w:position w:val="1"/>
                <w:sz w:val="20"/>
                <w:szCs w:val="20"/>
              </w:rPr>
              <w:t xml:space="preserve">0 35 </w:t>
            </w:r>
            <w:r>
              <w:rPr>
                <w:rFonts w:ascii="宋体" w:hAnsi="宋体" w:eastAsia="宋体" w:cs="宋体"/>
                <w:spacing w:val="-4"/>
                <w:position w:val="1"/>
                <w:sz w:val="20"/>
                <w:szCs w:val="20"/>
              </w:rPr>
              <w:t xml:space="preserve">。水力坡度 </w:t>
            </w:r>
            <w:r>
              <w:rPr>
                <w:rFonts w:ascii="Times New Roman" w:hAnsi="Times New Roman" w:eastAsia="Times New Roman" w:cs="Times New Roman"/>
                <w:spacing w:val="-4"/>
                <w:position w:val="1"/>
                <w:sz w:val="20"/>
                <w:szCs w:val="20"/>
              </w:rPr>
              <w:t>1/ 1000</w:t>
            </w:r>
          </w:p>
        </w:tc>
      </w:tr>
      <w:tr w14:paraId="7A233C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70" w:hRule="atLeast"/>
        </w:trPr>
        <w:tc>
          <w:tcPr>
            <w:tcW w:w="2448" w:type="dxa"/>
            <w:tcBorders>
              <w:left w:val="nil"/>
              <w:right w:val="single" w:color="000000" w:sz="4" w:space="0"/>
            </w:tcBorders>
            <w:vAlign w:val="top"/>
          </w:tcPr>
          <w:p w14:paraId="00CBEDBF">
            <w:pPr>
              <w:spacing w:before="242" w:line="228" w:lineRule="auto"/>
              <w:ind w:left="604"/>
              <w:rPr>
                <w:rFonts w:ascii="宋体" w:hAnsi="宋体" w:eastAsia="宋体" w:cs="宋体"/>
                <w:sz w:val="20"/>
                <w:szCs w:val="20"/>
              </w:rPr>
            </w:pPr>
            <w:r>
              <w:rPr>
                <w:rFonts w:ascii="宋体" w:hAnsi="宋体" w:eastAsia="宋体" w:cs="宋体"/>
                <w:spacing w:val="11"/>
                <w:sz w:val="20"/>
                <w:szCs w:val="20"/>
              </w:rPr>
              <w:t>纵</w:t>
            </w:r>
            <w:r>
              <w:rPr>
                <w:rFonts w:ascii="宋体" w:hAnsi="宋体" w:eastAsia="宋体" w:cs="宋体"/>
                <w:spacing w:val="7"/>
                <w:sz w:val="20"/>
                <w:szCs w:val="20"/>
              </w:rPr>
              <w:t>向弥散系数</w:t>
            </w:r>
          </w:p>
        </w:tc>
        <w:tc>
          <w:tcPr>
            <w:tcW w:w="816" w:type="dxa"/>
            <w:tcBorders>
              <w:left w:val="single" w:color="000000" w:sz="4" w:space="0"/>
              <w:right w:val="single" w:color="000000" w:sz="4" w:space="0"/>
            </w:tcBorders>
            <w:vAlign w:val="top"/>
          </w:tcPr>
          <w:p w14:paraId="59F66DE0">
            <w:pPr>
              <w:spacing w:before="205" w:line="281" w:lineRule="exact"/>
              <w:ind w:left="208"/>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m</w:t>
            </w:r>
            <w:r>
              <w:rPr>
                <w:rFonts w:ascii="Times New Roman" w:hAnsi="Times New Roman" w:eastAsia="Times New Roman" w:cs="Times New Roman"/>
                <w:spacing w:val="8"/>
                <w:position w:val="7"/>
                <w:sz w:val="13"/>
                <w:szCs w:val="13"/>
              </w:rPr>
              <w:t>2</w:t>
            </w:r>
            <w:r>
              <w:rPr>
                <w:rFonts w:ascii="Times New Roman" w:hAnsi="Times New Roman" w:eastAsia="Times New Roman" w:cs="Times New Roman"/>
                <w:spacing w:val="7"/>
                <w:position w:val="1"/>
                <w:sz w:val="20"/>
                <w:szCs w:val="20"/>
              </w:rPr>
              <w:t>/</w:t>
            </w:r>
            <w:r>
              <w:rPr>
                <w:rFonts w:ascii="Times New Roman" w:hAnsi="Times New Roman" w:eastAsia="Times New Roman" w:cs="Times New Roman"/>
                <w:position w:val="1"/>
                <w:sz w:val="20"/>
                <w:szCs w:val="20"/>
              </w:rPr>
              <w:t>d</w:t>
            </w:r>
          </w:p>
        </w:tc>
        <w:tc>
          <w:tcPr>
            <w:tcW w:w="695" w:type="dxa"/>
            <w:tcBorders>
              <w:left w:val="single" w:color="000000" w:sz="4" w:space="0"/>
              <w:right w:val="single" w:color="000000" w:sz="4" w:space="0"/>
            </w:tcBorders>
            <w:vAlign w:val="top"/>
          </w:tcPr>
          <w:p w14:paraId="54F1982E">
            <w:pPr>
              <w:spacing w:before="279" w:line="195" w:lineRule="auto"/>
              <w:ind w:left="1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w:t>
            </w:r>
            <w:r>
              <w:rPr>
                <w:rFonts w:ascii="Times New Roman" w:hAnsi="Times New Roman" w:eastAsia="Times New Roman" w:cs="Times New Roman"/>
                <w:spacing w:val="1"/>
                <w:sz w:val="20"/>
                <w:szCs w:val="20"/>
              </w:rPr>
              <w:t>.57</w:t>
            </w:r>
          </w:p>
        </w:tc>
        <w:tc>
          <w:tcPr>
            <w:tcW w:w="4568" w:type="dxa"/>
            <w:tcBorders>
              <w:left w:val="single" w:color="000000" w:sz="4" w:space="0"/>
              <w:right w:val="nil"/>
            </w:tcBorders>
            <w:vAlign w:val="top"/>
          </w:tcPr>
          <w:p w14:paraId="79ECEFAA">
            <w:pPr>
              <w:spacing w:before="82" w:line="271" w:lineRule="auto"/>
              <w:ind w:left="286" w:right="107" w:hanging="174"/>
              <w:rPr>
                <w:rFonts w:ascii="Times New Roman" w:hAnsi="Times New Roman" w:eastAsia="Times New Roman" w:cs="Times New Roman"/>
                <w:sz w:val="20"/>
                <w:szCs w:val="20"/>
              </w:rPr>
            </w:pPr>
            <w:r>
              <w:rPr>
                <w:rFonts w:ascii="宋体" w:hAnsi="宋体" w:eastAsia="宋体" w:cs="宋体"/>
                <w:spacing w:val="7"/>
                <w:sz w:val="20"/>
                <w:szCs w:val="20"/>
              </w:rPr>
              <w:t>根据弥散度计算。在野外大区域求得的弥散度</w:t>
            </w:r>
            <w:r>
              <w:rPr>
                <w:rFonts w:ascii="宋体" w:hAnsi="宋体" w:eastAsia="宋体" w:cs="宋体"/>
                <w:spacing w:val="3"/>
                <w:sz w:val="20"/>
                <w:szCs w:val="20"/>
              </w:rPr>
              <w:t>值</w:t>
            </w:r>
            <w:r>
              <w:rPr>
                <w:rFonts w:ascii="宋体" w:hAnsi="宋体" w:eastAsia="宋体" w:cs="宋体"/>
                <w:sz w:val="20"/>
                <w:szCs w:val="20"/>
              </w:rPr>
              <w:t xml:space="preserve"> </w:t>
            </w:r>
            <w:r>
              <w:rPr>
                <w:rFonts w:ascii="宋体" w:hAnsi="宋体" w:eastAsia="宋体" w:cs="宋体"/>
                <w:spacing w:val="-1"/>
                <w:sz w:val="20"/>
                <w:szCs w:val="20"/>
              </w:rPr>
              <w:t xml:space="preserve">在 </w:t>
            </w:r>
            <w:r>
              <w:rPr>
                <w:rFonts w:ascii="Times New Roman" w:hAnsi="Times New Roman" w:eastAsia="Times New Roman" w:cs="Times New Roman"/>
                <w:spacing w:val="-1"/>
                <w:sz w:val="20"/>
                <w:szCs w:val="20"/>
              </w:rPr>
              <w:t xml:space="preserve">0. 1 </w:t>
            </w:r>
            <w:r>
              <w:rPr>
                <w:rFonts w:ascii="宋体" w:hAnsi="宋体" w:eastAsia="宋体" w:cs="宋体"/>
                <w:spacing w:val="-1"/>
                <w:sz w:val="20"/>
                <w:szCs w:val="20"/>
              </w:rPr>
              <w:t xml:space="preserve">至 </w:t>
            </w:r>
            <w:r>
              <w:rPr>
                <w:rFonts w:ascii="Times New Roman" w:hAnsi="Times New Roman" w:eastAsia="Times New Roman" w:cs="Times New Roman"/>
                <w:spacing w:val="-1"/>
                <w:sz w:val="20"/>
                <w:szCs w:val="20"/>
              </w:rPr>
              <w:t xml:space="preserve">1000 </w:t>
            </w:r>
            <w:r>
              <w:rPr>
                <w:rFonts w:ascii="宋体" w:hAnsi="宋体" w:eastAsia="宋体" w:cs="宋体"/>
                <w:spacing w:val="-1"/>
                <w:sz w:val="20"/>
                <w:szCs w:val="20"/>
              </w:rPr>
              <w:t>量级范围内</w:t>
            </w:r>
            <w:r>
              <w:rPr>
                <w:rFonts w:ascii="宋体" w:hAnsi="宋体" w:eastAsia="宋体" w:cs="宋体"/>
                <w:sz w:val="20"/>
                <w:szCs w:val="20"/>
              </w:rPr>
              <w:t xml:space="preserve">，弥散度取 </w:t>
            </w:r>
            <w:r>
              <w:rPr>
                <w:rFonts w:ascii="Times New Roman" w:hAnsi="Times New Roman" w:eastAsia="Times New Roman" w:cs="Times New Roman"/>
                <w:sz w:val="20"/>
                <w:szCs w:val="20"/>
              </w:rPr>
              <w:t>30m/d</w:t>
            </w:r>
          </w:p>
        </w:tc>
      </w:tr>
    </w:tbl>
    <w:p w14:paraId="311D9291">
      <w:pPr>
        <w:rPr>
          <w:rFonts w:ascii="Arial"/>
          <w:sz w:val="21"/>
        </w:rPr>
      </w:pPr>
    </w:p>
    <w:p w14:paraId="2418520F">
      <w:pPr>
        <w:sectPr>
          <w:headerReference r:id="rId229" w:type="default"/>
          <w:footerReference r:id="rId230" w:type="default"/>
          <w:pgSz w:w="11906" w:h="16839"/>
          <w:pgMar w:top="1132" w:right="1689" w:bottom="1182" w:left="1689" w:header="878" w:footer="1022" w:gutter="0"/>
          <w:cols w:space="720" w:num="1"/>
        </w:sectPr>
      </w:pPr>
    </w:p>
    <w:p w14:paraId="55DF50D7">
      <w:pPr>
        <w:spacing w:line="245" w:lineRule="auto"/>
        <w:rPr>
          <w:rFonts w:ascii="Arial"/>
          <w:sz w:val="21"/>
        </w:rPr>
      </w:pPr>
      <w:r>
        <w:pict>
          <v:rect id="_x0000_s1276" o:spid="_x0000_s1276" o:spt="1" style="position:absolute;left:0pt;margin-left:72pt;margin-top:57.35pt;height:0.75pt;width:697.95pt;mso-position-horizontal-relative:page;mso-position-vertical-relative:page;z-index:251932672;mso-width-relative:page;mso-height-relative:page;" fillcolor="#000000" filled="t" stroked="f" coordsize="21600,21600" o:allowincell="f">
            <v:path/>
            <v:fill on="t" focussize="0,0"/>
            <v:stroke on="f"/>
            <v:imagedata o:title=""/>
            <o:lock v:ext="edit"/>
          </v:rect>
        </w:pict>
      </w:r>
      <w:r>
        <w:drawing>
          <wp:anchor distT="0" distB="0" distL="0" distR="0" simplePos="0" relativeHeight="251931648" behindDoc="1" locked="0" layoutInCell="0" allowOverlap="1">
            <wp:simplePos x="0" y="0"/>
            <wp:positionH relativeFrom="page">
              <wp:posOffset>1404620</wp:posOffset>
            </wp:positionH>
            <wp:positionV relativeFrom="page">
              <wp:posOffset>869950</wp:posOffset>
            </wp:positionV>
            <wp:extent cx="7952105" cy="5475605"/>
            <wp:effectExtent l="0" t="0" r="0" b="0"/>
            <wp:wrapNone/>
            <wp:docPr id="130" name="IM 130"/>
            <wp:cNvGraphicFramePr/>
            <a:graphic xmlns:a="http://schemas.openxmlformats.org/drawingml/2006/main">
              <a:graphicData uri="http://schemas.openxmlformats.org/drawingml/2006/picture">
                <pic:pic xmlns:pic="http://schemas.openxmlformats.org/drawingml/2006/picture">
                  <pic:nvPicPr>
                    <pic:cNvPr id="130" name="IM 130"/>
                    <pic:cNvPicPr/>
                  </pic:nvPicPr>
                  <pic:blipFill>
                    <a:blip r:embed="rId519"/>
                    <a:stretch>
                      <a:fillRect/>
                    </a:stretch>
                  </pic:blipFill>
                  <pic:spPr>
                    <a:xfrm>
                      <a:off x="0" y="0"/>
                      <a:ext cx="7952231" cy="5475732"/>
                    </a:xfrm>
                    <a:prstGeom prst="rect">
                      <a:avLst/>
                    </a:prstGeom>
                  </pic:spPr>
                </pic:pic>
              </a:graphicData>
            </a:graphic>
          </wp:anchor>
        </w:drawing>
      </w:r>
    </w:p>
    <w:p w14:paraId="50E09B3D">
      <w:pPr>
        <w:spacing w:line="245" w:lineRule="auto"/>
        <w:rPr>
          <w:rFonts w:ascii="Arial"/>
          <w:sz w:val="21"/>
        </w:rPr>
      </w:pPr>
    </w:p>
    <w:p w14:paraId="7163B7FE">
      <w:pPr>
        <w:spacing w:line="245" w:lineRule="auto"/>
        <w:rPr>
          <w:rFonts w:ascii="Arial"/>
          <w:sz w:val="21"/>
        </w:rPr>
      </w:pPr>
    </w:p>
    <w:p w14:paraId="79DECBA9">
      <w:pPr>
        <w:spacing w:line="245" w:lineRule="auto"/>
        <w:rPr>
          <w:rFonts w:ascii="Arial"/>
          <w:sz w:val="21"/>
        </w:rPr>
      </w:pPr>
    </w:p>
    <w:p w14:paraId="5CD3C31C">
      <w:pPr>
        <w:spacing w:line="245" w:lineRule="auto"/>
        <w:rPr>
          <w:rFonts w:ascii="Arial"/>
          <w:sz w:val="21"/>
        </w:rPr>
      </w:pPr>
    </w:p>
    <w:p w14:paraId="7D5E49CA">
      <w:pPr>
        <w:spacing w:line="245" w:lineRule="auto"/>
        <w:rPr>
          <w:rFonts w:ascii="Arial"/>
          <w:sz w:val="21"/>
        </w:rPr>
      </w:pPr>
    </w:p>
    <w:p w14:paraId="46C5CDC5">
      <w:pPr>
        <w:spacing w:line="245" w:lineRule="auto"/>
        <w:rPr>
          <w:rFonts w:ascii="Arial"/>
          <w:sz w:val="21"/>
        </w:rPr>
      </w:pPr>
    </w:p>
    <w:p w14:paraId="78BB60F9">
      <w:pPr>
        <w:spacing w:line="245" w:lineRule="auto"/>
        <w:rPr>
          <w:rFonts w:ascii="Arial"/>
          <w:sz w:val="21"/>
        </w:rPr>
      </w:pPr>
    </w:p>
    <w:p w14:paraId="06FE7F2A">
      <w:pPr>
        <w:spacing w:line="245" w:lineRule="auto"/>
        <w:rPr>
          <w:rFonts w:ascii="Arial"/>
          <w:sz w:val="21"/>
        </w:rPr>
      </w:pPr>
    </w:p>
    <w:p w14:paraId="48A3B04E">
      <w:pPr>
        <w:spacing w:line="245" w:lineRule="auto"/>
        <w:rPr>
          <w:rFonts w:ascii="Arial"/>
          <w:sz w:val="21"/>
        </w:rPr>
      </w:pPr>
    </w:p>
    <w:p w14:paraId="25BB2DBA">
      <w:pPr>
        <w:spacing w:line="245" w:lineRule="auto"/>
        <w:rPr>
          <w:rFonts w:ascii="Arial"/>
          <w:sz w:val="21"/>
        </w:rPr>
      </w:pPr>
    </w:p>
    <w:p w14:paraId="58D4FE42">
      <w:pPr>
        <w:spacing w:line="245" w:lineRule="auto"/>
        <w:rPr>
          <w:rFonts w:ascii="Arial"/>
          <w:sz w:val="21"/>
        </w:rPr>
      </w:pPr>
    </w:p>
    <w:p w14:paraId="7655DE72">
      <w:pPr>
        <w:spacing w:line="245" w:lineRule="auto"/>
        <w:rPr>
          <w:rFonts w:ascii="Arial"/>
          <w:sz w:val="21"/>
        </w:rPr>
      </w:pPr>
    </w:p>
    <w:p w14:paraId="2998FF79">
      <w:pPr>
        <w:spacing w:line="245" w:lineRule="auto"/>
        <w:rPr>
          <w:rFonts w:ascii="Arial"/>
          <w:sz w:val="21"/>
        </w:rPr>
      </w:pPr>
    </w:p>
    <w:p w14:paraId="77208215">
      <w:pPr>
        <w:spacing w:line="245" w:lineRule="auto"/>
        <w:rPr>
          <w:rFonts w:ascii="Arial"/>
          <w:sz w:val="21"/>
        </w:rPr>
      </w:pPr>
    </w:p>
    <w:p w14:paraId="21CB9D79">
      <w:pPr>
        <w:spacing w:line="246" w:lineRule="auto"/>
        <w:rPr>
          <w:rFonts w:ascii="Arial"/>
          <w:sz w:val="21"/>
        </w:rPr>
      </w:pPr>
    </w:p>
    <w:p w14:paraId="2B86E001">
      <w:pPr>
        <w:spacing w:line="246" w:lineRule="auto"/>
        <w:rPr>
          <w:rFonts w:ascii="Arial"/>
          <w:sz w:val="21"/>
        </w:rPr>
      </w:pPr>
    </w:p>
    <w:p w14:paraId="6900A827">
      <w:pPr>
        <w:spacing w:line="246" w:lineRule="auto"/>
        <w:rPr>
          <w:rFonts w:ascii="Arial"/>
          <w:sz w:val="21"/>
        </w:rPr>
      </w:pPr>
    </w:p>
    <w:p w14:paraId="13D18BFD">
      <w:pPr>
        <w:spacing w:line="246" w:lineRule="auto"/>
        <w:rPr>
          <w:rFonts w:ascii="Arial"/>
          <w:sz w:val="21"/>
        </w:rPr>
      </w:pPr>
    </w:p>
    <w:p w14:paraId="6EFB08CB">
      <w:pPr>
        <w:spacing w:line="246" w:lineRule="auto"/>
        <w:rPr>
          <w:rFonts w:ascii="Arial"/>
          <w:sz w:val="21"/>
        </w:rPr>
      </w:pPr>
    </w:p>
    <w:p w14:paraId="103AD9F1">
      <w:pPr>
        <w:spacing w:line="1456" w:lineRule="exact"/>
        <w:ind w:firstLine="8726"/>
        <w:textAlignment w:val="center"/>
      </w:pPr>
      <w:r>
        <w:pict>
          <v:group id="_x0000_s1277" o:spid="_x0000_s1277" o:spt="203" style="height:72.85pt;width:126.85pt;" coordsize="2536,1456">
            <o:lock v:ext="edit"/>
            <v:shape id="_x0000_s1278" o:spid="_x0000_s1278" o:spt="75" type="#_x0000_t75" style="position:absolute;left:0;top:0;height:1456;width:2536;" filled="f" stroked="f" coordsize="21600,21600">
              <v:path/>
              <v:fill on="f" focussize="0,0"/>
              <v:stroke on="f"/>
              <v:imagedata r:id="rId520" o:title=""/>
              <o:lock v:ext="edit" aspectratio="t"/>
            </v:shape>
            <v:shape id="_x0000_s1279" o:spid="_x0000_s1279" o:spt="202" type="#_x0000_t202" style="position:absolute;left:-20;top:-20;height:1535;width:2577;" filled="f" stroked="f" coordsize="21600,21600">
              <v:path/>
              <v:fill on="f" focussize="0,0"/>
              <v:stroke on="f"/>
              <v:imagedata o:title=""/>
              <o:lock v:ext="edit" aspectratio="f"/>
              <v:textbox inset="0mm,0mm,0mm,0mm">
                <w:txbxContent>
                  <w:p w14:paraId="2F29A68A">
                    <w:pPr>
                      <w:spacing w:line="273" w:lineRule="auto"/>
                      <w:rPr>
                        <w:rFonts w:ascii="Arial"/>
                        <w:sz w:val="21"/>
                      </w:rPr>
                    </w:pPr>
                  </w:p>
                  <w:p w14:paraId="38BE413F">
                    <w:pPr>
                      <w:spacing w:line="273" w:lineRule="auto"/>
                      <w:rPr>
                        <w:rFonts w:ascii="Arial"/>
                        <w:sz w:val="21"/>
                      </w:rPr>
                    </w:pPr>
                  </w:p>
                  <w:p w14:paraId="6D7E5C28">
                    <w:pPr>
                      <w:spacing w:line="273" w:lineRule="auto"/>
                      <w:rPr>
                        <w:rFonts w:ascii="Arial"/>
                        <w:sz w:val="21"/>
                      </w:rPr>
                    </w:pPr>
                  </w:p>
                  <w:p w14:paraId="1526B1D1">
                    <w:pPr>
                      <w:spacing w:line="274" w:lineRule="auto"/>
                      <w:rPr>
                        <w:rFonts w:ascii="Arial"/>
                        <w:sz w:val="21"/>
                      </w:rPr>
                    </w:pPr>
                  </w:p>
                  <w:p w14:paraId="6E61E957">
                    <w:pPr>
                      <w:spacing w:before="65" w:line="228" w:lineRule="auto"/>
                      <w:ind w:left="933"/>
                      <w:rPr>
                        <w:rFonts w:ascii="宋体" w:hAnsi="宋体" w:eastAsia="宋体" w:cs="宋体"/>
                        <w:sz w:val="20"/>
                        <w:szCs w:val="20"/>
                      </w:rPr>
                    </w:pPr>
                    <w:r>
                      <w:rPr>
                        <w:rFonts w:ascii="宋体" w:hAnsi="宋体" w:eastAsia="宋体" w:cs="宋体"/>
                        <w:spacing w:val="10"/>
                        <w:sz w:val="20"/>
                        <w:szCs w:val="20"/>
                      </w:rPr>
                      <w:t>建</w:t>
                    </w:r>
                    <w:r>
                      <w:rPr>
                        <w:rFonts w:ascii="宋体" w:hAnsi="宋体" w:eastAsia="宋体" w:cs="宋体"/>
                        <w:spacing w:val="8"/>
                        <w:sz w:val="20"/>
                        <w:szCs w:val="20"/>
                      </w:rPr>
                      <w:t>设项目所在地</w:t>
                    </w:r>
                  </w:p>
                </w:txbxContent>
              </v:textbox>
            </v:shape>
            <w10:wrap type="none"/>
            <w10:anchorlock/>
          </v:group>
        </w:pict>
      </w:r>
    </w:p>
    <w:p w14:paraId="19D35A2A">
      <w:pPr>
        <w:spacing w:line="241" w:lineRule="auto"/>
        <w:rPr>
          <w:rFonts w:ascii="Arial"/>
          <w:sz w:val="21"/>
        </w:rPr>
      </w:pPr>
    </w:p>
    <w:p w14:paraId="01FC1796">
      <w:pPr>
        <w:spacing w:line="241" w:lineRule="auto"/>
        <w:rPr>
          <w:rFonts w:ascii="Arial"/>
          <w:sz w:val="21"/>
        </w:rPr>
      </w:pPr>
    </w:p>
    <w:p w14:paraId="07C10CBC">
      <w:pPr>
        <w:spacing w:line="241" w:lineRule="auto"/>
        <w:rPr>
          <w:rFonts w:ascii="Arial"/>
          <w:sz w:val="21"/>
        </w:rPr>
      </w:pPr>
    </w:p>
    <w:p w14:paraId="732DCE06">
      <w:pPr>
        <w:spacing w:line="242" w:lineRule="auto"/>
        <w:rPr>
          <w:rFonts w:ascii="Arial"/>
          <w:sz w:val="21"/>
        </w:rPr>
      </w:pPr>
    </w:p>
    <w:p w14:paraId="6CAD36F1">
      <w:pPr>
        <w:spacing w:line="242" w:lineRule="auto"/>
        <w:rPr>
          <w:rFonts w:ascii="Arial"/>
          <w:sz w:val="21"/>
        </w:rPr>
      </w:pPr>
    </w:p>
    <w:p w14:paraId="7EC02B9E">
      <w:pPr>
        <w:spacing w:line="242" w:lineRule="auto"/>
        <w:rPr>
          <w:rFonts w:ascii="Arial"/>
          <w:sz w:val="21"/>
        </w:rPr>
      </w:pPr>
    </w:p>
    <w:p w14:paraId="25692C03">
      <w:pPr>
        <w:spacing w:line="242" w:lineRule="auto"/>
        <w:rPr>
          <w:rFonts w:ascii="Arial"/>
          <w:sz w:val="21"/>
        </w:rPr>
      </w:pPr>
    </w:p>
    <w:p w14:paraId="2E89E880">
      <w:pPr>
        <w:spacing w:line="242" w:lineRule="auto"/>
        <w:rPr>
          <w:rFonts w:ascii="Arial"/>
          <w:sz w:val="21"/>
        </w:rPr>
      </w:pPr>
    </w:p>
    <w:p w14:paraId="109C0328">
      <w:pPr>
        <w:spacing w:line="242" w:lineRule="auto"/>
        <w:rPr>
          <w:rFonts w:ascii="Arial"/>
          <w:sz w:val="21"/>
        </w:rPr>
      </w:pPr>
    </w:p>
    <w:p w14:paraId="2EC5BEA5">
      <w:pPr>
        <w:spacing w:line="242" w:lineRule="auto"/>
        <w:rPr>
          <w:rFonts w:ascii="Arial"/>
          <w:sz w:val="21"/>
        </w:rPr>
      </w:pPr>
    </w:p>
    <w:p w14:paraId="7E110CF0">
      <w:pPr>
        <w:spacing w:before="74" w:line="227" w:lineRule="auto"/>
        <w:ind w:left="5437"/>
        <w:rPr>
          <w:rFonts w:ascii="宋体" w:hAnsi="宋体" w:eastAsia="宋体" w:cs="宋体"/>
          <w:sz w:val="23"/>
          <w:szCs w:val="23"/>
        </w:rPr>
      </w:pPr>
      <w:r>
        <w:rPr>
          <w:rFonts w:ascii="宋体" w:hAnsi="宋体" w:eastAsia="宋体" w:cs="宋体"/>
          <w:spacing w:val="4"/>
          <w:sz w:val="23"/>
          <w:szCs w:val="23"/>
          <w14:textOutline w14:w="4358" w14:cap="sq" w14:cmpd="sng">
            <w14:solidFill>
              <w14:srgbClr w14:val="000000"/>
            </w14:solidFill>
            <w14:prstDash w14:val="solid"/>
            <w14:bevel/>
          </w14:textOutline>
        </w:rPr>
        <w:t>图</w:t>
      </w:r>
      <w:r>
        <w:rPr>
          <w:rFonts w:ascii="宋体" w:hAnsi="宋体" w:eastAsia="宋体" w:cs="宋体"/>
          <w:spacing w:val="4"/>
          <w:sz w:val="23"/>
          <w:szCs w:val="23"/>
        </w:rPr>
        <w:t xml:space="preserve"> </w:t>
      </w:r>
      <w:r>
        <w:rPr>
          <w:rFonts w:ascii="Times New Roman" w:hAnsi="Times New Roman" w:eastAsia="Times New Roman" w:cs="Times New Roman"/>
          <w:b/>
          <w:bCs/>
          <w:spacing w:val="4"/>
          <w:sz w:val="23"/>
          <w:szCs w:val="23"/>
        </w:rPr>
        <w:t>5-3</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14:textOutline w14:w="4358" w14:cap="sq" w14:cmpd="sng">
            <w14:solidFill>
              <w14:srgbClr w14:val="000000"/>
            </w14:solidFill>
            <w14:prstDash w14:val="solid"/>
            <w14:bevel/>
          </w14:textOutline>
        </w:rPr>
        <w:t>项目区域水文地质图</w:t>
      </w:r>
    </w:p>
    <w:p w14:paraId="4C4FC92E">
      <w:pPr>
        <w:sectPr>
          <w:headerReference r:id="rId231" w:type="default"/>
          <w:footerReference r:id="rId232" w:type="default"/>
          <w:pgSz w:w="16839" w:h="11906"/>
          <w:pgMar w:top="1132" w:right="1440" w:bottom="1182" w:left="1440" w:header="878" w:footer="1022" w:gutter="0"/>
          <w:cols w:space="720" w:num="1"/>
        </w:sectPr>
      </w:pPr>
    </w:p>
    <w:p w14:paraId="2B97D3AE">
      <w:pPr>
        <w:spacing w:line="281" w:lineRule="auto"/>
        <w:rPr>
          <w:rFonts w:ascii="Arial"/>
          <w:sz w:val="21"/>
        </w:rPr>
      </w:pPr>
      <w:r>
        <w:pict>
          <v:shape id="_x0000_s1280" o:spid="_x0000_s1280" style="position:absolute;left:0pt;margin-left:90pt;margin-top:57.35pt;height:0.75pt;width:415.3pt;mso-position-horizontal-relative:page;mso-position-vertical-relative:page;z-index:251933696;mso-width-relative:page;mso-height-relative:page;" fillcolor="#000000" filled="t" stroked="f" coordsize="8305,15" o:allowincell="f" path="m0,0l8305,0,8305,14,0,14,0,0xe">
            <v:path/>
            <v:fill on="t" focussize="0,0"/>
            <v:stroke on="f"/>
            <v:imagedata o:title=""/>
            <o:lock v:ext="edit"/>
          </v:shape>
        </w:pict>
      </w:r>
    </w:p>
    <w:p w14:paraId="30889D38">
      <w:pPr>
        <w:spacing w:line="282" w:lineRule="auto"/>
        <w:rPr>
          <w:rFonts w:ascii="Arial"/>
          <w:sz w:val="21"/>
        </w:rPr>
      </w:pPr>
    </w:p>
    <w:p w14:paraId="1A319F3E">
      <w:pPr>
        <w:spacing w:before="75" w:line="303" w:lineRule="exact"/>
        <w:ind w:left="598"/>
        <w:rPr>
          <w:rFonts w:ascii="宋体" w:hAnsi="宋体" w:eastAsia="宋体" w:cs="宋体"/>
          <w:sz w:val="23"/>
          <w:szCs w:val="23"/>
        </w:rPr>
      </w:pPr>
      <w:r>
        <w:rPr>
          <w:rFonts w:ascii="Times New Roman" w:hAnsi="Times New Roman" w:eastAsia="Times New Roman" w:cs="Times New Roman"/>
          <w:spacing w:val="-2"/>
          <w:position w:val="1"/>
          <w:sz w:val="23"/>
          <w:szCs w:val="23"/>
        </w:rPr>
        <w:t xml:space="preserve">6 </w:t>
      </w:r>
      <w:r>
        <w:rPr>
          <w:rFonts w:ascii="宋体" w:hAnsi="宋体" w:eastAsia="宋体" w:cs="宋体"/>
          <w:spacing w:val="-2"/>
          <w:position w:val="1"/>
          <w:sz w:val="23"/>
          <w:szCs w:val="23"/>
        </w:rPr>
        <w:t>、预测结</w:t>
      </w:r>
      <w:r>
        <w:rPr>
          <w:rFonts w:ascii="宋体" w:hAnsi="宋体" w:eastAsia="宋体" w:cs="宋体"/>
          <w:spacing w:val="-1"/>
          <w:position w:val="1"/>
          <w:sz w:val="23"/>
          <w:szCs w:val="23"/>
        </w:rPr>
        <w:t>果</w:t>
      </w:r>
    </w:p>
    <w:p w14:paraId="50CBB81C">
      <w:pPr>
        <w:spacing w:before="285" w:line="332" w:lineRule="exact"/>
        <w:ind w:left="954"/>
        <w:rPr>
          <w:rFonts w:ascii="宋体" w:hAnsi="宋体" w:eastAsia="宋体" w:cs="宋体"/>
          <w:sz w:val="23"/>
          <w:szCs w:val="23"/>
        </w:rPr>
      </w:pPr>
      <w:r>
        <w:rPr>
          <w:rFonts w:ascii="宋体" w:hAnsi="宋体" w:eastAsia="宋体" w:cs="宋体"/>
          <w:spacing w:val="8"/>
          <w:position w:val="2"/>
          <w:sz w:val="23"/>
          <w:szCs w:val="23"/>
          <w14:textOutline w14:w="4358" w14:cap="sq" w14:cmpd="sng">
            <w14:solidFill>
              <w14:srgbClr w14:val="000000"/>
            </w14:solidFill>
            <w14:prstDash w14:val="solid"/>
            <w14:bevel/>
          </w14:textOutline>
        </w:rPr>
        <w:t>表</w:t>
      </w:r>
      <w:r>
        <w:rPr>
          <w:rFonts w:ascii="宋体" w:hAnsi="宋体" w:eastAsia="宋体" w:cs="宋体"/>
          <w:spacing w:val="8"/>
          <w:position w:val="2"/>
          <w:sz w:val="23"/>
          <w:szCs w:val="23"/>
        </w:rPr>
        <w:t xml:space="preserve"> </w:t>
      </w:r>
      <w:r>
        <w:rPr>
          <w:rFonts w:ascii="Times New Roman" w:hAnsi="Times New Roman" w:eastAsia="Times New Roman" w:cs="Times New Roman"/>
          <w:b/>
          <w:bCs/>
          <w:spacing w:val="8"/>
          <w:position w:val="2"/>
          <w:sz w:val="23"/>
          <w:szCs w:val="23"/>
        </w:rPr>
        <w:t>5</w:t>
      </w:r>
      <w:r>
        <w:rPr>
          <w:rFonts w:ascii="Times New Roman" w:hAnsi="Times New Roman" w:eastAsia="Times New Roman" w:cs="Times New Roman"/>
          <w:b/>
          <w:bCs/>
          <w:spacing w:val="5"/>
          <w:position w:val="2"/>
          <w:sz w:val="23"/>
          <w:szCs w:val="23"/>
        </w:rPr>
        <w:t>-</w:t>
      </w:r>
      <w:r>
        <w:rPr>
          <w:rFonts w:ascii="Times New Roman" w:hAnsi="Times New Roman" w:eastAsia="Times New Roman" w:cs="Times New Roman"/>
          <w:b/>
          <w:bCs/>
          <w:spacing w:val="4"/>
          <w:position w:val="2"/>
          <w:sz w:val="23"/>
          <w:szCs w:val="23"/>
        </w:rPr>
        <w:t>16</w:t>
      </w:r>
      <w:r>
        <w:rPr>
          <w:rFonts w:ascii="Times New Roman" w:hAnsi="Times New Roman" w:eastAsia="Times New Roman" w:cs="Times New Roman"/>
          <w:spacing w:val="4"/>
          <w:position w:val="2"/>
          <w:sz w:val="23"/>
          <w:szCs w:val="23"/>
        </w:rPr>
        <w:t xml:space="preserve">        </w:t>
      </w:r>
      <w:r>
        <w:rPr>
          <w:rFonts w:ascii="宋体" w:hAnsi="宋体" w:eastAsia="宋体" w:cs="宋体"/>
          <w:spacing w:val="4"/>
          <w:position w:val="2"/>
          <w:sz w:val="23"/>
          <w:szCs w:val="23"/>
          <w14:textOutline w14:w="4358" w14:cap="sq" w14:cmpd="sng">
            <w14:solidFill>
              <w14:srgbClr w14:val="000000"/>
            </w14:solidFill>
            <w14:prstDash w14:val="solid"/>
            <w14:bevel/>
          </w14:textOutline>
        </w:rPr>
        <w:t>非正常状况氨氮污染物运移</w:t>
      </w:r>
      <w:r>
        <w:rPr>
          <w:rFonts w:ascii="宋体" w:hAnsi="宋体" w:eastAsia="宋体" w:cs="宋体"/>
          <w:spacing w:val="4"/>
          <w:position w:val="2"/>
          <w:sz w:val="23"/>
          <w:szCs w:val="23"/>
        </w:rPr>
        <w:t xml:space="preserve"> </w:t>
      </w:r>
      <w:r>
        <w:rPr>
          <w:rFonts w:ascii="Times New Roman" w:hAnsi="Times New Roman" w:eastAsia="Times New Roman" w:cs="Times New Roman"/>
          <w:b/>
          <w:bCs/>
          <w:spacing w:val="4"/>
          <w:position w:val="2"/>
          <w:sz w:val="23"/>
          <w:szCs w:val="23"/>
        </w:rPr>
        <w:t>100</w:t>
      </w:r>
      <w:r>
        <w:rPr>
          <w:rFonts w:ascii="Times New Roman" w:hAnsi="Times New Roman" w:eastAsia="Times New Roman" w:cs="Times New Roman"/>
          <w:b/>
          <w:bCs/>
          <w:position w:val="2"/>
          <w:sz w:val="23"/>
          <w:szCs w:val="23"/>
        </w:rPr>
        <w:t>d</w:t>
      </w:r>
      <w:r>
        <w:rPr>
          <w:rFonts w:ascii="Times New Roman" w:hAnsi="Times New Roman" w:eastAsia="Times New Roman" w:cs="Times New Roman"/>
          <w:spacing w:val="4"/>
          <w:position w:val="2"/>
          <w:sz w:val="23"/>
          <w:szCs w:val="23"/>
        </w:rPr>
        <w:t xml:space="preserve"> </w:t>
      </w:r>
      <w:r>
        <w:rPr>
          <w:rFonts w:ascii="宋体" w:hAnsi="宋体" w:eastAsia="宋体" w:cs="宋体"/>
          <w:spacing w:val="4"/>
          <w:position w:val="2"/>
          <w:sz w:val="23"/>
          <w:szCs w:val="23"/>
          <w14:textOutline w14:w="4358" w14:cap="sq" w14:cmpd="sng">
            <w14:solidFill>
              <w14:srgbClr w14:val="000000"/>
            </w14:solidFill>
            <w14:prstDash w14:val="solid"/>
            <w14:bevel/>
          </w14:textOutline>
        </w:rPr>
        <w:t>随距离变化一览表</w:t>
      </w:r>
    </w:p>
    <w:p w14:paraId="549AE4B2">
      <w:pPr>
        <w:spacing w:line="16"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08"/>
        <w:gridCol w:w="5814"/>
      </w:tblGrid>
      <w:tr w14:paraId="26CB30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2708" w:type="dxa"/>
            <w:tcBorders>
              <w:left w:val="nil"/>
              <w:right w:val="single" w:color="000000" w:sz="4" w:space="0"/>
            </w:tcBorders>
            <w:vAlign w:val="top"/>
          </w:tcPr>
          <w:p w14:paraId="20964D17">
            <w:pPr>
              <w:spacing w:before="76" w:line="228" w:lineRule="auto"/>
              <w:ind w:left="1152"/>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距离</w:t>
            </w:r>
          </w:p>
        </w:tc>
        <w:tc>
          <w:tcPr>
            <w:tcW w:w="5814" w:type="dxa"/>
            <w:tcBorders>
              <w:left w:val="single" w:color="000000" w:sz="4" w:space="0"/>
              <w:right w:val="nil"/>
            </w:tcBorders>
            <w:vAlign w:val="top"/>
          </w:tcPr>
          <w:p w14:paraId="7BF29301">
            <w:pPr>
              <w:spacing w:before="34" w:line="289" w:lineRule="exact"/>
              <w:ind w:left="2251"/>
              <w:rPr>
                <w:rFonts w:ascii="宋体" w:hAnsi="宋体" w:eastAsia="宋体" w:cs="宋体"/>
                <w:sz w:val="20"/>
                <w:szCs w:val="20"/>
              </w:rPr>
            </w:pPr>
            <w:r>
              <w:rPr>
                <w:rFonts w:ascii="宋体" w:hAnsi="宋体" w:eastAsia="宋体" w:cs="宋体"/>
                <w:spacing w:val="7"/>
                <w:position w:val="3"/>
                <w:sz w:val="20"/>
                <w:szCs w:val="20"/>
                <w14:textOutline w14:w="3795" w14:cap="sq" w14:cmpd="sng">
                  <w14:solidFill>
                    <w14:srgbClr w14:val="000000"/>
                  </w14:solidFill>
                  <w14:prstDash w14:val="solid"/>
                  <w14:bevel/>
                </w14:textOutline>
              </w:rPr>
              <w:t>浓度</w:t>
            </w:r>
            <w:r>
              <w:rPr>
                <w:rFonts w:ascii="宋体" w:hAnsi="宋体" w:eastAsia="宋体" w:cs="宋体"/>
                <w:spacing w:val="7"/>
                <w:position w:val="3"/>
                <w:sz w:val="20"/>
                <w:szCs w:val="20"/>
              </w:rPr>
              <w:t xml:space="preserve"> </w:t>
            </w:r>
            <w:r>
              <w:rPr>
                <w:rFonts w:ascii="宋体" w:hAnsi="宋体" w:eastAsia="宋体" w:cs="宋体"/>
                <w:spacing w:val="7"/>
                <w:position w:val="3"/>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position w:val="3"/>
                <w:sz w:val="20"/>
                <w:szCs w:val="20"/>
              </w:rPr>
              <w:t>mg</w:t>
            </w:r>
            <w:r>
              <w:rPr>
                <w:rFonts w:ascii="Times New Roman" w:hAnsi="Times New Roman" w:eastAsia="Times New Roman" w:cs="Times New Roman"/>
                <w:b/>
                <w:bCs/>
                <w:spacing w:val="7"/>
                <w:position w:val="3"/>
                <w:sz w:val="20"/>
                <w:szCs w:val="20"/>
              </w:rPr>
              <w:t>/</w:t>
            </w:r>
            <w:r>
              <w:rPr>
                <w:rFonts w:ascii="Times New Roman" w:hAnsi="Times New Roman" w:eastAsia="Times New Roman" w:cs="Times New Roman"/>
                <w:b/>
                <w:bCs/>
                <w:position w:val="3"/>
                <w:sz w:val="20"/>
                <w:szCs w:val="20"/>
              </w:rPr>
              <w:t>L</w:t>
            </w:r>
            <w:r>
              <w:rPr>
                <w:rFonts w:ascii="宋体" w:hAnsi="宋体" w:eastAsia="宋体" w:cs="宋体"/>
                <w:spacing w:val="7"/>
                <w:position w:val="3"/>
                <w:sz w:val="20"/>
                <w:szCs w:val="20"/>
                <w14:textOutline w14:w="3795" w14:cap="sq" w14:cmpd="sng">
                  <w14:solidFill>
                    <w14:srgbClr w14:val="000000"/>
                  </w14:solidFill>
                  <w14:prstDash w14:val="solid"/>
                  <w14:bevel/>
                </w14:textOutline>
              </w:rPr>
              <w:t>)</w:t>
            </w:r>
          </w:p>
        </w:tc>
      </w:tr>
      <w:tr w14:paraId="2ED2B1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708" w:type="dxa"/>
            <w:tcBorders>
              <w:left w:val="nil"/>
              <w:right w:val="single" w:color="000000" w:sz="4" w:space="0"/>
            </w:tcBorders>
            <w:vAlign w:val="top"/>
          </w:tcPr>
          <w:p w14:paraId="78B14A22">
            <w:pPr>
              <w:spacing w:before="91" w:line="195" w:lineRule="auto"/>
              <w:ind w:left="130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814" w:type="dxa"/>
            <w:tcBorders>
              <w:left w:val="single" w:color="000000" w:sz="4" w:space="0"/>
              <w:right w:val="nil"/>
            </w:tcBorders>
            <w:vAlign w:val="top"/>
          </w:tcPr>
          <w:p w14:paraId="5B08094B">
            <w:pPr>
              <w:spacing w:before="91" w:line="195" w:lineRule="auto"/>
              <w:ind w:left="2748"/>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50</w:t>
            </w:r>
          </w:p>
        </w:tc>
      </w:tr>
      <w:tr w14:paraId="51545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708" w:type="dxa"/>
            <w:tcBorders>
              <w:left w:val="nil"/>
              <w:right w:val="single" w:color="000000" w:sz="4" w:space="0"/>
            </w:tcBorders>
            <w:vAlign w:val="top"/>
          </w:tcPr>
          <w:p w14:paraId="75131BB2">
            <w:pPr>
              <w:spacing w:before="90" w:line="195" w:lineRule="auto"/>
              <w:ind w:left="1272"/>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5814" w:type="dxa"/>
            <w:tcBorders>
              <w:left w:val="single" w:color="000000" w:sz="4" w:space="0"/>
              <w:right w:val="nil"/>
            </w:tcBorders>
            <w:vAlign w:val="top"/>
          </w:tcPr>
          <w:p w14:paraId="165B58FD">
            <w:pPr>
              <w:spacing w:before="90" w:line="195" w:lineRule="auto"/>
              <w:ind w:left="2511"/>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4"/>
                <w:sz w:val="20"/>
                <w:szCs w:val="20"/>
              </w:rPr>
              <w:t>29.6283</w:t>
            </w:r>
          </w:p>
        </w:tc>
      </w:tr>
      <w:tr w14:paraId="2F21D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708" w:type="dxa"/>
            <w:tcBorders>
              <w:left w:val="nil"/>
              <w:right w:val="single" w:color="000000" w:sz="4" w:space="0"/>
            </w:tcBorders>
            <w:vAlign w:val="top"/>
          </w:tcPr>
          <w:p w14:paraId="64EC8F88">
            <w:pPr>
              <w:spacing w:before="91" w:line="195" w:lineRule="auto"/>
              <w:ind w:left="125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0</w:t>
            </w:r>
          </w:p>
        </w:tc>
        <w:tc>
          <w:tcPr>
            <w:tcW w:w="5814" w:type="dxa"/>
            <w:tcBorders>
              <w:left w:val="single" w:color="000000" w:sz="4" w:space="0"/>
              <w:right w:val="nil"/>
            </w:tcBorders>
            <w:vAlign w:val="top"/>
          </w:tcPr>
          <w:p w14:paraId="2795A8BC">
            <w:pPr>
              <w:spacing w:before="91" w:line="195" w:lineRule="auto"/>
              <w:ind w:left="25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204. 15</w:t>
            </w:r>
            <w:r>
              <w:rPr>
                <w:rFonts w:ascii="Times New Roman" w:hAnsi="Times New Roman" w:eastAsia="Times New Roman" w:cs="Times New Roman"/>
                <w:spacing w:val="-1"/>
                <w:sz w:val="20"/>
                <w:szCs w:val="20"/>
              </w:rPr>
              <w:t>33</w:t>
            </w:r>
          </w:p>
        </w:tc>
      </w:tr>
      <w:tr w14:paraId="4E5E29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708" w:type="dxa"/>
            <w:tcBorders>
              <w:left w:val="nil"/>
              <w:right w:val="single" w:color="000000" w:sz="4" w:space="0"/>
            </w:tcBorders>
            <w:vAlign w:val="top"/>
          </w:tcPr>
          <w:p w14:paraId="3FF3C2E3">
            <w:pPr>
              <w:spacing w:before="91" w:line="195" w:lineRule="auto"/>
              <w:ind w:left="125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0</w:t>
            </w:r>
          </w:p>
        </w:tc>
        <w:tc>
          <w:tcPr>
            <w:tcW w:w="5814" w:type="dxa"/>
            <w:tcBorders>
              <w:left w:val="single" w:color="000000" w:sz="4" w:space="0"/>
              <w:right w:val="nil"/>
            </w:tcBorders>
            <w:vAlign w:val="top"/>
          </w:tcPr>
          <w:p w14:paraId="46153B11">
            <w:pPr>
              <w:spacing w:before="91" w:line="195" w:lineRule="auto"/>
              <w:ind w:left="253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175.01</w:t>
            </w:r>
            <w:r>
              <w:rPr>
                <w:rFonts w:ascii="Times New Roman" w:hAnsi="Times New Roman" w:eastAsia="Times New Roman" w:cs="Times New Roman"/>
                <w:spacing w:val="1"/>
                <w:sz w:val="20"/>
                <w:szCs w:val="20"/>
              </w:rPr>
              <w:t>58</w:t>
            </w:r>
          </w:p>
        </w:tc>
      </w:tr>
      <w:tr w14:paraId="0AD9B6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708" w:type="dxa"/>
            <w:tcBorders>
              <w:left w:val="nil"/>
              <w:right w:val="single" w:color="000000" w:sz="4" w:space="0"/>
            </w:tcBorders>
            <w:vAlign w:val="top"/>
          </w:tcPr>
          <w:p w14:paraId="112B9D47">
            <w:pPr>
              <w:spacing w:before="94" w:line="195" w:lineRule="auto"/>
              <w:ind w:left="125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5814" w:type="dxa"/>
            <w:tcBorders>
              <w:left w:val="single" w:color="000000" w:sz="4" w:space="0"/>
              <w:right w:val="nil"/>
            </w:tcBorders>
            <w:vAlign w:val="top"/>
          </w:tcPr>
          <w:p w14:paraId="453E7094">
            <w:pPr>
              <w:spacing w:before="94" w:line="195" w:lineRule="auto"/>
              <w:ind w:left="2584"/>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1</w:t>
            </w:r>
            <w:r>
              <w:rPr>
                <w:rFonts w:ascii="Times New Roman" w:hAnsi="Times New Roman" w:eastAsia="Times New Roman" w:cs="Times New Roman"/>
                <w:spacing w:val="-5"/>
                <w:sz w:val="20"/>
                <w:szCs w:val="20"/>
              </w:rPr>
              <w:t>44. 198</w:t>
            </w:r>
          </w:p>
        </w:tc>
      </w:tr>
      <w:tr w14:paraId="2A30CB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708" w:type="dxa"/>
            <w:tcBorders>
              <w:left w:val="nil"/>
              <w:right w:val="single" w:color="000000" w:sz="4" w:space="0"/>
            </w:tcBorders>
            <w:vAlign w:val="top"/>
          </w:tcPr>
          <w:p w14:paraId="4759035B">
            <w:pPr>
              <w:spacing w:before="93" w:line="195" w:lineRule="auto"/>
              <w:ind w:left="1258"/>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c>
          <w:tcPr>
            <w:tcW w:w="5814" w:type="dxa"/>
            <w:tcBorders>
              <w:left w:val="single" w:color="000000" w:sz="4" w:space="0"/>
              <w:right w:val="nil"/>
            </w:tcBorders>
            <w:vAlign w:val="top"/>
          </w:tcPr>
          <w:p w14:paraId="6F90DAEC">
            <w:pPr>
              <w:spacing w:before="94" w:line="195" w:lineRule="auto"/>
              <w:ind w:left="253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113.86</w:t>
            </w:r>
            <w:r>
              <w:rPr>
                <w:rFonts w:ascii="Times New Roman" w:hAnsi="Times New Roman" w:eastAsia="Times New Roman" w:cs="Times New Roman"/>
                <w:sz w:val="20"/>
                <w:szCs w:val="20"/>
              </w:rPr>
              <w:t>51</w:t>
            </w:r>
          </w:p>
        </w:tc>
      </w:tr>
      <w:tr w14:paraId="133FB5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708" w:type="dxa"/>
            <w:tcBorders>
              <w:left w:val="nil"/>
              <w:right w:val="single" w:color="000000" w:sz="4" w:space="0"/>
            </w:tcBorders>
            <w:vAlign w:val="top"/>
          </w:tcPr>
          <w:p w14:paraId="1C703C01">
            <w:pPr>
              <w:spacing w:before="93" w:line="195" w:lineRule="auto"/>
              <w:ind w:left="125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0</w:t>
            </w:r>
          </w:p>
        </w:tc>
        <w:tc>
          <w:tcPr>
            <w:tcW w:w="5814" w:type="dxa"/>
            <w:tcBorders>
              <w:left w:val="single" w:color="000000" w:sz="4" w:space="0"/>
              <w:right w:val="nil"/>
            </w:tcBorders>
            <w:vAlign w:val="top"/>
          </w:tcPr>
          <w:p w14:paraId="3DAAB5E6">
            <w:pPr>
              <w:spacing w:before="93" w:line="195" w:lineRule="auto"/>
              <w:ind w:left="257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85.971</w:t>
            </w:r>
            <w:r>
              <w:rPr>
                <w:rFonts w:ascii="Times New Roman" w:hAnsi="Times New Roman" w:eastAsia="Times New Roman" w:cs="Times New Roman"/>
                <w:spacing w:val="2"/>
                <w:sz w:val="20"/>
                <w:szCs w:val="20"/>
              </w:rPr>
              <w:t>3</w:t>
            </w:r>
          </w:p>
        </w:tc>
      </w:tr>
      <w:tr w14:paraId="777568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708" w:type="dxa"/>
            <w:tcBorders>
              <w:left w:val="nil"/>
              <w:right w:val="single" w:color="000000" w:sz="4" w:space="0"/>
            </w:tcBorders>
            <w:vAlign w:val="top"/>
          </w:tcPr>
          <w:p w14:paraId="57BF7DD4">
            <w:pPr>
              <w:spacing w:before="93" w:line="195" w:lineRule="auto"/>
              <w:ind w:left="125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w:t>
            </w:r>
          </w:p>
        </w:tc>
        <w:tc>
          <w:tcPr>
            <w:tcW w:w="5814" w:type="dxa"/>
            <w:tcBorders>
              <w:left w:val="single" w:color="000000" w:sz="4" w:space="0"/>
              <w:right w:val="nil"/>
            </w:tcBorders>
            <w:vAlign w:val="top"/>
          </w:tcPr>
          <w:p w14:paraId="50760C62">
            <w:pPr>
              <w:spacing w:before="93" w:line="195" w:lineRule="auto"/>
              <w:ind w:left="251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6</w:t>
            </w:r>
            <w:r>
              <w:rPr>
                <w:rFonts w:ascii="Times New Roman" w:hAnsi="Times New Roman" w:eastAsia="Times New Roman" w:cs="Times New Roman"/>
                <w:spacing w:val="5"/>
                <w:sz w:val="20"/>
                <w:szCs w:val="20"/>
              </w:rPr>
              <w:t>1</w:t>
            </w:r>
            <w:r>
              <w:rPr>
                <w:rFonts w:ascii="Times New Roman" w:hAnsi="Times New Roman" w:eastAsia="Times New Roman" w:cs="Times New Roman"/>
                <w:spacing w:val="3"/>
                <w:sz w:val="20"/>
                <w:szCs w:val="20"/>
              </w:rPr>
              <w:t>.94402</w:t>
            </w:r>
          </w:p>
        </w:tc>
      </w:tr>
      <w:tr w14:paraId="2688E4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708" w:type="dxa"/>
            <w:tcBorders>
              <w:left w:val="nil"/>
              <w:right w:val="single" w:color="000000" w:sz="4" w:space="0"/>
            </w:tcBorders>
            <w:vAlign w:val="top"/>
          </w:tcPr>
          <w:p w14:paraId="2C9BC88A">
            <w:pPr>
              <w:spacing w:before="96" w:line="195" w:lineRule="auto"/>
              <w:ind w:left="126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w:t>
            </w:r>
            <w:r>
              <w:rPr>
                <w:rFonts w:ascii="Times New Roman" w:hAnsi="Times New Roman" w:eastAsia="Times New Roman" w:cs="Times New Roman"/>
                <w:spacing w:val="-1"/>
                <w:sz w:val="20"/>
                <w:szCs w:val="20"/>
              </w:rPr>
              <w:t>0</w:t>
            </w:r>
          </w:p>
        </w:tc>
        <w:tc>
          <w:tcPr>
            <w:tcW w:w="5814" w:type="dxa"/>
            <w:tcBorders>
              <w:left w:val="single" w:color="000000" w:sz="4" w:space="0"/>
              <w:right w:val="nil"/>
            </w:tcBorders>
            <w:vAlign w:val="top"/>
          </w:tcPr>
          <w:p w14:paraId="7C1BA13A">
            <w:pPr>
              <w:spacing w:before="96" w:line="198" w:lineRule="auto"/>
              <w:ind w:left="2510"/>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4</w:t>
            </w:r>
            <w:r>
              <w:rPr>
                <w:rFonts w:ascii="Times New Roman" w:hAnsi="Times New Roman" w:eastAsia="Times New Roman" w:cs="Times New Roman"/>
                <w:spacing w:val="4"/>
                <w:sz w:val="20"/>
                <w:szCs w:val="20"/>
              </w:rPr>
              <w:t>2.52279</w:t>
            </w:r>
          </w:p>
        </w:tc>
      </w:tr>
      <w:tr w14:paraId="3137E1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708" w:type="dxa"/>
            <w:tcBorders>
              <w:left w:val="nil"/>
              <w:right w:val="single" w:color="000000" w:sz="4" w:space="0"/>
            </w:tcBorders>
            <w:vAlign w:val="top"/>
          </w:tcPr>
          <w:p w14:paraId="7D3336C7">
            <w:pPr>
              <w:spacing w:before="95" w:line="195" w:lineRule="auto"/>
              <w:ind w:left="125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9</w:t>
            </w:r>
            <w:r>
              <w:rPr>
                <w:rFonts w:ascii="Times New Roman" w:hAnsi="Times New Roman" w:eastAsia="Times New Roman" w:cs="Times New Roman"/>
                <w:sz w:val="20"/>
                <w:szCs w:val="20"/>
              </w:rPr>
              <w:t>0</w:t>
            </w:r>
          </w:p>
        </w:tc>
        <w:tc>
          <w:tcPr>
            <w:tcW w:w="5814" w:type="dxa"/>
            <w:tcBorders>
              <w:left w:val="single" w:color="000000" w:sz="4" w:space="0"/>
              <w:right w:val="nil"/>
            </w:tcBorders>
            <w:vAlign w:val="top"/>
          </w:tcPr>
          <w:p w14:paraId="09806D2D">
            <w:pPr>
              <w:spacing w:before="95" w:line="195" w:lineRule="auto"/>
              <w:ind w:left="2511"/>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4"/>
                <w:sz w:val="20"/>
                <w:szCs w:val="20"/>
              </w:rPr>
              <w:t>7.77363</w:t>
            </w:r>
          </w:p>
        </w:tc>
      </w:tr>
      <w:tr w14:paraId="0335BC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708" w:type="dxa"/>
            <w:tcBorders>
              <w:left w:val="nil"/>
              <w:right w:val="single" w:color="000000" w:sz="4" w:space="0"/>
            </w:tcBorders>
            <w:vAlign w:val="top"/>
          </w:tcPr>
          <w:p w14:paraId="555EEAE7">
            <w:pPr>
              <w:spacing w:before="95" w:line="195" w:lineRule="auto"/>
              <w:ind w:left="121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100</w:t>
            </w:r>
          </w:p>
        </w:tc>
        <w:tc>
          <w:tcPr>
            <w:tcW w:w="5814" w:type="dxa"/>
            <w:tcBorders>
              <w:left w:val="single" w:color="000000" w:sz="4" w:space="0"/>
              <w:right w:val="nil"/>
            </w:tcBorders>
            <w:vAlign w:val="top"/>
          </w:tcPr>
          <w:p w14:paraId="3430B2E8">
            <w:pPr>
              <w:spacing w:before="95" w:line="195" w:lineRule="auto"/>
              <w:ind w:left="258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7.2402</w:t>
            </w:r>
          </w:p>
        </w:tc>
      </w:tr>
      <w:tr w14:paraId="385612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708" w:type="dxa"/>
            <w:tcBorders>
              <w:left w:val="nil"/>
              <w:right w:val="single" w:color="000000" w:sz="4" w:space="0"/>
            </w:tcBorders>
            <w:vAlign w:val="top"/>
          </w:tcPr>
          <w:p w14:paraId="09CE7FD8">
            <w:pPr>
              <w:spacing w:before="94" w:line="195" w:lineRule="auto"/>
              <w:ind w:left="122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5"/>
                <w:sz w:val="20"/>
                <w:szCs w:val="20"/>
              </w:rPr>
              <w:t>10</w:t>
            </w:r>
          </w:p>
        </w:tc>
        <w:tc>
          <w:tcPr>
            <w:tcW w:w="5814" w:type="dxa"/>
            <w:tcBorders>
              <w:left w:val="single" w:color="000000" w:sz="4" w:space="0"/>
              <w:right w:val="nil"/>
            </w:tcBorders>
            <w:vAlign w:val="top"/>
          </w:tcPr>
          <w:p w14:paraId="7C6189D7">
            <w:pPr>
              <w:spacing w:before="94" w:line="195" w:lineRule="auto"/>
              <w:ind w:left="2536"/>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10. 1611</w:t>
            </w:r>
            <w:r>
              <w:rPr>
                <w:rFonts w:ascii="Times New Roman" w:hAnsi="Times New Roman" w:eastAsia="Times New Roman" w:cs="Times New Roman"/>
                <w:spacing w:val="-4"/>
                <w:sz w:val="20"/>
                <w:szCs w:val="20"/>
              </w:rPr>
              <w:t>2</w:t>
            </w:r>
          </w:p>
        </w:tc>
      </w:tr>
      <w:tr w14:paraId="513FB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708" w:type="dxa"/>
            <w:tcBorders>
              <w:left w:val="nil"/>
              <w:right w:val="single" w:color="000000" w:sz="4" w:space="0"/>
            </w:tcBorders>
            <w:vAlign w:val="top"/>
          </w:tcPr>
          <w:p w14:paraId="49C4691C">
            <w:pPr>
              <w:spacing w:before="96" w:line="195" w:lineRule="auto"/>
              <w:ind w:left="121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120</w:t>
            </w:r>
          </w:p>
        </w:tc>
        <w:tc>
          <w:tcPr>
            <w:tcW w:w="5814" w:type="dxa"/>
            <w:tcBorders>
              <w:left w:val="single" w:color="000000" w:sz="4" w:space="0"/>
              <w:right w:val="nil"/>
            </w:tcBorders>
            <w:vAlign w:val="top"/>
          </w:tcPr>
          <w:p w14:paraId="31B6C839">
            <w:pPr>
              <w:spacing w:before="96" w:line="195" w:lineRule="auto"/>
              <w:ind w:left="2517"/>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5</w:t>
            </w:r>
            <w:r>
              <w:rPr>
                <w:rFonts w:ascii="Times New Roman" w:hAnsi="Times New Roman" w:eastAsia="Times New Roman" w:cs="Times New Roman"/>
                <w:spacing w:val="4"/>
                <w:sz w:val="20"/>
                <w:szCs w:val="20"/>
              </w:rPr>
              <w:t>.</w:t>
            </w:r>
            <w:r>
              <w:rPr>
                <w:rFonts w:ascii="Times New Roman" w:hAnsi="Times New Roman" w:eastAsia="Times New Roman" w:cs="Times New Roman"/>
                <w:spacing w:val="3"/>
                <w:sz w:val="20"/>
                <w:szCs w:val="20"/>
              </w:rPr>
              <w:t>681817</w:t>
            </w:r>
          </w:p>
        </w:tc>
      </w:tr>
      <w:tr w14:paraId="24A2C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708" w:type="dxa"/>
            <w:tcBorders>
              <w:left w:val="nil"/>
              <w:right w:val="single" w:color="000000" w:sz="4" w:space="0"/>
            </w:tcBorders>
            <w:vAlign w:val="top"/>
          </w:tcPr>
          <w:p w14:paraId="7375A67C">
            <w:pPr>
              <w:spacing w:before="95" w:line="195" w:lineRule="auto"/>
              <w:ind w:left="121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130</w:t>
            </w:r>
          </w:p>
        </w:tc>
        <w:tc>
          <w:tcPr>
            <w:tcW w:w="5814" w:type="dxa"/>
            <w:tcBorders>
              <w:left w:val="single" w:color="000000" w:sz="4" w:space="0"/>
              <w:right w:val="nil"/>
            </w:tcBorders>
            <w:vAlign w:val="top"/>
          </w:tcPr>
          <w:p w14:paraId="21DF6456">
            <w:pPr>
              <w:spacing w:before="96" w:line="195" w:lineRule="auto"/>
              <w:ind w:left="251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3</w:t>
            </w:r>
            <w:r>
              <w:rPr>
                <w:rFonts w:ascii="Times New Roman" w:hAnsi="Times New Roman" w:eastAsia="Times New Roman" w:cs="Times New Roman"/>
                <w:spacing w:val="5"/>
                <w:sz w:val="20"/>
                <w:szCs w:val="20"/>
              </w:rPr>
              <w:t>.</w:t>
            </w:r>
            <w:r>
              <w:rPr>
                <w:rFonts w:ascii="Times New Roman" w:hAnsi="Times New Roman" w:eastAsia="Times New Roman" w:cs="Times New Roman"/>
                <w:spacing w:val="3"/>
                <w:sz w:val="20"/>
                <w:szCs w:val="20"/>
              </w:rPr>
              <w:t>012249</w:t>
            </w:r>
          </w:p>
        </w:tc>
      </w:tr>
      <w:tr w14:paraId="51C0E1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708" w:type="dxa"/>
            <w:tcBorders>
              <w:left w:val="nil"/>
              <w:right w:val="single" w:color="000000" w:sz="4" w:space="0"/>
            </w:tcBorders>
            <w:vAlign w:val="top"/>
          </w:tcPr>
          <w:p w14:paraId="0E36D5B9">
            <w:pPr>
              <w:spacing w:before="95" w:line="195" w:lineRule="auto"/>
              <w:ind w:left="121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140</w:t>
            </w:r>
          </w:p>
        </w:tc>
        <w:tc>
          <w:tcPr>
            <w:tcW w:w="5814" w:type="dxa"/>
            <w:tcBorders>
              <w:left w:val="single" w:color="000000" w:sz="4" w:space="0"/>
              <w:right w:val="nil"/>
            </w:tcBorders>
            <w:vAlign w:val="top"/>
          </w:tcPr>
          <w:p w14:paraId="720DF301">
            <w:pPr>
              <w:spacing w:before="95" w:line="198" w:lineRule="auto"/>
              <w:ind w:left="258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.51324</w:t>
            </w:r>
          </w:p>
        </w:tc>
      </w:tr>
      <w:tr w14:paraId="0A6950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708" w:type="dxa"/>
            <w:tcBorders>
              <w:left w:val="nil"/>
              <w:right w:val="single" w:color="000000" w:sz="4" w:space="0"/>
            </w:tcBorders>
            <w:vAlign w:val="top"/>
          </w:tcPr>
          <w:p w14:paraId="441B0F6F">
            <w:pPr>
              <w:spacing w:before="94" w:line="195" w:lineRule="auto"/>
              <w:ind w:left="121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150</w:t>
            </w:r>
          </w:p>
        </w:tc>
        <w:tc>
          <w:tcPr>
            <w:tcW w:w="5814" w:type="dxa"/>
            <w:tcBorders>
              <w:left w:val="single" w:color="000000" w:sz="4" w:space="0"/>
              <w:right w:val="nil"/>
            </w:tcBorders>
            <w:vAlign w:val="top"/>
          </w:tcPr>
          <w:p w14:paraId="7FCB77C7">
            <w:pPr>
              <w:spacing w:before="94" w:line="195" w:lineRule="auto"/>
              <w:ind w:left="246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7</w:t>
            </w:r>
            <w:r>
              <w:rPr>
                <w:rFonts w:ascii="Times New Roman" w:hAnsi="Times New Roman" w:eastAsia="Times New Roman" w:cs="Times New Roman"/>
                <w:spacing w:val="3"/>
                <w:sz w:val="20"/>
                <w:szCs w:val="20"/>
              </w:rPr>
              <w:t>199959</w:t>
            </w:r>
          </w:p>
        </w:tc>
      </w:tr>
      <w:tr w14:paraId="2327CB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708" w:type="dxa"/>
            <w:tcBorders>
              <w:left w:val="nil"/>
              <w:right w:val="single" w:color="000000" w:sz="4" w:space="0"/>
            </w:tcBorders>
            <w:vAlign w:val="top"/>
          </w:tcPr>
          <w:p w14:paraId="3448AD84">
            <w:pPr>
              <w:spacing w:before="96" w:line="195" w:lineRule="auto"/>
              <w:ind w:left="121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160</w:t>
            </w:r>
          </w:p>
        </w:tc>
        <w:tc>
          <w:tcPr>
            <w:tcW w:w="5814" w:type="dxa"/>
            <w:tcBorders>
              <w:left w:val="single" w:color="000000" w:sz="4" w:space="0"/>
              <w:right w:val="nil"/>
            </w:tcBorders>
            <w:vAlign w:val="top"/>
          </w:tcPr>
          <w:p w14:paraId="6D816B72">
            <w:pPr>
              <w:spacing w:before="96" w:line="195" w:lineRule="auto"/>
              <w:ind w:left="246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3</w:t>
            </w:r>
            <w:r>
              <w:rPr>
                <w:rFonts w:ascii="Times New Roman" w:hAnsi="Times New Roman" w:eastAsia="Times New Roman" w:cs="Times New Roman"/>
                <w:spacing w:val="3"/>
                <w:sz w:val="20"/>
                <w:szCs w:val="20"/>
              </w:rPr>
              <w:t>243246</w:t>
            </w:r>
          </w:p>
        </w:tc>
      </w:tr>
      <w:tr w14:paraId="151556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708" w:type="dxa"/>
            <w:tcBorders>
              <w:left w:val="nil"/>
              <w:right w:val="single" w:color="000000" w:sz="4" w:space="0"/>
            </w:tcBorders>
            <w:vAlign w:val="top"/>
          </w:tcPr>
          <w:p w14:paraId="6E017E9C">
            <w:pPr>
              <w:spacing w:before="95" w:line="195" w:lineRule="auto"/>
              <w:ind w:left="121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170</w:t>
            </w:r>
          </w:p>
        </w:tc>
        <w:tc>
          <w:tcPr>
            <w:tcW w:w="5814" w:type="dxa"/>
            <w:tcBorders>
              <w:left w:val="single" w:color="000000" w:sz="4" w:space="0"/>
              <w:right w:val="nil"/>
            </w:tcBorders>
            <w:vAlign w:val="top"/>
          </w:tcPr>
          <w:p w14:paraId="52BF875B">
            <w:pPr>
              <w:spacing w:before="96" w:line="195" w:lineRule="auto"/>
              <w:ind w:left="246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0. 138</w:t>
            </w:r>
            <w:r>
              <w:rPr>
                <w:rFonts w:ascii="Times New Roman" w:hAnsi="Times New Roman" w:eastAsia="Times New Roman" w:cs="Times New Roman"/>
                <w:spacing w:val="-1"/>
                <w:sz w:val="20"/>
                <w:szCs w:val="20"/>
              </w:rPr>
              <w:t>2625</w:t>
            </w:r>
          </w:p>
        </w:tc>
      </w:tr>
      <w:tr w14:paraId="2EB16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708" w:type="dxa"/>
            <w:tcBorders>
              <w:left w:val="nil"/>
              <w:right w:val="single" w:color="000000" w:sz="4" w:space="0"/>
            </w:tcBorders>
            <w:vAlign w:val="top"/>
          </w:tcPr>
          <w:p w14:paraId="71A2D6B8">
            <w:pPr>
              <w:spacing w:before="95" w:line="195" w:lineRule="auto"/>
              <w:ind w:left="121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180</w:t>
            </w:r>
          </w:p>
        </w:tc>
        <w:tc>
          <w:tcPr>
            <w:tcW w:w="5814" w:type="dxa"/>
            <w:tcBorders>
              <w:left w:val="single" w:color="000000" w:sz="4" w:space="0"/>
              <w:right w:val="nil"/>
            </w:tcBorders>
            <w:vAlign w:val="top"/>
          </w:tcPr>
          <w:p w14:paraId="51E293A4">
            <w:pPr>
              <w:spacing w:before="95" w:line="195" w:lineRule="auto"/>
              <w:ind w:left="246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0.</w:t>
            </w: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557662</w:t>
            </w:r>
          </w:p>
        </w:tc>
      </w:tr>
      <w:tr w14:paraId="052655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708" w:type="dxa"/>
            <w:tcBorders>
              <w:left w:val="nil"/>
              <w:right w:val="single" w:color="000000" w:sz="4" w:space="0"/>
            </w:tcBorders>
            <w:vAlign w:val="top"/>
          </w:tcPr>
          <w:p w14:paraId="028AA1E8">
            <w:pPr>
              <w:spacing w:before="94" w:line="195" w:lineRule="auto"/>
              <w:ind w:left="121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190</w:t>
            </w:r>
          </w:p>
        </w:tc>
        <w:tc>
          <w:tcPr>
            <w:tcW w:w="5814" w:type="dxa"/>
            <w:tcBorders>
              <w:left w:val="single" w:color="000000" w:sz="4" w:space="0"/>
              <w:right w:val="nil"/>
            </w:tcBorders>
            <w:vAlign w:val="top"/>
          </w:tcPr>
          <w:p w14:paraId="44D775D0">
            <w:pPr>
              <w:spacing w:before="94" w:line="195" w:lineRule="auto"/>
              <w:ind w:left="241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0.0212747</w:t>
            </w:r>
            <w:r>
              <w:rPr>
                <w:rFonts w:ascii="Times New Roman" w:hAnsi="Times New Roman" w:eastAsia="Times New Roman" w:cs="Times New Roman"/>
                <w:spacing w:val="3"/>
                <w:sz w:val="20"/>
                <w:szCs w:val="20"/>
              </w:rPr>
              <w:t>7</w:t>
            </w:r>
          </w:p>
        </w:tc>
      </w:tr>
      <w:tr w14:paraId="5BEB3E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708" w:type="dxa"/>
            <w:tcBorders>
              <w:left w:val="nil"/>
              <w:right w:val="single" w:color="000000" w:sz="4" w:space="0"/>
            </w:tcBorders>
            <w:vAlign w:val="top"/>
          </w:tcPr>
          <w:p w14:paraId="796ED28F">
            <w:pPr>
              <w:spacing w:before="96" w:line="195" w:lineRule="auto"/>
              <w:ind w:left="119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00</w:t>
            </w:r>
          </w:p>
        </w:tc>
        <w:tc>
          <w:tcPr>
            <w:tcW w:w="5814" w:type="dxa"/>
            <w:tcBorders>
              <w:left w:val="single" w:color="000000" w:sz="4" w:space="0"/>
              <w:right w:val="nil"/>
            </w:tcBorders>
            <w:vAlign w:val="top"/>
          </w:tcPr>
          <w:p w14:paraId="5368889C">
            <w:pPr>
              <w:spacing w:before="96" w:line="195" w:lineRule="auto"/>
              <w:ind w:left="241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0 0076751</w:t>
            </w:r>
            <w:r>
              <w:rPr>
                <w:rFonts w:ascii="Times New Roman" w:hAnsi="Times New Roman" w:eastAsia="Times New Roman" w:cs="Times New Roman"/>
                <w:spacing w:val="3"/>
                <w:sz w:val="20"/>
                <w:szCs w:val="20"/>
              </w:rPr>
              <w:t>2</w:t>
            </w:r>
          </w:p>
        </w:tc>
      </w:tr>
      <w:tr w14:paraId="70D74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2708" w:type="dxa"/>
            <w:tcBorders>
              <w:left w:val="nil"/>
              <w:right w:val="single" w:color="000000" w:sz="4" w:space="0"/>
            </w:tcBorders>
            <w:vAlign w:val="top"/>
          </w:tcPr>
          <w:p w14:paraId="3FF74CA1">
            <w:pPr>
              <w:spacing w:before="22" w:line="281" w:lineRule="exact"/>
              <w:ind w:left="660"/>
              <w:rPr>
                <w:rFonts w:ascii="Times New Roman" w:hAnsi="Times New Roman" w:eastAsia="Times New Roman" w:cs="Times New Roman"/>
                <w:sz w:val="20"/>
                <w:szCs w:val="20"/>
              </w:rPr>
            </w:pPr>
            <w:r>
              <w:rPr>
                <w:rFonts w:ascii="Times New Roman" w:hAnsi="Times New Roman" w:eastAsia="Times New Roman" w:cs="Times New Roman"/>
                <w:spacing w:val="4"/>
                <w:position w:val="2"/>
                <w:sz w:val="20"/>
                <w:szCs w:val="20"/>
              </w:rPr>
              <w:t xml:space="preserve">155  </w:t>
            </w:r>
            <w:r>
              <w:rPr>
                <w:rFonts w:ascii="宋体" w:hAnsi="宋体" w:eastAsia="宋体" w:cs="宋体"/>
                <w:spacing w:val="4"/>
                <w:position w:val="2"/>
                <w:sz w:val="20"/>
                <w:szCs w:val="20"/>
              </w:rPr>
              <w:t>(达标距离</w:t>
            </w:r>
            <w:r>
              <w:rPr>
                <w:rFonts w:ascii="Times New Roman" w:hAnsi="Times New Roman" w:eastAsia="Times New Roman" w:cs="Times New Roman"/>
                <w:spacing w:val="4"/>
                <w:position w:val="2"/>
                <w:sz w:val="20"/>
                <w:szCs w:val="20"/>
              </w:rPr>
              <w:t>)</w:t>
            </w:r>
          </w:p>
        </w:tc>
        <w:tc>
          <w:tcPr>
            <w:tcW w:w="5814" w:type="dxa"/>
            <w:tcBorders>
              <w:left w:val="single" w:color="000000" w:sz="4" w:space="0"/>
              <w:right w:val="nil"/>
            </w:tcBorders>
            <w:vAlign w:val="top"/>
          </w:tcPr>
          <w:p w14:paraId="13523448">
            <w:pPr>
              <w:spacing w:before="96" w:line="195" w:lineRule="auto"/>
              <w:ind w:left="251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0.4865602</w:t>
            </w:r>
          </w:p>
        </w:tc>
      </w:tr>
    </w:tbl>
    <w:p w14:paraId="70F41C10">
      <w:pPr>
        <w:spacing w:before="218" w:line="4354" w:lineRule="exact"/>
        <w:ind w:firstLine="364"/>
        <w:textAlignment w:val="center"/>
      </w:pPr>
      <w:r>
        <w:drawing>
          <wp:inline distT="0" distB="0" distL="0" distR="0">
            <wp:extent cx="4549140" cy="2764155"/>
            <wp:effectExtent l="0" t="0" r="0" b="0"/>
            <wp:docPr id="131" name="IM 131"/>
            <wp:cNvGraphicFramePr/>
            <a:graphic xmlns:a="http://schemas.openxmlformats.org/drawingml/2006/main">
              <a:graphicData uri="http://schemas.openxmlformats.org/drawingml/2006/picture">
                <pic:pic xmlns:pic="http://schemas.openxmlformats.org/drawingml/2006/picture">
                  <pic:nvPicPr>
                    <pic:cNvPr id="131" name="IM 131"/>
                    <pic:cNvPicPr/>
                  </pic:nvPicPr>
                  <pic:blipFill>
                    <a:blip r:embed="rId521"/>
                    <a:stretch>
                      <a:fillRect/>
                    </a:stretch>
                  </pic:blipFill>
                  <pic:spPr>
                    <a:xfrm>
                      <a:off x="0" y="0"/>
                      <a:ext cx="4549140" cy="2764535"/>
                    </a:xfrm>
                    <a:prstGeom prst="rect">
                      <a:avLst/>
                    </a:prstGeom>
                  </pic:spPr>
                </pic:pic>
              </a:graphicData>
            </a:graphic>
          </wp:inline>
        </w:drawing>
      </w:r>
    </w:p>
    <w:p w14:paraId="30F7BC42">
      <w:pPr>
        <w:spacing w:before="78" w:line="332" w:lineRule="exact"/>
        <w:ind w:left="1278"/>
        <w:rPr>
          <w:rFonts w:ascii="宋体" w:hAnsi="宋体" w:eastAsia="宋体" w:cs="宋体"/>
          <w:sz w:val="23"/>
          <w:szCs w:val="23"/>
        </w:rPr>
      </w:pPr>
      <w:r>
        <w:rPr>
          <w:rFonts w:ascii="宋体" w:hAnsi="宋体" w:eastAsia="宋体" w:cs="宋体"/>
          <w:spacing w:val="6"/>
          <w:position w:val="2"/>
          <w:sz w:val="23"/>
          <w:szCs w:val="23"/>
          <w14:textOutline w14:w="4358" w14:cap="sq" w14:cmpd="sng">
            <w14:solidFill>
              <w14:srgbClr w14:val="000000"/>
            </w14:solidFill>
            <w14:prstDash w14:val="solid"/>
            <w14:bevel/>
          </w14:textOutline>
        </w:rPr>
        <w:t>图</w:t>
      </w:r>
      <w:r>
        <w:rPr>
          <w:rFonts w:ascii="宋体" w:hAnsi="宋体" w:eastAsia="宋体" w:cs="宋体"/>
          <w:spacing w:val="6"/>
          <w:position w:val="2"/>
          <w:sz w:val="23"/>
          <w:szCs w:val="23"/>
        </w:rPr>
        <w:t xml:space="preserve"> </w:t>
      </w:r>
      <w:r>
        <w:rPr>
          <w:rFonts w:ascii="Times New Roman" w:hAnsi="Times New Roman" w:eastAsia="Times New Roman" w:cs="Times New Roman"/>
          <w:b/>
          <w:bCs/>
          <w:spacing w:val="6"/>
          <w:position w:val="2"/>
          <w:sz w:val="23"/>
          <w:szCs w:val="23"/>
        </w:rPr>
        <w:t>5</w:t>
      </w:r>
      <w:r>
        <w:rPr>
          <w:rFonts w:ascii="Times New Roman" w:hAnsi="Times New Roman" w:eastAsia="Times New Roman" w:cs="Times New Roman"/>
          <w:b/>
          <w:bCs/>
          <w:spacing w:val="4"/>
          <w:position w:val="2"/>
          <w:sz w:val="23"/>
          <w:szCs w:val="23"/>
        </w:rPr>
        <w:t>-</w:t>
      </w:r>
      <w:r>
        <w:rPr>
          <w:rFonts w:ascii="Times New Roman" w:hAnsi="Times New Roman" w:eastAsia="Times New Roman" w:cs="Times New Roman"/>
          <w:b/>
          <w:bCs/>
          <w:spacing w:val="3"/>
          <w:position w:val="2"/>
          <w:sz w:val="23"/>
          <w:szCs w:val="23"/>
        </w:rPr>
        <w:t>4</w:t>
      </w:r>
      <w:r>
        <w:rPr>
          <w:rFonts w:ascii="Times New Roman" w:hAnsi="Times New Roman" w:eastAsia="Times New Roman" w:cs="Times New Roman"/>
          <w:spacing w:val="3"/>
          <w:position w:val="2"/>
          <w:sz w:val="23"/>
          <w:szCs w:val="23"/>
        </w:rPr>
        <w:t xml:space="preserve">        </w:t>
      </w:r>
      <w:r>
        <w:rPr>
          <w:rFonts w:ascii="宋体" w:hAnsi="宋体" w:eastAsia="宋体" w:cs="宋体"/>
          <w:spacing w:val="3"/>
          <w:position w:val="2"/>
          <w:sz w:val="23"/>
          <w:szCs w:val="23"/>
          <w14:textOutline w14:w="4358" w14:cap="sq" w14:cmpd="sng">
            <w14:solidFill>
              <w14:srgbClr w14:val="000000"/>
            </w14:solidFill>
            <w14:prstDash w14:val="solid"/>
            <w14:bevel/>
          </w14:textOutline>
        </w:rPr>
        <w:t>非正常状况氨氮污染物运移</w:t>
      </w:r>
      <w:r>
        <w:rPr>
          <w:rFonts w:ascii="宋体" w:hAnsi="宋体" w:eastAsia="宋体" w:cs="宋体"/>
          <w:spacing w:val="3"/>
          <w:position w:val="2"/>
          <w:sz w:val="23"/>
          <w:szCs w:val="23"/>
        </w:rPr>
        <w:t xml:space="preserve"> </w:t>
      </w:r>
      <w:r>
        <w:rPr>
          <w:rFonts w:ascii="Times New Roman" w:hAnsi="Times New Roman" w:eastAsia="Times New Roman" w:cs="Times New Roman"/>
          <w:b/>
          <w:bCs/>
          <w:spacing w:val="3"/>
          <w:position w:val="2"/>
          <w:sz w:val="23"/>
          <w:szCs w:val="23"/>
        </w:rPr>
        <w:t>100</w:t>
      </w:r>
      <w:r>
        <w:rPr>
          <w:rFonts w:ascii="Times New Roman" w:hAnsi="Times New Roman" w:eastAsia="Times New Roman" w:cs="Times New Roman"/>
          <w:b/>
          <w:bCs/>
          <w:position w:val="2"/>
          <w:sz w:val="23"/>
          <w:szCs w:val="23"/>
        </w:rPr>
        <w:t>d</w:t>
      </w:r>
      <w:r>
        <w:rPr>
          <w:rFonts w:ascii="Times New Roman" w:hAnsi="Times New Roman" w:eastAsia="Times New Roman" w:cs="Times New Roman"/>
          <w:spacing w:val="3"/>
          <w:position w:val="2"/>
          <w:sz w:val="23"/>
          <w:szCs w:val="23"/>
        </w:rPr>
        <w:t xml:space="preserve"> </w:t>
      </w:r>
      <w:r>
        <w:rPr>
          <w:rFonts w:ascii="宋体" w:hAnsi="宋体" w:eastAsia="宋体" w:cs="宋体"/>
          <w:spacing w:val="3"/>
          <w:position w:val="2"/>
          <w:sz w:val="23"/>
          <w:szCs w:val="23"/>
          <w14:textOutline w14:w="4358" w14:cap="sq" w14:cmpd="sng">
            <w14:solidFill>
              <w14:srgbClr w14:val="000000"/>
            </w14:solidFill>
            <w14:prstDash w14:val="solid"/>
            <w14:bevel/>
          </w14:textOutline>
        </w:rPr>
        <w:t>随距离变化图</w:t>
      </w:r>
    </w:p>
    <w:p w14:paraId="665EA930">
      <w:pPr>
        <w:sectPr>
          <w:headerReference r:id="rId233" w:type="default"/>
          <w:footerReference r:id="rId234" w:type="default"/>
          <w:pgSz w:w="11906" w:h="16839"/>
          <w:pgMar w:top="1132" w:right="1691" w:bottom="1182" w:left="1691" w:header="878" w:footer="1022" w:gutter="0"/>
          <w:cols w:space="720" w:num="1"/>
        </w:sectPr>
      </w:pPr>
    </w:p>
    <w:p w14:paraId="580961B5">
      <w:pPr>
        <w:spacing w:line="14"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24"/>
        <w:gridCol w:w="5998"/>
      </w:tblGrid>
      <w:tr w14:paraId="4CED8D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8522" w:type="dxa"/>
            <w:gridSpan w:val="2"/>
            <w:tcBorders>
              <w:left w:val="nil"/>
              <w:right w:val="nil"/>
            </w:tcBorders>
            <w:vAlign w:val="top"/>
          </w:tcPr>
          <w:p w14:paraId="70C38DDF">
            <w:pPr>
              <w:spacing w:line="278" w:lineRule="auto"/>
              <w:rPr>
                <w:rFonts w:ascii="Arial"/>
                <w:sz w:val="21"/>
              </w:rPr>
            </w:pPr>
          </w:p>
          <w:p w14:paraId="087DEFFD">
            <w:pPr>
              <w:spacing w:before="75" w:line="331" w:lineRule="exact"/>
              <w:ind w:left="894"/>
              <w:rPr>
                <w:rFonts w:ascii="宋体" w:hAnsi="宋体" w:eastAsia="宋体" w:cs="宋体"/>
                <w:sz w:val="23"/>
                <w:szCs w:val="23"/>
              </w:rPr>
            </w:pPr>
            <w:r>
              <w:rPr>
                <w:rFonts w:ascii="宋体" w:hAnsi="宋体" w:eastAsia="宋体" w:cs="宋体"/>
                <w:spacing w:val="8"/>
                <w:position w:val="2"/>
                <w:sz w:val="23"/>
                <w:szCs w:val="23"/>
                <w14:textOutline w14:w="4358" w14:cap="sq" w14:cmpd="sng">
                  <w14:solidFill>
                    <w14:srgbClr w14:val="000000"/>
                  </w14:solidFill>
                  <w14:prstDash w14:val="solid"/>
                  <w14:bevel/>
                </w14:textOutline>
              </w:rPr>
              <w:t>表</w:t>
            </w:r>
            <w:r>
              <w:rPr>
                <w:rFonts w:ascii="宋体" w:hAnsi="宋体" w:eastAsia="宋体" w:cs="宋体"/>
                <w:spacing w:val="8"/>
                <w:position w:val="2"/>
                <w:sz w:val="23"/>
                <w:szCs w:val="23"/>
              </w:rPr>
              <w:t xml:space="preserve"> </w:t>
            </w:r>
            <w:r>
              <w:rPr>
                <w:rFonts w:ascii="Times New Roman" w:hAnsi="Times New Roman" w:eastAsia="Times New Roman" w:cs="Times New Roman"/>
                <w:b/>
                <w:bCs/>
                <w:spacing w:val="8"/>
                <w:position w:val="2"/>
                <w:sz w:val="23"/>
                <w:szCs w:val="23"/>
              </w:rPr>
              <w:t>5</w:t>
            </w:r>
            <w:r>
              <w:rPr>
                <w:rFonts w:ascii="Times New Roman" w:hAnsi="Times New Roman" w:eastAsia="Times New Roman" w:cs="Times New Roman"/>
                <w:b/>
                <w:bCs/>
                <w:spacing w:val="6"/>
                <w:position w:val="2"/>
                <w:sz w:val="23"/>
                <w:szCs w:val="23"/>
              </w:rPr>
              <w:t>-</w:t>
            </w:r>
            <w:r>
              <w:rPr>
                <w:rFonts w:ascii="Times New Roman" w:hAnsi="Times New Roman" w:eastAsia="Times New Roman" w:cs="Times New Roman"/>
                <w:b/>
                <w:bCs/>
                <w:spacing w:val="4"/>
                <w:position w:val="2"/>
                <w:sz w:val="23"/>
                <w:szCs w:val="23"/>
              </w:rPr>
              <w:t>17</w:t>
            </w:r>
            <w:r>
              <w:rPr>
                <w:rFonts w:ascii="Times New Roman" w:hAnsi="Times New Roman" w:eastAsia="Times New Roman" w:cs="Times New Roman"/>
                <w:spacing w:val="4"/>
                <w:position w:val="2"/>
                <w:sz w:val="23"/>
                <w:szCs w:val="23"/>
              </w:rPr>
              <w:t xml:space="preserve">        </w:t>
            </w:r>
            <w:r>
              <w:rPr>
                <w:rFonts w:ascii="宋体" w:hAnsi="宋体" w:eastAsia="宋体" w:cs="宋体"/>
                <w:spacing w:val="4"/>
                <w:position w:val="2"/>
                <w:sz w:val="23"/>
                <w:szCs w:val="23"/>
                <w14:textOutline w14:w="4358" w14:cap="sq" w14:cmpd="sng">
                  <w14:solidFill>
                    <w14:srgbClr w14:val="000000"/>
                  </w14:solidFill>
                  <w14:prstDash w14:val="solid"/>
                  <w14:bevel/>
                </w14:textOutline>
              </w:rPr>
              <w:t>非正常状况氨氮污染物运移</w:t>
            </w:r>
            <w:r>
              <w:rPr>
                <w:rFonts w:ascii="宋体" w:hAnsi="宋体" w:eastAsia="宋体" w:cs="宋体"/>
                <w:spacing w:val="4"/>
                <w:position w:val="2"/>
                <w:sz w:val="23"/>
                <w:szCs w:val="23"/>
              </w:rPr>
              <w:t xml:space="preserve"> </w:t>
            </w:r>
            <w:r>
              <w:rPr>
                <w:rFonts w:ascii="Times New Roman" w:hAnsi="Times New Roman" w:eastAsia="Times New Roman" w:cs="Times New Roman"/>
                <w:b/>
                <w:bCs/>
                <w:spacing w:val="4"/>
                <w:position w:val="2"/>
                <w:sz w:val="23"/>
                <w:szCs w:val="23"/>
              </w:rPr>
              <w:t>1000</w:t>
            </w:r>
            <w:r>
              <w:rPr>
                <w:rFonts w:ascii="Times New Roman" w:hAnsi="Times New Roman" w:eastAsia="Times New Roman" w:cs="Times New Roman"/>
                <w:b/>
                <w:bCs/>
                <w:position w:val="2"/>
                <w:sz w:val="23"/>
                <w:szCs w:val="23"/>
              </w:rPr>
              <w:t>d</w:t>
            </w:r>
            <w:r>
              <w:rPr>
                <w:rFonts w:ascii="Times New Roman" w:hAnsi="Times New Roman" w:eastAsia="Times New Roman" w:cs="Times New Roman"/>
                <w:spacing w:val="4"/>
                <w:position w:val="2"/>
                <w:sz w:val="23"/>
                <w:szCs w:val="23"/>
              </w:rPr>
              <w:t xml:space="preserve"> </w:t>
            </w:r>
            <w:r>
              <w:rPr>
                <w:rFonts w:ascii="宋体" w:hAnsi="宋体" w:eastAsia="宋体" w:cs="宋体"/>
                <w:spacing w:val="4"/>
                <w:position w:val="2"/>
                <w:sz w:val="23"/>
                <w:szCs w:val="23"/>
                <w14:textOutline w14:w="4358" w14:cap="sq" w14:cmpd="sng">
                  <w14:solidFill>
                    <w14:srgbClr w14:val="000000"/>
                  </w14:solidFill>
                  <w14:prstDash w14:val="solid"/>
                  <w14:bevel/>
                </w14:textOutline>
              </w:rPr>
              <w:t>随距离变化一览表</w:t>
            </w:r>
          </w:p>
        </w:tc>
      </w:tr>
      <w:tr w14:paraId="5F71D6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 w:hRule="atLeast"/>
        </w:trPr>
        <w:tc>
          <w:tcPr>
            <w:tcW w:w="2524" w:type="dxa"/>
            <w:tcBorders>
              <w:left w:val="nil"/>
              <w:right w:val="single" w:color="000000" w:sz="4" w:space="0"/>
            </w:tcBorders>
            <w:vAlign w:val="top"/>
          </w:tcPr>
          <w:p w14:paraId="70C1E2F2">
            <w:pPr>
              <w:spacing w:before="61" w:line="219" w:lineRule="auto"/>
              <w:ind w:left="1058"/>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距离</w:t>
            </w:r>
          </w:p>
        </w:tc>
        <w:tc>
          <w:tcPr>
            <w:tcW w:w="5998" w:type="dxa"/>
            <w:tcBorders>
              <w:left w:val="single" w:color="000000" w:sz="4" w:space="0"/>
              <w:right w:val="nil"/>
            </w:tcBorders>
            <w:vAlign w:val="top"/>
          </w:tcPr>
          <w:p w14:paraId="43130E4F">
            <w:pPr>
              <w:spacing w:before="20" w:line="279" w:lineRule="exact"/>
              <w:ind w:left="2343"/>
              <w:rPr>
                <w:rFonts w:ascii="宋体" w:hAnsi="宋体" w:eastAsia="宋体" w:cs="宋体"/>
                <w:sz w:val="20"/>
                <w:szCs w:val="20"/>
              </w:rPr>
            </w:pPr>
            <w:r>
              <w:rPr>
                <w:rFonts w:ascii="宋体" w:hAnsi="宋体" w:eastAsia="宋体" w:cs="宋体"/>
                <w:spacing w:val="7"/>
                <w:position w:val="2"/>
                <w:sz w:val="20"/>
                <w:szCs w:val="20"/>
                <w14:textOutline w14:w="3659" w14:cap="sq" w14:cmpd="sng">
                  <w14:solidFill>
                    <w14:srgbClr w14:val="000000"/>
                  </w14:solidFill>
                  <w14:prstDash w14:val="solid"/>
                  <w14:bevel/>
                </w14:textOutline>
              </w:rPr>
              <w:t>浓度</w:t>
            </w:r>
            <w:r>
              <w:rPr>
                <w:rFonts w:ascii="宋体" w:hAnsi="宋体" w:eastAsia="宋体" w:cs="宋体"/>
                <w:spacing w:val="7"/>
                <w:position w:val="2"/>
                <w:sz w:val="20"/>
                <w:szCs w:val="20"/>
              </w:rPr>
              <w:t xml:space="preserve"> </w:t>
            </w:r>
            <w:r>
              <w:rPr>
                <w:rFonts w:ascii="宋体" w:hAnsi="宋体" w:eastAsia="宋体" w:cs="宋体"/>
                <w:spacing w:val="7"/>
                <w:position w:val="2"/>
                <w:sz w:val="20"/>
                <w:szCs w:val="20"/>
                <w14:textOutline w14:w="3659" w14:cap="sq" w14:cmpd="sng">
                  <w14:solidFill>
                    <w14:srgbClr w14:val="000000"/>
                  </w14:solidFill>
                  <w14:prstDash w14:val="solid"/>
                  <w14:bevel/>
                </w14:textOutline>
              </w:rPr>
              <w:t>(</w:t>
            </w:r>
            <w:r>
              <w:rPr>
                <w:rFonts w:ascii="Times New Roman" w:hAnsi="Times New Roman" w:eastAsia="Times New Roman" w:cs="Times New Roman"/>
                <w:b/>
                <w:bCs/>
                <w:position w:val="2"/>
                <w:sz w:val="20"/>
                <w:szCs w:val="20"/>
              </w:rPr>
              <w:t>mg</w:t>
            </w:r>
            <w:r>
              <w:rPr>
                <w:rFonts w:ascii="Times New Roman" w:hAnsi="Times New Roman" w:eastAsia="Times New Roman" w:cs="Times New Roman"/>
                <w:b/>
                <w:bCs/>
                <w:spacing w:val="7"/>
                <w:position w:val="2"/>
                <w:sz w:val="20"/>
                <w:szCs w:val="20"/>
              </w:rPr>
              <w:t>/</w:t>
            </w:r>
            <w:r>
              <w:rPr>
                <w:rFonts w:ascii="Times New Roman" w:hAnsi="Times New Roman" w:eastAsia="Times New Roman" w:cs="Times New Roman"/>
                <w:b/>
                <w:bCs/>
                <w:position w:val="2"/>
                <w:sz w:val="20"/>
                <w:szCs w:val="20"/>
              </w:rPr>
              <w:t>L</w:t>
            </w:r>
            <w:r>
              <w:rPr>
                <w:rFonts w:ascii="宋体" w:hAnsi="宋体" w:eastAsia="宋体" w:cs="宋体"/>
                <w:spacing w:val="7"/>
                <w:position w:val="2"/>
                <w:sz w:val="20"/>
                <w:szCs w:val="20"/>
                <w14:textOutline w14:w="3659" w14:cap="sq" w14:cmpd="sng">
                  <w14:solidFill>
                    <w14:srgbClr w14:val="000000"/>
                  </w14:solidFill>
                  <w14:prstDash w14:val="solid"/>
                  <w14:bevel/>
                </w14:textOutline>
              </w:rPr>
              <w:t>)</w:t>
            </w:r>
          </w:p>
        </w:tc>
      </w:tr>
      <w:tr w14:paraId="711FC0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524" w:type="dxa"/>
            <w:tcBorders>
              <w:left w:val="nil"/>
              <w:right w:val="single" w:color="000000" w:sz="4" w:space="0"/>
            </w:tcBorders>
            <w:vAlign w:val="top"/>
          </w:tcPr>
          <w:p w14:paraId="24993273">
            <w:pPr>
              <w:spacing w:before="90" w:line="195" w:lineRule="auto"/>
              <w:ind w:left="121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998" w:type="dxa"/>
            <w:tcBorders>
              <w:left w:val="single" w:color="000000" w:sz="4" w:space="0"/>
              <w:right w:val="nil"/>
            </w:tcBorders>
            <w:vAlign w:val="top"/>
          </w:tcPr>
          <w:p w14:paraId="0CEB771F">
            <w:pPr>
              <w:spacing w:before="90" w:line="195" w:lineRule="auto"/>
              <w:ind w:left="2892"/>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50</w:t>
            </w:r>
          </w:p>
        </w:tc>
      </w:tr>
      <w:tr w14:paraId="767490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1A9A5D03">
            <w:pPr>
              <w:spacing w:before="91" w:line="195" w:lineRule="auto"/>
              <w:ind w:left="116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0</w:t>
            </w:r>
          </w:p>
        </w:tc>
        <w:tc>
          <w:tcPr>
            <w:tcW w:w="5998" w:type="dxa"/>
            <w:tcBorders>
              <w:left w:val="single" w:color="000000" w:sz="4" w:space="0"/>
              <w:right w:val="nil"/>
            </w:tcBorders>
            <w:vAlign w:val="top"/>
          </w:tcPr>
          <w:p w14:paraId="43D3147A">
            <w:pPr>
              <w:spacing w:before="91" w:line="195" w:lineRule="auto"/>
              <w:ind w:left="260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4"/>
                <w:sz w:val="20"/>
                <w:szCs w:val="20"/>
              </w:rPr>
              <w:t>49.4606</w:t>
            </w:r>
          </w:p>
        </w:tc>
      </w:tr>
      <w:tr w14:paraId="075A45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467456FC">
            <w:pPr>
              <w:spacing w:before="91" w:line="195" w:lineRule="auto"/>
              <w:ind w:left="116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5998" w:type="dxa"/>
            <w:tcBorders>
              <w:left w:val="single" w:color="000000" w:sz="4" w:space="0"/>
              <w:right w:val="nil"/>
            </w:tcBorders>
            <w:vAlign w:val="top"/>
          </w:tcPr>
          <w:p w14:paraId="13AD87FD">
            <w:pPr>
              <w:spacing w:before="92" w:line="195" w:lineRule="auto"/>
              <w:ind w:left="260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4"/>
                <w:sz w:val="20"/>
                <w:szCs w:val="20"/>
              </w:rPr>
              <w:t>48.5355</w:t>
            </w:r>
          </w:p>
        </w:tc>
      </w:tr>
      <w:tr w14:paraId="06876B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524" w:type="dxa"/>
            <w:tcBorders>
              <w:left w:val="nil"/>
              <w:right w:val="single" w:color="000000" w:sz="4" w:space="0"/>
            </w:tcBorders>
            <w:vAlign w:val="top"/>
          </w:tcPr>
          <w:p w14:paraId="726D9C33">
            <w:pPr>
              <w:spacing w:before="91" w:line="195" w:lineRule="auto"/>
              <w:ind w:left="116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0</w:t>
            </w:r>
          </w:p>
        </w:tc>
        <w:tc>
          <w:tcPr>
            <w:tcW w:w="5998" w:type="dxa"/>
            <w:tcBorders>
              <w:left w:val="single" w:color="000000" w:sz="4" w:space="0"/>
              <w:right w:val="nil"/>
            </w:tcBorders>
            <w:vAlign w:val="top"/>
          </w:tcPr>
          <w:p w14:paraId="132CDF04">
            <w:pPr>
              <w:spacing w:before="91" w:line="195" w:lineRule="auto"/>
              <w:ind w:left="260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4"/>
                <w:sz w:val="20"/>
                <w:szCs w:val="20"/>
              </w:rPr>
              <w:t>47.0735</w:t>
            </w:r>
          </w:p>
        </w:tc>
      </w:tr>
      <w:tr w14:paraId="72E0CD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524" w:type="dxa"/>
            <w:tcBorders>
              <w:left w:val="nil"/>
              <w:right w:val="single" w:color="000000" w:sz="4" w:space="0"/>
            </w:tcBorders>
            <w:vAlign w:val="top"/>
          </w:tcPr>
          <w:p w14:paraId="1B292515">
            <w:pPr>
              <w:spacing w:before="92" w:line="195" w:lineRule="auto"/>
              <w:ind w:left="116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w:t>
            </w:r>
            <w:r>
              <w:rPr>
                <w:rFonts w:ascii="Times New Roman" w:hAnsi="Times New Roman" w:eastAsia="Times New Roman" w:cs="Times New Roman"/>
                <w:spacing w:val="-1"/>
                <w:sz w:val="20"/>
                <w:szCs w:val="20"/>
              </w:rPr>
              <w:t>0</w:t>
            </w:r>
          </w:p>
        </w:tc>
        <w:tc>
          <w:tcPr>
            <w:tcW w:w="5998" w:type="dxa"/>
            <w:tcBorders>
              <w:left w:val="single" w:color="000000" w:sz="4" w:space="0"/>
              <w:right w:val="nil"/>
            </w:tcBorders>
            <w:vAlign w:val="top"/>
          </w:tcPr>
          <w:p w14:paraId="4C6DB939">
            <w:pPr>
              <w:spacing w:before="92" w:line="198" w:lineRule="auto"/>
              <w:ind w:left="260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4"/>
                <w:sz w:val="20"/>
                <w:szCs w:val="20"/>
              </w:rPr>
              <w:t>44.8976</w:t>
            </w:r>
          </w:p>
        </w:tc>
      </w:tr>
      <w:tr w14:paraId="7AD67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524" w:type="dxa"/>
            <w:tcBorders>
              <w:left w:val="nil"/>
              <w:right w:val="single" w:color="000000" w:sz="4" w:space="0"/>
            </w:tcBorders>
            <w:vAlign w:val="top"/>
          </w:tcPr>
          <w:p w14:paraId="17382862">
            <w:pPr>
              <w:spacing w:before="93" w:line="195" w:lineRule="auto"/>
              <w:ind w:left="112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100</w:t>
            </w:r>
          </w:p>
        </w:tc>
        <w:tc>
          <w:tcPr>
            <w:tcW w:w="5998" w:type="dxa"/>
            <w:tcBorders>
              <w:left w:val="single" w:color="000000" w:sz="4" w:space="0"/>
              <w:right w:val="nil"/>
            </w:tcBorders>
            <w:vAlign w:val="top"/>
          </w:tcPr>
          <w:p w14:paraId="3BBA59A9">
            <w:pPr>
              <w:spacing w:before="93" w:line="198" w:lineRule="auto"/>
              <w:ind w:left="260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4"/>
                <w:sz w:val="20"/>
                <w:szCs w:val="20"/>
              </w:rPr>
              <w:t>41.8128</w:t>
            </w:r>
          </w:p>
        </w:tc>
      </w:tr>
      <w:tr w14:paraId="783F85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581F8A5E">
            <w:pPr>
              <w:spacing w:before="94" w:line="195" w:lineRule="auto"/>
              <w:ind w:left="112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120</w:t>
            </w:r>
          </w:p>
        </w:tc>
        <w:tc>
          <w:tcPr>
            <w:tcW w:w="5998" w:type="dxa"/>
            <w:tcBorders>
              <w:left w:val="single" w:color="000000" w:sz="4" w:space="0"/>
              <w:right w:val="nil"/>
            </w:tcBorders>
            <w:vAlign w:val="top"/>
          </w:tcPr>
          <w:p w14:paraId="5C6B325B">
            <w:pPr>
              <w:spacing w:before="94" w:line="195" w:lineRule="auto"/>
              <w:ind w:left="260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4"/>
                <w:sz w:val="20"/>
                <w:szCs w:val="20"/>
              </w:rPr>
              <w:t>37.6174</w:t>
            </w:r>
          </w:p>
        </w:tc>
      </w:tr>
      <w:tr w14:paraId="0E28D5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3E06E213">
            <w:pPr>
              <w:spacing w:before="94" w:line="195" w:lineRule="auto"/>
              <w:ind w:left="112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140</w:t>
            </w:r>
          </w:p>
        </w:tc>
        <w:tc>
          <w:tcPr>
            <w:tcW w:w="5998" w:type="dxa"/>
            <w:tcBorders>
              <w:left w:val="single" w:color="000000" w:sz="4" w:space="0"/>
              <w:right w:val="nil"/>
            </w:tcBorders>
            <w:vAlign w:val="top"/>
          </w:tcPr>
          <w:p w14:paraId="5A228A42">
            <w:pPr>
              <w:spacing w:before="94" w:line="195" w:lineRule="auto"/>
              <w:ind w:left="260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232. 119</w:t>
            </w:r>
            <w:r>
              <w:rPr>
                <w:rFonts w:ascii="Times New Roman" w:hAnsi="Times New Roman" w:eastAsia="Times New Roman" w:cs="Times New Roman"/>
                <w:spacing w:val="-2"/>
                <w:sz w:val="20"/>
                <w:szCs w:val="20"/>
              </w:rPr>
              <w:t>5</w:t>
            </w:r>
          </w:p>
        </w:tc>
      </w:tr>
      <w:tr w14:paraId="7CF252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3BF6C872">
            <w:pPr>
              <w:spacing w:before="94" w:line="195" w:lineRule="auto"/>
              <w:ind w:left="112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160</w:t>
            </w:r>
          </w:p>
        </w:tc>
        <w:tc>
          <w:tcPr>
            <w:tcW w:w="5998" w:type="dxa"/>
            <w:tcBorders>
              <w:left w:val="single" w:color="000000" w:sz="4" w:space="0"/>
              <w:right w:val="nil"/>
            </w:tcBorders>
            <w:vAlign w:val="top"/>
          </w:tcPr>
          <w:p w14:paraId="52D93C8A">
            <w:pPr>
              <w:spacing w:before="95" w:line="195" w:lineRule="auto"/>
              <w:ind w:left="260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225. 15</w:t>
            </w:r>
            <w:r>
              <w:rPr>
                <w:rFonts w:ascii="Times New Roman" w:hAnsi="Times New Roman" w:eastAsia="Times New Roman" w:cs="Times New Roman"/>
                <w:spacing w:val="-1"/>
                <w:sz w:val="20"/>
                <w:szCs w:val="20"/>
              </w:rPr>
              <w:t>55</w:t>
            </w:r>
          </w:p>
        </w:tc>
      </w:tr>
      <w:tr w14:paraId="4C297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0A0F54E1">
            <w:pPr>
              <w:spacing w:before="94" w:line="195" w:lineRule="auto"/>
              <w:ind w:left="112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180</w:t>
            </w:r>
          </w:p>
        </w:tc>
        <w:tc>
          <w:tcPr>
            <w:tcW w:w="5998" w:type="dxa"/>
            <w:tcBorders>
              <w:left w:val="single" w:color="000000" w:sz="4" w:space="0"/>
              <w:right w:val="nil"/>
            </w:tcBorders>
            <w:vAlign w:val="top"/>
          </w:tcPr>
          <w:p w14:paraId="3FDAA5A3">
            <w:pPr>
              <w:spacing w:before="95" w:line="195" w:lineRule="auto"/>
              <w:ind w:left="260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4"/>
                <w:sz w:val="20"/>
                <w:szCs w:val="20"/>
              </w:rPr>
              <w:t>16.6108</w:t>
            </w:r>
          </w:p>
        </w:tc>
      </w:tr>
      <w:tr w14:paraId="34CD7B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2B179DBD">
            <w:pPr>
              <w:spacing w:before="94" w:line="195" w:lineRule="auto"/>
              <w:ind w:left="1108"/>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00</w:t>
            </w:r>
          </w:p>
        </w:tc>
        <w:tc>
          <w:tcPr>
            <w:tcW w:w="5998" w:type="dxa"/>
            <w:tcBorders>
              <w:left w:val="single" w:color="000000" w:sz="4" w:space="0"/>
              <w:right w:val="nil"/>
            </w:tcBorders>
            <w:vAlign w:val="top"/>
          </w:tcPr>
          <w:p w14:paraId="5975E266">
            <w:pPr>
              <w:spacing w:before="95" w:line="195" w:lineRule="auto"/>
              <w:ind w:left="260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4"/>
                <w:sz w:val="20"/>
                <w:szCs w:val="20"/>
              </w:rPr>
              <w:t>06.4386</w:t>
            </w:r>
          </w:p>
        </w:tc>
      </w:tr>
      <w:tr w14:paraId="4B780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6A37B83D">
            <w:pPr>
              <w:spacing w:before="94" w:line="195" w:lineRule="auto"/>
              <w:ind w:left="1108"/>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20</w:t>
            </w:r>
          </w:p>
        </w:tc>
        <w:tc>
          <w:tcPr>
            <w:tcW w:w="5998" w:type="dxa"/>
            <w:tcBorders>
              <w:left w:val="single" w:color="000000" w:sz="4" w:space="0"/>
              <w:right w:val="nil"/>
            </w:tcBorders>
            <w:vAlign w:val="top"/>
          </w:tcPr>
          <w:p w14:paraId="4377F552">
            <w:pPr>
              <w:spacing w:before="94" w:line="195" w:lineRule="auto"/>
              <w:ind w:left="26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194.67</w:t>
            </w:r>
            <w:r>
              <w:rPr>
                <w:rFonts w:ascii="Times New Roman" w:hAnsi="Times New Roman" w:eastAsia="Times New Roman" w:cs="Times New Roman"/>
                <w:spacing w:val="1"/>
                <w:sz w:val="20"/>
                <w:szCs w:val="20"/>
              </w:rPr>
              <w:t>49</w:t>
            </w:r>
          </w:p>
        </w:tc>
      </w:tr>
      <w:tr w14:paraId="0CE805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20345BFF">
            <w:pPr>
              <w:spacing w:before="94" w:line="195" w:lineRule="auto"/>
              <w:ind w:left="1108"/>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40</w:t>
            </w:r>
          </w:p>
        </w:tc>
        <w:tc>
          <w:tcPr>
            <w:tcW w:w="5998" w:type="dxa"/>
            <w:tcBorders>
              <w:left w:val="single" w:color="000000" w:sz="4" w:space="0"/>
              <w:right w:val="nil"/>
            </w:tcBorders>
            <w:vAlign w:val="top"/>
          </w:tcPr>
          <w:p w14:paraId="46408A73">
            <w:pPr>
              <w:spacing w:before="95" w:line="195" w:lineRule="auto"/>
              <w:ind w:left="26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181.44</w:t>
            </w:r>
            <w:r>
              <w:rPr>
                <w:rFonts w:ascii="Times New Roman" w:hAnsi="Times New Roman" w:eastAsia="Times New Roman" w:cs="Times New Roman"/>
                <w:spacing w:val="1"/>
                <w:sz w:val="20"/>
                <w:szCs w:val="20"/>
              </w:rPr>
              <w:t>72</w:t>
            </w:r>
          </w:p>
        </w:tc>
      </w:tr>
      <w:tr w14:paraId="1A3C5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4881E524">
            <w:pPr>
              <w:spacing w:before="94" w:line="195" w:lineRule="auto"/>
              <w:ind w:left="1108"/>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60</w:t>
            </w:r>
          </w:p>
        </w:tc>
        <w:tc>
          <w:tcPr>
            <w:tcW w:w="5998" w:type="dxa"/>
            <w:tcBorders>
              <w:left w:val="single" w:color="000000" w:sz="4" w:space="0"/>
              <w:right w:val="nil"/>
            </w:tcBorders>
            <w:vAlign w:val="top"/>
          </w:tcPr>
          <w:p w14:paraId="461B97C7">
            <w:pPr>
              <w:spacing w:before="95" w:line="195" w:lineRule="auto"/>
              <w:ind w:left="26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166.97</w:t>
            </w:r>
            <w:r>
              <w:rPr>
                <w:rFonts w:ascii="Times New Roman" w:hAnsi="Times New Roman" w:eastAsia="Times New Roman" w:cs="Times New Roman"/>
                <w:spacing w:val="1"/>
                <w:sz w:val="20"/>
                <w:szCs w:val="20"/>
              </w:rPr>
              <w:t>43</w:t>
            </w:r>
          </w:p>
        </w:tc>
      </w:tr>
      <w:tr w14:paraId="746B22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639EAB82">
            <w:pPr>
              <w:spacing w:before="94" w:line="195" w:lineRule="auto"/>
              <w:ind w:left="1108"/>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80</w:t>
            </w:r>
          </w:p>
        </w:tc>
        <w:tc>
          <w:tcPr>
            <w:tcW w:w="5998" w:type="dxa"/>
            <w:tcBorders>
              <w:left w:val="single" w:color="000000" w:sz="4" w:space="0"/>
              <w:right w:val="nil"/>
            </w:tcBorders>
            <w:vAlign w:val="top"/>
          </w:tcPr>
          <w:p w14:paraId="2511E2D3">
            <w:pPr>
              <w:spacing w:before="95" w:line="195" w:lineRule="auto"/>
              <w:ind w:left="26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151.55</w:t>
            </w:r>
            <w:r>
              <w:rPr>
                <w:rFonts w:ascii="Times New Roman" w:hAnsi="Times New Roman" w:eastAsia="Times New Roman" w:cs="Times New Roman"/>
                <w:spacing w:val="1"/>
                <w:sz w:val="20"/>
                <w:szCs w:val="20"/>
              </w:rPr>
              <w:t>65</w:t>
            </w:r>
          </w:p>
        </w:tc>
      </w:tr>
      <w:tr w14:paraId="22E1DE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25CD1AA3">
            <w:pPr>
              <w:spacing w:before="94" w:line="195" w:lineRule="auto"/>
              <w:ind w:left="1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00</w:t>
            </w:r>
          </w:p>
        </w:tc>
        <w:tc>
          <w:tcPr>
            <w:tcW w:w="5998" w:type="dxa"/>
            <w:tcBorders>
              <w:left w:val="single" w:color="000000" w:sz="4" w:space="0"/>
              <w:right w:val="nil"/>
            </w:tcBorders>
            <w:vAlign w:val="top"/>
          </w:tcPr>
          <w:p w14:paraId="32D3B3E1">
            <w:pPr>
              <w:spacing w:before="95" w:line="195" w:lineRule="auto"/>
              <w:ind w:left="26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135.55</w:t>
            </w:r>
            <w:r>
              <w:rPr>
                <w:rFonts w:ascii="Times New Roman" w:hAnsi="Times New Roman" w:eastAsia="Times New Roman" w:cs="Times New Roman"/>
                <w:spacing w:val="1"/>
                <w:sz w:val="20"/>
                <w:szCs w:val="20"/>
              </w:rPr>
              <w:t>77</w:t>
            </w:r>
          </w:p>
        </w:tc>
      </w:tr>
      <w:tr w14:paraId="020528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2CCD0ECA">
            <w:pPr>
              <w:spacing w:before="94" w:line="195" w:lineRule="auto"/>
              <w:ind w:left="1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20</w:t>
            </w:r>
          </w:p>
        </w:tc>
        <w:tc>
          <w:tcPr>
            <w:tcW w:w="5998" w:type="dxa"/>
            <w:tcBorders>
              <w:left w:val="single" w:color="000000" w:sz="4" w:space="0"/>
              <w:right w:val="nil"/>
            </w:tcBorders>
            <w:vAlign w:val="top"/>
          </w:tcPr>
          <w:p w14:paraId="726D1E98">
            <w:pPr>
              <w:spacing w:before="94" w:line="195" w:lineRule="auto"/>
              <w:ind w:left="273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119.3</w:t>
            </w:r>
            <w:r>
              <w:rPr>
                <w:rFonts w:ascii="Times New Roman" w:hAnsi="Times New Roman" w:eastAsia="Times New Roman" w:cs="Times New Roman"/>
                <w:sz w:val="20"/>
                <w:szCs w:val="20"/>
              </w:rPr>
              <w:t>8</w:t>
            </w:r>
          </w:p>
        </w:tc>
      </w:tr>
      <w:tr w14:paraId="737F7D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66951923">
            <w:pPr>
              <w:spacing w:before="94" w:line="195" w:lineRule="auto"/>
              <w:ind w:left="1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40</w:t>
            </w:r>
          </w:p>
        </w:tc>
        <w:tc>
          <w:tcPr>
            <w:tcW w:w="5998" w:type="dxa"/>
            <w:tcBorders>
              <w:left w:val="single" w:color="000000" w:sz="4" w:space="0"/>
              <w:right w:val="nil"/>
            </w:tcBorders>
            <w:vAlign w:val="top"/>
          </w:tcPr>
          <w:p w14:paraId="32F0B536">
            <w:pPr>
              <w:spacing w:before="95" w:line="195" w:lineRule="auto"/>
              <w:ind w:left="26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103.43</w:t>
            </w:r>
            <w:r>
              <w:rPr>
                <w:rFonts w:ascii="Times New Roman" w:hAnsi="Times New Roman" w:eastAsia="Times New Roman" w:cs="Times New Roman"/>
                <w:spacing w:val="1"/>
                <w:sz w:val="20"/>
                <w:szCs w:val="20"/>
              </w:rPr>
              <w:t>39</w:t>
            </w:r>
          </w:p>
        </w:tc>
      </w:tr>
      <w:tr w14:paraId="5A1D50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61384038">
            <w:pPr>
              <w:spacing w:before="94" w:line="195" w:lineRule="auto"/>
              <w:ind w:left="1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60</w:t>
            </w:r>
          </w:p>
        </w:tc>
        <w:tc>
          <w:tcPr>
            <w:tcW w:w="5998" w:type="dxa"/>
            <w:tcBorders>
              <w:left w:val="single" w:color="000000" w:sz="4" w:space="0"/>
              <w:right w:val="nil"/>
            </w:tcBorders>
            <w:vAlign w:val="top"/>
          </w:tcPr>
          <w:p w14:paraId="4B7093CF">
            <w:pPr>
              <w:spacing w:before="95" w:line="195" w:lineRule="auto"/>
              <w:ind w:left="261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88.</w:t>
            </w:r>
            <w:r>
              <w:rPr>
                <w:rFonts w:ascii="Times New Roman" w:hAnsi="Times New Roman" w:eastAsia="Times New Roman" w:cs="Times New Roman"/>
                <w:spacing w:val="-3"/>
                <w:sz w:val="20"/>
                <w:szCs w:val="20"/>
              </w:rPr>
              <w:t xml:space="preserve"> </w:t>
            </w:r>
            <w:r>
              <w:rPr>
                <w:rFonts w:ascii="Times New Roman" w:hAnsi="Times New Roman" w:eastAsia="Times New Roman" w:cs="Times New Roman"/>
                <w:spacing w:val="-2"/>
                <w:sz w:val="20"/>
                <w:szCs w:val="20"/>
              </w:rPr>
              <w:t>10813</w:t>
            </w:r>
          </w:p>
        </w:tc>
      </w:tr>
      <w:tr w14:paraId="6934F3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0299452F">
            <w:pPr>
              <w:spacing w:before="94" w:line="195" w:lineRule="auto"/>
              <w:ind w:left="1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80</w:t>
            </w:r>
          </w:p>
        </w:tc>
        <w:tc>
          <w:tcPr>
            <w:tcW w:w="5998" w:type="dxa"/>
            <w:tcBorders>
              <w:left w:val="single" w:color="000000" w:sz="4" w:space="0"/>
              <w:right w:val="nil"/>
            </w:tcBorders>
            <w:vAlign w:val="top"/>
          </w:tcPr>
          <w:p w14:paraId="757AF579">
            <w:pPr>
              <w:spacing w:before="94" w:line="195" w:lineRule="auto"/>
              <w:ind w:left="260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73.7428</w:t>
            </w:r>
            <w:r>
              <w:rPr>
                <w:rFonts w:ascii="Times New Roman" w:hAnsi="Times New Roman" w:eastAsia="Times New Roman" w:cs="Times New Roman"/>
                <w:spacing w:val="2"/>
                <w:sz w:val="20"/>
                <w:szCs w:val="20"/>
              </w:rPr>
              <w:t>8</w:t>
            </w:r>
          </w:p>
        </w:tc>
      </w:tr>
      <w:tr w14:paraId="507778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56E5BB34">
            <w:pPr>
              <w:spacing w:before="94" w:line="195" w:lineRule="auto"/>
              <w:ind w:left="110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400</w:t>
            </w:r>
          </w:p>
        </w:tc>
        <w:tc>
          <w:tcPr>
            <w:tcW w:w="5998" w:type="dxa"/>
            <w:tcBorders>
              <w:left w:val="single" w:color="000000" w:sz="4" w:space="0"/>
              <w:right w:val="nil"/>
            </w:tcBorders>
            <w:vAlign w:val="top"/>
          </w:tcPr>
          <w:p w14:paraId="234D8161">
            <w:pPr>
              <w:spacing w:before="95" w:line="195" w:lineRule="auto"/>
              <w:ind w:left="2608"/>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6</w:t>
            </w:r>
            <w:r>
              <w:rPr>
                <w:rFonts w:ascii="Times New Roman" w:hAnsi="Times New Roman" w:eastAsia="Times New Roman" w:cs="Times New Roman"/>
                <w:spacing w:val="5"/>
                <w:sz w:val="20"/>
                <w:szCs w:val="20"/>
              </w:rPr>
              <w:t>0</w:t>
            </w:r>
            <w:r>
              <w:rPr>
                <w:rFonts w:ascii="Times New Roman" w:hAnsi="Times New Roman" w:eastAsia="Times New Roman" w:cs="Times New Roman"/>
                <w:spacing w:val="3"/>
                <w:sz w:val="20"/>
                <w:szCs w:val="20"/>
              </w:rPr>
              <w:t>.60836</w:t>
            </w:r>
          </w:p>
        </w:tc>
      </w:tr>
      <w:tr w14:paraId="61344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0F316B02">
            <w:pPr>
              <w:spacing w:before="94" w:line="195" w:lineRule="auto"/>
              <w:ind w:left="110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420</w:t>
            </w:r>
          </w:p>
        </w:tc>
        <w:tc>
          <w:tcPr>
            <w:tcW w:w="5998" w:type="dxa"/>
            <w:tcBorders>
              <w:left w:val="single" w:color="000000" w:sz="4" w:space="0"/>
              <w:right w:val="nil"/>
            </w:tcBorders>
            <w:vAlign w:val="top"/>
          </w:tcPr>
          <w:p w14:paraId="107C28B8">
            <w:pPr>
              <w:spacing w:before="95" w:line="195" w:lineRule="auto"/>
              <w:ind w:left="2603"/>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4</w:t>
            </w:r>
            <w:r>
              <w:rPr>
                <w:rFonts w:ascii="Times New Roman" w:hAnsi="Times New Roman" w:eastAsia="Times New Roman" w:cs="Times New Roman"/>
                <w:spacing w:val="4"/>
                <w:sz w:val="20"/>
                <w:szCs w:val="20"/>
              </w:rPr>
              <w:t>8.89185</w:t>
            </w:r>
          </w:p>
        </w:tc>
      </w:tr>
      <w:tr w14:paraId="2557D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32AD15BA">
            <w:pPr>
              <w:spacing w:before="94" w:line="195" w:lineRule="auto"/>
              <w:ind w:left="110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440</w:t>
            </w:r>
          </w:p>
        </w:tc>
        <w:tc>
          <w:tcPr>
            <w:tcW w:w="5998" w:type="dxa"/>
            <w:tcBorders>
              <w:left w:val="single" w:color="000000" w:sz="4" w:space="0"/>
              <w:right w:val="nil"/>
            </w:tcBorders>
            <w:vAlign w:val="top"/>
          </w:tcPr>
          <w:p w14:paraId="1376D0E7">
            <w:pPr>
              <w:spacing w:before="95" w:line="195" w:lineRule="auto"/>
              <w:ind w:left="2608"/>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3</w:t>
            </w:r>
            <w:r>
              <w:rPr>
                <w:rFonts w:ascii="Times New Roman" w:hAnsi="Times New Roman" w:eastAsia="Times New Roman" w:cs="Times New Roman"/>
                <w:spacing w:val="5"/>
                <w:sz w:val="20"/>
                <w:szCs w:val="20"/>
              </w:rPr>
              <w:t>8</w:t>
            </w:r>
            <w:r>
              <w:rPr>
                <w:rFonts w:ascii="Times New Roman" w:hAnsi="Times New Roman" w:eastAsia="Times New Roman" w:cs="Times New Roman"/>
                <w:spacing w:val="3"/>
                <w:sz w:val="20"/>
                <w:szCs w:val="20"/>
              </w:rPr>
              <w:t>.69356</w:t>
            </w:r>
          </w:p>
        </w:tc>
      </w:tr>
      <w:tr w14:paraId="026495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53102F07">
            <w:pPr>
              <w:spacing w:before="94" w:line="195" w:lineRule="auto"/>
              <w:ind w:left="110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460</w:t>
            </w:r>
          </w:p>
        </w:tc>
        <w:tc>
          <w:tcPr>
            <w:tcW w:w="5998" w:type="dxa"/>
            <w:tcBorders>
              <w:left w:val="single" w:color="000000" w:sz="4" w:space="0"/>
              <w:right w:val="nil"/>
            </w:tcBorders>
            <w:vAlign w:val="top"/>
          </w:tcPr>
          <w:p w14:paraId="0B8715FF">
            <w:pPr>
              <w:spacing w:before="95" w:line="195" w:lineRule="auto"/>
              <w:ind w:left="2608"/>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3</w:t>
            </w:r>
            <w:r>
              <w:rPr>
                <w:rFonts w:ascii="Times New Roman" w:hAnsi="Times New Roman" w:eastAsia="Times New Roman" w:cs="Times New Roman"/>
                <w:spacing w:val="5"/>
                <w:sz w:val="20"/>
                <w:szCs w:val="20"/>
              </w:rPr>
              <w:t>0</w:t>
            </w:r>
            <w:r>
              <w:rPr>
                <w:rFonts w:ascii="Times New Roman" w:hAnsi="Times New Roman" w:eastAsia="Times New Roman" w:cs="Times New Roman"/>
                <w:spacing w:val="3"/>
                <w:sz w:val="20"/>
                <w:szCs w:val="20"/>
              </w:rPr>
              <w:t>.03081</w:t>
            </w:r>
          </w:p>
        </w:tc>
      </w:tr>
      <w:tr w14:paraId="5C205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7D79787C">
            <w:pPr>
              <w:spacing w:before="94" w:line="195" w:lineRule="auto"/>
              <w:ind w:left="110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480</w:t>
            </w:r>
          </w:p>
        </w:tc>
        <w:tc>
          <w:tcPr>
            <w:tcW w:w="5998" w:type="dxa"/>
            <w:tcBorders>
              <w:left w:val="single" w:color="000000" w:sz="4" w:space="0"/>
              <w:right w:val="nil"/>
            </w:tcBorders>
            <w:vAlign w:val="top"/>
          </w:tcPr>
          <w:p w14:paraId="700EE7A5">
            <w:pPr>
              <w:spacing w:before="94" w:line="198" w:lineRule="auto"/>
              <w:ind w:left="260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4"/>
                <w:sz w:val="20"/>
                <w:szCs w:val="20"/>
              </w:rPr>
              <w:t>2.84907</w:t>
            </w:r>
          </w:p>
        </w:tc>
      </w:tr>
      <w:tr w14:paraId="3C8E61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65418F10">
            <w:pPr>
              <w:spacing w:before="94" w:line="195" w:lineRule="auto"/>
              <w:ind w:left="11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50</w:t>
            </w:r>
            <w:r>
              <w:rPr>
                <w:rFonts w:ascii="Times New Roman" w:hAnsi="Times New Roman" w:eastAsia="Times New Roman" w:cs="Times New Roman"/>
                <w:spacing w:val="1"/>
                <w:sz w:val="20"/>
                <w:szCs w:val="20"/>
              </w:rPr>
              <w:t>0</w:t>
            </w:r>
          </w:p>
        </w:tc>
        <w:tc>
          <w:tcPr>
            <w:tcW w:w="5998" w:type="dxa"/>
            <w:tcBorders>
              <w:left w:val="single" w:color="000000" w:sz="4" w:space="0"/>
              <w:right w:val="nil"/>
            </w:tcBorders>
            <w:vAlign w:val="top"/>
          </w:tcPr>
          <w:p w14:paraId="7952CC97">
            <w:pPr>
              <w:spacing w:before="94" w:line="195" w:lineRule="auto"/>
              <w:ind w:left="26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17.037</w:t>
            </w:r>
            <w:r>
              <w:rPr>
                <w:rFonts w:ascii="Times New Roman" w:hAnsi="Times New Roman" w:eastAsia="Times New Roman" w:cs="Times New Roman"/>
                <w:spacing w:val="1"/>
                <w:sz w:val="20"/>
                <w:szCs w:val="20"/>
              </w:rPr>
              <w:t>53</w:t>
            </w:r>
          </w:p>
        </w:tc>
      </w:tr>
      <w:tr w14:paraId="204217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349A2BBF">
            <w:pPr>
              <w:spacing w:before="94" w:line="195" w:lineRule="auto"/>
              <w:ind w:left="11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52</w:t>
            </w:r>
            <w:r>
              <w:rPr>
                <w:rFonts w:ascii="Times New Roman" w:hAnsi="Times New Roman" w:eastAsia="Times New Roman" w:cs="Times New Roman"/>
                <w:spacing w:val="1"/>
                <w:sz w:val="20"/>
                <w:szCs w:val="20"/>
              </w:rPr>
              <w:t>0</w:t>
            </w:r>
          </w:p>
        </w:tc>
        <w:tc>
          <w:tcPr>
            <w:tcW w:w="5998" w:type="dxa"/>
            <w:tcBorders>
              <w:left w:val="single" w:color="000000" w:sz="4" w:space="0"/>
              <w:right w:val="nil"/>
            </w:tcBorders>
            <w:vAlign w:val="top"/>
          </w:tcPr>
          <w:p w14:paraId="7F3D5E10">
            <w:pPr>
              <w:spacing w:before="94" w:line="198" w:lineRule="auto"/>
              <w:ind w:left="26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12.446</w:t>
            </w:r>
            <w:r>
              <w:rPr>
                <w:rFonts w:ascii="Times New Roman" w:hAnsi="Times New Roman" w:eastAsia="Times New Roman" w:cs="Times New Roman"/>
                <w:spacing w:val="1"/>
                <w:sz w:val="20"/>
                <w:szCs w:val="20"/>
              </w:rPr>
              <w:t>87</w:t>
            </w:r>
          </w:p>
        </w:tc>
      </w:tr>
      <w:tr w14:paraId="2225F4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7D795B9F">
            <w:pPr>
              <w:spacing w:before="94" w:line="195" w:lineRule="auto"/>
              <w:ind w:left="11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54</w:t>
            </w:r>
            <w:r>
              <w:rPr>
                <w:rFonts w:ascii="Times New Roman" w:hAnsi="Times New Roman" w:eastAsia="Times New Roman" w:cs="Times New Roman"/>
                <w:spacing w:val="1"/>
                <w:sz w:val="20"/>
                <w:szCs w:val="20"/>
              </w:rPr>
              <w:t>0</w:t>
            </w:r>
          </w:p>
        </w:tc>
        <w:tc>
          <w:tcPr>
            <w:tcW w:w="5998" w:type="dxa"/>
            <w:tcBorders>
              <w:left w:val="single" w:color="000000" w:sz="4" w:space="0"/>
              <w:right w:val="nil"/>
            </w:tcBorders>
            <w:vAlign w:val="top"/>
          </w:tcPr>
          <w:p w14:paraId="798CBE81">
            <w:pPr>
              <w:spacing w:before="95" w:line="195" w:lineRule="auto"/>
              <w:ind w:left="261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8</w:t>
            </w:r>
            <w:r>
              <w:rPr>
                <w:rFonts w:ascii="Times New Roman" w:hAnsi="Times New Roman" w:eastAsia="Times New Roman" w:cs="Times New Roman"/>
                <w:spacing w:val="3"/>
                <w:sz w:val="20"/>
                <w:szCs w:val="20"/>
              </w:rPr>
              <w:t>.906794</w:t>
            </w:r>
          </w:p>
        </w:tc>
      </w:tr>
      <w:tr w14:paraId="18ED8D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6BF909C9">
            <w:pPr>
              <w:spacing w:before="94" w:line="195" w:lineRule="auto"/>
              <w:ind w:left="11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56</w:t>
            </w:r>
            <w:r>
              <w:rPr>
                <w:rFonts w:ascii="Times New Roman" w:hAnsi="Times New Roman" w:eastAsia="Times New Roman" w:cs="Times New Roman"/>
                <w:spacing w:val="1"/>
                <w:sz w:val="20"/>
                <w:szCs w:val="20"/>
              </w:rPr>
              <w:t>0</w:t>
            </w:r>
          </w:p>
        </w:tc>
        <w:tc>
          <w:tcPr>
            <w:tcW w:w="5998" w:type="dxa"/>
            <w:tcBorders>
              <w:left w:val="single" w:color="000000" w:sz="4" w:space="0"/>
              <w:right w:val="nil"/>
            </w:tcBorders>
            <w:vAlign w:val="top"/>
          </w:tcPr>
          <w:p w14:paraId="2A5C8288">
            <w:pPr>
              <w:spacing w:before="95" w:line="195" w:lineRule="auto"/>
              <w:ind w:left="2608"/>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6</w:t>
            </w:r>
            <w:r>
              <w:rPr>
                <w:rFonts w:ascii="Times New Roman" w:hAnsi="Times New Roman" w:eastAsia="Times New Roman" w:cs="Times New Roman"/>
                <w:spacing w:val="5"/>
                <w:sz w:val="20"/>
                <w:szCs w:val="20"/>
              </w:rPr>
              <w:t>.</w:t>
            </w:r>
            <w:r>
              <w:rPr>
                <w:rFonts w:ascii="Times New Roman" w:hAnsi="Times New Roman" w:eastAsia="Times New Roman" w:cs="Times New Roman"/>
                <w:spacing w:val="3"/>
                <w:sz w:val="20"/>
                <w:szCs w:val="20"/>
              </w:rPr>
              <w:t>241569</w:t>
            </w:r>
          </w:p>
        </w:tc>
      </w:tr>
      <w:tr w14:paraId="6698AB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20FFD51C">
            <w:pPr>
              <w:spacing w:before="94" w:line="195" w:lineRule="auto"/>
              <w:ind w:left="11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58</w:t>
            </w:r>
            <w:r>
              <w:rPr>
                <w:rFonts w:ascii="Times New Roman" w:hAnsi="Times New Roman" w:eastAsia="Times New Roman" w:cs="Times New Roman"/>
                <w:spacing w:val="1"/>
                <w:sz w:val="20"/>
                <w:szCs w:val="20"/>
              </w:rPr>
              <w:t>0</w:t>
            </w:r>
          </w:p>
        </w:tc>
        <w:tc>
          <w:tcPr>
            <w:tcW w:w="5998" w:type="dxa"/>
            <w:tcBorders>
              <w:left w:val="single" w:color="000000" w:sz="4" w:space="0"/>
              <w:right w:val="nil"/>
            </w:tcBorders>
            <w:vAlign w:val="top"/>
          </w:tcPr>
          <w:p w14:paraId="55656276">
            <w:pPr>
              <w:spacing w:before="94" w:line="198" w:lineRule="auto"/>
              <w:ind w:left="2603"/>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4</w:t>
            </w:r>
            <w:r>
              <w:rPr>
                <w:rFonts w:ascii="Times New Roman" w:hAnsi="Times New Roman" w:eastAsia="Times New Roman" w:cs="Times New Roman"/>
                <w:spacing w:val="4"/>
                <w:sz w:val="20"/>
                <w:szCs w:val="20"/>
              </w:rPr>
              <w:t>.282443</w:t>
            </w:r>
          </w:p>
        </w:tc>
      </w:tr>
      <w:tr w14:paraId="7CDDB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1C9FCAFA">
            <w:pPr>
              <w:spacing w:before="94" w:line="195" w:lineRule="auto"/>
              <w:ind w:left="111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600</w:t>
            </w:r>
          </w:p>
        </w:tc>
        <w:tc>
          <w:tcPr>
            <w:tcW w:w="5998" w:type="dxa"/>
            <w:tcBorders>
              <w:left w:val="single" w:color="000000" w:sz="4" w:space="0"/>
              <w:right w:val="nil"/>
            </w:tcBorders>
            <w:vAlign w:val="top"/>
          </w:tcPr>
          <w:p w14:paraId="794A7FF7">
            <w:pPr>
              <w:spacing w:before="94" w:line="198" w:lineRule="auto"/>
              <w:ind w:left="260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4"/>
                <w:sz w:val="20"/>
                <w:szCs w:val="20"/>
              </w:rPr>
              <w:t>.876323</w:t>
            </w:r>
          </w:p>
        </w:tc>
      </w:tr>
      <w:tr w14:paraId="4BF460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132B6C64">
            <w:pPr>
              <w:spacing w:before="94" w:line="195" w:lineRule="auto"/>
              <w:ind w:left="111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620</w:t>
            </w:r>
          </w:p>
        </w:tc>
        <w:tc>
          <w:tcPr>
            <w:tcW w:w="5998" w:type="dxa"/>
            <w:tcBorders>
              <w:left w:val="single" w:color="000000" w:sz="4" w:space="0"/>
              <w:right w:val="nil"/>
            </w:tcBorders>
            <w:vAlign w:val="top"/>
          </w:tcPr>
          <w:p w14:paraId="70E41545">
            <w:pPr>
              <w:spacing w:before="94" w:line="198" w:lineRule="auto"/>
              <w:ind w:left="26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1.8908</w:t>
            </w:r>
            <w:r>
              <w:rPr>
                <w:rFonts w:ascii="Times New Roman" w:hAnsi="Times New Roman" w:eastAsia="Times New Roman" w:cs="Times New Roman"/>
                <w:spacing w:val="1"/>
                <w:sz w:val="20"/>
                <w:szCs w:val="20"/>
              </w:rPr>
              <w:t>76</w:t>
            </w:r>
          </w:p>
        </w:tc>
      </w:tr>
      <w:tr w14:paraId="54DCAB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190B70A4">
            <w:pPr>
              <w:spacing w:before="94" w:line="195" w:lineRule="auto"/>
              <w:ind w:left="111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640</w:t>
            </w:r>
          </w:p>
        </w:tc>
        <w:tc>
          <w:tcPr>
            <w:tcW w:w="5998" w:type="dxa"/>
            <w:tcBorders>
              <w:left w:val="single" w:color="000000" w:sz="4" w:space="0"/>
              <w:right w:val="nil"/>
            </w:tcBorders>
            <w:vAlign w:val="top"/>
          </w:tcPr>
          <w:p w14:paraId="6158CE24">
            <w:pPr>
              <w:spacing w:before="94" w:line="198" w:lineRule="auto"/>
              <w:ind w:left="26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1.2453</w:t>
            </w:r>
            <w:r>
              <w:rPr>
                <w:rFonts w:ascii="Times New Roman" w:hAnsi="Times New Roman" w:eastAsia="Times New Roman" w:cs="Times New Roman"/>
                <w:spacing w:val="1"/>
                <w:sz w:val="20"/>
                <w:szCs w:val="20"/>
              </w:rPr>
              <w:t>79</w:t>
            </w:r>
          </w:p>
        </w:tc>
      </w:tr>
      <w:tr w14:paraId="6A88FB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743EC1B7">
            <w:pPr>
              <w:spacing w:before="94" w:line="195" w:lineRule="auto"/>
              <w:ind w:left="111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660</w:t>
            </w:r>
          </w:p>
        </w:tc>
        <w:tc>
          <w:tcPr>
            <w:tcW w:w="5998" w:type="dxa"/>
            <w:tcBorders>
              <w:left w:val="single" w:color="000000" w:sz="4" w:space="0"/>
              <w:right w:val="nil"/>
            </w:tcBorders>
            <w:vAlign w:val="top"/>
          </w:tcPr>
          <w:p w14:paraId="70E03502">
            <w:pPr>
              <w:spacing w:before="95" w:line="195" w:lineRule="auto"/>
              <w:ind w:left="255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0.7832648</w:t>
            </w:r>
          </w:p>
        </w:tc>
      </w:tr>
      <w:tr w14:paraId="5E8D7B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6311FC64">
            <w:pPr>
              <w:spacing w:before="94" w:line="195" w:lineRule="auto"/>
              <w:ind w:left="111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680</w:t>
            </w:r>
          </w:p>
        </w:tc>
        <w:tc>
          <w:tcPr>
            <w:tcW w:w="5998" w:type="dxa"/>
            <w:tcBorders>
              <w:left w:val="single" w:color="000000" w:sz="4" w:space="0"/>
              <w:right w:val="nil"/>
            </w:tcBorders>
            <w:vAlign w:val="top"/>
          </w:tcPr>
          <w:p w14:paraId="597E3E57">
            <w:pPr>
              <w:spacing w:before="95" w:line="195" w:lineRule="auto"/>
              <w:ind w:left="255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0.4819608</w:t>
            </w:r>
          </w:p>
        </w:tc>
      </w:tr>
      <w:tr w14:paraId="334C7D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35C884E6">
            <w:pPr>
              <w:spacing w:before="94" w:line="195" w:lineRule="auto"/>
              <w:ind w:left="111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w:t>
            </w:r>
            <w:r>
              <w:rPr>
                <w:rFonts w:ascii="Times New Roman" w:hAnsi="Times New Roman" w:eastAsia="Times New Roman" w:cs="Times New Roman"/>
                <w:spacing w:val="2"/>
                <w:sz w:val="20"/>
                <w:szCs w:val="20"/>
              </w:rPr>
              <w:t>00</w:t>
            </w:r>
          </w:p>
        </w:tc>
        <w:tc>
          <w:tcPr>
            <w:tcW w:w="5998" w:type="dxa"/>
            <w:tcBorders>
              <w:left w:val="single" w:color="000000" w:sz="4" w:space="0"/>
              <w:right w:val="nil"/>
            </w:tcBorders>
            <w:vAlign w:val="top"/>
          </w:tcPr>
          <w:p w14:paraId="1091B5C8">
            <w:pPr>
              <w:spacing w:before="95" w:line="195" w:lineRule="auto"/>
              <w:ind w:left="255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0.2901689</w:t>
            </w:r>
          </w:p>
        </w:tc>
      </w:tr>
      <w:tr w14:paraId="03AA77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519A864B">
            <w:pPr>
              <w:spacing w:before="94" w:line="195" w:lineRule="auto"/>
              <w:ind w:left="111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w:t>
            </w:r>
            <w:r>
              <w:rPr>
                <w:rFonts w:ascii="Times New Roman" w:hAnsi="Times New Roman" w:eastAsia="Times New Roman" w:cs="Times New Roman"/>
                <w:spacing w:val="2"/>
                <w:sz w:val="20"/>
                <w:szCs w:val="20"/>
              </w:rPr>
              <w:t>20</w:t>
            </w:r>
          </w:p>
        </w:tc>
        <w:tc>
          <w:tcPr>
            <w:tcW w:w="5998" w:type="dxa"/>
            <w:tcBorders>
              <w:left w:val="single" w:color="000000" w:sz="4" w:space="0"/>
              <w:right w:val="nil"/>
            </w:tcBorders>
            <w:vAlign w:val="top"/>
          </w:tcPr>
          <w:p w14:paraId="2C15BC0A">
            <w:pPr>
              <w:spacing w:before="94" w:line="195" w:lineRule="auto"/>
              <w:ind w:left="255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0. 1</w:t>
            </w:r>
            <w:r>
              <w:rPr>
                <w:rFonts w:ascii="Times New Roman" w:hAnsi="Times New Roman" w:eastAsia="Times New Roman" w:cs="Times New Roman"/>
                <w:spacing w:val="-1"/>
                <w:sz w:val="20"/>
                <w:szCs w:val="20"/>
              </w:rPr>
              <w:t>708955</w:t>
            </w:r>
          </w:p>
        </w:tc>
      </w:tr>
      <w:tr w14:paraId="1E76F1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7ECD90A1">
            <w:pPr>
              <w:spacing w:before="94" w:line="195" w:lineRule="auto"/>
              <w:ind w:left="111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w:t>
            </w:r>
            <w:r>
              <w:rPr>
                <w:rFonts w:ascii="Times New Roman" w:hAnsi="Times New Roman" w:eastAsia="Times New Roman" w:cs="Times New Roman"/>
                <w:spacing w:val="2"/>
                <w:sz w:val="20"/>
                <w:szCs w:val="20"/>
              </w:rPr>
              <w:t>40</w:t>
            </w:r>
          </w:p>
        </w:tc>
        <w:tc>
          <w:tcPr>
            <w:tcW w:w="5998" w:type="dxa"/>
            <w:tcBorders>
              <w:left w:val="single" w:color="000000" w:sz="4" w:space="0"/>
              <w:right w:val="nil"/>
            </w:tcBorders>
            <w:vAlign w:val="top"/>
          </w:tcPr>
          <w:p w14:paraId="7B707E76">
            <w:pPr>
              <w:spacing w:before="95" w:line="195" w:lineRule="auto"/>
              <w:ind w:left="250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0.0987721</w:t>
            </w:r>
            <w:r>
              <w:rPr>
                <w:rFonts w:ascii="Times New Roman" w:hAnsi="Times New Roman" w:eastAsia="Times New Roman" w:cs="Times New Roman"/>
                <w:spacing w:val="3"/>
                <w:sz w:val="20"/>
                <w:szCs w:val="20"/>
              </w:rPr>
              <w:t>5</w:t>
            </w:r>
          </w:p>
        </w:tc>
      </w:tr>
      <w:tr w14:paraId="27AF5C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7B839E21">
            <w:pPr>
              <w:spacing w:before="94" w:line="195" w:lineRule="auto"/>
              <w:ind w:left="111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w:t>
            </w:r>
            <w:r>
              <w:rPr>
                <w:rFonts w:ascii="Times New Roman" w:hAnsi="Times New Roman" w:eastAsia="Times New Roman" w:cs="Times New Roman"/>
                <w:spacing w:val="2"/>
                <w:sz w:val="20"/>
                <w:szCs w:val="20"/>
              </w:rPr>
              <w:t>60</w:t>
            </w:r>
          </w:p>
        </w:tc>
        <w:tc>
          <w:tcPr>
            <w:tcW w:w="5998" w:type="dxa"/>
            <w:tcBorders>
              <w:left w:val="single" w:color="000000" w:sz="4" w:space="0"/>
              <w:right w:val="nil"/>
            </w:tcBorders>
            <w:vAlign w:val="top"/>
          </w:tcPr>
          <w:p w14:paraId="3D6E41AB">
            <w:pPr>
              <w:spacing w:before="95" w:line="195" w:lineRule="auto"/>
              <w:ind w:left="250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0.0554316</w:t>
            </w:r>
            <w:r>
              <w:rPr>
                <w:rFonts w:ascii="Times New Roman" w:hAnsi="Times New Roman" w:eastAsia="Times New Roman" w:cs="Times New Roman"/>
                <w:spacing w:val="3"/>
                <w:sz w:val="20"/>
                <w:szCs w:val="20"/>
              </w:rPr>
              <w:t>8</w:t>
            </w:r>
          </w:p>
        </w:tc>
      </w:tr>
      <w:tr w14:paraId="7DC4A8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70CBE67E">
            <w:pPr>
              <w:spacing w:before="94" w:line="195" w:lineRule="auto"/>
              <w:ind w:left="111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w:t>
            </w:r>
            <w:r>
              <w:rPr>
                <w:rFonts w:ascii="Times New Roman" w:hAnsi="Times New Roman" w:eastAsia="Times New Roman" w:cs="Times New Roman"/>
                <w:spacing w:val="2"/>
                <w:sz w:val="20"/>
                <w:szCs w:val="20"/>
              </w:rPr>
              <w:t>80</w:t>
            </w:r>
          </w:p>
        </w:tc>
        <w:tc>
          <w:tcPr>
            <w:tcW w:w="5998" w:type="dxa"/>
            <w:tcBorders>
              <w:left w:val="single" w:color="000000" w:sz="4" w:space="0"/>
              <w:right w:val="nil"/>
            </w:tcBorders>
            <w:vAlign w:val="top"/>
          </w:tcPr>
          <w:p w14:paraId="2CA70869">
            <w:pPr>
              <w:spacing w:before="95" w:line="195" w:lineRule="auto"/>
              <w:ind w:left="250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0.0313440</w:t>
            </w:r>
            <w:r>
              <w:rPr>
                <w:rFonts w:ascii="Times New Roman" w:hAnsi="Times New Roman" w:eastAsia="Times New Roman" w:cs="Times New Roman"/>
                <w:spacing w:val="3"/>
                <w:sz w:val="20"/>
                <w:szCs w:val="20"/>
              </w:rPr>
              <w:t>2</w:t>
            </w:r>
          </w:p>
        </w:tc>
      </w:tr>
      <w:tr w14:paraId="65708E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4" w:type="dxa"/>
            <w:tcBorders>
              <w:left w:val="nil"/>
              <w:right w:val="single" w:color="000000" w:sz="4" w:space="0"/>
            </w:tcBorders>
            <w:vAlign w:val="top"/>
          </w:tcPr>
          <w:p w14:paraId="72BC9ABF">
            <w:pPr>
              <w:spacing w:before="94" w:line="195" w:lineRule="auto"/>
              <w:ind w:left="111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80</w:t>
            </w:r>
            <w:r>
              <w:rPr>
                <w:rFonts w:ascii="Times New Roman" w:hAnsi="Times New Roman" w:eastAsia="Times New Roman" w:cs="Times New Roman"/>
                <w:sz w:val="20"/>
                <w:szCs w:val="20"/>
              </w:rPr>
              <w:t>0</w:t>
            </w:r>
          </w:p>
        </w:tc>
        <w:tc>
          <w:tcPr>
            <w:tcW w:w="5998" w:type="dxa"/>
            <w:tcBorders>
              <w:left w:val="single" w:color="000000" w:sz="4" w:space="0"/>
              <w:right w:val="nil"/>
            </w:tcBorders>
            <w:vAlign w:val="top"/>
          </w:tcPr>
          <w:p w14:paraId="04A56F3A">
            <w:pPr>
              <w:spacing w:before="95" w:line="195" w:lineRule="auto"/>
              <w:ind w:left="250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0.0162555</w:t>
            </w:r>
            <w:r>
              <w:rPr>
                <w:rFonts w:ascii="Times New Roman" w:hAnsi="Times New Roman" w:eastAsia="Times New Roman" w:cs="Times New Roman"/>
                <w:spacing w:val="3"/>
                <w:sz w:val="20"/>
                <w:szCs w:val="20"/>
              </w:rPr>
              <w:t>9</w:t>
            </w:r>
          </w:p>
        </w:tc>
      </w:tr>
      <w:tr w14:paraId="56B14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524" w:type="dxa"/>
            <w:tcBorders>
              <w:left w:val="nil"/>
              <w:right w:val="single" w:color="000000" w:sz="4" w:space="0"/>
            </w:tcBorders>
            <w:vAlign w:val="top"/>
          </w:tcPr>
          <w:p w14:paraId="683929CD">
            <w:pPr>
              <w:spacing w:before="59" w:line="228" w:lineRule="auto"/>
              <w:ind w:left="480"/>
              <w:rPr>
                <w:rFonts w:ascii="宋体" w:hAnsi="宋体" w:eastAsia="宋体" w:cs="宋体"/>
                <w:sz w:val="20"/>
                <w:szCs w:val="20"/>
              </w:rPr>
            </w:pPr>
            <w:r>
              <w:rPr>
                <w:rFonts w:ascii="Times New Roman" w:hAnsi="Times New Roman" w:eastAsia="Times New Roman" w:cs="Times New Roman"/>
                <w:spacing w:val="8"/>
                <w:sz w:val="20"/>
                <w:szCs w:val="20"/>
              </w:rPr>
              <w:t>7</w:t>
            </w:r>
            <w:r>
              <w:rPr>
                <w:rFonts w:ascii="Times New Roman" w:hAnsi="Times New Roman" w:eastAsia="Times New Roman" w:cs="Times New Roman"/>
                <w:spacing w:val="5"/>
                <w:sz w:val="20"/>
                <w:szCs w:val="20"/>
              </w:rPr>
              <w:t xml:space="preserve">64  </w:t>
            </w:r>
            <w:r>
              <w:rPr>
                <w:rFonts w:ascii="宋体" w:hAnsi="宋体" w:eastAsia="宋体" w:cs="宋体"/>
                <w:spacing w:val="5"/>
                <w:sz w:val="20"/>
                <w:szCs w:val="20"/>
              </w:rPr>
              <w:t>(达标距离)</w:t>
            </w:r>
          </w:p>
        </w:tc>
        <w:tc>
          <w:tcPr>
            <w:tcW w:w="5998" w:type="dxa"/>
            <w:tcBorders>
              <w:left w:val="single" w:color="000000" w:sz="4" w:space="0"/>
              <w:right w:val="nil"/>
            </w:tcBorders>
            <w:vAlign w:val="top"/>
          </w:tcPr>
          <w:p w14:paraId="22C33D71">
            <w:pPr>
              <w:spacing w:before="95" w:line="195" w:lineRule="auto"/>
              <w:ind w:left="250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0.0490653</w:t>
            </w:r>
            <w:r>
              <w:rPr>
                <w:rFonts w:ascii="Times New Roman" w:hAnsi="Times New Roman" w:eastAsia="Times New Roman" w:cs="Times New Roman"/>
                <w:spacing w:val="3"/>
                <w:sz w:val="20"/>
                <w:szCs w:val="20"/>
              </w:rPr>
              <w:t>8</w:t>
            </w:r>
          </w:p>
        </w:tc>
      </w:tr>
    </w:tbl>
    <w:p w14:paraId="66804E32">
      <w:pPr>
        <w:rPr>
          <w:rFonts w:ascii="Arial"/>
          <w:sz w:val="21"/>
        </w:rPr>
      </w:pPr>
    </w:p>
    <w:p w14:paraId="4F28F51F">
      <w:pPr>
        <w:sectPr>
          <w:headerReference r:id="rId235" w:type="default"/>
          <w:footerReference r:id="rId236" w:type="default"/>
          <w:pgSz w:w="11906" w:h="16839"/>
          <w:pgMar w:top="1132" w:right="1691" w:bottom="1182" w:left="1691" w:header="878" w:footer="1022" w:gutter="0"/>
          <w:cols w:space="720" w:num="1"/>
        </w:sectPr>
      </w:pPr>
    </w:p>
    <w:p w14:paraId="4141EF1C">
      <w:pPr>
        <w:spacing w:line="424" w:lineRule="auto"/>
        <w:rPr>
          <w:rFonts w:ascii="Arial"/>
          <w:sz w:val="21"/>
        </w:rPr>
      </w:pPr>
      <w:r>
        <w:pict>
          <v:shape id="_x0000_s1281" o:spid="_x0000_s1281" style="position:absolute;left:0pt;margin-left:90pt;margin-top:57.35pt;height:0.75pt;width:415.3pt;mso-position-horizontal-relative:page;mso-position-vertical-relative:page;z-index:251934720;mso-width-relative:page;mso-height-relative:page;" fillcolor="#000000" filled="t" stroked="f" coordsize="8305,15" o:allowincell="f" path="m0,0l8305,0,8305,14,0,14,0,0xe">
            <v:path/>
            <v:fill on="t" focussize="0,0"/>
            <v:stroke on="f"/>
            <v:imagedata o:title=""/>
            <o:lock v:ext="edit"/>
          </v:shape>
        </w:pict>
      </w:r>
    </w:p>
    <w:p w14:paraId="4FFC283A">
      <w:pPr>
        <w:spacing w:line="5033" w:lineRule="exact"/>
        <w:textAlignment w:val="center"/>
      </w:pPr>
      <w:r>
        <w:drawing>
          <wp:inline distT="0" distB="0" distL="0" distR="0">
            <wp:extent cx="5269865" cy="3195320"/>
            <wp:effectExtent l="0" t="0" r="0" b="0"/>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r:embed="rId522"/>
                    <a:stretch>
                      <a:fillRect/>
                    </a:stretch>
                  </pic:blipFill>
                  <pic:spPr>
                    <a:xfrm>
                      <a:off x="0" y="0"/>
                      <a:ext cx="5269991" cy="3195828"/>
                    </a:xfrm>
                    <a:prstGeom prst="rect">
                      <a:avLst/>
                    </a:prstGeom>
                  </pic:spPr>
                </pic:pic>
              </a:graphicData>
            </a:graphic>
          </wp:inline>
        </w:drawing>
      </w:r>
    </w:p>
    <w:p w14:paraId="3CB51578">
      <w:pPr>
        <w:spacing w:before="126" w:line="332" w:lineRule="exact"/>
        <w:ind w:left="1350"/>
        <w:rPr>
          <w:rFonts w:ascii="宋体" w:hAnsi="宋体" w:eastAsia="宋体" w:cs="宋体"/>
          <w:sz w:val="23"/>
          <w:szCs w:val="23"/>
        </w:rPr>
      </w:pPr>
      <w:r>
        <w:rPr>
          <w:rFonts w:ascii="宋体" w:hAnsi="宋体" w:eastAsia="宋体" w:cs="宋体"/>
          <w:spacing w:val="6"/>
          <w:position w:val="2"/>
          <w:sz w:val="23"/>
          <w:szCs w:val="23"/>
          <w14:textOutline w14:w="4358" w14:cap="sq" w14:cmpd="sng">
            <w14:solidFill>
              <w14:srgbClr w14:val="000000"/>
            </w14:solidFill>
            <w14:prstDash w14:val="solid"/>
            <w14:bevel/>
          </w14:textOutline>
        </w:rPr>
        <w:t>图</w:t>
      </w:r>
      <w:r>
        <w:rPr>
          <w:rFonts w:ascii="宋体" w:hAnsi="宋体" w:eastAsia="宋体" w:cs="宋体"/>
          <w:spacing w:val="6"/>
          <w:position w:val="2"/>
          <w:sz w:val="23"/>
          <w:szCs w:val="23"/>
        </w:rPr>
        <w:t xml:space="preserve"> </w:t>
      </w:r>
      <w:r>
        <w:rPr>
          <w:rFonts w:ascii="Times New Roman" w:hAnsi="Times New Roman" w:eastAsia="Times New Roman" w:cs="Times New Roman"/>
          <w:b/>
          <w:bCs/>
          <w:spacing w:val="6"/>
          <w:position w:val="2"/>
          <w:sz w:val="23"/>
          <w:szCs w:val="23"/>
        </w:rPr>
        <w:t>5</w:t>
      </w:r>
      <w:r>
        <w:rPr>
          <w:rFonts w:ascii="Times New Roman" w:hAnsi="Times New Roman" w:eastAsia="Times New Roman" w:cs="Times New Roman"/>
          <w:b/>
          <w:bCs/>
          <w:spacing w:val="5"/>
          <w:position w:val="2"/>
          <w:sz w:val="23"/>
          <w:szCs w:val="23"/>
        </w:rPr>
        <w:t>-</w:t>
      </w:r>
      <w:r>
        <w:rPr>
          <w:rFonts w:ascii="Times New Roman" w:hAnsi="Times New Roman" w:eastAsia="Times New Roman" w:cs="Times New Roman"/>
          <w:b/>
          <w:bCs/>
          <w:spacing w:val="3"/>
          <w:position w:val="2"/>
          <w:sz w:val="23"/>
          <w:szCs w:val="23"/>
        </w:rPr>
        <w:t>5</w:t>
      </w:r>
      <w:r>
        <w:rPr>
          <w:rFonts w:ascii="Times New Roman" w:hAnsi="Times New Roman" w:eastAsia="Times New Roman" w:cs="Times New Roman"/>
          <w:spacing w:val="3"/>
          <w:position w:val="2"/>
          <w:sz w:val="23"/>
          <w:szCs w:val="23"/>
        </w:rPr>
        <w:t xml:space="preserve">          </w:t>
      </w:r>
      <w:r>
        <w:rPr>
          <w:rFonts w:ascii="宋体" w:hAnsi="宋体" w:eastAsia="宋体" w:cs="宋体"/>
          <w:spacing w:val="3"/>
          <w:position w:val="2"/>
          <w:sz w:val="23"/>
          <w:szCs w:val="23"/>
          <w14:textOutline w14:w="4358" w14:cap="sq" w14:cmpd="sng">
            <w14:solidFill>
              <w14:srgbClr w14:val="000000"/>
            </w14:solidFill>
            <w14:prstDash w14:val="solid"/>
            <w14:bevel/>
          </w14:textOutline>
        </w:rPr>
        <w:t>非正常状况氨氮污染物运移</w:t>
      </w:r>
      <w:r>
        <w:rPr>
          <w:rFonts w:ascii="宋体" w:hAnsi="宋体" w:eastAsia="宋体" w:cs="宋体"/>
          <w:spacing w:val="3"/>
          <w:position w:val="2"/>
          <w:sz w:val="23"/>
          <w:szCs w:val="23"/>
        </w:rPr>
        <w:t xml:space="preserve"> </w:t>
      </w:r>
      <w:r>
        <w:rPr>
          <w:rFonts w:ascii="Times New Roman" w:hAnsi="Times New Roman" w:eastAsia="Times New Roman" w:cs="Times New Roman"/>
          <w:b/>
          <w:bCs/>
          <w:spacing w:val="3"/>
          <w:position w:val="2"/>
          <w:sz w:val="23"/>
          <w:szCs w:val="23"/>
        </w:rPr>
        <w:t>1000</w:t>
      </w:r>
      <w:r>
        <w:rPr>
          <w:rFonts w:ascii="Times New Roman" w:hAnsi="Times New Roman" w:eastAsia="Times New Roman" w:cs="Times New Roman"/>
          <w:b/>
          <w:bCs/>
          <w:position w:val="2"/>
          <w:sz w:val="23"/>
          <w:szCs w:val="23"/>
        </w:rPr>
        <w:t>d</w:t>
      </w:r>
      <w:r>
        <w:rPr>
          <w:rFonts w:ascii="Times New Roman" w:hAnsi="Times New Roman" w:eastAsia="Times New Roman" w:cs="Times New Roman"/>
          <w:spacing w:val="3"/>
          <w:position w:val="2"/>
          <w:sz w:val="23"/>
          <w:szCs w:val="23"/>
        </w:rPr>
        <w:t xml:space="preserve"> </w:t>
      </w:r>
      <w:r>
        <w:rPr>
          <w:rFonts w:ascii="宋体" w:hAnsi="宋体" w:eastAsia="宋体" w:cs="宋体"/>
          <w:spacing w:val="3"/>
          <w:position w:val="2"/>
          <w:sz w:val="23"/>
          <w:szCs w:val="23"/>
          <w14:textOutline w14:w="4358" w14:cap="sq" w14:cmpd="sng">
            <w14:solidFill>
              <w14:srgbClr w14:val="000000"/>
            </w14:solidFill>
            <w14:prstDash w14:val="solid"/>
            <w14:bevel/>
          </w14:textOutline>
        </w:rPr>
        <w:t>随距离变化图</w:t>
      </w:r>
    </w:p>
    <w:p w14:paraId="5D36720B">
      <w:pPr>
        <w:spacing w:line="277" w:lineRule="auto"/>
        <w:rPr>
          <w:rFonts w:ascii="Arial"/>
          <w:sz w:val="21"/>
        </w:rPr>
      </w:pPr>
    </w:p>
    <w:p w14:paraId="7787B439">
      <w:pPr>
        <w:spacing w:before="74" w:line="380" w:lineRule="auto"/>
        <w:ind w:left="309" w:firstLine="480"/>
        <w:rPr>
          <w:rFonts w:ascii="宋体" w:hAnsi="宋体" w:eastAsia="宋体" w:cs="宋体"/>
          <w:sz w:val="23"/>
          <w:szCs w:val="23"/>
        </w:rPr>
      </w:pPr>
      <w:r>
        <w:rPr>
          <w:rFonts w:ascii="宋体" w:hAnsi="宋体" w:eastAsia="宋体" w:cs="宋体"/>
          <w:spacing w:val="7"/>
          <w:sz w:val="23"/>
          <w:szCs w:val="23"/>
        </w:rPr>
        <w:t>氨氮迁移方向在不进行防渗的情况下，各污染物在水动力条件作用下主要</w:t>
      </w:r>
      <w:r>
        <w:rPr>
          <w:rFonts w:ascii="宋体" w:hAnsi="宋体" w:eastAsia="宋体" w:cs="宋体"/>
          <w:spacing w:val="3"/>
          <w:sz w:val="23"/>
          <w:szCs w:val="23"/>
        </w:rPr>
        <w:t>由</w:t>
      </w:r>
      <w:r>
        <w:rPr>
          <w:rFonts w:ascii="宋体" w:hAnsi="宋体" w:eastAsia="宋体" w:cs="宋体"/>
          <w:sz w:val="23"/>
          <w:szCs w:val="23"/>
        </w:rPr>
        <w:t xml:space="preserve"> </w:t>
      </w:r>
      <w:r>
        <w:rPr>
          <w:rFonts w:ascii="宋体" w:hAnsi="宋体" w:eastAsia="宋体" w:cs="宋体"/>
          <w:spacing w:val="9"/>
          <w:sz w:val="23"/>
          <w:szCs w:val="23"/>
        </w:rPr>
        <w:t>北</w:t>
      </w:r>
      <w:r>
        <w:rPr>
          <w:rFonts w:ascii="宋体" w:hAnsi="宋体" w:eastAsia="宋体" w:cs="宋体"/>
          <w:spacing w:val="7"/>
          <w:sz w:val="23"/>
          <w:szCs w:val="23"/>
        </w:rPr>
        <w:t>向南方向运移，随时间的增加和运移的距离增加，含水层氨氮浓度变化呈受逐</w:t>
      </w:r>
      <w:r>
        <w:rPr>
          <w:rFonts w:ascii="宋体" w:hAnsi="宋体" w:eastAsia="宋体" w:cs="宋体"/>
          <w:sz w:val="23"/>
          <w:szCs w:val="23"/>
        </w:rPr>
        <w:t xml:space="preserve"> </w:t>
      </w:r>
      <w:r>
        <w:rPr>
          <w:rFonts w:ascii="宋体" w:hAnsi="宋体" w:eastAsia="宋体" w:cs="宋体"/>
          <w:spacing w:val="8"/>
          <w:sz w:val="23"/>
          <w:szCs w:val="23"/>
        </w:rPr>
        <w:t xml:space="preserve">渐下降的趋势。在运移 </w:t>
      </w:r>
      <w:r>
        <w:rPr>
          <w:rFonts w:ascii="Times New Roman" w:hAnsi="Times New Roman" w:eastAsia="Times New Roman" w:cs="Times New Roman"/>
          <w:spacing w:val="8"/>
          <w:sz w:val="23"/>
          <w:szCs w:val="23"/>
        </w:rPr>
        <w:t>100</w:t>
      </w:r>
      <w:r>
        <w:rPr>
          <w:rFonts w:ascii="Times New Roman" w:hAnsi="Times New Roman" w:eastAsia="Times New Roman" w:cs="Times New Roman"/>
          <w:sz w:val="23"/>
          <w:szCs w:val="23"/>
        </w:rPr>
        <w:t>d</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 xml:space="preserve">时，距离污染源 </w:t>
      </w:r>
      <w:r>
        <w:rPr>
          <w:rFonts w:ascii="Times New Roman" w:hAnsi="Times New Roman" w:eastAsia="Times New Roman" w:cs="Times New Roman"/>
          <w:spacing w:val="8"/>
          <w:sz w:val="23"/>
          <w:szCs w:val="23"/>
        </w:rPr>
        <w:t>155</w:t>
      </w:r>
      <w:r>
        <w:rPr>
          <w:rFonts w:ascii="Times New Roman" w:hAnsi="Times New Roman" w:eastAsia="Times New Roman" w:cs="Times New Roman"/>
          <w:sz w:val="23"/>
          <w:szCs w:val="23"/>
        </w:rPr>
        <w:t>m</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地下水氨氮浓度满足</w:t>
      </w:r>
      <w:r>
        <w:rPr>
          <w:rFonts w:ascii="Times New Roman" w:hAnsi="Times New Roman" w:eastAsia="Times New Roman" w:cs="Times New Roman"/>
          <w:spacing w:val="8"/>
          <w:sz w:val="23"/>
          <w:szCs w:val="23"/>
        </w:rPr>
        <w:t>Ⅲ</w:t>
      </w:r>
      <w:r>
        <w:rPr>
          <w:rFonts w:ascii="宋体" w:hAnsi="宋体" w:eastAsia="宋体" w:cs="宋体"/>
          <w:spacing w:val="8"/>
          <w:sz w:val="23"/>
          <w:szCs w:val="23"/>
        </w:rPr>
        <w:t>类</w:t>
      </w:r>
      <w:r>
        <w:rPr>
          <w:rFonts w:ascii="宋体" w:hAnsi="宋体" w:eastAsia="宋体" w:cs="宋体"/>
          <w:spacing w:val="3"/>
          <w:sz w:val="23"/>
          <w:szCs w:val="23"/>
        </w:rPr>
        <w:t>水</w:t>
      </w:r>
      <w:r>
        <w:rPr>
          <w:rFonts w:ascii="宋体" w:hAnsi="宋体" w:eastAsia="宋体" w:cs="宋体"/>
          <w:sz w:val="23"/>
          <w:szCs w:val="23"/>
        </w:rPr>
        <w:t xml:space="preserve"> </w:t>
      </w:r>
      <w:r>
        <w:rPr>
          <w:rFonts w:ascii="宋体" w:hAnsi="宋体" w:eastAsia="宋体" w:cs="宋体"/>
          <w:spacing w:val="12"/>
          <w:sz w:val="23"/>
          <w:szCs w:val="23"/>
        </w:rPr>
        <w:t>标准</w:t>
      </w:r>
      <w:r>
        <w:rPr>
          <w:rFonts w:ascii="宋体" w:hAnsi="宋体" w:eastAsia="宋体" w:cs="宋体"/>
          <w:spacing w:val="9"/>
          <w:sz w:val="23"/>
          <w:szCs w:val="23"/>
        </w:rPr>
        <w:t>的</w:t>
      </w:r>
      <w:r>
        <w:rPr>
          <w:rFonts w:ascii="宋体" w:hAnsi="宋体" w:eastAsia="宋体" w:cs="宋体"/>
          <w:spacing w:val="6"/>
          <w:sz w:val="23"/>
          <w:szCs w:val="23"/>
        </w:rPr>
        <w:t xml:space="preserve">规定；在运移 </w:t>
      </w:r>
      <w:r>
        <w:rPr>
          <w:rFonts w:ascii="Times New Roman" w:hAnsi="Times New Roman" w:eastAsia="Times New Roman" w:cs="Times New Roman"/>
          <w:spacing w:val="6"/>
          <w:sz w:val="23"/>
          <w:szCs w:val="23"/>
        </w:rPr>
        <w:t>1000</w:t>
      </w:r>
      <w:r>
        <w:rPr>
          <w:rFonts w:ascii="Times New Roman" w:hAnsi="Times New Roman" w:eastAsia="Times New Roman" w:cs="Times New Roman"/>
          <w:sz w:val="23"/>
          <w:szCs w:val="23"/>
        </w:rPr>
        <w:t>d</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 xml:space="preserve">时，距离污染源 </w:t>
      </w:r>
      <w:r>
        <w:rPr>
          <w:rFonts w:ascii="Times New Roman" w:hAnsi="Times New Roman" w:eastAsia="Times New Roman" w:cs="Times New Roman"/>
          <w:spacing w:val="6"/>
          <w:sz w:val="23"/>
          <w:szCs w:val="23"/>
        </w:rPr>
        <w:t>764</w:t>
      </w:r>
      <w:r>
        <w:rPr>
          <w:rFonts w:ascii="Times New Roman" w:hAnsi="Times New Roman" w:eastAsia="Times New Roman" w:cs="Times New Roman"/>
          <w:sz w:val="23"/>
          <w:szCs w:val="23"/>
        </w:rPr>
        <w:t>m</w:t>
      </w:r>
      <w:r>
        <w:rPr>
          <w:rFonts w:ascii="宋体" w:hAnsi="宋体" w:eastAsia="宋体" w:cs="宋体"/>
          <w:spacing w:val="6"/>
          <w:sz w:val="23"/>
          <w:szCs w:val="23"/>
        </w:rPr>
        <w:t>地下水氨氮浓度满足</w:t>
      </w:r>
      <w:r>
        <w:rPr>
          <w:rFonts w:ascii="Times New Roman" w:hAnsi="Times New Roman" w:eastAsia="Times New Roman" w:cs="Times New Roman"/>
          <w:spacing w:val="6"/>
          <w:sz w:val="23"/>
          <w:szCs w:val="23"/>
        </w:rPr>
        <w:t>Ⅲ</w:t>
      </w:r>
      <w:r>
        <w:rPr>
          <w:rFonts w:ascii="宋体" w:hAnsi="宋体" w:eastAsia="宋体" w:cs="宋体"/>
          <w:spacing w:val="6"/>
          <w:sz w:val="23"/>
          <w:szCs w:val="23"/>
        </w:rPr>
        <w:t>类水标</w:t>
      </w:r>
      <w:r>
        <w:rPr>
          <w:rFonts w:ascii="宋体" w:hAnsi="宋体" w:eastAsia="宋体" w:cs="宋体"/>
          <w:sz w:val="23"/>
          <w:szCs w:val="23"/>
        </w:rPr>
        <w:t xml:space="preserve"> </w:t>
      </w:r>
      <w:r>
        <w:rPr>
          <w:rFonts w:ascii="宋体" w:hAnsi="宋体" w:eastAsia="宋体" w:cs="宋体"/>
          <w:spacing w:val="4"/>
          <w:sz w:val="23"/>
          <w:szCs w:val="23"/>
        </w:rPr>
        <w:t>准的规</w:t>
      </w:r>
      <w:r>
        <w:rPr>
          <w:rFonts w:ascii="宋体" w:hAnsi="宋体" w:eastAsia="宋体" w:cs="宋体"/>
          <w:spacing w:val="2"/>
          <w:sz w:val="23"/>
          <w:szCs w:val="23"/>
        </w:rPr>
        <w:t>定。评价范围内地下水下游方向无集中式饮用水水源地，但有分散式水井，</w:t>
      </w:r>
      <w:r>
        <w:rPr>
          <w:rFonts w:ascii="宋体" w:hAnsi="宋体" w:eastAsia="宋体" w:cs="宋体"/>
          <w:sz w:val="23"/>
          <w:szCs w:val="23"/>
        </w:rPr>
        <w:t xml:space="preserve"> </w:t>
      </w:r>
      <w:r>
        <w:rPr>
          <w:rFonts w:ascii="宋体" w:hAnsi="宋体" w:eastAsia="宋体" w:cs="宋体"/>
          <w:spacing w:val="8"/>
          <w:sz w:val="23"/>
          <w:szCs w:val="23"/>
        </w:rPr>
        <w:t>应杜绝事故排放发生。</w:t>
      </w:r>
    </w:p>
    <w:p w14:paraId="4C4154DB">
      <w:pPr>
        <w:spacing w:line="4593" w:lineRule="exact"/>
        <w:ind w:firstLine="300"/>
        <w:textAlignment w:val="center"/>
      </w:pPr>
      <w:r>
        <w:drawing>
          <wp:inline distT="0" distB="0" distL="0" distR="0">
            <wp:extent cx="4822825" cy="2916555"/>
            <wp:effectExtent l="0" t="0" r="0" b="0"/>
            <wp:docPr id="133" name="IM 133"/>
            <wp:cNvGraphicFramePr/>
            <a:graphic xmlns:a="http://schemas.openxmlformats.org/drawingml/2006/main">
              <a:graphicData uri="http://schemas.openxmlformats.org/drawingml/2006/picture">
                <pic:pic xmlns:pic="http://schemas.openxmlformats.org/drawingml/2006/picture">
                  <pic:nvPicPr>
                    <pic:cNvPr id="133" name="IM 133"/>
                    <pic:cNvPicPr/>
                  </pic:nvPicPr>
                  <pic:blipFill>
                    <a:blip r:embed="rId523"/>
                    <a:stretch>
                      <a:fillRect/>
                    </a:stretch>
                  </pic:blipFill>
                  <pic:spPr>
                    <a:xfrm>
                      <a:off x="0" y="0"/>
                      <a:ext cx="4823459" cy="2916935"/>
                    </a:xfrm>
                    <a:prstGeom prst="rect">
                      <a:avLst/>
                    </a:prstGeom>
                  </pic:spPr>
                </pic:pic>
              </a:graphicData>
            </a:graphic>
          </wp:inline>
        </w:drawing>
      </w:r>
    </w:p>
    <w:p w14:paraId="0E8C0093">
      <w:pPr>
        <w:spacing w:before="70" w:line="227" w:lineRule="auto"/>
        <w:ind w:left="935"/>
        <w:rPr>
          <w:rFonts w:ascii="宋体" w:hAnsi="宋体" w:eastAsia="宋体" w:cs="宋体"/>
          <w:sz w:val="23"/>
          <w:szCs w:val="23"/>
        </w:rPr>
      </w:pPr>
      <w:r>
        <w:rPr>
          <w:rFonts w:ascii="宋体" w:hAnsi="宋体" w:eastAsia="宋体" w:cs="宋体"/>
          <w:spacing w:val="6"/>
          <w:sz w:val="23"/>
          <w:szCs w:val="23"/>
          <w14:textOutline w14:w="4358" w14:cap="sq" w14:cmpd="sng">
            <w14:solidFill>
              <w14:srgbClr w14:val="000000"/>
            </w14:solidFill>
            <w14:prstDash w14:val="solid"/>
            <w14:bevel/>
          </w14:textOutline>
        </w:rPr>
        <w:t>图</w:t>
      </w:r>
      <w:r>
        <w:rPr>
          <w:rFonts w:ascii="宋体" w:hAnsi="宋体" w:eastAsia="宋体" w:cs="宋体"/>
          <w:spacing w:val="6"/>
          <w:sz w:val="23"/>
          <w:szCs w:val="23"/>
        </w:rPr>
        <w:t xml:space="preserve"> </w:t>
      </w:r>
      <w:r>
        <w:rPr>
          <w:rFonts w:ascii="Times New Roman" w:hAnsi="Times New Roman" w:eastAsia="Times New Roman" w:cs="Times New Roman"/>
          <w:b/>
          <w:bCs/>
          <w:spacing w:val="6"/>
          <w:sz w:val="23"/>
          <w:szCs w:val="23"/>
        </w:rPr>
        <w:t>5-6</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14:textOutline w14:w="4358" w14:cap="sq" w14:cmpd="sng">
            <w14:solidFill>
              <w14:srgbClr w14:val="000000"/>
            </w14:solidFill>
            <w14:prstDash w14:val="solid"/>
            <w14:bevel/>
          </w14:textOutline>
        </w:rPr>
        <w:t>拟设置监测井处非正常状况氨氮污染物运移随时间变化图</w:t>
      </w:r>
    </w:p>
    <w:p w14:paraId="47CEED30">
      <w:pPr>
        <w:sectPr>
          <w:headerReference r:id="rId237" w:type="default"/>
          <w:footerReference r:id="rId238" w:type="default"/>
          <w:pgSz w:w="11906" w:h="16839"/>
          <w:pgMar w:top="1132" w:right="1738" w:bottom="1182" w:left="1500" w:header="878" w:footer="1022" w:gutter="0"/>
          <w:cols w:space="720" w:num="1"/>
        </w:sectPr>
      </w:pPr>
    </w:p>
    <w:p w14:paraId="27FE9046">
      <w:pPr>
        <w:spacing w:line="407" w:lineRule="auto"/>
        <w:rPr>
          <w:rFonts w:ascii="Arial"/>
          <w:sz w:val="21"/>
        </w:rPr>
      </w:pPr>
      <w:r>
        <w:pict>
          <v:shape id="_x0000_s1282" o:spid="_x0000_s1282" style="position:absolute;left:0pt;margin-left:90pt;margin-top:57.35pt;height:0.75pt;width:415.3pt;mso-position-horizontal-relative:page;mso-position-vertical-relative:page;z-index:251935744;mso-width-relative:page;mso-height-relative:page;" fillcolor="#000000" filled="t" stroked="f" coordsize="8305,15" o:allowincell="f" path="m0,0l8305,0,8305,14,0,14,0,0xe">
            <v:path/>
            <v:fill on="t" focussize="0,0"/>
            <v:stroke on="f"/>
            <v:imagedata o:title=""/>
            <o:lock v:ext="edit"/>
          </v:shape>
        </w:pict>
      </w:r>
    </w:p>
    <w:p w14:paraId="0F0B9EBF">
      <w:pPr>
        <w:spacing w:before="75" w:line="386" w:lineRule="auto"/>
        <w:ind w:left="116" w:right="46" w:firstLine="481"/>
        <w:rPr>
          <w:rFonts w:ascii="宋体" w:hAnsi="宋体" w:eastAsia="宋体" w:cs="宋体"/>
          <w:sz w:val="23"/>
          <w:szCs w:val="23"/>
        </w:rPr>
      </w:pPr>
      <w:r>
        <w:rPr>
          <w:rFonts w:ascii="宋体" w:hAnsi="宋体" w:eastAsia="宋体" w:cs="宋体"/>
          <w:spacing w:val="5"/>
          <w:sz w:val="23"/>
          <w:szCs w:val="23"/>
        </w:rPr>
        <w:t xml:space="preserve">本项目在厂区西北侧、东南侧各设置 </w:t>
      </w:r>
      <w:r>
        <w:rPr>
          <w:rFonts w:ascii="Times New Roman" w:hAnsi="Times New Roman" w:eastAsia="Times New Roman" w:cs="Times New Roman"/>
          <w:spacing w:val="5"/>
          <w:sz w:val="23"/>
          <w:szCs w:val="23"/>
        </w:rPr>
        <w:t xml:space="preserve">1 </w:t>
      </w:r>
      <w:r>
        <w:rPr>
          <w:rFonts w:ascii="宋体" w:hAnsi="宋体" w:eastAsia="宋体" w:cs="宋体"/>
          <w:spacing w:val="5"/>
          <w:sz w:val="23"/>
          <w:szCs w:val="23"/>
        </w:rPr>
        <w:t>个地下水观测井，即在上游、下</w:t>
      </w:r>
      <w:r>
        <w:rPr>
          <w:rFonts w:ascii="宋体" w:hAnsi="宋体" w:eastAsia="宋体" w:cs="宋体"/>
          <w:spacing w:val="3"/>
          <w:sz w:val="23"/>
          <w:szCs w:val="23"/>
        </w:rPr>
        <w:t>游</w:t>
      </w:r>
      <w:r>
        <w:rPr>
          <w:rFonts w:ascii="宋体" w:hAnsi="宋体" w:eastAsia="宋体" w:cs="宋体"/>
          <w:sz w:val="23"/>
          <w:szCs w:val="23"/>
        </w:rPr>
        <w:t xml:space="preserve">各 </w:t>
      </w:r>
      <w:r>
        <w:rPr>
          <w:rFonts w:ascii="宋体" w:hAnsi="宋体" w:eastAsia="宋体" w:cs="宋体"/>
          <w:spacing w:val="10"/>
          <w:sz w:val="23"/>
          <w:szCs w:val="23"/>
        </w:rPr>
        <w:t>设</w:t>
      </w:r>
      <w:r>
        <w:rPr>
          <w:rFonts w:ascii="宋体" w:hAnsi="宋体" w:eastAsia="宋体" w:cs="宋体"/>
          <w:spacing w:val="5"/>
          <w:sz w:val="23"/>
          <w:szCs w:val="23"/>
        </w:rPr>
        <w:t xml:space="preserve">置 </w:t>
      </w:r>
      <w:r>
        <w:rPr>
          <w:rFonts w:ascii="Times New Roman" w:hAnsi="Times New Roman" w:eastAsia="Times New Roman" w:cs="Times New Roman"/>
          <w:spacing w:val="5"/>
          <w:sz w:val="23"/>
          <w:szCs w:val="23"/>
        </w:rPr>
        <w:t xml:space="preserve">1 </w:t>
      </w:r>
      <w:r>
        <w:rPr>
          <w:rFonts w:ascii="宋体" w:hAnsi="宋体" w:eastAsia="宋体" w:cs="宋体"/>
          <w:spacing w:val="5"/>
          <w:sz w:val="23"/>
          <w:szCs w:val="23"/>
        </w:rPr>
        <w:t>个地下水观测井，作为地下水环境影响跟踪监测点，西北侧、东南侧观测</w:t>
      </w:r>
      <w:r>
        <w:rPr>
          <w:rFonts w:ascii="宋体" w:hAnsi="宋体" w:eastAsia="宋体" w:cs="宋体"/>
          <w:sz w:val="23"/>
          <w:szCs w:val="23"/>
        </w:rPr>
        <w:t xml:space="preserve"> </w:t>
      </w:r>
      <w:r>
        <w:rPr>
          <w:rFonts w:ascii="宋体" w:hAnsi="宋体" w:eastAsia="宋体" w:cs="宋体"/>
          <w:spacing w:val="2"/>
          <w:sz w:val="23"/>
          <w:szCs w:val="23"/>
        </w:rPr>
        <w:t xml:space="preserve">井距离本项目均约 </w:t>
      </w:r>
      <w:r>
        <w:rPr>
          <w:rFonts w:ascii="Times New Roman" w:hAnsi="Times New Roman" w:eastAsia="Times New Roman" w:cs="Times New Roman"/>
          <w:spacing w:val="2"/>
          <w:sz w:val="23"/>
          <w:szCs w:val="23"/>
        </w:rPr>
        <w:t>50</w:t>
      </w:r>
      <w:r>
        <w:rPr>
          <w:rFonts w:ascii="Times New Roman" w:hAnsi="Times New Roman" w:eastAsia="Times New Roman" w:cs="Times New Roman"/>
          <w:sz w:val="23"/>
          <w:szCs w:val="23"/>
        </w:rPr>
        <w:t>m</w:t>
      </w:r>
      <w:r>
        <w:rPr>
          <w:rFonts w:ascii="宋体" w:hAnsi="宋体" w:eastAsia="宋体" w:cs="宋体"/>
          <w:spacing w:val="2"/>
          <w:sz w:val="23"/>
          <w:szCs w:val="23"/>
        </w:rPr>
        <w:t xml:space="preserve">。污染源下游 </w:t>
      </w:r>
      <w:r>
        <w:rPr>
          <w:rFonts w:ascii="Times New Roman" w:hAnsi="Times New Roman" w:eastAsia="Times New Roman" w:cs="Times New Roman"/>
          <w:spacing w:val="2"/>
          <w:sz w:val="23"/>
          <w:szCs w:val="23"/>
        </w:rPr>
        <w:t xml:space="preserve">50 </w:t>
      </w:r>
      <w:r>
        <w:rPr>
          <w:rFonts w:ascii="宋体" w:hAnsi="宋体" w:eastAsia="宋体" w:cs="宋体"/>
          <w:spacing w:val="2"/>
          <w:sz w:val="23"/>
          <w:szCs w:val="23"/>
        </w:rPr>
        <w:t xml:space="preserve">米处在 </w:t>
      </w:r>
      <w:r>
        <w:rPr>
          <w:rFonts w:ascii="Times New Roman" w:hAnsi="Times New Roman" w:eastAsia="Times New Roman" w:cs="Times New Roman"/>
          <w:spacing w:val="2"/>
          <w:sz w:val="23"/>
          <w:szCs w:val="23"/>
        </w:rPr>
        <w:t xml:space="preserve">14 </w:t>
      </w:r>
      <w:r>
        <w:rPr>
          <w:rFonts w:ascii="宋体" w:hAnsi="宋体" w:eastAsia="宋体" w:cs="宋体"/>
          <w:spacing w:val="1"/>
          <w:sz w:val="23"/>
          <w:szCs w:val="23"/>
        </w:rPr>
        <w:t>天时本项目氨氮污染物贡献浓</w:t>
      </w:r>
      <w:r>
        <w:rPr>
          <w:rFonts w:ascii="宋体" w:hAnsi="宋体" w:eastAsia="宋体" w:cs="宋体"/>
          <w:sz w:val="23"/>
          <w:szCs w:val="23"/>
        </w:rPr>
        <w:t xml:space="preserve"> </w:t>
      </w:r>
      <w:r>
        <w:rPr>
          <w:rFonts w:ascii="宋体" w:hAnsi="宋体" w:eastAsia="宋体" w:cs="宋体"/>
          <w:spacing w:val="10"/>
          <w:sz w:val="23"/>
          <w:szCs w:val="23"/>
        </w:rPr>
        <w:t>度</w:t>
      </w:r>
      <w:r>
        <w:rPr>
          <w:rFonts w:ascii="宋体" w:hAnsi="宋体" w:eastAsia="宋体" w:cs="宋体"/>
          <w:spacing w:val="9"/>
          <w:sz w:val="23"/>
          <w:szCs w:val="23"/>
        </w:rPr>
        <w:t>达</w:t>
      </w:r>
      <w:r>
        <w:rPr>
          <w:rFonts w:ascii="宋体" w:hAnsi="宋体" w:eastAsia="宋体" w:cs="宋体"/>
          <w:spacing w:val="5"/>
          <w:sz w:val="23"/>
          <w:szCs w:val="23"/>
        </w:rPr>
        <w:t xml:space="preserve">到 </w:t>
      </w:r>
      <w:r>
        <w:rPr>
          <w:rFonts w:ascii="Times New Roman" w:hAnsi="Times New Roman" w:eastAsia="Times New Roman" w:cs="Times New Roman"/>
          <w:spacing w:val="5"/>
          <w:sz w:val="23"/>
          <w:szCs w:val="23"/>
        </w:rPr>
        <w:t>0.698</w:t>
      </w:r>
      <w:r>
        <w:rPr>
          <w:rFonts w:ascii="Times New Roman" w:hAnsi="Times New Roman" w:eastAsia="Times New Roman" w:cs="Times New Roman"/>
          <w:sz w:val="23"/>
          <w:szCs w:val="23"/>
        </w:rPr>
        <w:t>mg</w:t>
      </w:r>
      <w:r>
        <w:rPr>
          <w:rFonts w:ascii="Times New Roman" w:hAnsi="Times New Roman" w:eastAsia="Times New Roman" w:cs="Times New Roman"/>
          <w:spacing w:val="5"/>
          <w:sz w:val="23"/>
          <w:szCs w:val="23"/>
        </w:rPr>
        <w:t>/</w:t>
      </w:r>
      <w:r>
        <w:rPr>
          <w:rFonts w:ascii="Times New Roman" w:hAnsi="Times New Roman" w:eastAsia="Times New Roman" w:cs="Times New Roman"/>
          <w:sz w:val="23"/>
          <w:szCs w:val="23"/>
        </w:rPr>
        <w:t>L</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rPr>
        <w:t xml:space="preserve">，出现超标浓度，对该处地下水产生影响； 因此检测频率 </w:t>
      </w:r>
      <w:r>
        <w:rPr>
          <w:rFonts w:ascii="Times New Roman" w:hAnsi="Times New Roman" w:eastAsia="Times New Roman" w:cs="Times New Roman"/>
          <w:spacing w:val="5"/>
          <w:sz w:val="23"/>
          <w:szCs w:val="23"/>
        </w:rPr>
        <w:t>14</w:t>
      </w:r>
      <w:r>
        <w:rPr>
          <w:rFonts w:ascii="Times New Roman" w:hAnsi="Times New Roman" w:eastAsia="Times New Roman" w:cs="Times New Roman"/>
          <w:sz w:val="23"/>
          <w:szCs w:val="23"/>
        </w:rPr>
        <w:t xml:space="preserve"> </w:t>
      </w:r>
      <w:r>
        <w:rPr>
          <w:rFonts w:ascii="宋体" w:hAnsi="宋体" w:eastAsia="宋体" w:cs="宋体"/>
          <w:spacing w:val="1"/>
          <w:sz w:val="23"/>
          <w:szCs w:val="23"/>
        </w:rPr>
        <w:t>天一次为宜，由于设定采取的渗漏检测发现及修</w:t>
      </w:r>
      <w:r>
        <w:rPr>
          <w:rFonts w:ascii="宋体" w:hAnsi="宋体" w:eastAsia="宋体" w:cs="宋体"/>
          <w:sz w:val="23"/>
          <w:szCs w:val="23"/>
        </w:rPr>
        <w:t xml:space="preserve">复非正常工况时间为 </w:t>
      </w:r>
      <w:r>
        <w:rPr>
          <w:rFonts w:ascii="Times New Roman" w:hAnsi="Times New Roman" w:eastAsia="Times New Roman" w:cs="Times New Roman"/>
          <w:sz w:val="23"/>
          <w:szCs w:val="23"/>
        </w:rPr>
        <w:t xml:space="preserve">7 </w:t>
      </w:r>
      <w:r>
        <w:rPr>
          <w:rFonts w:ascii="宋体" w:hAnsi="宋体" w:eastAsia="宋体" w:cs="宋体"/>
          <w:sz w:val="23"/>
          <w:szCs w:val="23"/>
        </w:rPr>
        <w:t xml:space="preserve">天，因此， </w:t>
      </w:r>
      <w:r>
        <w:rPr>
          <w:rFonts w:ascii="宋体" w:hAnsi="宋体" w:eastAsia="宋体" w:cs="宋体"/>
          <w:spacing w:val="17"/>
          <w:sz w:val="23"/>
          <w:szCs w:val="23"/>
        </w:rPr>
        <w:t>在</w:t>
      </w:r>
      <w:r>
        <w:rPr>
          <w:rFonts w:ascii="宋体" w:hAnsi="宋体" w:eastAsia="宋体" w:cs="宋体"/>
          <w:spacing w:val="9"/>
          <w:sz w:val="23"/>
          <w:szCs w:val="23"/>
        </w:rPr>
        <w:t>此期间做好监测监管，本项目的地下水环境风险可以接受。</w:t>
      </w:r>
    </w:p>
    <w:p w14:paraId="3AD3C31B">
      <w:pPr>
        <w:spacing w:before="100" w:line="226" w:lineRule="auto"/>
        <w:ind w:left="118"/>
        <w:outlineLvl w:val="2"/>
        <w:rPr>
          <w:rFonts w:ascii="宋体" w:hAnsi="宋体" w:eastAsia="宋体" w:cs="宋体"/>
          <w:sz w:val="29"/>
          <w:szCs w:val="29"/>
        </w:rPr>
      </w:pPr>
      <w:r>
        <w:rPr>
          <w:rFonts w:ascii="Times New Roman" w:hAnsi="Times New Roman" w:eastAsia="Times New Roman" w:cs="Times New Roman"/>
          <w:b/>
          <w:bCs/>
          <w:spacing w:val="8"/>
          <w:sz w:val="29"/>
          <w:szCs w:val="29"/>
        </w:rPr>
        <w:t>5</w:t>
      </w:r>
      <w:r>
        <w:rPr>
          <w:rFonts w:ascii="Times New Roman" w:hAnsi="Times New Roman" w:eastAsia="Times New Roman" w:cs="Times New Roman"/>
          <w:b/>
          <w:bCs/>
          <w:spacing w:val="7"/>
          <w:sz w:val="29"/>
          <w:szCs w:val="29"/>
        </w:rPr>
        <w:t>.2.4</w:t>
      </w:r>
      <w:r>
        <w:rPr>
          <w:rFonts w:ascii="Times New Roman" w:hAnsi="Times New Roman" w:eastAsia="Times New Roman" w:cs="Times New Roman"/>
          <w:spacing w:val="7"/>
          <w:sz w:val="29"/>
          <w:szCs w:val="29"/>
        </w:rPr>
        <w:t xml:space="preserve">  </w:t>
      </w:r>
      <w:r>
        <w:rPr>
          <w:rFonts w:ascii="宋体" w:hAnsi="宋体" w:eastAsia="宋体" w:cs="宋体"/>
          <w:spacing w:val="7"/>
          <w:sz w:val="29"/>
          <w:szCs w:val="29"/>
          <w14:textOutline w14:w="5448" w14:cap="sq" w14:cmpd="sng">
            <w14:solidFill>
              <w14:srgbClr w14:val="000000"/>
            </w14:solidFill>
            <w14:prstDash w14:val="solid"/>
            <w14:bevel/>
          </w14:textOutline>
        </w:rPr>
        <w:t>运营期噪声影响预测</w:t>
      </w:r>
    </w:p>
    <w:p w14:paraId="045D0DC6">
      <w:pPr>
        <w:spacing w:line="255" w:lineRule="auto"/>
        <w:rPr>
          <w:rFonts w:ascii="Arial"/>
          <w:sz w:val="21"/>
        </w:rPr>
      </w:pPr>
    </w:p>
    <w:p w14:paraId="1AC3BECB">
      <w:pPr>
        <w:spacing w:before="75" w:line="228" w:lineRule="auto"/>
        <w:ind w:left="632"/>
        <w:rPr>
          <w:rFonts w:ascii="宋体" w:hAnsi="宋体" w:eastAsia="宋体" w:cs="宋体"/>
          <w:sz w:val="23"/>
          <w:szCs w:val="23"/>
        </w:rPr>
      </w:pPr>
      <w:r>
        <w:rPr>
          <w:rFonts w:ascii="宋体" w:hAnsi="宋体" w:eastAsia="宋体" w:cs="宋体"/>
          <w:spacing w:val="33"/>
          <w:sz w:val="23"/>
          <w:szCs w:val="23"/>
        </w:rPr>
        <w:t>(</w:t>
      </w:r>
      <w:r>
        <w:rPr>
          <w:rFonts w:ascii="Times New Roman" w:hAnsi="Times New Roman" w:eastAsia="Times New Roman" w:cs="Times New Roman"/>
          <w:spacing w:val="26"/>
          <w:sz w:val="23"/>
          <w:szCs w:val="23"/>
        </w:rPr>
        <w:t>1</w:t>
      </w:r>
      <w:r>
        <w:rPr>
          <w:rFonts w:ascii="宋体" w:hAnsi="宋体" w:eastAsia="宋体" w:cs="宋体"/>
          <w:spacing w:val="26"/>
          <w:sz w:val="23"/>
          <w:szCs w:val="23"/>
        </w:rPr>
        <w:t>) 噪声源强分析</w:t>
      </w:r>
    </w:p>
    <w:p w14:paraId="1AB3145A">
      <w:pPr>
        <w:spacing w:line="274" w:lineRule="auto"/>
        <w:rPr>
          <w:rFonts w:ascii="Arial"/>
          <w:sz w:val="21"/>
        </w:rPr>
      </w:pPr>
    </w:p>
    <w:p w14:paraId="5469204F">
      <w:pPr>
        <w:spacing w:before="75" w:line="391" w:lineRule="auto"/>
        <w:ind w:left="118" w:right="107" w:firstLine="485"/>
        <w:rPr>
          <w:rFonts w:ascii="宋体" w:hAnsi="宋体" w:eastAsia="宋体" w:cs="宋体"/>
          <w:sz w:val="23"/>
          <w:szCs w:val="23"/>
        </w:rPr>
      </w:pPr>
      <w:r>
        <w:rPr>
          <w:rFonts w:ascii="宋体" w:hAnsi="宋体" w:eastAsia="宋体" w:cs="宋体"/>
          <w:spacing w:val="12"/>
          <w:sz w:val="23"/>
          <w:szCs w:val="23"/>
        </w:rPr>
        <w:t>项目噪</w:t>
      </w:r>
      <w:r>
        <w:rPr>
          <w:rFonts w:ascii="宋体" w:hAnsi="宋体" w:eastAsia="宋体" w:cs="宋体"/>
          <w:spacing w:val="10"/>
          <w:sz w:val="23"/>
          <w:szCs w:val="23"/>
        </w:rPr>
        <w:t>声</w:t>
      </w:r>
      <w:r>
        <w:rPr>
          <w:rFonts w:ascii="宋体" w:hAnsi="宋体" w:eastAsia="宋体" w:cs="宋体"/>
          <w:spacing w:val="6"/>
          <w:sz w:val="23"/>
          <w:szCs w:val="23"/>
        </w:rPr>
        <w:t>主要为生产设备运行中辐射噪声，产生较大噪声的噪声源主要有各</w:t>
      </w:r>
      <w:r>
        <w:rPr>
          <w:rFonts w:ascii="宋体" w:hAnsi="宋体" w:eastAsia="宋体" w:cs="宋体"/>
          <w:sz w:val="23"/>
          <w:szCs w:val="23"/>
        </w:rPr>
        <w:t xml:space="preserve"> </w:t>
      </w:r>
      <w:r>
        <w:rPr>
          <w:rFonts w:ascii="宋体" w:hAnsi="宋体" w:eastAsia="宋体" w:cs="宋体"/>
          <w:spacing w:val="8"/>
          <w:sz w:val="23"/>
          <w:szCs w:val="23"/>
        </w:rPr>
        <w:t>喂</w:t>
      </w:r>
      <w:r>
        <w:rPr>
          <w:rFonts w:ascii="宋体" w:hAnsi="宋体" w:eastAsia="宋体" w:cs="宋体"/>
          <w:spacing w:val="7"/>
          <w:sz w:val="23"/>
          <w:szCs w:val="23"/>
        </w:rPr>
        <w:t>料机、洗料机、粉碎机等设备。项目所有噪声源均置于室内，噪声控制措施主</w:t>
      </w:r>
      <w:r>
        <w:rPr>
          <w:rFonts w:ascii="宋体" w:hAnsi="宋体" w:eastAsia="宋体" w:cs="宋体"/>
          <w:sz w:val="23"/>
          <w:szCs w:val="23"/>
        </w:rPr>
        <w:t xml:space="preserve"> </w:t>
      </w:r>
      <w:r>
        <w:rPr>
          <w:rFonts w:ascii="宋体" w:hAnsi="宋体" w:eastAsia="宋体" w:cs="宋体"/>
          <w:spacing w:val="9"/>
          <w:sz w:val="23"/>
          <w:szCs w:val="23"/>
        </w:rPr>
        <w:t>要</w:t>
      </w:r>
      <w:r>
        <w:rPr>
          <w:rFonts w:ascii="宋体" w:hAnsi="宋体" w:eastAsia="宋体" w:cs="宋体"/>
          <w:spacing w:val="8"/>
          <w:sz w:val="23"/>
          <w:szCs w:val="23"/>
        </w:rPr>
        <w:t>是隔声、消声和减振。</w:t>
      </w:r>
    </w:p>
    <w:p w14:paraId="4754F059">
      <w:pPr>
        <w:spacing w:before="135" w:line="391" w:lineRule="auto"/>
        <w:ind w:left="116" w:right="107" w:firstLine="485"/>
        <w:rPr>
          <w:rFonts w:ascii="宋体" w:hAnsi="宋体" w:eastAsia="宋体" w:cs="宋体"/>
          <w:sz w:val="23"/>
          <w:szCs w:val="23"/>
        </w:rPr>
      </w:pPr>
      <w:r>
        <w:rPr>
          <w:rFonts w:ascii="宋体" w:hAnsi="宋体" w:eastAsia="宋体" w:cs="宋体"/>
          <w:spacing w:val="12"/>
          <w:sz w:val="23"/>
          <w:szCs w:val="23"/>
        </w:rPr>
        <w:t>依据项目</w:t>
      </w:r>
      <w:r>
        <w:rPr>
          <w:rFonts w:ascii="宋体" w:hAnsi="宋体" w:eastAsia="宋体" w:cs="宋体"/>
          <w:spacing w:val="6"/>
          <w:sz w:val="23"/>
          <w:szCs w:val="23"/>
        </w:rPr>
        <w:t>平面布置，项目所有噪声源均置于生产厂房内，与预测点的距离见</w:t>
      </w:r>
      <w:r>
        <w:rPr>
          <w:rFonts w:ascii="宋体" w:hAnsi="宋体" w:eastAsia="宋体" w:cs="宋体"/>
          <w:sz w:val="23"/>
          <w:szCs w:val="23"/>
        </w:rPr>
        <w:t xml:space="preserve"> </w:t>
      </w:r>
      <w:r>
        <w:rPr>
          <w:rFonts w:ascii="宋体" w:hAnsi="宋体" w:eastAsia="宋体" w:cs="宋体"/>
          <w:spacing w:val="-17"/>
          <w:sz w:val="23"/>
          <w:szCs w:val="23"/>
        </w:rPr>
        <w:t>表</w:t>
      </w:r>
      <w:r>
        <w:rPr>
          <w:rFonts w:ascii="宋体" w:hAnsi="宋体" w:eastAsia="宋体" w:cs="宋体"/>
          <w:spacing w:val="-11"/>
          <w:sz w:val="23"/>
          <w:szCs w:val="23"/>
        </w:rPr>
        <w:t xml:space="preserve"> </w:t>
      </w:r>
      <w:r>
        <w:rPr>
          <w:rFonts w:ascii="Times New Roman" w:hAnsi="Times New Roman" w:eastAsia="Times New Roman" w:cs="Times New Roman"/>
          <w:spacing w:val="-11"/>
          <w:sz w:val="23"/>
          <w:szCs w:val="23"/>
        </w:rPr>
        <w:t>5- 18</w:t>
      </w:r>
      <w:r>
        <w:rPr>
          <w:rFonts w:ascii="宋体" w:hAnsi="宋体" w:eastAsia="宋体" w:cs="宋体"/>
          <w:spacing w:val="-11"/>
          <w:sz w:val="23"/>
          <w:szCs w:val="23"/>
        </w:rPr>
        <w:t>：</w:t>
      </w:r>
    </w:p>
    <w:p w14:paraId="639D182C">
      <w:pPr>
        <w:spacing w:before="1" w:line="220" w:lineRule="auto"/>
        <w:ind w:left="2518"/>
        <w:rPr>
          <w:rFonts w:ascii="宋体" w:hAnsi="宋体" w:eastAsia="宋体" w:cs="宋体"/>
          <w:sz w:val="23"/>
          <w:szCs w:val="23"/>
        </w:rPr>
      </w:pPr>
      <w:r>
        <w:rPr>
          <w:rFonts w:ascii="宋体" w:hAnsi="宋体" w:eastAsia="宋体" w:cs="宋体"/>
          <w:spacing w:val="6"/>
          <w:sz w:val="23"/>
          <w:szCs w:val="23"/>
          <w14:textOutline w14:w="4358" w14:cap="sq" w14:cmpd="sng">
            <w14:solidFill>
              <w14:srgbClr w14:val="000000"/>
            </w14:solidFill>
            <w14:prstDash w14:val="solid"/>
            <w14:bevel/>
          </w14:textOutline>
        </w:rPr>
        <w:t>表</w:t>
      </w:r>
      <w:r>
        <w:rPr>
          <w:rFonts w:ascii="宋体" w:hAnsi="宋体" w:eastAsia="宋体" w:cs="宋体"/>
          <w:spacing w:val="6"/>
          <w:sz w:val="23"/>
          <w:szCs w:val="23"/>
        </w:rPr>
        <w:t xml:space="preserve"> </w:t>
      </w:r>
      <w:r>
        <w:rPr>
          <w:rFonts w:ascii="Times New Roman" w:hAnsi="Times New Roman" w:eastAsia="Times New Roman" w:cs="Times New Roman"/>
          <w:b/>
          <w:bCs/>
          <w:spacing w:val="6"/>
          <w:sz w:val="23"/>
          <w:szCs w:val="23"/>
        </w:rPr>
        <w:t>5-</w:t>
      </w:r>
      <w:r>
        <w:rPr>
          <w:rFonts w:ascii="Times New Roman" w:hAnsi="Times New Roman" w:eastAsia="Times New Roman" w:cs="Times New Roman"/>
          <w:b/>
          <w:bCs/>
          <w:spacing w:val="4"/>
          <w:sz w:val="23"/>
          <w:szCs w:val="23"/>
        </w:rPr>
        <w:t>1</w:t>
      </w:r>
      <w:r>
        <w:rPr>
          <w:rFonts w:ascii="Times New Roman" w:hAnsi="Times New Roman" w:eastAsia="Times New Roman" w:cs="Times New Roman"/>
          <w:b/>
          <w:bCs/>
          <w:spacing w:val="3"/>
          <w:sz w:val="23"/>
          <w:szCs w:val="23"/>
        </w:rPr>
        <w:t>8</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14:textOutline w14:w="4358" w14:cap="sq" w14:cmpd="sng">
            <w14:solidFill>
              <w14:srgbClr w14:val="000000"/>
            </w14:solidFill>
            <w14:prstDash w14:val="solid"/>
            <w14:bevel/>
          </w14:textOutline>
        </w:rPr>
        <w:t>噪声源距厂界的距离</w:t>
      </w:r>
    </w:p>
    <w:tbl>
      <w:tblPr>
        <w:tblStyle w:val="4"/>
        <w:tblW w:w="852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8"/>
        <w:gridCol w:w="1772"/>
        <w:gridCol w:w="1507"/>
        <w:gridCol w:w="1508"/>
        <w:gridCol w:w="1508"/>
        <w:gridCol w:w="1508"/>
      </w:tblGrid>
      <w:tr w14:paraId="15EBD4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718" w:type="dxa"/>
            <w:tcBorders>
              <w:left w:val="nil"/>
            </w:tcBorders>
            <w:vAlign w:val="top"/>
          </w:tcPr>
          <w:p w14:paraId="3ECF517A">
            <w:pPr>
              <w:spacing w:before="75" w:line="229" w:lineRule="auto"/>
              <w:ind w:left="156"/>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序号</w:t>
            </w:r>
          </w:p>
        </w:tc>
        <w:tc>
          <w:tcPr>
            <w:tcW w:w="1772" w:type="dxa"/>
            <w:vAlign w:val="top"/>
          </w:tcPr>
          <w:p w14:paraId="64C71BE7">
            <w:pPr>
              <w:spacing w:before="76" w:line="228" w:lineRule="auto"/>
              <w:ind w:left="685"/>
              <w:rPr>
                <w:rFonts w:ascii="宋体" w:hAnsi="宋体" w:eastAsia="宋体" w:cs="宋体"/>
                <w:sz w:val="20"/>
                <w:szCs w:val="20"/>
              </w:rPr>
            </w:pPr>
            <w:r>
              <w:rPr>
                <w:rFonts w:ascii="宋体" w:hAnsi="宋体" w:eastAsia="宋体" w:cs="宋体"/>
                <w:spacing w:val="4"/>
                <w:sz w:val="20"/>
                <w:szCs w:val="20"/>
                <w14:textOutline w14:w="3795" w14:cap="sq" w14:cmpd="sng">
                  <w14:solidFill>
                    <w14:srgbClr w14:val="000000"/>
                  </w14:solidFill>
                  <w14:prstDash w14:val="solid"/>
                  <w14:bevel/>
                </w14:textOutline>
              </w:rPr>
              <w:t>项目</w:t>
            </w:r>
          </w:p>
        </w:tc>
        <w:tc>
          <w:tcPr>
            <w:tcW w:w="1507" w:type="dxa"/>
            <w:vAlign w:val="top"/>
          </w:tcPr>
          <w:p w14:paraId="3BC1FA7C">
            <w:pPr>
              <w:spacing w:before="75" w:line="228" w:lineRule="auto"/>
              <w:ind w:left="113"/>
              <w:rPr>
                <w:rFonts w:ascii="宋体" w:hAnsi="宋体" w:eastAsia="宋体" w:cs="宋体"/>
                <w:sz w:val="20"/>
                <w:szCs w:val="20"/>
              </w:rPr>
            </w:pPr>
            <w:r>
              <w:rPr>
                <w:rFonts w:ascii="宋体" w:hAnsi="宋体" w:eastAsia="宋体" w:cs="宋体"/>
                <w:spacing w:val="-22"/>
                <w:sz w:val="20"/>
                <w:szCs w:val="20"/>
                <w14:textOutline w14:w="3795" w14:cap="sq" w14:cmpd="sng">
                  <w14:solidFill>
                    <w14:srgbClr w14:val="000000"/>
                  </w14:solidFill>
                  <w14:prstDash w14:val="solid"/>
                  <w14:bevel/>
                </w14:textOutline>
              </w:rPr>
              <w:t>距</w:t>
            </w:r>
            <w:r>
              <w:rPr>
                <w:rFonts w:ascii="宋体" w:hAnsi="宋体" w:eastAsia="宋体" w:cs="宋体"/>
                <w:spacing w:val="-14"/>
                <w:sz w:val="20"/>
                <w:szCs w:val="20"/>
                <w14:textOutline w14:w="3795" w14:cap="sq" w14:cmpd="sng">
                  <w14:solidFill>
                    <w14:srgbClr w14:val="000000"/>
                  </w14:solidFill>
                  <w14:prstDash w14:val="solid"/>
                  <w14:bevel/>
                </w14:textOutline>
              </w:rPr>
              <w:t>东厂界</w:t>
            </w:r>
            <w:r>
              <w:rPr>
                <w:rFonts w:ascii="宋体" w:hAnsi="宋体" w:eastAsia="宋体" w:cs="宋体"/>
                <w:spacing w:val="-14"/>
                <w:sz w:val="20"/>
                <w:szCs w:val="20"/>
              </w:rPr>
              <w:t xml:space="preserve"> </w:t>
            </w:r>
            <w:r>
              <w:rPr>
                <w:rFonts w:ascii="宋体" w:hAnsi="宋体" w:eastAsia="宋体" w:cs="宋体"/>
                <w:spacing w:val="-14"/>
                <w:sz w:val="20"/>
                <w:szCs w:val="20"/>
                <w14:textOutline w14:w="3795" w14:cap="sq" w14:cmpd="sng">
                  <w14:solidFill>
                    <w14:srgbClr w14:val="000000"/>
                  </w14:solidFill>
                  <w14:prstDash w14:val="solid"/>
                  <w14:bevel/>
                </w14:textOutline>
              </w:rPr>
              <w:t>(</w:t>
            </w:r>
            <w:r>
              <w:rPr>
                <w:rFonts w:ascii="宋体" w:hAnsi="宋体" w:eastAsia="宋体" w:cs="宋体"/>
                <w:spacing w:val="-14"/>
                <w:sz w:val="20"/>
                <w:szCs w:val="20"/>
              </w:rPr>
              <w:t xml:space="preserve"> </w:t>
            </w:r>
            <w:r>
              <w:rPr>
                <w:rFonts w:ascii="Times New Roman" w:hAnsi="Times New Roman" w:eastAsia="Times New Roman" w:cs="Times New Roman"/>
                <w:b/>
                <w:bCs/>
                <w:spacing w:val="-14"/>
                <w:sz w:val="20"/>
                <w:szCs w:val="20"/>
              </w:rPr>
              <w:t>m</w:t>
            </w:r>
            <w:r>
              <w:rPr>
                <w:rFonts w:ascii="Times New Roman" w:hAnsi="Times New Roman" w:eastAsia="Times New Roman" w:cs="Times New Roman"/>
                <w:spacing w:val="-14"/>
                <w:sz w:val="20"/>
                <w:szCs w:val="20"/>
              </w:rPr>
              <w:t xml:space="preserve"> </w:t>
            </w:r>
            <w:r>
              <w:rPr>
                <w:rFonts w:ascii="宋体" w:hAnsi="宋体" w:eastAsia="宋体" w:cs="宋体"/>
                <w:spacing w:val="-14"/>
                <w:sz w:val="20"/>
                <w:szCs w:val="20"/>
                <w14:textOutline w14:w="3795" w14:cap="sq" w14:cmpd="sng">
                  <w14:solidFill>
                    <w14:srgbClr w14:val="000000"/>
                  </w14:solidFill>
                  <w14:prstDash w14:val="solid"/>
                  <w14:bevel/>
                </w14:textOutline>
              </w:rPr>
              <w:t>)</w:t>
            </w:r>
          </w:p>
        </w:tc>
        <w:tc>
          <w:tcPr>
            <w:tcW w:w="1508" w:type="dxa"/>
            <w:vAlign w:val="top"/>
          </w:tcPr>
          <w:p w14:paraId="3FC90E64">
            <w:pPr>
              <w:spacing w:before="76" w:line="228" w:lineRule="auto"/>
              <w:ind w:left="116"/>
              <w:rPr>
                <w:rFonts w:ascii="宋体" w:hAnsi="宋体" w:eastAsia="宋体" w:cs="宋体"/>
                <w:sz w:val="20"/>
                <w:szCs w:val="20"/>
              </w:rPr>
            </w:pPr>
            <w:r>
              <w:rPr>
                <w:rFonts w:ascii="宋体" w:hAnsi="宋体" w:eastAsia="宋体" w:cs="宋体"/>
                <w:spacing w:val="-22"/>
                <w:sz w:val="20"/>
                <w:szCs w:val="20"/>
                <w14:textOutline w14:w="3795" w14:cap="sq" w14:cmpd="sng">
                  <w14:solidFill>
                    <w14:srgbClr w14:val="000000"/>
                  </w14:solidFill>
                  <w14:prstDash w14:val="solid"/>
                  <w14:bevel/>
                </w14:textOutline>
              </w:rPr>
              <w:t>距</w:t>
            </w:r>
            <w:r>
              <w:rPr>
                <w:rFonts w:ascii="宋体" w:hAnsi="宋体" w:eastAsia="宋体" w:cs="宋体"/>
                <w:spacing w:val="-14"/>
                <w:sz w:val="20"/>
                <w:szCs w:val="20"/>
                <w14:textOutline w14:w="3795" w14:cap="sq" w14:cmpd="sng">
                  <w14:solidFill>
                    <w14:srgbClr w14:val="000000"/>
                  </w14:solidFill>
                  <w14:prstDash w14:val="solid"/>
                  <w14:bevel/>
                </w14:textOutline>
              </w:rPr>
              <w:t>南厂界</w:t>
            </w:r>
            <w:r>
              <w:rPr>
                <w:rFonts w:ascii="宋体" w:hAnsi="宋体" w:eastAsia="宋体" w:cs="宋体"/>
                <w:spacing w:val="-14"/>
                <w:sz w:val="20"/>
                <w:szCs w:val="20"/>
              </w:rPr>
              <w:t xml:space="preserve"> </w:t>
            </w:r>
            <w:r>
              <w:rPr>
                <w:rFonts w:ascii="宋体" w:hAnsi="宋体" w:eastAsia="宋体" w:cs="宋体"/>
                <w:spacing w:val="-14"/>
                <w:sz w:val="20"/>
                <w:szCs w:val="20"/>
                <w14:textOutline w14:w="3795" w14:cap="sq" w14:cmpd="sng">
                  <w14:solidFill>
                    <w14:srgbClr w14:val="000000"/>
                  </w14:solidFill>
                  <w14:prstDash w14:val="solid"/>
                  <w14:bevel/>
                </w14:textOutline>
              </w:rPr>
              <w:t>(</w:t>
            </w:r>
            <w:r>
              <w:rPr>
                <w:rFonts w:ascii="宋体" w:hAnsi="宋体" w:eastAsia="宋体" w:cs="宋体"/>
                <w:spacing w:val="-14"/>
                <w:sz w:val="20"/>
                <w:szCs w:val="20"/>
              </w:rPr>
              <w:t xml:space="preserve"> </w:t>
            </w:r>
            <w:r>
              <w:rPr>
                <w:rFonts w:ascii="Times New Roman" w:hAnsi="Times New Roman" w:eastAsia="Times New Roman" w:cs="Times New Roman"/>
                <w:b/>
                <w:bCs/>
                <w:spacing w:val="-14"/>
                <w:sz w:val="20"/>
                <w:szCs w:val="20"/>
              </w:rPr>
              <w:t>m</w:t>
            </w:r>
            <w:r>
              <w:rPr>
                <w:rFonts w:ascii="Times New Roman" w:hAnsi="Times New Roman" w:eastAsia="Times New Roman" w:cs="Times New Roman"/>
                <w:spacing w:val="-14"/>
                <w:sz w:val="20"/>
                <w:szCs w:val="20"/>
              </w:rPr>
              <w:t xml:space="preserve"> </w:t>
            </w:r>
            <w:r>
              <w:rPr>
                <w:rFonts w:ascii="宋体" w:hAnsi="宋体" w:eastAsia="宋体" w:cs="宋体"/>
                <w:spacing w:val="-14"/>
                <w:sz w:val="20"/>
                <w:szCs w:val="20"/>
                <w14:textOutline w14:w="3795" w14:cap="sq" w14:cmpd="sng">
                  <w14:solidFill>
                    <w14:srgbClr w14:val="000000"/>
                  </w14:solidFill>
                  <w14:prstDash w14:val="solid"/>
                  <w14:bevel/>
                </w14:textOutline>
              </w:rPr>
              <w:t>)</w:t>
            </w:r>
          </w:p>
        </w:tc>
        <w:tc>
          <w:tcPr>
            <w:tcW w:w="1508" w:type="dxa"/>
            <w:vAlign w:val="top"/>
          </w:tcPr>
          <w:p w14:paraId="64F8EA5D">
            <w:pPr>
              <w:spacing w:before="76" w:line="228" w:lineRule="auto"/>
              <w:ind w:left="115"/>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距</w:t>
            </w:r>
            <w:r>
              <w:rPr>
                <w:rFonts w:ascii="宋体" w:hAnsi="宋体" w:eastAsia="宋体" w:cs="宋体"/>
                <w:spacing w:val="-5"/>
                <w:sz w:val="20"/>
                <w:szCs w:val="20"/>
                <w14:textOutline w14:w="3795" w14:cap="sq" w14:cmpd="sng">
                  <w14:solidFill>
                    <w14:srgbClr w14:val="000000"/>
                  </w14:solidFill>
                  <w14:prstDash w14:val="solid"/>
                  <w14:bevel/>
                </w14:textOutline>
              </w:rPr>
              <w:t>西厂界</w:t>
            </w:r>
            <w:r>
              <w:rPr>
                <w:rFonts w:ascii="宋体" w:hAnsi="宋体" w:eastAsia="宋体" w:cs="宋体"/>
                <w:spacing w:val="-5"/>
                <w:sz w:val="20"/>
                <w:szCs w:val="20"/>
              </w:rPr>
              <w:t xml:space="preserve"> </w:t>
            </w:r>
            <w:r>
              <w:rPr>
                <w:rFonts w:ascii="宋体" w:hAnsi="宋体" w:eastAsia="宋体" w:cs="宋体"/>
                <w:spacing w:val="-5"/>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spacing w:val="-5"/>
                <w:sz w:val="20"/>
                <w:szCs w:val="20"/>
              </w:rPr>
              <w:t>m</w:t>
            </w:r>
            <w:r>
              <w:rPr>
                <w:rFonts w:ascii="Times New Roman" w:hAnsi="Times New Roman" w:eastAsia="Times New Roman" w:cs="Times New Roman"/>
                <w:spacing w:val="-5"/>
                <w:sz w:val="20"/>
                <w:szCs w:val="20"/>
              </w:rPr>
              <w:t xml:space="preserve"> </w:t>
            </w:r>
            <w:r>
              <w:rPr>
                <w:rFonts w:ascii="宋体" w:hAnsi="宋体" w:eastAsia="宋体" w:cs="宋体"/>
                <w:spacing w:val="-5"/>
                <w:sz w:val="20"/>
                <w:szCs w:val="20"/>
                <w14:textOutline w14:w="3795" w14:cap="sq" w14:cmpd="sng">
                  <w14:solidFill>
                    <w14:srgbClr w14:val="000000"/>
                  </w14:solidFill>
                  <w14:prstDash w14:val="solid"/>
                  <w14:bevel/>
                </w14:textOutline>
              </w:rPr>
              <w:t>)</w:t>
            </w:r>
          </w:p>
        </w:tc>
        <w:tc>
          <w:tcPr>
            <w:tcW w:w="1508" w:type="dxa"/>
            <w:tcBorders>
              <w:right w:val="nil"/>
            </w:tcBorders>
            <w:vAlign w:val="top"/>
          </w:tcPr>
          <w:p w14:paraId="742B32FC">
            <w:pPr>
              <w:spacing w:before="76" w:line="228" w:lineRule="auto"/>
              <w:ind w:left="114"/>
              <w:rPr>
                <w:rFonts w:ascii="宋体" w:hAnsi="宋体" w:eastAsia="宋体" w:cs="宋体"/>
                <w:sz w:val="20"/>
                <w:szCs w:val="20"/>
              </w:rPr>
            </w:pPr>
            <w:r>
              <w:rPr>
                <w:rFonts w:ascii="宋体" w:hAnsi="宋体" w:eastAsia="宋体" w:cs="宋体"/>
                <w:spacing w:val="-22"/>
                <w:sz w:val="20"/>
                <w:szCs w:val="20"/>
                <w14:textOutline w14:w="3795" w14:cap="sq" w14:cmpd="sng">
                  <w14:solidFill>
                    <w14:srgbClr w14:val="000000"/>
                  </w14:solidFill>
                  <w14:prstDash w14:val="solid"/>
                  <w14:bevel/>
                </w14:textOutline>
              </w:rPr>
              <w:t>距</w:t>
            </w:r>
            <w:r>
              <w:rPr>
                <w:rFonts w:ascii="宋体" w:hAnsi="宋体" w:eastAsia="宋体" w:cs="宋体"/>
                <w:spacing w:val="-14"/>
                <w:sz w:val="20"/>
                <w:szCs w:val="20"/>
                <w14:textOutline w14:w="3795" w14:cap="sq" w14:cmpd="sng">
                  <w14:solidFill>
                    <w14:srgbClr w14:val="000000"/>
                  </w14:solidFill>
                  <w14:prstDash w14:val="solid"/>
                  <w14:bevel/>
                </w14:textOutline>
              </w:rPr>
              <w:t>北厂界</w:t>
            </w:r>
            <w:r>
              <w:rPr>
                <w:rFonts w:ascii="宋体" w:hAnsi="宋体" w:eastAsia="宋体" w:cs="宋体"/>
                <w:spacing w:val="-14"/>
                <w:sz w:val="20"/>
                <w:szCs w:val="20"/>
              </w:rPr>
              <w:t xml:space="preserve"> </w:t>
            </w:r>
            <w:r>
              <w:rPr>
                <w:rFonts w:ascii="宋体" w:hAnsi="宋体" w:eastAsia="宋体" w:cs="宋体"/>
                <w:spacing w:val="-14"/>
                <w:sz w:val="20"/>
                <w:szCs w:val="20"/>
                <w14:textOutline w14:w="3795" w14:cap="sq" w14:cmpd="sng">
                  <w14:solidFill>
                    <w14:srgbClr w14:val="000000"/>
                  </w14:solidFill>
                  <w14:prstDash w14:val="solid"/>
                  <w14:bevel/>
                </w14:textOutline>
              </w:rPr>
              <w:t>(</w:t>
            </w:r>
            <w:r>
              <w:rPr>
                <w:rFonts w:ascii="宋体" w:hAnsi="宋体" w:eastAsia="宋体" w:cs="宋体"/>
                <w:spacing w:val="-14"/>
                <w:sz w:val="20"/>
                <w:szCs w:val="20"/>
              </w:rPr>
              <w:t xml:space="preserve"> </w:t>
            </w:r>
            <w:r>
              <w:rPr>
                <w:rFonts w:ascii="Times New Roman" w:hAnsi="Times New Roman" w:eastAsia="Times New Roman" w:cs="Times New Roman"/>
                <w:b/>
                <w:bCs/>
                <w:spacing w:val="-14"/>
                <w:sz w:val="20"/>
                <w:szCs w:val="20"/>
              </w:rPr>
              <w:t>m</w:t>
            </w:r>
            <w:r>
              <w:rPr>
                <w:rFonts w:ascii="Times New Roman" w:hAnsi="Times New Roman" w:eastAsia="Times New Roman" w:cs="Times New Roman"/>
                <w:spacing w:val="-14"/>
                <w:sz w:val="20"/>
                <w:szCs w:val="20"/>
              </w:rPr>
              <w:t xml:space="preserve"> </w:t>
            </w:r>
            <w:r>
              <w:rPr>
                <w:rFonts w:ascii="宋体" w:hAnsi="宋体" w:eastAsia="宋体" w:cs="宋体"/>
                <w:spacing w:val="-14"/>
                <w:sz w:val="20"/>
                <w:szCs w:val="20"/>
                <w14:textOutline w14:w="3795" w14:cap="sq" w14:cmpd="sng">
                  <w14:solidFill>
                    <w14:srgbClr w14:val="000000"/>
                  </w14:solidFill>
                  <w14:prstDash w14:val="solid"/>
                  <w14:bevel/>
                </w14:textOutline>
              </w:rPr>
              <w:t>)</w:t>
            </w:r>
          </w:p>
        </w:tc>
      </w:tr>
      <w:tr w14:paraId="54B4CF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718" w:type="dxa"/>
            <w:tcBorders>
              <w:left w:val="nil"/>
            </w:tcBorders>
            <w:vAlign w:val="top"/>
          </w:tcPr>
          <w:p w14:paraId="604EA12B">
            <w:pPr>
              <w:spacing w:before="98" w:line="195" w:lineRule="auto"/>
              <w:ind w:left="32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772" w:type="dxa"/>
            <w:vAlign w:val="top"/>
          </w:tcPr>
          <w:p w14:paraId="66EB6939">
            <w:pPr>
              <w:spacing w:before="62" w:line="228" w:lineRule="auto"/>
              <w:ind w:left="472"/>
              <w:rPr>
                <w:rFonts w:ascii="宋体" w:hAnsi="宋体" w:eastAsia="宋体" w:cs="宋体"/>
                <w:sz w:val="20"/>
                <w:szCs w:val="20"/>
              </w:rPr>
            </w:pPr>
            <w:r>
              <w:rPr>
                <w:rFonts w:ascii="宋体" w:hAnsi="宋体" w:eastAsia="宋体" w:cs="宋体"/>
                <w:spacing w:val="7"/>
                <w:sz w:val="20"/>
                <w:szCs w:val="20"/>
              </w:rPr>
              <w:t>生产厂</w:t>
            </w:r>
            <w:r>
              <w:rPr>
                <w:rFonts w:ascii="宋体" w:hAnsi="宋体" w:eastAsia="宋体" w:cs="宋体"/>
                <w:spacing w:val="6"/>
                <w:sz w:val="20"/>
                <w:szCs w:val="20"/>
              </w:rPr>
              <w:t>房</w:t>
            </w:r>
          </w:p>
        </w:tc>
        <w:tc>
          <w:tcPr>
            <w:tcW w:w="1507" w:type="dxa"/>
            <w:vAlign w:val="top"/>
          </w:tcPr>
          <w:p w14:paraId="0C216E2D">
            <w:pPr>
              <w:spacing w:before="98"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1508" w:type="dxa"/>
            <w:vAlign w:val="top"/>
          </w:tcPr>
          <w:p w14:paraId="0D224D85">
            <w:pPr>
              <w:spacing w:before="98"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1508" w:type="dxa"/>
            <w:vAlign w:val="top"/>
          </w:tcPr>
          <w:p w14:paraId="2282A991">
            <w:pPr>
              <w:spacing w:before="98" w:line="195" w:lineRule="auto"/>
              <w:ind w:left="65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0</w:t>
            </w:r>
          </w:p>
        </w:tc>
        <w:tc>
          <w:tcPr>
            <w:tcW w:w="1508" w:type="dxa"/>
            <w:tcBorders>
              <w:right w:val="nil"/>
            </w:tcBorders>
            <w:vAlign w:val="top"/>
          </w:tcPr>
          <w:p w14:paraId="623870F7">
            <w:pPr>
              <w:spacing w:before="98" w:line="195" w:lineRule="auto"/>
              <w:ind w:left="65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r>
    </w:tbl>
    <w:p w14:paraId="33B9FACD">
      <w:pPr>
        <w:spacing w:line="260" w:lineRule="auto"/>
        <w:rPr>
          <w:rFonts w:ascii="Arial"/>
          <w:sz w:val="21"/>
        </w:rPr>
      </w:pPr>
    </w:p>
    <w:p w14:paraId="4D7B3812">
      <w:pPr>
        <w:spacing w:before="75" w:line="227" w:lineRule="auto"/>
        <w:ind w:left="632"/>
        <w:rPr>
          <w:rFonts w:ascii="宋体" w:hAnsi="宋体" w:eastAsia="宋体" w:cs="宋体"/>
          <w:sz w:val="23"/>
          <w:szCs w:val="23"/>
        </w:rPr>
      </w:pPr>
      <w:r>
        <w:rPr>
          <w:rFonts w:ascii="宋体" w:hAnsi="宋体" w:eastAsia="宋体" w:cs="宋体"/>
          <w:spacing w:val="30"/>
          <w:sz w:val="23"/>
          <w:szCs w:val="23"/>
        </w:rPr>
        <w:t>(</w:t>
      </w:r>
      <w:r>
        <w:rPr>
          <w:rFonts w:ascii="Times New Roman" w:hAnsi="Times New Roman" w:eastAsia="Times New Roman" w:cs="Times New Roman"/>
          <w:spacing w:val="25"/>
          <w:sz w:val="23"/>
          <w:szCs w:val="23"/>
        </w:rPr>
        <w:t>2</w:t>
      </w:r>
      <w:r>
        <w:rPr>
          <w:rFonts w:ascii="宋体" w:hAnsi="宋体" w:eastAsia="宋体" w:cs="宋体"/>
          <w:spacing w:val="25"/>
          <w:sz w:val="23"/>
          <w:szCs w:val="23"/>
        </w:rPr>
        <w:t>) 厂房主要围护结构状况</w:t>
      </w:r>
    </w:p>
    <w:p w14:paraId="3C4BE1A3">
      <w:pPr>
        <w:spacing w:line="277" w:lineRule="auto"/>
        <w:rPr>
          <w:rFonts w:ascii="Arial"/>
          <w:sz w:val="21"/>
        </w:rPr>
      </w:pPr>
    </w:p>
    <w:p w14:paraId="75133353">
      <w:pPr>
        <w:spacing w:before="75" w:line="394" w:lineRule="auto"/>
        <w:ind w:left="116" w:right="119" w:firstLine="508"/>
        <w:rPr>
          <w:rFonts w:ascii="宋体" w:hAnsi="宋体" w:eastAsia="宋体" w:cs="宋体"/>
          <w:sz w:val="23"/>
          <w:szCs w:val="23"/>
        </w:rPr>
      </w:pPr>
      <w:r>
        <w:rPr>
          <w:rFonts w:ascii="宋体" w:hAnsi="宋体" w:eastAsia="宋体" w:cs="宋体"/>
          <w:spacing w:val="26"/>
          <w:sz w:val="23"/>
          <w:szCs w:val="23"/>
        </w:rPr>
        <w:t>项</w:t>
      </w:r>
      <w:r>
        <w:rPr>
          <w:rFonts w:ascii="宋体" w:hAnsi="宋体" w:eastAsia="宋体" w:cs="宋体"/>
          <w:spacing w:val="20"/>
          <w:sz w:val="23"/>
          <w:szCs w:val="23"/>
        </w:rPr>
        <w:t xml:space="preserve"> 目拟采取的噪声控制措施主要是对项 目各噪声源采取厂房围护结构</w:t>
      </w:r>
      <w:r>
        <w:rPr>
          <w:rFonts w:ascii="宋体" w:hAnsi="宋体" w:eastAsia="宋体" w:cs="宋体"/>
          <w:sz w:val="23"/>
          <w:szCs w:val="23"/>
        </w:rPr>
        <w:t xml:space="preserve"> </w:t>
      </w:r>
      <w:r>
        <w:rPr>
          <w:rFonts w:ascii="宋体" w:hAnsi="宋体" w:eastAsia="宋体" w:cs="宋体"/>
          <w:spacing w:val="23"/>
          <w:sz w:val="23"/>
          <w:szCs w:val="23"/>
        </w:rPr>
        <w:t>隔</w:t>
      </w:r>
      <w:r>
        <w:rPr>
          <w:rFonts w:ascii="宋体" w:hAnsi="宋体" w:eastAsia="宋体" w:cs="宋体"/>
          <w:spacing w:val="21"/>
          <w:sz w:val="23"/>
          <w:szCs w:val="23"/>
        </w:rPr>
        <w:t>声，所有噪声设备均被置于生产车间厂房内，并对其中的较大型设备设置</w:t>
      </w:r>
      <w:r>
        <w:rPr>
          <w:rFonts w:ascii="宋体" w:hAnsi="宋体" w:eastAsia="宋体" w:cs="宋体"/>
          <w:sz w:val="23"/>
          <w:szCs w:val="23"/>
        </w:rPr>
        <w:t xml:space="preserve"> </w:t>
      </w:r>
      <w:r>
        <w:rPr>
          <w:rFonts w:ascii="宋体" w:hAnsi="宋体" w:eastAsia="宋体" w:cs="宋体"/>
          <w:spacing w:val="23"/>
          <w:sz w:val="23"/>
          <w:szCs w:val="23"/>
        </w:rPr>
        <w:t>了</w:t>
      </w:r>
      <w:r>
        <w:rPr>
          <w:rFonts w:ascii="宋体" w:hAnsi="宋体" w:eastAsia="宋体" w:cs="宋体"/>
          <w:spacing w:val="21"/>
          <w:sz w:val="23"/>
          <w:szCs w:val="23"/>
        </w:rPr>
        <w:t>基础减振。生产车间围护结构采用框架结构，通常该种结构建筑物的墙体</w:t>
      </w:r>
      <w:r>
        <w:rPr>
          <w:rFonts w:ascii="宋体" w:hAnsi="宋体" w:eastAsia="宋体" w:cs="宋体"/>
          <w:sz w:val="23"/>
          <w:szCs w:val="23"/>
        </w:rPr>
        <w:t xml:space="preserve"> </w:t>
      </w:r>
      <w:r>
        <w:rPr>
          <w:rFonts w:ascii="宋体" w:hAnsi="宋体" w:eastAsia="宋体" w:cs="宋体"/>
          <w:spacing w:val="20"/>
          <w:sz w:val="23"/>
          <w:szCs w:val="23"/>
        </w:rPr>
        <w:t>平</w:t>
      </w:r>
      <w:r>
        <w:rPr>
          <w:rFonts w:ascii="宋体" w:hAnsi="宋体" w:eastAsia="宋体" w:cs="宋体"/>
          <w:spacing w:val="12"/>
          <w:sz w:val="23"/>
          <w:szCs w:val="23"/>
        </w:rPr>
        <w:t xml:space="preserve">均隔声量均在 </w:t>
      </w:r>
      <w:r>
        <w:rPr>
          <w:rFonts w:ascii="Times New Roman" w:hAnsi="Times New Roman" w:eastAsia="Times New Roman" w:cs="Times New Roman"/>
          <w:spacing w:val="12"/>
          <w:sz w:val="23"/>
          <w:szCs w:val="23"/>
        </w:rPr>
        <w:t>30</w:t>
      </w:r>
      <w:r>
        <w:rPr>
          <w:rFonts w:ascii="Times New Roman" w:hAnsi="Times New Roman" w:eastAsia="Times New Roman" w:cs="Times New Roman"/>
          <w:sz w:val="23"/>
          <w:szCs w:val="23"/>
        </w:rPr>
        <w:t>dB</w:t>
      </w:r>
      <w:r>
        <w:rPr>
          <w:rFonts w:ascii="Times New Roman" w:hAnsi="Times New Roman" w:eastAsia="Times New Roman" w:cs="Times New Roman"/>
          <w:spacing w:val="12"/>
          <w:sz w:val="23"/>
          <w:szCs w:val="23"/>
        </w:rPr>
        <w:t xml:space="preserve"> </w:t>
      </w:r>
      <w:r>
        <w:rPr>
          <w:rFonts w:ascii="宋体" w:hAnsi="宋体" w:eastAsia="宋体" w:cs="宋体"/>
          <w:spacing w:val="12"/>
          <w:sz w:val="23"/>
          <w:szCs w:val="23"/>
        </w:rPr>
        <w:t>以上。</w:t>
      </w:r>
    </w:p>
    <w:p w14:paraId="4E6A8809">
      <w:pPr>
        <w:spacing w:before="111" w:line="389" w:lineRule="auto"/>
        <w:ind w:left="122" w:right="119" w:firstLine="501"/>
        <w:rPr>
          <w:rFonts w:ascii="宋体" w:hAnsi="宋体" w:eastAsia="宋体" w:cs="宋体"/>
          <w:sz w:val="23"/>
          <w:szCs w:val="23"/>
        </w:rPr>
      </w:pPr>
      <w:r>
        <w:rPr>
          <w:rFonts w:ascii="宋体" w:hAnsi="宋体" w:eastAsia="宋体" w:cs="宋体"/>
          <w:spacing w:val="12"/>
          <w:sz w:val="23"/>
          <w:szCs w:val="23"/>
        </w:rPr>
        <w:t>参</w:t>
      </w:r>
      <w:r>
        <w:rPr>
          <w:rFonts w:ascii="宋体" w:hAnsi="宋体" w:eastAsia="宋体" w:cs="宋体"/>
          <w:spacing w:val="7"/>
          <w:sz w:val="23"/>
          <w:szCs w:val="23"/>
        </w:rPr>
        <w:t>考</w:t>
      </w:r>
      <w:r>
        <w:rPr>
          <w:rFonts w:ascii="宋体" w:hAnsi="宋体" w:eastAsia="宋体" w:cs="宋体"/>
          <w:spacing w:val="6"/>
          <w:sz w:val="23"/>
          <w:szCs w:val="23"/>
        </w:rPr>
        <w:t xml:space="preserve">冶金工业出版社出版的《工业企业环境保护》 ， </w:t>
      </w:r>
      <w:r>
        <w:rPr>
          <w:rFonts w:ascii="Times New Roman" w:hAnsi="Times New Roman" w:eastAsia="Times New Roman" w:cs="Times New Roman"/>
          <w:spacing w:val="6"/>
          <w:sz w:val="23"/>
          <w:szCs w:val="23"/>
        </w:rPr>
        <w:t xml:space="preserve">α </w:t>
      </w:r>
      <w:r>
        <w:rPr>
          <w:rFonts w:ascii="宋体" w:hAnsi="宋体" w:eastAsia="宋体" w:cs="宋体"/>
          <w:spacing w:val="6"/>
          <w:sz w:val="23"/>
          <w:szCs w:val="23"/>
        </w:rPr>
        <w:t xml:space="preserve">取 </w:t>
      </w:r>
      <w:r>
        <w:rPr>
          <w:rFonts w:ascii="Times New Roman" w:hAnsi="Times New Roman" w:eastAsia="Times New Roman" w:cs="Times New Roman"/>
          <w:spacing w:val="6"/>
          <w:sz w:val="23"/>
          <w:szCs w:val="23"/>
        </w:rPr>
        <w:t>0. 10</w:t>
      </w:r>
      <w:r>
        <w:rPr>
          <w:rFonts w:ascii="宋体" w:hAnsi="宋体" w:eastAsia="宋体" w:cs="宋体"/>
          <w:spacing w:val="6"/>
          <w:sz w:val="23"/>
          <w:szCs w:val="23"/>
        </w:rPr>
        <w:t>； 厂房透</w:t>
      </w:r>
      <w:r>
        <w:rPr>
          <w:rFonts w:ascii="宋体" w:hAnsi="宋体" w:eastAsia="宋体" w:cs="宋体"/>
          <w:sz w:val="23"/>
          <w:szCs w:val="23"/>
        </w:rPr>
        <w:t xml:space="preserve"> </w:t>
      </w:r>
      <w:r>
        <w:rPr>
          <w:rFonts w:ascii="宋体" w:hAnsi="宋体" w:eastAsia="宋体" w:cs="宋体"/>
          <w:spacing w:val="6"/>
          <w:sz w:val="23"/>
          <w:szCs w:val="23"/>
        </w:rPr>
        <w:t>声系</w:t>
      </w:r>
      <w:r>
        <w:rPr>
          <w:rFonts w:ascii="宋体" w:hAnsi="宋体" w:eastAsia="宋体" w:cs="宋体"/>
          <w:spacing w:val="5"/>
          <w:sz w:val="23"/>
          <w:szCs w:val="23"/>
        </w:rPr>
        <w:t>数</w:t>
      </w:r>
      <w:r>
        <w:rPr>
          <w:rFonts w:ascii="宋体" w:hAnsi="宋体" w:eastAsia="宋体" w:cs="宋体"/>
          <w:spacing w:val="3"/>
          <w:sz w:val="23"/>
          <w:szCs w:val="23"/>
        </w:rPr>
        <w:t xml:space="preserve">取 </w:t>
      </w:r>
      <w:r>
        <w:rPr>
          <w:rFonts w:ascii="Times New Roman" w:hAnsi="Times New Roman" w:eastAsia="Times New Roman" w:cs="Times New Roman"/>
          <w:spacing w:val="3"/>
          <w:sz w:val="23"/>
          <w:szCs w:val="23"/>
        </w:rPr>
        <w:t>10</w:t>
      </w:r>
      <w:r>
        <w:rPr>
          <w:rFonts w:ascii="Times New Roman" w:hAnsi="Times New Roman" w:eastAsia="Times New Roman" w:cs="Times New Roman"/>
          <w:spacing w:val="3"/>
          <w:position w:val="7"/>
          <w:sz w:val="15"/>
          <w:szCs w:val="15"/>
        </w:rPr>
        <w:t xml:space="preserve">-2 </w:t>
      </w:r>
      <w:r>
        <w:rPr>
          <w:rFonts w:ascii="宋体" w:hAnsi="宋体" w:eastAsia="宋体" w:cs="宋体"/>
          <w:spacing w:val="3"/>
          <w:sz w:val="23"/>
          <w:szCs w:val="23"/>
        </w:rPr>
        <w:t>；</w:t>
      </w:r>
      <w:r>
        <w:rPr>
          <w:rFonts w:ascii="Times New Roman" w:hAnsi="Times New Roman" w:eastAsia="Times New Roman" w:cs="Times New Roman"/>
          <w:sz w:val="23"/>
          <w:szCs w:val="23"/>
        </w:rPr>
        <w:t>Q</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 xml:space="preserve">值取 </w:t>
      </w:r>
      <w:r>
        <w:rPr>
          <w:rFonts w:ascii="Times New Roman" w:hAnsi="Times New Roman" w:eastAsia="Times New Roman" w:cs="Times New Roman"/>
          <w:spacing w:val="3"/>
          <w:sz w:val="23"/>
          <w:szCs w:val="23"/>
        </w:rPr>
        <w:t>2</w:t>
      </w:r>
      <w:r>
        <w:rPr>
          <w:rFonts w:ascii="宋体" w:hAnsi="宋体" w:eastAsia="宋体" w:cs="宋体"/>
          <w:spacing w:val="3"/>
          <w:sz w:val="23"/>
          <w:szCs w:val="23"/>
        </w:rPr>
        <w:t>。</w:t>
      </w:r>
    </w:p>
    <w:p w14:paraId="50757BAE">
      <w:pPr>
        <w:spacing w:before="147" w:line="226" w:lineRule="auto"/>
        <w:ind w:left="632"/>
        <w:rPr>
          <w:rFonts w:ascii="宋体" w:hAnsi="宋体" w:eastAsia="宋体" w:cs="宋体"/>
          <w:sz w:val="23"/>
          <w:szCs w:val="23"/>
        </w:rPr>
      </w:pPr>
      <w:r>
        <w:rPr>
          <w:rFonts w:ascii="宋体" w:hAnsi="宋体" w:eastAsia="宋体" w:cs="宋体"/>
          <w:spacing w:val="33"/>
          <w:sz w:val="23"/>
          <w:szCs w:val="23"/>
        </w:rPr>
        <w:t>(</w:t>
      </w:r>
      <w:r>
        <w:rPr>
          <w:rFonts w:ascii="Times New Roman" w:hAnsi="Times New Roman" w:eastAsia="Times New Roman" w:cs="Times New Roman"/>
          <w:spacing w:val="25"/>
          <w:sz w:val="23"/>
          <w:szCs w:val="23"/>
        </w:rPr>
        <w:t>3</w:t>
      </w:r>
      <w:r>
        <w:rPr>
          <w:rFonts w:ascii="宋体" w:hAnsi="宋体" w:eastAsia="宋体" w:cs="宋体"/>
          <w:spacing w:val="25"/>
          <w:sz w:val="23"/>
          <w:szCs w:val="23"/>
        </w:rPr>
        <w:t>) 噪声影响预测与评价</w:t>
      </w:r>
    </w:p>
    <w:p w14:paraId="26BAA5B7">
      <w:pPr>
        <w:spacing w:line="278" w:lineRule="auto"/>
        <w:rPr>
          <w:rFonts w:ascii="Arial"/>
          <w:sz w:val="21"/>
        </w:rPr>
      </w:pPr>
    </w:p>
    <w:p w14:paraId="678D5410">
      <w:pPr>
        <w:spacing w:before="75" w:line="225" w:lineRule="auto"/>
        <w:ind w:left="596"/>
        <w:rPr>
          <w:rFonts w:ascii="宋体" w:hAnsi="宋体" w:eastAsia="宋体" w:cs="宋体"/>
          <w:sz w:val="23"/>
          <w:szCs w:val="23"/>
        </w:rPr>
      </w:pPr>
      <w:r>
        <w:rPr>
          <w:rFonts w:ascii="宋体" w:hAnsi="宋体" w:eastAsia="宋体" w:cs="宋体"/>
          <w:spacing w:val="9"/>
          <w:sz w:val="23"/>
          <w:szCs w:val="23"/>
        </w:rPr>
        <w:t>①</w:t>
      </w:r>
      <w:r>
        <w:rPr>
          <w:rFonts w:ascii="宋体" w:hAnsi="宋体" w:eastAsia="宋体" w:cs="宋体"/>
          <w:spacing w:val="8"/>
          <w:sz w:val="23"/>
          <w:szCs w:val="23"/>
        </w:rPr>
        <w:t>预测工况</w:t>
      </w:r>
    </w:p>
    <w:p w14:paraId="6FF4A24E">
      <w:pPr>
        <w:spacing w:line="279" w:lineRule="auto"/>
        <w:rPr>
          <w:rFonts w:ascii="Arial"/>
          <w:sz w:val="21"/>
        </w:rPr>
      </w:pPr>
    </w:p>
    <w:p w14:paraId="539DEBB9">
      <w:pPr>
        <w:spacing w:before="76" w:line="227" w:lineRule="auto"/>
        <w:ind w:left="602"/>
        <w:rPr>
          <w:rFonts w:ascii="宋体" w:hAnsi="宋体" w:eastAsia="宋体" w:cs="宋体"/>
          <w:sz w:val="23"/>
          <w:szCs w:val="23"/>
        </w:rPr>
      </w:pPr>
      <w:r>
        <w:rPr>
          <w:rFonts w:ascii="宋体" w:hAnsi="宋体" w:eastAsia="宋体" w:cs="宋体"/>
          <w:spacing w:val="11"/>
          <w:sz w:val="23"/>
          <w:szCs w:val="23"/>
        </w:rPr>
        <w:t>处</w:t>
      </w:r>
      <w:r>
        <w:rPr>
          <w:rFonts w:ascii="宋体" w:hAnsi="宋体" w:eastAsia="宋体" w:cs="宋体"/>
          <w:spacing w:val="9"/>
          <w:sz w:val="23"/>
          <w:szCs w:val="23"/>
        </w:rPr>
        <w:t>于生产状态，预测多台设备同时运行，平均辐射噪声工况。</w:t>
      </w:r>
    </w:p>
    <w:p w14:paraId="4941B69A">
      <w:pPr>
        <w:sectPr>
          <w:headerReference r:id="rId239" w:type="default"/>
          <w:footerReference r:id="rId240" w:type="default"/>
          <w:pgSz w:w="11906" w:h="16839"/>
          <w:pgMar w:top="1132" w:right="1691" w:bottom="1182" w:left="1691" w:header="878" w:footer="1022" w:gutter="0"/>
          <w:cols w:space="720" w:num="1"/>
        </w:sectPr>
      </w:pPr>
    </w:p>
    <w:p w14:paraId="33FF0310">
      <w:pPr>
        <w:spacing w:line="409" w:lineRule="auto"/>
        <w:rPr>
          <w:rFonts w:ascii="Arial"/>
          <w:sz w:val="21"/>
        </w:rPr>
      </w:pPr>
      <w:r>
        <w:pict>
          <v:shape id="_x0000_s1283" o:spid="_x0000_s1283" style="position:absolute;left:0pt;margin-left:90pt;margin-top:57.35pt;height:0.75pt;width:415.3pt;mso-position-horizontal-relative:page;mso-position-vertical-relative:page;z-index:251936768;mso-width-relative:page;mso-height-relative:page;" fillcolor="#000000" filled="t" stroked="f" coordsize="8305,15" o:allowincell="f" path="m0,0l8305,0,8305,14,0,14,0,0xe">
            <v:path/>
            <v:fill on="t" focussize="0,0"/>
            <v:stroke on="f"/>
            <v:imagedata o:title=""/>
            <o:lock v:ext="edit"/>
          </v:shape>
        </w:pict>
      </w:r>
    </w:p>
    <w:p w14:paraId="4A570530">
      <w:pPr>
        <w:spacing w:before="74" w:line="225" w:lineRule="auto"/>
        <w:ind w:left="501"/>
        <w:rPr>
          <w:rFonts w:ascii="宋体" w:hAnsi="宋体" w:eastAsia="宋体" w:cs="宋体"/>
          <w:sz w:val="23"/>
          <w:szCs w:val="23"/>
        </w:rPr>
      </w:pPr>
      <w:r>
        <w:rPr>
          <w:rFonts w:ascii="宋体" w:hAnsi="宋体" w:eastAsia="宋体" w:cs="宋体"/>
          <w:spacing w:val="10"/>
          <w:sz w:val="23"/>
          <w:szCs w:val="23"/>
        </w:rPr>
        <w:t>②</w:t>
      </w:r>
      <w:r>
        <w:rPr>
          <w:rFonts w:ascii="宋体" w:hAnsi="宋体" w:eastAsia="宋体" w:cs="宋体"/>
          <w:spacing w:val="8"/>
          <w:sz w:val="23"/>
          <w:szCs w:val="23"/>
        </w:rPr>
        <w:t>预测时段</w:t>
      </w:r>
    </w:p>
    <w:p w14:paraId="3095F0A4">
      <w:pPr>
        <w:spacing w:line="279" w:lineRule="auto"/>
        <w:rPr>
          <w:rFonts w:ascii="Arial"/>
          <w:sz w:val="21"/>
        </w:rPr>
      </w:pPr>
    </w:p>
    <w:p w14:paraId="3D5722E3">
      <w:pPr>
        <w:spacing w:before="74" w:line="228" w:lineRule="auto"/>
        <w:ind w:left="507"/>
        <w:rPr>
          <w:rFonts w:ascii="宋体" w:hAnsi="宋体" w:eastAsia="宋体" w:cs="宋体"/>
          <w:sz w:val="23"/>
          <w:szCs w:val="23"/>
        </w:rPr>
      </w:pPr>
      <w:r>
        <w:rPr>
          <w:rFonts w:ascii="宋体" w:hAnsi="宋体" w:eastAsia="宋体" w:cs="宋体"/>
          <w:spacing w:val="12"/>
          <w:sz w:val="23"/>
          <w:szCs w:val="23"/>
        </w:rPr>
        <w:t>项</w:t>
      </w:r>
      <w:r>
        <w:rPr>
          <w:rFonts w:ascii="宋体" w:hAnsi="宋体" w:eastAsia="宋体" w:cs="宋体"/>
          <w:spacing w:val="9"/>
          <w:sz w:val="23"/>
          <w:szCs w:val="23"/>
        </w:rPr>
        <w:t>目昼间、夜间均生产，因此，预测时段确定为昼间、夜间。</w:t>
      </w:r>
    </w:p>
    <w:p w14:paraId="572AFB70">
      <w:pPr>
        <w:spacing w:line="275" w:lineRule="auto"/>
        <w:rPr>
          <w:rFonts w:ascii="Arial"/>
          <w:sz w:val="21"/>
        </w:rPr>
      </w:pPr>
    </w:p>
    <w:p w14:paraId="5D177F36">
      <w:pPr>
        <w:spacing w:before="75" w:line="225" w:lineRule="auto"/>
        <w:ind w:left="501"/>
        <w:rPr>
          <w:rFonts w:ascii="宋体" w:hAnsi="宋体" w:eastAsia="宋体" w:cs="宋体"/>
          <w:sz w:val="23"/>
          <w:szCs w:val="23"/>
        </w:rPr>
      </w:pPr>
      <w:r>
        <w:rPr>
          <w:rFonts w:ascii="宋体" w:hAnsi="宋体" w:eastAsia="宋体" w:cs="宋体"/>
          <w:spacing w:val="10"/>
          <w:sz w:val="23"/>
          <w:szCs w:val="23"/>
        </w:rPr>
        <w:t>③</w:t>
      </w:r>
      <w:r>
        <w:rPr>
          <w:rFonts w:ascii="宋体" w:hAnsi="宋体" w:eastAsia="宋体" w:cs="宋体"/>
          <w:spacing w:val="8"/>
          <w:sz w:val="23"/>
          <w:szCs w:val="23"/>
        </w:rPr>
        <w:t>预测点位</w:t>
      </w:r>
    </w:p>
    <w:p w14:paraId="03EBF1C0">
      <w:pPr>
        <w:spacing w:line="280" w:lineRule="auto"/>
        <w:rPr>
          <w:rFonts w:ascii="Arial"/>
          <w:sz w:val="21"/>
        </w:rPr>
      </w:pPr>
    </w:p>
    <w:p w14:paraId="2FD2B3E7">
      <w:pPr>
        <w:spacing w:before="74" w:line="393" w:lineRule="auto"/>
        <w:ind w:left="25" w:right="13" w:firstLine="479"/>
        <w:rPr>
          <w:rFonts w:ascii="宋体" w:hAnsi="宋体" w:eastAsia="宋体" w:cs="宋体"/>
          <w:sz w:val="23"/>
          <w:szCs w:val="23"/>
        </w:rPr>
      </w:pPr>
      <w:r>
        <w:rPr>
          <w:rFonts w:ascii="宋体" w:hAnsi="宋体" w:eastAsia="宋体" w:cs="宋体"/>
          <w:spacing w:val="7"/>
          <w:sz w:val="23"/>
          <w:szCs w:val="23"/>
        </w:rPr>
        <w:t>本项目场界距敏感目标较远，本项目噪声对其影响微乎其微，因此，本项</w:t>
      </w:r>
      <w:r>
        <w:rPr>
          <w:rFonts w:ascii="宋体" w:hAnsi="宋体" w:eastAsia="宋体" w:cs="宋体"/>
          <w:spacing w:val="2"/>
          <w:sz w:val="23"/>
          <w:szCs w:val="23"/>
        </w:rPr>
        <w:t>目</w:t>
      </w:r>
      <w:r>
        <w:rPr>
          <w:rFonts w:ascii="宋体" w:hAnsi="宋体" w:eastAsia="宋体" w:cs="宋体"/>
          <w:sz w:val="23"/>
          <w:szCs w:val="23"/>
        </w:rPr>
        <w:t xml:space="preserve"> </w:t>
      </w:r>
      <w:r>
        <w:rPr>
          <w:rFonts w:ascii="宋体" w:hAnsi="宋体" w:eastAsia="宋体" w:cs="宋体"/>
          <w:spacing w:val="7"/>
          <w:sz w:val="23"/>
          <w:szCs w:val="23"/>
        </w:rPr>
        <w:t>预</w:t>
      </w:r>
      <w:r>
        <w:rPr>
          <w:rFonts w:ascii="宋体" w:hAnsi="宋体" w:eastAsia="宋体" w:cs="宋体"/>
          <w:spacing w:val="5"/>
          <w:sz w:val="23"/>
          <w:szCs w:val="23"/>
        </w:rPr>
        <w:t xml:space="preserve">测点位确定为项目厂界四周外 </w:t>
      </w:r>
      <w:r>
        <w:rPr>
          <w:rFonts w:ascii="Times New Roman" w:hAnsi="Times New Roman" w:eastAsia="Times New Roman" w:cs="Times New Roman"/>
          <w:spacing w:val="5"/>
          <w:sz w:val="23"/>
          <w:szCs w:val="23"/>
        </w:rPr>
        <w:t>1</w:t>
      </w:r>
      <w:r>
        <w:rPr>
          <w:rFonts w:ascii="Times New Roman" w:hAnsi="Times New Roman" w:eastAsia="Times New Roman" w:cs="Times New Roman"/>
          <w:sz w:val="23"/>
          <w:szCs w:val="23"/>
        </w:rPr>
        <w:t>m</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rPr>
        <w:t>处。</w:t>
      </w:r>
    </w:p>
    <w:p w14:paraId="4376DDBF">
      <w:pPr>
        <w:spacing w:before="136" w:line="225" w:lineRule="auto"/>
        <w:ind w:left="501"/>
        <w:rPr>
          <w:rFonts w:ascii="宋体" w:hAnsi="宋体" w:eastAsia="宋体" w:cs="宋体"/>
          <w:sz w:val="23"/>
          <w:szCs w:val="23"/>
        </w:rPr>
      </w:pPr>
      <w:r>
        <w:rPr>
          <w:rFonts w:ascii="宋体" w:hAnsi="宋体" w:eastAsia="宋体" w:cs="宋体"/>
          <w:spacing w:val="10"/>
          <w:sz w:val="23"/>
          <w:szCs w:val="23"/>
        </w:rPr>
        <w:t>④</w:t>
      </w:r>
      <w:r>
        <w:rPr>
          <w:rFonts w:ascii="宋体" w:hAnsi="宋体" w:eastAsia="宋体" w:cs="宋体"/>
          <w:spacing w:val="8"/>
          <w:sz w:val="23"/>
          <w:szCs w:val="23"/>
        </w:rPr>
        <w:t>预测方法</w:t>
      </w:r>
    </w:p>
    <w:p w14:paraId="162A72AE">
      <w:pPr>
        <w:spacing w:line="280" w:lineRule="auto"/>
        <w:rPr>
          <w:rFonts w:ascii="Arial"/>
          <w:sz w:val="21"/>
        </w:rPr>
      </w:pPr>
    </w:p>
    <w:p w14:paraId="52717D26">
      <w:pPr>
        <w:spacing w:before="76" w:line="389" w:lineRule="auto"/>
        <w:ind w:left="21" w:right="8" w:firstLine="483"/>
        <w:rPr>
          <w:rFonts w:ascii="宋体" w:hAnsi="宋体" w:eastAsia="宋体" w:cs="宋体"/>
          <w:sz w:val="23"/>
          <w:szCs w:val="23"/>
        </w:rPr>
      </w:pPr>
      <w:r>
        <w:rPr>
          <w:rFonts w:ascii="宋体" w:hAnsi="宋体" w:eastAsia="宋体" w:cs="宋体"/>
          <w:spacing w:val="8"/>
          <w:sz w:val="23"/>
          <w:szCs w:val="23"/>
        </w:rPr>
        <w:t>按照《环境影响</w:t>
      </w:r>
      <w:r>
        <w:rPr>
          <w:rFonts w:ascii="宋体" w:hAnsi="宋体" w:eastAsia="宋体" w:cs="宋体"/>
          <w:spacing w:val="5"/>
          <w:sz w:val="23"/>
          <w:szCs w:val="23"/>
        </w:rPr>
        <w:t>评</w:t>
      </w:r>
      <w:r>
        <w:rPr>
          <w:rFonts w:ascii="宋体" w:hAnsi="宋体" w:eastAsia="宋体" w:cs="宋体"/>
          <w:spacing w:val="4"/>
          <w:sz w:val="23"/>
          <w:szCs w:val="23"/>
        </w:rPr>
        <w:t>价技术导则</w:t>
      </w:r>
      <w:r>
        <w:rPr>
          <w:rFonts w:ascii="Times New Roman" w:hAnsi="Times New Roman" w:eastAsia="Times New Roman" w:cs="Times New Roman"/>
          <w:spacing w:val="4"/>
          <w:sz w:val="23"/>
          <w:szCs w:val="23"/>
        </w:rPr>
        <w:t>—</w:t>
      </w:r>
      <w:r>
        <w:rPr>
          <w:rFonts w:ascii="宋体" w:hAnsi="宋体" w:eastAsia="宋体" w:cs="宋体"/>
          <w:spacing w:val="4"/>
          <w:sz w:val="23"/>
          <w:szCs w:val="23"/>
        </w:rPr>
        <w:t>声环境》  (</w:t>
      </w:r>
      <w:r>
        <w:rPr>
          <w:rFonts w:ascii="Times New Roman" w:hAnsi="Times New Roman" w:eastAsia="Times New Roman" w:cs="Times New Roman"/>
          <w:sz w:val="23"/>
          <w:szCs w:val="23"/>
        </w:rPr>
        <w:t>HJ</w:t>
      </w:r>
      <w:r>
        <w:rPr>
          <w:rFonts w:ascii="Times New Roman" w:hAnsi="Times New Roman" w:eastAsia="Times New Roman" w:cs="Times New Roman"/>
          <w:spacing w:val="4"/>
          <w:sz w:val="23"/>
          <w:szCs w:val="23"/>
        </w:rPr>
        <w:t>2.4-2009</w:t>
      </w:r>
      <w:r>
        <w:rPr>
          <w:rFonts w:ascii="宋体" w:hAnsi="宋体" w:eastAsia="宋体" w:cs="宋体"/>
          <w:spacing w:val="4"/>
          <w:sz w:val="23"/>
          <w:szCs w:val="23"/>
        </w:rPr>
        <w:t>) 中规定的点源模式</w:t>
      </w:r>
      <w:r>
        <w:rPr>
          <w:rFonts w:ascii="宋体" w:hAnsi="宋体" w:eastAsia="宋体" w:cs="宋体"/>
          <w:sz w:val="23"/>
          <w:szCs w:val="23"/>
        </w:rPr>
        <w:t xml:space="preserve"> </w:t>
      </w:r>
      <w:r>
        <w:rPr>
          <w:rFonts w:ascii="宋体" w:hAnsi="宋体" w:eastAsia="宋体" w:cs="宋体"/>
          <w:spacing w:val="10"/>
          <w:sz w:val="23"/>
          <w:szCs w:val="23"/>
        </w:rPr>
        <w:t>进</w:t>
      </w:r>
      <w:r>
        <w:rPr>
          <w:rFonts w:ascii="宋体" w:hAnsi="宋体" w:eastAsia="宋体" w:cs="宋体"/>
          <w:spacing w:val="7"/>
          <w:sz w:val="23"/>
          <w:szCs w:val="23"/>
        </w:rPr>
        <w:t>行预测，预测按所有设备均运行。为了简化计算，本报告不按照倍频带声压级</w:t>
      </w:r>
      <w:r>
        <w:rPr>
          <w:rFonts w:ascii="宋体" w:hAnsi="宋体" w:eastAsia="宋体" w:cs="宋体"/>
          <w:sz w:val="23"/>
          <w:szCs w:val="23"/>
        </w:rPr>
        <w:t xml:space="preserve"> </w:t>
      </w:r>
      <w:r>
        <w:rPr>
          <w:rFonts w:ascii="宋体" w:hAnsi="宋体" w:eastAsia="宋体" w:cs="宋体"/>
          <w:spacing w:val="8"/>
          <w:sz w:val="23"/>
          <w:szCs w:val="23"/>
        </w:rPr>
        <w:t>分别进行详</w:t>
      </w:r>
      <w:r>
        <w:rPr>
          <w:rFonts w:ascii="宋体" w:hAnsi="宋体" w:eastAsia="宋体" w:cs="宋体"/>
          <w:spacing w:val="7"/>
          <w:sz w:val="23"/>
          <w:szCs w:val="23"/>
        </w:rPr>
        <w:t>细</w:t>
      </w:r>
      <w:r>
        <w:rPr>
          <w:rFonts w:ascii="宋体" w:hAnsi="宋体" w:eastAsia="宋体" w:cs="宋体"/>
          <w:spacing w:val="4"/>
          <w:sz w:val="23"/>
          <w:szCs w:val="23"/>
        </w:rPr>
        <w:t xml:space="preserve">的计算，只是简化为按照 </w:t>
      </w:r>
      <w:r>
        <w:rPr>
          <w:rFonts w:ascii="Times New Roman" w:hAnsi="Times New Roman" w:eastAsia="Times New Roman" w:cs="Times New Roman"/>
          <w:sz w:val="23"/>
          <w:szCs w:val="23"/>
        </w:rPr>
        <w:t>A</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 xml:space="preserve">声级进行预测，预测结果见表 </w:t>
      </w:r>
      <w:r>
        <w:rPr>
          <w:rFonts w:ascii="Times New Roman" w:hAnsi="Times New Roman" w:eastAsia="Times New Roman" w:cs="Times New Roman"/>
          <w:spacing w:val="4"/>
          <w:sz w:val="23"/>
          <w:szCs w:val="23"/>
        </w:rPr>
        <w:t xml:space="preserve">5- 17 </w:t>
      </w:r>
      <w:r>
        <w:rPr>
          <w:rFonts w:ascii="宋体" w:hAnsi="宋体" w:eastAsia="宋体" w:cs="宋体"/>
          <w:spacing w:val="4"/>
          <w:sz w:val="23"/>
          <w:szCs w:val="23"/>
        </w:rPr>
        <w:t>。</w:t>
      </w:r>
      <w:r>
        <w:rPr>
          <w:rFonts w:ascii="宋体" w:hAnsi="宋体" w:eastAsia="宋体" w:cs="宋体"/>
          <w:sz w:val="23"/>
          <w:szCs w:val="23"/>
        </w:rPr>
        <w:t xml:space="preserve"> </w:t>
      </w:r>
      <w:r>
        <w:rPr>
          <w:rFonts w:ascii="宋体" w:hAnsi="宋体" w:eastAsia="宋体" w:cs="宋体"/>
          <w:spacing w:val="10"/>
          <w:sz w:val="23"/>
          <w:szCs w:val="23"/>
        </w:rPr>
        <w:t>预</w:t>
      </w:r>
      <w:r>
        <w:rPr>
          <w:rFonts w:ascii="宋体" w:hAnsi="宋体" w:eastAsia="宋体" w:cs="宋体"/>
          <w:spacing w:val="7"/>
          <w:sz w:val="23"/>
          <w:szCs w:val="23"/>
        </w:rPr>
        <w:t>测方法如下：</w:t>
      </w:r>
    </w:p>
    <w:p w14:paraId="1905D900">
      <w:pPr>
        <w:spacing w:before="136" w:line="227" w:lineRule="auto"/>
        <w:ind w:left="507"/>
        <w:rPr>
          <w:rFonts w:ascii="宋体" w:hAnsi="宋体" w:eastAsia="宋体" w:cs="宋体"/>
          <w:sz w:val="23"/>
          <w:szCs w:val="23"/>
        </w:rPr>
      </w:pPr>
      <w:r>
        <w:rPr>
          <w:rFonts w:ascii="宋体" w:hAnsi="宋体" w:eastAsia="宋体" w:cs="宋体"/>
          <w:spacing w:val="16"/>
          <w:sz w:val="23"/>
          <w:szCs w:val="23"/>
        </w:rPr>
        <w:t>室</w:t>
      </w:r>
      <w:r>
        <w:rPr>
          <w:rFonts w:ascii="宋体" w:hAnsi="宋体" w:eastAsia="宋体" w:cs="宋体"/>
          <w:spacing w:val="8"/>
          <w:sz w:val="23"/>
          <w:szCs w:val="23"/>
        </w:rPr>
        <w:t>内声源等效室外声源的计算方法：</w:t>
      </w:r>
    </w:p>
    <w:p w14:paraId="3BA3CC25">
      <w:pPr>
        <w:spacing w:before="242" w:line="238" w:lineRule="auto"/>
        <w:ind w:left="2752"/>
        <w:rPr>
          <w:rFonts w:ascii="Times New Roman" w:hAnsi="Times New Roman" w:eastAsia="Times New Roman" w:cs="Times New Roman"/>
          <w:sz w:val="23"/>
          <w:szCs w:val="23"/>
        </w:rPr>
      </w:pPr>
      <w:r>
        <w:rPr>
          <w:rFonts w:ascii="Times New Roman" w:hAnsi="Times New Roman" w:eastAsia="Times New Roman" w:cs="Times New Roman"/>
          <w:i/>
          <w:iCs/>
          <w:position w:val="1"/>
          <w:sz w:val="23"/>
          <w:szCs w:val="23"/>
        </w:rPr>
        <w:t>L</w:t>
      </w:r>
      <w:r>
        <w:rPr>
          <w:rFonts w:ascii="Times New Roman" w:hAnsi="Times New Roman" w:eastAsia="Times New Roman" w:cs="Times New Roman"/>
          <w:i/>
          <w:iCs/>
          <w:position w:val="-8"/>
          <w:sz w:val="13"/>
          <w:szCs w:val="13"/>
        </w:rPr>
        <w:t>pi</w:t>
      </w:r>
      <w:r>
        <w:rPr>
          <w:rFonts w:ascii="Times New Roman" w:hAnsi="Times New Roman" w:eastAsia="Times New Roman" w:cs="Times New Roman"/>
          <w:spacing w:val="8"/>
          <w:position w:val="-8"/>
          <w:sz w:val="13"/>
          <w:szCs w:val="13"/>
        </w:rPr>
        <w:t xml:space="preserve">    </w:t>
      </w:r>
      <w:r>
        <w:rPr>
          <w:rFonts w:ascii="Times New Roman" w:hAnsi="Times New Roman" w:eastAsia="Times New Roman" w:cs="Times New Roman"/>
          <w:spacing w:val="4"/>
          <w:position w:val="-8"/>
          <w:sz w:val="13"/>
          <w:szCs w:val="13"/>
        </w:rPr>
        <w:t xml:space="preserve"> </w:t>
      </w:r>
      <w:r>
        <w:rPr>
          <w:rFonts w:ascii="Symbol" w:hAnsi="Symbol" w:eastAsia="Symbol" w:cs="Symbol"/>
          <w:spacing w:val="4"/>
          <w:position w:val="1"/>
          <w:sz w:val="23"/>
          <w:szCs w:val="23"/>
        </w:rPr>
        <w:t xml:space="preserve">= </w:t>
      </w:r>
      <w:r>
        <w:rPr>
          <w:rFonts w:ascii="Times New Roman" w:hAnsi="Times New Roman" w:eastAsia="Times New Roman" w:cs="Times New Roman"/>
          <w:i/>
          <w:iCs/>
          <w:position w:val="1"/>
          <w:sz w:val="23"/>
          <w:szCs w:val="23"/>
        </w:rPr>
        <w:t>L</w:t>
      </w:r>
      <w:r>
        <w:rPr>
          <w:rFonts w:ascii="Times New Roman" w:hAnsi="Times New Roman" w:eastAsia="Times New Roman" w:cs="Times New Roman"/>
          <w:i/>
          <w:iCs/>
          <w:position w:val="-4"/>
          <w:sz w:val="13"/>
          <w:szCs w:val="13"/>
        </w:rPr>
        <w:t>w</w:t>
      </w:r>
      <w:r>
        <w:rPr>
          <w:rFonts w:ascii="Times New Roman" w:hAnsi="Times New Roman" w:eastAsia="Times New Roman" w:cs="Times New Roman"/>
          <w:spacing w:val="4"/>
          <w:position w:val="-4"/>
          <w:sz w:val="13"/>
          <w:szCs w:val="13"/>
        </w:rPr>
        <w:t xml:space="preserve">  </w:t>
      </w:r>
      <w:r>
        <w:rPr>
          <w:rFonts w:ascii="Symbol" w:hAnsi="Symbol" w:eastAsia="Symbol" w:cs="Symbol"/>
          <w:spacing w:val="4"/>
          <w:position w:val="1"/>
          <w:sz w:val="23"/>
          <w:szCs w:val="23"/>
        </w:rPr>
        <w:t xml:space="preserve">+ </w:t>
      </w:r>
      <w:r>
        <w:rPr>
          <w:rFonts w:ascii="Times New Roman" w:hAnsi="Times New Roman" w:eastAsia="Times New Roman" w:cs="Times New Roman"/>
          <w:spacing w:val="4"/>
          <w:position w:val="1"/>
          <w:sz w:val="23"/>
          <w:szCs w:val="23"/>
        </w:rPr>
        <w:t xml:space="preserve">10 </w:t>
      </w:r>
      <w:r>
        <w:rPr>
          <w:rFonts w:ascii="Symbol" w:hAnsi="Symbol" w:eastAsia="Symbol" w:cs="Symbol"/>
          <w:spacing w:val="4"/>
          <w:position w:val="1"/>
          <w:sz w:val="23"/>
          <w:szCs w:val="23"/>
        </w:rPr>
        <w:t xml:space="preserve">. </w:t>
      </w:r>
      <w:r>
        <w:rPr>
          <w:rFonts w:ascii="Times New Roman" w:hAnsi="Times New Roman" w:eastAsia="Times New Roman" w:cs="Times New Roman"/>
          <w:position w:val="1"/>
          <w:sz w:val="23"/>
          <w:szCs w:val="23"/>
        </w:rPr>
        <w:t>lg</w:t>
      </w:r>
      <w:r>
        <w:rPr>
          <w:rFonts w:ascii="Times New Roman" w:hAnsi="Times New Roman" w:eastAsia="Times New Roman" w:cs="Times New Roman"/>
          <w:spacing w:val="4"/>
          <w:position w:val="1"/>
          <w:sz w:val="23"/>
          <w:szCs w:val="23"/>
        </w:rPr>
        <w:t>(</w:t>
      </w:r>
      <w:r>
        <w:rPr>
          <w:position w:val="-18"/>
          <w:sz w:val="23"/>
          <w:szCs w:val="23"/>
        </w:rPr>
        <w:drawing>
          <wp:inline distT="0" distB="0" distL="0" distR="0">
            <wp:extent cx="319405" cy="323215"/>
            <wp:effectExtent l="0" t="0" r="0" b="0"/>
            <wp:docPr id="134" name="IM 134"/>
            <wp:cNvGraphicFramePr/>
            <a:graphic xmlns:a="http://schemas.openxmlformats.org/drawingml/2006/main">
              <a:graphicData uri="http://schemas.openxmlformats.org/drawingml/2006/picture">
                <pic:pic xmlns:pic="http://schemas.openxmlformats.org/drawingml/2006/picture">
                  <pic:nvPicPr>
                    <pic:cNvPr id="134" name="IM 134"/>
                    <pic:cNvPicPr/>
                  </pic:nvPicPr>
                  <pic:blipFill>
                    <a:blip r:embed="rId524"/>
                    <a:stretch>
                      <a:fillRect/>
                    </a:stretch>
                  </pic:blipFill>
                  <pic:spPr>
                    <a:xfrm>
                      <a:off x="0" y="0"/>
                      <a:ext cx="320010" cy="323516"/>
                    </a:xfrm>
                    <a:prstGeom prst="rect">
                      <a:avLst/>
                    </a:prstGeom>
                  </pic:spPr>
                </pic:pic>
              </a:graphicData>
            </a:graphic>
          </wp:inline>
        </w:drawing>
      </w:r>
      <w:r>
        <w:rPr>
          <w:rFonts w:ascii="Times New Roman" w:hAnsi="Times New Roman" w:eastAsia="Times New Roman" w:cs="Times New Roman"/>
          <w:spacing w:val="4"/>
          <w:position w:val="1"/>
          <w:sz w:val="23"/>
          <w:szCs w:val="23"/>
        </w:rPr>
        <w:t xml:space="preserve"> </w:t>
      </w:r>
      <w:r>
        <w:rPr>
          <w:rFonts w:ascii="Symbol" w:hAnsi="Symbol" w:eastAsia="Symbol" w:cs="Symbol"/>
          <w:spacing w:val="4"/>
          <w:position w:val="1"/>
          <w:sz w:val="23"/>
          <w:szCs w:val="23"/>
        </w:rPr>
        <w:t xml:space="preserve">+ </w:t>
      </w:r>
      <w:r>
        <w:rPr>
          <w:position w:val="-17"/>
          <w:sz w:val="23"/>
          <w:szCs w:val="23"/>
        </w:rPr>
        <w:drawing>
          <wp:inline distT="0" distB="0" distL="0" distR="0">
            <wp:extent cx="125095" cy="318135"/>
            <wp:effectExtent l="0" t="0" r="0" b="0"/>
            <wp:docPr id="135" name="IM 135"/>
            <wp:cNvGraphicFramePr/>
            <a:graphic xmlns:a="http://schemas.openxmlformats.org/drawingml/2006/main">
              <a:graphicData uri="http://schemas.openxmlformats.org/drawingml/2006/picture">
                <pic:pic xmlns:pic="http://schemas.openxmlformats.org/drawingml/2006/picture">
                  <pic:nvPicPr>
                    <pic:cNvPr id="135" name="IM 135"/>
                    <pic:cNvPicPr/>
                  </pic:nvPicPr>
                  <pic:blipFill>
                    <a:blip r:embed="rId525"/>
                    <a:stretch>
                      <a:fillRect/>
                    </a:stretch>
                  </pic:blipFill>
                  <pic:spPr>
                    <a:xfrm>
                      <a:off x="0" y="0"/>
                      <a:ext cx="125289" cy="318466"/>
                    </a:xfrm>
                    <a:prstGeom prst="rect">
                      <a:avLst/>
                    </a:prstGeom>
                  </pic:spPr>
                </pic:pic>
              </a:graphicData>
            </a:graphic>
          </wp:inline>
        </w:drawing>
      </w:r>
      <w:r>
        <w:rPr>
          <w:rFonts w:ascii="Times New Roman" w:hAnsi="Times New Roman" w:eastAsia="Times New Roman" w:cs="Times New Roman"/>
          <w:spacing w:val="4"/>
          <w:position w:val="1"/>
          <w:sz w:val="23"/>
          <w:szCs w:val="23"/>
        </w:rPr>
        <w:t>)</w:t>
      </w:r>
    </w:p>
    <w:p w14:paraId="2D98320C">
      <w:pPr>
        <w:spacing w:line="262" w:lineRule="auto"/>
        <w:rPr>
          <w:rFonts w:ascii="Arial"/>
          <w:sz w:val="21"/>
        </w:rPr>
      </w:pPr>
    </w:p>
    <w:p w14:paraId="55BAEF69">
      <w:pPr>
        <w:spacing w:before="75" w:line="322" w:lineRule="exact"/>
        <w:ind w:left="508"/>
        <w:rPr>
          <w:rFonts w:ascii="宋体" w:hAnsi="宋体" w:eastAsia="宋体" w:cs="宋体"/>
          <w:sz w:val="23"/>
          <w:szCs w:val="23"/>
        </w:rPr>
      </w:pPr>
      <w:r>
        <w:rPr>
          <w:rFonts w:ascii="宋体" w:hAnsi="宋体" w:eastAsia="宋体" w:cs="宋体"/>
          <w:spacing w:val="18"/>
          <w:position w:val="2"/>
          <w:sz w:val="23"/>
          <w:szCs w:val="23"/>
        </w:rPr>
        <w:t>式中</w:t>
      </w:r>
      <w:r>
        <w:rPr>
          <w:rFonts w:ascii="宋体" w:hAnsi="宋体" w:eastAsia="宋体" w:cs="宋体"/>
          <w:spacing w:val="12"/>
          <w:position w:val="2"/>
          <w:sz w:val="23"/>
          <w:szCs w:val="23"/>
        </w:rPr>
        <w:t>：</w:t>
      </w:r>
      <w:r>
        <w:rPr>
          <w:rFonts w:ascii="Times New Roman" w:hAnsi="Times New Roman" w:eastAsia="Times New Roman" w:cs="Times New Roman"/>
          <w:i/>
          <w:iCs/>
          <w:position w:val="2"/>
          <w:sz w:val="23"/>
          <w:szCs w:val="23"/>
        </w:rPr>
        <w:t>L</w:t>
      </w:r>
      <w:r>
        <w:rPr>
          <w:rFonts w:ascii="Times New Roman" w:hAnsi="Times New Roman" w:eastAsia="Times New Roman" w:cs="Times New Roman"/>
          <w:i/>
          <w:iCs/>
          <w:position w:val="1"/>
          <w:sz w:val="15"/>
          <w:szCs w:val="15"/>
        </w:rPr>
        <w:t>pi</w:t>
      </w:r>
      <w:r>
        <w:rPr>
          <w:rFonts w:ascii="Times New Roman" w:hAnsi="Times New Roman" w:eastAsia="Times New Roman" w:cs="Times New Roman"/>
          <w:spacing w:val="9"/>
          <w:position w:val="1"/>
          <w:sz w:val="15"/>
          <w:szCs w:val="15"/>
        </w:rPr>
        <w:t xml:space="preserve"> </w:t>
      </w:r>
      <w:r>
        <w:rPr>
          <w:rFonts w:ascii="Times New Roman" w:hAnsi="Times New Roman" w:eastAsia="Times New Roman" w:cs="Times New Roman"/>
          <w:spacing w:val="9"/>
          <w:position w:val="2"/>
          <w:sz w:val="23"/>
          <w:szCs w:val="23"/>
        </w:rPr>
        <w:t xml:space="preserve">—  </w:t>
      </w:r>
      <w:r>
        <w:rPr>
          <w:rFonts w:ascii="宋体" w:hAnsi="宋体" w:eastAsia="宋体" w:cs="宋体"/>
          <w:spacing w:val="9"/>
          <w:position w:val="2"/>
          <w:sz w:val="23"/>
          <w:szCs w:val="23"/>
        </w:rPr>
        <w:t>某个室内声源在靠近围护结构处的声压级，</w:t>
      </w:r>
      <w:r>
        <w:rPr>
          <w:rFonts w:ascii="Times New Roman" w:hAnsi="Times New Roman" w:eastAsia="Times New Roman" w:cs="Times New Roman"/>
          <w:position w:val="2"/>
          <w:sz w:val="23"/>
          <w:szCs w:val="23"/>
        </w:rPr>
        <w:t>dB</w:t>
      </w:r>
      <w:r>
        <w:rPr>
          <w:rFonts w:ascii="宋体" w:hAnsi="宋体" w:eastAsia="宋体" w:cs="宋体"/>
          <w:spacing w:val="9"/>
          <w:position w:val="2"/>
          <w:sz w:val="23"/>
          <w:szCs w:val="23"/>
        </w:rPr>
        <w:t>；</w:t>
      </w:r>
    </w:p>
    <w:p w14:paraId="47FCD371">
      <w:pPr>
        <w:spacing w:before="314" w:line="322" w:lineRule="exact"/>
        <w:ind w:left="1206"/>
        <w:rPr>
          <w:rFonts w:ascii="宋体" w:hAnsi="宋体" w:eastAsia="宋体" w:cs="宋体"/>
          <w:sz w:val="23"/>
          <w:szCs w:val="23"/>
        </w:rPr>
      </w:pPr>
      <w:r>
        <w:rPr>
          <w:rFonts w:ascii="Times New Roman" w:hAnsi="Times New Roman" w:eastAsia="Times New Roman" w:cs="Times New Roman"/>
          <w:i/>
          <w:iCs/>
          <w:position w:val="1"/>
          <w:sz w:val="23"/>
          <w:szCs w:val="23"/>
        </w:rPr>
        <w:t>L</w:t>
      </w:r>
      <w:r>
        <w:rPr>
          <w:rFonts w:ascii="Times New Roman" w:hAnsi="Times New Roman" w:eastAsia="Times New Roman" w:cs="Times New Roman"/>
          <w:i/>
          <w:iCs/>
          <w:sz w:val="15"/>
          <w:szCs w:val="15"/>
        </w:rPr>
        <w:t>w</w:t>
      </w:r>
      <w:r>
        <w:rPr>
          <w:rFonts w:ascii="Times New Roman" w:hAnsi="Times New Roman" w:eastAsia="Times New Roman" w:cs="Times New Roman"/>
          <w:spacing w:val="11"/>
          <w:sz w:val="15"/>
          <w:szCs w:val="15"/>
        </w:rPr>
        <w:t xml:space="preserve"> </w:t>
      </w:r>
      <w:r>
        <w:rPr>
          <w:rFonts w:ascii="Times New Roman" w:hAnsi="Times New Roman" w:eastAsia="Times New Roman" w:cs="Times New Roman"/>
          <w:spacing w:val="11"/>
          <w:position w:val="1"/>
          <w:sz w:val="23"/>
          <w:szCs w:val="23"/>
        </w:rPr>
        <w:t xml:space="preserve">—  </w:t>
      </w:r>
      <w:r>
        <w:rPr>
          <w:rFonts w:ascii="宋体" w:hAnsi="宋体" w:eastAsia="宋体" w:cs="宋体"/>
          <w:spacing w:val="11"/>
          <w:position w:val="1"/>
          <w:sz w:val="23"/>
          <w:szCs w:val="23"/>
        </w:rPr>
        <w:t>某个声源的声功率级，</w:t>
      </w:r>
      <w:r>
        <w:rPr>
          <w:rFonts w:ascii="Times New Roman" w:hAnsi="Times New Roman" w:eastAsia="Times New Roman" w:cs="Times New Roman"/>
          <w:position w:val="1"/>
          <w:sz w:val="23"/>
          <w:szCs w:val="23"/>
        </w:rPr>
        <w:t>dB</w:t>
      </w:r>
      <w:r>
        <w:rPr>
          <w:rFonts w:ascii="宋体" w:hAnsi="宋体" w:eastAsia="宋体" w:cs="宋体"/>
          <w:spacing w:val="9"/>
          <w:position w:val="1"/>
          <w:sz w:val="23"/>
          <w:szCs w:val="23"/>
        </w:rPr>
        <w:t>；</w:t>
      </w:r>
    </w:p>
    <w:p w14:paraId="6C992FC9">
      <w:pPr>
        <w:spacing w:line="280" w:lineRule="auto"/>
        <w:rPr>
          <w:rFonts w:ascii="Arial"/>
          <w:sz w:val="21"/>
        </w:rPr>
      </w:pPr>
    </w:p>
    <w:p w14:paraId="5B664B6E">
      <w:pPr>
        <w:spacing w:before="76" w:line="227" w:lineRule="auto"/>
        <w:ind w:left="1219"/>
        <w:rPr>
          <w:rFonts w:ascii="宋体" w:hAnsi="宋体" w:eastAsia="宋体" w:cs="宋体"/>
          <w:sz w:val="23"/>
          <w:szCs w:val="23"/>
        </w:rPr>
      </w:pPr>
      <w:r>
        <w:rPr>
          <w:rFonts w:ascii="Times New Roman" w:hAnsi="Times New Roman" w:eastAsia="Times New Roman" w:cs="Times New Roman"/>
          <w:i/>
          <w:iCs/>
          <w:sz w:val="23"/>
          <w:szCs w:val="23"/>
        </w:rPr>
        <w:t>r</w:t>
      </w:r>
      <w:r>
        <w:rPr>
          <w:rFonts w:ascii="Times New Roman" w:hAnsi="Times New Roman" w:eastAsia="Times New Roman" w:cs="Times New Roman"/>
          <w:spacing w:val="11"/>
          <w:sz w:val="23"/>
          <w:szCs w:val="23"/>
        </w:rPr>
        <w:t xml:space="preserve"> </w:t>
      </w:r>
      <w:r>
        <w:rPr>
          <w:rFonts w:ascii="Times New Roman" w:hAnsi="Times New Roman" w:eastAsia="Times New Roman" w:cs="Times New Roman"/>
          <w:spacing w:val="8"/>
          <w:sz w:val="23"/>
          <w:szCs w:val="23"/>
        </w:rPr>
        <w:t xml:space="preserve">   —  </w:t>
      </w:r>
      <w:r>
        <w:rPr>
          <w:rFonts w:ascii="宋体" w:hAnsi="宋体" w:eastAsia="宋体" w:cs="宋体"/>
          <w:spacing w:val="8"/>
          <w:sz w:val="23"/>
          <w:szCs w:val="23"/>
        </w:rPr>
        <w:t>室内某个声源与靠近围护结构处的距离，</w:t>
      </w:r>
      <w:r>
        <w:rPr>
          <w:rFonts w:ascii="Times New Roman" w:hAnsi="Times New Roman" w:eastAsia="Times New Roman" w:cs="Times New Roman"/>
          <w:sz w:val="23"/>
          <w:szCs w:val="23"/>
        </w:rPr>
        <w:t>m</w:t>
      </w:r>
      <w:r>
        <w:rPr>
          <w:rFonts w:ascii="宋体" w:hAnsi="宋体" w:eastAsia="宋体" w:cs="宋体"/>
          <w:spacing w:val="8"/>
          <w:sz w:val="23"/>
          <w:szCs w:val="23"/>
        </w:rPr>
        <w:t>；</w:t>
      </w:r>
    </w:p>
    <w:p w14:paraId="502855F6">
      <w:pPr>
        <w:spacing w:line="274" w:lineRule="auto"/>
        <w:rPr>
          <w:rFonts w:ascii="Arial"/>
          <w:sz w:val="21"/>
        </w:rPr>
      </w:pPr>
    </w:p>
    <w:p w14:paraId="0A3524F1">
      <w:pPr>
        <w:spacing w:before="75" w:line="379" w:lineRule="auto"/>
        <w:ind w:left="22" w:right="13" w:firstLine="1200"/>
        <w:rPr>
          <w:rFonts w:ascii="宋体" w:hAnsi="宋体" w:eastAsia="宋体" w:cs="宋体"/>
          <w:sz w:val="23"/>
          <w:szCs w:val="23"/>
        </w:rPr>
      </w:pPr>
      <w:r>
        <w:rPr>
          <w:rFonts w:ascii="Times New Roman" w:hAnsi="Times New Roman" w:eastAsia="Times New Roman" w:cs="Times New Roman"/>
          <w:sz w:val="23"/>
          <w:szCs w:val="23"/>
        </w:rPr>
        <w:t>Q</w:t>
      </w:r>
      <w:r>
        <w:rPr>
          <w:rFonts w:ascii="Times New Roman" w:hAnsi="Times New Roman" w:eastAsia="Times New Roman" w:cs="Times New Roman"/>
          <w:spacing w:val="19"/>
          <w:sz w:val="23"/>
          <w:szCs w:val="23"/>
        </w:rPr>
        <w:t xml:space="preserve"> </w:t>
      </w:r>
      <w:r>
        <w:rPr>
          <w:rFonts w:ascii="Times New Roman" w:hAnsi="Times New Roman" w:eastAsia="Times New Roman" w:cs="Times New Roman"/>
          <w:spacing w:val="10"/>
          <w:sz w:val="23"/>
          <w:szCs w:val="23"/>
        </w:rPr>
        <w:t xml:space="preserve">—  </w:t>
      </w:r>
      <w:r>
        <w:rPr>
          <w:rFonts w:ascii="宋体" w:hAnsi="宋体" w:eastAsia="宋体" w:cs="宋体"/>
          <w:spacing w:val="10"/>
          <w:sz w:val="23"/>
          <w:szCs w:val="23"/>
        </w:rPr>
        <w:t>方向性因子；通常对无指向性声源，当声源放在房间中心时，</w:t>
      </w:r>
      <w:r>
        <w:rPr>
          <w:rFonts w:ascii="宋体" w:hAnsi="宋体" w:eastAsia="宋体" w:cs="宋体"/>
          <w:sz w:val="23"/>
          <w:szCs w:val="23"/>
        </w:rPr>
        <w:t xml:space="preserve"> </w:t>
      </w:r>
      <w:r>
        <w:rPr>
          <w:rFonts w:ascii="Times New Roman" w:hAnsi="Times New Roman" w:eastAsia="Times New Roman" w:cs="Times New Roman"/>
          <w:sz w:val="23"/>
          <w:szCs w:val="23"/>
        </w:rPr>
        <w:t>Q</w:t>
      </w:r>
      <w:r>
        <w:rPr>
          <w:rFonts w:ascii="Times New Roman" w:hAnsi="Times New Roman" w:eastAsia="Times New Roman" w:cs="Times New Roman"/>
          <w:spacing w:val="14"/>
          <w:sz w:val="23"/>
          <w:szCs w:val="23"/>
        </w:rPr>
        <w:t xml:space="preserve">=1 </w:t>
      </w:r>
      <w:r>
        <w:rPr>
          <w:rFonts w:ascii="宋体" w:hAnsi="宋体" w:eastAsia="宋体" w:cs="宋体"/>
          <w:spacing w:val="7"/>
          <w:sz w:val="23"/>
          <w:szCs w:val="23"/>
        </w:rPr>
        <w:t>；当放在一面墙的中心时，</w:t>
      </w:r>
      <w:r>
        <w:rPr>
          <w:rFonts w:ascii="Times New Roman" w:hAnsi="Times New Roman" w:eastAsia="Times New Roman" w:cs="Times New Roman"/>
          <w:sz w:val="23"/>
          <w:szCs w:val="23"/>
        </w:rPr>
        <w:t>Q</w:t>
      </w:r>
      <w:r>
        <w:rPr>
          <w:rFonts w:ascii="Times New Roman" w:hAnsi="Times New Roman" w:eastAsia="Times New Roman" w:cs="Times New Roman"/>
          <w:spacing w:val="7"/>
          <w:sz w:val="23"/>
          <w:szCs w:val="23"/>
        </w:rPr>
        <w:t xml:space="preserve">=2 </w:t>
      </w:r>
      <w:r>
        <w:rPr>
          <w:rFonts w:ascii="宋体" w:hAnsi="宋体" w:eastAsia="宋体" w:cs="宋体"/>
          <w:spacing w:val="7"/>
          <w:sz w:val="23"/>
          <w:szCs w:val="23"/>
        </w:rPr>
        <w:t>；当放在两面墙夹角处时，</w:t>
      </w:r>
      <w:r>
        <w:rPr>
          <w:rFonts w:ascii="Times New Roman" w:hAnsi="Times New Roman" w:eastAsia="Times New Roman" w:cs="Times New Roman"/>
          <w:sz w:val="23"/>
          <w:szCs w:val="23"/>
        </w:rPr>
        <w:t>Q</w:t>
      </w:r>
      <w:r>
        <w:rPr>
          <w:rFonts w:ascii="Times New Roman" w:hAnsi="Times New Roman" w:eastAsia="Times New Roman" w:cs="Times New Roman"/>
          <w:spacing w:val="7"/>
          <w:sz w:val="23"/>
          <w:szCs w:val="23"/>
        </w:rPr>
        <w:t>=4</w:t>
      </w:r>
      <w:r>
        <w:rPr>
          <w:rFonts w:ascii="宋体" w:hAnsi="宋体" w:eastAsia="宋体" w:cs="宋体"/>
          <w:spacing w:val="7"/>
          <w:sz w:val="23"/>
          <w:szCs w:val="23"/>
        </w:rPr>
        <w:t>；当放在三</w:t>
      </w:r>
      <w:r>
        <w:rPr>
          <w:rFonts w:ascii="宋体" w:hAnsi="宋体" w:eastAsia="宋体" w:cs="宋体"/>
          <w:sz w:val="23"/>
          <w:szCs w:val="23"/>
        </w:rPr>
        <w:t xml:space="preserve"> </w:t>
      </w:r>
      <w:r>
        <w:rPr>
          <w:rFonts w:ascii="宋体" w:hAnsi="宋体" w:eastAsia="宋体" w:cs="宋体"/>
          <w:spacing w:val="14"/>
          <w:sz w:val="23"/>
          <w:szCs w:val="23"/>
        </w:rPr>
        <w:t>面</w:t>
      </w:r>
      <w:r>
        <w:rPr>
          <w:rFonts w:ascii="宋体" w:hAnsi="宋体" w:eastAsia="宋体" w:cs="宋体"/>
          <w:spacing w:val="7"/>
          <w:sz w:val="23"/>
          <w:szCs w:val="23"/>
        </w:rPr>
        <w:t>墙夹角处时，</w:t>
      </w:r>
      <w:r>
        <w:rPr>
          <w:rFonts w:ascii="Times New Roman" w:hAnsi="Times New Roman" w:eastAsia="Times New Roman" w:cs="Times New Roman"/>
          <w:sz w:val="23"/>
          <w:szCs w:val="23"/>
        </w:rPr>
        <w:t>Q</w:t>
      </w:r>
      <w:r>
        <w:rPr>
          <w:rFonts w:ascii="Times New Roman" w:hAnsi="Times New Roman" w:eastAsia="Times New Roman" w:cs="Times New Roman"/>
          <w:spacing w:val="7"/>
          <w:sz w:val="23"/>
          <w:szCs w:val="23"/>
        </w:rPr>
        <w:t>=8</w:t>
      </w:r>
      <w:r>
        <w:rPr>
          <w:rFonts w:ascii="宋体" w:hAnsi="宋体" w:eastAsia="宋体" w:cs="宋体"/>
          <w:spacing w:val="7"/>
          <w:sz w:val="23"/>
          <w:szCs w:val="23"/>
        </w:rPr>
        <w:t>；</w:t>
      </w:r>
    </w:p>
    <w:p w14:paraId="3C0CD571">
      <w:pPr>
        <w:spacing w:before="182" w:line="227" w:lineRule="auto"/>
        <w:ind w:left="1208"/>
        <w:rPr>
          <w:rFonts w:ascii="宋体" w:hAnsi="宋体" w:eastAsia="宋体" w:cs="宋体"/>
          <w:sz w:val="23"/>
          <w:szCs w:val="23"/>
        </w:rPr>
      </w:pPr>
      <w:r>
        <w:rPr>
          <w:rFonts w:ascii="Times New Roman" w:hAnsi="Times New Roman" w:eastAsia="Times New Roman" w:cs="Times New Roman"/>
          <w:i/>
          <w:iCs/>
          <w:sz w:val="23"/>
          <w:szCs w:val="23"/>
        </w:rPr>
        <w:t>R</w:t>
      </w:r>
      <w:r>
        <w:rPr>
          <w:rFonts w:ascii="Times New Roman" w:hAnsi="Times New Roman" w:eastAsia="Times New Roman" w:cs="Times New Roman"/>
          <w:spacing w:val="14"/>
          <w:sz w:val="23"/>
          <w:szCs w:val="23"/>
        </w:rPr>
        <w:t xml:space="preserve"> </w:t>
      </w:r>
      <w:r>
        <w:rPr>
          <w:rFonts w:ascii="Times New Roman" w:hAnsi="Times New Roman" w:eastAsia="Times New Roman" w:cs="Times New Roman"/>
          <w:spacing w:val="10"/>
          <w:sz w:val="23"/>
          <w:szCs w:val="23"/>
        </w:rPr>
        <w:t xml:space="preserve"> </w:t>
      </w:r>
      <w:r>
        <w:rPr>
          <w:rFonts w:ascii="Times New Roman" w:hAnsi="Times New Roman" w:eastAsia="Times New Roman" w:cs="Times New Roman"/>
          <w:spacing w:val="7"/>
          <w:sz w:val="23"/>
          <w:szCs w:val="23"/>
        </w:rPr>
        <w:t xml:space="preserve">  —  </w:t>
      </w:r>
      <w:r>
        <w:rPr>
          <w:rFonts w:ascii="宋体" w:hAnsi="宋体" w:eastAsia="宋体" w:cs="宋体"/>
          <w:spacing w:val="7"/>
          <w:sz w:val="23"/>
          <w:szCs w:val="23"/>
        </w:rPr>
        <w:t>房间常数，按下式计算：</w:t>
      </w:r>
    </w:p>
    <w:p w14:paraId="7C5A4603">
      <w:pPr>
        <w:tabs>
          <w:tab w:val="left" w:pos="4520"/>
        </w:tabs>
        <w:spacing w:before="152" w:line="242" w:lineRule="exact"/>
        <w:ind w:left="4371"/>
        <w:rPr>
          <w:rFonts w:ascii="Arial"/>
          <w:sz w:val="21"/>
        </w:rPr>
      </w:pPr>
      <w:r>
        <w:rPr>
          <w:rFonts w:ascii="Arial" w:hAnsi="Arial" w:eastAsia="Arial" w:cs="Arial"/>
          <w:sz w:val="21"/>
          <w:szCs w:val="21"/>
          <w:u w:val="single" w:color="auto"/>
        </w:rPr>
        <w:tab/>
      </w:r>
    </w:p>
    <w:p w14:paraId="4D6797AE">
      <w:pPr>
        <w:spacing w:before="21" w:line="163" w:lineRule="exact"/>
        <w:ind w:left="4228"/>
        <w:rPr>
          <w:sz w:val="23"/>
          <w:szCs w:val="23"/>
        </w:rPr>
      </w:pPr>
      <w:r>
        <w:rPr>
          <w:rFonts w:ascii="Times New Roman" w:hAnsi="Times New Roman" w:eastAsia="Times New Roman" w:cs="Times New Roman"/>
          <w:i/>
          <w:iCs/>
          <w:spacing w:val="12"/>
          <w:position w:val="-3"/>
          <w:sz w:val="23"/>
          <w:szCs w:val="23"/>
        </w:rPr>
        <w:t>S</w:t>
      </w:r>
      <w:r>
        <w:rPr>
          <w:position w:val="-3"/>
          <w:sz w:val="23"/>
          <w:szCs w:val="23"/>
        </w:rPr>
        <w:drawing>
          <wp:inline distT="0" distB="0" distL="0" distR="0">
            <wp:extent cx="110490" cy="70485"/>
            <wp:effectExtent l="0" t="0" r="0" b="0"/>
            <wp:docPr id="136" name="IM 136"/>
            <wp:cNvGraphicFramePr/>
            <a:graphic xmlns:a="http://schemas.openxmlformats.org/drawingml/2006/main">
              <a:graphicData uri="http://schemas.openxmlformats.org/drawingml/2006/picture">
                <pic:pic xmlns:pic="http://schemas.openxmlformats.org/drawingml/2006/picture">
                  <pic:nvPicPr>
                    <pic:cNvPr id="136" name="IM 136"/>
                    <pic:cNvPicPr/>
                  </pic:nvPicPr>
                  <pic:blipFill>
                    <a:blip r:embed="rId526"/>
                    <a:stretch>
                      <a:fillRect/>
                    </a:stretch>
                  </pic:blipFill>
                  <pic:spPr>
                    <a:xfrm>
                      <a:off x="0" y="0"/>
                      <a:ext cx="110721" cy="70780"/>
                    </a:xfrm>
                    <a:prstGeom prst="rect">
                      <a:avLst/>
                    </a:prstGeom>
                  </pic:spPr>
                </pic:pic>
              </a:graphicData>
            </a:graphic>
          </wp:inline>
        </w:drawing>
      </w:r>
    </w:p>
    <w:p w14:paraId="7A0919C8">
      <w:pPr>
        <w:spacing w:line="168" w:lineRule="auto"/>
        <w:ind w:left="3705"/>
        <w:rPr>
          <w:rFonts w:ascii="Symbol" w:hAnsi="Symbol" w:eastAsia="Symbol" w:cs="Symbol"/>
          <w:sz w:val="23"/>
          <w:szCs w:val="23"/>
        </w:rPr>
      </w:pPr>
      <w:r>
        <w:rPr>
          <w:rFonts w:ascii="Times New Roman" w:hAnsi="Times New Roman" w:eastAsia="Times New Roman" w:cs="Times New Roman"/>
          <w:i/>
          <w:iCs/>
          <w:sz w:val="23"/>
          <w:szCs w:val="23"/>
        </w:rPr>
        <w:t>R</w:t>
      </w:r>
      <w:r>
        <w:rPr>
          <w:rFonts w:ascii="Times New Roman" w:hAnsi="Times New Roman" w:eastAsia="Times New Roman" w:cs="Times New Roman"/>
          <w:spacing w:val="15"/>
          <w:sz w:val="23"/>
          <w:szCs w:val="23"/>
        </w:rPr>
        <w:t xml:space="preserve"> </w:t>
      </w:r>
      <w:r>
        <w:rPr>
          <w:rFonts w:ascii="Symbol" w:hAnsi="Symbol" w:eastAsia="Symbol" w:cs="Symbol"/>
          <w:spacing w:val="14"/>
          <w:sz w:val="23"/>
          <w:szCs w:val="23"/>
        </w:rPr>
        <w:t>=</w:t>
      </w:r>
      <w:r>
        <w:rPr>
          <w:rFonts w:ascii="Symbol" w:hAnsi="Symbol" w:eastAsia="Symbol" w:cs="Symbol"/>
          <w:strike/>
          <w:sz w:val="23"/>
          <w:szCs w:val="23"/>
        </w:rPr>
        <w:t xml:space="preserve">         </w:t>
      </w:r>
    </w:p>
    <w:p w14:paraId="1FEBCCCA">
      <w:pPr>
        <w:spacing w:before="1" w:line="164" w:lineRule="auto"/>
        <w:ind w:left="4150"/>
        <w:rPr>
          <w:sz w:val="23"/>
          <w:szCs w:val="23"/>
        </w:rPr>
      </w:pPr>
      <w:r>
        <w:rPr>
          <w:rFonts w:ascii="Times New Roman" w:hAnsi="Times New Roman" w:eastAsia="Times New Roman" w:cs="Times New Roman"/>
          <w:spacing w:val="-7"/>
          <w:w w:val="67"/>
          <w:sz w:val="23"/>
          <w:szCs w:val="23"/>
        </w:rPr>
        <w:t>1</w:t>
      </w:r>
      <w:r>
        <w:rPr>
          <w:rFonts w:ascii="Times New Roman" w:hAnsi="Times New Roman" w:eastAsia="Times New Roman" w:cs="Times New Roman"/>
          <w:spacing w:val="-27"/>
          <w:sz w:val="23"/>
          <w:szCs w:val="23"/>
        </w:rPr>
        <w:t xml:space="preserve"> </w:t>
      </w:r>
      <w:r>
        <w:rPr>
          <w:rFonts w:ascii="微软雅黑" w:hAnsi="微软雅黑" w:eastAsia="微软雅黑" w:cs="微软雅黑"/>
          <w:spacing w:val="-7"/>
          <w:w w:val="67"/>
          <w:sz w:val="23"/>
          <w:szCs w:val="23"/>
        </w:rPr>
        <w:t>一</w:t>
      </w:r>
      <w:r>
        <w:rPr>
          <w:rFonts w:ascii="微软雅黑" w:hAnsi="微软雅黑" w:eastAsia="微软雅黑" w:cs="微软雅黑"/>
          <w:spacing w:val="-32"/>
          <w:sz w:val="23"/>
          <w:szCs w:val="23"/>
        </w:rPr>
        <w:t xml:space="preserve"> </w:t>
      </w:r>
      <w:r>
        <w:rPr>
          <w:sz w:val="23"/>
          <w:szCs w:val="23"/>
        </w:rPr>
        <w:drawing>
          <wp:inline distT="0" distB="0" distL="0" distR="0">
            <wp:extent cx="108585" cy="71755"/>
            <wp:effectExtent l="0" t="0" r="0" b="0"/>
            <wp:docPr id="137" name="IM 137"/>
            <wp:cNvGraphicFramePr/>
            <a:graphic xmlns:a="http://schemas.openxmlformats.org/drawingml/2006/main">
              <a:graphicData uri="http://schemas.openxmlformats.org/drawingml/2006/picture">
                <pic:pic xmlns:pic="http://schemas.openxmlformats.org/drawingml/2006/picture">
                  <pic:nvPicPr>
                    <pic:cNvPr id="137" name="IM 137"/>
                    <pic:cNvPicPr/>
                  </pic:nvPicPr>
                  <pic:blipFill>
                    <a:blip r:embed="rId527"/>
                    <a:stretch>
                      <a:fillRect/>
                    </a:stretch>
                  </pic:blipFill>
                  <pic:spPr>
                    <a:xfrm>
                      <a:off x="0" y="0"/>
                      <a:ext cx="108772" cy="71919"/>
                    </a:xfrm>
                    <a:prstGeom prst="rect">
                      <a:avLst/>
                    </a:prstGeom>
                  </pic:spPr>
                </pic:pic>
              </a:graphicData>
            </a:graphic>
          </wp:inline>
        </w:drawing>
      </w:r>
    </w:p>
    <w:p w14:paraId="4D44A77B">
      <w:pPr>
        <w:spacing w:before="227"/>
        <w:ind w:left="3500"/>
        <w:rPr>
          <w:rFonts w:ascii="Times New Roman" w:hAnsi="Times New Roman" w:eastAsia="Times New Roman" w:cs="Times New Roman"/>
          <w:sz w:val="17"/>
          <w:szCs w:val="17"/>
        </w:rPr>
      </w:pPr>
      <w:r>
        <w:rPr>
          <w:rFonts w:ascii="Times New Roman" w:hAnsi="Times New Roman" w:eastAsia="Times New Roman" w:cs="Times New Roman"/>
          <w:i/>
          <w:iCs/>
          <w:position w:val="5"/>
          <w:sz w:val="29"/>
          <w:szCs w:val="29"/>
        </w:rPr>
        <w:t>S</w:t>
      </w:r>
      <w:r>
        <w:rPr>
          <w:rFonts w:ascii="Times New Roman" w:hAnsi="Times New Roman" w:eastAsia="Times New Roman" w:cs="Times New Roman"/>
          <w:spacing w:val="19"/>
          <w:position w:val="5"/>
          <w:sz w:val="29"/>
          <w:szCs w:val="29"/>
        </w:rPr>
        <w:t xml:space="preserve"> </w:t>
      </w:r>
      <w:r>
        <w:rPr>
          <w:rFonts w:ascii="Symbol" w:hAnsi="Symbol" w:eastAsia="Symbol" w:cs="Symbol"/>
          <w:spacing w:val="18"/>
          <w:position w:val="5"/>
          <w:sz w:val="29"/>
          <w:szCs w:val="29"/>
        </w:rPr>
        <w:t xml:space="preserve">= </w:t>
      </w:r>
      <w:r>
        <w:rPr>
          <w:position w:val="-11"/>
          <w:sz w:val="29"/>
          <w:szCs w:val="29"/>
        </w:rPr>
        <w:drawing>
          <wp:inline distT="0" distB="0" distL="0" distR="0">
            <wp:extent cx="191135" cy="348615"/>
            <wp:effectExtent l="0" t="0" r="0" b="0"/>
            <wp:docPr id="138" name="IM 138"/>
            <wp:cNvGraphicFramePr/>
            <a:graphic xmlns:a="http://schemas.openxmlformats.org/drawingml/2006/main">
              <a:graphicData uri="http://schemas.openxmlformats.org/drawingml/2006/picture">
                <pic:pic xmlns:pic="http://schemas.openxmlformats.org/drawingml/2006/picture">
                  <pic:nvPicPr>
                    <pic:cNvPr id="138" name="IM 138"/>
                    <pic:cNvPicPr/>
                  </pic:nvPicPr>
                  <pic:blipFill>
                    <a:blip r:embed="rId528"/>
                    <a:stretch>
                      <a:fillRect/>
                    </a:stretch>
                  </pic:blipFill>
                  <pic:spPr>
                    <a:xfrm>
                      <a:off x="0" y="0"/>
                      <a:ext cx="191716" cy="349198"/>
                    </a:xfrm>
                    <a:prstGeom prst="rect">
                      <a:avLst/>
                    </a:prstGeom>
                  </pic:spPr>
                </pic:pic>
              </a:graphicData>
            </a:graphic>
          </wp:inline>
        </w:drawing>
      </w:r>
      <w:r>
        <w:rPr>
          <w:rFonts w:ascii="Symbol" w:hAnsi="Symbol" w:eastAsia="Symbol" w:cs="Symbol"/>
          <w:spacing w:val="18"/>
          <w:position w:val="5"/>
          <w:sz w:val="29"/>
          <w:szCs w:val="29"/>
        </w:rPr>
        <w:t xml:space="preserve"> </w:t>
      </w:r>
      <w:r>
        <w:rPr>
          <w:rFonts w:ascii="Times New Roman" w:hAnsi="Times New Roman" w:eastAsia="Times New Roman" w:cs="Times New Roman"/>
          <w:i/>
          <w:iCs/>
          <w:position w:val="5"/>
          <w:sz w:val="29"/>
          <w:szCs w:val="29"/>
        </w:rPr>
        <w:t>S</w:t>
      </w:r>
      <w:r>
        <w:rPr>
          <w:rFonts w:ascii="Times New Roman" w:hAnsi="Times New Roman" w:eastAsia="Times New Roman" w:cs="Times New Roman"/>
          <w:i/>
          <w:iCs/>
          <w:position w:val="-2"/>
          <w:sz w:val="17"/>
          <w:szCs w:val="17"/>
        </w:rPr>
        <w:t>k</w:t>
      </w:r>
    </w:p>
    <w:p w14:paraId="2AC0D379">
      <w:pPr>
        <w:spacing w:line="325" w:lineRule="auto"/>
        <w:rPr>
          <w:rFonts w:ascii="Arial"/>
          <w:sz w:val="21"/>
        </w:rPr>
      </w:pPr>
    </w:p>
    <w:p w14:paraId="784626A8">
      <w:pPr>
        <w:spacing w:before="75" w:line="228" w:lineRule="auto"/>
        <w:ind w:left="508"/>
        <w:rPr>
          <w:rFonts w:ascii="宋体" w:hAnsi="宋体" w:eastAsia="宋体" w:cs="宋体"/>
          <w:sz w:val="23"/>
          <w:szCs w:val="23"/>
        </w:rPr>
      </w:pPr>
      <w:r>
        <w:rPr>
          <w:rFonts w:ascii="宋体" w:hAnsi="宋体" w:eastAsia="宋体" w:cs="宋体"/>
          <w:spacing w:val="14"/>
          <w:sz w:val="23"/>
          <w:szCs w:val="23"/>
        </w:rPr>
        <w:t>式</w:t>
      </w:r>
      <w:r>
        <w:rPr>
          <w:rFonts w:ascii="宋体" w:hAnsi="宋体" w:eastAsia="宋体" w:cs="宋体"/>
          <w:spacing w:val="8"/>
          <w:sz w:val="23"/>
          <w:szCs w:val="23"/>
        </w:rPr>
        <w:t>中</w:t>
      </w:r>
      <w:r>
        <w:rPr>
          <w:rFonts w:ascii="宋体" w:hAnsi="宋体" w:eastAsia="宋体" w:cs="宋体"/>
          <w:spacing w:val="7"/>
          <w:sz w:val="23"/>
          <w:szCs w:val="23"/>
        </w:rPr>
        <w:t>：</w:t>
      </w:r>
      <w:r>
        <w:rPr>
          <w:rFonts w:ascii="Times New Roman" w:hAnsi="Times New Roman" w:eastAsia="Times New Roman" w:cs="Times New Roman"/>
          <w:i/>
          <w:iCs/>
          <w:sz w:val="23"/>
          <w:szCs w:val="23"/>
        </w:rPr>
        <w:t>S</w:t>
      </w:r>
      <w:r>
        <w:rPr>
          <w:rFonts w:ascii="Times New Roman" w:hAnsi="Times New Roman" w:eastAsia="Times New Roman" w:cs="Times New Roman"/>
          <w:spacing w:val="7"/>
          <w:sz w:val="23"/>
          <w:szCs w:val="23"/>
        </w:rPr>
        <w:t xml:space="preserve"> —  </w:t>
      </w:r>
      <w:r>
        <w:rPr>
          <w:rFonts w:ascii="宋体" w:hAnsi="宋体" w:eastAsia="宋体" w:cs="宋体"/>
          <w:spacing w:val="7"/>
          <w:sz w:val="23"/>
          <w:szCs w:val="23"/>
        </w:rPr>
        <w:t>房间的总表面积，</w:t>
      </w:r>
      <w:r>
        <w:rPr>
          <w:rFonts w:ascii="Times New Roman" w:hAnsi="Times New Roman" w:eastAsia="Times New Roman" w:cs="Times New Roman"/>
          <w:sz w:val="23"/>
          <w:szCs w:val="23"/>
        </w:rPr>
        <w:t>m</w:t>
      </w:r>
      <w:r>
        <w:rPr>
          <w:rFonts w:ascii="Times New Roman" w:hAnsi="Times New Roman" w:eastAsia="Times New Roman" w:cs="Times New Roman"/>
          <w:spacing w:val="7"/>
          <w:position w:val="8"/>
          <w:sz w:val="15"/>
          <w:szCs w:val="15"/>
        </w:rPr>
        <w:t>2</w:t>
      </w:r>
      <w:r>
        <w:rPr>
          <w:rFonts w:ascii="宋体" w:hAnsi="宋体" w:eastAsia="宋体" w:cs="宋体"/>
          <w:spacing w:val="7"/>
          <w:sz w:val="23"/>
          <w:szCs w:val="23"/>
        </w:rPr>
        <w:t>；</w:t>
      </w:r>
    </w:p>
    <w:p w14:paraId="365B0E3F">
      <w:pPr>
        <w:sectPr>
          <w:headerReference r:id="rId241" w:type="default"/>
          <w:footerReference r:id="rId242" w:type="default"/>
          <w:pgSz w:w="11906" w:h="16839"/>
          <w:pgMar w:top="1132" w:right="1785" w:bottom="1182" w:left="1785" w:header="878" w:footer="1022" w:gutter="0"/>
          <w:cols w:space="720" w:num="1"/>
        </w:sectPr>
      </w:pPr>
    </w:p>
    <w:p w14:paraId="74C263D4">
      <w:pPr>
        <w:spacing w:line="409" w:lineRule="auto"/>
        <w:rPr>
          <w:rFonts w:ascii="Arial"/>
          <w:sz w:val="21"/>
        </w:rPr>
      </w:pPr>
      <w:r>
        <w:pict>
          <v:shape id="_x0000_s1284" o:spid="_x0000_s1284" style="position:absolute;left:0pt;margin-left:90pt;margin-top:57.35pt;height:0.75pt;width:415.3pt;mso-position-horizontal-relative:page;mso-position-vertical-relative:page;z-index:251937792;mso-width-relative:page;mso-height-relative:page;" fillcolor="#000000" filled="t" stroked="f" coordsize="8305,15" o:allowincell="f" path="m0,0l8305,0,8305,14,0,14,0,0xe">
            <v:path/>
            <v:fill on="t" focussize="0,0"/>
            <v:stroke on="f"/>
            <v:imagedata o:title=""/>
            <o:lock v:ext="edit"/>
          </v:shape>
        </w:pict>
      </w:r>
    </w:p>
    <w:p w14:paraId="5CFD14F1">
      <w:pPr>
        <w:spacing w:before="74" w:line="227" w:lineRule="auto"/>
        <w:ind w:left="1224"/>
        <w:rPr>
          <w:rFonts w:ascii="宋体" w:hAnsi="宋体" w:eastAsia="宋体" w:cs="宋体"/>
          <w:sz w:val="23"/>
          <w:szCs w:val="23"/>
        </w:rPr>
      </w:pPr>
      <w:r>
        <w:rPr>
          <w:rFonts w:ascii="Times New Roman" w:hAnsi="Times New Roman" w:eastAsia="Times New Roman" w:cs="Times New Roman"/>
          <w:spacing w:val="-1"/>
          <w:sz w:val="23"/>
          <w:szCs w:val="23"/>
        </w:rPr>
        <w:t xml:space="preserve">α—  </w:t>
      </w:r>
      <w:r>
        <w:rPr>
          <w:rFonts w:ascii="宋体" w:hAnsi="宋体" w:eastAsia="宋体" w:cs="宋体"/>
          <w:spacing w:val="-1"/>
          <w:sz w:val="23"/>
          <w:szCs w:val="23"/>
        </w:rPr>
        <w:t>平均吸声系数，</w:t>
      </w:r>
      <w:r>
        <w:rPr>
          <w:rFonts w:ascii="宋体" w:hAnsi="宋体" w:eastAsia="宋体" w:cs="宋体"/>
          <w:sz w:val="23"/>
          <w:szCs w:val="23"/>
        </w:rPr>
        <w:t xml:space="preserve">取 </w:t>
      </w:r>
      <w:r>
        <w:rPr>
          <w:rFonts w:ascii="Times New Roman" w:hAnsi="Times New Roman" w:eastAsia="Times New Roman" w:cs="Times New Roman"/>
          <w:sz w:val="23"/>
          <w:szCs w:val="23"/>
        </w:rPr>
        <w:t>0. 1</w:t>
      </w:r>
      <w:r>
        <w:rPr>
          <w:rFonts w:ascii="宋体" w:hAnsi="宋体" w:eastAsia="宋体" w:cs="宋体"/>
          <w:sz w:val="23"/>
          <w:szCs w:val="23"/>
        </w:rPr>
        <w:t>。</w:t>
      </w:r>
    </w:p>
    <w:p w14:paraId="6F97AD6F">
      <w:pPr>
        <w:spacing w:line="276" w:lineRule="auto"/>
        <w:rPr>
          <w:rFonts w:ascii="Arial"/>
          <w:sz w:val="21"/>
        </w:rPr>
      </w:pPr>
    </w:p>
    <w:p w14:paraId="02B8E8E5">
      <w:pPr>
        <w:spacing w:before="75" w:line="227" w:lineRule="auto"/>
        <w:ind w:left="507"/>
        <w:rPr>
          <w:rFonts w:ascii="宋体" w:hAnsi="宋体" w:eastAsia="宋体" w:cs="宋体"/>
          <w:sz w:val="23"/>
          <w:szCs w:val="23"/>
        </w:rPr>
      </w:pPr>
      <w:r>
        <w:rPr>
          <w:rFonts w:ascii="宋体" w:hAnsi="宋体" w:eastAsia="宋体" w:cs="宋体"/>
          <w:spacing w:val="12"/>
          <w:sz w:val="23"/>
          <w:szCs w:val="23"/>
        </w:rPr>
        <w:t>室内</w:t>
      </w:r>
      <w:r>
        <w:rPr>
          <w:rFonts w:ascii="宋体" w:hAnsi="宋体" w:eastAsia="宋体" w:cs="宋体"/>
          <w:spacing w:val="10"/>
          <w:sz w:val="23"/>
          <w:szCs w:val="23"/>
        </w:rPr>
        <w:t>所</w:t>
      </w:r>
      <w:r>
        <w:rPr>
          <w:rFonts w:ascii="宋体" w:hAnsi="宋体" w:eastAsia="宋体" w:cs="宋体"/>
          <w:spacing w:val="6"/>
          <w:sz w:val="23"/>
          <w:szCs w:val="23"/>
        </w:rPr>
        <w:t>有声源在靠近围护结构处的合成声压级 (</w:t>
      </w:r>
      <w:r>
        <w:rPr>
          <w:rFonts w:ascii="Times New Roman" w:hAnsi="Times New Roman" w:eastAsia="Times New Roman" w:cs="Times New Roman"/>
          <w:sz w:val="23"/>
          <w:szCs w:val="23"/>
        </w:rPr>
        <w:t>L</w:t>
      </w:r>
      <w:r>
        <w:rPr>
          <w:rFonts w:ascii="Times New Roman" w:hAnsi="Times New Roman" w:eastAsia="Times New Roman" w:cs="Times New Roman"/>
          <w:spacing w:val="6"/>
          <w:position w:val="-1"/>
          <w:sz w:val="15"/>
          <w:szCs w:val="15"/>
        </w:rPr>
        <w:t xml:space="preserve">1 </w:t>
      </w:r>
      <w:r>
        <w:rPr>
          <w:rFonts w:ascii="宋体" w:hAnsi="宋体" w:eastAsia="宋体" w:cs="宋体"/>
          <w:spacing w:val="6"/>
          <w:sz w:val="23"/>
          <w:szCs w:val="23"/>
        </w:rPr>
        <w:t>) ：</w:t>
      </w:r>
    </w:p>
    <w:p w14:paraId="14581781">
      <w:pPr>
        <w:spacing w:before="251" w:line="204" w:lineRule="auto"/>
        <w:ind w:left="3172"/>
        <w:rPr>
          <w:rFonts w:ascii="Times New Roman" w:hAnsi="Times New Roman" w:eastAsia="Times New Roman" w:cs="Times New Roman"/>
          <w:sz w:val="23"/>
          <w:szCs w:val="23"/>
        </w:rPr>
      </w:pPr>
      <w:r>
        <w:rPr>
          <w:rFonts w:ascii="Times New Roman" w:hAnsi="Times New Roman" w:eastAsia="Times New Roman" w:cs="Times New Roman"/>
          <w:i/>
          <w:iCs/>
          <w:sz w:val="23"/>
          <w:szCs w:val="23"/>
        </w:rPr>
        <w:t>L</w:t>
      </w:r>
      <w:r>
        <w:rPr>
          <w:rFonts w:ascii="Times New Roman" w:hAnsi="Times New Roman" w:eastAsia="Times New Roman" w:cs="Times New Roman"/>
          <w:spacing w:val="12"/>
          <w:position w:val="-5"/>
          <w:sz w:val="13"/>
          <w:szCs w:val="13"/>
        </w:rPr>
        <w:t>1</w:t>
      </w:r>
      <w:r>
        <w:rPr>
          <w:rFonts w:ascii="Times New Roman" w:hAnsi="Times New Roman" w:eastAsia="Times New Roman" w:cs="Times New Roman"/>
          <w:spacing w:val="7"/>
          <w:position w:val="-5"/>
          <w:sz w:val="13"/>
          <w:szCs w:val="13"/>
        </w:rPr>
        <w:t xml:space="preserve"> </w:t>
      </w:r>
      <w:r>
        <w:rPr>
          <w:rFonts w:ascii="Times New Roman" w:hAnsi="Times New Roman" w:eastAsia="Times New Roman" w:cs="Times New Roman"/>
          <w:spacing w:val="6"/>
          <w:position w:val="-5"/>
          <w:sz w:val="13"/>
          <w:szCs w:val="13"/>
        </w:rPr>
        <w:t xml:space="preserve"> </w:t>
      </w:r>
      <w:r>
        <w:rPr>
          <w:rFonts w:ascii="Symbol" w:hAnsi="Symbol" w:eastAsia="Symbol" w:cs="Symbol"/>
          <w:spacing w:val="6"/>
          <w:sz w:val="23"/>
          <w:szCs w:val="23"/>
        </w:rPr>
        <w:t xml:space="preserve">= </w:t>
      </w:r>
      <w:r>
        <w:rPr>
          <w:rFonts w:ascii="Times New Roman" w:hAnsi="Times New Roman" w:eastAsia="Times New Roman" w:cs="Times New Roman"/>
          <w:spacing w:val="6"/>
          <w:sz w:val="23"/>
          <w:szCs w:val="23"/>
        </w:rPr>
        <w:t xml:space="preserve">10 </w:t>
      </w:r>
      <w:r>
        <w:rPr>
          <w:rFonts w:ascii="Times New Roman" w:hAnsi="Times New Roman" w:eastAsia="Times New Roman" w:cs="Times New Roman"/>
          <w:sz w:val="23"/>
          <w:szCs w:val="23"/>
        </w:rPr>
        <w:t>lg</w:t>
      </w:r>
      <w:r>
        <w:rPr>
          <w:rFonts w:ascii="Times New Roman" w:hAnsi="Times New Roman" w:eastAsia="Times New Roman" w:cs="Times New Roman"/>
          <w:spacing w:val="6"/>
          <w:sz w:val="23"/>
          <w:szCs w:val="23"/>
        </w:rPr>
        <w:t>(</w:t>
      </w:r>
      <w:r>
        <w:rPr>
          <w:rFonts w:ascii="Times New Roman" w:hAnsi="Times New Roman" w:eastAsia="Times New Roman" w:cs="Times New Roman"/>
          <w:i/>
          <w:iCs/>
          <w:position w:val="24"/>
          <w:sz w:val="13"/>
          <w:szCs w:val="13"/>
        </w:rPr>
        <w:t>n</w:t>
      </w:r>
      <w:r>
        <w:rPr>
          <w:position w:val="-12"/>
          <w:sz w:val="13"/>
          <w:szCs w:val="13"/>
        </w:rPr>
        <w:drawing>
          <wp:inline distT="0" distB="0" distL="0" distR="0">
            <wp:extent cx="53975" cy="277495"/>
            <wp:effectExtent l="0" t="0" r="0" b="0"/>
            <wp:docPr id="139" name="IM 139"/>
            <wp:cNvGraphicFramePr/>
            <a:graphic xmlns:a="http://schemas.openxmlformats.org/drawingml/2006/main">
              <a:graphicData uri="http://schemas.openxmlformats.org/drawingml/2006/picture">
                <pic:pic xmlns:pic="http://schemas.openxmlformats.org/drawingml/2006/picture">
                  <pic:nvPicPr>
                    <pic:cNvPr id="139" name="IM 139"/>
                    <pic:cNvPicPr/>
                  </pic:nvPicPr>
                  <pic:blipFill>
                    <a:blip r:embed="rId529"/>
                    <a:stretch>
                      <a:fillRect/>
                    </a:stretch>
                  </pic:blipFill>
                  <pic:spPr>
                    <a:xfrm>
                      <a:off x="0" y="0"/>
                      <a:ext cx="54345" cy="277567"/>
                    </a:xfrm>
                    <a:prstGeom prst="rect">
                      <a:avLst/>
                    </a:prstGeom>
                  </pic:spPr>
                </pic:pic>
              </a:graphicData>
            </a:graphic>
          </wp:inline>
        </w:drawing>
      </w:r>
      <w:r>
        <w:rPr>
          <w:rFonts w:ascii="Times New Roman" w:hAnsi="Times New Roman" w:eastAsia="Times New Roman" w:cs="Times New Roman"/>
          <w:spacing w:val="6"/>
          <w:position w:val="24"/>
          <w:sz w:val="13"/>
          <w:szCs w:val="13"/>
        </w:rPr>
        <w:t xml:space="preserve"> </w:t>
      </w:r>
      <w:r>
        <w:rPr>
          <w:rFonts w:ascii="Times New Roman" w:hAnsi="Times New Roman" w:eastAsia="Times New Roman" w:cs="Times New Roman"/>
          <w:spacing w:val="6"/>
          <w:sz w:val="23"/>
          <w:szCs w:val="23"/>
        </w:rPr>
        <w:t>10</w:t>
      </w:r>
      <w:r>
        <w:rPr>
          <w:rFonts w:ascii="Times New Roman" w:hAnsi="Times New Roman" w:eastAsia="Times New Roman" w:cs="Times New Roman"/>
          <w:spacing w:val="6"/>
          <w:position w:val="13"/>
          <w:sz w:val="13"/>
          <w:szCs w:val="13"/>
        </w:rPr>
        <w:t>0. 1</w:t>
      </w:r>
      <w:r>
        <w:rPr>
          <w:rFonts w:ascii="Times New Roman" w:hAnsi="Times New Roman" w:eastAsia="Times New Roman" w:cs="Times New Roman"/>
          <w:i/>
          <w:iCs/>
          <w:position w:val="13"/>
          <w:sz w:val="13"/>
          <w:szCs w:val="13"/>
        </w:rPr>
        <w:t>L</w:t>
      </w:r>
      <w:r>
        <w:rPr>
          <w:rFonts w:ascii="Times New Roman" w:hAnsi="Times New Roman" w:eastAsia="Times New Roman" w:cs="Times New Roman"/>
          <w:i/>
          <w:iCs/>
          <w:position w:val="10"/>
          <w:sz w:val="9"/>
          <w:szCs w:val="9"/>
        </w:rPr>
        <w:t>pi</w:t>
      </w:r>
      <w:r>
        <w:rPr>
          <w:rFonts w:ascii="Times New Roman" w:hAnsi="Times New Roman" w:eastAsia="Times New Roman" w:cs="Times New Roman"/>
          <w:spacing w:val="6"/>
          <w:position w:val="10"/>
          <w:sz w:val="9"/>
          <w:szCs w:val="9"/>
        </w:rPr>
        <w:t xml:space="preserve">  </w:t>
      </w:r>
      <w:r>
        <w:rPr>
          <w:rFonts w:ascii="Times New Roman" w:hAnsi="Times New Roman" w:eastAsia="Times New Roman" w:cs="Times New Roman"/>
          <w:spacing w:val="6"/>
          <w:sz w:val="23"/>
          <w:szCs w:val="23"/>
        </w:rPr>
        <w:t>)</w:t>
      </w:r>
    </w:p>
    <w:p w14:paraId="56E35340">
      <w:pPr>
        <w:spacing w:before="298" w:line="228" w:lineRule="auto"/>
        <w:ind w:left="508"/>
        <w:rPr>
          <w:rFonts w:ascii="宋体" w:hAnsi="宋体" w:eastAsia="宋体" w:cs="宋体"/>
          <w:sz w:val="23"/>
          <w:szCs w:val="23"/>
        </w:rPr>
      </w:pPr>
      <w:r>
        <w:rPr>
          <w:rFonts w:ascii="宋体" w:hAnsi="宋体" w:eastAsia="宋体" w:cs="宋体"/>
          <w:spacing w:val="10"/>
          <w:sz w:val="23"/>
          <w:szCs w:val="23"/>
        </w:rPr>
        <w:t>外</w:t>
      </w:r>
      <w:r>
        <w:rPr>
          <w:rFonts w:ascii="宋体" w:hAnsi="宋体" w:eastAsia="宋体" w:cs="宋体"/>
          <w:spacing w:val="7"/>
          <w:sz w:val="23"/>
          <w:szCs w:val="23"/>
        </w:rPr>
        <w:t>室</w:t>
      </w:r>
      <w:r>
        <w:rPr>
          <w:rFonts w:ascii="宋体" w:hAnsi="宋体" w:eastAsia="宋体" w:cs="宋体"/>
          <w:spacing w:val="5"/>
          <w:sz w:val="23"/>
          <w:szCs w:val="23"/>
        </w:rPr>
        <w:t>靠近围护结构处的声压级 (</w:t>
      </w:r>
      <w:r>
        <w:rPr>
          <w:rFonts w:ascii="Times New Roman" w:hAnsi="Times New Roman" w:eastAsia="Times New Roman" w:cs="Times New Roman"/>
          <w:sz w:val="23"/>
          <w:szCs w:val="23"/>
        </w:rPr>
        <w:t>L</w:t>
      </w:r>
      <w:r>
        <w:rPr>
          <w:rFonts w:ascii="Times New Roman" w:hAnsi="Times New Roman" w:eastAsia="Times New Roman" w:cs="Times New Roman"/>
          <w:spacing w:val="5"/>
          <w:position w:val="-1"/>
          <w:sz w:val="15"/>
          <w:szCs w:val="15"/>
        </w:rPr>
        <w:t xml:space="preserve">2 </w:t>
      </w:r>
      <w:r>
        <w:rPr>
          <w:rFonts w:ascii="宋体" w:hAnsi="宋体" w:eastAsia="宋体" w:cs="宋体"/>
          <w:spacing w:val="5"/>
          <w:sz w:val="23"/>
          <w:szCs w:val="23"/>
        </w:rPr>
        <w:t>) ：</w:t>
      </w:r>
    </w:p>
    <w:p w14:paraId="5DEF15FD">
      <w:pPr>
        <w:spacing w:before="312" w:line="319" w:lineRule="exact"/>
        <w:ind w:left="3165"/>
        <w:rPr>
          <w:rFonts w:ascii="宋体" w:hAnsi="宋体" w:eastAsia="宋体" w:cs="宋体"/>
          <w:sz w:val="23"/>
          <w:szCs w:val="23"/>
        </w:rPr>
      </w:pPr>
      <w:r>
        <w:rPr>
          <w:rFonts w:ascii="Times New Roman" w:hAnsi="Times New Roman" w:eastAsia="Times New Roman" w:cs="Times New Roman"/>
          <w:i/>
          <w:iCs/>
          <w:position w:val="1"/>
          <w:sz w:val="23"/>
          <w:szCs w:val="23"/>
        </w:rPr>
        <w:t>L</w:t>
      </w:r>
      <w:r>
        <w:rPr>
          <w:rFonts w:ascii="Times New Roman" w:hAnsi="Times New Roman" w:eastAsia="Times New Roman" w:cs="Times New Roman"/>
          <w:i/>
          <w:iCs/>
          <w:spacing w:val="10"/>
          <w:sz w:val="15"/>
          <w:szCs w:val="15"/>
        </w:rPr>
        <w:t>2</w:t>
      </w:r>
      <w:r>
        <w:rPr>
          <w:rFonts w:ascii="Times New Roman" w:hAnsi="Times New Roman" w:eastAsia="Times New Roman" w:cs="Times New Roman"/>
          <w:spacing w:val="6"/>
          <w:sz w:val="15"/>
          <w:szCs w:val="15"/>
        </w:rPr>
        <w:t xml:space="preserve"> </w:t>
      </w:r>
      <w:r>
        <w:rPr>
          <w:rFonts w:ascii="Times New Roman" w:hAnsi="Times New Roman" w:eastAsia="Times New Roman" w:cs="Times New Roman"/>
          <w:spacing w:val="5"/>
          <w:sz w:val="15"/>
          <w:szCs w:val="15"/>
        </w:rPr>
        <w:t xml:space="preserve"> </w:t>
      </w:r>
      <w:r>
        <w:rPr>
          <w:rFonts w:ascii="Times New Roman" w:hAnsi="Times New Roman" w:eastAsia="Times New Roman" w:cs="Times New Roman"/>
          <w:i/>
          <w:iCs/>
          <w:spacing w:val="5"/>
          <w:position w:val="1"/>
          <w:sz w:val="23"/>
          <w:szCs w:val="23"/>
        </w:rPr>
        <w:t>=</w:t>
      </w:r>
      <w:r>
        <w:rPr>
          <w:rFonts w:ascii="Times New Roman" w:hAnsi="Times New Roman" w:eastAsia="Times New Roman" w:cs="Times New Roman"/>
          <w:spacing w:val="5"/>
          <w:position w:val="1"/>
          <w:sz w:val="23"/>
          <w:szCs w:val="23"/>
        </w:rPr>
        <w:t xml:space="preserve"> </w:t>
      </w:r>
      <w:r>
        <w:rPr>
          <w:rFonts w:ascii="Times New Roman" w:hAnsi="Times New Roman" w:eastAsia="Times New Roman" w:cs="Times New Roman"/>
          <w:i/>
          <w:iCs/>
          <w:position w:val="1"/>
          <w:sz w:val="23"/>
          <w:szCs w:val="23"/>
        </w:rPr>
        <w:t>L</w:t>
      </w:r>
      <w:r>
        <w:rPr>
          <w:rFonts w:ascii="Times New Roman" w:hAnsi="Times New Roman" w:eastAsia="Times New Roman" w:cs="Times New Roman"/>
          <w:i/>
          <w:iCs/>
          <w:spacing w:val="5"/>
          <w:sz w:val="15"/>
          <w:szCs w:val="15"/>
        </w:rPr>
        <w:t>1</w:t>
      </w:r>
      <w:r>
        <w:rPr>
          <w:rFonts w:ascii="Times New Roman" w:hAnsi="Times New Roman" w:eastAsia="Times New Roman" w:cs="Times New Roman"/>
          <w:spacing w:val="5"/>
          <w:sz w:val="15"/>
          <w:szCs w:val="15"/>
        </w:rPr>
        <w:t xml:space="preserve"> </w:t>
      </w:r>
      <w:r>
        <w:rPr>
          <w:rFonts w:ascii="Times New Roman" w:hAnsi="Times New Roman" w:eastAsia="Times New Roman" w:cs="Times New Roman"/>
          <w:i/>
          <w:iCs/>
          <w:spacing w:val="5"/>
          <w:position w:val="1"/>
          <w:sz w:val="23"/>
          <w:szCs w:val="23"/>
        </w:rPr>
        <w:t>-</w:t>
      </w:r>
      <w:r>
        <w:rPr>
          <w:rFonts w:ascii="Times New Roman" w:hAnsi="Times New Roman" w:eastAsia="Times New Roman" w:cs="Times New Roman"/>
          <w:spacing w:val="5"/>
          <w:position w:val="1"/>
          <w:sz w:val="23"/>
          <w:szCs w:val="23"/>
        </w:rPr>
        <w:t xml:space="preserve">    </w:t>
      </w:r>
      <w:r>
        <w:rPr>
          <w:rFonts w:ascii="宋体" w:hAnsi="宋体" w:eastAsia="宋体" w:cs="宋体"/>
          <w:spacing w:val="5"/>
          <w:position w:val="1"/>
          <w:sz w:val="23"/>
          <w:szCs w:val="23"/>
        </w:rPr>
        <w:t>(</w:t>
      </w:r>
      <w:r>
        <w:rPr>
          <w:rFonts w:ascii="Times New Roman" w:hAnsi="Times New Roman" w:eastAsia="Times New Roman" w:cs="Times New Roman"/>
          <w:i/>
          <w:iCs/>
          <w:position w:val="1"/>
          <w:sz w:val="23"/>
          <w:szCs w:val="23"/>
        </w:rPr>
        <w:t>TL</w:t>
      </w:r>
      <w:r>
        <w:rPr>
          <w:rFonts w:ascii="Times New Roman" w:hAnsi="Times New Roman" w:eastAsia="Times New Roman" w:cs="Times New Roman"/>
          <w:i/>
          <w:iCs/>
          <w:spacing w:val="5"/>
          <w:position w:val="1"/>
          <w:sz w:val="23"/>
          <w:szCs w:val="23"/>
        </w:rPr>
        <w:t>+6</w:t>
      </w:r>
      <w:r>
        <w:rPr>
          <w:rFonts w:ascii="宋体" w:hAnsi="宋体" w:eastAsia="宋体" w:cs="宋体"/>
          <w:spacing w:val="5"/>
          <w:position w:val="1"/>
          <w:sz w:val="23"/>
          <w:szCs w:val="23"/>
        </w:rPr>
        <w:t>)</w:t>
      </w:r>
    </w:p>
    <w:p w14:paraId="144C14DF">
      <w:pPr>
        <w:spacing w:line="279" w:lineRule="auto"/>
        <w:rPr>
          <w:rFonts w:ascii="Arial"/>
          <w:sz w:val="21"/>
        </w:rPr>
      </w:pPr>
    </w:p>
    <w:p w14:paraId="381248A2">
      <w:pPr>
        <w:spacing w:before="75" w:line="227" w:lineRule="auto"/>
        <w:ind w:left="508"/>
        <w:rPr>
          <w:rFonts w:ascii="宋体" w:hAnsi="宋体" w:eastAsia="宋体" w:cs="宋体"/>
          <w:sz w:val="23"/>
          <w:szCs w:val="23"/>
        </w:rPr>
      </w:pPr>
      <w:r>
        <w:rPr>
          <w:rFonts w:ascii="宋体" w:hAnsi="宋体" w:eastAsia="宋体" w:cs="宋体"/>
          <w:spacing w:val="14"/>
          <w:sz w:val="23"/>
          <w:szCs w:val="23"/>
        </w:rPr>
        <w:t>式中</w:t>
      </w:r>
      <w:r>
        <w:rPr>
          <w:rFonts w:ascii="宋体" w:hAnsi="宋体" w:eastAsia="宋体" w:cs="宋体"/>
          <w:spacing w:val="12"/>
          <w:sz w:val="23"/>
          <w:szCs w:val="23"/>
        </w:rPr>
        <w:t>：</w:t>
      </w:r>
      <w:r>
        <w:rPr>
          <w:rFonts w:ascii="Times New Roman" w:hAnsi="Times New Roman" w:eastAsia="Times New Roman" w:cs="Times New Roman"/>
          <w:sz w:val="23"/>
          <w:szCs w:val="23"/>
        </w:rPr>
        <w:t>TL</w:t>
      </w:r>
      <w:r>
        <w:rPr>
          <w:rFonts w:ascii="Times New Roman" w:hAnsi="Times New Roman" w:eastAsia="Times New Roman" w:cs="Times New Roman"/>
          <w:spacing w:val="7"/>
          <w:sz w:val="23"/>
          <w:szCs w:val="23"/>
        </w:rPr>
        <w:t xml:space="preserve"> —  </w:t>
      </w:r>
      <w:r>
        <w:rPr>
          <w:rFonts w:ascii="宋体" w:hAnsi="宋体" w:eastAsia="宋体" w:cs="宋体"/>
          <w:spacing w:val="7"/>
          <w:sz w:val="23"/>
          <w:szCs w:val="23"/>
        </w:rPr>
        <w:t>隔墙 (或隔窗) 的传输损失，按下式计算：</w:t>
      </w:r>
    </w:p>
    <w:p w14:paraId="11F901B5">
      <w:pPr>
        <w:tabs>
          <w:tab w:val="left" w:pos="4388"/>
        </w:tabs>
        <w:spacing w:before="215"/>
        <w:ind w:left="4154"/>
        <w:rPr>
          <w:rFonts w:ascii="Times New Roman" w:hAnsi="Times New Roman" w:eastAsia="Times New Roman" w:cs="Times New Roman"/>
          <w:sz w:val="13"/>
          <w:szCs w:val="13"/>
        </w:rPr>
      </w:pPr>
      <w:r>
        <w:pict>
          <v:shape id="_x0000_s1285" o:spid="_x0000_s1285" o:spt="202" type="#_x0000_t202" style="position:absolute;left:0pt;margin-left:158.2pt;margin-top:21.85pt;height:30.5pt;width:97.25pt;z-index:251938816;mso-width-relative:page;mso-height-relative:page;" filled="f" stroked="f" coordsize="21600,21600">
            <v:path/>
            <v:fill on="f" focussize="0,0"/>
            <v:stroke on="f"/>
            <v:imagedata o:title=""/>
            <o:lock v:ext="edit" aspectratio="f"/>
            <v:textbox inset="0mm,0mm,0mm,0mm">
              <w:txbxContent>
                <w:p w14:paraId="04C3A012">
                  <w:pPr>
                    <w:spacing w:before="20" w:line="569" w:lineRule="exact"/>
                    <w:ind w:left="20"/>
                    <w:rPr>
                      <w:rFonts w:ascii="Times New Roman" w:hAnsi="Times New Roman" w:eastAsia="Times New Roman" w:cs="Times New Roman"/>
                      <w:sz w:val="13"/>
                      <w:szCs w:val="13"/>
                    </w:rPr>
                  </w:pPr>
                  <w:r>
                    <w:rPr>
                      <w:rFonts w:ascii="Times New Roman" w:hAnsi="Times New Roman" w:eastAsia="Times New Roman" w:cs="Times New Roman"/>
                      <w:i/>
                      <w:iCs/>
                      <w:position w:val="25"/>
                      <w:sz w:val="23"/>
                      <w:szCs w:val="23"/>
                    </w:rPr>
                    <w:t>TL</w:t>
                  </w:r>
                  <w:r>
                    <w:rPr>
                      <w:rFonts w:ascii="Times New Roman" w:hAnsi="Times New Roman" w:eastAsia="Times New Roman" w:cs="Times New Roman"/>
                      <w:spacing w:val="10"/>
                      <w:position w:val="25"/>
                      <w:sz w:val="23"/>
                      <w:szCs w:val="23"/>
                    </w:rPr>
                    <w:t xml:space="preserve"> </w:t>
                  </w:r>
                  <w:r>
                    <w:rPr>
                      <w:rFonts w:ascii="Symbol" w:hAnsi="Symbol" w:eastAsia="Symbol" w:cs="Symbol"/>
                      <w:spacing w:val="7"/>
                      <w:position w:val="25"/>
                      <w:sz w:val="23"/>
                      <w:szCs w:val="23"/>
                    </w:rPr>
                    <w:t xml:space="preserve">= </w:t>
                  </w:r>
                  <w:r>
                    <w:rPr>
                      <w:rFonts w:ascii="Times New Roman" w:hAnsi="Times New Roman" w:eastAsia="Times New Roman" w:cs="Times New Roman"/>
                      <w:spacing w:val="7"/>
                      <w:position w:val="25"/>
                      <w:sz w:val="23"/>
                      <w:szCs w:val="23"/>
                    </w:rPr>
                    <w:t>10</w:t>
                  </w:r>
                  <w:r>
                    <w:rPr>
                      <w:rFonts w:ascii="Times New Roman" w:hAnsi="Times New Roman" w:eastAsia="Times New Roman" w:cs="Times New Roman"/>
                      <w:position w:val="25"/>
                      <w:sz w:val="23"/>
                      <w:szCs w:val="23"/>
                    </w:rPr>
                    <w:t>lg</w:t>
                  </w:r>
                  <w:r>
                    <w:rPr>
                      <w:rFonts w:ascii="Times New Roman" w:hAnsi="Times New Roman" w:eastAsia="Times New Roman" w:cs="Times New Roman"/>
                      <w:spacing w:val="7"/>
                      <w:position w:val="25"/>
                      <w:sz w:val="23"/>
                      <w:szCs w:val="23"/>
                    </w:rPr>
                    <w:t xml:space="preserve"> </w:t>
                  </w:r>
                  <w:r>
                    <w:rPr>
                      <w:position w:val="-6"/>
                      <w:sz w:val="23"/>
                      <w:szCs w:val="23"/>
                    </w:rPr>
                    <w:drawing>
                      <wp:inline distT="0" distB="0" distL="0" distR="0">
                        <wp:extent cx="151765" cy="277495"/>
                        <wp:effectExtent l="0" t="0" r="0" b="0"/>
                        <wp:docPr id="140"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r:embed="rId530"/>
                                <a:stretch>
                                  <a:fillRect/>
                                </a:stretch>
                              </pic:blipFill>
                              <pic:spPr>
                                <a:xfrm>
                                  <a:off x="0" y="0"/>
                                  <a:ext cx="152390" cy="277567"/>
                                </a:xfrm>
                                <a:prstGeom prst="rect">
                                  <a:avLst/>
                                </a:prstGeom>
                              </pic:spPr>
                            </pic:pic>
                          </a:graphicData>
                        </a:graphic>
                      </wp:inline>
                    </w:drawing>
                  </w:r>
                  <w:r>
                    <w:rPr>
                      <w:rFonts w:ascii="Times New Roman" w:hAnsi="Times New Roman" w:eastAsia="Times New Roman" w:cs="Times New Roman"/>
                      <w:spacing w:val="7"/>
                      <w:position w:val="25"/>
                      <w:sz w:val="23"/>
                      <w:szCs w:val="23"/>
                    </w:rPr>
                    <w:t xml:space="preserve"> </w:t>
                  </w:r>
                  <w:r>
                    <w:rPr>
                      <w:rFonts w:ascii="Symbol" w:hAnsi="Symbol" w:eastAsia="Symbol" w:cs="Symbol"/>
                      <w:position w:val="7"/>
                      <w:sz w:val="25"/>
                      <w:szCs w:val="25"/>
                    </w:rPr>
                    <w:t>T</w:t>
                  </w:r>
                  <w:r>
                    <w:rPr>
                      <w:rFonts w:ascii="Times New Roman" w:hAnsi="Times New Roman" w:eastAsia="Times New Roman" w:cs="Times New Roman"/>
                      <w:i/>
                      <w:iCs/>
                      <w:position w:val="1"/>
                      <w:sz w:val="13"/>
                      <w:szCs w:val="13"/>
                    </w:rPr>
                    <w:t>k</w:t>
                  </w:r>
                  <w:r>
                    <w:rPr>
                      <w:rFonts w:ascii="Times New Roman" w:hAnsi="Times New Roman" w:eastAsia="Times New Roman" w:cs="Times New Roman"/>
                      <w:spacing w:val="7"/>
                      <w:position w:val="1"/>
                      <w:sz w:val="13"/>
                      <w:szCs w:val="13"/>
                    </w:rPr>
                    <w:t xml:space="preserve">  </w:t>
                  </w:r>
                  <w:r>
                    <w:rPr>
                      <w:rFonts w:ascii="Symbol" w:hAnsi="Symbol" w:eastAsia="Symbol" w:cs="Symbol"/>
                      <w:spacing w:val="7"/>
                      <w:position w:val="7"/>
                      <w:sz w:val="23"/>
                      <w:szCs w:val="23"/>
                    </w:rPr>
                    <w:t xml:space="preserve">. </w:t>
                  </w:r>
                  <w:r>
                    <w:rPr>
                      <w:rFonts w:ascii="Times New Roman" w:hAnsi="Times New Roman" w:eastAsia="Times New Roman" w:cs="Times New Roman"/>
                      <w:i/>
                      <w:iCs/>
                      <w:position w:val="7"/>
                      <w:sz w:val="23"/>
                      <w:szCs w:val="23"/>
                    </w:rPr>
                    <w:t>S</w:t>
                  </w:r>
                  <w:r>
                    <w:rPr>
                      <w:rFonts w:ascii="Times New Roman" w:hAnsi="Times New Roman" w:eastAsia="Times New Roman" w:cs="Times New Roman"/>
                      <w:i/>
                      <w:iCs/>
                      <w:position w:val="1"/>
                      <w:sz w:val="13"/>
                      <w:szCs w:val="13"/>
                    </w:rPr>
                    <w:t>k</w:t>
                  </w:r>
                </w:p>
              </w:txbxContent>
            </v:textbox>
          </v:shape>
        </w:pict>
      </w:r>
      <w:r>
        <w:rPr>
          <w:rFonts w:ascii="Times New Roman" w:hAnsi="Times New Roman" w:eastAsia="Times New Roman" w:cs="Times New Roman"/>
          <w:position w:val="6"/>
          <w:sz w:val="23"/>
          <w:szCs w:val="23"/>
          <w:u w:val="single" w:color="auto"/>
        </w:rPr>
        <w:tab/>
      </w:r>
      <w:r>
        <w:rPr>
          <w:rFonts w:ascii="Times New Roman" w:hAnsi="Times New Roman" w:eastAsia="Times New Roman" w:cs="Times New Roman"/>
          <w:position w:val="-7"/>
          <w:sz w:val="23"/>
          <w:szCs w:val="23"/>
          <w:u w:val="single" w:color="auto"/>
        </w:rPr>
        <w:drawing>
          <wp:inline distT="0" distB="0" distL="0" distR="0">
            <wp:extent cx="152400" cy="277495"/>
            <wp:effectExtent l="0" t="0" r="0" b="0"/>
            <wp:docPr id="141" name="IM 141"/>
            <wp:cNvGraphicFramePr/>
            <a:graphic xmlns:a="http://schemas.openxmlformats.org/drawingml/2006/main">
              <a:graphicData uri="http://schemas.openxmlformats.org/drawingml/2006/picture">
                <pic:pic xmlns:pic="http://schemas.openxmlformats.org/drawingml/2006/picture">
                  <pic:nvPicPr>
                    <pic:cNvPr id="141" name="IM 141"/>
                    <pic:cNvPicPr/>
                  </pic:nvPicPr>
                  <pic:blipFill>
                    <a:blip r:embed="rId530"/>
                    <a:stretch>
                      <a:fillRect/>
                    </a:stretch>
                  </pic:blipFill>
                  <pic:spPr>
                    <a:xfrm>
                      <a:off x="0" y="0"/>
                      <a:ext cx="152529" cy="277567"/>
                    </a:xfrm>
                    <a:prstGeom prst="rect">
                      <a:avLst/>
                    </a:prstGeom>
                  </pic:spPr>
                </pic:pic>
              </a:graphicData>
            </a:graphic>
          </wp:inline>
        </w:drawing>
      </w:r>
      <w:r>
        <w:rPr>
          <w:rFonts w:ascii="Times New Roman" w:hAnsi="Times New Roman" w:eastAsia="Times New Roman" w:cs="Times New Roman"/>
          <w:spacing w:val="21"/>
          <w:position w:val="6"/>
          <w:sz w:val="23"/>
          <w:szCs w:val="23"/>
          <w:u w:val="single" w:color="auto"/>
        </w:rPr>
        <w:t xml:space="preserve"> </w:t>
      </w:r>
      <w:r>
        <w:rPr>
          <w:rFonts w:ascii="Times New Roman" w:hAnsi="Times New Roman" w:eastAsia="Times New Roman" w:cs="Times New Roman"/>
          <w:i/>
          <w:iCs/>
          <w:position w:val="6"/>
          <w:sz w:val="23"/>
          <w:szCs w:val="23"/>
          <w:u w:val="single" w:color="auto"/>
        </w:rPr>
        <w:t>S</w:t>
      </w:r>
      <w:r>
        <w:rPr>
          <w:rFonts w:ascii="Times New Roman" w:hAnsi="Times New Roman" w:eastAsia="Times New Roman" w:cs="Times New Roman"/>
          <w:i/>
          <w:iCs/>
          <w:sz w:val="13"/>
          <w:szCs w:val="13"/>
          <w:u w:val="single" w:color="auto"/>
        </w:rPr>
        <w:t>k</w:t>
      </w:r>
      <w:r>
        <w:rPr>
          <w:rFonts w:ascii="Times New Roman" w:hAnsi="Times New Roman" w:eastAsia="Times New Roman" w:cs="Times New Roman"/>
          <w:sz w:val="13"/>
          <w:szCs w:val="13"/>
          <w:u w:val="single" w:color="auto"/>
        </w:rPr>
        <w:t xml:space="preserve">        </w:t>
      </w:r>
    </w:p>
    <w:p w14:paraId="63F0744E">
      <w:pPr>
        <w:spacing w:line="357" w:lineRule="auto"/>
        <w:rPr>
          <w:rFonts w:ascii="Arial"/>
          <w:sz w:val="21"/>
        </w:rPr>
      </w:pPr>
    </w:p>
    <w:p w14:paraId="735D6AC3">
      <w:pPr>
        <w:spacing w:line="357" w:lineRule="auto"/>
        <w:rPr>
          <w:rFonts w:ascii="Arial"/>
          <w:sz w:val="21"/>
        </w:rPr>
      </w:pPr>
    </w:p>
    <w:p w14:paraId="33DC1A9D">
      <w:pPr>
        <w:spacing w:before="76" w:line="313" w:lineRule="exact"/>
        <w:ind w:left="508"/>
        <w:rPr>
          <w:rFonts w:ascii="宋体" w:hAnsi="宋体" w:eastAsia="宋体" w:cs="宋体"/>
          <w:sz w:val="23"/>
          <w:szCs w:val="23"/>
        </w:rPr>
      </w:pPr>
      <w:r>
        <w:rPr>
          <w:rFonts w:ascii="宋体" w:hAnsi="宋体" w:eastAsia="宋体" w:cs="宋体"/>
          <w:spacing w:val="9"/>
          <w:position w:val="1"/>
          <w:sz w:val="23"/>
          <w:szCs w:val="23"/>
        </w:rPr>
        <w:t>式中：</w:t>
      </w:r>
      <w:r>
        <w:rPr>
          <w:rFonts w:ascii="Times New Roman" w:hAnsi="Times New Roman" w:eastAsia="Times New Roman" w:cs="Times New Roman"/>
          <w:position w:val="1"/>
          <w:sz w:val="23"/>
          <w:szCs w:val="23"/>
        </w:rPr>
        <w:t>S</w:t>
      </w:r>
      <w:r>
        <w:rPr>
          <w:rFonts w:ascii="Times New Roman" w:hAnsi="Times New Roman" w:eastAsia="Times New Roman" w:cs="Times New Roman"/>
          <w:sz w:val="15"/>
          <w:szCs w:val="15"/>
        </w:rPr>
        <w:t>k</w:t>
      </w:r>
      <w:r>
        <w:rPr>
          <w:rFonts w:ascii="Times New Roman" w:hAnsi="Times New Roman" w:eastAsia="Times New Roman" w:cs="Times New Roman"/>
          <w:spacing w:val="9"/>
          <w:sz w:val="15"/>
          <w:szCs w:val="15"/>
        </w:rPr>
        <w:t xml:space="preserve"> </w:t>
      </w:r>
      <w:r>
        <w:rPr>
          <w:rFonts w:ascii="Times New Roman" w:hAnsi="Times New Roman" w:eastAsia="Times New Roman" w:cs="Times New Roman"/>
          <w:spacing w:val="9"/>
          <w:position w:val="1"/>
          <w:sz w:val="23"/>
          <w:szCs w:val="23"/>
        </w:rPr>
        <w:t xml:space="preserve">—  </w:t>
      </w:r>
      <w:r>
        <w:rPr>
          <w:rFonts w:ascii="宋体" w:hAnsi="宋体" w:eastAsia="宋体" w:cs="宋体"/>
          <w:spacing w:val="9"/>
          <w:position w:val="1"/>
          <w:sz w:val="23"/>
          <w:szCs w:val="23"/>
        </w:rPr>
        <w:t>传声的围护结构面积，</w:t>
      </w:r>
      <w:r>
        <w:rPr>
          <w:rFonts w:ascii="Times New Roman" w:hAnsi="Times New Roman" w:eastAsia="Times New Roman" w:cs="Times New Roman"/>
          <w:position w:val="1"/>
          <w:sz w:val="23"/>
          <w:szCs w:val="23"/>
        </w:rPr>
        <w:t>m</w:t>
      </w:r>
      <w:r>
        <w:rPr>
          <w:rFonts w:ascii="Times New Roman" w:hAnsi="Times New Roman" w:eastAsia="Times New Roman" w:cs="Times New Roman"/>
          <w:spacing w:val="9"/>
          <w:position w:val="9"/>
          <w:sz w:val="15"/>
          <w:szCs w:val="15"/>
        </w:rPr>
        <w:t>2</w:t>
      </w:r>
      <w:r>
        <w:rPr>
          <w:rFonts w:ascii="宋体" w:hAnsi="宋体" w:eastAsia="宋体" w:cs="宋体"/>
          <w:spacing w:val="8"/>
          <w:position w:val="1"/>
          <w:sz w:val="23"/>
          <w:szCs w:val="23"/>
        </w:rPr>
        <w:t>；</w:t>
      </w:r>
    </w:p>
    <w:p w14:paraId="1F315D0F">
      <w:pPr>
        <w:spacing w:line="246" w:lineRule="auto"/>
        <w:rPr>
          <w:rFonts w:ascii="Arial"/>
          <w:sz w:val="21"/>
        </w:rPr>
      </w:pPr>
    </w:p>
    <w:p w14:paraId="5FB404CF">
      <w:pPr>
        <w:spacing w:before="75" w:line="314" w:lineRule="exact"/>
        <w:ind w:left="1215"/>
        <w:rPr>
          <w:rFonts w:ascii="宋体" w:hAnsi="宋体" w:eastAsia="宋体" w:cs="宋体"/>
          <w:sz w:val="23"/>
          <w:szCs w:val="23"/>
        </w:rPr>
      </w:pPr>
      <w:r>
        <w:rPr>
          <w:rFonts w:ascii="Times New Roman" w:hAnsi="Times New Roman" w:eastAsia="Times New Roman" w:cs="Times New Roman"/>
          <w:spacing w:val="8"/>
          <w:position w:val="1"/>
          <w:sz w:val="23"/>
          <w:szCs w:val="23"/>
        </w:rPr>
        <w:t>τ</w:t>
      </w:r>
      <w:r>
        <w:rPr>
          <w:rFonts w:ascii="Times New Roman" w:hAnsi="Times New Roman" w:eastAsia="Times New Roman" w:cs="Times New Roman"/>
          <w:sz w:val="15"/>
          <w:szCs w:val="15"/>
        </w:rPr>
        <w:t>k</w:t>
      </w:r>
      <w:r>
        <w:rPr>
          <w:rFonts w:ascii="Times New Roman" w:hAnsi="Times New Roman" w:eastAsia="Times New Roman" w:cs="Times New Roman"/>
          <w:spacing w:val="8"/>
          <w:sz w:val="15"/>
          <w:szCs w:val="15"/>
        </w:rPr>
        <w:t xml:space="preserve"> </w:t>
      </w:r>
      <w:r>
        <w:rPr>
          <w:rFonts w:ascii="Times New Roman" w:hAnsi="Times New Roman" w:eastAsia="Times New Roman" w:cs="Times New Roman"/>
          <w:spacing w:val="8"/>
          <w:position w:val="1"/>
          <w:sz w:val="23"/>
          <w:szCs w:val="23"/>
        </w:rPr>
        <w:t xml:space="preserve">—  </w:t>
      </w:r>
      <w:r>
        <w:rPr>
          <w:rFonts w:ascii="宋体" w:hAnsi="宋体" w:eastAsia="宋体" w:cs="宋体"/>
          <w:spacing w:val="8"/>
          <w:position w:val="1"/>
          <w:sz w:val="23"/>
          <w:szCs w:val="23"/>
        </w:rPr>
        <w:t>围护结构的透声系</w:t>
      </w:r>
      <w:r>
        <w:rPr>
          <w:rFonts w:ascii="宋体" w:hAnsi="宋体" w:eastAsia="宋体" w:cs="宋体"/>
          <w:spacing w:val="5"/>
          <w:position w:val="1"/>
          <w:sz w:val="23"/>
          <w:szCs w:val="23"/>
        </w:rPr>
        <w:t>数</w:t>
      </w:r>
    </w:p>
    <w:p w14:paraId="200B0208">
      <w:pPr>
        <w:spacing w:line="245" w:lineRule="auto"/>
        <w:rPr>
          <w:rFonts w:ascii="Arial"/>
          <w:sz w:val="21"/>
        </w:rPr>
      </w:pPr>
    </w:p>
    <w:p w14:paraId="609AD68E">
      <w:pPr>
        <w:spacing w:before="76" w:line="227" w:lineRule="auto"/>
        <w:ind w:left="501"/>
        <w:rPr>
          <w:rFonts w:ascii="宋体" w:hAnsi="宋体" w:eastAsia="宋体" w:cs="宋体"/>
          <w:sz w:val="23"/>
          <w:szCs w:val="23"/>
        </w:rPr>
      </w:pPr>
      <w:r>
        <w:rPr>
          <w:rFonts w:ascii="宋体" w:hAnsi="宋体" w:eastAsia="宋体" w:cs="宋体"/>
          <w:spacing w:val="12"/>
          <w:sz w:val="23"/>
          <w:szCs w:val="23"/>
        </w:rPr>
        <w:t>将室外</w:t>
      </w:r>
      <w:r>
        <w:rPr>
          <w:rFonts w:ascii="宋体" w:hAnsi="宋体" w:eastAsia="宋体" w:cs="宋体"/>
          <w:spacing w:val="10"/>
          <w:sz w:val="23"/>
          <w:szCs w:val="23"/>
        </w:rPr>
        <w:t>声</w:t>
      </w:r>
      <w:r>
        <w:rPr>
          <w:rFonts w:ascii="宋体" w:hAnsi="宋体" w:eastAsia="宋体" w:cs="宋体"/>
          <w:spacing w:val="6"/>
          <w:sz w:val="23"/>
          <w:szCs w:val="23"/>
        </w:rPr>
        <w:t xml:space="preserve">级 </w:t>
      </w:r>
      <w:r>
        <w:rPr>
          <w:rFonts w:ascii="Times New Roman" w:hAnsi="Times New Roman" w:eastAsia="Times New Roman" w:cs="Times New Roman"/>
          <w:sz w:val="23"/>
          <w:szCs w:val="23"/>
        </w:rPr>
        <w:t>L</w:t>
      </w:r>
      <w:r>
        <w:rPr>
          <w:rFonts w:ascii="Times New Roman" w:hAnsi="Times New Roman" w:eastAsia="Times New Roman" w:cs="Times New Roman"/>
          <w:spacing w:val="6"/>
          <w:position w:val="-1"/>
          <w:sz w:val="15"/>
          <w:szCs w:val="15"/>
        </w:rPr>
        <w:t xml:space="preserve">2 </w:t>
      </w:r>
      <w:r>
        <w:rPr>
          <w:rFonts w:ascii="宋体" w:hAnsi="宋体" w:eastAsia="宋体" w:cs="宋体"/>
          <w:spacing w:val="6"/>
          <w:sz w:val="23"/>
          <w:szCs w:val="23"/>
        </w:rPr>
        <w:t>和透声面积换算成等效的室外声源，公式如下：</w:t>
      </w:r>
    </w:p>
    <w:p w14:paraId="6865220B">
      <w:pPr>
        <w:spacing w:line="241" w:lineRule="auto"/>
        <w:rPr>
          <w:rFonts w:ascii="Arial"/>
          <w:sz w:val="21"/>
        </w:rPr>
      </w:pPr>
    </w:p>
    <w:p w14:paraId="5FDF616D">
      <w:pPr>
        <w:spacing w:before="67" w:line="679" w:lineRule="exact"/>
        <w:ind w:left="3366"/>
        <w:rPr>
          <w:rFonts w:ascii="Times New Roman" w:hAnsi="Times New Roman" w:eastAsia="Times New Roman" w:cs="Times New Roman"/>
          <w:sz w:val="23"/>
          <w:szCs w:val="23"/>
        </w:rPr>
      </w:pPr>
      <w:r>
        <w:rPr>
          <w:rFonts w:ascii="Times New Roman" w:hAnsi="Times New Roman" w:eastAsia="Times New Roman" w:cs="Times New Roman"/>
          <w:i/>
          <w:iCs/>
          <w:position w:val="33"/>
          <w:sz w:val="23"/>
          <w:szCs w:val="23"/>
        </w:rPr>
        <w:t>L</w:t>
      </w:r>
      <w:r>
        <w:rPr>
          <w:rFonts w:ascii="Times New Roman" w:hAnsi="Times New Roman" w:eastAsia="Times New Roman" w:cs="Times New Roman"/>
          <w:i/>
          <w:iCs/>
          <w:position w:val="32"/>
          <w:sz w:val="15"/>
          <w:szCs w:val="15"/>
        </w:rPr>
        <w:t>w</w:t>
      </w:r>
      <w:r>
        <w:rPr>
          <w:rFonts w:ascii="Times New Roman" w:hAnsi="Times New Roman" w:eastAsia="Times New Roman" w:cs="Times New Roman"/>
          <w:i/>
          <w:iCs/>
          <w:spacing w:val="6"/>
          <w:position w:val="32"/>
          <w:sz w:val="15"/>
          <w:szCs w:val="15"/>
        </w:rPr>
        <w:t>2</w:t>
      </w:r>
      <w:r>
        <w:rPr>
          <w:rFonts w:ascii="Times New Roman" w:hAnsi="Times New Roman" w:eastAsia="Times New Roman" w:cs="Times New Roman"/>
          <w:spacing w:val="6"/>
          <w:position w:val="32"/>
          <w:sz w:val="15"/>
          <w:szCs w:val="15"/>
        </w:rPr>
        <w:t xml:space="preserve"> </w:t>
      </w:r>
      <w:r>
        <w:rPr>
          <w:rFonts w:ascii="Times New Roman" w:hAnsi="Times New Roman" w:eastAsia="Times New Roman" w:cs="Times New Roman"/>
          <w:spacing w:val="6"/>
          <w:position w:val="33"/>
          <w:sz w:val="23"/>
          <w:szCs w:val="23"/>
        </w:rPr>
        <w:t xml:space="preserve">= </w:t>
      </w:r>
      <w:r>
        <w:rPr>
          <w:rFonts w:ascii="Times New Roman" w:hAnsi="Times New Roman" w:eastAsia="Times New Roman" w:cs="Times New Roman"/>
          <w:i/>
          <w:iCs/>
          <w:position w:val="33"/>
          <w:sz w:val="23"/>
          <w:szCs w:val="23"/>
        </w:rPr>
        <w:t>L</w:t>
      </w:r>
      <w:r>
        <w:rPr>
          <w:rFonts w:ascii="Times New Roman" w:hAnsi="Times New Roman" w:eastAsia="Times New Roman" w:cs="Times New Roman"/>
          <w:i/>
          <w:iCs/>
          <w:spacing w:val="6"/>
          <w:position w:val="32"/>
          <w:sz w:val="15"/>
          <w:szCs w:val="15"/>
        </w:rPr>
        <w:t>2</w:t>
      </w:r>
      <w:r>
        <w:rPr>
          <w:rFonts w:ascii="Times New Roman" w:hAnsi="Times New Roman" w:eastAsia="Times New Roman" w:cs="Times New Roman"/>
          <w:spacing w:val="6"/>
          <w:position w:val="32"/>
          <w:sz w:val="15"/>
          <w:szCs w:val="15"/>
        </w:rPr>
        <w:t xml:space="preserve">  </w:t>
      </w:r>
      <w:r>
        <w:rPr>
          <w:rFonts w:ascii="Times New Roman" w:hAnsi="Times New Roman" w:eastAsia="Times New Roman" w:cs="Times New Roman"/>
          <w:i/>
          <w:iCs/>
          <w:spacing w:val="6"/>
          <w:position w:val="33"/>
          <w:sz w:val="23"/>
          <w:szCs w:val="23"/>
        </w:rPr>
        <w:t>+</w:t>
      </w:r>
      <w:r>
        <w:rPr>
          <w:rFonts w:ascii="Times New Roman" w:hAnsi="Times New Roman" w:eastAsia="Times New Roman" w:cs="Times New Roman"/>
          <w:spacing w:val="6"/>
          <w:position w:val="33"/>
          <w:sz w:val="23"/>
          <w:szCs w:val="23"/>
        </w:rPr>
        <w:t xml:space="preserve"> 1</w:t>
      </w:r>
      <w:r>
        <w:rPr>
          <w:rFonts w:ascii="Times New Roman" w:hAnsi="Times New Roman" w:eastAsia="Times New Roman" w:cs="Times New Roman"/>
          <w:spacing w:val="4"/>
          <w:position w:val="33"/>
          <w:sz w:val="23"/>
          <w:szCs w:val="23"/>
        </w:rPr>
        <w:t>0</w:t>
      </w:r>
      <w:r>
        <w:rPr>
          <w:rFonts w:ascii="Times New Roman" w:hAnsi="Times New Roman" w:eastAsia="Times New Roman" w:cs="Times New Roman"/>
          <w:i/>
          <w:iCs/>
          <w:position w:val="33"/>
          <w:sz w:val="23"/>
          <w:szCs w:val="23"/>
        </w:rPr>
        <w:t>lgS</w:t>
      </w:r>
    </w:p>
    <w:p w14:paraId="2D82E7BA">
      <w:pPr>
        <w:spacing w:line="313" w:lineRule="exact"/>
        <w:ind w:left="503"/>
        <w:rPr>
          <w:rFonts w:ascii="宋体" w:hAnsi="宋体" w:eastAsia="宋体" w:cs="宋体"/>
          <w:sz w:val="23"/>
          <w:szCs w:val="23"/>
        </w:rPr>
      </w:pPr>
      <w:r>
        <w:rPr>
          <w:rFonts w:ascii="宋体" w:hAnsi="宋体" w:eastAsia="宋体" w:cs="宋体"/>
          <w:spacing w:val="16"/>
          <w:position w:val="1"/>
          <w:sz w:val="23"/>
          <w:szCs w:val="23"/>
        </w:rPr>
        <w:t>计</w:t>
      </w:r>
      <w:r>
        <w:rPr>
          <w:rFonts w:ascii="宋体" w:hAnsi="宋体" w:eastAsia="宋体" w:cs="宋体"/>
          <w:spacing w:val="9"/>
          <w:position w:val="1"/>
          <w:sz w:val="23"/>
          <w:szCs w:val="23"/>
        </w:rPr>
        <w:t>算</w:t>
      </w:r>
      <w:r>
        <w:rPr>
          <w:rFonts w:ascii="宋体" w:hAnsi="宋体" w:eastAsia="宋体" w:cs="宋体"/>
          <w:spacing w:val="8"/>
          <w:position w:val="1"/>
          <w:sz w:val="23"/>
          <w:szCs w:val="23"/>
        </w:rPr>
        <w:t>等效室外声源传播到预测点的声压级 (</w:t>
      </w:r>
      <w:r>
        <w:rPr>
          <w:rFonts w:ascii="Times New Roman" w:hAnsi="Times New Roman" w:eastAsia="Times New Roman" w:cs="Times New Roman"/>
          <w:position w:val="1"/>
          <w:sz w:val="23"/>
          <w:szCs w:val="23"/>
        </w:rPr>
        <w:t>L</w:t>
      </w:r>
      <w:r>
        <w:rPr>
          <w:rFonts w:ascii="Times New Roman" w:hAnsi="Times New Roman" w:eastAsia="Times New Roman" w:cs="Times New Roman"/>
          <w:sz w:val="15"/>
          <w:szCs w:val="15"/>
        </w:rPr>
        <w:t>i</w:t>
      </w:r>
      <w:r>
        <w:rPr>
          <w:rFonts w:ascii="Times New Roman" w:hAnsi="Times New Roman" w:eastAsia="Times New Roman" w:cs="Times New Roman"/>
          <w:spacing w:val="8"/>
          <w:sz w:val="15"/>
          <w:szCs w:val="15"/>
        </w:rPr>
        <w:t xml:space="preserve"> </w:t>
      </w:r>
      <w:r>
        <w:rPr>
          <w:rFonts w:ascii="宋体" w:hAnsi="宋体" w:eastAsia="宋体" w:cs="宋体"/>
          <w:spacing w:val="8"/>
          <w:position w:val="1"/>
          <w:sz w:val="23"/>
          <w:szCs w:val="23"/>
        </w:rPr>
        <w:t>)</w:t>
      </w:r>
    </w:p>
    <w:p w14:paraId="0041EC8B">
      <w:pPr>
        <w:spacing w:before="284" w:line="370" w:lineRule="exact"/>
        <w:ind w:left="2106"/>
        <w:rPr>
          <w:rFonts w:ascii="宋体" w:hAnsi="宋体" w:eastAsia="宋体" w:cs="宋体"/>
          <w:sz w:val="25"/>
          <w:szCs w:val="25"/>
        </w:rPr>
      </w:pPr>
      <w:r>
        <w:rPr>
          <w:rFonts w:ascii="Times New Roman" w:hAnsi="Times New Roman" w:eastAsia="Times New Roman" w:cs="Times New Roman"/>
          <w:i/>
          <w:iCs/>
          <w:position w:val="2"/>
          <w:sz w:val="23"/>
          <w:szCs w:val="23"/>
        </w:rPr>
        <w:t>L</w:t>
      </w:r>
      <w:r>
        <w:rPr>
          <w:rFonts w:ascii="Times New Roman" w:hAnsi="Times New Roman" w:eastAsia="Times New Roman" w:cs="Times New Roman"/>
          <w:i/>
          <w:iCs/>
          <w:position w:val="1"/>
          <w:sz w:val="15"/>
          <w:szCs w:val="15"/>
        </w:rPr>
        <w:t>i</w:t>
      </w:r>
      <w:r>
        <w:rPr>
          <w:rFonts w:ascii="Times New Roman" w:hAnsi="Times New Roman" w:eastAsia="Times New Roman" w:cs="Times New Roman"/>
          <w:spacing w:val="-1"/>
          <w:position w:val="1"/>
          <w:sz w:val="15"/>
          <w:szCs w:val="15"/>
        </w:rPr>
        <w:t xml:space="preserve"> </w:t>
      </w:r>
      <w:r>
        <w:rPr>
          <w:rFonts w:ascii="Times New Roman" w:hAnsi="Times New Roman" w:eastAsia="Times New Roman" w:cs="Times New Roman"/>
          <w:i/>
          <w:iCs/>
          <w:spacing w:val="-1"/>
          <w:position w:val="2"/>
          <w:sz w:val="23"/>
          <w:szCs w:val="23"/>
        </w:rPr>
        <w:t>=</w:t>
      </w:r>
      <w:r>
        <w:rPr>
          <w:rFonts w:ascii="Times New Roman" w:hAnsi="Times New Roman" w:eastAsia="Times New Roman" w:cs="Times New Roman"/>
          <w:spacing w:val="-1"/>
          <w:position w:val="2"/>
          <w:sz w:val="23"/>
          <w:szCs w:val="23"/>
        </w:rPr>
        <w:t xml:space="preserve"> </w:t>
      </w:r>
      <w:r>
        <w:rPr>
          <w:rFonts w:ascii="Times New Roman" w:hAnsi="Times New Roman" w:eastAsia="Times New Roman" w:cs="Times New Roman"/>
          <w:i/>
          <w:iCs/>
          <w:position w:val="2"/>
          <w:sz w:val="23"/>
          <w:szCs w:val="23"/>
        </w:rPr>
        <w:t>L</w:t>
      </w:r>
      <w:r>
        <w:rPr>
          <w:rFonts w:ascii="Times New Roman" w:hAnsi="Times New Roman" w:eastAsia="Times New Roman" w:cs="Times New Roman"/>
          <w:spacing w:val="-1"/>
          <w:position w:val="2"/>
          <w:sz w:val="23"/>
          <w:szCs w:val="23"/>
        </w:rPr>
        <w:t xml:space="preserve">  </w:t>
      </w:r>
      <w:r>
        <w:rPr>
          <w:rFonts w:ascii="宋体" w:hAnsi="宋体" w:eastAsia="宋体" w:cs="宋体"/>
          <w:i/>
          <w:iCs/>
          <w:spacing w:val="-1"/>
          <w:position w:val="2"/>
          <w:sz w:val="25"/>
          <w:szCs w:val="25"/>
        </w:rPr>
        <w:t>(</w:t>
      </w:r>
      <w:r>
        <w:rPr>
          <w:rFonts w:ascii="Times New Roman" w:hAnsi="Times New Roman" w:eastAsia="Times New Roman" w:cs="Times New Roman"/>
          <w:i/>
          <w:iCs/>
          <w:position w:val="2"/>
          <w:sz w:val="23"/>
          <w:szCs w:val="23"/>
        </w:rPr>
        <w:t>r</w:t>
      </w:r>
      <w:r>
        <w:rPr>
          <w:rFonts w:ascii="Times New Roman" w:hAnsi="Times New Roman" w:eastAsia="Times New Roman" w:cs="Times New Roman"/>
          <w:i/>
          <w:iCs/>
          <w:spacing w:val="-1"/>
          <w:position w:val="1"/>
          <w:sz w:val="15"/>
          <w:szCs w:val="15"/>
        </w:rPr>
        <w:t>0</w:t>
      </w:r>
      <w:r>
        <w:rPr>
          <w:rFonts w:ascii="Times New Roman" w:hAnsi="Times New Roman" w:eastAsia="Times New Roman" w:cs="Times New Roman"/>
          <w:spacing w:val="-1"/>
          <w:position w:val="1"/>
          <w:sz w:val="15"/>
          <w:szCs w:val="15"/>
        </w:rPr>
        <w:t xml:space="preserve"> </w:t>
      </w:r>
      <w:r>
        <w:rPr>
          <w:rFonts w:ascii="宋体" w:hAnsi="宋体" w:eastAsia="宋体" w:cs="宋体"/>
          <w:i/>
          <w:iCs/>
          <w:spacing w:val="-1"/>
          <w:position w:val="2"/>
          <w:sz w:val="25"/>
          <w:szCs w:val="25"/>
        </w:rPr>
        <w:t>)</w:t>
      </w:r>
      <w:r>
        <w:rPr>
          <w:rFonts w:ascii="宋体" w:hAnsi="宋体" w:eastAsia="宋体" w:cs="宋体"/>
          <w:spacing w:val="-1"/>
          <w:position w:val="2"/>
          <w:sz w:val="25"/>
          <w:szCs w:val="25"/>
        </w:rPr>
        <w:t xml:space="preserve"> </w:t>
      </w:r>
      <w:r>
        <w:rPr>
          <w:rFonts w:ascii="Times New Roman" w:hAnsi="Times New Roman" w:eastAsia="Times New Roman" w:cs="Times New Roman"/>
          <w:i/>
          <w:iCs/>
          <w:spacing w:val="-1"/>
          <w:position w:val="2"/>
          <w:sz w:val="23"/>
          <w:szCs w:val="23"/>
        </w:rPr>
        <w:t>-</w:t>
      </w:r>
      <w:r>
        <w:rPr>
          <w:rFonts w:ascii="Times New Roman" w:hAnsi="Times New Roman" w:eastAsia="Times New Roman" w:cs="Times New Roman"/>
          <w:spacing w:val="-1"/>
          <w:position w:val="2"/>
          <w:sz w:val="23"/>
          <w:szCs w:val="23"/>
        </w:rPr>
        <w:t xml:space="preserve">    </w:t>
      </w:r>
      <w:r>
        <w:rPr>
          <w:rFonts w:ascii="宋体" w:hAnsi="宋体" w:eastAsia="宋体" w:cs="宋体"/>
          <w:i/>
          <w:iCs/>
          <w:position w:val="2"/>
          <w:sz w:val="25"/>
          <w:szCs w:val="25"/>
        </w:rPr>
        <w:t>(</w:t>
      </w:r>
      <w:r>
        <w:rPr>
          <w:rFonts w:ascii="Times New Roman" w:hAnsi="Times New Roman" w:eastAsia="Times New Roman" w:cs="Times New Roman"/>
          <w:i/>
          <w:iCs/>
          <w:position w:val="2"/>
          <w:sz w:val="23"/>
          <w:szCs w:val="23"/>
        </w:rPr>
        <w:t>A</w:t>
      </w:r>
      <w:r>
        <w:rPr>
          <w:rFonts w:ascii="Times New Roman" w:hAnsi="Times New Roman" w:eastAsia="Times New Roman" w:cs="Times New Roman"/>
          <w:i/>
          <w:iCs/>
          <w:position w:val="1"/>
          <w:sz w:val="15"/>
          <w:szCs w:val="15"/>
        </w:rPr>
        <w:t>div</w:t>
      </w:r>
      <w:r>
        <w:rPr>
          <w:rFonts w:ascii="Times New Roman" w:hAnsi="Times New Roman" w:eastAsia="Times New Roman" w:cs="Times New Roman"/>
          <w:position w:val="1"/>
          <w:sz w:val="15"/>
          <w:szCs w:val="15"/>
        </w:rPr>
        <w:t xml:space="preserve">  </w:t>
      </w:r>
      <w:r>
        <w:rPr>
          <w:rFonts w:ascii="Times New Roman" w:hAnsi="Times New Roman" w:eastAsia="Times New Roman" w:cs="Times New Roman"/>
          <w:i/>
          <w:iCs/>
          <w:position w:val="2"/>
          <w:sz w:val="23"/>
          <w:szCs w:val="23"/>
        </w:rPr>
        <w:t>+</w:t>
      </w:r>
      <w:r>
        <w:rPr>
          <w:rFonts w:ascii="Times New Roman" w:hAnsi="Times New Roman" w:eastAsia="Times New Roman" w:cs="Times New Roman"/>
          <w:position w:val="2"/>
          <w:sz w:val="23"/>
          <w:szCs w:val="23"/>
        </w:rPr>
        <w:t xml:space="preserve"> </w:t>
      </w:r>
      <w:r>
        <w:rPr>
          <w:rFonts w:ascii="Times New Roman" w:hAnsi="Times New Roman" w:eastAsia="Times New Roman" w:cs="Times New Roman"/>
          <w:i/>
          <w:iCs/>
          <w:position w:val="2"/>
          <w:sz w:val="23"/>
          <w:szCs w:val="23"/>
        </w:rPr>
        <w:t>A</w:t>
      </w:r>
      <w:r>
        <w:rPr>
          <w:rFonts w:ascii="Times New Roman" w:hAnsi="Times New Roman" w:eastAsia="Times New Roman" w:cs="Times New Roman"/>
          <w:i/>
          <w:iCs/>
          <w:position w:val="1"/>
          <w:sz w:val="15"/>
          <w:szCs w:val="15"/>
        </w:rPr>
        <w:t>bar</w:t>
      </w:r>
      <w:r>
        <w:rPr>
          <w:rFonts w:ascii="Times New Roman" w:hAnsi="Times New Roman" w:eastAsia="Times New Roman" w:cs="Times New Roman"/>
          <w:position w:val="1"/>
          <w:sz w:val="15"/>
          <w:szCs w:val="15"/>
        </w:rPr>
        <w:t xml:space="preserve">  </w:t>
      </w:r>
      <w:r>
        <w:rPr>
          <w:rFonts w:ascii="Times New Roman" w:hAnsi="Times New Roman" w:eastAsia="Times New Roman" w:cs="Times New Roman"/>
          <w:i/>
          <w:iCs/>
          <w:position w:val="2"/>
          <w:sz w:val="23"/>
          <w:szCs w:val="23"/>
        </w:rPr>
        <w:t>+</w:t>
      </w:r>
      <w:r>
        <w:rPr>
          <w:rFonts w:ascii="Times New Roman" w:hAnsi="Times New Roman" w:eastAsia="Times New Roman" w:cs="Times New Roman"/>
          <w:position w:val="2"/>
          <w:sz w:val="23"/>
          <w:szCs w:val="23"/>
        </w:rPr>
        <w:t xml:space="preserve"> </w:t>
      </w:r>
      <w:r>
        <w:rPr>
          <w:rFonts w:ascii="Times New Roman" w:hAnsi="Times New Roman" w:eastAsia="Times New Roman" w:cs="Times New Roman"/>
          <w:i/>
          <w:iCs/>
          <w:position w:val="2"/>
          <w:sz w:val="23"/>
          <w:szCs w:val="23"/>
        </w:rPr>
        <w:t>A</w:t>
      </w:r>
      <w:r>
        <w:rPr>
          <w:rFonts w:ascii="Times New Roman" w:hAnsi="Times New Roman" w:eastAsia="Times New Roman" w:cs="Times New Roman"/>
          <w:i/>
          <w:iCs/>
          <w:position w:val="1"/>
          <w:sz w:val="15"/>
          <w:szCs w:val="15"/>
        </w:rPr>
        <w:t>atm</w:t>
      </w:r>
      <w:r>
        <w:rPr>
          <w:rFonts w:ascii="Times New Roman" w:hAnsi="Times New Roman" w:eastAsia="Times New Roman" w:cs="Times New Roman"/>
          <w:position w:val="1"/>
          <w:sz w:val="15"/>
          <w:szCs w:val="15"/>
        </w:rPr>
        <w:t xml:space="preserve">  </w:t>
      </w:r>
      <w:r>
        <w:rPr>
          <w:rFonts w:ascii="Times New Roman" w:hAnsi="Times New Roman" w:eastAsia="Times New Roman" w:cs="Times New Roman"/>
          <w:i/>
          <w:iCs/>
          <w:position w:val="2"/>
          <w:sz w:val="23"/>
          <w:szCs w:val="23"/>
        </w:rPr>
        <w:t>+</w:t>
      </w:r>
      <w:r>
        <w:rPr>
          <w:rFonts w:ascii="Times New Roman" w:hAnsi="Times New Roman" w:eastAsia="Times New Roman" w:cs="Times New Roman"/>
          <w:position w:val="2"/>
          <w:sz w:val="23"/>
          <w:szCs w:val="23"/>
        </w:rPr>
        <w:t xml:space="preserve"> </w:t>
      </w:r>
      <w:r>
        <w:rPr>
          <w:rFonts w:ascii="Times New Roman" w:hAnsi="Times New Roman" w:eastAsia="Times New Roman" w:cs="Times New Roman"/>
          <w:i/>
          <w:iCs/>
          <w:position w:val="2"/>
          <w:sz w:val="23"/>
          <w:szCs w:val="23"/>
        </w:rPr>
        <w:t>A</w:t>
      </w:r>
      <w:r>
        <w:rPr>
          <w:rFonts w:ascii="Times New Roman" w:hAnsi="Times New Roman" w:eastAsia="Times New Roman" w:cs="Times New Roman"/>
          <w:i/>
          <w:iCs/>
          <w:position w:val="1"/>
          <w:sz w:val="15"/>
          <w:szCs w:val="15"/>
        </w:rPr>
        <w:t>exc</w:t>
      </w:r>
      <w:r>
        <w:rPr>
          <w:rFonts w:ascii="Times New Roman" w:hAnsi="Times New Roman" w:eastAsia="Times New Roman" w:cs="Times New Roman"/>
          <w:position w:val="1"/>
          <w:sz w:val="15"/>
          <w:szCs w:val="15"/>
        </w:rPr>
        <w:t xml:space="preserve"> </w:t>
      </w:r>
      <w:r>
        <w:rPr>
          <w:rFonts w:ascii="宋体" w:hAnsi="宋体" w:eastAsia="宋体" w:cs="宋体"/>
          <w:i/>
          <w:iCs/>
          <w:position w:val="2"/>
          <w:sz w:val="25"/>
          <w:szCs w:val="25"/>
        </w:rPr>
        <w:t>)</w:t>
      </w:r>
    </w:p>
    <w:p w14:paraId="3D2FEAE1">
      <w:pPr>
        <w:spacing w:before="266" w:line="632" w:lineRule="exact"/>
        <w:ind w:left="2046"/>
        <w:rPr>
          <w:rFonts w:ascii="Times New Roman" w:hAnsi="Times New Roman" w:eastAsia="Times New Roman" w:cs="Times New Roman"/>
          <w:sz w:val="23"/>
          <w:szCs w:val="23"/>
        </w:rPr>
      </w:pPr>
      <w:r>
        <w:rPr>
          <w:rFonts w:ascii="Times New Roman" w:hAnsi="Times New Roman" w:eastAsia="Times New Roman" w:cs="Times New Roman"/>
          <w:i/>
          <w:iCs/>
          <w:position w:val="27"/>
          <w:sz w:val="23"/>
          <w:szCs w:val="23"/>
        </w:rPr>
        <w:t>L</w:t>
      </w:r>
      <w:r>
        <w:rPr>
          <w:rFonts w:ascii="Times New Roman" w:hAnsi="Times New Roman" w:eastAsia="Times New Roman" w:cs="Times New Roman"/>
          <w:spacing w:val="8"/>
          <w:position w:val="27"/>
          <w:sz w:val="23"/>
          <w:szCs w:val="23"/>
        </w:rPr>
        <w:t xml:space="preserve">  </w:t>
      </w:r>
      <w:r>
        <w:rPr>
          <w:rFonts w:ascii="宋体" w:hAnsi="宋体" w:eastAsia="宋体" w:cs="宋体"/>
          <w:i/>
          <w:iCs/>
          <w:spacing w:val="8"/>
          <w:position w:val="27"/>
          <w:sz w:val="25"/>
          <w:szCs w:val="25"/>
        </w:rPr>
        <w:t>(</w:t>
      </w:r>
      <w:r>
        <w:rPr>
          <w:rFonts w:ascii="Times New Roman" w:hAnsi="Times New Roman" w:eastAsia="Times New Roman" w:cs="Times New Roman"/>
          <w:i/>
          <w:iCs/>
          <w:position w:val="27"/>
          <w:sz w:val="23"/>
          <w:szCs w:val="23"/>
        </w:rPr>
        <w:t>r</w:t>
      </w:r>
      <w:r>
        <w:rPr>
          <w:rFonts w:ascii="Times New Roman" w:hAnsi="Times New Roman" w:eastAsia="Times New Roman" w:cs="Times New Roman"/>
          <w:i/>
          <w:iCs/>
          <w:spacing w:val="5"/>
          <w:position w:val="26"/>
          <w:sz w:val="15"/>
          <w:szCs w:val="15"/>
        </w:rPr>
        <w:t>0</w:t>
      </w:r>
      <w:r>
        <w:rPr>
          <w:rFonts w:ascii="Times New Roman" w:hAnsi="Times New Roman" w:eastAsia="Times New Roman" w:cs="Times New Roman"/>
          <w:spacing w:val="4"/>
          <w:position w:val="26"/>
          <w:sz w:val="15"/>
          <w:szCs w:val="15"/>
        </w:rPr>
        <w:t xml:space="preserve"> </w:t>
      </w:r>
      <w:r>
        <w:rPr>
          <w:rFonts w:ascii="宋体" w:hAnsi="宋体" w:eastAsia="宋体" w:cs="宋体"/>
          <w:i/>
          <w:iCs/>
          <w:spacing w:val="4"/>
          <w:position w:val="27"/>
          <w:sz w:val="25"/>
          <w:szCs w:val="25"/>
        </w:rPr>
        <w:t>)</w:t>
      </w:r>
      <w:r>
        <w:rPr>
          <w:rFonts w:ascii="宋体" w:hAnsi="宋体" w:eastAsia="宋体" w:cs="宋体"/>
          <w:spacing w:val="4"/>
          <w:position w:val="27"/>
          <w:sz w:val="25"/>
          <w:szCs w:val="25"/>
        </w:rPr>
        <w:t xml:space="preserve"> </w:t>
      </w:r>
      <w:r>
        <w:rPr>
          <w:rFonts w:ascii="Times New Roman" w:hAnsi="Times New Roman" w:eastAsia="Times New Roman" w:cs="Times New Roman"/>
          <w:i/>
          <w:iCs/>
          <w:spacing w:val="4"/>
          <w:position w:val="27"/>
          <w:sz w:val="23"/>
          <w:szCs w:val="23"/>
        </w:rPr>
        <w:t>=</w:t>
      </w:r>
      <w:r>
        <w:rPr>
          <w:rFonts w:ascii="Times New Roman" w:hAnsi="Times New Roman" w:eastAsia="Times New Roman" w:cs="Times New Roman"/>
          <w:i/>
          <w:iCs/>
          <w:position w:val="27"/>
          <w:sz w:val="23"/>
          <w:szCs w:val="23"/>
        </w:rPr>
        <w:t>L</w:t>
      </w:r>
      <w:r>
        <w:rPr>
          <w:rFonts w:ascii="Times New Roman" w:hAnsi="Times New Roman" w:eastAsia="Times New Roman" w:cs="Times New Roman"/>
          <w:i/>
          <w:iCs/>
          <w:position w:val="26"/>
          <w:sz w:val="15"/>
          <w:szCs w:val="15"/>
        </w:rPr>
        <w:t>W</w:t>
      </w:r>
      <w:r>
        <w:rPr>
          <w:rFonts w:ascii="Times New Roman" w:hAnsi="Times New Roman" w:eastAsia="Times New Roman" w:cs="Times New Roman"/>
          <w:i/>
          <w:iCs/>
          <w:spacing w:val="4"/>
          <w:position w:val="26"/>
          <w:sz w:val="15"/>
          <w:szCs w:val="15"/>
        </w:rPr>
        <w:t>2</w:t>
      </w:r>
      <w:r>
        <w:rPr>
          <w:rFonts w:ascii="Times New Roman" w:hAnsi="Times New Roman" w:eastAsia="Times New Roman" w:cs="Times New Roman"/>
          <w:spacing w:val="4"/>
          <w:position w:val="26"/>
          <w:sz w:val="15"/>
          <w:szCs w:val="15"/>
        </w:rPr>
        <w:t xml:space="preserve"> </w:t>
      </w:r>
      <w:r>
        <w:rPr>
          <w:rFonts w:ascii="Times New Roman" w:hAnsi="Times New Roman" w:eastAsia="Times New Roman" w:cs="Times New Roman"/>
          <w:i/>
          <w:iCs/>
          <w:spacing w:val="4"/>
          <w:position w:val="27"/>
          <w:sz w:val="23"/>
          <w:szCs w:val="23"/>
        </w:rPr>
        <w:t>–</w:t>
      </w:r>
      <w:r>
        <w:rPr>
          <w:rFonts w:ascii="Times New Roman" w:hAnsi="Times New Roman" w:eastAsia="Times New Roman" w:cs="Times New Roman"/>
          <w:spacing w:val="4"/>
          <w:position w:val="27"/>
          <w:sz w:val="23"/>
          <w:szCs w:val="23"/>
        </w:rPr>
        <w:t xml:space="preserve"> 20</w:t>
      </w:r>
      <w:r>
        <w:rPr>
          <w:rFonts w:ascii="Times New Roman" w:hAnsi="Times New Roman" w:eastAsia="Times New Roman" w:cs="Times New Roman"/>
          <w:i/>
          <w:iCs/>
          <w:position w:val="27"/>
          <w:sz w:val="23"/>
          <w:szCs w:val="23"/>
        </w:rPr>
        <w:t>lgr</w:t>
      </w:r>
      <w:r>
        <w:rPr>
          <w:rFonts w:ascii="Times New Roman" w:hAnsi="Times New Roman" w:eastAsia="Times New Roman" w:cs="Times New Roman"/>
          <w:i/>
          <w:iCs/>
          <w:spacing w:val="4"/>
          <w:position w:val="26"/>
          <w:sz w:val="15"/>
          <w:szCs w:val="15"/>
        </w:rPr>
        <w:t>0</w:t>
      </w:r>
      <w:r>
        <w:rPr>
          <w:rFonts w:ascii="Times New Roman" w:hAnsi="Times New Roman" w:eastAsia="Times New Roman" w:cs="Times New Roman"/>
          <w:spacing w:val="4"/>
          <w:position w:val="26"/>
          <w:sz w:val="15"/>
          <w:szCs w:val="15"/>
        </w:rPr>
        <w:t xml:space="preserve"> </w:t>
      </w:r>
      <w:r>
        <w:rPr>
          <w:rFonts w:ascii="Times New Roman" w:hAnsi="Times New Roman" w:eastAsia="Times New Roman" w:cs="Times New Roman"/>
          <w:i/>
          <w:iCs/>
          <w:spacing w:val="4"/>
          <w:position w:val="27"/>
          <w:sz w:val="23"/>
          <w:szCs w:val="23"/>
        </w:rPr>
        <w:t>–</w:t>
      </w:r>
      <w:r>
        <w:rPr>
          <w:rFonts w:ascii="Times New Roman" w:hAnsi="Times New Roman" w:eastAsia="Times New Roman" w:cs="Times New Roman"/>
          <w:spacing w:val="4"/>
          <w:position w:val="27"/>
          <w:sz w:val="23"/>
          <w:szCs w:val="23"/>
        </w:rPr>
        <w:t xml:space="preserve"> 8</w:t>
      </w:r>
    </w:p>
    <w:p w14:paraId="6FED27DC">
      <w:pPr>
        <w:spacing w:line="346" w:lineRule="exact"/>
        <w:ind w:left="2042"/>
        <w:rPr>
          <w:rFonts w:ascii="宋体" w:hAnsi="宋体" w:eastAsia="宋体" w:cs="宋体"/>
          <w:sz w:val="25"/>
          <w:szCs w:val="25"/>
        </w:rPr>
      </w:pPr>
      <w:r>
        <w:rPr>
          <w:rFonts w:ascii="Times New Roman" w:hAnsi="Times New Roman" w:eastAsia="Times New Roman" w:cs="Times New Roman"/>
          <w:i/>
          <w:iCs/>
          <w:position w:val="3"/>
          <w:sz w:val="23"/>
          <w:szCs w:val="23"/>
        </w:rPr>
        <w:t>A</w:t>
      </w:r>
      <w:r>
        <w:rPr>
          <w:rFonts w:ascii="Times New Roman" w:hAnsi="Times New Roman" w:eastAsia="Times New Roman" w:cs="Times New Roman"/>
          <w:i/>
          <w:iCs/>
          <w:position w:val="2"/>
          <w:sz w:val="15"/>
          <w:szCs w:val="15"/>
        </w:rPr>
        <w:t>div</w:t>
      </w:r>
      <w:r>
        <w:rPr>
          <w:rFonts w:ascii="Times New Roman" w:hAnsi="Times New Roman" w:eastAsia="Times New Roman" w:cs="Times New Roman"/>
          <w:spacing w:val="5"/>
          <w:position w:val="2"/>
          <w:sz w:val="15"/>
          <w:szCs w:val="15"/>
        </w:rPr>
        <w:t xml:space="preserve">      </w:t>
      </w:r>
      <w:r>
        <w:rPr>
          <w:rFonts w:ascii="Times New Roman" w:hAnsi="Times New Roman" w:eastAsia="Times New Roman" w:cs="Times New Roman"/>
          <w:spacing w:val="5"/>
          <w:position w:val="3"/>
          <w:sz w:val="23"/>
          <w:szCs w:val="23"/>
        </w:rPr>
        <w:t>= 20</w:t>
      </w:r>
      <w:r>
        <w:rPr>
          <w:rFonts w:ascii="Times New Roman" w:hAnsi="Times New Roman" w:eastAsia="Times New Roman" w:cs="Times New Roman"/>
          <w:i/>
          <w:iCs/>
          <w:position w:val="3"/>
          <w:sz w:val="23"/>
          <w:szCs w:val="23"/>
        </w:rPr>
        <w:t>lg</w:t>
      </w:r>
      <w:r>
        <w:rPr>
          <w:rFonts w:ascii="Times New Roman" w:hAnsi="Times New Roman" w:eastAsia="Times New Roman" w:cs="Times New Roman"/>
          <w:spacing w:val="5"/>
          <w:position w:val="3"/>
          <w:sz w:val="23"/>
          <w:szCs w:val="23"/>
        </w:rPr>
        <w:t xml:space="preserve">  </w:t>
      </w:r>
      <w:r>
        <w:rPr>
          <w:rFonts w:ascii="宋体" w:hAnsi="宋体" w:eastAsia="宋体" w:cs="宋体"/>
          <w:i/>
          <w:iCs/>
          <w:spacing w:val="5"/>
          <w:position w:val="3"/>
          <w:sz w:val="25"/>
          <w:szCs w:val="25"/>
        </w:rPr>
        <w:t>(</w:t>
      </w:r>
      <w:r>
        <w:rPr>
          <w:rFonts w:ascii="Times New Roman" w:hAnsi="Times New Roman" w:eastAsia="Times New Roman" w:cs="Times New Roman"/>
          <w:i/>
          <w:iCs/>
          <w:position w:val="3"/>
          <w:sz w:val="23"/>
          <w:szCs w:val="23"/>
        </w:rPr>
        <w:t>r</w:t>
      </w:r>
      <w:r>
        <w:rPr>
          <w:rFonts w:ascii="Times New Roman" w:hAnsi="Times New Roman" w:eastAsia="Times New Roman" w:cs="Times New Roman"/>
          <w:i/>
          <w:iCs/>
          <w:spacing w:val="5"/>
          <w:position w:val="3"/>
          <w:sz w:val="23"/>
          <w:szCs w:val="23"/>
        </w:rPr>
        <w:t>/</w:t>
      </w:r>
      <w:r>
        <w:rPr>
          <w:rFonts w:ascii="Times New Roman" w:hAnsi="Times New Roman" w:eastAsia="Times New Roman" w:cs="Times New Roman"/>
          <w:i/>
          <w:iCs/>
          <w:position w:val="3"/>
          <w:sz w:val="23"/>
          <w:szCs w:val="23"/>
        </w:rPr>
        <w:t>r</w:t>
      </w:r>
      <w:r>
        <w:rPr>
          <w:rFonts w:ascii="Times New Roman" w:hAnsi="Times New Roman" w:eastAsia="Times New Roman" w:cs="Times New Roman"/>
          <w:i/>
          <w:iCs/>
          <w:spacing w:val="5"/>
          <w:position w:val="2"/>
          <w:sz w:val="15"/>
          <w:szCs w:val="15"/>
        </w:rPr>
        <w:t>0</w:t>
      </w:r>
      <w:r>
        <w:rPr>
          <w:rFonts w:ascii="Times New Roman" w:hAnsi="Times New Roman" w:eastAsia="Times New Roman" w:cs="Times New Roman"/>
          <w:spacing w:val="5"/>
          <w:position w:val="2"/>
          <w:sz w:val="15"/>
          <w:szCs w:val="15"/>
        </w:rPr>
        <w:t xml:space="preserve"> </w:t>
      </w:r>
      <w:r>
        <w:rPr>
          <w:rFonts w:ascii="宋体" w:hAnsi="宋体" w:eastAsia="宋体" w:cs="宋体"/>
          <w:i/>
          <w:iCs/>
          <w:spacing w:val="5"/>
          <w:position w:val="3"/>
          <w:sz w:val="25"/>
          <w:szCs w:val="25"/>
        </w:rPr>
        <w:t>)</w:t>
      </w:r>
    </w:p>
    <w:p w14:paraId="1ADB0BD9">
      <w:pPr>
        <w:spacing w:line="257" w:lineRule="auto"/>
        <w:rPr>
          <w:rFonts w:ascii="Arial"/>
          <w:sz w:val="21"/>
        </w:rPr>
      </w:pPr>
    </w:p>
    <w:p w14:paraId="5249F193">
      <w:pPr>
        <w:spacing w:before="75" w:line="314" w:lineRule="exact"/>
        <w:ind w:left="508"/>
        <w:rPr>
          <w:rFonts w:ascii="宋体" w:hAnsi="宋体" w:eastAsia="宋体" w:cs="宋体"/>
          <w:sz w:val="23"/>
          <w:szCs w:val="23"/>
        </w:rPr>
      </w:pPr>
      <w:r>
        <w:rPr>
          <w:rFonts w:ascii="宋体" w:hAnsi="宋体" w:eastAsia="宋体" w:cs="宋体"/>
          <w:spacing w:val="11"/>
          <w:position w:val="1"/>
          <w:sz w:val="23"/>
          <w:szCs w:val="23"/>
        </w:rPr>
        <w:t>式</w:t>
      </w:r>
      <w:r>
        <w:rPr>
          <w:rFonts w:ascii="宋体" w:hAnsi="宋体" w:eastAsia="宋体" w:cs="宋体"/>
          <w:spacing w:val="9"/>
          <w:position w:val="1"/>
          <w:sz w:val="23"/>
          <w:szCs w:val="23"/>
        </w:rPr>
        <w:t>中：</w:t>
      </w:r>
      <w:r>
        <w:rPr>
          <w:rFonts w:ascii="Times New Roman" w:hAnsi="Times New Roman" w:eastAsia="Times New Roman" w:cs="Times New Roman"/>
          <w:position w:val="1"/>
          <w:sz w:val="23"/>
          <w:szCs w:val="23"/>
        </w:rPr>
        <w:t>L</w:t>
      </w:r>
      <w:r>
        <w:rPr>
          <w:rFonts w:ascii="Times New Roman" w:hAnsi="Times New Roman" w:eastAsia="Times New Roman" w:cs="Times New Roman"/>
          <w:sz w:val="15"/>
          <w:szCs w:val="15"/>
        </w:rPr>
        <w:t>i</w:t>
      </w:r>
      <w:r>
        <w:rPr>
          <w:rFonts w:ascii="Times New Roman" w:hAnsi="Times New Roman" w:eastAsia="Times New Roman" w:cs="Times New Roman"/>
          <w:spacing w:val="9"/>
          <w:position w:val="1"/>
          <w:sz w:val="23"/>
          <w:szCs w:val="23"/>
        </w:rPr>
        <w:t>—</w:t>
      </w:r>
      <w:r>
        <w:rPr>
          <w:rFonts w:ascii="宋体" w:hAnsi="宋体" w:eastAsia="宋体" w:cs="宋体"/>
          <w:spacing w:val="9"/>
          <w:position w:val="1"/>
          <w:sz w:val="23"/>
          <w:szCs w:val="23"/>
        </w:rPr>
        <w:t>等效室外声源在预测点的声压级；</w:t>
      </w:r>
    </w:p>
    <w:p w14:paraId="28EFC470">
      <w:pPr>
        <w:spacing w:line="245" w:lineRule="auto"/>
        <w:rPr>
          <w:rFonts w:ascii="Arial"/>
          <w:sz w:val="21"/>
        </w:rPr>
      </w:pPr>
    </w:p>
    <w:p w14:paraId="7D52BE1D">
      <w:pPr>
        <w:spacing w:before="75" w:line="636" w:lineRule="exact"/>
        <w:ind w:left="1218"/>
        <w:rPr>
          <w:rFonts w:ascii="宋体" w:hAnsi="宋体" w:eastAsia="宋体" w:cs="宋体"/>
          <w:sz w:val="23"/>
          <w:szCs w:val="23"/>
        </w:rPr>
      </w:pPr>
      <w:r>
        <w:rPr>
          <w:rFonts w:ascii="Times New Roman" w:hAnsi="Times New Roman" w:eastAsia="Times New Roman" w:cs="Times New Roman"/>
          <w:position w:val="31"/>
          <w:sz w:val="23"/>
          <w:szCs w:val="23"/>
        </w:rPr>
        <w:t>L</w:t>
      </w:r>
      <w:r>
        <w:rPr>
          <w:rFonts w:ascii="Times New Roman" w:hAnsi="Times New Roman" w:eastAsia="Times New Roman" w:cs="Times New Roman"/>
          <w:spacing w:val="4"/>
          <w:position w:val="31"/>
          <w:sz w:val="23"/>
          <w:szCs w:val="23"/>
        </w:rPr>
        <w:t xml:space="preserve">  </w:t>
      </w:r>
      <w:r>
        <w:rPr>
          <w:rFonts w:ascii="宋体" w:hAnsi="宋体" w:eastAsia="宋体" w:cs="宋体"/>
          <w:spacing w:val="4"/>
          <w:position w:val="31"/>
          <w:sz w:val="23"/>
          <w:szCs w:val="23"/>
        </w:rPr>
        <w:t>(</w:t>
      </w:r>
      <w:r>
        <w:rPr>
          <w:rFonts w:ascii="Times New Roman" w:hAnsi="Times New Roman" w:eastAsia="Times New Roman" w:cs="Times New Roman"/>
          <w:position w:val="31"/>
          <w:sz w:val="23"/>
          <w:szCs w:val="23"/>
        </w:rPr>
        <w:t>r</w:t>
      </w:r>
      <w:r>
        <w:rPr>
          <w:rFonts w:ascii="Times New Roman" w:hAnsi="Times New Roman" w:eastAsia="Times New Roman" w:cs="Times New Roman"/>
          <w:spacing w:val="4"/>
          <w:position w:val="30"/>
          <w:sz w:val="15"/>
          <w:szCs w:val="15"/>
        </w:rPr>
        <w:t xml:space="preserve">0 </w:t>
      </w:r>
      <w:r>
        <w:rPr>
          <w:rFonts w:ascii="宋体" w:hAnsi="宋体" w:eastAsia="宋体" w:cs="宋体"/>
          <w:spacing w:val="4"/>
          <w:position w:val="31"/>
          <w:sz w:val="23"/>
          <w:szCs w:val="23"/>
        </w:rPr>
        <w:t xml:space="preserve">) </w:t>
      </w:r>
      <w:r>
        <w:rPr>
          <w:rFonts w:ascii="Times New Roman" w:hAnsi="Times New Roman" w:eastAsia="Times New Roman" w:cs="Times New Roman"/>
          <w:spacing w:val="4"/>
          <w:position w:val="31"/>
          <w:sz w:val="23"/>
          <w:szCs w:val="23"/>
        </w:rPr>
        <w:t xml:space="preserve">—  </w:t>
      </w:r>
      <w:r>
        <w:rPr>
          <w:rFonts w:ascii="宋体" w:hAnsi="宋体" w:eastAsia="宋体" w:cs="宋体"/>
          <w:spacing w:val="4"/>
          <w:position w:val="31"/>
          <w:sz w:val="23"/>
          <w:szCs w:val="23"/>
        </w:rPr>
        <w:t xml:space="preserve">等效室外声源在参考位置 </w:t>
      </w:r>
      <w:r>
        <w:rPr>
          <w:rFonts w:ascii="Times New Roman" w:hAnsi="Times New Roman" w:eastAsia="Times New Roman" w:cs="Times New Roman"/>
          <w:position w:val="31"/>
          <w:sz w:val="23"/>
          <w:szCs w:val="23"/>
        </w:rPr>
        <w:t>r</w:t>
      </w:r>
      <w:r>
        <w:rPr>
          <w:rFonts w:ascii="Times New Roman" w:hAnsi="Times New Roman" w:eastAsia="Times New Roman" w:cs="Times New Roman"/>
          <w:spacing w:val="4"/>
          <w:position w:val="30"/>
          <w:sz w:val="15"/>
          <w:szCs w:val="15"/>
        </w:rPr>
        <w:t xml:space="preserve">0 </w:t>
      </w:r>
      <w:r>
        <w:rPr>
          <w:rFonts w:ascii="宋体" w:hAnsi="宋体" w:eastAsia="宋体" w:cs="宋体"/>
          <w:spacing w:val="4"/>
          <w:position w:val="31"/>
          <w:sz w:val="23"/>
          <w:szCs w:val="23"/>
        </w:rPr>
        <w:t>处的声压</w:t>
      </w:r>
      <w:r>
        <w:rPr>
          <w:rFonts w:ascii="宋体" w:hAnsi="宋体" w:eastAsia="宋体" w:cs="宋体"/>
          <w:spacing w:val="3"/>
          <w:position w:val="31"/>
          <w:sz w:val="23"/>
          <w:szCs w:val="23"/>
        </w:rPr>
        <w:t>级</w:t>
      </w:r>
      <w:r>
        <w:rPr>
          <w:rFonts w:ascii="宋体" w:hAnsi="宋体" w:eastAsia="宋体" w:cs="宋体"/>
          <w:position w:val="31"/>
          <w:sz w:val="23"/>
          <w:szCs w:val="23"/>
        </w:rPr>
        <w:t>；</w:t>
      </w:r>
    </w:p>
    <w:p w14:paraId="1D5DC149">
      <w:pPr>
        <w:spacing w:line="313" w:lineRule="exact"/>
        <w:ind w:left="1216"/>
        <w:rPr>
          <w:rFonts w:ascii="宋体" w:hAnsi="宋体" w:eastAsia="宋体" w:cs="宋体"/>
          <w:sz w:val="23"/>
          <w:szCs w:val="23"/>
        </w:rPr>
      </w:pPr>
      <w:r>
        <w:rPr>
          <w:rFonts w:ascii="Times New Roman" w:hAnsi="Times New Roman" w:eastAsia="Times New Roman" w:cs="Times New Roman"/>
          <w:position w:val="1"/>
          <w:sz w:val="23"/>
          <w:szCs w:val="23"/>
        </w:rPr>
        <w:t>A</w:t>
      </w:r>
      <w:r>
        <w:rPr>
          <w:rFonts w:ascii="Times New Roman" w:hAnsi="Times New Roman" w:eastAsia="Times New Roman" w:cs="Times New Roman"/>
          <w:sz w:val="15"/>
          <w:szCs w:val="15"/>
        </w:rPr>
        <w:t>div</w:t>
      </w:r>
      <w:r>
        <w:rPr>
          <w:rFonts w:ascii="Times New Roman" w:hAnsi="Times New Roman" w:eastAsia="Times New Roman" w:cs="Times New Roman"/>
          <w:spacing w:val="10"/>
          <w:sz w:val="15"/>
          <w:szCs w:val="15"/>
        </w:rPr>
        <w:t xml:space="preserve"> </w:t>
      </w:r>
      <w:r>
        <w:rPr>
          <w:rFonts w:ascii="Times New Roman" w:hAnsi="Times New Roman" w:eastAsia="Times New Roman" w:cs="Times New Roman"/>
          <w:spacing w:val="10"/>
          <w:position w:val="1"/>
          <w:sz w:val="23"/>
          <w:szCs w:val="23"/>
        </w:rPr>
        <w:t xml:space="preserve">—  </w:t>
      </w:r>
      <w:r>
        <w:rPr>
          <w:rFonts w:ascii="宋体" w:hAnsi="宋体" w:eastAsia="宋体" w:cs="宋体"/>
          <w:spacing w:val="10"/>
          <w:position w:val="1"/>
          <w:sz w:val="23"/>
          <w:szCs w:val="23"/>
        </w:rPr>
        <w:t>声波几何发散引起的衰减量</w:t>
      </w:r>
      <w:r>
        <w:rPr>
          <w:rFonts w:ascii="宋体" w:hAnsi="宋体" w:eastAsia="宋体" w:cs="宋体"/>
          <w:spacing w:val="9"/>
          <w:position w:val="1"/>
          <w:sz w:val="23"/>
          <w:szCs w:val="23"/>
        </w:rPr>
        <w:t>；</w:t>
      </w:r>
    </w:p>
    <w:p w14:paraId="2DF2A864">
      <w:pPr>
        <w:spacing w:line="246" w:lineRule="auto"/>
        <w:rPr>
          <w:rFonts w:ascii="Arial"/>
          <w:sz w:val="21"/>
        </w:rPr>
      </w:pPr>
    </w:p>
    <w:p w14:paraId="7F316BA4">
      <w:pPr>
        <w:spacing w:before="76" w:line="636" w:lineRule="exact"/>
        <w:ind w:left="1216"/>
        <w:rPr>
          <w:rFonts w:ascii="宋体" w:hAnsi="宋体" w:eastAsia="宋体" w:cs="宋体"/>
          <w:sz w:val="23"/>
          <w:szCs w:val="23"/>
        </w:rPr>
      </w:pPr>
      <w:r>
        <w:rPr>
          <w:rFonts w:ascii="Times New Roman" w:hAnsi="Times New Roman" w:eastAsia="Times New Roman" w:cs="Times New Roman"/>
          <w:position w:val="29"/>
          <w:sz w:val="23"/>
          <w:szCs w:val="23"/>
        </w:rPr>
        <w:t>A</w:t>
      </w:r>
      <w:r>
        <w:rPr>
          <w:rFonts w:ascii="Times New Roman" w:hAnsi="Times New Roman" w:eastAsia="Times New Roman" w:cs="Times New Roman"/>
          <w:position w:val="28"/>
          <w:sz w:val="15"/>
          <w:szCs w:val="15"/>
        </w:rPr>
        <w:t>bar</w:t>
      </w:r>
      <w:r>
        <w:rPr>
          <w:rFonts w:ascii="Times New Roman" w:hAnsi="Times New Roman" w:eastAsia="Times New Roman" w:cs="Times New Roman"/>
          <w:spacing w:val="9"/>
          <w:position w:val="28"/>
          <w:sz w:val="15"/>
          <w:szCs w:val="15"/>
        </w:rPr>
        <w:t xml:space="preserve"> </w:t>
      </w:r>
      <w:r>
        <w:rPr>
          <w:rFonts w:ascii="Times New Roman" w:hAnsi="Times New Roman" w:eastAsia="Times New Roman" w:cs="Times New Roman"/>
          <w:spacing w:val="7"/>
          <w:position w:val="28"/>
          <w:sz w:val="15"/>
          <w:szCs w:val="15"/>
        </w:rPr>
        <w:t xml:space="preserve">   </w:t>
      </w:r>
      <w:r>
        <w:rPr>
          <w:rFonts w:ascii="Times New Roman" w:hAnsi="Times New Roman" w:eastAsia="Times New Roman" w:cs="Times New Roman"/>
          <w:spacing w:val="7"/>
          <w:position w:val="29"/>
          <w:sz w:val="23"/>
          <w:szCs w:val="23"/>
        </w:rPr>
        <w:t xml:space="preserve">—  </w:t>
      </w:r>
      <w:r>
        <w:rPr>
          <w:rFonts w:ascii="宋体" w:hAnsi="宋体" w:eastAsia="宋体" w:cs="宋体"/>
          <w:spacing w:val="7"/>
          <w:position w:val="29"/>
          <w:sz w:val="23"/>
          <w:szCs w:val="23"/>
        </w:rPr>
        <w:t>遮挡物引起的衰减量；</w:t>
      </w:r>
    </w:p>
    <w:p w14:paraId="70AC3C26">
      <w:pPr>
        <w:spacing w:line="314" w:lineRule="exact"/>
        <w:ind w:left="1216"/>
        <w:rPr>
          <w:rFonts w:ascii="宋体" w:hAnsi="宋体" w:eastAsia="宋体" w:cs="宋体"/>
          <w:sz w:val="23"/>
          <w:szCs w:val="23"/>
        </w:rPr>
      </w:pPr>
      <w:r>
        <w:rPr>
          <w:rFonts w:ascii="Times New Roman" w:hAnsi="Times New Roman" w:eastAsia="Times New Roman" w:cs="Times New Roman"/>
          <w:position w:val="1"/>
          <w:sz w:val="23"/>
          <w:szCs w:val="23"/>
        </w:rPr>
        <w:t>A</w:t>
      </w:r>
      <w:r>
        <w:rPr>
          <w:rFonts w:ascii="Times New Roman" w:hAnsi="Times New Roman" w:eastAsia="Times New Roman" w:cs="Times New Roman"/>
          <w:sz w:val="15"/>
          <w:szCs w:val="15"/>
        </w:rPr>
        <w:t>atm</w:t>
      </w:r>
      <w:r>
        <w:rPr>
          <w:rFonts w:ascii="Times New Roman" w:hAnsi="Times New Roman" w:eastAsia="Times New Roman" w:cs="Times New Roman"/>
          <w:spacing w:val="10"/>
          <w:sz w:val="15"/>
          <w:szCs w:val="15"/>
        </w:rPr>
        <w:t xml:space="preserve"> </w:t>
      </w:r>
      <w:r>
        <w:rPr>
          <w:rFonts w:ascii="Times New Roman" w:hAnsi="Times New Roman" w:eastAsia="Times New Roman" w:cs="Times New Roman"/>
          <w:spacing w:val="10"/>
          <w:position w:val="1"/>
          <w:sz w:val="23"/>
          <w:szCs w:val="23"/>
        </w:rPr>
        <w:t xml:space="preserve">—  </w:t>
      </w:r>
      <w:r>
        <w:rPr>
          <w:rFonts w:ascii="宋体" w:hAnsi="宋体" w:eastAsia="宋体" w:cs="宋体"/>
          <w:spacing w:val="10"/>
          <w:position w:val="1"/>
          <w:sz w:val="23"/>
          <w:szCs w:val="23"/>
        </w:rPr>
        <w:t>空气吸收引起的衰减量；</w:t>
      </w:r>
    </w:p>
    <w:p w14:paraId="4214A1F8">
      <w:pPr>
        <w:spacing w:line="245" w:lineRule="auto"/>
        <w:rPr>
          <w:rFonts w:ascii="Arial"/>
          <w:sz w:val="21"/>
        </w:rPr>
      </w:pPr>
    </w:p>
    <w:p w14:paraId="7DA701EB">
      <w:pPr>
        <w:spacing w:before="75" w:line="227" w:lineRule="auto"/>
        <w:ind w:left="1216"/>
        <w:rPr>
          <w:rFonts w:ascii="宋体" w:hAnsi="宋体" w:eastAsia="宋体" w:cs="宋体"/>
          <w:sz w:val="23"/>
          <w:szCs w:val="23"/>
        </w:rPr>
      </w:pPr>
      <w:r>
        <w:rPr>
          <w:rFonts w:ascii="Times New Roman" w:hAnsi="Times New Roman" w:eastAsia="Times New Roman" w:cs="Times New Roman"/>
          <w:sz w:val="23"/>
          <w:szCs w:val="23"/>
        </w:rPr>
        <w:t>A</w:t>
      </w:r>
      <w:r>
        <w:rPr>
          <w:rFonts w:ascii="Times New Roman" w:hAnsi="Times New Roman" w:eastAsia="Times New Roman" w:cs="Times New Roman"/>
          <w:position w:val="-1"/>
          <w:sz w:val="15"/>
          <w:szCs w:val="15"/>
        </w:rPr>
        <w:t>exc</w:t>
      </w:r>
      <w:r>
        <w:rPr>
          <w:rFonts w:ascii="Times New Roman" w:hAnsi="Times New Roman" w:eastAsia="Times New Roman" w:cs="Times New Roman"/>
          <w:spacing w:val="8"/>
          <w:position w:val="-1"/>
          <w:sz w:val="15"/>
          <w:szCs w:val="15"/>
        </w:rPr>
        <w:t xml:space="preserve"> </w:t>
      </w:r>
      <w:r>
        <w:rPr>
          <w:rFonts w:ascii="Times New Roman" w:hAnsi="Times New Roman" w:eastAsia="Times New Roman" w:cs="Times New Roman"/>
          <w:spacing w:val="6"/>
          <w:position w:val="-1"/>
          <w:sz w:val="15"/>
          <w:szCs w:val="15"/>
        </w:rPr>
        <w:t xml:space="preserve">    </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附加衰减量。</w:t>
      </w:r>
    </w:p>
    <w:p w14:paraId="12C9B3E9">
      <w:pPr>
        <w:sectPr>
          <w:footerReference r:id="rId243" w:type="default"/>
          <w:pgSz w:w="11906" w:h="16839"/>
          <w:pgMar w:top="1132" w:right="1785" w:bottom="1182" w:left="1785" w:header="878" w:footer="1022" w:gutter="0"/>
          <w:cols w:space="720" w:num="1"/>
        </w:sectPr>
      </w:pPr>
    </w:p>
    <w:p w14:paraId="300EC9DA">
      <w:pPr>
        <w:spacing w:line="408" w:lineRule="auto"/>
        <w:rPr>
          <w:rFonts w:ascii="Arial"/>
          <w:sz w:val="21"/>
        </w:rPr>
      </w:pPr>
      <w:r>
        <w:pict>
          <v:shape id="_x0000_s1286" o:spid="_x0000_s1286" style="position:absolute;left:0pt;margin-left:90pt;margin-top:57.35pt;height:0.75pt;width:415.3pt;mso-position-horizontal-relative:page;mso-position-vertical-relative:page;z-index:251939840;mso-width-relative:page;mso-height-relative:page;" fillcolor="#000000" filled="t" stroked="f" coordsize="8305,15" o:allowincell="f" path="m0,0l8305,0,8305,14,0,14,0,0xe">
            <v:path/>
            <v:fill on="t" focussize="0,0"/>
            <v:stroke on="f"/>
            <v:imagedata o:title=""/>
            <o:lock v:ext="edit"/>
          </v:shape>
        </w:pict>
      </w:r>
    </w:p>
    <w:p w14:paraId="1217CB2C">
      <w:pPr>
        <w:spacing w:before="74" w:line="509" w:lineRule="auto"/>
        <w:ind w:left="597" w:right="533"/>
        <w:rPr>
          <w:rFonts w:ascii="宋体" w:hAnsi="宋体" w:eastAsia="宋体" w:cs="宋体"/>
          <w:sz w:val="23"/>
          <w:szCs w:val="23"/>
        </w:rPr>
      </w:pPr>
      <w:r>
        <w:rPr>
          <w:rFonts w:ascii="宋体" w:hAnsi="宋体" w:eastAsia="宋体" w:cs="宋体"/>
          <w:spacing w:val="16"/>
          <w:sz w:val="23"/>
          <w:szCs w:val="23"/>
        </w:rPr>
        <w:t>根</w:t>
      </w:r>
      <w:r>
        <w:rPr>
          <w:rFonts w:ascii="宋体" w:hAnsi="宋体" w:eastAsia="宋体" w:cs="宋体"/>
          <w:spacing w:val="12"/>
          <w:sz w:val="23"/>
          <w:szCs w:val="23"/>
        </w:rPr>
        <w:t>据</w:t>
      </w:r>
      <w:r>
        <w:rPr>
          <w:rFonts w:ascii="宋体" w:hAnsi="宋体" w:eastAsia="宋体" w:cs="宋体"/>
          <w:spacing w:val="8"/>
          <w:sz w:val="23"/>
          <w:szCs w:val="23"/>
        </w:rPr>
        <w:t>本评价的实际情况，后三项在计算中予以忽略，仅考虑几何发散。</w:t>
      </w:r>
      <w:r>
        <w:rPr>
          <w:rFonts w:ascii="宋体" w:hAnsi="宋体" w:eastAsia="宋体" w:cs="宋体"/>
          <w:sz w:val="23"/>
          <w:szCs w:val="23"/>
        </w:rPr>
        <w:t xml:space="preserve"> </w:t>
      </w:r>
      <w:r>
        <w:rPr>
          <w:rFonts w:ascii="宋体" w:hAnsi="宋体" w:eastAsia="宋体" w:cs="宋体"/>
          <w:spacing w:val="18"/>
          <w:sz w:val="23"/>
          <w:szCs w:val="23"/>
        </w:rPr>
        <w:t>计</w:t>
      </w:r>
      <w:r>
        <w:rPr>
          <w:rFonts w:ascii="宋体" w:hAnsi="宋体" w:eastAsia="宋体" w:cs="宋体"/>
          <w:spacing w:val="11"/>
          <w:sz w:val="23"/>
          <w:szCs w:val="23"/>
        </w:rPr>
        <w:t>算</w:t>
      </w:r>
      <w:r>
        <w:rPr>
          <w:rFonts w:ascii="宋体" w:hAnsi="宋体" w:eastAsia="宋体" w:cs="宋体"/>
          <w:spacing w:val="9"/>
          <w:sz w:val="23"/>
          <w:szCs w:val="23"/>
        </w:rPr>
        <w:t>各等效室外声源在预测点产生的等效声级贡献值 (</w:t>
      </w:r>
      <w:r>
        <w:rPr>
          <w:rFonts w:ascii="Times New Roman" w:hAnsi="Times New Roman" w:eastAsia="Times New Roman" w:cs="Times New Roman"/>
          <w:sz w:val="23"/>
          <w:szCs w:val="23"/>
        </w:rPr>
        <w:t>Leq</w:t>
      </w:r>
      <w:r>
        <w:rPr>
          <w:rFonts w:ascii="宋体" w:hAnsi="宋体" w:eastAsia="宋体" w:cs="宋体"/>
          <w:spacing w:val="9"/>
          <w:sz w:val="23"/>
          <w:szCs w:val="23"/>
        </w:rPr>
        <w:t>)</w:t>
      </w:r>
    </w:p>
    <w:p w14:paraId="0918436B">
      <w:pPr>
        <w:spacing w:before="13" w:line="238" w:lineRule="auto"/>
        <w:ind w:left="2568"/>
        <w:rPr>
          <w:rFonts w:ascii="Times New Roman" w:hAnsi="Times New Roman" w:eastAsia="Times New Roman" w:cs="Times New Roman"/>
          <w:sz w:val="26"/>
          <w:szCs w:val="26"/>
        </w:rPr>
      </w:pPr>
      <w:r>
        <w:rPr>
          <w:rFonts w:ascii="Times New Roman" w:hAnsi="Times New Roman" w:eastAsia="Times New Roman" w:cs="Times New Roman"/>
          <w:i/>
          <w:iCs/>
          <w:position w:val="1"/>
          <w:sz w:val="26"/>
          <w:szCs w:val="26"/>
        </w:rPr>
        <w:t>L</w:t>
      </w:r>
      <w:r>
        <w:rPr>
          <w:rFonts w:ascii="Times New Roman" w:hAnsi="Times New Roman" w:eastAsia="Times New Roman" w:cs="Times New Roman"/>
          <w:spacing w:val="8"/>
          <w:position w:val="1"/>
          <w:sz w:val="26"/>
          <w:szCs w:val="26"/>
        </w:rPr>
        <w:t xml:space="preserve"> </w:t>
      </w:r>
      <w:r>
        <w:rPr>
          <w:rFonts w:ascii="Times New Roman" w:hAnsi="Times New Roman" w:eastAsia="Times New Roman" w:cs="Times New Roman"/>
          <w:i/>
          <w:iCs/>
          <w:position w:val="-5"/>
          <w:sz w:val="15"/>
          <w:szCs w:val="15"/>
        </w:rPr>
        <w:t>eqg</w:t>
      </w:r>
      <w:r>
        <w:rPr>
          <w:rFonts w:ascii="Times New Roman" w:hAnsi="Times New Roman" w:eastAsia="Times New Roman" w:cs="Times New Roman"/>
          <w:spacing w:val="8"/>
          <w:position w:val="-5"/>
          <w:sz w:val="15"/>
          <w:szCs w:val="15"/>
        </w:rPr>
        <w:t xml:space="preserve"> </w:t>
      </w:r>
      <w:r>
        <w:rPr>
          <w:rFonts w:ascii="Times New Roman" w:hAnsi="Times New Roman" w:eastAsia="Times New Roman" w:cs="Times New Roman"/>
          <w:spacing w:val="5"/>
          <w:position w:val="-5"/>
          <w:sz w:val="15"/>
          <w:szCs w:val="15"/>
        </w:rPr>
        <w:t xml:space="preserve"> </w:t>
      </w:r>
      <w:r>
        <w:rPr>
          <w:rFonts w:ascii="Times New Roman" w:hAnsi="Times New Roman" w:eastAsia="Times New Roman" w:cs="Times New Roman"/>
          <w:spacing w:val="4"/>
          <w:position w:val="-5"/>
          <w:sz w:val="15"/>
          <w:szCs w:val="15"/>
        </w:rPr>
        <w:t xml:space="preserve">   </w:t>
      </w:r>
      <w:r>
        <w:rPr>
          <w:rFonts w:ascii="Symbol" w:hAnsi="Symbol" w:eastAsia="Symbol" w:cs="Symbol"/>
          <w:spacing w:val="4"/>
          <w:position w:val="1"/>
          <w:sz w:val="26"/>
          <w:szCs w:val="26"/>
        </w:rPr>
        <w:t xml:space="preserve">= </w:t>
      </w:r>
      <w:r>
        <w:rPr>
          <w:rFonts w:ascii="Times New Roman" w:hAnsi="Times New Roman" w:eastAsia="Times New Roman" w:cs="Times New Roman"/>
          <w:spacing w:val="4"/>
          <w:position w:val="1"/>
          <w:sz w:val="26"/>
          <w:szCs w:val="26"/>
        </w:rPr>
        <w:t xml:space="preserve">10 </w:t>
      </w:r>
      <w:r>
        <w:rPr>
          <w:rFonts w:ascii="Times New Roman" w:hAnsi="Times New Roman" w:eastAsia="Times New Roman" w:cs="Times New Roman"/>
          <w:position w:val="1"/>
          <w:sz w:val="26"/>
          <w:szCs w:val="26"/>
        </w:rPr>
        <w:t>lg</w:t>
      </w:r>
      <w:r>
        <w:rPr>
          <w:rFonts w:ascii="Times New Roman" w:hAnsi="Times New Roman" w:eastAsia="Times New Roman" w:cs="Times New Roman"/>
          <w:spacing w:val="4"/>
          <w:position w:val="1"/>
          <w:sz w:val="26"/>
          <w:szCs w:val="26"/>
        </w:rPr>
        <w:t xml:space="preserve">( </w:t>
      </w:r>
      <w:r>
        <w:rPr>
          <w:position w:val="-18"/>
          <w:sz w:val="26"/>
          <w:szCs w:val="26"/>
        </w:rPr>
        <w:drawing>
          <wp:inline distT="0" distB="0" distL="0" distR="0">
            <wp:extent cx="164465" cy="350520"/>
            <wp:effectExtent l="0" t="0" r="0" b="0"/>
            <wp:docPr id="142" name="IM 142"/>
            <wp:cNvGraphicFramePr/>
            <a:graphic xmlns:a="http://schemas.openxmlformats.org/drawingml/2006/main">
              <a:graphicData uri="http://schemas.openxmlformats.org/drawingml/2006/picture">
                <pic:pic xmlns:pic="http://schemas.openxmlformats.org/drawingml/2006/picture">
                  <pic:nvPicPr>
                    <pic:cNvPr id="142" name="IM 142"/>
                    <pic:cNvPicPr/>
                  </pic:nvPicPr>
                  <pic:blipFill>
                    <a:blip r:embed="rId531"/>
                    <a:stretch>
                      <a:fillRect/>
                    </a:stretch>
                  </pic:blipFill>
                  <pic:spPr>
                    <a:xfrm>
                      <a:off x="0" y="0"/>
                      <a:ext cx="164541" cy="351153"/>
                    </a:xfrm>
                    <a:prstGeom prst="rect">
                      <a:avLst/>
                    </a:prstGeom>
                  </pic:spPr>
                </pic:pic>
              </a:graphicData>
            </a:graphic>
          </wp:inline>
        </w:drawing>
      </w:r>
      <w:r>
        <w:rPr>
          <w:rFonts w:ascii="Times New Roman" w:hAnsi="Times New Roman" w:eastAsia="Times New Roman" w:cs="Times New Roman"/>
          <w:spacing w:val="4"/>
          <w:position w:val="1"/>
          <w:sz w:val="26"/>
          <w:szCs w:val="26"/>
        </w:rPr>
        <w:t xml:space="preserve"> </w:t>
      </w:r>
      <w:r>
        <w:rPr>
          <w:position w:val="-28"/>
          <w:sz w:val="26"/>
          <w:szCs w:val="26"/>
        </w:rPr>
        <w:drawing>
          <wp:inline distT="0" distB="0" distL="0" distR="0">
            <wp:extent cx="189230" cy="409575"/>
            <wp:effectExtent l="0" t="0" r="0" b="0"/>
            <wp:docPr id="143" name="IM 143"/>
            <wp:cNvGraphicFramePr/>
            <a:graphic xmlns:a="http://schemas.openxmlformats.org/drawingml/2006/main">
              <a:graphicData uri="http://schemas.openxmlformats.org/drawingml/2006/picture">
                <pic:pic xmlns:pic="http://schemas.openxmlformats.org/drawingml/2006/picture">
                  <pic:nvPicPr>
                    <pic:cNvPr id="143" name="IM 143"/>
                    <pic:cNvPicPr/>
                  </pic:nvPicPr>
                  <pic:blipFill>
                    <a:blip r:embed="rId532"/>
                    <a:stretch>
                      <a:fillRect/>
                    </a:stretch>
                  </pic:blipFill>
                  <pic:spPr>
                    <a:xfrm>
                      <a:off x="0" y="0"/>
                      <a:ext cx="189238" cy="409636"/>
                    </a:xfrm>
                    <a:prstGeom prst="rect">
                      <a:avLst/>
                    </a:prstGeom>
                  </pic:spPr>
                </pic:pic>
              </a:graphicData>
            </a:graphic>
          </wp:inline>
        </w:drawing>
      </w:r>
      <w:r>
        <w:rPr>
          <w:rFonts w:ascii="Times New Roman" w:hAnsi="Times New Roman" w:eastAsia="Times New Roman" w:cs="Times New Roman"/>
          <w:spacing w:val="4"/>
          <w:position w:val="1"/>
          <w:sz w:val="26"/>
          <w:szCs w:val="26"/>
        </w:rPr>
        <w:t xml:space="preserve"> </w:t>
      </w:r>
      <w:r>
        <w:rPr>
          <w:rFonts w:ascii="Times New Roman" w:hAnsi="Times New Roman" w:eastAsia="Times New Roman" w:cs="Times New Roman"/>
          <w:i/>
          <w:iCs/>
          <w:position w:val="1"/>
          <w:sz w:val="26"/>
          <w:szCs w:val="26"/>
        </w:rPr>
        <w:t>t</w:t>
      </w:r>
      <w:r>
        <w:rPr>
          <w:rFonts w:ascii="Times New Roman" w:hAnsi="Times New Roman" w:eastAsia="Times New Roman" w:cs="Times New Roman"/>
          <w:i/>
          <w:iCs/>
          <w:position w:val="-5"/>
          <w:sz w:val="15"/>
          <w:szCs w:val="15"/>
        </w:rPr>
        <w:t>i</w:t>
      </w:r>
      <w:r>
        <w:rPr>
          <w:rFonts w:ascii="Times New Roman" w:hAnsi="Times New Roman" w:eastAsia="Times New Roman" w:cs="Times New Roman"/>
          <w:spacing w:val="4"/>
          <w:position w:val="-5"/>
          <w:sz w:val="15"/>
          <w:szCs w:val="15"/>
        </w:rPr>
        <w:t xml:space="preserve"> </w:t>
      </w:r>
      <w:r>
        <w:rPr>
          <w:rFonts w:ascii="Times New Roman" w:hAnsi="Times New Roman" w:eastAsia="Times New Roman" w:cs="Times New Roman"/>
          <w:spacing w:val="4"/>
          <w:position w:val="1"/>
          <w:sz w:val="26"/>
          <w:szCs w:val="26"/>
        </w:rPr>
        <w:t xml:space="preserve">10 </w:t>
      </w:r>
      <w:r>
        <w:rPr>
          <w:rFonts w:ascii="Times New Roman" w:hAnsi="Times New Roman" w:eastAsia="Times New Roman" w:cs="Times New Roman"/>
          <w:i/>
          <w:iCs/>
          <w:position w:val="13"/>
          <w:sz w:val="15"/>
          <w:szCs w:val="15"/>
        </w:rPr>
        <w:t>Li</w:t>
      </w:r>
      <w:r>
        <w:rPr>
          <w:rFonts w:ascii="Times New Roman" w:hAnsi="Times New Roman" w:eastAsia="Times New Roman" w:cs="Times New Roman"/>
          <w:spacing w:val="4"/>
          <w:position w:val="13"/>
          <w:sz w:val="15"/>
          <w:szCs w:val="15"/>
        </w:rPr>
        <w:t xml:space="preserve">  / 10  </w:t>
      </w:r>
      <w:r>
        <w:rPr>
          <w:rFonts w:ascii="Times New Roman" w:hAnsi="Times New Roman" w:eastAsia="Times New Roman" w:cs="Times New Roman"/>
          <w:spacing w:val="4"/>
          <w:position w:val="1"/>
          <w:sz w:val="26"/>
          <w:szCs w:val="26"/>
        </w:rPr>
        <w:t>)</w:t>
      </w:r>
    </w:p>
    <w:p w14:paraId="7E846D56">
      <w:pPr>
        <w:spacing w:line="313" w:lineRule="auto"/>
        <w:rPr>
          <w:rFonts w:ascii="Arial"/>
          <w:sz w:val="21"/>
        </w:rPr>
      </w:pPr>
    </w:p>
    <w:p w14:paraId="5BBF5347">
      <w:pPr>
        <w:spacing w:before="74" w:line="323" w:lineRule="exact"/>
        <w:ind w:left="602"/>
        <w:rPr>
          <w:rFonts w:ascii="宋体" w:hAnsi="宋体" w:eastAsia="宋体" w:cs="宋体"/>
          <w:sz w:val="23"/>
          <w:szCs w:val="23"/>
        </w:rPr>
      </w:pPr>
      <w:r>
        <w:rPr>
          <w:rFonts w:ascii="宋体" w:hAnsi="宋体" w:eastAsia="宋体" w:cs="宋体"/>
          <w:spacing w:val="10"/>
          <w:position w:val="2"/>
          <w:sz w:val="23"/>
          <w:szCs w:val="23"/>
        </w:rPr>
        <w:t>式中：</w:t>
      </w:r>
      <w:r>
        <w:rPr>
          <w:rFonts w:ascii="Times New Roman" w:hAnsi="Times New Roman" w:eastAsia="Times New Roman" w:cs="Times New Roman"/>
          <w:position w:val="2"/>
          <w:sz w:val="23"/>
          <w:szCs w:val="23"/>
        </w:rPr>
        <w:t>L</w:t>
      </w:r>
      <w:r>
        <w:rPr>
          <w:rFonts w:ascii="Times New Roman" w:hAnsi="Times New Roman" w:eastAsia="Times New Roman" w:cs="Times New Roman"/>
          <w:position w:val="1"/>
          <w:sz w:val="15"/>
          <w:szCs w:val="15"/>
        </w:rPr>
        <w:t>eqg</w:t>
      </w:r>
      <w:r>
        <w:rPr>
          <w:rFonts w:ascii="Times New Roman" w:hAnsi="Times New Roman" w:eastAsia="Times New Roman" w:cs="Times New Roman"/>
          <w:spacing w:val="10"/>
          <w:position w:val="2"/>
          <w:sz w:val="23"/>
          <w:szCs w:val="23"/>
        </w:rPr>
        <w:t>—</w:t>
      </w:r>
      <w:r>
        <w:rPr>
          <w:rFonts w:ascii="宋体" w:hAnsi="宋体" w:eastAsia="宋体" w:cs="宋体"/>
          <w:spacing w:val="10"/>
          <w:position w:val="2"/>
          <w:sz w:val="23"/>
          <w:szCs w:val="23"/>
        </w:rPr>
        <w:t>室外声源在预测点产生的等效声级贡献值，</w:t>
      </w:r>
      <w:r>
        <w:rPr>
          <w:rFonts w:ascii="Times New Roman" w:hAnsi="Times New Roman" w:eastAsia="Times New Roman" w:cs="Times New Roman"/>
          <w:position w:val="2"/>
          <w:sz w:val="23"/>
          <w:szCs w:val="23"/>
        </w:rPr>
        <w:t>dB</w:t>
      </w:r>
      <w:r>
        <w:rPr>
          <w:rFonts w:ascii="宋体" w:hAnsi="宋体" w:eastAsia="宋体" w:cs="宋体"/>
          <w:spacing w:val="9"/>
          <w:position w:val="2"/>
          <w:sz w:val="23"/>
          <w:szCs w:val="23"/>
        </w:rPr>
        <w:t>；</w:t>
      </w:r>
    </w:p>
    <w:p w14:paraId="348A4923">
      <w:pPr>
        <w:spacing w:before="200" w:line="480" w:lineRule="exact"/>
        <w:ind w:left="1309"/>
        <w:rPr>
          <w:rFonts w:ascii="宋体" w:hAnsi="宋体" w:eastAsia="宋体" w:cs="宋体"/>
          <w:sz w:val="23"/>
          <w:szCs w:val="23"/>
        </w:rPr>
      </w:pPr>
      <w:r>
        <w:rPr>
          <w:rFonts w:ascii="Times New Roman" w:hAnsi="Times New Roman" w:eastAsia="Times New Roman" w:cs="Times New Roman"/>
          <w:position w:val="18"/>
          <w:sz w:val="23"/>
          <w:szCs w:val="23"/>
        </w:rPr>
        <w:t>n</w:t>
      </w:r>
      <w:r>
        <w:rPr>
          <w:rFonts w:ascii="Times New Roman" w:hAnsi="Times New Roman" w:eastAsia="Times New Roman" w:cs="Times New Roman"/>
          <w:spacing w:val="12"/>
          <w:position w:val="18"/>
          <w:sz w:val="23"/>
          <w:szCs w:val="23"/>
        </w:rPr>
        <w:t>—</w:t>
      </w:r>
      <w:r>
        <w:rPr>
          <w:rFonts w:ascii="宋体" w:hAnsi="宋体" w:eastAsia="宋体" w:cs="宋体"/>
          <w:spacing w:val="9"/>
          <w:position w:val="18"/>
          <w:sz w:val="23"/>
          <w:szCs w:val="23"/>
        </w:rPr>
        <w:t>等效室外声源个数。</w:t>
      </w:r>
    </w:p>
    <w:p w14:paraId="2DD97D7F">
      <w:pPr>
        <w:spacing w:line="227" w:lineRule="auto"/>
        <w:ind w:left="1315"/>
        <w:rPr>
          <w:rFonts w:ascii="宋体" w:hAnsi="宋体" w:eastAsia="宋体" w:cs="宋体"/>
          <w:sz w:val="23"/>
          <w:szCs w:val="23"/>
        </w:rPr>
      </w:pPr>
      <w:r>
        <w:rPr>
          <w:rFonts w:ascii="Times New Roman" w:hAnsi="Times New Roman" w:eastAsia="Times New Roman" w:cs="Times New Roman"/>
          <w:sz w:val="23"/>
          <w:szCs w:val="23"/>
        </w:rPr>
        <w:t>T</w:t>
      </w:r>
      <w:r>
        <w:rPr>
          <w:rFonts w:ascii="Times New Roman" w:hAnsi="Times New Roman" w:eastAsia="Times New Roman" w:cs="Times New Roman"/>
          <w:spacing w:val="14"/>
          <w:sz w:val="23"/>
          <w:szCs w:val="23"/>
        </w:rPr>
        <w:t>—</w:t>
      </w:r>
      <w:r>
        <w:rPr>
          <w:rFonts w:ascii="宋体" w:hAnsi="宋体" w:eastAsia="宋体" w:cs="宋体"/>
          <w:spacing w:val="9"/>
          <w:sz w:val="23"/>
          <w:szCs w:val="23"/>
        </w:rPr>
        <w:t>预测计算的时间段，</w:t>
      </w:r>
      <w:r>
        <w:rPr>
          <w:rFonts w:ascii="Times New Roman" w:hAnsi="Times New Roman" w:eastAsia="Times New Roman" w:cs="Times New Roman"/>
          <w:sz w:val="23"/>
          <w:szCs w:val="23"/>
        </w:rPr>
        <w:t>S</w:t>
      </w:r>
      <w:r>
        <w:rPr>
          <w:rFonts w:ascii="宋体" w:hAnsi="宋体" w:eastAsia="宋体" w:cs="宋体"/>
          <w:spacing w:val="9"/>
          <w:sz w:val="23"/>
          <w:szCs w:val="23"/>
        </w:rPr>
        <w:t>；</w:t>
      </w:r>
    </w:p>
    <w:p w14:paraId="53B18141">
      <w:pPr>
        <w:spacing w:before="153" w:line="323" w:lineRule="exact"/>
        <w:ind w:left="1310"/>
        <w:rPr>
          <w:rFonts w:ascii="宋体" w:hAnsi="宋体" w:eastAsia="宋体" w:cs="宋体"/>
          <w:sz w:val="23"/>
          <w:szCs w:val="23"/>
        </w:rPr>
      </w:pPr>
      <w:r>
        <w:rPr>
          <w:rFonts w:ascii="Times New Roman" w:hAnsi="Times New Roman" w:eastAsia="Times New Roman" w:cs="Times New Roman"/>
          <w:position w:val="1"/>
          <w:sz w:val="23"/>
          <w:szCs w:val="23"/>
        </w:rPr>
        <w:t>ti</w:t>
      </w:r>
      <w:r>
        <w:rPr>
          <w:rFonts w:ascii="Times New Roman" w:hAnsi="Times New Roman" w:eastAsia="Times New Roman" w:cs="Times New Roman"/>
          <w:spacing w:val="10"/>
          <w:position w:val="1"/>
          <w:sz w:val="23"/>
          <w:szCs w:val="23"/>
        </w:rPr>
        <w:t>—</w:t>
      </w:r>
      <w:r>
        <w:rPr>
          <w:rFonts w:ascii="Times New Roman" w:hAnsi="Times New Roman" w:eastAsia="Times New Roman" w:cs="Times New Roman"/>
          <w:position w:val="1"/>
          <w:sz w:val="23"/>
          <w:szCs w:val="23"/>
        </w:rPr>
        <w:t>i</w:t>
      </w:r>
      <w:r>
        <w:rPr>
          <w:rFonts w:ascii="Times New Roman" w:hAnsi="Times New Roman" w:eastAsia="Times New Roman" w:cs="Times New Roman"/>
          <w:spacing w:val="6"/>
          <w:position w:val="1"/>
          <w:sz w:val="23"/>
          <w:szCs w:val="23"/>
        </w:rPr>
        <w:t xml:space="preserve"> </w:t>
      </w:r>
      <w:r>
        <w:rPr>
          <w:rFonts w:ascii="宋体" w:hAnsi="宋体" w:eastAsia="宋体" w:cs="宋体"/>
          <w:spacing w:val="5"/>
          <w:position w:val="1"/>
          <w:sz w:val="23"/>
          <w:szCs w:val="23"/>
        </w:rPr>
        <w:t xml:space="preserve">声源在 </w:t>
      </w:r>
      <w:r>
        <w:rPr>
          <w:rFonts w:ascii="Times New Roman" w:hAnsi="Times New Roman" w:eastAsia="Times New Roman" w:cs="Times New Roman"/>
          <w:position w:val="1"/>
          <w:sz w:val="23"/>
          <w:szCs w:val="23"/>
        </w:rPr>
        <w:t>T</w:t>
      </w:r>
      <w:r>
        <w:rPr>
          <w:rFonts w:ascii="Times New Roman" w:hAnsi="Times New Roman" w:eastAsia="Times New Roman" w:cs="Times New Roman"/>
          <w:spacing w:val="5"/>
          <w:position w:val="1"/>
          <w:sz w:val="23"/>
          <w:szCs w:val="23"/>
        </w:rPr>
        <w:t xml:space="preserve"> </w:t>
      </w:r>
      <w:r>
        <w:rPr>
          <w:rFonts w:ascii="宋体" w:hAnsi="宋体" w:eastAsia="宋体" w:cs="宋体"/>
          <w:spacing w:val="5"/>
          <w:position w:val="1"/>
          <w:sz w:val="23"/>
          <w:szCs w:val="23"/>
        </w:rPr>
        <w:t>时段的运行时间，</w:t>
      </w:r>
      <w:r>
        <w:rPr>
          <w:rFonts w:ascii="Times New Roman" w:hAnsi="Times New Roman" w:eastAsia="Times New Roman" w:cs="Times New Roman"/>
          <w:position w:val="1"/>
          <w:sz w:val="23"/>
          <w:szCs w:val="23"/>
        </w:rPr>
        <w:t>S</w:t>
      </w:r>
      <w:r>
        <w:rPr>
          <w:rFonts w:ascii="宋体" w:hAnsi="宋体" w:eastAsia="宋体" w:cs="宋体"/>
          <w:spacing w:val="5"/>
          <w:position w:val="1"/>
          <w:sz w:val="23"/>
          <w:szCs w:val="23"/>
        </w:rPr>
        <w:t>。</w:t>
      </w:r>
    </w:p>
    <w:p w14:paraId="17120024">
      <w:pPr>
        <w:spacing w:line="279" w:lineRule="auto"/>
        <w:rPr>
          <w:rFonts w:ascii="Arial"/>
          <w:sz w:val="21"/>
        </w:rPr>
      </w:pPr>
    </w:p>
    <w:p w14:paraId="6A9DC11A">
      <w:pPr>
        <w:spacing w:before="75" w:line="226" w:lineRule="auto"/>
        <w:ind w:left="597"/>
        <w:rPr>
          <w:rFonts w:ascii="宋体" w:hAnsi="宋体" w:eastAsia="宋体" w:cs="宋体"/>
          <w:sz w:val="23"/>
          <w:szCs w:val="23"/>
        </w:rPr>
      </w:pPr>
      <w:r>
        <w:rPr>
          <w:rFonts w:ascii="宋体" w:hAnsi="宋体" w:eastAsia="宋体" w:cs="宋体"/>
          <w:spacing w:val="8"/>
          <w:sz w:val="23"/>
          <w:szCs w:val="23"/>
        </w:rPr>
        <w:t>计算预测点的预测等效声级 (</w:t>
      </w:r>
      <w:r>
        <w:rPr>
          <w:rFonts w:ascii="Times New Roman" w:hAnsi="Times New Roman" w:eastAsia="Times New Roman" w:cs="Times New Roman"/>
          <w:sz w:val="23"/>
          <w:szCs w:val="23"/>
        </w:rPr>
        <w:t>L</w:t>
      </w:r>
      <w:r>
        <w:rPr>
          <w:rFonts w:ascii="Times New Roman" w:hAnsi="Times New Roman" w:eastAsia="Times New Roman" w:cs="Times New Roman"/>
          <w:position w:val="-1"/>
          <w:sz w:val="15"/>
          <w:szCs w:val="15"/>
        </w:rPr>
        <w:t>eq</w:t>
      </w:r>
      <w:r>
        <w:rPr>
          <w:rFonts w:ascii="Times New Roman" w:hAnsi="Times New Roman" w:eastAsia="Times New Roman" w:cs="Times New Roman"/>
          <w:spacing w:val="8"/>
          <w:position w:val="-1"/>
          <w:sz w:val="15"/>
          <w:szCs w:val="15"/>
        </w:rPr>
        <w:t xml:space="preserve"> </w:t>
      </w:r>
      <w:r>
        <w:rPr>
          <w:rFonts w:ascii="宋体" w:hAnsi="宋体" w:eastAsia="宋体" w:cs="宋体"/>
          <w:spacing w:val="8"/>
          <w:sz w:val="23"/>
          <w:szCs w:val="23"/>
        </w:rPr>
        <w:t>)</w:t>
      </w:r>
    </w:p>
    <w:p w14:paraId="643F74C2">
      <w:pPr>
        <w:spacing w:before="239" w:line="709" w:lineRule="exact"/>
        <w:ind w:left="2445"/>
        <w:rPr>
          <w:sz w:val="15"/>
          <w:szCs w:val="15"/>
        </w:rPr>
      </w:pPr>
      <w:r>
        <w:rPr>
          <w:rFonts w:ascii="Times New Roman" w:hAnsi="Times New Roman" w:eastAsia="Times New Roman" w:cs="Times New Roman"/>
          <w:i/>
          <w:iCs/>
          <w:position w:val="26"/>
          <w:sz w:val="26"/>
          <w:szCs w:val="26"/>
        </w:rPr>
        <w:t>L</w:t>
      </w:r>
      <w:r>
        <w:rPr>
          <w:rFonts w:ascii="Times New Roman" w:hAnsi="Times New Roman" w:eastAsia="Times New Roman" w:cs="Times New Roman"/>
          <w:i/>
          <w:iCs/>
          <w:position w:val="19"/>
          <w:sz w:val="15"/>
          <w:szCs w:val="15"/>
        </w:rPr>
        <w:t>eq</w:t>
      </w:r>
      <w:r>
        <w:rPr>
          <w:rFonts w:ascii="Times New Roman" w:hAnsi="Times New Roman" w:eastAsia="Times New Roman" w:cs="Times New Roman"/>
          <w:spacing w:val="10"/>
          <w:position w:val="19"/>
          <w:sz w:val="15"/>
          <w:szCs w:val="15"/>
        </w:rPr>
        <w:t xml:space="preserve"> </w:t>
      </w:r>
      <w:r>
        <w:rPr>
          <w:rFonts w:ascii="Times New Roman" w:hAnsi="Times New Roman" w:eastAsia="Times New Roman" w:cs="Times New Roman"/>
          <w:spacing w:val="9"/>
          <w:position w:val="19"/>
          <w:sz w:val="15"/>
          <w:szCs w:val="15"/>
        </w:rPr>
        <w:t xml:space="preserve"> </w:t>
      </w:r>
      <w:r>
        <w:rPr>
          <w:rFonts w:ascii="Times New Roman" w:hAnsi="Times New Roman" w:eastAsia="Times New Roman" w:cs="Times New Roman"/>
          <w:spacing w:val="5"/>
          <w:position w:val="19"/>
          <w:sz w:val="15"/>
          <w:szCs w:val="15"/>
        </w:rPr>
        <w:t xml:space="preserve"> </w:t>
      </w:r>
      <w:r>
        <w:rPr>
          <w:rFonts w:ascii="Symbol" w:hAnsi="Symbol" w:eastAsia="Symbol" w:cs="Symbol"/>
          <w:spacing w:val="5"/>
          <w:position w:val="26"/>
          <w:sz w:val="26"/>
          <w:szCs w:val="26"/>
        </w:rPr>
        <w:t xml:space="preserve">= </w:t>
      </w:r>
      <w:r>
        <w:rPr>
          <w:rFonts w:ascii="Times New Roman" w:hAnsi="Times New Roman" w:eastAsia="Times New Roman" w:cs="Times New Roman"/>
          <w:spacing w:val="5"/>
          <w:position w:val="26"/>
          <w:sz w:val="26"/>
          <w:szCs w:val="26"/>
        </w:rPr>
        <w:t xml:space="preserve">10 </w:t>
      </w:r>
      <w:r>
        <w:rPr>
          <w:rFonts w:ascii="Times New Roman" w:hAnsi="Times New Roman" w:eastAsia="Times New Roman" w:cs="Times New Roman"/>
          <w:position w:val="26"/>
          <w:sz w:val="26"/>
          <w:szCs w:val="26"/>
        </w:rPr>
        <w:t>lg</w:t>
      </w:r>
      <w:r>
        <w:rPr>
          <w:rFonts w:ascii="Times New Roman" w:hAnsi="Times New Roman" w:eastAsia="Times New Roman" w:cs="Times New Roman"/>
          <w:spacing w:val="5"/>
          <w:position w:val="26"/>
          <w:sz w:val="26"/>
          <w:szCs w:val="26"/>
        </w:rPr>
        <w:t xml:space="preserve">( 10 </w:t>
      </w:r>
      <w:r>
        <w:rPr>
          <w:rFonts w:ascii="Times New Roman" w:hAnsi="Times New Roman" w:eastAsia="Times New Roman" w:cs="Times New Roman"/>
          <w:i/>
          <w:iCs/>
          <w:position w:val="39"/>
          <w:sz w:val="15"/>
          <w:szCs w:val="15"/>
        </w:rPr>
        <w:t>L</w:t>
      </w:r>
      <w:r>
        <w:rPr>
          <w:rFonts w:ascii="Times New Roman" w:hAnsi="Times New Roman" w:eastAsia="Times New Roman" w:cs="Times New Roman"/>
          <w:i/>
          <w:iCs/>
          <w:position w:val="35"/>
          <w:sz w:val="11"/>
          <w:szCs w:val="11"/>
        </w:rPr>
        <w:t>eqg</w:t>
      </w:r>
      <w:r>
        <w:rPr>
          <w:rFonts w:ascii="Times New Roman" w:hAnsi="Times New Roman" w:eastAsia="Times New Roman" w:cs="Times New Roman"/>
          <w:spacing w:val="5"/>
          <w:position w:val="35"/>
          <w:sz w:val="11"/>
          <w:szCs w:val="11"/>
        </w:rPr>
        <w:t xml:space="preserve">  </w:t>
      </w:r>
      <w:r>
        <w:rPr>
          <w:rFonts w:ascii="Times New Roman" w:hAnsi="Times New Roman" w:eastAsia="Times New Roman" w:cs="Times New Roman"/>
          <w:spacing w:val="5"/>
          <w:position w:val="39"/>
          <w:sz w:val="15"/>
          <w:szCs w:val="15"/>
        </w:rPr>
        <w:t xml:space="preserve">/ 10   </w:t>
      </w:r>
      <w:r>
        <w:rPr>
          <w:position w:val="20"/>
          <w:sz w:val="15"/>
          <w:szCs w:val="15"/>
        </w:rPr>
        <w:drawing>
          <wp:inline distT="0" distB="0" distL="0" distR="0">
            <wp:extent cx="775335" cy="233680"/>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533"/>
                    <a:stretch>
                      <a:fillRect/>
                    </a:stretch>
                  </pic:blipFill>
                  <pic:spPr>
                    <a:xfrm>
                      <a:off x="0" y="0"/>
                      <a:ext cx="775449" cy="233744"/>
                    </a:xfrm>
                    <a:prstGeom prst="rect">
                      <a:avLst/>
                    </a:prstGeom>
                  </pic:spPr>
                </pic:pic>
              </a:graphicData>
            </a:graphic>
          </wp:inline>
        </w:drawing>
      </w:r>
    </w:p>
    <w:p w14:paraId="583139E0">
      <w:pPr>
        <w:spacing w:line="323" w:lineRule="exact"/>
        <w:ind w:left="602"/>
        <w:rPr>
          <w:rFonts w:ascii="宋体" w:hAnsi="宋体" w:eastAsia="宋体" w:cs="宋体"/>
          <w:sz w:val="23"/>
          <w:szCs w:val="23"/>
        </w:rPr>
      </w:pPr>
      <w:r>
        <w:rPr>
          <w:rFonts w:ascii="宋体" w:hAnsi="宋体" w:eastAsia="宋体" w:cs="宋体"/>
          <w:spacing w:val="10"/>
          <w:position w:val="2"/>
          <w:sz w:val="23"/>
          <w:szCs w:val="23"/>
        </w:rPr>
        <w:t>式中：</w:t>
      </w:r>
      <w:r>
        <w:rPr>
          <w:rFonts w:ascii="Times New Roman" w:hAnsi="Times New Roman" w:eastAsia="Times New Roman" w:cs="Times New Roman"/>
          <w:position w:val="2"/>
          <w:sz w:val="23"/>
          <w:szCs w:val="23"/>
        </w:rPr>
        <w:t>L</w:t>
      </w:r>
      <w:r>
        <w:rPr>
          <w:rFonts w:ascii="Times New Roman" w:hAnsi="Times New Roman" w:eastAsia="Times New Roman" w:cs="Times New Roman"/>
          <w:position w:val="1"/>
          <w:sz w:val="15"/>
          <w:szCs w:val="15"/>
        </w:rPr>
        <w:t>eq</w:t>
      </w:r>
      <w:r>
        <w:rPr>
          <w:rFonts w:ascii="Times New Roman" w:hAnsi="Times New Roman" w:eastAsia="Times New Roman" w:cs="Times New Roman"/>
          <w:spacing w:val="10"/>
          <w:position w:val="2"/>
          <w:sz w:val="23"/>
          <w:szCs w:val="23"/>
        </w:rPr>
        <w:t>—</w:t>
      </w:r>
      <w:r>
        <w:rPr>
          <w:rFonts w:ascii="宋体" w:hAnsi="宋体" w:eastAsia="宋体" w:cs="宋体"/>
          <w:spacing w:val="10"/>
          <w:position w:val="2"/>
          <w:sz w:val="23"/>
          <w:szCs w:val="23"/>
        </w:rPr>
        <w:t>声源在预测点的等效声级预测值，</w:t>
      </w:r>
      <w:r>
        <w:rPr>
          <w:rFonts w:ascii="Times New Roman" w:hAnsi="Times New Roman" w:eastAsia="Times New Roman" w:cs="Times New Roman"/>
          <w:position w:val="2"/>
          <w:sz w:val="23"/>
          <w:szCs w:val="23"/>
        </w:rPr>
        <w:t>dB</w:t>
      </w:r>
      <w:r>
        <w:rPr>
          <w:rFonts w:ascii="宋体" w:hAnsi="宋体" w:eastAsia="宋体" w:cs="宋体"/>
          <w:spacing w:val="8"/>
          <w:position w:val="2"/>
          <w:sz w:val="23"/>
          <w:szCs w:val="23"/>
        </w:rPr>
        <w:t>；</w:t>
      </w:r>
    </w:p>
    <w:p w14:paraId="13DD57E9">
      <w:pPr>
        <w:spacing w:before="313" w:line="508" w:lineRule="auto"/>
        <w:ind w:left="1312" w:right="1584"/>
        <w:rPr>
          <w:rFonts w:ascii="宋体" w:hAnsi="宋体" w:eastAsia="宋体" w:cs="宋体"/>
          <w:sz w:val="23"/>
          <w:szCs w:val="23"/>
        </w:rPr>
      </w:pPr>
      <w:r>
        <w:rPr>
          <w:rFonts w:ascii="Times New Roman" w:hAnsi="Times New Roman" w:eastAsia="Times New Roman" w:cs="Times New Roman"/>
          <w:sz w:val="23"/>
          <w:szCs w:val="23"/>
        </w:rPr>
        <w:t>L</w:t>
      </w:r>
      <w:r>
        <w:rPr>
          <w:rFonts w:ascii="Times New Roman" w:hAnsi="Times New Roman" w:eastAsia="Times New Roman" w:cs="Times New Roman"/>
          <w:position w:val="-1"/>
          <w:sz w:val="15"/>
          <w:szCs w:val="15"/>
        </w:rPr>
        <w:t>eqg</w:t>
      </w:r>
      <w:r>
        <w:rPr>
          <w:rFonts w:ascii="Times New Roman" w:hAnsi="Times New Roman" w:eastAsia="Times New Roman" w:cs="Times New Roman"/>
          <w:spacing w:val="8"/>
          <w:sz w:val="23"/>
          <w:szCs w:val="23"/>
        </w:rPr>
        <w:t>—</w:t>
      </w:r>
      <w:r>
        <w:rPr>
          <w:rFonts w:ascii="宋体" w:hAnsi="宋体" w:eastAsia="宋体" w:cs="宋体"/>
          <w:spacing w:val="8"/>
          <w:sz w:val="23"/>
          <w:szCs w:val="23"/>
        </w:rPr>
        <w:t>室外声源在预测点产生的等效声级贡献值，</w:t>
      </w:r>
      <w:r>
        <w:rPr>
          <w:rFonts w:ascii="Times New Roman" w:hAnsi="Times New Roman" w:eastAsia="Times New Roman" w:cs="Times New Roman"/>
          <w:sz w:val="23"/>
          <w:szCs w:val="23"/>
        </w:rPr>
        <w:t>dB</w:t>
      </w:r>
      <w:r>
        <w:rPr>
          <w:rFonts w:ascii="宋体" w:hAnsi="宋体" w:eastAsia="宋体" w:cs="宋体"/>
          <w:spacing w:val="8"/>
          <w:sz w:val="23"/>
          <w:szCs w:val="23"/>
        </w:rPr>
        <w:t>；</w:t>
      </w:r>
      <w:r>
        <w:rPr>
          <w:rFonts w:ascii="宋体" w:hAnsi="宋体" w:eastAsia="宋体" w:cs="宋体"/>
          <w:sz w:val="23"/>
          <w:szCs w:val="23"/>
        </w:rPr>
        <w:t xml:space="preserve"> </w:t>
      </w:r>
      <w:r>
        <w:rPr>
          <w:rFonts w:ascii="Times New Roman" w:hAnsi="Times New Roman" w:eastAsia="Times New Roman" w:cs="Times New Roman"/>
          <w:sz w:val="23"/>
          <w:szCs w:val="23"/>
        </w:rPr>
        <w:t>L</w:t>
      </w:r>
      <w:r>
        <w:rPr>
          <w:rFonts w:ascii="Times New Roman" w:hAnsi="Times New Roman" w:eastAsia="Times New Roman" w:cs="Times New Roman"/>
          <w:position w:val="-1"/>
          <w:sz w:val="15"/>
          <w:szCs w:val="15"/>
        </w:rPr>
        <w:t>eqb</w:t>
      </w:r>
      <w:r>
        <w:rPr>
          <w:rFonts w:ascii="Times New Roman" w:hAnsi="Times New Roman" w:eastAsia="Times New Roman" w:cs="Times New Roman"/>
          <w:spacing w:val="11"/>
          <w:sz w:val="23"/>
          <w:szCs w:val="23"/>
        </w:rPr>
        <w:t>—</w:t>
      </w:r>
      <w:r>
        <w:rPr>
          <w:rFonts w:ascii="宋体" w:hAnsi="宋体" w:eastAsia="宋体" w:cs="宋体"/>
          <w:spacing w:val="11"/>
          <w:sz w:val="23"/>
          <w:szCs w:val="23"/>
        </w:rPr>
        <w:t>预测点的背景值，</w:t>
      </w:r>
      <w:r>
        <w:rPr>
          <w:rFonts w:ascii="Times New Roman" w:hAnsi="Times New Roman" w:eastAsia="Times New Roman" w:cs="Times New Roman"/>
          <w:sz w:val="23"/>
          <w:szCs w:val="23"/>
        </w:rPr>
        <w:t>dB</w:t>
      </w:r>
      <w:r>
        <w:rPr>
          <w:rFonts w:ascii="宋体" w:hAnsi="宋体" w:eastAsia="宋体" w:cs="宋体"/>
          <w:spacing w:val="10"/>
          <w:sz w:val="23"/>
          <w:szCs w:val="23"/>
        </w:rPr>
        <w:t>。</w:t>
      </w:r>
    </w:p>
    <w:p w14:paraId="769F0265">
      <w:pPr>
        <w:spacing w:before="50" w:line="225" w:lineRule="auto"/>
        <w:ind w:left="595"/>
        <w:rPr>
          <w:rFonts w:ascii="宋体" w:hAnsi="宋体" w:eastAsia="宋体" w:cs="宋体"/>
          <w:sz w:val="23"/>
          <w:szCs w:val="23"/>
        </w:rPr>
      </w:pPr>
      <w:r>
        <w:rPr>
          <w:rFonts w:ascii="宋体" w:hAnsi="宋体" w:eastAsia="宋体" w:cs="宋体"/>
          <w:spacing w:val="10"/>
          <w:sz w:val="23"/>
          <w:szCs w:val="23"/>
        </w:rPr>
        <w:t>⑤</w:t>
      </w:r>
      <w:r>
        <w:rPr>
          <w:rFonts w:ascii="宋体" w:hAnsi="宋体" w:eastAsia="宋体" w:cs="宋体"/>
          <w:spacing w:val="8"/>
          <w:sz w:val="23"/>
          <w:szCs w:val="23"/>
        </w:rPr>
        <w:t>评价标准</w:t>
      </w:r>
    </w:p>
    <w:p w14:paraId="36718D62">
      <w:pPr>
        <w:spacing w:before="313" w:line="396" w:lineRule="auto"/>
        <w:ind w:left="126" w:right="105" w:firstLine="469"/>
        <w:rPr>
          <w:rFonts w:ascii="宋体" w:hAnsi="宋体" w:eastAsia="宋体" w:cs="宋体"/>
          <w:sz w:val="23"/>
          <w:szCs w:val="23"/>
        </w:rPr>
      </w:pPr>
      <w:r>
        <w:rPr>
          <w:rFonts w:ascii="宋体" w:hAnsi="宋体" w:eastAsia="宋体" w:cs="宋体"/>
          <w:spacing w:val="18"/>
          <w:sz w:val="23"/>
          <w:szCs w:val="23"/>
        </w:rPr>
        <w:t>评</w:t>
      </w:r>
      <w:r>
        <w:rPr>
          <w:rFonts w:ascii="宋体" w:hAnsi="宋体" w:eastAsia="宋体" w:cs="宋体"/>
          <w:spacing w:val="11"/>
          <w:sz w:val="23"/>
          <w:szCs w:val="23"/>
        </w:rPr>
        <w:t>价</w:t>
      </w:r>
      <w:r>
        <w:rPr>
          <w:rFonts w:ascii="宋体" w:hAnsi="宋体" w:eastAsia="宋体" w:cs="宋体"/>
          <w:spacing w:val="9"/>
          <w:sz w:val="23"/>
          <w:szCs w:val="23"/>
        </w:rPr>
        <w:t>执行《工业企业厂界环境噪声排放标准》</w:t>
      </w:r>
      <w:r>
        <w:rPr>
          <w:rFonts w:ascii="Times New Roman" w:hAnsi="Times New Roman" w:eastAsia="Times New Roman" w:cs="Times New Roman"/>
          <w:spacing w:val="9"/>
          <w:sz w:val="23"/>
          <w:szCs w:val="23"/>
        </w:rPr>
        <w:t xml:space="preserve">( </w:t>
      </w:r>
      <w:r>
        <w:rPr>
          <w:rFonts w:ascii="Times New Roman" w:hAnsi="Times New Roman" w:eastAsia="Times New Roman" w:cs="Times New Roman"/>
          <w:sz w:val="23"/>
          <w:szCs w:val="23"/>
        </w:rPr>
        <w:t>GB</w:t>
      </w:r>
      <w:r>
        <w:rPr>
          <w:rFonts w:ascii="Times New Roman" w:hAnsi="Times New Roman" w:eastAsia="Times New Roman" w:cs="Times New Roman"/>
          <w:spacing w:val="9"/>
          <w:sz w:val="23"/>
          <w:szCs w:val="23"/>
        </w:rPr>
        <w:t>12348-2008)</w:t>
      </w:r>
      <w:r>
        <w:rPr>
          <w:rFonts w:ascii="宋体" w:hAnsi="宋体" w:eastAsia="宋体" w:cs="宋体"/>
          <w:spacing w:val="9"/>
          <w:sz w:val="23"/>
          <w:szCs w:val="23"/>
        </w:rPr>
        <w:t xml:space="preserve">中的 </w:t>
      </w:r>
      <w:r>
        <w:rPr>
          <w:rFonts w:ascii="Times New Roman" w:hAnsi="Times New Roman" w:eastAsia="Times New Roman" w:cs="Times New Roman"/>
          <w:spacing w:val="9"/>
          <w:sz w:val="23"/>
          <w:szCs w:val="23"/>
        </w:rPr>
        <w:t xml:space="preserve">3 </w:t>
      </w:r>
      <w:r>
        <w:rPr>
          <w:rFonts w:ascii="宋体" w:hAnsi="宋体" w:eastAsia="宋体" w:cs="宋体"/>
          <w:spacing w:val="9"/>
          <w:sz w:val="23"/>
          <w:szCs w:val="23"/>
        </w:rPr>
        <w:t>类功</w:t>
      </w:r>
      <w:r>
        <w:rPr>
          <w:rFonts w:ascii="宋体" w:hAnsi="宋体" w:eastAsia="宋体" w:cs="宋体"/>
          <w:sz w:val="23"/>
          <w:szCs w:val="23"/>
        </w:rPr>
        <w:t xml:space="preserve"> </w:t>
      </w:r>
      <w:r>
        <w:rPr>
          <w:rFonts w:ascii="宋体" w:hAnsi="宋体" w:eastAsia="宋体" w:cs="宋体"/>
          <w:spacing w:val="5"/>
          <w:sz w:val="23"/>
          <w:szCs w:val="23"/>
        </w:rPr>
        <w:t>能</w:t>
      </w:r>
      <w:r>
        <w:rPr>
          <w:rFonts w:ascii="宋体" w:hAnsi="宋体" w:eastAsia="宋体" w:cs="宋体"/>
          <w:spacing w:val="4"/>
          <w:sz w:val="23"/>
          <w:szCs w:val="23"/>
        </w:rPr>
        <w:t>区标准。</w:t>
      </w:r>
    </w:p>
    <w:p w14:paraId="7259B652">
      <w:pPr>
        <w:spacing w:before="172" w:line="225" w:lineRule="auto"/>
        <w:ind w:left="595"/>
        <w:rPr>
          <w:rFonts w:ascii="宋体" w:hAnsi="宋体" w:eastAsia="宋体" w:cs="宋体"/>
          <w:sz w:val="23"/>
          <w:szCs w:val="23"/>
        </w:rPr>
      </w:pPr>
      <w:r>
        <w:rPr>
          <w:rFonts w:ascii="宋体" w:hAnsi="宋体" w:eastAsia="宋体" w:cs="宋体"/>
          <w:spacing w:val="9"/>
          <w:sz w:val="23"/>
          <w:szCs w:val="23"/>
        </w:rPr>
        <w:t>⑥预测结果与评价</w:t>
      </w:r>
    </w:p>
    <w:p w14:paraId="3D528EB6">
      <w:pPr>
        <w:spacing w:before="308" w:line="332" w:lineRule="exact"/>
        <w:ind w:left="1865"/>
        <w:rPr>
          <w:rFonts w:ascii="宋体" w:hAnsi="宋体" w:eastAsia="宋体" w:cs="宋体"/>
          <w:sz w:val="23"/>
          <w:szCs w:val="23"/>
        </w:rPr>
      </w:pPr>
      <w:r>
        <w:rPr>
          <w:rFonts w:ascii="宋体" w:hAnsi="宋体" w:eastAsia="宋体" w:cs="宋体"/>
          <w:spacing w:val="8"/>
          <w:position w:val="2"/>
          <w:sz w:val="23"/>
          <w:szCs w:val="23"/>
          <w14:textOutline w14:w="4358" w14:cap="sq" w14:cmpd="sng">
            <w14:solidFill>
              <w14:srgbClr w14:val="000000"/>
            </w14:solidFill>
            <w14:prstDash w14:val="solid"/>
            <w14:bevel/>
          </w14:textOutline>
        </w:rPr>
        <w:t>表</w:t>
      </w:r>
      <w:r>
        <w:rPr>
          <w:rFonts w:ascii="宋体" w:hAnsi="宋体" w:eastAsia="宋体" w:cs="宋体"/>
          <w:spacing w:val="8"/>
          <w:position w:val="2"/>
          <w:sz w:val="23"/>
          <w:szCs w:val="23"/>
        </w:rPr>
        <w:t xml:space="preserve"> </w:t>
      </w:r>
      <w:r>
        <w:rPr>
          <w:rFonts w:ascii="Times New Roman" w:hAnsi="Times New Roman" w:eastAsia="Times New Roman" w:cs="Times New Roman"/>
          <w:b/>
          <w:bCs/>
          <w:spacing w:val="6"/>
          <w:position w:val="2"/>
          <w:sz w:val="23"/>
          <w:szCs w:val="23"/>
        </w:rPr>
        <w:t>5</w:t>
      </w:r>
      <w:r>
        <w:rPr>
          <w:rFonts w:ascii="Times New Roman" w:hAnsi="Times New Roman" w:eastAsia="Times New Roman" w:cs="Times New Roman"/>
          <w:b/>
          <w:bCs/>
          <w:spacing w:val="4"/>
          <w:position w:val="2"/>
          <w:sz w:val="23"/>
          <w:szCs w:val="23"/>
        </w:rPr>
        <w:t>-19</w:t>
      </w:r>
      <w:r>
        <w:rPr>
          <w:rFonts w:ascii="Times New Roman" w:hAnsi="Times New Roman" w:eastAsia="Times New Roman" w:cs="Times New Roman"/>
          <w:spacing w:val="4"/>
          <w:position w:val="2"/>
          <w:sz w:val="23"/>
          <w:szCs w:val="23"/>
        </w:rPr>
        <w:t xml:space="preserve">        </w:t>
      </w:r>
      <w:r>
        <w:rPr>
          <w:rFonts w:ascii="宋体" w:hAnsi="宋体" w:eastAsia="宋体" w:cs="宋体"/>
          <w:spacing w:val="4"/>
          <w:position w:val="2"/>
          <w:sz w:val="23"/>
          <w:szCs w:val="23"/>
          <w14:textOutline w14:w="4358" w14:cap="sq" w14:cmpd="sng">
            <w14:solidFill>
              <w14:srgbClr w14:val="000000"/>
            </w14:solidFill>
            <w14:prstDash w14:val="solid"/>
            <w14:bevel/>
          </w14:textOutline>
        </w:rPr>
        <w:t>噪声预测结果</w:t>
      </w:r>
      <w:r>
        <w:rPr>
          <w:rFonts w:ascii="宋体" w:hAnsi="宋体" w:eastAsia="宋体" w:cs="宋体"/>
          <w:spacing w:val="4"/>
          <w:position w:val="2"/>
          <w:sz w:val="23"/>
          <w:szCs w:val="23"/>
        </w:rPr>
        <w:t xml:space="preserve">    </w:t>
      </w:r>
      <w:r>
        <w:rPr>
          <w:rFonts w:ascii="宋体" w:hAnsi="宋体" w:eastAsia="宋体" w:cs="宋体"/>
          <w:spacing w:val="4"/>
          <w:position w:val="2"/>
          <w:sz w:val="23"/>
          <w:szCs w:val="23"/>
          <w14:textOutline w14:w="4358" w14:cap="sq" w14:cmpd="sng">
            <w14:solidFill>
              <w14:srgbClr w14:val="000000"/>
            </w14:solidFill>
            <w14:prstDash w14:val="solid"/>
            <w14:bevel/>
          </w14:textOutline>
        </w:rPr>
        <w:t>单位：</w:t>
      </w:r>
      <w:r>
        <w:rPr>
          <w:rFonts w:ascii="Times New Roman" w:hAnsi="Times New Roman" w:eastAsia="Times New Roman" w:cs="Times New Roman"/>
          <w:b/>
          <w:bCs/>
          <w:position w:val="2"/>
          <w:sz w:val="23"/>
          <w:szCs w:val="23"/>
        </w:rPr>
        <w:t>dB</w:t>
      </w:r>
      <w:r>
        <w:rPr>
          <w:rFonts w:ascii="Times New Roman" w:hAnsi="Times New Roman" w:eastAsia="Times New Roman" w:cs="Times New Roman"/>
          <w:spacing w:val="4"/>
          <w:position w:val="2"/>
          <w:sz w:val="23"/>
          <w:szCs w:val="23"/>
        </w:rPr>
        <w:t xml:space="preserve">  </w:t>
      </w:r>
      <w:r>
        <w:rPr>
          <w:rFonts w:ascii="宋体" w:hAnsi="宋体" w:eastAsia="宋体" w:cs="宋体"/>
          <w:spacing w:val="4"/>
          <w:position w:val="2"/>
          <w:sz w:val="23"/>
          <w:szCs w:val="23"/>
          <w14:textOutline w14:w="4358" w14:cap="sq" w14:cmpd="sng">
            <w14:solidFill>
              <w14:srgbClr w14:val="000000"/>
            </w14:solidFill>
            <w14:prstDash w14:val="solid"/>
            <w14:bevel/>
          </w14:textOutline>
        </w:rPr>
        <w:t>(</w:t>
      </w:r>
      <w:r>
        <w:rPr>
          <w:rFonts w:ascii="Times New Roman" w:hAnsi="Times New Roman" w:eastAsia="Times New Roman" w:cs="Times New Roman"/>
          <w:b/>
          <w:bCs/>
          <w:position w:val="2"/>
          <w:sz w:val="23"/>
          <w:szCs w:val="23"/>
        </w:rPr>
        <w:t>A</w:t>
      </w:r>
      <w:r>
        <w:rPr>
          <w:rFonts w:ascii="宋体" w:hAnsi="宋体" w:eastAsia="宋体" w:cs="宋体"/>
          <w:spacing w:val="4"/>
          <w:position w:val="2"/>
          <w:sz w:val="23"/>
          <w:szCs w:val="23"/>
          <w14:textOutline w14:w="4358" w14:cap="sq" w14:cmpd="sng">
            <w14:solidFill>
              <w14:srgbClr w14:val="000000"/>
            </w14:solidFill>
            <w14:prstDash w14:val="solid"/>
            <w14:bevel/>
          </w14:textOutline>
        </w:rPr>
        <w:t>)</w:t>
      </w:r>
    </w:p>
    <w:p w14:paraId="024A7543">
      <w:pPr>
        <w:spacing w:line="16"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4"/>
        <w:gridCol w:w="1705"/>
        <w:gridCol w:w="1704"/>
        <w:gridCol w:w="1705"/>
        <w:gridCol w:w="1704"/>
      </w:tblGrid>
      <w:tr w14:paraId="1FB22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704" w:type="dxa"/>
            <w:tcBorders>
              <w:left w:val="nil"/>
            </w:tcBorders>
            <w:vAlign w:val="top"/>
          </w:tcPr>
          <w:p w14:paraId="58136620">
            <w:pPr>
              <w:spacing w:before="76" w:line="228" w:lineRule="auto"/>
              <w:ind w:left="547"/>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预测点</w:t>
            </w:r>
          </w:p>
        </w:tc>
        <w:tc>
          <w:tcPr>
            <w:tcW w:w="1705" w:type="dxa"/>
            <w:vAlign w:val="top"/>
          </w:tcPr>
          <w:p w14:paraId="0C200745">
            <w:pPr>
              <w:spacing w:before="75" w:line="229" w:lineRule="auto"/>
              <w:ind w:left="656"/>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时段</w:t>
            </w:r>
          </w:p>
        </w:tc>
        <w:tc>
          <w:tcPr>
            <w:tcW w:w="1704" w:type="dxa"/>
            <w:vAlign w:val="top"/>
          </w:tcPr>
          <w:p w14:paraId="49D03469">
            <w:pPr>
              <w:spacing w:before="75" w:line="228" w:lineRule="auto"/>
              <w:ind w:left="544"/>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贡献</w:t>
            </w:r>
            <w:r>
              <w:rPr>
                <w:rFonts w:ascii="宋体" w:hAnsi="宋体" w:eastAsia="宋体" w:cs="宋体"/>
                <w:spacing w:val="6"/>
                <w:sz w:val="20"/>
                <w:szCs w:val="20"/>
                <w14:textOutline w14:w="3795" w14:cap="sq" w14:cmpd="sng">
                  <w14:solidFill>
                    <w14:srgbClr w14:val="000000"/>
                  </w14:solidFill>
                  <w14:prstDash w14:val="solid"/>
                  <w14:bevel/>
                </w14:textOutline>
              </w:rPr>
              <w:t>值</w:t>
            </w:r>
          </w:p>
        </w:tc>
        <w:tc>
          <w:tcPr>
            <w:tcW w:w="1705" w:type="dxa"/>
            <w:vAlign w:val="top"/>
          </w:tcPr>
          <w:p w14:paraId="0F1AA497">
            <w:pPr>
              <w:spacing w:before="76" w:line="228" w:lineRule="auto"/>
              <w:ind w:left="435"/>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达标情</w:t>
            </w:r>
            <w:r>
              <w:rPr>
                <w:rFonts w:ascii="宋体" w:hAnsi="宋体" w:eastAsia="宋体" w:cs="宋体"/>
                <w:spacing w:val="8"/>
                <w:sz w:val="20"/>
                <w:szCs w:val="20"/>
                <w14:textOutline w14:w="3795" w14:cap="sq" w14:cmpd="sng">
                  <w14:solidFill>
                    <w14:srgbClr w14:val="000000"/>
                  </w14:solidFill>
                  <w14:prstDash w14:val="solid"/>
                  <w14:bevel/>
                </w14:textOutline>
              </w:rPr>
              <w:t>况</w:t>
            </w:r>
          </w:p>
        </w:tc>
        <w:tc>
          <w:tcPr>
            <w:tcW w:w="1704" w:type="dxa"/>
            <w:tcBorders>
              <w:right w:val="nil"/>
            </w:tcBorders>
            <w:vAlign w:val="top"/>
          </w:tcPr>
          <w:p w14:paraId="70BABD51">
            <w:pPr>
              <w:spacing w:before="75" w:line="226" w:lineRule="auto"/>
              <w:ind w:left="437"/>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评价标</w:t>
            </w:r>
            <w:r>
              <w:rPr>
                <w:rFonts w:ascii="宋体" w:hAnsi="宋体" w:eastAsia="宋体" w:cs="宋体"/>
                <w:spacing w:val="8"/>
                <w:sz w:val="20"/>
                <w:szCs w:val="20"/>
                <w14:textOutline w14:w="3795" w14:cap="sq" w14:cmpd="sng">
                  <w14:solidFill>
                    <w14:srgbClr w14:val="000000"/>
                  </w14:solidFill>
                  <w14:prstDash w14:val="solid"/>
                  <w14:bevel/>
                </w14:textOutline>
              </w:rPr>
              <w:t>准</w:t>
            </w:r>
          </w:p>
        </w:tc>
      </w:tr>
      <w:tr w14:paraId="0ADD3D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704" w:type="dxa"/>
            <w:vMerge w:val="restart"/>
            <w:tcBorders>
              <w:left w:val="nil"/>
              <w:bottom w:val="nil"/>
            </w:tcBorders>
            <w:vAlign w:val="top"/>
          </w:tcPr>
          <w:p w14:paraId="74B16324">
            <w:pPr>
              <w:spacing w:before="230" w:line="228" w:lineRule="auto"/>
              <w:ind w:left="553"/>
              <w:rPr>
                <w:rFonts w:ascii="宋体" w:hAnsi="宋体" w:eastAsia="宋体" w:cs="宋体"/>
                <w:sz w:val="20"/>
                <w:szCs w:val="20"/>
              </w:rPr>
            </w:pPr>
            <w:r>
              <w:rPr>
                <w:rFonts w:ascii="宋体" w:hAnsi="宋体" w:eastAsia="宋体" w:cs="宋体"/>
                <w:spacing w:val="5"/>
                <w:sz w:val="20"/>
                <w:szCs w:val="20"/>
              </w:rPr>
              <w:t>东</w:t>
            </w:r>
            <w:r>
              <w:rPr>
                <w:rFonts w:ascii="宋体" w:hAnsi="宋体" w:eastAsia="宋体" w:cs="宋体"/>
                <w:spacing w:val="4"/>
                <w:sz w:val="20"/>
                <w:szCs w:val="20"/>
              </w:rPr>
              <w:t>厂界</w:t>
            </w:r>
          </w:p>
        </w:tc>
        <w:tc>
          <w:tcPr>
            <w:tcW w:w="1705" w:type="dxa"/>
            <w:vAlign w:val="top"/>
          </w:tcPr>
          <w:p w14:paraId="25585D0E">
            <w:pPr>
              <w:spacing w:before="59" w:line="231" w:lineRule="auto"/>
              <w:ind w:left="645"/>
              <w:rPr>
                <w:rFonts w:ascii="宋体" w:hAnsi="宋体" w:eastAsia="宋体" w:cs="宋体"/>
                <w:sz w:val="20"/>
                <w:szCs w:val="20"/>
              </w:rPr>
            </w:pPr>
            <w:r>
              <w:rPr>
                <w:rFonts w:ascii="宋体" w:hAnsi="宋体" w:eastAsia="宋体" w:cs="宋体"/>
                <w:spacing w:val="5"/>
                <w:sz w:val="20"/>
                <w:szCs w:val="20"/>
              </w:rPr>
              <w:t>昼间</w:t>
            </w:r>
          </w:p>
        </w:tc>
        <w:tc>
          <w:tcPr>
            <w:tcW w:w="1704" w:type="dxa"/>
            <w:vAlign w:val="top"/>
          </w:tcPr>
          <w:p w14:paraId="13E22366">
            <w:pPr>
              <w:spacing w:before="96" w:line="195" w:lineRule="auto"/>
              <w:ind w:left="74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48</w:t>
            </w:r>
          </w:p>
        </w:tc>
        <w:tc>
          <w:tcPr>
            <w:tcW w:w="1705" w:type="dxa"/>
            <w:vAlign w:val="top"/>
          </w:tcPr>
          <w:p w14:paraId="2D18FB86">
            <w:pPr>
              <w:spacing w:before="60" w:line="228" w:lineRule="auto"/>
              <w:ind w:left="646"/>
              <w:rPr>
                <w:rFonts w:ascii="宋体" w:hAnsi="宋体" w:eastAsia="宋体" w:cs="宋体"/>
                <w:sz w:val="20"/>
                <w:szCs w:val="20"/>
              </w:rPr>
            </w:pPr>
            <w:r>
              <w:rPr>
                <w:rFonts w:ascii="宋体" w:hAnsi="宋体" w:eastAsia="宋体" w:cs="宋体"/>
                <w:spacing w:val="5"/>
                <w:sz w:val="20"/>
                <w:szCs w:val="20"/>
              </w:rPr>
              <w:t>达标</w:t>
            </w:r>
          </w:p>
        </w:tc>
        <w:tc>
          <w:tcPr>
            <w:tcW w:w="1704" w:type="dxa"/>
            <w:tcBorders>
              <w:right w:val="nil"/>
            </w:tcBorders>
            <w:vAlign w:val="top"/>
          </w:tcPr>
          <w:p w14:paraId="74B3A140">
            <w:pPr>
              <w:spacing w:before="96" w:line="195" w:lineRule="auto"/>
              <w:ind w:left="75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5</w:t>
            </w:r>
          </w:p>
        </w:tc>
      </w:tr>
      <w:tr w14:paraId="6B138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704" w:type="dxa"/>
            <w:vMerge w:val="continue"/>
            <w:tcBorders>
              <w:top w:val="nil"/>
              <w:left w:val="nil"/>
            </w:tcBorders>
            <w:vAlign w:val="top"/>
          </w:tcPr>
          <w:p w14:paraId="6DAE77FE">
            <w:pPr>
              <w:rPr>
                <w:rFonts w:ascii="Arial"/>
                <w:sz w:val="21"/>
              </w:rPr>
            </w:pPr>
          </w:p>
        </w:tc>
        <w:tc>
          <w:tcPr>
            <w:tcW w:w="1705" w:type="dxa"/>
            <w:vAlign w:val="top"/>
          </w:tcPr>
          <w:p w14:paraId="392A276D">
            <w:pPr>
              <w:spacing w:before="60" w:line="228" w:lineRule="auto"/>
              <w:ind w:left="649"/>
              <w:rPr>
                <w:rFonts w:ascii="宋体" w:hAnsi="宋体" w:eastAsia="宋体" w:cs="宋体"/>
                <w:sz w:val="20"/>
                <w:szCs w:val="20"/>
              </w:rPr>
            </w:pPr>
            <w:r>
              <w:rPr>
                <w:rFonts w:ascii="宋体" w:hAnsi="宋体" w:eastAsia="宋体" w:cs="宋体"/>
                <w:spacing w:val="3"/>
                <w:sz w:val="20"/>
                <w:szCs w:val="20"/>
              </w:rPr>
              <w:t>夜间</w:t>
            </w:r>
          </w:p>
        </w:tc>
        <w:tc>
          <w:tcPr>
            <w:tcW w:w="1704" w:type="dxa"/>
            <w:vAlign w:val="top"/>
          </w:tcPr>
          <w:p w14:paraId="4D0C5E10">
            <w:pPr>
              <w:spacing w:before="97" w:line="195" w:lineRule="auto"/>
              <w:ind w:left="74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48</w:t>
            </w:r>
          </w:p>
        </w:tc>
        <w:tc>
          <w:tcPr>
            <w:tcW w:w="1705" w:type="dxa"/>
            <w:vAlign w:val="top"/>
          </w:tcPr>
          <w:p w14:paraId="60CB41BF">
            <w:pPr>
              <w:spacing w:before="61" w:line="228" w:lineRule="auto"/>
              <w:ind w:left="646"/>
              <w:rPr>
                <w:rFonts w:ascii="宋体" w:hAnsi="宋体" w:eastAsia="宋体" w:cs="宋体"/>
                <w:sz w:val="20"/>
                <w:szCs w:val="20"/>
              </w:rPr>
            </w:pPr>
            <w:r>
              <w:rPr>
                <w:rFonts w:ascii="宋体" w:hAnsi="宋体" w:eastAsia="宋体" w:cs="宋体"/>
                <w:spacing w:val="5"/>
                <w:sz w:val="20"/>
                <w:szCs w:val="20"/>
              </w:rPr>
              <w:t>达标</w:t>
            </w:r>
          </w:p>
        </w:tc>
        <w:tc>
          <w:tcPr>
            <w:tcW w:w="1704" w:type="dxa"/>
            <w:tcBorders>
              <w:right w:val="nil"/>
            </w:tcBorders>
            <w:vAlign w:val="top"/>
          </w:tcPr>
          <w:p w14:paraId="535A439E">
            <w:pPr>
              <w:spacing w:before="100" w:line="192" w:lineRule="auto"/>
              <w:ind w:left="754"/>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r>
      <w:tr w14:paraId="2F78E4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704" w:type="dxa"/>
            <w:vMerge w:val="restart"/>
            <w:tcBorders>
              <w:left w:val="nil"/>
              <w:bottom w:val="nil"/>
            </w:tcBorders>
            <w:vAlign w:val="top"/>
          </w:tcPr>
          <w:p w14:paraId="6C7BECF1">
            <w:pPr>
              <w:spacing w:before="233" w:line="228" w:lineRule="auto"/>
              <w:ind w:left="548"/>
              <w:rPr>
                <w:rFonts w:ascii="宋体" w:hAnsi="宋体" w:eastAsia="宋体" w:cs="宋体"/>
                <w:sz w:val="20"/>
                <w:szCs w:val="20"/>
              </w:rPr>
            </w:pPr>
            <w:r>
              <w:rPr>
                <w:rFonts w:ascii="宋体" w:hAnsi="宋体" w:eastAsia="宋体" w:cs="宋体"/>
                <w:spacing w:val="6"/>
                <w:sz w:val="20"/>
                <w:szCs w:val="20"/>
              </w:rPr>
              <w:t>南厂界</w:t>
            </w:r>
          </w:p>
        </w:tc>
        <w:tc>
          <w:tcPr>
            <w:tcW w:w="1705" w:type="dxa"/>
            <w:vAlign w:val="top"/>
          </w:tcPr>
          <w:p w14:paraId="1CBAB9D4">
            <w:pPr>
              <w:spacing w:before="62" w:line="231" w:lineRule="auto"/>
              <w:ind w:left="645"/>
              <w:rPr>
                <w:rFonts w:ascii="宋体" w:hAnsi="宋体" w:eastAsia="宋体" w:cs="宋体"/>
                <w:sz w:val="20"/>
                <w:szCs w:val="20"/>
              </w:rPr>
            </w:pPr>
            <w:r>
              <w:rPr>
                <w:rFonts w:ascii="宋体" w:hAnsi="宋体" w:eastAsia="宋体" w:cs="宋体"/>
                <w:spacing w:val="5"/>
                <w:sz w:val="20"/>
                <w:szCs w:val="20"/>
              </w:rPr>
              <w:t>昼间</w:t>
            </w:r>
          </w:p>
        </w:tc>
        <w:tc>
          <w:tcPr>
            <w:tcW w:w="1704" w:type="dxa"/>
            <w:vAlign w:val="top"/>
          </w:tcPr>
          <w:p w14:paraId="62415D17">
            <w:pPr>
              <w:spacing w:before="98" w:line="195" w:lineRule="auto"/>
              <w:ind w:left="74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48</w:t>
            </w:r>
          </w:p>
        </w:tc>
        <w:tc>
          <w:tcPr>
            <w:tcW w:w="1705" w:type="dxa"/>
            <w:vAlign w:val="top"/>
          </w:tcPr>
          <w:p w14:paraId="12107296">
            <w:pPr>
              <w:spacing w:before="63" w:line="228" w:lineRule="auto"/>
              <w:ind w:left="646"/>
              <w:rPr>
                <w:rFonts w:ascii="宋体" w:hAnsi="宋体" w:eastAsia="宋体" w:cs="宋体"/>
                <w:sz w:val="20"/>
                <w:szCs w:val="20"/>
              </w:rPr>
            </w:pPr>
            <w:r>
              <w:rPr>
                <w:rFonts w:ascii="宋体" w:hAnsi="宋体" w:eastAsia="宋体" w:cs="宋体"/>
                <w:spacing w:val="5"/>
                <w:sz w:val="20"/>
                <w:szCs w:val="20"/>
              </w:rPr>
              <w:t>达标</w:t>
            </w:r>
          </w:p>
        </w:tc>
        <w:tc>
          <w:tcPr>
            <w:tcW w:w="1704" w:type="dxa"/>
            <w:tcBorders>
              <w:right w:val="nil"/>
            </w:tcBorders>
            <w:vAlign w:val="top"/>
          </w:tcPr>
          <w:p w14:paraId="542771E2">
            <w:pPr>
              <w:spacing w:before="98" w:line="195" w:lineRule="auto"/>
              <w:ind w:left="75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5</w:t>
            </w:r>
          </w:p>
        </w:tc>
      </w:tr>
      <w:tr w14:paraId="475D6D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704" w:type="dxa"/>
            <w:vMerge w:val="continue"/>
            <w:tcBorders>
              <w:top w:val="nil"/>
              <w:left w:val="nil"/>
            </w:tcBorders>
            <w:vAlign w:val="top"/>
          </w:tcPr>
          <w:p w14:paraId="4D03EBCA">
            <w:pPr>
              <w:rPr>
                <w:rFonts w:ascii="Arial"/>
                <w:sz w:val="21"/>
              </w:rPr>
            </w:pPr>
          </w:p>
        </w:tc>
        <w:tc>
          <w:tcPr>
            <w:tcW w:w="1705" w:type="dxa"/>
            <w:vAlign w:val="top"/>
          </w:tcPr>
          <w:p w14:paraId="5781D721">
            <w:pPr>
              <w:spacing w:before="62" w:line="228" w:lineRule="auto"/>
              <w:ind w:left="649"/>
              <w:rPr>
                <w:rFonts w:ascii="宋体" w:hAnsi="宋体" w:eastAsia="宋体" w:cs="宋体"/>
                <w:sz w:val="20"/>
                <w:szCs w:val="20"/>
              </w:rPr>
            </w:pPr>
            <w:r>
              <w:rPr>
                <w:rFonts w:ascii="宋体" w:hAnsi="宋体" w:eastAsia="宋体" w:cs="宋体"/>
                <w:spacing w:val="3"/>
                <w:sz w:val="20"/>
                <w:szCs w:val="20"/>
              </w:rPr>
              <w:t>夜间</w:t>
            </w:r>
          </w:p>
        </w:tc>
        <w:tc>
          <w:tcPr>
            <w:tcW w:w="1704" w:type="dxa"/>
            <w:vAlign w:val="top"/>
          </w:tcPr>
          <w:p w14:paraId="37C9FDF9">
            <w:pPr>
              <w:spacing w:before="98" w:line="195" w:lineRule="auto"/>
              <w:ind w:left="74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48</w:t>
            </w:r>
          </w:p>
        </w:tc>
        <w:tc>
          <w:tcPr>
            <w:tcW w:w="1705" w:type="dxa"/>
            <w:vAlign w:val="top"/>
          </w:tcPr>
          <w:p w14:paraId="22DA6CEA">
            <w:pPr>
              <w:spacing w:before="62" w:line="228" w:lineRule="auto"/>
              <w:ind w:left="646"/>
              <w:rPr>
                <w:rFonts w:ascii="宋体" w:hAnsi="宋体" w:eastAsia="宋体" w:cs="宋体"/>
                <w:sz w:val="20"/>
                <w:szCs w:val="20"/>
              </w:rPr>
            </w:pPr>
            <w:r>
              <w:rPr>
                <w:rFonts w:ascii="宋体" w:hAnsi="宋体" w:eastAsia="宋体" w:cs="宋体"/>
                <w:spacing w:val="5"/>
                <w:sz w:val="20"/>
                <w:szCs w:val="20"/>
              </w:rPr>
              <w:t>达标</w:t>
            </w:r>
          </w:p>
        </w:tc>
        <w:tc>
          <w:tcPr>
            <w:tcW w:w="1704" w:type="dxa"/>
            <w:tcBorders>
              <w:right w:val="nil"/>
            </w:tcBorders>
            <w:vAlign w:val="top"/>
          </w:tcPr>
          <w:p w14:paraId="422A9512">
            <w:pPr>
              <w:spacing w:before="101" w:line="192" w:lineRule="auto"/>
              <w:ind w:left="754"/>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r>
      <w:tr w14:paraId="2153AE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704" w:type="dxa"/>
            <w:vMerge w:val="restart"/>
            <w:tcBorders>
              <w:left w:val="nil"/>
              <w:bottom w:val="nil"/>
            </w:tcBorders>
            <w:vAlign w:val="top"/>
          </w:tcPr>
          <w:p w14:paraId="02028969">
            <w:pPr>
              <w:spacing w:before="234" w:line="228" w:lineRule="auto"/>
              <w:ind w:left="550"/>
              <w:rPr>
                <w:rFonts w:ascii="宋体" w:hAnsi="宋体" w:eastAsia="宋体" w:cs="宋体"/>
                <w:sz w:val="20"/>
                <w:szCs w:val="20"/>
              </w:rPr>
            </w:pPr>
            <w:r>
              <w:rPr>
                <w:rFonts w:ascii="宋体" w:hAnsi="宋体" w:eastAsia="宋体" w:cs="宋体"/>
                <w:spacing w:val="5"/>
                <w:sz w:val="20"/>
                <w:szCs w:val="20"/>
              </w:rPr>
              <w:t>西厂界</w:t>
            </w:r>
          </w:p>
        </w:tc>
        <w:tc>
          <w:tcPr>
            <w:tcW w:w="1705" w:type="dxa"/>
            <w:vAlign w:val="top"/>
          </w:tcPr>
          <w:p w14:paraId="79602057">
            <w:pPr>
              <w:spacing w:before="62" w:line="231" w:lineRule="auto"/>
              <w:ind w:left="645"/>
              <w:rPr>
                <w:rFonts w:ascii="宋体" w:hAnsi="宋体" w:eastAsia="宋体" w:cs="宋体"/>
                <w:sz w:val="20"/>
                <w:szCs w:val="20"/>
              </w:rPr>
            </w:pPr>
            <w:r>
              <w:rPr>
                <w:rFonts w:ascii="宋体" w:hAnsi="宋体" w:eastAsia="宋体" w:cs="宋体"/>
                <w:spacing w:val="5"/>
                <w:sz w:val="20"/>
                <w:szCs w:val="20"/>
              </w:rPr>
              <w:t>昼间</w:t>
            </w:r>
          </w:p>
        </w:tc>
        <w:tc>
          <w:tcPr>
            <w:tcW w:w="1704" w:type="dxa"/>
            <w:vAlign w:val="top"/>
          </w:tcPr>
          <w:p w14:paraId="0110BEE1">
            <w:pPr>
              <w:spacing w:before="99" w:line="195" w:lineRule="auto"/>
              <w:ind w:left="74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w:t>
            </w:r>
          </w:p>
        </w:tc>
        <w:tc>
          <w:tcPr>
            <w:tcW w:w="1705" w:type="dxa"/>
            <w:vAlign w:val="top"/>
          </w:tcPr>
          <w:p w14:paraId="45EDA5CE">
            <w:pPr>
              <w:spacing w:before="63" w:line="228" w:lineRule="auto"/>
              <w:ind w:left="646"/>
              <w:rPr>
                <w:rFonts w:ascii="宋体" w:hAnsi="宋体" w:eastAsia="宋体" w:cs="宋体"/>
                <w:sz w:val="20"/>
                <w:szCs w:val="20"/>
              </w:rPr>
            </w:pPr>
            <w:r>
              <w:rPr>
                <w:rFonts w:ascii="宋体" w:hAnsi="宋体" w:eastAsia="宋体" w:cs="宋体"/>
                <w:spacing w:val="5"/>
                <w:sz w:val="20"/>
                <w:szCs w:val="20"/>
              </w:rPr>
              <w:t>达标</w:t>
            </w:r>
          </w:p>
        </w:tc>
        <w:tc>
          <w:tcPr>
            <w:tcW w:w="1704" w:type="dxa"/>
            <w:tcBorders>
              <w:right w:val="nil"/>
            </w:tcBorders>
            <w:vAlign w:val="top"/>
          </w:tcPr>
          <w:p w14:paraId="6E7819E1">
            <w:pPr>
              <w:spacing w:before="99" w:line="195" w:lineRule="auto"/>
              <w:ind w:left="75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5</w:t>
            </w:r>
          </w:p>
        </w:tc>
      </w:tr>
      <w:tr w14:paraId="680336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704" w:type="dxa"/>
            <w:vMerge w:val="continue"/>
            <w:tcBorders>
              <w:top w:val="nil"/>
              <w:left w:val="nil"/>
            </w:tcBorders>
            <w:vAlign w:val="top"/>
          </w:tcPr>
          <w:p w14:paraId="13DADA1E">
            <w:pPr>
              <w:rPr>
                <w:rFonts w:ascii="Arial"/>
                <w:sz w:val="21"/>
              </w:rPr>
            </w:pPr>
          </w:p>
        </w:tc>
        <w:tc>
          <w:tcPr>
            <w:tcW w:w="1705" w:type="dxa"/>
            <w:vAlign w:val="top"/>
          </w:tcPr>
          <w:p w14:paraId="07729A5B">
            <w:pPr>
              <w:spacing w:before="64" w:line="228" w:lineRule="auto"/>
              <w:ind w:left="649"/>
              <w:rPr>
                <w:rFonts w:ascii="宋体" w:hAnsi="宋体" w:eastAsia="宋体" w:cs="宋体"/>
                <w:sz w:val="20"/>
                <w:szCs w:val="20"/>
              </w:rPr>
            </w:pPr>
            <w:r>
              <w:rPr>
                <w:rFonts w:ascii="宋体" w:hAnsi="宋体" w:eastAsia="宋体" w:cs="宋体"/>
                <w:spacing w:val="3"/>
                <w:sz w:val="20"/>
                <w:szCs w:val="20"/>
              </w:rPr>
              <w:t>夜间</w:t>
            </w:r>
          </w:p>
        </w:tc>
        <w:tc>
          <w:tcPr>
            <w:tcW w:w="1704" w:type="dxa"/>
            <w:vAlign w:val="top"/>
          </w:tcPr>
          <w:p w14:paraId="413EE7B6">
            <w:pPr>
              <w:spacing w:before="101" w:line="195" w:lineRule="auto"/>
              <w:ind w:left="74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w:t>
            </w:r>
          </w:p>
        </w:tc>
        <w:tc>
          <w:tcPr>
            <w:tcW w:w="1705" w:type="dxa"/>
            <w:vAlign w:val="top"/>
          </w:tcPr>
          <w:p w14:paraId="09985E75">
            <w:pPr>
              <w:spacing w:before="65" w:line="228" w:lineRule="auto"/>
              <w:ind w:left="646"/>
              <w:rPr>
                <w:rFonts w:ascii="宋体" w:hAnsi="宋体" w:eastAsia="宋体" w:cs="宋体"/>
                <w:sz w:val="20"/>
                <w:szCs w:val="20"/>
              </w:rPr>
            </w:pPr>
            <w:r>
              <w:rPr>
                <w:rFonts w:ascii="宋体" w:hAnsi="宋体" w:eastAsia="宋体" w:cs="宋体"/>
                <w:spacing w:val="5"/>
                <w:sz w:val="20"/>
                <w:szCs w:val="20"/>
              </w:rPr>
              <w:t>达标</w:t>
            </w:r>
          </w:p>
        </w:tc>
        <w:tc>
          <w:tcPr>
            <w:tcW w:w="1704" w:type="dxa"/>
            <w:tcBorders>
              <w:right w:val="nil"/>
            </w:tcBorders>
            <w:vAlign w:val="top"/>
          </w:tcPr>
          <w:p w14:paraId="2A91C43A">
            <w:pPr>
              <w:spacing w:before="103" w:line="192" w:lineRule="auto"/>
              <w:ind w:left="754"/>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r>
      <w:tr w14:paraId="38C300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704" w:type="dxa"/>
            <w:vMerge w:val="restart"/>
            <w:tcBorders>
              <w:left w:val="nil"/>
              <w:bottom w:val="nil"/>
            </w:tcBorders>
            <w:vAlign w:val="top"/>
          </w:tcPr>
          <w:p w14:paraId="5A1992E8">
            <w:pPr>
              <w:spacing w:before="234" w:line="228" w:lineRule="auto"/>
              <w:ind w:left="549"/>
              <w:rPr>
                <w:rFonts w:ascii="宋体" w:hAnsi="宋体" w:eastAsia="宋体" w:cs="宋体"/>
                <w:sz w:val="20"/>
                <w:szCs w:val="20"/>
              </w:rPr>
            </w:pPr>
            <w:r>
              <w:rPr>
                <w:rFonts w:ascii="宋体" w:hAnsi="宋体" w:eastAsia="宋体" w:cs="宋体"/>
                <w:spacing w:val="6"/>
                <w:sz w:val="20"/>
                <w:szCs w:val="20"/>
              </w:rPr>
              <w:t>北厂</w:t>
            </w:r>
            <w:r>
              <w:rPr>
                <w:rFonts w:ascii="宋体" w:hAnsi="宋体" w:eastAsia="宋体" w:cs="宋体"/>
                <w:spacing w:val="5"/>
                <w:sz w:val="20"/>
                <w:szCs w:val="20"/>
              </w:rPr>
              <w:t>界</w:t>
            </w:r>
          </w:p>
        </w:tc>
        <w:tc>
          <w:tcPr>
            <w:tcW w:w="1705" w:type="dxa"/>
            <w:vAlign w:val="top"/>
          </w:tcPr>
          <w:p w14:paraId="7368E534">
            <w:pPr>
              <w:spacing w:before="62" w:line="231" w:lineRule="auto"/>
              <w:ind w:left="645"/>
              <w:rPr>
                <w:rFonts w:ascii="宋体" w:hAnsi="宋体" w:eastAsia="宋体" w:cs="宋体"/>
                <w:sz w:val="20"/>
                <w:szCs w:val="20"/>
              </w:rPr>
            </w:pPr>
            <w:r>
              <w:rPr>
                <w:rFonts w:ascii="宋体" w:hAnsi="宋体" w:eastAsia="宋体" w:cs="宋体"/>
                <w:spacing w:val="5"/>
                <w:sz w:val="20"/>
                <w:szCs w:val="20"/>
              </w:rPr>
              <w:t>昼间</w:t>
            </w:r>
          </w:p>
        </w:tc>
        <w:tc>
          <w:tcPr>
            <w:tcW w:w="1704" w:type="dxa"/>
            <w:vAlign w:val="top"/>
          </w:tcPr>
          <w:p w14:paraId="05D0A44C">
            <w:pPr>
              <w:spacing w:before="99" w:line="195" w:lineRule="auto"/>
              <w:ind w:left="75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6</w:t>
            </w:r>
          </w:p>
        </w:tc>
        <w:tc>
          <w:tcPr>
            <w:tcW w:w="1705" w:type="dxa"/>
            <w:vAlign w:val="top"/>
          </w:tcPr>
          <w:p w14:paraId="68EF170D">
            <w:pPr>
              <w:spacing w:before="63" w:line="228" w:lineRule="auto"/>
              <w:ind w:left="646"/>
              <w:rPr>
                <w:rFonts w:ascii="宋体" w:hAnsi="宋体" w:eastAsia="宋体" w:cs="宋体"/>
                <w:sz w:val="20"/>
                <w:szCs w:val="20"/>
              </w:rPr>
            </w:pPr>
            <w:r>
              <w:rPr>
                <w:rFonts w:ascii="宋体" w:hAnsi="宋体" w:eastAsia="宋体" w:cs="宋体"/>
                <w:spacing w:val="5"/>
                <w:sz w:val="20"/>
                <w:szCs w:val="20"/>
              </w:rPr>
              <w:t>达标</w:t>
            </w:r>
          </w:p>
        </w:tc>
        <w:tc>
          <w:tcPr>
            <w:tcW w:w="1704" w:type="dxa"/>
            <w:tcBorders>
              <w:right w:val="nil"/>
            </w:tcBorders>
            <w:vAlign w:val="top"/>
          </w:tcPr>
          <w:p w14:paraId="70C39DCE">
            <w:pPr>
              <w:spacing w:before="99" w:line="195" w:lineRule="auto"/>
              <w:ind w:left="75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w:t>
            </w:r>
            <w:r>
              <w:rPr>
                <w:rFonts w:ascii="Times New Roman" w:hAnsi="Times New Roman" w:eastAsia="Times New Roman" w:cs="Times New Roman"/>
                <w:sz w:val="20"/>
                <w:szCs w:val="20"/>
              </w:rPr>
              <w:t>5</w:t>
            </w:r>
          </w:p>
        </w:tc>
      </w:tr>
      <w:tr w14:paraId="31AE0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1704" w:type="dxa"/>
            <w:vMerge w:val="continue"/>
            <w:tcBorders>
              <w:top w:val="nil"/>
              <w:left w:val="nil"/>
            </w:tcBorders>
            <w:vAlign w:val="top"/>
          </w:tcPr>
          <w:p w14:paraId="26B8DBD3">
            <w:pPr>
              <w:rPr>
                <w:rFonts w:ascii="Arial"/>
                <w:sz w:val="21"/>
              </w:rPr>
            </w:pPr>
          </w:p>
        </w:tc>
        <w:tc>
          <w:tcPr>
            <w:tcW w:w="1705" w:type="dxa"/>
            <w:vAlign w:val="top"/>
          </w:tcPr>
          <w:p w14:paraId="6C5FE7C9">
            <w:pPr>
              <w:spacing w:before="64" w:line="228" w:lineRule="auto"/>
              <w:ind w:left="649"/>
              <w:rPr>
                <w:rFonts w:ascii="宋体" w:hAnsi="宋体" w:eastAsia="宋体" w:cs="宋体"/>
                <w:sz w:val="20"/>
                <w:szCs w:val="20"/>
              </w:rPr>
            </w:pPr>
            <w:r>
              <w:rPr>
                <w:rFonts w:ascii="宋体" w:hAnsi="宋体" w:eastAsia="宋体" w:cs="宋体"/>
                <w:spacing w:val="3"/>
                <w:sz w:val="20"/>
                <w:szCs w:val="20"/>
              </w:rPr>
              <w:t>夜间</w:t>
            </w:r>
          </w:p>
        </w:tc>
        <w:tc>
          <w:tcPr>
            <w:tcW w:w="1704" w:type="dxa"/>
            <w:vAlign w:val="top"/>
          </w:tcPr>
          <w:p w14:paraId="76547439">
            <w:pPr>
              <w:spacing w:before="101" w:line="195" w:lineRule="auto"/>
              <w:ind w:left="75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6</w:t>
            </w:r>
          </w:p>
        </w:tc>
        <w:tc>
          <w:tcPr>
            <w:tcW w:w="1705" w:type="dxa"/>
            <w:vAlign w:val="top"/>
          </w:tcPr>
          <w:p w14:paraId="4E3FE4F1">
            <w:pPr>
              <w:spacing w:before="65" w:line="228" w:lineRule="auto"/>
              <w:ind w:left="646"/>
              <w:rPr>
                <w:rFonts w:ascii="宋体" w:hAnsi="宋体" w:eastAsia="宋体" w:cs="宋体"/>
                <w:sz w:val="20"/>
                <w:szCs w:val="20"/>
              </w:rPr>
            </w:pPr>
            <w:r>
              <w:rPr>
                <w:rFonts w:ascii="宋体" w:hAnsi="宋体" w:eastAsia="宋体" w:cs="宋体"/>
                <w:spacing w:val="5"/>
                <w:sz w:val="20"/>
                <w:szCs w:val="20"/>
              </w:rPr>
              <w:t>达标</w:t>
            </w:r>
          </w:p>
        </w:tc>
        <w:tc>
          <w:tcPr>
            <w:tcW w:w="1704" w:type="dxa"/>
            <w:tcBorders>
              <w:right w:val="nil"/>
            </w:tcBorders>
            <w:vAlign w:val="top"/>
          </w:tcPr>
          <w:p w14:paraId="0CA4ADC3">
            <w:pPr>
              <w:spacing w:before="104" w:line="192" w:lineRule="auto"/>
              <w:ind w:left="754"/>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r>
    </w:tbl>
    <w:p w14:paraId="62500ED2">
      <w:pPr>
        <w:rPr>
          <w:rFonts w:ascii="Arial"/>
          <w:sz w:val="21"/>
        </w:rPr>
      </w:pPr>
    </w:p>
    <w:p w14:paraId="45F989FB">
      <w:pPr>
        <w:sectPr>
          <w:headerReference r:id="rId244" w:type="default"/>
          <w:footerReference r:id="rId245" w:type="default"/>
          <w:pgSz w:w="11906" w:h="16839"/>
          <w:pgMar w:top="1132" w:right="1691" w:bottom="1182" w:left="1691" w:header="878" w:footer="1022" w:gutter="0"/>
          <w:cols w:space="720" w:num="1"/>
        </w:sectPr>
      </w:pPr>
    </w:p>
    <w:p w14:paraId="3FD61CDE">
      <w:pPr>
        <w:spacing w:line="390" w:lineRule="auto"/>
        <w:rPr>
          <w:rFonts w:ascii="Arial"/>
          <w:sz w:val="21"/>
        </w:rPr>
      </w:pPr>
      <w:r>
        <w:pict>
          <v:shape id="_x0000_s1287" o:spid="_x0000_s1287" style="position:absolute;left:0pt;margin-left:90pt;margin-top:57.35pt;height:0.75pt;width:415.3pt;mso-position-horizontal-relative:page;mso-position-vertical-relative:page;z-index:251940864;mso-width-relative:page;mso-height-relative:page;" fillcolor="#000000" filled="t" stroked="f" coordsize="8305,15" o:allowincell="f" path="m0,0l8305,0,8305,14,0,14,0,0xe">
            <v:path/>
            <v:fill on="t" focussize="0,0"/>
            <v:stroke on="f"/>
            <v:imagedata o:title=""/>
            <o:lock v:ext="edit"/>
          </v:shape>
        </w:pict>
      </w:r>
    </w:p>
    <w:p w14:paraId="0690CE37">
      <w:pPr>
        <w:spacing w:before="75" w:line="376" w:lineRule="auto"/>
        <w:ind w:left="22" w:right="73" w:firstLine="459"/>
        <w:rPr>
          <w:rFonts w:ascii="宋体" w:hAnsi="宋体" w:eastAsia="宋体" w:cs="宋体"/>
          <w:sz w:val="23"/>
          <w:szCs w:val="23"/>
        </w:rPr>
      </w:pPr>
      <w:r>
        <w:rPr>
          <w:rFonts w:ascii="宋体" w:hAnsi="宋体" w:eastAsia="宋体" w:cs="宋体"/>
          <w:spacing w:val="-4"/>
          <w:sz w:val="23"/>
          <w:szCs w:val="23"/>
        </w:rPr>
        <w:t xml:space="preserve">从表 </w:t>
      </w:r>
      <w:r>
        <w:rPr>
          <w:rFonts w:ascii="Times New Roman" w:hAnsi="Times New Roman" w:eastAsia="Times New Roman" w:cs="Times New Roman"/>
          <w:spacing w:val="-4"/>
          <w:sz w:val="23"/>
          <w:szCs w:val="23"/>
        </w:rPr>
        <w:t xml:space="preserve">5-19 </w:t>
      </w:r>
      <w:r>
        <w:rPr>
          <w:rFonts w:ascii="宋体" w:hAnsi="宋体" w:eastAsia="宋体" w:cs="宋体"/>
          <w:spacing w:val="-4"/>
          <w:sz w:val="23"/>
          <w:szCs w:val="23"/>
        </w:rPr>
        <w:t>中预测结果可</w:t>
      </w:r>
      <w:r>
        <w:rPr>
          <w:rFonts w:ascii="宋体" w:hAnsi="宋体" w:eastAsia="宋体" w:cs="宋体"/>
          <w:spacing w:val="-3"/>
          <w:sz w:val="23"/>
          <w:szCs w:val="23"/>
        </w:rPr>
        <w:t>以</w:t>
      </w:r>
      <w:r>
        <w:rPr>
          <w:rFonts w:ascii="宋体" w:hAnsi="宋体" w:eastAsia="宋体" w:cs="宋体"/>
          <w:spacing w:val="-2"/>
          <w:sz w:val="23"/>
          <w:szCs w:val="23"/>
        </w:rPr>
        <w:t>看出，在项目采取了设计和本环评要求的污染防治措</w:t>
      </w:r>
      <w:r>
        <w:rPr>
          <w:rFonts w:ascii="宋体" w:hAnsi="宋体" w:eastAsia="宋体" w:cs="宋体"/>
          <w:sz w:val="23"/>
          <w:szCs w:val="23"/>
        </w:rPr>
        <w:t xml:space="preserve"> </w:t>
      </w:r>
      <w:r>
        <w:rPr>
          <w:rFonts w:ascii="宋体" w:hAnsi="宋体" w:eastAsia="宋体" w:cs="宋体"/>
          <w:spacing w:val="1"/>
          <w:sz w:val="23"/>
          <w:szCs w:val="23"/>
        </w:rPr>
        <w:t>施后，生产期间厂界昼间噪声预测</w:t>
      </w:r>
      <w:r>
        <w:rPr>
          <w:rFonts w:ascii="宋体" w:hAnsi="宋体" w:eastAsia="宋体" w:cs="宋体"/>
          <w:sz w:val="23"/>
          <w:szCs w:val="23"/>
        </w:rPr>
        <w:t xml:space="preserve">值能够达到《工业企业厂界环境噪声排放标准》 </w:t>
      </w:r>
      <w:r>
        <w:rPr>
          <w:rFonts w:ascii="宋体" w:hAnsi="宋体" w:eastAsia="宋体" w:cs="宋体"/>
          <w:spacing w:val="-2"/>
          <w:sz w:val="23"/>
          <w:szCs w:val="23"/>
        </w:rPr>
        <w:t>中 (</w:t>
      </w:r>
      <w:r>
        <w:rPr>
          <w:rFonts w:ascii="Times New Roman" w:hAnsi="Times New Roman" w:eastAsia="Times New Roman" w:cs="Times New Roman"/>
          <w:spacing w:val="-1"/>
          <w:sz w:val="23"/>
          <w:szCs w:val="23"/>
        </w:rPr>
        <w:t>GB</w:t>
      </w:r>
      <w:r>
        <w:rPr>
          <w:rFonts w:ascii="Times New Roman" w:hAnsi="Times New Roman" w:eastAsia="Times New Roman" w:cs="Times New Roman"/>
          <w:spacing w:val="-2"/>
          <w:sz w:val="23"/>
          <w:szCs w:val="23"/>
        </w:rPr>
        <w:t>12348-2008</w:t>
      </w:r>
      <w:r>
        <w:rPr>
          <w:rFonts w:ascii="宋体" w:hAnsi="宋体" w:eastAsia="宋体" w:cs="宋体"/>
          <w:spacing w:val="-2"/>
          <w:sz w:val="23"/>
          <w:szCs w:val="23"/>
        </w:rPr>
        <w:t xml:space="preserve">) </w:t>
      </w:r>
      <w:r>
        <w:rPr>
          <w:rFonts w:ascii="Times New Roman" w:hAnsi="Times New Roman" w:eastAsia="Times New Roman" w:cs="Times New Roman"/>
          <w:spacing w:val="-2"/>
          <w:sz w:val="23"/>
          <w:szCs w:val="23"/>
        </w:rPr>
        <w:t xml:space="preserve">3 </w:t>
      </w:r>
      <w:r>
        <w:rPr>
          <w:rFonts w:ascii="宋体" w:hAnsi="宋体" w:eastAsia="宋体" w:cs="宋体"/>
          <w:spacing w:val="-2"/>
          <w:sz w:val="23"/>
          <w:szCs w:val="23"/>
        </w:rPr>
        <w:t>类区标</w:t>
      </w:r>
      <w:r>
        <w:rPr>
          <w:rFonts w:ascii="宋体" w:hAnsi="宋体" w:eastAsia="宋体" w:cs="宋体"/>
          <w:spacing w:val="-1"/>
          <w:sz w:val="23"/>
          <w:szCs w:val="23"/>
        </w:rPr>
        <w:t>准要求，项目排放噪声对区域声环境质量影响不大。</w:t>
      </w:r>
    </w:p>
    <w:p w14:paraId="391D4A4B">
      <w:pPr>
        <w:spacing w:before="81" w:line="226" w:lineRule="auto"/>
        <w:ind w:left="24"/>
        <w:outlineLvl w:val="2"/>
        <w:rPr>
          <w:rFonts w:ascii="宋体" w:hAnsi="宋体" w:eastAsia="宋体" w:cs="宋体"/>
          <w:sz w:val="29"/>
          <w:szCs w:val="29"/>
        </w:rPr>
      </w:pPr>
      <w:r>
        <w:rPr>
          <w:rFonts w:ascii="Times New Roman" w:hAnsi="Times New Roman" w:eastAsia="Times New Roman" w:cs="Times New Roman"/>
          <w:b/>
          <w:bCs/>
          <w:spacing w:val="14"/>
          <w:sz w:val="29"/>
          <w:szCs w:val="29"/>
        </w:rPr>
        <w:t>5</w:t>
      </w:r>
      <w:r>
        <w:rPr>
          <w:rFonts w:ascii="Times New Roman" w:hAnsi="Times New Roman" w:eastAsia="Times New Roman" w:cs="Times New Roman"/>
          <w:b/>
          <w:bCs/>
          <w:spacing w:val="9"/>
          <w:sz w:val="29"/>
          <w:szCs w:val="29"/>
        </w:rPr>
        <w:t>.</w:t>
      </w:r>
      <w:r>
        <w:rPr>
          <w:rFonts w:ascii="Times New Roman" w:hAnsi="Times New Roman" w:eastAsia="Times New Roman" w:cs="Times New Roman"/>
          <w:b/>
          <w:bCs/>
          <w:spacing w:val="7"/>
          <w:sz w:val="29"/>
          <w:szCs w:val="29"/>
        </w:rPr>
        <w:t>2.5</w:t>
      </w:r>
      <w:r>
        <w:rPr>
          <w:rFonts w:ascii="Times New Roman" w:hAnsi="Times New Roman" w:eastAsia="Times New Roman" w:cs="Times New Roman"/>
          <w:spacing w:val="7"/>
          <w:sz w:val="29"/>
          <w:szCs w:val="29"/>
        </w:rPr>
        <w:t xml:space="preserve">  </w:t>
      </w:r>
      <w:r>
        <w:rPr>
          <w:rFonts w:ascii="宋体" w:hAnsi="宋体" w:eastAsia="宋体" w:cs="宋体"/>
          <w:spacing w:val="7"/>
          <w:sz w:val="29"/>
          <w:szCs w:val="29"/>
          <w14:textOutline w14:w="5448" w14:cap="sq" w14:cmpd="sng">
            <w14:solidFill>
              <w14:srgbClr w14:val="000000"/>
            </w14:solidFill>
            <w14:prstDash w14:val="solid"/>
            <w14:bevel/>
          </w14:textOutline>
        </w:rPr>
        <w:t>运营期固体废物影响分析</w:t>
      </w:r>
    </w:p>
    <w:p w14:paraId="39C0FF35">
      <w:pPr>
        <w:spacing w:before="313" w:line="227" w:lineRule="auto"/>
        <w:ind w:left="507"/>
        <w:rPr>
          <w:rFonts w:ascii="宋体" w:hAnsi="宋体" w:eastAsia="宋体" w:cs="宋体"/>
          <w:sz w:val="23"/>
          <w:szCs w:val="23"/>
        </w:rPr>
      </w:pPr>
      <w:r>
        <w:rPr>
          <w:rFonts w:ascii="宋体" w:hAnsi="宋体" w:eastAsia="宋体" w:cs="宋体"/>
          <w:spacing w:val="12"/>
          <w:sz w:val="23"/>
          <w:szCs w:val="23"/>
        </w:rPr>
        <w:t>该项目固</w:t>
      </w:r>
      <w:r>
        <w:rPr>
          <w:rFonts w:ascii="宋体" w:hAnsi="宋体" w:eastAsia="宋体" w:cs="宋体"/>
          <w:spacing w:val="7"/>
          <w:sz w:val="23"/>
          <w:szCs w:val="23"/>
        </w:rPr>
        <w:t>体</w:t>
      </w:r>
      <w:r>
        <w:rPr>
          <w:rFonts w:ascii="宋体" w:hAnsi="宋体" w:eastAsia="宋体" w:cs="宋体"/>
          <w:spacing w:val="6"/>
          <w:sz w:val="23"/>
          <w:szCs w:val="23"/>
        </w:rPr>
        <w:t>废物主要为员工产生的生活垃圾、危险废物以及一般工业固体废</w:t>
      </w:r>
    </w:p>
    <w:p w14:paraId="424A0698">
      <w:pPr>
        <w:spacing w:before="176" w:line="377" w:lineRule="auto"/>
        <w:ind w:left="37" w:right="99" w:hanging="14"/>
        <w:rPr>
          <w:rFonts w:ascii="宋体" w:hAnsi="宋体" w:eastAsia="宋体" w:cs="宋体"/>
          <w:sz w:val="23"/>
          <w:szCs w:val="23"/>
        </w:rPr>
      </w:pPr>
      <w:r>
        <w:rPr>
          <w:rFonts w:ascii="宋体" w:hAnsi="宋体" w:eastAsia="宋体" w:cs="宋体"/>
          <w:spacing w:val="26"/>
          <w:sz w:val="23"/>
          <w:szCs w:val="23"/>
        </w:rPr>
        <w:t>物</w:t>
      </w:r>
      <w:r>
        <w:rPr>
          <w:rFonts w:ascii="宋体" w:hAnsi="宋体" w:eastAsia="宋体" w:cs="宋体"/>
          <w:spacing w:val="20"/>
          <w:sz w:val="23"/>
          <w:szCs w:val="23"/>
        </w:rPr>
        <w:t>，</w:t>
      </w:r>
      <w:r>
        <w:rPr>
          <w:rFonts w:ascii="宋体" w:hAnsi="宋体" w:eastAsia="宋体" w:cs="宋体"/>
          <w:spacing w:val="13"/>
          <w:sz w:val="23"/>
          <w:szCs w:val="23"/>
        </w:rPr>
        <w:t>其中一般工业固体废物包括杂质、沉淀池污泥、废滤网、热风炉炉渣以及</w:t>
      </w:r>
      <w:r>
        <w:rPr>
          <w:rFonts w:ascii="宋体" w:hAnsi="宋体" w:eastAsia="宋体" w:cs="宋体"/>
          <w:sz w:val="23"/>
          <w:szCs w:val="23"/>
        </w:rPr>
        <w:t xml:space="preserve"> </w:t>
      </w:r>
      <w:r>
        <w:rPr>
          <w:rFonts w:ascii="宋体" w:hAnsi="宋体" w:eastAsia="宋体" w:cs="宋体"/>
          <w:spacing w:val="10"/>
          <w:sz w:val="23"/>
          <w:szCs w:val="23"/>
        </w:rPr>
        <w:t xml:space="preserve">除尘器收集的粉尘，危险废物主要为废活性炭、废 </w:t>
      </w:r>
      <w:r>
        <w:rPr>
          <w:rFonts w:ascii="Times New Roman" w:hAnsi="Times New Roman" w:eastAsia="Times New Roman" w:cs="Times New Roman"/>
          <w:sz w:val="23"/>
          <w:szCs w:val="23"/>
        </w:rPr>
        <w:t>uv</w:t>
      </w:r>
      <w:r>
        <w:rPr>
          <w:rFonts w:ascii="Times New Roman" w:hAnsi="Times New Roman" w:eastAsia="Times New Roman" w:cs="Times New Roman"/>
          <w:spacing w:val="10"/>
          <w:sz w:val="23"/>
          <w:szCs w:val="23"/>
        </w:rPr>
        <w:t xml:space="preserve"> </w:t>
      </w:r>
      <w:r>
        <w:rPr>
          <w:rFonts w:ascii="宋体" w:hAnsi="宋体" w:eastAsia="宋体" w:cs="宋体"/>
          <w:spacing w:val="10"/>
          <w:sz w:val="23"/>
          <w:szCs w:val="23"/>
        </w:rPr>
        <w:t>光解灯管</w:t>
      </w:r>
      <w:r>
        <w:rPr>
          <w:rFonts w:ascii="宋体" w:hAnsi="宋体" w:eastAsia="宋体" w:cs="宋体"/>
          <w:spacing w:val="9"/>
          <w:sz w:val="23"/>
          <w:szCs w:val="23"/>
        </w:rPr>
        <w:t>。</w:t>
      </w:r>
    </w:p>
    <w:p w14:paraId="11DFEEE2">
      <w:pPr>
        <w:spacing w:before="148" w:line="387" w:lineRule="auto"/>
        <w:ind w:left="22" w:firstLine="484"/>
        <w:rPr>
          <w:rFonts w:ascii="宋体" w:hAnsi="宋体" w:eastAsia="宋体" w:cs="宋体"/>
          <w:sz w:val="23"/>
          <w:szCs w:val="23"/>
        </w:rPr>
      </w:pPr>
      <w:r>
        <w:rPr>
          <w:rFonts w:ascii="宋体" w:hAnsi="宋体" w:eastAsia="宋体" w:cs="宋体"/>
          <w:spacing w:val="18"/>
          <w:sz w:val="23"/>
          <w:szCs w:val="23"/>
        </w:rPr>
        <w:t>该</w:t>
      </w:r>
      <w:r>
        <w:rPr>
          <w:rFonts w:ascii="宋体" w:hAnsi="宋体" w:eastAsia="宋体" w:cs="宋体"/>
          <w:spacing w:val="11"/>
          <w:sz w:val="23"/>
          <w:szCs w:val="23"/>
        </w:rPr>
        <w:t>项</w:t>
      </w:r>
      <w:r>
        <w:rPr>
          <w:rFonts w:ascii="宋体" w:hAnsi="宋体" w:eastAsia="宋体" w:cs="宋体"/>
          <w:spacing w:val="9"/>
          <w:sz w:val="23"/>
          <w:szCs w:val="23"/>
        </w:rPr>
        <w:t>目在厂区内设置集中收集垃圾箱，员工生活垃圾收集到指定垃圾箱内，</w:t>
      </w:r>
      <w:r>
        <w:rPr>
          <w:rFonts w:ascii="宋体" w:hAnsi="宋体" w:eastAsia="宋体" w:cs="宋体"/>
          <w:sz w:val="23"/>
          <w:szCs w:val="23"/>
        </w:rPr>
        <w:t xml:space="preserve"> </w:t>
      </w:r>
      <w:r>
        <w:rPr>
          <w:rFonts w:ascii="宋体" w:hAnsi="宋体" w:eastAsia="宋体" w:cs="宋体"/>
          <w:spacing w:val="9"/>
          <w:sz w:val="23"/>
          <w:szCs w:val="23"/>
        </w:rPr>
        <w:t>随</w:t>
      </w:r>
      <w:r>
        <w:rPr>
          <w:rFonts w:ascii="宋体" w:hAnsi="宋体" w:eastAsia="宋体" w:cs="宋体"/>
          <w:spacing w:val="7"/>
          <w:sz w:val="23"/>
          <w:szCs w:val="23"/>
        </w:rPr>
        <w:t>后运送至环卫部门指定地点统一处理；产生的杂质集中收集后，与生活垃圾统</w:t>
      </w:r>
      <w:r>
        <w:rPr>
          <w:rFonts w:ascii="宋体" w:hAnsi="宋体" w:eastAsia="宋体" w:cs="宋体"/>
          <w:sz w:val="23"/>
          <w:szCs w:val="23"/>
        </w:rPr>
        <w:t xml:space="preserve"> </w:t>
      </w:r>
      <w:r>
        <w:rPr>
          <w:rFonts w:ascii="宋体" w:hAnsi="宋体" w:eastAsia="宋体" w:cs="宋体"/>
          <w:spacing w:val="9"/>
          <w:sz w:val="23"/>
          <w:szCs w:val="23"/>
        </w:rPr>
        <w:t>一</w:t>
      </w:r>
      <w:r>
        <w:rPr>
          <w:rFonts w:ascii="宋体" w:hAnsi="宋体" w:eastAsia="宋体" w:cs="宋体"/>
          <w:spacing w:val="7"/>
          <w:sz w:val="23"/>
          <w:szCs w:val="23"/>
        </w:rPr>
        <w:t>运送至环卫部门指定地点统一处理；生产废水处理过程中产生的污泥经压滤后</w:t>
      </w:r>
      <w:r>
        <w:rPr>
          <w:rFonts w:ascii="宋体" w:hAnsi="宋体" w:eastAsia="宋体" w:cs="宋体"/>
          <w:sz w:val="23"/>
          <w:szCs w:val="23"/>
        </w:rPr>
        <w:t xml:space="preserve"> </w:t>
      </w:r>
      <w:r>
        <w:rPr>
          <w:rFonts w:ascii="宋体" w:hAnsi="宋体" w:eastAsia="宋体" w:cs="宋体"/>
          <w:spacing w:val="26"/>
          <w:sz w:val="23"/>
          <w:szCs w:val="23"/>
        </w:rPr>
        <w:t>可</w:t>
      </w:r>
      <w:r>
        <w:rPr>
          <w:rFonts w:ascii="宋体" w:hAnsi="宋体" w:eastAsia="宋体" w:cs="宋体"/>
          <w:spacing w:val="23"/>
          <w:sz w:val="23"/>
          <w:szCs w:val="23"/>
        </w:rPr>
        <w:t>与</w:t>
      </w:r>
      <w:r>
        <w:rPr>
          <w:rFonts w:ascii="宋体" w:hAnsi="宋体" w:eastAsia="宋体" w:cs="宋体"/>
          <w:spacing w:val="13"/>
          <w:sz w:val="23"/>
          <w:szCs w:val="23"/>
        </w:rPr>
        <w:t>生活垃圾一起运送至环卫部门指定地点统一处理；热风炉燃烧生物质产生</w:t>
      </w:r>
      <w:r>
        <w:rPr>
          <w:rFonts w:ascii="宋体" w:hAnsi="宋体" w:eastAsia="宋体" w:cs="宋体"/>
          <w:sz w:val="23"/>
          <w:szCs w:val="23"/>
        </w:rPr>
        <w:t xml:space="preserve"> </w:t>
      </w:r>
      <w:r>
        <w:rPr>
          <w:rFonts w:ascii="宋体" w:hAnsi="宋体" w:eastAsia="宋体" w:cs="宋体"/>
          <w:spacing w:val="35"/>
          <w:sz w:val="23"/>
          <w:szCs w:val="23"/>
        </w:rPr>
        <w:t>的</w:t>
      </w:r>
      <w:r>
        <w:rPr>
          <w:rFonts w:ascii="宋体" w:hAnsi="宋体" w:eastAsia="宋体" w:cs="宋体"/>
          <w:spacing w:val="21"/>
          <w:sz w:val="23"/>
          <w:szCs w:val="23"/>
        </w:rPr>
        <w:t>炉渣及及除尘器收集的粉尘定期外卖给农肥厂进行综合利用；产生的废滤</w:t>
      </w:r>
      <w:r>
        <w:rPr>
          <w:rFonts w:ascii="宋体" w:hAnsi="宋体" w:eastAsia="宋体" w:cs="宋体"/>
          <w:sz w:val="23"/>
          <w:szCs w:val="23"/>
        </w:rPr>
        <w:t xml:space="preserve"> </w:t>
      </w:r>
      <w:r>
        <w:rPr>
          <w:rFonts w:ascii="宋体" w:hAnsi="宋体" w:eastAsia="宋体" w:cs="宋体"/>
          <w:spacing w:val="34"/>
          <w:sz w:val="23"/>
          <w:szCs w:val="23"/>
        </w:rPr>
        <w:t>网</w:t>
      </w:r>
      <w:r>
        <w:rPr>
          <w:rFonts w:ascii="宋体" w:hAnsi="宋体" w:eastAsia="宋体" w:cs="宋体"/>
          <w:spacing w:val="26"/>
          <w:sz w:val="23"/>
          <w:szCs w:val="23"/>
        </w:rPr>
        <w:t>均</w:t>
      </w:r>
      <w:r>
        <w:rPr>
          <w:rFonts w:ascii="宋体" w:hAnsi="宋体" w:eastAsia="宋体" w:cs="宋体"/>
          <w:spacing w:val="17"/>
          <w:sz w:val="23"/>
          <w:szCs w:val="23"/>
        </w:rPr>
        <w:t>由厂家定期回收；产生的废活性炭属于</w:t>
      </w:r>
      <w:r>
        <w:rPr>
          <w:rFonts w:ascii="Times New Roman" w:hAnsi="Times New Roman" w:eastAsia="Times New Roman" w:cs="Times New Roman"/>
          <w:spacing w:val="17"/>
          <w:sz w:val="23"/>
          <w:szCs w:val="23"/>
        </w:rPr>
        <w:t>“</w:t>
      </w:r>
      <w:r>
        <w:rPr>
          <w:rFonts w:ascii="Times New Roman" w:hAnsi="Times New Roman" w:eastAsia="Times New Roman" w:cs="Times New Roman"/>
          <w:sz w:val="23"/>
          <w:szCs w:val="23"/>
        </w:rPr>
        <w:t>HW</w:t>
      </w:r>
      <w:r>
        <w:rPr>
          <w:rFonts w:ascii="Times New Roman" w:hAnsi="Times New Roman" w:eastAsia="Times New Roman" w:cs="Times New Roman"/>
          <w:spacing w:val="17"/>
          <w:sz w:val="23"/>
          <w:szCs w:val="23"/>
        </w:rPr>
        <w:t xml:space="preserve">49  </w:t>
      </w:r>
      <w:r>
        <w:rPr>
          <w:rFonts w:ascii="宋体" w:hAnsi="宋体" w:eastAsia="宋体" w:cs="宋体"/>
          <w:spacing w:val="17"/>
          <w:sz w:val="23"/>
          <w:szCs w:val="23"/>
        </w:rPr>
        <w:t>其他废物</w:t>
      </w:r>
      <w:r>
        <w:rPr>
          <w:rFonts w:ascii="Times New Roman" w:hAnsi="Times New Roman" w:eastAsia="Times New Roman" w:cs="Times New Roman"/>
          <w:spacing w:val="17"/>
          <w:sz w:val="23"/>
          <w:szCs w:val="23"/>
        </w:rPr>
        <w:t xml:space="preserve">” </w:t>
      </w:r>
      <w:r>
        <w:rPr>
          <w:rFonts w:ascii="宋体" w:hAnsi="宋体" w:eastAsia="宋体" w:cs="宋体"/>
          <w:spacing w:val="17"/>
          <w:sz w:val="23"/>
          <w:szCs w:val="23"/>
        </w:rPr>
        <w:t>，废物代码为</w:t>
      </w:r>
      <w:r>
        <w:rPr>
          <w:rFonts w:ascii="宋体" w:hAnsi="宋体" w:eastAsia="宋体" w:cs="宋体"/>
          <w:sz w:val="23"/>
          <w:szCs w:val="23"/>
        </w:rPr>
        <w:t xml:space="preserve"> </w:t>
      </w:r>
      <w:r>
        <w:rPr>
          <w:rFonts w:ascii="Times New Roman" w:hAnsi="Times New Roman" w:eastAsia="Times New Roman" w:cs="Times New Roman"/>
          <w:spacing w:val="6"/>
          <w:sz w:val="23"/>
          <w:szCs w:val="23"/>
        </w:rPr>
        <w:t>9</w:t>
      </w:r>
      <w:r>
        <w:rPr>
          <w:rFonts w:ascii="Times New Roman" w:hAnsi="Times New Roman" w:eastAsia="Times New Roman" w:cs="Times New Roman"/>
          <w:spacing w:val="4"/>
          <w:sz w:val="23"/>
          <w:szCs w:val="23"/>
        </w:rPr>
        <w:t xml:space="preserve">00-041-49 </w:t>
      </w:r>
      <w:r>
        <w:rPr>
          <w:rFonts w:ascii="宋体" w:hAnsi="宋体" w:eastAsia="宋体" w:cs="宋体"/>
          <w:spacing w:val="4"/>
          <w:sz w:val="23"/>
          <w:szCs w:val="23"/>
        </w:rPr>
        <w:t>，即</w:t>
      </w:r>
      <w:r>
        <w:rPr>
          <w:rFonts w:ascii="Times New Roman" w:hAnsi="Times New Roman" w:eastAsia="Times New Roman" w:cs="Times New Roman"/>
          <w:spacing w:val="4"/>
          <w:sz w:val="23"/>
          <w:szCs w:val="23"/>
        </w:rPr>
        <w:t>“</w:t>
      </w:r>
      <w:r>
        <w:rPr>
          <w:rFonts w:ascii="宋体" w:hAnsi="宋体" w:eastAsia="宋体" w:cs="宋体"/>
          <w:spacing w:val="4"/>
          <w:sz w:val="23"/>
          <w:szCs w:val="23"/>
        </w:rPr>
        <w:t>含有或沾染毒性、感染性危险废物的废弃包装物、容器、过滤吸</w:t>
      </w:r>
      <w:r>
        <w:rPr>
          <w:rFonts w:ascii="宋体" w:hAnsi="宋体" w:eastAsia="宋体" w:cs="宋体"/>
          <w:sz w:val="23"/>
          <w:szCs w:val="23"/>
        </w:rPr>
        <w:t xml:space="preserve"> </w:t>
      </w:r>
      <w:r>
        <w:rPr>
          <w:rFonts w:ascii="宋体" w:hAnsi="宋体" w:eastAsia="宋体" w:cs="宋体"/>
          <w:spacing w:val="4"/>
          <w:sz w:val="23"/>
          <w:szCs w:val="23"/>
        </w:rPr>
        <w:t>附介质</w:t>
      </w:r>
      <w:r>
        <w:rPr>
          <w:rFonts w:ascii="Times New Roman" w:hAnsi="Times New Roman" w:eastAsia="Times New Roman" w:cs="Times New Roman"/>
          <w:spacing w:val="4"/>
          <w:sz w:val="23"/>
          <w:szCs w:val="23"/>
        </w:rPr>
        <w:t>”</w:t>
      </w:r>
      <w:r>
        <w:rPr>
          <w:rFonts w:ascii="宋体" w:hAnsi="宋体" w:eastAsia="宋体" w:cs="宋体"/>
          <w:spacing w:val="4"/>
          <w:sz w:val="23"/>
          <w:szCs w:val="23"/>
        </w:rPr>
        <w:t>，危险特性为</w:t>
      </w:r>
      <w:r>
        <w:rPr>
          <w:rFonts w:ascii="Times New Roman" w:hAnsi="Times New Roman" w:eastAsia="Times New Roman" w:cs="Times New Roman"/>
          <w:spacing w:val="4"/>
          <w:sz w:val="23"/>
          <w:szCs w:val="23"/>
        </w:rPr>
        <w:t>“</w:t>
      </w:r>
      <w:r>
        <w:rPr>
          <w:rFonts w:ascii="Times New Roman" w:hAnsi="Times New Roman" w:eastAsia="Times New Roman" w:cs="Times New Roman"/>
          <w:sz w:val="23"/>
          <w:szCs w:val="23"/>
        </w:rPr>
        <w:t>T</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(毒性) ，</w:t>
      </w:r>
      <w:r>
        <w:rPr>
          <w:rFonts w:ascii="Times New Roman" w:hAnsi="Times New Roman" w:eastAsia="Times New Roman" w:cs="Times New Roman"/>
          <w:sz w:val="23"/>
          <w:szCs w:val="23"/>
        </w:rPr>
        <w:t>In</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 xml:space="preserve">(感染性) </w:t>
      </w:r>
      <w:r>
        <w:rPr>
          <w:rFonts w:ascii="Times New Roman" w:hAnsi="Times New Roman" w:eastAsia="Times New Roman" w:cs="Times New Roman"/>
          <w:spacing w:val="2"/>
          <w:sz w:val="23"/>
          <w:szCs w:val="23"/>
        </w:rPr>
        <w:t>”</w:t>
      </w:r>
      <w:r>
        <w:rPr>
          <w:rFonts w:ascii="宋体" w:hAnsi="宋体" w:eastAsia="宋体" w:cs="宋体"/>
          <w:spacing w:val="2"/>
          <w:sz w:val="23"/>
          <w:szCs w:val="23"/>
        </w:rPr>
        <w:t xml:space="preserve">，废 </w:t>
      </w:r>
      <w:r>
        <w:rPr>
          <w:rFonts w:ascii="Times New Roman" w:hAnsi="Times New Roman" w:eastAsia="Times New Roman" w:cs="Times New Roman"/>
          <w:sz w:val="23"/>
          <w:szCs w:val="23"/>
        </w:rPr>
        <w:t>uv</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光解灯管属于</w:t>
      </w:r>
      <w:r>
        <w:rPr>
          <w:rFonts w:ascii="Times New Roman" w:hAnsi="Times New Roman" w:eastAsia="Times New Roman" w:cs="Times New Roman"/>
          <w:spacing w:val="2"/>
          <w:sz w:val="23"/>
          <w:szCs w:val="23"/>
        </w:rPr>
        <w:t>“</w:t>
      </w:r>
      <w:r>
        <w:rPr>
          <w:rFonts w:ascii="Times New Roman" w:hAnsi="Times New Roman" w:eastAsia="Times New Roman" w:cs="Times New Roman"/>
          <w:sz w:val="23"/>
          <w:szCs w:val="23"/>
        </w:rPr>
        <w:t>HW</w:t>
      </w:r>
      <w:r>
        <w:rPr>
          <w:rFonts w:ascii="Times New Roman" w:hAnsi="Times New Roman" w:eastAsia="Times New Roman" w:cs="Times New Roman"/>
          <w:spacing w:val="2"/>
          <w:sz w:val="23"/>
          <w:szCs w:val="23"/>
        </w:rPr>
        <w:t xml:space="preserve">29  </w:t>
      </w:r>
      <w:r>
        <w:rPr>
          <w:rFonts w:ascii="宋体" w:hAnsi="宋体" w:eastAsia="宋体" w:cs="宋体"/>
          <w:spacing w:val="2"/>
          <w:sz w:val="23"/>
          <w:szCs w:val="23"/>
        </w:rPr>
        <w:t>含</w:t>
      </w:r>
      <w:r>
        <w:rPr>
          <w:rFonts w:ascii="宋体" w:hAnsi="宋体" w:eastAsia="宋体" w:cs="宋体"/>
          <w:sz w:val="23"/>
          <w:szCs w:val="23"/>
        </w:rPr>
        <w:t xml:space="preserve"> </w:t>
      </w:r>
      <w:r>
        <w:rPr>
          <w:rFonts w:ascii="宋体" w:hAnsi="宋体" w:eastAsia="宋体" w:cs="宋体"/>
          <w:spacing w:val="3"/>
          <w:sz w:val="23"/>
          <w:szCs w:val="23"/>
        </w:rPr>
        <w:t>汞废物</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 xml:space="preserve">，废物代码为 </w:t>
      </w:r>
      <w:r>
        <w:rPr>
          <w:rFonts w:ascii="Times New Roman" w:hAnsi="Times New Roman" w:eastAsia="Times New Roman" w:cs="Times New Roman"/>
          <w:spacing w:val="3"/>
          <w:sz w:val="23"/>
          <w:szCs w:val="23"/>
        </w:rPr>
        <w:t xml:space="preserve">900-023-29 </w:t>
      </w:r>
      <w:r>
        <w:rPr>
          <w:rFonts w:ascii="宋体" w:hAnsi="宋体" w:eastAsia="宋体" w:cs="宋体"/>
          <w:spacing w:val="3"/>
          <w:sz w:val="23"/>
          <w:szCs w:val="23"/>
        </w:rPr>
        <w:t>，即</w:t>
      </w:r>
      <w:r>
        <w:rPr>
          <w:rFonts w:ascii="Times New Roman" w:hAnsi="Times New Roman" w:eastAsia="Times New Roman" w:cs="Times New Roman"/>
          <w:spacing w:val="3"/>
          <w:sz w:val="23"/>
          <w:szCs w:val="23"/>
        </w:rPr>
        <w:t>“</w:t>
      </w:r>
      <w:r>
        <w:rPr>
          <w:rFonts w:ascii="宋体" w:hAnsi="宋体" w:eastAsia="宋体" w:cs="宋体"/>
          <w:spacing w:val="3"/>
          <w:sz w:val="23"/>
          <w:szCs w:val="23"/>
        </w:rPr>
        <w:t>生产、销售及使用过程中产生的废</w:t>
      </w:r>
      <w:r>
        <w:rPr>
          <w:rFonts w:ascii="宋体" w:hAnsi="宋体" w:eastAsia="宋体" w:cs="宋体"/>
          <w:spacing w:val="2"/>
          <w:sz w:val="23"/>
          <w:szCs w:val="23"/>
        </w:rPr>
        <w:t>含</w:t>
      </w:r>
      <w:r>
        <w:rPr>
          <w:rFonts w:ascii="宋体" w:hAnsi="宋体" w:eastAsia="宋体" w:cs="宋体"/>
          <w:sz w:val="23"/>
          <w:szCs w:val="23"/>
        </w:rPr>
        <w:t xml:space="preserve">汞荧 </w:t>
      </w:r>
      <w:r>
        <w:rPr>
          <w:rFonts w:ascii="宋体" w:hAnsi="宋体" w:eastAsia="宋体" w:cs="宋体"/>
          <w:spacing w:val="8"/>
          <w:sz w:val="23"/>
          <w:szCs w:val="23"/>
        </w:rPr>
        <w:t>光灯管及</w:t>
      </w:r>
      <w:r>
        <w:rPr>
          <w:rFonts w:ascii="宋体" w:hAnsi="宋体" w:eastAsia="宋体" w:cs="宋体"/>
          <w:spacing w:val="5"/>
          <w:sz w:val="23"/>
          <w:szCs w:val="23"/>
        </w:rPr>
        <w:t>其</w:t>
      </w:r>
      <w:r>
        <w:rPr>
          <w:rFonts w:ascii="宋体" w:hAnsi="宋体" w:eastAsia="宋体" w:cs="宋体"/>
          <w:spacing w:val="4"/>
          <w:sz w:val="23"/>
          <w:szCs w:val="23"/>
        </w:rPr>
        <w:t>他废含汞电光源</w:t>
      </w:r>
      <w:r>
        <w:rPr>
          <w:rFonts w:ascii="Times New Roman" w:hAnsi="Times New Roman" w:eastAsia="Times New Roman" w:cs="Times New Roman"/>
          <w:spacing w:val="4"/>
          <w:sz w:val="23"/>
          <w:szCs w:val="23"/>
        </w:rPr>
        <w:t>”</w:t>
      </w:r>
      <w:r>
        <w:rPr>
          <w:rFonts w:ascii="宋体" w:hAnsi="宋体" w:eastAsia="宋体" w:cs="宋体"/>
          <w:spacing w:val="4"/>
          <w:sz w:val="23"/>
          <w:szCs w:val="23"/>
        </w:rPr>
        <w:t>，危险特性为</w:t>
      </w:r>
      <w:r>
        <w:rPr>
          <w:rFonts w:ascii="Times New Roman" w:hAnsi="Times New Roman" w:eastAsia="Times New Roman" w:cs="Times New Roman"/>
          <w:spacing w:val="4"/>
          <w:sz w:val="23"/>
          <w:szCs w:val="23"/>
        </w:rPr>
        <w:t>“</w:t>
      </w:r>
      <w:r>
        <w:rPr>
          <w:rFonts w:ascii="Times New Roman" w:hAnsi="Times New Roman" w:eastAsia="Times New Roman" w:cs="Times New Roman"/>
          <w:sz w:val="23"/>
          <w:szCs w:val="23"/>
        </w:rPr>
        <w:t>T</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 xml:space="preserve">(毒性) </w:t>
      </w:r>
      <w:r>
        <w:rPr>
          <w:rFonts w:ascii="Times New Roman" w:hAnsi="Times New Roman" w:eastAsia="Times New Roman" w:cs="Times New Roman"/>
          <w:spacing w:val="4"/>
          <w:sz w:val="23"/>
          <w:szCs w:val="23"/>
        </w:rPr>
        <w:t>”</w:t>
      </w:r>
      <w:r>
        <w:rPr>
          <w:rFonts w:ascii="宋体" w:hAnsi="宋体" w:eastAsia="宋体" w:cs="宋体"/>
          <w:spacing w:val="4"/>
          <w:sz w:val="23"/>
          <w:szCs w:val="23"/>
        </w:rPr>
        <w:t>，建设单位应将废活性炭、</w:t>
      </w:r>
      <w:r>
        <w:rPr>
          <w:rFonts w:ascii="宋体" w:hAnsi="宋体" w:eastAsia="宋体" w:cs="宋体"/>
          <w:sz w:val="23"/>
          <w:szCs w:val="23"/>
        </w:rPr>
        <w:t xml:space="preserve"> </w:t>
      </w:r>
      <w:r>
        <w:rPr>
          <w:rFonts w:ascii="宋体" w:hAnsi="宋体" w:eastAsia="宋体" w:cs="宋体"/>
          <w:spacing w:val="16"/>
          <w:sz w:val="23"/>
          <w:szCs w:val="23"/>
        </w:rPr>
        <w:t xml:space="preserve">废 </w:t>
      </w:r>
      <w:r>
        <w:rPr>
          <w:rFonts w:ascii="Times New Roman" w:hAnsi="Times New Roman" w:eastAsia="Times New Roman" w:cs="Times New Roman"/>
          <w:sz w:val="23"/>
          <w:szCs w:val="23"/>
        </w:rPr>
        <w:t>uv</w:t>
      </w:r>
      <w:r>
        <w:rPr>
          <w:rFonts w:ascii="Times New Roman" w:hAnsi="Times New Roman" w:eastAsia="Times New Roman" w:cs="Times New Roman"/>
          <w:spacing w:val="16"/>
          <w:sz w:val="23"/>
          <w:szCs w:val="23"/>
        </w:rPr>
        <w:t xml:space="preserve"> </w:t>
      </w:r>
      <w:r>
        <w:rPr>
          <w:rFonts w:ascii="宋体" w:hAnsi="宋体" w:eastAsia="宋体" w:cs="宋体"/>
          <w:spacing w:val="9"/>
          <w:sz w:val="23"/>
          <w:szCs w:val="23"/>
        </w:rPr>
        <w:t>光</w:t>
      </w:r>
      <w:r>
        <w:rPr>
          <w:rFonts w:ascii="宋体" w:hAnsi="宋体" w:eastAsia="宋体" w:cs="宋体"/>
          <w:spacing w:val="8"/>
          <w:sz w:val="23"/>
          <w:szCs w:val="23"/>
        </w:rPr>
        <w:t>解灯管集中收集后存放在固定容器中单独存放，积攒到一定数量后交由</w:t>
      </w:r>
      <w:r>
        <w:rPr>
          <w:rFonts w:ascii="宋体" w:hAnsi="宋体" w:eastAsia="宋体" w:cs="宋体"/>
          <w:sz w:val="23"/>
          <w:szCs w:val="23"/>
        </w:rPr>
        <w:t xml:space="preserve"> </w:t>
      </w:r>
      <w:r>
        <w:rPr>
          <w:rFonts w:ascii="宋体" w:hAnsi="宋体" w:eastAsia="宋体" w:cs="宋体"/>
          <w:spacing w:val="15"/>
          <w:sz w:val="23"/>
          <w:szCs w:val="23"/>
        </w:rPr>
        <w:t>有</w:t>
      </w:r>
      <w:r>
        <w:rPr>
          <w:rFonts w:ascii="宋体" w:hAnsi="宋体" w:eastAsia="宋体" w:cs="宋体"/>
          <w:spacing w:val="9"/>
          <w:sz w:val="23"/>
          <w:szCs w:val="23"/>
        </w:rPr>
        <w:t>资质单位处理，禁止作为一般固体废物随意丢弃排放。</w:t>
      </w:r>
    </w:p>
    <w:p w14:paraId="78C80CE0">
      <w:pPr>
        <w:spacing w:before="117" w:line="374" w:lineRule="auto"/>
        <w:ind w:left="23" w:right="82" w:firstLine="483"/>
        <w:rPr>
          <w:rFonts w:ascii="宋体" w:hAnsi="宋体" w:eastAsia="宋体" w:cs="宋体"/>
          <w:sz w:val="23"/>
          <w:szCs w:val="23"/>
        </w:rPr>
      </w:pPr>
      <w:r>
        <w:rPr>
          <w:rFonts w:ascii="宋体" w:hAnsi="宋体" w:eastAsia="宋体" w:cs="宋体"/>
          <w:spacing w:val="6"/>
          <w:sz w:val="23"/>
          <w:szCs w:val="23"/>
        </w:rPr>
        <w:t xml:space="preserve">该项目拟在备品备件库西侧设置一间危废暂存间，面积约 </w:t>
      </w:r>
      <w:r>
        <w:rPr>
          <w:rFonts w:ascii="Times New Roman" w:hAnsi="Times New Roman" w:eastAsia="Times New Roman" w:cs="Times New Roman"/>
          <w:spacing w:val="6"/>
          <w:sz w:val="23"/>
          <w:szCs w:val="23"/>
        </w:rPr>
        <w:t>5</w:t>
      </w:r>
      <w:r>
        <w:rPr>
          <w:rFonts w:ascii="Times New Roman" w:hAnsi="Times New Roman" w:eastAsia="Times New Roman" w:cs="Times New Roman"/>
          <w:sz w:val="23"/>
          <w:szCs w:val="23"/>
        </w:rPr>
        <w:t>m</w:t>
      </w:r>
      <w:r>
        <w:rPr>
          <w:rFonts w:ascii="Times New Roman" w:hAnsi="Times New Roman" w:eastAsia="Times New Roman" w:cs="Times New Roman"/>
          <w:spacing w:val="6"/>
          <w:position w:val="8"/>
          <w:sz w:val="15"/>
          <w:szCs w:val="15"/>
        </w:rPr>
        <w:t>2</w:t>
      </w:r>
      <w:r>
        <w:rPr>
          <w:rFonts w:ascii="宋体" w:hAnsi="宋体" w:eastAsia="宋体" w:cs="宋体"/>
          <w:spacing w:val="6"/>
          <w:sz w:val="23"/>
          <w:szCs w:val="23"/>
        </w:rPr>
        <w:t>，产生的废</w:t>
      </w:r>
      <w:r>
        <w:rPr>
          <w:rFonts w:ascii="宋体" w:hAnsi="宋体" w:eastAsia="宋体" w:cs="宋体"/>
          <w:spacing w:val="3"/>
          <w:sz w:val="23"/>
          <w:szCs w:val="23"/>
        </w:rPr>
        <w:t>活</w:t>
      </w:r>
      <w:r>
        <w:rPr>
          <w:rFonts w:ascii="宋体" w:hAnsi="宋体" w:eastAsia="宋体" w:cs="宋体"/>
          <w:sz w:val="23"/>
          <w:szCs w:val="23"/>
        </w:rPr>
        <w:t xml:space="preserve"> </w:t>
      </w:r>
      <w:r>
        <w:rPr>
          <w:rFonts w:ascii="宋体" w:hAnsi="宋体" w:eastAsia="宋体" w:cs="宋体"/>
          <w:spacing w:val="16"/>
          <w:sz w:val="23"/>
          <w:szCs w:val="23"/>
        </w:rPr>
        <w:t>性炭、</w:t>
      </w:r>
      <w:r>
        <w:rPr>
          <w:rFonts w:ascii="宋体" w:hAnsi="宋体" w:eastAsia="宋体" w:cs="宋体"/>
          <w:spacing w:val="8"/>
          <w:sz w:val="23"/>
          <w:szCs w:val="23"/>
        </w:rPr>
        <w:t xml:space="preserve">废 </w:t>
      </w:r>
      <w:r>
        <w:rPr>
          <w:rFonts w:ascii="Times New Roman" w:hAnsi="Times New Roman" w:eastAsia="Times New Roman" w:cs="Times New Roman"/>
          <w:sz w:val="23"/>
          <w:szCs w:val="23"/>
        </w:rPr>
        <w:t>uv</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光解灯管均设有固定容器单独暂存于危险暂存间内，积攒到一定数</w:t>
      </w:r>
      <w:r>
        <w:rPr>
          <w:rFonts w:ascii="宋体" w:hAnsi="宋体" w:eastAsia="宋体" w:cs="宋体"/>
          <w:sz w:val="23"/>
          <w:szCs w:val="23"/>
        </w:rPr>
        <w:t xml:space="preserve"> </w:t>
      </w:r>
      <w:r>
        <w:rPr>
          <w:rFonts w:ascii="宋体" w:hAnsi="宋体" w:eastAsia="宋体" w:cs="宋体"/>
          <w:spacing w:val="9"/>
          <w:sz w:val="23"/>
          <w:szCs w:val="23"/>
        </w:rPr>
        <w:t>量</w:t>
      </w:r>
      <w:r>
        <w:rPr>
          <w:rFonts w:ascii="宋体" w:hAnsi="宋体" w:eastAsia="宋体" w:cs="宋体"/>
          <w:spacing w:val="7"/>
          <w:sz w:val="23"/>
          <w:szCs w:val="23"/>
        </w:rPr>
        <w:t>后交由有资质单位处理。为了防止二次污染，危险废物的转移、利用或处置执</w:t>
      </w:r>
      <w:r>
        <w:rPr>
          <w:rFonts w:ascii="宋体" w:hAnsi="宋体" w:eastAsia="宋体" w:cs="宋体"/>
          <w:sz w:val="23"/>
          <w:szCs w:val="23"/>
        </w:rPr>
        <w:t xml:space="preserve"> </w:t>
      </w:r>
      <w:r>
        <w:rPr>
          <w:rFonts w:ascii="宋体" w:hAnsi="宋体" w:eastAsia="宋体" w:cs="宋体"/>
          <w:spacing w:val="13"/>
          <w:sz w:val="23"/>
          <w:szCs w:val="23"/>
        </w:rPr>
        <w:t>行</w:t>
      </w:r>
      <w:r>
        <w:rPr>
          <w:rFonts w:ascii="宋体" w:hAnsi="宋体" w:eastAsia="宋体" w:cs="宋体"/>
          <w:spacing w:val="9"/>
          <w:sz w:val="23"/>
          <w:szCs w:val="23"/>
        </w:rPr>
        <w:t>危险废物转移联单制度，按规定办理环保备案手续。</w:t>
      </w:r>
    </w:p>
    <w:p w14:paraId="22415984">
      <w:pPr>
        <w:tabs>
          <w:tab w:val="left" w:pos="148"/>
        </w:tabs>
        <w:spacing w:before="131" w:line="373" w:lineRule="auto"/>
        <w:ind w:left="19" w:right="21" w:firstLine="483"/>
        <w:rPr>
          <w:rFonts w:ascii="宋体" w:hAnsi="宋体" w:eastAsia="宋体" w:cs="宋体"/>
          <w:sz w:val="23"/>
          <w:szCs w:val="23"/>
        </w:rPr>
      </w:pPr>
      <w:r>
        <w:rPr>
          <w:rFonts w:ascii="宋体" w:hAnsi="宋体" w:eastAsia="宋体" w:cs="宋体"/>
          <w:spacing w:val="15"/>
          <w:sz w:val="23"/>
          <w:szCs w:val="23"/>
        </w:rPr>
        <w:t>废</w:t>
      </w:r>
      <w:r>
        <w:rPr>
          <w:rFonts w:ascii="宋体" w:hAnsi="宋体" w:eastAsia="宋体" w:cs="宋体"/>
          <w:spacing w:val="8"/>
          <w:sz w:val="23"/>
          <w:szCs w:val="23"/>
        </w:rPr>
        <w:t xml:space="preserve">活性炭、废 </w:t>
      </w:r>
      <w:r>
        <w:rPr>
          <w:rFonts w:ascii="Times New Roman" w:hAnsi="Times New Roman" w:eastAsia="Times New Roman" w:cs="Times New Roman"/>
          <w:sz w:val="23"/>
          <w:szCs w:val="23"/>
        </w:rPr>
        <w:t>uv</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光解灯管临时储存应执行《危险废物贮存污染控制标准》</w:t>
      </w:r>
      <w:r>
        <w:rPr>
          <w:rFonts w:ascii="宋体" w:hAnsi="宋体" w:eastAsia="宋体" w:cs="宋体"/>
          <w:sz w:val="23"/>
          <w:szCs w:val="23"/>
        </w:rPr>
        <w:t xml:space="preserve"> </w:t>
      </w:r>
      <w:r>
        <w:rPr>
          <w:rFonts w:ascii="宋体" w:hAnsi="宋体" w:eastAsia="宋体" w:cs="宋体"/>
          <w:sz w:val="23"/>
          <w:szCs w:val="23"/>
        </w:rPr>
        <w:tab/>
      </w:r>
      <w:r>
        <w:rPr>
          <w:rFonts w:ascii="宋体" w:hAnsi="宋体" w:eastAsia="宋体" w:cs="宋体"/>
          <w:spacing w:val="3"/>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3"/>
          <w:sz w:val="23"/>
          <w:szCs w:val="23"/>
        </w:rPr>
        <w:t>18597-2001</w:t>
      </w:r>
      <w:r>
        <w:rPr>
          <w:rFonts w:ascii="宋体" w:hAnsi="宋体" w:eastAsia="宋体" w:cs="宋体"/>
          <w:spacing w:val="3"/>
          <w:sz w:val="23"/>
          <w:szCs w:val="23"/>
        </w:rPr>
        <w:t xml:space="preserve">) 及其修改单的公告 (环境保护部公告，公告 </w:t>
      </w:r>
      <w:r>
        <w:rPr>
          <w:rFonts w:ascii="Times New Roman" w:hAnsi="Times New Roman" w:eastAsia="Times New Roman" w:cs="Times New Roman"/>
          <w:spacing w:val="3"/>
          <w:sz w:val="23"/>
          <w:szCs w:val="23"/>
        </w:rPr>
        <w:t xml:space="preserve">2013 </w:t>
      </w:r>
      <w:r>
        <w:rPr>
          <w:rFonts w:ascii="宋体" w:hAnsi="宋体" w:eastAsia="宋体" w:cs="宋体"/>
          <w:spacing w:val="3"/>
          <w:sz w:val="23"/>
          <w:szCs w:val="23"/>
        </w:rPr>
        <w:t xml:space="preserve">年第 </w:t>
      </w:r>
      <w:r>
        <w:rPr>
          <w:rFonts w:ascii="Times New Roman" w:hAnsi="Times New Roman" w:eastAsia="Times New Roman" w:cs="Times New Roman"/>
          <w:spacing w:val="3"/>
          <w:sz w:val="23"/>
          <w:szCs w:val="23"/>
        </w:rPr>
        <w:t>36</w:t>
      </w:r>
      <w:r>
        <w:rPr>
          <w:rFonts w:ascii="Times New Roman" w:hAnsi="Times New Roman" w:eastAsia="Times New Roman" w:cs="Times New Roman"/>
          <w:spacing w:val="2"/>
          <w:sz w:val="23"/>
          <w:szCs w:val="23"/>
        </w:rPr>
        <w:t xml:space="preserve"> </w:t>
      </w:r>
      <w:r>
        <w:rPr>
          <w:rFonts w:ascii="宋体" w:hAnsi="宋体" w:eastAsia="宋体" w:cs="宋体"/>
          <w:sz w:val="23"/>
          <w:szCs w:val="23"/>
        </w:rPr>
        <w:t xml:space="preserve">号， </w:t>
      </w:r>
      <w:r>
        <w:rPr>
          <w:rFonts w:ascii="Times New Roman" w:hAnsi="Times New Roman" w:eastAsia="Times New Roman" w:cs="Times New Roman"/>
          <w:spacing w:val="14"/>
          <w:sz w:val="23"/>
          <w:szCs w:val="23"/>
        </w:rPr>
        <w:t>2</w:t>
      </w:r>
      <w:r>
        <w:rPr>
          <w:rFonts w:ascii="Times New Roman" w:hAnsi="Times New Roman" w:eastAsia="Times New Roman" w:cs="Times New Roman"/>
          <w:spacing w:val="12"/>
          <w:sz w:val="23"/>
          <w:szCs w:val="23"/>
        </w:rPr>
        <w:t>0</w:t>
      </w:r>
      <w:r>
        <w:rPr>
          <w:rFonts w:ascii="Times New Roman" w:hAnsi="Times New Roman" w:eastAsia="Times New Roman" w:cs="Times New Roman"/>
          <w:spacing w:val="7"/>
          <w:sz w:val="23"/>
          <w:szCs w:val="23"/>
        </w:rPr>
        <w:t xml:space="preserve">13 </w:t>
      </w:r>
      <w:r>
        <w:rPr>
          <w:rFonts w:ascii="宋体" w:hAnsi="宋体" w:eastAsia="宋体" w:cs="宋体"/>
          <w:spacing w:val="7"/>
          <w:sz w:val="23"/>
          <w:szCs w:val="23"/>
        </w:rPr>
        <w:t xml:space="preserve">年 </w:t>
      </w:r>
      <w:r>
        <w:rPr>
          <w:rFonts w:ascii="Times New Roman" w:hAnsi="Times New Roman" w:eastAsia="Times New Roman" w:cs="Times New Roman"/>
          <w:spacing w:val="7"/>
          <w:sz w:val="23"/>
          <w:szCs w:val="23"/>
        </w:rPr>
        <w:t xml:space="preserve">6 </w:t>
      </w:r>
      <w:r>
        <w:rPr>
          <w:rFonts w:ascii="宋体" w:hAnsi="宋体" w:eastAsia="宋体" w:cs="宋体"/>
          <w:spacing w:val="7"/>
          <w:sz w:val="23"/>
          <w:szCs w:val="23"/>
        </w:rPr>
        <w:t xml:space="preserve">月 </w:t>
      </w:r>
      <w:r>
        <w:rPr>
          <w:rFonts w:ascii="Times New Roman" w:hAnsi="Times New Roman" w:eastAsia="Times New Roman" w:cs="Times New Roman"/>
          <w:spacing w:val="7"/>
          <w:sz w:val="23"/>
          <w:szCs w:val="23"/>
        </w:rPr>
        <w:t xml:space="preserve">8 </w:t>
      </w:r>
      <w:r>
        <w:rPr>
          <w:rFonts w:ascii="宋体" w:hAnsi="宋体" w:eastAsia="宋体" w:cs="宋体"/>
          <w:spacing w:val="7"/>
          <w:sz w:val="23"/>
          <w:szCs w:val="23"/>
        </w:rPr>
        <w:t>日) ，建设单位应加强对危险废弃物产生源的监督管理，应建造</w:t>
      </w:r>
      <w:r>
        <w:rPr>
          <w:rFonts w:ascii="宋体" w:hAnsi="宋体" w:eastAsia="宋体" w:cs="宋体"/>
          <w:sz w:val="23"/>
          <w:szCs w:val="23"/>
        </w:rPr>
        <w:t xml:space="preserve"> </w:t>
      </w:r>
      <w:r>
        <w:rPr>
          <w:rFonts w:ascii="宋体" w:hAnsi="宋体" w:eastAsia="宋体" w:cs="宋体"/>
          <w:spacing w:val="13"/>
          <w:sz w:val="23"/>
          <w:szCs w:val="23"/>
        </w:rPr>
        <w:t>专</w:t>
      </w:r>
      <w:r>
        <w:rPr>
          <w:rFonts w:ascii="宋体" w:hAnsi="宋体" w:eastAsia="宋体" w:cs="宋体"/>
          <w:spacing w:val="7"/>
          <w:sz w:val="23"/>
          <w:szCs w:val="23"/>
        </w:rPr>
        <w:t>用的危险废弃物贮存设施，贮存、处置场所等设施必须设置警示标志等，同时</w:t>
      </w:r>
      <w:r>
        <w:rPr>
          <w:rFonts w:ascii="宋体" w:hAnsi="宋体" w:eastAsia="宋体" w:cs="宋体"/>
          <w:sz w:val="23"/>
          <w:szCs w:val="23"/>
        </w:rPr>
        <w:t xml:space="preserve"> </w:t>
      </w:r>
      <w:r>
        <w:rPr>
          <w:rFonts w:ascii="宋体" w:hAnsi="宋体" w:eastAsia="宋体" w:cs="宋体"/>
          <w:spacing w:val="14"/>
          <w:sz w:val="23"/>
          <w:szCs w:val="23"/>
        </w:rPr>
        <w:t>制定</w:t>
      </w:r>
      <w:r>
        <w:rPr>
          <w:rFonts w:ascii="宋体" w:hAnsi="宋体" w:eastAsia="宋体" w:cs="宋体"/>
          <w:spacing w:val="10"/>
          <w:sz w:val="23"/>
          <w:szCs w:val="23"/>
        </w:rPr>
        <w:t>防</w:t>
      </w:r>
      <w:r>
        <w:rPr>
          <w:rFonts w:ascii="宋体" w:hAnsi="宋体" w:eastAsia="宋体" w:cs="宋体"/>
          <w:spacing w:val="7"/>
          <w:sz w:val="23"/>
          <w:szCs w:val="23"/>
        </w:rPr>
        <w:t>止泄漏、散失的安全措施。同时要求对危废暂存间做防渗处理，并设置危</w:t>
      </w:r>
    </w:p>
    <w:p w14:paraId="6641F01E">
      <w:pPr>
        <w:sectPr>
          <w:headerReference r:id="rId246" w:type="default"/>
          <w:footerReference r:id="rId247" w:type="default"/>
          <w:pgSz w:w="11906" w:h="16839"/>
          <w:pgMar w:top="1132" w:right="1714" w:bottom="1182" w:left="1785" w:header="878" w:footer="1022" w:gutter="0"/>
          <w:cols w:space="720" w:num="1"/>
        </w:sectPr>
      </w:pPr>
    </w:p>
    <w:p w14:paraId="1482582A">
      <w:pPr>
        <w:spacing w:line="391" w:lineRule="auto"/>
        <w:rPr>
          <w:rFonts w:ascii="Arial"/>
          <w:sz w:val="21"/>
        </w:rPr>
      </w:pPr>
      <w:r>
        <w:pict>
          <v:shape id="_x0000_s1288" o:spid="_x0000_s1288" style="position:absolute;left:0pt;margin-left:90pt;margin-top:57.35pt;height:0.75pt;width:415.3pt;mso-position-horizontal-relative:page;mso-position-vertical-relative:page;z-index:251942912;mso-width-relative:page;mso-height-relative:page;" fillcolor="#000000" filled="t" stroked="f" coordsize="8305,15" o:allowincell="f" path="m0,0l8305,0,8305,14,0,14,0,0xe">
            <v:path/>
            <v:fill on="t" focussize="0,0"/>
            <v:stroke on="f"/>
            <v:imagedata o:title=""/>
            <o:lock v:ext="edit"/>
          </v:shape>
        </w:pict>
      </w:r>
    </w:p>
    <w:p w14:paraId="7389C958">
      <w:pPr>
        <w:spacing w:before="75" w:line="374" w:lineRule="auto"/>
        <w:ind w:left="126" w:right="3" w:firstLine="11"/>
        <w:rPr>
          <w:rFonts w:ascii="宋体" w:hAnsi="宋体" w:eastAsia="宋体" w:cs="宋体"/>
          <w:sz w:val="23"/>
          <w:szCs w:val="23"/>
        </w:rPr>
      </w:pPr>
      <w:r>
        <w:rPr>
          <w:rFonts w:ascii="宋体" w:hAnsi="宋体" w:eastAsia="宋体" w:cs="宋体"/>
          <w:spacing w:val="14"/>
          <w:sz w:val="23"/>
          <w:szCs w:val="23"/>
        </w:rPr>
        <w:t>险废</w:t>
      </w:r>
      <w:r>
        <w:rPr>
          <w:rFonts w:ascii="宋体" w:hAnsi="宋体" w:eastAsia="宋体" w:cs="宋体"/>
          <w:spacing w:val="12"/>
          <w:sz w:val="23"/>
          <w:szCs w:val="23"/>
        </w:rPr>
        <w:t>物</w:t>
      </w:r>
      <w:r>
        <w:rPr>
          <w:rFonts w:ascii="宋体" w:hAnsi="宋体" w:eastAsia="宋体" w:cs="宋体"/>
          <w:spacing w:val="7"/>
          <w:sz w:val="23"/>
          <w:szCs w:val="23"/>
        </w:rPr>
        <w:t xml:space="preserve">警示标志，危废暂存间底部铺设 </w:t>
      </w:r>
      <w:r>
        <w:rPr>
          <w:rFonts w:ascii="Times New Roman" w:hAnsi="Times New Roman" w:eastAsia="Times New Roman" w:cs="Times New Roman"/>
          <w:spacing w:val="7"/>
          <w:sz w:val="23"/>
          <w:szCs w:val="23"/>
        </w:rPr>
        <w:t>300</w:t>
      </w:r>
      <w:r>
        <w:rPr>
          <w:rFonts w:ascii="Times New Roman" w:hAnsi="Times New Roman" w:eastAsia="Times New Roman" w:cs="Times New Roman"/>
          <w:sz w:val="23"/>
          <w:szCs w:val="23"/>
        </w:rPr>
        <w:t>mm</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黏土层 (保护层，同时作为辅助</w:t>
      </w:r>
      <w:r>
        <w:rPr>
          <w:rFonts w:ascii="宋体" w:hAnsi="宋体" w:eastAsia="宋体" w:cs="宋体"/>
          <w:sz w:val="23"/>
          <w:szCs w:val="23"/>
        </w:rPr>
        <w:t xml:space="preserve"> </w:t>
      </w:r>
      <w:r>
        <w:rPr>
          <w:rFonts w:ascii="宋体" w:hAnsi="宋体" w:eastAsia="宋体" w:cs="宋体"/>
          <w:spacing w:val="14"/>
          <w:sz w:val="23"/>
          <w:szCs w:val="23"/>
        </w:rPr>
        <w:t>防</w:t>
      </w:r>
      <w:r>
        <w:rPr>
          <w:rFonts w:ascii="宋体" w:hAnsi="宋体" w:eastAsia="宋体" w:cs="宋体"/>
          <w:spacing w:val="11"/>
          <w:sz w:val="23"/>
          <w:szCs w:val="23"/>
        </w:rPr>
        <w:t>渗</w:t>
      </w:r>
      <w:r>
        <w:rPr>
          <w:rFonts w:ascii="宋体" w:hAnsi="宋体" w:eastAsia="宋体" w:cs="宋体"/>
          <w:spacing w:val="7"/>
          <w:sz w:val="23"/>
          <w:szCs w:val="23"/>
        </w:rPr>
        <w:t xml:space="preserve">层) 压实平整，黏土层上铺设 </w:t>
      </w:r>
      <w:r>
        <w:rPr>
          <w:rFonts w:ascii="Times New Roman" w:hAnsi="Times New Roman" w:eastAsia="Times New Roman" w:cs="Times New Roman"/>
          <w:sz w:val="23"/>
          <w:szCs w:val="23"/>
        </w:rPr>
        <w:t>HDPE</w:t>
      </w:r>
      <w:r>
        <w:rPr>
          <w:rFonts w:ascii="Times New Roman" w:hAnsi="Times New Roman" w:eastAsia="Times New Roman" w:cs="Times New Roman"/>
          <w:spacing w:val="7"/>
          <w:sz w:val="23"/>
          <w:szCs w:val="23"/>
        </w:rPr>
        <w:t>-</w:t>
      </w:r>
      <w:r>
        <w:rPr>
          <w:rFonts w:ascii="Times New Roman" w:hAnsi="Times New Roman" w:eastAsia="Times New Roman" w:cs="Times New Roman"/>
          <w:sz w:val="23"/>
          <w:szCs w:val="23"/>
        </w:rPr>
        <w:t>GCL</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复合防渗系统 (</w:t>
      </w:r>
      <w:r>
        <w:rPr>
          <w:rFonts w:ascii="Times New Roman" w:hAnsi="Times New Roman" w:eastAsia="Times New Roman" w:cs="Times New Roman"/>
          <w:spacing w:val="7"/>
          <w:sz w:val="23"/>
          <w:szCs w:val="23"/>
        </w:rPr>
        <w:t>2</w:t>
      </w:r>
      <w:r>
        <w:rPr>
          <w:rFonts w:ascii="Times New Roman" w:hAnsi="Times New Roman" w:eastAsia="Times New Roman" w:cs="Times New Roman"/>
          <w:sz w:val="23"/>
          <w:szCs w:val="23"/>
        </w:rPr>
        <w:t>mm</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厚的高密度</w:t>
      </w:r>
      <w:r>
        <w:rPr>
          <w:rFonts w:ascii="宋体" w:hAnsi="宋体" w:eastAsia="宋体" w:cs="宋体"/>
          <w:sz w:val="23"/>
          <w:szCs w:val="23"/>
        </w:rPr>
        <w:t xml:space="preserve"> </w:t>
      </w:r>
      <w:r>
        <w:rPr>
          <w:rFonts w:ascii="宋体" w:hAnsi="宋体" w:eastAsia="宋体" w:cs="宋体"/>
          <w:spacing w:val="3"/>
          <w:sz w:val="23"/>
          <w:szCs w:val="23"/>
        </w:rPr>
        <w:t>聚乙烯膜、</w:t>
      </w:r>
      <w:r>
        <w:rPr>
          <w:rFonts w:ascii="Times New Roman" w:hAnsi="Times New Roman" w:eastAsia="Times New Roman" w:cs="Times New Roman"/>
          <w:spacing w:val="3"/>
          <w:sz w:val="23"/>
          <w:szCs w:val="23"/>
        </w:rPr>
        <w:t>300</w:t>
      </w:r>
      <w:r>
        <w:rPr>
          <w:rFonts w:ascii="Times New Roman" w:hAnsi="Times New Roman" w:eastAsia="Times New Roman" w:cs="Times New Roman"/>
          <w:sz w:val="23"/>
          <w:szCs w:val="23"/>
        </w:rPr>
        <w:t>g</w:t>
      </w:r>
      <w:r>
        <w:rPr>
          <w:rFonts w:ascii="Times New Roman" w:hAnsi="Times New Roman" w:eastAsia="Times New Roman" w:cs="Times New Roman"/>
          <w:spacing w:val="3"/>
          <w:sz w:val="23"/>
          <w:szCs w:val="23"/>
        </w:rPr>
        <w:t>/</w:t>
      </w:r>
      <w:r>
        <w:rPr>
          <w:rFonts w:ascii="Times New Roman" w:hAnsi="Times New Roman" w:eastAsia="Times New Roman" w:cs="Times New Roman"/>
          <w:sz w:val="23"/>
          <w:szCs w:val="23"/>
        </w:rPr>
        <w:t>m</w:t>
      </w:r>
      <w:r>
        <w:rPr>
          <w:rFonts w:ascii="Times New Roman" w:hAnsi="Times New Roman" w:eastAsia="Times New Roman" w:cs="Times New Roman"/>
          <w:spacing w:val="3"/>
          <w:position w:val="8"/>
          <w:sz w:val="15"/>
          <w:szCs w:val="15"/>
        </w:rPr>
        <w:t xml:space="preserve">2 </w:t>
      </w:r>
      <w:r>
        <w:rPr>
          <w:rFonts w:ascii="宋体" w:hAnsi="宋体" w:eastAsia="宋体" w:cs="宋体"/>
          <w:spacing w:val="3"/>
          <w:sz w:val="23"/>
          <w:szCs w:val="23"/>
        </w:rPr>
        <w:t xml:space="preserve">土工织物膨润土垫) ，上部外加耐腐蚀混凝土 </w:t>
      </w:r>
      <w:r>
        <w:rPr>
          <w:rFonts w:ascii="Times New Roman" w:hAnsi="Times New Roman" w:eastAsia="Times New Roman" w:cs="Times New Roman"/>
          <w:spacing w:val="3"/>
          <w:sz w:val="23"/>
          <w:szCs w:val="23"/>
        </w:rPr>
        <w:t>15</w:t>
      </w:r>
      <w:r>
        <w:rPr>
          <w:rFonts w:ascii="Times New Roman" w:hAnsi="Times New Roman" w:eastAsia="Times New Roman" w:cs="Times New Roman"/>
          <w:sz w:val="23"/>
          <w:szCs w:val="23"/>
        </w:rPr>
        <w:t>cm</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(保</w:t>
      </w:r>
      <w:r>
        <w:rPr>
          <w:rFonts w:ascii="宋体" w:hAnsi="宋体" w:eastAsia="宋体" w:cs="宋体"/>
          <w:spacing w:val="1"/>
          <w:sz w:val="23"/>
          <w:szCs w:val="23"/>
        </w:rPr>
        <w:t>护</w:t>
      </w:r>
      <w:r>
        <w:rPr>
          <w:rFonts w:ascii="宋体" w:hAnsi="宋体" w:eastAsia="宋体" w:cs="宋体"/>
          <w:sz w:val="23"/>
          <w:szCs w:val="23"/>
        </w:rPr>
        <w:t xml:space="preserve">层) </w:t>
      </w:r>
      <w:r>
        <w:rPr>
          <w:rFonts w:ascii="宋体" w:hAnsi="宋体" w:eastAsia="宋体" w:cs="宋体"/>
          <w:spacing w:val="1"/>
          <w:sz w:val="23"/>
          <w:szCs w:val="23"/>
        </w:rPr>
        <w:t>等防渗</w:t>
      </w:r>
      <w:r>
        <w:rPr>
          <w:rFonts w:ascii="宋体" w:hAnsi="宋体" w:eastAsia="宋体" w:cs="宋体"/>
          <w:sz w:val="23"/>
          <w:szCs w:val="23"/>
        </w:rPr>
        <w:t xml:space="preserve">，侧壁均设防渗墙。采取上述防渗措施后，防渗层渗透系数小于 </w:t>
      </w:r>
      <w:r>
        <w:rPr>
          <w:rFonts w:ascii="Times New Roman" w:hAnsi="Times New Roman" w:eastAsia="Times New Roman" w:cs="Times New Roman"/>
          <w:sz w:val="23"/>
          <w:szCs w:val="23"/>
        </w:rPr>
        <w:t>10</w:t>
      </w:r>
      <w:r>
        <w:rPr>
          <w:rFonts w:ascii="Times New Roman" w:hAnsi="Times New Roman" w:eastAsia="Times New Roman" w:cs="Times New Roman"/>
          <w:position w:val="7"/>
          <w:sz w:val="15"/>
          <w:szCs w:val="15"/>
        </w:rPr>
        <w:t>- 10</w:t>
      </w:r>
      <w:r>
        <w:rPr>
          <w:rFonts w:ascii="Times New Roman" w:hAnsi="Times New Roman" w:eastAsia="Times New Roman" w:cs="Times New Roman"/>
          <w:sz w:val="23"/>
          <w:szCs w:val="23"/>
        </w:rPr>
        <w:t>cm/s</w:t>
      </w:r>
      <w:r>
        <w:rPr>
          <w:rFonts w:ascii="宋体" w:hAnsi="宋体" w:eastAsia="宋体" w:cs="宋体"/>
          <w:sz w:val="23"/>
          <w:szCs w:val="23"/>
        </w:rPr>
        <w:t>。</w:t>
      </w:r>
    </w:p>
    <w:p w14:paraId="7512CC18">
      <w:pPr>
        <w:spacing w:before="133" w:line="227" w:lineRule="auto"/>
        <w:ind w:left="603"/>
        <w:rPr>
          <w:rFonts w:ascii="宋体" w:hAnsi="宋体" w:eastAsia="宋体" w:cs="宋体"/>
          <w:sz w:val="23"/>
          <w:szCs w:val="23"/>
        </w:rPr>
      </w:pPr>
      <w:r>
        <w:rPr>
          <w:rFonts w:ascii="宋体" w:hAnsi="宋体" w:eastAsia="宋体" w:cs="宋体"/>
          <w:spacing w:val="15"/>
          <w:sz w:val="23"/>
          <w:szCs w:val="23"/>
        </w:rPr>
        <w:t>在</w:t>
      </w:r>
      <w:r>
        <w:rPr>
          <w:rFonts w:ascii="宋体" w:hAnsi="宋体" w:eastAsia="宋体" w:cs="宋体"/>
          <w:spacing w:val="9"/>
          <w:sz w:val="23"/>
          <w:szCs w:val="23"/>
        </w:rPr>
        <w:t>固体废物得到妥善处置情况下，对周围环境影响不大。</w:t>
      </w:r>
    </w:p>
    <w:p w14:paraId="48C5CA22">
      <w:pPr>
        <w:spacing w:before="289" w:line="226" w:lineRule="auto"/>
        <w:ind w:left="125"/>
        <w:outlineLvl w:val="2"/>
        <w:rPr>
          <w:rFonts w:ascii="宋体" w:hAnsi="宋体" w:eastAsia="宋体" w:cs="宋体"/>
          <w:sz w:val="29"/>
          <w:szCs w:val="29"/>
        </w:rPr>
      </w:pPr>
      <w:r>
        <w:rPr>
          <w:rFonts w:ascii="Times New Roman" w:hAnsi="Times New Roman" w:eastAsia="Times New Roman" w:cs="Times New Roman"/>
          <w:b/>
          <w:bCs/>
          <w:spacing w:val="7"/>
          <w:sz w:val="29"/>
          <w:szCs w:val="29"/>
        </w:rPr>
        <w:t>5.2.6</w:t>
      </w:r>
      <w:r>
        <w:rPr>
          <w:rFonts w:ascii="Times New Roman" w:hAnsi="Times New Roman" w:eastAsia="Times New Roman" w:cs="Times New Roman"/>
          <w:spacing w:val="7"/>
          <w:sz w:val="29"/>
          <w:szCs w:val="29"/>
        </w:rPr>
        <w:t xml:space="preserve"> </w:t>
      </w:r>
      <w:r>
        <w:rPr>
          <w:rFonts w:ascii="宋体" w:hAnsi="宋体" w:eastAsia="宋体" w:cs="宋体"/>
          <w:spacing w:val="7"/>
          <w:sz w:val="29"/>
          <w:szCs w:val="29"/>
          <w14:textOutline w14:w="5448" w14:cap="sq" w14:cmpd="sng">
            <w14:solidFill>
              <w14:srgbClr w14:val="000000"/>
            </w14:solidFill>
            <w14:prstDash w14:val="solid"/>
            <w14:bevel/>
          </w14:textOutline>
        </w:rPr>
        <w:t>土壤环境影响分析</w:t>
      </w:r>
    </w:p>
    <w:p w14:paraId="4CEC0D2B">
      <w:pPr>
        <w:spacing w:before="287" w:line="220" w:lineRule="auto"/>
        <w:ind w:left="124"/>
        <w:outlineLvl w:val="3"/>
        <w:rPr>
          <w:rFonts w:ascii="宋体" w:hAnsi="宋体" w:eastAsia="宋体" w:cs="宋体"/>
          <w:sz w:val="28"/>
          <w:szCs w:val="28"/>
        </w:rPr>
      </w:pPr>
      <w:r>
        <w:rPr>
          <w:rFonts w:ascii="Times New Roman" w:hAnsi="Times New Roman" w:eastAsia="Times New Roman" w:cs="Times New Roman"/>
          <w:b/>
          <w:bCs/>
          <w:spacing w:val="9"/>
          <w:sz w:val="28"/>
          <w:szCs w:val="28"/>
        </w:rPr>
        <w:t>5.2.6.1</w:t>
      </w:r>
      <w:r>
        <w:rPr>
          <w:rFonts w:ascii="Times New Roman" w:hAnsi="Times New Roman" w:eastAsia="Times New Roman" w:cs="Times New Roman"/>
          <w:spacing w:val="9"/>
          <w:sz w:val="28"/>
          <w:szCs w:val="28"/>
        </w:rPr>
        <w:t xml:space="preserve">  </w:t>
      </w:r>
      <w:r>
        <w:rPr>
          <w:rFonts w:ascii="宋体" w:hAnsi="宋体" w:eastAsia="宋体" w:cs="宋体"/>
          <w:spacing w:val="9"/>
          <w:sz w:val="28"/>
          <w:szCs w:val="28"/>
          <w14:textOutline w14:w="5103" w14:cap="sq" w14:cmpd="sng">
            <w14:solidFill>
              <w14:srgbClr w14:val="000000"/>
            </w14:solidFill>
            <w14:prstDash w14:val="solid"/>
            <w14:bevel/>
          </w14:textOutline>
        </w:rPr>
        <w:t>影响类型与影响途径识</w:t>
      </w:r>
      <w:r>
        <w:rPr>
          <w:rFonts w:ascii="宋体" w:hAnsi="宋体" w:eastAsia="宋体" w:cs="宋体"/>
          <w:spacing w:val="5"/>
          <w:sz w:val="28"/>
          <w:szCs w:val="28"/>
          <w14:textOutline w14:w="5103" w14:cap="sq" w14:cmpd="sng">
            <w14:solidFill>
              <w14:srgbClr w14:val="000000"/>
            </w14:solidFill>
            <w14:prstDash w14:val="solid"/>
            <w14:bevel/>
          </w14:textOutline>
        </w:rPr>
        <w:t>别</w:t>
      </w:r>
    </w:p>
    <w:p w14:paraId="37C3D6C5">
      <w:pPr>
        <w:spacing w:line="251" w:lineRule="auto"/>
        <w:rPr>
          <w:rFonts w:ascii="Arial"/>
          <w:sz w:val="21"/>
        </w:rPr>
      </w:pPr>
    </w:p>
    <w:p w14:paraId="6C3654D0">
      <w:pPr>
        <w:spacing w:before="75" w:line="227" w:lineRule="auto"/>
        <w:ind w:left="605"/>
        <w:rPr>
          <w:rFonts w:ascii="宋体" w:hAnsi="宋体" w:eastAsia="宋体" w:cs="宋体"/>
          <w:sz w:val="23"/>
          <w:szCs w:val="23"/>
        </w:rPr>
      </w:pPr>
      <w:r>
        <w:rPr>
          <w:rFonts w:ascii="宋体" w:hAnsi="宋体" w:eastAsia="宋体" w:cs="宋体"/>
          <w:spacing w:val="10"/>
          <w:sz w:val="23"/>
          <w:szCs w:val="23"/>
        </w:rPr>
        <w:t>本项</w:t>
      </w:r>
      <w:r>
        <w:rPr>
          <w:rFonts w:ascii="宋体" w:hAnsi="宋体" w:eastAsia="宋体" w:cs="宋体"/>
          <w:spacing w:val="7"/>
          <w:sz w:val="23"/>
          <w:szCs w:val="23"/>
        </w:rPr>
        <w:t>目</w:t>
      </w:r>
      <w:r>
        <w:rPr>
          <w:rFonts w:ascii="宋体" w:hAnsi="宋体" w:eastAsia="宋体" w:cs="宋体"/>
          <w:spacing w:val="5"/>
          <w:sz w:val="23"/>
          <w:szCs w:val="23"/>
        </w:rPr>
        <w:t xml:space="preserve">土壤环境影响类型与影响途径见表 </w:t>
      </w:r>
      <w:r>
        <w:rPr>
          <w:rFonts w:ascii="Times New Roman" w:hAnsi="Times New Roman" w:eastAsia="Times New Roman" w:cs="Times New Roman"/>
          <w:spacing w:val="5"/>
          <w:sz w:val="23"/>
          <w:szCs w:val="23"/>
        </w:rPr>
        <w:t>5-20</w:t>
      </w:r>
      <w:r>
        <w:rPr>
          <w:rFonts w:ascii="宋体" w:hAnsi="宋体" w:eastAsia="宋体" w:cs="宋体"/>
          <w:spacing w:val="5"/>
          <w:sz w:val="23"/>
          <w:szCs w:val="23"/>
        </w:rPr>
        <w:t>。</w:t>
      </w:r>
    </w:p>
    <w:p w14:paraId="68C8C6D4">
      <w:pPr>
        <w:spacing w:line="265" w:lineRule="auto"/>
        <w:rPr>
          <w:rFonts w:ascii="Arial"/>
          <w:sz w:val="21"/>
        </w:rPr>
      </w:pPr>
    </w:p>
    <w:p w14:paraId="4DDD441F">
      <w:pPr>
        <w:spacing w:before="75" w:line="227" w:lineRule="auto"/>
        <w:ind w:left="2106"/>
        <w:rPr>
          <w:rFonts w:ascii="宋体" w:hAnsi="宋体" w:eastAsia="宋体" w:cs="宋体"/>
          <w:sz w:val="23"/>
          <w:szCs w:val="23"/>
        </w:rPr>
      </w:pPr>
      <w:r>
        <w:rPr>
          <w:rFonts w:ascii="宋体" w:hAnsi="宋体" w:eastAsia="宋体" w:cs="宋体"/>
          <w:spacing w:val="8"/>
          <w:sz w:val="23"/>
          <w:szCs w:val="23"/>
          <w14:textOutline w14:w="4358" w14:cap="sq" w14:cmpd="sng">
            <w14:solidFill>
              <w14:srgbClr w14:val="000000"/>
            </w14:solidFill>
            <w14:prstDash w14:val="solid"/>
            <w14:bevel/>
          </w14:textOutline>
        </w:rPr>
        <w:t>表</w:t>
      </w:r>
      <w:r>
        <w:rPr>
          <w:rFonts w:ascii="宋体" w:hAnsi="宋体" w:eastAsia="宋体" w:cs="宋体"/>
          <w:spacing w:val="8"/>
          <w:sz w:val="23"/>
          <w:szCs w:val="23"/>
        </w:rPr>
        <w:t xml:space="preserve"> </w:t>
      </w:r>
      <w:r>
        <w:rPr>
          <w:rFonts w:ascii="Times New Roman" w:hAnsi="Times New Roman" w:eastAsia="Times New Roman" w:cs="Times New Roman"/>
          <w:b/>
          <w:bCs/>
          <w:spacing w:val="8"/>
          <w:sz w:val="23"/>
          <w:szCs w:val="23"/>
        </w:rPr>
        <w:t>5-2</w:t>
      </w:r>
      <w:r>
        <w:rPr>
          <w:rFonts w:ascii="Times New Roman" w:hAnsi="Times New Roman" w:eastAsia="Times New Roman" w:cs="Times New Roman"/>
          <w:b/>
          <w:bCs/>
          <w:spacing w:val="4"/>
          <w:sz w:val="23"/>
          <w:szCs w:val="23"/>
        </w:rPr>
        <w:t>0</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土壤环境影响类型与影响途径</w:t>
      </w:r>
    </w:p>
    <w:p w14:paraId="04D5F1AB">
      <w:pPr>
        <w:spacing w:line="17" w:lineRule="exact"/>
      </w:pPr>
    </w:p>
    <w:tbl>
      <w:tblPr>
        <w:tblStyle w:val="4"/>
        <w:tblW w:w="852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1"/>
        <w:gridCol w:w="1742"/>
        <w:gridCol w:w="1743"/>
        <w:gridCol w:w="1742"/>
        <w:gridCol w:w="1744"/>
      </w:tblGrid>
      <w:tr w14:paraId="491346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 w:hRule="atLeast"/>
        </w:trPr>
        <w:tc>
          <w:tcPr>
            <w:tcW w:w="1551" w:type="dxa"/>
            <w:vMerge w:val="restart"/>
            <w:tcBorders>
              <w:left w:val="nil"/>
              <w:bottom w:val="nil"/>
            </w:tcBorders>
            <w:vAlign w:val="top"/>
          </w:tcPr>
          <w:p w14:paraId="6D59B498">
            <w:pPr>
              <w:spacing w:before="196" w:line="229" w:lineRule="auto"/>
              <w:ind w:left="366"/>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不</w:t>
            </w:r>
            <w:r>
              <w:rPr>
                <w:rFonts w:ascii="宋体" w:hAnsi="宋体" w:eastAsia="宋体" w:cs="宋体"/>
                <w:spacing w:val="7"/>
                <w:sz w:val="20"/>
                <w:szCs w:val="20"/>
                <w14:textOutline w14:w="3795" w14:cap="sq" w14:cmpd="sng">
                  <w14:solidFill>
                    <w14:srgbClr w14:val="000000"/>
                  </w14:solidFill>
                  <w14:prstDash w14:val="solid"/>
                  <w14:bevel/>
                </w14:textOutline>
              </w:rPr>
              <w:t>同时段</w:t>
            </w:r>
          </w:p>
        </w:tc>
        <w:tc>
          <w:tcPr>
            <w:tcW w:w="6971" w:type="dxa"/>
            <w:gridSpan w:val="4"/>
            <w:tcBorders>
              <w:right w:val="nil"/>
            </w:tcBorders>
            <w:vAlign w:val="top"/>
          </w:tcPr>
          <w:p w14:paraId="06F8917D">
            <w:pPr>
              <w:spacing w:before="57" w:line="224" w:lineRule="auto"/>
              <w:ind w:left="2968"/>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污</w:t>
            </w:r>
            <w:r>
              <w:rPr>
                <w:rFonts w:ascii="宋体" w:hAnsi="宋体" w:eastAsia="宋体" w:cs="宋体"/>
                <w:spacing w:val="8"/>
                <w:sz w:val="20"/>
                <w:szCs w:val="20"/>
                <w14:textOutline w14:w="3795" w14:cap="sq" w14:cmpd="sng">
                  <w14:solidFill>
                    <w14:srgbClr w14:val="000000"/>
                  </w14:solidFill>
                  <w14:prstDash w14:val="solid"/>
                  <w14:bevel/>
                </w14:textOutline>
              </w:rPr>
              <w:t>染影响型</w:t>
            </w:r>
          </w:p>
        </w:tc>
      </w:tr>
      <w:tr w14:paraId="4E9DE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551" w:type="dxa"/>
            <w:vMerge w:val="continue"/>
            <w:tcBorders>
              <w:top w:val="nil"/>
              <w:left w:val="nil"/>
            </w:tcBorders>
            <w:vAlign w:val="top"/>
          </w:tcPr>
          <w:p w14:paraId="3E44B5D5">
            <w:pPr>
              <w:rPr>
                <w:rFonts w:ascii="Arial"/>
                <w:sz w:val="21"/>
              </w:rPr>
            </w:pPr>
          </w:p>
        </w:tc>
        <w:tc>
          <w:tcPr>
            <w:tcW w:w="1742" w:type="dxa"/>
            <w:vAlign w:val="top"/>
          </w:tcPr>
          <w:p w14:paraId="099D5EFB">
            <w:pPr>
              <w:spacing w:before="33" w:line="225" w:lineRule="auto"/>
              <w:ind w:left="458"/>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大气沉</w:t>
            </w:r>
            <w:r>
              <w:rPr>
                <w:rFonts w:ascii="宋体" w:hAnsi="宋体" w:eastAsia="宋体" w:cs="宋体"/>
                <w:spacing w:val="7"/>
                <w:sz w:val="20"/>
                <w:szCs w:val="20"/>
                <w14:textOutline w14:w="3795" w14:cap="sq" w14:cmpd="sng">
                  <w14:solidFill>
                    <w14:srgbClr w14:val="000000"/>
                  </w14:solidFill>
                  <w14:prstDash w14:val="solid"/>
                  <w14:bevel/>
                </w14:textOutline>
              </w:rPr>
              <w:t>降</w:t>
            </w:r>
          </w:p>
        </w:tc>
        <w:tc>
          <w:tcPr>
            <w:tcW w:w="1743" w:type="dxa"/>
            <w:vAlign w:val="top"/>
          </w:tcPr>
          <w:p w14:paraId="19FF11CF">
            <w:pPr>
              <w:spacing w:before="33" w:line="225" w:lineRule="auto"/>
              <w:ind w:left="456"/>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地</w:t>
            </w:r>
            <w:r>
              <w:rPr>
                <w:rFonts w:ascii="宋体" w:hAnsi="宋体" w:eastAsia="宋体" w:cs="宋体"/>
                <w:spacing w:val="8"/>
                <w:sz w:val="20"/>
                <w:szCs w:val="20"/>
                <w14:textOutline w14:w="3795" w14:cap="sq" w14:cmpd="sng">
                  <w14:solidFill>
                    <w14:srgbClr w14:val="000000"/>
                  </w14:solidFill>
                  <w14:prstDash w14:val="solid"/>
                  <w14:bevel/>
                </w14:textOutline>
              </w:rPr>
              <w:t>面漫流</w:t>
            </w:r>
          </w:p>
        </w:tc>
        <w:tc>
          <w:tcPr>
            <w:tcW w:w="1742" w:type="dxa"/>
            <w:vAlign w:val="top"/>
          </w:tcPr>
          <w:p w14:paraId="1DC52CB9">
            <w:pPr>
              <w:spacing w:before="33" w:line="225" w:lineRule="auto"/>
              <w:ind w:left="456"/>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垂</w:t>
            </w:r>
            <w:r>
              <w:rPr>
                <w:rFonts w:ascii="宋体" w:hAnsi="宋体" w:eastAsia="宋体" w:cs="宋体"/>
                <w:spacing w:val="8"/>
                <w:sz w:val="20"/>
                <w:szCs w:val="20"/>
                <w14:textOutline w14:w="3795" w14:cap="sq" w14:cmpd="sng">
                  <w14:solidFill>
                    <w14:srgbClr w14:val="000000"/>
                  </w14:solidFill>
                  <w14:prstDash w14:val="solid"/>
                  <w14:bevel/>
                </w14:textOutline>
              </w:rPr>
              <w:t>直入渗</w:t>
            </w:r>
          </w:p>
        </w:tc>
        <w:tc>
          <w:tcPr>
            <w:tcW w:w="1744" w:type="dxa"/>
            <w:tcBorders>
              <w:right w:val="nil"/>
            </w:tcBorders>
            <w:vAlign w:val="top"/>
          </w:tcPr>
          <w:p w14:paraId="0B4047CB">
            <w:pPr>
              <w:spacing w:before="33" w:line="225" w:lineRule="auto"/>
              <w:ind w:left="668"/>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其</w:t>
            </w:r>
            <w:r>
              <w:rPr>
                <w:rFonts w:ascii="宋体" w:hAnsi="宋体" w:eastAsia="宋体" w:cs="宋体"/>
                <w:spacing w:val="5"/>
                <w:sz w:val="20"/>
                <w:szCs w:val="20"/>
                <w14:textOutline w14:w="3795" w14:cap="sq" w14:cmpd="sng">
                  <w14:solidFill>
                    <w14:srgbClr w14:val="000000"/>
                  </w14:solidFill>
                  <w14:prstDash w14:val="solid"/>
                  <w14:bevel/>
                </w14:textOutline>
              </w:rPr>
              <w:t>他</w:t>
            </w:r>
          </w:p>
        </w:tc>
      </w:tr>
      <w:tr w14:paraId="2CA6E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551" w:type="dxa"/>
            <w:tcBorders>
              <w:left w:val="nil"/>
            </w:tcBorders>
            <w:vAlign w:val="top"/>
          </w:tcPr>
          <w:p w14:paraId="096D7B8D">
            <w:pPr>
              <w:spacing w:before="34" w:line="223" w:lineRule="auto"/>
              <w:ind w:left="471"/>
              <w:rPr>
                <w:rFonts w:ascii="宋体" w:hAnsi="宋体" w:eastAsia="宋体" w:cs="宋体"/>
                <w:sz w:val="20"/>
                <w:szCs w:val="20"/>
              </w:rPr>
            </w:pPr>
            <w:r>
              <w:rPr>
                <w:rFonts w:ascii="宋体" w:hAnsi="宋体" w:eastAsia="宋体" w:cs="宋体"/>
                <w:spacing w:val="6"/>
                <w:sz w:val="20"/>
                <w:szCs w:val="20"/>
              </w:rPr>
              <w:t>建设期</w:t>
            </w:r>
          </w:p>
        </w:tc>
        <w:tc>
          <w:tcPr>
            <w:tcW w:w="1742" w:type="dxa"/>
            <w:vAlign w:val="top"/>
          </w:tcPr>
          <w:p w14:paraId="107482C5">
            <w:pPr>
              <w:rPr>
                <w:rFonts w:ascii="Arial"/>
                <w:sz w:val="21"/>
              </w:rPr>
            </w:pPr>
          </w:p>
        </w:tc>
        <w:tc>
          <w:tcPr>
            <w:tcW w:w="1743" w:type="dxa"/>
            <w:vAlign w:val="top"/>
          </w:tcPr>
          <w:p w14:paraId="119E809F">
            <w:pPr>
              <w:spacing w:line="275" w:lineRule="exact"/>
              <w:ind w:left="819"/>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742" w:type="dxa"/>
            <w:vAlign w:val="top"/>
          </w:tcPr>
          <w:p w14:paraId="671A151F">
            <w:pPr>
              <w:rPr>
                <w:rFonts w:ascii="Arial"/>
                <w:sz w:val="21"/>
              </w:rPr>
            </w:pPr>
          </w:p>
        </w:tc>
        <w:tc>
          <w:tcPr>
            <w:tcW w:w="1744" w:type="dxa"/>
            <w:tcBorders>
              <w:right w:val="nil"/>
            </w:tcBorders>
            <w:vAlign w:val="top"/>
          </w:tcPr>
          <w:p w14:paraId="05BCFC3B">
            <w:pPr>
              <w:rPr>
                <w:rFonts w:ascii="Arial"/>
                <w:sz w:val="21"/>
              </w:rPr>
            </w:pPr>
          </w:p>
        </w:tc>
      </w:tr>
      <w:tr w14:paraId="2FBEF8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551" w:type="dxa"/>
            <w:tcBorders>
              <w:left w:val="nil"/>
            </w:tcBorders>
            <w:vAlign w:val="top"/>
          </w:tcPr>
          <w:p w14:paraId="47EADF6C">
            <w:pPr>
              <w:spacing w:before="36" w:line="221" w:lineRule="auto"/>
              <w:ind w:left="468"/>
              <w:rPr>
                <w:rFonts w:ascii="宋体" w:hAnsi="宋体" w:eastAsia="宋体" w:cs="宋体"/>
                <w:sz w:val="20"/>
                <w:szCs w:val="20"/>
              </w:rPr>
            </w:pPr>
            <w:r>
              <w:rPr>
                <w:rFonts w:ascii="宋体" w:hAnsi="宋体" w:eastAsia="宋体" w:cs="宋体"/>
                <w:spacing w:val="7"/>
                <w:sz w:val="20"/>
                <w:szCs w:val="20"/>
              </w:rPr>
              <w:t>运营</w:t>
            </w:r>
            <w:r>
              <w:rPr>
                <w:rFonts w:ascii="宋体" w:hAnsi="宋体" w:eastAsia="宋体" w:cs="宋体"/>
                <w:spacing w:val="6"/>
                <w:sz w:val="20"/>
                <w:szCs w:val="20"/>
              </w:rPr>
              <w:t>期</w:t>
            </w:r>
          </w:p>
        </w:tc>
        <w:tc>
          <w:tcPr>
            <w:tcW w:w="1742" w:type="dxa"/>
            <w:vAlign w:val="top"/>
          </w:tcPr>
          <w:p w14:paraId="0E863937">
            <w:pPr>
              <w:rPr>
                <w:rFonts w:ascii="Arial"/>
                <w:sz w:val="21"/>
              </w:rPr>
            </w:pPr>
          </w:p>
        </w:tc>
        <w:tc>
          <w:tcPr>
            <w:tcW w:w="1743" w:type="dxa"/>
            <w:vAlign w:val="top"/>
          </w:tcPr>
          <w:p w14:paraId="66E021A8">
            <w:pPr>
              <w:spacing w:line="275" w:lineRule="exact"/>
              <w:ind w:left="819"/>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742" w:type="dxa"/>
            <w:vAlign w:val="top"/>
          </w:tcPr>
          <w:p w14:paraId="321A3B8D">
            <w:pPr>
              <w:spacing w:line="275" w:lineRule="exact"/>
              <w:ind w:left="818"/>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744" w:type="dxa"/>
            <w:tcBorders>
              <w:right w:val="nil"/>
            </w:tcBorders>
            <w:vAlign w:val="top"/>
          </w:tcPr>
          <w:p w14:paraId="3883CFA3">
            <w:pPr>
              <w:rPr>
                <w:rFonts w:ascii="Arial"/>
                <w:sz w:val="21"/>
              </w:rPr>
            </w:pPr>
          </w:p>
        </w:tc>
      </w:tr>
      <w:tr w14:paraId="4F3B55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1" w:hRule="atLeast"/>
        </w:trPr>
        <w:tc>
          <w:tcPr>
            <w:tcW w:w="1551" w:type="dxa"/>
            <w:tcBorders>
              <w:left w:val="nil"/>
            </w:tcBorders>
            <w:vAlign w:val="top"/>
          </w:tcPr>
          <w:p w14:paraId="6A817E04">
            <w:pPr>
              <w:spacing w:before="35" w:line="228" w:lineRule="auto"/>
              <w:ind w:left="257"/>
              <w:rPr>
                <w:rFonts w:ascii="宋体" w:hAnsi="宋体" w:eastAsia="宋体" w:cs="宋体"/>
                <w:sz w:val="20"/>
                <w:szCs w:val="20"/>
              </w:rPr>
            </w:pPr>
            <w:r>
              <w:rPr>
                <w:rFonts w:ascii="宋体" w:hAnsi="宋体" w:eastAsia="宋体" w:cs="宋体"/>
                <w:spacing w:val="8"/>
                <w:sz w:val="20"/>
                <w:szCs w:val="20"/>
              </w:rPr>
              <w:t>服务期满后</w:t>
            </w:r>
          </w:p>
        </w:tc>
        <w:tc>
          <w:tcPr>
            <w:tcW w:w="1742" w:type="dxa"/>
            <w:vAlign w:val="top"/>
          </w:tcPr>
          <w:p w14:paraId="4841D85F">
            <w:pPr>
              <w:rPr>
                <w:rFonts w:ascii="Arial"/>
                <w:sz w:val="21"/>
              </w:rPr>
            </w:pPr>
          </w:p>
        </w:tc>
        <w:tc>
          <w:tcPr>
            <w:tcW w:w="1743" w:type="dxa"/>
            <w:vAlign w:val="top"/>
          </w:tcPr>
          <w:p w14:paraId="6983ACAD">
            <w:pPr>
              <w:rPr>
                <w:rFonts w:ascii="Arial"/>
                <w:sz w:val="21"/>
              </w:rPr>
            </w:pPr>
          </w:p>
        </w:tc>
        <w:tc>
          <w:tcPr>
            <w:tcW w:w="1742" w:type="dxa"/>
            <w:vAlign w:val="top"/>
          </w:tcPr>
          <w:p w14:paraId="5609FEB6">
            <w:pPr>
              <w:rPr>
                <w:rFonts w:ascii="Arial"/>
                <w:sz w:val="21"/>
              </w:rPr>
            </w:pPr>
          </w:p>
        </w:tc>
        <w:tc>
          <w:tcPr>
            <w:tcW w:w="1744" w:type="dxa"/>
            <w:tcBorders>
              <w:right w:val="nil"/>
            </w:tcBorders>
            <w:vAlign w:val="top"/>
          </w:tcPr>
          <w:p w14:paraId="336DCCA0">
            <w:pPr>
              <w:rPr>
                <w:rFonts w:ascii="Arial"/>
                <w:sz w:val="21"/>
              </w:rPr>
            </w:pPr>
          </w:p>
        </w:tc>
      </w:tr>
    </w:tbl>
    <w:p w14:paraId="1BFFB929">
      <w:pPr>
        <w:spacing w:line="250" w:lineRule="auto"/>
        <w:rPr>
          <w:rFonts w:ascii="Arial"/>
          <w:sz w:val="21"/>
        </w:rPr>
      </w:pPr>
    </w:p>
    <w:p w14:paraId="6C3C1FF8">
      <w:pPr>
        <w:spacing w:before="75" w:line="227" w:lineRule="auto"/>
        <w:ind w:left="605"/>
        <w:rPr>
          <w:rFonts w:ascii="宋体" w:hAnsi="宋体" w:eastAsia="宋体" w:cs="宋体"/>
          <w:sz w:val="23"/>
          <w:szCs w:val="23"/>
        </w:rPr>
      </w:pPr>
      <w:r>
        <w:rPr>
          <w:rFonts w:ascii="宋体" w:hAnsi="宋体" w:eastAsia="宋体" w:cs="宋体"/>
          <w:spacing w:val="10"/>
          <w:sz w:val="23"/>
          <w:szCs w:val="23"/>
        </w:rPr>
        <w:t>本项目</w:t>
      </w:r>
      <w:r>
        <w:rPr>
          <w:rFonts w:ascii="宋体" w:hAnsi="宋体" w:eastAsia="宋体" w:cs="宋体"/>
          <w:spacing w:val="7"/>
          <w:sz w:val="23"/>
          <w:szCs w:val="23"/>
        </w:rPr>
        <w:t>土</w:t>
      </w:r>
      <w:r>
        <w:rPr>
          <w:rFonts w:ascii="宋体" w:hAnsi="宋体" w:eastAsia="宋体" w:cs="宋体"/>
          <w:spacing w:val="5"/>
          <w:sz w:val="23"/>
          <w:szCs w:val="23"/>
        </w:rPr>
        <w:t xml:space="preserve">壤环境影响源及影响因子识别见表 </w:t>
      </w:r>
      <w:r>
        <w:rPr>
          <w:rFonts w:ascii="Times New Roman" w:hAnsi="Times New Roman" w:eastAsia="Times New Roman" w:cs="Times New Roman"/>
          <w:spacing w:val="5"/>
          <w:sz w:val="23"/>
          <w:szCs w:val="23"/>
        </w:rPr>
        <w:t>5-21</w:t>
      </w:r>
      <w:r>
        <w:rPr>
          <w:rFonts w:ascii="宋体" w:hAnsi="宋体" w:eastAsia="宋体" w:cs="宋体"/>
          <w:spacing w:val="5"/>
          <w:sz w:val="23"/>
          <w:szCs w:val="23"/>
        </w:rPr>
        <w:t>。</w:t>
      </w:r>
    </w:p>
    <w:p w14:paraId="6BBC2265">
      <w:pPr>
        <w:spacing w:line="267" w:lineRule="auto"/>
        <w:rPr>
          <w:rFonts w:ascii="Arial"/>
          <w:sz w:val="21"/>
        </w:rPr>
      </w:pPr>
    </w:p>
    <w:p w14:paraId="5BE2EEB9">
      <w:pPr>
        <w:spacing w:before="76" w:line="228" w:lineRule="auto"/>
        <w:ind w:left="1986"/>
        <w:rPr>
          <w:rFonts w:ascii="宋体" w:hAnsi="宋体" w:eastAsia="宋体" w:cs="宋体"/>
          <w:sz w:val="23"/>
          <w:szCs w:val="23"/>
        </w:rPr>
      </w:pPr>
      <w:r>
        <w:rPr>
          <w:rFonts w:ascii="宋体" w:hAnsi="宋体" w:eastAsia="宋体" w:cs="宋体"/>
          <w:spacing w:val="5"/>
          <w:sz w:val="23"/>
          <w:szCs w:val="23"/>
          <w14:textOutline w14:w="4358" w14:cap="sq" w14:cmpd="sng">
            <w14:solidFill>
              <w14:srgbClr w14:val="000000"/>
            </w14:solidFill>
            <w14:prstDash w14:val="solid"/>
            <w14:bevel/>
          </w14:textOutline>
        </w:rPr>
        <w:t>表</w:t>
      </w:r>
      <w:r>
        <w:rPr>
          <w:rFonts w:ascii="宋体" w:hAnsi="宋体" w:eastAsia="宋体" w:cs="宋体"/>
          <w:spacing w:val="5"/>
          <w:sz w:val="23"/>
          <w:szCs w:val="23"/>
        </w:rPr>
        <w:t xml:space="preserve"> </w:t>
      </w:r>
      <w:r>
        <w:rPr>
          <w:rFonts w:ascii="Times New Roman" w:hAnsi="Times New Roman" w:eastAsia="Times New Roman" w:cs="Times New Roman"/>
          <w:b/>
          <w:bCs/>
          <w:spacing w:val="5"/>
          <w:sz w:val="23"/>
          <w:szCs w:val="23"/>
        </w:rPr>
        <w:t>5-21</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14:textOutline w14:w="4358" w14:cap="sq" w14:cmpd="sng">
            <w14:solidFill>
              <w14:srgbClr w14:val="000000"/>
            </w14:solidFill>
            <w14:prstDash w14:val="solid"/>
            <w14:bevel/>
          </w14:textOutline>
        </w:rPr>
        <w:t>土壤环境影响源及影响因子识</w:t>
      </w:r>
      <w:r>
        <w:rPr>
          <w:rFonts w:ascii="宋体" w:hAnsi="宋体" w:eastAsia="宋体" w:cs="宋体"/>
          <w:spacing w:val="3"/>
          <w:sz w:val="23"/>
          <w:szCs w:val="23"/>
          <w14:textOutline w14:w="4358" w14:cap="sq" w14:cmpd="sng">
            <w14:solidFill>
              <w14:srgbClr w14:val="000000"/>
            </w14:solidFill>
            <w14:prstDash w14:val="solid"/>
            <w14:bevel/>
          </w14:textOutline>
        </w:rPr>
        <w:t>别</w:t>
      </w:r>
    </w:p>
    <w:p w14:paraId="61611FCA">
      <w:pPr>
        <w:spacing w:line="15" w:lineRule="exact"/>
      </w:pPr>
    </w:p>
    <w:tbl>
      <w:tblPr>
        <w:tblStyle w:val="4"/>
        <w:tblW w:w="8408" w:type="dxa"/>
        <w:tblInd w:w="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5"/>
        <w:gridCol w:w="1442"/>
        <w:gridCol w:w="1738"/>
        <w:gridCol w:w="2368"/>
        <w:gridCol w:w="1051"/>
        <w:gridCol w:w="894"/>
      </w:tblGrid>
      <w:tr w14:paraId="6D0D60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915" w:type="dxa"/>
            <w:tcBorders>
              <w:left w:val="nil"/>
            </w:tcBorders>
            <w:vAlign w:val="top"/>
          </w:tcPr>
          <w:p w14:paraId="0AA85B33">
            <w:pPr>
              <w:spacing w:before="84" w:line="228" w:lineRule="auto"/>
              <w:ind w:left="152"/>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污染源</w:t>
            </w:r>
          </w:p>
        </w:tc>
        <w:tc>
          <w:tcPr>
            <w:tcW w:w="1442" w:type="dxa"/>
            <w:vAlign w:val="top"/>
          </w:tcPr>
          <w:p w14:paraId="5EF04D01">
            <w:pPr>
              <w:spacing w:before="43" w:line="288" w:lineRule="exact"/>
              <w:ind w:left="68"/>
              <w:rPr>
                <w:rFonts w:ascii="宋体" w:hAnsi="宋体" w:eastAsia="宋体" w:cs="宋体"/>
                <w:sz w:val="20"/>
                <w:szCs w:val="20"/>
              </w:rPr>
            </w:pPr>
            <w:r>
              <w:rPr>
                <w:rFonts w:ascii="宋体" w:hAnsi="宋体" w:eastAsia="宋体" w:cs="宋体"/>
                <w:spacing w:val="8"/>
                <w:position w:val="1"/>
                <w:sz w:val="20"/>
                <w:szCs w:val="20"/>
                <w14:textOutline w14:w="3795" w14:cap="sq" w14:cmpd="sng">
                  <w14:solidFill>
                    <w14:srgbClr w14:val="000000"/>
                  </w14:solidFill>
                  <w14:prstDash w14:val="solid"/>
                  <w14:bevel/>
                </w14:textOutline>
              </w:rPr>
              <w:t>工艺流程</w:t>
            </w:r>
            <w:r>
              <w:rPr>
                <w:rFonts w:ascii="Times New Roman" w:hAnsi="Times New Roman" w:eastAsia="Times New Roman" w:cs="Times New Roman"/>
                <w:b/>
                <w:bCs/>
                <w:spacing w:val="8"/>
                <w:position w:val="1"/>
                <w:sz w:val="20"/>
                <w:szCs w:val="20"/>
              </w:rPr>
              <w:t>/</w:t>
            </w:r>
            <w:r>
              <w:rPr>
                <w:rFonts w:ascii="宋体" w:hAnsi="宋体" w:eastAsia="宋体" w:cs="宋体"/>
                <w:spacing w:val="8"/>
                <w:position w:val="1"/>
                <w:sz w:val="20"/>
                <w:szCs w:val="20"/>
                <w14:textOutline w14:w="3795" w14:cap="sq" w14:cmpd="sng">
                  <w14:solidFill>
                    <w14:srgbClr w14:val="000000"/>
                  </w14:solidFill>
                  <w14:prstDash w14:val="solid"/>
                  <w14:bevel/>
                </w14:textOutline>
              </w:rPr>
              <w:t>节点</w:t>
            </w:r>
          </w:p>
        </w:tc>
        <w:tc>
          <w:tcPr>
            <w:tcW w:w="1738" w:type="dxa"/>
            <w:vAlign w:val="top"/>
          </w:tcPr>
          <w:p w14:paraId="7106DE2E">
            <w:pPr>
              <w:spacing w:before="83" w:line="228" w:lineRule="auto"/>
              <w:ind w:left="457"/>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污染途径</w:t>
            </w:r>
          </w:p>
        </w:tc>
        <w:tc>
          <w:tcPr>
            <w:tcW w:w="2368" w:type="dxa"/>
            <w:vAlign w:val="top"/>
          </w:tcPr>
          <w:p w14:paraId="347FB7C5">
            <w:pPr>
              <w:spacing w:before="83" w:line="228" w:lineRule="auto"/>
              <w:ind w:left="558"/>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全部污染指标</w:t>
            </w:r>
          </w:p>
        </w:tc>
        <w:tc>
          <w:tcPr>
            <w:tcW w:w="1051" w:type="dxa"/>
            <w:vAlign w:val="top"/>
          </w:tcPr>
          <w:p w14:paraId="4209688E">
            <w:pPr>
              <w:spacing w:before="83" w:line="228" w:lineRule="auto"/>
              <w:ind w:left="110"/>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特</w:t>
            </w:r>
            <w:r>
              <w:rPr>
                <w:rFonts w:ascii="宋体" w:hAnsi="宋体" w:eastAsia="宋体" w:cs="宋体"/>
                <w:spacing w:val="8"/>
                <w:sz w:val="20"/>
                <w:szCs w:val="20"/>
                <w14:textOutline w14:w="3795" w14:cap="sq" w14:cmpd="sng">
                  <w14:solidFill>
                    <w14:srgbClr w14:val="000000"/>
                  </w14:solidFill>
                  <w14:prstDash w14:val="solid"/>
                  <w14:bevel/>
                </w14:textOutline>
              </w:rPr>
              <w:t>征因子</w:t>
            </w:r>
          </w:p>
        </w:tc>
        <w:tc>
          <w:tcPr>
            <w:tcW w:w="894" w:type="dxa"/>
            <w:tcBorders>
              <w:right w:val="nil"/>
            </w:tcBorders>
            <w:vAlign w:val="top"/>
          </w:tcPr>
          <w:p w14:paraId="1BC9C431">
            <w:pPr>
              <w:spacing w:before="84" w:line="229" w:lineRule="auto"/>
              <w:ind w:left="245"/>
              <w:rPr>
                <w:rFonts w:ascii="宋体" w:hAnsi="宋体" w:eastAsia="宋体" w:cs="宋体"/>
                <w:sz w:val="20"/>
                <w:szCs w:val="20"/>
              </w:rPr>
            </w:pPr>
            <w:r>
              <w:rPr>
                <w:rFonts w:ascii="宋体" w:hAnsi="宋体" w:eastAsia="宋体" w:cs="宋体"/>
                <w:spacing w:val="5"/>
                <w:sz w:val="20"/>
                <w:szCs w:val="20"/>
                <w14:textOutline w14:w="3795" w14:cap="sq" w14:cmpd="sng">
                  <w14:solidFill>
                    <w14:srgbClr w14:val="000000"/>
                  </w14:solidFill>
                  <w14:prstDash w14:val="solid"/>
                  <w14:bevel/>
                </w14:textOutline>
              </w:rPr>
              <w:t>备</w:t>
            </w:r>
            <w:r>
              <w:rPr>
                <w:rFonts w:ascii="宋体" w:hAnsi="宋体" w:eastAsia="宋体" w:cs="宋体"/>
                <w:spacing w:val="4"/>
                <w:sz w:val="20"/>
                <w:szCs w:val="20"/>
                <w14:textOutline w14:w="3795" w14:cap="sq" w14:cmpd="sng">
                  <w14:solidFill>
                    <w14:srgbClr w14:val="000000"/>
                  </w14:solidFill>
                  <w14:prstDash w14:val="solid"/>
                  <w14:bevel/>
                </w14:textOutline>
              </w:rPr>
              <w:t>注</w:t>
            </w:r>
          </w:p>
        </w:tc>
      </w:tr>
      <w:tr w14:paraId="279E3F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915" w:type="dxa"/>
            <w:tcBorders>
              <w:left w:val="nil"/>
            </w:tcBorders>
            <w:vAlign w:val="top"/>
          </w:tcPr>
          <w:p w14:paraId="6DBBC0AB">
            <w:pPr>
              <w:spacing w:before="38" w:line="228" w:lineRule="auto"/>
              <w:ind w:left="47"/>
              <w:rPr>
                <w:rFonts w:ascii="宋体" w:hAnsi="宋体" w:eastAsia="宋体" w:cs="宋体"/>
                <w:sz w:val="20"/>
                <w:szCs w:val="20"/>
              </w:rPr>
            </w:pPr>
            <w:r>
              <w:rPr>
                <w:rFonts w:ascii="宋体" w:hAnsi="宋体" w:eastAsia="宋体" w:cs="宋体"/>
                <w:spacing w:val="7"/>
                <w:sz w:val="20"/>
                <w:szCs w:val="20"/>
              </w:rPr>
              <w:t>生产车</w:t>
            </w:r>
            <w:r>
              <w:rPr>
                <w:rFonts w:ascii="宋体" w:hAnsi="宋体" w:eastAsia="宋体" w:cs="宋体"/>
                <w:spacing w:val="6"/>
                <w:sz w:val="20"/>
                <w:szCs w:val="20"/>
              </w:rPr>
              <w:t>间</w:t>
            </w:r>
          </w:p>
        </w:tc>
        <w:tc>
          <w:tcPr>
            <w:tcW w:w="1442" w:type="dxa"/>
            <w:vAlign w:val="top"/>
          </w:tcPr>
          <w:p w14:paraId="413F69C1">
            <w:pPr>
              <w:spacing w:before="38" w:line="228" w:lineRule="auto"/>
              <w:ind w:left="519"/>
              <w:rPr>
                <w:rFonts w:ascii="宋体" w:hAnsi="宋体" w:eastAsia="宋体" w:cs="宋体"/>
                <w:sz w:val="20"/>
                <w:szCs w:val="20"/>
              </w:rPr>
            </w:pPr>
            <w:r>
              <w:rPr>
                <w:rFonts w:ascii="宋体" w:hAnsi="宋体" w:eastAsia="宋体" w:cs="宋体"/>
                <w:spacing w:val="4"/>
                <w:sz w:val="20"/>
                <w:szCs w:val="20"/>
              </w:rPr>
              <w:t>生</w:t>
            </w:r>
            <w:r>
              <w:rPr>
                <w:rFonts w:ascii="宋体" w:hAnsi="宋体" w:eastAsia="宋体" w:cs="宋体"/>
                <w:spacing w:val="3"/>
                <w:sz w:val="20"/>
                <w:szCs w:val="20"/>
              </w:rPr>
              <w:t>产</w:t>
            </w:r>
          </w:p>
        </w:tc>
        <w:tc>
          <w:tcPr>
            <w:tcW w:w="1738" w:type="dxa"/>
            <w:vAlign w:val="top"/>
          </w:tcPr>
          <w:p w14:paraId="4B4724D1">
            <w:pPr>
              <w:spacing w:before="39" w:line="228" w:lineRule="auto"/>
              <w:ind w:left="35"/>
              <w:rPr>
                <w:rFonts w:ascii="宋体" w:hAnsi="宋体" w:eastAsia="宋体" w:cs="宋体"/>
                <w:sz w:val="20"/>
                <w:szCs w:val="20"/>
              </w:rPr>
            </w:pPr>
            <w:r>
              <w:rPr>
                <w:rFonts w:ascii="宋体" w:hAnsi="宋体" w:eastAsia="宋体" w:cs="宋体"/>
                <w:spacing w:val="13"/>
                <w:sz w:val="20"/>
                <w:szCs w:val="20"/>
              </w:rPr>
              <w:t>地</w:t>
            </w:r>
            <w:r>
              <w:rPr>
                <w:rFonts w:ascii="宋体" w:hAnsi="宋体" w:eastAsia="宋体" w:cs="宋体"/>
                <w:spacing w:val="8"/>
                <w:sz w:val="20"/>
                <w:szCs w:val="20"/>
              </w:rPr>
              <w:t>面漫流垂直入渗</w:t>
            </w:r>
          </w:p>
        </w:tc>
        <w:tc>
          <w:tcPr>
            <w:tcW w:w="2368" w:type="dxa"/>
            <w:vAlign w:val="top"/>
          </w:tcPr>
          <w:p w14:paraId="465E9209">
            <w:pPr>
              <w:spacing w:before="75" w:line="192" w:lineRule="auto"/>
              <w:ind w:left="3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COD</w:t>
            </w:r>
            <w:r>
              <w:rPr>
                <w:rFonts w:ascii="宋体" w:hAnsi="宋体" w:eastAsia="宋体" w:cs="宋体"/>
                <w:spacing w:val="-1"/>
                <w:sz w:val="20"/>
                <w:szCs w:val="20"/>
              </w:rPr>
              <w:t>、</w:t>
            </w:r>
            <w:r>
              <w:rPr>
                <w:rFonts w:ascii="Times New Roman" w:hAnsi="Times New Roman" w:eastAsia="Times New Roman" w:cs="Times New Roman"/>
                <w:spacing w:val="-1"/>
                <w:sz w:val="20"/>
                <w:szCs w:val="20"/>
              </w:rPr>
              <w:t>BOD</w:t>
            </w:r>
            <w:r>
              <w:rPr>
                <w:rFonts w:ascii="Times New Roman" w:hAnsi="Times New Roman" w:eastAsia="Times New Roman" w:cs="Times New Roman"/>
                <w:spacing w:val="-1"/>
                <w:position w:val="-1"/>
                <w:sz w:val="13"/>
                <w:szCs w:val="13"/>
              </w:rPr>
              <w:t xml:space="preserve">5 </w:t>
            </w:r>
            <w:r>
              <w:rPr>
                <w:rFonts w:ascii="宋体" w:hAnsi="宋体" w:eastAsia="宋体" w:cs="宋体"/>
                <w:spacing w:val="-1"/>
                <w:sz w:val="20"/>
                <w:szCs w:val="20"/>
              </w:rPr>
              <w:t>、</w:t>
            </w:r>
            <w:r>
              <w:rPr>
                <w:rFonts w:ascii="Times New Roman" w:hAnsi="Times New Roman" w:eastAsia="Times New Roman" w:cs="Times New Roman"/>
                <w:spacing w:val="-1"/>
                <w:sz w:val="20"/>
                <w:szCs w:val="20"/>
              </w:rPr>
              <w:t>SS</w:t>
            </w:r>
            <w:r>
              <w:rPr>
                <w:rFonts w:ascii="宋体" w:hAnsi="宋体" w:eastAsia="宋体" w:cs="宋体"/>
                <w:spacing w:val="-1"/>
                <w:sz w:val="20"/>
                <w:szCs w:val="20"/>
              </w:rPr>
              <w:t>、</w:t>
            </w:r>
            <w:r>
              <w:rPr>
                <w:rFonts w:ascii="Times New Roman" w:hAnsi="Times New Roman" w:eastAsia="Times New Roman" w:cs="Times New Roman"/>
                <w:spacing w:val="-1"/>
                <w:sz w:val="20"/>
                <w:szCs w:val="20"/>
              </w:rPr>
              <w:t>NH</w:t>
            </w:r>
            <w:r>
              <w:rPr>
                <w:rFonts w:ascii="Times New Roman" w:hAnsi="Times New Roman" w:eastAsia="Times New Roman" w:cs="Times New Roman"/>
                <w:spacing w:val="-1"/>
                <w:position w:val="-1"/>
                <w:sz w:val="13"/>
                <w:szCs w:val="13"/>
              </w:rPr>
              <w:t>3</w:t>
            </w:r>
            <w:r>
              <w:rPr>
                <w:rFonts w:ascii="Times New Roman" w:hAnsi="Times New Roman" w:eastAsia="Times New Roman" w:cs="Times New Roman"/>
                <w:spacing w:val="-1"/>
                <w:sz w:val="20"/>
                <w:szCs w:val="20"/>
              </w:rPr>
              <w:t>-</w:t>
            </w:r>
            <w:r>
              <w:rPr>
                <w:rFonts w:ascii="Times New Roman" w:hAnsi="Times New Roman" w:eastAsia="Times New Roman" w:cs="Times New Roman"/>
                <w:sz w:val="20"/>
                <w:szCs w:val="20"/>
              </w:rPr>
              <w:t>N</w:t>
            </w:r>
          </w:p>
        </w:tc>
        <w:tc>
          <w:tcPr>
            <w:tcW w:w="1051" w:type="dxa"/>
            <w:vAlign w:val="top"/>
          </w:tcPr>
          <w:p w14:paraId="44BB0DAE">
            <w:pPr>
              <w:spacing w:before="163" w:line="124" w:lineRule="exact"/>
              <w:ind w:left="461"/>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r>
              <w:rPr>
                <w:rFonts w:ascii="Times New Roman" w:hAnsi="Times New Roman" w:eastAsia="Times New Roman" w:cs="Times New Roman"/>
                <w:spacing w:val="-1"/>
                <w:position w:val="-1"/>
                <w:sz w:val="20"/>
                <w:szCs w:val="20"/>
              </w:rPr>
              <w:t>-</w:t>
            </w:r>
          </w:p>
        </w:tc>
        <w:tc>
          <w:tcPr>
            <w:tcW w:w="894" w:type="dxa"/>
            <w:tcBorders>
              <w:right w:val="nil"/>
            </w:tcBorders>
            <w:vAlign w:val="top"/>
          </w:tcPr>
          <w:p w14:paraId="0492AFCE">
            <w:pPr>
              <w:spacing w:before="38" w:line="228" w:lineRule="auto"/>
              <w:ind w:left="258"/>
              <w:rPr>
                <w:rFonts w:ascii="宋体" w:hAnsi="宋体" w:eastAsia="宋体" w:cs="宋体"/>
                <w:sz w:val="20"/>
                <w:szCs w:val="20"/>
              </w:rPr>
            </w:pPr>
            <w:r>
              <w:rPr>
                <w:rFonts w:ascii="宋体" w:hAnsi="宋体" w:eastAsia="宋体" w:cs="宋体"/>
                <w:spacing w:val="-4"/>
                <w:sz w:val="20"/>
                <w:szCs w:val="20"/>
              </w:rPr>
              <w:t>间</w:t>
            </w:r>
            <w:r>
              <w:rPr>
                <w:rFonts w:ascii="宋体" w:hAnsi="宋体" w:eastAsia="宋体" w:cs="宋体"/>
                <w:spacing w:val="-3"/>
                <w:sz w:val="20"/>
                <w:szCs w:val="20"/>
              </w:rPr>
              <w:t>断</w:t>
            </w:r>
          </w:p>
        </w:tc>
      </w:tr>
      <w:tr w14:paraId="55917A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915" w:type="dxa"/>
            <w:tcBorders>
              <w:left w:val="nil"/>
            </w:tcBorders>
            <w:vAlign w:val="top"/>
          </w:tcPr>
          <w:p w14:paraId="2FD989BA">
            <w:pPr>
              <w:spacing w:before="41" w:line="231" w:lineRule="auto"/>
              <w:ind w:left="156"/>
              <w:rPr>
                <w:rFonts w:ascii="宋体" w:hAnsi="宋体" w:eastAsia="宋体" w:cs="宋体"/>
                <w:sz w:val="20"/>
                <w:szCs w:val="20"/>
              </w:rPr>
            </w:pPr>
            <w:r>
              <w:rPr>
                <w:rFonts w:ascii="宋体" w:hAnsi="宋体" w:eastAsia="宋体" w:cs="宋体"/>
                <w:spacing w:val="5"/>
                <w:sz w:val="20"/>
                <w:szCs w:val="20"/>
              </w:rPr>
              <w:t>治污区</w:t>
            </w:r>
          </w:p>
        </w:tc>
        <w:tc>
          <w:tcPr>
            <w:tcW w:w="1442" w:type="dxa"/>
            <w:vAlign w:val="top"/>
          </w:tcPr>
          <w:p w14:paraId="373CAB1F">
            <w:pPr>
              <w:spacing w:before="42" w:line="228" w:lineRule="auto"/>
              <w:ind w:left="305"/>
              <w:rPr>
                <w:rFonts w:ascii="宋体" w:hAnsi="宋体" w:eastAsia="宋体" w:cs="宋体"/>
                <w:sz w:val="20"/>
                <w:szCs w:val="20"/>
              </w:rPr>
            </w:pPr>
            <w:r>
              <w:rPr>
                <w:rFonts w:ascii="宋体" w:hAnsi="宋体" w:eastAsia="宋体" w:cs="宋体"/>
                <w:spacing w:val="9"/>
                <w:sz w:val="20"/>
                <w:szCs w:val="20"/>
              </w:rPr>
              <w:t>废</w:t>
            </w:r>
            <w:r>
              <w:rPr>
                <w:rFonts w:ascii="宋体" w:hAnsi="宋体" w:eastAsia="宋体" w:cs="宋体"/>
                <w:spacing w:val="7"/>
                <w:sz w:val="20"/>
                <w:szCs w:val="20"/>
              </w:rPr>
              <w:t>水治理</w:t>
            </w:r>
          </w:p>
        </w:tc>
        <w:tc>
          <w:tcPr>
            <w:tcW w:w="1738" w:type="dxa"/>
            <w:vAlign w:val="top"/>
          </w:tcPr>
          <w:p w14:paraId="32640AB4">
            <w:pPr>
              <w:spacing w:before="42" w:line="228" w:lineRule="auto"/>
              <w:ind w:left="35"/>
              <w:rPr>
                <w:rFonts w:ascii="宋体" w:hAnsi="宋体" w:eastAsia="宋体" w:cs="宋体"/>
                <w:sz w:val="20"/>
                <w:szCs w:val="20"/>
              </w:rPr>
            </w:pPr>
            <w:r>
              <w:rPr>
                <w:rFonts w:ascii="宋体" w:hAnsi="宋体" w:eastAsia="宋体" w:cs="宋体"/>
                <w:spacing w:val="13"/>
                <w:sz w:val="20"/>
                <w:szCs w:val="20"/>
              </w:rPr>
              <w:t>地</w:t>
            </w:r>
            <w:r>
              <w:rPr>
                <w:rFonts w:ascii="宋体" w:hAnsi="宋体" w:eastAsia="宋体" w:cs="宋体"/>
                <w:spacing w:val="8"/>
                <w:sz w:val="20"/>
                <w:szCs w:val="20"/>
              </w:rPr>
              <w:t>面漫流垂直入渗</w:t>
            </w:r>
          </w:p>
        </w:tc>
        <w:tc>
          <w:tcPr>
            <w:tcW w:w="2368" w:type="dxa"/>
            <w:vAlign w:val="top"/>
          </w:tcPr>
          <w:p w14:paraId="18F26B02">
            <w:pPr>
              <w:spacing w:before="78" w:line="192" w:lineRule="auto"/>
              <w:ind w:left="3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COD</w:t>
            </w:r>
            <w:r>
              <w:rPr>
                <w:rFonts w:ascii="宋体" w:hAnsi="宋体" w:eastAsia="宋体" w:cs="宋体"/>
                <w:spacing w:val="-1"/>
                <w:sz w:val="20"/>
                <w:szCs w:val="20"/>
              </w:rPr>
              <w:t>、</w:t>
            </w:r>
            <w:r>
              <w:rPr>
                <w:rFonts w:ascii="Times New Roman" w:hAnsi="Times New Roman" w:eastAsia="Times New Roman" w:cs="Times New Roman"/>
                <w:spacing w:val="-1"/>
                <w:sz w:val="20"/>
                <w:szCs w:val="20"/>
              </w:rPr>
              <w:t>BOD</w:t>
            </w:r>
            <w:r>
              <w:rPr>
                <w:rFonts w:ascii="Times New Roman" w:hAnsi="Times New Roman" w:eastAsia="Times New Roman" w:cs="Times New Roman"/>
                <w:spacing w:val="-1"/>
                <w:position w:val="-1"/>
                <w:sz w:val="13"/>
                <w:szCs w:val="13"/>
              </w:rPr>
              <w:t xml:space="preserve">5 </w:t>
            </w:r>
            <w:r>
              <w:rPr>
                <w:rFonts w:ascii="宋体" w:hAnsi="宋体" w:eastAsia="宋体" w:cs="宋体"/>
                <w:spacing w:val="-1"/>
                <w:sz w:val="20"/>
                <w:szCs w:val="20"/>
              </w:rPr>
              <w:t>、</w:t>
            </w:r>
            <w:r>
              <w:rPr>
                <w:rFonts w:ascii="Times New Roman" w:hAnsi="Times New Roman" w:eastAsia="Times New Roman" w:cs="Times New Roman"/>
                <w:spacing w:val="-1"/>
                <w:sz w:val="20"/>
                <w:szCs w:val="20"/>
              </w:rPr>
              <w:t>SS</w:t>
            </w:r>
            <w:r>
              <w:rPr>
                <w:rFonts w:ascii="宋体" w:hAnsi="宋体" w:eastAsia="宋体" w:cs="宋体"/>
                <w:spacing w:val="-1"/>
                <w:sz w:val="20"/>
                <w:szCs w:val="20"/>
              </w:rPr>
              <w:t>、</w:t>
            </w:r>
            <w:r>
              <w:rPr>
                <w:rFonts w:ascii="Times New Roman" w:hAnsi="Times New Roman" w:eastAsia="Times New Roman" w:cs="Times New Roman"/>
                <w:spacing w:val="-1"/>
                <w:sz w:val="20"/>
                <w:szCs w:val="20"/>
              </w:rPr>
              <w:t>NH</w:t>
            </w:r>
            <w:r>
              <w:rPr>
                <w:rFonts w:ascii="Times New Roman" w:hAnsi="Times New Roman" w:eastAsia="Times New Roman" w:cs="Times New Roman"/>
                <w:spacing w:val="-1"/>
                <w:position w:val="-1"/>
                <w:sz w:val="13"/>
                <w:szCs w:val="13"/>
              </w:rPr>
              <w:t>3</w:t>
            </w:r>
            <w:r>
              <w:rPr>
                <w:rFonts w:ascii="Times New Roman" w:hAnsi="Times New Roman" w:eastAsia="Times New Roman" w:cs="Times New Roman"/>
                <w:spacing w:val="-1"/>
                <w:sz w:val="20"/>
                <w:szCs w:val="20"/>
              </w:rPr>
              <w:t>-</w:t>
            </w:r>
            <w:r>
              <w:rPr>
                <w:rFonts w:ascii="Times New Roman" w:hAnsi="Times New Roman" w:eastAsia="Times New Roman" w:cs="Times New Roman"/>
                <w:sz w:val="20"/>
                <w:szCs w:val="20"/>
              </w:rPr>
              <w:t>N</w:t>
            </w:r>
          </w:p>
        </w:tc>
        <w:tc>
          <w:tcPr>
            <w:tcW w:w="1051" w:type="dxa"/>
            <w:vAlign w:val="top"/>
          </w:tcPr>
          <w:p w14:paraId="3BD5711A">
            <w:pPr>
              <w:spacing w:before="166" w:line="136" w:lineRule="exact"/>
              <w:ind w:left="46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r>
              <w:rPr>
                <w:rFonts w:ascii="Times New Roman" w:hAnsi="Times New Roman" w:eastAsia="Times New Roman" w:cs="Times New Roman"/>
                <w:spacing w:val="-1"/>
                <w:sz w:val="20"/>
                <w:szCs w:val="20"/>
              </w:rPr>
              <w:t>-</w:t>
            </w:r>
          </w:p>
        </w:tc>
        <w:tc>
          <w:tcPr>
            <w:tcW w:w="894" w:type="dxa"/>
            <w:tcBorders>
              <w:right w:val="nil"/>
            </w:tcBorders>
            <w:vAlign w:val="top"/>
          </w:tcPr>
          <w:p w14:paraId="01C74B73">
            <w:pPr>
              <w:spacing w:before="42" w:line="228" w:lineRule="auto"/>
              <w:ind w:left="258"/>
              <w:rPr>
                <w:rFonts w:ascii="宋体" w:hAnsi="宋体" w:eastAsia="宋体" w:cs="宋体"/>
                <w:sz w:val="20"/>
                <w:szCs w:val="20"/>
              </w:rPr>
            </w:pPr>
            <w:r>
              <w:rPr>
                <w:rFonts w:ascii="宋体" w:hAnsi="宋体" w:eastAsia="宋体" w:cs="宋体"/>
                <w:spacing w:val="-4"/>
                <w:sz w:val="20"/>
                <w:szCs w:val="20"/>
              </w:rPr>
              <w:t>间</w:t>
            </w:r>
            <w:r>
              <w:rPr>
                <w:rFonts w:ascii="宋体" w:hAnsi="宋体" w:eastAsia="宋体" w:cs="宋体"/>
                <w:spacing w:val="-3"/>
                <w:sz w:val="20"/>
                <w:szCs w:val="20"/>
              </w:rPr>
              <w:t>断</w:t>
            </w:r>
          </w:p>
        </w:tc>
      </w:tr>
    </w:tbl>
    <w:p w14:paraId="6F81BEFF">
      <w:pPr>
        <w:spacing w:before="292" w:line="219" w:lineRule="auto"/>
        <w:ind w:left="124"/>
        <w:outlineLvl w:val="3"/>
        <w:rPr>
          <w:rFonts w:ascii="宋体" w:hAnsi="宋体" w:eastAsia="宋体" w:cs="宋体"/>
          <w:sz w:val="28"/>
          <w:szCs w:val="28"/>
        </w:rPr>
      </w:pPr>
      <w:r>
        <w:rPr>
          <w:rFonts w:ascii="Times New Roman" w:hAnsi="Times New Roman" w:eastAsia="Times New Roman" w:cs="Times New Roman"/>
          <w:b/>
          <w:bCs/>
          <w:spacing w:val="14"/>
          <w:sz w:val="28"/>
          <w:szCs w:val="28"/>
        </w:rPr>
        <w:t>5</w:t>
      </w:r>
      <w:r>
        <w:rPr>
          <w:rFonts w:ascii="Times New Roman" w:hAnsi="Times New Roman" w:eastAsia="Times New Roman" w:cs="Times New Roman"/>
          <w:b/>
          <w:bCs/>
          <w:spacing w:val="7"/>
          <w:sz w:val="28"/>
          <w:szCs w:val="28"/>
        </w:rPr>
        <w:t>.2.6.2</w:t>
      </w:r>
      <w:r>
        <w:rPr>
          <w:rFonts w:ascii="Times New Roman" w:hAnsi="Times New Roman" w:eastAsia="Times New Roman" w:cs="Times New Roman"/>
          <w:spacing w:val="7"/>
          <w:sz w:val="28"/>
          <w:szCs w:val="28"/>
        </w:rPr>
        <w:t xml:space="preserve">  </w:t>
      </w:r>
      <w:r>
        <w:rPr>
          <w:rFonts w:ascii="宋体" w:hAnsi="宋体" w:eastAsia="宋体" w:cs="宋体"/>
          <w:spacing w:val="7"/>
          <w:sz w:val="28"/>
          <w:szCs w:val="28"/>
          <w14:textOutline w14:w="5103" w14:cap="sq" w14:cmpd="sng">
            <w14:solidFill>
              <w14:srgbClr w14:val="000000"/>
            </w14:solidFill>
            <w14:prstDash w14:val="solid"/>
            <w14:bevel/>
          </w14:textOutline>
        </w:rPr>
        <w:t>评价工作等级</w:t>
      </w:r>
    </w:p>
    <w:p w14:paraId="49C2FA23">
      <w:pPr>
        <w:spacing w:line="253" w:lineRule="auto"/>
        <w:rPr>
          <w:rFonts w:ascii="Arial"/>
          <w:sz w:val="21"/>
        </w:rPr>
      </w:pPr>
    </w:p>
    <w:p w14:paraId="32BB502E">
      <w:pPr>
        <w:spacing w:before="76" w:line="383" w:lineRule="auto"/>
        <w:ind w:left="124" w:right="107" w:firstLine="480"/>
        <w:rPr>
          <w:rFonts w:ascii="宋体" w:hAnsi="宋体" w:eastAsia="宋体" w:cs="宋体"/>
          <w:sz w:val="23"/>
          <w:szCs w:val="23"/>
        </w:rPr>
      </w:pPr>
      <w:r>
        <w:rPr>
          <w:rFonts w:ascii="宋体" w:hAnsi="宋体" w:eastAsia="宋体" w:cs="宋体"/>
          <w:spacing w:val="6"/>
          <w:sz w:val="23"/>
          <w:szCs w:val="23"/>
        </w:rPr>
        <w:t>根据《环境影响评价技术导则 土壤环境 (试行) 》  (</w:t>
      </w:r>
      <w:r>
        <w:rPr>
          <w:rFonts w:ascii="Times New Roman" w:hAnsi="Times New Roman" w:eastAsia="Times New Roman" w:cs="Times New Roman"/>
          <w:sz w:val="23"/>
          <w:szCs w:val="23"/>
        </w:rPr>
        <w:t>HJ</w:t>
      </w:r>
      <w:r>
        <w:rPr>
          <w:rFonts w:ascii="Times New Roman" w:hAnsi="Times New Roman" w:eastAsia="Times New Roman" w:cs="Times New Roman"/>
          <w:spacing w:val="6"/>
          <w:sz w:val="23"/>
          <w:szCs w:val="23"/>
        </w:rPr>
        <w:t>964-2018</w:t>
      </w:r>
      <w:r>
        <w:rPr>
          <w:rFonts w:ascii="宋体" w:hAnsi="宋体" w:eastAsia="宋体" w:cs="宋体"/>
          <w:spacing w:val="6"/>
          <w:sz w:val="23"/>
          <w:szCs w:val="23"/>
        </w:rPr>
        <w:t>) ，</w:t>
      </w:r>
      <w:r>
        <w:rPr>
          <w:rFonts w:ascii="宋体" w:hAnsi="宋体" w:eastAsia="宋体" w:cs="宋体"/>
          <w:spacing w:val="5"/>
          <w:sz w:val="23"/>
          <w:szCs w:val="23"/>
        </w:rPr>
        <w:t>污</w:t>
      </w:r>
      <w:r>
        <w:rPr>
          <w:rFonts w:ascii="宋体" w:hAnsi="宋体" w:eastAsia="宋体" w:cs="宋体"/>
          <w:sz w:val="23"/>
          <w:szCs w:val="23"/>
        </w:rPr>
        <w:t xml:space="preserve">染 </w:t>
      </w:r>
      <w:r>
        <w:rPr>
          <w:rFonts w:ascii="宋体" w:hAnsi="宋体" w:eastAsia="宋体" w:cs="宋体"/>
          <w:spacing w:val="9"/>
          <w:sz w:val="23"/>
          <w:szCs w:val="23"/>
        </w:rPr>
        <w:t>影</w:t>
      </w:r>
      <w:r>
        <w:rPr>
          <w:rFonts w:ascii="宋体" w:hAnsi="宋体" w:eastAsia="宋体" w:cs="宋体"/>
          <w:spacing w:val="7"/>
          <w:sz w:val="23"/>
          <w:szCs w:val="23"/>
        </w:rPr>
        <w:t>响型建设项目根据土壤环境影响评价项目类别、占地规模与敏感程度划分评价</w:t>
      </w:r>
      <w:r>
        <w:rPr>
          <w:rFonts w:ascii="宋体" w:hAnsi="宋体" w:eastAsia="宋体" w:cs="宋体"/>
          <w:sz w:val="23"/>
          <w:szCs w:val="23"/>
        </w:rPr>
        <w:t xml:space="preserve"> </w:t>
      </w:r>
      <w:r>
        <w:rPr>
          <w:rFonts w:ascii="宋体" w:hAnsi="宋体" w:eastAsia="宋体" w:cs="宋体"/>
          <w:spacing w:val="3"/>
          <w:sz w:val="23"/>
          <w:szCs w:val="23"/>
        </w:rPr>
        <w:t xml:space="preserve">工作等级，具体见表 </w:t>
      </w:r>
      <w:r>
        <w:rPr>
          <w:rFonts w:ascii="Times New Roman" w:hAnsi="Times New Roman" w:eastAsia="Times New Roman" w:cs="Times New Roman"/>
          <w:spacing w:val="3"/>
          <w:sz w:val="23"/>
          <w:szCs w:val="23"/>
        </w:rPr>
        <w:t>5-22</w:t>
      </w:r>
      <w:r>
        <w:rPr>
          <w:rFonts w:ascii="宋体" w:hAnsi="宋体" w:eastAsia="宋体" w:cs="宋体"/>
          <w:spacing w:val="1"/>
          <w:sz w:val="23"/>
          <w:szCs w:val="23"/>
        </w:rPr>
        <w:t>。</w:t>
      </w:r>
    </w:p>
    <w:p w14:paraId="7D7033C5">
      <w:pPr>
        <w:spacing w:before="133" w:line="226" w:lineRule="auto"/>
        <w:ind w:left="1986"/>
        <w:rPr>
          <w:rFonts w:ascii="宋体" w:hAnsi="宋体" w:eastAsia="宋体" w:cs="宋体"/>
          <w:sz w:val="23"/>
          <w:szCs w:val="23"/>
        </w:rPr>
      </w:pPr>
      <w:r>
        <w:rPr>
          <w:rFonts w:ascii="宋体" w:hAnsi="宋体" w:eastAsia="宋体" w:cs="宋体"/>
          <w:spacing w:val="5"/>
          <w:sz w:val="23"/>
          <w:szCs w:val="23"/>
          <w14:textOutline w14:w="4358" w14:cap="sq" w14:cmpd="sng">
            <w14:solidFill>
              <w14:srgbClr w14:val="000000"/>
            </w14:solidFill>
            <w14:prstDash w14:val="solid"/>
            <w14:bevel/>
          </w14:textOutline>
        </w:rPr>
        <w:t>表</w:t>
      </w:r>
      <w:r>
        <w:rPr>
          <w:rFonts w:ascii="宋体" w:hAnsi="宋体" w:eastAsia="宋体" w:cs="宋体"/>
          <w:spacing w:val="5"/>
          <w:sz w:val="23"/>
          <w:szCs w:val="23"/>
        </w:rPr>
        <w:t xml:space="preserve"> </w:t>
      </w:r>
      <w:r>
        <w:rPr>
          <w:rFonts w:ascii="Times New Roman" w:hAnsi="Times New Roman" w:eastAsia="Times New Roman" w:cs="Times New Roman"/>
          <w:b/>
          <w:bCs/>
          <w:spacing w:val="5"/>
          <w:sz w:val="23"/>
          <w:szCs w:val="23"/>
        </w:rPr>
        <w:t>5-22</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14:textOutline w14:w="4358" w14:cap="sq" w14:cmpd="sng">
            <w14:solidFill>
              <w14:srgbClr w14:val="000000"/>
            </w14:solidFill>
            <w14:prstDash w14:val="solid"/>
            <w14:bevel/>
          </w14:textOutline>
        </w:rPr>
        <w:t>污染影响型评价工作等级划分</w:t>
      </w:r>
      <w:r>
        <w:rPr>
          <w:rFonts w:ascii="宋体" w:hAnsi="宋体" w:eastAsia="宋体" w:cs="宋体"/>
          <w:spacing w:val="3"/>
          <w:sz w:val="23"/>
          <w:szCs w:val="23"/>
          <w14:textOutline w14:w="4358" w14:cap="sq" w14:cmpd="sng">
            <w14:solidFill>
              <w14:srgbClr w14:val="000000"/>
            </w14:solidFill>
            <w14:prstDash w14:val="solid"/>
            <w14:bevel/>
          </w14:textOutline>
        </w:rPr>
        <w:t>表</w:t>
      </w:r>
    </w:p>
    <w:p w14:paraId="427FE682">
      <w:pPr>
        <w:spacing w:line="19" w:lineRule="exact"/>
      </w:pPr>
    </w:p>
    <w:tbl>
      <w:tblPr>
        <w:tblStyle w:val="4"/>
        <w:tblW w:w="852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0"/>
        <w:gridCol w:w="1790"/>
        <w:gridCol w:w="677"/>
        <w:gridCol w:w="677"/>
        <w:gridCol w:w="677"/>
        <w:gridCol w:w="677"/>
        <w:gridCol w:w="676"/>
        <w:gridCol w:w="677"/>
        <w:gridCol w:w="677"/>
        <w:gridCol w:w="677"/>
        <w:gridCol w:w="684"/>
      </w:tblGrid>
      <w:tr w14:paraId="033501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640" w:type="dxa"/>
            <w:vMerge w:val="restart"/>
            <w:tcBorders>
              <w:left w:val="nil"/>
              <w:bottom w:val="nil"/>
              <w:right w:val="nil"/>
            </w:tcBorders>
            <w:vAlign w:val="top"/>
          </w:tcPr>
          <w:p w14:paraId="1A809DDD">
            <w:pPr>
              <w:spacing w:line="248" w:lineRule="auto"/>
              <w:rPr>
                <w:rFonts w:ascii="Arial"/>
                <w:sz w:val="21"/>
              </w:rPr>
            </w:pPr>
          </w:p>
          <w:p w14:paraId="03A36A03">
            <w:pPr>
              <w:spacing w:before="65" w:line="227" w:lineRule="auto"/>
              <w:ind w:left="122" w:right="104" w:firstLine="1"/>
              <w:rPr>
                <w:rFonts w:ascii="宋体" w:hAnsi="宋体" w:eastAsia="宋体" w:cs="宋体"/>
                <w:sz w:val="20"/>
                <w:szCs w:val="20"/>
              </w:rPr>
            </w:pPr>
            <w:r>
              <w:drawing>
                <wp:anchor distT="0" distB="0" distL="0" distR="0" simplePos="0" relativeHeight="251941888" behindDoc="1" locked="0" layoutInCell="1" allowOverlap="1">
                  <wp:simplePos x="0" y="0"/>
                  <wp:positionH relativeFrom="column">
                    <wp:posOffset>0</wp:posOffset>
                  </wp:positionH>
                  <wp:positionV relativeFrom="paragraph">
                    <wp:posOffset>-151130</wp:posOffset>
                  </wp:positionV>
                  <wp:extent cx="1527810" cy="522605"/>
                  <wp:effectExtent l="0" t="0" r="0" b="0"/>
                  <wp:wrapNone/>
                  <wp:docPr id="145" name="IM 145"/>
                  <wp:cNvGraphicFramePr/>
                  <a:graphic xmlns:a="http://schemas.openxmlformats.org/drawingml/2006/main">
                    <a:graphicData uri="http://schemas.openxmlformats.org/drawingml/2006/picture">
                      <pic:pic xmlns:pic="http://schemas.openxmlformats.org/drawingml/2006/picture">
                        <pic:nvPicPr>
                          <pic:cNvPr id="145" name="IM 145"/>
                          <pic:cNvPicPr/>
                        </pic:nvPicPr>
                        <pic:blipFill>
                          <a:blip r:embed="rId534"/>
                          <a:stretch>
                            <a:fillRect/>
                          </a:stretch>
                        </pic:blipFill>
                        <pic:spPr>
                          <a:xfrm>
                            <a:off x="0" y="0"/>
                            <a:ext cx="1528064" cy="522756"/>
                          </a:xfrm>
                          <a:prstGeom prst="rect">
                            <a:avLst/>
                          </a:prstGeom>
                        </pic:spPr>
                      </pic:pic>
                    </a:graphicData>
                  </a:graphic>
                </wp:anchor>
              </w:drawing>
            </w:r>
            <w:r>
              <w:rPr>
                <w:rFonts w:ascii="宋体" w:hAnsi="宋体" w:eastAsia="宋体" w:cs="宋体"/>
                <w:spacing w:val="6"/>
                <w:sz w:val="20"/>
                <w:szCs w:val="20"/>
                <w14:textOutline w14:w="3795" w14:cap="sq" w14:cmpd="sng">
                  <w14:solidFill>
                    <w14:srgbClr w14:val="000000"/>
                  </w14:solidFill>
                  <w14:prstDash w14:val="solid"/>
                  <w14:bevel/>
                </w14:textOutline>
              </w:rPr>
              <w:t>敏</w:t>
            </w:r>
            <w:r>
              <w:rPr>
                <w:rFonts w:ascii="宋体" w:hAnsi="宋体" w:eastAsia="宋体" w:cs="宋体"/>
                <w:spacing w:val="5"/>
                <w:sz w:val="20"/>
                <w:szCs w:val="20"/>
                <w14:textOutline w14:w="3795" w14:cap="sq" w14:cmpd="sng">
                  <w14:solidFill>
                    <w14:srgbClr w14:val="000000"/>
                  </w14:solidFill>
                  <w14:prstDash w14:val="solid"/>
                  <w14:bevel/>
                </w14:textOutline>
              </w:rPr>
              <w:t>感</w:t>
            </w:r>
            <w:r>
              <w:rPr>
                <w:rFonts w:ascii="宋体" w:hAnsi="宋体" w:eastAsia="宋体" w:cs="宋体"/>
                <w:sz w:val="20"/>
                <w:szCs w:val="20"/>
              </w:rPr>
              <w:t xml:space="preserve"> </w:t>
            </w:r>
            <w:r>
              <w:rPr>
                <w:rFonts w:ascii="宋体" w:hAnsi="宋体" w:eastAsia="宋体" w:cs="宋体"/>
                <w:spacing w:val="6"/>
                <w:sz w:val="20"/>
                <w:szCs w:val="20"/>
                <w14:textOutline w14:w="3795" w14:cap="sq" w14:cmpd="sng">
                  <w14:solidFill>
                    <w14:srgbClr w14:val="000000"/>
                  </w14:solidFill>
                  <w14:prstDash w14:val="solid"/>
                  <w14:bevel/>
                </w14:textOutline>
              </w:rPr>
              <w:t>程度</w:t>
            </w:r>
          </w:p>
        </w:tc>
        <w:tc>
          <w:tcPr>
            <w:tcW w:w="1790" w:type="dxa"/>
            <w:vMerge w:val="restart"/>
            <w:tcBorders>
              <w:left w:val="nil"/>
              <w:bottom w:val="nil"/>
            </w:tcBorders>
            <w:vAlign w:val="top"/>
          </w:tcPr>
          <w:p w14:paraId="2886709E">
            <w:pPr>
              <w:spacing w:before="53"/>
              <w:ind w:left="113" w:right="312" w:firstLine="560"/>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占地规模</w:t>
            </w:r>
            <w:r>
              <w:rPr>
                <w:rFonts w:ascii="宋体" w:hAnsi="宋体" w:eastAsia="宋体" w:cs="宋体"/>
                <w:sz w:val="20"/>
                <w:szCs w:val="20"/>
              </w:rPr>
              <w:t xml:space="preserve"> </w:t>
            </w:r>
            <w:r>
              <w:rPr>
                <w:rFonts w:ascii="宋体" w:hAnsi="宋体" w:eastAsia="宋体" w:cs="宋体"/>
                <w:spacing w:val="6"/>
                <w:sz w:val="20"/>
                <w:szCs w:val="20"/>
                <w14:textOutline w14:w="3795" w14:cap="sq" w14:cmpd="sng">
                  <w14:solidFill>
                    <w14:srgbClr w14:val="000000"/>
                  </w14:solidFill>
                  <w14:prstDash w14:val="solid"/>
                  <w14:bevel/>
                </w14:textOutline>
              </w:rPr>
              <w:t>评价</w:t>
            </w:r>
          </w:p>
          <w:p w14:paraId="41EB90AB">
            <w:pPr>
              <w:spacing w:line="215" w:lineRule="auto"/>
              <w:ind w:left="537"/>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工作等</w:t>
            </w:r>
            <w:r>
              <w:rPr>
                <w:rFonts w:ascii="宋体" w:hAnsi="宋体" w:eastAsia="宋体" w:cs="宋体"/>
                <w:spacing w:val="7"/>
                <w:sz w:val="20"/>
                <w:szCs w:val="20"/>
                <w14:textOutline w14:w="3795" w14:cap="sq" w14:cmpd="sng">
                  <w14:solidFill>
                    <w14:srgbClr w14:val="000000"/>
                  </w14:solidFill>
                  <w14:prstDash w14:val="solid"/>
                  <w14:bevel/>
                </w14:textOutline>
              </w:rPr>
              <w:t>级</w:t>
            </w:r>
          </w:p>
        </w:tc>
        <w:tc>
          <w:tcPr>
            <w:tcW w:w="2031" w:type="dxa"/>
            <w:gridSpan w:val="3"/>
            <w:vAlign w:val="top"/>
          </w:tcPr>
          <w:p w14:paraId="35E20775">
            <w:pPr>
              <w:spacing w:before="76" w:line="228" w:lineRule="auto"/>
              <w:ind w:left="872"/>
              <w:rPr>
                <w:rFonts w:ascii="宋体" w:hAnsi="宋体" w:eastAsia="宋体" w:cs="宋体"/>
                <w:sz w:val="20"/>
                <w:szCs w:val="20"/>
              </w:rPr>
            </w:pPr>
            <w:r>
              <w:rPr>
                <w:rFonts w:ascii="Times New Roman" w:hAnsi="Times New Roman" w:eastAsia="Times New Roman" w:cs="Times New Roman"/>
                <w:b/>
                <w:bCs/>
                <w:spacing w:val="4"/>
                <w:sz w:val="20"/>
                <w:szCs w:val="20"/>
              </w:rPr>
              <w:t>Ⅰ</w:t>
            </w:r>
            <w:r>
              <w:rPr>
                <w:rFonts w:ascii="宋体" w:hAnsi="宋体" w:eastAsia="宋体" w:cs="宋体"/>
                <w:spacing w:val="4"/>
                <w:sz w:val="20"/>
                <w:szCs w:val="20"/>
                <w14:textOutline w14:w="3795" w14:cap="sq" w14:cmpd="sng">
                  <w14:solidFill>
                    <w14:srgbClr w14:val="000000"/>
                  </w14:solidFill>
                  <w14:prstDash w14:val="solid"/>
                  <w14:bevel/>
                </w14:textOutline>
              </w:rPr>
              <w:t>类</w:t>
            </w:r>
          </w:p>
        </w:tc>
        <w:tc>
          <w:tcPr>
            <w:tcW w:w="2030" w:type="dxa"/>
            <w:gridSpan w:val="3"/>
            <w:vAlign w:val="top"/>
          </w:tcPr>
          <w:p w14:paraId="25B63B22">
            <w:pPr>
              <w:spacing w:before="76" w:line="228" w:lineRule="auto"/>
              <w:ind w:left="833"/>
              <w:rPr>
                <w:rFonts w:ascii="宋体" w:hAnsi="宋体" w:eastAsia="宋体" w:cs="宋体"/>
                <w:sz w:val="20"/>
                <w:szCs w:val="20"/>
              </w:rPr>
            </w:pPr>
            <w:r>
              <w:rPr>
                <w:rFonts w:ascii="Times New Roman" w:hAnsi="Times New Roman" w:eastAsia="Times New Roman" w:cs="Times New Roman"/>
                <w:b/>
                <w:bCs/>
                <w:spacing w:val="5"/>
                <w:sz w:val="20"/>
                <w:szCs w:val="20"/>
              </w:rPr>
              <w:t>Ⅱ</w:t>
            </w:r>
            <w:r>
              <w:rPr>
                <w:rFonts w:ascii="宋体" w:hAnsi="宋体" w:eastAsia="宋体" w:cs="宋体"/>
                <w:spacing w:val="5"/>
                <w:sz w:val="20"/>
                <w:szCs w:val="20"/>
                <w14:textOutline w14:w="3795" w14:cap="sq" w14:cmpd="sng">
                  <w14:solidFill>
                    <w14:srgbClr w14:val="000000"/>
                  </w14:solidFill>
                  <w14:prstDash w14:val="solid"/>
                  <w14:bevel/>
                </w14:textOutline>
              </w:rPr>
              <w:t>类</w:t>
            </w:r>
          </w:p>
        </w:tc>
        <w:tc>
          <w:tcPr>
            <w:tcW w:w="2038" w:type="dxa"/>
            <w:gridSpan w:val="3"/>
            <w:tcBorders>
              <w:right w:val="nil"/>
            </w:tcBorders>
            <w:vAlign w:val="top"/>
          </w:tcPr>
          <w:p w14:paraId="01B51A4A">
            <w:pPr>
              <w:spacing w:before="76" w:line="228" w:lineRule="auto"/>
              <w:ind w:left="795"/>
              <w:rPr>
                <w:rFonts w:ascii="宋体" w:hAnsi="宋体" w:eastAsia="宋体" w:cs="宋体"/>
                <w:sz w:val="20"/>
                <w:szCs w:val="20"/>
              </w:rPr>
            </w:pPr>
            <w:r>
              <w:rPr>
                <w:rFonts w:ascii="Times New Roman" w:hAnsi="Times New Roman" w:eastAsia="Times New Roman" w:cs="Times New Roman"/>
                <w:b/>
                <w:bCs/>
                <w:spacing w:val="8"/>
                <w:sz w:val="20"/>
                <w:szCs w:val="20"/>
              </w:rPr>
              <w:t>Ⅲ</w:t>
            </w:r>
            <w:r>
              <w:rPr>
                <w:rFonts w:ascii="宋体" w:hAnsi="宋体" w:eastAsia="宋体" w:cs="宋体"/>
                <w:spacing w:val="8"/>
                <w:sz w:val="20"/>
                <w:szCs w:val="20"/>
                <w14:textOutline w14:w="3795" w14:cap="sq" w14:cmpd="sng">
                  <w14:solidFill>
                    <w14:srgbClr w14:val="000000"/>
                  </w14:solidFill>
                  <w14:prstDash w14:val="solid"/>
                  <w14:bevel/>
                </w14:textOutline>
              </w:rPr>
              <w:t>类</w:t>
            </w:r>
          </w:p>
        </w:tc>
      </w:tr>
      <w:tr w14:paraId="099974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640" w:type="dxa"/>
            <w:vMerge w:val="continue"/>
            <w:tcBorders>
              <w:top w:val="nil"/>
              <w:left w:val="nil"/>
              <w:right w:val="nil"/>
            </w:tcBorders>
            <w:vAlign w:val="top"/>
          </w:tcPr>
          <w:p w14:paraId="2BA7F2A0">
            <w:pPr>
              <w:rPr>
                <w:rFonts w:ascii="Arial"/>
                <w:sz w:val="21"/>
              </w:rPr>
            </w:pPr>
          </w:p>
        </w:tc>
        <w:tc>
          <w:tcPr>
            <w:tcW w:w="1790" w:type="dxa"/>
            <w:vMerge w:val="continue"/>
            <w:tcBorders>
              <w:top w:val="nil"/>
              <w:left w:val="nil"/>
            </w:tcBorders>
            <w:vAlign w:val="top"/>
          </w:tcPr>
          <w:p w14:paraId="759913DC">
            <w:pPr>
              <w:rPr>
                <w:rFonts w:ascii="Arial"/>
                <w:sz w:val="21"/>
              </w:rPr>
            </w:pPr>
          </w:p>
        </w:tc>
        <w:tc>
          <w:tcPr>
            <w:tcW w:w="677" w:type="dxa"/>
            <w:vAlign w:val="top"/>
          </w:tcPr>
          <w:p w14:paraId="25C122D9">
            <w:pPr>
              <w:spacing w:before="124" w:line="228" w:lineRule="auto"/>
              <w:ind w:left="242"/>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大</w:t>
            </w:r>
          </w:p>
        </w:tc>
        <w:tc>
          <w:tcPr>
            <w:tcW w:w="677" w:type="dxa"/>
            <w:vAlign w:val="top"/>
          </w:tcPr>
          <w:p w14:paraId="783C72BC">
            <w:pPr>
              <w:spacing w:before="124" w:line="228" w:lineRule="auto"/>
              <w:ind w:left="259"/>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中</w:t>
            </w:r>
          </w:p>
        </w:tc>
        <w:tc>
          <w:tcPr>
            <w:tcW w:w="677" w:type="dxa"/>
            <w:vAlign w:val="top"/>
          </w:tcPr>
          <w:p w14:paraId="2D0FC6AE">
            <w:pPr>
              <w:spacing w:before="124" w:line="230" w:lineRule="auto"/>
              <w:ind w:left="245"/>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小</w:t>
            </w:r>
          </w:p>
        </w:tc>
        <w:tc>
          <w:tcPr>
            <w:tcW w:w="677" w:type="dxa"/>
            <w:vAlign w:val="top"/>
          </w:tcPr>
          <w:p w14:paraId="57AAAE3B">
            <w:pPr>
              <w:spacing w:before="124" w:line="228" w:lineRule="auto"/>
              <w:ind w:left="241"/>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大</w:t>
            </w:r>
          </w:p>
        </w:tc>
        <w:tc>
          <w:tcPr>
            <w:tcW w:w="676" w:type="dxa"/>
            <w:vAlign w:val="top"/>
          </w:tcPr>
          <w:p w14:paraId="71F1BAB9">
            <w:pPr>
              <w:spacing w:before="124" w:line="228" w:lineRule="auto"/>
              <w:ind w:left="258"/>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中</w:t>
            </w:r>
          </w:p>
        </w:tc>
        <w:tc>
          <w:tcPr>
            <w:tcW w:w="677" w:type="dxa"/>
            <w:vAlign w:val="top"/>
          </w:tcPr>
          <w:p w14:paraId="2387C7C7">
            <w:pPr>
              <w:spacing w:before="124" w:line="230" w:lineRule="auto"/>
              <w:ind w:left="245"/>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小</w:t>
            </w:r>
          </w:p>
        </w:tc>
        <w:tc>
          <w:tcPr>
            <w:tcW w:w="677" w:type="dxa"/>
            <w:vAlign w:val="top"/>
          </w:tcPr>
          <w:p w14:paraId="061069A9">
            <w:pPr>
              <w:spacing w:before="124" w:line="228" w:lineRule="auto"/>
              <w:ind w:left="242"/>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大</w:t>
            </w:r>
          </w:p>
        </w:tc>
        <w:tc>
          <w:tcPr>
            <w:tcW w:w="677" w:type="dxa"/>
            <w:vAlign w:val="top"/>
          </w:tcPr>
          <w:p w14:paraId="66E3EBDD">
            <w:pPr>
              <w:spacing w:before="124" w:line="228" w:lineRule="auto"/>
              <w:ind w:left="259"/>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中</w:t>
            </w:r>
          </w:p>
        </w:tc>
        <w:tc>
          <w:tcPr>
            <w:tcW w:w="684" w:type="dxa"/>
            <w:tcBorders>
              <w:right w:val="nil"/>
            </w:tcBorders>
            <w:vAlign w:val="top"/>
          </w:tcPr>
          <w:p w14:paraId="7117963A">
            <w:pPr>
              <w:spacing w:before="124" w:line="230" w:lineRule="auto"/>
              <w:ind w:left="249"/>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小</w:t>
            </w:r>
          </w:p>
        </w:tc>
      </w:tr>
      <w:tr w14:paraId="68593B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40" w:type="dxa"/>
            <w:tcBorders>
              <w:left w:val="nil"/>
              <w:right w:val="nil"/>
            </w:tcBorders>
            <w:vAlign w:val="top"/>
          </w:tcPr>
          <w:p w14:paraId="44141508">
            <w:pPr>
              <w:rPr>
                <w:rFonts w:ascii="Arial"/>
                <w:sz w:val="21"/>
              </w:rPr>
            </w:pPr>
          </w:p>
        </w:tc>
        <w:tc>
          <w:tcPr>
            <w:tcW w:w="1790" w:type="dxa"/>
            <w:tcBorders>
              <w:left w:val="nil"/>
            </w:tcBorders>
            <w:vAlign w:val="top"/>
          </w:tcPr>
          <w:p w14:paraId="5CDA5D78">
            <w:pPr>
              <w:spacing w:before="53" w:line="228" w:lineRule="auto"/>
              <w:ind w:left="377"/>
              <w:rPr>
                <w:rFonts w:ascii="宋体" w:hAnsi="宋体" w:eastAsia="宋体" w:cs="宋体"/>
                <w:sz w:val="20"/>
                <w:szCs w:val="20"/>
              </w:rPr>
            </w:pPr>
            <w:r>
              <w:rPr>
                <w:rFonts w:ascii="宋体" w:hAnsi="宋体" w:eastAsia="宋体" w:cs="宋体"/>
                <w:spacing w:val="4"/>
                <w:sz w:val="20"/>
                <w:szCs w:val="20"/>
              </w:rPr>
              <w:t>敏感</w:t>
            </w:r>
          </w:p>
        </w:tc>
        <w:tc>
          <w:tcPr>
            <w:tcW w:w="677" w:type="dxa"/>
            <w:vAlign w:val="top"/>
          </w:tcPr>
          <w:p w14:paraId="460CE434">
            <w:pPr>
              <w:spacing w:before="53" w:line="242" w:lineRule="auto"/>
              <w:ind w:left="137"/>
              <w:rPr>
                <w:rFonts w:ascii="宋体" w:hAnsi="宋体" w:eastAsia="宋体" w:cs="宋体"/>
                <w:sz w:val="20"/>
                <w:szCs w:val="20"/>
              </w:rPr>
            </w:pPr>
            <w:r>
              <w:rPr>
                <w:rFonts w:ascii="宋体" w:hAnsi="宋体" w:eastAsia="宋体" w:cs="宋体"/>
                <w:spacing w:val="4"/>
                <w:sz w:val="20"/>
                <w:szCs w:val="20"/>
              </w:rPr>
              <w:t>一级</w:t>
            </w:r>
          </w:p>
        </w:tc>
        <w:tc>
          <w:tcPr>
            <w:tcW w:w="677" w:type="dxa"/>
            <w:vAlign w:val="top"/>
          </w:tcPr>
          <w:p w14:paraId="55733D1E">
            <w:pPr>
              <w:spacing w:before="53" w:line="242" w:lineRule="auto"/>
              <w:ind w:left="137"/>
              <w:rPr>
                <w:rFonts w:ascii="宋体" w:hAnsi="宋体" w:eastAsia="宋体" w:cs="宋体"/>
                <w:sz w:val="20"/>
                <w:szCs w:val="20"/>
              </w:rPr>
            </w:pPr>
            <w:r>
              <w:rPr>
                <w:rFonts w:ascii="宋体" w:hAnsi="宋体" w:eastAsia="宋体" w:cs="宋体"/>
                <w:spacing w:val="4"/>
                <w:sz w:val="20"/>
                <w:szCs w:val="20"/>
              </w:rPr>
              <w:t>一级</w:t>
            </w:r>
          </w:p>
        </w:tc>
        <w:tc>
          <w:tcPr>
            <w:tcW w:w="677" w:type="dxa"/>
            <w:vAlign w:val="top"/>
          </w:tcPr>
          <w:p w14:paraId="4364E6EA">
            <w:pPr>
              <w:spacing w:before="53" w:line="242" w:lineRule="auto"/>
              <w:ind w:left="137"/>
              <w:rPr>
                <w:rFonts w:ascii="宋体" w:hAnsi="宋体" w:eastAsia="宋体" w:cs="宋体"/>
                <w:sz w:val="20"/>
                <w:szCs w:val="20"/>
              </w:rPr>
            </w:pPr>
            <w:r>
              <w:rPr>
                <w:rFonts w:ascii="宋体" w:hAnsi="宋体" w:eastAsia="宋体" w:cs="宋体"/>
                <w:spacing w:val="4"/>
                <w:sz w:val="20"/>
                <w:szCs w:val="20"/>
              </w:rPr>
              <w:t>一级</w:t>
            </w:r>
          </w:p>
        </w:tc>
        <w:tc>
          <w:tcPr>
            <w:tcW w:w="677" w:type="dxa"/>
            <w:vAlign w:val="top"/>
          </w:tcPr>
          <w:p w14:paraId="187F7C30">
            <w:pPr>
              <w:spacing w:before="54" w:line="230" w:lineRule="auto"/>
              <w:ind w:left="117"/>
              <w:rPr>
                <w:rFonts w:ascii="宋体" w:hAnsi="宋体" w:eastAsia="宋体" w:cs="宋体"/>
                <w:sz w:val="20"/>
                <w:szCs w:val="20"/>
              </w:rPr>
            </w:pPr>
            <w:r>
              <w:rPr>
                <w:rFonts w:ascii="宋体" w:hAnsi="宋体" w:eastAsia="宋体" w:cs="宋体"/>
                <w:spacing w:val="3"/>
                <w:sz w:val="20"/>
                <w:szCs w:val="20"/>
              </w:rPr>
              <w:t>二级</w:t>
            </w:r>
          </w:p>
        </w:tc>
        <w:tc>
          <w:tcPr>
            <w:tcW w:w="676" w:type="dxa"/>
            <w:vAlign w:val="top"/>
          </w:tcPr>
          <w:p w14:paraId="021A0386">
            <w:pPr>
              <w:spacing w:before="54" w:line="230" w:lineRule="auto"/>
              <w:ind w:left="117"/>
              <w:rPr>
                <w:rFonts w:ascii="宋体" w:hAnsi="宋体" w:eastAsia="宋体" w:cs="宋体"/>
                <w:sz w:val="20"/>
                <w:szCs w:val="20"/>
              </w:rPr>
            </w:pPr>
            <w:r>
              <w:rPr>
                <w:rFonts w:ascii="宋体" w:hAnsi="宋体" w:eastAsia="宋体" w:cs="宋体"/>
                <w:spacing w:val="3"/>
                <w:sz w:val="20"/>
                <w:szCs w:val="20"/>
              </w:rPr>
              <w:t>二级</w:t>
            </w:r>
          </w:p>
        </w:tc>
        <w:tc>
          <w:tcPr>
            <w:tcW w:w="677" w:type="dxa"/>
            <w:vAlign w:val="top"/>
          </w:tcPr>
          <w:p w14:paraId="3C73918A">
            <w:pPr>
              <w:spacing w:before="54" w:line="230" w:lineRule="auto"/>
              <w:ind w:left="137"/>
              <w:rPr>
                <w:rFonts w:ascii="宋体" w:hAnsi="宋体" w:eastAsia="宋体" w:cs="宋体"/>
                <w:sz w:val="20"/>
                <w:szCs w:val="20"/>
              </w:rPr>
            </w:pPr>
            <w:r>
              <w:rPr>
                <w:rFonts w:ascii="宋体" w:hAnsi="宋体" w:eastAsia="宋体" w:cs="宋体"/>
                <w:spacing w:val="3"/>
                <w:sz w:val="20"/>
                <w:szCs w:val="20"/>
              </w:rPr>
              <w:t>二级</w:t>
            </w:r>
          </w:p>
        </w:tc>
        <w:tc>
          <w:tcPr>
            <w:tcW w:w="677" w:type="dxa"/>
            <w:vAlign w:val="top"/>
          </w:tcPr>
          <w:p w14:paraId="47AA2185">
            <w:pPr>
              <w:spacing w:before="54" w:line="230" w:lineRule="auto"/>
              <w:ind w:left="114"/>
              <w:rPr>
                <w:rFonts w:ascii="宋体" w:hAnsi="宋体" w:eastAsia="宋体" w:cs="宋体"/>
                <w:sz w:val="20"/>
                <w:szCs w:val="20"/>
              </w:rPr>
            </w:pPr>
            <w:r>
              <w:rPr>
                <w:rFonts w:ascii="宋体" w:hAnsi="宋体" w:eastAsia="宋体" w:cs="宋体"/>
                <w:spacing w:val="5"/>
                <w:sz w:val="20"/>
                <w:szCs w:val="20"/>
              </w:rPr>
              <w:t>三</w:t>
            </w:r>
            <w:r>
              <w:rPr>
                <w:rFonts w:ascii="宋体" w:hAnsi="宋体" w:eastAsia="宋体" w:cs="宋体"/>
                <w:spacing w:val="4"/>
                <w:sz w:val="20"/>
                <w:szCs w:val="20"/>
              </w:rPr>
              <w:t>级</w:t>
            </w:r>
          </w:p>
        </w:tc>
        <w:tc>
          <w:tcPr>
            <w:tcW w:w="677" w:type="dxa"/>
            <w:vAlign w:val="top"/>
          </w:tcPr>
          <w:p w14:paraId="34D4490D">
            <w:pPr>
              <w:spacing w:before="54" w:line="230" w:lineRule="auto"/>
              <w:ind w:left="114"/>
              <w:rPr>
                <w:rFonts w:ascii="宋体" w:hAnsi="宋体" w:eastAsia="宋体" w:cs="宋体"/>
                <w:sz w:val="20"/>
                <w:szCs w:val="20"/>
              </w:rPr>
            </w:pPr>
            <w:r>
              <w:rPr>
                <w:rFonts w:ascii="宋体" w:hAnsi="宋体" w:eastAsia="宋体" w:cs="宋体"/>
                <w:spacing w:val="5"/>
                <w:sz w:val="20"/>
                <w:szCs w:val="20"/>
              </w:rPr>
              <w:t>三</w:t>
            </w:r>
            <w:r>
              <w:rPr>
                <w:rFonts w:ascii="宋体" w:hAnsi="宋体" w:eastAsia="宋体" w:cs="宋体"/>
                <w:spacing w:val="4"/>
                <w:sz w:val="20"/>
                <w:szCs w:val="20"/>
              </w:rPr>
              <w:t>级</w:t>
            </w:r>
          </w:p>
        </w:tc>
        <w:tc>
          <w:tcPr>
            <w:tcW w:w="684" w:type="dxa"/>
            <w:tcBorders>
              <w:right w:val="nil"/>
            </w:tcBorders>
            <w:vAlign w:val="top"/>
          </w:tcPr>
          <w:p w14:paraId="139B6C99">
            <w:pPr>
              <w:spacing w:before="54" w:line="230" w:lineRule="auto"/>
              <w:ind w:left="138"/>
              <w:rPr>
                <w:rFonts w:ascii="宋体" w:hAnsi="宋体" w:eastAsia="宋体" w:cs="宋体"/>
                <w:sz w:val="20"/>
                <w:szCs w:val="20"/>
              </w:rPr>
            </w:pPr>
            <w:r>
              <w:rPr>
                <w:rFonts w:ascii="宋体" w:hAnsi="宋体" w:eastAsia="宋体" w:cs="宋体"/>
                <w:spacing w:val="5"/>
                <w:sz w:val="20"/>
                <w:szCs w:val="20"/>
              </w:rPr>
              <w:t>三</w:t>
            </w:r>
            <w:r>
              <w:rPr>
                <w:rFonts w:ascii="宋体" w:hAnsi="宋体" w:eastAsia="宋体" w:cs="宋体"/>
                <w:spacing w:val="4"/>
                <w:sz w:val="20"/>
                <w:szCs w:val="20"/>
              </w:rPr>
              <w:t>级</w:t>
            </w:r>
          </w:p>
        </w:tc>
      </w:tr>
      <w:tr w14:paraId="56047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40" w:type="dxa"/>
            <w:tcBorders>
              <w:left w:val="nil"/>
              <w:right w:val="nil"/>
            </w:tcBorders>
            <w:vAlign w:val="top"/>
          </w:tcPr>
          <w:p w14:paraId="6E023443">
            <w:pPr>
              <w:rPr>
                <w:rFonts w:ascii="Arial"/>
                <w:sz w:val="21"/>
              </w:rPr>
            </w:pPr>
          </w:p>
        </w:tc>
        <w:tc>
          <w:tcPr>
            <w:tcW w:w="1790" w:type="dxa"/>
            <w:tcBorders>
              <w:left w:val="nil"/>
            </w:tcBorders>
            <w:vAlign w:val="top"/>
          </w:tcPr>
          <w:p w14:paraId="6ABB1B77">
            <w:pPr>
              <w:spacing w:before="54" w:line="228" w:lineRule="auto"/>
              <w:ind w:left="270"/>
              <w:rPr>
                <w:rFonts w:ascii="宋体" w:hAnsi="宋体" w:eastAsia="宋体" w:cs="宋体"/>
                <w:sz w:val="20"/>
                <w:szCs w:val="20"/>
              </w:rPr>
            </w:pPr>
            <w:r>
              <w:rPr>
                <w:rFonts w:ascii="宋体" w:hAnsi="宋体" w:eastAsia="宋体" w:cs="宋体"/>
                <w:spacing w:val="7"/>
                <w:sz w:val="20"/>
                <w:szCs w:val="20"/>
              </w:rPr>
              <w:t>较敏</w:t>
            </w:r>
            <w:r>
              <w:rPr>
                <w:rFonts w:ascii="宋体" w:hAnsi="宋体" w:eastAsia="宋体" w:cs="宋体"/>
                <w:spacing w:val="6"/>
                <w:sz w:val="20"/>
                <w:szCs w:val="20"/>
              </w:rPr>
              <w:t>感</w:t>
            </w:r>
          </w:p>
        </w:tc>
        <w:tc>
          <w:tcPr>
            <w:tcW w:w="677" w:type="dxa"/>
            <w:vAlign w:val="top"/>
          </w:tcPr>
          <w:p w14:paraId="51F442D4">
            <w:pPr>
              <w:spacing w:before="54" w:line="241" w:lineRule="auto"/>
              <w:ind w:left="118"/>
              <w:rPr>
                <w:rFonts w:ascii="宋体" w:hAnsi="宋体" w:eastAsia="宋体" w:cs="宋体"/>
                <w:sz w:val="20"/>
                <w:szCs w:val="20"/>
              </w:rPr>
            </w:pPr>
            <w:r>
              <w:rPr>
                <w:rFonts w:ascii="宋体" w:hAnsi="宋体" w:eastAsia="宋体" w:cs="宋体"/>
                <w:spacing w:val="4"/>
                <w:sz w:val="20"/>
                <w:szCs w:val="20"/>
              </w:rPr>
              <w:t>一级</w:t>
            </w:r>
          </w:p>
        </w:tc>
        <w:tc>
          <w:tcPr>
            <w:tcW w:w="677" w:type="dxa"/>
            <w:vAlign w:val="top"/>
          </w:tcPr>
          <w:p w14:paraId="59DE23B1">
            <w:pPr>
              <w:spacing w:before="54" w:line="241" w:lineRule="auto"/>
              <w:ind w:left="137"/>
              <w:rPr>
                <w:rFonts w:ascii="宋体" w:hAnsi="宋体" w:eastAsia="宋体" w:cs="宋体"/>
                <w:sz w:val="20"/>
                <w:szCs w:val="20"/>
              </w:rPr>
            </w:pPr>
            <w:r>
              <w:rPr>
                <w:rFonts w:ascii="宋体" w:hAnsi="宋体" w:eastAsia="宋体" w:cs="宋体"/>
                <w:spacing w:val="4"/>
                <w:sz w:val="20"/>
                <w:szCs w:val="20"/>
              </w:rPr>
              <w:t>一级</w:t>
            </w:r>
          </w:p>
        </w:tc>
        <w:tc>
          <w:tcPr>
            <w:tcW w:w="677" w:type="dxa"/>
            <w:vAlign w:val="top"/>
          </w:tcPr>
          <w:p w14:paraId="71C638F2">
            <w:pPr>
              <w:spacing w:before="54" w:line="230" w:lineRule="auto"/>
              <w:ind w:left="117"/>
              <w:rPr>
                <w:rFonts w:ascii="宋体" w:hAnsi="宋体" w:eastAsia="宋体" w:cs="宋体"/>
                <w:sz w:val="20"/>
                <w:szCs w:val="20"/>
              </w:rPr>
            </w:pPr>
            <w:r>
              <w:rPr>
                <w:rFonts w:ascii="宋体" w:hAnsi="宋体" w:eastAsia="宋体" w:cs="宋体"/>
                <w:spacing w:val="3"/>
                <w:sz w:val="20"/>
                <w:szCs w:val="20"/>
              </w:rPr>
              <w:t>二级</w:t>
            </w:r>
          </w:p>
        </w:tc>
        <w:tc>
          <w:tcPr>
            <w:tcW w:w="677" w:type="dxa"/>
            <w:vAlign w:val="top"/>
          </w:tcPr>
          <w:p w14:paraId="799AB299">
            <w:pPr>
              <w:spacing w:before="54" w:line="230" w:lineRule="auto"/>
              <w:ind w:left="117"/>
              <w:rPr>
                <w:rFonts w:ascii="宋体" w:hAnsi="宋体" w:eastAsia="宋体" w:cs="宋体"/>
                <w:sz w:val="20"/>
                <w:szCs w:val="20"/>
              </w:rPr>
            </w:pPr>
            <w:r>
              <w:rPr>
                <w:rFonts w:ascii="宋体" w:hAnsi="宋体" w:eastAsia="宋体" w:cs="宋体"/>
                <w:spacing w:val="3"/>
                <w:sz w:val="20"/>
                <w:szCs w:val="20"/>
              </w:rPr>
              <w:t>二级</w:t>
            </w:r>
          </w:p>
        </w:tc>
        <w:tc>
          <w:tcPr>
            <w:tcW w:w="676" w:type="dxa"/>
            <w:vAlign w:val="top"/>
          </w:tcPr>
          <w:p w14:paraId="692DD664">
            <w:pPr>
              <w:spacing w:before="54" w:line="230" w:lineRule="auto"/>
              <w:ind w:left="117"/>
              <w:rPr>
                <w:rFonts w:ascii="宋体" w:hAnsi="宋体" w:eastAsia="宋体" w:cs="宋体"/>
                <w:sz w:val="20"/>
                <w:szCs w:val="20"/>
              </w:rPr>
            </w:pPr>
            <w:r>
              <w:rPr>
                <w:rFonts w:ascii="宋体" w:hAnsi="宋体" w:eastAsia="宋体" w:cs="宋体"/>
                <w:spacing w:val="3"/>
                <w:sz w:val="20"/>
                <w:szCs w:val="20"/>
              </w:rPr>
              <w:t>二级</w:t>
            </w:r>
          </w:p>
        </w:tc>
        <w:tc>
          <w:tcPr>
            <w:tcW w:w="677" w:type="dxa"/>
            <w:vAlign w:val="top"/>
          </w:tcPr>
          <w:p w14:paraId="6B41C34F">
            <w:pPr>
              <w:spacing w:before="54" w:line="230" w:lineRule="auto"/>
              <w:ind w:left="114"/>
              <w:rPr>
                <w:rFonts w:ascii="宋体" w:hAnsi="宋体" w:eastAsia="宋体" w:cs="宋体"/>
                <w:sz w:val="20"/>
                <w:szCs w:val="20"/>
              </w:rPr>
            </w:pPr>
            <w:r>
              <w:rPr>
                <w:rFonts w:ascii="宋体" w:hAnsi="宋体" w:eastAsia="宋体" w:cs="宋体"/>
                <w:spacing w:val="5"/>
                <w:sz w:val="20"/>
                <w:szCs w:val="20"/>
              </w:rPr>
              <w:t>三</w:t>
            </w:r>
            <w:r>
              <w:rPr>
                <w:rFonts w:ascii="宋体" w:hAnsi="宋体" w:eastAsia="宋体" w:cs="宋体"/>
                <w:spacing w:val="4"/>
                <w:sz w:val="20"/>
                <w:szCs w:val="20"/>
              </w:rPr>
              <w:t>级</w:t>
            </w:r>
          </w:p>
        </w:tc>
        <w:tc>
          <w:tcPr>
            <w:tcW w:w="677" w:type="dxa"/>
            <w:vAlign w:val="top"/>
          </w:tcPr>
          <w:p w14:paraId="41121608">
            <w:pPr>
              <w:spacing w:before="54" w:line="230" w:lineRule="auto"/>
              <w:ind w:left="114"/>
              <w:rPr>
                <w:rFonts w:ascii="宋体" w:hAnsi="宋体" w:eastAsia="宋体" w:cs="宋体"/>
                <w:sz w:val="20"/>
                <w:szCs w:val="20"/>
              </w:rPr>
            </w:pPr>
            <w:r>
              <w:rPr>
                <w:rFonts w:ascii="宋体" w:hAnsi="宋体" w:eastAsia="宋体" w:cs="宋体"/>
                <w:spacing w:val="5"/>
                <w:sz w:val="20"/>
                <w:szCs w:val="20"/>
              </w:rPr>
              <w:t>三</w:t>
            </w:r>
            <w:r>
              <w:rPr>
                <w:rFonts w:ascii="宋体" w:hAnsi="宋体" w:eastAsia="宋体" w:cs="宋体"/>
                <w:spacing w:val="4"/>
                <w:sz w:val="20"/>
                <w:szCs w:val="20"/>
              </w:rPr>
              <w:t>级</w:t>
            </w:r>
          </w:p>
        </w:tc>
        <w:tc>
          <w:tcPr>
            <w:tcW w:w="677" w:type="dxa"/>
            <w:vAlign w:val="top"/>
          </w:tcPr>
          <w:p w14:paraId="2697EE58">
            <w:pPr>
              <w:spacing w:before="54" w:line="230" w:lineRule="auto"/>
              <w:ind w:left="114"/>
              <w:rPr>
                <w:rFonts w:ascii="宋体" w:hAnsi="宋体" w:eastAsia="宋体" w:cs="宋体"/>
                <w:sz w:val="20"/>
                <w:szCs w:val="20"/>
              </w:rPr>
            </w:pPr>
            <w:r>
              <w:rPr>
                <w:rFonts w:ascii="宋体" w:hAnsi="宋体" w:eastAsia="宋体" w:cs="宋体"/>
                <w:spacing w:val="5"/>
                <w:sz w:val="20"/>
                <w:szCs w:val="20"/>
              </w:rPr>
              <w:t>三</w:t>
            </w:r>
            <w:r>
              <w:rPr>
                <w:rFonts w:ascii="宋体" w:hAnsi="宋体" w:eastAsia="宋体" w:cs="宋体"/>
                <w:spacing w:val="4"/>
                <w:sz w:val="20"/>
                <w:szCs w:val="20"/>
              </w:rPr>
              <w:t>级</w:t>
            </w:r>
          </w:p>
        </w:tc>
        <w:tc>
          <w:tcPr>
            <w:tcW w:w="684" w:type="dxa"/>
            <w:tcBorders>
              <w:right w:val="nil"/>
            </w:tcBorders>
            <w:vAlign w:val="top"/>
          </w:tcPr>
          <w:p w14:paraId="15E1F64E">
            <w:pPr>
              <w:spacing w:before="178" w:line="137" w:lineRule="exact"/>
              <w:ind w:left="314"/>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w14:paraId="58DEFE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40" w:type="dxa"/>
            <w:tcBorders>
              <w:left w:val="nil"/>
              <w:right w:val="nil"/>
            </w:tcBorders>
            <w:vAlign w:val="top"/>
          </w:tcPr>
          <w:p w14:paraId="5C9ACCDE">
            <w:pPr>
              <w:rPr>
                <w:rFonts w:ascii="Arial"/>
                <w:sz w:val="21"/>
              </w:rPr>
            </w:pPr>
          </w:p>
        </w:tc>
        <w:tc>
          <w:tcPr>
            <w:tcW w:w="1790" w:type="dxa"/>
            <w:tcBorders>
              <w:left w:val="nil"/>
            </w:tcBorders>
            <w:vAlign w:val="top"/>
          </w:tcPr>
          <w:p w14:paraId="2C54AEA8">
            <w:pPr>
              <w:spacing w:before="55" w:line="228" w:lineRule="auto"/>
              <w:ind w:left="274"/>
              <w:rPr>
                <w:rFonts w:ascii="宋体" w:hAnsi="宋体" w:eastAsia="宋体" w:cs="宋体"/>
                <w:sz w:val="20"/>
                <w:szCs w:val="20"/>
              </w:rPr>
            </w:pPr>
            <w:r>
              <w:rPr>
                <w:rFonts w:ascii="宋体" w:hAnsi="宋体" w:eastAsia="宋体" w:cs="宋体"/>
                <w:spacing w:val="6"/>
                <w:sz w:val="20"/>
                <w:szCs w:val="20"/>
              </w:rPr>
              <w:t>不敏</w:t>
            </w:r>
            <w:r>
              <w:rPr>
                <w:rFonts w:ascii="宋体" w:hAnsi="宋体" w:eastAsia="宋体" w:cs="宋体"/>
                <w:spacing w:val="5"/>
                <w:sz w:val="20"/>
                <w:szCs w:val="20"/>
              </w:rPr>
              <w:t>感</w:t>
            </w:r>
          </w:p>
        </w:tc>
        <w:tc>
          <w:tcPr>
            <w:tcW w:w="677" w:type="dxa"/>
            <w:vAlign w:val="top"/>
          </w:tcPr>
          <w:p w14:paraId="7A0E5B9F">
            <w:pPr>
              <w:spacing w:before="55" w:line="266" w:lineRule="exact"/>
              <w:ind w:left="118"/>
              <w:rPr>
                <w:rFonts w:ascii="宋体" w:hAnsi="宋体" w:eastAsia="宋体" w:cs="宋体"/>
                <w:sz w:val="20"/>
                <w:szCs w:val="20"/>
              </w:rPr>
            </w:pPr>
            <w:r>
              <w:rPr>
                <w:rFonts w:ascii="宋体" w:hAnsi="宋体" w:eastAsia="宋体" w:cs="宋体"/>
                <w:spacing w:val="4"/>
                <w:position w:val="-1"/>
                <w:sz w:val="20"/>
                <w:szCs w:val="20"/>
              </w:rPr>
              <w:t>一级</w:t>
            </w:r>
          </w:p>
        </w:tc>
        <w:tc>
          <w:tcPr>
            <w:tcW w:w="677" w:type="dxa"/>
            <w:vAlign w:val="top"/>
          </w:tcPr>
          <w:p w14:paraId="1F25A27C">
            <w:pPr>
              <w:spacing w:before="55" w:line="230" w:lineRule="auto"/>
              <w:ind w:left="137"/>
              <w:rPr>
                <w:rFonts w:ascii="宋体" w:hAnsi="宋体" w:eastAsia="宋体" w:cs="宋体"/>
                <w:sz w:val="20"/>
                <w:szCs w:val="20"/>
              </w:rPr>
            </w:pPr>
            <w:r>
              <w:rPr>
                <w:rFonts w:ascii="宋体" w:hAnsi="宋体" w:eastAsia="宋体" w:cs="宋体"/>
                <w:spacing w:val="3"/>
                <w:sz w:val="20"/>
                <w:szCs w:val="20"/>
              </w:rPr>
              <w:t>二级</w:t>
            </w:r>
          </w:p>
        </w:tc>
        <w:tc>
          <w:tcPr>
            <w:tcW w:w="677" w:type="dxa"/>
            <w:vAlign w:val="top"/>
          </w:tcPr>
          <w:p w14:paraId="3FA97627">
            <w:pPr>
              <w:spacing w:before="55" w:line="230" w:lineRule="auto"/>
              <w:ind w:left="117"/>
              <w:rPr>
                <w:rFonts w:ascii="宋体" w:hAnsi="宋体" w:eastAsia="宋体" w:cs="宋体"/>
                <w:sz w:val="20"/>
                <w:szCs w:val="20"/>
              </w:rPr>
            </w:pPr>
            <w:r>
              <w:rPr>
                <w:rFonts w:ascii="宋体" w:hAnsi="宋体" w:eastAsia="宋体" w:cs="宋体"/>
                <w:spacing w:val="3"/>
                <w:sz w:val="20"/>
                <w:szCs w:val="20"/>
              </w:rPr>
              <w:t>二级</w:t>
            </w:r>
          </w:p>
        </w:tc>
        <w:tc>
          <w:tcPr>
            <w:tcW w:w="677" w:type="dxa"/>
            <w:vAlign w:val="top"/>
          </w:tcPr>
          <w:p w14:paraId="0FC4082C">
            <w:pPr>
              <w:spacing w:before="55" w:line="230" w:lineRule="auto"/>
              <w:ind w:left="117"/>
              <w:rPr>
                <w:rFonts w:ascii="宋体" w:hAnsi="宋体" w:eastAsia="宋体" w:cs="宋体"/>
                <w:sz w:val="20"/>
                <w:szCs w:val="20"/>
              </w:rPr>
            </w:pPr>
            <w:r>
              <w:rPr>
                <w:rFonts w:ascii="宋体" w:hAnsi="宋体" w:eastAsia="宋体" w:cs="宋体"/>
                <w:spacing w:val="3"/>
                <w:sz w:val="20"/>
                <w:szCs w:val="20"/>
              </w:rPr>
              <w:t>二级</w:t>
            </w:r>
          </w:p>
        </w:tc>
        <w:tc>
          <w:tcPr>
            <w:tcW w:w="676" w:type="dxa"/>
            <w:vAlign w:val="top"/>
          </w:tcPr>
          <w:p w14:paraId="03A26D4E">
            <w:pPr>
              <w:spacing w:before="55" w:line="230" w:lineRule="auto"/>
              <w:ind w:left="133"/>
              <w:rPr>
                <w:rFonts w:ascii="宋体" w:hAnsi="宋体" w:eastAsia="宋体" w:cs="宋体"/>
                <w:sz w:val="20"/>
                <w:szCs w:val="20"/>
              </w:rPr>
            </w:pPr>
            <w:r>
              <w:rPr>
                <w:rFonts w:ascii="宋体" w:hAnsi="宋体" w:eastAsia="宋体" w:cs="宋体"/>
                <w:spacing w:val="5"/>
                <w:sz w:val="20"/>
                <w:szCs w:val="20"/>
              </w:rPr>
              <w:t>三</w:t>
            </w:r>
            <w:r>
              <w:rPr>
                <w:rFonts w:ascii="宋体" w:hAnsi="宋体" w:eastAsia="宋体" w:cs="宋体"/>
                <w:spacing w:val="4"/>
                <w:sz w:val="20"/>
                <w:szCs w:val="20"/>
              </w:rPr>
              <w:t>级</w:t>
            </w:r>
          </w:p>
        </w:tc>
        <w:tc>
          <w:tcPr>
            <w:tcW w:w="677" w:type="dxa"/>
            <w:vAlign w:val="top"/>
          </w:tcPr>
          <w:p w14:paraId="54EF3DBE">
            <w:pPr>
              <w:spacing w:before="55" w:line="230" w:lineRule="auto"/>
              <w:ind w:left="114"/>
              <w:rPr>
                <w:rFonts w:ascii="宋体" w:hAnsi="宋体" w:eastAsia="宋体" w:cs="宋体"/>
                <w:sz w:val="20"/>
                <w:szCs w:val="20"/>
              </w:rPr>
            </w:pPr>
            <w:r>
              <w:rPr>
                <w:rFonts w:ascii="宋体" w:hAnsi="宋体" w:eastAsia="宋体" w:cs="宋体"/>
                <w:spacing w:val="5"/>
                <w:sz w:val="20"/>
                <w:szCs w:val="20"/>
              </w:rPr>
              <w:t>三</w:t>
            </w:r>
            <w:r>
              <w:rPr>
                <w:rFonts w:ascii="宋体" w:hAnsi="宋体" w:eastAsia="宋体" w:cs="宋体"/>
                <w:spacing w:val="4"/>
                <w:sz w:val="20"/>
                <w:szCs w:val="20"/>
              </w:rPr>
              <w:t>级</w:t>
            </w:r>
          </w:p>
        </w:tc>
        <w:tc>
          <w:tcPr>
            <w:tcW w:w="677" w:type="dxa"/>
            <w:vAlign w:val="top"/>
          </w:tcPr>
          <w:p w14:paraId="224FAC94">
            <w:pPr>
              <w:spacing w:before="55" w:line="230" w:lineRule="auto"/>
              <w:ind w:left="114"/>
              <w:rPr>
                <w:rFonts w:ascii="宋体" w:hAnsi="宋体" w:eastAsia="宋体" w:cs="宋体"/>
                <w:sz w:val="20"/>
                <w:szCs w:val="20"/>
              </w:rPr>
            </w:pPr>
            <w:r>
              <w:rPr>
                <w:rFonts w:ascii="宋体" w:hAnsi="宋体" w:eastAsia="宋体" w:cs="宋体"/>
                <w:spacing w:val="5"/>
                <w:sz w:val="20"/>
                <w:szCs w:val="20"/>
              </w:rPr>
              <w:t>三</w:t>
            </w:r>
            <w:r>
              <w:rPr>
                <w:rFonts w:ascii="宋体" w:hAnsi="宋体" w:eastAsia="宋体" w:cs="宋体"/>
                <w:spacing w:val="4"/>
                <w:sz w:val="20"/>
                <w:szCs w:val="20"/>
              </w:rPr>
              <w:t>级</w:t>
            </w:r>
          </w:p>
        </w:tc>
        <w:tc>
          <w:tcPr>
            <w:tcW w:w="677" w:type="dxa"/>
            <w:vAlign w:val="top"/>
          </w:tcPr>
          <w:p w14:paraId="19CB0C71">
            <w:pPr>
              <w:spacing w:before="179" w:line="136" w:lineRule="exact"/>
              <w:ind w:left="309"/>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684" w:type="dxa"/>
            <w:tcBorders>
              <w:right w:val="nil"/>
            </w:tcBorders>
            <w:vAlign w:val="top"/>
          </w:tcPr>
          <w:p w14:paraId="455AAAD2">
            <w:pPr>
              <w:spacing w:before="179" w:line="136" w:lineRule="exact"/>
              <w:ind w:left="314"/>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bl>
    <w:p w14:paraId="1672C953">
      <w:pPr>
        <w:spacing w:before="53" w:line="226" w:lineRule="auto"/>
        <w:ind w:left="123"/>
        <w:rPr>
          <w:rFonts w:ascii="宋体" w:hAnsi="宋体" w:eastAsia="宋体" w:cs="宋体"/>
          <w:sz w:val="20"/>
          <w:szCs w:val="20"/>
        </w:rPr>
      </w:pPr>
      <w:r>
        <w:rPr>
          <w:rFonts w:ascii="宋体" w:hAnsi="宋体" w:eastAsia="宋体" w:cs="宋体"/>
          <w:spacing w:val="16"/>
          <w:sz w:val="20"/>
          <w:szCs w:val="20"/>
        </w:rPr>
        <w:t>注</w:t>
      </w:r>
      <w:r>
        <w:rPr>
          <w:rFonts w:ascii="宋体" w:hAnsi="宋体" w:eastAsia="宋体" w:cs="宋体"/>
          <w:spacing w:val="14"/>
          <w:sz w:val="20"/>
          <w:szCs w:val="20"/>
        </w:rPr>
        <w:t>：</w:t>
      </w:r>
      <w:r>
        <w:rPr>
          <w:rFonts w:ascii="Times New Roman" w:hAnsi="Times New Roman" w:eastAsia="Times New Roman" w:cs="Times New Roman"/>
          <w:spacing w:val="8"/>
          <w:sz w:val="20"/>
          <w:szCs w:val="20"/>
        </w:rPr>
        <w:t>“-”</w:t>
      </w:r>
      <w:r>
        <w:rPr>
          <w:rFonts w:ascii="宋体" w:hAnsi="宋体" w:eastAsia="宋体" w:cs="宋体"/>
          <w:spacing w:val="8"/>
          <w:sz w:val="20"/>
          <w:szCs w:val="20"/>
        </w:rPr>
        <w:t>表示可不展开土壤环境影响评价工作</w:t>
      </w:r>
    </w:p>
    <w:p w14:paraId="3D9207C3">
      <w:pPr>
        <w:spacing w:before="14" w:line="29" w:lineRule="exact"/>
        <w:ind w:firstLine="7"/>
        <w:textAlignment w:val="center"/>
      </w:pPr>
      <w:r>
        <w:pict>
          <v:shape id="_x0000_s1289" o:spid="_x0000_s1289" style="height:1.45pt;width:426.15pt;" filled="f" stroked="t" coordsize="8522,29" path="m0,14l8522,14e">
            <v:fill on="f" focussize="0,0"/>
            <v:stroke weight="1.44pt" color="#000000" miterlimit="2" joinstyle="bevel"/>
            <v:imagedata o:title=""/>
            <o:lock v:ext="edit"/>
            <w10:wrap type="none"/>
            <w10:anchorlock/>
          </v:shape>
        </w:pict>
      </w:r>
    </w:p>
    <w:p w14:paraId="7369830F">
      <w:pPr>
        <w:sectPr>
          <w:headerReference r:id="rId248" w:type="default"/>
          <w:footerReference r:id="rId249" w:type="default"/>
          <w:pgSz w:w="11906" w:h="16839"/>
          <w:pgMar w:top="1132" w:right="1691" w:bottom="1182" w:left="1684" w:header="878" w:footer="1022" w:gutter="0"/>
          <w:cols w:space="720" w:num="1"/>
        </w:sectPr>
      </w:pPr>
    </w:p>
    <w:p w14:paraId="1EBBC1C7">
      <w:pPr>
        <w:spacing w:line="402" w:lineRule="auto"/>
        <w:rPr>
          <w:rFonts w:ascii="Arial"/>
          <w:sz w:val="21"/>
        </w:rPr>
      </w:pPr>
      <w:r>
        <w:pict>
          <v:shape id="_x0000_s1290" o:spid="_x0000_s1290" style="position:absolute;left:0pt;margin-left:90pt;margin-top:57.35pt;height:0.75pt;width:415.3pt;mso-position-horizontal-relative:page;mso-position-vertical-relative:page;z-index:251943936;mso-width-relative:page;mso-height-relative:page;" fillcolor="#000000" filled="t" stroked="f" coordsize="8305,15" o:allowincell="f" path="m0,0l8305,0,8305,14,0,14,0,0xe">
            <v:path/>
            <v:fill on="t" focussize="0,0"/>
            <v:stroke on="f"/>
            <v:imagedata o:title=""/>
            <o:lock v:ext="edit"/>
          </v:shape>
        </w:pict>
      </w:r>
    </w:p>
    <w:p w14:paraId="0E6EE378">
      <w:pPr>
        <w:spacing w:before="74" w:line="227" w:lineRule="auto"/>
        <w:ind w:left="599"/>
        <w:rPr>
          <w:rFonts w:ascii="宋体" w:hAnsi="宋体" w:eastAsia="宋体" w:cs="宋体"/>
          <w:sz w:val="23"/>
          <w:szCs w:val="23"/>
        </w:rPr>
      </w:pPr>
      <w:r>
        <w:rPr>
          <w:rFonts w:ascii="宋体" w:hAnsi="宋体" w:eastAsia="宋体" w:cs="宋体"/>
          <w:spacing w:val="8"/>
          <w:sz w:val="23"/>
          <w:szCs w:val="23"/>
        </w:rPr>
        <w:t>污</w:t>
      </w:r>
      <w:r>
        <w:rPr>
          <w:rFonts w:ascii="宋体" w:hAnsi="宋体" w:eastAsia="宋体" w:cs="宋体"/>
          <w:spacing w:val="5"/>
          <w:sz w:val="23"/>
          <w:szCs w:val="23"/>
        </w:rPr>
        <w:t>染</w:t>
      </w:r>
      <w:r>
        <w:rPr>
          <w:rFonts w:ascii="宋体" w:hAnsi="宋体" w:eastAsia="宋体" w:cs="宋体"/>
          <w:spacing w:val="4"/>
          <w:sz w:val="23"/>
          <w:szCs w:val="23"/>
        </w:rPr>
        <w:t xml:space="preserve">影响型敏感程度分级见表 </w:t>
      </w:r>
      <w:r>
        <w:rPr>
          <w:rFonts w:ascii="Times New Roman" w:hAnsi="Times New Roman" w:eastAsia="Times New Roman" w:cs="Times New Roman"/>
          <w:spacing w:val="4"/>
          <w:sz w:val="23"/>
          <w:szCs w:val="23"/>
        </w:rPr>
        <w:t>5-23</w:t>
      </w:r>
      <w:r>
        <w:rPr>
          <w:rFonts w:ascii="宋体" w:hAnsi="宋体" w:eastAsia="宋体" w:cs="宋体"/>
          <w:spacing w:val="4"/>
          <w:sz w:val="23"/>
          <w:szCs w:val="23"/>
        </w:rPr>
        <w:t>。</w:t>
      </w:r>
    </w:p>
    <w:p w14:paraId="13842D75">
      <w:pPr>
        <w:spacing w:line="264" w:lineRule="auto"/>
        <w:rPr>
          <w:rFonts w:ascii="Arial"/>
          <w:sz w:val="21"/>
        </w:rPr>
      </w:pPr>
    </w:p>
    <w:p w14:paraId="058EB76D">
      <w:pPr>
        <w:spacing w:before="75" w:line="227" w:lineRule="auto"/>
        <w:ind w:left="2458"/>
        <w:rPr>
          <w:rFonts w:ascii="宋体" w:hAnsi="宋体" w:eastAsia="宋体" w:cs="宋体"/>
          <w:sz w:val="23"/>
          <w:szCs w:val="23"/>
        </w:rPr>
      </w:pPr>
      <w:r>
        <w:rPr>
          <w:rFonts w:ascii="宋体" w:hAnsi="宋体" w:eastAsia="宋体" w:cs="宋体"/>
          <w:spacing w:val="8"/>
          <w:sz w:val="23"/>
          <w:szCs w:val="23"/>
          <w14:textOutline w14:w="4358" w14:cap="sq" w14:cmpd="sng">
            <w14:solidFill>
              <w14:srgbClr w14:val="000000"/>
            </w14:solidFill>
            <w14:prstDash w14:val="solid"/>
            <w14:bevel/>
          </w14:textOutline>
        </w:rPr>
        <w:t>表</w:t>
      </w:r>
      <w:r>
        <w:rPr>
          <w:rFonts w:ascii="宋体" w:hAnsi="宋体" w:eastAsia="宋体" w:cs="宋体"/>
          <w:spacing w:val="8"/>
          <w:sz w:val="23"/>
          <w:szCs w:val="23"/>
        </w:rPr>
        <w:t xml:space="preserve"> </w:t>
      </w:r>
      <w:r>
        <w:rPr>
          <w:rFonts w:ascii="Times New Roman" w:hAnsi="Times New Roman" w:eastAsia="Times New Roman" w:cs="Times New Roman"/>
          <w:b/>
          <w:bCs/>
          <w:spacing w:val="8"/>
          <w:sz w:val="23"/>
          <w:szCs w:val="23"/>
        </w:rPr>
        <w:t>5</w:t>
      </w:r>
      <w:r>
        <w:rPr>
          <w:rFonts w:ascii="Times New Roman" w:hAnsi="Times New Roman" w:eastAsia="Times New Roman" w:cs="Times New Roman"/>
          <w:b/>
          <w:bCs/>
          <w:spacing w:val="4"/>
          <w:sz w:val="23"/>
          <w:szCs w:val="23"/>
        </w:rPr>
        <w:t>-23</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污染影响型敏感程度分级表</w:t>
      </w:r>
    </w:p>
    <w:p w14:paraId="3B60327C">
      <w:pPr>
        <w:spacing w:line="17"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2"/>
        <w:gridCol w:w="7310"/>
      </w:tblGrid>
      <w:tr w14:paraId="26D07A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212" w:type="dxa"/>
            <w:tcBorders>
              <w:left w:val="nil"/>
            </w:tcBorders>
            <w:vAlign w:val="top"/>
          </w:tcPr>
          <w:p w14:paraId="7795F43B">
            <w:pPr>
              <w:spacing w:before="76" w:line="228" w:lineRule="auto"/>
              <w:ind w:left="193"/>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敏</w:t>
            </w:r>
            <w:r>
              <w:rPr>
                <w:rFonts w:ascii="宋体" w:hAnsi="宋体" w:eastAsia="宋体" w:cs="宋体"/>
                <w:spacing w:val="8"/>
                <w:sz w:val="20"/>
                <w:szCs w:val="20"/>
                <w14:textOutline w14:w="3795" w14:cap="sq" w14:cmpd="sng">
                  <w14:solidFill>
                    <w14:srgbClr w14:val="000000"/>
                  </w14:solidFill>
                  <w14:prstDash w14:val="solid"/>
                  <w14:bevel/>
                </w14:textOutline>
              </w:rPr>
              <w:t>感程度</w:t>
            </w:r>
          </w:p>
        </w:tc>
        <w:tc>
          <w:tcPr>
            <w:tcW w:w="7310" w:type="dxa"/>
            <w:tcBorders>
              <w:right w:val="nil"/>
            </w:tcBorders>
            <w:vAlign w:val="top"/>
          </w:tcPr>
          <w:p w14:paraId="60590A9F">
            <w:pPr>
              <w:spacing w:before="76" w:line="227" w:lineRule="auto"/>
              <w:ind w:left="3240"/>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判</w:t>
            </w:r>
            <w:r>
              <w:rPr>
                <w:rFonts w:ascii="宋体" w:hAnsi="宋体" w:eastAsia="宋体" w:cs="宋体"/>
                <w:spacing w:val="8"/>
                <w:sz w:val="20"/>
                <w:szCs w:val="20"/>
                <w14:textOutline w14:w="3795" w14:cap="sq" w14:cmpd="sng">
                  <w14:solidFill>
                    <w14:srgbClr w14:val="000000"/>
                  </w14:solidFill>
                  <w14:prstDash w14:val="solid"/>
                  <w14:bevel/>
                </w14:textOutline>
              </w:rPr>
              <w:t>别依据</w:t>
            </w:r>
          </w:p>
        </w:tc>
      </w:tr>
      <w:tr w14:paraId="4202F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212" w:type="dxa"/>
            <w:tcBorders>
              <w:left w:val="nil"/>
            </w:tcBorders>
            <w:vAlign w:val="top"/>
          </w:tcPr>
          <w:p w14:paraId="3DF621C7">
            <w:pPr>
              <w:spacing w:before="208" w:line="228" w:lineRule="auto"/>
              <w:ind w:left="404"/>
              <w:rPr>
                <w:rFonts w:ascii="宋体" w:hAnsi="宋体" w:eastAsia="宋体" w:cs="宋体"/>
                <w:sz w:val="20"/>
                <w:szCs w:val="20"/>
              </w:rPr>
            </w:pPr>
            <w:r>
              <w:rPr>
                <w:rFonts w:ascii="宋体" w:hAnsi="宋体" w:eastAsia="宋体" w:cs="宋体"/>
                <w:spacing w:val="4"/>
                <w:sz w:val="20"/>
                <w:szCs w:val="20"/>
              </w:rPr>
              <w:t>敏感</w:t>
            </w:r>
          </w:p>
        </w:tc>
        <w:tc>
          <w:tcPr>
            <w:tcW w:w="7310" w:type="dxa"/>
            <w:tcBorders>
              <w:right w:val="nil"/>
            </w:tcBorders>
            <w:vAlign w:val="top"/>
          </w:tcPr>
          <w:p w14:paraId="744F28F4">
            <w:pPr>
              <w:spacing w:before="52" w:line="258" w:lineRule="auto"/>
              <w:ind w:left="112" w:right="36" w:firstLine="3"/>
              <w:rPr>
                <w:rFonts w:ascii="宋体" w:hAnsi="宋体" w:eastAsia="宋体" w:cs="宋体"/>
                <w:sz w:val="20"/>
                <w:szCs w:val="20"/>
              </w:rPr>
            </w:pPr>
            <w:r>
              <w:rPr>
                <w:rFonts w:ascii="宋体" w:hAnsi="宋体" w:eastAsia="宋体" w:cs="宋体"/>
                <w:spacing w:val="8"/>
                <w:sz w:val="20"/>
                <w:szCs w:val="20"/>
              </w:rPr>
              <w:t>建设项</w:t>
            </w:r>
            <w:r>
              <w:rPr>
                <w:rFonts w:ascii="宋体" w:hAnsi="宋体" w:eastAsia="宋体" w:cs="宋体"/>
                <w:spacing w:val="6"/>
                <w:sz w:val="20"/>
                <w:szCs w:val="20"/>
              </w:rPr>
              <w:t>目</w:t>
            </w:r>
            <w:r>
              <w:rPr>
                <w:rFonts w:ascii="宋体" w:hAnsi="宋体" w:eastAsia="宋体" w:cs="宋体"/>
                <w:spacing w:val="4"/>
                <w:sz w:val="20"/>
                <w:szCs w:val="20"/>
              </w:rPr>
              <w:t>周边存在耕地、园地、牧草地、饮用水水源地或居民区、学校、医院、</w:t>
            </w:r>
            <w:r>
              <w:rPr>
                <w:rFonts w:ascii="宋体" w:hAnsi="宋体" w:eastAsia="宋体" w:cs="宋体"/>
                <w:sz w:val="20"/>
                <w:szCs w:val="20"/>
              </w:rPr>
              <w:t xml:space="preserve"> </w:t>
            </w:r>
            <w:r>
              <w:rPr>
                <w:rFonts w:ascii="宋体" w:hAnsi="宋体" w:eastAsia="宋体" w:cs="宋体"/>
                <w:spacing w:val="9"/>
                <w:sz w:val="20"/>
                <w:szCs w:val="20"/>
              </w:rPr>
              <w:t>疗养院、养老院等土壤环境敏感目标</w:t>
            </w:r>
            <w:r>
              <w:rPr>
                <w:rFonts w:ascii="宋体" w:hAnsi="宋体" w:eastAsia="宋体" w:cs="宋体"/>
                <w:spacing w:val="6"/>
                <w:sz w:val="20"/>
                <w:szCs w:val="20"/>
              </w:rPr>
              <w:t>。</w:t>
            </w:r>
          </w:p>
        </w:tc>
      </w:tr>
      <w:tr w14:paraId="379709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212" w:type="dxa"/>
            <w:tcBorders>
              <w:left w:val="nil"/>
            </w:tcBorders>
            <w:vAlign w:val="top"/>
          </w:tcPr>
          <w:p w14:paraId="53F29D14">
            <w:pPr>
              <w:spacing w:before="54" w:line="228" w:lineRule="auto"/>
              <w:ind w:left="298"/>
              <w:rPr>
                <w:rFonts w:ascii="宋体" w:hAnsi="宋体" w:eastAsia="宋体" w:cs="宋体"/>
                <w:sz w:val="20"/>
                <w:szCs w:val="20"/>
              </w:rPr>
            </w:pPr>
            <w:r>
              <w:rPr>
                <w:rFonts w:ascii="宋体" w:hAnsi="宋体" w:eastAsia="宋体" w:cs="宋体"/>
                <w:spacing w:val="7"/>
                <w:sz w:val="20"/>
                <w:szCs w:val="20"/>
              </w:rPr>
              <w:t>较敏</w:t>
            </w:r>
            <w:r>
              <w:rPr>
                <w:rFonts w:ascii="宋体" w:hAnsi="宋体" w:eastAsia="宋体" w:cs="宋体"/>
                <w:spacing w:val="6"/>
                <w:sz w:val="20"/>
                <w:szCs w:val="20"/>
              </w:rPr>
              <w:t>感</w:t>
            </w:r>
          </w:p>
        </w:tc>
        <w:tc>
          <w:tcPr>
            <w:tcW w:w="7310" w:type="dxa"/>
            <w:tcBorders>
              <w:right w:val="nil"/>
            </w:tcBorders>
            <w:vAlign w:val="top"/>
          </w:tcPr>
          <w:p w14:paraId="41C4399F">
            <w:pPr>
              <w:spacing w:before="54" w:line="228" w:lineRule="auto"/>
              <w:ind w:left="116"/>
              <w:rPr>
                <w:rFonts w:ascii="宋体" w:hAnsi="宋体" w:eastAsia="宋体" w:cs="宋体"/>
                <w:sz w:val="20"/>
                <w:szCs w:val="20"/>
              </w:rPr>
            </w:pPr>
            <w:r>
              <w:rPr>
                <w:rFonts w:ascii="宋体" w:hAnsi="宋体" w:eastAsia="宋体" w:cs="宋体"/>
                <w:spacing w:val="16"/>
                <w:sz w:val="20"/>
                <w:szCs w:val="20"/>
              </w:rPr>
              <w:t>建</w:t>
            </w:r>
            <w:r>
              <w:rPr>
                <w:rFonts w:ascii="宋体" w:hAnsi="宋体" w:eastAsia="宋体" w:cs="宋体"/>
                <w:spacing w:val="9"/>
                <w:sz w:val="20"/>
                <w:szCs w:val="20"/>
              </w:rPr>
              <w:t>设项目周边存在其他土壤环境敏感目标的</w:t>
            </w:r>
          </w:p>
        </w:tc>
      </w:tr>
      <w:tr w14:paraId="08642B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212" w:type="dxa"/>
            <w:tcBorders>
              <w:left w:val="nil"/>
            </w:tcBorders>
            <w:vAlign w:val="top"/>
          </w:tcPr>
          <w:p w14:paraId="4A1A7B85">
            <w:pPr>
              <w:spacing w:before="54" w:line="228" w:lineRule="auto"/>
              <w:ind w:left="301"/>
              <w:rPr>
                <w:rFonts w:ascii="宋体" w:hAnsi="宋体" w:eastAsia="宋体" w:cs="宋体"/>
                <w:sz w:val="20"/>
                <w:szCs w:val="20"/>
              </w:rPr>
            </w:pPr>
            <w:r>
              <w:rPr>
                <w:rFonts w:ascii="宋体" w:hAnsi="宋体" w:eastAsia="宋体" w:cs="宋体"/>
                <w:spacing w:val="6"/>
                <w:sz w:val="20"/>
                <w:szCs w:val="20"/>
              </w:rPr>
              <w:t>不敏</w:t>
            </w:r>
            <w:r>
              <w:rPr>
                <w:rFonts w:ascii="宋体" w:hAnsi="宋体" w:eastAsia="宋体" w:cs="宋体"/>
                <w:spacing w:val="5"/>
                <w:sz w:val="20"/>
                <w:szCs w:val="20"/>
              </w:rPr>
              <w:t>感</w:t>
            </w:r>
          </w:p>
        </w:tc>
        <w:tc>
          <w:tcPr>
            <w:tcW w:w="7310" w:type="dxa"/>
            <w:tcBorders>
              <w:right w:val="nil"/>
            </w:tcBorders>
            <w:vAlign w:val="top"/>
          </w:tcPr>
          <w:p w14:paraId="1D71C0FD">
            <w:pPr>
              <w:spacing w:before="55" w:line="228" w:lineRule="auto"/>
              <w:ind w:left="114"/>
              <w:rPr>
                <w:rFonts w:ascii="宋体" w:hAnsi="宋体" w:eastAsia="宋体" w:cs="宋体"/>
                <w:sz w:val="20"/>
                <w:szCs w:val="20"/>
              </w:rPr>
            </w:pPr>
            <w:r>
              <w:rPr>
                <w:rFonts w:ascii="宋体" w:hAnsi="宋体" w:eastAsia="宋体" w:cs="宋体"/>
                <w:spacing w:val="7"/>
                <w:sz w:val="20"/>
                <w:szCs w:val="20"/>
              </w:rPr>
              <w:t>其他情况</w:t>
            </w:r>
          </w:p>
        </w:tc>
      </w:tr>
    </w:tbl>
    <w:p w14:paraId="081742D9">
      <w:pPr>
        <w:spacing w:line="258" w:lineRule="auto"/>
        <w:rPr>
          <w:rFonts w:ascii="Arial"/>
          <w:sz w:val="21"/>
        </w:rPr>
      </w:pPr>
    </w:p>
    <w:p w14:paraId="084BA251">
      <w:pPr>
        <w:spacing w:before="75" w:line="381" w:lineRule="auto"/>
        <w:ind w:left="118" w:right="41" w:firstLine="481"/>
        <w:rPr>
          <w:rFonts w:ascii="宋体" w:hAnsi="宋体" w:eastAsia="宋体" w:cs="宋体"/>
          <w:sz w:val="23"/>
          <w:szCs w:val="23"/>
        </w:rPr>
      </w:pPr>
      <w:r>
        <w:rPr>
          <w:rFonts w:ascii="宋体" w:hAnsi="宋体" w:eastAsia="宋体" w:cs="宋体"/>
          <w:spacing w:val="4"/>
          <w:sz w:val="23"/>
          <w:szCs w:val="23"/>
        </w:rPr>
        <w:t xml:space="preserve">根据《环境影响评价技术导则  </w:t>
      </w:r>
      <w:r>
        <w:rPr>
          <w:rFonts w:ascii="宋体" w:hAnsi="宋体" w:eastAsia="宋体" w:cs="宋体"/>
          <w:spacing w:val="2"/>
          <w:sz w:val="23"/>
          <w:szCs w:val="23"/>
        </w:rPr>
        <w:t>土壤环境 (试行) 》  (</w:t>
      </w:r>
      <w:r>
        <w:rPr>
          <w:rFonts w:ascii="Times New Roman" w:hAnsi="Times New Roman" w:eastAsia="Times New Roman" w:cs="Times New Roman"/>
          <w:sz w:val="23"/>
          <w:szCs w:val="23"/>
        </w:rPr>
        <w:t>HJ</w:t>
      </w:r>
      <w:r>
        <w:rPr>
          <w:rFonts w:ascii="Times New Roman" w:hAnsi="Times New Roman" w:eastAsia="Times New Roman" w:cs="Times New Roman"/>
          <w:spacing w:val="2"/>
          <w:sz w:val="23"/>
          <w:szCs w:val="23"/>
        </w:rPr>
        <w:t>964-2018</w:t>
      </w:r>
      <w:r>
        <w:rPr>
          <w:rFonts w:ascii="宋体" w:hAnsi="宋体" w:eastAsia="宋体" w:cs="宋体"/>
          <w:spacing w:val="2"/>
          <w:sz w:val="23"/>
          <w:szCs w:val="23"/>
        </w:rPr>
        <w:t xml:space="preserve">) </w:t>
      </w:r>
      <w:r>
        <w:rPr>
          <w:rFonts w:ascii="Times New Roman" w:hAnsi="Times New Roman" w:eastAsia="Times New Roman" w:cs="Times New Roman"/>
          <w:spacing w:val="2"/>
          <w:sz w:val="23"/>
          <w:szCs w:val="23"/>
        </w:rPr>
        <w:t>6.2.2. 1</w:t>
      </w:r>
      <w:r>
        <w:rPr>
          <w:rFonts w:ascii="Times New Roman" w:hAnsi="Times New Roman" w:eastAsia="Times New Roman" w:cs="Times New Roman"/>
          <w:sz w:val="23"/>
          <w:szCs w:val="23"/>
        </w:rPr>
        <w:t xml:space="preserve"> </w:t>
      </w:r>
      <w:r>
        <w:rPr>
          <w:rFonts w:ascii="宋体" w:hAnsi="宋体" w:eastAsia="宋体" w:cs="宋体"/>
          <w:spacing w:val="-4"/>
          <w:sz w:val="23"/>
          <w:szCs w:val="23"/>
        </w:rPr>
        <w:t>规定：将建设项目占地规模分为大</w:t>
      </w:r>
      <w:r>
        <w:rPr>
          <w:rFonts w:ascii="宋体" w:hAnsi="宋体" w:eastAsia="宋体" w:cs="宋体"/>
          <w:spacing w:val="-2"/>
          <w:sz w:val="23"/>
          <w:szCs w:val="23"/>
        </w:rPr>
        <w:t>型(</w:t>
      </w:r>
      <w:r>
        <w:rPr>
          <w:rFonts w:ascii="Times New Roman" w:hAnsi="Times New Roman" w:eastAsia="Times New Roman" w:cs="Times New Roman"/>
          <w:spacing w:val="-2"/>
          <w:sz w:val="23"/>
          <w:szCs w:val="23"/>
        </w:rPr>
        <w:t>≥50hm</w:t>
      </w:r>
      <w:r>
        <w:rPr>
          <w:rFonts w:ascii="Times New Roman" w:hAnsi="Times New Roman" w:eastAsia="Times New Roman" w:cs="Times New Roman"/>
          <w:spacing w:val="-2"/>
          <w:position w:val="8"/>
          <w:sz w:val="15"/>
          <w:szCs w:val="15"/>
        </w:rPr>
        <w:t xml:space="preserve">2 </w:t>
      </w:r>
      <w:r>
        <w:rPr>
          <w:rFonts w:ascii="宋体" w:hAnsi="宋体" w:eastAsia="宋体" w:cs="宋体"/>
          <w:spacing w:val="-2"/>
          <w:sz w:val="23"/>
          <w:szCs w:val="23"/>
        </w:rPr>
        <w:t>) 、中型(</w:t>
      </w:r>
      <w:r>
        <w:rPr>
          <w:rFonts w:ascii="Times New Roman" w:hAnsi="Times New Roman" w:eastAsia="Times New Roman" w:cs="Times New Roman"/>
          <w:spacing w:val="-2"/>
          <w:sz w:val="23"/>
          <w:szCs w:val="23"/>
        </w:rPr>
        <w:t>5~50hm</w:t>
      </w:r>
      <w:r>
        <w:rPr>
          <w:rFonts w:ascii="Times New Roman" w:hAnsi="Times New Roman" w:eastAsia="Times New Roman" w:cs="Times New Roman"/>
          <w:spacing w:val="-2"/>
          <w:position w:val="8"/>
          <w:sz w:val="15"/>
          <w:szCs w:val="15"/>
        </w:rPr>
        <w:t xml:space="preserve">2 </w:t>
      </w:r>
      <w:r>
        <w:rPr>
          <w:rFonts w:ascii="宋体" w:hAnsi="宋体" w:eastAsia="宋体" w:cs="宋体"/>
          <w:spacing w:val="-2"/>
          <w:sz w:val="23"/>
          <w:szCs w:val="23"/>
        </w:rPr>
        <w:t>) 、小型(</w:t>
      </w:r>
      <w:r>
        <w:rPr>
          <w:rFonts w:ascii="Times New Roman" w:hAnsi="Times New Roman" w:eastAsia="Times New Roman" w:cs="Times New Roman"/>
          <w:spacing w:val="-2"/>
          <w:sz w:val="23"/>
          <w:szCs w:val="23"/>
        </w:rPr>
        <w:t>≤5hm</w:t>
      </w:r>
      <w:r>
        <w:rPr>
          <w:rFonts w:ascii="Times New Roman" w:hAnsi="Times New Roman" w:eastAsia="Times New Roman" w:cs="Times New Roman"/>
          <w:spacing w:val="-2"/>
          <w:position w:val="8"/>
          <w:sz w:val="15"/>
          <w:szCs w:val="15"/>
        </w:rPr>
        <w:t xml:space="preserve">2 </w:t>
      </w:r>
      <w:r>
        <w:rPr>
          <w:rFonts w:ascii="宋体" w:hAnsi="宋体" w:eastAsia="宋体" w:cs="宋体"/>
          <w:spacing w:val="-2"/>
          <w:sz w:val="23"/>
          <w:szCs w:val="23"/>
        </w:rPr>
        <w:t>)，</w:t>
      </w:r>
      <w:r>
        <w:rPr>
          <w:rFonts w:ascii="宋体" w:hAnsi="宋体" w:eastAsia="宋体" w:cs="宋体"/>
          <w:sz w:val="23"/>
          <w:szCs w:val="23"/>
        </w:rPr>
        <w:t xml:space="preserve"> </w:t>
      </w:r>
      <w:r>
        <w:rPr>
          <w:rFonts w:ascii="宋体" w:hAnsi="宋体" w:eastAsia="宋体" w:cs="宋体"/>
          <w:spacing w:val="15"/>
          <w:sz w:val="23"/>
          <w:szCs w:val="23"/>
        </w:rPr>
        <w:t>建</w:t>
      </w:r>
      <w:r>
        <w:rPr>
          <w:rFonts w:ascii="宋体" w:hAnsi="宋体" w:eastAsia="宋体" w:cs="宋体"/>
          <w:spacing w:val="8"/>
          <w:sz w:val="23"/>
          <w:szCs w:val="23"/>
        </w:rPr>
        <w:t>设项目占地主要为永久占地。</w:t>
      </w:r>
    </w:p>
    <w:p w14:paraId="2D7855D8">
      <w:pPr>
        <w:spacing w:before="172" w:line="226" w:lineRule="auto"/>
        <w:ind w:left="598"/>
        <w:rPr>
          <w:rFonts w:ascii="宋体" w:hAnsi="宋体" w:eastAsia="宋体" w:cs="宋体"/>
          <w:sz w:val="23"/>
          <w:szCs w:val="23"/>
        </w:rPr>
      </w:pPr>
      <w:r>
        <w:rPr>
          <w:rFonts w:ascii="宋体" w:hAnsi="宋体" w:eastAsia="宋体" w:cs="宋体"/>
          <w:spacing w:val="8"/>
          <w:sz w:val="23"/>
          <w:szCs w:val="23"/>
        </w:rPr>
        <w:t>土壤环</w:t>
      </w:r>
      <w:r>
        <w:rPr>
          <w:rFonts w:ascii="宋体" w:hAnsi="宋体" w:eastAsia="宋体" w:cs="宋体"/>
          <w:spacing w:val="4"/>
          <w:sz w:val="23"/>
          <w:szCs w:val="23"/>
        </w:rPr>
        <w:t xml:space="preserve">境影响评价项目类别见表 </w:t>
      </w:r>
      <w:r>
        <w:rPr>
          <w:rFonts w:ascii="Times New Roman" w:hAnsi="Times New Roman" w:eastAsia="Times New Roman" w:cs="Times New Roman"/>
          <w:spacing w:val="4"/>
          <w:sz w:val="23"/>
          <w:szCs w:val="23"/>
        </w:rPr>
        <w:t>5-24</w:t>
      </w:r>
      <w:r>
        <w:rPr>
          <w:rFonts w:ascii="宋体" w:hAnsi="宋体" w:eastAsia="宋体" w:cs="宋体"/>
          <w:spacing w:val="4"/>
          <w:sz w:val="23"/>
          <w:szCs w:val="23"/>
        </w:rPr>
        <w:t>。</w:t>
      </w:r>
    </w:p>
    <w:p w14:paraId="382957A0">
      <w:pPr>
        <w:spacing w:line="277" w:lineRule="auto"/>
        <w:rPr>
          <w:rFonts w:ascii="Arial"/>
          <w:sz w:val="21"/>
        </w:rPr>
      </w:pPr>
    </w:p>
    <w:p w14:paraId="63EAF573">
      <w:pPr>
        <w:spacing w:before="76" w:line="226" w:lineRule="auto"/>
        <w:ind w:left="2458"/>
        <w:rPr>
          <w:rFonts w:ascii="宋体" w:hAnsi="宋体" w:eastAsia="宋体" w:cs="宋体"/>
          <w:sz w:val="23"/>
          <w:szCs w:val="23"/>
        </w:rPr>
      </w:pPr>
      <w:r>
        <w:rPr>
          <w:rFonts w:ascii="宋体" w:hAnsi="宋体" w:eastAsia="宋体" w:cs="宋体"/>
          <w:spacing w:val="8"/>
          <w:sz w:val="23"/>
          <w:szCs w:val="23"/>
          <w14:textOutline w14:w="4358" w14:cap="sq" w14:cmpd="sng">
            <w14:solidFill>
              <w14:srgbClr w14:val="000000"/>
            </w14:solidFill>
            <w14:prstDash w14:val="solid"/>
            <w14:bevel/>
          </w14:textOutline>
        </w:rPr>
        <w:t>表</w:t>
      </w:r>
      <w:r>
        <w:rPr>
          <w:rFonts w:ascii="宋体" w:hAnsi="宋体" w:eastAsia="宋体" w:cs="宋体"/>
          <w:spacing w:val="8"/>
          <w:sz w:val="23"/>
          <w:szCs w:val="23"/>
        </w:rPr>
        <w:t xml:space="preserve"> </w:t>
      </w:r>
      <w:r>
        <w:rPr>
          <w:rFonts w:ascii="Times New Roman" w:hAnsi="Times New Roman" w:eastAsia="Times New Roman" w:cs="Times New Roman"/>
          <w:b/>
          <w:bCs/>
          <w:spacing w:val="8"/>
          <w:sz w:val="23"/>
          <w:szCs w:val="23"/>
        </w:rPr>
        <w:t>5</w:t>
      </w:r>
      <w:r>
        <w:rPr>
          <w:rFonts w:ascii="Times New Roman" w:hAnsi="Times New Roman" w:eastAsia="Times New Roman" w:cs="Times New Roman"/>
          <w:b/>
          <w:bCs/>
          <w:spacing w:val="4"/>
          <w:sz w:val="23"/>
          <w:szCs w:val="23"/>
        </w:rPr>
        <w:t>-24</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土壤环境影响评价项目类别</w:t>
      </w:r>
    </w:p>
    <w:p w14:paraId="744A65D8">
      <w:pPr>
        <w:spacing w:line="20"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7"/>
        <w:gridCol w:w="1392"/>
        <w:gridCol w:w="2568"/>
        <w:gridCol w:w="2742"/>
        <w:gridCol w:w="713"/>
      </w:tblGrid>
      <w:tr w14:paraId="214604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56" w:hRule="atLeast"/>
        </w:trPr>
        <w:tc>
          <w:tcPr>
            <w:tcW w:w="1107" w:type="dxa"/>
            <w:vMerge w:val="restart"/>
            <w:tcBorders>
              <w:left w:val="nil"/>
              <w:bottom w:val="nil"/>
            </w:tcBorders>
            <w:vAlign w:val="top"/>
          </w:tcPr>
          <w:p w14:paraId="127FCE25">
            <w:pPr>
              <w:spacing w:before="252" w:line="228" w:lineRule="auto"/>
              <w:ind w:left="143"/>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行</w:t>
            </w:r>
            <w:r>
              <w:rPr>
                <w:rFonts w:ascii="宋体" w:hAnsi="宋体" w:eastAsia="宋体" w:cs="宋体"/>
                <w:spacing w:val="7"/>
                <w:sz w:val="20"/>
                <w:szCs w:val="20"/>
                <w14:textOutline w14:w="3795" w14:cap="sq" w14:cmpd="sng">
                  <w14:solidFill>
                    <w14:srgbClr w14:val="000000"/>
                  </w14:solidFill>
                  <w14:prstDash w14:val="solid"/>
                  <w14:bevel/>
                </w14:textOutline>
              </w:rPr>
              <w:t>业类别</w:t>
            </w:r>
          </w:p>
        </w:tc>
        <w:tc>
          <w:tcPr>
            <w:tcW w:w="7415" w:type="dxa"/>
            <w:gridSpan w:val="4"/>
            <w:tcBorders>
              <w:right w:val="nil"/>
            </w:tcBorders>
            <w:vAlign w:val="top"/>
          </w:tcPr>
          <w:p w14:paraId="628F4D2F">
            <w:pPr>
              <w:spacing w:before="84" w:line="228" w:lineRule="auto"/>
              <w:ind w:left="3296"/>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项</w:t>
            </w:r>
            <w:r>
              <w:rPr>
                <w:rFonts w:ascii="宋体" w:hAnsi="宋体" w:eastAsia="宋体" w:cs="宋体"/>
                <w:spacing w:val="7"/>
                <w:sz w:val="20"/>
                <w:szCs w:val="20"/>
                <w14:textOutline w14:w="3795" w14:cap="sq" w14:cmpd="sng">
                  <w14:solidFill>
                    <w14:srgbClr w14:val="000000"/>
                  </w14:solidFill>
                  <w14:prstDash w14:val="solid"/>
                  <w14:bevel/>
                </w14:textOutline>
              </w:rPr>
              <w:t>目类别</w:t>
            </w:r>
          </w:p>
        </w:tc>
      </w:tr>
      <w:tr w14:paraId="005A1A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107" w:type="dxa"/>
            <w:vMerge w:val="continue"/>
            <w:tcBorders>
              <w:top w:val="nil"/>
              <w:left w:val="nil"/>
            </w:tcBorders>
            <w:vAlign w:val="top"/>
          </w:tcPr>
          <w:p w14:paraId="5D786A00">
            <w:pPr>
              <w:rPr>
                <w:rFonts w:ascii="Arial"/>
                <w:sz w:val="21"/>
              </w:rPr>
            </w:pPr>
          </w:p>
        </w:tc>
        <w:tc>
          <w:tcPr>
            <w:tcW w:w="1392" w:type="dxa"/>
            <w:vAlign w:val="top"/>
          </w:tcPr>
          <w:p w14:paraId="74E14E51">
            <w:pPr>
              <w:spacing w:before="61" w:line="228" w:lineRule="auto"/>
              <w:ind w:left="550"/>
              <w:rPr>
                <w:rFonts w:ascii="宋体" w:hAnsi="宋体" w:eastAsia="宋体" w:cs="宋体"/>
                <w:sz w:val="20"/>
                <w:szCs w:val="20"/>
              </w:rPr>
            </w:pPr>
            <w:r>
              <w:rPr>
                <w:rFonts w:ascii="Times New Roman" w:hAnsi="Times New Roman" w:eastAsia="Times New Roman" w:cs="Times New Roman"/>
                <w:b/>
                <w:bCs/>
                <w:spacing w:val="4"/>
                <w:sz w:val="20"/>
                <w:szCs w:val="20"/>
              </w:rPr>
              <w:t>Ⅰ</w:t>
            </w:r>
            <w:r>
              <w:rPr>
                <w:rFonts w:ascii="宋体" w:hAnsi="宋体" w:eastAsia="宋体" w:cs="宋体"/>
                <w:spacing w:val="4"/>
                <w:sz w:val="20"/>
                <w:szCs w:val="20"/>
                <w14:textOutline w14:w="3795" w14:cap="sq" w14:cmpd="sng">
                  <w14:solidFill>
                    <w14:srgbClr w14:val="000000"/>
                  </w14:solidFill>
                  <w14:prstDash w14:val="solid"/>
                  <w14:bevel/>
                </w14:textOutline>
              </w:rPr>
              <w:t>类</w:t>
            </w:r>
          </w:p>
        </w:tc>
        <w:tc>
          <w:tcPr>
            <w:tcW w:w="2568" w:type="dxa"/>
            <w:vAlign w:val="top"/>
          </w:tcPr>
          <w:p w14:paraId="389DB572">
            <w:pPr>
              <w:spacing w:before="61" w:line="228" w:lineRule="auto"/>
              <w:ind w:left="1100"/>
              <w:rPr>
                <w:rFonts w:ascii="宋体" w:hAnsi="宋体" w:eastAsia="宋体" w:cs="宋体"/>
                <w:sz w:val="20"/>
                <w:szCs w:val="20"/>
              </w:rPr>
            </w:pPr>
            <w:r>
              <w:rPr>
                <w:rFonts w:ascii="Times New Roman" w:hAnsi="Times New Roman" w:eastAsia="Times New Roman" w:cs="Times New Roman"/>
                <w:b/>
                <w:bCs/>
                <w:spacing w:val="6"/>
                <w:sz w:val="20"/>
                <w:szCs w:val="20"/>
              </w:rPr>
              <w:t>Ⅱ</w:t>
            </w:r>
            <w:r>
              <w:rPr>
                <w:rFonts w:ascii="宋体" w:hAnsi="宋体" w:eastAsia="宋体" w:cs="宋体"/>
                <w:spacing w:val="6"/>
                <w:sz w:val="20"/>
                <w:szCs w:val="20"/>
                <w14:textOutline w14:w="3795" w14:cap="sq" w14:cmpd="sng">
                  <w14:solidFill>
                    <w14:srgbClr w14:val="000000"/>
                  </w14:solidFill>
                  <w14:prstDash w14:val="solid"/>
                  <w14:bevel/>
                </w14:textOutline>
              </w:rPr>
              <w:t>类</w:t>
            </w:r>
          </w:p>
        </w:tc>
        <w:tc>
          <w:tcPr>
            <w:tcW w:w="2742" w:type="dxa"/>
            <w:vAlign w:val="top"/>
          </w:tcPr>
          <w:p w14:paraId="586E4E60">
            <w:pPr>
              <w:spacing w:before="61" w:line="228" w:lineRule="auto"/>
              <w:ind w:left="1148"/>
              <w:rPr>
                <w:rFonts w:ascii="宋体" w:hAnsi="宋体" w:eastAsia="宋体" w:cs="宋体"/>
                <w:sz w:val="20"/>
                <w:szCs w:val="20"/>
              </w:rPr>
            </w:pPr>
            <w:r>
              <w:rPr>
                <w:rFonts w:ascii="Times New Roman" w:hAnsi="Times New Roman" w:eastAsia="Times New Roman" w:cs="Times New Roman"/>
                <w:b/>
                <w:bCs/>
                <w:spacing w:val="7"/>
                <w:sz w:val="20"/>
                <w:szCs w:val="20"/>
              </w:rPr>
              <w:t>Ⅲ</w:t>
            </w:r>
            <w:r>
              <w:rPr>
                <w:rFonts w:ascii="宋体" w:hAnsi="宋体" w:eastAsia="宋体" w:cs="宋体"/>
                <w:spacing w:val="7"/>
                <w:sz w:val="20"/>
                <w:szCs w:val="20"/>
                <w14:textOutline w14:w="3795" w14:cap="sq" w14:cmpd="sng">
                  <w14:solidFill>
                    <w14:srgbClr w14:val="000000"/>
                  </w14:solidFill>
                  <w14:prstDash w14:val="solid"/>
                  <w14:bevel/>
                </w14:textOutline>
              </w:rPr>
              <w:t>类</w:t>
            </w:r>
          </w:p>
        </w:tc>
        <w:tc>
          <w:tcPr>
            <w:tcW w:w="713" w:type="dxa"/>
            <w:tcBorders>
              <w:right w:val="nil"/>
            </w:tcBorders>
            <w:vAlign w:val="top"/>
          </w:tcPr>
          <w:p w14:paraId="6776C92E">
            <w:pPr>
              <w:spacing w:before="61" w:line="228" w:lineRule="auto"/>
              <w:ind w:left="136"/>
              <w:rPr>
                <w:rFonts w:ascii="宋体" w:hAnsi="宋体" w:eastAsia="宋体" w:cs="宋体"/>
                <w:sz w:val="20"/>
                <w:szCs w:val="20"/>
              </w:rPr>
            </w:pPr>
            <w:r>
              <w:rPr>
                <w:rFonts w:ascii="Times New Roman" w:hAnsi="Times New Roman" w:eastAsia="Times New Roman" w:cs="Times New Roman"/>
                <w:b/>
                <w:bCs/>
                <w:spacing w:val="8"/>
                <w:sz w:val="20"/>
                <w:szCs w:val="20"/>
              </w:rPr>
              <w:t>Ⅳ</w:t>
            </w:r>
            <w:r>
              <w:rPr>
                <w:rFonts w:ascii="宋体" w:hAnsi="宋体" w:eastAsia="宋体" w:cs="宋体"/>
                <w:spacing w:val="7"/>
                <w:sz w:val="20"/>
                <w:szCs w:val="20"/>
                <w14:textOutline w14:w="3795" w14:cap="sq" w14:cmpd="sng">
                  <w14:solidFill>
                    <w14:srgbClr w14:val="000000"/>
                  </w14:solidFill>
                  <w14:prstDash w14:val="solid"/>
                  <w14:bevel/>
                </w14:textOutline>
              </w:rPr>
              <w:t>类</w:t>
            </w:r>
          </w:p>
        </w:tc>
      </w:tr>
      <w:tr w14:paraId="3638BC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1" w:hRule="atLeast"/>
        </w:trPr>
        <w:tc>
          <w:tcPr>
            <w:tcW w:w="1107" w:type="dxa"/>
            <w:tcBorders>
              <w:left w:val="nil"/>
            </w:tcBorders>
            <w:vAlign w:val="top"/>
          </w:tcPr>
          <w:p w14:paraId="1E3F62EF">
            <w:pPr>
              <w:spacing w:line="267" w:lineRule="auto"/>
              <w:rPr>
                <w:rFonts w:ascii="Arial"/>
                <w:sz w:val="21"/>
              </w:rPr>
            </w:pPr>
          </w:p>
          <w:p w14:paraId="09D583B5">
            <w:pPr>
              <w:spacing w:before="65" w:line="265" w:lineRule="auto"/>
              <w:ind w:left="39" w:right="26" w:hanging="3"/>
              <w:rPr>
                <w:rFonts w:ascii="宋体" w:hAnsi="宋体" w:eastAsia="宋体" w:cs="宋体"/>
                <w:sz w:val="20"/>
                <w:szCs w:val="20"/>
              </w:rPr>
            </w:pPr>
            <w:r>
              <w:rPr>
                <w:rFonts w:ascii="宋体" w:hAnsi="宋体" w:eastAsia="宋体" w:cs="宋体"/>
                <w:spacing w:val="8"/>
                <w:sz w:val="20"/>
                <w:szCs w:val="20"/>
              </w:rPr>
              <w:t>环境和公共</w:t>
            </w:r>
            <w:r>
              <w:rPr>
                <w:rFonts w:ascii="宋体" w:hAnsi="宋体" w:eastAsia="宋体" w:cs="宋体"/>
                <w:sz w:val="20"/>
                <w:szCs w:val="20"/>
              </w:rPr>
              <w:t xml:space="preserve"> </w:t>
            </w:r>
            <w:r>
              <w:rPr>
                <w:rFonts w:ascii="宋体" w:hAnsi="宋体" w:eastAsia="宋体" w:cs="宋体"/>
                <w:spacing w:val="9"/>
                <w:sz w:val="20"/>
                <w:szCs w:val="20"/>
              </w:rPr>
              <w:t>设</w:t>
            </w:r>
            <w:r>
              <w:rPr>
                <w:rFonts w:ascii="宋体" w:hAnsi="宋体" w:eastAsia="宋体" w:cs="宋体"/>
                <w:spacing w:val="7"/>
                <w:sz w:val="20"/>
                <w:szCs w:val="20"/>
              </w:rPr>
              <w:t>施管理业</w:t>
            </w:r>
          </w:p>
        </w:tc>
        <w:tc>
          <w:tcPr>
            <w:tcW w:w="1392" w:type="dxa"/>
            <w:vAlign w:val="top"/>
          </w:tcPr>
          <w:p w14:paraId="79454194">
            <w:pPr>
              <w:spacing w:line="267" w:lineRule="auto"/>
              <w:rPr>
                <w:rFonts w:ascii="Arial"/>
                <w:sz w:val="21"/>
              </w:rPr>
            </w:pPr>
          </w:p>
          <w:p w14:paraId="42A795B1">
            <w:pPr>
              <w:spacing w:before="66" w:line="266" w:lineRule="auto"/>
              <w:ind w:left="385" w:right="65" w:hanging="311"/>
              <w:rPr>
                <w:rFonts w:ascii="宋体" w:hAnsi="宋体" w:eastAsia="宋体" w:cs="宋体"/>
                <w:sz w:val="20"/>
                <w:szCs w:val="20"/>
              </w:rPr>
            </w:pPr>
            <w:r>
              <w:rPr>
                <w:rFonts w:ascii="宋体" w:hAnsi="宋体" w:eastAsia="宋体" w:cs="宋体"/>
                <w:spacing w:val="8"/>
                <w:sz w:val="20"/>
                <w:szCs w:val="20"/>
              </w:rPr>
              <w:t>危险废物利</w:t>
            </w:r>
            <w:r>
              <w:rPr>
                <w:rFonts w:ascii="宋体" w:hAnsi="宋体" w:eastAsia="宋体" w:cs="宋体"/>
                <w:spacing w:val="7"/>
                <w:sz w:val="20"/>
                <w:szCs w:val="20"/>
              </w:rPr>
              <w:t>用</w:t>
            </w:r>
            <w:r>
              <w:rPr>
                <w:rFonts w:ascii="宋体" w:hAnsi="宋体" w:eastAsia="宋体" w:cs="宋体"/>
                <w:sz w:val="20"/>
                <w:szCs w:val="20"/>
              </w:rPr>
              <w:t xml:space="preserve"> </w:t>
            </w:r>
            <w:r>
              <w:rPr>
                <w:rFonts w:ascii="宋体" w:hAnsi="宋体" w:eastAsia="宋体" w:cs="宋体"/>
                <w:spacing w:val="7"/>
                <w:sz w:val="20"/>
                <w:szCs w:val="20"/>
              </w:rPr>
              <w:t>及处置</w:t>
            </w:r>
          </w:p>
        </w:tc>
        <w:tc>
          <w:tcPr>
            <w:tcW w:w="2568" w:type="dxa"/>
            <w:vAlign w:val="top"/>
          </w:tcPr>
          <w:p w14:paraId="66212FD1">
            <w:pPr>
              <w:spacing w:before="60" w:line="227" w:lineRule="auto"/>
              <w:ind w:left="28"/>
              <w:rPr>
                <w:rFonts w:ascii="宋体" w:hAnsi="宋体" w:eastAsia="宋体" w:cs="宋体"/>
                <w:sz w:val="20"/>
                <w:szCs w:val="20"/>
              </w:rPr>
            </w:pPr>
            <w:r>
              <w:rPr>
                <w:rFonts w:ascii="宋体" w:hAnsi="宋体" w:eastAsia="宋体" w:cs="宋体"/>
                <w:spacing w:val="11"/>
                <w:sz w:val="20"/>
                <w:szCs w:val="20"/>
              </w:rPr>
              <w:t>采</w:t>
            </w:r>
            <w:r>
              <w:rPr>
                <w:rFonts w:ascii="宋体" w:hAnsi="宋体" w:eastAsia="宋体" w:cs="宋体"/>
                <w:spacing w:val="9"/>
                <w:sz w:val="20"/>
                <w:szCs w:val="20"/>
              </w:rPr>
              <w:t>取填埋和焚烧方式的一般</w:t>
            </w:r>
          </w:p>
          <w:p w14:paraId="06EAC196">
            <w:pPr>
              <w:spacing w:before="28" w:line="228" w:lineRule="auto"/>
              <w:ind w:left="31"/>
              <w:rPr>
                <w:rFonts w:ascii="宋体" w:hAnsi="宋体" w:eastAsia="宋体" w:cs="宋体"/>
                <w:sz w:val="20"/>
                <w:szCs w:val="20"/>
              </w:rPr>
            </w:pPr>
            <w:r>
              <w:rPr>
                <w:rFonts w:ascii="宋体" w:hAnsi="宋体" w:eastAsia="宋体" w:cs="宋体"/>
                <w:spacing w:val="9"/>
                <w:sz w:val="20"/>
                <w:szCs w:val="20"/>
              </w:rPr>
              <w:t>工业固体废物处置及综合</w:t>
            </w:r>
            <w:r>
              <w:rPr>
                <w:rFonts w:ascii="宋体" w:hAnsi="宋体" w:eastAsia="宋体" w:cs="宋体"/>
                <w:spacing w:val="8"/>
                <w:sz w:val="20"/>
                <w:szCs w:val="20"/>
              </w:rPr>
              <w:t>利</w:t>
            </w:r>
          </w:p>
          <w:p w14:paraId="57ACB153">
            <w:pPr>
              <w:spacing w:before="23" w:line="228" w:lineRule="auto"/>
              <w:ind w:left="30"/>
              <w:rPr>
                <w:rFonts w:ascii="宋体" w:hAnsi="宋体" w:eastAsia="宋体" w:cs="宋体"/>
                <w:sz w:val="20"/>
                <w:szCs w:val="20"/>
              </w:rPr>
            </w:pPr>
            <w:r>
              <w:rPr>
                <w:rFonts w:ascii="宋体" w:hAnsi="宋体" w:eastAsia="宋体" w:cs="宋体"/>
                <w:spacing w:val="11"/>
                <w:sz w:val="20"/>
                <w:szCs w:val="20"/>
              </w:rPr>
              <w:t>用</w:t>
            </w:r>
            <w:r>
              <w:rPr>
                <w:rFonts w:ascii="宋体" w:hAnsi="宋体" w:eastAsia="宋体" w:cs="宋体"/>
                <w:spacing w:val="8"/>
                <w:sz w:val="20"/>
                <w:szCs w:val="20"/>
              </w:rPr>
              <w:t>；城镇生活垃圾 (不含餐</w:t>
            </w:r>
          </w:p>
          <w:p w14:paraId="5CA2C631">
            <w:pPr>
              <w:spacing w:before="26" w:line="228" w:lineRule="auto"/>
              <w:ind w:left="347"/>
              <w:rPr>
                <w:rFonts w:ascii="宋体" w:hAnsi="宋体" w:eastAsia="宋体" w:cs="宋体"/>
                <w:sz w:val="20"/>
                <w:szCs w:val="20"/>
              </w:rPr>
            </w:pPr>
            <w:r>
              <w:rPr>
                <w:rFonts w:ascii="宋体" w:hAnsi="宋体" w:eastAsia="宋体" w:cs="宋体"/>
                <w:spacing w:val="13"/>
                <w:sz w:val="20"/>
                <w:szCs w:val="20"/>
              </w:rPr>
              <w:t>厨</w:t>
            </w:r>
            <w:r>
              <w:rPr>
                <w:rFonts w:ascii="宋体" w:hAnsi="宋体" w:eastAsia="宋体" w:cs="宋体"/>
                <w:spacing w:val="7"/>
                <w:sz w:val="20"/>
                <w:szCs w:val="20"/>
              </w:rPr>
              <w:t>废弃物) 集中处置</w:t>
            </w:r>
          </w:p>
        </w:tc>
        <w:tc>
          <w:tcPr>
            <w:tcW w:w="2742" w:type="dxa"/>
            <w:vAlign w:val="top"/>
          </w:tcPr>
          <w:p w14:paraId="19E2F08B">
            <w:pPr>
              <w:spacing w:before="59" w:line="252" w:lineRule="auto"/>
              <w:ind w:left="29" w:right="20" w:firstLine="88"/>
              <w:rPr>
                <w:rFonts w:ascii="宋体" w:hAnsi="宋体" w:eastAsia="宋体" w:cs="宋体"/>
                <w:sz w:val="20"/>
                <w:szCs w:val="20"/>
              </w:rPr>
            </w:pPr>
            <w:r>
              <w:rPr>
                <w:rFonts w:ascii="宋体" w:hAnsi="宋体" w:eastAsia="宋体" w:cs="宋体"/>
                <w:spacing w:val="9"/>
                <w:sz w:val="20"/>
                <w:szCs w:val="20"/>
              </w:rPr>
              <w:t>一般工业固体废物处置及</w:t>
            </w:r>
            <w:r>
              <w:rPr>
                <w:rFonts w:ascii="宋体" w:hAnsi="宋体" w:eastAsia="宋体" w:cs="宋体"/>
                <w:spacing w:val="7"/>
                <w:sz w:val="20"/>
                <w:szCs w:val="20"/>
              </w:rPr>
              <w:t>综</w:t>
            </w:r>
            <w:r>
              <w:rPr>
                <w:rFonts w:ascii="宋体" w:hAnsi="宋体" w:eastAsia="宋体" w:cs="宋体"/>
                <w:sz w:val="20"/>
                <w:szCs w:val="20"/>
              </w:rPr>
              <w:t xml:space="preserve"> </w:t>
            </w:r>
            <w:r>
              <w:rPr>
                <w:rFonts w:ascii="宋体" w:hAnsi="宋体" w:eastAsia="宋体" w:cs="宋体"/>
                <w:spacing w:val="8"/>
                <w:sz w:val="20"/>
                <w:szCs w:val="20"/>
              </w:rPr>
              <w:t>合</w:t>
            </w:r>
            <w:r>
              <w:rPr>
                <w:rFonts w:ascii="宋体" w:hAnsi="宋体" w:eastAsia="宋体" w:cs="宋体"/>
                <w:spacing w:val="6"/>
                <w:sz w:val="20"/>
                <w:szCs w:val="20"/>
              </w:rPr>
              <w:t>利用 (除采取填埋和焚烧方</w:t>
            </w:r>
            <w:r>
              <w:rPr>
                <w:rFonts w:ascii="宋体" w:hAnsi="宋体" w:eastAsia="宋体" w:cs="宋体"/>
                <w:sz w:val="20"/>
                <w:szCs w:val="20"/>
              </w:rPr>
              <w:t xml:space="preserve"> </w:t>
            </w:r>
            <w:r>
              <w:rPr>
                <w:rFonts w:ascii="宋体" w:hAnsi="宋体" w:eastAsia="宋体" w:cs="宋体"/>
                <w:spacing w:val="7"/>
                <w:sz w:val="20"/>
                <w:szCs w:val="20"/>
              </w:rPr>
              <w:t>式</w:t>
            </w:r>
            <w:r>
              <w:rPr>
                <w:rFonts w:ascii="宋体" w:hAnsi="宋体" w:eastAsia="宋体" w:cs="宋体"/>
                <w:spacing w:val="6"/>
                <w:sz w:val="20"/>
                <w:szCs w:val="20"/>
              </w:rPr>
              <w:t>以外的) ；废旧资源加工、</w:t>
            </w:r>
          </w:p>
          <w:p w14:paraId="0E3FC4D4">
            <w:pPr>
              <w:spacing w:line="228" w:lineRule="auto"/>
              <w:ind w:left="957"/>
              <w:rPr>
                <w:rFonts w:ascii="宋体" w:hAnsi="宋体" w:eastAsia="宋体" w:cs="宋体"/>
                <w:sz w:val="20"/>
                <w:szCs w:val="20"/>
              </w:rPr>
            </w:pPr>
            <w:r>
              <w:rPr>
                <w:rFonts w:ascii="宋体" w:hAnsi="宋体" w:eastAsia="宋体" w:cs="宋体"/>
                <w:spacing w:val="7"/>
                <w:sz w:val="20"/>
                <w:szCs w:val="20"/>
              </w:rPr>
              <w:t>再生利</w:t>
            </w:r>
            <w:r>
              <w:rPr>
                <w:rFonts w:ascii="宋体" w:hAnsi="宋体" w:eastAsia="宋体" w:cs="宋体"/>
                <w:spacing w:val="6"/>
                <w:sz w:val="20"/>
                <w:szCs w:val="20"/>
              </w:rPr>
              <w:t>用</w:t>
            </w:r>
          </w:p>
        </w:tc>
        <w:tc>
          <w:tcPr>
            <w:tcW w:w="713" w:type="dxa"/>
            <w:tcBorders>
              <w:right w:val="nil"/>
            </w:tcBorders>
            <w:vAlign w:val="top"/>
          </w:tcPr>
          <w:p w14:paraId="5C4DD25A">
            <w:pPr>
              <w:spacing w:line="401" w:lineRule="auto"/>
              <w:rPr>
                <w:rFonts w:ascii="Arial"/>
                <w:sz w:val="21"/>
              </w:rPr>
            </w:pPr>
          </w:p>
          <w:p w14:paraId="3E46507B">
            <w:pPr>
              <w:spacing w:before="65" w:line="228" w:lineRule="auto"/>
              <w:ind w:left="153"/>
              <w:rPr>
                <w:rFonts w:ascii="宋体" w:hAnsi="宋体" w:eastAsia="宋体" w:cs="宋体"/>
                <w:sz w:val="20"/>
                <w:szCs w:val="20"/>
              </w:rPr>
            </w:pPr>
            <w:r>
              <w:rPr>
                <w:rFonts w:ascii="宋体" w:hAnsi="宋体" w:eastAsia="宋体" w:cs="宋体"/>
                <w:spacing w:val="4"/>
                <w:sz w:val="20"/>
                <w:szCs w:val="20"/>
              </w:rPr>
              <w:t>其他</w:t>
            </w:r>
          </w:p>
        </w:tc>
      </w:tr>
    </w:tbl>
    <w:p w14:paraId="0AD7D756">
      <w:pPr>
        <w:spacing w:line="258" w:lineRule="auto"/>
        <w:rPr>
          <w:rFonts w:ascii="Arial"/>
          <w:sz w:val="21"/>
        </w:rPr>
      </w:pPr>
    </w:p>
    <w:p w14:paraId="4F5946F1">
      <w:pPr>
        <w:spacing w:before="75" w:line="384" w:lineRule="auto"/>
        <w:ind w:left="117" w:right="107" w:firstLine="483"/>
        <w:rPr>
          <w:rFonts w:ascii="宋体" w:hAnsi="宋体" w:eastAsia="宋体" w:cs="宋体"/>
          <w:sz w:val="23"/>
          <w:szCs w:val="23"/>
        </w:rPr>
      </w:pPr>
      <w:r>
        <w:rPr>
          <w:rFonts w:ascii="宋体" w:hAnsi="宋体" w:eastAsia="宋体" w:cs="宋体"/>
          <w:spacing w:val="8"/>
          <w:sz w:val="23"/>
          <w:szCs w:val="23"/>
        </w:rPr>
        <w:t>该</w:t>
      </w:r>
      <w:r>
        <w:rPr>
          <w:rFonts w:ascii="宋体" w:hAnsi="宋体" w:eastAsia="宋体" w:cs="宋体"/>
          <w:spacing w:val="7"/>
          <w:sz w:val="23"/>
          <w:szCs w:val="23"/>
        </w:rPr>
        <w:t>项目为废塑料编织袋再生利用项目，根据上表可知，该项目属于</w:t>
      </w:r>
      <w:r>
        <w:rPr>
          <w:rFonts w:ascii="Times New Roman" w:hAnsi="Times New Roman" w:eastAsia="Times New Roman" w:cs="Times New Roman"/>
          <w:spacing w:val="7"/>
          <w:sz w:val="23"/>
          <w:szCs w:val="23"/>
        </w:rPr>
        <w:t>Ⅲ</w:t>
      </w:r>
      <w:r>
        <w:rPr>
          <w:rFonts w:ascii="宋体" w:hAnsi="宋体" w:eastAsia="宋体" w:cs="宋体"/>
          <w:spacing w:val="7"/>
          <w:sz w:val="23"/>
          <w:szCs w:val="23"/>
        </w:rPr>
        <w:t>类建设</w:t>
      </w:r>
      <w:r>
        <w:rPr>
          <w:rFonts w:ascii="宋体" w:hAnsi="宋体" w:eastAsia="宋体" w:cs="宋体"/>
          <w:sz w:val="23"/>
          <w:szCs w:val="23"/>
        </w:rPr>
        <w:t xml:space="preserve"> </w:t>
      </w:r>
      <w:r>
        <w:rPr>
          <w:rFonts w:ascii="宋体" w:hAnsi="宋体" w:eastAsia="宋体" w:cs="宋体"/>
          <w:spacing w:val="9"/>
          <w:sz w:val="23"/>
          <w:szCs w:val="23"/>
        </w:rPr>
        <w:t>项</w:t>
      </w:r>
      <w:r>
        <w:rPr>
          <w:rFonts w:ascii="宋体" w:hAnsi="宋体" w:eastAsia="宋体" w:cs="宋体"/>
          <w:spacing w:val="7"/>
          <w:sz w:val="23"/>
          <w:szCs w:val="23"/>
        </w:rPr>
        <w:t>目。项目所在地西侧为旱作耕地，因此确定项目土壤环境敏感程度为敏感。本</w:t>
      </w:r>
      <w:r>
        <w:rPr>
          <w:rFonts w:ascii="宋体" w:hAnsi="宋体" w:eastAsia="宋体" w:cs="宋体"/>
          <w:sz w:val="23"/>
          <w:szCs w:val="23"/>
        </w:rPr>
        <w:t xml:space="preserve"> </w:t>
      </w:r>
      <w:r>
        <w:rPr>
          <w:rFonts w:ascii="宋体" w:hAnsi="宋体" w:eastAsia="宋体" w:cs="宋体"/>
          <w:spacing w:val="4"/>
          <w:sz w:val="23"/>
          <w:szCs w:val="23"/>
        </w:rPr>
        <w:t>溪弘福塑业有限公</w:t>
      </w:r>
      <w:r>
        <w:rPr>
          <w:rFonts w:ascii="宋体" w:hAnsi="宋体" w:eastAsia="宋体" w:cs="宋体"/>
          <w:spacing w:val="2"/>
          <w:sz w:val="23"/>
          <w:szCs w:val="23"/>
        </w:rPr>
        <w:t xml:space="preserve">司新建项目占地面积 </w:t>
      </w:r>
      <w:r>
        <w:rPr>
          <w:rFonts w:ascii="Times New Roman" w:hAnsi="Times New Roman" w:eastAsia="Times New Roman" w:cs="Times New Roman"/>
          <w:spacing w:val="2"/>
          <w:sz w:val="23"/>
          <w:szCs w:val="23"/>
        </w:rPr>
        <w:t>7000</w:t>
      </w:r>
      <w:r>
        <w:rPr>
          <w:rFonts w:ascii="Times New Roman" w:hAnsi="Times New Roman" w:eastAsia="Times New Roman" w:cs="Times New Roman"/>
          <w:sz w:val="23"/>
          <w:szCs w:val="23"/>
        </w:rPr>
        <w:t>m</w:t>
      </w:r>
      <w:r>
        <w:rPr>
          <w:rFonts w:ascii="Times New Roman" w:hAnsi="Times New Roman" w:eastAsia="Times New Roman" w:cs="Times New Roman"/>
          <w:spacing w:val="2"/>
          <w:position w:val="7"/>
          <w:sz w:val="15"/>
          <w:szCs w:val="15"/>
        </w:rPr>
        <w:t xml:space="preserve">2   </w:t>
      </w:r>
      <w:r>
        <w:rPr>
          <w:rFonts w:ascii="宋体" w:hAnsi="宋体" w:eastAsia="宋体" w:cs="宋体"/>
          <w:spacing w:val="2"/>
          <w:sz w:val="23"/>
          <w:szCs w:val="23"/>
        </w:rPr>
        <w:t xml:space="preserve">(即 </w:t>
      </w:r>
      <w:r>
        <w:rPr>
          <w:rFonts w:ascii="Times New Roman" w:hAnsi="Times New Roman" w:eastAsia="Times New Roman" w:cs="Times New Roman"/>
          <w:spacing w:val="2"/>
          <w:sz w:val="23"/>
          <w:szCs w:val="23"/>
        </w:rPr>
        <w:t>0.7</w:t>
      </w:r>
      <w:r>
        <w:rPr>
          <w:rFonts w:ascii="Times New Roman" w:hAnsi="Times New Roman" w:eastAsia="Times New Roman" w:cs="Times New Roman"/>
          <w:sz w:val="23"/>
          <w:szCs w:val="23"/>
        </w:rPr>
        <w:t>hm</w:t>
      </w:r>
      <w:r>
        <w:rPr>
          <w:rFonts w:ascii="Times New Roman" w:hAnsi="Times New Roman" w:eastAsia="Times New Roman" w:cs="Times New Roman"/>
          <w:spacing w:val="2"/>
          <w:position w:val="7"/>
          <w:sz w:val="15"/>
          <w:szCs w:val="15"/>
        </w:rPr>
        <w:t xml:space="preserve">2 </w:t>
      </w:r>
      <w:r>
        <w:rPr>
          <w:rFonts w:ascii="宋体" w:hAnsi="宋体" w:eastAsia="宋体" w:cs="宋体"/>
          <w:spacing w:val="2"/>
          <w:sz w:val="23"/>
          <w:szCs w:val="23"/>
        </w:rPr>
        <w:t>) ， 占地规模属于小</w:t>
      </w:r>
      <w:r>
        <w:rPr>
          <w:rFonts w:ascii="宋体" w:hAnsi="宋体" w:eastAsia="宋体" w:cs="宋体"/>
          <w:sz w:val="23"/>
          <w:szCs w:val="23"/>
        </w:rPr>
        <w:t xml:space="preserve"> </w:t>
      </w:r>
      <w:r>
        <w:rPr>
          <w:rFonts w:ascii="宋体" w:hAnsi="宋体" w:eastAsia="宋体" w:cs="宋体"/>
          <w:spacing w:val="12"/>
          <w:sz w:val="23"/>
          <w:szCs w:val="23"/>
        </w:rPr>
        <w:t>型</w:t>
      </w:r>
      <w:r>
        <w:rPr>
          <w:rFonts w:ascii="宋体" w:hAnsi="宋体" w:eastAsia="宋体" w:cs="宋体"/>
          <w:spacing w:val="9"/>
          <w:sz w:val="23"/>
          <w:szCs w:val="23"/>
        </w:rPr>
        <w:t>。</w:t>
      </w:r>
      <w:r>
        <w:rPr>
          <w:rFonts w:ascii="宋体" w:hAnsi="宋体" w:eastAsia="宋体" w:cs="宋体"/>
          <w:spacing w:val="6"/>
          <w:sz w:val="23"/>
          <w:szCs w:val="23"/>
        </w:rPr>
        <w:t xml:space="preserve">综上，对照表 </w:t>
      </w:r>
      <w:r>
        <w:rPr>
          <w:rFonts w:ascii="Times New Roman" w:hAnsi="Times New Roman" w:eastAsia="Times New Roman" w:cs="Times New Roman"/>
          <w:spacing w:val="6"/>
          <w:sz w:val="23"/>
          <w:szCs w:val="23"/>
        </w:rPr>
        <w:t xml:space="preserve">5-22 </w:t>
      </w:r>
      <w:r>
        <w:rPr>
          <w:rFonts w:ascii="宋体" w:hAnsi="宋体" w:eastAsia="宋体" w:cs="宋体"/>
          <w:spacing w:val="6"/>
          <w:sz w:val="23"/>
          <w:szCs w:val="23"/>
        </w:rPr>
        <w:t>确定本项目土壤评价工作等级为三级。</w:t>
      </w:r>
    </w:p>
    <w:p w14:paraId="08114D84">
      <w:pPr>
        <w:spacing w:before="127" w:line="219" w:lineRule="auto"/>
        <w:ind w:left="117"/>
        <w:outlineLvl w:val="3"/>
        <w:rPr>
          <w:rFonts w:ascii="宋体" w:hAnsi="宋体" w:eastAsia="宋体" w:cs="宋体"/>
          <w:sz w:val="28"/>
          <w:szCs w:val="28"/>
        </w:rPr>
      </w:pPr>
      <w:r>
        <w:rPr>
          <w:rFonts w:ascii="Times New Roman" w:hAnsi="Times New Roman" w:eastAsia="Times New Roman" w:cs="Times New Roman"/>
          <w:b/>
          <w:bCs/>
          <w:spacing w:val="12"/>
          <w:sz w:val="28"/>
          <w:szCs w:val="28"/>
        </w:rPr>
        <w:t>5</w:t>
      </w:r>
      <w:r>
        <w:rPr>
          <w:rFonts w:ascii="Times New Roman" w:hAnsi="Times New Roman" w:eastAsia="Times New Roman" w:cs="Times New Roman"/>
          <w:b/>
          <w:bCs/>
          <w:spacing w:val="6"/>
          <w:sz w:val="28"/>
          <w:szCs w:val="28"/>
        </w:rPr>
        <w:t>.2.6.3</w:t>
      </w:r>
      <w:r>
        <w:rPr>
          <w:rFonts w:ascii="Times New Roman" w:hAnsi="Times New Roman" w:eastAsia="Times New Roman" w:cs="Times New Roman"/>
          <w:spacing w:val="6"/>
          <w:sz w:val="28"/>
          <w:szCs w:val="28"/>
        </w:rPr>
        <w:t xml:space="preserve">  </w:t>
      </w:r>
      <w:r>
        <w:rPr>
          <w:rFonts w:ascii="宋体" w:hAnsi="宋体" w:eastAsia="宋体" w:cs="宋体"/>
          <w:spacing w:val="6"/>
          <w:sz w:val="28"/>
          <w:szCs w:val="28"/>
          <w14:textOutline w14:w="5103" w14:cap="sq" w14:cmpd="sng">
            <w14:solidFill>
              <w14:srgbClr w14:val="000000"/>
            </w14:solidFill>
            <w14:prstDash w14:val="solid"/>
            <w14:bevel/>
          </w14:textOutline>
        </w:rPr>
        <w:t>评价因子</w:t>
      </w:r>
    </w:p>
    <w:p w14:paraId="2A5EFF74">
      <w:pPr>
        <w:spacing w:line="261" w:lineRule="auto"/>
        <w:rPr>
          <w:rFonts w:ascii="Arial"/>
          <w:sz w:val="21"/>
        </w:rPr>
      </w:pPr>
    </w:p>
    <w:p w14:paraId="5D1623ED">
      <w:pPr>
        <w:spacing w:before="75" w:line="388" w:lineRule="auto"/>
        <w:ind w:left="116" w:right="107" w:firstLine="480"/>
        <w:rPr>
          <w:rFonts w:ascii="宋体" w:hAnsi="宋体" w:eastAsia="宋体" w:cs="宋体"/>
          <w:sz w:val="23"/>
          <w:szCs w:val="23"/>
        </w:rPr>
      </w:pPr>
      <w:r>
        <w:rPr>
          <w:rFonts w:ascii="宋体" w:hAnsi="宋体" w:eastAsia="宋体" w:cs="宋体"/>
          <w:spacing w:val="12"/>
          <w:sz w:val="23"/>
          <w:szCs w:val="23"/>
        </w:rPr>
        <w:t>根据《环</w:t>
      </w:r>
      <w:r>
        <w:rPr>
          <w:rFonts w:ascii="宋体" w:hAnsi="宋体" w:eastAsia="宋体" w:cs="宋体"/>
          <w:spacing w:val="9"/>
          <w:sz w:val="23"/>
          <w:szCs w:val="23"/>
        </w:rPr>
        <w:t>境</w:t>
      </w:r>
      <w:r>
        <w:rPr>
          <w:rFonts w:ascii="宋体" w:hAnsi="宋体" w:eastAsia="宋体" w:cs="宋体"/>
          <w:spacing w:val="6"/>
          <w:sz w:val="23"/>
          <w:szCs w:val="23"/>
        </w:rPr>
        <w:t>影响评价技术导则  土壤环境 (试行) 》  (</w:t>
      </w:r>
      <w:r>
        <w:rPr>
          <w:rFonts w:ascii="Times New Roman" w:hAnsi="Times New Roman" w:eastAsia="Times New Roman" w:cs="Times New Roman"/>
          <w:sz w:val="23"/>
          <w:szCs w:val="23"/>
        </w:rPr>
        <w:t>HJ</w:t>
      </w:r>
      <w:r>
        <w:rPr>
          <w:rFonts w:ascii="Times New Roman" w:hAnsi="Times New Roman" w:eastAsia="Times New Roman" w:cs="Times New Roman"/>
          <w:spacing w:val="6"/>
          <w:sz w:val="23"/>
          <w:szCs w:val="23"/>
        </w:rPr>
        <w:t>964-2018</w:t>
      </w:r>
      <w:r>
        <w:rPr>
          <w:rFonts w:ascii="宋体" w:hAnsi="宋体" w:eastAsia="宋体" w:cs="宋体"/>
          <w:spacing w:val="6"/>
          <w:sz w:val="23"/>
          <w:szCs w:val="23"/>
        </w:rPr>
        <w:t xml:space="preserve">) </w:t>
      </w:r>
      <w:r>
        <w:rPr>
          <w:rFonts w:ascii="Times New Roman" w:hAnsi="Times New Roman" w:eastAsia="Times New Roman" w:cs="Times New Roman"/>
          <w:spacing w:val="6"/>
          <w:sz w:val="23"/>
          <w:szCs w:val="23"/>
        </w:rPr>
        <w:t>8.5. 1</w:t>
      </w:r>
      <w:r>
        <w:rPr>
          <w:rFonts w:ascii="Times New Roman" w:hAnsi="Times New Roman" w:eastAsia="Times New Roman" w:cs="Times New Roman"/>
          <w:sz w:val="23"/>
          <w:szCs w:val="23"/>
        </w:rPr>
        <w:t xml:space="preserve"> </w:t>
      </w:r>
      <w:r>
        <w:rPr>
          <w:rFonts w:ascii="宋体" w:hAnsi="宋体" w:eastAsia="宋体" w:cs="宋体"/>
          <w:spacing w:val="14"/>
          <w:sz w:val="23"/>
          <w:szCs w:val="23"/>
        </w:rPr>
        <w:t xml:space="preserve">及 </w:t>
      </w:r>
      <w:r>
        <w:rPr>
          <w:rFonts w:ascii="Times New Roman" w:hAnsi="Times New Roman" w:eastAsia="Times New Roman" w:cs="Times New Roman"/>
          <w:spacing w:val="14"/>
          <w:sz w:val="23"/>
          <w:szCs w:val="23"/>
        </w:rPr>
        <w:t>8.</w:t>
      </w:r>
      <w:r>
        <w:rPr>
          <w:rFonts w:ascii="Times New Roman" w:hAnsi="Times New Roman" w:eastAsia="Times New Roman" w:cs="Times New Roman"/>
          <w:spacing w:val="9"/>
          <w:sz w:val="23"/>
          <w:szCs w:val="23"/>
        </w:rPr>
        <w:t>5</w:t>
      </w:r>
      <w:r>
        <w:rPr>
          <w:rFonts w:ascii="Times New Roman" w:hAnsi="Times New Roman" w:eastAsia="Times New Roman" w:cs="Times New Roman"/>
          <w:spacing w:val="7"/>
          <w:sz w:val="23"/>
          <w:szCs w:val="23"/>
        </w:rPr>
        <w:t xml:space="preserve">.2 </w:t>
      </w:r>
      <w:r>
        <w:rPr>
          <w:rFonts w:ascii="宋体" w:hAnsi="宋体" w:eastAsia="宋体" w:cs="宋体"/>
          <w:spacing w:val="7"/>
          <w:sz w:val="23"/>
          <w:szCs w:val="23"/>
        </w:rPr>
        <w:t>规定：污染影响型建设项目应根据环境影响识别出的特征因子选取关键</w:t>
      </w:r>
      <w:r>
        <w:rPr>
          <w:rFonts w:ascii="宋体" w:hAnsi="宋体" w:eastAsia="宋体" w:cs="宋体"/>
          <w:sz w:val="23"/>
          <w:szCs w:val="23"/>
        </w:rPr>
        <w:t xml:space="preserve"> </w:t>
      </w:r>
      <w:r>
        <w:rPr>
          <w:rFonts w:ascii="宋体" w:hAnsi="宋体" w:eastAsia="宋体" w:cs="宋体"/>
          <w:spacing w:val="9"/>
          <w:sz w:val="23"/>
          <w:szCs w:val="23"/>
        </w:rPr>
        <w:t>预</w:t>
      </w:r>
      <w:r>
        <w:rPr>
          <w:rFonts w:ascii="宋体" w:hAnsi="宋体" w:eastAsia="宋体" w:cs="宋体"/>
          <w:spacing w:val="7"/>
          <w:sz w:val="23"/>
          <w:szCs w:val="23"/>
        </w:rPr>
        <w:t>测因子；可能造成土壤盐化、酸化、碱化影响的建设项目，分别选取土壤盐分</w:t>
      </w:r>
      <w:r>
        <w:rPr>
          <w:rFonts w:ascii="宋体" w:hAnsi="宋体" w:eastAsia="宋体" w:cs="宋体"/>
          <w:sz w:val="23"/>
          <w:szCs w:val="23"/>
        </w:rPr>
        <w:t xml:space="preserve"> </w:t>
      </w:r>
      <w:r>
        <w:rPr>
          <w:rFonts w:ascii="宋体" w:hAnsi="宋体" w:eastAsia="宋体" w:cs="宋体"/>
          <w:spacing w:val="9"/>
          <w:sz w:val="23"/>
          <w:szCs w:val="23"/>
        </w:rPr>
        <w:t>含量、</w:t>
      </w:r>
      <w:r>
        <w:rPr>
          <w:rFonts w:ascii="Times New Roman" w:hAnsi="Times New Roman" w:eastAsia="Times New Roman" w:cs="Times New Roman"/>
          <w:sz w:val="23"/>
          <w:szCs w:val="23"/>
        </w:rPr>
        <w:t>pH</w:t>
      </w:r>
      <w:r>
        <w:rPr>
          <w:rFonts w:ascii="Times New Roman" w:hAnsi="Times New Roman" w:eastAsia="Times New Roman" w:cs="Times New Roman"/>
          <w:spacing w:val="9"/>
          <w:sz w:val="23"/>
          <w:szCs w:val="23"/>
        </w:rPr>
        <w:t xml:space="preserve"> </w:t>
      </w:r>
      <w:r>
        <w:rPr>
          <w:rFonts w:ascii="宋体" w:hAnsi="宋体" w:eastAsia="宋体" w:cs="宋体"/>
          <w:spacing w:val="9"/>
          <w:sz w:val="23"/>
          <w:szCs w:val="23"/>
        </w:rPr>
        <w:t>值等作为预测因子</w:t>
      </w:r>
      <w:r>
        <w:rPr>
          <w:rFonts w:ascii="宋体" w:hAnsi="宋体" w:eastAsia="宋体" w:cs="宋体"/>
          <w:spacing w:val="7"/>
          <w:sz w:val="23"/>
          <w:szCs w:val="23"/>
        </w:rPr>
        <w:t>。</w:t>
      </w:r>
    </w:p>
    <w:p w14:paraId="1ACD6ABA">
      <w:pPr>
        <w:spacing w:before="144" w:line="388" w:lineRule="auto"/>
        <w:ind w:left="116" w:right="15" w:firstLine="480"/>
        <w:rPr>
          <w:rFonts w:ascii="宋体" w:hAnsi="宋体" w:eastAsia="宋体" w:cs="宋体"/>
          <w:sz w:val="23"/>
          <w:szCs w:val="23"/>
        </w:rPr>
      </w:pPr>
      <w:r>
        <w:rPr>
          <w:rFonts w:ascii="宋体" w:hAnsi="宋体" w:eastAsia="宋体" w:cs="宋体"/>
          <w:spacing w:val="7"/>
          <w:sz w:val="23"/>
          <w:szCs w:val="23"/>
        </w:rPr>
        <w:t>通过工程分析可知，本项目不会造成区域土壤盐化、酸化、碱化，本项目</w:t>
      </w:r>
      <w:r>
        <w:rPr>
          <w:rFonts w:ascii="宋体" w:hAnsi="宋体" w:eastAsia="宋体" w:cs="宋体"/>
          <w:spacing w:val="3"/>
          <w:sz w:val="23"/>
          <w:szCs w:val="23"/>
        </w:rPr>
        <w:t>主</w:t>
      </w:r>
      <w:r>
        <w:rPr>
          <w:rFonts w:ascii="宋体" w:hAnsi="宋体" w:eastAsia="宋体" w:cs="宋体"/>
          <w:sz w:val="23"/>
          <w:szCs w:val="23"/>
        </w:rPr>
        <w:t xml:space="preserve"> </w:t>
      </w:r>
      <w:r>
        <w:rPr>
          <w:rFonts w:ascii="宋体" w:hAnsi="宋体" w:eastAsia="宋体" w:cs="宋体"/>
          <w:spacing w:val="-2"/>
          <w:sz w:val="23"/>
          <w:szCs w:val="23"/>
        </w:rPr>
        <w:t xml:space="preserve">要污染因子为 </w:t>
      </w:r>
      <w:r>
        <w:rPr>
          <w:rFonts w:ascii="Times New Roman" w:hAnsi="Times New Roman" w:eastAsia="Times New Roman" w:cs="Times New Roman"/>
          <w:spacing w:val="-2"/>
          <w:sz w:val="23"/>
          <w:szCs w:val="23"/>
        </w:rPr>
        <w:t xml:space="preserve">COD </w:t>
      </w:r>
      <w:r>
        <w:rPr>
          <w:rFonts w:ascii="宋体" w:hAnsi="宋体" w:eastAsia="宋体" w:cs="宋体"/>
          <w:spacing w:val="-2"/>
          <w:sz w:val="23"/>
          <w:szCs w:val="23"/>
        </w:rPr>
        <w:t>、</w:t>
      </w:r>
      <w:r>
        <w:rPr>
          <w:rFonts w:ascii="Times New Roman" w:hAnsi="Times New Roman" w:eastAsia="Times New Roman" w:cs="Times New Roman"/>
          <w:spacing w:val="-2"/>
          <w:sz w:val="23"/>
          <w:szCs w:val="23"/>
        </w:rPr>
        <w:t>BOD</w:t>
      </w:r>
      <w:r>
        <w:rPr>
          <w:rFonts w:ascii="Times New Roman" w:hAnsi="Times New Roman" w:eastAsia="Times New Roman" w:cs="Times New Roman"/>
          <w:spacing w:val="-2"/>
          <w:position w:val="-1"/>
          <w:sz w:val="15"/>
          <w:szCs w:val="15"/>
        </w:rPr>
        <w:t xml:space="preserve">5 </w:t>
      </w:r>
      <w:r>
        <w:rPr>
          <w:rFonts w:ascii="宋体" w:hAnsi="宋体" w:eastAsia="宋体" w:cs="宋体"/>
          <w:spacing w:val="-2"/>
          <w:sz w:val="23"/>
          <w:szCs w:val="23"/>
        </w:rPr>
        <w:t>、</w:t>
      </w:r>
      <w:r>
        <w:rPr>
          <w:rFonts w:ascii="Times New Roman" w:hAnsi="Times New Roman" w:eastAsia="Times New Roman" w:cs="Times New Roman"/>
          <w:spacing w:val="-2"/>
          <w:sz w:val="23"/>
          <w:szCs w:val="23"/>
        </w:rPr>
        <w:t xml:space="preserve">SS </w:t>
      </w:r>
      <w:r>
        <w:rPr>
          <w:rFonts w:ascii="宋体" w:hAnsi="宋体" w:eastAsia="宋体" w:cs="宋体"/>
          <w:spacing w:val="-2"/>
          <w:sz w:val="23"/>
          <w:szCs w:val="23"/>
        </w:rPr>
        <w:t>、</w:t>
      </w:r>
      <w:r>
        <w:rPr>
          <w:rFonts w:ascii="Times New Roman" w:hAnsi="Times New Roman" w:eastAsia="Times New Roman" w:cs="Times New Roman"/>
          <w:spacing w:val="-2"/>
          <w:sz w:val="23"/>
          <w:szCs w:val="23"/>
        </w:rPr>
        <w:t>NH</w:t>
      </w:r>
      <w:r>
        <w:rPr>
          <w:rFonts w:ascii="Times New Roman" w:hAnsi="Times New Roman" w:eastAsia="Times New Roman" w:cs="Times New Roman"/>
          <w:spacing w:val="-2"/>
          <w:position w:val="-1"/>
          <w:sz w:val="15"/>
          <w:szCs w:val="15"/>
        </w:rPr>
        <w:t>3</w:t>
      </w:r>
      <w:r>
        <w:rPr>
          <w:rFonts w:ascii="Times New Roman" w:hAnsi="Times New Roman" w:eastAsia="Times New Roman" w:cs="Times New Roman"/>
          <w:spacing w:val="-2"/>
          <w:sz w:val="23"/>
          <w:szCs w:val="23"/>
        </w:rPr>
        <w:t>-</w:t>
      </w:r>
      <w:r>
        <w:rPr>
          <w:rFonts w:ascii="Times New Roman" w:hAnsi="Times New Roman" w:eastAsia="Times New Roman" w:cs="Times New Roman"/>
          <w:spacing w:val="-1"/>
          <w:sz w:val="23"/>
          <w:szCs w:val="23"/>
        </w:rPr>
        <w:t>N</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 xml:space="preserve">，不含 </w:t>
      </w:r>
      <w:r>
        <w:rPr>
          <w:rFonts w:ascii="Times New Roman" w:hAnsi="Times New Roman" w:eastAsia="Times New Roman" w:cs="Times New Roman"/>
          <w:sz w:val="23"/>
          <w:szCs w:val="23"/>
        </w:rPr>
        <w:t>pH</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、镉、汞、砷、铅、铬、铜、</w:t>
      </w:r>
      <w:r>
        <w:rPr>
          <w:rFonts w:ascii="宋体" w:hAnsi="宋体" w:eastAsia="宋体" w:cs="宋体"/>
          <w:sz w:val="23"/>
          <w:szCs w:val="23"/>
        </w:rPr>
        <w:t xml:space="preserve"> </w:t>
      </w:r>
      <w:r>
        <w:rPr>
          <w:rFonts w:ascii="宋体" w:hAnsi="宋体" w:eastAsia="宋体" w:cs="宋体"/>
          <w:spacing w:val="6"/>
          <w:sz w:val="23"/>
          <w:szCs w:val="23"/>
        </w:rPr>
        <w:t>镍、</w:t>
      </w:r>
      <w:r>
        <w:rPr>
          <w:rFonts w:ascii="宋体" w:hAnsi="宋体" w:eastAsia="宋体" w:cs="宋体"/>
          <w:spacing w:val="3"/>
          <w:sz w:val="23"/>
          <w:szCs w:val="23"/>
        </w:rPr>
        <w:t>锌、六六六总量、滴滴涕总量、苯并</w:t>
      </w:r>
      <w:r>
        <w:rPr>
          <w:rFonts w:ascii="Times New Roman" w:hAnsi="Times New Roman" w:eastAsia="Times New Roman" w:cs="Times New Roman"/>
          <w:spacing w:val="3"/>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3"/>
          <w:sz w:val="23"/>
          <w:szCs w:val="23"/>
        </w:rPr>
        <w:t>]</w:t>
      </w:r>
      <w:r>
        <w:rPr>
          <w:rFonts w:ascii="宋体" w:hAnsi="宋体" w:eastAsia="宋体" w:cs="宋体"/>
          <w:spacing w:val="3"/>
          <w:sz w:val="23"/>
          <w:szCs w:val="23"/>
        </w:rPr>
        <w:t>芘等特征因子，且《土壤环境质量 建</w:t>
      </w:r>
    </w:p>
    <w:p w14:paraId="7D03BE99">
      <w:pPr>
        <w:sectPr>
          <w:headerReference r:id="rId250" w:type="default"/>
          <w:footerReference r:id="rId251" w:type="default"/>
          <w:pgSz w:w="11906" w:h="16839"/>
          <w:pgMar w:top="1132" w:right="1691" w:bottom="1182" w:left="1691" w:header="878" w:footer="1022" w:gutter="0"/>
          <w:cols w:space="720" w:num="1"/>
        </w:sectPr>
      </w:pPr>
    </w:p>
    <w:p w14:paraId="214E7D44">
      <w:pPr>
        <w:spacing w:line="408" w:lineRule="auto"/>
        <w:rPr>
          <w:rFonts w:ascii="Arial"/>
          <w:sz w:val="21"/>
        </w:rPr>
      </w:pPr>
      <w:r>
        <w:pict>
          <v:shape id="_x0000_s1291" o:spid="_x0000_s1291" style="position:absolute;left:0pt;margin-left:90pt;margin-top:57.35pt;height:0.75pt;width:415.3pt;mso-position-horizontal-relative:page;mso-position-vertical-relative:page;z-index:251944960;mso-width-relative:page;mso-height-relative:page;" fillcolor="#000000" filled="t" stroked="f" coordsize="8305,15" o:allowincell="f" path="m0,0l8305,0,8305,14,0,14,0,0xe">
            <v:path/>
            <v:fill on="t" focussize="0,0"/>
            <v:stroke on="f"/>
            <v:imagedata o:title=""/>
            <o:lock v:ext="edit"/>
          </v:shape>
        </w:pict>
      </w:r>
    </w:p>
    <w:p w14:paraId="390CF98C">
      <w:pPr>
        <w:spacing w:before="74" w:line="398" w:lineRule="auto"/>
        <w:ind w:left="28" w:right="19" w:hanging="1"/>
        <w:rPr>
          <w:rFonts w:ascii="宋体" w:hAnsi="宋体" w:eastAsia="宋体" w:cs="宋体"/>
          <w:sz w:val="23"/>
          <w:szCs w:val="23"/>
        </w:rPr>
      </w:pPr>
      <w:r>
        <w:rPr>
          <w:rFonts w:ascii="宋体" w:hAnsi="宋体" w:eastAsia="宋体" w:cs="宋体"/>
          <w:spacing w:val="2"/>
          <w:sz w:val="23"/>
          <w:szCs w:val="23"/>
        </w:rPr>
        <w:t>设用地土壤污染风险管控标准 (试行) 》  (</w:t>
      </w:r>
      <w:r>
        <w:rPr>
          <w:rFonts w:ascii="Times New Roman" w:hAnsi="Times New Roman" w:eastAsia="Times New Roman" w:cs="Times New Roman"/>
          <w:sz w:val="23"/>
          <w:szCs w:val="23"/>
        </w:rPr>
        <w:t>GB</w:t>
      </w:r>
      <w:r>
        <w:rPr>
          <w:rFonts w:ascii="Times New Roman" w:hAnsi="Times New Roman" w:eastAsia="Times New Roman" w:cs="Times New Roman"/>
          <w:spacing w:val="2"/>
          <w:sz w:val="23"/>
          <w:szCs w:val="23"/>
        </w:rPr>
        <w:t>3660</w:t>
      </w:r>
      <w:r>
        <w:rPr>
          <w:rFonts w:ascii="Times New Roman" w:hAnsi="Times New Roman" w:eastAsia="Times New Roman" w:cs="Times New Roman"/>
          <w:spacing w:val="1"/>
          <w:sz w:val="23"/>
          <w:szCs w:val="23"/>
        </w:rPr>
        <w:t>0-2018</w:t>
      </w:r>
      <w:r>
        <w:rPr>
          <w:rFonts w:ascii="宋体" w:hAnsi="宋体" w:eastAsia="宋体" w:cs="宋体"/>
          <w:spacing w:val="1"/>
          <w:sz w:val="23"/>
          <w:szCs w:val="23"/>
        </w:rPr>
        <w:t xml:space="preserve">) 未列 </w:t>
      </w:r>
      <w:r>
        <w:rPr>
          <w:rFonts w:ascii="Times New Roman" w:hAnsi="Times New Roman" w:eastAsia="Times New Roman" w:cs="Times New Roman"/>
          <w:sz w:val="23"/>
          <w:szCs w:val="23"/>
        </w:rPr>
        <w:t>COD</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w:t>
      </w:r>
      <w:r>
        <w:rPr>
          <w:rFonts w:ascii="Times New Roman" w:hAnsi="Times New Roman" w:eastAsia="Times New Roman" w:cs="Times New Roman"/>
          <w:sz w:val="23"/>
          <w:szCs w:val="23"/>
        </w:rPr>
        <w:t>BOD</w:t>
      </w:r>
      <w:r>
        <w:rPr>
          <w:rFonts w:ascii="Times New Roman" w:hAnsi="Times New Roman" w:eastAsia="Times New Roman" w:cs="Times New Roman"/>
          <w:spacing w:val="1"/>
          <w:position w:val="-1"/>
          <w:sz w:val="15"/>
          <w:szCs w:val="15"/>
        </w:rPr>
        <w:t>5</w:t>
      </w:r>
      <w:r>
        <w:rPr>
          <w:rFonts w:ascii="宋体" w:hAnsi="宋体" w:eastAsia="宋体" w:cs="宋体"/>
          <w:spacing w:val="1"/>
          <w:sz w:val="23"/>
          <w:szCs w:val="23"/>
        </w:rPr>
        <w:t>、</w:t>
      </w:r>
      <w:r>
        <w:rPr>
          <w:rFonts w:ascii="宋体" w:hAnsi="宋体" w:eastAsia="宋体" w:cs="宋体"/>
          <w:sz w:val="23"/>
          <w:szCs w:val="23"/>
        </w:rPr>
        <w:t xml:space="preserve"> </w:t>
      </w:r>
      <w:r>
        <w:rPr>
          <w:rFonts w:ascii="Times New Roman" w:hAnsi="Times New Roman" w:eastAsia="Times New Roman" w:cs="Times New Roman"/>
          <w:sz w:val="23"/>
          <w:szCs w:val="23"/>
        </w:rPr>
        <w:t>SS</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w:t>
      </w:r>
      <w:r>
        <w:rPr>
          <w:rFonts w:ascii="Times New Roman" w:hAnsi="Times New Roman" w:eastAsia="Times New Roman" w:cs="Times New Roman"/>
          <w:sz w:val="23"/>
          <w:szCs w:val="23"/>
        </w:rPr>
        <w:t>NH</w:t>
      </w:r>
      <w:r>
        <w:rPr>
          <w:rFonts w:ascii="Times New Roman" w:hAnsi="Times New Roman" w:eastAsia="Times New Roman" w:cs="Times New Roman"/>
          <w:spacing w:val="6"/>
          <w:position w:val="-1"/>
          <w:sz w:val="15"/>
          <w:szCs w:val="15"/>
        </w:rPr>
        <w:t>3</w:t>
      </w:r>
      <w:r>
        <w:rPr>
          <w:rFonts w:ascii="Times New Roman" w:hAnsi="Times New Roman" w:eastAsia="Times New Roman" w:cs="Times New Roman"/>
          <w:spacing w:val="5"/>
          <w:sz w:val="23"/>
          <w:szCs w:val="23"/>
        </w:rPr>
        <w:t>-</w:t>
      </w:r>
      <w:r>
        <w:rPr>
          <w:rFonts w:ascii="Times New Roman" w:hAnsi="Times New Roman" w:eastAsia="Times New Roman" w:cs="Times New Roman"/>
          <w:sz w:val="23"/>
          <w:szCs w:val="23"/>
        </w:rPr>
        <w:t>N</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，故本评价类比同类型场区进行分析。</w:t>
      </w:r>
    </w:p>
    <w:p w14:paraId="0129C9CA">
      <w:pPr>
        <w:spacing w:before="89" w:line="219" w:lineRule="auto"/>
        <w:ind w:left="23"/>
        <w:outlineLvl w:val="3"/>
        <w:rPr>
          <w:rFonts w:ascii="宋体" w:hAnsi="宋体" w:eastAsia="宋体" w:cs="宋体"/>
          <w:sz w:val="28"/>
          <w:szCs w:val="28"/>
        </w:rPr>
      </w:pPr>
      <w:r>
        <w:rPr>
          <w:rFonts w:ascii="Times New Roman" w:hAnsi="Times New Roman" w:eastAsia="Times New Roman" w:cs="Times New Roman"/>
          <w:b/>
          <w:bCs/>
          <w:spacing w:val="8"/>
          <w:sz w:val="28"/>
          <w:szCs w:val="28"/>
        </w:rPr>
        <w:t>5.2.6.4</w:t>
      </w:r>
      <w:r>
        <w:rPr>
          <w:rFonts w:ascii="Times New Roman" w:hAnsi="Times New Roman" w:eastAsia="Times New Roman" w:cs="Times New Roman"/>
          <w:spacing w:val="8"/>
          <w:sz w:val="28"/>
          <w:szCs w:val="28"/>
        </w:rPr>
        <w:t xml:space="preserve">  </w:t>
      </w:r>
      <w:r>
        <w:rPr>
          <w:rFonts w:ascii="宋体" w:hAnsi="宋体" w:eastAsia="宋体" w:cs="宋体"/>
          <w:spacing w:val="8"/>
          <w:sz w:val="28"/>
          <w:szCs w:val="28"/>
          <w14:textOutline w14:w="5103" w14:cap="sq" w14:cmpd="sng">
            <w14:solidFill>
              <w14:srgbClr w14:val="000000"/>
            </w14:solidFill>
            <w14:prstDash w14:val="solid"/>
            <w14:bevel/>
          </w14:textOutline>
        </w:rPr>
        <w:t>预测与评价方</w:t>
      </w:r>
      <w:r>
        <w:rPr>
          <w:rFonts w:ascii="宋体" w:hAnsi="宋体" w:eastAsia="宋体" w:cs="宋体"/>
          <w:spacing w:val="5"/>
          <w:sz w:val="28"/>
          <w:szCs w:val="28"/>
          <w14:textOutline w14:w="5103" w14:cap="sq" w14:cmpd="sng">
            <w14:solidFill>
              <w14:srgbClr w14:val="000000"/>
            </w14:solidFill>
            <w14:prstDash w14:val="solid"/>
            <w14:bevel/>
          </w14:textOutline>
        </w:rPr>
        <w:t>法</w:t>
      </w:r>
    </w:p>
    <w:p w14:paraId="76283D27">
      <w:pPr>
        <w:spacing w:line="264" w:lineRule="auto"/>
        <w:rPr>
          <w:rFonts w:ascii="Arial"/>
          <w:sz w:val="21"/>
        </w:rPr>
      </w:pPr>
    </w:p>
    <w:p w14:paraId="4C434CC2">
      <w:pPr>
        <w:spacing w:before="75" w:line="393" w:lineRule="auto"/>
        <w:ind w:left="24" w:firstLine="479"/>
        <w:rPr>
          <w:rFonts w:ascii="宋体" w:hAnsi="宋体" w:eastAsia="宋体" w:cs="宋体"/>
          <w:sz w:val="23"/>
          <w:szCs w:val="23"/>
        </w:rPr>
      </w:pPr>
      <w:r>
        <w:rPr>
          <w:rFonts w:ascii="宋体" w:hAnsi="宋体" w:eastAsia="宋体" w:cs="宋体"/>
          <w:spacing w:val="10"/>
          <w:sz w:val="23"/>
          <w:szCs w:val="23"/>
        </w:rPr>
        <w:t>根</w:t>
      </w:r>
      <w:r>
        <w:rPr>
          <w:rFonts w:ascii="宋体" w:hAnsi="宋体" w:eastAsia="宋体" w:cs="宋体"/>
          <w:spacing w:val="8"/>
          <w:sz w:val="23"/>
          <w:szCs w:val="23"/>
        </w:rPr>
        <w:t>据《环境影响评价技术导则  土壤环境 (试行) 》  (</w:t>
      </w:r>
      <w:r>
        <w:rPr>
          <w:rFonts w:ascii="Times New Roman" w:hAnsi="Times New Roman" w:eastAsia="Times New Roman" w:cs="Times New Roman"/>
          <w:sz w:val="23"/>
          <w:szCs w:val="23"/>
        </w:rPr>
        <w:t>HJ</w:t>
      </w:r>
      <w:r>
        <w:rPr>
          <w:rFonts w:ascii="Times New Roman" w:hAnsi="Times New Roman" w:eastAsia="Times New Roman" w:cs="Times New Roman"/>
          <w:spacing w:val="8"/>
          <w:sz w:val="23"/>
          <w:szCs w:val="23"/>
        </w:rPr>
        <w:t>964-2018</w:t>
      </w:r>
      <w:r>
        <w:rPr>
          <w:rFonts w:ascii="宋体" w:hAnsi="宋体" w:eastAsia="宋体" w:cs="宋体"/>
          <w:spacing w:val="8"/>
          <w:sz w:val="23"/>
          <w:szCs w:val="23"/>
        </w:rPr>
        <w:t xml:space="preserve">) </w:t>
      </w:r>
      <w:r>
        <w:rPr>
          <w:rFonts w:ascii="Times New Roman" w:hAnsi="Times New Roman" w:eastAsia="Times New Roman" w:cs="Times New Roman"/>
          <w:spacing w:val="8"/>
          <w:sz w:val="23"/>
          <w:szCs w:val="23"/>
        </w:rPr>
        <w:t>8.7.4</w:t>
      </w:r>
      <w:r>
        <w:rPr>
          <w:rFonts w:ascii="Times New Roman" w:hAnsi="Times New Roman" w:eastAsia="Times New Roman" w:cs="Times New Roman"/>
          <w:sz w:val="23"/>
          <w:szCs w:val="23"/>
        </w:rPr>
        <w:t xml:space="preserve"> </w:t>
      </w:r>
      <w:r>
        <w:rPr>
          <w:rFonts w:ascii="宋体" w:hAnsi="宋体" w:eastAsia="宋体" w:cs="宋体"/>
          <w:spacing w:val="4"/>
          <w:sz w:val="23"/>
          <w:szCs w:val="23"/>
        </w:rPr>
        <w:t>规定：评价工作等级为三级</w:t>
      </w:r>
      <w:r>
        <w:rPr>
          <w:rFonts w:ascii="宋体" w:hAnsi="宋体" w:eastAsia="宋体" w:cs="宋体"/>
          <w:spacing w:val="2"/>
          <w:sz w:val="23"/>
          <w:szCs w:val="23"/>
        </w:rPr>
        <w:t>的建设项目，可采用定性描述或类比分析法进行预测。</w:t>
      </w:r>
    </w:p>
    <w:p w14:paraId="33803000">
      <w:pPr>
        <w:spacing w:before="135" w:line="226" w:lineRule="auto"/>
        <w:ind w:left="504"/>
        <w:rPr>
          <w:rFonts w:ascii="宋体" w:hAnsi="宋体" w:eastAsia="宋体" w:cs="宋体"/>
          <w:sz w:val="23"/>
          <w:szCs w:val="23"/>
        </w:rPr>
      </w:pPr>
      <w:r>
        <w:rPr>
          <w:rFonts w:ascii="宋体" w:hAnsi="宋体" w:eastAsia="宋体" w:cs="宋体"/>
          <w:spacing w:val="8"/>
          <w:sz w:val="23"/>
          <w:szCs w:val="23"/>
        </w:rPr>
        <w:t>本评价采用类比分析</w:t>
      </w:r>
      <w:r>
        <w:rPr>
          <w:rFonts w:ascii="宋体" w:hAnsi="宋体" w:eastAsia="宋体" w:cs="宋体"/>
          <w:spacing w:val="7"/>
          <w:sz w:val="23"/>
          <w:szCs w:val="23"/>
        </w:rPr>
        <w:t>。</w:t>
      </w:r>
    </w:p>
    <w:p w14:paraId="321CE032">
      <w:pPr>
        <w:spacing w:before="318" w:line="221" w:lineRule="auto"/>
        <w:ind w:left="23"/>
        <w:outlineLvl w:val="3"/>
        <w:rPr>
          <w:rFonts w:ascii="宋体" w:hAnsi="宋体" w:eastAsia="宋体" w:cs="宋体"/>
          <w:sz w:val="28"/>
          <w:szCs w:val="28"/>
        </w:rPr>
      </w:pPr>
      <w:r>
        <w:rPr>
          <w:rFonts w:ascii="Times New Roman" w:hAnsi="Times New Roman" w:eastAsia="Times New Roman" w:cs="Times New Roman"/>
          <w:b/>
          <w:bCs/>
          <w:spacing w:val="10"/>
          <w:sz w:val="28"/>
          <w:szCs w:val="28"/>
        </w:rPr>
        <w:t>5</w:t>
      </w:r>
      <w:r>
        <w:rPr>
          <w:rFonts w:ascii="Times New Roman" w:hAnsi="Times New Roman" w:eastAsia="Times New Roman" w:cs="Times New Roman"/>
          <w:b/>
          <w:bCs/>
          <w:spacing w:val="8"/>
          <w:sz w:val="28"/>
          <w:szCs w:val="28"/>
        </w:rPr>
        <w:t>.2.6.5</w:t>
      </w:r>
      <w:r>
        <w:rPr>
          <w:rFonts w:ascii="Times New Roman" w:hAnsi="Times New Roman" w:eastAsia="Times New Roman" w:cs="Times New Roman"/>
          <w:spacing w:val="8"/>
          <w:sz w:val="28"/>
          <w:szCs w:val="28"/>
        </w:rPr>
        <w:t xml:space="preserve">  </w:t>
      </w:r>
      <w:r>
        <w:rPr>
          <w:rFonts w:ascii="宋体" w:hAnsi="宋体" w:eastAsia="宋体" w:cs="宋体"/>
          <w:spacing w:val="8"/>
          <w:sz w:val="28"/>
          <w:szCs w:val="28"/>
          <w14:textOutline w14:w="5103" w14:cap="sq" w14:cmpd="sng">
            <w14:solidFill>
              <w14:srgbClr w14:val="000000"/>
            </w14:solidFill>
            <w14:prstDash w14:val="solid"/>
            <w14:bevel/>
          </w14:textOutline>
        </w:rPr>
        <w:t>土壤环境影响分析</w:t>
      </w:r>
    </w:p>
    <w:p w14:paraId="4657DA81">
      <w:pPr>
        <w:spacing w:line="259" w:lineRule="auto"/>
        <w:rPr>
          <w:rFonts w:ascii="Arial"/>
          <w:sz w:val="21"/>
        </w:rPr>
      </w:pPr>
    </w:p>
    <w:p w14:paraId="4AEA7CED">
      <w:pPr>
        <w:spacing w:before="75" w:line="393" w:lineRule="auto"/>
        <w:ind w:left="21" w:right="77" w:firstLine="482"/>
        <w:rPr>
          <w:rFonts w:ascii="宋体" w:hAnsi="宋体" w:eastAsia="宋体" w:cs="宋体"/>
          <w:sz w:val="23"/>
          <w:szCs w:val="23"/>
        </w:rPr>
      </w:pPr>
      <w:r>
        <w:rPr>
          <w:rFonts w:ascii="宋体" w:hAnsi="宋体" w:eastAsia="宋体" w:cs="宋体"/>
          <w:spacing w:val="7"/>
          <w:sz w:val="23"/>
          <w:szCs w:val="23"/>
        </w:rPr>
        <w:t>本溪市土壤结构以棕壤土、草甸土及水稻土为主，土层深厚，质地适中，</w:t>
      </w:r>
      <w:r>
        <w:rPr>
          <w:rFonts w:ascii="宋体" w:hAnsi="宋体" w:eastAsia="宋体" w:cs="宋体"/>
          <w:spacing w:val="4"/>
          <w:sz w:val="23"/>
          <w:szCs w:val="23"/>
        </w:rPr>
        <w:t>含</w:t>
      </w:r>
      <w:r>
        <w:rPr>
          <w:rFonts w:ascii="宋体" w:hAnsi="宋体" w:eastAsia="宋体" w:cs="宋体"/>
          <w:sz w:val="23"/>
          <w:szCs w:val="23"/>
        </w:rPr>
        <w:t xml:space="preserve"> </w:t>
      </w:r>
      <w:r>
        <w:rPr>
          <w:rFonts w:ascii="宋体" w:hAnsi="宋体" w:eastAsia="宋体" w:cs="宋体"/>
          <w:spacing w:val="12"/>
          <w:sz w:val="23"/>
          <w:szCs w:val="23"/>
        </w:rPr>
        <w:t>氮</w:t>
      </w:r>
      <w:r>
        <w:rPr>
          <w:rFonts w:ascii="宋体" w:hAnsi="宋体" w:eastAsia="宋体" w:cs="宋体"/>
          <w:spacing w:val="8"/>
          <w:sz w:val="23"/>
          <w:szCs w:val="23"/>
        </w:rPr>
        <w:t>、磷、钾等元素稍低。</w:t>
      </w:r>
    </w:p>
    <w:p w14:paraId="7F644DBF">
      <w:pPr>
        <w:spacing w:before="132" w:line="380" w:lineRule="auto"/>
        <w:ind w:left="25" w:right="70" w:firstLine="481"/>
        <w:rPr>
          <w:rFonts w:ascii="宋体" w:hAnsi="宋体" w:eastAsia="宋体" w:cs="宋体"/>
          <w:sz w:val="23"/>
          <w:szCs w:val="23"/>
        </w:rPr>
      </w:pPr>
      <w:r>
        <w:rPr>
          <w:rFonts w:ascii="宋体" w:hAnsi="宋体" w:eastAsia="宋体" w:cs="宋体"/>
          <w:spacing w:val="12"/>
          <w:sz w:val="23"/>
          <w:szCs w:val="23"/>
        </w:rPr>
        <w:t>项目用地</w:t>
      </w:r>
      <w:r>
        <w:rPr>
          <w:rFonts w:ascii="宋体" w:hAnsi="宋体" w:eastAsia="宋体" w:cs="宋体"/>
          <w:spacing w:val="7"/>
          <w:sz w:val="23"/>
          <w:szCs w:val="23"/>
        </w:rPr>
        <w:t>四</w:t>
      </w:r>
      <w:r>
        <w:rPr>
          <w:rFonts w:ascii="宋体" w:hAnsi="宋体" w:eastAsia="宋体" w:cs="宋体"/>
          <w:spacing w:val="6"/>
          <w:sz w:val="23"/>
          <w:szCs w:val="23"/>
        </w:rPr>
        <w:t>周多为旱地，主要种植玉米。本项目产生的生产废水经一体化污</w:t>
      </w:r>
      <w:r>
        <w:rPr>
          <w:rFonts w:ascii="宋体" w:hAnsi="宋体" w:eastAsia="宋体" w:cs="宋体"/>
          <w:sz w:val="23"/>
          <w:szCs w:val="23"/>
        </w:rPr>
        <w:t xml:space="preserve"> </w:t>
      </w:r>
      <w:r>
        <w:rPr>
          <w:rFonts w:ascii="宋体" w:hAnsi="宋体" w:eastAsia="宋体" w:cs="宋体"/>
          <w:spacing w:val="2"/>
          <w:sz w:val="23"/>
          <w:szCs w:val="23"/>
        </w:rPr>
        <w:t xml:space="preserve">水预处理设备处理后排入 </w:t>
      </w:r>
      <w:r>
        <w:rPr>
          <w:rFonts w:ascii="Times New Roman" w:hAnsi="Times New Roman" w:eastAsia="Times New Roman" w:cs="Times New Roman"/>
          <w:spacing w:val="2"/>
          <w:sz w:val="23"/>
          <w:szCs w:val="23"/>
        </w:rPr>
        <w:t xml:space="preserve">1 </w:t>
      </w:r>
      <w:r>
        <w:rPr>
          <w:rFonts w:ascii="宋体" w:hAnsi="宋体" w:eastAsia="宋体" w:cs="宋体"/>
          <w:spacing w:val="2"/>
          <w:sz w:val="23"/>
          <w:szCs w:val="23"/>
        </w:rPr>
        <w:t xml:space="preserve">座容积为 </w:t>
      </w:r>
      <w:r>
        <w:rPr>
          <w:rFonts w:ascii="Times New Roman" w:hAnsi="Times New Roman" w:eastAsia="Times New Roman" w:cs="Times New Roman"/>
          <w:spacing w:val="2"/>
          <w:sz w:val="23"/>
          <w:szCs w:val="23"/>
        </w:rPr>
        <w:t>324</w:t>
      </w:r>
      <w:r>
        <w:rPr>
          <w:rFonts w:ascii="Times New Roman" w:hAnsi="Times New Roman" w:eastAsia="Times New Roman" w:cs="Times New Roman"/>
          <w:sz w:val="23"/>
          <w:szCs w:val="23"/>
        </w:rPr>
        <w:t>m</w:t>
      </w:r>
      <w:r>
        <w:rPr>
          <w:rFonts w:ascii="Times New Roman" w:hAnsi="Times New Roman" w:eastAsia="Times New Roman" w:cs="Times New Roman"/>
          <w:spacing w:val="2"/>
          <w:position w:val="7"/>
          <w:sz w:val="15"/>
          <w:szCs w:val="15"/>
        </w:rPr>
        <w:t xml:space="preserve">3 </w:t>
      </w:r>
      <w:r>
        <w:rPr>
          <w:rFonts w:ascii="宋体" w:hAnsi="宋体" w:eastAsia="宋体" w:cs="宋体"/>
          <w:spacing w:val="2"/>
          <w:sz w:val="23"/>
          <w:szCs w:val="23"/>
        </w:rPr>
        <w:t>的三级沉淀池 (</w:t>
      </w:r>
      <w:r>
        <w:rPr>
          <w:rFonts w:ascii="Times New Roman" w:hAnsi="Times New Roman" w:eastAsia="Times New Roman" w:cs="Times New Roman"/>
          <w:spacing w:val="2"/>
          <w:sz w:val="23"/>
          <w:szCs w:val="23"/>
        </w:rPr>
        <w:t>12</w:t>
      </w:r>
      <w:r>
        <w:rPr>
          <w:rFonts w:ascii="Times New Roman" w:hAnsi="Times New Roman" w:eastAsia="Times New Roman" w:cs="Times New Roman"/>
          <w:sz w:val="23"/>
          <w:szCs w:val="23"/>
        </w:rPr>
        <w:t>m</w:t>
      </w:r>
      <w:r>
        <w:rPr>
          <w:rFonts w:ascii="Times New Roman" w:hAnsi="Times New Roman" w:eastAsia="Times New Roman" w:cs="Times New Roman"/>
          <w:spacing w:val="2"/>
          <w:sz w:val="23"/>
          <w:szCs w:val="23"/>
        </w:rPr>
        <w:t>×6</w:t>
      </w:r>
      <w:r>
        <w:rPr>
          <w:rFonts w:ascii="Times New Roman" w:hAnsi="Times New Roman" w:eastAsia="Times New Roman" w:cs="Times New Roman"/>
          <w:sz w:val="23"/>
          <w:szCs w:val="23"/>
        </w:rPr>
        <w:t>m</w:t>
      </w:r>
      <w:r>
        <w:rPr>
          <w:rFonts w:ascii="Times New Roman" w:hAnsi="Times New Roman" w:eastAsia="Times New Roman" w:cs="Times New Roman"/>
          <w:spacing w:val="2"/>
          <w:sz w:val="23"/>
          <w:szCs w:val="23"/>
        </w:rPr>
        <w:t>×4.</w:t>
      </w:r>
      <w:r>
        <w:rPr>
          <w:rFonts w:ascii="Times New Roman" w:hAnsi="Times New Roman" w:eastAsia="Times New Roman" w:cs="Times New Roman"/>
          <w:spacing w:val="1"/>
          <w:sz w:val="23"/>
          <w:szCs w:val="23"/>
        </w:rPr>
        <w:t>5</w:t>
      </w:r>
      <w:r>
        <w:rPr>
          <w:rFonts w:ascii="Times New Roman" w:hAnsi="Times New Roman" w:eastAsia="Times New Roman" w:cs="Times New Roman"/>
          <w:sz w:val="23"/>
          <w:szCs w:val="23"/>
        </w:rPr>
        <w:t>m</w:t>
      </w:r>
      <w:r>
        <w:rPr>
          <w:rFonts w:ascii="宋体" w:hAnsi="宋体" w:eastAsia="宋体" w:cs="宋体"/>
          <w:sz w:val="23"/>
          <w:szCs w:val="23"/>
        </w:rPr>
        <w:t xml:space="preserve">) 沉淀 </w:t>
      </w:r>
      <w:r>
        <w:rPr>
          <w:rFonts w:ascii="宋体" w:hAnsi="宋体" w:eastAsia="宋体" w:cs="宋体"/>
          <w:spacing w:val="14"/>
          <w:sz w:val="23"/>
          <w:szCs w:val="23"/>
        </w:rPr>
        <w:t>处</w:t>
      </w:r>
      <w:r>
        <w:rPr>
          <w:rFonts w:ascii="宋体" w:hAnsi="宋体" w:eastAsia="宋体" w:cs="宋体"/>
          <w:spacing w:val="9"/>
          <w:sz w:val="23"/>
          <w:szCs w:val="23"/>
        </w:rPr>
        <w:t>理</w:t>
      </w:r>
      <w:r>
        <w:rPr>
          <w:rFonts w:ascii="宋体" w:hAnsi="宋体" w:eastAsia="宋体" w:cs="宋体"/>
          <w:spacing w:val="7"/>
          <w:sz w:val="23"/>
          <w:szCs w:val="23"/>
        </w:rPr>
        <w:t>，一体化污水预处理设备及三级沉淀池位于生产厂房西南侧，生产废水经三</w:t>
      </w:r>
      <w:r>
        <w:rPr>
          <w:rFonts w:ascii="宋体" w:hAnsi="宋体" w:eastAsia="宋体" w:cs="宋体"/>
          <w:sz w:val="23"/>
          <w:szCs w:val="23"/>
        </w:rPr>
        <w:t xml:space="preserve"> </w:t>
      </w:r>
      <w:r>
        <w:rPr>
          <w:rFonts w:ascii="宋体" w:hAnsi="宋体" w:eastAsia="宋体" w:cs="宋体"/>
          <w:spacing w:val="-1"/>
          <w:sz w:val="23"/>
          <w:szCs w:val="23"/>
        </w:rPr>
        <w:t xml:space="preserve">级沉淀池处理后循环使用。污水处理设施废水每月更换 </w:t>
      </w:r>
      <w:r>
        <w:rPr>
          <w:rFonts w:ascii="Times New Roman" w:hAnsi="Times New Roman" w:eastAsia="Times New Roman" w:cs="Times New Roman"/>
          <w:spacing w:val="-1"/>
          <w:sz w:val="23"/>
          <w:szCs w:val="23"/>
        </w:rPr>
        <w:t xml:space="preserve">1 </w:t>
      </w:r>
      <w:r>
        <w:rPr>
          <w:rFonts w:ascii="宋体" w:hAnsi="宋体" w:eastAsia="宋体" w:cs="宋体"/>
          <w:spacing w:val="-1"/>
          <w:sz w:val="23"/>
          <w:szCs w:val="23"/>
        </w:rPr>
        <w:t>次，更换过程</w:t>
      </w:r>
      <w:r>
        <w:rPr>
          <w:rFonts w:ascii="宋体" w:hAnsi="宋体" w:eastAsia="宋体" w:cs="宋体"/>
          <w:sz w:val="23"/>
          <w:szCs w:val="23"/>
        </w:rPr>
        <w:t xml:space="preserve">产生的废水 </w:t>
      </w:r>
      <w:r>
        <w:rPr>
          <w:rFonts w:ascii="宋体" w:hAnsi="宋体" w:eastAsia="宋体" w:cs="宋体"/>
          <w:spacing w:val="-2"/>
          <w:sz w:val="23"/>
          <w:szCs w:val="23"/>
        </w:rPr>
        <w:t>经吸污车运送至本溪市科态污水处理有限责任公司统一处理</w:t>
      </w:r>
      <w:r>
        <w:rPr>
          <w:rFonts w:ascii="宋体" w:hAnsi="宋体" w:eastAsia="宋体" w:cs="宋体"/>
          <w:sz w:val="23"/>
          <w:szCs w:val="23"/>
        </w:rPr>
        <w:t>。</w:t>
      </w:r>
    </w:p>
    <w:p w14:paraId="5F748E8F">
      <w:pPr>
        <w:spacing w:before="137" w:line="380" w:lineRule="auto"/>
        <w:ind w:left="22" w:firstLine="481"/>
        <w:rPr>
          <w:rFonts w:ascii="宋体" w:hAnsi="宋体" w:eastAsia="宋体" w:cs="宋体"/>
          <w:sz w:val="23"/>
          <w:szCs w:val="23"/>
        </w:rPr>
      </w:pPr>
      <w:r>
        <w:rPr>
          <w:rFonts w:ascii="宋体" w:hAnsi="宋体" w:eastAsia="宋体" w:cs="宋体"/>
          <w:spacing w:val="21"/>
          <w:sz w:val="23"/>
          <w:szCs w:val="23"/>
        </w:rPr>
        <w:t>本</w:t>
      </w:r>
      <w:r>
        <w:rPr>
          <w:rFonts w:ascii="宋体" w:hAnsi="宋体" w:eastAsia="宋体" w:cs="宋体"/>
          <w:spacing w:val="14"/>
          <w:sz w:val="23"/>
          <w:szCs w:val="23"/>
        </w:rPr>
        <w:t>项目对土壤可能产生影响的途径主要为在生产过程中由于操作失误导致</w:t>
      </w:r>
      <w:r>
        <w:rPr>
          <w:rFonts w:ascii="宋体" w:hAnsi="宋体" w:eastAsia="宋体" w:cs="宋体"/>
          <w:sz w:val="23"/>
          <w:szCs w:val="23"/>
        </w:rPr>
        <w:t xml:space="preserve"> </w:t>
      </w:r>
      <w:r>
        <w:rPr>
          <w:rFonts w:ascii="宋体" w:hAnsi="宋体" w:eastAsia="宋体" w:cs="宋体"/>
          <w:spacing w:val="4"/>
          <w:sz w:val="23"/>
          <w:szCs w:val="23"/>
        </w:rPr>
        <w:t>废水进入土壤环境，属于污染</w:t>
      </w:r>
      <w:r>
        <w:rPr>
          <w:rFonts w:ascii="宋体" w:hAnsi="宋体" w:eastAsia="宋体" w:cs="宋体"/>
          <w:spacing w:val="2"/>
          <w:sz w:val="23"/>
          <w:szCs w:val="23"/>
        </w:rPr>
        <w:t>影响型建设项目。由于本项目厂区地面均采用硬化、</w:t>
      </w:r>
      <w:r>
        <w:rPr>
          <w:rFonts w:ascii="宋体" w:hAnsi="宋体" w:eastAsia="宋体" w:cs="宋体"/>
          <w:sz w:val="23"/>
          <w:szCs w:val="23"/>
        </w:rPr>
        <w:t xml:space="preserve"> </w:t>
      </w:r>
      <w:r>
        <w:rPr>
          <w:rFonts w:ascii="宋体" w:hAnsi="宋体" w:eastAsia="宋体" w:cs="宋体"/>
          <w:spacing w:val="9"/>
          <w:sz w:val="23"/>
          <w:szCs w:val="23"/>
        </w:rPr>
        <w:t>防</w:t>
      </w:r>
      <w:r>
        <w:rPr>
          <w:rFonts w:ascii="宋体" w:hAnsi="宋体" w:eastAsia="宋体" w:cs="宋体"/>
          <w:spacing w:val="7"/>
          <w:sz w:val="23"/>
          <w:szCs w:val="23"/>
        </w:rPr>
        <w:t>渗混凝土地面，因此，土壤污染途径确定为事故状态下，地面防渗层破碎时废</w:t>
      </w:r>
      <w:r>
        <w:rPr>
          <w:rFonts w:ascii="宋体" w:hAnsi="宋体" w:eastAsia="宋体" w:cs="宋体"/>
          <w:sz w:val="23"/>
          <w:szCs w:val="23"/>
        </w:rPr>
        <w:t xml:space="preserve"> </w:t>
      </w:r>
      <w:r>
        <w:rPr>
          <w:rFonts w:ascii="宋体" w:hAnsi="宋体" w:eastAsia="宋体" w:cs="宋体"/>
          <w:spacing w:val="8"/>
          <w:sz w:val="23"/>
          <w:szCs w:val="23"/>
        </w:rPr>
        <w:t xml:space="preserve">水垂直入渗。根据 </w:t>
      </w:r>
      <w:r>
        <w:rPr>
          <w:rFonts w:ascii="Times New Roman" w:hAnsi="Times New Roman" w:eastAsia="Times New Roman" w:cs="Times New Roman"/>
          <w:spacing w:val="8"/>
          <w:sz w:val="23"/>
          <w:szCs w:val="23"/>
        </w:rPr>
        <w:t xml:space="preserve">4.3.4 </w:t>
      </w:r>
      <w:r>
        <w:rPr>
          <w:rFonts w:ascii="宋体" w:hAnsi="宋体" w:eastAsia="宋体" w:cs="宋体"/>
          <w:spacing w:val="8"/>
          <w:sz w:val="23"/>
          <w:szCs w:val="23"/>
        </w:rPr>
        <w:t>章节，本项目占地范围内监测点位各项指标均符合土</w:t>
      </w:r>
      <w:r>
        <w:rPr>
          <w:rFonts w:ascii="宋体" w:hAnsi="宋体" w:eastAsia="宋体" w:cs="宋体"/>
          <w:spacing w:val="1"/>
          <w:sz w:val="23"/>
          <w:szCs w:val="23"/>
        </w:rPr>
        <w:t>壤</w:t>
      </w:r>
      <w:r>
        <w:rPr>
          <w:rFonts w:ascii="宋体" w:hAnsi="宋体" w:eastAsia="宋体" w:cs="宋体"/>
          <w:sz w:val="23"/>
          <w:szCs w:val="23"/>
        </w:rPr>
        <w:t xml:space="preserve"> </w:t>
      </w:r>
      <w:r>
        <w:rPr>
          <w:rFonts w:ascii="宋体" w:hAnsi="宋体" w:eastAsia="宋体" w:cs="宋体"/>
          <w:spacing w:val="14"/>
          <w:sz w:val="23"/>
          <w:szCs w:val="23"/>
        </w:rPr>
        <w:t>环</w:t>
      </w:r>
      <w:r>
        <w:rPr>
          <w:rFonts w:ascii="宋体" w:hAnsi="宋体" w:eastAsia="宋体" w:cs="宋体"/>
          <w:spacing w:val="10"/>
          <w:sz w:val="23"/>
          <w:szCs w:val="23"/>
        </w:rPr>
        <w:t>境</w:t>
      </w:r>
      <w:r>
        <w:rPr>
          <w:rFonts w:ascii="宋体" w:hAnsi="宋体" w:eastAsia="宋体" w:cs="宋体"/>
          <w:spacing w:val="7"/>
          <w:sz w:val="23"/>
          <w:szCs w:val="23"/>
        </w:rPr>
        <w:t>质量建设用地土壤污染风险管控标准 (试行) 》  (</w:t>
      </w:r>
      <w:r>
        <w:rPr>
          <w:rFonts w:ascii="Times New Roman" w:hAnsi="Times New Roman" w:eastAsia="Times New Roman" w:cs="Times New Roman"/>
          <w:sz w:val="23"/>
          <w:szCs w:val="23"/>
        </w:rPr>
        <w:t>GB</w:t>
      </w:r>
      <w:r>
        <w:rPr>
          <w:rFonts w:ascii="Times New Roman" w:hAnsi="Times New Roman" w:eastAsia="Times New Roman" w:cs="Times New Roman"/>
          <w:spacing w:val="7"/>
          <w:sz w:val="23"/>
          <w:szCs w:val="23"/>
        </w:rPr>
        <w:t>36600-2018</w:t>
      </w:r>
      <w:r>
        <w:rPr>
          <w:rFonts w:ascii="宋体" w:hAnsi="宋体" w:eastAsia="宋体" w:cs="宋体"/>
          <w:spacing w:val="7"/>
          <w:sz w:val="23"/>
          <w:szCs w:val="23"/>
        </w:rPr>
        <w:t>) 中筛选</w:t>
      </w:r>
      <w:r>
        <w:rPr>
          <w:rFonts w:ascii="宋体" w:hAnsi="宋体" w:eastAsia="宋体" w:cs="宋体"/>
          <w:sz w:val="23"/>
          <w:szCs w:val="23"/>
        </w:rPr>
        <w:t xml:space="preserve"> </w:t>
      </w:r>
      <w:r>
        <w:rPr>
          <w:rFonts w:ascii="宋体" w:hAnsi="宋体" w:eastAsia="宋体" w:cs="宋体"/>
          <w:spacing w:val="13"/>
          <w:sz w:val="23"/>
          <w:szCs w:val="23"/>
        </w:rPr>
        <w:t>值</w:t>
      </w:r>
      <w:r>
        <w:rPr>
          <w:rFonts w:ascii="宋体" w:hAnsi="宋体" w:eastAsia="宋体" w:cs="宋体"/>
          <w:spacing w:val="9"/>
          <w:sz w:val="23"/>
          <w:szCs w:val="23"/>
        </w:rPr>
        <w:t>第二类用地标准，说明区域的土壤环境质量较好。</w:t>
      </w:r>
    </w:p>
    <w:p w14:paraId="4F732630">
      <w:pPr>
        <w:spacing w:before="136" w:line="384" w:lineRule="auto"/>
        <w:ind w:left="38" w:firstLine="465"/>
        <w:rPr>
          <w:rFonts w:ascii="宋体" w:hAnsi="宋体" w:eastAsia="宋体" w:cs="宋体"/>
          <w:sz w:val="23"/>
          <w:szCs w:val="23"/>
        </w:rPr>
      </w:pPr>
      <w:r>
        <w:rPr>
          <w:rFonts w:ascii="宋体" w:hAnsi="宋体" w:eastAsia="宋体" w:cs="宋体"/>
          <w:spacing w:val="4"/>
          <w:sz w:val="23"/>
          <w:szCs w:val="23"/>
        </w:rPr>
        <w:t>本项目全</w:t>
      </w:r>
      <w:r>
        <w:rPr>
          <w:rFonts w:ascii="宋体" w:hAnsi="宋体" w:eastAsia="宋体" w:cs="宋体"/>
          <w:spacing w:val="2"/>
          <w:sz w:val="23"/>
          <w:szCs w:val="23"/>
        </w:rPr>
        <w:t>场区均需硬化防渗，采取混凝土地面，上涂耐磨环氧树脂地面涂料，</w:t>
      </w:r>
      <w:r>
        <w:rPr>
          <w:rFonts w:ascii="宋体" w:hAnsi="宋体" w:eastAsia="宋体" w:cs="宋体"/>
          <w:sz w:val="23"/>
          <w:szCs w:val="23"/>
        </w:rPr>
        <w:t xml:space="preserve"> </w:t>
      </w:r>
      <w:r>
        <w:rPr>
          <w:rFonts w:ascii="宋体" w:hAnsi="宋体" w:eastAsia="宋体" w:cs="宋体"/>
          <w:spacing w:val="4"/>
          <w:sz w:val="23"/>
          <w:szCs w:val="23"/>
        </w:rPr>
        <w:t xml:space="preserve">防渗层渗透系数小于 </w:t>
      </w:r>
      <w:r>
        <w:rPr>
          <w:rFonts w:ascii="Times New Roman" w:hAnsi="Times New Roman" w:eastAsia="Times New Roman" w:cs="Times New Roman"/>
          <w:spacing w:val="3"/>
          <w:sz w:val="23"/>
          <w:szCs w:val="23"/>
        </w:rPr>
        <w:t>1</w:t>
      </w:r>
      <w:r>
        <w:rPr>
          <w:rFonts w:ascii="Times New Roman" w:hAnsi="Times New Roman" w:eastAsia="Times New Roman" w:cs="Times New Roman"/>
          <w:spacing w:val="2"/>
          <w:sz w:val="23"/>
          <w:szCs w:val="23"/>
        </w:rPr>
        <w:t>0</w:t>
      </w:r>
      <w:r>
        <w:rPr>
          <w:rFonts w:ascii="Times New Roman" w:hAnsi="Times New Roman" w:eastAsia="Times New Roman" w:cs="Times New Roman"/>
          <w:spacing w:val="2"/>
          <w:position w:val="8"/>
          <w:sz w:val="15"/>
          <w:szCs w:val="15"/>
        </w:rPr>
        <w:t>-7</w:t>
      </w:r>
      <w:r>
        <w:rPr>
          <w:rFonts w:ascii="Times New Roman" w:hAnsi="Times New Roman" w:eastAsia="Times New Roman" w:cs="Times New Roman"/>
          <w:sz w:val="23"/>
          <w:szCs w:val="23"/>
        </w:rPr>
        <w:t>cm</w:t>
      </w:r>
      <w:r>
        <w:rPr>
          <w:rFonts w:ascii="Times New Roman" w:hAnsi="Times New Roman" w:eastAsia="Times New Roman" w:cs="Times New Roman"/>
          <w:spacing w:val="2"/>
          <w:sz w:val="23"/>
          <w:szCs w:val="23"/>
        </w:rPr>
        <w:t>/</w:t>
      </w:r>
      <w:r>
        <w:rPr>
          <w:rFonts w:ascii="Times New Roman" w:hAnsi="Times New Roman" w:eastAsia="Times New Roman" w:cs="Times New Roman"/>
          <w:sz w:val="23"/>
          <w:szCs w:val="23"/>
        </w:rPr>
        <w:t>s</w:t>
      </w:r>
      <w:r>
        <w:rPr>
          <w:rFonts w:ascii="宋体" w:hAnsi="宋体" w:eastAsia="宋体" w:cs="宋体"/>
          <w:spacing w:val="2"/>
          <w:sz w:val="23"/>
          <w:szCs w:val="23"/>
        </w:rPr>
        <w:t>。因此，正常情况下，可保证废水不入渗土壤环境。</w:t>
      </w:r>
    </w:p>
    <w:p w14:paraId="46C6A8E8">
      <w:pPr>
        <w:spacing w:before="147" w:line="226" w:lineRule="auto"/>
        <w:ind w:left="2484"/>
        <w:rPr>
          <w:rFonts w:ascii="宋体" w:hAnsi="宋体" w:eastAsia="宋体" w:cs="宋体"/>
          <w:sz w:val="23"/>
          <w:szCs w:val="23"/>
        </w:rPr>
      </w:pPr>
      <w:r>
        <w:rPr>
          <w:rFonts w:ascii="宋体" w:hAnsi="宋体" w:eastAsia="宋体" w:cs="宋体"/>
          <w:spacing w:val="8"/>
          <w:sz w:val="23"/>
          <w:szCs w:val="23"/>
          <w14:textOutline w14:w="4358" w14:cap="sq" w14:cmpd="sng">
            <w14:solidFill>
              <w14:srgbClr w14:val="000000"/>
            </w14:solidFill>
            <w14:prstDash w14:val="solid"/>
            <w14:bevel/>
          </w14:textOutline>
        </w:rPr>
        <w:t>表</w:t>
      </w:r>
      <w:r>
        <w:rPr>
          <w:rFonts w:ascii="宋体" w:hAnsi="宋体" w:eastAsia="宋体" w:cs="宋体"/>
          <w:spacing w:val="6"/>
          <w:sz w:val="23"/>
          <w:szCs w:val="23"/>
        </w:rPr>
        <w:t xml:space="preserve"> </w:t>
      </w:r>
      <w:r>
        <w:rPr>
          <w:rFonts w:ascii="Times New Roman" w:hAnsi="Times New Roman" w:eastAsia="Times New Roman" w:cs="Times New Roman"/>
          <w:b/>
          <w:bCs/>
          <w:spacing w:val="4"/>
          <w:sz w:val="23"/>
          <w:szCs w:val="23"/>
        </w:rPr>
        <w:t>5-25</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土壤环境影响评价自查表</w:t>
      </w:r>
    </w:p>
    <w:p w14:paraId="5D7C85B1">
      <w:pPr>
        <w:spacing w:line="19" w:lineRule="exact"/>
      </w:pPr>
    </w:p>
    <w:tbl>
      <w:tblPr>
        <w:tblStyle w:val="4"/>
        <w:tblW w:w="8316" w:type="dxa"/>
        <w:tblInd w:w="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2"/>
        <w:gridCol w:w="1665"/>
        <w:gridCol w:w="5235"/>
        <w:gridCol w:w="914"/>
      </w:tblGrid>
      <w:tr w14:paraId="686B74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0" w:hRule="atLeast"/>
        </w:trPr>
        <w:tc>
          <w:tcPr>
            <w:tcW w:w="2167" w:type="dxa"/>
            <w:gridSpan w:val="2"/>
            <w:tcBorders>
              <w:left w:val="nil"/>
            </w:tcBorders>
            <w:vAlign w:val="top"/>
          </w:tcPr>
          <w:p w14:paraId="39767840">
            <w:pPr>
              <w:spacing w:before="75" w:line="228" w:lineRule="auto"/>
              <w:ind w:left="673"/>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工作内</w:t>
            </w:r>
            <w:r>
              <w:rPr>
                <w:rFonts w:ascii="宋体" w:hAnsi="宋体" w:eastAsia="宋体" w:cs="宋体"/>
                <w:spacing w:val="7"/>
                <w:sz w:val="20"/>
                <w:szCs w:val="20"/>
                <w14:textOutline w14:w="3795" w14:cap="sq" w14:cmpd="sng">
                  <w14:solidFill>
                    <w14:srgbClr w14:val="000000"/>
                  </w14:solidFill>
                  <w14:prstDash w14:val="solid"/>
                  <w14:bevel/>
                </w14:textOutline>
              </w:rPr>
              <w:t>容</w:t>
            </w:r>
          </w:p>
        </w:tc>
        <w:tc>
          <w:tcPr>
            <w:tcW w:w="5235" w:type="dxa"/>
            <w:vAlign w:val="top"/>
          </w:tcPr>
          <w:p w14:paraId="50811DB7">
            <w:pPr>
              <w:spacing w:before="75" w:line="228" w:lineRule="auto"/>
              <w:ind w:left="2203"/>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完成情况</w:t>
            </w:r>
          </w:p>
        </w:tc>
        <w:tc>
          <w:tcPr>
            <w:tcW w:w="914" w:type="dxa"/>
            <w:tcBorders>
              <w:right w:val="nil"/>
            </w:tcBorders>
            <w:vAlign w:val="top"/>
          </w:tcPr>
          <w:p w14:paraId="01F07D1D">
            <w:pPr>
              <w:spacing w:before="76" w:line="229" w:lineRule="auto"/>
              <w:ind w:left="255"/>
              <w:rPr>
                <w:rFonts w:ascii="宋体" w:hAnsi="宋体" w:eastAsia="宋体" w:cs="宋体"/>
                <w:sz w:val="20"/>
                <w:szCs w:val="20"/>
              </w:rPr>
            </w:pPr>
            <w:r>
              <w:rPr>
                <w:rFonts w:ascii="宋体" w:hAnsi="宋体" w:eastAsia="宋体" w:cs="宋体"/>
                <w:spacing w:val="5"/>
                <w:sz w:val="20"/>
                <w:szCs w:val="20"/>
                <w14:textOutline w14:w="3795" w14:cap="sq" w14:cmpd="sng">
                  <w14:solidFill>
                    <w14:srgbClr w14:val="000000"/>
                  </w14:solidFill>
                  <w14:prstDash w14:val="solid"/>
                  <w14:bevel/>
                </w14:textOutline>
              </w:rPr>
              <w:t>备</w:t>
            </w:r>
            <w:r>
              <w:rPr>
                <w:rFonts w:ascii="宋体" w:hAnsi="宋体" w:eastAsia="宋体" w:cs="宋体"/>
                <w:spacing w:val="4"/>
                <w:sz w:val="20"/>
                <w:szCs w:val="20"/>
                <w14:textOutline w14:w="3795" w14:cap="sq" w14:cmpd="sng">
                  <w14:solidFill>
                    <w14:srgbClr w14:val="000000"/>
                  </w14:solidFill>
                  <w14:prstDash w14:val="solid"/>
                  <w14:bevel/>
                </w14:textOutline>
              </w:rPr>
              <w:t>注</w:t>
            </w:r>
          </w:p>
        </w:tc>
      </w:tr>
      <w:tr w14:paraId="16596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02" w:type="dxa"/>
            <w:vMerge w:val="restart"/>
            <w:tcBorders>
              <w:left w:val="nil"/>
              <w:bottom w:val="nil"/>
            </w:tcBorders>
            <w:vAlign w:val="top"/>
          </w:tcPr>
          <w:p w14:paraId="457648C2">
            <w:pPr>
              <w:spacing w:before="213" w:line="301" w:lineRule="auto"/>
              <w:ind w:left="50" w:right="40" w:hanging="1"/>
              <w:rPr>
                <w:rFonts w:ascii="宋体" w:hAnsi="宋体" w:eastAsia="宋体" w:cs="宋体"/>
                <w:sz w:val="20"/>
                <w:szCs w:val="20"/>
              </w:rPr>
            </w:pPr>
            <w:r>
              <w:rPr>
                <w:rFonts w:ascii="宋体" w:hAnsi="宋体" w:eastAsia="宋体" w:cs="宋体"/>
                <w:spacing w:val="5"/>
                <w:sz w:val="20"/>
                <w:szCs w:val="20"/>
              </w:rPr>
              <w:t>影</w:t>
            </w:r>
            <w:r>
              <w:rPr>
                <w:rFonts w:ascii="宋体" w:hAnsi="宋体" w:eastAsia="宋体" w:cs="宋体"/>
                <w:spacing w:val="4"/>
                <w:sz w:val="20"/>
                <w:szCs w:val="20"/>
              </w:rPr>
              <w:t>响</w:t>
            </w:r>
            <w:r>
              <w:rPr>
                <w:rFonts w:ascii="宋体" w:hAnsi="宋体" w:eastAsia="宋体" w:cs="宋体"/>
                <w:sz w:val="20"/>
                <w:szCs w:val="20"/>
              </w:rPr>
              <w:t xml:space="preserve"> </w:t>
            </w:r>
            <w:r>
              <w:rPr>
                <w:rFonts w:ascii="宋体" w:hAnsi="宋体" w:eastAsia="宋体" w:cs="宋体"/>
                <w:spacing w:val="4"/>
                <w:sz w:val="20"/>
                <w:szCs w:val="20"/>
              </w:rPr>
              <w:t>识</w:t>
            </w:r>
            <w:r>
              <w:rPr>
                <w:rFonts w:ascii="宋体" w:hAnsi="宋体" w:eastAsia="宋体" w:cs="宋体"/>
                <w:spacing w:val="3"/>
                <w:sz w:val="20"/>
                <w:szCs w:val="20"/>
              </w:rPr>
              <w:t>别</w:t>
            </w:r>
          </w:p>
        </w:tc>
        <w:tc>
          <w:tcPr>
            <w:tcW w:w="1665" w:type="dxa"/>
            <w:vAlign w:val="top"/>
          </w:tcPr>
          <w:p w14:paraId="6F23B2D4">
            <w:pPr>
              <w:spacing w:before="52" w:line="228" w:lineRule="auto"/>
              <w:ind w:left="418"/>
              <w:rPr>
                <w:rFonts w:ascii="宋体" w:hAnsi="宋体" w:eastAsia="宋体" w:cs="宋体"/>
                <w:sz w:val="20"/>
                <w:szCs w:val="20"/>
              </w:rPr>
            </w:pPr>
            <w:r>
              <w:rPr>
                <w:rFonts w:ascii="宋体" w:hAnsi="宋体" w:eastAsia="宋体" w:cs="宋体"/>
                <w:spacing w:val="8"/>
                <w:sz w:val="20"/>
                <w:szCs w:val="20"/>
              </w:rPr>
              <w:t>影</w:t>
            </w:r>
            <w:r>
              <w:rPr>
                <w:rFonts w:ascii="宋体" w:hAnsi="宋体" w:eastAsia="宋体" w:cs="宋体"/>
                <w:spacing w:val="7"/>
                <w:sz w:val="20"/>
                <w:szCs w:val="20"/>
              </w:rPr>
              <w:t>响类型</w:t>
            </w:r>
          </w:p>
        </w:tc>
        <w:tc>
          <w:tcPr>
            <w:tcW w:w="5235" w:type="dxa"/>
            <w:vAlign w:val="top"/>
          </w:tcPr>
          <w:p w14:paraId="7C482FC5">
            <w:pPr>
              <w:spacing w:before="52" w:line="184" w:lineRule="auto"/>
              <w:ind w:left="34"/>
              <w:rPr>
                <w:sz w:val="20"/>
                <w:szCs w:val="20"/>
              </w:rPr>
            </w:pPr>
            <w:r>
              <w:rPr>
                <w:rFonts w:ascii="宋体" w:hAnsi="宋体" w:eastAsia="宋体" w:cs="宋体"/>
                <w:spacing w:val="9"/>
                <w:sz w:val="20"/>
                <w:szCs w:val="20"/>
              </w:rPr>
              <w:t>污染影响型</w:t>
            </w:r>
            <w:r>
              <w:rPr>
                <w:rFonts w:ascii="微软雅黑" w:hAnsi="微软雅黑" w:eastAsia="微软雅黑" w:cs="微软雅黑"/>
                <w:spacing w:val="9"/>
                <w:sz w:val="20"/>
                <w:szCs w:val="20"/>
              </w:rPr>
              <w:t>团</w:t>
            </w:r>
            <w:r>
              <w:rPr>
                <w:rFonts w:ascii="宋体" w:hAnsi="宋体" w:eastAsia="宋体" w:cs="宋体"/>
                <w:spacing w:val="9"/>
                <w:sz w:val="20"/>
                <w:szCs w:val="20"/>
              </w:rPr>
              <w:t>；生态影响型</w:t>
            </w:r>
            <w:r>
              <w:rPr>
                <w:position w:val="-4"/>
                <w:sz w:val="20"/>
                <w:szCs w:val="20"/>
              </w:rPr>
              <w:drawing>
                <wp:inline distT="0" distB="0" distL="0" distR="0">
                  <wp:extent cx="107315" cy="139700"/>
                  <wp:effectExtent l="0" t="0" r="0" b="0"/>
                  <wp:docPr id="146" name="IM 146"/>
                  <wp:cNvGraphicFramePr/>
                  <a:graphic xmlns:a="http://schemas.openxmlformats.org/drawingml/2006/main">
                    <a:graphicData uri="http://schemas.openxmlformats.org/drawingml/2006/picture">
                      <pic:pic xmlns:pic="http://schemas.openxmlformats.org/drawingml/2006/picture">
                        <pic:nvPicPr>
                          <pic:cNvPr id="146" name="IM 146"/>
                          <pic:cNvPicPr/>
                        </pic:nvPicPr>
                        <pic:blipFill>
                          <a:blip r:embed="rId535"/>
                          <a:stretch>
                            <a:fillRect/>
                          </a:stretch>
                        </pic:blipFill>
                        <pic:spPr>
                          <a:xfrm>
                            <a:off x="0" y="0"/>
                            <a:ext cx="107749" cy="139749"/>
                          </a:xfrm>
                          <a:prstGeom prst="rect">
                            <a:avLst/>
                          </a:prstGeom>
                        </pic:spPr>
                      </pic:pic>
                    </a:graphicData>
                  </a:graphic>
                </wp:inline>
              </w:drawing>
            </w:r>
            <w:r>
              <w:rPr>
                <w:rFonts w:ascii="宋体" w:hAnsi="宋体" w:eastAsia="宋体" w:cs="宋体"/>
                <w:spacing w:val="9"/>
                <w:sz w:val="20"/>
                <w:szCs w:val="20"/>
              </w:rPr>
              <w:t>；两种兼有</w:t>
            </w:r>
            <w:r>
              <w:rPr>
                <w:position w:val="-4"/>
                <w:sz w:val="20"/>
                <w:szCs w:val="20"/>
              </w:rPr>
              <w:drawing>
                <wp:inline distT="0" distB="0" distL="0" distR="0">
                  <wp:extent cx="107315" cy="139700"/>
                  <wp:effectExtent l="0" t="0" r="0" b="0"/>
                  <wp:docPr id="147" name="IM 147"/>
                  <wp:cNvGraphicFramePr/>
                  <a:graphic xmlns:a="http://schemas.openxmlformats.org/drawingml/2006/main">
                    <a:graphicData uri="http://schemas.openxmlformats.org/drawingml/2006/picture">
                      <pic:pic xmlns:pic="http://schemas.openxmlformats.org/drawingml/2006/picture">
                        <pic:nvPicPr>
                          <pic:cNvPr id="147" name="IM 147"/>
                          <pic:cNvPicPr/>
                        </pic:nvPicPr>
                        <pic:blipFill>
                          <a:blip r:embed="rId536"/>
                          <a:stretch>
                            <a:fillRect/>
                          </a:stretch>
                        </pic:blipFill>
                        <pic:spPr>
                          <a:xfrm>
                            <a:off x="0" y="0"/>
                            <a:ext cx="107749" cy="139749"/>
                          </a:xfrm>
                          <a:prstGeom prst="rect">
                            <a:avLst/>
                          </a:prstGeom>
                        </pic:spPr>
                      </pic:pic>
                    </a:graphicData>
                  </a:graphic>
                </wp:inline>
              </w:drawing>
            </w:r>
          </w:p>
        </w:tc>
        <w:tc>
          <w:tcPr>
            <w:tcW w:w="914" w:type="dxa"/>
            <w:tcBorders>
              <w:right w:val="nil"/>
            </w:tcBorders>
            <w:vAlign w:val="top"/>
          </w:tcPr>
          <w:p w14:paraId="7C9BD9AC">
            <w:pPr>
              <w:rPr>
                <w:rFonts w:ascii="Arial"/>
                <w:sz w:val="21"/>
              </w:rPr>
            </w:pPr>
          </w:p>
        </w:tc>
      </w:tr>
      <w:tr w14:paraId="5A85C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502" w:type="dxa"/>
            <w:vMerge w:val="continue"/>
            <w:tcBorders>
              <w:top w:val="nil"/>
              <w:left w:val="nil"/>
            </w:tcBorders>
            <w:vAlign w:val="top"/>
          </w:tcPr>
          <w:p w14:paraId="38669FB7">
            <w:pPr>
              <w:rPr>
                <w:rFonts w:ascii="Arial"/>
                <w:sz w:val="21"/>
              </w:rPr>
            </w:pPr>
          </w:p>
        </w:tc>
        <w:tc>
          <w:tcPr>
            <w:tcW w:w="1665" w:type="dxa"/>
            <w:vAlign w:val="top"/>
          </w:tcPr>
          <w:p w14:paraId="0BC09876">
            <w:pPr>
              <w:spacing w:before="208" w:line="228" w:lineRule="auto"/>
              <w:ind w:left="207"/>
              <w:rPr>
                <w:rFonts w:ascii="宋体" w:hAnsi="宋体" w:eastAsia="宋体" w:cs="宋体"/>
                <w:sz w:val="20"/>
                <w:szCs w:val="20"/>
              </w:rPr>
            </w:pPr>
            <w:r>
              <w:rPr>
                <w:rFonts w:ascii="宋体" w:hAnsi="宋体" w:eastAsia="宋体" w:cs="宋体"/>
                <w:spacing w:val="8"/>
                <w:sz w:val="20"/>
                <w:szCs w:val="20"/>
              </w:rPr>
              <w:t>土地利用类型</w:t>
            </w:r>
          </w:p>
        </w:tc>
        <w:tc>
          <w:tcPr>
            <w:tcW w:w="5235" w:type="dxa"/>
            <w:vAlign w:val="top"/>
          </w:tcPr>
          <w:p w14:paraId="7CA71345">
            <w:pPr>
              <w:spacing w:before="208" w:line="193" w:lineRule="auto"/>
              <w:ind w:left="34"/>
              <w:rPr>
                <w:sz w:val="20"/>
                <w:szCs w:val="20"/>
              </w:rPr>
            </w:pPr>
            <w:r>
              <w:rPr>
                <w:rFonts w:ascii="宋体" w:hAnsi="宋体" w:eastAsia="宋体" w:cs="宋体"/>
                <w:spacing w:val="16"/>
                <w:sz w:val="20"/>
                <w:szCs w:val="20"/>
              </w:rPr>
              <w:t>建</w:t>
            </w:r>
            <w:r>
              <w:rPr>
                <w:rFonts w:ascii="宋体" w:hAnsi="宋体" w:eastAsia="宋体" w:cs="宋体"/>
                <w:spacing w:val="9"/>
                <w:sz w:val="20"/>
                <w:szCs w:val="20"/>
              </w:rPr>
              <w:t>设</w:t>
            </w:r>
            <w:r>
              <w:rPr>
                <w:rFonts w:ascii="宋体" w:hAnsi="宋体" w:eastAsia="宋体" w:cs="宋体"/>
                <w:spacing w:val="8"/>
                <w:sz w:val="20"/>
                <w:szCs w:val="20"/>
              </w:rPr>
              <w:t>用地</w:t>
            </w:r>
            <w:r>
              <w:rPr>
                <w:rFonts w:ascii="微软雅黑" w:hAnsi="微软雅黑" w:eastAsia="微软雅黑" w:cs="微软雅黑"/>
                <w:spacing w:val="8"/>
                <w:sz w:val="20"/>
                <w:szCs w:val="20"/>
              </w:rPr>
              <w:t>团</w:t>
            </w:r>
            <w:r>
              <w:rPr>
                <w:rFonts w:ascii="宋体" w:hAnsi="宋体" w:eastAsia="宋体" w:cs="宋体"/>
                <w:spacing w:val="8"/>
                <w:sz w:val="20"/>
                <w:szCs w:val="20"/>
              </w:rPr>
              <w:t>；农用地</w:t>
            </w:r>
            <w:r>
              <w:rPr>
                <w:position w:val="-4"/>
                <w:sz w:val="20"/>
                <w:szCs w:val="20"/>
              </w:rPr>
              <w:drawing>
                <wp:inline distT="0" distB="0" distL="0" distR="0">
                  <wp:extent cx="107950" cy="139700"/>
                  <wp:effectExtent l="0" t="0" r="0" b="0"/>
                  <wp:docPr id="148" name="IM 148"/>
                  <wp:cNvGraphicFramePr/>
                  <a:graphic xmlns:a="http://schemas.openxmlformats.org/drawingml/2006/main">
                    <a:graphicData uri="http://schemas.openxmlformats.org/drawingml/2006/picture">
                      <pic:pic xmlns:pic="http://schemas.openxmlformats.org/drawingml/2006/picture">
                        <pic:nvPicPr>
                          <pic:cNvPr id="148" name="IM 148"/>
                          <pic:cNvPicPr/>
                        </pic:nvPicPr>
                        <pic:blipFill>
                          <a:blip r:embed="rId537"/>
                          <a:stretch>
                            <a:fillRect/>
                          </a:stretch>
                        </pic:blipFill>
                        <pic:spPr>
                          <a:xfrm>
                            <a:off x="0" y="0"/>
                            <a:ext cx="108519" cy="139748"/>
                          </a:xfrm>
                          <a:prstGeom prst="rect">
                            <a:avLst/>
                          </a:prstGeom>
                        </pic:spPr>
                      </pic:pic>
                    </a:graphicData>
                  </a:graphic>
                </wp:inline>
              </w:drawing>
            </w:r>
            <w:r>
              <w:rPr>
                <w:rFonts w:ascii="宋体" w:hAnsi="宋体" w:eastAsia="宋体" w:cs="宋体"/>
                <w:spacing w:val="8"/>
                <w:sz w:val="20"/>
                <w:szCs w:val="20"/>
              </w:rPr>
              <w:t>；未利用地</w:t>
            </w:r>
            <w:r>
              <w:rPr>
                <w:position w:val="-4"/>
                <w:sz w:val="20"/>
                <w:szCs w:val="20"/>
              </w:rPr>
              <w:drawing>
                <wp:inline distT="0" distB="0" distL="0" distR="0">
                  <wp:extent cx="107950" cy="139700"/>
                  <wp:effectExtent l="0" t="0" r="0" b="0"/>
                  <wp:docPr id="149" name="IM 149"/>
                  <wp:cNvGraphicFramePr/>
                  <a:graphic xmlns:a="http://schemas.openxmlformats.org/drawingml/2006/main">
                    <a:graphicData uri="http://schemas.openxmlformats.org/drawingml/2006/picture">
                      <pic:pic xmlns:pic="http://schemas.openxmlformats.org/drawingml/2006/picture">
                        <pic:nvPicPr>
                          <pic:cNvPr id="149" name="IM 149"/>
                          <pic:cNvPicPr/>
                        </pic:nvPicPr>
                        <pic:blipFill>
                          <a:blip r:embed="rId538"/>
                          <a:stretch>
                            <a:fillRect/>
                          </a:stretch>
                        </pic:blipFill>
                        <pic:spPr>
                          <a:xfrm>
                            <a:off x="0" y="0"/>
                            <a:ext cx="108519" cy="139748"/>
                          </a:xfrm>
                          <a:prstGeom prst="rect">
                            <a:avLst/>
                          </a:prstGeom>
                        </pic:spPr>
                      </pic:pic>
                    </a:graphicData>
                  </a:graphic>
                </wp:inline>
              </w:drawing>
            </w:r>
          </w:p>
        </w:tc>
        <w:tc>
          <w:tcPr>
            <w:tcW w:w="914" w:type="dxa"/>
            <w:tcBorders>
              <w:right w:val="nil"/>
            </w:tcBorders>
            <w:vAlign w:val="top"/>
          </w:tcPr>
          <w:p w14:paraId="43BB3A1A">
            <w:pPr>
              <w:spacing w:before="52" w:line="258" w:lineRule="auto"/>
              <w:ind w:left="146" w:right="40" w:hanging="104"/>
              <w:rPr>
                <w:rFonts w:ascii="宋体" w:hAnsi="宋体" w:eastAsia="宋体" w:cs="宋体"/>
                <w:sz w:val="20"/>
                <w:szCs w:val="20"/>
              </w:rPr>
            </w:pPr>
            <w:r>
              <w:rPr>
                <w:rFonts w:ascii="宋体" w:hAnsi="宋体" w:eastAsia="宋体" w:cs="宋体"/>
                <w:spacing w:val="7"/>
                <w:sz w:val="20"/>
                <w:szCs w:val="20"/>
              </w:rPr>
              <w:t>土地利用</w:t>
            </w:r>
            <w:r>
              <w:rPr>
                <w:rFonts w:ascii="宋体" w:hAnsi="宋体" w:eastAsia="宋体" w:cs="宋体"/>
                <w:sz w:val="20"/>
                <w:szCs w:val="20"/>
              </w:rPr>
              <w:t xml:space="preserve"> </w:t>
            </w:r>
            <w:r>
              <w:rPr>
                <w:rFonts w:ascii="宋体" w:hAnsi="宋体" w:eastAsia="宋体" w:cs="宋体"/>
                <w:spacing w:val="7"/>
                <w:sz w:val="20"/>
                <w:szCs w:val="20"/>
              </w:rPr>
              <w:t>类型</w:t>
            </w:r>
            <w:r>
              <w:rPr>
                <w:rFonts w:ascii="宋体" w:hAnsi="宋体" w:eastAsia="宋体" w:cs="宋体"/>
                <w:spacing w:val="6"/>
                <w:sz w:val="20"/>
                <w:szCs w:val="20"/>
              </w:rPr>
              <w:t>图</w:t>
            </w:r>
          </w:p>
        </w:tc>
      </w:tr>
    </w:tbl>
    <w:p w14:paraId="4AE4F8B6">
      <w:pPr>
        <w:rPr>
          <w:rFonts w:ascii="Arial"/>
          <w:sz w:val="21"/>
        </w:rPr>
      </w:pPr>
    </w:p>
    <w:p w14:paraId="44A61C03">
      <w:pPr>
        <w:sectPr>
          <w:headerReference r:id="rId252" w:type="default"/>
          <w:footerReference r:id="rId253" w:type="default"/>
          <w:pgSz w:w="11906" w:h="16839"/>
          <w:pgMar w:top="1132" w:right="1719" w:bottom="1182" w:left="1785" w:header="878" w:footer="1022" w:gutter="0"/>
          <w:cols w:space="720" w:num="1"/>
        </w:sectPr>
      </w:pPr>
    </w:p>
    <w:p w14:paraId="5BBD491F">
      <w:r>
        <w:pict>
          <v:rect id="_x0000_s1292" o:spid="_x0000_s1292" o:spt="1" style="position:absolute;left:0pt;margin-left:90pt;margin-top:57.35pt;height:0.75pt;width:415.3pt;mso-position-horizontal-relative:page;mso-position-vertical-relative:page;z-index:251945984;mso-width-relative:page;mso-height-relative:page;" fillcolor="#000000" filled="t" stroked="f" coordsize="21600,21600" o:allowincell="f">
            <v:path/>
            <v:fill on="t" focussize="0,0"/>
            <v:stroke on="f"/>
            <v:imagedata o:title=""/>
            <o:lock v:ext="edit"/>
          </v:rect>
        </w:pict>
      </w:r>
    </w:p>
    <w:p w14:paraId="080AC7C0">
      <w:pPr>
        <w:spacing w:line="65" w:lineRule="exact"/>
      </w:pPr>
    </w:p>
    <w:tbl>
      <w:tblPr>
        <w:tblStyle w:val="4"/>
        <w:tblW w:w="8315" w:type="dxa"/>
        <w:tblInd w:w="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2"/>
        <w:gridCol w:w="1665"/>
        <w:gridCol w:w="1399"/>
        <w:gridCol w:w="1236"/>
        <w:gridCol w:w="1120"/>
        <w:gridCol w:w="1479"/>
        <w:gridCol w:w="914"/>
      </w:tblGrid>
      <w:tr w14:paraId="1D0463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502" w:type="dxa"/>
            <w:vMerge w:val="restart"/>
            <w:tcBorders>
              <w:left w:val="nil"/>
              <w:bottom w:val="nil"/>
            </w:tcBorders>
            <w:vAlign w:val="top"/>
          </w:tcPr>
          <w:p w14:paraId="2DD96B5A">
            <w:pPr>
              <w:rPr>
                <w:rFonts w:ascii="Arial"/>
                <w:sz w:val="21"/>
              </w:rPr>
            </w:pPr>
          </w:p>
        </w:tc>
        <w:tc>
          <w:tcPr>
            <w:tcW w:w="1665" w:type="dxa"/>
            <w:vAlign w:val="top"/>
          </w:tcPr>
          <w:p w14:paraId="4BAAD834">
            <w:pPr>
              <w:spacing w:before="75" w:line="228" w:lineRule="auto"/>
              <w:ind w:left="452"/>
              <w:rPr>
                <w:rFonts w:ascii="宋体" w:hAnsi="宋体" w:eastAsia="宋体" w:cs="宋体"/>
                <w:sz w:val="20"/>
                <w:szCs w:val="20"/>
              </w:rPr>
            </w:pPr>
            <w:r>
              <w:rPr>
                <w:rFonts w:ascii="宋体" w:hAnsi="宋体" w:eastAsia="宋体" w:cs="宋体"/>
                <w:spacing w:val="-2"/>
                <w:sz w:val="20"/>
                <w:szCs w:val="20"/>
              </w:rPr>
              <w:t>占</w:t>
            </w:r>
            <w:r>
              <w:rPr>
                <w:rFonts w:ascii="宋体" w:hAnsi="宋体" w:eastAsia="宋体" w:cs="宋体"/>
                <w:spacing w:val="-1"/>
                <w:sz w:val="20"/>
                <w:szCs w:val="20"/>
              </w:rPr>
              <w:t>地规模</w:t>
            </w:r>
          </w:p>
        </w:tc>
        <w:tc>
          <w:tcPr>
            <w:tcW w:w="5234" w:type="dxa"/>
            <w:gridSpan w:val="4"/>
            <w:vAlign w:val="top"/>
          </w:tcPr>
          <w:p w14:paraId="3BBCC3C2">
            <w:pPr>
              <w:spacing w:before="38" w:line="281" w:lineRule="exact"/>
              <w:ind w:left="42"/>
              <w:rPr>
                <w:rFonts w:ascii="Times New Roman" w:hAnsi="Times New Roman" w:eastAsia="Times New Roman" w:cs="Times New Roman"/>
                <w:sz w:val="13"/>
                <w:szCs w:val="13"/>
              </w:rPr>
            </w:pPr>
            <w:r>
              <w:rPr>
                <w:rFonts w:ascii="宋体" w:hAnsi="宋体" w:eastAsia="宋体" w:cs="宋体"/>
                <w:spacing w:val="22"/>
                <w:position w:val="1"/>
                <w:sz w:val="20"/>
                <w:szCs w:val="20"/>
              </w:rPr>
              <w:t>(</w:t>
            </w:r>
            <w:r>
              <w:rPr>
                <w:rFonts w:ascii="Times New Roman" w:hAnsi="Times New Roman" w:eastAsia="Times New Roman" w:cs="Times New Roman"/>
                <w:spacing w:val="18"/>
                <w:position w:val="1"/>
                <w:sz w:val="20"/>
                <w:szCs w:val="20"/>
              </w:rPr>
              <w:t>0.7</w:t>
            </w:r>
            <w:r>
              <w:rPr>
                <w:rFonts w:ascii="宋体" w:hAnsi="宋体" w:eastAsia="宋体" w:cs="宋体"/>
                <w:spacing w:val="18"/>
                <w:position w:val="1"/>
                <w:sz w:val="20"/>
                <w:szCs w:val="20"/>
              </w:rPr>
              <w:t xml:space="preserve">) </w:t>
            </w:r>
            <w:r>
              <w:rPr>
                <w:rFonts w:ascii="Times New Roman" w:hAnsi="Times New Roman" w:eastAsia="Times New Roman" w:cs="Times New Roman"/>
                <w:position w:val="1"/>
                <w:sz w:val="20"/>
                <w:szCs w:val="20"/>
              </w:rPr>
              <w:t>hm</w:t>
            </w:r>
            <w:r>
              <w:rPr>
                <w:rFonts w:ascii="Times New Roman" w:hAnsi="Times New Roman" w:eastAsia="Times New Roman" w:cs="Times New Roman"/>
                <w:spacing w:val="18"/>
                <w:position w:val="7"/>
                <w:sz w:val="13"/>
                <w:szCs w:val="13"/>
              </w:rPr>
              <w:t>2</w:t>
            </w:r>
          </w:p>
        </w:tc>
        <w:tc>
          <w:tcPr>
            <w:tcW w:w="914" w:type="dxa"/>
            <w:tcBorders>
              <w:right w:val="nil"/>
            </w:tcBorders>
            <w:vAlign w:val="top"/>
          </w:tcPr>
          <w:p w14:paraId="53B17CAD">
            <w:pPr>
              <w:rPr>
                <w:rFonts w:ascii="Arial"/>
                <w:sz w:val="21"/>
              </w:rPr>
            </w:pPr>
          </w:p>
        </w:tc>
      </w:tr>
      <w:tr w14:paraId="251DD0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02" w:type="dxa"/>
            <w:vMerge w:val="continue"/>
            <w:tcBorders>
              <w:top w:val="nil"/>
              <w:left w:val="nil"/>
              <w:bottom w:val="nil"/>
            </w:tcBorders>
            <w:vAlign w:val="top"/>
          </w:tcPr>
          <w:p w14:paraId="08B1E47C">
            <w:pPr>
              <w:rPr>
                <w:rFonts w:ascii="Arial"/>
                <w:sz w:val="21"/>
              </w:rPr>
            </w:pPr>
          </w:p>
        </w:tc>
        <w:tc>
          <w:tcPr>
            <w:tcW w:w="1665" w:type="dxa"/>
            <w:vAlign w:val="top"/>
          </w:tcPr>
          <w:p w14:paraId="35563273">
            <w:pPr>
              <w:spacing w:before="50" w:line="228" w:lineRule="auto"/>
              <w:ind w:left="207"/>
              <w:rPr>
                <w:rFonts w:ascii="宋体" w:hAnsi="宋体" w:eastAsia="宋体" w:cs="宋体"/>
                <w:sz w:val="20"/>
                <w:szCs w:val="20"/>
              </w:rPr>
            </w:pPr>
            <w:r>
              <w:rPr>
                <w:rFonts w:ascii="宋体" w:hAnsi="宋体" w:eastAsia="宋体" w:cs="宋体"/>
                <w:spacing w:val="8"/>
                <w:sz w:val="20"/>
                <w:szCs w:val="20"/>
              </w:rPr>
              <w:t>敏感目标信息</w:t>
            </w:r>
          </w:p>
        </w:tc>
        <w:tc>
          <w:tcPr>
            <w:tcW w:w="5234" w:type="dxa"/>
            <w:gridSpan w:val="4"/>
            <w:vAlign w:val="top"/>
          </w:tcPr>
          <w:p w14:paraId="07F9ED8A">
            <w:pPr>
              <w:spacing w:before="50" w:line="228" w:lineRule="auto"/>
              <w:ind w:left="33"/>
              <w:rPr>
                <w:rFonts w:ascii="宋体" w:hAnsi="宋体" w:eastAsia="宋体" w:cs="宋体"/>
                <w:sz w:val="20"/>
                <w:szCs w:val="20"/>
              </w:rPr>
            </w:pPr>
            <w:r>
              <w:rPr>
                <w:rFonts w:ascii="宋体" w:hAnsi="宋体" w:eastAsia="宋体" w:cs="宋体"/>
                <w:spacing w:val="14"/>
                <w:sz w:val="20"/>
                <w:szCs w:val="20"/>
              </w:rPr>
              <w:t>敏</w:t>
            </w:r>
            <w:r>
              <w:rPr>
                <w:rFonts w:ascii="宋体" w:hAnsi="宋体" w:eastAsia="宋体" w:cs="宋体"/>
                <w:spacing w:val="10"/>
                <w:sz w:val="20"/>
                <w:szCs w:val="20"/>
              </w:rPr>
              <w:t>感</w:t>
            </w:r>
            <w:r>
              <w:rPr>
                <w:rFonts w:ascii="宋体" w:hAnsi="宋体" w:eastAsia="宋体" w:cs="宋体"/>
                <w:spacing w:val="7"/>
                <w:sz w:val="20"/>
                <w:szCs w:val="20"/>
              </w:rPr>
              <w:t>目标 (农田) 、方位 (西侧) 、距离 (相邻)</w:t>
            </w:r>
          </w:p>
        </w:tc>
        <w:tc>
          <w:tcPr>
            <w:tcW w:w="914" w:type="dxa"/>
            <w:tcBorders>
              <w:right w:val="nil"/>
            </w:tcBorders>
            <w:vAlign w:val="top"/>
          </w:tcPr>
          <w:p w14:paraId="13742E5C">
            <w:pPr>
              <w:rPr>
                <w:rFonts w:ascii="Arial"/>
                <w:sz w:val="21"/>
              </w:rPr>
            </w:pPr>
          </w:p>
        </w:tc>
      </w:tr>
      <w:tr w14:paraId="7FA3EF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02" w:type="dxa"/>
            <w:vMerge w:val="continue"/>
            <w:tcBorders>
              <w:top w:val="nil"/>
              <w:left w:val="nil"/>
              <w:bottom w:val="nil"/>
            </w:tcBorders>
            <w:vAlign w:val="top"/>
          </w:tcPr>
          <w:p w14:paraId="20429506">
            <w:pPr>
              <w:rPr>
                <w:rFonts w:ascii="Arial"/>
                <w:sz w:val="21"/>
              </w:rPr>
            </w:pPr>
          </w:p>
        </w:tc>
        <w:tc>
          <w:tcPr>
            <w:tcW w:w="1665" w:type="dxa"/>
            <w:vAlign w:val="top"/>
          </w:tcPr>
          <w:p w14:paraId="0D8F5B4A">
            <w:pPr>
              <w:spacing w:before="208" w:line="228" w:lineRule="auto"/>
              <w:ind w:left="418"/>
              <w:rPr>
                <w:rFonts w:ascii="宋体" w:hAnsi="宋体" w:eastAsia="宋体" w:cs="宋体"/>
                <w:sz w:val="20"/>
                <w:szCs w:val="20"/>
              </w:rPr>
            </w:pPr>
            <w:r>
              <w:rPr>
                <w:rFonts w:ascii="宋体" w:hAnsi="宋体" w:eastAsia="宋体" w:cs="宋体"/>
                <w:spacing w:val="8"/>
                <w:sz w:val="20"/>
                <w:szCs w:val="20"/>
              </w:rPr>
              <w:t>影</w:t>
            </w:r>
            <w:r>
              <w:rPr>
                <w:rFonts w:ascii="宋体" w:hAnsi="宋体" w:eastAsia="宋体" w:cs="宋体"/>
                <w:spacing w:val="7"/>
                <w:sz w:val="20"/>
                <w:szCs w:val="20"/>
              </w:rPr>
              <w:t>响途径</w:t>
            </w:r>
          </w:p>
        </w:tc>
        <w:tc>
          <w:tcPr>
            <w:tcW w:w="5234" w:type="dxa"/>
            <w:gridSpan w:val="4"/>
            <w:vAlign w:val="top"/>
          </w:tcPr>
          <w:p w14:paraId="067BBDC3">
            <w:pPr>
              <w:spacing w:before="52" w:line="229" w:lineRule="auto"/>
              <w:ind w:left="33" w:right="309" w:firstLine="1"/>
              <w:rPr>
                <w:rFonts w:ascii="宋体" w:hAnsi="宋体" w:eastAsia="宋体" w:cs="宋体"/>
                <w:sz w:val="20"/>
                <w:szCs w:val="20"/>
              </w:rPr>
            </w:pPr>
            <w:r>
              <w:rPr>
                <w:rFonts w:ascii="宋体" w:hAnsi="宋体" w:eastAsia="宋体" w:cs="宋体"/>
                <w:spacing w:val="12"/>
                <w:sz w:val="20"/>
                <w:szCs w:val="20"/>
              </w:rPr>
              <w:t>大</w:t>
            </w:r>
            <w:r>
              <w:rPr>
                <w:rFonts w:ascii="宋体" w:hAnsi="宋体" w:eastAsia="宋体" w:cs="宋体"/>
                <w:spacing w:val="8"/>
                <w:sz w:val="20"/>
                <w:szCs w:val="20"/>
              </w:rPr>
              <w:t>气沉降</w:t>
            </w:r>
            <w:r>
              <w:rPr>
                <w:position w:val="-4"/>
                <w:sz w:val="20"/>
                <w:szCs w:val="20"/>
              </w:rPr>
              <w:drawing>
                <wp:inline distT="0" distB="0" distL="0" distR="0">
                  <wp:extent cx="107950" cy="139700"/>
                  <wp:effectExtent l="0" t="0" r="0" b="0"/>
                  <wp:docPr id="150" name="IM 150"/>
                  <wp:cNvGraphicFramePr/>
                  <a:graphic xmlns:a="http://schemas.openxmlformats.org/drawingml/2006/main">
                    <a:graphicData uri="http://schemas.openxmlformats.org/drawingml/2006/picture">
                      <pic:pic xmlns:pic="http://schemas.openxmlformats.org/drawingml/2006/picture">
                        <pic:nvPicPr>
                          <pic:cNvPr id="150" name="IM 150"/>
                          <pic:cNvPicPr/>
                        </pic:nvPicPr>
                        <pic:blipFill>
                          <a:blip r:embed="rId539"/>
                          <a:stretch>
                            <a:fillRect/>
                          </a:stretch>
                        </pic:blipFill>
                        <pic:spPr>
                          <a:xfrm>
                            <a:off x="0" y="0"/>
                            <a:ext cx="108510" cy="139748"/>
                          </a:xfrm>
                          <a:prstGeom prst="rect">
                            <a:avLst/>
                          </a:prstGeom>
                        </pic:spPr>
                      </pic:pic>
                    </a:graphicData>
                  </a:graphic>
                </wp:inline>
              </w:drawing>
            </w:r>
            <w:r>
              <w:rPr>
                <w:rFonts w:ascii="宋体" w:hAnsi="宋体" w:eastAsia="宋体" w:cs="宋体"/>
                <w:spacing w:val="8"/>
                <w:sz w:val="20"/>
                <w:szCs w:val="20"/>
              </w:rPr>
              <w:t>；地面漫流</w:t>
            </w:r>
            <w:r>
              <w:rPr>
                <w:position w:val="-4"/>
                <w:sz w:val="20"/>
                <w:szCs w:val="20"/>
              </w:rPr>
              <w:drawing>
                <wp:inline distT="0" distB="0" distL="0" distR="0">
                  <wp:extent cx="107950" cy="139700"/>
                  <wp:effectExtent l="0" t="0" r="0" b="0"/>
                  <wp:docPr id="151" name="IM 151"/>
                  <wp:cNvGraphicFramePr/>
                  <a:graphic xmlns:a="http://schemas.openxmlformats.org/drawingml/2006/main">
                    <a:graphicData uri="http://schemas.openxmlformats.org/drawingml/2006/picture">
                      <pic:pic xmlns:pic="http://schemas.openxmlformats.org/drawingml/2006/picture">
                        <pic:nvPicPr>
                          <pic:cNvPr id="151" name="IM 151"/>
                          <pic:cNvPicPr/>
                        </pic:nvPicPr>
                        <pic:blipFill>
                          <a:blip r:embed="rId540"/>
                          <a:stretch>
                            <a:fillRect/>
                          </a:stretch>
                        </pic:blipFill>
                        <pic:spPr>
                          <a:xfrm>
                            <a:off x="0" y="0"/>
                            <a:ext cx="108509" cy="139748"/>
                          </a:xfrm>
                          <a:prstGeom prst="rect">
                            <a:avLst/>
                          </a:prstGeom>
                        </pic:spPr>
                      </pic:pic>
                    </a:graphicData>
                  </a:graphic>
                </wp:inline>
              </w:drawing>
            </w:r>
            <w:r>
              <w:rPr>
                <w:rFonts w:ascii="宋体" w:hAnsi="宋体" w:eastAsia="宋体" w:cs="宋体"/>
                <w:spacing w:val="8"/>
                <w:sz w:val="20"/>
                <w:szCs w:val="20"/>
              </w:rPr>
              <w:t>；垂直入渗</w:t>
            </w:r>
            <w:r>
              <w:rPr>
                <w:rFonts w:ascii="微软雅黑" w:hAnsi="微软雅黑" w:eastAsia="微软雅黑" w:cs="微软雅黑"/>
                <w:spacing w:val="8"/>
                <w:sz w:val="20"/>
                <w:szCs w:val="20"/>
              </w:rPr>
              <w:t>团</w:t>
            </w:r>
            <w:r>
              <w:rPr>
                <w:rFonts w:ascii="宋体" w:hAnsi="宋体" w:eastAsia="宋体" w:cs="宋体"/>
                <w:spacing w:val="8"/>
                <w:sz w:val="20"/>
                <w:szCs w:val="20"/>
              </w:rPr>
              <w:t>；地下水位</w:t>
            </w:r>
            <w:r>
              <w:rPr>
                <w:position w:val="-4"/>
                <w:sz w:val="20"/>
                <w:szCs w:val="20"/>
              </w:rPr>
              <w:drawing>
                <wp:inline distT="0" distB="0" distL="0" distR="0">
                  <wp:extent cx="107950" cy="139700"/>
                  <wp:effectExtent l="0" t="0" r="0" b="0"/>
                  <wp:docPr id="152" name="IM 152"/>
                  <wp:cNvGraphicFramePr/>
                  <a:graphic xmlns:a="http://schemas.openxmlformats.org/drawingml/2006/main">
                    <a:graphicData uri="http://schemas.openxmlformats.org/drawingml/2006/picture">
                      <pic:pic xmlns:pic="http://schemas.openxmlformats.org/drawingml/2006/picture">
                        <pic:nvPicPr>
                          <pic:cNvPr id="152" name="IM 152"/>
                          <pic:cNvPicPr/>
                        </pic:nvPicPr>
                        <pic:blipFill>
                          <a:blip r:embed="rId540"/>
                          <a:stretch>
                            <a:fillRect/>
                          </a:stretch>
                        </pic:blipFill>
                        <pic:spPr>
                          <a:xfrm>
                            <a:off x="0" y="0"/>
                            <a:ext cx="108509" cy="139748"/>
                          </a:xfrm>
                          <a:prstGeom prst="rect">
                            <a:avLst/>
                          </a:prstGeom>
                        </pic:spPr>
                      </pic:pic>
                    </a:graphicData>
                  </a:graphic>
                </wp:inline>
              </w:drawing>
            </w:r>
            <w:r>
              <w:rPr>
                <w:rFonts w:ascii="宋体" w:hAnsi="宋体" w:eastAsia="宋体" w:cs="宋体"/>
                <w:spacing w:val="8"/>
                <w:sz w:val="20"/>
                <w:szCs w:val="20"/>
              </w:rPr>
              <w:t>；</w:t>
            </w:r>
            <w:r>
              <w:rPr>
                <w:rFonts w:ascii="宋体" w:hAnsi="宋体" w:eastAsia="宋体" w:cs="宋体"/>
                <w:sz w:val="20"/>
                <w:szCs w:val="20"/>
              </w:rPr>
              <w:t xml:space="preserve"> </w:t>
            </w:r>
            <w:r>
              <w:rPr>
                <w:rFonts w:ascii="宋体" w:hAnsi="宋体" w:eastAsia="宋体" w:cs="宋体"/>
                <w:spacing w:val="5"/>
                <w:sz w:val="20"/>
                <w:szCs w:val="20"/>
              </w:rPr>
              <w:t>其</w:t>
            </w:r>
            <w:r>
              <w:rPr>
                <w:rFonts w:ascii="宋体" w:hAnsi="宋体" w:eastAsia="宋体" w:cs="宋体"/>
                <w:spacing w:val="4"/>
                <w:sz w:val="20"/>
                <w:szCs w:val="20"/>
              </w:rPr>
              <w:t>他 (</w:t>
            </w:r>
            <w:r>
              <w:rPr>
                <w:rFonts w:ascii="Times New Roman" w:hAnsi="Times New Roman" w:eastAsia="Times New Roman" w:cs="Times New Roman"/>
                <w:spacing w:val="4"/>
                <w:sz w:val="20"/>
                <w:szCs w:val="20"/>
              </w:rPr>
              <w:t>/</w:t>
            </w:r>
            <w:r>
              <w:rPr>
                <w:rFonts w:ascii="宋体" w:hAnsi="宋体" w:eastAsia="宋体" w:cs="宋体"/>
                <w:spacing w:val="4"/>
                <w:sz w:val="20"/>
                <w:szCs w:val="20"/>
              </w:rPr>
              <w:t>)</w:t>
            </w:r>
          </w:p>
        </w:tc>
        <w:tc>
          <w:tcPr>
            <w:tcW w:w="914" w:type="dxa"/>
            <w:tcBorders>
              <w:right w:val="nil"/>
            </w:tcBorders>
            <w:vAlign w:val="top"/>
          </w:tcPr>
          <w:p w14:paraId="3588EB8B">
            <w:pPr>
              <w:rPr>
                <w:rFonts w:ascii="Arial"/>
                <w:sz w:val="21"/>
              </w:rPr>
            </w:pPr>
          </w:p>
        </w:tc>
      </w:tr>
      <w:tr w14:paraId="163E4F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02" w:type="dxa"/>
            <w:vMerge w:val="continue"/>
            <w:tcBorders>
              <w:top w:val="nil"/>
              <w:left w:val="nil"/>
              <w:bottom w:val="nil"/>
            </w:tcBorders>
            <w:vAlign w:val="top"/>
          </w:tcPr>
          <w:p w14:paraId="28E49D36">
            <w:pPr>
              <w:rPr>
                <w:rFonts w:ascii="Arial"/>
                <w:sz w:val="21"/>
              </w:rPr>
            </w:pPr>
          </w:p>
        </w:tc>
        <w:tc>
          <w:tcPr>
            <w:tcW w:w="1665" w:type="dxa"/>
            <w:vAlign w:val="top"/>
          </w:tcPr>
          <w:p w14:paraId="72677771">
            <w:pPr>
              <w:spacing w:before="53" w:line="228" w:lineRule="auto"/>
              <w:ind w:left="312"/>
              <w:rPr>
                <w:rFonts w:ascii="宋体" w:hAnsi="宋体" w:eastAsia="宋体" w:cs="宋体"/>
                <w:sz w:val="20"/>
                <w:szCs w:val="20"/>
              </w:rPr>
            </w:pPr>
            <w:r>
              <w:rPr>
                <w:rFonts w:ascii="宋体" w:hAnsi="宋体" w:eastAsia="宋体" w:cs="宋体"/>
                <w:spacing w:val="8"/>
                <w:sz w:val="20"/>
                <w:szCs w:val="20"/>
              </w:rPr>
              <w:t>全部污染物</w:t>
            </w:r>
          </w:p>
        </w:tc>
        <w:tc>
          <w:tcPr>
            <w:tcW w:w="5234" w:type="dxa"/>
            <w:gridSpan w:val="4"/>
            <w:vAlign w:val="top"/>
          </w:tcPr>
          <w:p w14:paraId="42FBE54C">
            <w:pPr>
              <w:spacing w:before="90" w:line="192" w:lineRule="auto"/>
              <w:ind w:left="3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COD</w:t>
            </w:r>
            <w:r>
              <w:rPr>
                <w:rFonts w:ascii="Times New Roman" w:hAnsi="Times New Roman" w:eastAsia="Times New Roman" w:cs="Times New Roman"/>
                <w:spacing w:val="-2"/>
                <w:sz w:val="20"/>
                <w:szCs w:val="20"/>
              </w:rPr>
              <w:t xml:space="preserve"> </w:t>
            </w:r>
            <w:r>
              <w:rPr>
                <w:rFonts w:ascii="宋体" w:hAnsi="宋体" w:eastAsia="宋体" w:cs="宋体"/>
                <w:spacing w:val="-2"/>
                <w:sz w:val="20"/>
                <w:szCs w:val="20"/>
              </w:rPr>
              <w:t>、</w:t>
            </w:r>
            <w:r>
              <w:rPr>
                <w:rFonts w:ascii="Times New Roman" w:hAnsi="Times New Roman" w:eastAsia="Times New Roman" w:cs="Times New Roman"/>
                <w:spacing w:val="-1"/>
                <w:sz w:val="20"/>
                <w:szCs w:val="20"/>
              </w:rPr>
              <w:t>BOD</w:t>
            </w:r>
            <w:r>
              <w:rPr>
                <w:rFonts w:ascii="Times New Roman" w:hAnsi="Times New Roman" w:eastAsia="Times New Roman" w:cs="Times New Roman"/>
                <w:spacing w:val="-2"/>
                <w:position w:val="-1"/>
                <w:sz w:val="13"/>
                <w:szCs w:val="13"/>
              </w:rPr>
              <w:t xml:space="preserve">5 </w:t>
            </w:r>
            <w:r>
              <w:rPr>
                <w:rFonts w:ascii="宋体" w:hAnsi="宋体" w:eastAsia="宋体" w:cs="宋体"/>
                <w:spacing w:val="-2"/>
                <w:sz w:val="20"/>
                <w:szCs w:val="20"/>
              </w:rPr>
              <w:t>、</w:t>
            </w:r>
            <w:r>
              <w:rPr>
                <w:rFonts w:ascii="Times New Roman" w:hAnsi="Times New Roman" w:eastAsia="Times New Roman" w:cs="Times New Roman"/>
                <w:spacing w:val="-1"/>
                <w:sz w:val="20"/>
                <w:szCs w:val="20"/>
              </w:rPr>
              <w:t>SS</w:t>
            </w:r>
            <w:r>
              <w:rPr>
                <w:rFonts w:ascii="Times New Roman" w:hAnsi="Times New Roman" w:eastAsia="Times New Roman" w:cs="Times New Roman"/>
                <w:spacing w:val="-2"/>
                <w:sz w:val="20"/>
                <w:szCs w:val="20"/>
              </w:rPr>
              <w:t xml:space="preserve"> </w:t>
            </w:r>
            <w:r>
              <w:rPr>
                <w:rFonts w:ascii="宋体" w:hAnsi="宋体" w:eastAsia="宋体" w:cs="宋体"/>
                <w:spacing w:val="-2"/>
                <w:sz w:val="20"/>
                <w:szCs w:val="20"/>
              </w:rPr>
              <w:t>、</w:t>
            </w:r>
            <w:r>
              <w:rPr>
                <w:rFonts w:ascii="Times New Roman" w:hAnsi="Times New Roman" w:eastAsia="Times New Roman" w:cs="Times New Roman"/>
                <w:spacing w:val="-1"/>
                <w:sz w:val="20"/>
                <w:szCs w:val="20"/>
              </w:rPr>
              <w:t>NH</w:t>
            </w:r>
            <w:r>
              <w:rPr>
                <w:rFonts w:ascii="Times New Roman" w:hAnsi="Times New Roman" w:eastAsia="Times New Roman" w:cs="Times New Roman"/>
                <w:spacing w:val="-2"/>
                <w:position w:val="-1"/>
                <w:sz w:val="13"/>
                <w:szCs w:val="13"/>
              </w:rPr>
              <w:t>3</w:t>
            </w:r>
            <w:r>
              <w:rPr>
                <w:rFonts w:ascii="Times New Roman" w:hAnsi="Times New Roman" w:eastAsia="Times New Roman" w:cs="Times New Roman"/>
                <w:spacing w:val="-1"/>
                <w:sz w:val="20"/>
                <w:szCs w:val="20"/>
              </w:rPr>
              <w:t>-N</w:t>
            </w:r>
          </w:p>
        </w:tc>
        <w:tc>
          <w:tcPr>
            <w:tcW w:w="914" w:type="dxa"/>
            <w:tcBorders>
              <w:right w:val="nil"/>
            </w:tcBorders>
            <w:vAlign w:val="top"/>
          </w:tcPr>
          <w:p w14:paraId="3A94C9B5">
            <w:pPr>
              <w:rPr>
                <w:rFonts w:ascii="Arial"/>
                <w:sz w:val="21"/>
              </w:rPr>
            </w:pPr>
          </w:p>
        </w:tc>
      </w:tr>
      <w:tr w14:paraId="0DDB6A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02" w:type="dxa"/>
            <w:vMerge w:val="continue"/>
            <w:tcBorders>
              <w:top w:val="nil"/>
              <w:left w:val="nil"/>
              <w:bottom w:val="nil"/>
            </w:tcBorders>
            <w:vAlign w:val="top"/>
          </w:tcPr>
          <w:p w14:paraId="50675901">
            <w:pPr>
              <w:rPr>
                <w:rFonts w:ascii="Arial"/>
                <w:sz w:val="21"/>
              </w:rPr>
            </w:pPr>
          </w:p>
        </w:tc>
        <w:tc>
          <w:tcPr>
            <w:tcW w:w="1665" w:type="dxa"/>
            <w:vAlign w:val="top"/>
          </w:tcPr>
          <w:p w14:paraId="3C639152">
            <w:pPr>
              <w:spacing w:before="53" w:line="228" w:lineRule="auto"/>
              <w:ind w:left="418"/>
              <w:rPr>
                <w:rFonts w:ascii="宋体" w:hAnsi="宋体" w:eastAsia="宋体" w:cs="宋体"/>
                <w:sz w:val="20"/>
                <w:szCs w:val="20"/>
              </w:rPr>
            </w:pPr>
            <w:r>
              <w:rPr>
                <w:rFonts w:ascii="宋体" w:hAnsi="宋体" w:eastAsia="宋体" w:cs="宋体"/>
                <w:spacing w:val="8"/>
                <w:sz w:val="20"/>
                <w:szCs w:val="20"/>
              </w:rPr>
              <w:t>特</w:t>
            </w:r>
            <w:r>
              <w:rPr>
                <w:rFonts w:ascii="宋体" w:hAnsi="宋体" w:eastAsia="宋体" w:cs="宋体"/>
                <w:spacing w:val="7"/>
                <w:sz w:val="20"/>
                <w:szCs w:val="20"/>
              </w:rPr>
              <w:t>征因子</w:t>
            </w:r>
          </w:p>
        </w:tc>
        <w:tc>
          <w:tcPr>
            <w:tcW w:w="5234" w:type="dxa"/>
            <w:gridSpan w:val="4"/>
            <w:vAlign w:val="top"/>
          </w:tcPr>
          <w:p w14:paraId="733D6D3A">
            <w:pPr>
              <w:spacing w:before="89" w:line="195" w:lineRule="auto"/>
              <w:ind w:left="3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S</w:t>
            </w:r>
            <w:r>
              <w:rPr>
                <w:rFonts w:ascii="Times New Roman" w:hAnsi="Times New Roman" w:eastAsia="Times New Roman" w:cs="Times New Roman"/>
                <w:spacing w:val="-2"/>
                <w:sz w:val="20"/>
                <w:szCs w:val="20"/>
              </w:rPr>
              <w:t>S</w:t>
            </w:r>
          </w:p>
        </w:tc>
        <w:tc>
          <w:tcPr>
            <w:tcW w:w="914" w:type="dxa"/>
            <w:tcBorders>
              <w:right w:val="nil"/>
            </w:tcBorders>
            <w:vAlign w:val="top"/>
          </w:tcPr>
          <w:p w14:paraId="431F1A1E">
            <w:pPr>
              <w:rPr>
                <w:rFonts w:ascii="Arial"/>
                <w:sz w:val="21"/>
              </w:rPr>
            </w:pPr>
          </w:p>
        </w:tc>
      </w:tr>
      <w:tr w14:paraId="418E48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2" w:type="dxa"/>
            <w:vMerge w:val="continue"/>
            <w:tcBorders>
              <w:top w:val="nil"/>
              <w:left w:val="nil"/>
              <w:bottom w:val="nil"/>
            </w:tcBorders>
            <w:vAlign w:val="top"/>
          </w:tcPr>
          <w:p w14:paraId="31D4342B">
            <w:pPr>
              <w:rPr>
                <w:rFonts w:ascii="Arial"/>
                <w:sz w:val="21"/>
              </w:rPr>
            </w:pPr>
          </w:p>
        </w:tc>
        <w:tc>
          <w:tcPr>
            <w:tcW w:w="1665" w:type="dxa"/>
            <w:vAlign w:val="top"/>
          </w:tcPr>
          <w:p w14:paraId="3C70846A">
            <w:pPr>
              <w:spacing w:before="53" w:line="257" w:lineRule="auto"/>
              <w:ind w:left="111" w:right="97" w:hanging="10"/>
              <w:rPr>
                <w:rFonts w:ascii="宋体" w:hAnsi="宋体" w:eastAsia="宋体" w:cs="宋体"/>
                <w:sz w:val="20"/>
                <w:szCs w:val="20"/>
              </w:rPr>
            </w:pPr>
            <w:r>
              <w:rPr>
                <w:rFonts w:ascii="宋体" w:hAnsi="宋体" w:eastAsia="宋体" w:cs="宋体"/>
                <w:spacing w:val="12"/>
                <w:sz w:val="20"/>
                <w:szCs w:val="20"/>
              </w:rPr>
              <w:t>所</w:t>
            </w:r>
            <w:r>
              <w:rPr>
                <w:rFonts w:ascii="宋体" w:hAnsi="宋体" w:eastAsia="宋体" w:cs="宋体"/>
                <w:spacing w:val="8"/>
                <w:sz w:val="20"/>
                <w:szCs w:val="20"/>
              </w:rPr>
              <w:t>属土壤环境影</w:t>
            </w:r>
            <w:r>
              <w:rPr>
                <w:rFonts w:ascii="宋体" w:hAnsi="宋体" w:eastAsia="宋体" w:cs="宋体"/>
                <w:sz w:val="20"/>
                <w:szCs w:val="20"/>
              </w:rPr>
              <w:t xml:space="preserve"> </w:t>
            </w:r>
            <w:r>
              <w:rPr>
                <w:rFonts w:ascii="宋体" w:hAnsi="宋体" w:eastAsia="宋体" w:cs="宋体"/>
                <w:spacing w:val="8"/>
                <w:sz w:val="20"/>
                <w:szCs w:val="20"/>
              </w:rPr>
              <w:t>响</w:t>
            </w:r>
            <w:r>
              <w:rPr>
                <w:rFonts w:ascii="宋体" w:hAnsi="宋体" w:eastAsia="宋体" w:cs="宋体"/>
                <w:spacing w:val="7"/>
                <w:sz w:val="20"/>
                <w:szCs w:val="20"/>
              </w:rPr>
              <w:t>评价项目类别</w:t>
            </w:r>
          </w:p>
        </w:tc>
        <w:tc>
          <w:tcPr>
            <w:tcW w:w="5234" w:type="dxa"/>
            <w:gridSpan w:val="4"/>
            <w:vAlign w:val="top"/>
          </w:tcPr>
          <w:p w14:paraId="41860DE2">
            <w:pPr>
              <w:spacing w:before="208" w:line="193" w:lineRule="auto"/>
              <w:ind w:left="29"/>
              <w:rPr>
                <w:sz w:val="20"/>
                <w:szCs w:val="20"/>
              </w:rPr>
            </w:pPr>
            <w:r>
              <w:rPr>
                <w:rFonts w:ascii="Times New Roman" w:hAnsi="Times New Roman" w:eastAsia="Times New Roman" w:cs="Times New Roman"/>
                <w:spacing w:val="-8"/>
                <w:sz w:val="20"/>
                <w:szCs w:val="20"/>
              </w:rPr>
              <w:t>Ⅰ</w:t>
            </w:r>
            <w:r>
              <w:rPr>
                <w:rFonts w:ascii="宋体" w:hAnsi="宋体" w:eastAsia="宋体" w:cs="宋体"/>
                <w:spacing w:val="-6"/>
                <w:sz w:val="20"/>
                <w:szCs w:val="20"/>
              </w:rPr>
              <w:t>类</w:t>
            </w:r>
            <w:r>
              <w:rPr>
                <w:position w:val="-4"/>
                <w:sz w:val="20"/>
                <w:szCs w:val="20"/>
              </w:rPr>
              <w:drawing>
                <wp:inline distT="0" distB="0" distL="0" distR="0">
                  <wp:extent cx="107950" cy="139700"/>
                  <wp:effectExtent l="0" t="0" r="0" b="0"/>
                  <wp:docPr id="153" name="IM 153"/>
                  <wp:cNvGraphicFramePr/>
                  <a:graphic xmlns:a="http://schemas.openxmlformats.org/drawingml/2006/main">
                    <a:graphicData uri="http://schemas.openxmlformats.org/drawingml/2006/picture">
                      <pic:pic xmlns:pic="http://schemas.openxmlformats.org/drawingml/2006/picture">
                        <pic:nvPicPr>
                          <pic:cNvPr id="153" name="IM 153"/>
                          <pic:cNvPicPr/>
                        </pic:nvPicPr>
                        <pic:blipFill>
                          <a:blip r:embed="rId535"/>
                          <a:stretch>
                            <a:fillRect/>
                          </a:stretch>
                        </pic:blipFill>
                        <pic:spPr>
                          <a:xfrm>
                            <a:off x="0" y="0"/>
                            <a:ext cx="107985" cy="139748"/>
                          </a:xfrm>
                          <a:prstGeom prst="rect">
                            <a:avLst/>
                          </a:prstGeom>
                        </pic:spPr>
                      </pic:pic>
                    </a:graphicData>
                  </a:graphic>
                </wp:inline>
              </w:drawing>
            </w:r>
            <w:r>
              <w:rPr>
                <w:rFonts w:ascii="宋体" w:hAnsi="宋体" w:eastAsia="宋体" w:cs="宋体"/>
                <w:spacing w:val="-6"/>
                <w:sz w:val="20"/>
                <w:szCs w:val="20"/>
              </w:rPr>
              <w:t xml:space="preserve">； </w:t>
            </w:r>
            <w:r>
              <w:rPr>
                <w:rFonts w:ascii="Times New Roman" w:hAnsi="Times New Roman" w:eastAsia="Times New Roman" w:cs="Times New Roman"/>
                <w:spacing w:val="-6"/>
                <w:sz w:val="20"/>
                <w:szCs w:val="20"/>
              </w:rPr>
              <w:t>Ⅱ</w:t>
            </w:r>
            <w:r>
              <w:rPr>
                <w:rFonts w:ascii="宋体" w:hAnsi="宋体" w:eastAsia="宋体" w:cs="宋体"/>
                <w:spacing w:val="-6"/>
                <w:sz w:val="20"/>
                <w:szCs w:val="20"/>
              </w:rPr>
              <w:t>类</w:t>
            </w:r>
            <w:r>
              <w:rPr>
                <w:position w:val="-4"/>
                <w:sz w:val="20"/>
                <w:szCs w:val="20"/>
              </w:rPr>
              <w:drawing>
                <wp:inline distT="0" distB="0" distL="0" distR="0">
                  <wp:extent cx="107950" cy="139700"/>
                  <wp:effectExtent l="0" t="0" r="0" b="0"/>
                  <wp:docPr id="154" name="IM 154"/>
                  <wp:cNvGraphicFramePr/>
                  <a:graphic xmlns:a="http://schemas.openxmlformats.org/drawingml/2006/main">
                    <a:graphicData uri="http://schemas.openxmlformats.org/drawingml/2006/picture">
                      <pic:pic xmlns:pic="http://schemas.openxmlformats.org/drawingml/2006/picture">
                        <pic:nvPicPr>
                          <pic:cNvPr id="154" name="IM 154"/>
                          <pic:cNvPicPr/>
                        </pic:nvPicPr>
                        <pic:blipFill>
                          <a:blip r:embed="rId535"/>
                          <a:stretch>
                            <a:fillRect/>
                          </a:stretch>
                        </pic:blipFill>
                        <pic:spPr>
                          <a:xfrm>
                            <a:off x="0" y="0"/>
                            <a:ext cx="107985" cy="139748"/>
                          </a:xfrm>
                          <a:prstGeom prst="rect">
                            <a:avLst/>
                          </a:prstGeom>
                        </pic:spPr>
                      </pic:pic>
                    </a:graphicData>
                  </a:graphic>
                </wp:inline>
              </w:drawing>
            </w:r>
            <w:r>
              <w:rPr>
                <w:rFonts w:ascii="宋体" w:hAnsi="宋体" w:eastAsia="宋体" w:cs="宋体"/>
                <w:spacing w:val="-6"/>
                <w:sz w:val="20"/>
                <w:szCs w:val="20"/>
              </w:rPr>
              <w:t xml:space="preserve">； </w:t>
            </w:r>
            <w:r>
              <w:rPr>
                <w:rFonts w:ascii="Times New Roman" w:hAnsi="Times New Roman" w:eastAsia="Times New Roman" w:cs="Times New Roman"/>
                <w:spacing w:val="-6"/>
                <w:sz w:val="20"/>
                <w:szCs w:val="20"/>
              </w:rPr>
              <w:t>Ⅲ</w:t>
            </w:r>
            <w:r>
              <w:rPr>
                <w:rFonts w:ascii="宋体" w:hAnsi="宋体" w:eastAsia="宋体" w:cs="宋体"/>
                <w:spacing w:val="-6"/>
                <w:sz w:val="20"/>
                <w:szCs w:val="20"/>
              </w:rPr>
              <w:t>类</w:t>
            </w:r>
            <w:r>
              <w:rPr>
                <w:rFonts w:ascii="微软雅黑" w:hAnsi="微软雅黑" w:eastAsia="微软雅黑" w:cs="微软雅黑"/>
                <w:spacing w:val="-6"/>
                <w:sz w:val="20"/>
                <w:szCs w:val="20"/>
              </w:rPr>
              <w:t>团</w:t>
            </w:r>
            <w:r>
              <w:rPr>
                <w:rFonts w:ascii="宋体" w:hAnsi="宋体" w:eastAsia="宋体" w:cs="宋体"/>
                <w:spacing w:val="-6"/>
                <w:sz w:val="20"/>
                <w:szCs w:val="20"/>
              </w:rPr>
              <w:t>；</w:t>
            </w:r>
            <w:r>
              <w:rPr>
                <w:rFonts w:ascii="Times New Roman" w:hAnsi="Times New Roman" w:eastAsia="Times New Roman" w:cs="Times New Roman"/>
                <w:spacing w:val="-6"/>
                <w:sz w:val="20"/>
                <w:szCs w:val="20"/>
              </w:rPr>
              <w:t>Ⅳ</w:t>
            </w:r>
            <w:r>
              <w:rPr>
                <w:rFonts w:ascii="宋体" w:hAnsi="宋体" w:eastAsia="宋体" w:cs="宋体"/>
                <w:spacing w:val="-6"/>
                <w:sz w:val="20"/>
                <w:szCs w:val="20"/>
              </w:rPr>
              <w:t>类</w:t>
            </w:r>
            <w:r>
              <w:rPr>
                <w:position w:val="-4"/>
                <w:sz w:val="20"/>
                <w:szCs w:val="20"/>
              </w:rPr>
              <w:drawing>
                <wp:inline distT="0" distB="0" distL="0" distR="0">
                  <wp:extent cx="107950" cy="139700"/>
                  <wp:effectExtent l="0" t="0" r="0" b="0"/>
                  <wp:docPr id="155" name="IM 155"/>
                  <wp:cNvGraphicFramePr/>
                  <a:graphic xmlns:a="http://schemas.openxmlformats.org/drawingml/2006/main">
                    <a:graphicData uri="http://schemas.openxmlformats.org/drawingml/2006/picture">
                      <pic:pic xmlns:pic="http://schemas.openxmlformats.org/drawingml/2006/picture">
                        <pic:nvPicPr>
                          <pic:cNvPr id="155" name="IM 155"/>
                          <pic:cNvPicPr/>
                        </pic:nvPicPr>
                        <pic:blipFill>
                          <a:blip r:embed="rId535"/>
                          <a:stretch>
                            <a:fillRect/>
                          </a:stretch>
                        </pic:blipFill>
                        <pic:spPr>
                          <a:xfrm>
                            <a:off x="0" y="0"/>
                            <a:ext cx="107985" cy="139748"/>
                          </a:xfrm>
                          <a:prstGeom prst="rect">
                            <a:avLst/>
                          </a:prstGeom>
                        </pic:spPr>
                      </pic:pic>
                    </a:graphicData>
                  </a:graphic>
                </wp:inline>
              </w:drawing>
            </w:r>
          </w:p>
        </w:tc>
        <w:tc>
          <w:tcPr>
            <w:tcW w:w="914" w:type="dxa"/>
            <w:tcBorders>
              <w:right w:val="nil"/>
            </w:tcBorders>
            <w:vAlign w:val="top"/>
          </w:tcPr>
          <w:p w14:paraId="780A01E7">
            <w:pPr>
              <w:rPr>
                <w:rFonts w:ascii="Arial"/>
                <w:sz w:val="21"/>
              </w:rPr>
            </w:pPr>
          </w:p>
        </w:tc>
      </w:tr>
      <w:tr w14:paraId="67CD26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02" w:type="dxa"/>
            <w:vMerge w:val="continue"/>
            <w:tcBorders>
              <w:top w:val="nil"/>
              <w:left w:val="nil"/>
            </w:tcBorders>
            <w:vAlign w:val="top"/>
          </w:tcPr>
          <w:p w14:paraId="12F09A52">
            <w:pPr>
              <w:rPr>
                <w:rFonts w:ascii="Arial"/>
                <w:sz w:val="21"/>
              </w:rPr>
            </w:pPr>
          </w:p>
        </w:tc>
        <w:tc>
          <w:tcPr>
            <w:tcW w:w="1665" w:type="dxa"/>
            <w:vAlign w:val="top"/>
          </w:tcPr>
          <w:p w14:paraId="6ACD4FD0">
            <w:pPr>
              <w:spacing w:before="52" w:line="228" w:lineRule="auto"/>
              <w:ind w:left="419"/>
              <w:rPr>
                <w:rFonts w:ascii="宋体" w:hAnsi="宋体" w:eastAsia="宋体" w:cs="宋体"/>
                <w:sz w:val="20"/>
                <w:szCs w:val="20"/>
              </w:rPr>
            </w:pPr>
            <w:r>
              <w:rPr>
                <w:rFonts w:ascii="宋体" w:hAnsi="宋体" w:eastAsia="宋体" w:cs="宋体"/>
                <w:spacing w:val="7"/>
                <w:sz w:val="20"/>
                <w:szCs w:val="20"/>
              </w:rPr>
              <w:t>敏感程度</w:t>
            </w:r>
          </w:p>
        </w:tc>
        <w:tc>
          <w:tcPr>
            <w:tcW w:w="5234" w:type="dxa"/>
            <w:gridSpan w:val="4"/>
            <w:vAlign w:val="top"/>
          </w:tcPr>
          <w:p w14:paraId="5CAA7239">
            <w:pPr>
              <w:spacing w:before="52" w:line="185" w:lineRule="auto"/>
              <w:ind w:left="33"/>
              <w:rPr>
                <w:sz w:val="20"/>
                <w:szCs w:val="20"/>
              </w:rPr>
            </w:pPr>
            <w:r>
              <w:rPr>
                <w:rFonts w:ascii="宋体" w:hAnsi="宋体" w:eastAsia="宋体" w:cs="宋体"/>
                <w:spacing w:val="12"/>
                <w:sz w:val="20"/>
                <w:szCs w:val="20"/>
              </w:rPr>
              <w:t>敏</w:t>
            </w:r>
            <w:r>
              <w:rPr>
                <w:rFonts w:ascii="宋体" w:hAnsi="宋体" w:eastAsia="宋体" w:cs="宋体"/>
                <w:spacing w:val="8"/>
                <w:sz w:val="20"/>
                <w:szCs w:val="20"/>
              </w:rPr>
              <w:t>感</w:t>
            </w:r>
            <w:r>
              <w:rPr>
                <w:rFonts w:ascii="微软雅黑" w:hAnsi="微软雅黑" w:eastAsia="微软雅黑" w:cs="微软雅黑"/>
                <w:spacing w:val="8"/>
                <w:sz w:val="20"/>
                <w:szCs w:val="20"/>
              </w:rPr>
              <w:t>团</w:t>
            </w:r>
            <w:r>
              <w:rPr>
                <w:rFonts w:ascii="宋体" w:hAnsi="宋体" w:eastAsia="宋体" w:cs="宋体"/>
                <w:spacing w:val="8"/>
                <w:sz w:val="20"/>
                <w:szCs w:val="20"/>
              </w:rPr>
              <w:t>；较敏感</w:t>
            </w:r>
            <w:r>
              <w:rPr>
                <w:position w:val="-4"/>
                <w:sz w:val="20"/>
                <w:szCs w:val="20"/>
              </w:rPr>
              <w:drawing>
                <wp:inline distT="0" distB="0" distL="0" distR="0">
                  <wp:extent cx="107950" cy="139700"/>
                  <wp:effectExtent l="0" t="0" r="0" b="0"/>
                  <wp:docPr id="156" name="IM 156"/>
                  <wp:cNvGraphicFramePr/>
                  <a:graphic xmlns:a="http://schemas.openxmlformats.org/drawingml/2006/main">
                    <a:graphicData uri="http://schemas.openxmlformats.org/drawingml/2006/picture">
                      <pic:pic xmlns:pic="http://schemas.openxmlformats.org/drawingml/2006/picture">
                        <pic:nvPicPr>
                          <pic:cNvPr id="156" name="IM 156"/>
                          <pic:cNvPicPr/>
                        </pic:nvPicPr>
                        <pic:blipFill>
                          <a:blip r:embed="rId535"/>
                          <a:stretch>
                            <a:fillRect/>
                          </a:stretch>
                        </pic:blipFill>
                        <pic:spPr>
                          <a:xfrm>
                            <a:off x="0" y="0"/>
                            <a:ext cx="108509" cy="139748"/>
                          </a:xfrm>
                          <a:prstGeom prst="rect">
                            <a:avLst/>
                          </a:prstGeom>
                        </pic:spPr>
                      </pic:pic>
                    </a:graphicData>
                  </a:graphic>
                </wp:inline>
              </w:drawing>
            </w:r>
            <w:r>
              <w:rPr>
                <w:rFonts w:ascii="宋体" w:hAnsi="宋体" w:eastAsia="宋体" w:cs="宋体"/>
                <w:spacing w:val="8"/>
                <w:sz w:val="20"/>
                <w:szCs w:val="20"/>
              </w:rPr>
              <w:t>；不敏感</w:t>
            </w:r>
            <w:r>
              <w:rPr>
                <w:position w:val="-4"/>
                <w:sz w:val="20"/>
                <w:szCs w:val="20"/>
              </w:rPr>
              <w:drawing>
                <wp:inline distT="0" distB="0" distL="0" distR="0">
                  <wp:extent cx="107950" cy="139700"/>
                  <wp:effectExtent l="0" t="0" r="0" b="0"/>
                  <wp:docPr id="157" name="IM 157"/>
                  <wp:cNvGraphicFramePr/>
                  <a:graphic xmlns:a="http://schemas.openxmlformats.org/drawingml/2006/main">
                    <a:graphicData uri="http://schemas.openxmlformats.org/drawingml/2006/picture">
                      <pic:pic xmlns:pic="http://schemas.openxmlformats.org/drawingml/2006/picture">
                        <pic:nvPicPr>
                          <pic:cNvPr id="157" name="IM 157"/>
                          <pic:cNvPicPr/>
                        </pic:nvPicPr>
                        <pic:blipFill>
                          <a:blip r:embed="rId536"/>
                          <a:stretch>
                            <a:fillRect/>
                          </a:stretch>
                        </pic:blipFill>
                        <pic:spPr>
                          <a:xfrm>
                            <a:off x="0" y="0"/>
                            <a:ext cx="108509" cy="139748"/>
                          </a:xfrm>
                          <a:prstGeom prst="rect">
                            <a:avLst/>
                          </a:prstGeom>
                        </pic:spPr>
                      </pic:pic>
                    </a:graphicData>
                  </a:graphic>
                </wp:inline>
              </w:drawing>
            </w:r>
          </w:p>
        </w:tc>
        <w:tc>
          <w:tcPr>
            <w:tcW w:w="914" w:type="dxa"/>
            <w:tcBorders>
              <w:right w:val="nil"/>
            </w:tcBorders>
            <w:vAlign w:val="top"/>
          </w:tcPr>
          <w:p w14:paraId="7ED7FC0B">
            <w:pPr>
              <w:rPr>
                <w:rFonts w:ascii="Arial"/>
                <w:sz w:val="21"/>
              </w:rPr>
            </w:pPr>
          </w:p>
        </w:tc>
      </w:tr>
      <w:tr w14:paraId="6A079F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167" w:type="dxa"/>
            <w:gridSpan w:val="2"/>
            <w:tcBorders>
              <w:left w:val="nil"/>
            </w:tcBorders>
            <w:vAlign w:val="top"/>
          </w:tcPr>
          <w:p w14:paraId="198AB3F3">
            <w:pPr>
              <w:spacing w:before="52" w:line="226" w:lineRule="auto"/>
              <w:ind w:left="461"/>
              <w:rPr>
                <w:rFonts w:ascii="宋体" w:hAnsi="宋体" w:eastAsia="宋体" w:cs="宋体"/>
                <w:sz w:val="20"/>
                <w:szCs w:val="20"/>
              </w:rPr>
            </w:pPr>
            <w:r>
              <w:rPr>
                <w:rFonts w:ascii="宋体" w:hAnsi="宋体" w:eastAsia="宋体" w:cs="宋体"/>
                <w:spacing w:val="10"/>
                <w:sz w:val="20"/>
                <w:szCs w:val="20"/>
              </w:rPr>
              <w:t>评</w:t>
            </w:r>
            <w:r>
              <w:rPr>
                <w:rFonts w:ascii="宋体" w:hAnsi="宋体" w:eastAsia="宋体" w:cs="宋体"/>
                <w:spacing w:val="8"/>
                <w:sz w:val="20"/>
                <w:szCs w:val="20"/>
              </w:rPr>
              <w:t>价工作等级</w:t>
            </w:r>
          </w:p>
        </w:tc>
        <w:tc>
          <w:tcPr>
            <w:tcW w:w="5234" w:type="dxa"/>
            <w:gridSpan w:val="4"/>
            <w:vAlign w:val="top"/>
          </w:tcPr>
          <w:p w14:paraId="66CFBBDB">
            <w:pPr>
              <w:spacing w:before="52" w:line="185" w:lineRule="auto"/>
              <w:ind w:left="35"/>
              <w:rPr>
                <w:rFonts w:ascii="微软雅黑" w:hAnsi="微软雅黑" w:eastAsia="微软雅黑" w:cs="微软雅黑"/>
                <w:sz w:val="20"/>
                <w:szCs w:val="20"/>
              </w:rPr>
            </w:pPr>
            <w:r>
              <w:rPr>
                <w:rFonts w:ascii="宋体" w:hAnsi="宋体" w:eastAsia="宋体" w:cs="宋体"/>
                <w:spacing w:val="13"/>
                <w:sz w:val="20"/>
                <w:szCs w:val="20"/>
              </w:rPr>
              <w:t>一</w:t>
            </w:r>
            <w:r>
              <w:rPr>
                <w:rFonts w:ascii="宋体" w:hAnsi="宋体" w:eastAsia="宋体" w:cs="宋体"/>
                <w:spacing w:val="11"/>
                <w:sz w:val="20"/>
                <w:szCs w:val="20"/>
              </w:rPr>
              <w:t>级</w:t>
            </w:r>
            <w:r>
              <w:rPr>
                <w:position w:val="-4"/>
                <w:sz w:val="20"/>
                <w:szCs w:val="20"/>
              </w:rPr>
              <w:drawing>
                <wp:inline distT="0" distB="0" distL="0" distR="0">
                  <wp:extent cx="107950" cy="139700"/>
                  <wp:effectExtent l="0" t="0" r="0" b="0"/>
                  <wp:docPr id="158" name="IM 158"/>
                  <wp:cNvGraphicFramePr/>
                  <a:graphic xmlns:a="http://schemas.openxmlformats.org/drawingml/2006/main">
                    <a:graphicData uri="http://schemas.openxmlformats.org/drawingml/2006/picture">
                      <pic:pic xmlns:pic="http://schemas.openxmlformats.org/drawingml/2006/picture">
                        <pic:nvPicPr>
                          <pic:cNvPr id="158" name="IM 158"/>
                          <pic:cNvPicPr/>
                        </pic:nvPicPr>
                        <pic:blipFill>
                          <a:blip r:embed="rId539"/>
                          <a:stretch>
                            <a:fillRect/>
                          </a:stretch>
                        </pic:blipFill>
                        <pic:spPr>
                          <a:xfrm>
                            <a:off x="0" y="0"/>
                            <a:ext cx="108497" cy="139748"/>
                          </a:xfrm>
                          <a:prstGeom prst="rect">
                            <a:avLst/>
                          </a:prstGeom>
                        </pic:spPr>
                      </pic:pic>
                    </a:graphicData>
                  </a:graphic>
                </wp:inline>
              </w:drawing>
            </w:r>
            <w:r>
              <w:rPr>
                <w:rFonts w:ascii="宋体" w:hAnsi="宋体" w:eastAsia="宋体" w:cs="宋体"/>
                <w:spacing w:val="11"/>
                <w:sz w:val="20"/>
                <w:szCs w:val="20"/>
              </w:rPr>
              <w:t>；二级</w:t>
            </w:r>
            <w:r>
              <w:rPr>
                <w:position w:val="-4"/>
                <w:sz w:val="20"/>
                <w:szCs w:val="20"/>
              </w:rPr>
              <w:drawing>
                <wp:inline distT="0" distB="0" distL="0" distR="0">
                  <wp:extent cx="107950" cy="139700"/>
                  <wp:effectExtent l="0" t="0" r="0" b="0"/>
                  <wp:docPr id="159" name="IM 159"/>
                  <wp:cNvGraphicFramePr/>
                  <a:graphic xmlns:a="http://schemas.openxmlformats.org/drawingml/2006/main">
                    <a:graphicData uri="http://schemas.openxmlformats.org/drawingml/2006/picture">
                      <pic:pic xmlns:pic="http://schemas.openxmlformats.org/drawingml/2006/picture">
                        <pic:nvPicPr>
                          <pic:cNvPr id="159" name="IM 159"/>
                          <pic:cNvPicPr/>
                        </pic:nvPicPr>
                        <pic:blipFill>
                          <a:blip r:embed="rId540"/>
                          <a:stretch>
                            <a:fillRect/>
                          </a:stretch>
                        </pic:blipFill>
                        <pic:spPr>
                          <a:xfrm>
                            <a:off x="0" y="0"/>
                            <a:ext cx="108496" cy="139748"/>
                          </a:xfrm>
                          <a:prstGeom prst="rect">
                            <a:avLst/>
                          </a:prstGeom>
                        </pic:spPr>
                      </pic:pic>
                    </a:graphicData>
                  </a:graphic>
                </wp:inline>
              </w:drawing>
            </w:r>
            <w:r>
              <w:rPr>
                <w:rFonts w:ascii="宋体" w:hAnsi="宋体" w:eastAsia="宋体" w:cs="宋体"/>
                <w:spacing w:val="11"/>
                <w:sz w:val="20"/>
                <w:szCs w:val="20"/>
              </w:rPr>
              <w:t>；三级</w:t>
            </w:r>
            <w:r>
              <w:rPr>
                <w:rFonts w:ascii="微软雅黑" w:hAnsi="微软雅黑" w:eastAsia="微软雅黑" w:cs="微软雅黑"/>
                <w:spacing w:val="11"/>
                <w:sz w:val="20"/>
                <w:szCs w:val="20"/>
              </w:rPr>
              <w:t>团</w:t>
            </w:r>
          </w:p>
        </w:tc>
        <w:tc>
          <w:tcPr>
            <w:tcW w:w="914" w:type="dxa"/>
            <w:tcBorders>
              <w:right w:val="nil"/>
            </w:tcBorders>
            <w:vAlign w:val="top"/>
          </w:tcPr>
          <w:p w14:paraId="14207EF4">
            <w:pPr>
              <w:rPr>
                <w:rFonts w:ascii="Arial"/>
                <w:sz w:val="21"/>
              </w:rPr>
            </w:pPr>
          </w:p>
        </w:tc>
      </w:tr>
      <w:tr w14:paraId="13E11E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02" w:type="dxa"/>
            <w:vMerge w:val="restart"/>
            <w:tcBorders>
              <w:left w:val="nil"/>
              <w:bottom w:val="nil"/>
            </w:tcBorders>
            <w:vAlign w:val="top"/>
          </w:tcPr>
          <w:p w14:paraId="3331ED57">
            <w:pPr>
              <w:spacing w:line="267" w:lineRule="auto"/>
              <w:rPr>
                <w:rFonts w:ascii="Arial"/>
                <w:sz w:val="21"/>
              </w:rPr>
            </w:pPr>
          </w:p>
          <w:p w14:paraId="5C245818">
            <w:pPr>
              <w:spacing w:line="268" w:lineRule="auto"/>
              <w:rPr>
                <w:rFonts w:ascii="Arial"/>
                <w:sz w:val="21"/>
              </w:rPr>
            </w:pPr>
          </w:p>
          <w:p w14:paraId="7A04A56A">
            <w:pPr>
              <w:spacing w:line="268" w:lineRule="auto"/>
              <w:rPr>
                <w:rFonts w:ascii="Arial"/>
                <w:sz w:val="21"/>
              </w:rPr>
            </w:pPr>
          </w:p>
          <w:p w14:paraId="5A961FE3">
            <w:pPr>
              <w:spacing w:line="268" w:lineRule="auto"/>
              <w:rPr>
                <w:rFonts w:ascii="Arial"/>
                <w:sz w:val="21"/>
              </w:rPr>
            </w:pPr>
          </w:p>
          <w:p w14:paraId="6B1CFAB0">
            <w:pPr>
              <w:spacing w:line="268" w:lineRule="auto"/>
              <w:rPr>
                <w:rFonts w:ascii="Arial"/>
                <w:sz w:val="21"/>
              </w:rPr>
            </w:pPr>
          </w:p>
          <w:p w14:paraId="6667D556">
            <w:pPr>
              <w:spacing w:line="268" w:lineRule="auto"/>
              <w:rPr>
                <w:rFonts w:ascii="Arial"/>
                <w:sz w:val="21"/>
              </w:rPr>
            </w:pPr>
          </w:p>
          <w:p w14:paraId="7067017F">
            <w:pPr>
              <w:spacing w:line="268" w:lineRule="auto"/>
              <w:rPr>
                <w:rFonts w:ascii="Arial"/>
                <w:sz w:val="21"/>
              </w:rPr>
            </w:pPr>
          </w:p>
          <w:p w14:paraId="219D65D0">
            <w:pPr>
              <w:spacing w:before="65" w:line="296" w:lineRule="auto"/>
              <w:ind w:left="50" w:right="40"/>
              <w:rPr>
                <w:rFonts w:ascii="宋体" w:hAnsi="宋体" w:eastAsia="宋体" w:cs="宋体"/>
                <w:sz w:val="20"/>
                <w:szCs w:val="20"/>
              </w:rPr>
            </w:pPr>
            <w:r>
              <w:rPr>
                <w:rFonts w:ascii="宋体" w:hAnsi="宋体" w:eastAsia="宋体" w:cs="宋体"/>
                <w:spacing w:val="4"/>
                <w:sz w:val="20"/>
                <w:szCs w:val="20"/>
              </w:rPr>
              <w:t>现</w:t>
            </w:r>
            <w:r>
              <w:rPr>
                <w:rFonts w:ascii="宋体" w:hAnsi="宋体" w:eastAsia="宋体" w:cs="宋体"/>
                <w:spacing w:val="3"/>
                <w:sz w:val="20"/>
                <w:szCs w:val="20"/>
              </w:rPr>
              <w:t>状</w:t>
            </w:r>
            <w:r>
              <w:rPr>
                <w:rFonts w:ascii="宋体" w:hAnsi="宋体" w:eastAsia="宋体" w:cs="宋体"/>
                <w:sz w:val="20"/>
                <w:szCs w:val="20"/>
              </w:rPr>
              <w:t xml:space="preserve"> </w:t>
            </w:r>
            <w:r>
              <w:rPr>
                <w:rFonts w:ascii="宋体" w:hAnsi="宋体" w:eastAsia="宋体" w:cs="宋体"/>
                <w:spacing w:val="4"/>
                <w:sz w:val="20"/>
                <w:szCs w:val="20"/>
              </w:rPr>
              <w:t>调</w:t>
            </w:r>
            <w:r>
              <w:rPr>
                <w:rFonts w:ascii="宋体" w:hAnsi="宋体" w:eastAsia="宋体" w:cs="宋体"/>
                <w:spacing w:val="3"/>
                <w:sz w:val="20"/>
                <w:szCs w:val="20"/>
              </w:rPr>
              <w:t>查</w:t>
            </w:r>
            <w:r>
              <w:rPr>
                <w:rFonts w:ascii="宋体" w:hAnsi="宋体" w:eastAsia="宋体" w:cs="宋体"/>
                <w:sz w:val="20"/>
                <w:szCs w:val="20"/>
              </w:rPr>
              <w:t xml:space="preserve"> </w:t>
            </w:r>
            <w:r>
              <w:rPr>
                <w:rFonts w:ascii="宋体" w:hAnsi="宋体" w:eastAsia="宋体" w:cs="宋体"/>
                <w:spacing w:val="4"/>
                <w:sz w:val="20"/>
                <w:szCs w:val="20"/>
              </w:rPr>
              <w:t>内</w:t>
            </w:r>
            <w:r>
              <w:rPr>
                <w:rFonts w:ascii="宋体" w:hAnsi="宋体" w:eastAsia="宋体" w:cs="宋体"/>
                <w:spacing w:val="3"/>
                <w:sz w:val="20"/>
                <w:szCs w:val="20"/>
              </w:rPr>
              <w:t>容</w:t>
            </w:r>
          </w:p>
        </w:tc>
        <w:tc>
          <w:tcPr>
            <w:tcW w:w="1665" w:type="dxa"/>
            <w:vAlign w:val="top"/>
          </w:tcPr>
          <w:p w14:paraId="0557168E">
            <w:pPr>
              <w:spacing w:before="53" w:line="228" w:lineRule="auto"/>
              <w:ind w:left="427"/>
              <w:rPr>
                <w:rFonts w:ascii="宋体" w:hAnsi="宋体" w:eastAsia="宋体" w:cs="宋体"/>
                <w:sz w:val="20"/>
                <w:szCs w:val="20"/>
              </w:rPr>
            </w:pPr>
            <w:r>
              <w:rPr>
                <w:rFonts w:ascii="宋体" w:hAnsi="宋体" w:eastAsia="宋体" w:cs="宋体"/>
                <w:spacing w:val="5"/>
                <w:sz w:val="20"/>
                <w:szCs w:val="20"/>
              </w:rPr>
              <w:t>资料收集</w:t>
            </w:r>
          </w:p>
        </w:tc>
        <w:tc>
          <w:tcPr>
            <w:tcW w:w="5234" w:type="dxa"/>
            <w:gridSpan w:val="4"/>
            <w:vAlign w:val="top"/>
          </w:tcPr>
          <w:p w14:paraId="355D6EE2">
            <w:pPr>
              <w:spacing w:before="16" w:line="210" w:lineRule="auto"/>
              <w:ind w:left="3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a</w:t>
            </w:r>
            <w:r>
              <w:rPr>
                <w:rFonts w:ascii="Times New Roman" w:hAnsi="Times New Roman" w:eastAsia="Times New Roman" w:cs="Times New Roman"/>
                <w:spacing w:val="-6"/>
                <w:sz w:val="20"/>
                <w:szCs w:val="20"/>
              </w:rPr>
              <w:t xml:space="preserve"> </w:t>
            </w:r>
            <w:r>
              <w:rPr>
                <w:rFonts w:ascii="宋体" w:hAnsi="宋体" w:eastAsia="宋体" w:cs="宋体"/>
                <w:spacing w:val="-6"/>
                <w:sz w:val="20"/>
                <w:szCs w:val="20"/>
              </w:rPr>
              <w:t>)</w:t>
            </w:r>
            <w:r>
              <w:rPr>
                <w:rFonts w:ascii="宋体" w:hAnsi="宋体" w:eastAsia="宋体" w:cs="宋体"/>
                <w:spacing w:val="-4"/>
                <w:sz w:val="20"/>
                <w:szCs w:val="20"/>
              </w:rPr>
              <w:t xml:space="preserve"> </w:t>
            </w:r>
            <w:r>
              <w:rPr>
                <w:rFonts w:ascii="微软雅黑" w:hAnsi="微软雅黑" w:eastAsia="微软雅黑" w:cs="微软雅黑"/>
                <w:spacing w:val="-3"/>
                <w:sz w:val="20"/>
                <w:szCs w:val="20"/>
              </w:rPr>
              <w:t>团</w:t>
            </w:r>
            <w:r>
              <w:rPr>
                <w:rFonts w:ascii="宋体" w:hAnsi="宋体" w:eastAsia="宋体" w:cs="宋体"/>
                <w:spacing w:val="-3"/>
                <w:sz w:val="20"/>
                <w:szCs w:val="20"/>
              </w:rPr>
              <w:t>；</w:t>
            </w:r>
            <w:r>
              <w:rPr>
                <w:rFonts w:ascii="Times New Roman" w:hAnsi="Times New Roman" w:eastAsia="Times New Roman" w:cs="Times New Roman"/>
                <w:spacing w:val="-3"/>
                <w:sz w:val="20"/>
                <w:szCs w:val="20"/>
              </w:rPr>
              <w:t>b</w:t>
            </w:r>
            <w:r>
              <w:rPr>
                <w:rFonts w:ascii="宋体" w:hAnsi="宋体" w:eastAsia="宋体" w:cs="宋体"/>
                <w:spacing w:val="-3"/>
                <w:sz w:val="20"/>
                <w:szCs w:val="20"/>
              </w:rPr>
              <w:t xml:space="preserve">) </w:t>
            </w:r>
            <w:r>
              <w:rPr>
                <w:rFonts w:ascii="微软雅黑" w:hAnsi="微软雅黑" w:eastAsia="微软雅黑" w:cs="微软雅黑"/>
                <w:spacing w:val="-3"/>
                <w:sz w:val="20"/>
                <w:szCs w:val="20"/>
              </w:rPr>
              <w:t>团</w:t>
            </w:r>
            <w:r>
              <w:rPr>
                <w:rFonts w:ascii="宋体" w:hAnsi="宋体" w:eastAsia="宋体" w:cs="宋体"/>
                <w:spacing w:val="-3"/>
                <w:sz w:val="20"/>
                <w:szCs w:val="20"/>
              </w:rPr>
              <w:t>；</w:t>
            </w:r>
            <w:r>
              <w:rPr>
                <w:rFonts w:ascii="Times New Roman" w:hAnsi="Times New Roman" w:eastAsia="Times New Roman" w:cs="Times New Roman"/>
                <w:spacing w:val="-3"/>
                <w:sz w:val="20"/>
                <w:szCs w:val="20"/>
              </w:rPr>
              <w:t xml:space="preserve">c </w:t>
            </w:r>
            <w:r>
              <w:rPr>
                <w:rFonts w:ascii="宋体" w:hAnsi="宋体" w:eastAsia="宋体" w:cs="宋体"/>
                <w:spacing w:val="-3"/>
                <w:sz w:val="20"/>
                <w:szCs w:val="20"/>
              </w:rPr>
              <w:t xml:space="preserve">) </w:t>
            </w:r>
            <w:r>
              <w:rPr>
                <w:rFonts w:ascii="Times New Roman" w:hAnsi="Times New Roman" w:eastAsia="Times New Roman" w:cs="Times New Roman"/>
                <w:spacing w:val="-3"/>
                <w:sz w:val="20"/>
                <w:szCs w:val="20"/>
              </w:rPr>
              <w:t xml:space="preserve">□ </w:t>
            </w:r>
            <w:r>
              <w:rPr>
                <w:rFonts w:ascii="宋体" w:hAnsi="宋体" w:eastAsia="宋体" w:cs="宋体"/>
                <w:spacing w:val="-3"/>
                <w:sz w:val="20"/>
                <w:szCs w:val="20"/>
              </w:rPr>
              <w:t>；</w:t>
            </w:r>
            <w:r>
              <w:rPr>
                <w:rFonts w:ascii="Times New Roman" w:hAnsi="Times New Roman" w:eastAsia="Times New Roman" w:cs="Times New Roman"/>
                <w:spacing w:val="-3"/>
                <w:sz w:val="20"/>
                <w:szCs w:val="20"/>
              </w:rPr>
              <w:t>d</w:t>
            </w:r>
            <w:r>
              <w:rPr>
                <w:rFonts w:ascii="宋体" w:hAnsi="宋体" w:eastAsia="宋体" w:cs="宋体"/>
                <w:spacing w:val="-3"/>
                <w:sz w:val="20"/>
                <w:szCs w:val="20"/>
              </w:rPr>
              <w:t xml:space="preserve">) </w:t>
            </w:r>
            <w:r>
              <w:rPr>
                <w:rFonts w:ascii="Times New Roman" w:hAnsi="Times New Roman" w:eastAsia="Times New Roman" w:cs="Times New Roman"/>
                <w:spacing w:val="-3"/>
                <w:sz w:val="20"/>
                <w:szCs w:val="20"/>
              </w:rPr>
              <w:t>□</w:t>
            </w:r>
          </w:p>
        </w:tc>
        <w:tc>
          <w:tcPr>
            <w:tcW w:w="914" w:type="dxa"/>
            <w:tcBorders>
              <w:right w:val="nil"/>
            </w:tcBorders>
            <w:vAlign w:val="top"/>
          </w:tcPr>
          <w:p w14:paraId="1D2F984D">
            <w:pPr>
              <w:rPr>
                <w:rFonts w:ascii="Arial"/>
                <w:sz w:val="21"/>
              </w:rPr>
            </w:pPr>
          </w:p>
        </w:tc>
      </w:tr>
      <w:tr w14:paraId="21CE66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02" w:type="dxa"/>
            <w:vMerge w:val="continue"/>
            <w:tcBorders>
              <w:top w:val="nil"/>
              <w:left w:val="nil"/>
              <w:bottom w:val="nil"/>
            </w:tcBorders>
            <w:vAlign w:val="top"/>
          </w:tcPr>
          <w:p w14:paraId="73EAD5BF">
            <w:pPr>
              <w:rPr>
                <w:rFonts w:ascii="Arial"/>
                <w:sz w:val="21"/>
              </w:rPr>
            </w:pPr>
          </w:p>
        </w:tc>
        <w:tc>
          <w:tcPr>
            <w:tcW w:w="1665" w:type="dxa"/>
            <w:vAlign w:val="top"/>
          </w:tcPr>
          <w:p w14:paraId="2416268F">
            <w:pPr>
              <w:spacing w:before="53" w:line="228" w:lineRule="auto"/>
              <w:ind w:left="420"/>
              <w:rPr>
                <w:rFonts w:ascii="宋体" w:hAnsi="宋体" w:eastAsia="宋体" w:cs="宋体"/>
                <w:sz w:val="20"/>
                <w:szCs w:val="20"/>
              </w:rPr>
            </w:pPr>
            <w:r>
              <w:rPr>
                <w:rFonts w:ascii="宋体" w:hAnsi="宋体" w:eastAsia="宋体" w:cs="宋体"/>
                <w:spacing w:val="9"/>
                <w:sz w:val="20"/>
                <w:szCs w:val="20"/>
              </w:rPr>
              <w:t>理</w:t>
            </w:r>
            <w:r>
              <w:rPr>
                <w:rFonts w:ascii="宋体" w:hAnsi="宋体" w:eastAsia="宋体" w:cs="宋体"/>
                <w:spacing w:val="6"/>
                <w:sz w:val="20"/>
                <w:szCs w:val="20"/>
              </w:rPr>
              <w:t>化特性</w:t>
            </w:r>
          </w:p>
        </w:tc>
        <w:tc>
          <w:tcPr>
            <w:tcW w:w="5234" w:type="dxa"/>
            <w:gridSpan w:val="4"/>
            <w:vAlign w:val="top"/>
          </w:tcPr>
          <w:p w14:paraId="3359F1C8">
            <w:pPr>
              <w:rPr>
                <w:rFonts w:ascii="Arial"/>
                <w:sz w:val="21"/>
              </w:rPr>
            </w:pPr>
          </w:p>
        </w:tc>
        <w:tc>
          <w:tcPr>
            <w:tcW w:w="914" w:type="dxa"/>
            <w:tcBorders>
              <w:right w:val="nil"/>
            </w:tcBorders>
            <w:vAlign w:val="top"/>
          </w:tcPr>
          <w:p w14:paraId="0B830E69">
            <w:pPr>
              <w:spacing w:before="53" w:line="227" w:lineRule="auto"/>
              <w:ind w:left="72"/>
              <w:rPr>
                <w:rFonts w:ascii="Times New Roman" w:hAnsi="Times New Roman" w:eastAsia="Times New Roman" w:cs="Times New Roman"/>
                <w:sz w:val="20"/>
                <w:szCs w:val="20"/>
              </w:rPr>
            </w:pPr>
            <w:r>
              <w:rPr>
                <w:rFonts w:ascii="宋体" w:hAnsi="宋体" w:eastAsia="宋体" w:cs="宋体"/>
                <w:spacing w:val="-8"/>
                <w:sz w:val="20"/>
                <w:szCs w:val="20"/>
              </w:rPr>
              <w:t xml:space="preserve">同附录 </w:t>
            </w:r>
            <w:r>
              <w:rPr>
                <w:rFonts w:ascii="Times New Roman" w:hAnsi="Times New Roman" w:eastAsia="Times New Roman" w:cs="Times New Roman"/>
                <w:spacing w:val="-8"/>
                <w:sz w:val="20"/>
                <w:szCs w:val="20"/>
              </w:rPr>
              <w:t>C</w:t>
            </w:r>
          </w:p>
        </w:tc>
      </w:tr>
      <w:tr w14:paraId="3DC435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02" w:type="dxa"/>
            <w:vMerge w:val="continue"/>
            <w:tcBorders>
              <w:top w:val="nil"/>
              <w:left w:val="nil"/>
              <w:bottom w:val="nil"/>
            </w:tcBorders>
            <w:vAlign w:val="top"/>
          </w:tcPr>
          <w:p w14:paraId="658016EB">
            <w:pPr>
              <w:rPr>
                <w:rFonts w:ascii="Arial"/>
                <w:sz w:val="21"/>
              </w:rPr>
            </w:pPr>
          </w:p>
        </w:tc>
        <w:tc>
          <w:tcPr>
            <w:tcW w:w="1665" w:type="dxa"/>
            <w:vMerge w:val="restart"/>
            <w:tcBorders>
              <w:bottom w:val="nil"/>
            </w:tcBorders>
            <w:vAlign w:val="top"/>
          </w:tcPr>
          <w:p w14:paraId="097AC690">
            <w:pPr>
              <w:spacing w:line="307" w:lineRule="auto"/>
              <w:rPr>
                <w:rFonts w:ascii="Arial"/>
                <w:sz w:val="21"/>
              </w:rPr>
            </w:pPr>
          </w:p>
          <w:p w14:paraId="485C694F">
            <w:pPr>
              <w:spacing w:before="65" w:line="228" w:lineRule="auto"/>
              <w:ind w:left="208"/>
              <w:rPr>
                <w:rFonts w:ascii="宋体" w:hAnsi="宋体" w:eastAsia="宋体" w:cs="宋体"/>
                <w:sz w:val="20"/>
                <w:szCs w:val="20"/>
              </w:rPr>
            </w:pPr>
            <w:r>
              <w:rPr>
                <w:rFonts w:ascii="宋体" w:hAnsi="宋体" w:eastAsia="宋体" w:cs="宋体"/>
                <w:spacing w:val="8"/>
                <w:sz w:val="20"/>
                <w:szCs w:val="20"/>
              </w:rPr>
              <w:t>现状监测点</w:t>
            </w:r>
            <w:r>
              <w:rPr>
                <w:rFonts w:ascii="宋体" w:hAnsi="宋体" w:eastAsia="宋体" w:cs="宋体"/>
                <w:spacing w:val="7"/>
                <w:sz w:val="20"/>
                <w:szCs w:val="20"/>
              </w:rPr>
              <w:t>位</w:t>
            </w:r>
          </w:p>
        </w:tc>
        <w:tc>
          <w:tcPr>
            <w:tcW w:w="1399" w:type="dxa"/>
            <w:vAlign w:val="top"/>
          </w:tcPr>
          <w:p w14:paraId="5F44FA96">
            <w:pPr>
              <w:rPr>
                <w:rFonts w:ascii="Arial"/>
                <w:sz w:val="21"/>
              </w:rPr>
            </w:pPr>
          </w:p>
        </w:tc>
        <w:tc>
          <w:tcPr>
            <w:tcW w:w="1236" w:type="dxa"/>
            <w:vAlign w:val="top"/>
          </w:tcPr>
          <w:p w14:paraId="169DDA46">
            <w:pPr>
              <w:spacing w:before="53" w:line="228" w:lineRule="auto"/>
              <w:ind w:left="131"/>
              <w:rPr>
                <w:rFonts w:ascii="宋体" w:hAnsi="宋体" w:eastAsia="宋体" w:cs="宋体"/>
                <w:sz w:val="20"/>
                <w:szCs w:val="20"/>
              </w:rPr>
            </w:pPr>
            <w:r>
              <w:rPr>
                <w:rFonts w:ascii="宋体" w:hAnsi="宋体" w:eastAsia="宋体" w:cs="宋体"/>
                <w:spacing w:val="2"/>
                <w:sz w:val="20"/>
                <w:szCs w:val="20"/>
              </w:rPr>
              <w:t>占</w:t>
            </w:r>
            <w:r>
              <w:rPr>
                <w:rFonts w:ascii="宋体" w:hAnsi="宋体" w:eastAsia="宋体" w:cs="宋体"/>
                <w:spacing w:val="1"/>
                <w:sz w:val="20"/>
                <w:szCs w:val="20"/>
              </w:rPr>
              <w:t>地范围内</w:t>
            </w:r>
          </w:p>
        </w:tc>
        <w:tc>
          <w:tcPr>
            <w:tcW w:w="1120" w:type="dxa"/>
            <w:vAlign w:val="top"/>
          </w:tcPr>
          <w:p w14:paraId="2E909E0A">
            <w:pPr>
              <w:spacing w:before="53" w:line="228" w:lineRule="auto"/>
              <w:ind w:left="74"/>
              <w:rPr>
                <w:rFonts w:ascii="宋体" w:hAnsi="宋体" w:eastAsia="宋体" w:cs="宋体"/>
                <w:sz w:val="20"/>
                <w:szCs w:val="20"/>
              </w:rPr>
            </w:pPr>
            <w:r>
              <w:rPr>
                <w:rFonts w:ascii="宋体" w:hAnsi="宋体" w:eastAsia="宋体" w:cs="宋体"/>
                <w:spacing w:val="2"/>
                <w:sz w:val="20"/>
                <w:szCs w:val="20"/>
              </w:rPr>
              <w:t>占</w:t>
            </w:r>
            <w:r>
              <w:rPr>
                <w:rFonts w:ascii="宋体" w:hAnsi="宋体" w:eastAsia="宋体" w:cs="宋体"/>
                <w:spacing w:val="1"/>
                <w:sz w:val="20"/>
                <w:szCs w:val="20"/>
              </w:rPr>
              <w:t>地范围外</w:t>
            </w:r>
          </w:p>
        </w:tc>
        <w:tc>
          <w:tcPr>
            <w:tcW w:w="1479" w:type="dxa"/>
            <w:vAlign w:val="top"/>
          </w:tcPr>
          <w:p w14:paraId="72865D7A">
            <w:pPr>
              <w:spacing w:before="53" w:line="228" w:lineRule="auto"/>
              <w:ind w:left="535"/>
              <w:rPr>
                <w:rFonts w:ascii="宋体" w:hAnsi="宋体" w:eastAsia="宋体" w:cs="宋体"/>
                <w:sz w:val="20"/>
                <w:szCs w:val="20"/>
              </w:rPr>
            </w:pPr>
            <w:r>
              <w:rPr>
                <w:rFonts w:ascii="宋体" w:hAnsi="宋体" w:eastAsia="宋体" w:cs="宋体"/>
                <w:spacing w:val="5"/>
                <w:sz w:val="20"/>
                <w:szCs w:val="20"/>
              </w:rPr>
              <w:t>深</w:t>
            </w:r>
            <w:r>
              <w:rPr>
                <w:rFonts w:ascii="宋体" w:hAnsi="宋体" w:eastAsia="宋体" w:cs="宋体"/>
                <w:spacing w:val="4"/>
                <w:sz w:val="20"/>
                <w:szCs w:val="20"/>
              </w:rPr>
              <w:t>度</w:t>
            </w:r>
          </w:p>
        </w:tc>
        <w:tc>
          <w:tcPr>
            <w:tcW w:w="914" w:type="dxa"/>
            <w:vMerge w:val="restart"/>
            <w:tcBorders>
              <w:bottom w:val="nil"/>
              <w:right w:val="nil"/>
            </w:tcBorders>
            <w:vAlign w:val="top"/>
          </w:tcPr>
          <w:p w14:paraId="21F71A40">
            <w:pPr>
              <w:spacing w:before="219" w:line="300" w:lineRule="auto"/>
              <w:ind w:left="148" w:right="142" w:firstLine="116"/>
              <w:rPr>
                <w:rFonts w:ascii="宋体" w:hAnsi="宋体" w:eastAsia="宋体" w:cs="宋体"/>
                <w:sz w:val="20"/>
                <w:szCs w:val="20"/>
              </w:rPr>
            </w:pPr>
            <w:r>
              <w:rPr>
                <w:rFonts w:ascii="宋体" w:hAnsi="宋体" w:eastAsia="宋体" w:cs="宋体"/>
                <w:spacing w:val="-1"/>
                <w:sz w:val="20"/>
                <w:szCs w:val="20"/>
              </w:rPr>
              <w:t>点位</w:t>
            </w:r>
            <w:r>
              <w:rPr>
                <w:rFonts w:ascii="宋体" w:hAnsi="宋体" w:eastAsia="宋体" w:cs="宋体"/>
                <w:sz w:val="20"/>
                <w:szCs w:val="20"/>
              </w:rPr>
              <w:t xml:space="preserve"> </w:t>
            </w:r>
            <w:r>
              <w:rPr>
                <w:rFonts w:ascii="宋体" w:hAnsi="宋体" w:eastAsia="宋体" w:cs="宋体"/>
                <w:spacing w:val="7"/>
                <w:sz w:val="20"/>
                <w:szCs w:val="20"/>
              </w:rPr>
              <w:t>布置</w:t>
            </w:r>
            <w:r>
              <w:rPr>
                <w:rFonts w:ascii="宋体" w:hAnsi="宋体" w:eastAsia="宋体" w:cs="宋体"/>
                <w:spacing w:val="6"/>
                <w:sz w:val="20"/>
                <w:szCs w:val="20"/>
              </w:rPr>
              <w:t>图</w:t>
            </w:r>
          </w:p>
        </w:tc>
      </w:tr>
      <w:tr w14:paraId="4B6E11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02" w:type="dxa"/>
            <w:vMerge w:val="continue"/>
            <w:tcBorders>
              <w:top w:val="nil"/>
              <w:left w:val="nil"/>
              <w:bottom w:val="nil"/>
            </w:tcBorders>
            <w:vAlign w:val="top"/>
          </w:tcPr>
          <w:p w14:paraId="4321C79C">
            <w:pPr>
              <w:rPr>
                <w:rFonts w:ascii="Arial"/>
                <w:sz w:val="21"/>
              </w:rPr>
            </w:pPr>
          </w:p>
        </w:tc>
        <w:tc>
          <w:tcPr>
            <w:tcW w:w="1665" w:type="dxa"/>
            <w:vMerge w:val="continue"/>
            <w:tcBorders>
              <w:top w:val="nil"/>
              <w:bottom w:val="nil"/>
            </w:tcBorders>
            <w:vAlign w:val="top"/>
          </w:tcPr>
          <w:p w14:paraId="31C02033">
            <w:pPr>
              <w:rPr>
                <w:rFonts w:ascii="Arial"/>
                <w:sz w:val="21"/>
              </w:rPr>
            </w:pPr>
          </w:p>
        </w:tc>
        <w:tc>
          <w:tcPr>
            <w:tcW w:w="1399" w:type="dxa"/>
            <w:vAlign w:val="top"/>
          </w:tcPr>
          <w:p w14:paraId="0E814FD2">
            <w:pPr>
              <w:spacing w:before="52" w:line="228" w:lineRule="auto"/>
              <w:ind w:left="177"/>
              <w:rPr>
                <w:rFonts w:ascii="宋体" w:hAnsi="宋体" w:eastAsia="宋体" w:cs="宋体"/>
                <w:sz w:val="20"/>
                <w:szCs w:val="20"/>
              </w:rPr>
            </w:pPr>
            <w:r>
              <w:rPr>
                <w:rFonts w:ascii="宋体" w:hAnsi="宋体" w:eastAsia="宋体" w:cs="宋体"/>
                <w:spacing w:val="9"/>
                <w:sz w:val="20"/>
                <w:szCs w:val="20"/>
              </w:rPr>
              <w:t>表</w:t>
            </w:r>
            <w:r>
              <w:rPr>
                <w:rFonts w:ascii="宋体" w:hAnsi="宋体" w:eastAsia="宋体" w:cs="宋体"/>
                <w:spacing w:val="8"/>
                <w:sz w:val="20"/>
                <w:szCs w:val="20"/>
              </w:rPr>
              <w:t>层样点数</w:t>
            </w:r>
          </w:p>
        </w:tc>
        <w:tc>
          <w:tcPr>
            <w:tcW w:w="1236" w:type="dxa"/>
            <w:vAlign w:val="top"/>
          </w:tcPr>
          <w:p w14:paraId="186A5F2D">
            <w:pPr>
              <w:spacing w:before="89" w:line="195" w:lineRule="auto"/>
              <w:ind w:left="586"/>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120" w:type="dxa"/>
            <w:vAlign w:val="top"/>
          </w:tcPr>
          <w:p w14:paraId="7998DF41">
            <w:pPr>
              <w:spacing w:before="89" w:line="195" w:lineRule="auto"/>
              <w:ind w:left="50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479" w:type="dxa"/>
            <w:vAlign w:val="top"/>
          </w:tcPr>
          <w:p w14:paraId="79BC63EE">
            <w:pPr>
              <w:spacing w:before="89" w:line="195" w:lineRule="auto"/>
              <w:ind w:left="532"/>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0</w:t>
            </w:r>
            <w:r>
              <w:rPr>
                <w:rFonts w:ascii="Times New Roman" w:hAnsi="Times New Roman" w:eastAsia="Times New Roman" w:cs="Times New Roman"/>
                <w:spacing w:val="4"/>
                <w:sz w:val="20"/>
                <w:szCs w:val="20"/>
              </w:rPr>
              <w:t>.2</w:t>
            </w:r>
            <w:r>
              <w:rPr>
                <w:rFonts w:ascii="Times New Roman" w:hAnsi="Times New Roman" w:eastAsia="Times New Roman" w:cs="Times New Roman"/>
                <w:sz w:val="20"/>
                <w:szCs w:val="20"/>
              </w:rPr>
              <w:t>m</w:t>
            </w:r>
          </w:p>
        </w:tc>
        <w:tc>
          <w:tcPr>
            <w:tcW w:w="914" w:type="dxa"/>
            <w:vMerge w:val="continue"/>
            <w:tcBorders>
              <w:top w:val="nil"/>
              <w:bottom w:val="nil"/>
              <w:right w:val="nil"/>
            </w:tcBorders>
            <w:vAlign w:val="top"/>
          </w:tcPr>
          <w:p w14:paraId="1CEAC09A">
            <w:pPr>
              <w:rPr>
                <w:rFonts w:ascii="Arial"/>
                <w:sz w:val="21"/>
              </w:rPr>
            </w:pPr>
          </w:p>
        </w:tc>
      </w:tr>
      <w:tr w14:paraId="384C65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02" w:type="dxa"/>
            <w:vMerge w:val="continue"/>
            <w:tcBorders>
              <w:top w:val="nil"/>
              <w:left w:val="nil"/>
              <w:bottom w:val="nil"/>
            </w:tcBorders>
            <w:vAlign w:val="top"/>
          </w:tcPr>
          <w:p w14:paraId="5671D372">
            <w:pPr>
              <w:rPr>
                <w:rFonts w:ascii="Arial"/>
                <w:sz w:val="21"/>
              </w:rPr>
            </w:pPr>
          </w:p>
        </w:tc>
        <w:tc>
          <w:tcPr>
            <w:tcW w:w="1665" w:type="dxa"/>
            <w:vMerge w:val="continue"/>
            <w:tcBorders>
              <w:top w:val="nil"/>
            </w:tcBorders>
            <w:vAlign w:val="top"/>
          </w:tcPr>
          <w:p w14:paraId="62910619">
            <w:pPr>
              <w:rPr>
                <w:rFonts w:ascii="Arial"/>
                <w:sz w:val="21"/>
              </w:rPr>
            </w:pPr>
          </w:p>
        </w:tc>
        <w:tc>
          <w:tcPr>
            <w:tcW w:w="1399" w:type="dxa"/>
            <w:vAlign w:val="top"/>
          </w:tcPr>
          <w:p w14:paraId="276D8B08">
            <w:pPr>
              <w:spacing w:before="52" w:line="228" w:lineRule="auto"/>
              <w:ind w:left="178"/>
              <w:rPr>
                <w:rFonts w:ascii="宋体" w:hAnsi="宋体" w:eastAsia="宋体" w:cs="宋体"/>
                <w:sz w:val="20"/>
                <w:szCs w:val="20"/>
              </w:rPr>
            </w:pPr>
            <w:r>
              <w:rPr>
                <w:rFonts w:ascii="宋体" w:hAnsi="宋体" w:eastAsia="宋体" w:cs="宋体"/>
                <w:spacing w:val="8"/>
                <w:sz w:val="20"/>
                <w:szCs w:val="20"/>
              </w:rPr>
              <w:t>柱状样点数</w:t>
            </w:r>
          </w:p>
        </w:tc>
        <w:tc>
          <w:tcPr>
            <w:tcW w:w="1236" w:type="dxa"/>
            <w:vAlign w:val="top"/>
          </w:tcPr>
          <w:p w14:paraId="07FDCEB4">
            <w:pPr>
              <w:spacing w:before="88" w:line="195" w:lineRule="auto"/>
              <w:ind w:left="56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120" w:type="dxa"/>
            <w:vAlign w:val="top"/>
          </w:tcPr>
          <w:p w14:paraId="3981BE20">
            <w:pPr>
              <w:spacing w:before="88" w:line="195" w:lineRule="auto"/>
              <w:ind w:left="512"/>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79" w:type="dxa"/>
            <w:vAlign w:val="top"/>
          </w:tcPr>
          <w:p w14:paraId="38585977">
            <w:pPr>
              <w:spacing w:before="88" w:line="195" w:lineRule="auto"/>
              <w:ind w:left="500"/>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0~3</w:t>
            </w:r>
            <w:r>
              <w:rPr>
                <w:rFonts w:ascii="Times New Roman" w:hAnsi="Times New Roman" w:eastAsia="Times New Roman" w:cs="Times New Roman"/>
                <w:sz w:val="20"/>
                <w:szCs w:val="20"/>
              </w:rPr>
              <w:t>m</w:t>
            </w:r>
          </w:p>
        </w:tc>
        <w:tc>
          <w:tcPr>
            <w:tcW w:w="914" w:type="dxa"/>
            <w:vMerge w:val="continue"/>
            <w:tcBorders>
              <w:top w:val="nil"/>
              <w:right w:val="nil"/>
            </w:tcBorders>
            <w:vAlign w:val="top"/>
          </w:tcPr>
          <w:p w14:paraId="1A6C643A">
            <w:pPr>
              <w:rPr>
                <w:rFonts w:ascii="Arial"/>
                <w:sz w:val="21"/>
              </w:rPr>
            </w:pPr>
          </w:p>
        </w:tc>
      </w:tr>
      <w:tr w14:paraId="716948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4" w:hRule="atLeast"/>
        </w:trPr>
        <w:tc>
          <w:tcPr>
            <w:tcW w:w="502" w:type="dxa"/>
            <w:vMerge w:val="continue"/>
            <w:tcBorders>
              <w:top w:val="nil"/>
              <w:left w:val="nil"/>
            </w:tcBorders>
            <w:vAlign w:val="top"/>
          </w:tcPr>
          <w:p w14:paraId="48935C2B">
            <w:pPr>
              <w:rPr>
                <w:rFonts w:ascii="Arial"/>
                <w:sz w:val="21"/>
              </w:rPr>
            </w:pPr>
          </w:p>
        </w:tc>
        <w:tc>
          <w:tcPr>
            <w:tcW w:w="1665" w:type="dxa"/>
            <w:vAlign w:val="top"/>
          </w:tcPr>
          <w:p w14:paraId="74653BF8">
            <w:pPr>
              <w:spacing w:line="276" w:lineRule="auto"/>
              <w:rPr>
                <w:rFonts w:ascii="Arial"/>
                <w:sz w:val="21"/>
              </w:rPr>
            </w:pPr>
          </w:p>
          <w:p w14:paraId="45FB0886">
            <w:pPr>
              <w:spacing w:line="276" w:lineRule="auto"/>
              <w:rPr>
                <w:rFonts w:ascii="Arial"/>
                <w:sz w:val="21"/>
              </w:rPr>
            </w:pPr>
          </w:p>
          <w:p w14:paraId="410B9C30">
            <w:pPr>
              <w:spacing w:line="276" w:lineRule="auto"/>
              <w:rPr>
                <w:rFonts w:ascii="Arial"/>
                <w:sz w:val="21"/>
              </w:rPr>
            </w:pPr>
          </w:p>
          <w:p w14:paraId="432F9215">
            <w:pPr>
              <w:spacing w:line="277" w:lineRule="auto"/>
              <w:rPr>
                <w:rFonts w:ascii="Arial"/>
                <w:sz w:val="21"/>
              </w:rPr>
            </w:pPr>
          </w:p>
          <w:p w14:paraId="30C8C151">
            <w:pPr>
              <w:spacing w:line="277" w:lineRule="auto"/>
              <w:rPr>
                <w:rFonts w:ascii="Arial"/>
                <w:sz w:val="21"/>
              </w:rPr>
            </w:pPr>
          </w:p>
          <w:p w14:paraId="6A236CD1">
            <w:pPr>
              <w:spacing w:before="65" w:line="228" w:lineRule="auto"/>
              <w:ind w:left="208"/>
              <w:rPr>
                <w:rFonts w:ascii="宋体" w:hAnsi="宋体" w:eastAsia="宋体" w:cs="宋体"/>
                <w:sz w:val="20"/>
                <w:szCs w:val="20"/>
              </w:rPr>
            </w:pPr>
            <w:r>
              <w:rPr>
                <w:rFonts w:ascii="宋体" w:hAnsi="宋体" w:eastAsia="宋体" w:cs="宋体"/>
                <w:spacing w:val="8"/>
                <w:sz w:val="20"/>
                <w:szCs w:val="20"/>
              </w:rPr>
              <w:t>现状监测因</w:t>
            </w:r>
            <w:r>
              <w:rPr>
                <w:rFonts w:ascii="宋体" w:hAnsi="宋体" w:eastAsia="宋体" w:cs="宋体"/>
                <w:spacing w:val="7"/>
                <w:sz w:val="20"/>
                <w:szCs w:val="20"/>
              </w:rPr>
              <w:t>子</w:t>
            </w:r>
          </w:p>
        </w:tc>
        <w:tc>
          <w:tcPr>
            <w:tcW w:w="5234" w:type="dxa"/>
            <w:gridSpan w:val="4"/>
            <w:vAlign w:val="top"/>
          </w:tcPr>
          <w:p w14:paraId="5D8C770F">
            <w:pPr>
              <w:spacing w:before="48" w:line="283" w:lineRule="auto"/>
              <w:ind w:left="31" w:hanging="4"/>
              <w:rPr>
                <w:rFonts w:ascii="宋体" w:hAnsi="宋体" w:eastAsia="宋体" w:cs="宋体"/>
                <w:sz w:val="20"/>
                <w:szCs w:val="20"/>
              </w:rPr>
            </w:pPr>
            <w:r>
              <w:rPr>
                <w:rFonts w:ascii="Times New Roman" w:hAnsi="Times New Roman" w:eastAsia="Times New Roman" w:cs="Times New Roman"/>
                <w:sz w:val="20"/>
                <w:szCs w:val="20"/>
              </w:rPr>
              <w:t>PH</w:t>
            </w:r>
            <w:r>
              <w:rPr>
                <w:rFonts w:ascii="Times New Roman" w:hAnsi="Times New Roman" w:eastAsia="Times New Roman" w:cs="Times New Roman"/>
                <w:spacing w:val="6"/>
                <w:sz w:val="20"/>
                <w:szCs w:val="20"/>
              </w:rPr>
              <w:t xml:space="preserve"> </w:t>
            </w:r>
            <w:r>
              <w:rPr>
                <w:rFonts w:ascii="宋体" w:hAnsi="宋体" w:eastAsia="宋体" w:cs="宋体"/>
                <w:spacing w:val="6"/>
                <w:sz w:val="20"/>
                <w:szCs w:val="20"/>
              </w:rPr>
              <w:t xml:space="preserve">、铬 </w:t>
            </w:r>
            <w:r>
              <w:rPr>
                <w:rFonts w:ascii="宋体" w:hAnsi="宋体" w:eastAsia="宋体" w:cs="宋体"/>
                <w:spacing w:val="5"/>
                <w:sz w:val="20"/>
                <w:szCs w:val="20"/>
              </w:rPr>
              <w:t>(</w:t>
            </w:r>
            <w:r>
              <w:rPr>
                <w:rFonts w:ascii="宋体" w:hAnsi="宋体" w:eastAsia="宋体" w:cs="宋体"/>
                <w:spacing w:val="3"/>
                <w:sz w:val="20"/>
                <w:szCs w:val="20"/>
              </w:rPr>
              <w:t>六价) 、镉、汞、砷、铅、铜、镍、四氯化碳、</w:t>
            </w:r>
            <w:r>
              <w:rPr>
                <w:rFonts w:ascii="宋体" w:hAnsi="宋体" w:eastAsia="宋体" w:cs="宋体"/>
                <w:sz w:val="20"/>
                <w:szCs w:val="20"/>
              </w:rPr>
              <w:t xml:space="preserve"> </w:t>
            </w:r>
            <w:r>
              <w:rPr>
                <w:rFonts w:ascii="宋体" w:hAnsi="宋体" w:eastAsia="宋体" w:cs="宋体"/>
                <w:spacing w:val="4"/>
                <w:sz w:val="20"/>
                <w:szCs w:val="20"/>
              </w:rPr>
              <w:t>氯仿、</w:t>
            </w:r>
            <w:r>
              <w:rPr>
                <w:rFonts w:ascii="宋体" w:hAnsi="宋体" w:eastAsia="宋体" w:cs="宋体"/>
                <w:spacing w:val="2"/>
                <w:sz w:val="20"/>
                <w:szCs w:val="20"/>
              </w:rPr>
              <w:t>氯甲烷、</w:t>
            </w:r>
            <w:r>
              <w:rPr>
                <w:rFonts w:ascii="Times New Roman" w:hAnsi="Times New Roman" w:eastAsia="Times New Roman" w:cs="Times New Roman"/>
                <w:spacing w:val="2"/>
                <w:sz w:val="20"/>
                <w:szCs w:val="20"/>
              </w:rPr>
              <w:t>1, 1-</w:t>
            </w:r>
            <w:r>
              <w:rPr>
                <w:rFonts w:ascii="宋体" w:hAnsi="宋体" w:eastAsia="宋体" w:cs="宋体"/>
                <w:spacing w:val="2"/>
                <w:sz w:val="20"/>
                <w:szCs w:val="20"/>
              </w:rPr>
              <w:t>二氯乙烷、</w:t>
            </w:r>
            <w:r>
              <w:rPr>
                <w:rFonts w:ascii="Times New Roman" w:hAnsi="Times New Roman" w:eastAsia="Times New Roman" w:cs="Times New Roman"/>
                <w:spacing w:val="2"/>
                <w:sz w:val="20"/>
                <w:szCs w:val="20"/>
              </w:rPr>
              <w:t>1,2-</w:t>
            </w:r>
            <w:r>
              <w:rPr>
                <w:rFonts w:ascii="宋体" w:hAnsi="宋体" w:eastAsia="宋体" w:cs="宋体"/>
                <w:spacing w:val="2"/>
                <w:sz w:val="20"/>
                <w:szCs w:val="20"/>
              </w:rPr>
              <w:t>二氯乙烷、</w:t>
            </w:r>
            <w:r>
              <w:rPr>
                <w:rFonts w:ascii="Times New Roman" w:hAnsi="Times New Roman" w:eastAsia="Times New Roman" w:cs="Times New Roman"/>
                <w:spacing w:val="2"/>
                <w:sz w:val="20"/>
                <w:szCs w:val="20"/>
              </w:rPr>
              <w:t>1, 1-</w:t>
            </w:r>
            <w:r>
              <w:rPr>
                <w:rFonts w:ascii="宋体" w:hAnsi="宋体" w:eastAsia="宋体" w:cs="宋体"/>
                <w:spacing w:val="2"/>
                <w:sz w:val="20"/>
                <w:szCs w:val="20"/>
              </w:rPr>
              <w:t>二氯乙</w:t>
            </w:r>
            <w:r>
              <w:rPr>
                <w:rFonts w:ascii="宋体" w:hAnsi="宋体" w:eastAsia="宋体" w:cs="宋体"/>
                <w:sz w:val="20"/>
                <w:szCs w:val="20"/>
              </w:rPr>
              <w:t xml:space="preserve"> </w:t>
            </w:r>
            <w:r>
              <w:rPr>
                <w:rFonts w:ascii="宋体" w:hAnsi="宋体" w:eastAsia="宋体" w:cs="宋体"/>
                <w:spacing w:val="7"/>
                <w:sz w:val="20"/>
                <w:szCs w:val="20"/>
              </w:rPr>
              <w:t>烯</w:t>
            </w:r>
            <w:r>
              <w:rPr>
                <w:rFonts w:ascii="宋体" w:hAnsi="宋体" w:eastAsia="宋体" w:cs="宋体"/>
                <w:spacing w:val="4"/>
                <w:sz w:val="20"/>
                <w:szCs w:val="20"/>
              </w:rPr>
              <w:t>、顺</w:t>
            </w:r>
            <w:r>
              <w:rPr>
                <w:rFonts w:ascii="Times New Roman" w:hAnsi="Times New Roman" w:eastAsia="Times New Roman" w:cs="Times New Roman"/>
                <w:spacing w:val="4"/>
                <w:sz w:val="20"/>
                <w:szCs w:val="20"/>
              </w:rPr>
              <w:t>- 1,2-</w:t>
            </w:r>
            <w:r>
              <w:rPr>
                <w:rFonts w:ascii="宋体" w:hAnsi="宋体" w:eastAsia="宋体" w:cs="宋体"/>
                <w:spacing w:val="4"/>
                <w:sz w:val="20"/>
                <w:szCs w:val="20"/>
              </w:rPr>
              <w:t>二氯乙烯、反</w:t>
            </w:r>
            <w:r>
              <w:rPr>
                <w:rFonts w:ascii="Times New Roman" w:hAnsi="Times New Roman" w:eastAsia="Times New Roman" w:cs="Times New Roman"/>
                <w:spacing w:val="4"/>
                <w:sz w:val="20"/>
                <w:szCs w:val="20"/>
              </w:rPr>
              <w:t>- 1,2-</w:t>
            </w:r>
            <w:r>
              <w:rPr>
                <w:rFonts w:ascii="宋体" w:hAnsi="宋体" w:eastAsia="宋体" w:cs="宋体"/>
                <w:spacing w:val="4"/>
                <w:sz w:val="20"/>
                <w:szCs w:val="20"/>
              </w:rPr>
              <w:t>二氯乙烯、二氯甲烷、</w:t>
            </w:r>
            <w:r>
              <w:rPr>
                <w:rFonts w:ascii="Times New Roman" w:hAnsi="Times New Roman" w:eastAsia="Times New Roman" w:cs="Times New Roman"/>
                <w:spacing w:val="4"/>
                <w:sz w:val="20"/>
                <w:szCs w:val="20"/>
              </w:rPr>
              <w:t>1,2-</w:t>
            </w:r>
            <w:r>
              <w:rPr>
                <w:rFonts w:ascii="Times New Roman" w:hAnsi="Times New Roman" w:eastAsia="Times New Roman" w:cs="Times New Roman"/>
                <w:sz w:val="20"/>
                <w:szCs w:val="20"/>
              </w:rPr>
              <w:t xml:space="preserve"> </w:t>
            </w:r>
            <w:r>
              <w:rPr>
                <w:rFonts w:ascii="宋体" w:hAnsi="宋体" w:eastAsia="宋体" w:cs="宋体"/>
                <w:spacing w:val="1"/>
                <w:sz w:val="20"/>
                <w:szCs w:val="20"/>
              </w:rPr>
              <w:t>二氯丙烷、</w:t>
            </w:r>
            <w:r>
              <w:rPr>
                <w:rFonts w:ascii="Times New Roman" w:hAnsi="Times New Roman" w:eastAsia="Times New Roman" w:cs="Times New Roman"/>
                <w:spacing w:val="1"/>
                <w:sz w:val="20"/>
                <w:szCs w:val="20"/>
              </w:rPr>
              <w:t xml:space="preserve">1, 1, 1,2- </w:t>
            </w:r>
            <w:r>
              <w:rPr>
                <w:rFonts w:ascii="宋体" w:hAnsi="宋体" w:eastAsia="宋体" w:cs="宋体"/>
                <w:spacing w:val="1"/>
                <w:sz w:val="20"/>
                <w:szCs w:val="20"/>
              </w:rPr>
              <w:t>四氯乙烷、</w:t>
            </w:r>
            <w:r>
              <w:rPr>
                <w:rFonts w:ascii="Times New Roman" w:hAnsi="Times New Roman" w:eastAsia="Times New Roman" w:cs="Times New Roman"/>
                <w:spacing w:val="1"/>
                <w:sz w:val="20"/>
                <w:szCs w:val="20"/>
              </w:rPr>
              <w:t xml:space="preserve">1, 1,2,2- </w:t>
            </w:r>
            <w:r>
              <w:rPr>
                <w:rFonts w:ascii="宋体" w:hAnsi="宋体" w:eastAsia="宋体" w:cs="宋体"/>
                <w:spacing w:val="1"/>
                <w:sz w:val="20"/>
                <w:szCs w:val="20"/>
              </w:rPr>
              <w:t>四氯乙烷、四氯</w:t>
            </w:r>
            <w:r>
              <w:rPr>
                <w:rFonts w:ascii="宋体" w:hAnsi="宋体" w:eastAsia="宋体" w:cs="宋体"/>
                <w:sz w:val="20"/>
                <w:szCs w:val="20"/>
              </w:rPr>
              <w:t xml:space="preserve">乙 </w:t>
            </w:r>
            <w:r>
              <w:rPr>
                <w:rFonts w:ascii="宋体" w:hAnsi="宋体" w:eastAsia="宋体" w:cs="宋体"/>
                <w:spacing w:val="8"/>
                <w:sz w:val="20"/>
                <w:szCs w:val="20"/>
              </w:rPr>
              <w:t>烯、</w:t>
            </w:r>
            <w:r>
              <w:rPr>
                <w:rFonts w:ascii="Times New Roman" w:hAnsi="Times New Roman" w:eastAsia="Times New Roman" w:cs="Times New Roman"/>
                <w:spacing w:val="8"/>
                <w:sz w:val="20"/>
                <w:szCs w:val="20"/>
              </w:rPr>
              <w:t xml:space="preserve">1, </w:t>
            </w:r>
            <w:r>
              <w:rPr>
                <w:rFonts w:ascii="Times New Roman" w:hAnsi="Times New Roman" w:eastAsia="Times New Roman" w:cs="Times New Roman"/>
                <w:spacing w:val="6"/>
                <w:sz w:val="20"/>
                <w:szCs w:val="20"/>
              </w:rPr>
              <w:t>1</w:t>
            </w:r>
            <w:r>
              <w:rPr>
                <w:rFonts w:ascii="Times New Roman" w:hAnsi="Times New Roman" w:eastAsia="Times New Roman" w:cs="Times New Roman"/>
                <w:spacing w:val="4"/>
                <w:sz w:val="20"/>
                <w:szCs w:val="20"/>
              </w:rPr>
              <w:t>, 1-</w:t>
            </w:r>
            <w:r>
              <w:rPr>
                <w:rFonts w:ascii="宋体" w:hAnsi="宋体" w:eastAsia="宋体" w:cs="宋体"/>
                <w:spacing w:val="4"/>
                <w:sz w:val="20"/>
                <w:szCs w:val="20"/>
              </w:rPr>
              <w:t>三氯乙烷、</w:t>
            </w:r>
            <w:r>
              <w:rPr>
                <w:rFonts w:ascii="Times New Roman" w:hAnsi="Times New Roman" w:eastAsia="Times New Roman" w:cs="Times New Roman"/>
                <w:spacing w:val="4"/>
                <w:sz w:val="20"/>
                <w:szCs w:val="20"/>
              </w:rPr>
              <w:t>1, 1,2-</w:t>
            </w:r>
            <w:r>
              <w:rPr>
                <w:rFonts w:ascii="宋体" w:hAnsi="宋体" w:eastAsia="宋体" w:cs="宋体"/>
                <w:spacing w:val="4"/>
                <w:sz w:val="20"/>
                <w:szCs w:val="20"/>
              </w:rPr>
              <w:t>三氯乙烷、三氯乙烯、</w:t>
            </w:r>
            <w:r>
              <w:rPr>
                <w:rFonts w:ascii="Times New Roman" w:hAnsi="Times New Roman" w:eastAsia="Times New Roman" w:cs="Times New Roman"/>
                <w:spacing w:val="4"/>
                <w:sz w:val="20"/>
                <w:szCs w:val="20"/>
              </w:rPr>
              <w:t>1,2,3-</w:t>
            </w:r>
            <w:r>
              <w:rPr>
                <w:rFonts w:ascii="Times New Roman" w:hAnsi="Times New Roman" w:eastAsia="Times New Roman" w:cs="Times New Roman"/>
                <w:sz w:val="20"/>
                <w:szCs w:val="20"/>
              </w:rPr>
              <w:t xml:space="preserve"> </w:t>
            </w:r>
            <w:r>
              <w:rPr>
                <w:rFonts w:ascii="宋体" w:hAnsi="宋体" w:eastAsia="宋体" w:cs="宋体"/>
                <w:spacing w:val="10"/>
                <w:sz w:val="20"/>
                <w:szCs w:val="20"/>
              </w:rPr>
              <w:t>三氯</w:t>
            </w:r>
            <w:r>
              <w:rPr>
                <w:rFonts w:ascii="宋体" w:hAnsi="宋体" w:eastAsia="宋体" w:cs="宋体"/>
                <w:spacing w:val="8"/>
                <w:sz w:val="20"/>
                <w:szCs w:val="20"/>
              </w:rPr>
              <w:t>丙</w:t>
            </w:r>
            <w:r>
              <w:rPr>
                <w:rFonts w:ascii="宋体" w:hAnsi="宋体" w:eastAsia="宋体" w:cs="宋体"/>
                <w:spacing w:val="5"/>
                <w:sz w:val="20"/>
                <w:szCs w:val="20"/>
              </w:rPr>
              <w:t>烷、氯乙烯、苯、氯苯、</w:t>
            </w:r>
            <w:r>
              <w:rPr>
                <w:rFonts w:ascii="Times New Roman" w:hAnsi="Times New Roman" w:eastAsia="Times New Roman" w:cs="Times New Roman"/>
                <w:spacing w:val="5"/>
                <w:sz w:val="20"/>
                <w:szCs w:val="20"/>
              </w:rPr>
              <w:t>1,2-</w:t>
            </w:r>
            <w:r>
              <w:rPr>
                <w:rFonts w:ascii="宋体" w:hAnsi="宋体" w:eastAsia="宋体" w:cs="宋体"/>
                <w:spacing w:val="5"/>
                <w:sz w:val="20"/>
                <w:szCs w:val="20"/>
              </w:rPr>
              <w:t>二氯苯、</w:t>
            </w:r>
            <w:r>
              <w:rPr>
                <w:rFonts w:ascii="Times New Roman" w:hAnsi="Times New Roman" w:eastAsia="Times New Roman" w:cs="Times New Roman"/>
                <w:spacing w:val="5"/>
                <w:sz w:val="20"/>
                <w:szCs w:val="20"/>
              </w:rPr>
              <w:t>1,4-</w:t>
            </w:r>
            <w:r>
              <w:rPr>
                <w:rFonts w:ascii="宋体" w:hAnsi="宋体" w:eastAsia="宋体" w:cs="宋体"/>
                <w:spacing w:val="5"/>
                <w:sz w:val="20"/>
                <w:szCs w:val="20"/>
              </w:rPr>
              <w:t>二氯苯、</w:t>
            </w:r>
            <w:r>
              <w:rPr>
                <w:rFonts w:ascii="宋体" w:hAnsi="宋体" w:eastAsia="宋体" w:cs="宋体"/>
                <w:sz w:val="20"/>
                <w:szCs w:val="20"/>
              </w:rPr>
              <w:t xml:space="preserve"> </w:t>
            </w:r>
            <w:r>
              <w:rPr>
                <w:rFonts w:ascii="宋体" w:hAnsi="宋体" w:eastAsia="宋体" w:cs="宋体"/>
                <w:spacing w:val="5"/>
                <w:sz w:val="20"/>
                <w:szCs w:val="20"/>
              </w:rPr>
              <w:t>乙</w:t>
            </w:r>
            <w:r>
              <w:rPr>
                <w:rFonts w:ascii="宋体" w:hAnsi="宋体" w:eastAsia="宋体" w:cs="宋体"/>
                <w:spacing w:val="3"/>
                <w:sz w:val="20"/>
                <w:szCs w:val="20"/>
              </w:rPr>
              <w:t>苯、苯乙烯、 甲苯、间二甲苯</w:t>
            </w:r>
            <w:r>
              <w:rPr>
                <w:rFonts w:ascii="Times New Roman" w:hAnsi="Times New Roman" w:eastAsia="Times New Roman" w:cs="Times New Roman"/>
                <w:spacing w:val="3"/>
                <w:sz w:val="20"/>
                <w:szCs w:val="20"/>
              </w:rPr>
              <w:t>+</w:t>
            </w:r>
            <w:r>
              <w:rPr>
                <w:rFonts w:ascii="宋体" w:hAnsi="宋体" w:eastAsia="宋体" w:cs="宋体"/>
                <w:spacing w:val="3"/>
                <w:sz w:val="20"/>
                <w:szCs w:val="20"/>
              </w:rPr>
              <w:t>对二甲苯、邻二甲苯 、</w:t>
            </w:r>
            <w:r>
              <w:rPr>
                <w:rFonts w:ascii="宋体" w:hAnsi="宋体" w:eastAsia="宋体" w:cs="宋体"/>
                <w:sz w:val="20"/>
                <w:szCs w:val="20"/>
              </w:rPr>
              <w:t xml:space="preserve"> </w:t>
            </w:r>
            <w:r>
              <w:rPr>
                <w:rFonts w:ascii="宋体" w:hAnsi="宋体" w:eastAsia="宋体" w:cs="宋体"/>
                <w:spacing w:val="12"/>
                <w:sz w:val="20"/>
                <w:szCs w:val="20"/>
              </w:rPr>
              <w:t>硝</w:t>
            </w:r>
            <w:r>
              <w:rPr>
                <w:rFonts w:ascii="宋体" w:hAnsi="宋体" w:eastAsia="宋体" w:cs="宋体"/>
                <w:spacing w:val="10"/>
                <w:sz w:val="20"/>
                <w:szCs w:val="20"/>
              </w:rPr>
              <w:t>基苯、苯胺、</w:t>
            </w:r>
            <w:r>
              <w:rPr>
                <w:rFonts w:ascii="Times New Roman" w:hAnsi="Times New Roman" w:eastAsia="Times New Roman" w:cs="Times New Roman"/>
                <w:spacing w:val="10"/>
                <w:sz w:val="20"/>
                <w:szCs w:val="20"/>
              </w:rPr>
              <w:t>2-</w:t>
            </w:r>
            <w:r>
              <w:rPr>
                <w:rFonts w:ascii="宋体" w:hAnsi="宋体" w:eastAsia="宋体" w:cs="宋体"/>
                <w:spacing w:val="10"/>
                <w:sz w:val="20"/>
                <w:szCs w:val="20"/>
              </w:rPr>
              <w:t>氯酚、苯并</w:t>
            </w:r>
            <w:r>
              <w:rPr>
                <w:rFonts w:ascii="Times New Roman" w:hAnsi="Times New Roman" w:eastAsia="Times New Roman" w:cs="Times New Roman"/>
                <w:spacing w:val="10"/>
                <w:sz w:val="20"/>
                <w:szCs w:val="20"/>
              </w:rPr>
              <w:t>[</w:t>
            </w:r>
            <w:r>
              <w:rPr>
                <w:rFonts w:ascii="Times New Roman" w:hAnsi="Times New Roman" w:eastAsia="Times New Roman" w:cs="Times New Roman"/>
                <w:sz w:val="20"/>
                <w:szCs w:val="20"/>
              </w:rPr>
              <w:t>a</w:t>
            </w:r>
            <w:r>
              <w:rPr>
                <w:rFonts w:ascii="Times New Roman" w:hAnsi="Times New Roman" w:eastAsia="Times New Roman" w:cs="Times New Roman"/>
                <w:spacing w:val="10"/>
                <w:sz w:val="20"/>
                <w:szCs w:val="20"/>
              </w:rPr>
              <w:t>]</w:t>
            </w:r>
            <w:r>
              <w:rPr>
                <w:rFonts w:ascii="宋体" w:hAnsi="宋体" w:eastAsia="宋体" w:cs="宋体"/>
                <w:spacing w:val="10"/>
                <w:sz w:val="20"/>
                <w:szCs w:val="20"/>
              </w:rPr>
              <w:t>蒽、苯并</w:t>
            </w:r>
            <w:r>
              <w:rPr>
                <w:rFonts w:ascii="Times New Roman" w:hAnsi="Times New Roman" w:eastAsia="Times New Roman" w:cs="Times New Roman"/>
                <w:spacing w:val="10"/>
                <w:sz w:val="20"/>
                <w:szCs w:val="20"/>
              </w:rPr>
              <w:t>[</w:t>
            </w:r>
            <w:r>
              <w:rPr>
                <w:rFonts w:ascii="Times New Roman" w:hAnsi="Times New Roman" w:eastAsia="Times New Roman" w:cs="Times New Roman"/>
                <w:sz w:val="20"/>
                <w:szCs w:val="20"/>
              </w:rPr>
              <w:t>a</w:t>
            </w:r>
            <w:r>
              <w:rPr>
                <w:rFonts w:ascii="Times New Roman" w:hAnsi="Times New Roman" w:eastAsia="Times New Roman" w:cs="Times New Roman"/>
                <w:spacing w:val="10"/>
                <w:sz w:val="20"/>
                <w:szCs w:val="20"/>
              </w:rPr>
              <w:t>]</w:t>
            </w:r>
            <w:r>
              <w:rPr>
                <w:rFonts w:ascii="宋体" w:hAnsi="宋体" w:eastAsia="宋体" w:cs="宋体"/>
                <w:spacing w:val="10"/>
                <w:sz w:val="20"/>
                <w:szCs w:val="20"/>
              </w:rPr>
              <w:t>芘、苯并</w:t>
            </w:r>
            <w:r>
              <w:rPr>
                <w:rFonts w:ascii="Times New Roman" w:hAnsi="Times New Roman" w:eastAsia="Times New Roman" w:cs="Times New Roman"/>
                <w:spacing w:val="10"/>
                <w:sz w:val="20"/>
                <w:szCs w:val="20"/>
              </w:rPr>
              <w:t>[</w:t>
            </w:r>
            <w:r>
              <w:rPr>
                <w:rFonts w:ascii="Times New Roman" w:hAnsi="Times New Roman" w:eastAsia="Times New Roman" w:cs="Times New Roman"/>
                <w:sz w:val="20"/>
                <w:szCs w:val="20"/>
              </w:rPr>
              <w:t>b</w:t>
            </w:r>
            <w:r>
              <w:rPr>
                <w:rFonts w:ascii="Times New Roman" w:hAnsi="Times New Roman" w:eastAsia="Times New Roman" w:cs="Times New Roman"/>
                <w:spacing w:val="10"/>
                <w:sz w:val="20"/>
                <w:szCs w:val="20"/>
              </w:rPr>
              <w:t>]</w:t>
            </w:r>
            <w:r>
              <w:rPr>
                <w:rFonts w:ascii="Times New Roman" w:hAnsi="Times New Roman" w:eastAsia="Times New Roman" w:cs="Times New Roman"/>
                <w:sz w:val="20"/>
                <w:szCs w:val="20"/>
              </w:rPr>
              <w:t xml:space="preserve"> </w:t>
            </w:r>
            <w:r>
              <w:rPr>
                <w:rFonts w:ascii="宋体" w:hAnsi="宋体" w:eastAsia="宋体" w:cs="宋体"/>
                <w:spacing w:val="8"/>
                <w:sz w:val="20"/>
                <w:szCs w:val="20"/>
              </w:rPr>
              <w:t>荧蒽</w:t>
            </w:r>
            <w:r>
              <w:rPr>
                <w:rFonts w:ascii="宋体" w:hAnsi="宋体" w:eastAsia="宋体" w:cs="宋体"/>
                <w:spacing w:val="6"/>
                <w:sz w:val="20"/>
                <w:szCs w:val="20"/>
              </w:rPr>
              <w:t>、</w:t>
            </w:r>
            <w:r>
              <w:rPr>
                <w:rFonts w:ascii="宋体" w:hAnsi="宋体" w:eastAsia="宋体" w:cs="宋体"/>
                <w:spacing w:val="4"/>
                <w:sz w:val="20"/>
                <w:szCs w:val="20"/>
              </w:rPr>
              <w:t>苯并</w:t>
            </w:r>
            <w:r>
              <w:rPr>
                <w:rFonts w:ascii="Times New Roman" w:hAnsi="Times New Roman" w:eastAsia="Times New Roman" w:cs="Times New Roman"/>
                <w:spacing w:val="4"/>
                <w:sz w:val="20"/>
                <w:szCs w:val="20"/>
              </w:rPr>
              <w:t>[</w:t>
            </w:r>
            <w:r>
              <w:rPr>
                <w:rFonts w:ascii="Times New Roman" w:hAnsi="Times New Roman" w:eastAsia="Times New Roman" w:cs="Times New Roman"/>
                <w:sz w:val="20"/>
                <w:szCs w:val="20"/>
              </w:rPr>
              <w:t>k</w:t>
            </w:r>
            <w:r>
              <w:rPr>
                <w:rFonts w:ascii="Times New Roman" w:hAnsi="Times New Roman" w:eastAsia="Times New Roman" w:cs="Times New Roman"/>
                <w:spacing w:val="4"/>
                <w:sz w:val="20"/>
                <w:szCs w:val="20"/>
              </w:rPr>
              <w:t>]</w:t>
            </w:r>
            <w:r>
              <w:rPr>
                <w:rFonts w:ascii="宋体" w:hAnsi="宋体" w:eastAsia="宋体" w:cs="宋体"/>
                <w:spacing w:val="4"/>
                <w:sz w:val="20"/>
                <w:szCs w:val="20"/>
              </w:rPr>
              <w:t>荧蒽、䓛、二苯并</w:t>
            </w:r>
            <w:r>
              <w:rPr>
                <w:rFonts w:ascii="Times New Roman" w:hAnsi="Times New Roman" w:eastAsia="Times New Roman" w:cs="Times New Roman"/>
                <w:spacing w:val="4"/>
                <w:sz w:val="20"/>
                <w:szCs w:val="20"/>
              </w:rPr>
              <w:t>[</w:t>
            </w:r>
            <w:r>
              <w:rPr>
                <w:rFonts w:ascii="Times New Roman" w:hAnsi="Times New Roman" w:eastAsia="Times New Roman" w:cs="Times New Roman"/>
                <w:sz w:val="20"/>
                <w:szCs w:val="20"/>
              </w:rPr>
              <w:t>a</w:t>
            </w:r>
            <w:r>
              <w:rPr>
                <w:rFonts w:ascii="Times New Roman" w:hAnsi="Times New Roman" w:eastAsia="Times New Roman" w:cs="Times New Roman"/>
                <w:spacing w:val="4"/>
                <w:sz w:val="20"/>
                <w:szCs w:val="20"/>
              </w:rPr>
              <w:t xml:space="preserve"> </w:t>
            </w:r>
            <w:r>
              <w:rPr>
                <w:rFonts w:ascii="宋体" w:hAnsi="宋体" w:eastAsia="宋体" w:cs="宋体"/>
                <w:spacing w:val="4"/>
                <w:sz w:val="20"/>
                <w:szCs w:val="20"/>
              </w:rPr>
              <w:t>、</w:t>
            </w:r>
            <w:r>
              <w:rPr>
                <w:rFonts w:ascii="Times New Roman" w:hAnsi="Times New Roman" w:eastAsia="Times New Roman" w:cs="Times New Roman"/>
                <w:sz w:val="20"/>
                <w:szCs w:val="20"/>
              </w:rPr>
              <w:t>h</w:t>
            </w:r>
            <w:r>
              <w:rPr>
                <w:rFonts w:ascii="Times New Roman" w:hAnsi="Times New Roman" w:eastAsia="Times New Roman" w:cs="Times New Roman"/>
                <w:spacing w:val="4"/>
                <w:sz w:val="20"/>
                <w:szCs w:val="20"/>
              </w:rPr>
              <w:t>]</w:t>
            </w:r>
            <w:r>
              <w:rPr>
                <w:rFonts w:ascii="宋体" w:hAnsi="宋体" w:eastAsia="宋体" w:cs="宋体"/>
                <w:spacing w:val="4"/>
                <w:sz w:val="20"/>
                <w:szCs w:val="20"/>
              </w:rPr>
              <w:t>蒽、茚并</w:t>
            </w:r>
            <w:r>
              <w:rPr>
                <w:rFonts w:ascii="Times New Roman" w:hAnsi="Times New Roman" w:eastAsia="Times New Roman" w:cs="Times New Roman"/>
                <w:spacing w:val="4"/>
                <w:sz w:val="20"/>
                <w:szCs w:val="20"/>
              </w:rPr>
              <w:t>[1,2,3-</w:t>
            </w:r>
            <w:r>
              <w:rPr>
                <w:rFonts w:ascii="Times New Roman" w:hAnsi="Times New Roman" w:eastAsia="Times New Roman" w:cs="Times New Roman"/>
                <w:sz w:val="20"/>
                <w:szCs w:val="20"/>
              </w:rPr>
              <w:t>cd</w:t>
            </w:r>
            <w:r>
              <w:rPr>
                <w:rFonts w:ascii="Times New Roman" w:hAnsi="Times New Roman" w:eastAsia="Times New Roman" w:cs="Times New Roman"/>
                <w:spacing w:val="4"/>
                <w:sz w:val="20"/>
                <w:szCs w:val="20"/>
              </w:rPr>
              <w:t>]</w:t>
            </w:r>
            <w:r>
              <w:rPr>
                <w:rFonts w:ascii="Times New Roman" w:hAnsi="Times New Roman" w:eastAsia="Times New Roman" w:cs="Times New Roman"/>
                <w:sz w:val="20"/>
                <w:szCs w:val="20"/>
              </w:rPr>
              <w:t xml:space="preserve"> </w:t>
            </w:r>
            <w:r>
              <w:rPr>
                <w:rFonts w:ascii="宋体" w:hAnsi="宋体" w:eastAsia="宋体" w:cs="宋体"/>
                <w:spacing w:val="7"/>
                <w:sz w:val="20"/>
                <w:szCs w:val="20"/>
              </w:rPr>
              <w:t>芘、萘、土壤含盐</w:t>
            </w:r>
            <w:r>
              <w:rPr>
                <w:rFonts w:ascii="宋体" w:hAnsi="宋体" w:eastAsia="宋体" w:cs="宋体"/>
                <w:spacing w:val="5"/>
                <w:sz w:val="20"/>
                <w:szCs w:val="20"/>
              </w:rPr>
              <w:t>量</w:t>
            </w:r>
          </w:p>
        </w:tc>
        <w:tc>
          <w:tcPr>
            <w:tcW w:w="914" w:type="dxa"/>
            <w:tcBorders>
              <w:right w:val="nil"/>
            </w:tcBorders>
            <w:vAlign w:val="top"/>
          </w:tcPr>
          <w:p w14:paraId="7697AE4C">
            <w:pPr>
              <w:rPr>
                <w:rFonts w:ascii="Arial"/>
                <w:sz w:val="21"/>
              </w:rPr>
            </w:pPr>
          </w:p>
        </w:tc>
      </w:tr>
      <w:tr w14:paraId="56BB7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4" w:hRule="atLeast"/>
        </w:trPr>
        <w:tc>
          <w:tcPr>
            <w:tcW w:w="502" w:type="dxa"/>
            <w:vMerge w:val="restart"/>
            <w:tcBorders>
              <w:left w:val="nil"/>
              <w:bottom w:val="nil"/>
            </w:tcBorders>
            <w:vAlign w:val="top"/>
          </w:tcPr>
          <w:p w14:paraId="3D3677A0">
            <w:pPr>
              <w:spacing w:line="258" w:lineRule="auto"/>
              <w:rPr>
                <w:rFonts w:ascii="Arial"/>
                <w:sz w:val="21"/>
              </w:rPr>
            </w:pPr>
          </w:p>
          <w:p w14:paraId="05A3F622">
            <w:pPr>
              <w:spacing w:line="258" w:lineRule="auto"/>
              <w:rPr>
                <w:rFonts w:ascii="Arial"/>
                <w:sz w:val="21"/>
              </w:rPr>
            </w:pPr>
          </w:p>
          <w:p w14:paraId="31C55DE4">
            <w:pPr>
              <w:spacing w:line="258" w:lineRule="auto"/>
              <w:rPr>
                <w:rFonts w:ascii="Arial"/>
                <w:sz w:val="21"/>
              </w:rPr>
            </w:pPr>
          </w:p>
          <w:p w14:paraId="62249FA7">
            <w:pPr>
              <w:spacing w:line="258" w:lineRule="auto"/>
              <w:rPr>
                <w:rFonts w:ascii="Arial"/>
                <w:sz w:val="21"/>
              </w:rPr>
            </w:pPr>
          </w:p>
          <w:p w14:paraId="7D29BC9A">
            <w:pPr>
              <w:spacing w:line="259" w:lineRule="auto"/>
              <w:rPr>
                <w:rFonts w:ascii="Arial"/>
                <w:sz w:val="21"/>
              </w:rPr>
            </w:pPr>
          </w:p>
          <w:p w14:paraId="01FA6477">
            <w:pPr>
              <w:spacing w:line="259" w:lineRule="auto"/>
              <w:rPr>
                <w:rFonts w:ascii="Arial"/>
                <w:sz w:val="21"/>
              </w:rPr>
            </w:pPr>
          </w:p>
          <w:p w14:paraId="7766F105">
            <w:pPr>
              <w:spacing w:before="65" w:line="300" w:lineRule="auto"/>
              <w:ind w:left="48" w:right="40" w:firstLine="2"/>
              <w:rPr>
                <w:rFonts w:ascii="宋体" w:hAnsi="宋体" w:eastAsia="宋体" w:cs="宋体"/>
                <w:sz w:val="20"/>
                <w:szCs w:val="20"/>
              </w:rPr>
            </w:pPr>
            <w:r>
              <w:rPr>
                <w:rFonts w:ascii="宋体" w:hAnsi="宋体" w:eastAsia="宋体" w:cs="宋体"/>
                <w:spacing w:val="4"/>
                <w:sz w:val="20"/>
                <w:szCs w:val="20"/>
              </w:rPr>
              <w:t>现</w:t>
            </w:r>
            <w:r>
              <w:rPr>
                <w:rFonts w:ascii="宋体" w:hAnsi="宋体" w:eastAsia="宋体" w:cs="宋体"/>
                <w:spacing w:val="3"/>
                <w:sz w:val="20"/>
                <w:szCs w:val="20"/>
              </w:rPr>
              <w:t>状</w:t>
            </w:r>
            <w:r>
              <w:rPr>
                <w:rFonts w:ascii="宋体" w:hAnsi="宋体" w:eastAsia="宋体" w:cs="宋体"/>
                <w:sz w:val="20"/>
                <w:szCs w:val="20"/>
              </w:rPr>
              <w:t xml:space="preserve"> </w:t>
            </w:r>
            <w:r>
              <w:rPr>
                <w:rFonts w:ascii="宋体" w:hAnsi="宋体" w:eastAsia="宋体" w:cs="宋体"/>
                <w:spacing w:val="5"/>
                <w:sz w:val="20"/>
                <w:szCs w:val="20"/>
              </w:rPr>
              <w:t>评价</w:t>
            </w:r>
          </w:p>
        </w:tc>
        <w:tc>
          <w:tcPr>
            <w:tcW w:w="1665" w:type="dxa"/>
            <w:vAlign w:val="top"/>
          </w:tcPr>
          <w:p w14:paraId="078E7863">
            <w:pPr>
              <w:spacing w:line="277" w:lineRule="auto"/>
              <w:rPr>
                <w:rFonts w:ascii="Arial"/>
                <w:sz w:val="21"/>
              </w:rPr>
            </w:pPr>
          </w:p>
          <w:p w14:paraId="33CE00F4">
            <w:pPr>
              <w:spacing w:line="277" w:lineRule="auto"/>
              <w:rPr>
                <w:rFonts w:ascii="Arial"/>
                <w:sz w:val="21"/>
              </w:rPr>
            </w:pPr>
          </w:p>
          <w:p w14:paraId="1E444DEE">
            <w:pPr>
              <w:spacing w:line="277" w:lineRule="auto"/>
              <w:rPr>
                <w:rFonts w:ascii="Arial"/>
                <w:sz w:val="21"/>
              </w:rPr>
            </w:pPr>
          </w:p>
          <w:p w14:paraId="3C43D84A">
            <w:pPr>
              <w:spacing w:line="277" w:lineRule="auto"/>
              <w:rPr>
                <w:rFonts w:ascii="Arial"/>
                <w:sz w:val="21"/>
              </w:rPr>
            </w:pPr>
          </w:p>
          <w:p w14:paraId="77EDC618">
            <w:pPr>
              <w:spacing w:line="277" w:lineRule="auto"/>
              <w:rPr>
                <w:rFonts w:ascii="Arial"/>
                <w:sz w:val="21"/>
              </w:rPr>
            </w:pPr>
          </w:p>
          <w:p w14:paraId="0E40F6A8">
            <w:pPr>
              <w:spacing w:before="65" w:line="226" w:lineRule="auto"/>
              <w:ind w:left="417"/>
              <w:rPr>
                <w:rFonts w:ascii="宋体" w:hAnsi="宋体" w:eastAsia="宋体" w:cs="宋体"/>
                <w:sz w:val="20"/>
                <w:szCs w:val="20"/>
              </w:rPr>
            </w:pPr>
            <w:r>
              <w:rPr>
                <w:rFonts w:ascii="宋体" w:hAnsi="宋体" w:eastAsia="宋体" w:cs="宋体"/>
                <w:spacing w:val="9"/>
                <w:sz w:val="20"/>
                <w:szCs w:val="20"/>
              </w:rPr>
              <w:t>评</w:t>
            </w:r>
            <w:r>
              <w:rPr>
                <w:rFonts w:ascii="宋体" w:hAnsi="宋体" w:eastAsia="宋体" w:cs="宋体"/>
                <w:spacing w:val="7"/>
                <w:sz w:val="20"/>
                <w:szCs w:val="20"/>
              </w:rPr>
              <w:t>价因子</w:t>
            </w:r>
          </w:p>
        </w:tc>
        <w:tc>
          <w:tcPr>
            <w:tcW w:w="5234" w:type="dxa"/>
            <w:gridSpan w:val="4"/>
            <w:vAlign w:val="top"/>
          </w:tcPr>
          <w:p w14:paraId="58228CC2">
            <w:pPr>
              <w:spacing w:before="51" w:line="283" w:lineRule="auto"/>
              <w:ind w:left="31" w:hanging="4"/>
              <w:rPr>
                <w:rFonts w:ascii="宋体" w:hAnsi="宋体" w:eastAsia="宋体" w:cs="宋体"/>
                <w:sz w:val="20"/>
                <w:szCs w:val="20"/>
              </w:rPr>
            </w:pPr>
            <w:r>
              <w:rPr>
                <w:rFonts w:ascii="Times New Roman" w:hAnsi="Times New Roman" w:eastAsia="Times New Roman" w:cs="Times New Roman"/>
                <w:sz w:val="20"/>
                <w:szCs w:val="20"/>
              </w:rPr>
              <w:t>PH</w:t>
            </w:r>
            <w:r>
              <w:rPr>
                <w:rFonts w:ascii="Times New Roman" w:hAnsi="Times New Roman" w:eastAsia="Times New Roman" w:cs="Times New Roman"/>
                <w:spacing w:val="6"/>
                <w:sz w:val="20"/>
                <w:szCs w:val="20"/>
              </w:rPr>
              <w:t xml:space="preserve"> </w:t>
            </w:r>
            <w:r>
              <w:rPr>
                <w:rFonts w:ascii="宋体" w:hAnsi="宋体" w:eastAsia="宋体" w:cs="宋体"/>
                <w:spacing w:val="6"/>
                <w:sz w:val="20"/>
                <w:szCs w:val="20"/>
              </w:rPr>
              <w:t xml:space="preserve">、铬 </w:t>
            </w:r>
            <w:r>
              <w:rPr>
                <w:rFonts w:ascii="宋体" w:hAnsi="宋体" w:eastAsia="宋体" w:cs="宋体"/>
                <w:spacing w:val="5"/>
                <w:sz w:val="20"/>
                <w:szCs w:val="20"/>
              </w:rPr>
              <w:t>(</w:t>
            </w:r>
            <w:r>
              <w:rPr>
                <w:rFonts w:ascii="宋体" w:hAnsi="宋体" w:eastAsia="宋体" w:cs="宋体"/>
                <w:spacing w:val="3"/>
                <w:sz w:val="20"/>
                <w:szCs w:val="20"/>
              </w:rPr>
              <w:t>六价) 、镉、汞、砷、铅、铜、镍、四氯化碳、</w:t>
            </w:r>
            <w:r>
              <w:rPr>
                <w:rFonts w:ascii="宋体" w:hAnsi="宋体" w:eastAsia="宋体" w:cs="宋体"/>
                <w:sz w:val="20"/>
                <w:szCs w:val="20"/>
              </w:rPr>
              <w:t xml:space="preserve"> </w:t>
            </w:r>
            <w:r>
              <w:rPr>
                <w:rFonts w:ascii="宋体" w:hAnsi="宋体" w:eastAsia="宋体" w:cs="宋体"/>
                <w:spacing w:val="4"/>
                <w:sz w:val="20"/>
                <w:szCs w:val="20"/>
              </w:rPr>
              <w:t>氯仿、</w:t>
            </w:r>
            <w:r>
              <w:rPr>
                <w:rFonts w:ascii="宋体" w:hAnsi="宋体" w:eastAsia="宋体" w:cs="宋体"/>
                <w:spacing w:val="2"/>
                <w:sz w:val="20"/>
                <w:szCs w:val="20"/>
              </w:rPr>
              <w:t>氯甲烷、</w:t>
            </w:r>
            <w:r>
              <w:rPr>
                <w:rFonts w:ascii="Times New Roman" w:hAnsi="Times New Roman" w:eastAsia="Times New Roman" w:cs="Times New Roman"/>
                <w:spacing w:val="2"/>
                <w:sz w:val="20"/>
                <w:szCs w:val="20"/>
              </w:rPr>
              <w:t>1, 1-</w:t>
            </w:r>
            <w:r>
              <w:rPr>
                <w:rFonts w:ascii="宋体" w:hAnsi="宋体" w:eastAsia="宋体" w:cs="宋体"/>
                <w:spacing w:val="2"/>
                <w:sz w:val="20"/>
                <w:szCs w:val="20"/>
              </w:rPr>
              <w:t>二氯乙烷、</w:t>
            </w:r>
            <w:r>
              <w:rPr>
                <w:rFonts w:ascii="Times New Roman" w:hAnsi="Times New Roman" w:eastAsia="Times New Roman" w:cs="Times New Roman"/>
                <w:spacing w:val="2"/>
                <w:sz w:val="20"/>
                <w:szCs w:val="20"/>
              </w:rPr>
              <w:t>1,2-</w:t>
            </w:r>
            <w:r>
              <w:rPr>
                <w:rFonts w:ascii="宋体" w:hAnsi="宋体" w:eastAsia="宋体" w:cs="宋体"/>
                <w:spacing w:val="2"/>
                <w:sz w:val="20"/>
                <w:szCs w:val="20"/>
              </w:rPr>
              <w:t>二氯乙烷、</w:t>
            </w:r>
            <w:r>
              <w:rPr>
                <w:rFonts w:ascii="Times New Roman" w:hAnsi="Times New Roman" w:eastAsia="Times New Roman" w:cs="Times New Roman"/>
                <w:spacing w:val="2"/>
                <w:sz w:val="20"/>
                <w:szCs w:val="20"/>
              </w:rPr>
              <w:t>1, 1-</w:t>
            </w:r>
            <w:r>
              <w:rPr>
                <w:rFonts w:ascii="宋体" w:hAnsi="宋体" w:eastAsia="宋体" w:cs="宋体"/>
                <w:spacing w:val="2"/>
                <w:sz w:val="20"/>
                <w:szCs w:val="20"/>
              </w:rPr>
              <w:t>二氯乙</w:t>
            </w:r>
            <w:r>
              <w:rPr>
                <w:rFonts w:ascii="宋体" w:hAnsi="宋体" w:eastAsia="宋体" w:cs="宋体"/>
                <w:sz w:val="20"/>
                <w:szCs w:val="20"/>
              </w:rPr>
              <w:t xml:space="preserve"> </w:t>
            </w:r>
            <w:r>
              <w:rPr>
                <w:rFonts w:ascii="宋体" w:hAnsi="宋体" w:eastAsia="宋体" w:cs="宋体"/>
                <w:spacing w:val="7"/>
                <w:sz w:val="20"/>
                <w:szCs w:val="20"/>
              </w:rPr>
              <w:t>烯</w:t>
            </w:r>
            <w:r>
              <w:rPr>
                <w:rFonts w:ascii="宋体" w:hAnsi="宋体" w:eastAsia="宋体" w:cs="宋体"/>
                <w:spacing w:val="4"/>
                <w:sz w:val="20"/>
                <w:szCs w:val="20"/>
              </w:rPr>
              <w:t>、顺</w:t>
            </w:r>
            <w:r>
              <w:rPr>
                <w:rFonts w:ascii="Times New Roman" w:hAnsi="Times New Roman" w:eastAsia="Times New Roman" w:cs="Times New Roman"/>
                <w:spacing w:val="4"/>
                <w:sz w:val="20"/>
                <w:szCs w:val="20"/>
              </w:rPr>
              <w:t>- 1,2-</w:t>
            </w:r>
            <w:r>
              <w:rPr>
                <w:rFonts w:ascii="宋体" w:hAnsi="宋体" w:eastAsia="宋体" w:cs="宋体"/>
                <w:spacing w:val="4"/>
                <w:sz w:val="20"/>
                <w:szCs w:val="20"/>
              </w:rPr>
              <w:t>二氯乙烯、反</w:t>
            </w:r>
            <w:r>
              <w:rPr>
                <w:rFonts w:ascii="Times New Roman" w:hAnsi="Times New Roman" w:eastAsia="Times New Roman" w:cs="Times New Roman"/>
                <w:spacing w:val="4"/>
                <w:sz w:val="20"/>
                <w:szCs w:val="20"/>
              </w:rPr>
              <w:t>- 1,2-</w:t>
            </w:r>
            <w:r>
              <w:rPr>
                <w:rFonts w:ascii="宋体" w:hAnsi="宋体" w:eastAsia="宋体" w:cs="宋体"/>
                <w:spacing w:val="4"/>
                <w:sz w:val="20"/>
                <w:szCs w:val="20"/>
              </w:rPr>
              <w:t>二氯乙烯、二氯甲烷、</w:t>
            </w:r>
            <w:r>
              <w:rPr>
                <w:rFonts w:ascii="Times New Roman" w:hAnsi="Times New Roman" w:eastAsia="Times New Roman" w:cs="Times New Roman"/>
                <w:spacing w:val="4"/>
                <w:sz w:val="20"/>
                <w:szCs w:val="20"/>
              </w:rPr>
              <w:t>1,2-</w:t>
            </w:r>
            <w:r>
              <w:rPr>
                <w:rFonts w:ascii="Times New Roman" w:hAnsi="Times New Roman" w:eastAsia="Times New Roman" w:cs="Times New Roman"/>
                <w:sz w:val="20"/>
                <w:szCs w:val="20"/>
              </w:rPr>
              <w:t xml:space="preserve"> </w:t>
            </w:r>
            <w:r>
              <w:rPr>
                <w:rFonts w:ascii="宋体" w:hAnsi="宋体" w:eastAsia="宋体" w:cs="宋体"/>
                <w:spacing w:val="1"/>
                <w:sz w:val="20"/>
                <w:szCs w:val="20"/>
              </w:rPr>
              <w:t>二氯丙烷、</w:t>
            </w:r>
            <w:r>
              <w:rPr>
                <w:rFonts w:ascii="Times New Roman" w:hAnsi="Times New Roman" w:eastAsia="Times New Roman" w:cs="Times New Roman"/>
                <w:spacing w:val="1"/>
                <w:sz w:val="20"/>
                <w:szCs w:val="20"/>
              </w:rPr>
              <w:t xml:space="preserve">1, 1, 1,2- </w:t>
            </w:r>
            <w:r>
              <w:rPr>
                <w:rFonts w:ascii="宋体" w:hAnsi="宋体" w:eastAsia="宋体" w:cs="宋体"/>
                <w:spacing w:val="1"/>
                <w:sz w:val="20"/>
                <w:szCs w:val="20"/>
              </w:rPr>
              <w:t>四氯乙烷、</w:t>
            </w:r>
            <w:r>
              <w:rPr>
                <w:rFonts w:ascii="Times New Roman" w:hAnsi="Times New Roman" w:eastAsia="Times New Roman" w:cs="Times New Roman"/>
                <w:spacing w:val="1"/>
                <w:sz w:val="20"/>
                <w:szCs w:val="20"/>
              </w:rPr>
              <w:t xml:space="preserve">1, 1,2,2- </w:t>
            </w:r>
            <w:r>
              <w:rPr>
                <w:rFonts w:ascii="宋体" w:hAnsi="宋体" w:eastAsia="宋体" w:cs="宋体"/>
                <w:spacing w:val="1"/>
                <w:sz w:val="20"/>
                <w:szCs w:val="20"/>
              </w:rPr>
              <w:t>四氯乙烷、四氯</w:t>
            </w:r>
            <w:r>
              <w:rPr>
                <w:rFonts w:ascii="宋体" w:hAnsi="宋体" w:eastAsia="宋体" w:cs="宋体"/>
                <w:sz w:val="20"/>
                <w:szCs w:val="20"/>
              </w:rPr>
              <w:t xml:space="preserve">乙 </w:t>
            </w:r>
            <w:r>
              <w:rPr>
                <w:rFonts w:ascii="宋体" w:hAnsi="宋体" w:eastAsia="宋体" w:cs="宋体"/>
                <w:spacing w:val="8"/>
                <w:sz w:val="20"/>
                <w:szCs w:val="20"/>
              </w:rPr>
              <w:t>烯、</w:t>
            </w:r>
            <w:r>
              <w:rPr>
                <w:rFonts w:ascii="Times New Roman" w:hAnsi="Times New Roman" w:eastAsia="Times New Roman" w:cs="Times New Roman"/>
                <w:spacing w:val="8"/>
                <w:sz w:val="20"/>
                <w:szCs w:val="20"/>
              </w:rPr>
              <w:t xml:space="preserve">1, </w:t>
            </w:r>
            <w:r>
              <w:rPr>
                <w:rFonts w:ascii="Times New Roman" w:hAnsi="Times New Roman" w:eastAsia="Times New Roman" w:cs="Times New Roman"/>
                <w:spacing w:val="6"/>
                <w:sz w:val="20"/>
                <w:szCs w:val="20"/>
              </w:rPr>
              <w:t>1</w:t>
            </w:r>
            <w:r>
              <w:rPr>
                <w:rFonts w:ascii="Times New Roman" w:hAnsi="Times New Roman" w:eastAsia="Times New Roman" w:cs="Times New Roman"/>
                <w:spacing w:val="4"/>
                <w:sz w:val="20"/>
                <w:szCs w:val="20"/>
              </w:rPr>
              <w:t>, 1-</w:t>
            </w:r>
            <w:r>
              <w:rPr>
                <w:rFonts w:ascii="宋体" w:hAnsi="宋体" w:eastAsia="宋体" w:cs="宋体"/>
                <w:spacing w:val="4"/>
                <w:sz w:val="20"/>
                <w:szCs w:val="20"/>
              </w:rPr>
              <w:t>三氯乙烷、</w:t>
            </w:r>
            <w:r>
              <w:rPr>
                <w:rFonts w:ascii="Times New Roman" w:hAnsi="Times New Roman" w:eastAsia="Times New Roman" w:cs="Times New Roman"/>
                <w:spacing w:val="4"/>
                <w:sz w:val="20"/>
                <w:szCs w:val="20"/>
              </w:rPr>
              <w:t>1, 1,2-</w:t>
            </w:r>
            <w:r>
              <w:rPr>
                <w:rFonts w:ascii="宋体" w:hAnsi="宋体" w:eastAsia="宋体" w:cs="宋体"/>
                <w:spacing w:val="4"/>
                <w:sz w:val="20"/>
                <w:szCs w:val="20"/>
              </w:rPr>
              <w:t>三氯乙烷、三氯乙烯、</w:t>
            </w:r>
            <w:r>
              <w:rPr>
                <w:rFonts w:ascii="Times New Roman" w:hAnsi="Times New Roman" w:eastAsia="Times New Roman" w:cs="Times New Roman"/>
                <w:spacing w:val="4"/>
                <w:sz w:val="20"/>
                <w:szCs w:val="20"/>
              </w:rPr>
              <w:t>1,2,3-</w:t>
            </w:r>
            <w:r>
              <w:rPr>
                <w:rFonts w:ascii="Times New Roman" w:hAnsi="Times New Roman" w:eastAsia="Times New Roman" w:cs="Times New Roman"/>
                <w:sz w:val="20"/>
                <w:szCs w:val="20"/>
              </w:rPr>
              <w:t xml:space="preserve"> </w:t>
            </w:r>
            <w:r>
              <w:rPr>
                <w:rFonts w:ascii="宋体" w:hAnsi="宋体" w:eastAsia="宋体" w:cs="宋体"/>
                <w:spacing w:val="10"/>
                <w:sz w:val="20"/>
                <w:szCs w:val="20"/>
              </w:rPr>
              <w:t>三氯</w:t>
            </w:r>
            <w:r>
              <w:rPr>
                <w:rFonts w:ascii="宋体" w:hAnsi="宋体" w:eastAsia="宋体" w:cs="宋体"/>
                <w:spacing w:val="8"/>
                <w:sz w:val="20"/>
                <w:szCs w:val="20"/>
              </w:rPr>
              <w:t>丙</w:t>
            </w:r>
            <w:r>
              <w:rPr>
                <w:rFonts w:ascii="宋体" w:hAnsi="宋体" w:eastAsia="宋体" w:cs="宋体"/>
                <w:spacing w:val="5"/>
                <w:sz w:val="20"/>
                <w:szCs w:val="20"/>
              </w:rPr>
              <w:t>烷、氯乙烯、苯、氯苯、</w:t>
            </w:r>
            <w:r>
              <w:rPr>
                <w:rFonts w:ascii="Times New Roman" w:hAnsi="Times New Roman" w:eastAsia="Times New Roman" w:cs="Times New Roman"/>
                <w:spacing w:val="5"/>
                <w:sz w:val="20"/>
                <w:szCs w:val="20"/>
              </w:rPr>
              <w:t>1,2-</w:t>
            </w:r>
            <w:r>
              <w:rPr>
                <w:rFonts w:ascii="宋体" w:hAnsi="宋体" w:eastAsia="宋体" w:cs="宋体"/>
                <w:spacing w:val="5"/>
                <w:sz w:val="20"/>
                <w:szCs w:val="20"/>
              </w:rPr>
              <w:t>二氯苯、</w:t>
            </w:r>
            <w:r>
              <w:rPr>
                <w:rFonts w:ascii="Times New Roman" w:hAnsi="Times New Roman" w:eastAsia="Times New Roman" w:cs="Times New Roman"/>
                <w:spacing w:val="5"/>
                <w:sz w:val="20"/>
                <w:szCs w:val="20"/>
              </w:rPr>
              <w:t>1,4-</w:t>
            </w:r>
            <w:r>
              <w:rPr>
                <w:rFonts w:ascii="宋体" w:hAnsi="宋体" w:eastAsia="宋体" w:cs="宋体"/>
                <w:spacing w:val="5"/>
                <w:sz w:val="20"/>
                <w:szCs w:val="20"/>
              </w:rPr>
              <w:t>二氯苯、</w:t>
            </w:r>
            <w:r>
              <w:rPr>
                <w:rFonts w:ascii="宋体" w:hAnsi="宋体" w:eastAsia="宋体" w:cs="宋体"/>
                <w:sz w:val="20"/>
                <w:szCs w:val="20"/>
              </w:rPr>
              <w:t xml:space="preserve"> </w:t>
            </w:r>
            <w:r>
              <w:rPr>
                <w:rFonts w:ascii="宋体" w:hAnsi="宋体" w:eastAsia="宋体" w:cs="宋体"/>
                <w:spacing w:val="5"/>
                <w:sz w:val="20"/>
                <w:szCs w:val="20"/>
              </w:rPr>
              <w:t>乙</w:t>
            </w:r>
            <w:r>
              <w:rPr>
                <w:rFonts w:ascii="宋体" w:hAnsi="宋体" w:eastAsia="宋体" w:cs="宋体"/>
                <w:spacing w:val="3"/>
                <w:sz w:val="20"/>
                <w:szCs w:val="20"/>
              </w:rPr>
              <w:t>苯、苯乙烯、 甲苯、间二甲苯</w:t>
            </w:r>
            <w:r>
              <w:rPr>
                <w:rFonts w:ascii="Times New Roman" w:hAnsi="Times New Roman" w:eastAsia="Times New Roman" w:cs="Times New Roman"/>
                <w:spacing w:val="3"/>
                <w:sz w:val="20"/>
                <w:szCs w:val="20"/>
              </w:rPr>
              <w:t>+</w:t>
            </w:r>
            <w:r>
              <w:rPr>
                <w:rFonts w:ascii="宋体" w:hAnsi="宋体" w:eastAsia="宋体" w:cs="宋体"/>
                <w:spacing w:val="3"/>
                <w:sz w:val="20"/>
                <w:szCs w:val="20"/>
              </w:rPr>
              <w:t>对二甲苯、邻二甲苯 、</w:t>
            </w:r>
            <w:r>
              <w:rPr>
                <w:rFonts w:ascii="宋体" w:hAnsi="宋体" w:eastAsia="宋体" w:cs="宋体"/>
                <w:sz w:val="20"/>
                <w:szCs w:val="20"/>
              </w:rPr>
              <w:t xml:space="preserve"> </w:t>
            </w:r>
            <w:r>
              <w:rPr>
                <w:rFonts w:ascii="宋体" w:hAnsi="宋体" w:eastAsia="宋体" w:cs="宋体"/>
                <w:spacing w:val="12"/>
                <w:sz w:val="20"/>
                <w:szCs w:val="20"/>
              </w:rPr>
              <w:t>硝</w:t>
            </w:r>
            <w:r>
              <w:rPr>
                <w:rFonts w:ascii="宋体" w:hAnsi="宋体" w:eastAsia="宋体" w:cs="宋体"/>
                <w:spacing w:val="10"/>
                <w:sz w:val="20"/>
                <w:szCs w:val="20"/>
              </w:rPr>
              <w:t>基苯、苯胺、</w:t>
            </w:r>
            <w:r>
              <w:rPr>
                <w:rFonts w:ascii="Times New Roman" w:hAnsi="Times New Roman" w:eastAsia="Times New Roman" w:cs="Times New Roman"/>
                <w:spacing w:val="10"/>
                <w:sz w:val="20"/>
                <w:szCs w:val="20"/>
              </w:rPr>
              <w:t>2-</w:t>
            </w:r>
            <w:r>
              <w:rPr>
                <w:rFonts w:ascii="宋体" w:hAnsi="宋体" w:eastAsia="宋体" w:cs="宋体"/>
                <w:spacing w:val="10"/>
                <w:sz w:val="20"/>
                <w:szCs w:val="20"/>
              </w:rPr>
              <w:t>氯酚、苯并</w:t>
            </w:r>
            <w:r>
              <w:rPr>
                <w:rFonts w:ascii="Times New Roman" w:hAnsi="Times New Roman" w:eastAsia="Times New Roman" w:cs="Times New Roman"/>
                <w:spacing w:val="10"/>
                <w:sz w:val="20"/>
                <w:szCs w:val="20"/>
              </w:rPr>
              <w:t>[</w:t>
            </w:r>
            <w:r>
              <w:rPr>
                <w:rFonts w:ascii="Times New Roman" w:hAnsi="Times New Roman" w:eastAsia="Times New Roman" w:cs="Times New Roman"/>
                <w:sz w:val="20"/>
                <w:szCs w:val="20"/>
              </w:rPr>
              <w:t>a</w:t>
            </w:r>
            <w:r>
              <w:rPr>
                <w:rFonts w:ascii="Times New Roman" w:hAnsi="Times New Roman" w:eastAsia="Times New Roman" w:cs="Times New Roman"/>
                <w:spacing w:val="10"/>
                <w:sz w:val="20"/>
                <w:szCs w:val="20"/>
              </w:rPr>
              <w:t>]</w:t>
            </w:r>
            <w:r>
              <w:rPr>
                <w:rFonts w:ascii="宋体" w:hAnsi="宋体" w:eastAsia="宋体" w:cs="宋体"/>
                <w:spacing w:val="10"/>
                <w:sz w:val="20"/>
                <w:szCs w:val="20"/>
              </w:rPr>
              <w:t>蒽、苯并</w:t>
            </w:r>
            <w:r>
              <w:rPr>
                <w:rFonts w:ascii="Times New Roman" w:hAnsi="Times New Roman" w:eastAsia="Times New Roman" w:cs="Times New Roman"/>
                <w:spacing w:val="10"/>
                <w:sz w:val="20"/>
                <w:szCs w:val="20"/>
              </w:rPr>
              <w:t>[</w:t>
            </w:r>
            <w:r>
              <w:rPr>
                <w:rFonts w:ascii="Times New Roman" w:hAnsi="Times New Roman" w:eastAsia="Times New Roman" w:cs="Times New Roman"/>
                <w:sz w:val="20"/>
                <w:szCs w:val="20"/>
              </w:rPr>
              <w:t>a</w:t>
            </w:r>
            <w:r>
              <w:rPr>
                <w:rFonts w:ascii="Times New Roman" w:hAnsi="Times New Roman" w:eastAsia="Times New Roman" w:cs="Times New Roman"/>
                <w:spacing w:val="10"/>
                <w:sz w:val="20"/>
                <w:szCs w:val="20"/>
              </w:rPr>
              <w:t>]</w:t>
            </w:r>
            <w:r>
              <w:rPr>
                <w:rFonts w:ascii="宋体" w:hAnsi="宋体" w:eastAsia="宋体" w:cs="宋体"/>
                <w:spacing w:val="10"/>
                <w:sz w:val="20"/>
                <w:szCs w:val="20"/>
              </w:rPr>
              <w:t>芘、苯并</w:t>
            </w:r>
            <w:r>
              <w:rPr>
                <w:rFonts w:ascii="Times New Roman" w:hAnsi="Times New Roman" w:eastAsia="Times New Roman" w:cs="Times New Roman"/>
                <w:spacing w:val="10"/>
                <w:sz w:val="20"/>
                <w:szCs w:val="20"/>
              </w:rPr>
              <w:t>[</w:t>
            </w:r>
            <w:r>
              <w:rPr>
                <w:rFonts w:ascii="Times New Roman" w:hAnsi="Times New Roman" w:eastAsia="Times New Roman" w:cs="Times New Roman"/>
                <w:sz w:val="20"/>
                <w:szCs w:val="20"/>
              </w:rPr>
              <w:t>b</w:t>
            </w:r>
            <w:r>
              <w:rPr>
                <w:rFonts w:ascii="Times New Roman" w:hAnsi="Times New Roman" w:eastAsia="Times New Roman" w:cs="Times New Roman"/>
                <w:spacing w:val="10"/>
                <w:sz w:val="20"/>
                <w:szCs w:val="20"/>
              </w:rPr>
              <w:t>]</w:t>
            </w:r>
            <w:r>
              <w:rPr>
                <w:rFonts w:ascii="Times New Roman" w:hAnsi="Times New Roman" w:eastAsia="Times New Roman" w:cs="Times New Roman"/>
                <w:sz w:val="20"/>
                <w:szCs w:val="20"/>
              </w:rPr>
              <w:t xml:space="preserve"> </w:t>
            </w:r>
            <w:r>
              <w:rPr>
                <w:rFonts w:ascii="宋体" w:hAnsi="宋体" w:eastAsia="宋体" w:cs="宋体"/>
                <w:spacing w:val="8"/>
                <w:sz w:val="20"/>
                <w:szCs w:val="20"/>
              </w:rPr>
              <w:t>荧蒽</w:t>
            </w:r>
            <w:r>
              <w:rPr>
                <w:rFonts w:ascii="宋体" w:hAnsi="宋体" w:eastAsia="宋体" w:cs="宋体"/>
                <w:spacing w:val="6"/>
                <w:sz w:val="20"/>
                <w:szCs w:val="20"/>
              </w:rPr>
              <w:t>、</w:t>
            </w:r>
            <w:r>
              <w:rPr>
                <w:rFonts w:ascii="宋体" w:hAnsi="宋体" w:eastAsia="宋体" w:cs="宋体"/>
                <w:spacing w:val="4"/>
                <w:sz w:val="20"/>
                <w:szCs w:val="20"/>
              </w:rPr>
              <w:t>苯并</w:t>
            </w:r>
            <w:r>
              <w:rPr>
                <w:rFonts w:ascii="Times New Roman" w:hAnsi="Times New Roman" w:eastAsia="Times New Roman" w:cs="Times New Roman"/>
                <w:spacing w:val="4"/>
                <w:sz w:val="20"/>
                <w:szCs w:val="20"/>
              </w:rPr>
              <w:t>[</w:t>
            </w:r>
            <w:r>
              <w:rPr>
                <w:rFonts w:ascii="Times New Roman" w:hAnsi="Times New Roman" w:eastAsia="Times New Roman" w:cs="Times New Roman"/>
                <w:sz w:val="20"/>
                <w:szCs w:val="20"/>
              </w:rPr>
              <w:t>k</w:t>
            </w:r>
            <w:r>
              <w:rPr>
                <w:rFonts w:ascii="Times New Roman" w:hAnsi="Times New Roman" w:eastAsia="Times New Roman" w:cs="Times New Roman"/>
                <w:spacing w:val="4"/>
                <w:sz w:val="20"/>
                <w:szCs w:val="20"/>
              </w:rPr>
              <w:t>]</w:t>
            </w:r>
            <w:r>
              <w:rPr>
                <w:rFonts w:ascii="宋体" w:hAnsi="宋体" w:eastAsia="宋体" w:cs="宋体"/>
                <w:spacing w:val="4"/>
                <w:sz w:val="20"/>
                <w:szCs w:val="20"/>
              </w:rPr>
              <w:t>荧蒽、䓛、二苯并</w:t>
            </w:r>
            <w:r>
              <w:rPr>
                <w:rFonts w:ascii="Times New Roman" w:hAnsi="Times New Roman" w:eastAsia="Times New Roman" w:cs="Times New Roman"/>
                <w:spacing w:val="4"/>
                <w:sz w:val="20"/>
                <w:szCs w:val="20"/>
              </w:rPr>
              <w:t>[</w:t>
            </w:r>
            <w:r>
              <w:rPr>
                <w:rFonts w:ascii="Times New Roman" w:hAnsi="Times New Roman" w:eastAsia="Times New Roman" w:cs="Times New Roman"/>
                <w:sz w:val="20"/>
                <w:szCs w:val="20"/>
              </w:rPr>
              <w:t>a</w:t>
            </w:r>
            <w:r>
              <w:rPr>
                <w:rFonts w:ascii="Times New Roman" w:hAnsi="Times New Roman" w:eastAsia="Times New Roman" w:cs="Times New Roman"/>
                <w:spacing w:val="4"/>
                <w:sz w:val="20"/>
                <w:szCs w:val="20"/>
              </w:rPr>
              <w:t xml:space="preserve"> </w:t>
            </w:r>
            <w:r>
              <w:rPr>
                <w:rFonts w:ascii="宋体" w:hAnsi="宋体" w:eastAsia="宋体" w:cs="宋体"/>
                <w:spacing w:val="4"/>
                <w:sz w:val="20"/>
                <w:szCs w:val="20"/>
              </w:rPr>
              <w:t>、</w:t>
            </w:r>
            <w:r>
              <w:rPr>
                <w:rFonts w:ascii="Times New Roman" w:hAnsi="Times New Roman" w:eastAsia="Times New Roman" w:cs="Times New Roman"/>
                <w:sz w:val="20"/>
                <w:szCs w:val="20"/>
              </w:rPr>
              <w:t>h</w:t>
            </w:r>
            <w:r>
              <w:rPr>
                <w:rFonts w:ascii="Times New Roman" w:hAnsi="Times New Roman" w:eastAsia="Times New Roman" w:cs="Times New Roman"/>
                <w:spacing w:val="4"/>
                <w:sz w:val="20"/>
                <w:szCs w:val="20"/>
              </w:rPr>
              <w:t>]</w:t>
            </w:r>
            <w:r>
              <w:rPr>
                <w:rFonts w:ascii="宋体" w:hAnsi="宋体" w:eastAsia="宋体" w:cs="宋体"/>
                <w:spacing w:val="4"/>
                <w:sz w:val="20"/>
                <w:szCs w:val="20"/>
              </w:rPr>
              <w:t>蒽、茚并</w:t>
            </w:r>
            <w:r>
              <w:rPr>
                <w:rFonts w:ascii="Times New Roman" w:hAnsi="Times New Roman" w:eastAsia="Times New Roman" w:cs="Times New Roman"/>
                <w:spacing w:val="4"/>
                <w:sz w:val="20"/>
                <w:szCs w:val="20"/>
              </w:rPr>
              <w:t>[1,2,3-</w:t>
            </w:r>
            <w:r>
              <w:rPr>
                <w:rFonts w:ascii="Times New Roman" w:hAnsi="Times New Roman" w:eastAsia="Times New Roman" w:cs="Times New Roman"/>
                <w:sz w:val="20"/>
                <w:szCs w:val="20"/>
              </w:rPr>
              <w:t>cd</w:t>
            </w:r>
            <w:r>
              <w:rPr>
                <w:rFonts w:ascii="Times New Roman" w:hAnsi="Times New Roman" w:eastAsia="Times New Roman" w:cs="Times New Roman"/>
                <w:spacing w:val="4"/>
                <w:sz w:val="20"/>
                <w:szCs w:val="20"/>
              </w:rPr>
              <w:t>]</w:t>
            </w:r>
            <w:r>
              <w:rPr>
                <w:rFonts w:ascii="Times New Roman" w:hAnsi="Times New Roman" w:eastAsia="Times New Roman" w:cs="Times New Roman"/>
                <w:sz w:val="20"/>
                <w:szCs w:val="20"/>
              </w:rPr>
              <w:t xml:space="preserve"> </w:t>
            </w:r>
            <w:r>
              <w:rPr>
                <w:rFonts w:ascii="宋体" w:hAnsi="宋体" w:eastAsia="宋体" w:cs="宋体"/>
                <w:spacing w:val="7"/>
                <w:sz w:val="20"/>
                <w:szCs w:val="20"/>
              </w:rPr>
              <w:t>芘、萘、土壤含盐</w:t>
            </w:r>
            <w:r>
              <w:rPr>
                <w:rFonts w:ascii="宋体" w:hAnsi="宋体" w:eastAsia="宋体" w:cs="宋体"/>
                <w:spacing w:val="5"/>
                <w:sz w:val="20"/>
                <w:szCs w:val="20"/>
              </w:rPr>
              <w:t>量</w:t>
            </w:r>
          </w:p>
        </w:tc>
        <w:tc>
          <w:tcPr>
            <w:tcW w:w="914" w:type="dxa"/>
            <w:tcBorders>
              <w:right w:val="nil"/>
            </w:tcBorders>
            <w:vAlign w:val="top"/>
          </w:tcPr>
          <w:p w14:paraId="400568C3">
            <w:pPr>
              <w:rPr>
                <w:rFonts w:ascii="Arial"/>
                <w:sz w:val="21"/>
              </w:rPr>
            </w:pPr>
          </w:p>
        </w:tc>
      </w:tr>
      <w:tr w14:paraId="0B257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02" w:type="dxa"/>
            <w:vMerge w:val="continue"/>
            <w:tcBorders>
              <w:top w:val="nil"/>
              <w:left w:val="nil"/>
              <w:bottom w:val="nil"/>
            </w:tcBorders>
            <w:vAlign w:val="top"/>
          </w:tcPr>
          <w:p w14:paraId="49CB96E0">
            <w:pPr>
              <w:rPr>
                <w:rFonts w:ascii="Arial"/>
                <w:sz w:val="21"/>
              </w:rPr>
            </w:pPr>
          </w:p>
        </w:tc>
        <w:tc>
          <w:tcPr>
            <w:tcW w:w="1665" w:type="dxa"/>
            <w:vAlign w:val="top"/>
          </w:tcPr>
          <w:p w14:paraId="50EA1B9F">
            <w:pPr>
              <w:spacing w:before="56" w:line="226" w:lineRule="auto"/>
              <w:ind w:left="417"/>
              <w:rPr>
                <w:rFonts w:ascii="宋体" w:hAnsi="宋体" w:eastAsia="宋体" w:cs="宋体"/>
                <w:sz w:val="20"/>
                <w:szCs w:val="20"/>
              </w:rPr>
            </w:pPr>
            <w:r>
              <w:rPr>
                <w:rFonts w:ascii="宋体" w:hAnsi="宋体" w:eastAsia="宋体" w:cs="宋体"/>
                <w:spacing w:val="9"/>
                <w:sz w:val="20"/>
                <w:szCs w:val="20"/>
              </w:rPr>
              <w:t>评</w:t>
            </w:r>
            <w:r>
              <w:rPr>
                <w:rFonts w:ascii="宋体" w:hAnsi="宋体" w:eastAsia="宋体" w:cs="宋体"/>
                <w:spacing w:val="7"/>
                <w:sz w:val="20"/>
                <w:szCs w:val="20"/>
              </w:rPr>
              <w:t>价标准</w:t>
            </w:r>
          </w:p>
        </w:tc>
        <w:tc>
          <w:tcPr>
            <w:tcW w:w="5234" w:type="dxa"/>
            <w:gridSpan w:val="4"/>
            <w:vAlign w:val="top"/>
          </w:tcPr>
          <w:p w14:paraId="65B09C99">
            <w:pPr>
              <w:spacing w:before="18" w:line="209" w:lineRule="auto"/>
              <w:ind w:left="31"/>
              <w:rPr>
                <w:rFonts w:ascii="宋体" w:hAnsi="宋体" w:eastAsia="宋体" w:cs="宋体"/>
                <w:sz w:val="20"/>
                <w:szCs w:val="20"/>
              </w:rPr>
            </w:pPr>
            <w:r>
              <w:rPr>
                <w:rFonts w:ascii="Times New Roman" w:hAnsi="Times New Roman" w:eastAsia="Times New Roman" w:cs="Times New Roman"/>
                <w:spacing w:val="-4"/>
                <w:sz w:val="20"/>
                <w:szCs w:val="20"/>
              </w:rPr>
              <w:t>GB 15618</w:t>
            </w:r>
            <w:r>
              <w:rPr>
                <w:position w:val="-4"/>
                <w:sz w:val="20"/>
                <w:szCs w:val="20"/>
              </w:rPr>
              <w:drawing>
                <wp:inline distT="0" distB="0" distL="0" distR="0">
                  <wp:extent cx="105410" cy="139700"/>
                  <wp:effectExtent l="0" t="0" r="0" b="0"/>
                  <wp:docPr id="160" name="IM 160"/>
                  <wp:cNvGraphicFramePr/>
                  <a:graphic xmlns:a="http://schemas.openxmlformats.org/drawingml/2006/main">
                    <a:graphicData uri="http://schemas.openxmlformats.org/drawingml/2006/picture">
                      <pic:pic xmlns:pic="http://schemas.openxmlformats.org/drawingml/2006/picture">
                        <pic:nvPicPr>
                          <pic:cNvPr id="160" name="IM 160"/>
                          <pic:cNvPicPr/>
                        </pic:nvPicPr>
                        <pic:blipFill>
                          <a:blip r:embed="rId541"/>
                          <a:stretch>
                            <a:fillRect/>
                          </a:stretch>
                        </pic:blipFill>
                        <pic:spPr>
                          <a:xfrm>
                            <a:off x="0" y="0"/>
                            <a:ext cx="106039" cy="139749"/>
                          </a:xfrm>
                          <a:prstGeom prst="rect">
                            <a:avLst/>
                          </a:prstGeom>
                        </pic:spPr>
                      </pic:pic>
                    </a:graphicData>
                  </a:graphic>
                </wp:inline>
              </w:drawing>
            </w:r>
            <w:r>
              <w:rPr>
                <w:rFonts w:ascii="宋体" w:hAnsi="宋体" w:eastAsia="宋体" w:cs="宋体"/>
                <w:spacing w:val="-4"/>
                <w:sz w:val="20"/>
                <w:szCs w:val="20"/>
              </w:rPr>
              <w:t>；</w:t>
            </w:r>
            <w:r>
              <w:rPr>
                <w:rFonts w:ascii="Times New Roman" w:hAnsi="Times New Roman" w:eastAsia="Times New Roman" w:cs="Times New Roman"/>
                <w:spacing w:val="-4"/>
                <w:sz w:val="20"/>
                <w:szCs w:val="20"/>
              </w:rPr>
              <w:t>GB 36600</w:t>
            </w:r>
            <w:r>
              <w:rPr>
                <w:rFonts w:ascii="微软雅黑" w:hAnsi="微软雅黑" w:eastAsia="微软雅黑" w:cs="微软雅黑"/>
                <w:spacing w:val="-4"/>
                <w:sz w:val="20"/>
                <w:szCs w:val="20"/>
              </w:rPr>
              <w:t>团</w:t>
            </w:r>
            <w:r>
              <w:rPr>
                <w:rFonts w:ascii="宋体" w:hAnsi="宋体" w:eastAsia="宋体" w:cs="宋体"/>
                <w:spacing w:val="-4"/>
                <w:sz w:val="20"/>
                <w:szCs w:val="20"/>
              </w:rPr>
              <w:t xml:space="preserve">；表 </w:t>
            </w:r>
            <w:r>
              <w:rPr>
                <w:rFonts w:ascii="Times New Roman" w:hAnsi="Times New Roman" w:eastAsia="Times New Roman" w:cs="Times New Roman"/>
                <w:spacing w:val="-1"/>
                <w:sz w:val="20"/>
                <w:szCs w:val="20"/>
              </w:rPr>
              <w:t>D</w:t>
            </w:r>
            <w:r>
              <w:rPr>
                <w:rFonts w:ascii="Times New Roman" w:hAnsi="Times New Roman" w:eastAsia="Times New Roman" w:cs="Times New Roman"/>
                <w:spacing w:val="-4"/>
                <w:sz w:val="20"/>
                <w:szCs w:val="20"/>
              </w:rPr>
              <w:t>. 1</w:t>
            </w:r>
            <w:r>
              <w:rPr>
                <w:position w:val="-4"/>
                <w:sz w:val="20"/>
                <w:szCs w:val="20"/>
              </w:rPr>
              <w:drawing>
                <wp:inline distT="0" distB="0" distL="0" distR="0">
                  <wp:extent cx="105410" cy="139700"/>
                  <wp:effectExtent l="0" t="0" r="0" b="0"/>
                  <wp:docPr id="161" name="IM 161"/>
                  <wp:cNvGraphicFramePr/>
                  <a:graphic xmlns:a="http://schemas.openxmlformats.org/drawingml/2006/main">
                    <a:graphicData uri="http://schemas.openxmlformats.org/drawingml/2006/picture">
                      <pic:pic xmlns:pic="http://schemas.openxmlformats.org/drawingml/2006/picture">
                        <pic:nvPicPr>
                          <pic:cNvPr id="161" name="IM 161"/>
                          <pic:cNvPicPr/>
                        </pic:nvPicPr>
                        <pic:blipFill>
                          <a:blip r:embed="rId541"/>
                          <a:stretch>
                            <a:fillRect/>
                          </a:stretch>
                        </pic:blipFill>
                        <pic:spPr>
                          <a:xfrm>
                            <a:off x="0" y="0"/>
                            <a:ext cx="106038" cy="139749"/>
                          </a:xfrm>
                          <a:prstGeom prst="rect">
                            <a:avLst/>
                          </a:prstGeom>
                        </pic:spPr>
                      </pic:pic>
                    </a:graphicData>
                  </a:graphic>
                </wp:inline>
              </w:drawing>
            </w:r>
            <w:r>
              <w:rPr>
                <w:rFonts w:ascii="Times New Roman" w:hAnsi="Times New Roman" w:eastAsia="Times New Roman" w:cs="Times New Roman"/>
                <w:spacing w:val="-4"/>
                <w:sz w:val="20"/>
                <w:szCs w:val="20"/>
              </w:rPr>
              <w:t xml:space="preserve"> </w:t>
            </w:r>
            <w:r>
              <w:rPr>
                <w:rFonts w:ascii="宋体" w:hAnsi="宋体" w:eastAsia="宋体" w:cs="宋体"/>
                <w:spacing w:val="-4"/>
                <w:sz w:val="20"/>
                <w:szCs w:val="20"/>
              </w:rPr>
              <w:t xml:space="preserve">；表 </w:t>
            </w:r>
            <w:r>
              <w:rPr>
                <w:rFonts w:ascii="Times New Roman" w:hAnsi="Times New Roman" w:eastAsia="Times New Roman" w:cs="Times New Roman"/>
                <w:sz w:val="20"/>
                <w:szCs w:val="20"/>
              </w:rPr>
              <w:t>D</w:t>
            </w:r>
            <w:r>
              <w:rPr>
                <w:rFonts w:ascii="Times New Roman" w:hAnsi="Times New Roman" w:eastAsia="Times New Roman" w:cs="Times New Roman"/>
                <w:spacing w:val="-4"/>
                <w:sz w:val="20"/>
                <w:szCs w:val="20"/>
              </w:rPr>
              <w:t>.2</w:t>
            </w:r>
            <w:r>
              <w:rPr>
                <w:position w:val="-4"/>
                <w:sz w:val="20"/>
                <w:szCs w:val="20"/>
              </w:rPr>
              <w:drawing>
                <wp:inline distT="0" distB="0" distL="0" distR="0">
                  <wp:extent cx="105410" cy="139700"/>
                  <wp:effectExtent l="0" t="0" r="0" b="0"/>
                  <wp:docPr id="162" name="IM 162"/>
                  <wp:cNvGraphicFramePr/>
                  <a:graphic xmlns:a="http://schemas.openxmlformats.org/drawingml/2006/main">
                    <a:graphicData uri="http://schemas.openxmlformats.org/drawingml/2006/picture">
                      <pic:pic xmlns:pic="http://schemas.openxmlformats.org/drawingml/2006/picture">
                        <pic:nvPicPr>
                          <pic:cNvPr id="162" name="IM 162"/>
                          <pic:cNvPicPr/>
                        </pic:nvPicPr>
                        <pic:blipFill>
                          <a:blip r:embed="rId541"/>
                          <a:stretch>
                            <a:fillRect/>
                          </a:stretch>
                        </pic:blipFill>
                        <pic:spPr>
                          <a:xfrm>
                            <a:off x="0" y="0"/>
                            <a:ext cx="106038" cy="139749"/>
                          </a:xfrm>
                          <a:prstGeom prst="rect">
                            <a:avLst/>
                          </a:prstGeom>
                        </pic:spPr>
                      </pic:pic>
                    </a:graphicData>
                  </a:graphic>
                </wp:inline>
              </w:drawing>
            </w:r>
            <w:r>
              <w:rPr>
                <w:rFonts w:ascii="Times New Roman" w:hAnsi="Times New Roman" w:eastAsia="Times New Roman" w:cs="Times New Roman"/>
                <w:spacing w:val="-4"/>
                <w:sz w:val="20"/>
                <w:szCs w:val="20"/>
              </w:rPr>
              <w:t xml:space="preserve"> </w:t>
            </w:r>
            <w:r>
              <w:rPr>
                <w:rFonts w:ascii="宋体" w:hAnsi="宋体" w:eastAsia="宋体" w:cs="宋体"/>
                <w:spacing w:val="-4"/>
                <w:sz w:val="20"/>
                <w:szCs w:val="20"/>
              </w:rPr>
              <w:t>；其他 (</w:t>
            </w:r>
            <w:r>
              <w:rPr>
                <w:rFonts w:ascii="Times New Roman" w:hAnsi="Times New Roman" w:eastAsia="Times New Roman" w:cs="Times New Roman"/>
                <w:spacing w:val="-4"/>
                <w:sz w:val="20"/>
                <w:szCs w:val="20"/>
              </w:rPr>
              <w:t>/</w:t>
            </w:r>
            <w:r>
              <w:rPr>
                <w:rFonts w:ascii="宋体" w:hAnsi="宋体" w:eastAsia="宋体" w:cs="宋体"/>
                <w:spacing w:val="-4"/>
                <w:sz w:val="20"/>
                <w:szCs w:val="20"/>
              </w:rPr>
              <w:t>)</w:t>
            </w:r>
          </w:p>
        </w:tc>
        <w:tc>
          <w:tcPr>
            <w:tcW w:w="914" w:type="dxa"/>
            <w:tcBorders>
              <w:right w:val="nil"/>
            </w:tcBorders>
            <w:vAlign w:val="top"/>
          </w:tcPr>
          <w:p w14:paraId="1ACA001E">
            <w:pPr>
              <w:rPr>
                <w:rFonts w:ascii="Arial"/>
                <w:sz w:val="21"/>
              </w:rPr>
            </w:pPr>
          </w:p>
        </w:tc>
      </w:tr>
      <w:tr w14:paraId="706B66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02" w:type="dxa"/>
            <w:vMerge w:val="continue"/>
            <w:tcBorders>
              <w:top w:val="nil"/>
              <w:left w:val="nil"/>
            </w:tcBorders>
            <w:vAlign w:val="top"/>
          </w:tcPr>
          <w:p w14:paraId="5AC40318">
            <w:pPr>
              <w:rPr>
                <w:rFonts w:ascii="Arial"/>
                <w:sz w:val="21"/>
              </w:rPr>
            </w:pPr>
          </w:p>
        </w:tc>
        <w:tc>
          <w:tcPr>
            <w:tcW w:w="1665" w:type="dxa"/>
            <w:vAlign w:val="top"/>
          </w:tcPr>
          <w:p w14:paraId="55303961">
            <w:pPr>
              <w:spacing w:before="55" w:line="226" w:lineRule="auto"/>
              <w:ind w:left="208"/>
              <w:rPr>
                <w:rFonts w:ascii="宋体" w:hAnsi="宋体" w:eastAsia="宋体" w:cs="宋体"/>
                <w:sz w:val="20"/>
                <w:szCs w:val="20"/>
              </w:rPr>
            </w:pPr>
            <w:r>
              <w:rPr>
                <w:rFonts w:ascii="宋体" w:hAnsi="宋体" w:eastAsia="宋体" w:cs="宋体"/>
                <w:spacing w:val="8"/>
                <w:sz w:val="20"/>
                <w:szCs w:val="20"/>
              </w:rPr>
              <w:t>现状评价结</w:t>
            </w:r>
            <w:r>
              <w:rPr>
                <w:rFonts w:ascii="宋体" w:hAnsi="宋体" w:eastAsia="宋体" w:cs="宋体"/>
                <w:spacing w:val="7"/>
                <w:sz w:val="20"/>
                <w:szCs w:val="20"/>
              </w:rPr>
              <w:t>论</w:t>
            </w:r>
          </w:p>
        </w:tc>
        <w:tc>
          <w:tcPr>
            <w:tcW w:w="5234" w:type="dxa"/>
            <w:gridSpan w:val="4"/>
            <w:vAlign w:val="top"/>
          </w:tcPr>
          <w:p w14:paraId="6E7E239A">
            <w:pPr>
              <w:spacing w:before="55" w:line="228" w:lineRule="auto"/>
              <w:ind w:left="2412"/>
              <w:rPr>
                <w:rFonts w:ascii="宋体" w:hAnsi="宋体" w:eastAsia="宋体" w:cs="宋体"/>
                <w:sz w:val="20"/>
                <w:szCs w:val="20"/>
              </w:rPr>
            </w:pPr>
            <w:r>
              <w:rPr>
                <w:rFonts w:ascii="宋体" w:hAnsi="宋体" w:eastAsia="宋体" w:cs="宋体"/>
                <w:spacing w:val="5"/>
                <w:sz w:val="20"/>
                <w:szCs w:val="20"/>
              </w:rPr>
              <w:t>达标</w:t>
            </w:r>
          </w:p>
        </w:tc>
        <w:tc>
          <w:tcPr>
            <w:tcW w:w="914" w:type="dxa"/>
            <w:tcBorders>
              <w:right w:val="nil"/>
            </w:tcBorders>
            <w:vAlign w:val="top"/>
          </w:tcPr>
          <w:p w14:paraId="766DD39D">
            <w:pPr>
              <w:rPr>
                <w:rFonts w:ascii="Arial"/>
                <w:sz w:val="21"/>
              </w:rPr>
            </w:pPr>
          </w:p>
        </w:tc>
      </w:tr>
      <w:tr w14:paraId="34CC0A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02" w:type="dxa"/>
            <w:vMerge w:val="restart"/>
            <w:tcBorders>
              <w:left w:val="nil"/>
              <w:bottom w:val="nil"/>
            </w:tcBorders>
            <w:vAlign w:val="top"/>
          </w:tcPr>
          <w:p w14:paraId="76452A3E">
            <w:pPr>
              <w:spacing w:line="312" w:lineRule="auto"/>
              <w:rPr>
                <w:rFonts w:ascii="Arial"/>
                <w:sz w:val="21"/>
              </w:rPr>
            </w:pPr>
          </w:p>
          <w:p w14:paraId="04263A3F">
            <w:pPr>
              <w:spacing w:line="312" w:lineRule="auto"/>
              <w:rPr>
                <w:rFonts w:ascii="Arial"/>
                <w:sz w:val="21"/>
              </w:rPr>
            </w:pPr>
          </w:p>
          <w:p w14:paraId="4FBFC2C8">
            <w:pPr>
              <w:spacing w:before="65" w:line="301" w:lineRule="auto"/>
              <w:ind w:left="50" w:right="40" w:hanging="1"/>
              <w:rPr>
                <w:rFonts w:ascii="宋体" w:hAnsi="宋体" w:eastAsia="宋体" w:cs="宋体"/>
                <w:sz w:val="20"/>
                <w:szCs w:val="20"/>
              </w:rPr>
            </w:pPr>
            <w:r>
              <w:rPr>
                <w:rFonts w:ascii="宋体" w:hAnsi="宋体" w:eastAsia="宋体" w:cs="宋体"/>
                <w:spacing w:val="5"/>
                <w:sz w:val="20"/>
                <w:szCs w:val="20"/>
              </w:rPr>
              <w:t>影</w:t>
            </w:r>
            <w:r>
              <w:rPr>
                <w:rFonts w:ascii="宋体" w:hAnsi="宋体" w:eastAsia="宋体" w:cs="宋体"/>
                <w:spacing w:val="4"/>
                <w:sz w:val="20"/>
                <w:szCs w:val="20"/>
              </w:rPr>
              <w:t>响</w:t>
            </w:r>
            <w:r>
              <w:rPr>
                <w:rFonts w:ascii="宋体" w:hAnsi="宋体" w:eastAsia="宋体" w:cs="宋体"/>
                <w:sz w:val="20"/>
                <w:szCs w:val="20"/>
              </w:rPr>
              <w:t xml:space="preserve"> </w:t>
            </w:r>
            <w:r>
              <w:rPr>
                <w:rFonts w:ascii="宋体" w:hAnsi="宋体" w:eastAsia="宋体" w:cs="宋体"/>
                <w:spacing w:val="4"/>
                <w:sz w:val="20"/>
                <w:szCs w:val="20"/>
              </w:rPr>
              <w:t>预</w:t>
            </w:r>
            <w:r>
              <w:rPr>
                <w:rFonts w:ascii="宋体" w:hAnsi="宋体" w:eastAsia="宋体" w:cs="宋体"/>
                <w:spacing w:val="3"/>
                <w:sz w:val="20"/>
                <w:szCs w:val="20"/>
              </w:rPr>
              <w:t>测</w:t>
            </w:r>
          </w:p>
        </w:tc>
        <w:tc>
          <w:tcPr>
            <w:tcW w:w="1665" w:type="dxa"/>
            <w:vAlign w:val="top"/>
          </w:tcPr>
          <w:p w14:paraId="41E0F3E4">
            <w:pPr>
              <w:spacing w:before="55" w:line="228" w:lineRule="auto"/>
              <w:ind w:left="419"/>
              <w:rPr>
                <w:rFonts w:ascii="宋体" w:hAnsi="宋体" w:eastAsia="宋体" w:cs="宋体"/>
                <w:sz w:val="20"/>
                <w:szCs w:val="20"/>
              </w:rPr>
            </w:pPr>
            <w:r>
              <w:rPr>
                <w:rFonts w:ascii="宋体" w:hAnsi="宋体" w:eastAsia="宋体" w:cs="宋体"/>
                <w:spacing w:val="7"/>
                <w:sz w:val="20"/>
                <w:szCs w:val="20"/>
              </w:rPr>
              <w:t>预测因</w:t>
            </w:r>
            <w:r>
              <w:rPr>
                <w:rFonts w:ascii="宋体" w:hAnsi="宋体" w:eastAsia="宋体" w:cs="宋体"/>
                <w:spacing w:val="6"/>
                <w:sz w:val="20"/>
                <w:szCs w:val="20"/>
              </w:rPr>
              <w:t>子</w:t>
            </w:r>
          </w:p>
        </w:tc>
        <w:tc>
          <w:tcPr>
            <w:tcW w:w="5234" w:type="dxa"/>
            <w:gridSpan w:val="4"/>
            <w:vAlign w:val="top"/>
          </w:tcPr>
          <w:p w14:paraId="6E3DF69B">
            <w:pPr>
              <w:spacing w:before="90" w:line="195" w:lineRule="auto"/>
              <w:ind w:left="251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S</w:t>
            </w:r>
            <w:r>
              <w:rPr>
                <w:rFonts w:ascii="Times New Roman" w:hAnsi="Times New Roman" w:eastAsia="Times New Roman" w:cs="Times New Roman"/>
                <w:spacing w:val="-2"/>
                <w:sz w:val="20"/>
                <w:szCs w:val="20"/>
              </w:rPr>
              <w:t>S</w:t>
            </w:r>
          </w:p>
        </w:tc>
        <w:tc>
          <w:tcPr>
            <w:tcW w:w="914" w:type="dxa"/>
            <w:tcBorders>
              <w:right w:val="nil"/>
            </w:tcBorders>
            <w:vAlign w:val="top"/>
          </w:tcPr>
          <w:p w14:paraId="0345E8DD">
            <w:pPr>
              <w:rPr>
                <w:rFonts w:ascii="Arial"/>
                <w:sz w:val="21"/>
              </w:rPr>
            </w:pPr>
          </w:p>
        </w:tc>
      </w:tr>
      <w:tr w14:paraId="347205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02" w:type="dxa"/>
            <w:vMerge w:val="continue"/>
            <w:tcBorders>
              <w:top w:val="nil"/>
              <w:left w:val="nil"/>
              <w:bottom w:val="nil"/>
            </w:tcBorders>
            <w:vAlign w:val="top"/>
          </w:tcPr>
          <w:p w14:paraId="6E236D78">
            <w:pPr>
              <w:rPr>
                <w:rFonts w:ascii="Arial"/>
                <w:sz w:val="21"/>
              </w:rPr>
            </w:pPr>
          </w:p>
        </w:tc>
        <w:tc>
          <w:tcPr>
            <w:tcW w:w="1665" w:type="dxa"/>
            <w:vAlign w:val="top"/>
          </w:tcPr>
          <w:p w14:paraId="11203010">
            <w:pPr>
              <w:spacing w:before="55" w:line="228" w:lineRule="auto"/>
              <w:ind w:left="419"/>
              <w:rPr>
                <w:rFonts w:ascii="宋体" w:hAnsi="宋体" w:eastAsia="宋体" w:cs="宋体"/>
                <w:sz w:val="20"/>
                <w:szCs w:val="20"/>
              </w:rPr>
            </w:pPr>
            <w:r>
              <w:rPr>
                <w:rFonts w:ascii="宋体" w:hAnsi="宋体" w:eastAsia="宋体" w:cs="宋体"/>
                <w:spacing w:val="7"/>
                <w:sz w:val="20"/>
                <w:szCs w:val="20"/>
              </w:rPr>
              <w:t>预测方</w:t>
            </w:r>
            <w:r>
              <w:rPr>
                <w:rFonts w:ascii="宋体" w:hAnsi="宋体" w:eastAsia="宋体" w:cs="宋体"/>
                <w:spacing w:val="6"/>
                <w:sz w:val="20"/>
                <w:szCs w:val="20"/>
              </w:rPr>
              <w:t>法</w:t>
            </w:r>
          </w:p>
        </w:tc>
        <w:tc>
          <w:tcPr>
            <w:tcW w:w="5234" w:type="dxa"/>
            <w:gridSpan w:val="4"/>
            <w:vAlign w:val="top"/>
          </w:tcPr>
          <w:p w14:paraId="7D318591">
            <w:pPr>
              <w:spacing w:before="54" w:line="227" w:lineRule="auto"/>
              <w:ind w:left="48"/>
              <w:rPr>
                <w:rFonts w:ascii="宋体" w:hAnsi="宋体" w:eastAsia="宋体" w:cs="宋体"/>
                <w:sz w:val="20"/>
                <w:szCs w:val="20"/>
              </w:rPr>
            </w:pPr>
            <w:r>
              <w:rPr>
                <w:rFonts w:ascii="宋体" w:hAnsi="宋体" w:eastAsia="宋体" w:cs="宋体"/>
                <w:spacing w:val="12"/>
                <w:sz w:val="20"/>
                <w:szCs w:val="20"/>
              </w:rPr>
              <w:t>附</w:t>
            </w:r>
            <w:r>
              <w:rPr>
                <w:rFonts w:ascii="宋体" w:hAnsi="宋体" w:eastAsia="宋体" w:cs="宋体"/>
                <w:spacing w:val="8"/>
                <w:sz w:val="20"/>
                <w:szCs w:val="20"/>
              </w:rPr>
              <w:t>录</w:t>
            </w:r>
            <w:r>
              <w:rPr>
                <w:rFonts w:ascii="Times New Roman" w:hAnsi="Times New Roman" w:eastAsia="Times New Roman" w:cs="Times New Roman"/>
                <w:sz w:val="20"/>
                <w:szCs w:val="20"/>
              </w:rPr>
              <w:t>E</w:t>
            </w:r>
            <w:r>
              <w:rPr>
                <w:rFonts w:ascii="Times New Roman" w:hAnsi="Times New Roman" w:eastAsia="Times New Roman" w:cs="Times New Roman"/>
                <w:spacing w:val="8"/>
                <w:sz w:val="20"/>
                <w:szCs w:val="20"/>
              </w:rPr>
              <w:t>□</w:t>
            </w:r>
            <w:r>
              <w:rPr>
                <w:rFonts w:ascii="宋体" w:hAnsi="宋体" w:eastAsia="宋体" w:cs="宋体"/>
                <w:spacing w:val="8"/>
                <w:sz w:val="20"/>
                <w:szCs w:val="20"/>
              </w:rPr>
              <w:t>；附录</w:t>
            </w:r>
            <w:r>
              <w:rPr>
                <w:rFonts w:ascii="Times New Roman" w:hAnsi="Times New Roman" w:eastAsia="Times New Roman" w:cs="Times New Roman"/>
                <w:sz w:val="20"/>
                <w:szCs w:val="20"/>
              </w:rPr>
              <w:t>F</w:t>
            </w:r>
            <w:r>
              <w:rPr>
                <w:rFonts w:ascii="Times New Roman" w:hAnsi="Times New Roman" w:eastAsia="Times New Roman" w:cs="Times New Roman"/>
                <w:spacing w:val="8"/>
                <w:sz w:val="20"/>
                <w:szCs w:val="20"/>
              </w:rPr>
              <w:t>□</w:t>
            </w:r>
            <w:r>
              <w:rPr>
                <w:rFonts w:ascii="宋体" w:hAnsi="宋体" w:eastAsia="宋体" w:cs="宋体"/>
                <w:spacing w:val="8"/>
                <w:sz w:val="20"/>
                <w:szCs w:val="20"/>
              </w:rPr>
              <w:t>；其他 (类别分析)</w:t>
            </w:r>
          </w:p>
        </w:tc>
        <w:tc>
          <w:tcPr>
            <w:tcW w:w="914" w:type="dxa"/>
            <w:tcBorders>
              <w:right w:val="nil"/>
            </w:tcBorders>
            <w:vAlign w:val="top"/>
          </w:tcPr>
          <w:p w14:paraId="1A63A66E">
            <w:pPr>
              <w:rPr>
                <w:rFonts w:ascii="Arial"/>
                <w:sz w:val="21"/>
              </w:rPr>
            </w:pPr>
          </w:p>
        </w:tc>
      </w:tr>
      <w:tr w14:paraId="6F094B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02" w:type="dxa"/>
            <w:vMerge w:val="continue"/>
            <w:tcBorders>
              <w:top w:val="nil"/>
              <w:left w:val="nil"/>
              <w:bottom w:val="nil"/>
            </w:tcBorders>
            <w:vAlign w:val="top"/>
          </w:tcPr>
          <w:p w14:paraId="5D952EFD">
            <w:pPr>
              <w:rPr>
                <w:rFonts w:ascii="Arial"/>
                <w:sz w:val="21"/>
              </w:rPr>
            </w:pPr>
          </w:p>
        </w:tc>
        <w:tc>
          <w:tcPr>
            <w:tcW w:w="1665" w:type="dxa"/>
            <w:vAlign w:val="top"/>
          </w:tcPr>
          <w:p w14:paraId="52E9D5C4">
            <w:pPr>
              <w:spacing w:before="209" w:line="228" w:lineRule="auto"/>
              <w:ind w:left="208"/>
              <w:rPr>
                <w:rFonts w:ascii="宋体" w:hAnsi="宋体" w:eastAsia="宋体" w:cs="宋体"/>
                <w:sz w:val="20"/>
                <w:szCs w:val="20"/>
              </w:rPr>
            </w:pPr>
            <w:r>
              <w:rPr>
                <w:rFonts w:ascii="宋体" w:hAnsi="宋体" w:eastAsia="宋体" w:cs="宋体"/>
                <w:spacing w:val="8"/>
                <w:sz w:val="20"/>
                <w:szCs w:val="20"/>
              </w:rPr>
              <w:t>预测分析内</w:t>
            </w:r>
            <w:r>
              <w:rPr>
                <w:rFonts w:ascii="宋体" w:hAnsi="宋体" w:eastAsia="宋体" w:cs="宋体"/>
                <w:spacing w:val="7"/>
                <w:sz w:val="20"/>
                <w:szCs w:val="20"/>
              </w:rPr>
              <w:t>容</w:t>
            </w:r>
          </w:p>
        </w:tc>
        <w:tc>
          <w:tcPr>
            <w:tcW w:w="5234" w:type="dxa"/>
            <w:gridSpan w:val="4"/>
            <w:vAlign w:val="top"/>
          </w:tcPr>
          <w:p w14:paraId="6C88D156">
            <w:pPr>
              <w:spacing w:before="54" w:line="274" w:lineRule="exact"/>
              <w:ind w:left="32"/>
              <w:rPr>
                <w:rFonts w:ascii="宋体" w:hAnsi="宋体" w:eastAsia="宋体" w:cs="宋体"/>
                <w:sz w:val="20"/>
                <w:szCs w:val="20"/>
              </w:rPr>
            </w:pPr>
            <w:r>
              <w:rPr>
                <w:rFonts w:ascii="宋体" w:hAnsi="宋体" w:eastAsia="宋体" w:cs="宋体"/>
                <w:spacing w:val="12"/>
                <w:position w:val="4"/>
                <w:sz w:val="20"/>
                <w:szCs w:val="20"/>
              </w:rPr>
              <w:t>影</w:t>
            </w:r>
            <w:r>
              <w:rPr>
                <w:rFonts w:ascii="宋体" w:hAnsi="宋体" w:eastAsia="宋体" w:cs="宋体"/>
                <w:spacing w:val="7"/>
                <w:position w:val="4"/>
                <w:sz w:val="20"/>
                <w:szCs w:val="20"/>
              </w:rPr>
              <w:t>响范围 (占地范围内)</w:t>
            </w:r>
          </w:p>
          <w:p w14:paraId="3100B977">
            <w:pPr>
              <w:spacing w:line="281" w:lineRule="exact"/>
              <w:ind w:left="32"/>
              <w:rPr>
                <w:rFonts w:ascii="宋体" w:hAnsi="宋体" w:eastAsia="宋体" w:cs="宋体"/>
                <w:sz w:val="20"/>
                <w:szCs w:val="20"/>
              </w:rPr>
            </w:pPr>
            <w:r>
              <w:rPr>
                <w:rFonts w:ascii="宋体" w:hAnsi="宋体" w:eastAsia="宋体" w:cs="宋体"/>
                <w:spacing w:val="10"/>
                <w:position w:val="1"/>
                <w:sz w:val="20"/>
                <w:szCs w:val="20"/>
              </w:rPr>
              <w:t>影</w:t>
            </w:r>
            <w:r>
              <w:rPr>
                <w:rFonts w:ascii="宋体" w:hAnsi="宋体" w:eastAsia="宋体" w:cs="宋体"/>
                <w:spacing w:val="6"/>
                <w:position w:val="1"/>
                <w:sz w:val="20"/>
                <w:szCs w:val="20"/>
              </w:rPr>
              <w:t>响</w:t>
            </w:r>
            <w:r>
              <w:rPr>
                <w:rFonts w:ascii="宋体" w:hAnsi="宋体" w:eastAsia="宋体" w:cs="宋体"/>
                <w:spacing w:val="5"/>
                <w:position w:val="1"/>
                <w:sz w:val="20"/>
                <w:szCs w:val="20"/>
              </w:rPr>
              <w:t>程度 (</w:t>
            </w:r>
            <w:r>
              <w:rPr>
                <w:rFonts w:ascii="Times New Roman" w:hAnsi="Times New Roman" w:eastAsia="Times New Roman" w:cs="Times New Roman"/>
                <w:spacing w:val="5"/>
                <w:position w:val="1"/>
                <w:sz w:val="20"/>
                <w:szCs w:val="20"/>
              </w:rPr>
              <w:t>/</w:t>
            </w:r>
            <w:r>
              <w:rPr>
                <w:rFonts w:ascii="宋体" w:hAnsi="宋体" w:eastAsia="宋体" w:cs="宋体"/>
                <w:spacing w:val="5"/>
                <w:position w:val="1"/>
                <w:sz w:val="20"/>
                <w:szCs w:val="20"/>
              </w:rPr>
              <w:t>)</w:t>
            </w:r>
          </w:p>
        </w:tc>
        <w:tc>
          <w:tcPr>
            <w:tcW w:w="914" w:type="dxa"/>
            <w:tcBorders>
              <w:right w:val="nil"/>
            </w:tcBorders>
            <w:vAlign w:val="top"/>
          </w:tcPr>
          <w:p w14:paraId="62AD3382">
            <w:pPr>
              <w:rPr>
                <w:rFonts w:ascii="Arial"/>
                <w:sz w:val="21"/>
              </w:rPr>
            </w:pPr>
          </w:p>
        </w:tc>
      </w:tr>
      <w:tr w14:paraId="26C3E0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502" w:type="dxa"/>
            <w:vMerge w:val="continue"/>
            <w:tcBorders>
              <w:top w:val="nil"/>
              <w:left w:val="nil"/>
            </w:tcBorders>
            <w:vAlign w:val="top"/>
          </w:tcPr>
          <w:p w14:paraId="502E6FBD">
            <w:pPr>
              <w:rPr>
                <w:rFonts w:ascii="Arial"/>
                <w:sz w:val="21"/>
              </w:rPr>
            </w:pPr>
          </w:p>
        </w:tc>
        <w:tc>
          <w:tcPr>
            <w:tcW w:w="1665" w:type="dxa"/>
            <w:vAlign w:val="top"/>
          </w:tcPr>
          <w:p w14:paraId="0ECB01E7">
            <w:pPr>
              <w:spacing w:before="213" w:line="228" w:lineRule="auto"/>
              <w:ind w:left="419"/>
              <w:rPr>
                <w:rFonts w:ascii="宋体" w:hAnsi="宋体" w:eastAsia="宋体" w:cs="宋体"/>
                <w:sz w:val="20"/>
                <w:szCs w:val="20"/>
              </w:rPr>
            </w:pPr>
            <w:r>
              <w:rPr>
                <w:rFonts w:ascii="宋体" w:hAnsi="宋体" w:eastAsia="宋体" w:cs="宋体"/>
                <w:spacing w:val="7"/>
                <w:sz w:val="20"/>
                <w:szCs w:val="20"/>
              </w:rPr>
              <w:t>预测结</w:t>
            </w:r>
            <w:r>
              <w:rPr>
                <w:rFonts w:ascii="宋体" w:hAnsi="宋体" w:eastAsia="宋体" w:cs="宋体"/>
                <w:spacing w:val="6"/>
                <w:sz w:val="20"/>
                <w:szCs w:val="20"/>
              </w:rPr>
              <w:t>论</w:t>
            </w:r>
          </w:p>
        </w:tc>
        <w:tc>
          <w:tcPr>
            <w:tcW w:w="5234" w:type="dxa"/>
            <w:gridSpan w:val="4"/>
            <w:vAlign w:val="top"/>
          </w:tcPr>
          <w:p w14:paraId="4FC6A392">
            <w:pPr>
              <w:spacing w:before="19" w:line="218" w:lineRule="auto"/>
              <w:ind w:left="31"/>
              <w:rPr>
                <w:sz w:val="20"/>
                <w:szCs w:val="20"/>
              </w:rPr>
            </w:pPr>
            <w:r>
              <w:rPr>
                <w:rFonts w:ascii="宋体" w:hAnsi="宋体" w:eastAsia="宋体" w:cs="宋体"/>
                <w:spacing w:val="-4"/>
                <w:sz w:val="20"/>
                <w:szCs w:val="20"/>
              </w:rPr>
              <w:t>达标结论：</w:t>
            </w:r>
            <w:r>
              <w:rPr>
                <w:rFonts w:ascii="Times New Roman" w:hAnsi="Times New Roman" w:eastAsia="Times New Roman" w:cs="Times New Roman"/>
                <w:spacing w:val="-2"/>
                <w:sz w:val="20"/>
                <w:szCs w:val="20"/>
              </w:rPr>
              <w:t>a</w:t>
            </w:r>
            <w:r>
              <w:rPr>
                <w:rFonts w:ascii="Times New Roman" w:hAnsi="Times New Roman" w:eastAsia="Times New Roman" w:cs="Times New Roman"/>
                <w:spacing w:val="-4"/>
                <w:sz w:val="20"/>
                <w:szCs w:val="20"/>
              </w:rPr>
              <w:t xml:space="preserve"> </w:t>
            </w:r>
            <w:r>
              <w:rPr>
                <w:rFonts w:ascii="宋体" w:hAnsi="宋体" w:eastAsia="宋体" w:cs="宋体"/>
                <w:spacing w:val="-2"/>
                <w:sz w:val="20"/>
                <w:szCs w:val="20"/>
              </w:rPr>
              <w:t xml:space="preserve">) </w:t>
            </w:r>
            <w:r>
              <w:rPr>
                <w:rFonts w:ascii="微软雅黑" w:hAnsi="微软雅黑" w:eastAsia="微软雅黑" w:cs="微软雅黑"/>
                <w:spacing w:val="-2"/>
                <w:sz w:val="20"/>
                <w:szCs w:val="20"/>
              </w:rPr>
              <w:t>团</w:t>
            </w:r>
            <w:r>
              <w:rPr>
                <w:rFonts w:ascii="宋体" w:hAnsi="宋体" w:eastAsia="宋体" w:cs="宋体"/>
                <w:spacing w:val="-2"/>
                <w:sz w:val="20"/>
                <w:szCs w:val="20"/>
              </w:rPr>
              <w:t>；</w:t>
            </w:r>
            <w:r>
              <w:rPr>
                <w:rFonts w:ascii="Times New Roman" w:hAnsi="Times New Roman" w:eastAsia="Times New Roman" w:cs="Times New Roman"/>
                <w:spacing w:val="-2"/>
                <w:sz w:val="20"/>
                <w:szCs w:val="20"/>
              </w:rPr>
              <w:t>b</w:t>
            </w:r>
            <w:r>
              <w:rPr>
                <w:rFonts w:ascii="宋体" w:hAnsi="宋体" w:eastAsia="宋体" w:cs="宋体"/>
                <w:spacing w:val="-2"/>
                <w:sz w:val="20"/>
                <w:szCs w:val="20"/>
              </w:rPr>
              <w:t xml:space="preserve">) </w:t>
            </w:r>
            <w:r>
              <w:rPr>
                <w:position w:val="-4"/>
                <w:sz w:val="20"/>
                <w:szCs w:val="20"/>
              </w:rPr>
              <w:drawing>
                <wp:inline distT="0" distB="0" distL="0" distR="0">
                  <wp:extent cx="95885" cy="139700"/>
                  <wp:effectExtent l="0" t="0" r="0" b="0"/>
                  <wp:docPr id="163" name="IM 163"/>
                  <wp:cNvGraphicFramePr/>
                  <a:graphic xmlns:a="http://schemas.openxmlformats.org/drawingml/2006/main">
                    <a:graphicData uri="http://schemas.openxmlformats.org/drawingml/2006/picture">
                      <pic:pic xmlns:pic="http://schemas.openxmlformats.org/drawingml/2006/picture">
                        <pic:nvPicPr>
                          <pic:cNvPr id="163" name="IM 163"/>
                          <pic:cNvPicPr/>
                        </pic:nvPicPr>
                        <pic:blipFill>
                          <a:blip r:embed="rId537"/>
                          <a:stretch>
                            <a:fillRect/>
                          </a:stretch>
                        </pic:blipFill>
                        <pic:spPr>
                          <a:xfrm>
                            <a:off x="0" y="0"/>
                            <a:ext cx="95952" cy="139748"/>
                          </a:xfrm>
                          <a:prstGeom prst="rect">
                            <a:avLst/>
                          </a:prstGeom>
                        </pic:spPr>
                      </pic:pic>
                    </a:graphicData>
                  </a:graphic>
                </wp:inline>
              </w:drawing>
            </w:r>
            <w:r>
              <w:rPr>
                <w:rFonts w:ascii="宋体" w:hAnsi="宋体" w:eastAsia="宋体" w:cs="宋体"/>
                <w:spacing w:val="-2"/>
                <w:sz w:val="20"/>
                <w:szCs w:val="20"/>
              </w:rPr>
              <w:t xml:space="preserve"> ；</w:t>
            </w:r>
            <w:r>
              <w:rPr>
                <w:rFonts w:ascii="Times New Roman" w:hAnsi="Times New Roman" w:eastAsia="Times New Roman" w:cs="Times New Roman"/>
                <w:spacing w:val="-2"/>
                <w:sz w:val="20"/>
                <w:szCs w:val="20"/>
              </w:rPr>
              <w:t xml:space="preserve">c </w:t>
            </w:r>
            <w:r>
              <w:rPr>
                <w:rFonts w:ascii="宋体" w:hAnsi="宋体" w:eastAsia="宋体" w:cs="宋体"/>
                <w:spacing w:val="-2"/>
                <w:sz w:val="20"/>
                <w:szCs w:val="20"/>
              </w:rPr>
              <w:t xml:space="preserve">) </w:t>
            </w:r>
            <w:r>
              <w:rPr>
                <w:position w:val="-4"/>
                <w:sz w:val="20"/>
                <w:szCs w:val="20"/>
              </w:rPr>
              <w:drawing>
                <wp:inline distT="0" distB="0" distL="0" distR="0">
                  <wp:extent cx="95885" cy="139700"/>
                  <wp:effectExtent l="0" t="0" r="0" b="0"/>
                  <wp:docPr id="164" name="IM 164"/>
                  <wp:cNvGraphicFramePr/>
                  <a:graphic xmlns:a="http://schemas.openxmlformats.org/drawingml/2006/main">
                    <a:graphicData uri="http://schemas.openxmlformats.org/drawingml/2006/picture">
                      <pic:pic xmlns:pic="http://schemas.openxmlformats.org/drawingml/2006/picture">
                        <pic:nvPicPr>
                          <pic:cNvPr id="164" name="IM 164"/>
                          <pic:cNvPicPr/>
                        </pic:nvPicPr>
                        <pic:blipFill>
                          <a:blip r:embed="rId537"/>
                          <a:stretch>
                            <a:fillRect/>
                          </a:stretch>
                        </pic:blipFill>
                        <pic:spPr>
                          <a:xfrm>
                            <a:off x="0" y="0"/>
                            <a:ext cx="95952" cy="139748"/>
                          </a:xfrm>
                          <a:prstGeom prst="rect">
                            <a:avLst/>
                          </a:prstGeom>
                        </pic:spPr>
                      </pic:pic>
                    </a:graphicData>
                  </a:graphic>
                </wp:inline>
              </w:drawing>
            </w:r>
          </w:p>
          <w:p w14:paraId="7C212747">
            <w:pPr>
              <w:spacing w:line="281" w:lineRule="exact"/>
              <w:ind w:left="35"/>
              <w:rPr>
                <w:rFonts w:ascii="Times New Roman" w:hAnsi="Times New Roman" w:eastAsia="Times New Roman" w:cs="Times New Roman"/>
                <w:sz w:val="20"/>
                <w:szCs w:val="20"/>
              </w:rPr>
            </w:pPr>
            <w:r>
              <w:rPr>
                <w:rFonts w:ascii="宋体" w:hAnsi="宋体" w:eastAsia="宋体" w:cs="宋体"/>
                <w:spacing w:val="1"/>
                <w:position w:val="1"/>
                <w:sz w:val="20"/>
                <w:szCs w:val="20"/>
              </w:rPr>
              <w:t>不达标结论：</w:t>
            </w:r>
            <w:r>
              <w:rPr>
                <w:rFonts w:ascii="Times New Roman" w:hAnsi="Times New Roman" w:eastAsia="Times New Roman" w:cs="Times New Roman"/>
                <w:position w:val="1"/>
                <w:sz w:val="20"/>
                <w:szCs w:val="20"/>
              </w:rPr>
              <w:t>a</w:t>
            </w:r>
            <w:r>
              <w:rPr>
                <w:rFonts w:ascii="Times New Roman" w:hAnsi="Times New Roman" w:eastAsia="Times New Roman" w:cs="Times New Roman"/>
                <w:spacing w:val="1"/>
                <w:position w:val="1"/>
                <w:sz w:val="20"/>
                <w:szCs w:val="20"/>
              </w:rPr>
              <w:t xml:space="preserve"> </w:t>
            </w:r>
            <w:r>
              <w:rPr>
                <w:rFonts w:ascii="宋体" w:hAnsi="宋体" w:eastAsia="宋体" w:cs="宋体"/>
                <w:spacing w:val="1"/>
                <w:position w:val="1"/>
                <w:sz w:val="20"/>
                <w:szCs w:val="20"/>
              </w:rPr>
              <w:t>)</w:t>
            </w:r>
            <w:r>
              <w:rPr>
                <w:rFonts w:ascii="宋体" w:hAnsi="宋体" w:eastAsia="宋体" w:cs="宋体"/>
                <w:position w:val="1"/>
                <w:sz w:val="20"/>
                <w:szCs w:val="20"/>
              </w:rPr>
              <w:t xml:space="preserve"> </w:t>
            </w:r>
            <w:r>
              <w:rPr>
                <w:rFonts w:ascii="Times New Roman" w:hAnsi="Times New Roman" w:eastAsia="Times New Roman" w:cs="Times New Roman"/>
                <w:position w:val="1"/>
                <w:sz w:val="20"/>
                <w:szCs w:val="20"/>
              </w:rPr>
              <w:t xml:space="preserve">□ </w:t>
            </w:r>
            <w:r>
              <w:rPr>
                <w:rFonts w:ascii="宋体" w:hAnsi="宋体" w:eastAsia="宋体" w:cs="宋体"/>
                <w:position w:val="1"/>
                <w:sz w:val="20"/>
                <w:szCs w:val="20"/>
              </w:rPr>
              <w:t>；</w:t>
            </w:r>
            <w:r>
              <w:rPr>
                <w:rFonts w:ascii="Times New Roman" w:hAnsi="Times New Roman" w:eastAsia="Times New Roman" w:cs="Times New Roman"/>
                <w:position w:val="1"/>
                <w:sz w:val="20"/>
                <w:szCs w:val="20"/>
              </w:rPr>
              <w:t>b</w:t>
            </w:r>
            <w:r>
              <w:rPr>
                <w:rFonts w:ascii="宋体" w:hAnsi="宋体" w:eastAsia="宋体" w:cs="宋体"/>
                <w:position w:val="1"/>
                <w:sz w:val="20"/>
                <w:szCs w:val="20"/>
              </w:rPr>
              <w:t xml:space="preserve">) </w:t>
            </w:r>
            <w:r>
              <w:rPr>
                <w:rFonts w:ascii="Times New Roman" w:hAnsi="Times New Roman" w:eastAsia="Times New Roman" w:cs="Times New Roman"/>
                <w:position w:val="1"/>
                <w:sz w:val="20"/>
                <w:szCs w:val="20"/>
              </w:rPr>
              <w:t>□</w:t>
            </w:r>
          </w:p>
        </w:tc>
        <w:tc>
          <w:tcPr>
            <w:tcW w:w="914" w:type="dxa"/>
            <w:tcBorders>
              <w:right w:val="nil"/>
            </w:tcBorders>
            <w:vAlign w:val="top"/>
          </w:tcPr>
          <w:p w14:paraId="36F6110D">
            <w:pPr>
              <w:rPr>
                <w:rFonts w:ascii="Arial"/>
                <w:sz w:val="21"/>
              </w:rPr>
            </w:pPr>
          </w:p>
        </w:tc>
      </w:tr>
    </w:tbl>
    <w:p w14:paraId="592401CB">
      <w:pPr>
        <w:rPr>
          <w:rFonts w:ascii="Arial"/>
          <w:sz w:val="21"/>
        </w:rPr>
      </w:pPr>
    </w:p>
    <w:p w14:paraId="5282C889">
      <w:pPr>
        <w:sectPr>
          <w:headerReference r:id="rId254" w:type="default"/>
          <w:footerReference r:id="rId255" w:type="default"/>
          <w:pgSz w:w="11906" w:h="16839"/>
          <w:pgMar w:top="1132" w:right="1785" w:bottom="1182" w:left="1785" w:header="878" w:footer="1022" w:gutter="0"/>
          <w:cols w:space="720" w:num="1"/>
        </w:sectPr>
      </w:pPr>
    </w:p>
    <w:p w14:paraId="5A9299CE">
      <w:r>
        <w:pict>
          <v:rect id="_x0000_s1293" o:spid="_x0000_s1293" o:spt="1" style="position:absolute;left:0pt;margin-left:90pt;margin-top:57.35pt;height:0.75pt;width:415.3pt;mso-position-horizontal-relative:page;mso-position-vertical-relative:page;z-index:251947008;mso-width-relative:page;mso-height-relative:page;" fillcolor="#000000" filled="t" stroked="f" coordsize="21600,21600" o:allowincell="f">
            <v:path/>
            <v:fill on="t" focussize="0,0"/>
            <v:stroke on="f"/>
            <v:imagedata o:title=""/>
            <o:lock v:ext="edit"/>
          </v:rect>
        </w:pict>
      </w:r>
    </w:p>
    <w:p w14:paraId="252BB76B">
      <w:pPr>
        <w:spacing w:line="65" w:lineRule="exact"/>
      </w:pPr>
    </w:p>
    <w:tbl>
      <w:tblPr>
        <w:tblStyle w:val="4"/>
        <w:tblW w:w="8316" w:type="dxa"/>
        <w:tblInd w:w="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2"/>
        <w:gridCol w:w="1665"/>
        <w:gridCol w:w="1872"/>
        <w:gridCol w:w="1410"/>
        <w:gridCol w:w="1953"/>
        <w:gridCol w:w="914"/>
      </w:tblGrid>
      <w:tr w14:paraId="781C85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502" w:type="dxa"/>
            <w:vMerge w:val="restart"/>
            <w:tcBorders>
              <w:left w:val="nil"/>
              <w:bottom w:val="nil"/>
            </w:tcBorders>
            <w:vAlign w:val="top"/>
          </w:tcPr>
          <w:p w14:paraId="51068352">
            <w:pPr>
              <w:spacing w:line="246" w:lineRule="auto"/>
              <w:rPr>
                <w:rFonts w:ascii="Arial"/>
                <w:sz w:val="21"/>
              </w:rPr>
            </w:pPr>
          </w:p>
          <w:p w14:paraId="1FCD8677">
            <w:pPr>
              <w:spacing w:line="246" w:lineRule="auto"/>
              <w:rPr>
                <w:rFonts w:ascii="Arial"/>
                <w:sz w:val="21"/>
              </w:rPr>
            </w:pPr>
          </w:p>
          <w:p w14:paraId="631487D9">
            <w:pPr>
              <w:spacing w:before="65" w:line="301" w:lineRule="auto"/>
              <w:ind w:left="49" w:right="40" w:firstLine="13"/>
              <w:rPr>
                <w:rFonts w:ascii="宋体" w:hAnsi="宋体" w:eastAsia="宋体" w:cs="宋体"/>
                <w:sz w:val="20"/>
                <w:szCs w:val="20"/>
              </w:rPr>
            </w:pPr>
            <w:r>
              <w:rPr>
                <w:rFonts w:ascii="宋体" w:hAnsi="宋体" w:eastAsia="宋体" w:cs="宋体"/>
                <w:spacing w:val="-2"/>
                <w:sz w:val="20"/>
                <w:szCs w:val="20"/>
              </w:rPr>
              <w:t>防治</w:t>
            </w:r>
            <w:r>
              <w:rPr>
                <w:rFonts w:ascii="宋体" w:hAnsi="宋体" w:eastAsia="宋体" w:cs="宋体"/>
                <w:sz w:val="20"/>
                <w:szCs w:val="20"/>
              </w:rPr>
              <w:t xml:space="preserve"> </w:t>
            </w:r>
            <w:r>
              <w:rPr>
                <w:rFonts w:ascii="宋体" w:hAnsi="宋体" w:eastAsia="宋体" w:cs="宋体"/>
                <w:spacing w:val="5"/>
                <w:sz w:val="20"/>
                <w:szCs w:val="20"/>
              </w:rPr>
              <w:t>措</w:t>
            </w:r>
            <w:r>
              <w:rPr>
                <w:rFonts w:ascii="宋体" w:hAnsi="宋体" w:eastAsia="宋体" w:cs="宋体"/>
                <w:spacing w:val="4"/>
                <w:sz w:val="20"/>
                <w:szCs w:val="20"/>
              </w:rPr>
              <w:t>施</w:t>
            </w:r>
          </w:p>
        </w:tc>
        <w:tc>
          <w:tcPr>
            <w:tcW w:w="1665" w:type="dxa"/>
            <w:vAlign w:val="top"/>
          </w:tcPr>
          <w:p w14:paraId="51CC0DB0">
            <w:pPr>
              <w:spacing w:before="232" w:line="228" w:lineRule="auto"/>
              <w:ind w:left="431"/>
              <w:rPr>
                <w:rFonts w:ascii="宋体" w:hAnsi="宋体" w:eastAsia="宋体" w:cs="宋体"/>
                <w:sz w:val="20"/>
                <w:szCs w:val="20"/>
              </w:rPr>
            </w:pPr>
            <w:r>
              <w:rPr>
                <w:rFonts w:ascii="宋体" w:hAnsi="宋体" w:eastAsia="宋体" w:cs="宋体"/>
                <w:spacing w:val="4"/>
                <w:sz w:val="20"/>
                <w:szCs w:val="20"/>
              </w:rPr>
              <w:t>防控措施</w:t>
            </w:r>
          </w:p>
        </w:tc>
        <w:tc>
          <w:tcPr>
            <w:tcW w:w="5235" w:type="dxa"/>
            <w:gridSpan w:val="3"/>
            <w:vAlign w:val="top"/>
          </w:tcPr>
          <w:p w14:paraId="741B4F51">
            <w:pPr>
              <w:spacing w:before="76" w:line="229" w:lineRule="auto"/>
              <w:ind w:left="33" w:right="288"/>
              <w:rPr>
                <w:rFonts w:ascii="宋体" w:hAnsi="宋体" w:eastAsia="宋体" w:cs="宋体"/>
                <w:sz w:val="20"/>
                <w:szCs w:val="20"/>
              </w:rPr>
            </w:pPr>
            <w:r>
              <w:rPr>
                <w:rFonts w:ascii="宋体" w:hAnsi="宋体" w:eastAsia="宋体" w:cs="宋体"/>
                <w:spacing w:val="6"/>
                <w:sz w:val="20"/>
                <w:szCs w:val="20"/>
              </w:rPr>
              <w:t>土壤环境质量现状保障</w:t>
            </w:r>
            <w:r>
              <w:rPr>
                <w:position w:val="-4"/>
                <w:sz w:val="20"/>
                <w:szCs w:val="20"/>
              </w:rPr>
              <w:drawing>
                <wp:inline distT="0" distB="0" distL="0" distR="0">
                  <wp:extent cx="107950" cy="139700"/>
                  <wp:effectExtent l="0" t="0" r="0" b="0"/>
                  <wp:docPr id="165" name="IM 165"/>
                  <wp:cNvGraphicFramePr/>
                  <a:graphic xmlns:a="http://schemas.openxmlformats.org/drawingml/2006/main">
                    <a:graphicData uri="http://schemas.openxmlformats.org/drawingml/2006/picture">
                      <pic:pic xmlns:pic="http://schemas.openxmlformats.org/drawingml/2006/picture">
                        <pic:nvPicPr>
                          <pic:cNvPr id="165" name="IM 165"/>
                          <pic:cNvPicPr/>
                        </pic:nvPicPr>
                        <pic:blipFill>
                          <a:blip r:embed="rId538"/>
                          <a:stretch>
                            <a:fillRect/>
                          </a:stretch>
                        </pic:blipFill>
                        <pic:spPr>
                          <a:xfrm>
                            <a:off x="0" y="0"/>
                            <a:ext cx="108537" cy="139748"/>
                          </a:xfrm>
                          <a:prstGeom prst="rect">
                            <a:avLst/>
                          </a:prstGeom>
                        </pic:spPr>
                      </pic:pic>
                    </a:graphicData>
                  </a:graphic>
                </wp:inline>
              </w:drawing>
            </w:r>
            <w:r>
              <w:rPr>
                <w:rFonts w:ascii="宋体" w:hAnsi="宋体" w:eastAsia="宋体" w:cs="宋体"/>
                <w:spacing w:val="6"/>
                <w:sz w:val="20"/>
                <w:szCs w:val="20"/>
              </w:rPr>
              <w:t>；源头控制</w:t>
            </w:r>
            <w:r>
              <w:rPr>
                <w:rFonts w:ascii="微软雅黑" w:hAnsi="微软雅黑" w:eastAsia="微软雅黑" w:cs="微软雅黑"/>
                <w:spacing w:val="6"/>
                <w:sz w:val="20"/>
                <w:szCs w:val="20"/>
              </w:rPr>
              <w:t>团</w:t>
            </w:r>
            <w:r>
              <w:rPr>
                <w:rFonts w:ascii="宋体" w:hAnsi="宋体" w:eastAsia="宋体" w:cs="宋体"/>
                <w:spacing w:val="6"/>
                <w:sz w:val="20"/>
                <w:szCs w:val="20"/>
              </w:rPr>
              <w:t>；过程防控</w:t>
            </w:r>
            <w:r>
              <w:rPr>
                <w:rFonts w:ascii="微软雅黑" w:hAnsi="微软雅黑" w:eastAsia="微软雅黑" w:cs="微软雅黑"/>
                <w:spacing w:val="6"/>
                <w:sz w:val="20"/>
                <w:szCs w:val="20"/>
              </w:rPr>
              <w:t>团</w:t>
            </w:r>
            <w:r>
              <w:rPr>
                <w:rFonts w:ascii="宋体" w:hAnsi="宋体" w:eastAsia="宋体" w:cs="宋体"/>
                <w:spacing w:val="5"/>
                <w:sz w:val="20"/>
                <w:szCs w:val="20"/>
              </w:rPr>
              <w:t>；</w:t>
            </w:r>
            <w:r>
              <w:rPr>
                <w:rFonts w:ascii="宋体" w:hAnsi="宋体" w:eastAsia="宋体" w:cs="宋体"/>
                <w:sz w:val="20"/>
                <w:szCs w:val="20"/>
              </w:rPr>
              <w:t xml:space="preserve"> </w:t>
            </w:r>
            <w:r>
              <w:rPr>
                <w:rFonts w:ascii="宋体" w:hAnsi="宋体" w:eastAsia="宋体" w:cs="宋体"/>
                <w:spacing w:val="5"/>
                <w:sz w:val="20"/>
                <w:szCs w:val="20"/>
              </w:rPr>
              <w:t>其</w:t>
            </w:r>
            <w:r>
              <w:rPr>
                <w:rFonts w:ascii="宋体" w:hAnsi="宋体" w:eastAsia="宋体" w:cs="宋体"/>
                <w:spacing w:val="4"/>
                <w:sz w:val="20"/>
                <w:szCs w:val="20"/>
              </w:rPr>
              <w:t>他 (</w:t>
            </w:r>
            <w:r>
              <w:rPr>
                <w:rFonts w:ascii="Times New Roman" w:hAnsi="Times New Roman" w:eastAsia="Times New Roman" w:cs="Times New Roman"/>
                <w:spacing w:val="4"/>
                <w:sz w:val="20"/>
                <w:szCs w:val="20"/>
              </w:rPr>
              <w:t>/</w:t>
            </w:r>
            <w:r>
              <w:rPr>
                <w:rFonts w:ascii="宋体" w:hAnsi="宋体" w:eastAsia="宋体" w:cs="宋体"/>
                <w:spacing w:val="4"/>
                <w:sz w:val="20"/>
                <w:szCs w:val="20"/>
              </w:rPr>
              <w:t>)</w:t>
            </w:r>
          </w:p>
        </w:tc>
        <w:tc>
          <w:tcPr>
            <w:tcW w:w="914" w:type="dxa"/>
            <w:tcBorders>
              <w:right w:val="nil"/>
            </w:tcBorders>
            <w:vAlign w:val="top"/>
          </w:tcPr>
          <w:p w14:paraId="7F997C94">
            <w:pPr>
              <w:rPr>
                <w:rFonts w:ascii="Arial"/>
                <w:sz w:val="21"/>
              </w:rPr>
            </w:pPr>
          </w:p>
        </w:tc>
      </w:tr>
      <w:tr w14:paraId="65CC98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02" w:type="dxa"/>
            <w:vMerge w:val="continue"/>
            <w:tcBorders>
              <w:top w:val="nil"/>
              <w:left w:val="nil"/>
              <w:bottom w:val="nil"/>
            </w:tcBorders>
            <w:vAlign w:val="top"/>
          </w:tcPr>
          <w:p w14:paraId="27117F5F">
            <w:pPr>
              <w:rPr>
                <w:rFonts w:ascii="Arial"/>
                <w:sz w:val="21"/>
              </w:rPr>
            </w:pPr>
          </w:p>
        </w:tc>
        <w:tc>
          <w:tcPr>
            <w:tcW w:w="1665" w:type="dxa"/>
            <w:vMerge w:val="restart"/>
            <w:tcBorders>
              <w:bottom w:val="nil"/>
            </w:tcBorders>
            <w:vAlign w:val="top"/>
          </w:tcPr>
          <w:p w14:paraId="076D6195">
            <w:pPr>
              <w:spacing w:before="215" w:line="228" w:lineRule="auto"/>
              <w:ind w:left="416"/>
              <w:rPr>
                <w:rFonts w:ascii="宋体" w:hAnsi="宋体" w:eastAsia="宋体" w:cs="宋体"/>
                <w:sz w:val="20"/>
                <w:szCs w:val="20"/>
              </w:rPr>
            </w:pPr>
            <w:r>
              <w:rPr>
                <w:rFonts w:ascii="宋体" w:hAnsi="宋体" w:eastAsia="宋体" w:cs="宋体"/>
                <w:spacing w:val="8"/>
                <w:sz w:val="20"/>
                <w:szCs w:val="20"/>
              </w:rPr>
              <w:t>跟踪监</w:t>
            </w:r>
            <w:r>
              <w:rPr>
                <w:rFonts w:ascii="宋体" w:hAnsi="宋体" w:eastAsia="宋体" w:cs="宋体"/>
                <w:spacing w:val="7"/>
                <w:sz w:val="20"/>
                <w:szCs w:val="20"/>
              </w:rPr>
              <w:t>测</w:t>
            </w:r>
          </w:p>
        </w:tc>
        <w:tc>
          <w:tcPr>
            <w:tcW w:w="1872" w:type="dxa"/>
            <w:vAlign w:val="top"/>
          </w:tcPr>
          <w:p w14:paraId="2E37CE45">
            <w:pPr>
              <w:spacing w:before="51" w:line="228" w:lineRule="auto"/>
              <w:ind w:left="522"/>
              <w:rPr>
                <w:rFonts w:ascii="宋体" w:hAnsi="宋体" w:eastAsia="宋体" w:cs="宋体"/>
                <w:sz w:val="20"/>
                <w:szCs w:val="20"/>
              </w:rPr>
            </w:pPr>
            <w:r>
              <w:rPr>
                <w:rFonts w:ascii="宋体" w:hAnsi="宋体" w:eastAsia="宋体" w:cs="宋体"/>
                <w:spacing w:val="7"/>
                <w:sz w:val="20"/>
                <w:szCs w:val="20"/>
              </w:rPr>
              <w:t>监测点数</w:t>
            </w:r>
          </w:p>
        </w:tc>
        <w:tc>
          <w:tcPr>
            <w:tcW w:w="1410" w:type="dxa"/>
            <w:vAlign w:val="top"/>
          </w:tcPr>
          <w:p w14:paraId="4CE09406">
            <w:pPr>
              <w:spacing w:before="52" w:line="228" w:lineRule="auto"/>
              <w:ind w:left="292"/>
              <w:rPr>
                <w:rFonts w:ascii="宋体" w:hAnsi="宋体" w:eastAsia="宋体" w:cs="宋体"/>
                <w:sz w:val="20"/>
                <w:szCs w:val="20"/>
              </w:rPr>
            </w:pPr>
            <w:r>
              <w:rPr>
                <w:rFonts w:ascii="宋体" w:hAnsi="宋体" w:eastAsia="宋体" w:cs="宋体"/>
                <w:spacing w:val="7"/>
                <w:sz w:val="20"/>
                <w:szCs w:val="20"/>
              </w:rPr>
              <w:t>监测指标</w:t>
            </w:r>
          </w:p>
        </w:tc>
        <w:tc>
          <w:tcPr>
            <w:tcW w:w="1953" w:type="dxa"/>
            <w:vAlign w:val="top"/>
          </w:tcPr>
          <w:p w14:paraId="10B9711B">
            <w:pPr>
              <w:spacing w:before="51" w:line="228" w:lineRule="auto"/>
              <w:ind w:left="562"/>
              <w:rPr>
                <w:rFonts w:ascii="宋体" w:hAnsi="宋体" w:eastAsia="宋体" w:cs="宋体"/>
                <w:sz w:val="20"/>
                <w:szCs w:val="20"/>
              </w:rPr>
            </w:pPr>
            <w:r>
              <w:rPr>
                <w:rFonts w:ascii="宋体" w:hAnsi="宋体" w:eastAsia="宋体" w:cs="宋体"/>
                <w:spacing w:val="7"/>
                <w:sz w:val="20"/>
                <w:szCs w:val="20"/>
              </w:rPr>
              <w:t>监测频次</w:t>
            </w:r>
          </w:p>
        </w:tc>
        <w:tc>
          <w:tcPr>
            <w:tcW w:w="914" w:type="dxa"/>
            <w:vMerge w:val="restart"/>
            <w:tcBorders>
              <w:bottom w:val="nil"/>
              <w:right w:val="nil"/>
            </w:tcBorders>
            <w:vAlign w:val="top"/>
          </w:tcPr>
          <w:p w14:paraId="4F9F26ED">
            <w:pPr>
              <w:rPr>
                <w:rFonts w:ascii="Arial"/>
                <w:sz w:val="21"/>
              </w:rPr>
            </w:pPr>
          </w:p>
        </w:tc>
      </w:tr>
      <w:tr w14:paraId="3DD7E7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02" w:type="dxa"/>
            <w:vMerge w:val="continue"/>
            <w:tcBorders>
              <w:top w:val="nil"/>
              <w:left w:val="nil"/>
              <w:bottom w:val="nil"/>
            </w:tcBorders>
            <w:vAlign w:val="top"/>
          </w:tcPr>
          <w:p w14:paraId="28ED96CD">
            <w:pPr>
              <w:rPr>
                <w:rFonts w:ascii="Arial"/>
                <w:sz w:val="21"/>
              </w:rPr>
            </w:pPr>
          </w:p>
        </w:tc>
        <w:tc>
          <w:tcPr>
            <w:tcW w:w="1665" w:type="dxa"/>
            <w:vMerge w:val="continue"/>
            <w:tcBorders>
              <w:top w:val="nil"/>
            </w:tcBorders>
            <w:vAlign w:val="top"/>
          </w:tcPr>
          <w:p w14:paraId="0C335D5D">
            <w:pPr>
              <w:rPr>
                <w:rFonts w:ascii="Arial"/>
                <w:sz w:val="21"/>
              </w:rPr>
            </w:pPr>
          </w:p>
        </w:tc>
        <w:tc>
          <w:tcPr>
            <w:tcW w:w="1872" w:type="dxa"/>
            <w:vAlign w:val="top"/>
          </w:tcPr>
          <w:p w14:paraId="01E74AF2">
            <w:pPr>
              <w:spacing w:before="91" w:line="195" w:lineRule="auto"/>
              <w:ind w:left="885"/>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410" w:type="dxa"/>
            <w:vAlign w:val="top"/>
          </w:tcPr>
          <w:p w14:paraId="1CD6B0F7">
            <w:pPr>
              <w:spacing w:before="91" w:line="195" w:lineRule="auto"/>
              <w:ind w:left="59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S</w:t>
            </w:r>
            <w:r>
              <w:rPr>
                <w:rFonts w:ascii="Times New Roman" w:hAnsi="Times New Roman" w:eastAsia="Times New Roman" w:cs="Times New Roman"/>
                <w:spacing w:val="-2"/>
                <w:sz w:val="20"/>
                <w:szCs w:val="20"/>
              </w:rPr>
              <w:t>S</w:t>
            </w:r>
          </w:p>
        </w:tc>
        <w:tc>
          <w:tcPr>
            <w:tcW w:w="1953" w:type="dxa"/>
            <w:vAlign w:val="top"/>
          </w:tcPr>
          <w:p w14:paraId="6A8D4A24">
            <w:pPr>
              <w:spacing w:before="54" w:line="228" w:lineRule="auto"/>
              <w:ind w:left="247"/>
              <w:rPr>
                <w:rFonts w:ascii="宋体" w:hAnsi="宋体" w:eastAsia="宋体" w:cs="宋体"/>
                <w:sz w:val="20"/>
                <w:szCs w:val="20"/>
              </w:rPr>
            </w:pPr>
            <w:r>
              <w:rPr>
                <w:rFonts w:ascii="宋体" w:hAnsi="宋体" w:eastAsia="宋体" w:cs="宋体"/>
                <w:spacing w:val="-5"/>
                <w:sz w:val="20"/>
                <w:szCs w:val="20"/>
              </w:rPr>
              <w:t>每</w:t>
            </w:r>
            <w:r>
              <w:rPr>
                <w:rFonts w:ascii="宋体" w:hAnsi="宋体" w:eastAsia="宋体" w:cs="宋体"/>
                <w:spacing w:val="-3"/>
                <w:sz w:val="20"/>
                <w:szCs w:val="20"/>
              </w:rPr>
              <w:t xml:space="preserve"> </w:t>
            </w:r>
            <w:r>
              <w:rPr>
                <w:rFonts w:ascii="Times New Roman" w:hAnsi="Times New Roman" w:eastAsia="Times New Roman" w:cs="Times New Roman"/>
                <w:spacing w:val="-3"/>
                <w:sz w:val="20"/>
                <w:szCs w:val="20"/>
              </w:rPr>
              <w:t xml:space="preserve">5 </w:t>
            </w:r>
            <w:r>
              <w:rPr>
                <w:rFonts w:ascii="宋体" w:hAnsi="宋体" w:eastAsia="宋体" w:cs="宋体"/>
                <w:spacing w:val="-3"/>
                <w:sz w:val="20"/>
                <w:szCs w:val="20"/>
              </w:rPr>
              <w:t xml:space="preserve">年开展 </w:t>
            </w:r>
            <w:r>
              <w:rPr>
                <w:rFonts w:ascii="Times New Roman" w:hAnsi="Times New Roman" w:eastAsia="Times New Roman" w:cs="Times New Roman"/>
                <w:spacing w:val="-3"/>
                <w:sz w:val="20"/>
                <w:szCs w:val="20"/>
              </w:rPr>
              <w:t xml:space="preserve">1 </w:t>
            </w:r>
            <w:r>
              <w:rPr>
                <w:rFonts w:ascii="宋体" w:hAnsi="宋体" w:eastAsia="宋体" w:cs="宋体"/>
                <w:spacing w:val="-3"/>
                <w:sz w:val="20"/>
                <w:szCs w:val="20"/>
              </w:rPr>
              <w:t>次</w:t>
            </w:r>
          </w:p>
        </w:tc>
        <w:tc>
          <w:tcPr>
            <w:tcW w:w="914" w:type="dxa"/>
            <w:vMerge w:val="continue"/>
            <w:tcBorders>
              <w:top w:val="nil"/>
              <w:bottom w:val="nil"/>
              <w:right w:val="nil"/>
            </w:tcBorders>
            <w:vAlign w:val="top"/>
          </w:tcPr>
          <w:p w14:paraId="15B11A64">
            <w:pPr>
              <w:rPr>
                <w:rFonts w:ascii="Arial"/>
                <w:sz w:val="21"/>
              </w:rPr>
            </w:pPr>
          </w:p>
        </w:tc>
      </w:tr>
      <w:tr w14:paraId="0DCC13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02" w:type="dxa"/>
            <w:vMerge w:val="continue"/>
            <w:tcBorders>
              <w:top w:val="nil"/>
              <w:left w:val="nil"/>
            </w:tcBorders>
            <w:vAlign w:val="top"/>
          </w:tcPr>
          <w:p w14:paraId="44F14E98">
            <w:pPr>
              <w:rPr>
                <w:rFonts w:ascii="Arial"/>
                <w:sz w:val="21"/>
              </w:rPr>
            </w:pPr>
          </w:p>
        </w:tc>
        <w:tc>
          <w:tcPr>
            <w:tcW w:w="1665" w:type="dxa"/>
            <w:vAlign w:val="top"/>
          </w:tcPr>
          <w:p w14:paraId="20A26D2A">
            <w:pPr>
              <w:spacing w:before="55" w:line="228" w:lineRule="auto"/>
              <w:ind w:left="207"/>
              <w:rPr>
                <w:rFonts w:ascii="宋体" w:hAnsi="宋体" w:eastAsia="宋体" w:cs="宋体"/>
                <w:sz w:val="20"/>
                <w:szCs w:val="20"/>
              </w:rPr>
            </w:pPr>
            <w:r>
              <w:rPr>
                <w:rFonts w:ascii="宋体" w:hAnsi="宋体" w:eastAsia="宋体" w:cs="宋体"/>
                <w:spacing w:val="9"/>
                <w:sz w:val="20"/>
                <w:szCs w:val="20"/>
              </w:rPr>
              <w:t>信</w:t>
            </w:r>
            <w:r>
              <w:rPr>
                <w:rFonts w:ascii="宋体" w:hAnsi="宋体" w:eastAsia="宋体" w:cs="宋体"/>
                <w:spacing w:val="8"/>
                <w:sz w:val="20"/>
                <w:szCs w:val="20"/>
              </w:rPr>
              <w:t>息公开指标</w:t>
            </w:r>
          </w:p>
        </w:tc>
        <w:tc>
          <w:tcPr>
            <w:tcW w:w="5235" w:type="dxa"/>
            <w:gridSpan w:val="3"/>
            <w:vAlign w:val="top"/>
          </w:tcPr>
          <w:p w14:paraId="4F109569">
            <w:pPr>
              <w:spacing w:before="91" w:line="195" w:lineRule="auto"/>
              <w:ind w:left="251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S</w:t>
            </w:r>
            <w:r>
              <w:rPr>
                <w:rFonts w:ascii="Times New Roman" w:hAnsi="Times New Roman" w:eastAsia="Times New Roman" w:cs="Times New Roman"/>
                <w:spacing w:val="-2"/>
                <w:sz w:val="20"/>
                <w:szCs w:val="20"/>
              </w:rPr>
              <w:t>S</w:t>
            </w:r>
          </w:p>
        </w:tc>
        <w:tc>
          <w:tcPr>
            <w:tcW w:w="914" w:type="dxa"/>
            <w:vMerge w:val="continue"/>
            <w:tcBorders>
              <w:top w:val="nil"/>
              <w:right w:val="nil"/>
            </w:tcBorders>
            <w:vAlign w:val="top"/>
          </w:tcPr>
          <w:p w14:paraId="13899C58">
            <w:pPr>
              <w:rPr>
                <w:rFonts w:ascii="Arial"/>
                <w:sz w:val="21"/>
              </w:rPr>
            </w:pPr>
          </w:p>
        </w:tc>
      </w:tr>
      <w:tr w14:paraId="4A6351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167" w:type="dxa"/>
            <w:gridSpan w:val="2"/>
            <w:tcBorders>
              <w:left w:val="nil"/>
            </w:tcBorders>
            <w:vAlign w:val="top"/>
          </w:tcPr>
          <w:p w14:paraId="00827A15">
            <w:pPr>
              <w:spacing w:before="56" w:line="226" w:lineRule="auto"/>
              <w:ind w:left="669"/>
              <w:rPr>
                <w:rFonts w:ascii="宋体" w:hAnsi="宋体" w:eastAsia="宋体" w:cs="宋体"/>
                <w:sz w:val="20"/>
                <w:szCs w:val="20"/>
              </w:rPr>
            </w:pPr>
            <w:r>
              <w:rPr>
                <w:rFonts w:ascii="宋体" w:hAnsi="宋体" w:eastAsia="宋体" w:cs="宋体"/>
                <w:spacing w:val="9"/>
                <w:sz w:val="20"/>
                <w:szCs w:val="20"/>
              </w:rPr>
              <w:t>评</w:t>
            </w:r>
            <w:r>
              <w:rPr>
                <w:rFonts w:ascii="宋体" w:hAnsi="宋体" w:eastAsia="宋体" w:cs="宋体"/>
                <w:spacing w:val="7"/>
                <w:sz w:val="20"/>
                <w:szCs w:val="20"/>
              </w:rPr>
              <w:t>价结论</w:t>
            </w:r>
          </w:p>
        </w:tc>
        <w:tc>
          <w:tcPr>
            <w:tcW w:w="5235" w:type="dxa"/>
            <w:gridSpan w:val="3"/>
            <w:vAlign w:val="top"/>
          </w:tcPr>
          <w:p w14:paraId="07C90F9C">
            <w:pPr>
              <w:spacing w:before="56" w:line="228" w:lineRule="auto"/>
              <w:ind w:left="2414"/>
              <w:rPr>
                <w:rFonts w:ascii="宋体" w:hAnsi="宋体" w:eastAsia="宋体" w:cs="宋体"/>
                <w:sz w:val="20"/>
                <w:szCs w:val="20"/>
              </w:rPr>
            </w:pPr>
            <w:r>
              <w:rPr>
                <w:rFonts w:ascii="宋体" w:hAnsi="宋体" w:eastAsia="宋体" w:cs="宋体"/>
                <w:spacing w:val="4"/>
                <w:sz w:val="20"/>
                <w:szCs w:val="20"/>
              </w:rPr>
              <w:t>可</w:t>
            </w:r>
            <w:r>
              <w:rPr>
                <w:rFonts w:ascii="宋体" w:hAnsi="宋体" w:eastAsia="宋体" w:cs="宋体"/>
                <w:spacing w:val="3"/>
                <w:sz w:val="20"/>
                <w:szCs w:val="20"/>
              </w:rPr>
              <w:t>行</w:t>
            </w:r>
          </w:p>
        </w:tc>
        <w:tc>
          <w:tcPr>
            <w:tcW w:w="914" w:type="dxa"/>
            <w:tcBorders>
              <w:right w:val="nil"/>
            </w:tcBorders>
            <w:vAlign w:val="top"/>
          </w:tcPr>
          <w:p w14:paraId="5AFFCE87">
            <w:pPr>
              <w:rPr>
                <w:rFonts w:ascii="Arial"/>
                <w:sz w:val="21"/>
              </w:rPr>
            </w:pPr>
          </w:p>
        </w:tc>
      </w:tr>
    </w:tbl>
    <w:p w14:paraId="58CF581A">
      <w:pPr>
        <w:spacing w:before="13" w:line="281" w:lineRule="exact"/>
        <w:ind w:left="46"/>
        <w:rPr>
          <w:rFonts w:ascii="宋体" w:hAnsi="宋体" w:eastAsia="宋体" w:cs="宋体"/>
          <w:sz w:val="20"/>
          <w:szCs w:val="20"/>
        </w:rPr>
      </w:pPr>
      <w:r>
        <w:rPr>
          <w:rFonts w:ascii="宋体" w:hAnsi="宋体" w:eastAsia="宋体" w:cs="宋体"/>
          <w:spacing w:val="5"/>
          <w:sz w:val="20"/>
          <w:szCs w:val="20"/>
        </w:rPr>
        <w:t xml:space="preserve">注 </w:t>
      </w:r>
      <w:r>
        <w:rPr>
          <w:rFonts w:ascii="Times New Roman" w:hAnsi="Times New Roman" w:eastAsia="Times New Roman" w:cs="Times New Roman"/>
          <w:spacing w:val="5"/>
          <w:sz w:val="20"/>
          <w:szCs w:val="20"/>
        </w:rPr>
        <w:t xml:space="preserve">1 </w:t>
      </w:r>
      <w:r>
        <w:rPr>
          <w:rFonts w:ascii="宋体" w:hAnsi="宋体" w:eastAsia="宋体" w:cs="宋体"/>
          <w:spacing w:val="5"/>
          <w:sz w:val="20"/>
          <w:szCs w:val="20"/>
        </w:rPr>
        <w:t>：</w:t>
      </w:r>
      <w:r>
        <w:rPr>
          <w:rFonts w:ascii="Times New Roman" w:hAnsi="Times New Roman" w:eastAsia="Times New Roman" w:cs="Times New Roman"/>
          <w:spacing w:val="5"/>
          <w:sz w:val="20"/>
          <w:szCs w:val="20"/>
        </w:rPr>
        <w:t>“□”</w:t>
      </w:r>
      <w:r>
        <w:rPr>
          <w:rFonts w:ascii="宋体" w:hAnsi="宋体" w:eastAsia="宋体" w:cs="宋体"/>
          <w:spacing w:val="5"/>
          <w:sz w:val="20"/>
          <w:szCs w:val="20"/>
        </w:rPr>
        <w:t>为勾选项，可</w:t>
      </w:r>
      <w:r>
        <w:rPr>
          <w:rFonts w:ascii="Times New Roman" w:hAnsi="Times New Roman" w:eastAsia="Times New Roman" w:cs="Times New Roman"/>
          <w:spacing w:val="5"/>
          <w:sz w:val="20"/>
          <w:szCs w:val="20"/>
        </w:rPr>
        <w:t xml:space="preserve">√ </w:t>
      </w:r>
      <w:r>
        <w:rPr>
          <w:rFonts w:ascii="宋体" w:hAnsi="宋体" w:eastAsia="宋体" w:cs="宋体"/>
          <w:spacing w:val="5"/>
          <w:sz w:val="20"/>
          <w:szCs w:val="20"/>
        </w:rPr>
        <w:t>；</w:t>
      </w:r>
      <w:r>
        <w:rPr>
          <w:rFonts w:ascii="Times New Roman" w:hAnsi="Times New Roman" w:eastAsia="Times New Roman" w:cs="Times New Roman"/>
          <w:spacing w:val="5"/>
          <w:sz w:val="20"/>
          <w:szCs w:val="20"/>
        </w:rPr>
        <w:t xml:space="preserve">“  </w:t>
      </w:r>
      <w:r>
        <w:rPr>
          <w:rFonts w:ascii="宋体" w:hAnsi="宋体" w:eastAsia="宋体" w:cs="宋体"/>
          <w:spacing w:val="5"/>
          <w:sz w:val="20"/>
          <w:szCs w:val="20"/>
        </w:rPr>
        <w:t xml:space="preserve">( ) </w:t>
      </w:r>
      <w:r>
        <w:rPr>
          <w:rFonts w:ascii="Times New Roman" w:hAnsi="Times New Roman" w:eastAsia="Times New Roman" w:cs="Times New Roman"/>
          <w:spacing w:val="5"/>
          <w:sz w:val="20"/>
          <w:szCs w:val="20"/>
        </w:rPr>
        <w:t>”</w:t>
      </w:r>
      <w:r>
        <w:rPr>
          <w:rFonts w:ascii="宋体" w:hAnsi="宋体" w:eastAsia="宋体" w:cs="宋体"/>
          <w:spacing w:val="5"/>
          <w:sz w:val="20"/>
          <w:szCs w:val="20"/>
        </w:rPr>
        <w:t>为内容填写项；</w:t>
      </w:r>
      <w:r>
        <w:rPr>
          <w:rFonts w:ascii="Times New Roman" w:hAnsi="Times New Roman" w:eastAsia="Times New Roman" w:cs="Times New Roman"/>
          <w:spacing w:val="5"/>
          <w:sz w:val="20"/>
          <w:szCs w:val="20"/>
        </w:rPr>
        <w:t>“</w:t>
      </w:r>
      <w:r>
        <w:rPr>
          <w:rFonts w:ascii="宋体" w:hAnsi="宋体" w:eastAsia="宋体" w:cs="宋体"/>
          <w:spacing w:val="5"/>
          <w:sz w:val="20"/>
          <w:szCs w:val="20"/>
        </w:rPr>
        <w:t>备注</w:t>
      </w:r>
      <w:r>
        <w:rPr>
          <w:rFonts w:ascii="Times New Roman" w:hAnsi="Times New Roman" w:eastAsia="Times New Roman" w:cs="Times New Roman"/>
          <w:spacing w:val="5"/>
          <w:sz w:val="20"/>
          <w:szCs w:val="20"/>
        </w:rPr>
        <w:t>”</w:t>
      </w:r>
      <w:r>
        <w:rPr>
          <w:rFonts w:ascii="宋体" w:hAnsi="宋体" w:eastAsia="宋体" w:cs="宋体"/>
          <w:spacing w:val="5"/>
          <w:sz w:val="20"/>
          <w:szCs w:val="20"/>
        </w:rPr>
        <w:t>为其他补充内</w:t>
      </w:r>
      <w:r>
        <w:rPr>
          <w:rFonts w:ascii="宋体" w:hAnsi="宋体" w:eastAsia="宋体" w:cs="宋体"/>
          <w:spacing w:val="3"/>
          <w:sz w:val="20"/>
          <w:szCs w:val="20"/>
        </w:rPr>
        <w:t>容</w:t>
      </w:r>
      <w:r>
        <w:rPr>
          <w:rFonts w:ascii="宋体" w:hAnsi="宋体" w:eastAsia="宋体" w:cs="宋体"/>
          <w:sz w:val="20"/>
          <w:szCs w:val="20"/>
        </w:rPr>
        <w:t>。</w:t>
      </w:r>
    </w:p>
    <w:p w14:paraId="61EAF965">
      <w:pPr>
        <w:spacing w:before="68" w:line="232" w:lineRule="auto"/>
        <w:ind w:left="46"/>
        <w:rPr>
          <w:rFonts w:ascii="宋体" w:hAnsi="宋体" w:eastAsia="宋体" w:cs="宋体"/>
          <w:sz w:val="20"/>
          <w:szCs w:val="20"/>
        </w:rPr>
      </w:pPr>
      <w:r>
        <w:rPr>
          <w:rFonts w:ascii="宋体" w:hAnsi="宋体" w:eastAsia="宋体" w:cs="宋体"/>
          <w:spacing w:val="9"/>
          <w:sz w:val="20"/>
          <w:szCs w:val="20"/>
        </w:rPr>
        <w:t>注</w:t>
      </w:r>
      <w:r>
        <w:rPr>
          <w:rFonts w:ascii="宋体" w:hAnsi="宋体" w:eastAsia="宋体" w:cs="宋体"/>
          <w:spacing w:val="7"/>
          <w:sz w:val="20"/>
          <w:szCs w:val="20"/>
        </w:rPr>
        <w:t xml:space="preserve"> </w:t>
      </w:r>
      <w:r>
        <w:rPr>
          <w:rFonts w:ascii="Times New Roman" w:hAnsi="Times New Roman" w:eastAsia="Times New Roman" w:cs="Times New Roman"/>
          <w:spacing w:val="7"/>
          <w:sz w:val="20"/>
          <w:szCs w:val="20"/>
        </w:rPr>
        <w:t xml:space="preserve">2 </w:t>
      </w:r>
      <w:r>
        <w:rPr>
          <w:rFonts w:ascii="宋体" w:hAnsi="宋体" w:eastAsia="宋体" w:cs="宋体"/>
          <w:spacing w:val="7"/>
          <w:sz w:val="20"/>
          <w:szCs w:val="20"/>
        </w:rPr>
        <w:t>：需要分别开展土壤环境影响评级工作的，分别填写自查表。</w:t>
      </w:r>
    </w:p>
    <w:p w14:paraId="241449A2">
      <w:pPr>
        <w:spacing w:before="9" w:line="29" w:lineRule="exact"/>
        <w:ind w:firstLine="9"/>
        <w:textAlignment w:val="center"/>
      </w:pPr>
      <w:r>
        <w:pict>
          <v:shape id="_x0000_s1294" o:spid="_x0000_s1294" style="height:1.45pt;width:415.8pt;" filled="f" stroked="t" coordsize="8315,29" path="m0,14l8315,14e">
            <v:fill on="f" focussize="0,0"/>
            <v:stroke weight="1.44pt" color="#000000" miterlimit="2" joinstyle="bevel"/>
            <v:imagedata o:title=""/>
            <o:lock v:ext="edit"/>
            <w10:wrap type="none"/>
            <w10:anchorlock/>
          </v:shape>
        </w:pict>
      </w:r>
    </w:p>
    <w:p w14:paraId="01B56F6B">
      <w:pPr>
        <w:sectPr>
          <w:footerReference r:id="rId256" w:type="default"/>
          <w:pgSz w:w="11906" w:h="16839"/>
          <w:pgMar w:top="1132" w:right="1785" w:bottom="1182" w:left="1785" w:header="878" w:footer="1022" w:gutter="0"/>
          <w:cols w:space="720" w:num="1"/>
        </w:sectPr>
      </w:pPr>
    </w:p>
    <w:p w14:paraId="15AEFAC7">
      <w:pPr>
        <w:spacing w:line="430" w:lineRule="auto"/>
        <w:rPr>
          <w:rFonts w:ascii="Arial"/>
          <w:sz w:val="21"/>
        </w:rPr>
      </w:pPr>
      <w:r>
        <w:pict>
          <v:shape id="_x0000_s1295" o:spid="_x0000_s1295" style="position:absolute;left:0pt;margin-left:90pt;margin-top:57.35pt;height:0.75pt;width:415.3pt;mso-position-horizontal-relative:page;mso-position-vertical-relative:page;z-index:251948032;mso-width-relative:page;mso-height-relative:page;" fillcolor="#000000" filled="t" stroked="f" coordsize="8305,15" o:allowincell="f" path="m0,0l8305,0,8305,14,0,14,0,0xe">
            <v:path/>
            <v:fill on="t" focussize="0,0"/>
            <v:stroke on="f"/>
            <v:imagedata o:title=""/>
            <o:lock v:ext="edit"/>
          </v:shape>
        </w:pict>
      </w:r>
    </w:p>
    <w:p w14:paraId="030285DF">
      <w:pPr>
        <w:spacing w:before="114" w:line="225" w:lineRule="auto"/>
        <w:ind w:left="27"/>
        <w:outlineLvl w:val="0"/>
        <w:rPr>
          <w:rFonts w:ascii="宋体" w:hAnsi="宋体" w:eastAsia="宋体" w:cs="宋体"/>
          <w:sz w:val="35"/>
          <w:szCs w:val="35"/>
        </w:rPr>
      </w:pPr>
      <w:bookmarkStart w:id="25" w:name="_bookmark26"/>
      <w:bookmarkEnd w:id="25"/>
      <w:r>
        <w:rPr>
          <w:rFonts w:ascii="Times New Roman" w:hAnsi="Times New Roman" w:eastAsia="Times New Roman" w:cs="Times New Roman"/>
          <w:b/>
          <w:bCs/>
          <w:spacing w:val="9"/>
          <w:sz w:val="35"/>
          <w:szCs w:val="35"/>
        </w:rPr>
        <w:t>6</w:t>
      </w:r>
      <w:r>
        <w:rPr>
          <w:rFonts w:ascii="Times New Roman" w:hAnsi="Times New Roman" w:eastAsia="Times New Roman" w:cs="Times New Roman"/>
          <w:spacing w:val="9"/>
          <w:sz w:val="35"/>
          <w:szCs w:val="35"/>
        </w:rPr>
        <w:t xml:space="preserve">  </w:t>
      </w:r>
      <w:r>
        <w:rPr>
          <w:rFonts w:ascii="宋体" w:hAnsi="宋体" w:eastAsia="宋体" w:cs="宋体"/>
          <w:spacing w:val="9"/>
          <w:sz w:val="35"/>
          <w:szCs w:val="35"/>
          <w14:textOutline w14:w="6537" w14:cap="sq" w14:cmpd="sng">
            <w14:solidFill>
              <w14:srgbClr w14:val="000000"/>
            </w14:solidFill>
            <w14:prstDash w14:val="solid"/>
            <w14:bevel/>
          </w14:textOutline>
        </w:rPr>
        <w:t>污染防治措施及其可行性论</w:t>
      </w:r>
      <w:r>
        <w:rPr>
          <w:rFonts w:ascii="宋体" w:hAnsi="宋体" w:eastAsia="宋体" w:cs="宋体"/>
          <w:spacing w:val="8"/>
          <w:sz w:val="35"/>
          <w:szCs w:val="35"/>
          <w14:textOutline w14:w="6537" w14:cap="sq" w14:cmpd="sng">
            <w14:solidFill>
              <w14:srgbClr w14:val="000000"/>
            </w14:solidFill>
            <w14:prstDash w14:val="solid"/>
            <w14:bevel/>
          </w14:textOutline>
        </w:rPr>
        <w:t>证</w:t>
      </w:r>
    </w:p>
    <w:p w14:paraId="05887438">
      <w:pPr>
        <w:spacing w:before="247" w:line="225" w:lineRule="auto"/>
        <w:ind w:left="25"/>
        <w:outlineLvl w:val="1"/>
        <w:rPr>
          <w:rFonts w:ascii="宋体" w:hAnsi="宋体" w:eastAsia="宋体" w:cs="宋体"/>
          <w:sz w:val="31"/>
          <w:szCs w:val="31"/>
        </w:rPr>
      </w:pPr>
      <w:bookmarkStart w:id="26" w:name="_bookmark27"/>
      <w:bookmarkEnd w:id="26"/>
      <w:r>
        <w:rPr>
          <w:rFonts w:ascii="Times New Roman" w:hAnsi="Times New Roman" w:eastAsia="Times New Roman" w:cs="Times New Roman"/>
          <w:b/>
          <w:bCs/>
          <w:spacing w:val="8"/>
          <w:sz w:val="31"/>
          <w:szCs w:val="31"/>
        </w:rPr>
        <w:t>6.1</w:t>
      </w:r>
      <w:r>
        <w:rPr>
          <w:rFonts w:ascii="Times New Roman" w:hAnsi="Times New Roman" w:eastAsia="Times New Roman" w:cs="Times New Roman"/>
          <w:spacing w:val="8"/>
          <w:sz w:val="31"/>
          <w:szCs w:val="31"/>
        </w:rPr>
        <w:t xml:space="preserve"> </w:t>
      </w:r>
      <w:r>
        <w:rPr>
          <w:rFonts w:ascii="宋体" w:hAnsi="宋体" w:eastAsia="宋体" w:cs="宋体"/>
          <w:spacing w:val="8"/>
          <w:sz w:val="31"/>
          <w:szCs w:val="31"/>
          <w14:textOutline w14:w="5793" w14:cap="sq" w14:cmpd="sng">
            <w14:solidFill>
              <w14:srgbClr w14:val="000000"/>
            </w14:solidFill>
            <w14:prstDash w14:val="solid"/>
            <w14:bevel/>
          </w14:textOutline>
        </w:rPr>
        <w:t>施工期污染防治措</w:t>
      </w:r>
      <w:r>
        <w:rPr>
          <w:rFonts w:ascii="宋体" w:hAnsi="宋体" w:eastAsia="宋体" w:cs="宋体"/>
          <w:spacing w:val="6"/>
          <w:sz w:val="31"/>
          <w:szCs w:val="31"/>
          <w14:textOutline w14:w="5793" w14:cap="sq" w14:cmpd="sng">
            <w14:solidFill>
              <w14:srgbClr w14:val="000000"/>
            </w14:solidFill>
            <w14:prstDash w14:val="solid"/>
            <w14:bevel/>
          </w14:textOutline>
        </w:rPr>
        <w:t>施</w:t>
      </w:r>
    </w:p>
    <w:p w14:paraId="015EB9D3">
      <w:pPr>
        <w:spacing w:before="274" w:line="226" w:lineRule="auto"/>
        <w:ind w:left="25"/>
        <w:outlineLvl w:val="2"/>
        <w:rPr>
          <w:rFonts w:ascii="宋体" w:hAnsi="宋体" w:eastAsia="宋体" w:cs="宋体"/>
          <w:sz w:val="29"/>
          <w:szCs w:val="29"/>
        </w:rPr>
      </w:pPr>
      <w:r>
        <w:rPr>
          <w:rFonts w:ascii="Times New Roman" w:hAnsi="Times New Roman" w:eastAsia="Times New Roman" w:cs="Times New Roman"/>
          <w:b/>
          <w:bCs/>
          <w:spacing w:val="12"/>
          <w:sz w:val="29"/>
          <w:szCs w:val="29"/>
        </w:rPr>
        <w:t>6</w:t>
      </w:r>
      <w:r>
        <w:rPr>
          <w:rFonts w:ascii="Times New Roman" w:hAnsi="Times New Roman" w:eastAsia="Times New Roman" w:cs="Times New Roman"/>
          <w:b/>
          <w:bCs/>
          <w:spacing w:val="7"/>
          <w:sz w:val="29"/>
          <w:szCs w:val="29"/>
        </w:rPr>
        <w:t>.1.1</w:t>
      </w:r>
      <w:r>
        <w:rPr>
          <w:rFonts w:ascii="Times New Roman" w:hAnsi="Times New Roman" w:eastAsia="Times New Roman" w:cs="Times New Roman"/>
          <w:spacing w:val="7"/>
          <w:sz w:val="29"/>
          <w:szCs w:val="29"/>
        </w:rPr>
        <w:t xml:space="preserve"> </w:t>
      </w:r>
      <w:r>
        <w:rPr>
          <w:rFonts w:ascii="宋体" w:hAnsi="宋体" w:eastAsia="宋体" w:cs="宋体"/>
          <w:spacing w:val="7"/>
          <w:sz w:val="29"/>
          <w:szCs w:val="29"/>
          <w14:textOutline w14:w="5448" w14:cap="sq" w14:cmpd="sng">
            <w14:solidFill>
              <w14:srgbClr w14:val="000000"/>
            </w14:solidFill>
            <w14:prstDash w14:val="solid"/>
            <w14:bevel/>
          </w14:textOutline>
        </w:rPr>
        <w:t>施工期废气防治措施</w:t>
      </w:r>
    </w:p>
    <w:p w14:paraId="708EB74A">
      <w:pPr>
        <w:spacing w:line="246" w:lineRule="auto"/>
        <w:rPr>
          <w:rFonts w:ascii="Arial"/>
          <w:sz w:val="21"/>
        </w:rPr>
      </w:pPr>
    </w:p>
    <w:p w14:paraId="5239F617">
      <w:pPr>
        <w:spacing w:before="74" w:line="303" w:lineRule="exact"/>
        <w:ind w:left="522"/>
        <w:rPr>
          <w:rFonts w:ascii="宋体" w:hAnsi="宋体" w:eastAsia="宋体" w:cs="宋体"/>
          <w:sz w:val="23"/>
          <w:szCs w:val="23"/>
        </w:rPr>
      </w:pPr>
      <w:r>
        <w:rPr>
          <w:rFonts w:ascii="Times New Roman" w:hAnsi="Times New Roman" w:eastAsia="Times New Roman" w:cs="Times New Roman"/>
          <w:spacing w:val="-11"/>
          <w:position w:val="1"/>
          <w:sz w:val="23"/>
          <w:szCs w:val="23"/>
        </w:rPr>
        <w:t>1</w:t>
      </w:r>
      <w:r>
        <w:rPr>
          <w:rFonts w:ascii="Times New Roman" w:hAnsi="Times New Roman" w:eastAsia="Times New Roman" w:cs="Times New Roman"/>
          <w:spacing w:val="-10"/>
          <w:position w:val="1"/>
          <w:sz w:val="23"/>
          <w:szCs w:val="23"/>
        </w:rPr>
        <w:t xml:space="preserve"> </w:t>
      </w:r>
      <w:r>
        <w:rPr>
          <w:rFonts w:ascii="宋体" w:hAnsi="宋体" w:eastAsia="宋体" w:cs="宋体"/>
          <w:spacing w:val="-10"/>
          <w:position w:val="1"/>
          <w:sz w:val="23"/>
          <w:szCs w:val="23"/>
        </w:rPr>
        <w:t>、扬尘</w:t>
      </w:r>
    </w:p>
    <w:p w14:paraId="5C4A11F0">
      <w:pPr>
        <w:spacing w:line="244" w:lineRule="auto"/>
        <w:rPr>
          <w:rFonts w:ascii="Arial"/>
          <w:sz w:val="21"/>
        </w:rPr>
      </w:pPr>
    </w:p>
    <w:p w14:paraId="54C3A406">
      <w:pPr>
        <w:spacing w:before="75" w:line="384" w:lineRule="auto"/>
        <w:ind w:left="24" w:right="32" w:firstLine="479"/>
        <w:rPr>
          <w:rFonts w:ascii="宋体" w:hAnsi="宋体" w:eastAsia="宋体" w:cs="宋体"/>
          <w:sz w:val="23"/>
          <w:szCs w:val="23"/>
        </w:rPr>
      </w:pPr>
      <w:r>
        <w:rPr>
          <w:rFonts w:ascii="宋体" w:hAnsi="宋体" w:eastAsia="宋体" w:cs="宋体"/>
          <w:spacing w:val="8"/>
          <w:sz w:val="23"/>
          <w:szCs w:val="23"/>
        </w:rPr>
        <w:t>根据《</w:t>
      </w:r>
      <w:r>
        <w:rPr>
          <w:rFonts w:ascii="宋体" w:hAnsi="宋体" w:eastAsia="宋体" w:cs="宋体"/>
          <w:spacing w:val="7"/>
          <w:sz w:val="23"/>
          <w:szCs w:val="23"/>
        </w:rPr>
        <w:t>辽</w:t>
      </w:r>
      <w:r>
        <w:rPr>
          <w:rFonts w:ascii="宋体" w:hAnsi="宋体" w:eastAsia="宋体" w:cs="宋体"/>
          <w:spacing w:val="4"/>
          <w:sz w:val="23"/>
          <w:szCs w:val="23"/>
        </w:rPr>
        <w:t xml:space="preserve">宁省扬尘污染防治管理办法》 (辽宁省人民政府令第 </w:t>
      </w:r>
      <w:r>
        <w:rPr>
          <w:rFonts w:ascii="Times New Roman" w:hAnsi="Times New Roman" w:eastAsia="Times New Roman" w:cs="Times New Roman"/>
          <w:spacing w:val="4"/>
          <w:sz w:val="23"/>
          <w:szCs w:val="23"/>
        </w:rPr>
        <w:t xml:space="preserve">283 </w:t>
      </w:r>
      <w:r>
        <w:rPr>
          <w:rFonts w:ascii="宋体" w:hAnsi="宋体" w:eastAsia="宋体" w:cs="宋体"/>
          <w:spacing w:val="4"/>
          <w:sz w:val="23"/>
          <w:szCs w:val="23"/>
        </w:rPr>
        <w:t>号，</w:t>
      </w:r>
      <w:r>
        <w:rPr>
          <w:rFonts w:ascii="Times New Roman" w:hAnsi="Times New Roman" w:eastAsia="Times New Roman" w:cs="Times New Roman"/>
          <w:spacing w:val="4"/>
          <w:sz w:val="23"/>
          <w:szCs w:val="23"/>
        </w:rPr>
        <w:t>2013</w:t>
      </w:r>
      <w:r>
        <w:rPr>
          <w:rFonts w:ascii="Times New Roman" w:hAnsi="Times New Roman" w:eastAsia="Times New Roman" w:cs="Times New Roman"/>
          <w:sz w:val="23"/>
          <w:szCs w:val="23"/>
        </w:rPr>
        <w:t xml:space="preserve"> </w:t>
      </w:r>
      <w:r>
        <w:rPr>
          <w:rFonts w:ascii="宋体" w:hAnsi="宋体" w:eastAsia="宋体" w:cs="宋体"/>
          <w:spacing w:val="8"/>
          <w:sz w:val="23"/>
          <w:szCs w:val="23"/>
        </w:rPr>
        <w:t xml:space="preserve">年 </w:t>
      </w:r>
      <w:r>
        <w:rPr>
          <w:rFonts w:ascii="Times New Roman" w:hAnsi="Times New Roman" w:eastAsia="Times New Roman" w:cs="Times New Roman"/>
          <w:spacing w:val="8"/>
          <w:sz w:val="23"/>
          <w:szCs w:val="23"/>
        </w:rPr>
        <w:t>7</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 xml:space="preserve">月 </w:t>
      </w:r>
      <w:r>
        <w:rPr>
          <w:rFonts w:ascii="Times New Roman" w:hAnsi="Times New Roman" w:eastAsia="Times New Roman" w:cs="Times New Roman"/>
          <w:spacing w:val="4"/>
          <w:sz w:val="23"/>
          <w:szCs w:val="23"/>
        </w:rPr>
        <w:t xml:space="preserve">1 </w:t>
      </w:r>
      <w:r>
        <w:rPr>
          <w:rFonts w:ascii="宋体" w:hAnsi="宋体" w:eastAsia="宋体" w:cs="宋体"/>
          <w:spacing w:val="4"/>
          <w:sz w:val="23"/>
          <w:szCs w:val="23"/>
        </w:rPr>
        <w:t>日) 第十一条，建设工程施工应当遵守下列防尘规定：</w:t>
      </w:r>
    </w:p>
    <w:p w14:paraId="656B19B7">
      <w:pPr>
        <w:spacing w:before="135" w:line="384" w:lineRule="auto"/>
        <w:ind w:left="24" w:firstLine="478"/>
        <w:rPr>
          <w:rFonts w:ascii="宋体" w:hAnsi="宋体" w:eastAsia="宋体" w:cs="宋体"/>
          <w:sz w:val="23"/>
          <w:szCs w:val="23"/>
        </w:rPr>
      </w:pPr>
      <w:r>
        <w:rPr>
          <w:rFonts w:ascii="宋体" w:hAnsi="宋体" w:eastAsia="宋体" w:cs="宋体"/>
          <w:spacing w:val="8"/>
          <w:sz w:val="23"/>
          <w:szCs w:val="23"/>
        </w:rPr>
        <w:t>①施工工地周围应当设置连续、密闭的围挡。在市、县城区内的施工现场</w:t>
      </w:r>
      <w:r>
        <w:rPr>
          <w:rFonts w:ascii="宋体" w:hAnsi="宋体" w:eastAsia="宋体" w:cs="宋体"/>
          <w:spacing w:val="7"/>
          <w:sz w:val="23"/>
          <w:szCs w:val="23"/>
        </w:rPr>
        <w:t>，</w:t>
      </w:r>
      <w:r>
        <w:rPr>
          <w:rFonts w:ascii="宋体" w:hAnsi="宋体" w:eastAsia="宋体" w:cs="宋体"/>
          <w:sz w:val="23"/>
          <w:szCs w:val="23"/>
        </w:rPr>
        <w:t xml:space="preserve"> </w:t>
      </w:r>
      <w:r>
        <w:rPr>
          <w:rFonts w:ascii="宋体" w:hAnsi="宋体" w:eastAsia="宋体" w:cs="宋体"/>
          <w:spacing w:val="3"/>
          <w:sz w:val="23"/>
          <w:szCs w:val="23"/>
        </w:rPr>
        <w:t>其</w:t>
      </w:r>
      <w:r>
        <w:rPr>
          <w:rFonts w:ascii="宋体" w:hAnsi="宋体" w:eastAsia="宋体" w:cs="宋体"/>
          <w:spacing w:val="2"/>
          <w:sz w:val="23"/>
          <w:szCs w:val="23"/>
        </w:rPr>
        <w:t xml:space="preserve">高度不得低于 </w:t>
      </w:r>
      <w:r>
        <w:rPr>
          <w:rFonts w:ascii="Times New Roman" w:hAnsi="Times New Roman" w:eastAsia="Times New Roman" w:cs="Times New Roman"/>
          <w:spacing w:val="2"/>
          <w:sz w:val="23"/>
          <w:szCs w:val="23"/>
        </w:rPr>
        <w:t xml:space="preserve">2.5 </w:t>
      </w:r>
      <w:r>
        <w:rPr>
          <w:rFonts w:ascii="宋体" w:hAnsi="宋体" w:eastAsia="宋体" w:cs="宋体"/>
          <w:spacing w:val="2"/>
          <w:sz w:val="23"/>
          <w:szCs w:val="23"/>
        </w:rPr>
        <w:t>米；</w:t>
      </w:r>
    </w:p>
    <w:p w14:paraId="1499C892">
      <w:pPr>
        <w:spacing w:before="135" w:line="225" w:lineRule="auto"/>
        <w:ind w:left="501"/>
        <w:rPr>
          <w:rFonts w:ascii="宋体" w:hAnsi="宋体" w:eastAsia="宋体" w:cs="宋体"/>
          <w:sz w:val="23"/>
          <w:szCs w:val="23"/>
        </w:rPr>
      </w:pPr>
      <w:r>
        <w:rPr>
          <w:rFonts w:ascii="宋体" w:hAnsi="宋体" w:eastAsia="宋体" w:cs="宋体"/>
          <w:spacing w:val="15"/>
          <w:sz w:val="23"/>
          <w:szCs w:val="23"/>
        </w:rPr>
        <w:t>②</w:t>
      </w:r>
      <w:r>
        <w:rPr>
          <w:rFonts w:ascii="宋体" w:hAnsi="宋体" w:eastAsia="宋体" w:cs="宋体"/>
          <w:spacing w:val="9"/>
          <w:sz w:val="23"/>
          <w:szCs w:val="23"/>
        </w:rPr>
        <w:t>施工工地地面、车行道路应当进行硬化等降尘处理；</w:t>
      </w:r>
    </w:p>
    <w:p w14:paraId="55A2DFF5">
      <w:pPr>
        <w:spacing w:line="267" w:lineRule="auto"/>
        <w:rPr>
          <w:rFonts w:ascii="Arial"/>
          <w:sz w:val="21"/>
        </w:rPr>
      </w:pPr>
    </w:p>
    <w:p w14:paraId="2B0900CB">
      <w:pPr>
        <w:spacing w:before="75" w:line="225" w:lineRule="auto"/>
        <w:ind w:left="501"/>
        <w:rPr>
          <w:rFonts w:ascii="宋体" w:hAnsi="宋体" w:eastAsia="宋体" w:cs="宋体"/>
          <w:sz w:val="23"/>
          <w:szCs w:val="23"/>
        </w:rPr>
      </w:pPr>
      <w:r>
        <w:rPr>
          <w:rFonts w:ascii="宋体" w:hAnsi="宋体" w:eastAsia="宋体" w:cs="宋体"/>
          <w:spacing w:val="18"/>
          <w:sz w:val="23"/>
          <w:szCs w:val="23"/>
        </w:rPr>
        <w:t>③</w:t>
      </w:r>
      <w:r>
        <w:rPr>
          <w:rFonts w:ascii="宋体" w:hAnsi="宋体" w:eastAsia="宋体" w:cs="宋体"/>
          <w:spacing w:val="10"/>
          <w:sz w:val="23"/>
          <w:szCs w:val="23"/>
        </w:rPr>
        <w:t>易</w:t>
      </w:r>
      <w:r>
        <w:rPr>
          <w:rFonts w:ascii="宋体" w:hAnsi="宋体" w:eastAsia="宋体" w:cs="宋体"/>
          <w:spacing w:val="9"/>
          <w:sz w:val="23"/>
          <w:szCs w:val="23"/>
        </w:rPr>
        <w:t>产生扬尘的土方工程等施工时，应当采取洒水等抑尘措施；</w:t>
      </w:r>
    </w:p>
    <w:p w14:paraId="647D5FAC">
      <w:pPr>
        <w:spacing w:line="267" w:lineRule="auto"/>
        <w:rPr>
          <w:rFonts w:ascii="Arial"/>
          <w:sz w:val="21"/>
        </w:rPr>
      </w:pPr>
    </w:p>
    <w:p w14:paraId="71E4B70F">
      <w:pPr>
        <w:spacing w:before="75" w:line="225" w:lineRule="auto"/>
        <w:ind w:left="501"/>
        <w:rPr>
          <w:rFonts w:ascii="宋体" w:hAnsi="宋体" w:eastAsia="宋体" w:cs="宋体"/>
          <w:sz w:val="23"/>
          <w:szCs w:val="23"/>
        </w:rPr>
      </w:pPr>
      <w:r>
        <w:rPr>
          <w:rFonts w:ascii="宋体" w:hAnsi="宋体" w:eastAsia="宋体" w:cs="宋体"/>
          <w:spacing w:val="12"/>
          <w:sz w:val="23"/>
          <w:szCs w:val="23"/>
        </w:rPr>
        <w:t>④</w:t>
      </w:r>
      <w:r>
        <w:rPr>
          <w:rFonts w:ascii="宋体" w:hAnsi="宋体" w:eastAsia="宋体" w:cs="宋体"/>
          <w:spacing w:val="8"/>
          <w:sz w:val="23"/>
          <w:szCs w:val="23"/>
        </w:rPr>
        <w:t xml:space="preserve">建筑垃圾、工程渣土等在 </w:t>
      </w:r>
      <w:r>
        <w:rPr>
          <w:rFonts w:ascii="Times New Roman" w:hAnsi="Times New Roman" w:eastAsia="Times New Roman" w:cs="Times New Roman"/>
          <w:spacing w:val="8"/>
          <w:sz w:val="23"/>
          <w:szCs w:val="23"/>
        </w:rPr>
        <w:t xml:space="preserve">48 </w:t>
      </w:r>
      <w:r>
        <w:rPr>
          <w:rFonts w:ascii="宋体" w:hAnsi="宋体" w:eastAsia="宋体" w:cs="宋体"/>
          <w:spacing w:val="8"/>
          <w:sz w:val="23"/>
          <w:szCs w:val="23"/>
        </w:rPr>
        <w:t>小时内未能清运的，应当在施工工地内设置</w:t>
      </w:r>
    </w:p>
    <w:p w14:paraId="4AB54827">
      <w:pPr>
        <w:spacing w:before="187" w:line="227" w:lineRule="auto"/>
        <w:ind w:left="36"/>
        <w:rPr>
          <w:rFonts w:ascii="宋体" w:hAnsi="宋体" w:eastAsia="宋体" w:cs="宋体"/>
          <w:sz w:val="23"/>
          <w:szCs w:val="23"/>
        </w:rPr>
      </w:pPr>
      <w:r>
        <w:rPr>
          <w:rFonts w:ascii="宋体" w:hAnsi="宋体" w:eastAsia="宋体" w:cs="宋体"/>
          <w:spacing w:val="13"/>
          <w:sz w:val="23"/>
          <w:szCs w:val="23"/>
        </w:rPr>
        <w:t>临</w:t>
      </w:r>
      <w:r>
        <w:rPr>
          <w:rFonts w:ascii="宋体" w:hAnsi="宋体" w:eastAsia="宋体" w:cs="宋体"/>
          <w:spacing w:val="8"/>
          <w:sz w:val="23"/>
          <w:szCs w:val="23"/>
        </w:rPr>
        <w:t>时堆放场并采取围挡、遮盖等防尘措施；</w:t>
      </w:r>
    </w:p>
    <w:p w14:paraId="04CF2533">
      <w:pPr>
        <w:spacing w:line="265" w:lineRule="auto"/>
        <w:rPr>
          <w:rFonts w:ascii="Arial"/>
          <w:sz w:val="21"/>
        </w:rPr>
      </w:pPr>
    </w:p>
    <w:p w14:paraId="2591B50E">
      <w:pPr>
        <w:spacing w:before="75" w:line="384" w:lineRule="auto"/>
        <w:ind w:left="39" w:right="35" w:firstLine="462"/>
        <w:rPr>
          <w:rFonts w:ascii="宋体" w:hAnsi="宋体" w:eastAsia="宋体" w:cs="宋体"/>
          <w:sz w:val="23"/>
          <w:szCs w:val="23"/>
        </w:rPr>
      </w:pPr>
      <w:r>
        <w:rPr>
          <w:rFonts w:ascii="宋体" w:hAnsi="宋体" w:eastAsia="宋体" w:cs="宋体"/>
          <w:spacing w:val="7"/>
          <w:sz w:val="23"/>
          <w:szCs w:val="23"/>
        </w:rPr>
        <w:t>⑤运输车辆在除泥、冲洗干净后方可驶出作业场所，不得使用空气压缩机</w:t>
      </w:r>
      <w:r>
        <w:rPr>
          <w:rFonts w:ascii="宋体" w:hAnsi="宋体" w:eastAsia="宋体" w:cs="宋体"/>
          <w:spacing w:val="4"/>
          <w:sz w:val="23"/>
          <w:szCs w:val="23"/>
        </w:rPr>
        <w:t>等</w:t>
      </w:r>
      <w:r>
        <w:rPr>
          <w:rFonts w:ascii="宋体" w:hAnsi="宋体" w:eastAsia="宋体" w:cs="宋体"/>
          <w:sz w:val="23"/>
          <w:szCs w:val="23"/>
        </w:rPr>
        <w:t xml:space="preserve"> </w:t>
      </w:r>
      <w:r>
        <w:rPr>
          <w:rFonts w:ascii="宋体" w:hAnsi="宋体" w:eastAsia="宋体" w:cs="宋体"/>
          <w:spacing w:val="16"/>
          <w:sz w:val="23"/>
          <w:szCs w:val="23"/>
        </w:rPr>
        <w:t>易</w:t>
      </w:r>
      <w:r>
        <w:rPr>
          <w:rFonts w:ascii="宋体" w:hAnsi="宋体" w:eastAsia="宋体" w:cs="宋体"/>
          <w:spacing w:val="8"/>
          <w:sz w:val="23"/>
          <w:szCs w:val="23"/>
        </w:rPr>
        <w:t>产生扬尘的设备清理车辆、设备和物料的尘埃；</w:t>
      </w:r>
    </w:p>
    <w:p w14:paraId="6B8F4A34">
      <w:pPr>
        <w:spacing w:before="136" w:line="384" w:lineRule="auto"/>
        <w:ind w:left="25" w:right="35" w:firstLine="476"/>
        <w:rPr>
          <w:rFonts w:ascii="宋体" w:hAnsi="宋体" w:eastAsia="宋体" w:cs="宋体"/>
          <w:sz w:val="23"/>
          <w:szCs w:val="23"/>
        </w:rPr>
      </w:pPr>
      <w:r>
        <w:rPr>
          <w:rFonts w:ascii="宋体" w:hAnsi="宋体" w:eastAsia="宋体" w:cs="宋体"/>
          <w:spacing w:val="7"/>
          <w:sz w:val="23"/>
          <w:szCs w:val="23"/>
        </w:rPr>
        <w:t>⑥需使用混凝土的，应当使用预拌混凝土或者进行密闭搅拌并采取相应的</w:t>
      </w:r>
      <w:r>
        <w:rPr>
          <w:rFonts w:ascii="宋体" w:hAnsi="宋体" w:eastAsia="宋体" w:cs="宋体"/>
          <w:spacing w:val="4"/>
          <w:sz w:val="23"/>
          <w:szCs w:val="23"/>
        </w:rPr>
        <w:t>扬</w:t>
      </w:r>
      <w:r>
        <w:rPr>
          <w:rFonts w:ascii="宋体" w:hAnsi="宋体" w:eastAsia="宋体" w:cs="宋体"/>
          <w:sz w:val="23"/>
          <w:szCs w:val="23"/>
        </w:rPr>
        <w:t xml:space="preserve"> </w:t>
      </w:r>
      <w:r>
        <w:rPr>
          <w:rFonts w:ascii="宋体" w:hAnsi="宋体" w:eastAsia="宋体" w:cs="宋体"/>
          <w:spacing w:val="16"/>
          <w:sz w:val="23"/>
          <w:szCs w:val="23"/>
        </w:rPr>
        <w:t>尘</w:t>
      </w:r>
      <w:r>
        <w:rPr>
          <w:rFonts w:ascii="宋体" w:hAnsi="宋体" w:eastAsia="宋体" w:cs="宋体"/>
          <w:spacing w:val="8"/>
          <w:sz w:val="23"/>
          <w:szCs w:val="23"/>
        </w:rPr>
        <w:t>防治措施，严禁现场露天搅拌；</w:t>
      </w:r>
    </w:p>
    <w:p w14:paraId="3EA7FB8B">
      <w:pPr>
        <w:spacing w:before="135" w:line="225" w:lineRule="auto"/>
        <w:ind w:left="501"/>
        <w:rPr>
          <w:rFonts w:ascii="宋体" w:hAnsi="宋体" w:eastAsia="宋体" w:cs="宋体"/>
          <w:sz w:val="23"/>
          <w:szCs w:val="23"/>
        </w:rPr>
      </w:pPr>
      <w:r>
        <w:rPr>
          <w:rFonts w:ascii="宋体" w:hAnsi="宋体" w:eastAsia="宋体" w:cs="宋体"/>
          <w:spacing w:val="6"/>
          <w:sz w:val="23"/>
          <w:szCs w:val="23"/>
        </w:rPr>
        <w:t xml:space="preserve">⑦闲置 </w:t>
      </w:r>
      <w:r>
        <w:rPr>
          <w:rFonts w:ascii="Times New Roman" w:hAnsi="Times New Roman" w:eastAsia="Times New Roman" w:cs="Times New Roman"/>
          <w:spacing w:val="6"/>
          <w:sz w:val="23"/>
          <w:szCs w:val="23"/>
        </w:rPr>
        <w:t xml:space="preserve">3 </w:t>
      </w:r>
      <w:r>
        <w:rPr>
          <w:rFonts w:ascii="宋体" w:hAnsi="宋体" w:eastAsia="宋体" w:cs="宋体"/>
          <w:spacing w:val="6"/>
          <w:sz w:val="23"/>
          <w:szCs w:val="23"/>
        </w:rPr>
        <w:t>个月以上的施工工地，应当对其裸露泥地进行临时绿化或者铺</w:t>
      </w:r>
      <w:r>
        <w:rPr>
          <w:rFonts w:ascii="宋体" w:hAnsi="宋体" w:eastAsia="宋体" w:cs="宋体"/>
          <w:spacing w:val="5"/>
          <w:sz w:val="23"/>
          <w:szCs w:val="23"/>
        </w:rPr>
        <w:t>装</w:t>
      </w:r>
      <w:r>
        <w:rPr>
          <w:rFonts w:ascii="宋体" w:hAnsi="宋体" w:eastAsia="宋体" w:cs="宋体"/>
          <w:sz w:val="23"/>
          <w:szCs w:val="23"/>
        </w:rPr>
        <w:t>；</w:t>
      </w:r>
    </w:p>
    <w:p w14:paraId="35AC580E">
      <w:pPr>
        <w:spacing w:line="267" w:lineRule="auto"/>
        <w:rPr>
          <w:rFonts w:ascii="Arial"/>
          <w:sz w:val="21"/>
        </w:rPr>
      </w:pPr>
    </w:p>
    <w:p w14:paraId="4B02FF03">
      <w:pPr>
        <w:spacing w:before="75" w:line="225" w:lineRule="auto"/>
        <w:ind w:left="501"/>
        <w:rPr>
          <w:rFonts w:ascii="宋体" w:hAnsi="宋体" w:eastAsia="宋体" w:cs="宋体"/>
          <w:sz w:val="23"/>
          <w:szCs w:val="23"/>
        </w:rPr>
      </w:pPr>
      <w:r>
        <w:rPr>
          <w:rFonts w:ascii="宋体" w:hAnsi="宋体" w:eastAsia="宋体" w:cs="宋体"/>
          <w:spacing w:val="7"/>
          <w:sz w:val="23"/>
          <w:szCs w:val="23"/>
        </w:rPr>
        <w:t>⑧对工程材料、砂石、土方等易产生扬尘的物料应当密闭处理。在工地内</w:t>
      </w:r>
      <w:r>
        <w:rPr>
          <w:rFonts w:ascii="宋体" w:hAnsi="宋体" w:eastAsia="宋体" w:cs="宋体"/>
          <w:spacing w:val="4"/>
          <w:sz w:val="23"/>
          <w:szCs w:val="23"/>
        </w:rPr>
        <w:t>堆</w:t>
      </w:r>
    </w:p>
    <w:p w14:paraId="1C6083A0">
      <w:pPr>
        <w:spacing w:before="187" w:line="229" w:lineRule="auto"/>
        <w:ind w:left="23"/>
        <w:rPr>
          <w:rFonts w:ascii="宋体" w:hAnsi="宋体" w:eastAsia="宋体" w:cs="宋体"/>
          <w:sz w:val="23"/>
          <w:szCs w:val="23"/>
        </w:rPr>
      </w:pPr>
      <w:r>
        <w:rPr>
          <w:rFonts w:ascii="宋体" w:hAnsi="宋体" w:eastAsia="宋体" w:cs="宋体"/>
          <w:spacing w:val="8"/>
          <w:sz w:val="23"/>
          <w:szCs w:val="23"/>
        </w:rPr>
        <w:t>放，应当采取覆盖防尘网或者防尘布，定期采取喷洒粉尘抑制剂、洒水等措施</w:t>
      </w:r>
      <w:r>
        <w:rPr>
          <w:rFonts w:ascii="宋体" w:hAnsi="宋体" w:eastAsia="宋体" w:cs="宋体"/>
          <w:spacing w:val="7"/>
          <w:sz w:val="23"/>
          <w:szCs w:val="23"/>
        </w:rPr>
        <w:t>；</w:t>
      </w:r>
    </w:p>
    <w:p w14:paraId="6B2F9FE9">
      <w:pPr>
        <w:spacing w:line="263" w:lineRule="auto"/>
        <w:rPr>
          <w:rFonts w:ascii="Arial"/>
          <w:sz w:val="21"/>
        </w:rPr>
      </w:pPr>
    </w:p>
    <w:p w14:paraId="5B5ACE1A">
      <w:pPr>
        <w:spacing w:before="75" w:line="384" w:lineRule="auto"/>
        <w:ind w:left="28" w:right="35" w:firstLine="473"/>
        <w:rPr>
          <w:rFonts w:ascii="宋体" w:hAnsi="宋体" w:eastAsia="宋体" w:cs="宋体"/>
          <w:sz w:val="23"/>
          <w:szCs w:val="23"/>
        </w:rPr>
      </w:pPr>
      <w:r>
        <w:rPr>
          <w:rFonts w:ascii="宋体" w:hAnsi="宋体" w:eastAsia="宋体" w:cs="宋体"/>
          <w:spacing w:val="7"/>
          <w:sz w:val="23"/>
          <w:szCs w:val="23"/>
        </w:rPr>
        <w:t>⑨在建筑物、构筑物上运送散装物料、建筑垃圾和渣土的，应当采用密闭</w:t>
      </w:r>
      <w:r>
        <w:rPr>
          <w:rFonts w:ascii="宋体" w:hAnsi="宋体" w:eastAsia="宋体" w:cs="宋体"/>
          <w:spacing w:val="4"/>
          <w:sz w:val="23"/>
          <w:szCs w:val="23"/>
        </w:rPr>
        <w:t>方</w:t>
      </w:r>
      <w:r>
        <w:rPr>
          <w:rFonts w:ascii="宋体" w:hAnsi="宋体" w:eastAsia="宋体" w:cs="宋体"/>
          <w:sz w:val="23"/>
          <w:szCs w:val="23"/>
        </w:rPr>
        <w:t xml:space="preserve"> </w:t>
      </w:r>
      <w:r>
        <w:rPr>
          <w:rFonts w:ascii="宋体" w:hAnsi="宋体" w:eastAsia="宋体" w:cs="宋体"/>
          <w:spacing w:val="11"/>
          <w:sz w:val="23"/>
          <w:szCs w:val="23"/>
        </w:rPr>
        <w:t>式</w:t>
      </w:r>
      <w:r>
        <w:rPr>
          <w:rFonts w:ascii="宋体" w:hAnsi="宋体" w:eastAsia="宋体" w:cs="宋体"/>
          <w:spacing w:val="8"/>
          <w:sz w:val="23"/>
          <w:szCs w:val="23"/>
        </w:rPr>
        <w:t>清运，禁止高空抛掷、扬撒。</w:t>
      </w:r>
    </w:p>
    <w:p w14:paraId="56354389">
      <w:pPr>
        <w:spacing w:before="134" w:line="384" w:lineRule="auto"/>
        <w:ind w:left="24" w:right="37" w:firstLine="479"/>
        <w:rPr>
          <w:rFonts w:ascii="宋体" w:hAnsi="宋体" w:eastAsia="宋体" w:cs="宋体"/>
          <w:sz w:val="23"/>
          <w:szCs w:val="23"/>
        </w:rPr>
      </w:pPr>
      <w:r>
        <w:rPr>
          <w:rFonts w:ascii="宋体" w:hAnsi="宋体" w:eastAsia="宋体" w:cs="宋体"/>
          <w:spacing w:val="8"/>
          <w:sz w:val="23"/>
          <w:szCs w:val="23"/>
        </w:rPr>
        <w:t>根</w:t>
      </w:r>
      <w:r>
        <w:rPr>
          <w:rFonts w:ascii="宋体" w:hAnsi="宋体" w:eastAsia="宋体" w:cs="宋体"/>
          <w:spacing w:val="6"/>
          <w:sz w:val="23"/>
          <w:szCs w:val="23"/>
        </w:rPr>
        <w:t xml:space="preserve">据《环境空气细颗粒物污染综合防治技术政策》  (环境保护部公告 </w:t>
      </w:r>
      <w:r>
        <w:rPr>
          <w:rFonts w:ascii="Times New Roman" w:hAnsi="Times New Roman" w:eastAsia="Times New Roman" w:cs="Times New Roman"/>
          <w:spacing w:val="6"/>
          <w:sz w:val="23"/>
          <w:szCs w:val="23"/>
        </w:rPr>
        <w:t>2013</w:t>
      </w:r>
      <w:r>
        <w:rPr>
          <w:rFonts w:ascii="Times New Roman" w:hAnsi="Times New Roman" w:eastAsia="Times New Roman" w:cs="Times New Roman"/>
          <w:sz w:val="23"/>
          <w:szCs w:val="23"/>
        </w:rPr>
        <w:t xml:space="preserve"> </w:t>
      </w:r>
      <w:r>
        <w:rPr>
          <w:rFonts w:ascii="宋体" w:hAnsi="宋体" w:eastAsia="宋体" w:cs="宋体"/>
          <w:spacing w:val="1"/>
          <w:sz w:val="23"/>
          <w:szCs w:val="23"/>
        </w:rPr>
        <w:t xml:space="preserve">年第 </w:t>
      </w:r>
      <w:r>
        <w:rPr>
          <w:rFonts w:ascii="Times New Roman" w:hAnsi="Times New Roman" w:eastAsia="Times New Roman" w:cs="Times New Roman"/>
          <w:spacing w:val="1"/>
          <w:sz w:val="23"/>
          <w:szCs w:val="23"/>
        </w:rPr>
        <w:t xml:space="preserve">59 </w:t>
      </w:r>
      <w:r>
        <w:rPr>
          <w:rFonts w:ascii="宋体" w:hAnsi="宋体" w:eastAsia="宋体" w:cs="宋体"/>
          <w:spacing w:val="1"/>
          <w:sz w:val="23"/>
          <w:szCs w:val="23"/>
        </w:rPr>
        <w:t>号，</w:t>
      </w:r>
      <w:r>
        <w:rPr>
          <w:rFonts w:ascii="Times New Roman" w:hAnsi="Times New Roman" w:eastAsia="Times New Roman" w:cs="Times New Roman"/>
          <w:spacing w:val="1"/>
          <w:sz w:val="23"/>
          <w:szCs w:val="23"/>
        </w:rPr>
        <w:t xml:space="preserve">2013 </w:t>
      </w:r>
      <w:r>
        <w:rPr>
          <w:rFonts w:ascii="宋体" w:hAnsi="宋体" w:eastAsia="宋体" w:cs="宋体"/>
          <w:spacing w:val="1"/>
          <w:sz w:val="23"/>
          <w:szCs w:val="23"/>
        </w:rPr>
        <w:t xml:space="preserve">年 </w:t>
      </w:r>
      <w:r>
        <w:rPr>
          <w:rFonts w:ascii="Times New Roman" w:hAnsi="Times New Roman" w:eastAsia="Times New Roman" w:cs="Times New Roman"/>
          <w:spacing w:val="1"/>
          <w:sz w:val="23"/>
          <w:szCs w:val="23"/>
        </w:rPr>
        <w:t xml:space="preserve">9 </w:t>
      </w:r>
      <w:r>
        <w:rPr>
          <w:rFonts w:ascii="宋体" w:hAnsi="宋体" w:eastAsia="宋体" w:cs="宋体"/>
          <w:spacing w:val="1"/>
          <w:sz w:val="23"/>
          <w:szCs w:val="23"/>
        </w:rPr>
        <w:t xml:space="preserve">月 </w:t>
      </w:r>
      <w:r>
        <w:rPr>
          <w:rFonts w:ascii="Times New Roman" w:hAnsi="Times New Roman" w:eastAsia="Times New Roman" w:cs="Times New Roman"/>
          <w:spacing w:val="1"/>
          <w:sz w:val="23"/>
          <w:szCs w:val="23"/>
        </w:rPr>
        <w:t xml:space="preserve">13 </w:t>
      </w:r>
      <w:r>
        <w:rPr>
          <w:rFonts w:ascii="宋体" w:hAnsi="宋体" w:eastAsia="宋体" w:cs="宋体"/>
          <w:spacing w:val="1"/>
          <w:sz w:val="23"/>
          <w:szCs w:val="23"/>
        </w:rPr>
        <w:t xml:space="preserve">日) </w:t>
      </w:r>
      <w:r>
        <w:rPr>
          <w:rFonts w:ascii="Times New Roman" w:hAnsi="Times New Roman" w:eastAsia="Times New Roman" w:cs="Times New Roman"/>
          <w:spacing w:val="1"/>
          <w:sz w:val="23"/>
          <w:szCs w:val="23"/>
        </w:rPr>
        <w:t>“</w:t>
      </w:r>
      <w:r>
        <w:rPr>
          <w:rFonts w:ascii="宋体" w:hAnsi="宋体" w:eastAsia="宋体" w:cs="宋体"/>
          <w:spacing w:val="1"/>
          <w:sz w:val="23"/>
          <w:szCs w:val="23"/>
        </w:rPr>
        <w:t>五、防治扬尘污染</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，要求如下</w:t>
      </w:r>
      <w:r>
        <w:rPr>
          <w:rFonts w:ascii="宋体" w:hAnsi="宋体" w:eastAsia="宋体" w:cs="宋体"/>
          <w:sz w:val="23"/>
          <w:szCs w:val="23"/>
        </w:rPr>
        <w:t>：</w:t>
      </w:r>
    </w:p>
    <w:p w14:paraId="30203350">
      <w:pPr>
        <w:spacing w:before="136" w:line="228" w:lineRule="auto"/>
        <w:ind w:left="514"/>
        <w:rPr>
          <w:rFonts w:ascii="宋体" w:hAnsi="宋体" w:eastAsia="宋体" w:cs="宋体"/>
          <w:sz w:val="23"/>
          <w:szCs w:val="23"/>
        </w:rPr>
      </w:pPr>
      <w:r>
        <w:rPr>
          <w:rFonts w:ascii="宋体" w:hAnsi="宋体" w:eastAsia="宋体" w:cs="宋体"/>
          <w:spacing w:val="20"/>
          <w:sz w:val="23"/>
          <w:szCs w:val="23"/>
        </w:rPr>
        <w:t>(二</w:t>
      </w:r>
      <w:r>
        <w:rPr>
          <w:rFonts w:ascii="宋体" w:hAnsi="宋体" w:eastAsia="宋体" w:cs="宋体"/>
          <w:spacing w:val="15"/>
          <w:sz w:val="23"/>
          <w:szCs w:val="23"/>
        </w:rPr>
        <w:t>十</w:t>
      </w:r>
      <w:r>
        <w:rPr>
          <w:rFonts w:ascii="宋体" w:hAnsi="宋体" w:eastAsia="宋体" w:cs="宋体"/>
          <w:spacing w:val="10"/>
          <w:sz w:val="23"/>
          <w:szCs w:val="23"/>
        </w:rPr>
        <w:t>三) 对各种施工工地、各种粉状物料贮存场、各种港口装卸码头等，</w:t>
      </w:r>
    </w:p>
    <w:p w14:paraId="6FBC9BC4">
      <w:pPr>
        <w:sectPr>
          <w:headerReference r:id="rId257" w:type="default"/>
          <w:footerReference r:id="rId258" w:type="default"/>
          <w:pgSz w:w="11906" w:h="16839"/>
          <w:pgMar w:top="1132" w:right="1764" w:bottom="1182" w:left="1785" w:header="878" w:footer="1022" w:gutter="0"/>
          <w:cols w:space="720" w:num="1"/>
        </w:sectPr>
      </w:pPr>
    </w:p>
    <w:p w14:paraId="362BDE63">
      <w:pPr>
        <w:spacing w:line="399" w:lineRule="auto"/>
        <w:rPr>
          <w:rFonts w:ascii="Arial"/>
          <w:sz w:val="21"/>
        </w:rPr>
      </w:pPr>
      <w:r>
        <w:pict>
          <v:shape id="_x0000_s1296" o:spid="_x0000_s1296" style="position:absolute;left:0pt;margin-left:90pt;margin-top:57.35pt;height:0.75pt;width:415.3pt;mso-position-horizontal-relative:page;mso-position-vertical-relative:page;z-index:251949056;mso-width-relative:page;mso-height-relative:page;" fillcolor="#000000" filled="t" stroked="f" coordsize="8305,15" o:allowincell="f" path="m0,0l8305,0,8305,14,0,14,0,0xe">
            <v:path/>
            <v:fill on="t" focussize="0,0"/>
            <v:stroke on="f"/>
            <v:imagedata o:title=""/>
            <o:lock v:ext="edit"/>
          </v:shape>
        </w:pict>
      </w:r>
    </w:p>
    <w:p w14:paraId="4A641025">
      <w:pPr>
        <w:spacing w:before="75" w:line="381" w:lineRule="auto"/>
        <w:ind w:left="22" w:right="80"/>
        <w:rPr>
          <w:rFonts w:ascii="宋体" w:hAnsi="宋体" w:eastAsia="宋体" w:cs="宋体"/>
          <w:sz w:val="23"/>
          <w:szCs w:val="23"/>
        </w:rPr>
      </w:pPr>
      <w:r>
        <w:rPr>
          <w:rFonts w:ascii="宋体" w:hAnsi="宋体" w:eastAsia="宋体" w:cs="宋体"/>
          <w:spacing w:val="9"/>
          <w:sz w:val="23"/>
          <w:szCs w:val="23"/>
        </w:rPr>
        <w:t>应</w:t>
      </w:r>
      <w:r>
        <w:rPr>
          <w:rFonts w:ascii="宋体" w:hAnsi="宋体" w:eastAsia="宋体" w:cs="宋体"/>
          <w:spacing w:val="7"/>
          <w:sz w:val="23"/>
          <w:szCs w:val="23"/>
        </w:rPr>
        <w:t>采取设置围挡墙、防尘网和喷洒抑尘剂等有效的防尘、抑尘措施，防止颗粒物</w:t>
      </w:r>
      <w:r>
        <w:rPr>
          <w:rFonts w:ascii="宋体" w:hAnsi="宋体" w:eastAsia="宋体" w:cs="宋体"/>
          <w:sz w:val="23"/>
          <w:szCs w:val="23"/>
        </w:rPr>
        <w:t xml:space="preserve"> </w:t>
      </w:r>
      <w:r>
        <w:rPr>
          <w:rFonts w:ascii="宋体" w:hAnsi="宋体" w:eastAsia="宋体" w:cs="宋体"/>
          <w:spacing w:val="9"/>
          <w:sz w:val="23"/>
          <w:szCs w:val="23"/>
        </w:rPr>
        <w:t>逸</w:t>
      </w:r>
      <w:r>
        <w:rPr>
          <w:rFonts w:ascii="宋体" w:hAnsi="宋体" w:eastAsia="宋体" w:cs="宋体"/>
          <w:spacing w:val="7"/>
          <w:sz w:val="23"/>
          <w:szCs w:val="23"/>
        </w:rPr>
        <w:t>散；设置车辆清洗装置，保持上路行驶车辆的清洁；鼓励各类土建工程使用预</w:t>
      </w:r>
      <w:r>
        <w:rPr>
          <w:rFonts w:ascii="宋体" w:hAnsi="宋体" w:eastAsia="宋体" w:cs="宋体"/>
          <w:sz w:val="23"/>
          <w:szCs w:val="23"/>
        </w:rPr>
        <w:t xml:space="preserve"> </w:t>
      </w:r>
      <w:r>
        <w:rPr>
          <w:rFonts w:ascii="宋体" w:hAnsi="宋体" w:eastAsia="宋体" w:cs="宋体"/>
          <w:spacing w:val="8"/>
          <w:sz w:val="23"/>
          <w:szCs w:val="23"/>
        </w:rPr>
        <w:t>搅拌的商品混凝土</w:t>
      </w:r>
      <w:r>
        <w:rPr>
          <w:rFonts w:ascii="宋体" w:hAnsi="宋体" w:eastAsia="宋体" w:cs="宋体"/>
          <w:spacing w:val="7"/>
          <w:sz w:val="23"/>
          <w:szCs w:val="23"/>
        </w:rPr>
        <w:t>。</w:t>
      </w:r>
    </w:p>
    <w:p w14:paraId="0D8589F4">
      <w:pPr>
        <w:spacing w:before="135" w:line="384" w:lineRule="auto"/>
        <w:ind w:left="21" w:right="80" w:firstLine="493"/>
        <w:rPr>
          <w:rFonts w:ascii="宋体" w:hAnsi="宋体" w:eastAsia="宋体" w:cs="宋体"/>
          <w:sz w:val="23"/>
          <w:szCs w:val="23"/>
        </w:rPr>
      </w:pPr>
      <w:r>
        <w:rPr>
          <w:rFonts w:ascii="宋体" w:hAnsi="宋体" w:eastAsia="宋体" w:cs="宋体"/>
          <w:spacing w:val="18"/>
          <w:sz w:val="23"/>
          <w:szCs w:val="23"/>
        </w:rPr>
        <w:t>(二</w:t>
      </w:r>
      <w:r>
        <w:rPr>
          <w:rFonts w:ascii="宋体" w:hAnsi="宋体" w:eastAsia="宋体" w:cs="宋体"/>
          <w:spacing w:val="15"/>
          <w:sz w:val="23"/>
          <w:szCs w:val="23"/>
        </w:rPr>
        <w:t>十</w:t>
      </w:r>
      <w:r>
        <w:rPr>
          <w:rFonts w:ascii="宋体" w:hAnsi="宋体" w:eastAsia="宋体" w:cs="宋体"/>
          <w:spacing w:val="9"/>
          <w:sz w:val="23"/>
          <w:szCs w:val="23"/>
        </w:rPr>
        <w:t>四) 实行粉状物料及渣土车辆密闭运输，加强监管，防止遗撒。及时</w:t>
      </w:r>
      <w:r>
        <w:rPr>
          <w:rFonts w:ascii="宋体" w:hAnsi="宋体" w:eastAsia="宋体" w:cs="宋体"/>
          <w:sz w:val="23"/>
          <w:szCs w:val="23"/>
        </w:rPr>
        <w:t xml:space="preserve"> </w:t>
      </w:r>
      <w:r>
        <w:rPr>
          <w:rFonts w:ascii="宋体" w:hAnsi="宋体" w:eastAsia="宋体" w:cs="宋体"/>
          <w:spacing w:val="13"/>
          <w:sz w:val="23"/>
          <w:szCs w:val="23"/>
        </w:rPr>
        <w:t>进</w:t>
      </w:r>
      <w:r>
        <w:rPr>
          <w:rFonts w:ascii="宋体" w:hAnsi="宋体" w:eastAsia="宋体" w:cs="宋体"/>
          <w:spacing w:val="9"/>
          <w:sz w:val="23"/>
          <w:szCs w:val="23"/>
        </w:rPr>
        <w:t>行道路清扫、冲洗、洒水作业，减少道路扬尘。</w:t>
      </w:r>
    </w:p>
    <w:p w14:paraId="2B7F6EB3">
      <w:pPr>
        <w:spacing w:before="132" w:line="377" w:lineRule="auto"/>
        <w:ind w:left="22" w:right="77" w:firstLine="480"/>
        <w:rPr>
          <w:rFonts w:ascii="宋体" w:hAnsi="宋体" w:eastAsia="宋体" w:cs="宋体"/>
          <w:sz w:val="23"/>
          <w:szCs w:val="23"/>
        </w:rPr>
      </w:pPr>
      <w:r>
        <w:rPr>
          <w:rFonts w:ascii="宋体" w:hAnsi="宋体" w:eastAsia="宋体" w:cs="宋体"/>
          <w:spacing w:val="27"/>
          <w:sz w:val="23"/>
          <w:szCs w:val="23"/>
        </w:rPr>
        <w:t>根</w:t>
      </w:r>
      <w:r>
        <w:rPr>
          <w:rFonts w:ascii="宋体" w:hAnsi="宋体" w:eastAsia="宋体" w:cs="宋体"/>
          <w:spacing w:val="26"/>
          <w:sz w:val="23"/>
          <w:szCs w:val="23"/>
        </w:rPr>
        <w:t>据</w:t>
      </w:r>
      <w:r>
        <w:rPr>
          <w:rFonts w:ascii="Times New Roman" w:hAnsi="Times New Roman" w:eastAsia="Times New Roman" w:cs="Times New Roman"/>
          <w:spacing w:val="26"/>
          <w:sz w:val="23"/>
          <w:szCs w:val="23"/>
        </w:rPr>
        <w:t xml:space="preserve">“ </w:t>
      </w:r>
      <w:r>
        <w:rPr>
          <w:rFonts w:ascii="宋体" w:hAnsi="宋体" w:eastAsia="宋体" w:cs="宋体"/>
          <w:spacing w:val="26"/>
          <w:sz w:val="23"/>
          <w:szCs w:val="23"/>
        </w:rPr>
        <w:t>本溪市人民政府关于进一步推进蓝天工程的实施意见</w:t>
      </w:r>
      <w:r>
        <w:rPr>
          <w:rFonts w:ascii="Times New Roman" w:hAnsi="Times New Roman" w:eastAsia="Times New Roman" w:cs="Times New Roman"/>
          <w:spacing w:val="26"/>
          <w:sz w:val="23"/>
          <w:szCs w:val="23"/>
        </w:rPr>
        <w:t xml:space="preserve">”  </w:t>
      </w:r>
      <w:r>
        <w:rPr>
          <w:rFonts w:ascii="宋体" w:hAnsi="宋体" w:eastAsia="宋体" w:cs="宋体"/>
          <w:spacing w:val="26"/>
          <w:sz w:val="23"/>
          <w:szCs w:val="23"/>
        </w:rPr>
        <w:t>(本政发</w:t>
      </w:r>
      <w:r>
        <w:rPr>
          <w:rFonts w:ascii="宋体" w:hAnsi="宋体" w:eastAsia="宋体" w:cs="宋体"/>
          <w:sz w:val="23"/>
          <w:szCs w:val="23"/>
        </w:rPr>
        <w:t xml:space="preserve"> </w:t>
      </w:r>
      <w:r>
        <w:rPr>
          <w:rFonts w:ascii="Times New Roman" w:hAnsi="Times New Roman" w:eastAsia="Times New Roman" w:cs="Times New Roman"/>
          <w:spacing w:val="4"/>
          <w:sz w:val="23"/>
          <w:szCs w:val="23"/>
        </w:rPr>
        <w:t xml:space="preserve">[2012]33 </w:t>
      </w:r>
      <w:r>
        <w:rPr>
          <w:rFonts w:ascii="宋体" w:hAnsi="宋体" w:eastAsia="宋体" w:cs="宋体"/>
          <w:spacing w:val="4"/>
          <w:sz w:val="23"/>
          <w:szCs w:val="23"/>
        </w:rPr>
        <w:t>号，</w:t>
      </w:r>
      <w:r>
        <w:rPr>
          <w:rFonts w:ascii="宋体" w:hAnsi="宋体" w:eastAsia="宋体" w:cs="宋体"/>
          <w:spacing w:val="3"/>
          <w:sz w:val="23"/>
          <w:szCs w:val="23"/>
        </w:rPr>
        <w:t>本</w:t>
      </w:r>
      <w:r>
        <w:rPr>
          <w:rFonts w:ascii="宋体" w:hAnsi="宋体" w:eastAsia="宋体" w:cs="宋体"/>
          <w:spacing w:val="2"/>
          <w:sz w:val="23"/>
          <w:szCs w:val="23"/>
        </w:rPr>
        <w:t>溪市人民政府，</w:t>
      </w:r>
      <w:r>
        <w:rPr>
          <w:rFonts w:ascii="Times New Roman" w:hAnsi="Times New Roman" w:eastAsia="Times New Roman" w:cs="Times New Roman"/>
          <w:spacing w:val="2"/>
          <w:sz w:val="23"/>
          <w:szCs w:val="23"/>
        </w:rPr>
        <w:t xml:space="preserve">2012 </w:t>
      </w:r>
      <w:r>
        <w:rPr>
          <w:rFonts w:ascii="宋体" w:hAnsi="宋体" w:eastAsia="宋体" w:cs="宋体"/>
          <w:spacing w:val="2"/>
          <w:sz w:val="23"/>
          <w:szCs w:val="23"/>
        </w:rPr>
        <w:t xml:space="preserve">年 </w:t>
      </w:r>
      <w:r>
        <w:rPr>
          <w:rFonts w:ascii="Times New Roman" w:hAnsi="Times New Roman" w:eastAsia="Times New Roman" w:cs="Times New Roman"/>
          <w:spacing w:val="2"/>
          <w:sz w:val="23"/>
          <w:szCs w:val="23"/>
        </w:rPr>
        <w:t xml:space="preserve">12 </w:t>
      </w:r>
      <w:r>
        <w:rPr>
          <w:rFonts w:ascii="宋体" w:hAnsi="宋体" w:eastAsia="宋体" w:cs="宋体"/>
          <w:spacing w:val="2"/>
          <w:sz w:val="23"/>
          <w:szCs w:val="23"/>
        </w:rPr>
        <w:t xml:space="preserve">月 </w:t>
      </w:r>
      <w:r>
        <w:rPr>
          <w:rFonts w:ascii="Times New Roman" w:hAnsi="Times New Roman" w:eastAsia="Times New Roman" w:cs="Times New Roman"/>
          <w:spacing w:val="2"/>
          <w:sz w:val="23"/>
          <w:szCs w:val="23"/>
        </w:rPr>
        <w:t xml:space="preserve">12 </w:t>
      </w:r>
      <w:r>
        <w:rPr>
          <w:rFonts w:ascii="宋体" w:hAnsi="宋体" w:eastAsia="宋体" w:cs="宋体"/>
          <w:spacing w:val="2"/>
          <w:sz w:val="23"/>
          <w:szCs w:val="23"/>
        </w:rPr>
        <w:t>日) ，本溪市</w:t>
      </w:r>
      <w:r>
        <w:rPr>
          <w:rFonts w:ascii="Times New Roman" w:hAnsi="Times New Roman" w:eastAsia="Times New Roman" w:cs="Times New Roman"/>
          <w:spacing w:val="2"/>
          <w:sz w:val="23"/>
          <w:szCs w:val="23"/>
        </w:rPr>
        <w:t>“</w:t>
      </w:r>
      <w:r>
        <w:rPr>
          <w:rFonts w:ascii="宋体" w:hAnsi="宋体" w:eastAsia="宋体" w:cs="宋体"/>
          <w:spacing w:val="2"/>
          <w:sz w:val="23"/>
          <w:szCs w:val="23"/>
        </w:rPr>
        <w:t>蓝天工程</w:t>
      </w:r>
      <w:r>
        <w:rPr>
          <w:rFonts w:ascii="Times New Roman" w:hAnsi="Times New Roman" w:eastAsia="Times New Roman" w:cs="Times New Roman"/>
          <w:spacing w:val="2"/>
          <w:sz w:val="23"/>
          <w:szCs w:val="23"/>
        </w:rPr>
        <w:t>”</w:t>
      </w:r>
      <w:r>
        <w:rPr>
          <w:rFonts w:ascii="宋体" w:hAnsi="宋体" w:eastAsia="宋体" w:cs="宋体"/>
          <w:spacing w:val="2"/>
          <w:sz w:val="23"/>
          <w:szCs w:val="23"/>
        </w:rPr>
        <w:t>分解为</w:t>
      </w:r>
      <w:r>
        <w:rPr>
          <w:rFonts w:ascii="宋体" w:hAnsi="宋体" w:eastAsia="宋体" w:cs="宋体"/>
          <w:sz w:val="23"/>
          <w:szCs w:val="23"/>
        </w:rPr>
        <w:t xml:space="preserve"> </w:t>
      </w:r>
      <w:r>
        <w:rPr>
          <w:rFonts w:ascii="Times New Roman" w:hAnsi="Times New Roman" w:eastAsia="Times New Roman" w:cs="Times New Roman"/>
          <w:spacing w:val="12"/>
          <w:sz w:val="23"/>
          <w:szCs w:val="23"/>
        </w:rPr>
        <w:t xml:space="preserve">7 </w:t>
      </w:r>
      <w:r>
        <w:rPr>
          <w:rFonts w:ascii="宋体" w:hAnsi="宋体" w:eastAsia="宋体" w:cs="宋体"/>
          <w:spacing w:val="12"/>
          <w:sz w:val="23"/>
          <w:szCs w:val="23"/>
        </w:rPr>
        <w:t>大工</w:t>
      </w:r>
      <w:r>
        <w:rPr>
          <w:rFonts w:ascii="宋体" w:hAnsi="宋体" w:eastAsia="宋体" w:cs="宋体"/>
          <w:spacing w:val="7"/>
          <w:sz w:val="23"/>
          <w:szCs w:val="23"/>
        </w:rPr>
        <w:t>程</w:t>
      </w:r>
      <w:r>
        <w:rPr>
          <w:rFonts w:ascii="宋体" w:hAnsi="宋体" w:eastAsia="宋体" w:cs="宋体"/>
          <w:spacing w:val="6"/>
          <w:sz w:val="23"/>
          <w:szCs w:val="23"/>
        </w:rPr>
        <w:t>、</w:t>
      </w:r>
      <w:r>
        <w:rPr>
          <w:rFonts w:ascii="Times New Roman" w:hAnsi="Times New Roman" w:eastAsia="Times New Roman" w:cs="Times New Roman"/>
          <w:spacing w:val="6"/>
          <w:sz w:val="23"/>
          <w:szCs w:val="23"/>
        </w:rPr>
        <w:t xml:space="preserve">30 </w:t>
      </w:r>
      <w:r>
        <w:rPr>
          <w:rFonts w:ascii="宋体" w:hAnsi="宋体" w:eastAsia="宋体" w:cs="宋体"/>
          <w:spacing w:val="6"/>
          <w:sz w:val="23"/>
          <w:szCs w:val="23"/>
        </w:rPr>
        <w:t>项任务、</w:t>
      </w:r>
      <w:r>
        <w:rPr>
          <w:rFonts w:ascii="Times New Roman" w:hAnsi="Times New Roman" w:eastAsia="Times New Roman" w:cs="Times New Roman"/>
          <w:spacing w:val="6"/>
          <w:sz w:val="23"/>
          <w:szCs w:val="23"/>
        </w:rPr>
        <w:t xml:space="preserve">144 </w:t>
      </w:r>
      <w:r>
        <w:rPr>
          <w:rFonts w:ascii="宋体" w:hAnsi="宋体" w:eastAsia="宋体" w:cs="宋体"/>
          <w:spacing w:val="6"/>
          <w:sz w:val="23"/>
          <w:szCs w:val="23"/>
        </w:rPr>
        <w:t>项内容。其中</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(四) 城市全覆盖工程</w:t>
      </w:r>
      <w:r>
        <w:rPr>
          <w:rFonts w:ascii="Times New Roman" w:hAnsi="Times New Roman" w:eastAsia="Times New Roman" w:cs="Times New Roman"/>
          <w:spacing w:val="6"/>
          <w:sz w:val="23"/>
          <w:szCs w:val="23"/>
        </w:rPr>
        <w:t>”</w:t>
      </w:r>
      <w:r>
        <w:rPr>
          <w:rFonts w:ascii="宋体" w:hAnsi="宋体" w:eastAsia="宋体" w:cs="宋体"/>
          <w:spacing w:val="6"/>
          <w:sz w:val="23"/>
          <w:szCs w:val="23"/>
        </w:rPr>
        <w:t>要求</w:t>
      </w:r>
      <w:r>
        <w:rPr>
          <w:rFonts w:ascii="Times New Roman" w:hAnsi="Times New Roman" w:eastAsia="Times New Roman" w:cs="Times New Roman"/>
          <w:spacing w:val="6"/>
          <w:sz w:val="23"/>
          <w:szCs w:val="23"/>
        </w:rPr>
        <w:t>“</w:t>
      </w:r>
      <w:r>
        <w:rPr>
          <w:rFonts w:ascii="宋体" w:hAnsi="宋体" w:eastAsia="宋体" w:cs="宋体"/>
          <w:spacing w:val="6"/>
          <w:sz w:val="23"/>
          <w:szCs w:val="23"/>
        </w:rPr>
        <w:t>严控建筑</w:t>
      </w:r>
      <w:r>
        <w:rPr>
          <w:rFonts w:ascii="宋体" w:hAnsi="宋体" w:eastAsia="宋体" w:cs="宋体"/>
          <w:sz w:val="23"/>
          <w:szCs w:val="23"/>
        </w:rPr>
        <w:t xml:space="preserve"> </w:t>
      </w:r>
      <w:r>
        <w:rPr>
          <w:rFonts w:ascii="宋体" w:hAnsi="宋体" w:eastAsia="宋体" w:cs="宋体"/>
          <w:spacing w:val="9"/>
          <w:sz w:val="23"/>
          <w:szCs w:val="23"/>
        </w:rPr>
        <w:t>施</w:t>
      </w:r>
      <w:r>
        <w:rPr>
          <w:rFonts w:ascii="宋体" w:hAnsi="宋体" w:eastAsia="宋体" w:cs="宋体"/>
          <w:spacing w:val="7"/>
          <w:sz w:val="23"/>
          <w:szCs w:val="23"/>
        </w:rPr>
        <w:t>工扬尘污染，建筑工地实施立体封闭、平面覆盖、道路硬化，拆迁工程采用湿</w:t>
      </w:r>
      <w:r>
        <w:rPr>
          <w:rFonts w:ascii="宋体" w:hAnsi="宋体" w:eastAsia="宋体" w:cs="宋体"/>
          <w:sz w:val="23"/>
          <w:szCs w:val="23"/>
        </w:rPr>
        <w:t xml:space="preserve"> </w:t>
      </w:r>
      <w:r>
        <w:rPr>
          <w:rFonts w:ascii="宋体" w:hAnsi="宋体" w:eastAsia="宋体" w:cs="宋体"/>
          <w:spacing w:val="14"/>
          <w:sz w:val="23"/>
          <w:szCs w:val="23"/>
        </w:rPr>
        <w:t>式作业</w:t>
      </w:r>
      <w:r>
        <w:rPr>
          <w:rFonts w:ascii="宋体" w:hAnsi="宋体" w:eastAsia="宋体" w:cs="宋体"/>
          <w:spacing w:val="10"/>
          <w:sz w:val="23"/>
          <w:szCs w:val="23"/>
        </w:rPr>
        <w:t>方</w:t>
      </w:r>
      <w:r>
        <w:rPr>
          <w:rFonts w:ascii="宋体" w:hAnsi="宋体" w:eastAsia="宋体" w:cs="宋体"/>
          <w:spacing w:val="7"/>
          <w:sz w:val="23"/>
          <w:szCs w:val="23"/>
        </w:rPr>
        <w:t>式，施工运输车辆进行清洗和覆盖。</w:t>
      </w:r>
      <w:r>
        <w:rPr>
          <w:rFonts w:ascii="Times New Roman" w:hAnsi="Times New Roman" w:eastAsia="Times New Roman" w:cs="Times New Roman"/>
          <w:spacing w:val="7"/>
          <w:sz w:val="23"/>
          <w:szCs w:val="23"/>
        </w:rPr>
        <w:t>”“</w:t>
      </w:r>
      <w:r>
        <w:rPr>
          <w:rFonts w:ascii="宋体" w:hAnsi="宋体" w:eastAsia="宋体" w:cs="宋体"/>
          <w:spacing w:val="7"/>
          <w:sz w:val="23"/>
          <w:szCs w:val="23"/>
        </w:rPr>
        <w:t>禁止汽车带泥上路、运输车辆遗</w:t>
      </w:r>
      <w:r>
        <w:rPr>
          <w:rFonts w:ascii="宋体" w:hAnsi="宋体" w:eastAsia="宋体" w:cs="宋体"/>
          <w:sz w:val="23"/>
          <w:szCs w:val="23"/>
        </w:rPr>
        <w:t xml:space="preserve"> </w:t>
      </w:r>
      <w:r>
        <w:rPr>
          <w:rFonts w:ascii="宋体" w:hAnsi="宋体" w:eastAsia="宋体" w:cs="宋体"/>
          <w:spacing w:val="20"/>
          <w:sz w:val="23"/>
          <w:szCs w:val="23"/>
        </w:rPr>
        <w:t>撒等</w:t>
      </w:r>
      <w:r>
        <w:rPr>
          <w:rFonts w:ascii="宋体" w:hAnsi="宋体" w:eastAsia="宋体" w:cs="宋体"/>
          <w:spacing w:val="15"/>
          <w:sz w:val="23"/>
          <w:szCs w:val="23"/>
        </w:rPr>
        <w:t>道</w:t>
      </w:r>
      <w:r>
        <w:rPr>
          <w:rFonts w:ascii="宋体" w:hAnsi="宋体" w:eastAsia="宋体" w:cs="宋体"/>
          <w:spacing w:val="10"/>
          <w:sz w:val="23"/>
          <w:szCs w:val="23"/>
        </w:rPr>
        <w:t>路污染行为。</w:t>
      </w:r>
      <w:r>
        <w:rPr>
          <w:rFonts w:ascii="Times New Roman" w:hAnsi="Times New Roman" w:eastAsia="Times New Roman" w:cs="Times New Roman"/>
          <w:spacing w:val="10"/>
          <w:sz w:val="23"/>
          <w:szCs w:val="23"/>
        </w:rPr>
        <w:t>”</w:t>
      </w:r>
      <w:r>
        <w:rPr>
          <w:rFonts w:ascii="宋体" w:hAnsi="宋体" w:eastAsia="宋体" w:cs="宋体"/>
          <w:spacing w:val="10"/>
          <w:sz w:val="23"/>
          <w:szCs w:val="23"/>
        </w:rPr>
        <w:t>本项目在施工建设期间，会产生扬尘污染，这些扬尘尽管</w:t>
      </w:r>
      <w:r>
        <w:rPr>
          <w:rFonts w:ascii="宋体" w:hAnsi="宋体" w:eastAsia="宋体" w:cs="宋体"/>
          <w:sz w:val="23"/>
          <w:szCs w:val="23"/>
        </w:rPr>
        <w:t xml:space="preserve"> </w:t>
      </w:r>
      <w:r>
        <w:rPr>
          <w:rFonts w:ascii="宋体" w:hAnsi="宋体" w:eastAsia="宋体" w:cs="宋体"/>
          <w:spacing w:val="9"/>
          <w:sz w:val="23"/>
          <w:szCs w:val="23"/>
        </w:rPr>
        <w:t>是</w:t>
      </w:r>
      <w:r>
        <w:rPr>
          <w:rFonts w:ascii="宋体" w:hAnsi="宋体" w:eastAsia="宋体" w:cs="宋体"/>
          <w:spacing w:val="7"/>
          <w:sz w:val="23"/>
          <w:szCs w:val="23"/>
        </w:rPr>
        <w:t>短期行为，但会给附近区域带来不利的影响。结合上述要求，针对施工期扬尘</w:t>
      </w:r>
      <w:r>
        <w:rPr>
          <w:rFonts w:ascii="宋体" w:hAnsi="宋体" w:eastAsia="宋体" w:cs="宋体"/>
          <w:sz w:val="23"/>
          <w:szCs w:val="23"/>
        </w:rPr>
        <w:t xml:space="preserve"> </w:t>
      </w:r>
      <w:r>
        <w:rPr>
          <w:rFonts w:ascii="宋体" w:hAnsi="宋体" w:eastAsia="宋体" w:cs="宋体"/>
          <w:spacing w:val="15"/>
          <w:sz w:val="23"/>
          <w:szCs w:val="23"/>
        </w:rPr>
        <w:t>较</w:t>
      </w:r>
      <w:r>
        <w:rPr>
          <w:rFonts w:ascii="宋体" w:hAnsi="宋体" w:eastAsia="宋体" w:cs="宋体"/>
          <w:spacing w:val="9"/>
          <w:sz w:val="23"/>
          <w:szCs w:val="23"/>
        </w:rPr>
        <w:t>严重的环境问题，拟建项目施工期控制扬尘措施如下：</w:t>
      </w:r>
    </w:p>
    <w:p w14:paraId="52C48F22">
      <w:pPr>
        <w:spacing w:before="145" w:line="384" w:lineRule="auto"/>
        <w:ind w:left="22" w:right="80" w:firstLine="480"/>
        <w:rPr>
          <w:rFonts w:ascii="宋体" w:hAnsi="宋体" w:eastAsia="宋体" w:cs="宋体"/>
          <w:sz w:val="23"/>
          <w:szCs w:val="23"/>
        </w:rPr>
      </w:pPr>
      <w:r>
        <w:rPr>
          <w:rFonts w:ascii="宋体" w:hAnsi="宋体" w:eastAsia="宋体" w:cs="宋体"/>
          <w:spacing w:val="7"/>
          <w:sz w:val="23"/>
          <w:szCs w:val="23"/>
        </w:rPr>
        <w:t>①对于建设施工阶段的车辆和机械扬尘，建议采取洒水抑尘。利用洒水车</w:t>
      </w:r>
      <w:r>
        <w:rPr>
          <w:rFonts w:ascii="宋体" w:hAnsi="宋体" w:eastAsia="宋体" w:cs="宋体"/>
          <w:spacing w:val="3"/>
          <w:sz w:val="23"/>
          <w:szCs w:val="23"/>
        </w:rPr>
        <w:t>对</w:t>
      </w:r>
      <w:r>
        <w:rPr>
          <w:rFonts w:ascii="宋体" w:hAnsi="宋体" w:eastAsia="宋体" w:cs="宋体"/>
          <w:sz w:val="23"/>
          <w:szCs w:val="23"/>
        </w:rPr>
        <w:t xml:space="preserve"> </w:t>
      </w:r>
      <w:r>
        <w:rPr>
          <w:rFonts w:ascii="宋体" w:hAnsi="宋体" w:eastAsia="宋体" w:cs="宋体"/>
          <w:spacing w:val="10"/>
          <w:sz w:val="23"/>
          <w:szCs w:val="23"/>
        </w:rPr>
        <w:t>施</w:t>
      </w:r>
      <w:r>
        <w:rPr>
          <w:rFonts w:ascii="宋体" w:hAnsi="宋体" w:eastAsia="宋体" w:cs="宋体"/>
          <w:spacing w:val="9"/>
          <w:sz w:val="23"/>
          <w:szCs w:val="23"/>
        </w:rPr>
        <w:t>工现场和进出道路洒水，减少扬尘的产生。</w:t>
      </w:r>
    </w:p>
    <w:p w14:paraId="0E7DD2B3">
      <w:pPr>
        <w:spacing w:before="135" w:line="384" w:lineRule="auto"/>
        <w:ind w:left="28" w:right="80" w:firstLine="473"/>
        <w:rPr>
          <w:rFonts w:ascii="宋体" w:hAnsi="宋体" w:eastAsia="宋体" w:cs="宋体"/>
          <w:sz w:val="23"/>
          <w:szCs w:val="23"/>
        </w:rPr>
      </w:pPr>
      <w:r>
        <w:rPr>
          <w:rFonts w:ascii="宋体" w:hAnsi="宋体" w:eastAsia="宋体" w:cs="宋体"/>
          <w:spacing w:val="7"/>
          <w:sz w:val="23"/>
          <w:szCs w:val="23"/>
        </w:rPr>
        <w:t>②从事土方、渣土和施工垃圾的运输必须使用密闭式运输车辆，现场出入</w:t>
      </w:r>
      <w:r>
        <w:rPr>
          <w:rFonts w:ascii="宋体" w:hAnsi="宋体" w:eastAsia="宋体" w:cs="宋体"/>
          <w:spacing w:val="4"/>
          <w:sz w:val="23"/>
          <w:szCs w:val="23"/>
        </w:rPr>
        <w:t>口</w:t>
      </w:r>
      <w:r>
        <w:rPr>
          <w:rFonts w:ascii="宋体" w:hAnsi="宋体" w:eastAsia="宋体" w:cs="宋体"/>
          <w:sz w:val="23"/>
          <w:szCs w:val="23"/>
        </w:rPr>
        <w:t xml:space="preserve"> </w:t>
      </w:r>
      <w:r>
        <w:rPr>
          <w:rFonts w:ascii="宋体" w:hAnsi="宋体" w:eastAsia="宋体" w:cs="宋体"/>
          <w:spacing w:val="16"/>
          <w:sz w:val="23"/>
          <w:szCs w:val="23"/>
        </w:rPr>
        <w:t>处</w:t>
      </w:r>
      <w:r>
        <w:rPr>
          <w:rFonts w:ascii="宋体" w:hAnsi="宋体" w:eastAsia="宋体" w:cs="宋体"/>
          <w:spacing w:val="9"/>
          <w:sz w:val="23"/>
          <w:szCs w:val="23"/>
        </w:rPr>
        <w:t>设置清洗车平台，出场时必须将车辆清理干净，不得将泥沙带出现场。</w:t>
      </w:r>
    </w:p>
    <w:p w14:paraId="15D0BB54">
      <w:pPr>
        <w:spacing w:before="135" w:line="384" w:lineRule="auto"/>
        <w:ind w:left="26" w:firstLine="475"/>
        <w:rPr>
          <w:rFonts w:ascii="宋体" w:hAnsi="宋体" w:eastAsia="宋体" w:cs="宋体"/>
          <w:sz w:val="23"/>
          <w:szCs w:val="23"/>
        </w:rPr>
      </w:pPr>
      <w:r>
        <w:rPr>
          <w:rFonts w:ascii="宋体" w:hAnsi="宋体" w:eastAsia="宋体" w:cs="宋体"/>
          <w:spacing w:val="7"/>
          <w:sz w:val="23"/>
          <w:szCs w:val="23"/>
        </w:rPr>
        <w:t>③项目施工期使用商品混凝土和砂浆，禁止设置混凝土搅拌站。可大大减</w:t>
      </w:r>
      <w:r>
        <w:rPr>
          <w:rFonts w:ascii="宋体" w:hAnsi="宋体" w:eastAsia="宋体" w:cs="宋体"/>
          <w:spacing w:val="4"/>
          <w:sz w:val="23"/>
          <w:szCs w:val="23"/>
        </w:rPr>
        <w:t>少</w:t>
      </w:r>
      <w:r>
        <w:rPr>
          <w:rFonts w:ascii="宋体" w:hAnsi="宋体" w:eastAsia="宋体" w:cs="宋体"/>
          <w:sz w:val="23"/>
          <w:szCs w:val="23"/>
        </w:rPr>
        <w:t xml:space="preserve"> </w:t>
      </w:r>
      <w:r>
        <w:rPr>
          <w:rFonts w:ascii="宋体" w:hAnsi="宋体" w:eastAsia="宋体" w:cs="宋体"/>
          <w:spacing w:val="4"/>
          <w:sz w:val="23"/>
          <w:szCs w:val="23"/>
        </w:rPr>
        <w:t>水泥、黄砂、石子等建筑</w:t>
      </w:r>
      <w:r>
        <w:rPr>
          <w:rFonts w:ascii="宋体" w:hAnsi="宋体" w:eastAsia="宋体" w:cs="宋体"/>
          <w:spacing w:val="2"/>
          <w:sz w:val="23"/>
          <w:szCs w:val="23"/>
        </w:rPr>
        <w:t>材料在运输、装卸、堆放及搅拌过程中产生的扬尘影响。</w:t>
      </w:r>
    </w:p>
    <w:p w14:paraId="14469D7B">
      <w:pPr>
        <w:spacing w:before="136" w:line="381" w:lineRule="auto"/>
        <w:ind w:left="22" w:right="80" w:firstLine="479"/>
        <w:rPr>
          <w:rFonts w:ascii="宋体" w:hAnsi="宋体" w:eastAsia="宋体" w:cs="宋体"/>
          <w:sz w:val="23"/>
          <w:szCs w:val="23"/>
        </w:rPr>
      </w:pPr>
      <w:r>
        <w:rPr>
          <w:rFonts w:ascii="宋体" w:hAnsi="宋体" w:eastAsia="宋体" w:cs="宋体"/>
          <w:spacing w:val="7"/>
          <w:sz w:val="23"/>
          <w:szCs w:val="23"/>
        </w:rPr>
        <w:t>④对于装运含尘物料的运输车辆必须进行密封运输，严格控制和规范车辆</w:t>
      </w:r>
      <w:r>
        <w:rPr>
          <w:rFonts w:ascii="宋体" w:hAnsi="宋体" w:eastAsia="宋体" w:cs="宋体"/>
          <w:spacing w:val="4"/>
          <w:sz w:val="23"/>
          <w:szCs w:val="23"/>
        </w:rPr>
        <w:t>运</w:t>
      </w:r>
      <w:r>
        <w:rPr>
          <w:rFonts w:ascii="宋体" w:hAnsi="宋体" w:eastAsia="宋体" w:cs="宋体"/>
          <w:sz w:val="23"/>
          <w:szCs w:val="23"/>
        </w:rPr>
        <w:t xml:space="preserve"> </w:t>
      </w:r>
      <w:r>
        <w:rPr>
          <w:rFonts w:ascii="宋体" w:hAnsi="宋体" w:eastAsia="宋体" w:cs="宋体"/>
          <w:spacing w:val="9"/>
          <w:sz w:val="23"/>
          <w:szCs w:val="23"/>
        </w:rPr>
        <w:t>输</w:t>
      </w:r>
      <w:r>
        <w:rPr>
          <w:rFonts w:ascii="宋体" w:hAnsi="宋体" w:eastAsia="宋体" w:cs="宋体"/>
          <w:spacing w:val="7"/>
          <w:sz w:val="23"/>
          <w:szCs w:val="23"/>
        </w:rPr>
        <w:t>量和方式，容易产生粉尘的物料不能够装得高过车辆两边和尾部的挡板，严格</w:t>
      </w:r>
      <w:r>
        <w:rPr>
          <w:rFonts w:ascii="宋体" w:hAnsi="宋体" w:eastAsia="宋体" w:cs="宋体"/>
          <w:sz w:val="23"/>
          <w:szCs w:val="23"/>
        </w:rPr>
        <w:t xml:space="preserve"> </w:t>
      </w:r>
      <w:r>
        <w:rPr>
          <w:rFonts w:ascii="宋体" w:hAnsi="宋体" w:eastAsia="宋体" w:cs="宋体"/>
          <w:spacing w:val="12"/>
          <w:sz w:val="23"/>
          <w:szCs w:val="23"/>
        </w:rPr>
        <w:t>控</w:t>
      </w:r>
      <w:r>
        <w:rPr>
          <w:rFonts w:ascii="宋体" w:hAnsi="宋体" w:eastAsia="宋体" w:cs="宋体"/>
          <w:spacing w:val="7"/>
          <w:sz w:val="23"/>
          <w:szCs w:val="23"/>
        </w:rPr>
        <w:t>制物料的洒落。</w:t>
      </w:r>
    </w:p>
    <w:p w14:paraId="0ECAB8F3">
      <w:pPr>
        <w:spacing w:before="88" w:line="388" w:lineRule="auto"/>
        <w:ind w:left="24" w:right="30" w:firstLine="477"/>
        <w:rPr>
          <w:rFonts w:ascii="宋体" w:hAnsi="宋体" w:eastAsia="宋体" w:cs="宋体"/>
          <w:sz w:val="23"/>
          <w:szCs w:val="23"/>
        </w:rPr>
      </w:pPr>
      <w:r>
        <w:rPr>
          <w:rFonts w:ascii="宋体" w:hAnsi="宋体" w:eastAsia="宋体" w:cs="宋体"/>
          <w:spacing w:val="9"/>
          <w:sz w:val="23"/>
          <w:szCs w:val="23"/>
        </w:rPr>
        <w:t>⑤</w:t>
      </w:r>
      <w:r>
        <w:rPr>
          <w:rFonts w:ascii="宋体" w:hAnsi="宋体" w:eastAsia="宋体" w:cs="宋体"/>
          <w:spacing w:val="8"/>
          <w:sz w:val="23"/>
          <w:szCs w:val="23"/>
        </w:rPr>
        <w:t>限制施工区内运输车辆的速度，将卡车在施工场地的车速减少到</w:t>
      </w:r>
      <w:r>
        <w:rPr>
          <w:rFonts w:ascii="Times New Roman" w:hAnsi="Times New Roman" w:eastAsia="Times New Roman" w:cs="Times New Roman"/>
          <w:spacing w:val="8"/>
          <w:sz w:val="23"/>
          <w:szCs w:val="23"/>
        </w:rPr>
        <w:t>10</w:t>
      </w:r>
      <w:r>
        <w:rPr>
          <w:rFonts w:ascii="Times New Roman" w:hAnsi="Times New Roman" w:eastAsia="Times New Roman" w:cs="Times New Roman"/>
          <w:sz w:val="23"/>
          <w:szCs w:val="23"/>
        </w:rPr>
        <w:t>km</w:t>
      </w:r>
      <w:r>
        <w:rPr>
          <w:rFonts w:ascii="Times New Roman" w:hAnsi="Times New Roman" w:eastAsia="Times New Roman" w:cs="Times New Roman"/>
          <w:spacing w:val="8"/>
          <w:sz w:val="23"/>
          <w:szCs w:val="23"/>
        </w:rPr>
        <w:t>/</w:t>
      </w:r>
      <w:r>
        <w:rPr>
          <w:rFonts w:ascii="Times New Roman" w:hAnsi="Times New Roman" w:eastAsia="Times New Roman" w:cs="Times New Roman"/>
          <w:sz w:val="23"/>
          <w:szCs w:val="23"/>
        </w:rPr>
        <w:t>h</w:t>
      </w:r>
      <w:r>
        <w:rPr>
          <w:rFonts w:ascii="宋体" w:hAnsi="宋体" w:eastAsia="宋体" w:cs="宋体"/>
          <w:spacing w:val="8"/>
          <w:sz w:val="23"/>
          <w:szCs w:val="23"/>
        </w:rPr>
        <w:t>，</w:t>
      </w:r>
      <w:r>
        <w:rPr>
          <w:rFonts w:ascii="宋体" w:hAnsi="宋体" w:eastAsia="宋体" w:cs="宋体"/>
          <w:sz w:val="23"/>
          <w:szCs w:val="23"/>
        </w:rPr>
        <w:t xml:space="preserve"> </w:t>
      </w:r>
      <w:r>
        <w:rPr>
          <w:rFonts w:ascii="宋体" w:hAnsi="宋体" w:eastAsia="宋体" w:cs="宋体"/>
          <w:spacing w:val="11"/>
          <w:sz w:val="23"/>
          <w:szCs w:val="23"/>
        </w:rPr>
        <w:t>其</w:t>
      </w:r>
      <w:r>
        <w:rPr>
          <w:rFonts w:ascii="宋体" w:hAnsi="宋体" w:eastAsia="宋体" w:cs="宋体"/>
          <w:spacing w:val="8"/>
          <w:sz w:val="23"/>
          <w:szCs w:val="23"/>
        </w:rPr>
        <w:t>他区域减少至</w:t>
      </w:r>
      <w:r>
        <w:rPr>
          <w:rFonts w:ascii="Times New Roman" w:hAnsi="Times New Roman" w:eastAsia="Times New Roman" w:cs="Times New Roman"/>
          <w:spacing w:val="8"/>
          <w:sz w:val="23"/>
          <w:szCs w:val="23"/>
        </w:rPr>
        <w:t>30</w:t>
      </w:r>
      <w:r>
        <w:rPr>
          <w:rFonts w:ascii="Times New Roman" w:hAnsi="Times New Roman" w:eastAsia="Times New Roman" w:cs="Times New Roman"/>
          <w:sz w:val="23"/>
          <w:szCs w:val="23"/>
        </w:rPr>
        <w:t>km</w:t>
      </w:r>
      <w:r>
        <w:rPr>
          <w:rFonts w:ascii="Times New Roman" w:hAnsi="Times New Roman" w:eastAsia="Times New Roman" w:cs="Times New Roman"/>
          <w:spacing w:val="8"/>
          <w:sz w:val="23"/>
          <w:szCs w:val="23"/>
        </w:rPr>
        <w:t>/</w:t>
      </w:r>
      <w:r>
        <w:rPr>
          <w:rFonts w:ascii="Times New Roman" w:hAnsi="Times New Roman" w:eastAsia="Times New Roman" w:cs="Times New Roman"/>
          <w:sz w:val="23"/>
          <w:szCs w:val="23"/>
        </w:rPr>
        <w:t>h</w:t>
      </w:r>
      <w:r>
        <w:rPr>
          <w:rFonts w:ascii="宋体" w:hAnsi="宋体" w:eastAsia="宋体" w:cs="宋体"/>
          <w:spacing w:val="8"/>
          <w:sz w:val="23"/>
          <w:szCs w:val="23"/>
        </w:rPr>
        <w:t>。</w:t>
      </w:r>
    </w:p>
    <w:p w14:paraId="579251D7">
      <w:pPr>
        <w:spacing w:before="173" w:line="384" w:lineRule="auto"/>
        <w:ind w:left="27" w:right="80" w:firstLine="474"/>
        <w:rPr>
          <w:rFonts w:ascii="宋体" w:hAnsi="宋体" w:eastAsia="宋体" w:cs="宋体"/>
          <w:sz w:val="23"/>
          <w:szCs w:val="23"/>
        </w:rPr>
      </w:pPr>
      <w:r>
        <w:rPr>
          <w:rFonts w:ascii="宋体" w:hAnsi="宋体" w:eastAsia="宋体" w:cs="宋体"/>
          <w:spacing w:val="12"/>
          <w:sz w:val="23"/>
          <w:szCs w:val="23"/>
        </w:rPr>
        <w:t>⑥施工</w:t>
      </w:r>
      <w:r>
        <w:rPr>
          <w:rFonts w:ascii="宋体" w:hAnsi="宋体" w:eastAsia="宋体" w:cs="宋体"/>
          <w:spacing w:val="6"/>
          <w:sz w:val="23"/>
          <w:szCs w:val="23"/>
        </w:rPr>
        <w:t>现场周边应设置符合要求的围档，围档高度不能低于</w:t>
      </w:r>
      <w:r>
        <w:rPr>
          <w:rFonts w:ascii="Times New Roman" w:hAnsi="Times New Roman" w:eastAsia="Times New Roman" w:cs="Times New Roman"/>
          <w:spacing w:val="6"/>
          <w:sz w:val="23"/>
          <w:szCs w:val="23"/>
        </w:rPr>
        <w:t>2.5</w:t>
      </w:r>
      <w:r>
        <w:rPr>
          <w:rFonts w:ascii="Times New Roman" w:hAnsi="Times New Roman" w:eastAsia="Times New Roman" w:cs="Times New Roman"/>
          <w:sz w:val="23"/>
          <w:szCs w:val="23"/>
        </w:rPr>
        <w:t>m</w:t>
      </w:r>
      <w:r>
        <w:rPr>
          <w:rFonts w:ascii="宋体" w:hAnsi="宋体" w:eastAsia="宋体" w:cs="宋体"/>
          <w:spacing w:val="6"/>
          <w:sz w:val="23"/>
          <w:szCs w:val="23"/>
        </w:rPr>
        <w:t>，且围档要</w:t>
      </w:r>
      <w:r>
        <w:rPr>
          <w:rFonts w:ascii="宋体" w:hAnsi="宋体" w:eastAsia="宋体" w:cs="宋体"/>
          <w:sz w:val="23"/>
          <w:szCs w:val="23"/>
        </w:rPr>
        <w:t xml:space="preserve"> </w:t>
      </w:r>
      <w:r>
        <w:rPr>
          <w:rFonts w:ascii="宋体" w:hAnsi="宋体" w:eastAsia="宋体" w:cs="宋体"/>
          <w:spacing w:val="14"/>
          <w:sz w:val="23"/>
          <w:szCs w:val="23"/>
        </w:rPr>
        <w:t>坚</w:t>
      </w:r>
      <w:r>
        <w:rPr>
          <w:rFonts w:ascii="宋体" w:hAnsi="宋体" w:eastAsia="宋体" w:cs="宋体"/>
          <w:spacing w:val="8"/>
          <w:sz w:val="23"/>
          <w:szCs w:val="23"/>
        </w:rPr>
        <w:t>固、稳定、整洁、规范、美观。</w:t>
      </w:r>
    </w:p>
    <w:p w14:paraId="24D4E947">
      <w:pPr>
        <w:sectPr>
          <w:headerReference r:id="rId259" w:type="default"/>
          <w:footerReference r:id="rId260" w:type="default"/>
          <w:pgSz w:w="11906" w:h="16839"/>
          <w:pgMar w:top="1132" w:right="1719" w:bottom="1182" w:left="1785" w:header="878" w:footer="1022" w:gutter="0"/>
          <w:cols w:space="720" w:num="1"/>
        </w:sectPr>
      </w:pPr>
    </w:p>
    <w:p w14:paraId="2A4C963B">
      <w:pPr>
        <w:spacing w:line="400" w:lineRule="auto"/>
        <w:rPr>
          <w:rFonts w:ascii="Arial"/>
          <w:sz w:val="21"/>
        </w:rPr>
      </w:pPr>
      <w:r>
        <w:pict>
          <v:shape id="_x0000_s1297" o:spid="_x0000_s1297" style="position:absolute;left:0pt;margin-left:90pt;margin-top:57.35pt;height:0.75pt;width:415.3pt;mso-position-horizontal-relative:page;mso-position-vertical-relative:page;z-index:251950080;mso-width-relative:page;mso-height-relative:page;" fillcolor="#000000" filled="t" stroked="f" coordsize="8305,15" o:allowincell="f" path="m0,0l8305,0,8305,14,0,14,0,0xe">
            <v:path/>
            <v:fill on="t" focussize="0,0"/>
            <v:stroke on="f"/>
            <v:imagedata o:title=""/>
            <o:lock v:ext="edit"/>
          </v:shape>
        </w:pict>
      </w:r>
    </w:p>
    <w:p w14:paraId="4F35E528">
      <w:pPr>
        <w:spacing w:before="74" w:line="385" w:lineRule="auto"/>
        <w:ind w:left="42" w:right="82" w:firstLine="459"/>
        <w:rPr>
          <w:rFonts w:ascii="宋体" w:hAnsi="宋体" w:eastAsia="宋体" w:cs="宋体"/>
          <w:sz w:val="23"/>
          <w:szCs w:val="23"/>
        </w:rPr>
      </w:pPr>
      <w:r>
        <w:rPr>
          <w:rFonts w:ascii="宋体" w:hAnsi="宋体" w:eastAsia="宋体" w:cs="宋体"/>
          <w:spacing w:val="24"/>
          <w:sz w:val="23"/>
          <w:szCs w:val="23"/>
        </w:rPr>
        <w:t>⑦</w:t>
      </w:r>
      <w:r>
        <w:rPr>
          <w:rFonts w:ascii="宋体" w:hAnsi="宋体" w:eastAsia="宋体" w:cs="宋体"/>
          <w:spacing w:val="14"/>
          <w:sz w:val="23"/>
          <w:szCs w:val="23"/>
        </w:rPr>
        <w:t>建筑工地脚手架外侧必须用密目式安全网封闭，封闭高度应高出作业面</w:t>
      </w:r>
      <w:r>
        <w:rPr>
          <w:rFonts w:ascii="宋体" w:hAnsi="宋体" w:eastAsia="宋体" w:cs="宋体"/>
          <w:sz w:val="23"/>
          <w:szCs w:val="23"/>
        </w:rPr>
        <w:t xml:space="preserve"> </w:t>
      </w:r>
      <w:r>
        <w:rPr>
          <w:rFonts w:ascii="Times New Roman" w:hAnsi="Times New Roman" w:eastAsia="Times New Roman" w:cs="Times New Roman"/>
          <w:spacing w:val="9"/>
          <w:sz w:val="23"/>
          <w:szCs w:val="23"/>
        </w:rPr>
        <w:t>1</w:t>
      </w:r>
      <w:r>
        <w:rPr>
          <w:rFonts w:ascii="Times New Roman" w:hAnsi="Times New Roman" w:eastAsia="Times New Roman" w:cs="Times New Roman"/>
          <w:spacing w:val="7"/>
          <w:sz w:val="23"/>
          <w:szCs w:val="23"/>
        </w:rPr>
        <w:t>5</w:t>
      </w:r>
      <w:r>
        <w:rPr>
          <w:rFonts w:ascii="Times New Roman" w:hAnsi="Times New Roman" w:eastAsia="Times New Roman" w:cs="Times New Roman"/>
          <w:sz w:val="23"/>
          <w:szCs w:val="23"/>
        </w:rPr>
        <w:t>m</w:t>
      </w:r>
      <w:r>
        <w:rPr>
          <w:rFonts w:ascii="宋体" w:hAnsi="宋体" w:eastAsia="宋体" w:cs="宋体"/>
          <w:spacing w:val="7"/>
          <w:sz w:val="23"/>
          <w:szCs w:val="23"/>
        </w:rPr>
        <w:t>以上，并定期进行清洗保洁。</w:t>
      </w:r>
    </w:p>
    <w:p w14:paraId="4B42124B">
      <w:pPr>
        <w:spacing w:before="131" w:line="225" w:lineRule="auto"/>
        <w:ind w:left="501"/>
        <w:rPr>
          <w:rFonts w:ascii="宋体" w:hAnsi="宋体" w:eastAsia="宋体" w:cs="宋体"/>
          <w:sz w:val="23"/>
          <w:szCs w:val="23"/>
        </w:rPr>
      </w:pPr>
      <w:r>
        <w:rPr>
          <w:rFonts w:ascii="宋体" w:hAnsi="宋体" w:eastAsia="宋体" w:cs="宋体"/>
          <w:spacing w:val="18"/>
          <w:sz w:val="23"/>
          <w:szCs w:val="23"/>
        </w:rPr>
        <w:t>⑧</w:t>
      </w:r>
      <w:r>
        <w:rPr>
          <w:rFonts w:ascii="宋体" w:hAnsi="宋体" w:eastAsia="宋体" w:cs="宋体"/>
          <w:spacing w:val="14"/>
          <w:sz w:val="23"/>
          <w:szCs w:val="23"/>
        </w:rPr>
        <w:t>要</w:t>
      </w:r>
      <w:r>
        <w:rPr>
          <w:rFonts w:ascii="宋体" w:hAnsi="宋体" w:eastAsia="宋体" w:cs="宋体"/>
          <w:spacing w:val="9"/>
          <w:sz w:val="23"/>
          <w:szCs w:val="23"/>
        </w:rPr>
        <w:t>注意堆料的保护，加盖蓬布密封保存，避免造成大范围的空气污染。</w:t>
      </w:r>
    </w:p>
    <w:p w14:paraId="4B42D26A">
      <w:pPr>
        <w:spacing w:line="267" w:lineRule="auto"/>
        <w:rPr>
          <w:rFonts w:ascii="Arial"/>
          <w:sz w:val="21"/>
        </w:rPr>
      </w:pPr>
    </w:p>
    <w:p w14:paraId="4B913E7D">
      <w:pPr>
        <w:spacing w:before="75" w:line="225" w:lineRule="auto"/>
        <w:ind w:left="501"/>
        <w:rPr>
          <w:rFonts w:ascii="宋体" w:hAnsi="宋体" w:eastAsia="宋体" w:cs="宋体"/>
          <w:sz w:val="23"/>
          <w:szCs w:val="23"/>
        </w:rPr>
      </w:pPr>
      <w:r>
        <w:rPr>
          <w:rFonts w:ascii="宋体" w:hAnsi="宋体" w:eastAsia="宋体" w:cs="宋体"/>
          <w:spacing w:val="7"/>
          <w:sz w:val="23"/>
          <w:szCs w:val="23"/>
        </w:rPr>
        <w:t>⑨控制汽车尾气措施：施工机械汽车尾气污染控制主要可通过加强设备维</w:t>
      </w:r>
      <w:r>
        <w:rPr>
          <w:rFonts w:ascii="宋体" w:hAnsi="宋体" w:eastAsia="宋体" w:cs="宋体"/>
          <w:spacing w:val="4"/>
          <w:sz w:val="23"/>
          <w:szCs w:val="23"/>
        </w:rPr>
        <w:t>护</w:t>
      </w:r>
    </w:p>
    <w:p w14:paraId="1EA1575E">
      <w:pPr>
        <w:spacing w:before="187" w:line="384" w:lineRule="auto"/>
        <w:ind w:left="22" w:right="82" w:firstLine="1"/>
        <w:rPr>
          <w:rFonts w:ascii="宋体" w:hAnsi="宋体" w:eastAsia="宋体" w:cs="宋体"/>
          <w:sz w:val="23"/>
          <w:szCs w:val="23"/>
        </w:rPr>
      </w:pPr>
      <w:r>
        <w:rPr>
          <w:rFonts w:ascii="宋体" w:hAnsi="宋体" w:eastAsia="宋体" w:cs="宋体"/>
          <w:spacing w:val="8"/>
          <w:sz w:val="23"/>
          <w:szCs w:val="23"/>
        </w:rPr>
        <w:t>和</w:t>
      </w:r>
      <w:r>
        <w:rPr>
          <w:rFonts w:ascii="宋体" w:hAnsi="宋体" w:eastAsia="宋体" w:cs="宋体"/>
          <w:spacing w:val="7"/>
          <w:sz w:val="23"/>
          <w:szCs w:val="23"/>
        </w:rPr>
        <w:t>车辆管理，控制车辆和机械的非使用时间的运行，以及减少车辆空挡等候和减</w:t>
      </w:r>
      <w:r>
        <w:rPr>
          <w:rFonts w:ascii="宋体" w:hAnsi="宋体" w:eastAsia="宋体" w:cs="宋体"/>
          <w:sz w:val="23"/>
          <w:szCs w:val="23"/>
        </w:rPr>
        <w:t xml:space="preserve"> </w:t>
      </w:r>
      <w:r>
        <w:rPr>
          <w:rFonts w:ascii="宋体" w:hAnsi="宋体" w:eastAsia="宋体" w:cs="宋体"/>
          <w:spacing w:val="18"/>
          <w:sz w:val="23"/>
          <w:szCs w:val="23"/>
        </w:rPr>
        <w:t>速</w:t>
      </w:r>
      <w:r>
        <w:rPr>
          <w:rFonts w:ascii="宋体" w:hAnsi="宋体" w:eastAsia="宋体" w:cs="宋体"/>
          <w:spacing w:val="14"/>
          <w:sz w:val="23"/>
          <w:szCs w:val="23"/>
        </w:rPr>
        <w:t>状</w:t>
      </w:r>
      <w:r>
        <w:rPr>
          <w:rFonts w:ascii="宋体" w:hAnsi="宋体" w:eastAsia="宋体" w:cs="宋体"/>
          <w:spacing w:val="9"/>
          <w:sz w:val="23"/>
          <w:szCs w:val="23"/>
        </w:rPr>
        <w:t>态下的运行，提高其利用效率等，以达到减少尾气污染物排放的目的。</w:t>
      </w:r>
    </w:p>
    <w:p w14:paraId="155C68B9">
      <w:pPr>
        <w:spacing w:before="136" w:line="381" w:lineRule="auto"/>
        <w:ind w:left="22" w:right="47" w:firstLine="479"/>
        <w:rPr>
          <w:rFonts w:ascii="宋体" w:hAnsi="宋体" w:eastAsia="宋体" w:cs="宋体"/>
          <w:sz w:val="23"/>
          <w:szCs w:val="23"/>
        </w:rPr>
      </w:pPr>
      <w:r>
        <w:rPr>
          <w:rFonts w:ascii="宋体" w:hAnsi="宋体" w:eastAsia="宋体" w:cs="宋体"/>
          <w:spacing w:val="7"/>
          <w:sz w:val="23"/>
          <w:szCs w:val="23"/>
        </w:rPr>
        <w:t>⑩管理措施：建设单位要与施工承包方签订环保协议，要求其遵守法律法</w:t>
      </w:r>
      <w:r>
        <w:rPr>
          <w:rFonts w:ascii="宋体" w:hAnsi="宋体" w:eastAsia="宋体" w:cs="宋体"/>
          <w:spacing w:val="4"/>
          <w:sz w:val="23"/>
          <w:szCs w:val="23"/>
        </w:rPr>
        <w:t>规</w:t>
      </w:r>
      <w:r>
        <w:rPr>
          <w:rFonts w:ascii="宋体" w:hAnsi="宋体" w:eastAsia="宋体" w:cs="宋体"/>
          <w:sz w:val="23"/>
          <w:szCs w:val="23"/>
        </w:rPr>
        <w:t xml:space="preserve"> </w:t>
      </w:r>
      <w:r>
        <w:rPr>
          <w:rFonts w:ascii="宋体" w:hAnsi="宋体" w:eastAsia="宋体" w:cs="宋体"/>
          <w:spacing w:val="11"/>
          <w:sz w:val="23"/>
          <w:szCs w:val="23"/>
        </w:rPr>
        <w:t>及</w:t>
      </w:r>
      <w:r>
        <w:rPr>
          <w:rFonts w:ascii="宋体" w:hAnsi="宋体" w:eastAsia="宋体" w:cs="宋体"/>
          <w:spacing w:val="8"/>
          <w:sz w:val="23"/>
          <w:szCs w:val="23"/>
        </w:rPr>
        <w:t>其他要求，制定清扫、洒水等制度并指定专人负责。遇有四级以上大风天气，</w:t>
      </w:r>
      <w:r>
        <w:rPr>
          <w:rFonts w:ascii="宋体" w:hAnsi="宋体" w:eastAsia="宋体" w:cs="宋体"/>
          <w:sz w:val="23"/>
          <w:szCs w:val="23"/>
        </w:rPr>
        <w:t xml:space="preserve"> </w:t>
      </w:r>
      <w:r>
        <w:rPr>
          <w:rFonts w:ascii="宋体" w:hAnsi="宋体" w:eastAsia="宋体" w:cs="宋体"/>
          <w:spacing w:val="17"/>
          <w:sz w:val="23"/>
          <w:szCs w:val="23"/>
        </w:rPr>
        <w:t>不</w:t>
      </w:r>
      <w:r>
        <w:rPr>
          <w:rFonts w:ascii="宋体" w:hAnsi="宋体" w:eastAsia="宋体" w:cs="宋体"/>
          <w:spacing w:val="9"/>
          <w:sz w:val="23"/>
          <w:szCs w:val="23"/>
        </w:rPr>
        <w:t>得进行土方回填、转运以及其他可能产生扬尘污染的施工。</w:t>
      </w:r>
    </w:p>
    <w:p w14:paraId="3008234D">
      <w:pPr>
        <w:spacing w:before="135" w:line="228" w:lineRule="auto"/>
        <w:ind w:left="505"/>
        <w:rPr>
          <w:rFonts w:ascii="宋体" w:hAnsi="宋体" w:eastAsia="宋体" w:cs="宋体"/>
          <w:sz w:val="23"/>
          <w:szCs w:val="23"/>
        </w:rPr>
      </w:pPr>
      <w:r>
        <w:rPr>
          <w:rFonts w:ascii="宋体" w:hAnsi="宋体" w:eastAsia="宋体" w:cs="宋体"/>
          <w:spacing w:val="7"/>
          <w:sz w:val="23"/>
          <w:szCs w:val="23"/>
        </w:rPr>
        <w:t>上述这些措施均是工地防尘常用的措施，也是有效的。根据类比监测结果</w:t>
      </w:r>
      <w:r>
        <w:rPr>
          <w:rFonts w:ascii="宋体" w:hAnsi="宋体" w:eastAsia="宋体" w:cs="宋体"/>
          <w:spacing w:val="1"/>
          <w:sz w:val="23"/>
          <w:szCs w:val="23"/>
        </w:rPr>
        <w:t>可</w:t>
      </w:r>
    </w:p>
    <w:p w14:paraId="5C861402">
      <w:pPr>
        <w:spacing w:before="186" w:line="381" w:lineRule="auto"/>
        <w:ind w:left="22" w:right="82" w:firstLine="5"/>
        <w:rPr>
          <w:rFonts w:ascii="宋体" w:hAnsi="宋体" w:eastAsia="宋体" w:cs="宋体"/>
          <w:sz w:val="23"/>
          <w:szCs w:val="23"/>
        </w:rPr>
      </w:pPr>
      <w:r>
        <w:rPr>
          <w:rFonts w:ascii="宋体" w:hAnsi="宋体" w:eastAsia="宋体" w:cs="宋体"/>
          <w:spacing w:val="16"/>
          <w:sz w:val="23"/>
          <w:szCs w:val="23"/>
        </w:rPr>
        <w:t>知</w:t>
      </w:r>
      <w:r>
        <w:rPr>
          <w:rFonts w:ascii="宋体" w:hAnsi="宋体" w:eastAsia="宋体" w:cs="宋体"/>
          <w:spacing w:val="9"/>
          <w:sz w:val="23"/>
          <w:szCs w:val="23"/>
        </w:rPr>
        <w:t xml:space="preserve">，洒水对控制施工扬尘很有效，特别是对施工场地 </w:t>
      </w:r>
      <w:r>
        <w:rPr>
          <w:rFonts w:ascii="Times New Roman" w:hAnsi="Times New Roman" w:eastAsia="Times New Roman" w:cs="Times New Roman"/>
          <w:spacing w:val="9"/>
          <w:sz w:val="23"/>
          <w:szCs w:val="23"/>
        </w:rPr>
        <w:t>30</w:t>
      </w:r>
      <w:r>
        <w:rPr>
          <w:rFonts w:ascii="Times New Roman" w:hAnsi="Times New Roman" w:eastAsia="Times New Roman" w:cs="Times New Roman"/>
          <w:sz w:val="23"/>
          <w:szCs w:val="23"/>
        </w:rPr>
        <w:t>m</w:t>
      </w:r>
      <w:r>
        <w:rPr>
          <w:rFonts w:ascii="Times New Roman" w:hAnsi="Times New Roman" w:eastAsia="Times New Roman" w:cs="Times New Roman"/>
          <w:spacing w:val="9"/>
          <w:sz w:val="23"/>
          <w:szCs w:val="23"/>
        </w:rPr>
        <w:t xml:space="preserve"> </w:t>
      </w:r>
      <w:r>
        <w:rPr>
          <w:rFonts w:ascii="宋体" w:hAnsi="宋体" w:eastAsia="宋体" w:cs="宋体"/>
          <w:spacing w:val="9"/>
          <w:sz w:val="23"/>
          <w:szCs w:val="23"/>
        </w:rPr>
        <w:t>以内降尘效果达</w:t>
      </w:r>
      <w:r>
        <w:rPr>
          <w:rFonts w:ascii="Times New Roman" w:hAnsi="Times New Roman" w:eastAsia="Times New Roman" w:cs="Times New Roman"/>
          <w:spacing w:val="9"/>
          <w:sz w:val="23"/>
          <w:szCs w:val="23"/>
        </w:rPr>
        <w:t>50</w:t>
      </w:r>
      <w:r>
        <w:rPr>
          <w:rFonts w:ascii="宋体" w:hAnsi="宋体" w:eastAsia="宋体" w:cs="宋体"/>
          <w:spacing w:val="9"/>
          <w:sz w:val="23"/>
          <w:szCs w:val="23"/>
        </w:rPr>
        <w:t>％</w:t>
      </w:r>
      <w:r>
        <w:rPr>
          <w:rFonts w:ascii="宋体" w:hAnsi="宋体" w:eastAsia="宋体" w:cs="宋体"/>
          <w:sz w:val="23"/>
          <w:szCs w:val="23"/>
        </w:rPr>
        <w:t xml:space="preserve"> </w:t>
      </w:r>
      <w:r>
        <w:rPr>
          <w:rFonts w:ascii="宋体" w:hAnsi="宋体" w:eastAsia="宋体" w:cs="宋体"/>
          <w:spacing w:val="26"/>
          <w:sz w:val="23"/>
          <w:szCs w:val="23"/>
        </w:rPr>
        <w:t>以</w:t>
      </w:r>
      <w:r>
        <w:rPr>
          <w:rFonts w:ascii="宋体" w:hAnsi="宋体" w:eastAsia="宋体" w:cs="宋体"/>
          <w:spacing w:val="22"/>
          <w:sz w:val="23"/>
          <w:szCs w:val="23"/>
        </w:rPr>
        <w:t>上</w:t>
      </w:r>
      <w:r>
        <w:rPr>
          <w:rFonts w:ascii="宋体" w:hAnsi="宋体" w:eastAsia="宋体" w:cs="宋体"/>
          <w:spacing w:val="13"/>
          <w:sz w:val="23"/>
          <w:szCs w:val="23"/>
        </w:rPr>
        <w:t>，同时扬尘影响范围也减少</w:t>
      </w:r>
      <w:r>
        <w:rPr>
          <w:rFonts w:ascii="Times New Roman" w:hAnsi="Times New Roman" w:eastAsia="Times New Roman" w:cs="Times New Roman"/>
          <w:spacing w:val="13"/>
          <w:sz w:val="23"/>
          <w:szCs w:val="23"/>
        </w:rPr>
        <w:t>70</w:t>
      </w:r>
      <w:r>
        <w:rPr>
          <w:rFonts w:ascii="宋体" w:hAnsi="宋体" w:eastAsia="宋体" w:cs="宋体"/>
          <w:spacing w:val="13"/>
          <w:sz w:val="23"/>
          <w:szCs w:val="23"/>
        </w:rPr>
        <w:t>％左右。因此，本项目施工扬尘所采取的措</w:t>
      </w:r>
      <w:r>
        <w:rPr>
          <w:rFonts w:ascii="宋体" w:hAnsi="宋体" w:eastAsia="宋体" w:cs="宋体"/>
          <w:sz w:val="23"/>
          <w:szCs w:val="23"/>
        </w:rPr>
        <w:t xml:space="preserve"> </w:t>
      </w:r>
      <w:r>
        <w:rPr>
          <w:rFonts w:ascii="宋体" w:hAnsi="宋体" w:eastAsia="宋体" w:cs="宋体"/>
          <w:spacing w:val="7"/>
          <w:sz w:val="23"/>
          <w:szCs w:val="23"/>
        </w:rPr>
        <w:t>施是可行的</w:t>
      </w:r>
      <w:r>
        <w:rPr>
          <w:rFonts w:ascii="宋体" w:hAnsi="宋体" w:eastAsia="宋体" w:cs="宋体"/>
          <w:spacing w:val="6"/>
          <w:sz w:val="23"/>
          <w:szCs w:val="23"/>
        </w:rPr>
        <w:t>。</w:t>
      </w:r>
    </w:p>
    <w:p w14:paraId="0BD338CA">
      <w:pPr>
        <w:spacing w:before="151" w:line="303" w:lineRule="exact"/>
        <w:ind w:left="499"/>
        <w:rPr>
          <w:rFonts w:ascii="宋体" w:hAnsi="宋体" w:eastAsia="宋体" w:cs="宋体"/>
          <w:sz w:val="23"/>
          <w:szCs w:val="23"/>
        </w:rPr>
      </w:pPr>
      <w:r>
        <w:rPr>
          <w:rFonts w:ascii="Times New Roman" w:hAnsi="Times New Roman" w:eastAsia="Times New Roman" w:cs="Times New Roman"/>
          <w:spacing w:val="-2"/>
          <w:position w:val="1"/>
          <w:sz w:val="23"/>
          <w:szCs w:val="23"/>
        </w:rPr>
        <w:t>2</w:t>
      </w:r>
      <w:r>
        <w:rPr>
          <w:rFonts w:ascii="Times New Roman" w:hAnsi="Times New Roman" w:eastAsia="Times New Roman" w:cs="Times New Roman"/>
          <w:spacing w:val="-1"/>
          <w:position w:val="1"/>
          <w:sz w:val="23"/>
          <w:szCs w:val="23"/>
        </w:rPr>
        <w:t xml:space="preserve"> </w:t>
      </w:r>
      <w:r>
        <w:rPr>
          <w:rFonts w:ascii="宋体" w:hAnsi="宋体" w:eastAsia="宋体" w:cs="宋体"/>
          <w:spacing w:val="-1"/>
          <w:position w:val="1"/>
          <w:sz w:val="23"/>
          <w:szCs w:val="23"/>
        </w:rPr>
        <w:t>、汽车尾气</w:t>
      </w:r>
    </w:p>
    <w:p w14:paraId="2B1A64AD">
      <w:pPr>
        <w:spacing w:line="264" w:lineRule="auto"/>
        <w:rPr>
          <w:rFonts w:ascii="Arial"/>
          <w:sz w:val="21"/>
        </w:rPr>
      </w:pPr>
    </w:p>
    <w:p w14:paraId="6F7DE79C">
      <w:pPr>
        <w:spacing w:before="75" w:line="398" w:lineRule="auto"/>
        <w:ind w:left="23" w:right="82" w:firstLine="482"/>
        <w:rPr>
          <w:rFonts w:ascii="宋体" w:hAnsi="宋体" w:eastAsia="宋体" w:cs="宋体"/>
          <w:sz w:val="23"/>
          <w:szCs w:val="23"/>
        </w:rPr>
      </w:pPr>
      <w:r>
        <w:rPr>
          <w:rFonts w:ascii="宋体" w:hAnsi="宋体" w:eastAsia="宋体" w:cs="宋体"/>
          <w:spacing w:val="12"/>
          <w:sz w:val="23"/>
          <w:szCs w:val="23"/>
        </w:rPr>
        <w:t>为减轻项</w:t>
      </w:r>
      <w:r>
        <w:rPr>
          <w:rFonts w:ascii="宋体" w:hAnsi="宋体" w:eastAsia="宋体" w:cs="宋体"/>
          <w:spacing w:val="8"/>
          <w:sz w:val="23"/>
          <w:szCs w:val="23"/>
        </w:rPr>
        <w:t>目</w:t>
      </w:r>
      <w:r>
        <w:rPr>
          <w:rFonts w:ascii="宋体" w:hAnsi="宋体" w:eastAsia="宋体" w:cs="宋体"/>
          <w:spacing w:val="6"/>
          <w:sz w:val="23"/>
          <w:szCs w:val="23"/>
        </w:rPr>
        <w:t>施工期间汽车尾气对周围环境空气及居民的影响，建设单位拟加</w:t>
      </w:r>
      <w:r>
        <w:rPr>
          <w:rFonts w:ascii="宋体" w:hAnsi="宋体" w:eastAsia="宋体" w:cs="宋体"/>
          <w:sz w:val="23"/>
          <w:szCs w:val="23"/>
        </w:rPr>
        <w:t xml:space="preserve"> </w:t>
      </w:r>
      <w:r>
        <w:rPr>
          <w:rFonts w:ascii="宋体" w:hAnsi="宋体" w:eastAsia="宋体" w:cs="宋体"/>
          <w:spacing w:val="9"/>
          <w:sz w:val="23"/>
          <w:szCs w:val="23"/>
        </w:rPr>
        <w:t>强</w:t>
      </w:r>
      <w:r>
        <w:rPr>
          <w:rFonts w:ascii="宋体" w:hAnsi="宋体" w:eastAsia="宋体" w:cs="宋体"/>
          <w:spacing w:val="7"/>
          <w:sz w:val="23"/>
          <w:szCs w:val="23"/>
        </w:rPr>
        <w:t>设备维护和车辆管理，控制车辆和施工机械的非使用时间的运行，减少车辆空</w:t>
      </w:r>
      <w:r>
        <w:rPr>
          <w:rFonts w:ascii="宋体" w:hAnsi="宋体" w:eastAsia="宋体" w:cs="宋体"/>
          <w:sz w:val="23"/>
          <w:szCs w:val="23"/>
        </w:rPr>
        <w:t xml:space="preserve"> </w:t>
      </w:r>
      <w:r>
        <w:rPr>
          <w:rFonts w:ascii="宋体" w:hAnsi="宋体" w:eastAsia="宋体" w:cs="宋体"/>
          <w:spacing w:val="9"/>
          <w:sz w:val="23"/>
          <w:szCs w:val="23"/>
        </w:rPr>
        <w:t>挡</w:t>
      </w:r>
      <w:r>
        <w:rPr>
          <w:rFonts w:ascii="宋体" w:hAnsi="宋体" w:eastAsia="宋体" w:cs="宋体"/>
          <w:spacing w:val="7"/>
          <w:sz w:val="23"/>
          <w:szCs w:val="23"/>
        </w:rPr>
        <w:t>等候和减速状态下的运行，避免因施工而造成交通堵塞，减少因此产生的废气</w:t>
      </w:r>
      <w:r>
        <w:rPr>
          <w:rFonts w:ascii="宋体" w:hAnsi="宋体" w:eastAsia="宋体" w:cs="宋体"/>
          <w:sz w:val="23"/>
          <w:szCs w:val="23"/>
        </w:rPr>
        <w:t xml:space="preserve"> </w:t>
      </w:r>
      <w:r>
        <w:rPr>
          <w:rFonts w:ascii="宋体" w:hAnsi="宋体" w:eastAsia="宋体" w:cs="宋体"/>
          <w:spacing w:val="10"/>
          <w:sz w:val="23"/>
          <w:szCs w:val="23"/>
        </w:rPr>
        <w:t>怠</w:t>
      </w:r>
      <w:r>
        <w:rPr>
          <w:rFonts w:ascii="宋体" w:hAnsi="宋体" w:eastAsia="宋体" w:cs="宋体"/>
          <w:spacing w:val="9"/>
          <w:sz w:val="23"/>
          <w:szCs w:val="23"/>
        </w:rPr>
        <w:t>速排放，最大限度的减少尾气污染物的排放。</w:t>
      </w:r>
    </w:p>
    <w:p w14:paraId="1FE00C1A">
      <w:pPr>
        <w:spacing w:before="76" w:line="226" w:lineRule="auto"/>
        <w:ind w:left="25"/>
        <w:outlineLvl w:val="2"/>
        <w:rPr>
          <w:rFonts w:ascii="宋体" w:hAnsi="宋体" w:eastAsia="宋体" w:cs="宋体"/>
          <w:sz w:val="29"/>
          <w:szCs w:val="29"/>
        </w:rPr>
      </w:pPr>
      <w:r>
        <w:rPr>
          <w:rFonts w:ascii="Times New Roman" w:hAnsi="Times New Roman" w:eastAsia="Times New Roman" w:cs="Times New Roman"/>
          <w:b/>
          <w:bCs/>
          <w:spacing w:val="12"/>
          <w:sz w:val="29"/>
          <w:szCs w:val="29"/>
        </w:rPr>
        <w:t>6</w:t>
      </w:r>
      <w:r>
        <w:rPr>
          <w:rFonts w:ascii="Times New Roman" w:hAnsi="Times New Roman" w:eastAsia="Times New Roman" w:cs="Times New Roman"/>
          <w:b/>
          <w:bCs/>
          <w:spacing w:val="7"/>
          <w:sz w:val="29"/>
          <w:szCs w:val="29"/>
        </w:rPr>
        <w:t>.1.2</w:t>
      </w:r>
      <w:r>
        <w:rPr>
          <w:rFonts w:ascii="Times New Roman" w:hAnsi="Times New Roman" w:eastAsia="Times New Roman" w:cs="Times New Roman"/>
          <w:spacing w:val="7"/>
          <w:sz w:val="29"/>
          <w:szCs w:val="29"/>
        </w:rPr>
        <w:t xml:space="preserve"> </w:t>
      </w:r>
      <w:r>
        <w:rPr>
          <w:rFonts w:ascii="宋体" w:hAnsi="宋体" w:eastAsia="宋体" w:cs="宋体"/>
          <w:spacing w:val="7"/>
          <w:sz w:val="29"/>
          <w:szCs w:val="29"/>
          <w14:textOutline w14:w="5448" w14:cap="sq" w14:cmpd="sng">
            <w14:solidFill>
              <w14:srgbClr w14:val="000000"/>
            </w14:solidFill>
            <w14:prstDash w14:val="solid"/>
            <w14:bevel/>
          </w14:textOutline>
        </w:rPr>
        <w:t>施工期废水防治措施</w:t>
      </w:r>
    </w:p>
    <w:p w14:paraId="2D5AB6AB">
      <w:pPr>
        <w:spacing w:line="265" w:lineRule="auto"/>
        <w:rPr>
          <w:rFonts w:ascii="Arial"/>
          <w:sz w:val="21"/>
        </w:rPr>
      </w:pPr>
    </w:p>
    <w:p w14:paraId="0342040A">
      <w:pPr>
        <w:spacing w:before="75" w:line="397" w:lineRule="auto"/>
        <w:ind w:left="25" w:firstLine="480"/>
        <w:rPr>
          <w:rFonts w:ascii="宋体" w:hAnsi="宋体" w:eastAsia="宋体" w:cs="宋体"/>
          <w:sz w:val="23"/>
          <w:szCs w:val="23"/>
        </w:rPr>
      </w:pPr>
      <w:r>
        <w:rPr>
          <w:rFonts w:ascii="宋体" w:hAnsi="宋体" w:eastAsia="宋体" w:cs="宋体"/>
          <w:spacing w:val="12"/>
          <w:sz w:val="23"/>
          <w:szCs w:val="23"/>
        </w:rPr>
        <w:t>工程施工</w:t>
      </w:r>
      <w:r>
        <w:rPr>
          <w:rFonts w:ascii="宋体" w:hAnsi="宋体" w:eastAsia="宋体" w:cs="宋体"/>
          <w:spacing w:val="8"/>
          <w:sz w:val="23"/>
          <w:szCs w:val="23"/>
        </w:rPr>
        <w:t>期</w:t>
      </w:r>
      <w:r>
        <w:rPr>
          <w:rFonts w:ascii="宋体" w:hAnsi="宋体" w:eastAsia="宋体" w:cs="宋体"/>
          <w:spacing w:val="6"/>
          <w:sz w:val="23"/>
          <w:szCs w:val="23"/>
        </w:rPr>
        <w:t>间，严禁污水乱排和污染道路、环境等。项目施工期设置隔油沉</w:t>
      </w:r>
      <w:r>
        <w:rPr>
          <w:rFonts w:ascii="宋体" w:hAnsi="宋体" w:eastAsia="宋体" w:cs="宋体"/>
          <w:sz w:val="23"/>
          <w:szCs w:val="23"/>
        </w:rPr>
        <w:t xml:space="preserve"> </w:t>
      </w:r>
      <w:r>
        <w:rPr>
          <w:rFonts w:ascii="宋体" w:hAnsi="宋体" w:eastAsia="宋体" w:cs="宋体"/>
          <w:spacing w:val="7"/>
          <w:sz w:val="23"/>
          <w:szCs w:val="23"/>
        </w:rPr>
        <w:t>淀池，施工设备清洗废水经隔油、沉淀处理后用于施工场地降尘。施工人员生活</w:t>
      </w:r>
      <w:r>
        <w:rPr>
          <w:rFonts w:ascii="宋体" w:hAnsi="宋体" w:eastAsia="宋体" w:cs="宋体"/>
          <w:sz w:val="23"/>
          <w:szCs w:val="23"/>
        </w:rPr>
        <w:t xml:space="preserve"> </w:t>
      </w:r>
      <w:r>
        <w:rPr>
          <w:rFonts w:ascii="宋体" w:hAnsi="宋体" w:eastAsia="宋体" w:cs="宋体"/>
          <w:spacing w:val="4"/>
          <w:sz w:val="23"/>
          <w:szCs w:val="23"/>
        </w:rPr>
        <w:t>污水排入防渗旱厕，定</w:t>
      </w:r>
      <w:r>
        <w:rPr>
          <w:rFonts w:ascii="宋体" w:hAnsi="宋体" w:eastAsia="宋体" w:cs="宋体"/>
          <w:spacing w:val="3"/>
          <w:sz w:val="23"/>
          <w:szCs w:val="23"/>
        </w:rPr>
        <w:t>期</w:t>
      </w:r>
      <w:r>
        <w:rPr>
          <w:rFonts w:ascii="宋体" w:hAnsi="宋体" w:eastAsia="宋体" w:cs="宋体"/>
          <w:spacing w:val="2"/>
          <w:sz w:val="23"/>
          <w:szCs w:val="23"/>
        </w:rPr>
        <w:t>清掏。建材 (包括废弃建材) 、弃渣、生活垃圾的堆放、</w:t>
      </w:r>
      <w:r>
        <w:rPr>
          <w:rFonts w:ascii="宋体" w:hAnsi="宋体" w:eastAsia="宋体" w:cs="宋体"/>
          <w:sz w:val="23"/>
          <w:szCs w:val="23"/>
        </w:rPr>
        <w:t xml:space="preserve"> </w:t>
      </w:r>
      <w:r>
        <w:rPr>
          <w:rFonts w:ascii="宋体" w:hAnsi="宋体" w:eastAsia="宋体" w:cs="宋体"/>
          <w:spacing w:val="11"/>
          <w:sz w:val="23"/>
          <w:szCs w:val="23"/>
        </w:rPr>
        <w:t>弃</w:t>
      </w:r>
      <w:r>
        <w:rPr>
          <w:rFonts w:ascii="宋体" w:hAnsi="宋体" w:eastAsia="宋体" w:cs="宋体"/>
          <w:spacing w:val="9"/>
          <w:sz w:val="23"/>
          <w:szCs w:val="23"/>
        </w:rPr>
        <w:t>置点必须经地方环保部门的同意，严禁乱堆、乱弃。</w:t>
      </w:r>
    </w:p>
    <w:p w14:paraId="1A2BAE17">
      <w:pPr>
        <w:spacing w:before="137" w:line="227" w:lineRule="auto"/>
        <w:ind w:left="509"/>
        <w:rPr>
          <w:rFonts w:ascii="宋体" w:hAnsi="宋体" w:eastAsia="宋体" w:cs="宋体"/>
          <w:sz w:val="23"/>
          <w:szCs w:val="23"/>
        </w:rPr>
      </w:pPr>
      <w:r>
        <w:rPr>
          <w:rFonts w:ascii="宋体" w:hAnsi="宋体" w:eastAsia="宋体" w:cs="宋体"/>
          <w:spacing w:val="12"/>
          <w:sz w:val="23"/>
          <w:szCs w:val="23"/>
        </w:rPr>
        <w:t>管线施</w:t>
      </w:r>
      <w:r>
        <w:rPr>
          <w:rFonts w:ascii="宋体" w:hAnsi="宋体" w:eastAsia="宋体" w:cs="宋体"/>
          <w:spacing w:val="11"/>
          <w:sz w:val="23"/>
          <w:szCs w:val="23"/>
        </w:rPr>
        <w:t>工</w:t>
      </w:r>
      <w:r>
        <w:rPr>
          <w:rFonts w:ascii="宋体" w:hAnsi="宋体" w:eastAsia="宋体" w:cs="宋体"/>
          <w:spacing w:val="6"/>
          <w:sz w:val="23"/>
          <w:szCs w:val="23"/>
        </w:rPr>
        <w:t>过程中注意维护污水管材质量，不得使用出现裂纹、接口缺损的管</w:t>
      </w:r>
    </w:p>
    <w:p w14:paraId="319ECADC">
      <w:pPr>
        <w:spacing w:before="208" w:line="400" w:lineRule="auto"/>
        <w:ind w:left="24" w:right="47" w:hanging="1"/>
        <w:rPr>
          <w:rFonts w:ascii="宋体" w:hAnsi="宋体" w:eastAsia="宋体" w:cs="宋体"/>
          <w:sz w:val="23"/>
          <w:szCs w:val="23"/>
        </w:rPr>
      </w:pPr>
      <w:r>
        <w:rPr>
          <w:rFonts w:ascii="宋体" w:hAnsi="宋体" w:eastAsia="宋体" w:cs="宋体"/>
          <w:spacing w:val="10"/>
          <w:sz w:val="23"/>
          <w:szCs w:val="23"/>
        </w:rPr>
        <w:t>材</w:t>
      </w:r>
      <w:r>
        <w:rPr>
          <w:rFonts w:ascii="宋体" w:hAnsi="宋体" w:eastAsia="宋体" w:cs="宋体"/>
          <w:spacing w:val="8"/>
          <w:sz w:val="23"/>
          <w:szCs w:val="23"/>
        </w:rPr>
        <w:t>，接口处施工保持良好的密封性能，以防污水管线投入使用后出现污水渗漏，</w:t>
      </w:r>
      <w:r>
        <w:rPr>
          <w:rFonts w:ascii="宋体" w:hAnsi="宋体" w:eastAsia="宋体" w:cs="宋体"/>
          <w:sz w:val="23"/>
          <w:szCs w:val="23"/>
        </w:rPr>
        <w:t xml:space="preserve"> </w:t>
      </w:r>
      <w:r>
        <w:rPr>
          <w:rFonts w:ascii="宋体" w:hAnsi="宋体" w:eastAsia="宋体" w:cs="宋体"/>
          <w:spacing w:val="7"/>
          <w:sz w:val="23"/>
          <w:szCs w:val="23"/>
        </w:rPr>
        <w:t>污染地下水系</w:t>
      </w:r>
      <w:r>
        <w:rPr>
          <w:rFonts w:ascii="宋体" w:hAnsi="宋体" w:eastAsia="宋体" w:cs="宋体"/>
          <w:spacing w:val="6"/>
          <w:sz w:val="23"/>
          <w:szCs w:val="23"/>
        </w:rPr>
        <w:t>。</w:t>
      </w:r>
    </w:p>
    <w:p w14:paraId="0E7136D3">
      <w:pPr>
        <w:sectPr>
          <w:headerReference r:id="rId261" w:type="default"/>
          <w:footerReference r:id="rId262" w:type="default"/>
          <w:pgSz w:w="11906" w:h="16839"/>
          <w:pgMar w:top="1132" w:right="1716" w:bottom="1182" w:left="1785" w:header="878" w:footer="1022" w:gutter="0"/>
          <w:cols w:space="720" w:num="1"/>
        </w:sectPr>
      </w:pPr>
    </w:p>
    <w:p w14:paraId="78E012EA">
      <w:pPr>
        <w:spacing w:line="418" w:lineRule="auto"/>
        <w:rPr>
          <w:rFonts w:ascii="Arial"/>
          <w:sz w:val="21"/>
        </w:rPr>
      </w:pPr>
      <w:r>
        <w:pict>
          <v:shape id="_x0000_s1298" o:spid="_x0000_s1298" style="position:absolute;left:0pt;margin-left:90pt;margin-top:57.35pt;height:0.75pt;width:415.3pt;mso-position-horizontal-relative:page;mso-position-vertical-relative:page;z-index:251951104;mso-width-relative:page;mso-height-relative:page;" fillcolor="#000000" filled="t" stroked="f" coordsize="8305,15" o:allowincell="f" path="m0,0l8305,0,8305,14,0,14,0,0xe">
            <v:path/>
            <v:fill on="t" focussize="0,0"/>
            <v:stroke on="f"/>
            <v:imagedata o:title=""/>
            <o:lock v:ext="edit"/>
          </v:shape>
        </w:pict>
      </w:r>
    </w:p>
    <w:p w14:paraId="5DD21611">
      <w:pPr>
        <w:spacing w:before="75" w:line="396" w:lineRule="auto"/>
        <w:ind w:left="23" w:firstLine="483"/>
        <w:rPr>
          <w:rFonts w:ascii="宋体" w:hAnsi="宋体" w:eastAsia="宋体" w:cs="宋体"/>
          <w:sz w:val="23"/>
          <w:szCs w:val="23"/>
        </w:rPr>
      </w:pPr>
      <w:r>
        <w:rPr>
          <w:rFonts w:ascii="宋体" w:hAnsi="宋体" w:eastAsia="宋体" w:cs="宋体"/>
          <w:spacing w:val="16"/>
          <w:sz w:val="23"/>
          <w:szCs w:val="23"/>
        </w:rPr>
        <w:t>设</w:t>
      </w:r>
      <w:r>
        <w:rPr>
          <w:rFonts w:ascii="宋体" w:hAnsi="宋体" w:eastAsia="宋体" w:cs="宋体"/>
          <w:spacing w:val="13"/>
          <w:sz w:val="23"/>
          <w:szCs w:val="23"/>
        </w:rPr>
        <w:t>置</w:t>
      </w:r>
      <w:r>
        <w:rPr>
          <w:rFonts w:ascii="宋体" w:hAnsi="宋体" w:eastAsia="宋体" w:cs="宋体"/>
          <w:spacing w:val="8"/>
          <w:sz w:val="23"/>
          <w:szCs w:val="23"/>
        </w:rPr>
        <w:t>车轮冲洗平台，完善排水设施，防止泥土粘带。施工期间，应在物料、</w:t>
      </w:r>
      <w:r>
        <w:rPr>
          <w:rFonts w:ascii="宋体" w:hAnsi="宋体" w:eastAsia="宋体" w:cs="宋体"/>
          <w:sz w:val="23"/>
          <w:szCs w:val="23"/>
        </w:rPr>
        <w:t xml:space="preserve"> </w:t>
      </w:r>
      <w:r>
        <w:rPr>
          <w:rFonts w:ascii="宋体" w:hAnsi="宋体" w:eastAsia="宋体" w:cs="宋体"/>
          <w:spacing w:val="9"/>
          <w:sz w:val="23"/>
          <w:szCs w:val="23"/>
        </w:rPr>
        <w:t>渣</w:t>
      </w:r>
      <w:r>
        <w:rPr>
          <w:rFonts w:ascii="宋体" w:hAnsi="宋体" w:eastAsia="宋体" w:cs="宋体"/>
          <w:spacing w:val="7"/>
          <w:sz w:val="23"/>
          <w:szCs w:val="23"/>
        </w:rPr>
        <w:t>土、垃圾运输车辆的出口内侧设置车轮冲洗平台，车辆驶离工地前，应在车轮</w:t>
      </w:r>
      <w:r>
        <w:rPr>
          <w:rFonts w:ascii="宋体" w:hAnsi="宋体" w:eastAsia="宋体" w:cs="宋体"/>
          <w:sz w:val="23"/>
          <w:szCs w:val="23"/>
        </w:rPr>
        <w:t xml:space="preserve"> </w:t>
      </w:r>
      <w:r>
        <w:rPr>
          <w:rFonts w:ascii="宋体" w:hAnsi="宋体" w:eastAsia="宋体" w:cs="宋体"/>
          <w:spacing w:val="9"/>
          <w:sz w:val="23"/>
          <w:szCs w:val="23"/>
        </w:rPr>
        <w:t>冲</w:t>
      </w:r>
      <w:r>
        <w:rPr>
          <w:rFonts w:ascii="宋体" w:hAnsi="宋体" w:eastAsia="宋体" w:cs="宋体"/>
          <w:spacing w:val="7"/>
          <w:sz w:val="23"/>
          <w:szCs w:val="23"/>
        </w:rPr>
        <w:t>洗平台清洗轮胎，不得带泥上路。车轮冲洗平台四周应设置防溢座、废水导流</w:t>
      </w:r>
      <w:r>
        <w:rPr>
          <w:rFonts w:ascii="宋体" w:hAnsi="宋体" w:eastAsia="宋体" w:cs="宋体"/>
          <w:sz w:val="23"/>
          <w:szCs w:val="23"/>
        </w:rPr>
        <w:t xml:space="preserve"> </w:t>
      </w:r>
      <w:r>
        <w:rPr>
          <w:rFonts w:ascii="宋体" w:hAnsi="宋体" w:eastAsia="宋体" w:cs="宋体"/>
          <w:spacing w:val="9"/>
          <w:sz w:val="23"/>
          <w:szCs w:val="23"/>
        </w:rPr>
        <w:t>渠</w:t>
      </w:r>
      <w:r>
        <w:rPr>
          <w:rFonts w:ascii="宋体" w:hAnsi="宋体" w:eastAsia="宋体" w:cs="宋体"/>
          <w:spacing w:val="7"/>
          <w:sz w:val="23"/>
          <w:szCs w:val="23"/>
        </w:rPr>
        <w:t>、废水收集池、沉砂池及其它防治设施，收集车轮冲洗、施工以及降水过程中</w:t>
      </w:r>
      <w:r>
        <w:rPr>
          <w:rFonts w:ascii="宋体" w:hAnsi="宋体" w:eastAsia="宋体" w:cs="宋体"/>
          <w:sz w:val="23"/>
          <w:szCs w:val="23"/>
        </w:rPr>
        <w:t xml:space="preserve"> </w:t>
      </w:r>
      <w:r>
        <w:rPr>
          <w:rFonts w:ascii="宋体" w:hAnsi="宋体" w:eastAsia="宋体" w:cs="宋体"/>
          <w:spacing w:val="8"/>
          <w:sz w:val="23"/>
          <w:szCs w:val="23"/>
        </w:rPr>
        <w:t>产生的废水和泥浆</w:t>
      </w:r>
      <w:r>
        <w:rPr>
          <w:rFonts w:ascii="宋体" w:hAnsi="宋体" w:eastAsia="宋体" w:cs="宋体"/>
          <w:spacing w:val="6"/>
          <w:sz w:val="23"/>
          <w:szCs w:val="23"/>
        </w:rPr>
        <w:t>。</w:t>
      </w:r>
    </w:p>
    <w:p w14:paraId="1F66B40E">
      <w:pPr>
        <w:spacing w:before="137" w:line="400" w:lineRule="auto"/>
        <w:ind w:left="46" w:right="53" w:firstLine="486"/>
        <w:rPr>
          <w:rFonts w:ascii="宋体" w:hAnsi="宋体" w:eastAsia="宋体" w:cs="宋体"/>
          <w:sz w:val="23"/>
          <w:szCs w:val="23"/>
        </w:rPr>
      </w:pPr>
      <w:r>
        <w:rPr>
          <w:rFonts w:ascii="宋体" w:hAnsi="宋体" w:eastAsia="宋体" w:cs="宋体"/>
          <w:spacing w:val="6"/>
          <w:sz w:val="23"/>
          <w:szCs w:val="23"/>
        </w:rPr>
        <w:t>由于项目施工内容较少，施工期持续时间短，在采取上述措施后，施工过</w:t>
      </w:r>
      <w:r>
        <w:rPr>
          <w:rFonts w:ascii="宋体" w:hAnsi="宋体" w:eastAsia="宋体" w:cs="宋体"/>
          <w:spacing w:val="5"/>
          <w:sz w:val="23"/>
          <w:szCs w:val="23"/>
        </w:rPr>
        <w:t>程</w:t>
      </w:r>
      <w:r>
        <w:rPr>
          <w:rFonts w:ascii="宋体" w:hAnsi="宋体" w:eastAsia="宋体" w:cs="宋体"/>
          <w:sz w:val="23"/>
          <w:szCs w:val="23"/>
        </w:rPr>
        <w:t xml:space="preserve"> </w:t>
      </w:r>
      <w:r>
        <w:rPr>
          <w:rFonts w:ascii="宋体" w:hAnsi="宋体" w:eastAsia="宋体" w:cs="宋体"/>
          <w:spacing w:val="14"/>
          <w:sz w:val="23"/>
          <w:szCs w:val="23"/>
        </w:rPr>
        <w:t>中</w:t>
      </w:r>
      <w:r>
        <w:rPr>
          <w:rFonts w:ascii="宋体" w:hAnsi="宋体" w:eastAsia="宋体" w:cs="宋体"/>
          <w:spacing w:val="9"/>
          <w:sz w:val="23"/>
          <w:szCs w:val="23"/>
        </w:rPr>
        <w:t>产</w:t>
      </w:r>
      <w:r>
        <w:rPr>
          <w:rFonts w:ascii="宋体" w:hAnsi="宋体" w:eastAsia="宋体" w:cs="宋体"/>
          <w:spacing w:val="7"/>
          <w:sz w:val="23"/>
          <w:szCs w:val="23"/>
        </w:rPr>
        <w:t>生废水对周围环境不会造成影响。</w:t>
      </w:r>
    </w:p>
    <w:p w14:paraId="2233FF35">
      <w:pPr>
        <w:spacing w:before="80" w:line="226" w:lineRule="auto"/>
        <w:ind w:left="25"/>
        <w:outlineLvl w:val="2"/>
        <w:rPr>
          <w:rFonts w:ascii="宋体" w:hAnsi="宋体" w:eastAsia="宋体" w:cs="宋体"/>
          <w:sz w:val="29"/>
          <w:szCs w:val="29"/>
        </w:rPr>
      </w:pPr>
      <w:r>
        <w:rPr>
          <w:rFonts w:ascii="Times New Roman" w:hAnsi="Times New Roman" w:eastAsia="Times New Roman" w:cs="Times New Roman"/>
          <w:b/>
          <w:bCs/>
          <w:spacing w:val="12"/>
          <w:sz w:val="29"/>
          <w:szCs w:val="29"/>
        </w:rPr>
        <w:t>6</w:t>
      </w:r>
      <w:r>
        <w:rPr>
          <w:rFonts w:ascii="Times New Roman" w:hAnsi="Times New Roman" w:eastAsia="Times New Roman" w:cs="Times New Roman"/>
          <w:b/>
          <w:bCs/>
          <w:spacing w:val="7"/>
          <w:sz w:val="29"/>
          <w:szCs w:val="29"/>
        </w:rPr>
        <w:t>.1.3</w:t>
      </w:r>
      <w:r>
        <w:rPr>
          <w:rFonts w:ascii="Times New Roman" w:hAnsi="Times New Roman" w:eastAsia="Times New Roman" w:cs="Times New Roman"/>
          <w:spacing w:val="7"/>
          <w:sz w:val="29"/>
          <w:szCs w:val="29"/>
        </w:rPr>
        <w:t xml:space="preserve"> </w:t>
      </w:r>
      <w:r>
        <w:rPr>
          <w:rFonts w:ascii="宋体" w:hAnsi="宋体" w:eastAsia="宋体" w:cs="宋体"/>
          <w:spacing w:val="7"/>
          <w:sz w:val="29"/>
          <w:szCs w:val="29"/>
          <w14:textOutline w14:w="5448" w14:cap="sq" w14:cmpd="sng">
            <w14:solidFill>
              <w14:srgbClr w14:val="000000"/>
            </w14:solidFill>
            <w14:prstDash w14:val="solid"/>
            <w14:bevel/>
          </w14:textOutline>
        </w:rPr>
        <w:t>施工期噪声防治措施</w:t>
      </w:r>
    </w:p>
    <w:p w14:paraId="473F6ECD">
      <w:pPr>
        <w:spacing w:line="263" w:lineRule="auto"/>
        <w:rPr>
          <w:rFonts w:ascii="Arial"/>
          <w:sz w:val="21"/>
        </w:rPr>
      </w:pPr>
    </w:p>
    <w:p w14:paraId="6C27E6CA">
      <w:pPr>
        <w:spacing w:before="74" w:line="227" w:lineRule="auto"/>
        <w:ind w:left="506"/>
        <w:rPr>
          <w:rFonts w:ascii="宋体" w:hAnsi="宋体" w:eastAsia="宋体" w:cs="宋体"/>
          <w:sz w:val="23"/>
          <w:szCs w:val="23"/>
        </w:rPr>
      </w:pPr>
      <w:r>
        <w:rPr>
          <w:rFonts w:ascii="宋体" w:hAnsi="宋体" w:eastAsia="宋体" w:cs="宋体"/>
          <w:spacing w:val="9"/>
          <w:sz w:val="23"/>
          <w:szCs w:val="23"/>
        </w:rPr>
        <w:t>为了使场界噪声达标排放，环评要求采取以下措施：</w:t>
      </w:r>
    </w:p>
    <w:p w14:paraId="40915283">
      <w:pPr>
        <w:spacing w:line="287" w:lineRule="auto"/>
        <w:rPr>
          <w:rFonts w:ascii="Arial"/>
          <w:sz w:val="21"/>
        </w:rPr>
      </w:pPr>
    </w:p>
    <w:p w14:paraId="4590C68F">
      <w:pPr>
        <w:spacing w:before="75" w:line="401" w:lineRule="auto"/>
        <w:ind w:left="21" w:right="18" w:firstLine="480"/>
        <w:rPr>
          <w:rFonts w:ascii="宋体" w:hAnsi="宋体" w:eastAsia="宋体" w:cs="宋体"/>
          <w:sz w:val="23"/>
          <w:szCs w:val="23"/>
        </w:rPr>
      </w:pPr>
      <w:r>
        <w:rPr>
          <w:rFonts w:ascii="宋体" w:hAnsi="宋体" w:eastAsia="宋体" w:cs="宋体"/>
          <w:spacing w:val="8"/>
          <w:sz w:val="23"/>
          <w:szCs w:val="23"/>
        </w:rPr>
        <w:t>①对固定高噪声设备采取搭建临时隔声设施，并尽量设置在远离居民安放</w:t>
      </w:r>
      <w:r>
        <w:rPr>
          <w:rFonts w:ascii="宋体" w:hAnsi="宋体" w:eastAsia="宋体" w:cs="宋体"/>
          <w:spacing w:val="7"/>
          <w:sz w:val="23"/>
          <w:szCs w:val="23"/>
        </w:rPr>
        <w:t>，</w:t>
      </w:r>
      <w:r>
        <w:rPr>
          <w:rFonts w:ascii="宋体" w:hAnsi="宋体" w:eastAsia="宋体" w:cs="宋体"/>
          <w:sz w:val="23"/>
          <w:szCs w:val="23"/>
        </w:rPr>
        <w:t xml:space="preserve"> </w:t>
      </w:r>
      <w:r>
        <w:rPr>
          <w:rFonts w:ascii="宋体" w:hAnsi="宋体" w:eastAsia="宋体" w:cs="宋体"/>
          <w:spacing w:val="8"/>
          <w:sz w:val="23"/>
          <w:szCs w:val="23"/>
        </w:rPr>
        <w:t>避免施工噪声扰民。</w:t>
      </w:r>
    </w:p>
    <w:p w14:paraId="188D2CCD">
      <w:pPr>
        <w:spacing w:before="137" w:line="400" w:lineRule="auto"/>
        <w:ind w:left="24" w:right="53" w:firstLine="477"/>
        <w:rPr>
          <w:rFonts w:ascii="宋体" w:hAnsi="宋体" w:eastAsia="宋体" w:cs="宋体"/>
          <w:sz w:val="23"/>
          <w:szCs w:val="23"/>
        </w:rPr>
      </w:pPr>
      <w:r>
        <w:rPr>
          <w:rFonts w:ascii="宋体" w:hAnsi="宋体" w:eastAsia="宋体" w:cs="宋体"/>
          <w:spacing w:val="7"/>
          <w:sz w:val="23"/>
          <w:szCs w:val="23"/>
        </w:rPr>
        <w:t>②要求建设单位使用商品混凝土，不得在施工工地搅拌混凝土，混凝土需</w:t>
      </w:r>
      <w:r>
        <w:rPr>
          <w:rFonts w:ascii="宋体" w:hAnsi="宋体" w:eastAsia="宋体" w:cs="宋体"/>
          <w:spacing w:val="4"/>
          <w:sz w:val="23"/>
          <w:szCs w:val="23"/>
        </w:rPr>
        <w:t>要</w:t>
      </w:r>
      <w:r>
        <w:rPr>
          <w:rFonts w:ascii="宋体" w:hAnsi="宋体" w:eastAsia="宋体" w:cs="宋体"/>
          <w:sz w:val="23"/>
          <w:szCs w:val="23"/>
        </w:rPr>
        <w:t xml:space="preserve"> </w:t>
      </w:r>
      <w:r>
        <w:rPr>
          <w:rFonts w:ascii="宋体" w:hAnsi="宋体" w:eastAsia="宋体" w:cs="宋体"/>
          <w:spacing w:val="16"/>
          <w:sz w:val="23"/>
          <w:szCs w:val="23"/>
        </w:rPr>
        <w:t>连</w:t>
      </w:r>
      <w:r>
        <w:rPr>
          <w:rFonts w:ascii="宋体" w:hAnsi="宋体" w:eastAsia="宋体" w:cs="宋体"/>
          <w:spacing w:val="9"/>
          <w:sz w:val="23"/>
          <w:szCs w:val="23"/>
        </w:rPr>
        <w:t>续</w:t>
      </w:r>
      <w:r>
        <w:rPr>
          <w:rFonts w:ascii="宋体" w:hAnsi="宋体" w:eastAsia="宋体" w:cs="宋体"/>
          <w:spacing w:val="8"/>
          <w:sz w:val="23"/>
          <w:szCs w:val="23"/>
        </w:rPr>
        <w:t>浇注的必须办理夜间施工证。</w:t>
      </w:r>
    </w:p>
    <w:p w14:paraId="4E8C916A">
      <w:pPr>
        <w:spacing w:before="137" w:line="399" w:lineRule="auto"/>
        <w:ind w:left="22" w:right="18" w:firstLine="479"/>
        <w:rPr>
          <w:rFonts w:ascii="宋体" w:hAnsi="宋体" w:eastAsia="宋体" w:cs="宋体"/>
          <w:sz w:val="23"/>
          <w:szCs w:val="23"/>
        </w:rPr>
      </w:pPr>
      <w:r>
        <w:rPr>
          <w:rFonts w:ascii="宋体" w:hAnsi="宋体" w:eastAsia="宋体" w:cs="宋体"/>
          <w:spacing w:val="8"/>
          <w:sz w:val="23"/>
          <w:szCs w:val="23"/>
        </w:rPr>
        <w:t>③合理安排施工计划，避免产生噪声大的设备同时开启；要选用较先进的，</w:t>
      </w:r>
      <w:r>
        <w:rPr>
          <w:rFonts w:ascii="宋体" w:hAnsi="宋体" w:eastAsia="宋体" w:cs="宋体"/>
          <w:sz w:val="23"/>
          <w:szCs w:val="23"/>
        </w:rPr>
        <w:t xml:space="preserve"> </w:t>
      </w:r>
      <w:r>
        <w:rPr>
          <w:rFonts w:ascii="宋体" w:hAnsi="宋体" w:eastAsia="宋体" w:cs="宋体"/>
          <w:spacing w:val="9"/>
          <w:sz w:val="23"/>
          <w:szCs w:val="23"/>
        </w:rPr>
        <w:t>噪</w:t>
      </w:r>
      <w:r>
        <w:rPr>
          <w:rFonts w:ascii="宋体" w:hAnsi="宋体" w:eastAsia="宋体" w:cs="宋体"/>
          <w:spacing w:val="7"/>
          <w:sz w:val="23"/>
          <w:szCs w:val="23"/>
        </w:rPr>
        <w:t>声较小的施工设备，采取设置临时标准围挡，缩短一次开机时间、避免集中作</w:t>
      </w:r>
      <w:r>
        <w:rPr>
          <w:rFonts w:ascii="宋体" w:hAnsi="宋体" w:eastAsia="宋体" w:cs="宋体"/>
          <w:sz w:val="23"/>
          <w:szCs w:val="23"/>
        </w:rPr>
        <w:t xml:space="preserve"> </w:t>
      </w:r>
      <w:r>
        <w:rPr>
          <w:rFonts w:ascii="宋体" w:hAnsi="宋体" w:eastAsia="宋体" w:cs="宋体"/>
          <w:spacing w:val="18"/>
          <w:sz w:val="23"/>
          <w:szCs w:val="23"/>
        </w:rPr>
        <w:t>业</w:t>
      </w:r>
      <w:r>
        <w:rPr>
          <w:rFonts w:ascii="宋体" w:hAnsi="宋体" w:eastAsia="宋体" w:cs="宋体"/>
          <w:spacing w:val="13"/>
          <w:sz w:val="23"/>
          <w:szCs w:val="23"/>
        </w:rPr>
        <w:t>等</w:t>
      </w:r>
      <w:r>
        <w:rPr>
          <w:rFonts w:ascii="宋体" w:hAnsi="宋体" w:eastAsia="宋体" w:cs="宋体"/>
          <w:spacing w:val="9"/>
          <w:sz w:val="23"/>
          <w:szCs w:val="23"/>
        </w:rPr>
        <w:t>减少噪声污染的必要防护措施，将施工噪声的影响减小到最低限度。</w:t>
      </w:r>
    </w:p>
    <w:p w14:paraId="58831689">
      <w:pPr>
        <w:spacing w:before="137" w:line="398" w:lineRule="auto"/>
        <w:ind w:left="21" w:right="53" w:firstLine="480"/>
        <w:rPr>
          <w:rFonts w:ascii="宋体" w:hAnsi="宋体" w:eastAsia="宋体" w:cs="宋体"/>
          <w:sz w:val="23"/>
          <w:szCs w:val="23"/>
        </w:rPr>
      </w:pPr>
      <w:r>
        <w:rPr>
          <w:rFonts w:ascii="宋体" w:hAnsi="宋体" w:eastAsia="宋体" w:cs="宋体"/>
          <w:spacing w:val="10"/>
          <w:sz w:val="23"/>
          <w:szCs w:val="23"/>
        </w:rPr>
        <w:t>④</w:t>
      </w:r>
      <w:r>
        <w:rPr>
          <w:rFonts w:ascii="宋体" w:hAnsi="宋体" w:eastAsia="宋体" w:cs="宋体"/>
          <w:spacing w:val="6"/>
          <w:sz w:val="23"/>
          <w:szCs w:val="23"/>
        </w:rPr>
        <w:t xml:space="preserve">严禁在 </w:t>
      </w:r>
      <w:r>
        <w:rPr>
          <w:rFonts w:ascii="Times New Roman" w:hAnsi="Times New Roman" w:eastAsia="Times New Roman" w:cs="Times New Roman"/>
          <w:spacing w:val="6"/>
          <w:sz w:val="23"/>
          <w:szCs w:val="23"/>
        </w:rPr>
        <w:t xml:space="preserve">22 </w:t>
      </w:r>
      <w:r>
        <w:rPr>
          <w:rFonts w:ascii="宋体" w:hAnsi="宋体" w:eastAsia="宋体" w:cs="宋体"/>
          <w:spacing w:val="6"/>
          <w:sz w:val="23"/>
          <w:szCs w:val="23"/>
        </w:rPr>
        <w:t xml:space="preserve">时至次日 </w:t>
      </w:r>
      <w:r>
        <w:rPr>
          <w:rFonts w:ascii="Times New Roman" w:hAnsi="Times New Roman" w:eastAsia="Times New Roman" w:cs="Times New Roman"/>
          <w:spacing w:val="6"/>
          <w:sz w:val="23"/>
          <w:szCs w:val="23"/>
        </w:rPr>
        <w:t xml:space="preserve">6 </w:t>
      </w:r>
      <w:r>
        <w:rPr>
          <w:rFonts w:ascii="宋体" w:hAnsi="宋体" w:eastAsia="宋体" w:cs="宋体"/>
          <w:spacing w:val="6"/>
          <w:sz w:val="23"/>
          <w:szCs w:val="23"/>
        </w:rPr>
        <w:t>时之间进行各种施工作业，需连续施工作业的必须</w:t>
      </w:r>
      <w:r>
        <w:rPr>
          <w:rFonts w:ascii="宋体" w:hAnsi="宋体" w:eastAsia="宋体" w:cs="宋体"/>
          <w:sz w:val="23"/>
          <w:szCs w:val="23"/>
        </w:rPr>
        <w:t xml:space="preserve"> </w:t>
      </w:r>
      <w:r>
        <w:rPr>
          <w:rFonts w:ascii="宋体" w:hAnsi="宋体" w:eastAsia="宋体" w:cs="宋体"/>
          <w:spacing w:val="10"/>
          <w:sz w:val="23"/>
          <w:szCs w:val="23"/>
        </w:rPr>
        <w:t>在</w:t>
      </w:r>
      <w:r>
        <w:rPr>
          <w:rFonts w:ascii="宋体" w:hAnsi="宋体" w:eastAsia="宋体" w:cs="宋体"/>
          <w:spacing w:val="6"/>
          <w:sz w:val="23"/>
          <w:szCs w:val="23"/>
        </w:rPr>
        <w:t>开</w:t>
      </w:r>
      <w:r>
        <w:rPr>
          <w:rFonts w:ascii="宋体" w:hAnsi="宋体" w:eastAsia="宋体" w:cs="宋体"/>
          <w:spacing w:val="5"/>
          <w:sz w:val="23"/>
          <w:szCs w:val="23"/>
        </w:rPr>
        <w:t xml:space="preserve">工前到环保行政主管部门办理夜间施工审批，施工前应提前 </w:t>
      </w:r>
      <w:r>
        <w:rPr>
          <w:rFonts w:ascii="Times New Roman" w:hAnsi="Times New Roman" w:eastAsia="Times New Roman" w:cs="Times New Roman"/>
          <w:spacing w:val="5"/>
          <w:sz w:val="23"/>
          <w:szCs w:val="23"/>
        </w:rPr>
        <w:t xml:space="preserve">3 </w:t>
      </w:r>
      <w:r>
        <w:rPr>
          <w:rFonts w:ascii="宋体" w:hAnsi="宋体" w:eastAsia="宋体" w:cs="宋体"/>
          <w:spacing w:val="5"/>
          <w:sz w:val="23"/>
          <w:szCs w:val="23"/>
        </w:rPr>
        <w:t>天对周围居民</w:t>
      </w:r>
      <w:r>
        <w:rPr>
          <w:rFonts w:ascii="宋体" w:hAnsi="宋体" w:eastAsia="宋体" w:cs="宋体"/>
          <w:sz w:val="23"/>
          <w:szCs w:val="23"/>
        </w:rPr>
        <w:t xml:space="preserve"> </w:t>
      </w:r>
      <w:r>
        <w:rPr>
          <w:rFonts w:ascii="宋体" w:hAnsi="宋体" w:eastAsia="宋体" w:cs="宋体"/>
          <w:spacing w:val="12"/>
          <w:sz w:val="23"/>
          <w:szCs w:val="23"/>
        </w:rPr>
        <w:t>进</w:t>
      </w:r>
      <w:r>
        <w:rPr>
          <w:rFonts w:ascii="宋体" w:hAnsi="宋体" w:eastAsia="宋体" w:cs="宋体"/>
          <w:spacing w:val="9"/>
          <w:sz w:val="23"/>
          <w:szCs w:val="23"/>
        </w:rPr>
        <w:t>行公示。加强施工管理，减少人为噪声产生。</w:t>
      </w:r>
    </w:p>
    <w:p w14:paraId="100B354A">
      <w:pPr>
        <w:spacing w:before="136" w:line="401" w:lineRule="auto"/>
        <w:ind w:left="25" w:right="53" w:firstLine="476"/>
        <w:rPr>
          <w:rFonts w:ascii="宋体" w:hAnsi="宋体" w:eastAsia="宋体" w:cs="宋体"/>
          <w:sz w:val="23"/>
          <w:szCs w:val="23"/>
        </w:rPr>
      </w:pPr>
      <w:r>
        <w:rPr>
          <w:rFonts w:ascii="宋体" w:hAnsi="宋体" w:eastAsia="宋体" w:cs="宋体"/>
          <w:spacing w:val="7"/>
          <w:sz w:val="23"/>
          <w:szCs w:val="23"/>
        </w:rPr>
        <w:t>⑤尽量采用低噪声的施工工具，如以液压工具代替气压工具，同时尽可能</w:t>
      </w:r>
      <w:r>
        <w:rPr>
          <w:rFonts w:ascii="宋体" w:hAnsi="宋体" w:eastAsia="宋体" w:cs="宋体"/>
          <w:spacing w:val="4"/>
          <w:sz w:val="23"/>
          <w:szCs w:val="23"/>
        </w:rPr>
        <w:t>采</w:t>
      </w:r>
      <w:r>
        <w:rPr>
          <w:rFonts w:ascii="宋体" w:hAnsi="宋体" w:eastAsia="宋体" w:cs="宋体"/>
          <w:sz w:val="23"/>
          <w:szCs w:val="23"/>
        </w:rPr>
        <w:t xml:space="preserve"> </w:t>
      </w:r>
      <w:r>
        <w:rPr>
          <w:rFonts w:ascii="宋体" w:hAnsi="宋体" w:eastAsia="宋体" w:cs="宋体"/>
          <w:spacing w:val="10"/>
          <w:sz w:val="23"/>
          <w:szCs w:val="23"/>
        </w:rPr>
        <w:t>用</w:t>
      </w:r>
      <w:r>
        <w:rPr>
          <w:rFonts w:ascii="宋体" w:hAnsi="宋体" w:eastAsia="宋体" w:cs="宋体"/>
          <w:spacing w:val="8"/>
          <w:sz w:val="23"/>
          <w:szCs w:val="23"/>
        </w:rPr>
        <w:t>施工噪声低的施工方法。</w:t>
      </w:r>
    </w:p>
    <w:p w14:paraId="6FD06BE1">
      <w:pPr>
        <w:spacing w:before="139" w:line="398" w:lineRule="auto"/>
        <w:ind w:left="21" w:right="53" w:firstLine="480"/>
        <w:rPr>
          <w:rFonts w:ascii="宋体" w:hAnsi="宋体" w:eastAsia="宋体" w:cs="宋体"/>
          <w:sz w:val="23"/>
          <w:szCs w:val="23"/>
        </w:rPr>
      </w:pPr>
      <w:r>
        <w:rPr>
          <w:rFonts w:ascii="宋体" w:hAnsi="宋体" w:eastAsia="宋体" w:cs="宋体"/>
          <w:spacing w:val="7"/>
          <w:sz w:val="23"/>
          <w:szCs w:val="23"/>
        </w:rPr>
        <w:t>⑥运输车辆经过附近居民住宅时要慢行减速，严格禁止进、出项目的所有</w:t>
      </w:r>
      <w:r>
        <w:rPr>
          <w:rFonts w:ascii="宋体" w:hAnsi="宋体" w:eastAsia="宋体" w:cs="宋体"/>
          <w:spacing w:val="4"/>
          <w:sz w:val="23"/>
          <w:szCs w:val="23"/>
        </w:rPr>
        <w:t>运</w:t>
      </w:r>
      <w:r>
        <w:rPr>
          <w:rFonts w:ascii="宋体" w:hAnsi="宋体" w:eastAsia="宋体" w:cs="宋体"/>
          <w:sz w:val="23"/>
          <w:szCs w:val="23"/>
        </w:rPr>
        <w:t xml:space="preserve"> </w:t>
      </w:r>
      <w:r>
        <w:rPr>
          <w:rFonts w:ascii="宋体" w:hAnsi="宋体" w:eastAsia="宋体" w:cs="宋体"/>
          <w:spacing w:val="10"/>
          <w:sz w:val="23"/>
          <w:szCs w:val="23"/>
        </w:rPr>
        <w:t>输</w:t>
      </w:r>
      <w:r>
        <w:rPr>
          <w:rFonts w:ascii="宋体" w:hAnsi="宋体" w:eastAsia="宋体" w:cs="宋体"/>
          <w:spacing w:val="7"/>
          <w:sz w:val="23"/>
          <w:szCs w:val="23"/>
        </w:rPr>
        <w:t>车辆鸣喇叭，尽量压缩工区的车流量和行车密度，避免施工噪声影响附近居民</w:t>
      </w:r>
      <w:r>
        <w:rPr>
          <w:rFonts w:ascii="宋体" w:hAnsi="宋体" w:eastAsia="宋体" w:cs="宋体"/>
          <w:sz w:val="23"/>
          <w:szCs w:val="23"/>
        </w:rPr>
        <w:t xml:space="preserve"> </w:t>
      </w:r>
      <w:r>
        <w:rPr>
          <w:rFonts w:ascii="宋体" w:hAnsi="宋体" w:eastAsia="宋体" w:cs="宋体"/>
          <w:spacing w:val="4"/>
          <w:sz w:val="23"/>
          <w:szCs w:val="23"/>
        </w:rPr>
        <w:t>休息。</w:t>
      </w:r>
    </w:p>
    <w:p w14:paraId="5F04819C">
      <w:pPr>
        <w:spacing w:before="137" w:line="227" w:lineRule="auto"/>
        <w:ind w:left="502"/>
        <w:rPr>
          <w:rFonts w:ascii="宋体" w:hAnsi="宋体" w:eastAsia="宋体" w:cs="宋体"/>
          <w:sz w:val="23"/>
          <w:szCs w:val="23"/>
        </w:rPr>
      </w:pPr>
      <w:r>
        <w:rPr>
          <w:rFonts w:ascii="宋体" w:hAnsi="宋体" w:eastAsia="宋体" w:cs="宋体"/>
          <w:spacing w:val="7"/>
          <w:sz w:val="23"/>
          <w:szCs w:val="23"/>
        </w:rPr>
        <w:t>在采取上述措施后，将最大限度减少项目施工噪声对周围环境的影响，施</w:t>
      </w:r>
      <w:r>
        <w:rPr>
          <w:rFonts w:ascii="宋体" w:hAnsi="宋体" w:eastAsia="宋体" w:cs="宋体"/>
          <w:spacing w:val="3"/>
          <w:sz w:val="23"/>
          <w:szCs w:val="23"/>
        </w:rPr>
        <w:t>工</w:t>
      </w:r>
    </w:p>
    <w:p w14:paraId="25B8E4C5">
      <w:pPr>
        <w:sectPr>
          <w:headerReference r:id="rId263" w:type="default"/>
          <w:footerReference r:id="rId264" w:type="default"/>
          <w:pgSz w:w="11906" w:h="16839"/>
          <w:pgMar w:top="1132" w:right="1745" w:bottom="1182" w:left="1785" w:header="878" w:footer="1022" w:gutter="0"/>
          <w:cols w:space="720" w:num="1"/>
        </w:sectPr>
      </w:pPr>
    </w:p>
    <w:p w14:paraId="4A6AAA86">
      <w:pPr>
        <w:spacing w:line="416" w:lineRule="auto"/>
        <w:rPr>
          <w:rFonts w:ascii="Arial"/>
          <w:sz w:val="21"/>
        </w:rPr>
      </w:pPr>
      <w:r>
        <w:pict>
          <v:shape id="_x0000_s1299" o:spid="_x0000_s1299" style="position:absolute;left:0pt;margin-left:90pt;margin-top:57.35pt;height:0.75pt;width:415.3pt;mso-position-horizontal-relative:page;mso-position-vertical-relative:page;z-index:251952128;mso-width-relative:page;mso-height-relative:page;" fillcolor="#000000" filled="t" stroked="f" coordsize="8305,15" o:allowincell="f" path="m0,0l8305,0,8305,14,0,14,0,0xe">
            <v:path/>
            <v:fill on="t" focussize="0,0"/>
            <v:stroke on="f"/>
            <v:imagedata o:title=""/>
            <o:lock v:ext="edit"/>
          </v:shape>
        </w:pict>
      </w:r>
    </w:p>
    <w:p w14:paraId="5DA99629">
      <w:pPr>
        <w:spacing w:before="75" w:line="227" w:lineRule="auto"/>
        <w:ind w:left="26"/>
        <w:rPr>
          <w:rFonts w:ascii="宋体" w:hAnsi="宋体" w:eastAsia="宋体" w:cs="宋体"/>
          <w:sz w:val="23"/>
          <w:szCs w:val="23"/>
        </w:rPr>
      </w:pPr>
      <w:r>
        <w:rPr>
          <w:rFonts w:ascii="宋体" w:hAnsi="宋体" w:eastAsia="宋体" w:cs="宋体"/>
          <w:spacing w:val="14"/>
          <w:sz w:val="23"/>
          <w:szCs w:val="23"/>
        </w:rPr>
        <w:t>期产生</w:t>
      </w:r>
      <w:r>
        <w:rPr>
          <w:rFonts w:ascii="宋体" w:hAnsi="宋体" w:eastAsia="宋体" w:cs="宋体"/>
          <w:spacing w:val="9"/>
          <w:sz w:val="23"/>
          <w:szCs w:val="23"/>
        </w:rPr>
        <w:t>的</w:t>
      </w:r>
      <w:r>
        <w:rPr>
          <w:rFonts w:ascii="宋体" w:hAnsi="宋体" w:eastAsia="宋体" w:cs="宋体"/>
          <w:spacing w:val="7"/>
          <w:sz w:val="23"/>
          <w:szCs w:val="23"/>
        </w:rPr>
        <w:t>噪声可满足《建筑施工场界环境噪声排放标准》  (</w:t>
      </w:r>
      <w:r>
        <w:rPr>
          <w:rFonts w:ascii="Times New Roman" w:hAnsi="Times New Roman" w:eastAsia="Times New Roman" w:cs="Times New Roman"/>
          <w:sz w:val="23"/>
          <w:szCs w:val="23"/>
        </w:rPr>
        <w:t>GB</w:t>
      </w:r>
      <w:r>
        <w:rPr>
          <w:rFonts w:ascii="Times New Roman" w:hAnsi="Times New Roman" w:eastAsia="Times New Roman" w:cs="Times New Roman"/>
          <w:spacing w:val="7"/>
          <w:sz w:val="23"/>
          <w:szCs w:val="23"/>
        </w:rPr>
        <w:t>12523-2011</w:t>
      </w:r>
      <w:r>
        <w:rPr>
          <w:rFonts w:ascii="宋体" w:hAnsi="宋体" w:eastAsia="宋体" w:cs="宋体"/>
          <w:spacing w:val="7"/>
          <w:sz w:val="23"/>
          <w:szCs w:val="23"/>
        </w:rPr>
        <w:t>) 要</w:t>
      </w:r>
    </w:p>
    <w:p w14:paraId="44310390">
      <w:pPr>
        <w:spacing w:before="206" w:line="229" w:lineRule="auto"/>
        <w:ind w:left="25"/>
        <w:rPr>
          <w:rFonts w:ascii="宋体" w:hAnsi="宋体" w:eastAsia="宋体" w:cs="宋体"/>
          <w:sz w:val="23"/>
          <w:szCs w:val="23"/>
        </w:rPr>
      </w:pPr>
      <w:r>
        <w:rPr>
          <w:rFonts w:ascii="宋体" w:hAnsi="宋体" w:eastAsia="宋体" w:cs="宋体"/>
          <w:spacing w:val="9"/>
          <w:sz w:val="23"/>
          <w:szCs w:val="23"/>
        </w:rPr>
        <w:t>求，对场界声环境及敏感点声环境的影响可接受。</w:t>
      </w:r>
    </w:p>
    <w:p w14:paraId="41F699C2">
      <w:pPr>
        <w:spacing w:before="302" w:line="226" w:lineRule="auto"/>
        <w:ind w:left="25"/>
        <w:outlineLvl w:val="2"/>
        <w:rPr>
          <w:rFonts w:ascii="宋体" w:hAnsi="宋体" w:eastAsia="宋体" w:cs="宋体"/>
          <w:sz w:val="29"/>
          <w:szCs w:val="29"/>
        </w:rPr>
      </w:pPr>
      <w:r>
        <w:rPr>
          <w:rFonts w:ascii="Times New Roman" w:hAnsi="Times New Roman" w:eastAsia="Times New Roman" w:cs="Times New Roman"/>
          <w:b/>
          <w:bCs/>
          <w:spacing w:val="8"/>
          <w:sz w:val="29"/>
          <w:szCs w:val="29"/>
        </w:rPr>
        <w:t>6.1.4</w:t>
      </w:r>
      <w:r>
        <w:rPr>
          <w:rFonts w:ascii="Times New Roman" w:hAnsi="Times New Roman" w:eastAsia="Times New Roman" w:cs="Times New Roman"/>
          <w:spacing w:val="8"/>
          <w:sz w:val="29"/>
          <w:szCs w:val="29"/>
        </w:rPr>
        <w:t xml:space="preserve"> </w:t>
      </w:r>
      <w:r>
        <w:rPr>
          <w:rFonts w:ascii="宋体" w:hAnsi="宋体" w:eastAsia="宋体" w:cs="宋体"/>
          <w:spacing w:val="8"/>
          <w:sz w:val="29"/>
          <w:szCs w:val="29"/>
          <w14:textOutline w14:w="5448" w14:cap="sq" w14:cmpd="sng">
            <w14:solidFill>
              <w14:srgbClr w14:val="000000"/>
            </w14:solidFill>
            <w14:prstDash w14:val="solid"/>
            <w14:bevel/>
          </w14:textOutline>
        </w:rPr>
        <w:t>施工期固体废物防治措</w:t>
      </w:r>
      <w:r>
        <w:rPr>
          <w:rFonts w:ascii="宋体" w:hAnsi="宋体" w:eastAsia="宋体" w:cs="宋体"/>
          <w:spacing w:val="4"/>
          <w:sz w:val="29"/>
          <w:szCs w:val="29"/>
          <w14:textOutline w14:w="5448" w14:cap="sq" w14:cmpd="sng">
            <w14:solidFill>
              <w14:srgbClr w14:val="000000"/>
            </w14:solidFill>
            <w14:prstDash w14:val="solid"/>
            <w14:bevel/>
          </w14:textOutline>
        </w:rPr>
        <w:t>施</w:t>
      </w:r>
    </w:p>
    <w:p w14:paraId="008B2E63">
      <w:pPr>
        <w:spacing w:line="266" w:lineRule="auto"/>
        <w:rPr>
          <w:rFonts w:ascii="Arial"/>
          <w:sz w:val="21"/>
        </w:rPr>
      </w:pPr>
    </w:p>
    <w:p w14:paraId="307F11CC">
      <w:pPr>
        <w:spacing w:before="75" w:line="398" w:lineRule="auto"/>
        <w:ind w:left="28" w:right="80" w:firstLine="486"/>
        <w:rPr>
          <w:rFonts w:ascii="宋体" w:hAnsi="宋体" w:eastAsia="宋体" w:cs="宋体"/>
          <w:sz w:val="23"/>
          <w:szCs w:val="23"/>
        </w:rPr>
      </w:pPr>
      <w:r>
        <w:rPr>
          <w:rFonts w:ascii="宋体" w:hAnsi="宋体" w:eastAsia="宋体" w:cs="宋体"/>
          <w:spacing w:val="14"/>
          <w:sz w:val="23"/>
          <w:szCs w:val="23"/>
        </w:rPr>
        <w:t>(</w:t>
      </w:r>
      <w:r>
        <w:rPr>
          <w:rFonts w:ascii="Times New Roman" w:hAnsi="Times New Roman" w:eastAsia="Times New Roman" w:cs="Times New Roman"/>
          <w:spacing w:val="13"/>
          <w:sz w:val="23"/>
          <w:szCs w:val="23"/>
        </w:rPr>
        <w:t>1</w:t>
      </w:r>
      <w:r>
        <w:rPr>
          <w:rFonts w:ascii="宋体" w:hAnsi="宋体" w:eastAsia="宋体" w:cs="宋体"/>
          <w:spacing w:val="13"/>
          <w:sz w:val="23"/>
          <w:szCs w:val="23"/>
        </w:rPr>
        <w:t>) 施工人员产生的生活垃圾要求集中收集后定期交由环卫部门统一清运</w:t>
      </w:r>
      <w:r>
        <w:rPr>
          <w:rFonts w:ascii="宋体" w:hAnsi="宋体" w:eastAsia="宋体" w:cs="宋体"/>
          <w:sz w:val="23"/>
          <w:szCs w:val="23"/>
        </w:rPr>
        <w:t xml:space="preserve"> </w:t>
      </w:r>
      <w:r>
        <w:rPr>
          <w:rFonts w:ascii="宋体" w:hAnsi="宋体" w:eastAsia="宋体" w:cs="宋体"/>
          <w:spacing w:val="7"/>
          <w:sz w:val="23"/>
          <w:szCs w:val="23"/>
        </w:rPr>
        <w:t>处理，施工建设过程中产生的建筑垃圾、废弃装饰建筑材料要求集中收集，尽</w:t>
      </w:r>
      <w:r>
        <w:rPr>
          <w:rFonts w:ascii="宋体" w:hAnsi="宋体" w:eastAsia="宋体" w:cs="宋体"/>
          <w:spacing w:val="4"/>
          <w:sz w:val="23"/>
          <w:szCs w:val="23"/>
        </w:rPr>
        <w:t>量</w:t>
      </w:r>
      <w:r>
        <w:rPr>
          <w:rFonts w:ascii="宋体" w:hAnsi="宋体" w:eastAsia="宋体" w:cs="宋体"/>
          <w:sz w:val="23"/>
          <w:szCs w:val="23"/>
        </w:rPr>
        <w:t xml:space="preserve"> </w:t>
      </w:r>
      <w:r>
        <w:rPr>
          <w:rFonts w:ascii="宋体" w:hAnsi="宋体" w:eastAsia="宋体" w:cs="宋体"/>
          <w:spacing w:val="16"/>
          <w:sz w:val="23"/>
          <w:szCs w:val="23"/>
        </w:rPr>
        <w:t>回</w:t>
      </w:r>
      <w:r>
        <w:rPr>
          <w:rFonts w:ascii="宋体" w:hAnsi="宋体" w:eastAsia="宋体" w:cs="宋体"/>
          <w:spacing w:val="11"/>
          <w:sz w:val="23"/>
          <w:szCs w:val="23"/>
        </w:rPr>
        <w:t>用</w:t>
      </w:r>
      <w:r>
        <w:rPr>
          <w:rFonts w:ascii="宋体" w:hAnsi="宋体" w:eastAsia="宋体" w:cs="宋体"/>
          <w:spacing w:val="8"/>
          <w:sz w:val="23"/>
          <w:szCs w:val="23"/>
        </w:rPr>
        <w:t>，不能回用的送至建筑垃圾填埋场。</w:t>
      </w:r>
    </w:p>
    <w:p w14:paraId="628FA3F4">
      <w:pPr>
        <w:spacing w:before="136" w:line="400" w:lineRule="auto"/>
        <w:ind w:left="22" w:right="82" w:firstLine="492"/>
        <w:rPr>
          <w:rFonts w:ascii="宋体" w:hAnsi="宋体" w:eastAsia="宋体" w:cs="宋体"/>
          <w:sz w:val="23"/>
          <w:szCs w:val="23"/>
        </w:rPr>
      </w:pPr>
      <w:r>
        <w:rPr>
          <w:rFonts w:ascii="宋体" w:hAnsi="宋体" w:eastAsia="宋体" w:cs="宋体"/>
          <w:spacing w:val="14"/>
          <w:sz w:val="23"/>
          <w:szCs w:val="23"/>
        </w:rPr>
        <w:t>(</w:t>
      </w:r>
      <w:r>
        <w:rPr>
          <w:rFonts w:ascii="Times New Roman" w:hAnsi="Times New Roman" w:eastAsia="Times New Roman" w:cs="Times New Roman"/>
          <w:spacing w:val="13"/>
          <w:sz w:val="23"/>
          <w:szCs w:val="23"/>
        </w:rPr>
        <w:t>2</w:t>
      </w:r>
      <w:r>
        <w:rPr>
          <w:rFonts w:ascii="宋体" w:hAnsi="宋体" w:eastAsia="宋体" w:cs="宋体"/>
          <w:spacing w:val="13"/>
          <w:sz w:val="23"/>
          <w:szCs w:val="23"/>
        </w:rPr>
        <w:t>) 建筑垃圾的清运应当采用封闭式车辆，禁止随意抛撒。不得在运输过</w:t>
      </w:r>
      <w:r>
        <w:rPr>
          <w:rFonts w:ascii="宋体" w:hAnsi="宋体" w:eastAsia="宋体" w:cs="宋体"/>
          <w:sz w:val="23"/>
          <w:szCs w:val="23"/>
        </w:rPr>
        <w:t xml:space="preserve"> </w:t>
      </w:r>
      <w:r>
        <w:rPr>
          <w:rFonts w:ascii="宋体" w:hAnsi="宋体" w:eastAsia="宋体" w:cs="宋体"/>
          <w:spacing w:val="16"/>
          <w:sz w:val="23"/>
          <w:szCs w:val="23"/>
        </w:rPr>
        <w:t>程</w:t>
      </w:r>
      <w:r>
        <w:rPr>
          <w:rFonts w:ascii="宋体" w:hAnsi="宋体" w:eastAsia="宋体" w:cs="宋体"/>
          <w:spacing w:val="9"/>
          <w:sz w:val="23"/>
          <w:szCs w:val="23"/>
        </w:rPr>
        <w:t>中</w:t>
      </w:r>
      <w:r>
        <w:rPr>
          <w:rFonts w:ascii="宋体" w:hAnsi="宋体" w:eastAsia="宋体" w:cs="宋体"/>
          <w:spacing w:val="8"/>
          <w:sz w:val="23"/>
          <w:szCs w:val="23"/>
        </w:rPr>
        <w:t>沿途丢弃、遗撒固体废物。</w:t>
      </w:r>
    </w:p>
    <w:p w14:paraId="3ADFDF81">
      <w:pPr>
        <w:spacing w:before="138" w:line="404" w:lineRule="auto"/>
        <w:ind w:left="24" w:right="82" w:firstLine="490"/>
        <w:rPr>
          <w:rFonts w:ascii="宋体" w:hAnsi="宋体" w:eastAsia="宋体" w:cs="宋体"/>
          <w:sz w:val="23"/>
          <w:szCs w:val="23"/>
        </w:rPr>
      </w:pPr>
      <w:r>
        <w:rPr>
          <w:rFonts w:ascii="宋体" w:hAnsi="宋体" w:eastAsia="宋体" w:cs="宋体"/>
          <w:spacing w:val="14"/>
          <w:sz w:val="23"/>
          <w:szCs w:val="23"/>
        </w:rPr>
        <w:t>(</w:t>
      </w:r>
      <w:r>
        <w:rPr>
          <w:rFonts w:ascii="Times New Roman" w:hAnsi="Times New Roman" w:eastAsia="Times New Roman" w:cs="Times New Roman"/>
          <w:spacing w:val="13"/>
          <w:sz w:val="23"/>
          <w:szCs w:val="23"/>
        </w:rPr>
        <w:t>3</w:t>
      </w:r>
      <w:r>
        <w:rPr>
          <w:rFonts w:ascii="宋体" w:hAnsi="宋体" w:eastAsia="宋体" w:cs="宋体"/>
          <w:spacing w:val="13"/>
          <w:sz w:val="23"/>
          <w:szCs w:val="23"/>
        </w:rPr>
        <w:t>) 施工机械的机修油污集中处理，揩擦有油污的固体废弃物等不得随地</w:t>
      </w:r>
      <w:r>
        <w:rPr>
          <w:rFonts w:ascii="宋体" w:hAnsi="宋体" w:eastAsia="宋体" w:cs="宋体"/>
          <w:sz w:val="23"/>
          <w:szCs w:val="23"/>
        </w:rPr>
        <w:t xml:space="preserve"> </w:t>
      </w:r>
      <w:r>
        <w:rPr>
          <w:rFonts w:ascii="宋体" w:hAnsi="宋体" w:eastAsia="宋体" w:cs="宋体"/>
          <w:spacing w:val="13"/>
          <w:sz w:val="23"/>
          <w:szCs w:val="23"/>
        </w:rPr>
        <w:t>乱</w:t>
      </w:r>
      <w:r>
        <w:rPr>
          <w:rFonts w:ascii="宋体" w:hAnsi="宋体" w:eastAsia="宋体" w:cs="宋体"/>
          <w:spacing w:val="7"/>
          <w:sz w:val="23"/>
          <w:szCs w:val="23"/>
        </w:rPr>
        <w:t>扔，应集中处理。</w:t>
      </w:r>
    </w:p>
    <w:p w14:paraId="2D1815EF">
      <w:pPr>
        <w:spacing w:before="130" w:line="398" w:lineRule="auto"/>
        <w:ind w:left="24" w:right="80" w:firstLine="490"/>
        <w:rPr>
          <w:rFonts w:ascii="宋体" w:hAnsi="宋体" w:eastAsia="宋体" w:cs="宋体"/>
          <w:sz w:val="23"/>
          <w:szCs w:val="23"/>
        </w:rPr>
      </w:pPr>
      <w:r>
        <w:rPr>
          <w:rFonts w:ascii="宋体" w:hAnsi="宋体" w:eastAsia="宋体" w:cs="宋体"/>
          <w:spacing w:val="14"/>
          <w:sz w:val="23"/>
          <w:szCs w:val="23"/>
        </w:rPr>
        <w:t>(</w:t>
      </w:r>
      <w:r>
        <w:rPr>
          <w:rFonts w:ascii="Times New Roman" w:hAnsi="Times New Roman" w:eastAsia="Times New Roman" w:cs="Times New Roman"/>
          <w:spacing w:val="13"/>
          <w:sz w:val="23"/>
          <w:szCs w:val="23"/>
        </w:rPr>
        <w:t>4</w:t>
      </w:r>
      <w:r>
        <w:rPr>
          <w:rFonts w:ascii="宋体" w:hAnsi="宋体" w:eastAsia="宋体" w:cs="宋体"/>
          <w:spacing w:val="13"/>
          <w:sz w:val="23"/>
          <w:szCs w:val="23"/>
        </w:rPr>
        <w:t>) 按计划和施工的操作规程，严格控制并尽量减少余下的物料。一旦有</w:t>
      </w:r>
      <w:r>
        <w:rPr>
          <w:rFonts w:ascii="宋体" w:hAnsi="宋体" w:eastAsia="宋体" w:cs="宋体"/>
          <w:sz w:val="23"/>
          <w:szCs w:val="23"/>
        </w:rPr>
        <w:t xml:space="preserve"> </w:t>
      </w:r>
      <w:r>
        <w:rPr>
          <w:rFonts w:ascii="宋体" w:hAnsi="宋体" w:eastAsia="宋体" w:cs="宋体"/>
          <w:spacing w:val="8"/>
          <w:sz w:val="23"/>
          <w:szCs w:val="23"/>
        </w:rPr>
        <w:t>余</w:t>
      </w:r>
      <w:r>
        <w:rPr>
          <w:rFonts w:ascii="宋体" w:hAnsi="宋体" w:eastAsia="宋体" w:cs="宋体"/>
          <w:spacing w:val="7"/>
          <w:sz w:val="23"/>
          <w:szCs w:val="23"/>
        </w:rPr>
        <w:t>下的材料，将其有序地存放好，妥善保管，可供周边地区修补乡村道路或建筑</w:t>
      </w:r>
      <w:r>
        <w:rPr>
          <w:rFonts w:ascii="宋体" w:hAnsi="宋体" w:eastAsia="宋体" w:cs="宋体"/>
          <w:sz w:val="23"/>
          <w:szCs w:val="23"/>
        </w:rPr>
        <w:t xml:space="preserve"> </w:t>
      </w:r>
      <w:r>
        <w:rPr>
          <w:rFonts w:ascii="宋体" w:hAnsi="宋体" w:eastAsia="宋体" w:cs="宋体"/>
          <w:spacing w:val="3"/>
          <w:sz w:val="23"/>
          <w:szCs w:val="23"/>
        </w:rPr>
        <w:t>使用。</w:t>
      </w:r>
    </w:p>
    <w:p w14:paraId="72654CAA">
      <w:pPr>
        <w:spacing w:before="138" w:line="400" w:lineRule="auto"/>
        <w:ind w:left="29" w:right="82" w:firstLine="485"/>
        <w:rPr>
          <w:rFonts w:ascii="宋体" w:hAnsi="宋体" w:eastAsia="宋体" w:cs="宋体"/>
          <w:sz w:val="23"/>
          <w:szCs w:val="23"/>
        </w:rPr>
      </w:pPr>
      <w:r>
        <w:rPr>
          <w:rFonts w:ascii="宋体" w:hAnsi="宋体" w:eastAsia="宋体" w:cs="宋体"/>
          <w:spacing w:val="14"/>
          <w:sz w:val="23"/>
          <w:szCs w:val="23"/>
        </w:rPr>
        <w:t>(</w:t>
      </w:r>
      <w:r>
        <w:rPr>
          <w:rFonts w:ascii="Times New Roman" w:hAnsi="Times New Roman" w:eastAsia="Times New Roman" w:cs="Times New Roman"/>
          <w:spacing w:val="13"/>
          <w:sz w:val="23"/>
          <w:szCs w:val="23"/>
        </w:rPr>
        <w:t>5</w:t>
      </w:r>
      <w:r>
        <w:rPr>
          <w:rFonts w:ascii="宋体" w:hAnsi="宋体" w:eastAsia="宋体" w:cs="宋体"/>
          <w:spacing w:val="13"/>
          <w:sz w:val="23"/>
          <w:szCs w:val="23"/>
        </w:rPr>
        <w:t>) 对收集、贮存、运输、处置固体废物的设施、设备和场所，应当加强</w:t>
      </w:r>
      <w:r>
        <w:rPr>
          <w:rFonts w:ascii="宋体" w:hAnsi="宋体" w:eastAsia="宋体" w:cs="宋体"/>
          <w:sz w:val="23"/>
          <w:szCs w:val="23"/>
        </w:rPr>
        <w:t xml:space="preserve"> </w:t>
      </w:r>
      <w:r>
        <w:rPr>
          <w:rFonts w:ascii="宋体" w:hAnsi="宋体" w:eastAsia="宋体" w:cs="宋体"/>
          <w:spacing w:val="16"/>
          <w:sz w:val="23"/>
          <w:szCs w:val="23"/>
        </w:rPr>
        <w:t>管</w:t>
      </w:r>
      <w:r>
        <w:rPr>
          <w:rFonts w:ascii="宋体" w:hAnsi="宋体" w:eastAsia="宋体" w:cs="宋体"/>
          <w:spacing w:val="8"/>
          <w:sz w:val="23"/>
          <w:szCs w:val="23"/>
        </w:rPr>
        <w:t>理和维护，保证其正常运行和使用。</w:t>
      </w:r>
    </w:p>
    <w:p w14:paraId="467BBEF4">
      <w:pPr>
        <w:spacing w:before="94" w:line="406" w:lineRule="auto"/>
        <w:ind w:left="23" w:right="77" w:firstLine="483"/>
        <w:rPr>
          <w:rFonts w:ascii="宋体" w:hAnsi="宋体" w:eastAsia="宋体" w:cs="宋体"/>
          <w:sz w:val="23"/>
          <w:szCs w:val="23"/>
        </w:rPr>
      </w:pPr>
      <w:r>
        <w:rPr>
          <w:rFonts w:ascii="宋体" w:hAnsi="宋体" w:eastAsia="宋体" w:cs="宋体"/>
          <w:spacing w:val="10"/>
          <w:sz w:val="23"/>
          <w:szCs w:val="23"/>
        </w:rPr>
        <w:t>项目施工期</w:t>
      </w:r>
      <w:r>
        <w:rPr>
          <w:rFonts w:ascii="宋体" w:hAnsi="宋体" w:eastAsia="宋体" w:cs="宋体"/>
          <w:spacing w:val="6"/>
          <w:sz w:val="23"/>
          <w:szCs w:val="23"/>
        </w:rPr>
        <w:t>固</w:t>
      </w:r>
      <w:r>
        <w:rPr>
          <w:rFonts w:ascii="宋体" w:hAnsi="宋体" w:eastAsia="宋体" w:cs="宋体"/>
          <w:spacing w:val="5"/>
          <w:sz w:val="23"/>
          <w:szCs w:val="23"/>
        </w:rPr>
        <w:t xml:space="preserve">体废物处置率为 </w:t>
      </w:r>
      <w:r>
        <w:rPr>
          <w:rFonts w:ascii="Times New Roman" w:hAnsi="Times New Roman" w:eastAsia="Times New Roman" w:cs="Times New Roman"/>
          <w:spacing w:val="5"/>
          <w:sz w:val="23"/>
          <w:szCs w:val="23"/>
        </w:rPr>
        <w:t xml:space="preserve">100% </w:t>
      </w:r>
      <w:r>
        <w:rPr>
          <w:rFonts w:ascii="宋体" w:hAnsi="宋体" w:eastAsia="宋体" w:cs="宋体"/>
          <w:spacing w:val="5"/>
          <w:sz w:val="23"/>
          <w:szCs w:val="23"/>
        </w:rPr>
        <w:t>，施工期产生的固体废物对周围环境的</w:t>
      </w:r>
      <w:r>
        <w:rPr>
          <w:rFonts w:ascii="宋体" w:hAnsi="宋体" w:eastAsia="宋体" w:cs="宋体"/>
          <w:sz w:val="23"/>
          <w:szCs w:val="23"/>
        </w:rPr>
        <w:t xml:space="preserve"> </w:t>
      </w:r>
      <w:r>
        <w:rPr>
          <w:rFonts w:ascii="宋体" w:hAnsi="宋体" w:eastAsia="宋体" w:cs="宋体"/>
          <w:spacing w:val="10"/>
          <w:sz w:val="23"/>
          <w:szCs w:val="23"/>
        </w:rPr>
        <w:t>影</w:t>
      </w:r>
      <w:r>
        <w:rPr>
          <w:rFonts w:ascii="宋体" w:hAnsi="宋体" w:eastAsia="宋体" w:cs="宋体"/>
          <w:spacing w:val="6"/>
          <w:sz w:val="23"/>
          <w:szCs w:val="23"/>
        </w:rPr>
        <w:t>响可接受。</w:t>
      </w:r>
    </w:p>
    <w:p w14:paraId="1842CDBC">
      <w:pPr>
        <w:spacing w:before="112" w:line="226" w:lineRule="auto"/>
        <w:ind w:left="25"/>
        <w:outlineLvl w:val="2"/>
        <w:rPr>
          <w:rFonts w:ascii="宋体" w:hAnsi="宋体" w:eastAsia="宋体" w:cs="宋体"/>
          <w:sz w:val="29"/>
          <w:szCs w:val="29"/>
        </w:rPr>
      </w:pPr>
      <w:r>
        <w:rPr>
          <w:rFonts w:ascii="Times New Roman" w:hAnsi="Times New Roman" w:eastAsia="Times New Roman" w:cs="Times New Roman"/>
          <w:b/>
          <w:bCs/>
          <w:spacing w:val="7"/>
          <w:sz w:val="29"/>
          <w:szCs w:val="29"/>
        </w:rPr>
        <w:t>6.1.5</w:t>
      </w:r>
      <w:r>
        <w:rPr>
          <w:rFonts w:ascii="Times New Roman" w:hAnsi="Times New Roman" w:eastAsia="Times New Roman" w:cs="Times New Roman"/>
          <w:spacing w:val="7"/>
          <w:sz w:val="29"/>
          <w:szCs w:val="29"/>
        </w:rPr>
        <w:t xml:space="preserve"> </w:t>
      </w:r>
      <w:r>
        <w:rPr>
          <w:rFonts w:ascii="宋体" w:hAnsi="宋体" w:eastAsia="宋体" w:cs="宋体"/>
          <w:spacing w:val="7"/>
          <w:sz w:val="29"/>
          <w:szCs w:val="29"/>
          <w14:textOutline w14:w="5448" w14:cap="sq" w14:cmpd="sng">
            <w14:solidFill>
              <w14:srgbClr w14:val="000000"/>
            </w14:solidFill>
            <w14:prstDash w14:val="solid"/>
            <w14:bevel/>
          </w14:textOutline>
        </w:rPr>
        <w:t>生态环境保护措</w:t>
      </w:r>
      <w:r>
        <w:rPr>
          <w:rFonts w:ascii="宋体" w:hAnsi="宋体" w:eastAsia="宋体" w:cs="宋体"/>
          <w:spacing w:val="6"/>
          <w:sz w:val="29"/>
          <w:szCs w:val="29"/>
          <w14:textOutline w14:w="5448" w14:cap="sq" w14:cmpd="sng">
            <w14:solidFill>
              <w14:srgbClr w14:val="000000"/>
            </w14:solidFill>
            <w14:prstDash w14:val="solid"/>
            <w14:bevel/>
          </w14:textOutline>
        </w:rPr>
        <w:t>施</w:t>
      </w:r>
    </w:p>
    <w:p w14:paraId="00D8902D">
      <w:pPr>
        <w:spacing w:line="262" w:lineRule="auto"/>
        <w:rPr>
          <w:rFonts w:ascii="Arial"/>
          <w:sz w:val="21"/>
        </w:rPr>
      </w:pPr>
    </w:p>
    <w:p w14:paraId="16F1B797">
      <w:pPr>
        <w:spacing w:before="75" w:line="228" w:lineRule="auto"/>
        <w:ind w:left="514"/>
        <w:rPr>
          <w:rFonts w:ascii="宋体" w:hAnsi="宋体" w:eastAsia="宋体" w:cs="宋体"/>
          <w:sz w:val="23"/>
          <w:szCs w:val="23"/>
        </w:rPr>
      </w:pPr>
      <w:r>
        <w:rPr>
          <w:rFonts w:ascii="宋体" w:hAnsi="宋体" w:eastAsia="宋体" w:cs="宋体"/>
          <w:spacing w:val="21"/>
          <w:sz w:val="23"/>
          <w:szCs w:val="23"/>
        </w:rPr>
        <w:t>(</w:t>
      </w:r>
      <w:r>
        <w:rPr>
          <w:rFonts w:ascii="Times New Roman" w:hAnsi="Times New Roman" w:eastAsia="Times New Roman" w:cs="Times New Roman"/>
          <w:spacing w:val="14"/>
          <w:sz w:val="23"/>
          <w:szCs w:val="23"/>
        </w:rPr>
        <w:t>1</w:t>
      </w:r>
      <w:r>
        <w:rPr>
          <w:rFonts w:ascii="宋体" w:hAnsi="宋体" w:eastAsia="宋体" w:cs="宋体"/>
          <w:spacing w:val="14"/>
          <w:sz w:val="23"/>
          <w:szCs w:val="23"/>
        </w:rPr>
        <w:t>) 施工现场周围生态环境保护措施</w:t>
      </w:r>
    </w:p>
    <w:p w14:paraId="7F7D3D0D">
      <w:pPr>
        <w:spacing w:line="285" w:lineRule="auto"/>
        <w:rPr>
          <w:rFonts w:ascii="Arial"/>
          <w:sz w:val="21"/>
        </w:rPr>
      </w:pPr>
    </w:p>
    <w:p w14:paraId="6FD85C83">
      <w:pPr>
        <w:spacing w:before="75" w:line="398" w:lineRule="auto"/>
        <w:ind w:left="24" w:firstLine="478"/>
        <w:rPr>
          <w:rFonts w:ascii="宋体" w:hAnsi="宋体" w:eastAsia="宋体" w:cs="宋体"/>
          <w:sz w:val="23"/>
          <w:szCs w:val="23"/>
        </w:rPr>
      </w:pPr>
      <w:r>
        <w:rPr>
          <w:rFonts w:ascii="宋体" w:hAnsi="宋体" w:eastAsia="宋体" w:cs="宋体"/>
          <w:spacing w:val="7"/>
          <w:sz w:val="23"/>
          <w:szCs w:val="23"/>
        </w:rPr>
        <w:t>施工期要保护周围生态环境，不允许占用工程征地外的土地。运送物料车</w:t>
      </w:r>
      <w:r>
        <w:rPr>
          <w:rFonts w:ascii="宋体" w:hAnsi="宋体" w:eastAsia="宋体" w:cs="宋体"/>
          <w:spacing w:val="3"/>
          <w:sz w:val="23"/>
          <w:szCs w:val="23"/>
        </w:rPr>
        <w:t>辆</w:t>
      </w:r>
      <w:r>
        <w:rPr>
          <w:rFonts w:ascii="宋体" w:hAnsi="宋体" w:eastAsia="宋体" w:cs="宋体"/>
          <w:sz w:val="23"/>
          <w:szCs w:val="23"/>
        </w:rPr>
        <w:t xml:space="preserve"> </w:t>
      </w:r>
      <w:r>
        <w:rPr>
          <w:rFonts w:ascii="宋体" w:hAnsi="宋体" w:eastAsia="宋体" w:cs="宋体"/>
          <w:spacing w:val="8"/>
          <w:sz w:val="23"/>
          <w:szCs w:val="23"/>
        </w:rPr>
        <w:t>要</w:t>
      </w:r>
      <w:r>
        <w:rPr>
          <w:rFonts w:ascii="宋体" w:hAnsi="宋体" w:eastAsia="宋体" w:cs="宋体"/>
          <w:spacing w:val="7"/>
          <w:sz w:val="23"/>
          <w:szCs w:val="23"/>
        </w:rPr>
        <w:t>设定固定行车路线，落实运输车辆防止扬尘、降噪措施，保护施工现场周围农</w:t>
      </w:r>
      <w:r>
        <w:rPr>
          <w:rFonts w:ascii="宋体" w:hAnsi="宋体" w:eastAsia="宋体" w:cs="宋体"/>
          <w:sz w:val="23"/>
          <w:szCs w:val="23"/>
        </w:rPr>
        <w:t xml:space="preserve"> </w:t>
      </w:r>
      <w:r>
        <w:rPr>
          <w:rFonts w:ascii="宋体" w:hAnsi="宋体" w:eastAsia="宋体" w:cs="宋体"/>
          <w:spacing w:val="4"/>
          <w:sz w:val="23"/>
          <w:szCs w:val="23"/>
        </w:rPr>
        <w:t>田生态环境。禁止在区外随</w:t>
      </w:r>
      <w:r>
        <w:rPr>
          <w:rFonts w:ascii="宋体" w:hAnsi="宋体" w:eastAsia="宋体" w:cs="宋体"/>
          <w:spacing w:val="2"/>
          <w:sz w:val="23"/>
          <w:szCs w:val="23"/>
        </w:rPr>
        <w:t>意取土，用作区内土地平整等，以保护区域土地资源。</w:t>
      </w:r>
    </w:p>
    <w:p w14:paraId="61BBCC77">
      <w:pPr>
        <w:spacing w:before="139" w:line="401" w:lineRule="auto"/>
        <w:ind w:left="43" w:right="80" w:firstLine="460"/>
        <w:rPr>
          <w:rFonts w:ascii="宋体" w:hAnsi="宋体" w:eastAsia="宋体" w:cs="宋体"/>
          <w:sz w:val="23"/>
          <w:szCs w:val="23"/>
        </w:rPr>
      </w:pPr>
      <w:r>
        <w:rPr>
          <w:rFonts w:ascii="宋体" w:hAnsi="宋体" w:eastAsia="宋体" w:cs="宋体"/>
          <w:spacing w:val="7"/>
          <w:sz w:val="23"/>
          <w:szCs w:val="23"/>
        </w:rPr>
        <w:t>加强对施工人员生态环境方面知识的教育，加强管理，增强对生态环境保</w:t>
      </w:r>
      <w:r>
        <w:rPr>
          <w:rFonts w:ascii="宋体" w:hAnsi="宋体" w:eastAsia="宋体" w:cs="宋体"/>
          <w:spacing w:val="3"/>
          <w:sz w:val="23"/>
          <w:szCs w:val="23"/>
        </w:rPr>
        <w:t>护</w:t>
      </w:r>
      <w:r>
        <w:rPr>
          <w:rFonts w:ascii="宋体" w:hAnsi="宋体" w:eastAsia="宋体" w:cs="宋体"/>
          <w:sz w:val="23"/>
          <w:szCs w:val="23"/>
        </w:rPr>
        <w:t xml:space="preserve"> </w:t>
      </w:r>
      <w:r>
        <w:rPr>
          <w:rFonts w:ascii="宋体" w:hAnsi="宋体" w:eastAsia="宋体" w:cs="宋体"/>
          <w:spacing w:val="8"/>
          <w:sz w:val="23"/>
          <w:szCs w:val="23"/>
        </w:rPr>
        <w:t>的意识和观念，并使施工人员变为自觉行为。</w:t>
      </w:r>
    </w:p>
    <w:p w14:paraId="065F68BA">
      <w:pPr>
        <w:sectPr>
          <w:headerReference r:id="rId265" w:type="default"/>
          <w:footerReference r:id="rId266" w:type="default"/>
          <w:pgSz w:w="11906" w:h="16839"/>
          <w:pgMar w:top="1132" w:right="1719" w:bottom="1182" w:left="1785" w:header="878" w:footer="1022" w:gutter="0"/>
          <w:cols w:space="720" w:num="1"/>
        </w:sectPr>
      </w:pPr>
    </w:p>
    <w:p w14:paraId="43ECEFE2">
      <w:pPr>
        <w:spacing w:line="416" w:lineRule="auto"/>
        <w:rPr>
          <w:rFonts w:ascii="Arial"/>
          <w:sz w:val="21"/>
        </w:rPr>
      </w:pPr>
      <w:r>
        <w:pict>
          <v:shape id="_x0000_s1300" o:spid="_x0000_s1300" style="position:absolute;left:0pt;margin-left:90pt;margin-top:57.35pt;height:0.75pt;width:415.3pt;mso-position-horizontal-relative:page;mso-position-vertical-relative:page;z-index:251953152;mso-width-relative:page;mso-height-relative:page;" fillcolor="#000000" filled="t" stroked="f" coordsize="8305,15" o:allowincell="f" path="m0,0l8305,0,8305,14,0,14,0,0xe">
            <v:path/>
            <v:fill on="t" focussize="0,0"/>
            <v:stroke on="f"/>
            <v:imagedata o:title=""/>
            <o:lock v:ext="edit"/>
          </v:shape>
        </w:pict>
      </w:r>
    </w:p>
    <w:p w14:paraId="0A9B762B">
      <w:pPr>
        <w:spacing w:before="75" w:line="227" w:lineRule="auto"/>
        <w:ind w:left="514"/>
        <w:rPr>
          <w:rFonts w:ascii="宋体" w:hAnsi="宋体" w:eastAsia="宋体" w:cs="宋体"/>
          <w:sz w:val="23"/>
          <w:szCs w:val="23"/>
        </w:rPr>
      </w:pPr>
      <w:r>
        <w:rPr>
          <w:rFonts w:ascii="宋体" w:hAnsi="宋体" w:eastAsia="宋体" w:cs="宋体"/>
          <w:spacing w:val="23"/>
          <w:sz w:val="23"/>
          <w:szCs w:val="23"/>
        </w:rPr>
        <w:t>(</w:t>
      </w:r>
      <w:r>
        <w:rPr>
          <w:rFonts w:ascii="Times New Roman" w:hAnsi="Times New Roman" w:eastAsia="Times New Roman" w:cs="Times New Roman"/>
          <w:spacing w:val="16"/>
          <w:sz w:val="23"/>
          <w:szCs w:val="23"/>
        </w:rPr>
        <w:t>2</w:t>
      </w:r>
      <w:r>
        <w:rPr>
          <w:rFonts w:ascii="宋体" w:hAnsi="宋体" w:eastAsia="宋体" w:cs="宋体"/>
          <w:spacing w:val="16"/>
          <w:sz w:val="23"/>
          <w:szCs w:val="23"/>
        </w:rPr>
        <w:t>) 水土流失防治措施</w:t>
      </w:r>
    </w:p>
    <w:p w14:paraId="252DE420">
      <w:pPr>
        <w:spacing w:line="286" w:lineRule="auto"/>
        <w:rPr>
          <w:rFonts w:ascii="Arial"/>
          <w:sz w:val="21"/>
        </w:rPr>
      </w:pPr>
    </w:p>
    <w:p w14:paraId="51BF2FAA">
      <w:pPr>
        <w:spacing w:before="75" w:line="402" w:lineRule="auto"/>
        <w:ind w:left="26" w:firstLine="476"/>
        <w:rPr>
          <w:rFonts w:ascii="宋体" w:hAnsi="宋体" w:eastAsia="宋体" w:cs="宋体"/>
          <w:sz w:val="23"/>
          <w:szCs w:val="23"/>
        </w:rPr>
      </w:pPr>
      <w:r>
        <w:rPr>
          <w:rFonts w:ascii="宋体" w:hAnsi="宋体" w:eastAsia="宋体" w:cs="宋体"/>
          <w:spacing w:val="7"/>
          <w:sz w:val="23"/>
          <w:szCs w:val="23"/>
        </w:rPr>
        <w:t>施工期挖方集中堆积并苫盖，采用彩钢板临时遮挡，避免造成水土流失，</w:t>
      </w:r>
      <w:r>
        <w:rPr>
          <w:rFonts w:ascii="宋体" w:hAnsi="宋体" w:eastAsia="宋体" w:cs="宋体"/>
          <w:spacing w:val="6"/>
          <w:sz w:val="23"/>
          <w:szCs w:val="23"/>
        </w:rPr>
        <w:t>施</w:t>
      </w:r>
      <w:r>
        <w:rPr>
          <w:rFonts w:ascii="宋体" w:hAnsi="宋体" w:eastAsia="宋体" w:cs="宋体"/>
          <w:sz w:val="23"/>
          <w:szCs w:val="23"/>
        </w:rPr>
        <w:t xml:space="preserve"> </w:t>
      </w:r>
      <w:r>
        <w:rPr>
          <w:rFonts w:ascii="宋体" w:hAnsi="宋体" w:eastAsia="宋体" w:cs="宋体"/>
          <w:spacing w:val="4"/>
          <w:sz w:val="23"/>
          <w:szCs w:val="23"/>
        </w:rPr>
        <w:t>工弃土用于场地平整，平</w:t>
      </w:r>
      <w:r>
        <w:rPr>
          <w:rFonts w:ascii="宋体" w:hAnsi="宋体" w:eastAsia="宋体" w:cs="宋体"/>
          <w:spacing w:val="2"/>
          <w:sz w:val="23"/>
          <w:szCs w:val="23"/>
        </w:rPr>
        <w:t>整过程中及时压实。合理安排施工时间，避免雨天施工。</w:t>
      </w:r>
    </w:p>
    <w:p w14:paraId="1C54F3B5">
      <w:pPr>
        <w:spacing w:before="58" w:line="225" w:lineRule="auto"/>
        <w:ind w:left="25"/>
        <w:outlineLvl w:val="1"/>
        <w:rPr>
          <w:rFonts w:ascii="宋体" w:hAnsi="宋体" w:eastAsia="宋体" w:cs="宋体"/>
          <w:sz w:val="31"/>
          <w:szCs w:val="31"/>
        </w:rPr>
      </w:pPr>
      <w:bookmarkStart w:id="27" w:name="_bookmark28"/>
      <w:bookmarkEnd w:id="27"/>
      <w:r>
        <w:rPr>
          <w:rFonts w:ascii="Times New Roman" w:hAnsi="Times New Roman" w:eastAsia="Times New Roman" w:cs="Times New Roman"/>
          <w:b/>
          <w:bCs/>
          <w:spacing w:val="8"/>
          <w:sz w:val="31"/>
          <w:szCs w:val="31"/>
        </w:rPr>
        <w:t>6.2</w:t>
      </w:r>
      <w:r>
        <w:rPr>
          <w:rFonts w:ascii="Times New Roman" w:hAnsi="Times New Roman" w:eastAsia="Times New Roman" w:cs="Times New Roman"/>
          <w:spacing w:val="8"/>
          <w:sz w:val="31"/>
          <w:szCs w:val="31"/>
        </w:rPr>
        <w:t xml:space="preserve"> </w:t>
      </w:r>
      <w:r>
        <w:rPr>
          <w:rFonts w:ascii="宋体" w:hAnsi="宋体" w:eastAsia="宋体" w:cs="宋体"/>
          <w:spacing w:val="8"/>
          <w:sz w:val="31"/>
          <w:szCs w:val="31"/>
          <w14:textOutline w14:w="5793" w14:cap="sq" w14:cmpd="sng">
            <w14:solidFill>
              <w14:srgbClr w14:val="000000"/>
            </w14:solidFill>
            <w14:prstDash w14:val="solid"/>
            <w14:bevel/>
          </w14:textOutline>
        </w:rPr>
        <w:t>运营期污染防治措</w:t>
      </w:r>
      <w:r>
        <w:rPr>
          <w:rFonts w:ascii="宋体" w:hAnsi="宋体" w:eastAsia="宋体" w:cs="宋体"/>
          <w:spacing w:val="6"/>
          <w:sz w:val="31"/>
          <w:szCs w:val="31"/>
          <w14:textOutline w14:w="5793" w14:cap="sq" w14:cmpd="sng">
            <w14:solidFill>
              <w14:srgbClr w14:val="000000"/>
            </w14:solidFill>
            <w14:prstDash w14:val="solid"/>
            <w14:bevel/>
          </w14:textOutline>
        </w:rPr>
        <w:t>施</w:t>
      </w:r>
    </w:p>
    <w:p w14:paraId="0F8055B9">
      <w:pPr>
        <w:spacing w:before="274" w:line="226" w:lineRule="auto"/>
        <w:ind w:left="25"/>
        <w:outlineLvl w:val="2"/>
        <w:rPr>
          <w:rFonts w:ascii="宋体" w:hAnsi="宋体" w:eastAsia="宋体" w:cs="宋体"/>
          <w:sz w:val="29"/>
          <w:szCs w:val="29"/>
        </w:rPr>
      </w:pPr>
      <w:r>
        <w:rPr>
          <w:rFonts w:ascii="Times New Roman" w:hAnsi="Times New Roman" w:eastAsia="Times New Roman" w:cs="Times New Roman"/>
          <w:b/>
          <w:bCs/>
          <w:spacing w:val="8"/>
          <w:sz w:val="29"/>
          <w:szCs w:val="29"/>
        </w:rPr>
        <w:t>6.2.1</w:t>
      </w:r>
      <w:r>
        <w:rPr>
          <w:rFonts w:ascii="Times New Roman" w:hAnsi="Times New Roman" w:eastAsia="Times New Roman" w:cs="Times New Roman"/>
          <w:spacing w:val="8"/>
          <w:sz w:val="29"/>
          <w:szCs w:val="29"/>
        </w:rPr>
        <w:t xml:space="preserve"> </w:t>
      </w:r>
      <w:r>
        <w:rPr>
          <w:rFonts w:ascii="宋体" w:hAnsi="宋体" w:eastAsia="宋体" w:cs="宋体"/>
          <w:spacing w:val="8"/>
          <w:sz w:val="29"/>
          <w:szCs w:val="29"/>
          <w14:textOutline w14:w="5448" w14:cap="sq" w14:cmpd="sng">
            <w14:solidFill>
              <w14:srgbClr w14:val="000000"/>
            </w14:solidFill>
            <w14:prstDash w14:val="solid"/>
            <w14:bevel/>
          </w14:textOutline>
        </w:rPr>
        <w:t>运营期大气污染防治措</w:t>
      </w:r>
      <w:r>
        <w:rPr>
          <w:rFonts w:ascii="宋体" w:hAnsi="宋体" w:eastAsia="宋体" w:cs="宋体"/>
          <w:spacing w:val="4"/>
          <w:sz w:val="29"/>
          <w:szCs w:val="29"/>
          <w14:textOutline w14:w="5448" w14:cap="sq" w14:cmpd="sng">
            <w14:solidFill>
              <w14:srgbClr w14:val="000000"/>
            </w14:solidFill>
            <w14:prstDash w14:val="solid"/>
            <w14:bevel/>
          </w14:textOutline>
        </w:rPr>
        <w:t>施</w:t>
      </w:r>
    </w:p>
    <w:p w14:paraId="406BF1F2">
      <w:pPr>
        <w:spacing w:before="296" w:line="221" w:lineRule="auto"/>
        <w:ind w:left="24"/>
        <w:outlineLvl w:val="3"/>
        <w:rPr>
          <w:rFonts w:ascii="宋体" w:hAnsi="宋体" w:eastAsia="宋体" w:cs="宋体"/>
          <w:sz w:val="28"/>
          <w:szCs w:val="28"/>
        </w:rPr>
      </w:pPr>
      <w:r>
        <w:rPr>
          <w:rFonts w:ascii="Times New Roman" w:hAnsi="Times New Roman" w:eastAsia="Times New Roman" w:cs="Times New Roman"/>
          <w:b/>
          <w:bCs/>
          <w:spacing w:val="16"/>
          <w:sz w:val="28"/>
          <w:szCs w:val="28"/>
        </w:rPr>
        <w:t>6</w:t>
      </w:r>
      <w:r>
        <w:rPr>
          <w:rFonts w:ascii="Times New Roman" w:hAnsi="Times New Roman" w:eastAsia="Times New Roman" w:cs="Times New Roman"/>
          <w:b/>
          <w:bCs/>
          <w:spacing w:val="14"/>
          <w:sz w:val="28"/>
          <w:szCs w:val="28"/>
        </w:rPr>
        <w:t>.</w:t>
      </w:r>
      <w:r>
        <w:rPr>
          <w:rFonts w:ascii="Times New Roman" w:hAnsi="Times New Roman" w:eastAsia="Times New Roman" w:cs="Times New Roman"/>
          <w:b/>
          <w:bCs/>
          <w:spacing w:val="8"/>
          <w:sz w:val="28"/>
          <w:szCs w:val="28"/>
        </w:rPr>
        <w:t>2.2.1</w:t>
      </w:r>
      <w:r>
        <w:rPr>
          <w:rFonts w:ascii="Times New Roman" w:hAnsi="Times New Roman" w:eastAsia="Times New Roman" w:cs="Times New Roman"/>
          <w:spacing w:val="8"/>
          <w:sz w:val="28"/>
          <w:szCs w:val="28"/>
        </w:rPr>
        <w:t xml:space="preserve"> </w:t>
      </w:r>
      <w:r>
        <w:rPr>
          <w:rFonts w:ascii="宋体" w:hAnsi="宋体" w:eastAsia="宋体" w:cs="宋体"/>
          <w:spacing w:val="8"/>
          <w:sz w:val="28"/>
          <w:szCs w:val="28"/>
          <w14:textOutline w14:w="5103" w14:cap="sq" w14:cmpd="sng">
            <w14:solidFill>
              <w14:srgbClr w14:val="000000"/>
            </w14:solidFill>
            <w14:prstDash w14:val="solid"/>
            <w14:bevel/>
          </w14:textOutline>
        </w:rPr>
        <w:t>有组织废气污染防治措施</w:t>
      </w:r>
    </w:p>
    <w:p w14:paraId="6FFDB850">
      <w:pPr>
        <w:spacing w:line="260" w:lineRule="auto"/>
        <w:rPr>
          <w:rFonts w:ascii="Arial"/>
          <w:sz w:val="21"/>
        </w:rPr>
      </w:pPr>
    </w:p>
    <w:p w14:paraId="271D9047">
      <w:pPr>
        <w:spacing w:before="74" w:line="228" w:lineRule="auto"/>
        <w:ind w:left="538"/>
        <w:rPr>
          <w:rFonts w:ascii="宋体" w:hAnsi="宋体" w:eastAsia="宋体" w:cs="宋体"/>
          <w:sz w:val="23"/>
          <w:szCs w:val="23"/>
        </w:rPr>
      </w:pPr>
      <w:r>
        <w:rPr>
          <w:rFonts w:ascii="宋体" w:hAnsi="宋体" w:eastAsia="宋体" w:cs="宋体"/>
          <w:spacing w:val="27"/>
          <w:sz w:val="23"/>
          <w:szCs w:val="23"/>
        </w:rPr>
        <w:t>(</w:t>
      </w:r>
      <w:r>
        <w:rPr>
          <w:rFonts w:ascii="Times New Roman" w:hAnsi="Times New Roman" w:eastAsia="Times New Roman" w:cs="Times New Roman"/>
          <w:spacing w:val="25"/>
          <w:sz w:val="23"/>
          <w:szCs w:val="23"/>
        </w:rPr>
        <w:t>1</w:t>
      </w:r>
      <w:r>
        <w:rPr>
          <w:rFonts w:ascii="宋体" w:hAnsi="宋体" w:eastAsia="宋体" w:cs="宋体"/>
          <w:spacing w:val="25"/>
          <w:sz w:val="23"/>
          <w:szCs w:val="23"/>
        </w:rPr>
        <w:t>) 非甲烷总烃污染防治措施</w:t>
      </w:r>
    </w:p>
    <w:p w14:paraId="10F23427">
      <w:pPr>
        <w:spacing w:line="278" w:lineRule="auto"/>
        <w:rPr>
          <w:rFonts w:ascii="Arial"/>
          <w:sz w:val="21"/>
        </w:rPr>
      </w:pPr>
    </w:p>
    <w:p w14:paraId="48242ACB">
      <w:pPr>
        <w:spacing w:before="75" w:line="386" w:lineRule="auto"/>
        <w:ind w:left="21" w:right="77" w:firstLine="509"/>
        <w:rPr>
          <w:rFonts w:ascii="宋体" w:hAnsi="宋体" w:eastAsia="宋体" w:cs="宋体"/>
          <w:sz w:val="23"/>
          <w:szCs w:val="23"/>
        </w:rPr>
      </w:pPr>
      <w:r>
        <w:rPr>
          <w:rFonts w:ascii="宋体" w:hAnsi="宋体" w:eastAsia="宋体" w:cs="宋体"/>
          <w:spacing w:val="26"/>
          <w:sz w:val="23"/>
          <w:szCs w:val="23"/>
        </w:rPr>
        <w:t>该</w:t>
      </w:r>
      <w:r>
        <w:rPr>
          <w:rFonts w:ascii="宋体" w:hAnsi="宋体" w:eastAsia="宋体" w:cs="宋体"/>
          <w:spacing w:val="13"/>
          <w:sz w:val="23"/>
          <w:szCs w:val="23"/>
        </w:rPr>
        <w:t>项目所用原料为废塑料编织袋，均外购于本溪宏远集团北台再生资源有</w:t>
      </w:r>
      <w:r>
        <w:rPr>
          <w:rFonts w:ascii="宋体" w:hAnsi="宋体" w:eastAsia="宋体" w:cs="宋体"/>
          <w:sz w:val="23"/>
          <w:szCs w:val="23"/>
        </w:rPr>
        <w:t xml:space="preserve"> </w:t>
      </w:r>
      <w:r>
        <w:rPr>
          <w:rFonts w:ascii="宋体" w:hAnsi="宋体" w:eastAsia="宋体" w:cs="宋体"/>
          <w:spacing w:val="10"/>
          <w:sz w:val="23"/>
          <w:szCs w:val="23"/>
        </w:rPr>
        <w:t>限</w:t>
      </w:r>
      <w:r>
        <w:rPr>
          <w:rFonts w:ascii="宋体" w:hAnsi="宋体" w:eastAsia="宋体" w:cs="宋体"/>
          <w:spacing w:val="7"/>
          <w:sz w:val="23"/>
          <w:szCs w:val="23"/>
        </w:rPr>
        <w:t>责任公司及平山区利安建材城，为本溪宏远集团北台再生资源有限责任公司收</w:t>
      </w:r>
      <w:r>
        <w:rPr>
          <w:rFonts w:ascii="宋体" w:hAnsi="宋体" w:eastAsia="宋体" w:cs="宋体"/>
          <w:sz w:val="23"/>
          <w:szCs w:val="23"/>
        </w:rPr>
        <w:t xml:space="preserve"> </w:t>
      </w:r>
      <w:r>
        <w:rPr>
          <w:rFonts w:ascii="宋体" w:hAnsi="宋体" w:eastAsia="宋体" w:cs="宋体"/>
          <w:spacing w:val="12"/>
          <w:sz w:val="23"/>
          <w:szCs w:val="23"/>
        </w:rPr>
        <w:t>购北台钢</w:t>
      </w:r>
      <w:r>
        <w:rPr>
          <w:rFonts w:ascii="宋体" w:hAnsi="宋体" w:eastAsia="宋体" w:cs="宋体"/>
          <w:spacing w:val="8"/>
          <w:sz w:val="23"/>
          <w:szCs w:val="23"/>
        </w:rPr>
        <w:t>铁</w:t>
      </w:r>
      <w:r>
        <w:rPr>
          <w:rFonts w:ascii="宋体" w:hAnsi="宋体" w:eastAsia="宋体" w:cs="宋体"/>
          <w:spacing w:val="6"/>
          <w:sz w:val="23"/>
          <w:szCs w:val="23"/>
        </w:rPr>
        <w:t xml:space="preserve"> (集团) 有限责任公司所用原料合金铁及铝锭的废包装袋及平山区利</w:t>
      </w:r>
      <w:r>
        <w:rPr>
          <w:rFonts w:ascii="宋体" w:hAnsi="宋体" w:eastAsia="宋体" w:cs="宋体"/>
          <w:sz w:val="23"/>
          <w:szCs w:val="23"/>
        </w:rPr>
        <w:t xml:space="preserve"> </w:t>
      </w:r>
      <w:r>
        <w:rPr>
          <w:rFonts w:ascii="宋体" w:hAnsi="宋体" w:eastAsia="宋体" w:cs="宋体"/>
          <w:spacing w:val="1"/>
          <w:sz w:val="23"/>
          <w:szCs w:val="23"/>
        </w:rPr>
        <w:t>安建材城所销售砂子的废包装袋，主要成分为聚乙烯、聚丙烯</w:t>
      </w:r>
      <w:r>
        <w:rPr>
          <w:rFonts w:ascii="宋体" w:hAnsi="宋体" w:eastAsia="宋体" w:cs="宋体"/>
          <w:spacing w:val="1"/>
          <w:sz w:val="20"/>
          <w:szCs w:val="20"/>
        </w:rPr>
        <w:t>，</w:t>
      </w:r>
      <w:r>
        <w:rPr>
          <w:rFonts w:ascii="宋体" w:hAnsi="宋体" w:eastAsia="宋体" w:cs="宋体"/>
          <w:spacing w:val="1"/>
          <w:sz w:val="23"/>
          <w:szCs w:val="23"/>
        </w:rPr>
        <w:t xml:space="preserve">加热至 </w:t>
      </w:r>
      <w:r>
        <w:rPr>
          <w:rFonts w:ascii="Times New Roman" w:hAnsi="Times New Roman" w:eastAsia="Times New Roman" w:cs="Times New Roman"/>
          <w:spacing w:val="1"/>
          <w:sz w:val="23"/>
          <w:szCs w:val="23"/>
        </w:rPr>
        <w:t>150~2</w:t>
      </w:r>
      <w:r>
        <w:rPr>
          <w:rFonts w:ascii="Times New Roman" w:hAnsi="Times New Roman" w:eastAsia="Times New Roman" w:cs="Times New Roman"/>
          <w:sz w:val="23"/>
          <w:szCs w:val="23"/>
        </w:rPr>
        <w:t xml:space="preserve">20℃ </w:t>
      </w:r>
      <w:r>
        <w:rPr>
          <w:rFonts w:ascii="宋体" w:hAnsi="宋体" w:eastAsia="宋体" w:cs="宋体"/>
          <w:spacing w:val="7"/>
          <w:sz w:val="23"/>
          <w:szCs w:val="23"/>
        </w:rPr>
        <w:t>时热解产生酸、酯、不饱和烃、过氧化物、 甲醛、乙醛、</w:t>
      </w:r>
      <w:r>
        <w:rPr>
          <w:rFonts w:ascii="Times New Roman" w:hAnsi="Times New Roman" w:eastAsia="Times New Roman" w:cs="Times New Roman"/>
          <w:sz w:val="23"/>
          <w:szCs w:val="23"/>
        </w:rPr>
        <w:t>CO</w:t>
      </w:r>
      <w:r>
        <w:rPr>
          <w:rFonts w:ascii="Times New Roman" w:hAnsi="Times New Roman" w:eastAsia="Times New Roman" w:cs="Times New Roman"/>
          <w:spacing w:val="7"/>
          <w:position w:val="-1"/>
          <w:sz w:val="15"/>
          <w:szCs w:val="15"/>
        </w:rPr>
        <w:t xml:space="preserve">2 </w:t>
      </w:r>
      <w:r>
        <w:rPr>
          <w:rFonts w:ascii="宋体" w:hAnsi="宋体" w:eastAsia="宋体" w:cs="宋体"/>
          <w:spacing w:val="7"/>
          <w:sz w:val="23"/>
          <w:szCs w:val="23"/>
        </w:rPr>
        <w:t>、</w:t>
      </w:r>
      <w:r>
        <w:rPr>
          <w:rFonts w:ascii="Times New Roman" w:hAnsi="Times New Roman" w:eastAsia="Times New Roman" w:cs="Times New Roman"/>
          <w:sz w:val="23"/>
          <w:szCs w:val="23"/>
        </w:rPr>
        <w:t>CO</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等。热熔</w:t>
      </w:r>
      <w:r>
        <w:rPr>
          <w:rFonts w:ascii="宋体" w:hAnsi="宋体" w:eastAsia="宋体" w:cs="宋体"/>
          <w:spacing w:val="6"/>
          <w:sz w:val="23"/>
          <w:szCs w:val="23"/>
        </w:rPr>
        <w:t>过</w:t>
      </w:r>
      <w:r>
        <w:rPr>
          <w:rFonts w:ascii="宋体" w:hAnsi="宋体" w:eastAsia="宋体" w:cs="宋体"/>
          <w:sz w:val="23"/>
          <w:szCs w:val="23"/>
        </w:rPr>
        <w:t xml:space="preserve"> </w:t>
      </w:r>
      <w:r>
        <w:rPr>
          <w:rFonts w:ascii="宋体" w:hAnsi="宋体" w:eastAsia="宋体" w:cs="宋体"/>
          <w:spacing w:val="10"/>
          <w:sz w:val="23"/>
          <w:szCs w:val="23"/>
        </w:rPr>
        <w:t>程</w:t>
      </w:r>
      <w:r>
        <w:rPr>
          <w:rFonts w:ascii="宋体" w:hAnsi="宋体" w:eastAsia="宋体" w:cs="宋体"/>
          <w:spacing w:val="7"/>
          <w:sz w:val="23"/>
          <w:szCs w:val="23"/>
        </w:rPr>
        <w:t>塑料不发生裂解，只发生物理形态变形，由于聚丙烯为高分子聚合物，包括各</w:t>
      </w:r>
      <w:r>
        <w:rPr>
          <w:rFonts w:ascii="宋体" w:hAnsi="宋体" w:eastAsia="宋体" w:cs="宋体"/>
          <w:sz w:val="23"/>
          <w:szCs w:val="23"/>
        </w:rPr>
        <w:t xml:space="preserve"> </w:t>
      </w:r>
      <w:r>
        <w:rPr>
          <w:rFonts w:ascii="宋体" w:hAnsi="宋体" w:eastAsia="宋体" w:cs="宋体"/>
          <w:spacing w:val="10"/>
          <w:sz w:val="23"/>
          <w:szCs w:val="23"/>
        </w:rPr>
        <w:t>种</w:t>
      </w:r>
      <w:r>
        <w:rPr>
          <w:rFonts w:ascii="宋体" w:hAnsi="宋体" w:eastAsia="宋体" w:cs="宋体"/>
          <w:spacing w:val="7"/>
          <w:sz w:val="23"/>
          <w:szCs w:val="23"/>
        </w:rPr>
        <w:t>改善性能的添加剂，在受热情况下，原料中残存未聚合的反应单体及从聚合物</w:t>
      </w:r>
      <w:r>
        <w:rPr>
          <w:rFonts w:ascii="宋体" w:hAnsi="宋体" w:eastAsia="宋体" w:cs="宋体"/>
          <w:sz w:val="23"/>
          <w:szCs w:val="23"/>
        </w:rPr>
        <w:t xml:space="preserve"> </w:t>
      </w:r>
      <w:r>
        <w:rPr>
          <w:rFonts w:ascii="宋体" w:hAnsi="宋体" w:eastAsia="宋体" w:cs="宋体"/>
          <w:spacing w:val="10"/>
          <w:sz w:val="23"/>
          <w:szCs w:val="23"/>
        </w:rPr>
        <w:t>中</w:t>
      </w:r>
      <w:r>
        <w:rPr>
          <w:rFonts w:ascii="宋体" w:hAnsi="宋体" w:eastAsia="宋体" w:cs="宋体"/>
          <w:spacing w:val="7"/>
          <w:sz w:val="23"/>
          <w:szCs w:val="23"/>
        </w:rPr>
        <w:t>分解的单体可挥发至空气中，从而形成有机废气，主要为非甲烷烃类，本环评</w:t>
      </w:r>
      <w:r>
        <w:rPr>
          <w:rFonts w:ascii="宋体" w:hAnsi="宋体" w:eastAsia="宋体" w:cs="宋体"/>
          <w:sz w:val="23"/>
          <w:szCs w:val="23"/>
        </w:rPr>
        <w:t xml:space="preserve"> </w:t>
      </w:r>
      <w:r>
        <w:rPr>
          <w:rFonts w:ascii="宋体" w:hAnsi="宋体" w:eastAsia="宋体" w:cs="宋体"/>
          <w:spacing w:val="8"/>
          <w:sz w:val="23"/>
          <w:szCs w:val="23"/>
        </w:rPr>
        <w:t>以非甲烷总烃计</w:t>
      </w:r>
      <w:r>
        <w:rPr>
          <w:rFonts w:ascii="宋体" w:hAnsi="宋体" w:eastAsia="宋体" w:cs="宋体"/>
          <w:spacing w:val="6"/>
          <w:sz w:val="23"/>
          <w:szCs w:val="23"/>
        </w:rPr>
        <w:t>。</w:t>
      </w:r>
    </w:p>
    <w:p w14:paraId="31D56476">
      <w:pPr>
        <w:spacing w:before="146" w:line="227" w:lineRule="auto"/>
        <w:ind w:left="522"/>
        <w:rPr>
          <w:rFonts w:ascii="宋体" w:hAnsi="宋体" w:eastAsia="宋体" w:cs="宋体"/>
          <w:sz w:val="23"/>
          <w:szCs w:val="23"/>
        </w:rPr>
      </w:pPr>
      <w:r>
        <w:rPr>
          <w:rFonts w:ascii="Times New Roman" w:hAnsi="Times New Roman" w:eastAsia="Times New Roman" w:cs="Times New Roman"/>
          <w:spacing w:val="3"/>
          <w:sz w:val="23"/>
          <w:szCs w:val="23"/>
        </w:rPr>
        <w:t>1</w:t>
      </w:r>
      <w:r>
        <w:rPr>
          <w:rFonts w:ascii="宋体" w:hAnsi="宋体" w:eastAsia="宋体" w:cs="宋体"/>
          <w:spacing w:val="3"/>
          <w:sz w:val="23"/>
          <w:szCs w:val="23"/>
        </w:rPr>
        <w:t>) 集气</w:t>
      </w:r>
      <w:r>
        <w:rPr>
          <w:rFonts w:ascii="宋体" w:hAnsi="宋体" w:eastAsia="宋体" w:cs="宋体"/>
          <w:spacing w:val="1"/>
          <w:sz w:val="23"/>
          <w:szCs w:val="23"/>
        </w:rPr>
        <w:t>罩</w:t>
      </w:r>
    </w:p>
    <w:p w14:paraId="4ECFE365">
      <w:pPr>
        <w:spacing w:line="278" w:lineRule="auto"/>
        <w:rPr>
          <w:rFonts w:ascii="Arial"/>
          <w:sz w:val="21"/>
        </w:rPr>
      </w:pPr>
    </w:p>
    <w:p w14:paraId="400655B9">
      <w:pPr>
        <w:spacing w:before="74" w:line="390" w:lineRule="auto"/>
        <w:ind w:left="24" w:right="45" w:firstLine="479"/>
        <w:rPr>
          <w:rFonts w:ascii="宋体" w:hAnsi="宋体" w:eastAsia="宋体" w:cs="宋体"/>
          <w:sz w:val="23"/>
          <w:szCs w:val="23"/>
        </w:rPr>
      </w:pPr>
      <w:r>
        <w:rPr>
          <w:rFonts w:ascii="宋体" w:hAnsi="宋体" w:eastAsia="宋体" w:cs="宋体"/>
          <w:spacing w:val="8"/>
          <w:sz w:val="23"/>
          <w:szCs w:val="23"/>
        </w:rPr>
        <w:t>集气罩是废气净化系统污染源的收集装置，可将气体污染源导入净化装置</w:t>
      </w:r>
      <w:r>
        <w:rPr>
          <w:rFonts w:ascii="宋体" w:hAnsi="宋体" w:eastAsia="宋体" w:cs="宋体"/>
          <w:spacing w:val="6"/>
          <w:sz w:val="23"/>
          <w:szCs w:val="23"/>
        </w:rPr>
        <w:t>，</w:t>
      </w:r>
      <w:r>
        <w:rPr>
          <w:rFonts w:ascii="宋体" w:hAnsi="宋体" w:eastAsia="宋体" w:cs="宋体"/>
          <w:sz w:val="23"/>
          <w:szCs w:val="23"/>
        </w:rPr>
        <w:t xml:space="preserve"> </w:t>
      </w:r>
      <w:r>
        <w:rPr>
          <w:rFonts w:ascii="宋体" w:hAnsi="宋体" w:eastAsia="宋体" w:cs="宋体"/>
          <w:spacing w:val="8"/>
          <w:sz w:val="23"/>
          <w:szCs w:val="23"/>
        </w:rPr>
        <w:t>同</w:t>
      </w:r>
      <w:r>
        <w:rPr>
          <w:rFonts w:ascii="宋体" w:hAnsi="宋体" w:eastAsia="宋体" w:cs="宋体"/>
          <w:spacing w:val="7"/>
          <w:sz w:val="23"/>
          <w:szCs w:val="23"/>
        </w:rPr>
        <w:t>时防止其像生产车间及大气扩散，造成污染。其性能对净化系统的技术经济指</w:t>
      </w:r>
      <w:r>
        <w:rPr>
          <w:rFonts w:ascii="宋体" w:hAnsi="宋体" w:eastAsia="宋体" w:cs="宋体"/>
          <w:sz w:val="23"/>
          <w:szCs w:val="23"/>
        </w:rPr>
        <w:t xml:space="preserve"> </w:t>
      </w:r>
      <w:r>
        <w:rPr>
          <w:rFonts w:ascii="宋体" w:hAnsi="宋体" w:eastAsia="宋体" w:cs="宋体"/>
          <w:spacing w:val="13"/>
          <w:sz w:val="23"/>
          <w:szCs w:val="23"/>
        </w:rPr>
        <w:t>标</w:t>
      </w:r>
      <w:r>
        <w:rPr>
          <w:rFonts w:ascii="宋体" w:hAnsi="宋体" w:eastAsia="宋体" w:cs="宋体"/>
          <w:spacing w:val="7"/>
          <w:sz w:val="23"/>
          <w:szCs w:val="23"/>
        </w:rPr>
        <w:t>有着直接的影响。</w:t>
      </w:r>
    </w:p>
    <w:p w14:paraId="3E9F13F8">
      <w:pPr>
        <w:spacing w:before="137" w:line="386" w:lineRule="auto"/>
        <w:ind w:left="29" w:right="77" w:firstLine="478"/>
        <w:rPr>
          <w:rFonts w:ascii="宋体" w:hAnsi="宋体" w:eastAsia="宋体" w:cs="宋体"/>
          <w:sz w:val="23"/>
          <w:szCs w:val="23"/>
        </w:rPr>
      </w:pPr>
      <w:r>
        <w:rPr>
          <w:rFonts w:ascii="宋体" w:hAnsi="宋体" w:eastAsia="宋体" w:cs="宋体"/>
          <w:spacing w:val="12"/>
          <w:sz w:val="23"/>
          <w:szCs w:val="23"/>
        </w:rPr>
        <w:t>项目拟在</w:t>
      </w:r>
      <w:r>
        <w:rPr>
          <w:rFonts w:ascii="宋体" w:hAnsi="宋体" w:eastAsia="宋体" w:cs="宋体"/>
          <w:spacing w:val="7"/>
          <w:sz w:val="23"/>
          <w:szCs w:val="23"/>
        </w:rPr>
        <w:t>拉</w:t>
      </w:r>
      <w:r>
        <w:rPr>
          <w:rFonts w:ascii="宋体" w:hAnsi="宋体" w:eastAsia="宋体" w:cs="宋体"/>
          <w:spacing w:val="6"/>
          <w:sz w:val="23"/>
          <w:szCs w:val="23"/>
        </w:rPr>
        <w:t xml:space="preserve">丝、熔融设备上方设置伞形集气罩，距离设备不高于 </w:t>
      </w:r>
      <w:r>
        <w:rPr>
          <w:rFonts w:ascii="Times New Roman" w:hAnsi="Times New Roman" w:eastAsia="Times New Roman" w:cs="Times New Roman"/>
          <w:spacing w:val="6"/>
          <w:sz w:val="23"/>
          <w:szCs w:val="23"/>
        </w:rPr>
        <w:t>30</w:t>
      </w:r>
      <w:r>
        <w:rPr>
          <w:rFonts w:ascii="Times New Roman" w:hAnsi="Times New Roman" w:eastAsia="Times New Roman" w:cs="Times New Roman"/>
          <w:sz w:val="23"/>
          <w:szCs w:val="23"/>
        </w:rPr>
        <w:t>cm</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，罩</w:t>
      </w:r>
      <w:r>
        <w:rPr>
          <w:rFonts w:ascii="宋体" w:hAnsi="宋体" w:eastAsia="宋体" w:cs="宋体"/>
          <w:sz w:val="23"/>
          <w:szCs w:val="23"/>
        </w:rPr>
        <w:t xml:space="preserve"> </w:t>
      </w:r>
      <w:r>
        <w:rPr>
          <w:rFonts w:ascii="宋体" w:hAnsi="宋体" w:eastAsia="宋体" w:cs="宋体"/>
          <w:spacing w:val="6"/>
          <w:sz w:val="23"/>
          <w:szCs w:val="23"/>
        </w:rPr>
        <w:t>口矩形尺</w:t>
      </w:r>
      <w:r>
        <w:rPr>
          <w:rFonts w:ascii="宋体" w:hAnsi="宋体" w:eastAsia="宋体" w:cs="宋体"/>
          <w:spacing w:val="5"/>
          <w:sz w:val="23"/>
          <w:szCs w:val="23"/>
        </w:rPr>
        <w:t>寸</w:t>
      </w:r>
      <w:r>
        <w:rPr>
          <w:rFonts w:ascii="宋体" w:hAnsi="宋体" w:eastAsia="宋体" w:cs="宋体"/>
          <w:spacing w:val="3"/>
          <w:sz w:val="23"/>
          <w:szCs w:val="23"/>
        </w:rPr>
        <w:t xml:space="preserve">均为 </w:t>
      </w:r>
      <w:r>
        <w:rPr>
          <w:rFonts w:ascii="Times New Roman" w:hAnsi="Times New Roman" w:eastAsia="Times New Roman" w:cs="Times New Roman"/>
          <w:spacing w:val="3"/>
          <w:sz w:val="23"/>
          <w:szCs w:val="23"/>
        </w:rPr>
        <w:t>1×1</w:t>
      </w:r>
      <w:r>
        <w:rPr>
          <w:rFonts w:ascii="Times New Roman" w:hAnsi="Times New Roman" w:eastAsia="Times New Roman" w:cs="Times New Roman"/>
          <w:sz w:val="23"/>
          <w:szCs w:val="23"/>
        </w:rPr>
        <w:t>m</w:t>
      </w:r>
      <w:r>
        <w:rPr>
          <w:rFonts w:ascii="宋体" w:hAnsi="宋体" w:eastAsia="宋体" w:cs="宋体"/>
          <w:spacing w:val="3"/>
          <w:sz w:val="23"/>
          <w:szCs w:val="23"/>
        </w:rPr>
        <w:t xml:space="preserve">；熔融设备设有一台风机，风机量 </w:t>
      </w:r>
      <w:r>
        <w:rPr>
          <w:rFonts w:ascii="Times New Roman" w:hAnsi="Times New Roman" w:eastAsia="Times New Roman" w:cs="Times New Roman"/>
          <w:spacing w:val="3"/>
          <w:sz w:val="23"/>
          <w:szCs w:val="23"/>
        </w:rPr>
        <w:t>5000</w:t>
      </w:r>
      <w:r>
        <w:rPr>
          <w:rFonts w:ascii="Times New Roman" w:hAnsi="Times New Roman" w:eastAsia="Times New Roman" w:cs="Times New Roman"/>
          <w:sz w:val="23"/>
          <w:szCs w:val="23"/>
        </w:rPr>
        <w:t>m</w:t>
      </w:r>
      <w:r>
        <w:rPr>
          <w:rFonts w:ascii="Times New Roman" w:hAnsi="Times New Roman" w:eastAsia="Times New Roman" w:cs="Times New Roman"/>
          <w:spacing w:val="3"/>
          <w:position w:val="7"/>
          <w:sz w:val="15"/>
          <w:szCs w:val="15"/>
        </w:rPr>
        <w:t>3</w:t>
      </w:r>
      <w:r>
        <w:rPr>
          <w:rFonts w:ascii="Times New Roman" w:hAnsi="Times New Roman" w:eastAsia="Times New Roman" w:cs="Times New Roman"/>
          <w:spacing w:val="3"/>
          <w:sz w:val="23"/>
          <w:szCs w:val="23"/>
        </w:rPr>
        <w:t>/</w:t>
      </w:r>
      <w:r>
        <w:rPr>
          <w:rFonts w:ascii="Times New Roman" w:hAnsi="Times New Roman" w:eastAsia="Times New Roman" w:cs="Times New Roman"/>
          <w:sz w:val="23"/>
          <w:szCs w:val="23"/>
        </w:rPr>
        <w:t>h</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，集气罩收集</w:t>
      </w:r>
      <w:r>
        <w:rPr>
          <w:rFonts w:ascii="宋体" w:hAnsi="宋体" w:eastAsia="宋体" w:cs="宋体"/>
          <w:sz w:val="23"/>
          <w:szCs w:val="23"/>
        </w:rPr>
        <w:t xml:space="preserve"> </w:t>
      </w:r>
      <w:r>
        <w:rPr>
          <w:rFonts w:ascii="宋体" w:hAnsi="宋体" w:eastAsia="宋体" w:cs="宋体"/>
          <w:spacing w:val="-2"/>
          <w:sz w:val="23"/>
          <w:szCs w:val="23"/>
        </w:rPr>
        <w:t>效率可</w:t>
      </w:r>
      <w:r>
        <w:rPr>
          <w:rFonts w:ascii="宋体" w:hAnsi="宋体" w:eastAsia="宋体" w:cs="宋体"/>
          <w:spacing w:val="-1"/>
          <w:sz w:val="23"/>
          <w:szCs w:val="23"/>
        </w:rPr>
        <w:t xml:space="preserve">达 </w:t>
      </w:r>
      <w:r>
        <w:rPr>
          <w:rFonts w:ascii="Times New Roman" w:hAnsi="Times New Roman" w:eastAsia="Times New Roman" w:cs="Times New Roman"/>
          <w:spacing w:val="-1"/>
          <w:sz w:val="23"/>
          <w:szCs w:val="23"/>
        </w:rPr>
        <w:t>90%</w:t>
      </w:r>
      <w:r>
        <w:rPr>
          <w:rFonts w:ascii="宋体" w:hAnsi="宋体" w:eastAsia="宋体" w:cs="宋体"/>
          <w:spacing w:val="-1"/>
          <w:sz w:val="23"/>
          <w:szCs w:val="23"/>
        </w:rPr>
        <w:t>。</w:t>
      </w:r>
    </w:p>
    <w:p w14:paraId="7DC71F94">
      <w:pPr>
        <w:spacing w:before="153" w:line="227" w:lineRule="auto"/>
        <w:ind w:left="499"/>
        <w:rPr>
          <w:rFonts w:ascii="宋体" w:hAnsi="宋体" w:eastAsia="宋体" w:cs="宋体"/>
          <w:sz w:val="23"/>
          <w:szCs w:val="23"/>
        </w:rPr>
      </w:pPr>
      <w:r>
        <w:rPr>
          <w:rFonts w:ascii="Times New Roman" w:hAnsi="Times New Roman" w:eastAsia="Times New Roman" w:cs="Times New Roman"/>
          <w:spacing w:val="9"/>
          <w:sz w:val="23"/>
          <w:szCs w:val="23"/>
        </w:rPr>
        <w:t>2</w:t>
      </w:r>
      <w:r>
        <w:rPr>
          <w:rFonts w:ascii="宋体" w:hAnsi="宋体" w:eastAsia="宋体" w:cs="宋体"/>
          <w:spacing w:val="9"/>
          <w:sz w:val="23"/>
          <w:szCs w:val="23"/>
        </w:rPr>
        <w:t xml:space="preserve">) </w:t>
      </w:r>
      <w:r>
        <w:rPr>
          <w:rFonts w:ascii="Times New Roman" w:hAnsi="Times New Roman" w:eastAsia="Times New Roman" w:cs="Times New Roman"/>
          <w:sz w:val="23"/>
          <w:szCs w:val="23"/>
        </w:rPr>
        <w:t>UV</w:t>
      </w:r>
      <w:r>
        <w:rPr>
          <w:rFonts w:ascii="Times New Roman" w:hAnsi="Times New Roman" w:eastAsia="Times New Roman" w:cs="Times New Roman"/>
          <w:spacing w:val="9"/>
          <w:sz w:val="23"/>
          <w:szCs w:val="23"/>
        </w:rPr>
        <w:t xml:space="preserve"> </w:t>
      </w:r>
      <w:r>
        <w:rPr>
          <w:rFonts w:ascii="宋体" w:hAnsi="宋体" w:eastAsia="宋体" w:cs="宋体"/>
          <w:spacing w:val="9"/>
          <w:sz w:val="23"/>
          <w:szCs w:val="23"/>
        </w:rPr>
        <w:t>光氧催化废气处理装</w:t>
      </w:r>
      <w:r>
        <w:rPr>
          <w:rFonts w:ascii="宋体" w:hAnsi="宋体" w:eastAsia="宋体" w:cs="宋体"/>
          <w:spacing w:val="8"/>
          <w:sz w:val="23"/>
          <w:szCs w:val="23"/>
        </w:rPr>
        <w:t>置</w:t>
      </w:r>
    </w:p>
    <w:p w14:paraId="26841BB0">
      <w:pPr>
        <w:spacing w:line="276" w:lineRule="auto"/>
        <w:rPr>
          <w:rFonts w:ascii="Arial"/>
          <w:sz w:val="21"/>
        </w:rPr>
      </w:pPr>
    </w:p>
    <w:p w14:paraId="3B02BD9C">
      <w:pPr>
        <w:spacing w:before="75" w:line="227" w:lineRule="auto"/>
        <w:ind w:left="495"/>
        <w:rPr>
          <w:rFonts w:ascii="宋体" w:hAnsi="宋体" w:eastAsia="宋体" w:cs="宋体"/>
          <w:sz w:val="23"/>
          <w:szCs w:val="23"/>
        </w:rPr>
      </w:pPr>
      <w:r>
        <w:rPr>
          <w:rFonts w:ascii="Times New Roman" w:hAnsi="Times New Roman" w:eastAsia="Times New Roman" w:cs="Times New Roman"/>
          <w:sz w:val="23"/>
          <w:szCs w:val="23"/>
        </w:rPr>
        <w:t>UV</w:t>
      </w:r>
      <w:r>
        <w:rPr>
          <w:rFonts w:ascii="Times New Roman" w:hAnsi="Times New Roman" w:eastAsia="Times New Roman" w:cs="Times New Roman"/>
          <w:spacing w:val="12"/>
          <w:sz w:val="23"/>
          <w:szCs w:val="23"/>
        </w:rPr>
        <w:t xml:space="preserve"> </w:t>
      </w:r>
      <w:r>
        <w:rPr>
          <w:rFonts w:ascii="宋体" w:hAnsi="宋体" w:eastAsia="宋体" w:cs="宋体"/>
          <w:spacing w:val="8"/>
          <w:sz w:val="23"/>
          <w:szCs w:val="23"/>
        </w:rPr>
        <w:t xml:space="preserve">光氧催化废气处理装置是利用特制的高能高臭氧 </w:t>
      </w:r>
      <w:r>
        <w:rPr>
          <w:rFonts w:ascii="Times New Roman" w:hAnsi="Times New Roman" w:eastAsia="Times New Roman" w:cs="Times New Roman"/>
          <w:sz w:val="23"/>
          <w:szCs w:val="23"/>
        </w:rPr>
        <w:t>UV</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紫外线光束，分解</w:t>
      </w:r>
    </w:p>
    <w:p w14:paraId="1413905F">
      <w:pPr>
        <w:sectPr>
          <w:footerReference r:id="rId267" w:type="default"/>
          <w:pgSz w:w="11906" w:h="16839"/>
          <w:pgMar w:top="1132" w:right="1719" w:bottom="1182" w:left="1785" w:header="878" w:footer="1022" w:gutter="0"/>
          <w:cols w:space="720" w:num="1"/>
        </w:sectPr>
      </w:pPr>
    </w:p>
    <w:p w14:paraId="37B0D036">
      <w:pPr>
        <w:spacing w:line="408" w:lineRule="auto"/>
        <w:rPr>
          <w:rFonts w:ascii="Arial"/>
          <w:sz w:val="21"/>
        </w:rPr>
      </w:pPr>
      <w:r>
        <w:pict>
          <v:shape id="_x0000_s1301" o:spid="_x0000_s1301" style="position:absolute;left:0pt;margin-left:90pt;margin-top:57.35pt;height:0.75pt;width:415.3pt;mso-position-horizontal-relative:page;mso-position-vertical-relative:page;z-index:251954176;mso-width-relative:page;mso-height-relative:page;" fillcolor="#000000" filled="t" stroked="f" coordsize="8305,15" o:allowincell="f" path="m0,0l8305,0,8305,14,0,14,0,0xe">
            <v:path/>
            <v:fill on="t" focussize="0,0"/>
            <v:stroke on="f"/>
            <v:imagedata o:title=""/>
            <o:lock v:ext="edit"/>
          </v:shape>
        </w:pict>
      </w:r>
    </w:p>
    <w:p w14:paraId="7007BD63">
      <w:pPr>
        <w:spacing w:before="74" w:line="393" w:lineRule="auto"/>
        <w:ind w:left="28" w:right="80" w:firstLine="2"/>
        <w:rPr>
          <w:rFonts w:ascii="宋体" w:hAnsi="宋体" w:eastAsia="宋体" w:cs="宋体"/>
          <w:sz w:val="23"/>
          <w:szCs w:val="23"/>
        </w:rPr>
      </w:pPr>
      <w:r>
        <w:rPr>
          <w:rFonts w:ascii="宋体" w:hAnsi="宋体" w:eastAsia="宋体" w:cs="宋体"/>
          <w:spacing w:val="7"/>
          <w:sz w:val="23"/>
          <w:szCs w:val="23"/>
        </w:rPr>
        <w:t>空气中的氧分子产生游离氧，即活性氧，因游离氧所携正负电子不平衡，所以</w:t>
      </w:r>
      <w:r>
        <w:rPr>
          <w:rFonts w:ascii="宋体" w:hAnsi="宋体" w:eastAsia="宋体" w:cs="宋体"/>
          <w:spacing w:val="1"/>
          <w:sz w:val="23"/>
          <w:szCs w:val="23"/>
        </w:rPr>
        <w:t>需</w:t>
      </w:r>
      <w:r>
        <w:rPr>
          <w:rFonts w:ascii="宋体" w:hAnsi="宋体" w:eastAsia="宋体" w:cs="宋体"/>
          <w:sz w:val="23"/>
          <w:szCs w:val="23"/>
        </w:rPr>
        <w:t xml:space="preserve"> </w:t>
      </w:r>
      <w:r>
        <w:rPr>
          <w:rFonts w:ascii="宋体" w:hAnsi="宋体" w:eastAsia="宋体" w:cs="宋体"/>
          <w:spacing w:val="11"/>
          <w:sz w:val="23"/>
          <w:szCs w:val="23"/>
        </w:rPr>
        <w:t>与</w:t>
      </w:r>
      <w:r>
        <w:rPr>
          <w:rFonts w:ascii="宋体" w:hAnsi="宋体" w:eastAsia="宋体" w:cs="宋体"/>
          <w:spacing w:val="8"/>
          <w:sz w:val="23"/>
          <w:szCs w:val="23"/>
        </w:rPr>
        <w:t>氧分子结合，进而产生臭氧。</w:t>
      </w:r>
    </w:p>
    <w:p w14:paraId="2A46DC90">
      <w:pPr>
        <w:spacing w:before="94" w:line="323" w:lineRule="exact"/>
        <w:ind w:left="521"/>
        <w:rPr>
          <w:rFonts w:ascii="Times New Roman" w:hAnsi="Times New Roman" w:eastAsia="Times New Roman" w:cs="Times New Roman"/>
          <w:sz w:val="15"/>
          <w:szCs w:val="15"/>
        </w:rPr>
      </w:pPr>
      <w:r>
        <w:rPr>
          <w:rFonts w:ascii="宋体" w:hAnsi="宋体" w:eastAsia="宋体" w:cs="宋体"/>
          <w:spacing w:val="-1"/>
          <w:position w:val="2"/>
          <w:sz w:val="23"/>
          <w:szCs w:val="23"/>
        </w:rPr>
        <w:t xml:space="preserve">即 </w:t>
      </w:r>
      <w:r>
        <w:rPr>
          <w:rFonts w:ascii="Times New Roman" w:hAnsi="Times New Roman" w:eastAsia="Times New Roman" w:cs="Times New Roman"/>
          <w:spacing w:val="-1"/>
          <w:position w:val="2"/>
          <w:sz w:val="23"/>
          <w:szCs w:val="23"/>
        </w:rPr>
        <w:t>U</w:t>
      </w:r>
      <w:r>
        <w:rPr>
          <w:rFonts w:ascii="Times New Roman" w:hAnsi="Times New Roman" w:eastAsia="Times New Roman" w:cs="Times New Roman"/>
          <w:position w:val="2"/>
          <w:sz w:val="23"/>
          <w:szCs w:val="23"/>
        </w:rPr>
        <w:t>V</w:t>
      </w:r>
      <w:r>
        <w:rPr>
          <w:rFonts w:ascii="Times New Roman" w:hAnsi="Times New Roman" w:eastAsia="Times New Roman" w:cs="Times New Roman"/>
          <w:spacing w:val="-1"/>
          <w:position w:val="2"/>
          <w:sz w:val="23"/>
          <w:szCs w:val="23"/>
        </w:rPr>
        <w:t>+</w:t>
      </w:r>
      <w:r>
        <w:rPr>
          <w:rFonts w:ascii="Times New Roman" w:hAnsi="Times New Roman" w:eastAsia="Times New Roman" w:cs="Times New Roman"/>
          <w:position w:val="2"/>
          <w:sz w:val="23"/>
          <w:szCs w:val="23"/>
        </w:rPr>
        <w:t>O</w:t>
      </w:r>
      <w:r>
        <w:rPr>
          <w:rFonts w:ascii="Times New Roman" w:hAnsi="Times New Roman" w:eastAsia="Times New Roman" w:cs="Times New Roman"/>
          <w:spacing w:val="-1"/>
          <w:sz w:val="15"/>
          <w:szCs w:val="15"/>
        </w:rPr>
        <w:t>2</w:t>
      </w:r>
      <w:r>
        <w:rPr>
          <w:rFonts w:ascii="Times New Roman" w:hAnsi="Times New Roman" w:eastAsia="Times New Roman" w:cs="Times New Roman"/>
          <w:spacing w:val="-1"/>
          <w:position w:val="2"/>
          <w:sz w:val="23"/>
          <w:szCs w:val="23"/>
        </w:rPr>
        <w:t>→</w:t>
      </w:r>
      <w:r>
        <w:rPr>
          <w:rFonts w:ascii="Times New Roman" w:hAnsi="Times New Roman" w:eastAsia="Times New Roman" w:cs="Times New Roman"/>
          <w:position w:val="2"/>
          <w:sz w:val="23"/>
          <w:szCs w:val="23"/>
        </w:rPr>
        <w:t>O</w:t>
      </w:r>
      <w:r>
        <w:rPr>
          <w:rFonts w:ascii="Times New Roman" w:hAnsi="Times New Roman" w:eastAsia="Times New Roman" w:cs="Times New Roman"/>
          <w:spacing w:val="-1"/>
          <w:position w:val="9"/>
          <w:sz w:val="15"/>
          <w:szCs w:val="15"/>
        </w:rPr>
        <w:t>-</w:t>
      </w:r>
      <w:r>
        <w:rPr>
          <w:rFonts w:ascii="Times New Roman" w:hAnsi="Times New Roman" w:eastAsia="Times New Roman" w:cs="Times New Roman"/>
          <w:spacing w:val="-1"/>
          <w:position w:val="2"/>
          <w:sz w:val="23"/>
          <w:szCs w:val="23"/>
        </w:rPr>
        <w:t>+</w:t>
      </w:r>
      <w:r>
        <w:rPr>
          <w:rFonts w:ascii="Times New Roman" w:hAnsi="Times New Roman" w:eastAsia="Times New Roman" w:cs="Times New Roman"/>
          <w:position w:val="2"/>
          <w:sz w:val="23"/>
          <w:szCs w:val="23"/>
        </w:rPr>
        <w:t>O</w:t>
      </w:r>
      <w:r>
        <w:rPr>
          <w:rFonts w:ascii="Times New Roman" w:hAnsi="Times New Roman" w:eastAsia="Times New Roman" w:cs="Times New Roman"/>
          <w:spacing w:val="-1"/>
          <w:position w:val="9"/>
          <w:sz w:val="15"/>
          <w:szCs w:val="15"/>
        </w:rPr>
        <w:t>+</w:t>
      </w:r>
    </w:p>
    <w:p w14:paraId="5C373791">
      <w:pPr>
        <w:spacing w:before="313" w:line="322" w:lineRule="exact"/>
        <w:ind w:left="742"/>
        <w:rPr>
          <w:rFonts w:ascii="宋体" w:hAnsi="宋体" w:eastAsia="宋体" w:cs="宋体"/>
          <w:sz w:val="23"/>
          <w:szCs w:val="23"/>
        </w:rPr>
      </w:pPr>
      <w:r>
        <w:rPr>
          <w:rFonts w:ascii="Times New Roman" w:hAnsi="Times New Roman" w:eastAsia="Times New Roman" w:cs="Times New Roman"/>
          <w:position w:val="1"/>
          <w:sz w:val="23"/>
          <w:szCs w:val="23"/>
        </w:rPr>
        <w:t>O</w:t>
      </w:r>
      <w:r>
        <w:rPr>
          <w:rFonts w:ascii="Times New Roman" w:hAnsi="Times New Roman" w:eastAsia="Times New Roman" w:cs="Times New Roman"/>
          <w:spacing w:val="4"/>
          <w:position w:val="1"/>
          <w:sz w:val="23"/>
          <w:szCs w:val="23"/>
        </w:rPr>
        <w:t xml:space="preserve">  </w:t>
      </w:r>
      <w:r>
        <w:rPr>
          <w:rFonts w:ascii="宋体" w:hAnsi="宋体" w:eastAsia="宋体" w:cs="宋体"/>
          <w:spacing w:val="4"/>
          <w:position w:val="1"/>
          <w:sz w:val="23"/>
          <w:szCs w:val="23"/>
        </w:rPr>
        <w:t xml:space="preserve">(活性氧) </w:t>
      </w:r>
      <w:r>
        <w:rPr>
          <w:rFonts w:ascii="Times New Roman" w:hAnsi="Times New Roman" w:eastAsia="Times New Roman" w:cs="Times New Roman"/>
          <w:spacing w:val="4"/>
          <w:position w:val="1"/>
          <w:sz w:val="23"/>
          <w:szCs w:val="23"/>
        </w:rPr>
        <w:t>+</w:t>
      </w:r>
      <w:r>
        <w:rPr>
          <w:rFonts w:ascii="Times New Roman" w:hAnsi="Times New Roman" w:eastAsia="Times New Roman" w:cs="Times New Roman"/>
          <w:position w:val="1"/>
          <w:sz w:val="23"/>
          <w:szCs w:val="23"/>
        </w:rPr>
        <w:t>O</w:t>
      </w:r>
      <w:r>
        <w:rPr>
          <w:rFonts w:ascii="Times New Roman" w:hAnsi="Times New Roman" w:eastAsia="Times New Roman" w:cs="Times New Roman"/>
          <w:spacing w:val="4"/>
          <w:sz w:val="15"/>
          <w:szCs w:val="15"/>
        </w:rPr>
        <w:t xml:space="preserve">2 </w:t>
      </w:r>
      <w:r>
        <w:rPr>
          <w:rFonts w:ascii="Times New Roman" w:hAnsi="Times New Roman" w:eastAsia="Times New Roman" w:cs="Times New Roman"/>
          <w:spacing w:val="4"/>
          <w:position w:val="1"/>
          <w:sz w:val="23"/>
          <w:szCs w:val="23"/>
        </w:rPr>
        <w:t>→</w:t>
      </w:r>
      <w:r>
        <w:rPr>
          <w:rFonts w:ascii="Times New Roman" w:hAnsi="Times New Roman" w:eastAsia="Times New Roman" w:cs="Times New Roman"/>
          <w:position w:val="1"/>
          <w:sz w:val="23"/>
          <w:szCs w:val="23"/>
        </w:rPr>
        <w:t>O</w:t>
      </w:r>
      <w:r>
        <w:rPr>
          <w:rFonts w:ascii="Times New Roman" w:hAnsi="Times New Roman" w:eastAsia="Times New Roman" w:cs="Times New Roman"/>
          <w:spacing w:val="4"/>
          <w:sz w:val="15"/>
          <w:szCs w:val="15"/>
        </w:rPr>
        <w:t xml:space="preserve">3   </w:t>
      </w:r>
      <w:r>
        <w:rPr>
          <w:rFonts w:ascii="宋体" w:hAnsi="宋体" w:eastAsia="宋体" w:cs="宋体"/>
          <w:spacing w:val="4"/>
          <w:position w:val="1"/>
          <w:sz w:val="23"/>
          <w:szCs w:val="23"/>
        </w:rPr>
        <w:t>(臭氧</w:t>
      </w:r>
      <w:r>
        <w:rPr>
          <w:rFonts w:ascii="宋体" w:hAnsi="宋体" w:eastAsia="宋体" w:cs="宋体"/>
          <w:spacing w:val="1"/>
          <w:position w:val="1"/>
          <w:sz w:val="23"/>
          <w:szCs w:val="23"/>
        </w:rPr>
        <w:t>)</w:t>
      </w:r>
    </w:p>
    <w:p w14:paraId="7690BDB3">
      <w:pPr>
        <w:spacing w:line="275" w:lineRule="auto"/>
        <w:rPr>
          <w:rFonts w:ascii="Arial"/>
          <w:sz w:val="21"/>
        </w:rPr>
      </w:pPr>
    </w:p>
    <w:p w14:paraId="253DA517">
      <w:pPr>
        <w:spacing w:before="75" w:line="388" w:lineRule="auto"/>
        <w:ind w:left="16" w:firstLine="727"/>
        <w:rPr>
          <w:rFonts w:ascii="宋体" w:hAnsi="宋体" w:eastAsia="宋体" w:cs="宋体"/>
          <w:sz w:val="23"/>
          <w:szCs w:val="23"/>
        </w:rPr>
      </w:pPr>
      <w:r>
        <w:rPr>
          <w:rFonts w:ascii="宋体" w:hAnsi="宋体" w:eastAsia="宋体" w:cs="宋体"/>
          <w:spacing w:val="12"/>
          <w:sz w:val="23"/>
          <w:szCs w:val="23"/>
        </w:rPr>
        <w:t>臭氧对有</w:t>
      </w:r>
      <w:r>
        <w:rPr>
          <w:rFonts w:ascii="宋体" w:hAnsi="宋体" w:eastAsia="宋体" w:cs="宋体"/>
          <w:spacing w:val="7"/>
          <w:sz w:val="23"/>
          <w:szCs w:val="23"/>
        </w:rPr>
        <w:t>机</w:t>
      </w:r>
      <w:r>
        <w:rPr>
          <w:rFonts w:ascii="宋体" w:hAnsi="宋体" w:eastAsia="宋体" w:cs="宋体"/>
          <w:spacing w:val="6"/>
          <w:sz w:val="23"/>
          <w:szCs w:val="23"/>
        </w:rPr>
        <w:t>物具有极强的氧化作用，对工业废气及其它刺激性异味有较强</w:t>
      </w:r>
      <w:r>
        <w:rPr>
          <w:rFonts w:ascii="宋体" w:hAnsi="宋体" w:eastAsia="宋体" w:cs="宋体"/>
          <w:sz w:val="23"/>
          <w:szCs w:val="23"/>
        </w:rPr>
        <w:t xml:space="preserve"> </w:t>
      </w:r>
      <w:r>
        <w:rPr>
          <w:rFonts w:ascii="宋体" w:hAnsi="宋体" w:eastAsia="宋体" w:cs="宋体"/>
          <w:spacing w:val="3"/>
          <w:sz w:val="23"/>
          <w:szCs w:val="23"/>
        </w:rPr>
        <w:t>的净化效果。可以裂解工业废气，如：氨、三甲胺、硫化氢、 甲硫氢、 甲</w:t>
      </w:r>
      <w:r>
        <w:rPr>
          <w:rFonts w:ascii="宋体" w:hAnsi="宋体" w:eastAsia="宋体" w:cs="宋体"/>
          <w:spacing w:val="2"/>
          <w:sz w:val="23"/>
          <w:szCs w:val="23"/>
        </w:rPr>
        <w:t>硫</w:t>
      </w:r>
      <w:r>
        <w:rPr>
          <w:rFonts w:ascii="宋体" w:hAnsi="宋体" w:eastAsia="宋体" w:cs="宋体"/>
          <w:sz w:val="23"/>
          <w:szCs w:val="23"/>
        </w:rPr>
        <w:t xml:space="preserve">醇、 </w:t>
      </w:r>
      <w:r>
        <w:rPr>
          <w:rFonts w:ascii="宋体" w:hAnsi="宋体" w:eastAsia="宋体" w:cs="宋体"/>
          <w:spacing w:val="7"/>
          <w:sz w:val="23"/>
          <w:szCs w:val="23"/>
        </w:rPr>
        <w:t xml:space="preserve">甲硫醚、乙酸丁酯、乙酸乙酯、二甲二硫、二硫化碳和苯乙烯，及硫化物 </w:t>
      </w:r>
      <w:r>
        <w:rPr>
          <w:rFonts w:ascii="Times New Roman" w:hAnsi="Times New Roman" w:eastAsia="Times New Roman" w:cs="Times New Roman"/>
          <w:sz w:val="23"/>
          <w:szCs w:val="23"/>
        </w:rPr>
        <w:t>H</w:t>
      </w:r>
      <w:r>
        <w:rPr>
          <w:rFonts w:ascii="Times New Roman" w:hAnsi="Times New Roman" w:eastAsia="Times New Roman" w:cs="Times New Roman"/>
          <w:spacing w:val="7"/>
          <w:position w:val="-1"/>
          <w:sz w:val="15"/>
          <w:szCs w:val="15"/>
        </w:rPr>
        <w:t>2</w:t>
      </w:r>
      <w:r>
        <w:rPr>
          <w:rFonts w:ascii="Times New Roman" w:hAnsi="Times New Roman" w:eastAsia="Times New Roman" w:cs="Times New Roman"/>
          <w:sz w:val="23"/>
          <w:szCs w:val="23"/>
        </w:rPr>
        <w:t>S</w:t>
      </w:r>
      <w:r>
        <w:rPr>
          <w:rFonts w:ascii="Times New Roman" w:hAnsi="Times New Roman" w:eastAsia="Times New Roman" w:cs="Times New Roman"/>
          <w:spacing w:val="7"/>
          <w:sz w:val="23"/>
          <w:szCs w:val="23"/>
        </w:rPr>
        <w:t xml:space="preserve"> </w:t>
      </w:r>
      <w:r>
        <w:rPr>
          <w:rFonts w:ascii="宋体" w:hAnsi="宋体" w:eastAsia="宋体" w:cs="宋体"/>
          <w:spacing w:val="1"/>
          <w:sz w:val="23"/>
          <w:szCs w:val="23"/>
        </w:rPr>
        <w:t>、</w:t>
      </w:r>
      <w:r>
        <w:rPr>
          <w:rFonts w:ascii="宋体" w:hAnsi="宋体" w:eastAsia="宋体" w:cs="宋体"/>
          <w:sz w:val="23"/>
          <w:szCs w:val="23"/>
        </w:rPr>
        <w:t xml:space="preserve"> </w:t>
      </w:r>
      <w:r>
        <w:rPr>
          <w:rFonts w:ascii="Times New Roman" w:hAnsi="Times New Roman" w:eastAsia="Times New Roman" w:cs="Times New Roman"/>
          <w:sz w:val="23"/>
          <w:szCs w:val="23"/>
        </w:rPr>
        <w:t>VOC</w:t>
      </w:r>
      <w:r>
        <w:rPr>
          <w:rFonts w:ascii="Times New Roman" w:hAnsi="Times New Roman" w:eastAsia="Times New Roman" w:cs="Times New Roman"/>
          <w:spacing w:val="12"/>
          <w:sz w:val="23"/>
          <w:szCs w:val="23"/>
        </w:rPr>
        <w:t xml:space="preserve"> </w:t>
      </w:r>
      <w:r>
        <w:rPr>
          <w:rFonts w:ascii="宋体" w:hAnsi="宋体" w:eastAsia="宋体" w:cs="宋体"/>
          <w:spacing w:val="12"/>
          <w:sz w:val="23"/>
          <w:szCs w:val="23"/>
        </w:rPr>
        <w:t>类，</w:t>
      </w:r>
      <w:r>
        <w:rPr>
          <w:rFonts w:ascii="宋体" w:hAnsi="宋体" w:eastAsia="宋体" w:cs="宋体"/>
          <w:spacing w:val="10"/>
          <w:sz w:val="23"/>
          <w:szCs w:val="23"/>
        </w:rPr>
        <w:t>以</w:t>
      </w:r>
      <w:r>
        <w:rPr>
          <w:rFonts w:ascii="宋体" w:hAnsi="宋体" w:eastAsia="宋体" w:cs="宋体"/>
          <w:spacing w:val="6"/>
          <w:sz w:val="23"/>
          <w:szCs w:val="23"/>
        </w:rPr>
        <w:t>及苯、 甲苯、二甲苯的分子链结构，使有机或无机高分子恶臭化合</w:t>
      </w:r>
      <w:r>
        <w:rPr>
          <w:rFonts w:ascii="宋体" w:hAnsi="宋体" w:eastAsia="宋体" w:cs="宋体"/>
          <w:sz w:val="23"/>
          <w:szCs w:val="23"/>
        </w:rPr>
        <w:t xml:space="preserve"> </w:t>
      </w:r>
      <w:r>
        <w:rPr>
          <w:rFonts w:ascii="宋体" w:hAnsi="宋体" w:eastAsia="宋体" w:cs="宋体"/>
          <w:spacing w:val="2"/>
          <w:sz w:val="23"/>
          <w:szCs w:val="23"/>
        </w:rPr>
        <w:t>物分子链在高能紫外线光束照射下，与臭</w:t>
      </w:r>
      <w:r>
        <w:rPr>
          <w:rFonts w:ascii="宋体" w:hAnsi="宋体" w:eastAsia="宋体" w:cs="宋体"/>
          <w:spacing w:val="1"/>
          <w:sz w:val="23"/>
          <w:szCs w:val="23"/>
        </w:rPr>
        <w:t xml:space="preserve">氧进行反应生成低分子化合物，如 </w:t>
      </w:r>
      <w:r>
        <w:rPr>
          <w:rFonts w:ascii="Times New Roman" w:hAnsi="Times New Roman" w:eastAsia="Times New Roman" w:cs="Times New Roman"/>
          <w:sz w:val="23"/>
          <w:szCs w:val="23"/>
        </w:rPr>
        <w:t>CO</w:t>
      </w:r>
      <w:r>
        <w:rPr>
          <w:rFonts w:ascii="Times New Roman" w:hAnsi="Times New Roman" w:eastAsia="Times New Roman" w:cs="Times New Roman"/>
          <w:spacing w:val="1"/>
          <w:position w:val="-1"/>
          <w:sz w:val="15"/>
          <w:szCs w:val="15"/>
        </w:rPr>
        <w:t>2</w:t>
      </w:r>
      <w:r>
        <w:rPr>
          <w:rFonts w:ascii="宋体" w:hAnsi="宋体" w:eastAsia="宋体" w:cs="宋体"/>
          <w:spacing w:val="1"/>
          <w:sz w:val="23"/>
          <w:szCs w:val="23"/>
        </w:rPr>
        <w:t>、</w:t>
      </w:r>
      <w:r>
        <w:rPr>
          <w:rFonts w:ascii="宋体" w:hAnsi="宋体" w:eastAsia="宋体" w:cs="宋体"/>
          <w:sz w:val="23"/>
          <w:szCs w:val="23"/>
        </w:rPr>
        <w:t xml:space="preserve"> </w:t>
      </w:r>
      <w:r>
        <w:rPr>
          <w:rFonts w:ascii="Times New Roman" w:hAnsi="Times New Roman" w:eastAsia="Times New Roman" w:cs="Times New Roman"/>
          <w:sz w:val="23"/>
          <w:szCs w:val="23"/>
        </w:rPr>
        <w:t>H</w:t>
      </w:r>
      <w:r>
        <w:rPr>
          <w:rFonts w:ascii="Times New Roman" w:hAnsi="Times New Roman" w:eastAsia="Times New Roman" w:cs="Times New Roman"/>
          <w:spacing w:val="26"/>
          <w:position w:val="-1"/>
          <w:sz w:val="15"/>
          <w:szCs w:val="15"/>
        </w:rPr>
        <w:t>2</w:t>
      </w:r>
      <w:r>
        <w:rPr>
          <w:rFonts w:ascii="Times New Roman" w:hAnsi="Times New Roman" w:eastAsia="Times New Roman" w:cs="Times New Roman"/>
          <w:sz w:val="23"/>
          <w:szCs w:val="23"/>
        </w:rPr>
        <w:t>O</w:t>
      </w:r>
      <w:r>
        <w:rPr>
          <w:rFonts w:ascii="Times New Roman" w:hAnsi="Times New Roman" w:eastAsia="Times New Roman" w:cs="Times New Roman"/>
          <w:spacing w:val="23"/>
          <w:sz w:val="23"/>
          <w:szCs w:val="23"/>
        </w:rPr>
        <w:t xml:space="preserve"> </w:t>
      </w:r>
      <w:r>
        <w:rPr>
          <w:rFonts w:ascii="宋体" w:hAnsi="宋体" w:eastAsia="宋体" w:cs="宋体"/>
          <w:spacing w:val="13"/>
          <w:sz w:val="23"/>
          <w:szCs w:val="23"/>
        </w:rPr>
        <w:t>等，再通过排风管道排出室外。本设备技术上可行，经净化处理后的废气</w:t>
      </w:r>
      <w:r>
        <w:rPr>
          <w:rFonts w:ascii="宋体" w:hAnsi="宋体" w:eastAsia="宋体" w:cs="宋体"/>
          <w:sz w:val="23"/>
          <w:szCs w:val="23"/>
        </w:rPr>
        <w:t xml:space="preserve"> </w:t>
      </w:r>
      <w:r>
        <w:rPr>
          <w:rFonts w:ascii="宋体" w:hAnsi="宋体" w:eastAsia="宋体" w:cs="宋体"/>
          <w:spacing w:val="25"/>
          <w:sz w:val="23"/>
          <w:szCs w:val="23"/>
        </w:rPr>
        <w:t>能</w:t>
      </w:r>
      <w:r>
        <w:rPr>
          <w:rFonts w:ascii="宋体" w:hAnsi="宋体" w:eastAsia="宋体" w:cs="宋体"/>
          <w:spacing w:val="18"/>
          <w:sz w:val="23"/>
          <w:szCs w:val="23"/>
        </w:rPr>
        <w:t>够实现稳定达标排放。</w:t>
      </w:r>
    </w:p>
    <w:p w14:paraId="6595D802">
      <w:pPr>
        <w:spacing w:before="136" w:line="227" w:lineRule="auto"/>
        <w:ind w:left="743"/>
        <w:rPr>
          <w:rFonts w:ascii="宋体" w:hAnsi="宋体" w:eastAsia="宋体" w:cs="宋体"/>
          <w:sz w:val="23"/>
          <w:szCs w:val="23"/>
        </w:rPr>
      </w:pPr>
      <w:r>
        <w:rPr>
          <w:rFonts w:ascii="Times New Roman" w:hAnsi="Times New Roman" w:eastAsia="Times New Roman" w:cs="Times New Roman"/>
          <w:spacing w:val="12"/>
          <w:sz w:val="23"/>
          <w:szCs w:val="23"/>
        </w:rPr>
        <w:t>3</w:t>
      </w:r>
      <w:r>
        <w:rPr>
          <w:rFonts w:ascii="宋体" w:hAnsi="宋体" w:eastAsia="宋体" w:cs="宋体"/>
          <w:spacing w:val="7"/>
          <w:sz w:val="23"/>
          <w:szCs w:val="23"/>
        </w:rPr>
        <w:t>) 活性炭吸附装置</w:t>
      </w:r>
    </w:p>
    <w:p w14:paraId="50465ADC">
      <w:pPr>
        <w:spacing w:line="274" w:lineRule="auto"/>
        <w:rPr>
          <w:rFonts w:ascii="Arial"/>
          <w:sz w:val="21"/>
        </w:rPr>
      </w:pPr>
    </w:p>
    <w:p w14:paraId="04CD81F2">
      <w:pPr>
        <w:spacing w:before="75" w:line="389" w:lineRule="auto"/>
        <w:ind w:left="24" w:right="18" w:firstLine="482"/>
        <w:rPr>
          <w:rFonts w:ascii="宋体" w:hAnsi="宋体" w:eastAsia="宋体" w:cs="宋体"/>
          <w:sz w:val="23"/>
          <w:szCs w:val="23"/>
        </w:rPr>
      </w:pPr>
      <w:bookmarkStart w:id="50" w:name="_GoBack"/>
      <w:bookmarkEnd w:id="50"/>
      <w:r>
        <w:rPr>
          <w:rFonts w:hint="eastAsia" w:ascii="宋体" w:hAnsi="宋体" w:eastAsia="宋体" w:cs="宋体"/>
          <w:spacing w:val="12"/>
          <w:sz w:val="23"/>
          <w:szCs w:val="23"/>
          <w:lang w:eastAsia="zh-CN"/>
        </w:rPr>
        <w:t>活性炭</w:t>
      </w:r>
      <w:r>
        <w:rPr>
          <w:rFonts w:ascii="宋体" w:hAnsi="宋体" w:eastAsia="宋体" w:cs="宋体"/>
          <w:spacing w:val="12"/>
          <w:sz w:val="23"/>
          <w:szCs w:val="23"/>
        </w:rPr>
        <w:t>吸</w:t>
      </w:r>
      <w:r>
        <w:rPr>
          <w:rFonts w:ascii="宋体" w:hAnsi="宋体" w:eastAsia="宋体" w:cs="宋体"/>
          <w:spacing w:val="7"/>
          <w:sz w:val="23"/>
          <w:szCs w:val="23"/>
        </w:rPr>
        <w:t>附</w:t>
      </w:r>
      <w:r>
        <w:rPr>
          <w:rFonts w:ascii="宋体" w:hAnsi="宋体" w:eastAsia="宋体" w:cs="宋体"/>
          <w:spacing w:val="6"/>
          <w:sz w:val="23"/>
          <w:szCs w:val="23"/>
        </w:rPr>
        <w:t>装置工作原理：吸附过程，由于固体表面上存在着未平衡和未饱</w:t>
      </w:r>
      <w:r>
        <w:rPr>
          <w:rFonts w:ascii="宋体" w:hAnsi="宋体" w:eastAsia="宋体" w:cs="宋体"/>
          <w:sz w:val="23"/>
          <w:szCs w:val="23"/>
        </w:rPr>
        <w:t xml:space="preserve"> </w:t>
      </w:r>
      <w:r>
        <w:rPr>
          <w:rFonts w:ascii="宋体" w:hAnsi="宋体" w:eastAsia="宋体" w:cs="宋体"/>
          <w:spacing w:val="4"/>
          <w:sz w:val="23"/>
          <w:szCs w:val="23"/>
        </w:rPr>
        <w:t>和的</w:t>
      </w:r>
      <w:r>
        <w:rPr>
          <w:rFonts w:ascii="宋体" w:hAnsi="宋体" w:eastAsia="宋体" w:cs="宋体"/>
          <w:spacing w:val="3"/>
          <w:sz w:val="23"/>
          <w:szCs w:val="23"/>
        </w:rPr>
        <w:t>分</w:t>
      </w:r>
      <w:r>
        <w:rPr>
          <w:rFonts w:ascii="宋体" w:hAnsi="宋体" w:eastAsia="宋体" w:cs="宋体"/>
          <w:spacing w:val="2"/>
          <w:sz w:val="23"/>
          <w:szCs w:val="23"/>
        </w:rPr>
        <w:t>子引力或化学键力，因此当此固体表面与气体接触时，就能吸引气体分子，</w:t>
      </w:r>
      <w:r>
        <w:rPr>
          <w:rFonts w:ascii="宋体" w:hAnsi="宋体" w:eastAsia="宋体" w:cs="宋体"/>
          <w:sz w:val="23"/>
          <w:szCs w:val="23"/>
        </w:rPr>
        <w:t xml:space="preserve"> </w:t>
      </w:r>
      <w:r>
        <w:rPr>
          <w:rFonts w:ascii="宋体" w:hAnsi="宋体" w:eastAsia="宋体" w:cs="宋体"/>
          <w:spacing w:val="8"/>
          <w:sz w:val="23"/>
          <w:szCs w:val="23"/>
        </w:rPr>
        <w:t>使</w:t>
      </w:r>
      <w:r>
        <w:rPr>
          <w:rFonts w:ascii="宋体" w:hAnsi="宋体" w:eastAsia="宋体" w:cs="宋体"/>
          <w:spacing w:val="7"/>
          <w:sz w:val="23"/>
          <w:szCs w:val="23"/>
        </w:rPr>
        <w:t>其浓聚并保持在固体表面，此现象称为吸附。利用固体表面的吸附能力，使废</w:t>
      </w:r>
      <w:r>
        <w:rPr>
          <w:rFonts w:ascii="宋体" w:hAnsi="宋体" w:eastAsia="宋体" w:cs="宋体"/>
          <w:sz w:val="23"/>
          <w:szCs w:val="23"/>
        </w:rPr>
        <w:t xml:space="preserve"> </w:t>
      </w:r>
      <w:r>
        <w:rPr>
          <w:rFonts w:ascii="宋体" w:hAnsi="宋体" w:eastAsia="宋体" w:cs="宋体"/>
          <w:spacing w:val="8"/>
          <w:sz w:val="23"/>
          <w:szCs w:val="23"/>
        </w:rPr>
        <w:t>气</w:t>
      </w:r>
      <w:r>
        <w:rPr>
          <w:rFonts w:ascii="宋体" w:hAnsi="宋体" w:eastAsia="宋体" w:cs="宋体"/>
          <w:spacing w:val="7"/>
          <w:sz w:val="23"/>
          <w:szCs w:val="23"/>
        </w:rPr>
        <w:t>与大表面的多孔性固体物质相接触，废气中的污染物被吸附在固体表面上，使</w:t>
      </w:r>
      <w:r>
        <w:rPr>
          <w:rFonts w:ascii="宋体" w:hAnsi="宋体" w:eastAsia="宋体" w:cs="宋体"/>
          <w:sz w:val="23"/>
          <w:szCs w:val="23"/>
        </w:rPr>
        <w:t xml:space="preserve"> </w:t>
      </w:r>
      <w:r>
        <w:rPr>
          <w:rFonts w:ascii="宋体" w:hAnsi="宋体" w:eastAsia="宋体" w:cs="宋体"/>
          <w:spacing w:val="9"/>
          <w:sz w:val="23"/>
          <w:szCs w:val="23"/>
        </w:rPr>
        <w:t>其与气体混合物分离，达到净化目的</w:t>
      </w:r>
      <w:r>
        <w:rPr>
          <w:rFonts w:ascii="宋体" w:hAnsi="宋体" w:eastAsia="宋体" w:cs="宋体"/>
          <w:spacing w:val="5"/>
          <w:sz w:val="23"/>
          <w:szCs w:val="23"/>
        </w:rPr>
        <w:t>。</w:t>
      </w:r>
    </w:p>
    <w:p w14:paraId="6793E7C1">
      <w:pPr>
        <w:spacing w:before="135" w:line="227" w:lineRule="auto"/>
        <w:ind w:left="507"/>
        <w:rPr>
          <w:rFonts w:ascii="宋体" w:hAnsi="宋体" w:eastAsia="宋体" w:cs="宋体"/>
          <w:sz w:val="23"/>
          <w:szCs w:val="23"/>
        </w:rPr>
      </w:pPr>
      <w:r>
        <w:rPr>
          <w:rFonts w:ascii="宋体" w:hAnsi="宋体" w:eastAsia="宋体" w:cs="宋体"/>
          <w:spacing w:val="21"/>
          <w:sz w:val="23"/>
          <w:szCs w:val="23"/>
        </w:rPr>
        <w:t>该</w:t>
      </w:r>
      <w:r>
        <w:rPr>
          <w:rFonts w:ascii="宋体" w:hAnsi="宋体" w:eastAsia="宋体" w:cs="宋体"/>
          <w:spacing w:val="11"/>
          <w:sz w:val="23"/>
          <w:szCs w:val="23"/>
        </w:rPr>
        <w:t xml:space="preserve">项目在每条生产线的热熔造粒工序均设置 </w:t>
      </w:r>
      <w:r>
        <w:rPr>
          <w:rFonts w:ascii="Times New Roman" w:hAnsi="Times New Roman" w:eastAsia="Times New Roman" w:cs="Times New Roman"/>
          <w:spacing w:val="11"/>
          <w:sz w:val="23"/>
          <w:szCs w:val="23"/>
        </w:rPr>
        <w:t xml:space="preserve">1 </w:t>
      </w:r>
      <w:r>
        <w:rPr>
          <w:rFonts w:ascii="宋体" w:hAnsi="宋体" w:eastAsia="宋体" w:cs="宋体"/>
          <w:spacing w:val="11"/>
          <w:sz w:val="23"/>
          <w:szCs w:val="23"/>
        </w:rPr>
        <w:t>个集气罩 (集气罩采用伞形</w:t>
      </w:r>
    </w:p>
    <w:p w14:paraId="3FCE6809">
      <w:pPr>
        <w:spacing w:before="156" w:line="391" w:lineRule="auto"/>
        <w:ind w:left="21" w:right="77" w:firstLine="1"/>
        <w:rPr>
          <w:rFonts w:ascii="宋体" w:hAnsi="宋体" w:eastAsia="宋体" w:cs="宋体"/>
          <w:sz w:val="23"/>
          <w:szCs w:val="23"/>
        </w:rPr>
      </w:pPr>
      <w:r>
        <w:rPr>
          <w:rFonts w:ascii="宋体" w:hAnsi="宋体" w:eastAsia="宋体" w:cs="宋体"/>
          <w:spacing w:val="10"/>
          <w:sz w:val="23"/>
          <w:szCs w:val="23"/>
        </w:rPr>
        <w:t>罩，在设备约</w:t>
      </w:r>
      <w:r>
        <w:rPr>
          <w:rFonts w:ascii="宋体" w:hAnsi="宋体" w:eastAsia="宋体" w:cs="宋体"/>
          <w:spacing w:val="6"/>
          <w:sz w:val="23"/>
          <w:szCs w:val="23"/>
        </w:rPr>
        <w:t xml:space="preserve"> </w:t>
      </w:r>
      <w:r>
        <w:rPr>
          <w:rFonts w:ascii="Times New Roman" w:hAnsi="Times New Roman" w:eastAsia="Times New Roman" w:cs="Times New Roman"/>
          <w:spacing w:val="5"/>
          <w:sz w:val="23"/>
          <w:szCs w:val="23"/>
        </w:rPr>
        <w:t>30</w:t>
      </w:r>
      <w:r>
        <w:rPr>
          <w:rFonts w:ascii="Times New Roman" w:hAnsi="Times New Roman" w:eastAsia="Times New Roman" w:cs="Times New Roman"/>
          <w:sz w:val="23"/>
          <w:szCs w:val="23"/>
        </w:rPr>
        <w:t>cm</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rPr>
        <w:t xml:space="preserve">的正上方，集气罩集气效率为 </w:t>
      </w:r>
      <w:r>
        <w:rPr>
          <w:rFonts w:ascii="Times New Roman" w:hAnsi="Times New Roman" w:eastAsia="Times New Roman" w:cs="Times New Roman"/>
          <w:spacing w:val="5"/>
          <w:sz w:val="23"/>
          <w:szCs w:val="23"/>
        </w:rPr>
        <w:t>90%</w:t>
      </w:r>
      <w:r>
        <w:rPr>
          <w:rFonts w:ascii="宋体" w:hAnsi="宋体" w:eastAsia="宋体" w:cs="宋体"/>
          <w:spacing w:val="5"/>
          <w:sz w:val="23"/>
          <w:szCs w:val="23"/>
        </w:rPr>
        <w:t xml:space="preserve">) ，共计 </w:t>
      </w:r>
      <w:r>
        <w:rPr>
          <w:rFonts w:ascii="Times New Roman" w:hAnsi="Times New Roman" w:eastAsia="Times New Roman" w:cs="Times New Roman"/>
          <w:spacing w:val="5"/>
          <w:sz w:val="23"/>
          <w:szCs w:val="23"/>
        </w:rPr>
        <w:t xml:space="preserve">10 </w:t>
      </w:r>
      <w:r>
        <w:rPr>
          <w:rFonts w:ascii="宋体" w:hAnsi="宋体" w:eastAsia="宋体" w:cs="宋体"/>
          <w:spacing w:val="5"/>
          <w:sz w:val="23"/>
          <w:szCs w:val="23"/>
        </w:rPr>
        <w:t>个集气罩。</w:t>
      </w:r>
      <w:r>
        <w:rPr>
          <w:rFonts w:ascii="宋体" w:hAnsi="宋体" w:eastAsia="宋体" w:cs="宋体"/>
          <w:sz w:val="23"/>
          <w:szCs w:val="23"/>
        </w:rPr>
        <w:t xml:space="preserve"> </w:t>
      </w:r>
      <w:r>
        <w:rPr>
          <w:rFonts w:ascii="宋体" w:hAnsi="宋体" w:eastAsia="宋体" w:cs="宋体"/>
          <w:spacing w:val="4"/>
          <w:sz w:val="23"/>
          <w:szCs w:val="23"/>
        </w:rPr>
        <w:t>与此同时，项</w:t>
      </w:r>
      <w:r>
        <w:rPr>
          <w:rFonts w:ascii="宋体" w:hAnsi="宋体" w:eastAsia="宋体" w:cs="宋体"/>
          <w:spacing w:val="3"/>
          <w:sz w:val="23"/>
          <w:szCs w:val="23"/>
        </w:rPr>
        <w:t>目</w:t>
      </w:r>
      <w:r>
        <w:rPr>
          <w:rFonts w:ascii="宋体" w:hAnsi="宋体" w:eastAsia="宋体" w:cs="宋体"/>
          <w:spacing w:val="2"/>
          <w:sz w:val="23"/>
          <w:szCs w:val="23"/>
        </w:rPr>
        <w:t xml:space="preserve">设有 </w:t>
      </w:r>
      <w:r>
        <w:rPr>
          <w:rFonts w:ascii="Times New Roman" w:hAnsi="Times New Roman" w:eastAsia="Times New Roman" w:cs="Times New Roman"/>
          <w:spacing w:val="2"/>
          <w:sz w:val="23"/>
          <w:szCs w:val="23"/>
        </w:rPr>
        <w:t xml:space="preserve">2 </w:t>
      </w:r>
      <w:r>
        <w:rPr>
          <w:rFonts w:ascii="宋体" w:hAnsi="宋体" w:eastAsia="宋体" w:cs="宋体"/>
          <w:spacing w:val="2"/>
          <w:sz w:val="23"/>
          <w:szCs w:val="23"/>
        </w:rPr>
        <w:t xml:space="preserve">台 </w:t>
      </w:r>
      <w:r>
        <w:rPr>
          <w:rFonts w:ascii="Times New Roman" w:hAnsi="Times New Roman" w:eastAsia="Times New Roman" w:cs="Times New Roman"/>
          <w:sz w:val="23"/>
          <w:szCs w:val="23"/>
        </w:rPr>
        <w:t>UV</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 xml:space="preserve">光氧催化废气处理装置以及 </w:t>
      </w:r>
      <w:r>
        <w:rPr>
          <w:rFonts w:ascii="Times New Roman" w:hAnsi="Times New Roman" w:eastAsia="Times New Roman" w:cs="Times New Roman"/>
          <w:spacing w:val="2"/>
          <w:sz w:val="23"/>
          <w:szCs w:val="23"/>
        </w:rPr>
        <w:t xml:space="preserve">2 </w:t>
      </w:r>
      <w:r>
        <w:rPr>
          <w:rFonts w:ascii="宋体" w:hAnsi="宋体" w:eastAsia="宋体" w:cs="宋体"/>
          <w:spacing w:val="2"/>
          <w:sz w:val="23"/>
          <w:szCs w:val="23"/>
        </w:rPr>
        <w:t>台活性炭吸附装置，</w:t>
      </w:r>
      <w:r>
        <w:rPr>
          <w:rFonts w:ascii="宋体" w:hAnsi="宋体" w:eastAsia="宋体" w:cs="宋体"/>
          <w:sz w:val="23"/>
          <w:szCs w:val="23"/>
        </w:rPr>
        <w:t xml:space="preserve"> </w:t>
      </w:r>
      <w:r>
        <w:rPr>
          <w:rFonts w:ascii="Times New Roman" w:hAnsi="Times New Roman" w:eastAsia="Times New Roman" w:cs="Times New Roman"/>
          <w:spacing w:val="6"/>
          <w:sz w:val="23"/>
          <w:szCs w:val="23"/>
        </w:rPr>
        <w:t xml:space="preserve">1 </w:t>
      </w:r>
      <w:r>
        <w:rPr>
          <w:rFonts w:ascii="宋体" w:hAnsi="宋体" w:eastAsia="宋体" w:cs="宋体"/>
          <w:spacing w:val="6"/>
          <w:sz w:val="23"/>
          <w:szCs w:val="23"/>
        </w:rPr>
        <w:t xml:space="preserve">台 </w:t>
      </w:r>
      <w:r>
        <w:rPr>
          <w:rFonts w:ascii="Times New Roman" w:hAnsi="Times New Roman" w:eastAsia="Times New Roman" w:cs="Times New Roman"/>
          <w:sz w:val="23"/>
          <w:szCs w:val="23"/>
        </w:rPr>
        <w:t>UV</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光氧催化</w:t>
      </w:r>
      <w:r>
        <w:rPr>
          <w:rFonts w:ascii="宋体" w:hAnsi="宋体" w:eastAsia="宋体" w:cs="宋体"/>
          <w:spacing w:val="5"/>
          <w:sz w:val="23"/>
          <w:szCs w:val="23"/>
        </w:rPr>
        <w:t>废</w:t>
      </w:r>
      <w:r>
        <w:rPr>
          <w:rFonts w:ascii="宋体" w:hAnsi="宋体" w:eastAsia="宋体" w:cs="宋体"/>
          <w:spacing w:val="3"/>
          <w:sz w:val="23"/>
          <w:szCs w:val="23"/>
        </w:rPr>
        <w:t xml:space="preserve">气处理装置和 </w:t>
      </w:r>
      <w:r>
        <w:rPr>
          <w:rFonts w:ascii="Times New Roman" w:hAnsi="Times New Roman" w:eastAsia="Times New Roman" w:cs="Times New Roman"/>
          <w:spacing w:val="3"/>
          <w:sz w:val="23"/>
          <w:szCs w:val="23"/>
        </w:rPr>
        <w:t xml:space="preserve">1 </w:t>
      </w:r>
      <w:r>
        <w:rPr>
          <w:rFonts w:ascii="宋体" w:hAnsi="宋体" w:eastAsia="宋体" w:cs="宋体"/>
          <w:spacing w:val="3"/>
          <w:sz w:val="23"/>
          <w:szCs w:val="23"/>
        </w:rPr>
        <w:t xml:space="preserve">台活性炭吸附装置组成 </w:t>
      </w:r>
      <w:r>
        <w:rPr>
          <w:rFonts w:ascii="Times New Roman" w:hAnsi="Times New Roman" w:eastAsia="Times New Roman" w:cs="Times New Roman"/>
          <w:spacing w:val="3"/>
          <w:sz w:val="23"/>
          <w:szCs w:val="23"/>
        </w:rPr>
        <w:t xml:space="preserve">1 </w:t>
      </w:r>
      <w:r>
        <w:rPr>
          <w:rFonts w:ascii="宋体" w:hAnsi="宋体" w:eastAsia="宋体" w:cs="宋体"/>
          <w:spacing w:val="3"/>
          <w:sz w:val="23"/>
          <w:szCs w:val="23"/>
        </w:rPr>
        <w:t>套废气治理装置，</w:t>
      </w:r>
      <w:r>
        <w:rPr>
          <w:rFonts w:ascii="宋体" w:hAnsi="宋体" w:eastAsia="宋体" w:cs="宋体"/>
          <w:sz w:val="23"/>
          <w:szCs w:val="23"/>
        </w:rPr>
        <w:t xml:space="preserve"> </w:t>
      </w:r>
      <w:r>
        <w:rPr>
          <w:rFonts w:ascii="宋体" w:hAnsi="宋体" w:eastAsia="宋体" w:cs="宋体"/>
          <w:spacing w:val="10"/>
          <w:sz w:val="23"/>
          <w:szCs w:val="23"/>
        </w:rPr>
        <w:t>则</w:t>
      </w:r>
      <w:r>
        <w:rPr>
          <w:rFonts w:ascii="宋体" w:hAnsi="宋体" w:eastAsia="宋体" w:cs="宋体"/>
          <w:spacing w:val="6"/>
          <w:sz w:val="23"/>
          <w:szCs w:val="23"/>
        </w:rPr>
        <w:t>厂</w:t>
      </w:r>
      <w:r>
        <w:rPr>
          <w:rFonts w:ascii="宋体" w:hAnsi="宋体" w:eastAsia="宋体" w:cs="宋体"/>
          <w:spacing w:val="5"/>
          <w:sz w:val="23"/>
          <w:szCs w:val="23"/>
        </w:rPr>
        <w:t xml:space="preserve">区内共计 </w:t>
      </w:r>
      <w:r>
        <w:rPr>
          <w:rFonts w:ascii="Times New Roman" w:hAnsi="Times New Roman" w:eastAsia="Times New Roman" w:cs="Times New Roman"/>
          <w:spacing w:val="5"/>
          <w:sz w:val="23"/>
          <w:szCs w:val="23"/>
        </w:rPr>
        <w:t xml:space="preserve">2 </w:t>
      </w:r>
      <w:r>
        <w:rPr>
          <w:rFonts w:ascii="宋体" w:hAnsi="宋体" w:eastAsia="宋体" w:cs="宋体"/>
          <w:spacing w:val="5"/>
          <w:sz w:val="23"/>
          <w:szCs w:val="23"/>
        </w:rPr>
        <w:t>套废气治理装置，分别位于生产厂房东侧、西侧中部。该项目每</w:t>
      </w:r>
      <w:r>
        <w:rPr>
          <w:rFonts w:ascii="宋体" w:hAnsi="宋体" w:eastAsia="宋体" w:cs="宋体"/>
          <w:sz w:val="23"/>
          <w:szCs w:val="23"/>
        </w:rPr>
        <w:t xml:space="preserve"> </w:t>
      </w:r>
      <w:r>
        <w:rPr>
          <w:rFonts w:ascii="Times New Roman" w:hAnsi="Times New Roman" w:eastAsia="Times New Roman" w:cs="Times New Roman"/>
          <w:spacing w:val="23"/>
          <w:sz w:val="23"/>
          <w:szCs w:val="23"/>
        </w:rPr>
        <w:t xml:space="preserve">5 </w:t>
      </w:r>
      <w:r>
        <w:rPr>
          <w:rFonts w:ascii="宋体" w:hAnsi="宋体" w:eastAsia="宋体" w:cs="宋体"/>
          <w:spacing w:val="23"/>
          <w:sz w:val="23"/>
          <w:szCs w:val="23"/>
        </w:rPr>
        <w:t xml:space="preserve">条生产线共用 </w:t>
      </w:r>
      <w:r>
        <w:rPr>
          <w:rFonts w:ascii="Times New Roman" w:hAnsi="Times New Roman" w:eastAsia="Times New Roman" w:cs="Times New Roman"/>
          <w:spacing w:val="23"/>
          <w:sz w:val="23"/>
          <w:szCs w:val="23"/>
        </w:rPr>
        <w:t xml:space="preserve">1 </w:t>
      </w:r>
      <w:r>
        <w:rPr>
          <w:rFonts w:ascii="宋体" w:hAnsi="宋体" w:eastAsia="宋体" w:cs="宋体"/>
          <w:spacing w:val="23"/>
          <w:sz w:val="23"/>
          <w:szCs w:val="23"/>
        </w:rPr>
        <w:t>套废气处理设施 ，集气罩收集后的有机废气经由风量</w:t>
      </w:r>
      <w:r>
        <w:rPr>
          <w:rFonts w:ascii="宋体" w:hAnsi="宋体" w:eastAsia="宋体" w:cs="宋体"/>
          <w:spacing w:val="16"/>
          <w:sz w:val="23"/>
          <w:szCs w:val="23"/>
        </w:rPr>
        <w:t>为</w:t>
      </w:r>
      <w:r>
        <w:rPr>
          <w:rFonts w:ascii="宋体" w:hAnsi="宋体" w:eastAsia="宋体" w:cs="宋体"/>
          <w:sz w:val="23"/>
          <w:szCs w:val="23"/>
        </w:rPr>
        <w:t xml:space="preserve"> </w:t>
      </w:r>
      <w:r>
        <w:rPr>
          <w:rFonts w:ascii="Times New Roman" w:hAnsi="Times New Roman" w:eastAsia="Times New Roman" w:cs="Times New Roman"/>
          <w:spacing w:val="8"/>
          <w:sz w:val="23"/>
          <w:szCs w:val="23"/>
        </w:rPr>
        <w:t>5000</w:t>
      </w:r>
      <w:r>
        <w:rPr>
          <w:rFonts w:ascii="Times New Roman" w:hAnsi="Times New Roman" w:eastAsia="Times New Roman" w:cs="Times New Roman"/>
          <w:sz w:val="23"/>
          <w:szCs w:val="23"/>
        </w:rPr>
        <w:t>m</w:t>
      </w:r>
      <w:r>
        <w:rPr>
          <w:rFonts w:ascii="Times New Roman" w:hAnsi="Times New Roman" w:eastAsia="Times New Roman" w:cs="Times New Roman"/>
          <w:spacing w:val="8"/>
          <w:position w:val="8"/>
          <w:sz w:val="15"/>
          <w:szCs w:val="15"/>
        </w:rPr>
        <w:t>3</w:t>
      </w:r>
      <w:r>
        <w:rPr>
          <w:rFonts w:ascii="Times New Roman" w:hAnsi="Times New Roman" w:eastAsia="Times New Roman" w:cs="Times New Roman"/>
          <w:spacing w:val="8"/>
          <w:sz w:val="23"/>
          <w:szCs w:val="23"/>
        </w:rPr>
        <w:t>/</w:t>
      </w:r>
      <w:r>
        <w:rPr>
          <w:rFonts w:ascii="Times New Roman" w:hAnsi="Times New Roman" w:eastAsia="Times New Roman" w:cs="Times New Roman"/>
          <w:sz w:val="23"/>
          <w:szCs w:val="23"/>
        </w:rPr>
        <w:t>h</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 xml:space="preserve">的引风机抽入每个厂房内各自设置的废气治理装置中，经过 </w:t>
      </w:r>
      <w:r>
        <w:rPr>
          <w:rFonts w:ascii="Times New Roman" w:hAnsi="Times New Roman" w:eastAsia="Times New Roman" w:cs="Times New Roman"/>
          <w:sz w:val="23"/>
          <w:szCs w:val="23"/>
        </w:rPr>
        <w:t>UV</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光氧催</w:t>
      </w:r>
      <w:r>
        <w:rPr>
          <w:rFonts w:ascii="宋体" w:hAnsi="宋体" w:eastAsia="宋体" w:cs="宋体"/>
          <w:sz w:val="23"/>
          <w:szCs w:val="23"/>
        </w:rPr>
        <w:t xml:space="preserve"> </w:t>
      </w:r>
      <w:r>
        <w:rPr>
          <w:rFonts w:ascii="宋体" w:hAnsi="宋体" w:eastAsia="宋体" w:cs="宋体"/>
          <w:spacing w:val="6"/>
          <w:sz w:val="23"/>
          <w:szCs w:val="23"/>
        </w:rPr>
        <w:t>化废气处理装置</w:t>
      </w:r>
      <w:r>
        <w:rPr>
          <w:rFonts w:ascii="Times New Roman" w:hAnsi="Times New Roman" w:eastAsia="Times New Roman" w:cs="Times New Roman"/>
          <w:spacing w:val="6"/>
          <w:sz w:val="23"/>
          <w:szCs w:val="23"/>
        </w:rPr>
        <w:t>+</w:t>
      </w:r>
      <w:r>
        <w:rPr>
          <w:rFonts w:ascii="宋体" w:hAnsi="宋体" w:eastAsia="宋体" w:cs="宋体"/>
          <w:spacing w:val="6"/>
          <w:sz w:val="23"/>
          <w:szCs w:val="23"/>
        </w:rPr>
        <w:t xml:space="preserve">活性炭吸附装置处理后通过 </w:t>
      </w:r>
      <w:r>
        <w:rPr>
          <w:rFonts w:ascii="Times New Roman" w:hAnsi="Times New Roman" w:eastAsia="Times New Roman" w:cs="Times New Roman"/>
          <w:spacing w:val="6"/>
          <w:sz w:val="23"/>
          <w:szCs w:val="23"/>
        </w:rPr>
        <w:t>15</w:t>
      </w:r>
      <w:r>
        <w:rPr>
          <w:rFonts w:ascii="Times New Roman" w:hAnsi="Times New Roman" w:eastAsia="Times New Roman" w:cs="Times New Roman"/>
          <w:sz w:val="23"/>
          <w:szCs w:val="23"/>
        </w:rPr>
        <w:t>m</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 xml:space="preserve">高排气筒有组织排放，共计 </w:t>
      </w:r>
      <w:r>
        <w:rPr>
          <w:rFonts w:ascii="Times New Roman" w:hAnsi="Times New Roman" w:eastAsia="Times New Roman" w:cs="Times New Roman"/>
          <w:spacing w:val="3"/>
          <w:sz w:val="23"/>
          <w:szCs w:val="23"/>
        </w:rPr>
        <w:t>2</w:t>
      </w:r>
      <w:r>
        <w:rPr>
          <w:rFonts w:ascii="Times New Roman" w:hAnsi="Times New Roman" w:eastAsia="Times New Roman" w:cs="Times New Roman"/>
          <w:sz w:val="23"/>
          <w:szCs w:val="23"/>
        </w:rPr>
        <w:t xml:space="preserve"> </w:t>
      </w:r>
      <w:r>
        <w:rPr>
          <w:rFonts w:ascii="宋体" w:hAnsi="宋体" w:eastAsia="宋体" w:cs="宋体"/>
          <w:spacing w:val="12"/>
          <w:sz w:val="23"/>
          <w:szCs w:val="23"/>
        </w:rPr>
        <w:t>个</w:t>
      </w:r>
      <w:r>
        <w:rPr>
          <w:rFonts w:ascii="宋体" w:hAnsi="宋体" w:eastAsia="宋体" w:cs="宋体"/>
          <w:spacing w:val="11"/>
          <w:sz w:val="23"/>
          <w:szCs w:val="23"/>
        </w:rPr>
        <w:t>排气筒 (</w:t>
      </w:r>
      <w:r>
        <w:rPr>
          <w:rFonts w:ascii="Times New Roman" w:hAnsi="Times New Roman" w:eastAsia="Times New Roman" w:cs="Times New Roman"/>
          <w:spacing w:val="11"/>
          <w:sz w:val="23"/>
          <w:szCs w:val="23"/>
        </w:rPr>
        <w:t>1#</w:t>
      </w:r>
      <w:r>
        <w:rPr>
          <w:rFonts w:ascii="宋体" w:hAnsi="宋体" w:eastAsia="宋体" w:cs="宋体"/>
          <w:spacing w:val="11"/>
          <w:sz w:val="23"/>
          <w:szCs w:val="23"/>
        </w:rPr>
        <w:t>排气筒、</w:t>
      </w:r>
      <w:r>
        <w:rPr>
          <w:rFonts w:ascii="Times New Roman" w:hAnsi="Times New Roman" w:eastAsia="Times New Roman" w:cs="Times New Roman"/>
          <w:spacing w:val="11"/>
          <w:sz w:val="23"/>
          <w:szCs w:val="23"/>
        </w:rPr>
        <w:t>2#</w:t>
      </w:r>
      <w:r>
        <w:rPr>
          <w:rFonts w:ascii="宋体" w:hAnsi="宋体" w:eastAsia="宋体" w:cs="宋体"/>
          <w:spacing w:val="11"/>
          <w:sz w:val="23"/>
          <w:szCs w:val="23"/>
        </w:rPr>
        <w:t>排气筒) 。</w:t>
      </w:r>
      <w:r>
        <w:rPr>
          <w:rFonts w:ascii="Times New Roman" w:hAnsi="Times New Roman" w:eastAsia="Times New Roman" w:cs="Times New Roman"/>
          <w:sz w:val="23"/>
          <w:szCs w:val="23"/>
        </w:rPr>
        <w:t>UV</w:t>
      </w:r>
      <w:r>
        <w:rPr>
          <w:rFonts w:ascii="Times New Roman" w:hAnsi="Times New Roman" w:eastAsia="Times New Roman" w:cs="Times New Roman"/>
          <w:spacing w:val="11"/>
          <w:sz w:val="23"/>
          <w:szCs w:val="23"/>
        </w:rPr>
        <w:t xml:space="preserve"> </w:t>
      </w:r>
      <w:r>
        <w:rPr>
          <w:rFonts w:ascii="宋体" w:hAnsi="宋体" w:eastAsia="宋体" w:cs="宋体"/>
          <w:spacing w:val="11"/>
          <w:sz w:val="23"/>
          <w:szCs w:val="23"/>
        </w:rPr>
        <w:t>光氧催化废气处理装置</w:t>
      </w:r>
      <w:r>
        <w:rPr>
          <w:rFonts w:ascii="Times New Roman" w:hAnsi="Times New Roman" w:eastAsia="Times New Roman" w:cs="Times New Roman"/>
          <w:spacing w:val="11"/>
          <w:sz w:val="23"/>
          <w:szCs w:val="23"/>
        </w:rPr>
        <w:t>+</w:t>
      </w:r>
      <w:r>
        <w:rPr>
          <w:rFonts w:ascii="宋体" w:hAnsi="宋体" w:eastAsia="宋体" w:cs="宋体"/>
          <w:spacing w:val="11"/>
          <w:sz w:val="23"/>
          <w:szCs w:val="23"/>
        </w:rPr>
        <w:t>活性炭吸附装</w:t>
      </w:r>
      <w:r>
        <w:rPr>
          <w:rFonts w:ascii="宋体" w:hAnsi="宋体" w:eastAsia="宋体" w:cs="宋体"/>
          <w:sz w:val="23"/>
          <w:szCs w:val="23"/>
        </w:rPr>
        <w:t xml:space="preserve"> </w:t>
      </w:r>
      <w:r>
        <w:rPr>
          <w:rFonts w:ascii="宋体" w:hAnsi="宋体" w:eastAsia="宋体" w:cs="宋体"/>
          <w:spacing w:val="8"/>
          <w:sz w:val="23"/>
          <w:szCs w:val="23"/>
        </w:rPr>
        <w:t>置对非甲烷总</w:t>
      </w:r>
      <w:r>
        <w:rPr>
          <w:rFonts w:ascii="宋体" w:hAnsi="宋体" w:eastAsia="宋体" w:cs="宋体"/>
          <w:spacing w:val="4"/>
          <w:sz w:val="23"/>
          <w:szCs w:val="23"/>
        </w:rPr>
        <w:t xml:space="preserve">烃的处理效率为 </w:t>
      </w:r>
      <w:r>
        <w:rPr>
          <w:rFonts w:ascii="Times New Roman" w:hAnsi="Times New Roman" w:eastAsia="Times New Roman" w:cs="Times New Roman"/>
          <w:spacing w:val="4"/>
          <w:sz w:val="23"/>
          <w:szCs w:val="23"/>
        </w:rPr>
        <w:t>85%</w:t>
      </w:r>
      <w:r>
        <w:rPr>
          <w:rFonts w:ascii="宋体" w:hAnsi="宋体" w:eastAsia="宋体" w:cs="宋体"/>
          <w:spacing w:val="4"/>
          <w:sz w:val="23"/>
          <w:szCs w:val="23"/>
        </w:rPr>
        <w:t>，废气处理后，颗粒物和非甲烷总烃排放浓度</w:t>
      </w:r>
    </w:p>
    <w:p w14:paraId="6F0F967F">
      <w:pPr>
        <w:sectPr>
          <w:footerReference r:id="rId268" w:type="default"/>
          <w:pgSz w:w="11906" w:h="16839"/>
          <w:pgMar w:top="1132" w:right="1719" w:bottom="1182" w:left="1785" w:header="878" w:footer="1022" w:gutter="0"/>
          <w:cols w:space="720" w:num="1"/>
        </w:sectPr>
      </w:pPr>
    </w:p>
    <w:p w14:paraId="3DBA44A5">
      <w:pPr>
        <w:spacing w:line="409" w:lineRule="auto"/>
        <w:rPr>
          <w:rFonts w:ascii="Arial"/>
          <w:sz w:val="21"/>
        </w:rPr>
      </w:pPr>
      <w:r>
        <w:pict>
          <v:shape id="_x0000_s1302" o:spid="_x0000_s1302" style="position:absolute;left:0pt;margin-left:90pt;margin-top:57.35pt;height:0.75pt;width:415.3pt;mso-position-horizontal-relative:page;mso-position-vertical-relative:page;z-index:251955200;mso-width-relative:page;mso-height-relative:page;" fillcolor="#000000" filled="t" stroked="f" coordsize="8305,15" o:allowincell="f" path="m0,0l8305,0,8305,14,0,14,0,0xe">
            <v:path/>
            <v:fill on="t" focussize="0,0"/>
            <v:stroke on="f"/>
            <v:imagedata o:title=""/>
            <o:lock v:ext="edit"/>
          </v:shape>
        </w:pict>
      </w:r>
    </w:p>
    <w:p w14:paraId="70708EBC">
      <w:pPr>
        <w:spacing w:before="74" w:line="227" w:lineRule="auto"/>
        <w:ind w:left="24"/>
        <w:rPr>
          <w:rFonts w:ascii="宋体" w:hAnsi="宋体" w:eastAsia="宋体" w:cs="宋体"/>
          <w:sz w:val="23"/>
          <w:szCs w:val="23"/>
        </w:rPr>
      </w:pPr>
      <w:r>
        <w:rPr>
          <w:rFonts w:ascii="宋体" w:hAnsi="宋体" w:eastAsia="宋体" w:cs="宋体"/>
          <w:spacing w:val="6"/>
          <w:sz w:val="23"/>
          <w:szCs w:val="23"/>
        </w:rPr>
        <w:t>均</w:t>
      </w:r>
      <w:r>
        <w:rPr>
          <w:rFonts w:ascii="宋体" w:hAnsi="宋体" w:eastAsia="宋体" w:cs="宋体"/>
          <w:spacing w:val="5"/>
          <w:sz w:val="23"/>
          <w:szCs w:val="23"/>
        </w:rPr>
        <w:t>满足《合成树脂工业污染物排放标准》  (</w:t>
      </w:r>
      <w:r>
        <w:rPr>
          <w:rFonts w:ascii="Times New Roman" w:hAnsi="Times New Roman" w:eastAsia="Times New Roman" w:cs="Times New Roman"/>
          <w:sz w:val="23"/>
          <w:szCs w:val="23"/>
        </w:rPr>
        <w:t>GB</w:t>
      </w:r>
      <w:r>
        <w:rPr>
          <w:rFonts w:ascii="Times New Roman" w:hAnsi="Times New Roman" w:eastAsia="Times New Roman" w:cs="Times New Roman"/>
          <w:spacing w:val="5"/>
          <w:sz w:val="23"/>
          <w:szCs w:val="23"/>
        </w:rPr>
        <w:t>31572-2015</w:t>
      </w:r>
      <w:r>
        <w:rPr>
          <w:rFonts w:ascii="宋体" w:hAnsi="宋体" w:eastAsia="宋体" w:cs="宋体"/>
          <w:spacing w:val="5"/>
          <w:sz w:val="23"/>
          <w:szCs w:val="23"/>
        </w:rPr>
        <w:t>) 相关标准的要求。</w:t>
      </w:r>
    </w:p>
    <w:p w14:paraId="073565FF">
      <w:pPr>
        <w:spacing w:line="276" w:lineRule="auto"/>
        <w:rPr>
          <w:rFonts w:ascii="Arial"/>
          <w:sz w:val="21"/>
        </w:rPr>
      </w:pPr>
    </w:p>
    <w:p w14:paraId="51CCE197">
      <w:pPr>
        <w:spacing w:before="75" w:line="228" w:lineRule="auto"/>
        <w:ind w:left="514"/>
        <w:rPr>
          <w:rFonts w:ascii="宋体" w:hAnsi="宋体" w:eastAsia="宋体" w:cs="宋体"/>
          <w:sz w:val="23"/>
          <w:szCs w:val="23"/>
        </w:rPr>
      </w:pPr>
      <w:r>
        <w:rPr>
          <w:rFonts w:ascii="宋体" w:hAnsi="宋体" w:eastAsia="宋体" w:cs="宋体"/>
          <w:spacing w:val="19"/>
          <w:sz w:val="23"/>
          <w:szCs w:val="23"/>
        </w:rPr>
        <w:t>(</w:t>
      </w:r>
      <w:r>
        <w:rPr>
          <w:rFonts w:ascii="Times New Roman" w:hAnsi="Times New Roman" w:eastAsia="Times New Roman" w:cs="Times New Roman"/>
          <w:spacing w:val="15"/>
          <w:sz w:val="23"/>
          <w:szCs w:val="23"/>
        </w:rPr>
        <w:t>2</w:t>
      </w:r>
      <w:r>
        <w:rPr>
          <w:rFonts w:ascii="宋体" w:hAnsi="宋体" w:eastAsia="宋体" w:cs="宋体"/>
          <w:spacing w:val="15"/>
          <w:sz w:val="23"/>
          <w:szCs w:val="23"/>
        </w:rPr>
        <w:t>) 热风炉烟气污染防治措施</w:t>
      </w:r>
    </w:p>
    <w:p w14:paraId="51EBC5CB">
      <w:pPr>
        <w:spacing w:line="282" w:lineRule="auto"/>
        <w:rPr>
          <w:rFonts w:ascii="Arial"/>
          <w:sz w:val="21"/>
        </w:rPr>
      </w:pPr>
    </w:p>
    <w:p w14:paraId="5A0D56A9">
      <w:pPr>
        <w:spacing w:before="74" w:line="392" w:lineRule="auto"/>
        <w:ind w:left="22" w:right="11" w:firstLine="484"/>
        <w:rPr>
          <w:rFonts w:ascii="宋体" w:hAnsi="宋体" w:eastAsia="宋体" w:cs="宋体"/>
          <w:sz w:val="23"/>
          <w:szCs w:val="23"/>
        </w:rPr>
      </w:pPr>
      <w:r>
        <w:rPr>
          <w:rFonts w:ascii="宋体" w:hAnsi="宋体" w:eastAsia="宋体" w:cs="宋体"/>
          <w:spacing w:val="10"/>
          <w:sz w:val="23"/>
          <w:szCs w:val="23"/>
        </w:rPr>
        <w:t>该项目洗字</w:t>
      </w:r>
      <w:r>
        <w:rPr>
          <w:rFonts w:ascii="宋体" w:hAnsi="宋体" w:eastAsia="宋体" w:cs="宋体"/>
          <w:spacing w:val="5"/>
          <w:sz w:val="23"/>
          <w:szCs w:val="23"/>
        </w:rPr>
        <w:t xml:space="preserve">工序设有 </w:t>
      </w:r>
      <w:r>
        <w:rPr>
          <w:rFonts w:ascii="Times New Roman" w:hAnsi="Times New Roman" w:eastAsia="Times New Roman" w:cs="Times New Roman"/>
          <w:spacing w:val="5"/>
          <w:sz w:val="23"/>
          <w:szCs w:val="23"/>
        </w:rPr>
        <w:t xml:space="preserve">1 </w:t>
      </w:r>
      <w:r>
        <w:rPr>
          <w:rFonts w:ascii="宋体" w:hAnsi="宋体" w:eastAsia="宋体" w:cs="宋体"/>
          <w:spacing w:val="5"/>
          <w:sz w:val="23"/>
          <w:szCs w:val="23"/>
        </w:rPr>
        <w:t xml:space="preserve">个容积为 </w:t>
      </w:r>
      <w:r>
        <w:rPr>
          <w:rFonts w:ascii="Times New Roman" w:hAnsi="Times New Roman" w:eastAsia="Times New Roman" w:cs="Times New Roman"/>
          <w:spacing w:val="5"/>
          <w:sz w:val="23"/>
          <w:szCs w:val="23"/>
        </w:rPr>
        <w:t>6</w:t>
      </w:r>
      <w:r>
        <w:rPr>
          <w:rFonts w:ascii="Times New Roman" w:hAnsi="Times New Roman" w:eastAsia="Times New Roman" w:cs="Times New Roman"/>
          <w:sz w:val="23"/>
          <w:szCs w:val="23"/>
        </w:rPr>
        <w:t>m</w:t>
      </w:r>
      <w:r>
        <w:rPr>
          <w:rFonts w:ascii="Times New Roman" w:hAnsi="Times New Roman" w:eastAsia="Times New Roman" w:cs="Times New Roman"/>
          <w:spacing w:val="5"/>
          <w:position w:val="7"/>
          <w:sz w:val="15"/>
          <w:szCs w:val="15"/>
        </w:rPr>
        <w:t xml:space="preserve">3 </w:t>
      </w:r>
      <w:r>
        <w:rPr>
          <w:rFonts w:ascii="宋体" w:hAnsi="宋体" w:eastAsia="宋体" w:cs="宋体"/>
          <w:spacing w:val="5"/>
          <w:sz w:val="23"/>
          <w:szCs w:val="23"/>
        </w:rPr>
        <w:t>的洗字槽 (</w:t>
      </w:r>
      <w:r>
        <w:rPr>
          <w:rFonts w:ascii="Times New Roman" w:hAnsi="Times New Roman" w:eastAsia="Times New Roman" w:cs="Times New Roman"/>
          <w:spacing w:val="5"/>
          <w:sz w:val="23"/>
          <w:szCs w:val="23"/>
        </w:rPr>
        <w:t>2.5</w:t>
      </w:r>
      <w:r>
        <w:rPr>
          <w:rFonts w:ascii="Times New Roman" w:hAnsi="Times New Roman" w:eastAsia="Times New Roman" w:cs="Times New Roman"/>
          <w:sz w:val="23"/>
          <w:szCs w:val="23"/>
        </w:rPr>
        <w:t>m</w:t>
      </w:r>
      <w:r>
        <w:rPr>
          <w:rFonts w:ascii="Times New Roman" w:hAnsi="Times New Roman" w:eastAsia="Times New Roman" w:cs="Times New Roman"/>
          <w:spacing w:val="5"/>
          <w:sz w:val="23"/>
          <w:szCs w:val="23"/>
        </w:rPr>
        <w:t>×1.2</w:t>
      </w:r>
      <w:r>
        <w:rPr>
          <w:rFonts w:ascii="Times New Roman" w:hAnsi="Times New Roman" w:eastAsia="Times New Roman" w:cs="Times New Roman"/>
          <w:sz w:val="23"/>
          <w:szCs w:val="23"/>
        </w:rPr>
        <w:t>m</w:t>
      </w:r>
      <w:r>
        <w:rPr>
          <w:rFonts w:ascii="Times New Roman" w:hAnsi="Times New Roman" w:eastAsia="Times New Roman" w:cs="Times New Roman"/>
          <w:spacing w:val="5"/>
          <w:sz w:val="23"/>
          <w:szCs w:val="23"/>
        </w:rPr>
        <w:t>×2</w:t>
      </w:r>
      <w:r>
        <w:rPr>
          <w:rFonts w:ascii="Times New Roman" w:hAnsi="Times New Roman" w:eastAsia="Times New Roman" w:cs="Times New Roman"/>
          <w:sz w:val="23"/>
          <w:szCs w:val="23"/>
        </w:rPr>
        <w:t>m</w:t>
      </w:r>
      <w:r>
        <w:rPr>
          <w:rFonts w:ascii="宋体" w:hAnsi="宋体" w:eastAsia="宋体" w:cs="宋体"/>
          <w:spacing w:val="5"/>
          <w:sz w:val="23"/>
          <w:szCs w:val="23"/>
        </w:rPr>
        <w:t>) ，配套设</w:t>
      </w:r>
      <w:r>
        <w:rPr>
          <w:rFonts w:ascii="宋体" w:hAnsi="宋体" w:eastAsia="宋体" w:cs="宋体"/>
          <w:sz w:val="23"/>
          <w:szCs w:val="23"/>
        </w:rPr>
        <w:t xml:space="preserve"> </w:t>
      </w:r>
      <w:r>
        <w:rPr>
          <w:rFonts w:ascii="宋体" w:hAnsi="宋体" w:eastAsia="宋体" w:cs="宋体"/>
          <w:spacing w:val="12"/>
          <w:sz w:val="23"/>
          <w:szCs w:val="23"/>
        </w:rPr>
        <w:t xml:space="preserve">有 </w:t>
      </w:r>
      <w:r>
        <w:rPr>
          <w:rFonts w:ascii="Times New Roman" w:hAnsi="Times New Roman" w:eastAsia="Times New Roman" w:cs="Times New Roman"/>
          <w:spacing w:val="8"/>
          <w:sz w:val="23"/>
          <w:szCs w:val="23"/>
        </w:rPr>
        <w:t>1</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 xml:space="preserve">台 </w:t>
      </w:r>
      <w:r>
        <w:rPr>
          <w:rFonts w:ascii="Times New Roman" w:hAnsi="Times New Roman" w:eastAsia="Times New Roman" w:cs="Times New Roman"/>
          <w:spacing w:val="6"/>
          <w:sz w:val="23"/>
          <w:szCs w:val="23"/>
        </w:rPr>
        <w:t>2</w:t>
      </w:r>
      <w:r>
        <w:rPr>
          <w:rFonts w:ascii="Times New Roman" w:hAnsi="Times New Roman" w:eastAsia="Times New Roman" w:cs="Times New Roman"/>
          <w:sz w:val="23"/>
          <w:szCs w:val="23"/>
        </w:rPr>
        <w:t>t</w:t>
      </w:r>
      <w:r>
        <w:rPr>
          <w:rFonts w:ascii="Times New Roman" w:hAnsi="Times New Roman" w:eastAsia="Times New Roman" w:cs="Times New Roman"/>
          <w:spacing w:val="6"/>
          <w:sz w:val="23"/>
          <w:szCs w:val="23"/>
        </w:rPr>
        <w:t>/</w:t>
      </w:r>
      <w:r>
        <w:rPr>
          <w:rFonts w:ascii="Times New Roman" w:hAnsi="Times New Roman" w:eastAsia="Times New Roman" w:cs="Times New Roman"/>
          <w:sz w:val="23"/>
          <w:szCs w:val="23"/>
        </w:rPr>
        <w:t>h</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的热风炉，用于加热洗字槽内的洗字用水，燃烧燃料为</w:t>
      </w:r>
      <w:r>
        <w:rPr>
          <w:rFonts w:ascii="Times New Roman" w:hAnsi="Times New Roman" w:eastAsia="Times New Roman" w:cs="Times New Roman"/>
          <w:spacing w:val="6"/>
          <w:sz w:val="23"/>
          <w:szCs w:val="23"/>
        </w:rPr>
        <w:t>“</w:t>
      </w:r>
      <w:r>
        <w:rPr>
          <w:rFonts w:ascii="宋体" w:hAnsi="宋体" w:eastAsia="宋体" w:cs="宋体"/>
          <w:spacing w:val="6"/>
          <w:sz w:val="23"/>
          <w:szCs w:val="23"/>
        </w:rPr>
        <w:t>国家能源局</w:t>
      </w:r>
      <w:r>
        <w:rPr>
          <w:rFonts w:ascii="宋体" w:hAnsi="宋体" w:eastAsia="宋体" w:cs="宋体"/>
          <w:sz w:val="23"/>
          <w:szCs w:val="23"/>
        </w:rPr>
        <w:t xml:space="preserve"> </w:t>
      </w:r>
      <w:r>
        <w:rPr>
          <w:rFonts w:ascii="宋体" w:hAnsi="宋体" w:eastAsia="宋体" w:cs="宋体"/>
          <w:spacing w:val="12"/>
          <w:sz w:val="23"/>
          <w:szCs w:val="23"/>
        </w:rPr>
        <w:t>及环境保</w:t>
      </w:r>
      <w:r>
        <w:rPr>
          <w:rFonts w:ascii="宋体" w:hAnsi="宋体" w:eastAsia="宋体" w:cs="宋体"/>
          <w:spacing w:val="6"/>
          <w:sz w:val="23"/>
          <w:szCs w:val="23"/>
        </w:rPr>
        <w:t>护部文件 (国能新能</w:t>
      </w:r>
      <w:r>
        <w:rPr>
          <w:rFonts w:ascii="Times New Roman" w:hAnsi="Times New Roman" w:eastAsia="Times New Roman" w:cs="Times New Roman"/>
          <w:spacing w:val="6"/>
          <w:sz w:val="23"/>
          <w:szCs w:val="23"/>
        </w:rPr>
        <w:t xml:space="preserve">[2014]520 </w:t>
      </w:r>
      <w:r>
        <w:rPr>
          <w:rFonts w:ascii="宋体" w:hAnsi="宋体" w:eastAsia="宋体" w:cs="宋体"/>
          <w:spacing w:val="6"/>
          <w:sz w:val="23"/>
          <w:szCs w:val="23"/>
        </w:rPr>
        <w:t xml:space="preserve">号) </w:t>
      </w:r>
      <w:r>
        <w:rPr>
          <w:rFonts w:ascii="Times New Roman" w:hAnsi="Times New Roman" w:eastAsia="Times New Roman" w:cs="Times New Roman"/>
          <w:spacing w:val="6"/>
          <w:sz w:val="23"/>
          <w:szCs w:val="23"/>
        </w:rPr>
        <w:t>”</w:t>
      </w:r>
      <w:r>
        <w:rPr>
          <w:rFonts w:ascii="宋体" w:hAnsi="宋体" w:eastAsia="宋体" w:cs="宋体"/>
          <w:spacing w:val="6"/>
          <w:sz w:val="23"/>
          <w:szCs w:val="23"/>
        </w:rPr>
        <w:t>文件中推荐的生物质成型燃料。新</w:t>
      </w:r>
      <w:r>
        <w:rPr>
          <w:rFonts w:ascii="宋体" w:hAnsi="宋体" w:eastAsia="宋体" w:cs="宋体"/>
          <w:sz w:val="23"/>
          <w:szCs w:val="23"/>
        </w:rPr>
        <w:t xml:space="preserve"> </w:t>
      </w:r>
      <w:r>
        <w:rPr>
          <w:rFonts w:ascii="宋体" w:hAnsi="宋体" w:eastAsia="宋体" w:cs="宋体"/>
          <w:spacing w:val="6"/>
          <w:sz w:val="23"/>
          <w:szCs w:val="23"/>
        </w:rPr>
        <w:t>建热风炉配</w:t>
      </w:r>
      <w:r>
        <w:rPr>
          <w:rFonts w:ascii="宋体" w:hAnsi="宋体" w:eastAsia="宋体" w:cs="宋体"/>
          <w:spacing w:val="3"/>
          <w:sz w:val="23"/>
          <w:szCs w:val="23"/>
        </w:rPr>
        <w:t xml:space="preserve">套设施有除尘器 </w:t>
      </w:r>
      <w:r>
        <w:rPr>
          <w:rFonts w:ascii="Times New Roman" w:hAnsi="Times New Roman" w:eastAsia="Times New Roman" w:cs="Times New Roman"/>
          <w:spacing w:val="3"/>
          <w:sz w:val="23"/>
          <w:szCs w:val="23"/>
        </w:rPr>
        <w:t xml:space="preserve">1 </w:t>
      </w:r>
      <w:r>
        <w:rPr>
          <w:rFonts w:ascii="宋体" w:hAnsi="宋体" w:eastAsia="宋体" w:cs="宋体"/>
          <w:spacing w:val="3"/>
          <w:sz w:val="23"/>
          <w:szCs w:val="23"/>
        </w:rPr>
        <w:t xml:space="preserve">套、风机 </w:t>
      </w:r>
      <w:r>
        <w:rPr>
          <w:rFonts w:ascii="Times New Roman" w:hAnsi="Times New Roman" w:eastAsia="Times New Roman" w:cs="Times New Roman"/>
          <w:spacing w:val="3"/>
          <w:sz w:val="23"/>
          <w:szCs w:val="23"/>
        </w:rPr>
        <w:t xml:space="preserve">1 </w:t>
      </w:r>
      <w:r>
        <w:rPr>
          <w:rFonts w:ascii="宋体" w:hAnsi="宋体" w:eastAsia="宋体" w:cs="宋体"/>
          <w:spacing w:val="3"/>
          <w:sz w:val="23"/>
          <w:szCs w:val="23"/>
        </w:rPr>
        <w:t>台等。热风炉配备布袋除尘器，除尘效</w:t>
      </w:r>
      <w:r>
        <w:rPr>
          <w:rFonts w:ascii="宋体" w:hAnsi="宋体" w:eastAsia="宋体" w:cs="宋体"/>
          <w:sz w:val="23"/>
          <w:szCs w:val="23"/>
        </w:rPr>
        <w:t xml:space="preserve"> </w:t>
      </w:r>
      <w:r>
        <w:rPr>
          <w:rFonts w:ascii="宋体" w:hAnsi="宋体" w:eastAsia="宋体" w:cs="宋体"/>
          <w:spacing w:val="10"/>
          <w:sz w:val="23"/>
          <w:szCs w:val="23"/>
        </w:rPr>
        <w:t>率大</w:t>
      </w:r>
      <w:r>
        <w:rPr>
          <w:rFonts w:ascii="宋体" w:hAnsi="宋体" w:eastAsia="宋体" w:cs="宋体"/>
          <w:spacing w:val="7"/>
          <w:sz w:val="23"/>
          <w:szCs w:val="23"/>
        </w:rPr>
        <w:t>于</w:t>
      </w:r>
      <w:r>
        <w:rPr>
          <w:rFonts w:ascii="宋体" w:hAnsi="宋体" w:eastAsia="宋体" w:cs="宋体"/>
          <w:spacing w:val="5"/>
          <w:sz w:val="23"/>
          <w:szCs w:val="23"/>
        </w:rPr>
        <w:t xml:space="preserve"> </w:t>
      </w:r>
      <w:r>
        <w:rPr>
          <w:rFonts w:ascii="Times New Roman" w:hAnsi="Times New Roman" w:eastAsia="Times New Roman" w:cs="Times New Roman"/>
          <w:spacing w:val="5"/>
          <w:sz w:val="23"/>
          <w:szCs w:val="23"/>
        </w:rPr>
        <w:t xml:space="preserve">99% </w:t>
      </w:r>
      <w:r>
        <w:rPr>
          <w:rFonts w:ascii="宋体" w:hAnsi="宋体" w:eastAsia="宋体" w:cs="宋体"/>
          <w:spacing w:val="5"/>
          <w:sz w:val="23"/>
          <w:szCs w:val="23"/>
        </w:rPr>
        <w:t>，排气筒 (</w:t>
      </w:r>
      <w:r>
        <w:rPr>
          <w:rFonts w:ascii="Times New Roman" w:hAnsi="Times New Roman" w:eastAsia="Times New Roman" w:cs="Times New Roman"/>
          <w:spacing w:val="5"/>
          <w:sz w:val="23"/>
          <w:szCs w:val="23"/>
        </w:rPr>
        <w:t>3#</w:t>
      </w:r>
      <w:r>
        <w:rPr>
          <w:rFonts w:ascii="宋体" w:hAnsi="宋体" w:eastAsia="宋体" w:cs="宋体"/>
          <w:spacing w:val="5"/>
          <w:sz w:val="23"/>
          <w:szCs w:val="23"/>
        </w:rPr>
        <w:t xml:space="preserve">) 高度为 </w:t>
      </w:r>
      <w:r>
        <w:rPr>
          <w:rFonts w:ascii="Times New Roman" w:hAnsi="Times New Roman" w:eastAsia="Times New Roman" w:cs="Times New Roman"/>
          <w:spacing w:val="5"/>
          <w:sz w:val="23"/>
          <w:szCs w:val="23"/>
        </w:rPr>
        <w:t>30</w:t>
      </w:r>
      <w:r>
        <w:rPr>
          <w:rFonts w:ascii="Times New Roman" w:hAnsi="Times New Roman" w:eastAsia="Times New Roman" w:cs="Times New Roman"/>
          <w:sz w:val="23"/>
          <w:szCs w:val="23"/>
        </w:rPr>
        <w:t>m</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rPr>
        <w:t>。根据前文分析，热风炉废气排放浓度</w:t>
      </w:r>
      <w:r>
        <w:rPr>
          <w:rFonts w:ascii="宋体" w:hAnsi="宋体" w:eastAsia="宋体" w:cs="宋体"/>
          <w:sz w:val="23"/>
          <w:szCs w:val="23"/>
        </w:rPr>
        <w:t xml:space="preserve"> </w:t>
      </w:r>
      <w:r>
        <w:rPr>
          <w:rFonts w:ascii="宋体" w:hAnsi="宋体" w:eastAsia="宋体" w:cs="宋体"/>
          <w:spacing w:val="10"/>
          <w:sz w:val="23"/>
          <w:szCs w:val="23"/>
        </w:rPr>
        <w:t>可以满足《锅</w:t>
      </w:r>
      <w:r>
        <w:rPr>
          <w:rFonts w:ascii="宋体" w:hAnsi="宋体" w:eastAsia="宋体" w:cs="宋体"/>
          <w:spacing w:val="9"/>
          <w:sz w:val="23"/>
          <w:szCs w:val="23"/>
        </w:rPr>
        <w:t>炉</w:t>
      </w:r>
      <w:r>
        <w:rPr>
          <w:rFonts w:ascii="宋体" w:hAnsi="宋体" w:eastAsia="宋体" w:cs="宋体"/>
          <w:spacing w:val="5"/>
          <w:sz w:val="23"/>
          <w:szCs w:val="23"/>
        </w:rPr>
        <w:t>大气污染物排放标准》  (</w:t>
      </w:r>
      <w:r>
        <w:rPr>
          <w:rFonts w:ascii="Times New Roman" w:hAnsi="Times New Roman" w:eastAsia="Times New Roman" w:cs="Times New Roman"/>
          <w:sz w:val="23"/>
          <w:szCs w:val="23"/>
        </w:rPr>
        <w:t>GB</w:t>
      </w:r>
      <w:r>
        <w:rPr>
          <w:rFonts w:ascii="Times New Roman" w:hAnsi="Times New Roman" w:eastAsia="Times New Roman" w:cs="Times New Roman"/>
          <w:spacing w:val="5"/>
          <w:sz w:val="23"/>
          <w:szCs w:val="23"/>
        </w:rPr>
        <w:t>13271-2014</w:t>
      </w:r>
      <w:r>
        <w:rPr>
          <w:rFonts w:ascii="宋体" w:hAnsi="宋体" w:eastAsia="宋体" w:cs="宋体"/>
          <w:spacing w:val="5"/>
          <w:sz w:val="23"/>
          <w:szCs w:val="23"/>
        </w:rPr>
        <w:t xml:space="preserve">) 表 </w:t>
      </w:r>
      <w:r>
        <w:rPr>
          <w:rFonts w:ascii="Times New Roman" w:hAnsi="Times New Roman" w:eastAsia="Times New Roman" w:cs="Times New Roman"/>
          <w:spacing w:val="5"/>
          <w:sz w:val="23"/>
          <w:szCs w:val="23"/>
        </w:rPr>
        <w:t xml:space="preserve">3 </w:t>
      </w:r>
      <w:r>
        <w:rPr>
          <w:rFonts w:ascii="宋体" w:hAnsi="宋体" w:eastAsia="宋体" w:cs="宋体"/>
          <w:spacing w:val="5"/>
          <w:sz w:val="23"/>
          <w:szCs w:val="23"/>
        </w:rPr>
        <w:t>标准要求 (颗粒</w:t>
      </w:r>
      <w:r>
        <w:rPr>
          <w:rFonts w:ascii="宋体" w:hAnsi="宋体" w:eastAsia="宋体" w:cs="宋体"/>
          <w:sz w:val="23"/>
          <w:szCs w:val="23"/>
        </w:rPr>
        <w:t xml:space="preserve"> </w:t>
      </w:r>
      <w:r>
        <w:rPr>
          <w:rFonts w:ascii="宋体" w:hAnsi="宋体" w:eastAsia="宋体" w:cs="宋体"/>
          <w:spacing w:val="6"/>
          <w:sz w:val="23"/>
          <w:szCs w:val="23"/>
        </w:rPr>
        <w:t>物：</w:t>
      </w:r>
      <w:r>
        <w:rPr>
          <w:rFonts w:ascii="Times New Roman" w:hAnsi="Times New Roman" w:eastAsia="Times New Roman" w:cs="Times New Roman"/>
          <w:spacing w:val="6"/>
          <w:sz w:val="23"/>
          <w:szCs w:val="23"/>
        </w:rPr>
        <w:t>30</w:t>
      </w:r>
      <w:r>
        <w:rPr>
          <w:rFonts w:ascii="Times New Roman" w:hAnsi="Times New Roman" w:eastAsia="Times New Roman" w:cs="Times New Roman"/>
          <w:sz w:val="23"/>
          <w:szCs w:val="23"/>
        </w:rPr>
        <w:t>mg</w:t>
      </w:r>
      <w:r>
        <w:rPr>
          <w:rFonts w:ascii="Times New Roman" w:hAnsi="Times New Roman" w:eastAsia="Times New Roman" w:cs="Times New Roman"/>
          <w:spacing w:val="6"/>
          <w:sz w:val="23"/>
          <w:szCs w:val="23"/>
        </w:rPr>
        <w:t>/</w:t>
      </w:r>
      <w:r>
        <w:rPr>
          <w:rFonts w:ascii="Times New Roman" w:hAnsi="Times New Roman" w:eastAsia="Times New Roman" w:cs="Times New Roman"/>
          <w:sz w:val="23"/>
          <w:szCs w:val="23"/>
        </w:rPr>
        <w:t>m</w:t>
      </w:r>
      <w:r>
        <w:rPr>
          <w:rFonts w:ascii="Times New Roman" w:hAnsi="Times New Roman" w:eastAsia="Times New Roman" w:cs="Times New Roman"/>
          <w:spacing w:val="6"/>
          <w:position w:val="7"/>
          <w:sz w:val="15"/>
          <w:szCs w:val="15"/>
        </w:rPr>
        <w:t xml:space="preserve">3 </w:t>
      </w:r>
      <w:r>
        <w:rPr>
          <w:rFonts w:ascii="宋体" w:hAnsi="宋体" w:eastAsia="宋体" w:cs="宋体"/>
          <w:spacing w:val="6"/>
          <w:sz w:val="23"/>
          <w:szCs w:val="23"/>
        </w:rPr>
        <w:t>，氮氧化物：</w:t>
      </w:r>
      <w:r>
        <w:rPr>
          <w:rFonts w:ascii="Times New Roman" w:hAnsi="Times New Roman" w:eastAsia="Times New Roman" w:cs="Times New Roman"/>
          <w:spacing w:val="6"/>
          <w:sz w:val="23"/>
          <w:szCs w:val="23"/>
        </w:rPr>
        <w:t>200</w:t>
      </w:r>
      <w:r>
        <w:rPr>
          <w:rFonts w:ascii="Times New Roman" w:hAnsi="Times New Roman" w:eastAsia="Times New Roman" w:cs="Times New Roman"/>
          <w:sz w:val="23"/>
          <w:szCs w:val="23"/>
        </w:rPr>
        <w:t>mg</w:t>
      </w:r>
      <w:r>
        <w:rPr>
          <w:rFonts w:ascii="Times New Roman" w:hAnsi="Times New Roman" w:eastAsia="Times New Roman" w:cs="Times New Roman"/>
          <w:spacing w:val="6"/>
          <w:sz w:val="23"/>
          <w:szCs w:val="23"/>
        </w:rPr>
        <w:t>/</w:t>
      </w:r>
      <w:r>
        <w:rPr>
          <w:rFonts w:ascii="Times New Roman" w:hAnsi="Times New Roman" w:eastAsia="Times New Roman" w:cs="Times New Roman"/>
          <w:sz w:val="23"/>
          <w:szCs w:val="23"/>
        </w:rPr>
        <w:t>m</w:t>
      </w:r>
      <w:r>
        <w:rPr>
          <w:rFonts w:ascii="Times New Roman" w:hAnsi="Times New Roman" w:eastAsia="Times New Roman" w:cs="Times New Roman"/>
          <w:spacing w:val="6"/>
          <w:position w:val="7"/>
          <w:sz w:val="15"/>
          <w:szCs w:val="15"/>
        </w:rPr>
        <w:t xml:space="preserve">3 </w:t>
      </w:r>
      <w:r>
        <w:rPr>
          <w:rFonts w:ascii="宋体" w:hAnsi="宋体" w:eastAsia="宋体" w:cs="宋体"/>
          <w:spacing w:val="6"/>
          <w:sz w:val="23"/>
          <w:szCs w:val="23"/>
        </w:rPr>
        <w:t>，</w:t>
      </w:r>
      <w:r>
        <w:rPr>
          <w:rFonts w:ascii="Times New Roman" w:hAnsi="Times New Roman" w:eastAsia="Times New Roman" w:cs="Times New Roman"/>
          <w:sz w:val="23"/>
          <w:szCs w:val="23"/>
        </w:rPr>
        <w:t>SO</w:t>
      </w:r>
      <w:r>
        <w:rPr>
          <w:rFonts w:ascii="Times New Roman" w:hAnsi="Times New Roman" w:eastAsia="Times New Roman" w:cs="Times New Roman"/>
          <w:spacing w:val="6"/>
          <w:position w:val="-1"/>
          <w:sz w:val="15"/>
          <w:szCs w:val="15"/>
        </w:rPr>
        <w:t xml:space="preserve">2 </w:t>
      </w:r>
      <w:r>
        <w:rPr>
          <w:rFonts w:ascii="宋体" w:hAnsi="宋体" w:eastAsia="宋体" w:cs="宋体"/>
          <w:spacing w:val="6"/>
          <w:sz w:val="23"/>
          <w:szCs w:val="23"/>
        </w:rPr>
        <w:t>：</w:t>
      </w:r>
      <w:r>
        <w:rPr>
          <w:rFonts w:ascii="Times New Roman" w:hAnsi="Times New Roman" w:eastAsia="Times New Roman" w:cs="Times New Roman"/>
          <w:spacing w:val="6"/>
          <w:sz w:val="23"/>
          <w:szCs w:val="23"/>
        </w:rPr>
        <w:t>200</w:t>
      </w:r>
      <w:r>
        <w:rPr>
          <w:rFonts w:ascii="Times New Roman" w:hAnsi="Times New Roman" w:eastAsia="Times New Roman" w:cs="Times New Roman"/>
          <w:sz w:val="23"/>
          <w:szCs w:val="23"/>
        </w:rPr>
        <w:t>mg</w:t>
      </w:r>
      <w:r>
        <w:rPr>
          <w:rFonts w:ascii="Times New Roman" w:hAnsi="Times New Roman" w:eastAsia="Times New Roman" w:cs="Times New Roman"/>
          <w:spacing w:val="6"/>
          <w:sz w:val="23"/>
          <w:szCs w:val="23"/>
        </w:rPr>
        <w:t>/</w:t>
      </w:r>
      <w:r>
        <w:rPr>
          <w:rFonts w:ascii="Times New Roman" w:hAnsi="Times New Roman" w:eastAsia="Times New Roman" w:cs="Times New Roman"/>
          <w:sz w:val="23"/>
          <w:szCs w:val="23"/>
        </w:rPr>
        <w:t>m</w:t>
      </w:r>
      <w:r>
        <w:rPr>
          <w:rFonts w:ascii="Times New Roman" w:hAnsi="Times New Roman" w:eastAsia="Times New Roman" w:cs="Times New Roman"/>
          <w:spacing w:val="6"/>
          <w:position w:val="7"/>
          <w:sz w:val="15"/>
          <w:szCs w:val="15"/>
        </w:rPr>
        <w:t xml:space="preserve">3 </w:t>
      </w:r>
      <w:r>
        <w:rPr>
          <w:rFonts w:ascii="宋体" w:hAnsi="宋体" w:eastAsia="宋体" w:cs="宋体"/>
          <w:spacing w:val="6"/>
          <w:sz w:val="23"/>
          <w:szCs w:val="23"/>
        </w:rPr>
        <w:t>) ，对环境影响较小</w:t>
      </w:r>
      <w:r>
        <w:rPr>
          <w:rFonts w:ascii="宋体" w:hAnsi="宋体" w:eastAsia="宋体" w:cs="宋体"/>
          <w:spacing w:val="2"/>
          <w:sz w:val="23"/>
          <w:szCs w:val="23"/>
        </w:rPr>
        <w:t>。</w:t>
      </w:r>
    </w:p>
    <w:p w14:paraId="5C13C1CA">
      <w:pPr>
        <w:spacing w:before="161" w:line="388" w:lineRule="auto"/>
        <w:ind w:left="23" w:right="13" w:firstLine="480"/>
        <w:rPr>
          <w:rFonts w:ascii="宋体" w:hAnsi="宋体" w:eastAsia="宋体" w:cs="宋体"/>
          <w:sz w:val="23"/>
          <w:szCs w:val="23"/>
        </w:rPr>
      </w:pPr>
      <w:r>
        <w:rPr>
          <w:rFonts w:ascii="宋体" w:hAnsi="宋体" w:eastAsia="宋体" w:cs="宋体"/>
          <w:spacing w:val="7"/>
          <w:sz w:val="23"/>
          <w:szCs w:val="23"/>
        </w:rPr>
        <w:t>布袋除尘器是一种利用滤袋进行过滤除尘的除尘设备，其工作机理为空气</w:t>
      </w:r>
      <w:r>
        <w:rPr>
          <w:rFonts w:ascii="宋体" w:hAnsi="宋体" w:eastAsia="宋体" w:cs="宋体"/>
          <w:spacing w:val="3"/>
          <w:sz w:val="23"/>
          <w:szCs w:val="23"/>
        </w:rPr>
        <w:t>过</w:t>
      </w:r>
      <w:r>
        <w:rPr>
          <w:rFonts w:ascii="宋体" w:hAnsi="宋体" w:eastAsia="宋体" w:cs="宋体"/>
          <w:sz w:val="23"/>
          <w:szCs w:val="23"/>
        </w:rPr>
        <w:t xml:space="preserve"> </w:t>
      </w:r>
      <w:r>
        <w:rPr>
          <w:rFonts w:ascii="宋体" w:hAnsi="宋体" w:eastAsia="宋体" w:cs="宋体"/>
          <w:spacing w:val="9"/>
          <w:sz w:val="23"/>
          <w:szCs w:val="23"/>
        </w:rPr>
        <w:t>滤</w:t>
      </w:r>
      <w:r>
        <w:rPr>
          <w:rFonts w:ascii="宋体" w:hAnsi="宋体" w:eastAsia="宋体" w:cs="宋体"/>
          <w:spacing w:val="7"/>
          <w:sz w:val="23"/>
          <w:szCs w:val="23"/>
        </w:rPr>
        <w:t>理论，即含尘气体通过一定孔径大小的滤料，颗粒物被阻挡收集，净化后的气</w:t>
      </w:r>
      <w:r>
        <w:rPr>
          <w:rFonts w:ascii="宋体" w:hAnsi="宋体" w:eastAsia="宋体" w:cs="宋体"/>
          <w:sz w:val="23"/>
          <w:szCs w:val="23"/>
        </w:rPr>
        <w:t xml:space="preserve"> </w:t>
      </w:r>
      <w:r>
        <w:rPr>
          <w:rFonts w:ascii="宋体" w:hAnsi="宋体" w:eastAsia="宋体" w:cs="宋体"/>
          <w:spacing w:val="9"/>
          <w:sz w:val="23"/>
          <w:szCs w:val="23"/>
        </w:rPr>
        <w:t>体</w:t>
      </w:r>
      <w:r>
        <w:rPr>
          <w:rFonts w:ascii="宋体" w:hAnsi="宋体" w:eastAsia="宋体" w:cs="宋体"/>
          <w:spacing w:val="7"/>
          <w:sz w:val="23"/>
          <w:szCs w:val="23"/>
        </w:rPr>
        <w:t>排入大气。一般地，布袋除尘器的除尘效率很高，适应力强，能处理不同类型</w:t>
      </w:r>
      <w:r>
        <w:rPr>
          <w:rFonts w:ascii="宋体" w:hAnsi="宋体" w:eastAsia="宋体" w:cs="宋体"/>
          <w:sz w:val="23"/>
          <w:szCs w:val="23"/>
        </w:rPr>
        <w:t xml:space="preserve"> </w:t>
      </w:r>
      <w:r>
        <w:rPr>
          <w:rFonts w:ascii="宋体" w:hAnsi="宋体" w:eastAsia="宋体" w:cs="宋体"/>
          <w:spacing w:val="9"/>
          <w:sz w:val="23"/>
          <w:szCs w:val="23"/>
        </w:rPr>
        <w:t>的</w:t>
      </w:r>
      <w:r>
        <w:rPr>
          <w:rFonts w:ascii="宋体" w:hAnsi="宋体" w:eastAsia="宋体" w:cs="宋体"/>
          <w:spacing w:val="7"/>
          <w:sz w:val="23"/>
          <w:szCs w:val="23"/>
        </w:rPr>
        <w:t>颗粒物，适应的质量浓度范围大，对烟气流速的变化也具有一定的稳定性，结</w:t>
      </w:r>
      <w:r>
        <w:rPr>
          <w:rFonts w:ascii="宋体" w:hAnsi="宋体" w:eastAsia="宋体" w:cs="宋体"/>
          <w:sz w:val="23"/>
          <w:szCs w:val="23"/>
        </w:rPr>
        <w:t xml:space="preserve"> </w:t>
      </w:r>
      <w:r>
        <w:rPr>
          <w:rFonts w:ascii="宋体" w:hAnsi="宋体" w:eastAsia="宋体" w:cs="宋体"/>
          <w:spacing w:val="12"/>
          <w:sz w:val="23"/>
          <w:szCs w:val="23"/>
        </w:rPr>
        <w:t>构</w:t>
      </w:r>
      <w:r>
        <w:rPr>
          <w:rFonts w:ascii="宋体" w:hAnsi="宋体" w:eastAsia="宋体" w:cs="宋体"/>
          <w:spacing w:val="8"/>
          <w:sz w:val="23"/>
          <w:szCs w:val="23"/>
        </w:rPr>
        <w:t>简单，内部无复杂结构。</w:t>
      </w:r>
    </w:p>
    <w:p w14:paraId="2E1DEB7D">
      <w:pPr>
        <w:spacing w:before="102" w:line="221" w:lineRule="auto"/>
        <w:ind w:left="24"/>
        <w:outlineLvl w:val="3"/>
        <w:rPr>
          <w:rFonts w:ascii="宋体" w:hAnsi="宋体" w:eastAsia="宋体" w:cs="宋体"/>
          <w:sz w:val="28"/>
          <w:szCs w:val="28"/>
        </w:rPr>
      </w:pPr>
      <w:r>
        <w:rPr>
          <w:rFonts w:ascii="Times New Roman" w:hAnsi="Times New Roman" w:eastAsia="Times New Roman" w:cs="Times New Roman"/>
          <w:b/>
          <w:bCs/>
          <w:spacing w:val="16"/>
          <w:sz w:val="28"/>
          <w:szCs w:val="28"/>
        </w:rPr>
        <w:t>6</w:t>
      </w:r>
      <w:r>
        <w:rPr>
          <w:rFonts w:ascii="Times New Roman" w:hAnsi="Times New Roman" w:eastAsia="Times New Roman" w:cs="Times New Roman"/>
          <w:b/>
          <w:bCs/>
          <w:spacing w:val="15"/>
          <w:sz w:val="28"/>
          <w:szCs w:val="28"/>
        </w:rPr>
        <w:t>.</w:t>
      </w:r>
      <w:r>
        <w:rPr>
          <w:rFonts w:ascii="Times New Roman" w:hAnsi="Times New Roman" w:eastAsia="Times New Roman" w:cs="Times New Roman"/>
          <w:b/>
          <w:bCs/>
          <w:spacing w:val="8"/>
          <w:sz w:val="28"/>
          <w:szCs w:val="28"/>
        </w:rPr>
        <w:t>2.2.2</w:t>
      </w:r>
      <w:r>
        <w:rPr>
          <w:rFonts w:ascii="Times New Roman" w:hAnsi="Times New Roman" w:eastAsia="Times New Roman" w:cs="Times New Roman"/>
          <w:spacing w:val="8"/>
          <w:sz w:val="28"/>
          <w:szCs w:val="28"/>
        </w:rPr>
        <w:t xml:space="preserve">  </w:t>
      </w:r>
      <w:r>
        <w:rPr>
          <w:rFonts w:ascii="宋体" w:hAnsi="宋体" w:eastAsia="宋体" w:cs="宋体"/>
          <w:spacing w:val="8"/>
          <w:sz w:val="28"/>
          <w:szCs w:val="28"/>
          <w14:textOutline w14:w="5103" w14:cap="sq" w14:cmpd="sng">
            <w14:solidFill>
              <w14:srgbClr w14:val="000000"/>
            </w14:solidFill>
            <w14:prstDash w14:val="solid"/>
            <w14:bevel/>
          </w14:textOutline>
        </w:rPr>
        <w:t>无组织废气污染防治措施</w:t>
      </w:r>
    </w:p>
    <w:p w14:paraId="67A75DA4">
      <w:pPr>
        <w:spacing w:line="261" w:lineRule="auto"/>
        <w:rPr>
          <w:rFonts w:ascii="Arial"/>
          <w:sz w:val="21"/>
        </w:rPr>
      </w:pPr>
    </w:p>
    <w:p w14:paraId="6CD50714">
      <w:pPr>
        <w:spacing w:before="76" w:line="390" w:lineRule="auto"/>
        <w:ind w:left="22" w:right="13" w:firstLine="484"/>
        <w:rPr>
          <w:rFonts w:ascii="宋体" w:hAnsi="宋体" w:eastAsia="宋体" w:cs="宋体"/>
          <w:sz w:val="23"/>
          <w:szCs w:val="23"/>
        </w:rPr>
      </w:pPr>
      <w:r>
        <w:rPr>
          <w:rFonts w:ascii="宋体" w:hAnsi="宋体" w:eastAsia="宋体" w:cs="宋体"/>
          <w:spacing w:val="19"/>
          <w:sz w:val="23"/>
          <w:szCs w:val="23"/>
        </w:rPr>
        <w:t>项</w:t>
      </w:r>
      <w:r>
        <w:rPr>
          <w:rFonts w:ascii="宋体" w:hAnsi="宋体" w:eastAsia="宋体" w:cs="宋体"/>
          <w:spacing w:val="14"/>
          <w:sz w:val="23"/>
          <w:szCs w:val="23"/>
        </w:rPr>
        <w:t>目无组织废气主要是生产过程中未被集气罩收集到而逸散到空气中的有</w:t>
      </w:r>
      <w:r>
        <w:rPr>
          <w:rFonts w:ascii="宋体" w:hAnsi="宋体" w:eastAsia="宋体" w:cs="宋体"/>
          <w:sz w:val="23"/>
          <w:szCs w:val="23"/>
        </w:rPr>
        <w:t xml:space="preserve"> </w:t>
      </w:r>
      <w:r>
        <w:rPr>
          <w:rFonts w:ascii="宋体" w:hAnsi="宋体" w:eastAsia="宋体" w:cs="宋体"/>
          <w:spacing w:val="9"/>
          <w:sz w:val="23"/>
          <w:szCs w:val="23"/>
        </w:rPr>
        <w:t>机</w:t>
      </w:r>
      <w:r>
        <w:rPr>
          <w:rFonts w:ascii="宋体" w:hAnsi="宋体" w:eastAsia="宋体" w:cs="宋体"/>
          <w:spacing w:val="7"/>
          <w:sz w:val="23"/>
          <w:szCs w:val="23"/>
        </w:rPr>
        <w:t>废气和颗粒物，废气以无组织的形式扩散到周围大气中。为了确保无组织废气</w:t>
      </w:r>
      <w:r>
        <w:rPr>
          <w:rFonts w:ascii="宋体" w:hAnsi="宋体" w:eastAsia="宋体" w:cs="宋体"/>
          <w:sz w:val="23"/>
          <w:szCs w:val="23"/>
        </w:rPr>
        <w:t xml:space="preserve"> </w:t>
      </w:r>
      <w:r>
        <w:rPr>
          <w:rFonts w:ascii="宋体" w:hAnsi="宋体" w:eastAsia="宋体" w:cs="宋体"/>
          <w:spacing w:val="9"/>
          <w:sz w:val="23"/>
          <w:szCs w:val="23"/>
        </w:rPr>
        <w:t>排放量达到最少，本项目拟采取以下措施：</w:t>
      </w:r>
    </w:p>
    <w:p w14:paraId="7D6C39A5">
      <w:pPr>
        <w:spacing w:before="137" w:line="227" w:lineRule="auto"/>
        <w:ind w:left="514"/>
        <w:rPr>
          <w:rFonts w:ascii="宋体" w:hAnsi="宋体" w:eastAsia="宋体" w:cs="宋体"/>
          <w:sz w:val="23"/>
          <w:szCs w:val="23"/>
        </w:rPr>
      </w:pPr>
      <w:r>
        <w:rPr>
          <w:rFonts w:ascii="宋体" w:hAnsi="宋体" w:eastAsia="宋体" w:cs="宋体"/>
          <w:spacing w:val="13"/>
          <w:sz w:val="23"/>
          <w:szCs w:val="23"/>
        </w:rPr>
        <w:t>(</w:t>
      </w:r>
      <w:r>
        <w:rPr>
          <w:rFonts w:ascii="Times New Roman" w:hAnsi="Times New Roman" w:eastAsia="Times New Roman" w:cs="Times New Roman"/>
          <w:spacing w:val="12"/>
          <w:sz w:val="23"/>
          <w:szCs w:val="23"/>
        </w:rPr>
        <w:t>1</w:t>
      </w:r>
      <w:r>
        <w:rPr>
          <w:rFonts w:ascii="宋体" w:hAnsi="宋体" w:eastAsia="宋体" w:cs="宋体"/>
          <w:spacing w:val="12"/>
          <w:sz w:val="23"/>
          <w:szCs w:val="23"/>
        </w:rPr>
        <w:t>) 设备上方集气罩安装的位置，应考虑能最大效率的收集产生的废气；</w:t>
      </w:r>
    </w:p>
    <w:p w14:paraId="40C5A89A">
      <w:pPr>
        <w:spacing w:line="276" w:lineRule="auto"/>
        <w:rPr>
          <w:rFonts w:ascii="Arial"/>
          <w:sz w:val="21"/>
        </w:rPr>
      </w:pPr>
    </w:p>
    <w:p w14:paraId="05EA3C1F">
      <w:pPr>
        <w:spacing w:before="75" w:line="227" w:lineRule="auto"/>
        <w:ind w:left="514"/>
        <w:rPr>
          <w:rFonts w:ascii="宋体" w:hAnsi="宋体" w:eastAsia="宋体" w:cs="宋体"/>
          <w:sz w:val="23"/>
          <w:szCs w:val="23"/>
        </w:rPr>
      </w:pPr>
      <w:r>
        <w:rPr>
          <w:rFonts w:ascii="宋体" w:hAnsi="宋体" w:eastAsia="宋体" w:cs="宋体"/>
          <w:spacing w:val="24"/>
          <w:sz w:val="23"/>
          <w:szCs w:val="23"/>
        </w:rPr>
        <w:t>(</w:t>
      </w:r>
      <w:r>
        <w:rPr>
          <w:rFonts w:ascii="Times New Roman" w:hAnsi="Times New Roman" w:eastAsia="Times New Roman" w:cs="Times New Roman"/>
          <w:spacing w:val="17"/>
          <w:sz w:val="23"/>
          <w:szCs w:val="23"/>
        </w:rPr>
        <w:t>2</w:t>
      </w:r>
      <w:r>
        <w:rPr>
          <w:rFonts w:ascii="宋体" w:hAnsi="宋体" w:eastAsia="宋体" w:cs="宋体"/>
          <w:spacing w:val="12"/>
          <w:sz w:val="23"/>
          <w:szCs w:val="23"/>
        </w:rPr>
        <w:t>) 对废气收集设备、管道等定期检查、检修，以保证其收集效率</w:t>
      </w:r>
    </w:p>
    <w:p w14:paraId="1D63B40B">
      <w:pPr>
        <w:spacing w:line="276" w:lineRule="auto"/>
        <w:rPr>
          <w:rFonts w:ascii="Arial"/>
          <w:sz w:val="21"/>
        </w:rPr>
      </w:pPr>
    </w:p>
    <w:p w14:paraId="53B652C7">
      <w:pPr>
        <w:spacing w:before="76" w:line="227" w:lineRule="auto"/>
        <w:ind w:left="514"/>
        <w:rPr>
          <w:rFonts w:ascii="宋体" w:hAnsi="宋体" w:eastAsia="宋体" w:cs="宋体"/>
          <w:sz w:val="23"/>
          <w:szCs w:val="23"/>
        </w:rPr>
      </w:pPr>
      <w:r>
        <w:rPr>
          <w:rFonts w:ascii="宋体" w:hAnsi="宋体" w:eastAsia="宋体" w:cs="宋体"/>
          <w:spacing w:val="24"/>
          <w:sz w:val="23"/>
          <w:szCs w:val="23"/>
        </w:rPr>
        <w:t>(</w:t>
      </w:r>
      <w:r>
        <w:rPr>
          <w:rFonts w:ascii="Times New Roman" w:hAnsi="Times New Roman" w:eastAsia="Times New Roman" w:cs="Times New Roman"/>
          <w:spacing w:val="15"/>
          <w:sz w:val="23"/>
          <w:szCs w:val="23"/>
        </w:rPr>
        <w:t>3</w:t>
      </w:r>
      <w:r>
        <w:rPr>
          <w:rFonts w:ascii="宋体" w:hAnsi="宋体" w:eastAsia="宋体" w:cs="宋体"/>
          <w:spacing w:val="12"/>
          <w:sz w:val="23"/>
          <w:szCs w:val="23"/>
        </w:rPr>
        <w:t>) 加强车间通风，所有操作严格按照既定的规程进行。</w:t>
      </w:r>
    </w:p>
    <w:p w14:paraId="35A30D50">
      <w:pPr>
        <w:spacing w:line="277" w:lineRule="auto"/>
        <w:rPr>
          <w:rFonts w:ascii="Arial"/>
          <w:sz w:val="21"/>
        </w:rPr>
      </w:pPr>
    </w:p>
    <w:p w14:paraId="4CE1C361">
      <w:pPr>
        <w:spacing w:before="75" w:line="393" w:lineRule="auto"/>
        <w:ind w:left="23" w:right="13" w:firstLine="480"/>
        <w:rPr>
          <w:rFonts w:ascii="宋体" w:hAnsi="宋体" w:eastAsia="宋体" w:cs="宋体"/>
          <w:sz w:val="23"/>
          <w:szCs w:val="23"/>
        </w:rPr>
      </w:pPr>
      <w:r>
        <w:rPr>
          <w:rFonts w:ascii="宋体" w:hAnsi="宋体" w:eastAsia="宋体" w:cs="宋体"/>
          <w:spacing w:val="7"/>
          <w:sz w:val="23"/>
          <w:szCs w:val="23"/>
        </w:rPr>
        <w:t>通过上述措施，本项目的无组织排放的污染物将得到有效控制，对当地大</w:t>
      </w:r>
      <w:r>
        <w:rPr>
          <w:rFonts w:ascii="宋体" w:hAnsi="宋体" w:eastAsia="宋体" w:cs="宋体"/>
          <w:spacing w:val="3"/>
          <w:sz w:val="23"/>
          <w:szCs w:val="23"/>
        </w:rPr>
        <w:t>气</w:t>
      </w:r>
      <w:r>
        <w:rPr>
          <w:rFonts w:ascii="宋体" w:hAnsi="宋体" w:eastAsia="宋体" w:cs="宋体"/>
          <w:sz w:val="23"/>
          <w:szCs w:val="23"/>
        </w:rPr>
        <w:t xml:space="preserve"> </w:t>
      </w:r>
      <w:r>
        <w:rPr>
          <w:rFonts w:ascii="宋体" w:hAnsi="宋体" w:eastAsia="宋体" w:cs="宋体"/>
          <w:spacing w:val="8"/>
          <w:sz w:val="23"/>
          <w:szCs w:val="23"/>
        </w:rPr>
        <w:t>环</w:t>
      </w:r>
      <w:r>
        <w:rPr>
          <w:rFonts w:ascii="宋体" w:hAnsi="宋体" w:eastAsia="宋体" w:cs="宋体"/>
          <w:spacing w:val="7"/>
          <w:sz w:val="23"/>
          <w:szCs w:val="23"/>
        </w:rPr>
        <w:t>境影响较小。</w:t>
      </w:r>
    </w:p>
    <w:p w14:paraId="366A6274">
      <w:pPr>
        <w:spacing w:before="84" w:line="226" w:lineRule="auto"/>
        <w:ind w:left="25"/>
        <w:outlineLvl w:val="2"/>
        <w:rPr>
          <w:rFonts w:ascii="宋体" w:hAnsi="宋体" w:eastAsia="宋体" w:cs="宋体"/>
          <w:sz w:val="29"/>
          <w:szCs w:val="29"/>
        </w:rPr>
      </w:pPr>
      <w:r>
        <w:rPr>
          <w:rFonts w:ascii="Times New Roman" w:hAnsi="Times New Roman" w:eastAsia="Times New Roman" w:cs="Times New Roman"/>
          <w:b/>
          <w:bCs/>
          <w:spacing w:val="14"/>
          <w:sz w:val="29"/>
          <w:szCs w:val="29"/>
        </w:rPr>
        <w:t>6</w:t>
      </w:r>
      <w:r>
        <w:rPr>
          <w:rFonts w:ascii="Times New Roman" w:hAnsi="Times New Roman" w:eastAsia="Times New Roman" w:cs="Times New Roman"/>
          <w:b/>
          <w:bCs/>
          <w:spacing w:val="8"/>
          <w:sz w:val="29"/>
          <w:szCs w:val="29"/>
        </w:rPr>
        <w:t>.</w:t>
      </w:r>
      <w:r>
        <w:rPr>
          <w:rFonts w:ascii="Times New Roman" w:hAnsi="Times New Roman" w:eastAsia="Times New Roman" w:cs="Times New Roman"/>
          <w:b/>
          <w:bCs/>
          <w:spacing w:val="7"/>
          <w:sz w:val="29"/>
          <w:szCs w:val="29"/>
        </w:rPr>
        <w:t>2.2</w:t>
      </w:r>
      <w:r>
        <w:rPr>
          <w:rFonts w:ascii="Times New Roman" w:hAnsi="Times New Roman" w:eastAsia="Times New Roman" w:cs="Times New Roman"/>
          <w:spacing w:val="7"/>
          <w:sz w:val="29"/>
          <w:szCs w:val="29"/>
        </w:rPr>
        <w:t xml:space="preserve">  </w:t>
      </w:r>
      <w:r>
        <w:rPr>
          <w:rFonts w:ascii="宋体" w:hAnsi="宋体" w:eastAsia="宋体" w:cs="宋体"/>
          <w:spacing w:val="7"/>
          <w:sz w:val="29"/>
          <w:szCs w:val="29"/>
          <w14:textOutline w14:w="5448" w14:cap="sq" w14:cmpd="sng">
            <w14:solidFill>
              <w14:srgbClr w14:val="000000"/>
            </w14:solidFill>
            <w14:prstDash w14:val="solid"/>
            <w14:bevel/>
          </w14:textOutline>
        </w:rPr>
        <w:t>运营期废水污染防治措施</w:t>
      </w:r>
    </w:p>
    <w:p w14:paraId="65658359">
      <w:pPr>
        <w:spacing w:line="257" w:lineRule="auto"/>
        <w:rPr>
          <w:rFonts w:ascii="Arial"/>
          <w:sz w:val="21"/>
        </w:rPr>
      </w:pPr>
    </w:p>
    <w:p w14:paraId="1E43C1C5">
      <w:pPr>
        <w:spacing w:before="75" w:line="227" w:lineRule="auto"/>
        <w:ind w:left="503"/>
        <w:rPr>
          <w:rFonts w:ascii="宋体" w:hAnsi="宋体" w:eastAsia="宋体" w:cs="宋体"/>
          <w:sz w:val="23"/>
          <w:szCs w:val="23"/>
        </w:rPr>
      </w:pPr>
      <w:r>
        <w:rPr>
          <w:rFonts w:ascii="宋体" w:hAnsi="宋体" w:eastAsia="宋体" w:cs="宋体"/>
          <w:spacing w:val="7"/>
          <w:sz w:val="23"/>
          <w:szCs w:val="23"/>
        </w:rPr>
        <w:t>根据工程分析结果，该项目排水主要包括生活污水以及生产废水，其中生</w:t>
      </w:r>
      <w:r>
        <w:rPr>
          <w:rFonts w:ascii="宋体" w:hAnsi="宋体" w:eastAsia="宋体" w:cs="宋体"/>
          <w:spacing w:val="2"/>
          <w:sz w:val="23"/>
          <w:szCs w:val="23"/>
        </w:rPr>
        <w:t>产</w:t>
      </w:r>
    </w:p>
    <w:p w14:paraId="36936A99">
      <w:pPr>
        <w:sectPr>
          <w:headerReference r:id="rId269" w:type="default"/>
          <w:footerReference r:id="rId270" w:type="default"/>
          <w:pgSz w:w="11906" w:h="16839"/>
          <w:pgMar w:top="1132" w:right="1785" w:bottom="1182" w:left="1785" w:header="878" w:footer="1022" w:gutter="0"/>
          <w:cols w:space="720" w:num="1"/>
        </w:sectPr>
      </w:pPr>
    </w:p>
    <w:p w14:paraId="51740673">
      <w:pPr>
        <w:spacing w:line="407" w:lineRule="auto"/>
        <w:rPr>
          <w:rFonts w:ascii="Arial"/>
          <w:sz w:val="21"/>
        </w:rPr>
      </w:pPr>
      <w:r>
        <w:pict>
          <v:shape id="_x0000_s1303" o:spid="_x0000_s1303" style="position:absolute;left:0pt;margin-left:90pt;margin-top:57.35pt;height:0.75pt;width:415.3pt;mso-position-horizontal-relative:page;mso-position-vertical-relative:page;z-index:251956224;mso-width-relative:page;mso-height-relative:page;" fillcolor="#000000" filled="t" stroked="f" coordsize="8305,15" o:allowincell="f" path="m0,0l8305,0,8305,14,0,14,0,0xe">
            <v:path/>
            <v:fill on="t" focussize="0,0"/>
            <v:stroke on="f"/>
            <v:imagedata o:title=""/>
            <o:lock v:ext="edit"/>
          </v:shape>
        </w:pict>
      </w:r>
    </w:p>
    <w:p w14:paraId="0E1F2DA0">
      <w:pPr>
        <w:spacing w:before="75" w:line="397" w:lineRule="auto"/>
        <w:ind w:left="19" w:firstLine="3"/>
        <w:rPr>
          <w:rFonts w:ascii="宋体" w:hAnsi="宋体" w:eastAsia="宋体" w:cs="宋体"/>
          <w:sz w:val="23"/>
          <w:szCs w:val="23"/>
        </w:rPr>
      </w:pPr>
      <w:r>
        <w:rPr>
          <w:rFonts w:ascii="宋体" w:hAnsi="宋体" w:eastAsia="宋体" w:cs="宋体"/>
          <w:spacing w:val="9"/>
          <w:sz w:val="23"/>
          <w:szCs w:val="23"/>
        </w:rPr>
        <w:t>废</w:t>
      </w:r>
      <w:r>
        <w:rPr>
          <w:rFonts w:ascii="宋体" w:hAnsi="宋体" w:eastAsia="宋体" w:cs="宋体"/>
          <w:spacing w:val="7"/>
          <w:sz w:val="23"/>
          <w:szCs w:val="23"/>
        </w:rPr>
        <w:t>水主要包括破碎工序产生的废水，原料初洗工序、洗字工序、二次清洗工序产</w:t>
      </w:r>
      <w:r>
        <w:rPr>
          <w:rFonts w:ascii="宋体" w:hAnsi="宋体" w:eastAsia="宋体" w:cs="宋体"/>
          <w:sz w:val="23"/>
          <w:szCs w:val="23"/>
        </w:rPr>
        <w:t xml:space="preserve"> </w:t>
      </w:r>
      <w:r>
        <w:rPr>
          <w:rFonts w:ascii="宋体" w:hAnsi="宋体" w:eastAsia="宋体" w:cs="宋体"/>
          <w:spacing w:val="-5"/>
          <w:sz w:val="23"/>
          <w:szCs w:val="23"/>
        </w:rPr>
        <w:t>生</w:t>
      </w:r>
      <w:r>
        <w:rPr>
          <w:rFonts w:ascii="宋体" w:hAnsi="宋体" w:eastAsia="宋体" w:cs="宋体"/>
          <w:spacing w:val="-22"/>
          <w:sz w:val="23"/>
          <w:szCs w:val="23"/>
        </w:rPr>
        <w:t xml:space="preserve"> </w:t>
      </w:r>
      <w:r>
        <w:rPr>
          <w:rFonts w:ascii="宋体" w:hAnsi="宋体" w:eastAsia="宋体" w:cs="宋体"/>
          <w:spacing w:val="-5"/>
          <w:sz w:val="23"/>
          <w:szCs w:val="23"/>
        </w:rPr>
        <w:t>的</w:t>
      </w:r>
      <w:r>
        <w:rPr>
          <w:rFonts w:ascii="宋体" w:hAnsi="宋体" w:eastAsia="宋体" w:cs="宋体"/>
          <w:spacing w:val="-67"/>
          <w:sz w:val="23"/>
          <w:szCs w:val="23"/>
        </w:rPr>
        <w:t xml:space="preserve"> </w:t>
      </w:r>
      <w:r>
        <w:rPr>
          <w:rFonts w:ascii="宋体" w:hAnsi="宋体" w:eastAsia="宋体" w:cs="宋体"/>
          <w:spacing w:val="-5"/>
          <w:sz w:val="23"/>
          <w:szCs w:val="23"/>
        </w:rPr>
        <w:t>清</w:t>
      </w:r>
      <w:r>
        <w:rPr>
          <w:rFonts w:ascii="宋体" w:hAnsi="宋体" w:eastAsia="宋体" w:cs="宋体"/>
          <w:spacing w:val="-68"/>
          <w:sz w:val="23"/>
          <w:szCs w:val="23"/>
        </w:rPr>
        <w:t xml:space="preserve"> </w:t>
      </w:r>
      <w:r>
        <w:rPr>
          <w:rFonts w:ascii="宋体" w:hAnsi="宋体" w:eastAsia="宋体" w:cs="宋体"/>
          <w:spacing w:val="-5"/>
          <w:sz w:val="23"/>
          <w:szCs w:val="23"/>
        </w:rPr>
        <w:t>洗</w:t>
      </w:r>
      <w:r>
        <w:rPr>
          <w:rFonts w:ascii="宋体" w:hAnsi="宋体" w:eastAsia="宋体" w:cs="宋体"/>
          <w:spacing w:val="-69"/>
          <w:sz w:val="23"/>
          <w:szCs w:val="23"/>
        </w:rPr>
        <w:t xml:space="preserve"> </w:t>
      </w:r>
      <w:r>
        <w:rPr>
          <w:rFonts w:ascii="宋体" w:hAnsi="宋体" w:eastAsia="宋体" w:cs="宋体"/>
          <w:spacing w:val="-5"/>
          <w:sz w:val="23"/>
          <w:szCs w:val="23"/>
        </w:rPr>
        <w:t>废</w:t>
      </w:r>
      <w:r>
        <w:rPr>
          <w:rFonts w:ascii="宋体" w:hAnsi="宋体" w:eastAsia="宋体" w:cs="宋体"/>
          <w:spacing w:val="-66"/>
          <w:sz w:val="23"/>
          <w:szCs w:val="23"/>
        </w:rPr>
        <w:t xml:space="preserve"> </w:t>
      </w:r>
      <w:r>
        <w:rPr>
          <w:rFonts w:ascii="宋体" w:hAnsi="宋体" w:eastAsia="宋体" w:cs="宋体"/>
          <w:spacing w:val="-5"/>
          <w:sz w:val="23"/>
          <w:szCs w:val="23"/>
        </w:rPr>
        <w:t>水</w:t>
      </w:r>
      <w:r>
        <w:rPr>
          <w:rFonts w:ascii="宋体" w:hAnsi="宋体" w:eastAsia="宋体" w:cs="宋体"/>
          <w:spacing w:val="-51"/>
          <w:sz w:val="23"/>
          <w:szCs w:val="23"/>
        </w:rPr>
        <w:t xml:space="preserve"> </w:t>
      </w:r>
      <w:r>
        <w:rPr>
          <w:rFonts w:ascii="宋体" w:hAnsi="宋体" w:eastAsia="宋体" w:cs="宋体"/>
          <w:spacing w:val="-5"/>
          <w:sz w:val="23"/>
          <w:szCs w:val="23"/>
        </w:rPr>
        <w:t>、</w:t>
      </w:r>
      <w:r>
        <w:rPr>
          <w:rFonts w:ascii="宋体" w:hAnsi="宋体" w:eastAsia="宋体" w:cs="宋体"/>
          <w:spacing w:val="-59"/>
          <w:sz w:val="23"/>
          <w:szCs w:val="23"/>
        </w:rPr>
        <w:t xml:space="preserve"> </w:t>
      </w:r>
      <w:r>
        <w:rPr>
          <w:rFonts w:ascii="宋体" w:hAnsi="宋体" w:eastAsia="宋体" w:cs="宋体"/>
          <w:spacing w:val="-5"/>
          <w:sz w:val="23"/>
          <w:szCs w:val="23"/>
        </w:rPr>
        <w:t>脱</w:t>
      </w:r>
      <w:r>
        <w:rPr>
          <w:rFonts w:ascii="宋体" w:hAnsi="宋体" w:eastAsia="宋体" w:cs="宋体"/>
          <w:spacing w:val="-65"/>
          <w:sz w:val="23"/>
          <w:szCs w:val="23"/>
        </w:rPr>
        <w:t xml:space="preserve"> </w:t>
      </w:r>
      <w:r>
        <w:rPr>
          <w:rFonts w:ascii="宋体" w:hAnsi="宋体" w:eastAsia="宋体" w:cs="宋体"/>
          <w:spacing w:val="-5"/>
          <w:sz w:val="23"/>
          <w:szCs w:val="23"/>
        </w:rPr>
        <w:t>水</w:t>
      </w:r>
      <w:r>
        <w:rPr>
          <w:rFonts w:ascii="宋体" w:hAnsi="宋体" w:eastAsia="宋体" w:cs="宋体"/>
          <w:spacing w:val="-64"/>
          <w:sz w:val="23"/>
          <w:szCs w:val="23"/>
        </w:rPr>
        <w:t xml:space="preserve"> </w:t>
      </w:r>
      <w:r>
        <w:rPr>
          <w:rFonts w:ascii="宋体" w:hAnsi="宋体" w:eastAsia="宋体" w:cs="宋体"/>
          <w:spacing w:val="-5"/>
          <w:sz w:val="23"/>
          <w:szCs w:val="23"/>
        </w:rPr>
        <w:t>工</w:t>
      </w:r>
      <w:r>
        <w:rPr>
          <w:rFonts w:ascii="宋体" w:hAnsi="宋体" w:eastAsia="宋体" w:cs="宋体"/>
          <w:spacing w:val="-68"/>
          <w:sz w:val="23"/>
          <w:szCs w:val="23"/>
        </w:rPr>
        <w:t xml:space="preserve"> </w:t>
      </w:r>
      <w:r>
        <w:rPr>
          <w:rFonts w:ascii="宋体" w:hAnsi="宋体" w:eastAsia="宋体" w:cs="宋体"/>
          <w:spacing w:val="-5"/>
          <w:sz w:val="23"/>
          <w:szCs w:val="23"/>
        </w:rPr>
        <w:t>序</w:t>
      </w:r>
      <w:r>
        <w:rPr>
          <w:rFonts w:ascii="宋体" w:hAnsi="宋体" w:eastAsia="宋体" w:cs="宋体"/>
          <w:spacing w:val="-68"/>
          <w:sz w:val="23"/>
          <w:szCs w:val="23"/>
        </w:rPr>
        <w:t xml:space="preserve"> </w:t>
      </w:r>
      <w:r>
        <w:rPr>
          <w:rFonts w:ascii="宋体" w:hAnsi="宋体" w:eastAsia="宋体" w:cs="宋体"/>
          <w:spacing w:val="-5"/>
          <w:sz w:val="23"/>
          <w:szCs w:val="23"/>
        </w:rPr>
        <w:t>产</w:t>
      </w:r>
      <w:r>
        <w:rPr>
          <w:rFonts w:ascii="宋体" w:hAnsi="宋体" w:eastAsia="宋体" w:cs="宋体"/>
          <w:spacing w:val="-65"/>
          <w:sz w:val="23"/>
          <w:szCs w:val="23"/>
        </w:rPr>
        <w:t xml:space="preserve"> </w:t>
      </w:r>
      <w:r>
        <w:rPr>
          <w:rFonts w:ascii="宋体" w:hAnsi="宋体" w:eastAsia="宋体" w:cs="宋体"/>
          <w:spacing w:val="-5"/>
          <w:sz w:val="23"/>
          <w:szCs w:val="23"/>
        </w:rPr>
        <w:t>生</w:t>
      </w:r>
      <w:r>
        <w:rPr>
          <w:rFonts w:ascii="宋体" w:hAnsi="宋体" w:eastAsia="宋体" w:cs="宋体"/>
          <w:spacing w:val="-48"/>
          <w:sz w:val="23"/>
          <w:szCs w:val="23"/>
        </w:rPr>
        <w:t xml:space="preserve"> </w:t>
      </w:r>
      <w:r>
        <w:rPr>
          <w:rFonts w:ascii="宋体" w:hAnsi="宋体" w:eastAsia="宋体" w:cs="宋体"/>
          <w:spacing w:val="-5"/>
          <w:sz w:val="23"/>
          <w:szCs w:val="23"/>
        </w:rPr>
        <w:t>的</w:t>
      </w:r>
      <w:r>
        <w:rPr>
          <w:rFonts w:ascii="宋体" w:hAnsi="宋体" w:eastAsia="宋体" w:cs="宋体"/>
          <w:spacing w:val="-70"/>
          <w:sz w:val="23"/>
          <w:szCs w:val="23"/>
        </w:rPr>
        <w:t xml:space="preserve"> </w:t>
      </w:r>
      <w:r>
        <w:rPr>
          <w:rFonts w:ascii="宋体" w:hAnsi="宋体" w:eastAsia="宋体" w:cs="宋体"/>
          <w:spacing w:val="-5"/>
          <w:sz w:val="23"/>
          <w:szCs w:val="23"/>
        </w:rPr>
        <w:t>废</w:t>
      </w:r>
      <w:r>
        <w:rPr>
          <w:rFonts w:ascii="宋体" w:hAnsi="宋体" w:eastAsia="宋体" w:cs="宋体"/>
          <w:spacing w:val="-65"/>
          <w:sz w:val="23"/>
          <w:szCs w:val="23"/>
        </w:rPr>
        <w:t xml:space="preserve"> </w:t>
      </w:r>
      <w:r>
        <w:rPr>
          <w:rFonts w:ascii="宋体" w:hAnsi="宋体" w:eastAsia="宋体" w:cs="宋体"/>
          <w:spacing w:val="-5"/>
          <w:sz w:val="23"/>
          <w:szCs w:val="23"/>
        </w:rPr>
        <w:t>水</w:t>
      </w:r>
      <w:r>
        <w:rPr>
          <w:rFonts w:ascii="宋体" w:hAnsi="宋体" w:eastAsia="宋体" w:cs="宋体"/>
          <w:spacing w:val="-40"/>
          <w:sz w:val="23"/>
          <w:szCs w:val="23"/>
        </w:rPr>
        <w:t xml:space="preserve"> </w:t>
      </w:r>
      <w:r>
        <w:rPr>
          <w:rFonts w:ascii="宋体" w:hAnsi="宋体" w:eastAsia="宋体" w:cs="宋体"/>
          <w:spacing w:val="-5"/>
          <w:sz w:val="23"/>
          <w:szCs w:val="23"/>
        </w:rPr>
        <w:t>以</w:t>
      </w:r>
      <w:r>
        <w:rPr>
          <w:rFonts w:ascii="宋体" w:hAnsi="宋体" w:eastAsia="宋体" w:cs="宋体"/>
          <w:spacing w:val="-68"/>
          <w:sz w:val="23"/>
          <w:szCs w:val="23"/>
        </w:rPr>
        <w:t xml:space="preserve"> </w:t>
      </w:r>
      <w:r>
        <w:rPr>
          <w:rFonts w:ascii="宋体" w:hAnsi="宋体" w:eastAsia="宋体" w:cs="宋体"/>
          <w:spacing w:val="-5"/>
          <w:sz w:val="23"/>
          <w:szCs w:val="23"/>
        </w:rPr>
        <w:t>及</w:t>
      </w:r>
      <w:r>
        <w:rPr>
          <w:rFonts w:ascii="宋体" w:hAnsi="宋体" w:eastAsia="宋体" w:cs="宋体"/>
          <w:spacing w:val="-67"/>
          <w:sz w:val="23"/>
          <w:szCs w:val="23"/>
        </w:rPr>
        <w:t xml:space="preserve"> </w:t>
      </w:r>
      <w:r>
        <w:rPr>
          <w:rFonts w:ascii="宋体" w:hAnsi="宋体" w:eastAsia="宋体" w:cs="宋体"/>
          <w:spacing w:val="-5"/>
          <w:sz w:val="23"/>
          <w:szCs w:val="23"/>
        </w:rPr>
        <w:t>循</w:t>
      </w:r>
      <w:r>
        <w:rPr>
          <w:rFonts w:ascii="宋体" w:hAnsi="宋体" w:eastAsia="宋体" w:cs="宋体"/>
          <w:spacing w:val="-67"/>
          <w:sz w:val="23"/>
          <w:szCs w:val="23"/>
        </w:rPr>
        <w:t xml:space="preserve"> </w:t>
      </w:r>
      <w:r>
        <w:rPr>
          <w:rFonts w:ascii="宋体" w:hAnsi="宋体" w:eastAsia="宋体" w:cs="宋体"/>
          <w:spacing w:val="-5"/>
          <w:sz w:val="23"/>
          <w:szCs w:val="23"/>
        </w:rPr>
        <w:t>环</w:t>
      </w:r>
      <w:r>
        <w:rPr>
          <w:rFonts w:ascii="宋体" w:hAnsi="宋体" w:eastAsia="宋体" w:cs="宋体"/>
          <w:spacing w:val="-66"/>
          <w:sz w:val="23"/>
          <w:szCs w:val="23"/>
        </w:rPr>
        <w:t xml:space="preserve"> </w:t>
      </w:r>
      <w:r>
        <w:rPr>
          <w:rFonts w:ascii="宋体" w:hAnsi="宋体" w:eastAsia="宋体" w:cs="宋体"/>
          <w:spacing w:val="-5"/>
          <w:sz w:val="23"/>
          <w:szCs w:val="23"/>
        </w:rPr>
        <w:t>冷</w:t>
      </w:r>
      <w:r>
        <w:rPr>
          <w:rFonts w:ascii="宋体" w:hAnsi="宋体" w:eastAsia="宋体" w:cs="宋体"/>
          <w:spacing w:val="-62"/>
          <w:sz w:val="23"/>
          <w:szCs w:val="23"/>
        </w:rPr>
        <w:t xml:space="preserve"> </w:t>
      </w:r>
      <w:r>
        <w:rPr>
          <w:rFonts w:ascii="宋体" w:hAnsi="宋体" w:eastAsia="宋体" w:cs="宋体"/>
          <w:spacing w:val="-5"/>
          <w:sz w:val="23"/>
          <w:szCs w:val="23"/>
        </w:rPr>
        <w:t>却</w:t>
      </w:r>
      <w:r>
        <w:rPr>
          <w:rFonts w:ascii="宋体" w:hAnsi="宋体" w:eastAsia="宋体" w:cs="宋体"/>
          <w:spacing w:val="-68"/>
          <w:sz w:val="23"/>
          <w:szCs w:val="23"/>
        </w:rPr>
        <w:t xml:space="preserve"> </w:t>
      </w:r>
      <w:r>
        <w:rPr>
          <w:rFonts w:ascii="宋体" w:hAnsi="宋体" w:eastAsia="宋体" w:cs="宋体"/>
          <w:spacing w:val="-5"/>
          <w:sz w:val="23"/>
          <w:szCs w:val="23"/>
        </w:rPr>
        <w:t>废</w:t>
      </w:r>
      <w:r>
        <w:rPr>
          <w:rFonts w:ascii="宋体" w:hAnsi="宋体" w:eastAsia="宋体" w:cs="宋体"/>
          <w:spacing w:val="-67"/>
          <w:sz w:val="23"/>
          <w:szCs w:val="23"/>
        </w:rPr>
        <w:t xml:space="preserve"> </w:t>
      </w:r>
      <w:r>
        <w:rPr>
          <w:rFonts w:ascii="宋体" w:hAnsi="宋体" w:eastAsia="宋体" w:cs="宋体"/>
          <w:spacing w:val="-5"/>
          <w:sz w:val="23"/>
          <w:szCs w:val="23"/>
        </w:rPr>
        <w:t>水</w:t>
      </w:r>
      <w:r>
        <w:rPr>
          <w:rFonts w:ascii="宋体" w:hAnsi="宋体" w:eastAsia="宋体" w:cs="宋体"/>
          <w:spacing w:val="-48"/>
          <w:sz w:val="23"/>
          <w:szCs w:val="23"/>
        </w:rPr>
        <w:t xml:space="preserve"> </w:t>
      </w:r>
      <w:r>
        <w:rPr>
          <w:rFonts w:ascii="宋体" w:hAnsi="宋体" w:eastAsia="宋体" w:cs="宋体"/>
          <w:spacing w:val="-5"/>
          <w:sz w:val="23"/>
          <w:szCs w:val="23"/>
        </w:rPr>
        <w:t>，</w:t>
      </w:r>
      <w:r>
        <w:rPr>
          <w:rFonts w:ascii="宋体" w:hAnsi="宋体" w:eastAsia="宋体" w:cs="宋体"/>
          <w:spacing w:val="-53"/>
          <w:sz w:val="23"/>
          <w:szCs w:val="23"/>
        </w:rPr>
        <w:t xml:space="preserve"> </w:t>
      </w:r>
      <w:r>
        <w:rPr>
          <w:rFonts w:ascii="宋体" w:hAnsi="宋体" w:eastAsia="宋体" w:cs="宋体"/>
          <w:spacing w:val="-5"/>
          <w:sz w:val="23"/>
          <w:szCs w:val="23"/>
        </w:rPr>
        <w:t>总</w:t>
      </w:r>
      <w:r>
        <w:rPr>
          <w:rFonts w:ascii="宋体" w:hAnsi="宋体" w:eastAsia="宋体" w:cs="宋体"/>
          <w:spacing w:val="-67"/>
          <w:sz w:val="23"/>
          <w:szCs w:val="23"/>
        </w:rPr>
        <w:t xml:space="preserve"> </w:t>
      </w:r>
      <w:r>
        <w:rPr>
          <w:rFonts w:ascii="宋体" w:hAnsi="宋体" w:eastAsia="宋体" w:cs="宋体"/>
          <w:spacing w:val="-5"/>
          <w:sz w:val="23"/>
          <w:szCs w:val="23"/>
        </w:rPr>
        <w:t>排</w:t>
      </w:r>
      <w:r>
        <w:rPr>
          <w:rFonts w:ascii="宋体" w:hAnsi="宋体" w:eastAsia="宋体" w:cs="宋体"/>
          <w:spacing w:val="-65"/>
          <w:sz w:val="23"/>
          <w:szCs w:val="23"/>
        </w:rPr>
        <w:t xml:space="preserve"> </w:t>
      </w:r>
      <w:r>
        <w:rPr>
          <w:rFonts w:ascii="宋体" w:hAnsi="宋体" w:eastAsia="宋体" w:cs="宋体"/>
          <w:spacing w:val="-5"/>
          <w:sz w:val="23"/>
          <w:szCs w:val="23"/>
        </w:rPr>
        <w:t>水</w:t>
      </w:r>
      <w:r>
        <w:rPr>
          <w:rFonts w:ascii="宋体" w:hAnsi="宋体" w:eastAsia="宋体" w:cs="宋体"/>
          <w:spacing w:val="-67"/>
          <w:sz w:val="23"/>
          <w:szCs w:val="23"/>
        </w:rPr>
        <w:t xml:space="preserve"> </w:t>
      </w:r>
      <w:r>
        <w:rPr>
          <w:rFonts w:ascii="宋体" w:hAnsi="宋体" w:eastAsia="宋体" w:cs="宋体"/>
          <w:spacing w:val="-5"/>
          <w:sz w:val="23"/>
          <w:szCs w:val="23"/>
        </w:rPr>
        <w:t>量</w:t>
      </w:r>
      <w:r>
        <w:rPr>
          <w:rFonts w:ascii="宋体" w:hAnsi="宋体" w:eastAsia="宋体" w:cs="宋体"/>
          <w:spacing w:val="-67"/>
          <w:sz w:val="23"/>
          <w:szCs w:val="23"/>
        </w:rPr>
        <w:t xml:space="preserve"> </w:t>
      </w:r>
      <w:r>
        <w:rPr>
          <w:rFonts w:ascii="宋体" w:hAnsi="宋体" w:eastAsia="宋体" w:cs="宋体"/>
          <w:spacing w:val="-5"/>
          <w:sz w:val="23"/>
          <w:szCs w:val="23"/>
        </w:rPr>
        <w:t>为</w:t>
      </w:r>
      <w:r>
        <w:rPr>
          <w:rFonts w:ascii="宋体" w:hAnsi="宋体" w:eastAsia="宋体" w:cs="宋体"/>
          <w:sz w:val="23"/>
          <w:szCs w:val="23"/>
        </w:rPr>
        <w:t xml:space="preserve"> </w:t>
      </w:r>
      <w:r>
        <w:rPr>
          <w:rFonts w:ascii="Times New Roman" w:hAnsi="Times New Roman" w:eastAsia="Times New Roman" w:cs="Times New Roman"/>
          <w:spacing w:val="-1"/>
          <w:sz w:val="23"/>
          <w:szCs w:val="23"/>
        </w:rPr>
        <w:t>2483.52</w:t>
      </w:r>
      <w:r>
        <w:rPr>
          <w:rFonts w:ascii="Times New Roman" w:hAnsi="Times New Roman" w:eastAsia="Times New Roman" w:cs="Times New Roman"/>
          <w:sz w:val="23"/>
          <w:szCs w:val="23"/>
        </w:rPr>
        <w:t>m</w:t>
      </w:r>
      <w:r>
        <w:rPr>
          <w:rFonts w:ascii="Times New Roman" w:hAnsi="Times New Roman" w:eastAsia="Times New Roman" w:cs="Times New Roman"/>
          <w:spacing w:val="-1"/>
          <w:position w:val="8"/>
          <w:sz w:val="15"/>
          <w:szCs w:val="15"/>
        </w:rPr>
        <w:t>3</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a</w:t>
      </w:r>
      <w:r>
        <w:rPr>
          <w:rFonts w:ascii="宋体" w:hAnsi="宋体" w:eastAsia="宋体" w:cs="宋体"/>
          <w:sz w:val="23"/>
          <w:szCs w:val="23"/>
        </w:rPr>
        <w:t xml:space="preserve">。其中，生活污水排放量为 </w:t>
      </w:r>
      <w:r>
        <w:rPr>
          <w:rFonts w:ascii="Times New Roman" w:hAnsi="Times New Roman" w:eastAsia="Times New Roman" w:cs="Times New Roman"/>
          <w:sz w:val="23"/>
          <w:szCs w:val="23"/>
        </w:rPr>
        <w:t>960m</w:t>
      </w:r>
      <w:r>
        <w:rPr>
          <w:rFonts w:ascii="Times New Roman" w:hAnsi="Times New Roman" w:eastAsia="Times New Roman" w:cs="Times New Roman"/>
          <w:position w:val="8"/>
          <w:sz w:val="15"/>
          <w:szCs w:val="15"/>
        </w:rPr>
        <w:t>3</w:t>
      </w:r>
      <w:r>
        <w:rPr>
          <w:rFonts w:ascii="Times New Roman" w:hAnsi="Times New Roman" w:eastAsia="Times New Roman" w:cs="Times New Roman"/>
          <w:sz w:val="23"/>
          <w:szCs w:val="23"/>
        </w:rPr>
        <w:t>/a</w:t>
      </w:r>
      <w:r>
        <w:rPr>
          <w:rFonts w:ascii="宋体" w:hAnsi="宋体" w:eastAsia="宋体" w:cs="宋体"/>
          <w:sz w:val="23"/>
          <w:szCs w:val="23"/>
        </w:rPr>
        <w:t xml:space="preserve">；生产废水排放量为 </w:t>
      </w:r>
      <w:r>
        <w:rPr>
          <w:rFonts w:ascii="Times New Roman" w:hAnsi="Times New Roman" w:eastAsia="Times New Roman" w:cs="Times New Roman"/>
          <w:sz w:val="23"/>
          <w:szCs w:val="23"/>
        </w:rPr>
        <w:t>1523.52m</w:t>
      </w:r>
      <w:r>
        <w:rPr>
          <w:rFonts w:ascii="Times New Roman" w:hAnsi="Times New Roman" w:eastAsia="Times New Roman" w:cs="Times New Roman"/>
          <w:position w:val="8"/>
          <w:sz w:val="15"/>
          <w:szCs w:val="15"/>
        </w:rPr>
        <w:t>3</w:t>
      </w:r>
      <w:r>
        <w:rPr>
          <w:rFonts w:ascii="Times New Roman" w:hAnsi="Times New Roman" w:eastAsia="Times New Roman" w:cs="Times New Roman"/>
          <w:sz w:val="23"/>
          <w:szCs w:val="23"/>
        </w:rPr>
        <w:t>/a</w:t>
      </w:r>
      <w:r>
        <w:rPr>
          <w:rFonts w:ascii="宋体" w:hAnsi="宋体" w:eastAsia="宋体" w:cs="宋体"/>
          <w:sz w:val="23"/>
          <w:szCs w:val="23"/>
        </w:rPr>
        <w:t>。</w:t>
      </w:r>
    </w:p>
    <w:p w14:paraId="59B6A008">
      <w:pPr>
        <w:spacing w:before="111" w:line="388" w:lineRule="auto"/>
        <w:ind w:left="22" w:right="14" w:firstLine="484"/>
        <w:rPr>
          <w:rFonts w:ascii="宋体" w:hAnsi="宋体" w:eastAsia="宋体" w:cs="宋体"/>
          <w:sz w:val="23"/>
          <w:szCs w:val="23"/>
        </w:rPr>
      </w:pPr>
      <w:r>
        <w:rPr>
          <w:rFonts w:ascii="宋体" w:hAnsi="宋体" w:eastAsia="宋体" w:cs="宋体"/>
          <w:spacing w:val="23"/>
          <w:sz w:val="23"/>
          <w:szCs w:val="23"/>
        </w:rPr>
        <w:t>该</w:t>
      </w:r>
      <w:r>
        <w:rPr>
          <w:rFonts w:ascii="宋体" w:hAnsi="宋体" w:eastAsia="宋体" w:cs="宋体"/>
          <w:spacing w:val="16"/>
          <w:sz w:val="23"/>
          <w:szCs w:val="23"/>
        </w:rPr>
        <w:t>项目在厂区东南侧设有旱厕，员工使用防渗旱厕，定期清掏，不外排；</w:t>
      </w:r>
      <w:r>
        <w:rPr>
          <w:rFonts w:ascii="宋体" w:hAnsi="宋体" w:eastAsia="宋体" w:cs="宋体"/>
          <w:sz w:val="23"/>
          <w:szCs w:val="23"/>
        </w:rPr>
        <w:t xml:space="preserve"> </w:t>
      </w:r>
      <w:r>
        <w:rPr>
          <w:rFonts w:ascii="宋体" w:hAnsi="宋体" w:eastAsia="宋体" w:cs="宋体"/>
          <w:spacing w:val="1"/>
          <w:sz w:val="23"/>
          <w:szCs w:val="23"/>
        </w:rPr>
        <w:t xml:space="preserve">项目设有 </w:t>
      </w:r>
      <w:r>
        <w:rPr>
          <w:rFonts w:ascii="Times New Roman" w:hAnsi="Times New Roman" w:eastAsia="Times New Roman" w:cs="Times New Roman"/>
          <w:spacing w:val="1"/>
          <w:sz w:val="23"/>
          <w:szCs w:val="23"/>
        </w:rPr>
        <w:t xml:space="preserve">1 </w:t>
      </w:r>
      <w:r>
        <w:rPr>
          <w:rFonts w:ascii="宋体" w:hAnsi="宋体" w:eastAsia="宋体" w:cs="宋体"/>
          <w:spacing w:val="1"/>
          <w:sz w:val="23"/>
          <w:szCs w:val="23"/>
        </w:rPr>
        <w:t xml:space="preserve">座容积为 </w:t>
      </w:r>
      <w:r>
        <w:rPr>
          <w:rFonts w:ascii="Times New Roman" w:hAnsi="Times New Roman" w:eastAsia="Times New Roman" w:cs="Times New Roman"/>
          <w:spacing w:val="1"/>
          <w:sz w:val="23"/>
          <w:szCs w:val="23"/>
        </w:rPr>
        <w:t>324</w:t>
      </w:r>
      <w:r>
        <w:rPr>
          <w:rFonts w:ascii="Times New Roman" w:hAnsi="Times New Roman" w:eastAsia="Times New Roman" w:cs="Times New Roman"/>
          <w:sz w:val="23"/>
          <w:szCs w:val="23"/>
        </w:rPr>
        <w:t>m</w:t>
      </w:r>
      <w:r>
        <w:rPr>
          <w:rFonts w:ascii="Times New Roman" w:hAnsi="Times New Roman" w:eastAsia="Times New Roman" w:cs="Times New Roman"/>
          <w:spacing w:val="1"/>
          <w:position w:val="8"/>
          <w:sz w:val="15"/>
          <w:szCs w:val="15"/>
        </w:rPr>
        <w:t xml:space="preserve">3 </w:t>
      </w:r>
      <w:r>
        <w:rPr>
          <w:rFonts w:ascii="宋体" w:hAnsi="宋体" w:eastAsia="宋体" w:cs="宋体"/>
          <w:spacing w:val="1"/>
          <w:sz w:val="23"/>
          <w:szCs w:val="23"/>
        </w:rPr>
        <w:t>的三级沉淀池 (</w:t>
      </w:r>
      <w:r>
        <w:rPr>
          <w:rFonts w:ascii="Times New Roman" w:hAnsi="Times New Roman" w:eastAsia="Times New Roman" w:cs="Times New Roman"/>
          <w:sz w:val="23"/>
          <w:szCs w:val="23"/>
        </w:rPr>
        <w:t>12m×6m×4.5m</w:t>
      </w:r>
      <w:r>
        <w:rPr>
          <w:rFonts w:ascii="宋体" w:hAnsi="宋体" w:eastAsia="宋体" w:cs="宋体"/>
          <w:sz w:val="23"/>
          <w:szCs w:val="23"/>
        </w:rPr>
        <w:t xml:space="preserve">) ，同时配套设有 </w:t>
      </w:r>
      <w:r>
        <w:rPr>
          <w:rFonts w:ascii="Times New Roman" w:hAnsi="Times New Roman" w:eastAsia="Times New Roman" w:cs="Times New Roman"/>
          <w:sz w:val="23"/>
          <w:szCs w:val="23"/>
        </w:rPr>
        <w:t xml:space="preserve">1 </w:t>
      </w:r>
      <w:r>
        <w:rPr>
          <w:rFonts w:ascii="宋体" w:hAnsi="宋体" w:eastAsia="宋体" w:cs="宋体"/>
          <w:sz w:val="23"/>
          <w:szCs w:val="23"/>
        </w:rPr>
        <w:t xml:space="preserve">台 </w:t>
      </w:r>
      <w:r>
        <w:rPr>
          <w:rFonts w:ascii="宋体" w:hAnsi="宋体" w:eastAsia="宋体" w:cs="宋体"/>
          <w:spacing w:val="9"/>
          <w:sz w:val="23"/>
          <w:szCs w:val="23"/>
        </w:rPr>
        <w:t>一</w:t>
      </w:r>
      <w:r>
        <w:rPr>
          <w:rFonts w:ascii="宋体" w:hAnsi="宋体" w:eastAsia="宋体" w:cs="宋体"/>
          <w:spacing w:val="7"/>
          <w:sz w:val="23"/>
          <w:szCs w:val="23"/>
        </w:rPr>
        <w:t>体化污水预处理设备，均位于生产厂房西南侧，产生的生产废水经一体化污水</w:t>
      </w:r>
      <w:r>
        <w:rPr>
          <w:rFonts w:ascii="宋体" w:hAnsi="宋体" w:eastAsia="宋体" w:cs="宋体"/>
          <w:sz w:val="23"/>
          <w:szCs w:val="23"/>
        </w:rPr>
        <w:t xml:space="preserve"> </w:t>
      </w:r>
      <w:r>
        <w:rPr>
          <w:rFonts w:ascii="宋体" w:hAnsi="宋体" w:eastAsia="宋体" w:cs="宋体"/>
          <w:spacing w:val="12"/>
          <w:sz w:val="23"/>
          <w:szCs w:val="23"/>
        </w:rPr>
        <w:t>预处</w:t>
      </w:r>
      <w:r>
        <w:rPr>
          <w:rFonts w:ascii="宋体" w:hAnsi="宋体" w:eastAsia="宋体" w:cs="宋体"/>
          <w:spacing w:val="8"/>
          <w:sz w:val="23"/>
          <w:szCs w:val="23"/>
        </w:rPr>
        <w:t>理</w:t>
      </w:r>
      <w:r>
        <w:rPr>
          <w:rFonts w:ascii="宋体" w:hAnsi="宋体" w:eastAsia="宋体" w:cs="宋体"/>
          <w:spacing w:val="6"/>
          <w:sz w:val="23"/>
          <w:szCs w:val="23"/>
        </w:rPr>
        <w:t>设备处理后排入三级沉淀池 (</w:t>
      </w:r>
      <w:r>
        <w:rPr>
          <w:rFonts w:ascii="Times New Roman" w:hAnsi="Times New Roman" w:eastAsia="Times New Roman" w:cs="Times New Roman"/>
          <w:spacing w:val="6"/>
          <w:sz w:val="23"/>
          <w:szCs w:val="23"/>
        </w:rPr>
        <w:t>12</w:t>
      </w:r>
      <w:r>
        <w:rPr>
          <w:rFonts w:ascii="Times New Roman" w:hAnsi="Times New Roman" w:eastAsia="Times New Roman" w:cs="Times New Roman"/>
          <w:sz w:val="23"/>
          <w:szCs w:val="23"/>
        </w:rPr>
        <w:t>m</w:t>
      </w:r>
      <w:r>
        <w:rPr>
          <w:rFonts w:ascii="Times New Roman" w:hAnsi="Times New Roman" w:eastAsia="Times New Roman" w:cs="Times New Roman"/>
          <w:spacing w:val="6"/>
          <w:sz w:val="23"/>
          <w:szCs w:val="23"/>
        </w:rPr>
        <w:t>×6</w:t>
      </w:r>
      <w:r>
        <w:rPr>
          <w:rFonts w:ascii="Times New Roman" w:hAnsi="Times New Roman" w:eastAsia="Times New Roman" w:cs="Times New Roman"/>
          <w:sz w:val="23"/>
          <w:szCs w:val="23"/>
        </w:rPr>
        <w:t>m</w:t>
      </w:r>
      <w:r>
        <w:rPr>
          <w:rFonts w:ascii="Times New Roman" w:hAnsi="Times New Roman" w:eastAsia="Times New Roman" w:cs="Times New Roman"/>
          <w:spacing w:val="6"/>
          <w:sz w:val="23"/>
          <w:szCs w:val="23"/>
        </w:rPr>
        <w:t>×4.5</w:t>
      </w:r>
      <w:r>
        <w:rPr>
          <w:rFonts w:ascii="Times New Roman" w:hAnsi="Times New Roman" w:eastAsia="Times New Roman" w:cs="Times New Roman"/>
          <w:sz w:val="23"/>
          <w:szCs w:val="23"/>
        </w:rPr>
        <w:t>m</w:t>
      </w:r>
      <w:r>
        <w:rPr>
          <w:rFonts w:ascii="宋体" w:hAnsi="宋体" w:eastAsia="宋体" w:cs="宋体"/>
          <w:spacing w:val="6"/>
          <w:sz w:val="23"/>
          <w:szCs w:val="23"/>
        </w:rPr>
        <w:t>) 沉淀处理，随后循环使用。</w:t>
      </w:r>
      <w:r>
        <w:rPr>
          <w:rFonts w:ascii="宋体" w:hAnsi="宋体" w:eastAsia="宋体" w:cs="宋体"/>
          <w:sz w:val="23"/>
          <w:szCs w:val="23"/>
        </w:rPr>
        <w:t xml:space="preserve"> </w:t>
      </w:r>
      <w:r>
        <w:rPr>
          <w:rFonts w:ascii="宋体" w:hAnsi="宋体" w:eastAsia="宋体" w:cs="宋体"/>
          <w:spacing w:val="1"/>
          <w:sz w:val="23"/>
          <w:szCs w:val="23"/>
        </w:rPr>
        <w:t>污水处理设施</w:t>
      </w:r>
      <w:r>
        <w:rPr>
          <w:rFonts w:ascii="宋体" w:hAnsi="宋体" w:eastAsia="宋体" w:cs="宋体"/>
          <w:sz w:val="23"/>
          <w:szCs w:val="23"/>
        </w:rPr>
        <w:t xml:space="preserve">废水每月更换 </w:t>
      </w:r>
      <w:r>
        <w:rPr>
          <w:rFonts w:ascii="Times New Roman" w:hAnsi="Times New Roman" w:eastAsia="Times New Roman" w:cs="Times New Roman"/>
          <w:sz w:val="23"/>
          <w:szCs w:val="23"/>
        </w:rPr>
        <w:t xml:space="preserve">1 </w:t>
      </w:r>
      <w:r>
        <w:rPr>
          <w:rFonts w:ascii="宋体" w:hAnsi="宋体" w:eastAsia="宋体" w:cs="宋体"/>
          <w:sz w:val="23"/>
          <w:szCs w:val="23"/>
        </w:rPr>
        <w:t xml:space="preserve">次，则该项目全年更换废水量为 </w:t>
      </w:r>
      <w:r>
        <w:rPr>
          <w:rFonts w:ascii="Times New Roman" w:hAnsi="Times New Roman" w:eastAsia="Times New Roman" w:cs="Times New Roman"/>
          <w:sz w:val="23"/>
          <w:szCs w:val="23"/>
        </w:rPr>
        <w:t>1523.52m</w:t>
      </w:r>
      <w:r>
        <w:rPr>
          <w:rFonts w:ascii="Times New Roman" w:hAnsi="Times New Roman" w:eastAsia="Times New Roman" w:cs="Times New Roman"/>
          <w:position w:val="8"/>
          <w:sz w:val="15"/>
          <w:szCs w:val="15"/>
        </w:rPr>
        <w:t>3</w:t>
      </w:r>
      <w:r>
        <w:rPr>
          <w:rFonts w:ascii="宋体" w:hAnsi="宋体" w:eastAsia="宋体" w:cs="宋体"/>
          <w:sz w:val="23"/>
          <w:szCs w:val="23"/>
        </w:rPr>
        <w:t xml:space="preserve">，更换过 </w:t>
      </w:r>
      <w:r>
        <w:rPr>
          <w:rFonts w:ascii="宋体" w:hAnsi="宋体" w:eastAsia="宋体" w:cs="宋体"/>
          <w:spacing w:val="-2"/>
          <w:sz w:val="23"/>
          <w:szCs w:val="23"/>
        </w:rPr>
        <w:t>程产生的废水经吸污车运送至本溪市科态污水处理有限责任公司统一</w:t>
      </w:r>
      <w:r>
        <w:rPr>
          <w:rFonts w:ascii="宋体" w:hAnsi="宋体" w:eastAsia="宋体" w:cs="宋体"/>
          <w:spacing w:val="-1"/>
          <w:sz w:val="23"/>
          <w:szCs w:val="23"/>
        </w:rPr>
        <w:t>处</w:t>
      </w:r>
      <w:r>
        <w:rPr>
          <w:rFonts w:ascii="宋体" w:hAnsi="宋体" w:eastAsia="宋体" w:cs="宋体"/>
          <w:sz w:val="23"/>
          <w:szCs w:val="23"/>
        </w:rPr>
        <w:t>理。</w:t>
      </w:r>
    </w:p>
    <w:p w14:paraId="5017BEB3">
      <w:pPr>
        <w:spacing w:before="93" w:line="401" w:lineRule="auto"/>
        <w:ind w:left="23" w:right="80" w:firstLine="480"/>
        <w:rPr>
          <w:rFonts w:ascii="宋体" w:hAnsi="宋体" w:eastAsia="宋体" w:cs="宋体"/>
          <w:sz w:val="23"/>
          <w:szCs w:val="23"/>
        </w:rPr>
      </w:pPr>
      <w:r>
        <w:rPr>
          <w:rFonts w:ascii="宋体" w:hAnsi="宋体" w:eastAsia="宋体" w:cs="宋体"/>
          <w:spacing w:val="12"/>
          <w:sz w:val="23"/>
          <w:szCs w:val="23"/>
        </w:rPr>
        <w:t>根据</w:t>
      </w:r>
      <w:r>
        <w:rPr>
          <w:rFonts w:ascii="宋体" w:hAnsi="宋体" w:eastAsia="宋体" w:cs="宋体"/>
          <w:spacing w:val="7"/>
          <w:sz w:val="23"/>
          <w:szCs w:val="23"/>
        </w:rPr>
        <w:t>建</w:t>
      </w:r>
      <w:r>
        <w:rPr>
          <w:rFonts w:ascii="宋体" w:hAnsi="宋体" w:eastAsia="宋体" w:cs="宋体"/>
          <w:spacing w:val="6"/>
          <w:sz w:val="23"/>
          <w:szCs w:val="23"/>
        </w:rPr>
        <w:t>设单位提供的资料，该项目拟采用</w:t>
      </w:r>
      <w:r>
        <w:rPr>
          <w:rFonts w:ascii="Times New Roman" w:hAnsi="Times New Roman" w:eastAsia="Times New Roman" w:cs="Times New Roman"/>
          <w:spacing w:val="6"/>
          <w:sz w:val="23"/>
          <w:szCs w:val="23"/>
        </w:rPr>
        <w:t>“</w:t>
      </w:r>
      <w:r>
        <w:rPr>
          <w:rFonts w:ascii="宋体" w:hAnsi="宋体" w:eastAsia="宋体" w:cs="宋体"/>
          <w:spacing w:val="6"/>
          <w:sz w:val="23"/>
          <w:szCs w:val="23"/>
        </w:rPr>
        <w:t>调节</w:t>
      </w:r>
      <w:r>
        <w:rPr>
          <w:rFonts w:ascii="Times New Roman" w:hAnsi="Times New Roman" w:eastAsia="Times New Roman" w:cs="Times New Roman"/>
          <w:spacing w:val="6"/>
          <w:sz w:val="23"/>
          <w:szCs w:val="23"/>
        </w:rPr>
        <w:t>+</w:t>
      </w:r>
      <w:r>
        <w:rPr>
          <w:rFonts w:ascii="宋体" w:hAnsi="宋体" w:eastAsia="宋体" w:cs="宋体"/>
          <w:spacing w:val="6"/>
          <w:sz w:val="23"/>
          <w:szCs w:val="23"/>
        </w:rPr>
        <w:t>混凝</w:t>
      </w:r>
      <w:r>
        <w:rPr>
          <w:rFonts w:ascii="Times New Roman" w:hAnsi="Times New Roman" w:eastAsia="Times New Roman" w:cs="Times New Roman"/>
          <w:spacing w:val="6"/>
          <w:sz w:val="23"/>
          <w:szCs w:val="23"/>
        </w:rPr>
        <w:t>+</w:t>
      </w:r>
      <w:r>
        <w:rPr>
          <w:rFonts w:ascii="宋体" w:hAnsi="宋体" w:eastAsia="宋体" w:cs="宋体"/>
          <w:spacing w:val="6"/>
          <w:sz w:val="23"/>
          <w:szCs w:val="23"/>
        </w:rPr>
        <w:t>气浮工艺</w:t>
      </w:r>
      <w:r>
        <w:rPr>
          <w:rFonts w:ascii="Times New Roman" w:hAnsi="Times New Roman" w:eastAsia="Times New Roman" w:cs="Times New Roman"/>
          <w:spacing w:val="6"/>
          <w:sz w:val="23"/>
          <w:szCs w:val="23"/>
        </w:rPr>
        <w:t>”</w:t>
      </w:r>
      <w:r>
        <w:rPr>
          <w:rFonts w:ascii="宋体" w:hAnsi="宋体" w:eastAsia="宋体" w:cs="宋体"/>
          <w:spacing w:val="6"/>
          <w:sz w:val="23"/>
          <w:szCs w:val="23"/>
        </w:rPr>
        <w:t>相结合的预</w:t>
      </w:r>
      <w:r>
        <w:rPr>
          <w:rFonts w:ascii="宋体" w:hAnsi="宋体" w:eastAsia="宋体" w:cs="宋体"/>
          <w:sz w:val="23"/>
          <w:szCs w:val="23"/>
        </w:rPr>
        <w:t xml:space="preserve"> </w:t>
      </w:r>
      <w:r>
        <w:rPr>
          <w:rFonts w:ascii="宋体" w:hAnsi="宋体" w:eastAsia="宋体" w:cs="宋体"/>
          <w:spacing w:val="9"/>
          <w:sz w:val="23"/>
          <w:szCs w:val="23"/>
        </w:rPr>
        <w:t>处</w:t>
      </w:r>
      <w:r>
        <w:rPr>
          <w:rFonts w:ascii="宋体" w:hAnsi="宋体" w:eastAsia="宋体" w:cs="宋体"/>
          <w:spacing w:val="7"/>
          <w:sz w:val="23"/>
          <w:szCs w:val="23"/>
        </w:rPr>
        <w:t>理工艺，即在预处理阶段先对呈弱碱性的废水进行中和处理，调节水质，随后</w:t>
      </w:r>
      <w:r>
        <w:rPr>
          <w:rFonts w:ascii="宋体" w:hAnsi="宋体" w:eastAsia="宋体" w:cs="宋体"/>
          <w:sz w:val="23"/>
          <w:szCs w:val="23"/>
        </w:rPr>
        <w:t xml:space="preserve"> </w:t>
      </w:r>
      <w:r>
        <w:rPr>
          <w:rFonts w:ascii="宋体" w:hAnsi="宋体" w:eastAsia="宋体" w:cs="宋体"/>
          <w:spacing w:val="8"/>
          <w:sz w:val="23"/>
          <w:szCs w:val="23"/>
        </w:rPr>
        <w:t xml:space="preserve">加入 </w:t>
      </w:r>
      <w:r>
        <w:rPr>
          <w:rFonts w:ascii="Times New Roman" w:hAnsi="Times New Roman" w:eastAsia="Times New Roman" w:cs="Times New Roman"/>
          <w:sz w:val="23"/>
          <w:szCs w:val="23"/>
        </w:rPr>
        <w:t>PAM</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等混凝剂使水中的悬浮物凝聚成大颗粒，易于去除，最后利用气浮</w:t>
      </w:r>
      <w:r>
        <w:rPr>
          <w:rFonts w:ascii="宋体" w:hAnsi="宋体" w:eastAsia="宋体" w:cs="宋体"/>
          <w:spacing w:val="2"/>
          <w:sz w:val="23"/>
          <w:szCs w:val="23"/>
        </w:rPr>
        <w:t>工</w:t>
      </w:r>
      <w:r>
        <w:rPr>
          <w:rFonts w:ascii="宋体" w:hAnsi="宋体" w:eastAsia="宋体" w:cs="宋体"/>
          <w:sz w:val="23"/>
          <w:szCs w:val="23"/>
        </w:rPr>
        <w:t xml:space="preserve"> </w:t>
      </w:r>
      <w:r>
        <w:rPr>
          <w:rFonts w:ascii="宋体" w:hAnsi="宋体" w:eastAsia="宋体" w:cs="宋体"/>
          <w:spacing w:val="10"/>
          <w:sz w:val="23"/>
          <w:szCs w:val="23"/>
        </w:rPr>
        <w:t>艺</w:t>
      </w:r>
      <w:r>
        <w:rPr>
          <w:rFonts w:ascii="宋体" w:hAnsi="宋体" w:eastAsia="宋体" w:cs="宋体"/>
          <w:spacing w:val="9"/>
          <w:sz w:val="23"/>
          <w:szCs w:val="23"/>
        </w:rPr>
        <w:t>去</w:t>
      </w:r>
      <w:r>
        <w:rPr>
          <w:rFonts w:ascii="宋体" w:hAnsi="宋体" w:eastAsia="宋体" w:cs="宋体"/>
          <w:spacing w:val="5"/>
          <w:sz w:val="23"/>
          <w:szCs w:val="23"/>
        </w:rPr>
        <w:t xml:space="preserve">除水中的悬浮物，设计规模为 </w:t>
      </w:r>
      <w:r>
        <w:rPr>
          <w:rFonts w:ascii="Times New Roman" w:hAnsi="Times New Roman" w:eastAsia="Times New Roman" w:cs="Times New Roman"/>
          <w:spacing w:val="5"/>
          <w:sz w:val="23"/>
          <w:szCs w:val="23"/>
        </w:rPr>
        <w:t>150</w:t>
      </w:r>
      <w:r>
        <w:rPr>
          <w:rFonts w:ascii="Times New Roman" w:hAnsi="Times New Roman" w:eastAsia="Times New Roman" w:cs="Times New Roman"/>
          <w:sz w:val="23"/>
          <w:szCs w:val="23"/>
        </w:rPr>
        <w:t>m</w:t>
      </w:r>
      <w:r>
        <w:rPr>
          <w:rFonts w:ascii="Times New Roman" w:hAnsi="Times New Roman" w:eastAsia="Times New Roman" w:cs="Times New Roman"/>
          <w:spacing w:val="5"/>
          <w:position w:val="8"/>
          <w:sz w:val="15"/>
          <w:szCs w:val="15"/>
        </w:rPr>
        <w:t>3</w:t>
      </w:r>
      <w:r>
        <w:rPr>
          <w:rFonts w:ascii="Times New Roman" w:hAnsi="Times New Roman" w:eastAsia="Times New Roman" w:cs="Times New Roman"/>
          <w:spacing w:val="5"/>
          <w:sz w:val="23"/>
          <w:szCs w:val="23"/>
        </w:rPr>
        <w:t>/</w:t>
      </w:r>
      <w:r>
        <w:rPr>
          <w:rFonts w:ascii="Times New Roman" w:hAnsi="Times New Roman" w:eastAsia="Times New Roman" w:cs="Times New Roman"/>
          <w:sz w:val="23"/>
          <w:szCs w:val="23"/>
        </w:rPr>
        <w:t>d</w:t>
      </w:r>
      <w:r>
        <w:rPr>
          <w:rFonts w:ascii="宋体" w:hAnsi="宋体" w:eastAsia="宋体" w:cs="宋体"/>
          <w:spacing w:val="5"/>
          <w:sz w:val="23"/>
          <w:szCs w:val="23"/>
        </w:rPr>
        <w:t>。</w:t>
      </w:r>
    </w:p>
    <w:p w14:paraId="46817A7C">
      <w:pPr>
        <w:spacing w:before="121" w:line="225" w:lineRule="auto"/>
        <w:ind w:left="502"/>
        <w:rPr>
          <w:rFonts w:ascii="宋体" w:hAnsi="宋体" w:eastAsia="宋体" w:cs="宋体"/>
          <w:sz w:val="23"/>
          <w:szCs w:val="23"/>
        </w:rPr>
      </w:pPr>
      <w:r>
        <w:rPr>
          <w:rFonts w:ascii="宋体" w:hAnsi="宋体" w:eastAsia="宋体" w:cs="宋体"/>
          <w:spacing w:val="8"/>
          <w:sz w:val="23"/>
          <w:szCs w:val="23"/>
        </w:rPr>
        <w:t>①调节</w:t>
      </w:r>
      <w:r>
        <w:rPr>
          <w:rFonts w:ascii="宋体" w:hAnsi="宋体" w:eastAsia="宋体" w:cs="宋体"/>
          <w:spacing w:val="7"/>
          <w:sz w:val="23"/>
          <w:szCs w:val="23"/>
        </w:rPr>
        <w:t>池</w:t>
      </w:r>
    </w:p>
    <w:p w14:paraId="39C48ABB">
      <w:pPr>
        <w:spacing w:line="280" w:lineRule="auto"/>
        <w:rPr>
          <w:rFonts w:ascii="Arial"/>
          <w:sz w:val="21"/>
        </w:rPr>
      </w:pPr>
    </w:p>
    <w:p w14:paraId="75BE89C8">
      <w:pPr>
        <w:spacing w:before="75" w:line="390" w:lineRule="auto"/>
        <w:ind w:left="18" w:right="18" w:firstLine="514"/>
        <w:rPr>
          <w:rFonts w:ascii="宋体" w:hAnsi="宋体" w:eastAsia="宋体" w:cs="宋体"/>
          <w:sz w:val="23"/>
          <w:szCs w:val="23"/>
        </w:rPr>
      </w:pPr>
      <w:r>
        <w:rPr>
          <w:rFonts w:ascii="宋体" w:hAnsi="宋体" w:eastAsia="宋体" w:cs="宋体"/>
          <w:spacing w:val="22"/>
          <w:sz w:val="23"/>
          <w:szCs w:val="23"/>
        </w:rPr>
        <w:t>由</w:t>
      </w:r>
      <w:r>
        <w:rPr>
          <w:rFonts w:ascii="宋体" w:hAnsi="宋体" w:eastAsia="宋体" w:cs="宋体"/>
          <w:spacing w:val="13"/>
          <w:sz w:val="23"/>
          <w:szCs w:val="23"/>
        </w:rPr>
        <w:t>于生产废水生产过程的间歇性，各段工艺排出废水的水质不同，废水的</w:t>
      </w:r>
      <w:r>
        <w:rPr>
          <w:rFonts w:ascii="宋体" w:hAnsi="宋体" w:eastAsia="宋体" w:cs="宋体"/>
          <w:sz w:val="23"/>
          <w:szCs w:val="23"/>
        </w:rPr>
        <w:t xml:space="preserve"> </w:t>
      </w:r>
      <w:r>
        <w:rPr>
          <w:rFonts w:ascii="Times New Roman" w:hAnsi="Times New Roman" w:eastAsia="Times New Roman" w:cs="Times New Roman"/>
          <w:sz w:val="23"/>
          <w:szCs w:val="23"/>
        </w:rPr>
        <w:t>PH</w:t>
      </w:r>
      <w:r>
        <w:rPr>
          <w:rFonts w:ascii="Times New Roman" w:hAnsi="Times New Roman" w:eastAsia="Times New Roman" w:cs="Times New Roman"/>
          <w:spacing w:val="10"/>
          <w:sz w:val="23"/>
          <w:szCs w:val="23"/>
        </w:rPr>
        <w:t xml:space="preserve"> </w:t>
      </w:r>
      <w:r>
        <w:rPr>
          <w:rFonts w:ascii="宋体" w:hAnsi="宋体" w:eastAsia="宋体" w:cs="宋体"/>
          <w:spacing w:val="10"/>
          <w:sz w:val="23"/>
          <w:szCs w:val="23"/>
        </w:rPr>
        <w:t>、浓</w:t>
      </w:r>
      <w:r>
        <w:rPr>
          <w:rFonts w:ascii="宋体" w:hAnsi="宋体" w:eastAsia="宋体" w:cs="宋体"/>
          <w:spacing w:val="7"/>
          <w:sz w:val="23"/>
          <w:szCs w:val="23"/>
        </w:rPr>
        <w:t>度</w:t>
      </w:r>
      <w:r>
        <w:rPr>
          <w:rFonts w:ascii="宋体" w:hAnsi="宋体" w:eastAsia="宋体" w:cs="宋体"/>
          <w:spacing w:val="5"/>
          <w:sz w:val="23"/>
          <w:szCs w:val="23"/>
        </w:rPr>
        <w:t>和水量变化很大，因此要求调节池有较强的水量调节和水质均质能力，</w:t>
      </w:r>
      <w:r>
        <w:rPr>
          <w:rFonts w:ascii="宋体" w:hAnsi="宋体" w:eastAsia="宋体" w:cs="宋体"/>
          <w:sz w:val="23"/>
          <w:szCs w:val="23"/>
        </w:rPr>
        <w:t xml:space="preserve"> </w:t>
      </w:r>
      <w:r>
        <w:rPr>
          <w:rFonts w:ascii="宋体" w:hAnsi="宋体" w:eastAsia="宋体" w:cs="宋体"/>
          <w:spacing w:val="13"/>
          <w:sz w:val="23"/>
          <w:szCs w:val="23"/>
        </w:rPr>
        <w:t>对</w:t>
      </w:r>
      <w:r>
        <w:rPr>
          <w:rFonts w:ascii="宋体" w:hAnsi="宋体" w:eastAsia="宋体" w:cs="宋体"/>
          <w:spacing w:val="8"/>
          <w:sz w:val="23"/>
          <w:szCs w:val="23"/>
        </w:rPr>
        <w:t>水质水量进行调节。</w:t>
      </w:r>
    </w:p>
    <w:p w14:paraId="03F77E7D">
      <w:pPr>
        <w:spacing w:before="137" w:line="227" w:lineRule="auto"/>
        <w:ind w:left="505"/>
        <w:rPr>
          <w:rFonts w:ascii="宋体" w:hAnsi="宋体" w:eastAsia="宋体" w:cs="宋体"/>
          <w:sz w:val="23"/>
          <w:szCs w:val="23"/>
        </w:rPr>
      </w:pPr>
      <w:r>
        <w:rPr>
          <w:rFonts w:ascii="宋体" w:hAnsi="宋体" w:eastAsia="宋体" w:cs="宋体"/>
          <w:spacing w:val="18"/>
          <w:sz w:val="23"/>
          <w:szCs w:val="23"/>
        </w:rPr>
        <w:t>调</w:t>
      </w:r>
      <w:r>
        <w:rPr>
          <w:rFonts w:ascii="宋体" w:hAnsi="宋体" w:eastAsia="宋体" w:cs="宋体"/>
          <w:spacing w:val="9"/>
          <w:sz w:val="23"/>
          <w:szCs w:val="23"/>
        </w:rPr>
        <w:t>节池内设穿孔管预曝气系统，由一级提升泵将污水提升至气浮设备。</w:t>
      </w:r>
    </w:p>
    <w:p w14:paraId="772F1FB8">
      <w:pPr>
        <w:spacing w:line="276" w:lineRule="auto"/>
        <w:rPr>
          <w:rFonts w:ascii="Arial"/>
          <w:sz w:val="21"/>
        </w:rPr>
      </w:pPr>
    </w:p>
    <w:p w14:paraId="3F4D3DB4">
      <w:pPr>
        <w:spacing w:before="76" w:line="225" w:lineRule="auto"/>
        <w:ind w:left="501"/>
        <w:rPr>
          <w:rFonts w:ascii="宋体" w:hAnsi="宋体" w:eastAsia="宋体" w:cs="宋体"/>
          <w:sz w:val="23"/>
          <w:szCs w:val="23"/>
        </w:rPr>
      </w:pPr>
      <w:r>
        <w:rPr>
          <w:rFonts w:ascii="宋体" w:hAnsi="宋体" w:eastAsia="宋体" w:cs="宋体"/>
          <w:spacing w:val="8"/>
          <w:sz w:val="23"/>
          <w:szCs w:val="23"/>
        </w:rPr>
        <w:t>②气浮机</w:t>
      </w:r>
    </w:p>
    <w:p w14:paraId="15C1B844">
      <w:pPr>
        <w:spacing w:line="276" w:lineRule="auto"/>
        <w:rPr>
          <w:rFonts w:ascii="Arial"/>
          <w:sz w:val="21"/>
        </w:rPr>
      </w:pPr>
    </w:p>
    <w:p w14:paraId="4CCAF0A0">
      <w:pPr>
        <w:spacing w:before="75" w:line="389" w:lineRule="auto"/>
        <w:ind w:left="22" w:right="80" w:firstLine="481"/>
        <w:rPr>
          <w:rFonts w:ascii="宋体" w:hAnsi="宋体" w:eastAsia="宋体" w:cs="宋体"/>
          <w:sz w:val="23"/>
          <w:szCs w:val="23"/>
        </w:rPr>
      </w:pPr>
      <w:r>
        <w:rPr>
          <w:rFonts w:ascii="宋体" w:hAnsi="宋体" w:eastAsia="宋体" w:cs="宋体"/>
          <w:spacing w:val="7"/>
          <w:sz w:val="23"/>
          <w:szCs w:val="23"/>
        </w:rPr>
        <w:t>气浮是在水中通入或产生大量的微细气泡，使其附着在悬浮颗粒上，造成</w:t>
      </w:r>
      <w:r>
        <w:rPr>
          <w:rFonts w:ascii="宋体" w:hAnsi="宋体" w:eastAsia="宋体" w:cs="宋体"/>
          <w:spacing w:val="2"/>
          <w:sz w:val="23"/>
          <w:szCs w:val="23"/>
        </w:rPr>
        <w:t>密</w:t>
      </w:r>
      <w:r>
        <w:rPr>
          <w:rFonts w:ascii="宋体" w:hAnsi="宋体" w:eastAsia="宋体" w:cs="宋体"/>
          <w:sz w:val="23"/>
          <w:szCs w:val="23"/>
        </w:rPr>
        <w:t xml:space="preserve"> </w:t>
      </w:r>
      <w:r>
        <w:rPr>
          <w:rFonts w:ascii="宋体" w:hAnsi="宋体" w:eastAsia="宋体" w:cs="宋体"/>
          <w:spacing w:val="9"/>
          <w:sz w:val="23"/>
          <w:szCs w:val="23"/>
        </w:rPr>
        <w:t>度</w:t>
      </w:r>
      <w:r>
        <w:rPr>
          <w:rFonts w:ascii="宋体" w:hAnsi="宋体" w:eastAsia="宋体" w:cs="宋体"/>
          <w:spacing w:val="7"/>
          <w:sz w:val="23"/>
          <w:szCs w:val="23"/>
        </w:rPr>
        <w:t>小于水的状态，利用浮力原理使其浮在水面上，同时通过改变污水的流速，将</w:t>
      </w:r>
      <w:r>
        <w:rPr>
          <w:rFonts w:ascii="宋体" w:hAnsi="宋体" w:eastAsia="宋体" w:cs="宋体"/>
          <w:sz w:val="23"/>
          <w:szCs w:val="23"/>
        </w:rPr>
        <w:t xml:space="preserve"> </w:t>
      </w:r>
      <w:r>
        <w:rPr>
          <w:rFonts w:ascii="宋体" w:hAnsi="宋体" w:eastAsia="宋体" w:cs="宋体"/>
          <w:spacing w:val="9"/>
          <w:sz w:val="23"/>
          <w:szCs w:val="23"/>
        </w:rPr>
        <w:t>没</w:t>
      </w:r>
      <w:r>
        <w:rPr>
          <w:rFonts w:ascii="宋体" w:hAnsi="宋体" w:eastAsia="宋体" w:cs="宋体"/>
          <w:spacing w:val="7"/>
          <w:sz w:val="23"/>
          <w:szCs w:val="23"/>
        </w:rPr>
        <w:t>有完全上浮的絮凝物沉淀到设备底部排出，从而达到固、液分离的效果。气浮</w:t>
      </w:r>
      <w:r>
        <w:rPr>
          <w:rFonts w:ascii="宋体" w:hAnsi="宋体" w:eastAsia="宋体" w:cs="宋体"/>
          <w:sz w:val="23"/>
          <w:szCs w:val="23"/>
        </w:rPr>
        <w:t xml:space="preserve"> </w:t>
      </w:r>
      <w:r>
        <w:rPr>
          <w:rFonts w:ascii="宋体" w:hAnsi="宋体" w:eastAsia="宋体" w:cs="宋体"/>
          <w:spacing w:val="6"/>
          <w:sz w:val="23"/>
          <w:szCs w:val="23"/>
        </w:rPr>
        <w:t xml:space="preserve">可以去除水中的悬浮物，并去除一定量的非溶解性 </w:t>
      </w:r>
      <w:r>
        <w:rPr>
          <w:rFonts w:ascii="Times New Roman" w:hAnsi="Times New Roman" w:eastAsia="Times New Roman" w:cs="Times New Roman"/>
          <w:sz w:val="23"/>
          <w:szCs w:val="23"/>
        </w:rPr>
        <w:t>COD</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w:t>
      </w:r>
      <w:r>
        <w:rPr>
          <w:rFonts w:ascii="Times New Roman" w:hAnsi="Times New Roman" w:eastAsia="Times New Roman" w:cs="Times New Roman"/>
          <w:sz w:val="23"/>
          <w:szCs w:val="23"/>
        </w:rPr>
        <w:t>BOD</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，污水进气浮</w:t>
      </w:r>
      <w:r>
        <w:rPr>
          <w:rFonts w:ascii="宋体" w:hAnsi="宋体" w:eastAsia="宋体" w:cs="宋体"/>
          <w:spacing w:val="4"/>
          <w:sz w:val="23"/>
          <w:szCs w:val="23"/>
        </w:rPr>
        <w:t>前</w:t>
      </w:r>
      <w:r>
        <w:rPr>
          <w:rFonts w:ascii="宋体" w:hAnsi="宋体" w:eastAsia="宋体" w:cs="宋体"/>
          <w:sz w:val="23"/>
          <w:szCs w:val="23"/>
        </w:rPr>
        <w:t xml:space="preserve"> </w:t>
      </w:r>
      <w:r>
        <w:rPr>
          <w:rFonts w:ascii="宋体" w:hAnsi="宋体" w:eastAsia="宋体" w:cs="宋体"/>
          <w:spacing w:val="-2"/>
          <w:sz w:val="23"/>
          <w:szCs w:val="23"/>
        </w:rPr>
        <w:t xml:space="preserve">需加 </w:t>
      </w:r>
      <w:r>
        <w:rPr>
          <w:rFonts w:ascii="Times New Roman" w:hAnsi="Times New Roman" w:eastAsia="Times New Roman" w:cs="Times New Roman"/>
          <w:spacing w:val="-2"/>
          <w:sz w:val="23"/>
          <w:szCs w:val="23"/>
        </w:rPr>
        <w:t xml:space="preserve">PAC </w:t>
      </w:r>
      <w:r>
        <w:rPr>
          <w:rFonts w:ascii="宋体" w:hAnsi="宋体" w:eastAsia="宋体" w:cs="宋体"/>
          <w:spacing w:val="-2"/>
          <w:sz w:val="23"/>
          <w:szCs w:val="23"/>
        </w:rPr>
        <w:t>、</w:t>
      </w:r>
      <w:r>
        <w:rPr>
          <w:rFonts w:ascii="Times New Roman" w:hAnsi="Times New Roman" w:eastAsia="Times New Roman" w:cs="Times New Roman"/>
          <w:spacing w:val="-2"/>
          <w:sz w:val="23"/>
          <w:szCs w:val="23"/>
        </w:rPr>
        <w:t>PA</w:t>
      </w:r>
      <w:r>
        <w:rPr>
          <w:rFonts w:ascii="Times New Roman" w:hAnsi="Times New Roman" w:eastAsia="Times New Roman" w:cs="Times New Roman"/>
          <w:sz w:val="23"/>
          <w:szCs w:val="23"/>
        </w:rPr>
        <w:t>M</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，进行混凝沉淀。</w:t>
      </w:r>
    </w:p>
    <w:p w14:paraId="4A2E124D">
      <w:pPr>
        <w:sectPr>
          <w:headerReference r:id="rId271" w:type="default"/>
          <w:footerReference r:id="rId272" w:type="default"/>
          <w:pgSz w:w="11906" w:h="16839"/>
          <w:pgMar w:top="1132" w:right="1719" w:bottom="1182" w:left="1785" w:header="878" w:footer="1022" w:gutter="0"/>
          <w:cols w:space="720" w:num="1"/>
        </w:sectPr>
      </w:pPr>
    </w:p>
    <w:p w14:paraId="1ED5624C">
      <w:pPr>
        <w:spacing w:line="259" w:lineRule="auto"/>
        <w:rPr>
          <w:rFonts w:ascii="Arial"/>
          <w:sz w:val="21"/>
        </w:rPr>
      </w:pPr>
      <w:r>
        <w:pict>
          <v:shape id="_x0000_s1304" o:spid="_x0000_s1304" style="position:absolute;left:0pt;margin-left:90pt;margin-top:57.35pt;height:0.75pt;width:415.3pt;mso-position-horizontal-relative:page;mso-position-vertical-relative:page;z-index:251957248;mso-width-relative:page;mso-height-relative:page;" fillcolor="#000000" filled="t" stroked="f" coordsize="8305,15" o:allowincell="f" path="m0,0l8305,0,8305,14,0,14,0,0xe">
            <v:path/>
            <v:fill on="t" focussize="0,0"/>
            <v:stroke on="f"/>
            <v:imagedata o:title=""/>
            <o:lock v:ext="edit"/>
          </v:shape>
        </w:pict>
      </w:r>
    </w:p>
    <w:p w14:paraId="4BBD954B">
      <w:pPr>
        <w:spacing w:line="259" w:lineRule="auto"/>
        <w:rPr>
          <w:rFonts w:ascii="Arial"/>
          <w:sz w:val="21"/>
        </w:rPr>
      </w:pPr>
    </w:p>
    <w:p w14:paraId="3D6CDFD6">
      <w:pPr>
        <w:spacing w:before="65" w:line="228" w:lineRule="auto"/>
        <w:ind w:left="3943"/>
        <w:rPr>
          <w:rFonts w:ascii="宋体" w:hAnsi="宋体" w:eastAsia="宋体" w:cs="宋体"/>
          <w:sz w:val="20"/>
          <w:szCs w:val="20"/>
        </w:rPr>
      </w:pPr>
      <w:r>
        <w:rPr>
          <w:rFonts w:ascii="宋体" w:hAnsi="宋体" w:eastAsia="宋体" w:cs="宋体"/>
          <w:spacing w:val="7"/>
          <w:sz w:val="20"/>
          <w:szCs w:val="20"/>
        </w:rPr>
        <w:t>生产废</w:t>
      </w:r>
      <w:r>
        <w:rPr>
          <w:rFonts w:ascii="宋体" w:hAnsi="宋体" w:eastAsia="宋体" w:cs="宋体"/>
          <w:spacing w:val="6"/>
          <w:sz w:val="20"/>
          <w:szCs w:val="20"/>
        </w:rPr>
        <w:t>水</w:t>
      </w:r>
    </w:p>
    <w:p w14:paraId="125C082B">
      <w:pPr>
        <w:spacing w:before="60" w:line="358" w:lineRule="exact"/>
        <w:ind w:firstLine="4266"/>
        <w:textAlignment w:val="center"/>
      </w:pPr>
      <w:r>
        <w:drawing>
          <wp:inline distT="0" distB="0" distL="0" distR="0">
            <wp:extent cx="110490" cy="227330"/>
            <wp:effectExtent l="0" t="0" r="0" b="0"/>
            <wp:docPr id="166" name="IM 166"/>
            <wp:cNvGraphicFramePr/>
            <a:graphic xmlns:a="http://schemas.openxmlformats.org/drawingml/2006/main">
              <a:graphicData uri="http://schemas.openxmlformats.org/drawingml/2006/picture">
                <pic:pic xmlns:pic="http://schemas.openxmlformats.org/drawingml/2006/picture">
                  <pic:nvPicPr>
                    <pic:cNvPr id="166" name="IM 166"/>
                    <pic:cNvPicPr/>
                  </pic:nvPicPr>
                  <pic:blipFill>
                    <a:blip r:embed="rId542"/>
                    <a:stretch>
                      <a:fillRect/>
                    </a:stretch>
                  </pic:blipFill>
                  <pic:spPr>
                    <a:xfrm>
                      <a:off x="0" y="0"/>
                      <a:ext cx="110578" cy="227443"/>
                    </a:xfrm>
                    <a:prstGeom prst="rect">
                      <a:avLst/>
                    </a:prstGeom>
                  </pic:spPr>
                </pic:pic>
              </a:graphicData>
            </a:graphic>
          </wp:inline>
        </w:drawing>
      </w:r>
    </w:p>
    <w:p w14:paraId="0D41920F">
      <w:pPr>
        <w:spacing w:before="10" w:line="467" w:lineRule="exact"/>
        <w:ind w:firstLine="3532"/>
        <w:textAlignment w:val="center"/>
      </w:pPr>
      <w:r>
        <w:pict>
          <v:group id="_x0000_s1305" o:spid="_x0000_s1305" o:spt="203" style="height:23.4pt;width:82.95pt;" coordsize="1658,467">
            <o:lock v:ext="edit"/>
            <v:shape id="_x0000_s1306" o:spid="_x0000_s1306" o:spt="75" type="#_x0000_t75" style="position:absolute;left:0;top:0;height:467;width:1658;" filled="f" stroked="f" coordsize="21600,21600">
              <v:path/>
              <v:fill on="f" focussize="0,0"/>
              <v:stroke on="f"/>
              <v:imagedata r:id="rId543" o:title=""/>
              <o:lock v:ext="edit" aspectratio="t"/>
            </v:shape>
            <v:shape id="_x0000_s1307" o:spid="_x0000_s1307" o:spt="202" type="#_x0000_t202" style="position:absolute;left:-20;top:-20;height:545;width:1698;" filled="f" stroked="f" coordsize="21600,21600">
              <v:path/>
              <v:fill on="f" focussize="0,0"/>
              <v:stroke on="f"/>
              <v:imagedata o:title=""/>
              <o:lock v:ext="edit" aspectratio="f"/>
              <v:textbox inset="0mm,0mm,0mm,0mm">
                <w:txbxContent>
                  <w:p w14:paraId="1D8FF2D7">
                    <w:pPr>
                      <w:spacing w:before="172" w:line="228" w:lineRule="auto"/>
                      <w:ind w:left="543"/>
                      <w:rPr>
                        <w:rFonts w:ascii="宋体" w:hAnsi="宋体" w:eastAsia="宋体" w:cs="宋体"/>
                        <w:sz w:val="20"/>
                        <w:szCs w:val="20"/>
                      </w:rPr>
                    </w:pPr>
                    <w:r>
                      <w:rPr>
                        <w:rFonts w:ascii="宋体" w:hAnsi="宋体" w:eastAsia="宋体" w:cs="宋体"/>
                        <w:spacing w:val="7"/>
                        <w:sz w:val="20"/>
                        <w:szCs w:val="20"/>
                      </w:rPr>
                      <w:t>调</w:t>
                    </w:r>
                    <w:r>
                      <w:rPr>
                        <w:rFonts w:ascii="宋体" w:hAnsi="宋体" w:eastAsia="宋体" w:cs="宋体"/>
                        <w:spacing w:val="6"/>
                        <w:sz w:val="20"/>
                        <w:szCs w:val="20"/>
                      </w:rPr>
                      <w:t>节池</w:t>
                    </w:r>
                  </w:p>
                </w:txbxContent>
              </v:textbox>
            </v:shape>
            <w10:wrap type="none"/>
            <w10:anchorlock/>
          </v:group>
        </w:pict>
      </w:r>
    </w:p>
    <w:p w14:paraId="6ADF65C2">
      <w:pPr>
        <w:spacing w:before="58" w:line="358" w:lineRule="exact"/>
        <w:ind w:firstLine="4266"/>
        <w:textAlignment w:val="center"/>
      </w:pPr>
      <w:r>
        <w:drawing>
          <wp:inline distT="0" distB="0" distL="0" distR="0">
            <wp:extent cx="110490" cy="227330"/>
            <wp:effectExtent l="0" t="0" r="0" b="0"/>
            <wp:docPr id="167" name="IM 167"/>
            <wp:cNvGraphicFramePr/>
            <a:graphic xmlns:a="http://schemas.openxmlformats.org/drawingml/2006/main">
              <a:graphicData uri="http://schemas.openxmlformats.org/drawingml/2006/picture">
                <pic:pic xmlns:pic="http://schemas.openxmlformats.org/drawingml/2006/picture">
                  <pic:nvPicPr>
                    <pic:cNvPr id="167" name="IM 167"/>
                    <pic:cNvPicPr/>
                  </pic:nvPicPr>
                  <pic:blipFill>
                    <a:blip r:embed="rId544"/>
                    <a:stretch>
                      <a:fillRect/>
                    </a:stretch>
                  </pic:blipFill>
                  <pic:spPr>
                    <a:xfrm>
                      <a:off x="0" y="0"/>
                      <a:ext cx="110578" cy="227444"/>
                    </a:xfrm>
                    <a:prstGeom prst="rect">
                      <a:avLst/>
                    </a:prstGeom>
                  </pic:spPr>
                </pic:pic>
              </a:graphicData>
            </a:graphic>
          </wp:inline>
        </w:drawing>
      </w:r>
    </w:p>
    <w:p w14:paraId="47E495B0">
      <w:pPr>
        <w:spacing w:before="20" w:line="467" w:lineRule="exact"/>
        <w:ind w:firstLine="3613"/>
        <w:textAlignment w:val="center"/>
      </w:pPr>
      <w:r>
        <w:pict>
          <v:group id="_x0000_s1308" o:spid="_x0000_s1308" o:spt="203" style="height:23.35pt;width:74pt;" coordsize="1480,467">
            <o:lock v:ext="edit"/>
            <v:shape id="_x0000_s1309" o:spid="_x0000_s1309" o:spt="75" type="#_x0000_t75" style="position:absolute;left:0;top:0;height:467;width:1480;" filled="f" stroked="f" coordsize="21600,21600">
              <v:path/>
              <v:fill on="f" focussize="0,0"/>
              <v:stroke on="f"/>
              <v:imagedata r:id="rId545" o:title=""/>
              <o:lock v:ext="edit" aspectratio="t"/>
            </v:shape>
            <v:shape id="_x0000_s1310" o:spid="_x0000_s1310" o:spt="202" type="#_x0000_t202" style="position:absolute;left:-20;top:-20;height:545;width:1520;" filled="f" stroked="f" coordsize="21600,21600">
              <v:path/>
              <v:fill on="f" focussize="0,0"/>
              <v:stroke on="f"/>
              <v:imagedata o:title=""/>
              <o:lock v:ext="edit" aspectratio="f"/>
              <v:textbox inset="0mm,0mm,0mm,0mm">
                <w:txbxContent>
                  <w:p w14:paraId="79321736">
                    <w:pPr>
                      <w:spacing w:before="173" w:line="228" w:lineRule="auto"/>
                      <w:ind w:left="350"/>
                      <w:rPr>
                        <w:rFonts w:ascii="宋体" w:hAnsi="宋体" w:eastAsia="宋体" w:cs="宋体"/>
                        <w:sz w:val="20"/>
                        <w:szCs w:val="20"/>
                      </w:rPr>
                    </w:pPr>
                    <w:r>
                      <w:rPr>
                        <w:rFonts w:ascii="宋体" w:hAnsi="宋体" w:eastAsia="宋体" w:cs="宋体"/>
                        <w:spacing w:val="9"/>
                        <w:sz w:val="20"/>
                        <w:szCs w:val="20"/>
                      </w:rPr>
                      <w:t>混</w:t>
                    </w:r>
                    <w:r>
                      <w:rPr>
                        <w:rFonts w:ascii="宋体" w:hAnsi="宋体" w:eastAsia="宋体" w:cs="宋体"/>
                        <w:spacing w:val="6"/>
                        <w:sz w:val="20"/>
                        <w:szCs w:val="20"/>
                      </w:rPr>
                      <w:t>凝沉淀</w:t>
                    </w:r>
                  </w:p>
                </w:txbxContent>
              </v:textbox>
            </v:shape>
            <w10:wrap type="none"/>
            <w10:anchorlock/>
          </v:group>
        </w:pict>
      </w:r>
    </w:p>
    <w:p w14:paraId="44B9EDAB">
      <w:pPr>
        <w:spacing w:before="45" w:line="359" w:lineRule="exact"/>
        <w:ind w:firstLine="4244"/>
        <w:textAlignment w:val="center"/>
      </w:pPr>
      <w:r>
        <w:drawing>
          <wp:inline distT="0" distB="0" distL="0" distR="0">
            <wp:extent cx="110490" cy="227330"/>
            <wp:effectExtent l="0" t="0" r="0" b="0"/>
            <wp:docPr id="168" name="IM 168"/>
            <wp:cNvGraphicFramePr/>
            <a:graphic xmlns:a="http://schemas.openxmlformats.org/drawingml/2006/main">
              <a:graphicData uri="http://schemas.openxmlformats.org/drawingml/2006/picture">
                <pic:pic xmlns:pic="http://schemas.openxmlformats.org/drawingml/2006/picture">
                  <pic:nvPicPr>
                    <pic:cNvPr id="168" name="IM 168"/>
                    <pic:cNvPicPr/>
                  </pic:nvPicPr>
                  <pic:blipFill>
                    <a:blip r:embed="rId546"/>
                    <a:stretch>
                      <a:fillRect/>
                    </a:stretch>
                  </pic:blipFill>
                  <pic:spPr>
                    <a:xfrm>
                      <a:off x="0" y="0"/>
                      <a:ext cx="110579" cy="227444"/>
                    </a:xfrm>
                    <a:prstGeom prst="rect">
                      <a:avLst/>
                    </a:prstGeom>
                  </pic:spPr>
                </pic:pic>
              </a:graphicData>
            </a:graphic>
          </wp:inline>
        </w:drawing>
      </w:r>
    </w:p>
    <w:p w14:paraId="1D84FD1C">
      <w:pPr>
        <w:spacing w:before="61" w:line="467" w:lineRule="exact"/>
        <w:ind w:firstLine="3463"/>
        <w:textAlignment w:val="center"/>
      </w:pPr>
      <w:r>
        <w:pict>
          <v:group id="_x0000_s1311" o:spid="_x0000_s1311" o:spt="203" style="height:23.4pt;width:89pt;" coordsize="1780,467">
            <o:lock v:ext="edit"/>
            <v:shape id="_x0000_s1312" o:spid="_x0000_s1312" o:spt="75" type="#_x0000_t75" style="position:absolute;left:0;top:0;height:467;width:1780;" filled="f" stroked="f" coordsize="21600,21600">
              <v:path/>
              <v:fill on="f" focussize="0,0"/>
              <v:stroke on="f"/>
              <v:imagedata r:id="rId547" o:title=""/>
              <o:lock v:ext="edit" aspectratio="t"/>
            </v:shape>
            <v:shape id="_x0000_s1313" o:spid="_x0000_s1313" o:spt="202" type="#_x0000_t202" style="position:absolute;left:-20;top:-20;height:547;width:1820;" filled="f" stroked="f" coordsize="21600,21600">
              <v:path/>
              <v:fill on="f" focussize="0,0"/>
              <v:stroke on="f"/>
              <v:imagedata o:title=""/>
              <o:lock v:ext="edit" aspectratio="f"/>
              <v:textbox inset="0mm,0mm,0mm,0mm">
                <w:txbxContent>
                  <w:p w14:paraId="207C317C">
                    <w:pPr>
                      <w:spacing w:before="172" w:line="229" w:lineRule="auto"/>
                      <w:ind w:left="708"/>
                      <w:rPr>
                        <w:rFonts w:ascii="宋体" w:hAnsi="宋体" w:eastAsia="宋体" w:cs="宋体"/>
                        <w:sz w:val="20"/>
                        <w:szCs w:val="20"/>
                      </w:rPr>
                    </w:pPr>
                    <w:r>
                      <w:rPr>
                        <w:rFonts w:ascii="宋体" w:hAnsi="宋体" w:eastAsia="宋体" w:cs="宋体"/>
                        <w:spacing w:val="4"/>
                        <w:sz w:val="20"/>
                        <w:szCs w:val="20"/>
                      </w:rPr>
                      <w:t>气浮</w:t>
                    </w:r>
                  </w:p>
                </w:txbxContent>
              </v:textbox>
            </v:shape>
            <w10:wrap type="none"/>
            <w10:anchorlock/>
          </v:group>
        </w:pict>
      </w:r>
    </w:p>
    <w:p w14:paraId="3BDB5E29">
      <w:pPr>
        <w:spacing w:before="64" w:line="358" w:lineRule="exact"/>
        <w:ind w:firstLine="4266"/>
        <w:textAlignment w:val="center"/>
      </w:pPr>
      <w:r>
        <w:drawing>
          <wp:inline distT="0" distB="0" distL="0" distR="0">
            <wp:extent cx="110490" cy="227330"/>
            <wp:effectExtent l="0" t="0" r="0" b="0"/>
            <wp:docPr id="169" name="IM 169"/>
            <wp:cNvGraphicFramePr/>
            <a:graphic xmlns:a="http://schemas.openxmlformats.org/drawingml/2006/main">
              <a:graphicData uri="http://schemas.openxmlformats.org/drawingml/2006/picture">
                <pic:pic xmlns:pic="http://schemas.openxmlformats.org/drawingml/2006/picture">
                  <pic:nvPicPr>
                    <pic:cNvPr id="169" name="IM 169"/>
                    <pic:cNvPicPr/>
                  </pic:nvPicPr>
                  <pic:blipFill>
                    <a:blip r:embed="rId548"/>
                    <a:stretch>
                      <a:fillRect/>
                    </a:stretch>
                  </pic:blipFill>
                  <pic:spPr>
                    <a:xfrm>
                      <a:off x="0" y="0"/>
                      <a:ext cx="110578" cy="227443"/>
                    </a:xfrm>
                    <a:prstGeom prst="rect">
                      <a:avLst/>
                    </a:prstGeom>
                  </pic:spPr>
                </pic:pic>
              </a:graphicData>
            </a:graphic>
          </wp:inline>
        </w:drawing>
      </w:r>
    </w:p>
    <w:p w14:paraId="11B47842">
      <w:pPr>
        <w:spacing w:line="46" w:lineRule="exact"/>
      </w:pPr>
    </w:p>
    <w:p w14:paraId="32CC6D64">
      <w:pPr>
        <w:sectPr>
          <w:headerReference r:id="rId273" w:type="default"/>
          <w:footerReference r:id="rId274" w:type="default"/>
          <w:pgSz w:w="11906" w:h="16839"/>
          <w:pgMar w:top="1132" w:right="1785" w:bottom="1182" w:left="1785" w:header="878" w:footer="1022" w:gutter="0"/>
          <w:cols w:equalWidth="0" w:num="1">
            <w:col w:w="8335"/>
          </w:cols>
        </w:sectPr>
      </w:pPr>
    </w:p>
    <w:p w14:paraId="7409B66E">
      <w:pPr>
        <w:spacing w:line="443" w:lineRule="auto"/>
        <w:rPr>
          <w:rFonts w:ascii="Arial"/>
          <w:sz w:val="21"/>
        </w:rPr>
      </w:pPr>
    </w:p>
    <w:p w14:paraId="22A42171">
      <w:pPr>
        <w:spacing w:before="75" w:line="192" w:lineRule="auto"/>
        <w:ind w:left="1969"/>
        <w:rPr>
          <w:rFonts w:ascii="Times New Roman" w:hAnsi="Times New Roman" w:eastAsia="Times New Roman" w:cs="Times New Roman"/>
          <w:sz w:val="23"/>
          <w:szCs w:val="23"/>
        </w:rPr>
      </w:pPr>
      <w:r>
        <w:rPr>
          <w:rFonts w:ascii="宋体" w:hAnsi="宋体" w:eastAsia="宋体" w:cs="宋体"/>
          <w:spacing w:val="-11"/>
          <w:sz w:val="23"/>
          <w:szCs w:val="23"/>
          <w14:textOutline w14:w="4358" w14:cap="sq" w14:cmpd="sng">
            <w14:solidFill>
              <w14:srgbClr w14:val="000000"/>
            </w14:solidFill>
            <w14:prstDash w14:val="solid"/>
            <w14:bevel/>
          </w14:textOutline>
        </w:rPr>
        <w:t>图</w:t>
      </w:r>
      <w:r>
        <w:rPr>
          <w:rFonts w:ascii="宋体" w:hAnsi="宋体" w:eastAsia="宋体" w:cs="宋体"/>
          <w:spacing w:val="-11"/>
          <w:sz w:val="23"/>
          <w:szCs w:val="23"/>
        </w:rPr>
        <w:t xml:space="preserve"> </w:t>
      </w:r>
      <w:r>
        <w:rPr>
          <w:rFonts w:ascii="Times New Roman" w:hAnsi="Times New Roman" w:eastAsia="Times New Roman" w:cs="Times New Roman"/>
          <w:b/>
          <w:bCs/>
          <w:spacing w:val="-11"/>
          <w:sz w:val="23"/>
          <w:szCs w:val="23"/>
        </w:rPr>
        <w:t>6-1</w:t>
      </w:r>
    </w:p>
    <w:p w14:paraId="6449C770">
      <w:pPr>
        <w:spacing w:line="14" w:lineRule="auto"/>
        <w:rPr>
          <w:rFonts w:ascii="Arial"/>
          <w:sz w:val="2"/>
        </w:rPr>
      </w:pPr>
      <w:r>
        <w:rPr>
          <w:rFonts w:ascii="Arial" w:hAnsi="Arial" w:eastAsia="Arial" w:cs="Arial"/>
          <w:sz w:val="2"/>
          <w:szCs w:val="2"/>
        </w:rPr>
        <w:br w:type="column"/>
      </w:r>
    </w:p>
    <w:p w14:paraId="6364C318">
      <w:pPr>
        <w:spacing w:before="47" w:line="228" w:lineRule="auto"/>
        <w:ind w:left="160"/>
        <w:rPr>
          <w:rFonts w:ascii="宋体" w:hAnsi="宋体" w:eastAsia="宋体" w:cs="宋体"/>
          <w:sz w:val="20"/>
          <w:szCs w:val="20"/>
        </w:rPr>
      </w:pPr>
      <w:r>
        <w:rPr>
          <w:rFonts w:ascii="宋体" w:hAnsi="宋体" w:eastAsia="宋体" w:cs="宋体"/>
          <w:spacing w:val="10"/>
          <w:sz w:val="20"/>
          <w:szCs w:val="20"/>
        </w:rPr>
        <w:t>排</w:t>
      </w:r>
      <w:r>
        <w:rPr>
          <w:rFonts w:ascii="宋体" w:hAnsi="宋体" w:eastAsia="宋体" w:cs="宋体"/>
          <w:spacing w:val="9"/>
          <w:sz w:val="20"/>
          <w:szCs w:val="20"/>
        </w:rPr>
        <w:t>入三级沉淀池沉淀处理</w:t>
      </w:r>
    </w:p>
    <w:p w14:paraId="6C9C95BB">
      <w:pPr>
        <w:spacing w:before="226" w:line="192" w:lineRule="auto"/>
        <w:rPr>
          <w:rFonts w:ascii="宋体" w:hAnsi="宋体" w:eastAsia="宋体" w:cs="宋体"/>
          <w:sz w:val="23"/>
          <w:szCs w:val="23"/>
        </w:rPr>
      </w:pPr>
      <w:r>
        <w:rPr>
          <w:rFonts w:ascii="宋体" w:hAnsi="宋体" w:eastAsia="宋体" w:cs="宋体"/>
          <w:spacing w:val="10"/>
          <w:sz w:val="23"/>
          <w:szCs w:val="23"/>
          <w14:textOutline w14:w="4358" w14:cap="sq" w14:cmpd="sng">
            <w14:solidFill>
              <w14:srgbClr w14:val="000000"/>
            </w14:solidFill>
            <w14:prstDash w14:val="solid"/>
            <w14:bevel/>
          </w14:textOutline>
        </w:rPr>
        <w:t>污水预处理设备处理工艺流程</w:t>
      </w:r>
      <w:r>
        <w:rPr>
          <w:rFonts w:ascii="宋体" w:hAnsi="宋体" w:eastAsia="宋体" w:cs="宋体"/>
          <w:spacing w:val="8"/>
          <w:sz w:val="23"/>
          <w:szCs w:val="23"/>
          <w14:textOutline w14:w="4358" w14:cap="sq" w14:cmpd="sng">
            <w14:solidFill>
              <w14:srgbClr w14:val="000000"/>
            </w14:solidFill>
            <w14:prstDash w14:val="solid"/>
            <w14:bevel/>
          </w14:textOutline>
        </w:rPr>
        <w:t>图</w:t>
      </w:r>
    </w:p>
    <w:p w14:paraId="6905C2E3">
      <w:pPr>
        <w:sectPr>
          <w:type w:val="continuous"/>
          <w:pgSz w:w="11906" w:h="16839"/>
          <w:pgMar w:top="1132" w:right="1785" w:bottom="1182" w:left="1785" w:header="878" w:footer="1022" w:gutter="0"/>
          <w:cols w:equalWidth="0" w:num="2">
            <w:col w:w="2950" w:space="100"/>
            <w:col w:w="5285"/>
          </w:cols>
        </w:sectPr>
      </w:pPr>
    </w:p>
    <w:p w14:paraId="382C1A88">
      <w:pPr>
        <w:spacing w:line="321" w:lineRule="auto"/>
        <w:rPr>
          <w:rFonts w:ascii="Arial"/>
          <w:sz w:val="21"/>
        </w:rPr>
      </w:pPr>
    </w:p>
    <w:p w14:paraId="00982029">
      <w:pPr>
        <w:spacing w:before="75" w:line="380" w:lineRule="auto"/>
        <w:ind w:left="26" w:right="13" w:firstLine="506"/>
        <w:rPr>
          <w:rFonts w:ascii="宋体" w:hAnsi="宋体" w:eastAsia="宋体" w:cs="宋体"/>
          <w:sz w:val="23"/>
          <w:szCs w:val="23"/>
        </w:rPr>
      </w:pPr>
      <w:r>
        <w:rPr>
          <w:rFonts w:ascii="宋体" w:hAnsi="宋体" w:eastAsia="宋体" w:cs="宋体"/>
          <w:spacing w:val="6"/>
          <w:sz w:val="23"/>
          <w:szCs w:val="23"/>
        </w:rPr>
        <w:t>由工程分析</w:t>
      </w:r>
      <w:r>
        <w:rPr>
          <w:rFonts w:ascii="宋体" w:hAnsi="宋体" w:eastAsia="宋体" w:cs="宋体"/>
          <w:spacing w:val="4"/>
          <w:sz w:val="23"/>
          <w:szCs w:val="23"/>
        </w:rPr>
        <w:t>章</w:t>
      </w:r>
      <w:r>
        <w:rPr>
          <w:rFonts w:ascii="宋体" w:hAnsi="宋体" w:eastAsia="宋体" w:cs="宋体"/>
          <w:spacing w:val="3"/>
          <w:sz w:val="23"/>
          <w:szCs w:val="23"/>
        </w:rPr>
        <w:t xml:space="preserve">节可知，该部分更换的生产废水主要污染物为 </w:t>
      </w:r>
      <w:r>
        <w:rPr>
          <w:rFonts w:ascii="Times New Roman" w:hAnsi="Times New Roman" w:eastAsia="Times New Roman" w:cs="Times New Roman"/>
          <w:sz w:val="23"/>
          <w:szCs w:val="23"/>
        </w:rPr>
        <w:t>COD</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w:t>
      </w:r>
      <w:r>
        <w:rPr>
          <w:rFonts w:ascii="Times New Roman" w:hAnsi="Times New Roman" w:eastAsia="Times New Roman" w:cs="Times New Roman"/>
          <w:sz w:val="23"/>
          <w:szCs w:val="23"/>
        </w:rPr>
        <w:t>SS</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、石</w:t>
      </w:r>
      <w:r>
        <w:rPr>
          <w:rFonts w:ascii="宋体" w:hAnsi="宋体" w:eastAsia="宋体" w:cs="宋体"/>
          <w:sz w:val="23"/>
          <w:szCs w:val="23"/>
        </w:rPr>
        <w:t xml:space="preserve"> </w:t>
      </w:r>
      <w:r>
        <w:rPr>
          <w:rFonts w:ascii="宋体" w:hAnsi="宋体" w:eastAsia="宋体" w:cs="宋体"/>
          <w:spacing w:val="8"/>
          <w:sz w:val="23"/>
          <w:szCs w:val="23"/>
        </w:rPr>
        <w:t>油类，</w:t>
      </w:r>
      <w:r>
        <w:rPr>
          <w:rFonts w:ascii="宋体" w:hAnsi="宋体" w:eastAsia="宋体" w:cs="宋体"/>
          <w:spacing w:val="6"/>
          <w:sz w:val="23"/>
          <w:szCs w:val="23"/>
        </w:rPr>
        <w:t>能</w:t>
      </w:r>
      <w:r>
        <w:rPr>
          <w:rFonts w:ascii="宋体" w:hAnsi="宋体" w:eastAsia="宋体" w:cs="宋体"/>
          <w:spacing w:val="4"/>
          <w:sz w:val="23"/>
          <w:szCs w:val="23"/>
        </w:rPr>
        <w:t>够达到《辽宁省污水综合排放标准》 (</w:t>
      </w:r>
      <w:r>
        <w:rPr>
          <w:rFonts w:ascii="Times New Roman" w:hAnsi="Times New Roman" w:eastAsia="Times New Roman" w:cs="Times New Roman"/>
          <w:sz w:val="23"/>
          <w:szCs w:val="23"/>
        </w:rPr>
        <w:t>DB</w:t>
      </w:r>
      <w:r>
        <w:rPr>
          <w:rFonts w:ascii="Times New Roman" w:hAnsi="Times New Roman" w:eastAsia="Times New Roman" w:cs="Times New Roman"/>
          <w:spacing w:val="4"/>
          <w:sz w:val="23"/>
          <w:szCs w:val="23"/>
        </w:rPr>
        <w:t>21/ 1627-2008</w:t>
      </w:r>
      <w:r>
        <w:rPr>
          <w:rFonts w:ascii="宋体" w:hAnsi="宋体" w:eastAsia="宋体" w:cs="宋体"/>
          <w:spacing w:val="4"/>
          <w:sz w:val="23"/>
          <w:szCs w:val="23"/>
        </w:rPr>
        <w:t>) 中排入污水处</w:t>
      </w:r>
      <w:r>
        <w:rPr>
          <w:rFonts w:ascii="宋体" w:hAnsi="宋体" w:eastAsia="宋体" w:cs="宋体"/>
          <w:sz w:val="23"/>
          <w:szCs w:val="23"/>
        </w:rPr>
        <w:t xml:space="preserve"> </w:t>
      </w:r>
      <w:r>
        <w:rPr>
          <w:rFonts w:ascii="宋体" w:hAnsi="宋体" w:eastAsia="宋体" w:cs="宋体"/>
          <w:spacing w:val="9"/>
          <w:sz w:val="23"/>
          <w:szCs w:val="23"/>
        </w:rPr>
        <w:t>理厂的水污染物最高允许排放浓度限制要求</w:t>
      </w:r>
      <w:r>
        <w:rPr>
          <w:rFonts w:ascii="宋体" w:hAnsi="宋体" w:eastAsia="宋体" w:cs="宋体"/>
          <w:spacing w:val="6"/>
          <w:sz w:val="23"/>
          <w:szCs w:val="23"/>
        </w:rPr>
        <w:t>。</w:t>
      </w:r>
    </w:p>
    <w:p w14:paraId="741C5012">
      <w:pPr>
        <w:spacing w:before="122" w:line="226" w:lineRule="auto"/>
        <w:ind w:left="25"/>
        <w:outlineLvl w:val="2"/>
        <w:rPr>
          <w:rFonts w:ascii="宋体" w:hAnsi="宋体" w:eastAsia="宋体" w:cs="宋体"/>
          <w:sz w:val="29"/>
          <w:szCs w:val="29"/>
        </w:rPr>
      </w:pPr>
      <w:r>
        <w:rPr>
          <w:rFonts w:ascii="Times New Roman" w:hAnsi="Times New Roman" w:eastAsia="Times New Roman" w:cs="Times New Roman"/>
          <w:b/>
          <w:bCs/>
          <w:spacing w:val="14"/>
          <w:sz w:val="29"/>
          <w:szCs w:val="29"/>
        </w:rPr>
        <w:t>6</w:t>
      </w:r>
      <w:r>
        <w:rPr>
          <w:rFonts w:ascii="Times New Roman" w:hAnsi="Times New Roman" w:eastAsia="Times New Roman" w:cs="Times New Roman"/>
          <w:b/>
          <w:bCs/>
          <w:spacing w:val="11"/>
          <w:sz w:val="29"/>
          <w:szCs w:val="29"/>
        </w:rPr>
        <w:t>.</w:t>
      </w:r>
      <w:r>
        <w:rPr>
          <w:rFonts w:ascii="Times New Roman" w:hAnsi="Times New Roman" w:eastAsia="Times New Roman" w:cs="Times New Roman"/>
          <w:b/>
          <w:bCs/>
          <w:spacing w:val="7"/>
          <w:sz w:val="29"/>
          <w:szCs w:val="29"/>
        </w:rPr>
        <w:t>2.3</w:t>
      </w:r>
      <w:r>
        <w:rPr>
          <w:rFonts w:ascii="Times New Roman" w:hAnsi="Times New Roman" w:eastAsia="Times New Roman" w:cs="Times New Roman"/>
          <w:spacing w:val="7"/>
          <w:sz w:val="29"/>
          <w:szCs w:val="29"/>
        </w:rPr>
        <w:t xml:space="preserve">  </w:t>
      </w:r>
      <w:r>
        <w:rPr>
          <w:rFonts w:ascii="宋体" w:hAnsi="宋体" w:eastAsia="宋体" w:cs="宋体"/>
          <w:spacing w:val="7"/>
          <w:sz w:val="29"/>
          <w:szCs w:val="29"/>
          <w14:textOutline w14:w="5448" w14:cap="sq" w14:cmpd="sng">
            <w14:solidFill>
              <w14:srgbClr w14:val="000000"/>
            </w14:solidFill>
            <w14:prstDash w14:val="solid"/>
            <w14:bevel/>
          </w14:textOutline>
        </w:rPr>
        <w:t>运营期地下水污染防治措施</w:t>
      </w:r>
    </w:p>
    <w:p w14:paraId="229844B2">
      <w:pPr>
        <w:spacing w:before="297" w:line="221" w:lineRule="auto"/>
        <w:ind w:left="24"/>
        <w:outlineLvl w:val="2"/>
        <w:rPr>
          <w:rFonts w:ascii="宋体" w:hAnsi="宋体" w:eastAsia="宋体" w:cs="宋体"/>
          <w:sz w:val="28"/>
          <w:szCs w:val="28"/>
        </w:rPr>
      </w:pPr>
      <w:r>
        <w:rPr>
          <w:rFonts w:ascii="Times New Roman" w:hAnsi="Times New Roman" w:eastAsia="Times New Roman" w:cs="Times New Roman"/>
          <w:b/>
          <w:bCs/>
          <w:spacing w:val="11"/>
          <w:sz w:val="28"/>
          <w:szCs w:val="28"/>
        </w:rPr>
        <w:t>6</w:t>
      </w:r>
      <w:r>
        <w:rPr>
          <w:rFonts w:ascii="Times New Roman" w:hAnsi="Times New Roman" w:eastAsia="Times New Roman" w:cs="Times New Roman"/>
          <w:b/>
          <w:bCs/>
          <w:spacing w:val="6"/>
          <w:sz w:val="28"/>
          <w:szCs w:val="28"/>
        </w:rPr>
        <w:t>.2.3.1</w:t>
      </w:r>
      <w:r>
        <w:rPr>
          <w:rFonts w:ascii="Times New Roman" w:hAnsi="Times New Roman" w:eastAsia="Times New Roman" w:cs="Times New Roman"/>
          <w:spacing w:val="6"/>
          <w:sz w:val="28"/>
          <w:szCs w:val="28"/>
        </w:rPr>
        <w:t xml:space="preserve">  </w:t>
      </w:r>
      <w:r>
        <w:rPr>
          <w:rFonts w:ascii="宋体" w:hAnsi="宋体" w:eastAsia="宋体" w:cs="宋体"/>
          <w:spacing w:val="6"/>
          <w:sz w:val="28"/>
          <w:szCs w:val="28"/>
          <w14:textOutline w14:w="5103" w14:cap="sq" w14:cmpd="sng">
            <w14:solidFill>
              <w14:srgbClr w14:val="000000"/>
            </w14:solidFill>
            <w14:prstDash w14:val="solid"/>
            <w14:bevel/>
          </w14:textOutline>
        </w:rPr>
        <w:t>防控措施</w:t>
      </w:r>
    </w:p>
    <w:p w14:paraId="7241C6BD">
      <w:pPr>
        <w:spacing w:line="257" w:lineRule="auto"/>
        <w:rPr>
          <w:rFonts w:ascii="Arial"/>
          <w:sz w:val="21"/>
        </w:rPr>
      </w:pPr>
    </w:p>
    <w:p w14:paraId="791CF78D">
      <w:pPr>
        <w:spacing w:before="75" w:line="389" w:lineRule="auto"/>
        <w:ind w:left="24" w:right="13" w:firstLine="478"/>
        <w:rPr>
          <w:rFonts w:ascii="宋体" w:hAnsi="宋体" w:eastAsia="宋体" w:cs="宋体"/>
          <w:sz w:val="23"/>
          <w:szCs w:val="23"/>
        </w:rPr>
      </w:pPr>
      <w:r>
        <w:rPr>
          <w:rFonts w:ascii="宋体" w:hAnsi="宋体" w:eastAsia="宋体" w:cs="宋体"/>
          <w:spacing w:val="7"/>
          <w:sz w:val="23"/>
          <w:szCs w:val="23"/>
        </w:rPr>
        <w:t>对可能泄漏污染物的污染区和装置进行防渗处理，并及时地将泄漏、渗漏</w:t>
      </w:r>
      <w:r>
        <w:rPr>
          <w:rFonts w:ascii="宋体" w:hAnsi="宋体" w:eastAsia="宋体" w:cs="宋体"/>
          <w:spacing w:val="3"/>
          <w:sz w:val="23"/>
          <w:szCs w:val="23"/>
        </w:rPr>
        <w:t>的</w:t>
      </w:r>
      <w:r>
        <w:rPr>
          <w:rFonts w:ascii="宋体" w:hAnsi="宋体" w:eastAsia="宋体" w:cs="宋体"/>
          <w:sz w:val="23"/>
          <w:szCs w:val="23"/>
        </w:rPr>
        <w:t xml:space="preserve"> </w:t>
      </w:r>
      <w:r>
        <w:rPr>
          <w:rFonts w:ascii="宋体" w:hAnsi="宋体" w:eastAsia="宋体" w:cs="宋体"/>
          <w:spacing w:val="8"/>
          <w:sz w:val="23"/>
          <w:szCs w:val="23"/>
        </w:rPr>
        <w:t>污</w:t>
      </w:r>
      <w:r>
        <w:rPr>
          <w:rFonts w:ascii="宋体" w:hAnsi="宋体" w:eastAsia="宋体" w:cs="宋体"/>
          <w:spacing w:val="7"/>
          <w:sz w:val="23"/>
          <w:szCs w:val="23"/>
        </w:rPr>
        <w:t>染物收集起来进行处理，可有效防止污染物渗入地下。根据国家相关标准和规</w:t>
      </w:r>
      <w:r>
        <w:rPr>
          <w:rFonts w:ascii="宋体" w:hAnsi="宋体" w:eastAsia="宋体" w:cs="宋体"/>
          <w:sz w:val="23"/>
          <w:szCs w:val="23"/>
        </w:rPr>
        <w:t xml:space="preserve"> </w:t>
      </w:r>
      <w:r>
        <w:rPr>
          <w:rFonts w:ascii="宋体" w:hAnsi="宋体" w:eastAsia="宋体" w:cs="宋体"/>
          <w:spacing w:val="8"/>
          <w:sz w:val="23"/>
          <w:szCs w:val="23"/>
        </w:rPr>
        <w:t>范</w:t>
      </w:r>
      <w:r>
        <w:rPr>
          <w:rFonts w:ascii="宋体" w:hAnsi="宋体" w:eastAsia="宋体" w:cs="宋体"/>
          <w:spacing w:val="7"/>
          <w:sz w:val="23"/>
          <w:szCs w:val="23"/>
        </w:rPr>
        <w:t>，结合目前施工过程中的可操作性和技术水平，针对不同的污染防治区域采用</w:t>
      </w:r>
      <w:r>
        <w:rPr>
          <w:rFonts w:ascii="宋体" w:hAnsi="宋体" w:eastAsia="宋体" w:cs="宋体"/>
          <w:sz w:val="23"/>
          <w:szCs w:val="23"/>
        </w:rPr>
        <w:t xml:space="preserve"> </w:t>
      </w:r>
      <w:r>
        <w:rPr>
          <w:rFonts w:ascii="宋体" w:hAnsi="宋体" w:eastAsia="宋体" w:cs="宋体"/>
          <w:spacing w:val="8"/>
          <w:sz w:val="23"/>
          <w:szCs w:val="23"/>
        </w:rPr>
        <w:t>不</w:t>
      </w:r>
      <w:r>
        <w:rPr>
          <w:rFonts w:ascii="宋体" w:hAnsi="宋体" w:eastAsia="宋体" w:cs="宋体"/>
          <w:spacing w:val="7"/>
          <w:sz w:val="23"/>
          <w:szCs w:val="23"/>
        </w:rPr>
        <w:t>同的防治和防渗措施，在具体设计中可根据实际情况在满足防渗标准的前提下</w:t>
      </w:r>
      <w:r>
        <w:rPr>
          <w:rFonts w:ascii="宋体" w:hAnsi="宋体" w:eastAsia="宋体" w:cs="宋体"/>
          <w:sz w:val="23"/>
          <w:szCs w:val="23"/>
        </w:rPr>
        <w:t xml:space="preserve"> </w:t>
      </w:r>
      <w:r>
        <w:rPr>
          <w:rFonts w:ascii="宋体" w:hAnsi="宋体" w:eastAsia="宋体" w:cs="宋体"/>
          <w:spacing w:val="9"/>
          <w:sz w:val="23"/>
          <w:szCs w:val="23"/>
        </w:rPr>
        <w:t>作</w:t>
      </w:r>
      <w:r>
        <w:rPr>
          <w:rFonts w:ascii="宋体" w:hAnsi="宋体" w:eastAsia="宋体" w:cs="宋体"/>
          <w:spacing w:val="6"/>
          <w:sz w:val="23"/>
          <w:szCs w:val="23"/>
        </w:rPr>
        <w:t>必要调整。</w:t>
      </w:r>
    </w:p>
    <w:p w14:paraId="6F9E8481">
      <w:pPr>
        <w:spacing w:before="136" w:line="303" w:lineRule="exact"/>
        <w:ind w:left="522"/>
        <w:rPr>
          <w:rFonts w:ascii="宋体" w:hAnsi="宋体" w:eastAsia="宋体" w:cs="宋体"/>
          <w:sz w:val="23"/>
          <w:szCs w:val="23"/>
        </w:rPr>
      </w:pPr>
      <w:r>
        <w:rPr>
          <w:rFonts w:ascii="Times New Roman" w:hAnsi="Times New Roman" w:eastAsia="Times New Roman" w:cs="Times New Roman"/>
          <w:spacing w:val="-4"/>
          <w:position w:val="1"/>
          <w:sz w:val="23"/>
          <w:szCs w:val="23"/>
        </w:rPr>
        <w:t xml:space="preserve">1 </w:t>
      </w:r>
      <w:r>
        <w:rPr>
          <w:rFonts w:ascii="宋体" w:hAnsi="宋体" w:eastAsia="宋体" w:cs="宋体"/>
          <w:spacing w:val="-3"/>
          <w:position w:val="1"/>
          <w:sz w:val="23"/>
          <w:szCs w:val="23"/>
        </w:rPr>
        <w:t>、</w:t>
      </w:r>
      <w:r>
        <w:rPr>
          <w:rFonts w:ascii="宋体" w:hAnsi="宋体" w:eastAsia="宋体" w:cs="宋体"/>
          <w:spacing w:val="-2"/>
          <w:position w:val="1"/>
          <w:sz w:val="23"/>
          <w:szCs w:val="23"/>
        </w:rPr>
        <w:t>重点防渗区</w:t>
      </w:r>
    </w:p>
    <w:p w14:paraId="592E9E0A">
      <w:pPr>
        <w:spacing w:line="257" w:lineRule="auto"/>
        <w:rPr>
          <w:rFonts w:ascii="Arial"/>
          <w:sz w:val="21"/>
        </w:rPr>
      </w:pPr>
    </w:p>
    <w:p w14:paraId="172F63DA">
      <w:pPr>
        <w:spacing w:before="74" w:line="227" w:lineRule="auto"/>
        <w:ind w:left="507"/>
        <w:rPr>
          <w:rFonts w:ascii="宋体" w:hAnsi="宋体" w:eastAsia="宋体" w:cs="宋体"/>
          <w:sz w:val="23"/>
          <w:szCs w:val="23"/>
        </w:rPr>
      </w:pPr>
      <w:r>
        <w:rPr>
          <w:rFonts w:ascii="宋体" w:hAnsi="宋体" w:eastAsia="宋体" w:cs="宋体"/>
          <w:spacing w:val="12"/>
          <w:sz w:val="23"/>
          <w:szCs w:val="23"/>
        </w:rPr>
        <w:t>项目生产</w:t>
      </w:r>
      <w:r>
        <w:rPr>
          <w:rFonts w:ascii="宋体" w:hAnsi="宋体" w:eastAsia="宋体" w:cs="宋体"/>
          <w:spacing w:val="7"/>
          <w:sz w:val="23"/>
          <w:szCs w:val="23"/>
        </w:rPr>
        <w:t>厂</w:t>
      </w:r>
      <w:r>
        <w:rPr>
          <w:rFonts w:ascii="宋体" w:hAnsi="宋体" w:eastAsia="宋体" w:cs="宋体"/>
          <w:spacing w:val="6"/>
          <w:sz w:val="23"/>
          <w:szCs w:val="23"/>
        </w:rPr>
        <w:t>房、成品库、原料库、三级沉淀池、旱厕、危废暂存间做防渗处</w:t>
      </w:r>
    </w:p>
    <w:p w14:paraId="6DD4D6BF">
      <w:pPr>
        <w:spacing w:before="196" w:line="374" w:lineRule="auto"/>
        <w:ind w:left="23" w:right="8" w:firstLine="2"/>
        <w:rPr>
          <w:rFonts w:ascii="宋体" w:hAnsi="宋体" w:eastAsia="宋体" w:cs="宋体"/>
          <w:sz w:val="23"/>
          <w:szCs w:val="23"/>
        </w:rPr>
      </w:pPr>
      <w:r>
        <w:rPr>
          <w:rFonts w:ascii="宋体" w:hAnsi="宋体" w:eastAsia="宋体" w:cs="宋体"/>
          <w:spacing w:val="14"/>
          <w:sz w:val="23"/>
          <w:szCs w:val="23"/>
        </w:rPr>
        <w:t>理，底</w:t>
      </w:r>
      <w:r>
        <w:rPr>
          <w:rFonts w:ascii="宋体" w:hAnsi="宋体" w:eastAsia="宋体" w:cs="宋体"/>
          <w:spacing w:val="11"/>
          <w:sz w:val="23"/>
          <w:szCs w:val="23"/>
        </w:rPr>
        <w:t>部</w:t>
      </w:r>
      <w:r>
        <w:rPr>
          <w:rFonts w:ascii="宋体" w:hAnsi="宋体" w:eastAsia="宋体" w:cs="宋体"/>
          <w:spacing w:val="7"/>
          <w:sz w:val="23"/>
          <w:szCs w:val="23"/>
        </w:rPr>
        <w:t xml:space="preserve">铺设 </w:t>
      </w:r>
      <w:r>
        <w:rPr>
          <w:rFonts w:ascii="Times New Roman" w:hAnsi="Times New Roman" w:eastAsia="Times New Roman" w:cs="Times New Roman"/>
          <w:spacing w:val="7"/>
          <w:sz w:val="23"/>
          <w:szCs w:val="23"/>
        </w:rPr>
        <w:t>300</w:t>
      </w:r>
      <w:r>
        <w:rPr>
          <w:rFonts w:ascii="Times New Roman" w:hAnsi="Times New Roman" w:eastAsia="Times New Roman" w:cs="Times New Roman"/>
          <w:sz w:val="23"/>
          <w:szCs w:val="23"/>
        </w:rPr>
        <w:t>mm</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黏土层 (保护层，同时作为辅助防渗层) 压实平整，黏土</w:t>
      </w:r>
      <w:r>
        <w:rPr>
          <w:rFonts w:ascii="宋体" w:hAnsi="宋体" w:eastAsia="宋体" w:cs="宋体"/>
          <w:sz w:val="23"/>
          <w:szCs w:val="23"/>
        </w:rPr>
        <w:t xml:space="preserve"> </w:t>
      </w:r>
      <w:r>
        <w:rPr>
          <w:rFonts w:ascii="宋体" w:hAnsi="宋体" w:eastAsia="宋体" w:cs="宋体"/>
          <w:spacing w:val="16"/>
          <w:sz w:val="23"/>
          <w:szCs w:val="23"/>
        </w:rPr>
        <w:t>层</w:t>
      </w:r>
      <w:r>
        <w:rPr>
          <w:rFonts w:ascii="宋体" w:hAnsi="宋体" w:eastAsia="宋体" w:cs="宋体"/>
          <w:spacing w:val="10"/>
          <w:sz w:val="23"/>
          <w:szCs w:val="23"/>
        </w:rPr>
        <w:t xml:space="preserve">上铺设 </w:t>
      </w:r>
      <w:r>
        <w:rPr>
          <w:rFonts w:ascii="Times New Roman" w:hAnsi="Times New Roman" w:eastAsia="Times New Roman" w:cs="Times New Roman"/>
          <w:sz w:val="23"/>
          <w:szCs w:val="23"/>
        </w:rPr>
        <w:t>HDPE</w:t>
      </w:r>
      <w:r>
        <w:rPr>
          <w:rFonts w:ascii="Times New Roman" w:hAnsi="Times New Roman" w:eastAsia="Times New Roman" w:cs="Times New Roman"/>
          <w:spacing w:val="10"/>
          <w:sz w:val="23"/>
          <w:szCs w:val="23"/>
        </w:rPr>
        <w:t>-</w:t>
      </w:r>
      <w:r>
        <w:rPr>
          <w:rFonts w:ascii="Times New Roman" w:hAnsi="Times New Roman" w:eastAsia="Times New Roman" w:cs="Times New Roman"/>
          <w:sz w:val="23"/>
          <w:szCs w:val="23"/>
        </w:rPr>
        <w:t>GCL</w:t>
      </w:r>
      <w:r>
        <w:rPr>
          <w:rFonts w:ascii="Times New Roman" w:hAnsi="Times New Roman" w:eastAsia="Times New Roman" w:cs="Times New Roman"/>
          <w:spacing w:val="10"/>
          <w:sz w:val="23"/>
          <w:szCs w:val="23"/>
        </w:rPr>
        <w:t xml:space="preserve"> </w:t>
      </w:r>
      <w:r>
        <w:rPr>
          <w:rFonts w:ascii="宋体" w:hAnsi="宋体" w:eastAsia="宋体" w:cs="宋体"/>
          <w:spacing w:val="10"/>
          <w:sz w:val="23"/>
          <w:szCs w:val="23"/>
        </w:rPr>
        <w:t>复合防渗系统 (</w:t>
      </w:r>
      <w:r>
        <w:rPr>
          <w:rFonts w:ascii="Times New Roman" w:hAnsi="Times New Roman" w:eastAsia="Times New Roman" w:cs="Times New Roman"/>
          <w:spacing w:val="10"/>
          <w:sz w:val="23"/>
          <w:szCs w:val="23"/>
        </w:rPr>
        <w:t>2</w:t>
      </w:r>
      <w:r>
        <w:rPr>
          <w:rFonts w:ascii="Times New Roman" w:hAnsi="Times New Roman" w:eastAsia="Times New Roman" w:cs="Times New Roman"/>
          <w:sz w:val="23"/>
          <w:szCs w:val="23"/>
        </w:rPr>
        <w:t>mm</w:t>
      </w:r>
      <w:r>
        <w:rPr>
          <w:rFonts w:ascii="Times New Roman" w:hAnsi="Times New Roman" w:eastAsia="Times New Roman" w:cs="Times New Roman"/>
          <w:spacing w:val="10"/>
          <w:sz w:val="23"/>
          <w:szCs w:val="23"/>
        </w:rPr>
        <w:t xml:space="preserve"> </w:t>
      </w:r>
      <w:r>
        <w:rPr>
          <w:rFonts w:ascii="宋体" w:hAnsi="宋体" w:eastAsia="宋体" w:cs="宋体"/>
          <w:spacing w:val="10"/>
          <w:sz w:val="23"/>
          <w:szCs w:val="23"/>
        </w:rPr>
        <w:t>厚的高密度聚乙烯膜、</w:t>
      </w:r>
      <w:r>
        <w:rPr>
          <w:rFonts w:ascii="Times New Roman" w:hAnsi="Times New Roman" w:eastAsia="Times New Roman" w:cs="Times New Roman"/>
          <w:spacing w:val="10"/>
          <w:sz w:val="23"/>
          <w:szCs w:val="23"/>
        </w:rPr>
        <w:t>300</w:t>
      </w:r>
      <w:r>
        <w:rPr>
          <w:rFonts w:ascii="Times New Roman" w:hAnsi="Times New Roman" w:eastAsia="Times New Roman" w:cs="Times New Roman"/>
          <w:sz w:val="23"/>
          <w:szCs w:val="23"/>
        </w:rPr>
        <w:t>g</w:t>
      </w:r>
      <w:r>
        <w:rPr>
          <w:rFonts w:ascii="Times New Roman" w:hAnsi="Times New Roman" w:eastAsia="Times New Roman" w:cs="Times New Roman"/>
          <w:spacing w:val="10"/>
          <w:sz w:val="23"/>
          <w:szCs w:val="23"/>
        </w:rPr>
        <w:t>/</w:t>
      </w:r>
      <w:r>
        <w:rPr>
          <w:rFonts w:ascii="Times New Roman" w:hAnsi="Times New Roman" w:eastAsia="Times New Roman" w:cs="Times New Roman"/>
          <w:sz w:val="23"/>
          <w:szCs w:val="23"/>
        </w:rPr>
        <w:t>m</w:t>
      </w:r>
      <w:r>
        <w:rPr>
          <w:rFonts w:ascii="Times New Roman" w:hAnsi="Times New Roman" w:eastAsia="Times New Roman" w:cs="Times New Roman"/>
          <w:spacing w:val="10"/>
          <w:position w:val="8"/>
          <w:sz w:val="15"/>
          <w:szCs w:val="15"/>
        </w:rPr>
        <w:t xml:space="preserve">2 </w:t>
      </w:r>
      <w:r>
        <w:rPr>
          <w:rFonts w:ascii="宋体" w:hAnsi="宋体" w:eastAsia="宋体" w:cs="宋体"/>
          <w:spacing w:val="10"/>
          <w:sz w:val="23"/>
          <w:szCs w:val="23"/>
        </w:rPr>
        <w:t>土工</w:t>
      </w:r>
      <w:r>
        <w:rPr>
          <w:rFonts w:ascii="宋体" w:hAnsi="宋体" w:eastAsia="宋体" w:cs="宋体"/>
          <w:sz w:val="23"/>
          <w:szCs w:val="23"/>
        </w:rPr>
        <w:t xml:space="preserve"> </w:t>
      </w:r>
      <w:r>
        <w:rPr>
          <w:rFonts w:ascii="宋体" w:hAnsi="宋体" w:eastAsia="宋体" w:cs="宋体"/>
          <w:spacing w:val="8"/>
          <w:sz w:val="23"/>
          <w:szCs w:val="23"/>
        </w:rPr>
        <w:t xml:space="preserve">织物膨润土垫) ，上部外加耐腐蚀混凝土 </w:t>
      </w:r>
      <w:r>
        <w:rPr>
          <w:rFonts w:ascii="Times New Roman" w:hAnsi="Times New Roman" w:eastAsia="Times New Roman" w:cs="Times New Roman"/>
          <w:spacing w:val="8"/>
          <w:sz w:val="23"/>
          <w:szCs w:val="23"/>
        </w:rPr>
        <w:t>15</w:t>
      </w:r>
      <w:r>
        <w:rPr>
          <w:rFonts w:ascii="Times New Roman" w:hAnsi="Times New Roman" w:eastAsia="Times New Roman" w:cs="Times New Roman"/>
          <w:sz w:val="23"/>
          <w:szCs w:val="23"/>
        </w:rPr>
        <w:t>cm</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(保护层) 等防渗，侧壁均设</w:t>
      </w:r>
      <w:r>
        <w:rPr>
          <w:rFonts w:ascii="宋体" w:hAnsi="宋体" w:eastAsia="宋体" w:cs="宋体"/>
          <w:spacing w:val="6"/>
          <w:sz w:val="23"/>
          <w:szCs w:val="23"/>
        </w:rPr>
        <w:t>防</w:t>
      </w:r>
    </w:p>
    <w:p w14:paraId="36A34E38">
      <w:pPr>
        <w:spacing w:line="323" w:lineRule="exact"/>
        <w:ind w:left="24"/>
        <w:rPr>
          <w:rFonts w:ascii="宋体" w:hAnsi="宋体" w:eastAsia="宋体" w:cs="宋体"/>
          <w:sz w:val="23"/>
          <w:szCs w:val="23"/>
        </w:rPr>
      </w:pPr>
      <w:r>
        <w:rPr>
          <w:rFonts w:ascii="宋体" w:hAnsi="宋体" w:eastAsia="宋体" w:cs="宋体"/>
          <w:spacing w:val="5"/>
          <w:position w:val="1"/>
          <w:sz w:val="23"/>
          <w:szCs w:val="23"/>
        </w:rPr>
        <w:t xml:space="preserve">渗墙。采取上述防渗措施后，防渗层渗透系数小于 </w:t>
      </w:r>
      <w:r>
        <w:rPr>
          <w:rFonts w:ascii="Times New Roman" w:hAnsi="Times New Roman" w:eastAsia="Times New Roman" w:cs="Times New Roman"/>
          <w:spacing w:val="5"/>
          <w:position w:val="1"/>
          <w:sz w:val="23"/>
          <w:szCs w:val="23"/>
        </w:rPr>
        <w:t>10</w:t>
      </w:r>
      <w:r>
        <w:rPr>
          <w:rFonts w:ascii="Times New Roman" w:hAnsi="Times New Roman" w:eastAsia="Times New Roman" w:cs="Times New Roman"/>
          <w:spacing w:val="5"/>
          <w:position w:val="9"/>
          <w:sz w:val="15"/>
          <w:szCs w:val="15"/>
        </w:rPr>
        <w:t>- 10</w:t>
      </w:r>
      <w:r>
        <w:rPr>
          <w:rFonts w:ascii="Times New Roman" w:hAnsi="Times New Roman" w:eastAsia="Times New Roman" w:cs="Times New Roman"/>
          <w:position w:val="1"/>
          <w:sz w:val="23"/>
          <w:szCs w:val="23"/>
        </w:rPr>
        <w:t>cm</w:t>
      </w:r>
      <w:r>
        <w:rPr>
          <w:rFonts w:ascii="Times New Roman" w:hAnsi="Times New Roman" w:eastAsia="Times New Roman" w:cs="Times New Roman"/>
          <w:spacing w:val="5"/>
          <w:position w:val="1"/>
          <w:sz w:val="23"/>
          <w:szCs w:val="23"/>
        </w:rPr>
        <w:t>/</w:t>
      </w:r>
      <w:r>
        <w:rPr>
          <w:rFonts w:ascii="Times New Roman" w:hAnsi="Times New Roman" w:eastAsia="Times New Roman" w:cs="Times New Roman"/>
          <w:position w:val="1"/>
          <w:sz w:val="23"/>
          <w:szCs w:val="23"/>
        </w:rPr>
        <w:t>s</w:t>
      </w:r>
      <w:r>
        <w:rPr>
          <w:rFonts w:ascii="宋体" w:hAnsi="宋体" w:eastAsia="宋体" w:cs="宋体"/>
          <w:spacing w:val="2"/>
          <w:position w:val="1"/>
          <w:sz w:val="23"/>
          <w:szCs w:val="23"/>
        </w:rPr>
        <w:t>；</w:t>
      </w:r>
    </w:p>
    <w:p w14:paraId="1BF4ADF7">
      <w:pPr>
        <w:sectPr>
          <w:type w:val="continuous"/>
          <w:pgSz w:w="11906" w:h="16839"/>
          <w:pgMar w:top="1132" w:right="1785" w:bottom="1182" w:left="1785" w:header="878" w:footer="1022" w:gutter="0"/>
          <w:cols w:equalWidth="0" w:num="1">
            <w:col w:w="8335"/>
          </w:cols>
        </w:sectPr>
      </w:pPr>
    </w:p>
    <w:p w14:paraId="69CF7601">
      <w:pPr>
        <w:spacing w:line="408" w:lineRule="auto"/>
        <w:rPr>
          <w:rFonts w:ascii="Arial"/>
          <w:sz w:val="21"/>
        </w:rPr>
      </w:pPr>
      <w:r>
        <w:pict>
          <v:shape id="_x0000_s1314" o:spid="_x0000_s1314" style="position:absolute;left:0pt;margin-left:90pt;margin-top:57.35pt;height:0.75pt;width:415.3pt;mso-position-horizontal-relative:page;mso-position-vertical-relative:page;z-index:251958272;mso-width-relative:page;mso-height-relative:page;" fillcolor="#000000" filled="t" stroked="f" coordsize="8305,15" o:allowincell="f" path="m0,0l8305,0,8305,14,0,14,0,0xe">
            <v:path/>
            <v:fill on="t" focussize="0,0"/>
            <v:stroke on="f"/>
            <v:imagedata o:title=""/>
            <o:lock v:ext="edit"/>
          </v:shape>
        </w:pict>
      </w:r>
    </w:p>
    <w:p w14:paraId="08FC88D0">
      <w:pPr>
        <w:spacing w:before="75" w:line="303" w:lineRule="exact"/>
        <w:ind w:left="508"/>
        <w:rPr>
          <w:rFonts w:ascii="宋体" w:hAnsi="宋体" w:eastAsia="宋体" w:cs="宋体"/>
          <w:sz w:val="23"/>
          <w:szCs w:val="23"/>
        </w:rPr>
      </w:pPr>
      <w:r>
        <w:rPr>
          <w:rFonts w:ascii="Times New Roman" w:hAnsi="Times New Roman" w:eastAsia="Times New Roman" w:cs="Times New Roman"/>
          <w:spacing w:val="1"/>
          <w:position w:val="1"/>
          <w:sz w:val="23"/>
          <w:szCs w:val="23"/>
        </w:rPr>
        <w:t xml:space="preserve">2 </w:t>
      </w:r>
      <w:r>
        <w:rPr>
          <w:rFonts w:ascii="宋体" w:hAnsi="宋体" w:eastAsia="宋体" w:cs="宋体"/>
          <w:position w:val="1"/>
          <w:sz w:val="23"/>
          <w:szCs w:val="23"/>
        </w:rPr>
        <w:t>、一般防渗区</w:t>
      </w:r>
    </w:p>
    <w:p w14:paraId="760F2208">
      <w:pPr>
        <w:spacing w:before="289" w:line="403" w:lineRule="auto"/>
        <w:ind w:left="32" w:right="190" w:firstLine="484"/>
        <w:rPr>
          <w:rFonts w:ascii="宋体" w:hAnsi="宋体" w:eastAsia="宋体" w:cs="宋体"/>
          <w:sz w:val="23"/>
          <w:szCs w:val="23"/>
        </w:rPr>
      </w:pPr>
      <w:r>
        <w:rPr>
          <w:rFonts w:ascii="宋体" w:hAnsi="宋体" w:eastAsia="宋体" w:cs="宋体"/>
          <w:spacing w:val="12"/>
          <w:sz w:val="23"/>
          <w:szCs w:val="23"/>
        </w:rPr>
        <w:t>办公</w:t>
      </w:r>
      <w:r>
        <w:rPr>
          <w:rFonts w:ascii="宋体" w:hAnsi="宋体" w:eastAsia="宋体" w:cs="宋体"/>
          <w:spacing w:val="8"/>
          <w:sz w:val="23"/>
          <w:szCs w:val="23"/>
        </w:rPr>
        <w:t>室</w:t>
      </w:r>
      <w:r>
        <w:rPr>
          <w:rFonts w:ascii="宋体" w:hAnsi="宋体" w:eastAsia="宋体" w:cs="宋体"/>
          <w:spacing w:val="6"/>
          <w:sz w:val="23"/>
          <w:szCs w:val="23"/>
        </w:rPr>
        <w:t>、</w:t>
      </w:r>
      <w:r>
        <w:rPr>
          <w:rFonts w:ascii="Times New Roman" w:hAnsi="Times New Roman" w:eastAsia="Times New Roman" w:cs="Times New Roman"/>
          <w:spacing w:val="6"/>
          <w:sz w:val="23"/>
          <w:szCs w:val="23"/>
        </w:rPr>
        <w:t>1#</w:t>
      </w:r>
      <w:r>
        <w:rPr>
          <w:rFonts w:ascii="宋体" w:hAnsi="宋体" w:eastAsia="宋体" w:cs="宋体"/>
          <w:spacing w:val="6"/>
          <w:sz w:val="23"/>
          <w:szCs w:val="23"/>
        </w:rPr>
        <w:t>员工休息室、</w:t>
      </w:r>
      <w:r>
        <w:rPr>
          <w:rFonts w:ascii="Times New Roman" w:hAnsi="Times New Roman" w:eastAsia="Times New Roman" w:cs="Times New Roman"/>
          <w:spacing w:val="6"/>
          <w:sz w:val="23"/>
          <w:szCs w:val="23"/>
        </w:rPr>
        <w:t>2#</w:t>
      </w:r>
      <w:r>
        <w:rPr>
          <w:rFonts w:ascii="宋体" w:hAnsi="宋体" w:eastAsia="宋体" w:cs="宋体"/>
          <w:spacing w:val="6"/>
          <w:sz w:val="23"/>
          <w:szCs w:val="23"/>
        </w:rPr>
        <w:t>员工休息室、备品备件库底部做基础防渗，铺设</w:t>
      </w:r>
      <w:r>
        <w:rPr>
          <w:rFonts w:ascii="宋体" w:hAnsi="宋体" w:eastAsia="宋体" w:cs="宋体"/>
          <w:sz w:val="23"/>
          <w:szCs w:val="23"/>
        </w:rPr>
        <w:t xml:space="preserve"> </w:t>
      </w:r>
      <w:r>
        <w:rPr>
          <w:rFonts w:ascii="Times New Roman" w:hAnsi="Times New Roman" w:eastAsia="Times New Roman" w:cs="Times New Roman"/>
          <w:spacing w:val="12"/>
          <w:sz w:val="23"/>
          <w:szCs w:val="23"/>
        </w:rPr>
        <w:t>1</w:t>
      </w:r>
      <w:r>
        <w:rPr>
          <w:rFonts w:ascii="Times New Roman" w:hAnsi="Times New Roman" w:eastAsia="Times New Roman" w:cs="Times New Roman"/>
          <w:sz w:val="23"/>
          <w:szCs w:val="23"/>
        </w:rPr>
        <w:t>m</w:t>
      </w:r>
      <w:r>
        <w:rPr>
          <w:rFonts w:ascii="Times New Roman" w:hAnsi="Times New Roman" w:eastAsia="Times New Roman" w:cs="Times New Roman"/>
          <w:spacing w:val="10"/>
          <w:sz w:val="23"/>
          <w:szCs w:val="23"/>
        </w:rPr>
        <w:t xml:space="preserve"> </w:t>
      </w:r>
      <w:r>
        <w:rPr>
          <w:rFonts w:ascii="宋体" w:hAnsi="宋体" w:eastAsia="宋体" w:cs="宋体"/>
          <w:spacing w:val="10"/>
          <w:sz w:val="23"/>
          <w:szCs w:val="23"/>
        </w:rPr>
        <w:t xml:space="preserve">厚黏土层，再用耐腐蚀混凝土 </w:t>
      </w:r>
      <w:r>
        <w:rPr>
          <w:rFonts w:ascii="Times New Roman" w:hAnsi="Times New Roman" w:eastAsia="Times New Roman" w:cs="Times New Roman"/>
          <w:spacing w:val="10"/>
          <w:sz w:val="23"/>
          <w:szCs w:val="23"/>
        </w:rPr>
        <w:t>15</w:t>
      </w:r>
      <w:r>
        <w:rPr>
          <w:rFonts w:ascii="Times New Roman" w:hAnsi="Times New Roman" w:eastAsia="Times New Roman" w:cs="Times New Roman"/>
          <w:sz w:val="23"/>
          <w:szCs w:val="23"/>
        </w:rPr>
        <w:t>cm</w:t>
      </w:r>
      <w:r>
        <w:rPr>
          <w:rFonts w:ascii="Times New Roman" w:hAnsi="Times New Roman" w:eastAsia="Times New Roman" w:cs="Times New Roman"/>
          <w:spacing w:val="10"/>
          <w:sz w:val="23"/>
          <w:szCs w:val="23"/>
        </w:rPr>
        <w:t xml:space="preserve"> </w:t>
      </w:r>
      <w:r>
        <w:rPr>
          <w:rFonts w:ascii="宋体" w:hAnsi="宋体" w:eastAsia="宋体" w:cs="宋体"/>
          <w:spacing w:val="10"/>
          <w:sz w:val="23"/>
          <w:szCs w:val="23"/>
        </w:rPr>
        <w:t>浇铸，上部铺设耐腐蚀砖，取上述防渗</w:t>
      </w:r>
      <w:r>
        <w:rPr>
          <w:rFonts w:ascii="宋体" w:hAnsi="宋体" w:eastAsia="宋体" w:cs="宋体"/>
          <w:sz w:val="23"/>
          <w:szCs w:val="23"/>
        </w:rPr>
        <w:t xml:space="preserve"> </w:t>
      </w:r>
      <w:r>
        <w:rPr>
          <w:rFonts w:ascii="宋体" w:hAnsi="宋体" w:eastAsia="宋体" w:cs="宋体"/>
          <w:spacing w:val="8"/>
          <w:sz w:val="23"/>
          <w:szCs w:val="23"/>
        </w:rPr>
        <w:t>措</w:t>
      </w:r>
      <w:r>
        <w:rPr>
          <w:rFonts w:ascii="宋体" w:hAnsi="宋体" w:eastAsia="宋体" w:cs="宋体"/>
          <w:spacing w:val="7"/>
          <w:sz w:val="23"/>
          <w:szCs w:val="23"/>
        </w:rPr>
        <w:t>施</w:t>
      </w:r>
      <w:r>
        <w:rPr>
          <w:rFonts w:ascii="宋体" w:hAnsi="宋体" w:eastAsia="宋体" w:cs="宋体"/>
          <w:spacing w:val="4"/>
          <w:sz w:val="23"/>
          <w:szCs w:val="23"/>
        </w:rPr>
        <w:t xml:space="preserve">后，防渗层系数小于 </w:t>
      </w:r>
      <w:r>
        <w:rPr>
          <w:rFonts w:ascii="Times New Roman" w:hAnsi="Times New Roman" w:eastAsia="Times New Roman" w:cs="Times New Roman"/>
          <w:spacing w:val="4"/>
          <w:sz w:val="23"/>
          <w:szCs w:val="23"/>
        </w:rPr>
        <w:t>10</w:t>
      </w:r>
      <w:r>
        <w:rPr>
          <w:rFonts w:ascii="Times New Roman" w:hAnsi="Times New Roman" w:eastAsia="Times New Roman" w:cs="Times New Roman"/>
          <w:spacing w:val="4"/>
          <w:position w:val="8"/>
          <w:sz w:val="15"/>
          <w:szCs w:val="15"/>
        </w:rPr>
        <w:t>-7</w:t>
      </w:r>
      <w:r>
        <w:rPr>
          <w:rFonts w:ascii="Times New Roman" w:hAnsi="Times New Roman" w:eastAsia="Times New Roman" w:cs="Times New Roman"/>
          <w:sz w:val="23"/>
          <w:szCs w:val="23"/>
        </w:rPr>
        <w:t>cm</w:t>
      </w:r>
      <w:r>
        <w:rPr>
          <w:rFonts w:ascii="Times New Roman" w:hAnsi="Times New Roman" w:eastAsia="Times New Roman" w:cs="Times New Roman"/>
          <w:spacing w:val="4"/>
          <w:sz w:val="23"/>
          <w:szCs w:val="23"/>
        </w:rPr>
        <w:t>/</w:t>
      </w:r>
      <w:r>
        <w:rPr>
          <w:rFonts w:ascii="Times New Roman" w:hAnsi="Times New Roman" w:eastAsia="Times New Roman" w:cs="Times New Roman"/>
          <w:sz w:val="23"/>
          <w:szCs w:val="23"/>
        </w:rPr>
        <w:t>s</w:t>
      </w:r>
      <w:r>
        <w:rPr>
          <w:rFonts w:ascii="宋体" w:hAnsi="宋体" w:eastAsia="宋体" w:cs="宋体"/>
          <w:spacing w:val="4"/>
          <w:sz w:val="23"/>
          <w:szCs w:val="23"/>
        </w:rPr>
        <w:t>；</w:t>
      </w:r>
    </w:p>
    <w:p w14:paraId="4AB27472">
      <w:pPr>
        <w:spacing w:before="133" w:line="303" w:lineRule="exact"/>
        <w:ind w:left="512"/>
        <w:rPr>
          <w:rFonts w:ascii="宋体" w:hAnsi="宋体" w:eastAsia="宋体" w:cs="宋体"/>
          <w:sz w:val="23"/>
          <w:szCs w:val="23"/>
        </w:rPr>
      </w:pPr>
      <w:r>
        <w:rPr>
          <w:rFonts w:ascii="Times New Roman" w:hAnsi="Times New Roman" w:eastAsia="Times New Roman" w:cs="Times New Roman"/>
          <w:spacing w:val="-1"/>
          <w:position w:val="1"/>
          <w:sz w:val="23"/>
          <w:szCs w:val="23"/>
        </w:rPr>
        <w:t xml:space="preserve">3 </w:t>
      </w:r>
      <w:r>
        <w:rPr>
          <w:rFonts w:ascii="宋体" w:hAnsi="宋体" w:eastAsia="宋体" w:cs="宋体"/>
          <w:spacing w:val="-1"/>
          <w:position w:val="1"/>
          <w:sz w:val="23"/>
          <w:szCs w:val="23"/>
        </w:rPr>
        <w:t>、</w:t>
      </w:r>
      <w:r>
        <w:rPr>
          <w:rFonts w:ascii="宋体" w:hAnsi="宋体" w:eastAsia="宋体" w:cs="宋体"/>
          <w:position w:val="1"/>
          <w:sz w:val="23"/>
          <w:szCs w:val="23"/>
        </w:rPr>
        <w:t>简单防渗区</w:t>
      </w:r>
    </w:p>
    <w:p w14:paraId="5631F7BF">
      <w:pPr>
        <w:spacing w:line="257" w:lineRule="auto"/>
        <w:rPr>
          <w:rFonts w:ascii="Arial"/>
          <w:sz w:val="21"/>
        </w:rPr>
      </w:pPr>
    </w:p>
    <w:p w14:paraId="3E82ECA2">
      <w:pPr>
        <w:spacing w:before="75" w:line="393" w:lineRule="auto"/>
        <w:ind w:left="32" w:right="192" w:firstLine="480"/>
        <w:rPr>
          <w:rFonts w:ascii="宋体" w:hAnsi="宋体" w:eastAsia="宋体" w:cs="宋体"/>
          <w:sz w:val="23"/>
          <w:szCs w:val="23"/>
        </w:rPr>
      </w:pPr>
      <w:r>
        <w:rPr>
          <w:rFonts w:ascii="宋体" w:hAnsi="宋体" w:eastAsia="宋体" w:cs="宋体"/>
          <w:spacing w:val="7"/>
          <w:sz w:val="23"/>
          <w:szCs w:val="23"/>
        </w:rPr>
        <w:t>全场区均需硬化防渗，采取混凝土地面，上涂耐磨环氧树脂地面涂料，防</w:t>
      </w:r>
      <w:r>
        <w:rPr>
          <w:rFonts w:ascii="宋体" w:hAnsi="宋体" w:eastAsia="宋体" w:cs="宋体"/>
          <w:spacing w:val="3"/>
          <w:sz w:val="23"/>
          <w:szCs w:val="23"/>
        </w:rPr>
        <w:t>渗</w:t>
      </w:r>
      <w:r>
        <w:rPr>
          <w:rFonts w:ascii="宋体" w:hAnsi="宋体" w:eastAsia="宋体" w:cs="宋体"/>
          <w:sz w:val="23"/>
          <w:szCs w:val="23"/>
        </w:rPr>
        <w:t xml:space="preserve"> </w:t>
      </w:r>
      <w:r>
        <w:rPr>
          <w:rFonts w:ascii="宋体" w:hAnsi="宋体" w:eastAsia="宋体" w:cs="宋体"/>
          <w:spacing w:val="-1"/>
          <w:sz w:val="23"/>
          <w:szCs w:val="23"/>
        </w:rPr>
        <w:t xml:space="preserve">层渗透系数小于 </w:t>
      </w:r>
      <w:r>
        <w:rPr>
          <w:rFonts w:ascii="Times New Roman" w:hAnsi="Times New Roman" w:eastAsia="Times New Roman" w:cs="Times New Roman"/>
          <w:sz w:val="23"/>
          <w:szCs w:val="23"/>
        </w:rPr>
        <w:t>10</w:t>
      </w:r>
      <w:r>
        <w:rPr>
          <w:rFonts w:ascii="Times New Roman" w:hAnsi="Times New Roman" w:eastAsia="Times New Roman" w:cs="Times New Roman"/>
          <w:position w:val="8"/>
          <w:sz w:val="15"/>
          <w:szCs w:val="15"/>
        </w:rPr>
        <w:t>-7</w:t>
      </w:r>
      <w:r>
        <w:rPr>
          <w:rFonts w:ascii="Times New Roman" w:hAnsi="Times New Roman" w:eastAsia="Times New Roman" w:cs="Times New Roman"/>
          <w:sz w:val="23"/>
          <w:szCs w:val="23"/>
        </w:rPr>
        <w:t xml:space="preserve">cm/s </w:t>
      </w:r>
      <w:r>
        <w:rPr>
          <w:rFonts w:ascii="宋体" w:hAnsi="宋体" w:eastAsia="宋体" w:cs="宋体"/>
          <w:sz w:val="23"/>
          <w:szCs w:val="23"/>
        </w:rPr>
        <w:t xml:space="preserve">。防渗措施具体内容见表 </w:t>
      </w:r>
      <w:r>
        <w:rPr>
          <w:rFonts w:ascii="Times New Roman" w:hAnsi="Times New Roman" w:eastAsia="Times New Roman" w:cs="Times New Roman"/>
          <w:sz w:val="23"/>
          <w:szCs w:val="23"/>
        </w:rPr>
        <w:t>6- 1</w:t>
      </w:r>
      <w:r>
        <w:rPr>
          <w:rFonts w:ascii="宋体" w:hAnsi="宋体" w:eastAsia="宋体" w:cs="宋体"/>
          <w:sz w:val="23"/>
          <w:szCs w:val="23"/>
        </w:rPr>
        <w:t>。</w:t>
      </w:r>
    </w:p>
    <w:p w14:paraId="19EF10EB">
      <w:pPr>
        <w:spacing w:before="136" w:line="227" w:lineRule="auto"/>
        <w:ind w:left="2553"/>
        <w:rPr>
          <w:rFonts w:ascii="宋体" w:hAnsi="宋体" w:eastAsia="宋体" w:cs="宋体"/>
          <w:sz w:val="23"/>
          <w:szCs w:val="23"/>
        </w:rPr>
      </w:pPr>
      <w:r>
        <w:rPr>
          <w:rFonts w:ascii="宋体" w:hAnsi="宋体" w:eastAsia="宋体" w:cs="宋体"/>
          <w:spacing w:val="6"/>
          <w:sz w:val="23"/>
          <w:szCs w:val="23"/>
          <w14:textOutline w14:w="4358" w14:cap="sq" w14:cmpd="sng">
            <w14:solidFill>
              <w14:srgbClr w14:val="000000"/>
            </w14:solidFill>
            <w14:prstDash w14:val="solid"/>
            <w14:bevel/>
          </w14:textOutline>
        </w:rPr>
        <w:t>表</w:t>
      </w:r>
      <w:r>
        <w:rPr>
          <w:rFonts w:ascii="宋体" w:hAnsi="宋体" w:eastAsia="宋体" w:cs="宋体"/>
          <w:spacing w:val="6"/>
          <w:sz w:val="23"/>
          <w:szCs w:val="23"/>
        </w:rPr>
        <w:t xml:space="preserve"> </w:t>
      </w:r>
      <w:r>
        <w:rPr>
          <w:rFonts w:ascii="Times New Roman" w:hAnsi="Times New Roman" w:eastAsia="Times New Roman" w:cs="Times New Roman"/>
          <w:b/>
          <w:bCs/>
          <w:spacing w:val="6"/>
          <w:sz w:val="23"/>
          <w:szCs w:val="23"/>
        </w:rPr>
        <w:t>6-</w:t>
      </w:r>
      <w:r>
        <w:rPr>
          <w:rFonts w:ascii="Times New Roman" w:hAnsi="Times New Roman" w:eastAsia="Times New Roman" w:cs="Times New Roman"/>
          <w:b/>
          <w:bCs/>
          <w:spacing w:val="3"/>
          <w:sz w:val="23"/>
          <w:szCs w:val="23"/>
        </w:rPr>
        <w:t>1</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14:textOutline w14:w="4358" w14:cap="sq" w14:cmpd="sng">
            <w14:solidFill>
              <w14:srgbClr w14:val="000000"/>
            </w14:solidFill>
            <w14:prstDash w14:val="solid"/>
            <w14:bevel/>
          </w14:textOutline>
        </w:rPr>
        <w:t>防渗区域及防渗内容</w:t>
      </w:r>
    </w:p>
    <w:p w14:paraId="7674C39A">
      <w:pPr>
        <w:spacing w:line="17"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1"/>
        <w:gridCol w:w="2751"/>
        <w:gridCol w:w="4214"/>
        <w:gridCol w:w="1006"/>
      </w:tblGrid>
      <w:tr w14:paraId="2E5DD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551" w:type="dxa"/>
            <w:tcBorders>
              <w:left w:val="nil"/>
            </w:tcBorders>
            <w:vAlign w:val="top"/>
          </w:tcPr>
          <w:p w14:paraId="00ACFAB3">
            <w:pPr>
              <w:spacing w:before="75" w:line="229" w:lineRule="auto"/>
              <w:ind w:left="71"/>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序号</w:t>
            </w:r>
          </w:p>
        </w:tc>
        <w:tc>
          <w:tcPr>
            <w:tcW w:w="2751" w:type="dxa"/>
            <w:vAlign w:val="top"/>
          </w:tcPr>
          <w:p w14:paraId="3DEDBAD7">
            <w:pPr>
              <w:spacing w:before="76" w:line="228" w:lineRule="auto"/>
              <w:ind w:left="973"/>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防</w:t>
            </w:r>
            <w:r>
              <w:rPr>
                <w:rFonts w:ascii="宋体" w:hAnsi="宋体" w:eastAsia="宋体" w:cs="宋体"/>
                <w:spacing w:val="5"/>
                <w:sz w:val="20"/>
                <w:szCs w:val="20"/>
                <w14:textOutline w14:w="3795" w14:cap="sq" w14:cmpd="sng">
                  <w14:solidFill>
                    <w14:srgbClr w14:val="000000"/>
                  </w14:solidFill>
                  <w14:prstDash w14:val="solid"/>
                  <w14:bevel/>
                </w14:textOutline>
              </w:rPr>
              <w:t>渗区域</w:t>
            </w:r>
          </w:p>
        </w:tc>
        <w:tc>
          <w:tcPr>
            <w:tcW w:w="4214" w:type="dxa"/>
            <w:vAlign w:val="top"/>
          </w:tcPr>
          <w:p w14:paraId="0F77E355">
            <w:pPr>
              <w:spacing w:before="75" w:line="228" w:lineRule="auto"/>
              <w:ind w:left="1705"/>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防</w:t>
            </w:r>
            <w:r>
              <w:rPr>
                <w:rFonts w:ascii="宋体" w:hAnsi="宋体" w:eastAsia="宋体" w:cs="宋体"/>
                <w:spacing w:val="5"/>
                <w:sz w:val="20"/>
                <w:szCs w:val="20"/>
                <w14:textOutline w14:w="3795" w14:cap="sq" w14:cmpd="sng">
                  <w14:solidFill>
                    <w14:srgbClr w14:val="000000"/>
                  </w14:solidFill>
                  <w14:prstDash w14:val="solid"/>
                  <w14:bevel/>
                </w14:textOutline>
              </w:rPr>
              <w:t>渗内容</w:t>
            </w:r>
          </w:p>
        </w:tc>
        <w:tc>
          <w:tcPr>
            <w:tcW w:w="1006" w:type="dxa"/>
            <w:tcBorders>
              <w:right w:val="nil"/>
            </w:tcBorders>
            <w:vAlign w:val="top"/>
          </w:tcPr>
          <w:p w14:paraId="56623309">
            <w:pPr>
              <w:spacing w:before="75" w:line="228" w:lineRule="auto"/>
              <w:ind w:left="102"/>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防</w:t>
            </w:r>
            <w:r>
              <w:rPr>
                <w:rFonts w:ascii="宋体" w:hAnsi="宋体" w:eastAsia="宋体" w:cs="宋体"/>
                <w:spacing w:val="5"/>
                <w:sz w:val="20"/>
                <w:szCs w:val="20"/>
                <w14:textOutline w14:w="3795" w14:cap="sq" w14:cmpd="sng">
                  <w14:solidFill>
                    <w14:srgbClr w14:val="000000"/>
                  </w14:solidFill>
                  <w14:prstDash w14:val="solid"/>
                  <w14:bevel/>
                </w14:textOutline>
              </w:rPr>
              <w:t>渗系数</w:t>
            </w:r>
          </w:p>
        </w:tc>
      </w:tr>
      <w:tr w14:paraId="459A2D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0" w:hRule="atLeast"/>
        </w:trPr>
        <w:tc>
          <w:tcPr>
            <w:tcW w:w="551" w:type="dxa"/>
            <w:tcBorders>
              <w:left w:val="nil"/>
            </w:tcBorders>
            <w:vAlign w:val="top"/>
          </w:tcPr>
          <w:p w14:paraId="19B94FEB">
            <w:pPr>
              <w:spacing w:line="282" w:lineRule="auto"/>
              <w:rPr>
                <w:rFonts w:ascii="Arial"/>
                <w:sz w:val="21"/>
              </w:rPr>
            </w:pPr>
          </w:p>
          <w:p w14:paraId="6CBA29B7">
            <w:pPr>
              <w:spacing w:line="282" w:lineRule="auto"/>
              <w:rPr>
                <w:rFonts w:ascii="Arial"/>
                <w:sz w:val="21"/>
              </w:rPr>
            </w:pPr>
          </w:p>
          <w:p w14:paraId="60DBE475">
            <w:pPr>
              <w:spacing w:line="283" w:lineRule="auto"/>
              <w:rPr>
                <w:rFonts w:ascii="Arial"/>
                <w:sz w:val="21"/>
              </w:rPr>
            </w:pPr>
          </w:p>
          <w:p w14:paraId="16793AE1">
            <w:pPr>
              <w:spacing w:before="58" w:line="195" w:lineRule="auto"/>
              <w:ind w:left="246"/>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751" w:type="dxa"/>
            <w:vAlign w:val="top"/>
          </w:tcPr>
          <w:p w14:paraId="2F010FE9">
            <w:pPr>
              <w:spacing w:line="324" w:lineRule="auto"/>
              <w:rPr>
                <w:rFonts w:ascii="Arial"/>
                <w:sz w:val="21"/>
              </w:rPr>
            </w:pPr>
          </w:p>
          <w:p w14:paraId="72654A22">
            <w:pPr>
              <w:spacing w:line="325" w:lineRule="auto"/>
              <w:rPr>
                <w:rFonts w:ascii="Arial"/>
                <w:sz w:val="21"/>
              </w:rPr>
            </w:pPr>
          </w:p>
          <w:p w14:paraId="4DFB3341">
            <w:pPr>
              <w:spacing w:before="65" w:line="301" w:lineRule="auto"/>
              <w:ind w:left="29" w:right="9" w:firstLine="18"/>
              <w:rPr>
                <w:rFonts w:ascii="宋体" w:hAnsi="宋体" w:eastAsia="宋体" w:cs="宋体"/>
                <w:sz w:val="20"/>
                <w:szCs w:val="20"/>
              </w:rPr>
            </w:pPr>
            <w:r>
              <w:rPr>
                <w:rFonts w:ascii="宋体" w:hAnsi="宋体" w:eastAsia="宋体" w:cs="宋体"/>
                <w:spacing w:val="10"/>
                <w:sz w:val="20"/>
                <w:szCs w:val="20"/>
              </w:rPr>
              <w:t>生</w:t>
            </w:r>
            <w:r>
              <w:rPr>
                <w:rFonts w:ascii="宋体" w:hAnsi="宋体" w:eastAsia="宋体" w:cs="宋体"/>
                <w:spacing w:val="5"/>
                <w:sz w:val="20"/>
                <w:szCs w:val="20"/>
              </w:rPr>
              <w:t>产厂房、成品库、原料库、</w:t>
            </w:r>
            <w:r>
              <w:rPr>
                <w:rFonts w:ascii="宋体" w:hAnsi="宋体" w:eastAsia="宋体" w:cs="宋体"/>
                <w:sz w:val="20"/>
                <w:szCs w:val="20"/>
              </w:rPr>
              <w:t xml:space="preserve"> </w:t>
            </w:r>
            <w:r>
              <w:rPr>
                <w:rFonts w:ascii="宋体" w:hAnsi="宋体" w:eastAsia="宋体" w:cs="宋体"/>
                <w:spacing w:val="-12"/>
                <w:sz w:val="20"/>
                <w:szCs w:val="20"/>
              </w:rPr>
              <w:t>三</w:t>
            </w:r>
            <w:r>
              <w:rPr>
                <w:rFonts w:ascii="宋体" w:hAnsi="宋体" w:eastAsia="宋体" w:cs="宋体"/>
                <w:spacing w:val="-10"/>
                <w:sz w:val="20"/>
                <w:szCs w:val="20"/>
              </w:rPr>
              <w:t>级</w:t>
            </w:r>
            <w:r>
              <w:rPr>
                <w:rFonts w:ascii="宋体" w:hAnsi="宋体" w:eastAsia="宋体" w:cs="宋体"/>
                <w:spacing w:val="-6"/>
                <w:sz w:val="20"/>
                <w:szCs w:val="20"/>
              </w:rPr>
              <w:t>沉淀池、旱厕、危废暂存间</w:t>
            </w:r>
          </w:p>
        </w:tc>
        <w:tc>
          <w:tcPr>
            <w:tcW w:w="4214" w:type="dxa"/>
            <w:vAlign w:val="top"/>
          </w:tcPr>
          <w:p w14:paraId="0F6AEADB">
            <w:pPr>
              <w:spacing w:before="94" w:line="228" w:lineRule="auto"/>
              <w:ind w:left="59"/>
              <w:rPr>
                <w:rFonts w:ascii="宋体" w:hAnsi="宋体" w:eastAsia="宋体" w:cs="宋体"/>
                <w:sz w:val="20"/>
                <w:szCs w:val="20"/>
              </w:rPr>
            </w:pPr>
            <w:r>
              <w:rPr>
                <w:rFonts w:ascii="宋体" w:hAnsi="宋体" w:eastAsia="宋体" w:cs="宋体"/>
                <w:spacing w:val="9"/>
                <w:sz w:val="20"/>
                <w:szCs w:val="20"/>
              </w:rPr>
              <w:t>底</w:t>
            </w:r>
            <w:r>
              <w:rPr>
                <w:rFonts w:ascii="宋体" w:hAnsi="宋体" w:eastAsia="宋体" w:cs="宋体"/>
                <w:spacing w:val="6"/>
                <w:sz w:val="20"/>
                <w:szCs w:val="20"/>
              </w:rPr>
              <w:t xml:space="preserve">部铺设 </w:t>
            </w:r>
            <w:r>
              <w:rPr>
                <w:rFonts w:ascii="Times New Roman" w:hAnsi="Times New Roman" w:eastAsia="Times New Roman" w:cs="Times New Roman"/>
                <w:spacing w:val="6"/>
                <w:sz w:val="20"/>
                <w:szCs w:val="20"/>
              </w:rPr>
              <w:t>300</w:t>
            </w:r>
            <w:r>
              <w:rPr>
                <w:rFonts w:ascii="Times New Roman" w:hAnsi="Times New Roman" w:eastAsia="Times New Roman" w:cs="Times New Roman"/>
                <w:sz w:val="20"/>
                <w:szCs w:val="20"/>
              </w:rPr>
              <w:t>mm</w:t>
            </w:r>
            <w:r>
              <w:rPr>
                <w:rFonts w:ascii="Times New Roman" w:hAnsi="Times New Roman" w:eastAsia="Times New Roman" w:cs="Times New Roman"/>
                <w:spacing w:val="6"/>
                <w:sz w:val="20"/>
                <w:szCs w:val="20"/>
              </w:rPr>
              <w:t xml:space="preserve"> </w:t>
            </w:r>
            <w:r>
              <w:rPr>
                <w:rFonts w:ascii="宋体" w:hAnsi="宋体" w:eastAsia="宋体" w:cs="宋体"/>
                <w:spacing w:val="6"/>
                <w:sz w:val="20"/>
                <w:szCs w:val="20"/>
              </w:rPr>
              <w:t>黏土层 (保护层，同时作为</w:t>
            </w:r>
          </w:p>
          <w:p w14:paraId="7CEDE2D2">
            <w:pPr>
              <w:spacing w:before="65" w:line="228" w:lineRule="auto"/>
              <w:ind w:left="328"/>
              <w:rPr>
                <w:rFonts w:ascii="宋体" w:hAnsi="宋体" w:eastAsia="宋体" w:cs="宋体"/>
                <w:sz w:val="20"/>
                <w:szCs w:val="20"/>
              </w:rPr>
            </w:pPr>
            <w:r>
              <w:rPr>
                <w:rFonts w:ascii="宋体" w:hAnsi="宋体" w:eastAsia="宋体" w:cs="宋体"/>
                <w:spacing w:val="9"/>
                <w:sz w:val="20"/>
                <w:szCs w:val="20"/>
              </w:rPr>
              <w:t>辅助防渗层) 压实平整，黏土层上铺</w:t>
            </w:r>
            <w:r>
              <w:rPr>
                <w:rFonts w:ascii="宋体" w:hAnsi="宋体" w:eastAsia="宋体" w:cs="宋体"/>
                <w:spacing w:val="6"/>
                <w:sz w:val="20"/>
                <w:szCs w:val="20"/>
              </w:rPr>
              <w:t>设</w:t>
            </w:r>
          </w:p>
          <w:p w14:paraId="780B55FD">
            <w:pPr>
              <w:spacing w:before="65" w:line="228" w:lineRule="auto"/>
              <w:ind w:left="62"/>
              <w:rPr>
                <w:rFonts w:ascii="宋体" w:hAnsi="宋体" w:eastAsia="宋体" w:cs="宋体"/>
                <w:sz w:val="20"/>
                <w:szCs w:val="20"/>
              </w:rPr>
            </w:pPr>
            <w:r>
              <w:rPr>
                <w:rFonts w:ascii="Times New Roman" w:hAnsi="Times New Roman" w:eastAsia="Times New Roman" w:cs="Times New Roman"/>
                <w:sz w:val="20"/>
                <w:szCs w:val="20"/>
              </w:rPr>
              <w:t>HDPE</w:t>
            </w:r>
            <w:r>
              <w:rPr>
                <w:rFonts w:ascii="Times New Roman" w:hAnsi="Times New Roman" w:eastAsia="Times New Roman" w:cs="Times New Roman"/>
                <w:spacing w:val="15"/>
                <w:sz w:val="20"/>
                <w:szCs w:val="20"/>
              </w:rPr>
              <w:t>-</w:t>
            </w:r>
            <w:r>
              <w:rPr>
                <w:rFonts w:ascii="Times New Roman" w:hAnsi="Times New Roman" w:eastAsia="Times New Roman" w:cs="Times New Roman"/>
                <w:sz w:val="20"/>
                <w:szCs w:val="20"/>
              </w:rPr>
              <w:t>GCL</w:t>
            </w:r>
            <w:r>
              <w:rPr>
                <w:rFonts w:ascii="Times New Roman" w:hAnsi="Times New Roman" w:eastAsia="Times New Roman" w:cs="Times New Roman"/>
                <w:spacing w:val="11"/>
                <w:sz w:val="20"/>
                <w:szCs w:val="20"/>
              </w:rPr>
              <w:t xml:space="preserve"> </w:t>
            </w:r>
            <w:r>
              <w:rPr>
                <w:rFonts w:ascii="宋体" w:hAnsi="宋体" w:eastAsia="宋体" w:cs="宋体"/>
                <w:spacing w:val="11"/>
                <w:sz w:val="20"/>
                <w:szCs w:val="20"/>
              </w:rPr>
              <w:t>复合防渗系统 (</w:t>
            </w:r>
            <w:r>
              <w:rPr>
                <w:rFonts w:ascii="Times New Roman" w:hAnsi="Times New Roman" w:eastAsia="Times New Roman" w:cs="Times New Roman"/>
                <w:spacing w:val="11"/>
                <w:sz w:val="20"/>
                <w:szCs w:val="20"/>
              </w:rPr>
              <w:t>2</w:t>
            </w:r>
            <w:r>
              <w:rPr>
                <w:rFonts w:ascii="Times New Roman" w:hAnsi="Times New Roman" w:eastAsia="Times New Roman" w:cs="Times New Roman"/>
                <w:sz w:val="20"/>
                <w:szCs w:val="20"/>
              </w:rPr>
              <w:t>mm</w:t>
            </w:r>
            <w:r>
              <w:rPr>
                <w:rFonts w:ascii="Times New Roman" w:hAnsi="Times New Roman" w:eastAsia="Times New Roman" w:cs="Times New Roman"/>
                <w:spacing w:val="11"/>
                <w:sz w:val="20"/>
                <w:szCs w:val="20"/>
              </w:rPr>
              <w:t xml:space="preserve"> </w:t>
            </w:r>
            <w:r>
              <w:rPr>
                <w:rFonts w:ascii="宋体" w:hAnsi="宋体" w:eastAsia="宋体" w:cs="宋体"/>
                <w:spacing w:val="11"/>
                <w:sz w:val="20"/>
                <w:szCs w:val="20"/>
              </w:rPr>
              <w:t>厚的高密度</w:t>
            </w:r>
          </w:p>
          <w:p w14:paraId="0F5648A3">
            <w:pPr>
              <w:spacing w:before="27" w:line="281" w:lineRule="exact"/>
              <w:ind w:left="68"/>
              <w:rPr>
                <w:rFonts w:ascii="宋体" w:hAnsi="宋体" w:eastAsia="宋体" w:cs="宋体"/>
                <w:sz w:val="20"/>
                <w:szCs w:val="20"/>
              </w:rPr>
            </w:pPr>
            <w:r>
              <w:rPr>
                <w:rFonts w:ascii="宋体" w:hAnsi="宋体" w:eastAsia="宋体" w:cs="宋体"/>
                <w:spacing w:val="14"/>
                <w:position w:val="2"/>
                <w:sz w:val="20"/>
                <w:szCs w:val="20"/>
              </w:rPr>
              <w:t>聚乙</w:t>
            </w:r>
            <w:r>
              <w:rPr>
                <w:rFonts w:ascii="宋体" w:hAnsi="宋体" w:eastAsia="宋体" w:cs="宋体"/>
                <w:spacing w:val="9"/>
                <w:position w:val="2"/>
                <w:sz w:val="20"/>
                <w:szCs w:val="20"/>
              </w:rPr>
              <w:t>烯</w:t>
            </w:r>
            <w:r>
              <w:rPr>
                <w:rFonts w:ascii="宋体" w:hAnsi="宋体" w:eastAsia="宋体" w:cs="宋体"/>
                <w:spacing w:val="7"/>
                <w:position w:val="2"/>
                <w:sz w:val="20"/>
                <w:szCs w:val="20"/>
              </w:rPr>
              <w:t>膜、</w:t>
            </w:r>
            <w:r>
              <w:rPr>
                <w:rFonts w:ascii="Times New Roman" w:hAnsi="Times New Roman" w:eastAsia="Times New Roman" w:cs="Times New Roman"/>
                <w:spacing w:val="7"/>
                <w:position w:val="2"/>
                <w:sz w:val="20"/>
                <w:szCs w:val="20"/>
              </w:rPr>
              <w:t>300</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7"/>
                <w:position w:val="2"/>
                <w:sz w:val="20"/>
                <w:szCs w:val="20"/>
              </w:rPr>
              <w:t>/</w:t>
            </w:r>
            <w:r>
              <w:rPr>
                <w:rFonts w:ascii="Times New Roman" w:hAnsi="Times New Roman" w:eastAsia="Times New Roman" w:cs="Times New Roman"/>
                <w:position w:val="2"/>
                <w:sz w:val="20"/>
                <w:szCs w:val="20"/>
              </w:rPr>
              <w:t>m</w:t>
            </w:r>
            <w:r>
              <w:rPr>
                <w:rFonts w:ascii="Times New Roman" w:hAnsi="Times New Roman" w:eastAsia="Times New Roman" w:cs="Times New Roman"/>
                <w:spacing w:val="7"/>
                <w:position w:val="8"/>
                <w:sz w:val="13"/>
                <w:szCs w:val="13"/>
              </w:rPr>
              <w:t xml:space="preserve">2 </w:t>
            </w:r>
            <w:r>
              <w:rPr>
                <w:rFonts w:ascii="宋体" w:hAnsi="宋体" w:eastAsia="宋体" w:cs="宋体"/>
                <w:spacing w:val="7"/>
                <w:position w:val="2"/>
                <w:sz w:val="20"/>
                <w:szCs w:val="20"/>
              </w:rPr>
              <w:t>土工织物膨润土垫) ，上</w:t>
            </w:r>
          </w:p>
          <w:p w14:paraId="32D85434">
            <w:pPr>
              <w:spacing w:before="68" w:line="228" w:lineRule="auto"/>
              <w:ind w:left="31"/>
              <w:rPr>
                <w:rFonts w:ascii="宋体" w:hAnsi="宋体" w:eastAsia="宋体" w:cs="宋体"/>
                <w:sz w:val="20"/>
                <w:szCs w:val="20"/>
              </w:rPr>
            </w:pPr>
            <w:r>
              <w:rPr>
                <w:rFonts w:ascii="宋体" w:hAnsi="宋体" w:eastAsia="宋体" w:cs="宋体"/>
                <w:spacing w:val="2"/>
                <w:sz w:val="20"/>
                <w:szCs w:val="20"/>
              </w:rPr>
              <w:t>部外加耐腐蚀混凝土</w:t>
            </w:r>
            <w:r>
              <w:rPr>
                <w:rFonts w:ascii="宋体" w:hAnsi="宋体" w:eastAsia="宋体" w:cs="宋体"/>
                <w:spacing w:val="1"/>
                <w:sz w:val="20"/>
                <w:szCs w:val="20"/>
              </w:rPr>
              <w:t xml:space="preserve"> </w:t>
            </w:r>
            <w:r>
              <w:rPr>
                <w:rFonts w:ascii="Times New Roman" w:hAnsi="Times New Roman" w:eastAsia="Times New Roman" w:cs="Times New Roman"/>
                <w:spacing w:val="1"/>
                <w:sz w:val="20"/>
                <w:szCs w:val="20"/>
              </w:rPr>
              <w:t>15</w:t>
            </w:r>
            <w:r>
              <w:rPr>
                <w:rFonts w:ascii="Times New Roman" w:hAnsi="Times New Roman" w:eastAsia="Times New Roman" w:cs="Times New Roman"/>
                <w:sz w:val="20"/>
                <w:szCs w:val="20"/>
              </w:rPr>
              <w:t>cm</w:t>
            </w:r>
            <w:r>
              <w:rPr>
                <w:rFonts w:ascii="Times New Roman" w:hAnsi="Times New Roman" w:eastAsia="Times New Roman" w:cs="Times New Roman"/>
                <w:spacing w:val="1"/>
                <w:sz w:val="20"/>
                <w:szCs w:val="20"/>
              </w:rPr>
              <w:t xml:space="preserve">  </w:t>
            </w:r>
            <w:r>
              <w:rPr>
                <w:rFonts w:ascii="宋体" w:hAnsi="宋体" w:eastAsia="宋体" w:cs="宋体"/>
                <w:spacing w:val="1"/>
                <w:sz w:val="20"/>
                <w:szCs w:val="20"/>
              </w:rPr>
              <w:t>(保护层) 等防渗，</w:t>
            </w:r>
          </w:p>
          <w:p w14:paraId="222D5655">
            <w:pPr>
              <w:spacing w:before="65" w:line="228" w:lineRule="auto"/>
              <w:ind w:left="1376"/>
              <w:rPr>
                <w:rFonts w:ascii="宋体" w:hAnsi="宋体" w:eastAsia="宋体" w:cs="宋体"/>
                <w:sz w:val="20"/>
                <w:szCs w:val="20"/>
              </w:rPr>
            </w:pPr>
            <w:r>
              <w:rPr>
                <w:rFonts w:ascii="宋体" w:hAnsi="宋体" w:eastAsia="宋体" w:cs="宋体"/>
                <w:spacing w:val="9"/>
                <w:sz w:val="20"/>
                <w:szCs w:val="20"/>
              </w:rPr>
              <w:t>侧壁均设防渗</w:t>
            </w:r>
            <w:r>
              <w:rPr>
                <w:rFonts w:ascii="宋体" w:hAnsi="宋体" w:eastAsia="宋体" w:cs="宋体"/>
                <w:spacing w:val="8"/>
                <w:sz w:val="20"/>
                <w:szCs w:val="20"/>
              </w:rPr>
              <w:t>墙</w:t>
            </w:r>
          </w:p>
        </w:tc>
        <w:tc>
          <w:tcPr>
            <w:tcW w:w="1006" w:type="dxa"/>
            <w:tcBorders>
              <w:right w:val="nil"/>
            </w:tcBorders>
            <w:vAlign w:val="top"/>
          </w:tcPr>
          <w:p w14:paraId="5D601277">
            <w:pPr>
              <w:spacing w:line="258" w:lineRule="auto"/>
              <w:rPr>
                <w:rFonts w:ascii="Arial"/>
                <w:sz w:val="21"/>
              </w:rPr>
            </w:pPr>
          </w:p>
          <w:p w14:paraId="6659F735">
            <w:pPr>
              <w:spacing w:line="258" w:lineRule="auto"/>
              <w:rPr>
                <w:rFonts w:ascii="Arial"/>
                <w:sz w:val="21"/>
              </w:rPr>
            </w:pPr>
          </w:p>
          <w:p w14:paraId="54685CE6">
            <w:pPr>
              <w:spacing w:line="258" w:lineRule="auto"/>
              <w:rPr>
                <w:rFonts w:ascii="Arial"/>
                <w:sz w:val="21"/>
              </w:rPr>
            </w:pPr>
          </w:p>
          <w:p w14:paraId="0830B79A">
            <w:pPr>
              <w:spacing w:before="58" w:line="281" w:lineRule="exact"/>
              <w:ind w:left="52"/>
              <w:rPr>
                <w:rFonts w:ascii="Times New Roman" w:hAnsi="Times New Roman" w:eastAsia="Times New Roman" w:cs="Times New Roman"/>
                <w:sz w:val="20"/>
                <w:szCs w:val="20"/>
              </w:rPr>
            </w:pPr>
            <w:r>
              <w:rPr>
                <w:rFonts w:ascii="Times New Roman" w:hAnsi="Times New Roman" w:eastAsia="Times New Roman" w:cs="Times New Roman"/>
                <w:spacing w:val="-4"/>
                <w:position w:val="2"/>
                <w:sz w:val="20"/>
                <w:szCs w:val="20"/>
              </w:rPr>
              <w:t>≤ 10</w:t>
            </w:r>
            <w:r>
              <w:rPr>
                <w:rFonts w:ascii="Times New Roman" w:hAnsi="Times New Roman" w:eastAsia="Times New Roman" w:cs="Times New Roman"/>
                <w:spacing w:val="-4"/>
                <w:position w:val="8"/>
                <w:sz w:val="13"/>
                <w:szCs w:val="13"/>
              </w:rPr>
              <w:t>- 10</w:t>
            </w:r>
            <w:r>
              <w:rPr>
                <w:rFonts w:ascii="Times New Roman" w:hAnsi="Times New Roman" w:eastAsia="Times New Roman" w:cs="Times New Roman"/>
                <w:spacing w:val="-4"/>
                <w:position w:val="2"/>
                <w:sz w:val="20"/>
                <w:szCs w:val="20"/>
              </w:rPr>
              <w:t>cm/</w:t>
            </w:r>
            <w:r>
              <w:rPr>
                <w:rFonts w:ascii="Times New Roman" w:hAnsi="Times New Roman" w:eastAsia="Times New Roman" w:cs="Times New Roman"/>
                <w:spacing w:val="-3"/>
                <w:position w:val="2"/>
                <w:sz w:val="20"/>
                <w:szCs w:val="20"/>
              </w:rPr>
              <w:t>s</w:t>
            </w:r>
          </w:p>
        </w:tc>
      </w:tr>
      <w:tr w14:paraId="1FCBAB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51" w:type="dxa"/>
            <w:tcBorders>
              <w:left w:val="nil"/>
            </w:tcBorders>
            <w:vAlign w:val="top"/>
          </w:tcPr>
          <w:p w14:paraId="0C238975">
            <w:pPr>
              <w:spacing w:before="246" w:line="195" w:lineRule="auto"/>
              <w:ind w:left="226"/>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751" w:type="dxa"/>
            <w:vAlign w:val="top"/>
          </w:tcPr>
          <w:p w14:paraId="1C405CB9">
            <w:pPr>
              <w:spacing w:before="17" w:line="275" w:lineRule="auto"/>
              <w:ind w:left="331" w:right="21" w:hanging="298"/>
              <w:rPr>
                <w:rFonts w:ascii="宋体" w:hAnsi="宋体" w:eastAsia="宋体" w:cs="宋体"/>
                <w:sz w:val="20"/>
                <w:szCs w:val="20"/>
              </w:rPr>
            </w:pPr>
            <w:r>
              <w:rPr>
                <w:rFonts w:ascii="宋体" w:hAnsi="宋体" w:eastAsia="宋体" w:cs="宋体"/>
                <w:spacing w:val="6"/>
                <w:sz w:val="20"/>
                <w:szCs w:val="20"/>
              </w:rPr>
              <w:t>办公室、</w:t>
            </w:r>
            <w:r>
              <w:rPr>
                <w:rFonts w:ascii="Times New Roman" w:hAnsi="Times New Roman" w:eastAsia="Times New Roman" w:cs="Times New Roman"/>
                <w:spacing w:val="6"/>
                <w:sz w:val="20"/>
                <w:szCs w:val="20"/>
              </w:rPr>
              <w:t>1#</w:t>
            </w:r>
            <w:r>
              <w:rPr>
                <w:rFonts w:ascii="宋体" w:hAnsi="宋体" w:eastAsia="宋体" w:cs="宋体"/>
                <w:spacing w:val="6"/>
                <w:sz w:val="20"/>
                <w:szCs w:val="20"/>
              </w:rPr>
              <w:t>员工休息室、</w:t>
            </w:r>
            <w:r>
              <w:rPr>
                <w:rFonts w:ascii="Times New Roman" w:hAnsi="Times New Roman" w:eastAsia="Times New Roman" w:cs="Times New Roman"/>
                <w:spacing w:val="6"/>
                <w:sz w:val="20"/>
                <w:szCs w:val="20"/>
              </w:rPr>
              <w:t>2#</w:t>
            </w:r>
            <w:r>
              <w:rPr>
                <w:rFonts w:ascii="宋体" w:hAnsi="宋体" w:eastAsia="宋体" w:cs="宋体"/>
                <w:spacing w:val="6"/>
                <w:sz w:val="20"/>
                <w:szCs w:val="20"/>
              </w:rPr>
              <w:t>员</w:t>
            </w:r>
            <w:r>
              <w:rPr>
                <w:rFonts w:ascii="宋体" w:hAnsi="宋体" w:eastAsia="宋体" w:cs="宋体"/>
                <w:sz w:val="20"/>
                <w:szCs w:val="20"/>
              </w:rPr>
              <w:t xml:space="preserve"> </w:t>
            </w:r>
            <w:r>
              <w:rPr>
                <w:rFonts w:ascii="宋体" w:hAnsi="宋体" w:eastAsia="宋体" w:cs="宋体"/>
                <w:spacing w:val="15"/>
                <w:sz w:val="20"/>
                <w:szCs w:val="20"/>
              </w:rPr>
              <w:t>工</w:t>
            </w:r>
            <w:r>
              <w:rPr>
                <w:rFonts w:ascii="宋体" w:hAnsi="宋体" w:eastAsia="宋体" w:cs="宋体"/>
                <w:spacing w:val="8"/>
                <w:sz w:val="20"/>
                <w:szCs w:val="20"/>
              </w:rPr>
              <w:t>休息室、备品备件库</w:t>
            </w:r>
          </w:p>
        </w:tc>
        <w:tc>
          <w:tcPr>
            <w:tcW w:w="4214" w:type="dxa"/>
            <w:vAlign w:val="top"/>
          </w:tcPr>
          <w:p w14:paraId="20B536C4">
            <w:pPr>
              <w:spacing w:before="53" w:line="258" w:lineRule="auto"/>
              <w:ind w:left="146" w:right="28" w:hanging="111"/>
              <w:rPr>
                <w:rFonts w:ascii="宋体" w:hAnsi="宋体" w:eastAsia="宋体" w:cs="宋体"/>
                <w:sz w:val="20"/>
                <w:szCs w:val="20"/>
              </w:rPr>
            </w:pPr>
            <w:r>
              <w:rPr>
                <w:rFonts w:ascii="宋体" w:hAnsi="宋体" w:eastAsia="宋体" w:cs="宋体"/>
                <w:spacing w:val="12"/>
                <w:sz w:val="20"/>
                <w:szCs w:val="20"/>
              </w:rPr>
              <w:t>底部</w:t>
            </w:r>
            <w:r>
              <w:rPr>
                <w:rFonts w:ascii="宋体" w:hAnsi="宋体" w:eastAsia="宋体" w:cs="宋体"/>
                <w:spacing w:val="7"/>
                <w:sz w:val="20"/>
                <w:szCs w:val="20"/>
              </w:rPr>
              <w:t>做</w:t>
            </w:r>
            <w:r>
              <w:rPr>
                <w:rFonts w:ascii="宋体" w:hAnsi="宋体" w:eastAsia="宋体" w:cs="宋体"/>
                <w:spacing w:val="6"/>
                <w:sz w:val="20"/>
                <w:szCs w:val="20"/>
              </w:rPr>
              <w:t xml:space="preserve">基础防渗，铺设 </w:t>
            </w:r>
            <w:r>
              <w:rPr>
                <w:rFonts w:ascii="Times New Roman" w:hAnsi="Times New Roman" w:eastAsia="Times New Roman" w:cs="Times New Roman"/>
                <w:spacing w:val="6"/>
                <w:sz w:val="20"/>
                <w:szCs w:val="20"/>
              </w:rPr>
              <w:t>1</w:t>
            </w:r>
            <w:r>
              <w:rPr>
                <w:rFonts w:ascii="Times New Roman" w:hAnsi="Times New Roman" w:eastAsia="Times New Roman" w:cs="Times New Roman"/>
                <w:sz w:val="20"/>
                <w:szCs w:val="20"/>
              </w:rPr>
              <w:t>m</w:t>
            </w:r>
            <w:r>
              <w:rPr>
                <w:rFonts w:ascii="Times New Roman" w:hAnsi="Times New Roman" w:eastAsia="Times New Roman" w:cs="Times New Roman"/>
                <w:spacing w:val="6"/>
                <w:sz w:val="20"/>
                <w:szCs w:val="20"/>
              </w:rPr>
              <w:t xml:space="preserve"> </w:t>
            </w:r>
            <w:r>
              <w:rPr>
                <w:rFonts w:ascii="宋体" w:hAnsi="宋体" w:eastAsia="宋体" w:cs="宋体"/>
                <w:spacing w:val="6"/>
                <w:sz w:val="20"/>
                <w:szCs w:val="20"/>
              </w:rPr>
              <w:t>厚黏土层，再用耐</w:t>
            </w:r>
            <w:r>
              <w:rPr>
                <w:rFonts w:ascii="宋体" w:hAnsi="宋体" w:eastAsia="宋体" w:cs="宋体"/>
                <w:sz w:val="20"/>
                <w:szCs w:val="20"/>
              </w:rPr>
              <w:t xml:space="preserve"> </w:t>
            </w:r>
            <w:r>
              <w:rPr>
                <w:rFonts w:ascii="宋体" w:hAnsi="宋体" w:eastAsia="宋体" w:cs="宋体"/>
                <w:spacing w:val="12"/>
                <w:sz w:val="20"/>
                <w:szCs w:val="20"/>
              </w:rPr>
              <w:t>腐</w:t>
            </w:r>
            <w:r>
              <w:rPr>
                <w:rFonts w:ascii="宋体" w:hAnsi="宋体" w:eastAsia="宋体" w:cs="宋体"/>
                <w:spacing w:val="8"/>
                <w:sz w:val="20"/>
                <w:szCs w:val="20"/>
              </w:rPr>
              <w:t>蚀</w:t>
            </w:r>
            <w:r>
              <w:rPr>
                <w:rFonts w:ascii="宋体" w:hAnsi="宋体" w:eastAsia="宋体" w:cs="宋体"/>
                <w:spacing w:val="6"/>
                <w:sz w:val="20"/>
                <w:szCs w:val="20"/>
              </w:rPr>
              <w:t xml:space="preserve">混凝土 </w:t>
            </w:r>
            <w:r>
              <w:rPr>
                <w:rFonts w:ascii="Times New Roman" w:hAnsi="Times New Roman" w:eastAsia="Times New Roman" w:cs="Times New Roman"/>
                <w:spacing w:val="6"/>
                <w:sz w:val="20"/>
                <w:szCs w:val="20"/>
              </w:rPr>
              <w:t>15</w:t>
            </w:r>
            <w:r>
              <w:rPr>
                <w:rFonts w:ascii="Times New Roman" w:hAnsi="Times New Roman" w:eastAsia="Times New Roman" w:cs="Times New Roman"/>
                <w:sz w:val="20"/>
                <w:szCs w:val="20"/>
              </w:rPr>
              <w:t>cm</w:t>
            </w:r>
            <w:r>
              <w:rPr>
                <w:rFonts w:ascii="Times New Roman" w:hAnsi="Times New Roman" w:eastAsia="Times New Roman" w:cs="Times New Roman"/>
                <w:spacing w:val="6"/>
                <w:sz w:val="20"/>
                <w:szCs w:val="20"/>
              </w:rPr>
              <w:t xml:space="preserve"> </w:t>
            </w:r>
            <w:r>
              <w:rPr>
                <w:rFonts w:ascii="宋体" w:hAnsi="宋体" w:eastAsia="宋体" w:cs="宋体"/>
                <w:spacing w:val="6"/>
                <w:sz w:val="20"/>
                <w:szCs w:val="20"/>
              </w:rPr>
              <w:t>浇铸，上部铺设耐腐蚀砖</w:t>
            </w:r>
          </w:p>
        </w:tc>
        <w:tc>
          <w:tcPr>
            <w:tcW w:w="1006" w:type="dxa"/>
            <w:tcBorders>
              <w:right w:val="nil"/>
            </w:tcBorders>
            <w:vAlign w:val="top"/>
          </w:tcPr>
          <w:p w14:paraId="25E06625">
            <w:pPr>
              <w:spacing w:before="172" w:line="281" w:lineRule="exact"/>
              <w:ind w:left="86"/>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 10</w:t>
            </w:r>
            <w:r>
              <w:rPr>
                <w:rFonts w:ascii="Times New Roman" w:hAnsi="Times New Roman" w:eastAsia="Times New Roman" w:cs="Times New Roman"/>
                <w:spacing w:val="-1"/>
                <w:position w:val="8"/>
                <w:sz w:val="13"/>
                <w:szCs w:val="13"/>
              </w:rPr>
              <w:t>-7</w:t>
            </w:r>
            <w:r>
              <w:rPr>
                <w:rFonts w:ascii="Times New Roman" w:hAnsi="Times New Roman" w:eastAsia="Times New Roman" w:cs="Times New Roman"/>
                <w:spacing w:val="-1"/>
                <w:position w:val="2"/>
                <w:sz w:val="20"/>
                <w:szCs w:val="20"/>
              </w:rPr>
              <w:t>cm/s</w:t>
            </w:r>
          </w:p>
        </w:tc>
      </w:tr>
      <w:tr w14:paraId="522E0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551" w:type="dxa"/>
            <w:tcBorders>
              <w:left w:val="nil"/>
            </w:tcBorders>
            <w:vAlign w:val="top"/>
          </w:tcPr>
          <w:p w14:paraId="6643A74F">
            <w:pPr>
              <w:spacing w:before="93" w:line="195" w:lineRule="auto"/>
              <w:ind w:left="230"/>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751" w:type="dxa"/>
            <w:vAlign w:val="top"/>
          </w:tcPr>
          <w:p w14:paraId="11F72205">
            <w:pPr>
              <w:spacing w:before="57" w:line="228" w:lineRule="auto"/>
              <w:ind w:left="226"/>
              <w:rPr>
                <w:rFonts w:ascii="宋体" w:hAnsi="宋体" w:eastAsia="宋体" w:cs="宋体"/>
                <w:sz w:val="20"/>
                <w:szCs w:val="20"/>
              </w:rPr>
            </w:pPr>
            <w:r>
              <w:rPr>
                <w:rFonts w:ascii="宋体" w:hAnsi="宋体" w:eastAsia="宋体" w:cs="宋体"/>
                <w:spacing w:val="10"/>
                <w:sz w:val="20"/>
                <w:szCs w:val="20"/>
              </w:rPr>
              <w:t>全</w:t>
            </w:r>
            <w:r>
              <w:rPr>
                <w:rFonts w:ascii="宋体" w:hAnsi="宋体" w:eastAsia="宋体" w:cs="宋体"/>
                <w:spacing w:val="9"/>
                <w:sz w:val="20"/>
                <w:szCs w:val="20"/>
              </w:rPr>
              <w:t>厂区绿地外其他构筑物</w:t>
            </w:r>
          </w:p>
        </w:tc>
        <w:tc>
          <w:tcPr>
            <w:tcW w:w="4214" w:type="dxa"/>
            <w:vAlign w:val="top"/>
          </w:tcPr>
          <w:p w14:paraId="4FF38378">
            <w:pPr>
              <w:spacing w:before="57" w:line="227" w:lineRule="auto"/>
              <w:ind w:left="28"/>
              <w:rPr>
                <w:rFonts w:ascii="宋体" w:hAnsi="宋体" w:eastAsia="宋体" w:cs="宋体"/>
                <w:sz w:val="20"/>
                <w:szCs w:val="20"/>
              </w:rPr>
            </w:pPr>
            <w:r>
              <w:rPr>
                <w:rFonts w:ascii="宋体" w:hAnsi="宋体" w:eastAsia="宋体" w:cs="宋体"/>
                <w:spacing w:val="8"/>
                <w:sz w:val="20"/>
                <w:szCs w:val="20"/>
              </w:rPr>
              <w:t>采取混凝土地面，上涂耐磨环氧树脂地面涂</w:t>
            </w:r>
            <w:r>
              <w:rPr>
                <w:rFonts w:ascii="宋体" w:hAnsi="宋体" w:eastAsia="宋体" w:cs="宋体"/>
                <w:spacing w:val="4"/>
                <w:sz w:val="20"/>
                <w:szCs w:val="20"/>
              </w:rPr>
              <w:t>料</w:t>
            </w:r>
          </w:p>
        </w:tc>
        <w:tc>
          <w:tcPr>
            <w:tcW w:w="1006" w:type="dxa"/>
            <w:tcBorders>
              <w:right w:val="nil"/>
            </w:tcBorders>
            <w:vAlign w:val="top"/>
          </w:tcPr>
          <w:p w14:paraId="6578B220">
            <w:pPr>
              <w:spacing w:before="19" w:line="281" w:lineRule="exact"/>
              <w:ind w:left="86"/>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 10</w:t>
            </w:r>
            <w:r>
              <w:rPr>
                <w:rFonts w:ascii="Times New Roman" w:hAnsi="Times New Roman" w:eastAsia="Times New Roman" w:cs="Times New Roman"/>
                <w:spacing w:val="-1"/>
                <w:position w:val="8"/>
                <w:sz w:val="13"/>
                <w:szCs w:val="13"/>
              </w:rPr>
              <w:t>-7</w:t>
            </w:r>
            <w:r>
              <w:rPr>
                <w:rFonts w:ascii="Times New Roman" w:hAnsi="Times New Roman" w:eastAsia="Times New Roman" w:cs="Times New Roman"/>
                <w:spacing w:val="-1"/>
                <w:position w:val="2"/>
                <w:sz w:val="20"/>
                <w:szCs w:val="20"/>
              </w:rPr>
              <w:t>cm/s</w:t>
            </w:r>
          </w:p>
        </w:tc>
      </w:tr>
    </w:tbl>
    <w:p w14:paraId="5271BF8B">
      <w:pPr>
        <w:spacing w:line="260" w:lineRule="auto"/>
        <w:rPr>
          <w:rFonts w:ascii="Arial"/>
          <w:sz w:val="21"/>
        </w:rPr>
      </w:pPr>
    </w:p>
    <w:p w14:paraId="6FA1D72D">
      <w:pPr>
        <w:spacing w:before="75" w:line="393" w:lineRule="auto"/>
        <w:ind w:left="43" w:right="206" w:firstLine="469"/>
        <w:rPr>
          <w:rFonts w:ascii="宋体" w:hAnsi="宋体" w:eastAsia="宋体" w:cs="宋体"/>
          <w:sz w:val="23"/>
          <w:szCs w:val="23"/>
        </w:rPr>
      </w:pPr>
      <w:r>
        <w:rPr>
          <w:rFonts w:ascii="宋体" w:hAnsi="宋体" w:eastAsia="宋体" w:cs="宋体"/>
          <w:spacing w:val="25"/>
          <w:sz w:val="23"/>
          <w:szCs w:val="23"/>
        </w:rPr>
        <w:t>本</w:t>
      </w:r>
      <w:r>
        <w:rPr>
          <w:rFonts w:ascii="宋体" w:hAnsi="宋体" w:eastAsia="宋体" w:cs="宋体"/>
          <w:spacing w:val="19"/>
          <w:sz w:val="23"/>
          <w:szCs w:val="23"/>
        </w:rPr>
        <w:t>项目采取的防渗措施均满足《环境影响评价技术导则</w:t>
      </w:r>
      <w:r>
        <w:rPr>
          <w:rFonts w:ascii="Times New Roman" w:hAnsi="Times New Roman" w:eastAsia="Times New Roman" w:cs="Times New Roman"/>
          <w:spacing w:val="19"/>
          <w:sz w:val="23"/>
          <w:szCs w:val="23"/>
        </w:rPr>
        <w:t xml:space="preserve">— </w:t>
      </w:r>
      <w:r>
        <w:rPr>
          <w:rFonts w:ascii="宋体" w:hAnsi="宋体" w:eastAsia="宋体" w:cs="宋体"/>
          <w:spacing w:val="19"/>
          <w:sz w:val="23"/>
          <w:szCs w:val="23"/>
        </w:rPr>
        <w:t>地下水环境》</w:t>
      </w:r>
      <w:r>
        <w:rPr>
          <w:rFonts w:ascii="宋体" w:hAnsi="宋体" w:eastAsia="宋体" w:cs="宋体"/>
          <w:sz w:val="23"/>
          <w:szCs w:val="23"/>
        </w:rPr>
        <w:t xml:space="preserve"> </w:t>
      </w:r>
      <w:r>
        <w:rPr>
          <w:rFonts w:ascii="宋体" w:hAnsi="宋体" w:eastAsia="宋体" w:cs="宋体"/>
          <w:spacing w:val="16"/>
          <w:sz w:val="23"/>
          <w:szCs w:val="23"/>
        </w:rPr>
        <w:t>(</w:t>
      </w:r>
      <w:r>
        <w:rPr>
          <w:rFonts w:ascii="Times New Roman" w:hAnsi="Times New Roman" w:eastAsia="Times New Roman" w:cs="Times New Roman"/>
          <w:sz w:val="23"/>
          <w:szCs w:val="23"/>
        </w:rPr>
        <w:t>HJ</w:t>
      </w:r>
      <w:r>
        <w:rPr>
          <w:rFonts w:ascii="Times New Roman" w:hAnsi="Times New Roman" w:eastAsia="Times New Roman" w:cs="Times New Roman"/>
          <w:spacing w:val="16"/>
          <w:sz w:val="23"/>
          <w:szCs w:val="23"/>
        </w:rPr>
        <w:t>6</w:t>
      </w:r>
      <w:r>
        <w:rPr>
          <w:rFonts w:ascii="Times New Roman" w:hAnsi="Times New Roman" w:eastAsia="Times New Roman" w:cs="Times New Roman"/>
          <w:spacing w:val="12"/>
          <w:sz w:val="23"/>
          <w:szCs w:val="23"/>
        </w:rPr>
        <w:t>1</w:t>
      </w:r>
      <w:r>
        <w:rPr>
          <w:rFonts w:ascii="Times New Roman" w:hAnsi="Times New Roman" w:eastAsia="Times New Roman" w:cs="Times New Roman"/>
          <w:spacing w:val="8"/>
          <w:sz w:val="23"/>
          <w:szCs w:val="23"/>
        </w:rPr>
        <w:t>0-2016</w:t>
      </w:r>
      <w:r>
        <w:rPr>
          <w:rFonts w:ascii="宋体" w:hAnsi="宋体" w:eastAsia="宋体" w:cs="宋体"/>
          <w:spacing w:val="8"/>
          <w:sz w:val="23"/>
          <w:szCs w:val="23"/>
        </w:rPr>
        <w:t xml:space="preserve">) 的规定。该项目分区防渗图见图 </w:t>
      </w:r>
      <w:r>
        <w:rPr>
          <w:rFonts w:ascii="Times New Roman" w:hAnsi="Times New Roman" w:eastAsia="Times New Roman" w:cs="Times New Roman"/>
          <w:spacing w:val="8"/>
          <w:sz w:val="23"/>
          <w:szCs w:val="23"/>
        </w:rPr>
        <w:t>6-2</w:t>
      </w:r>
      <w:r>
        <w:rPr>
          <w:rFonts w:ascii="宋体" w:hAnsi="宋体" w:eastAsia="宋体" w:cs="宋体"/>
          <w:spacing w:val="8"/>
          <w:sz w:val="23"/>
          <w:szCs w:val="23"/>
        </w:rPr>
        <w:t>。</w:t>
      </w:r>
    </w:p>
    <w:p w14:paraId="46A319B3">
      <w:pPr>
        <w:spacing w:before="100" w:line="221" w:lineRule="auto"/>
        <w:ind w:left="33"/>
        <w:outlineLvl w:val="3"/>
        <w:rPr>
          <w:rFonts w:ascii="宋体" w:hAnsi="宋体" w:eastAsia="宋体" w:cs="宋体"/>
          <w:sz w:val="28"/>
          <w:szCs w:val="28"/>
        </w:rPr>
      </w:pPr>
      <w:r>
        <w:rPr>
          <w:rFonts w:ascii="Times New Roman" w:hAnsi="Times New Roman" w:eastAsia="Times New Roman" w:cs="Times New Roman"/>
          <w:b/>
          <w:bCs/>
          <w:spacing w:val="11"/>
          <w:sz w:val="28"/>
          <w:szCs w:val="28"/>
        </w:rPr>
        <w:t>6</w:t>
      </w:r>
      <w:r>
        <w:rPr>
          <w:rFonts w:ascii="Times New Roman" w:hAnsi="Times New Roman" w:eastAsia="Times New Roman" w:cs="Times New Roman"/>
          <w:b/>
          <w:bCs/>
          <w:spacing w:val="6"/>
          <w:sz w:val="28"/>
          <w:szCs w:val="28"/>
        </w:rPr>
        <w:t>.2.3.2</w:t>
      </w:r>
      <w:r>
        <w:rPr>
          <w:rFonts w:ascii="Times New Roman" w:hAnsi="Times New Roman" w:eastAsia="Times New Roman" w:cs="Times New Roman"/>
          <w:spacing w:val="6"/>
          <w:sz w:val="28"/>
          <w:szCs w:val="28"/>
        </w:rPr>
        <w:t xml:space="preserve">  </w:t>
      </w:r>
      <w:r>
        <w:rPr>
          <w:rFonts w:ascii="宋体" w:hAnsi="宋体" w:eastAsia="宋体" w:cs="宋体"/>
          <w:spacing w:val="6"/>
          <w:sz w:val="28"/>
          <w:szCs w:val="28"/>
          <w14:textOutline w14:w="5103" w14:cap="sq" w14:cmpd="sng">
            <w14:solidFill>
              <w14:srgbClr w14:val="000000"/>
            </w14:solidFill>
            <w14:prstDash w14:val="solid"/>
            <w14:bevel/>
          </w14:textOutline>
        </w:rPr>
        <w:t>跟踪监测</w:t>
      </w:r>
    </w:p>
    <w:p w14:paraId="568E2B31">
      <w:pPr>
        <w:spacing w:line="261" w:lineRule="auto"/>
        <w:rPr>
          <w:rFonts w:ascii="Arial"/>
          <w:sz w:val="21"/>
        </w:rPr>
      </w:pPr>
    </w:p>
    <w:p w14:paraId="3D724BE8">
      <w:pPr>
        <w:spacing w:before="75" w:line="389" w:lineRule="auto"/>
        <w:ind w:left="30" w:right="192" w:firstLine="481"/>
        <w:rPr>
          <w:rFonts w:ascii="宋体" w:hAnsi="宋体" w:eastAsia="宋体" w:cs="宋体"/>
          <w:sz w:val="23"/>
          <w:szCs w:val="23"/>
        </w:rPr>
      </w:pPr>
      <w:r>
        <w:rPr>
          <w:rFonts w:ascii="宋体" w:hAnsi="宋体" w:eastAsia="宋体" w:cs="宋体"/>
          <w:spacing w:val="7"/>
          <w:sz w:val="23"/>
          <w:szCs w:val="23"/>
        </w:rPr>
        <w:t>根据区域地下水流向由南向北，定期对地下水环境进行监测，委托具有资</w:t>
      </w:r>
      <w:r>
        <w:rPr>
          <w:rFonts w:ascii="宋体" w:hAnsi="宋体" w:eastAsia="宋体" w:cs="宋体"/>
          <w:spacing w:val="3"/>
          <w:sz w:val="23"/>
          <w:szCs w:val="23"/>
        </w:rPr>
        <w:t>质</w:t>
      </w:r>
      <w:r>
        <w:rPr>
          <w:rFonts w:ascii="宋体" w:hAnsi="宋体" w:eastAsia="宋体" w:cs="宋体"/>
          <w:sz w:val="23"/>
          <w:szCs w:val="23"/>
        </w:rPr>
        <w:t xml:space="preserve"> </w:t>
      </w:r>
      <w:r>
        <w:rPr>
          <w:rFonts w:ascii="宋体" w:hAnsi="宋体" w:eastAsia="宋体" w:cs="宋体"/>
          <w:spacing w:val="10"/>
          <w:sz w:val="23"/>
          <w:szCs w:val="23"/>
        </w:rPr>
        <w:t>的</w:t>
      </w:r>
      <w:r>
        <w:rPr>
          <w:rFonts w:ascii="宋体" w:hAnsi="宋体" w:eastAsia="宋体" w:cs="宋体"/>
          <w:spacing w:val="7"/>
          <w:sz w:val="23"/>
          <w:szCs w:val="23"/>
        </w:rPr>
        <w:t>单位进行，监测报告应包括建设项目所在地及其影响区地下水环境跟踪监测数</w:t>
      </w:r>
      <w:r>
        <w:rPr>
          <w:rFonts w:ascii="宋体" w:hAnsi="宋体" w:eastAsia="宋体" w:cs="宋体"/>
          <w:sz w:val="23"/>
          <w:szCs w:val="23"/>
        </w:rPr>
        <w:t xml:space="preserve"> </w:t>
      </w:r>
      <w:r>
        <w:rPr>
          <w:rFonts w:ascii="宋体" w:hAnsi="宋体" w:eastAsia="宋体" w:cs="宋体"/>
          <w:spacing w:val="10"/>
          <w:sz w:val="23"/>
          <w:szCs w:val="23"/>
        </w:rPr>
        <w:t>据</w:t>
      </w:r>
      <w:r>
        <w:rPr>
          <w:rFonts w:ascii="宋体" w:hAnsi="宋体" w:eastAsia="宋体" w:cs="宋体"/>
          <w:spacing w:val="7"/>
          <w:sz w:val="23"/>
          <w:szCs w:val="23"/>
        </w:rPr>
        <w:t>，各生产设施及污染防控措施等设施的运行状况、维护记录，同时对监测结果</w:t>
      </w:r>
      <w:r>
        <w:rPr>
          <w:rFonts w:ascii="宋体" w:hAnsi="宋体" w:eastAsia="宋体" w:cs="宋体"/>
          <w:sz w:val="23"/>
          <w:szCs w:val="23"/>
        </w:rPr>
        <w:t xml:space="preserve"> </w:t>
      </w:r>
      <w:r>
        <w:rPr>
          <w:rFonts w:ascii="宋体" w:hAnsi="宋体" w:eastAsia="宋体" w:cs="宋体"/>
          <w:spacing w:val="10"/>
          <w:sz w:val="23"/>
          <w:szCs w:val="23"/>
        </w:rPr>
        <w:t>进</w:t>
      </w:r>
      <w:r>
        <w:rPr>
          <w:rFonts w:ascii="宋体" w:hAnsi="宋体" w:eastAsia="宋体" w:cs="宋体"/>
          <w:spacing w:val="7"/>
          <w:sz w:val="23"/>
          <w:szCs w:val="23"/>
        </w:rPr>
        <w:t>行信息公开。</w:t>
      </w:r>
    </w:p>
    <w:p w14:paraId="703E7764">
      <w:pPr>
        <w:spacing w:before="137" w:line="384" w:lineRule="auto"/>
        <w:ind w:left="30" w:right="192" w:firstLine="481"/>
        <w:rPr>
          <w:rFonts w:ascii="宋体" w:hAnsi="宋体" w:eastAsia="宋体" w:cs="宋体"/>
          <w:sz w:val="23"/>
          <w:szCs w:val="23"/>
        </w:rPr>
      </w:pPr>
      <w:r>
        <w:rPr>
          <w:rFonts w:ascii="宋体" w:hAnsi="宋体" w:eastAsia="宋体" w:cs="宋体"/>
          <w:spacing w:val="10"/>
          <w:sz w:val="23"/>
          <w:szCs w:val="23"/>
        </w:rPr>
        <w:t>根据《环</w:t>
      </w:r>
      <w:r>
        <w:rPr>
          <w:rFonts w:ascii="宋体" w:hAnsi="宋体" w:eastAsia="宋体" w:cs="宋体"/>
          <w:spacing w:val="9"/>
          <w:sz w:val="23"/>
          <w:szCs w:val="23"/>
        </w:rPr>
        <w:t>境</w:t>
      </w:r>
      <w:r>
        <w:rPr>
          <w:rFonts w:ascii="宋体" w:hAnsi="宋体" w:eastAsia="宋体" w:cs="宋体"/>
          <w:spacing w:val="5"/>
          <w:sz w:val="23"/>
          <w:szCs w:val="23"/>
        </w:rPr>
        <w:t>影响评价技术导则</w:t>
      </w:r>
      <w:r>
        <w:rPr>
          <w:rFonts w:ascii="Times New Roman" w:hAnsi="Times New Roman" w:eastAsia="Times New Roman" w:cs="Times New Roman"/>
          <w:spacing w:val="5"/>
          <w:sz w:val="23"/>
          <w:szCs w:val="23"/>
        </w:rPr>
        <w:t>—</w:t>
      </w:r>
      <w:r>
        <w:rPr>
          <w:rFonts w:ascii="宋体" w:hAnsi="宋体" w:eastAsia="宋体" w:cs="宋体"/>
          <w:spacing w:val="5"/>
          <w:sz w:val="23"/>
          <w:szCs w:val="23"/>
        </w:rPr>
        <w:t>地下水环境》</w:t>
      </w:r>
      <w:r>
        <w:rPr>
          <w:rFonts w:ascii="Times New Roman" w:hAnsi="Times New Roman" w:eastAsia="Times New Roman" w:cs="Times New Roman"/>
          <w:sz w:val="23"/>
          <w:szCs w:val="23"/>
        </w:rPr>
        <w:t>HJ</w:t>
      </w:r>
      <w:r>
        <w:rPr>
          <w:rFonts w:ascii="Times New Roman" w:hAnsi="Times New Roman" w:eastAsia="Times New Roman" w:cs="Times New Roman"/>
          <w:spacing w:val="5"/>
          <w:sz w:val="23"/>
          <w:szCs w:val="23"/>
        </w:rPr>
        <w:t>610-2016</w:t>
      </w:r>
      <w:r>
        <w:rPr>
          <w:rFonts w:ascii="宋体" w:hAnsi="宋体" w:eastAsia="宋体" w:cs="宋体"/>
          <w:spacing w:val="5"/>
          <w:sz w:val="23"/>
          <w:szCs w:val="23"/>
        </w:rPr>
        <w:t>：</w:t>
      </w:r>
      <w:r>
        <w:rPr>
          <w:rFonts w:ascii="Times New Roman" w:hAnsi="Times New Roman" w:eastAsia="Times New Roman" w:cs="Times New Roman"/>
          <w:spacing w:val="5"/>
          <w:sz w:val="23"/>
          <w:szCs w:val="23"/>
        </w:rPr>
        <w:t xml:space="preserve">11.3.2. 1  </w:t>
      </w:r>
      <w:r>
        <w:rPr>
          <w:rFonts w:ascii="宋体" w:hAnsi="宋体" w:eastAsia="宋体" w:cs="宋体"/>
          <w:spacing w:val="5"/>
          <w:sz w:val="23"/>
          <w:szCs w:val="23"/>
        </w:rPr>
        <w:t>跟踪监</w:t>
      </w:r>
      <w:r>
        <w:rPr>
          <w:rFonts w:ascii="宋体" w:hAnsi="宋体" w:eastAsia="宋体" w:cs="宋体"/>
          <w:sz w:val="23"/>
          <w:szCs w:val="23"/>
        </w:rPr>
        <w:t xml:space="preserve"> </w:t>
      </w:r>
      <w:r>
        <w:rPr>
          <w:rFonts w:ascii="宋体" w:hAnsi="宋体" w:eastAsia="宋体" w:cs="宋体"/>
          <w:spacing w:val="10"/>
          <w:sz w:val="23"/>
          <w:szCs w:val="23"/>
        </w:rPr>
        <w:t>测</w:t>
      </w:r>
      <w:r>
        <w:rPr>
          <w:rFonts w:ascii="宋体" w:hAnsi="宋体" w:eastAsia="宋体" w:cs="宋体"/>
          <w:spacing w:val="8"/>
          <w:sz w:val="23"/>
          <w:szCs w:val="23"/>
        </w:rPr>
        <w:t xml:space="preserve">点要求  </w:t>
      </w:r>
      <w:r>
        <w:rPr>
          <w:rFonts w:ascii="Times New Roman" w:hAnsi="Times New Roman" w:eastAsia="Times New Roman" w:cs="Times New Roman"/>
          <w:sz w:val="23"/>
          <w:szCs w:val="23"/>
        </w:rPr>
        <w:t>b</w:t>
      </w:r>
      <w:r>
        <w:rPr>
          <w:rFonts w:ascii="宋体" w:hAnsi="宋体" w:eastAsia="宋体" w:cs="宋体"/>
          <w:spacing w:val="8"/>
          <w:sz w:val="23"/>
          <w:szCs w:val="23"/>
        </w:rPr>
        <w:t xml:space="preserve">) 三级评价的项目，应至少在建设项目场界下游布置 </w:t>
      </w:r>
      <w:r>
        <w:rPr>
          <w:rFonts w:ascii="Times New Roman" w:hAnsi="Times New Roman" w:eastAsia="Times New Roman" w:cs="Times New Roman"/>
          <w:spacing w:val="8"/>
          <w:sz w:val="23"/>
          <w:szCs w:val="23"/>
        </w:rPr>
        <w:t xml:space="preserve">1 </w:t>
      </w:r>
      <w:r>
        <w:rPr>
          <w:rFonts w:ascii="宋体" w:hAnsi="宋体" w:eastAsia="宋体" w:cs="宋体"/>
          <w:spacing w:val="8"/>
          <w:sz w:val="23"/>
          <w:szCs w:val="23"/>
        </w:rPr>
        <w:t>个。本项目</w:t>
      </w:r>
      <w:r>
        <w:rPr>
          <w:rFonts w:ascii="宋体" w:hAnsi="宋体" w:eastAsia="宋体" w:cs="宋体"/>
          <w:sz w:val="23"/>
          <w:szCs w:val="23"/>
        </w:rPr>
        <w:t xml:space="preserve"> </w:t>
      </w:r>
      <w:r>
        <w:rPr>
          <w:rFonts w:ascii="宋体" w:hAnsi="宋体" w:eastAsia="宋体" w:cs="宋体"/>
          <w:spacing w:val="10"/>
          <w:sz w:val="23"/>
          <w:szCs w:val="23"/>
        </w:rPr>
        <w:t>在</w:t>
      </w:r>
      <w:r>
        <w:rPr>
          <w:rFonts w:ascii="宋体" w:hAnsi="宋体" w:eastAsia="宋体" w:cs="宋体"/>
          <w:spacing w:val="6"/>
          <w:sz w:val="23"/>
          <w:szCs w:val="23"/>
        </w:rPr>
        <w:t>厂</w:t>
      </w:r>
      <w:r>
        <w:rPr>
          <w:rFonts w:ascii="宋体" w:hAnsi="宋体" w:eastAsia="宋体" w:cs="宋体"/>
          <w:spacing w:val="5"/>
          <w:sz w:val="23"/>
          <w:szCs w:val="23"/>
        </w:rPr>
        <w:t xml:space="preserve">区东南侧、西北侧各设置 </w:t>
      </w:r>
      <w:r>
        <w:rPr>
          <w:rFonts w:ascii="Times New Roman" w:hAnsi="Times New Roman" w:eastAsia="Times New Roman" w:cs="Times New Roman"/>
          <w:spacing w:val="5"/>
          <w:sz w:val="23"/>
          <w:szCs w:val="23"/>
        </w:rPr>
        <w:t xml:space="preserve">1 </w:t>
      </w:r>
      <w:r>
        <w:rPr>
          <w:rFonts w:ascii="宋体" w:hAnsi="宋体" w:eastAsia="宋体" w:cs="宋体"/>
          <w:spacing w:val="5"/>
          <w:sz w:val="23"/>
          <w:szCs w:val="23"/>
        </w:rPr>
        <w:t>个地下水观测井，即在厂区地下水上游、下游设</w:t>
      </w:r>
      <w:r>
        <w:rPr>
          <w:rFonts w:ascii="宋体" w:hAnsi="宋体" w:eastAsia="宋体" w:cs="宋体"/>
          <w:sz w:val="23"/>
          <w:szCs w:val="23"/>
        </w:rPr>
        <w:t xml:space="preserve"> </w:t>
      </w:r>
      <w:r>
        <w:rPr>
          <w:rFonts w:ascii="宋体" w:hAnsi="宋体" w:eastAsia="宋体" w:cs="宋体"/>
          <w:spacing w:val="10"/>
          <w:sz w:val="23"/>
          <w:szCs w:val="23"/>
        </w:rPr>
        <w:t>置</w:t>
      </w:r>
      <w:r>
        <w:rPr>
          <w:rFonts w:ascii="宋体" w:hAnsi="宋体" w:eastAsia="宋体" w:cs="宋体"/>
          <w:spacing w:val="6"/>
          <w:sz w:val="23"/>
          <w:szCs w:val="23"/>
        </w:rPr>
        <w:t xml:space="preserve"> </w:t>
      </w:r>
      <w:r>
        <w:rPr>
          <w:rFonts w:ascii="Times New Roman" w:hAnsi="Times New Roman" w:eastAsia="Times New Roman" w:cs="Times New Roman"/>
          <w:spacing w:val="5"/>
          <w:sz w:val="23"/>
          <w:szCs w:val="23"/>
        </w:rPr>
        <w:t xml:space="preserve">1 </w:t>
      </w:r>
      <w:r>
        <w:rPr>
          <w:rFonts w:ascii="宋体" w:hAnsi="宋体" w:eastAsia="宋体" w:cs="宋体"/>
          <w:spacing w:val="5"/>
          <w:sz w:val="23"/>
          <w:szCs w:val="23"/>
        </w:rPr>
        <w:t>个地下水观测井，作为地下水环境影响跟踪监测点，观测井距离本项目均约</w:t>
      </w:r>
    </w:p>
    <w:p w14:paraId="1660A72D">
      <w:pPr>
        <w:sectPr>
          <w:headerReference r:id="rId275" w:type="default"/>
          <w:footerReference r:id="rId276" w:type="default"/>
          <w:pgSz w:w="11906" w:h="16839"/>
          <w:pgMar w:top="1132" w:right="1606" w:bottom="1182" w:left="1777" w:header="878" w:footer="1022" w:gutter="0"/>
          <w:cols w:space="720" w:num="1"/>
        </w:sectPr>
      </w:pPr>
    </w:p>
    <w:p w14:paraId="58995BF2">
      <w:pPr>
        <w:spacing w:line="408" w:lineRule="auto"/>
        <w:rPr>
          <w:rFonts w:ascii="Arial"/>
          <w:sz w:val="21"/>
        </w:rPr>
      </w:pPr>
      <w:r>
        <w:pict>
          <v:shape id="_x0000_s1315" o:spid="_x0000_s1315" style="position:absolute;left:0pt;margin-left:90pt;margin-top:57.35pt;height:0.75pt;width:415.3pt;mso-position-horizontal-relative:page;mso-position-vertical-relative:page;z-index:251959296;mso-width-relative:page;mso-height-relative:page;" fillcolor="#000000" filled="t" stroked="f" coordsize="8305,15" o:allowincell="f" path="m0,0l8305,0,8305,14,0,14,0,0xe">
            <v:path/>
            <v:fill on="t" focussize="0,0"/>
            <v:stroke on="f"/>
            <v:imagedata o:title=""/>
            <o:lock v:ext="edit"/>
          </v:shape>
        </w:pict>
      </w:r>
    </w:p>
    <w:p w14:paraId="30203DFC">
      <w:pPr>
        <w:spacing w:before="75" w:line="239" w:lineRule="auto"/>
        <w:ind w:left="39"/>
        <w:rPr>
          <w:rFonts w:ascii="宋体" w:hAnsi="宋体" w:eastAsia="宋体" w:cs="宋体"/>
          <w:sz w:val="23"/>
          <w:szCs w:val="23"/>
        </w:rPr>
      </w:pPr>
      <w:r>
        <w:rPr>
          <w:rFonts w:ascii="Times New Roman" w:hAnsi="Times New Roman" w:eastAsia="Times New Roman" w:cs="Times New Roman"/>
          <w:spacing w:val="-1"/>
          <w:sz w:val="23"/>
          <w:szCs w:val="23"/>
        </w:rPr>
        <w:t>50</w:t>
      </w:r>
      <w:r>
        <w:rPr>
          <w:rFonts w:ascii="Times New Roman" w:hAnsi="Times New Roman" w:eastAsia="Times New Roman" w:cs="Times New Roman"/>
          <w:sz w:val="23"/>
          <w:szCs w:val="23"/>
        </w:rPr>
        <w:t>m</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，跟踪</w:t>
      </w:r>
      <w:r>
        <w:rPr>
          <w:rFonts w:ascii="宋体" w:hAnsi="宋体" w:eastAsia="宋体" w:cs="宋体"/>
          <w:sz w:val="23"/>
          <w:szCs w:val="23"/>
        </w:rPr>
        <w:t xml:space="preserve">监测计划见表 </w:t>
      </w:r>
      <w:r>
        <w:rPr>
          <w:rFonts w:ascii="Times New Roman" w:hAnsi="Times New Roman" w:eastAsia="Times New Roman" w:cs="Times New Roman"/>
          <w:sz w:val="23"/>
          <w:szCs w:val="23"/>
        </w:rPr>
        <w:t>6-2</w:t>
      </w:r>
      <w:r>
        <w:rPr>
          <w:rFonts w:ascii="宋体" w:hAnsi="宋体" w:eastAsia="宋体" w:cs="宋体"/>
          <w:sz w:val="23"/>
          <w:szCs w:val="23"/>
        </w:rPr>
        <w:t>。</w:t>
      </w:r>
    </w:p>
    <w:p w14:paraId="7D287B94">
      <w:pPr>
        <w:spacing w:line="262" w:lineRule="auto"/>
        <w:rPr>
          <w:rFonts w:ascii="Arial"/>
          <w:sz w:val="21"/>
        </w:rPr>
      </w:pPr>
    </w:p>
    <w:p w14:paraId="2A749D4B">
      <w:pPr>
        <w:spacing w:before="75" w:line="227" w:lineRule="auto"/>
        <w:ind w:left="2438"/>
        <w:rPr>
          <w:rFonts w:ascii="宋体" w:hAnsi="宋体" w:eastAsia="宋体" w:cs="宋体"/>
          <w:sz w:val="23"/>
          <w:szCs w:val="23"/>
        </w:rPr>
      </w:pPr>
      <w:r>
        <w:rPr>
          <w:rFonts w:ascii="宋体" w:hAnsi="宋体" w:eastAsia="宋体" w:cs="宋体"/>
          <w:spacing w:val="4"/>
          <w:sz w:val="23"/>
          <w:szCs w:val="23"/>
          <w14:textOutline w14:w="4358" w14:cap="sq" w14:cmpd="sng">
            <w14:solidFill>
              <w14:srgbClr w14:val="000000"/>
            </w14:solidFill>
            <w14:prstDash w14:val="solid"/>
            <w14:bevel/>
          </w14:textOutline>
        </w:rPr>
        <w:t>表</w:t>
      </w:r>
      <w:r>
        <w:rPr>
          <w:rFonts w:ascii="宋体" w:hAnsi="宋体" w:eastAsia="宋体" w:cs="宋体"/>
          <w:spacing w:val="4"/>
          <w:sz w:val="23"/>
          <w:szCs w:val="23"/>
        </w:rPr>
        <w:t xml:space="preserve"> </w:t>
      </w:r>
      <w:r>
        <w:rPr>
          <w:rFonts w:ascii="Times New Roman" w:hAnsi="Times New Roman" w:eastAsia="Times New Roman" w:cs="Times New Roman"/>
          <w:b/>
          <w:bCs/>
          <w:spacing w:val="4"/>
          <w:sz w:val="23"/>
          <w:szCs w:val="23"/>
        </w:rPr>
        <w:t>6-2</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地下水环境监测计划</w:t>
      </w:r>
      <w:r>
        <w:rPr>
          <w:rFonts w:ascii="宋体" w:hAnsi="宋体" w:eastAsia="宋体" w:cs="宋体"/>
          <w:spacing w:val="3"/>
          <w:sz w:val="23"/>
          <w:szCs w:val="23"/>
          <w14:textOutline w14:w="4358" w14:cap="sq" w14:cmpd="sng">
            <w14:solidFill>
              <w14:srgbClr w14:val="000000"/>
            </w14:solidFill>
            <w14:prstDash w14:val="solid"/>
            <w14:bevel/>
          </w14:textOutline>
        </w:rPr>
        <w:t>表</w:t>
      </w:r>
    </w:p>
    <w:p w14:paraId="79250972">
      <w:pPr>
        <w:spacing w:line="17" w:lineRule="exact"/>
      </w:pPr>
    </w:p>
    <w:tbl>
      <w:tblPr>
        <w:tblStyle w:val="4"/>
        <w:tblW w:w="836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62"/>
        <w:gridCol w:w="979"/>
        <w:gridCol w:w="2864"/>
        <w:gridCol w:w="814"/>
        <w:gridCol w:w="1080"/>
        <w:gridCol w:w="1062"/>
      </w:tblGrid>
      <w:tr w14:paraId="7B4991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1562" w:type="dxa"/>
            <w:tcBorders>
              <w:left w:val="nil"/>
              <w:right w:val="single" w:color="000000" w:sz="4" w:space="0"/>
            </w:tcBorders>
            <w:vAlign w:val="top"/>
          </w:tcPr>
          <w:p w14:paraId="6F366AC2">
            <w:pPr>
              <w:spacing w:before="116" w:line="229" w:lineRule="auto"/>
              <w:ind w:left="589"/>
              <w:rPr>
                <w:rFonts w:ascii="宋体" w:hAnsi="宋体" w:eastAsia="宋体" w:cs="宋体"/>
                <w:sz w:val="20"/>
                <w:szCs w:val="20"/>
              </w:rPr>
            </w:pPr>
            <w:r>
              <w:rPr>
                <w:rFonts w:ascii="宋体" w:hAnsi="宋体" w:eastAsia="宋体" w:cs="宋体"/>
                <w:spacing w:val="-1"/>
                <w:sz w:val="20"/>
                <w:szCs w:val="20"/>
              </w:rPr>
              <w:t>点位</w:t>
            </w:r>
          </w:p>
        </w:tc>
        <w:tc>
          <w:tcPr>
            <w:tcW w:w="979" w:type="dxa"/>
            <w:tcBorders>
              <w:left w:val="single" w:color="000000" w:sz="4" w:space="0"/>
              <w:right w:val="single" w:color="000000" w:sz="4" w:space="0"/>
            </w:tcBorders>
            <w:vAlign w:val="top"/>
          </w:tcPr>
          <w:p w14:paraId="7767C4D4">
            <w:pPr>
              <w:spacing w:before="116" w:line="229" w:lineRule="auto"/>
              <w:ind w:left="284"/>
              <w:rPr>
                <w:rFonts w:ascii="宋体" w:hAnsi="宋体" w:eastAsia="宋体" w:cs="宋体"/>
                <w:sz w:val="20"/>
                <w:szCs w:val="20"/>
              </w:rPr>
            </w:pPr>
            <w:r>
              <w:rPr>
                <w:rFonts w:ascii="宋体" w:hAnsi="宋体" w:eastAsia="宋体" w:cs="宋体"/>
                <w:spacing w:val="3"/>
                <w:sz w:val="20"/>
                <w:szCs w:val="20"/>
              </w:rPr>
              <w:t>功能</w:t>
            </w:r>
          </w:p>
        </w:tc>
        <w:tc>
          <w:tcPr>
            <w:tcW w:w="2864" w:type="dxa"/>
            <w:tcBorders>
              <w:left w:val="single" w:color="000000" w:sz="4" w:space="0"/>
              <w:right w:val="single" w:color="000000" w:sz="4" w:space="0"/>
            </w:tcBorders>
            <w:vAlign w:val="top"/>
          </w:tcPr>
          <w:p w14:paraId="779A7FE9">
            <w:pPr>
              <w:spacing w:before="116" w:line="228" w:lineRule="auto"/>
              <w:ind w:left="1016"/>
              <w:rPr>
                <w:rFonts w:ascii="宋体" w:hAnsi="宋体" w:eastAsia="宋体" w:cs="宋体"/>
                <w:sz w:val="20"/>
                <w:szCs w:val="20"/>
              </w:rPr>
            </w:pPr>
            <w:r>
              <w:rPr>
                <w:rFonts w:ascii="宋体" w:hAnsi="宋体" w:eastAsia="宋体" w:cs="宋体"/>
                <w:spacing w:val="7"/>
                <w:sz w:val="20"/>
                <w:szCs w:val="20"/>
              </w:rPr>
              <w:t>监测因子</w:t>
            </w:r>
          </w:p>
        </w:tc>
        <w:tc>
          <w:tcPr>
            <w:tcW w:w="814" w:type="dxa"/>
            <w:tcBorders>
              <w:left w:val="single" w:color="000000" w:sz="4" w:space="0"/>
              <w:right w:val="single" w:color="000000" w:sz="4" w:space="0"/>
            </w:tcBorders>
            <w:vAlign w:val="top"/>
          </w:tcPr>
          <w:p w14:paraId="189B7FD1">
            <w:pPr>
              <w:spacing w:before="116" w:line="228" w:lineRule="auto"/>
              <w:ind w:left="201"/>
              <w:rPr>
                <w:rFonts w:ascii="宋体" w:hAnsi="宋体" w:eastAsia="宋体" w:cs="宋体"/>
                <w:sz w:val="20"/>
                <w:szCs w:val="20"/>
              </w:rPr>
            </w:pPr>
            <w:r>
              <w:rPr>
                <w:rFonts w:ascii="宋体" w:hAnsi="宋体" w:eastAsia="宋体" w:cs="宋体"/>
                <w:spacing w:val="5"/>
                <w:sz w:val="20"/>
                <w:szCs w:val="20"/>
              </w:rPr>
              <w:t>井</w:t>
            </w:r>
            <w:r>
              <w:rPr>
                <w:rFonts w:ascii="宋体" w:hAnsi="宋体" w:eastAsia="宋体" w:cs="宋体"/>
                <w:spacing w:val="4"/>
                <w:sz w:val="20"/>
                <w:szCs w:val="20"/>
              </w:rPr>
              <w:t>深</w:t>
            </w:r>
          </w:p>
        </w:tc>
        <w:tc>
          <w:tcPr>
            <w:tcW w:w="1080" w:type="dxa"/>
            <w:tcBorders>
              <w:left w:val="single" w:color="000000" w:sz="4" w:space="0"/>
              <w:right w:val="single" w:color="000000" w:sz="4" w:space="0"/>
            </w:tcBorders>
            <w:vAlign w:val="top"/>
          </w:tcPr>
          <w:p w14:paraId="4FF93CCA">
            <w:pPr>
              <w:spacing w:before="116" w:line="228" w:lineRule="auto"/>
              <w:ind w:left="124"/>
              <w:rPr>
                <w:rFonts w:ascii="宋体" w:hAnsi="宋体" w:eastAsia="宋体" w:cs="宋体"/>
                <w:sz w:val="20"/>
                <w:szCs w:val="20"/>
              </w:rPr>
            </w:pPr>
            <w:r>
              <w:rPr>
                <w:rFonts w:ascii="宋体" w:hAnsi="宋体" w:eastAsia="宋体" w:cs="宋体"/>
                <w:spacing w:val="7"/>
                <w:sz w:val="20"/>
                <w:szCs w:val="20"/>
              </w:rPr>
              <w:t>监测层位</w:t>
            </w:r>
          </w:p>
        </w:tc>
        <w:tc>
          <w:tcPr>
            <w:tcW w:w="1062" w:type="dxa"/>
            <w:tcBorders>
              <w:left w:val="single" w:color="000000" w:sz="4" w:space="0"/>
              <w:right w:val="nil"/>
            </w:tcBorders>
            <w:vAlign w:val="top"/>
          </w:tcPr>
          <w:p w14:paraId="09297416">
            <w:pPr>
              <w:spacing w:before="116" w:line="228" w:lineRule="auto"/>
              <w:ind w:left="115"/>
              <w:rPr>
                <w:rFonts w:ascii="宋体" w:hAnsi="宋体" w:eastAsia="宋体" w:cs="宋体"/>
                <w:sz w:val="20"/>
                <w:szCs w:val="20"/>
              </w:rPr>
            </w:pPr>
            <w:r>
              <w:rPr>
                <w:rFonts w:ascii="宋体" w:hAnsi="宋体" w:eastAsia="宋体" w:cs="宋体"/>
                <w:spacing w:val="7"/>
                <w:sz w:val="20"/>
                <w:szCs w:val="20"/>
              </w:rPr>
              <w:t>监测频次</w:t>
            </w:r>
          </w:p>
        </w:tc>
      </w:tr>
      <w:tr w14:paraId="05D2F4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1" w:hRule="atLeast"/>
        </w:trPr>
        <w:tc>
          <w:tcPr>
            <w:tcW w:w="1562" w:type="dxa"/>
            <w:tcBorders>
              <w:left w:val="nil"/>
              <w:right w:val="single" w:color="000000" w:sz="4" w:space="0"/>
            </w:tcBorders>
            <w:vAlign w:val="top"/>
          </w:tcPr>
          <w:p w14:paraId="6B940DA7">
            <w:pPr>
              <w:spacing w:before="179" w:line="301" w:lineRule="auto"/>
              <w:ind w:left="160" w:right="43" w:hanging="105"/>
              <w:rPr>
                <w:rFonts w:ascii="宋体" w:hAnsi="宋体" w:eastAsia="宋体" w:cs="宋体"/>
                <w:sz w:val="20"/>
                <w:szCs w:val="20"/>
              </w:rPr>
            </w:pPr>
            <w:r>
              <w:rPr>
                <w:rFonts w:ascii="宋体" w:hAnsi="宋体" w:eastAsia="宋体" w:cs="宋体"/>
                <w:spacing w:val="10"/>
                <w:sz w:val="20"/>
                <w:szCs w:val="20"/>
              </w:rPr>
              <w:t>厂</w:t>
            </w:r>
            <w:r>
              <w:rPr>
                <w:rFonts w:ascii="宋体" w:hAnsi="宋体" w:eastAsia="宋体" w:cs="宋体"/>
                <w:spacing w:val="8"/>
                <w:sz w:val="20"/>
                <w:szCs w:val="20"/>
              </w:rPr>
              <w:t>区西北侧、东</w:t>
            </w:r>
            <w:r>
              <w:rPr>
                <w:rFonts w:ascii="宋体" w:hAnsi="宋体" w:eastAsia="宋体" w:cs="宋体"/>
                <w:sz w:val="20"/>
                <w:szCs w:val="20"/>
              </w:rPr>
              <w:t xml:space="preserve"> </w:t>
            </w:r>
            <w:r>
              <w:rPr>
                <w:rFonts w:ascii="宋体" w:hAnsi="宋体" w:eastAsia="宋体" w:cs="宋体"/>
                <w:spacing w:val="8"/>
                <w:sz w:val="20"/>
                <w:szCs w:val="20"/>
              </w:rPr>
              <w:t>南侧的观测</w:t>
            </w:r>
            <w:r>
              <w:rPr>
                <w:rFonts w:ascii="宋体" w:hAnsi="宋体" w:eastAsia="宋体" w:cs="宋体"/>
                <w:spacing w:val="7"/>
                <w:sz w:val="20"/>
                <w:szCs w:val="20"/>
              </w:rPr>
              <w:t>井</w:t>
            </w:r>
          </w:p>
        </w:tc>
        <w:tc>
          <w:tcPr>
            <w:tcW w:w="979" w:type="dxa"/>
            <w:tcBorders>
              <w:left w:val="single" w:color="000000" w:sz="4" w:space="0"/>
              <w:right w:val="single" w:color="000000" w:sz="4" w:space="0"/>
            </w:tcBorders>
            <w:vAlign w:val="top"/>
          </w:tcPr>
          <w:p w14:paraId="11F0068C">
            <w:pPr>
              <w:spacing w:before="200" w:line="266" w:lineRule="auto"/>
              <w:ind w:left="178" w:right="170" w:firstLine="100"/>
              <w:rPr>
                <w:rFonts w:ascii="宋体" w:hAnsi="宋体" w:eastAsia="宋体" w:cs="宋体"/>
                <w:sz w:val="20"/>
                <w:szCs w:val="20"/>
              </w:rPr>
            </w:pPr>
            <w:r>
              <w:rPr>
                <w:rFonts w:ascii="宋体" w:hAnsi="宋体" w:eastAsia="宋体" w:cs="宋体"/>
                <w:spacing w:val="6"/>
                <w:sz w:val="20"/>
                <w:szCs w:val="20"/>
              </w:rPr>
              <w:t>跟</w:t>
            </w:r>
            <w:r>
              <w:rPr>
                <w:rFonts w:ascii="宋体" w:hAnsi="宋体" w:eastAsia="宋体" w:cs="宋体"/>
                <w:spacing w:val="5"/>
                <w:sz w:val="20"/>
                <w:szCs w:val="20"/>
              </w:rPr>
              <w:t>踪</w:t>
            </w:r>
            <w:r>
              <w:rPr>
                <w:rFonts w:ascii="宋体" w:hAnsi="宋体" w:eastAsia="宋体" w:cs="宋体"/>
                <w:sz w:val="20"/>
                <w:szCs w:val="20"/>
              </w:rPr>
              <w:t xml:space="preserve"> </w:t>
            </w:r>
            <w:r>
              <w:rPr>
                <w:rFonts w:ascii="宋体" w:hAnsi="宋体" w:eastAsia="宋体" w:cs="宋体"/>
                <w:spacing w:val="7"/>
                <w:sz w:val="20"/>
                <w:szCs w:val="20"/>
              </w:rPr>
              <w:t>监</w:t>
            </w:r>
            <w:r>
              <w:rPr>
                <w:rFonts w:ascii="宋体" w:hAnsi="宋体" w:eastAsia="宋体" w:cs="宋体"/>
                <w:spacing w:val="6"/>
                <w:sz w:val="20"/>
                <w:szCs w:val="20"/>
              </w:rPr>
              <w:t>测点</w:t>
            </w:r>
          </w:p>
        </w:tc>
        <w:tc>
          <w:tcPr>
            <w:tcW w:w="2864" w:type="dxa"/>
            <w:tcBorders>
              <w:left w:val="single" w:color="000000" w:sz="4" w:space="0"/>
              <w:right w:val="single" w:color="000000" w:sz="4" w:space="0"/>
            </w:tcBorders>
            <w:vAlign w:val="top"/>
          </w:tcPr>
          <w:p w14:paraId="2FEC35CA">
            <w:pPr>
              <w:spacing w:before="64" w:line="221" w:lineRule="auto"/>
              <w:ind w:left="37"/>
              <w:rPr>
                <w:rFonts w:ascii="宋体" w:hAnsi="宋体" w:eastAsia="宋体" w:cs="宋体"/>
                <w:sz w:val="20"/>
                <w:szCs w:val="20"/>
              </w:rPr>
            </w:pPr>
            <w:r>
              <w:rPr>
                <w:rFonts w:ascii="Times New Roman" w:hAnsi="Times New Roman" w:eastAsia="Times New Roman" w:cs="Times New Roman"/>
                <w:sz w:val="20"/>
                <w:szCs w:val="20"/>
              </w:rPr>
              <w:t>pH</w:t>
            </w:r>
            <w:r>
              <w:rPr>
                <w:rFonts w:ascii="Times New Roman" w:hAnsi="Times New Roman" w:eastAsia="Times New Roman" w:cs="Times New Roman"/>
                <w:spacing w:val="10"/>
                <w:sz w:val="20"/>
                <w:szCs w:val="20"/>
              </w:rPr>
              <w:t xml:space="preserve"> </w:t>
            </w:r>
            <w:r>
              <w:rPr>
                <w:rFonts w:ascii="宋体" w:hAnsi="宋体" w:eastAsia="宋体" w:cs="宋体"/>
                <w:spacing w:val="6"/>
                <w:sz w:val="20"/>
                <w:szCs w:val="20"/>
              </w:rPr>
              <w:t>、</w:t>
            </w:r>
            <w:r>
              <w:rPr>
                <w:rFonts w:ascii="宋体" w:hAnsi="宋体" w:eastAsia="宋体" w:cs="宋体"/>
                <w:spacing w:val="5"/>
                <w:sz w:val="20"/>
                <w:szCs w:val="20"/>
              </w:rPr>
              <w:t>耗氧量、氨氮、总硬度、</w:t>
            </w:r>
          </w:p>
          <w:p w14:paraId="12D6FC9D">
            <w:pPr>
              <w:spacing w:before="31" w:line="261" w:lineRule="auto"/>
              <w:ind w:left="385" w:right="97" w:hanging="316"/>
              <w:rPr>
                <w:rFonts w:ascii="宋体" w:hAnsi="宋体" w:eastAsia="宋体" w:cs="宋体"/>
                <w:sz w:val="20"/>
                <w:szCs w:val="20"/>
              </w:rPr>
            </w:pPr>
            <w:r>
              <w:rPr>
                <w:rFonts w:ascii="宋体" w:hAnsi="宋体" w:eastAsia="宋体" w:cs="宋体"/>
                <w:spacing w:val="12"/>
                <w:sz w:val="20"/>
                <w:szCs w:val="20"/>
              </w:rPr>
              <w:t>硫</w:t>
            </w:r>
            <w:r>
              <w:rPr>
                <w:rFonts w:ascii="宋体" w:hAnsi="宋体" w:eastAsia="宋体" w:cs="宋体"/>
                <w:spacing w:val="8"/>
                <w:sz w:val="20"/>
                <w:szCs w:val="20"/>
              </w:rPr>
              <w:t>酸</w:t>
            </w:r>
            <w:r>
              <w:rPr>
                <w:rFonts w:ascii="宋体" w:hAnsi="宋体" w:eastAsia="宋体" w:cs="宋体"/>
                <w:spacing w:val="6"/>
                <w:sz w:val="20"/>
                <w:szCs w:val="20"/>
              </w:rPr>
              <w:t>盐、硝酸盐、亚硝酸盐、</w:t>
            </w:r>
            <w:r>
              <w:rPr>
                <w:rFonts w:ascii="宋体" w:hAnsi="宋体" w:eastAsia="宋体" w:cs="宋体"/>
                <w:sz w:val="20"/>
                <w:szCs w:val="20"/>
              </w:rPr>
              <w:t xml:space="preserve"> </w:t>
            </w:r>
            <w:r>
              <w:rPr>
                <w:rFonts w:ascii="宋体" w:hAnsi="宋体" w:eastAsia="宋体" w:cs="宋体"/>
                <w:spacing w:val="9"/>
                <w:sz w:val="20"/>
                <w:szCs w:val="20"/>
              </w:rPr>
              <w:t>细菌总数和总大肠菌</w:t>
            </w:r>
            <w:r>
              <w:rPr>
                <w:rFonts w:ascii="宋体" w:hAnsi="宋体" w:eastAsia="宋体" w:cs="宋体"/>
                <w:spacing w:val="7"/>
                <w:sz w:val="20"/>
                <w:szCs w:val="20"/>
              </w:rPr>
              <w:t>群</w:t>
            </w:r>
          </w:p>
        </w:tc>
        <w:tc>
          <w:tcPr>
            <w:tcW w:w="814" w:type="dxa"/>
            <w:tcBorders>
              <w:left w:val="single" w:color="000000" w:sz="4" w:space="0"/>
              <w:right w:val="single" w:color="000000" w:sz="4" w:space="0"/>
            </w:tcBorders>
            <w:vAlign w:val="top"/>
          </w:tcPr>
          <w:p w14:paraId="1CA14745">
            <w:pPr>
              <w:spacing w:line="312" w:lineRule="auto"/>
              <w:rPr>
                <w:rFonts w:ascii="Arial"/>
                <w:sz w:val="21"/>
              </w:rPr>
            </w:pPr>
          </w:p>
          <w:p w14:paraId="744E5AA9">
            <w:pPr>
              <w:spacing w:before="57" w:line="195" w:lineRule="auto"/>
              <w:ind w:left="219"/>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2</w:t>
            </w:r>
            <w:r>
              <w:rPr>
                <w:rFonts w:ascii="Times New Roman" w:hAnsi="Times New Roman" w:eastAsia="Times New Roman" w:cs="Times New Roman"/>
                <w:spacing w:val="6"/>
                <w:sz w:val="20"/>
                <w:szCs w:val="20"/>
              </w:rPr>
              <w:t>0</w:t>
            </w:r>
            <w:r>
              <w:rPr>
                <w:rFonts w:ascii="Times New Roman" w:hAnsi="Times New Roman" w:eastAsia="Times New Roman" w:cs="Times New Roman"/>
                <w:sz w:val="20"/>
                <w:szCs w:val="20"/>
              </w:rPr>
              <w:t>m</w:t>
            </w:r>
          </w:p>
        </w:tc>
        <w:tc>
          <w:tcPr>
            <w:tcW w:w="1080" w:type="dxa"/>
            <w:tcBorders>
              <w:left w:val="single" w:color="000000" w:sz="4" w:space="0"/>
              <w:right w:val="single" w:color="000000" w:sz="4" w:space="0"/>
            </w:tcBorders>
            <w:vAlign w:val="top"/>
          </w:tcPr>
          <w:p w14:paraId="14266DE9">
            <w:pPr>
              <w:spacing w:line="268" w:lineRule="auto"/>
              <w:rPr>
                <w:rFonts w:ascii="Arial"/>
                <w:sz w:val="21"/>
              </w:rPr>
            </w:pPr>
          </w:p>
          <w:p w14:paraId="0AC4BF22">
            <w:pPr>
              <w:spacing w:before="65" w:line="228" w:lineRule="auto"/>
              <w:ind w:left="334"/>
              <w:rPr>
                <w:rFonts w:ascii="宋体" w:hAnsi="宋体" w:eastAsia="宋体" w:cs="宋体"/>
                <w:sz w:val="20"/>
                <w:szCs w:val="20"/>
              </w:rPr>
            </w:pPr>
            <w:r>
              <w:rPr>
                <w:rFonts w:ascii="宋体" w:hAnsi="宋体" w:eastAsia="宋体" w:cs="宋体"/>
                <w:spacing w:val="5"/>
                <w:sz w:val="20"/>
                <w:szCs w:val="20"/>
              </w:rPr>
              <w:t>潜水</w:t>
            </w:r>
          </w:p>
        </w:tc>
        <w:tc>
          <w:tcPr>
            <w:tcW w:w="1062" w:type="dxa"/>
            <w:tcBorders>
              <w:left w:val="single" w:color="000000" w:sz="4" w:space="0"/>
              <w:right w:val="nil"/>
            </w:tcBorders>
            <w:vAlign w:val="top"/>
          </w:tcPr>
          <w:p w14:paraId="55EF97CA">
            <w:pPr>
              <w:spacing w:before="298" w:line="281" w:lineRule="exact"/>
              <w:ind w:left="291"/>
              <w:rPr>
                <w:rFonts w:ascii="Times New Roman" w:hAnsi="Times New Roman" w:eastAsia="Times New Roman" w:cs="Times New Roman"/>
                <w:sz w:val="20"/>
                <w:szCs w:val="20"/>
              </w:rPr>
            </w:pPr>
            <w:r>
              <w:rPr>
                <w:rFonts w:ascii="Times New Roman" w:hAnsi="Times New Roman" w:eastAsia="Times New Roman" w:cs="Times New Roman"/>
                <w:spacing w:val="-1"/>
                <w:position w:val="1"/>
                <w:sz w:val="20"/>
                <w:szCs w:val="20"/>
              </w:rPr>
              <w:t xml:space="preserve">1 </w:t>
            </w:r>
            <w:r>
              <w:rPr>
                <w:rFonts w:ascii="宋体" w:hAnsi="宋体" w:eastAsia="宋体" w:cs="宋体"/>
                <w:position w:val="1"/>
                <w:sz w:val="20"/>
                <w:szCs w:val="20"/>
              </w:rPr>
              <w:t>次</w:t>
            </w:r>
            <w:r>
              <w:rPr>
                <w:rFonts w:ascii="Times New Roman" w:hAnsi="Times New Roman" w:eastAsia="Times New Roman" w:cs="Times New Roman"/>
                <w:position w:val="1"/>
                <w:sz w:val="20"/>
                <w:szCs w:val="20"/>
              </w:rPr>
              <w:t>/a</w:t>
            </w:r>
          </w:p>
        </w:tc>
      </w:tr>
    </w:tbl>
    <w:p w14:paraId="607E32D1">
      <w:pPr>
        <w:spacing w:line="241" w:lineRule="auto"/>
        <w:rPr>
          <w:rFonts w:ascii="Arial"/>
          <w:sz w:val="21"/>
        </w:rPr>
      </w:pPr>
    </w:p>
    <w:p w14:paraId="4B3F050E">
      <w:pPr>
        <w:spacing w:before="75" w:line="374" w:lineRule="auto"/>
        <w:ind w:left="35" w:right="27" w:firstLine="485"/>
        <w:rPr>
          <w:rFonts w:ascii="宋体" w:hAnsi="宋体" w:eastAsia="宋体" w:cs="宋体"/>
          <w:sz w:val="23"/>
          <w:szCs w:val="23"/>
        </w:rPr>
      </w:pPr>
      <w:r>
        <w:rPr>
          <w:rFonts w:ascii="宋体" w:hAnsi="宋体" w:eastAsia="宋体" w:cs="宋体"/>
          <w:spacing w:val="12"/>
          <w:sz w:val="23"/>
          <w:szCs w:val="23"/>
        </w:rPr>
        <w:t>企业在运</w:t>
      </w:r>
      <w:r>
        <w:rPr>
          <w:rFonts w:ascii="宋体" w:hAnsi="宋体" w:eastAsia="宋体" w:cs="宋体"/>
          <w:spacing w:val="7"/>
          <w:sz w:val="23"/>
          <w:szCs w:val="23"/>
        </w:rPr>
        <w:t>营</w:t>
      </w:r>
      <w:r>
        <w:rPr>
          <w:rFonts w:ascii="宋体" w:hAnsi="宋体" w:eastAsia="宋体" w:cs="宋体"/>
          <w:spacing w:val="6"/>
          <w:sz w:val="23"/>
          <w:szCs w:val="23"/>
        </w:rPr>
        <w:t>过程中应认真落实跟踪监测的工作，专职人员应编写地下水环境</w:t>
      </w:r>
      <w:r>
        <w:rPr>
          <w:rFonts w:ascii="宋体" w:hAnsi="宋体" w:eastAsia="宋体" w:cs="宋体"/>
          <w:sz w:val="23"/>
          <w:szCs w:val="23"/>
        </w:rPr>
        <w:t xml:space="preserve"> </w:t>
      </w:r>
      <w:r>
        <w:rPr>
          <w:rFonts w:ascii="宋体" w:hAnsi="宋体" w:eastAsia="宋体" w:cs="宋体"/>
          <w:spacing w:val="7"/>
          <w:sz w:val="23"/>
          <w:szCs w:val="23"/>
        </w:rPr>
        <w:t>跟踪监测报告，报告中的内容应包括：地下水跟踪监测的数据 (污染物种类、</w:t>
      </w:r>
      <w:r>
        <w:rPr>
          <w:rFonts w:ascii="宋体" w:hAnsi="宋体" w:eastAsia="宋体" w:cs="宋体"/>
          <w:spacing w:val="3"/>
          <w:sz w:val="23"/>
          <w:szCs w:val="23"/>
        </w:rPr>
        <w:t>数</w:t>
      </w:r>
      <w:r>
        <w:rPr>
          <w:rFonts w:ascii="宋体" w:hAnsi="宋体" w:eastAsia="宋体" w:cs="宋体"/>
          <w:sz w:val="23"/>
          <w:szCs w:val="23"/>
        </w:rPr>
        <w:t xml:space="preserve"> </w:t>
      </w:r>
      <w:r>
        <w:rPr>
          <w:rFonts w:ascii="宋体" w:hAnsi="宋体" w:eastAsia="宋体" w:cs="宋体"/>
          <w:spacing w:val="7"/>
          <w:sz w:val="23"/>
          <w:szCs w:val="23"/>
        </w:rPr>
        <w:t>量、浓度) ，生产设备、管线、贮存和运输装置的运行情况，跑冒滴漏记录和</w:t>
      </w:r>
      <w:r>
        <w:rPr>
          <w:rFonts w:ascii="宋体" w:hAnsi="宋体" w:eastAsia="宋体" w:cs="宋体"/>
          <w:spacing w:val="3"/>
          <w:sz w:val="23"/>
          <w:szCs w:val="23"/>
        </w:rPr>
        <w:t>维</w:t>
      </w:r>
      <w:r>
        <w:rPr>
          <w:rFonts w:ascii="宋体" w:hAnsi="宋体" w:eastAsia="宋体" w:cs="宋体"/>
          <w:sz w:val="23"/>
          <w:szCs w:val="23"/>
        </w:rPr>
        <w:t xml:space="preserve"> </w:t>
      </w:r>
      <w:r>
        <w:rPr>
          <w:rFonts w:ascii="宋体" w:hAnsi="宋体" w:eastAsia="宋体" w:cs="宋体"/>
          <w:spacing w:val="7"/>
          <w:sz w:val="23"/>
          <w:szCs w:val="23"/>
        </w:rPr>
        <w:t>护</w:t>
      </w:r>
      <w:r>
        <w:rPr>
          <w:rFonts w:ascii="宋体" w:hAnsi="宋体" w:eastAsia="宋体" w:cs="宋体"/>
          <w:spacing w:val="5"/>
          <w:sz w:val="23"/>
          <w:szCs w:val="23"/>
        </w:rPr>
        <w:t>记录。</w:t>
      </w:r>
    </w:p>
    <w:p w14:paraId="63F78A62">
      <w:pPr>
        <w:spacing w:before="116" w:line="220" w:lineRule="auto"/>
        <w:ind w:left="38"/>
        <w:outlineLvl w:val="3"/>
        <w:rPr>
          <w:rFonts w:ascii="宋体" w:hAnsi="宋体" w:eastAsia="宋体" w:cs="宋体"/>
          <w:sz w:val="28"/>
          <w:szCs w:val="28"/>
        </w:rPr>
      </w:pPr>
      <w:r>
        <w:rPr>
          <w:rFonts w:ascii="Times New Roman" w:hAnsi="Times New Roman" w:eastAsia="Times New Roman" w:cs="Times New Roman"/>
          <w:b/>
          <w:bCs/>
          <w:spacing w:val="11"/>
          <w:sz w:val="28"/>
          <w:szCs w:val="28"/>
        </w:rPr>
        <w:t>6</w:t>
      </w:r>
      <w:r>
        <w:rPr>
          <w:rFonts w:ascii="Times New Roman" w:hAnsi="Times New Roman" w:eastAsia="Times New Roman" w:cs="Times New Roman"/>
          <w:b/>
          <w:bCs/>
          <w:spacing w:val="6"/>
          <w:sz w:val="28"/>
          <w:szCs w:val="28"/>
        </w:rPr>
        <w:t>.2.3.3</w:t>
      </w:r>
      <w:r>
        <w:rPr>
          <w:rFonts w:ascii="Times New Roman" w:hAnsi="Times New Roman" w:eastAsia="Times New Roman" w:cs="Times New Roman"/>
          <w:spacing w:val="6"/>
          <w:sz w:val="28"/>
          <w:szCs w:val="28"/>
        </w:rPr>
        <w:t xml:space="preserve">  </w:t>
      </w:r>
      <w:r>
        <w:rPr>
          <w:rFonts w:ascii="宋体" w:hAnsi="宋体" w:eastAsia="宋体" w:cs="宋体"/>
          <w:spacing w:val="6"/>
          <w:sz w:val="28"/>
          <w:szCs w:val="28"/>
          <w14:textOutline w14:w="5103" w14:cap="sq" w14:cmpd="sng">
            <w14:solidFill>
              <w14:srgbClr w14:val="000000"/>
            </w14:solidFill>
            <w14:prstDash w14:val="solid"/>
            <w14:bevel/>
          </w14:textOutline>
        </w:rPr>
        <w:t>信息公开</w:t>
      </w:r>
    </w:p>
    <w:p w14:paraId="6DF7A62C">
      <w:pPr>
        <w:spacing w:line="263" w:lineRule="auto"/>
        <w:rPr>
          <w:rFonts w:ascii="Arial"/>
          <w:sz w:val="21"/>
        </w:rPr>
      </w:pPr>
    </w:p>
    <w:p w14:paraId="6912A69F">
      <w:pPr>
        <w:spacing w:before="75" w:line="388" w:lineRule="auto"/>
        <w:ind w:left="38" w:right="37" w:firstLine="505"/>
        <w:rPr>
          <w:rFonts w:ascii="宋体" w:hAnsi="宋体" w:eastAsia="宋体" w:cs="宋体"/>
          <w:sz w:val="23"/>
          <w:szCs w:val="23"/>
        </w:rPr>
      </w:pPr>
      <w:r>
        <w:rPr>
          <w:rFonts w:ascii="宋体" w:hAnsi="宋体" w:eastAsia="宋体" w:cs="宋体"/>
          <w:spacing w:val="36"/>
          <w:sz w:val="23"/>
          <w:szCs w:val="23"/>
        </w:rPr>
        <w:t>建</w:t>
      </w:r>
      <w:r>
        <w:rPr>
          <w:rFonts w:ascii="宋体" w:hAnsi="宋体" w:eastAsia="宋体" w:cs="宋体"/>
          <w:spacing w:val="29"/>
          <w:sz w:val="23"/>
          <w:szCs w:val="23"/>
        </w:rPr>
        <w:t>设单位在开展地下水跟踪监测的同时要进行地下水跟踪监测信息公</w:t>
      </w:r>
      <w:r>
        <w:rPr>
          <w:rFonts w:ascii="宋体" w:hAnsi="宋体" w:eastAsia="宋体" w:cs="宋体"/>
          <w:sz w:val="23"/>
          <w:szCs w:val="23"/>
        </w:rPr>
        <w:t xml:space="preserve"> </w:t>
      </w:r>
      <w:r>
        <w:rPr>
          <w:rFonts w:ascii="宋体" w:hAnsi="宋体" w:eastAsia="宋体" w:cs="宋体"/>
          <w:spacing w:val="22"/>
          <w:sz w:val="23"/>
          <w:szCs w:val="23"/>
        </w:rPr>
        <w:t>开</w:t>
      </w:r>
      <w:r>
        <w:rPr>
          <w:rFonts w:ascii="宋体" w:hAnsi="宋体" w:eastAsia="宋体" w:cs="宋体"/>
          <w:spacing w:val="21"/>
          <w:sz w:val="23"/>
          <w:szCs w:val="23"/>
        </w:rPr>
        <w:t>工作，每一期的地下水跟踪监测的数据结果要以公告的形式在场区内张贴</w:t>
      </w:r>
      <w:r>
        <w:rPr>
          <w:rFonts w:ascii="宋体" w:hAnsi="宋体" w:eastAsia="宋体" w:cs="宋体"/>
          <w:sz w:val="23"/>
          <w:szCs w:val="23"/>
        </w:rPr>
        <w:t xml:space="preserve"> </w:t>
      </w:r>
      <w:r>
        <w:rPr>
          <w:rFonts w:ascii="宋体" w:hAnsi="宋体" w:eastAsia="宋体" w:cs="宋体"/>
          <w:spacing w:val="26"/>
          <w:sz w:val="23"/>
          <w:szCs w:val="23"/>
        </w:rPr>
        <w:t>出</w:t>
      </w:r>
      <w:r>
        <w:rPr>
          <w:rFonts w:ascii="宋体" w:hAnsi="宋体" w:eastAsia="宋体" w:cs="宋体"/>
          <w:spacing w:val="18"/>
          <w:sz w:val="23"/>
          <w:szCs w:val="23"/>
        </w:rPr>
        <w:t xml:space="preserve">来，公告版应展示近 </w:t>
      </w:r>
      <w:r>
        <w:rPr>
          <w:rFonts w:ascii="Times New Roman" w:hAnsi="Times New Roman" w:eastAsia="Times New Roman" w:cs="Times New Roman"/>
          <w:spacing w:val="18"/>
          <w:sz w:val="23"/>
          <w:szCs w:val="23"/>
        </w:rPr>
        <w:t xml:space="preserve">3 </w:t>
      </w:r>
      <w:r>
        <w:rPr>
          <w:rFonts w:ascii="宋体" w:hAnsi="宋体" w:eastAsia="宋体" w:cs="宋体"/>
          <w:spacing w:val="18"/>
          <w:sz w:val="23"/>
          <w:szCs w:val="23"/>
        </w:rPr>
        <w:t>期的地下水跟踪监测结果，包括污染物的名称、监</w:t>
      </w:r>
      <w:r>
        <w:rPr>
          <w:rFonts w:ascii="宋体" w:hAnsi="宋体" w:eastAsia="宋体" w:cs="宋体"/>
          <w:sz w:val="23"/>
          <w:szCs w:val="23"/>
        </w:rPr>
        <w:t xml:space="preserve"> </w:t>
      </w:r>
      <w:r>
        <w:rPr>
          <w:rFonts w:ascii="宋体" w:hAnsi="宋体" w:eastAsia="宋体" w:cs="宋体"/>
          <w:spacing w:val="22"/>
          <w:sz w:val="23"/>
          <w:szCs w:val="23"/>
        </w:rPr>
        <w:t>测</w:t>
      </w:r>
      <w:r>
        <w:rPr>
          <w:rFonts w:ascii="宋体" w:hAnsi="宋体" w:eastAsia="宋体" w:cs="宋体"/>
          <w:spacing w:val="21"/>
          <w:sz w:val="23"/>
          <w:szCs w:val="23"/>
        </w:rPr>
        <w:t>数值和监测日期等信息。公众参与的主体是项目的建设单位，需要对公示</w:t>
      </w:r>
      <w:r>
        <w:rPr>
          <w:rFonts w:ascii="宋体" w:hAnsi="宋体" w:eastAsia="宋体" w:cs="宋体"/>
          <w:sz w:val="23"/>
          <w:szCs w:val="23"/>
        </w:rPr>
        <w:t xml:space="preserve"> </w:t>
      </w:r>
      <w:r>
        <w:rPr>
          <w:rFonts w:ascii="宋体" w:hAnsi="宋体" w:eastAsia="宋体" w:cs="宋体"/>
          <w:spacing w:val="19"/>
          <w:sz w:val="23"/>
          <w:szCs w:val="23"/>
        </w:rPr>
        <w:t>的</w:t>
      </w:r>
      <w:r>
        <w:rPr>
          <w:rFonts w:ascii="宋体" w:hAnsi="宋体" w:eastAsia="宋体" w:cs="宋体"/>
          <w:spacing w:val="16"/>
          <w:sz w:val="23"/>
          <w:szCs w:val="23"/>
        </w:rPr>
        <w:t>监测数据负责。</w:t>
      </w:r>
    </w:p>
    <w:p w14:paraId="0B884E7C">
      <w:pPr>
        <w:spacing w:before="101" w:line="221" w:lineRule="auto"/>
        <w:ind w:left="38"/>
        <w:outlineLvl w:val="3"/>
        <w:rPr>
          <w:rFonts w:ascii="宋体" w:hAnsi="宋体" w:eastAsia="宋体" w:cs="宋体"/>
          <w:sz w:val="28"/>
          <w:szCs w:val="28"/>
        </w:rPr>
      </w:pPr>
      <w:r>
        <w:rPr>
          <w:rFonts w:ascii="Times New Roman" w:hAnsi="Times New Roman" w:eastAsia="Times New Roman" w:cs="Times New Roman"/>
          <w:b/>
          <w:bCs/>
          <w:spacing w:val="13"/>
          <w:sz w:val="28"/>
          <w:szCs w:val="28"/>
        </w:rPr>
        <w:t>6</w:t>
      </w:r>
      <w:r>
        <w:rPr>
          <w:rFonts w:ascii="Times New Roman" w:hAnsi="Times New Roman" w:eastAsia="Times New Roman" w:cs="Times New Roman"/>
          <w:b/>
          <w:bCs/>
          <w:spacing w:val="7"/>
          <w:sz w:val="28"/>
          <w:szCs w:val="28"/>
        </w:rPr>
        <w:t>.2.3.4</w:t>
      </w:r>
      <w:r>
        <w:rPr>
          <w:rFonts w:ascii="Times New Roman" w:hAnsi="Times New Roman" w:eastAsia="Times New Roman" w:cs="Times New Roman"/>
          <w:spacing w:val="7"/>
          <w:sz w:val="28"/>
          <w:szCs w:val="28"/>
        </w:rPr>
        <w:t xml:space="preserve">  </w:t>
      </w:r>
      <w:r>
        <w:rPr>
          <w:rFonts w:ascii="宋体" w:hAnsi="宋体" w:eastAsia="宋体" w:cs="宋体"/>
          <w:spacing w:val="7"/>
          <w:sz w:val="28"/>
          <w:szCs w:val="28"/>
          <w14:textOutline w14:w="5103" w14:cap="sq" w14:cmpd="sng">
            <w14:solidFill>
              <w14:srgbClr w14:val="000000"/>
            </w14:solidFill>
            <w14:prstDash w14:val="solid"/>
            <w14:bevel/>
          </w14:textOutline>
        </w:rPr>
        <w:t>应急响应措施</w:t>
      </w:r>
    </w:p>
    <w:p w14:paraId="3D623CAD">
      <w:pPr>
        <w:spacing w:line="259" w:lineRule="auto"/>
        <w:rPr>
          <w:rFonts w:ascii="Arial"/>
          <w:sz w:val="21"/>
        </w:rPr>
      </w:pPr>
    </w:p>
    <w:p w14:paraId="728E76EF">
      <w:pPr>
        <w:spacing w:before="75" w:line="384" w:lineRule="auto"/>
        <w:ind w:left="35" w:right="25" w:firstLine="510"/>
        <w:rPr>
          <w:rFonts w:ascii="宋体" w:hAnsi="宋体" w:eastAsia="宋体" w:cs="宋体"/>
          <w:sz w:val="23"/>
          <w:szCs w:val="23"/>
        </w:rPr>
      </w:pPr>
      <w:r>
        <w:rPr>
          <w:rFonts w:ascii="宋体" w:hAnsi="宋体" w:eastAsia="宋体" w:cs="宋体"/>
          <w:spacing w:val="4"/>
          <w:sz w:val="23"/>
          <w:szCs w:val="23"/>
        </w:rPr>
        <w:t xml:space="preserve">由于污水泄漏事故发生具有隐蔽性，建设单位应认真落实每年 </w:t>
      </w:r>
      <w:r>
        <w:rPr>
          <w:rFonts w:ascii="Times New Roman" w:hAnsi="Times New Roman" w:eastAsia="Times New Roman" w:cs="Times New Roman"/>
          <w:spacing w:val="4"/>
          <w:sz w:val="23"/>
          <w:szCs w:val="23"/>
        </w:rPr>
        <w:t xml:space="preserve">1 </w:t>
      </w:r>
      <w:r>
        <w:rPr>
          <w:rFonts w:ascii="宋体" w:hAnsi="宋体" w:eastAsia="宋体" w:cs="宋体"/>
          <w:spacing w:val="4"/>
          <w:sz w:val="23"/>
          <w:szCs w:val="23"/>
        </w:rPr>
        <w:t>次的地下水</w:t>
      </w:r>
      <w:r>
        <w:rPr>
          <w:rFonts w:ascii="宋体" w:hAnsi="宋体" w:eastAsia="宋体" w:cs="宋体"/>
          <w:sz w:val="23"/>
          <w:szCs w:val="23"/>
        </w:rPr>
        <w:t xml:space="preserve"> </w:t>
      </w:r>
      <w:r>
        <w:rPr>
          <w:rFonts w:ascii="宋体" w:hAnsi="宋体" w:eastAsia="宋体" w:cs="宋体"/>
          <w:spacing w:val="14"/>
          <w:sz w:val="23"/>
          <w:szCs w:val="23"/>
        </w:rPr>
        <w:t>跟</w:t>
      </w:r>
      <w:r>
        <w:rPr>
          <w:rFonts w:ascii="宋体" w:hAnsi="宋体" w:eastAsia="宋体" w:cs="宋体"/>
          <w:spacing w:val="7"/>
          <w:sz w:val="23"/>
          <w:szCs w:val="23"/>
        </w:rPr>
        <w:t>踪监测职责，运营期的地下水保护目标应定为氨氮监测浓度</w:t>
      </w:r>
      <w:r>
        <w:rPr>
          <w:rFonts w:ascii="Times New Roman" w:hAnsi="Times New Roman" w:eastAsia="Times New Roman" w:cs="Times New Roman"/>
          <w:spacing w:val="7"/>
          <w:sz w:val="23"/>
          <w:szCs w:val="23"/>
        </w:rPr>
        <w:t>≤0.5</w:t>
      </w:r>
      <w:r>
        <w:rPr>
          <w:rFonts w:ascii="Times New Roman" w:hAnsi="Times New Roman" w:eastAsia="Times New Roman" w:cs="Times New Roman"/>
          <w:sz w:val="23"/>
          <w:szCs w:val="23"/>
        </w:rPr>
        <w:t>mg</w:t>
      </w:r>
      <w:r>
        <w:rPr>
          <w:rFonts w:ascii="Times New Roman" w:hAnsi="Times New Roman" w:eastAsia="Times New Roman" w:cs="Times New Roman"/>
          <w:spacing w:val="7"/>
          <w:sz w:val="23"/>
          <w:szCs w:val="23"/>
        </w:rPr>
        <w:t>/</w:t>
      </w:r>
      <w:r>
        <w:rPr>
          <w:rFonts w:ascii="Times New Roman" w:hAnsi="Times New Roman" w:eastAsia="Times New Roman" w:cs="Times New Roman"/>
          <w:sz w:val="23"/>
          <w:szCs w:val="23"/>
        </w:rPr>
        <w:t>L</w:t>
      </w:r>
      <w:r>
        <w:rPr>
          <w:rFonts w:ascii="宋体" w:hAnsi="宋体" w:eastAsia="宋体" w:cs="宋体"/>
          <w:spacing w:val="7"/>
          <w:sz w:val="23"/>
          <w:szCs w:val="23"/>
        </w:rPr>
        <w:t>。如果在</w:t>
      </w:r>
      <w:r>
        <w:rPr>
          <w:rFonts w:ascii="宋体" w:hAnsi="宋体" w:eastAsia="宋体" w:cs="宋体"/>
          <w:sz w:val="23"/>
          <w:szCs w:val="23"/>
        </w:rPr>
        <w:t xml:space="preserve"> </w:t>
      </w:r>
      <w:r>
        <w:rPr>
          <w:rFonts w:ascii="宋体" w:hAnsi="宋体" w:eastAsia="宋体" w:cs="宋体"/>
          <w:spacing w:val="10"/>
          <w:sz w:val="23"/>
          <w:szCs w:val="23"/>
        </w:rPr>
        <w:t>跟踪监测的</w:t>
      </w:r>
      <w:r>
        <w:rPr>
          <w:rFonts w:ascii="宋体" w:hAnsi="宋体" w:eastAsia="宋体" w:cs="宋体"/>
          <w:spacing w:val="5"/>
          <w:sz w:val="23"/>
          <w:szCs w:val="23"/>
        </w:rPr>
        <w:t xml:space="preserve">过程氨氮检出浓度大于 </w:t>
      </w:r>
      <w:r>
        <w:rPr>
          <w:rFonts w:ascii="Times New Roman" w:hAnsi="Times New Roman" w:eastAsia="Times New Roman" w:cs="Times New Roman"/>
          <w:spacing w:val="5"/>
          <w:sz w:val="23"/>
          <w:szCs w:val="23"/>
        </w:rPr>
        <w:t>0.5</w:t>
      </w:r>
      <w:r>
        <w:rPr>
          <w:rFonts w:ascii="Times New Roman" w:hAnsi="Times New Roman" w:eastAsia="Times New Roman" w:cs="Times New Roman"/>
          <w:sz w:val="23"/>
          <w:szCs w:val="23"/>
        </w:rPr>
        <w:t>mg</w:t>
      </w:r>
      <w:r>
        <w:rPr>
          <w:rFonts w:ascii="Times New Roman" w:hAnsi="Times New Roman" w:eastAsia="Times New Roman" w:cs="Times New Roman"/>
          <w:spacing w:val="5"/>
          <w:sz w:val="23"/>
          <w:szCs w:val="23"/>
        </w:rPr>
        <w:t>/</w:t>
      </w:r>
      <w:r>
        <w:rPr>
          <w:rFonts w:ascii="Times New Roman" w:hAnsi="Times New Roman" w:eastAsia="Times New Roman" w:cs="Times New Roman"/>
          <w:sz w:val="23"/>
          <w:szCs w:val="23"/>
        </w:rPr>
        <w:t>L</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rPr>
        <w:t>，则有可能说明污水发生泄漏。建设</w:t>
      </w:r>
      <w:r>
        <w:rPr>
          <w:rFonts w:ascii="宋体" w:hAnsi="宋体" w:eastAsia="宋体" w:cs="宋体"/>
          <w:sz w:val="23"/>
          <w:szCs w:val="23"/>
        </w:rPr>
        <w:t xml:space="preserve"> </w:t>
      </w:r>
      <w:r>
        <w:rPr>
          <w:rFonts w:ascii="宋体" w:hAnsi="宋体" w:eastAsia="宋体" w:cs="宋体"/>
          <w:spacing w:val="10"/>
          <w:sz w:val="23"/>
          <w:szCs w:val="23"/>
        </w:rPr>
        <w:t>单</w:t>
      </w:r>
      <w:r>
        <w:rPr>
          <w:rFonts w:ascii="宋体" w:hAnsi="宋体" w:eastAsia="宋体" w:cs="宋体"/>
          <w:spacing w:val="7"/>
          <w:sz w:val="23"/>
          <w:szCs w:val="23"/>
        </w:rPr>
        <w:t>位应组织开展检查工作确定是否发生污水泄漏事故。当明确发生污水泄漏事故</w:t>
      </w:r>
      <w:r>
        <w:rPr>
          <w:rFonts w:ascii="宋体" w:hAnsi="宋体" w:eastAsia="宋体" w:cs="宋体"/>
          <w:sz w:val="23"/>
          <w:szCs w:val="23"/>
        </w:rPr>
        <w:t xml:space="preserve"> </w:t>
      </w:r>
      <w:r>
        <w:rPr>
          <w:rFonts w:ascii="宋体" w:hAnsi="宋体" w:eastAsia="宋体" w:cs="宋体"/>
          <w:spacing w:val="10"/>
          <w:sz w:val="23"/>
          <w:szCs w:val="23"/>
        </w:rPr>
        <w:t>时</w:t>
      </w:r>
      <w:r>
        <w:rPr>
          <w:rFonts w:ascii="宋体" w:hAnsi="宋体" w:eastAsia="宋体" w:cs="宋体"/>
          <w:spacing w:val="7"/>
          <w:sz w:val="23"/>
          <w:szCs w:val="23"/>
        </w:rPr>
        <w:t>，应根据泄漏位置将泄漏单元的污水排入暂存池，同时应委托具有专业资质的</w:t>
      </w:r>
      <w:r>
        <w:rPr>
          <w:rFonts w:ascii="宋体" w:hAnsi="宋体" w:eastAsia="宋体" w:cs="宋体"/>
          <w:sz w:val="23"/>
          <w:szCs w:val="23"/>
        </w:rPr>
        <w:t xml:space="preserve"> </w:t>
      </w:r>
      <w:r>
        <w:rPr>
          <w:rFonts w:ascii="宋体" w:hAnsi="宋体" w:eastAsia="宋体" w:cs="宋体"/>
          <w:spacing w:val="10"/>
          <w:sz w:val="23"/>
          <w:szCs w:val="23"/>
        </w:rPr>
        <w:t>环</w:t>
      </w:r>
      <w:r>
        <w:rPr>
          <w:rFonts w:ascii="宋体" w:hAnsi="宋体" w:eastAsia="宋体" w:cs="宋体"/>
          <w:spacing w:val="7"/>
          <w:sz w:val="23"/>
          <w:szCs w:val="23"/>
        </w:rPr>
        <w:t>境监测单位进行更全面的地下水污染跟踪监测，以便明确泄漏事故的范围和程</w:t>
      </w:r>
    </w:p>
    <w:p w14:paraId="3F119BBB">
      <w:pPr>
        <w:spacing w:before="10" w:line="393" w:lineRule="auto"/>
        <w:ind w:left="56" w:right="27" w:hanging="20"/>
        <w:rPr>
          <w:rFonts w:ascii="宋体" w:hAnsi="宋体" w:eastAsia="宋体" w:cs="宋体"/>
          <w:sz w:val="23"/>
          <w:szCs w:val="23"/>
        </w:rPr>
      </w:pPr>
      <w:r>
        <w:rPr>
          <w:rFonts w:ascii="宋体" w:hAnsi="宋体" w:eastAsia="宋体" w:cs="宋体"/>
          <w:spacing w:val="9"/>
          <w:sz w:val="23"/>
          <w:szCs w:val="23"/>
        </w:rPr>
        <w:t>度</w:t>
      </w:r>
      <w:r>
        <w:rPr>
          <w:rFonts w:ascii="宋体" w:hAnsi="宋体" w:eastAsia="宋体" w:cs="宋体"/>
          <w:spacing w:val="7"/>
          <w:sz w:val="23"/>
          <w:szCs w:val="23"/>
        </w:rPr>
        <w:t>。建设单位应将泄漏事故上报给环境主管部门。同时应并委托有专业技术能力</w:t>
      </w:r>
      <w:r>
        <w:rPr>
          <w:rFonts w:ascii="宋体" w:hAnsi="宋体" w:eastAsia="宋体" w:cs="宋体"/>
          <w:sz w:val="23"/>
          <w:szCs w:val="23"/>
        </w:rPr>
        <w:t xml:space="preserve"> </w:t>
      </w:r>
      <w:r>
        <w:rPr>
          <w:rFonts w:ascii="宋体" w:hAnsi="宋体" w:eastAsia="宋体" w:cs="宋体"/>
          <w:spacing w:val="7"/>
          <w:sz w:val="23"/>
          <w:szCs w:val="23"/>
        </w:rPr>
        <w:t>的机构进行地下水修复工作</w:t>
      </w:r>
      <w:r>
        <w:rPr>
          <w:rFonts w:ascii="宋体" w:hAnsi="宋体" w:eastAsia="宋体" w:cs="宋体"/>
          <w:spacing w:val="6"/>
          <w:sz w:val="23"/>
          <w:szCs w:val="23"/>
        </w:rPr>
        <w:t>。</w:t>
      </w:r>
    </w:p>
    <w:p w14:paraId="6F7AFD16">
      <w:pPr>
        <w:sectPr>
          <w:headerReference r:id="rId277" w:type="default"/>
          <w:footerReference r:id="rId278" w:type="default"/>
          <w:pgSz w:w="11906" w:h="16839"/>
          <w:pgMar w:top="1132" w:right="1771" w:bottom="1182" w:left="1771" w:header="878" w:footer="1022" w:gutter="0"/>
          <w:cols w:space="720" w:num="1"/>
        </w:sectPr>
      </w:pPr>
    </w:p>
    <w:p w14:paraId="0BA27484">
      <w:pPr>
        <w:spacing w:line="282" w:lineRule="auto"/>
        <w:rPr>
          <w:rFonts w:ascii="Arial"/>
          <w:sz w:val="21"/>
        </w:rPr>
      </w:pPr>
      <w:r>
        <w:pict>
          <v:rect id="_x0000_s1316" o:spid="_x0000_s1316" o:spt="1" style="position:absolute;left:0pt;margin-left:262.8pt;margin-top:299.5pt;height:76.6pt;width:198.5pt;mso-position-horizontal-relative:page;mso-position-vertical-relative:page;z-index:252014592;mso-width-relative:page;mso-height-relative:page;" fillcolor="#E723D2" filled="t" stroked="f" coordsize="21600,21600" o:allowincell="f">
            <v:path/>
            <v:fill on="t" opacity="19275f" focussize="0,0"/>
            <v:stroke on="f"/>
            <v:imagedata o:title=""/>
            <o:lock v:ext="edit"/>
          </v:rect>
        </w:pict>
      </w:r>
      <w:r>
        <w:pict>
          <v:rect id="_x0000_s1317" o:spid="_x0000_s1317" o:spt="1" style="position:absolute;left:0pt;margin-left:180.35pt;margin-top:351.1pt;height:31.35pt;width:21.85pt;mso-position-horizontal-relative:page;mso-position-vertical-relative:page;z-index:251973632;mso-width-relative:page;mso-height-relative:page;" fillcolor="#E723D2" filled="t" stroked="f" coordsize="21600,21600" o:allowincell="f">
            <v:path/>
            <v:fill on="t" opacity="19275f" focussize="0,0"/>
            <v:stroke on="f"/>
            <v:imagedata o:title=""/>
            <o:lock v:ext="edit"/>
          </v:rect>
        </w:pict>
      </w:r>
      <w:r>
        <w:pict>
          <v:rect id="_x0000_s1318" o:spid="_x0000_s1318" o:spt="1" style="position:absolute;left:0pt;margin-left:229.3pt;margin-top:329.8pt;height:5pt;width:1.5pt;mso-position-horizontal-relative:page;mso-position-vertical-relative:page;z-index:252009472;mso-width-relative:page;mso-height-relative:page;" fillcolor="#E723D2" filled="t" stroked="f" coordsize="21600,21600" o:allowincell="f">
            <v:path/>
            <v:fill on="t" focussize="0,0"/>
            <v:stroke on="f"/>
            <v:imagedata o:title=""/>
            <o:lock v:ext="edit"/>
          </v:rect>
        </w:pict>
      </w:r>
      <w:r>
        <w:pict>
          <v:rect id="_x0000_s1319" o:spid="_x0000_s1319" o:spt="1" style="position:absolute;left:0pt;margin-left:456.75pt;margin-top:299.05pt;height:5pt;width:5pt;mso-position-horizontal-relative:page;mso-position-vertical-relative:page;z-index:252016640;mso-width-relative:page;mso-height-relative:page;" fillcolor="#E723D2" filled="t" stroked="f" coordsize="21600,21600" o:allowincell="f">
            <v:path/>
            <v:fill on="t" focussize="0,0"/>
            <v:stroke on="f"/>
            <v:imagedata o:title=""/>
            <o:lock v:ext="edit"/>
          </v:rect>
        </w:pict>
      </w:r>
      <w:r>
        <w:pict>
          <v:rect id="_x0000_s1320" o:spid="_x0000_s1320" o:spt="1" style="position:absolute;left:0pt;margin-left:214.3pt;margin-top:285.45pt;height:2.35pt;width:3.7pt;mso-position-horizontal-relative:page;mso-position-vertical-relative:page;z-index:251993088;mso-width-relative:page;mso-height-relative:page;" fillcolor="#E723D2" filled="t" stroked="f" coordsize="21600,21600" o:allowincell="f">
            <v:path/>
            <v:fill on="t" focussize="0,0"/>
            <v:stroke on="f"/>
            <v:imagedata o:title=""/>
            <o:lock v:ext="edit"/>
          </v:rect>
        </w:pict>
      </w:r>
      <w:r>
        <w:pict>
          <v:shape id="_x0000_s1321" o:spid="_x0000_s1321" style="position:absolute;left:0pt;margin-left:72pt;margin-top:57.35pt;height:0.75pt;width:697.95pt;mso-position-horizontal-relative:page;mso-position-vertical-relative:page;z-index:251968512;mso-width-relative:page;mso-height-relative:page;" fillcolor="#000000" filled="t" stroked="f" coordsize="13959,15" o:allowincell="f" path="m0,0l13958,0,13958,14,0,14,0,0xe">
            <v:path/>
            <v:fill on="t" focussize="0,0"/>
            <v:stroke on="f"/>
            <v:imagedata o:title=""/>
            <o:lock v:ext="edit"/>
          </v:shape>
        </w:pict>
      </w:r>
      <w:r>
        <w:pict>
          <v:shape id="_x0000_s1322" o:spid="_x0000_s1322" o:spt="202" type="#_x0000_t202" style="position:absolute;left:0pt;margin-left:731.75pt;margin-top:188.15pt;height:170pt;width:15.9pt;mso-position-horizontal-relative:page;mso-position-vertical-relative:page;z-index:251967488;mso-width-relative:page;mso-height-relative:page;" filled="f" stroked="f" coordsize="21600,21600" o:allowincell="f">
            <v:path/>
            <v:fill on="f" focussize="0,0"/>
            <v:stroke on="f"/>
            <v:imagedata o:title=""/>
            <o:lock v:ext="edit" aspectratio="f"/>
            <v:textbox inset="0mm,0mm,0mm,0mm" style="layout-flow:vertical-ideographic;">
              <w:txbxContent>
                <w:p w14:paraId="00B9DD54">
                  <w:pPr>
                    <w:spacing w:before="20" w:line="208" w:lineRule="auto"/>
                    <w:ind w:left="20"/>
                    <w:rPr>
                      <w:rFonts w:ascii="宋体" w:hAnsi="宋体" w:eastAsia="宋体" w:cs="宋体"/>
                      <w:sz w:val="23"/>
                      <w:szCs w:val="23"/>
                    </w:rPr>
                  </w:pPr>
                  <w:r>
                    <w:rPr>
                      <w:rFonts w:ascii="宋体" w:hAnsi="宋体" w:eastAsia="宋体" w:cs="宋体"/>
                      <w:spacing w:val="-21"/>
                      <w:sz w:val="23"/>
                      <w:szCs w:val="23"/>
                      <w14:textOutline w14:w="4358" w14:cap="sq" w14:cmpd="sng">
                        <w14:solidFill>
                          <w14:srgbClr w14:val="000000"/>
                        </w14:solidFill>
                        <w14:prstDash w14:val="solid"/>
                        <w14:bevel/>
                      </w14:textOutline>
                    </w:rPr>
                    <w:t>辽</w:t>
                  </w:r>
                  <w:r>
                    <w:rPr>
                      <w:rFonts w:ascii="宋体" w:hAnsi="宋体" w:eastAsia="宋体" w:cs="宋体"/>
                      <w:spacing w:val="-15"/>
                      <w:sz w:val="23"/>
                      <w:szCs w:val="23"/>
                    </w:rPr>
                    <w:t xml:space="preserve"> </w:t>
                  </w:r>
                  <w:r>
                    <w:rPr>
                      <w:rFonts w:ascii="宋体" w:hAnsi="宋体" w:eastAsia="宋体" w:cs="宋体"/>
                      <w:spacing w:val="-15"/>
                      <w:sz w:val="23"/>
                      <w:szCs w:val="23"/>
                      <w14:textOutline w14:w="4358" w14:cap="sq" w14:cmpd="sng">
                        <w14:solidFill>
                          <w14:srgbClr w14:val="000000"/>
                        </w14:solidFill>
                        <w14:prstDash w14:val="solid"/>
                        <w14:bevel/>
                      </w14:textOutline>
                    </w:rPr>
                    <w:t>宁</w:t>
                  </w:r>
                  <w:r>
                    <w:rPr>
                      <w:rFonts w:ascii="宋体" w:hAnsi="宋体" w:eastAsia="宋体" w:cs="宋体"/>
                      <w:spacing w:val="-15"/>
                      <w:sz w:val="23"/>
                      <w:szCs w:val="23"/>
                    </w:rPr>
                    <w:t xml:space="preserve"> </w:t>
                  </w:r>
                  <w:r>
                    <w:rPr>
                      <w:rFonts w:ascii="宋体" w:hAnsi="宋体" w:eastAsia="宋体" w:cs="宋体"/>
                      <w:spacing w:val="-15"/>
                      <w:sz w:val="23"/>
                      <w:szCs w:val="23"/>
                      <w14:textOutline w14:w="4358" w14:cap="sq" w14:cmpd="sng">
                        <w14:solidFill>
                          <w14:srgbClr w14:val="000000"/>
                        </w14:solidFill>
                        <w14:prstDash w14:val="solid"/>
                        <w14:bevel/>
                      </w14:textOutline>
                    </w:rPr>
                    <w:t>公</w:t>
                  </w:r>
                  <w:r>
                    <w:rPr>
                      <w:rFonts w:ascii="宋体" w:hAnsi="宋体" w:eastAsia="宋体" w:cs="宋体"/>
                      <w:spacing w:val="-15"/>
                      <w:sz w:val="23"/>
                      <w:szCs w:val="23"/>
                    </w:rPr>
                    <w:t xml:space="preserve"> </w:t>
                  </w:r>
                  <w:r>
                    <w:rPr>
                      <w:rFonts w:ascii="宋体" w:hAnsi="宋体" w:eastAsia="宋体" w:cs="宋体"/>
                      <w:spacing w:val="-15"/>
                      <w:sz w:val="23"/>
                      <w:szCs w:val="23"/>
                      <w14:textOutline w14:w="4358" w14:cap="sq" w14:cmpd="sng">
                        <w14:solidFill>
                          <w14:srgbClr w14:val="000000"/>
                        </w14:solidFill>
                        <w14:prstDash w14:val="solid"/>
                        <w14:bevel/>
                      </w14:textOutline>
                    </w:rPr>
                    <w:t>路</w:t>
                  </w:r>
                  <w:r>
                    <w:rPr>
                      <w:rFonts w:ascii="宋体" w:hAnsi="宋体" w:eastAsia="宋体" w:cs="宋体"/>
                      <w:spacing w:val="-15"/>
                      <w:sz w:val="23"/>
                      <w:szCs w:val="23"/>
                    </w:rPr>
                    <w:t xml:space="preserve"> </w:t>
                  </w:r>
                  <w:r>
                    <w:rPr>
                      <w:rFonts w:ascii="宋体" w:hAnsi="宋体" w:eastAsia="宋体" w:cs="宋体"/>
                      <w:spacing w:val="-15"/>
                      <w:sz w:val="23"/>
                      <w:szCs w:val="23"/>
                      <w14:textOutline w14:w="4358" w14:cap="sq" w14:cmpd="sng">
                        <w14:solidFill>
                          <w14:srgbClr w14:val="000000"/>
                        </w14:solidFill>
                        <w14:prstDash w14:val="solid"/>
                        <w14:bevel/>
                      </w14:textOutline>
                    </w:rPr>
                    <w:t>水</w:t>
                  </w:r>
                  <w:r>
                    <w:rPr>
                      <w:rFonts w:ascii="宋体" w:hAnsi="宋体" w:eastAsia="宋体" w:cs="宋体"/>
                      <w:spacing w:val="-15"/>
                      <w:sz w:val="23"/>
                      <w:szCs w:val="23"/>
                    </w:rPr>
                    <w:t xml:space="preserve"> </w:t>
                  </w:r>
                  <w:r>
                    <w:rPr>
                      <w:rFonts w:ascii="宋体" w:hAnsi="宋体" w:eastAsia="宋体" w:cs="宋体"/>
                      <w:spacing w:val="-15"/>
                      <w:sz w:val="23"/>
                      <w:szCs w:val="23"/>
                      <w14:textOutline w14:w="4358" w14:cap="sq" w14:cmpd="sng">
                        <w14:solidFill>
                          <w14:srgbClr w14:val="000000"/>
                        </w14:solidFill>
                        <w14:prstDash w14:val="solid"/>
                        <w14:bevel/>
                      </w14:textOutline>
                    </w:rPr>
                    <w:t>泥</w:t>
                  </w:r>
                  <w:r>
                    <w:rPr>
                      <w:rFonts w:ascii="宋体" w:hAnsi="宋体" w:eastAsia="宋体" w:cs="宋体"/>
                      <w:spacing w:val="-15"/>
                      <w:sz w:val="23"/>
                      <w:szCs w:val="23"/>
                    </w:rPr>
                    <w:t xml:space="preserve"> </w:t>
                  </w:r>
                  <w:r>
                    <w:rPr>
                      <w:rFonts w:ascii="宋体" w:hAnsi="宋体" w:eastAsia="宋体" w:cs="宋体"/>
                      <w:spacing w:val="-15"/>
                      <w:sz w:val="23"/>
                      <w:szCs w:val="23"/>
                      <w14:textOutline w14:w="4358" w14:cap="sq" w14:cmpd="sng">
                        <w14:solidFill>
                          <w14:srgbClr w14:val="000000"/>
                        </w14:solidFill>
                        <w14:prstDash w14:val="solid"/>
                        <w14:bevel/>
                      </w14:textOutline>
                    </w:rPr>
                    <w:t>厂</w:t>
                  </w:r>
                  <w:r>
                    <w:rPr>
                      <w:rFonts w:ascii="宋体" w:hAnsi="宋体" w:eastAsia="宋体" w:cs="宋体"/>
                      <w:spacing w:val="-15"/>
                      <w:sz w:val="23"/>
                      <w:szCs w:val="23"/>
                    </w:rPr>
                    <w:t xml:space="preserve"> </w:t>
                  </w:r>
                  <w:r>
                    <w:rPr>
                      <w:rFonts w:ascii="宋体" w:hAnsi="宋体" w:eastAsia="宋体" w:cs="宋体"/>
                      <w:spacing w:val="-15"/>
                      <w:sz w:val="23"/>
                      <w:szCs w:val="23"/>
                      <w14:textOutline w14:w="4358" w14:cap="sq" w14:cmpd="sng">
                        <w14:solidFill>
                          <w14:srgbClr w14:val="000000"/>
                        </w14:solidFill>
                        <w14:prstDash w14:val="solid"/>
                        <w14:bevel/>
                      </w14:textOutline>
                    </w:rPr>
                    <w:t>废</w:t>
                  </w:r>
                  <w:r>
                    <w:rPr>
                      <w:rFonts w:ascii="宋体" w:hAnsi="宋体" w:eastAsia="宋体" w:cs="宋体"/>
                      <w:spacing w:val="-15"/>
                      <w:sz w:val="23"/>
                      <w:szCs w:val="23"/>
                    </w:rPr>
                    <w:t xml:space="preserve"> </w:t>
                  </w:r>
                  <w:r>
                    <w:rPr>
                      <w:rFonts w:ascii="宋体" w:hAnsi="宋体" w:eastAsia="宋体" w:cs="宋体"/>
                      <w:spacing w:val="-15"/>
                      <w:position w:val="1"/>
                      <w:sz w:val="23"/>
                      <w:szCs w:val="23"/>
                      <w14:textOutline w14:w="4358" w14:cap="sq" w14:cmpd="sng">
                        <w14:solidFill>
                          <w14:srgbClr w14:val="000000"/>
                        </w14:solidFill>
                        <w14:prstDash w14:val="solid"/>
                        <w14:bevel/>
                      </w14:textOutline>
                    </w:rPr>
                    <w:t>旧</w:t>
                  </w:r>
                  <w:r>
                    <w:rPr>
                      <w:rFonts w:ascii="宋体" w:hAnsi="宋体" w:eastAsia="宋体" w:cs="宋体"/>
                      <w:spacing w:val="-15"/>
                      <w:position w:val="1"/>
                      <w:sz w:val="23"/>
                      <w:szCs w:val="23"/>
                    </w:rPr>
                    <w:t xml:space="preserve"> </w:t>
                  </w:r>
                  <w:r>
                    <w:rPr>
                      <w:rFonts w:ascii="宋体" w:hAnsi="宋体" w:eastAsia="宋体" w:cs="宋体"/>
                      <w:spacing w:val="-15"/>
                      <w:sz w:val="23"/>
                      <w:szCs w:val="23"/>
                      <w14:textOutline w14:w="4358" w14:cap="sq" w14:cmpd="sng">
                        <w14:solidFill>
                          <w14:srgbClr w14:val="000000"/>
                        </w14:solidFill>
                        <w14:prstDash w14:val="solid"/>
                        <w14:bevel/>
                      </w14:textOutline>
                    </w:rPr>
                    <w:t>厂</w:t>
                  </w:r>
                  <w:r>
                    <w:rPr>
                      <w:rFonts w:ascii="宋体" w:hAnsi="宋体" w:eastAsia="宋体" w:cs="宋体"/>
                      <w:spacing w:val="-15"/>
                      <w:sz w:val="23"/>
                      <w:szCs w:val="23"/>
                    </w:rPr>
                    <w:t xml:space="preserve"> </w:t>
                  </w:r>
                  <w:r>
                    <w:rPr>
                      <w:rFonts w:ascii="宋体" w:hAnsi="宋体" w:eastAsia="宋体" w:cs="宋体"/>
                      <w:spacing w:val="-15"/>
                      <w:sz w:val="23"/>
                      <w:szCs w:val="23"/>
                      <w14:textOutline w14:w="4358" w14:cap="sq" w14:cmpd="sng">
                        <w14:solidFill>
                          <w14:srgbClr w14:val="000000"/>
                        </w14:solidFill>
                        <w14:prstDash w14:val="solid"/>
                        <w14:bevel/>
                      </w14:textOutline>
                    </w:rPr>
                    <w:t>区</w:t>
                  </w:r>
                </w:p>
              </w:txbxContent>
            </v:textbox>
          </v:shape>
        </w:pict>
      </w:r>
      <w:r>
        <w:drawing>
          <wp:anchor distT="0" distB="0" distL="0" distR="0" simplePos="0" relativeHeight="251960320" behindDoc="1" locked="0" layoutInCell="0" allowOverlap="1">
            <wp:simplePos x="0" y="0"/>
            <wp:positionH relativeFrom="page">
              <wp:posOffset>9380220</wp:posOffset>
            </wp:positionH>
            <wp:positionV relativeFrom="page">
              <wp:posOffset>1074420</wp:posOffset>
            </wp:positionV>
            <wp:extent cx="614680" cy="554355"/>
            <wp:effectExtent l="0" t="0" r="0" b="0"/>
            <wp:wrapNone/>
            <wp:docPr id="170" name="IM 170"/>
            <wp:cNvGraphicFramePr/>
            <a:graphic xmlns:a="http://schemas.openxmlformats.org/drawingml/2006/main">
              <a:graphicData uri="http://schemas.openxmlformats.org/drawingml/2006/picture">
                <pic:pic xmlns:pic="http://schemas.openxmlformats.org/drawingml/2006/picture">
                  <pic:nvPicPr>
                    <pic:cNvPr id="170" name="IM 170"/>
                    <pic:cNvPicPr/>
                  </pic:nvPicPr>
                  <pic:blipFill>
                    <a:blip r:embed="rId385"/>
                    <a:stretch>
                      <a:fillRect/>
                    </a:stretch>
                  </pic:blipFill>
                  <pic:spPr>
                    <a:xfrm>
                      <a:off x="0" y="0"/>
                      <a:ext cx="614781" cy="554126"/>
                    </a:xfrm>
                    <a:prstGeom prst="rect">
                      <a:avLst/>
                    </a:prstGeom>
                  </pic:spPr>
                </pic:pic>
              </a:graphicData>
            </a:graphic>
          </wp:anchor>
        </w:drawing>
      </w:r>
      <w:r>
        <w:drawing>
          <wp:anchor distT="0" distB="0" distL="0" distR="0" simplePos="0" relativeHeight="251966464" behindDoc="0" locked="0" layoutInCell="0" allowOverlap="1">
            <wp:simplePos x="0" y="0"/>
            <wp:positionH relativeFrom="page">
              <wp:posOffset>9017000</wp:posOffset>
            </wp:positionH>
            <wp:positionV relativeFrom="page">
              <wp:posOffset>1360170</wp:posOffset>
            </wp:positionV>
            <wp:extent cx="621665" cy="612140"/>
            <wp:effectExtent l="0" t="0" r="0" b="0"/>
            <wp:wrapNone/>
            <wp:docPr id="171" name="IM 171"/>
            <wp:cNvGraphicFramePr/>
            <a:graphic xmlns:a="http://schemas.openxmlformats.org/drawingml/2006/main">
              <a:graphicData uri="http://schemas.openxmlformats.org/drawingml/2006/picture">
                <pic:pic xmlns:pic="http://schemas.openxmlformats.org/drawingml/2006/picture">
                  <pic:nvPicPr>
                    <pic:cNvPr id="171" name="IM 171"/>
                    <pic:cNvPicPr/>
                  </pic:nvPicPr>
                  <pic:blipFill>
                    <a:blip r:embed="rId549"/>
                    <a:stretch>
                      <a:fillRect/>
                    </a:stretch>
                  </pic:blipFill>
                  <pic:spPr>
                    <a:xfrm>
                      <a:off x="0" y="0"/>
                      <a:ext cx="621512" cy="611936"/>
                    </a:xfrm>
                    <a:prstGeom prst="rect">
                      <a:avLst/>
                    </a:prstGeom>
                  </pic:spPr>
                </pic:pic>
              </a:graphicData>
            </a:graphic>
          </wp:anchor>
        </w:drawing>
      </w:r>
      <w:r>
        <w:pict>
          <v:shape id="_x0000_s1323" o:spid="_x0000_s1323" o:spt="202" type="#_x0000_t202" style="position:absolute;left:0pt;margin-left:112.35pt;margin-top:202.45pt;height:16.7pt;width:13.2pt;mso-position-horizontal-relative:page;mso-position-vertical-relative:page;z-index:251970560;mso-width-relative:page;mso-height-relative:page;" filled="f" stroked="f" coordsize="21600,21600" o:allowincell="f">
            <v:path/>
            <v:fill on="f" focussize="0,0"/>
            <v:stroke on="f"/>
            <v:imagedata o:title=""/>
            <o:lock v:ext="edit" aspectratio="f"/>
            <v:textbox inset="0mm,0mm,0mm,0mm">
              <w:txbxContent>
                <w:p w14:paraId="5188BB9F">
                  <w:pPr>
                    <w:spacing w:before="20" w:line="235" w:lineRule="auto"/>
                    <w:ind w:left="20"/>
                    <w:rPr>
                      <w:rFonts w:ascii="宋体" w:hAnsi="宋体" w:eastAsia="宋体" w:cs="宋体"/>
                      <w:sz w:val="23"/>
                      <w:szCs w:val="23"/>
                    </w:rPr>
                  </w:pPr>
                  <w:r>
                    <w:rPr>
                      <w:rFonts w:ascii="宋体" w:hAnsi="宋体" w:eastAsia="宋体" w:cs="宋体"/>
                      <w:sz w:val="23"/>
                      <w:szCs w:val="23"/>
                      <w14:textOutline w14:w="4358" w14:cap="sq" w14:cmpd="sng">
                        <w14:solidFill>
                          <w14:srgbClr w14:val="000000"/>
                        </w14:solidFill>
                        <w14:prstDash w14:val="solid"/>
                        <w14:bevel/>
                      </w14:textOutline>
                    </w:rPr>
                    <w:t>空</w:t>
                  </w:r>
                </w:p>
              </w:txbxContent>
            </v:textbox>
          </v:shape>
        </w:pict>
      </w:r>
      <w:r>
        <w:drawing>
          <wp:anchor distT="0" distB="0" distL="0" distR="0" simplePos="0" relativeHeight="251962368" behindDoc="1" locked="0" layoutInCell="0" allowOverlap="1">
            <wp:simplePos x="0" y="0"/>
            <wp:positionH relativeFrom="page">
              <wp:posOffset>2988310</wp:posOffset>
            </wp:positionH>
            <wp:positionV relativeFrom="page">
              <wp:posOffset>3318510</wp:posOffset>
            </wp:positionV>
            <wp:extent cx="1369060" cy="717550"/>
            <wp:effectExtent l="0" t="0" r="0" b="0"/>
            <wp:wrapNone/>
            <wp:docPr id="172" name="IM 172"/>
            <wp:cNvGraphicFramePr/>
            <a:graphic xmlns:a="http://schemas.openxmlformats.org/drawingml/2006/main">
              <a:graphicData uri="http://schemas.openxmlformats.org/drawingml/2006/picture">
                <pic:pic xmlns:pic="http://schemas.openxmlformats.org/drawingml/2006/picture">
                  <pic:nvPicPr>
                    <pic:cNvPr id="172" name="IM 172"/>
                    <pic:cNvPicPr/>
                  </pic:nvPicPr>
                  <pic:blipFill>
                    <a:blip r:embed="rId550"/>
                    <a:stretch>
                      <a:fillRect/>
                    </a:stretch>
                  </pic:blipFill>
                  <pic:spPr>
                    <a:xfrm>
                      <a:off x="0" y="0"/>
                      <a:ext cx="1369059" cy="717550"/>
                    </a:xfrm>
                    <a:prstGeom prst="rect">
                      <a:avLst/>
                    </a:prstGeom>
                  </pic:spPr>
                </pic:pic>
              </a:graphicData>
            </a:graphic>
          </wp:anchor>
        </w:drawing>
      </w:r>
      <w:r>
        <w:pict>
          <v:shape id="_x0000_s1324" o:spid="_x0000_s1324" o:spt="202" type="#_x0000_t202" style="position:absolute;left:0pt;margin-left:242.7pt;margin-top:268pt;height:12.6pt;width:91.55pt;mso-position-horizontal-relative:page;mso-position-vertical-relative:page;z-index:251975680;mso-width-relative:page;mso-height-relative:page;" filled="f" stroked="f" coordsize="21600,21600" o:allowincell="f">
            <v:path/>
            <v:fill on="f" focussize="0,0"/>
            <v:stroke on="f"/>
            <v:imagedata o:title=""/>
            <o:lock v:ext="edit" aspectratio="f"/>
            <v:textbox inset="0mm,0mm,0mm,0mm">
              <w:txbxContent>
                <w:p w14:paraId="0723CFC3">
                  <w:pPr>
                    <w:spacing w:before="20" w:line="230" w:lineRule="auto"/>
                    <w:ind w:left="20"/>
                    <w:rPr>
                      <w:rFonts w:ascii="宋体" w:hAnsi="宋体" w:eastAsia="宋体" w:cs="宋体"/>
                      <w:sz w:val="17"/>
                      <w:szCs w:val="17"/>
                    </w:rPr>
                  </w:pPr>
                  <w:r>
                    <w:rPr>
                      <w:rFonts w:ascii="宋体" w:hAnsi="宋体" w:eastAsia="宋体" w:cs="宋体"/>
                      <w:spacing w:val="9"/>
                      <w:sz w:val="17"/>
                      <w:szCs w:val="17"/>
                    </w:rPr>
                    <w:t>一体化污水预处理设备</w:t>
                  </w:r>
                </w:p>
              </w:txbxContent>
            </v:textbox>
          </v:shape>
        </w:pict>
      </w:r>
      <w:r>
        <w:pict>
          <v:rect id="_x0000_s1325" o:spid="_x0000_s1325" o:spt="1" style="position:absolute;left:0pt;margin-left:243.3pt;margin-top:265.7pt;height:13.65pt;width:90pt;mso-position-horizontal-relative:page;mso-position-vertical-relative:page;z-index:-251353088;mso-width-relative:page;mso-height-relative:page;" fillcolor="#FFFF00" filled="t" stroked="f" coordsize="21600,21600" o:allowincell="f">
            <v:path/>
            <v:fill on="t" focussize="0,0"/>
            <v:stroke on="f"/>
            <v:imagedata o:title=""/>
            <o:lock v:ext="edit"/>
          </v:rect>
        </w:pict>
      </w:r>
      <w:r>
        <w:pict>
          <v:shape id="_x0000_s1326" o:spid="_x0000_s1326" o:spt="202" type="#_x0000_t202" style="position:absolute;left:0pt;margin-left:112pt;margin-top:264.85pt;height:16.75pt;width:13.55pt;mso-position-horizontal-relative:page;mso-position-vertical-relative:page;z-index:251969536;mso-width-relative:page;mso-height-relative:page;" filled="f" stroked="f" coordsize="21600,21600" o:allowincell="f">
            <v:path/>
            <v:fill on="f" focussize="0,0"/>
            <v:stroke on="f"/>
            <v:imagedata o:title=""/>
            <o:lock v:ext="edit" aspectratio="f"/>
            <v:textbox inset="0mm,0mm,0mm,0mm">
              <w:txbxContent>
                <w:p w14:paraId="7DA486C9">
                  <w:pPr>
                    <w:spacing w:before="19" w:line="237" w:lineRule="auto"/>
                    <w:ind w:left="20"/>
                    <w:rPr>
                      <w:rFonts w:ascii="宋体" w:hAnsi="宋体" w:eastAsia="宋体" w:cs="宋体"/>
                      <w:sz w:val="23"/>
                      <w:szCs w:val="23"/>
                    </w:rPr>
                  </w:pPr>
                  <w:r>
                    <w:rPr>
                      <w:rFonts w:ascii="宋体" w:hAnsi="宋体" w:eastAsia="宋体" w:cs="宋体"/>
                      <w:sz w:val="23"/>
                      <w:szCs w:val="23"/>
                      <w14:textOutline w14:w="4358" w14:cap="sq" w14:cmpd="sng">
                        <w14:solidFill>
                          <w14:srgbClr w14:val="000000"/>
                        </w14:solidFill>
                        <w14:prstDash w14:val="solid"/>
                        <w14:bevel/>
                      </w14:textOutline>
                    </w:rPr>
                    <w:t>地</w:t>
                  </w:r>
                </w:p>
              </w:txbxContent>
            </v:textbox>
          </v:shape>
        </w:pict>
      </w:r>
      <w:r>
        <w:drawing>
          <wp:anchor distT="0" distB="0" distL="0" distR="0" simplePos="0" relativeHeight="251983872" behindDoc="0" locked="0" layoutInCell="0" allowOverlap="1">
            <wp:simplePos x="0" y="0"/>
            <wp:positionH relativeFrom="page">
              <wp:posOffset>1304925</wp:posOffset>
            </wp:positionH>
            <wp:positionV relativeFrom="page">
              <wp:posOffset>3662680</wp:posOffset>
            </wp:positionV>
            <wp:extent cx="1584325" cy="354965"/>
            <wp:effectExtent l="0" t="0" r="0" b="0"/>
            <wp:wrapNone/>
            <wp:docPr id="173" name="IM 173"/>
            <wp:cNvGraphicFramePr/>
            <a:graphic xmlns:a="http://schemas.openxmlformats.org/drawingml/2006/main">
              <a:graphicData uri="http://schemas.openxmlformats.org/drawingml/2006/picture">
                <pic:pic xmlns:pic="http://schemas.openxmlformats.org/drawingml/2006/picture">
                  <pic:nvPicPr>
                    <pic:cNvPr id="173" name="IM 173"/>
                    <pic:cNvPicPr/>
                  </pic:nvPicPr>
                  <pic:blipFill>
                    <a:blip r:embed="rId551"/>
                    <a:stretch>
                      <a:fillRect/>
                    </a:stretch>
                  </pic:blipFill>
                  <pic:spPr>
                    <a:xfrm>
                      <a:off x="0" y="0"/>
                      <a:ext cx="1584325" cy="354965"/>
                    </a:xfrm>
                    <a:prstGeom prst="rect">
                      <a:avLst/>
                    </a:prstGeom>
                  </pic:spPr>
                </pic:pic>
              </a:graphicData>
            </a:graphic>
          </wp:anchor>
        </w:drawing>
      </w:r>
      <w:r>
        <w:pict>
          <v:shape id="_x0000_s1327" o:spid="_x0000_s1327" o:spt="202" type="#_x0000_t202" style="position:absolute;left:0pt;margin-left:101.75pt;margin-top:287.4pt;height:31.85pt;width:126.8pt;mso-position-horizontal-relative:page;mso-position-vertical-relative:page;z-index:251984896;mso-width-relative:page;mso-height-relative:page;" filled="f" stroked="f" coordsize="21600,21600" o:allowincell="f">
            <v:path/>
            <v:fill on="f" focussize="0,0"/>
            <v:stroke on="f"/>
            <v:imagedata o:title=""/>
            <o:lock v:ext="edit" aspectratio="f"/>
            <v:textbox inset="0mm,0mm,0mm,0mm">
              <w:txbxContent>
                <w:p w14:paraId="775F23B3">
                  <w:pPr>
                    <w:spacing w:before="278" w:line="228" w:lineRule="auto"/>
                    <w:ind w:left="190"/>
                    <w:rPr>
                      <w:rFonts w:ascii="宋体" w:hAnsi="宋体" w:eastAsia="宋体" w:cs="宋体"/>
                      <w:sz w:val="20"/>
                      <w:szCs w:val="20"/>
                    </w:rPr>
                  </w:pPr>
                  <w:r>
                    <w:rPr>
                      <w:rFonts w:ascii="宋体" w:hAnsi="宋体" w:eastAsia="宋体" w:cs="宋体"/>
                      <w:spacing w:val="10"/>
                      <w:sz w:val="20"/>
                      <w:szCs w:val="20"/>
                    </w:rPr>
                    <w:t>危</w:t>
                  </w:r>
                  <w:r>
                    <w:rPr>
                      <w:rFonts w:ascii="宋体" w:hAnsi="宋体" w:eastAsia="宋体" w:cs="宋体"/>
                      <w:spacing w:val="7"/>
                      <w:sz w:val="20"/>
                      <w:szCs w:val="20"/>
                    </w:rPr>
                    <w:t>废暂存间</w:t>
                  </w:r>
                </w:p>
              </w:txbxContent>
            </v:textbox>
          </v:shape>
        </w:pict>
      </w:r>
      <w:r>
        <w:pict>
          <v:shape id="_x0000_s1328" o:spid="_x0000_s1328" o:spt="202" type="#_x0000_t202" style="position:absolute;left:0pt;margin-left:264.5pt;margin-top:300.7pt;height:75.1pt;width:195.5pt;mso-position-horizontal-relative:page;mso-position-vertical-relative:page;z-index:252015616;mso-width-relative:page;mso-height-relative:page;" filled="f" stroked="f" coordsize="21600,21600" o:allowincell="f">
            <v:path/>
            <v:fill on="f" focussize="0,0"/>
            <v:stroke on="f"/>
            <v:imagedata o:title=""/>
            <o:lock v:ext="edit" aspectratio="f"/>
            <v:textbox inset="0mm,0mm,0mm,0mm">
              <w:txbxContent>
                <w:p w14:paraId="4511B57E">
                  <w:pPr>
                    <w:spacing w:line="20" w:lineRule="exact"/>
                  </w:pPr>
                </w:p>
                <w:tbl>
                  <w:tblPr>
                    <w:tblStyle w:val="4"/>
                    <w:tblW w:w="3850" w:type="dxa"/>
                    <w:tblInd w:w="30"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3850"/>
                  </w:tblGrid>
                  <w:tr w14:paraId="62BBC6B1">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1421" w:hRule="atLeast"/>
                    </w:trPr>
                    <w:tc>
                      <w:tcPr>
                        <w:tcW w:w="3850" w:type="dxa"/>
                        <w:shd w:val="clear" w:color="auto" w:fill="CCC1DA"/>
                        <w:vAlign w:val="top"/>
                      </w:tcPr>
                      <w:p w14:paraId="1C558878">
                        <w:pPr>
                          <w:spacing w:line="282" w:lineRule="auto"/>
                          <w:rPr>
                            <w:rFonts w:ascii="Arial"/>
                            <w:sz w:val="21"/>
                          </w:rPr>
                        </w:pPr>
                      </w:p>
                      <w:p w14:paraId="4C149E12">
                        <w:pPr>
                          <w:spacing w:line="282" w:lineRule="auto"/>
                          <w:rPr>
                            <w:rFonts w:ascii="Arial"/>
                            <w:sz w:val="21"/>
                          </w:rPr>
                        </w:pPr>
                      </w:p>
                      <w:p w14:paraId="6C2AC729">
                        <w:pPr>
                          <w:spacing w:before="65" w:line="228" w:lineRule="auto"/>
                          <w:ind w:left="1372"/>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生产厂房</w:t>
                        </w:r>
                      </w:p>
                    </w:tc>
                  </w:tr>
                </w:tbl>
                <w:p w14:paraId="4A254905">
                  <w:pPr>
                    <w:rPr>
                      <w:rFonts w:ascii="Arial"/>
                      <w:sz w:val="21"/>
                    </w:rPr>
                  </w:pPr>
                </w:p>
              </w:txbxContent>
            </v:textbox>
          </v:shape>
        </w:pict>
      </w:r>
      <w:r>
        <w:drawing>
          <wp:anchor distT="0" distB="0" distL="0" distR="0" simplePos="0" relativeHeight="251985920" behindDoc="0" locked="0" layoutInCell="0" allowOverlap="1">
            <wp:simplePos x="0" y="0"/>
            <wp:positionH relativeFrom="page">
              <wp:posOffset>1095375</wp:posOffset>
            </wp:positionH>
            <wp:positionV relativeFrom="page">
              <wp:posOffset>3926205</wp:posOffset>
            </wp:positionV>
            <wp:extent cx="1598930" cy="434340"/>
            <wp:effectExtent l="0" t="0" r="0" b="0"/>
            <wp:wrapNone/>
            <wp:docPr id="174" name="IM 174"/>
            <wp:cNvGraphicFramePr/>
            <a:graphic xmlns:a="http://schemas.openxmlformats.org/drawingml/2006/main">
              <a:graphicData uri="http://schemas.openxmlformats.org/drawingml/2006/picture">
                <pic:pic xmlns:pic="http://schemas.openxmlformats.org/drawingml/2006/picture">
                  <pic:nvPicPr>
                    <pic:cNvPr id="174" name="IM 174"/>
                    <pic:cNvPicPr/>
                  </pic:nvPicPr>
                  <pic:blipFill>
                    <a:blip r:embed="rId552"/>
                    <a:stretch>
                      <a:fillRect/>
                    </a:stretch>
                  </pic:blipFill>
                  <pic:spPr>
                    <a:xfrm>
                      <a:off x="0" y="0"/>
                      <a:ext cx="1598853" cy="434200"/>
                    </a:xfrm>
                    <a:prstGeom prst="rect">
                      <a:avLst/>
                    </a:prstGeom>
                  </pic:spPr>
                </pic:pic>
              </a:graphicData>
            </a:graphic>
          </wp:anchor>
        </w:drawing>
      </w:r>
      <w:r>
        <w:pict>
          <v:shape id="_x0000_s1329" o:spid="_x0000_s1329" o:spt="202" type="#_x0000_t202" style="position:absolute;left:0pt;margin-left:85.25pt;margin-top:308.15pt;height:38.1pt;width:127.9pt;mso-position-horizontal-relative:page;mso-position-vertical-relative:page;z-index:251986944;mso-width-relative:page;mso-height-relative:page;" filled="f" stroked="f" coordsize="21600,21600" o:allowincell="f">
            <v:path/>
            <v:fill on="f" focussize="0,0"/>
            <v:stroke on="f"/>
            <v:imagedata o:title=""/>
            <o:lock v:ext="edit" aspectratio="f"/>
            <v:textbox inset="0mm,0mm,0mm,0mm">
              <w:txbxContent>
                <w:p w14:paraId="3729D083">
                  <w:pPr>
                    <w:spacing w:line="336" w:lineRule="auto"/>
                    <w:rPr>
                      <w:rFonts w:ascii="Arial"/>
                      <w:sz w:val="21"/>
                    </w:rPr>
                  </w:pPr>
                </w:p>
                <w:p w14:paraId="37B6086F">
                  <w:pPr>
                    <w:spacing w:before="65" w:line="228" w:lineRule="auto"/>
                    <w:ind w:left="201"/>
                    <w:rPr>
                      <w:rFonts w:ascii="宋体" w:hAnsi="宋体" w:eastAsia="宋体" w:cs="宋体"/>
                      <w:sz w:val="20"/>
                      <w:szCs w:val="20"/>
                    </w:rPr>
                  </w:pPr>
                  <w:r>
                    <w:rPr>
                      <w:rFonts w:ascii="宋体" w:hAnsi="宋体" w:eastAsia="宋体" w:cs="宋体"/>
                      <w:spacing w:val="10"/>
                      <w:sz w:val="20"/>
                      <w:szCs w:val="20"/>
                    </w:rPr>
                    <w:t>备</w:t>
                  </w:r>
                  <w:r>
                    <w:rPr>
                      <w:rFonts w:ascii="宋体" w:hAnsi="宋体" w:eastAsia="宋体" w:cs="宋体"/>
                      <w:spacing w:val="7"/>
                      <w:sz w:val="20"/>
                      <w:szCs w:val="20"/>
                    </w:rPr>
                    <w:t>品备件库</w:t>
                  </w:r>
                </w:p>
              </w:txbxContent>
            </v:textbox>
          </v:shape>
        </w:pict>
      </w:r>
      <w:r>
        <mc:AlternateContent>
          <mc:Choice Requires="wps">
            <w:drawing>
              <wp:anchor distT="0" distB="0" distL="0" distR="0" simplePos="0" relativeHeight="251981824" behindDoc="0" locked="0" layoutInCell="0" allowOverlap="1">
                <wp:simplePos x="0" y="0"/>
                <wp:positionH relativeFrom="page">
                  <wp:posOffset>2773680</wp:posOffset>
                </wp:positionH>
                <wp:positionV relativeFrom="page">
                  <wp:posOffset>4301490</wp:posOffset>
                </wp:positionV>
                <wp:extent cx="688340" cy="207010"/>
                <wp:effectExtent l="0" t="0" r="0" b="0"/>
                <wp:wrapNone/>
                <wp:docPr id="175" name="TextBox 175"/>
                <wp:cNvGraphicFramePr/>
                <a:graphic xmlns:a="http://schemas.openxmlformats.org/drawingml/2006/main">
                  <a:graphicData uri="http://schemas.microsoft.com/office/word/2010/wordprocessingShape">
                    <wps:wsp>
                      <wps:cNvSpPr txBox="1"/>
                      <wps:spPr>
                        <a:xfrm rot="5400000">
                          <a:off x="2774029" y="4301976"/>
                          <a:ext cx="688340" cy="207009"/>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14:paraId="7CEC981B">
                            <w:pPr>
                              <w:spacing w:before="20" w:line="228" w:lineRule="auto"/>
                              <w:ind w:left="20"/>
                              <w:rPr>
                                <w:rFonts w:ascii="宋体" w:hAnsi="宋体" w:eastAsia="宋体" w:cs="宋体"/>
                                <w:sz w:val="20"/>
                                <w:szCs w:val="20"/>
                              </w:rPr>
                            </w:pPr>
                            <w:r>
                              <w:rPr>
                                <w:rFonts w:ascii="宋体" w:hAnsi="宋体" w:eastAsia="宋体" w:cs="宋体"/>
                                <w:spacing w:val="11"/>
                                <w:sz w:val="20"/>
                                <w:szCs w:val="20"/>
                                <w14:textOutline w14:w="3795" w14:cap="sq" w14:cmpd="sng">
                                  <w14:solidFill>
                                    <w14:srgbClr w14:val="000000"/>
                                  </w14:solidFill>
                                  <w14:prstDash w14:val="solid"/>
                                  <w14:bevel/>
                                </w14:textOutline>
                              </w:rPr>
                              <w:t>三</w:t>
                            </w:r>
                            <w:r>
                              <w:rPr>
                                <w:rFonts w:ascii="宋体" w:hAnsi="宋体" w:eastAsia="宋体" w:cs="宋体"/>
                                <w:spacing w:val="8"/>
                                <w:sz w:val="20"/>
                                <w:szCs w:val="20"/>
                                <w14:textOutline w14:w="3795" w14:cap="sq" w14:cmpd="sng">
                                  <w14:solidFill>
                                    <w14:srgbClr w14:val="000000"/>
                                  </w14:solidFill>
                                  <w14:prstDash w14:val="solid"/>
                                  <w14:bevel/>
                                </w14:textOutline>
                              </w:rPr>
                              <w:t>级沉淀池</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75" o:spid="_x0000_s1026" o:spt="202" type="#_x0000_t202" style="position:absolute;left:0pt;margin-left:218.4pt;margin-top:338.7pt;height:16.3pt;width:54.2pt;mso-position-horizontal-relative:page;mso-position-vertical-relative:page;rotation:5898240f;z-index:251981824;mso-width-relative:page;mso-height-relative:page;" filled="f" stroked="f" coordsize="21600,21600" o:allowincell="f" o:gfxdata="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B7mOs1wAAAAsBAAAPAAAAAAAAAAEAIAAAACIAAABkcnMvZG93bnJldi54&#10;bWxQSwECFAAUAAAACACHTuJAN0163jQCAABuBAAADgAAAAAAAAABACAAAAAmAQAAZHJzL2Uyb0Rv&#10;Yy54bWxQSwUGAAAAAAYABgBZAQAAzAUAAAAA&#10;">
                <v:fill on="f" focussize="0,0"/>
                <v:stroke on="f" weight="0pt"/>
                <v:imagedata o:title=""/>
                <o:lock v:ext="edit" aspectratio="f"/>
                <v:textbox inset="0mm,0mm,0mm,0mm">
                  <w:txbxContent>
                    <w:p w14:paraId="7CEC981B">
                      <w:pPr>
                        <w:spacing w:before="20" w:line="228" w:lineRule="auto"/>
                        <w:ind w:left="20"/>
                        <w:rPr>
                          <w:rFonts w:ascii="宋体" w:hAnsi="宋体" w:eastAsia="宋体" w:cs="宋体"/>
                          <w:sz w:val="20"/>
                          <w:szCs w:val="20"/>
                        </w:rPr>
                      </w:pPr>
                      <w:r>
                        <w:rPr>
                          <w:rFonts w:ascii="宋体" w:hAnsi="宋体" w:eastAsia="宋体" w:cs="宋体"/>
                          <w:spacing w:val="11"/>
                          <w:sz w:val="20"/>
                          <w:szCs w:val="20"/>
                          <w14:textOutline w14:w="3795" w14:cap="sq" w14:cmpd="sng">
                            <w14:solidFill>
                              <w14:srgbClr w14:val="000000"/>
                            </w14:solidFill>
                            <w14:prstDash w14:val="solid"/>
                            <w14:bevel/>
                          </w14:textOutline>
                        </w:rPr>
                        <w:t>三</w:t>
                      </w:r>
                      <w:r>
                        <w:rPr>
                          <w:rFonts w:ascii="宋体" w:hAnsi="宋体" w:eastAsia="宋体" w:cs="宋体"/>
                          <w:spacing w:val="8"/>
                          <w:sz w:val="20"/>
                          <w:szCs w:val="20"/>
                          <w14:textOutline w14:w="3795" w14:cap="sq" w14:cmpd="sng">
                            <w14:solidFill>
                              <w14:srgbClr w14:val="000000"/>
                            </w14:solidFill>
                            <w14:prstDash w14:val="solid"/>
                            <w14:bevel/>
                          </w14:textOutline>
                        </w:rPr>
                        <w:t>级沉淀池</w:t>
                      </w:r>
                    </w:p>
                  </w:txbxContent>
                </v:textbox>
              </v:shape>
            </w:pict>
          </mc:Fallback>
        </mc:AlternateContent>
      </w:r>
      <w:r>
        <w:pict>
          <v:shape id="_x0000_s1330" o:spid="_x0000_s1330" o:spt="202" type="#_x0000_t202" style="position:absolute;left:0pt;margin-left:228.95pt;margin-top:315.65pt;height:60.65pt;width:31.7pt;mso-position-horizontal-relative:page;mso-position-vertical-relative:page;z-index:251976704;mso-width-relative:page;mso-height-relative:page;" filled="f" stroked="f" coordsize="21600,21600" o:allowincell="f">
            <v:path/>
            <v:fill on="f" focussize="0,0"/>
            <v:stroke on="f"/>
            <v:imagedata o:title=""/>
            <o:lock v:ext="edit" aspectratio="f"/>
            <v:textbox inset="0mm,0mm,0mm,0mm">
              <w:txbxContent>
                <w:p w14:paraId="4DB1E6E6">
                  <w:pPr>
                    <w:spacing w:line="20" w:lineRule="exact"/>
                  </w:pPr>
                </w:p>
                <w:tbl>
                  <w:tblPr>
                    <w:tblStyle w:val="4"/>
                    <w:tblW w:w="568" w:type="dxa"/>
                    <w:tblInd w:w="32" w:type="dxa"/>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568"/>
                  </w:tblGrid>
                  <w:tr w14:paraId="11955B52">
                    <w:tblPrEx>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CellMar>
                        <w:top w:w="0" w:type="dxa"/>
                        <w:left w:w="0" w:type="dxa"/>
                        <w:bottom w:w="0" w:type="dxa"/>
                        <w:right w:w="0" w:type="dxa"/>
                      </w:tblCellMar>
                    </w:tblPrEx>
                    <w:trPr>
                      <w:trHeight w:val="1122" w:hRule="atLeast"/>
                    </w:trPr>
                    <w:tc>
                      <w:tcPr>
                        <w:tcW w:w="568" w:type="dxa"/>
                        <w:shd w:val="clear" w:color="auto" w:fill="00B0F0"/>
                        <w:vAlign w:val="top"/>
                      </w:tcPr>
                      <w:p w14:paraId="4A810A59">
                        <w:pPr>
                          <w:rPr>
                            <w:rFonts w:ascii="Arial"/>
                            <w:sz w:val="21"/>
                          </w:rPr>
                        </w:pPr>
                      </w:p>
                    </w:tc>
                  </w:tr>
                </w:tbl>
                <w:p w14:paraId="0395A7C4">
                  <w:pPr>
                    <w:rPr>
                      <w:rFonts w:ascii="Arial"/>
                      <w:sz w:val="21"/>
                    </w:rPr>
                  </w:pPr>
                </w:p>
              </w:txbxContent>
            </v:textbox>
          </v:shape>
        </w:pict>
      </w:r>
      <w:r>
        <w:pict>
          <v:shape id="_x0000_s1331" o:spid="_x0000_s1331" o:spt="202" type="#_x0000_t202" style="position:absolute;left:0pt;margin-left:710.95pt;margin-top:319.95pt;height:14.55pt;width:10.9pt;mso-position-horizontal-relative:page;mso-position-vertical-relative:page;z-index:251971584;mso-width-relative:page;mso-height-relative:page;" filled="f" stroked="f" coordsize="21600,21600" o:allowincell="f">
            <v:path/>
            <v:fill on="f" focussize="0,0"/>
            <v:stroke on="f"/>
            <v:imagedata o:title=""/>
            <o:lock v:ext="edit" aspectratio="f"/>
            <v:textbox inset="0mm,0mm,0mm,0mm">
              <w:txbxContent>
                <w:p w14:paraId="20B3048A">
                  <w:pPr>
                    <w:spacing w:before="20" w:line="231" w:lineRule="auto"/>
                    <w:ind w:left="20"/>
                    <w:rPr>
                      <w:rFonts w:ascii="宋体" w:hAnsi="宋体" w:eastAsia="宋体" w:cs="宋体"/>
                      <w:sz w:val="20"/>
                      <w:szCs w:val="20"/>
                    </w:rPr>
                  </w:pPr>
                  <w:r>
                    <w:rPr>
                      <w:rFonts w:ascii="宋体" w:hAnsi="宋体" w:eastAsia="宋体" w:cs="宋体"/>
                      <w:spacing w:val="-23"/>
                      <w:sz w:val="20"/>
                      <w:szCs w:val="20"/>
                      <w14:textOutline w14:w="3795" w14:cap="sq" w14:cmpd="sng">
                        <w14:solidFill>
                          <w14:srgbClr w14:val="000000"/>
                        </w14:solidFill>
                        <w14:prstDash w14:val="solid"/>
                        <w14:bevel/>
                      </w14:textOutline>
                    </w:rPr>
                    <w:t>门</w:t>
                  </w:r>
                </w:p>
              </w:txbxContent>
            </v:textbox>
          </v:shape>
        </w:pict>
      </w:r>
      <w:r>
        <w:pict>
          <v:group id="_x0000_s1332" o:spid="_x0000_s1332" o:spt="203" style="position:absolute;left:0pt;margin-left:75.7pt;margin-top:371.95pt;height:85.85pt;width:97.5pt;mso-position-horizontal-relative:page;mso-position-vertical-relative:page;z-index:251965440;mso-width-relative:page;mso-height-relative:page;" coordsize="1950,1716" o:allowincell="f">
            <o:lock v:ext="edit"/>
            <v:shape id="_x0000_s1333" o:spid="_x0000_s1333" o:spt="75" type="#_x0000_t75" style="position:absolute;left:0;top:0;height:1716;width:1950;" filled="f" stroked="f" coordsize="21600,21600">
              <v:path/>
              <v:fill on="f" focussize="0,0"/>
              <v:stroke on="f"/>
              <v:imagedata r:id="rId553" o:title=""/>
              <o:lock v:ext="edit" aspectratio="t"/>
            </v:shape>
            <v:shape id="_x0000_s1334" o:spid="_x0000_s1334" o:spt="202" type="#_x0000_t202" style="position:absolute;left:177;top:118;height:1578;width:1470;" filled="f" stroked="f" coordsize="21600,21600">
              <v:path/>
              <v:fill on="f" focussize="0,0"/>
              <v:stroke on="f"/>
              <v:imagedata o:title=""/>
              <o:lock v:ext="edit" aspectratio="f"/>
              <v:textbox inset="0mm,0mm,0mm,0mm">
                <w:txbxContent>
                  <w:p w14:paraId="0F17CD39">
                    <w:pPr>
                      <w:spacing w:before="20" w:line="229" w:lineRule="auto"/>
                      <w:ind w:left="405"/>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图</w:t>
                    </w:r>
                    <w:r>
                      <w:rPr>
                        <w:rFonts w:ascii="宋体" w:hAnsi="宋体" w:eastAsia="宋体" w:cs="宋体"/>
                        <w:spacing w:val="2"/>
                        <w:sz w:val="20"/>
                        <w:szCs w:val="20"/>
                      </w:rPr>
                      <w:t xml:space="preserve">    </w:t>
                    </w:r>
                    <w:r>
                      <w:rPr>
                        <w:rFonts w:ascii="宋体" w:hAnsi="宋体" w:eastAsia="宋体" w:cs="宋体"/>
                        <w:spacing w:val="1"/>
                        <w:sz w:val="20"/>
                        <w:szCs w:val="20"/>
                        <w14:textOutline w14:w="3795" w14:cap="sq" w14:cmpd="sng">
                          <w14:solidFill>
                            <w14:srgbClr w14:val="000000"/>
                          </w14:solidFill>
                          <w14:prstDash w14:val="solid"/>
                          <w14:bevel/>
                        </w14:textOutline>
                      </w:rPr>
                      <w:t>例</w:t>
                    </w:r>
                  </w:p>
                  <w:p w14:paraId="2368C7A5">
                    <w:pPr>
                      <w:spacing w:before="28" w:line="296" w:lineRule="auto"/>
                      <w:ind w:left="20" w:right="20" w:firstLine="17"/>
                      <w:rPr>
                        <w:rFonts w:ascii="宋体" w:hAnsi="宋体" w:eastAsia="宋体" w:cs="宋体"/>
                        <w:sz w:val="20"/>
                        <w:szCs w:val="20"/>
                      </w:rPr>
                    </w:pPr>
                    <w:r>
                      <w:rPr>
                        <w:rFonts w:ascii="宋体" w:hAnsi="宋体" w:eastAsia="宋体" w:cs="宋体"/>
                        <w:position w:val="1"/>
                        <w:sz w:val="20"/>
                        <w:szCs w:val="20"/>
                      </w:rPr>
                      <w:drawing>
                        <wp:inline distT="0" distB="0" distL="0" distR="0">
                          <wp:extent cx="162560" cy="127000"/>
                          <wp:effectExtent l="0" t="0" r="0" b="0"/>
                          <wp:docPr id="176" name="IM 176"/>
                          <wp:cNvGraphicFramePr/>
                          <a:graphic xmlns:a="http://schemas.openxmlformats.org/drawingml/2006/main">
                            <a:graphicData uri="http://schemas.openxmlformats.org/drawingml/2006/picture">
                              <pic:pic xmlns:pic="http://schemas.openxmlformats.org/drawingml/2006/picture">
                                <pic:nvPicPr>
                                  <pic:cNvPr id="176" name="IM 176"/>
                                  <pic:cNvPicPr/>
                                </pic:nvPicPr>
                                <pic:blipFill>
                                  <a:blip r:embed="rId554"/>
                                  <a:stretch>
                                    <a:fillRect/>
                                  </a:stretch>
                                </pic:blipFill>
                                <pic:spPr>
                                  <a:xfrm>
                                    <a:off x="0" y="0"/>
                                    <a:ext cx="163194" cy="127000"/>
                                  </a:xfrm>
                                  <a:prstGeom prst="rect">
                                    <a:avLst/>
                                  </a:prstGeom>
                                </pic:spPr>
                              </pic:pic>
                            </a:graphicData>
                          </a:graphic>
                        </wp:inline>
                      </w:drawing>
                    </w:r>
                    <w:r>
                      <w:rPr>
                        <w:rFonts w:ascii="宋体" w:hAnsi="宋体" w:eastAsia="宋体" w:cs="宋体"/>
                        <w:spacing w:val="9"/>
                        <w:sz w:val="20"/>
                        <w:szCs w:val="20"/>
                      </w:rPr>
                      <w:t xml:space="preserve"> 厂区边</w:t>
                    </w:r>
                    <w:r>
                      <w:rPr>
                        <w:rFonts w:ascii="宋体" w:hAnsi="宋体" w:eastAsia="宋体" w:cs="宋体"/>
                        <w:spacing w:val="8"/>
                        <w:sz w:val="20"/>
                        <w:szCs w:val="20"/>
                      </w:rPr>
                      <w:t>界</w:t>
                    </w:r>
                    <w:r>
                      <w:rPr>
                        <w:rFonts w:ascii="宋体" w:hAnsi="宋体" w:eastAsia="宋体" w:cs="宋体"/>
                        <w:sz w:val="20"/>
                        <w:szCs w:val="20"/>
                      </w:rPr>
                      <w:t xml:space="preserve">  </w:t>
                    </w:r>
                    <w:r>
                      <w:rPr>
                        <w:rFonts w:ascii="宋体" w:hAnsi="宋体" w:eastAsia="宋体" w:cs="宋体"/>
                        <w:position w:val="2"/>
                        <w:sz w:val="20"/>
                        <w:szCs w:val="20"/>
                      </w:rPr>
                      <w:drawing>
                        <wp:inline distT="0" distB="0" distL="0" distR="0">
                          <wp:extent cx="156845" cy="120650"/>
                          <wp:effectExtent l="0" t="0" r="0" b="0"/>
                          <wp:docPr id="177" name="IM 177"/>
                          <wp:cNvGraphicFramePr/>
                          <a:graphic xmlns:a="http://schemas.openxmlformats.org/drawingml/2006/main">
                            <a:graphicData uri="http://schemas.openxmlformats.org/drawingml/2006/picture">
                              <pic:pic xmlns:pic="http://schemas.openxmlformats.org/drawingml/2006/picture">
                                <pic:nvPicPr>
                                  <pic:cNvPr id="177" name="IM 177"/>
                                  <pic:cNvPicPr/>
                                </pic:nvPicPr>
                                <pic:blipFill>
                                  <a:blip r:embed="rId555"/>
                                  <a:stretch>
                                    <a:fillRect/>
                                  </a:stretch>
                                </pic:blipFill>
                                <pic:spPr>
                                  <a:xfrm>
                                    <a:off x="0" y="0"/>
                                    <a:ext cx="156845" cy="120650"/>
                                  </a:xfrm>
                                  <a:prstGeom prst="rect">
                                    <a:avLst/>
                                  </a:prstGeom>
                                </pic:spPr>
                              </pic:pic>
                            </a:graphicData>
                          </a:graphic>
                        </wp:inline>
                      </w:drawing>
                    </w:r>
                    <w:r>
                      <w:rPr>
                        <w:rFonts w:ascii="宋体" w:hAnsi="宋体" w:eastAsia="宋体" w:cs="宋体"/>
                        <w:spacing w:val="17"/>
                        <w:sz w:val="20"/>
                        <w:szCs w:val="20"/>
                      </w:rPr>
                      <w:t xml:space="preserve"> </w:t>
                    </w:r>
                    <w:r>
                      <w:rPr>
                        <w:rFonts w:ascii="宋体" w:hAnsi="宋体" w:eastAsia="宋体" w:cs="宋体"/>
                        <w:spacing w:val="13"/>
                        <w:sz w:val="20"/>
                        <w:szCs w:val="20"/>
                      </w:rPr>
                      <w:t>重点防渗区</w:t>
                    </w:r>
                    <w:r>
                      <w:rPr>
                        <w:rFonts w:ascii="宋体" w:hAnsi="宋体" w:eastAsia="宋体" w:cs="宋体"/>
                        <w:sz w:val="20"/>
                        <w:szCs w:val="20"/>
                      </w:rPr>
                      <w:t xml:space="preserve"> </w:t>
                    </w:r>
                    <w:r>
                      <w:rPr>
                        <w:rFonts w:ascii="宋体" w:hAnsi="宋体" w:eastAsia="宋体" w:cs="宋体"/>
                        <w:position w:val="-1"/>
                        <w:sz w:val="20"/>
                        <w:szCs w:val="20"/>
                      </w:rPr>
                      <w:drawing>
                        <wp:inline distT="0" distB="0" distL="0" distR="0">
                          <wp:extent cx="156845" cy="120650"/>
                          <wp:effectExtent l="0" t="0" r="0" b="0"/>
                          <wp:docPr id="178" name="IM 178"/>
                          <wp:cNvGraphicFramePr/>
                          <a:graphic xmlns:a="http://schemas.openxmlformats.org/drawingml/2006/main">
                            <a:graphicData uri="http://schemas.openxmlformats.org/drawingml/2006/picture">
                              <pic:pic xmlns:pic="http://schemas.openxmlformats.org/drawingml/2006/picture">
                                <pic:nvPicPr>
                                  <pic:cNvPr id="178" name="IM 178"/>
                                  <pic:cNvPicPr/>
                                </pic:nvPicPr>
                                <pic:blipFill>
                                  <a:blip r:embed="rId556"/>
                                  <a:stretch>
                                    <a:fillRect/>
                                  </a:stretch>
                                </pic:blipFill>
                                <pic:spPr>
                                  <a:xfrm>
                                    <a:off x="0" y="0"/>
                                    <a:ext cx="156845" cy="120650"/>
                                  </a:xfrm>
                                  <a:prstGeom prst="rect">
                                    <a:avLst/>
                                  </a:prstGeom>
                                </pic:spPr>
                              </pic:pic>
                            </a:graphicData>
                          </a:graphic>
                        </wp:inline>
                      </w:drawing>
                    </w:r>
                    <w:r>
                      <w:rPr>
                        <w:rFonts w:ascii="宋体" w:hAnsi="宋体" w:eastAsia="宋体" w:cs="宋体"/>
                        <w:spacing w:val="17"/>
                        <w:sz w:val="20"/>
                        <w:szCs w:val="20"/>
                      </w:rPr>
                      <w:t xml:space="preserve"> </w:t>
                    </w:r>
                    <w:r>
                      <w:rPr>
                        <w:rFonts w:ascii="宋体" w:hAnsi="宋体" w:eastAsia="宋体" w:cs="宋体"/>
                        <w:spacing w:val="13"/>
                        <w:sz w:val="20"/>
                        <w:szCs w:val="20"/>
                      </w:rPr>
                      <w:t>一般防渗区</w:t>
                    </w:r>
                  </w:p>
                  <w:p w14:paraId="33512F8B">
                    <w:pPr>
                      <w:spacing w:line="194" w:lineRule="auto"/>
                      <w:ind w:left="180"/>
                      <w:rPr>
                        <w:sz w:val="20"/>
                        <w:szCs w:val="20"/>
                      </w:rPr>
                    </w:pPr>
                    <w:r>
                      <w:rPr>
                        <w:rFonts w:ascii="Times New Roman" w:hAnsi="Times New Roman" w:eastAsia="Times New Roman" w:cs="Times New Roman"/>
                        <w:position w:val="-12"/>
                        <w:sz w:val="20"/>
                        <w:szCs w:val="20"/>
                      </w:rPr>
                      <w:drawing>
                        <wp:inline distT="0" distB="0" distL="0" distR="0">
                          <wp:extent cx="19685" cy="129540"/>
                          <wp:effectExtent l="0" t="0" r="0" b="0"/>
                          <wp:docPr id="179" name="IM 179"/>
                          <wp:cNvGraphicFramePr/>
                          <a:graphic xmlns:a="http://schemas.openxmlformats.org/drawingml/2006/main">
                            <a:graphicData uri="http://schemas.openxmlformats.org/drawingml/2006/picture">
                              <pic:pic xmlns:pic="http://schemas.openxmlformats.org/drawingml/2006/picture">
                                <pic:nvPicPr>
                                  <pic:cNvPr id="179" name="IM 179"/>
                                  <pic:cNvPicPr/>
                                </pic:nvPicPr>
                                <pic:blipFill>
                                  <a:blip r:embed="rId557"/>
                                  <a:stretch>
                                    <a:fillRect/>
                                  </a:stretch>
                                </pic:blipFill>
                                <pic:spPr>
                                  <a:xfrm>
                                    <a:off x="0" y="0"/>
                                    <a:ext cx="19685" cy="129640"/>
                                  </a:xfrm>
                                  <a:prstGeom prst="rect">
                                    <a:avLst/>
                                  </a:prstGeom>
                                </pic:spPr>
                              </pic:pic>
                            </a:graphicData>
                          </a:graphic>
                        </wp:inline>
                      </w:drawing>
                    </w:r>
                    <w:r>
                      <w:rPr>
                        <w:rFonts w:ascii="Times New Roman" w:hAnsi="Times New Roman" w:eastAsia="Times New Roman" w:cs="Times New Roman"/>
                        <w:spacing w:val="7"/>
                        <w:sz w:val="20"/>
                        <w:szCs w:val="20"/>
                        <w:u w:val="single" w:color="auto"/>
                      </w:rPr>
                      <w:t xml:space="preserve"> </w:t>
                    </w:r>
                    <w:r>
                      <w:rPr>
                        <w:rFonts w:ascii="Times New Roman" w:hAnsi="Times New Roman" w:eastAsia="Times New Roman" w:cs="Times New Roman"/>
                        <w:spacing w:val="6"/>
                        <w:sz w:val="20"/>
                        <w:szCs w:val="20"/>
                        <w:u w:val="single" w:color="auto"/>
                      </w:rPr>
                      <w:t xml:space="preserve">    </w:t>
                    </w:r>
                    <w:r>
                      <w:rPr>
                        <w:rFonts w:ascii="Times New Roman" w:hAnsi="Times New Roman" w:eastAsia="Times New Roman" w:cs="Times New Roman"/>
                        <w:b/>
                        <w:bCs/>
                        <w:spacing w:val="6"/>
                        <w:sz w:val="20"/>
                        <w:szCs w:val="20"/>
                        <w:u w:val="single" w:color="auto"/>
                      </w:rPr>
                      <w:t>10</w:t>
                    </w:r>
                    <w:r>
                      <w:rPr>
                        <w:rFonts w:ascii="Times New Roman" w:hAnsi="Times New Roman" w:eastAsia="Times New Roman" w:cs="Times New Roman"/>
                        <w:b/>
                        <w:bCs/>
                        <w:sz w:val="20"/>
                        <w:szCs w:val="20"/>
                        <w:u w:val="single" w:color="auto"/>
                      </w:rPr>
                      <w:t>m</w:t>
                    </w:r>
                    <w:r>
                      <w:rPr>
                        <w:rFonts w:ascii="Times New Roman" w:hAnsi="Times New Roman" w:eastAsia="Times New Roman" w:cs="Times New Roman"/>
                        <w:spacing w:val="6"/>
                        <w:sz w:val="20"/>
                        <w:szCs w:val="20"/>
                        <w:u w:val="single" w:color="auto"/>
                      </w:rPr>
                      <w:t xml:space="preserve">     </w:t>
                    </w:r>
                    <w:r>
                      <w:rPr>
                        <w:position w:val="-11"/>
                        <w:sz w:val="20"/>
                        <w:szCs w:val="20"/>
                      </w:rPr>
                      <w:drawing>
                        <wp:inline distT="0" distB="0" distL="0" distR="0">
                          <wp:extent cx="19050" cy="129540"/>
                          <wp:effectExtent l="0" t="0" r="0" b="0"/>
                          <wp:docPr id="180" name="IM 180"/>
                          <wp:cNvGraphicFramePr/>
                          <a:graphic xmlns:a="http://schemas.openxmlformats.org/drawingml/2006/main">
                            <a:graphicData uri="http://schemas.openxmlformats.org/drawingml/2006/picture">
                              <pic:pic xmlns:pic="http://schemas.openxmlformats.org/drawingml/2006/picture">
                                <pic:nvPicPr>
                                  <pic:cNvPr id="180" name="IM 180"/>
                                  <pic:cNvPicPr/>
                                </pic:nvPicPr>
                                <pic:blipFill>
                                  <a:blip r:embed="rId558"/>
                                  <a:stretch>
                                    <a:fillRect/>
                                  </a:stretch>
                                </pic:blipFill>
                                <pic:spPr>
                                  <a:xfrm>
                                    <a:off x="0" y="0"/>
                                    <a:ext cx="19684" cy="129640"/>
                                  </a:xfrm>
                                  <a:prstGeom prst="rect">
                                    <a:avLst/>
                                  </a:prstGeom>
                                </pic:spPr>
                              </pic:pic>
                            </a:graphicData>
                          </a:graphic>
                        </wp:inline>
                      </w:drawing>
                    </w:r>
                  </w:p>
                </w:txbxContent>
              </v:textbox>
            </v:shape>
            <v:shape id="_x0000_s1335" o:spid="_x0000_s1335" style="position:absolute;left:553;top:340;height:20;width:840;" filled="f" stroked="t" coordsize="840,20" path="m0,9l839,9e">
              <v:fill on="f" focussize="0,0"/>
              <v:stroke weight="0.96pt" color="#000000" miterlimit="2" joinstyle="bevel"/>
              <v:imagedata o:title=""/>
              <o:lock v:ext="edit"/>
            </v:shape>
          </v:group>
        </w:pict>
      </w:r>
      <w:r>
        <w:pict>
          <v:group id="_x0000_s1336" o:spid="_x0000_s1336" o:spt="203" style="position:absolute;left:0pt;margin-left:408.75pt;margin-top:374.65pt;height:44.3pt;width:60.75pt;mso-position-horizontal-relative:page;mso-position-vertical-relative:page;z-index:252013568;mso-width-relative:page;mso-height-relative:page;" coordsize="1215,885" o:allowincell="f">
            <o:lock v:ext="edit"/>
            <v:shape id="_x0000_s1337" o:spid="_x0000_s1337" o:spt="75" type="#_x0000_t75" style="position:absolute;left:0;top:0;height:885;width:1215;" filled="f" stroked="f" coordsize="21600,21600">
              <v:path/>
              <v:fill on="f" focussize="0,0"/>
              <v:stroke on="f"/>
              <v:imagedata r:id="rId559" o:title=""/>
              <o:lock v:ext="edit" aspectratio="t"/>
            </v:shape>
            <v:shape id="_x0000_s1338" o:spid="_x0000_s1338" o:spt="202" type="#_x0000_t202" style="position:absolute;left:-20;top:-20;height:925;width:1255;" filled="f" stroked="f" coordsize="21600,21600">
              <v:path/>
              <v:fill on="f" focussize="0,0"/>
              <v:stroke on="f"/>
              <v:imagedata o:title=""/>
              <o:lock v:ext="edit" aspectratio="f"/>
              <v:textbox inset="0mm,0mm,0mm,0mm">
                <w:txbxContent>
                  <w:p w14:paraId="007503F1">
                    <w:pPr>
                      <w:spacing w:line="249" w:lineRule="auto"/>
                      <w:rPr>
                        <w:rFonts w:ascii="Arial"/>
                        <w:sz w:val="21"/>
                      </w:rPr>
                    </w:pPr>
                  </w:p>
                  <w:p w14:paraId="201A78F5">
                    <w:pPr>
                      <w:spacing w:line="250" w:lineRule="auto"/>
                      <w:rPr>
                        <w:rFonts w:ascii="Arial"/>
                        <w:sz w:val="21"/>
                      </w:rPr>
                    </w:pPr>
                  </w:p>
                  <w:p w14:paraId="24CE2CA5">
                    <w:pPr>
                      <w:spacing w:before="65" w:line="289" w:lineRule="exact"/>
                      <w:ind w:left="263"/>
                      <w:rPr>
                        <w:rFonts w:ascii="宋体" w:hAnsi="宋体" w:eastAsia="宋体" w:cs="宋体"/>
                        <w:sz w:val="20"/>
                        <w:szCs w:val="20"/>
                      </w:rPr>
                    </w:pPr>
                    <w:r>
                      <w:rPr>
                        <w:rFonts w:ascii="Times New Roman" w:hAnsi="Times New Roman" w:eastAsia="Times New Roman" w:cs="Times New Roman"/>
                        <w:b/>
                        <w:bCs/>
                        <w:spacing w:val="7"/>
                        <w:position w:val="1"/>
                        <w:sz w:val="20"/>
                        <w:szCs w:val="20"/>
                      </w:rPr>
                      <w:t>2#</w:t>
                    </w:r>
                    <w:r>
                      <w:rPr>
                        <w:rFonts w:ascii="宋体" w:hAnsi="宋体" w:eastAsia="宋体" w:cs="宋体"/>
                        <w:spacing w:val="7"/>
                        <w:position w:val="1"/>
                        <w:sz w:val="20"/>
                        <w:szCs w:val="20"/>
                        <w14:textOutline w14:w="3795" w14:cap="sq" w14:cmpd="sng">
                          <w14:solidFill>
                            <w14:srgbClr w14:val="000000"/>
                          </w14:solidFill>
                          <w14:prstDash w14:val="solid"/>
                          <w14:bevel/>
                        </w14:textOutline>
                      </w:rPr>
                      <w:t>排气筒</w:t>
                    </w:r>
                  </w:p>
                </w:txbxContent>
              </v:textbox>
            </v:shape>
          </v:group>
        </w:pict>
      </w:r>
      <w:r>
        <w:pict>
          <v:group id="_x0000_s1339" o:spid="_x0000_s1339" o:spt="203" style="position:absolute;left:0pt;margin-left:452.95pt;margin-top:378.35pt;height:39.1pt;width:81.85pt;mso-position-horizontal-relative:page;mso-position-vertical-relative:page;z-index:252041216;mso-width-relative:page;mso-height-relative:page;" coordsize="1636,781" o:allowincell="f">
            <o:lock v:ext="edit"/>
            <v:shape id="_x0000_s1340" o:spid="_x0000_s1340" o:spt="75" type="#_x0000_t75" style="position:absolute;left:0;top:0;height:781;width:1636;" filled="f" stroked="f" coordsize="21600,21600">
              <v:path/>
              <v:fill on="f" focussize="0,0"/>
              <v:stroke on="f"/>
              <v:imagedata r:id="rId560" o:title=""/>
              <o:lock v:ext="edit" aspectratio="t"/>
            </v:shape>
            <v:shape id="_x0000_s1341" o:spid="_x0000_s1341" o:spt="202" type="#_x0000_t202" style="position:absolute;left:-20;top:-20;height:821;width:1676;" filled="f" stroked="f" coordsize="21600,21600">
              <v:path/>
              <v:fill on="f" focussize="0,0"/>
              <v:stroke on="f"/>
              <v:imagedata o:title=""/>
              <o:lock v:ext="edit" aspectratio="f"/>
              <v:textbox inset="0mm,0mm,0mm,0mm">
                <w:txbxContent>
                  <w:p w14:paraId="4185C6BF">
                    <w:pPr>
                      <w:spacing w:line="398" w:lineRule="auto"/>
                      <w:rPr>
                        <w:rFonts w:ascii="Arial"/>
                        <w:sz w:val="21"/>
                      </w:rPr>
                    </w:pPr>
                  </w:p>
                  <w:p w14:paraId="1AE77224">
                    <w:pPr>
                      <w:spacing w:before="65" w:line="288" w:lineRule="exact"/>
                      <w:ind w:left="683"/>
                      <w:rPr>
                        <w:rFonts w:ascii="宋体" w:hAnsi="宋体" w:eastAsia="宋体" w:cs="宋体"/>
                        <w:sz w:val="20"/>
                        <w:szCs w:val="20"/>
                      </w:rPr>
                    </w:pPr>
                    <w:r>
                      <w:rPr>
                        <w:rFonts w:ascii="Times New Roman" w:hAnsi="Times New Roman" w:eastAsia="Times New Roman" w:cs="Times New Roman"/>
                        <w:b/>
                        <w:bCs/>
                        <w:spacing w:val="8"/>
                        <w:position w:val="1"/>
                        <w:sz w:val="20"/>
                        <w:szCs w:val="20"/>
                      </w:rPr>
                      <w:t>3</w:t>
                    </w:r>
                    <w:r>
                      <w:rPr>
                        <w:rFonts w:ascii="Times New Roman" w:hAnsi="Times New Roman" w:eastAsia="Times New Roman" w:cs="Times New Roman"/>
                        <w:b/>
                        <w:bCs/>
                        <w:spacing w:val="7"/>
                        <w:position w:val="1"/>
                        <w:sz w:val="20"/>
                        <w:szCs w:val="20"/>
                      </w:rPr>
                      <w:t>#</w:t>
                    </w:r>
                    <w:r>
                      <w:rPr>
                        <w:rFonts w:ascii="宋体" w:hAnsi="宋体" w:eastAsia="宋体" w:cs="宋体"/>
                        <w:spacing w:val="7"/>
                        <w:position w:val="1"/>
                        <w:sz w:val="20"/>
                        <w:szCs w:val="20"/>
                        <w14:textOutline w14:w="3795" w14:cap="sq" w14:cmpd="sng">
                          <w14:solidFill>
                            <w14:srgbClr w14:val="000000"/>
                          </w14:solidFill>
                          <w14:prstDash w14:val="solid"/>
                          <w14:bevel/>
                        </w14:textOutline>
                      </w:rPr>
                      <w:t>排气筒</w:t>
                    </w:r>
                  </w:p>
                </w:txbxContent>
              </v:textbox>
            </v:shape>
          </v:group>
        </w:pict>
      </w:r>
      <w:r>
        <w:drawing>
          <wp:anchor distT="0" distB="0" distL="0" distR="0" simplePos="0" relativeHeight="251972608" behindDoc="0" locked="0" layoutInCell="0" allowOverlap="1">
            <wp:simplePos x="0" y="0"/>
            <wp:positionH relativeFrom="page">
              <wp:posOffset>2317115</wp:posOffset>
            </wp:positionH>
            <wp:positionV relativeFrom="page">
              <wp:posOffset>4485640</wp:posOffset>
            </wp:positionV>
            <wp:extent cx="768350" cy="798830"/>
            <wp:effectExtent l="0" t="0" r="0" b="0"/>
            <wp:wrapNone/>
            <wp:docPr id="181" name="IM 181"/>
            <wp:cNvGraphicFramePr/>
            <a:graphic xmlns:a="http://schemas.openxmlformats.org/drawingml/2006/main">
              <a:graphicData uri="http://schemas.openxmlformats.org/drawingml/2006/picture">
                <pic:pic xmlns:pic="http://schemas.openxmlformats.org/drawingml/2006/picture">
                  <pic:nvPicPr>
                    <pic:cNvPr id="181" name="IM 181"/>
                    <pic:cNvPicPr/>
                  </pic:nvPicPr>
                  <pic:blipFill>
                    <a:blip r:embed="rId561"/>
                    <a:stretch>
                      <a:fillRect/>
                    </a:stretch>
                  </pic:blipFill>
                  <pic:spPr>
                    <a:xfrm>
                      <a:off x="0" y="0"/>
                      <a:ext cx="768350" cy="798829"/>
                    </a:xfrm>
                    <a:prstGeom prst="rect">
                      <a:avLst/>
                    </a:prstGeom>
                  </pic:spPr>
                </pic:pic>
              </a:graphicData>
            </a:graphic>
          </wp:anchor>
        </w:drawing>
      </w:r>
      <w:r>
        <w:drawing>
          <wp:anchor distT="0" distB="0" distL="0" distR="0" simplePos="0" relativeHeight="252042240" behindDoc="0" locked="0" layoutInCell="0" allowOverlap="1">
            <wp:simplePos x="0" y="0"/>
            <wp:positionH relativeFrom="page">
              <wp:posOffset>8881745</wp:posOffset>
            </wp:positionH>
            <wp:positionV relativeFrom="page">
              <wp:posOffset>3957955</wp:posOffset>
            </wp:positionV>
            <wp:extent cx="215900" cy="397510"/>
            <wp:effectExtent l="0" t="0" r="0" b="0"/>
            <wp:wrapNone/>
            <wp:docPr id="182" name="IM 182"/>
            <wp:cNvGraphicFramePr/>
            <a:graphic xmlns:a="http://schemas.openxmlformats.org/drawingml/2006/main">
              <a:graphicData uri="http://schemas.openxmlformats.org/drawingml/2006/picture">
                <pic:pic xmlns:pic="http://schemas.openxmlformats.org/drawingml/2006/picture">
                  <pic:nvPicPr>
                    <pic:cNvPr id="182" name="IM 182"/>
                    <pic:cNvPicPr/>
                  </pic:nvPicPr>
                  <pic:blipFill>
                    <a:blip r:embed="rId562"/>
                    <a:stretch>
                      <a:fillRect/>
                    </a:stretch>
                  </pic:blipFill>
                  <pic:spPr>
                    <a:xfrm>
                      <a:off x="0" y="0"/>
                      <a:ext cx="215951" cy="397509"/>
                    </a:xfrm>
                    <a:prstGeom prst="rect">
                      <a:avLst/>
                    </a:prstGeom>
                  </pic:spPr>
                </pic:pic>
              </a:graphicData>
            </a:graphic>
          </wp:anchor>
        </w:drawing>
      </w:r>
      <w:r>
        <w:pict>
          <v:group id="_x0000_s1342" o:spid="_x0000_s1342" o:spt="203" style="position:absolute;left:0pt;margin-left:197.5pt;margin-top:165.95pt;height:213.25pt;width:63.5pt;mso-position-horizontal-relative:page;mso-position-vertical-relative:page;z-index:251977728;mso-width-relative:page;mso-height-relative:page;" coordsize="1270,4265" o:allowincell="f">
            <o:lock v:ext="edit"/>
            <v:shape id="_x0000_s1343" o:spid="_x0000_s1343" style="position:absolute;left:645;top:2791;height:1473;width:624;" fillcolor="#E723D2" filled="t" stroked="f" coordsize="624,1473" path="m0,0l623,0,623,1473,0,1473,0,0xe">
              <v:path/>
              <v:fill on="t" opacity="19532f" focussize="0,0"/>
              <v:stroke on="f"/>
              <v:imagedata o:title=""/>
              <o:lock v:ext="edit"/>
            </v:shape>
            <v:shape id="_x0000_s1344" o:spid="_x0000_s1344" style="position:absolute;left:0;top:0;height:2992;width:624;" fillcolor="#00B050" filled="t" stroked="f" coordsize="624,2992" path="m0,0l623,0,623,2992,0,2992,0,0xe">
              <v:path/>
              <v:fill on="t" opacity="19532f" focussize="0,0"/>
              <v:stroke on="f"/>
              <v:imagedata o:title=""/>
              <o:lock v:ext="edit"/>
            </v:shape>
            <v:shape id="_x0000_s1345" o:spid="_x0000_s1345" style="position:absolute;left:345;top:2400;height:292;width:334;" fillcolor="#E723D2" filled="t" stroked="f" coordsize="334,292" path="m0,0l333,0,333,292,0,292,0,0xe">
              <v:path/>
              <v:fill on="t" opacity="19532f" focussize="0,0"/>
              <v:stroke on="f"/>
              <v:imagedata o:title=""/>
              <o:lock v:ext="edit"/>
            </v:shape>
          </v:group>
        </w:pict>
      </w:r>
      <w:r>
        <w:drawing>
          <wp:anchor distT="0" distB="0" distL="0" distR="0" simplePos="0" relativeHeight="252040192" behindDoc="0" locked="0" layoutInCell="0" allowOverlap="1">
            <wp:simplePos x="0" y="0"/>
            <wp:positionH relativeFrom="page">
              <wp:posOffset>3400425</wp:posOffset>
            </wp:positionH>
            <wp:positionV relativeFrom="page">
              <wp:posOffset>3797300</wp:posOffset>
            </wp:positionV>
            <wp:extent cx="241300" cy="19050"/>
            <wp:effectExtent l="0" t="0" r="0" b="0"/>
            <wp:wrapNone/>
            <wp:docPr id="183" name="IM 183"/>
            <wp:cNvGraphicFramePr/>
            <a:graphic xmlns:a="http://schemas.openxmlformats.org/drawingml/2006/main">
              <a:graphicData uri="http://schemas.openxmlformats.org/drawingml/2006/picture">
                <pic:pic xmlns:pic="http://schemas.openxmlformats.org/drawingml/2006/picture">
                  <pic:nvPicPr>
                    <pic:cNvPr id="183" name="IM 183"/>
                    <pic:cNvPicPr/>
                  </pic:nvPicPr>
                  <pic:blipFill>
                    <a:blip r:embed="rId563"/>
                    <a:stretch>
                      <a:fillRect/>
                    </a:stretch>
                  </pic:blipFill>
                  <pic:spPr>
                    <a:xfrm>
                      <a:off x="0" y="0"/>
                      <a:ext cx="241300" cy="19050"/>
                    </a:xfrm>
                    <a:prstGeom prst="rect">
                      <a:avLst/>
                    </a:prstGeom>
                  </pic:spPr>
                </pic:pic>
              </a:graphicData>
            </a:graphic>
          </wp:anchor>
        </w:drawing>
      </w:r>
      <w:r>
        <w:drawing>
          <wp:anchor distT="0" distB="0" distL="0" distR="0" simplePos="0" relativeHeight="252038144" behindDoc="0" locked="0" layoutInCell="0" allowOverlap="1">
            <wp:simplePos x="0" y="0"/>
            <wp:positionH relativeFrom="page">
              <wp:posOffset>4467225</wp:posOffset>
            </wp:positionH>
            <wp:positionV relativeFrom="page">
              <wp:posOffset>3797300</wp:posOffset>
            </wp:positionV>
            <wp:extent cx="241300" cy="19050"/>
            <wp:effectExtent l="0" t="0" r="0" b="0"/>
            <wp:wrapNone/>
            <wp:docPr id="184" name="IM 184"/>
            <wp:cNvGraphicFramePr/>
            <a:graphic xmlns:a="http://schemas.openxmlformats.org/drawingml/2006/main">
              <a:graphicData uri="http://schemas.openxmlformats.org/drawingml/2006/picture">
                <pic:pic xmlns:pic="http://schemas.openxmlformats.org/drawingml/2006/picture">
                  <pic:nvPicPr>
                    <pic:cNvPr id="184" name="IM 184"/>
                    <pic:cNvPicPr/>
                  </pic:nvPicPr>
                  <pic:blipFill>
                    <a:blip r:embed="rId563"/>
                    <a:stretch>
                      <a:fillRect/>
                    </a:stretch>
                  </pic:blipFill>
                  <pic:spPr>
                    <a:xfrm>
                      <a:off x="0" y="0"/>
                      <a:ext cx="241300" cy="19050"/>
                    </a:xfrm>
                    <a:prstGeom prst="rect">
                      <a:avLst/>
                    </a:prstGeom>
                  </pic:spPr>
                </pic:pic>
              </a:graphicData>
            </a:graphic>
          </wp:anchor>
        </w:drawing>
      </w:r>
      <w:r>
        <w:drawing>
          <wp:anchor distT="0" distB="0" distL="0" distR="0" simplePos="0" relativeHeight="252039168" behindDoc="0" locked="0" layoutInCell="0" allowOverlap="1">
            <wp:simplePos x="0" y="0"/>
            <wp:positionH relativeFrom="page">
              <wp:posOffset>5000625</wp:posOffset>
            </wp:positionH>
            <wp:positionV relativeFrom="page">
              <wp:posOffset>3797300</wp:posOffset>
            </wp:positionV>
            <wp:extent cx="241300" cy="19050"/>
            <wp:effectExtent l="0" t="0" r="0" b="0"/>
            <wp:wrapNone/>
            <wp:docPr id="185" name="IM 185"/>
            <wp:cNvGraphicFramePr/>
            <a:graphic xmlns:a="http://schemas.openxmlformats.org/drawingml/2006/main">
              <a:graphicData uri="http://schemas.openxmlformats.org/drawingml/2006/picture">
                <pic:pic xmlns:pic="http://schemas.openxmlformats.org/drawingml/2006/picture">
                  <pic:nvPicPr>
                    <pic:cNvPr id="185" name="IM 185"/>
                    <pic:cNvPicPr/>
                  </pic:nvPicPr>
                  <pic:blipFill>
                    <a:blip r:embed="rId563"/>
                    <a:stretch>
                      <a:fillRect/>
                    </a:stretch>
                  </pic:blipFill>
                  <pic:spPr>
                    <a:xfrm>
                      <a:off x="0" y="0"/>
                      <a:ext cx="241300" cy="19050"/>
                    </a:xfrm>
                    <a:prstGeom prst="rect">
                      <a:avLst/>
                    </a:prstGeom>
                  </pic:spPr>
                </pic:pic>
              </a:graphicData>
            </a:graphic>
          </wp:anchor>
        </w:drawing>
      </w:r>
      <w:r>
        <w:drawing>
          <wp:anchor distT="0" distB="0" distL="0" distR="0" simplePos="0" relativeHeight="252037120" behindDoc="0" locked="0" layoutInCell="0" allowOverlap="1">
            <wp:simplePos x="0" y="0"/>
            <wp:positionH relativeFrom="page">
              <wp:posOffset>5267325</wp:posOffset>
            </wp:positionH>
            <wp:positionV relativeFrom="page">
              <wp:posOffset>3797300</wp:posOffset>
            </wp:positionV>
            <wp:extent cx="241300" cy="19050"/>
            <wp:effectExtent l="0" t="0" r="0" b="0"/>
            <wp:wrapNone/>
            <wp:docPr id="186" name="IM 186"/>
            <wp:cNvGraphicFramePr/>
            <a:graphic xmlns:a="http://schemas.openxmlformats.org/drawingml/2006/main">
              <a:graphicData uri="http://schemas.openxmlformats.org/drawingml/2006/picture">
                <pic:pic xmlns:pic="http://schemas.openxmlformats.org/drawingml/2006/picture">
                  <pic:nvPicPr>
                    <pic:cNvPr id="186" name="IM 186"/>
                    <pic:cNvPicPr/>
                  </pic:nvPicPr>
                  <pic:blipFill>
                    <a:blip r:embed="rId563"/>
                    <a:stretch>
                      <a:fillRect/>
                    </a:stretch>
                  </pic:blipFill>
                  <pic:spPr>
                    <a:xfrm>
                      <a:off x="0" y="0"/>
                      <a:ext cx="241300" cy="19050"/>
                    </a:xfrm>
                    <a:prstGeom prst="rect">
                      <a:avLst/>
                    </a:prstGeom>
                  </pic:spPr>
                </pic:pic>
              </a:graphicData>
            </a:graphic>
          </wp:anchor>
        </w:drawing>
      </w:r>
      <w:r>
        <w:drawing>
          <wp:anchor distT="0" distB="0" distL="0" distR="0" simplePos="0" relativeHeight="252036096" behindDoc="0" locked="0" layoutInCell="0" allowOverlap="1">
            <wp:simplePos x="0" y="0"/>
            <wp:positionH relativeFrom="page">
              <wp:posOffset>5534025</wp:posOffset>
            </wp:positionH>
            <wp:positionV relativeFrom="page">
              <wp:posOffset>3797300</wp:posOffset>
            </wp:positionV>
            <wp:extent cx="241300" cy="19050"/>
            <wp:effectExtent l="0" t="0" r="0" b="0"/>
            <wp:wrapNone/>
            <wp:docPr id="187" name="IM 187"/>
            <wp:cNvGraphicFramePr/>
            <a:graphic xmlns:a="http://schemas.openxmlformats.org/drawingml/2006/main">
              <a:graphicData uri="http://schemas.openxmlformats.org/drawingml/2006/picture">
                <pic:pic xmlns:pic="http://schemas.openxmlformats.org/drawingml/2006/picture">
                  <pic:nvPicPr>
                    <pic:cNvPr id="187" name="IM 187"/>
                    <pic:cNvPicPr/>
                  </pic:nvPicPr>
                  <pic:blipFill>
                    <a:blip r:embed="rId563"/>
                    <a:stretch>
                      <a:fillRect/>
                    </a:stretch>
                  </pic:blipFill>
                  <pic:spPr>
                    <a:xfrm>
                      <a:off x="0" y="0"/>
                      <a:ext cx="241300" cy="19050"/>
                    </a:xfrm>
                    <a:prstGeom prst="rect">
                      <a:avLst/>
                    </a:prstGeom>
                  </pic:spPr>
                </pic:pic>
              </a:graphicData>
            </a:graphic>
          </wp:anchor>
        </w:drawing>
      </w:r>
      <w:r>
        <w:drawing>
          <wp:anchor distT="0" distB="0" distL="0" distR="0" simplePos="0" relativeHeight="252028928" behindDoc="0" locked="0" layoutInCell="0" allowOverlap="1">
            <wp:simplePos x="0" y="0"/>
            <wp:positionH relativeFrom="page">
              <wp:posOffset>5845175</wp:posOffset>
            </wp:positionH>
            <wp:positionV relativeFrom="page">
              <wp:posOffset>3886200</wp:posOffset>
            </wp:positionV>
            <wp:extent cx="19050" cy="241300"/>
            <wp:effectExtent l="0" t="0" r="0" b="0"/>
            <wp:wrapNone/>
            <wp:docPr id="188" name="IM 188"/>
            <wp:cNvGraphicFramePr/>
            <a:graphic xmlns:a="http://schemas.openxmlformats.org/drawingml/2006/main">
              <a:graphicData uri="http://schemas.openxmlformats.org/drawingml/2006/picture">
                <pic:pic xmlns:pic="http://schemas.openxmlformats.org/drawingml/2006/picture">
                  <pic:nvPicPr>
                    <pic:cNvPr id="188" name="IM 188"/>
                    <pic:cNvPicPr/>
                  </pic:nvPicPr>
                  <pic:blipFill>
                    <a:blip r:embed="rId564"/>
                    <a:stretch>
                      <a:fillRect/>
                    </a:stretch>
                  </pic:blipFill>
                  <pic:spPr>
                    <a:xfrm>
                      <a:off x="0" y="0"/>
                      <a:ext cx="19050" cy="241300"/>
                    </a:xfrm>
                    <a:prstGeom prst="rect">
                      <a:avLst/>
                    </a:prstGeom>
                  </pic:spPr>
                </pic:pic>
              </a:graphicData>
            </a:graphic>
          </wp:anchor>
        </w:drawing>
      </w:r>
      <w:r>
        <w:drawing>
          <wp:anchor distT="0" distB="0" distL="0" distR="0" simplePos="0" relativeHeight="252027904" behindDoc="0" locked="0" layoutInCell="0" allowOverlap="1">
            <wp:simplePos x="0" y="0"/>
            <wp:positionH relativeFrom="page">
              <wp:posOffset>5845175</wp:posOffset>
            </wp:positionH>
            <wp:positionV relativeFrom="page">
              <wp:posOffset>4152900</wp:posOffset>
            </wp:positionV>
            <wp:extent cx="19050" cy="241300"/>
            <wp:effectExtent l="0" t="0" r="0" b="0"/>
            <wp:wrapNone/>
            <wp:docPr id="189" name="IM 189"/>
            <wp:cNvGraphicFramePr/>
            <a:graphic xmlns:a="http://schemas.openxmlformats.org/drawingml/2006/main">
              <a:graphicData uri="http://schemas.openxmlformats.org/drawingml/2006/picture">
                <pic:pic xmlns:pic="http://schemas.openxmlformats.org/drawingml/2006/picture">
                  <pic:nvPicPr>
                    <pic:cNvPr id="189" name="IM 189"/>
                    <pic:cNvPicPr/>
                  </pic:nvPicPr>
                  <pic:blipFill>
                    <a:blip r:embed="rId564"/>
                    <a:stretch>
                      <a:fillRect/>
                    </a:stretch>
                  </pic:blipFill>
                  <pic:spPr>
                    <a:xfrm>
                      <a:off x="0" y="0"/>
                      <a:ext cx="19050" cy="241300"/>
                    </a:xfrm>
                    <a:prstGeom prst="rect">
                      <a:avLst/>
                    </a:prstGeom>
                  </pic:spPr>
                </pic:pic>
              </a:graphicData>
            </a:graphic>
          </wp:anchor>
        </w:drawing>
      </w:r>
      <w:r>
        <w:drawing>
          <wp:anchor distT="0" distB="0" distL="0" distR="0" simplePos="0" relativeHeight="252034048" behindDoc="0" locked="0" layoutInCell="0" allowOverlap="1">
            <wp:simplePos x="0" y="0"/>
            <wp:positionH relativeFrom="page">
              <wp:posOffset>3394075</wp:posOffset>
            </wp:positionH>
            <wp:positionV relativeFrom="page">
              <wp:posOffset>4763770</wp:posOffset>
            </wp:positionV>
            <wp:extent cx="241300" cy="19050"/>
            <wp:effectExtent l="0" t="0" r="0" b="0"/>
            <wp:wrapNone/>
            <wp:docPr id="190" name="IM 190"/>
            <wp:cNvGraphicFramePr/>
            <a:graphic xmlns:a="http://schemas.openxmlformats.org/drawingml/2006/main">
              <a:graphicData uri="http://schemas.openxmlformats.org/drawingml/2006/picture">
                <pic:pic xmlns:pic="http://schemas.openxmlformats.org/drawingml/2006/picture">
                  <pic:nvPicPr>
                    <pic:cNvPr id="190" name="IM 190"/>
                    <pic:cNvPicPr/>
                  </pic:nvPicPr>
                  <pic:blipFill>
                    <a:blip r:embed="rId565"/>
                    <a:stretch>
                      <a:fillRect/>
                    </a:stretch>
                  </pic:blipFill>
                  <pic:spPr>
                    <a:xfrm>
                      <a:off x="0" y="0"/>
                      <a:ext cx="241300" cy="19050"/>
                    </a:xfrm>
                    <a:prstGeom prst="rect">
                      <a:avLst/>
                    </a:prstGeom>
                  </pic:spPr>
                </pic:pic>
              </a:graphicData>
            </a:graphic>
          </wp:anchor>
        </w:drawing>
      </w:r>
      <w:r>
        <w:drawing>
          <wp:anchor distT="0" distB="0" distL="0" distR="0" simplePos="0" relativeHeight="252022784" behindDoc="0" locked="0" layoutInCell="0" allowOverlap="1">
            <wp:simplePos x="0" y="0"/>
            <wp:positionH relativeFrom="page">
              <wp:posOffset>3660775</wp:posOffset>
            </wp:positionH>
            <wp:positionV relativeFrom="page">
              <wp:posOffset>4763770</wp:posOffset>
            </wp:positionV>
            <wp:extent cx="241300" cy="19050"/>
            <wp:effectExtent l="0" t="0" r="0" b="0"/>
            <wp:wrapNone/>
            <wp:docPr id="191" name="IM 191"/>
            <wp:cNvGraphicFramePr/>
            <a:graphic xmlns:a="http://schemas.openxmlformats.org/drawingml/2006/main">
              <a:graphicData uri="http://schemas.openxmlformats.org/drawingml/2006/picture">
                <pic:pic xmlns:pic="http://schemas.openxmlformats.org/drawingml/2006/picture">
                  <pic:nvPicPr>
                    <pic:cNvPr id="191" name="IM 191"/>
                    <pic:cNvPicPr/>
                  </pic:nvPicPr>
                  <pic:blipFill>
                    <a:blip r:embed="rId565"/>
                    <a:stretch>
                      <a:fillRect/>
                    </a:stretch>
                  </pic:blipFill>
                  <pic:spPr>
                    <a:xfrm>
                      <a:off x="0" y="0"/>
                      <a:ext cx="241300" cy="19050"/>
                    </a:xfrm>
                    <a:prstGeom prst="rect">
                      <a:avLst/>
                    </a:prstGeom>
                  </pic:spPr>
                </pic:pic>
              </a:graphicData>
            </a:graphic>
          </wp:anchor>
        </w:drawing>
      </w:r>
      <w:r>
        <w:drawing>
          <wp:anchor distT="0" distB="0" distL="0" distR="0" simplePos="0" relativeHeight="252023808" behindDoc="0" locked="0" layoutInCell="0" allowOverlap="1">
            <wp:simplePos x="0" y="0"/>
            <wp:positionH relativeFrom="page">
              <wp:posOffset>4733925</wp:posOffset>
            </wp:positionH>
            <wp:positionV relativeFrom="page">
              <wp:posOffset>3797300</wp:posOffset>
            </wp:positionV>
            <wp:extent cx="241300" cy="19050"/>
            <wp:effectExtent l="0" t="0" r="0" b="0"/>
            <wp:wrapNone/>
            <wp:docPr id="192" name="IM 192"/>
            <wp:cNvGraphicFramePr/>
            <a:graphic xmlns:a="http://schemas.openxmlformats.org/drawingml/2006/main">
              <a:graphicData uri="http://schemas.openxmlformats.org/drawingml/2006/picture">
                <pic:pic xmlns:pic="http://schemas.openxmlformats.org/drawingml/2006/picture">
                  <pic:nvPicPr>
                    <pic:cNvPr id="192" name="IM 192"/>
                    <pic:cNvPicPr/>
                  </pic:nvPicPr>
                  <pic:blipFill>
                    <a:blip r:embed="rId563"/>
                    <a:stretch>
                      <a:fillRect/>
                    </a:stretch>
                  </pic:blipFill>
                  <pic:spPr>
                    <a:xfrm>
                      <a:off x="0" y="0"/>
                      <a:ext cx="241300" cy="19050"/>
                    </a:xfrm>
                    <a:prstGeom prst="rect">
                      <a:avLst/>
                    </a:prstGeom>
                  </pic:spPr>
                </pic:pic>
              </a:graphicData>
            </a:graphic>
          </wp:anchor>
        </w:drawing>
      </w:r>
      <w:r>
        <w:drawing>
          <wp:anchor distT="0" distB="0" distL="0" distR="0" simplePos="0" relativeHeight="252026880" behindDoc="0" locked="0" layoutInCell="0" allowOverlap="1">
            <wp:simplePos x="0" y="0"/>
            <wp:positionH relativeFrom="page">
              <wp:posOffset>4200525</wp:posOffset>
            </wp:positionH>
            <wp:positionV relativeFrom="page">
              <wp:posOffset>3797300</wp:posOffset>
            </wp:positionV>
            <wp:extent cx="241300" cy="19050"/>
            <wp:effectExtent l="0" t="0" r="0" b="0"/>
            <wp:wrapNone/>
            <wp:docPr id="193" name="IM 193"/>
            <wp:cNvGraphicFramePr/>
            <a:graphic xmlns:a="http://schemas.openxmlformats.org/drawingml/2006/main">
              <a:graphicData uri="http://schemas.openxmlformats.org/drawingml/2006/picture">
                <pic:pic xmlns:pic="http://schemas.openxmlformats.org/drawingml/2006/picture">
                  <pic:nvPicPr>
                    <pic:cNvPr id="193" name="IM 193"/>
                    <pic:cNvPicPr/>
                  </pic:nvPicPr>
                  <pic:blipFill>
                    <a:blip r:embed="rId563"/>
                    <a:stretch>
                      <a:fillRect/>
                    </a:stretch>
                  </pic:blipFill>
                  <pic:spPr>
                    <a:xfrm>
                      <a:off x="0" y="0"/>
                      <a:ext cx="241300" cy="19050"/>
                    </a:xfrm>
                    <a:prstGeom prst="rect">
                      <a:avLst/>
                    </a:prstGeom>
                  </pic:spPr>
                </pic:pic>
              </a:graphicData>
            </a:graphic>
          </wp:anchor>
        </w:drawing>
      </w:r>
      <w:r>
        <w:drawing>
          <wp:anchor distT="0" distB="0" distL="0" distR="0" simplePos="0" relativeHeight="252025856" behindDoc="0" locked="0" layoutInCell="0" allowOverlap="1">
            <wp:simplePos x="0" y="0"/>
            <wp:positionH relativeFrom="page">
              <wp:posOffset>5845175</wp:posOffset>
            </wp:positionH>
            <wp:positionV relativeFrom="page">
              <wp:posOffset>4419600</wp:posOffset>
            </wp:positionV>
            <wp:extent cx="19050" cy="241300"/>
            <wp:effectExtent l="0" t="0" r="0" b="0"/>
            <wp:wrapNone/>
            <wp:docPr id="194" name="IM 194"/>
            <wp:cNvGraphicFramePr/>
            <a:graphic xmlns:a="http://schemas.openxmlformats.org/drawingml/2006/main">
              <a:graphicData uri="http://schemas.openxmlformats.org/drawingml/2006/picture">
                <pic:pic xmlns:pic="http://schemas.openxmlformats.org/drawingml/2006/picture">
                  <pic:nvPicPr>
                    <pic:cNvPr id="194" name="IM 194"/>
                    <pic:cNvPicPr/>
                  </pic:nvPicPr>
                  <pic:blipFill>
                    <a:blip r:embed="rId564"/>
                    <a:stretch>
                      <a:fillRect/>
                    </a:stretch>
                  </pic:blipFill>
                  <pic:spPr>
                    <a:xfrm>
                      <a:off x="0" y="0"/>
                      <a:ext cx="19050" cy="241300"/>
                    </a:xfrm>
                    <a:prstGeom prst="rect">
                      <a:avLst/>
                    </a:prstGeom>
                  </pic:spPr>
                </pic:pic>
              </a:graphicData>
            </a:graphic>
          </wp:anchor>
        </w:drawing>
      </w:r>
      <w:r>
        <w:drawing>
          <wp:anchor distT="0" distB="0" distL="0" distR="0" simplePos="0" relativeHeight="252030976" behindDoc="0" locked="0" layoutInCell="0" allowOverlap="1">
            <wp:simplePos x="0" y="0"/>
            <wp:positionH relativeFrom="page">
              <wp:posOffset>3933825</wp:posOffset>
            </wp:positionH>
            <wp:positionV relativeFrom="page">
              <wp:posOffset>3797300</wp:posOffset>
            </wp:positionV>
            <wp:extent cx="241300" cy="19050"/>
            <wp:effectExtent l="0" t="0" r="0" b="0"/>
            <wp:wrapNone/>
            <wp:docPr id="195" name="IM 195"/>
            <wp:cNvGraphicFramePr/>
            <a:graphic xmlns:a="http://schemas.openxmlformats.org/drawingml/2006/main">
              <a:graphicData uri="http://schemas.openxmlformats.org/drawingml/2006/picture">
                <pic:pic xmlns:pic="http://schemas.openxmlformats.org/drawingml/2006/picture">
                  <pic:nvPicPr>
                    <pic:cNvPr id="195" name="IM 195"/>
                    <pic:cNvPicPr/>
                  </pic:nvPicPr>
                  <pic:blipFill>
                    <a:blip r:embed="rId563"/>
                    <a:stretch>
                      <a:fillRect/>
                    </a:stretch>
                  </pic:blipFill>
                  <pic:spPr>
                    <a:xfrm>
                      <a:off x="0" y="0"/>
                      <a:ext cx="241300" cy="19050"/>
                    </a:xfrm>
                    <a:prstGeom prst="rect">
                      <a:avLst/>
                    </a:prstGeom>
                  </pic:spPr>
                </pic:pic>
              </a:graphicData>
            </a:graphic>
          </wp:anchor>
        </w:drawing>
      </w:r>
      <w:r>
        <w:drawing>
          <wp:anchor distT="0" distB="0" distL="0" distR="0" simplePos="0" relativeHeight="252033024" behindDoc="0" locked="0" layoutInCell="0" allowOverlap="1">
            <wp:simplePos x="0" y="0"/>
            <wp:positionH relativeFrom="page">
              <wp:posOffset>3667125</wp:posOffset>
            </wp:positionH>
            <wp:positionV relativeFrom="page">
              <wp:posOffset>3797300</wp:posOffset>
            </wp:positionV>
            <wp:extent cx="241300" cy="19050"/>
            <wp:effectExtent l="0" t="0" r="0" b="0"/>
            <wp:wrapNone/>
            <wp:docPr id="196" name="IM 196"/>
            <wp:cNvGraphicFramePr/>
            <a:graphic xmlns:a="http://schemas.openxmlformats.org/drawingml/2006/main">
              <a:graphicData uri="http://schemas.openxmlformats.org/drawingml/2006/picture">
                <pic:pic xmlns:pic="http://schemas.openxmlformats.org/drawingml/2006/picture">
                  <pic:nvPicPr>
                    <pic:cNvPr id="196" name="IM 196"/>
                    <pic:cNvPicPr/>
                  </pic:nvPicPr>
                  <pic:blipFill>
                    <a:blip r:embed="rId563"/>
                    <a:stretch>
                      <a:fillRect/>
                    </a:stretch>
                  </pic:blipFill>
                  <pic:spPr>
                    <a:xfrm>
                      <a:off x="0" y="0"/>
                      <a:ext cx="241300" cy="19050"/>
                    </a:xfrm>
                    <a:prstGeom prst="rect">
                      <a:avLst/>
                    </a:prstGeom>
                  </pic:spPr>
                </pic:pic>
              </a:graphicData>
            </a:graphic>
          </wp:anchor>
        </w:drawing>
      </w:r>
      <w:r>
        <w:drawing>
          <wp:anchor distT="0" distB="0" distL="0" distR="0" simplePos="0" relativeHeight="252024832" behindDoc="0" locked="0" layoutInCell="0" allowOverlap="1">
            <wp:simplePos x="0" y="0"/>
            <wp:positionH relativeFrom="page">
              <wp:posOffset>5527675</wp:posOffset>
            </wp:positionH>
            <wp:positionV relativeFrom="page">
              <wp:posOffset>4763770</wp:posOffset>
            </wp:positionV>
            <wp:extent cx="241300" cy="19050"/>
            <wp:effectExtent l="0" t="0" r="0" b="0"/>
            <wp:wrapNone/>
            <wp:docPr id="197" name="IM 197"/>
            <wp:cNvGraphicFramePr/>
            <a:graphic xmlns:a="http://schemas.openxmlformats.org/drawingml/2006/main">
              <a:graphicData uri="http://schemas.openxmlformats.org/drawingml/2006/picture">
                <pic:pic xmlns:pic="http://schemas.openxmlformats.org/drawingml/2006/picture">
                  <pic:nvPicPr>
                    <pic:cNvPr id="197" name="IM 197"/>
                    <pic:cNvPicPr/>
                  </pic:nvPicPr>
                  <pic:blipFill>
                    <a:blip r:embed="rId565"/>
                    <a:stretch>
                      <a:fillRect/>
                    </a:stretch>
                  </pic:blipFill>
                  <pic:spPr>
                    <a:xfrm>
                      <a:off x="0" y="0"/>
                      <a:ext cx="241300" cy="19050"/>
                    </a:xfrm>
                    <a:prstGeom prst="rect">
                      <a:avLst/>
                    </a:prstGeom>
                  </pic:spPr>
                </pic:pic>
              </a:graphicData>
            </a:graphic>
          </wp:anchor>
        </w:drawing>
      </w:r>
      <w:r>
        <w:drawing>
          <wp:anchor distT="0" distB="0" distL="0" distR="0" simplePos="0" relativeHeight="252035072" behindDoc="0" locked="0" layoutInCell="0" allowOverlap="1">
            <wp:simplePos x="0" y="0"/>
            <wp:positionH relativeFrom="page">
              <wp:posOffset>5794375</wp:posOffset>
            </wp:positionH>
            <wp:positionV relativeFrom="page">
              <wp:posOffset>4686300</wp:posOffset>
            </wp:positionV>
            <wp:extent cx="69215" cy="95885"/>
            <wp:effectExtent l="0" t="0" r="0" b="0"/>
            <wp:wrapNone/>
            <wp:docPr id="198" name="IM 198"/>
            <wp:cNvGraphicFramePr/>
            <a:graphic xmlns:a="http://schemas.openxmlformats.org/drawingml/2006/main">
              <a:graphicData uri="http://schemas.openxmlformats.org/drawingml/2006/picture">
                <pic:pic xmlns:pic="http://schemas.openxmlformats.org/drawingml/2006/picture">
                  <pic:nvPicPr>
                    <pic:cNvPr id="198" name="IM 198"/>
                    <pic:cNvPicPr/>
                  </pic:nvPicPr>
                  <pic:blipFill>
                    <a:blip r:embed="rId566"/>
                    <a:stretch>
                      <a:fillRect/>
                    </a:stretch>
                  </pic:blipFill>
                  <pic:spPr>
                    <a:xfrm>
                      <a:off x="0" y="0"/>
                      <a:ext cx="69215" cy="95885"/>
                    </a:xfrm>
                    <a:prstGeom prst="rect">
                      <a:avLst/>
                    </a:prstGeom>
                  </pic:spPr>
                </pic:pic>
              </a:graphicData>
            </a:graphic>
          </wp:anchor>
        </w:drawing>
      </w:r>
      <w:r>
        <w:drawing>
          <wp:anchor distT="0" distB="0" distL="0" distR="0" simplePos="0" relativeHeight="252032000" behindDoc="0" locked="0" layoutInCell="0" allowOverlap="1">
            <wp:simplePos x="0" y="0"/>
            <wp:positionH relativeFrom="page">
              <wp:posOffset>3927475</wp:posOffset>
            </wp:positionH>
            <wp:positionV relativeFrom="page">
              <wp:posOffset>4763770</wp:posOffset>
            </wp:positionV>
            <wp:extent cx="241300" cy="19050"/>
            <wp:effectExtent l="0" t="0" r="0" b="0"/>
            <wp:wrapNone/>
            <wp:docPr id="199" name="IM 199"/>
            <wp:cNvGraphicFramePr/>
            <a:graphic xmlns:a="http://schemas.openxmlformats.org/drawingml/2006/main">
              <a:graphicData uri="http://schemas.openxmlformats.org/drawingml/2006/picture">
                <pic:pic xmlns:pic="http://schemas.openxmlformats.org/drawingml/2006/picture">
                  <pic:nvPicPr>
                    <pic:cNvPr id="199" name="IM 199"/>
                    <pic:cNvPicPr/>
                  </pic:nvPicPr>
                  <pic:blipFill>
                    <a:blip r:embed="rId565"/>
                    <a:stretch>
                      <a:fillRect/>
                    </a:stretch>
                  </pic:blipFill>
                  <pic:spPr>
                    <a:xfrm>
                      <a:off x="0" y="0"/>
                      <a:ext cx="241300" cy="19050"/>
                    </a:xfrm>
                    <a:prstGeom prst="rect">
                      <a:avLst/>
                    </a:prstGeom>
                  </pic:spPr>
                </pic:pic>
              </a:graphicData>
            </a:graphic>
          </wp:anchor>
        </w:drawing>
      </w:r>
      <w:r>
        <w:drawing>
          <wp:anchor distT="0" distB="0" distL="0" distR="0" simplePos="0" relativeHeight="252029952" behindDoc="0" locked="0" layoutInCell="0" allowOverlap="1">
            <wp:simplePos x="0" y="0"/>
            <wp:positionH relativeFrom="page">
              <wp:posOffset>5260975</wp:posOffset>
            </wp:positionH>
            <wp:positionV relativeFrom="page">
              <wp:posOffset>4763770</wp:posOffset>
            </wp:positionV>
            <wp:extent cx="241300" cy="19050"/>
            <wp:effectExtent l="0" t="0" r="0" b="0"/>
            <wp:wrapNone/>
            <wp:docPr id="200" name="IM 200"/>
            <wp:cNvGraphicFramePr/>
            <a:graphic xmlns:a="http://schemas.openxmlformats.org/drawingml/2006/main">
              <a:graphicData uri="http://schemas.openxmlformats.org/drawingml/2006/picture">
                <pic:pic xmlns:pic="http://schemas.openxmlformats.org/drawingml/2006/picture">
                  <pic:nvPicPr>
                    <pic:cNvPr id="200" name="IM 200"/>
                    <pic:cNvPicPr/>
                  </pic:nvPicPr>
                  <pic:blipFill>
                    <a:blip r:embed="rId565"/>
                    <a:stretch>
                      <a:fillRect/>
                    </a:stretch>
                  </pic:blipFill>
                  <pic:spPr>
                    <a:xfrm>
                      <a:off x="0" y="0"/>
                      <a:ext cx="241300" cy="19050"/>
                    </a:xfrm>
                    <a:prstGeom prst="rect">
                      <a:avLst/>
                    </a:prstGeom>
                  </pic:spPr>
                </pic:pic>
              </a:graphicData>
            </a:graphic>
          </wp:anchor>
        </w:drawing>
      </w:r>
      <w:r>
        <w:drawing>
          <wp:anchor distT="0" distB="0" distL="0" distR="0" simplePos="0" relativeHeight="252017664" behindDoc="0" locked="0" layoutInCell="0" allowOverlap="1">
            <wp:simplePos x="0" y="0"/>
            <wp:positionH relativeFrom="page">
              <wp:posOffset>4194175</wp:posOffset>
            </wp:positionH>
            <wp:positionV relativeFrom="page">
              <wp:posOffset>4763770</wp:posOffset>
            </wp:positionV>
            <wp:extent cx="241300" cy="19050"/>
            <wp:effectExtent l="0" t="0" r="0" b="0"/>
            <wp:wrapNone/>
            <wp:docPr id="201" name="IM 201"/>
            <wp:cNvGraphicFramePr/>
            <a:graphic xmlns:a="http://schemas.openxmlformats.org/drawingml/2006/main">
              <a:graphicData uri="http://schemas.openxmlformats.org/drawingml/2006/picture">
                <pic:pic xmlns:pic="http://schemas.openxmlformats.org/drawingml/2006/picture">
                  <pic:nvPicPr>
                    <pic:cNvPr id="201" name="IM 201"/>
                    <pic:cNvPicPr/>
                  </pic:nvPicPr>
                  <pic:blipFill>
                    <a:blip r:embed="rId565"/>
                    <a:stretch>
                      <a:fillRect/>
                    </a:stretch>
                  </pic:blipFill>
                  <pic:spPr>
                    <a:xfrm>
                      <a:off x="0" y="0"/>
                      <a:ext cx="241300" cy="19050"/>
                    </a:xfrm>
                    <a:prstGeom prst="rect">
                      <a:avLst/>
                    </a:prstGeom>
                  </pic:spPr>
                </pic:pic>
              </a:graphicData>
            </a:graphic>
          </wp:anchor>
        </w:drawing>
      </w:r>
      <w:r>
        <w:drawing>
          <wp:anchor distT="0" distB="0" distL="0" distR="0" simplePos="0" relativeHeight="252021760" behindDoc="0" locked="0" layoutInCell="0" allowOverlap="1">
            <wp:simplePos x="0" y="0"/>
            <wp:positionH relativeFrom="page">
              <wp:posOffset>4994275</wp:posOffset>
            </wp:positionH>
            <wp:positionV relativeFrom="page">
              <wp:posOffset>4763770</wp:posOffset>
            </wp:positionV>
            <wp:extent cx="241300" cy="19050"/>
            <wp:effectExtent l="0" t="0" r="0" b="0"/>
            <wp:wrapNone/>
            <wp:docPr id="202" name="IM 202"/>
            <wp:cNvGraphicFramePr/>
            <a:graphic xmlns:a="http://schemas.openxmlformats.org/drawingml/2006/main">
              <a:graphicData uri="http://schemas.openxmlformats.org/drawingml/2006/picture">
                <pic:pic xmlns:pic="http://schemas.openxmlformats.org/drawingml/2006/picture">
                  <pic:nvPicPr>
                    <pic:cNvPr id="202" name="IM 202"/>
                    <pic:cNvPicPr/>
                  </pic:nvPicPr>
                  <pic:blipFill>
                    <a:blip r:embed="rId565"/>
                    <a:stretch>
                      <a:fillRect/>
                    </a:stretch>
                  </pic:blipFill>
                  <pic:spPr>
                    <a:xfrm>
                      <a:off x="0" y="0"/>
                      <a:ext cx="241300" cy="19050"/>
                    </a:xfrm>
                    <a:prstGeom prst="rect">
                      <a:avLst/>
                    </a:prstGeom>
                  </pic:spPr>
                </pic:pic>
              </a:graphicData>
            </a:graphic>
          </wp:anchor>
        </w:drawing>
      </w:r>
      <w:r>
        <w:drawing>
          <wp:anchor distT="0" distB="0" distL="0" distR="0" simplePos="0" relativeHeight="252018688" behindDoc="0" locked="0" layoutInCell="0" allowOverlap="1">
            <wp:simplePos x="0" y="0"/>
            <wp:positionH relativeFrom="page">
              <wp:posOffset>4727575</wp:posOffset>
            </wp:positionH>
            <wp:positionV relativeFrom="page">
              <wp:posOffset>4763770</wp:posOffset>
            </wp:positionV>
            <wp:extent cx="241300" cy="19050"/>
            <wp:effectExtent l="0" t="0" r="0" b="0"/>
            <wp:wrapNone/>
            <wp:docPr id="203" name="IM 203"/>
            <wp:cNvGraphicFramePr/>
            <a:graphic xmlns:a="http://schemas.openxmlformats.org/drawingml/2006/main">
              <a:graphicData uri="http://schemas.openxmlformats.org/drawingml/2006/picture">
                <pic:pic xmlns:pic="http://schemas.openxmlformats.org/drawingml/2006/picture">
                  <pic:nvPicPr>
                    <pic:cNvPr id="203" name="IM 203"/>
                    <pic:cNvPicPr/>
                  </pic:nvPicPr>
                  <pic:blipFill>
                    <a:blip r:embed="rId565"/>
                    <a:stretch>
                      <a:fillRect/>
                    </a:stretch>
                  </pic:blipFill>
                  <pic:spPr>
                    <a:xfrm>
                      <a:off x="0" y="0"/>
                      <a:ext cx="241300" cy="19050"/>
                    </a:xfrm>
                    <a:prstGeom prst="rect">
                      <a:avLst/>
                    </a:prstGeom>
                  </pic:spPr>
                </pic:pic>
              </a:graphicData>
            </a:graphic>
          </wp:anchor>
        </w:drawing>
      </w:r>
      <w:r>
        <w:drawing>
          <wp:anchor distT="0" distB="0" distL="0" distR="0" simplePos="0" relativeHeight="252019712" behindDoc="0" locked="0" layoutInCell="0" allowOverlap="1">
            <wp:simplePos x="0" y="0"/>
            <wp:positionH relativeFrom="page">
              <wp:posOffset>4460875</wp:posOffset>
            </wp:positionH>
            <wp:positionV relativeFrom="page">
              <wp:posOffset>4763770</wp:posOffset>
            </wp:positionV>
            <wp:extent cx="241300" cy="19050"/>
            <wp:effectExtent l="0" t="0" r="0" b="0"/>
            <wp:wrapNone/>
            <wp:docPr id="204" name="IM 204"/>
            <wp:cNvGraphicFramePr/>
            <a:graphic xmlns:a="http://schemas.openxmlformats.org/drawingml/2006/main">
              <a:graphicData uri="http://schemas.openxmlformats.org/drawingml/2006/picture">
                <pic:pic xmlns:pic="http://schemas.openxmlformats.org/drawingml/2006/picture">
                  <pic:nvPicPr>
                    <pic:cNvPr id="204" name="IM 204"/>
                    <pic:cNvPicPr/>
                  </pic:nvPicPr>
                  <pic:blipFill>
                    <a:blip r:embed="rId565"/>
                    <a:stretch>
                      <a:fillRect/>
                    </a:stretch>
                  </pic:blipFill>
                  <pic:spPr>
                    <a:xfrm>
                      <a:off x="0" y="0"/>
                      <a:ext cx="241300" cy="19050"/>
                    </a:xfrm>
                    <a:prstGeom prst="rect">
                      <a:avLst/>
                    </a:prstGeom>
                  </pic:spPr>
                </pic:pic>
              </a:graphicData>
            </a:graphic>
          </wp:anchor>
        </w:drawing>
      </w:r>
      <w:r>
        <w:drawing>
          <wp:anchor distT="0" distB="0" distL="0" distR="0" simplePos="0" relativeHeight="252020736" behindDoc="0" locked="0" layoutInCell="0" allowOverlap="1">
            <wp:simplePos x="0" y="0"/>
            <wp:positionH relativeFrom="page">
              <wp:posOffset>3257550</wp:posOffset>
            </wp:positionH>
            <wp:positionV relativeFrom="page">
              <wp:posOffset>3797300</wp:posOffset>
            </wp:positionV>
            <wp:extent cx="117475" cy="1024255"/>
            <wp:effectExtent l="0" t="0" r="0" b="0"/>
            <wp:wrapNone/>
            <wp:docPr id="205" name="IM 205"/>
            <wp:cNvGraphicFramePr/>
            <a:graphic xmlns:a="http://schemas.openxmlformats.org/drawingml/2006/main">
              <a:graphicData uri="http://schemas.openxmlformats.org/drawingml/2006/picture">
                <pic:pic xmlns:pic="http://schemas.openxmlformats.org/drawingml/2006/picture">
                  <pic:nvPicPr>
                    <pic:cNvPr id="205" name="IM 205"/>
                    <pic:cNvPicPr/>
                  </pic:nvPicPr>
                  <pic:blipFill>
                    <a:blip r:embed="rId567"/>
                    <a:stretch>
                      <a:fillRect/>
                    </a:stretch>
                  </pic:blipFill>
                  <pic:spPr>
                    <a:xfrm>
                      <a:off x="0" y="0"/>
                      <a:ext cx="117475" cy="1024255"/>
                    </a:xfrm>
                    <a:prstGeom prst="rect">
                      <a:avLst/>
                    </a:prstGeom>
                  </pic:spPr>
                </pic:pic>
              </a:graphicData>
            </a:graphic>
          </wp:anchor>
        </w:drawing>
      </w:r>
      <w:r>
        <w:drawing>
          <wp:anchor distT="0" distB="0" distL="0" distR="0" simplePos="0" relativeHeight="252002304" behindDoc="0" locked="0" layoutInCell="0" allowOverlap="1">
            <wp:simplePos x="0" y="0"/>
            <wp:positionH relativeFrom="page">
              <wp:posOffset>2912110</wp:posOffset>
            </wp:positionH>
            <wp:positionV relativeFrom="page">
              <wp:posOffset>4543425</wp:posOffset>
            </wp:positionV>
            <wp:extent cx="64770" cy="278130"/>
            <wp:effectExtent l="0" t="0" r="0" b="0"/>
            <wp:wrapNone/>
            <wp:docPr id="206" name="IM 206"/>
            <wp:cNvGraphicFramePr/>
            <a:graphic xmlns:a="http://schemas.openxmlformats.org/drawingml/2006/main">
              <a:graphicData uri="http://schemas.openxmlformats.org/drawingml/2006/picture">
                <pic:pic xmlns:pic="http://schemas.openxmlformats.org/drawingml/2006/picture">
                  <pic:nvPicPr>
                    <pic:cNvPr id="206" name="IM 206"/>
                    <pic:cNvPicPr/>
                  </pic:nvPicPr>
                  <pic:blipFill>
                    <a:blip r:embed="rId568"/>
                    <a:stretch>
                      <a:fillRect/>
                    </a:stretch>
                  </pic:blipFill>
                  <pic:spPr>
                    <a:xfrm>
                      <a:off x="0" y="0"/>
                      <a:ext cx="64769" cy="278130"/>
                    </a:xfrm>
                    <a:prstGeom prst="rect">
                      <a:avLst/>
                    </a:prstGeom>
                  </pic:spPr>
                </pic:pic>
              </a:graphicData>
            </a:graphic>
          </wp:anchor>
        </w:drawing>
      </w:r>
      <w:r>
        <w:drawing>
          <wp:anchor distT="0" distB="0" distL="0" distR="0" simplePos="0" relativeHeight="252001280" behindDoc="0" locked="0" layoutInCell="0" allowOverlap="1">
            <wp:simplePos x="0" y="0"/>
            <wp:positionH relativeFrom="page">
              <wp:posOffset>2990850</wp:posOffset>
            </wp:positionH>
            <wp:positionV relativeFrom="page">
              <wp:posOffset>3873500</wp:posOffset>
            </wp:positionV>
            <wp:extent cx="241300" cy="19050"/>
            <wp:effectExtent l="0" t="0" r="0" b="0"/>
            <wp:wrapNone/>
            <wp:docPr id="207" name="IM 207"/>
            <wp:cNvGraphicFramePr/>
            <a:graphic xmlns:a="http://schemas.openxmlformats.org/drawingml/2006/main">
              <a:graphicData uri="http://schemas.openxmlformats.org/drawingml/2006/picture">
                <pic:pic xmlns:pic="http://schemas.openxmlformats.org/drawingml/2006/picture">
                  <pic:nvPicPr>
                    <pic:cNvPr id="207" name="IM 207"/>
                    <pic:cNvPicPr/>
                  </pic:nvPicPr>
                  <pic:blipFill>
                    <a:blip r:embed="rId569"/>
                    <a:stretch>
                      <a:fillRect/>
                    </a:stretch>
                  </pic:blipFill>
                  <pic:spPr>
                    <a:xfrm>
                      <a:off x="0" y="0"/>
                      <a:ext cx="241300" cy="19050"/>
                    </a:xfrm>
                    <a:prstGeom prst="rect">
                      <a:avLst/>
                    </a:prstGeom>
                  </pic:spPr>
                </pic:pic>
              </a:graphicData>
            </a:graphic>
          </wp:anchor>
        </w:drawing>
      </w:r>
      <w:r>
        <w:drawing>
          <wp:anchor distT="0" distB="0" distL="0" distR="0" simplePos="0" relativeHeight="252005376" behindDoc="0" locked="0" layoutInCell="0" allowOverlap="1">
            <wp:simplePos x="0" y="0"/>
            <wp:positionH relativeFrom="page">
              <wp:posOffset>2912110</wp:posOffset>
            </wp:positionH>
            <wp:positionV relativeFrom="page">
              <wp:posOffset>4276725</wp:posOffset>
            </wp:positionV>
            <wp:extent cx="19050" cy="241300"/>
            <wp:effectExtent l="0" t="0" r="0" b="0"/>
            <wp:wrapNone/>
            <wp:docPr id="208" name="IM 208"/>
            <wp:cNvGraphicFramePr/>
            <a:graphic xmlns:a="http://schemas.openxmlformats.org/drawingml/2006/main">
              <a:graphicData uri="http://schemas.openxmlformats.org/drawingml/2006/picture">
                <pic:pic xmlns:pic="http://schemas.openxmlformats.org/drawingml/2006/picture">
                  <pic:nvPicPr>
                    <pic:cNvPr id="208" name="IM 208"/>
                    <pic:cNvPicPr/>
                  </pic:nvPicPr>
                  <pic:blipFill>
                    <a:blip r:embed="rId570"/>
                    <a:stretch>
                      <a:fillRect/>
                    </a:stretch>
                  </pic:blipFill>
                  <pic:spPr>
                    <a:xfrm>
                      <a:off x="0" y="0"/>
                      <a:ext cx="19050" cy="241300"/>
                    </a:xfrm>
                    <a:prstGeom prst="rect">
                      <a:avLst/>
                    </a:prstGeom>
                  </pic:spPr>
                </pic:pic>
              </a:graphicData>
            </a:graphic>
          </wp:anchor>
        </w:drawing>
      </w:r>
      <w:r>
        <w:drawing>
          <wp:anchor distT="0" distB="0" distL="0" distR="0" simplePos="0" relativeHeight="252003328" behindDoc="0" locked="0" layoutInCell="0" allowOverlap="1">
            <wp:simplePos x="0" y="0"/>
            <wp:positionH relativeFrom="page">
              <wp:posOffset>3001645</wp:posOffset>
            </wp:positionH>
            <wp:positionV relativeFrom="page">
              <wp:posOffset>4803140</wp:posOffset>
            </wp:positionV>
            <wp:extent cx="241300" cy="19050"/>
            <wp:effectExtent l="0" t="0" r="0" b="0"/>
            <wp:wrapNone/>
            <wp:docPr id="209" name="IM 209"/>
            <wp:cNvGraphicFramePr/>
            <a:graphic xmlns:a="http://schemas.openxmlformats.org/drawingml/2006/main">
              <a:graphicData uri="http://schemas.openxmlformats.org/drawingml/2006/picture">
                <pic:pic xmlns:pic="http://schemas.openxmlformats.org/drawingml/2006/picture">
                  <pic:nvPicPr>
                    <pic:cNvPr id="209" name="IM 209"/>
                    <pic:cNvPicPr/>
                  </pic:nvPicPr>
                  <pic:blipFill>
                    <a:blip r:embed="rId571"/>
                    <a:stretch>
                      <a:fillRect/>
                    </a:stretch>
                  </pic:blipFill>
                  <pic:spPr>
                    <a:xfrm>
                      <a:off x="0" y="0"/>
                      <a:ext cx="241300" cy="19050"/>
                    </a:xfrm>
                    <a:prstGeom prst="rect">
                      <a:avLst/>
                    </a:prstGeom>
                  </pic:spPr>
                </pic:pic>
              </a:graphicData>
            </a:graphic>
          </wp:anchor>
        </w:drawing>
      </w:r>
      <w:r>
        <w:drawing>
          <wp:anchor distT="0" distB="0" distL="0" distR="0" simplePos="0" relativeHeight="252000256" behindDoc="0" locked="0" layoutInCell="0" allowOverlap="1">
            <wp:simplePos x="0" y="0"/>
            <wp:positionH relativeFrom="page">
              <wp:posOffset>2783205</wp:posOffset>
            </wp:positionH>
            <wp:positionV relativeFrom="page">
              <wp:posOffset>3533140</wp:posOffset>
            </wp:positionV>
            <wp:extent cx="181610" cy="629920"/>
            <wp:effectExtent l="0" t="0" r="0" b="0"/>
            <wp:wrapNone/>
            <wp:docPr id="210" name="IM 210"/>
            <wp:cNvGraphicFramePr/>
            <a:graphic xmlns:a="http://schemas.openxmlformats.org/drawingml/2006/main">
              <a:graphicData uri="http://schemas.openxmlformats.org/drawingml/2006/picture">
                <pic:pic xmlns:pic="http://schemas.openxmlformats.org/drawingml/2006/picture">
                  <pic:nvPicPr>
                    <pic:cNvPr id="210" name="IM 210"/>
                    <pic:cNvPicPr/>
                  </pic:nvPicPr>
                  <pic:blipFill>
                    <a:blip r:embed="rId572"/>
                    <a:stretch>
                      <a:fillRect/>
                    </a:stretch>
                  </pic:blipFill>
                  <pic:spPr>
                    <a:xfrm>
                      <a:off x="0" y="0"/>
                      <a:ext cx="181610" cy="629919"/>
                    </a:xfrm>
                    <a:prstGeom prst="rect">
                      <a:avLst/>
                    </a:prstGeom>
                  </pic:spPr>
                </pic:pic>
              </a:graphicData>
            </a:graphic>
          </wp:anchor>
        </w:drawing>
      </w:r>
      <w:r>
        <w:drawing>
          <wp:anchor distT="0" distB="0" distL="0" distR="0" simplePos="0" relativeHeight="252008448" behindDoc="0" locked="0" layoutInCell="0" allowOverlap="1">
            <wp:simplePos x="0" y="0"/>
            <wp:positionH relativeFrom="page">
              <wp:posOffset>2892425</wp:posOffset>
            </wp:positionH>
            <wp:positionV relativeFrom="page">
              <wp:posOffset>3355340</wp:posOffset>
            </wp:positionV>
            <wp:extent cx="19050" cy="152400"/>
            <wp:effectExtent l="0" t="0" r="0" b="0"/>
            <wp:wrapNone/>
            <wp:docPr id="211" name="IM 211"/>
            <wp:cNvGraphicFramePr/>
            <a:graphic xmlns:a="http://schemas.openxmlformats.org/drawingml/2006/main">
              <a:graphicData uri="http://schemas.openxmlformats.org/drawingml/2006/picture">
                <pic:pic xmlns:pic="http://schemas.openxmlformats.org/drawingml/2006/picture">
                  <pic:nvPicPr>
                    <pic:cNvPr id="211" name="IM 211"/>
                    <pic:cNvPicPr/>
                  </pic:nvPicPr>
                  <pic:blipFill>
                    <a:blip r:embed="rId573"/>
                    <a:stretch>
                      <a:fillRect/>
                    </a:stretch>
                  </pic:blipFill>
                  <pic:spPr>
                    <a:xfrm>
                      <a:off x="0" y="0"/>
                      <a:ext cx="19050" cy="152400"/>
                    </a:xfrm>
                    <a:prstGeom prst="rect">
                      <a:avLst/>
                    </a:prstGeom>
                  </pic:spPr>
                </pic:pic>
              </a:graphicData>
            </a:graphic>
          </wp:anchor>
        </w:drawing>
      </w:r>
      <w:r>
        <w:drawing>
          <wp:anchor distT="0" distB="0" distL="0" distR="0" simplePos="0" relativeHeight="252004352" behindDoc="0" locked="0" layoutInCell="0" allowOverlap="1">
            <wp:simplePos x="0" y="0"/>
            <wp:positionH relativeFrom="page">
              <wp:posOffset>2605405</wp:posOffset>
            </wp:positionH>
            <wp:positionV relativeFrom="page">
              <wp:posOffset>3995420</wp:posOffset>
            </wp:positionV>
            <wp:extent cx="152400" cy="19050"/>
            <wp:effectExtent l="0" t="0" r="0" b="0"/>
            <wp:wrapNone/>
            <wp:docPr id="212" name="IM 212"/>
            <wp:cNvGraphicFramePr/>
            <a:graphic xmlns:a="http://schemas.openxmlformats.org/drawingml/2006/main">
              <a:graphicData uri="http://schemas.openxmlformats.org/drawingml/2006/picture">
                <pic:pic xmlns:pic="http://schemas.openxmlformats.org/drawingml/2006/picture">
                  <pic:nvPicPr>
                    <pic:cNvPr id="212" name="IM 212"/>
                    <pic:cNvPicPr/>
                  </pic:nvPicPr>
                  <pic:blipFill>
                    <a:blip r:embed="rId574"/>
                    <a:stretch>
                      <a:fillRect/>
                    </a:stretch>
                  </pic:blipFill>
                  <pic:spPr>
                    <a:xfrm>
                      <a:off x="0" y="0"/>
                      <a:ext cx="152400" cy="19050"/>
                    </a:xfrm>
                    <a:prstGeom prst="rect">
                      <a:avLst/>
                    </a:prstGeom>
                  </pic:spPr>
                </pic:pic>
              </a:graphicData>
            </a:graphic>
          </wp:anchor>
        </w:drawing>
      </w:r>
      <w:r>
        <w:drawing>
          <wp:anchor distT="0" distB="0" distL="0" distR="0" simplePos="0" relativeHeight="252007424" behindDoc="0" locked="0" layoutInCell="0" allowOverlap="1">
            <wp:simplePos x="0" y="0"/>
            <wp:positionH relativeFrom="page">
              <wp:posOffset>2502535</wp:posOffset>
            </wp:positionH>
            <wp:positionV relativeFrom="page">
              <wp:posOffset>2101850</wp:posOffset>
            </wp:positionV>
            <wp:extent cx="142240" cy="289560"/>
            <wp:effectExtent l="0" t="0" r="0" b="0"/>
            <wp:wrapNone/>
            <wp:docPr id="213" name="IM 213"/>
            <wp:cNvGraphicFramePr/>
            <a:graphic xmlns:a="http://schemas.openxmlformats.org/drawingml/2006/main">
              <a:graphicData uri="http://schemas.openxmlformats.org/drawingml/2006/picture">
                <pic:pic xmlns:pic="http://schemas.openxmlformats.org/drawingml/2006/picture">
                  <pic:nvPicPr>
                    <pic:cNvPr id="213" name="IM 213"/>
                    <pic:cNvPicPr/>
                  </pic:nvPicPr>
                  <pic:blipFill>
                    <a:blip r:embed="rId575"/>
                    <a:stretch>
                      <a:fillRect/>
                    </a:stretch>
                  </pic:blipFill>
                  <pic:spPr>
                    <a:xfrm>
                      <a:off x="0" y="0"/>
                      <a:ext cx="142239" cy="289559"/>
                    </a:xfrm>
                    <a:prstGeom prst="rect">
                      <a:avLst/>
                    </a:prstGeom>
                  </pic:spPr>
                </pic:pic>
              </a:graphicData>
            </a:graphic>
          </wp:anchor>
        </w:drawing>
      </w:r>
      <w:r>
        <w:drawing>
          <wp:anchor distT="0" distB="0" distL="0" distR="0" simplePos="0" relativeHeight="252006400" behindDoc="0" locked="0" layoutInCell="0" allowOverlap="1">
            <wp:simplePos x="0" y="0"/>
            <wp:positionH relativeFrom="page">
              <wp:posOffset>2502535</wp:posOffset>
            </wp:positionH>
            <wp:positionV relativeFrom="page">
              <wp:posOffset>2416175</wp:posOffset>
            </wp:positionV>
            <wp:extent cx="19050" cy="241300"/>
            <wp:effectExtent l="0" t="0" r="0" b="0"/>
            <wp:wrapNone/>
            <wp:docPr id="214" name="IM 214"/>
            <wp:cNvGraphicFramePr/>
            <a:graphic xmlns:a="http://schemas.openxmlformats.org/drawingml/2006/main">
              <a:graphicData uri="http://schemas.openxmlformats.org/drawingml/2006/picture">
                <pic:pic xmlns:pic="http://schemas.openxmlformats.org/drawingml/2006/picture">
                  <pic:nvPicPr>
                    <pic:cNvPr id="214" name="IM 214"/>
                    <pic:cNvPicPr/>
                  </pic:nvPicPr>
                  <pic:blipFill>
                    <a:blip r:embed="rId576"/>
                    <a:stretch>
                      <a:fillRect/>
                    </a:stretch>
                  </pic:blipFill>
                  <pic:spPr>
                    <a:xfrm>
                      <a:off x="0" y="0"/>
                      <a:ext cx="19050" cy="241300"/>
                    </a:xfrm>
                    <a:prstGeom prst="rect">
                      <a:avLst/>
                    </a:prstGeom>
                  </pic:spPr>
                </pic:pic>
              </a:graphicData>
            </a:graphic>
          </wp:anchor>
        </w:drawing>
      </w:r>
      <w:r>
        <w:drawing>
          <wp:anchor distT="0" distB="0" distL="0" distR="0" simplePos="0" relativeHeight="251988992" behindDoc="0" locked="0" layoutInCell="0" allowOverlap="1">
            <wp:simplePos x="0" y="0"/>
            <wp:positionH relativeFrom="page">
              <wp:posOffset>2892425</wp:posOffset>
            </wp:positionH>
            <wp:positionV relativeFrom="page">
              <wp:posOffset>2821940</wp:posOffset>
            </wp:positionV>
            <wp:extent cx="19050" cy="241300"/>
            <wp:effectExtent l="0" t="0" r="0" b="0"/>
            <wp:wrapNone/>
            <wp:docPr id="215" name="IM 215"/>
            <wp:cNvGraphicFramePr/>
            <a:graphic xmlns:a="http://schemas.openxmlformats.org/drawingml/2006/main">
              <a:graphicData uri="http://schemas.openxmlformats.org/drawingml/2006/picture">
                <pic:pic xmlns:pic="http://schemas.openxmlformats.org/drawingml/2006/picture">
                  <pic:nvPicPr>
                    <pic:cNvPr id="215" name="IM 215"/>
                    <pic:cNvPicPr/>
                  </pic:nvPicPr>
                  <pic:blipFill>
                    <a:blip r:embed="rId577"/>
                    <a:stretch>
                      <a:fillRect/>
                    </a:stretch>
                  </pic:blipFill>
                  <pic:spPr>
                    <a:xfrm>
                      <a:off x="0" y="0"/>
                      <a:ext cx="19050" cy="241300"/>
                    </a:xfrm>
                    <a:prstGeom prst="rect">
                      <a:avLst/>
                    </a:prstGeom>
                  </pic:spPr>
                </pic:pic>
              </a:graphicData>
            </a:graphic>
          </wp:anchor>
        </w:drawing>
      </w:r>
      <w:r>
        <w:drawing>
          <wp:anchor distT="0" distB="0" distL="0" distR="0" simplePos="0" relativeHeight="251998208" behindDoc="0" locked="0" layoutInCell="0" allowOverlap="1">
            <wp:simplePos x="0" y="0"/>
            <wp:positionH relativeFrom="page">
              <wp:posOffset>2892425</wp:posOffset>
            </wp:positionH>
            <wp:positionV relativeFrom="page">
              <wp:posOffset>2288540</wp:posOffset>
            </wp:positionV>
            <wp:extent cx="19050" cy="241300"/>
            <wp:effectExtent l="0" t="0" r="0" b="0"/>
            <wp:wrapNone/>
            <wp:docPr id="216" name="IM 216"/>
            <wp:cNvGraphicFramePr/>
            <a:graphic xmlns:a="http://schemas.openxmlformats.org/drawingml/2006/main">
              <a:graphicData uri="http://schemas.openxmlformats.org/drawingml/2006/picture">
                <pic:pic xmlns:pic="http://schemas.openxmlformats.org/drawingml/2006/picture">
                  <pic:nvPicPr>
                    <pic:cNvPr id="216" name="IM 216"/>
                    <pic:cNvPicPr/>
                  </pic:nvPicPr>
                  <pic:blipFill>
                    <a:blip r:embed="rId577"/>
                    <a:stretch>
                      <a:fillRect/>
                    </a:stretch>
                  </pic:blipFill>
                  <pic:spPr>
                    <a:xfrm>
                      <a:off x="0" y="0"/>
                      <a:ext cx="19050" cy="241300"/>
                    </a:xfrm>
                    <a:prstGeom prst="rect">
                      <a:avLst/>
                    </a:prstGeom>
                  </pic:spPr>
                </pic:pic>
              </a:graphicData>
            </a:graphic>
          </wp:anchor>
        </w:drawing>
      </w:r>
      <w:r>
        <w:drawing>
          <wp:anchor distT="0" distB="0" distL="0" distR="0" simplePos="0" relativeHeight="251992064" behindDoc="0" locked="0" layoutInCell="0" allowOverlap="1">
            <wp:simplePos x="0" y="0"/>
            <wp:positionH relativeFrom="page">
              <wp:posOffset>2502535</wp:posOffset>
            </wp:positionH>
            <wp:positionV relativeFrom="page">
              <wp:posOffset>2949575</wp:posOffset>
            </wp:positionV>
            <wp:extent cx="19050" cy="241300"/>
            <wp:effectExtent l="0" t="0" r="0" b="0"/>
            <wp:wrapNone/>
            <wp:docPr id="217" name="IM 217"/>
            <wp:cNvGraphicFramePr/>
            <a:graphic xmlns:a="http://schemas.openxmlformats.org/drawingml/2006/main">
              <a:graphicData uri="http://schemas.openxmlformats.org/drawingml/2006/picture">
                <pic:pic xmlns:pic="http://schemas.openxmlformats.org/drawingml/2006/picture">
                  <pic:nvPicPr>
                    <pic:cNvPr id="217" name="IM 217"/>
                    <pic:cNvPicPr/>
                  </pic:nvPicPr>
                  <pic:blipFill>
                    <a:blip r:embed="rId576"/>
                    <a:stretch>
                      <a:fillRect/>
                    </a:stretch>
                  </pic:blipFill>
                  <pic:spPr>
                    <a:xfrm>
                      <a:off x="0" y="0"/>
                      <a:ext cx="19050" cy="241300"/>
                    </a:xfrm>
                    <a:prstGeom prst="rect">
                      <a:avLst/>
                    </a:prstGeom>
                  </pic:spPr>
                </pic:pic>
              </a:graphicData>
            </a:graphic>
          </wp:anchor>
        </w:drawing>
      </w:r>
      <w:r>
        <w:drawing>
          <wp:anchor distT="0" distB="0" distL="0" distR="0" simplePos="0" relativeHeight="251997184" behindDoc="0" locked="0" layoutInCell="0" allowOverlap="1">
            <wp:simplePos x="0" y="0"/>
            <wp:positionH relativeFrom="page">
              <wp:posOffset>2502535</wp:posOffset>
            </wp:positionH>
            <wp:positionV relativeFrom="page">
              <wp:posOffset>2682875</wp:posOffset>
            </wp:positionV>
            <wp:extent cx="19050" cy="241300"/>
            <wp:effectExtent l="0" t="0" r="0" b="0"/>
            <wp:wrapNone/>
            <wp:docPr id="218" name="IM 218"/>
            <wp:cNvGraphicFramePr/>
            <a:graphic xmlns:a="http://schemas.openxmlformats.org/drawingml/2006/main">
              <a:graphicData uri="http://schemas.openxmlformats.org/drawingml/2006/picture">
                <pic:pic xmlns:pic="http://schemas.openxmlformats.org/drawingml/2006/picture">
                  <pic:nvPicPr>
                    <pic:cNvPr id="218" name="IM 218"/>
                    <pic:cNvPicPr/>
                  </pic:nvPicPr>
                  <pic:blipFill>
                    <a:blip r:embed="rId576"/>
                    <a:stretch>
                      <a:fillRect/>
                    </a:stretch>
                  </pic:blipFill>
                  <pic:spPr>
                    <a:xfrm>
                      <a:off x="0" y="0"/>
                      <a:ext cx="19050" cy="241300"/>
                    </a:xfrm>
                    <a:prstGeom prst="rect">
                      <a:avLst/>
                    </a:prstGeom>
                  </pic:spPr>
                </pic:pic>
              </a:graphicData>
            </a:graphic>
          </wp:anchor>
        </w:drawing>
      </w:r>
      <w:r>
        <w:drawing>
          <wp:anchor distT="0" distB="0" distL="0" distR="0" simplePos="0" relativeHeight="251991040" behindDoc="0" locked="0" layoutInCell="0" allowOverlap="1">
            <wp:simplePos x="0" y="0"/>
            <wp:positionH relativeFrom="page">
              <wp:posOffset>2502535</wp:posOffset>
            </wp:positionH>
            <wp:positionV relativeFrom="page">
              <wp:posOffset>3216275</wp:posOffset>
            </wp:positionV>
            <wp:extent cx="19050" cy="241300"/>
            <wp:effectExtent l="0" t="0" r="0" b="0"/>
            <wp:wrapNone/>
            <wp:docPr id="219" name="IM 219"/>
            <wp:cNvGraphicFramePr/>
            <a:graphic xmlns:a="http://schemas.openxmlformats.org/drawingml/2006/main">
              <a:graphicData uri="http://schemas.openxmlformats.org/drawingml/2006/picture">
                <pic:pic xmlns:pic="http://schemas.openxmlformats.org/drawingml/2006/picture">
                  <pic:nvPicPr>
                    <pic:cNvPr id="219" name="IM 219"/>
                    <pic:cNvPicPr/>
                  </pic:nvPicPr>
                  <pic:blipFill>
                    <a:blip r:embed="rId578"/>
                    <a:stretch>
                      <a:fillRect/>
                    </a:stretch>
                  </pic:blipFill>
                  <pic:spPr>
                    <a:xfrm>
                      <a:off x="0" y="0"/>
                      <a:ext cx="19050" cy="241300"/>
                    </a:xfrm>
                    <a:prstGeom prst="rect">
                      <a:avLst/>
                    </a:prstGeom>
                  </pic:spPr>
                </pic:pic>
              </a:graphicData>
            </a:graphic>
          </wp:anchor>
        </w:drawing>
      </w:r>
      <w:r>
        <w:drawing>
          <wp:anchor distT="0" distB="0" distL="0" distR="0" simplePos="0" relativeHeight="251995136" behindDoc="0" locked="0" layoutInCell="0" allowOverlap="1">
            <wp:simplePos x="0" y="0"/>
            <wp:positionH relativeFrom="page">
              <wp:posOffset>2892425</wp:posOffset>
            </wp:positionH>
            <wp:positionV relativeFrom="page">
              <wp:posOffset>2555240</wp:posOffset>
            </wp:positionV>
            <wp:extent cx="19050" cy="241300"/>
            <wp:effectExtent l="0" t="0" r="0" b="0"/>
            <wp:wrapNone/>
            <wp:docPr id="220" name="IM 220"/>
            <wp:cNvGraphicFramePr/>
            <a:graphic xmlns:a="http://schemas.openxmlformats.org/drawingml/2006/main">
              <a:graphicData uri="http://schemas.openxmlformats.org/drawingml/2006/picture">
                <pic:pic xmlns:pic="http://schemas.openxmlformats.org/drawingml/2006/picture">
                  <pic:nvPicPr>
                    <pic:cNvPr id="220" name="IM 220"/>
                    <pic:cNvPicPr/>
                  </pic:nvPicPr>
                  <pic:blipFill>
                    <a:blip r:embed="rId577"/>
                    <a:stretch>
                      <a:fillRect/>
                    </a:stretch>
                  </pic:blipFill>
                  <pic:spPr>
                    <a:xfrm>
                      <a:off x="0" y="0"/>
                      <a:ext cx="19050" cy="241300"/>
                    </a:xfrm>
                    <a:prstGeom prst="rect">
                      <a:avLst/>
                    </a:prstGeom>
                  </pic:spPr>
                </pic:pic>
              </a:graphicData>
            </a:graphic>
          </wp:anchor>
        </w:drawing>
      </w:r>
      <w:r>
        <w:drawing>
          <wp:anchor distT="0" distB="0" distL="0" distR="0" simplePos="0" relativeHeight="251990016" behindDoc="0" locked="0" layoutInCell="0" allowOverlap="1">
            <wp:simplePos x="0" y="0"/>
            <wp:positionH relativeFrom="page">
              <wp:posOffset>2502535</wp:posOffset>
            </wp:positionH>
            <wp:positionV relativeFrom="page">
              <wp:posOffset>3482975</wp:posOffset>
            </wp:positionV>
            <wp:extent cx="19050" cy="241300"/>
            <wp:effectExtent l="0" t="0" r="0" b="0"/>
            <wp:wrapNone/>
            <wp:docPr id="221" name="IM 221"/>
            <wp:cNvGraphicFramePr/>
            <a:graphic xmlns:a="http://schemas.openxmlformats.org/drawingml/2006/main">
              <a:graphicData uri="http://schemas.openxmlformats.org/drawingml/2006/picture">
                <pic:pic xmlns:pic="http://schemas.openxmlformats.org/drawingml/2006/picture">
                  <pic:nvPicPr>
                    <pic:cNvPr id="221" name="IM 221"/>
                    <pic:cNvPicPr/>
                  </pic:nvPicPr>
                  <pic:blipFill>
                    <a:blip r:embed="rId578"/>
                    <a:stretch>
                      <a:fillRect/>
                    </a:stretch>
                  </pic:blipFill>
                  <pic:spPr>
                    <a:xfrm>
                      <a:off x="0" y="0"/>
                      <a:ext cx="19050" cy="241300"/>
                    </a:xfrm>
                    <a:prstGeom prst="rect">
                      <a:avLst/>
                    </a:prstGeom>
                  </pic:spPr>
                </pic:pic>
              </a:graphicData>
            </a:graphic>
          </wp:anchor>
        </w:drawing>
      </w:r>
      <w:r>
        <w:drawing>
          <wp:anchor distT="0" distB="0" distL="0" distR="0" simplePos="0" relativeHeight="251987968" behindDoc="0" locked="0" layoutInCell="0" allowOverlap="1">
            <wp:simplePos x="0" y="0"/>
            <wp:positionH relativeFrom="page">
              <wp:posOffset>2502535</wp:posOffset>
            </wp:positionH>
            <wp:positionV relativeFrom="page">
              <wp:posOffset>3749675</wp:posOffset>
            </wp:positionV>
            <wp:extent cx="78105" cy="264795"/>
            <wp:effectExtent l="0" t="0" r="0" b="0"/>
            <wp:wrapNone/>
            <wp:docPr id="222" name="IM 222"/>
            <wp:cNvGraphicFramePr/>
            <a:graphic xmlns:a="http://schemas.openxmlformats.org/drawingml/2006/main">
              <a:graphicData uri="http://schemas.openxmlformats.org/drawingml/2006/picture">
                <pic:pic xmlns:pic="http://schemas.openxmlformats.org/drawingml/2006/picture">
                  <pic:nvPicPr>
                    <pic:cNvPr id="222" name="IM 222"/>
                    <pic:cNvPicPr/>
                  </pic:nvPicPr>
                  <pic:blipFill>
                    <a:blip r:embed="rId579"/>
                    <a:stretch>
                      <a:fillRect/>
                    </a:stretch>
                  </pic:blipFill>
                  <pic:spPr>
                    <a:xfrm>
                      <a:off x="0" y="0"/>
                      <a:ext cx="78104" cy="264795"/>
                    </a:xfrm>
                    <a:prstGeom prst="rect">
                      <a:avLst/>
                    </a:prstGeom>
                  </pic:spPr>
                </pic:pic>
              </a:graphicData>
            </a:graphic>
          </wp:anchor>
        </w:drawing>
      </w:r>
      <w:r>
        <w:drawing>
          <wp:anchor distT="0" distB="0" distL="0" distR="0" simplePos="0" relativeHeight="251999232" behindDoc="0" locked="0" layoutInCell="0" allowOverlap="1">
            <wp:simplePos x="0" y="0"/>
            <wp:positionH relativeFrom="page">
              <wp:posOffset>2892425</wp:posOffset>
            </wp:positionH>
            <wp:positionV relativeFrom="page">
              <wp:posOffset>3088640</wp:posOffset>
            </wp:positionV>
            <wp:extent cx="19050" cy="241300"/>
            <wp:effectExtent l="0" t="0" r="0" b="0"/>
            <wp:wrapNone/>
            <wp:docPr id="223" name="IM 223"/>
            <wp:cNvGraphicFramePr/>
            <a:graphic xmlns:a="http://schemas.openxmlformats.org/drawingml/2006/main">
              <a:graphicData uri="http://schemas.openxmlformats.org/drawingml/2006/picture">
                <pic:pic xmlns:pic="http://schemas.openxmlformats.org/drawingml/2006/picture">
                  <pic:nvPicPr>
                    <pic:cNvPr id="223" name="IM 223"/>
                    <pic:cNvPicPr/>
                  </pic:nvPicPr>
                  <pic:blipFill>
                    <a:blip r:embed="rId577"/>
                    <a:stretch>
                      <a:fillRect/>
                    </a:stretch>
                  </pic:blipFill>
                  <pic:spPr>
                    <a:xfrm>
                      <a:off x="0" y="0"/>
                      <a:ext cx="19050" cy="241300"/>
                    </a:xfrm>
                    <a:prstGeom prst="rect">
                      <a:avLst/>
                    </a:prstGeom>
                  </pic:spPr>
                </pic:pic>
              </a:graphicData>
            </a:graphic>
          </wp:anchor>
        </w:drawing>
      </w:r>
      <w:r>
        <w:drawing>
          <wp:anchor distT="0" distB="0" distL="0" distR="0" simplePos="0" relativeHeight="251994112" behindDoc="0" locked="0" layoutInCell="0" allowOverlap="1">
            <wp:simplePos x="0" y="0"/>
            <wp:positionH relativeFrom="page">
              <wp:posOffset>2670175</wp:posOffset>
            </wp:positionH>
            <wp:positionV relativeFrom="page">
              <wp:posOffset>2101850</wp:posOffset>
            </wp:positionV>
            <wp:extent cx="241300" cy="161290"/>
            <wp:effectExtent l="0" t="0" r="0" b="0"/>
            <wp:wrapNone/>
            <wp:docPr id="224" name="IM 224"/>
            <wp:cNvGraphicFramePr/>
            <a:graphic xmlns:a="http://schemas.openxmlformats.org/drawingml/2006/main">
              <a:graphicData uri="http://schemas.openxmlformats.org/drawingml/2006/picture">
                <pic:pic xmlns:pic="http://schemas.openxmlformats.org/drawingml/2006/picture">
                  <pic:nvPicPr>
                    <pic:cNvPr id="224" name="IM 224"/>
                    <pic:cNvPicPr/>
                  </pic:nvPicPr>
                  <pic:blipFill>
                    <a:blip r:embed="rId580"/>
                    <a:stretch>
                      <a:fillRect/>
                    </a:stretch>
                  </pic:blipFill>
                  <pic:spPr>
                    <a:xfrm>
                      <a:off x="0" y="0"/>
                      <a:ext cx="241300" cy="161290"/>
                    </a:xfrm>
                    <a:prstGeom prst="rect">
                      <a:avLst/>
                    </a:prstGeom>
                  </pic:spPr>
                </pic:pic>
              </a:graphicData>
            </a:graphic>
          </wp:anchor>
        </w:drawing>
      </w:r>
      <w:r>
        <w:drawing>
          <wp:anchor distT="0" distB="0" distL="0" distR="0" simplePos="0" relativeHeight="252012544" behindDoc="0" locked="0" layoutInCell="0" allowOverlap="1">
            <wp:simplePos x="0" y="0"/>
            <wp:positionH relativeFrom="page">
              <wp:posOffset>2407920</wp:posOffset>
            </wp:positionH>
            <wp:positionV relativeFrom="page">
              <wp:posOffset>4686300</wp:posOffset>
            </wp:positionV>
            <wp:extent cx="167005" cy="175895"/>
            <wp:effectExtent l="0" t="0" r="0" b="0"/>
            <wp:wrapNone/>
            <wp:docPr id="225" name="IM 225"/>
            <wp:cNvGraphicFramePr/>
            <a:graphic xmlns:a="http://schemas.openxmlformats.org/drawingml/2006/main">
              <a:graphicData uri="http://schemas.openxmlformats.org/drawingml/2006/picture">
                <pic:pic xmlns:pic="http://schemas.openxmlformats.org/drawingml/2006/picture">
                  <pic:nvPicPr>
                    <pic:cNvPr id="225" name="IM 225"/>
                    <pic:cNvPicPr/>
                  </pic:nvPicPr>
                  <pic:blipFill>
                    <a:blip r:embed="rId581"/>
                    <a:stretch>
                      <a:fillRect/>
                    </a:stretch>
                  </pic:blipFill>
                  <pic:spPr>
                    <a:xfrm>
                      <a:off x="0" y="0"/>
                      <a:ext cx="167004" cy="175895"/>
                    </a:xfrm>
                    <a:prstGeom prst="rect">
                      <a:avLst/>
                    </a:prstGeom>
                  </pic:spPr>
                </pic:pic>
              </a:graphicData>
            </a:graphic>
          </wp:anchor>
        </w:drawing>
      </w:r>
      <w:r>
        <w:drawing>
          <wp:anchor distT="0" distB="0" distL="0" distR="0" simplePos="0" relativeHeight="252011520" behindDoc="0" locked="0" layoutInCell="0" allowOverlap="1">
            <wp:simplePos x="0" y="0"/>
            <wp:positionH relativeFrom="page">
              <wp:posOffset>2283460</wp:posOffset>
            </wp:positionH>
            <wp:positionV relativeFrom="page">
              <wp:posOffset>4452620</wp:posOffset>
            </wp:positionV>
            <wp:extent cx="291465" cy="208280"/>
            <wp:effectExtent l="0" t="0" r="0" b="0"/>
            <wp:wrapNone/>
            <wp:docPr id="226" name="IM 226"/>
            <wp:cNvGraphicFramePr/>
            <a:graphic xmlns:a="http://schemas.openxmlformats.org/drawingml/2006/main">
              <a:graphicData uri="http://schemas.openxmlformats.org/drawingml/2006/picture">
                <pic:pic xmlns:pic="http://schemas.openxmlformats.org/drawingml/2006/picture">
                  <pic:nvPicPr>
                    <pic:cNvPr id="226" name="IM 226"/>
                    <pic:cNvPicPr/>
                  </pic:nvPicPr>
                  <pic:blipFill>
                    <a:blip r:embed="rId582"/>
                    <a:stretch>
                      <a:fillRect/>
                    </a:stretch>
                  </pic:blipFill>
                  <pic:spPr>
                    <a:xfrm>
                      <a:off x="0" y="0"/>
                      <a:ext cx="291464" cy="208279"/>
                    </a:xfrm>
                    <a:prstGeom prst="rect">
                      <a:avLst/>
                    </a:prstGeom>
                  </pic:spPr>
                </pic:pic>
              </a:graphicData>
            </a:graphic>
          </wp:anchor>
        </w:drawing>
      </w:r>
      <w:r>
        <w:drawing>
          <wp:anchor distT="0" distB="0" distL="0" distR="0" simplePos="0" relativeHeight="252010496" behindDoc="0" locked="0" layoutInCell="0" allowOverlap="1">
            <wp:simplePos x="0" y="0"/>
            <wp:positionH relativeFrom="page">
              <wp:posOffset>2283460</wp:posOffset>
            </wp:positionH>
            <wp:positionV relativeFrom="page">
              <wp:posOffset>4618990</wp:posOffset>
            </wp:positionV>
            <wp:extent cx="99060" cy="243840"/>
            <wp:effectExtent l="0" t="0" r="0" b="0"/>
            <wp:wrapNone/>
            <wp:docPr id="227" name="IM 227"/>
            <wp:cNvGraphicFramePr/>
            <a:graphic xmlns:a="http://schemas.openxmlformats.org/drawingml/2006/main">
              <a:graphicData uri="http://schemas.openxmlformats.org/drawingml/2006/picture">
                <pic:pic xmlns:pic="http://schemas.openxmlformats.org/drawingml/2006/picture">
                  <pic:nvPicPr>
                    <pic:cNvPr id="227" name="IM 227"/>
                    <pic:cNvPicPr/>
                  </pic:nvPicPr>
                  <pic:blipFill>
                    <a:blip r:embed="rId583"/>
                    <a:stretch>
                      <a:fillRect/>
                    </a:stretch>
                  </pic:blipFill>
                  <pic:spPr>
                    <a:xfrm>
                      <a:off x="0" y="0"/>
                      <a:ext cx="99060" cy="243839"/>
                    </a:xfrm>
                    <a:prstGeom prst="rect">
                      <a:avLst/>
                    </a:prstGeom>
                  </pic:spPr>
                </pic:pic>
              </a:graphicData>
            </a:graphic>
          </wp:anchor>
        </w:drawing>
      </w:r>
      <w:r>
        <w:drawing>
          <wp:anchor distT="0" distB="0" distL="0" distR="0" simplePos="0" relativeHeight="251996160" behindDoc="0" locked="0" layoutInCell="0" allowOverlap="1">
            <wp:simplePos x="0" y="0"/>
            <wp:positionH relativeFrom="page">
              <wp:posOffset>2721610</wp:posOffset>
            </wp:positionH>
            <wp:positionV relativeFrom="page">
              <wp:posOffset>3679825</wp:posOffset>
            </wp:positionV>
            <wp:extent cx="109220" cy="144780"/>
            <wp:effectExtent l="0" t="0" r="0" b="0"/>
            <wp:wrapNone/>
            <wp:docPr id="228" name="IM 228"/>
            <wp:cNvGraphicFramePr/>
            <a:graphic xmlns:a="http://schemas.openxmlformats.org/drawingml/2006/main">
              <a:graphicData uri="http://schemas.openxmlformats.org/drawingml/2006/picture">
                <pic:pic xmlns:pic="http://schemas.openxmlformats.org/drawingml/2006/picture">
                  <pic:nvPicPr>
                    <pic:cNvPr id="228" name="IM 228"/>
                    <pic:cNvPicPr/>
                  </pic:nvPicPr>
                  <pic:blipFill>
                    <a:blip r:embed="rId584"/>
                    <a:stretch>
                      <a:fillRect/>
                    </a:stretch>
                  </pic:blipFill>
                  <pic:spPr>
                    <a:xfrm>
                      <a:off x="0" y="0"/>
                      <a:ext cx="109219" cy="144779"/>
                    </a:xfrm>
                    <a:prstGeom prst="rect">
                      <a:avLst/>
                    </a:prstGeom>
                  </pic:spPr>
                </pic:pic>
              </a:graphicData>
            </a:graphic>
          </wp:anchor>
        </w:drawing>
      </w:r>
      <w:r>
        <w:drawing>
          <wp:anchor distT="0" distB="0" distL="0" distR="0" simplePos="0" relativeHeight="251978752" behindDoc="0" locked="0" layoutInCell="0" allowOverlap="1">
            <wp:simplePos x="0" y="0"/>
            <wp:positionH relativeFrom="page">
              <wp:posOffset>8245475</wp:posOffset>
            </wp:positionH>
            <wp:positionV relativeFrom="page">
              <wp:posOffset>2320925</wp:posOffset>
            </wp:positionV>
            <wp:extent cx="691515" cy="1308735"/>
            <wp:effectExtent l="0" t="0" r="0" b="0"/>
            <wp:wrapNone/>
            <wp:docPr id="229" name="IM 229"/>
            <wp:cNvGraphicFramePr/>
            <a:graphic xmlns:a="http://schemas.openxmlformats.org/drawingml/2006/main">
              <a:graphicData uri="http://schemas.openxmlformats.org/drawingml/2006/picture">
                <pic:pic xmlns:pic="http://schemas.openxmlformats.org/drawingml/2006/picture">
                  <pic:nvPicPr>
                    <pic:cNvPr id="229" name="IM 229"/>
                    <pic:cNvPicPr/>
                  </pic:nvPicPr>
                  <pic:blipFill>
                    <a:blip r:embed="rId585"/>
                    <a:stretch>
                      <a:fillRect/>
                    </a:stretch>
                  </pic:blipFill>
                  <pic:spPr>
                    <a:xfrm>
                      <a:off x="0" y="0"/>
                      <a:ext cx="691515" cy="1308734"/>
                    </a:xfrm>
                    <a:prstGeom prst="rect">
                      <a:avLst/>
                    </a:prstGeom>
                  </pic:spPr>
                </pic:pic>
              </a:graphicData>
            </a:graphic>
          </wp:anchor>
        </w:drawing>
      </w:r>
      <w:r>
        <w:pict>
          <v:shape id="_x0000_s1346" o:spid="_x0000_s1346" o:spt="202" type="#_x0000_t202" style="position:absolute;left:0pt;margin-left:210.95pt;margin-top:400.1pt;height:14.45pt;width:22.4pt;mso-position-horizontal-relative:page;mso-position-vertical-relative:page;z-index:251974656;mso-width-relative:page;mso-height-relative:page;" filled="f" stroked="f" coordsize="21600,21600" o:allowincell="f">
            <v:path/>
            <v:fill on="f" focussize="0,0"/>
            <v:stroke on="f"/>
            <v:imagedata o:title=""/>
            <o:lock v:ext="edit" aspectratio="f"/>
            <v:textbox inset="0mm,0mm,0mm,0mm">
              <w:txbxContent>
                <w:p w14:paraId="77C8394D">
                  <w:pPr>
                    <w:spacing w:before="20" w:line="229" w:lineRule="auto"/>
                    <w:ind w:left="20"/>
                    <w:rPr>
                      <w:rFonts w:ascii="宋体" w:hAnsi="宋体" w:eastAsia="宋体" w:cs="宋体"/>
                      <w:sz w:val="20"/>
                      <w:szCs w:val="20"/>
                    </w:rPr>
                  </w:pPr>
                  <w:r>
                    <w:rPr>
                      <w:rFonts w:ascii="宋体" w:hAnsi="宋体" w:eastAsia="宋体" w:cs="宋体"/>
                      <w:spacing w:val="4"/>
                      <w:sz w:val="20"/>
                      <w:szCs w:val="20"/>
                    </w:rPr>
                    <w:t>旱</w:t>
                  </w:r>
                  <w:r>
                    <w:rPr>
                      <w:rFonts w:ascii="宋体" w:hAnsi="宋体" w:eastAsia="宋体" w:cs="宋体"/>
                      <w:spacing w:val="3"/>
                      <w:sz w:val="20"/>
                      <w:szCs w:val="20"/>
                    </w:rPr>
                    <w:t>厕</w:t>
                  </w:r>
                </w:p>
              </w:txbxContent>
            </v:textbox>
          </v:shape>
        </w:pict>
      </w:r>
    </w:p>
    <w:p w14:paraId="6B96AC6C">
      <w:pPr>
        <w:spacing w:line="282" w:lineRule="auto"/>
        <w:rPr>
          <w:rFonts w:ascii="Arial"/>
          <w:sz w:val="21"/>
        </w:rPr>
      </w:pPr>
    </w:p>
    <w:p w14:paraId="0584E563">
      <w:pPr>
        <w:spacing w:line="282" w:lineRule="auto"/>
        <w:rPr>
          <w:rFonts w:ascii="Arial"/>
          <w:sz w:val="21"/>
        </w:rPr>
      </w:pPr>
    </w:p>
    <w:p w14:paraId="783A791F">
      <w:pPr>
        <w:spacing w:line="283" w:lineRule="auto"/>
        <w:rPr>
          <w:rFonts w:ascii="Arial"/>
          <w:sz w:val="21"/>
        </w:rPr>
      </w:pPr>
    </w:p>
    <w:p w14:paraId="374AA916">
      <w:pPr>
        <w:spacing w:before="75" w:line="235" w:lineRule="auto"/>
        <w:ind w:left="6213"/>
        <w:rPr>
          <w:rFonts w:ascii="宋体" w:hAnsi="宋体" w:eastAsia="宋体" w:cs="宋体"/>
          <w:sz w:val="23"/>
          <w:szCs w:val="23"/>
        </w:rPr>
      </w:pPr>
      <w:r>
        <w:drawing>
          <wp:anchor distT="0" distB="0" distL="0" distR="0" simplePos="0" relativeHeight="251961344" behindDoc="1" locked="0" layoutInCell="1" allowOverlap="1">
            <wp:simplePos x="0" y="0"/>
            <wp:positionH relativeFrom="column">
              <wp:posOffset>38100</wp:posOffset>
            </wp:positionH>
            <wp:positionV relativeFrom="paragraph">
              <wp:posOffset>-316230</wp:posOffset>
            </wp:positionV>
            <wp:extent cx="8801100" cy="4699000"/>
            <wp:effectExtent l="0" t="0" r="0" b="0"/>
            <wp:wrapNone/>
            <wp:docPr id="230" name="IM 230"/>
            <wp:cNvGraphicFramePr/>
            <a:graphic xmlns:a="http://schemas.openxmlformats.org/drawingml/2006/main">
              <a:graphicData uri="http://schemas.openxmlformats.org/drawingml/2006/picture">
                <pic:pic xmlns:pic="http://schemas.openxmlformats.org/drawingml/2006/picture">
                  <pic:nvPicPr>
                    <pic:cNvPr id="230" name="IM 230"/>
                    <pic:cNvPicPr/>
                  </pic:nvPicPr>
                  <pic:blipFill>
                    <a:blip r:embed="rId586"/>
                    <a:stretch>
                      <a:fillRect/>
                    </a:stretch>
                  </pic:blipFill>
                  <pic:spPr>
                    <a:xfrm>
                      <a:off x="0" y="0"/>
                      <a:ext cx="8801100" cy="4699000"/>
                    </a:xfrm>
                    <a:prstGeom prst="rect">
                      <a:avLst/>
                    </a:prstGeom>
                  </pic:spPr>
                </pic:pic>
              </a:graphicData>
            </a:graphic>
          </wp:anchor>
        </w:drawing>
      </w:r>
      <w:r>
        <w:rPr>
          <w:rFonts w:ascii="宋体" w:hAnsi="宋体" w:eastAsia="宋体" w:cs="宋体"/>
          <w:spacing w:val="8"/>
          <w:sz w:val="23"/>
          <w:szCs w:val="23"/>
          <w14:textOutline w14:w="4358" w14:cap="sq" w14:cmpd="sng">
            <w14:solidFill>
              <w14:srgbClr w14:val="000000"/>
            </w14:solidFill>
            <w14:prstDash w14:val="solid"/>
            <w14:bevel/>
          </w14:textOutline>
        </w:rPr>
        <w:t>空</w:t>
      </w:r>
      <w:r>
        <w:rPr>
          <w:rFonts w:ascii="宋体" w:hAnsi="宋体" w:eastAsia="宋体" w:cs="宋体"/>
          <w:spacing w:val="8"/>
          <w:sz w:val="23"/>
          <w:szCs w:val="23"/>
        </w:rPr>
        <w:t xml:space="preserve"> </w:t>
      </w:r>
      <w:r>
        <w:rPr>
          <w:rFonts w:ascii="宋体" w:hAnsi="宋体" w:eastAsia="宋体" w:cs="宋体"/>
          <w:spacing w:val="6"/>
          <w:sz w:val="23"/>
          <w:szCs w:val="23"/>
        </w:rPr>
        <w:t xml:space="preserve"> </w:t>
      </w:r>
      <w:r>
        <w:rPr>
          <w:rFonts w:ascii="宋体" w:hAnsi="宋体" w:eastAsia="宋体" w:cs="宋体"/>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地</w:t>
      </w:r>
    </w:p>
    <w:p w14:paraId="78D2A153">
      <w:pPr>
        <w:spacing w:line="230" w:lineRule="exact"/>
      </w:pPr>
    </w:p>
    <w:tbl>
      <w:tblPr>
        <w:tblStyle w:val="4"/>
        <w:tblW w:w="10603" w:type="dxa"/>
        <w:tblInd w:w="2120" w:type="dxa"/>
        <w:tblBorders>
          <w:top w:val="single" w:color="FF0000" w:sz="8" w:space="0"/>
          <w:left w:val="single" w:color="FF0000" w:sz="8" w:space="0"/>
          <w:bottom w:val="single" w:color="FF0000" w:sz="8" w:space="0"/>
          <w:right w:val="single" w:color="FF0000" w:sz="16" w:space="0"/>
          <w:insideH w:val="none" w:color="auto" w:sz="0" w:space="0"/>
          <w:insideV w:val="none" w:color="auto" w:sz="0" w:space="0"/>
        </w:tblBorders>
        <w:tblLayout w:type="fixed"/>
        <w:tblCellMar>
          <w:top w:w="0" w:type="dxa"/>
          <w:left w:w="0" w:type="dxa"/>
          <w:bottom w:w="0" w:type="dxa"/>
          <w:right w:w="0" w:type="dxa"/>
        </w:tblCellMar>
      </w:tblPr>
      <w:tblGrid>
        <w:gridCol w:w="10603"/>
      </w:tblGrid>
      <w:tr w14:paraId="270CF716">
        <w:tblPrEx>
          <w:tblBorders>
            <w:top w:val="single" w:color="FF0000" w:sz="8" w:space="0"/>
            <w:left w:val="single" w:color="FF0000" w:sz="8" w:space="0"/>
            <w:bottom w:val="single" w:color="FF0000" w:sz="8" w:space="0"/>
            <w:right w:val="single" w:color="FF0000" w:sz="16" w:space="0"/>
            <w:insideH w:val="none" w:color="auto" w:sz="0" w:space="0"/>
            <w:insideV w:val="none" w:color="auto" w:sz="0" w:space="0"/>
          </w:tblBorders>
          <w:tblCellMar>
            <w:top w:w="0" w:type="dxa"/>
            <w:left w:w="0" w:type="dxa"/>
            <w:bottom w:w="0" w:type="dxa"/>
            <w:right w:w="0" w:type="dxa"/>
          </w:tblCellMar>
        </w:tblPrEx>
        <w:trPr>
          <w:trHeight w:val="4804" w:hRule="atLeast"/>
        </w:trPr>
        <w:tc>
          <w:tcPr>
            <w:tcW w:w="10603" w:type="dxa"/>
            <w:vAlign w:val="top"/>
          </w:tcPr>
          <w:p w14:paraId="75E1C102">
            <w:pPr>
              <w:spacing w:line="240" w:lineRule="exact"/>
            </w:pPr>
            <w:r>
              <w:pict>
                <v:shape id="_x0000_s1347" o:spid="_x0000_s1347" o:spt="202" type="#_x0000_t202" style="position:absolute;left:0pt;margin-left:18.9pt;margin-top:23.3pt;height:147.2pt;width:32.5pt;mso-position-horizontal-relative:page;mso-position-vertical-relative:page;z-index:251982848;mso-width-relative:page;mso-height-relative:page;" filled="f" stroked="f" coordsize="21600,21600">
                  <v:path/>
                  <v:fill on="f" focussize="0,0"/>
                  <v:stroke on="f"/>
                  <v:imagedata o:title=""/>
                  <o:lock v:ext="edit" aspectratio="f"/>
                  <v:textbox inset="0mm,0mm,0mm,0mm">
                    <w:txbxContent>
                      <w:p w14:paraId="29FC82F5">
                        <w:pPr>
                          <w:spacing w:line="20" w:lineRule="exact"/>
                        </w:pPr>
                      </w:p>
                      <w:tbl>
                        <w:tblPr>
                          <w:tblStyle w:val="4"/>
                          <w:tblW w:w="585" w:type="dxa"/>
                          <w:tblInd w:w="3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5"/>
                        </w:tblGrid>
                        <w:tr w14:paraId="73957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6" w:hRule="atLeast"/>
                          </w:trPr>
                          <w:tc>
                            <w:tcPr>
                              <w:tcW w:w="585" w:type="dxa"/>
                              <w:tcBorders>
                                <w:left w:val="single" w:color="000000" w:sz="10" w:space="0"/>
                                <w:right w:val="single" w:color="000000" w:sz="8" w:space="0"/>
                              </w:tcBorders>
                              <w:shd w:val="clear" w:color="auto" w:fill="F79646"/>
                              <w:textDirection w:val="tbRlV"/>
                              <w:vAlign w:val="top"/>
                            </w:tcPr>
                            <w:p w14:paraId="3B46B972">
                              <w:pPr>
                                <w:spacing w:before="138" w:line="289" w:lineRule="exact"/>
                                <w:ind w:left="540"/>
                                <w:rPr>
                                  <w:rFonts w:ascii="宋体" w:hAnsi="宋体" w:eastAsia="宋体" w:cs="宋体"/>
                                  <w:sz w:val="20"/>
                                  <w:szCs w:val="20"/>
                                </w:rPr>
                              </w:pPr>
                              <w:r>
                                <w:rPr>
                                  <w:rFonts w:ascii="Times New Roman" w:hAnsi="Times New Roman" w:eastAsia="Times New Roman" w:cs="Times New Roman"/>
                                  <w:b/>
                                  <w:bCs/>
                                  <w:spacing w:val="10"/>
                                  <w:position w:val="1"/>
                                  <w:sz w:val="20"/>
                                  <w:szCs w:val="20"/>
                                </w:rPr>
                                <w:t>1</w:t>
                              </w:r>
                              <w:r>
                                <w:rPr>
                                  <w:rFonts w:ascii="Times New Roman" w:hAnsi="Times New Roman" w:eastAsia="Times New Roman" w:cs="Times New Roman"/>
                                  <w:b/>
                                  <w:bCs/>
                                  <w:spacing w:val="6"/>
                                  <w:position w:val="1"/>
                                  <w:sz w:val="20"/>
                                  <w:szCs w:val="20"/>
                                </w:rPr>
                                <w:t>#</w:t>
                              </w:r>
                              <w:r>
                                <w:rPr>
                                  <w:rFonts w:ascii="宋体" w:hAnsi="宋体" w:eastAsia="宋体" w:cs="宋体"/>
                                  <w:spacing w:val="6"/>
                                  <w:position w:val="1"/>
                                  <w:sz w:val="20"/>
                                  <w:szCs w:val="20"/>
                                  <w14:textOutline w14:w="3795" w14:cap="sq" w14:cmpd="sng">
                                    <w14:solidFill>
                                      <w14:srgbClr w14:val="000000"/>
                                    </w14:solidFill>
                                    <w14:prstDash w14:val="solid"/>
                                    <w14:bevel/>
                                  </w14:textOutline>
                                </w:rPr>
                                <w:t>员工休息室</w:t>
                              </w:r>
                            </w:p>
                          </w:tc>
                        </w:tr>
                        <w:tr w14:paraId="56DBD4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585" w:type="dxa"/>
                              <w:tcBorders>
                                <w:left w:val="single" w:color="000000" w:sz="10" w:space="0"/>
                                <w:right w:val="single" w:color="000000" w:sz="10" w:space="0"/>
                              </w:tcBorders>
                              <w:shd w:val="clear" w:color="auto" w:fill="D7E4BD"/>
                              <w:vAlign w:val="top"/>
                            </w:tcPr>
                            <w:p w14:paraId="1D260BFD">
                              <w:pPr>
                                <w:rPr>
                                  <w:rFonts w:ascii="Arial"/>
                                  <w:sz w:val="21"/>
                                </w:rPr>
                              </w:pPr>
                            </w:p>
                          </w:tc>
                        </w:tr>
                      </w:tbl>
                      <w:p w14:paraId="22171D03">
                        <w:pPr>
                          <w:rPr>
                            <w:rFonts w:ascii="Arial"/>
                            <w:sz w:val="21"/>
                          </w:rPr>
                        </w:pPr>
                      </w:p>
                    </w:txbxContent>
                  </v:textbox>
                </v:shape>
              </w:pict>
            </w:r>
            <w:r>
              <w:pict>
                <v:shape id="_x0000_s1348" o:spid="_x0000_s1348" o:spt="202" type="#_x0000_t202" style="position:absolute;left:0pt;margin-left:472.75pt;margin-top:42.15pt;height:99.15pt;width:51pt;mso-position-horizontal-relative:page;mso-position-vertical-relative:page;z-index:251979776;mso-width-relative:page;mso-height-relative:page;" filled="f" stroked="f" coordsize="21600,21600">
                  <v:path/>
                  <v:fill on="f" focussize="0,0"/>
                  <v:stroke on="f"/>
                  <v:imagedata o:title=""/>
                  <o:lock v:ext="edit" aspectratio="f"/>
                  <v:textbox inset="0mm,0mm,0mm,0mm">
                    <w:txbxContent>
                      <w:p w14:paraId="581BFD4C">
                        <w:pPr>
                          <w:spacing w:line="20" w:lineRule="exact"/>
                        </w:pPr>
                      </w:p>
                      <w:tbl>
                        <w:tblPr>
                          <w:tblStyle w:val="4"/>
                          <w:tblW w:w="954" w:type="dxa"/>
                          <w:tblInd w:w="32" w:type="dxa"/>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954"/>
                        </w:tblGrid>
                        <w:tr w14:paraId="03606282">
                          <w:tblPrEx>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CellMar>
                              <w:top w:w="0" w:type="dxa"/>
                              <w:left w:w="0" w:type="dxa"/>
                              <w:bottom w:w="0" w:type="dxa"/>
                              <w:right w:w="0" w:type="dxa"/>
                            </w:tblCellMar>
                          </w:tblPrEx>
                          <w:trPr>
                            <w:trHeight w:val="1892" w:hRule="atLeast"/>
                          </w:trPr>
                          <w:tc>
                            <w:tcPr>
                              <w:tcW w:w="954" w:type="dxa"/>
                              <w:shd w:val="clear" w:color="auto" w:fill="C4BD97"/>
                              <w:vAlign w:val="top"/>
                            </w:tcPr>
                            <w:p w14:paraId="7228EFA7">
                              <w:pPr>
                                <w:spacing w:line="247" w:lineRule="auto"/>
                                <w:rPr>
                                  <w:rFonts w:ascii="Arial"/>
                                  <w:sz w:val="21"/>
                                </w:rPr>
                              </w:pPr>
                            </w:p>
                            <w:p w14:paraId="6730F188">
                              <w:pPr>
                                <w:spacing w:line="248" w:lineRule="auto"/>
                                <w:rPr>
                                  <w:rFonts w:ascii="Arial"/>
                                  <w:sz w:val="21"/>
                                </w:rPr>
                              </w:pPr>
                            </w:p>
                            <w:p w14:paraId="4314AA5F">
                              <w:pPr>
                                <w:spacing w:line="248" w:lineRule="auto"/>
                                <w:rPr>
                                  <w:rFonts w:ascii="Arial"/>
                                  <w:sz w:val="21"/>
                                </w:rPr>
                              </w:pPr>
                            </w:p>
                            <w:p w14:paraId="09827CAF">
                              <w:pPr>
                                <w:spacing w:before="65" w:line="228" w:lineRule="auto"/>
                                <w:ind w:left="130"/>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成品库</w:t>
                              </w:r>
                            </w:p>
                          </w:tc>
                        </w:tr>
                      </w:tbl>
                      <w:p w14:paraId="28D3631A">
                        <w:pPr>
                          <w:rPr>
                            <w:rFonts w:ascii="Arial"/>
                            <w:sz w:val="21"/>
                          </w:rPr>
                        </w:pPr>
                      </w:p>
                    </w:txbxContent>
                  </v:textbox>
                </v:shape>
              </w:pict>
            </w:r>
          </w:p>
          <w:tbl>
            <w:tblPr>
              <w:tblStyle w:val="4"/>
              <w:tblW w:w="5780" w:type="dxa"/>
              <w:tblInd w:w="127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10"/>
              <w:gridCol w:w="3370"/>
            </w:tblGrid>
            <w:tr w14:paraId="0F1260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2410" w:type="dxa"/>
                  <w:tcBorders>
                    <w:left w:val="single" w:color="000000" w:sz="10" w:space="0"/>
                    <w:right w:val="single" w:color="000000" w:sz="8" w:space="0"/>
                  </w:tcBorders>
                  <w:shd w:val="clear" w:color="auto" w:fill="F79646"/>
                  <w:vAlign w:val="top"/>
                </w:tcPr>
                <w:p w14:paraId="4CC20152">
                  <w:pPr>
                    <w:spacing w:before="203" w:line="289" w:lineRule="exact"/>
                    <w:ind w:left="479"/>
                    <w:rPr>
                      <w:rFonts w:ascii="宋体" w:hAnsi="宋体" w:eastAsia="宋体" w:cs="宋体"/>
                      <w:sz w:val="20"/>
                      <w:szCs w:val="20"/>
                    </w:rPr>
                  </w:pPr>
                  <w:r>
                    <w:drawing>
                      <wp:anchor distT="0" distB="0" distL="0" distR="0" simplePos="0" relativeHeight="251964416" behindDoc="0" locked="0" layoutInCell="1" allowOverlap="1">
                        <wp:simplePos x="0" y="0"/>
                        <wp:positionH relativeFrom="column">
                          <wp:posOffset>-56515</wp:posOffset>
                        </wp:positionH>
                        <wp:positionV relativeFrom="paragraph">
                          <wp:posOffset>-30480</wp:posOffset>
                        </wp:positionV>
                        <wp:extent cx="3823970" cy="484505"/>
                        <wp:effectExtent l="0" t="0" r="0" b="0"/>
                        <wp:wrapNone/>
                        <wp:docPr id="231" name="IM 231"/>
                        <wp:cNvGraphicFramePr/>
                        <a:graphic xmlns:a="http://schemas.openxmlformats.org/drawingml/2006/main">
                          <a:graphicData uri="http://schemas.openxmlformats.org/drawingml/2006/picture">
                            <pic:pic xmlns:pic="http://schemas.openxmlformats.org/drawingml/2006/picture">
                              <pic:nvPicPr>
                                <pic:cNvPr id="231" name="IM 231"/>
                                <pic:cNvPicPr/>
                              </pic:nvPicPr>
                              <pic:blipFill>
                                <a:blip r:embed="rId587"/>
                                <a:stretch>
                                  <a:fillRect/>
                                </a:stretch>
                              </pic:blipFill>
                              <pic:spPr>
                                <a:xfrm>
                                  <a:off x="0" y="0"/>
                                  <a:ext cx="3823970" cy="484504"/>
                                </a:xfrm>
                                <a:prstGeom prst="rect">
                                  <a:avLst/>
                                </a:prstGeom>
                              </pic:spPr>
                            </pic:pic>
                          </a:graphicData>
                        </a:graphic>
                      </wp:anchor>
                    </w:drawing>
                  </w:r>
                  <w:r>
                    <w:rPr>
                      <w:rFonts w:ascii="Times New Roman" w:hAnsi="Times New Roman" w:eastAsia="Times New Roman" w:cs="Times New Roman"/>
                      <w:b/>
                      <w:bCs/>
                      <w:spacing w:val="9"/>
                      <w:position w:val="1"/>
                      <w:sz w:val="20"/>
                      <w:szCs w:val="20"/>
                    </w:rPr>
                    <w:t>2</w:t>
                  </w:r>
                  <w:r>
                    <w:rPr>
                      <w:rFonts w:ascii="Times New Roman" w:hAnsi="Times New Roman" w:eastAsia="Times New Roman" w:cs="Times New Roman"/>
                      <w:b/>
                      <w:bCs/>
                      <w:spacing w:val="8"/>
                      <w:position w:val="1"/>
                      <w:sz w:val="20"/>
                      <w:szCs w:val="20"/>
                    </w:rPr>
                    <w:t>#</w:t>
                  </w:r>
                  <w:r>
                    <w:rPr>
                      <w:rFonts w:ascii="宋体" w:hAnsi="宋体" w:eastAsia="宋体" w:cs="宋体"/>
                      <w:spacing w:val="8"/>
                      <w:position w:val="1"/>
                      <w:sz w:val="20"/>
                      <w:szCs w:val="20"/>
                      <w14:textOutline w14:w="3795" w14:cap="sq" w14:cmpd="sng">
                        <w14:solidFill>
                          <w14:srgbClr w14:val="000000"/>
                        </w14:solidFill>
                        <w14:prstDash w14:val="solid"/>
                        <w14:bevel/>
                      </w14:textOutline>
                    </w:rPr>
                    <w:t>员工休息室</w:t>
                  </w:r>
                </w:p>
              </w:tc>
              <w:tc>
                <w:tcPr>
                  <w:tcW w:w="3370" w:type="dxa"/>
                  <w:tcBorders>
                    <w:left w:val="single" w:color="000000" w:sz="8" w:space="0"/>
                    <w:right w:val="single" w:color="000000" w:sz="8" w:space="0"/>
                  </w:tcBorders>
                  <w:shd w:val="clear" w:color="auto" w:fill="9BBB59"/>
                  <w:vAlign w:val="top"/>
                </w:tcPr>
                <w:p w14:paraId="306601BA">
                  <w:pPr>
                    <w:spacing w:before="251" w:line="228" w:lineRule="auto"/>
                    <w:ind w:left="1374"/>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办</w:t>
                  </w:r>
                  <w:r>
                    <w:rPr>
                      <w:rFonts w:ascii="宋体" w:hAnsi="宋体" w:eastAsia="宋体" w:cs="宋体"/>
                      <w:spacing w:val="6"/>
                      <w:sz w:val="20"/>
                      <w:szCs w:val="20"/>
                      <w14:textOutline w14:w="3795" w14:cap="sq" w14:cmpd="sng">
                        <w14:solidFill>
                          <w14:srgbClr w14:val="000000"/>
                        </w14:solidFill>
                        <w14:prstDash w14:val="solid"/>
                        <w14:bevel/>
                      </w14:textOutline>
                    </w:rPr>
                    <w:t>公室</w:t>
                  </w:r>
                </w:p>
              </w:tc>
            </w:tr>
          </w:tbl>
          <w:p w14:paraId="180E044D">
            <w:pPr>
              <w:spacing w:line="286" w:lineRule="auto"/>
              <w:rPr>
                <w:rFonts w:ascii="Arial"/>
                <w:sz w:val="21"/>
              </w:rPr>
            </w:pPr>
          </w:p>
          <w:p w14:paraId="2CA05B89">
            <w:pPr>
              <w:spacing w:line="286" w:lineRule="auto"/>
              <w:rPr>
                <w:rFonts w:ascii="Arial"/>
                <w:sz w:val="21"/>
              </w:rPr>
            </w:pPr>
          </w:p>
          <w:p w14:paraId="3B62299E">
            <w:pPr>
              <w:spacing w:line="286" w:lineRule="auto"/>
              <w:rPr>
                <w:rFonts w:ascii="Arial"/>
                <w:sz w:val="21"/>
              </w:rPr>
            </w:pPr>
          </w:p>
          <w:p w14:paraId="4773A628">
            <w:pPr>
              <w:spacing w:line="286" w:lineRule="auto"/>
              <w:rPr>
                <w:rFonts w:ascii="Arial"/>
                <w:sz w:val="21"/>
              </w:rPr>
            </w:pPr>
          </w:p>
          <w:p w14:paraId="0B95BC05">
            <w:pPr>
              <w:spacing w:line="287" w:lineRule="auto"/>
              <w:rPr>
                <w:rFonts w:ascii="Arial"/>
                <w:sz w:val="21"/>
              </w:rPr>
            </w:pPr>
          </w:p>
          <w:p w14:paraId="42A1AB6A">
            <w:pPr>
              <w:spacing w:line="773" w:lineRule="exact"/>
              <w:ind w:firstLine="4605"/>
              <w:textAlignment w:val="center"/>
            </w:pPr>
            <w:r>
              <w:pict>
                <v:group id="_x0000_s1349" o:spid="_x0000_s1349" o:spt="203" style="height:38.7pt;width:53.25pt;" coordsize="1065,774">
                  <o:lock v:ext="edit"/>
                  <v:shape id="_x0000_s1350" o:spid="_x0000_s1350" o:spt="75" type="#_x0000_t75" style="position:absolute;left:44;top:0;height:720;width:1020;" filled="f" stroked="f" coordsize="21600,21600">
                    <v:path/>
                    <v:fill on="f" focussize="0,0"/>
                    <v:stroke on="f"/>
                    <v:imagedata r:id="rId588" o:title=""/>
                    <o:lock v:ext="edit" aspectratio="t"/>
                  </v:shape>
                  <v:shape id="_x0000_s1351" o:spid="_x0000_s1351" o:spt="202" type="#_x0000_t202" style="position:absolute;left:-20;top:-20;height:814;width:1105;" filled="f" stroked="f" coordsize="21600,21600">
                    <v:path/>
                    <v:fill on="f" focussize="0,0"/>
                    <v:stroke on="f"/>
                    <v:imagedata o:title=""/>
                    <o:lock v:ext="edit" aspectratio="f"/>
                    <v:textbox inset="0mm,0mm,0mm,0mm">
                      <w:txbxContent>
                        <w:p w14:paraId="422606E4">
                          <w:pPr>
                            <w:spacing w:before="117" w:line="289" w:lineRule="exact"/>
                            <w:ind w:left="121"/>
                            <w:rPr>
                              <w:rFonts w:ascii="宋体" w:hAnsi="宋体" w:eastAsia="宋体" w:cs="宋体"/>
                              <w:sz w:val="20"/>
                              <w:szCs w:val="20"/>
                            </w:rPr>
                          </w:pPr>
                          <w:r>
                            <w:rPr>
                              <w:rFonts w:ascii="Times New Roman" w:hAnsi="Times New Roman" w:eastAsia="Times New Roman" w:cs="Times New Roman"/>
                              <w:b/>
                              <w:bCs/>
                              <w:spacing w:val="8"/>
                              <w:position w:val="1"/>
                              <w:sz w:val="20"/>
                              <w:szCs w:val="20"/>
                            </w:rPr>
                            <w:t>1</w:t>
                          </w:r>
                          <w:r>
                            <w:rPr>
                              <w:rFonts w:ascii="Times New Roman" w:hAnsi="Times New Roman" w:eastAsia="Times New Roman" w:cs="Times New Roman"/>
                              <w:b/>
                              <w:bCs/>
                              <w:spacing w:val="5"/>
                              <w:position w:val="1"/>
                              <w:sz w:val="20"/>
                              <w:szCs w:val="20"/>
                            </w:rPr>
                            <w:t>#</w:t>
                          </w:r>
                          <w:r>
                            <w:rPr>
                              <w:rFonts w:ascii="宋体" w:hAnsi="宋体" w:eastAsia="宋体" w:cs="宋体"/>
                              <w:spacing w:val="5"/>
                              <w:position w:val="1"/>
                              <w:sz w:val="20"/>
                              <w:szCs w:val="20"/>
                              <w14:textOutline w14:w="3795" w14:cap="sq" w14:cmpd="sng">
                                <w14:solidFill>
                                  <w14:srgbClr w14:val="000000"/>
                                </w14:solidFill>
                                <w14:prstDash w14:val="solid"/>
                                <w14:bevel/>
                              </w14:textOutline>
                            </w:rPr>
                            <w:t>排气筒</w:t>
                          </w:r>
                        </w:p>
                        <w:p w14:paraId="27C169AA">
                          <w:pPr>
                            <w:spacing w:line="257" w:lineRule="auto"/>
                            <w:rPr>
                              <w:rFonts w:ascii="Arial"/>
                              <w:sz w:val="21"/>
                            </w:rPr>
                          </w:pPr>
                        </w:p>
                        <w:p w14:paraId="291878FA">
                          <w:pPr>
                            <w:spacing w:line="128" w:lineRule="exact"/>
                            <w:ind w:left="20"/>
                          </w:pPr>
                          <w:r>
                            <w:rPr>
                              <w:position w:val="-3"/>
                            </w:rPr>
                            <w:drawing>
                              <wp:inline distT="0" distB="0" distL="0" distR="0">
                                <wp:extent cx="80645" cy="81280"/>
                                <wp:effectExtent l="0" t="0" r="0" b="0"/>
                                <wp:docPr id="232" name="IM 232"/>
                                <wp:cNvGraphicFramePr/>
                                <a:graphic xmlns:a="http://schemas.openxmlformats.org/drawingml/2006/main">
                                  <a:graphicData uri="http://schemas.openxmlformats.org/drawingml/2006/picture">
                                    <pic:pic xmlns:pic="http://schemas.openxmlformats.org/drawingml/2006/picture">
                                      <pic:nvPicPr>
                                        <pic:cNvPr id="232" name="IM 232"/>
                                        <pic:cNvPicPr/>
                                      </pic:nvPicPr>
                                      <pic:blipFill>
                                        <a:blip r:embed="rId589"/>
                                        <a:stretch>
                                          <a:fillRect/>
                                        </a:stretch>
                                      </pic:blipFill>
                                      <pic:spPr>
                                        <a:xfrm>
                                          <a:off x="0" y="0"/>
                                          <a:ext cx="81279" cy="81292"/>
                                        </a:xfrm>
                                        <a:prstGeom prst="rect">
                                          <a:avLst/>
                                        </a:prstGeom>
                                      </pic:spPr>
                                    </pic:pic>
                                  </a:graphicData>
                                </a:graphic>
                              </wp:inline>
                            </w:drawing>
                          </w:r>
                        </w:p>
                      </w:txbxContent>
                    </v:textbox>
                  </v:shape>
                  <w10:wrap type="none"/>
                  <w10:anchorlock/>
                </v:group>
              </w:pict>
            </w:r>
          </w:p>
          <w:p w14:paraId="793B2348"/>
          <w:p w14:paraId="5B5B9B80"/>
          <w:p w14:paraId="77E4BD24">
            <w:pPr>
              <w:spacing w:line="36" w:lineRule="exact"/>
            </w:pPr>
          </w:p>
          <w:tbl>
            <w:tblPr>
              <w:tblStyle w:val="4"/>
              <w:tblW w:w="1920" w:type="dxa"/>
              <w:tblInd w:w="7392" w:type="dxa"/>
              <w:tblBorders>
                <w:top w:val="single" w:color="000000" w:sz="10" w:space="0"/>
                <w:left w:val="single" w:color="000000" w:sz="10" w:space="0"/>
                <w:bottom w:val="single" w:color="000000" w:sz="10"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1920"/>
            </w:tblGrid>
            <w:tr w14:paraId="7889A4E5">
              <w:tblPrEx>
                <w:tblBorders>
                  <w:top w:val="single" w:color="000000" w:sz="10" w:space="0"/>
                  <w:left w:val="single" w:color="000000" w:sz="10" w:space="0"/>
                  <w:bottom w:val="single" w:color="000000" w:sz="10"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929" w:hRule="atLeast"/>
              </w:trPr>
              <w:tc>
                <w:tcPr>
                  <w:tcW w:w="1920" w:type="dxa"/>
                  <w:shd w:val="clear" w:color="auto" w:fill="B7DEE8"/>
                  <w:vAlign w:val="top"/>
                </w:tcPr>
                <w:p w14:paraId="4CFA8106">
                  <w:pPr>
                    <w:spacing w:line="294" w:lineRule="auto"/>
                    <w:rPr>
                      <w:rFonts w:ascii="Arial"/>
                      <w:sz w:val="21"/>
                    </w:rPr>
                  </w:pPr>
                </w:p>
                <w:p w14:paraId="7DBF500A">
                  <w:pPr>
                    <w:spacing w:before="65" w:line="228" w:lineRule="auto"/>
                    <w:ind w:left="701"/>
                    <w:rPr>
                      <w:rFonts w:ascii="宋体" w:hAnsi="宋体" w:eastAsia="宋体" w:cs="宋体"/>
                      <w:sz w:val="20"/>
                      <w:szCs w:val="20"/>
                    </w:rPr>
                  </w:pPr>
                  <w:r>
                    <w:drawing>
                      <wp:anchor distT="0" distB="0" distL="0" distR="0" simplePos="0" relativeHeight="251980800" behindDoc="0" locked="0" layoutInCell="1" allowOverlap="1">
                        <wp:simplePos x="0" y="0"/>
                        <wp:positionH relativeFrom="column">
                          <wp:posOffset>-37465</wp:posOffset>
                        </wp:positionH>
                        <wp:positionV relativeFrom="paragraph">
                          <wp:posOffset>-241935</wp:posOffset>
                        </wp:positionV>
                        <wp:extent cx="1272540" cy="696595"/>
                        <wp:effectExtent l="0" t="0" r="0" b="0"/>
                        <wp:wrapNone/>
                        <wp:docPr id="233" name="IM 233"/>
                        <wp:cNvGraphicFramePr/>
                        <a:graphic xmlns:a="http://schemas.openxmlformats.org/drawingml/2006/main">
                          <a:graphicData uri="http://schemas.openxmlformats.org/drawingml/2006/picture">
                            <pic:pic xmlns:pic="http://schemas.openxmlformats.org/drawingml/2006/picture">
                              <pic:nvPicPr>
                                <pic:cNvPr id="233" name="IM 233"/>
                                <pic:cNvPicPr/>
                              </pic:nvPicPr>
                              <pic:blipFill>
                                <a:blip r:embed="rId590"/>
                                <a:stretch>
                                  <a:fillRect/>
                                </a:stretch>
                              </pic:blipFill>
                              <pic:spPr>
                                <a:xfrm>
                                  <a:off x="0" y="0"/>
                                  <a:ext cx="1272540" cy="696594"/>
                                </a:xfrm>
                                <a:prstGeom prst="rect">
                                  <a:avLst/>
                                </a:prstGeom>
                              </pic:spPr>
                            </pic:pic>
                          </a:graphicData>
                        </a:graphic>
                      </wp:anchor>
                    </w:drawing>
                  </w:r>
                  <w:r>
                    <w:rPr>
                      <w:rFonts w:ascii="宋体" w:hAnsi="宋体" w:eastAsia="宋体" w:cs="宋体"/>
                      <w:spacing w:val="6"/>
                      <w:sz w:val="20"/>
                      <w:szCs w:val="20"/>
                      <w14:textOutline w14:w="3795" w14:cap="sq" w14:cmpd="sng">
                        <w14:solidFill>
                          <w14:srgbClr w14:val="000000"/>
                        </w14:solidFill>
                        <w14:prstDash w14:val="solid"/>
                        <w14:bevel/>
                      </w14:textOutline>
                    </w:rPr>
                    <w:t>原料库</w:t>
                  </w:r>
                </w:p>
              </w:tc>
            </w:tr>
          </w:tbl>
          <w:p w14:paraId="1EE067CE">
            <w:pPr>
              <w:spacing w:line="161" w:lineRule="exact"/>
              <w:rPr>
                <w:rFonts w:ascii="Arial"/>
                <w:sz w:val="14"/>
              </w:rPr>
            </w:pPr>
          </w:p>
        </w:tc>
      </w:tr>
    </w:tbl>
    <w:p w14:paraId="326766E8">
      <w:pPr>
        <w:spacing w:line="289" w:lineRule="auto"/>
        <w:rPr>
          <w:rFonts w:ascii="Arial"/>
          <w:sz w:val="21"/>
        </w:rPr>
      </w:pPr>
    </w:p>
    <w:p w14:paraId="7BDD2761">
      <w:pPr>
        <w:spacing w:line="290" w:lineRule="auto"/>
        <w:rPr>
          <w:rFonts w:ascii="Arial"/>
          <w:sz w:val="21"/>
        </w:rPr>
      </w:pPr>
    </w:p>
    <w:p w14:paraId="5EC7FAB5">
      <w:pPr>
        <w:spacing w:line="290" w:lineRule="auto"/>
        <w:rPr>
          <w:rFonts w:ascii="Arial"/>
          <w:sz w:val="21"/>
        </w:rPr>
      </w:pPr>
    </w:p>
    <w:p w14:paraId="37B9D4FA">
      <w:pPr>
        <w:spacing w:before="74" w:line="235" w:lineRule="auto"/>
        <w:ind w:left="6199"/>
        <w:rPr>
          <w:rFonts w:ascii="宋体" w:hAnsi="宋体" w:eastAsia="宋体" w:cs="宋体"/>
          <w:sz w:val="23"/>
          <w:szCs w:val="23"/>
        </w:rPr>
      </w:pPr>
      <w:r>
        <w:rPr>
          <w:rFonts w:ascii="宋体" w:hAnsi="宋体" w:eastAsia="宋体" w:cs="宋体"/>
          <w:spacing w:val="8"/>
          <w:sz w:val="23"/>
          <w:szCs w:val="23"/>
          <w14:textOutline w14:w="4358" w14:cap="sq" w14:cmpd="sng">
            <w14:solidFill>
              <w14:srgbClr w14:val="000000"/>
            </w14:solidFill>
            <w14:prstDash w14:val="solid"/>
            <w14:bevel/>
          </w14:textOutline>
        </w:rPr>
        <w:t>空</w:t>
      </w:r>
      <w:r>
        <w:rPr>
          <w:rFonts w:ascii="宋体" w:hAnsi="宋体" w:eastAsia="宋体" w:cs="宋体"/>
          <w:spacing w:val="8"/>
          <w:sz w:val="23"/>
          <w:szCs w:val="23"/>
        </w:rPr>
        <w:t xml:space="preserve"> </w:t>
      </w:r>
      <w:r>
        <w:rPr>
          <w:rFonts w:ascii="宋体" w:hAnsi="宋体" w:eastAsia="宋体" w:cs="宋体"/>
          <w:spacing w:val="6"/>
          <w:sz w:val="23"/>
          <w:szCs w:val="23"/>
        </w:rPr>
        <w:t xml:space="preserve"> </w:t>
      </w:r>
      <w:r>
        <w:rPr>
          <w:rFonts w:ascii="宋体" w:hAnsi="宋体" w:eastAsia="宋体" w:cs="宋体"/>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地</w:t>
      </w:r>
    </w:p>
    <w:p w14:paraId="6B98EC23">
      <w:pPr>
        <w:spacing w:line="440" w:lineRule="auto"/>
        <w:rPr>
          <w:rFonts w:ascii="Arial"/>
          <w:sz w:val="21"/>
        </w:rPr>
      </w:pPr>
    </w:p>
    <w:p w14:paraId="3865C003">
      <w:pPr>
        <w:spacing w:before="75" w:line="228" w:lineRule="auto"/>
        <w:ind w:left="5574"/>
        <w:rPr>
          <w:rFonts w:ascii="宋体" w:hAnsi="宋体" w:eastAsia="宋体" w:cs="宋体"/>
          <w:sz w:val="23"/>
          <w:szCs w:val="23"/>
        </w:rPr>
      </w:pPr>
      <w:r>
        <w:rPr>
          <w:rFonts w:ascii="宋体" w:hAnsi="宋体" w:eastAsia="宋体" w:cs="宋体"/>
          <w:spacing w:val="16"/>
          <w:sz w:val="23"/>
          <w:szCs w:val="23"/>
          <w14:textOutline w14:w="4358" w14:cap="sq" w14:cmpd="sng">
            <w14:solidFill>
              <w14:srgbClr w14:val="000000"/>
            </w14:solidFill>
            <w14:prstDash w14:val="solid"/>
            <w14:bevel/>
          </w14:textOutline>
        </w:rPr>
        <w:t>图</w:t>
      </w:r>
      <w:r>
        <w:rPr>
          <w:rFonts w:ascii="宋体" w:hAnsi="宋体" w:eastAsia="宋体" w:cs="宋体"/>
          <w:spacing w:val="16"/>
          <w:sz w:val="23"/>
          <w:szCs w:val="23"/>
        </w:rPr>
        <w:t xml:space="preserve"> </w:t>
      </w:r>
      <w:r>
        <w:rPr>
          <w:rFonts w:ascii="Times New Roman" w:hAnsi="Times New Roman" w:eastAsia="Times New Roman" w:cs="Times New Roman"/>
          <w:b/>
          <w:bCs/>
          <w:spacing w:val="10"/>
          <w:sz w:val="23"/>
          <w:szCs w:val="23"/>
        </w:rPr>
        <w:t>6</w:t>
      </w:r>
      <w:r>
        <w:rPr>
          <w:rFonts w:ascii="Times New Roman" w:hAnsi="Times New Roman" w:eastAsia="Times New Roman" w:cs="Times New Roman"/>
          <w:b/>
          <w:bCs/>
          <w:spacing w:val="8"/>
          <w:sz w:val="23"/>
          <w:szCs w:val="23"/>
        </w:rPr>
        <w:t>-2</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14:textOutline w14:w="4358" w14:cap="sq" w14:cmpd="sng">
            <w14:solidFill>
              <w14:srgbClr w14:val="000000"/>
            </w14:solidFill>
            <w14:prstDash w14:val="solid"/>
            <w14:bevel/>
          </w14:textOutline>
        </w:rPr>
        <w:t>建设项目厂区分区防渗图</w:t>
      </w:r>
    </w:p>
    <w:p w14:paraId="20F902B6">
      <w:pPr>
        <w:sectPr>
          <w:headerReference r:id="rId279" w:type="default"/>
          <w:footerReference r:id="rId280" w:type="default"/>
          <w:pgSz w:w="16839" w:h="11906"/>
          <w:pgMar w:top="1132" w:right="1096" w:bottom="1182" w:left="1440" w:header="878" w:footer="1022" w:gutter="0"/>
          <w:cols w:space="720" w:num="1"/>
        </w:sectPr>
      </w:pPr>
    </w:p>
    <w:p w14:paraId="0E45455B">
      <w:r>
        <w:pict>
          <v:shape id="_x0000_s1352" o:spid="_x0000_s1352" style="position:absolute;left:0pt;margin-left:72pt;margin-top:57.35pt;height:0.75pt;width:697.95pt;mso-position-horizontal-relative:page;mso-position-vertical-relative:page;z-index:252044288;mso-width-relative:page;mso-height-relative:page;" fillcolor="#000000" filled="t" stroked="f" coordsize="13959,15" o:allowincell="f" path="m0,0l13958,0,13958,14,0,14,0,0xe">
            <v:path/>
            <v:fill on="t" focussize="0,0"/>
            <v:stroke on="f"/>
            <v:imagedata o:title=""/>
            <o:lock v:ext="edit"/>
          </v:shape>
        </w:pict>
      </w:r>
    </w:p>
    <w:p w14:paraId="6017B1BA"/>
    <w:p w14:paraId="0A81FCD4"/>
    <w:p w14:paraId="73C00D02"/>
    <w:p w14:paraId="0E7F4B33">
      <w:pPr>
        <w:spacing w:line="123" w:lineRule="exact"/>
      </w:pPr>
    </w:p>
    <w:tbl>
      <w:tblPr>
        <w:tblStyle w:val="4"/>
        <w:tblW w:w="13591" w:type="dxa"/>
        <w:tblInd w:w="241" w:type="dxa"/>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Layout w:type="fixed"/>
        <w:tblCellMar>
          <w:top w:w="0" w:type="dxa"/>
          <w:left w:w="0" w:type="dxa"/>
          <w:bottom w:w="0" w:type="dxa"/>
          <w:right w:w="0" w:type="dxa"/>
        </w:tblCellMar>
      </w:tblPr>
      <w:tblGrid>
        <w:gridCol w:w="13591"/>
      </w:tblGrid>
      <w:tr w14:paraId="280F56AD">
        <w:tblPrEx>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CellMar>
            <w:top w:w="0" w:type="dxa"/>
            <w:left w:w="0" w:type="dxa"/>
            <w:bottom w:w="0" w:type="dxa"/>
            <w:right w:w="0" w:type="dxa"/>
          </w:tblCellMar>
        </w:tblPrEx>
        <w:trPr>
          <w:trHeight w:val="6931" w:hRule="atLeast"/>
        </w:trPr>
        <w:tc>
          <w:tcPr>
            <w:tcW w:w="13591" w:type="dxa"/>
            <w:vAlign w:val="top"/>
          </w:tcPr>
          <w:p w14:paraId="081458D2">
            <w:pPr>
              <w:spacing w:before="196" w:line="186" w:lineRule="auto"/>
              <w:ind w:right="638"/>
              <w:jc w:val="right"/>
              <w:rPr>
                <w:rFonts w:ascii="Times New Roman" w:hAnsi="Times New Roman" w:eastAsia="Times New Roman" w:cs="Times New Roman"/>
                <w:sz w:val="40"/>
                <w:szCs w:val="40"/>
              </w:rPr>
            </w:pPr>
            <w:r>
              <w:drawing>
                <wp:anchor distT="0" distB="0" distL="0" distR="0" simplePos="0" relativeHeight="252043264" behindDoc="1" locked="0" layoutInCell="1" allowOverlap="1">
                  <wp:simplePos x="0" y="0"/>
                  <wp:positionH relativeFrom="column">
                    <wp:posOffset>0</wp:posOffset>
                  </wp:positionH>
                  <wp:positionV relativeFrom="paragraph">
                    <wp:posOffset>0</wp:posOffset>
                  </wp:positionV>
                  <wp:extent cx="8592185" cy="4401185"/>
                  <wp:effectExtent l="0" t="0" r="0" b="0"/>
                  <wp:wrapNone/>
                  <wp:docPr id="234" name="IM 234"/>
                  <wp:cNvGraphicFramePr/>
                  <a:graphic xmlns:a="http://schemas.openxmlformats.org/drawingml/2006/main">
                    <a:graphicData uri="http://schemas.openxmlformats.org/drawingml/2006/picture">
                      <pic:pic xmlns:pic="http://schemas.openxmlformats.org/drawingml/2006/picture">
                        <pic:nvPicPr>
                          <pic:cNvPr id="234" name="IM 234"/>
                          <pic:cNvPicPr/>
                        </pic:nvPicPr>
                        <pic:blipFill>
                          <a:blip r:embed="rId591"/>
                          <a:stretch>
                            <a:fillRect/>
                          </a:stretch>
                        </pic:blipFill>
                        <pic:spPr>
                          <a:xfrm>
                            <a:off x="0" y="0"/>
                            <a:ext cx="8592311" cy="4401311"/>
                          </a:xfrm>
                          <a:prstGeom prst="rect">
                            <a:avLst/>
                          </a:prstGeom>
                        </pic:spPr>
                      </pic:pic>
                    </a:graphicData>
                  </a:graphic>
                </wp:anchor>
              </w:drawing>
            </w:r>
            <w:r>
              <w:drawing>
                <wp:anchor distT="0" distB="0" distL="0" distR="0" simplePos="0" relativeHeight="252045312" behindDoc="0" locked="0" layoutInCell="1" allowOverlap="1">
                  <wp:simplePos x="0" y="0"/>
                  <wp:positionH relativeFrom="rightMargin">
                    <wp:posOffset>-801370</wp:posOffset>
                  </wp:positionH>
                  <wp:positionV relativeFrom="topMargin">
                    <wp:posOffset>3690620</wp:posOffset>
                  </wp:positionV>
                  <wp:extent cx="667385" cy="609600"/>
                  <wp:effectExtent l="0" t="0" r="0" b="0"/>
                  <wp:wrapNone/>
                  <wp:docPr id="235" name="IM 235"/>
                  <wp:cNvGraphicFramePr/>
                  <a:graphic xmlns:a="http://schemas.openxmlformats.org/drawingml/2006/main">
                    <a:graphicData uri="http://schemas.openxmlformats.org/drawingml/2006/picture">
                      <pic:pic xmlns:pic="http://schemas.openxmlformats.org/drawingml/2006/picture">
                        <pic:nvPicPr>
                          <pic:cNvPr id="235" name="IM 235"/>
                          <pic:cNvPicPr/>
                        </pic:nvPicPr>
                        <pic:blipFill>
                          <a:blip r:embed="rId592"/>
                          <a:stretch>
                            <a:fillRect/>
                          </a:stretch>
                        </pic:blipFill>
                        <pic:spPr>
                          <a:xfrm>
                            <a:off x="0" y="0"/>
                            <a:ext cx="667511" cy="609600"/>
                          </a:xfrm>
                          <a:prstGeom prst="rect">
                            <a:avLst/>
                          </a:prstGeom>
                        </pic:spPr>
                      </pic:pic>
                    </a:graphicData>
                  </a:graphic>
                </wp:anchor>
              </w:drawing>
            </w:r>
            <w:r>
              <w:drawing>
                <wp:anchor distT="0" distB="0" distL="0" distR="0" simplePos="0" relativeHeight="252046336" behindDoc="0" locked="0" layoutInCell="1" allowOverlap="1">
                  <wp:simplePos x="0" y="0"/>
                  <wp:positionH relativeFrom="rightMargin">
                    <wp:posOffset>-3601085</wp:posOffset>
                  </wp:positionH>
                  <wp:positionV relativeFrom="topMargin">
                    <wp:posOffset>1873885</wp:posOffset>
                  </wp:positionV>
                  <wp:extent cx="614680" cy="520700"/>
                  <wp:effectExtent l="0" t="0" r="0" b="0"/>
                  <wp:wrapNone/>
                  <wp:docPr id="236" name="IM 236"/>
                  <wp:cNvGraphicFramePr/>
                  <a:graphic xmlns:a="http://schemas.openxmlformats.org/drawingml/2006/main">
                    <a:graphicData uri="http://schemas.openxmlformats.org/drawingml/2006/picture">
                      <pic:pic xmlns:pic="http://schemas.openxmlformats.org/drawingml/2006/picture">
                        <pic:nvPicPr>
                          <pic:cNvPr id="236" name="IM 236"/>
                          <pic:cNvPicPr/>
                        </pic:nvPicPr>
                        <pic:blipFill>
                          <a:blip r:embed="rId593"/>
                          <a:stretch>
                            <a:fillRect/>
                          </a:stretch>
                        </pic:blipFill>
                        <pic:spPr>
                          <a:xfrm>
                            <a:off x="0" y="0"/>
                            <a:ext cx="614654" cy="520408"/>
                          </a:xfrm>
                          <a:prstGeom prst="rect">
                            <a:avLst/>
                          </a:prstGeom>
                        </pic:spPr>
                      </pic:pic>
                    </a:graphicData>
                  </a:graphic>
                </wp:anchor>
              </w:drawing>
            </w:r>
            <w:r>
              <w:rPr>
                <w:rFonts w:ascii="Times New Roman" w:hAnsi="Times New Roman" w:eastAsia="Times New Roman" w:cs="Times New Roman"/>
                <w:b/>
                <w:bCs/>
                <w:sz w:val="40"/>
                <w:szCs w:val="40"/>
              </w:rPr>
              <w:t>N</w:t>
            </w:r>
          </w:p>
          <w:p w14:paraId="76F92637">
            <w:pPr>
              <w:spacing w:before="6" w:line="768" w:lineRule="exact"/>
              <w:ind w:firstLine="12552"/>
              <w:textAlignment w:val="center"/>
            </w:pPr>
            <w:r>
              <w:drawing>
                <wp:inline distT="0" distB="0" distL="0" distR="0">
                  <wp:extent cx="301625" cy="487680"/>
                  <wp:effectExtent l="0" t="0" r="0" b="0"/>
                  <wp:docPr id="237" name="IM 237"/>
                  <wp:cNvGraphicFramePr/>
                  <a:graphic xmlns:a="http://schemas.openxmlformats.org/drawingml/2006/main">
                    <a:graphicData uri="http://schemas.openxmlformats.org/drawingml/2006/picture">
                      <pic:pic xmlns:pic="http://schemas.openxmlformats.org/drawingml/2006/picture">
                        <pic:nvPicPr>
                          <pic:cNvPr id="237" name="IM 237"/>
                          <pic:cNvPicPr/>
                        </pic:nvPicPr>
                        <pic:blipFill>
                          <a:blip r:embed="rId594"/>
                          <a:stretch>
                            <a:fillRect/>
                          </a:stretch>
                        </pic:blipFill>
                        <pic:spPr>
                          <a:xfrm>
                            <a:off x="0" y="0"/>
                            <a:ext cx="301828" cy="487934"/>
                          </a:xfrm>
                          <a:prstGeom prst="rect">
                            <a:avLst/>
                          </a:prstGeom>
                        </pic:spPr>
                      </pic:pic>
                    </a:graphicData>
                  </a:graphic>
                </wp:inline>
              </w:drawing>
            </w:r>
          </w:p>
          <w:p w14:paraId="258E38D5">
            <w:pPr>
              <w:spacing w:line="262" w:lineRule="auto"/>
              <w:rPr>
                <w:rFonts w:ascii="Arial"/>
                <w:sz w:val="21"/>
              </w:rPr>
            </w:pPr>
          </w:p>
          <w:p w14:paraId="77C9AEE0">
            <w:pPr>
              <w:spacing w:line="262" w:lineRule="auto"/>
              <w:rPr>
                <w:rFonts w:ascii="Arial"/>
                <w:sz w:val="21"/>
              </w:rPr>
            </w:pPr>
          </w:p>
          <w:p w14:paraId="3D321653">
            <w:pPr>
              <w:spacing w:line="263" w:lineRule="auto"/>
              <w:rPr>
                <w:rFonts w:ascii="Arial"/>
                <w:sz w:val="21"/>
              </w:rPr>
            </w:pPr>
          </w:p>
          <w:p w14:paraId="59884BED">
            <w:pPr>
              <w:spacing w:line="263" w:lineRule="auto"/>
              <w:rPr>
                <w:rFonts w:ascii="Arial"/>
                <w:sz w:val="21"/>
              </w:rPr>
            </w:pPr>
          </w:p>
          <w:p w14:paraId="2189ACD3">
            <w:pPr>
              <w:spacing w:line="263" w:lineRule="auto"/>
              <w:rPr>
                <w:rFonts w:ascii="Arial"/>
                <w:sz w:val="21"/>
              </w:rPr>
            </w:pPr>
          </w:p>
          <w:p w14:paraId="4C3DA840">
            <w:pPr>
              <w:spacing w:line="263" w:lineRule="auto"/>
              <w:rPr>
                <w:rFonts w:ascii="Arial"/>
                <w:sz w:val="21"/>
              </w:rPr>
            </w:pPr>
          </w:p>
          <w:p w14:paraId="523CA91A">
            <w:pPr>
              <w:spacing w:line="737" w:lineRule="exact"/>
              <w:ind w:firstLine="5193"/>
              <w:textAlignment w:val="center"/>
            </w:pPr>
            <w:r>
              <w:drawing>
                <wp:inline distT="0" distB="0" distL="0" distR="0">
                  <wp:extent cx="683895" cy="467360"/>
                  <wp:effectExtent l="0" t="0" r="0" b="0"/>
                  <wp:docPr id="238" name="IM 238"/>
                  <wp:cNvGraphicFramePr/>
                  <a:graphic xmlns:a="http://schemas.openxmlformats.org/drawingml/2006/main">
                    <a:graphicData uri="http://schemas.openxmlformats.org/drawingml/2006/picture">
                      <pic:pic xmlns:pic="http://schemas.openxmlformats.org/drawingml/2006/picture">
                        <pic:nvPicPr>
                          <pic:cNvPr id="238" name="IM 238"/>
                          <pic:cNvPicPr/>
                        </pic:nvPicPr>
                        <pic:blipFill>
                          <a:blip r:embed="rId595"/>
                          <a:stretch>
                            <a:fillRect/>
                          </a:stretch>
                        </pic:blipFill>
                        <pic:spPr>
                          <a:xfrm>
                            <a:off x="0" y="0"/>
                            <a:ext cx="684326" cy="467956"/>
                          </a:xfrm>
                          <a:prstGeom prst="rect">
                            <a:avLst/>
                          </a:prstGeom>
                        </pic:spPr>
                      </pic:pic>
                    </a:graphicData>
                  </a:graphic>
                </wp:inline>
              </w:drawing>
            </w:r>
          </w:p>
          <w:p w14:paraId="4561FB26"/>
          <w:p w14:paraId="7B049E9E"/>
          <w:p w14:paraId="5F8AA068"/>
          <w:p w14:paraId="15B602C9"/>
          <w:p w14:paraId="178E9A96"/>
          <w:p w14:paraId="3E169944"/>
          <w:p w14:paraId="6165547F"/>
          <w:p w14:paraId="424B24A7"/>
          <w:p w14:paraId="1144D5B6">
            <w:pPr>
              <w:spacing w:line="103" w:lineRule="exact"/>
            </w:pPr>
          </w:p>
          <w:tbl>
            <w:tblPr>
              <w:tblStyle w:val="4"/>
              <w:tblW w:w="2925" w:type="dxa"/>
              <w:tblInd w:w="10"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2925"/>
            </w:tblGrid>
            <w:tr w14:paraId="75B2D9F8">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1203" w:hRule="atLeast"/>
              </w:trPr>
              <w:tc>
                <w:tcPr>
                  <w:tcW w:w="2925" w:type="dxa"/>
                  <w:shd w:val="clear" w:color="auto" w:fill="FFFFFF"/>
                  <w:vAlign w:val="top"/>
                </w:tcPr>
                <w:p w14:paraId="1A480432">
                  <w:pPr>
                    <w:spacing w:before="150" w:line="229" w:lineRule="auto"/>
                    <w:ind w:left="992"/>
                    <w:rPr>
                      <w:rFonts w:ascii="宋体" w:hAnsi="宋体" w:eastAsia="宋体" w:cs="宋体"/>
                      <w:sz w:val="23"/>
                      <w:szCs w:val="23"/>
                    </w:rPr>
                  </w:pPr>
                  <w:r>
                    <w:rPr>
                      <w:rFonts w:ascii="宋体" w:hAnsi="宋体" w:eastAsia="宋体" w:cs="宋体"/>
                      <w:spacing w:val="2"/>
                      <w:sz w:val="23"/>
                      <w:szCs w:val="23"/>
                      <w:u w:val="single" w:color="auto"/>
                      <w14:textOutline w14:w="4358" w14:cap="sq" w14:cmpd="sng">
                        <w14:solidFill>
                          <w14:srgbClr w14:val="000000"/>
                        </w14:solidFill>
                        <w14:prstDash w14:val="solid"/>
                        <w14:bevel/>
                      </w14:textOutline>
                    </w:rPr>
                    <w:t>图</w:t>
                  </w:r>
                  <w:r>
                    <w:rPr>
                      <w:rFonts w:ascii="宋体" w:hAnsi="宋体" w:eastAsia="宋体" w:cs="宋体"/>
                      <w:spacing w:val="1"/>
                      <w:sz w:val="23"/>
                      <w:szCs w:val="23"/>
                      <w:u w:val="single" w:color="auto"/>
                    </w:rPr>
                    <w:t xml:space="preserve">    </w:t>
                  </w:r>
                  <w:r>
                    <w:rPr>
                      <w:rFonts w:ascii="宋体" w:hAnsi="宋体" w:eastAsia="宋体" w:cs="宋体"/>
                      <w:spacing w:val="1"/>
                      <w:sz w:val="23"/>
                      <w:szCs w:val="23"/>
                      <w:u w:val="single" w:color="auto"/>
                      <w14:textOutline w14:w="4358" w14:cap="sq" w14:cmpd="sng">
                        <w14:solidFill>
                          <w14:srgbClr w14:val="000000"/>
                        </w14:solidFill>
                        <w14:prstDash w14:val="solid"/>
                        <w14:bevel/>
                      </w14:textOutline>
                    </w:rPr>
                    <w:t>例</w:t>
                  </w:r>
                </w:p>
                <w:p w14:paraId="2994C016">
                  <w:pPr>
                    <w:spacing w:before="55" w:line="304" w:lineRule="exact"/>
                    <w:ind w:left="257"/>
                    <w:rPr>
                      <w:rFonts w:ascii="宋体" w:hAnsi="宋体" w:eastAsia="宋体" w:cs="宋体"/>
                      <w:sz w:val="23"/>
                      <w:szCs w:val="23"/>
                    </w:rPr>
                  </w:pPr>
                  <w:r>
                    <w:rPr>
                      <w:rFonts w:ascii="宋体" w:hAnsi="宋体" w:eastAsia="宋体" w:cs="宋体"/>
                      <w:position w:val="3"/>
                      <w:sz w:val="23"/>
                      <w:szCs w:val="23"/>
                    </w:rPr>
                    <w:drawing>
                      <wp:inline distT="0" distB="0" distL="0" distR="0">
                        <wp:extent cx="149860" cy="115570"/>
                        <wp:effectExtent l="0" t="0" r="0" b="0"/>
                        <wp:docPr id="239" name="IM 239"/>
                        <wp:cNvGraphicFramePr/>
                        <a:graphic xmlns:a="http://schemas.openxmlformats.org/drawingml/2006/main">
                          <a:graphicData uri="http://schemas.openxmlformats.org/drawingml/2006/picture">
                            <pic:pic xmlns:pic="http://schemas.openxmlformats.org/drawingml/2006/picture">
                              <pic:nvPicPr>
                                <pic:cNvPr id="239" name="IM 239"/>
                                <pic:cNvPicPr/>
                              </pic:nvPicPr>
                              <pic:blipFill>
                                <a:blip r:embed="rId596"/>
                                <a:stretch>
                                  <a:fillRect/>
                                </a:stretch>
                              </pic:blipFill>
                              <pic:spPr>
                                <a:xfrm>
                                  <a:off x="0" y="0"/>
                                  <a:ext cx="150494" cy="115570"/>
                                </a:xfrm>
                                <a:prstGeom prst="rect">
                                  <a:avLst/>
                                </a:prstGeom>
                              </pic:spPr>
                            </pic:pic>
                          </a:graphicData>
                        </a:graphic>
                      </wp:inline>
                    </w:drawing>
                  </w:r>
                  <w:r>
                    <w:rPr>
                      <w:rFonts w:ascii="宋体" w:hAnsi="宋体" w:eastAsia="宋体" w:cs="宋体"/>
                      <w:spacing w:val="8"/>
                      <w:position w:val="-1"/>
                      <w:sz w:val="23"/>
                      <w:szCs w:val="23"/>
                    </w:rPr>
                    <w:t xml:space="preserve"> </w:t>
                  </w:r>
                  <w:r>
                    <w:rPr>
                      <w:rFonts w:ascii="宋体" w:hAnsi="宋体" w:eastAsia="宋体" w:cs="宋体"/>
                      <w:spacing w:val="6"/>
                      <w:position w:val="-1"/>
                      <w:sz w:val="23"/>
                      <w:szCs w:val="23"/>
                    </w:rPr>
                    <w:t>建设项目厂界</w:t>
                  </w:r>
                </w:p>
                <w:p w14:paraId="491B5187">
                  <w:pPr>
                    <w:spacing w:before="39" w:line="320" w:lineRule="exact"/>
                    <w:ind w:left="255"/>
                    <w:rPr>
                      <w:rFonts w:ascii="宋体" w:hAnsi="宋体" w:eastAsia="宋体" w:cs="宋体"/>
                      <w:sz w:val="23"/>
                      <w:szCs w:val="23"/>
                    </w:rPr>
                  </w:pPr>
                  <w:r>
                    <w:rPr>
                      <w:rFonts w:ascii="宋体" w:hAnsi="宋体" w:eastAsia="宋体" w:cs="宋体"/>
                      <w:position w:val="-1"/>
                      <w:sz w:val="23"/>
                      <w:szCs w:val="23"/>
                    </w:rPr>
                    <w:drawing>
                      <wp:inline distT="0" distB="0" distL="0" distR="0">
                        <wp:extent cx="153035" cy="153670"/>
                        <wp:effectExtent l="0" t="0" r="0" b="0"/>
                        <wp:docPr id="240" name="IM 240"/>
                        <wp:cNvGraphicFramePr/>
                        <a:graphic xmlns:a="http://schemas.openxmlformats.org/drawingml/2006/main">
                          <a:graphicData uri="http://schemas.openxmlformats.org/drawingml/2006/picture">
                            <pic:pic xmlns:pic="http://schemas.openxmlformats.org/drawingml/2006/picture">
                              <pic:nvPicPr>
                                <pic:cNvPr id="240" name="IM 240"/>
                                <pic:cNvPicPr/>
                              </pic:nvPicPr>
                              <pic:blipFill>
                                <a:blip r:embed="rId597"/>
                                <a:stretch>
                                  <a:fillRect/>
                                </a:stretch>
                              </pic:blipFill>
                              <pic:spPr>
                                <a:xfrm>
                                  <a:off x="0" y="0"/>
                                  <a:ext cx="153669" cy="153670"/>
                                </a:xfrm>
                                <a:prstGeom prst="rect">
                                  <a:avLst/>
                                </a:prstGeom>
                              </pic:spPr>
                            </pic:pic>
                          </a:graphicData>
                        </a:graphic>
                      </wp:inline>
                    </w:drawing>
                  </w:r>
                  <w:r>
                    <w:rPr>
                      <w:rFonts w:ascii="宋体" w:hAnsi="宋体" w:eastAsia="宋体" w:cs="宋体"/>
                      <w:spacing w:val="18"/>
                      <w:position w:val="-1"/>
                      <w:sz w:val="23"/>
                      <w:szCs w:val="23"/>
                    </w:rPr>
                    <w:t xml:space="preserve"> </w:t>
                  </w:r>
                  <w:r>
                    <w:rPr>
                      <w:rFonts w:ascii="宋体" w:hAnsi="宋体" w:eastAsia="宋体" w:cs="宋体"/>
                      <w:spacing w:val="16"/>
                      <w:position w:val="-1"/>
                      <w:sz w:val="23"/>
                      <w:szCs w:val="23"/>
                    </w:rPr>
                    <w:t>地下水观测井点位</w:t>
                  </w:r>
                </w:p>
              </w:tc>
            </w:tr>
          </w:tbl>
          <w:p w14:paraId="1F645C12">
            <w:pPr>
              <w:spacing w:line="14" w:lineRule="auto"/>
              <w:rPr>
                <w:rFonts w:ascii="Arial"/>
                <w:sz w:val="2"/>
              </w:rPr>
            </w:pPr>
          </w:p>
        </w:tc>
      </w:tr>
    </w:tbl>
    <w:p w14:paraId="3A2C3023">
      <w:pPr>
        <w:spacing w:before="46" w:line="227" w:lineRule="auto"/>
        <w:ind w:left="5207"/>
        <w:rPr>
          <w:rFonts w:ascii="宋体" w:hAnsi="宋体" w:eastAsia="宋体" w:cs="宋体"/>
          <w:sz w:val="23"/>
          <w:szCs w:val="23"/>
        </w:rPr>
      </w:pPr>
      <w:r>
        <w:rPr>
          <w:rFonts w:ascii="宋体" w:hAnsi="宋体" w:eastAsia="宋体" w:cs="宋体"/>
          <w:spacing w:val="6"/>
          <w:sz w:val="23"/>
          <w:szCs w:val="23"/>
          <w14:textOutline w14:w="4358" w14:cap="sq" w14:cmpd="sng">
            <w14:solidFill>
              <w14:srgbClr w14:val="000000"/>
            </w14:solidFill>
            <w14:prstDash w14:val="solid"/>
            <w14:bevel/>
          </w14:textOutline>
        </w:rPr>
        <w:t>图</w:t>
      </w:r>
      <w:r>
        <w:rPr>
          <w:rFonts w:ascii="宋体" w:hAnsi="宋体" w:eastAsia="宋体" w:cs="宋体"/>
          <w:spacing w:val="4"/>
          <w:sz w:val="23"/>
          <w:szCs w:val="23"/>
        </w:rPr>
        <w:t xml:space="preserve"> </w:t>
      </w:r>
      <w:r>
        <w:rPr>
          <w:rFonts w:ascii="Times New Roman" w:hAnsi="Times New Roman" w:eastAsia="Times New Roman" w:cs="Times New Roman"/>
          <w:b/>
          <w:bCs/>
          <w:spacing w:val="3"/>
          <w:sz w:val="23"/>
          <w:szCs w:val="23"/>
        </w:rPr>
        <w:t>6-2</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14:textOutline w14:w="4358" w14:cap="sq" w14:cmpd="sng">
            <w14:solidFill>
              <w14:srgbClr w14:val="000000"/>
            </w14:solidFill>
            <w14:prstDash w14:val="solid"/>
            <w14:bevel/>
          </w14:textOutline>
        </w:rPr>
        <w:t>地下水观测井点位分布图</w:t>
      </w:r>
    </w:p>
    <w:p w14:paraId="2ACA040D">
      <w:pPr>
        <w:sectPr>
          <w:headerReference r:id="rId281" w:type="default"/>
          <w:footerReference r:id="rId282" w:type="default"/>
          <w:pgSz w:w="16839" w:h="11906"/>
          <w:pgMar w:top="1132" w:right="1440" w:bottom="1182" w:left="1440" w:header="878" w:footer="1022" w:gutter="0"/>
          <w:cols w:space="720" w:num="1"/>
        </w:sectPr>
      </w:pPr>
    </w:p>
    <w:p w14:paraId="06653828">
      <w:pPr>
        <w:spacing w:line="374" w:lineRule="auto"/>
        <w:rPr>
          <w:rFonts w:ascii="Arial"/>
          <w:sz w:val="21"/>
        </w:rPr>
      </w:pPr>
      <w:r>
        <w:pict>
          <v:shape id="_x0000_s1353" o:spid="_x0000_s1353" style="position:absolute;left:0pt;margin-left:90pt;margin-top:57.35pt;height:0.75pt;width:415.3pt;mso-position-horizontal-relative:page;mso-position-vertical-relative:page;z-index:252047360;mso-width-relative:page;mso-height-relative:page;" fillcolor="#000000" filled="t" stroked="f" coordsize="8305,15" o:allowincell="f" path="m0,0l8305,0,8305,14,0,14,0,0xe">
            <v:path/>
            <v:fill on="t" focussize="0,0"/>
            <v:stroke on="f"/>
            <v:imagedata o:title=""/>
            <o:lock v:ext="edit"/>
          </v:shape>
        </w:pict>
      </w:r>
    </w:p>
    <w:p w14:paraId="4DA95F26">
      <w:pPr>
        <w:spacing w:before="94" w:line="226" w:lineRule="auto"/>
        <w:ind w:left="25"/>
        <w:outlineLvl w:val="2"/>
        <w:rPr>
          <w:rFonts w:ascii="宋体" w:hAnsi="宋体" w:eastAsia="宋体" w:cs="宋体"/>
          <w:sz w:val="29"/>
          <w:szCs w:val="29"/>
        </w:rPr>
      </w:pPr>
      <w:r>
        <w:rPr>
          <w:rFonts w:ascii="Times New Roman" w:hAnsi="Times New Roman" w:eastAsia="Times New Roman" w:cs="Times New Roman"/>
          <w:b/>
          <w:bCs/>
          <w:spacing w:val="6"/>
          <w:sz w:val="29"/>
          <w:szCs w:val="29"/>
        </w:rPr>
        <w:t>6.2.4</w:t>
      </w:r>
      <w:r>
        <w:rPr>
          <w:rFonts w:ascii="Times New Roman" w:hAnsi="Times New Roman" w:eastAsia="Times New Roman" w:cs="Times New Roman"/>
          <w:spacing w:val="6"/>
          <w:sz w:val="29"/>
          <w:szCs w:val="29"/>
        </w:rPr>
        <w:t xml:space="preserve">  </w:t>
      </w:r>
      <w:r>
        <w:rPr>
          <w:rFonts w:ascii="宋体" w:hAnsi="宋体" w:eastAsia="宋体" w:cs="宋体"/>
          <w:spacing w:val="6"/>
          <w:sz w:val="29"/>
          <w:szCs w:val="29"/>
          <w14:textOutline w14:w="5448" w14:cap="sq" w14:cmpd="sng">
            <w14:solidFill>
              <w14:srgbClr w14:val="000000"/>
            </w14:solidFill>
            <w14:prstDash w14:val="solid"/>
            <w14:bevel/>
          </w14:textOutline>
        </w:rPr>
        <w:t>噪声控制措</w:t>
      </w:r>
      <w:r>
        <w:rPr>
          <w:rFonts w:ascii="宋体" w:hAnsi="宋体" w:eastAsia="宋体" w:cs="宋体"/>
          <w:spacing w:val="5"/>
          <w:sz w:val="29"/>
          <w:szCs w:val="29"/>
          <w14:textOutline w14:w="5448" w14:cap="sq" w14:cmpd="sng">
            <w14:solidFill>
              <w14:srgbClr w14:val="000000"/>
            </w14:solidFill>
            <w14:prstDash w14:val="solid"/>
            <w14:bevel/>
          </w14:textOutline>
        </w:rPr>
        <w:t>施</w:t>
      </w:r>
    </w:p>
    <w:p w14:paraId="68CADC3D">
      <w:pPr>
        <w:spacing w:before="314" w:line="376" w:lineRule="auto"/>
        <w:ind w:left="23" w:right="84" w:firstLine="483"/>
        <w:rPr>
          <w:rFonts w:ascii="宋体" w:hAnsi="宋体" w:eastAsia="宋体" w:cs="宋体"/>
          <w:sz w:val="23"/>
          <w:szCs w:val="23"/>
        </w:rPr>
      </w:pPr>
      <w:r>
        <w:rPr>
          <w:rFonts w:ascii="宋体" w:hAnsi="宋体" w:eastAsia="宋体" w:cs="宋体"/>
          <w:spacing w:val="12"/>
          <w:sz w:val="23"/>
          <w:szCs w:val="23"/>
        </w:rPr>
        <w:t>项目噪声</w:t>
      </w:r>
      <w:r>
        <w:rPr>
          <w:rFonts w:ascii="宋体" w:hAnsi="宋体" w:eastAsia="宋体" w:cs="宋体"/>
          <w:spacing w:val="7"/>
          <w:sz w:val="23"/>
          <w:szCs w:val="23"/>
        </w:rPr>
        <w:t>主</w:t>
      </w:r>
      <w:r>
        <w:rPr>
          <w:rFonts w:ascii="宋体" w:hAnsi="宋体" w:eastAsia="宋体" w:cs="宋体"/>
          <w:spacing w:val="6"/>
          <w:sz w:val="23"/>
          <w:szCs w:val="23"/>
        </w:rPr>
        <w:t>要为生产设备运行中辐射噪声，产生较大噪声的噪声源主要有各</w:t>
      </w:r>
      <w:r>
        <w:rPr>
          <w:rFonts w:ascii="宋体" w:hAnsi="宋体" w:eastAsia="宋体" w:cs="宋体"/>
          <w:sz w:val="23"/>
          <w:szCs w:val="23"/>
        </w:rPr>
        <w:t xml:space="preserve"> </w:t>
      </w:r>
      <w:r>
        <w:rPr>
          <w:rFonts w:ascii="宋体" w:hAnsi="宋体" w:eastAsia="宋体" w:cs="宋体"/>
          <w:spacing w:val="9"/>
          <w:sz w:val="23"/>
          <w:szCs w:val="23"/>
        </w:rPr>
        <w:t>喂</w:t>
      </w:r>
      <w:r>
        <w:rPr>
          <w:rFonts w:ascii="宋体" w:hAnsi="宋体" w:eastAsia="宋体" w:cs="宋体"/>
          <w:spacing w:val="7"/>
          <w:sz w:val="23"/>
          <w:szCs w:val="23"/>
        </w:rPr>
        <w:t>料机、洗料机、粉碎机等设备。项目所有噪声源均置于室内，为降低噪声对外</w:t>
      </w:r>
      <w:r>
        <w:rPr>
          <w:rFonts w:ascii="宋体" w:hAnsi="宋体" w:eastAsia="宋体" w:cs="宋体"/>
          <w:sz w:val="23"/>
          <w:szCs w:val="23"/>
        </w:rPr>
        <w:t xml:space="preserve"> </w:t>
      </w:r>
      <w:r>
        <w:rPr>
          <w:rFonts w:ascii="宋体" w:hAnsi="宋体" w:eastAsia="宋体" w:cs="宋体"/>
          <w:spacing w:val="16"/>
          <w:sz w:val="23"/>
          <w:szCs w:val="23"/>
        </w:rPr>
        <w:t>环</w:t>
      </w:r>
      <w:r>
        <w:rPr>
          <w:rFonts w:ascii="宋体" w:hAnsi="宋体" w:eastAsia="宋体" w:cs="宋体"/>
          <w:spacing w:val="8"/>
          <w:sz w:val="23"/>
          <w:szCs w:val="23"/>
        </w:rPr>
        <w:t>境的影响，应采取以下措施：</w:t>
      </w:r>
    </w:p>
    <w:p w14:paraId="1EDF2B0F">
      <w:pPr>
        <w:spacing w:before="148" w:line="393" w:lineRule="auto"/>
        <w:ind w:left="43" w:right="87" w:firstLine="471"/>
        <w:rPr>
          <w:rFonts w:ascii="宋体" w:hAnsi="宋体" w:eastAsia="宋体" w:cs="宋体"/>
          <w:sz w:val="23"/>
          <w:szCs w:val="23"/>
        </w:rPr>
      </w:pPr>
      <w:r>
        <w:rPr>
          <w:rFonts w:ascii="宋体" w:hAnsi="宋体" w:eastAsia="宋体" w:cs="宋体"/>
          <w:spacing w:val="14"/>
          <w:sz w:val="23"/>
          <w:szCs w:val="23"/>
        </w:rPr>
        <w:t>(</w:t>
      </w:r>
      <w:r>
        <w:rPr>
          <w:rFonts w:ascii="Times New Roman" w:hAnsi="Times New Roman" w:eastAsia="Times New Roman" w:cs="Times New Roman"/>
          <w:spacing w:val="13"/>
          <w:sz w:val="23"/>
          <w:szCs w:val="23"/>
        </w:rPr>
        <w:t>1</w:t>
      </w:r>
      <w:r>
        <w:rPr>
          <w:rFonts w:ascii="宋体" w:hAnsi="宋体" w:eastAsia="宋体" w:cs="宋体"/>
          <w:spacing w:val="13"/>
          <w:sz w:val="23"/>
          <w:szCs w:val="23"/>
        </w:rPr>
        <w:t>) 建议在设计和设备采购阶段，充分选用先进的低噪设备，如选用低噪</w:t>
      </w:r>
      <w:r>
        <w:rPr>
          <w:rFonts w:ascii="宋体" w:hAnsi="宋体" w:eastAsia="宋体" w:cs="宋体"/>
          <w:sz w:val="23"/>
          <w:szCs w:val="23"/>
        </w:rPr>
        <w:t xml:space="preserve"> </w:t>
      </w:r>
      <w:r>
        <w:rPr>
          <w:rFonts w:ascii="宋体" w:hAnsi="宋体" w:eastAsia="宋体" w:cs="宋体"/>
          <w:spacing w:val="8"/>
          <w:sz w:val="23"/>
          <w:szCs w:val="23"/>
        </w:rPr>
        <w:t>的泵类等，以从声源上降低设备本身噪声</w:t>
      </w:r>
      <w:r>
        <w:rPr>
          <w:rFonts w:ascii="宋体" w:hAnsi="宋体" w:eastAsia="宋体" w:cs="宋体"/>
          <w:spacing w:val="6"/>
          <w:sz w:val="23"/>
          <w:szCs w:val="23"/>
        </w:rPr>
        <w:t>；</w:t>
      </w:r>
    </w:p>
    <w:p w14:paraId="24817687">
      <w:pPr>
        <w:spacing w:before="136" w:line="393" w:lineRule="auto"/>
        <w:ind w:left="23" w:right="85" w:firstLine="491"/>
        <w:rPr>
          <w:rFonts w:ascii="宋体" w:hAnsi="宋体" w:eastAsia="宋体" w:cs="宋体"/>
          <w:sz w:val="23"/>
          <w:szCs w:val="23"/>
        </w:rPr>
      </w:pPr>
      <w:r>
        <w:rPr>
          <w:rFonts w:ascii="宋体" w:hAnsi="宋体" w:eastAsia="宋体" w:cs="宋体"/>
          <w:spacing w:val="16"/>
          <w:sz w:val="23"/>
          <w:szCs w:val="23"/>
        </w:rPr>
        <w:t>(</w:t>
      </w:r>
      <w:r>
        <w:rPr>
          <w:rFonts w:ascii="Times New Roman" w:hAnsi="Times New Roman" w:eastAsia="Times New Roman" w:cs="Times New Roman"/>
          <w:spacing w:val="13"/>
          <w:sz w:val="23"/>
          <w:szCs w:val="23"/>
        </w:rPr>
        <w:t>2</w:t>
      </w:r>
      <w:r>
        <w:rPr>
          <w:rFonts w:ascii="宋体" w:hAnsi="宋体" w:eastAsia="宋体" w:cs="宋体"/>
          <w:spacing w:val="13"/>
          <w:sz w:val="23"/>
          <w:szCs w:val="23"/>
        </w:rPr>
        <w:t>) 泵类等发声设备应设减振垫；加强设备的维护，确保设备处于良好的</w:t>
      </w:r>
      <w:r>
        <w:rPr>
          <w:rFonts w:ascii="宋体" w:hAnsi="宋体" w:eastAsia="宋体" w:cs="宋体"/>
          <w:sz w:val="23"/>
          <w:szCs w:val="23"/>
        </w:rPr>
        <w:t xml:space="preserve"> </w:t>
      </w:r>
      <w:r>
        <w:rPr>
          <w:rFonts w:ascii="宋体" w:hAnsi="宋体" w:eastAsia="宋体" w:cs="宋体"/>
          <w:spacing w:val="14"/>
          <w:sz w:val="23"/>
          <w:szCs w:val="23"/>
        </w:rPr>
        <w:t>运</w:t>
      </w:r>
      <w:r>
        <w:rPr>
          <w:rFonts w:ascii="宋体" w:hAnsi="宋体" w:eastAsia="宋体" w:cs="宋体"/>
          <w:spacing w:val="9"/>
          <w:sz w:val="23"/>
          <w:szCs w:val="23"/>
        </w:rPr>
        <w:t>转状态，杜绝因设备不正常运转时产生的高噪声现象。</w:t>
      </w:r>
    </w:p>
    <w:p w14:paraId="11BF578A">
      <w:pPr>
        <w:spacing w:before="137" w:line="227" w:lineRule="auto"/>
        <w:ind w:left="514"/>
        <w:rPr>
          <w:rFonts w:ascii="宋体" w:hAnsi="宋体" w:eastAsia="宋体" w:cs="宋体"/>
          <w:sz w:val="23"/>
          <w:szCs w:val="23"/>
        </w:rPr>
      </w:pPr>
      <w:r>
        <w:rPr>
          <w:rFonts w:ascii="宋体" w:hAnsi="宋体" w:eastAsia="宋体" w:cs="宋体"/>
          <w:spacing w:val="13"/>
          <w:sz w:val="23"/>
          <w:szCs w:val="23"/>
        </w:rPr>
        <w:t>(</w:t>
      </w:r>
      <w:r>
        <w:rPr>
          <w:rFonts w:ascii="Times New Roman" w:hAnsi="Times New Roman" w:eastAsia="Times New Roman" w:cs="Times New Roman"/>
          <w:spacing w:val="12"/>
          <w:sz w:val="23"/>
          <w:szCs w:val="23"/>
        </w:rPr>
        <w:t>3</w:t>
      </w:r>
      <w:r>
        <w:rPr>
          <w:rFonts w:ascii="宋体" w:hAnsi="宋体" w:eastAsia="宋体" w:cs="宋体"/>
          <w:spacing w:val="12"/>
          <w:sz w:val="23"/>
          <w:szCs w:val="23"/>
        </w:rPr>
        <w:t>) 着重生产厂房四周绿化，既美化环境又减轻噪声对厂界环境的影响。</w:t>
      </w:r>
    </w:p>
    <w:p w14:paraId="783A0557">
      <w:pPr>
        <w:spacing w:line="276" w:lineRule="auto"/>
        <w:rPr>
          <w:rFonts w:ascii="Arial"/>
          <w:sz w:val="21"/>
        </w:rPr>
      </w:pPr>
    </w:p>
    <w:p w14:paraId="07B77928">
      <w:pPr>
        <w:spacing w:before="75" w:line="393" w:lineRule="auto"/>
        <w:ind w:left="25" w:right="84" w:firstLine="480"/>
        <w:rPr>
          <w:rFonts w:ascii="宋体" w:hAnsi="宋体" w:eastAsia="宋体" w:cs="宋体"/>
          <w:sz w:val="23"/>
          <w:szCs w:val="23"/>
        </w:rPr>
      </w:pPr>
      <w:r>
        <w:rPr>
          <w:rFonts w:ascii="宋体" w:hAnsi="宋体" w:eastAsia="宋体" w:cs="宋体"/>
          <w:spacing w:val="12"/>
          <w:sz w:val="23"/>
          <w:szCs w:val="23"/>
        </w:rPr>
        <w:t>综上所述</w:t>
      </w:r>
      <w:r>
        <w:rPr>
          <w:rFonts w:ascii="宋体" w:hAnsi="宋体" w:eastAsia="宋体" w:cs="宋体"/>
          <w:spacing w:val="8"/>
          <w:sz w:val="23"/>
          <w:szCs w:val="23"/>
        </w:rPr>
        <w:t>，</w:t>
      </w:r>
      <w:r>
        <w:rPr>
          <w:rFonts w:ascii="宋体" w:hAnsi="宋体" w:eastAsia="宋体" w:cs="宋体"/>
          <w:spacing w:val="6"/>
          <w:sz w:val="23"/>
          <w:szCs w:val="23"/>
        </w:rPr>
        <w:t>项目采取上述防噪措施后，噪声对周围环境影响较小，厂界噪声</w:t>
      </w:r>
      <w:r>
        <w:rPr>
          <w:rFonts w:ascii="宋体" w:hAnsi="宋体" w:eastAsia="宋体" w:cs="宋体"/>
          <w:sz w:val="23"/>
          <w:szCs w:val="23"/>
        </w:rPr>
        <w:t xml:space="preserve"> </w:t>
      </w:r>
      <w:r>
        <w:rPr>
          <w:rFonts w:ascii="宋体" w:hAnsi="宋体" w:eastAsia="宋体" w:cs="宋体"/>
          <w:spacing w:val="8"/>
          <w:sz w:val="23"/>
          <w:szCs w:val="23"/>
        </w:rPr>
        <w:t>可达到《工业企</w:t>
      </w:r>
      <w:r>
        <w:rPr>
          <w:rFonts w:ascii="宋体" w:hAnsi="宋体" w:eastAsia="宋体" w:cs="宋体"/>
          <w:spacing w:val="4"/>
          <w:sz w:val="23"/>
          <w:szCs w:val="23"/>
        </w:rPr>
        <w:t>业厂界环境噪声排放标准》  (</w:t>
      </w:r>
      <w:r>
        <w:rPr>
          <w:rFonts w:ascii="Times New Roman" w:hAnsi="Times New Roman" w:eastAsia="Times New Roman" w:cs="Times New Roman"/>
          <w:sz w:val="23"/>
          <w:szCs w:val="23"/>
        </w:rPr>
        <w:t>GB</w:t>
      </w:r>
      <w:r>
        <w:rPr>
          <w:rFonts w:ascii="Times New Roman" w:hAnsi="Times New Roman" w:eastAsia="Times New Roman" w:cs="Times New Roman"/>
          <w:spacing w:val="4"/>
          <w:sz w:val="23"/>
          <w:szCs w:val="23"/>
        </w:rPr>
        <w:t>12348-2008</w:t>
      </w:r>
      <w:r>
        <w:rPr>
          <w:rFonts w:ascii="宋体" w:hAnsi="宋体" w:eastAsia="宋体" w:cs="宋体"/>
          <w:spacing w:val="4"/>
          <w:sz w:val="23"/>
          <w:szCs w:val="23"/>
        </w:rPr>
        <w:t xml:space="preserve">) </w:t>
      </w:r>
      <w:r>
        <w:rPr>
          <w:rFonts w:ascii="Times New Roman" w:hAnsi="Times New Roman" w:eastAsia="Times New Roman" w:cs="Times New Roman"/>
          <w:spacing w:val="4"/>
          <w:sz w:val="23"/>
          <w:szCs w:val="23"/>
        </w:rPr>
        <w:t xml:space="preserve">3 </w:t>
      </w:r>
      <w:r>
        <w:rPr>
          <w:rFonts w:ascii="宋体" w:hAnsi="宋体" w:eastAsia="宋体" w:cs="宋体"/>
          <w:spacing w:val="4"/>
          <w:sz w:val="23"/>
          <w:szCs w:val="23"/>
        </w:rPr>
        <w:t>类标要求。</w:t>
      </w:r>
    </w:p>
    <w:p w14:paraId="23B3B177">
      <w:pPr>
        <w:spacing w:before="86" w:line="226" w:lineRule="auto"/>
        <w:ind w:left="25"/>
        <w:outlineLvl w:val="2"/>
        <w:rPr>
          <w:rFonts w:ascii="宋体" w:hAnsi="宋体" w:eastAsia="宋体" w:cs="宋体"/>
          <w:sz w:val="29"/>
          <w:szCs w:val="29"/>
        </w:rPr>
      </w:pPr>
      <w:r>
        <w:rPr>
          <w:rFonts w:ascii="Times New Roman" w:hAnsi="Times New Roman" w:eastAsia="Times New Roman" w:cs="Times New Roman"/>
          <w:b/>
          <w:bCs/>
          <w:spacing w:val="10"/>
          <w:sz w:val="29"/>
          <w:szCs w:val="29"/>
        </w:rPr>
        <w:t>6</w:t>
      </w:r>
      <w:r>
        <w:rPr>
          <w:rFonts w:ascii="Times New Roman" w:hAnsi="Times New Roman" w:eastAsia="Times New Roman" w:cs="Times New Roman"/>
          <w:b/>
          <w:bCs/>
          <w:spacing w:val="7"/>
          <w:sz w:val="29"/>
          <w:szCs w:val="29"/>
        </w:rPr>
        <w:t>.2.5</w:t>
      </w:r>
      <w:r>
        <w:rPr>
          <w:rFonts w:ascii="Times New Roman" w:hAnsi="Times New Roman" w:eastAsia="Times New Roman" w:cs="Times New Roman"/>
          <w:spacing w:val="7"/>
          <w:sz w:val="29"/>
          <w:szCs w:val="29"/>
        </w:rPr>
        <w:t xml:space="preserve">  </w:t>
      </w:r>
      <w:r>
        <w:rPr>
          <w:rFonts w:ascii="宋体" w:hAnsi="宋体" w:eastAsia="宋体" w:cs="宋体"/>
          <w:spacing w:val="7"/>
          <w:sz w:val="29"/>
          <w:szCs w:val="29"/>
          <w14:textOutline w14:w="5448" w14:cap="sq" w14:cmpd="sng">
            <w14:solidFill>
              <w14:srgbClr w14:val="000000"/>
            </w14:solidFill>
            <w14:prstDash w14:val="solid"/>
            <w14:bevel/>
          </w14:textOutline>
        </w:rPr>
        <w:t>固体废物污染防治措施</w:t>
      </w:r>
    </w:p>
    <w:p w14:paraId="19099AED">
      <w:pPr>
        <w:spacing w:before="315" w:line="227" w:lineRule="auto"/>
        <w:ind w:left="507"/>
        <w:rPr>
          <w:rFonts w:ascii="宋体" w:hAnsi="宋体" w:eastAsia="宋体" w:cs="宋体"/>
          <w:sz w:val="23"/>
          <w:szCs w:val="23"/>
        </w:rPr>
      </w:pPr>
      <w:r>
        <w:rPr>
          <w:rFonts w:ascii="宋体" w:hAnsi="宋体" w:eastAsia="宋体" w:cs="宋体"/>
          <w:spacing w:val="12"/>
          <w:sz w:val="23"/>
          <w:szCs w:val="23"/>
        </w:rPr>
        <w:t>该项目固</w:t>
      </w:r>
      <w:r>
        <w:rPr>
          <w:rFonts w:ascii="宋体" w:hAnsi="宋体" w:eastAsia="宋体" w:cs="宋体"/>
          <w:spacing w:val="7"/>
          <w:sz w:val="23"/>
          <w:szCs w:val="23"/>
        </w:rPr>
        <w:t>体</w:t>
      </w:r>
      <w:r>
        <w:rPr>
          <w:rFonts w:ascii="宋体" w:hAnsi="宋体" w:eastAsia="宋体" w:cs="宋体"/>
          <w:spacing w:val="6"/>
          <w:sz w:val="23"/>
          <w:szCs w:val="23"/>
        </w:rPr>
        <w:t>废物主要为员工产生的生活垃圾、危险废物以及一般工业固体废</w:t>
      </w:r>
    </w:p>
    <w:p w14:paraId="122B321E">
      <w:pPr>
        <w:spacing w:before="179" w:line="378" w:lineRule="auto"/>
        <w:ind w:left="37" w:right="99" w:hanging="14"/>
        <w:rPr>
          <w:rFonts w:ascii="宋体" w:hAnsi="宋体" w:eastAsia="宋体" w:cs="宋体"/>
          <w:sz w:val="23"/>
          <w:szCs w:val="23"/>
        </w:rPr>
      </w:pPr>
      <w:r>
        <w:rPr>
          <w:rFonts w:ascii="宋体" w:hAnsi="宋体" w:eastAsia="宋体" w:cs="宋体"/>
          <w:spacing w:val="26"/>
          <w:sz w:val="23"/>
          <w:szCs w:val="23"/>
        </w:rPr>
        <w:t>物</w:t>
      </w:r>
      <w:r>
        <w:rPr>
          <w:rFonts w:ascii="宋体" w:hAnsi="宋体" w:eastAsia="宋体" w:cs="宋体"/>
          <w:spacing w:val="20"/>
          <w:sz w:val="23"/>
          <w:szCs w:val="23"/>
        </w:rPr>
        <w:t>，</w:t>
      </w:r>
      <w:r>
        <w:rPr>
          <w:rFonts w:ascii="宋体" w:hAnsi="宋体" w:eastAsia="宋体" w:cs="宋体"/>
          <w:spacing w:val="13"/>
          <w:sz w:val="23"/>
          <w:szCs w:val="23"/>
        </w:rPr>
        <w:t>其中一般工业固体废物包括杂质、沉淀池污泥、废滤网、热风炉炉渣以及</w:t>
      </w:r>
      <w:r>
        <w:rPr>
          <w:rFonts w:ascii="宋体" w:hAnsi="宋体" w:eastAsia="宋体" w:cs="宋体"/>
          <w:sz w:val="23"/>
          <w:szCs w:val="23"/>
        </w:rPr>
        <w:t xml:space="preserve"> </w:t>
      </w:r>
      <w:r>
        <w:rPr>
          <w:rFonts w:ascii="宋体" w:hAnsi="宋体" w:eastAsia="宋体" w:cs="宋体"/>
          <w:spacing w:val="10"/>
          <w:sz w:val="23"/>
          <w:szCs w:val="23"/>
        </w:rPr>
        <w:t xml:space="preserve">除尘器收集的粉尘，危险废物主要为废活性炭、废 </w:t>
      </w:r>
      <w:r>
        <w:rPr>
          <w:rFonts w:ascii="Times New Roman" w:hAnsi="Times New Roman" w:eastAsia="Times New Roman" w:cs="Times New Roman"/>
          <w:sz w:val="23"/>
          <w:szCs w:val="23"/>
        </w:rPr>
        <w:t>uv</w:t>
      </w:r>
      <w:r>
        <w:rPr>
          <w:rFonts w:ascii="Times New Roman" w:hAnsi="Times New Roman" w:eastAsia="Times New Roman" w:cs="Times New Roman"/>
          <w:spacing w:val="10"/>
          <w:sz w:val="23"/>
          <w:szCs w:val="23"/>
        </w:rPr>
        <w:t xml:space="preserve"> </w:t>
      </w:r>
      <w:r>
        <w:rPr>
          <w:rFonts w:ascii="宋体" w:hAnsi="宋体" w:eastAsia="宋体" w:cs="宋体"/>
          <w:spacing w:val="10"/>
          <w:sz w:val="23"/>
          <w:szCs w:val="23"/>
        </w:rPr>
        <w:t>光解灯管</w:t>
      </w:r>
      <w:r>
        <w:rPr>
          <w:rFonts w:ascii="宋体" w:hAnsi="宋体" w:eastAsia="宋体" w:cs="宋体"/>
          <w:spacing w:val="9"/>
          <w:sz w:val="23"/>
          <w:szCs w:val="23"/>
        </w:rPr>
        <w:t>。</w:t>
      </w:r>
    </w:p>
    <w:p w14:paraId="00BA81B6">
      <w:pPr>
        <w:spacing w:before="145" w:line="387" w:lineRule="auto"/>
        <w:ind w:left="22" w:firstLine="484"/>
        <w:rPr>
          <w:rFonts w:ascii="宋体" w:hAnsi="宋体" w:eastAsia="宋体" w:cs="宋体"/>
          <w:sz w:val="23"/>
          <w:szCs w:val="23"/>
        </w:rPr>
      </w:pPr>
      <w:r>
        <w:rPr>
          <w:rFonts w:ascii="宋体" w:hAnsi="宋体" w:eastAsia="宋体" w:cs="宋体"/>
          <w:spacing w:val="18"/>
          <w:sz w:val="23"/>
          <w:szCs w:val="23"/>
        </w:rPr>
        <w:t>该</w:t>
      </w:r>
      <w:r>
        <w:rPr>
          <w:rFonts w:ascii="宋体" w:hAnsi="宋体" w:eastAsia="宋体" w:cs="宋体"/>
          <w:spacing w:val="11"/>
          <w:sz w:val="23"/>
          <w:szCs w:val="23"/>
        </w:rPr>
        <w:t>项</w:t>
      </w:r>
      <w:r>
        <w:rPr>
          <w:rFonts w:ascii="宋体" w:hAnsi="宋体" w:eastAsia="宋体" w:cs="宋体"/>
          <w:spacing w:val="9"/>
          <w:sz w:val="23"/>
          <w:szCs w:val="23"/>
        </w:rPr>
        <w:t>目在厂区内设置集中收集垃圾箱，员工生活垃圾收集到指定垃圾箱内，</w:t>
      </w:r>
      <w:r>
        <w:rPr>
          <w:rFonts w:ascii="宋体" w:hAnsi="宋体" w:eastAsia="宋体" w:cs="宋体"/>
          <w:sz w:val="23"/>
          <w:szCs w:val="23"/>
        </w:rPr>
        <w:t xml:space="preserve"> </w:t>
      </w:r>
      <w:r>
        <w:rPr>
          <w:rFonts w:ascii="宋体" w:hAnsi="宋体" w:eastAsia="宋体" w:cs="宋体"/>
          <w:spacing w:val="9"/>
          <w:sz w:val="23"/>
          <w:szCs w:val="23"/>
        </w:rPr>
        <w:t>随</w:t>
      </w:r>
      <w:r>
        <w:rPr>
          <w:rFonts w:ascii="宋体" w:hAnsi="宋体" w:eastAsia="宋体" w:cs="宋体"/>
          <w:spacing w:val="7"/>
          <w:sz w:val="23"/>
          <w:szCs w:val="23"/>
        </w:rPr>
        <w:t>后运送至环卫部门指定地点统一处理；产生的杂质集中收集后，与生活垃圾统</w:t>
      </w:r>
      <w:r>
        <w:rPr>
          <w:rFonts w:ascii="宋体" w:hAnsi="宋体" w:eastAsia="宋体" w:cs="宋体"/>
          <w:sz w:val="23"/>
          <w:szCs w:val="23"/>
        </w:rPr>
        <w:t xml:space="preserve"> </w:t>
      </w:r>
      <w:r>
        <w:rPr>
          <w:rFonts w:ascii="宋体" w:hAnsi="宋体" w:eastAsia="宋体" w:cs="宋体"/>
          <w:spacing w:val="9"/>
          <w:sz w:val="23"/>
          <w:szCs w:val="23"/>
        </w:rPr>
        <w:t>一</w:t>
      </w:r>
      <w:r>
        <w:rPr>
          <w:rFonts w:ascii="宋体" w:hAnsi="宋体" w:eastAsia="宋体" w:cs="宋体"/>
          <w:spacing w:val="7"/>
          <w:sz w:val="23"/>
          <w:szCs w:val="23"/>
        </w:rPr>
        <w:t>运送至环卫部门指定地点统一处理；生产废水处理过程中产生的污泥经压滤后</w:t>
      </w:r>
      <w:r>
        <w:rPr>
          <w:rFonts w:ascii="宋体" w:hAnsi="宋体" w:eastAsia="宋体" w:cs="宋体"/>
          <w:sz w:val="23"/>
          <w:szCs w:val="23"/>
        </w:rPr>
        <w:t xml:space="preserve"> </w:t>
      </w:r>
      <w:r>
        <w:rPr>
          <w:rFonts w:ascii="宋体" w:hAnsi="宋体" w:eastAsia="宋体" w:cs="宋体"/>
          <w:spacing w:val="26"/>
          <w:sz w:val="23"/>
          <w:szCs w:val="23"/>
        </w:rPr>
        <w:t>可</w:t>
      </w:r>
      <w:r>
        <w:rPr>
          <w:rFonts w:ascii="宋体" w:hAnsi="宋体" w:eastAsia="宋体" w:cs="宋体"/>
          <w:spacing w:val="23"/>
          <w:sz w:val="23"/>
          <w:szCs w:val="23"/>
        </w:rPr>
        <w:t>与</w:t>
      </w:r>
      <w:r>
        <w:rPr>
          <w:rFonts w:ascii="宋体" w:hAnsi="宋体" w:eastAsia="宋体" w:cs="宋体"/>
          <w:spacing w:val="13"/>
          <w:sz w:val="23"/>
          <w:szCs w:val="23"/>
        </w:rPr>
        <w:t>生活垃圾一起运送至环卫部门指定地点统一处理；热风炉燃烧生物质产生</w:t>
      </w:r>
      <w:r>
        <w:rPr>
          <w:rFonts w:ascii="宋体" w:hAnsi="宋体" w:eastAsia="宋体" w:cs="宋体"/>
          <w:sz w:val="23"/>
          <w:szCs w:val="23"/>
        </w:rPr>
        <w:t xml:space="preserve"> </w:t>
      </w:r>
      <w:r>
        <w:rPr>
          <w:rFonts w:ascii="宋体" w:hAnsi="宋体" w:eastAsia="宋体" w:cs="宋体"/>
          <w:spacing w:val="35"/>
          <w:sz w:val="23"/>
          <w:szCs w:val="23"/>
        </w:rPr>
        <w:t>的</w:t>
      </w:r>
      <w:r>
        <w:rPr>
          <w:rFonts w:ascii="宋体" w:hAnsi="宋体" w:eastAsia="宋体" w:cs="宋体"/>
          <w:spacing w:val="21"/>
          <w:sz w:val="23"/>
          <w:szCs w:val="23"/>
        </w:rPr>
        <w:t>炉渣及及除尘器收集的粉尘定期外卖给农肥厂进行综合利用；产生的废滤</w:t>
      </w:r>
      <w:r>
        <w:rPr>
          <w:rFonts w:ascii="宋体" w:hAnsi="宋体" w:eastAsia="宋体" w:cs="宋体"/>
          <w:sz w:val="23"/>
          <w:szCs w:val="23"/>
        </w:rPr>
        <w:t xml:space="preserve"> </w:t>
      </w:r>
      <w:r>
        <w:rPr>
          <w:rFonts w:ascii="宋体" w:hAnsi="宋体" w:eastAsia="宋体" w:cs="宋体"/>
          <w:spacing w:val="34"/>
          <w:sz w:val="23"/>
          <w:szCs w:val="23"/>
        </w:rPr>
        <w:t>网</w:t>
      </w:r>
      <w:r>
        <w:rPr>
          <w:rFonts w:ascii="宋体" w:hAnsi="宋体" w:eastAsia="宋体" w:cs="宋体"/>
          <w:spacing w:val="26"/>
          <w:sz w:val="23"/>
          <w:szCs w:val="23"/>
        </w:rPr>
        <w:t>均</w:t>
      </w:r>
      <w:r>
        <w:rPr>
          <w:rFonts w:ascii="宋体" w:hAnsi="宋体" w:eastAsia="宋体" w:cs="宋体"/>
          <w:spacing w:val="17"/>
          <w:sz w:val="23"/>
          <w:szCs w:val="23"/>
        </w:rPr>
        <w:t>由厂家定期回收；产生的废活性炭属于</w:t>
      </w:r>
      <w:r>
        <w:rPr>
          <w:rFonts w:ascii="Times New Roman" w:hAnsi="Times New Roman" w:eastAsia="Times New Roman" w:cs="Times New Roman"/>
          <w:spacing w:val="17"/>
          <w:sz w:val="23"/>
          <w:szCs w:val="23"/>
        </w:rPr>
        <w:t>“</w:t>
      </w:r>
      <w:r>
        <w:rPr>
          <w:rFonts w:ascii="Times New Roman" w:hAnsi="Times New Roman" w:eastAsia="Times New Roman" w:cs="Times New Roman"/>
          <w:sz w:val="23"/>
          <w:szCs w:val="23"/>
        </w:rPr>
        <w:t>HW</w:t>
      </w:r>
      <w:r>
        <w:rPr>
          <w:rFonts w:ascii="Times New Roman" w:hAnsi="Times New Roman" w:eastAsia="Times New Roman" w:cs="Times New Roman"/>
          <w:spacing w:val="17"/>
          <w:sz w:val="23"/>
          <w:szCs w:val="23"/>
        </w:rPr>
        <w:t xml:space="preserve">49  </w:t>
      </w:r>
      <w:r>
        <w:rPr>
          <w:rFonts w:ascii="宋体" w:hAnsi="宋体" w:eastAsia="宋体" w:cs="宋体"/>
          <w:spacing w:val="17"/>
          <w:sz w:val="23"/>
          <w:szCs w:val="23"/>
        </w:rPr>
        <w:t>其他废物</w:t>
      </w:r>
      <w:r>
        <w:rPr>
          <w:rFonts w:ascii="Times New Roman" w:hAnsi="Times New Roman" w:eastAsia="Times New Roman" w:cs="Times New Roman"/>
          <w:spacing w:val="17"/>
          <w:sz w:val="23"/>
          <w:szCs w:val="23"/>
        </w:rPr>
        <w:t xml:space="preserve">” </w:t>
      </w:r>
      <w:r>
        <w:rPr>
          <w:rFonts w:ascii="宋体" w:hAnsi="宋体" w:eastAsia="宋体" w:cs="宋体"/>
          <w:spacing w:val="17"/>
          <w:sz w:val="23"/>
          <w:szCs w:val="23"/>
        </w:rPr>
        <w:t>，废物代码为</w:t>
      </w:r>
      <w:r>
        <w:rPr>
          <w:rFonts w:ascii="宋体" w:hAnsi="宋体" w:eastAsia="宋体" w:cs="宋体"/>
          <w:sz w:val="23"/>
          <w:szCs w:val="23"/>
        </w:rPr>
        <w:t xml:space="preserve"> </w:t>
      </w:r>
      <w:r>
        <w:rPr>
          <w:rFonts w:ascii="Times New Roman" w:hAnsi="Times New Roman" w:eastAsia="Times New Roman" w:cs="Times New Roman"/>
          <w:spacing w:val="6"/>
          <w:sz w:val="23"/>
          <w:szCs w:val="23"/>
        </w:rPr>
        <w:t>9</w:t>
      </w:r>
      <w:r>
        <w:rPr>
          <w:rFonts w:ascii="Times New Roman" w:hAnsi="Times New Roman" w:eastAsia="Times New Roman" w:cs="Times New Roman"/>
          <w:spacing w:val="4"/>
          <w:sz w:val="23"/>
          <w:szCs w:val="23"/>
        </w:rPr>
        <w:t xml:space="preserve">00-041-49 </w:t>
      </w:r>
      <w:r>
        <w:rPr>
          <w:rFonts w:ascii="宋体" w:hAnsi="宋体" w:eastAsia="宋体" w:cs="宋体"/>
          <w:spacing w:val="4"/>
          <w:sz w:val="23"/>
          <w:szCs w:val="23"/>
        </w:rPr>
        <w:t>，即</w:t>
      </w:r>
      <w:r>
        <w:rPr>
          <w:rFonts w:ascii="Times New Roman" w:hAnsi="Times New Roman" w:eastAsia="Times New Roman" w:cs="Times New Roman"/>
          <w:spacing w:val="4"/>
          <w:sz w:val="23"/>
          <w:szCs w:val="23"/>
        </w:rPr>
        <w:t>“</w:t>
      </w:r>
      <w:r>
        <w:rPr>
          <w:rFonts w:ascii="宋体" w:hAnsi="宋体" w:eastAsia="宋体" w:cs="宋体"/>
          <w:spacing w:val="4"/>
          <w:sz w:val="23"/>
          <w:szCs w:val="23"/>
        </w:rPr>
        <w:t>含有或沾染毒性、感染性危险废物的废弃包装物、容器、过滤吸</w:t>
      </w:r>
      <w:r>
        <w:rPr>
          <w:rFonts w:ascii="宋体" w:hAnsi="宋体" w:eastAsia="宋体" w:cs="宋体"/>
          <w:sz w:val="23"/>
          <w:szCs w:val="23"/>
        </w:rPr>
        <w:t xml:space="preserve"> </w:t>
      </w:r>
      <w:r>
        <w:rPr>
          <w:rFonts w:ascii="宋体" w:hAnsi="宋体" w:eastAsia="宋体" w:cs="宋体"/>
          <w:spacing w:val="4"/>
          <w:sz w:val="23"/>
          <w:szCs w:val="23"/>
        </w:rPr>
        <w:t>附介质</w:t>
      </w:r>
      <w:r>
        <w:rPr>
          <w:rFonts w:ascii="Times New Roman" w:hAnsi="Times New Roman" w:eastAsia="Times New Roman" w:cs="Times New Roman"/>
          <w:spacing w:val="4"/>
          <w:sz w:val="23"/>
          <w:szCs w:val="23"/>
        </w:rPr>
        <w:t>”</w:t>
      </w:r>
      <w:r>
        <w:rPr>
          <w:rFonts w:ascii="宋体" w:hAnsi="宋体" w:eastAsia="宋体" w:cs="宋体"/>
          <w:spacing w:val="4"/>
          <w:sz w:val="23"/>
          <w:szCs w:val="23"/>
        </w:rPr>
        <w:t>，危险特性为</w:t>
      </w:r>
      <w:r>
        <w:rPr>
          <w:rFonts w:ascii="Times New Roman" w:hAnsi="Times New Roman" w:eastAsia="Times New Roman" w:cs="Times New Roman"/>
          <w:spacing w:val="4"/>
          <w:sz w:val="23"/>
          <w:szCs w:val="23"/>
        </w:rPr>
        <w:t>“</w:t>
      </w:r>
      <w:r>
        <w:rPr>
          <w:rFonts w:ascii="Times New Roman" w:hAnsi="Times New Roman" w:eastAsia="Times New Roman" w:cs="Times New Roman"/>
          <w:sz w:val="23"/>
          <w:szCs w:val="23"/>
        </w:rPr>
        <w:t>T</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(毒性) ，</w:t>
      </w:r>
      <w:r>
        <w:rPr>
          <w:rFonts w:ascii="Times New Roman" w:hAnsi="Times New Roman" w:eastAsia="Times New Roman" w:cs="Times New Roman"/>
          <w:sz w:val="23"/>
          <w:szCs w:val="23"/>
        </w:rPr>
        <w:t>In</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 xml:space="preserve">(感染性) </w:t>
      </w:r>
      <w:r>
        <w:rPr>
          <w:rFonts w:ascii="Times New Roman" w:hAnsi="Times New Roman" w:eastAsia="Times New Roman" w:cs="Times New Roman"/>
          <w:spacing w:val="2"/>
          <w:sz w:val="23"/>
          <w:szCs w:val="23"/>
        </w:rPr>
        <w:t>”</w:t>
      </w:r>
      <w:r>
        <w:rPr>
          <w:rFonts w:ascii="宋体" w:hAnsi="宋体" w:eastAsia="宋体" w:cs="宋体"/>
          <w:spacing w:val="2"/>
          <w:sz w:val="23"/>
          <w:szCs w:val="23"/>
        </w:rPr>
        <w:t xml:space="preserve">，废 </w:t>
      </w:r>
      <w:r>
        <w:rPr>
          <w:rFonts w:ascii="Times New Roman" w:hAnsi="Times New Roman" w:eastAsia="Times New Roman" w:cs="Times New Roman"/>
          <w:sz w:val="23"/>
          <w:szCs w:val="23"/>
        </w:rPr>
        <w:t>uv</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光解灯管属于</w:t>
      </w:r>
      <w:r>
        <w:rPr>
          <w:rFonts w:ascii="Times New Roman" w:hAnsi="Times New Roman" w:eastAsia="Times New Roman" w:cs="Times New Roman"/>
          <w:spacing w:val="2"/>
          <w:sz w:val="23"/>
          <w:szCs w:val="23"/>
        </w:rPr>
        <w:t>“</w:t>
      </w:r>
      <w:r>
        <w:rPr>
          <w:rFonts w:ascii="Times New Roman" w:hAnsi="Times New Roman" w:eastAsia="Times New Roman" w:cs="Times New Roman"/>
          <w:sz w:val="23"/>
          <w:szCs w:val="23"/>
        </w:rPr>
        <w:t>HW</w:t>
      </w:r>
      <w:r>
        <w:rPr>
          <w:rFonts w:ascii="Times New Roman" w:hAnsi="Times New Roman" w:eastAsia="Times New Roman" w:cs="Times New Roman"/>
          <w:spacing w:val="2"/>
          <w:sz w:val="23"/>
          <w:szCs w:val="23"/>
        </w:rPr>
        <w:t xml:space="preserve">29  </w:t>
      </w:r>
      <w:r>
        <w:rPr>
          <w:rFonts w:ascii="宋体" w:hAnsi="宋体" w:eastAsia="宋体" w:cs="宋体"/>
          <w:spacing w:val="2"/>
          <w:sz w:val="23"/>
          <w:szCs w:val="23"/>
        </w:rPr>
        <w:t>含</w:t>
      </w:r>
      <w:r>
        <w:rPr>
          <w:rFonts w:ascii="宋体" w:hAnsi="宋体" w:eastAsia="宋体" w:cs="宋体"/>
          <w:sz w:val="23"/>
          <w:szCs w:val="23"/>
        </w:rPr>
        <w:t xml:space="preserve"> </w:t>
      </w:r>
      <w:r>
        <w:rPr>
          <w:rFonts w:ascii="宋体" w:hAnsi="宋体" w:eastAsia="宋体" w:cs="宋体"/>
          <w:spacing w:val="3"/>
          <w:sz w:val="23"/>
          <w:szCs w:val="23"/>
        </w:rPr>
        <w:t>汞废物</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 xml:space="preserve">，废物代码为 </w:t>
      </w:r>
      <w:r>
        <w:rPr>
          <w:rFonts w:ascii="Times New Roman" w:hAnsi="Times New Roman" w:eastAsia="Times New Roman" w:cs="Times New Roman"/>
          <w:spacing w:val="3"/>
          <w:sz w:val="23"/>
          <w:szCs w:val="23"/>
        </w:rPr>
        <w:t xml:space="preserve">900-023-29 </w:t>
      </w:r>
      <w:r>
        <w:rPr>
          <w:rFonts w:ascii="宋体" w:hAnsi="宋体" w:eastAsia="宋体" w:cs="宋体"/>
          <w:spacing w:val="3"/>
          <w:sz w:val="23"/>
          <w:szCs w:val="23"/>
        </w:rPr>
        <w:t>，即</w:t>
      </w:r>
      <w:r>
        <w:rPr>
          <w:rFonts w:ascii="Times New Roman" w:hAnsi="Times New Roman" w:eastAsia="Times New Roman" w:cs="Times New Roman"/>
          <w:spacing w:val="3"/>
          <w:sz w:val="23"/>
          <w:szCs w:val="23"/>
        </w:rPr>
        <w:t>“</w:t>
      </w:r>
      <w:r>
        <w:rPr>
          <w:rFonts w:ascii="宋体" w:hAnsi="宋体" w:eastAsia="宋体" w:cs="宋体"/>
          <w:spacing w:val="3"/>
          <w:sz w:val="23"/>
          <w:szCs w:val="23"/>
        </w:rPr>
        <w:t>生产、销售及使用过程中产生的废</w:t>
      </w:r>
      <w:r>
        <w:rPr>
          <w:rFonts w:ascii="宋体" w:hAnsi="宋体" w:eastAsia="宋体" w:cs="宋体"/>
          <w:spacing w:val="2"/>
          <w:sz w:val="23"/>
          <w:szCs w:val="23"/>
        </w:rPr>
        <w:t>含</w:t>
      </w:r>
      <w:r>
        <w:rPr>
          <w:rFonts w:ascii="宋体" w:hAnsi="宋体" w:eastAsia="宋体" w:cs="宋体"/>
          <w:sz w:val="23"/>
          <w:szCs w:val="23"/>
        </w:rPr>
        <w:t xml:space="preserve">汞荧 </w:t>
      </w:r>
      <w:r>
        <w:rPr>
          <w:rFonts w:ascii="宋体" w:hAnsi="宋体" w:eastAsia="宋体" w:cs="宋体"/>
          <w:spacing w:val="8"/>
          <w:sz w:val="23"/>
          <w:szCs w:val="23"/>
        </w:rPr>
        <w:t>光灯管及</w:t>
      </w:r>
      <w:r>
        <w:rPr>
          <w:rFonts w:ascii="宋体" w:hAnsi="宋体" w:eastAsia="宋体" w:cs="宋体"/>
          <w:spacing w:val="5"/>
          <w:sz w:val="23"/>
          <w:szCs w:val="23"/>
        </w:rPr>
        <w:t>其</w:t>
      </w:r>
      <w:r>
        <w:rPr>
          <w:rFonts w:ascii="宋体" w:hAnsi="宋体" w:eastAsia="宋体" w:cs="宋体"/>
          <w:spacing w:val="4"/>
          <w:sz w:val="23"/>
          <w:szCs w:val="23"/>
        </w:rPr>
        <w:t>他废含汞电光源</w:t>
      </w:r>
      <w:r>
        <w:rPr>
          <w:rFonts w:ascii="Times New Roman" w:hAnsi="Times New Roman" w:eastAsia="Times New Roman" w:cs="Times New Roman"/>
          <w:spacing w:val="4"/>
          <w:sz w:val="23"/>
          <w:szCs w:val="23"/>
        </w:rPr>
        <w:t>”</w:t>
      </w:r>
      <w:r>
        <w:rPr>
          <w:rFonts w:ascii="宋体" w:hAnsi="宋体" w:eastAsia="宋体" w:cs="宋体"/>
          <w:spacing w:val="4"/>
          <w:sz w:val="23"/>
          <w:szCs w:val="23"/>
        </w:rPr>
        <w:t>，危险特性为</w:t>
      </w:r>
      <w:r>
        <w:rPr>
          <w:rFonts w:ascii="Times New Roman" w:hAnsi="Times New Roman" w:eastAsia="Times New Roman" w:cs="Times New Roman"/>
          <w:spacing w:val="4"/>
          <w:sz w:val="23"/>
          <w:szCs w:val="23"/>
        </w:rPr>
        <w:t>“</w:t>
      </w:r>
      <w:r>
        <w:rPr>
          <w:rFonts w:ascii="Times New Roman" w:hAnsi="Times New Roman" w:eastAsia="Times New Roman" w:cs="Times New Roman"/>
          <w:sz w:val="23"/>
          <w:szCs w:val="23"/>
        </w:rPr>
        <w:t>T</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 xml:space="preserve">(毒性) </w:t>
      </w:r>
      <w:r>
        <w:rPr>
          <w:rFonts w:ascii="Times New Roman" w:hAnsi="Times New Roman" w:eastAsia="Times New Roman" w:cs="Times New Roman"/>
          <w:spacing w:val="4"/>
          <w:sz w:val="23"/>
          <w:szCs w:val="23"/>
        </w:rPr>
        <w:t>”</w:t>
      </w:r>
      <w:r>
        <w:rPr>
          <w:rFonts w:ascii="宋体" w:hAnsi="宋体" w:eastAsia="宋体" w:cs="宋体"/>
          <w:spacing w:val="4"/>
          <w:sz w:val="23"/>
          <w:szCs w:val="23"/>
        </w:rPr>
        <w:t>，建设单位应将废活性炭、</w:t>
      </w:r>
      <w:r>
        <w:rPr>
          <w:rFonts w:ascii="宋体" w:hAnsi="宋体" w:eastAsia="宋体" w:cs="宋体"/>
          <w:sz w:val="23"/>
          <w:szCs w:val="23"/>
        </w:rPr>
        <w:t xml:space="preserve"> </w:t>
      </w:r>
      <w:r>
        <w:rPr>
          <w:rFonts w:ascii="宋体" w:hAnsi="宋体" w:eastAsia="宋体" w:cs="宋体"/>
          <w:spacing w:val="16"/>
          <w:sz w:val="23"/>
          <w:szCs w:val="23"/>
        </w:rPr>
        <w:t xml:space="preserve">废 </w:t>
      </w:r>
      <w:r>
        <w:rPr>
          <w:rFonts w:ascii="Times New Roman" w:hAnsi="Times New Roman" w:eastAsia="Times New Roman" w:cs="Times New Roman"/>
          <w:sz w:val="23"/>
          <w:szCs w:val="23"/>
        </w:rPr>
        <w:t>uv</w:t>
      </w:r>
      <w:r>
        <w:rPr>
          <w:rFonts w:ascii="Times New Roman" w:hAnsi="Times New Roman" w:eastAsia="Times New Roman" w:cs="Times New Roman"/>
          <w:spacing w:val="16"/>
          <w:sz w:val="23"/>
          <w:szCs w:val="23"/>
        </w:rPr>
        <w:t xml:space="preserve"> </w:t>
      </w:r>
      <w:r>
        <w:rPr>
          <w:rFonts w:ascii="宋体" w:hAnsi="宋体" w:eastAsia="宋体" w:cs="宋体"/>
          <w:spacing w:val="9"/>
          <w:sz w:val="23"/>
          <w:szCs w:val="23"/>
        </w:rPr>
        <w:t>光</w:t>
      </w:r>
      <w:r>
        <w:rPr>
          <w:rFonts w:ascii="宋体" w:hAnsi="宋体" w:eastAsia="宋体" w:cs="宋体"/>
          <w:spacing w:val="8"/>
          <w:sz w:val="23"/>
          <w:szCs w:val="23"/>
        </w:rPr>
        <w:t>解灯管集中收集后存放在固定容器中单独存放，积攒到一定数量后交由</w:t>
      </w:r>
    </w:p>
    <w:p w14:paraId="67033E3B">
      <w:pPr>
        <w:sectPr>
          <w:headerReference r:id="rId283" w:type="default"/>
          <w:footerReference r:id="rId284" w:type="default"/>
          <w:pgSz w:w="11906" w:h="16839"/>
          <w:pgMar w:top="1132" w:right="1714" w:bottom="1182" w:left="1785" w:header="878" w:footer="1022" w:gutter="0"/>
          <w:cols w:space="720" w:num="1"/>
        </w:sectPr>
      </w:pPr>
    </w:p>
    <w:p w14:paraId="129803D6">
      <w:pPr>
        <w:spacing w:line="408" w:lineRule="auto"/>
        <w:rPr>
          <w:rFonts w:ascii="Arial"/>
          <w:sz w:val="21"/>
        </w:rPr>
      </w:pPr>
      <w:r>
        <w:pict>
          <v:shape id="_x0000_s1354" o:spid="_x0000_s1354" style="position:absolute;left:0pt;margin-left:90pt;margin-top:57.35pt;height:0.75pt;width:415.3pt;mso-position-horizontal-relative:page;mso-position-vertical-relative:page;z-index:252048384;mso-width-relative:page;mso-height-relative:page;" fillcolor="#000000" filled="t" stroked="f" coordsize="8305,15" o:allowincell="f" path="m0,0l8305,0,8305,14,0,14,0,0xe">
            <v:path/>
            <v:fill on="t" focussize="0,0"/>
            <v:stroke on="f"/>
            <v:imagedata o:title=""/>
            <o:lock v:ext="edit"/>
          </v:shape>
        </w:pict>
      </w:r>
    </w:p>
    <w:p w14:paraId="71460838">
      <w:pPr>
        <w:spacing w:before="75" w:line="228" w:lineRule="auto"/>
        <w:ind w:left="24"/>
        <w:rPr>
          <w:rFonts w:ascii="宋体" w:hAnsi="宋体" w:eastAsia="宋体" w:cs="宋体"/>
          <w:sz w:val="23"/>
          <w:szCs w:val="23"/>
        </w:rPr>
      </w:pPr>
      <w:r>
        <w:rPr>
          <w:rFonts w:ascii="宋体" w:hAnsi="宋体" w:eastAsia="宋体" w:cs="宋体"/>
          <w:spacing w:val="13"/>
          <w:sz w:val="23"/>
          <w:szCs w:val="23"/>
        </w:rPr>
        <w:t>有</w:t>
      </w:r>
      <w:r>
        <w:rPr>
          <w:rFonts w:ascii="宋体" w:hAnsi="宋体" w:eastAsia="宋体" w:cs="宋体"/>
          <w:spacing w:val="9"/>
          <w:sz w:val="23"/>
          <w:szCs w:val="23"/>
        </w:rPr>
        <w:t>资质单位处理，禁止作为一般固体废物随意丢弃排放。</w:t>
      </w:r>
    </w:p>
    <w:p w14:paraId="0BC67B53">
      <w:pPr>
        <w:spacing w:line="257" w:lineRule="auto"/>
        <w:rPr>
          <w:rFonts w:ascii="Arial"/>
          <w:sz w:val="21"/>
        </w:rPr>
      </w:pPr>
    </w:p>
    <w:p w14:paraId="5339DA2E">
      <w:pPr>
        <w:spacing w:before="75" w:line="374" w:lineRule="auto"/>
        <w:ind w:left="23" w:right="101" w:firstLine="483"/>
        <w:rPr>
          <w:rFonts w:ascii="宋体" w:hAnsi="宋体" w:eastAsia="宋体" w:cs="宋体"/>
          <w:sz w:val="23"/>
          <w:szCs w:val="23"/>
        </w:rPr>
      </w:pPr>
      <w:r>
        <w:rPr>
          <w:rFonts w:ascii="宋体" w:hAnsi="宋体" w:eastAsia="宋体" w:cs="宋体"/>
          <w:spacing w:val="6"/>
          <w:sz w:val="23"/>
          <w:szCs w:val="23"/>
        </w:rPr>
        <w:t xml:space="preserve">该项目拟在备品备件库西侧设置一间危废暂存间，面积约 </w:t>
      </w:r>
      <w:r>
        <w:rPr>
          <w:rFonts w:ascii="Times New Roman" w:hAnsi="Times New Roman" w:eastAsia="Times New Roman" w:cs="Times New Roman"/>
          <w:spacing w:val="6"/>
          <w:sz w:val="23"/>
          <w:szCs w:val="23"/>
        </w:rPr>
        <w:t>5</w:t>
      </w:r>
      <w:r>
        <w:rPr>
          <w:rFonts w:ascii="Times New Roman" w:hAnsi="Times New Roman" w:eastAsia="Times New Roman" w:cs="Times New Roman"/>
          <w:sz w:val="23"/>
          <w:szCs w:val="23"/>
        </w:rPr>
        <w:t>m</w:t>
      </w:r>
      <w:r>
        <w:rPr>
          <w:rFonts w:ascii="Times New Roman" w:hAnsi="Times New Roman" w:eastAsia="Times New Roman" w:cs="Times New Roman"/>
          <w:spacing w:val="6"/>
          <w:position w:val="7"/>
          <w:sz w:val="15"/>
          <w:szCs w:val="15"/>
        </w:rPr>
        <w:t>2</w:t>
      </w:r>
      <w:r>
        <w:rPr>
          <w:rFonts w:ascii="宋体" w:hAnsi="宋体" w:eastAsia="宋体" w:cs="宋体"/>
          <w:spacing w:val="6"/>
          <w:sz w:val="23"/>
          <w:szCs w:val="23"/>
        </w:rPr>
        <w:t>，产生的废</w:t>
      </w:r>
      <w:r>
        <w:rPr>
          <w:rFonts w:ascii="宋体" w:hAnsi="宋体" w:eastAsia="宋体" w:cs="宋体"/>
          <w:spacing w:val="3"/>
          <w:sz w:val="23"/>
          <w:szCs w:val="23"/>
        </w:rPr>
        <w:t>活</w:t>
      </w:r>
      <w:r>
        <w:rPr>
          <w:rFonts w:ascii="宋体" w:hAnsi="宋体" w:eastAsia="宋体" w:cs="宋体"/>
          <w:sz w:val="23"/>
          <w:szCs w:val="23"/>
        </w:rPr>
        <w:t xml:space="preserve"> </w:t>
      </w:r>
      <w:r>
        <w:rPr>
          <w:rFonts w:ascii="宋体" w:hAnsi="宋体" w:eastAsia="宋体" w:cs="宋体"/>
          <w:spacing w:val="16"/>
          <w:sz w:val="23"/>
          <w:szCs w:val="23"/>
        </w:rPr>
        <w:t>性炭、</w:t>
      </w:r>
      <w:r>
        <w:rPr>
          <w:rFonts w:ascii="宋体" w:hAnsi="宋体" w:eastAsia="宋体" w:cs="宋体"/>
          <w:spacing w:val="8"/>
          <w:sz w:val="23"/>
          <w:szCs w:val="23"/>
        </w:rPr>
        <w:t xml:space="preserve">废 </w:t>
      </w:r>
      <w:r>
        <w:rPr>
          <w:rFonts w:ascii="Times New Roman" w:hAnsi="Times New Roman" w:eastAsia="Times New Roman" w:cs="Times New Roman"/>
          <w:sz w:val="23"/>
          <w:szCs w:val="23"/>
        </w:rPr>
        <w:t>uv</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光解灯管均设有固定容器单独暂存于危险暂存间内，积攒到一定数</w:t>
      </w:r>
      <w:r>
        <w:rPr>
          <w:rFonts w:ascii="宋体" w:hAnsi="宋体" w:eastAsia="宋体" w:cs="宋体"/>
          <w:sz w:val="23"/>
          <w:szCs w:val="23"/>
        </w:rPr>
        <w:t xml:space="preserve"> </w:t>
      </w:r>
      <w:r>
        <w:rPr>
          <w:rFonts w:ascii="宋体" w:hAnsi="宋体" w:eastAsia="宋体" w:cs="宋体"/>
          <w:spacing w:val="9"/>
          <w:sz w:val="23"/>
          <w:szCs w:val="23"/>
        </w:rPr>
        <w:t>量</w:t>
      </w:r>
      <w:r>
        <w:rPr>
          <w:rFonts w:ascii="宋体" w:hAnsi="宋体" w:eastAsia="宋体" w:cs="宋体"/>
          <w:spacing w:val="7"/>
          <w:sz w:val="23"/>
          <w:szCs w:val="23"/>
        </w:rPr>
        <w:t>后交由有资质单位处理。为了防止二次污染，危险废物的转移、利用或处置执</w:t>
      </w:r>
      <w:r>
        <w:rPr>
          <w:rFonts w:ascii="宋体" w:hAnsi="宋体" w:eastAsia="宋体" w:cs="宋体"/>
          <w:sz w:val="23"/>
          <w:szCs w:val="23"/>
        </w:rPr>
        <w:t xml:space="preserve"> </w:t>
      </w:r>
      <w:r>
        <w:rPr>
          <w:rFonts w:ascii="宋体" w:hAnsi="宋体" w:eastAsia="宋体" w:cs="宋体"/>
          <w:spacing w:val="13"/>
          <w:sz w:val="23"/>
          <w:szCs w:val="23"/>
        </w:rPr>
        <w:t>行</w:t>
      </w:r>
      <w:r>
        <w:rPr>
          <w:rFonts w:ascii="宋体" w:hAnsi="宋体" w:eastAsia="宋体" w:cs="宋体"/>
          <w:spacing w:val="9"/>
          <w:sz w:val="23"/>
          <w:szCs w:val="23"/>
        </w:rPr>
        <w:t>危险废物转移联单制度，按规定办理环保备案手续。</w:t>
      </w:r>
    </w:p>
    <w:p w14:paraId="442C777C">
      <w:pPr>
        <w:tabs>
          <w:tab w:val="left" w:pos="148"/>
        </w:tabs>
        <w:spacing w:before="135" w:line="364" w:lineRule="auto"/>
        <w:ind w:left="19" w:right="40" w:firstLine="483"/>
        <w:rPr>
          <w:rFonts w:ascii="宋体" w:hAnsi="宋体" w:eastAsia="宋体" w:cs="宋体"/>
          <w:sz w:val="23"/>
          <w:szCs w:val="23"/>
        </w:rPr>
      </w:pPr>
      <w:r>
        <w:rPr>
          <w:rFonts w:ascii="宋体" w:hAnsi="宋体" w:eastAsia="宋体" w:cs="宋体"/>
          <w:spacing w:val="15"/>
          <w:sz w:val="23"/>
          <w:szCs w:val="23"/>
        </w:rPr>
        <w:t>废</w:t>
      </w:r>
      <w:r>
        <w:rPr>
          <w:rFonts w:ascii="宋体" w:hAnsi="宋体" w:eastAsia="宋体" w:cs="宋体"/>
          <w:spacing w:val="8"/>
          <w:sz w:val="23"/>
          <w:szCs w:val="23"/>
        </w:rPr>
        <w:t xml:space="preserve">活性炭、废 </w:t>
      </w:r>
      <w:r>
        <w:rPr>
          <w:rFonts w:ascii="Times New Roman" w:hAnsi="Times New Roman" w:eastAsia="Times New Roman" w:cs="Times New Roman"/>
          <w:sz w:val="23"/>
          <w:szCs w:val="23"/>
        </w:rPr>
        <w:t>uv</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光解灯管临时储存应执行《危险废物贮存污染控制标准》</w:t>
      </w:r>
      <w:r>
        <w:rPr>
          <w:rFonts w:ascii="宋体" w:hAnsi="宋体" w:eastAsia="宋体" w:cs="宋体"/>
          <w:sz w:val="23"/>
          <w:szCs w:val="23"/>
        </w:rPr>
        <w:t xml:space="preserve"> </w:t>
      </w:r>
      <w:r>
        <w:rPr>
          <w:rFonts w:ascii="宋体" w:hAnsi="宋体" w:eastAsia="宋体" w:cs="宋体"/>
          <w:sz w:val="23"/>
          <w:szCs w:val="23"/>
        </w:rPr>
        <w:tab/>
      </w:r>
      <w:r>
        <w:rPr>
          <w:rFonts w:ascii="宋体" w:hAnsi="宋体" w:eastAsia="宋体" w:cs="宋体"/>
          <w:spacing w:val="3"/>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3"/>
          <w:sz w:val="23"/>
          <w:szCs w:val="23"/>
        </w:rPr>
        <w:t>18597-2001</w:t>
      </w:r>
      <w:r>
        <w:rPr>
          <w:rFonts w:ascii="宋体" w:hAnsi="宋体" w:eastAsia="宋体" w:cs="宋体"/>
          <w:spacing w:val="3"/>
          <w:sz w:val="23"/>
          <w:szCs w:val="23"/>
        </w:rPr>
        <w:t xml:space="preserve">) 及其修改单的公告 (环境保护部公告，公告 </w:t>
      </w:r>
      <w:r>
        <w:rPr>
          <w:rFonts w:ascii="Times New Roman" w:hAnsi="Times New Roman" w:eastAsia="Times New Roman" w:cs="Times New Roman"/>
          <w:spacing w:val="3"/>
          <w:sz w:val="23"/>
          <w:szCs w:val="23"/>
        </w:rPr>
        <w:t xml:space="preserve">2013 </w:t>
      </w:r>
      <w:r>
        <w:rPr>
          <w:rFonts w:ascii="宋体" w:hAnsi="宋体" w:eastAsia="宋体" w:cs="宋体"/>
          <w:spacing w:val="3"/>
          <w:sz w:val="23"/>
          <w:szCs w:val="23"/>
        </w:rPr>
        <w:t xml:space="preserve">年第 </w:t>
      </w:r>
      <w:r>
        <w:rPr>
          <w:rFonts w:ascii="Times New Roman" w:hAnsi="Times New Roman" w:eastAsia="Times New Roman" w:cs="Times New Roman"/>
          <w:spacing w:val="3"/>
          <w:sz w:val="23"/>
          <w:szCs w:val="23"/>
        </w:rPr>
        <w:t>36</w:t>
      </w:r>
      <w:r>
        <w:rPr>
          <w:rFonts w:ascii="Times New Roman" w:hAnsi="Times New Roman" w:eastAsia="Times New Roman" w:cs="Times New Roman"/>
          <w:spacing w:val="2"/>
          <w:sz w:val="23"/>
          <w:szCs w:val="23"/>
        </w:rPr>
        <w:t xml:space="preserve"> </w:t>
      </w:r>
      <w:r>
        <w:rPr>
          <w:rFonts w:ascii="宋体" w:hAnsi="宋体" w:eastAsia="宋体" w:cs="宋体"/>
          <w:sz w:val="23"/>
          <w:szCs w:val="23"/>
        </w:rPr>
        <w:t xml:space="preserve">号， </w:t>
      </w:r>
      <w:r>
        <w:rPr>
          <w:rFonts w:ascii="Times New Roman" w:hAnsi="Times New Roman" w:eastAsia="Times New Roman" w:cs="Times New Roman"/>
          <w:spacing w:val="14"/>
          <w:sz w:val="23"/>
          <w:szCs w:val="23"/>
        </w:rPr>
        <w:t>2</w:t>
      </w:r>
      <w:r>
        <w:rPr>
          <w:rFonts w:ascii="Times New Roman" w:hAnsi="Times New Roman" w:eastAsia="Times New Roman" w:cs="Times New Roman"/>
          <w:spacing w:val="12"/>
          <w:sz w:val="23"/>
          <w:szCs w:val="23"/>
        </w:rPr>
        <w:t>0</w:t>
      </w:r>
      <w:r>
        <w:rPr>
          <w:rFonts w:ascii="Times New Roman" w:hAnsi="Times New Roman" w:eastAsia="Times New Roman" w:cs="Times New Roman"/>
          <w:spacing w:val="7"/>
          <w:sz w:val="23"/>
          <w:szCs w:val="23"/>
        </w:rPr>
        <w:t xml:space="preserve">13 </w:t>
      </w:r>
      <w:r>
        <w:rPr>
          <w:rFonts w:ascii="宋体" w:hAnsi="宋体" w:eastAsia="宋体" w:cs="宋体"/>
          <w:spacing w:val="7"/>
          <w:sz w:val="23"/>
          <w:szCs w:val="23"/>
        </w:rPr>
        <w:t xml:space="preserve">年 </w:t>
      </w:r>
      <w:r>
        <w:rPr>
          <w:rFonts w:ascii="Times New Roman" w:hAnsi="Times New Roman" w:eastAsia="Times New Roman" w:cs="Times New Roman"/>
          <w:spacing w:val="7"/>
          <w:sz w:val="23"/>
          <w:szCs w:val="23"/>
        </w:rPr>
        <w:t xml:space="preserve">6 </w:t>
      </w:r>
      <w:r>
        <w:rPr>
          <w:rFonts w:ascii="宋体" w:hAnsi="宋体" w:eastAsia="宋体" w:cs="宋体"/>
          <w:spacing w:val="7"/>
          <w:sz w:val="23"/>
          <w:szCs w:val="23"/>
        </w:rPr>
        <w:t xml:space="preserve">月 </w:t>
      </w:r>
      <w:r>
        <w:rPr>
          <w:rFonts w:ascii="Times New Roman" w:hAnsi="Times New Roman" w:eastAsia="Times New Roman" w:cs="Times New Roman"/>
          <w:spacing w:val="7"/>
          <w:sz w:val="23"/>
          <w:szCs w:val="23"/>
        </w:rPr>
        <w:t xml:space="preserve">8 </w:t>
      </w:r>
      <w:r>
        <w:rPr>
          <w:rFonts w:ascii="宋体" w:hAnsi="宋体" w:eastAsia="宋体" w:cs="宋体"/>
          <w:spacing w:val="7"/>
          <w:sz w:val="23"/>
          <w:szCs w:val="23"/>
        </w:rPr>
        <w:t>日) ，建设单位应加强对危险废弃物产生源的监督管理，应建造</w:t>
      </w:r>
      <w:r>
        <w:rPr>
          <w:rFonts w:ascii="宋体" w:hAnsi="宋体" w:eastAsia="宋体" w:cs="宋体"/>
          <w:sz w:val="23"/>
          <w:szCs w:val="23"/>
        </w:rPr>
        <w:t xml:space="preserve"> </w:t>
      </w:r>
      <w:r>
        <w:rPr>
          <w:rFonts w:ascii="宋体" w:hAnsi="宋体" w:eastAsia="宋体" w:cs="宋体"/>
          <w:spacing w:val="13"/>
          <w:sz w:val="23"/>
          <w:szCs w:val="23"/>
        </w:rPr>
        <w:t>专</w:t>
      </w:r>
      <w:r>
        <w:rPr>
          <w:rFonts w:ascii="宋体" w:hAnsi="宋体" w:eastAsia="宋体" w:cs="宋体"/>
          <w:spacing w:val="7"/>
          <w:sz w:val="23"/>
          <w:szCs w:val="23"/>
        </w:rPr>
        <w:t>用的危险废弃物贮存设施，贮存、处置场所等设施必须设置警示标志等，同时</w:t>
      </w:r>
      <w:r>
        <w:rPr>
          <w:rFonts w:ascii="宋体" w:hAnsi="宋体" w:eastAsia="宋体" w:cs="宋体"/>
          <w:sz w:val="23"/>
          <w:szCs w:val="23"/>
        </w:rPr>
        <w:t xml:space="preserve"> </w:t>
      </w:r>
      <w:r>
        <w:rPr>
          <w:rFonts w:ascii="宋体" w:hAnsi="宋体" w:eastAsia="宋体" w:cs="宋体"/>
          <w:spacing w:val="14"/>
          <w:sz w:val="23"/>
          <w:szCs w:val="23"/>
        </w:rPr>
        <w:t>制定</w:t>
      </w:r>
      <w:r>
        <w:rPr>
          <w:rFonts w:ascii="宋体" w:hAnsi="宋体" w:eastAsia="宋体" w:cs="宋体"/>
          <w:spacing w:val="8"/>
          <w:sz w:val="23"/>
          <w:szCs w:val="23"/>
        </w:rPr>
        <w:t>防</w:t>
      </w:r>
      <w:r>
        <w:rPr>
          <w:rFonts w:ascii="宋体" w:hAnsi="宋体" w:eastAsia="宋体" w:cs="宋体"/>
          <w:spacing w:val="7"/>
          <w:sz w:val="23"/>
          <w:szCs w:val="23"/>
        </w:rPr>
        <w:t>止泄漏、散失的安全措施。同时要求对危废暂存间做防渗处理，并设置危</w:t>
      </w:r>
      <w:r>
        <w:rPr>
          <w:rFonts w:ascii="宋体" w:hAnsi="宋体" w:eastAsia="宋体" w:cs="宋体"/>
          <w:sz w:val="23"/>
          <w:szCs w:val="23"/>
        </w:rPr>
        <w:t xml:space="preserve"> </w:t>
      </w:r>
      <w:r>
        <w:rPr>
          <w:rFonts w:ascii="宋体" w:hAnsi="宋体" w:eastAsia="宋体" w:cs="宋体"/>
          <w:spacing w:val="8"/>
          <w:sz w:val="23"/>
          <w:szCs w:val="23"/>
        </w:rPr>
        <w:t xml:space="preserve">险废物警示标志，危废暂存间底部铺设 </w:t>
      </w:r>
      <w:r>
        <w:rPr>
          <w:rFonts w:ascii="Times New Roman" w:hAnsi="Times New Roman" w:eastAsia="Times New Roman" w:cs="Times New Roman"/>
          <w:spacing w:val="8"/>
          <w:sz w:val="23"/>
          <w:szCs w:val="23"/>
        </w:rPr>
        <w:t>300</w:t>
      </w:r>
      <w:r>
        <w:rPr>
          <w:rFonts w:ascii="Times New Roman" w:hAnsi="Times New Roman" w:eastAsia="Times New Roman" w:cs="Times New Roman"/>
          <w:sz w:val="23"/>
          <w:szCs w:val="23"/>
        </w:rPr>
        <w:t>mm</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黏土层 (保护层，同时作为辅</w:t>
      </w:r>
      <w:r>
        <w:rPr>
          <w:rFonts w:ascii="宋体" w:hAnsi="宋体" w:eastAsia="宋体" w:cs="宋体"/>
          <w:spacing w:val="7"/>
          <w:sz w:val="23"/>
          <w:szCs w:val="23"/>
        </w:rPr>
        <w:t>助</w:t>
      </w:r>
      <w:r>
        <w:rPr>
          <w:rFonts w:ascii="宋体" w:hAnsi="宋体" w:eastAsia="宋体" w:cs="宋体"/>
          <w:sz w:val="23"/>
          <w:szCs w:val="23"/>
        </w:rPr>
        <w:t xml:space="preserve"> </w:t>
      </w:r>
      <w:r>
        <w:rPr>
          <w:rFonts w:ascii="宋体" w:hAnsi="宋体" w:eastAsia="宋体" w:cs="宋体"/>
          <w:spacing w:val="14"/>
          <w:sz w:val="23"/>
          <w:szCs w:val="23"/>
        </w:rPr>
        <w:t>防渗</w:t>
      </w:r>
      <w:r>
        <w:rPr>
          <w:rFonts w:ascii="宋体" w:hAnsi="宋体" w:eastAsia="宋体" w:cs="宋体"/>
          <w:spacing w:val="11"/>
          <w:sz w:val="23"/>
          <w:szCs w:val="23"/>
        </w:rPr>
        <w:t>层</w:t>
      </w:r>
      <w:r>
        <w:rPr>
          <w:rFonts w:ascii="宋体" w:hAnsi="宋体" w:eastAsia="宋体" w:cs="宋体"/>
          <w:spacing w:val="7"/>
          <w:sz w:val="23"/>
          <w:szCs w:val="23"/>
        </w:rPr>
        <w:t xml:space="preserve">) 压实平整，黏土层上铺设 </w:t>
      </w:r>
      <w:r>
        <w:rPr>
          <w:rFonts w:ascii="Times New Roman" w:hAnsi="Times New Roman" w:eastAsia="Times New Roman" w:cs="Times New Roman"/>
          <w:sz w:val="23"/>
          <w:szCs w:val="23"/>
        </w:rPr>
        <w:t>HDPE</w:t>
      </w:r>
      <w:r>
        <w:rPr>
          <w:rFonts w:ascii="Times New Roman" w:hAnsi="Times New Roman" w:eastAsia="Times New Roman" w:cs="Times New Roman"/>
          <w:spacing w:val="7"/>
          <w:sz w:val="23"/>
          <w:szCs w:val="23"/>
        </w:rPr>
        <w:t>-</w:t>
      </w:r>
      <w:r>
        <w:rPr>
          <w:rFonts w:ascii="Times New Roman" w:hAnsi="Times New Roman" w:eastAsia="Times New Roman" w:cs="Times New Roman"/>
          <w:sz w:val="23"/>
          <w:szCs w:val="23"/>
        </w:rPr>
        <w:t>GCL</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复合防渗系统 (</w:t>
      </w:r>
      <w:r>
        <w:rPr>
          <w:rFonts w:ascii="Times New Roman" w:hAnsi="Times New Roman" w:eastAsia="Times New Roman" w:cs="Times New Roman"/>
          <w:spacing w:val="7"/>
          <w:sz w:val="23"/>
          <w:szCs w:val="23"/>
        </w:rPr>
        <w:t>2</w:t>
      </w:r>
      <w:r>
        <w:rPr>
          <w:rFonts w:ascii="Times New Roman" w:hAnsi="Times New Roman" w:eastAsia="Times New Roman" w:cs="Times New Roman"/>
          <w:sz w:val="23"/>
          <w:szCs w:val="23"/>
        </w:rPr>
        <w:t>mm</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厚的高密度</w:t>
      </w:r>
    </w:p>
    <w:p w14:paraId="754B9F1B">
      <w:pPr>
        <w:spacing w:line="322" w:lineRule="exact"/>
        <w:ind w:left="32"/>
        <w:rPr>
          <w:rFonts w:ascii="宋体" w:hAnsi="宋体" w:eastAsia="宋体" w:cs="宋体"/>
          <w:sz w:val="23"/>
          <w:szCs w:val="23"/>
        </w:rPr>
      </w:pPr>
      <w:r>
        <w:rPr>
          <w:rFonts w:ascii="宋体" w:hAnsi="宋体" w:eastAsia="宋体" w:cs="宋体"/>
          <w:spacing w:val="4"/>
          <w:position w:val="3"/>
          <w:sz w:val="23"/>
          <w:szCs w:val="23"/>
        </w:rPr>
        <w:t>聚乙烯膜、</w:t>
      </w:r>
      <w:r>
        <w:rPr>
          <w:rFonts w:ascii="Times New Roman" w:hAnsi="Times New Roman" w:eastAsia="Times New Roman" w:cs="Times New Roman"/>
          <w:spacing w:val="4"/>
          <w:position w:val="3"/>
          <w:sz w:val="23"/>
          <w:szCs w:val="23"/>
        </w:rPr>
        <w:t>300</w:t>
      </w:r>
      <w:r>
        <w:rPr>
          <w:rFonts w:ascii="Times New Roman" w:hAnsi="Times New Roman" w:eastAsia="Times New Roman" w:cs="Times New Roman"/>
          <w:position w:val="3"/>
          <w:sz w:val="23"/>
          <w:szCs w:val="23"/>
        </w:rPr>
        <w:t>g</w:t>
      </w:r>
      <w:r>
        <w:rPr>
          <w:rFonts w:ascii="Times New Roman" w:hAnsi="Times New Roman" w:eastAsia="Times New Roman" w:cs="Times New Roman"/>
          <w:spacing w:val="4"/>
          <w:position w:val="3"/>
          <w:sz w:val="23"/>
          <w:szCs w:val="23"/>
        </w:rPr>
        <w:t>/</w:t>
      </w:r>
      <w:r>
        <w:rPr>
          <w:rFonts w:ascii="Times New Roman" w:hAnsi="Times New Roman" w:eastAsia="Times New Roman" w:cs="Times New Roman"/>
          <w:position w:val="3"/>
          <w:sz w:val="23"/>
          <w:szCs w:val="23"/>
        </w:rPr>
        <w:t>m</w:t>
      </w:r>
      <w:r>
        <w:rPr>
          <w:rFonts w:ascii="Times New Roman" w:hAnsi="Times New Roman" w:eastAsia="Times New Roman" w:cs="Times New Roman"/>
          <w:spacing w:val="4"/>
          <w:position w:val="11"/>
          <w:sz w:val="15"/>
          <w:szCs w:val="15"/>
        </w:rPr>
        <w:t xml:space="preserve">2 </w:t>
      </w:r>
      <w:r>
        <w:rPr>
          <w:rFonts w:ascii="宋体" w:hAnsi="宋体" w:eastAsia="宋体" w:cs="宋体"/>
          <w:spacing w:val="4"/>
          <w:position w:val="3"/>
          <w:sz w:val="23"/>
          <w:szCs w:val="23"/>
        </w:rPr>
        <w:t>土</w:t>
      </w:r>
      <w:r>
        <w:rPr>
          <w:rFonts w:ascii="宋体" w:hAnsi="宋体" w:eastAsia="宋体" w:cs="宋体"/>
          <w:spacing w:val="3"/>
          <w:position w:val="3"/>
          <w:sz w:val="23"/>
          <w:szCs w:val="23"/>
        </w:rPr>
        <w:t>工</w:t>
      </w:r>
      <w:r>
        <w:rPr>
          <w:rFonts w:ascii="宋体" w:hAnsi="宋体" w:eastAsia="宋体" w:cs="宋体"/>
          <w:spacing w:val="2"/>
          <w:position w:val="3"/>
          <w:sz w:val="23"/>
          <w:szCs w:val="23"/>
        </w:rPr>
        <w:t xml:space="preserve">织物膨润土垫) ，上部外加耐腐蚀混凝土 </w:t>
      </w:r>
      <w:r>
        <w:rPr>
          <w:rFonts w:ascii="Times New Roman" w:hAnsi="Times New Roman" w:eastAsia="Times New Roman" w:cs="Times New Roman"/>
          <w:spacing w:val="2"/>
          <w:position w:val="3"/>
          <w:sz w:val="23"/>
          <w:szCs w:val="23"/>
        </w:rPr>
        <w:t>15</w:t>
      </w:r>
      <w:r>
        <w:rPr>
          <w:rFonts w:ascii="Times New Roman" w:hAnsi="Times New Roman" w:eastAsia="Times New Roman" w:cs="Times New Roman"/>
          <w:position w:val="3"/>
          <w:sz w:val="23"/>
          <w:szCs w:val="23"/>
        </w:rPr>
        <w:t>cm</w:t>
      </w:r>
      <w:r>
        <w:rPr>
          <w:rFonts w:ascii="Times New Roman" w:hAnsi="Times New Roman" w:eastAsia="Times New Roman" w:cs="Times New Roman"/>
          <w:spacing w:val="2"/>
          <w:position w:val="3"/>
          <w:sz w:val="23"/>
          <w:szCs w:val="23"/>
        </w:rPr>
        <w:t xml:space="preserve"> </w:t>
      </w:r>
      <w:r>
        <w:rPr>
          <w:rFonts w:ascii="宋体" w:hAnsi="宋体" w:eastAsia="宋体" w:cs="宋体"/>
          <w:spacing w:val="2"/>
          <w:position w:val="3"/>
          <w:sz w:val="23"/>
          <w:szCs w:val="23"/>
        </w:rPr>
        <w:t>(保护层)</w:t>
      </w:r>
    </w:p>
    <w:p w14:paraId="1014E6FE">
      <w:pPr>
        <w:spacing w:before="138" w:line="506" w:lineRule="auto"/>
        <w:ind w:left="502" w:right="18" w:hanging="477"/>
        <w:rPr>
          <w:rFonts w:ascii="宋体" w:hAnsi="宋体" w:eastAsia="宋体" w:cs="宋体"/>
          <w:sz w:val="23"/>
          <w:szCs w:val="23"/>
        </w:rPr>
      </w:pPr>
      <w:r>
        <w:rPr>
          <w:rFonts w:ascii="宋体" w:hAnsi="宋体" w:eastAsia="宋体" w:cs="宋体"/>
          <w:spacing w:val="1"/>
          <w:sz w:val="23"/>
          <w:szCs w:val="23"/>
        </w:rPr>
        <w:t>等防渗</w:t>
      </w:r>
      <w:r>
        <w:rPr>
          <w:rFonts w:ascii="宋体" w:hAnsi="宋体" w:eastAsia="宋体" w:cs="宋体"/>
          <w:sz w:val="23"/>
          <w:szCs w:val="23"/>
        </w:rPr>
        <w:t xml:space="preserve">，侧壁均设防渗墙。采取上述防渗措施后，防渗层渗透系数小于 </w:t>
      </w:r>
      <w:r>
        <w:rPr>
          <w:rFonts w:ascii="Times New Roman" w:hAnsi="Times New Roman" w:eastAsia="Times New Roman" w:cs="Times New Roman"/>
          <w:sz w:val="23"/>
          <w:szCs w:val="23"/>
        </w:rPr>
        <w:t>10</w:t>
      </w:r>
      <w:r>
        <w:rPr>
          <w:rFonts w:ascii="Times New Roman" w:hAnsi="Times New Roman" w:eastAsia="Times New Roman" w:cs="Times New Roman"/>
          <w:position w:val="7"/>
          <w:sz w:val="15"/>
          <w:szCs w:val="15"/>
        </w:rPr>
        <w:t>- 10</w:t>
      </w:r>
      <w:r>
        <w:rPr>
          <w:rFonts w:ascii="Times New Roman" w:hAnsi="Times New Roman" w:eastAsia="Times New Roman" w:cs="Times New Roman"/>
          <w:sz w:val="23"/>
          <w:szCs w:val="23"/>
        </w:rPr>
        <w:t>cm/s</w:t>
      </w:r>
      <w:r>
        <w:rPr>
          <w:rFonts w:ascii="宋体" w:hAnsi="宋体" w:eastAsia="宋体" w:cs="宋体"/>
          <w:sz w:val="23"/>
          <w:szCs w:val="23"/>
        </w:rPr>
        <w:t xml:space="preserve">。 </w:t>
      </w:r>
      <w:r>
        <w:rPr>
          <w:rFonts w:ascii="宋体" w:hAnsi="宋体" w:eastAsia="宋体" w:cs="宋体"/>
          <w:spacing w:val="16"/>
          <w:sz w:val="23"/>
          <w:szCs w:val="23"/>
        </w:rPr>
        <w:t>在</w:t>
      </w:r>
      <w:r>
        <w:rPr>
          <w:rFonts w:ascii="宋体" w:hAnsi="宋体" w:eastAsia="宋体" w:cs="宋体"/>
          <w:spacing w:val="9"/>
          <w:sz w:val="23"/>
          <w:szCs w:val="23"/>
        </w:rPr>
        <w:t>固体废物得到妥善处置情况下，其对周围环境影响不大。</w:t>
      </w:r>
    </w:p>
    <w:p w14:paraId="1E3A7FC3">
      <w:pPr>
        <w:spacing w:line="226" w:lineRule="auto"/>
        <w:ind w:left="25"/>
        <w:outlineLvl w:val="2"/>
        <w:rPr>
          <w:rFonts w:ascii="宋体" w:hAnsi="宋体" w:eastAsia="宋体" w:cs="宋体"/>
          <w:sz w:val="29"/>
          <w:szCs w:val="29"/>
        </w:rPr>
      </w:pPr>
      <w:r>
        <w:rPr>
          <w:rFonts w:ascii="Times New Roman" w:hAnsi="Times New Roman" w:eastAsia="Times New Roman" w:cs="Times New Roman"/>
          <w:b/>
          <w:bCs/>
          <w:spacing w:val="7"/>
          <w:sz w:val="29"/>
          <w:szCs w:val="29"/>
        </w:rPr>
        <w:t>6.2.6</w:t>
      </w:r>
      <w:r>
        <w:rPr>
          <w:rFonts w:ascii="Times New Roman" w:hAnsi="Times New Roman" w:eastAsia="Times New Roman" w:cs="Times New Roman"/>
          <w:spacing w:val="7"/>
          <w:sz w:val="29"/>
          <w:szCs w:val="29"/>
        </w:rPr>
        <w:t xml:space="preserve"> </w:t>
      </w:r>
      <w:r>
        <w:rPr>
          <w:rFonts w:ascii="宋体" w:hAnsi="宋体" w:eastAsia="宋体" w:cs="宋体"/>
          <w:spacing w:val="7"/>
          <w:sz w:val="29"/>
          <w:szCs w:val="29"/>
          <w14:textOutline w14:w="5448" w14:cap="sq" w14:cmpd="sng">
            <w14:solidFill>
              <w14:srgbClr w14:val="000000"/>
            </w14:solidFill>
            <w14:prstDash w14:val="solid"/>
            <w14:bevel/>
          </w14:textOutline>
        </w:rPr>
        <w:t>土壤环境保护措</w:t>
      </w:r>
      <w:r>
        <w:rPr>
          <w:rFonts w:ascii="宋体" w:hAnsi="宋体" w:eastAsia="宋体" w:cs="宋体"/>
          <w:spacing w:val="6"/>
          <w:sz w:val="29"/>
          <w:szCs w:val="29"/>
          <w14:textOutline w14:w="5448" w14:cap="sq" w14:cmpd="sng">
            <w14:solidFill>
              <w14:srgbClr w14:val="000000"/>
            </w14:solidFill>
            <w14:prstDash w14:val="solid"/>
            <w14:bevel/>
          </w14:textOutline>
        </w:rPr>
        <w:t>施</w:t>
      </w:r>
    </w:p>
    <w:p w14:paraId="4FC64742">
      <w:pPr>
        <w:spacing w:line="256" w:lineRule="auto"/>
        <w:rPr>
          <w:rFonts w:ascii="Arial"/>
          <w:sz w:val="21"/>
        </w:rPr>
      </w:pPr>
    </w:p>
    <w:p w14:paraId="0F83C5DE">
      <w:pPr>
        <w:spacing w:before="76" w:line="384" w:lineRule="auto"/>
        <w:ind w:left="22" w:firstLine="481"/>
        <w:rPr>
          <w:rFonts w:ascii="宋体" w:hAnsi="宋体" w:eastAsia="宋体" w:cs="宋体"/>
          <w:sz w:val="23"/>
          <w:szCs w:val="23"/>
        </w:rPr>
      </w:pPr>
      <w:r>
        <w:rPr>
          <w:rFonts w:ascii="宋体" w:hAnsi="宋体" w:eastAsia="宋体" w:cs="宋体"/>
          <w:spacing w:val="7"/>
          <w:sz w:val="23"/>
          <w:szCs w:val="23"/>
        </w:rPr>
        <w:t>本项目将一体化污水预处理设备所在区域、三级沉淀池及与其相连的排污</w:t>
      </w:r>
      <w:r>
        <w:rPr>
          <w:rFonts w:ascii="宋体" w:hAnsi="宋体" w:eastAsia="宋体" w:cs="宋体"/>
          <w:spacing w:val="2"/>
          <w:sz w:val="23"/>
          <w:szCs w:val="23"/>
        </w:rPr>
        <w:t>管</w:t>
      </w:r>
      <w:r>
        <w:rPr>
          <w:rFonts w:ascii="宋体" w:hAnsi="宋体" w:eastAsia="宋体" w:cs="宋体"/>
          <w:sz w:val="23"/>
          <w:szCs w:val="23"/>
        </w:rPr>
        <w:t xml:space="preserve"> </w:t>
      </w:r>
      <w:r>
        <w:rPr>
          <w:rFonts w:ascii="宋体" w:hAnsi="宋体" w:eastAsia="宋体" w:cs="宋体"/>
          <w:spacing w:val="8"/>
          <w:sz w:val="23"/>
          <w:szCs w:val="23"/>
        </w:rPr>
        <w:t xml:space="preserve">道等设施设为重点防渗区，即底部铺设 </w:t>
      </w:r>
      <w:r>
        <w:rPr>
          <w:rFonts w:ascii="Times New Roman" w:hAnsi="Times New Roman" w:eastAsia="Times New Roman" w:cs="Times New Roman"/>
          <w:spacing w:val="8"/>
          <w:sz w:val="23"/>
          <w:szCs w:val="23"/>
        </w:rPr>
        <w:t>300</w:t>
      </w:r>
      <w:r>
        <w:rPr>
          <w:rFonts w:ascii="Times New Roman" w:hAnsi="Times New Roman" w:eastAsia="Times New Roman" w:cs="Times New Roman"/>
          <w:sz w:val="23"/>
          <w:szCs w:val="23"/>
        </w:rPr>
        <w:t>mm</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黏土层 (保护层，同时作为辅</w:t>
      </w:r>
      <w:r>
        <w:rPr>
          <w:rFonts w:ascii="宋体" w:hAnsi="宋体" w:eastAsia="宋体" w:cs="宋体"/>
          <w:spacing w:val="4"/>
          <w:sz w:val="23"/>
          <w:szCs w:val="23"/>
        </w:rPr>
        <w:t>助</w:t>
      </w:r>
      <w:r>
        <w:rPr>
          <w:rFonts w:ascii="宋体" w:hAnsi="宋体" w:eastAsia="宋体" w:cs="宋体"/>
          <w:sz w:val="23"/>
          <w:szCs w:val="23"/>
        </w:rPr>
        <w:t xml:space="preserve"> </w:t>
      </w:r>
      <w:r>
        <w:rPr>
          <w:rFonts w:ascii="宋体" w:hAnsi="宋体" w:eastAsia="宋体" w:cs="宋体"/>
          <w:spacing w:val="14"/>
          <w:sz w:val="23"/>
          <w:szCs w:val="23"/>
        </w:rPr>
        <w:t>防渗</w:t>
      </w:r>
      <w:r>
        <w:rPr>
          <w:rFonts w:ascii="宋体" w:hAnsi="宋体" w:eastAsia="宋体" w:cs="宋体"/>
          <w:spacing w:val="7"/>
          <w:sz w:val="23"/>
          <w:szCs w:val="23"/>
        </w:rPr>
        <w:t xml:space="preserve">层) 压实平整，黏土层上铺设 </w:t>
      </w:r>
      <w:r>
        <w:rPr>
          <w:rFonts w:ascii="Times New Roman" w:hAnsi="Times New Roman" w:eastAsia="Times New Roman" w:cs="Times New Roman"/>
          <w:sz w:val="23"/>
          <w:szCs w:val="23"/>
        </w:rPr>
        <w:t>HDPE</w:t>
      </w:r>
      <w:r>
        <w:rPr>
          <w:rFonts w:ascii="Times New Roman" w:hAnsi="Times New Roman" w:eastAsia="Times New Roman" w:cs="Times New Roman"/>
          <w:spacing w:val="7"/>
          <w:sz w:val="23"/>
          <w:szCs w:val="23"/>
        </w:rPr>
        <w:t>-</w:t>
      </w:r>
      <w:r>
        <w:rPr>
          <w:rFonts w:ascii="Times New Roman" w:hAnsi="Times New Roman" w:eastAsia="Times New Roman" w:cs="Times New Roman"/>
          <w:sz w:val="23"/>
          <w:szCs w:val="23"/>
        </w:rPr>
        <w:t>GCL</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复合防渗系统 (</w:t>
      </w:r>
      <w:r>
        <w:rPr>
          <w:rFonts w:ascii="Times New Roman" w:hAnsi="Times New Roman" w:eastAsia="Times New Roman" w:cs="Times New Roman"/>
          <w:spacing w:val="7"/>
          <w:sz w:val="23"/>
          <w:szCs w:val="23"/>
        </w:rPr>
        <w:t>2</w:t>
      </w:r>
      <w:r>
        <w:rPr>
          <w:rFonts w:ascii="Times New Roman" w:hAnsi="Times New Roman" w:eastAsia="Times New Roman" w:cs="Times New Roman"/>
          <w:sz w:val="23"/>
          <w:szCs w:val="23"/>
        </w:rPr>
        <w:t>mm</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厚的高密度</w:t>
      </w:r>
      <w:r>
        <w:rPr>
          <w:rFonts w:ascii="宋体" w:hAnsi="宋体" w:eastAsia="宋体" w:cs="宋体"/>
          <w:sz w:val="23"/>
          <w:szCs w:val="23"/>
        </w:rPr>
        <w:t xml:space="preserve"> </w:t>
      </w:r>
      <w:r>
        <w:rPr>
          <w:rFonts w:ascii="宋体" w:hAnsi="宋体" w:eastAsia="宋体" w:cs="宋体"/>
          <w:spacing w:val="3"/>
          <w:sz w:val="23"/>
          <w:szCs w:val="23"/>
        </w:rPr>
        <w:t>聚乙烯膜、</w:t>
      </w:r>
      <w:r>
        <w:rPr>
          <w:rFonts w:ascii="Times New Roman" w:hAnsi="Times New Roman" w:eastAsia="Times New Roman" w:cs="Times New Roman"/>
          <w:spacing w:val="3"/>
          <w:sz w:val="23"/>
          <w:szCs w:val="23"/>
        </w:rPr>
        <w:t>300</w:t>
      </w:r>
      <w:r>
        <w:rPr>
          <w:rFonts w:ascii="Times New Roman" w:hAnsi="Times New Roman" w:eastAsia="Times New Roman" w:cs="Times New Roman"/>
          <w:sz w:val="23"/>
          <w:szCs w:val="23"/>
        </w:rPr>
        <w:t>g</w:t>
      </w:r>
      <w:r>
        <w:rPr>
          <w:rFonts w:ascii="Times New Roman" w:hAnsi="Times New Roman" w:eastAsia="Times New Roman" w:cs="Times New Roman"/>
          <w:spacing w:val="3"/>
          <w:sz w:val="23"/>
          <w:szCs w:val="23"/>
        </w:rPr>
        <w:t>/</w:t>
      </w:r>
      <w:r>
        <w:rPr>
          <w:rFonts w:ascii="Times New Roman" w:hAnsi="Times New Roman" w:eastAsia="Times New Roman" w:cs="Times New Roman"/>
          <w:sz w:val="23"/>
          <w:szCs w:val="23"/>
        </w:rPr>
        <w:t>m</w:t>
      </w:r>
      <w:r>
        <w:rPr>
          <w:rFonts w:ascii="Times New Roman" w:hAnsi="Times New Roman" w:eastAsia="Times New Roman" w:cs="Times New Roman"/>
          <w:spacing w:val="3"/>
          <w:position w:val="8"/>
          <w:sz w:val="15"/>
          <w:szCs w:val="15"/>
        </w:rPr>
        <w:t xml:space="preserve">2 </w:t>
      </w:r>
      <w:r>
        <w:rPr>
          <w:rFonts w:ascii="宋体" w:hAnsi="宋体" w:eastAsia="宋体" w:cs="宋体"/>
          <w:spacing w:val="3"/>
          <w:sz w:val="23"/>
          <w:szCs w:val="23"/>
        </w:rPr>
        <w:t xml:space="preserve">土工织物膨润土垫) ，上部外加耐腐蚀混凝土 </w:t>
      </w:r>
      <w:r>
        <w:rPr>
          <w:rFonts w:ascii="Times New Roman" w:hAnsi="Times New Roman" w:eastAsia="Times New Roman" w:cs="Times New Roman"/>
          <w:spacing w:val="3"/>
          <w:sz w:val="23"/>
          <w:szCs w:val="23"/>
        </w:rPr>
        <w:t>15</w:t>
      </w:r>
      <w:r>
        <w:rPr>
          <w:rFonts w:ascii="Times New Roman" w:hAnsi="Times New Roman" w:eastAsia="Times New Roman" w:cs="Times New Roman"/>
          <w:sz w:val="23"/>
          <w:szCs w:val="23"/>
        </w:rPr>
        <w:t>cm</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(保护</w:t>
      </w:r>
      <w:r>
        <w:rPr>
          <w:rFonts w:ascii="宋体" w:hAnsi="宋体" w:eastAsia="宋体" w:cs="宋体"/>
          <w:spacing w:val="1"/>
          <w:sz w:val="23"/>
          <w:szCs w:val="23"/>
        </w:rPr>
        <w:t>层</w:t>
      </w:r>
      <w:r>
        <w:rPr>
          <w:rFonts w:ascii="宋体" w:hAnsi="宋体" w:eastAsia="宋体" w:cs="宋体"/>
          <w:sz w:val="23"/>
          <w:szCs w:val="23"/>
        </w:rPr>
        <w:t xml:space="preserve">) </w:t>
      </w:r>
      <w:r>
        <w:rPr>
          <w:rFonts w:ascii="宋体" w:hAnsi="宋体" w:eastAsia="宋体" w:cs="宋体"/>
          <w:spacing w:val="1"/>
          <w:sz w:val="23"/>
          <w:szCs w:val="23"/>
        </w:rPr>
        <w:t>等防渗，侧壁均设防渗墙，采取上述防渗措施后，防渗层</w:t>
      </w:r>
      <w:r>
        <w:rPr>
          <w:rFonts w:ascii="宋体" w:hAnsi="宋体" w:eastAsia="宋体" w:cs="宋体"/>
          <w:sz w:val="23"/>
          <w:szCs w:val="23"/>
        </w:rPr>
        <w:t xml:space="preserve">渗透系数小于 </w:t>
      </w:r>
      <w:r>
        <w:rPr>
          <w:rFonts w:ascii="Times New Roman" w:hAnsi="Times New Roman" w:eastAsia="Times New Roman" w:cs="Times New Roman"/>
          <w:sz w:val="23"/>
          <w:szCs w:val="23"/>
        </w:rPr>
        <w:t>10</w:t>
      </w:r>
      <w:r>
        <w:rPr>
          <w:rFonts w:ascii="Times New Roman" w:hAnsi="Times New Roman" w:eastAsia="Times New Roman" w:cs="Times New Roman"/>
          <w:position w:val="8"/>
          <w:sz w:val="15"/>
          <w:szCs w:val="15"/>
        </w:rPr>
        <w:t>- 10</w:t>
      </w:r>
      <w:r>
        <w:rPr>
          <w:rFonts w:ascii="Times New Roman" w:hAnsi="Times New Roman" w:eastAsia="Times New Roman" w:cs="Times New Roman"/>
          <w:sz w:val="23"/>
          <w:szCs w:val="23"/>
        </w:rPr>
        <w:t>cm/s</w:t>
      </w:r>
      <w:r>
        <w:rPr>
          <w:rFonts w:ascii="宋体" w:hAnsi="宋体" w:eastAsia="宋体" w:cs="宋体"/>
          <w:sz w:val="23"/>
          <w:szCs w:val="23"/>
        </w:rPr>
        <w:t xml:space="preserve">； </w:t>
      </w:r>
      <w:r>
        <w:rPr>
          <w:rFonts w:ascii="宋体" w:hAnsi="宋体" w:eastAsia="宋体" w:cs="宋体"/>
          <w:spacing w:val="9"/>
          <w:sz w:val="23"/>
          <w:szCs w:val="23"/>
        </w:rPr>
        <w:t>全</w:t>
      </w:r>
      <w:r>
        <w:rPr>
          <w:rFonts w:ascii="宋体" w:hAnsi="宋体" w:eastAsia="宋体" w:cs="宋体"/>
          <w:spacing w:val="7"/>
          <w:sz w:val="23"/>
          <w:szCs w:val="23"/>
        </w:rPr>
        <w:t>场区均为简单防渗区，需硬化防渗，采取混凝土地面，上涂耐磨环氧树脂地面</w:t>
      </w:r>
      <w:r>
        <w:rPr>
          <w:rFonts w:ascii="宋体" w:hAnsi="宋体" w:eastAsia="宋体" w:cs="宋体"/>
          <w:sz w:val="23"/>
          <w:szCs w:val="23"/>
        </w:rPr>
        <w:t xml:space="preserve"> </w:t>
      </w:r>
      <w:r>
        <w:rPr>
          <w:rFonts w:ascii="宋体" w:hAnsi="宋体" w:eastAsia="宋体" w:cs="宋体"/>
          <w:spacing w:val="10"/>
          <w:sz w:val="23"/>
          <w:szCs w:val="23"/>
        </w:rPr>
        <w:t>涂料，防</w:t>
      </w:r>
      <w:r>
        <w:rPr>
          <w:rFonts w:ascii="宋体" w:hAnsi="宋体" w:eastAsia="宋体" w:cs="宋体"/>
          <w:spacing w:val="5"/>
          <w:sz w:val="23"/>
          <w:szCs w:val="23"/>
        </w:rPr>
        <w:t xml:space="preserve">渗层渗透系数小于 </w:t>
      </w:r>
      <w:r>
        <w:rPr>
          <w:rFonts w:ascii="Times New Roman" w:hAnsi="Times New Roman" w:eastAsia="Times New Roman" w:cs="Times New Roman"/>
          <w:spacing w:val="5"/>
          <w:sz w:val="23"/>
          <w:szCs w:val="23"/>
        </w:rPr>
        <w:t>10</w:t>
      </w:r>
      <w:r>
        <w:rPr>
          <w:rFonts w:ascii="Times New Roman" w:hAnsi="Times New Roman" w:eastAsia="Times New Roman" w:cs="Times New Roman"/>
          <w:spacing w:val="5"/>
          <w:position w:val="8"/>
          <w:sz w:val="15"/>
          <w:szCs w:val="15"/>
        </w:rPr>
        <w:t>-7</w:t>
      </w:r>
      <w:r>
        <w:rPr>
          <w:rFonts w:ascii="Times New Roman" w:hAnsi="Times New Roman" w:eastAsia="Times New Roman" w:cs="Times New Roman"/>
          <w:sz w:val="23"/>
          <w:szCs w:val="23"/>
        </w:rPr>
        <w:t>cm</w:t>
      </w:r>
      <w:r>
        <w:rPr>
          <w:rFonts w:ascii="Times New Roman" w:hAnsi="Times New Roman" w:eastAsia="Times New Roman" w:cs="Times New Roman"/>
          <w:spacing w:val="5"/>
          <w:sz w:val="23"/>
          <w:szCs w:val="23"/>
        </w:rPr>
        <w:t>/</w:t>
      </w:r>
      <w:r>
        <w:rPr>
          <w:rFonts w:ascii="Times New Roman" w:hAnsi="Times New Roman" w:eastAsia="Times New Roman" w:cs="Times New Roman"/>
          <w:sz w:val="23"/>
          <w:szCs w:val="23"/>
        </w:rPr>
        <w:t>s</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rPr>
        <w:t>。因此，正常情况下，可保证废水不入渗土</w:t>
      </w:r>
      <w:r>
        <w:rPr>
          <w:rFonts w:ascii="宋体" w:hAnsi="宋体" w:eastAsia="宋体" w:cs="宋体"/>
          <w:sz w:val="23"/>
          <w:szCs w:val="23"/>
        </w:rPr>
        <w:t xml:space="preserve"> </w:t>
      </w:r>
      <w:r>
        <w:rPr>
          <w:rFonts w:ascii="宋体" w:hAnsi="宋体" w:eastAsia="宋体" w:cs="宋体"/>
          <w:spacing w:val="6"/>
          <w:sz w:val="23"/>
          <w:szCs w:val="23"/>
        </w:rPr>
        <w:t>壤</w:t>
      </w:r>
      <w:r>
        <w:rPr>
          <w:rFonts w:ascii="宋体" w:hAnsi="宋体" w:eastAsia="宋体" w:cs="宋体"/>
          <w:spacing w:val="5"/>
          <w:sz w:val="23"/>
          <w:szCs w:val="23"/>
        </w:rPr>
        <w:t>环境。</w:t>
      </w:r>
    </w:p>
    <w:p w14:paraId="0CF4BAAA">
      <w:pPr>
        <w:spacing w:before="169" w:line="393" w:lineRule="auto"/>
        <w:ind w:left="24" w:right="103" w:firstLine="480"/>
        <w:rPr>
          <w:rFonts w:ascii="宋体" w:hAnsi="宋体" w:eastAsia="宋体" w:cs="宋体"/>
          <w:sz w:val="23"/>
          <w:szCs w:val="23"/>
        </w:rPr>
      </w:pPr>
      <w:r>
        <w:rPr>
          <w:rFonts w:ascii="宋体" w:hAnsi="宋体" w:eastAsia="宋体" w:cs="宋体"/>
          <w:spacing w:val="7"/>
          <w:sz w:val="23"/>
          <w:szCs w:val="23"/>
        </w:rPr>
        <w:t>土壤环境保护措施应采取源头控制措施、过程防控措施。本项目提出以下</w:t>
      </w:r>
      <w:r>
        <w:rPr>
          <w:rFonts w:ascii="宋体" w:hAnsi="宋体" w:eastAsia="宋体" w:cs="宋体"/>
          <w:spacing w:val="2"/>
          <w:sz w:val="23"/>
          <w:szCs w:val="23"/>
        </w:rPr>
        <w:t>保</w:t>
      </w:r>
      <w:r>
        <w:rPr>
          <w:rFonts w:ascii="宋体" w:hAnsi="宋体" w:eastAsia="宋体" w:cs="宋体"/>
          <w:sz w:val="23"/>
          <w:szCs w:val="23"/>
        </w:rPr>
        <w:t xml:space="preserve"> </w:t>
      </w:r>
      <w:r>
        <w:rPr>
          <w:rFonts w:ascii="宋体" w:hAnsi="宋体" w:eastAsia="宋体" w:cs="宋体"/>
          <w:spacing w:val="5"/>
          <w:sz w:val="23"/>
          <w:szCs w:val="23"/>
        </w:rPr>
        <w:t>护措施</w:t>
      </w:r>
      <w:r>
        <w:rPr>
          <w:rFonts w:ascii="宋体" w:hAnsi="宋体" w:eastAsia="宋体" w:cs="宋体"/>
          <w:spacing w:val="4"/>
          <w:sz w:val="23"/>
          <w:szCs w:val="23"/>
        </w:rPr>
        <w:t>：</w:t>
      </w:r>
    </w:p>
    <w:p w14:paraId="01C7CC4F">
      <w:pPr>
        <w:sectPr>
          <w:headerReference r:id="rId285" w:type="default"/>
          <w:footerReference r:id="rId286" w:type="default"/>
          <w:pgSz w:w="11906" w:h="16839"/>
          <w:pgMar w:top="1132" w:right="1695" w:bottom="1182" w:left="1785" w:header="878" w:footer="1022" w:gutter="0"/>
          <w:cols w:space="720" w:num="1"/>
        </w:sectPr>
      </w:pPr>
    </w:p>
    <w:p w14:paraId="1479D92C">
      <w:pPr>
        <w:spacing w:line="409" w:lineRule="auto"/>
        <w:rPr>
          <w:rFonts w:ascii="Arial"/>
          <w:sz w:val="21"/>
        </w:rPr>
      </w:pPr>
      <w:r>
        <w:pict>
          <v:shape id="_x0000_s1355" o:spid="_x0000_s1355" style="position:absolute;left:0pt;margin-left:90pt;margin-top:57.35pt;height:0.75pt;width:415.3pt;mso-position-horizontal-relative:page;mso-position-vertical-relative:page;z-index:252049408;mso-width-relative:page;mso-height-relative:page;" fillcolor="#000000" filled="t" stroked="f" coordsize="8305,15" o:allowincell="f" path="m0,0l8305,0,8305,14,0,14,0,0xe">
            <v:path/>
            <v:fill on="t" focussize="0,0"/>
            <v:stroke on="f"/>
            <v:imagedata o:title=""/>
            <o:lock v:ext="edit"/>
          </v:shape>
        </w:pict>
      </w:r>
    </w:p>
    <w:p w14:paraId="15BEE749">
      <w:pPr>
        <w:spacing w:before="74" w:line="227" w:lineRule="auto"/>
        <w:ind w:left="514"/>
        <w:rPr>
          <w:rFonts w:ascii="宋体" w:hAnsi="宋体" w:eastAsia="宋体" w:cs="宋体"/>
          <w:sz w:val="23"/>
          <w:szCs w:val="23"/>
        </w:rPr>
      </w:pPr>
      <w:r>
        <w:rPr>
          <w:rFonts w:ascii="宋体" w:hAnsi="宋体" w:eastAsia="宋体" w:cs="宋体"/>
          <w:spacing w:val="18"/>
          <w:sz w:val="23"/>
          <w:szCs w:val="23"/>
        </w:rPr>
        <w:t>(</w:t>
      </w:r>
      <w:r>
        <w:rPr>
          <w:rFonts w:ascii="Times New Roman" w:hAnsi="Times New Roman" w:eastAsia="Times New Roman" w:cs="Times New Roman"/>
          <w:spacing w:val="18"/>
          <w:sz w:val="23"/>
          <w:szCs w:val="23"/>
        </w:rPr>
        <w:t>1</w:t>
      </w:r>
      <w:r>
        <w:rPr>
          <w:rFonts w:ascii="宋体" w:hAnsi="宋体" w:eastAsia="宋体" w:cs="宋体"/>
          <w:spacing w:val="18"/>
          <w:sz w:val="23"/>
          <w:szCs w:val="23"/>
        </w:rPr>
        <w:t>) 源头控制措</w:t>
      </w:r>
      <w:r>
        <w:rPr>
          <w:rFonts w:ascii="宋体" w:hAnsi="宋体" w:eastAsia="宋体" w:cs="宋体"/>
          <w:spacing w:val="17"/>
          <w:sz w:val="23"/>
          <w:szCs w:val="23"/>
        </w:rPr>
        <w:t>施</w:t>
      </w:r>
    </w:p>
    <w:p w14:paraId="525F0A33">
      <w:pPr>
        <w:spacing w:line="276" w:lineRule="auto"/>
        <w:rPr>
          <w:rFonts w:ascii="Arial"/>
          <w:sz w:val="21"/>
        </w:rPr>
      </w:pPr>
    </w:p>
    <w:p w14:paraId="3108352F">
      <w:pPr>
        <w:spacing w:before="75" w:line="393" w:lineRule="auto"/>
        <w:ind w:left="24" w:right="35" w:firstLine="480"/>
        <w:rPr>
          <w:rFonts w:ascii="宋体" w:hAnsi="宋体" w:eastAsia="宋体" w:cs="宋体"/>
          <w:sz w:val="23"/>
          <w:szCs w:val="23"/>
        </w:rPr>
      </w:pPr>
      <w:r>
        <w:rPr>
          <w:rFonts w:ascii="宋体" w:hAnsi="宋体" w:eastAsia="宋体" w:cs="宋体"/>
          <w:spacing w:val="7"/>
          <w:sz w:val="23"/>
          <w:szCs w:val="23"/>
        </w:rPr>
        <w:t>主要包括在工艺、管道、设备、污水储存及处理构筑物采取相应措施，防</w:t>
      </w:r>
      <w:r>
        <w:rPr>
          <w:rFonts w:ascii="宋体" w:hAnsi="宋体" w:eastAsia="宋体" w:cs="宋体"/>
          <w:spacing w:val="1"/>
          <w:sz w:val="23"/>
          <w:szCs w:val="23"/>
        </w:rPr>
        <w:t>止</w:t>
      </w:r>
      <w:r>
        <w:rPr>
          <w:rFonts w:ascii="宋体" w:hAnsi="宋体" w:eastAsia="宋体" w:cs="宋体"/>
          <w:sz w:val="23"/>
          <w:szCs w:val="23"/>
        </w:rPr>
        <w:t xml:space="preserve"> </w:t>
      </w:r>
      <w:r>
        <w:rPr>
          <w:rFonts w:ascii="宋体" w:hAnsi="宋体" w:eastAsia="宋体" w:cs="宋体"/>
          <w:spacing w:val="18"/>
          <w:sz w:val="23"/>
          <w:szCs w:val="23"/>
        </w:rPr>
        <w:t>和</w:t>
      </w:r>
      <w:r>
        <w:rPr>
          <w:rFonts w:ascii="宋体" w:hAnsi="宋体" w:eastAsia="宋体" w:cs="宋体"/>
          <w:spacing w:val="13"/>
          <w:sz w:val="23"/>
          <w:szCs w:val="23"/>
        </w:rPr>
        <w:t>降</w:t>
      </w:r>
      <w:r>
        <w:rPr>
          <w:rFonts w:ascii="宋体" w:hAnsi="宋体" w:eastAsia="宋体" w:cs="宋体"/>
          <w:spacing w:val="9"/>
          <w:sz w:val="23"/>
          <w:szCs w:val="23"/>
        </w:rPr>
        <w:t>低污染物跑、冒、滴、漏，将污染物泄漏的环境风险事故降到最低程度；</w:t>
      </w:r>
    </w:p>
    <w:p w14:paraId="10796FA3">
      <w:pPr>
        <w:spacing w:before="136" w:line="228" w:lineRule="auto"/>
        <w:ind w:left="514"/>
        <w:rPr>
          <w:rFonts w:ascii="宋体" w:hAnsi="宋体" w:eastAsia="宋体" w:cs="宋体"/>
          <w:sz w:val="23"/>
          <w:szCs w:val="23"/>
        </w:rPr>
      </w:pPr>
      <w:r>
        <w:rPr>
          <w:rFonts w:ascii="宋体" w:hAnsi="宋体" w:eastAsia="宋体" w:cs="宋体"/>
          <w:spacing w:val="18"/>
          <w:sz w:val="23"/>
          <w:szCs w:val="23"/>
        </w:rPr>
        <w:t>(</w:t>
      </w:r>
      <w:r>
        <w:rPr>
          <w:rFonts w:ascii="Times New Roman" w:hAnsi="Times New Roman" w:eastAsia="Times New Roman" w:cs="Times New Roman"/>
          <w:spacing w:val="18"/>
          <w:sz w:val="23"/>
          <w:szCs w:val="23"/>
        </w:rPr>
        <w:t>2</w:t>
      </w:r>
      <w:r>
        <w:rPr>
          <w:rFonts w:ascii="宋体" w:hAnsi="宋体" w:eastAsia="宋体" w:cs="宋体"/>
          <w:spacing w:val="18"/>
          <w:sz w:val="23"/>
          <w:szCs w:val="23"/>
        </w:rPr>
        <w:t>) 过程防控措</w:t>
      </w:r>
      <w:r>
        <w:rPr>
          <w:rFonts w:ascii="宋体" w:hAnsi="宋体" w:eastAsia="宋体" w:cs="宋体"/>
          <w:spacing w:val="17"/>
          <w:sz w:val="23"/>
          <w:szCs w:val="23"/>
        </w:rPr>
        <w:t>施</w:t>
      </w:r>
    </w:p>
    <w:p w14:paraId="0F19276F">
      <w:pPr>
        <w:spacing w:line="277" w:lineRule="auto"/>
        <w:rPr>
          <w:rFonts w:ascii="Arial"/>
          <w:sz w:val="21"/>
        </w:rPr>
      </w:pPr>
    </w:p>
    <w:p w14:paraId="7EC9F3C2">
      <w:pPr>
        <w:spacing w:before="75" w:line="388" w:lineRule="auto"/>
        <w:ind w:left="24" w:firstLine="480"/>
        <w:rPr>
          <w:rFonts w:ascii="宋体" w:hAnsi="宋体" w:eastAsia="宋体" w:cs="宋体"/>
          <w:sz w:val="23"/>
          <w:szCs w:val="23"/>
        </w:rPr>
      </w:pPr>
      <w:r>
        <w:rPr>
          <w:rFonts w:ascii="宋体" w:hAnsi="宋体" w:eastAsia="宋体" w:cs="宋体"/>
          <w:spacing w:val="7"/>
          <w:sz w:val="23"/>
          <w:szCs w:val="23"/>
        </w:rPr>
        <w:t>主要包括厂内污染区地面的防渗措施和泄漏、渗漏污染物收集措施，即在</w:t>
      </w:r>
      <w:r>
        <w:rPr>
          <w:rFonts w:ascii="宋体" w:hAnsi="宋体" w:eastAsia="宋体" w:cs="宋体"/>
          <w:spacing w:val="1"/>
          <w:sz w:val="23"/>
          <w:szCs w:val="23"/>
        </w:rPr>
        <w:t>污</w:t>
      </w:r>
      <w:r>
        <w:rPr>
          <w:rFonts w:ascii="宋体" w:hAnsi="宋体" w:eastAsia="宋体" w:cs="宋体"/>
          <w:sz w:val="23"/>
          <w:szCs w:val="23"/>
        </w:rPr>
        <w:t xml:space="preserve"> </w:t>
      </w:r>
      <w:r>
        <w:rPr>
          <w:rFonts w:ascii="宋体" w:hAnsi="宋体" w:eastAsia="宋体" w:cs="宋体"/>
          <w:spacing w:val="8"/>
          <w:sz w:val="23"/>
          <w:szCs w:val="23"/>
        </w:rPr>
        <w:t>染</w:t>
      </w:r>
      <w:r>
        <w:rPr>
          <w:rFonts w:ascii="宋体" w:hAnsi="宋体" w:eastAsia="宋体" w:cs="宋体"/>
          <w:spacing w:val="7"/>
          <w:sz w:val="23"/>
          <w:szCs w:val="23"/>
        </w:rPr>
        <w:t>区地面进行防渗处理，防止洒落地面的污染物渗入地下，并把滞留在地面的污</w:t>
      </w:r>
      <w:r>
        <w:rPr>
          <w:rFonts w:ascii="宋体" w:hAnsi="宋体" w:eastAsia="宋体" w:cs="宋体"/>
          <w:sz w:val="23"/>
          <w:szCs w:val="23"/>
        </w:rPr>
        <w:t xml:space="preserve"> </w:t>
      </w:r>
      <w:r>
        <w:rPr>
          <w:rFonts w:ascii="宋体" w:hAnsi="宋体" w:eastAsia="宋体" w:cs="宋体"/>
          <w:spacing w:val="9"/>
          <w:sz w:val="23"/>
          <w:szCs w:val="23"/>
        </w:rPr>
        <w:t>染</w:t>
      </w:r>
      <w:r>
        <w:rPr>
          <w:rFonts w:ascii="宋体" w:hAnsi="宋体" w:eastAsia="宋体" w:cs="宋体"/>
          <w:spacing w:val="8"/>
          <w:sz w:val="23"/>
          <w:szCs w:val="23"/>
        </w:rPr>
        <w:t>物收集起来，集中送至污水处理厂；输送含有污染物的管道尽可能地上敷设，</w:t>
      </w:r>
      <w:r>
        <w:rPr>
          <w:rFonts w:ascii="宋体" w:hAnsi="宋体" w:eastAsia="宋体" w:cs="宋体"/>
          <w:sz w:val="23"/>
          <w:szCs w:val="23"/>
        </w:rPr>
        <w:t xml:space="preserve"> </w:t>
      </w:r>
      <w:r>
        <w:rPr>
          <w:rFonts w:ascii="宋体" w:hAnsi="宋体" w:eastAsia="宋体" w:cs="宋体"/>
          <w:spacing w:val="8"/>
          <w:sz w:val="23"/>
          <w:szCs w:val="23"/>
        </w:rPr>
        <w:t>并</w:t>
      </w:r>
      <w:r>
        <w:rPr>
          <w:rFonts w:ascii="宋体" w:hAnsi="宋体" w:eastAsia="宋体" w:cs="宋体"/>
          <w:spacing w:val="7"/>
          <w:sz w:val="23"/>
          <w:szCs w:val="23"/>
        </w:rPr>
        <w:t>且对管道做明显标识，减少由于埋地管道泄漏而造成的地下水污染；若确实需</w:t>
      </w:r>
      <w:r>
        <w:rPr>
          <w:rFonts w:ascii="宋体" w:hAnsi="宋体" w:eastAsia="宋体" w:cs="宋体"/>
          <w:sz w:val="23"/>
          <w:szCs w:val="23"/>
        </w:rPr>
        <w:t xml:space="preserve"> </w:t>
      </w:r>
      <w:r>
        <w:rPr>
          <w:rFonts w:ascii="宋体" w:hAnsi="宋体" w:eastAsia="宋体" w:cs="宋体"/>
          <w:spacing w:val="9"/>
          <w:sz w:val="23"/>
          <w:szCs w:val="23"/>
        </w:rPr>
        <w:t>要地下敷设时，应采取必要的防渗措施</w:t>
      </w:r>
      <w:r>
        <w:rPr>
          <w:rFonts w:ascii="宋体" w:hAnsi="宋体" w:eastAsia="宋体" w:cs="宋体"/>
          <w:spacing w:val="6"/>
          <w:sz w:val="23"/>
          <w:szCs w:val="23"/>
        </w:rPr>
        <w:t>。</w:t>
      </w:r>
    </w:p>
    <w:p w14:paraId="51E699C7">
      <w:pPr>
        <w:sectPr>
          <w:headerReference r:id="rId287" w:type="default"/>
          <w:footerReference r:id="rId288" w:type="default"/>
          <w:pgSz w:w="11906" w:h="16839"/>
          <w:pgMar w:top="1132" w:right="1764" w:bottom="1182" w:left="1785" w:header="878" w:footer="1022" w:gutter="0"/>
          <w:cols w:space="720" w:num="1"/>
        </w:sectPr>
      </w:pPr>
    </w:p>
    <w:p w14:paraId="4080548A">
      <w:pPr>
        <w:spacing w:line="422" w:lineRule="auto"/>
        <w:rPr>
          <w:rFonts w:ascii="Arial"/>
          <w:sz w:val="21"/>
        </w:rPr>
      </w:pPr>
      <w:r>
        <w:pict>
          <v:shape id="_x0000_s1356" o:spid="_x0000_s1356" style="position:absolute;left:0pt;margin-left:90pt;margin-top:57.35pt;height:0.75pt;width:415.3pt;mso-position-horizontal-relative:page;mso-position-vertical-relative:page;z-index:252050432;mso-width-relative:page;mso-height-relative:page;" fillcolor="#000000" filled="t" stroked="f" coordsize="8305,15" o:allowincell="f" path="m0,0l8305,0,8305,14,0,14,0,0xe">
            <v:path/>
            <v:fill on="t" focussize="0,0"/>
            <v:stroke on="f"/>
            <v:imagedata o:title=""/>
            <o:lock v:ext="edit"/>
          </v:shape>
        </w:pict>
      </w:r>
    </w:p>
    <w:p w14:paraId="33A5F0A9">
      <w:pPr>
        <w:spacing w:before="114" w:line="223" w:lineRule="auto"/>
        <w:ind w:left="26"/>
        <w:outlineLvl w:val="0"/>
        <w:rPr>
          <w:rFonts w:ascii="宋体" w:hAnsi="宋体" w:eastAsia="宋体" w:cs="宋体"/>
          <w:sz w:val="35"/>
          <w:szCs w:val="35"/>
        </w:rPr>
      </w:pPr>
      <w:bookmarkStart w:id="28" w:name="_bookmark29"/>
      <w:bookmarkEnd w:id="28"/>
      <w:r>
        <w:rPr>
          <w:rFonts w:ascii="Times New Roman" w:hAnsi="Times New Roman" w:eastAsia="Times New Roman" w:cs="Times New Roman"/>
          <w:b/>
          <w:bCs/>
          <w:spacing w:val="8"/>
          <w:sz w:val="35"/>
          <w:szCs w:val="35"/>
        </w:rPr>
        <w:t>7</w:t>
      </w:r>
      <w:r>
        <w:rPr>
          <w:rFonts w:ascii="Times New Roman" w:hAnsi="Times New Roman" w:eastAsia="Times New Roman" w:cs="Times New Roman"/>
          <w:spacing w:val="7"/>
          <w:sz w:val="35"/>
          <w:szCs w:val="35"/>
        </w:rPr>
        <w:t xml:space="preserve">  </w:t>
      </w:r>
      <w:r>
        <w:rPr>
          <w:rFonts w:ascii="宋体" w:hAnsi="宋体" w:eastAsia="宋体" w:cs="宋体"/>
          <w:spacing w:val="7"/>
          <w:sz w:val="35"/>
          <w:szCs w:val="35"/>
          <w14:textOutline w14:w="6537" w14:cap="sq" w14:cmpd="sng">
            <w14:solidFill>
              <w14:srgbClr w14:val="000000"/>
            </w14:solidFill>
            <w14:prstDash w14:val="solid"/>
            <w14:bevel/>
          </w14:textOutline>
        </w:rPr>
        <w:t>环境风险评价</w:t>
      </w:r>
    </w:p>
    <w:p w14:paraId="3282A011">
      <w:pPr>
        <w:spacing w:before="314" w:line="389" w:lineRule="auto"/>
        <w:ind w:left="22" w:firstLine="480"/>
        <w:rPr>
          <w:rFonts w:ascii="宋体" w:hAnsi="宋体" w:eastAsia="宋体" w:cs="宋体"/>
          <w:sz w:val="23"/>
          <w:szCs w:val="23"/>
        </w:rPr>
      </w:pPr>
      <w:r>
        <w:rPr>
          <w:rFonts w:ascii="宋体" w:hAnsi="宋体" w:eastAsia="宋体" w:cs="宋体"/>
          <w:spacing w:val="22"/>
          <w:sz w:val="23"/>
          <w:szCs w:val="23"/>
        </w:rPr>
        <w:t>环</w:t>
      </w:r>
      <w:r>
        <w:rPr>
          <w:rFonts w:ascii="宋体" w:hAnsi="宋体" w:eastAsia="宋体" w:cs="宋体"/>
          <w:spacing w:val="14"/>
          <w:sz w:val="23"/>
          <w:szCs w:val="23"/>
        </w:rPr>
        <w:t>境风险评价是在分析项目事故发生概率和预测事故状态下的影响程度基</w:t>
      </w:r>
      <w:r>
        <w:rPr>
          <w:rFonts w:ascii="宋体" w:hAnsi="宋体" w:eastAsia="宋体" w:cs="宋体"/>
          <w:sz w:val="23"/>
          <w:szCs w:val="23"/>
        </w:rPr>
        <w:t xml:space="preserve"> </w:t>
      </w:r>
      <w:r>
        <w:rPr>
          <w:rFonts w:ascii="宋体" w:hAnsi="宋体" w:eastAsia="宋体" w:cs="宋体"/>
          <w:spacing w:val="9"/>
          <w:sz w:val="23"/>
          <w:szCs w:val="23"/>
        </w:rPr>
        <w:t>础</w:t>
      </w:r>
      <w:r>
        <w:rPr>
          <w:rFonts w:ascii="宋体" w:hAnsi="宋体" w:eastAsia="宋体" w:cs="宋体"/>
          <w:spacing w:val="7"/>
          <w:sz w:val="23"/>
          <w:szCs w:val="23"/>
        </w:rPr>
        <w:t>上，以事故发生概率与事故后果的乘积来表征项目事故的风险度。评价目的旨</w:t>
      </w:r>
      <w:r>
        <w:rPr>
          <w:rFonts w:ascii="宋体" w:hAnsi="宋体" w:eastAsia="宋体" w:cs="宋体"/>
          <w:sz w:val="23"/>
          <w:szCs w:val="23"/>
        </w:rPr>
        <w:t xml:space="preserve"> </w:t>
      </w:r>
      <w:r>
        <w:rPr>
          <w:rFonts w:ascii="宋体" w:hAnsi="宋体" w:eastAsia="宋体" w:cs="宋体"/>
          <w:spacing w:val="9"/>
          <w:sz w:val="23"/>
          <w:szCs w:val="23"/>
        </w:rPr>
        <w:t>在通过风险度的分析，对项目建设和运行过程中可能存在的事故隐患 (事故源</w:t>
      </w:r>
      <w:r>
        <w:rPr>
          <w:rFonts w:ascii="宋体" w:hAnsi="宋体" w:eastAsia="宋体" w:cs="宋体"/>
          <w:spacing w:val="5"/>
          <w:sz w:val="23"/>
          <w:szCs w:val="23"/>
        </w:rPr>
        <w:t>)</w:t>
      </w:r>
      <w:r>
        <w:rPr>
          <w:rFonts w:ascii="宋体" w:hAnsi="宋体" w:eastAsia="宋体" w:cs="宋体"/>
          <w:sz w:val="23"/>
          <w:szCs w:val="23"/>
        </w:rPr>
        <w:t xml:space="preserve"> </w:t>
      </w:r>
      <w:r>
        <w:rPr>
          <w:rFonts w:ascii="宋体" w:hAnsi="宋体" w:eastAsia="宋体" w:cs="宋体"/>
          <w:spacing w:val="9"/>
          <w:sz w:val="23"/>
          <w:szCs w:val="23"/>
        </w:rPr>
        <w:t>提</w:t>
      </w:r>
      <w:r>
        <w:rPr>
          <w:rFonts w:ascii="宋体" w:hAnsi="宋体" w:eastAsia="宋体" w:cs="宋体"/>
          <w:spacing w:val="7"/>
          <w:sz w:val="23"/>
          <w:szCs w:val="23"/>
        </w:rPr>
        <w:t>出事故防范措施和事故后应急措施，使建设项目的环境风险影响尽可能降到最</w:t>
      </w:r>
      <w:r>
        <w:rPr>
          <w:rFonts w:ascii="宋体" w:hAnsi="宋体" w:eastAsia="宋体" w:cs="宋体"/>
          <w:sz w:val="23"/>
          <w:szCs w:val="23"/>
        </w:rPr>
        <w:t xml:space="preserve"> </w:t>
      </w:r>
      <w:r>
        <w:rPr>
          <w:rFonts w:ascii="宋体" w:hAnsi="宋体" w:eastAsia="宋体" w:cs="宋体"/>
          <w:spacing w:val="15"/>
          <w:sz w:val="23"/>
          <w:szCs w:val="23"/>
        </w:rPr>
        <w:t>低</w:t>
      </w:r>
      <w:r>
        <w:rPr>
          <w:rFonts w:ascii="宋体" w:hAnsi="宋体" w:eastAsia="宋体" w:cs="宋体"/>
          <w:spacing w:val="8"/>
          <w:sz w:val="23"/>
          <w:szCs w:val="23"/>
        </w:rPr>
        <w:t>，风险度达到可接受水平。</w:t>
      </w:r>
    </w:p>
    <w:p w14:paraId="5E2DF4FD">
      <w:pPr>
        <w:spacing w:before="67" w:line="223" w:lineRule="auto"/>
        <w:ind w:left="24"/>
        <w:outlineLvl w:val="1"/>
        <w:rPr>
          <w:rFonts w:ascii="宋体" w:hAnsi="宋体" w:eastAsia="宋体" w:cs="宋体"/>
          <w:sz w:val="31"/>
          <w:szCs w:val="31"/>
        </w:rPr>
      </w:pPr>
      <w:bookmarkStart w:id="29" w:name="_bookmark30"/>
      <w:bookmarkEnd w:id="29"/>
      <w:r>
        <w:rPr>
          <w:rFonts w:ascii="Times New Roman" w:hAnsi="Times New Roman" w:eastAsia="Times New Roman" w:cs="Times New Roman"/>
          <w:b/>
          <w:bCs/>
          <w:spacing w:val="9"/>
          <w:sz w:val="31"/>
          <w:szCs w:val="31"/>
        </w:rPr>
        <w:t>7</w:t>
      </w:r>
      <w:r>
        <w:rPr>
          <w:rFonts w:ascii="Times New Roman" w:hAnsi="Times New Roman" w:eastAsia="Times New Roman" w:cs="Times New Roman"/>
          <w:b/>
          <w:bCs/>
          <w:spacing w:val="7"/>
          <w:sz w:val="31"/>
          <w:szCs w:val="31"/>
        </w:rPr>
        <w:t>.1</w:t>
      </w:r>
      <w:r>
        <w:rPr>
          <w:rFonts w:ascii="Times New Roman" w:hAnsi="Times New Roman" w:eastAsia="Times New Roman" w:cs="Times New Roman"/>
          <w:spacing w:val="7"/>
          <w:sz w:val="31"/>
          <w:szCs w:val="31"/>
        </w:rPr>
        <w:t xml:space="preserve">  </w:t>
      </w:r>
      <w:r>
        <w:rPr>
          <w:rFonts w:ascii="宋体" w:hAnsi="宋体" w:eastAsia="宋体" w:cs="宋体"/>
          <w:spacing w:val="7"/>
          <w:sz w:val="31"/>
          <w:szCs w:val="31"/>
          <w14:textOutline w14:w="5793" w14:cap="sq" w14:cmpd="sng">
            <w14:solidFill>
              <w14:srgbClr w14:val="000000"/>
            </w14:solidFill>
            <w14:prstDash w14:val="solid"/>
            <w14:bevel/>
          </w14:textOutline>
        </w:rPr>
        <w:t>环境风险评价依据</w:t>
      </w:r>
    </w:p>
    <w:p w14:paraId="75D42210">
      <w:pPr>
        <w:spacing w:before="278" w:line="226" w:lineRule="auto"/>
        <w:ind w:left="24"/>
        <w:outlineLvl w:val="2"/>
        <w:rPr>
          <w:rFonts w:ascii="宋体" w:hAnsi="宋体" w:eastAsia="宋体" w:cs="宋体"/>
          <w:sz w:val="29"/>
          <w:szCs w:val="29"/>
        </w:rPr>
      </w:pPr>
      <w:r>
        <w:rPr>
          <w:rFonts w:ascii="Times New Roman" w:hAnsi="Times New Roman" w:eastAsia="Times New Roman" w:cs="Times New Roman"/>
          <w:b/>
          <w:bCs/>
          <w:spacing w:val="5"/>
          <w:sz w:val="29"/>
          <w:szCs w:val="29"/>
        </w:rPr>
        <w:t>7.1.1</w:t>
      </w:r>
      <w:r>
        <w:rPr>
          <w:rFonts w:ascii="Times New Roman" w:hAnsi="Times New Roman" w:eastAsia="Times New Roman" w:cs="Times New Roman"/>
          <w:spacing w:val="5"/>
          <w:sz w:val="29"/>
          <w:szCs w:val="29"/>
        </w:rPr>
        <w:t xml:space="preserve">  </w:t>
      </w:r>
      <w:r>
        <w:rPr>
          <w:rFonts w:ascii="宋体" w:hAnsi="宋体" w:eastAsia="宋体" w:cs="宋体"/>
          <w:spacing w:val="5"/>
          <w:sz w:val="29"/>
          <w:szCs w:val="29"/>
          <w14:textOutline w14:w="5448" w14:cap="sq" w14:cmpd="sng">
            <w14:solidFill>
              <w14:srgbClr w14:val="000000"/>
            </w14:solidFill>
            <w14:prstDash w14:val="solid"/>
            <w14:bevel/>
          </w14:textOutline>
        </w:rPr>
        <w:t>风险调查</w:t>
      </w:r>
    </w:p>
    <w:p w14:paraId="2E0CEA54">
      <w:pPr>
        <w:spacing w:line="256" w:lineRule="auto"/>
        <w:rPr>
          <w:rFonts w:ascii="Arial"/>
          <w:sz w:val="21"/>
        </w:rPr>
      </w:pPr>
    </w:p>
    <w:p w14:paraId="60801F63">
      <w:pPr>
        <w:spacing w:before="75" w:line="386" w:lineRule="auto"/>
        <w:ind w:left="22" w:right="8" w:firstLine="480"/>
        <w:rPr>
          <w:rFonts w:ascii="宋体" w:hAnsi="宋体" w:eastAsia="宋体" w:cs="宋体"/>
          <w:sz w:val="23"/>
          <w:szCs w:val="23"/>
        </w:rPr>
      </w:pPr>
      <w:r>
        <w:rPr>
          <w:rFonts w:ascii="宋体" w:hAnsi="宋体" w:eastAsia="宋体" w:cs="宋体"/>
          <w:spacing w:val="1"/>
          <w:sz w:val="23"/>
          <w:szCs w:val="23"/>
        </w:rPr>
        <w:t>根据《建设项目环境风险评价技术导则》  (</w:t>
      </w:r>
      <w:r>
        <w:rPr>
          <w:rFonts w:ascii="Times New Roman" w:hAnsi="Times New Roman" w:eastAsia="Times New Roman" w:cs="Times New Roman"/>
          <w:sz w:val="23"/>
          <w:szCs w:val="23"/>
        </w:rPr>
        <w:t>HJ</w:t>
      </w:r>
      <w:r>
        <w:rPr>
          <w:rFonts w:ascii="Times New Roman" w:hAnsi="Times New Roman" w:eastAsia="Times New Roman" w:cs="Times New Roman"/>
          <w:spacing w:val="1"/>
          <w:sz w:val="23"/>
          <w:szCs w:val="23"/>
        </w:rPr>
        <w:t>169-</w:t>
      </w:r>
      <w:r>
        <w:rPr>
          <w:rFonts w:ascii="Times New Roman" w:hAnsi="Times New Roman" w:eastAsia="Times New Roman" w:cs="Times New Roman"/>
          <w:sz w:val="23"/>
          <w:szCs w:val="23"/>
        </w:rPr>
        <w:t>2018</w:t>
      </w:r>
      <w:r>
        <w:rPr>
          <w:rFonts w:ascii="宋体" w:hAnsi="宋体" w:eastAsia="宋体" w:cs="宋体"/>
          <w:sz w:val="23"/>
          <w:szCs w:val="23"/>
        </w:rPr>
        <w:t>) 中</w:t>
      </w:r>
      <w:r>
        <w:rPr>
          <w:rFonts w:ascii="Times New Roman" w:hAnsi="Times New Roman" w:eastAsia="Times New Roman" w:cs="Times New Roman"/>
          <w:sz w:val="23"/>
          <w:szCs w:val="23"/>
        </w:rPr>
        <w:t xml:space="preserve">“7  </w:t>
      </w:r>
      <w:r>
        <w:rPr>
          <w:rFonts w:ascii="宋体" w:hAnsi="宋体" w:eastAsia="宋体" w:cs="宋体"/>
          <w:sz w:val="23"/>
          <w:szCs w:val="23"/>
        </w:rPr>
        <w:t xml:space="preserve">风险识别 </w:t>
      </w:r>
      <w:r>
        <w:rPr>
          <w:rFonts w:ascii="Times New Roman" w:hAnsi="Times New Roman" w:eastAsia="Times New Roman" w:cs="Times New Roman"/>
          <w:sz w:val="23"/>
          <w:szCs w:val="23"/>
        </w:rPr>
        <w:t xml:space="preserve">7. 1 </w:t>
      </w:r>
      <w:r>
        <w:rPr>
          <w:rFonts w:ascii="宋体" w:hAnsi="宋体" w:eastAsia="宋体" w:cs="宋体"/>
          <w:spacing w:val="6"/>
          <w:sz w:val="23"/>
          <w:szCs w:val="23"/>
        </w:rPr>
        <w:t>风险</w:t>
      </w:r>
      <w:r>
        <w:rPr>
          <w:rFonts w:ascii="宋体" w:hAnsi="宋体" w:eastAsia="宋体" w:cs="宋体"/>
          <w:spacing w:val="3"/>
          <w:sz w:val="23"/>
          <w:szCs w:val="23"/>
        </w:rPr>
        <w:t xml:space="preserve">识别内容 </w:t>
      </w:r>
      <w:r>
        <w:rPr>
          <w:rFonts w:ascii="Times New Roman" w:hAnsi="Times New Roman" w:eastAsia="Times New Roman" w:cs="Times New Roman"/>
          <w:spacing w:val="3"/>
          <w:sz w:val="23"/>
          <w:szCs w:val="23"/>
        </w:rPr>
        <w:t xml:space="preserve">7. 1. 1  </w:t>
      </w:r>
      <w:r>
        <w:rPr>
          <w:rFonts w:ascii="宋体" w:hAnsi="宋体" w:eastAsia="宋体" w:cs="宋体"/>
          <w:spacing w:val="3"/>
          <w:sz w:val="23"/>
          <w:szCs w:val="23"/>
        </w:rPr>
        <w:t>物质危险性识别包括主要原辅材材料、原料、中间产品、副</w:t>
      </w:r>
      <w:r>
        <w:rPr>
          <w:rFonts w:ascii="宋体" w:hAnsi="宋体" w:eastAsia="宋体" w:cs="宋体"/>
          <w:sz w:val="23"/>
          <w:szCs w:val="23"/>
        </w:rPr>
        <w:t xml:space="preserve"> </w:t>
      </w:r>
      <w:r>
        <w:rPr>
          <w:rFonts w:ascii="宋体" w:hAnsi="宋体" w:eastAsia="宋体" w:cs="宋体"/>
          <w:spacing w:val="7"/>
          <w:sz w:val="23"/>
          <w:szCs w:val="23"/>
        </w:rPr>
        <w:t>产品、最终产品、污染物、火灾和爆炸伴生</w:t>
      </w:r>
      <w:r>
        <w:rPr>
          <w:rFonts w:ascii="Times New Roman" w:hAnsi="Times New Roman" w:eastAsia="Times New Roman" w:cs="Times New Roman"/>
          <w:spacing w:val="7"/>
          <w:sz w:val="23"/>
          <w:szCs w:val="23"/>
        </w:rPr>
        <w:t>/</w:t>
      </w:r>
      <w:r>
        <w:rPr>
          <w:rFonts w:ascii="宋体" w:hAnsi="宋体" w:eastAsia="宋体" w:cs="宋体"/>
          <w:spacing w:val="7"/>
          <w:sz w:val="23"/>
          <w:szCs w:val="23"/>
        </w:rPr>
        <w:t>次生物等</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，该项目主要原材料废</w:t>
      </w:r>
      <w:r>
        <w:rPr>
          <w:rFonts w:ascii="宋体" w:hAnsi="宋体" w:eastAsia="宋体" w:cs="宋体"/>
          <w:spacing w:val="2"/>
          <w:sz w:val="23"/>
          <w:szCs w:val="23"/>
        </w:rPr>
        <w:t>旧</w:t>
      </w:r>
      <w:r>
        <w:rPr>
          <w:rFonts w:ascii="宋体" w:hAnsi="宋体" w:eastAsia="宋体" w:cs="宋体"/>
          <w:sz w:val="23"/>
          <w:szCs w:val="23"/>
        </w:rPr>
        <w:t xml:space="preserve"> </w:t>
      </w:r>
      <w:r>
        <w:rPr>
          <w:rFonts w:ascii="宋体" w:hAnsi="宋体" w:eastAsia="宋体" w:cs="宋体"/>
          <w:spacing w:val="4"/>
          <w:sz w:val="23"/>
          <w:szCs w:val="23"/>
        </w:rPr>
        <w:t>塑料编织</w:t>
      </w:r>
      <w:r>
        <w:rPr>
          <w:rFonts w:ascii="宋体" w:hAnsi="宋体" w:eastAsia="宋体" w:cs="宋体"/>
          <w:spacing w:val="3"/>
          <w:sz w:val="23"/>
          <w:szCs w:val="23"/>
        </w:rPr>
        <w:t>袋</w:t>
      </w:r>
      <w:r>
        <w:rPr>
          <w:rFonts w:ascii="宋体" w:hAnsi="宋体" w:eastAsia="宋体" w:cs="宋体"/>
          <w:spacing w:val="2"/>
          <w:sz w:val="23"/>
          <w:szCs w:val="23"/>
        </w:rPr>
        <w:t>，主要成分为聚乙烯、聚丙烯，产品主要为聚乙烯颗粒、聚丙烯颗粒，</w:t>
      </w:r>
      <w:r>
        <w:rPr>
          <w:rFonts w:ascii="宋体" w:hAnsi="宋体" w:eastAsia="宋体" w:cs="宋体"/>
          <w:sz w:val="23"/>
          <w:szCs w:val="23"/>
        </w:rPr>
        <w:t xml:space="preserve"> </w:t>
      </w:r>
      <w:r>
        <w:rPr>
          <w:rFonts w:ascii="宋体" w:hAnsi="宋体" w:eastAsia="宋体" w:cs="宋体"/>
          <w:spacing w:val="10"/>
          <w:sz w:val="23"/>
          <w:szCs w:val="23"/>
        </w:rPr>
        <w:t>对照</w:t>
      </w:r>
      <w:r>
        <w:rPr>
          <w:rFonts w:ascii="宋体" w:hAnsi="宋体" w:eastAsia="宋体" w:cs="宋体"/>
          <w:spacing w:val="7"/>
          <w:sz w:val="23"/>
          <w:szCs w:val="23"/>
        </w:rPr>
        <w:t>《</w:t>
      </w:r>
      <w:r>
        <w:rPr>
          <w:rFonts w:ascii="宋体" w:hAnsi="宋体" w:eastAsia="宋体" w:cs="宋体"/>
          <w:spacing w:val="5"/>
          <w:sz w:val="23"/>
          <w:szCs w:val="23"/>
        </w:rPr>
        <w:t>建设项目环境风险评价技术导则》  (</w:t>
      </w:r>
      <w:r>
        <w:rPr>
          <w:rFonts w:ascii="Times New Roman" w:hAnsi="Times New Roman" w:eastAsia="Times New Roman" w:cs="Times New Roman"/>
          <w:sz w:val="23"/>
          <w:szCs w:val="23"/>
        </w:rPr>
        <w:t>HJ</w:t>
      </w:r>
      <w:r>
        <w:rPr>
          <w:rFonts w:ascii="Times New Roman" w:hAnsi="Times New Roman" w:eastAsia="Times New Roman" w:cs="Times New Roman"/>
          <w:spacing w:val="5"/>
          <w:sz w:val="23"/>
          <w:szCs w:val="23"/>
        </w:rPr>
        <w:t>169-2018</w:t>
      </w:r>
      <w:r>
        <w:rPr>
          <w:rFonts w:ascii="宋体" w:hAnsi="宋体" w:eastAsia="宋体" w:cs="宋体"/>
          <w:spacing w:val="5"/>
          <w:sz w:val="23"/>
          <w:szCs w:val="23"/>
        </w:rPr>
        <w:t xml:space="preserve">) 附录 </w:t>
      </w:r>
      <w:r>
        <w:rPr>
          <w:rFonts w:ascii="Times New Roman" w:hAnsi="Times New Roman" w:eastAsia="Times New Roman" w:cs="Times New Roman"/>
          <w:sz w:val="23"/>
          <w:szCs w:val="23"/>
        </w:rPr>
        <w:t>B</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rPr>
        <w:t>重点关注的危</w:t>
      </w:r>
      <w:r>
        <w:rPr>
          <w:rFonts w:ascii="宋体" w:hAnsi="宋体" w:eastAsia="宋体" w:cs="宋体"/>
          <w:sz w:val="23"/>
          <w:szCs w:val="23"/>
        </w:rPr>
        <w:t xml:space="preserve"> </w:t>
      </w:r>
      <w:r>
        <w:rPr>
          <w:rFonts w:ascii="宋体" w:hAnsi="宋体" w:eastAsia="宋体" w:cs="宋体"/>
          <w:spacing w:val="9"/>
          <w:sz w:val="23"/>
          <w:szCs w:val="23"/>
        </w:rPr>
        <w:t>险</w:t>
      </w:r>
      <w:r>
        <w:rPr>
          <w:rFonts w:ascii="宋体" w:hAnsi="宋体" w:eastAsia="宋体" w:cs="宋体"/>
          <w:spacing w:val="7"/>
          <w:sz w:val="23"/>
          <w:szCs w:val="23"/>
        </w:rPr>
        <w:t>物质及临界量，上述原料及产品均不属于危险化学品和有毒有害物质，不具有</w:t>
      </w:r>
      <w:r>
        <w:rPr>
          <w:rFonts w:ascii="宋体" w:hAnsi="宋体" w:eastAsia="宋体" w:cs="宋体"/>
          <w:sz w:val="23"/>
          <w:szCs w:val="23"/>
        </w:rPr>
        <w:t xml:space="preserve"> </w:t>
      </w:r>
      <w:r>
        <w:rPr>
          <w:rFonts w:ascii="宋体" w:hAnsi="宋体" w:eastAsia="宋体" w:cs="宋体"/>
          <w:spacing w:val="9"/>
          <w:sz w:val="23"/>
          <w:szCs w:val="23"/>
        </w:rPr>
        <w:t>易</w:t>
      </w:r>
      <w:r>
        <w:rPr>
          <w:rFonts w:ascii="宋体" w:hAnsi="宋体" w:eastAsia="宋体" w:cs="宋体"/>
          <w:spacing w:val="7"/>
          <w:sz w:val="23"/>
          <w:szCs w:val="23"/>
        </w:rPr>
        <w:t>燃易爆等特性，不属于风险物质。但遇明火可燃，因此应按照《建设项目环境</w:t>
      </w:r>
      <w:r>
        <w:rPr>
          <w:rFonts w:ascii="宋体" w:hAnsi="宋体" w:eastAsia="宋体" w:cs="宋体"/>
          <w:sz w:val="23"/>
          <w:szCs w:val="23"/>
        </w:rPr>
        <w:t xml:space="preserve"> </w:t>
      </w:r>
      <w:r>
        <w:rPr>
          <w:rFonts w:ascii="宋体" w:hAnsi="宋体" w:eastAsia="宋体" w:cs="宋体"/>
          <w:spacing w:val="12"/>
          <w:sz w:val="23"/>
          <w:szCs w:val="23"/>
        </w:rPr>
        <w:t>风险评价</w:t>
      </w:r>
      <w:r>
        <w:rPr>
          <w:rFonts w:ascii="宋体" w:hAnsi="宋体" w:eastAsia="宋体" w:cs="宋体"/>
          <w:spacing w:val="7"/>
          <w:sz w:val="23"/>
          <w:szCs w:val="23"/>
        </w:rPr>
        <w:t>技</w:t>
      </w:r>
      <w:r>
        <w:rPr>
          <w:rFonts w:ascii="宋体" w:hAnsi="宋体" w:eastAsia="宋体" w:cs="宋体"/>
          <w:spacing w:val="6"/>
          <w:sz w:val="23"/>
          <w:szCs w:val="23"/>
        </w:rPr>
        <w:t>术导则》 (</w:t>
      </w:r>
      <w:r>
        <w:rPr>
          <w:rFonts w:ascii="Times New Roman" w:hAnsi="Times New Roman" w:eastAsia="Times New Roman" w:cs="Times New Roman"/>
          <w:sz w:val="23"/>
          <w:szCs w:val="23"/>
        </w:rPr>
        <w:t>HJ</w:t>
      </w:r>
      <w:r>
        <w:rPr>
          <w:rFonts w:ascii="Times New Roman" w:hAnsi="Times New Roman" w:eastAsia="Times New Roman" w:cs="Times New Roman"/>
          <w:spacing w:val="6"/>
          <w:sz w:val="23"/>
          <w:szCs w:val="23"/>
        </w:rPr>
        <w:t>169-2018</w:t>
      </w:r>
      <w:r>
        <w:rPr>
          <w:rFonts w:ascii="宋体" w:hAnsi="宋体" w:eastAsia="宋体" w:cs="宋体"/>
          <w:spacing w:val="6"/>
          <w:sz w:val="23"/>
          <w:szCs w:val="23"/>
        </w:rPr>
        <w:t>) 中相关要求，以突发性事故导致的危险物质</w:t>
      </w:r>
      <w:r>
        <w:rPr>
          <w:rFonts w:ascii="宋体" w:hAnsi="宋体" w:eastAsia="宋体" w:cs="宋体"/>
          <w:sz w:val="23"/>
          <w:szCs w:val="23"/>
        </w:rPr>
        <w:t xml:space="preserve"> </w:t>
      </w:r>
      <w:r>
        <w:rPr>
          <w:rFonts w:ascii="宋体" w:hAnsi="宋体" w:eastAsia="宋体" w:cs="宋体"/>
          <w:spacing w:val="9"/>
          <w:sz w:val="23"/>
          <w:szCs w:val="23"/>
        </w:rPr>
        <w:t>环</w:t>
      </w:r>
      <w:r>
        <w:rPr>
          <w:rFonts w:ascii="宋体" w:hAnsi="宋体" w:eastAsia="宋体" w:cs="宋体"/>
          <w:spacing w:val="7"/>
          <w:sz w:val="23"/>
          <w:szCs w:val="23"/>
        </w:rPr>
        <w:t>境记性损害防控为目标，对建设项目的环境风险进行分析、预测和评估，提出</w:t>
      </w:r>
      <w:r>
        <w:rPr>
          <w:rFonts w:ascii="宋体" w:hAnsi="宋体" w:eastAsia="宋体" w:cs="宋体"/>
          <w:sz w:val="23"/>
          <w:szCs w:val="23"/>
        </w:rPr>
        <w:t xml:space="preserve"> </w:t>
      </w:r>
      <w:r>
        <w:rPr>
          <w:rFonts w:ascii="宋体" w:hAnsi="宋体" w:eastAsia="宋体" w:cs="宋体"/>
          <w:spacing w:val="9"/>
          <w:sz w:val="23"/>
          <w:szCs w:val="23"/>
        </w:rPr>
        <w:t>环</w:t>
      </w:r>
      <w:r>
        <w:rPr>
          <w:rFonts w:ascii="宋体" w:hAnsi="宋体" w:eastAsia="宋体" w:cs="宋体"/>
          <w:spacing w:val="7"/>
          <w:sz w:val="23"/>
          <w:szCs w:val="23"/>
        </w:rPr>
        <w:t>境风险预防、控制、减缓措施，明确环境风险监控及应急要求，为建设项目环</w:t>
      </w:r>
      <w:r>
        <w:rPr>
          <w:rFonts w:ascii="宋体" w:hAnsi="宋体" w:eastAsia="宋体" w:cs="宋体"/>
          <w:sz w:val="23"/>
          <w:szCs w:val="23"/>
        </w:rPr>
        <w:t xml:space="preserve"> </w:t>
      </w:r>
      <w:r>
        <w:rPr>
          <w:rFonts w:ascii="宋体" w:hAnsi="宋体" w:eastAsia="宋体" w:cs="宋体"/>
          <w:spacing w:val="13"/>
          <w:sz w:val="23"/>
          <w:szCs w:val="23"/>
        </w:rPr>
        <w:t>境</w:t>
      </w:r>
      <w:r>
        <w:rPr>
          <w:rFonts w:ascii="宋体" w:hAnsi="宋体" w:eastAsia="宋体" w:cs="宋体"/>
          <w:spacing w:val="8"/>
          <w:sz w:val="23"/>
          <w:szCs w:val="23"/>
        </w:rPr>
        <w:t>风险防控提出科学依据。</w:t>
      </w:r>
    </w:p>
    <w:p w14:paraId="03C709C4">
      <w:pPr>
        <w:spacing w:before="144" w:line="388" w:lineRule="auto"/>
        <w:ind w:left="22" w:right="37" w:firstLine="484"/>
        <w:rPr>
          <w:rFonts w:ascii="宋体" w:hAnsi="宋体" w:eastAsia="宋体" w:cs="宋体"/>
          <w:sz w:val="23"/>
          <w:szCs w:val="23"/>
        </w:rPr>
      </w:pPr>
      <w:r>
        <w:rPr>
          <w:rFonts w:ascii="宋体" w:hAnsi="宋体" w:eastAsia="宋体" w:cs="宋体"/>
          <w:spacing w:val="12"/>
          <w:sz w:val="23"/>
          <w:szCs w:val="23"/>
        </w:rPr>
        <w:t>该项目生</w:t>
      </w:r>
      <w:r>
        <w:rPr>
          <w:rFonts w:ascii="宋体" w:hAnsi="宋体" w:eastAsia="宋体" w:cs="宋体"/>
          <w:spacing w:val="7"/>
          <w:sz w:val="23"/>
          <w:szCs w:val="23"/>
        </w:rPr>
        <w:t>产</w:t>
      </w:r>
      <w:r>
        <w:rPr>
          <w:rFonts w:ascii="宋体" w:hAnsi="宋体" w:eastAsia="宋体" w:cs="宋体"/>
          <w:spacing w:val="6"/>
          <w:sz w:val="23"/>
          <w:szCs w:val="23"/>
        </w:rPr>
        <w:t>设备不属于高温、高压设备，出现事故的可能性很小，可能存在</w:t>
      </w:r>
      <w:r>
        <w:rPr>
          <w:rFonts w:ascii="宋体" w:hAnsi="宋体" w:eastAsia="宋体" w:cs="宋体"/>
          <w:sz w:val="23"/>
          <w:szCs w:val="23"/>
        </w:rPr>
        <w:t xml:space="preserve"> </w:t>
      </w:r>
      <w:r>
        <w:rPr>
          <w:rFonts w:ascii="宋体" w:hAnsi="宋体" w:eastAsia="宋体" w:cs="宋体"/>
          <w:spacing w:val="9"/>
          <w:sz w:val="23"/>
          <w:szCs w:val="23"/>
        </w:rPr>
        <w:t>风</w:t>
      </w:r>
      <w:r>
        <w:rPr>
          <w:rFonts w:ascii="宋体" w:hAnsi="宋体" w:eastAsia="宋体" w:cs="宋体"/>
          <w:spacing w:val="7"/>
          <w:sz w:val="23"/>
          <w:szCs w:val="23"/>
        </w:rPr>
        <w:t>险的设施主要为：贮运系统、环保设施。项目塑料采用密封箱式汽车运输，运</w:t>
      </w:r>
      <w:r>
        <w:rPr>
          <w:rFonts w:ascii="宋体" w:hAnsi="宋体" w:eastAsia="宋体" w:cs="宋体"/>
          <w:sz w:val="23"/>
          <w:szCs w:val="23"/>
        </w:rPr>
        <w:t xml:space="preserve"> </w:t>
      </w:r>
      <w:r>
        <w:rPr>
          <w:rFonts w:ascii="宋体" w:hAnsi="宋体" w:eastAsia="宋体" w:cs="宋体"/>
          <w:spacing w:val="11"/>
          <w:sz w:val="23"/>
          <w:szCs w:val="23"/>
        </w:rPr>
        <w:t>输</w:t>
      </w:r>
      <w:r>
        <w:rPr>
          <w:rFonts w:ascii="宋体" w:hAnsi="宋体" w:eastAsia="宋体" w:cs="宋体"/>
          <w:spacing w:val="8"/>
          <w:sz w:val="23"/>
          <w:szCs w:val="23"/>
        </w:rPr>
        <w:t>过程过程风险事故发生概率较小。但一旦发生原料仓着火，火势会迅速蔓延，</w:t>
      </w:r>
      <w:r>
        <w:rPr>
          <w:rFonts w:ascii="宋体" w:hAnsi="宋体" w:eastAsia="宋体" w:cs="宋体"/>
          <w:sz w:val="23"/>
          <w:szCs w:val="23"/>
        </w:rPr>
        <w:t xml:space="preserve"> </w:t>
      </w:r>
      <w:r>
        <w:rPr>
          <w:rFonts w:ascii="宋体" w:hAnsi="宋体" w:eastAsia="宋体" w:cs="宋体"/>
          <w:spacing w:val="9"/>
          <w:sz w:val="23"/>
          <w:szCs w:val="23"/>
        </w:rPr>
        <w:t>如</w:t>
      </w:r>
      <w:r>
        <w:rPr>
          <w:rFonts w:ascii="宋体" w:hAnsi="宋体" w:eastAsia="宋体" w:cs="宋体"/>
          <w:spacing w:val="7"/>
          <w:sz w:val="23"/>
          <w:szCs w:val="23"/>
        </w:rPr>
        <w:t>果灾情控制不住，将会对项目造成一定的经济损失，严重可能危及周围的企业</w:t>
      </w:r>
      <w:r>
        <w:rPr>
          <w:rFonts w:ascii="宋体" w:hAnsi="宋体" w:eastAsia="宋体" w:cs="宋体"/>
          <w:sz w:val="23"/>
          <w:szCs w:val="23"/>
        </w:rPr>
        <w:t xml:space="preserve"> </w:t>
      </w:r>
      <w:r>
        <w:rPr>
          <w:rFonts w:ascii="宋体" w:hAnsi="宋体" w:eastAsia="宋体" w:cs="宋体"/>
          <w:spacing w:val="11"/>
          <w:sz w:val="23"/>
          <w:szCs w:val="23"/>
        </w:rPr>
        <w:t>和</w:t>
      </w:r>
      <w:r>
        <w:rPr>
          <w:rFonts w:ascii="宋体" w:hAnsi="宋体" w:eastAsia="宋体" w:cs="宋体"/>
          <w:spacing w:val="6"/>
          <w:sz w:val="23"/>
          <w:szCs w:val="23"/>
        </w:rPr>
        <w:t xml:space="preserve">附近的居民。同时燃烧产生大量的有害气体 </w:t>
      </w:r>
      <w:r>
        <w:rPr>
          <w:rFonts w:ascii="Times New Roman" w:hAnsi="Times New Roman" w:eastAsia="Times New Roman" w:cs="Times New Roman"/>
          <w:sz w:val="23"/>
          <w:szCs w:val="23"/>
        </w:rPr>
        <w:t>CO</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、烟尘，引发一系列的次生环</w:t>
      </w:r>
      <w:r>
        <w:rPr>
          <w:rFonts w:ascii="宋体" w:hAnsi="宋体" w:eastAsia="宋体" w:cs="宋体"/>
          <w:sz w:val="23"/>
          <w:szCs w:val="23"/>
        </w:rPr>
        <w:t xml:space="preserve"> </w:t>
      </w:r>
      <w:r>
        <w:rPr>
          <w:rFonts w:ascii="宋体" w:hAnsi="宋体" w:eastAsia="宋体" w:cs="宋体"/>
          <w:spacing w:val="6"/>
          <w:sz w:val="23"/>
          <w:szCs w:val="23"/>
        </w:rPr>
        <w:t>境</w:t>
      </w:r>
      <w:r>
        <w:rPr>
          <w:rFonts w:ascii="宋体" w:hAnsi="宋体" w:eastAsia="宋体" w:cs="宋体"/>
          <w:spacing w:val="5"/>
          <w:sz w:val="23"/>
          <w:szCs w:val="23"/>
        </w:rPr>
        <w:t>问题。</w:t>
      </w:r>
    </w:p>
    <w:p w14:paraId="716D1874">
      <w:pPr>
        <w:spacing w:before="136" w:line="227" w:lineRule="auto"/>
        <w:ind w:left="508"/>
        <w:rPr>
          <w:rFonts w:ascii="宋体" w:hAnsi="宋体" w:eastAsia="宋体" w:cs="宋体"/>
          <w:sz w:val="23"/>
          <w:szCs w:val="23"/>
        </w:rPr>
      </w:pPr>
      <w:r>
        <w:rPr>
          <w:rFonts w:ascii="宋体" w:hAnsi="宋体" w:eastAsia="宋体" w:cs="宋体"/>
          <w:spacing w:val="12"/>
          <w:sz w:val="23"/>
          <w:szCs w:val="23"/>
        </w:rPr>
        <w:t>正常情况</w:t>
      </w:r>
      <w:r>
        <w:rPr>
          <w:rFonts w:ascii="宋体" w:hAnsi="宋体" w:eastAsia="宋体" w:cs="宋体"/>
          <w:spacing w:val="6"/>
          <w:sz w:val="23"/>
          <w:szCs w:val="23"/>
        </w:rPr>
        <w:t>下项目生产废水经处理后循环利用不外排，在事故情况下，生产废</w:t>
      </w:r>
    </w:p>
    <w:p w14:paraId="5AAA7D6A">
      <w:pPr>
        <w:sectPr>
          <w:headerReference r:id="rId289" w:type="default"/>
          <w:footerReference r:id="rId290" w:type="default"/>
          <w:pgSz w:w="11906" w:h="16839"/>
          <w:pgMar w:top="1132" w:right="1726" w:bottom="1182" w:left="1785" w:header="878" w:footer="1022" w:gutter="0"/>
          <w:cols w:space="720" w:num="1"/>
        </w:sectPr>
      </w:pPr>
    </w:p>
    <w:p w14:paraId="774E0990">
      <w:pPr>
        <w:spacing w:line="406" w:lineRule="auto"/>
        <w:rPr>
          <w:rFonts w:ascii="Arial"/>
          <w:sz w:val="21"/>
        </w:rPr>
      </w:pPr>
      <w:r>
        <w:pict>
          <v:shape id="_x0000_s1357" o:spid="_x0000_s1357" style="position:absolute;left:0pt;margin-left:90pt;margin-top:57.35pt;height:0.75pt;width:415.3pt;mso-position-horizontal-relative:page;mso-position-vertical-relative:page;z-index:252051456;mso-width-relative:page;mso-height-relative:page;" fillcolor="#000000" filled="t" stroked="f" coordsize="8305,15" o:allowincell="f" path="m0,0l8305,0,8305,14,0,14,0,0xe">
            <v:path/>
            <v:fill on="t" focussize="0,0"/>
            <v:stroke on="f"/>
            <v:imagedata o:title=""/>
            <o:lock v:ext="edit"/>
          </v:shape>
        </w:pict>
      </w:r>
    </w:p>
    <w:p w14:paraId="164E8137">
      <w:pPr>
        <w:spacing w:before="74" w:line="386" w:lineRule="auto"/>
        <w:ind w:left="46" w:right="85" w:firstLine="8"/>
        <w:rPr>
          <w:rFonts w:ascii="宋体" w:hAnsi="宋体" w:eastAsia="宋体" w:cs="宋体"/>
          <w:sz w:val="23"/>
          <w:szCs w:val="23"/>
        </w:rPr>
      </w:pPr>
      <w:r>
        <w:rPr>
          <w:rFonts w:ascii="宋体" w:hAnsi="宋体" w:eastAsia="宋体" w:cs="宋体"/>
          <w:spacing w:val="8"/>
          <w:sz w:val="23"/>
          <w:szCs w:val="23"/>
        </w:rPr>
        <w:t xml:space="preserve">水泄漏会影响地下水。因本项目废物污染物较为单一，主要为 </w:t>
      </w:r>
      <w:r>
        <w:rPr>
          <w:rFonts w:ascii="Times New Roman" w:hAnsi="Times New Roman" w:eastAsia="Times New Roman" w:cs="Times New Roman"/>
          <w:sz w:val="23"/>
          <w:szCs w:val="23"/>
        </w:rPr>
        <w:t>SS</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，因此，项</w:t>
      </w:r>
      <w:r>
        <w:rPr>
          <w:rFonts w:ascii="宋体" w:hAnsi="宋体" w:eastAsia="宋体" w:cs="宋体"/>
          <w:spacing w:val="3"/>
          <w:sz w:val="23"/>
          <w:szCs w:val="23"/>
        </w:rPr>
        <w:t>目</w:t>
      </w:r>
      <w:r>
        <w:rPr>
          <w:rFonts w:ascii="宋体" w:hAnsi="宋体" w:eastAsia="宋体" w:cs="宋体"/>
          <w:sz w:val="23"/>
          <w:szCs w:val="23"/>
        </w:rPr>
        <w:t xml:space="preserve"> </w:t>
      </w:r>
      <w:r>
        <w:rPr>
          <w:rFonts w:ascii="宋体" w:hAnsi="宋体" w:eastAsia="宋体" w:cs="宋体"/>
          <w:spacing w:val="14"/>
          <w:sz w:val="23"/>
          <w:szCs w:val="23"/>
        </w:rPr>
        <w:t>只</w:t>
      </w:r>
      <w:r>
        <w:rPr>
          <w:rFonts w:ascii="宋体" w:hAnsi="宋体" w:eastAsia="宋体" w:cs="宋体"/>
          <w:spacing w:val="7"/>
          <w:sz w:val="23"/>
          <w:szCs w:val="23"/>
        </w:rPr>
        <w:t>要做好循环水池的建设，杜绝清洗废水的外排，基本上可以杜绝对周边地表水</w:t>
      </w:r>
      <w:r>
        <w:rPr>
          <w:rFonts w:ascii="宋体" w:hAnsi="宋体" w:eastAsia="宋体" w:cs="宋体"/>
          <w:sz w:val="23"/>
          <w:szCs w:val="23"/>
        </w:rPr>
        <w:t xml:space="preserve"> </w:t>
      </w:r>
      <w:r>
        <w:rPr>
          <w:rFonts w:ascii="宋体" w:hAnsi="宋体" w:eastAsia="宋体" w:cs="宋体"/>
          <w:spacing w:val="33"/>
          <w:sz w:val="23"/>
          <w:szCs w:val="23"/>
        </w:rPr>
        <w:t>的</w:t>
      </w:r>
      <w:r>
        <w:rPr>
          <w:rFonts w:ascii="宋体" w:hAnsi="宋体" w:eastAsia="宋体" w:cs="宋体"/>
          <w:spacing w:val="17"/>
          <w:sz w:val="23"/>
          <w:szCs w:val="23"/>
        </w:rPr>
        <w:t>影响。 同时，环评要求项目对循环沉淀池做好防渗措施，等效黏土防渗层</w:t>
      </w:r>
      <w:r>
        <w:rPr>
          <w:rFonts w:ascii="宋体" w:hAnsi="宋体" w:eastAsia="宋体" w:cs="宋体"/>
          <w:sz w:val="23"/>
          <w:szCs w:val="23"/>
        </w:rPr>
        <w:t xml:space="preserve"> </w:t>
      </w:r>
      <w:r>
        <w:rPr>
          <w:rFonts w:ascii="Times New Roman" w:hAnsi="Times New Roman" w:eastAsia="Times New Roman" w:cs="Times New Roman"/>
          <w:sz w:val="23"/>
          <w:szCs w:val="23"/>
        </w:rPr>
        <w:t>Mb</w:t>
      </w:r>
      <w:r>
        <w:rPr>
          <w:rFonts w:ascii="Times New Roman" w:hAnsi="Times New Roman" w:eastAsia="Times New Roman" w:cs="Times New Roman"/>
          <w:spacing w:val="4"/>
          <w:sz w:val="23"/>
          <w:szCs w:val="23"/>
        </w:rPr>
        <w:t>≥1.5</w:t>
      </w:r>
      <w:r>
        <w:rPr>
          <w:rFonts w:ascii="Times New Roman" w:hAnsi="Times New Roman" w:eastAsia="Times New Roman" w:cs="Times New Roman"/>
          <w:sz w:val="23"/>
          <w:szCs w:val="23"/>
        </w:rPr>
        <w:t>m</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w:t>
      </w:r>
      <w:r>
        <w:rPr>
          <w:rFonts w:ascii="Times New Roman" w:hAnsi="Times New Roman" w:eastAsia="Times New Roman" w:cs="Times New Roman"/>
          <w:sz w:val="23"/>
          <w:szCs w:val="23"/>
        </w:rPr>
        <w:t>K</w:t>
      </w:r>
      <w:r>
        <w:rPr>
          <w:rFonts w:ascii="Times New Roman" w:hAnsi="Times New Roman" w:eastAsia="Times New Roman" w:cs="Times New Roman"/>
          <w:spacing w:val="4"/>
          <w:sz w:val="23"/>
          <w:szCs w:val="23"/>
        </w:rPr>
        <w:t>≤ 1×10</w:t>
      </w:r>
      <w:r>
        <w:rPr>
          <w:rFonts w:ascii="Times New Roman" w:hAnsi="Times New Roman" w:eastAsia="Times New Roman" w:cs="Times New Roman"/>
          <w:spacing w:val="4"/>
          <w:position w:val="8"/>
          <w:sz w:val="15"/>
          <w:szCs w:val="15"/>
        </w:rPr>
        <w:t>-7</w:t>
      </w:r>
      <w:r>
        <w:rPr>
          <w:rFonts w:ascii="Times New Roman" w:hAnsi="Times New Roman" w:eastAsia="Times New Roman" w:cs="Times New Roman"/>
          <w:sz w:val="23"/>
          <w:szCs w:val="23"/>
        </w:rPr>
        <w:t>cm</w:t>
      </w:r>
      <w:r>
        <w:rPr>
          <w:rFonts w:ascii="Times New Roman" w:hAnsi="Times New Roman" w:eastAsia="Times New Roman" w:cs="Times New Roman"/>
          <w:spacing w:val="4"/>
          <w:sz w:val="23"/>
          <w:szCs w:val="23"/>
        </w:rPr>
        <w:t>/</w:t>
      </w:r>
      <w:r>
        <w:rPr>
          <w:rFonts w:ascii="Times New Roman" w:hAnsi="Times New Roman" w:eastAsia="Times New Roman" w:cs="Times New Roman"/>
          <w:sz w:val="23"/>
          <w:szCs w:val="23"/>
        </w:rPr>
        <w:t>s</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或参照《生活垃圾填埋场控制标准》  (</w:t>
      </w:r>
      <w:r>
        <w:rPr>
          <w:rFonts w:ascii="Times New Roman" w:hAnsi="Times New Roman" w:eastAsia="Times New Roman" w:cs="Times New Roman"/>
          <w:sz w:val="23"/>
          <w:szCs w:val="23"/>
        </w:rPr>
        <w:t>GB</w:t>
      </w:r>
      <w:r>
        <w:rPr>
          <w:rFonts w:ascii="Times New Roman" w:hAnsi="Times New Roman" w:eastAsia="Times New Roman" w:cs="Times New Roman"/>
          <w:spacing w:val="4"/>
          <w:sz w:val="23"/>
          <w:szCs w:val="23"/>
        </w:rPr>
        <w:t xml:space="preserve">16889  </w:t>
      </w:r>
      <w:r>
        <w:rPr>
          <w:rFonts w:ascii="宋体" w:hAnsi="宋体" w:eastAsia="宋体" w:cs="宋体"/>
          <w:spacing w:val="3"/>
          <w:sz w:val="23"/>
          <w:szCs w:val="23"/>
        </w:rPr>
        <w:t>)</w:t>
      </w:r>
      <w:r>
        <w:rPr>
          <w:rFonts w:ascii="宋体" w:hAnsi="宋体" w:eastAsia="宋体" w:cs="宋体"/>
          <w:sz w:val="23"/>
          <w:szCs w:val="23"/>
        </w:rPr>
        <w:t xml:space="preserve"> 执 </w:t>
      </w:r>
      <w:r>
        <w:rPr>
          <w:rFonts w:ascii="宋体" w:hAnsi="宋体" w:eastAsia="宋体" w:cs="宋体"/>
          <w:spacing w:val="9"/>
          <w:sz w:val="23"/>
          <w:szCs w:val="23"/>
        </w:rPr>
        <w:t>行，防止对地下水的影响</w:t>
      </w:r>
      <w:r>
        <w:rPr>
          <w:rFonts w:ascii="宋体" w:hAnsi="宋体" w:eastAsia="宋体" w:cs="宋体"/>
          <w:spacing w:val="6"/>
          <w:sz w:val="23"/>
          <w:szCs w:val="23"/>
        </w:rPr>
        <w:t>。</w:t>
      </w:r>
    </w:p>
    <w:p w14:paraId="25DF70C7">
      <w:pPr>
        <w:spacing w:before="102" w:line="226" w:lineRule="auto"/>
        <w:ind w:left="52"/>
        <w:outlineLvl w:val="2"/>
        <w:rPr>
          <w:rFonts w:ascii="宋体" w:hAnsi="宋体" w:eastAsia="宋体" w:cs="宋体"/>
          <w:sz w:val="29"/>
          <w:szCs w:val="29"/>
        </w:rPr>
      </w:pPr>
      <w:r>
        <w:rPr>
          <w:rFonts w:ascii="Times New Roman" w:hAnsi="Times New Roman" w:eastAsia="Times New Roman" w:cs="Times New Roman"/>
          <w:b/>
          <w:bCs/>
          <w:spacing w:val="6"/>
          <w:sz w:val="29"/>
          <w:szCs w:val="29"/>
        </w:rPr>
        <w:t>7.1.2</w:t>
      </w:r>
      <w:r>
        <w:rPr>
          <w:rFonts w:ascii="Times New Roman" w:hAnsi="Times New Roman" w:eastAsia="Times New Roman" w:cs="Times New Roman"/>
          <w:spacing w:val="6"/>
          <w:sz w:val="29"/>
          <w:szCs w:val="29"/>
        </w:rPr>
        <w:t xml:space="preserve">  </w:t>
      </w:r>
      <w:r>
        <w:rPr>
          <w:rFonts w:ascii="宋体" w:hAnsi="宋体" w:eastAsia="宋体" w:cs="宋体"/>
          <w:spacing w:val="6"/>
          <w:sz w:val="29"/>
          <w:szCs w:val="29"/>
          <w14:textOutline w14:w="5448" w14:cap="sq" w14:cmpd="sng">
            <w14:solidFill>
              <w14:srgbClr w14:val="000000"/>
            </w14:solidFill>
            <w14:prstDash w14:val="solid"/>
            <w14:bevel/>
          </w14:textOutline>
        </w:rPr>
        <w:t>风险潜势初判</w:t>
      </w:r>
    </w:p>
    <w:p w14:paraId="17F29270">
      <w:pPr>
        <w:spacing w:before="292" w:line="395" w:lineRule="auto"/>
        <w:ind w:left="51" w:right="85" w:firstLine="482"/>
        <w:rPr>
          <w:rFonts w:ascii="宋体" w:hAnsi="宋体" w:eastAsia="宋体" w:cs="宋体"/>
          <w:sz w:val="23"/>
          <w:szCs w:val="23"/>
        </w:rPr>
      </w:pPr>
      <w:r>
        <w:rPr>
          <w:rFonts w:ascii="宋体" w:hAnsi="宋体" w:eastAsia="宋体" w:cs="宋体"/>
          <w:spacing w:val="6"/>
          <w:sz w:val="23"/>
          <w:szCs w:val="23"/>
        </w:rPr>
        <w:t>建设项目</w:t>
      </w:r>
      <w:r>
        <w:rPr>
          <w:rFonts w:ascii="宋体" w:hAnsi="宋体" w:eastAsia="宋体" w:cs="宋体"/>
          <w:spacing w:val="5"/>
          <w:sz w:val="23"/>
          <w:szCs w:val="23"/>
        </w:rPr>
        <w:t>环</w:t>
      </w:r>
      <w:r>
        <w:rPr>
          <w:rFonts w:ascii="宋体" w:hAnsi="宋体" w:eastAsia="宋体" w:cs="宋体"/>
          <w:spacing w:val="3"/>
          <w:sz w:val="23"/>
          <w:szCs w:val="23"/>
        </w:rPr>
        <w:t>境风险潜势划分为</w:t>
      </w:r>
      <w:r>
        <w:rPr>
          <w:rFonts w:ascii="Times New Roman" w:hAnsi="Times New Roman" w:eastAsia="Times New Roman" w:cs="Times New Roman"/>
          <w:spacing w:val="3"/>
          <w:sz w:val="23"/>
          <w:szCs w:val="23"/>
        </w:rPr>
        <w:t xml:space="preserve">Ⅰ </w:t>
      </w:r>
      <w:r>
        <w:rPr>
          <w:rFonts w:ascii="宋体" w:hAnsi="宋体" w:eastAsia="宋体" w:cs="宋体"/>
          <w:spacing w:val="3"/>
          <w:sz w:val="23"/>
          <w:szCs w:val="23"/>
        </w:rPr>
        <w:t>、</w:t>
      </w:r>
      <w:r>
        <w:rPr>
          <w:rFonts w:ascii="Times New Roman" w:hAnsi="Times New Roman" w:eastAsia="Times New Roman" w:cs="Times New Roman"/>
          <w:spacing w:val="3"/>
          <w:sz w:val="23"/>
          <w:szCs w:val="23"/>
        </w:rPr>
        <w:t xml:space="preserve">Ⅱ </w:t>
      </w:r>
      <w:r>
        <w:rPr>
          <w:rFonts w:ascii="宋体" w:hAnsi="宋体" w:eastAsia="宋体" w:cs="宋体"/>
          <w:spacing w:val="3"/>
          <w:sz w:val="23"/>
          <w:szCs w:val="23"/>
        </w:rPr>
        <w:t>、</w:t>
      </w:r>
      <w:r>
        <w:rPr>
          <w:rFonts w:ascii="Times New Roman" w:hAnsi="Times New Roman" w:eastAsia="Times New Roman" w:cs="Times New Roman"/>
          <w:spacing w:val="3"/>
          <w:sz w:val="23"/>
          <w:szCs w:val="23"/>
        </w:rPr>
        <w:t xml:space="preserve">Ⅲ </w:t>
      </w:r>
      <w:r>
        <w:rPr>
          <w:rFonts w:ascii="宋体" w:hAnsi="宋体" w:eastAsia="宋体" w:cs="宋体"/>
          <w:spacing w:val="3"/>
          <w:sz w:val="23"/>
          <w:szCs w:val="23"/>
        </w:rPr>
        <w:t>、</w:t>
      </w:r>
      <w:r>
        <w:rPr>
          <w:rFonts w:ascii="Times New Roman" w:hAnsi="Times New Roman" w:eastAsia="Times New Roman" w:cs="Times New Roman"/>
          <w:spacing w:val="3"/>
          <w:sz w:val="23"/>
          <w:szCs w:val="23"/>
        </w:rPr>
        <w:t>Ⅳ/Ⅳ</w:t>
      </w:r>
      <w:r>
        <w:rPr>
          <w:rFonts w:ascii="Times New Roman" w:hAnsi="Times New Roman" w:eastAsia="Times New Roman" w:cs="Times New Roman"/>
          <w:spacing w:val="3"/>
          <w:position w:val="7"/>
          <w:sz w:val="15"/>
          <w:szCs w:val="15"/>
        </w:rPr>
        <w:t>+</w:t>
      </w:r>
      <w:r>
        <w:rPr>
          <w:rFonts w:ascii="宋体" w:hAnsi="宋体" w:eastAsia="宋体" w:cs="宋体"/>
          <w:spacing w:val="3"/>
          <w:sz w:val="23"/>
          <w:szCs w:val="23"/>
        </w:rPr>
        <w:t>级，是根据建设项目涉及的</w:t>
      </w:r>
      <w:r>
        <w:rPr>
          <w:rFonts w:ascii="宋体" w:hAnsi="宋体" w:eastAsia="宋体" w:cs="宋体"/>
          <w:sz w:val="23"/>
          <w:szCs w:val="23"/>
        </w:rPr>
        <w:t xml:space="preserve"> </w:t>
      </w:r>
      <w:r>
        <w:rPr>
          <w:rFonts w:ascii="宋体" w:hAnsi="宋体" w:eastAsia="宋体" w:cs="宋体"/>
          <w:spacing w:val="9"/>
          <w:sz w:val="23"/>
          <w:szCs w:val="23"/>
        </w:rPr>
        <w:t>物</w:t>
      </w:r>
      <w:r>
        <w:rPr>
          <w:rFonts w:ascii="宋体" w:hAnsi="宋体" w:eastAsia="宋体" w:cs="宋体"/>
          <w:spacing w:val="7"/>
          <w:sz w:val="23"/>
          <w:szCs w:val="23"/>
        </w:rPr>
        <w:t>质和工艺系统的危险性及其所在地的环境敏感程度，结合事故情形下环境影响</w:t>
      </w:r>
      <w:r>
        <w:rPr>
          <w:rFonts w:ascii="宋体" w:hAnsi="宋体" w:eastAsia="宋体" w:cs="宋体"/>
          <w:sz w:val="23"/>
          <w:szCs w:val="23"/>
        </w:rPr>
        <w:t xml:space="preserve"> </w:t>
      </w:r>
      <w:r>
        <w:rPr>
          <w:rFonts w:ascii="宋体" w:hAnsi="宋体" w:eastAsia="宋体" w:cs="宋体"/>
          <w:spacing w:val="8"/>
          <w:sz w:val="23"/>
          <w:szCs w:val="23"/>
        </w:rPr>
        <w:t>途径，</w:t>
      </w:r>
      <w:r>
        <w:rPr>
          <w:rFonts w:ascii="宋体" w:hAnsi="宋体" w:eastAsia="宋体" w:cs="宋体"/>
          <w:spacing w:val="6"/>
          <w:sz w:val="23"/>
          <w:szCs w:val="23"/>
        </w:rPr>
        <w:t>对</w:t>
      </w:r>
      <w:r>
        <w:rPr>
          <w:rFonts w:ascii="宋体" w:hAnsi="宋体" w:eastAsia="宋体" w:cs="宋体"/>
          <w:spacing w:val="4"/>
          <w:sz w:val="23"/>
          <w:szCs w:val="23"/>
        </w:rPr>
        <w:t xml:space="preserve">建设项目潜在环境危害程度进行的概化分析，通常按照表 </w:t>
      </w:r>
      <w:r>
        <w:rPr>
          <w:rFonts w:ascii="Times New Roman" w:hAnsi="Times New Roman" w:eastAsia="Times New Roman" w:cs="Times New Roman"/>
          <w:spacing w:val="4"/>
          <w:sz w:val="23"/>
          <w:szCs w:val="23"/>
        </w:rPr>
        <w:t xml:space="preserve">7- 1 </w:t>
      </w:r>
      <w:r>
        <w:rPr>
          <w:rFonts w:ascii="宋体" w:hAnsi="宋体" w:eastAsia="宋体" w:cs="宋体"/>
          <w:spacing w:val="4"/>
          <w:sz w:val="23"/>
          <w:szCs w:val="23"/>
        </w:rPr>
        <w:t>确定环境</w:t>
      </w:r>
      <w:r>
        <w:rPr>
          <w:rFonts w:ascii="宋体" w:hAnsi="宋体" w:eastAsia="宋体" w:cs="宋体"/>
          <w:sz w:val="23"/>
          <w:szCs w:val="23"/>
        </w:rPr>
        <w:t xml:space="preserve"> </w:t>
      </w:r>
      <w:r>
        <w:rPr>
          <w:rFonts w:ascii="宋体" w:hAnsi="宋体" w:eastAsia="宋体" w:cs="宋体"/>
          <w:spacing w:val="6"/>
          <w:sz w:val="23"/>
          <w:szCs w:val="23"/>
        </w:rPr>
        <w:t>风险潜势。</w:t>
      </w:r>
    </w:p>
    <w:p w14:paraId="352106FF">
      <w:pPr>
        <w:spacing w:before="148" w:line="227" w:lineRule="auto"/>
        <w:ind w:left="2212"/>
        <w:rPr>
          <w:rFonts w:ascii="宋体" w:hAnsi="宋体" w:eastAsia="宋体" w:cs="宋体"/>
          <w:sz w:val="23"/>
          <w:szCs w:val="23"/>
        </w:rPr>
      </w:pPr>
      <w:r>
        <w:rPr>
          <w:rFonts w:ascii="宋体" w:hAnsi="宋体" w:eastAsia="宋体" w:cs="宋体"/>
          <w:spacing w:val="8"/>
          <w:sz w:val="23"/>
          <w:szCs w:val="23"/>
          <w14:textOutline w14:w="4358" w14:cap="sq" w14:cmpd="sng">
            <w14:solidFill>
              <w14:srgbClr w14:val="000000"/>
            </w14:solidFill>
            <w14:prstDash w14:val="solid"/>
            <w14:bevel/>
          </w14:textOutline>
        </w:rPr>
        <w:t>表</w:t>
      </w:r>
      <w:r>
        <w:rPr>
          <w:rFonts w:ascii="宋体" w:hAnsi="宋体" w:eastAsia="宋体" w:cs="宋体"/>
          <w:spacing w:val="8"/>
          <w:sz w:val="23"/>
          <w:szCs w:val="23"/>
        </w:rPr>
        <w:t xml:space="preserve"> </w:t>
      </w:r>
      <w:r>
        <w:rPr>
          <w:rFonts w:ascii="Times New Roman" w:hAnsi="Times New Roman" w:eastAsia="Times New Roman" w:cs="Times New Roman"/>
          <w:b/>
          <w:bCs/>
          <w:spacing w:val="7"/>
          <w:sz w:val="23"/>
          <w:szCs w:val="23"/>
        </w:rPr>
        <w:t>7</w:t>
      </w:r>
      <w:r>
        <w:rPr>
          <w:rFonts w:ascii="Times New Roman" w:hAnsi="Times New Roman" w:eastAsia="Times New Roman" w:cs="Times New Roman"/>
          <w:b/>
          <w:bCs/>
          <w:spacing w:val="4"/>
          <w:sz w:val="23"/>
          <w:szCs w:val="23"/>
        </w:rPr>
        <w:t>-1</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建设项目环境风险潜势划分</w:t>
      </w:r>
    </w:p>
    <w:p w14:paraId="0DFAAFF3">
      <w:pPr>
        <w:spacing w:line="18" w:lineRule="exact"/>
      </w:pPr>
    </w:p>
    <w:tbl>
      <w:tblPr>
        <w:tblStyle w:val="4"/>
        <w:tblW w:w="838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6"/>
        <w:gridCol w:w="1563"/>
        <w:gridCol w:w="1563"/>
        <w:gridCol w:w="1562"/>
        <w:gridCol w:w="1565"/>
      </w:tblGrid>
      <w:tr w14:paraId="47DBAE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136" w:type="dxa"/>
            <w:vMerge w:val="restart"/>
            <w:tcBorders>
              <w:left w:val="nil"/>
              <w:bottom w:val="nil"/>
            </w:tcBorders>
            <w:vAlign w:val="top"/>
          </w:tcPr>
          <w:p w14:paraId="016DB3FC">
            <w:pPr>
              <w:spacing w:before="236" w:line="228" w:lineRule="auto"/>
              <w:ind w:left="165"/>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环</w:t>
            </w:r>
            <w:r>
              <w:rPr>
                <w:rFonts w:ascii="宋体" w:hAnsi="宋体" w:eastAsia="宋体" w:cs="宋体"/>
                <w:spacing w:val="8"/>
                <w:sz w:val="20"/>
                <w:szCs w:val="20"/>
                <w14:textOutline w14:w="3795" w14:cap="sq" w14:cmpd="sng">
                  <w14:solidFill>
                    <w14:srgbClr w14:val="000000"/>
                  </w14:solidFill>
                  <w14:prstDash w14:val="solid"/>
                  <w14:bevel/>
                </w14:textOutline>
              </w:rPr>
              <w:t>境敏感程度</w:t>
            </w:r>
            <w:r>
              <w:rPr>
                <w:rFonts w:ascii="宋体" w:hAnsi="宋体" w:eastAsia="宋体" w:cs="宋体"/>
                <w:spacing w:val="8"/>
                <w:sz w:val="20"/>
                <w:szCs w:val="20"/>
              </w:rPr>
              <w:t xml:space="preserve"> </w:t>
            </w:r>
            <w:r>
              <w:rPr>
                <w:rFonts w:ascii="宋体" w:hAnsi="宋体" w:eastAsia="宋体" w:cs="宋体"/>
                <w:spacing w:val="8"/>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sz w:val="20"/>
                <w:szCs w:val="20"/>
              </w:rPr>
              <w:t>E</w:t>
            </w:r>
            <w:r>
              <w:rPr>
                <w:rFonts w:ascii="宋体" w:hAnsi="宋体" w:eastAsia="宋体" w:cs="宋体"/>
                <w:spacing w:val="8"/>
                <w:sz w:val="20"/>
                <w:szCs w:val="20"/>
                <w14:textOutline w14:w="3795" w14:cap="sq" w14:cmpd="sng">
                  <w14:solidFill>
                    <w14:srgbClr w14:val="000000"/>
                  </w14:solidFill>
                  <w14:prstDash w14:val="solid"/>
                  <w14:bevel/>
                </w14:textOutline>
              </w:rPr>
              <w:t>)</w:t>
            </w:r>
          </w:p>
        </w:tc>
        <w:tc>
          <w:tcPr>
            <w:tcW w:w="6253" w:type="dxa"/>
            <w:gridSpan w:val="4"/>
            <w:tcBorders>
              <w:right w:val="nil"/>
            </w:tcBorders>
            <w:vAlign w:val="top"/>
          </w:tcPr>
          <w:p w14:paraId="298F5EC4">
            <w:pPr>
              <w:spacing w:before="76" w:line="228" w:lineRule="auto"/>
              <w:ind w:left="1600"/>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危险物质及工艺系统危险性</w:t>
            </w:r>
            <w:r>
              <w:rPr>
                <w:rFonts w:ascii="宋体" w:hAnsi="宋体" w:eastAsia="宋体" w:cs="宋体"/>
                <w:spacing w:val="9"/>
                <w:sz w:val="20"/>
                <w:szCs w:val="20"/>
              </w:rPr>
              <w:t xml:space="preserve"> </w:t>
            </w:r>
            <w:r>
              <w:rPr>
                <w:rFonts w:ascii="宋体" w:hAnsi="宋体" w:eastAsia="宋体" w:cs="宋体"/>
                <w:spacing w:val="9"/>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sz w:val="20"/>
                <w:szCs w:val="20"/>
              </w:rPr>
              <w:t>P</w:t>
            </w:r>
            <w:r>
              <w:rPr>
                <w:rFonts w:ascii="宋体" w:hAnsi="宋体" w:eastAsia="宋体" w:cs="宋体"/>
                <w:spacing w:val="9"/>
                <w:sz w:val="20"/>
                <w:szCs w:val="20"/>
                <w14:textOutline w14:w="3795" w14:cap="sq" w14:cmpd="sng">
                  <w14:solidFill>
                    <w14:srgbClr w14:val="000000"/>
                  </w14:solidFill>
                  <w14:prstDash w14:val="solid"/>
                  <w14:bevel/>
                </w14:textOutline>
              </w:rPr>
              <w:t>)</w:t>
            </w:r>
          </w:p>
        </w:tc>
      </w:tr>
      <w:tr w14:paraId="5F2B91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136" w:type="dxa"/>
            <w:vMerge w:val="continue"/>
            <w:tcBorders>
              <w:top w:val="nil"/>
              <w:left w:val="nil"/>
            </w:tcBorders>
            <w:vAlign w:val="top"/>
          </w:tcPr>
          <w:p w14:paraId="426A5AE8">
            <w:pPr>
              <w:rPr>
                <w:rFonts w:ascii="Arial"/>
                <w:sz w:val="21"/>
              </w:rPr>
            </w:pPr>
          </w:p>
        </w:tc>
        <w:tc>
          <w:tcPr>
            <w:tcW w:w="1563" w:type="dxa"/>
            <w:vAlign w:val="top"/>
          </w:tcPr>
          <w:p w14:paraId="4B01C385">
            <w:pPr>
              <w:spacing w:before="51" w:line="228" w:lineRule="auto"/>
              <w:ind w:left="117"/>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极高危害</w:t>
            </w:r>
            <w:r>
              <w:rPr>
                <w:rFonts w:ascii="宋体" w:hAnsi="宋体" w:eastAsia="宋体" w:cs="宋体"/>
                <w:spacing w:val="1"/>
                <w:sz w:val="20"/>
                <w:szCs w:val="20"/>
              </w:rPr>
              <w:t xml:space="preserve"> </w:t>
            </w:r>
            <w:r>
              <w:rPr>
                <w:rFonts w:ascii="宋体" w:hAnsi="宋体" w:eastAsia="宋体" w:cs="宋体"/>
                <w:spacing w:val="1"/>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sz w:val="20"/>
                <w:szCs w:val="20"/>
              </w:rPr>
              <w:t>P1</w:t>
            </w:r>
            <w:r>
              <w:rPr>
                <w:rFonts w:ascii="宋体" w:hAnsi="宋体" w:eastAsia="宋体" w:cs="宋体"/>
                <w:sz w:val="20"/>
                <w:szCs w:val="20"/>
                <w14:textOutline w14:w="3795" w14:cap="sq" w14:cmpd="sng">
                  <w14:solidFill>
                    <w14:srgbClr w14:val="000000"/>
                  </w14:solidFill>
                  <w14:prstDash w14:val="solid"/>
                  <w14:bevel/>
                </w14:textOutline>
              </w:rPr>
              <w:t>)</w:t>
            </w:r>
          </w:p>
        </w:tc>
        <w:tc>
          <w:tcPr>
            <w:tcW w:w="1563" w:type="dxa"/>
            <w:vAlign w:val="top"/>
          </w:tcPr>
          <w:p w14:paraId="43EFD94D">
            <w:pPr>
              <w:spacing w:before="51" w:line="228" w:lineRule="auto"/>
              <w:ind w:left="122"/>
              <w:rPr>
                <w:rFonts w:ascii="宋体" w:hAnsi="宋体" w:eastAsia="宋体" w:cs="宋体"/>
                <w:sz w:val="20"/>
                <w:szCs w:val="20"/>
              </w:rPr>
            </w:pPr>
            <w:r>
              <w:rPr>
                <w:rFonts w:ascii="宋体" w:hAnsi="宋体" w:eastAsia="宋体" w:cs="宋体"/>
                <w:spacing w:val="1"/>
                <w:sz w:val="20"/>
                <w:szCs w:val="20"/>
                <w14:textOutline w14:w="3795" w14:cap="sq" w14:cmpd="sng">
                  <w14:solidFill>
                    <w14:srgbClr w14:val="000000"/>
                  </w14:solidFill>
                  <w14:prstDash w14:val="solid"/>
                  <w14:bevel/>
                </w14:textOutline>
              </w:rPr>
              <w:t>高度危</w:t>
            </w:r>
            <w:r>
              <w:rPr>
                <w:rFonts w:ascii="宋体" w:hAnsi="宋体" w:eastAsia="宋体" w:cs="宋体"/>
                <w:sz w:val="20"/>
                <w:szCs w:val="20"/>
                <w14:textOutline w14:w="3795" w14:cap="sq" w14:cmpd="sng">
                  <w14:solidFill>
                    <w14:srgbClr w14:val="000000"/>
                  </w14:solidFill>
                  <w14:prstDash w14:val="solid"/>
                  <w14:bevel/>
                </w14:textOutline>
              </w:rPr>
              <w:t>害</w:t>
            </w:r>
            <w:r>
              <w:rPr>
                <w:rFonts w:ascii="宋体" w:hAnsi="宋体" w:eastAsia="宋体" w:cs="宋体"/>
                <w:sz w:val="20"/>
                <w:szCs w:val="20"/>
              </w:rPr>
              <w:t xml:space="preserve"> </w:t>
            </w:r>
            <w:r>
              <w:rPr>
                <w:rFonts w:ascii="宋体" w:hAnsi="宋体" w:eastAsia="宋体" w:cs="宋体"/>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sz w:val="20"/>
                <w:szCs w:val="20"/>
              </w:rPr>
              <w:t>P2</w:t>
            </w:r>
            <w:r>
              <w:rPr>
                <w:rFonts w:ascii="宋体" w:hAnsi="宋体" w:eastAsia="宋体" w:cs="宋体"/>
                <w:sz w:val="20"/>
                <w:szCs w:val="20"/>
                <w14:textOutline w14:w="3795" w14:cap="sq" w14:cmpd="sng">
                  <w14:solidFill>
                    <w14:srgbClr w14:val="000000"/>
                  </w14:solidFill>
                  <w14:prstDash w14:val="solid"/>
                  <w14:bevel/>
                </w14:textOutline>
              </w:rPr>
              <w:t>)</w:t>
            </w:r>
          </w:p>
        </w:tc>
        <w:tc>
          <w:tcPr>
            <w:tcW w:w="1562" w:type="dxa"/>
            <w:vAlign w:val="top"/>
          </w:tcPr>
          <w:p w14:paraId="5B88D18D">
            <w:pPr>
              <w:spacing w:before="52" w:line="228" w:lineRule="auto"/>
              <w:ind w:left="135"/>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中度</w:t>
            </w:r>
            <w:r>
              <w:rPr>
                <w:rFonts w:ascii="宋体" w:hAnsi="宋体" w:eastAsia="宋体" w:cs="宋体"/>
                <w:spacing w:val="-1"/>
                <w:sz w:val="20"/>
                <w:szCs w:val="20"/>
                <w14:textOutline w14:w="3795" w14:cap="sq" w14:cmpd="sng">
                  <w14:solidFill>
                    <w14:srgbClr w14:val="000000"/>
                  </w14:solidFill>
                  <w14:prstDash w14:val="solid"/>
                  <w14:bevel/>
                </w14:textOutline>
              </w:rPr>
              <w:t>危害</w:t>
            </w:r>
            <w:r>
              <w:rPr>
                <w:rFonts w:ascii="宋体" w:hAnsi="宋体" w:eastAsia="宋体" w:cs="宋体"/>
                <w:spacing w:val="-1"/>
                <w:sz w:val="20"/>
                <w:szCs w:val="20"/>
              </w:rPr>
              <w:t xml:space="preserve"> </w:t>
            </w:r>
            <w:r>
              <w:rPr>
                <w:rFonts w:ascii="宋体" w:hAnsi="宋体" w:eastAsia="宋体" w:cs="宋体"/>
                <w:spacing w:val="-1"/>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spacing w:val="-1"/>
                <w:sz w:val="20"/>
                <w:szCs w:val="20"/>
              </w:rPr>
              <w:t>P3</w:t>
            </w:r>
            <w:r>
              <w:rPr>
                <w:rFonts w:ascii="宋体" w:hAnsi="宋体" w:eastAsia="宋体" w:cs="宋体"/>
                <w:spacing w:val="-1"/>
                <w:sz w:val="20"/>
                <w:szCs w:val="20"/>
                <w14:textOutline w14:w="3795" w14:cap="sq" w14:cmpd="sng">
                  <w14:solidFill>
                    <w14:srgbClr w14:val="000000"/>
                  </w14:solidFill>
                  <w14:prstDash w14:val="solid"/>
                  <w14:bevel/>
                </w14:textOutline>
              </w:rPr>
              <w:t>)</w:t>
            </w:r>
          </w:p>
        </w:tc>
        <w:tc>
          <w:tcPr>
            <w:tcW w:w="1565" w:type="dxa"/>
            <w:tcBorders>
              <w:right w:val="nil"/>
            </w:tcBorders>
            <w:vAlign w:val="top"/>
          </w:tcPr>
          <w:p w14:paraId="07BAF6DF">
            <w:pPr>
              <w:spacing w:before="51" w:line="228" w:lineRule="auto"/>
              <w:ind w:left="117"/>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轻度</w:t>
            </w:r>
            <w:r>
              <w:rPr>
                <w:rFonts w:ascii="宋体" w:hAnsi="宋体" w:eastAsia="宋体" w:cs="宋体"/>
                <w:spacing w:val="1"/>
                <w:sz w:val="20"/>
                <w:szCs w:val="20"/>
                <w14:textOutline w14:w="3795" w14:cap="sq" w14:cmpd="sng">
                  <w14:solidFill>
                    <w14:srgbClr w14:val="000000"/>
                  </w14:solidFill>
                  <w14:prstDash w14:val="solid"/>
                  <w14:bevel/>
                </w14:textOutline>
              </w:rPr>
              <w:t>危害</w:t>
            </w:r>
            <w:r>
              <w:rPr>
                <w:rFonts w:ascii="宋体" w:hAnsi="宋体" w:eastAsia="宋体" w:cs="宋体"/>
                <w:spacing w:val="1"/>
                <w:sz w:val="20"/>
                <w:szCs w:val="20"/>
              </w:rPr>
              <w:t xml:space="preserve"> </w:t>
            </w:r>
            <w:r>
              <w:rPr>
                <w:rFonts w:ascii="宋体" w:hAnsi="宋体" w:eastAsia="宋体" w:cs="宋体"/>
                <w:spacing w:val="1"/>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sz w:val="20"/>
                <w:szCs w:val="20"/>
              </w:rPr>
              <w:t>P</w:t>
            </w:r>
            <w:r>
              <w:rPr>
                <w:rFonts w:ascii="Times New Roman" w:hAnsi="Times New Roman" w:eastAsia="Times New Roman" w:cs="Times New Roman"/>
                <w:b/>
                <w:bCs/>
                <w:spacing w:val="1"/>
                <w:sz w:val="20"/>
                <w:szCs w:val="20"/>
              </w:rPr>
              <w:t>4</w:t>
            </w:r>
            <w:r>
              <w:rPr>
                <w:rFonts w:ascii="宋体" w:hAnsi="宋体" w:eastAsia="宋体" w:cs="宋体"/>
                <w:spacing w:val="1"/>
                <w:sz w:val="20"/>
                <w:szCs w:val="20"/>
                <w14:textOutline w14:w="3795" w14:cap="sq" w14:cmpd="sng">
                  <w14:solidFill>
                    <w14:srgbClr w14:val="000000"/>
                  </w14:solidFill>
                  <w14:prstDash w14:val="solid"/>
                  <w14:bevel/>
                </w14:textOutline>
              </w:rPr>
              <w:t>)</w:t>
            </w:r>
          </w:p>
        </w:tc>
      </w:tr>
      <w:tr w14:paraId="65407C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136" w:type="dxa"/>
            <w:tcBorders>
              <w:left w:val="nil"/>
            </w:tcBorders>
            <w:vAlign w:val="top"/>
          </w:tcPr>
          <w:p w14:paraId="469CCD91">
            <w:pPr>
              <w:spacing w:before="54" w:line="228" w:lineRule="auto"/>
              <w:ind w:left="114"/>
              <w:rPr>
                <w:rFonts w:ascii="宋体" w:hAnsi="宋体" w:eastAsia="宋体" w:cs="宋体"/>
                <w:sz w:val="20"/>
                <w:szCs w:val="20"/>
              </w:rPr>
            </w:pPr>
            <w:r>
              <w:rPr>
                <w:rFonts w:ascii="宋体" w:hAnsi="宋体" w:eastAsia="宋体" w:cs="宋体"/>
                <w:spacing w:val="10"/>
                <w:sz w:val="20"/>
                <w:szCs w:val="20"/>
              </w:rPr>
              <w:t>环</w:t>
            </w:r>
            <w:r>
              <w:rPr>
                <w:rFonts w:ascii="宋体" w:hAnsi="宋体" w:eastAsia="宋体" w:cs="宋体"/>
                <w:spacing w:val="8"/>
                <w:sz w:val="20"/>
                <w:szCs w:val="20"/>
              </w:rPr>
              <w:t>境高度敏感区(</w:t>
            </w:r>
            <w:r>
              <w:rPr>
                <w:rFonts w:ascii="Times New Roman" w:hAnsi="Times New Roman" w:eastAsia="Times New Roman" w:cs="Times New Roman"/>
                <w:sz w:val="20"/>
                <w:szCs w:val="20"/>
              </w:rPr>
              <w:t>E</w:t>
            </w:r>
            <w:r>
              <w:rPr>
                <w:rFonts w:ascii="Times New Roman" w:hAnsi="Times New Roman" w:eastAsia="Times New Roman" w:cs="Times New Roman"/>
                <w:spacing w:val="8"/>
                <w:sz w:val="20"/>
                <w:szCs w:val="20"/>
              </w:rPr>
              <w:t>1</w:t>
            </w:r>
            <w:r>
              <w:rPr>
                <w:rFonts w:ascii="宋体" w:hAnsi="宋体" w:eastAsia="宋体" w:cs="宋体"/>
                <w:spacing w:val="8"/>
                <w:sz w:val="20"/>
                <w:szCs w:val="20"/>
              </w:rPr>
              <w:t>)</w:t>
            </w:r>
          </w:p>
        </w:tc>
        <w:tc>
          <w:tcPr>
            <w:tcW w:w="1563" w:type="dxa"/>
            <w:vAlign w:val="top"/>
          </w:tcPr>
          <w:p w14:paraId="38F7937C">
            <w:pPr>
              <w:spacing w:before="22" w:line="255" w:lineRule="exact"/>
              <w:ind w:left="635"/>
              <w:rPr>
                <w:rFonts w:ascii="Times New Roman" w:hAnsi="Times New Roman" w:eastAsia="Times New Roman" w:cs="Times New Roman"/>
                <w:sz w:val="13"/>
                <w:szCs w:val="13"/>
              </w:rPr>
            </w:pPr>
            <w:r>
              <w:rPr>
                <w:rFonts w:ascii="Times New Roman" w:hAnsi="Times New Roman" w:eastAsia="Times New Roman" w:cs="Times New Roman"/>
                <w:spacing w:val="5"/>
                <w:position w:val="1"/>
                <w:sz w:val="20"/>
                <w:szCs w:val="20"/>
              </w:rPr>
              <w:t>Ⅳ</w:t>
            </w:r>
            <w:r>
              <w:rPr>
                <w:rFonts w:ascii="Times New Roman" w:hAnsi="Times New Roman" w:eastAsia="Times New Roman" w:cs="Times New Roman"/>
                <w:spacing w:val="4"/>
                <w:position w:val="7"/>
                <w:sz w:val="13"/>
                <w:szCs w:val="13"/>
              </w:rPr>
              <w:t>+</w:t>
            </w:r>
          </w:p>
        </w:tc>
        <w:tc>
          <w:tcPr>
            <w:tcW w:w="1563" w:type="dxa"/>
            <w:vAlign w:val="top"/>
          </w:tcPr>
          <w:p w14:paraId="423C00E4">
            <w:pPr>
              <w:spacing w:before="93" w:line="192" w:lineRule="auto"/>
              <w:ind w:left="67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Ⅳ</w:t>
            </w:r>
          </w:p>
        </w:tc>
        <w:tc>
          <w:tcPr>
            <w:tcW w:w="1562" w:type="dxa"/>
            <w:vAlign w:val="top"/>
          </w:tcPr>
          <w:p w14:paraId="2A8883FE">
            <w:pPr>
              <w:spacing w:before="94" w:line="192" w:lineRule="auto"/>
              <w:ind w:left="68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Ⅲ</w:t>
            </w:r>
          </w:p>
        </w:tc>
        <w:tc>
          <w:tcPr>
            <w:tcW w:w="1565" w:type="dxa"/>
            <w:tcBorders>
              <w:right w:val="nil"/>
            </w:tcBorders>
            <w:vAlign w:val="top"/>
          </w:tcPr>
          <w:p w14:paraId="0FC3EBE9">
            <w:pPr>
              <w:spacing w:before="94" w:line="192" w:lineRule="auto"/>
              <w:ind w:left="68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Ⅲ</w:t>
            </w:r>
          </w:p>
        </w:tc>
      </w:tr>
      <w:tr w14:paraId="3C5ADF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136" w:type="dxa"/>
            <w:tcBorders>
              <w:left w:val="nil"/>
            </w:tcBorders>
            <w:vAlign w:val="top"/>
          </w:tcPr>
          <w:p w14:paraId="08F1AB0C">
            <w:pPr>
              <w:spacing w:before="55" w:line="228" w:lineRule="auto"/>
              <w:ind w:left="114"/>
              <w:rPr>
                <w:rFonts w:ascii="宋体" w:hAnsi="宋体" w:eastAsia="宋体" w:cs="宋体"/>
                <w:sz w:val="20"/>
                <w:szCs w:val="20"/>
              </w:rPr>
            </w:pPr>
            <w:r>
              <w:rPr>
                <w:rFonts w:ascii="宋体" w:hAnsi="宋体" w:eastAsia="宋体" w:cs="宋体"/>
                <w:spacing w:val="10"/>
                <w:sz w:val="20"/>
                <w:szCs w:val="20"/>
              </w:rPr>
              <w:t>环</w:t>
            </w:r>
            <w:r>
              <w:rPr>
                <w:rFonts w:ascii="宋体" w:hAnsi="宋体" w:eastAsia="宋体" w:cs="宋体"/>
                <w:spacing w:val="8"/>
                <w:sz w:val="20"/>
                <w:szCs w:val="20"/>
              </w:rPr>
              <w:t>境中度敏感区(</w:t>
            </w:r>
            <w:r>
              <w:rPr>
                <w:rFonts w:ascii="Times New Roman" w:hAnsi="Times New Roman" w:eastAsia="Times New Roman" w:cs="Times New Roman"/>
                <w:sz w:val="20"/>
                <w:szCs w:val="20"/>
              </w:rPr>
              <w:t>E</w:t>
            </w:r>
            <w:r>
              <w:rPr>
                <w:rFonts w:ascii="Times New Roman" w:hAnsi="Times New Roman" w:eastAsia="Times New Roman" w:cs="Times New Roman"/>
                <w:spacing w:val="8"/>
                <w:sz w:val="20"/>
                <w:szCs w:val="20"/>
              </w:rPr>
              <w:t>2</w:t>
            </w:r>
            <w:r>
              <w:rPr>
                <w:rFonts w:ascii="宋体" w:hAnsi="宋体" w:eastAsia="宋体" w:cs="宋体"/>
                <w:spacing w:val="8"/>
                <w:sz w:val="20"/>
                <w:szCs w:val="20"/>
              </w:rPr>
              <w:t>)</w:t>
            </w:r>
          </w:p>
        </w:tc>
        <w:tc>
          <w:tcPr>
            <w:tcW w:w="1563" w:type="dxa"/>
            <w:vAlign w:val="top"/>
          </w:tcPr>
          <w:p w14:paraId="76613888">
            <w:pPr>
              <w:spacing w:before="94" w:line="192" w:lineRule="auto"/>
              <w:ind w:left="67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Ⅳ</w:t>
            </w:r>
          </w:p>
        </w:tc>
        <w:tc>
          <w:tcPr>
            <w:tcW w:w="1563" w:type="dxa"/>
            <w:vAlign w:val="top"/>
          </w:tcPr>
          <w:p w14:paraId="1AAA380A">
            <w:pPr>
              <w:spacing w:before="94" w:line="192" w:lineRule="auto"/>
              <w:ind w:left="68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Ⅲ</w:t>
            </w:r>
          </w:p>
        </w:tc>
        <w:tc>
          <w:tcPr>
            <w:tcW w:w="1562" w:type="dxa"/>
            <w:vAlign w:val="top"/>
          </w:tcPr>
          <w:p w14:paraId="6B879B4C">
            <w:pPr>
              <w:spacing w:before="94" w:line="192" w:lineRule="auto"/>
              <w:ind w:left="68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Ⅲ</w:t>
            </w:r>
          </w:p>
        </w:tc>
        <w:tc>
          <w:tcPr>
            <w:tcW w:w="1565" w:type="dxa"/>
            <w:tcBorders>
              <w:right w:val="nil"/>
            </w:tcBorders>
            <w:vAlign w:val="top"/>
          </w:tcPr>
          <w:p w14:paraId="22A00B2D">
            <w:pPr>
              <w:spacing w:before="94" w:line="192" w:lineRule="auto"/>
              <w:ind w:left="718"/>
              <w:rPr>
                <w:rFonts w:ascii="Times New Roman" w:hAnsi="Times New Roman" w:eastAsia="Times New Roman" w:cs="Times New Roman"/>
                <w:sz w:val="20"/>
                <w:szCs w:val="20"/>
              </w:rPr>
            </w:pPr>
            <w:r>
              <w:rPr>
                <w:rFonts w:ascii="Times New Roman" w:hAnsi="Times New Roman" w:eastAsia="Times New Roman" w:cs="Times New Roman"/>
                <w:sz w:val="20"/>
                <w:szCs w:val="20"/>
              </w:rPr>
              <w:t>Ⅱ</w:t>
            </w:r>
          </w:p>
        </w:tc>
      </w:tr>
      <w:tr w14:paraId="7BD701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136" w:type="dxa"/>
            <w:tcBorders>
              <w:left w:val="nil"/>
            </w:tcBorders>
            <w:vAlign w:val="top"/>
          </w:tcPr>
          <w:p w14:paraId="3BF0F248">
            <w:pPr>
              <w:spacing w:before="56" w:line="228" w:lineRule="auto"/>
              <w:ind w:left="114"/>
              <w:rPr>
                <w:rFonts w:ascii="宋体" w:hAnsi="宋体" w:eastAsia="宋体" w:cs="宋体"/>
                <w:sz w:val="20"/>
                <w:szCs w:val="20"/>
              </w:rPr>
            </w:pPr>
            <w:r>
              <w:rPr>
                <w:rFonts w:ascii="宋体" w:hAnsi="宋体" w:eastAsia="宋体" w:cs="宋体"/>
                <w:spacing w:val="10"/>
                <w:sz w:val="20"/>
                <w:szCs w:val="20"/>
              </w:rPr>
              <w:t>环</w:t>
            </w:r>
            <w:r>
              <w:rPr>
                <w:rFonts w:ascii="宋体" w:hAnsi="宋体" w:eastAsia="宋体" w:cs="宋体"/>
                <w:spacing w:val="8"/>
                <w:sz w:val="20"/>
                <w:szCs w:val="20"/>
              </w:rPr>
              <w:t>境低度敏感区(</w:t>
            </w:r>
            <w:r>
              <w:rPr>
                <w:rFonts w:ascii="Times New Roman" w:hAnsi="Times New Roman" w:eastAsia="Times New Roman" w:cs="Times New Roman"/>
                <w:sz w:val="20"/>
                <w:szCs w:val="20"/>
              </w:rPr>
              <w:t>E</w:t>
            </w:r>
            <w:r>
              <w:rPr>
                <w:rFonts w:ascii="Times New Roman" w:hAnsi="Times New Roman" w:eastAsia="Times New Roman" w:cs="Times New Roman"/>
                <w:spacing w:val="8"/>
                <w:sz w:val="20"/>
                <w:szCs w:val="20"/>
              </w:rPr>
              <w:t>3</w:t>
            </w:r>
            <w:r>
              <w:rPr>
                <w:rFonts w:ascii="宋体" w:hAnsi="宋体" w:eastAsia="宋体" w:cs="宋体"/>
                <w:spacing w:val="8"/>
                <w:sz w:val="20"/>
                <w:szCs w:val="20"/>
              </w:rPr>
              <w:t>)</w:t>
            </w:r>
          </w:p>
        </w:tc>
        <w:tc>
          <w:tcPr>
            <w:tcW w:w="1563" w:type="dxa"/>
            <w:vAlign w:val="top"/>
          </w:tcPr>
          <w:p w14:paraId="7857BFDA">
            <w:pPr>
              <w:spacing w:before="95" w:line="192" w:lineRule="auto"/>
              <w:ind w:left="68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Ⅲ</w:t>
            </w:r>
          </w:p>
        </w:tc>
        <w:tc>
          <w:tcPr>
            <w:tcW w:w="1563" w:type="dxa"/>
            <w:vAlign w:val="top"/>
          </w:tcPr>
          <w:p w14:paraId="2104D8BF">
            <w:pPr>
              <w:spacing w:before="95" w:line="192" w:lineRule="auto"/>
              <w:ind w:left="68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Ⅲ</w:t>
            </w:r>
          </w:p>
        </w:tc>
        <w:tc>
          <w:tcPr>
            <w:tcW w:w="1562" w:type="dxa"/>
            <w:vAlign w:val="top"/>
          </w:tcPr>
          <w:p w14:paraId="5E064B21">
            <w:pPr>
              <w:spacing w:before="95" w:line="192" w:lineRule="auto"/>
              <w:ind w:left="715"/>
              <w:rPr>
                <w:rFonts w:ascii="Times New Roman" w:hAnsi="Times New Roman" w:eastAsia="Times New Roman" w:cs="Times New Roman"/>
                <w:sz w:val="20"/>
                <w:szCs w:val="20"/>
              </w:rPr>
            </w:pPr>
            <w:r>
              <w:rPr>
                <w:rFonts w:ascii="Times New Roman" w:hAnsi="Times New Roman" w:eastAsia="Times New Roman" w:cs="Times New Roman"/>
                <w:sz w:val="20"/>
                <w:szCs w:val="20"/>
              </w:rPr>
              <w:t>Ⅱ</w:t>
            </w:r>
          </w:p>
        </w:tc>
        <w:tc>
          <w:tcPr>
            <w:tcW w:w="1565" w:type="dxa"/>
            <w:tcBorders>
              <w:right w:val="nil"/>
            </w:tcBorders>
            <w:vAlign w:val="top"/>
          </w:tcPr>
          <w:p w14:paraId="75116842">
            <w:pPr>
              <w:spacing w:before="95" w:line="192" w:lineRule="auto"/>
              <w:ind w:left="751"/>
              <w:rPr>
                <w:rFonts w:ascii="Times New Roman" w:hAnsi="Times New Roman" w:eastAsia="Times New Roman" w:cs="Times New Roman"/>
                <w:sz w:val="20"/>
                <w:szCs w:val="20"/>
              </w:rPr>
            </w:pPr>
            <w:r>
              <w:rPr>
                <w:rFonts w:ascii="Times New Roman" w:hAnsi="Times New Roman" w:eastAsia="Times New Roman" w:cs="Times New Roman"/>
                <w:sz w:val="20"/>
                <w:szCs w:val="20"/>
              </w:rPr>
              <w:t>Ⅰ</w:t>
            </w:r>
          </w:p>
        </w:tc>
      </w:tr>
    </w:tbl>
    <w:p w14:paraId="53790D6D">
      <w:pPr>
        <w:spacing w:before="19" w:line="279" w:lineRule="exact"/>
        <w:ind w:left="114"/>
        <w:rPr>
          <w:rFonts w:ascii="宋体" w:hAnsi="宋体" w:eastAsia="宋体" w:cs="宋体"/>
          <w:sz w:val="20"/>
          <w:szCs w:val="20"/>
        </w:rPr>
      </w:pPr>
      <w:r>
        <w:rPr>
          <w:rFonts w:ascii="宋体" w:hAnsi="宋体" w:eastAsia="宋体" w:cs="宋体"/>
          <w:spacing w:val="8"/>
          <w:position w:val="1"/>
          <w:sz w:val="20"/>
          <w:szCs w:val="20"/>
        </w:rPr>
        <w:t>注：</w:t>
      </w:r>
      <w:r>
        <w:rPr>
          <w:rFonts w:ascii="Times New Roman" w:hAnsi="Times New Roman" w:eastAsia="Times New Roman" w:cs="Times New Roman"/>
          <w:spacing w:val="8"/>
          <w:position w:val="1"/>
          <w:sz w:val="20"/>
          <w:szCs w:val="20"/>
        </w:rPr>
        <w:t>Ⅳ</w:t>
      </w:r>
      <w:r>
        <w:rPr>
          <w:rFonts w:ascii="Times New Roman" w:hAnsi="Times New Roman" w:eastAsia="Times New Roman" w:cs="Times New Roman"/>
          <w:spacing w:val="8"/>
          <w:position w:val="7"/>
          <w:sz w:val="13"/>
          <w:szCs w:val="13"/>
        </w:rPr>
        <w:t>+</w:t>
      </w:r>
      <w:r>
        <w:rPr>
          <w:rFonts w:ascii="宋体" w:hAnsi="宋体" w:eastAsia="宋体" w:cs="宋体"/>
          <w:spacing w:val="8"/>
          <w:position w:val="1"/>
          <w:sz w:val="20"/>
          <w:szCs w:val="20"/>
        </w:rPr>
        <w:t>为极高环境风险</w:t>
      </w:r>
      <w:r>
        <w:rPr>
          <w:rFonts w:ascii="宋体" w:hAnsi="宋体" w:eastAsia="宋体" w:cs="宋体"/>
          <w:spacing w:val="6"/>
          <w:position w:val="1"/>
          <w:sz w:val="20"/>
          <w:szCs w:val="20"/>
        </w:rPr>
        <w:t>。</w:t>
      </w:r>
    </w:p>
    <w:p w14:paraId="3708F2A0">
      <w:pPr>
        <w:spacing w:before="14" w:line="29" w:lineRule="exact"/>
        <w:textAlignment w:val="center"/>
      </w:pPr>
      <w:r>
        <w:pict>
          <v:shape id="_x0000_s1358" o:spid="_x0000_s1358" style="height:1.45pt;width:419.5pt;" filled="f" stroked="t" coordsize="8390,29" path="m0,14l8390,14e">
            <v:fill on="f" focussize="0,0"/>
            <v:stroke weight="1.44pt" color="#000000" miterlimit="2" joinstyle="bevel"/>
            <v:imagedata o:title=""/>
            <o:lock v:ext="edit"/>
            <w10:wrap type="none"/>
            <w10:anchorlock/>
          </v:shape>
        </w:pict>
      </w:r>
    </w:p>
    <w:p w14:paraId="01AC923D">
      <w:pPr>
        <w:spacing w:line="258" w:lineRule="auto"/>
        <w:rPr>
          <w:rFonts w:ascii="Arial"/>
          <w:sz w:val="21"/>
        </w:rPr>
      </w:pPr>
    </w:p>
    <w:p w14:paraId="3A527041">
      <w:pPr>
        <w:spacing w:before="75" w:line="388" w:lineRule="auto"/>
        <w:ind w:left="51" w:right="92" w:firstLine="503"/>
        <w:rPr>
          <w:rFonts w:ascii="宋体" w:hAnsi="宋体" w:eastAsia="宋体" w:cs="宋体"/>
          <w:sz w:val="23"/>
          <w:szCs w:val="23"/>
        </w:rPr>
      </w:pPr>
      <w:r>
        <w:rPr>
          <w:rFonts w:ascii="宋体" w:hAnsi="宋体" w:eastAsia="宋体" w:cs="宋体"/>
          <w:spacing w:val="1"/>
          <w:sz w:val="23"/>
          <w:szCs w:val="23"/>
        </w:rPr>
        <w:t>同时</w:t>
      </w:r>
      <w:r>
        <w:rPr>
          <w:rFonts w:ascii="宋体" w:hAnsi="宋体" w:eastAsia="宋体" w:cs="宋体"/>
          <w:sz w:val="23"/>
          <w:szCs w:val="23"/>
        </w:rPr>
        <w:t>，根据《建设项目环境风险评价技术导则》  (</w:t>
      </w:r>
      <w:r>
        <w:rPr>
          <w:rFonts w:ascii="Times New Roman" w:hAnsi="Times New Roman" w:eastAsia="Times New Roman" w:cs="Times New Roman"/>
          <w:sz w:val="23"/>
          <w:szCs w:val="23"/>
        </w:rPr>
        <w:t>HJ169-2018</w:t>
      </w:r>
      <w:r>
        <w:rPr>
          <w:rFonts w:ascii="宋体" w:hAnsi="宋体" w:eastAsia="宋体" w:cs="宋体"/>
          <w:sz w:val="23"/>
          <w:szCs w:val="23"/>
        </w:rPr>
        <w:t xml:space="preserve">) 附录 </w:t>
      </w:r>
      <w:r>
        <w:rPr>
          <w:rFonts w:ascii="Times New Roman" w:hAnsi="Times New Roman" w:eastAsia="Times New Roman" w:cs="Times New Roman"/>
          <w:sz w:val="23"/>
          <w:szCs w:val="23"/>
        </w:rPr>
        <w:t xml:space="preserve">C. 1 </w:t>
      </w:r>
      <w:r>
        <w:rPr>
          <w:rFonts w:ascii="宋体" w:hAnsi="宋体" w:eastAsia="宋体" w:cs="宋体"/>
          <w:sz w:val="23"/>
          <w:szCs w:val="23"/>
        </w:rPr>
        <w:t xml:space="preserve">， </w:t>
      </w:r>
      <w:r>
        <w:rPr>
          <w:rFonts w:ascii="宋体" w:hAnsi="宋体" w:eastAsia="宋体" w:cs="宋体"/>
          <w:spacing w:val="11"/>
          <w:sz w:val="23"/>
          <w:szCs w:val="23"/>
        </w:rPr>
        <w:t xml:space="preserve">计算所涉及的每种危险物质在厂界内的最大存在总量与其在附录 </w:t>
      </w:r>
      <w:r>
        <w:rPr>
          <w:rFonts w:ascii="Times New Roman" w:hAnsi="Times New Roman" w:eastAsia="Times New Roman" w:cs="Times New Roman"/>
          <w:sz w:val="23"/>
          <w:szCs w:val="23"/>
        </w:rPr>
        <w:t>B</w:t>
      </w:r>
      <w:r>
        <w:rPr>
          <w:rFonts w:ascii="Times New Roman" w:hAnsi="Times New Roman" w:eastAsia="Times New Roman" w:cs="Times New Roman"/>
          <w:spacing w:val="11"/>
          <w:sz w:val="23"/>
          <w:szCs w:val="23"/>
        </w:rPr>
        <w:t xml:space="preserve"> </w:t>
      </w:r>
      <w:r>
        <w:rPr>
          <w:rFonts w:ascii="宋体" w:hAnsi="宋体" w:eastAsia="宋体" w:cs="宋体"/>
          <w:spacing w:val="11"/>
          <w:sz w:val="23"/>
          <w:szCs w:val="23"/>
        </w:rPr>
        <w:t>中对应临</w:t>
      </w:r>
      <w:r>
        <w:rPr>
          <w:rFonts w:ascii="宋体" w:hAnsi="宋体" w:eastAsia="宋体" w:cs="宋体"/>
          <w:spacing w:val="4"/>
          <w:sz w:val="23"/>
          <w:szCs w:val="23"/>
        </w:rPr>
        <w:t>界</w:t>
      </w:r>
      <w:r>
        <w:rPr>
          <w:rFonts w:ascii="宋体" w:hAnsi="宋体" w:eastAsia="宋体" w:cs="宋体"/>
          <w:sz w:val="23"/>
          <w:szCs w:val="23"/>
        </w:rPr>
        <w:t xml:space="preserve"> </w:t>
      </w:r>
      <w:r>
        <w:rPr>
          <w:rFonts w:ascii="宋体" w:hAnsi="宋体" w:eastAsia="宋体" w:cs="宋体"/>
          <w:spacing w:val="6"/>
          <w:sz w:val="23"/>
          <w:szCs w:val="23"/>
        </w:rPr>
        <w:t xml:space="preserve">量的比值 </w:t>
      </w:r>
      <w:r>
        <w:rPr>
          <w:rFonts w:ascii="Times New Roman" w:hAnsi="Times New Roman" w:eastAsia="Times New Roman" w:cs="Times New Roman"/>
          <w:sz w:val="23"/>
          <w:szCs w:val="23"/>
        </w:rPr>
        <w:t>Q</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。在不同厂区的同一种物质，按其在厂界内的最大存在总量计算</w:t>
      </w:r>
      <w:r>
        <w:rPr>
          <w:rFonts w:ascii="宋体" w:hAnsi="宋体" w:eastAsia="宋体" w:cs="宋体"/>
          <w:sz w:val="23"/>
          <w:szCs w:val="23"/>
        </w:rPr>
        <w:t>。</w:t>
      </w:r>
    </w:p>
    <w:p w14:paraId="660DAD09">
      <w:pPr>
        <w:spacing w:before="147" w:line="504" w:lineRule="auto"/>
        <w:ind w:left="546" w:right="30"/>
        <w:rPr>
          <w:rFonts w:ascii="宋体" w:hAnsi="宋体" w:eastAsia="宋体" w:cs="宋体"/>
          <w:sz w:val="23"/>
          <w:szCs w:val="23"/>
        </w:rPr>
      </w:pPr>
      <w:r>
        <w:rPr>
          <w:rFonts w:ascii="宋体" w:hAnsi="宋体" w:eastAsia="宋体" w:cs="宋体"/>
          <w:spacing w:val="12"/>
          <w:sz w:val="23"/>
          <w:szCs w:val="23"/>
        </w:rPr>
        <w:t>当只涉</w:t>
      </w:r>
      <w:r>
        <w:rPr>
          <w:rFonts w:ascii="宋体" w:hAnsi="宋体" w:eastAsia="宋体" w:cs="宋体"/>
          <w:spacing w:val="9"/>
          <w:sz w:val="23"/>
          <w:szCs w:val="23"/>
        </w:rPr>
        <w:t>及</w:t>
      </w:r>
      <w:r>
        <w:rPr>
          <w:rFonts w:ascii="宋体" w:hAnsi="宋体" w:eastAsia="宋体" w:cs="宋体"/>
          <w:spacing w:val="6"/>
          <w:sz w:val="23"/>
          <w:szCs w:val="23"/>
        </w:rPr>
        <w:t xml:space="preserve">一种危险物质时，计算该物质的总量与其临界量的比值，即为 </w:t>
      </w:r>
      <w:r>
        <w:rPr>
          <w:rFonts w:ascii="Times New Roman" w:hAnsi="Times New Roman" w:eastAsia="Times New Roman" w:cs="Times New Roman"/>
          <w:sz w:val="23"/>
          <w:szCs w:val="23"/>
        </w:rPr>
        <w:t>Q</w:t>
      </w:r>
      <w:r>
        <w:rPr>
          <w:rFonts w:ascii="宋体" w:hAnsi="宋体" w:eastAsia="宋体" w:cs="宋体"/>
          <w:spacing w:val="6"/>
          <w:sz w:val="23"/>
          <w:szCs w:val="23"/>
        </w:rPr>
        <w:t>；</w:t>
      </w:r>
      <w:r>
        <w:rPr>
          <w:rFonts w:ascii="宋体" w:hAnsi="宋体" w:eastAsia="宋体" w:cs="宋体"/>
          <w:sz w:val="23"/>
          <w:szCs w:val="23"/>
        </w:rPr>
        <w:t xml:space="preserve"> </w:t>
      </w:r>
      <w:r>
        <w:rPr>
          <w:rFonts w:ascii="宋体" w:hAnsi="宋体" w:eastAsia="宋体" w:cs="宋体"/>
          <w:spacing w:val="2"/>
          <w:sz w:val="23"/>
          <w:szCs w:val="23"/>
        </w:rPr>
        <w:t>当存在多种危险物质时，则按式 (</w:t>
      </w:r>
      <w:r>
        <w:rPr>
          <w:rFonts w:ascii="Times New Roman" w:hAnsi="Times New Roman" w:eastAsia="Times New Roman" w:cs="Times New Roman"/>
          <w:sz w:val="23"/>
          <w:szCs w:val="23"/>
        </w:rPr>
        <w:t>C</w:t>
      </w:r>
      <w:r>
        <w:rPr>
          <w:rFonts w:ascii="Times New Roman" w:hAnsi="Times New Roman" w:eastAsia="Times New Roman" w:cs="Times New Roman"/>
          <w:spacing w:val="2"/>
          <w:sz w:val="23"/>
          <w:szCs w:val="23"/>
        </w:rPr>
        <w:t>. 1</w:t>
      </w:r>
      <w:r>
        <w:rPr>
          <w:rFonts w:ascii="宋体" w:hAnsi="宋体" w:eastAsia="宋体" w:cs="宋体"/>
          <w:spacing w:val="2"/>
          <w:sz w:val="23"/>
          <w:szCs w:val="23"/>
        </w:rPr>
        <w:t>) 计算物质总量与</w:t>
      </w:r>
      <w:r>
        <w:rPr>
          <w:rFonts w:ascii="宋体" w:hAnsi="宋体" w:eastAsia="宋体" w:cs="宋体"/>
          <w:spacing w:val="1"/>
          <w:sz w:val="23"/>
          <w:szCs w:val="23"/>
        </w:rPr>
        <w:t>其临界量比值 (</w:t>
      </w:r>
      <w:r>
        <w:rPr>
          <w:rFonts w:ascii="Times New Roman" w:hAnsi="Times New Roman" w:eastAsia="Times New Roman" w:cs="Times New Roman"/>
          <w:sz w:val="23"/>
          <w:szCs w:val="23"/>
        </w:rPr>
        <w:t>Q</w:t>
      </w:r>
      <w:r>
        <w:rPr>
          <w:rFonts w:ascii="宋体" w:hAnsi="宋体" w:eastAsia="宋体" w:cs="宋体"/>
          <w:spacing w:val="1"/>
          <w:sz w:val="23"/>
          <w:szCs w:val="23"/>
        </w:rPr>
        <w:t>)；</w:t>
      </w:r>
    </w:p>
    <w:p w14:paraId="266B32A4">
      <w:pPr>
        <w:spacing w:before="87"/>
        <w:ind w:left="3134"/>
        <w:rPr>
          <w:sz w:val="23"/>
          <w:szCs w:val="23"/>
        </w:rPr>
      </w:pPr>
      <w:r>
        <w:rPr>
          <w:rFonts w:ascii="Times New Roman" w:hAnsi="Times New Roman" w:eastAsia="Times New Roman" w:cs="Times New Roman"/>
          <w:i/>
          <w:iCs/>
          <w:spacing w:val="-8"/>
          <w:position w:val="3"/>
          <w:sz w:val="23"/>
          <w:szCs w:val="23"/>
        </w:rPr>
        <w:t>Q</w:t>
      </w:r>
      <w:r>
        <w:rPr>
          <w:rFonts w:ascii="Times New Roman" w:hAnsi="Times New Roman" w:eastAsia="Times New Roman" w:cs="Times New Roman"/>
          <w:spacing w:val="-9"/>
          <w:position w:val="3"/>
          <w:sz w:val="23"/>
          <w:szCs w:val="23"/>
        </w:rPr>
        <w:t xml:space="preserve"> </w:t>
      </w:r>
      <w:r>
        <w:rPr>
          <w:rFonts w:ascii="Symbol" w:hAnsi="Symbol" w:eastAsia="Symbol" w:cs="Symbol"/>
          <w:spacing w:val="-9"/>
          <w:position w:val="3"/>
          <w:sz w:val="23"/>
          <w:szCs w:val="23"/>
        </w:rPr>
        <w:t xml:space="preserve">= </w:t>
      </w:r>
      <w:r>
        <w:rPr>
          <w:position w:val="-21"/>
          <w:sz w:val="23"/>
          <w:szCs w:val="23"/>
        </w:rPr>
        <w:drawing>
          <wp:inline distT="0" distB="0" distL="0" distR="0">
            <wp:extent cx="169545" cy="320040"/>
            <wp:effectExtent l="0" t="0" r="0" b="0"/>
            <wp:docPr id="241" name="IM 241"/>
            <wp:cNvGraphicFramePr/>
            <a:graphic xmlns:a="http://schemas.openxmlformats.org/drawingml/2006/main">
              <a:graphicData uri="http://schemas.openxmlformats.org/drawingml/2006/picture">
                <pic:pic xmlns:pic="http://schemas.openxmlformats.org/drawingml/2006/picture">
                  <pic:nvPicPr>
                    <pic:cNvPr id="241" name="IM 241"/>
                    <pic:cNvPicPr/>
                  </pic:nvPicPr>
                  <pic:blipFill>
                    <a:blip r:embed="rId404"/>
                    <a:stretch>
                      <a:fillRect/>
                    </a:stretch>
                  </pic:blipFill>
                  <pic:spPr>
                    <a:xfrm>
                      <a:off x="0" y="0"/>
                      <a:ext cx="169545" cy="320560"/>
                    </a:xfrm>
                    <a:prstGeom prst="rect">
                      <a:avLst/>
                    </a:prstGeom>
                  </pic:spPr>
                </pic:pic>
              </a:graphicData>
            </a:graphic>
          </wp:inline>
        </w:drawing>
      </w:r>
      <w:r>
        <w:rPr>
          <w:rFonts w:ascii="Symbol" w:hAnsi="Symbol" w:eastAsia="Symbol" w:cs="Symbol"/>
          <w:spacing w:val="-9"/>
          <w:position w:val="3"/>
          <w:sz w:val="23"/>
          <w:szCs w:val="23"/>
        </w:rPr>
        <w:t xml:space="preserve"> + </w:t>
      </w:r>
      <w:r>
        <w:rPr>
          <w:position w:val="-21"/>
          <w:sz w:val="23"/>
          <w:szCs w:val="23"/>
        </w:rPr>
        <w:drawing>
          <wp:inline distT="0" distB="0" distL="0" distR="0">
            <wp:extent cx="186055" cy="320040"/>
            <wp:effectExtent l="0" t="0" r="0" b="0"/>
            <wp:docPr id="242" name="IM 242"/>
            <wp:cNvGraphicFramePr/>
            <a:graphic xmlns:a="http://schemas.openxmlformats.org/drawingml/2006/main">
              <a:graphicData uri="http://schemas.openxmlformats.org/drawingml/2006/picture">
                <pic:pic xmlns:pic="http://schemas.openxmlformats.org/drawingml/2006/picture">
                  <pic:nvPicPr>
                    <pic:cNvPr id="242" name="IM 242"/>
                    <pic:cNvPicPr/>
                  </pic:nvPicPr>
                  <pic:blipFill>
                    <a:blip r:embed="rId405"/>
                    <a:stretch>
                      <a:fillRect/>
                    </a:stretch>
                  </pic:blipFill>
                  <pic:spPr>
                    <a:xfrm>
                      <a:off x="0" y="0"/>
                      <a:ext cx="186207" cy="320560"/>
                    </a:xfrm>
                    <a:prstGeom prst="rect">
                      <a:avLst/>
                    </a:prstGeom>
                  </pic:spPr>
                </pic:pic>
              </a:graphicData>
            </a:graphic>
          </wp:inline>
        </w:drawing>
      </w:r>
      <w:r>
        <w:rPr>
          <w:rFonts w:ascii="Symbol" w:hAnsi="Symbol" w:eastAsia="Symbol" w:cs="Symbol"/>
          <w:spacing w:val="-9"/>
          <w:position w:val="3"/>
          <w:sz w:val="23"/>
          <w:szCs w:val="23"/>
        </w:rPr>
        <w:t xml:space="preserve"> + . . . + </w:t>
      </w:r>
      <w:r>
        <w:rPr>
          <w:position w:val="-21"/>
          <w:sz w:val="23"/>
          <w:szCs w:val="23"/>
        </w:rPr>
        <w:drawing>
          <wp:inline distT="0" distB="0" distL="0" distR="0">
            <wp:extent cx="187325" cy="321310"/>
            <wp:effectExtent l="0" t="0" r="0" b="0"/>
            <wp:docPr id="243" name="IM 243"/>
            <wp:cNvGraphicFramePr/>
            <a:graphic xmlns:a="http://schemas.openxmlformats.org/drawingml/2006/main">
              <a:graphicData uri="http://schemas.openxmlformats.org/drawingml/2006/picture">
                <pic:pic xmlns:pic="http://schemas.openxmlformats.org/drawingml/2006/picture">
                  <pic:nvPicPr>
                    <pic:cNvPr id="243" name="IM 243"/>
                    <pic:cNvPicPr/>
                  </pic:nvPicPr>
                  <pic:blipFill>
                    <a:blip r:embed="rId406"/>
                    <a:stretch>
                      <a:fillRect/>
                    </a:stretch>
                  </pic:blipFill>
                  <pic:spPr>
                    <a:xfrm>
                      <a:off x="0" y="0"/>
                      <a:ext cx="187807" cy="321924"/>
                    </a:xfrm>
                    <a:prstGeom prst="rect">
                      <a:avLst/>
                    </a:prstGeom>
                  </pic:spPr>
                </pic:pic>
              </a:graphicData>
            </a:graphic>
          </wp:inline>
        </w:drawing>
      </w:r>
    </w:p>
    <w:p w14:paraId="4D17346C">
      <w:pPr>
        <w:spacing w:line="391" w:lineRule="auto"/>
        <w:rPr>
          <w:rFonts w:ascii="Arial"/>
          <w:sz w:val="21"/>
        </w:rPr>
      </w:pPr>
    </w:p>
    <w:p w14:paraId="18B61A11">
      <w:pPr>
        <w:spacing w:before="76" w:line="322" w:lineRule="exact"/>
        <w:ind w:left="536"/>
        <w:rPr>
          <w:rFonts w:ascii="宋体" w:hAnsi="宋体" w:eastAsia="宋体" w:cs="宋体"/>
          <w:sz w:val="23"/>
          <w:szCs w:val="23"/>
        </w:rPr>
      </w:pPr>
      <w:r>
        <w:rPr>
          <w:rFonts w:ascii="宋体" w:hAnsi="宋体" w:eastAsia="宋体" w:cs="宋体"/>
          <w:spacing w:val="10"/>
          <w:position w:val="3"/>
          <w:sz w:val="23"/>
          <w:szCs w:val="23"/>
        </w:rPr>
        <w:t>式中</w:t>
      </w:r>
      <w:r>
        <w:rPr>
          <w:rFonts w:ascii="宋体" w:hAnsi="宋体" w:eastAsia="宋体" w:cs="宋体"/>
          <w:spacing w:val="6"/>
          <w:position w:val="3"/>
          <w:sz w:val="23"/>
          <w:szCs w:val="23"/>
        </w:rPr>
        <w:t>：</w:t>
      </w:r>
      <w:r>
        <w:rPr>
          <w:rFonts w:ascii="Times New Roman" w:hAnsi="Times New Roman" w:eastAsia="Times New Roman" w:cs="Times New Roman"/>
          <w:position w:val="3"/>
          <w:sz w:val="23"/>
          <w:szCs w:val="23"/>
        </w:rPr>
        <w:t>q</w:t>
      </w:r>
      <w:r>
        <w:rPr>
          <w:rFonts w:ascii="Times New Roman" w:hAnsi="Times New Roman" w:eastAsia="Times New Roman" w:cs="Times New Roman"/>
          <w:spacing w:val="5"/>
          <w:position w:val="2"/>
          <w:sz w:val="15"/>
          <w:szCs w:val="15"/>
        </w:rPr>
        <w:t xml:space="preserve">1 </w:t>
      </w:r>
      <w:r>
        <w:rPr>
          <w:rFonts w:ascii="宋体" w:hAnsi="宋体" w:eastAsia="宋体" w:cs="宋体"/>
          <w:spacing w:val="5"/>
          <w:position w:val="3"/>
          <w:sz w:val="23"/>
          <w:szCs w:val="23"/>
        </w:rPr>
        <w:t>、</w:t>
      </w:r>
      <w:r>
        <w:rPr>
          <w:rFonts w:ascii="Times New Roman" w:hAnsi="Times New Roman" w:eastAsia="Times New Roman" w:cs="Times New Roman"/>
          <w:position w:val="3"/>
          <w:sz w:val="23"/>
          <w:szCs w:val="23"/>
        </w:rPr>
        <w:t>q</w:t>
      </w:r>
      <w:r>
        <w:rPr>
          <w:rFonts w:ascii="Times New Roman" w:hAnsi="Times New Roman" w:eastAsia="Times New Roman" w:cs="Times New Roman"/>
          <w:spacing w:val="5"/>
          <w:position w:val="2"/>
          <w:sz w:val="15"/>
          <w:szCs w:val="15"/>
        </w:rPr>
        <w:t xml:space="preserve">2 </w:t>
      </w:r>
      <w:r>
        <w:rPr>
          <w:rFonts w:ascii="Times New Roman" w:hAnsi="Times New Roman" w:eastAsia="Times New Roman" w:cs="Times New Roman"/>
          <w:spacing w:val="5"/>
          <w:position w:val="3"/>
          <w:sz w:val="23"/>
          <w:szCs w:val="23"/>
        </w:rPr>
        <w:t>…</w:t>
      </w:r>
      <w:r>
        <w:rPr>
          <w:rFonts w:ascii="Times New Roman" w:hAnsi="Times New Roman" w:eastAsia="Times New Roman" w:cs="Times New Roman"/>
          <w:position w:val="3"/>
          <w:sz w:val="23"/>
          <w:szCs w:val="23"/>
        </w:rPr>
        <w:t>q</w:t>
      </w:r>
      <w:r>
        <w:rPr>
          <w:rFonts w:ascii="Times New Roman" w:hAnsi="Times New Roman" w:eastAsia="Times New Roman" w:cs="Times New Roman"/>
          <w:position w:val="2"/>
          <w:sz w:val="15"/>
          <w:szCs w:val="15"/>
        </w:rPr>
        <w:t>n</w:t>
      </w:r>
      <w:r>
        <w:rPr>
          <w:rFonts w:ascii="Times New Roman" w:hAnsi="Times New Roman" w:eastAsia="Times New Roman" w:cs="Times New Roman"/>
          <w:spacing w:val="5"/>
          <w:position w:val="3"/>
          <w:sz w:val="23"/>
          <w:szCs w:val="23"/>
        </w:rPr>
        <w:t>—</w:t>
      </w:r>
      <w:r>
        <w:rPr>
          <w:rFonts w:ascii="宋体" w:hAnsi="宋体" w:eastAsia="宋体" w:cs="宋体"/>
          <w:spacing w:val="5"/>
          <w:position w:val="3"/>
          <w:sz w:val="23"/>
          <w:szCs w:val="23"/>
        </w:rPr>
        <w:t>每种危险物质的最大存在总量，</w:t>
      </w:r>
      <w:r>
        <w:rPr>
          <w:rFonts w:ascii="Times New Roman" w:hAnsi="Times New Roman" w:eastAsia="Times New Roman" w:cs="Times New Roman"/>
          <w:position w:val="3"/>
          <w:sz w:val="23"/>
          <w:szCs w:val="23"/>
        </w:rPr>
        <w:t>t</w:t>
      </w:r>
      <w:r>
        <w:rPr>
          <w:rFonts w:ascii="宋体" w:hAnsi="宋体" w:eastAsia="宋体" w:cs="宋体"/>
          <w:spacing w:val="5"/>
          <w:position w:val="3"/>
          <w:sz w:val="23"/>
          <w:szCs w:val="23"/>
        </w:rPr>
        <w:t>；</w:t>
      </w:r>
    </w:p>
    <w:p w14:paraId="7595D75B">
      <w:pPr>
        <w:spacing w:before="158" w:line="525" w:lineRule="exact"/>
        <w:ind w:left="1250"/>
        <w:rPr>
          <w:rFonts w:ascii="宋体" w:hAnsi="宋体" w:eastAsia="宋体" w:cs="宋体"/>
          <w:sz w:val="23"/>
          <w:szCs w:val="23"/>
        </w:rPr>
      </w:pPr>
      <w:r>
        <w:rPr>
          <w:rFonts w:ascii="Times New Roman" w:hAnsi="Times New Roman" w:eastAsia="Times New Roman" w:cs="Times New Roman"/>
          <w:position w:val="19"/>
          <w:sz w:val="23"/>
          <w:szCs w:val="23"/>
        </w:rPr>
        <w:t>Q</w:t>
      </w:r>
      <w:r>
        <w:rPr>
          <w:rFonts w:ascii="Times New Roman" w:hAnsi="Times New Roman" w:eastAsia="Times New Roman" w:cs="Times New Roman"/>
          <w:spacing w:val="8"/>
          <w:position w:val="18"/>
          <w:sz w:val="15"/>
          <w:szCs w:val="15"/>
        </w:rPr>
        <w:t xml:space="preserve">1 </w:t>
      </w:r>
      <w:r>
        <w:rPr>
          <w:rFonts w:ascii="宋体" w:hAnsi="宋体" w:eastAsia="宋体" w:cs="宋体"/>
          <w:spacing w:val="7"/>
          <w:position w:val="19"/>
          <w:sz w:val="23"/>
          <w:szCs w:val="23"/>
        </w:rPr>
        <w:t>、</w:t>
      </w:r>
      <w:r>
        <w:rPr>
          <w:rFonts w:ascii="Times New Roman" w:hAnsi="Times New Roman" w:eastAsia="Times New Roman" w:cs="Times New Roman"/>
          <w:position w:val="19"/>
          <w:sz w:val="23"/>
          <w:szCs w:val="23"/>
        </w:rPr>
        <w:t>Q</w:t>
      </w:r>
      <w:r>
        <w:rPr>
          <w:rFonts w:ascii="Times New Roman" w:hAnsi="Times New Roman" w:eastAsia="Times New Roman" w:cs="Times New Roman"/>
          <w:spacing w:val="4"/>
          <w:position w:val="18"/>
          <w:sz w:val="15"/>
          <w:szCs w:val="15"/>
        </w:rPr>
        <w:t xml:space="preserve">2 </w:t>
      </w:r>
      <w:r>
        <w:rPr>
          <w:rFonts w:ascii="Times New Roman" w:hAnsi="Times New Roman" w:eastAsia="Times New Roman" w:cs="Times New Roman"/>
          <w:spacing w:val="4"/>
          <w:position w:val="19"/>
          <w:sz w:val="23"/>
          <w:szCs w:val="23"/>
        </w:rPr>
        <w:t>…</w:t>
      </w:r>
      <w:r>
        <w:rPr>
          <w:rFonts w:ascii="Times New Roman" w:hAnsi="Times New Roman" w:eastAsia="Times New Roman" w:cs="Times New Roman"/>
          <w:position w:val="19"/>
          <w:sz w:val="23"/>
          <w:szCs w:val="23"/>
        </w:rPr>
        <w:t>Q</w:t>
      </w:r>
      <w:r>
        <w:rPr>
          <w:rFonts w:ascii="Times New Roman" w:hAnsi="Times New Roman" w:eastAsia="Times New Roman" w:cs="Times New Roman"/>
          <w:position w:val="18"/>
          <w:sz w:val="15"/>
          <w:szCs w:val="15"/>
        </w:rPr>
        <w:t>n</w:t>
      </w:r>
      <w:r>
        <w:rPr>
          <w:rFonts w:ascii="Times New Roman" w:hAnsi="Times New Roman" w:eastAsia="Times New Roman" w:cs="Times New Roman"/>
          <w:spacing w:val="4"/>
          <w:position w:val="19"/>
          <w:sz w:val="23"/>
          <w:szCs w:val="23"/>
        </w:rPr>
        <w:t>—</w:t>
      </w:r>
      <w:r>
        <w:rPr>
          <w:rFonts w:ascii="宋体" w:hAnsi="宋体" w:eastAsia="宋体" w:cs="宋体"/>
          <w:spacing w:val="4"/>
          <w:position w:val="19"/>
          <w:sz w:val="23"/>
          <w:szCs w:val="23"/>
        </w:rPr>
        <w:t>每种危险物质的临界量，</w:t>
      </w:r>
      <w:r>
        <w:rPr>
          <w:rFonts w:ascii="Times New Roman" w:hAnsi="Times New Roman" w:eastAsia="Times New Roman" w:cs="Times New Roman"/>
          <w:position w:val="19"/>
          <w:sz w:val="23"/>
          <w:szCs w:val="23"/>
        </w:rPr>
        <w:t>t</w:t>
      </w:r>
      <w:r>
        <w:rPr>
          <w:rFonts w:ascii="宋体" w:hAnsi="宋体" w:eastAsia="宋体" w:cs="宋体"/>
          <w:spacing w:val="4"/>
          <w:position w:val="19"/>
          <w:sz w:val="23"/>
          <w:szCs w:val="23"/>
        </w:rPr>
        <w:t>。</w:t>
      </w:r>
    </w:p>
    <w:p w14:paraId="72FBFF80">
      <w:pPr>
        <w:spacing w:before="1" w:line="218" w:lineRule="auto"/>
        <w:ind w:left="1266"/>
        <w:rPr>
          <w:rFonts w:ascii="宋体" w:hAnsi="宋体" w:eastAsia="宋体" w:cs="宋体"/>
          <w:sz w:val="23"/>
          <w:szCs w:val="23"/>
        </w:rPr>
      </w:pPr>
      <w:r>
        <w:rPr>
          <w:rFonts w:ascii="宋体" w:hAnsi="宋体" w:eastAsia="宋体" w:cs="宋体"/>
          <w:spacing w:val="6"/>
          <w:sz w:val="23"/>
          <w:szCs w:val="23"/>
        </w:rPr>
        <w:t>当</w:t>
      </w:r>
      <w:r>
        <w:rPr>
          <w:rFonts w:ascii="宋体" w:hAnsi="宋体" w:eastAsia="宋体" w:cs="宋体"/>
          <w:spacing w:val="4"/>
          <w:sz w:val="23"/>
          <w:szCs w:val="23"/>
        </w:rPr>
        <w:t xml:space="preserve"> </w:t>
      </w:r>
      <w:r>
        <w:rPr>
          <w:rFonts w:ascii="Times New Roman" w:hAnsi="Times New Roman" w:eastAsia="Times New Roman" w:cs="Times New Roman"/>
          <w:sz w:val="23"/>
          <w:szCs w:val="23"/>
        </w:rPr>
        <w:t>Q</w:t>
      </w:r>
      <w:r>
        <w:rPr>
          <w:rFonts w:ascii="宋体" w:hAnsi="宋体" w:eastAsia="宋体" w:cs="宋体"/>
          <w:spacing w:val="4"/>
          <w:sz w:val="23"/>
          <w:szCs w:val="23"/>
        </w:rPr>
        <w:t>＜</w:t>
      </w:r>
      <w:r>
        <w:rPr>
          <w:rFonts w:ascii="Times New Roman" w:hAnsi="Times New Roman" w:eastAsia="Times New Roman" w:cs="Times New Roman"/>
          <w:spacing w:val="4"/>
          <w:sz w:val="23"/>
          <w:szCs w:val="23"/>
        </w:rPr>
        <w:t xml:space="preserve">1 </w:t>
      </w:r>
      <w:r>
        <w:rPr>
          <w:rFonts w:ascii="宋体" w:hAnsi="宋体" w:eastAsia="宋体" w:cs="宋体"/>
          <w:spacing w:val="4"/>
          <w:sz w:val="23"/>
          <w:szCs w:val="23"/>
        </w:rPr>
        <w:t>时，该项目环境风险潜势为</w:t>
      </w:r>
      <w:r>
        <w:rPr>
          <w:rFonts w:ascii="Times New Roman" w:hAnsi="Times New Roman" w:eastAsia="Times New Roman" w:cs="Times New Roman"/>
          <w:spacing w:val="4"/>
          <w:sz w:val="23"/>
          <w:szCs w:val="23"/>
        </w:rPr>
        <w:t>Ⅰ</w:t>
      </w:r>
      <w:r>
        <w:rPr>
          <w:rFonts w:ascii="宋体" w:hAnsi="宋体" w:eastAsia="宋体" w:cs="宋体"/>
          <w:spacing w:val="4"/>
          <w:sz w:val="23"/>
          <w:szCs w:val="23"/>
        </w:rPr>
        <w:t>。</w:t>
      </w:r>
    </w:p>
    <w:p w14:paraId="7E589084">
      <w:pPr>
        <w:spacing w:before="162" w:line="323" w:lineRule="exact"/>
        <w:jc w:val="right"/>
        <w:rPr>
          <w:rFonts w:ascii="宋体" w:hAnsi="宋体" w:eastAsia="宋体" w:cs="宋体"/>
          <w:sz w:val="23"/>
          <w:szCs w:val="23"/>
        </w:rPr>
      </w:pPr>
      <w:r>
        <w:rPr>
          <w:rFonts w:ascii="宋体" w:hAnsi="宋体" w:eastAsia="宋体" w:cs="宋体"/>
          <w:spacing w:val="-29"/>
          <w:position w:val="3"/>
          <w:sz w:val="23"/>
          <w:szCs w:val="23"/>
        </w:rPr>
        <w:t>当</w:t>
      </w:r>
      <w:r>
        <w:rPr>
          <w:rFonts w:ascii="Times New Roman" w:hAnsi="Times New Roman" w:eastAsia="Times New Roman" w:cs="Times New Roman"/>
          <w:spacing w:val="-15"/>
          <w:position w:val="3"/>
          <w:sz w:val="23"/>
          <w:szCs w:val="23"/>
        </w:rPr>
        <w:t xml:space="preserve">Q≥1 </w:t>
      </w:r>
      <w:r>
        <w:rPr>
          <w:rFonts w:ascii="宋体" w:hAnsi="宋体" w:eastAsia="宋体" w:cs="宋体"/>
          <w:spacing w:val="-15"/>
          <w:position w:val="3"/>
          <w:sz w:val="23"/>
          <w:szCs w:val="23"/>
        </w:rPr>
        <w:t>时，将</w:t>
      </w:r>
      <w:r>
        <w:rPr>
          <w:rFonts w:ascii="Times New Roman" w:hAnsi="Times New Roman" w:eastAsia="Times New Roman" w:cs="Times New Roman"/>
          <w:spacing w:val="-15"/>
          <w:position w:val="3"/>
          <w:sz w:val="23"/>
          <w:szCs w:val="23"/>
        </w:rPr>
        <w:t xml:space="preserve">Q </w:t>
      </w:r>
      <w:r>
        <w:rPr>
          <w:rFonts w:ascii="宋体" w:hAnsi="宋体" w:eastAsia="宋体" w:cs="宋体"/>
          <w:spacing w:val="-15"/>
          <w:position w:val="3"/>
          <w:sz w:val="23"/>
          <w:szCs w:val="23"/>
        </w:rPr>
        <w:t>值划分为：  (</w:t>
      </w:r>
      <w:r>
        <w:rPr>
          <w:rFonts w:ascii="Times New Roman" w:hAnsi="Times New Roman" w:eastAsia="Times New Roman" w:cs="Times New Roman"/>
          <w:spacing w:val="-15"/>
          <w:position w:val="3"/>
          <w:sz w:val="23"/>
          <w:szCs w:val="23"/>
        </w:rPr>
        <w:t>1</w:t>
      </w:r>
      <w:r>
        <w:rPr>
          <w:rFonts w:ascii="宋体" w:hAnsi="宋体" w:eastAsia="宋体" w:cs="宋体"/>
          <w:spacing w:val="-15"/>
          <w:position w:val="3"/>
          <w:sz w:val="23"/>
          <w:szCs w:val="23"/>
        </w:rPr>
        <w:t xml:space="preserve">) </w:t>
      </w:r>
      <w:r>
        <w:rPr>
          <w:rFonts w:ascii="Times New Roman" w:hAnsi="Times New Roman" w:eastAsia="Times New Roman" w:cs="Times New Roman"/>
          <w:spacing w:val="-15"/>
          <w:position w:val="3"/>
          <w:sz w:val="23"/>
          <w:szCs w:val="23"/>
        </w:rPr>
        <w:t>1≤Q</w:t>
      </w:r>
      <w:r>
        <w:rPr>
          <w:rFonts w:ascii="宋体" w:hAnsi="宋体" w:eastAsia="宋体" w:cs="宋体"/>
          <w:spacing w:val="-15"/>
          <w:position w:val="3"/>
          <w:sz w:val="23"/>
          <w:szCs w:val="23"/>
        </w:rPr>
        <w:t>＜</w:t>
      </w:r>
      <w:r>
        <w:rPr>
          <w:rFonts w:ascii="Times New Roman" w:hAnsi="Times New Roman" w:eastAsia="Times New Roman" w:cs="Times New Roman"/>
          <w:spacing w:val="-15"/>
          <w:position w:val="3"/>
          <w:sz w:val="23"/>
          <w:szCs w:val="23"/>
        </w:rPr>
        <w:t>10</w:t>
      </w:r>
      <w:r>
        <w:rPr>
          <w:rFonts w:ascii="宋体" w:hAnsi="宋体" w:eastAsia="宋体" w:cs="宋体"/>
          <w:spacing w:val="-15"/>
          <w:position w:val="3"/>
          <w:sz w:val="23"/>
          <w:szCs w:val="23"/>
        </w:rPr>
        <w:t>；  (</w:t>
      </w:r>
      <w:r>
        <w:rPr>
          <w:rFonts w:ascii="Times New Roman" w:hAnsi="Times New Roman" w:eastAsia="Times New Roman" w:cs="Times New Roman"/>
          <w:spacing w:val="-15"/>
          <w:position w:val="3"/>
          <w:sz w:val="23"/>
          <w:szCs w:val="23"/>
        </w:rPr>
        <w:t>2</w:t>
      </w:r>
      <w:r>
        <w:rPr>
          <w:rFonts w:ascii="宋体" w:hAnsi="宋体" w:eastAsia="宋体" w:cs="宋体"/>
          <w:spacing w:val="-15"/>
          <w:position w:val="3"/>
          <w:sz w:val="23"/>
          <w:szCs w:val="23"/>
        </w:rPr>
        <w:t xml:space="preserve">) </w:t>
      </w:r>
      <w:r>
        <w:rPr>
          <w:rFonts w:ascii="Times New Roman" w:hAnsi="Times New Roman" w:eastAsia="Times New Roman" w:cs="Times New Roman"/>
          <w:spacing w:val="-15"/>
          <w:position w:val="3"/>
          <w:sz w:val="23"/>
          <w:szCs w:val="23"/>
        </w:rPr>
        <w:t>10≤Q</w:t>
      </w:r>
      <w:r>
        <w:rPr>
          <w:rFonts w:ascii="宋体" w:hAnsi="宋体" w:eastAsia="宋体" w:cs="宋体"/>
          <w:spacing w:val="-15"/>
          <w:position w:val="3"/>
          <w:sz w:val="23"/>
          <w:szCs w:val="23"/>
        </w:rPr>
        <w:t>＜</w:t>
      </w:r>
      <w:r>
        <w:rPr>
          <w:rFonts w:ascii="Times New Roman" w:hAnsi="Times New Roman" w:eastAsia="Times New Roman" w:cs="Times New Roman"/>
          <w:spacing w:val="-15"/>
          <w:position w:val="3"/>
          <w:sz w:val="23"/>
          <w:szCs w:val="23"/>
        </w:rPr>
        <w:t>100</w:t>
      </w:r>
      <w:r>
        <w:rPr>
          <w:rFonts w:ascii="宋体" w:hAnsi="宋体" w:eastAsia="宋体" w:cs="宋体"/>
          <w:spacing w:val="-15"/>
          <w:position w:val="3"/>
          <w:sz w:val="23"/>
          <w:szCs w:val="23"/>
        </w:rPr>
        <w:t>；  (</w:t>
      </w:r>
      <w:r>
        <w:rPr>
          <w:rFonts w:ascii="Times New Roman" w:hAnsi="Times New Roman" w:eastAsia="Times New Roman" w:cs="Times New Roman"/>
          <w:spacing w:val="-15"/>
          <w:position w:val="3"/>
          <w:sz w:val="23"/>
          <w:szCs w:val="23"/>
        </w:rPr>
        <w:t>3</w:t>
      </w:r>
      <w:r>
        <w:rPr>
          <w:rFonts w:ascii="宋体" w:hAnsi="宋体" w:eastAsia="宋体" w:cs="宋体"/>
          <w:spacing w:val="-15"/>
          <w:position w:val="3"/>
          <w:sz w:val="23"/>
          <w:szCs w:val="23"/>
        </w:rPr>
        <w:t xml:space="preserve">) </w:t>
      </w:r>
      <w:r>
        <w:rPr>
          <w:rFonts w:ascii="Times New Roman" w:hAnsi="Times New Roman" w:eastAsia="Times New Roman" w:cs="Times New Roman"/>
          <w:spacing w:val="-15"/>
          <w:position w:val="3"/>
          <w:sz w:val="23"/>
          <w:szCs w:val="23"/>
        </w:rPr>
        <w:t>Q≥100</w:t>
      </w:r>
      <w:r>
        <w:rPr>
          <w:rFonts w:ascii="宋体" w:hAnsi="宋体" w:eastAsia="宋体" w:cs="宋体"/>
          <w:spacing w:val="-15"/>
          <w:position w:val="3"/>
          <w:sz w:val="23"/>
          <w:szCs w:val="23"/>
        </w:rPr>
        <w:t>。</w:t>
      </w:r>
    </w:p>
    <w:p w14:paraId="66857545">
      <w:pPr>
        <w:sectPr>
          <w:headerReference r:id="rId291" w:type="default"/>
          <w:footerReference r:id="rId292" w:type="default"/>
          <w:pgSz w:w="11906" w:h="16839"/>
          <w:pgMar w:top="1132" w:right="1709" w:bottom="1182" w:left="1758" w:header="878" w:footer="1022" w:gutter="0"/>
          <w:cols w:space="720" w:num="1"/>
        </w:sectPr>
      </w:pPr>
    </w:p>
    <w:p w14:paraId="5C1D5C89">
      <w:pPr>
        <w:spacing w:line="409" w:lineRule="auto"/>
        <w:rPr>
          <w:rFonts w:ascii="Arial"/>
          <w:sz w:val="21"/>
        </w:rPr>
      </w:pPr>
      <w:r>
        <w:pict>
          <v:shape id="_x0000_s1359" o:spid="_x0000_s1359" style="position:absolute;left:0pt;margin-left:90pt;margin-top:57.35pt;height:0.75pt;width:415.3pt;mso-position-horizontal-relative:page;mso-position-vertical-relative:page;z-index:252052480;mso-width-relative:page;mso-height-relative:page;" fillcolor="#000000" filled="t" stroked="f" coordsize="8305,15" o:allowincell="f" path="m0,0l8305,0,8305,14,0,14,0,0xe">
            <v:path/>
            <v:fill on="t" focussize="0,0"/>
            <v:stroke on="f"/>
            <v:imagedata o:title=""/>
            <o:lock v:ext="edit"/>
          </v:shape>
        </w:pict>
      </w:r>
    </w:p>
    <w:p w14:paraId="442D4781">
      <w:pPr>
        <w:spacing w:before="75" w:line="388" w:lineRule="auto"/>
        <w:ind w:left="52" w:right="36" w:firstLine="478"/>
        <w:rPr>
          <w:rFonts w:ascii="宋体" w:hAnsi="宋体" w:eastAsia="宋体" w:cs="宋体"/>
          <w:sz w:val="23"/>
          <w:szCs w:val="23"/>
        </w:rPr>
      </w:pPr>
      <w:r>
        <w:rPr>
          <w:rFonts w:ascii="宋体" w:hAnsi="宋体" w:eastAsia="宋体" w:cs="宋体"/>
          <w:spacing w:val="6"/>
          <w:sz w:val="23"/>
          <w:szCs w:val="23"/>
        </w:rPr>
        <w:t>对照《建</w:t>
      </w:r>
      <w:r>
        <w:rPr>
          <w:rFonts w:ascii="宋体" w:hAnsi="宋体" w:eastAsia="宋体" w:cs="宋体"/>
          <w:spacing w:val="4"/>
          <w:sz w:val="23"/>
          <w:szCs w:val="23"/>
        </w:rPr>
        <w:t>设</w:t>
      </w:r>
      <w:r>
        <w:rPr>
          <w:rFonts w:ascii="宋体" w:hAnsi="宋体" w:eastAsia="宋体" w:cs="宋体"/>
          <w:spacing w:val="3"/>
          <w:sz w:val="23"/>
          <w:szCs w:val="23"/>
        </w:rPr>
        <w:t>项目环境风险评价技术导则》  (</w:t>
      </w:r>
      <w:r>
        <w:rPr>
          <w:rFonts w:ascii="Times New Roman" w:hAnsi="Times New Roman" w:eastAsia="Times New Roman" w:cs="Times New Roman"/>
          <w:sz w:val="23"/>
          <w:szCs w:val="23"/>
        </w:rPr>
        <w:t>HJ</w:t>
      </w:r>
      <w:r>
        <w:rPr>
          <w:rFonts w:ascii="Times New Roman" w:hAnsi="Times New Roman" w:eastAsia="Times New Roman" w:cs="Times New Roman"/>
          <w:spacing w:val="3"/>
          <w:sz w:val="23"/>
          <w:szCs w:val="23"/>
        </w:rPr>
        <w:t>169-2018</w:t>
      </w:r>
      <w:r>
        <w:rPr>
          <w:rFonts w:ascii="宋体" w:hAnsi="宋体" w:eastAsia="宋体" w:cs="宋体"/>
          <w:spacing w:val="3"/>
          <w:sz w:val="23"/>
          <w:szCs w:val="23"/>
        </w:rPr>
        <w:t>) 以及《危险化学品</w:t>
      </w:r>
      <w:r>
        <w:rPr>
          <w:rFonts w:ascii="宋体" w:hAnsi="宋体" w:eastAsia="宋体" w:cs="宋体"/>
          <w:sz w:val="23"/>
          <w:szCs w:val="23"/>
        </w:rPr>
        <w:t xml:space="preserve"> </w:t>
      </w:r>
      <w:r>
        <w:rPr>
          <w:rFonts w:ascii="宋体" w:hAnsi="宋体" w:eastAsia="宋体" w:cs="宋体"/>
          <w:spacing w:val="14"/>
          <w:sz w:val="23"/>
          <w:szCs w:val="23"/>
        </w:rPr>
        <w:t>重大危</w:t>
      </w:r>
      <w:r>
        <w:rPr>
          <w:rFonts w:ascii="宋体" w:hAnsi="宋体" w:eastAsia="宋体" w:cs="宋体"/>
          <w:spacing w:val="8"/>
          <w:sz w:val="23"/>
          <w:szCs w:val="23"/>
        </w:rPr>
        <w:t>险</w:t>
      </w:r>
      <w:r>
        <w:rPr>
          <w:rFonts w:ascii="宋体" w:hAnsi="宋体" w:eastAsia="宋体" w:cs="宋体"/>
          <w:spacing w:val="7"/>
          <w:sz w:val="23"/>
          <w:szCs w:val="23"/>
        </w:rPr>
        <w:t>源辨识》  (</w:t>
      </w:r>
      <w:r>
        <w:rPr>
          <w:rFonts w:ascii="Times New Roman" w:hAnsi="Times New Roman" w:eastAsia="Times New Roman" w:cs="Times New Roman"/>
          <w:sz w:val="23"/>
          <w:szCs w:val="23"/>
        </w:rPr>
        <w:t>GB</w:t>
      </w:r>
      <w:r>
        <w:rPr>
          <w:rFonts w:ascii="Times New Roman" w:hAnsi="Times New Roman" w:eastAsia="Times New Roman" w:cs="Times New Roman"/>
          <w:spacing w:val="7"/>
          <w:sz w:val="23"/>
          <w:szCs w:val="23"/>
        </w:rPr>
        <w:t>18218-2018</w:t>
      </w:r>
      <w:r>
        <w:rPr>
          <w:rFonts w:ascii="宋体" w:hAnsi="宋体" w:eastAsia="宋体" w:cs="宋体"/>
          <w:spacing w:val="7"/>
          <w:sz w:val="23"/>
          <w:szCs w:val="23"/>
        </w:rPr>
        <w:t>) ，该项目原辅材料不涉及风险物质，则该</w:t>
      </w:r>
      <w:r>
        <w:rPr>
          <w:rFonts w:ascii="宋体" w:hAnsi="宋体" w:eastAsia="宋体" w:cs="宋体"/>
          <w:sz w:val="23"/>
          <w:szCs w:val="23"/>
        </w:rPr>
        <w:t xml:space="preserve"> </w:t>
      </w:r>
      <w:r>
        <w:rPr>
          <w:rFonts w:ascii="宋体" w:hAnsi="宋体" w:eastAsia="宋体" w:cs="宋体"/>
          <w:spacing w:val="9"/>
          <w:sz w:val="23"/>
          <w:szCs w:val="23"/>
        </w:rPr>
        <w:t>项</w:t>
      </w:r>
      <w:r>
        <w:rPr>
          <w:rFonts w:ascii="宋体" w:hAnsi="宋体" w:eastAsia="宋体" w:cs="宋体"/>
          <w:spacing w:val="8"/>
          <w:sz w:val="23"/>
          <w:szCs w:val="23"/>
        </w:rPr>
        <w:t>目</w:t>
      </w:r>
      <w:r>
        <w:rPr>
          <w:rFonts w:ascii="Times New Roman" w:hAnsi="Times New Roman" w:eastAsia="Times New Roman" w:cs="Times New Roman"/>
          <w:sz w:val="23"/>
          <w:szCs w:val="23"/>
        </w:rPr>
        <w:t>Q</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值＜</w:t>
      </w:r>
      <w:r>
        <w:rPr>
          <w:rFonts w:ascii="Times New Roman" w:hAnsi="Times New Roman" w:eastAsia="Times New Roman" w:cs="Times New Roman"/>
          <w:spacing w:val="8"/>
          <w:sz w:val="23"/>
          <w:szCs w:val="23"/>
        </w:rPr>
        <w:t xml:space="preserve">1 </w:t>
      </w:r>
      <w:r>
        <w:rPr>
          <w:rFonts w:ascii="宋体" w:hAnsi="宋体" w:eastAsia="宋体" w:cs="宋体"/>
          <w:spacing w:val="8"/>
          <w:sz w:val="23"/>
          <w:szCs w:val="23"/>
        </w:rPr>
        <w:t>，则该项目环境风险潜势为</w:t>
      </w:r>
      <w:r>
        <w:rPr>
          <w:rFonts w:ascii="Times New Roman" w:hAnsi="Times New Roman" w:eastAsia="Times New Roman" w:cs="Times New Roman"/>
          <w:spacing w:val="8"/>
          <w:sz w:val="23"/>
          <w:szCs w:val="23"/>
        </w:rPr>
        <w:t>Ⅰ</w:t>
      </w:r>
      <w:r>
        <w:rPr>
          <w:rFonts w:ascii="宋体" w:hAnsi="宋体" w:eastAsia="宋体" w:cs="宋体"/>
          <w:spacing w:val="8"/>
          <w:sz w:val="23"/>
          <w:szCs w:val="23"/>
        </w:rPr>
        <w:t>。</w:t>
      </w:r>
    </w:p>
    <w:p w14:paraId="4A631B53">
      <w:pPr>
        <w:spacing w:before="93" w:line="224" w:lineRule="auto"/>
        <w:ind w:left="52"/>
        <w:outlineLvl w:val="2"/>
        <w:rPr>
          <w:rFonts w:ascii="宋体" w:hAnsi="宋体" w:eastAsia="宋体" w:cs="宋体"/>
          <w:sz w:val="29"/>
          <w:szCs w:val="29"/>
        </w:rPr>
      </w:pPr>
      <w:r>
        <w:rPr>
          <w:rFonts w:ascii="Times New Roman" w:hAnsi="Times New Roman" w:eastAsia="Times New Roman" w:cs="Times New Roman"/>
          <w:b/>
          <w:bCs/>
          <w:spacing w:val="15"/>
          <w:sz w:val="29"/>
          <w:szCs w:val="29"/>
        </w:rPr>
        <w:t>7</w:t>
      </w:r>
      <w:r>
        <w:rPr>
          <w:rFonts w:ascii="Times New Roman" w:hAnsi="Times New Roman" w:eastAsia="Times New Roman" w:cs="Times New Roman"/>
          <w:b/>
          <w:bCs/>
          <w:spacing w:val="12"/>
          <w:sz w:val="29"/>
          <w:szCs w:val="29"/>
        </w:rPr>
        <w:t>.1.3</w:t>
      </w:r>
      <w:r>
        <w:rPr>
          <w:rFonts w:ascii="Times New Roman" w:hAnsi="Times New Roman" w:eastAsia="Times New Roman" w:cs="Times New Roman"/>
          <w:spacing w:val="12"/>
          <w:sz w:val="29"/>
          <w:szCs w:val="29"/>
        </w:rPr>
        <w:t xml:space="preserve">  </w:t>
      </w:r>
      <w:r>
        <w:rPr>
          <w:rFonts w:ascii="宋体" w:hAnsi="宋体" w:eastAsia="宋体" w:cs="宋体"/>
          <w:spacing w:val="12"/>
          <w:sz w:val="29"/>
          <w:szCs w:val="29"/>
          <w14:textOutline w14:w="5448" w14:cap="sq" w14:cmpd="sng">
            <w14:solidFill>
              <w14:srgbClr w14:val="000000"/>
            </w14:solidFill>
            <w14:prstDash w14:val="solid"/>
            <w14:bevel/>
          </w14:textOutline>
        </w:rPr>
        <w:t>评价等级</w:t>
      </w:r>
    </w:p>
    <w:p w14:paraId="661206E8">
      <w:pPr>
        <w:spacing w:line="259" w:lineRule="auto"/>
        <w:rPr>
          <w:rFonts w:ascii="Arial"/>
          <w:sz w:val="21"/>
        </w:rPr>
      </w:pPr>
    </w:p>
    <w:p w14:paraId="6E78FCF8">
      <w:pPr>
        <w:spacing w:before="75" w:line="392" w:lineRule="auto"/>
        <w:ind w:left="50" w:right="36" w:firstLine="480"/>
        <w:rPr>
          <w:rFonts w:ascii="宋体" w:hAnsi="宋体" w:eastAsia="宋体" w:cs="宋体"/>
          <w:sz w:val="23"/>
          <w:szCs w:val="23"/>
        </w:rPr>
      </w:pPr>
      <w:r>
        <w:rPr>
          <w:rFonts w:ascii="宋体" w:hAnsi="宋体" w:eastAsia="宋体" w:cs="宋体"/>
          <w:spacing w:val="6"/>
          <w:sz w:val="23"/>
          <w:szCs w:val="23"/>
        </w:rPr>
        <w:t>根据《建</w:t>
      </w:r>
      <w:r>
        <w:rPr>
          <w:rFonts w:ascii="宋体" w:hAnsi="宋体" w:eastAsia="宋体" w:cs="宋体"/>
          <w:spacing w:val="3"/>
          <w:sz w:val="23"/>
          <w:szCs w:val="23"/>
        </w:rPr>
        <w:t>设项目环境风险评价技术导则》  (</w:t>
      </w:r>
      <w:r>
        <w:rPr>
          <w:rFonts w:ascii="Times New Roman" w:hAnsi="Times New Roman" w:eastAsia="Times New Roman" w:cs="Times New Roman"/>
          <w:sz w:val="23"/>
          <w:szCs w:val="23"/>
        </w:rPr>
        <w:t>HJ</w:t>
      </w:r>
      <w:r>
        <w:rPr>
          <w:rFonts w:ascii="Times New Roman" w:hAnsi="Times New Roman" w:eastAsia="Times New Roman" w:cs="Times New Roman"/>
          <w:spacing w:val="3"/>
          <w:sz w:val="23"/>
          <w:szCs w:val="23"/>
        </w:rPr>
        <w:t>169-2018</w:t>
      </w:r>
      <w:r>
        <w:rPr>
          <w:rFonts w:ascii="宋体" w:hAnsi="宋体" w:eastAsia="宋体" w:cs="宋体"/>
          <w:spacing w:val="3"/>
          <w:sz w:val="23"/>
          <w:szCs w:val="23"/>
        </w:rPr>
        <w:t>) ，本项目环境风险</w:t>
      </w:r>
      <w:r>
        <w:rPr>
          <w:rFonts w:ascii="宋体" w:hAnsi="宋体" w:eastAsia="宋体" w:cs="宋体"/>
          <w:sz w:val="23"/>
          <w:szCs w:val="23"/>
        </w:rPr>
        <w:t xml:space="preserve"> </w:t>
      </w:r>
      <w:r>
        <w:rPr>
          <w:rFonts w:ascii="宋体" w:hAnsi="宋体" w:eastAsia="宋体" w:cs="宋体"/>
          <w:spacing w:val="6"/>
          <w:sz w:val="23"/>
          <w:szCs w:val="23"/>
        </w:rPr>
        <w:t>评</w:t>
      </w:r>
      <w:r>
        <w:rPr>
          <w:rFonts w:ascii="宋体" w:hAnsi="宋体" w:eastAsia="宋体" w:cs="宋体"/>
          <w:spacing w:val="4"/>
          <w:sz w:val="23"/>
          <w:szCs w:val="23"/>
        </w:rPr>
        <w:t>价</w:t>
      </w:r>
      <w:r>
        <w:rPr>
          <w:rFonts w:ascii="宋体" w:hAnsi="宋体" w:eastAsia="宋体" w:cs="宋体"/>
          <w:spacing w:val="3"/>
          <w:sz w:val="23"/>
          <w:szCs w:val="23"/>
        </w:rPr>
        <w:t xml:space="preserve">工作等级判定见表 </w:t>
      </w:r>
      <w:r>
        <w:rPr>
          <w:rFonts w:ascii="Times New Roman" w:hAnsi="Times New Roman" w:eastAsia="Times New Roman" w:cs="Times New Roman"/>
          <w:spacing w:val="3"/>
          <w:sz w:val="23"/>
          <w:szCs w:val="23"/>
        </w:rPr>
        <w:t>7-2</w:t>
      </w:r>
      <w:r>
        <w:rPr>
          <w:rFonts w:ascii="宋体" w:hAnsi="宋体" w:eastAsia="宋体" w:cs="宋体"/>
          <w:spacing w:val="3"/>
          <w:sz w:val="23"/>
          <w:szCs w:val="23"/>
        </w:rPr>
        <w:t>。</w:t>
      </w:r>
    </w:p>
    <w:p w14:paraId="24C82971">
      <w:pPr>
        <w:spacing w:before="138" w:line="226" w:lineRule="auto"/>
        <w:ind w:left="2572"/>
        <w:rPr>
          <w:rFonts w:ascii="宋体" w:hAnsi="宋体" w:eastAsia="宋体" w:cs="宋体"/>
          <w:sz w:val="23"/>
          <w:szCs w:val="23"/>
        </w:rPr>
      </w:pPr>
      <w:r>
        <w:rPr>
          <w:rFonts w:ascii="宋体" w:hAnsi="宋体" w:eastAsia="宋体" w:cs="宋体"/>
          <w:spacing w:val="6"/>
          <w:sz w:val="23"/>
          <w:szCs w:val="23"/>
          <w14:textOutline w14:w="4358" w14:cap="sq" w14:cmpd="sng">
            <w14:solidFill>
              <w14:srgbClr w14:val="000000"/>
            </w14:solidFill>
            <w14:prstDash w14:val="solid"/>
            <w14:bevel/>
          </w14:textOutline>
        </w:rPr>
        <w:t>表</w:t>
      </w:r>
      <w:r>
        <w:rPr>
          <w:rFonts w:ascii="宋体" w:hAnsi="宋体" w:eastAsia="宋体" w:cs="宋体"/>
          <w:spacing w:val="6"/>
          <w:sz w:val="23"/>
          <w:szCs w:val="23"/>
        </w:rPr>
        <w:t xml:space="preserve"> </w:t>
      </w:r>
      <w:r>
        <w:rPr>
          <w:rFonts w:ascii="Times New Roman" w:hAnsi="Times New Roman" w:eastAsia="Times New Roman" w:cs="Times New Roman"/>
          <w:b/>
          <w:bCs/>
          <w:spacing w:val="6"/>
          <w:sz w:val="23"/>
          <w:szCs w:val="23"/>
        </w:rPr>
        <w:t>7-</w:t>
      </w:r>
      <w:r>
        <w:rPr>
          <w:rFonts w:ascii="Times New Roman" w:hAnsi="Times New Roman" w:eastAsia="Times New Roman" w:cs="Times New Roman"/>
          <w:b/>
          <w:bCs/>
          <w:spacing w:val="3"/>
          <w:sz w:val="23"/>
          <w:szCs w:val="23"/>
        </w:rPr>
        <w:t>2</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14:textOutline w14:w="4358" w14:cap="sq" w14:cmpd="sng">
            <w14:solidFill>
              <w14:srgbClr w14:val="000000"/>
            </w14:solidFill>
            <w14:prstDash w14:val="solid"/>
            <w14:bevel/>
          </w14:textOutline>
        </w:rPr>
        <w:t>风险评价级别的判定</w:t>
      </w:r>
    </w:p>
    <w:p w14:paraId="40C01A95">
      <w:pPr>
        <w:spacing w:line="19" w:lineRule="exact"/>
      </w:pPr>
    </w:p>
    <w:tbl>
      <w:tblPr>
        <w:tblStyle w:val="4"/>
        <w:tblW w:w="838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11"/>
        <w:gridCol w:w="1665"/>
        <w:gridCol w:w="1648"/>
        <w:gridCol w:w="1642"/>
        <w:gridCol w:w="1723"/>
      </w:tblGrid>
      <w:tr w14:paraId="6D5A3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711" w:type="dxa"/>
            <w:tcBorders>
              <w:left w:val="nil"/>
            </w:tcBorders>
            <w:vAlign w:val="top"/>
          </w:tcPr>
          <w:p w14:paraId="6FC2DE9C">
            <w:pPr>
              <w:spacing w:before="75" w:line="228" w:lineRule="auto"/>
              <w:ind w:left="230"/>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环境风险潜势</w:t>
            </w:r>
          </w:p>
        </w:tc>
        <w:tc>
          <w:tcPr>
            <w:tcW w:w="1665" w:type="dxa"/>
            <w:vAlign w:val="top"/>
          </w:tcPr>
          <w:p w14:paraId="745E196D">
            <w:pPr>
              <w:spacing w:before="43" w:line="270" w:lineRule="exact"/>
              <w:ind w:left="456"/>
              <w:rPr>
                <w:rFonts w:ascii="Times New Roman" w:hAnsi="Times New Roman" w:eastAsia="Times New Roman" w:cs="Times New Roman"/>
                <w:sz w:val="13"/>
                <w:szCs w:val="13"/>
              </w:rPr>
            </w:pPr>
            <w:r>
              <w:rPr>
                <w:rFonts w:ascii="Times New Roman" w:hAnsi="Times New Roman" w:eastAsia="Times New Roman" w:cs="Times New Roman"/>
                <w:b/>
                <w:bCs/>
                <w:spacing w:val="-6"/>
                <w:position w:val="1"/>
                <w:sz w:val="20"/>
                <w:szCs w:val="20"/>
              </w:rPr>
              <w:t>Ⅳ</w:t>
            </w:r>
            <w:r>
              <w:rPr>
                <w:rFonts w:ascii="Times New Roman" w:hAnsi="Times New Roman" w:eastAsia="Times New Roman" w:cs="Times New Roman"/>
                <w:spacing w:val="-4"/>
                <w:position w:val="1"/>
                <w:sz w:val="20"/>
                <w:szCs w:val="20"/>
              </w:rPr>
              <w:t xml:space="preserve"> </w:t>
            </w:r>
            <w:r>
              <w:rPr>
                <w:rFonts w:ascii="宋体" w:hAnsi="宋体" w:eastAsia="宋体" w:cs="宋体"/>
                <w:spacing w:val="-3"/>
                <w:position w:val="1"/>
                <w:sz w:val="20"/>
                <w:szCs w:val="20"/>
                <w14:textOutline w14:w="3795" w14:cap="sq" w14:cmpd="sng">
                  <w14:solidFill>
                    <w14:srgbClr w14:val="000000"/>
                  </w14:solidFill>
                  <w14:prstDash w14:val="solid"/>
                  <w14:bevel/>
                </w14:textOutline>
              </w:rPr>
              <w:t>、</w:t>
            </w:r>
            <w:r>
              <w:rPr>
                <w:rFonts w:ascii="Times New Roman" w:hAnsi="Times New Roman" w:eastAsia="Times New Roman" w:cs="Times New Roman"/>
                <w:b/>
                <w:bCs/>
                <w:spacing w:val="-3"/>
                <w:position w:val="1"/>
                <w:sz w:val="20"/>
                <w:szCs w:val="20"/>
              </w:rPr>
              <w:t>Ⅳ</w:t>
            </w:r>
            <w:r>
              <w:rPr>
                <w:rFonts w:ascii="Times New Roman" w:hAnsi="Times New Roman" w:eastAsia="Times New Roman" w:cs="Times New Roman"/>
                <w:b/>
                <w:bCs/>
                <w:spacing w:val="-3"/>
                <w:position w:val="7"/>
                <w:sz w:val="13"/>
                <w:szCs w:val="13"/>
              </w:rPr>
              <w:t>+</w:t>
            </w:r>
          </w:p>
        </w:tc>
        <w:tc>
          <w:tcPr>
            <w:tcW w:w="1648" w:type="dxa"/>
            <w:vAlign w:val="top"/>
          </w:tcPr>
          <w:p w14:paraId="3E401231">
            <w:pPr>
              <w:spacing w:before="114" w:line="192" w:lineRule="auto"/>
              <w:ind w:left="707"/>
              <w:rPr>
                <w:rFonts w:ascii="Times New Roman" w:hAnsi="Times New Roman" w:eastAsia="Times New Roman" w:cs="Times New Roman"/>
                <w:sz w:val="20"/>
                <w:szCs w:val="20"/>
              </w:rPr>
            </w:pPr>
            <w:r>
              <w:rPr>
                <w:rFonts w:ascii="Times New Roman" w:hAnsi="Times New Roman" w:eastAsia="Times New Roman" w:cs="Times New Roman"/>
                <w:b/>
                <w:bCs/>
                <w:spacing w:val="5"/>
                <w:sz w:val="20"/>
                <w:szCs w:val="20"/>
              </w:rPr>
              <w:t>Ⅲ</w:t>
            </w:r>
          </w:p>
        </w:tc>
        <w:tc>
          <w:tcPr>
            <w:tcW w:w="1642" w:type="dxa"/>
            <w:vAlign w:val="top"/>
          </w:tcPr>
          <w:p w14:paraId="403BF3AA">
            <w:pPr>
              <w:spacing w:before="114" w:line="192" w:lineRule="auto"/>
              <w:ind w:left="743"/>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Ⅱ</w:t>
            </w:r>
          </w:p>
        </w:tc>
        <w:tc>
          <w:tcPr>
            <w:tcW w:w="1723" w:type="dxa"/>
            <w:tcBorders>
              <w:right w:val="nil"/>
            </w:tcBorders>
            <w:vAlign w:val="top"/>
          </w:tcPr>
          <w:p w14:paraId="05847C77">
            <w:pPr>
              <w:spacing w:before="114" w:line="192" w:lineRule="auto"/>
              <w:ind w:left="825"/>
              <w:rPr>
                <w:rFonts w:ascii="Times New Roman" w:hAnsi="Times New Roman" w:eastAsia="Times New Roman" w:cs="Times New Roman"/>
                <w:sz w:val="20"/>
                <w:szCs w:val="20"/>
              </w:rPr>
            </w:pPr>
            <w:r>
              <w:rPr>
                <w:rFonts w:ascii="Times New Roman" w:hAnsi="Times New Roman" w:eastAsia="Times New Roman" w:cs="Times New Roman"/>
                <w:b/>
                <w:bCs/>
                <w:sz w:val="20"/>
                <w:szCs w:val="20"/>
              </w:rPr>
              <w:t>Ⅰ</w:t>
            </w:r>
          </w:p>
        </w:tc>
      </w:tr>
      <w:tr w14:paraId="2B5C0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711" w:type="dxa"/>
            <w:tcBorders>
              <w:left w:val="nil"/>
            </w:tcBorders>
            <w:vAlign w:val="top"/>
          </w:tcPr>
          <w:p w14:paraId="66C950C8">
            <w:pPr>
              <w:spacing w:before="53" w:line="226" w:lineRule="auto"/>
              <w:ind w:left="229"/>
              <w:rPr>
                <w:rFonts w:ascii="宋体" w:hAnsi="宋体" w:eastAsia="宋体" w:cs="宋体"/>
                <w:sz w:val="20"/>
                <w:szCs w:val="20"/>
              </w:rPr>
            </w:pPr>
            <w:r>
              <w:rPr>
                <w:rFonts w:ascii="宋体" w:hAnsi="宋体" w:eastAsia="宋体" w:cs="宋体"/>
                <w:spacing w:val="10"/>
                <w:sz w:val="20"/>
                <w:szCs w:val="20"/>
              </w:rPr>
              <w:t>评</w:t>
            </w:r>
            <w:r>
              <w:rPr>
                <w:rFonts w:ascii="宋体" w:hAnsi="宋体" w:eastAsia="宋体" w:cs="宋体"/>
                <w:spacing w:val="8"/>
                <w:sz w:val="20"/>
                <w:szCs w:val="20"/>
              </w:rPr>
              <w:t>价工作等级</w:t>
            </w:r>
          </w:p>
        </w:tc>
        <w:tc>
          <w:tcPr>
            <w:tcW w:w="1665" w:type="dxa"/>
            <w:vAlign w:val="top"/>
          </w:tcPr>
          <w:p w14:paraId="69F88F8C">
            <w:pPr>
              <w:spacing w:before="131" w:line="168" w:lineRule="exact"/>
              <w:ind w:left="735"/>
              <w:rPr>
                <w:rFonts w:ascii="宋体" w:hAnsi="宋体" w:eastAsia="宋体" w:cs="宋体"/>
                <w:sz w:val="10"/>
                <w:szCs w:val="10"/>
              </w:rPr>
            </w:pPr>
            <w:r>
              <w:rPr>
                <w:rFonts w:ascii="宋体" w:hAnsi="宋体" w:eastAsia="宋体" w:cs="宋体"/>
                <w:spacing w:val="97"/>
                <w:position w:val="1"/>
                <w:sz w:val="10"/>
                <w:szCs w:val="10"/>
              </w:rPr>
              <w:t>一</w:t>
            </w:r>
          </w:p>
        </w:tc>
        <w:tc>
          <w:tcPr>
            <w:tcW w:w="1648" w:type="dxa"/>
            <w:vAlign w:val="top"/>
          </w:tcPr>
          <w:p w14:paraId="27050C1D">
            <w:pPr>
              <w:spacing w:before="92" w:line="189" w:lineRule="auto"/>
              <w:ind w:left="728"/>
              <w:rPr>
                <w:rFonts w:ascii="宋体" w:hAnsi="宋体" w:eastAsia="宋体" w:cs="宋体"/>
                <w:sz w:val="20"/>
                <w:szCs w:val="20"/>
              </w:rPr>
            </w:pPr>
            <w:r>
              <w:rPr>
                <w:rFonts w:ascii="宋体" w:hAnsi="宋体" w:eastAsia="宋体" w:cs="宋体"/>
                <w:sz w:val="20"/>
                <w:szCs w:val="20"/>
              </w:rPr>
              <w:t>二</w:t>
            </w:r>
          </w:p>
        </w:tc>
        <w:tc>
          <w:tcPr>
            <w:tcW w:w="1642" w:type="dxa"/>
            <w:vAlign w:val="top"/>
          </w:tcPr>
          <w:p w14:paraId="79FF2F3C">
            <w:pPr>
              <w:spacing w:before="53" w:line="265" w:lineRule="exact"/>
              <w:ind w:left="723"/>
              <w:rPr>
                <w:rFonts w:ascii="宋体" w:hAnsi="宋体" w:eastAsia="宋体" w:cs="宋体"/>
                <w:sz w:val="20"/>
                <w:szCs w:val="20"/>
              </w:rPr>
            </w:pPr>
            <w:r>
              <w:rPr>
                <w:rFonts w:ascii="宋体" w:hAnsi="宋体" w:eastAsia="宋体" w:cs="宋体"/>
                <w:position w:val="1"/>
                <w:sz w:val="20"/>
                <w:szCs w:val="20"/>
              </w:rPr>
              <w:t>三</w:t>
            </w:r>
          </w:p>
        </w:tc>
        <w:tc>
          <w:tcPr>
            <w:tcW w:w="1723" w:type="dxa"/>
            <w:tcBorders>
              <w:right w:val="nil"/>
            </w:tcBorders>
            <w:vAlign w:val="top"/>
          </w:tcPr>
          <w:p w14:paraId="6C90F9AD">
            <w:pPr>
              <w:spacing w:before="53" w:line="227" w:lineRule="auto"/>
              <w:ind w:left="401"/>
              <w:rPr>
                <w:rFonts w:ascii="Times New Roman" w:hAnsi="Times New Roman" w:eastAsia="Times New Roman" w:cs="Times New Roman"/>
                <w:sz w:val="20"/>
                <w:szCs w:val="20"/>
              </w:rPr>
            </w:pPr>
            <w:r>
              <w:rPr>
                <w:rFonts w:ascii="宋体" w:hAnsi="宋体" w:eastAsia="宋体" w:cs="宋体"/>
                <w:spacing w:val="8"/>
                <w:sz w:val="20"/>
                <w:szCs w:val="20"/>
              </w:rPr>
              <w:t>简</w:t>
            </w:r>
            <w:r>
              <w:rPr>
                <w:rFonts w:ascii="宋体" w:hAnsi="宋体" w:eastAsia="宋体" w:cs="宋体"/>
                <w:spacing w:val="6"/>
                <w:sz w:val="20"/>
                <w:szCs w:val="20"/>
              </w:rPr>
              <w:t>单分析</w:t>
            </w:r>
            <w:r>
              <w:rPr>
                <w:rFonts w:ascii="Times New Roman" w:hAnsi="Times New Roman" w:eastAsia="Times New Roman" w:cs="Times New Roman"/>
                <w:spacing w:val="6"/>
                <w:sz w:val="20"/>
                <w:szCs w:val="20"/>
              </w:rPr>
              <w:t>*</w:t>
            </w:r>
          </w:p>
        </w:tc>
      </w:tr>
    </w:tbl>
    <w:p w14:paraId="2493797A">
      <w:pPr>
        <w:spacing w:before="53" w:line="258" w:lineRule="auto"/>
        <w:ind w:left="19" w:hanging="6"/>
        <w:rPr>
          <w:rFonts w:ascii="宋体" w:hAnsi="宋体" w:eastAsia="宋体" w:cs="宋体"/>
          <w:sz w:val="20"/>
          <w:szCs w:val="20"/>
        </w:rPr>
      </w:pPr>
      <w:r>
        <w:rPr>
          <w:rFonts w:ascii="Times New Roman" w:hAnsi="Times New Roman" w:eastAsia="Times New Roman" w:cs="Times New Roman"/>
          <w:spacing w:val="12"/>
          <w:sz w:val="20"/>
          <w:szCs w:val="20"/>
        </w:rPr>
        <w:t>*</w:t>
      </w:r>
      <w:r>
        <w:rPr>
          <w:rFonts w:ascii="宋体" w:hAnsi="宋体" w:eastAsia="宋体" w:cs="宋体"/>
          <w:spacing w:val="12"/>
          <w:sz w:val="20"/>
          <w:szCs w:val="20"/>
        </w:rPr>
        <w:t>是相对于详细评价工作内容而言，在描述危险物质、环境影响途径、环境危害后果、风</w:t>
      </w:r>
      <w:r>
        <w:rPr>
          <w:rFonts w:ascii="宋体" w:hAnsi="宋体" w:eastAsia="宋体" w:cs="宋体"/>
          <w:spacing w:val="7"/>
          <w:sz w:val="20"/>
          <w:szCs w:val="20"/>
        </w:rPr>
        <w:t>险</w:t>
      </w:r>
      <w:r>
        <w:rPr>
          <w:rFonts w:ascii="宋体" w:hAnsi="宋体" w:eastAsia="宋体" w:cs="宋体"/>
          <w:sz w:val="20"/>
          <w:szCs w:val="20"/>
        </w:rPr>
        <w:t xml:space="preserve"> </w:t>
      </w:r>
      <w:r>
        <w:rPr>
          <w:rFonts w:ascii="宋体" w:hAnsi="宋体" w:eastAsia="宋体" w:cs="宋体"/>
          <w:spacing w:val="9"/>
          <w:sz w:val="20"/>
          <w:szCs w:val="20"/>
        </w:rPr>
        <w:t>防</w:t>
      </w:r>
      <w:r>
        <w:rPr>
          <w:rFonts w:ascii="宋体" w:hAnsi="宋体" w:eastAsia="宋体" w:cs="宋体"/>
          <w:spacing w:val="6"/>
          <w:sz w:val="20"/>
          <w:szCs w:val="20"/>
        </w:rPr>
        <w:t xml:space="preserve">范措施等方面给出定性的的说明。见附录 </w:t>
      </w:r>
      <w:r>
        <w:rPr>
          <w:rFonts w:ascii="Times New Roman" w:hAnsi="Times New Roman" w:eastAsia="Times New Roman" w:cs="Times New Roman"/>
          <w:sz w:val="20"/>
          <w:szCs w:val="20"/>
        </w:rPr>
        <w:t>A</w:t>
      </w:r>
      <w:r>
        <w:rPr>
          <w:rFonts w:ascii="宋体" w:hAnsi="宋体" w:eastAsia="宋体" w:cs="宋体"/>
          <w:spacing w:val="6"/>
          <w:sz w:val="20"/>
          <w:szCs w:val="20"/>
        </w:rPr>
        <w:t>。</w:t>
      </w:r>
    </w:p>
    <w:p w14:paraId="37905937">
      <w:pPr>
        <w:spacing w:before="13" w:line="28" w:lineRule="exact"/>
        <w:textAlignment w:val="center"/>
      </w:pPr>
      <w:r>
        <w:pict>
          <v:shape id="_x0000_s1360" o:spid="_x0000_s1360" style="height:1.45pt;width:419.5pt;" filled="f" stroked="t" coordsize="8390,29" path="m0,14l8390,14e">
            <v:fill on="f" focussize="0,0"/>
            <v:stroke weight="1.44pt" color="#000000" miterlimit="2" joinstyle="bevel"/>
            <v:imagedata o:title=""/>
            <o:lock v:ext="edit"/>
            <w10:wrap type="none"/>
            <w10:anchorlock/>
          </v:shape>
        </w:pict>
      </w:r>
    </w:p>
    <w:p w14:paraId="5A66D5E1">
      <w:pPr>
        <w:spacing w:line="260" w:lineRule="auto"/>
        <w:rPr>
          <w:rFonts w:ascii="Arial"/>
          <w:sz w:val="21"/>
        </w:rPr>
      </w:pPr>
    </w:p>
    <w:p w14:paraId="0F581F62">
      <w:pPr>
        <w:spacing w:before="76" w:line="390" w:lineRule="auto"/>
        <w:ind w:left="57" w:right="41" w:firstLine="478"/>
        <w:rPr>
          <w:rFonts w:ascii="宋体" w:hAnsi="宋体" w:eastAsia="宋体" w:cs="宋体"/>
          <w:sz w:val="23"/>
          <w:szCs w:val="23"/>
        </w:rPr>
      </w:pPr>
      <w:r>
        <w:rPr>
          <w:rFonts w:ascii="宋体" w:hAnsi="宋体" w:eastAsia="宋体" w:cs="宋体"/>
          <w:spacing w:val="18"/>
          <w:sz w:val="23"/>
          <w:szCs w:val="23"/>
        </w:rPr>
        <w:t>该</w:t>
      </w:r>
      <w:r>
        <w:rPr>
          <w:rFonts w:ascii="宋体" w:hAnsi="宋体" w:eastAsia="宋体" w:cs="宋体"/>
          <w:spacing w:val="13"/>
          <w:sz w:val="23"/>
          <w:szCs w:val="23"/>
        </w:rPr>
        <w:t>项</w:t>
      </w:r>
      <w:r>
        <w:rPr>
          <w:rFonts w:ascii="宋体" w:hAnsi="宋体" w:eastAsia="宋体" w:cs="宋体"/>
          <w:spacing w:val="9"/>
          <w:sz w:val="23"/>
          <w:szCs w:val="23"/>
        </w:rPr>
        <w:t>目环境风险潜势为</w:t>
      </w:r>
      <w:r>
        <w:rPr>
          <w:rFonts w:ascii="Times New Roman" w:hAnsi="Times New Roman" w:eastAsia="Times New Roman" w:cs="Times New Roman"/>
          <w:spacing w:val="9"/>
          <w:sz w:val="23"/>
          <w:szCs w:val="23"/>
        </w:rPr>
        <w:t xml:space="preserve">Ⅰ </w:t>
      </w:r>
      <w:r>
        <w:rPr>
          <w:rFonts w:ascii="宋体" w:hAnsi="宋体" w:eastAsia="宋体" w:cs="宋体"/>
          <w:spacing w:val="9"/>
          <w:sz w:val="23"/>
          <w:szCs w:val="23"/>
        </w:rPr>
        <w:t>，可以确定该项目环境风险评价级别为简单分析，</w:t>
      </w:r>
      <w:r>
        <w:rPr>
          <w:rFonts w:ascii="宋体" w:hAnsi="宋体" w:eastAsia="宋体" w:cs="宋体"/>
          <w:sz w:val="23"/>
          <w:szCs w:val="23"/>
        </w:rPr>
        <w:t xml:space="preserve"> </w:t>
      </w:r>
      <w:r>
        <w:rPr>
          <w:rFonts w:ascii="宋体" w:hAnsi="宋体" w:eastAsia="宋体" w:cs="宋体"/>
          <w:spacing w:val="7"/>
          <w:sz w:val="23"/>
          <w:szCs w:val="23"/>
        </w:rPr>
        <w:t>即仅在描述危险物质、环境影响途径、环境危害后果、风险防范措施等方面给</w:t>
      </w:r>
      <w:r>
        <w:rPr>
          <w:rFonts w:ascii="宋体" w:hAnsi="宋体" w:eastAsia="宋体" w:cs="宋体"/>
          <w:spacing w:val="3"/>
          <w:sz w:val="23"/>
          <w:szCs w:val="23"/>
        </w:rPr>
        <w:t>出</w:t>
      </w:r>
      <w:r>
        <w:rPr>
          <w:rFonts w:ascii="宋体" w:hAnsi="宋体" w:eastAsia="宋体" w:cs="宋体"/>
          <w:sz w:val="23"/>
          <w:szCs w:val="23"/>
        </w:rPr>
        <w:t xml:space="preserve"> </w:t>
      </w:r>
      <w:r>
        <w:rPr>
          <w:rFonts w:ascii="宋体" w:hAnsi="宋体" w:eastAsia="宋体" w:cs="宋体"/>
          <w:spacing w:val="8"/>
          <w:sz w:val="23"/>
          <w:szCs w:val="23"/>
        </w:rPr>
        <w:t>定</w:t>
      </w:r>
      <w:r>
        <w:rPr>
          <w:rFonts w:ascii="宋体" w:hAnsi="宋体" w:eastAsia="宋体" w:cs="宋体"/>
          <w:spacing w:val="6"/>
          <w:sz w:val="23"/>
          <w:szCs w:val="23"/>
        </w:rPr>
        <w:t>性的的说明。</w:t>
      </w:r>
    </w:p>
    <w:p w14:paraId="686C360F">
      <w:pPr>
        <w:spacing w:before="68" w:line="225" w:lineRule="auto"/>
        <w:ind w:left="52"/>
        <w:outlineLvl w:val="1"/>
        <w:rPr>
          <w:rFonts w:ascii="宋体" w:hAnsi="宋体" w:eastAsia="宋体" w:cs="宋体"/>
          <w:sz w:val="31"/>
          <w:szCs w:val="31"/>
        </w:rPr>
      </w:pPr>
      <w:bookmarkStart w:id="30" w:name="_bookmark31"/>
      <w:bookmarkEnd w:id="30"/>
      <w:r>
        <w:rPr>
          <w:rFonts w:ascii="Times New Roman" w:hAnsi="Times New Roman" w:eastAsia="Times New Roman" w:cs="Times New Roman"/>
          <w:b/>
          <w:bCs/>
          <w:spacing w:val="9"/>
          <w:sz w:val="31"/>
          <w:szCs w:val="31"/>
        </w:rPr>
        <w:t>7</w:t>
      </w:r>
      <w:r>
        <w:rPr>
          <w:rFonts w:ascii="Times New Roman" w:hAnsi="Times New Roman" w:eastAsia="Times New Roman" w:cs="Times New Roman"/>
          <w:b/>
          <w:bCs/>
          <w:spacing w:val="7"/>
          <w:sz w:val="31"/>
          <w:szCs w:val="31"/>
        </w:rPr>
        <w:t>.2</w:t>
      </w:r>
      <w:r>
        <w:rPr>
          <w:rFonts w:ascii="Times New Roman" w:hAnsi="Times New Roman" w:eastAsia="Times New Roman" w:cs="Times New Roman"/>
          <w:spacing w:val="7"/>
          <w:sz w:val="31"/>
          <w:szCs w:val="31"/>
        </w:rPr>
        <w:t xml:space="preserve">  </w:t>
      </w:r>
      <w:r>
        <w:rPr>
          <w:rFonts w:ascii="宋体" w:hAnsi="宋体" w:eastAsia="宋体" w:cs="宋体"/>
          <w:spacing w:val="7"/>
          <w:sz w:val="31"/>
          <w:szCs w:val="31"/>
          <w14:textOutline w14:w="5793" w14:cap="sq" w14:cmpd="sng">
            <w14:solidFill>
              <w14:srgbClr w14:val="000000"/>
            </w14:solidFill>
            <w14:prstDash w14:val="solid"/>
            <w14:bevel/>
          </w14:textOutline>
        </w:rPr>
        <w:t>环境敏感目标概况</w:t>
      </w:r>
    </w:p>
    <w:p w14:paraId="4960A635">
      <w:pPr>
        <w:spacing w:line="252" w:lineRule="auto"/>
        <w:rPr>
          <w:rFonts w:ascii="Arial"/>
          <w:sz w:val="21"/>
        </w:rPr>
      </w:pPr>
    </w:p>
    <w:p w14:paraId="5FB74E09">
      <w:pPr>
        <w:spacing w:before="75" w:line="384" w:lineRule="auto"/>
        <w:ind w:left="51" w:right="36" w:firstLine="483"/>
        <w:rPr>
          <w:rFonts w:ascii="宋体" w:hAnsi="宋体" w:eastAsia="宋体" w:cs="宋体"/>
          <w:sz w:val="23"/>
          <w:szCs w:val="23"/>
        </w:rPr>
      </w:pPr>
      <w:r>
        <w:rPr>
          <w:rFonts w:ascii="宋体" w:hAnsi="宋体" w:eastAsia="宋体" w:cs="宋体"/>
          <w:spacing w:val="18"/>
          <w:sz w:val="23"/>
          <w:szCs w:val="23"/>
        </w:rPr>
        <w:t>该</w:t>
      </w:r>
      <w:r>
        <w:rPr>
          <w:rFonts w:ascii="宋体" w:hAnsi="宋体" w:eastAsia="宋体" w:cs="宋体"/>
          <w:spacing w:val="12"/>
          <w:sz w:val="23"/>
          <w:szCs w:val="23"/>
        </w:rPr>
        <w:t>项</w:t>
      </w:r>
      <w:r>
        <w:rPr>
          <w:rFonts w:ascii="宋体" w:hAnsi="宋体" w:eastAsia="宋体" w:cs="宋体"/>
          <w:spacing w:val="9"/>
          <w:sz w:val="23"/>
          <w:szCs w:val="23"/>
        </w:rPr>
        <w:t>目环境风险潜势为</w:t>
      </w:r>
      <w:r>
        <w:rPr>
          <w:rFonts w:ascii="Times New Roman" w:hAnsi="Times New Roman" w:eastAsia="Times New Roman" w:cs="Times New Roman"/>
          <w:spacing w:val="9"/>
          <w:sz w:val="23"/>
          <w:szCs w:val="23"/>
        </w:rPr>
        <w:t xml:space="preserve">Ⅰ </w:t>
      </w:r>
      <w:r>
        <w:rPr>
          <w:rFonts w:ascii="宋体" w:hAnsi="宋体" w:eastAsia="宋体" w:cs="宋体"/>
          <w:spacing w:val="9"/>
          <w:sz w:val="23"/>
          <w:szCs w:val="23"/>
        </w:rPr>
        <w:t>，环境风险评价级别为简单分析，根据《建设项目</w:t>
      </w:r>
      <w:r>
        <w:rPr>
          <w:rFonts w:ascii="宋体" w:hAnsi="宋体" w:eastAsia="宋体" w:cs="宋体"/>
          <w:sz w:val="23"/>
          <w:szCs w:val="23"/>
        </w:rPr>
        <w:t xml:space="preserve"> </w:t>
      </w:r>
      <w:r>
        <w:rPr>
          <w:rFonts w:ascii="宋体" w:hAnsi="宋体" w:eastAsia="宋体" w:cs="宋体"/>
          <w:spacing w:val="6"/>
          <w:sz w:val="23"/>
          <w:szCs w:val="23"/>
        </w:rPr>
        <w:t>环境风险评价技术</w:t>
      </w:r>
      <w:r>
        <w:rPr>
          <w:rFonts w:ascii="宋体" w:hAnsi="宋体" w:eastAsia="宋体" w:cs="宋体"/>
          <w:spacing w:val="5"/>
          <w:sz w:val="23"/>
          <w:szCs w:val="23"/>
        </w:rPr>
        <w:t>导</w:t>
      </w:r>
      <w:r>
        <w:rPr>
          <w:rFonts w:ascii="宋体" w:hAnsi="宋体" w:eastAsia="宋体" w:cs="宋体"/>
          <w:spacing w:val="3"/>
          <w:sz w:val="23"/>
          <w:szCs w:val="23"/>
        </w:rPr>
        <w:t>则》  (</w:t>
      </w:r>
      <w:r>
        <w:rPr>
          <w:rFonts w:ascii="Times New Roman" w:hAnsi="Times New Roman" w:eastAsia="Times New Roman" w:cs="Times New Roman"/>
          <w:sz w:val="23"/>
          <w:szCs w:val="23"/>
        </w:rPr>
        <w:t>HJ</w:t>
      </w:r>
      <w:r>
        <w:rPr>
          <w:rFonts w:ascii="Times New Roman" w:hAnsi="Times New Roman" w:eastAsia="Times New Roman" w:cs="Times New Roman"/>
          <w:spacing w:val="3"/>
          <w:sz w:val="23"/>
          <w:szCs w:val="23"/>
        </w:rPr>
        <w:t>169-2018</w:t>
      </w:r>
      <w:r>
        <w:rPr>
          <w:rFonts w:ascii="宋体" w:hAnsi="宋体" w:eastAsia="宋体" w:cs="宋体"/>
          <w:spacing w:val="3"/>
          <w:sz w:val="23"/>
          <w:szCs w:val="23"/>
        </w:rPr>
        <w:t>) ，未明确简单分析级别评价范围，因此</w:t>
      </w:r>
      <w:r>
        <w:rPr>
          <w:rFonts w:ascii="宋体" w:hAnsi="宋体" w:eastAsia="宋体" w:cs="宋体"/>
          <w:sz w:val="23"/>
          <w:szCs w:val="23"/>
        </w:rPr>
        <w:t xml:space="preserve"> </w:t>
      </w:r>
      <w:r>
        <w:rPr>
          <w:rFonts w:ascii="宋体" w:hAnsi="宋体" w:eastAsia="宋体" w:cs="宋体"/>
          <w:spacing w:val="15"/>
          <w:sz w:val="23"/>
          <w:szCs w:val="23"/>
        </w:rPr>
        <w:t>该</w:t>
      </w:r>
      <w:r>
        <w:rPr>
          <w:rFonts w:ascii="宋体" w:hAnsi="宋体" w:eastAsia="宋体" w:cs="宋体"/>
          <w:spacing w:val="10"/>
          <w:sz w:val="23"/>
          <w:szCs w:val="23"/>
        </w:rPr>
        <w:t xml:space="preserve">项目大气环境风险评价范围参照三级评价范围，即距建设项目边界 </w:t>
      </w:r>
      <w:r>
        <w:rPr>
          <w:rFonts w:ascii="Times New Roman" w:hAnsi="Times New Roman" w:eastAsia="Times New Roman" w:cs="Times New Roman"/>
          <w:spacing w:val="10"/>
          <w:sz w:val="23"/>
          <w:szCs w:val="23"/>
        </w:rPr>
        <w:t>3</w:t>
      </w:r>
      <w:r>
        <w:rPr>
          <w:rFonts w:ascii="Times New Roman" w:hAnsi="Times New Roman" w:eastAsia="Times New Roman" w:cs="Times New Roman"/>
          <w:sz w:val="23"/>
          <w:szCs w:val="23"/>
        </w:rPr>
        <w:t>km</w:t>
      </w:r>
      <w:r>
        <w:rPr>
          <w:rFonts w:ascii="Times New Roman" w:hAnsi="Times New Roman" w:eastAsia="Times New Roman" w:cs="Times New Roman"/>
          <w:spacing w:val="10"/>
          <w:sz w:val="23"/>
          <w:szCs w:val="23"/>
        </w:rPr>
        <w:t xml:space="preserve"> </w:t>
      </w:r>
      <w:r>
        <w:rPr>
          <w:rFonts w:ascii="宋体" w:hAnsi="宋体" w:eastAsia="宋体" w:cs="宋体"/>
          <w:spacing w:val="10"/>
          <w:sz w:val="23"/>
          <w:szCs w:val="23"/>
        </w:rPr>
        <w:t>的范</w:t>
      </w:r>
      <w:r>
        <w:rPr>
          <w:rFonts w:ascii="宋体" w:hAnsi="宋体" w:eastAsia="宋体" w:cs="宋体"/>
          <w:sz w:val="23"/>
          <w:szCs w:val="23"/>
        </w:rPr>
        <w:t xml:space="preserve"> </w:t>
      </w:r>
      <w:r>
        <w:rPr>
          <w:rFonts w:ascii="宋体" w:hAnsi="宋体" w:eastAsia="宋体" w:cs="宋体"/>
          <w:spacing w:val="2"/>
          <w:sz w:val="23"/>
          <w:szCs w:val="23"/>
        </w:rPr>
        <w:t>围</w:t>
      </w:r>
      <w:r>
        <w:rPr>
          <w:rFonts w:ascii="宋体" w:hAnsi="宋体" w:eastAsia="宋体" w:cs="宋体"/>
          <w:spacing w:val="1"/>
          <w:sz w:val="23"/>
          <w:szCs w:val="23"/>
        </w:rPr>
        <w:t xml:space="preserve">。环境风险评价范围图见图 </w:t>
      </w:r>
      <w:r>
        <w:rPr>
          <w:rFonts w:ascii="Times New Roman" w:hAnsi="Times New Roman" w:eastAsia="Times New Roman" w:cs="Times New Roman"/>
          <w:spacing w:val="1"/>
          <w:sz w:val="23"/>
          <w:szCs w:val="23"/>
        </w:rPr>
        <w:t>7- 1</w:t>
      </w:r>
      <w:r>
        <w:rPr>
          <w:rFonts w:ascii="宋体" w:hAnsi="宋体" w:eastAsia="宋体" w:cs="宋体"/>
          <w:spacing w:val="1"/>
          <w:sz w:val="23"/>
          <w:szCs w:val="23"/>
        </w:rPr>
        <w:t>。</w:t>
      </w:r>
    </w:p>
    <w:p w14:paraId="6356BF6E">
      <w:pPr>
        <w:spacing w:before="160" w:line="227" w:lineRule="auto"/>
        <w:ind w:left="532"/>
        <w:rPr>
          <w:rFonts w:ascii="宋体" w:hAnsi="宋体" w:eastAsia="宋体" w:cs="宋体"/>
          <w:sz w:val="23"/>
          <w:szCs w:val="23"/>
        </w:rPr>
      </w:pPr>
      <w:r>
        <w:rPr>
          <w:rFonts w:ascii="宋体" w:hAnsi="宋体" w:eastAsia="宋体" w:cs="宋体"/>
          <w:spacing w:val="19"/>
          <w:sz w:val="23"/>
          <w:szCs w:val="23"/>
        </w:rPr>
        <w:t>本</w:t>
      </w:r>
      <w:r>
        <w:rPr>
          <w:rFonts w:ascii="宋体" w:hAnsi="宋体" w:eastAsia="宋体" w:cs="宋体"/>
          <w:spacing w:val="14"/>
          <w:sz w:val="23"/>
          <w:szCs w:val="23"/>
        </w:rPr>
        <w:t>溪弘福塑业有限公司新建项目位于辽宁省本溪市溪湖区火连寨镇火连寨</w:t>
      </w:r>
    </w:p>
    <w:p w14:paraId="3F870A25">
      <w:pPr>
        <w:spacing w:before="198" w:line="393" w:lineRule="auto"/>
        <w:ind w:left="51" w:right="36"/>
        <w:rPr>
          <w:rFonts w:ascii="宋体" w:hAnsi="宋体" w:eastAsia="宋体" w:cs="宋体"/>
          <w:sz w:val="23"/>
          <w:szCs w:val="23"/>
        </w:rPr>
      </w:pPr>
      <w:r>
        <w:rPr>
          <w:rFonts w:ascii="宋体" w:hAnsi="宋体" w:eastAsia="宋体" w:cs="宋体"/>
          <w:spacing w:val="8"/>
          <w:sz w:val="23"/>
          <w:szCs w:val="23"/>
        </w:rPr>
        <w:t>村</w:t>
      </w:r>
      <w:r>
        <w:rPr>
          <w:rFonts w:ascii="宋体" w:hAnsi="宋体" w:eastAsia="宋体" w:cs="宋体"/>
          <w:spacing w:val="7"/>
          <w:sz w:val="23"/>
          <w:szCs w:val="23"/>
        </w:rPr>
        <w:t>，</w:t>
      </w:r>
      <w:r>
        <w:rPr>
          <w:rFonts w:ascii="宋体" w:hAnsi="宋体" w:eastAsia="宋体" w:cs="宋体"/>
          <w:spacing w:val="4"/>
          <w:sz w:val="23"/>
          <w:szCs w:val="23"/>
        </w:rPr>
        <w:t xml:space="preserve">地理位置坐标为 </w:t>
      </w:r>
      <w:r>
        <w:rPr>
          <w:rFonts w:ascii="Times New Roman" w:hAnsi="Times New Roman" w:eastAsia="Times New Roman" w:cs="Times New Roman"/>
          <w:sz w:val="23"/>
          <w:szCs w:val="23"/>
        </w:rPr>
        <w:t>N</w:t>
      </w:r>
      <w:r>
        <w:rPr>
          <w:rFonts w:ascii="Times New Roman" w:hAnsi="Times New Roman" w:eastAsia="Times New Roman" w:cs="Times New Roman"/>
          <w:spacing w:val="4"/>
          <w:sz w:val="23"/>
          <w:szCs w:val="23"/>
        </w:rPr>
        <w:t>41°21′55.05927″</w:t>
      </w:r>
      <w:r>
        <w:rPr>
          <w:rFonts w:ascii="Times New Roman" w:hAnsi="Times New Roman" w:eastAsia="Times New Roman" w:cs="Times New Roman"/>
          <w:sz w:val="23"/>
          <w:szCs w:val="23"/>
        </w:rPr>
        <w:t>E</w:t>
      </w:r>
      <w:r>
        <w:rPr>
          <w:rFonts w:ascii="Times New Roman" w:hAnsi="Times New Roman" w:eastAsia="Times New Roman" w:cs="Times New Roman"/>
          <w:spacing w:val="4"/>
          <w:sz w:val="23"/>
          <w:szCs w:val="23"/>
        </w:rPr>
        <w:t xml:space="preserve">123°42′32.05640″ </w:t>
      </w:r>
      <w:r>
        <w:rPr>
          <w:rFonts w:ascii="宋体" w:hAnsi="宋体" w:eastAsia="宋体" w:cs="宋体"/>
          <w:spacing w:val="4"/>
          <w:sz w:val="23"/>
          <w:szCs w:val="23"/>
        </w:rPr>
        <w:t>，企业周边环境风险受</w:t>
      </w:r>
      <w:r>
        <w:rPr>
          <w:rFonts w:ascii="宋体" w:hAnsi="宋体" w:eastAsia="宋体" w:cs="宋体"/>
          <w:sz w:val="23"/>
          <w:szCs w:val="23"/>
        </w:rPr>
        <w:t xml:space="preserve"> </w:t>
      </w:r>
      <w:r>
        <w:rPr>
          <w:rFonts w:ascii="宋体" w:hAnsi="宋体" w:eastAsia="宋体" w:cs="宋体"/>
          <w:spacing w:val="-4"/>
          <w:sz w:val="23"/>
          <w:szCs w:val="23"/>
        </w:rPr>
        <w:t>体见表</w:t>
      </w:r>
      <w:r>
        <w:rPr>
          <w:rFonts w:ascii="宋体" w:hAnsi="宋体" w:eastAsia="宋体" w:cs="宋体"/>
          <w:spacing w:val="-2"/>
          <w:sz w:val="23"/>
          <w:szCs w:val="23"/>
        </w:rPr>
        <w:t xml:space="preserve"> </w:t>
      </w:r>
      <w:r>
        <w:rPr>
          <w:rFonts w:ascii="Times New Roman" w:hAnsi="Times New Roman" w:eastAsia="Times New Roman" w:cs="Times New Roman"/>
          <w:spacing w:val="-2"/>
          <w:sz w:val="23"/>
          <w:szCs w:val="23"/>
        </w:rPr>
        <w:t>7-3</w:t>
      </w:r>
      <w:r>
        <w:rPr>
          <w:rFonts w:ascii="宋体" w:hAnsi="宋体" w:eastAsia="宋体" w:cs="宋体"/>
          <w:spacing w:val="-2"/>
          <w:sz w:val="23"/>
          <w:szCs w:val="23"/>
        </w:rPr>
        <w:t>。</w:t>
      </w:r>
    </w:p>
    <w:p w14:paraId="0D1900B0">
      <w:pPr>
        <w:spacing w:before="137" w:line="228" w:lineRule="auto"/>
        <w:ind w:left="2452"/>
        <w:rPr>
          <w:rFonts w:ascii="宋体" w:hAnsi="宋体" w:eastAsia="宋体" w:cs="宋体"/>
          <w:sz w:val="23"/>
          <w:szCs w:val="23"/>
        </w:rPr>
      </w:pPr>
      <w:r>
        <w:rPr>
          <w:rFonts w:ascii="宋体" w:hAnsi="宋体" w:eastAsia="宋体" w:cs="宋体"/>
          <w:spacing w:val="4"/>
          <w:sz w:val="23"/>
          <w:szCs w:val="23"/>
          <w14:textOutline w14:w="4358" w14:cap="sq" w14:cmpd="sng">
            <w14:solidFill>
              <w14:srgbClr w14:val="000000"/>
            </w14:solidFill>
            <w14:prstDash w14:val="solid"/>
            <w14:bevel/>
          </w14:textOutline>
        </w:rPr>
        <w:t>表</w:t>
      </w:r>
      <w:r>
        <w:rPr>
          <w:rFonts w:ascii="宋体" w:hAnsi="宋体" w:eastAsia="宋体" w:cs="宋体"/>
          <w:spacing w:val="4"/>
          <w:sz w:val="23"/>
          <w:szCs w:val="23"/>
        </w:rPr>
        <w:t xml:space="preserve"> </w:t>
      </w:r>
      <w:r>
        <w:rPr>
          <w:rFonts w:ascii="Times New Roman" w:hAnsi="Times New Roman" w:eastAsia="Times New Roman" w:cs="Times New Roman"/>
          <w:b/>
          <w:bCs/>
          <w:spacing w:val="4"/>
          <w:sz w:val="23"/>
          <w:szCs w:val="23"/>
        </w:rPr>
        <w:t>7-3</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企业周边环境风险受</w:t>
      </w:r>
      <w:r>
        <w:rPr>
          <w:rFonts w:ascii="宋体" w:hAnsi="宋体" w:eastAsia="宋体" w:cs="宋体"/>
          <w:spacing w:val="3"/>
          <w:sz w:val="23"/>
          <w:szCs w:val="23"/>
          <w14:textOutline w14:w="4358" w14:cap="sq" w14:cmpd="sng">
            <w14:solidFill>
              <w14:srgbClr w14:val="000000"/>
            </w14:solidFill>
            <w14:prstDash w14:val="solid"/>
            <w14:bevel/>
          </w14:textOutline>
        </w:rPr>
        <w:t>体</w:t>
      </w:r>
    </w:p>
    <w:p w14:paraId="2707CED0">
      <w:pPr>
        <w:spacing w:line="17" w:lineRule="exact"/>
      </w:pPr>
    </w:p>
    <w:tbl>
      <w:tblPr>
        <w:tblStyle w:val="4"/>
        <w:tblW w:w="8361" w:type="dxa"/>
        <w:tblInd w:w="1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8"/>
        <w:gridCol w:w="1798"/>
        <w:gridCol w:w="1651"/>
        <w:gridCol w:w="1653"/>
        <w:gridCol w:w="2091"/>
      </w:tblGrid>
      <w:tr w14:paraId="0364E4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168" w:type="dxa"/>
            <w:vMerge w:val="restart"/>
            <w:tcBorders>
              <w:left w:val="nil"/>
              <w:bottom w:val="nil"/>
            </w:tcBorders>
            <w:vAlign w:val="top"/>
          </w:tcPr>
          <w:p w14:paraId="320A5F9A">
            <w:pPr>
              <w:spacing w:before="280" w:line="228" w:lineRule="auto"/>
              <w:ind w:left="172"/>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环</w:t>
            </w:r>
            <w:r>
              <w:rPr>
                <w:rFonts w:ascii="宋体" w:hAnsi="宋体" w:eastAsia="宋体" w:cs="宋体"/>
                <w:spacing w:val="8"/>
                <w:sz w:val="20"/>
                <w:szCs w:val="20"/>
                <w14:textOutline w14:w="3795" w14:cap="sq" w14:cmpd="sng">
                  <w14:solidFill>
                    <w14:srgbClr w14:val="000000"/>
                  </w14:solidFill>
                  <w14:prstDash w14:val="solid"/>
                  <w14:bevel/>
                </w14:textOutline>
              </w:rPr>
              <w:t>境要素</w:t>
            </w:r>
          </w:p>
        </w:tc>
        <w:tc>
          <w:tcPr>
            <w:tcW w:w="7193" w:type="dxa"/>
            <w:gridSpan w:val="4"/>
            <w:tcBorders>
              <w:right w:val="nil"/>
            </w:tcBorders>
            <w:vAlign w:val="top"/>
          </w:tcPr>
          <w:p w14:paraId="29A387FD">
            <w:pPr>
              <w:spacing w:before="96" w:line="228" w:lineRule="auto"/>
              <w:ind w:left="2972"/>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环境保护对象</w:t>
            </w:r>
          </w:p>
        </w:tc>
      </w:tr>
      <w:tr w14:paraId="4A926B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trPr>
        <w:tc>
          <w:tcPr>
            <w:tcW w:w="1168" w:type="dxa"/>
            <w:vMerge w:val="continue"/>
            <w:tcBorders>
              <w:top w:val="nil"/>
              <w:left w:val="nil"/>
            </w:tcBorders>
            <w:vAlign w:val="top"/>
          </w:tcPr>
          <w:p w14:paraId="7A7DC005">
            <w:pPr>
              <w:rPr>
                <w:rFonts w:ascii="Arial"/>
                <w:sz w:val="21"/>
              </w:rPr>
            </w:pPr>
          </w:p>
        </w:tc>
        <w:tc>
          <w:tcPr>
            <w:tcW w:w="1798" w:type="dxa"/>
            <w:vAlign w:val="top"/>
          </w:tcPr>
          <w:p w14:paraId="19C593FF">
            <w:pPr>
              <w:spacing w:before="93" w:line="228" w:lineRule="auto"/>
              <w:ind w:left="589"/>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敏</w:t>
            </w:r>
            <w:r>
              <w:rPr>
                <w:rFonts w:ascii="宋体" w:hAnsi="宋体" w:eastAsia="宋体" w:cs="宋体"/>
                <w:spacing w:val="7"/>
                <w:sz w:val="20"/>
                <w:szCs w:val="20"/>
                <w14:textOutline w14:w="3795" w14:cap="sq" w14:cmpd="sng">
                  <w14:solidFill>
                    <w14:srgbClr w14:val="000000"/>
                  </w14:solidFill>
                  <w14:prstDash w14:val="solid"/>
                  <w14:bevel/>
                </w14:textOutline>
              </w:rPr>
              <w:t>感点</w:t>
            </w:r>
          </w:p>
        </w:tc>
        <w:tc>
          <w:tcPr>
            <w:tcW w:w="1651" w:type="dxa"/>
            <w:vAlign w:val="top"/>
          </w:tcPr>
          <w:p w14:paraId="2B6C84E1">
            <w:pPr>
              <w:spacing w:before="93" w:line="229" w:lineRule="auto"/>
              <w:ind w:left="620"/>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方</w:t>
            </w:r>
            <w:r>
              <w:rPr>
                <w:rFonts w:ascii="宋体" w:hAnsi="宋体" w:eastAsia="宋体" w:cs="宋体"/>
                <w:spacing w:val="5"/>
                <w:sz w:val="20"/>
                <w:szCs w:val="20"/>
                <w14:textOutline w14:w="3795" w14:cap="sq" w14:cmpd="sng">
                  <w14:solidFill>
                    <w14:srgbClr w14:val="000000"/>
                  </w14:solidFill>
                  <w14:prstDash w14:val="solid"/>
                  <w14:bevel/>
                </w14:textOutline>
              </w:rPr>
              <w:t>位</w:t>
            </w:r>
          </w:p>
        </w:tc>
        <w:tc>
          <w:tcPr>
            <w:tcW w:w="1653" w:type="dxa"/>
            <w:vAlign w:val="top"/>
          </w:tcPr>
          <w:p w14:paraId="00FD87F2">
            <w:pPr>
              <w:spacing w:before="52" w:line="289" w:lineRule="exact"/>
              <w:ind w:left="465"/>
              <w:rPr>
                <w:rFonts w:ascii="Times New Roman" w:hAnsi="Times New Roman" w:eastAsia="Times New Roman" w:cs="Times New Roman"/>
                <w:sz w:val="20"/>
                <w:szCs w:val="20"/>
              </w:rPr>
            </w:pPr>
            <w:r>
              <w:rPr>
                <w:rFonts w:ascii="宋体" w:hAnsi="宋体" w:eastAsia="宋体" w:cs="宋体"/>
                <w:spacing w:val="7"/>
                <w:position w:val="2"/>
                <w:sz w:val="20"/>
                <w:szCs w:val="20"/>
                <w14:textOutline w14:w="3795" w14:cap="sq" w14:cmpd="sng">
                  <w14:solidFill>
                    <w14:srgbClr w14:val="000000"/>
                  </w14:solidFill>
                  <w14:prstDash w14:val="solid"/>
                  <w14:bevel/>
                </w14:textOutline>
              </w:rPr>
              <w:t>距离</w:t>
            </w:r>
            <w:r>
              <w:rPr>
                <w:rFonts w:ascii="Times New Roman" w:hAnsi="Times New Roman" w:eastAsia="Times New Roman" w:cs="Times New Roman"/>
                <w:b/>
                <w:bCs/>
                <w:spacing w:val="7"/>
                <w:position w:val="2"/>
                <w:sz w:val="20"/>
                <w:szCs w:val="20"/>
              </w:rPr>
              <w:t>(</w:t>
            </w:r>
            <w:r>
              <w:rPr>
                <w:rFonts w:ascii="Times New Roman" w:hAnsi="Times New Roman" w:eastAsia="Times New Roman" w:cs="Times New Roman"/>
                <w:b/>
                <w:bCs/>
                <w:position w:val="2"/>
                <w:sz w:val="20"/>
                <w:szCs w:val="20"/>
              </w:rPr>
              <w:t>m</w:t>
            </w:r>
            <w:r>
              <w:rPr>
                <w:rFonts w:ascii="Times New Roman" w:hAnsi="Times New Roman" w:eastAsia="Times New Roman" w:cs="Times New Roman"/>
                <w:b/>
                <w:bCs/>
                <w:spacing w:val="6"/>
                <w:position w:val="2"/>
                <w:sz w:val="20"/>
                <w:szCs w:val="20"/>
              </w:rPr>
              <w:t>)</w:t>
            </w:r>
          </w:p>
        </w:tc>
        <w:tc>
          <w:tcPr>
            <w:tcW w:w="2091" w:type="dxa"/>
            <w:tcBorders>
              <w:right w:val="nil"/>
            </w:tcBorders>
            <w:vAlign w:val="top"/>
          </w:tcPr>
          <w:p w14:paraId="6A751FB4">
            <w:pPr>
              <w:spacing w:before="93" w:line="228" w:lineRule="auto"/>
              <w:ind w:left="842"/>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规</w:t>
            </w:r>
            <w:r>
              <w:rPr>
                <w:rFonts w:ascii="宋体" w:hAnsi="宋体" w:eastAsia="宋体" w:cs="宋体"/>
                <w:spacing w:val="5"/>
                <w:sz w:val="20"/>
                <w:szCs w:val="20"/>
                <w14:textOutline w14:w="3795" w14:cap="sq" w14:cmpd="sng">
                  <w14:solidFill>
                    <w14:srgbClr w14:val="000000"/>
                  </w14:solidFill>
                  <w14:prstDash w14:val="solid"/>
                  <w14:bevel/>
                </w14:textOutline>
              </w:rPr>
              <w:t>模</w:t>
            </w:r>
          </w:p>
        </w:tc>
      </w:tr>
      <w:tr w14:paraId="6436B8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168" w:type="dxa"/>
            <w:vMerge w:val="restart"/>
            <w:tcBorders>
              <w:left w:val="nil"/>
              <w:bottom w:val="nil"/>
            </w:tcBorders>
            <w:vAlign w:val="top"/>
          </w:tcPr>
          <w:p w14:paraId="34EFBE6C">
            <w:pPr>
              <w:spacing w:line="262" w:lineRule="auto"/>
              <w:rPr>
                <w:rFonts w:ascii="Arial"/>
                <w:sz w:val="21"/>
              </w:rPr>
            </w:pPr>
          </w:p>
          <w:p w14:paraId="081E6795">
            <w:pPr>
              <w:spacing w:line="262" w:lineRule="auto"/>
              <w:rPr>
                <w:rFonts w:ascii="Arial"/>
                <w:sz w:val="21"/>
              </w:rPr>
            </w:pPr>
          </w:p>
          <w:p w14:paraId="219A1829">
            <w:pPr>
              <w:spacing w:before="65" w:line="228" w:lineRule="auto"/>
              <w:ind w:left="172"/>
              <w:rPr>
                <w:rFonts w:ascii="宋体" w:hAnsi="宋体" w:eastAsia="宋体" w:cs="宋体"/>
                <w:sz w:val="20"/>
                <w:szCs w:val="20"/>
              </w:rPr>
            </w:pPr>
            <w:r>
              <w:rPr>
                <w:rFonts w:ascii="宋体" w:hAnsi="宋体" w:eastAsia="宋体" w:cs="宋体"/>
                <w:spacing w:val="8"/>
                <w:sz w:val="20"/>
                <w:szCs w:val="20"/>
              </w:rPr>
              <w:t>环</w:t>
            </w:r>
            <w:r>
              <w:rPr>
                <w:rFonts w:ascii="宋体" w:hAnsi="宋体" w:eastAsia="宋体" w:cs="宋体"/>
                <w:spacing w:val="7"/>
                <w:sz w:val="20"/>
                <w:szCs w:val="20"/>
              </w:rPr>
              <w:t>境空气</w:t>
            </w:r>
          </w:p>
        </w:tc>
        <w:tc>
          <w:tcPr>
            <w:tcW w:w="1798" w:type="dxa"/>
            <w:vAlign w:val="top"/>
          </w:tcPr>
          <w:p w14:paraId="3AB11A68">
            <w:pPr>
              <w:spacing w:before="73" w:line="228" w:lineRule="auto"/>
              <w:ind w:left="590"/>
              <w:rPr>
                <w:rFonts w:ascii="宋体" w:hAnsi="宋体" w:eastAsia="宋体" w:cs="宋体"/>
                <w:sz w:val="20"/>
                <w:szCs w:val="20"/>
              </w:rPr>
            </w:pPr>
            <w:r>
              <w:rPr>
                <w:rFonts w:ascii="宋体" w:hAnsi="宋体" w:eastAsia="宋体" w:cs="宋体"/>
                <w:spacing w:val="7"/>
                <w:sz w:val="20"/>
                <w:szCs w:val="20"/>
              </w:rPr>
              <w:t>葡</w:t>
            </w:r>
            <w:r>
              <w:rPr>
                <w:rFonts w:ascii="宋体" w:hAnsi="宋体" w:eastAsia="宋体" w:cs="宋体"/>
                <w:spacing w:val="6"/>
                <w:sz w:val="20"/>
                <w:szCs w:val="20"/>
              </w:rPr>
              <w:t>粉沟</w:t>
            </w:r>
          </w:p>
        </w:tc>
        <w:tc>
          <w:tcPr>
            <w:tcW w:w="1651" w:type="dxa"/>
            <w:vAlign w:val="top"/>
          </w:tcPr>
          <w:p w14:paraId="6697C133">
            <w:pPr>
              <w:spacing w:before="73" w:line="228" w:lineRule="auto"/>
              <w:ind w:left="626"/>
              <w:rPr>
                <w:rFonts w:ascii="宋体" w:hAnsi="宋体" w:eastAsia="宋体" w:cs="宋体"/>
                <w:sz w:val="20"/>
                <w:szCs w:val="20"/>
              </w:rPr>
            </w:pPr>
            <w:r>
              <w:rPr>
                <w:rFonts w:ascii="宋体" w:hAnsi="宋体" w:eastAsia="宋体" w:cs="宋体"/>
                <w:spacing w:val="1"/>
                <w:sz w:val="20"/>
                <w:szCs w:val="20"/>
              </w:rPr>
              <w:t>东北</w:t>
            </w:r>
          </w:p>
        </w:tc>
        <w:tc>
          <w:tcPr>
            <w:tcW w:w="1653" w:type="dxa"/>
            <w:vAlign w:val="top"/>
          </w:tcPr>
          <w:p w14:paraId="195F4448">
            <w:pPr>
              <w:spacing w:before="110" w:line="195" w:lineRule="auto"/>
              <w:ind w:left="67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w:t>
            </w:r>
            <w:r>
              <w:rPr>
                <w:rFonts w:ascii="Times New Roman" w:hAnsi="Times New Roman" w:eastAsia="Times New Roman" w:cs="Times New Roman"/>
                <w:spacing w:val="2"/>
                <w:sz w:val="20"/>
                <w:szCs w:val="20"/>
              </w:rPr>
              <w:t>40</w:t>
            </w:r>
          </w:p>
        </w:tc>
        <w:tc>
          <w:tcPr>
            <w:tcW w:w="2091" w:type="dxa"/>
            <w:tcBorders>
              <w:right w:val="nil"/>
            </w:tcBorders>
            <w:vAlign w:val="top"/>
          </w:tcPr>
          <w:p w14:paraId="3ECDE823">
            <w:pPr>
              <w:spacing w:before="74" w:line="228" w:lineRule="auto"/>
              <w:ind w:left="384"/>
              <w:rPr>
                <w:rFonts w:ascii="宋体" w:hAnsi="宋体" w:eastAsia="宋体" w:cs="宋体"/>
                <w:sz w:val="20"/>
                <w:szCs w:val="20"/>
              </w:rPr>
            </w:pPr>
            <w:r>
              <w:rPr>
                <w:rFonts w:ascii="Times New Roman" w:hAnsi="Times New Roman" w:eastAsia="Times New Roman" w:cs="Times New Roman"/>
                <w:spacing w:val="4"/>
                <w:sz w:val="20"/>
                <w:szCs w:val="20"/>
              </w:rPr>
              <w:t xml:space="preserve">180 </w:t>
            </w:r>
            <w:r>
              <w:rPr>
                <w:rFonts w:ascii="宋体" w:hAnsi="宋体" w:eastAsia="宋体" w:cs="宋体"/>
                <w:spacing w:val="4"/>
                <w:sz w:val="20"/>
                <w:szCs w:val="20"/>
              </w:rPr>
              <w:t>户，</w:t>
            </w:r>
            <w:r>
              <w:rPr>
                <w:rFonts w:ascii="Times New Roman" w:hAnsi="Times New Roman" w:eastAsia="Times New Roman" w:cs="Times New Roman"/>
                <w:spacing w:val="4"/>
                <w:sz w:val="20"/>
                <w:szCs w:val="20"/>
              </w:rPr>
              <w:t xml:space="preserve">630 </w:t>
            </w:r>
            <w:r>
              <w:rPr>
                <w:rFonts w:ascii="宋体" w:hAnsi="宋体" w:eastAsia="宋体" w:cs="宋体"/>
                <w:spacing w:val="2"/>
                <w:sz w:val="20"/>
                <w:szCs w:val="20"/>
              </w:rPr>
              <w:t>人</w:t>
            </w:r>
          </w:p>
        </w:tc>
      </w:tr>
      <w:tr w14:paraId="038B9B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168" w:type="dxa"/>
            <w:vMerge w:val="continue"/>
            <w:tcBorders>
              <w:top w:val="nil"/>
              <w:left w:val="nil"/>
              <w:bottom w:val="nil"/>
            </w:tcBorders>
            <w:vAlign w:val="top"/>
          </w:tcPr>
          <w:p w14:paraId="2F52CB19">
            <w:pPr>
              <w:rPr>
                <w:rFonts w:ascii="Arial"/>
                <w:sz w:val="21"/>
              </w:rPr>
            </w:pPr>
          </w:p>
        </w:tc>
        <w:tc>
          <w:tcPr>
            <w:tcW w:w="1798" w:type="dxa"/>
            <w:vAlign w:val="top"/>
          </w:tcPr>
          <w:p w14:paraId="5FDCFFDD">
            <w:pPr>
              <w:spacing w:before="74" w:line="227" w:lineRule="auto"/>
              <w:ind w:left="595"/>
              <w:rPr>
                <w:rFonts w:ascii="宋体" w:hAnsi="宋体" w:eastAsia="宋体" w:cs="宋体"/>
                <w:sz w:val="20"/>
                <w:szCs w:val="20"/>
              </w:rPr>
            </w:pPr>
            <w:r>
              <w:rPr>
                <w:rFonts w:ascii="宋体" w:hAnsi="宋体" w:eastAsia="宋体" w:cs="宋体"/>
                <w:spacing w:val="6"/>
                <w:sz w:val="20"/>
                <w:szCs w:val="20"/>
              </w:rPr>
              <w:t>下</w:t>
            </w:r>
            <w:r>
              <w:rPr>
                <w:rFonts w:ascii="宋体" w:hAnsi="宋体" w:eastAsia="宋体" w:cs="宋体"/>
                <w:spacing w:val="4"/>
                <w:sz w:val="20"/>
                <w:szCs w:val="20"/>
              </w:rPr>
              <w:t>堡村</w:t>
            </w:r>
          </w:p>
        </w:tc>
        <w:tc>
          <w:tcPr>
            <w:tcW w:w="1651" w:type="dxa"/>
            <w:vAlign w:val="top"/>
          </w:tcPr>
          <w:p w14:paraId="0BC669D5">
            <w:pPr>
              <w:spacing w:before="75" w:line="231" w:lineRule="auto"/>
              <w:ind w:left="624"/>
              <w:rPr>
                <w:rFonts w:ascii="宋体" w:hAnsi="宋体" w:eastAsia="宋体" w:cs="宋体"/>
                <w:sz w:val="20"/>
                <w:szCs w:val="20"/>
              </w:rPr>
            </w:pPr>
            <w:r>
              <w:rPr>
                <w:rFonts w:ascii="宋体" w:hAnsi="宋体" w:eastAsia="宋体" w:cs="宋体"/>
                <w:spacing w:val="2"/>
                <w:sz w:val="20"/>
                <w:szCs w:val="20"/>
              </w:rPr>
              <w:t>西北</w:t>
            </w:r>
          </w:p>
        </w:tc>
        <w:tc>
          <w:tcPr>
            <w:tcW w:w="1653" w:type="dxa"/>
            <w:vAlign w:val="top"/>
          </w:tcPr>
          <w:p w14:paraId="7A6E9800">
            <w:pPr>
              <w:spacing w:before="110" w:line="195" w:lineRule="auto"/>
              <w:ind w:left="67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w:t>
            </w:r>
            <w:r>
              <w:rPr>
                <w:rFonts w:ascii="Times New Roman" w:hAnsi="Times New Roman" w:eastAsia="Times New Roman" w:cs="Times New Roman"/>
                <w:spacing w:val="2"/>
                <w:sz w:val="20"/>
                <w:szCs w:val="20"/>
              </w:rPr>
              <w:t>50</w:t>
            </w:r>
          </w:p>
        </w:tc>
        <w:tc>
          <w:tcPr>
            <w:tcW w:w="2091" w:type="dxa"/>
            <w:tcBorders>
              <w:right w:val="nil"/>
            </w:tcBorders>
            <w:vAlign w:val="top"/>
          </w:tcPr>
          <w:p w14:paraId="42BA8D31">
            <w:pPr>
              <w:spacing w:before="75" w:line="228" w:lineRule="auto"/>
              <w:ind w:left="423"/>
              <w:rPr>
                <w:rFonts w:ascii="宋体" w:hAnsi="宋体" w:eastAsia="宋体" w:cs="宋体"/>
                <w:sz w:val="20"/>
                <w:szCs w:val="20"/>
              </w:rPr>
            </w:pPr>
            <w:r>
              <w:rPr>
                <w:rFonts w:ascii="Times New Roman" w:hAnsi="Times New Roman" w:eastAsia="Times New Roman" w:cs="Times New Roman"/>
                <w:spacing w:val="5"/>
                <w:sz w:val="20"/>
                <w:szCs w:val="20"/>
              </w:rPr>
              <w:t xml:space="preserve">55 </w:t>
            </w:r>
            <w:r>
              <w:rPr>
                <w:rFonts w:ascii="宋体" w:hAnsi="宋体" w:eastAsia="宋体" w:cs="宋体"/>
                <w:spacing w:val="5"/>
                <w:sz w:val="20"/>
                <w:szCs w:val="20"/>
              </w:rPr>
              <w:t>户，</w:t>
            </w:r>
            <w:r>
              <w:rPr>
                <w:rFonts w:ascii="Times New Roman" w:hAnsi="Times New Roman" w:eastAsia="Times New Roman" w:cs="Times New Roman"/>
                <w:spacing w:val="5"/>
                <w:sz w:val="20"/>
                <w:szCs w:val="20"/>
              </w:rPr>
              <w:t xml:space="preserve">190 </w:t>
            </w:r>
            <w:r>
              <w:rPr>
                <w:rFonts w:ascii="宋体" w:hAnsi="宋体" w:eastAsia="宋体" w:cs="宋体"/>
                <w:spacing w:val="5"/>
                <w:sz w:val="20"/>
                <w:szCs w:val="20"/>
              </w:rPr>
              <w:t>人</w:t>
            </w:r>
          </w:p>
        </w:tc>
      </w:tr>
      <w:tr w14:paraId="21C010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168" w:type="dxa"/>
            <w:vMerge w:val="continue"/>
            <w:tcBorders>
              <w:top w:val="nil"/>
              <w:left w:val="nil"/>
              <w:bottom w:val="nil"/>
            </w:tcBorders>
            <w:vAlign w:val="top"/>
          </w:tcPr>
          <w:p w14:paraId="32D90EE3">
            <w:pPr>
              <w:rPr>
                <w:rFonts w:ascii="Arial"/>
                <w:sz w:val="21"/>
              </w:rPr>
            </w:pPr>
          </w:p>
        </w:tc>
        <w:tc>
          <w:tcPr>
            <w:tcW w:w="1798" w:type="dxa"/>
            <w:vAlign w:val="top"/>
          </w:tcPr>
          <w:p w14:paraId="7809DB3B">
            <w:pPr>
              <w:spacing w:before="75" w:line="228" w:lineRule="auto"/>
              <w:ind w:left="588"/>
              <w:rPr>
                <w:rFonts w:ascii="宋体" w:hAnsi="宋体" w:eastAsia="宋体" w:cs="宋体"/>
                <w:sz w:val="20"/>
                <w:szCs w:val="20"/>
              </w:rPr>
            </w:pPr>
            <w:r>
              <w:rPr>
                <w:rFonts w:ascii="宋体" w:hAnsi="宋体" w:eastAsia="宋体" w:cs="宋体"/>
                <w:spacing w:val="7"/>
                <w:sz w:val="20"/>
                <w:szCs w:val="20"/>
              </w:rPr>
              <w:t>榆树</w:t>
            </w:r>
            <w:r>
              <w:rPr>
                <w:rFonts w:ascii="宋体" w:hAnsi="宋体" w:eastAsia="宋体" w:cs="宋体"/>
                <w:spacing w:val="6"/>
                <w:sz w:val="20"/>
                <w:szCs w:val="20"/>
              </w:rPr>
              <w:t>底</w:t>
            </w:r>
          </w:p>
        </w:tc>
        <w:tc>
          <w:tcPr>
            <w:tcW w:w="1651" w:type="dxa"/>
            <w:vAlign w:val="top"/>
          </w:tcPr>
          <w:p w14:paraId="5E464645">
            <w:pPr>
              <w:spacing w:before="75" w:line="231" w:lineRule="auto"/>
              <w:ind w:left="624"/>
              <w:rPr>
                <w:rFonts w:ascii="宋体" w:hAnsi="宋体" w:eastAsia="宋体" w:cs="宋体"/>
                <w:sz w:val="20"/>
                <w:szCs w:val="20"/>
              </w:rPr>
            </w:pPr>
            <w:r>
              <w:rPr>
                <w:rFonts w:ascii="宋体" w:hAnsi="宋体" w:eastAsia="宋体" w:cs="宋体"/>
                <w:spacing w:val="2"/>
                <w:sz w:val="20"/>
                <w:szCs w:val="20"/>
              </w:rPr>
              <w:t>西北</w:t>
            </w:r>
          </w:p>
        </w:tc>
        <w:tc>
          <w:tcPr>
            <w:tcW w:w="1653" w:type="dxa"/>
            <w:vAlign w:val="top"/>
          </w:tcPr>
          <w:p w14:paraId="412F0523">
            <w:pPr>
              <w:spacing w:before="111" w:line="195" w:lineRule="auto"/>
              <w:ind w:left="67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30</w:t>
            </w:r>
          </w:p>
        </w:tc>
        <w:tc>
          <w:tcPr>
            <w:tcW w:w="2091" w:type="dxa"/>
            <w:tcBorders>
              <w:right w:val="nil"/>
            </w:tcBorders>
            <w:vAlign w:val="top"/>
          </w:tcPr>
          <w:p w14:paraId="58CC145D">
            <w:pPr>
              <w:spacing w:before="75" w:line="228" w:lineRule="auto"/>
              <w:ind w:left="384"/>
              <w:rPr>
                <w:rFonts w:ascii="宋体" w:hAnsi="宋体" w:eastAsia="宋体" w:cs="宋体"/>
                <w:sz w:val="20"/>
                <w:szCs w:val="20"/>
              </w:rPr>
            </w:pPr>
            <w:r>
              <w:rPr>
                <w:rFonts w:ascii="Times New Roman" w:hAnsi="Times New Roman" w:eastAsia="Times New Roman" w:cs="Times New Roman"/>
                <w:spacing w:val="4"/>
                <w:sz w:val="20"/>
                <w:szCs w:val="20"/>
              </w:rPr>
              <w:t xml:space="preserve">160 </w:t>
            </w:r>
            <w:r>
              <w:rPr>
                <w:rFonts w:ascii="宋体" w:hAnsi="宋体" w:eastAsia="宋体" w:cs="宋体"/>
                <w:spacing w:val="4"/>
                <w:sz w:val="20"/>
                <w:szCs w:val="20"/>
              </w:rPr>
              <w:t>户，</w:t>
            </w:r>
            <w:r>
              <w:rPr>
                <w:rFonts w:ascii="Times New Roman" w:hAnsi="Times New Roman" w:eastAsia="Times New Roman" w:cs="Times New Roman"/>
                <w:spacing w:val="4"/>
                <w:sz w:val="20"/>
                <w:szCs w:val="20"/>
              </w:rPr>
              <w:t xml:space="preserve">560 </w:t>
            </w:r>
            <w:r>
              <w:rPr>
                <w:rFonts w:ascii="宋体" w:hAnsi="宋体" w:eastAsia="宋体" w:cs="宋体"/>
                <w:spacing w:val="2"/>
                <w:sz w:val="20"/>
                <w:szCs w:val="20"/>
              </w:rPr>
              <w:t>人</w:t>
            </w:r>
          </w:p>
        </w:tc>
      </w:tr>
      <w:tr w14:paraId="2CE6DD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168" w:type="dxa"/>
            <w:vMerge w:val="continue"/>
            <w:tcBorders>
              <w:top w:val="nil"/>
              <w:left w:val="nil"/>
            </w:tcBorders>
            <w:vAlign w:val="top"/>
          </w:tcPr>
          <w:p w14:paraId="2B724391">
            <w:pPr>
              <w:rPr>
                <w:rFonts w:ascii="Arial"/>
                <w:sz w:val="21"/>
              </w:rPr>
            </w:pPr>
          </w:p>
        </w:tc>
        <w:tc>
          <w:tcPr>
            <w:tcW w:w="1798" w:type="dxa"/>
            <w:vAlign w:val="top"/>
          </w:tcPr>
          <w:p w14:paraId="45EB3E2D">
            <w:pPr>
              <w:spacing w:before="78" w:line="227" w:lineRule="auto"/>
              <w:ind w:left="492"/>
              <w:rPr>
                <w:rFonts w:ascii="宋体" w:hAnsi="宋体" w:eastAsia="宋体" w:cs="宋体"/>
                <w:sz w:val="20"/>
                <w:szCs w:val="20"/>
              </w:rPr>
            </w:pPr>
            <w:r>
              <w:rPr>
                <w:rFonts w:ascii="宋体" w:hAnsi="宋体" w:eastAsia="宋体" w:cs="宋体"/>
                <w:spacing w:val="8"/>
                <w:sz w:val="20"/>
                <w:szCs w:val="20"/>
              </w:rPr>
              <w:t>营</w:t>
            </w:r>
            <w:r>
              <w:rPr>
                <w:rFonts w:ascii="宋体" w:hAnsi="宋体" w:eastAsia="宋体" w:cs="宋体"/>
                <w:spacing w:val="5"/>
                <w:sz w:val="20"/>
                <w:szCs w:val="20"/>
              </w:rPr>
              <w:t>子新村</w:t>
            </w:r>
          </w:p>
        </w:tc>
        <w:tc>
          <w:tcPr>
            <w:tcW w:w="1651" w:type="dxa"/>
            <w:vAlign w:val="top"/>
          </w:tcPr>
          <w:p w14:paraId="3DC6D78B">
            <w:pPr>
              <w:spacing w:before="78" w:line="231" w:lineRule="auto"/>
              <w:ind w:left="624"/>
              <w:rPr>
                <w:rFonts w:ascii="宋体" w:hAnsi="宋体" w:eastAsia="宋体" w:cs="宋体"/>
                <w:sz w:val="20"/>
                <w:szCs w:val="20"/>
              </w:rPr>
            </w:pPr>
            <w:r>
              <w:rPr>
                <w:rFonts w:ascii="宋体" w:hAnsi="宋体" w:eastAsia="宋体" w:cs="宋体"/>
                <w:spacing w:val="2"/>
                <w:sz w:val="20"/>
                <w:szCs w:val="20"/>
              </w:rPr>
              <w:t>西北</w:t>
            </w:r>
          </w:p>
        </w:tc>
        <w:tc>
          <w:tcPr>
            <w:tcW w:w="1653" w:type="dxa"/>
            <w:vAlign w:val="top"/>
          </w:tcPr>
          <w:p w14:paraId="213CA9ED">
            <w:pPr>
              <w:spacing w:before="114" w:line="195" w:lineRule="auto"/>
              <w:ind w:left="618"/>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070</w:t>
            </w:r>
          </w:p>
        </w:tc>
        <w:tc>
          <w:tcPr>
            <w:tcW w:w="2091" w:type="dxa"/>
            <w:tcBorders>
              <w:right w:val="nil"/>
            </w:tcBorders>
            <w:vAlign w:val="top"/>
          </w:tcPr>
          <w:p w14:paraId="0E2828ED">
            <w:pPr>
              <w:spacing w:before="78" w:line="228" w:lineRule="auto"/>
              <w:ind w:left="470"/>
              <w:rPr>
                <w:rFonts w:ascii="宋体" w:hAnsi="宋体" w:eastAsia="宋体" w:cs="宋体"/>
                <w:sz w:val="20"/>
                <w:szCs w:val="20"/>
              </w:rPr>
            </w:pPr>
            <w:r>
              <w:rPr>
                <w:rFonts w:ascii="Times New Roman" w:hAnsi="Times New Roman" w:eastAsia="Times New Roman" w:cs="Times New Roman"/>
                <w:spacing w:val="10"/>
                <w:sz w:val="20"/>
                <w:szCs w:val="20"/>
              </w:rPr>
              <w:t>2</w:t>
            </w:r>
            <w:r>
              <w:rPr>
                <w:rFonts w:ascii="Times New Roman" w:hAnsi="Times New Roman" w:eastAsia="Times New Roman" w:cs="Times New Roman"/>
                <w:spacing w:val="6"/>
                <w:sz w:val="20"/>
                <w:szCs w:val="20"/>
              </w:rPr>
              <w:t>8</w:t>
            </w:r>
            <w:r>
              <w:rPr>
                <w:rFonts w:ascii="Times New Roman" w:hAnsi="Times New Roman" w:eastAsia="Times New Roman" w:cs="Times New Roman"/>
                <w:spacing w:val="5"/>
                <w:sz w:val="20"/>
                <w:szCs w:val="20"/>
              </w:rPr>
              <w:t xml:space="preserve"> </w:t>
            </w:r>
            <w:r>
              <w:rPr>
                <w:rFonts w:ascii="宋体" w:hAnsi="宋体" w:eastAsia="宋体" w:cs="宋体"/>
                <w:spacing w:val="5"/>
                <w:sz w:val="20"/>
                <w:szCs w:val="20"/>
              </w:rPr>
              <w:t>户，</w:t>
            </w:r>
            <w:r>
              <w:rPr>
                <w:rFonts w:ascii="Times New Roman" w:hAnsi="Times New Roman" w:eastAsia="Times New Roman" w:cs="Times New Roman"/>
                <w:spacing w:val="5"/>
                <w:sz w:val="20"/>
                <w:szCs w:val="20"/>
              </w:rPr>
              <w:t xml:space="preserve">98 </w:t>
            </w:r>
            <w:r>
              <w:rPr>
                <w:rFonts w:ascii="宋体" w:hAnsi="宋体" w:eastAsia="宋体" w:cs="宋体"/>
                <w:spacing w:val="5"/>
                <w:sz w:val="20"/>
                <w:szCs w:val="20"/>
              </w:rPr>
              <w:t>人</w:t>
            </w:r>
          </w:p>
        </w:tc>
      </w:tr>
    </w:tbl>
    <w:p w14:paraId="10A947E0">
      <w:pPr>
        <w:rPr>
          <w:rFonts w:ascii="Arial"/>
          <w:sz w:val="21"/>
        </w:rPr>
      </w:pPr>
    </w:p>
    <w:p w14:paraId="53466996">
      <w:pPr>
        <w:sectPr>
          <w:headerReference r:id="rId293" w:type="default"/>
          <w:footerReference r:id="rId294" w:type="default"/>
          <w:pgSz w:w="11906" w:h="16839"/>
          <w:pgMar w:top="1132" w:right="1757" w:bottom="1182" w:left="1758" w:header="878" w:footer="1022" w:gutter="0"/>
          <w:cols w:space="720" w:num="1"/>
        </w:sectPr>
      </w:pPr>
    </w:p>
    <w:p w14:paraId="6C2D4978">
      <w:r>
        <w:pict>
          <v:shape id="_x0000_s1361" o:spid="_x0000_s1361" style="position:absolute;left:0pt;margin-left:90pt;margin-top:57.35pt;height:0.75pt;width:415.3pt;mso-position-horizontal-relative:page;mso-position-vertical-relative:page;z-index:252053504;mso-width-relative:page;mso-height-relative:page;" fillcolor="#000000" filled="t" stroked="f" coordsize="8305,15" o:allowincell="f" path="m0,0l8305,0,8305,14,0,14,0,0xe">
            <v:path/>
            <v:fill on="t" focussize="0,0"/>
            <v:stroke on="f"/>
            <v:imagedata o:title=""/>
            <o:lock v:ext="edit"/>
          </v:shape>
        </w:pict>
      </w:r>
    </w:p>
    <w:p w14:paraId="2AE3BB08">
      <w:pPr>
        <w:spacing w:line="65" w:lineRule="exact"/>
      </w:pPr>
    </w:p>
    <w:tbl>
      <w:tblPr>
        <w:tblStyle w:val="4"/>
        <w:tblW w:w="8361" w:type="dxa"/>
        <w:tblInd w:w="8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8"/>
        <w:gridCol w:w="1798"/>
        <w:gridCol w:w="1651"/>
        <w:gridCol w:w="1653"/>
        <w:gridCol w:w="2091"/>
      </w:tblGrid>
      <w:tr w14:paraId="0BB7C7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168" w:type="dxa"/>
            <w:vMerge w:val="restart"/>
            <w:tcBorders>
              <w:top w:val="nil"/>
              <w:left w:val="nil"/>
              <w:bottom w:val="nil"/>
            </w:tcBorders>
            <w:vAlign w:val="top"/>
          </w:tcPr>
          <w:p w14:paraId="5C36970F">
            <w:pPr>
              <w:rPr>
                <w:rFonts w:ascii="Arial"/>
                <w:sz w:val="21"/>
              </w:rPr>
            </w:pPr>
          </w:p>
        </w:tc>
        <w:tc>
          <w:tcPr>
            <w:tcW w:w="1798" w:type="dxa"/>
            <w:vAlign w:val="top"/>
          </w:tcPr>
          <w:p w14:paraId="1F203C5F">
            <w:pPr>
              <w:spacing w:before="77" w:line="228" w:lineRule="auto"/>
              <w:ind w:left="587"/>
              <w:rPr>
                <w:rFonts w:ascii="宋体" w:hAnsi="宋体" w:eastAsia="宋体" w:cs="宋体"/>
                <w:sz w:val="20"/>
                <w:szCs w:val="20"/>
              </w:rPr>
            </w:pPr>
            <w:r>
              <w:rPr>
                <w:rFonts w:ascii="宋体" w:hAnsi="宋体" w:eastAsia="宋体" w:cs="宋体"/>
                <w:spacing w:val="7"/>
                <w:sz w:val="20"/>
                <w:szCs w:val="20"/>
              </w:rPr>
              <w:t>刺叶山</w:t>
            </w:r>
          </w:p>
        </w:tc>
        <w:tc>
          <w:tcPr>
            <w:tcW w:w="1651" w:type="dxa"/>
            <w:vAlign w:val="top"/>
          </w:tcPr>
          <w:p w14:paraId="77661193">
            <w:pPr>
              <w:spacing w:before="78" w:line="231" w:lineRule="auto"/>
              <w:ind w:left="624"/>
              <w:rPr>
                <w:rFonts w:ascii="宋体" w:hAnsi="宋体" w:eastAsia="宋体" w:cs="宋体"/>
                <w:sz w:val="20"/>
                <w:szCs w:val="20"/>
              </w:rPr>
            </w:pPr>
            <w:r>
              <w:rPr>
                <w:rFonts w:ascii="宋体" w:hAnsi="宋体" w:eastAsia="宋体" w:cs="宋体"/>
                <w:spacing w:val="2"/>
                <w:sz w:val="20"/>
                <w:szCs w:val="20"/>
              </w:rPr>
              <w:t>西北</w:t>
            </w:r>
          </w:p>
        </w:tc>
        <w:tc>
          <w:tcPr>
            <w:tcW w:w="1653" w:type="dxa"/>
            <w:vAlign w:val="top"/>
          </w:tcPr>
          <w:p w14:paraId="577390D2">
            <w:pPr>
              <w:spacing w:before="113" w:line="195" w:lineRule="auto"/>
              <w:ind w:left="618"/>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600</w:t>
            </w:r>
          </w:p>
        </w:tc>
        <w:tc>
          <w:tcPr>
            <w:tcW w:w="2091" w:type="dxa"/>
            <w:tcBorders>
              <w:right w:val="nil"/>
            </w:tcBorders>
            <w:vAlign w:val="top"/>
          </w:tcPr>
          <w:p w14:paraId="10A3F53A">
            <w:pPr>
              <w:spacing w:before="78" w:line="228" w:lineRule="auto"/>
              <w:ind w:left="421"/>
              <w:rPr>
                <w:rFonts w:ascii="宋体" w:hAnsi="宋体" w:eastAsia="宋体" w:cs="宋体"/>
                <w:sz w:val="20"/>
                <w:szCs w:val="20"/>
              </w:rPr>
            </w:pPr>
            <w:r>
              <w:rPr>
                <w:rFonts w:ascii="Times New Roman" w:hAnsi="Times New Roman" w:eastAsia="Times New Roman" w:cs="Times New Roman"/>
                <w:spacing w:val="7"/>
                <w:sz w:val="20"/>
                <w:szCs w:val="20"/>
              </w:rPr>
              <w:t>3</w:t>
            </w:r>
            <w:r>
              <w:rPr>
                <w:rFonts w:ascii="Times New Roman" w:hAnsi="Times New Roman" w:eastAsia="Times New Roman" w:cs="Times New Roman"/>
                <w:spacing w:val="5"/>
                <w:sz w:val="20"/>
                <w:szCs w:val="20"/>
              </w:rPr>
              <w:t xml:space="preserve">0 </w:t>
            </w:r>
            <w:r>
              <w:rPr>
                <w:rFonts w:ascii="宋体" w:hAnsi="宋体" w:eastAsia="宋体" w:cs="宋体"/>
                <w:spacing w:val="5"/>
                <w:sz w:val="20"/>
                <w:szCs w:val="20"/>
              </w:rPr>
              <w:t>户，</w:t>
            </w:r>
            <w:r>
              <w:rPr>
                <w:rFonts w:ascii="Times New Roman" w:hAnsi="Times New Roman" w:eastAsia="Times New Roman" w:cs="Times New Roman"/>
                <w:spacing w:val="5"/>
                <w:sz w:val="20"/>
                <w:szCs w:val="20"/>
              </w:rPr>
              <w:t xml:space="preserve">105 </w:t>
            </w:r>
            <w:r>
              <w:rPr>
                <w:rFonts w:ascii="宋体" w:hAnsi="宋体" w:eastAsia="宋体" w:cs="宋体"/>
                <w:spacing w:val="5"/>
                <w:sz w:val="20"/>
                <w:szCs w:val="20"/>
              </w:rPr>
              <w:t>人</w:t>
            </w:r>
          </w:p>
        </w:tc>
      </w:tr>
      <w:tr w14:paraId="663F80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168" w:type="dxa"/>
            <w:vMerge w:val="continue"/>
            <w:tcBorders>
              <w:top w:val="nil"/>
              <w:left w:val="nil"/>
              <w:bottom w:val="nil"/>
            </w:tcBorders>
            <w:vAlign w:val="top"/>
          </w:tcPr>
          <w:p w14:paraId="53F0240C">
            <w:pPr>
              <w:rPr>
                <w:rFonts w:ascii="Arial"/>
                <w:sz w:val="21"/>
              </w:rPr>
            </w:pPr>
          </w:p>
        </w:tc>
        <w:tc>
          <w:tcPr>
            <w:tcW w:w="1798" w:type="dxa"/>
            <w:vAlign w:val="top"/>
          </w:tcPr>
          <w:p w14:paraId="6C91557C">
            <w:pPr>
              <w:spacing w:before="74" w:line="227" w:lineRule="auto"/>
              <w:ind w:left="487"/>
              <w:rPr>
                <w:rFonts w:ascii="宋体" w:hAnsi="宋体" w:eastAsia="宋体" w:cs="宋体"/>
                <w:sz w:val="20"/>
                <w:szCs w:val="20"/>
              </w:rPr>
            </w:pPr>
            <w:r>
              <w:rPr>
                <w:rFonts w:ascii="宋体" w:hAnsi="宋体" w:eastAsia="宋体" w:cs="宋体"/>
                <w:spacing w:val="7"/>
                <w:sz w:val="20"/>
                <w:szCs w:val="20"/>
              </w:rPr>
              <w:t>火连寨</w:t>
            </w:r>
            <w:r>
              <w:rPr>
                <w:rFonts w:ascii="宋体" w:hAnsi="宋体" w:eastAsia="宋体" w:cs="宋体"/>
                <w:spacing w:val="6"/>
                <w:sz w:val="20"/>
                <w:szCs w:val="20"/>
              </w:rPr>
              <w:t>村</w:t>
            </w:r>
          </w:p>
        </w:tc>
        <w:tc>
          <w:tcPr>
            <w:tcW w:w="1651" w:type="dxa"/>
            <w:vAlign w:val="top"/>
          </w:tcPr>
          <w:p w14:paraId="2678F1E4">
            <w:pPr>
              <w:spacing w:before="74" w:line="228" w:lineRule="auto"/>
              <w:ind w:left="732"/>
              <w:rPr>
                <w:rFonts w:ascii="宋体" w:hAnsi="宋体" w:eastAsia="宋体" w:cs="宋体"/>
                <w:sz w:val="20"/>
                <w:szCs w:val="20"/>
              </w:rPr>
            </w:pPr>
            <w:r>
              <w:rPr>
                <w:rFonts w:ascii="宋体" w:hAnsi="宋体" w:eastAsia="宋体" w:cs="宋体"/>
                <w:sz w:val="20"/>
                <w:szCs w:val="20"/>
              </w:rPr>
              <w:t>东</w:t>
            </w:r>
          </w:p>
        </w:tc>
        <w:tc>
          <w:tcPr>
            <w:tcW w:w="1653" w:type="dxa"/>
            <w:vAlign w:val="top"/>
          </w:tcPr>
          <w:p w14:paraId="0F1BA4E1">
            <w:pPr>
              <w:spacing w:before="110" w:line="195" w:lineRule="auto"/>
              <w:ind w:left="63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10</w:t>
            </w:r>
            <w:r>
              <w:rPr>
                <w:rFonts w:ascii="Times New Roman" w:hAnsi="Times New Roman" w:eastAsia="Times New Roman" w:cs="Times New Roman"/>
                <w:spacing w:val="-1"/>
                <w:sz w:val="20"/>
                <w:szCs w:val="20"/>
              </w:rPr>
              <w:t>50</w:t>
            </w:r>
          </w:p>
        </w:tc>
        <w:tc>
          <w:tcPr>
            <w:tcW w:w="2091" w:type="dxa"/>
            <w:tcBorders>
              <w:right w:val="nil"/>
            </w:tcBorders>
            <w:vAlign w:val="top"/>
          </w:tcPr>
          <w:p w14:paraId="2BBEEC27">
            <w:pPr>
              <w:spacing w:before="75" w:line="228" w:lineRule="auto"/>
              <w:ind w:left="316"/>
              <w:rPr>
                <w:rFonts w:ascii="宋体" w:hAnsi="宋体" w:eastAsia="宋体" w:cs="宋体"/>
                <w:sz w:val="20"/>
                <w:szCs w:val="20"/>
              </w:rPr>
            </w:pPr>
            <w:r>
              <w:rPr>
                <w:rFonts w:ascii="Times New Roman" w:hAnsi="Times New Roman" w:eastAsia="Times New Roman" w:cs="Times New Roman"/>
                <w:spacing w:val="6"/>
                <w:sz w:val="20"/>
                <w:szCs w:val="20"/>
              </w:rPr>
              <w:t>3</w:t>
            </w:r>
            <w:r>
              <w:rPr>
                <w:rFonts w:ascii="Times New Roman" w:hAnsi="Times New Roman" w:eastAsia="Times New Roman" w:cs="Times New Roman"/>
                <w:spacing w:val="5"/>
                <w:sz w:val="20"/>
                <w:szCs w:val="20"/>
              </w:rPr>
              <w:t xml:space="preserve">80 </w:t>
            </w:r>
            <w:r>
              <w:rPr>
                <w:rFonts w:ascii="宋体" w:hAnsi="宋体" w:eastAsia="宋体" w:cs="宋体"/>
                <w:spacing w:val="5"/>
                <w:sz w:val="20"/>
                <w:szCs w:val="20"/>
              </w:rPr>
              <w:t>户、</w:t>
            </w:r>
            <w:r>
              <w:rPr>
                <w:rFonts w:ascii="Times New Roman" w:hAnsi="Times New Roman" w:eastAsia="Times New Roman" w:cs="Times New Roman"/>
                <w:spacing w:val="5"/>
                <w:sz w:val="20"/>
                <w:szCs w:val="20"/>
              </w:rPr>
              <w:t xml:space="preserve">1330 </w:t>
            </w:r>
            <w:r>
              <w:rPr>
                <w:rFonts w:ascii="宋体" w:hAnsi="宋体" w:eastAsia="宋体" w:cs="宋体"/>
                <w:spacing w:val="5"/>
                <w:sz w:val="20"/>
                <w:szCs w:val="20"/>
              </w:rPr>
              <w:t>人</w:t>
            </w:r>
          </w:p>
        </w:tc>
      </w:tr>
      <w:tr w14:paraId="0B5910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168" w:type="dxa"/>
            <w:vMerge w:val="continue"/>
            <w:tcBorders>
              <w:top w:val="nil"/>
              <w:left w:val="nil"/>
              <w:bottom w:val="nil"/>
            </w:tcBorders>
            <w:vAlign w:val="top"/>
          </w:tcPr>
          <w:p w14:paraId="4AA7AD85">
            <w:pPr>
              <w:rPr>
                <w:rFonts w:ascii="Arial"/>
                <w:sz w:val="21"/>
              </w:rPr>
            </w:pPr>
          </w:p>
        </w:tc>
        <w:tc>
          <w:tcPr>
            <w:tcW w:w="1798" w:type="dxa"/>
            <w:vAlign w:val="top"/>
          </w:tcPr>
          <w:p w14:paraId="213C77A9">
            <w:pPr>
              <w:spacing w:before="75" w:line="227" w:lineRule="auto"/>
              <w:ind w:left="595"/>
              <w:rPr>
                <w:rFonts w:ascii="宋体" w:hAnsi="宋体" w:eastAsia="宋体" w:cs="宋体"/>
                <w:sz w:val="20"/>
                <w:szCs w:val="20"/>
              </w:rPr>
            </w:pPr>
            <w:r>
              <w:rPr>
                <w:rFonts w:ascii="宋体" w:hAnsi="宋体" w:eastAsia="宋体" w:cs="宋体"/>
                <w:spacing w:val="6"/>
                <w:sz w:val="20"/>
                <w:szCs w:val="20"/>
              </w:rPr>
              <w:t>营</w:t>
            </w:r>
            <w:r>
              <w:rPr>
                <w:rFonts w:ascii="宋体" w:hAnsi="宋体" w:eastAsia="宋体" w:cs="宋体"/>
                <w:spacing w:val="4"/>
                <w:sz w:val="20"/>
                <w:szCs w:val="20"/>
              </w:rPr>
              <w:t>子村</w:t>
            </w:r>
          </w:p>
        </w:tc>
        <w:tc>
          <w:tcPr>
            <w:tcW w:w="1651" w:type="dxa"/>
            <w:vAlign w:val="top"/>
          </w:tcPr>
          <w:p w14:paraId="7F4B36F6">
            <w:pPr>
              <w:spacing w:before="74" w:line="228" w:lineRule="auto"/>
              <w:ind w:left="626"/>
              <w:rPr>
                <w:rFonts w:ascii="宋体" w:hAnsi="宋体" w:eastAsia="宋体" w:cs="宋体"/>
                <w:sz w:val="20"/>
                <w:szCs w:val="20"/>
              </w:rPr>
            </w:pPr>
            <w:r>
              <w:rPr>
                <w:rFonts w:ascii="宋体" w:hAnsi="宋体" w:eastAsia="宋体" w:cs="宋体"/>
                <w:spacing w:val="1"/>
                <w:sz w:val="20"/>
                <w:szCs w:val="20"/>
              </w:rPr>
              <w:t>东南</w:t>
            </w:r>
          </w:p>
        </w:tc>
        <w:tc>
          <w:tcPr>
            <w:tcW w:w="1653" w:type="dxa"/>
            <w:vAlign w:val="top"/>
          </w:tcPr>
          <w:p w14:paraId="5DABCE06">
            <w:pPr>
              <w:spacing w:before="111" w:line="195" w:lineRule="auto"/>
              <w:ind w:left="618"/>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200</w:t>
            </w:r>
          </w:p>
        </w:tc>
        <w:tc>
          <w:tcPr>
            <w:tcW w:w="2091" w:type="dxa"/>
            <w:tcBorders>
              <w:right w:val="nil"/>
            </w:tcBorders>
            <w:vAlign w:val="top"/>
          </w:tcPr>
          <w:p w14:paraId="68692AB3">
            <w:pPr>
              <w:spacing w:before="75" w:line="228" w:lineRule="auto"/>
              <w:ind w:left="384"/>
              <w:rPr>
                <w:rFonts w:ascii="宋体" w:hAnsi="宋体" w:eastAsia="宋体" w:cs="宋体"/>
                <w:sz w:val="20"/>
                <w:szCs w:val="20"/>
              </w:rPr>
            </w:pPr>
            <w:r>
              <w:rPr>
                <w:rFonts w:ascii="Times New Roman" w:hAnsi="Times New Roman" w:eastAsia="Times New Roman" w:cs="Times New Roman"/>
                <w:spacing w:val="4"/>
                <w:sz w:val="20"/>
                <w:szCs w:val="20"/>
              </w:rPr>
              <w:t xml:space="preserve">145 </w:t>
            </w:r>
            <w:r>
              <w:rPr>
                <w:rFonts w:ascii="宋体" w:hAnsi="宋体" w:eastAsia="宋体" w:cs="宋体"/>
                <w:spacing w:val="4"/>
                <w:sz w:val="20"/>
                <w:szCs w:val="20"/>
              </w:rPr>
              <w:t>户，</w:t>
            </w:r>
            <w:r>
              <w:rPr>
                <w:rFonts w:ascii="Times New Roman" w:hAnsi="Times New Roman" w:eastAsia="Times New Roman" w:cs="Times New Roman"/>
                <w:spacing w:val="4"/>
                <w:sz w:val="20"/>
                <w:szCs w:val="20"/>
              </w:rPr>
              <w:t xml:space="preserve">507 </w:t>
            </w:r>
            <w:r>
              <w:rPr>
                <w:rFonts w:ascii="宋体" w:hAnsi="宋体" w:eastAsia="宋体" w:cs="宋体"/>
                <w:spacing w:val="2"/>
                <w:sz w:val="20"/>
                <w:szCs w:val="20"/>
              </w:rPr>
              <w:t>人</w:t>
            </w:r>
          </w:p>
        </w:tc>
      </w:tr>
      <w:tr w14:paraId="2FF882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atLeast"/>
        </w:trPr>
        <w:tc>
          <w:tcPr>
            <w:tcW w:w="1168" w:type="dxa"/>
            <w:vMerge w:val="continue"/>
            <w:tcBorders>
              <w:top w:val="nil"/>
              <w:left w:val="nil"/>
            </w:tcBorders>
            <w:vAlign w:val="top"/>
          </w:tcPr>
          <w:p w14:paraId="7AA69937">
            <w:pPr>
              <w:rPr>
                <w:rFonts w:ascii="Arial"/>
                <w:sz w:val="21"/>
              </w:rPr>
            </w:pPr>
          </w:p>
        </w:tc>
        <w:tc>
          <w:tcPr>
            <w:tcW w:w="1798" w:type="dxa"/>
            <w:vAlign w:val="top"/>
          </w:tcPr>
          <w:p w14:paraId="3B829824">
            <w:pPr>
              <w:spacing w:before="75" w:line="228" w:lineRule="auto"/>
              <w:ind w:left="486"/>
              <w:rPr>
                <w:rFonts w:ascii="宋体" w:hAnsi="宋体" w:eastAsia="宋体" w:cs="宋体"/>
                <w:sz w:val="20"/>
                <w:szCs w:val="20"/>
              </w:rPr>
            </w:pPr>
            <w:r>
              <w:rPr>
                <w:rFonts w:ascii="宋体" w:hAnsi="宋体" w:eastAsia="宋体" w:cs="宋体"/>
                <w:spacing w:val="7"/>
                <w:sz w:val="20"/>
                <w:szCs w:val="20"/>
              </w:rPr>
              <w:t>豆腐房沟</w:t>
            </w:r>
          </w:p>
        </w:tc>
        <w:tc>
          <w:tcPr>
            <w:tcW w:w="1651" w:type="dxa"/>
            <w:vAlign w:val="top"/>
          </w:tcPr>
          <w:p w14:paraId="27228378">
            <w:pPr>
              <w:spacing w:before="75" w:line="228" w:lineRule="auto"/>
              <w:ind w:left="626"/>
              <w:rPr>
                <w:rFonts w:ascii="宋体" w:hAnsi="宋体" w:eastAsia="宋体" w:cs="宋体"/>
                <w:sz w:val="20"/>
                <w:szCs w:val="20"/>
              </w:rPr>
            </w:pPr>
            <w:r>
              <w:rPr>
                <w:rFonts w:ascii="宋体" w:hAnsi="宋体" w:eastAsia="宋体" w:cs="宋体"/>
                <w:spacing w:val="1"/>
                <w:sz w:val="20"/>
                <w:szCs w:val="20"/>
              </w:rPr>
              <w:t>东南</w:t>
            </w:r>
          </w:p>
        </w:tc>
        <w:tc>
          <w:tcPr>
            <w:tcW w:w="1653" w:type="dxa"/>
            <w:vAlign w:val="top"/>
          </w:tcPr>
          <w:p w14:paraId="6F137E29">
            <w:pPr>
              <w:spacing w:before="111" w:line="195" w:lineRule="auto"/>
              <w:ind w:left="618"/>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060</w:t>
            </w:r>
          </w:p>
        </w:tc>
        <w:tc>
          <w:tcPr>
            <w:tcW w:w="2091" w:type="dxa"/>
            <w:tcBorders>
              <w:right w:val="nil"/>
            </w:tcBorders>
            <w:vAlign w:val="top"/>
          </w:tcPr>
          <w:p w14:paraId="4014341B">
            <w:pPr>
              <w:spacing w:before="76" w:line="228" w:lineRule="auto"/>
              <w:ind w:left="490"/>
              <w:rPr>
                <w:rFonts w:ascii="宋体" w:hAnsi="宋体" w:eastAsia="宋体" w:cs="宋体"/>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 xml:space="preserve">6 </w:t>
            </w:r>
            <w:r>
              <w:rPr>
                <w:rFonts w:ascii="宋体" w:hAnsi="宋体" w:eastAsia="宋体" w:cs="宋体"/>
                <w:spacing w:val="3"/>
                <w:sz w:val="20"/>
                <w:szCs w:val="20"/>
              </w:rPr>
              <w:t>户，</w:t>
            </w:r>
            <w:r>
              <w:rPr>
                <w:rFonts w:ascii="Times New Roman" w:hAnsi="Times New Roman" w:eastAsia="Times New Roman" w:cs="Times New Roman"/>
                <w:spacing w:val="3"/>
                <w:sz w:val="20"/>
                <w:szCs w:val="20"/>
              </w:rPr>
              <w:t xml:space="preserve">56 </w:t>
            </w:r>
            <w:r>
              <w:rPr>
                <w:rFonts w:ascii="宋体" w:hAnsi="宋体" w:eastAsia="宋体" w:cs="宋体"/>
                <w:spacing w:val="3"/>
                <w:sz w:val="20"/>
                <w:szCs w:val="20"/>
              </w:rPr>
              <w:t>人</w:t>
            </w:r>
          </w:p>
        </w:tc>
      </w:tr>
    </w:tbl>
    <w:p w14:paraId="7BBA1163">
      <w:pPr>
        <w:spacing w:before="268" w:line="225" w:lineRule="auto"/>
        <w:ind w:left="118"/>
        <w:outlineLvl w:val="1"/>
        <w:rPr>
          <w:rFonts w:ascii="宋体" w:hAnsi="宋体" w:eastAsia="宋体" w:cs="宋体"/>
          <w:sz w:val="31"/>
          <w:szCs w:val="31"/>
        </w:rPr>
      </w:pPr>
      <w:bookmarkStart w:id="31" w:name="_bookmark32"/>
      <w:bookmarkEnd w:id="31"/>
      <w:r>
        <w:rPr>
          <w:rFonts w:ascii="Times New Roman" w:hAnsi="Times New Roman" w:eastAsia="Times New Roman" w:cs="Times New Roman"/>
          <w:b/>
          <w:bCs/>
          <w:spacing w:val="10"/>
          <w:sz w:val="31"/>
          <w:szCs w:val="31"/>
        </w:rPr>
        <w:t>7</w:t>
      </w:r>
      <w:r>
        <w:rPr>
          <w:rFonts w:ascii="Times New Roman" w:hAnsi="Times New Roman" w:eastAsia="Times New Roman" w:cs="Times New Roman"/>
          <w:b/>
          <w:bCs/>
          <w:spacing w:val="6"/>
          <w:sz w:val="31"/>
          <w:szCs w:val="31"/>
        </w:rPr>
        <w:t>.3</w:t>
      </w:r>
      <w:r>
        <w:rPr>
          <w:rFonts w:ascii="Times New Roman" w:hAnsi="Times New Roman" w:eastAsia="Times New Roman" w:cs="Times New Roman"/>
          <w:spacing w:val="6"/>
          <w:sz w:val="31"/>
          <w:szCs w:val="31"/>
        </w:rPr>
        <w:t xml:space="preserve">  </w:t>
      </w:r>
      <w:r>
        <w:rPr>
          <w:rFonts w:ascii="宋体" w:hAnsi="宋体" w:eastAsia="宋体" w:cs="宋体"/>
          <w:spacing w:val="6"/>
          <w:sz w:val="31"/>
          <w:szCs w:val="31"/>
          <w14:textOutline w14:w="5793" w14:cap="sq" w14:cmpd="sng">
            <w14:solidFill>
              <w14:srgbClr w14:val="000000"/>
            </w14:solidFill>
            <w14:prstDash w14:val="solid"/>
            <w14:bevel/>
          </w14:textOutline>
        </w:rPr>
        <w:t>环境风险识别</w:t>
      </w:r>
    </w:p>
    <w:p w14:paraId="57556220">
      <w:pPr>
        <w:spacing w:line="251" w:lineRule="auto"/>
        <w:rPr>
          <w:rFonts w:ascii="Arial"/>
          <w:sz w:val="21"/>
        </w:rPr>
      </w:pPr>
    </w:p>
    <w:p w14:paraId="6A024E1D">
      <w:pPr>
        <w:spacing w:before="75" w:line="388" w:lineRule="auto"/>
        <w:ind w:left="116" w:right="25" w:firstLine="481"/>
        <w:rPr>
          <w:rFonts w:ascii="宋体" w:hAnsi="宋体" w:eastAsia="宋体" w:cs="宋体"/>
          <w:sz w:val="23"/>
          <w:szCs w:val="23"/>
        </w:rPr>
      </w:pPr>
      <w:r>
        <w:rPr>
          <w:rFonts w:ascii="宋体" w:hAnsi="宋体" w:eastAsia="宋体" w:cs="宋体"/>
          <w:spacing w:val="18"/>
          <w:sz w:val="23"/>
          <w:szCs w:val="23"/>
        </w:rPr>
        <w:t>风</w:t>
      </w:r>
      <w:r>
        <w:rPr>
          <w:rFonts w:ascii="宋体" w:hAnsi="宋体" w:eastAsia="宋体" w:cs="宋体"/>
          <w:spacing w:val="11"/>
          <w:sz w:val="23"/>
          <w:szCs w:val="23"/>
        </w:rPr>
        <w:t>险</w:t>
      </w:r>
      <w:r>
        <w:rPr>
          <w:rFonts w:ascii="宋体" w:hAnsi="宋体" w:eastAsia="宋体" w:cs="宋体"/>
          <w:spacing w:val="9"/>
          <w:sz w:val="23"/>
          <w:szCs w:val="23"/>
        </w:rPr>
        <w:t>识别是分析项目哪里有风险，确定风险类型。环境风险识别范围包括：</w:t>
      </w:r>
      <w:r>
        <w:rPr>
          <w:rFonts w:ascii="宋体" w:hAnsi="宋体" w:eastAsia="宋体" w:cs="宋体"/>
          <w:sz w:val="23"/>
          <w:szCs w:val="23"/>
        </w:rPr>
        <w:t xml:space="preserve"> </w:t>
      </w:r>
      <w:r>
        <w:rPr>
          <w:rFonts w:ascii="宋体" w:hAnsi="宋体" w:eastAsia="宋体" w:cs="宋体"/>
          <w:spacing w:val="4"/>
          <w:sz w:val="23"/>
          <w:szCs w:val="23"/>
        </w:rPr>
        <w:t>①生产设施风险识别；②物质风</w:t>
      </w:r>
      <w:r>
        <w:rPr>
          <w:rFonts w:ascii="宋体" w:hAnsi="宋体" w:eastAsia="宋体" w:cs="宋体"/>
          <w:spacing w:val="2"/>
          <w:sz w:val="23"/>
          <w:szCs w:val="23"/>
        </w:rPr>
        <w:t>险识别。生产设施风险识别范围包括：生产装置、</w:t>
      </w:r>
      <w:r>
        <w:rPr>
          <w:rFonts w:ascii="宋体" w:hAnsi="宋体" w:eastAsia="宋体" w:cs="宋体"/>
          <w:sz w:val="23"/>
          <w:szCs w:val="23"/>
        </w:rPr>
        <w:t xml:space="preserve"> </w:t>
      </w:r>
      <w:r>
        <w:rPr>
          <w:rFonts w:ascii="宋体" w:hAnsi="宋体" w:eastAsia="宋体" w:cs="宋体"/>
          <w:spacing w:val="4"/>
          <w:sz w:val="23"/>
          <w:szCs w:val="23"/>
        </w:rPr>
        <w:t>贮运系统、公用工程系统、环保</w:t>
      </w:r>
      <w:r>
        <w:rPr>
          <w:rFonts w:ascii="宋体" w:hAnsi="宋体" w:eastAsia="宋体" w:cs="宋体"/>
          <w:spacing w:val="2"/>
          <w:sz w:val="23"/>
          <w:szCs w:val="23"/>
        </w:rPr>
        <w:t>设施及辅助生产设施等。物质风险识别范围包括：</w:t>
      </w:r>
      <w:r>
        <w:rPr>
          <w:rFonts w:ascii="宋体" w:hAnsi="宋体" w:eastAsia="宋体" w:cs="宋体"/>
          <w:sz w:val="23"/>
          <w:szCs w:val="23"/>
        </w:rPr>
        <w:t xml:space="preserve"> </w:t>
      </w:r>
      <w:r>
        <w:rPr>
          <w:rFonts w:ascii="宋体" w:hAnsi="宋体" w:eastAsia="宋体" w:cs="宋体"/>
          <w:spacing w:val="10"/>
          <w:sz w:val="23"/>
          <w:szCs w:val="23"/>
        </w:rPr>
        <w:t>主</w:t>
      </w:r>
      <w:r>
        <w:rPr>
          <w:rFonts w:ascii="宋体" w:hAnsi="宋体" w:eastAsia="宋体" w:cs="宋体"/>
          <w:spacing w:val="9"/>
          <w:sz w:val="23"/>
          <w:szCs w:val="23"/>
        </w:rPr>
        <w:t>要原材料及辅助材料、燃料、中间产品、最终产品以及生产过程排放的</w:t>
      </w:r>
      <w:r>
        <w:rPr>
          <w:rFonts w:ascii="Times New Roman" w:hAnsi="Times New Roman" w:eastAsia="Times New Roman" w:cs="Times New Roman"/>
          <w:spacing w:val="9"/>
          <w:sz w:val="23"/>
          <w:szCs w:val="23"/>
        </w:rPr>
        <w:t>“</w:t>
      </w:r>
      <w:r>
        <w:rPr>
          <w:rFonts w:ascii="宋体" w:hAnsi="宋体" w:eastAsia="宋体" w:cs="宋体"/>
          <w:spacing w:val="9"/>
          <w:sz w:val="23"/>
          <w:szCs w:val="23"/>
        </w:rPr>
        <w:t>三废</w:t>
      </w:r>
      <w:r>
        <w:rPr>
          <w:rFonts w:ascii="Times New Roman" w:hAnsi="Times New Roman" w:eastAsia="Times New Roman" w:cs="Times New Roman"/>
          <w:spacing w:val="9"/>
          <w:sz w:val="23"/>
          <w:szCs w:val="23"/>
        </w:rPr>
        <w:t>”</w:t>
      </w:r>
      <w:r>
        <w:rPr>
          <w:rFonts w:ascii="Times New Roman" w:hAnsi="Times New Roman" w:eastAsia="Times New Roman" w:cs="Times New Roman"/>
          <w:sz w:val="23"/>
          <w:szCs w:val="23"/>
        </w:rPr>
        <w:t xml:space="preserve"> </w:t>
      </w:r>
      <w:r>
        <w:rPr>
          <w:rFonts w:ascii="宋体" w:hAnsi="宋体" w:eastAsia="宋体" w:cs="宋体"/>
          <w:spacing w:val="14"/>
          <w:sz w:val="23"/>
          <w:szCs w:val="23"/>
        </w:rPr>
        <w:t>污</w:t>
      </w:r>
      <w:r>
        <w:rPr>
          <w:rFonts w:ascii="宋体" w:hAnsi="宋体" w:eastAsia="宋体" w:cs="宋体"/>
          <w:spacing w:val="9"/>
          <w:sz w:val="23"/>
          <w:szCs w:val="23"/>
        </w:rPr>
        <w:t>染物等。风险类型一般分为火灾、爆炸和泄漏三种。</w:t>
      </w:r>
    </w:p>
    <w:p w14:paraId="0EB543E4">
      <w:pPr>
        <w:spacing w:before="136" w:line="228" w:lineRule="auto"/>
        <w:ind w:left="608"/>
        <w:rPr>
          <w:rFonts w:ascii="宋体" w:hAnsi="宋体" w:eastAsia="宋体" w:cs="宋体"/>
          <w:sz w:val="23"/>
          <w:szCs w:val="23"/>
        </w:rPr>
      </w:pPr>
      <w:r>
        <w:rPr>
          <w:rFonts w:ascii="宋体" w:hAnsi="宋体" w:eastAsia="宋体" w:cs="宋体"/>
          <w:spacing w:val="18"/>
          <w:sz w:val="23"/>
          <w:szCs w:val="23"/>
        </w:rPr>
        <w:t>(</w:t>
      </w:r>
      <w:r>
        <w:rPr>
          <w:rFonts w:ascii="Times New Roman" w:hAnsi="Times New Roman" w:eastAsia="Times New Roman" w:cs="Times New Roman"/>
          <w:spacing w:val="18"/>
          <w:sz w:val="23"/>
          <w:szCs w:val="23"/>
        </w:rPr>
        <w:t>1</w:t>
      </w:r>
      <w:r>
        <w:rPr>
          <w:rFonts w:ascii="宋体" w:hAnsi="宋体" w:eastAsia="宋体" w:cs="宋体"/>
          <w:spacing w:val="18"/>
          <w:sz w:val="23"/>
          <w:szCs w:val="23"/>
        </w:rPr>
        <w:t>) 物质风险识</w:t>
      </w:r>
      <w:r>
        <w:rPr>
          <w:rFonts w:ascii="宋体" w:hAnsi="宋体" w:eastAsia="宋体" w:cs="宋体"/>
          <w:spacing w:val="17"/>
          <w:sz w:val="23"/>
          <w:szCs w:val="23"/>
        </w:rPr>
        <w:t>别</w:t>
      </w:r>
    </w:p>
    <w:p w14:paraId="1526BAD6">
      <w:pPr>
        <w:spacing w:line="275" w:lineRule="auto"/>
        <w:rPr>
          <w:rFonts w:ascii="Arial"/>
          <w:sz w:val="21"/>
        </w:rPr>
      </w:pPr>
    </w:p>
    <w:p w14:paraId="2D538186">
      <w:pPr>
        <w:spacing w:before="75" w:line="393" w:lineRule="auto"/>
        <w:ind w:left="130" w:right="107" w:firstLine="467"/>
        <w:rPr>
          <w:rFonts w:ascii="宋体" w:hAnsi="宋体" w:eastAsia="宋体" w:cs="宋体"/>
          <w:sz w:val="23"/>
          <w:szCs w:val="23"/>
        </w:rPr>
      </w:pPr>
      <w:r>
        <w:rPr>
          <w:rFonts w:ascii="宋体" w:hAnsi="宋体" w:eastAsia="宋体" w:cs="宋体"/>
          <w:spacing w:val="7"/>
          <w:sz w:val="23"/>
          <w:szCs w:val="23"/>
        </w:rPr>
        <w:t>本项目生产使用的原辅材料主要为聚乙烯、聚丙烯，其年用量、储存量及</w:t>
      </w:r>
      <w:r>
        <w:rPr>
          <w:rFonts w:ascii="宋体" w:hAnsi="宋体" w:eastAsia="宋体" w:cs="宋体"/>
          <w:spacing w:val="2"/>
          <w:sz w:val="23"/>
          <w:szCs w:val="23"/>
        </w:rPr>
        <w:t>危</w:t>
      </w:r>
      <w:r>
        <w:rPr>
          <w:rFonts w:ascii="宋体" w:hAnsi="宋体" w:eastAsia="宋体" w:cs="宋体"/>
          <w:sz w:val="23"/>
          <w:szCs w:val="23"/>
        </w:rPr>
        <w:t xml:space="preserve"> </w:t>
      </w:r>
      <w:r>
        <w:rPr>
          <w:rFonts w:ascii="宋体" w:hAnsi="宋体" w:eastAsia="宋体" w:cs="宋体"/>
          <w:spacing w:val="2"/>
          <w:sz w:val="23"/>
          <w:szCs w:val="23"/>
        </w:rPr>
        <w:t>险性</w:t>
      </w:r>
      <w:r>
        <w:rPr>
          <w:rFonts w:ascii="宋体" w:hAnsi="宋体" w:eastAsia="宋体" w:cs="宋体"/>
          <w:spacing w:val="1"/>
          <w:sz w:val="23"/>
          <w:szCs w:val="23"/>
        </w:rPr>
        <w:t xml:space="preserve">识别情况见表 </w:t>
      </w:r>
      <w:r>
        <w:rPr>
          <w:rFonts w:ascii="Times New Roman" w:hAnsi="Times New Roman" w:eastAsia="Times New Roman" w:cs="Times New Roman"/>
          <w:spacing w:val="1"/>
          <w:sz w:val="23"/>
          <w:szCs w:val="23"/>
        </w:rPr>
        <w:t>7-4</w:t>
      </w:r>
      <w:r>
        <w:rPr>
          <w:rFonts w:ascii="宋体" w:hAnsi="宋体" w:eastAsia="宋体" w:cs="宋体"/>
          <w:spacing w:val="1"/>
          <w:sz w:val="23"/>
          <w:szCs w:val="23"/>
        </w:rPr>
        <w:t>。</w:t>
      </w:r>
    </w:p>
    <w:p w14:paraId="055ADDCF">
      <w:pPr>
        <w:spacing w:before="137" w:line="228" w:lineRule="auto"/>
        <w:ind w:left="1798"/>
        <w:rPr>
          <w:rFonts w:ascii="宋体" w:hAnsi="宋体" w:eastAsia="宋体" w:cs="宋体"/>
          <w:sz w:val="23"/>
          <w:szCs w:val="23"/>
        </w:rPr>
      </w:pPr>
      <w:r>
        <w:rPr>
          <w:rFonts w:ascii="宋体" w:hAnsi="宋体" w:eastAsia="宋体" w:cs="宋体"/>
          <w:spacing w:val="10"/>
          <w:sz w:val="23"/>
          <w:szCs w:val="23"/>
          <w14:textOutline w14:w="4358" w14:cap="sq" w14:cmpd="sng">
            <w14:solidFill>
              <w14:srgbClr w14:val="000000"/>
            </w14:solidFill>
            <w14:prstDash w14:val="solid"/>
            <w14:bevel/>
          </w14:textOutline>
        </w:rPr>
        <w:t>表</w:t>
      </w:r>
      <w:r>
        <w:rPr>
          <w:rFonts w:ascii="宋体" w:hAnsi="宋体" w:eastAsia="宋体" w:cs="宋体"/>
          <w:spacing w:val="10"/>
          <w:sz w:val="23"/>
          <w:szCs w:val="23"/>
        </w:rPr>
        <w:t xml:space="preserve"> </w:t>
      </w:r>
      <w:r>
        <w:rPr>
          <w:rFonts w:ascii="Times New Roman" w:hAnsi="Times New Roman" w:eastAsia="Times New Roman" w:cs="Times New Roman"/>
          <w:b/>
          <w:bCs/>
          <w:spacing w:val="5"/>
          <w:sz w:val="23"/>
          <w:szCs w:val="23"/>
        </w:rPr>
        <w:t>7-4</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14:textOutline w14:w="4358" w14:cap="sq" w14:cmpd="sng">
            <w14:solidFill>
              <w14:srgbClr w14:val="000000"/>
            </w14:solidFill>
            <w14:prstDash w14:val="solid"/>
            <w14:bevel/>
          </w14:textOutline>
        </w:rPr>
        <w:t>主要原辅料用量、储存量及危险识别</w:t>
      </w:r>
    </w:p>
    <w:p w14:paraId="2A126C60">
      <w:pPr>
        <w:spacing w:line="17"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1"/>
        <w:gridCol w:w="1398"/>
        <w:gridCol w:w="2863"/>
        <w:gridCol w:w="2130"/>
      </w:tblGrid>
      <w:tr w14:paraId="4F8302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0" w:hRule="atLeast"/>
        </w:trPr>
        <w:tc>
          <w:tcPr>
            <w:tcW w:w="2131" w:type="dxa"/>
            <w:tcBorders>
              <w:left w:val="nil"/>
            </w:tcBorders>
            <w:vAlign w:val="top"/>
          </w:tcPr>
          <w:p w14:paraId="4A2E750C">
            <w:pPr>
              <w:spacing w:before="75" w:line="227" w:lineRule="auto"/>
              <w:ind w:left="447"/>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原</w:t>
            </w:r>
            <w:r>
              <w:rPr>
                <w:rFonts w:ascii="宋体" w:hAnsi="宋体" w:eastAsia="宋体" w:cs="宋体"/>
                <w:spacing w:val="8"/>
                <w:sz w:val="20"/>
                <w:szCs w:val="20"/>
                <w14:textOutline w14:w="3795" w14:cap="sq" w14:cmpd="sng">
                  <w14:solidFill>
                    <w14:srgbClr w14:val="000000"/>
                  </w14:solidFill>
                  <w14:prstDash w14:val="solid"/>
                  <w14:bevel/>
                </w14:textOutline>
              </w:rPr>
              <w:t>辅材料名称</w:t>
            </w:r>
          </w:p>
        </w:tc>
        <w:tc>
          <w:tcPr>
            <w:tcW w:w="1398" w:type="dxa"/>
            <w:vAlign w:val="top"/>
          </w:tcPr>
          <w:p w14:paraId="42DA77B9">
            <w:pPr>
              <w:spacing w:before="74" w:line="228" w:lineRule="auto"/>
              <w:ind w:left="390"/>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年</w:t>
            </w:r>
            <w:r>
              <w:rPr>
                <w:rFonts w:ascii="宋体" w:hAnsi="宋体" w:eastAsia="宋体" w:cs="宋体"/>
                <w:spacing w:val="7"/>
                <w:sz w:val="20"/>
                <w:szCs w:val="20"/>
                <w14:textOutline w14:w="3795" w14:cap="sq" w14:cmpd="sng">
                  <w14:solidFill>
                    <w14:srgbClr w14:val="000000"/>
                  </w14:solidFill>
                  <w14:prstDash w14:val="solid"/>
                  <w14:bevel/>
                </w14:textOutline>
              </w:rPr>
              <w:t>用量</w:t>
            </w:r>
          </w:p>
        </w:tc>
        <w:tc>
          <w:tcPr>
            <w:tcW w:w="2863" w:type="dxa"/>
            <w:vAlign w:val="top"/>
          </w:tcPr>
          <w:p w14:paraId="02F7FC8A">
            <w:pPr>
              <w:spacing w:before="74" w:line="228" w:lineRule="auto"/>
              <w:ind w:left="703"/>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厂内最大储存量</w:t>
            </w:r>
          </w:p>
        </w:tc>
        <w:tc>
          <w:tcPr>
            <w:tcW w:w="2130" w:type="dxa"/>
            <w:tcBorders>
              <w:right w:val="nil"/>
            </w:tcBorders>
            <w:vAlign w:val="top"/>
          </w:tcPr>
          <w:p w14:paraId="3DB3D142">
            <w:pPr>
              <w:spacing w:before="75" w:line="228" w:lineRule="auto"/>
              <w:ind w:left="547"/>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危险性识别</w:t>
            </w:r>
          </w:p>
        </w:tc>
      </w:tr>
      <w:tr w14:paraId="793760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2131" w:type="dxa"/>
            <w:tcBorders>
              <w:left w:val="nil"/>
            </w:tcBorders>
            <w:vAlign w:val="top"/>
          </w:tcPr>
          <w:p w14:paraId="4B4C6764">
            <w:pPr>
              <w:spacing w:before="53" w:line="228" w:lineRule="auto"/>
              <w:ind w:left="433"/>
              <w:rPr>
                <w:rFonts w:ascii="宋体" w:hAnsi="宋体" w:eastAsia="宋体" w:cs="宋体"/>
                <w:sz w:val="20"/>
                <w:szCs w:val="20"/>
              </w:rPr>
            </w:pPr>
            <w:r>
              <w:rPr>
                <w:rFonts w:ascii="宋体" w:hAnsi="宋体" w:eastAsia="宋体" w:cs="宋体"/>
                <w:spacing w:val="7"/>
                <w:sz w:val="20"/>
                <w:szCs w:val="20"/>
              </w:rPr>
              <w:t>聚</w:t>
            </w:r>
            <w:r>
              <w:rPr>
                <w:rFonts w:ascii="宋体" w:hAnsi="宋体" w:eastAsia="宋体" w:cs="宋体"/>
                <w:spacing w:val="5"/>
                <w:sz w:val="20"/>
                <w:szCs w:val="20"/>
              </w:rPr>
              <w:t>乙烯 (</w:t>
            </w:r>
            <w:r>
              <w:rPr>
                <w:rFonts w:ascii="Times New Roman" w:hAnsi="Times New Roman" w:eastAsia="Times New Roman" w:cs="Times New Roman"/>
                <w:sz w:val="20"/>
                <w:szCs w:val="20"/>
              </w:rPr>
              <w:t>PE</w:t>
            </w:r>
            <w:r>
              <w:rPr>
                <w:rFonts w:ascii="宋体" w:hAnsi="宋体" w:eastAsia="宋体" w:cs="宋体"/>
                <w:spacing w:val="5"/>
                <w:sz w:val="20"/>
                <w:szCs w:val="20"/>
              </w:rPr>
              <w:t>)</w:t>
            </w:r>
          </w:p>
        </w:tc>
        <w:tc>
          <w:tcPr>
            <w:tcW w:w="1398" w:type="dxa"/>
            <w:vAlign w:val="top"/>
          </w:tcPr>
          <w:p w14:paraId="7A79ED29">
            <w:pPr>
              <w:spacing w:before="16" w:line="281" w:lineRule="exact"/>
              <w:ind w:left="333"/>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25550</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position w:val="2"/>
                <w:sz w:val="20"/>
                <w:szCs w:val="20"/>
              </w:rPr>
              <w:t>a</w:t>
            </w:r>
          </w:p>
        </w:tc>
        <w:tc>
          <w:tcPr>
            <w:tcW w:w="2863" w:type="dxa"/>
            <w:vAlign w:val="top"/>
          </w:tcPr>
          <w:p w14:paraId="2390401A">
            <w:pPr>
              <w:spacing w:before="16" w:line="281" w:lineRule="exact"/>
              <w:ind w:left="1246"/>
              <w:rPr>
                <w:rFonts w:ascii="Times New Roman" w:hAnsi="Times New Roman" w:eastAsia="Times New Roman" w:cs="Times New Roman"/>
                <w:sz w:val="20"/>
                <w:szCs w:val="20"/>
              </w:rPr>
            </w:pPr>
            <w:r>
              <w:rPr>
                <w:rFonts w:ascii="Times New Roman" w:hAnsi="Times New Roman" w:eastAsia="Times New Roman" w:cs="Times New Roman"/>
                <w:spacing w:val="4"/>
                <w:position w:val="2"/>
                <w:sz w:val="20"/>
                <w:szCs w:val="20"/>
              </w:rPr>
              <w:t>200</w:t>
            </w:r>
            <w:r>
              <w:rPr>
                <w:rFonts w:ascii="Times New Roman" w:hAnsi="Times New Roman" w:eastAsia="Times New Roman" w:cs="Times New Roman"/>
                <w:position w:val="2"/>
                <w:sz w:val="20"/>
                <w:szCs w:val="20"/>
              </w:rPr>
              <w:t>t</w:t>
            </w:r>
          </w:p>
        </w:tc>
        <w:tc>
          <w:tcPr>
            <w:tcW w:w="2130" w:type="dxa"/>
            <w:tcBorders>
              <w:right w:val="nil"/>
            </w:tcBorders>
            <w:vAlign w:val="top"/>
          </w:tcPr>
          <w:p w14:paraId="53E03A75">
            <w:pPr>
              <w:spacing w:before="53" w:line="228" w:lineRule="auto"/>
              <w:ind w:left="546"/>
              <w:rPr>
                <w:rFonts w:ascii="宋体" w:hAnsi="宋体" w:eastAsia="宋体" w:cs="宋体"/>
                <w:sz w:val="20"/>
                <w:szCs w:val="20"/>
              </w:rPr>
            </w:pPr>
            <w:r>
              <w:rPr>
                <w:rFonts w:ascii="宋体" w:hAnsi="宋体" w:eastAsia="宋体" w:cs="宋体"/>
                <w:spacing w:val="8"/>
                <w:sz w:val="20"/>
                <w:szCs w:val="20"/>
              </w:rPr>
              <w:t>无毒、可</w:t>
            </w:r>
            <w:r>
              <w:rPr>
                <w:rFonts w:ascii="宋体" w:hAnsi="宋体" w:eastAsia="宋体" w:cs="宋体"/>
                <w:spacing w:val="7"/>
                <w:sz w:val="20"/>
                <w:szCs w:val="20"/>
              </w:rPr>
              <w:t>燃</w:t>
            </w:r>
          </w:p>
        </w:tc>
      </w:tr>
      <w:tr w14:paraId="584342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2131" w:type="dxa"/>
            <w:tcBorders>
              <w:left w:val="nil"/>
            </w:tcBorders>
            <w:vAlign w:val="top"/>
          </w:tcPr>
          <w:p w14:paraId="504B9000">
            <w:pPr>
              <w:spacing w:before="55" w:line="228" w:lineRule="auto"/>
              <w:ind w:left="441"/>
              <w:rPr>
                <w:rFonts w:ascii="宋体" w:hAnsi="宋体" w:eastAsia="宋体" w:cs="宋体"/>
                <w:sz w:val="20"/>
                <w:szCs w:val="20"/>
              </w:rPr>
            </w:pPr>
            <w:r>
              <w:rPr>
                <w:rFonts w:ascii="宋体" w:hAnsi="宋体" w:eastAsia="宋体" w:cs="宋体"/>
                <w:spacing w:val="7"/>
                <w:sz w:val="20"/>
                <w:szCs w:val="20"/>
              </w:rPr>
              <w:t>聚</w:t>
            </w:r>
            <w:r>
              <w:rPr>
                <w:rFonts w:ascii="宋体" w:hAnsi="宋体" w:eastAsia="宋体" w:cs="宋体"/>
                <w:spacing w:val="5"/>
                <w:sz w:val="20"/>
                <w:szCs w:val="20"/>
              </w:rPr>
              <w:t>丙烯 (</w:t>
            </w:r>
            <w:r>
              <w:rPr>
                <w:rFonts w:ascii="Times New Roman" w:hAnsi="Times New Roman" w:eastAsia="Times New Roman" w:cs="Times New Roman"/>
                <w:sz w:val="20"/>
                <w:szCs w:val="20"/>
              </w:rPr>
              <w:t>PP</w:t>
            </w:r>
            <w:r>
              <w:rPr>
                <w:rFonts w:ascii="宋体" w:hAnsi="宋体" w:eastAsia="宋体" w:cs="宋体"/>
                <w:spacing w:val="5"/>
                <w:sz w:val="20"/>
                <w:szCs w:val="20"/>
              </w:rPr>
              <w:t>)</w:t>
            </w:r>
          </w:p>
        </w:tc>
        <w:tc>
          <w:tcPr>
            <w:tcW w:w="1398" w:type="dxa"/>
            <w:vAlign w:val="top"/>
          </w:tcPr>
          <w:p w14:paraId="26B081FD">
            <w:pPr>
              <w:spacing w:before="18" w:line="281" w:lineRule="exact"/>
              <w:ind w:left="333"/>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25550</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position w:val="2"/>
                <w:sz w:val="20"/>
                <w:szCs w:val="20"/>
              </w:rPr>
              <w:t>a</w:t>
            </w:r>
          </w:p>
        </w:tc>
        <w:tc>
          <w:tcPr>
            <w:tcW w:w="2863" w:type="dxa"/>
            <w:vAlign w:val="top"/>
          </w:tcPr>
          <w:p w14:paraId="1E79880F">
            <w:pPr>
              <w:spacing w:before="18" w:line="281" w:lineRule="exact"/>
              <w:ind w:left="1246"/>
              <w:rPr>
                <w:rFonts w:ascii="Times New Roman" w:hAnsi="Times New Roman" w:eastAsia="Times New Roman" w:cs="Times New Roman"/>
                <w:sz w:val="20"/>
                <w:szCs w:val="20"/>
              </w:rPr>
            </w:pPr>
            <w:r>
              <w:rPr>
                <w:rFonts w:ascii="Times New Roman" w:hAnsi="Times New Roman" w:eastAsia="Times New Roman" w:cs="Times New Roman"/>
                <w:spacing w:val="4"/>
                <w:position w:val="2"/>
                <w:sz w:val="20"/>
                <w:szCs w:val="20"/>
              </w:rPr>
              <w:t>200</w:t>
            </w:r>
            <w:r>
              <w:rPr>
                <w:rFonts w:ascii="Times New Roman" w:hAnsi="Times New Roman" w:eastAsia="Times New Roman" w:cs="Times New Roman"/>
                <w:position w:val="2"/>
                <w:sz w:val="20"/>
                <w:szCs w:val="20"/>
              </w:rPr>
              <w:t>t</w:t>
            </w:r>
          </w:p>
        </w:tc>
        <w:tc>
          <w:tcPr>
            <w:tcW w:w="2130" w:type="dxa"/>
            <w:tcBorders>
              <w:right w:val="nil"/>
            </w:tcBorders>
            <w:vAlign w:val="top"/>
          </w:tcPr>
          <w:p w14:paraId="0BB86C03">
            <w:pPr>
              <w:spacing w:before="55" w:line="228" w:lineRule="auto"/>
              <w:ind w:left="546"/>
              <w:rPr>
                <w:rFonts w:ascii="宋体" w:hAnsi="宋体" w:eastAsia="宋体" w:cs="宋体"/>
                <w:sz w:val="20"/>
                <w:szCs w:val="20"/>
              </w:rPr>
            </w:pPr>
            <w:r>
              <w:rPr>
                <w:rFonts w:ascii="宋体" w:hAnsi="宋体" w:eastAsia="宋体" w:cs="宋体"/>
                <w:spacing w:val="8"/>
                <w:sz w:val="20"/>
                <w:szCs w:val="20"/>
              </w:rPr>
              <w:t>无毒、可</w:t>
            </w:r>
            <w:r>
              <w:rPr>
                <w:rFonts w:ascii="宋体" w:hAnsi="宋体" w:eastAsia="宋体" w:cs="宋体"/>
                <w:spacing w:val="7"/>
                <w:sz w:val="20"/>
                <w:szCs w:val="20"/>
              </w:rPr>
              <w:t>燃</w:t>
            </w:r>
          </w:p>
        </w:tc>
      </w:tr>
    </w:tbl>
    <w:p w14:paraId="36383688">
      <w:pPr>
        <w:spacing w:before="291" w:line="397" w:lineRule="auto"/>
        <w:ind w:left="116" w:right="158" w:firstLine="480"/>
        <w:rPr>
          <w:rFonts w:ascii="宋体" w:hAnsi="宋体" w:eastAsia="宋体" w:cs="宋体"/>
          <w:sz w:val="23"/>
          <w:szCs w:val="23"/>
        </w:rPr>
      </w:pPr>
      <w:r>
        <w:rPr>
          <w:rFonts w:ascii="宋体" w:hAnsi="宋体" w:eastAsia="宋体" w:cs="宋体"/>
          <w:spacing w:val="11"/>
          <w:sz w:val="23"/>
          <w:szCs w:val="23"/>
        </w:rPr>
        <w:t>根</w:t>
      </w:r>
      <w:r>
        <w:rPr>
          <w:rFonts w:ascii="宋体" w:hAnsi="宋体" w:eastAsia="宋体" w:cs="宋体"/>
          <w:spacing w:val="8"/>
          <w:sz w:val="23"/>
          <w:szCs w:val="23"/>
        </w:rPr>
        <w:t>据危险化学品安全技术全书</w:t>
      </w:r>
      <w:r>
        <w:rPr>
          <w:rFonts w:ascii="Times New Roman" w:hAnsi="Times New Roman" w:eastAsia="Times New Roman" w:cs="Times New Roman"/>
          <w:spacing w:val="8"/>
          <w:sz w:val="23"/>
          <w:szCs w:val="23"/>
        </w:rPr>
        <w:t>(</w:t>
      </w:r>
      <w:r>
        <w:rPr>
          <w:rFonts w:ascii="Times New Roman" w:hAnsi="Times New Roman" w:eastAsia="Times New Roman" w:cs="Times New Roman"/>
          <w:sz w:val="23"/>
          <w:szCs w:val="23"/>
        </w:rPr>
        <w:t>MSDS</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，本项目主要原辅材料理化性质见表</w:t>
      </w:r>
      <w:r>
        <w:rPr>
          <w:rFonts w:ascii="宋体" w:hAnsi="宋体" w:eastAsia="宋体" w:cs="宋体"/>
          <w:sz w:val="23"/>
          <w:szCs w:val="23"/>
        </w:rPr>
        <w:t xml:space="preserve"> </w:t>
      </w:r>
      <w:r>
        <w:rPr>
          <w:rFonts w:ascii="Times New Roman" w:hAnsi="Times New Roman" w:eastAsia="Times New Roman" w:cs="Times New Roman"/>
          <w:spacing w:val="-4"/>
          <w:sz w:val="23"/>
          <w:szCs w:val="23"/>
        </w:rPr>
        <w:t>7-</w:t>
      </w:r>
      <w:r>
        <w:rPr>
          <w:rFonts w:ascii="Times New Roman" w:hAnsi="Times New Roman" w:eastAsia="Times New Roman" w:cs="Times New Roman"/>
          <w:spacing w:val="-2"/>
          <w:sz w:val="23"/>
          <w:szCs w:val="23"/>
        </w:rPr>
        <w:t>5~</w:t>
      </w:r>
      <w:r>
        <w:rPr>
          <w:rFonts w:ascii="宋体" w:hAnsi="宋体" w:eastAsia="宋体" w:cs="宋体"/>
          <w:spacing w:val="-2"/>
          <w:sz w:val="23"/>
          <w:szCs w:val="23"/>
        </w:rPr>
        <w:t xml:space="preserve">表 </w:t>
      </w:r>
      <w:r>
        <w:rPr>
          <w:rFonts w:ascii="Times New Roman" w:hAnsi="Times New Roman" w:eastAsia="Times New Roman" w:cs="Times New Roman"/>
          <w:spacing w:val="-2"/>
          <w:sz w:val="23"/>
          <w:szCs w:val="23"/>
        </w:rPr>
        <w:t>7-6</w:t>
      </w:r>
      <w:r>
        <w:rPr>
          <w:rFonts w:ascii="宋体" w:hAnsi="宋体" w:eastAsia="宋体" w:cs="宋体"/>
          <w:spacing w:val="-2"/>
          <w:sz w:val="23"/>
          <w:szCs w:val="23"/>
        </w:rPr>
        <w:t>：</w:t>
      </w:r>
    </w:p>
    <w:p w14:paraId="0846E63C">
      <w:pPr>
        <w:spacing w:before="171" w:line="227" w:lineRule="auto"/>
        <w:ind w:left="2398"/>
        <w:rPr>
          <w:rFonts w:ascii="宋体" w:hAnsi="宋体" w:eastAsia="宋体" w:cs="宋体"/>
          <w:sz w:val="23"/>
          <w:szCs w:val="23"/>
        </w:rPr>
      </w:pPr>
      <w:r>
        <w:rPr>
          <w:rFonts w:ascii="宋体" w:hAnsi="宋体" w:eastAsia="宋体" w:cs="宋体"/>
          <w:spacing w:val="6"/>
          <w:sz w:val="23"/>
          <w:szCs w:val="23"/>
          <w14:textOutline w14:w="4358" w14:cap="sq" w14:cmpd="sng">
            <w14:solidFill>
              <w14:srgbClr w14:val="000000"/>
            </w14:solidFill>
            <w14:prstDash w14:val="solid"/>
            <w14:bevel/>
          </w14:textOutline>
        </w:rPr>
        <w:t>表</w:t>
      </w:r>
      <w:r>
        <w:rPr>
          <w:rFonts w:ascii="宋体" w:hAnsi="宋体" w:eastAsia="宋体" w:cs="宋体"/>
          <w:spacing w:val="4"/>
          <w:sz w:val="23"/>
          <w:szCs w:val="23"/>
        </w:rPr>
        <w:t xml:space="preserve"> </w:t>
      </w:r>
      <w:r>
        <w:rPr>
          <w:rFonts w:ascii="Times New Roman" w:hAnsi="Times New Roman" w:eastAsia="Times New Roman" w:cs="Times New Roman"/>
          <w:b/>
          <w:bCs/>
          <w:spacing w:val="4"/>
          <w:sz w:val="23"/>
          <w:szCs w:val="23"/>
        </w:rPr>
        <w:t>7-5</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聚乙烯理化性质及危险性</w:t>
      </w:r>
    </w:p>
    <w:p w14:paraId="5F53B17A">
      <w:pPr>
        <w:spacing w:line="19"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0"/>
        <w:gridCol w:w="3315"/>
        <w:gridCol w:w="4317"/>
      </w:tblGrid>
      <w:tr w14:paraId="61BDF2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3" w:hRule="atLeast"/>
        </w:trPr>
        <w:tc>
          <w:tcPr>
            <w:tcW w:w="890" w:type="dxa"/>
            <w:vMerge w:val="restart"/>
            <w:tcBorders>
              <w:left w:val="nil"/>
              <w:bottom w:val="nil"/>
            </w:tcBorders>
            <w:vAlign w:val="top"/>
          </w:tcPr>
          <w:p w14:paraId="50057EA6">
            <w:pPr>
              <w:spacing w:before="209" w:line="228" w:lineRule="auto"/>
              <w:ind w:left="244"/>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标</w:t>
            </w:r>
            <w:r>
              <w:rPr>
                <w:rFonts w:ascii="宋体" w:hAnsi="宋体" w:eastAsia="宋体" w:cs="宋体"/>
                <w:spacing w:val="5"/>
                <w:sz w:val="20"/>
                <w:szCs w:val="20"/>
                <w14:textOutline w14:w="3795" w14:cap="sq" w14:cmpd="sng">
                  <w14:solidFill>
                    <w14:srgbClr w14:val="000000"/>
                  </w14:solidFill>
                  <w14:prstDash w14:val="solid"/>
                  <w14:bevel/>
                </w14:textOutline>
              </w:rPr>
              <w:t>识</w:t>
            </w:r>
          </w:p>
        </w:tc>
        <w:tc>
          <w:tcPr>
            <w:tcW w:w="3315" w:type="dxa"/>
            <w:vAlign w:val="top"/>
          </w:tcPr>
          <w:p w14:paraId="41BDDA34">
            <w:pPr>
              <w:spacing w:before="62" w:line="228" w:lineRule="auto"/>
              <w:ind w:left="47"/>
              <w:rPr>
                <w:rFonts w:ascii="宋体" w:hAnsi="宋体" w:eastAsia="宋体" w:cs="宋体"/>
                <w:sz w:val="20"/>
                <w:szCs w:val="20"/>
              </w:rPr>
            </w:pPr>
            <w:r>
              <w:rPr>
                <w:rFonts w:ascii="宋体" w:hAnsi="宋体" w:eastAsia="宋体" w:cs="宋体"/>
                <w:spacing w:val="6"/>
                <w:sz w:val="20"/>
                <w:szCs w:val="20"/>
              </w:rPr>
              <w:t>中文名：聚乙</w:t>
            </w:r>
            <w:r>
              <w:rPr>
                <w:rFonts w:ascii="宋体" w:hAnsi="宋体" w:eastAsia="宋体" w:cs="宋体"/>
                <w:spacing w:val="5"/>
                <w:sz w:val="20"/>
                <w:szCs w:val="20"/>
              </w:rPr>
              <w:t>烯</w:t>
            </w:r>
          </w:p>
        </w:tc>
        <w:tc>
          <w:tcPr>
            <w:tcW w:w="4317" w:type="dxa"/>
            <w:tcBorders>
              <w:right w:val="nil"/>
            </w:tcBorders>
            <w:vAlign w:val="top"/>
          </w:tcPr>
          <w:p w14:paraId="26096CDE">
            <w:pPr>
              <w:spacing w:before="24" w:line="281" w:lineRule="exact"/>
              <w:ind w:left="31"/>
              <w:rPr>
                <w:rFonts w:ascii="Times New Roman" w:hAnsi="Times New Roman" w:eastAsia="Times New Roman" w:cs="Times New Roman"/>
                <w:sz w:val="20"/>
                <w:szCs w:val="20"/>
              </w:rPr>
            </w:pPr>
            <w:r>
              <w:rPr>
                <w:rFonts w:ascii="宋体" w:hAnsi="宋体" w:eastAsia="宋体" w:cs="宋体"/>
                <w:spacing w:val="8"/>
                <w:position w:val="2"/>
                <w:sz w:val="20"/>
                <w:szCs w:val="20"/>
              </w:rPr>
              <w:t>分子式：</w:t>
            </w:r>
            <w:r>
              <w:rPr>
                <w:rFonts w:ascii="Times New Roman" w:hAnsi="Times New Roman" w:eastAsia="Times New Roman" w:cs="Times New Roman"/>
                <w:spacing w:val="8"/>
                <w:position w:val="2"/>
                <w:sz w:val="20"/>
                <w:szCs w:val="20"/>
              </w:rPr>
              <w:t>[</w:t>
            </w:r>
            <w:r>
              <w:rPr>
                <w:rFonts w:ascii="Times New Roman" w:hAnsi="Times New Roman" w:eastAsia="Times New Roman" w:cs="Times New Roman"/>
                <w:position w:val="2"/>
                <w:sz w:val="20"/>
                <w:szCs w:val="20"/>
              </w:rPr>
              <w:t>C</w:t>
            </w:r>
            <w:r>
              <w:rPr>
                <w:rFonts w:ascii="Times New Roman" w:hAnsi="Times New Roman" w:eastAsia="Times New Roman" w:cs="Times New Roman"/>
                <w:spacing w:val="8"/>
                <w:position w:val="2"/>
                <w:sz w:val="20"/>
                <w:szCs w:val="20"/>
              </w:rPr>
              <w:t>2</w:t>
            </w:r>
            <w:r>
              <w:rPr>
                <w:rFonts w:ascii="Times New Roman" w:hAnsi="Times New Roman" w:eastAsia="Times New Roman" w:cs="Times New Roman"/>
                <w:position w:val="2"/>
                <w:sz w:val="20"/>
                <w:szCs w:val="20"/>
              </w:rPr>
              <w:t>H</w:t>
            </w:r>
            <w:r>
              <w:rPr>
                <w:rFonts w:ascii="Times New Roman" w:hAnsi="Times New Roman" w:eastAsia="Times New Roman" w:cs="Times New Roman"/>
                <w:spacing w:val="8"/>
                <w:position w:val="2"/>
                <w:sz w:val="20"/>
                <w:szCs w:val="20"/>
              </w:rPr>
              <w:t>4</w:t>
            </w:r>
            <w:r>
              <w:rPr>
                <w:rFonts w:ascii="Times New Roman" w:hAnsi="Times New Roman" w:eastAsia="Times New Roman" w:cs="Times New Roman"/>
                <w:spacing w:val="7"/>
                <w:position w:val="2"/>
                <w:sz w:val="20"/>
                <w:szCs w:val="20"/>
              </w:rPr>
              <w:t>]</w:t>
            </w:r>
            <w:r>
              <w:rPr>
                <w:rFonts w:ascii="Times New Roman" w:hAnsi="Times New Roman" w:eastAsia="Times New Roman" w:cs="Times New Roman"/>
                <w:position w:val="2"/>
                <w:sz w:val="20"/>
                <w:szCs w:val="20"/>
              </w:rPr>
              <w:t>n</w:t>
            </w:r>
          </w:p>
        </w:tc>
      </w:tr>
      <w:tr w14:paraId="349676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90" w:type="dxa"/>
            <w:vMerge w:val="continue"/>
            <w:tcBorders>
              <w:top w:val="nil"/>
              <w:left w:val="nil"/>
            </w:tcBorders>
            <w:vAlign w:val="top"/>
          </w:tcPr>
          <w:p w14:paraId="0C3ED4B2">
            <w:pPr>
              <w:rPr>
                <w:rFonts w:ascii="Arial"/>
                <w:sz w:val="21"/>
              </w:rPr>
            </w:pPr>
          </w:p>
        </w:tc>
        <w:tc>
          <w:tcPr>
            <w:tcW w:w="3315" w:type="dxa"/>
            <w:vAlign w:val="top"/>
          </w:tcPr>
          <w:p w14:paraId="296CFD05">
            <w:pPr>
              <w:spacing w:before="37" w:line="228" w:lineRule="auto"/>
              <w:ind w:left="30"/>
              <w:rPr>
                <w:rFonts w:ascii="Times New Roman" w:hAnsi="Times New Roman" w:eastAsia="Times New Roman" w:cs="Times New Roman"/>
                <w:sz w:val="20"/>
                <w:szCs w:val="20"/>
              </w:rPr>
            </w:pPr>
            <w:r>
              <w:rPr>
                <w:rFonts w:ascii="宋体" w:hAnsi="宋体" w:eastAsia="宋体" w:cs="宋体"/>
                <w:spacing w:val="9"/>
                <w:sz w:val="20"/>
                <w:szCs w:val="20"/>
              </w:rPr>
              <w:t>分</w:t>
            </w:r>
            <w:r>
              <w:rPr>
                <w:rFonts w:ascii="宋体" w:hAnsi="宋体" w:eastAsia="宋体" w:cs="宋体"/>
                <w:spacing w:val="7"/>
                <w:sz w:val="20"/>
                <w:szCs w:val="20"/>
              </w:rPr>
              <w:t>子量：</w:t>
            </w:r>
            <w:r>
              <w:rPr>
                <w:rFonts w:ascii="Times New Roman" w:hAnsi="Times New Roman" w:eastAsia="Times New Roman" w:cs="Times New Roman"/>
                <w:spacing w:val="7"/>
                <w:sz w:val="20"/>
                <w:szCs w:val="20"/>
              </w:rPr>
              <w:t>-</w:t>
            </w:r>
          </w:p>
        </w:tc>
        <w:tc>
          <w:tcPr>
            <w:tcW w:w="4317" w:type="dxa"/>
            <w:tcBorders>
              <w:right w:val="nil"/>
            </w:tcBorders>
            <w:vAlign w:val="top"/>
          </w:tcPr>
          <w:p w14:paraId="1D589638">
            <w:pPr>
              <w:spacing w:before="37" w:line="229" w:lineRule="auto"/>
              <w:ind w:left="28"/>
              <w:rPr>
                <w:rFonts w:ascii="Times New Roman" w:hAnsi="Times New Roman" w:eastAsia="Times New Roman" w:cs="Times New Roman"/>
                <w:sz w:val="20"/>
                <w:szCs w:val="20"/>
              </w:rPr>
            </w:pPr>
            <w:r>
              <w:rPr>
                <w:rFonts w:ascii="Times New Roman" w:hAnsi="Times New Roman" w:eastAsia="Times New Roman" w:cs="Times New Roman"/>
                <w:sz w:val="20"/>
                <w:szCs w:val="20"/>
              </w:rPr>
              <w:t>CAS</w:t>
            </w:r>
            <w:r>
              <w:rPr>
                <w:rFonts w:ascii="Times New Roman" w:hAnsi="Times New Roman" w:eastAsia="Times New Roman" w:cs="Times New Roman"/>
                <w:spacing w:val="7"/>
                <w:sz w:val="20"/>
                <w:szCs w:val="20"/>
              </w:rPr>
              <w:t xml:space="preserve"> </w:t>
            </w:r>
            <w:r>
              <w:rPr>
                <w:rFonts w:ascii="宋体" w:hAnsi="宋体" w:eastAsia="宋体" w:cs="宋体"/>
                <w:spacing w:val="6"/>
                <w:sz w:val="20"/>
                <w:szCs w:val="20"/>
              </w:rPr>
              <w:t>号：</w:t>
            </w:r>
            <w:r>
              <w:rPr>
                <w:rFonts w:ascii="Times New Roman" w:hAnsi="Times New Roman" w:eastAsia="Times New Roman" w:cs="Times New Roman"/>
                <w:spacing w:val="6"/>
                <w:sz w:val="20"/>
                <w:szCs w:val="20"/>
              </w:rPr>
              <w:t>9002-88-4</w:t>
            </w:r>
          </w:p>
        </w:tc>
      </w:tr>
      <w:tr w14:paraId="36F39D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890" w:type="dxa"/>
            <w:vMerge w:val="restart"/>
            <w:tcBorders>
              <w:left w:val="nil"/>
              <w:bottom w:val="nil"/>
            </w:tcBorders>
            <w:vAlign w:val="top"/>
          </w:tcPr>
          <w:p w14:paraId="23A2B3EC">
            <w:pPr>
              <w:spacing w:line="272" w:lineRule="auto"/>
              <w:rPr>
                <w:rFonts w:ascii="Arial"/>
                <w:sz w:val="21"/>
              </w:rPr>
            </w:pPr>
          </w:p>
          <w:p w14:paraId="56BC6E33">
            <w:pPr>
              <w:spacing w:line="273" w:lineRule="auto"/>
              <w:rPr>
                <w:rFonts w:ascii="Arial"/>
                <w:sz w:val="21"/>
              </w:rPr>
            </w:pPr>
          </w:p>
          <w:p w14:paraId="1118935A">
            <w:pPr>
              <w:spacing w:before="65" w:line="228" w:lineRule="auto"/>
              <w:ind w:left="34"/>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理化性</w:t>
            </w:r>
            <w:r>
              <w:rPr>
                <w:rFonts w:ascii="宋体" w:hAnsi="宋体" w:eastAsia="宋体" w:cs="宋体"/>
                <w:spacing w:val="7"/>
                <w:sz w:val="20"/>
                <w:szCs w:val="20"/>
                <w14:textOutline w14:w="3795" w14:cap="sq" w14:cmpd="sng">
                  <w14:solidFill>
                    <w14:srgbClr w14:val="000000"/>
                  </w14:solidFill>
                  <w14:prstDash w14:val="solid"/>
                  <w14:bevel/>
                </w14:textOutline>
              </w:rPr>
              <w:t>质</w:t>
            </w:r>
          </w:p>
        </w:tc>
        <w:tc>
          <w:tcPr>
            <w:tcW w:w="7632" w:type="dxa"/>
            <w:gridSpan w:val="2"/>
            <w:tcBorders>
              <w:right w:val="nil"/>
            </w:tcBorders>
            <w:vAlign w:val="top"/>
          </w:tcPr>
          <w:p w14:paraId="090A4399">
            <w:pPr>
              <w:spacing w:before="37" w:line="228" w:lineRule="auto"/>
              <w:ind w:left="30"/>
              <w:rPr>
                <w:rFonts w:ascii="宋体" w:hAnsi="宋体" w:eastAsia="宋体" w:cs="宋体"/>
                <w:sz w:val="20"/>
                <w:szCs w:val="20"/>
              </w:rPr>
            </w:pPr>
            <w:r>
              <w:rPr>
                <w:rFonts w:ascii="宋体" w:hAnsi="宋体" w:eastAsia="宋体" w:cs="宋体"/>
                <w:spacing w:val="8"/>
                <w:sz w:val="20"/>
                <w:szCs w:val="20"/>
              </w:rPr>
              <w:t>性状：</w:t>
            </w:r>
            <w:r>
              <w:rPr>
                <w:rFonts w:ascii="宋体" w:hAnsi="宋体" w:eastAsia="宋体" w:cs="宋体"/>
                <w:spacing w:val="5"/>
                <w:sz w:val="20"/>
                <w:szCs w:val="20"/>
              </w:rPr>
              <w:t>有</w:t>
            </w:r>
            <w:r>
              <w:rPr>
                <w:rFonts w:ascii="宋体" w:hAnsi="宋体" w:eastAsia="宋体" w:cs="宋体"/>
                <w:spacing w:val="4"/>
                <w:sz w:val="20"/>
                <w:szCs w:val="20"/>
              </w:rPr>
              <w:t>韧性的树脂质颗粒或粉末， 白色，有蜡味。</w:t>
            </w:r>
          </w:p>
        </w:tc>
      </w:tr>
      <w:tr w14:paraId="29E002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90" w:type="dxa"/>
            <w:vMerge w:val="continue"/>
            <w:tcBorders>
              <w:top w:val="nil"/>
              <w:left w:val="nil"/>
              <w:bottom w:val="nil"/>
            </w:tcBorders>
            <w:vAlign w:val="top"/>
          </w:tcPr>
          <w:p w14:paraId="039B3281">
            <w:pPr>
              <w:rPr>
                <w:rFonts w:ascii="Arial"/>
                <w:sz w:val="21"/>
              </w:rPr>
            </w:pPr>
          </w:p>
        </w:tc>
        <w:tc>
          <w:tcPr>
            <w:tcW w:w="3315" w:type="dxa"/>
            <w:vAlign w:val="top"/>
          </w:tcPr>
          <w:p w14:paraId="11A7671E">
            <w:pPr>
              <w:spacing w:before="135" w:line="281" w:lineRule="exact"/>
              <w:ind w:left="28"/>
              <w:rPr>
                <w:rFonts w:ascii="Times New Roman" w:hAnsi="Times New Roman" w:eastAsia="Times New Roman" w:cs="Times New Roman"/>
                <w:sz w:val="20"/>
                <w:szCs w:val="20"/>
              </w:rPr>
            </w:pPr>
            <w:r>
              <w:rPr>
                <w:rFonts w:ascii="宋体" w:hAnsi="宋体" w:eastAsia="宋体" w:cs="宋体"/>
                <w:spacing w:val="2"/>
                <w:position w:val="1"/>
                <w:sz w:val="20"/>
                <w:szCs w:val="20"/>
              </w:rPr>
              <w:t>熔点</w:t>
            </w:r>
            <w:r>
              <w:rPr>
                <w:rFonts w:ascii="Times New Roman" w:hAnsi="Times New Roman" w:eastAsia="Times New Roman" w:cs="Times New Roman"/>
                <w:spacing w:val="1"/>
                <w:position w:val="1"/>
                <w:sz w:val="20"/>
                <w:szCs w:val="20"/>
              </w:rPr>
              <w:t>℃</w:t>
            </w: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130- 145</w:t>
            </w:r>
          </w:p>
        </w:tc>
        <w:tc>
          <w:tcPr>
            <w:tcW w:w="4317" w:type="dxa"/>
            <w:tcBorders>
              <w:right w:val="nil"/>
            </w:tcBorders>
            <w:vAlign w:val="top"/>
          </w:tcPr>
          <w:p w14:paraId="34BD64D8">
            <w:pPr>
              <w:spacing w:before="37" w:line="239" w:lineRule="auto"/>
              <w:ind w:left="31" w:right="58"/>
              <w:rPr>
                <w:rFonts w:ascii="宋体" w:hAnsi="宋体" w:eastAsia="宋体" w:cs="宋体"/>
                <w:sz w:val="20"/>
                <w:szCs w:val="20"/>
              </w:rPr>
            </w:pPr>
            <w:r>
              <w:rPr>
                <w:rFonts w:ascii="宋体" w:hAnsi="宋体" w:eastAsia="宋体" w:cs="宋体"/>
                <w:spacing w:val="15"/>
                <w:sz w:val="20"/>
                <w:szCs w:val="20"/>
              </w:rPr>
              <w:t>溶</w:t>
            </w:r>
            <w:r>
              <w:rPr>
                <w:rFonts w:ascii="宋体" w:hAnsi="宋体" w:eastAsia="宋体" w:cs="宋体"/>
                <w:spacing w:val="11"/>
                <w:sz w:val="20"/>
                <w:szCs w:val="20"/>
              </w:rPr>
              <w:t>解性：与水混溶，溶于甲醇、乙醇、乙醚、</w:t>
            </w:r>
            <w:r>
              <w:rPr>
                <w:rFonts w:ascii="宋体" w:hAnsi="宋体" w:eastAsia="宋体" w:cs="宋体"/>
                <w:sz w:val="20"/>
                <w:szCs w:val="20"/>
              </w:rPr>
              <w:t xml:space="preserve"> </w:t>
            </w:r>
            <w:r>
              <w:rPr>
                <w:rFonts w:ascii="宋体" w:hAnsi="宋体" w:eastAsia="宋体" w:cs="宋体"/>
                <w:spacing w:val="9"/>
                <w:sz w:val="20"/>
                <w:szCs w:val="20"/>
              </w:rPr>
              <w:t>苯</w:t>
            </w:r>
            <w:r>
              <w:rPr>
                <w:rFonts w:ascii="宋体" w:hAnsi="宋体" w:eastAsia="宋体" w:cs="宋体"/>
                <w:spacing w:val="7"/>
                <w:sz w:val="20"/>
                <w:szCs w:val="20"/>
              </w:rPr>
              <w:t>，不溶于烃类。</w:t>
            </w:r>
          </w:p>
        </w:tc>
      </w:tr>
      <w:tr w14:paraId="46FDFD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890" w:type="dxa"/>
            <w:vMerge w:val="continue"/>
            <w:tcBorders>
              <w:top w:val="nil"/>
              <w:left w:val="nil"/>
              <w:bottom w:val="nil"/>
            </w:tcBorders>
            <w:vAlign w:val="top"/>
          </w:tcPr>
          <w:p w14:paraId="4B21D91F">
            <w:pPr>
              <w:rPr>
                <w:rFonts w:ascii="Arial"/>
                <w:sz w:val="21"/>
              </w:rPr>
            </w:pPr>
          </w:p>
        </w:tc>
        <w:tc>
          <w:tcPr>
            <w:tcW w:w="3315" w:type="dxa"/>
            <w:vAlign w:val="top"/>
          </w:tcPr>
          <w:p w14:paraId="13BEE362">
            <w:pPr>
              <w:spacing w:before="1" w:line="266" w:lineRule="exact"/>
              <w:ind w:left="26"/>
              <w:rPr>
                <w:rFonts w:ascii="宋体" w:hAnsi="宋体" w:eastAsia="宋体" w:cs="宋体"/>
                <w:sz w:val="19"/>
                <w:szCs w:val="19"/>
              </w:rPr>
            </w:pPr>
            <w:r>
              <w:rPr>
                <w:rFonts w:ascii="宋体" w:hAnsi="宋体" w:eastAsia="宋体" w:cs="宋体"/>
                <w:spacing w:val="17"/>
                <w:position w:val="1"/>
                <w:sz w:val="19"/>
                <w:szCs w:val="19"/>
              </w:rPr>
              <w:t>饱</w:t>
            </w:r>
            <w:r>
              <w:rPr>
                <w:rFonts w:ascii="宋体" w:hAnsi="宋体" w:eastAsia="宋体" w:cs="宋体"/>
                <w:spacing w:val="13"/>
                <w:position w:val="1"/>
                <w:sz w:val="19"/>
                <w:szCs w:val="19"/>
              </w:rPr>
              <w:t>和蒸汽压</w:t>
            </w:r>
            <w:r>
              <w:rPr>
                <w:rFonts w:ascii="Times New Roman" w:hAnsi="Times New Roman" w:eastAsia="Times New Roman" w:cs="Times New Roman"/>
                <w:spacing w:val="13"/>
                <w:position w:val="1"/>
                <w:sz w:val="19"/>
                <w:szCs w:val="19"/>
              </w:rPr>
              <w:t>/</w:t>
            </w:r>
            <w:r>
              <w:rPr>
                <w:rFonts w:ascii="Times New Roman" w:hAnsi="Times New Roman" w:eastAsia="Times New Roman" w:cs="Times New Roman"/>
                <w:position w:val="1"/>
                <w:sz w:val="19"/>
                <w:szCs w:val="19"/>
              </w:rPr>
              <w:t>kPa</w:t>
            </w:r>
            <w:r>
              <w:rPr>
                <w:rFonts w:ascii="宋体" w:hAnsi="宋体" w:eastAsia="宋体" w:cs="宋体"/>
                <w:spacing w:val="13"/>
                <w:position w:val="1"/>
                <w:sz w:val="19"/>
                <w:szCs w:val="19"/>
              </w:rPr>
              <w:t>：</w:t>
            </w:r>
            <w:r>
              <w:rPr>
                <w:rFonts w:ascii="Times New Roman" w:hAnsi="Times New Roman" w:eastAsia="Times New Roman" w:cs="Times New Roman"/>
                <w:spacing w:val="13"/>
                <w:position w:val="1"/>
                <w:sz w:val="19"/>
                <w:szCs w:val="19"/>
              </w:rPr>
              <w:t xml:space="preserve">30 66  </w:t>
            </w:r>
            <w:r>
              <w:rPr>
                <w:rFonts w:ascii="宋体" w:hAnsi="宋体" w:eastAsia="宋体" w:cs="宋体"/>
                <w:spacing w:val="13"/>
                <w:position w:val="1"/>
                <w:sz w:val="19"/>
                <w:szCs w:val="19"/>
              </w:rPr>
              <w:t>(</w:t>
            </w:r>
            <w:r>
              <w:rPr>
                <w:rFonts w:ascii="Times New Roman" w:hAnsi="Times New Roman" w:eastAsia="Times New Roman" w:cs="Times New Roman"/>
                <w:spacing w:val="13"/>
                <w:position w:val="1"/>
                <w:sz w:val="19"/>
                <w:szCs w:val="19"/>
              </w:rPr>
              <w:t>21℃</w:t>
            </w:r>
            <w:r>
              <w:rPr>
                <w:rFonts w:ascii="宋体" w:hAnsi="宋体" w:eastAsia="宋体" w:cs="宋体"/>
                <w:spacing w:val="13"/>
                <w:position w:val="1"/>
                <w:sz w:val="19"/>
                <w:szCs w:val="19"/>
              </w:rPr>
              <w:t>)</w:t>
            </w:r>
          </w:p>
        </w:tc>
        <w:tc>
          <w:tcPr>
            <w:tcW w:w="4317" w:type="dxa"/>
            <w:tcBorders>
              <w:right w:val="nil"/>
            </w:tcBorders>
            <w:vAlign w:val="top"/>
          </w:tcPr>
          <w:p w14:paraId="745A4B30">
            <w:pPr>
              <w:spacing w:before="1" w:line="266" w:lineRule="exact"/>
              <w:ind w:left="29"/>
              <w:rPr>
                <w:rFonts w:ascii="Times New Roman" w:hAnsi="Times New Roman" w:eastAsia="Times New Roman" w:cs="Times New Roman"/>
                <w:sz w:val="19"/>
                <w:szCs w:val="19"/>
              </w:rPr>
            </w:pPr>
            <w:r>
              <w:rPr>
                <w:rFonts w:ascii="宋体" w:hAnsi="宋体" w:eastAsia="宋体" w:cs="宋体"/>
                <w:spacing w:val="13"/>
                <w:position w:val="1"/>
                <w:sz w:val="19"/>
                <w:szCs w:val="19"/>
              </w:rPr>
              <w:t>相对密度 (水</w:t>
            </w:r>
            <w:r>
              <w:rPr>
                <w:rFonts w:ascii="Times New Roman" w:hAnsi="Times New Roman" w:eastAsia="Times New Roman" w:cs="Times New Roman"/>
                <w:spacing w:val="13"/>
                <w:position w:val="1"/>
                <w:sz w:val="19"/>
                <w:szCs w:val="19"/>
              </w:rPr>
              <w:t>=1</w:t>
            </w:r>
            <w:r>
              <w:rPr>
                <w:rFonts w:ascii="宋体" w:hAnsi="宋体" w:eastAsia="宋体" w:cs="宋体"/>
                <w:spacing w:val="13"/>
                <w:position w:val="1"/>
                <w:sz w:val="19"/>
                <w:szCs w:val="19"/>
              </w:rPr>
              <w:t>) ：</w:t>
            </w:r>
            <w:r>
              <w:rPr>
                <w:rFonts w:ascii="Times New Roman" w:hAnsi="Times New Roman" w:eastAsia="Times New Roman" w:cs="Times New Roman"/>
                <w:spacing w:val="13"/>
                <w:position w:val="1"/>
                <w:sz w:val="19"/>
                <w:szCs w:val="19"/>
              </w:rPr>
              <w:t>0 9</w:t>
            </w:r>
            <w:r>
              <w:rPr>
                <w:rFonts w:ascii="Times New Roman" w:hAnsi="Times New Roman" w:eastAsia="Times New Roman" w:cs="Times New Roman"/>
                <w:spacing w:val="11"/>
                <w:position w:val="1"/>
                <w:sz w:val="19"/>
                <w:szCs w:val="19"/>
              </w:rPr>
              <w:t>2</w:t>
            </w:r>
          </w:p>
        </w:tc>
      </w:tr>
      <w:tr w14:paraId="534027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890" w:type="dxa"/>
            <w:vMerge w:val="continue"/>
            <w:tcBorders>
              <w:top w:val="nil"/>
              <w:left w:val="nil"/>
            </w:tcBorders>
            <w:vAlign w:val="top"/>
          </w:tcPr>
          <w:p w14:paraId="37F4510A">
            <w:pPr>
              <w:rPr>
                <w:rFonts w:ascii="Arial"/>
                <w:sz w:val="21"/>
              </w:rPr>
            </w:pPr>
          </w:p>
        </w:tc>
        <w:tc>
          <w:tcPr>
            <w:tcW w:w="3315" w:type="dxa"/>
            <w:vAlign w:val="top"/>
          </w:tcPr>
          <w:p w14:paraId="626E409C">
            <w:pPr>
              <w:spacing w:before="60" w:line="228" w:lineRule="auto"/>
              <w:ind w:left="27"/>
              <w:rPr>
                <w:rFonts w:ascii="宋体" w:hAnsi="宋体" w:eastAsia="宋体" w:cs="宋体"/>
                <w:sz w:val="20"/>
                <w:szCs w:val="20"/>
              </w:rPr>
            </w:pPr>
            <w:r>
              <w:rPr>
                <w:rFonts w:ascii="宋体" w:hAnsi="宋体" w:eastAsia="宋体" w:cs="宋体"/>
                <w:spacing w:val="13"/>
                <w:sz w:val="20"/>
                <w:szCs w:val="20"/>
              </w:rPr>
              <w:t>禁</w:t>
            </w:r>
            <w:r>
              <w:rPr>
                <w:rFonts w:ascii="宋体" w:hAnsi="宋体" w:eastAsia="宋体" w:cs="宋体"/>
                <w:spacing w:val="8"/>
                <w:sz w:val="20"/>
                <w:szCs w:val="20"/>
              </w:rPr>
              <w:t>忌物：强氧化剂</w:t>
            </w:r>
          </w:p>
        </w:tc>
        <w:tc>
          <w:tcPr>
            <w:tcW w:w="4317" w:type="dxa"/>
            <w:tcBorders>
              <w:right w:val="nil"/>
            </w:tcBorders>
            <w:vAlign w:val="top"/>
          </w:tcPr>
          <w:p w14:paraId="5941C129">
            <w:pPr>
              <w:spacing w:before="23" w:line="281" w:lineRule="exact"/>
              <w:ind w:left="44"/>
              <w:rPr>
                <w:rFonts w:ascii="Times New Roman" w:hAnsi="Times New Roman" w:eastAsia="Times New Roman" w:cs="Times New Roman"/>
                <w:sz w:val="20"/>
                <w:szCs w:val="20"/>
              </w:rPr>
            </w:pPr>
            <w:r>
              <w:rPr>
                <w:rFonts w:ascii="宋体" w:hAnsi="宋体" w:eastAsia="宋体" w:cs="宋体"/>
                <w:spacing w:val="6"/>
                <w:position w:val="2"/>
                <w:sz w:val="20"/>
                <w:szCs w:val="20"/>
              </w:rPr>
              <w:t>引燃温度</w:t>
            </w:r>
            <w:r>
              <w:rPr>
                <w:rFonts w:ascii="Times New Roman" w:hAnsi="Times New Roman" w:eastAsia="Times New Roman" w:cs="Times New Roman"/>
                <w:spacing w:val="6"/>
                <w:position w:val="2"/>
                <w:sz w:val="20"/>
                <w:szCs w:val="20"/>
              </w:rPr>
              <w:t>℃</w:t>
            </w:r>
            <w:r>
              <w:rPr>
                <w:rFonts w:ascii="宋体" w:hAnsi="宋体" w:eastAsia="宋体" w:cs="宋体"/>
                <w:spacing w:val="6"/>
                <w:position w:val="2"/>
                <w:sz w:val="20"/>
                <w:szCs w:val="20"/>
              </w:rPr>
              <w:t>：</w:t>
            </w:r>
            <w:r>
              <w:rPr>
                <w:rFonts w:ascii="Times New Roman" w:hAnsi="Times New Roman" w:eastAsia="Times New Roman" w:cs="Times New Roman"/>
                <w:spacing w:val="6"/>
                <w:position w:val="2"/>
                <w:sz w:val="20"/>
                <w:szCs w:val="20"/>
              </w:rPr>
              <w:t>510(</w:t>
            </w:r>
            <w:r>
              <w:rPr>
                <w:rFonts w:ascii="宋体" w:hAnsi="宋体" w:eastAsia="宋体" w:cs="宋体"/>
                <w:spacing w:val="6"/>
                <w:position w:val="2"/>
                <w:sz w:val="20"/>
                <w:szCs w:val="20"/>
              </w:rPr>
              <w:t>粉云</w:t>
            </w:r>
            <w:r>
              <w:rPr>
                <w:rFonts w:ascii="Times New Roman" w:hAnsi="Times New Roman" w:eastAsia="Times New Roman" w:cs="Times New Roman"/>
                <w:spacing w:val="4"/>
                <w:position w:val="2"/>
                <w:sz w:val="20"/>
                <w:szCs w:val="20"/>
              </w:rPr>
              <w:t>)</w:t>
            </w:r>
          </w:p>
        </w:tc>
      </w:tr>
      <w:tr w14:paraId="755C4C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90" w:type="dxa"/>
            <w:vMerge w:val="restart"/>
            <w:tcBorders>
              <w:left w:val="nil"/>
              <w:bottom w:val="nil"/>
            </w:tcBorders>
            <w:vAlign w:val="top"/>
          </w:tcPr>
          <w:p w14:paraId="70F75055">
            <w:pPr>
              <w:spacing w:line="403" w:lineRule="auto"/>
              <w:rPr>
                <w:rFonts w:ascii="Arial"/>
                <w:sz w:val="21"/>
              </w:rPr>
            </w:pPr>
          </w:p>
          <w:p w14:paraId="6ECCC686">
            <w:pPr>
              <w:spacing w:before="65" w:line="267" w:lineRule="auto"/>
              <w:ind w:left="139" w:right="20" w:hanging="107"/>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燃</w:t>
            </w:r>
            <w:r>
              <w:rPr>
                <w:rFonts w:ascii="宋体" w:hAnsi="宋体" w:eastAsia="宋体" w:cs="宋体"/>
                <w:spacing w:val="8"/>
                <w:sz w:val="20"/>
                <w:szCs w:val="20"/>
                <w14:textOutline w14:w="3795" w14:cap="sq" w14:cmpd="sng">
                  <w14:solidFill>
                    <w14:srgbClr w14:val="000000"/>
                  </w14:solidFill>
                  <w14:prstDash w14:val="solid"/>
                  <w14:bevel/>
                </w14:textOutline>
              </w:rPr>
              <w:t>烧爆炸</w:t>
            </w:r>
            <w:r>
              <w:rPr>
                <w:rFonts w:ascii="宋体" w:hAnsi="宋体" w:eastAsia="宋体" w:cs="宋体"/>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危险</w:t>
            </w:r>
            <w:r>
              <w:rPr>
                <w:rFonts w:ascii="宋体" w:hAnsi="宋体" w:eastAsia="宋体" w:cs="宋体"/>
                <w:spacing w:val="6"/>
                <w:sz w:val="20"/>
                <w:szCs w:val="20"/>
                <w14:textOutline w14:w="3795" w14:cap="sq" w14:cmpd="sng">
                  <w14:solidFill>
                    <w14:srgbClr w14:val="000000"/>
                  </w14:solidFill>
                  <w14:prstDash w14:val="solid"/>
                  <w14:bevel/>
                </w14:textOutline>
              </w:rPr>
              <w:t>性</w:t>
            </w:r>
          </w:p>
        </w:tc>
        <w:tc>
          <w:tcPr>
            <w:tcW w:w="3315" w:type="dxa"/>
            <w:vAlign w:val="top"/>
          </w:tcPr>
          <w:p w14:paraId="256F912A">
            <w:pPr>
              <w:spacing w:before="39" w:line="227" w:lineRule="auto"/>
              <w:ind w:left="28"/>
              <w:rPr>
                <w:rFonts w:ascii="宋体" w:hAnsi="宋体" w:eastAsia="宋体" w:cs="宋体"/>
                <w:sz w:val="20"/>
                <w:szCs w:val="20"/>
              </w:rPr>
            </w:pPr>
            <w:r>
              <w:rPr>
                <w:rFonts w:ascii="宋体" w:hAnsi="宋体" w:eastAsia="宋体" w:cs="宋体"/>
                <w:spacing w:val="8"/>
                <w:sz w:val="20"/>
                <w:szCs w:val="20"/>
              </w:rPr>
              <w:t>燃烧性：可燃</w:t>
            </w:r>
          </w:p>
        </w:tc>
        <w:tc>
          <w:tcPr>
            <w:tcW w:w="4317" w:type="dxa"/>
            <w:tcBorders>
              <w:right w:val="nil"/>
            </w:tcBorders>
            <w:vAlign w:val="top"/>
          </w:tcPr>
          <w:p w14:paraId="0390D780">
            <w:pPr>
              <w:spacing w:before="2" w:line="281" w:lineRule="exact"/>
              <w:ind w:left="29"/>
              <w:rPr>
                <w:rFonts w:ascii="Times New Roman" w:hAnsi="Times New Roman" w:eastAsia="Times New Roman" w:cs="Times New Roman"/>
                <w:sz w:val="20"/>
                <w:szCs w:val="20"/>
              </w:rPr>
            </w:pPr>
            <w:r>
              <w:rPr>
                <w:rFonts w:ascii="宋体" w:hAnsi="宋体" w:eastAsia="宋体" w:cs="宋体"/>
                <w:spacing w:val="8"/>
                <w:position w:val="2"/>
                <w:sz w:val="20"/>
                <w:szCs w:val="20"/>
              </w:rPr>
              <w:t>爆</w:t>
            </w:r>
            <w:r>
              <w:rPr>
                <w:rFonts w:ascii="宋体" w:hAnsi="宋体" w:eastAsia="宋体" w:cs="宋体"/>
                <w:spacing w:val="7"/>
                <w:position w:val="2"/>
                <w:sz w:val="20"/>
                <w:szCs w:val="20"/>
              </w:rPr>
              <w:t>炸极限 (体积％) ：</w:t>
            </w:r>
            <w:r>
              <w:rPr>
                <w:rFonts w:ascii="Times New Roman" w:hAnsi="Times New Roman" w:eastAsia="Times New Roman" w:cs="Times New Roman"/>
                <w:spacing w:val="7"/>
                <w:position w:val="2"/>
                <w:sz w:val="20"/>
                <w:szCs w:val="20"/>
              </w:rPr>
              <w:t>30(</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7"/>
                <w:position w:val="2"/>
                <w:sz w:val="20"/>
                <w:szCs w:val="20"/>
              </w:rPr>
              <w:t>/</w:t>
            </w:r>
            <w:r>
              <w:rPr>
                <w:rFonts w:ascii="Times New Roman" w:hAnsi="Times New Roman" w:eastAsia="Times New Roman" w:cs="Times New Roman"/>
                <w:position w:val="2"/>
                <w:sz w:val="20"/>
                <w:szCs w:val="20"/>
              </w:rPr>
              <w:t>m</w:t>
            </w:r>
            <w:r>
              <w:rPr>
                <w:rFonts w:ascii="Times New Roman" w:hAnsi="Times New Roman" w:eastAsia="Times New Roman" w:cs="Times New Roman"/>
                <w:spacing w:val="7"/>
                <w:position w:val="2"/>
                <w:sz w:val="20"/>
                <w:szCs w:val="20"/>
              </w:rPr>
              <w:t>3)</w:t>
            </w:r>
          </w:p>
        </w:tc>
      </w:tr>
      <w:tr w14:paraId="1A3F8A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890" w:type="dxa"/>
            <w:vMerge w:val="continue"/>
            <w:tcBorders>
              <w:top w:val="nil"/>
              <w:left w:val="nil"/>
              <w:bottom w:val="nil"/>
            </w:tcBorders>
            <w:vAlign w:val="top"/>
          </w:tcPr>
          <w:p w14:paraId="4622498C">
            <w:pPr>
              <w:rPr>
                <w:rFonts w:ascii="Arial"/>
                <w:sz w:val="21"/>
              </w:rPr>
            </w:pPr>
          </w:p>
        </w:tc>
        <w:tc>
          <w:tcPr>
            <w:tcW w:w="7632" w:type="dxa"/>
            <w:gridSpan w:val="2"/>
            <w:tcBorders>
              <w:right w:val="nil"/>
            </w:tcBorders>
            <w:vAlign w:val="top"/>
          </w:tcPr>
          <w:p w14:paraId="5ED8B712">
            <w:pPr>
              <w:spacing w:before="41" w:line="235" w:lineRule="auto"/>
              <w:ind w:left="27" w:right="26" w:firstLine="2"/>
              <w:rPr>
                <w:rFonts w:ascii="宋体" w:hAnsi="宋体" w:eastAsia="宋体" w:cs="宋体"/>
                <w:sz w:val="20"/>
                <w:szCs w:val="20"/>
              </w:rPr>
            </w:pPr>
            <w:r>
              <w:rPr>
                <w:rFonts w:ascii="宋体" w:hAnsi="宋体" w:eastAsia="宋体" w:cs="宋体"/>
                <w:spacing w:val="20"/>
                <w:sz w:val="20"/>
                <w:szCs w:val="20"/>
              </w:rPr>
              <w:t>危</w:t>
            </w:r>
            <w:r>
              <w:rPr>
                <w:rFonts w:ascii="宋体" w:hAnsi="宋体" w:eastAsia="宋体" w:cs="宋体"/>
                <w:spacing w:val="13"/>
                <w:sz w:val="20"/>
                <w:szCs w:val="20"/>
              </w:rPr>
              <w:t>险</w:t>
            </w:r>
            <w:r>
              <w:rPr>
                <w:rFonts w:ascii="宋体" w:hAnsi="宋体" w:eastAsia="宋体" w:cs="宋体"/>
                <w:spacing w:val="10"/>
                <w:sz w:val="20"/>
                <w:szCs w:val="20"/>
              </w:rPr>
              <w:t>特性：受热分解放出易燃气体能与空气形成爆炸性混合物。粉体与空气可形成</w:t>
            </w:r>
            <w:r>
              <w:rPr>
                <w:rFonts w:ascii="宋体" w:hAnsi="宋体" w:eastAsia="宋体" w:cs="宋体"/>
                <w:sz w:val="20"/>
                <w:szCs w:val="20"/>
              </w:rPr>
              <w:t xml:space="preserve"> </w:t>
            </w:r>
            <w:r>
              <w:rPr>
                <w:rFonts w:ascii="宋体" w:hAnsi="宋体" w:eastAsia="宋体" w:cs="宋体"/>
                <w:spacing w:val="12"/>
                <w:sz w:val="20"/>
                <w:szCs w:val="20"/>
              </w:rPr>
              <w:t>爆</w:t>
            </w:r>
            <w:r>
              <w:rPr>
                <w:rFonts w:ascii="宋体" w:hAnsi="宋体" w:eastAsia="宋体" w:cs="宋体"/>
                <w:spacing w:val="8"/>
                <w:sz w:val="20"/>
                <w:szCs w:val="20"/>
              </w:rPr>
              <w:t>炸性混合物</w:t>
            </w:r>
            <w:r>
              <w:rPr>
                <w:rFonts w:ascii="Times New Roman" w:hAnsi="Times New Roman" w:eastAsia="Times New Roman" w:cs="Times New Roman"/>
                <w:spacing w:val="8"/>
                <w:sz w:val="20"/>
                <w:szCs w:val="20"/>
              </w:rPr>
              <w:t xml:space="preserve">,  </w:t>
            </w:r>
            <w:r>
              <w:rPr>
                <w:rFonts w:ascii="宋体" w:hAnsi="宋体" w:eastAsia="宋体" w:cs="宋体"/>
                <w:spacing w:val="8"/>
                <w:sz w:val="20"/>
                <w:szCs w:val="20"/>
              </w:rPr>
              <w:t>当达到一定浓度时</w:t>
            </w:r>
            <w:r>
              <w:rPr>
                <w:rFonts w:ascii="Times New Roman" w:hAnsi="Times New Roman" w:eastAsia="Times New Roman" w:cs="Times New Roman"/>
                <w:spacing w:val="8"/>
                <w:sz w:val="20"/>
                <w:szCs w:val="20"/>
              </w:rPr>
              <w:t>,</w:t>
            </w:r>
            <w:r>
              <w:rPr>
                <w:rFonts w:ascii="宋体" w:hAnsi="宋体" w:eastAsia="宋体" w:cs="宋体"/>
                <w:spacing w:val="8"/>
                <w:sz w:val="20"/>
                <w:szCs w:val="20"/>
              </w:rPr>
              <w:t>遇火星会发生爆炸。</w:t>
            </w:r>
          </w:p>
        </w:tc>
      </w:tr>
      <w:tr w14:paraId="218733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90" w:type="dxa"/>
            <w:vMerge w:val="continue"/>
            <w:tcBorders>
              <w:top w:val="nil"/>
              <w:left w:val="nil"/>
            </w:tcBorders>
            <w:vAlign w:val="top"/>
          </w:tcPr>
          <w:p w14:paraId="74F402EF">
            <w:pPr>
              <w:rPr>
                <w:rFonts w:ascii="Arial"/>
                <w:sz w:val="21"/>
              </w:rPr>
            </w:pPr>
          </w:p>
        </w:tc>
        <w:tc>
          <w:tcPr>
            <w:tcW w:w="7632" w:type="dxa"/>
            <w:gridSpan w:val="2"/>
            <w:tcBorders>
              <w:right w:val="nil"/>
            </w:tcBorders>
            <w:vAlign w:val="top"/>
          </w:tcPr>
          <w:p w14:paraId="71A77D18">
            <w:pPr>
              <w:spacing w:before="41" w:line="228" w:lineRule="auto"/>
              <w:ind w:left="30"/>
              <w:rPr>
                <w:rFonts w:ascii="宋体" w:hAnsi="宋体" w:eastAsia="宋体" w:cs="宋体"/>
                <w:sz w:val="20"/>
                <w:szCs w:val="20"/>
              </w:rPr>
            </w:pPr>
            <w:r>
              <w:rPr>
                <w:rFonts w:ascii="宋体" w:hAnsi="宋体" w:eastAsia="宋体" w:cs="宋体"/>
                <w:spacing w:val="9"/>
                <w:sz w:val="20"/>
                <w:szCs w:val="20"/>
              </w:rPr>
              <w:t>灭火方法：尽可能将容器从火场移至空旷处</w:t>
            </w:r>
            <w:r>
              <w:rPr>
                <w:rFonts w:ascii="宋体" w:hAnsi="宋体" w:eastAsia="宋体" w:cs="宋体"/>
                <w:spacing w:val="6"/>
                <w:sz w:val="20"/>
                <w:szCs w:val="20"/>
              </w:rPr>
              <w:t>。</w:t>
            </w:r>
          </w:p>
          <w:p w14:paraId="1E642C05">
            <w:pPr>
              <w:spacing w:before="24" w:line="227" w:lineRule="auto"/>
              <w:ind w:left="30"/>
              <w:rPr>
                <w:rFonts w:ascii="宋体" w:hAnsi="宋体" w:eastAsia="宋体" w:cs="宋体"/>
                <w:sz w:val="20"/>
                <w:szCs w:val="20"/>
              </w:rPr>
            </w:pPr>
            <w:r>
              <w:rPr>
                <w:rFonts w:ascii="宋体" w:hAnsi="宋体" w:eastAsia="宋体" w:cs="宋体"/>
                <w:spacing w:val="9"/>
                <w:sz w:val="20"/>
                <w:szCs w:val="20"/>
              </w:rPr>
              <w:t>灭火剂：雾状水、泡沫、干粉、二氧化碳、砂土</w:t>
            </w:r>
            <w:r>
              <w:rPr>
                <w:rFonts w:ascii="宋体" w:hAnsi="宋体" w:eastAsia="宋体" w:cs="宋体"/>
                <w:spacing w:val="8"/>
                <w:sz w:val="20"/>
                <w:szCs w:val="20"/>
              </w:rPr>
              <w:t>。</w:t>
            </w:r>
          </w:p>
        </w:tc>
      </w:tr>
      <w:tr w14:paraId="013DA3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890" w:type="dxa"/>
            <w:tcBorders>
              <w:left w:val="nil"/>
            </w:tcBorders>
            <w:vAlign w:val="top"/>
          </w:tcPr>
          <w:p w14:paraId="3ADE07D7">
            <w:pPr>
              <w:spacing w:before="41" w:line="228" w:lineRule="auto"/>
              <w:ind w:left="31"/>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接触限</w:t>
            </w:r>
            <w:r>
              <w:rPr>
                <w:rFonts w:ascii="宋体" w:hAnsi="宋体" w:eastAsia="宋体" w:cs="宋体"/>
                <w:spacing w:val="8"/>
                <w:sz w:val="20"/>
                <w:szCs w:val="20"/>
                <w14:textOutline w14:w="3795" w14:cap="sq" w14:cmpd="sng">
                  <w14:solidFill>
                    <w14:srgbClr w14:val="000000"/>
                  </w14:solidFill>
                  <w14:prstDash w14:val="solid"/>
                  <w14:bevel/>
                </w14:textOutline>
              </w:rPr>
              <w:t>值</w:t>
            </w:r>
          </w:p>
        </w:tc>
        <w:tc>
          <w:tcPr>
            <w:tcW w:w="7632" w:type="dxa"/>
            <w:gridSpan w:val="2"/>
            <w:tcBorders>
              <w:right w:val="nil"/>
            </w:tcBorders>
            <w:vAlign w:val="top"/>
          </w:tcPr>
          <w:p w14:paraId="0FDEAA47">
            <w:pPr>
              <w:spacing w:before="4" w:line="281" w:lineRule="exact"/>
              <w:ind w:left="47"/>
              <w:rPr>
                <w:rFonts w:ascii="Times New Roman" w:hAnsi="Times New Roman" w:eastAsia="Times New Roman" w:cs="Times New Roman"/>
                <w:sz w:val="20"/>
                <w:szCs w:val="20"/>
              </w:rPr>
            </w:pPr>
            <w:r>
              <w:rPr>
                <w:rFonts w:ascii="宋体" w:hAnsi="宋体" w:eastAsia="宋体" w:cs="宋体"/>
                <w:spacing w:val="4"/>
                <w:position w:val="2"/>
                <w:sz w:val="20"/>
                <w:szCs w:val="20"/>
              </w:rPr>
              <w:t xml:space="preserve">中国 </w:t>
            </w:r>
            <w:r>
              <w:rPr>
                <w:rFonts w:ascii="Times New Roman" w:hAnsi="Times New Roman" w:eastAsia="Times New Roman" w:cs="Times New Roman"/>
                <w:position w:val="2"/>
                <w:sz w:val="20"/>
                <w:szCs w:val="20"/>
              </w:rPr>
              <w:t>MAC</w:t>
            </w:r>
            <w:r>
              <w:rPr>
                <w:rFonts w:ascii="Times New Roman" w:hAnsi="Times New Roman" w:eastAsia="Times New Roman" w:cs="Times New Roman"/>
                <w:spacing w:val="4"/>
                <w:position w:val="2"/>
                <w:sz w:val="20"/>
                <w:szCs w:val="20"/>
              </w:rPr>
              <w:t xml:space="preserve">  </w:t>
            </w:r>
            <w:r>
              <w:rPr>
                <w:rFonts w:ascii="宋体" w:hAnsi="宋体" w:eastAsia="宋体" w:cs="宋体"/>
                <w:spacing w:val="4"/>
                <w:position w:val="2"/>
                <w:sz w:val="20"/>
                <w:szCs w:val="20"/>
              </w:rPr>
              <w:t>(</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position w:val="2"/>
                <w:sz w:val="20"/>
                <w:szCs w:val="20"/>
              </w:rPr>
              <w:t>m</w:t>
            </w:r>
            <w:r>
              <w:rPr>
                <w:rFonts w:ascii="Times New Roman" w:hAnsi="Times New Roman" w:eastAsia="Times New Roman" w:cs="Times New Roman"/>
                <w:spacing w:val="4"/>
                <w:position w:val="8"/>
                <w:sz w:val="13"/>
                <w:szCs w:val="13"/>
              </w:rPr>
              <w:t xml:space="preserve">3 </w:t>
            </w:r>
            <w:r>
              <w:rPr>
                <w:rFonts w:ascii="宋体" w:hAnsi="宋体" w:eastAsia="宋体" w:cs="宋体"/>
                <w:spacing w:val="4"/>
                <w:position w:val="2"/>
                <w:sz w:val="20"/>
                <w:szCs w:val="20"/>
              </w:rPr>
              <w:t xml:space="preserve">) </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spacing w:val="3"/>
                <w:position w:val="2"/>
                <w:sz w:val="20"/>
                <w:szCs w:val="20"/>
              </w:rPr>
              <w:t xml:space="preserve"> </w:t>
            </w:r>
            <w:r>
              <w:rPr>
                <w:rFonts w:ascii="Times New Roman" w:hAnsi="Times New Roman" w:eastAsia="Times New Roman" w:cs="Times New Roman"/>
                <w:spacing w:val="2"/>
                <w:position w:val="2"/>
                <w:sz w:val="20"/>
                <w:szCs w:val="20"/>
              </w:rPr>
              <w:t xml:space="preserve">10  </w:t>
            </w:r>
            <w:r>
              <w:rPr>
                <w:rFonts w:ascii="宋体" w:hAnsi="宋体" w:eastAsia="宋体" w:cs="宋体"/>
                <w:spacing w:val="2"/>
                <w:position w:val="2"/>
                <w:sz w:val="20"/>
                <w:szCs w:val="20"/>
              </w:rPr>
              <w:t xml:space="preserve">(建议值)        前苏联 </w:t>
            </w:r>
            <w:r>
              <w:rPr>
                <w:rFonts w:ascii="Times New Roman" w:hAnsi="Times New Roman" w:eastAsia="Times New Roman" w:cs="Times New Roman"/>
                <w:position w:val="2"/>
                <w:sz w:val="20"/>
                <w:szCs w:val="20"/>
              </w:rPr>
              <w:t>MAC</w:t>
            </w:r>
            <w:r>
              <w:rPr>
                <w:rFonts w:ascii="Times New Roman" w:hAnsi="Times New Roman" w:eastAsia="Times New Roman" w:cs="Times New Roman"/>
                <w:spacing w:val="2"/>
                <w:position w:val="2"/>
                <w:sz w:val="20"/>
                <w:szCs w:val="20"/>
              </w:rPr>
              <w:t xml:space="preserve">  </w:t>
            </w:r>
            <w:r>
              <w:rPr>
                <w:rFonts w:ascii="宋体" w:hAnsi="宋体" w:eastAsia="宋体" w:cs="宋体"/>
                <w:spacing w:val="2"/>
                <w:position w:val="2"/>
                <w:sz w:val="20"/>
                <w:szCs w:val="20"/>
              </w:rPr>
              <w:t>(</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2"/>
                <w:position w:val="2"/>
                <w:sz w:val="20"/>
                <w:szCs w:val="20"/>
              </w:rPr>
              <w:t>/</w:t>
            </w:r>
            <w:r>
              <w:rPr>
                <w:rFonts w:ascii="Times New Roman" w:hAnsi="Times New Roman" w:eastAsia="Times New Roman" w:cs="Times New Roman"/>
                <w:position w:val="2"/>
                <w:sz w:val="20"/>
                <w:szCs w:val="20"/>
              </w:rPr>
              <w:t>m</w:t>
            </w:r>
            <w:r>
              <w:rPr>
                <w:rFonts w:ascii="Times New Roman" w:hAnsi="Times New Roman" w:eastAsia="Times New Roman" w:cs="Times New Roman"/>
                <w:spacing w:val="2"/>
                <w:position w:val="8"/>
                <w:sz w:val="13"/>
                <w:szCs w:val="13"/>
              </w:rPr>
              <w:t xml:space="preserve">3 </w:t>
            </w:r>
            <w:r>
              <w:rPr>
                <w:rFonts w:ascii="宋体" w:hAnsi="宋体" w:eastAsia="宋体" w:cs="宋体"/>
                <w:spacing w:val="2"/>
                <w:position w:val="2"/>
                <w:sz w:val="20"/>
                <w:szCs w:val="20"/>
              </w:rPr>
              <w:t xml:space="preserve">) </w:t>
            </w:r>
            <w:r>
              <w:rPr>
                <w:rFonts w:ascii="Times New Roman" w:hAnsi="Times New Roman" w:eastAsia="Times New Roman" w:cs="Times New Roman"/>
                <w:spacing w:val="2"/>
                <w:position w:val="2"/>
                <w:sz w:val="20"/>
                <w:szCs w:val="20"/>
              </w:rPr>
              <w:t>: 10</w:t>
            </w:r>
          </w:p>
        </w:tc>
      </w:tr>
      <w:tr w14:paraId="293790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3" w:hRule="atLeast"/>
        </w:trPr>
        <w:tc>
          <w:tcPr>
            <w:tcW w:w="890" w:type="dxa"/>
            <w:tcBorders>
              <w:left w:val="nil"/>
            </w:tcBorders>
            <w:vAlign w:val="top"/>
          </w:tcPr>
          <w:p w14:paraId="67A47D86">
            <w:pPr>
              <w:spacing w:before="42" w:line="228" w:lineRule="auto"/>
              <w:ind w:left="32"/>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健</w:t>
            </w:r>
            <w:r>
              <w:rPr>
                <w:rFonts w:ascii="宋体" w:hAnsi="宋体" w:eastAsia="宋体" w:cs="宋体"/>
                <w:spacing w:val="8"/>
                <w:sz w:val="20"/>
                <w:szCs w:val="20"/>
                <w14:textOutline w14:w="3795" w14:cap="sq" w14:cmpd="sng">
                  <w14:solidFill>
                    <w14:srgbClr w14:val="000000"/>
                  </w14:solidFill>
                  <w14:prstDash w14:val="solid"/>
                  <w14:bevel/>
                </w14:textOutline>
              </w:rPr>
              <w:t>康危害</w:t>
            </w:r>
          </w:p>
        </w:tc>
        <w:tc>
          <w:tcPr>
            <w:tcW w:w="7632" w:type="dxa"/>
            <w:gridSpan w:val="2"/>
            <w:tcBorders>
              <w:right w:val="nil"/>
            </w:tcBorders>
            <w:vAlign w:val="top"/>
          </w:tcPr>
          <w:p w14:paraId="71D8826A">
            <w:pPr>
              <w:spacing w:before="42" w:line="228" w:lineRule="auto"/>
              <w:ind w:left="27"/>
              <w:rPr>
                <w:rFonts w:ascii="宋体" w:hAnsi="宋体" w:eastAsia="宋体" w:cs="宋体"/>
                <w:sz w:val="20"/>
                <w:szCs w:val="20"/>
              </w:rPr>
            </w:pPr>
            <w:r>
              <w:rPr>
                <w:rFonts w:ascii="宋体" w:hAnsi="宋体" w:eastAsia="宋体" w:cs="宋体"/>
                <w:spacing w:val="18"/>
                <w:sz w:val="20"/>
                <w:szCs w:val="20"/>
              </w:rPr>
              <w:t>健</w:t>
            </w:r>
            <w:r>
              <w:rPr>
                <w:rFonts w:ascii="宋体" w:hAnsi="宋体" w:eastAsia="宋体" w:cs="宋体"/>
                <w:spacing w:val="17"/>
                <w:sz w:val="20"/>
                <w:szCs w:val="20"/>
              </w:rPr>
              <w:t>康</w:t>
            </w:r>
            <w:r>
              <w:rPr>
                <w:rFonts w:ascii="宋体" w:hAnsi="宋体" w:eastAsia="宋体" w:cs="宋体"/>
                <w:spacing w:val="9"/>
                <w:sz w:val="20"/>
                <w:szCs w:val="20"/>
              </w:rPr>
              <w:t>危害：其热解产物对呼吸道有刺激作用。本身基本无毒</w:t>
            </w:r>
          </w:p>
        </w:tc>
      </w:tr>
    </w:tbl>
    <w:p w14:paraId="70AEDFA9">
      <w:pPr>
        <w:rPr>
          <w:rFonts w:ascii="Arial"/>
          <w:sz w:val="21"/>
        </w:rPr>
      </w:pPr>
    </w:p>
    <w:p w14:paraId="6C2F1236">
      <w:pPr>
        <w:sectPr>
          <w:headerReference r:id="rId295" w:type="default"/>
          <w:footerReference r:id="rId296" w:type="default"/>
          <w:pgSz w:w="11906" w:h="16839"/>
          <w:pgMar w:top="1132" w:right="1691" w:bottom="1182" w:left="1691" w:header="878" w:footer="1022" w:gutter="0"/>
          <w:cols w:space="720" w:num="1"/>
        </w:sectPr>
      </w:pPr>
    </w:p>
    <w:p w14:paraId="1907127B">
      <w:pPr>
        <w:spacing w:line="409" w:lineRule="auto"/>
        <w:rPr>
          <w:rFonts w:ascii="Arial"/>
          <w:sz w:val="21"/>
        </w:rPr>
      </w:pPr>
      <w:r>
        <w:pict>
          <v:shape id="_x0000_s1362" o:spid="_x0000_s1362" style="position:absolute;left:0pt;margin-left:90pt;margin-top:57.35pt;height:0.75pt;width:415.3pt;mso-position-horizontal-relative:page;mso-position-vertical-relative:page;z-index:252054528;mso-width-relative:page;mso-height-relative:page;" fillcolor="#000000" filled="t" stroked="f" coordsize="8305,15" o:allowincell="f" path="m0,0l8305,0,8305,14,0,14,0,0xe">
            <v:path/>
            <v:fill on="t" focussize="0,0"/>
            <v:stroke on="f"/>
            <v:imagedata o:title=""/>
            <o:lock v:ext="edit"/>
          </v:shape>
        </w:pict>
      </w:r>
    </w:p>
    <w:p w14:paraId="60FD8F38">
      <w:pPr>
        <w:spacing w:before="74" w:line="227" w:lineRule="auto"/>
        <w:ind w:left="2398"/>
        <w:rPr>
          <w:rFonts w:ascii="宋体" w:hAnsi="宋体" w:eastAsia="宋体" w:cs="宋体"/>
          <w:sz w:val="23"/>
          <w:szCs w:val="23"/>
        </w:rPr>
      </w:pPr>
      <w:r>
        <w:rPr>
          <w:rFonts w:ascii="宋体" w:hAnsi="宋体" w:eastAsia="宋体" w:cs="宋体"/>
          <w:spacing w:val="8"/>
          <w:sz w:val="23"/>
          <w:szCs w:val="23"/>
          <w14:textOutline w14:w="4358" w14:cap="sq" w14:cmpd="sng">
            <w14:solidFill>
              <w14:srgbClr w14:val="000000"/>
            </w14:solidFill>
            <w14:prstDash w14:val="solid"/>
            <w14:bevel/>
          </w14:textOutline>
        </w:rPr>
        <w:t>表</w:t>
      </w:r>
      <w:r>
        <w:rPr>
          <w:rFonts w:ascii="宋体" w:hAnsi="宋体" w:eastAsia="宋体" w:cs="宋体"/>
          <w:spacing w:val="5"/>
          <w:sz w:val="23"/>
          <w:szCs w:val="23"/>
        </w:rPr>
        <w:t xml:space="preserve"> </w:t>
      </w:r>
      <w:r>
        <w:rPr>
          <w:rFonts w:ascii="Times New Roman" w:hAnsi="Times New Roman" w:eastAsia="Times New Roman" w:cs="Times New Roman"/>
          <w:b/>
          <w:bCs/>
          <w:spacing w:val="4"/>
          <w:sz w:val="23"/>
          <w:szCs w:val="23"/>
        </w:rPr>
        <w:t>7-6</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聚丙烯理化性质及危险性</w:t>
      </w:r>
    </w:p>
    <w:p w14:paraId="09EB3B69">
      <w:pPr>
        <w:spacing w:line="17"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92"/>
        <w:gridCol w:w="1915"/>
        <w:gridCol w:w="2171"/>
        <w:gridCol w:w="2044"/>
      </w:tblGrid>
      <w:tr w14:paraId="7E2E82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2392" w:type="dxa"/>
            <w:tcBorders>
              <w:left w:val="nil"/>
            </w:tcBorders>
            <w:vAlign w:val="top"/>
          </w:tcPr>
          <w:p w14:paraId="6C1014A3">
            <w:pPr>
              <w:spacing w:before="76" w:line="228" w:lineRule="auto"/>
              <w:ind w:left="802"/>
              <w:rPr>
                <w:rFonts w:ascii="宋体" w:hAnsi="宋体" w:eastAsia="宋体" w:cs="宋体"/>
                <w:sz w:val="20"/>
                <w:szCs w:val="20"/>
              </w:rPr>
            </w:pPr>
            <w:r>
              <w:rPr>
                <w:rFonts w:ascii="宋体" w:hAnsi="宋体" w:eastAsia="宋体" w:cs="宋体"/>
                <w:spacing w:val="5"/>
                <w:sz w:val="20"/>
                <w:szCs w:val="20"/>
                <w14:textOutline w14:w="3795" w14:cap="sq" w14:cmpd="sng">
                  <w14:solidFill>
                    <w14:srgbClr w14:val="000000"/>
                  </w14:solidFill>
                  <w14:prstDash w14:val="solid"/>
                  <w14:bevel/>
                </w14:textOutline>
              </w:rPr>
              <w:t>中</w:t>
            </w:r>
            <w:r>
              <w:rPr>
                <w:rFonts w:ascii="宋体" w:hAnsi="宋体" w:eastAsia="宋体" w:cs="宋体"/>
                <w:spacing w:val="3"/>
                <w:sz w:val="20"/>
                <w:szCs w:val="20"/>
                <w14:textOutline w14:w="3795" w14:cap="sq" w14:cmpd="sng">
                  <w14:solidFill>
                    <w14:srgbClr w14:val="000000"/>
                  </w14:solidFill>
                  <w14:prstDash w14:val="solid"/>
                  <w14:bevel/>
                </w14:textOutline>
              </w:rPr>
              <w:t>文名称</w:t>
            </w:r>
          </w:p>
        </w:tc>
        <w:tc>
          <w:tcPr>
            <w:tcW w:w="1915" w:type="dxa"/>
            <w:vAlign w:val="top"/>
          </w:tcPr>
          <w:p w14:paraId="39EC8DBF">
            <w:pPr>
              <w:spacing w:before="75" w:line="228" w:lineRule="auto"/>
              <w:ind w:left="655"/>
              <w:rPr>
                <w:rFonts w:ascii="宋体" w:hAnsi="宋体" w:eastAsia="宋体" w:cs="宋体"/>
                <w:sz w:val="20"/>
                <w:szCs w:val="20"/>
              </w:rPr>
            </w:pPr>
            <w:r>
              <w:rPr>
                <w:rFonts w:ascii="宋体" w:hAnsi="宋体" w:eastAsia="宋体" w:cs="宋体"/>
                <w:spacing w:val="4"/>
                <w:sz w:val="20"/>
                <w:szCs w:val="20"/>
              </w:rPr>
              <w:t>聚丙烯</w:t>
            </w:r>
          </w:p>
        </w:tc>
        <w:tc>
          <w:tcPr>
            <w:tcW w:w="2171" w:type="dxa"/>
            <w:vAlign w:val="top"/>
          </w:tcPr>
          <w:p w14:paraId="1E553DDD">
            <w:pPr>
              <w:spacing w:before="76" w:line="228" w:lineRule="auto"/>
              <w:ind w:left="672"/>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英</w:t>
            </w:r>
            <w:r>
              <w:rPr>
                <w:rFonts w:ascii="宋体" w:hAnsi="宋体" w:eastAsia="宋体" w:cs="宋体"/>
                <w:spacing w:val="8"/>
                <w:sz w:val="20"/>
                <w:szCs w:val="20"/>
                <w14:textOutline w14:w="3795" w14:cap="sq" w14:cmpd="sng">
                  <w14:solidFill>
                    <w14:srgbClr w14:val="000000"/>
                  </w14:solidFill>
                  <w14:prstDash w14:val="solid"/>
                  <w14:bevel/>
                </w14:textOutline>
              </w:rPr>
              <w:t>文名称</w:t>
            </w:r>
          </w:p>
        </w:tc>
        <w:tc>
          <w:tcPr>
            <w:tcW w:w="2044" w:type="dxa"/>
            <w:tcBorders>
              <w:right w:val="nil"/>
            </w:tcBorders>
            <w:vAlign w:val="top"/>
          </w:tcPr>
          <w:p w14:paraId="370F4DBB">
            <w:pPr>
              <w:spacing w:before="38" w:line="281" w:lineRule="exact"/>
              <w:ind w:left="411"/>
              <w:rPr>
                <w:rFonts w:ascii="Times New Roman" w:hAnsi="Times New Roman" w:eastAsia="Times New Roman" w:cs="Times New Roman"/>
                <w:sz w:val="20"/>
                <w:szCs w:val="20"/>
              </w:rPr>
            </w:pPr>
            <w:r>
              <w:rPr>
                <w:rFonts w:ascii="Times New Roman" w:hAnsi="Times New Roman" w:eastAsia="Times New Roman" w:cs="Times New Roman"/>
                <w:spacing w:val="8"/>
                <w:position w:val="4"/>
                <w:sz w:val="20"/>
                <w:szCs w:val="20"/>
              </w:rPr>
              <w:t>p</w:t>
            </w:r>
            <w:r>
              <w:rPr>
                <w:rFonts w:ascii="Times New Roman" w:hAnsi="Times New Roman" w:eastAsia="Times New Roman" w:cs="Times New Roman"/>
                <w:spacing w:val="6"/>
                <w:position w:val="4"/>
                <w:sz w:val="20"/>
                <w:szCs w:val="20"/>
              </w:rPr>
              <w:t>o</w:t>
            </w:r>
            <w:r>
              <w:rPr>
                <w:rFonts w:ascii="Times New Roman" w:hAnsi="Times New Roman" w:eastAsia="Times New Roman" w:cs="Times New Roman"/>
                <w:spacing w:val="4"/>
                <w:position w:val="4"/>
                <w:sz w:val="20"/>
                <w:szCs w:val="20"/>
              </w:rPr>
              <w:t>lypropylene</w:t>
            </w:r>
          </w:p>
        </w:tc>
      </w:tr>
      <w:tr w14:paraId="4DD11A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92" w:type="dxa"/>
            <w:tcBorders>
              <w:left w:val="nil"/>
            </w:tcBorders>
            <w:vAlign w:val="top"/>
          </w:tcPr>
          <w:p w14:paraId="39202292">
            <w:pPr>
              <w:spacing w:before="51" w:line="228" w:lineRule="auto"/>
              <w:ind w:left="997"/>
              <w:rPr>
                <w:rFonts w:ascii="宋体" w:hAnsi="宋体" w:eastAsia="宋体" w:cs="宋体"/>
                <w:sz w:val="20"/>
                <w:szCs w:val="20"/>
              </w:rPr>
            </w:pPr>
            <w:r>
              <w:rPr>
                <w:rFonts w:ascii="宋体" w:hAnsi="宋体" w:eastAsia="宋体" w:cs="宋体"/>
                <w:spacing w:val="5"/>
                <w:sz w:val="20"/>
                <w:szCs w:val="20"/>
                <w14:textOutline w14:w="3795" w14:cap="sq" w14:cmpd="sng">
                  <w14:solidFill>
                    <w14:srgbClr w14:val="000000"/>
                  </w14:solidFill>
                  <w14:prstDash w14:val="solid"/>
                  <w14:bevel/>
                </w14:textOutline>
              </w:rPr>
              <w:t>别</w:t>
            </w:r>
            <w:r>
              <w:rPr>
                <w:rFonts w:ascii="宋体" w:hAnsi="宋体" w:eastAsia="宋体" w:cs="宋体"/>
                <w:spacing w:val="4"/>
                <w:sz w:val="20"/>
                <w:szCs w:val="20"/>
                <w14:textOutline w14:w="3795" w14:cap="sq" w14:cmpd="sng">
                  <w14:solidFill>
                    <w14:srgbClr w14:val="000000"/>
                  </w14:solidFill>
                  <w14:prstDash w14:val="solid"/>
                  <w14:bevel/>
                </w14:textOutline>
              </w:rPr>
              <w:t>名</w:t>
            </w:r>
          </w:p>
        </w:tc>
        <w:tc>
          <w:tcPr>
            <w:tcW w:w="1915" w:type="dxa"/>
            <w:vAlign w:val="top"/>
          </w:tcPr>
          <w:p w14:paraId="36BD8650">
            <w:pPr>
              <w:spacing w:before="176" w:line="140" w:lineRule="exact"/>
              <w:ind w:left="743"/>
              <w:rPr>
                <w:rFonts w:ascii="Times New Roman" w:hAnsi="Times New Roman" w:eastAsia="Times New Roman" w:cs="Times New Roman"/>
                <w:sz w:val="20"/>
                <w:szCs w:val="20"/>
              </w:rPr>
            </w:pPr>
            <w:r>
              <w:rPr>
                <w:rFonts w:ascii="Times New Roman" w:hAnsi="Times New Roman" w:eastAsia="Times New Roman" w:cs="Times New Roman"/>
                <w:spacing w:val="11"/>
                <w:position w:val="-1"/>
                <w:sz w:val="20"/>
                <w:szCs w:val="20"/>
              </w:rPr>
              <w:t>—</w:t>
            </w:r>
            <w:r>
              <w:rPr>
                <w:rFonts w:ascii="Times New Roman" w:hAnsi="Times New Roman" w:eastAsia="Times New Roman" w:cs="Times New Roman"/>
                <w:spacing w:val="10"/>
                <w:position w:val="-1"/>
                <w:sz w:val="20"/>
                <w:szCs w:val="20"/>
              </w:rPr>
              <w:t>—</w:t>
            </w:r>
          </w:p>
        </w:tc>
        <w:tc>
          <w:tcPr>
            <w:tcW w:w="2171" w:type="dxa"/>
            <w:vAlign w:val="top"/>
          </w:tcPr>
          <w:p w14:paraId="4DB7E926">
            <w:pPr>
              <w:spacing w:before="51" w:line="229" w:lineRule="auto"/>
              <w:ind w:left="750"/>
              <w:rPr>
                <w:rFonts w:ascii="宋体" w:hAnsi="宋体" w:eastAsia="宋体" w:cs="宋体"/>
                <w:sz w:val="20"/>
                <w:szCs w:val="20"/>
              </w:rPr>
            </w:pPr>
            <w:r>
              <w:rPr>
                <w:rFonts w:ascii="Times New Roman" w:hAnsi="Times New Roman" w:eastAsia="Times New Roman" w:cs="Times New Roman"/>
                <w:b/>
                <w:bCs/>
                <w:sz w:val="20"/>
                <w:szCs w:val="20"/>
              </w:rPr>
              <w:t>CAS</w:t>
            </w:r>
            <w:r>
              <w:rPr>
                <w:rFonts w:ascii="Times New Roman" w:hAnsi="Times New Roman" w:eastAsia="Times New Roman" w:cs="Times New Roman"/>
                <w:spacing w:val="14"/>
                <w:sz w:val="20"/>
                <w:szCs w:val="20"/>
              </w:rPr>
              <w:t xml:space="preserve"> </w:t>
            </w:r>
            <w:r>
              <w:rPr>
                <w:rFonts w:ascii="宋体" w:hAnsi="宋体" w:eastAsia="宋体" w:cs="宋体"/>
                <w:spacing w:val="13"/>
                <w:sz w:val="20"/>
                <w:szCs w:val="20"/>
                <w14:textOutline w14:w="3795" w14:cap="sq" w14:cmpd="sng">
                  <w14:solidFill>
                    <w14:srgbClr w14:val="000000"/>
                  </w14:solidFill>
                  <w14:prstDash w14:val="solid"/>
                  <w14:bevel/>
                </w14:textOutline>
              </w:rPr>
              <w:t>号</w:t>
            </w:r>
          </w:p>
        </w:tc>
        <w:tc>
          <w:tcPr>
            <w:tcW w:w="2044" w:type="dxa"/>
            <w:tcBorders>
              <w:right w:val="nil"/>
            </w:tcBorders>
            <w:vAlign w:val="top"/>
          </w:tcPr>
          <w:p w14:paraId="5DBF7350">
            <w:pPr>
              <w:spacing w:before="87" w:line="195" w:lineRule="auto"/>
              <w:ind w:left="591"/>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9</w:t>
            </w:r>
            <w:r>
              <w:rPr>
                <w:rFonts w:ascii="Times New Roman" w:hAnsi="Times New Roman" w:eastAsia="Times New Roman" w:cs="Times New Roman"/>
                <w:spacing w:val="3"/>
                <w:sz w:val="20"/>
                <w:szCs w:val="20"/>
              </w:rPr>
              <w:t>003-07-0</w:t>
            </w:r>
          </w:p>
        </w:tc>
      </w:tr>
      <w:tr w14:paraId="02B78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92" w:type="dxa"/>
            <w:tcBorders>
              <w:left w:val="nil"/>
            </w:tcBorders>
            <w:vAlign w:val="top"/>
          </w:tcPr>
          <w:p w14:paraId="5DB43608">
            <w:pPr>
              <w:spacing w:before="53" w:line="228" w:lineRule="auto"/>
              <w:ind w:left="891"/>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分子</w:t>
            </w:r>
            <w:r>
              <w:rPr>
                <w:rFonts w:ascii="宋体" w:hAnsi="宋体" w:eastAsia="宋体" w:cs="宋体"/>
                <w:spacing w:val="6"/>
                <w:sz w:val="20"/>
                <w:szCs w:val="20"/>
                <w14:textOutline w14:w="3795" w14:cap="sq" w14:cmpd="sng">
                  <w14:solidFill>
                    <w14:srgbClr w14:val="000000"/>
                  </w14:solidFill>
                  <w14:prstDash w14:val="solid"/>
                  <w14:bevel/>
                </w14:textOutline>
              </w:rPr>
              <w:t>式</w:t>
            </w:r>
          </w:p>
        </w:tc>
        <w:tc>
          <w:tcPr>
            <w:tcW w:w="1915" w:type="dxa"/>
            <w:vAlign w:val="top"/>
          </w:tcPr>
          <w:p w14:paraId="463CBBC6">
            <w:pPr>
              <w:spacing w:before="52" w:line="231" w:lineRule="auto"/>
              <w:ind w:left="496"/>
              <w:rPr>
                <w:rFonts w:ascii="Times New Roman" w:hAnsi="Times New Roman" w:eastAsia="Times New Roman" w:cs="Times New Roman"/>
                <w:sz w:val="20"/>
                <w:szCs w:val="20"/>
              </w:rPr>
            </w:pPr>
            <w:r>
              <w:rPr>
                <w:rFonts w:ascii="宋体" w:hAnsi="宋体" w:eastAsia="宋体" w:cs="宋体"/>
                <w:spacing w:val="18"/>
                <w:sz w:val="20"/>
                <w:szCs w:val="20"/>
              </w:rPr>
              <w:t>(</w:t>
            </w:r>
            <w:r>
              <w:rPr>
                <w:rFonts w:ascii="Times New Roman" w:hAnsi="Times New Roman" w:eastAsia="Times New Roman" w:cs="Times New Roman"/>
                <w:sz w:val="20"/>
                <w:szCs w:val="20"/>
              </w:rPr>
              <w:t>C</w:t>
            </w:r>
            <w:r>
              <w:rPr>
                <w:rFonts w:ascii="Times New Roman" w:hAnsi="Times New Roman" w:eastAsia="Times New Roman" w:cs="Times New Roman"/>
                <w:spacing w:val="15"/>
                <w:position w:val="-1"/>
                <w:sz w:val="13"/>
                <w:szCs w:val="13"/>
              </w:rPr>
              <w:t>3</w:t>
            </w:r>
            <w:r>
              <w:rPr>
                <w:rFonts w:ascii="Times New Roman" w:hAnsi="Times New Roman" w:eastAsia="Times New Roman" w:cs="Times New Roman"/>
                <w:sz w:val="20"/>
                <w:szCs w:val="20"/>
              </w:rPr>
              <w:t>H</w:t>
            </w:r>
            <w:r>
              <w:rPr>
                <w:rFonts w:ascii="Times New Roman" w:hAnsi="Times New Roman" w:eastAsia="Times New Roman" w:cs="Times New Roman"/>
                <w:spacing w:val="15"/>
                <w:position w:val="-1"/>
                <w:sz w:val="13"/>
                <w:szCs w:val="13"/>
              </w:rPr>
              <w:t xml:space="preserve">6 </w:t>
            </w:r>
            <w:r>
              <w:rPr>
                <w:rFonts w:ascii="宋体" w:hAnsi="宋体" w:eastAsia="宋体" w:cs="宋体"/>
                <w:spacing w:val="15"/>
                <w:sz w:val="20"/>
                <w:szCs w:val="20"/>
              </w:rPr>
              <w:t xml:space="preserve">) </w:t>
            </w:r>
            <w:r>
              <w:rPr>
                <w:rFonts w:ascii="Times New Roman" w:hAnsi="Times New Roman" w:eastAsia="Times New Roman" w:cs="Times New Roman"/>
                <w:sz w:val="20"/>
                <w:szCs w:val="20"/>
              </w:rPr>
              <w:t>n</w:t>
            </w:r>
          </w:p>
        </w:tc>
        <w:tc>
          <w:tcPr>
            <w:tcW w:w="2171" w:type="dxa"/>
            <w:vAlign w:val="top"/>
          </w:tcPr>
          <w:p w14:paraId="70AF133D">
            <w:pPr>
              <w:spacing w:before="52" w:line="228" w:lineRule="auto"/>
              <w:ind w:left="774"/>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禁</w:t>
            </w:r>
            <w:r>
              <w:rPr>
                <w:rFonts w:ascii="宋体" w:hAnsi="宋体" w:eastAsia="宋体" w:cs="宋体"/>
                <w:spacing w:val="7"/>
                <w:sz w:val="20"/>
                <w:szCs w:val="20"/>
                <w14:textOutline w14:w="3795" w14:cap="sq" w14:cmpd="sng">
                  <w14:solidFill>
                    <w14:srgbClr w14:val="000000"/>
                  </w14:solidFill>
                  <w14:prstDash w14:val="solid"/>
                  <w14:bevel/>
                </w14:textOutline>
              </w:rPr>
              <w:t>忌物</w:t>
            </w:r>
          </w:p>
        </w:tc>
        <w:tc>
          <w:tcPr>
            <w:tcW w:w="2044" w:type="dxa"/>
            <w:tcBorders>
              <w:right w:val="nil"/>
            </w:tcBorders>
            <w:vAlign w:val="top"/>
          </w:tcPr>
          <w:p w14:paraId="22258E01">
            <w:pPr>
              <w:spacing w:before="53" w:line="227" w:lineRule="auto"/>
              <w:ind w:left="612"/>
              <w:rPr>
                <w:rFonts w:ascii="宋体" w:hAnsi="宋体" w:eastAsia="宋体" w:cs="宋体"/>
                <w:sz w:val="20"/>
                <w:szCs w:val="20"/>
              </w:rPr>
            </w:pPr>
            <w:r>
              <w:rPr>
                <w:rFonts w:ascii="宋体" w:hAnsi="宋体" w:eastAsia="宋体" w:cs="宋体"/>
                <w:spacing w:val="6"/>
                <w:sz w:val="20"/>
                <w:szCs w:val="20"/>
              </w:rPr>
              <w:t>强氧化剂</w:t>
            </w:r>
          </w:p>
        </w:tc>
      </w:tr>
      <w:tr w14:paraId="210F6F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92" w:type="dxa"/>
            <w:tcBorders>
              <w:left w:val="nil"/>
            </w:tcBorders>
            <w:vAlign w:val="top"/>
          </w:tcPr>
          <w:p w14:paraId="456FE76A">
            <w:pPr>
              <w:spacing w:before="53" w:line="228" w:lineRule="auto"/>
              <w:ind w:left="891"/>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分子</w:t>
            </w:r>
            <w:r>
              <w:rPr>
                <w:rFonts w:ascii="宋体" w:hAnsi="宋体" w:eastAsia="宋体" w:cs="宋体"/>
                <w:spacing w:val="6"/>
                <w:sz w:val="20"/>
                <w:szCs w:val="20"/>
                <w14:textOutline w14:w="3795" w14:cap="sq" w14:cmpd="sng">
                  <w14:solidFill>
                    <w14:srgbClr w14:val="000000"/>
                  </w14:solidFill>
                  <w14:prstDash w14:val="solid"/>
                  <w14:bevel/>
                </w14:textOutline>
              </w:rPr>
              <w:t>量</w:t>
            </w:r>
          </w:p>
        </w:tc>
        <w:tc>
          <w:tcPr>
            <w:tcW w:w="1915" w:type="dxa"/>
            <w:vAlign w:val="top"/>
          </w:tcPr>
          <w:p w14:paraId="38514E39">
            <w:pPr>
              <w:spacing w:before="177" w:line="139" w:lineRule="exact"/>
              <w:ind w:left="743"/>
              <w:rPr>
                <w:rFonts w:ascii="Times New Roman" w:hAnsi="Times New Roman" w:eastAsia="Times New Roman" w:cs="Times New Roman"/>
                <w:sz w:val="20"/>
                <w:szCs w:val="20"/>
              </w:rPr>
            </w:pPr>
            <w:r>
              <w:rPr>
                <w:rFonts w:ascii="Times New Roman" w:hAnsi="Times New Roman" w:eastAsia="Times New Roman" w:cs="Times New Roman"/>
                <w:spacing w:val="11"/>
                <w:position w:val="-1"/>
                <w:sz w:val="20"/>
                <w:szCs w:val="20"/>
              </w:rPr>
              <w:t>—</w:t>
            </w:r>
            <w:r>
              <w:rPr>
                <w:rFonts w:ascii="Times New Roman" w:hAnsi="Times New Roman" w:eastAsia="Times New Roman" w:cs="Times New Roman"/>
                <w:spacing w:val="10"/>
                <w:position w:val="-1"/>
                <w:sz w:val="20"/>
                <w:szCs w:val="20"/>
              </w:rPr>
              <w:t>—</w:t>
            </w:r>
          </w:p>
        </w:tc>
        <w:tc>
          <w:tcPr>
            <w:tcW w:w="2171" w:type="dxa"/>
            <w:vAlign w:val="top"/>
          </w:tcPr>
          <w:p w14:paraId="53947B89">
            <w:pPr>
              <w:spacing w:before="52" w:line="228" w:lineRule="auto"/>
              <w:ind w:left="356"/>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火灾危险性类别</w:t>
            </w:r>
          </w:p>
        </w:tc>
        <w:tc>
          <w:tcPr>
            <w:tcW w:w="2044" w:type="dxa"/>
            <w:tcBorders>
              <w:right w:val="nil"/>
            </w:tcBorders>
            <w:vAlign w:val="top"/>
          </w:tcPr>
          <w:p w14:paraId="2DF5E068">
            <w:pPr>
              <w:spacing w:before="52" w:line="228" w:lineRule="auto"/>
              <w:ind w:left="820"/>
              <w:rPr>
                <w:rFonts w:ascii="宋体" w:hAnsi="宋体" w:eastAsia="宋体" w:cs="宋体"/>
                <w:sz w:val="20"/>
                <w:szCs w:val="20"/>
              </w:rPr>
            </w:pPr>
            <w:r>
              <w:rPr>
                <w:rFonts w:ascii="宋体" w:hAnsi="宋体" w:eastAsia="宋体" w:cs="宋体"/>
                <w:spacing w:val="3"/>
                <w:sz w:val="20"/>
                <w:szCs w:val="20"/>
              </w:rPr>
              <w:t>丙</w:t>
            </w:r>
            <w:r>
              <w:rPr>
                <w:rFonts w:ascii="宋体" w:hAnsi="宋体" w:eastAsia="宋体" w:cs="宋体"/>
                <w:spacing w:val="2"/>
                <w:sz w:val="20"/>
                <w:szCs w:val="20"/>
              </w:rPr>
              <w:t>类</w:t>
            </w:r>
          </w:p>
        </w:tc>
      </w:tr>
      <w:tr w14:paraId="714656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92" w:type="dxa"/>
            <w:tcBorders>
              <w:left w:val="nil"/>
            </w:tcBorders>
            <w:vAlign w:val="top"/>
          </w:tcPr>
          <w:p w14:paraId="7C928F0F">
            <w:pPr>
              <w:spacing w:before="52" w:line="228" w:lineRule="auto"/>
              <w:ind w:left="995"/>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熔</w:t>
            </w:r>
            <w:r>
              <w:rPr>
                <w:rFonts w:ascii="宋体" w:hAnsi="宋体" w:eastAsia="宋体" w:cs="宋体"/>
                <w:spacing w:val="5"/>
                <w:sz w:val="20"/>
                <w:szCs w:val="20"/>
                <w14:textOutline w14:w="3795" w14:cap="sq" w14:cmpd="sng">
                  <w14:solidFill>
                    <w14:srgbClr w14:val="000000"/>
                  </w14:solidFill>
                  <w14:prstDash w14:val="solid"/>
                  <w14:bevel/>
                </w14:textOutline>
              </w:rPr>
              <w:t>点</w:t>
            </w:r>
          </w:p>
        </w:tc>
        <w:tc>
          <w:tcPr>
            <w:tcW w:w="1915" w:type="dxa"/>
            <w:vAlign w:val="top"/>
          </w:tcPr>
          <w:p w14:paraId="684C89C8">
            <w:pPr>
              <w:spacing w:before="14" w:line="281" w:lineRule="exact"/>
              <w:ind w:left="713"/>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18</w:t>
            </w:r>
            <w:r>
              <w:rPr>
                <w:rFonts w:ascii="Times New Roman" w:hAnsi="Times New Roman" w:eastAsia="Times New Roman" w:cs="Times New Roman"/>
                <w:position w:val="2"/>
                <w:sz w:val="20"/>
                <w:szCs w:val="20"/>
              </w:rPr>
              <w:t>9℃</w:t>
            </w:r>
          </w:p>
        </w:tc>
        <w:tc>
          <w:tcPr>
            <w:tcW w:w="2171" w:type="dxa"/>
            <w:vAlign w:val="top"/>
          </w:tcPr>
          <w:p w14:paraId="1C2BCE4E">
            <w:pPr>
              <w:spacing w:before="52" w:line="228" w:lineRule="auto"/>
              <w:ind w:left="673"/>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溶解温</w:t>
            </w:r>
            <w:r>
              <w:rPr>
                <w:rFonts w:ascii="宋体" w:hAnsi="宋体" w:eastAsia="宋体" w:cs="宋体"/>
                <w:spacing w:val="7"/>
                <w:sz w:val="20"/>
                <w:szCs w:val="20"/>
                <w14:textOutline w14:w="3795" w14:cap="sq" w14:cmpd="sng">
                  <w14:solidFill>
                    <w14:srgbClr w14:val="000000"/>
                  </w14:solidFill>
                  <w14:prstDash w14:val="solid"/>
                  <w14:bevel/>
                </w14:textOutline>
              </w:rPr>
              <w:t>度</w:t>
            </w:r>
          </w:p>
        </w:tc>
        <w:tc>
          <w:tcPr>
            <w:tcW w:w="2044" w:type="dxa"/>
            <w:tcBorders>
              <w:right w:val="nil"/>
            </w:tcBorders>
            <w:vAlign w:val="top"/>
          </w:tcPr>
          <w:p w14:paraId="071E3AE2">
            <w:pPr>
              <w:spacing w:before="14" w:line="281" w:lineRule="exact"/>
              <w:ind w:left="764"/>
              <w:rPr>
                <w:rFonts w:ascii="Times New Roman" w:hAnsi="Times New Roman" w:eastAsia="Times New Roman" w:cs="Times New Roman"/>
                <w:sz w:val="20"/>
                <w:szCs w:val="20"/>
              </w:rPr>
            </w:pPr>
            <w:r>
              <w:rPr>
                <w:rFonts w:ascii="Times New Roman" w:hAnsi="Times New Roman" w:eastAsia="Times New Roman" w:cs="Times New Roman"/>
                <w:spacing w:val="5"/>
                <w:position w:val="2"/>
                <w:sz w:val="20"/>
                <w:szCs w:val="20"/>
              </w:rPr>
              <w:t>3</w:t>
            </w:r>
            <w:r>
              <w:rPr>
                <w:rFonts w:ascii="Times New Roman" w:hAnsi="Times New Roman" w:eastAsia="Times New Roman" w:cs="Times New Roman"/>
                <w:spacing w:val="3"/>
                <w:position w:val="2"/>
                <w:sz w:val="20"/>
                <w:szCs w:val="20"/>
              </w:rPr>
              <w:t>50℃</w:t>
            </w:r>
          </w:p>
        </w:tc>
      </w:tr>
      <w:tr w14:paraId="4F1469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92" w:type="dxa"/>
            <w:tcBorders>
              <w:left w:val="nil"/>
            </w:tcBorders>
            <w:vAlign w:val="top"/>
          </w:tcPr>
          <w:p w14:paraId="24F12B5A">
            <w:pPr>
              <w:spacing w:before="52" w:line="228" w:lineRule="auto"/>
              <w:ind w:left="995"/>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密</w:t>
            </w:r>
            <w:r>
              <w:rPr>
                <w:rFonts w:ascii="宋体" w:hAnsi="宋体" w:eastAsia="宋体" w:cs="宋体"/>
                <w:spacing w:val="5"/>
                <w:sz w:val="20"/>
                <w:szCs w:val="20"/>
                <w14:textOutline w14:w="3795" w14:cap="sq" w14:cmpd="sng">
                  <w14:solidFill>
                    <w14:srgbClr w14:val="000000"/>
                  </w14:solidFill>
                  <w14:prstDash w14:val="solid"/>
                  <w14:bevel/>
                </w14:textOutline>
              </w:rPr>
              <w:t>度</w:t>
            </w:r>
          </w:p>
        </w:tc>
        <w:tc>
          <w:tcPr>
            <w:tcW w:w="1915" w:type="dxa"/>
            <w:vAlign w:val="top"/>
          </w:tcPr>
          <w:p w14:paraId="352D97D5">
            <w:pPr>
              <w:spacing w:before="14" w:line="281" w:lineRule="exact"/>
              <w:ind w:left="639"/>
              <w:rPr>
                <w:rFonts w:ascii="Times New Roman" w:hAnsi="Times New Roman" w:eastAsia="Times New Roman" w:cs="Times New Roman"/>
                <w:sz w:val="20"/>
                <w:szCs w:val="20"/>
              </w:rPr>
            </w:pPr>
            <w:r>
              <w:rPr>
                <w:rFonts w:ascii="Times New Roman" w:hAnsi="Times New Roman" w:eastAsia="Times New Roman" w:cs="Times New Roman"/>
                <w:spacing w:val="6"/>
                <w:position w:val="2"/>
                <w:sz w:val="20"/>
                <w:szCs w:val="20"/>
              </w:rPr>
              <w:t>0</w:t>
            </w:r>
            <w:r>
              <w:rPr>
                <w:rFonts w:ascii="Times New Roman" w:hAnsi="Times New Roman" w:eastAsia="Times New Roman" w:cs="Times New Roman"/>
                <w:spacing w:val="5"/>
                <w:position w:val="2"/>
                <w:sz w:val="20"/>
                <w:szCs w:val="20"/>
              </w:rPr>
              <w:t>.9</w:t>
            </w:r>
            <w:r>
              <w:rPr>
                <w:rFonts w:ascii="Times New Roman" w:hAnsi="Times New Roman" w:eastAsia="Times New Roman" w:cs="Times New Roman"/>
                <w:position w:val="2"/>
                <w:sz w:val="20"/>
                <w:szCs w:val="20"/>
              </w:rPr>
              <w:t>g</w:t>
            </w:r>
            <w:r>
              <w:rPr>
                <w:rFonts w:ascii="Times New Roman" w:hAnsi="Times New Roman" w:eastAsia="Times New Roman" w:cs="Times New Roman"/>
                <w:spacing w:val="5"/>
                <w:position w:val="2"/>
                <w:sz w:val="20"/>
                <w:szCs w:val="20"/>
              </w:rPr>
              <w:t>/</w:t>
            </w:r>
            <w:r>
              <w:rPr>
                <w:rFonts w:ascii="Times New Roman" w:hAnsi="Times New Roman" w:eastAsia="Times New Roman" w:cs="Times New Roman"/>
                <w:position w:val="2"/>
                <w:sz w:val="20"/>
                <w:szCs w:val="20"/>
              </w:rPr>
              <w:t>ml</w:t>
            </w:r>
          </w:p>
        </w:tc>
        <w:tc>
          <w:tcPr>
            <w:tcW w:w="2171" w:type="dxa"/>
            <w:vAlign w:val="top"/>
          </w:tcPr>
          <w:p w14:paraId="63D7E43F">
            <w:pPr>
              <w:spacing w:before="52" w:line="228" w:lineRule="auto"/>
              <w:ind w:left="777"/>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溶解</w:t>
            </w:r>
            <w:r>
              <w:rPr>
                <w:rFonts w:ascii="宋体" w:hAnsi="宋体" w:eastAsia="宋体" w:cs="宋体"/>
                <w:spacing w:val="6"/>
                <w:sz w:val="20"/>
                <w:szCs w:val="20"/>
                <w14:textOutline w14:w="3795" w14:cap="sq" w14:cmpd="sng">
                  <w14:solidFill>
                    <w14:srgbClr w14:val="000000"/>
                  </w14:solidFill>
                  <w14:prstDash w14:val="solid"/>
                  <w14:bevel/>
                </w14:textOutline>
              </w:rPr>
              <w:t>性</w:t>
            </w:r>
          </w:p>
        </w:tc>
        <w:tc>
          <w:tcPr>
            <w:tcW w:w="2044" w:type="dxa"/>
            <w:tcBorders>
              <w:right w:val="nil"/>
            </w:tcBorders>
            <w:vAlign w:val="top"/>
          </w:tcPr>
          <w:p w14:paraId="579C7ED9">
            <w:pPr>
              <w:spacing w:before="51" w:line="228" w:lineRule="auto"/>
              <w:ind w:left="504"/>
              <w:rPr>
                <w:rFonts w:ascii="宋体" w:hAnsi="宋体" w:eastAsia="宋体" w:cs="宋体"/>
                <w:sz w:val="20"/>
                <w:szCs w:val="20"/>
              </w:rPr>
            </w:pPr>
            <w:r>
              <w:rPr>
                <w:rFonts w:ascii="宋体" w:hAnsi="宋体" w:eastAsia="宋体" w:cs="宋体"/>
                <w:spacing w:val="10"/>
                <w:sz w:val="20"/>
                <w:szCs w:val="20"/>
              </w:rPr>
              <w:t>极</w:t>
            </w:r>
            <w:r>
              <w:rPr>
                <w:rFonts w:ascii="宋体" w:hAnsi="宋体" w:eastAsia="宋体" w:cs="宋体"/>
                <w:spacing w:val="7"/>
                <w:sz w:val="20"/>
                <w:szCs w:val="20"/>
              </w:rPr>
              <w:t>难溶于水</w:t>
            </w:r>
          </w:p>
        </w:tc>
      </w:tr>
      <w:tr w14:paraId="6F4163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392" w:type="dxa"/>
            <w:tcBorders>
              <w:left w:val="nil"/>
            </w:tcBorders>
            <w:vAlign w:val="top"/>
          </w:tcPr>
          <w:p w14:paraId="1C6FE4F7">
            <w:pPr>
              <w:spacing w:before="52" w:line="228" w:lineRule="auto"/>
              <w:ind w:left="798"/>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引</w:t>
            </w:r>
            <w:r>
              <w:rPr>
                <w:rFonts w:ascii="宋体" w:hAnsi="宋体" w:eastAsia="宋体" w:cs="宋体"/>
                <w:spacing w:val="4"/>
                <w:sz w:val="20"/>
                <w:szCs w:val="20"/>
                <w14:textOutline w14:w="3795" w14:cap="sq" w14:cmpd="sng">
                  <w14:solidFill>
                    <w14:srgbClr w14:val="000000"/>
                  </w14:solidFill>
                  <w14:prstDash w14:val="solid"/>
                  <w14:bevel/>
                </w14:textOutline>
              </w:rPr>
              <w:t>燃物质</w:t>
            </w:r>
          </w:p>
        </w:tc>
        <w:tc>
          <w:tcPr>
            <w:tcW w:w="1915" w:type="dxa"/>
            <w:vAlign w:val="top"/>
          </w:tcPr>
          <w:p w14:paraId="63F28DB8">
            <w:pPr>
              <w:spacing w:before="52" w:line="228" w:lineRule="auto"/>
              <w:ind w:left="648"/>
              <w:rPr>
                <w:rFonts w:ascii="宋体" w:hAnsi="宋体" w:eastAsia="宋体" w:cs="宋体"/>
                <w:sz w:val="20"/>
                <w:szCs w:val="20"/>
              </w:rPr>
            </w:pPr>
            <w:r>
              <w:rPr>
                <w:rFonts w:ascii="宋体" w:hAnsi="宋体" w:eastAsia="宋体" w:cs="宋体"/>
                <w:spacing w:val="7"/>
                <w:sz w:val="20"/>
                <w:szCs w:val="20"/>
              </w:rPr>
              <w:t>无</w:t>
            </w:r>
            <w:r>
              <w:rPr>
                <w:rFonts w:ascii="宋体" w:hAnsi="宋体" w:eastAsia="宋体" w:cs="宋体"/>
                <w:spacing w:val="6"/>
                <w:sz w:val="20"/>
                <w:szCs w:val="20"/>
              </w:rPr>
              <w:t>资料</w:t>
            </w:r>
          </w:p>
        </w:tc>
        <w:tc>
          <w:tcPr>
            <w:tcW w:w="2171" w:type="dxa"/>
            <w:vAlign w:val="top"/>
          </w:tcPr>
          <w:p w14:paraId="5CD1C99A">
            <w:pPr>
              <w:rPr>
                <w:rFonts w:ascii="Arial"/>
                <w:sz w:val="21"/>
              </w:rPr>
            </w:pPr>
          </w:p>
        </w:tc>
        <w:tc>
          <w:tcPr>
            <w:tcW w:w="2044" w:type="dxa"/>
            <w:tcBorders>
              <w:right w:val="nil"/>
            </w:tcBorders>
            <w:vAlign w:val="top"/>
          </w:tcPr>
          <w:p w14:paraId="5B61E266">
            <w:pPr>
              <w:rPr>
                <w:rFonts w:ascii="Arial"/>
                <w:sz w:val="21"/>
              </w:rPr>
            </w:pPr>
          </w:p>
        </w:tc>
      </w:tr>
      <w:tr w14:paraId="2724BF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2392" w:type="dxa"/>
            <w:tcBorders>
              <w:left w:val="nil"/>
            </w:tcBorders>
            <w:vAlign w:val="top"/>
          </w:tcPr>
          <w:p w14:paraId="70ED8B32">
            <w:pPr>
              <w:spacing w:line="296" w:lineRule="auto"/>
              <w:rPr>
                <w:rFonts w:ascii="Arial"/>
                <w:sz w:val="21"/>
              </w:rPr>
            </w:pPr>
          </w:p>
          <w:p w14:paraId="2AB87940">
            <w:pPr>
              <w:spacing w:before="65" w:line="228" w:lineRule="auto"/>
              <w:ind w:left="783"/>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物</w:t>
            </w:r>
            <w:r>
              <w:rPr>
                <w:rFonts w:ascii="宋体" w:hAnsi="宋体" w:eastAsia="宋体" w:cs="宋体"/>
                <w:spacing w:val="8"/>
                <w:sz w:val="20"/>
                <w:szCs w:val="20"/>
                <w14:textOutline w14:w="3795" w14:cap="sq" w14:cmpd="sng">
                  <w14:solidFill>
                    <w14:srgbClr w14:val="000000"/>
                  </w14:solidFill>
                  <w14:prstDash w14:val="solid"/>
                  <w14:bevel/>
                </w14:textOutline>
              </w:rPr>
              <w:t>理性质</w:t>
            </w:r>
          </w:p>
        </w:tc>
        <w:tc>
          <w:tcPr>
            <w:tcW w:w="6130" w:type="dxa"/>
            <w:gridSpan w:val="3"/>
            <w:tcBorders>
              <w:right w:val="nil"/>
            </w:tcBorders>
            <w:vAlign w:val="top"/>
          </w:tcPr>
          <w:p w14:paraId="655B0DA9">
            <w:pPr>
              <w:spacing w:before="50" w:line="268" w:lineRule="auto"/>
              <w:ind w:left="113" w:right="48" w:firstLine="2"/>
              <w:rPr>
                <w:rFonts w:ascii="宋体" w:hAnsi="宋体" w:eastAsia="宋体" w:cs="宋体"/>
                <w:sz w:val="20"/>
                <w:szCs w:val="20"/>
              </w:rPr>
            </w:pPr>
            <w:r>
              <w:rPr>
                <w:rFonts w:ascii="宋体" w:hAnsi="宋体" w:eastAsia="宋体" w:cs="宋体"/>
                <w:spacing w:val="17"/>
                <w:sz w:val="20"/>
                <w:szCs w:val="20"/>
              </w:rPr>
              <w:t>无</w:t>
            </w:r>
            <w:r>
              <w:rPr>
                <w:rFonts w:ascii="宋体" w:hAnsi="宋体" w:eastAsia="宋体" w:cs="宋体"/>
                <w:spacing w:val="10"/>
                <w:sz w:val="20"/>
                <w:szCs w:val="20"/>
              </w:rPr>
              <w:t xml:space="preserve">毒、无臭、无味的高结晶的聚合物 ，分子量 </w:t>
            </w:r>
            <w:r>
              <w:rPr>
                <w:rFonts w:ascii="Times New Roman" w:hAnsi="Times New Roman" w:eastAsia="Times New Roman" w:cs="Times New Roman"/>
                <w:spacing w:val="10"/>
                <w:sz w:val="20"/>
                <w:szCs w:val="20"/>
              </w:rPr>
              <w:t xml:space="preserve">8- 15 </w:t>
            </w:r>
            <w:r>
              <w:rPr>
                <w:rFonts w:ascii="宋体" w:hAnsi="宋体" w:eastAsia="宋体" w:cs="宋体"/>
                <w:spacing w:val="10"/>
                <w:sz w:val="20"/>
                <w:szCs w:val="20"/>
              </w:rPr>
              <w:t>万 ，密度</w:t>
            </w:r>
            <w:r>
              <w:rPr>
                <w:rFonts w:ascii="宋体" w:hAnsi="宋体" w:eastAsia="宋体" w:cs="宋体"/>
                <w:sz w:val="20"/>
                <w:szCs w:val="20"/>
              </w:rPr>
              <w:t xml:space="preserve"> </w:t>
            </w:r>
            <w:r>
              <w:rPr>
                <w:rFonts w:ascii="Times New Roman" w:hAnsi="Times New Roman" w:eastAsia="Times New Roman" w:cs="Times New Roman"/>
                <w:spacing w:val="-1"/>
                <w:sz w:val="20"/>
                <w:szCs w:val="20"/>
              </w:rPr>
              <w:t>0.90-0.91</w:t>
            </w:r>
            <w:r>
              <w:rPr>
                <w:rFonts w:ascii="Times New Roman" w:hAnsi="Times New Roman" w:eastAsia="Times New Roman" w:cs="Times New Roman"/>
                <w:sz w:val="20"/>
                <w:szCs w:val="20"/>
              </w:rPr>
              <w:t>gcm</w:t>
            </w:r>
            <w:r>
              <w:rPr>
                <w:rFonts w:ascii="Times New Roman" w:hAnsi="Times New Roman" w:eastAsia="Times New Roman" w:cs="Times New Roman"/>
                <w:spacing w:val="-1"/>
                <w:sz w:val="20"/>
                <w:szCs w:val="20"/>
              </w:rPr>
              <w:t>3</w:t>
            </w:r>
            <w:r>
              <w:rPr>
                <w:rFonts w:ascii="宋体" w:hAnsi="宋体" w:eastAsia="宋体" w:cs="宋体"/>
                <w:spacing w:val="-1"/>
                <w:sz w:val="20"/>
                <w:szCs w:val="20"/>
              </w:rPr>
              <w:t xml:space="preserve">，熔点 </w:t>
            </w:r>
            <w:r>
              <w:rPr>
                <w:rFonts w:ascii="Times New Roman" w:hAnsi="Times New Roman" w:eastAsia="Times New Roman" w:cs="Times New Roman"/>
                <w:spacing w:val="-1"/>
                <w:sz w:val="20"/>
                <w:szCs w:val="20"/>
              </w:rPr>
              <w:t>164- 170℃</w:t>
            </w:r>
            <w:r>
              <w:rPr>
                <w:rFonts w:ascii="宋体" w:hAnsi="宋体" w:eastAsia="宋体" w:cs="宋体"/>
                <w:spacing w:val="-1"/>
                <w:sz w:val="20"/>
                <w:szCs w:val="20"/>
              </w:rPr>
              <w:t xml:space="preserve">，分解温度 </w:t>
            </w:r>
            <w:r>
              <w:rPr>
                <w:rFonts w:ascii="Times New Roman" w:hAnsi="Times New Roman" w:eastAsia="Times New Roman" w:cs="Times New Roman"/>
                <w:spacing w:val="-1"/>
                <w:sz w:val="20"/>
                <w:szCs w:val="20"/>
              </w:rPr>
              <w:t>328-410℃</w:t>
            </w:r>
            <w:r>
              <w:rPr>
                <w:rFonts w:ascii="宋体" w:hAnsi="宋体" w:eastAsia="宋体" w:cs="宋体"/>
                <w:spacing w:val="-1"/>
                <w:sz w:val="20"/>
                <w:szCs w:val="20"/>
              </w:rPr>
              <w:t>，不</w:t>
            </w:r>
            <w:r>
              <w:rPr>
                <w:rFonts w:ascii="宋体" w:hAnsi="宋体" w:eastAsia="宋体" w:cs="宋体"/>
                <w:sz w:val="20"/>
                <w:szCs w:val="20"/>
              </w:rPr>
              <w:t xml:space="preserve">溶于水， </w:t>
            </w:r>
            <w:r>
              <w:rPr>
                <w:rFonts w:ascii="宋体" w:hAnsi="宋体" w:eastAsia="宋体" w:cs="宋体"/>
                <w:spacing w:val="11"/>
                <w:sz w:val="20"/>
                <w:szCs w:val="20"/>
              </w:rPr>
              <w:t>与</w:t>
            </w:r>
            <w:r>
              <w:rPr>
                <w:rFonts w:ascii="宋体" w:hAnsi="宋体" w:eastAsia="宋体" w:cs="宋体"/>
                <w:spacing w:val="9"/>
                <w:sz w:val="20"/>
                <w:szCs w:val="20"/>
              </w:rPr>
              <w:t>绝大多数化学药品不反应</w:t>
            </w:r>
          </w:p>
        </w:tc>
      </w:tr>
      <w:tr w14:paraId="18E133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92" w:type="dxa"/>
            <w:tcBorders>
              <w:left w:val="nil"/>
            </w:tcBorders>
            <w:vAlign w:val="top"/>
          </w:tcPr>
          <w:p w14:paraId="1BF3979B">
            <w:pPr>
              <w:spacing w:before="209" w:line="228" w:lineRule="auto"/>
              <w:ind w:left="785"/>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危险特</w:t>
            </w:r>
            <w:r>
              <w:rPr>
                <w:rFonts w:ascii="宋体" w:hAnsi="宋体" w:eastAsia="宋体" w:cs="宋体"/>
                <w:spacing w:val="7"/>
                <w:sz w:val="20"/>
                <w:szCs w:val="20"/>
                <w14:textOutline w14:w="3795" w14:cap="sq" w14:cmpd="sng">
                  <w14:solidFill>
                    <w14:srgbClr w14:val="000000"/>
                  </w14:solidFill>
                  <w14:prstDash w14:val="solid"/>
                  <w14:bevel/>
                </w14:textOutline>
              </w:rPr>
              <w:t>性</w:t>
            </w:r>
          </w:p>
        </w:tc>
        <w:tc>
          <w:tcPr>
            <w:tcW w:w="6130" w:type="dxa"/>
            <w:gridSpan w:val="3"/>
            <w:tcBorders>
              <w:right w:val="nil"/>
            </w:tcBorders>
            <w:vAlign w:val="top"/>
          </w:tcPr>
          <w:p w14:paraId="3B254A21">
            <w:pPr>
              <w:spacing w:before="54" w:line="257" w:lineRule="auto"/>
              <w:ind w:left="117" w:right="107" w:hanging="4"/>
              <w:rPr>
                <w:rFonts w:ascii="宋体" w:hAnsi="宋体" w:eastAsia="宋体" w:cs="宋体"/>
                <w:sz w:val="20"/>
                <w:szCs w:val="20"/>
              </w:rPr>
            </w:pPr>
            <w:r>
              <w:rPr>
                <w:rFonts w:ascii="宋体" w:hAnsi="宋体" w:eastAsia="宋体" w:cs="宋体"/>
                <w:spacing w:val="11"/>
                <w:sz w:val="20"/>
                <w:szCs w:val="20"/>
              </w:rPr>
              <w:t>粉体与空气可形成爆炸性混合物，当达到一定浓度时，遇火星</w:t>
            </w:r>
            <w:r>
              <w:rPr>
                <w:rFonts w:ascii="宋体" w:hAnsi="宋体" w:eastAsia="宋体" w:cs="宋体"/>
                <w:spacing w:val="9"/>
                <w:sz w:val="20"/>
                <w:szCs w:val="20"/>
              </w:rPr>
              <w:t>会</w:t>
            </w:r>
            <w:r>
              <w:rPr>
                <w:rFonts w:ascii="宋体" w:hAnsi="宋体" w:eastAsia="宋体" w:cs="宋体"/>
                <w:sz w:val="20"/>
                <w:szCs w:val="20"/>
              </w:rPr>
              <w:t xml:space="preserve"> </w:t>
            </w:r>
            <w:r>
              <w:rPr>
                <w:rFonts w:ascii="宋体" w:hAnsi="宋体" w:eastAsia="宋体" w:cs="宋体"/>
                <w:spacing w:val="11"/>
                <w:sz w:val="20"/>
                <w:szCs w:val="20"/>
              </w:rPr>
              <w:t>发</w:t>
            </w:r>
            <w:r>
              <w:rPr>
                <w:rFonts w:ascii="宋体" w:hAnsi="宋体" w:eastAsia="宋体" w:cs="宋体"/>
                <w:spacing w:val="9"/>
                <w:sz w:val="20"/>
                <w:szCs w:val="20"/>
              </w:rPr>
              <w:t>生爆炸，加热分解产生易燃气体</w:t>
            </w:r>
          </w:p>
        </w:tc>
      </w:tr>
      <w:tr w14:paraId="5709BC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92" w:type="dxa"/>
            <w:tcBorders>
              <w:left w:val="nil"/>
            </w:tcBorders>
            <w:vAlign w:val="top"/>
          </w:tcPr>
          <w:p w14:paraId="4ACD1740">
            <w:pPr>
              <w:spacing w:before="210" w:line="228" w:lineRule="auto"/>
              <w:ind w:left="786"/>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灭</w:t>
            </w:r>
            <w:r>
              <w:rPr>
                <w:rFonts w:ascii="宋体" w:hAnsi="宋体" w:eastAsia="宋体" w:cs="宋体"/>
                <w:spacing w:val="7"/>
                <w:sz w:val="20"/>
                <w:szCs w:val="20"/>
                <w14:textOutline w14:w="3795" w14:cap="sq" w14:cmpd="sng">
                  <w14:solidFill>
                    <w14:srgbClr w14:val="000000"/>
                  </w14:solidFill>
                  <w14:prstDash w14:val="solid"/>
                  <w14:bevel/>
                </w14:textOutline>
              </w:rPr>
              <w:t>火方法</w:t>
            </w:r>
          </w:p>
        </w:tc>
        <w:tc>
          <w:tcPr>
            <w:tcW w:w="6130" w:type="dxa"/>
            <w:gridSpan w:val="3"/>
            <w:tcBorders>
              <w:right w:val="nil"/>
            </w:tcBorders>
            <w:vAlign w:val="top"/>
          </w:tcPr>
          <w:p w14:paraId="6A00AB9D">
            <w:pPr>
              <w:spacing w:before="55" w:line="257" w:lineRule="auto"/>
              <w:ind w:left="117" w:right="36" w:hanging="2"/>
              <w:rPr>
                <w:rFonts w:ascii="宋体" w:hAnsi="宋体" w:eastAsia="宋体" w:cs="宋体"/>
                <w:sz w:val="20"/>
                <w:szCs w:val="20"/>
              </w:rPr>
            </w:pPr>
            <w:r>
              <w:rPr>
                <w:rFonts w:ascii="宋体" w:hAnsi="宋体" w:eastAsia="宋体" w:cs="宋体"/>
                <w:spacing w:val="4"/>
                <w:sz w:val="20"/>
                <w:szCs w:val="20"/>
              </w:rPr>
              <w:t>尽可能将容器从火场转移至空旷处。灭火剂</w:t>
            </w:r>
            <w:r>
              <w:rPr>
                <w:rFonts w:ascii="Times New Roman" w:hAnsi="Times New Roman" w:eastAsia="Times New Roman" w:cs="Times New Roman"/>
                <w:spacing w:val="4"/>
                <w:sz w:val="20"/>
                <w:szCs w:val="20"/>
              </w:rPr>
              <w:t>:</w:t>
            </w:r>
            <w:r>
              <w:rPr>
                <w:rFonts w:ascii="宋体" w:hAnsi="宋体" w:eastAsia="宋体" w:cs="宋体"/>
                <w:spacing w:val="4"/>
                <w:sz w:val="20"/>
                <w:szCs w:val="20"/>
              </w:rPr>
              <w:t>雾状水、泡沫、干粉、</w:t>
            </w:r>
            <w:r>
              <w:rPr>
                <w:rFonts w:ascii="宋体" w:hAnsi="宋体" w:eastAsia="宋体" w:cs="宋体"/>
                <w:sz w:val="20"/>
                <w:szCs w:val="20"/>
              </w:rPr>
              <w:t xml:space="preserve"> </w:t>
            </w:r>
            <w:r>
              <w:rPr>
                <w:rFonts w:ascii="宋体" w:hAnsi="宋体" w:eastAsia="宋体" w:cs="宋体"/>
                <w:spacing w:val="9"/>
                <w:sz w:val="20"/>
                <w:szCs w:val="20"/>
              </w:rPr>
              <w:t>二</w:t>
            </w:r>
            <w:r>
              <w:rPr>
                <w:rFonts w:ascii="宋体" w:hAnsi="宋体" w:eastAsia="宋体" w:cs="宋体"/>
                <w:spacing w:val="8"/>
                <w:sz w:val="20"/>
                <w:szCs w:val="20"/>
              </w:rPr>
              <w:t>氧化碳、砂土</w:t>
            </w:r>
          </w:p>
        </w:tc>
      </w:tr>
      <w:tr w14:paraId="26A13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92" w:type="dxa"/>
            <w:tcBorders>
              <w:left w:val="nil"/>
            </w:tcBorders>
            <w:vAlign w:val="top"/>
          </w:tcPr>
          <w:p w14:paraId="32E3A803">
            <w:pPr>
              <w:spacing w:before="211" w:line="228" w:lineRule="auto"/>
              <w:ind w:left="783"/>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健</w:t>
            </w:r>
            <w:r>
              <w:rPr>
                <w:rFonts w:ascii="宋体" w:hAnsi="宋体" w:eastAsia="宋体" w:cs="宋体"/>
                <w:spacing w:val="8"/>
                <w:sz w:val="20"/>
                <w:szCs w:val="20"/>
                <w14:textOutline w14:w="3795" w14:cap="sq" w14:cmpd="sng">
                  <w14:solidFill>
                    <w14:srgbClr w14:val="000000"/>
                  </w14:solidFill>
                  <w14:prstDash w14:val="solid"/>
                  <w14:bevel/>
                </w14:textOutline>
              </w:rPr>
              <w:t>康危害</w:t>
            </w:r>
          </w:p>
        </w:tc>
        <w:tc>
          <w:tcPr>
            <w:tcW w:w="6130" w:type="dxa"/>
            <w:gridSpan w:val="3"/>
            <w:tcBorders>
              <w:right w:val="nil"/>
            </w:tcBorders>
            <w:vAlign w:val="top"/>
          </w:tcPr>
          <w:p w14:paraId="30228A35">
            <w:pPr>
              <w:spacing w:before="55" w:line="258" w:lineRule="auto"/>
              <w:ind w:left="122" w:right="107" w:hanging="7"/>
              <w:rPr>
                <w:rFonts w:ascii="宋体" w:hAnsi="宋体" w:eastAsia="宋体" w:cs="宋体"/>
                <w:sz w:val="20"/>
                <w:szCs w:val="20"/>
              </w:rPr>
            </w:pPr>
            <w:r>
              <w:rPr>
                <w:rFonts w:ascii="宋体" w:hAnsi="宋体" w:eastAsia="宋体" w:cs="宋体"/>
                <w:spacing w:val="11"/>
                <w:sz w:val="20"/>
                <w:szCs w:val="20"/>
              </w:rPr>
              <w:t>本身无毒，注意不同添加剂的毒性。热解产生酚、醛对眼、上</w:t>
            </w:r>
            <w:r>
              <w:rPr>
                <w:rFonts w:ascii="宋体" w:hAnsi="宋体" w:eastAsia="宋体" w:cs="宋体"/>
                <w:spacing w:val="7"/>
                <w:sz w:val="20"/>
                <w:szCs w:val="20"/>
              </w:rPr>
              <w:t>呼</w:t>
            </w:r>
            <w:r>
              <w:rPr>
                <w:rFonts w:ascii="宋体" w:hAnsi="宋体" w:eastAsia="宋体" w:cs="宋体"/>
                <w:sz w:val="20"/>
                <w:szCs w:val="20"/>
              </w:rPr>
              <w:t xml:space="preserve"> </w:t>
            </w:r>
            <w:r>
              <w:rPr>
                <w:rFonts w:ascii="宋体" w:hAnsi="宋体" w:eastAsia="宋体" w:cs="宋体"/>
                <w:spacing w:val="10"/>
                <w:sz w:val="20"/>
                <w:szCs w:val="20"/>
              </w:rPr>
              <w:t>吸</w:t>
            </w:r>
            <w:r>
              <w:rPr>
                <w:rFonts w:ascii="宋体" w:hAnsi="宋体" w:eastAsia="宋体" w:cs="宋体"/>
                <w:spacing w:val="7"/>
                <w:sz w:val="20"/>
                <w:szCs w:val="20"/>
              </w:rPr>
              <w:t>道有刺激作用</w:t>
            </w:r>
          </w:p>
        </w:tc>
      </w:tr>
      <w:tr w14:paraId="1D971E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392" w:type="dxa"/>
            <w:tcBorders>
              <w:left w:val="nil"/>
            </w:tcBorders>
            <w:vAlign w:val="top"/>
          </w:tcPr>
          <w:p w14:paraId="26BF11C9">
            <w:pPr>
              <w:spacing w:before="55" w:line="228" w:lineRule="auto"/>
              <w:ind w:left="156"/>
              <w:rPr>
                <w:rFonts w:ascii="宋体" w:hAnsi="宋体" w:eastAsia="宋体" w:cs="宋体"/>
                <w:sz w:val="20"/>
                <w:szCs w:val="20"/>
              </w:rPr>
            </w:pPr>
            <w:r>
              <w:rPr>
                <w:rFonts w:ascii="宋体" w:hAnsi="宋体" w:eastAsia="宋体" w:cs="宋体"/>
                <w:spacing w:val="16"/>
                <w:sz w:val="20"/>
                <w:szCs w:val="20"/>
                <w14:textOutline w14:w="3795" w14:cap="sq" w14:cmpd="sng">
                  <w14:solidFill>
                    <w14:srgbClr w14:val="000000"/>
                  </w14:solidFill>
                  <w14:prstDash w14:val="solid"/>
                  <w14:bevel/>
                </w14:textOutline>
              </w:rPr>
              <w:t>毒</w:t>
            </w:r>
            <w:r>
              <w:rPr>
                <w:rFonts w:ascii="宋体" w:hAnsi="宋体" w:eastAsia="宋体" w:cs="宋体"/>
                <w:spacing w:val="9"/>
                <w:sz w:val="20"/>
                <w:szCs w:val="20"/>
                <w14:textOutline w14:w="3795" w14:cap="sq" w14:cmpd="sng">
                  <w14:solidFill>
                    <w14:srgbClr w14:val="000000"/>
                  </w14:solidFill>
                  <w14:prstDash w14:val="solid"/>
                  <w14:bevel/>
                </w14:textOutline>
              </w:rPr>
              <w:t>理学资料及环境行为</w:t>
            </w:r>
          </w:p>
        </w:tc>
        <w:tc>
          <w:tcPr>
            <w:tcW w:w="6130" w:type="dxa"/>
            <w:gridSpan w:val="3"/>
            <w:tcBorders>
              <w:right w:val="nil"/>
            </w:tcBorders>
            <w:vAlign w:val="top"/>
          </w:tcPr>
          <w:p w14:paraId="26A08343">
            <w:pPr>
              <w:spacing w:before="56" w:line="228" w:lineRule="auto"/>
              <w:ind w:left="653"/>
              <w:rPr>
                <w:rFonts w:ascii="宋体" w:hAnsi="宋体" w:eastAsia="宋体" w:cs="宋体"/>
                <w:sz w:val="20"/>
                <w:szCs w:val="20"/>
              </w:rPr>
            </w:pPr>
            <w:r>
              <w:rPr>
                <w:rFonts w:ascii="宋体" w:hAnsi="宋体" w:eastAsia="宋体" w:cs="宋体"/>
                <w:spacing w:val="18"/>
                <w:sz w:val="20"/>
                <w:szCs w:val="20"/>
              </w:rPr>
              <w:t>在</w:t>
            </w:r>
            <w:r>
              <w:rPr>
                <w:rFonts w:ascii="宋体" w:hAnsi="宋体" w:eastAsia="宋体" w:cs="宋体"/>
                <w:spacing w:val="14"/>
                <w:sz w:val="20"/>
                <w:szCs w:val="20"/>
              </w:rPr>
              <w:t>土</w:t>
            </w:r>
            <w:r>
              <w:rPr>
                <w:rFonts w:ascii="宋体" w:hAnsi="宋体" w:eastAsia="宋体" w:cs="宋体"/>
                <w:spacing w:val="9"/>
                <w:sz w:val="20"/>
                <w:szCs w:val="20"/>
              </w:rPr>
              <w:t>壤中不能分解，燃烧分解为一氧化碳、二氧化碳</w:t>
            </w:r>
          </w:p>
        </w:tc>
      </w:tr>
    </w:tbl>
    <w:p w14:paraId="65F417B9">
      <w:pPr>
        <w:spacing w:line="260" w:lineRule="auto"/>
        <w:rPr>
          <w:rFonts w:ascii="Arial"/>
          <w:sz w:val="21"/>
        </w:rPr>
      </w:pPr>
    </w:p>
    <w:p w14:paraId="5E157DB4">
      <w:pPr>
        <w:spacing w:before="74" w:line="228" w:lineRule="auto"/>
        <w:ind w:left="608"/>
        <w:rPr>
          <w:rFonts w:ascii="宋体" w:hAnsi="宋体" w:eastAsia="宋体" w:cs="宋体"/>
          <w:sz w:val="23"/>
          <w:szCs w:val="23"/>
        </w:rPr>
      </w:pPr>
      <w:r>
        <w:rPr>
          <w:rFonts w:ascii="宋体" w:hAnsi="宋体" w:eastAsia="宋体" w:cs="宋体"/>
          <w:spacing w:val="18"/>
          <w:sz w:val="23"/>
          <w:szCs w:val="23"/>
        </w:rPr>
        <w:t>(</w:t>
      </w:r>
      <w:r>
        <w:rPr>
          <w:rFonts w:ascii="Times New Roman" w:hAnsi="Times New Roman" w:eastAsia="Times New Roman" w:cs="Times New Roman"/>
          <w:spacing w:val="18"/>
          <w:sz w:val="23"/>
          <w:szCs w:val="23"/>
        </w:rPr>
        <w:t>2</w:t>
      </w:r>
      <w:r>
        <w:rPr>
          <w:rFonts w:ascii="宋体" w:hAnsi="宋体" w:eastAsia="宋体" w:cs="宋体"/>
          <w:spacing w:val="18"/>
          <w:sz w:val="23"/>
          <w:szCs w:val="23"/>
        </w:rPr>
        <w:t>) 设施风险识</w:t>
      </w:r>
      <w:r>
        <w:rPr>
          <w:rFonts w:ascii="宋体" w:hAnsi="宋体" w:eastAsia="宋体" w:cs="宋体"/>
          <w:spacing w:val="17"/>
          <w:sz w:val="23"/>
          <w:szCs w:val="23"/>
        </w:rPr>
        <w:t>别</w:t>
      </w:r>
    </w:p>
    <w:p w14:paraId="4A3CE88C">
      <w:pPr>
        <w:spacing w:line="274" w:lineRule="auto"/>
        <w:rPr>
          <w:rFonts w:ascii="Arial"/>
          <w:sz w:val="21"/>
        </w:rPr>
      </w:pPr>
    </w:p>
    <w:p w14:paraId="02334E04">
      <w:pPr>
        <w:spacing w:before="76" w:line="388" w:lineRule="auto"/>
        <w:ind w:left="116" w:right="46" w:firstLine="482"/>
        <w:rPr>
          <w:rFonts w:ascii="宋体" w:hAnsi="宋体" w:eastAsia="宋体" w:cs="宋体"/>
          <w:sz w:val="23"/>
          <w:szCs w:val="23"/>
        </w:rPr>
      </w:pPr>
      <w:r>
        <w:rPr>
          <w:rFonts w:ascii="宋体" w:hAnsi="宋体" w:eastAsia="宋体" w:cs="宋体"/>
          <w:spacing w:val="7"/>
          <w:sz w:val="23"/>
          <w:szCs w:val="23"/>
        </w:rPr>
        <w:t>生产设施风险识别范围包括：生产装置、贮运系统、公用工程系统、工程</w:t>
      </w:r>
      <w:r>
        <w:rPr>
          <w:rFonts w:ascii="宋体" w:hAnsi="宋体" w:eastAsia="宋体" w:cs="宋体"/>
          <w:spacing w:val="1"/>
          <w:sz w:val="23"/>
          <w:szCs w:val="23"/>
        </w:rPr>
        <w:t>环</w:t>
      </w:r>
      <w:r>
        <w:rPr>
          <w:rFonts w:ascii="宋体" w:hAnsi="宋体" w:eastAsia="宋体" w:cs="宋体"/>
          <w:sz w:val="23"/>
          <w:szCs w:val="23"/>
        </w:rPr>
        <w:t xml:space="preserve"> </w:t>
      </w:r>
      <w:r>
        <w:rPr>
          <w:rFonts w:ascii="宋体" w:hAnsi="宋体" w:eastAsia="宋体" w:cs="宋体"/>
          <w:spacing w:val="9"/>
          <w:sz w:val="23"/>
          <w:szCs w:val="23"/>
        </w:rPr>
        <w:t>保</w:t>
      </w:r>
      <w:r>
        <w:rPr>
          <w:rFonts w:ascii="宋体" w:hAnsi="宋体" w:eastAsia="宋体" w:cs="宋体"/>
          <w:spacing w:val="7"/>
          <w:sz w:val="23"/>
          <w:szCs w:val="23"/>
        </w:rPr>
        <w:t>设施及辅助生产设施等。拟建项目生产设备不属于高温、高压设备，出现事故</w:t>
      </w:r>
      <w:r>
        <w:rPr>
          <w:rFonts w:ascii="宋体" w:hAnsi="宋体" w:eastAsia="宋体" w:cs="宋体"/>
          <w:sz w:val="23"/>
          <w:szCs w:val="23"/>
        </w:rPr>
        <w:t xml:space="preserve"> </w:t>
      </w:r>
      <w:r>
        <w:rPr>
          <w:rFonts w:ascii="宋体" w:hAnsi="宋体" w:eastAsia="宋体" w:cs="宋体"/>
          <w:spacing w:val="4"/>
          <w:sz w:val="23"/>
          <w:szCs w:val="23"/>
        </w:rPr>
        <w:t>的可能</w:t>
      </w:r>
      <w:r>
        <w:rPr>
          <w:rFonts w:ascii="宋体" w:hAnsi="宋体" w:eastAsia="宋体" w:cs="宋体"/>
          <w:spacing w:val="3"/>
          <w:sz w:val="23"/>
          <w:szCs w:val="23"/>
        </w:rPr>
        <w:t>性</w:t>
      </w:r>
      <w:r>
        <w:rPr>
          <w:rFonts w:ascii="宋体" w:hAnsi="宋体" w:eastAsia="宋体" w:cs="宋体"/>
          <w:spacing w:val="2"/>
          <w:sz w:val="23"/>
          <w:szCs w:val="23"/>
        </w:rPr>
        <w:t>甚微；根据物料性质及生产工艺，由于废塑料在清洗等工序含水量较大，</w:t>
      </w:r>
      <w:r>
        <w:rPr>
          <w:rFonts w:ascii="宋体" w:hAnsi="宋体" w:eastAsia="宋体" w:cs="宋体"/>
          <w:sz w:val="23"/>
          <w:szCs w:val="23"/>
        </w:rPr>
        <w:t xml:space="preserve"> </w:t>
      </w:r>
      <w:r>
        <w:rPr>
          <w:rFonts w:ascii="宋体" w:hAnsi="宋体" w:eastAsia="宋体" w:cs="宋体"/>
          <w:spacing w:val="7"/>
          <w:sz w:val="23"/>
          <w:szCs w:val="23"/>
        </w:rPr>
        <w:t>几乎不可能发生火灾事故，可能存在火灾风险的单元主要为仓库 (用于储存原</w:t>
      </w:r>
      <w:r>
        <w:rPr>
          <w:rFonts w:ascii="宋体" w:hAnsi="宋体" w:eastAsia="宋体" w:cs="宋体"/>
          <w:spacing w:val="2"/>
          <w:sz w:val="23"/>
          <w:szCs w:val="23"/>
        </w:rPr>
        <w:t>料</w:t>
      </w:r>
      <w:r>
        <w:rPr>
          <w:rFonts w:ascii="宋体" w:hAnsi="宋体" w:eastAsia="宋体" w:cs="宋体"/>
          <w:sz w:val="23"/>
          <w:szCs w:val="23"/>
        </w:rPr>
        <w:t xml:space="preserve"> </w:t>
      </w:r>
      <w:r>
        <w:rPr>
          <w:rFonts w:ascii="宋体" w:hAnsi="宋体" w:eastAsia="宋体" w:cs="宋体"/>
          <w:spacing w:val="7"/>
          <w:sz w:val="23"/>
          <w:szCs w:val="23"/>
        </w:rPr>
        <w:t>及产品) ，因此确定拟建项目潜在的风险为火灾事故。本项目生产设施风险类</w:t>
      </w:r>
      <w:r>
        <w:rPr>
          <w:rFonts w:ascii="宋体" w:hAnsi="宋体" w:eastAsia="宋体" w:cs="宋体"/>
          <w:spacing w:val="2"/>
          <w:sz w:val="23"/>
          <w:szCs w:val="23"/>
        </w:rPr>
        <w:t>型</w:t>
      </w:r>
      <w:r>
        <w:rPr>
          <w:rFonts w:ascii="宋体" w:hAnsi="宋体" w:eastAsia="宋体" w:cs="宋体"/>
          <w:sz w:val="23"/>
          <w:szCs w:val="23"/>
        </w:rPr>
        <w:t xml:space="preserve"> </w:t>
      </w:r>
      <w:r>
        <w:rPr>
          <w:rFonts w:ascii="宋体" w:hAnsi="宋体" w:eastAsia="宋体" w:cs="宋体"/>
          <w:spacing w:val="1"/>
          <w:sz w:val="23"/>
          <w:szCs w:val="23"/>
        </w:rPr>
        <w:t xml:space="preserve">识别结果见表 </w:t>
      </w:r>
      <w:r>
        <w:rPr>
          <w:rFonts w:ascii="Times New Roman" w:hAnsi="Times New Roman" w:eastAsia="Times New Roman" w:cs="Times New Roman"/>
          <w:spacing w:val="1"/>
          <w:sz w:val="23"/>
          <w:szCs w:val="23"/>
        </w:rPr>
        <w:t>7-</w:t>
      </w:r>
      <w:r>
        <w:rPr>
          <w:rFonts w:ascii="Times New Roman" w:hAnsi="Times New Roman" w:eastAsia="Times New Roman" w:cs="Times New Roman"/>
          <w:sz w:val="23"/>
          <w:szCs w:val="23"/>
        </w:rPr>
        <w:t>7</w:t>
      </w:r>
      <w:r>
        <w:rPr>
          <w:rFonts w:ascii="宋体" w:hAnsi="宋体" w:eastAsia="宋体" w:cs="宋体"/>
          <w:sz w:val="23"/>
          <w:szCs w:val="23"/>
        </w:rPr>
        <w:t>。</w:t>
      </w:r>
    </w:p>
    <w:p w14:paraId="254D3CF0">
      <w:pPr>
        <w:spacing w:before="137" w:line="227" w:lineRule="auto"/>
        <w:ind w:left="2158"/>
        <w:rPr>
          <w:rFonts w:ascii="宋体" w:hAnsi="宋体" w:eastAsia="宋体" w:cs="宋体"/>
          <w:sz w:val="23"/>
          <w:szCs w:val="23"/>
        </w:rPr>
      </w:pPr>
      <w:r>
        <w:rPr>
          <w:rFonts w:ascii="宋体" w:hAnsi="宋体" w:eastAsia="宋体" w:cs="宋体"/>
          <w:spacing w:val="8"/>
          <w:sz w:val="23"/>
          <w:szCs w:val="23"/>
          <w14:textOutline w14:w="4358" w14:cap="sq" w14:cmpd="sng">
            <w14:solidFill>
              <w14:srgbClr w14:val="000000"/>
            </w14:solidFill>
            <w14:prstDash w14:val="solid"/>
            <w14:bevel/>
          </w14:textOutline>
        </w:rPr>
        <w:t>表</w:t>
      </w:r>
      <w:r>
        <w:rPr>
          <w:rFonts w:ascii="宋体" w:hAnsi="宋体" w:eastAsia="宋体" w:cs="宋体"/>
          <w:spacing w:val="8"/>
          <w:sz w:val="23"/>
          <w:szCs w:val="23"/>
        </w:rPr>
        <w:t xml:space="preserve"> </w:t>
      </w:r>
      <w:r>
        <w:rPr>
          <w:rFonts w:ascii="Times New Roman" w:hAnsi="Times New Roman" w:eastAsia="Times New Roman" w:cs="Times New Roman"/>
          <w:b/>
          <w:bCs/>
          <w:spacing w:val="8"/>
          <w:sz w:val="23"/>
          <w:szCs w:val="23"/>
        </w:rPr>
        <w:t>7-</w:t>
      </w:r>
      <w:r>
        <w:rPr>
          <w:rFonts w:ascii="Times New Roman" w:hAnsi="Times New Roman" w:eastAsia="Times New Roman" w:cs="Times New Roman"/>
          <w:b/>
          <w:bCs/>
          <w:spacing w:val="7"/>
          <w:sz w:val="23"/>
          <w:szCs w:val="23"/>
        </w:rPr>
        <w:t>7</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生产设施风险识别结果一览表</w:t>
      </w:r>
    </w:p>
    <w:p w14:paraId="73645498">
      <w:pPr>
        <w:spacing w:line="17"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1"/>
        <w:gridCol w:w="1674"/>
        <w:gridCol w:w="1809"/>
        <w:gridCol w:w="1809"/>
        <w:gridCol w:w="1809"/>
      </w:tblGrid>
      <w:tr w14:paraId="391E52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095" w:type="dxa"/>
            <w:gridSpan w:val="2"/>
            <w:tcBorders>
              <w:left w:val="nil"/>
            </w:tcBorders>
            <w:vAlign w:val="top"/>
          </w:tcPr>
          <w:p w14:paraId="52291129">
            <w:pPr>
              <w:spacing w:before="76" w:line="228" w:lineRule="auto"/>
              <w:ind w:left="1136"/>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装</w:t>
            </w:r>
            <w:r>
              <w:rPr>
                <w:rFonts w:ascii="宋体" w:hAnsi="宋体" w:eastAsia="宋体" w:cs="宋体"/>
                <w:spacing w:val="8"/>
                <w:sz w:val="20"/>
                <w:szCs w:val="20"/>
                <w14:textOutline w14:w="3795" w14:cap="sq" w14:cmpd="sng">
                  <w14:solidFill>
                    <w14:srgbClr w14:val="000000"/>
                  </w14:solidFill>
                  <w14:prstDash w14:val="solid"/>
                  <w14:bevel/>
                </w14:textOutline>
              </w:rPr>
              <w:t>置单元</w:t>
            </w:r>
          </w:p>
        </w:tc>
        <w:tc>
          <w:tcPr>
            <w:tcW w:w="1809" w:type="dxa"/>
            <w:vAlign w:val="top"/>
          </w:tcPr>
          <w:p w14:paraId="4130C561">
            <w:pPr>
              <w:spacing w:before="76" w:line="228" w:lineRule="auto"/>
              <w:ind w:left="489"/>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风</w:t>
            </w:r>
            <w:r>
              <w:rPr>
                <w:rFonts w:ascii="宋体" w:hAnsi="宋体" w:eastAsia="宋体" w:cs="宋体"/>
                <w:spacing w:val="8"/>
                <w:sz w:val="20"/>
                <w:szCs w:val="20"/>
                <w14:textOutline w14:w="3795" w14:cap="sq" w14:cmpd="sng">
                  <w14:solidFill>
                    <w14:srgbClr w14:val="000000"/>
                  </w14:solidFill>
                  <w14:prstDash w14:val="solid"/>
                  <w14:bevel/>
                </w14:textOutline>
              </w:rPr>
              <w:t>险物质</w:t>
            </w:r>
          </w:p>
        </w:tc>
        <w:tc>
          <w:tcPr>
            <w:tcW w:w="1809" w:type="dxa"/>
            <w:vAlign w:val="top"/>
          </w:tcPr>
          <w:p w14:paraId="593C6130">
            <w:pPr>
              <w:spacing w:before="75" w:line="228" w:lineRule="auto"/>
              <w:ind w:left="490"/>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风</w:t>
            </w:r>
            <w:r>
              <w:rPr>
                <w:rFonts w:ascii="宋体" w:hAnsi="宋体" w:eastAsia="宋体" w:cs="宋体"/>
                <w:spacing w:val="8"/>
                <w:sz w:val="20"/>
                <w:szCs w:val="20"/>
                <w14:textOutline w14:w="3795" w14:cap="sq" w14:cmpd="sng">
                  <w14:solidFill>
                    <w14:srgbClr w14:val="000000"/>
                  </w14:solidFill>
                  <w14:prstDash w14:val="solid"/>
                  <w14:bevel/>
                </w14:textOutline>
              </w:rPr>
              <w:t>险类型</w:t>
            </w:r>
          </w:p>
        </w:tc>
        <w:tc>
          <w:tcPr>
            <w:tcW w:w="1809" w:type="dxa"/>
            <w:tcBorders>
              <w:right w:val="nil"/>
            </w:tcBorders>
            <w:vAlign w:val="top"/>
          </w:tcPr>
          <w:p w14:paraId="7B05763A">
            <w:pPr>
              <w:spacing w:before="75" w:line="228" w:lineRule="auto"/>
              <w:ind w:left="492"/>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危险等</w:t>
            </w:r>
            <w:r>
              <w:rPr>
                <w:rFonts w:ascii="宋体" w:hAnsi="宋体" w:eastAsia="宋体" w:cs="宋体"/>
                <w:spacing w:val="7"/>
                <w:sz w:val="20"/>
                <w:szCs w:val="20"/>
                <w14:textOutline w14:w="3795" w14:cap="sq" w14:cmpd="sng">
                  <w14:solidFill>
                    <w14:srgbClr w14:val="000000"/>
                  </w14:solidFill>
                  <w14:prstDash w14:val="solid"/>
                  <w14:bevel/>
                </w14:textOutline>
              </w:rPr>
              <w:t>级</w:t>
            </w:r>
          </w:p>
        </w:tc>
      </w:tr>
      <w:tr w14:paraId="7A137D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1421" w:type="dxa"/>
            <w:vMerge w:val="restart"/>
            <w:tcBorders>
              <w:left w:val="nil"/>
              <w:bottom w:val="nil"/>
            </w:tcBorders>
            <w:vAlign w:val="top"/>
          </w:tcPr>
          <w:p w14:paraId="59BBC5F4">
            <w:pPr>
              <w:spacing w:before="225" w:line="228" w:lineRule="auto"/>
              <w:ind w:left="297"/>
              <w:rPr>
                <w:rFonts w:ascii="宋体" w:hAnsi="宋体" w:eastAsia="宋体" w:cs="宋体"/>
                <w:sz w:val="20"/>
                <w:szCs w:val="20"/>
              </w:rPr>
            </w:pPr>
            <w:r>
              <w:rPr>
                <w:rFonts w:ascii="宋体" w:hAnsi="宋体" w:eastAsia="宋体" w:cs="宋体"/>
                <w:spacing w:val="9"/>
                <w:sz w:val="20"/>
                <w:szCs w:val="20"/>
              </w:rPr>
              <w:t>储</w:t>
            </w:r>
            <w:r>
              <w:rPr>
                <w:rFonts w:ascii="宋体" w:hAnsi="宋体" w:eastAsia="宋体" w:cs="宋体"/>
                <w:spacing w:val="7"/>
                <w:sz w:val="20"/>
                <w:szCs w:val="20"/>
              </w:rPr>
              <w:t>运工程</w:t>
            </w:r>
          </w:p>
        </w:tc>
        <w:tc>
          <w:tcPr>
            <w:tcW w:w="1674" w:type="dxa"/>
            <w:vAlign w:val="top"/>
          </w:tcPr>
          <w:p w14:paraId="0410E8F6">
            <w:pPr>
              <w:spacing w:before="52" w:line="228" w:lineRule="auto"/>
              <w:ind w:left="533"/>
              <w:rPr>
                <w:rFonts w:ascii="宋体" w:hAnsi="宋体" w:eastAsia="宋体" w:cs="宋体"/>
                <w:sz w:val="20"/>
                <w:szCs w:val="20"/>
              </w:rPr>
            </w:pPr>
            <w:r>
              <w:rPr>
                <w:rFonts w:ascii="宋体" w:hAnsi="宋体" w:eastAsia="宋体" w:cs="宋体"/>
                <w:spacing w:val="5"/>
                <w:sz w:val="20"/>
                <w:szCs w:val="20"/>
              </w:rPr>
              <w:t>原料库</w:t>
            </w:r>
          </w:p>
        </w:tc>
        <w:tc>
          <w:tcPr>
            <w:tcW w:w="1809" w:type="dxa"/>
            <w:vAlign w:val="top"/>
          </w:tcPr>
          <w:p w14:paraId="79A5C2A7">
            <w:pPr>
              <w:spacing w:before="52" w:line="228" w:lineRule="auto"/>
              <w:ind w:left="279"/>
              <w:rPr>
                <w:rFonts w:ascii="宋体" w:hAnsi="宋体" w:eastAsia="宋体" w:cs="宋体"/>
                <w:sz w:val="20"/>
                <w:szCs w:val="20"/>
              </w:rPr>
            </w:pPr>
            <w:r>
              <w:rPr>
                <w:rFonts w:ascii="宋体" w:hAnsi="宋体" w:eastAsia="宋体" w:cs="宋体"/>
                <w:spacing w:val="10"/>
                <w:sz w:val="20"/>
                <w:szCs w:val="20"/>
              </w:rPr>
              <w:t>废</w:t>
            </w:r>
            <w:r>
              <w:rPr>
                <w:rFonts w:ascii="宋体" w:hAnsi="宋体" w:eastAsia="宋体" w:cs="宋体"/>
                <w:spacing w:val="8"/>
                <w:sz w:val="20"/>
                <w:szCs w:val="20"/>
              </w:rPr>
              <w:t>塑料编织袋</w:t>
            </w:r>
          </w:p>
        </w:tc>
        <w:tc>
          <w:tcPr>
            <w:tcW w:w="1809" w:type="dxa"/>
            <w:vAlign w:val="top"/>
          </w:tcPr>
          <w:p w14:paraId="72540216">
            <w:pPr>
              <w:spacing w:before="52" w:line="228" w:lineRule="auto"/>
              <w:ind w:left="700"/>
              <w:rPr>
                <w:rFonts w:ascii="宋体" w:hAnsi="宋体" w:eastAsia="宋体" w:cs="宋体"/>
                <w:sz w:val="20"/>
                <w:szCs w:val="20"/>
              </w:rPr>
            </w:pPr>
            <w:r>
              <w:rPr>
                <w:rFonts w:ascii="宋体" w:hAnsi="宋体" w:eastAsia="宋体" w:cs="宋体"/>
                <w:spacing w:val="4"/>
                <w:sz w:val="20"/>
                <w:szCs w:val="20"/>
              </w:rPr>
              <w:t>火</w:t>
            </w:r>
            <w:r>
              <w:rPr>
                <w:rFonts w:ascii="宋体" w:hAnsi="宋体" w:eastAsia="宋体" w:cs="宋体"/>
                <w:spacing w:val="3"/>
                <w:sz w:val="20"/>
                <w:szCs w:val="20"/>
              </w:rPr>
              <w:t>灾</w:t>
            </w:r>
          </w:p>
        </w:tc>
        <w:tc>
          <w:tcPr>
            <w:tcW w:w="1809" w:type="dxa"/>
            <w:tcBorders>
              <w:right w:val="nil"/>
            </w:tcBorders>
            <w:vAlign w:val="top"/>
          </w:tcPr>
          <w:p w14:paraId="17E74B24">
            <w:pPr>
              <w:spacing w:before="53" w:line="228" w:lineRule="auto"/>
              <w:ind w:left="491"/>
              <w:rPr>
                <w:rFonts w:ascii="宋体" w:hAnsi="宋体" w:eastAsia="宋体" w:cs="宋体"/>
                <w:sz w:val="20"/>
                <w:szCs w:val="20"/>
              </w:rPr>
            </w:pPr>
            <w:r>
              <w:rPr>
                <w:rFonts w:ascii="宋体" w:hAnsi="宋体" w:eastAsia="宋体" w:cs="宋体"/>
                <w:spacing w:val="7"/>
                <w:sz w:val="20"/>
                <w:szCs w:val="20"/>
              </w:rPr>
              <w:t>稍有危险</w:t>
            </w:r>
          </w:p>
        </w:tc>
      </w:tr>
      <w:tr w14:paraId="6C62CE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1421" w:type="dxa"/>
            <w:vMerge w:val="continue"/>
            <w:tcBorders>
              <w:top w:val="nil"/>
              <w:left w:val="nil"/>
            </w:tcBorders>
            <w:vAlign w:val="top"/>
          </w:tcPr>
          <w:p w14:paraId="3EAA6DBA">
            <w:pPr>
              <w:rPr>
                <w:rFonts w:ascii="Arial"/>
                <w:sz w:val="21"/>
              </w:rPr>
            </w:pPr>
          </w:p>
        </w:tc>
        <w:tc>
          <w:tcPr>
            <w:tcW w:w="1674" w:type="dxa"/>
            <w:vAlign w:val="top"/>
          </w:tcPr>
          <w:p w14:paraId="16379ABB">
            <w:pPr>
              <w:spacing w:before="75" w:line="228" w:lineRule="auto"/>
              <w:ind w:left="530"/>
              <w:rPr>
                <w:rFonts w:ascii="宋体" w:hAnsi="宋体" w:eastAsia="宋体" w:cs="宋体"/>
                <w:sz w:val="20"/>
                <w:szCs w:val="20"/>
              </w:rPr>
            </w:pPr>
            <w:r>
              <w:rPr>
                <w:rFonts w:ascii="宋体" w:hAnsi="宋体" w:eastAsia="宋体" w:cs="宋体"/>
                <w:spacing w:val="7"/>
                <w:sz w:val="20"/>
                <w:szCs w:val="20"/>
              </w:rPr>
              <w:t>成</w:t>
            </w:r>
            <w:r>
              <w:rPr>
                <w:rFonts w:ascii="宋体" w:hAnsi="宋体" w:eastAsia="宋体" w:cs="宋体"/>
                <w:spacing w:val="6"/>
                <w:sz w:val="20"/>
                <w:szCs w:val="20"/>
              </w:rPr>
              <w:t>品库</w:t>
            </w:r>
          </w:p>
        </w:tc>
        <w:tc>
          <w:tcPr>
            <w:tcW w:w="1809" w:type="dxa"/>
            <w:vAlign w:val="top"/>
          </w:tcPr>
          <w:p w14:paraId="1346D1DE">
            <w:pPr>
              <w:spacing w:before="76" w:line="228" w:lineRule="auto"/>
              <w:ind w:left="281"/>
              <w:rPr>
                <w:rFonts w:ascii="宋体" w:hAnsi="宋体" w:eastAsia="宋体" w:cs="宋体"/>
                <w:sz w:val="20"/>
                <w:szCs w:val="20"/>
              </w:rPr>
            </w:pPr>
            <w:r>
              <w:rPr>
                <w:rFonts w:ascii="宋体" w:hAnsi="宋体" w:eastAsia="宋体" w:cs="宋体"/>
                <w:spacing w:val="8"/>
                <w:sz w:val="20"/>
                <w:szCs w:val="20"/>
              </w:rPr>
              <w:t>再生塑料颗</w:t>
            </w:r>
            <w:r>
              <w:rPr>
                <w:rFonts w:ascii="宋体" w:hAnsi="宋体" w:eastAsia="宋体" w:cs="宋体"/>
                <w:spacing w:val="7"/>
                <w:sz w:val="20"/>
                <w:szCs w:val="20"/>
              </w:rPr>
              <w:t>粒</w:t>
            </w:r>
          </w:p>
        </w:tc>
        <w:tc>
          <w:tcPr>
            <w:tcW w:w="1809" w:type="dxa"/>
            <w:vAlign w:val="top"/>
          </w:tcPr>
          <w:p w14:paraId="48D24907">
            <w:pPr>
              <w:spacing w:before="75" w:line="228" w:lineRule="auto"/>
              <w:ind w:left="700"/>
              <w:rPr>
                <w:rFonts w:ascii="宋体" w:hAnsi="宋体" w:eastAsia="宋体" w:cs="宋体"/>
                <w:sz w:val="20"/>
                <w:szCs w:val="20"/>
              </w:rPr>
            </w:pPr>
            <w:r>
              <w:rPr>
                <w:rFonts w:ascii="宋体" w:hAnsi="宋体" w:eastAsia="宋体" w:cs="宋体"/>
                <w:spacing w:val="4"/>
                <w:sz w:val="20"/>
                <w:szCs w:val="20"/>
              </w:rPr>
              <w:t>火</w:t>
            </w:r>
            <w:r>
              <w:rPr>
                <w:rFonts w:ascii="宋体" w:hAnsi="宋体" w:eastAsia="宋体" w:cs="宋体"/>
                <w:spacing w:val="3"/>
                <w:sz w:val="20"/>
                <w:szCs w:val="20"/>
              </w:rPr>
              <w:t>灾</w:t>
            </w:r>
          </w:p>
        </w:tc>
        <w:tc>
          <w:tcPr>
            <w:tcW w:w="1809" w:type="dxa"/>
            <w:tcBorders>
              <w:right w:val="nil"/>
            </w:tcBorders>
            <w:vAlign w:val="top"/>
          </w:tcPr>
          <w:p w14:paraId="23B9D41B">
            <w:pPr>
              <w:spacing w:before="76" w:line="228" w:lineRule="auto"/>
              <w:ind w:left="491"/>
              <w:rPr>
                <w:rFonts w:ascii="宋体" w:hAnsi="宋体" w:eastAsia="宋体" w:cs="宋体"/>
                <w:sz w:val="20"/>
                <w:szCs w:val="20"/>
              </w:rPr>
            </w:pPr>
            <w:r>
              <w:rPr>
                <w:rFonts w:ascii="宋体" w:hAnsi="宋体" w:eastAsia="宋体" w:cs="宋体"/>
                <w:spacing w:val="7"/>
                <w:sz w:val="20"/>
                <w:szCs w:val="20"/>
              </w:rPr>
              <w:t>稍有危险</w:t>
            </w:r>
          </w:p>
        </w:tc>
      </w:tr>
    </w:tbl>
    <w:p w14:paraId="56FF3639">
      <w:pPr>
        <w:spacing w:before="267" w:line="225" w:lineRule="auto"/>
        <w:ind w:left="118"/>
        <w:outlineLvl w:val="1"/>
        <w:rPr>
          <w:rFonts w:ascii="宋体" w:hAnsi="宋体" w:eastAsia="宋体" w:cs="宋体"/>
          <w:sz w:val="31"/>
          <w:szCs w:val="31"/>
        </w:rPr>
      </w:pPr>
      <w:bookmarkStart w:id="32" w:name="_bookmark33"/>
      <w:bookmarkEnd w:id="32"/>
      <w:r>
        <w:rPr>
          <w:rFonts w:ascii="Times New Roman" w:hAnsi="Times New Roman" w:eastAsia="Times New Roman" w:cs="Times New Roman"/>
          <w:b/>
          <w:bCs/>
          <w:spacing w:val="16"/>
          <w:sz w:val="31"/>
          <w:szCs w:val="31"/>
        </w:rPr>
        <w:t>7</w:t>
      </w:r>
      <w:r>
        <w:rPr>
          <w:rFonts w:ascii="Times New Roman" w:hAnsi="Times New Roman" w:eastAsia="Times New Roman" w:cs="Times New Roman"/>
          <w:b/>
          <w:bCs/>
          <w:spacing w:val="8"/>
          <w:sz w:val="31"/>
          <w:szCs w:val="31"/>
        </w:rPr>
        <w:t>.4</w:t>
      </w:r>
      <w:r>
        <w:rPr>
          <w:rFonts w:ascii="Times New Roman" w:hAnsi="Times New Roman" w:eastAsia="Times New Roman" w:cs="Times New Roman"/>
          <w:spacing w:val="8"/>
          <w:sz w:val="31"/>
          <w:szCs w:val="31"/>
        </w:rPr>
        <w:t xml:space="preserve">  </w:t>
      </w:r>
      <w:r>
        <w:rPr>
          <w:rFonts w:ascii="宋体" w:hAnsi="宋体" w:eastAsia="宋体" w:cs="宋体"/>
          <w:spacing w:val="8"/>
          <w:sz w:val="31"/>
          <w:szCs w:val="31"/>
          <w14:textOutline w14:w="5793" w14:cap="sq" w14:cmpd="sng">
            <w14:solidFill>
              <w14:srgbClr w14:val="000000"/>
            </w14:solidFill>
            <w14:prstDash w14:val="solid"/>
            <w14:bevel/>
          </w14:textOutline>
        </w:rPr>
        <w:t>事故风险类型及危害方式、途径</w:t>
      </w:r>
    </w:p>
    <w:p w14:paraId="4F3E9E13">
      <w:pPr>
        <w:spacing w:line="249" w:lineRule="auto"/>
        <w:rPr>
          <w:rFonts w:ascii="Arial"/>
          <w:sz w:val="21"/>
        </w:rPr>
      </w:pPr>
    </w:p>
    <w:p w14:paraId="478ED06C">
      <w:pPr>
        <w:spacing w:before="75" w:line="391" w:lineRule="auto"/>
        <w:ind w:left="116" w:right="107" w:firstLine="481"/>
        <w:rPr>
          <w:rFonts w:ascii="宋体" w:hAnsi="宋体" w:eastAsia="宋体" w:cs="宋体"/>
          <w:sz w:val="23"/>
          <w:szCs w:val="23"/>
        </w:rPr>
      </w:pPr>
      <w:r>
        <w:rPr>
          <w:rFonts w:ascii="宋体" w:hAnsi="宋体" w:eastAsia="宋体" w:cs="宋体"/>
          <w:spacing w:val="7"/>
          <w:sz w:val="23"/>
          <w:szCs w:val="23"/>
        </w:rPr>
        <w:t>本项目可能发生的事故风险类型为：聚乙烯、聚丙烯燃烧风险，三级沉淀</w:t>
      </w:r>
      <w:r>
        <w:rPr>
          <w:rFonts w:ascii="宋体" w:hAnsi="宋体" w:eastAsia="宋体" w:cs="宋体"/>
          <w:spacing w:val="2"/>
          <w:sz w:val="23"/>
          <w:szCs w:val="23"/>
        </w:rPr>
        <w:t>池</w:t>
      </w:r>
      <w:r>
        <w:rPr>
          <w:rFonts w:ascii="宋体" w:hAnsi="宋体" w:eastAsia="宋体" w:cs="宋体"/>
          <w:sz w:val="23"/>
          <w:szCs w:val="23"/>
        </w:rPr>
        <w:t xml:space="preserve"> </w:t>
      </w:r>
      <w:r>
        <w:rPr>
          <w:rFonts w:ascii="宋体" w:hAnsi="宋体" w:eastAsia="宋体" w:cs="宋体"/>
          <w:spacing w:val="9"/>
          <w:sz w:val="23"/>
          <w:szCs w:val="23"/>
        </w:rPr>
        <w:t>废</w:t>
      </w:r>
      <w:r>
        <w:rPr>
          <w:rFonts w:ascii="宋体" w:hAnsi="宋体" w:eastAsia="宋体" w:cs="宋体"/>
          <w:spacing w:val="7"/>
          <w:sz w:val="23"/>
          <w:szCs w:val="23"/>
        </w:rPr>
        <w:t>水泄漏造成地下水环境污染。聚乙烯、聚丙烯为无毒、无臭、无味的乳白色高</w:t>
      </w:r>
      <w:r>
        <w:rPr>
          <w:rFonts w:ascii="宋体" w:hAnsi="宋体" w:eastAsia="宋体" w:cs="宋体"/>
          <w:sz w:val="23"/>
          <w:szCs w:val="23"/>
        </w:rPr>
        <w:t xml:space="preserve"> </w:t>
      </w:r>
      <w:r>
        <w:rPr>
          <w:rFonts w:ascii="宋体" w:hAnsi="宋体" w:eastAsia="宋体" w:cs="宋体"/>
          <w:spacing w:val="9"/>
          <w:sz w:val="23"/>
          <w:szCs w:val="23"/>
        </w:rPr>
        <w:t>结</w:t>
      </w:r>
      <w:r>
        <w:rPr>
          <w:rFonts w:ascii="宋体" w:hAnsi="宋体" w:eastAsia="宋体" w:cs="宋体"/>
          <w:spacing w:val="7"/>
          <w:sz w:val="23"/>
          <w:szCs w:val="23"/>
        </w:rPr>
        <w:t>晶的聚合物，不含有卤素、苯、硫等有毒有害物质，燃烧时对外环境的主要影</w:t>
      </w:r>
    </w:p>
    <w:p w14:paraId="3D660B15">
      <w:pPr>
        <w:sectPr>
          <w:headerReference r:id="rId297" w:type="default"/>
          <w:footerReference r:id="rId298" w:type="default"/>
          <w:pgSz w:w="11906" w:h="16839"/>
          <w:pgMar w:top="1132" w:right="1691" w:bottom="1182" w:left="1691" w:header="878" w:footer="1022" w:gutter="0"/>
          <w:cols w:space="720" w:num="1"/>
        </w:sectPr>
      </w:pPr>
    </w:p>
    <w:p w14:paraId="27272D31">
      <w:pPr>
        <w:spacing w:line="408" w:lineRule="auto"/>
        <w:rPr>
          <w:rFonts w:ascii="Arial"/>
          <w:sz w:val="21"/>
        </w:rPr>
      </w:pPr>
      <w:r>
        <w:pict>
          <v:shape id="_x0000_s1363" o:spid="_x0000_s1363" style="position:absolute;left:0pt;margin-left:90pt;margin-top:57.35pt;height:0.75pt;width:415.3pt;mso-position-horizontal-relative:page;mso-position-vertical-relative:page;z-index:252055552;mso-width-relative:page;mso-height-relative:page;" fillcolor="#000000" filled="t" stroked="f" coordsize="8305,15" o:allowincell="f" path="m0,0l8305,0,8305,14,0,14,0,0xe">
            <v:path/>
            <v:fill on="t" focussize="0,0"/>
            <v:stroke on="f"/>
            <v:imagedata o:title=""/>
            <o:lock v:ext="edit"/>
          </v:shape>
        </w:pict>
      </w:r>
    </w:p>
    <w:p w14:paraId="5E7658E5">
      <w:pPr>
        <w:spacing w:before="75" w:line="227" w:lineRule="auto"/>
        <w:ind w:left="129"/>
        <w:rPr>
          <w:rFonts w:ascii="宋体" w:hAnsi="宋体" w:eastAsia="宋体" w:cs="宋体"/>
          <w:sz w:val="23"/>
          <w:szCs w:val="23"/>
        </w:rPr>
      </w:pPr>
      <w:r>
        <w:rPr>
          <w:rFonts w:ascii="宋体" w:hAnsi="宋体" w:eastAsia="宋体" w:cs="宋体"/>
          <w:spacing w:val="9"/>
          <w:sz w:val="23"/>
          <w:szCs w:val="23"/>
        </w:rPr>
        <w:t>响为燃烧热和烟尘，因此本项目火灾对区域大气环境影响有限</w:t>
      </w:r>
      <w:r>
        <w:rPr>
          <w:rFonts w:ascii="宋体" w:hAnsi="宋体" w:eastAsia="宋体" w:cs="宋体"/>
          <w:spacing w:val="5"/>
          <w:sz w:val="23"/>
          <w:szCs w:val="23"/>
        </w:rPr>
        <w:t>。</w:t>
      </w:r>
    </w:p>
    <w:p w14:paraId="487D1097">
      <w:pPr>
        <w:spacing w:before="286" w:line="225" w:lineRule="auto"/>
        <w:ind w:left="118"/>
        <w:outlineLvl w:val="1"/>
        <w:rPr>
          <w:rFonts w:ascii="宋体" w:hAnsi="宋体" w:eastAsia="宋体" w:cs="宋体"/>
          <w:sz w:val="31"/>
          <w:szCs w:val="31"/>
        </w:rPr>
      </w:pPr>
      <w:bookmarkStart w:id="33" w:name="_bookmark34"/>
      <w:bookmarkEnd w:id="33"/>
      <w:r>
        <w:rPr>
          <w:rFonts w:ascii="Times New Roman" w:hAnsi="Times New Roman" w:eastAsia="Times New Roman" w:cs="Times New Roman"/>
          <w:b/>
          <w:bCs/>
          <w:spacing w:val="10"/>
          <w:sz w:val="31"/>
          <w:szCs w:val="31"/>
        </w:rPr>
        <w:t>7</w:t>
      </w:r>
      <w:r>
        <w:rPr>
          <w:rFonts w:ascii="Times New Roman" w:hAnsi="Times New Roman" w:eastAsia="Times New Roman" w:cs="Times New Roman"/>
          <w:b/>
          <w:bCs/>
          <w:spacing w:val="6"/>
          <w:sz w:val="31"/>
          <w:szCs w:val="31"/>
        </w:rPr>
        <w:t>.5</w:t>
      </w:r>
      <w:r>
        <w:rPr>
          <w:rFonts w:ascii="Times New Roman" w:hAnsi="Times New Roman" w:eastAsia="Times New Roman" w:cs="Times New Roman"/>
          <w:spacing w:val="6"/>
          <w:sz w:val="31"/>
          <w:szCs w:val="31"/>
        </w:rPr>
        <w:t xml:space="preserve">  </w:t>
      </w:r>
      <w:r>
        <w:rPr>
          <w:rFonts w:ascii="宋体" w:hAnsi="宋体" w:eastAsia="宋体" w:cs="宋体"/>
          <w:spacing w:val="6"/>
          <w:sz w:val="31"/>
          <w:szCs w:val="31"/>
          <w14:textOutline w14:w="5793" w14:cap="sq" w14:cmpd="sng">
            <w14:solidFill>
              <w14:srgbClr w14:val="000000"/>
            </w14:solidFill>
            <w14:prstDash w14:val="solid"/>
            <w14:bevel/>
          </w14:textOutline>
        </w:rPr>
        <w:t>环境风险分析</w:t>
      </w:r>
    </w:p>
    <w:p w14:paraId="5DA216AF">
      <w:pPr>
        <w:spacing w:before="273" w:line="226" w:lineRule="auto"/>
        <w:ind w:left="118"/>
        <w:outlineLvl w:val="2"/>
        <w:rPr>
          <w:rFonts w:ascii="宋体" w:hAnsi="宋体" w:eastAsia="宋体" w:cs="宋体"/>
          <w:sz w:val="29"/>
          <w:szCs w:val="29"/>
        </w:rPr>
      </w:pPr>
      <w:r>
        <w:rPr>
          <w:rFonts w:ascii="Times New Roman" w:hAnsi="Times New Roman" w:eastAsia="Times New Roman" w:cs="Times New Roman"/>
          <w:b/>
          <w:bCs/>
          <w:spacing w:val="6"/>
          <w:sz w:val="29"/>
          <w:szCs w:val="29"/>
        </w:rPr>
        <w:t>7.5.1</w:t>
      </w:r>
      <w:r>
        <w:rPr>
          <w:rFonts w:ascii="Times New Roman" w:hAnsi="Times New Roman" w:eastAsia="Times New Roman" w:cs="Times New Roman"/>
          <w:spacing w:val="6"/>
          <w:sz w:val="29"/>
          <w:szCs w:val="29"/>
        </w:rPr>
        <w:t xml:space="preserve">  </w:t>
      </w:r>
      <w:r>
        <w:rPr>
          <w:rFonts w:ascii="宋体" w:hAnsi="宋体" w:eastAsia="宋体" w:cs="宋体"/>
          <w:spacing w:val="6"/>
          <w:sz w:val="29"/>
          <w:szCs w:val="29"/>
          <w14:textOutline w14:w="5448" w14:cap="sq" w14:cmpd="sng">
            <w14:solidFill>
              <w14:srgbClr w14:val="000000"/>
            </w14:solidFill>
            <w14:prstDash w14:val="solid"/>
            <w14:bevel/>
          </w14:textOutline>
        </w:rPr>
        <w:t>最大可信事故</w:t>
      </w:r>
    </w:p>
    <w:p w14:paraId="673B10C2">
      <w:pPr>
        <w:spacing w:line="257" w:lineRule="auto"/>
        <w:rPr>
          <w:rFonts w:ascii="Arial"/>
          <w:sz w:val="21"/>
        </w:rPr>
      </w:pPr>
    </w:p>
    <w:p w14:paraId="340CFA0E">
      <w:pPr>
        <w:spacing w:before="74" w:line="227" w:lineRule="auto"/>
        <w:ind w:left="597"/>
        <w:rPr>
          <w:rFonts w:ascii="宋体" w:hAnsi="宋体" w:eastAsia="宋体" w:cs="宋体"/>
          <w:sz w:val="23"/>
          <w:szCs w:val="23"/>
        </w:rPr>
      </w:pPr>
      <w:r>
        <w:rPr>
          <w:rFonts w:ascii="宋体" w:hAnsi="宋体" w:eastAsia="宋体" w:cs="宋体"/>
          <w:spacing w:val="12"/>
          <w:sz w:val="23"/>
          <w:szCs w:val="23"/>
        </w:rPr>
        <w:t>根据国</w:t>
      </w:r>
      <w:r>
        <w:rPr>
          <w:rFonts w:ascii="宋体" w:hAnsi="宋体" w:eastAsia="宋体" w:cs="宋体"/>
          <w:spacing w:val="6"/>
          <w:sz w:val="23"/>
          <w:szCs w:val="23"/>
        </w:rPr>
        <w:t xml:space="preserve">内外类比情况调查，各类事故可能发生的概率见表 </w:t>
      </w:r>
      <w:r>
        <w:rPr>
          <w:rFonts w:ascii="Times New Roman" w:hAnsi="Times New Roman" w:eastAsia="Times New Roman" w:cs="Times New Roman"/>
          <w:spacing w:val="6"/>
          <w:sz w:val="23"/>
          <w:szCs w:val="23"/>
        </w:rPr>
        <w:t>7-8</w:t>
      </w:r>
      <w:r>
        <w:rPr>
          <w:rFonts w:ascii="宋体" w:hAnsi="宋体" w:eastAsia="宋体" w:cs="宋体"/>
          <w:spacing w:val="6"/>
          <w:sz w:val="23"/>
          <w:szCs w:val="23"/>
        </w:rPr>
        <w:t>。</w:t>
      </w:r>
    </w:p>
    <w:p w14:paraId="6D5CF3EB">
      <w:pPr>
        <w:spacing w:line="276" w:lineRule="auto"/>
        <w:rPr>
          <w:rFonts w:ascii="Arial"/>
          <w:sz w:val="21"/>
        </w:rPr>
      </w:pPr>
    </w:p>
    <w:p w14:paraId="2A82F92B">
      <w:pPr>
        <w:spacing w:before="75" w:line="227" w:lineRule="auto"/>
        <w:ind w:left="2758"/>
        <w:rPr>
          <w:rFonts w:ascii="宋体" w:hAnsi="宋体" w:eastAsia="宋体" w:cs="宋体"/>
          <w:sz w:val="23"/>
          <w:szCs w:val="23"/>
        </w:rPr>
      </w:pPr>
      <w:r>
        <w:rPr>
          <w:rFonts w:ascii="宋体" w:hAnsi="宋体" w:eastAsia="宋体" w:cs="宋体"/>
          <w:spacing w:val="6"/>
          <w:sz w:val="23"/>
          <w:szCs w:val="23"/>
          <w14:textOutline w14:w="4358" w14:cap="sq" w14:cmpd="sng">
            <w14:solidFill>
              <w14:srgbClr w14:val="000000"/>
            </w14:solidFill>
            <w14:prstDash w14:val="solid"/>
            <w14:bevel/>
          </w14:textOutline>
        </w:rPr>
        <w:t>表</w:t>
      </w:r>
      <w:r>
        <w:rPr>
          <w:rFonts w:ascii="宋体" w:hAnsi="宋体" w:eastAsia="宋体" w:cs="宋体"/>
          <w:spacing w:val="5"/>
          <w:sz w:val="23"/>
          <w:szCs w:val="23"/>
        </w:rPr>
        <w:t xml:space="preserve"> </w:t>
      </w:r>
      <w:r>
        <w:rPr>
          <w:rFonts w:ascii="Times New Roman" w:hAnsi="Times New Roman" w:eastAsia="Times New Roman" w:cs="Times New Roman"/>
          <w:b/>
          <w:bCs/>
          <w:spacing w:val="3"/>
          <w:sz w:val="23"/>
          <w:szCs w:val="23"/>
        </w:rPr>
        <w:t>7-8</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14:textOutline w14:w="4358" w14:cap="sq" w14:cmpd="sng">
            <w14:solidFill>
              <w14:srgbClr w14:val="000000"/>
            </w14:solidFill>
            <w14:prstDash w14:val="solid"/>
            <w14:bevel/>
          </w14:textOutline>
        </w:rPr>
        <w:t>可能发生事故概率</w:t>
      </w:r>
    </w:p>
    <w:p w14:paraId="60771E42">
      <w:pPr>
        <w:spacing w:line="18" w:lineRule="exact"/>
      </w:pPr>
    </w:p>
    <w:tbl>
      <w:tblPr>
        <w:tblStyle w:val="4"/>
        <w:tblW w:w="8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7"/>
        <w:gridCol w:w="1824"/>
        <w:gridCol w:w="1824"/>
        <w:gridCol w:w="4077"/>
      </w:tblGrid>
      <w:tr w14:paraId="22ABC6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797" w:type="dxa"/>
            <w:tcBorders>
              <w:left w:val="nil"/>
            </w:tcBorders>
            <w:vAlign w:val="top"/>
          </w:tcPr>
          <w:p w14:paraId="2FE359A8">
            <w:pPr>
              <w:spacing w:before="75" w:line="229" w:lineRule="auto"/>
              <w:ind w:left="194"/>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序号</w:t>
            </w:r>
          </w:p>
        </w:tc>
        <w:tc>
          <w:tcPr>
            <w:tcW w:w="1824" w:type="dxa"/>
            <w:vAlign w:val="top"/>
          </w:tcPr>
          <w:p w14:paraId="0EF330B7">
            <w:pPr>
              <w:spacing w:before="75" w:line="228" w:lineRule="auto"/>
              <w:ind w:left="497"/>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事</w:t>
            </w:r>
            <w:r>
              <w:rPr>
                <w:rFonts w:ascii="宋体" w:hAnsi="宋体" w:eastAsia="宋体" w:cs="宋体"/>
                <w:spacing w:val="8"/>
                <w:sz w:val="20"/>
                <w:szCs w:val="20"/>
                <w14:textOutline w14:w="3795" w14:cap="sq" w14:cmpd="sng">
                  <w14:solidFill>
                    <w14:srgbClr w14:val="000000"/>
                  </w14:solidFill>
                  <w14:prstDash w14:val="solid"/>
                  <w14:bevel/>
                </w14:textOutline>
              </w:rPr>
              <w:t>故类型</w:t>
            </w:r>
          </w:p>
        </w:tc>
        <w:tc>
          <w:tcPr>
            <w:tcW w:w="1824" w:type="dxa"/>
            <w:vAlign w:val="top"/>
          </w:tcPr>
          <w:p w14:paraId="3FAB8114">
            <w:pPr>
              <w:spacing w:before="76" w:line="228" w:lineRule="auto"/>
              <w:ind w:left="606"/>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发</w:t>
            </w:r>
            <w:r>
              <w:rPr>
                <w:rFonts w:ascii="宋体" w:hAnsi="宋体" w:eastAsia="宋体" w:cs="宋体"/>
                <w:spacing w:val="6"/>
                <w:sz w:val="20"/>
                <w:szCs w:val="20"/>
                <w14:textOutline w14:w="3795" w14:cap="sq" w14:cmpd="sng">
                  <w14:solidFill>
                    <w14:srgbClr w14:val="000000"/>
                  </w14:solidFill>
                  <w14:prstDash w14:val="solid"/>
                  <w14:bevel/>
                </w14:textOutline>
              </w:rPr>
              <w:t>生点</w:t>
            </w:r>
          </w:p>
        </w:tc>
        <w:tc>
          <w:tcPr>
            <w:tcW w:w="4077" w:type="dxa"/>
            <w:tcBorders>
              <w:right w:val="nil"/>
            </w:tcBorders>
            <w:vAlign w:val="top"/>
          </w:tcPr>
          <w:p w14:paraId="2BB9DBA5">
            <w:pPr>
              <w:spacing w:before="76" w:line="228" w:lineRule="auto"/>
              <w:ind w:left="1308"/>
              <w:rPr>
                <w:rFonts w:ascii="宋体" w:hAnsi="宋体" w:eastAsia="宋体" w:cs="宋体"/>
                <w:sz w:val="20"/>
                <w:szCs w:val="20"/>
              </w:rPr>
            </w:pPr>
            <w:r>
              <w:rPr>
                <w:rFonts w:ascii="宋体" w:hAnsi="宋体" w:eastAsia="宋体" w:cs="宋体"/>
                <w:spacing w:val="11"/>
                <w:sz w:val="20"/>
                <w:szCs w:val="20"/>
                <w14:textOutline w14:w="3795" w14:cap="sq" w14:cmpd="sng">
                  <w14:solidFill>
                    <w14:srgbClr w14:val="000000"/>
                  </w14:solidFill>
                  <w14:prstDash w14:val="solid"/>
                  <w14:bevel/>
                </w14:textOutline>
              </w:rPr>
              <w:t>事</w:t>
            </w:r>
            <w:r>
              <w:rPr>
                <w:rFonts w:ascii="宋体" w:hAnsi="宋体" w:eastAsia="宋体" w:cs="宋体"/>
                <w:spacing w:val="9"/>
                <w:sz w:val="20"/>
                <w:szCs w:val="20"/>
                <w14:textOutline w14:w="3795" w14:cap="sq" w14:cmpd="sng">
                  <w14:solidFill>
                    <w14:srgbClr w14:val="000000"/>
                  </w14:solidFill>
                  <w14:prstDash w14:val="solid"/>
                  <w14:bevel/>
                </w14:textOutline>
              </w:rPr>
              <w:t>故原因、概率</w:t>
            </w:r>
          </w:p>
        </w:tc>
      </w:tr>
      <w:tr w14:paraId="7A1791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797" w:type="dxa"/>
            <w:tcBorders>
              <w:left w:val="nil"/>
            </w:tcBorders>
            <w:vAlign w:val="top"/>
          </w:tcPr>
          <w:p w14:paraId="7A720B20">
            <w:pPr>
              <w:spacing w:before="88" w:line="195" w:lineRule="auto"/>
              <w:ind w:left="370"/>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824" w:type="dxa"/>
            <w:vAlign w:val="top"/>
          </w:tcPr>
          <w:p w14:paraId="01992204">
            <w:pPr>
              <w:spacing w:before="51" w:line="228" w:lineRule="auto"/>
              <w:ind w:left="710"/>
              <w:rPr>
                <w:rFonts w:ascii="宋体" w:hAnsi="宋体" w:eastAsia="宋体" w:cs="宋体"/>
                <w:sz w:val="20"/>
                <w:szCs w:val="20"/>
              </w:rPr>
            </w:pPr>
            <w:r>
              <w:rPr>
                <w:rFonts w:ascii="宋体" w:hAnsi="宋体" w:eastAsia="宋体" w:cs="宋体"/>
                <w:spacing w:val="4"/>
                <w:sz w:val="20"/>
                <w:szCs w:val="20"/>
              </w:rPr>
              <w:t>火</w:t>
            </w:r>
            <w:r>
              <w:rPr>
                <w:rFonts w:ascii="宋体" w:hAnsi="宋体" w:eastAsia="宋体" w:cs="宋体"/>
                <w:spacing w:val="3"/>
                <w:sz w:val="20"/>
                <w:szCs w:val="20"/>
              </w:rPr>
              <w:t>灾</w:t>
            </w:r>
          </w:p>
        </w:tc>
        <w:tc>
          <w:tcPr>
            <w:tcW w:w="1824" w:type="dxa"/>
            <w:vAlign w:val="top"/>
          </w:tcPr>
          <w:p w14:paraId="21277D9A">
            <w:pPr>
              <w:spacing w:before="51" w:line="228" w:lineRule="auto"/>
              <w:ind w:left="500"/>
              <w:rPr>
                <w:rFonts w:ascii="宋体" w:hAnsi="宋体" w:eastAsia="宋体" w:cs="宋体"/>
                <w:sz w:val="20"/>
                <w:szCs w:val="20"/>
              </w:rPr>
            </w:pPr>
            <w:r>
              <w:rPr>
                <w:rFonts w:ascii="宋体" w:hAnsi="宋体" w:eastAsia="宋体" w:cs="宋体"/>
                <w:spacing w:val="8"/>
                <w:sz w:val="20"/>
                <w:szCs w:val="20"/>
              </w:rPr>
              <w:t>设</w:t>
            </w:r>
            <w:r>
              <w:rPr>
                <w:rFonts w:ascii="宋体" w:hAnsi="宋体" w:eastAsia="宋体" w:cs="宋体"/>
                <w:spacing w:val="6"/>
                <w:sz w:val="20"/>
                <w:szCs w:val="20"/>
              </w:rPr>
              <w:t>备故障</w:t>
            </w:r>
          </w:p>
        </w:tc>
        <w:tc>
          <w:tcPr>
            <w:tcW w:w="4077" w:type="dxa"/>
            <w:tcBorders>
              <w:right w:val="nil"/>
            </w:tcBorders>
            <w:vAlign w:val="top"/>
          </w:tcPr>
          <w:p w14:paraId="5A174389">
            <w:pPr>
              <w:spacing w:before="14" w:line="281" w:lineRule="exact"/>
              <w:ind w:left="119"/>
              <w:rPr>
                <w:rFonts w:ascii="宋体" w:hAnsi="宋体" w:eastAsia="宋体" w:cs="宋体"/>
                <w:sz w:val="20"/>
                <w:szCs w:val="20"/>
              </w:rPr>
            </w:pPr>
            <w:r>
              <w:rPr>
                <w:rFonts w:ascii="宋体" w:hAnsi="宋体" w:eastAsia="宋体" w:cs="宋体"/>
                <w:spacing w:val="10"/>
                <w:position w:val="1"/>
                <w:sz w:val="20"/>
                <w:szCs w:val="20"/>
              </w:rPr>
              <w:t>人</w:t>
            </w:r>
            <w:r>
              <w:rPr>
                <w:rFonts w:ascii="宋体" w:hAnsi="宋体" w:eastAsia="宋体" w:cs="宋体"/>
                <w:spacing w:val="7"/>
                <w:position w:val="1"/>
                <w:sz w:val="20"/>
                <w:szCs w:val="20"/>
              </w:rPr>
              <w:t>为</w:t>
            </w:r>
            <w:r>
              <w:rPr>
                <w:rFonts w:ascii="宋体" w:hAnsi="宋体" w:eastAsia="宋体" w:cs="宋体"/>
                <w:spacing w:val="5"/>
                <w:position w:val="1"/>
                <w:sz w:val="20"/>
                <w:szCs w:val="20"/>
              </w:rPr>
              <w:t xml:space="preserve">操作失误、设施维护不到位 </w:t>
            </w:r>
            <w:r>
              <w:rPr>
                <w:rFonts w:ascii="Times New Roman" w:hAnsi="Times New Roman" w:eastAsia="Times New Roman" w:cs="Times New Roman"/>
                <w:spacing w:val="5"/>
                <w:position w:val="1"/>
                <w:sz w:val="20"/>
                <w:szCs w:val="20"/>
              </w:rPr>
              <w:t>10-</w:t>
            </w:r>
            <w:r>
              <w:rPr>
                <w:rFonts w:ascii="Times New Roman" w:hAnsi="Times New Roman" w:eastAsia="Times New Roman" w:cs="Times New Roman"/>
                <w:spacing w:val="5"/>
                <w:position w:val="7"/>
                <w:sz w:val="13"/>
                <w:szCs w:val="13"/>
              </w:rPr>
              <w:t xml:space="preserve">7 </w:t>
            </w:r>
            <w:r>
              <w:rPr>
                <w:rFonts w:ascii="宋体" w:hAnsi="宋体" w:eastAsia="宋体" w:cs="宋体"/>
                <w:spacing w:val="5"/>
                <w:position w:val="1"/>
                <w:sz w:val="20"/>
                <w:szCs w:val="20"/>
              </w:rPr>
              <w:t>次</w:t>
            </w:r>
            <w:r>
              <w:rPr>
                <w:rFonts w:ascii="Times New Roman" w:hAnsi="Times New Roman" w:eastAsia="Times New Roman" w:cs="Times New Roman"/>
                <w:spacing w:val="5"/>
                <w:position w:val="1"/>
                <w:sz w:val="20"/>
                <w:szCs w:val="20"/>
              </w:rPr>
              <w:t>/</w:t>
            </w:r>
            <w:r>
              <w:rPr>
                <w:rFonts w:ascii="宋体" w:hAnsi="宋体" w:eastAsia="宋体" w:cs="宋体"/>
                <w:spacing w:val="5"/>
                <w:position w:val="1"/>
                <w:sz w:val="20"/>
                <w:szCs w:val="20"/>
              </w:rPr>
              <w:t>年</w:t>
            </w:r>
          </w:p>
        </w:tc>
      </w:tr>
      <w:tr w14:paraId="0ABD15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797" w:type="dxa"/>
            <w:tcBorders>
              <w:left w:val="nil"/>
            </w:tcBorders>
            <w:vAlign w:val="top"/>
          </w:tcPr>
          <w:p w14:paraId="3A5DEFD4">
            <w:pPr>
              <w:spacing w:before="92" w:line="195" w:lineRule="auto"/>
              <w:ind w:left="34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824" w:type="dxa"/>
            <w:vAlign w:val="top"/>
          </w:tcPr>
          <w:p w14:paraId="3B84F320">
            <w:pPr>
              <w:spacing w:before="55" w:line="228" w:lineRule="auto"/>
              <w:ind w:left="496"/>
              <w:rPr>
                <w:rFonts w:ascii="宋体" w:hAnsi="宋体" w:eastAsia="宋体" w:cs="宋体"/>
                <w:sz w:val="20"/>
                <w:szCs w:val="20"/>
              </w:rPr>
            </w:pPr>
            <w:r>
              <w:rPr>
                <w:rFonts w:ascii="宋体" w:hAnsi="宋体" w:eastAsia="宋体" w:cs="宋体"/>
                <w:spacing w:val="9"/>
                <w:sz w:val="20"/>
                <w:szCs w:val="20"/>
              </w:rPr>
              <w:t>废</w:t>
            </w:r>
            <w:r>
              <w:rPr>
                <w:rFonts w:ascii="宋体" w:hAnsi="宋体" w:eastAsia="宋体" w:cs="宋体"/>
                <w:spacing w:val="7"/>
                <w:sz w:val="20"/>
                <w:szCs w:val="20"/>
              </w:rPr>
              <w:t>水泄露</w:t>
            </w:r>
          </w:p>
        </w:tc>
        <w:tc>
          <w:tcPr>
            <w:tcW w:w="1824" w:type="dxa"/>
            <w:vAlign w:val="top"/>
          </w:tcPr>
          <w:p w14:paraId="16624CB3">
            <w:pPr>
              <w:spacing w:before="55" w:line="228" w:lineRule="auto"/>
              <w:ind w:left="500"/>
              <w:rPr>
                <w:rFonts w:ascii="宋体" w:hAnsi="宋体" w:eastAsia="宋体" w:cs="宋体"/>
                <w:sz w:val="20"/>
                <w:szCs w:val="20"/>
              </w:rPr>
            </w:pPr>
            <w:r>
              <w:rPr>
                <w:rFonts w:ascii="宋体" w:hAnsi="宋体" w:eastAsia="宋体" w:cs="宋体"/>
                <w:spacing w:val="8"/>
                <w:sz w:val="20"/>
                <w:szCs w:val="20"/>
              </w:rPr>
              <w:t>设</w:t>
            </w:r>
            <w:r>
              <w:rPr>
                <w:rFonts w:ascii="宋体" w:hAnsi="宋体" w:eastAsia="宋体" w:cs="宋体"/>
                <w:spacing w:val="6"/>
                <w:sz w:val="20"/>
                <w:szCs w:val="20"/>
              </w:rPr>
              <w:t>备故障</w:t>
            </w:r>
          </w:p>
        </w:tc>
        <w:tc>
          <w:tcPr>
            <w:tcW w:w="4077" w:type="dxa"/>
            <w:tcBorders>
              <w:right w:val="nil"/>
            </w:tcBorders>
            <w:vAlign w:val="top"/>
          </w:tcPr>
          <w:p w14:paraId="23802F4E">
            <w:pPr>
              <w:spacing w:before="18" w:line="281" w:lineRule="exact"/>
              <w:ind w:left="119"/>
              <w:rPr>
                <w:rFonts w:ascii="宋体" w:hAnsi="宋体" w:eastAsia="宋体" w:cs="宋体"/>
                <w:sz w:val="20"/>
                <w:szCs w:val="20"/>
              </w:rPr>
            </w:pPr>
            <w:r>
              <w:rPr>
                <w:rFonts w:ascii="宋体" w:hAnsi="宋体" w:eastAsia="宋体" w:cs="宋体"/>
                <w:spacing w:val="10"/>
                <w:position w:val="1"/>
                <w:sz w:val="20"/>
                <w:szCs w:val="20"/>
              </w:rPr>
              <w:t>人</w:t>
            </w:r>
            <w:r>
              <w:rPr>
                <w:rFonts w:ascii="宋体" w:hAnsi="宋体" w:eastAsia="宋体" w:cs="宋体"/>
                <w:spacing w:val="7"/>
                <w:position w:val="1"/>
                <w:sz w:val="20"/>
                <w:szCs w:val="20"/>
              </w:rPr>
              <w:t>为</w:t>
            </w:r>
            <w:r>
              <w:rPr>
                <w:rFonts w:ascii="宋体" w:hAnsi="宋体" w:eastAsia="宋体" w:cs="宋体"/>
                <w:spacing w:val="5"/>
                <w:position w:val="1"/>
                <w:sz w:val="20"/>
                <w:szCs w:val="20"/>
              </w:rPr>
              <w:t xml:space="preserve">操作失误、设施维护不到位 </w:t>
            </w:r>
            <w:r>
              <w:rPr>
                <w:rFonts w:ascii="Times New Roman" w:hAnsi="Times New Roman" w:eastAsia="Times New Roman" w:cs="Times New Roman"/>
                <w:spacing w:val="5"/>
                <w:position w:val="1"/>
                <w:sz w:val="20"/>
                <w:szCs w:val="20"/>
              </w:rPr>
              <w:t>10-</w:t>
            </w:r>
            <w:r>
              <w:rPr>
                <w:rFonts w:ascii="Times New Roman" w:hAnsi="Times New Roman" w:eastAsia="Times New Roman" w:cs="Times New Roman"/>
                <w:spacing w:val="5"/>
                <w:position w:val="7"/>
                <w:sz w:val="13"/>
                <w:szCs w:val="13"/>
              </w:rPr>
              <w:t xml:space="preserve">7 </w:t>
            </w:r>
            <w:r>
              <w:rPr>
                <w:rFonts w:ascii="宋体" w:hAnsi="宋体" w:eastAsia="宋体" w:cs="宋体"/>
                <w:spacing w:val="5"/>
                <w:position w:val="1"/>
                <w:sz w:val="20"/>
                <w:szCs w:val="20"/>
              </w:rPr>
              <w:t>次</w:t>
            </w:r>
            <w:r>
              <w:rPr>
                <w:rFonts w:ascii="Times New Roman" w:hAnsi="Times New Roman" w:eastAsia="Times New Roman" w:cs="Times New Roman"/>
                <w:spacing w:val="5"/>
                <w:position w:val="1"/>
                <w:sz w:val="20"/>
                <w:szCs w:val="20"/>
              </w:rPr>
              <w:t>/</w:t>
            </w:r>
            <w:r>
              <w:rPr>
                <w:rFonts w:ascii="宋体" w:hAnsi="宋体" w:eastAsia="宋体" w:cs="宋体"/>
                <w:spacing w:val="5"/>
                <w:position w:val="1"/>
                <w:sz w:val="20"/>
                <w:szCs w:val="20"/>
              </w:rPr>
              <w:t>年</w:t>
            </w:r>
          </w:p>
        </w:tc>
      </w:tr>
    </w:tbl>
    <w:p w14:paraId="668F73B1">
      <w:pPr>
        <w:spacing w:before="284" w:line="226" w:lineRule="auto"/>
        <w:ind w:left="118"/>
        <w:outlineLvl w:val="2"/>
        <w:rPr>
          <w:rFonts w:ascii="宋体" w:hAnsi="宋体" w:eastAsia="宋体" w:cs="宋体"/>
          <w:sz w:val="29"/>
          <w:szCs w:val="29"/>
        </w:rPr>
      </w:pPr>
      <w:r>
        <w:rPr>
          <w:rFonts w:ascii="Times New Roman" w:hAnsi="Times New Roman" w:eastAsia="Times New Roman" w:cs="Times New Roman"/>
          <w:b/>
          <w:bCs/>
          <w:spacing w:val="12"/>
          <w:sz w:val="29"/>
          <w:szCs w:val="29"/>
        </w:rPr>
        <w:t>7</w:t>
      </w:r>
      <w:r>
        <w:rPr>
          <w:rFonts w:ascii="Times New Roman" w:hAnsi="Times New Roman" w:eastAsia="Times New Roman" w:cs="Times New Roman"/>
          <w:b/>
          <w:bCs/>
          <w:spacing w:val="10"/>
          <w:sz w:val="29"/>
          <w:szCs w:val="29"/>
        </w:rPr>
        <w:t>.</w:t>
      </w:r>
      <w:r>
        <w:rPr>
          <w:rFonts w:ascii="Times New Roman" w:hAnsi="Times New Roman" w:eastAsia="Times New Roman" w:cs="Times New Roman"/>
          <w:b/>
          <w:bCs/>
          <w:spacing w:val="6"/>
          <w:sz w:val="29"/>
          <w:szCs w:val="29"/>
        </w:rPr>
        <w:t>5.2</w:t>
      </w:r>
      <w:r>
        <w:rPr>
          <w:rFonts w:ascii="Times New Roman" w:hAnsi="Times New Roman" w:eastAsia="Times New Roman" w:cs="Times New Roman"/>
          <w:spacing w:val="6"/>
          <w:sz w:val="29"/>
          <w:szCs w:val="29"/>
        </w:rPr>
        <w:t xml:space="preserve">  </w:t>
      </w:r>
      <w:r>
        <w:rPr>
          <w:rFonts w:ascii="宋体" w:hAnsi="宋体" w:eastAsia="宋体" w:cs="宋体"/>
          <w:spacing w:val="6"/>
          <w:sz w:val="29"/>
          <w:szCs w:val="29"/>
          <w14:textOutline w14:w="5448" w14:cap="sq" w14:cmpd="sng">
            <w14:solidFill>
              <w14:srgbClr w14:val="000000"/>
            </w14:solidFill>
            <w14:prstDash w14:val="solid"/>
            <w14:bevel/>
          </w14:textOutline>
        </w:rPr>
        <w:t>大气环境影响分析</w:t>
      </w:r>
    </w:p>
    <w:p w14:paraId="5E5FE30D">
      <w:pPr>
        <w:spacing w:line="253" w:lineRule="auto"/>
        <w:rPr>
          <w:rFonts w:ascii="Arial"/>
          <w:sz w:val="21"/>
        </w:rPr>
      </w:pPr>
    </w:p>
    <w:p w14:paraId="2CA6F6DB">
      <w:pPr>
        <w:spacing w:before="75" w:line="390" w:lineRule="auto"/>
        <w:ind w:left="116" w:right="53" w:firstLine="495"/>
        <w:rPr>
          <w:rFonts w:ascii="宋体" w:hAnsi="宋体" w:eastAsia="宋体" w:cs="宋体"/>
          <w:sz w:val="23"/>
          <w:szCs w:val="23"/>
        </w:rPr>
      </w:pPr>
      <w:r>
        <w:rPr>
          <w:rFonts w:ascii="宋体" w:hAnsi="宋体" w:eastAsia="宋体" w:cs="宋体"/>
          <w:spacing w:val="12"/>
          <w:sz w:val="23"/>
          <w:szCs w:val="23"/>
        </w:rPr>
        <w:t>当原</w:t>
      </w:r>
      <w:r>
        <w:rPr>
          <w:rFonts w:ascii="宋体" w:hAnsi="宋体" w:eastAsia="宋体" w:cs="宋体"/>
          <w:spacing w:val="7"/>
          <w:sz w:val="23"/>
          <w:szCs w:val="23"/>
        </w:rPr>
        <w:t>料</w:t>
      </w:r>
      <w:r>
        <w:rPr>
          <w:rFonts w:ascii="宋体" w:hAnsi="宋体" w:eastAsia="宋体" w:cs="宋体"/>
          <w:spacing w:val="6"/>
          <w:sz w:val="23"/>
          <w:szCs w:val="23"/>
        </w:rPr>
        <w:t>库、成品库塑料发生着火会放出一定的热量，根据《危险评价方法及</w:t>
      </w:r>
      <w:r>
        <w:rPr>
          <w:rFonts w:ascii="宋体" w:hAnsi="宋体" w:eastAsia="宋体" w:cs="宋体"/>
          <w:sz w:val="23"/>
          <w:szCs w:val="23"/>
        </w:rPr>
        <w:t xml:space="preserve"> </w:t>
      </w:r>
      <w:r>
        <w:rPr>
          <w:rFonts w:ascii="宋体" w:hAnsi="宋体" w:eastAsia="宋体" w:cs="宋体"/>
          <w:spacing w:val="6"/>
          <w:sz w:val="23"/>
          <w:szCs w:val="23"/>
        </w:rPr>
        <w:t xml:space="preserve">其应用》  </w:t>
      </w:r>
      <w:r>
        <w:rPr>
          <w:rFonts w:ascii="宋体" w:hAnsi="宋体" w:eastAsia="宋体" w:cs="宋体"/>
          <w:spacing w:val="3"/>
          <w:sz w:val="23"/>
          <w:szCs w:val="23"/>
        </w:rPr>
        <w:t>(吴宗之、高进东、魏利军编著) 点源模型分析可知，火焰辐射出的能</w:t>
      </w:r>
      <w:r>
        <w:rPr>
          <w:rFonts w:ascii="宋体" w:hAnsi="宋体" w:eastAsia="宋体" w:cs="宋体"/>
          <w:sz w:val="23"/>
          <w:szCs w:val="23"/>
        </w:rPr>
        <w:t xml:space="preserve"> </w:t>
      </w:r>
      <w:r>
        <w:rPr>
          <w:rFonts w:ascii="宋体" w:hAnsi="宋体" w:eastAsia="宋体" w:cs="宋体"/>
          <w:spacing w:val="16"/>
          <w:sz w:val="23"/>
          <w:szCs w:val="23"/>
        </w:rPr>
        <w:t>量为</w:t>
      </w:r>
      <w:r>
        <w:rPr>
          <w:rFonts w:ascii="宋体" w:hAnsi="宋体" w:eastAsia="宋体" w:cs="宋体"/>
          <w:spacing w:val="13"/>
          <w:sz w:val="23"/>
          <w:szCs w:val="23"/>
        </w:rPr>
        <w:t>燃</w:t>
      </w:r>
      <w:r>
        <w:rPr>
          <w:rFonts w:ascii="宋体" w:hAnsi="宋体" w:eastAsia="宋体" w:cs="宋体"/>
          <w:spacing w:val="8"/>
          <w:sz w:val="23"/>
          <w:szCs w:val="23"/>
        </w:rPr>
        <w:t>烧热的一部分，热辐射强度与燃烧速率成正比，与接收距离的平方反比。</w:t>
      </w:r>
      <w:r>
        <w:rPr>
          <w:rFonts w:ascii="宋体" w:hAnsi="宋体" w:eastAsia="宋体" w:cs="宋体"/>
          <w:sz w:val="23"/>
          <w:szCs w:val="23"/>
        </w:rPr>
        <w:t xml:space="preserve"> </w:t>
      </w:r>
      <w:r>
        <w:rPr>
          <w:rFonts w:ascii="宋体" w:hAnsi="宋体" w:eastAsia="宋体" w:cs="宋体"/>
          <w:spacing w:val="9"/>
          <w:sz w:val="23"/>
          <w:szCs w:val="23"/>
        </w:rPr>
        <w:t>当</w:t>
      </w:r>
      <w:r>
        <w:rPr>
          <w:rFonts w:ascii="宋体" w:hAnsi="宋体" w:eastAsia="宋体" w:cs="宋体"/>
          <w:spacing w:val="7"/>
          <w:sz w:val="23"/>
          <w:szCs w:val="23"/>
        </w:rPr>
        <w:t>火灾产生的热辐射强度足够大时，可使周围的物体燃烧或变形，更强烈的热辐</w:t>
      </w:r>
      <w:r>
        <w:rPr>
          <w:rFonts w:ascii="宋体" w:hAnsi="宋体" w:eastAsia="宋体" w:cs="宋体"/>
          <w:sz w:val="23"/>
          <w:szCs w:val="23"/>
        </w:rPr>
        <w:t xml:space="preserve"> </w:t>
      </w:r>
      <w:r>
        <w:rPr>
          <w:rFonts w:ascii="宋体" w:hAnsi="宋体" w:eastAsia="宋体" w:cs="宋体"/>
          <w:spacing w:val="9"/>
          <w:sz w:val="23"/>
          <w:szCs w:val="23"/>
        </w:rPr>
        <w:t>射</w:t>
      </w:r>
      <w:r>
        <w:rPr>
          <w:rFonts w:ascii="宋体" w:hAnsi="宋体" w:eastAsia="宋体" w:cs="宋体"/>
          <w:spacing w:val="7"/>
          <w:sz w:val="23"/>
          <w:szCs w:val="23"/>
        </w:rPr>
        <w:t>可能烧毁设备甚至造成人员伤亡等，热辐射的不同入射通量所造的损失如下表</w:t>
      </w:r>
      <w:r>
        <w:rPr>
          <w:rFonts w:ascii="宋体" w:hAnsi="宋体" w:eastAsia="宋体" w:cs="宋体"/>
          <w:sz w:val="23"/>
          <w:szCs w:val="23"/>
        </w:rPr>
        <w:t xml:space="preserve"> </w:t>
      </w:r>
      <w:r>
        <w:rPr>
          <w:rFonts w:ascii="宋体" w:hAnsi="宋体" w:eastAsia="宋体" w:cs="宋体"/>
          <w:spacing w:val="14"/>
          <w:sz w:val="23"/>
          <w:szCs w:val="23"/>
        </w:rPr>
        <w:t>所示。火灾除以直接产生的热量破坏形式外还会产生次生危害，产生有害气</w:t>
      </w:r>
      <w:r>
        <w:rPr>
          <w:rFonts w:ascii="宋体" w:hAnsi="宋体" w:eastAsia="宋体" w:cs="宋体"/>
          <w:spacing w:val="13"/>
          <w:sz w:val="23"/>
          <w:szCs w:val="23"/>
        </w:rPr>
        <w:t>体</w:t>
      </w:r>
      <w:r>
        <w:rPr>
          <w:rFonts w:ascii="宋体" w:hAnsi="宋体" w:eastAsia="宋体" w:cs="宋体"/>
          <w:sz w:val="23"/>
          <w:szCs w:val="23"/>
        </w:rPr>
        <w:t xml:space="preserve"> </w:t>
      </w:r>
      <w:r>
        <w:rPr>
          <w:rFonts w:ascii="Times New Roman" w:hAnsi="Times New Roman" w:eastAsia="Times New Roman" w:cs="Times New Roman"/>
          <w:sz w:val="23"/>
          <w:szCs w:val="23"/>
        </w:rPr>
        <w:t>CO</w:t>
      </w:r>
      <w:r>
        <w:rPr>
          <w:rFonts w:ascii="Times New Roman" w:hAnsi="Times New Roman" w:eastAsia="Times New Roman" w:cs="Times New Roman"/>
          <w:spacing w:val="8"/>
          <w:sz w:val="23"/>
          <w:szCs w:val="23"/>
        </w:rPr>
        <w:t xml:space="preserve"> </w:t>
      </w:r>
      <w:r>
        <w:rPr>
          <w:rFonts w:ascii="宋体" w:hAnsi="宋体" w:eastAsia="宋体" w:cs="宋体"/>
          <w:spacing w:val="5"/>
          <w:sz w:val="23"/>
          <w:szCs w:val="23"/>
        </w:rPr>
        <w:t>、</w:t>
      </w:r>
      <w:r>
        <w:rPr>
          <w:rFonts w:ascii="宋体" w:hAnsi="宋体" w:eastAsia="宋体" w:cs="宋体"/>
          <w:spacing w:val="4"/>
          <w:sz w:val="23"/>
          <w:szCs w:val="23"/>
        </w:rPr>
        <w:t>烟尘等，产生燃烧熔滴。</w:t>
      </w:r>
    </w:p>
    <w:p w14:paraId="028C3DFE">
      <w:pPr>
        <w:spacing w:before="118" w:line="383" w:lineRule="auto"/>
        <w:ind w:left="116" w:right="46" w:firstLine="480"/>
        <w:rPr>
          <w:rFonts w:ascii="宋体" w:hAnsi="宋体" w:eastAsia="宋体" w:cs="宋体"/>
          <w:sz w:val="23"/>
          <w:szCs w:val="23"/>
        </w:rPr>
      </w:pPr>
      <w:r>
        <w:rPr>
          <w:rFonts w:ascii="Times New Roman" w:hAnsi="Times New Roman" w:eastAsia="Times New Roman" w:cs="Times New Roman"/>
          <w:sz w:val="23"/>
          <w:szCs w:val="23"/>
        </w:rPr>
        <w:t>CO</w:t>
      </w:r>
      <w:r>
        <w:rPr>
          <w:rFonts w:ascii="Times New Roman" w:hAnsi="Times New Roman" w:eastAsia="Times New Roman" w:cs="Times New Roman"/>
          <w:spacing w:val="6"/>
          <w:sz w:val="23"/>
          <w:szCs w:val="23"/>
        </w:rPr>
        <w:t xml:space="preserve"> </w:t>
      </w:r>
      <w:r>
        <w:rPr>
          <w:rFonts w:ascii="宋体" w:hAnsi="宋体" w:eastAsia="宋体" w:cs="宋体"/>
          <w:spacing w:val="4"/>
          <w:sz w:val="23"/>
          <w:szCs w:val="23"/>
        </w:rPr>
        <w:t>的产生量与塑料的消耗量 (即燃烧速率) 、燃烧不完全值成正比。同时，</w:t>
      </w:r>
      <w:r>
        <w:rPr>
          <w:rFonts w:ascii="宋体" w:hAnsi="宋体" w:eastAsia="宋体" w:cs="宋体"/>
          <w:sz w:val="23"/>
          <w:szCs w:val="23"/>
        </w:rPr>
        <w:t xml:space="preserve"> </w:t>
      </w:r>
      <w:r>
        <w:rPr>
          <w:rFonts w:ascii="宋体" w:hAnsi="宋体" w:eastAsia="宋体" w:cs="宋体"/>
          <w:spacing w:val="9"/>
          <w:sz w:val="23"/>
          <w:szCs w:val="23"/>
        </w:rPr>
        <w:t>燃</w:t>
      </w:r>
      <w:r>
        <w:rPr>
          <w:rFonts w:ascii="宋体" w:hAnsi="宋体" w:eastAsia="宋体" w:cs="宋体"/>
          <w:spacing w:val="7"/>
          <w:sz w:val="23"/>
          <w:szCs w:val="23"/>
        </w:rPr>
        <w:t>烧形成的熔滴产生柏油一样的滴落物，会加速火势蔓延，对安全疏散及灭火都</w:t>
      </w:r>
      <w:r>
        <w:rPr>
          <w:rFonts w:ascii="宋体" w:hAnsi="宋体" w:eastAsia="宋体" w:cs="宋体"/>
          <w:sz w:val="23"/>
          <w:szCs w:val="23"/>
        </w:rPr>
        <w:t xml:space="preserve"> </w:t>
      </w:r>
      <w:r>
        <w:rPr>
          <w:rFonts w:ascii="宋体" w:hAnsi="宋体" w:eastAsia="宋体" w:cs="宋体"/>
          <w:spacing w:val="7"/>
          <w:sz w:val="23"/>
          <w:szCs w:val="23"/>
        </w:rPr>
        <w:t xml:space="preserve">有影响。经类比调查，当 </w:t>
      </w:r>
      <w:r>
        <w:rPr>
          <w:rFonts w:ascii="Times New Roman" w:hAnsi="Times New Roman" w:eastAsia="Times New Roman" w:cs="Times New Roman"/>
          <w:sz w:val="23"/>
          <w:szCs w:val="23"/>
        </w:rPr>
        <w:t>CO</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 xml:space="preserve">的产生量为 </w:t>
      </w:r>
      <w:r>
        <w:rPr>
          <w:rFonts w:ascii="Times New Roman" w:hAnsi="Times New Roman" w:eastAsia="Times New Roman" w:cs="Times New Roman"/>
          <w:spacing w:val="7"/>
          <w:sz w:val="23"/>
          <w:szCs w:val="23"/>
        </w:rPr>
        <w:t>0.4456</w:t>
      </w:r>
      <w:r>
        <w:rPr>
          <w:rFonts w:ascii="Times New Roman" w:hAnsi="Times New Roman" w:eastAsia="Times New Roman" w:cs="Times New Roman"/>
          <w:sz w:val="23"/>
          <w:szCs w:val="23"/>
        </w:rPr>
        <w:t>kg</w:t>
      </w:r>
      <w:r>
        <w:rPr>
          <w:rFonts w:ascii="Times New Roman" w:hAnsi="Times New Roman" w:eastAsia="Times New Roman" w:cs="Times New Roman"/>
          <w:spacing w:val="7"/>
          <w:sz w:val="23"/>
          <w:szCs w:val="23"/>
        </w:rPr>
        <w:t>/</w:t>
      </w:r>
      <w:r>
        <w:rPr>
          <w:rFonts w:ascii="Times New Roman" w:hAnsi="Times New Roman" w:eastAsia="Times New Roman" w:cs="Times New Roman"/>
          <w:sz w:val="23"/>
          <w:szCs w:val="23"/>
        </w:rPr>
        <w:t>s</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时，中毒距离</w:t>
      </w:r>
      <w:r>
        <w:rPr>
          <w:rFonts w:ascii="Times New Roman" w:hAnsi="Times New Roman" w:eastAsia="Times New Roman" w:cs="Times New Roman"/>
          <w:spacing w:val="7"/>
          <w:sz w:val="23"/>
          <w:szCs w:val="23"/>
        </w:rPr>
        <w:t>≤21</w:t>
      </w:r>
      <w:r>
        <w:rPr>
          <w:rFonts w:ascii="Times New Roman" w:hAnsi="Times New Roman" w:eastAsia="Times New Roman" w:cs="Times New Roman"/>
          <w:sz w:val="23"/>
          <w:szCs w:val="23"/>
        </w:rPr>
        <w:t>m</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，达</w:t>
      </w:r>
      <w:r>
        <w:rPr>
          <w:rFonts w:ascii="宋体" w:hAnsi="宋体" w:eastAsia="宋体" w:cs="宋体"/>
          <w:spacing w:val="4"/>
          <w:sz w:val="23"/>
          <w:szCs w:val="23"/>
        </w:rPr>
        <w:t>标</w:t>
      </w:r>
      <w:r>
        <w:rPr>
          <w:rFonts w:ascii="宋体" w:hAnsi="宋体" w:eastAsia="宋体" w:cs="宋体"/>
          <w:sz w:val="23"/>
          <w:szCs w:val="23"/>
        </w:rPr>
        <w:t xml:space="preserve"> </w:t>
      </w:r>
      <w:r>
        <w:rPr>
          <w:rFonts w:ascii="宋体" w:hAnsi="宋体" w:eastAsia="宋体" w:cs="宋体"/>
          <w:spacing w:val="10"/>
          <w:sz w:val="23"/>
          <w:szCs w:val="23"/>
        </w:rPr>
        <w:t>距离</w:t>
      </w:r>
      <w:r>
        <w:rPr>
          <w:rFonts w:ascii="Times New Roman" w:hAnsi="Times New Roman" w:eastAsia="Times New Roman" w:cs="Times New Roman"/>
          <w:spacing w:val="10"/>
          <w:sz w:val="23"/>
          <w:szCs w:val="23"/>
        </w:rPr>
        <w:t>&gt;305</w:t>
      </w:r>
      <w:r>
        <w:rPr>
          <w:rFonts w:ascii="Times New Roman" w:hAnsi="Times New Roman" w:eastAsia="Times New Roman" w:cs="Times New Roman"/>
          <w:sz w:val="23"/>
          <w:szCs w:val="23"/>
        </w:rPr>
        <w:t>m</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rPr>
        <w:t xml:space="preserve">。其中中毒距离指当 </w:t>
      </w:r>
      <w:r>
        <w:rPr>
          <w:rFonts w:ascii="Times New Roman" w:hAnsi="Times New Roman" w:eastAsia="Times New Roman" w:cs="Times New Roman"/>
          <w:sz w:val="23"/>
          <w:szCs w:val="23"/>
        </w:rPr>
        <w:t>CO</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rPr>
        <w:t xml:space="preserve">在空气中体积浓度达 </w:t>
      </w:r>
      <w:r>
        <w:rPr>
          <w:rFonts w:ascii="Times New Roman" w:hAnsi="Times New Roman" w:eastAsia="Times New Roman" w:cs="Times New Roman"/>
          <w:spacing w:val="5"/>
          <w:sz w:val="23"/>
          <w:szCs w:val="23"/>
        </w:rPr>
        <w:t xml:space="preserve">0.01% </w:t>
      </w:r>
      <w:r>
        <w:rPr>
          <w:rFonts w:ascii="宋体" w:hAnsi="宋体" w:eastAsia="宋体" w:cs="宋体"/>
          <w:spacing w:val="5"/>
          <w:sz w:val="23"/>
          <w:szCs w:val="23"/>
        </w:rPr>
        <w:t xml:space="preserve">，使人呼吸 </w:t>
      </w:r>
      <w:r>
        <w:rPr>
          <w:rFonts w:ascii="Times New Roman" w:hAnsi="Times New Roman" w:eastAsia="Times New Roman" w:cs="Times New Roman"/>
          <w:spacing w:val="5"/>
          <w:sz w:val="23"/>
          <w:szCs w:val="23"/>
        </w:rPr>
        <w:t>1</w:t>
      </w:r>
      <w:r>
        <w:rPr>
          <w:rFonts w:ascii="Times New Roman" w:hAnsi="Times New Roman" w:eastAsia="Times New Roman" w:cs="Times New Roman"/>
          <w:sz w:val="23"/>
          <w:szCs w:val="23"/>
        </w:rPr>
        <w:t xml:space="preserve">h </w:t>
      </w:r>
      <w:r>
        <w:rPr>
          <w:rFonts w:ascii="宋体" w:hAnsi="宋体" w:eastAsia="宋体" w:cs="宋体"/>
          <w:spacing w:val="18"/>
          <w:sz w:val="23"/>
          <w:szCs w:val="23"/>
        </w:rPr>
        <w:t>引起</w:t>
      </w:r>
      <w:r>
        <w:rPr>
          <w:rFonts w:ascii="宋体" w:hAnsi="宋体" w:eastAsia="宋体" w:cs="宋体"/>
          <w:spacing w:val="15"/>
          <w:sz w:val="23"/>
          <w:szCs w:val="23"/>
        </w:rPr>
        <w:t>头</w:t>
      </w:r>
      <w:r>
        <w:rPr>
          <w:rFonts w:ascii="宋体" w:hAnsi="宋体" w:eastAsia="宋体" w:cs="宋体"/>
          <w:spacing w:val="9"/>
          <w:sz w:val="23"/>
          <w:szCs w:val="23"/>
        </w:rPr>
        <w:t>痛呕吐的影响范围；达标距离指当</w:t>
      </w:r>
      <w:r>
        <w:rPr>
          <w:rFonts w:ascii="Times New Roman" w:hAnsi="Times New Roman" w:eastAsia="Times New Roman" w:cs="Times New Roman"/>
          <w:sz w:val="23"/>
          <w:szCs w:val="23"/>
        </w:rPr>
        <w:t>CO</w:t>
      </w:r>
      <w:r>
        <w:rPr>
          <w:rFonts w:ascii="Times New Roman" w:hAnsi="Times New Roman" w:eastAsia="Times New Roman" w:cs="Times New Roman"/>
          <w:spacing w:val="9"/>
          <w:sz w:val="23"/>
          <w:szCs w:val="23"/>
        </w:rPr>
        <w:t xml:space="preserve"> </w:t>
      </w:r>
      <w:r>
        <w:rPr>
          <w:rFonts w:ascii="宋体" w:hAnsi="宋体" w:eastAsia="宋体" w:cs="宋体"/>
          <w:spacing w:val="9"/>
          <w:sz w:val="23"/>
          <w:szCs w:val="23"/>
        </w:rPr>
        <w:t>在空气中扩散浓度符合《居民区大</w:t>
      </w:r>
      <w:r>
        <w:rPr>
          <w:rFonts w:ascii="宋体" w:hAnsi="宋体" w:eastAsia="宋体" w:cs="宋体"/>
          <w:sz w:val="23"/>
          <w:szCs w:val="23"/>
        </w:rPr>
        <w:t xml:space="preserve"> </w:t>
      </w:r>
      <w:r>
        <w:rPr>
          <w:rFonts w:ascii="宋体" w:hAnsi="宋体" w:eastAsia="宋体" w:cs="宋体"/>
          <w:spacing w:val="11"/>
          <w:sz w:val="23"/>
          <w:szCs w:val="23"/>
        </w:rPr>
        <w:t>气</w:t>
      </w:r>
      <w:r>
        <w:rPr>
          <w:rFonts w:ascii="宋体" w:hAnsi="宋体" w:eastAsia="宋体" w:cs="宋体"/>
          <w:spacing w:val="6"/>
          <w:sz w:val="23"/>
          <w:szCs w:val="23"/>
        </w:rPr>
        <w:t xml:space="preserve">中有害物质的最高允许浓度》 中限值 </w:t>
      </w:r>
      <w:r>
        <w:rPr>
          <w:rFonts w:ascii="Times New Roman" w:hAnsi="Times New Roman" w:eastAsia="Times New Roman" w:cs="Times New Roman"/>
          <w:spacing w:val="6"/>
          <w:sz w:val="23"/>
          <w:szCs w:val="23"/>
        </w:rPr>
        <w:t>3.0</w:t>
      </w:r>
      <w:r>
        <w:rPr>
          <w:rFonts w:ascii="Times New Roman" w:hAnsi="Times New Roman" w:eastAsia="Times New Roman" w:cs="Times New Roman"/>
          <w:sz w:val="23"/>
          <w:szCs w:val="23"/>
        </w:rPr>
        <w:t>mg</w:t>
      </w:r>
      <w:r>
        <w:rPr>
          <w:rFonts w:ascii="Times New Roman" w:hAnsi="Times New Roman" w:eastAsia="Times New Roman" w:cs="Times New Roman"/>
          <w:spacing w:val="6"/>
          <w:sz w:val="23"/>
          <w:szCs w:val="23"/>
        </w:rPr>
        <w:t>/</w:t>
      </w:r>
      <w:r>
        <w:rPr>
          <w:rFonts w:ascii="Times New Roman" w:hAnsi="Times New Roman" w:eastAsia="Times New Roman" w:cs="Times New Roman"/>
          <w:sz w:val="23"/>
          <w:szCs w:val="23"/>
        </w:rPr>
        <w:t>m</w:t>
      </w:r>
      <w:r>
        <w:rPr>
          <w:rFonts w:ascii="Times New Roman" w:hAnsi="Times New Roman" w:eastAsia="Times New Roman" w:cs="Times New Roman"/>
          <w:spacing w:val="6"/>
          <w:position w:val="7"/>
          <w:sz w:val="15"/>
          <w:szCs w:val="15"/>
        </w:rPr>
        <w:t xml:space="preserve">3 </w:t>
      </w:r>
      <w:r>
        <w:rPr>
          <w:rFonts w:ascii="宋体" w:hAnsi="宋体" w:eastAsia="宋体" w:cs="宋体"/>
          <w:spacing w:val="6"/>
          <w:sz w:val="23"/>
          <w:szCs w:val="23"/>
        </w:rPr>
        <w:t>时的距离，一旦发生火灾，对</w:t>
      </w:r>
      <w:r>
        <w:rPr>
          <w:rFonts w:ascii="宋体" w:hAnsi="宋体" w:eastAsia="宋体" w:cs="宋体"/>
          <w:sz w:val="23"/>
          <w:szCs w:val="23"/>
        </w:rPr>
        <w:t xml:space="preserve"> </w:t>
      </w:r>
      <w:r>
        <w:rPr>
          <w:rFonts w:ascii="宋体" w:hAnsi="宋体" w:eastAsia="宋体" w:cs="宋体"/>
          <w:spacing w:val="12"/>
          <w:sz w:val="23"/>
          <w:szCs w:val="23"/>
        </w:rPr>
        <w:t>周</w:t>
      </w:r>
      <w:r>
        <w:rPr>
          <w:rFonts w:ascii="宋体" w:hAnsi="宋体" w:eastAsia="宋体" w:cs="宋体"/>
          <w:spacing w:val="9"/>
          <w:sz w:val="23"/>
          <w:szCs w:val="23"/>
        </w:rPr>
        <w:t>边居民安全以及身体健康均会产生一定的影响。</w:t>
      </w:r>
    </w:p>
    <w:p w14:paraId="1AFB529E">
      <w:pPr>
        <w:spacing w:before="123" w:line="226" w:lineRule="auto"/>
        <w:ind w:left="118"/>
        <w:outlineLvl w:val="2"/>
        <w:rPr>
          <w:rFonts w:ascii="宋体" w:hAnsi="宋体" w:eastAsia="宋体" w:cs="宋体"/>
          <w:sz w:val="29"/>
          <w:szCs w:val="29"/>
        </w:rPr>
      </w:pPr>
      <w:r>
        <w:rPr>
          <w:rFonts w:ascii="Times New Roman" w:hAnsi="Times New Roman" w:eastAsia="Times New Roman" w:cs="Times New Roman"/>
          <w:b/>
          <w:bCs/>
          <w:spacing w:val="12"/>
          <w:sz w:val="29"/>
          <w:szCs w:val="29"/>
        </w:rPr>
        <w:t>7</w:t>
      </w:r>
      <w:r>
        <w:rPr>
          <w:rFonts w:ascii="Times New Roman" w:hAnsi="Times New Roman" w:eastAsia="Times New Roman" w:cs="Times New Roman"/>
          <w:b/>
          <w:bCs/>
          <w:spacing w:val="6"/>
          <w:sz w:val="29"/>
          <w:szCs w:val="29"/>
        </w:rPr>
        <w:t>.5.3</w:t>
      </w:r>
      <w:r>
        <w:rPr>
          <w:rFonts w:ascii="Times New Roman" w:hAnsi="Times New Roman" w:eastAsia="Times New Roman" w:cs="Times New Roman"/>
          <w:spacing w:val="6"/>
          <w:sz w:val="29"/>
          <w:szCs w:val="29"/>
        </w:rPr>
        <w:t xml:space="preserve">  </w:t>
      </w:r>
      <w:r>
        <w:rPr>
          <w:rFonts w:ascii="宋体" w:hAnsi="宋体" w:eastAsia="宋体" w:cs="宋体"/>
          <w:spacing w:val="6"/>
          <w:sz w:val="29"/>
          <w:szCs w:val="29"/>
          <w14:textOutline w14:w="5448" w14:cap="sq" w14:cmpd="sng">
            <w14:solidFill>
              <w14:srgbClr w14:val="000000"/>
            </w14:solidFill>
            <w14:prstDash w14:val="solid"/>
            <w14:bevel/>
          </w14:textOutline>
        </w:rPr>
        <w:t>水环境影响分析</w:t>
      </w:r>
    </w:p>
    <w:p w14:paraId="097D1695">
      <w:pPr>
        <w:spacing w:line="257" w:lineRule="auto"/>
        <w:rPr>
          <w:rFonts w:ascii="Arial"/>
          <w:sz w:val="21"/>
        </w:rPr>
      </w:pPr>
    </w:p>
    <w:p w14:paraId="3EF8702C">
      <w:pPr>
        <w:spacing w:before="75" w:line="227" w:lineRule="auto"/>
        <w:ind w:left="608"/>
        <w:rPr>
          <w:rFonts w:ascii="宋体" w:hAnsi="宋体" w:eastAsia="宋体" w:cs="宋体"/>
          <w:sz w:val="23"/>
          <w:szCs w:val="23"/>
        </w:rPr>
      </w:pPr>
      <w:r>
        <w:rPr>
          <w:rFonts w:ascii="宋体" w:hAnsi="宋体" w:eastAsia="宋体" w:cs="宋体"/>
          <w:spacing w:val="20"/>
          <w:sz w:val="23"/>
          <w:szCs w:val="23"/>
        </w:rPr>
        <w:t>(</w:t>
      </w:r>
      <w:r>
        <w:rPr>
          <w:rFonts w:ascii="Times New Roman" w:hAnsi="Times New Roman" w:eastAsia="Times New Roman" w:cs="Times New Roman"/>
          <w:spacing w:val="20"/>
          <w:sz w:val="23"/>
          <w:szCs w:val="23"/>
        </w:rPr>
        <w:t>1</w:t>
      </w:r>
      <w:r>
        <w:rPr>
          <w:rFonts w:ascii="宋体" w:hAnsi="宋体" w:eastAsia="宋体" w:cs="宋体"/>
          <w:spacing w:val="20"/>
          <w:sz w:val="23"/>
          <w:szCs w:val="23"/>
        </w:rPr>
        <w:t>) 生产废</w:t>
      </w:r>
      <w:r>
        <w:rPr>
          <w:rFonts w:ascii="宋体" w:hAnsi="宋体" w:eastAsia="宋体" w:cs="宋体"/>
          <w:spacing w:val="19"/>
          <w:sz w:val="23"/>
          <w:szCs w:val="23"/>
        </w:rPr>
        <w:t>水</w:t>
      </w:r>
    </w:p>
    <w:p w14:paraId="70F61F36">
      <w:pPr>
        <w:spacing w:line="275" w:lineRule="auto"/>
        <w:rPr>
          <w:rFonts w:ascii="Arial"/>
          <w:sz w:val="21"/>
        </w:rPr>
      </w:pPr>
    </w:p>
    <w:p w14:paraId="113438F5">
      <w:pPr>
        <w:spacing w:before="76" w:line="227" w:lineRule="auto"/>
        <w:ind w:left="797"/>
        <w:rPr>
          <w:rFonts w:ascii="宋体" w:hAnsi="宋体" w:eastAsia="宋体" w:cs="宋体"/>
          <w:sz w:val="23"/>
          <w:szCs w:val="23"/>
        </w:rPr>
      </w:pPr>
      <w:r>
        <w:rPr>
          <w:rFonts w:ascii="宋体" w:hAnsi="宋体" w:eastAsia="宋体" w:cs="宋体"/>
          <w:spacing w:val="8"/>
          <w:sz w:val="23"/>
          <w:szCs w:val="23"/>
        </w:rPr>
        <w:t>本项目可能由于一体化污水预处理设备或水泵等设备故障，导致含有大量</w:t>
      </w:r>
    </w:p>
    <w:p w14:paraId="63336F66">
      <w:pPr>
        <w:sectPr>
          <w:headerReference r:id="rId299" w:type="default"/>
          <w:footerReference r:id="rId300" w:type="default"/>
          <w:pgSz w:w="11906" w:h="16839"/>
          <w:pgMar w:top="1132" w:right="1691" w:bottom="1182" w:left="1691" w:header="878" w:footer="1022" w:gutter="0"/>
          <w:cols w:space="720" w:num="1"/>
        </w:sectPr>
      </w:pPr>
    </w:p>
    <w:p w14:paraId="4DC73259">
      <w:pPr>
        <w:spacing w:line="409" w:lineRule="auto"/>
        <w:rPr>
          <w:rFonts w:ascii="Arial"/>
          <w:sz w:val="21"/>
        </w:rPr>
      </w:pPr>
      <w:r>
        <w:pict>
          <v:shape id="_x0000_s1364" o:spid="_x0000_s1364" style="position:absolute;left:0pt;margin-left:90pt;margin-top:57.35pt;height:0.75pt;width:415.3pt;mso-position-horizontal-relative:page;mso-position-vertical-relative:page;z-index:252056576;mso-width-relative:page;mso-height-relative:page;" fillcolor="#000000" filled="t" stroked="f" coordsize="8305,15" o:allowincell="f" path="m0,0l8305,0,8305,14,0,14,0,0xe">
            <v:path/>
            <v:fill on="t" focussize="0,0"/>
            <v:stroke on="f"/>
            <v:imagedata o:title=""/>
            <o:lock v:ext="edit"/>
          </v:shape>
        </w:pict>
      </w:r>
    </w:p>
    <w:p w14:paraId="2CD39298">
      <w:pPr>
        <w:spacing w:before="74" w:line="393" w:lineRule="auto"/>
        <w:ind w:left="221" w:right="101" w:firstLine="3"/>
        <w:rPr>
          <w:rFonts w:ascii="宋体" w:hAnsi="宋体" w:eastAsia="宋体" w:cs="宋体"/>
          <w:sz w:val="23"/>
          <w:szCs w:val="23"/>
        </w:rPr>
      </w:pPr>
      <w:r>
        <w:rPr>
          <w:rFonts w:ascii="宋体" w:hAnsi="宋体" w:eastAsia="宋体" w:cs="宋体"/>
          <w:spacing w:val="10"/>
          <w:sz w:val="23"/>
          <w:szCs w:val="23"/>
        </w:rPr>
        <w:t>悬</w:t>
      </w:r>
      <w:r>
        <w:rPr>
          <w:rFonts w:ascii="宋体" w:hAnsi="宋体" w:eastAsia="宋体" w:cs="宋体"/>
          <w:spacing w:val="8"/>
          <w:sz w:val="23"/>
          <w:szCs w:val="23"/>
        </w:rPr>
        <w:t>浮物的生产废水外溢，将会使废水中的污染物漫流出厂区，对周围土壤及地</w:t>
      </w:r>
      <w:r>
        <w:rPr>
          <w:rFonts w:ascii="宋体" w:hAnsi="宋体" w:eastAsia="宋体" w:cs="宋体"/>
          <w:sz w:val="23"/>
          <w:szCs w:val="23"/>
        </w:rPr>
        <w:t xml:space="preserve"> </w:t>
      </w:r>
      <w:r>
        <w:rPr>
          <w:rFonts w:ascii="宋体" w:hAnsi="宋体" w:eastAsia="宋体" w:cs="宋体"/>
          <w:spacing w:val="12"/>
          <w:sz w:val="23"/>
          <w:szCs w:val="23"/>
        </w:rPr>
        <w:t>表</w:t>
      </w:r>
      <w:r>
        <w:rPr>
          <w:rFonts w:ascii="宋体" w:hAnsi="宋体" w:eastAsia="宋体" w:cs="宋体"/>
          <w:spacing w:val="7"/>
          <w:sz w:val="23"/>
          <w:szCs w:val="23"/>
        </w:rPr>
        <w:t>水体造成影响。</w:t>
      </w:r>
    </w:p>
    <w:p w14:paraId="31EBD6A1">
      <w:pPr>
        <w:spacing w:before="139" w:line="385" w:lineRule="auto"/>
        <w:ind w:left="221" w:right="101" w:firstLine="484"/>
        <w:rPr>
          <w:rFonts w:ascii="宋体" w:hAnsi="宋体" w:eastAsia="宋体" w:cs="宋体"/>
          <w:sz w:val="23"/>
          <w:szCs w:val="23"/>
        </w:rPr>
      </w:pPr>
      <w:r>
        <w:rPr>
          <w:rFonts w:ascii="宋体" w:hAnsi="宋体" w:eastAsia="宋体" w:cs="宋体"/>
          <w:spacing w:val="10"/>
          <w:sz w:val="23"/>
          <w:szCs w:val="23"/>
        </w:rPr>
        <w:t>该项目要求</w:t>
      </w:r>
      <w:r>
        <w:rPr>
          <w:rFonts w:ascii="宋体" w:hAnsi="宋体" w:eastAsia="宋体" w:cs="宋体"/>
          <w:spacing w:val="6"/>
          <w:sz w:val="23"/>
          <w:szCs w:val="23"/>
        </w:rPr>
        <w:t>厂</w:t>
      </w:r>
      <w:r>
        <w:rPr>
          <w:rFonts w:ascii="宋体" w:hAnsi="宋体" w:eastAsia="宋体" w:cs="宋体"/>
          <w:spacing w:val="5"/>
          <w:sz w:val="23"/>
          <w:szCs w:val="23"/>
        </w:rPr>
        <w:t xml:space="preserve">区内建设 </w:t>
      </w:r>
      <w:r>
        <w:rPr>
          <w:rFonts w:ascii="Times New Roman" w:hAnsi="Times New Roman" w:eastAsia="Times New Roman" w:cs="Times New Roman"/>
          <w:spacing w:val="5"/>
          <w:sz w:val="23"/>
          <w:szCs w:val="23"/>
        </w:rPr>
        <w:t xml:space="preserve">1 </w:t>
      </w:r>
      <w:r>
        <w:rPr>
          <w:rFonts w:ascii="宋体" w:hAnsi="宋体" w:eastAsia="宋体" w:cs="宋体"/>
          <w:spacing w:val="5"/>
          <w:sz w:val="23"/>
          <w:szCs w:val="23"/>
        </w:rPr>
        <w:t>座事故池。若本项目加工车间设备出现事故，选</w:t>
      </w:r>
      <w:r>
        <w:rPr>
          <w:rFonts w:ascii="宋体" w:hAnsi="宋体" w:eastAsia="宋体" w:cs="宋体"/>
          <w:sz w:val="23"/>
          <w:szCs w:val="23"/>
        </w:rPr>
        <w:t xml:space="preserve"> </w:t>
      </w:r>
      <w:r>
        <w:rPr>
          <w:rFonts w:ascii="宋体" w:hAnsi="宋体" w:eastAsia="宋体" w:cs="宋体"/>
          <w:spacing w:val="18"/>
          <w:sz w:val="23"/>
          <w:szCs w:val="23"/>
        </w:rPr>
        <w:t>矿废</w:t>
      </w:r>
      <w:r>
        <w:rPr>
          <w:rFonts w:ascii="宋体" w:hAnsi="宋体" w:eastAsia="宋体" w:cs="宋体"/>
          <w:spacing w:val="12"/>
          <w:sz w:val="23"/>
          <w:szCs w:val="23"/>
        </w:rPr>
        <w:t>水</w:t>
      </w:r>
      <w:r>
        <w:rPr>
          <w:rFonts w:ascii="宋体" w:hAnsi="宋体" w:eastAsia="宋体" w:cs="宋体"/>
          <w:spacing w:val="9"/>
          <w:sz w:val="23"/>
          <w:szCs w:val="23"/>
        </w:rPr>
        <w:t xml:space="preserve">可直接进入厂区内事故池，要求事故池可消纳 </w:t>
      </w:r>
      <w:r>
        <w:rPr>
          <w:rFonts w:ascii="Times New Roman" w:hAnsi="Times New Roman" w:eastAsia="Times New Roman" w:cs="Times New Roman"/>
          <w:spacing w:val="9"/>
          <w:sz w:val="23"/>
          <w:szCs w:val="23"/>
        </w:rPr>
        <w:t>2</w:t>
      </w:r>
      <w:r>
        <w:rPr>
          <w:rFonts w:ascii="Times New Roman" w:hAnsi="Times New Roman" w:eastAsia="Times New Roman" w:cs="Times New Roman"/>
          <w:sz w:val="23"/>
          <w:szCs w:val="23"/>
        </w:rPr>
        <w:t>h</w:t>
      </w:r>
      <w:r>
        <w:rPr>
          <w:rFonts w:ascii="Times New Roman" w:hAnsi="Times New Roman" w:eastAsia="Times New Roman" w:cs="Times New Roman"/>
          <w:spacing w:val="9"/>
          <w:sz w:val="23"/>
          <w:szCs w:val="23"/>
        </w:rPr>
        <w:t xml:space="preserve"> </w:t>
      </w:r>
      <w:r>
        <w:rPr>
          <w:rFonts w:ascii="宋体" w:hAnsi="宋体" w:eastAsia="宋体" w:cs="宋体"/>
          <w:spacing w:val="9"/>
          <w:sz w:val="23"/>
          <w:szCs w:val="23"/>
        </w:rPr>
        <w:t>的事故排水量。当生</w:t>
      </w:r>
      <w:r>
        <w:rPr>
          <w:rFonts w:ascii="宋体" w:hAnsi="宋体" w:eastAsia="宋体" w:cs="宋体"/>
          <w:sz w:val="23"/>
          <w:szCs w:val="23"/>
        </w:rPr>
        <w:t xml:space="preserve"> </w:t>
      </w:r>
      <w:r>
        <w:rPr>
          <w:rFonts w:ascii="宋体" w:hAnsi="宋体" w:eastAsia="宋体" w:cs="宋体"/>
          <w:spacing w:val="14"/>
          <w:sz w:val="23"/>
          <w:szCs w:val="23"/>
        </w:rPr>
        <w:t>产</w:t>
      </w:r>
      <w:r>
        <w:rPr>
          <w:rFonts w:ascii="宋体" w:hAnsi="宋体" w:eastAsia="宋体" w:cs="宋体"/>
          <w:spacing w:val="8"/>
          <w:sz w:val="23"/>
          <w:szCs w:val="23"/>
        </w:rPr>
        <w:t>恢复正常后，由潜污泵将池内水回用于生产，一般不会进入外环境。要求企</w:t>
      </w:r>
      <w:r>
        <w:rPr>
          <w:rFonts w:ascii="宋体" w:hAnsi="宋体" w:eastAsia="宋体" w:cs="宋体"/>
          <w:sz w:val="23"/>
          <w:szCs w:val="23"/>
        </w:rPr>
        <w:t xml:space="preserve"> </w:t>
      </w:r>
      <w:r>
        <w:rPr>
          <w:rFonts w:ascii="宋体" w:hAnsi="宋体" w:eastAsia="宋体" w:cs="宋体"/>
          <w:spacing w:val="14"/>
          <w:sz w:val="23"/>
          <w:szCs w:val="23"/>
        </w:rPr>
        <w:t>业</w:t>
      </w:r>
      <w:r>
        <w:rPr>
          <w:rFonts w:ascii="宋体" w:hAnsi="宋体" w:eastAsia="宋体" w:cs="宋体"/>
          <w:spacing w:val="8"/>
          <w:sz w:val="23"/>
          <w:szCs w:val="23"/>
        </w:rPr>
        <w:t>认真落实本评估报告书提出的各项污染防治措施，规划管理，并做好定期管</w:t>
      </w:r>
      <w:r>
        <w:rPr>
          <w:rFonts w:ascii="宋体" w:hAnsi="宋体" w:eastAsia="宋体" w:cs="宋体"/>
          <w:sz w:val="23"/>
          <w:szCs w:val="23"/>
        </w:rPr>
        <w:t xml:space="preserve"> </w:t>
      </w:r>
      <w:r>
        <w:rPr>
          <w:rFonts w:ascii="宋体" w:hAnsi="宋体" w:eastAsia="宋体" w:cs="宋体"/>
          <w:spacing w:val="13"/>
          <w:sz w:val="23"/>
          <w:szCs w:val="23"/>
        </w:rPr>
        <w:t>线</w:t>
      </w:r>
      <w:r>
        <w:rPr>
          <w:rFonts w:ascii="宋体" w:hAnsi="宋体" w:eastAsia="宋体" w:cs="宋体"/>
          <w:spacing w:val="9"/>
          <w:sz w:val="23"/>
          <w:szCs w:val="23"/>
        </w:rPr>
        <w:t>检查及事故下的抢修工作，把风险影响降至最低。</w:t>
      </w:r>
    </w:p>
    <w:p w14:paraId="404856D5">
      <w:pPr>
        <w:spacing w:before="155" w:line="227" w:lineRule="auto"/>
        <w:ind w:left="514"/>
        <w:rPr>
          <w:rFonts w:ascii="宋体" w:hAnsi="宋体" w:eastAsia="宋体" w:cs="宋体"/>
          <w:sz w:val="23"/>
          <w:szCs w:val="23"/>
        </w:rPr>
      </w:pPr>
      <w:r>
        <w:rPr>
          <w:rFonts w:ascii="宋体" w:hAnsi="宋体" w:eastAsia="宋体" w:cs="宋体"/>
          <w:spacing w:val="20"/>
          <w:sz w:val="23"/>
          <w:szCs w:val="23"/>
        </w:rPr>
        <w:t>(</w:t>
      </w:r>
      <w:r>
        <w:rPr>
          <w:rFonts w:ascii="Times New Roman" w:hAnsi="Times New Roman" w:eastAsia="Times New Roman" w:cs="Times New Roman"/>
          <w:spacing w:val="20"/>
          <w:sz w:val="23"/>
          <w:szCs w:val="23"/>
        </w:rPr>
        <w:t>2</w:t>
      </w:r>
      <w:r>
        <w:rPr>
          <w:rFonts w:ascii="宋体" w:hAnsi="宋体" w:eastAsia="宋体" w:cs="宋体"/>
          <w:spacing w:val="20"/>
          <w:sz w:val="23"/>
          <w:szCs w:val="23"/>
        </w:rPr>
        <w:t>) 消防废</w:t>
      </w:r>
      <w:r>
        <w:rPr>
          <w:rFonts w:ascii="宋体" w:hAnsi="宋体" w:eastAsia="宋体" w:cs="宋体"/>
          <w:spacing w:val="19"/>
          <w:sz w:val="23"/>
          <w:szCs w:val="23"/>
        </w:rPr>
        <w:t>水</w:t>
      </w:r>
    </w:p>
    <w:p w14:paraId="59D17C26">
      <w:pPr>
        <w:spacing w:line="274" w:lineRule="auto"/>
        <w:rPr>
          <w:rFonts w:ascii="Arial"/>
          <w:sz w:val="21"/>
        </w:rPr>
      </w:pPr>
    </w:p>
    <w:p w14:paraId="01527A43">
      <w:pPr>
        <w:spacing w:before="75" w:line="384" w:lineRule="auto"/>
        <w:ind w:left="22" w:firstLine="496"/>
        <w:rPr>
          <w:rFonts w:ascii="宋体" w:hAnsi="宋体" w:eastAsia="宋体" w:cs="宋体"/>
          <w:sz w:val="23"/>
          <w:szCs w:val="23"/>
        </w:rPr>
      </w:pPr>
      <w:r>
        <w:rPr>
          <w:rFonts w:ascii="宋体" w:hAnsi="宋体" w:eastAsia="宋体" w:cs="宋体"/>
          <w:spacing w:val="12"/>
          <w:sz w:val="23"/>
          <w:szCs w:val="23"/>
        </w:rPr>
        <w:t>当原</w:t>
      </w:r>
      <w:r>
        <w:rPr>
          <w:rFonts w:ascii="宋体" w:hAnsi="宋体" w:eastAsia="宋体" w:cs="宋体"/>
          <w:spacing w:val="7"/>
          <w:sz w:val="23"/>
          <w:szCs w:val="23"/>
        </w:rPr>
        <w:t>料</w:t>
      </w:r>
      <w:r>
        <w:rPr>
          <w:rFonts w:ascii="宋体" w:hAnsi="宋体" w:eastAsia="宋体" w:cs="宋体"/>
          <w:spacing w:val="6"/>
          <w:sz w:val="23"/>
          <w:szCs w:val="23"/>
        </w:rPr>
        <w:t>库、成品库塑料发生着火时，灭火将产生大量的消防废水。在风险发</w:t>
      </w:r>
      <w:r>
        <w:rPr>
          <w:rFonts w:ascii="宋体" w:hAnsi="宋体" w:eastAsia="宋体" w:cs="宋体"/>
          <w:sz w:val="23"/>
          <w:szCs w:val="23"/>
        </w:rPr>
        <w:t xml:space="preserve"> </w:t>
      </w:r>
      <w:r>
        <w:rPr>
          <w:rFonts w:ascii="宋体" w:hAnsi="宋体" w:eastAsia="宋体" w:cs="宋体"/>
          <w:spacing w:val="-2"/>
          <w:sz w:val="23"/>
          <w:szCs w:val="23"/>
        </w:rPr>
        <w:t>生时，须</w:t>
      </w:r>
      <w:r>
        <w:rPr>
          <w:rFonts w:ascii="宋体" w:hAnsi="宋体" w:eastAsia="宋体" w:cs="宋体"/>
          <w:spacing w:val="-1"/>
          <w:sz w:val="23"/>
          <w:szCs w:val="23"/>
        </w:rPr>
        <w:t>及时撤离周边居民。消防废水参考《建筑设计防火规范》(</w:t>
      </w:r>
      <w:r>
        <w:rPr>
          <w:rFonts w:ascii="Times New Roman" w:hAnsi="Times New Roman" w:eastAsia="Times New Roman" w:cs="Times New Roman"/>
          <w:spacing w:val="-1"/>
          <w:sz w:val="23"/>
          <w:szCs w:val="23"/>
        </w:rPr>
        <w:t>GB50016-2006</w:t>
      </w:r>
      <w:r>
        <w:rPr>
          <w:rFonts w:ascii="宋体" w:hAnsi="宋体" w:eastAsia="宋体" w:cs="宋体"/>
          <w:spacing w:val="-1"/>
          <w:sz w:val="23"/>
          <w:szCs w:val="23"/>
        </w:rPr>
        <w:t>)</w:t>
      </w:r>
      <w:r>
        <w:rPr>
          <w:rFonts w:ascii="宋体" w:hAnsi="宋体" w:eastAsia="宋体" w:cs="宋体"/>
          <w:sz w:val="23"/>
          <w:szCs w:val="23"/>
        </w:rPr>
        <w:t xml:space="preserve"> </w:t>
      </w:r>
      <w:r>
        <w:rPr>
          <w:rFonts w:ascii="宋体" w:hAnsi="宋体" w:eastAsia="宋体" w:cs="宋体"/>
          <w:spacing w:val="10"/>
          <w:sz w:val="23"/>
          <w:szCs w:val="23"/>
        </w:rPr>
        <w:t>木</w:t>
      </w:r>
      <w:r>
        <w:rPr>
          <w:rFonts w:ascii="宋体" w:hAnsi="宋体" w:eastAsia="宋体" w:cs="宋体"/>
          <w:spacing w:val="7"/>
          <w:sz w:val="23"/>
          <w:szCs w:val="23"/>
        </w:rPr>
        <w:t xml:space="preserve">柴等可燃材料存储量在 </w:t>
      </w:r>
      <w:r>
        <w:rPr>
          <w:rFonts w:ascii="Times New Roman" w:hAnsi="Times New Roman" w:eastAsia="Times New Roman" w:cs="Times New Roman"/>
          <w:spacing w:val="7"/>
          <w:sz w:val="23"/>
          <w:szCs w:val="23"/>
        </w:rPr>
        <w:t>50</w:t>
      </w:r>
      <w:r>
        <w:rPr>
          <w:rFonts w:ascii="宋体" w:hAnsi="宋体" w:eastAsia="宋体" w:cs="宋体"/>
          <w:spacing w:val="7"/>
          <w:sz w:val="23"/>
          <w:szCs w:val="23"/>
        </w:rPr>
        <w:t>~</w:t>
      </w:r>
      <w:r>
        <w:rPr>
          <w:rFonts w:ascii="Times New Roman" w:hAnsi="Times New Roman" w:eastAsia="Times New Roman" w:cs="Times New Roman"/>
          <w:spacing w:val="7"/>
          <w:sz w:val="23"/>
          <w:szCs w:val="23"/>
        </w:rPr>
        <w:t>5000</w:t>
      </w:r>
      <w:r>
        <w:rPr>
          <w:rFonts w:ascii="Times New Roman" w:hAnsi="Times New Roman" w:eastAsia="Times New Roman" w:cs="Times New Roman"/>
          <w:sz w:val="23"/>
          <w:szCs w:val="23"/>
        </w:rPr>
        <w:t>m</w:t>
      </w:r>
      <w:r>
        <w:rPr>
          <w:rFonts w:ascii="Times New Roman" w:hAnsi="Times New Roman" w:eastAsia="Times New Roman" w:cs="Times New Roman"/>
          <w:spacing w:val="7"/>
          <w:position w:val="8"/>
          <w:sz w:val="15"/>
          <w:szCs w:val="15"/>
        </w:rPr>
        <w:t xml:space="preserve">3 </w:t>
      </w:r>
      <w:r>
        <w:rPr>
          <w:rFonts w:ascii="宋体" w:hAnsi="宋体" w:eastAsia="宋体" w:cs="宋体"/>
          <w:spacing w:val="7"/>
          <w:sz w:val="23"/>
          <w:szCs w:val="23"/>
        </w:rPr>
        <w:t xml:space="preserve">时消防用水量为 </w:t>
      </w:r>
      <w:r>
        <w:rPr>
          <w:rFonts w:ascii="Times New Roman" w:hAnsi="Times New Roman" w:eastAsia="Times New Roman" w:cs="Times New Roman"/>
          <w:spacing w:val="7"/>
          <w:sz w:val="23"/>
          <w:szCs w:val="23"/>
        </w:rPr>
        <w:t>20</w:t>
      </w:r>
      <w:r>
        <w:rPr>
          <w:rFonts w:ascii="Times New Roman" w:hAnsi="Times New Roman" w:eastAsia="Times New Roman" w:cs="Times New Roman"/>
          <w:sz w:val="23"/>
          <w:szCs w:val="23"/>
        </w:rPr>
        <w:t>L</w:t>
      </w:r>
      <w:r>
        <w:rPr>
          <w:rFonts w:ascii="Times New Roman" w:hAnsi="Times New Roman" w:eastAsia="Times New Roman" w:cs="Times New Roman"/>
          <w:spacing w:val="7"/>
          <w:sz w:val="23"/>
          <w:szCs w:val="23"/>
        </w:rPr>
        <w:t>/</w:t>
      </w:r>
      <w:r>
        <w:rPr>
          <w:rFonts w:ascii="Times New Roman" w:hAnsi="Times New Roman" w:eastAsia="Times New Roman" w:cs="Times New Roman"/>
          <w:sz w:val="23"/>
          <w:szCs w:val="23"/>
        </w:rPr>
        <w:t>s</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计， 以丙类上厂房</w:t>
      </w:r>
      <w:r>
        <w:rPr>
          <w:rFonts w:ascii="宋体" w:hAnsi="宋体" w:eastAsia="宋体" w:cs="宋体"/>
          <w:sz w:val="23"/>
          <w:szCs w:val="23"/>
        </w:rPr>
        <w:t xml:space="preserve"> </w:t>
      </w:r>
      <w:r>
        <w:rPr>
          <w:rFonts w:ascii="宋体" w:hAnsi="宋体" w:eastAsia="宋体" w:cs="宋体"/>
          <w:spacing w:val="14"/>
          <w:sz w:val="23"/>
          <w:szCs w:val="23"/>
        </w:rPr>
        <w:t>火灾持</w:t>
      </w:r>
      <w:r>
        <w:rPr>
          <w:rFonts w:ascii="宋体" w:hAnsi="宋体" w:eastAsia="宋体" w:cs="宋体"/>
          <w:spacing w:val="7"/>
          <w:sz w:val="23"/>
          <w:szCs w:val="23"/>
        </w:rPr>
        <w:t xml:space="preserve">续时间 </w:t>
      </w:r>
      <w:r>
        <w:rPr>
          <w:rFonts w:ascii="Times New Roman" w:hAnsi="Times New Roman" w:eastAsia="Times New Roman" w:cs="Times New Roman"/>
          <w:spacing w:val="7"/>
          <w:sz w:val="23"/>
          <w:szCs w:val="23"/>
        </w:rPr>
        <w:t>2.0</w:t>
      </w:r>
      <w:r>
        <w:rPr>
          <w:rFonts w:ascii="Times New Roman" w:hAnsi="Times New Roman" w:eastAsia="Times New Roman" w:cs="Times New Roman"/>
          <w:sz w:val="23"/>
          <w:szCs w:val="23"/>
        </w:rPr>
        <w:t>h</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 xml:space="preserve">计，不利情况下发生火灾时会产生 </w:t>
      </w:r>
      <w:r>
        <w:rPr>
          <w:rFonts w:ascii="Times New Roman" w:hAnsi="Times New Roman" w:eastAsia="Times New Roman" w:cs="Times New Roman"/>
          <w:spacing w:val="7"/>
          <w:sz w:val="23"/>
          <w:szCs w:val="23"/>
        </w:rPr>
        <w:t>144</w:t>
      </w:r>
      <w:r>
        <w:rPr>
          <w:rFonts w:ascii="Times New Roman" w:hAnsi="Times New Roman" w:eastAsia="Times New Roman" w:cs="Times New Roman"/>
          <w:sz w:val="23"/>
          <w:szCs w:val="23"/>
        </w:rPr>
        <w:t>m</w:t>
      </w:r>
      <w:r>
        <w:rPr>
          <w:rFonts w:ascii="Times New Roman" w:hAnsi="Times New Roman" w:eastAsia="Times New Roman" w:cs="Times New Roman"/>
          <w:spacing w:val="7"/>
          <w:position w:val="8"/>
          <w:sz w:val="15"/>
          <w:szCs w:val="15"/>
        </w:rPr>
        <w:t xml:space="preserve">3 </w:t>
      </w:r>
      <w:r>
        <w:rPr>
          <w:rFonts w:ascii="宋体" w:hAnsi="宋体" w:eastAsia="宋体" w:cs="宋体"/>
          <w:spacing w:val="7"/>
          <w:sz w:val="23"/>
          <w:szCs w:val="23"/>
        </w:rPr>
        <w:t>的消防废水。消防</w:t>
      </w:r>
      <w:r>
        <w:rPr>
          <w:rFonts w:ascii="宋体" w:hAnsi="宋体" w:eastAsia="宋体" w:cs="宋体"/>
          <w:sz w:val="23"/>
          <w:szCs w:val="23"/>
        </w:rPr>
        <w:t xml:space="preserve"> </w:t>
      </w:r>
      <w:r>
        <w:rPr>
          <w:rFonts w:ascii="宋体" w:hAnsi="宋体" w:eastAsia="宋体" w:cs="宋体"/>
          <w:spacing w:val="10"/>
          <w:sz w:val="23"/>
          <w:szCs w:val="23"/>
        </w:rPr>
        <w:t>废</w:t>
      </w:r>
      <w:r>
        <w:rPr>
          <w:rFonts w:ascii="宋体" w:hAnsi="宋体" w:eastAsia="宋体" w:cs="宋体"/>
          <w:spacing w:val="5"/>
          <w:sz w:val="23"/>
          <w:szCs w:val="23"/>
        </w:rPr>
        <w:t xml:space="preserve">水成分复杂，要求单位建设 </w:t>
      </w:r>
      <w:r>
        <w:rPr>
          <w:rFonts w:ascii="Times New Roman" w:hAnsi="Times New Roman" w:eastAsia="Times New Roman" w:cs="Times New Roman"/>
          <w:spacing w:val="5"/>
          <w:sz w:val="23"/>
          <w:szCs w:val="23"/>
        </w:rPr>
        <w:t xml:space="preserve">1 </w:t>
      </w:r>
      <w:r>
        <w:rPr>
          <w:rFonts w:ascii="宋体" w:hAnsi="宋体" w:eastAsia="宋体" w:cs="宋体"/>
          <w:spacing w:val="5"/>
          <w:sz w:val="23"/>
          <w:szCs w:val="23"/>
        </w:rPr>
        <w:t>座事故池，对消防废水进行有效收集，避免消防</w:t>
      </w:r>
      <w:r>
        <w:rPr>
          <w:rFonts w:ascii="宋体" w:hAnsi="宋体" w:eastAsia="宋体" w:cs="宋体"/>
          <w:sz w:val="23"/>
          <w:szCs w:val="23"/>
        </w:rPr>
        <w:t xml:space="preserve"> </w:t>
      </w:r>
      <w:r>
        <w:rPr>
          <w:rFonts w:ascii="宋体" w:hAnsi="宋体" w:eastAsia="宋体" w:cs="宋体"/>
          <w:spacing w:val="16"/>
          <w:sz w:val="23"/>
          <w:szCs w:val="23"/>
        </w:rPr>
        <w:t>废</w:t>
      </w:r>
      <w:r>
        <w:rPr>
          <w:rFonts w:ascii="宋体" w:hAnsi="宋体" w:eastAsia="宋体" w:cs="宋体"/>
          <w:spacing w:val="11"/>
          <w:sz w:val="23"/>
          <w:szCs w:val="23"/>
        </w:rPr>
        <w:t>水</w:t>
      </w:r>
      <w:r>
        <w:rPr>
          <w:rFonts w:ascii="宋体" w:hAnsi="宋体" w:eastAsia="宋体" w:cs="宋体"/>
          <w:spacing w:val="8"/>
          <w:sz w:val="23"/>
          <w:szCs w:val="23"/>
        </w:rPr>
        <w:t>进入雨水管道污染附近水体。</w:t>
      </w:r>
    </w:p>
    <w:p w14:paraId="5101B887">
      <w:pPr>
        <w:sectPr>
          <w:headerReference r:id="rId301" w:type="default"/>
          <w:footerReference r:id="rId302" w:type="default"/>
          <w:pgSz w:w="11906" w:h="16839"/>
          <w:pgMar w:top="1132" w:right="1698" w:bottom="1182" w:left="1785" w:header="878" w:footer="1022" w:gutter="0"/>
          <w:cols w:space="720" w:num="1"/>
        </w:sectPr>
      </w:pPr>
    </w:p>
    <w:p w14:paraId="62738830">
      <w:r>
        <w:pict>
          <v:shape id="_x0000_s1365" o:spid="_x0000_s1365" style="position:absolute;left:0pt;margin-left:72pt;margin-top:57.35pt;height:0.75pt;width:1043.9pt;mso-position-horizontal-relative:page;mso-position-vertical-relative:page;z-index:252058624;mso-width-relative:page;mso-height-relative:page;" fillcolor="#000000" filled="t" stroked="f" coordsize="20878,15" o:allowincell="f" path="m0,0l20877,0,20877,14,0,14,0,0xe">
            <v:path/>
            <v:fill on="t" focussize="0,0"/>
            <v:stroke on="f"/>
            <v:imagedata o:title=""/>
            <o:lock v:ext="edit"/>
          </v:shape>
        </w:pict>
      </w:r>
    </w:p>
    <w:p w14:paraId="551ECFB3"/>
    <w:p w14:paraId="5C0E2FE1"/>
    <w:p w14:paraId="0516F86C"/>
    <w:p w14:paraId="74FFA95C"/>
    <w:p w14:paraId="6A297DEA"/>
    <w:p w14:paraId="1C2BD885">
      <w:pPr>
        <w:spacing w:line="58" w:lineRule="exact"/>
      </w:pPr>
    </w:p>
    <w:tbl>
      <w:tblPr>
        <w:tblStyle w:val="4"/>
        <w:tblW w:w="18954" w:type="dxa"/>
        <w:tblInd w:w="1270"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18954"/>
      </w:tblGrid>
      <w:tr w14:paraId="4EB3D4BB">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10760" w:hRule="atLeast"/>
        </w:trPr>
        <w:tc>
          <w:tcPr>
            <w:tcW w:w="18954" w:type="dxa"/>
            <w:vAlign w:val="top"/>
          </w:tcPr>
          <w:p w14:paraId="4DB465EB">
            <w:pPr>
              <w:spacing w:before="25" w:line="1980" w:lineRule="exact"/>
              <w:ind w:firstLine="25"/>
              <w:textAlignment w:val="center"/>
            </w:pPr>
            <w:r>
              <w:drawing>
                <wp:anchor distT="0" distB="0" distL="0" distR="0" simplePos="0" relativeHeight="252063744" behindDoc="0" locked="0" layoutInCell="1" allowOverlap="1">
                  <wp:simplePos x="0" y="0"/>
                  <wp:positionH relativeFrom="rightMargin">
                    <wp:posOffset>-795655</wp:posOffset>
                  </wp:positionH>
                  <wp:positionV relativeFrom="topMargin">
                    <wp:posOffset>6144260</wp:posOffset>
                  </wp:positionV>
                  <wp:extent cx="600710" cy="524510"/>
                  <wp:effectExtent l="0" t="0" r="0" b="0"/>
                  <wp:wrapNone/>
                  <wp:docPr id="244" name="IM 244"/>
                  <wp:cNvGraphicFramePr/>
                  <a:graphic xmlns:a="http://schemas.openxmlformats.org/drawingml/2006/main">
                    <a:graphicData uri="http://schemas.openxmlformats.org/drawingml/2006/picture">
                      <pic:pic xmlns:pic="http://schemas.openxmlformats.org/drawingml/2006/picture">
                        <pic:nvPicPr>
                          <pic:cNvPr id="244" name="IM 244"/>
                          <pic:cNvPicPr/>
                        </pic:nvPicPr>
                        <pic:blipFill>
                          <a:blip r:embed="rId598"/>
                          <a:stretch>
                            <a:fillRect/>
                          </a:stretch>
                        </pic:blipFill>
                        <pic:spPr>
                          <a:xfrm>
                            <a:off x="0" y="0"/>
                            <a:ext cx="600456" cy="524255"/>
                          </a:xfrm>
                          <a:prstGeom prst="rect">
                            <a:avLst/>
                          </a:prstGeom>
                        </pic:spPr>
                      </pic:pic>
                    </a:graphicData>
                  </a:graphic>
                </wp:anchor>
              </w:drawing>
            </w:r>
            <w:r>
              <w:drawing>
                <wp:inline distT="0" distB="0" distL="0" distR="0">
                  <wp:extent cx="1228090" cy="1257300"/>
                  <wp:effectExtent l="0" t="0" r="0" b="0"/>
                  <wp:docPr id="245" name="IM 245"/>
                  <wp:cNvGraphicFramePr/>
                  <a:graphic xmlns:a="http://schemas.openxmlformats.org/drawingml/2006/main">
                    <a:graphicData uri="http://schemas.openxmlformats.org/drawingml/2006/picture">
                      <pic:pic xmlns:pic="http://schemas.openxmlformats.org/drawingml/2006/picture">
                        <pic:nvPicPr>
                          <pic:cNvPr id="245" name="IM 245"/>
                          <pic:cNvPicPr/>
                        </pic:nvPicPr>
                        <pic:blipFill>
                          <a:blip r:embed="rId410"/>
                          <a:stretch>
                            <a:fillRect/>
                          </a:stretch>
                        </pic:blipFill>
                        <pic:spPr>
                          <a:xfrm>
                            <a:off x="0" y="0"/>
                            <a:ext cx="1228344" cy="1257300"/>
                          </a:xfrm>
                          <a:prstGeom prst="rect">
                            <a:avLst/>
                          </a:prstGeom>
                        </pic:spPr>
                      </pic:pic>
                    </a:graphicData>
                  </a:graphic>
                </wp:inline>
              </w:drawing>
            </w:r>
          </w:p>
          <w:p w14:paraId="34ED3F57">
            <w:pPr>
              <w:spacing w:line="248" w:lineRule="auto"/>
              <w:rPr>
                <w:rFonts w:ascii="Arial"/>
                <w:sz w:val="21"/>
              </w:rPr>
            </w:pPr>
          </w:p>
          <w:p w14:paraId="69724587">
            <w:pPr>
              <w:spacing w:line="248" w:lineRule="auto"/>
              <w:rPr>
                <w:rFonts w:ascii="Arial"/>
                <w:sz w:val="21"/>
              </w:rPr>
            </w:pPr>
          </w:p>
          <w:p w14:paraId="31103048">
            <w:pPr>
              <w:spacing w:line="248" w:lineRule="auto"/>
              <w:rPr>
                <w:rFonts w:ascii="Arial"/>
                <w:sz w:val="21"/>
              </w:rPr>
            </w:pPr>
          </w:p>
          <w:p w14:paraId="60416826">
            <w:pPr>
              <w:spacing w:line="248" w:lineRule="auto"/>
              <w:rPr>
                <w:rFonts w:ascii="Arial"/>
                <w:sz w:val="21"/>
              </w:rPr>
            </w:pPr>
          </w:p>
          <w:p w14:paraId="63B5ED70">
            <w:pPr>
              <w:spacing w:line="248" w:lineRule="auto"/>
              <w:rPr>
                <w:rFonts w:ascii="Arial"/>
                <w:sz w:val="21"/>
              </w:rPr>
            </w:pPr>
          </w:p>
          <w:p w14:paraId="7A8D2BED">
            <w:pPr>
              <w:spacing w:line="248" w:lineRule="auto"/>
              <w:rPr>
                <w:rFonts w:ascii="Arial"/>
                <w:sz w:val="21"/>
              </w:rPr>
            </w:pPr>
          </w:p>
          <w:p w14:paraId="42AB3F0F">
            <w:pPr>
              <w:spacing w:line="249" w:lineRule="auto"/>
              <w:rPr>
                <w:rFonts w:ascii="Arial"/>
                <w:sz w:val="21"/>
              </w:rPr>
            </w:pPr>
          </w:p>
          <w:p w14:paraId="11E3FBEF">
            <w:pPr>
              <w:spacing w:line="249" w:lineRule="auto"/>
              <w:rPr>
                <w:rFonts w:ascii="Arial"/>
                <w:sz w:val="21"/>
              </w:rPr>
            </w:pPr>
          </w:p>
          <w:p w14:paraId="690C4555">
            <w:pPr>
              <w:spacing w:line="249" w:lineRule="auto"/>
              <w:rPr>
                <w:rFonts w:ascii="Arial"/>
                <w:sz w:val="21"/>
              </w:rPr>
            </w:pPr>
          </w:p>
          <w:p w14:paraId="359F2BD0">
            <w:pPr>
              <w:spacing w:line="249" w:lineRule="auto"/>
              <w:rPr>
                <w:rFonts w:ascii="Arial"/>
                <w:sz w:val="21"/>
              </w:rPr>
            </w:pPr>
          </w:p>
          <w:p w14:paraId="35E92ECA">
            <w:pPr>
              <w:spacing w:line="249" w:lineRule="auto"/>
              <w:rPr>
                <w:rFonts w:ascii="Arial"/>
                <w:sz w:val="21"/>
              </w:rPr>
            </w:pPr>
          </w:p>
          <w:p w14:paraId="5F67A115">
            <w:pPr>
              <w:spacing w:line="249" w:lineRule="auto"/>
              <w:rPr>
                <w:rFonts w:ascii="Arial"/>
                <w:sz w:val="21"/>
              </w:rPr>
            </w:pPr>
          </w:p>
          <w:p w14:paraId="0ED0C16A">
            <w:pPr>
              <w:spacing w:line="249" w:lineRule="auto"/>
              <w:rPr>
                <w:rFonts w:ascii="Arial"/>
                <w:sz w:val="21"/>
              </w:rPr>
            </w:pPr>
          </w:p>
          <w:p w14:paraId="591963F5">
            <w:pPr>
              <w:spacing w:line="972" w:lineRule="exact"/>
              <w:ind w:firstLine="9348"/>
              <w:textAlignment w:val="center"/>
            </w:pPr>
            <w:r>
              <w:drawing>
                <wp:inline distT="0" distB="0" distL="0" distR="0">
                  <wp:extent cx="2917190" cy="616585"/>
                  <wp:effectExtent l="0" t="0" r="0" b="0"/>
                  <wp:docPr id="246" name="IM 246"/>
                  <wp:cNvGraphicFramePr/>
                  <a:graphic xmlns:a="http://schemas.openxmlformats.org/drawingml/2006/main">
                    <a:graphicData uri="http://schemas.openxmlformats.org/drawingml/2006/picture">
                      <pic:pic xmlns:pic="http://schemas.openxmlformats.org/drawingml/2006/picture">
                        <pic:nvPicPr>
                          <pic:cNvPr id="246" name="IM 246"/>
                          <pic:cNvPicPr/>
                        </pic:nvPicPr>
                        <pic:blipFill>
                          <a:blip r:embed="rId599"/>
                          <a:stretch>
                            <a:fillRect/>
                          </a:stretch>
                        </pic:blipFill>
                        <pic:spPr>
                          <a:xfrm>
                            <a:off x="0" y="0"/>
                            <a:ext cx="2917442" cy="617169"/>
                          </a:xfrm>
                          <a:prstGeom prst="rect">
                            <a:avLst/>
                          </a:prstGeom>
                        </pic:spPr>
                      </pic:pic>
                    </a:graphicData>
                  </a:graphic>
                </wp:inline>
              </w:drawing>
            </w:r>
          </w:p>
          <w:p w14:paraId="06E6F57E"/>
          <w:p w14:paraId="5DD68FD0"/>
          <w:p w14:paraId="3F1A6E71"/>
          <w:p w14:paraId="7AE7DDE6"/>
          <w:p w14:paraId="4B922EEA"/>
          <w:p w14:paraId="65AF2B24"/>
          <w:p w14:paraId="063B66F0"/>
          <w:p w14:paraId="2C2B89E1"/>
          <w:p w14:paraId="59727BC7"/>
          <w:p w14:paraId="46E322B9"/>
          <w:p w14:paraId="02B89257"/>
          <w:p w14:paraId="2BECF9AE"/>
          <w:p w14:paraId="510E5002"/>
          <w:p w14:paraId="0861AE99">
            <w:pPr>
              <w:spacing w:line="129" w:lineRule="exact"/>
            </w:pPr>
          </w:p>
          <w:tbl>
            <w:tblPr>
              <w:tblStyle w:val="4"/>
              <w:tblW w:w="3112" w:type="dxa"/>
              <w:tblInd w:w="23"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3112"/>
            </w:tblGrid>
            <w:tr w14:paraId="77FBAADF">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1192" w:hRule="atLeast"/>
              </w:trPr>
              <w:tc>
                <w:tcPr>
                  <w:tcW w:w="3112" w:type="dxa"/>
                  <w:shd w:val="clear" w:color="auto" w:fill="FFFFFF"/>
                  <w:vAlign w:val="top"/>
                </w:tcPr>
                <w:p w14:paraId="54EE61DA">
                  <w:pPr>
                    <w:spacing w:before="118" w:line="229" w:lineRule="auto"/>
                    <w:ind w:left="1206"/>
                    <w:rPr>
                      <w:rFonts w:ascii="宋体" w:hAnsi="宋体" w:eastAsia="宋体" w:cs="宋体"/>
                      <w:sz w:val="20"/>
                      <w:szCs w:val="20"/>
                    </w:rPr>
                  </w:pPr>
                  <w:r>
                    <w:drawing>
                      <wp:anchor distT="0" distB="0" distL="0" distR="0" simplePos="0" relativeHeight="252057600" behindDoc="1" locked="0" layoutInCell="1" allowOverlap="1">
                        <wp:simplePos x="0" y="0"/>
                        <wp:positionH relativeFrom="column">
                          <wp:posOffset>3810</wp:posOffset>
                        </wp:positionH>
                        <wp:positionV relativeFrom="paragraph">
                          <wp:posOffset>-6018530</wp:posOffset>
                        </wp:positionV>
                        <wp:extent cx="11972290" cy="6781800"/>
                        <wp:effectExtent l="0" t="0" r="0" b="0"/>
                        <wp:wrapNone/>
                        <wp:docPr id="247" name="IM 247"/>
                        <wp:cNvGraphicFramePr/>
                        <a:graphic xmlns:a="http://schemas.openxmlformats.org/drawingml/2006/main">
                          <a:graphicData uri="http://schemas.openxmlformats.org/drawingml/2006/picture">
                            <pic:pic xmlns:pic="http://schemas.openxmlformats.org/drawingml/2006/picture">
                              <pic:nvPicPr>
                                <pic:cNvPr id="247" name="IM 247"/>
                                <pic:cNvPicPr/>
                              </pic:nvPicPr>
                              <pic:blipFill>
                                <a:blip r:embed="rId600"/>
                                <a:stretch>
                                  <a:fillRect/>
                                </a:stretch>
                              </pic:blipFill>
                              <pic:spPr>
                                <a:xfrm>
                                  <a:off x="0" y="0"/>
                                  <a:ext cx="11972543" cy="6781800"/>
                                </a:xfrm>
                                <a:prstGeom prst="rect">
                                  <a:avLst/>
                                </a:prstGeom>
                              </pic:spPr>
                            </pic:pic>
                          </a:graphicData>
                        </a:graphic>
                      </wp:anchor>
                    </w:drawing>
                  </w:r>
                  <w:r>
                    <w:pict>
                      <v:shape id="_x0000_s1366" o:spid="_x0000_s1366" style="position:absolute;left:0pt;margin-left:58.85pt;margin-top:15.95pt;height:1pt;width:36.85pt;z-index:252060672;mso-width-relative:page;mso-height-relative:page;" filled="f" stroked="t" coordsize="736,20" path="m0,9l736,9e">
                        <v:fill on="f" focussize="0,0"/>
                        <v:stroke weight="0.96pt" color="#000000" miterlimit="2" joinstyle="bevel"/>
                        <v:imagedata o:title=""/>
                        <o:lock v:ext="edit"/>
                      </v:shape>
                    </w:pict>
                  </w:r>
                  <w:r>
                    <w:pict>
                      <v:rect id="_x0000_s1367" o:spid="_x0000_s1367" o:spt="1" style="position:absolute;left:0pt;margin-left:11.15pt;margin-top:23.75pt;height:11.3pt;width:17.05pt;mso-position-horizontal-relative:page;mso-position-vertical-relative:page;z-index:252062720;mso-width-relative:page;mso-height-relative:page;" fillcolor="#FF0000" filled="t" stroked="f" coordsize="21600,21600">
                        <v:path/>
                        <v:fill on="t" focussize="0,0"/>
                        <v:stroke on="f"/>
                        <v:imagedata o:title=""/>
                        <o:lock v:ext="edit"/>
                      </v:rect>
                    </w:pict>
                  </w:r>
                  <w:r>
                    <w:pict>
                      <v:shape id="_x0000_s1368" o:spid="_x0000_s1368" style="position:absolute;left:0pt;margin-left:10.75pt;margin-top:23.35pt;height:12.1pt;width:17.8pt;mso-position-horizontal-relative:page;mso-position-vertical-relative:page;z-index:252059648;mso-width-relative:page;mso-height-relative:page;" filled="f" stroked="t" coordsize="355,242" path="m0,0l0,241,355,241,355,0,0,0e">
                        <v:fill on="f" focussize="0,0"/>
                        <v:stroke weight="1.25pt" color="#000000" miterlimit="0" joinstyle="miter"/>
                        <v:imagedata o:title=""/>
                        <o:lock v:ext="edit"/>
                      </v:shape>
                    </w:pict>
                  </w:r>
                  <w:r>
                    <w:drawing>
                      <wp:anchor distT="0" distB="0" distL="0" distR="0" simplePos="0" relativeHeight="252061696" behindDoc="0" locked="0" layoutInCell="1" allowOverlap="1">
                        <wp:simplePos x="0" y="0"/>
                        <wp:positionH relativeFrom="rightMargin">
                          <wp:posOffset>-1804670</wp:posOffset>
                        </wp:positionH>
                        <wp:positionV relativeFrom="topMargin">
                          <wp:posOffset>492760</wp:posOffset>
                        </wp:positionV>
                        <wp:extent cx="189230" cy="189230"/>
                        <wp:effectExtent l="0" t="0" r="0" b="0"/>
                        <wp:wrapNone/>
                        <wp:docPr id="248" name="IM 248"/>
                        <wp:cNvGraphicFramePr/>
                        <a:graphic xmlns:a="http://schemas.openxmlformats.org/drawingml/2006/main">
                          <a:graphicData uri="http://schemas.openxmlformats.org/drawingml/2006/picture">
                            <pic:pic xmlns:pic="http://schemas.openxmlformats.org/drawingml/2006/picture">
                              <pic:nvPicPr>
                                <pic:cNvPr id="248" name="IM 248"/>
                                <pic:cNvPicPr/>
                              </pic:nvPicPr>
                              <pic:blipFill>
                                <a:blip r:embed="rId601"/>
                                <a:stretch>
                                  <a:fillRect/>
                                </a:stretch>
                              </pic:blipFill>
                              <pic:spPr>
                                <a:xfrm>
                                  <a:off x="0" y="0"/>
                                  <a:ext cx="189229" cy="189229"/>
                                </a:xfrm>
                                <a:prstGeom prst="rect">
                                  <a:avLst/>
                                </a:prstGeom>
                              </pic:spPr>
                            </pic:pic>
                          </a:graphicData>
                        </a:graphic>
                      </wp:anchor>
                    </w:drawing>
                  </w:r>
                  <w:r>
                    <w:rPr>
                      <w:rFonts w:ascii="宋体" w:hAnsi="宋体" w:eastAsia="宋体" w:cs="宋体"/>
                      <w:spacing w:val="1"/>
                      <w:sz w:val="20"/>
                      <w:szCs w:val="20"/>
                      <w14:textOutline w14:w="3795" w14:cap="sq" w14:cmpd="sng">
                        <w14:solidFill>
                          <w14:srgbClr w14:val="000000"/>
                        </w14:solidFill>
                        <w14:prstDash w14:val="solid"/>
                        <w14:bevel/>
                      </w14:textOutline>
                    </w:rPr>
                    <w:t>图</w:t>
                  </w:r>
                  <w:r>
                    <w:rPr>
                      <w:rFonts w:ascii="宋体" w:hAnsi="宋体" w:eastAsia="宋体" w:cs="宋体"/>
                      <w:spacing w:val="1"/>
                      <w:sz w:val="20"/>
                      <w:szCs w:val="20"/>
                    </w:rPr>
                    <w:t xml:space="preserve">   </w:t>
                  </w:r>
                  <w:r>
                    <w:rPr>
                      <w:rFonts w:ascii="宋体" w:hAnsi="宋体" w:eastAsia="宋体" w:cs="宋体"/>
                      <w:spacing w:val="1"/>
                      <w:sz w:val="20"/>
                      <w:szCs w:val="20"/>
                      <w14:textOutline w14:w="3795" w14:cap="sq" w14:cmpd="sng">
                        <w14:solidFill>
                          <w14:srgbClr w14:val="000000"/>
                        </w14:solidFill>
                        <w14:prstDash w14:val="solid"/>
                        <w14:bevel/>
                      </w14:textOutline>
                    </w:rPr>
                    <w:t>例</w:t>
                  </w:r>
                </w:p>
                <w:p w14:paraId="538367D4">
                  <w:pPr>
                    <w:spacing w:before="64" w:line="228" w:lineRule="auto"/>
                    <w:ind w:left="780"/>
                    <w:rPr>
                      <w:rFonts w:ascii="宋体" w:hAnsi="宋体" w:eastAsia="宋体" w:cs="宋体"/>
                      <w:sz w:val="20"/>
                      <w:szCs w:val="20"/>
                    </w:rPr>
                  </w:pPr>
                  <w:r>
                    <w:rPr>
                      <w:rFonts w:ascii="宋体" w:hAnsi="宋体" w:eastAsia="宋体" w:cs="宋体"/>
                      <w:spacing w:val="10"/>
                      <w:sz w:val="20"/>
                      <w:szCs w:val="20"/>
                    </w:rPr>
                    <w:t>建</w:t>
                  </w:r>
                  <w:r>
                    <w:rPr>
                      <w:rFonts w:ascii="宋体" w:hAnsi="宋体" w:eastAsia="宋体" w:cs="宋体"/>
                      <w:spacing w:val="8"/>
                      <w:sz w:val="20"/>
                      <w:szCs w:val="20"/>
                    </w:rPr>
                    <w:t>设项目所在地</w:t>
                  </w:r>
                </w:p>
                <w:p w14:paraId="1E7E5326">
                  <w:pPr>
                    <w:spacing w:before="64" w:line="226" w:lineRule="auto"/>
                    <w:ind w:left="777"/>
                    <w:rPr>
                      <w:rFonts w:ascii="宋体" w:hAnsi="宋体" w:eastAsia="宋体" w:cs="宋体"/>
                      <w:sz w:val="20"/>
                      <w:szCs w:val="20"/>
                    </w:rPr>
                  </w:pPr>
                  <w:r>
                    <w:rPr>
                      <w:rFonts w:ascii="宋体" w:hAnsi="宋体" w:eastAsia="宋体" w:cs="宋体"/>
                      <w:spacing w:val="9"/>
                      <w:sz w:val="20"/>
                      <w:szCs w:val="20"/>
                    </w:rPr>
                    <w:t>环境风险影响评价范</w:t>
                  </w:r>
                  <w:r>
                    <w:rPr>
                      <w:rFonts w:ascii="宋体" w:hAnsi="宋体" w:eastAsia="宋体" w:cs="宋体"/>
                      <w:spacing w:val="8"/>
                      <w:sz w:val="20"/>
                      <w:szCs w:val="20"/>
                    </w:rPr>
                    <w:t>围</w:t>
                  </w:r>
                </w:p>
              </w:tc>
            </w:tr>
          </w:tbl>
          <w:p w14:paraId="79B20D98">
            <w:pPr>
              <w:spacing w:line="28" w:lineRule="exact"/>
              <w:rPr>
                <w:rFonts w:ascii="Arial"/>
                <w:sz w:val="2"/>
              </w:rPr>
            </w:pPr>
          </w:p>
        </w:tc>
      </w:tr>
    </w:tbl>
    <w:p w14:paraId="03D94E4F">
      <w:pPr>
        <w:spacing w:before="142" w:line="226" w:lineRule="auto"/>
        <w:ind w:left="8376"/>
        <w:rPr>
          <w:rFonts w:ascii="宋体" w:hAnsi="宋体" w:eastAsia="宋体" w:cs="宋体"/>
          <w:sz w:val="23"/>
          <w:szCs w:val="23"/>
        </w:rPr>
      </w:pPr>
      <w:r>
        <w:rPr>
          <w:rFonts w:ascii="Times New Roman" w:hAnsi="Times New Roman" w:eastAsia="Times New Roman" w:cs="Times New Roman"/>
          <w:b/>
          <w:bCs/>
          <w:spacing w:val="24"/>
          <w:sz w:val="23"/>
          <w:szCs w:val="23"/>
        </w:rPr>
        <w:t>7</w:t>
      </w:r>
      <w:r>
        <w:rPr>
          <w:rFonts w:ascii="Times New Roman" w:hAnsi="Times New Roman" w:eastAsia="Times New Roman" w:cs="Times New Roman"/>
          <w:b/>
          <w:bCs/>
          <w:spacing w:val="17"/>
          <w:sz w:val="23"/>
          <w:szCs w:val="23"/>
        </w:rPr>
        <w:t>-</w:t>
      </w:r>
      <w:r>
        <w:rPr>
          <w:rFonts w:ascii="Times New Roman" w:hAnsi="Times New Roman" w:eastAsia="Times New Roman" w:cs="Times New Roman"/>
          <w:b/>
          <w:bCs/>
          <w:spacing w:val="12"/>
          <w:sz w:val="23"/>
          <w:szCs w:val="23"/>
        </w:rPr>
        <w:t>1</w:t>
      </w:r>
      <w:r>
        <w:rPr>
          <w:rFonts w:ascii="Times New Roman" w:hAnsi="Times New Roman" w:eastAsia="Times New Roman" w:cs="Times New Roman"/>
          <w:spacing w:val="12"/>
          <w:sz w:val="23"/>
          <w:szCs w:val="23"/>
        </w:rPr>
        <w:t xml:space="preserve">         </w:t>
      </w:r>
      <w:r>
        <w:rPr>
          <w:rFonts w:ascii="宋体" w:hAnsi="宋体" w:eastAsia="宋体" w:cs="宋体"/>
          <w:spacing w:val="12"/>
          <w:sz w:val="23"/>
          <w:szCs w:val="23"/>
          <w14:textOutline w14:w="4358" w14:cap="sq" w14:cmpd="sng">
            <w14:solidFill>
              <w14:srgbClr w14:val="000000"/>
            </w14:solidFill>
            <w14:prstDash w14:val="solid"/>
            <w14:bevel/>
          </w14:textOutline>
        </w:rPr>
        <w:t>建设项目环境风险评价范围图</w:t>
      </w:r>
    </w:p>
    <w:p w14:paraId="6F8CC305">
      <w:pPr>
        <w:sectPr>
          <w:headerReference r:id="rId303" w:type="default"/>
          <w:footerReference r:id="rId304" w:type="default"/>
          <w:pgSz w:w="23758" w:h="16783"/>
          <w:pgMar w:top="1132" w:right="1440" w:bottom="1183" w:left="1440" w:header="878" w:footer="1022" w:gutter="0"/>
          <w:cols w:space="720" w:num="1"/>
        </w:sectPr>
      </w:pPr>
    </w:p>
    <w:p w14:paraId="36AD7B14">
      <w:pPr>
        <w:spacing w:line="473" w:lineRule="auto"/>
        <w:rPr>
          <w:rFonts w:ascii="Arial"/>
          <w:sz w:val="21"/>
        </w:rPr>
      </w:pPr>
      <w:r>
        <w:pict>
          <v:shape id="_x0000_s1369" o:spid="_x0000_s1369" style="position:absolute;left:0pt;margin-left:90pt;margin-top:57.35pt;height:0.75pt;width:415.3pt;mso-position-horizontal-relative:page;mso-position-vertical-relative:page;z-index:252064768;mso-width-relative:page;mso-height-relative:page;" fillcolor="#000000" filled="t" stroked="f" coordsize="8305,15" o:allowincell="f" path="m0,0l8305,0,8305,14,0,14,0,0xe">
            <v:path/>
            <v:fill on="t" focussize="0,0"/>
            <v:stroke on="f"/>
            <v:imagedata o:title=""/>
            <o:lock v:ext="edit"/>
          </v:shape>
        </w:pict>
      </w:r>
    </w:p>
    <w:p w14:paraId="2D5FFD9E">
      <w:pPr>
        <w:spacing w:before="101" w:line="225" w:lineRule="auto"/>
        <w:ind w:left="24"/>
        <w:outlineLvl w:val="1"/>
        <w:rPr>
          <w:rFonts w:ascii="宋体" w:hAnsi="宋体" w:eastAsia="宋体" w:cs="宋体"/>
          <w:sz w:val="31"/>
          <w:szCs w:val="31"/>
        </w:rPr>
      </w:pPr>
      <w:bookmarkStart w:id="34" w:name="_bookmark35"/>
      <w:bookmarkEnd w:id="34"/>
      <w:r>
        <w:rPr>
          <w:rFonts w:ascii="Times New Roman" w:hAnsi="Times New Roman" w:eastAsia="Times New Roman" w:cs="Times New Roman"/>
          <w:b/>
          <w:bCs/>
          <w:spacing w:val="13"/>
          <w:sz w:val="31"/>
          <w:szCs w:val="31"/>
        </w:rPr>
        <w:t>7</w:t>
      </w:r>
      <w:r>
        <w:rPr>
          <w:rFonts w:ascii="Times New Roman" w:hAnsi="Times New Roman" w:eastAsia="Times New Roman" w:cs="Times New Roman"/>
          <w:b/>
          <w:bCs/>
          <w:spacing w:val="8"/>
          <w:sz w:val="31"/>
          <w:szCs w:val="31"/>
        </w:rPr>
        <w:t>.6</w:t>
      </w:r>
      <w:r>
        <w:rPr>
          <w:rFonts w:ascii="Times New Roman" w:hAnsi="Times New Roman" w:eastAsia="Times New Roman" w:cs="Times New Roman"/>
          <w:spacing w:val="8"/>
          <w:sz w:val="31"/>
          <w:szCs w:val="31"/>
        </w:rPr>
        <w:t xml:space="preserve">  </w:t>
      </w:r>
      <w:r>
        <w:rPr>
          <w:rFonts w:ascii="宋体" w:hAnsi="宋体" w:eastAsia="宋体" w:cs="宋体"/>
          <w:spacing w:val="8"/>
          <w:sz w:val="31"/>
          <w:szCs w:val="31"/>
          <w14:textOutline w14:w="5793" w14:cap="sq" w14:cmpd="sng">
            <w14:solidFill>
              <w14:srgbClr w14:val="000000"/>
            </w14:solidFill>
            <w14:prstDash w14:val="solid"/>
            <w14:bevel/>
          </w14:textOutline>
        </w:rPr>
        <w:t>环境风险防范措施及应急要求</w:t>
      </w:r>
    </w:p>
    <w:p w14:paraId="7FBD751D">
      <w:pPr>
        <w:spacing w:line="254" w:lineRule="auto"/>
        <w:rPr>
          <w:rFonts w:ascii="Arial"/>
          <w:sz w:val="21"/>
        </w:rPr>
      </w:pPr>
    </w:p>
    <w:p w14:paraId="6FBE56FD">
      <w:pPr>
        <w:spacing w:before="75" w:line="227" w:lineRule="auto"/>
        <w:ind w:left="506"/>
        <w:rPr>
          <w:rFonts w:ascii="宋体" w:hAnsi="宋体" w:eastAsia="宋体" w:cs="宋体"/>
          <w:sz w:val="23"/>
          <w:szCs w:val="23"/>
        </w:rPr>
      </w:pPr>
      <w:r>
        <w:rPr>
          <w:rFonts w:ascii="宋体" w:hAnsi="宋体" w:eastAsia="宋体" w:cs="宋体"/>
          <w:spacing w:val="13"/>
          <w:sz w:val="23"/>
          <w:szCs w:val="23"/>
        </w:rPr>
        <w:t>为</w:t>
      </w:r>
      <w:r>
        <w:rPr>
          <w:rFonts w:ascii="宋体" w:hAnsi="宋体" w:eastAsia="宋体" w:cs="宋体"/>
          <w:spacing w:val="9"/>
          <w:sz w:val="23"/>
          <w:szCs w:val="23"/>
        </w:rPr>
        <w:t>了有效地防范厂区内事故的发生，该项目的防范措施如下：</w:t>
      </w:r>
    </w:p>
    <w:p w14:paraId="39CA91F4">
      <w:pPr>
        <w:spacing w:line="281" w:lineRule="auto"/>
        <w:rPr>
          <w:rFonts w:ascii="Arial"/>
          <w:sz w:val="21"/>
        </w:rPr>
      </w:pPr>
    </w:p>
    <w:p w14:paraId="2C664AD1">
      <w:pPr>
        <w:spacing w:before="75" w:line="227" w:lineRule="auto"/>
        <w:ind w:left="522"/>
        <w:rPr>
          <w:rFonts w:ascii="宋体" w:hAnsi="宋体" w:eastAsia="宋体" w:cs="宋体"/>
          <w:sz w:val="23"/>
          <w:szCs w:val="23"/>
        </w:rPr>
      </w:pPr>
      <w:r>
        <w:rPr>
          <w:rFonts w:ascii="Times New Roman" w:hAnsi="Times New Roman" w:eastAsia="Times New Roman" w:cs="Times New Roman"/>
          <w:spacing w:val="18"/>
          <w:sz w:val="23"/>
          <w:szCs w:val="23"/>
        </w:rPr>
        <w:t>1</w:t>
      </w:r>
      <w:r>
        <w:rPr>
          <w:rFonts w:ascii="宋体" w:hAnsi="宋体" w:eastAsia="宋体" w:cs="宋体"/>
          <w:spacing w:val="17"/>
          <w:sz w:val="23"/>
          <w:szCs w:val="23"/>
        </w:rPr>
        <w:t>)</w:t>
      </w:r>
      <w:r>
        <w:rPr>
          <w:rFonts w:ascii="宋体" w:hAnsi="宋体" w:eastAsia="宋体" w:cs="宋体"/>
          <w:spacing w:val="9"/>
          <w:sz w:val="23"/>
          <w:szCs w:val="23"/>
        </w:rPr>
        <w:t xml:space="preserve"> 为防止火灾、爆炸事故产生的消防废水及事故情况下生产废水污染地下</w:t>
      </w:r>
    </w:p>
    <w:p w14:paraId="6820D3DA">
      <w:pPr>
        <w:spacing w:before="197" w:line="393" w:lineRule="auto"/>
        <w:ind w:left="24" w:right="61" w:firstLine="1"/>
        <w:rPr>
          <w:rFonts w:ascii="宋体" w:hAnsi="宋体" w:eastAsia="宋体" w:cs="宋体"/>
          <w:sz w:val="23"/>
          <w:szCs w:val="23"/>
        </w:rPr>
      </w:pPr>
      <w:r>
        <w:rPr>
          <w:rFonts w:ascii="宋体" w:hAnsi="宋体" w:eastAsia="宋体" w:cs="宋体"/>
          <w:spacing w:val="7"/>
          <w:sz w:val="23"/>
          <w:szCs w:val="23"/>
        </w:rPr>
        <w:t>水，要求根据《建筑设计防火规范》中的有关规定，应对厂区地面进行硬覆盖</w:t>
      </w:r>
      <w:r>
        <w:rPr>
          <w:rFonts w:ascii="宋体" w:hAnsi="宋体" w:eastAsia="宋体" w:cs="宋体"/>
          <w:spacing w:val="6"/>
          <w:sz w:val="23"/>
          <w:szCs w:val="23"/>
        </w:rPr>
        <w:t>并</w:t>
      </w:r>
      <w:r>
        <w:rPr>
          <w:rFonts w:ascii="宋体" w:hAnsi="宋体" w:eastAsia="宋体" w:cs="宋体"/>
          <w:sz w:val="23"/>
          <w:szCs w:val="23"/>
        </w:rPr>
        <w:t xml:space="preserve"> </w:t>
      </w:r>
      <w:r>
        <w:rPr>
          <w:rFonts w:ascii="宋体" w:hAnsi="宋体" w:eastAsia="宋体" w:cs="宋体"/>
          <w:spacing w:val="16"/>
          <w:sz w:val="23"/>
          <w:szCs w:val="23"/>
        </w:rPr>
        <w:t>作防</w:t>
      </w:r>
      <w:r>
        <w:rPr>
          <w:rFonts w:ascii="宋体" w:hAnsi="宋体" w:eastAsia="宋体" w:cs="宋体"/>
          <w:spacing w:val="11"/>
          <w:sz w:val="23"/>
          <w:szCs w:val="23"/>
        </w:rPr>
        <w:t>渗</w:t>
      </w:r>
      <w:r>
        <w:rPr>
          <w:rFonts w:ascii="宋体" w:hAnsi="宋体" w:eastAsia="宋体" w:cs="宋体"/>
          <w:spacing w:val="8"/>
          <w:sz w:val="23"/>
          <w:szCs w:val="23"/>
        </w:rPr>
        <w:t>处理，地坪可采取混凝土结构，并使其渗透系数小于</w:t>
      </w:r>
      <w:r>
        <w:rPr>
          <w:rFonts w:ascii="Times New Roman" w:hAnsi="Times New Roman" w:eastAsia="Times New Roman" w:cs="Times New Roman"/>
          <w:spacing w:val="8"/>
          <w:sz w:val="23"/>
          <w:szCs w:val="23"/>
        </w:rPr>
        <w:t>1.0×10</w:t>
      </w:r>
      <w:r>
        <w:rPr>
          <w:rFonts w:ascii="宋体" w:hAnsi="宋体" w:eastAsia="宋体" w:cs="宋体"/>
          <w:spacing w:val="8"/>
          <w:position w:val="10"/>
          <w:sz w:val="11"/>
          <w:szCs w:val="11"/>
        </w:rPr>
        <w:t>－</w:t>
      </w:r>
      <w:r>
        <w:rPr>
          <w:rFonts w:ascii="Times New Roman" w:hAnsi="Times New Roman" w:eastAsia="Times New Roman" w:cs="Times New Roman"/>
          <w:spacing w:val="8"/>
          <w:position w:val="10"/>
          <w:sz w:val="15"/>
          <w:szCs w:val="15"/>
        </w:rPr>
        <w:t>7</w:t>
      </w:r>
      <w:r>
        <w:rPr>
          <w:rFonts w:ascii="Times New Roman" w:hAnsi="Times New Roman" w:eastAsia="Times New Roman" w:cs="Times New Roman"/>
          <w:sz w:val="23"/>
          <w:szCs w:val="23"/>
        </w:rPr>
        <w:t>cm</w:t>
      </w:r>
      <w:r>
        <w:rPr>
          <w:rFonts w:ascii="Times New Roman" w:hAnsi="Times New Roman" w:eastAsia="Times New Roman" w:cs="Times New Roman"/>
          <w:spacing w:val="8"/>
          <w:sz w:val="23"/>
          <w:szCs w:val="23"/>
        </w:rPr>
        <w:t>/</w:t>
      </w:r>
      <w:r>
        <w:rPr>
          <w:rFonts w:ascii="Times New Roman" w:hAnsi="Times New Roman" w:eastAsia="Times New Roman" w:cs="Times New Roman"/>
          <w:sz w:val="23"/>
          <w:szCs w:val="23"/>
        </w:rPr>
        <w:t>s</w:t>
      </w:r>
      <w:r>
        <w:rPr>
          <w:rFonts w:ascii="宋体" w:hAnsi="宋体" w:eastAsia="宋体" w:cs="宋体"/>
          <w:spacing w:val="8"/>
          <w:sz w:val="23"/>
          <w:szCs w:val="23"/>
        </w:rPr>
        <w:t>。</w:t>
      </w:r>
    </w:p>
    <w:p w14:paraId="203DADFB">
      <w:pPr>
        <w:spacing w:before="140" w:line="227" w:lineRule="auto"/>
        <w:ind w:left="499"/>
        <w:rPr>
          <w:rFonts w:ascii="宋体" w:hAnsi="宋体" w:eastAsia="宋体" w:cs="宋体"/>
          <w:sz w:val="23"/>
          <w:szCs w:val="23"/>
        </w:rPr>
      </w:pPr>
      <w:r>
        <w:rPr>
          <w:rFonts w:ascii="Times New Roman" w:hAnsi="Times New Roman" w:eastAsia="Times New Roman" w:cs="Times New Roman"/>
          <w:spacing w:val="9"/>
          <w:sz w:val="23"/>
          <w:szCs w:val="23"/>
        </w:rPr>
        <w:t>2</w:t>
      </w:r>
      <w:r>
        <w:rPr>
          <w:rFonts w:ascii="宋体" w:hAnsi="宋体" w:eastAsia="宋体" w:cs="宋体"/>
          <w:spacing w:val="9"/>
          <w:sz w:val="23"/>
          <w:szCs w:val="23"/>
        </w:rPr>
        <w:t>) 严格落实防雷、防电、消防等安全措施，科学布局</w:t>
      </w:r>
      <w:r>
        <w:rPr>
          <w:rFonts w:ascii="宋体" w:hAnsi="宋体" w:eastAsia="宋体" w:cs="宋体"/>
          <w:spacing w:val="4"/>
          <w:sz w:val="23"/>
          <w:szCs w:val="23"/>
        </w:rPr>
        <w:t>。</w:t>
      </w:r>
    </w:p>
    <w:p w14:paraId="52584039">
      <w:pPr>
        <w:spacing w:line="278" w:lineRule="auto"/>
        <w:rPr>
          <w:rFonts w:ascii="Arial"/>
          <w:sz w:val="21"/>
        </w:rPr>
      </w:pPr>
    </w:p>
    <w:p w14:paraId="6B0A70F1">
      <w:pPr>
        <w:spacing w:before="74" w:line="397" w:lineRule="auto"/>
        <w:ind w:left="42" w:right="111" w:firstLine="461"/>
        <w:rPr>
          <w:rFonts w:ascii="宋体" w:hAnsi="宋体" w:eastAsia="宋体" w:cs="宋体"/>
          <w:sz w:val="23"/>
          <w:szCs w:val="23"/>
        </w:rPr>
      </w:pPr>
      <w:r>
        <w:rPr>
          <w:rFonts w:ascii="Times New Roman" w:hAnsi="Times New Roman" w:eastAsia="Times New Roman" w:cs="Times New Roman"/>
          <w:spacing w:val="10"/>
          <w:sz w:val="23"/>
          <w:szCs w:val="23"/>
        </w:rPr>
        <w:t>3</w:t>
      </w:r>
      <w:r>
        <w:rPr>
          <w:rFonts w:ascii="宋体" w:hAnsi="宋体" w:eastAsia="宋体" w:cs="宋体"/>
          <w:spacing w:val="9"/>
          <w:sz w:val="23"/>
          <w:szCs w:val="23"/>
        </w:rPr>
        <w:t>) 原料库、成品库内严禁吸烟，并设置显著</w:t>
      </w:r>
      <w:r>
        <w:rPr>
          <w:rFonts w:ascii="Times New Roman" w:hAnsi="Times New Roman" w:eastAsia="Times New Roman" w:cs="Times New Roman"/>
          <w:spacing w:val="9"/>
          <w:sz w:val="23"/>
          <w:szCs w:val="23"/>
        </w:rPr>
        <w:t>“</w:t>
      </w:r>
      <w:r>
        <w:rPr>
          <w:rFonts w:ascii="宋体" w:hAnsi="宋体" w:eastAsia="宋体" w:cs="宋体"/>
          <w:spacing w:val="9"/>
          <w:sz w:val="23"/>
          <w:szCs w:val="23"/>
        </w:rPr>
        <w:t>严禁烟火</w:t>
      </w:r>
      <w:r>
        <w:rPr>
          <w:rFonts w:ascii="Times New Roman" w:hAnsi="Times New Roman" w:eastAsia="Times New Roman" w:cs="Times New Roman"/>
          <w:spacing w:val="9"/>
          <w:sz w:val="23"/>
          <w:szCs w:val="23"/>
        </w:rPr>
        <w:t>”</w:t>
      </w:r>
      <w:r>
        <w:rPr>
          <w:rFonts w:ascii="宋体" w:hAnsi="宋体" w:eastAsia="宋体" w:cs="宋体"/>
          <w:spacing w:val="9"/>
          <w:sz w:val="23"/>
          <w:szCs w:val="23"/>
        </w:rPr>
        <w:t>标识；原料堆周围</w:t>
      </w:r>
      <w:r>
        <w:rPr>
          <w:rFonts w:ascii="宋体" w:hAnsi="宋体" w:eastAsia="宋体" w:cs="宋体"/>
          <w:sz w:val="23"/>
          <w:szCs w:val="23"/>
        </w:rPr>
        <w:t xml:space="preserve"> </w:t>
      </w:r>
      <w:r>
        <w:rPr>
          <w:rFonts w:ascii="Times New Roman" w:hAnsi="Times New Roman" w:eastAsia="Times New Roman" w:cs="Times New Roman"/>
          <w:spacing w:val="14"/>
          <w:sz w:val="23"/>
          <w:szCs w:val="23"/>
        </w:rPr>
        <w:t>1</w:t>
      </w:r>
      <w:r>
        <w:rPr>
          <w:rFonts w:ascii="Times New Roman" w:hAnsi="Times New Roman" w:eastAsia="Times New Roman" w:cs="Times New Roman"/>
          <w:spacing w:val="10"/>
          <w:sz w:val="23"/>
          <w:szCs w:val="23"/>
        </w:rPr>
        <w:t>0</w:t>
      </w:r>
      <w:r>
        <w:rPr>
          <w:rFonts w:ascii="Times New Roman" w:hAnsi="Times New Roman" w:eastAsia="Times New Roman" w:cs="Times New Roman"/>
          <w:sz w:val="23"/>
          <w:szCs w:val="23"/>
        </w:rPr>
        <w:t>m</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内不得有明火作业，并应有禁火标识。</w:t>
      </w:r>
    </w:p>
    <w:p w14:paraId="62962EDA">
      <w:pPr>
        <w:spacing w:before="138" w:line="227" w:lineRule="auto"/>
        <w:ind w:left="497"/>
        <w:rPr>
          <w:rFonts w:ascii="宋体" w:hAnsi="宋体" w:eastAsia="宋体" w:cs="宋体"/>
          <w:sz w:val="23"/>
          <w:szCs w:val="23"/>
        </w:rPr>
      </w:pPr>
      <w:r>
        <w:rPr>
          <w:rFonts w:ascii="Times New Roman" w:hAnsi="Times New Roman" w:eastAsia="Times New Roman" w:cs="Times New Roman"/>
          <w:spacing w:val="9"/>
          <w:sz w:val="23"/>
          <w:szCs w:val="23"/>
        </w:rPr>
        <w:t>4</w:t>
      </w:r>
      <w:r>
        <w:rPr>
          <w:rFonts w:ascii="宋体" w:hAnsi="宋体" w:eastAsia="宋体" w:cs="宋体"/>
          <w:spacing w:val="9"/>
          <w:sz w:val="23"/>
          <w:szCs w:val="23"/>
        </w:rPr>
        <w:t>) 厂区内配备种类适应的灭火器、砂箱或其他灭火工具</w:t>
      </w:r>
      <w:r>
        <w:rPr>
          <w:rFonts w:ascii="宋体" w:hAnsi="宋体" w:eastAsia="宋体" w:cs="宋体"/>
          <w:spacing w:val="7"/>
          <w:sz w:val="23"/>
          <w:szCs w:val="23"/>
        </w:rPr>
        <w:t>。</w:t>
      </w:r>
    </w:p>
    <w:p w14:paraId="363CB426">
      <w:pPr>
        <w:spacing w:line="278" w:lineRule="auto"/>
        <w:rPr>
          <w:rFonts w:ascii="Arial"/>
          <w:sz w:val="21"/>
        </w:rPr>
      </w:pPr>
    </w:p>
    <w:p w14:paraId="186608BE">
      <w:pPr>
        <w:spacing w:before="75" w:line="394" w:lineRule="auto"/>
        <w:ind w:left="24" w:right="7" w:firstLine="481"/>
        <w:rPr>
          <w:rFonts w:ascii="宋体" w:hAnsi="宋体" w:eastAsia="宋体" w:cs="宋体"/>
          <w:sz w:val="23"/>
          <w:szCs w:val="23"/>
        </w:rPr>
      </w:pPr>
      <w:r>
        <w:rPr>
          <w:rFonts w:ascii="Times New Roman" w:hAnsi="Times New Roman" w:eastAsia="Times New Roman" w:cs="Times New Roman"/>
          <w:spacing w:val="10"/>
          <w:sz w:val="23"/>
          <w:szCs w:val="23"/>
        </w:rPr>
        <w:t>5</w:t>
      </w:r>
      <w:r>
        <w:rPr>
          <w:rFonts w:ascii="宋体" w:hAnsi="宋体" w:eastAsia="宋体" w:cs="宋体"/>
          <w:spacing w:val="10"/>
          <w:sz w:val="23"/>
          <w:szCs w:val="23"/>
        </w:rPr>
        <w:t>) 为防止火灾、爆炸事故产生的消防废水漫溢出厂界，要求厂区内备有</w:t>
      </w:r>
      <w:r>
        <w:rPr>
          <w:rFonts w:ascii="宋体" w:hAnsi="宋体" w:eastAsia="宋体" w:cs="宋体"/>
          <w:spacing w:val="7"/>
          <w:sz w:val="23"/>
          <w:szCs w:val="23"/>
        </w:rPr>
        <w:t>一</w:t>
      </w:r>
      <w:r>
        <w:rPr>
          <w:rFonts w:ascii="宋体" w:hAnsi="宋体" w:eastAsia="宋体" w:cs="宋体"/>
          <w:sz w:val="23"/>
          <w:szCs w:val="23"/>
        </w:rPr>
        <w:t xml:space="preserve"> </w:t>
      </w:r>
      <w:r>
        <w:rPr>
          <w:rFonts w:ascii="宋体" w:hAnsi="宋体" w:eastAsia="宋体" w:cs="宋体"/>
          <w:spacing w:val="16"/>
          <w:sz w:val="23"/>
          <w:szCs w:val="23"/>
        </w:rPr>
        <w:t>定量</w:t>
      </w:r>
      <w:r>
        <w:rPr>
          <w:rFonts w:ascii="宋体" w:hAnsi="宋体" w:eastAsia="宋体" w:cs="宋体"/>
          <w:spacing w:val="11"/>
          <w:sz w:val="23"/>
          <w:szCs w:val="23"/>
        </w:rPr>
        <w:t>的</w:t>
      </w:r>
      <w:r>
        <w:rPr>
          <w:rFonts w:ascii="宋体" w:hAnsi="宋体" w:eastAsia="宋体" w:cs="宋体"/>
          <w:spacing w:val="8"/>
          <w:sz w:val="23"/>
          <w:szCs w:val="23"/>
        </w:rPr>
        <w:t>沙袋、土工布等应急物资，一旦发生火灾，产生消防废水，可利用沙袋、</w:t>
      </w:r>
      <w:r>
        <w:rPr>
          <w:rFonts w:ascii="宋体" w:hAnsi="宋体" w:eastAsia="宋体" w:cs="宋体"/>
          <w:sz w:val="23"/>
          <w:szCs w:val="23"/>
        </w:rPr>
        <w:t xml:space="preserve"> </w:t>
      </w:r>
      <w:r>
        <w:rPr>
          <w:rFonts w:ascii="宋体" w:hAnsi="宋体" w:eastAsia="宋体" w:cs="宋体"/>
          <w:spacing w:val="10"/>
          <w:sz w:val="23"/>
          <w:szCs w:val="23"/>
        </w:rPr>
        <w:t>土</w:t>
      </w:r>
      <w:r>
        <w:rPr>
          <w:rFonts w:ascii="宋体" w:hAnsi="宋体" w:eastAsia="宋体" w:cs="宋体"/>
          <w:spacing w:val="9"/>
          <w:sz w:val="23"/>
          <w:szCs w:val="23"/>
        </w:rPr>
        <w:t>工布等对消防废水进行拦堵，防止漫溢出厂界。</w:t>
      </w:r>
    </w:p>
    <w:p w14:paraId="22DF5E9B">
      <w:pPr>
        <w:spacing w:before="137" w:line="387" w:lineRule="auto"/>
        <w:ind w:left="23" w:firstLine="480"/>
        <w:rPr>
          <w:rFonts w:ascii="宋体" w:hAnsi="宋体" w:eastAsia="宋体" w:cs="宋体"/>
          <w:sz w:val="23"/>
          <w:szCs w:val="23"/>
        </w:rPr>
      </w:pPr>
      <w:r>
        <w:rPr>
          <w:rFonts w:ascii="Times New Roman" w:hAnsi="Times New Roman" w:eastAsia="Times New Roman" w:cs="Times New Roman"/>
          <w:spacing w:val="12"/>
          <w:sz w:val="23"/>
          <w:szCs w:val="23"/>
        </w:rPr>
        <w:t>6</w:t>
      </w:r>
      <w:r>
        <w:rPr>
          <w:rFonts w:ascii="宋体" w:hAnsi="宋体" w:eastAsia="宋体" w:cs="宋体"/>
          <w:spacing w:val="12"/>
          <w:sz w:val="23"/>
          <w:szCs w:val="23"/>
        </w:rPr>
        <w:t>)</w:t>
      </w:r>
      <w:r>
        <w:rPr>
          <w:rFonts w:ascii="宋体" w:hAnsi="宋体" w:eastAsia="宋体" w:cs="宋体"/>
          <w:spacing w:val="10"/>
          <w:sz w:val="23"/>
          <w:szCs w:val="23"/>
        </w:rPr>
        <w:t xml:space="preserve"> </w:t>
      </w:r>
      <w:r>
        <w:rPr>
          <w:rFonts w:ascii="宋体" w:hAnsi="宋体" w:eastAsia="宋体" w:cs="宋体"/>
          <w:spacing w:val="6"/>
          <w:sz w:val="23"/>
          <w:szCs w:val="23"/>
        </w:rPr>
        <w:t>为了更好地控制事故可能造成的污染，本评价要求在厂区北侧设置</w:t>
      </w:r>
      <w:r>
        <w:rPr>
          <w:rFonts w:ascii="Times New Roman" w:hAnsi="Times New Roman" w:eastAsia="Times New Roman" w:cs="Times New Roman"/>
          <w:spacing w:val="6"/>
          <w:sz w:val="23"/>
          <w:szCs w:val="23"/>
        </w:rPr>
        <w:t>1</w:t>
      </w:r>
      <w:r>
        <w:rPr>
          <w:rFonts w:ascii="宋体" w:hAnsi="宋体" w:eastAsia="宋体" w:cs="宋体"/>
          <w:spacing w:val="6"/>
          <w:sz w:val="23"/>
          <w:szCs w:val="23"/>
        </w:rPr>
        <w:t>座容</w:t>
      </w:r>
      <w:r>
        <w:rPr>
          <w:rFonts w:ascii="宋体" w:hAnsi="宋体" w:eastAsia="宋体" w:cs="宋体"/>
          <w:sz w:val="23"/>
          <w:szCs w:val="23"/>
        </w:rPr>
        <w:t xml:space="preserve"> </w:t>
      </w:r>
      <w:r>
        <w:rPr>
          <w:rFonts w:ascii="宋体" w:hAnsi="宋体" w:eastAsia="宋体" w:cs="宋体"/>
          <w:spacing w:val="8"/>
          <w:sz w:val="23"/>
          <w:szCs w:val="23"/>
        </w:rPr>
        <w:t>积为</w:t>
      </w:r>
      <w:r>
        <w:rPr>
          <w:rFonts w:ascii="Times New Roman" w:hAnsi="Times New Roman" w:eastAsia="Times New Roman" w:cs="Times New Roman"/>
          <w:spacing w:val="8"/>
          <w:sz w:val="23"/>
          <w:szCs w:val="23"/>
        </w:rPr>
        <w:t>160</w:t>
      </w:r>
      <w:r>
        <w:rPr>
          <w:rFonts w:ascii="Times New Roman" w:hAnsi="Times New Roman" w:eastAsia="Times New Roman" w:cs="Times New Roman"/>
          <w:sz w:val="23"/>
          <w:szCs w:val="23"/>
        </w:rPr>
        <w:t>m</w:t>
      </w:r>
      <w:r>
        <w:rPr>
          <w:rFonts w:ascii="Times New Roman" w:hAnsi="Times New Roman" w:eastAsia="Times New Roman" w:cs="Times New Roman"/>
          <w:spacing w:val="5"/>
          <w:position w:val="8"/>
          <w:sz w:val="15"/>
          <w:szCs w:val="15"/>
        </w:rPr>
        <w:t>3</w:t>
      </w:r>
      <w:r>
        <w:rPr>
          <w:rFonts w:ascii="宋体" w:hAnsi="宋体" w:eastAsia="宋体" w:cs="宋体"/>
          <w:spacing w:val="4"/>
          <w:sz w:val="23"/>
          <w:szCs w:val="23"/>
        </w:rPr>
        <w:t>事故池。事故池的作用是灭火结束后可将消防水全部收集在事故池中，</w:t>
      </w:r>
      <w:r>
        <w:rPr>
          <w:rFonts w:ascii="宋体" w:hAnsi="宋体" w:eastAsia="宋体" w:cs="宋体"/>
          <w:sz w:val="23"/>
          <w:szCs w:val="23"/>
        </w:rPr>
        <w:t xml:space="preserve"> </w:t>
      </w:r>
      <w:r>
        <w:rPr>
          <w:rFonts w:ascii="宋体" w:hAnsi="宋体" w:eastAsia="宋体" w:cs="宋体"/>
          <w:spacing w:val="9"/>
          <w:sz w:val="23"/>
          <w:szCs w:val="23"/>
        </w:rPr>
        <w:t>同</w:t>
      </w:r>
      <w:r>
        <w:rPr>
          <w:rFonts w:ascii="宋体" w:hAnsi="宋体" w:eastAsia="宋体" w:cs="宋体"/>
          <w:spacing w:val="7"/>
          <w:sz w:val="23"/>
          <w:szCs w:val="23"/>
        </w:rPr>
        <w:t>时可容纳</w:t>
      </w:r>
      <w:r>
        <w:rPr>
          <w:rFonts w:ascii="Times New Roman" w:hAnsi="Times New Roman" w:eastAsia="Times New Roman" w:cs="Times New Roman"/>
          <w:spacing w:val="7"/>
          <w:sz w:val="23"/>
          <w:szCs w:val="23"/>
        </w:rPr>
        <w:t>2</w:t>
      </w:r>
      <w:r>
        <w:rPr>
          <w:rFonts w:ascii="Times New Roman" w:hAnsi="Times New Roman" w:eastAsia="Times New Roman" w:cs="Times New Roman"/>
          <w:sz w:val="23"/>
          <w:szCs w:val="23"/>
        </w:rPr>
        <w:t>h</w:t>
      </w:r>
      <w:r>
        <w:rPr>
          <w:rFonts w:ascii="宋体" w:hAnsi="宋体" w:eastAsia="宋体" w:cs="宋体"/>
          <w:spacing w:val="7"/>
          <w:sz w:val="23"/>
          <w:szCs w:val="23"/>
        </w:rPr>
        <w:t>的事故排水量，随后，根据有关规定和具体情况进行对事故池中的</w:t>
      </w:r>
      <w:r>
        <w:rPr>
          <w:rFonts w:ascii="宋体" w:hAnsi="宋体" w:eastAsia="宋体" w:cs="宋体"/>
          <w:sz w:val="23"/>
          <w:szCs w:val="23"/>
        </w:rPr>
        <w:t xml:space="preserve"> </w:t>
      </w:r>
      <w:r>
        <w:rPr>
          <w:rFonts w:ascii="宋体" w:hAnsi="宋体" w:eastAsia="宋体" w:cs="宋体"/>
          <w:spacing w:val="11"/>
          <w:sz w:val="23"/>
          <w:szCs w:val="23"/>
        </w:rPr>
        <w:t>水</w:t>
      </w:r>
      <w:r>
        <w:rPr>
          <w:rFonts w:ascii="宋体" w:hAnsi="宋体" w:eastAsia="宋体" w:cs="宋体"/>
          <w:spacing w:val="7"/>
          <w:sz w:val="23"/>
          <w:szCs w:val="23"/>
        </w:rPr>
        <w:t>进行相应处理。</w:t>
      </w:r>
    </w:p>
    <w:p w14:paraId="79336E89">
      <w:pPr>
        <w:spacing w:before="164" w:line="393" w:lineRule="auto"/>
        <w:ind w:left="26" w:right="61" w:firstLine="476"/>
        <w:rPr>
          <w:rFonts w:ascii="宋体" w:hAnsi="宋体" w:eastAsia="宋体" w:cs="宋体"/>
          <w:sz w:val="23"/>
          <w:szCs w:val="23"/>
        </w:rPr>
      </w:pPr>
      <w:r>
        <w:rPr>
          <w:rFonts w:ascii="宋体" w:hAnsi="宋体" w:eastAsia="宋体" w:cs="宋体"/>
          <w:spacing w:val="7"/>
          <w:sz w:val="23"/>
          <w:szCs w:val="23"/>
        </w:rPr>
        <w:t>采取上述应急措施后，物料燃烧、泄漏事故产生的消防污水不会直接排漫</w:t>
      </w:r>
      <w:r>
        <w:rPr>
          <w:rFonts w:ascii="宋体" w:hAnsi="宋体" w:eastAsia="宋体" w:cs="宋体"/>
          <w:spacing w:val="3"/>
          <w:sz w:val="23"/>
          <w:szCs w:val="23"/>
        </w:rPr>
        <w:t>出</w:t>
      </w:r>
      <w:r>
        <w:rPr>
          <w:rFonts w:ascii="宋体" w:hAnsi="宋体" w:eastAsia="宋体" w:cs="宋体"/>
          <w:sz w:val="23"/>
          <w:szCs w:val="23"/>
        </w:rPr>
        <w:t xml:space="preserve"> </w:t>
      </w:r>
      <w:r>
        <w:rPr>
          <w:rFonts w:ascii="宋体" w:hAnsi="宋体" w:eastAsia="宋体" w:cs="宋体"/>
          <w:spacing w:val="7"/>
          <w:sz w:val="23"/>
          <w:szCs w:val="23"/>
        </w:rPr>
        <w:t>厂界，因此对地表水体影响较小。另外，在企业生产运营中，要经常对地面进</w:t>
      </w:r>
      <w:r>
        <w:rPr>
          <w:rFonts w:ascii="宋体" w:hAnsi="宋体" w:eastAsia="宋体" w:cs="宋体"/>
          <w:spacing w:val="6"/>
          <w:sz w:val="23"/>
          <w:szCs w:val="23"/>
        </w:rPr>
        <w:t>行</w:t>
      </w:r>
      <w:r>
        <w:rPr>
          <w:rFonts w:ascii="宋体" w:hAnsi="宋体" w:eastAsia="宋体" w:cs="宋体"/>
          <w:sz w:val="23"/>
          <w:szCs w:val="23"/>
        </w:rPr>
        <w:t xml:space="preserve"> </w:t>
      </w:r>
      <w:r>
        <w:rPr>
          <w:rFonts w:ascii="宋体" w:hAnsi="宋体" w:eastAsia="宋体" w:cs="宋体"/>
          <w:spacing w:val="16"/>
          <w:sz w:val="23"/>
          <w:szCs w:val="23"/>
        </w:rPr>
        <w:t>维</w:t>
      </w:r>
      <w:r>
        <w:rPr>
          <w:rFonts w:ascii="宋体" w:hAnsi="宋体" w:eastAsia="宋体" w:cs="宋体"/>
          <w:spacing w:val="11"/>
          <w:sz w:val="23"/>
          <w:szCs w:val="23"/>
        </w:rPr>
        <w:t>护</w:t>
      </w:r>
      <w:r>
        <w:rPr>
          <w:rFonts w:ascii="宋体" w:hAnsi="宋体" w:eastAsia="宋体" w:cs="宋体"/>
          <w:spacing w:val="8"/>
          <w:sz w:val="23"/>
          <w:szCs w:val="23"/>
        </w:rPr>
        <w:t>和及时修善，以保护地下水环境。</w:t>
      </w:r>
    </w:p>
    <w:p w14:paraId="176AF874">
      <w:pPr>
        <w:spacing w:before="138" w:line="228" w:lineRule="auto"/>
        <w:ind w:left="502"/>
        <w:rPr>
          <w:rFonts w:ascii="宋体" w:hAnsi="宋体" w:eastAsia="宋体" w:cs="宋体"/>
          <w:sz w:val="23"/>
          <w:szCs w:val="23"/>
        </w:rPr>
      </w:pPr>
      <w:r>
        <w:rPr>
          <w:rFonts w:ascii="Times New Roman" w:hAnsi="Times New Roman" w:eastAsia="Times New Roman" w:cs="Times New Roman"/>
          <w:spacing w:val="10"/>
          <w:sz w:val="23"/>
          <w:szCs w:val="23"/>
        </w:rPr>
        <w:t>7</w:t>
      </w:r>
      <w:r>
        <w:rPr>
          <w:rFonts w:ascii="宋体" w:hAnsi="宋体" w:eastAsia="宋体" w:cs="宋体"/>
          <w:spacing w:val="6"/>
          <w:sz w:val="23"/>
          <w:szCs w:val="23"/>
        </w:rPr>
        <w:t>)</w:t>
      </w:r>
      <w:r>
        <w:rPr>
          <w:rFonts w:ascii="宋体" w:hAnsi="宋体" w:eastAsia="宋体" w:cs="宋体"/>
          <w:spacing w:val="5"/>
          <w:sz w:val="23"/>
          <w:szCs w:val="23"/>
        </w:rPr>
        <w:t xml:space="preserve"> 三级防控：</w:t>
      </w:r>
    </w:p>
    <w:p w14:paraId="7ED322DF">
      <w:pPr>
        <w:spacing w:line="281" w:lineRule="auto"/>
        <w:rPr>
          <w:rFonts w:ascii="Arial"/>
          <w:sz w:val="21"/>
        </w:rPr>
      </w:pPr>
    </w:p>
    <w:p w14:paraId="5E8C02EA">
      <w:pPr>
        <w:spacing w:before="75" w:line="393" w:lineRule="auto"/>
        <w:ind w:left="23" w:right="1" w:firstLine="482"/>
        <w:rPr>
          <w:rFonts w:ascii="宋体" w:hAnsi="宋体" w:eastAsia="宋体" w:cs="宋体"/>
          <w:sz w:val="23"/>
          <w:szCs w:val="23"/>
        </w:rPr>
      </w:pPr>
      <w:r>
        <w:rPr>
          <w:rFonts w:ascii="宋体" w:hAnsi="宋体" w:eastAsia="宋体" w:cs="宋体"/>
          <w:spacing w:val="2"/>
          <w:sz w:val="23"/>
          <w:szCs w:val="23"/>
        </w:rPr>
        <w:t>为进一步完善环境风险应急措施，拟将应急</w:t>
      </w:r>
      <w:r>
        <w:rPr>
          <w:rFonts w:ascii="宋体" w:hAnsi="宋体" w:eastAsia="宋体" w:cs="宋体"/>
          <w:spacing w:val="1"/>
          <w:sz w:val="23"/>
          <w:szCs w:val="23"/>
        </w:rPr>
        <w:t>防范措施分为三级防控体系，即：</w:t>
      </w:r>
      <w:r>
        <w:rPr>
          <w:rFonts w:ascii="宋体" w:hAnsi="宋体" w:eastAsia="宋体" w:cs="宋体"/>
          <w:sz w:val="23"/>
          <w:szCs w:val="23"/>
        </w:rPr>
        <w:t xml:space="preserve"> </w:t>
      </w:r>
      <w:r>
        <w:rPr>
          <w:rFonts w:ascii="宋体" w:hAnsi="宋体" w:eastAsia="宋体" w:cs="宋体"/>
          <w:spacing w:val="9"/>
          <w:sz w:val="23"/>
          <w:szCs w:val="23"/>
        </w:rPr>
        <w:t>一</w:t>
      </w:r>
      <w:r>
        <w:rPr>
          <w:rFonts w:ascii="宋体" w:hAnsi="宋体" w:eastAsia="宋体" w:cs="宋体"/>
          <w:spacing w:val="7"/>
          <w:sz w:val="23"/>
          <w:szCs w:val="23"/>
        </w:rPr>
        <w:t>级防控措施将污染物控制在事故发生的区域内；二级防控措施将污染物控制在</w:t>
      </w:r>
      <w:r>
        <w:rPr>
          <w:rFonts w:ascii="宋体" w:hAnsi="宋体" w:eastAsia="宋体" w:cs="宋体"/>
          <w:sz w:val="23"/>
          <w:szCs w:val="23"/>
        </w:rPr>
        <w:t xml:space="preserve"> </w:t>
      </w:r>
      <w:r>
        <w:rPr>
          <w:rFonts w:ascii="宋体" w:hAnsi="宋体" w:eastAsia="宋体" w:cs="宋体"/>
          <w:spacing w:val="18"/>
          <w:sz w:val="23"/>
          <w:szCs w:val="23"/>
        </w:rPr>
        <w:t>事</w:t>
      </w:r>
      <w:r>
        <w:rPr>
          <w:rFonts w:ascii="宋体" w:hAnsi="宋体" w:eastAsia="宋体" w:cs="宋体"/>
          <w:spacing w:val="14"/>
          <w:sz w:val="23"/>
          <w:szCs w:val="23"/>
        </w:rPr>
        <w:t>故</w:t>
      </w:r>
      <w:r>
        <w:rPr>
          <w:rFonts w:ascii="宋体" w:hAnsi="宋体" w:eastAsia="宋体" w:cs="宋体"/>
          <w:spacing w:val="9"/>
          <w:sz w:val="23"/>
          <w:szCs w:val="23"/>
        </w:rPr>
        <w:t>发生的生产车间内；三级防控措施将污染物控制在事故池内。具体如下：</w:t>
      </w:r>
    </w:p>
    <w:p w14:paraId="080A0DF2">
      <w:pPr>
        <w:spacing w:before="138" w:line="225" w:lineRule="auto"/>
        <w:ind w:left="502"/>
        <w:rPr>
          <w:rFonts w:ascii="宋体" w:hAnsi="宋体" w:eastAsia="宋体" w:cs="宋体"/>
          <w:sz w:val="23"/>
          <w:szCs w:val="23"/>
        </w:rPr>
      </w:pPr>
      <w:r>
        <w:rPr>
          <w:rFonts w:ascii="宋体" w:hAnsi="宋体" w:eastAsia="宋体" w:cs="宋体"/>
          <w:spacing w:val="7"/>
          <w:sz w:val="23"/>
          <w:szCs w:val="23"/>
        </w:rPr>
        <w:t>①一级防控措施：利用沙袋进行围挡，用于收集事故污水，将污染物控制</w:t>
      </w:r>
      <w:r>
        <w:rPr>
          <w:rFonts w:ascii="宋体" w:hAnsi="宋体" w:eastAsia="宋体" w:cs="宋体"/>
          <w:spacing w:val="3"/>
          <w:sz w:val="23"/>
          <w:szCs w:val="23"/>
        </w:rPr>
        <w:t>在</w:t>
      </w:r>
    </w:p>
    <w:p w14:paraId="05803115">
      <w:pPr>
        <w:sectPr>
          <w:headerReference r:id="rId305" w:type="default"/>
          <w:footerReference r:id="rId306" w:type="default"/>
          <w:pgSz w:w="11906" w:h="16839"/>
          <w:pgMar w:top="1132" w:right="1738" w:bottom="1182" w:left="1785" w:header="878" w:footer="1022" w:gutter="0"/>
          <w:cols w:space="720" w:num="1"/>
        </w:sectPr>
      </w:pPr>
    </w:p>
    <w:p w14:paraId="359848D1">
      <w:pPr>
        <w:spacing w:line="411" w:lineRule="auto"/>
        <w:rPr>
          <w:rFonts w:ascii="Arial"/>
          <w:sz w:val="21"/>
        </w:rPr>
      </w:pPr>
      <w:r>
        <w:pict>
          <v:shape id="_x0000_s1370" o:spid="_x0000_s1370" style="position:absolute;left:0pt;margin-left:90pt;margin-top:57.35pt;height:0.75pt;width:415.3pt;mso-position-horizontal-relative:page;mso-position-vertical-relative:page;z-index:252065792;mso-width-relative:page;mso-height-relative:page;" fillcolor="#000000" filled="t" stroked="f" coordsize="8305,15" o:allowincell="f" path="m0,0l8305,0,8305,14,0,14,0,0xe">
            <v:path/>
            <v:fill on="t" focussize="0,0"/>
            <v:stroke on="f"/>
            <v:imagedata o:title=""/>
            <o:lock v:ext="edit"/>
          </v:shape>
        </w:pict>
      </w:r>
    </w:p>
    <w:p w14:paraId="66652361">
      <w:pPr>
        <w:spacing w:before="75" w:line="227" w:lineRule="auto"/>
        <w:ind w:left="23"/>
        <w:rPr>
          <w:rFonts w:ascii="宋体" w:hAnsi="宋体" w:eastAsia="宋体" w:cs="宋体"/>
          <w:sz w:val="23"/>
          <w:szCs w:val="23"/>
        </w:rPr>
      </w:pPr>
      <w:r>
        <w:rPr>
          <w:rFonts w:ascii="宋体" w:hAnsi="宋体" w:eastAsia="宋体" w:cs="宋体"/>
          <w:spacing w:val="8"/>
          <w:sz w:val="23"/>
          <w:szCs w:val="23"/>
        </w:rPr>
        <w:t>事故发生的区域内</w:t>
      </w:r>
      <w:r>
        <w:rPr>
          <w:rFonts w:ascii="宋体" w:hAnsi="宋体" w:eastAsia="宋体" w:cs="宋体"/>
          <w:spacing w:val="6"/>
          <w:sz w:val="23"/>
          <w:szCs w:val="23"/>
        </w:rPr>
        <w:t>。</w:t>
      </w:r>
    </w:p>
    <w:p w14:paraId="6D247070">
      <w:pPr>
        <w:spacing w:line="282" w:lineRule="auto"/>
        <w:rPr>
          <w:rFonts w:ascii="Arial"/>
          <w:sz w:val="21"/>
        </w:rPr>
      </w:pPr>
    </w:p>
    <w:p w14:paraId="100282D1">
      <w:pPr>
        <w:spacing w:before="74" w:line="393" w:lineRule="auto"/>
        <w:ind w:left="24" w:right="13" w:firstLine="477"/>
        <w:rPr>
          <w:rFonts w:ascii="宋体" w:hAnsi="宋体" w:eastAsia="宋体" w:cs="宋体"/>
          <w:sz w:val="23"/>
          <w:szCs w:val="23"/>
        </w:rPr>
      </w:pPr>
      <w:r>
        <w:rPr>
          <w:rFonts w:ascii="宋体" w:hAnsi="宋体" w:eastAsia="宋体" w:cs="宋体"/>
          <w:spacing w:val="7"/>
          <w:sz w:val="23"/>
          <w:szCs w:val="23"/>
        </w:rPr>
        <w:t>②二级防控：该项目生产厂房、原料库、成品库均为封闭式库房，利用生</w:t>
      </w:r>
      <w:r>
        <w:rPr>
          <w:rFonts w:ascii="宋体" w:hAnsi="宋体" w:eastAsia="宋体" w:cs="宋体"/>
          <w:spacing w:val="4"/>
          <w:sz w:val="23"/>
          <w:szCs w:val="23"/>
        </w:rPr>
        <w:t>产</w:t>
      </w:r>
      <w:r>
        <w:rPr>
          <w:rFonts w:ascii="宋体" w:hAnsi="宋体" w:eastAsia="宋体" w:cs="宋体"/>
          <w:sz w:val="23"/>
          <w:szCs w:val="23"/>
        </w:rPr>
        <w:t xml:space="preserve"> </w:t>
      </w:r>
      <w:r>
        <w:rPr>
          <w:rFonts w:ascii="宋体" w:hAnsi="宋体" w:eastAsia="宋体" w:cs="宋体"/>
          <w:spacing w:val="8"/>
          <w:sz w:val="23"/>
          <w:szCs w:val="23"/>
        </w:rPr>
        <w:t>厂</w:t>
      </w:r>
      <w:r>
        <w:rPr>
          <w:rFonts w:ascii="宋体" w:hAnsi="宋体" w:eastAsia="宋体" w:cs="宋体"/>
          <w:spacing w:val="7"/>
          <w:sz w:val="23"/>
          <w:szCs w:val="23"/>
        </w:rPr>
        <w:t>房、原料库、成品库围墙作为二级防控措施，并利用沙袋进行围挡，防止污水</w:t>
      </w:r>
      <w:r>
        <w:rPr>
          <w:rFonts w:ascii="宋体" w:hAnsi="宋体" w:eastAsia="宋体" w:cs="宋体"/>
          <w:sz w:val="23"/>
          <w:szCs w:val="23"/>
        </w:rPr>
        <w:t xml:space="preserve"> </w:t>
      </w:r>
      <w:r>
        <w:rPr>
          <w:rFonts w:ascii="宋体" w:hAnsi="宋体" w:eastAsia="宋体" w:cs="宋体"/>
          <w:spacing w:val="7"/>
          <w:sz w:val="23"/>
          <w:szCs w:val="23"/>
        </w:rPr>
        <w:t>流出储存区域。</w:t>
      </w:r>
    </w:p>
    <w:p w14:paraId="04A5D326">
      <w:pPr>
        <w:spacing w:before="137" w:line="397" w:lineRule="auto"/>
        <w:ind w:left="27" w:right="13" w:firstLine="474"/>
        <w:rPr>
          <w:rFonts w:ascii="宋体" w:hAnsi="宋体" w:eastAsia="宋体" w:cs="宋体"/>
          <w:sz w:val="23"/>
          <w:szCs w:val="23"/>
        </w:rPr>
      </w:pPr>
      <w:r>
        <w:rPr>
          <w:rFonts w:ascii="宋体" w:hAnsi="宋体" w:eastAsia="宋体" w:cs="宋体"/>
          <w:spacing w:val="7"/>
          <w:sz w:val="23"/>
          <w:szCs w:val="23"/>
        </w:rPr>
        <w:t>③三级防控：利用厂区内设置的应急事故池作为三级防控措施，用于收集</w:t>
      </w:r>
      <w:r>
        <w:rPr>
          <w:rFonts w:ascii="宋体" w:hAnsi="宋体" w:eastAsia="宋体" w:cs="宋体"/>
          <w:spacing w:val="4"/>
          <w:sz w:val="23"/>
          <w:szCs w:val="23"/>
        </w:rPr>
        <w:t>事</w:t>
      </w:r>
      <w:r>
        <w:rPr>
          <w:rFonts w:ascii="宋体" w:hAnsi="宋体" w:eastAsia="宋体" w:cs="宋体"/>
          <w:sz w:val="23"/>
          <w:szCs w:val="23"/>
        </w:rPr>
        <w:t xml:space="preserve"> </w:t>
      </w:r>
      <w:r>
        <w:rPr>
          <w:rFonts w:ascii="宋体" w:hAnsi="宋体" w:eastAsia="宋体" w:cs="宋体"/>
          <w:spacing w:val="16"/>
          <w:sz w:val="23"/>
          <w:szCs w:val="23"/>
        </w:rPr>
        <w:t>故</w:t>
      </w:r>
      <w:r>
        <w:rPr>
          <w:rFonts w:ascii="宋体" w:hAnsi="宋体" w:eastAsia="宋体" w:cs="宋体"/>
          <w:spacing w:val="12"/>
          <w:sz w:val="23"/>
          <w:szCs w:val="23"/>
        </w:rPr>
        <w:t>污</w:t>
      </w:r>
      <w:r>
        <w:rPr>
          <w:rFonts w:ascii="宋体" w:hAnsi="宋体" w:eastAsia="宋体" w:cs="宋体"/>
          <w:spacing w:val="8"/>
          <w:sz w:val="23"/>
          <w:szCs w:val="23"/>
        </w:rPr>
        <w:t>水，防止污水流出厂界，造成污染。</w:t>
      </w:r>
    </w:p>
    <w:p w14:paraId="6EFF75A5">
      <w:pPr>
        <w:spacing w:before="134" w:line="228" w:lineRule="auto"/>
        <w:ind w:left="508"/>
        <w:rPr>
          <w:rFonts w:ascii="宋体" w:hAnsi="宋体" w:eastAsia="宋体" w:cs="宋体"/>
          <w:sz w:val="23"/>
          <w:szCs w:val="23"/>
        </w:rPr>
      </w:pPr>
      <w:r>
        <w:rPr>
          <w:rFonts w:ascii="Times New Roman" w:hAnsi="Times New Roman" w:eastAsia="Times New Roman" w:cs="Times New Roman"/>
          <w:spacing w:val="12"/>
          <w:sz w:val="23"/>
          <w:szCs w:val="23"/>
        </w:rPr>
        <w:t>8</w:t>
      </w:r>
      <w:r>
        <w:rPr>
          <w:rFonts w:ascii="宋体" w:hAnsi="宋体" w:eastAsia="宋体" w:cs="宋体"/>
          <w:spacing w:val="6"/>
          <w:sz w:val="23"/>
          <w:szCs w:val="23"/>
        </w:rPr>
        <w:t>) 风险应急预案</w:t>
      </w:r>
    </w:p>
    <w:p w14:paraId="0E03F819">
      <w:pPr>
        <w:spacing w:line="277" w:lineRule="auto"/>
        <w:rPr>
          <w:rFonts w:ascii="Arial"/>
          <w:sz w:val="21"/>
        </w:rPr>
      </w:pPr>
    </w:p>
    <w:p w14:paraId="36AAA73D">
      <w:pPr>
        <w:spacing w:before="75" w:line="391" w:lineRule="auto"/>
        <w:ind w:left="22" w:right="13" w:firstLine="481"/>
        <w:rPr>
          <w:rFonts w:ascii="宋体" w:hAnsi="宋体" w:eastAsia="宋体" w:cs="宋体"/>
          <w:sz w:val="23"/>
          <w:szCs w:val="23"/>
        </w:rPr>
      </w:pPr>
      <w:r>
        <w:rPr>
          <w:rFonts w:ascii="宋体" w:hAnsi="宋体" w:eastAsia="宋体" w:cs="宋体"/>
          <w:spacing w:val="7"/>
          <w:sz w:val="23"/>
          <w:szCs w:val="23"/>
        </w:rPr>
        <w:t>风险事故应急预案主要包括事故处置程序和应急反应计划两部分。事故处</w:t>
      </w:r>
      <w:r>
        <w:rPr>
          <w:rFonts w:ascii="宋体" w:hAnsi="宋体" w:eastAsia="宋体" w:cs="宋体"/>
          <w:spacing w:val="2"/>
          <w:sz w:val="23"/>
          <w:szCs w:val="23"/>
        </w:rPr>
        <w:t>置</w:t>
      </w:r>
      <w:r>
        <w:rPr>
          <w:rFonts w:ascii="宋体" w:hAnsi="宋体" w:eastAsia="宋体" w:cs="宋体"/>
          <w:sz w:val="23"/>
          <w:szCs w:val="23"/>
        </w:rPr>
        <w:t xml:space="preserve"> </w:t>
      </w:r>
      <w:r>
        <w:rPr>
          <w:rFonts w:ascii="宋体" w:hAnsi="宋体" w:eastAsia="宋体" w:cs="宋体"/>
          <w:spacing w:val="9"/>
          <w:sz w:val="23"/>
          <w:szCs w:val="23"/>
        </w:rPr>
        <w:t>的</w:t>
      </w:r>
      <w:r>
        <w:rPr>
          <w:rFonts w:ascii="宋体" w:hAnsi="宋体" w:eastAsia="宋体" w:cs="宋体"/>
          <w:spacing w:val="7"/>
          <w:sz w:val="23"/>
          <w:szCs w:val="23"/>
        </w:rPr>
        <w:t>核心是及时报警、正确决策、迅速扑救，各部门充分配合、协调行动。环境风</w:t>
      </w:r>
      <w:r>
        <w:rPr>
          <w:rFonts w:ascii="宋体" w:hAnsi="宋体" w:eastAsia="宋体" w:cs="宋体"/>
          <w:sz w:val="23"/>
          <w:szCs w:val="23"/>
        </w:rPr>
        <w:t xml:space="preserve"> </w:t>
      </w:r>
      <w:r>
        <w:rPr>
          <w:rFonts w:ascii="宋体" w:hAnsi="宋体" w:eastAsia="宋体" w:cs="宋体"/>
          <w:spacing w:val="9"/>
          <w:sz w:val="23"/>
          <w:szCs w:val="23"/>
        </w:rPr>
        <w:t>险</w:t>
      </w:r>
      <w:r>
        <w:rPr>
          <w:rFonts w:ascii="宋体" w:hAnsi="宋体" w:eastAsia="宋体" w:cs="宋体"/>
          <w:spacing w:val="7"/>
          <w:sz w:val="23"/>
          <w:szCs w:val="23"/>
        </w:rPr>
        <w:t>事故应急计划一般应包括：应急计划区；应急组织机构、人员；预案分级响应</w:t>
      </w:r>
      <w:r>
        <w:rPr>
          <w:rFonts w:ascii="宋体" w:hAnsi="宋体" w:eastAsia="宋体" w:cs="宋体"/>
          <w:sz w:val="23"/>
          <w:szCs w:val="23"/>
        </w:rPr>
        <w:t xml:space="preserve"> </w:t>
      </w:r>
      <w:r>
        <w:rPr>
          <w:rFonts w:ascii="宋体" w:hAnsi="宋体" w:eastAsia="宋体" w:cs="宋体"/>
          <w:spacing w:val="9"/>
          <w:sz w:val="23"/>
          <w:szCs w:val="23"/>
        </w:rPr>
        <w:t>条</w:t>
      </w:r>
      <w:r>
        <w:rPr>
          <w:rFonts w:ascii="宋体" w:hAnsi="宋体" w:eastAsia="宋体" w:cs="宋体"/>
          <w:spacing w:val="7"/>
          <w:sz w:val="23"/>
          <w:szCs w:val="23"/>
        </w:rPr>
        <w:t>件；应急救援保障；报警通讯联络方式；应急环境监测、抢险、救援及控制措</w:t>
      </w:r>
      <w:r>
        <w:rPr>
          <w:rFonts w:ascii="宋体" w:hAnsi="宋体" w:eastAsia="宋体" w:cs="宋体"/>
          <w:sz w:val="23"/>
          <w:szCs w:val="23"/>
        </w:rPr>
        <w:t xml:space="preserve"> </w:t>
      </w:r>
      <w:r>
        <w:rPr>
          <w:rFonts w:ascii="宋体" w:hAnsi="宋体" w:eastAsia="宋体" w:cs="宋体"/>
          <w:spacing w:val="9"/>
          <w:sz w:val="23"/>
          <w:szCs w:val="23"/>
        </w:rPr>
        <w:t>施</w:t>
      </w:r>
      <w:r>
        <w:rPr>
          <w:rFonts w:ascii="宋体" w:hAnsi="宋体" w:eastAsia="宋体" w:cs="宋体"/>
          <w:spacing w:val="7"/>
          <w:sz w:val="23"/>
          <w:szCs w:val="23"/>
        </w:rPr>
        <w:t>；应急检测、防护措施、清除泄漏措施和器材；人员紧急撤离、疏散，应急剂</w:t>
      </w:r>
      <w:r>
        <w:rPr>
          <w:rFonts w:ascii="宋体" w:hAnsi="宋体" w:eastAsia="宋体" w:cs="宋体"/>
          <w:sz w:val="23"/>
          <w:szCs w:val="23"/>
        </w:rPr>
        <w:t xml:space="preserve"> </w:t>
      </w:r>
      <w:r>
        <w:rPr>
          <w:rFonts w:ascii="宋体" w:hAnsi="宋体" w:eastAsia="宋体" w:cs="宋体"/>
          <w:spacing w:val="9"/>
          <w:sz w:val="23"/>
          <w:szCs w:val="23"/>
        </w:rPr>
        <w:t>量</w:t>
      </w:r>
      <w:r>
        <w:rPr>
          <w:rFonts w:ascii="宋体" w:hAnsi="宋体" w:eastAsia="宋体" w:cs="宋体"/>
          <w:spacing w:val="7"/>
          <w:sz w:val="23"/>
          <w:szCs w:val="23"/>
        </w:rPr>
        <w:t>控制、撤离组织计划；事故应急救援关闭程序与恢复措施；应急培训计划；公</w:t>
      </w:r>
      <w:r>
        <w:rPr>
          <w:rFonts w:ascii="宋体" w:hAnsi="宋体" w:eastAsia="宋体" w:cs="宋体"/>
          <w:sz w:val="23"/>
          <w:szCs w:val="23"/>
        </w:rPr>
        <w:t xml:space="preserve"> </w:t>
      </w:r>
      <w:r>
        <w:rPr>
          <w:rFonts w:ascii="宋体" w:hAnsi="宋体" w:eastAsia="宋体" w:cs="宋体"/>
          <w:spacing w:val="9"/>
          <w:sz w:val="23"/>
          <w:szCs w:val="23"/>
        </w:rPr>
        <w:t>众</w:t>
      </w:r>
      <w:r>
        <w:rPr>
          <w:rFonts w:ascii="宋体" w:hAnsi="宋体" w:eastAsia="宋体" w:cs="宋体"/>
          <w:spacing w:val="7"/>
          <w:sz w:val="23"/>
          <w:szCs w:val="23"/>
        </w:rPr>
        <w:t>教育和信息。</w:t>
      </w:r>
    </w:p>
    <w:p w14:paraId="7B5A6125">
      <w:pPr>
        <w:spacing w:before="137" w:line="389" w:lineRule="auto"/>
        <w:ind w:left="22" w:right="8" w:firstLine="480"/>
        <w:rPr>
          <w:rFonts w:ascii="宋体" w:hAnsi="宋体" w:eastAsia="宋体" w:cs="宋体"/>
          <w:sz w:val="23"/>
          <w:szCs w:val="23"/>
        </w:rPr>
      </w:pPr>
      <w:r>
        <w:rPr>
          <w:rFonts w:ascii="宋体" w:hAnsi="宋体" w:eastAsia="宋体" w:cs="宋体"/>
          <w:spacing w:val="11"/>
          <w:sz w:val="23"/>
          <w:szCs w:val="23"/>
        </w:rPr>
        <w:t>根</w:t>
      </w:r>
      <w:r>
        <w:rPr>
          <w:rFonts w:ascii="宋体" w:hAnsi="宋体" w:eastAsia="宋体" w:cs="宋体"/>
          <w:spacing w:val="10"/>
          <w:sz w:val="23"/>
          <w:szCs w:val="23"/>
        </w:rPr>
        <w:t>据《辽宁省企事业单位突发环境事件应急预案管理暂行办法》  (辽环发</w:t>
      </w:r>
      <w:r>
        <w:rPr>
          <w:rFonts w:ascii="宋体" w:hAnsi="宋体" w:eastAsia="宋体" w:cs="宋体"/>
          <w:sz w:val="23"/>
          <w:szCs w:val="23"/>
        </w:rPr>
        <w:t xml:space="preserve"> </w:t>
      </w:r>
      <w:r>
        <w:rPr>
          <w:rFonts w:ascii="Times New Roman" w:hAnsi="Times New Roman" w:eastAsia="Times New Roman" w:cs="Times New Roman"/>
          <w:spacing w:val="8"/>
          <w:sz w:val="23"/>
          <w:szCs w:val="23"/>
        </w:rPr>
        <w:t>[2013</w:t>
      </w:r>
      <w:r>
        <w:rPr>
          <w:rFonts w:ascii="Times New Roman" w:hAnsi="Times New Roman" w:eastAsia="Times New Roman" w:cs="Times New Roman"/>
          <w:spacing w:val="6"/>
          <w:sz w:val="23"/>
          <w:szCs w:val="23"/>
        </w:rPr>
        <w:t>]</w:t>
      </w:r>
      <w:r>
        <w:rPr>
          <w:rFonts w:ascii="Times New Roman" w:hAnsi="Times New Roman" w:eastAsia="Times New Roman" w:cs="Times New Roman"/>
          <w:spacing w:val="4"/>
          <w:sz w:val="23"/>
          <w:szCs w:val="23"/>
        </w:rPr>
        <w:t xml:space="preserve">53 </w:t>
      </w:r>
      <w:r>
        <w:rPr>
          <w:rFonts w:ascii="宋体" w:hAnsi="宋体" w:eastAsia="宋体" w:cs="宋体"/>
          <w:spacing w:val="4"/>
          <w:sz w:val="23"/>
          <w:szCs w:val="23"/>
        </w:rPr>
        <w:t>号，辽宁省环境保护厅，</w:t>
      </w:r>
      <w:r>
        <w:rPr>
          <w:rFonts w:ascii="Times New Roman" w:hAnsi="Times New Roman" w:eastAsia="Times New Roman" w:cs="Times New Roman"/>
          <w:spacing w:val="4"/>
          <w:sz w:val="23"/>
          <w:szCs w:val="23"/>
        </w:rPr>
        <w:t xml:space="preserve">2013 </w:t>
      </w:r>
      <w:r>
        <w:rPr>
          <w:rFonts w:ascii="宋体" w:hAnsi="宋体" w:eastAsia="宋体" w:cs="宋体"/>
          <w:spacing w:val="4"/>
          <w:sz w:val="23"/>
          <w:szCs w:val="23"/>
        </w:rPr>
        <w:t xml:space="preserve">年 </w:t>
      </w:r>
      <w:r>
        <w:rPr>
          <w:rFonts w:ascii="Times New Roman" w:hAnsi="Times New Roman" w:eastAsia="Times New Roman" w:cs="Times New Roman"/>
          <w:spacing w:val="4"/>
          <w:sz w:val="23"/>
          <w:szCs w:val="23"/>
        </w:rPr>
        <w:t xml:space="preserve">7 </w:t>
      </w:r>
      <w:r>
        <w:rPr>
          <w:rFonts w:ascii="宋体" w:hAnsi="宋体" w:eastAsia="宋体" w:cs="宋体"/>
          <w:spacing w:val="4"/>
          <w:sz w:val="23"/>
          <w:szCs w:val="23"/>
        </w:rPr>
        <w:t xml:space="preserve">月 </w:t>
      </w:r>
      <w:r>
        <w:rPr>
          <w:rFonts w:ascii="Times New Roman" w:hAnsi="Times New Roman" w:eastAsia="Times New Roman" w:cs="Times New Roman"/>
          <w:spacing w:val="4"/>
          <w:sz w:val="23"/>
          <w:szCs w:val="23"/>
        </w:rPr>
        <w:t xml:space="preserve">18 </w:t>
      </w:r>
      <w:r>
        <w:rPr>
          <w:rFonts w:ascii="宋体" w:hAnsi="宋体" w:eastAsia="宋体" w:cs="宋体"/>
          <w:spacing w:val="4"/>
          <w:sz w:val="23"/>
          <w:szCs w:val="23"/>
        </w:rPr>
        <w:t>日) ，建设单位应编制环境应</w:t>
      </w:r>
      <w:r>
        <w:rPr>
          <w:rFonts w:ascii="宋体" w:hAnsi="宋体" w:eastAsia="宋体" w:cs="宋体"/>
          <w:sz w:val="23"/>
          <w:szCs w:val="23"/>
        </w:rPr>
        <w:t xml:space="preserve"> </w:t>
      </w:r>
      <w:r>
        <w:rPr>
          <w:rFonts w:ascii="宋体" w:hAnsi="宋体" w:eastAsia="宋体" w:cs="宋体"/>
          <w:spacing w:val="15"/>
          <w:sz w:val="23"/>
          <w:szCs w:val="23"/>
        </w:rPr>
        <w:t>急</w:t>
      </w:r>
      <w:r>
        <w:rPr>
          <w:rFonts w:ascii="宋体" w:hAnsi="宋体" w:eastAsia="宋体" w:cs="宋体"/>
          <w:spacing w:val="14"/>
          <w:sz w:val="23"/>
          <w:szCs w:val="23"/>
        </w:rPr>
        <w:t>预案。企事业单位可以自行或者委托相关专业技术服务机构编制环境应急预</w:t>
      </w:r>
      <w:r>
        <w:rPr>
          <w:rFonts w:ascii="宋体" w:hAnsi="宋体" w:eastAsia="宋体" w:cs="宋体"/>
          <w:sz w:val="23"/>
          <w:szCs w:val="23"/>
        </w:rPr>
        <w:t xml:space="preserve"> </w:t>
      </w:r>
      <w:r>
        <w:rPr>
          <w:rFonts w:ascii="宋体" w:hAnsi="宋体" w:eastAsia="宋体" w:cs="宋体"/>
          <w:spacing w:val="16"/>
          <w:sz w:val="23"/>
          <w:szCs w:val="23"/>
        </w:rPr>
        <w:t>案</w:t>
      </w:r>
      <w:r>
        <w:rPr>
          <w:rFonts w:ascii="宋体" w:hAnsi="宋体" w:eastAsia="宋体" w:cs="宋体"/>
          <w:spacing w:val="9"/>
          <w:sz w:val="23"/>
          <w:szCs w:val="23"/>
        </w:rPr>
        <w:t>，</w:t>
      </w:r>
      <w:r>
        <w:rPr>
          <w:rFonts w:ascii="宋体" w:hAnsi="宋体" w:eastAsia="宋体" w:cs="宋体"/>
          <w:spacing w:val="8"/>
          <w:sz w:val="23"/>
          <w:szCs w:val="23"/>
        </w:rPr>
        <w:t xml:space="preserve">编制的环境应急预案应当在本单位主要负责人签署实施之日起 </w:t>
      </w:r>
      <w:r>
        <w:rPr>
          <w:rFonts w:ascii="Times New Roman" w:hAnsi="Times New Roman" w:eastAsia="Times New Roman" w:cs="Times New Roman"/>
          <w:spacing w:val="8"/>
          <w:sz w:val="23"/>
          <w:szCs w:val="23"/>
        </w:rPr>
        <w:t xml:space="preserve">30 </w:t>
      </w:r>
      <w:r>
        <w:rPr>
          <w:rFonts w:ascii="宋体" w:hAnsi="宋体" w:eastAsia="宋体" w:cs="宋体"/>
          <w:spacing w:val="8"/>
          <w:sz w:val="23"/>
          <w:szCs w:val="23"/>
        </w:rPr>
        <w:t>日内报本</w:t>
      </w:r>
      <w:r>
        <w:rPr>
          <w:rFonts w:ascii="宋体" w:hAnsi="宋体" w:eastAsia="宋体" w:cs="宋体"/>
          <w:sz w:val="23"/>
          <w:szCs w:val="23"/>
        </w:rPr>
        <w:t xml:space="preserve"> </w:t>
      </w:r>
      <w:r>
        <w:rPr>
          <w:rFonts w:ascii="宋体" w:hAnsi="宋体" w:eastAsia="宋体" w:cs="宋体"/>
          <w:spacing w:val="9"/>
          <w:sz w:val="23"/>
          <w:szCs w:val="23"/>
        </w:rPr>
        <w:t>溪</w:t>
      </w:r>
      <w:r>
        <w:rPr>
          <w:rFonts w:ascii="宋体" w:hAnsi="宋体" w:eastAsia="宋体" w:cs="宋体"/>
          <w:spacing w:val="7"/>
          <w:sz w:val="23"/>
          <w:szCs w:val="23"/>
        </w:rPr>
        <w:t>县环保部门备案。对没有环境应急预案备案手续的企事业单位，环保部门不得</w:t>
      </w:r>
      <w:r>
        <w:rPr>
          <w:rFonts w:ascii="宋体" w:hAnsi="宋体" w:eastAsia="宋体" w:cs="宋体"/>
          <w:sz w:val="23"/>
          <w:szCs w:val="23"/>
        </w:rPr>
        <w:t xml:space="preserve"> </w:t>
      </w:r>
      <w:r>
        <w:rPr>
          <w:rFonts w:ascii="宋体" w:hAnsi="宋体" w:eastAsia="宋体" w:cs="宋体"/>
          <w:spacing w:val="8"/>
          <w:sz w:val="23"/>
          <w:szCs w:val="23"/>
        </w:rPr>
        <w:t>批准其投入试生产</w:t>
      </w:r>
      <w:r>
        <w:rPr>
          <w:rFonts w:ascii="宋体" w:hAnsi="宋体" w:eastAsia="宋体" w:cs="宋体"/>
          <w:spacing w:val="7"/>
          <w:sz w:val="23"/>
          <w:szCs w:val="23"/>
        </w:rPr>
        <w:t>。</w:t>
      </w:r>
    </w:p>
    <w:p w14:paraId="247BBB5C">
      <w:pPr>
        <w:spacing w:before="86" w:line="225" w:lineRule="auto"/>
        <w:ind w:left="24"/>
        <w:outlineLvl w:val="1"/>
        <w:rPr>
          <w:rFonts w:ascii="宋体" w:hAnsi="宋体" w:eastAsia="宋体" w:cs="宋体"/>
          <w:sz w:val="31"/>
          <w:szCs w:val="31"/>
        </w:rPr>
      </w:pPr>
      <w:bookmarkStart w:id="35" w:name="_bookmark36"/>
      <w:bookmarkEnd w:id="35"/>
      <w:r>
        <w:rPr>
          <w:rFonts w:ascii="Times New Roman" w:hAnsi="Times New Roman" w:eastAsia="Times New Roman" w:cs="Times New Roman"/>
          <w:b/>
          <w:bCs/>
          <w:spacing w:val="10"/>
          <w:sz w:val="31"/>
          <w:szCs w:val="31"/>
        </w:rPr>
        <w:t>7</w:t>
      </w:r>
      <w:r>
        <w:rPr>
          <w:rFonts w:ascii="Times New Roman" w:hAnsi="Times New Roman" w:eastAsia="Times New Roman" w:cs="Times New Roman"/>
          <w:b/>
          <w:bCs/>
          <w:spacing w:val="6"/>
          <w:sz w:val="31"/>
          <w:szCs w:val="31"/>
        </w:rPr>
        <w:t>.7</w:t>
      </w:r>
      <w:r>
        <w:rPr>
          <w:rFonts w:ascii="Times New Roman" w:hAnsi="Times New Roman" w:eastAsia="Times New Roman" w:cs="Times New Roman"/>
          <w:spacing w:val="6"/>
          <w:sz w:val="31"/>
          <w:szCs w:val="31"/>
        </w:rPr>
        <w:t xml:space="preserve">  </w:t>
      </w:r>
      <w:r>
        <w:rPr>
          <w:rFonts w:ascii="宋体" w:hAnsi="宋体" w:eastAsia="宋体" w:cs="宋体"/>
          <w:spacing w:val="6"/>
          <w:sz w:val="31"/>
          <w:szCs w:val="31"/>
          <w14:textOutline w14:w="5793" w14:cap="sq" w14:cmpd="sng">
            <w14:solidFill>
              <w14:srgbClr w14:val="000000"/>
            </w14:solidFill>
            <w14:prstDash w14:val="solid"/>
            <w14:bevel/>
          </w14:textOutline>
        </w:rPr>
        <w:t>风险分析结论</w:t>
      </w:r>
    </w:p>
    <w:p w14:paraId="2AB2FB06">
      <w:pPr>
        <w:spacing w:line="253" w:lineRule="auto"/>
        <w:rPr>
          <w:rFonts w:ascii="Arial"/>
          <w:sz w:val="21"/>
        </w:rPr>
      </w:pPr>
    </w:p>
    <w:p w14:paraId="3133844E">
      <w:pPr>
        <w:spacing w:before="75" w:line="392" w:lineRule="auto"/>
        <w:ind w:left="26" w:right="11" w:firstLine="480"/>
        <w:rPr>
          <w:rFonts w:ascii="宋体" w:hAnsi="宋体" w:eastAsia="宋体" w:cs="宋体"/>
          <w:sz w:val="23"/>
          <w:szCs w:val="23"/>
        </w:rPr>
      </w:pPr>
      <w:r>
        <w:rPr>
          <w:rFonts w:ascii="宋体" w:hAnsi="宋体" w:eastAsia="宋体" w:cs="宋体"/>
          <w:spacing w:val="7"/>
          <w:sz w:val="23"/>
          <w:szCs w:val="23"/>
        </w:rPr>
        <w:t>该项目可能发生事故的类型主要为在设备损坏、故障、人员操作失误时，</w:t>
      </w:r>
      <w:r>
        <w:rPr>
          <w:rFonts w:ascii="宋体" w:hAnsi="宋体" w:eastAsia="宋体" w:cs="宋体"/>
          <w:spacing w:val="1"/>
          <w:sz w:val="23"/>
          <w:szCs w:val="23"/>
        </w:rPr>
        <w:t>使</w:t>
      </w:r>
      <w:r>
        <w:rPr>
          <w:rFonts w:ascii="宋体" w:hAnsi="宋体" w:eastAsia="宋体" w:cs="宋体"/>
          <w:sz w:val="23"/>
          <w:szCs w:val="23"/>
        </w:rPr>
        <w:t xml:space="preserve"> </w:t>
      </w:r>
      <w:r>
        <w:rPr>
          <w:rFonts w:ascii="宋体" w:hAnsi="宋体" w:eastAsia="宋体" w:cs="宋体"/>
          <w:spacing w:val="7"/>
          <w:sz w:val="23"/>
          <w:szCs w:val="23"/>
        </w:rPr>
        <w:t>厂内物料遇明火引发火灾事故，在采取相应的预防措施，通过加强管理、落实</w:t>
      </w:r>
      <w:r>
        <w:rPr>
          <w:rFonts w:ascii="宋体" w:hAnsi="宋体" w:eastAsia="宋体" w:cs="宋体"/>
          <w:spacing w:val="6"/>
          <w:sz w:val="23"/>
          <w:szCs w:val="23"/>
        </w:rPr>
        <w:t>各</w:t>
      </w:r>
      <w:r>
        <w:rPr>
          <w:rFonts w:ascii="宋体" w:hAnsi="宋体" w:eastAsia="宋体" w:cs="宋体"/>
          <w:sz w:val="23"/>
          <w:szCs w:val="23"/>
        </w:rPr>
        <w:t xml:space="preserve"> </w:t>
      </w:r>
      <w:r>
        <w:rPr>
          <w:rFonts w:ascii="宋体" w:hAnsi="宋体" w:eastAsia="宋体" w:cs="宋体"/>
          <w:spacing w:val="7"/>
          <w:sz w:val="23"/>
          <w:szCs w:val="23"/>
        </w:rPr>
        <w:t>项防火防爆防泄露措施后可将风险降至可接受范围。该项目环境风险简单分析</w:t>
      </w:r>
      <w:r>
        <w:rPr>
          <w:rFonts w:ascii="宋体" w:hAnsi="宋体" w:eastAsia="宋体" w:cs="宋体"/>
          <w:spacing w:val="6"/>
          <w:sz w:val="23"/>
          <w:szCs w:val="23"/>
        </w:rPr>
        <w:t>内</w:t>
      </w:r>
      <w:r>
        <w:rPr>
          <w:rFonts w:ascii="宋体" w:hAnsi="宋体" w:eastAsia="宋体" w:cs="宋体"/>
          <w:sz w:val="23"/>
          <w:szCs w:val="23"/>
        </w:rPr>
        <w:t xml:space="preserve"> </w:t>
      </w:r>
      <w:r>
        <w:rPr>
          <w:rFonts w:ascii="宋体" w:hAnsi="宋体" w:eastAsia="宋体" w:cs="宋体"/>
          <w:spacing w:val="-2"/>
          <w:sz w:val="23"/>
          <w:szCs w:val="23"/>
        </w:rPr>
        <w:t xml:space="preserve">容表见表 </w:t>
      </w:r>
      <w:r>
        <w:rPr>
          <w:rFonts w:ascii="Times New Roman" w:hAnsi="Times New Roman" w:eastAsia="Times New Roman" w:cs="Times New Roman"/>
          <w:spacing w:val="-2"/>
          <w:sz w:val="23"/>
          <w:szCs w:val="23"/>
        </w:rPr>
        <w:t>7</w:t>
      </w:r>
      <w:r>
        <w:rPr>
          <w:rFonts w:ascii="Times New Roman" w:hAnsi="Times New Roman" w:eastAsia="Times New Roman" w:cs="Times New Roman"/>
          <w:spacing w:val="-1"/>
          <w:sz w:val="23"/>
          <w:szCs w:val="23"/>
        </w:rPr>
        <w:t>-9</w:t>
      </w:r>
      <w:r>
        <w:rPr>
          <w:rFonts w:ascii="宋体" w:hAnsi="宋体" w:eastAsia="宋体" w:cs="宋体"/>
          <w:spacing w:val="-1"/>
          <w:sz w:val="23"/>
          <w:szCs w:val="23"/>
        </w:rPr>
        <w:t>。</w:t>
      </w:r>
    </w:p>
    <w:p w14:paraId="0DBD66C7">
      <w:pPr>
        <w:sectPr>
          <w:headerReference r:id="rId307" w:type="default"/>
          <w:footerReference r:id="rId308" w:type="default"/>
          <w:pgSz w:w="11906" w:h="16839"/>
          <w:pgMar w:top="1132" w:right="1785" w:bottom="1182" w:left="1785" w:header="878" w:footer="1022" w:gutter="0"/>
          <w:cols w:space="720" w:num="1"/>
        </w:sectPr>
      </w:pPr>
    </w:p>
    <w:p w14:paraId="3B11166F">
      <w:pPr>
        <w:spacing w:line="410" w:lineRule="auto"/>
        <w:rPr>
          <w:rFonts w:ascii="Arial"/>
          <w:sz w:val="21"/>
        </w:rPr>
      </w:pPr>
      <w:r>
        <w:pict>
          <v:shape id="_x0000_s1371" o:spid="_x0000_s1371" style="position:absolute;left:0pt;margin-left:90pt;margin-top:57.35pt;height:0.75pt;width:415.3pt;mso-position-horizontal-relative:page;mso-position-vertical-relative:page;z-index:252066816;mso-width-relative:page;mso-height-relative:page;" fillcolor="#000000" filled="t" stroked="f" coordsize="8305,15" o:allowincell="f" path="m0,0l8305,0,8305,14,0,14,0,0xe">
            <v:path/>
            <v:fill on="t" focussize="0,0"/>
            <v:stroke on="f"/>
            <v:imagedata o:title=""/>
            <o:lock v:ext="edit"/>
          </v:shape>
        </w:pict>
      </w:r>
    </w:p>
    <w:p w14:paraId="6FFB350F">
      <w:pPr>
        <w:spacing w:before="75" w:line="227" w:lineRule="auto"/>
        <w:ind w:left="1833"/>
        <w:rPr>
          <w:rFonts w:ascii="宋体" w:hAnsi="宋体" w:eastAsia="宋体" w:cs="宋体"/>
          <w:sz w:val="23"/>
          <w:szCs w:val="23"/>
        </w:rPr>
      </w:pPr>
      <w:r>
        <w:rPr>
          <w:rFonts w:ascii="宋体" w:hAnsi="宋体" w:eastAsia="宋体" w:cs="宋体"/>
          <w:spacing w:val="8"/>
          <w:sz w:val="23"/>
          <w:szCs w:val="23"/>
          <w14:textOutline w14:w="4358" w14:cap="sq" w14:cmpd="sng">
            <w14:solidFill>
              <w14:srgbClr w14:val="000000"/>
            </w14:solidFill>
            <w14:prstDash w14:val="solid"/>
            <w14:bevel/>
          </w14:textOutline>
        </w:rPr>
        <w:t>表</w:t>
      </w:r>
      <w:r>
        <w:rPr>
          <w:rFonts w:ascii="宋体" w:hAnsi="宋体" w:eastAsia="宋体" w:cs="宋体"/>
          <w:spacing w:val="5"/>
          <w:sz w:val="23"/>
          <w:szCs w:val="23"/>
        </w:rPr>
        <w:t xml:space="preserve"> </w:t>
      </w:r>
      <w:r>
        <w:rPr>
          <w:rFonts w:ascii="Times New Roman" w:hAnsi="Times New Roman" w:eastAsia="Times New Roman" w:cs="Times New Roman"/>
          <w:b/>
          <w:bCs/>
          <w:spacing w:val="5"/>
          <w:sz w:val="23"/>
          <w:szCs w:val="23"/>
        </w:rPr>
        <w:t>7-9</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14:textOutline w14:w="4358" w14:cap="sq" w14:cmpd="sng">
            <w14:solidFill>
              <w14:srgbClr w14:val="000000"/>
            </w14:solidFill>
            <w14:prstDash w14:val="solid"/>
            <w14:bevel/>
          </w14:textOutline>
        </w:rPr>
        <w:t>建设项目环境风险简单分析内容表</w:t>
      </w:r>
    </w:p>
    <w:p w14:paraId="710D65F8">
      <w:pPr>
        <w:spacing w:line="20" w:lineRule="exact"/>
      </w:pPr>
    </w:p>
    <w:tbl>
      <w:tblPr>
        <w:tblStyle w:val="4"/>
        <w:tblW w:w="839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13"/>
        <w:gridCol w:w="1156"/>
        <w:gridCol w:w="735"/>
        <w:gridCol w:w="474"/>
        <w:gridCol w:w="1080"/>
        <w:gridCol w:w="174"/>
        <w:gridCol w:w="803"/>
        <w:gridCol w:w="925"/>
        <w:gridCol w:w="1730"/>
      </w:tblGrid>
      <w:tr w14:paraId="734A2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313" w:type="dxa"/>
            <w:tcBorders>
              <w:left w:val="nil"/>
            </w:tcBorders>
            <w:vAlign w:val="top"/>
          </w:tcPr>
          <w:p w14:paraId="36B83FD3">
            <w:pPr>
              <w:spacing w:before="100" w:line="228" w:lineRule="auto"/>
              <w:ind w:left="72"/>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建设</w:t>
            </w:r>
            <w:r>
              <w:rPr>
                <w:rFonts w:ascii="宋体" w:hAnsi="宋体" w:eastAsia="宋体" w:cs="宋体"/>
                <w:spacing w:val="-1"/>
                <w:sz w:val="20"/>
                <w:szCs w:val="20"/>
                <w14:textOutline w14:w="3795" w14:cap="sq" w14:cmpd="sng">
                  <w14:solidFill>
                    <w14:srgbClr w14:val="000000"/>
                  </w14:solidFill>
                  <w14:prstDash w14:val="solid"/>
                  <w14:bevel/>
                </w14:textOutline>
              </w:rPr>
              <w:t>项目名称</w:t>
            </w:r>
          </w:p>
        </w:tc>
        <w:tc>
          <w:tcPr>
            <w:tcW w:w="7077" w:type="dxa"/>
            <w:gridSpan w:val="8"/>
            <w:tcBorders>
              <w:right w:val="nil"/>
            </w:tcBorders>
            <w:vAlign w:val="top"/>
          </w:tcPr>
          <w:p w14:paraId="2EFEDB06">
            <w:pPr>
              <w:spacing w:before="100" w:line="227" w:lineRule="auto"/>
              <w:ind w:left="2074"/>
              <w:rPr>
                <w:rFonts w:ascii="宋体" w:hAnsi="宋体" w:eastAsia="宋体" w:cs="宋体"/>
                <w:sz w:val="20"/>
                <w:szCs w:val="20"/>
              </w:rPr>
            </w:pPr>
            <w:r>
              <w:rPr>
                <w:rFonts w:ascii="宋体" w:hAnsi="宋体" w:eastAsia="宋体" w:cs="宋体"/>
                <w:spacing w:val="11"/>
                <w:sz w:val="20"/>
                <w:szCs w:val="20"/>
              </w:rPr>
              <w:t>本</w:t>
            </w:r>
            <w:r>
              <w:rPr>
                <w:rFonts w:ascii="宋体" w:hAnsi="宋体" w:eastAsia="宋体" w:cs="宋体"/>
                <w:spacing w:val="9"/>
                <w:sz w:val="20"/>
                <w:szCs w:val="20"/>
              </w:rPr>
              <w:t>溪弘福塑业有限公司新建项目</w:t>
            </w:r>
          </w:p>
        </w:tc>
      </w:tr>
      <w:tr w14:paraId="145663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2" w:hRule="atLeast"/>
        </w:trPr>
        <w:tc>
          <w:tcPr>
            <w:tcW w:w="1313" w:type="dxa"/>
            <w:tcBorders>
              <w:left w:val="nil"/>
            </w:tcBorders>
            <w:vAlign w:val="top"/>
          </w:tcPr>
          <w:p w14:paraId="0A52F7DC">
            <w:pPr>
              <w:spacing w:before="83" w:line="229" w:lineRule="auto"/>
              <w:ind w:left="247"/>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建设地</w:t>
            </w:r>
            <w:r>
              <w:rPr>
                <w:rFonts w:ascii="宋体" w:hAnsi="宋体" w:eastAsia="宋体" w:cs="宋体"/>
                <w:spacing w:val="7"/>
                <w:sz w:val="20"/>
                <w:szCs w:val="20"/>
                <w14:textOutline w14:w="3795" w14:cap="sq" w14:cmpd="sng">
                  <w14:solidFill>
                    <w14:srgbClr w14:val="000000"/>
                  </w14:solidFill>
                  <w14:prstDash w14:val="solid"/>
                  <w14:bevel/>
                </w14:textOutline>
              </w:rPr>
              <w:t>点</w:t>
            </w:r>
          </w:p>
        </w:tc>
        <w:tc>
          <w:tcPr>
            <w:tcW w:w="1156" w:type="dxa"/>
            <w:vAlign w:val="top"/>
          </w:tcPr>
          <w:p w14:paraId="316E57E7">
            <w:pPr>
              <w:spacing w:before="83" w:line="228" w:lineRule="auto"/>
              <w:ind w:left="69"/>
              <w:rPr>
                <w:rFonts w:ascii="宋体" w:hAnsi="宋体" w:eastAsia="宋体" w:cs="宋体"/>
                <w:sz w:val="20"/>
                <w:szCs w:val="20"/>
              </w:rPr>
            </w:pPr>
            <w:r>
              <w:rPr>
                <w:rFonts w:ascii="宋体" w:hAnsi="宋体" w:eastAsia="宋体" w:cs="宋体"/>
                <w:spacing w:val="23"/>
                <w:sz w:val="20"/>
                <w:szCs w:val="20"/>
              </w:rPr>
              <w:t>(</w:t>
            </w:r>
            <w:r>
              <w:rPr>
                <w:rFonts w:ascii="宋体" w:hAnsi="宋体" w:eastAsia="宋体" w:cs="宋体"/>
                <w:spacing w:val="22"/>
                <w:sz w:val="20"/>
                <w:szCs w:val="20"/>
              </w:rPr>
              <w:t>辽宁) 省</w:t>
            </w:r>
          </w:p>
        </w:tc>
        <w:tc>
          <w:tcPr>
            <w:tcW w:w="1209" w:type="dxa"/>
            <w:gridSpan w:val="2"/>
            <w:vAlign w:val="top"/>
          </w:tcPr>
          <w:p w14:paraId="3C84607C">
            <w:pPr>
              <w:spacing w:before="83" w:line="227" w:lineRule="auto"/>
              <w:ind w:left="94"/>
              <w:rPr>
                <w:rFonts w:ascii="宋体" w:hAnsi="宋体" w:eastAsia="宋体" w:cs="宋体"/>
                <w:sz w:val="20"/>
                <w:szCs w:val="20"/>
              </w:rPr>
            </w:pPr>
            <w:r>
              <w:rPr>
                <w:rFonts w:ascii="宋体" w:hAnsi="宋体" w:eastAsia="宋体" w:cs="宋体"/>
                <w:spacing w:val="25"/>
                <w:sz w:val="20"/>
                <w:szCs w:val="20"/>
              </w:rPr>
              <w:t>(</w:t>
            </w:r>
            <w:r>
              <w:rPr>
                <w:rFonts w:ascii="宋体" w:hAnsi="宋体" w:eastAsia="宋体" w:cs="宋体"/>
                <w:spacing w:val="22"/>
                <w:sz w:val="20"/>
                <w:szCs w:val="20"/>
              </w:rPr>
              <w:t>本溪) 市</w:t>
            </w:r>
          </w:p>
        </w:tc>
        <w:tc>
          <w:tcPr>
            <w:tcW w:w="1080" w:type="dxa"/>
            <w:vAlign w:val="top"/>
          </w:tcPr>
          <w:p w14:paraId="0AF0004B">
            <w:pPr>
              <w:spacing w:before="83" w:line="230" w:lineRule="auto"/>
              <w:ind w:left="37"/>
              <w:rPr>
                <w:rFonts w:ascii="宋体" w:hAnsi="宋体" w:eastAsia="宋体" w:cs="宋体"/>
                <w:sz w:val="20"/>
                <w:szCs w:val="20"/>
              </w:rPr>
            </w:pPr>
            <w:r>
              <w:rPr>
                <w:rFonts w:ascii="宋体" w:hAnsi="宋体" w:eastAsia="宋体" w:cs="宋体"/>
                <w:spacing w:val="22"/>
                <w:sz w:val="20"/>
                <w:szCs w:val="20"/>
              </w:rPr>
              <w:t xml:space="preserve">(溪湖) </w:t>
            </w:r>
            <w:r>
              <w:rPr>
                <w:rFonts w:ascii="宋体" w:hAnsi="宋体" w:eastAsia="宋体" w:cs="宋体"/>
                <w:spacing w:val="20"/>
                <w:sz w:val="20"/>
                <w:szCs w:val="20"/>
              </w:rPr>
              <w:t>区</w:t>
            </w:r>
          </w:p>
        </w:tc>
        <w:tc>
          <w:tcPr>
            <w:tcW w:w="977" w:type="dxa"/>
            <w:gridSpan w:val="2"/>
            <w:vAlign w:val="top"/>
          </w:tcPr>
          <w:p w14:paraId="3741E9DE">
            <w:pPr>
              <w:spacing w:before="46" w:line="281" w:lineRule="exact"/>
              <w:ind w:left="159"/>
              <w:rPr>
                <w:rFonts w:ascii="宋体" w:hAnsi="宋体" w:eastAsia="宋体" w:cs="宋体"/>
                <w:sz w:val="20"/>
                <w:szCs w:val="20"/>
              </w:rPr>
            </w:pPr>
            <w:r>
              <w:rPr>
                <w:rFonts w:ascii="宋体" w:hAnsi="宋体" w:eastAsia="宋体" w:cs="宋体"/>
                <w:spacing w:val="24"/>
                <w:position w:val="1"/>
                <w:sz w:val="20"/>
                <w:szCs w:val="20"/>
              </w:rPr>
              <w:t>(</w:t>
            </w:r>
            <w:r>
              <w:rPr>
                <w:rFonts w:ascii="Times New Roman" w:hAnsi="Times New Roman" w:eastAsia="Times New Roman" w:cs="Times New Roman"/>
                <w:spacing w:val="22"/>
                <w:position w:val="1"/>
                <w:sz w:val="20"/>
                <w:szCs w:val="20"/>
              </w:rPr>
              <w:t>/</w:t>
            </w:r>
            <w:r>
              <w:rPr>
                <w:rFonts w:ascii="宋体" w:hAnsi="宋体" w:eastAsia="宋体" w:cs="宋体"/>
                <w:spacing w:val="22"/>
                <w:position w:val="1"/>
                <w:sz w:val="20"/>
                <w:szCs w:val="20"/>
              </w:rPr>
              <w:t>) 县</w:t>
            </w:r>
          </w:p>
        </w:tc>
        <w:tc>
          <w:tcPr>
            <w:tcW w:w="2655" w:type="dxa"/>
            <w:gridSpan w:val="2"/>
            <w:tcBorders>
              <w:right w:val="nil"/>
            </w:tcBorders>
            <w:vAlign w:val="top"/>
          </w:tcPr>
          <w:p w14:paraId="1D269F66">
            <w:pPr>
              <w:spacing w:before="83" w:line="227" w:lineRule="auto"/>
              <w:ind w:left="494"/>
              <w:rPr>
                <w:rFonts w:ascii="宋体" w:hAnsi="宋体" w:eastAsia="宋体" w:cs="宋体"/>
                <w:sz w:val="20"/>
                <w:szCs w:val="20"/>
              </w:rPr>
            </w:pPr>
            <w:r>
              <w:rPr>
                <w:rFonts w:ascii="宋体" w:hAnsi="宋体" w:eastAsia="宋体" w:cs="宋体"/>
                <w:spacing w:val="11"/>
                <w:sz w:val="20"/>
                <w:szCs w:val="20"/>
              </w:rPr>
              <w:t>火</w:t>
            </w:r>
            <w:r>
              <w:rPr>
                <w:rFonts w:ascii="宋体" w:hAnsi="宋体" w:eastAsia="宋体" w:cs="宋体"/>
                <w:spacing w:val="8"/>
                <w:sz w:val="20"/>
                <w:szCs w:val="20"/>
              </w:rPr>
              <w:t>连寨镇火连寨村</w:t>
            </w:r>
          </w:p>
        </w:tc>
      </w:tr>
      <w:tr w14:paraId="6E1773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313" w:type="dxa"/>
            <w:tcBorders>
              <w:left w:val="nil"/>
            </w:tcBorders>
            <w:vAlign w:val="top"/>
          </w:tcPr>
          <w:p w14:paraId="50D27E4F">
            <w:pPr>
              <w:spacing w:before="93" w:line="228" w:lineRule="auto"/>
              <w:ind w:left="244"/>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地</w:t>
            </w:r>
            <w:r>
              <w:rPr>
                <w:rFonts w:ascii="宋体" w:hAnsi="宋体" w:eastAsia="宋体" w:cs="宋体"/>
                <w:spacing w:val="8"/>
                <w:sz w:val="20"/>
                <w:szCs w:val="20"/>
                <w14:textOutline w14:w="3795" w14:cap="sq" w14:cmpd="sng">
                  <w14:solidFill>
                    <w14:srgbClr w14:val="000000"/>
                  </w14:solidFill>
                  <w14:prstDash w14:val="solid"/>
                  <w14:bevel/>
                </w14:textOutline>
              </w:rPr>
              <w:t>理坐标</w:t>
            </w:r>
          </w:p>
        </w:tc>
        <w:tc>
          <w:tcPr>
            <w:tcW w:w="1891" w:type="dxa"/>
            <w:gridSpan w:val="2"/>
            <w:vAlign w:val="top"/>
          </w:tcPr>
          <w:p w14:paraId="3654E325">
            <w:pPr>
              <w:spacing w:before="93" w:line="228" w:lineRule="auto"/>
              <w:ind w:left="742"/>
              <w:rPr>
                <w:rFonts w:ascii="宋体" w:hAnsi="宋体" w:eastAsia="宋体" w:cs="宋体"/>
                <w:sz w:val="20"/>
                <w:szCs w:val="20"/>
              </w:rPr>
            </w:pPr>
            <w:r>
              <w:rPr>
                <w:rFonts w:ascii="宋体" w:hAnsi="宋体" w:eastAsia="宋体" w:cs="宋体"/>
                <w:spacing w:val="4"/>
                <w:sz w:val="20"/>
                <w:szCs w:val="20"/>
              </w:rPr>
              <w:t>经</w:t>
            </w:r>
            <w:r>
              <w:rPr>
                <w:rFonts w:ascii="宋体" w:hAnsi="宋体" w:eastAsia="宋体" w:cs="宋体"/>
                <w:spacing w:val="3"/>
                <w:sz w:val="20"/>
                <w:szCs w:val="20"/>
              </w:rPr>
              <w:t>度</w:t>
            </w:r>
          </w:p>
        </w:tc>
        <w:tc>
          <w:tcPr>
            <w:tcW w:w="1728" w:type="dxa"/>
            <w:gridSpan w:val="3"/>
            <w:vAlign w:val="top"/>
          </w:tcPr>
          <w:p w14:paraId="5DEA8271">
            <w:pPr>
              <w:spacing w:before="128" w:line="195" w:lineRule="auto"/>
              <w:ind w:left="12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123°42′32.05640</w:t>
            </w:r>
            <w:r>
              <w:rPr>
                <w:rFonts w:ascii="Times New Roman" w:hAnsi="Times New Roman" w:eastAsia="Times New Roman" w:cs="Times New Roman"/>
                <w:spacing w:val="2"/>
                <w:sz w:val="20"/>
                <w:szCs w:val="20"/>
              </w:rPr>
              <w:t>″</w:t>
            </w:r>
          </w:p>
        </w:tc>
        <w:tc>
          <w:tcPr>
            <w:tcW w:w="1728" w:type="dxa"/>
            <w:gridSpan w:val="2"/>
            <w:vAlign w:val="top"/>
          </w:tcPr>
          <w:p w14:paraId="13C097EF">
            <w:pPr>
              <w:spacing w:before="93" w:line="228" w:lineRule="auto"/>
              <w:ind w:left="660"/>
              <w:rPr>
                <w:rFonts w:ascii="宋体" w:hAnsi="宋体" w:eastAsia="宋体" w:cs="宋体"/>
                <w:sz w:val="20"/>
                <w:szCs w:val="20"/>
              </w:rPr>
            </w:pPr>
            <w:r>
              <w:rPr>
                <w:rFonts w:ascii="宋体" w:hAnsi="宋体" w:eastAsia="宋体" w:cs="宋体"/>
                <w:spacing w:val="4"/>
                <w:sz w:val="20"/>
                <w:szCs w:val="20"/>
              </w:rPr>
              <w:t>纬度</w:t>
            </w:r>
          </w:p>
        </w:tc>
        <w:tc>
          <w:tcPr>
            <w:tcW w:w="1730" w:type="dxa"/>
            <w:tcBorders>
              <w:right w:val="nil"/>
            </w:tcBorders>
            <w:vAlign w:val="top"/>
          </w:tcPr>
          <w:p w14:paraId="0A32FFA1">
            <w:pPr>
              <w:spacing w:before="128" w:line="195" w:lineRule="auto"/>
              <w:ind w:left="155"/>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4</w:t>
            </w:r>
            <w:r>
              <w:rPr>
                <w:rFonts w:ascii="Times New Roman" w:hAnsi="Times New Roman" w:eastAsia="Times New Roman" w:cs="Times New Roman"/>
                <w:spacing w:val="4"/>
                <w:sz w:val="20"/>
                <w:szCs w:val="20"/>
              </w:rPr>
              <w:t>1°21′55.05927″</w:t>
            </w:r>
          </w:p>
        </w:tc>
      </w:tr>
      <w:tr w14:paraId="571CE6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2" w:hRule="atLeast"/>
        </w:trPr>
        <w:tc>
          <w:tcPr>
            <w:tcW w:w="1313" w:type="dxa"/>
            <w:tcBorders>
              <w:left w:val="nil"/>
            </w:tcBorders>
            <w:vAlign w:val="top"/>
          </w:tcPr>
          <w:p w14:paraId="701A5053">
            <w:pPr>
              <w:spacing w:line="252" w:lineRule="auto"/>
              <w:rPr>
                <w:rFonts w:ascii="Arial"/>
                <w:sz w:val="21"/>
              </w:rPr>
            </w:pPr>
          </w:p>
          <w:p w14:paraId="7064BBF5">
            <w:pPr>
              <w:spacing w:line="252" w:lineRule="auto"/>
              <w:rPr>
                <w:rFonts w:ascii="Arial"/>
                <w:sz w:val="21"/>
              </w:rPr>
            </w:pPr>
          </w:p>
          <w:p w14:paraId="08015DF6">
            <w:pPr>
              <w:spacing w:line="252" w:lineRule="auto"/>
              <w:rPr>
                <w:rFonts w:ascii="Arial"/>
                <w:sz w:val="21"/>
              </w:rPr>
            </w:pPr>
          </w:p>
          <w:p w14:paraId="687D4BF3">
            <w:pPr>
              <w:spacing w:line="252" w:lineRule="auto"/>
              <w:rPr>
                <w:rFonts w:ascii="Arial"/>
                <w:sz w:val="21"/>
              </w:rPr>
            </w:pPr>
          </w:p>
          <w:p w14:paraId="417C2BCD">
            <w:pPr>
              <w:spacing w:line="253" w:lineRule="auto"/>
              <w:rPr>
                <w:rFonts w:ascii="Arial"/>
                <w:sz w:val="21"/>
              </w:rPr>
            </w:pPr>
          </w:p>
          <w:p w14:paraId="33CFB9F6">
            <w:pPr>
              <w:spacing w:line="253" w:lineRule="auto"/>
              <w:rPr>
                <w:rFonts w:ascii="Arial"/>
                <w:sz w:val="21"/>
              </w:rPr>
            </w:pPr>
          </w:p>
          <w:p w14:paraId="5B76581E">
            <w:pPr>
              <w:spacing w:line="253" w:lineRule="auto"/>
              <w:rPr>
                <w:rFonts w:ascii="Arial"/>
                <w:sz w:val="21"/>
              </w:rPr>
            </w:pPr>
          </w:p>
          <w:p w14:paraId="73ACA0FD">
            <w:pPr>
              <w:spacing w:line="253" w:lineRule="auto"/>
              <w:rPr>
                <w:rFonts w:ascii="Arial"/>
                <w:sz w:val="21"/>
              </w:rPr>
            </w:pPr>
          </w:p>
          <w:p w14:paraId="45A9545D">
            <w:pPr>
              <w:spacing w:line="253" w:lineRule="auto"/>
              <w:rPr>
                <w:rFonts w:ascii="Arial"/>
                <w:sz w:val="21"/>
              </w:rPr>
            </w:pPr>
          </w:p>
          <w:p w14:paraId="09CE6692">
            <w:pPr>
              <w:spacing w:line="253" w:lineRule="auto"/>
              <w:rPr>
                <w:rFonts w:ascii="Arial"/>
                <w:sz w:val="21"/>
              </w:rPr>
            </w:pPr>
          </w:p>
          <w:p w14:paraId="56E64A7B">
            <w:pPr>
              <w:spacing w:line="253" w:lineRule="auto"/>
              <w:rPr>
                <w:rFonts w:ascii="Arial"/>
                <w:sz w:val="21"/>
              </w:rPr>
            </w:pPr>
          </w:p>
          <w:p w14:paraId="509A2637">
            <w:pPr>
              <w:spacing w:before="65" w:line="300" w:lineRule="auto"/>
              <w:ind w:left="139" w:right="128" w:firstLine="107"/>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主要危险</w:t>
            </w:r>
            <w:r>
              <w:rPr>
                <w:rFonts w:ascii="宋体" w:hAnsi="宋体" w:eastAsia="宋体" w:cs="宋体"/>
                <w:sz w:val="20"/>
                <w:szCs w:val="20"/>
              </w:rPr>
              <w:t xml:space="preserve"> </w:t>
            </w:r>
            <w:r>
              <w:rPr>
                <w:rFonts w:ascii="宋体" w:hAnsi="宋体" w:eastAsia="宋体" w:cs="宋体"/>
                <w:spacing w:val="11"/>
                <w:sz w:val="20"/>
                <w:szCs w:val="20"/>
                <w14:textOutline w14:w="3795" w14:cap="sq" w14:cmpd="sng">
                  <w14:solidFill>
                    <w14:srgbClr w14:val="000000"/>
                  </w14:solidFill>
                  <w14:prstDash w14:val="solid"/>
                  <w14:bevel/>
                </w14:textOutline>
              </w:rPr>
              <w:t>物</w:t>
            </w:r>
            <w:r>
              <w:rPr>
                <w:rFonts w:ascii="宋体" w:hAnsi="宋体" w:eastAsia="宋体" w:cs="宋体"/>
                <w:spacing w:val="8"/>
                <w:sz w:val="20"/>
                <w:szCs w:val="20"/>
                <w14:textOutline w14:w="3795" w14:cap="sq" w14:cmpd="sng">
                  <w14:solidFill>
                    <w14:srgbClr w14:val="000000"/>
                  </w14:solidFill>
                  <w14:prstDash w14:val="solid"/>
                  <w14:bevel/>
                </w14:textOutline>
              </w:rPr>
              <w:t>质及分布</w:t>
            </w:r>
          </w:p>
        </w:tc>
        <w:tc>
          <w:tcPr>
            <w:tcW w:w="7077" w:type="dxa"/>
            <w:gridSpan w:val="8"/>
            <w:tcBorders>
              <w:right w:val="nil"/>
            </w:tcBorders>
            <w:vAlign w:val="top"/>
          </w:tcPr>
          <w:p w14:paraId="6E5CC6C7">
            <w:pPr>
              <w:spacing w:before="53" w:line="288" w:lineRule="auto"/>
              <w:ind w:left="27" w:right="5" w:firstLine="4"/>
              <w:rPr>
                <w:rFonts w:ascii="宋体" w:hAnsi="宋体" w:eastAsia="宋体" w:cs="宋体"/>
                <w:sz w:val="20"/>
                <w:szCs w:val="20"/>
              </w:rPr>
            </w:pPr>
            <w:r>
              <w:rPr>
                <w:rFonts w:ascii="宋体" w:hAnsi="宋体" w:eastAsia="宋体" w:cs="宋体"/>
                <w:spacing w:val="-8"/>
                <w:sz w:val="20"/>
                <w:szCs w:val="20"/>
              </w:rPr>
              <w:t>该项目主要原</w:t>
            </w:r>
            <w:r>
              <w:rPr>
                <w:rFonts w:ascii="宋体" w:hAnsi="宋体" w:eastAsia="宋体" w:cs="宋体"/>
                <w:spacing w:val="-4"/>
                <w:sz w:val="20"/>
                <w:szCs w:val="20"/>
              </w:rPr>
              <w:t>材料废旧塑料编织袋，主要成分为聚乙烯、聚丙烯，产品主要为聚丙</w:t>
            </w:r>
            <w:r>
              <w:rPr>
                <w:rFonts w:ascii="宋体" w:hAnsi="宋体" w:eastAsia="宋体" w:cs="宋体"/>
                <w:sz w:val="20"/>
                <w:szCs w:val="20"/>
              </w:rPr>
              <w:t xml:space="preserve"> </w:t>
            </w:r>
            <w:r>
              <w:rPr>
                <w:rFonts w:ascii="宋体" w:hAnsi="宋体" w:eastAsia="宋体" w:cs="宋体"/>
                <w:spacing w:val="-6"/>
                <w:sz w:val="20"/>
                <w:szCs w:val="20"/>
              </w:rPr>
              <w:t>烯颗粒、聚乙</w:t>
            </w:r>
            <w:r>
              <w:rPr>
                <w:rFonts w:ascii="宋体" w:hAnsi="宋体" w:eastAsia="宋体" w:cs="宋体"/>
                <w:spacing w:val="-4"/>
                <w:sz w:val="20"/>
                <w:szCs w:val="20"/>
              </w:rPr>
              <w:t>烯</w:t>
            </w:r>
            <w:r>
              <w:rPr>
                <w:rFonts w:ascii="宋体" w:hAnsi="宋体" w:eastAsia="宋体" w:cs="宋体"/>
                <w:spacing w:val="-3"/>
                <w:sz w:val="20"/>
                <w:szCs w:val="20"/>
              </w:rPr>
              <w:t>颗粒，对照《建设项目环境风险评价技术导则》 (</w:t>
            </w:r>
            <w:r>
              <w:rPr>
                <w:rFonts w:ascii="Times New Roman" w:hAnsi="Times New Roman" w:eastAsia="Times New Roman" w:cs="Times New Roman"/>
                <w:spacing w:val="-3"/>
                <w:sz w:val="20"/>
                <w:szCs w:val="20"/>
              </w:rPr>
              <w:t>HJ169-2018</w:t>
            </w:r>
            <w:r>
              <w:rPr>
                <w:rFonts w:ascii="宋体" w:hAnsi="宋体" w:eastAsia="宋体" w:cs="宋体"/>
                <w:spacing w:val="-3"/>
                <w:sz w:val="20"/>
                <w:szCs w:val="20"/>
              </w:rPr>
              <w:t>) 附</w:t>
            </w:r>
            <w:r>
              <w:rPr>
                <w:rFonts w:ascii="宋体" w:hAnsi="宋体" w:eastAsia="宋体" w:cs="宋体"/>
                <w:sz w:val="20"/>
                <w:szCs w:val="20"/>
              </w:rPr>
              <w:t xml:space="preserve"> </w:t>
            </w:r>
            <w:r>
              <w:rPr>
                <w:rFonts w:ascii="宋体" w:hAnsi="宋体" w:eastAsia="宋体" w:cs="宋体"/>
                <w:spacing w:val="-2"/>
                <w:sz w:val="20"/>
                <w:szCs w:val="20"/>
              </w:rPr>
              <w:t xml:space="preserve">录 </w:t>
            </w:r>
            <w:r>
              <w:rPr>
                <w:rFonts w:ascii="Times New Roman" w:hAnsi="Times New Roman" w:eastAsia="Times New Roman" w:cs="Times New Roman"/>
                <w:spacing w:val="-1"/>
                <w:sz w:val="20"/>
                <w:szCs w:val="20"/>
              </w:rPr>
              <w:t>B</w:t>
            </w:r>
            <w:r>
              <w:rPr>
                <w:rFonts w:ascii="Times New Roman" w:hAnsi="Times New Roman" w:eastAsia="Times New Roman" w:cs="Times New Roman"/>
                <w:spacing w:val="-2"/>
                <w:sz w:val="20"/>
                <w:szCs w:val="20"/>
              </w:rPr>
              <w:t xml:space="preserve"> </w:t>
            </w:r>
            <w:r>
              <w:rPr>
                <w:rFonts w:ascii="宋体" w:hAnsi="宋体" w:eastAsia="宋体" w:cs="宋体"/>
                <w:spacing w:val="-2"/>
                <w:sz w:val="20"/>
                <w:szCs w:val="20"/>
              </w:rPr>
              <w:t>重点关注的危险物质及</w:t>
            </w:r>
            <w:r>
              <w:rPr>
                <w:rFonts w:ascii="宋体" w:hAnsi="宋体" w:eastAsia="宋体" w:cs="宋体"/>
                <w:spacing w:val="-1"/>
                <w:sz w:val="20"/>
                <w:szCs w:val="20"/>
              </w:rPr>
              <w:t>临界量，上述原料及产品均不属于危险化学品和有毒</w:t>
            </w:r>
            <w:r>
              <w:rPr>
                <w:rFonts w:ascii="宋体" w:hAnsi="宋体" w:eastAsia="宋体" w:cs="宋体"/>
                <w:sz w:val="20"/>
                <w:szCs w:val="20"/>
              </w:rPr>
              <w:t xml:space="preserve"> </w:t>
            </w:r>
            <w:r>
              <w:rPr>
                <w:rFonts w:ascii="宋体" w:hAnsi="宋体" w:eastAsia="宋体" w:cs="宋体"/>
                <w:spacing w:val="-8"/>
                <w:sz w:val="20"/>
                <w:szCs w:val="20"/>
              </w:rPr>
              <w:t>有害物质，</w:t>
            </w:r>
            <w:r>
              <w:rPr>
                <w:rFonts w:ascii="宋体" w:hAnsi="宋体" w:eastAsia="宋体" w:cs="宋体"/>
                <w:spacing w:val="-4"/>
                <w:sz w:val="20"/>
                <w:szCs w:val="20"/>
              </w:rPr>
              <w:t>不具有易燃易爆等特性，不属于风险物质。但遇明火可燃，因此应按照</w:t>
            </w:r>
            <w:r>
              <w:rPr>
                <w:rFonts w:ascii="宋体" w:hAnsi="宋体" w:eastAsia="宋体" w:cs="宋体"/>
                <w:sz w:val="20"/>
                <w:szCs w:val="20"/>
              </w:rPr>
              <w:t xml:space="preserve"> </w:t>
            </w:r>
            <w:r>
              <w:rPr>
                <w:rFonts w:ascii="宋体" w:hAnsi="宋体" w:eastAsia="宋体" w:cs="宋体"/>
                <w:spacing w:val="-6"/>
                <w:sz w:val="20"/>
                <w:szCs w:val="20"/>
              </w:rPr>
              <w:t>《建设项目环境</w:t>
            </w:r>
            <w:r>
              <w:rPr>
                <w:rFonts w:ascii="宋体" w:hAnsi="宋体" w:eastAsia="宋体" w:cs="宋体"/>
                <w:spacing w:val="-3"/>
                <w:sz w:val="20"/>
                <w:szCs w:val="20"/>
              </w:rPr>
              <w:t>风险评价技术导则》 (</w:t>
            </w:r>
            <w:r>
              <w:rPr>
                <w:rFonts w:ascii="Times New Roman" w:hAnsi="Times New Roman" w:eastAsia="Times New Roman" w:cs="Times New Roman"/>
                <w:spacing w:val="-3"/>
                <w:sz w:val="20"/>
                <w:szCs w:val="20"/>
              </w:rPr>
              <w:t>HJ169-2018</w:t>
            </w:r>
            <w:r>
              <w:rPr>
                <w:rFonts w:ascii="宋体" w:hAnsi="宋体" w:eastAsia="宋体" w:cs="宋体"/>
                <w:spacing w:val="-3"/>
                <w:sz w:val="20"/>
                <w:szCs w:val="20"/>
              </w:rPr>
              <w:t>) 中相关要求，以突发性事故导</w:t>
            </w:r>
            <w:r>
              <w:rPr>
                <w:rFonts w:ascii="宋体" w:hAnsi="宋体" w:eastAsia="宋体" w:cs="宋体"/>
                <w:sz w:val="20"/>
                <w:szCs w:val="20"/>
              </w:rPr>
              <w:t xml:space="preserve"> </w:t>
            </w:r>
            <w:r>
              <w:rPr>
                <w:rFonts w:ascii="宋体" w:hAnsi="宋体" w:eastAsia="宋体" w:cs="宋体"/>
                <w:spacing w:val="-8"/>
                <w:sz w:val="20"/>
                <w:szCs w:val="20"/>
              </w:rPr>
              <w:t>致的危险物</w:t>
            </w:r>
            <w:r>
              <w:rPr>
                <w:rFonts w:ascii="宋体" w:hAnsi="宋体" w:eastAsia="宋体" w:cs="宋体"/>
                <w:spacing w:val="-6"/>
                <w:sz w:val="20"/>
                <w:szCs w:val="20"/>
              </w:rPr>
              <w:t>质</w:t>
            </w:r>
            <w:r>
              <w:rPr>
                <w:rFonts w:ascii="宋体" w:hAnsi="宋体" w:eastAsia="宋体" w:cs="宋体"/>
                <w:spacing w:val="-4"/>
                <w:sz w:val="20"/>
                <w:szCs w:val="20"/>
              </w:rPr>
              <w:t>环境记性损害防控为目标，对建设项目的环境风险进行分析、预测和</w:t>
            </w:r>
            <w:r>
              <w:rPr>
                <w:rFonts w:ascii="宋体" w:hAnsi="宋体" w:eastAsia="宋体" w:cs="宋体"/>
                <w:sz w:val="20"/>
                <w:szCs w:val="20"/>
              </w:rPr>
              <w:t xml:space="preserve"> </w:t>
            </w:r>
            <w:r>
              <w:rPr>
                <w:rFonts w:ascii="宋体" w:hAnsi="宋体" w:eastAsia="宋体" w:cs="宋体"/>
                <w:spacing w:val="-8"/>
                <w:sz w:val="20"/>
                <w:szCs w:val="20"/>
              </w:rPr>
              <w:t>评估，提出</w:t>
            </w:r>
            <w:r>
              <w:rPr>
                <w:rFonts w:ascii="宋体" w:hAnsi="宋体" w:eastAsia="宋体" w:cs="宋体"/>
                <w:spacing w:val="-4"/>
                <w:sz w:val="20"/>
                <w:szCs w:val="20"/>
              </w:rPr>
              <w:t>环境风险预防、控制、减缓措施，明确环境风险监控及应急要求，为建</w:t>
            </w:r>
            <w:r>
              <w:rPr>
                <w:rFonts w:ascii="宋体" w:hAnsi="宋体" w:eastAsia="宋体" w:cs="宋体"/>
                <w:sz w:val="20"/>
                <w:szCs w:val="20"/>
              </w:rPr>
              <w:t xml:space="preserve"> </w:t>
            </w:r>
            <w:r>
              <w:rPr>
                <w:rFonts w:ascii="宋体" w:hAnsi="宋体" w:eastAsia="宋体" w:cs="宋体"/>
                <w:spacing w:val="-2"/>
                <w:sz w:val="20"/>
                <w:szCs w:val="20"/>
              </w:rPr>
              <w:t>设项目环境风险防控提出</w:t>
            </w:r>
            <w:r>
              <w:rPr>
                <w:rFonts w:ascii="宋体" w:hAnsi="宋体" w:eastAsia="宋体" w:cs="宋体"/>
                <w:spacing w:val="-1"/>
                <w:sz w:val="20"/>
                <w:szCs w:val="20"/>
              </w:rPr>
              <w:t>科学依据。</w:t>
            </w:r>
          </w:p>
          <w:p w14:paraId="5FCB5C81">
            <w:pPr>
              <w:spacing w:line="288" w:lineRule="auto"/>
              <w:ind w:left="28" w:firstLine="3"/>
              <w:rPr>
                <w:rFonts w:ascii="宋体" w:hAnsi="宋体" w:eastAsia="宋体" w:cs="宋体"/>
                <w:sz w:val="20"/>
                <w:szCs w:val="20"/>
              </w:rPr>
            </w:pPr>
            <w:r>
              <w:rPr>
                <w:rFonts w:ascii="宋体" w:hAnsi="宋体" w:eastAsia="宋体" w:cs="宋体"/>
                <w:spacing w:val="22"/>
                <w:sz w:val="20"/>
                <w:szCs w:val="20"/>
              </w:rPr>
              <w:t>该项</w:t>
            </w:r>
            <w:r>
              <w:rPr>
                <w:rFonts w:ascii="宋体" w:hAnsi="宋体" w:eastAsia="宋体" w:cs="宋体"/>
                <w:spacing w:val="14"/>
                <w:sz w:val="20"/>
                <w:szCs w:val="20"/>
              </w:rPr>
              <w:t>目</w:t>
            </w:r>
            <w:r>
              <w:rPr>
                <w:rFonts w:ascii="宋体" w:hAnsi="宋体" w:eastAsia="宋体" w:cs="宋体"/>
                <w:spacing w:val="11"/>
                <w:sz w:val="20"/>
                <w:szCs w:val="20"/>
              </w:rPr>
              <w:t>生产设备不属于高温、高压设备，出现事故的可能性很小，可能存在</w:t>
            </w:r>
            <w:r>
              <w:rPr>
                <w:rFonts w:ascii="宋体" w:hAnsi="宋体" w:eastAsia="宋体" w:cs="宋体"/>
                <w:sz w:val="20"/>
                <w:szCs w:val="20"/>
              </w:rPr>
              <w:t xml:space="preserve"> </w:t>
            </w:r>
            <w:r>
              <w:rPr>
                <w:rFonts w:ascii="宋体" w:hAnsi="宋体" w:eastAsia="宋体" w:cs="宋体"/>
                <w:spacing w:val="14"/>
                <w:sz w:val="20"/>
                <w:szCs w:val="20"/>
              </w:rPr>
              <w:t>风</w:t>
            </w:r>
            <w:r>
              <w:rPr>
                <w:rFonts w:ascii="宋体" w:hAnsi="宋体" w:eastAsia="宋体" w:cs="宋体"/>
                <w:spacing w:val="8"/>
                <w:sz w:val="20"/>
                <w:szCs w:val="20"/>
              </w:rPr>
              <w:t>险</w:t>
            </w:r>
            <w:r>
              <w:rPr>
                <w:rFonts w:ascii="宋体" w:hAnsi="宋体" w:eastAsia="宋体" w:cs="宋体"/>
                <w:spacing w:val="7"/>
                <w:sz w:val="20"/>
                <w:szCs w:val="20"/>
              </w:rPr>
              <w:t>的设施主要为：贮运系统、环保设施。项目塑料采用密封箱式汽车运输，</w:t>
            </w:r>
            <w:r>
              <w:rPr>
                <w:rFonts w:ascii="宋体" w:hAnsi="宋体" w:eastAsia="宋体" w:cs="宋体"/>
                <w:sz w:val="20"/>
                <w:szCs w:val="20"/>
              </w:rPr>
              <w:t xml:space="preserve"> </w:t>
            </w:r>
            <w:r>
              <w:rPr>
                <w:rFonts w:ascii="宋体" w:hAnsi="宋体" w:eastAsia="宋体" w:cs="宋体"/>
                <w:spacing w:val="12"/>
                <w:sz w:val="20"/>
                <w:szCs w:val="20"/>
              </w:rPr>
              <w:t>运输过程过程风险事故发生概率较小。但一旦发生原料仓着火，火势会迅</w:t>
            </w:r>
            <w:r>
              <w:rPr>
                <w:rFonts w:ascii="宋体" w:hAnsi="宋体" w:eastAsia="宋体" w:cs="宋体"/>
                <w:spacing w:val="7"/>
                <w:sz w:val="20"/>
                <w:szCs w:val="20"/>
              </w:rPr>
              <w:t>速</w:t>
            </w:r>
            <w:r>
              <w:rPr>
                <w:rFonts w:ascii="宋体" w:hAnsi="宋体" w:eastAsia="宋体" w:cs="宋体"/>
                <w:sz w:val="20"/>
                <w:szCs w:val="20"/>
              </w:rPr>
              <w:t xml:space="preserve"> </w:t>
            </w:r>
            <w:r>
              <w:rPr>
                <w:rFonts w:ascii="宋体" w:hAnsi="宋体" w:eastAsia="宋体" w:cs="宋体"/>
                <w:spacing w:val="12"/>
                <w:sz w:val="20"/>
                <w:szCs w:val="20"/>
              </w:rPr>
              <w:t>蔓延，如果灾情控制不住，将会对项目造成一定的经济损失，严重可能危</w:t>
            </w:r>
            <w:r>
              <w:rPr>
                <w:rFonts w:ascii="宋体" w:hAnsi="宋体" w:eastAsia="宋体" w:cs="宋体"/>
                <w:spacing w:val="7"/>
                <w:sz w:val="20"/>
                <w:szCs w:val="20"/>
              </w:rPr>
              <w:t>及</w:t>
            </w:r>
            <w:r>
              <w:rPr>
                <w:rFonts w:ascii="宋体" w:hAnsi="宋体" w:eastAsia="宋体" w:cs="宋体"/>
                <w:sz w:val="20"/>
                <w:szCs w:val="20"/>
              </w:rPr>
              <w:t xml:space="preserve"> </w:t>
            </w:r>
            <w:r>
              <w:rPr>
                <w:rFonts w:ascii="宋体" w:hAnsi="宋体" w:eastAsia="宋体" w:cs="宋体"/>
                <w:spacing w:val="5"/>
                <w:sz w:val="20"/>
                <w:szCs w:val="20"/>
              </w:rPr>
              <w:t xml:space="preserve">周围的企业和附近的居民。同时燃烧产生大量的有害气体 </w:t>
            </w:r>
            <w:r>
              <w:rPr>
                <w:rFonts w:ascii="Times New Roman" w:hAnsi="Times New Roman" w:eastAsia="Times New Roman" w:cs="Times New Roman"/>
                <w:sz w:val="20"/>
                <w:szCs w:val="20"/>
              </w:rPr>
              <w:t>CO</w:t>
            </w:r>
            <w:r>
              <w:rPr>
                <w:rFonts w:ascii="Times New Roman" w:hAnsi="Times New Roman" w:eastAsia="Times New Roman" w:cs="Times New Roman"/>
                <w:spacing w:val="5"/>
                <w:sz w:val="20"/>
                <w:szCs w:val="20"/>
              </w:rPr>
              <w:t xml:space="preserve"> </w:t>
            </w:r>
            <w:r>
              <w:rPr>
                <w:rFonts w:ascii="宋体" w:hAnsi="宋体" w:eastAsia="宋体" w:cs="宋体"/>
                <w:spacing w:val="5"/>
                <w:sz w:val="20"/>
                <w:szCs w:val="20"/>
              </w:rPr>
              <w:t>、烟尘，引发</w:t>
            </w:r>
            <w:r>
              <w:rPr>
                <w:rFonts w:ascii="宋体" w:hAnsi="宋体" w:eastAsia="宋体" w:cs="宋体"/>
                <w:spacing w:val="1"/>
                <w:sz w:val="20"/>
                <w:szCs w:val="20"/>
              </w:rPr>
              <w:t>一</w:t>
            </w:r>
            <w:r>
              <w:rPr>
                <w:rFonts w:ascii="宋体" w:hAnsi="宋体" w:eastAsia="宋体" w:cs="宋体"/>
                <w:sz w:val="20"/>
                <w:szCs w:val="20"/>
              </w:rPr>
              <w:t xml:space="preserve"> </w:t>
            </w:r>
            <w:r>
              <w:rPr>
                <w:rFonts w:ascii="宋体" w:hAnsi="宋体" w:eastAsia="宋体" w:cs="宋体"/>
                <w:spacing w:val="9"/>
                <w:sz w:val="20"/>
                <w:szCs w:val="20"/>
              </w:rPr>
              <w:t>系</w:t>
            </w:r>
            <w:r>
              <w:rPr>
                <w:rFonts w:ascii="宋体" w:hAnsi="宋体" w:eastAsia="宋体" w:cs="宋体"/>
                <w:spacing w:val="7"/>
                <w:sz w:val="20"/>
                <w:szCs w:val="20"/>
              </w:rPr>
              <w:t>列的次生环境问题。</w:t>
            </w:r>
          </w:p>
          <w:p w14:paraId="0884A194">
            <w:pPr>
              <w:tabs>
                <w:tab w:val="left" w:pos="138"/>
              </w:tabs>
              <w:spacing w:before="6" w:line="277" w:lineRule="auto"/>
              <w:ind w:left="28" w:right="24" w:firstLine="4"/>
              <w:rPr>
                <w:rFonts w:ascii="宋体" w:hAnsi="宋体" w:eastAsia="宋体" w:cs="宋体"/>
                <w:sz w:val="20"/>
                <w:szCs w:val="20"/>
              </w:rPr>
            </w:pPr>
            <w:r>
              <w:rPr>
                <w:rFonts w:ascii="宋体" w:hAnsi="宋体" w:eastAsia="宋体" w:cs="宋体"/>
                <w:spacing w:val="24"/>
                <w:sz w:val="20"/>
                <w:szCs w:val="20"/>
              </w:rPr>
              <w:t>正</w:t>
            </w:r>
            <w:r>
              <w:rPr>
                <w:rFonts w:ascii="宋体" w:hAnsi="宋体" w:eastAsia="宋体" w:cs="宋体"/>
                <w:spacing w:val="21"/>
                <w:sz w:val="20"/>
                <w:szCs w:val="20"/>
              </w:rPr>
              <w:t>常</w:t>
            </w:r>
            <w:r>
              <w:rPr>
                <w:rFonts w:ascii="宋体" w:hAnsi="宋体" w:eastAsia="宋体" w:cs="宋体"/>
                <w:spacing w:val="12"/>
                <w:sz w:val="20"/>
                <w:szCs w:val="20"/>
              </w:rPr>
              <w:t>情况下项目生产废水经处理后循环利用不外排，在事故情况下，生产废</w:t>
            </w:r>
            <w:r>
              <w:rPr>
                <w:rFonts w:ascii="宋体" w:hAnsi="宋体" w:eastAsia="宋体" w:cs="宋体"/>
                <w:sz w:val="20"/>
                <w:szCs w:val="20"/>
              </w:rPr>
              <w:t xml:space="preserve"> </w:t>
            </w:r>
            <w:r>
              <w:rPr>
                <w:rFonts w:ascii="宋体" w:hAnsi="宋体" w:eastAsia="宋体" w:cs="宋体"/>
                <w:spacing w:val="14"/>
                <w:sz w:val="20"/>
                <w:szCs w:val="20"/>
              </w:rPr>
              <w:t>水</w:t>
            </w:r>
            <w:r>
              <w:rPr>
                <w:rFonts w:ascii="宋体" w:hAnsi="宋体" w:eastAsia="宋体" w:cs="宋体"/>
                <w:spacing w:val="11"/>
                <w:sz w:val="20"/>
                <w:szCs w:val="20"/>
              </w:rPr>
              <w:t>泄</w:t>
            </w:r>
            <w:r>
              <w:rPr>
                <w:rFonts w:ascii="宋体" w:hAnsi="宋体" w:eastAsia="宋体" w:cs="宋体"/>
                <w:spacing w:val="7"/>
                <w:sz w:val="20"/>
                <w:szCs w:val="20"/>
              </w:rPr>
              <w:t xml:space="preserve">漏会影响地下水。因本项目废物污染物较为单一，主要为 </w:t>
            </w:r>
            <w:r>
              <w:rPr>
                <w:rFonts w:ascii="Times New Roman" w:hAnsi="Times New Roman" w:eastAsia="Times New Roman" w:cs="Times New Roman"/>
                <w:sz w:val="20"/>
                <w:szCs w:val="20"/>
              </w:rPr>
              <w:t>SS</w:t>
            </w:r>
            <w:r>
              <w:rPr>
                <w:rFonts w:ascii="Times New Roman" w:hAnsi="Times New Roman" w:eastAsia="Times New Roman" w:cs="Times New Roman"/>
                <w:spacing w:val="7"/>
                <w:sz w:val="20"/>
                <w:szCs w:val="20"/>
              </w:rPr>
              <w:t xml:space="preserve"> </w:t>
            </w:r>
            <w:r>
              <w:rPr>
                <w:rFonts w:ascii="宋体" w:hAnsi="宋体" w:eastAsia="宋体" w:cs="宋体"/>
                <w:spacing w:val="7"/>
                <w:sz w:val="20"/>
                <w:szCs w:val="20"/>
              </w:rPr>
              <w:t>，因此，项</w:t>
            </w:r>
            <w:r>
              <w:rPr>
                <w:rFonts w:ascii="宋体" w:hAnsi="宋体" w:eastAsia="宋体" w:cs="宋体"/>
                <w:sz w:val="20"/>
                <w:szCs w:val="20"/>
              </w:rPr>
              <w:t xml:space="preserve"> </w:t>
            </w:r>
            <w:r>
              <w:rPr>
                <w:rFonts w:ascii="宋体" w:hAnsi="宋体" w:eastAsia="宋体" w:cs="宋体"/>
                <w:spacing w:val="24"/>
                <w:sz w:val="20"/>
                <w:szCs w:val="20"/>
              </w:rPr>
              <w:t>目只</w:t>
            </w:r>
            <w:r>
              <w:rPr>
                <w:rFonts w:ascii="宋体" w:hAnsi="宋体" w:eastAsia="宋体" w:cs="宋体"/>
                <w:spacing w:val="13"/>
                <w:sz w:val="20"/>
                <w:szCs w:val="20"/>
              </w:rPr>
              <w:t>要</w:t>
            </w:r>
            <w:r>
              <w:rPr>
                <w:rFonts w:ascii="宋体" w:hAnsi="宋体" w:eastAsia="宋体" w:cs="宋体"/>
                <w:spacing w:val="12"/>
                <w:sz w:val="20"/>
                <w:szCs w:val="20"/>
              </w:rPr>
              <w:t>做好循环水池的建设，杜绝清洗废水的外排，基本上可以杜绝对周边</w:t>
            </w:r>
            <w:r>
              <w:rPr>
                <w:rFonts w:ascii="宋体" w:hAnsi="宋体" w:eastAsia="宋体" w:cs="宋体"/>
                <w:sz w:val="20"/>
                <w:szCs w:val="20"/>
              </w:rPr>
              <w:t xml:space="preserve"> </w:t>
            </w:r>
            <w:r>
              <w:rPr>
                <w:rFonts w:ascii="宋体" w:hAnsi="宋体" w:eastAsia="宋体" w:cs="宋体"/>
                <w:spacing w:val="24"/>
                <w:sz w:val="20"/>
                <w:szCs w:val="20"/>
              </w:rPr>
              <w:t>地表</w:t>
            </w:r>
            <w:r>
              <w:rPr>
                <w:rFonts w:ascii="宋体" w:hAnsi="宋体" w:eastAsia="宋体" w:cs="宋体"/>
                <w:spacing w:val="13"/>
                <w:sz w:val="20"/>
                <w:szCs w:val="20"/>
              </w:rPr>
              <w:t>水</w:t>
            </w:r>
            <w:r>
              <w:rPr>
                <w:rFonts w:ascii="宋体" w:hAnsi="宋体" w:eastAsia="宋体" w:cs="宋体"/>
                <w:spacing w:val="12"/>
                <w:sz w:val="20"/>
                <w:szCs w:val="20"/>
              </w:rPr>
              <w:t>的影响。同时，环评要求项目对循环沉淀池做好防渗措施，等效黏土</w:t>
            </w:r>
            <w:r>
              <w:rPr>
                <w:rFonts w:ascii="宋体" w:hAnsi="宋体" w:eastAsia="宋体" w:cs="宋体"/>
                <w:sz w:val="20"/>
                <w:szCs w:val="20"/>
              </w:rPr>
              <w:t xml:space="preserve"> </w:t>
            </w:r>
            <w:r>
              <w:rPr>
                <w:rFonts w:ascii="宋体" w:hAnsi="宋体" w:eastAsia="宋体" w:cs="宋体"/>
                <w:spacing w:val="15"/>
                <w:sz w:val="20"/>
                <w:szCs w:val="20"/>
              </w:rPr>
              <w:t>防</w:t>
            </w:r>
            <w:r>
              <w:rPr>
                <w:rFonts w:ascii="宋体" w:hAnsi="宋体" w:eastAsia="宋体" w:cs="宋体"/>
                <w:spacing w:val="9"/>
                <w:sz w:val="20"/>
                <w:szCs w:val="20"/>
              </w:rPr>
              <w:t xml:space="preserve">渗层 </w:t>
            </w:r>
            <w:r>
              <w:rPr>
                <w:rFonts w:ascii="Times New Roman" w:hAnsi="Times New Roman" w:eastAsia="Times New Roman" w:cs="Times New Roman"/>
                <w:sz w:val="20"/>
                <w:szCs w:val="20"/>
              </w:rPr>
              <w:t>Mb</w:t>
            </w:r>
            <w:r>
              <w:rPr>
                <w:rFonts w:ascii="Times New Roman" w:hAnsi="Times New Roman" w:eastAsia="Times New Roman" w:cs="Times New Roman"/>
                <w:spacing w:val="9"/>
                <w:sz w:val="20"/>
                <w:szCs w:val="20"/>
              </w:rPr>
              <w:t>≥1.5</w:t>
            </w:r>
            <w:r>
              <w:rPr>
                <w:rFonts w:ascii="Times New Roman" w:hAnsi="Times New Roman" w:eastAsia="Times New Roman" w:cs="Times New Roman"/>
                <w:sz w:val="20"/>
                <w:szCs w:val="20"/>
              </w:rPr>
              <w:t>m</w:t>
            </w:r>
            <w:r>
              <w:rPr>
                <w:rFonts w:ascii="Times New Roman" w:hAnsi="Times New Roman" w:eastAsia="Times New Roman" w:cs="Times New Roman"/>
                <w:spacing w:val="9"/>
                <w:sz w:val="20"/>
                <w:szCs w:val="20"/>
              </w:rPr>
              <w:t xml:space="preserve"> </w:t>
            </w:r>
            <w:r>
              <w:rPr>
                <w:rFonts w:ascii="宋体" w:hAnsi="宋体" w:eastAsia="宋体" w:cs="宋体"/>
                <w:spacing w:val="9"/>
                <w:sz w:val="20"/>
                <w:szCs w:val="20"/>
              </w:rPr>
              <w:t>，</w:t>
            </w:r>
            <w:r>
              <w:rPr>
                <w:rFonts w:ascii="Times New Roman" w:hAnsi="Times New Roman" w:eastAsia="Times New Roman" w:cs="Times New Roman"/>
                <w:sz w:val="20"/>
                <w:szCs w:val="20"/>
              </w:rPr>
              <w:t>K</w:t>
            </w:r>
            <w:r>
              <w:rPr>
                <w:rFonts w:ascii="Times New Roman" w:hAnsi="Times New Roman" w:eastAsia="Times New Roman" w:cs="Times New Roman"/>
                <w:spacing w:val="9"/>
                <w:sz w:val="20"/>
                <w:szCs w:val="20"/>
              </w:rPr>
              <w:t>≤ 1×10</w:t>
            </w:r>
            <w:r>
              <w:rPr>
                <w:rFonts w:ascii="Times New Roman" w:hAnsi="Times New Roman" w:eastAsia="Times New Roman" w:cs="Times New Roman"/>
                <w:spacing w:val="9"/>
                <w:position w:val="6"/>
                <w:sz w:val="13"/>
                <w:szCs w:val="13"/>
              </w:rPr>
              <w:t>-7</w:t>
            </w:r>
            <w:r>
              <w:rPr>
                <w:rFonts w:ascii="Times New Roman" w:hAnsi="Times New Roman" w:eastAsia="Times New Roman" w:cs="Times New Roman"/>
                <w:sz w:val="20"/>
                <w:szCs w:val="20"/>
              </w:rPr>
              <w:t>cm</w:t>
            </w:r>
            <w:r>
              <w:rPr>
                <w:rFonts w:ascii="Times New Roman" w:hAnsi="Times New Roman" w:eastAsia="Times New Roman" w:cs="Times New Roman"/>
                <w:spacing w:val="9"/>
                <w:sz w:val="20"/>
                <w:szCs w:val="20"/>
              </w:rPr>
              <w:t>/</w:t>
            </w:r>
            <w:r>
              <w:rPr>
                <w:rFonts w:ascii="Times New Roman" w:hAnsi="Times New Roman" w:eastAsia="Times New Roman" w:cs="Times New Roman"/>
                <w:sz w:val="20"/>
                <w:szCs w:val="20"/>
              </w:rPr>
              <w:t>s</w:t>
            </w:r>
            <w:r>
              <w:rPr>
                <w:rFonts w:ascii="Times New Roman" w:hAnsi="Times New Roman" w:eastAsia="Times New Roman" w:cs="Times New Roman"/>
                <w:spacing w:val="9"/>
                <w:sz w:val="20"/>
                <w:szCs w:val="20"/>
              </w:rPr>
              <w:t xml:space="preserve">  </w:t>
            </w:r>
            <w:r>
              <w:rPr>
                <w:rFonts w:ascii="宋体" w:hAnsi="宋体" w:eastAsia="宋体" w:cs="宋体"/>
                <w:spacing w:val="9"/>
                <w:sz w:val="20"/>
                <w:szCs w:val="20"/>
              </w:rPr>
              <w:t>或参 照《 生 活垃圾填埋场控制标准 》</w:t>
            </w:r>
            <w:r>
              <w:rPr>
                <w:rFonts w:ascii="宋体" w:hAnsi="宋体" w:eastAsia="宋体" w:cs="宋体"/>
                <w:sz w:val="20"/>
                <w:szCs w:val="20"/>
              </w:rPr>
              <w:t xml:space="preserve"> </w:t>
            </w:r>
            <w:r>
              <w:rPr>
                <w:rFonts w:ascii="宋体" w:hAnsi="宋体" w:eastAsia="宋体" w:cs="宋体"/>
                <w:sz w:val="20"/>
                <w:szCs w:val="20"/>
              </w:rPr>
              <w:tab/>
            </w:r>
            <w:r>
              <w:rPr>
                <w:rFonts w:ascii="宋体" w:hAnsi="宋体" w:eastAsia="宋体" w:cs="宋体"/>
                <w:spacing w:val="9"/>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7"/>
                <w:sz w:val="20"/>
                <w:szCs w:val="20"/>
              </w:rPr>
              <w:t xml:space="preserve">16889  </w:t>
            </w:r>
            <w:r>
              <w:rPr>
                <w:rFonts w:ascii="宋体" w:hAnsi="宋体" w:eastAsia="宋体" w:cs="宋体"/>
                <w:spacing w:val="7"/>
                <w:sz w:val="20"/>
                <w:szCs w:val="20"/>
              </w:rPr>
              <w:t>) 执行，防止对地下水的影响。</w:t>
            </w:r>
          </w:p>
        </w:tc>
      </w:tr>
      <w:tr w14:paraId="27440E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3" w:hRule="atLeast"/>
        </w:trPr>
        <w:tc>
          <w:tcPr>
            <w:tcW w:w="1313" w:type="dxa"/>
            <w:tcBorders>
              <w:left w:val="nil"/>
            </w:tcBorders>
            <w:vAlign w:val="top"/>
          </w:tcPr>
          <w:p w14:paraId="673DBC08">
            <w:pPr>
              <w:spacing w:line="257" w:lineRule="auto"/>
              <w:rPr>
                <w:rFonts w:ascii="Arial"/>
                <w:sz w:val="21"/>
              </w:rPr>
            </w:pPr>
          </w:p>
          <w:p w14:paraId="3F6CE6BF">
            <w:pPr>
              <w:spacing w:line="257" w:lineRule="auto"/>
              <w:rPr>
                <w:rFonts w:ascii="Arial"/>
                <w:sz w:val="21"/>
              </w:rPr>
            </w:pPr>
          </w:p>
          <w:p w14:paraId="78DA847C">
            <w:pPr>
              <w:spacing w:line="257" w:lineRule="auto"/>
              <w:rPr>
                <w:rFonts w:ascii="Arial"/>
                <w:sz w:val="21"/>
              </w:rPr>
            </w:pPr>
          </w:p>
          <w:p w14:paraId="1E5C888F">
            <w:pPr>
              <w:spacing w:line="257" w:lineRule="auto"/>
              <w:rPr>
                <w:rFonts w:ascii="Arial"/>
                <w:sz w:val="21"/>
              </w:rPr>
            </w:pPr>
          </w:p>
          <w:p w14:paraId="1EBE1829">
            <w:pPr>
              <w:spacing w:line="257" w:lineRule="auto"/>
              <w:rPr>
                <w:rFonts w:ascii="Arial"/>
                <w:sz w:val="21"/>
              </w:rPr>
            </w:pPr>
          </w:p>
          <w:p w14:paraId="64179D31">
            <w:pPr>
              <w:spacing w:line="257" w:lineRule="auto"/>
              <w:rPr>
                <w:rFonts w:ascii="Arial"/>
                <w:sz w:val="21"/>
              </w:rPr>
            </w:pPr>
          </w:p>
          <w:p w14:paraId="696103AE">
            <w:pPr>
              <w:spacing w:line="257" w:lineRule="auto"/>
              <w:rPr>
                <w:rFonts w:ascii="Arial"/>
                <w:sz w:val="21"/>
              </w:rPr>
            </w:pPr>
          </w:p>
          <w:p w14:paraId="40B29F71">
            <w:pPr>
              <w:spacing w:line="258" w:lineRule="auto"/>
              <w:rPr>
                <w:rFonts w:ascii="Arial"/>
                <w:sz w:val="21"/>
              </w:rPr>
            </w:pPr>
          </w:p>
          <w:p w14:paraId="22797E92">
            <w:pPr>
              <w:spacing w:line="258" w:lineRule="auto"/>
              <w:rPr>
                <w:rFonts w:ascii="Arial"/>
                <w:sz w:val="21"/>
              </w:rPr>
            </w:pPr>
          </w:p>
          <w:p w14:paraId="66F6477B">
            <w:pPr>
              <w:spacing w:before="65" w:line="228" w:lineRule="auto"/>
              <w:ind w:left="33"/>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环境影响途径</w:t>
            </w:r>
          </w:p>
          <w:p w14:paraId="1D60375E">
            <w:pPr>
              <w:tabs>
                <w:tab w:val="left" w:pos="138"/>
              </w:tabs>
              <w:spacing w:before="66" w:line="311" w:lineRule="auto"/>
              <w:ind w:left="36" w:firstLine="97"/>
              <w:rPr>
                <w:rFonts w:ascii="宋体" w:hAnsi="宋体" w:eastAsia="宋体" w:cs="宋体"/>
                <w:sz w:val="19"/>
                <w:szCs w:val="19"/>
              </w:rPr>
            </w:pPr>
            <w:r>
              <w:rPr>
                <w:rFonts w:ascii="宋体" w:hAnsi="宋体" w:eastAsia="宋体" w:cs="宋体"/>
                <w:spacing w:val="9"/>
                <w:sz w:val="19"/>
                <w:szCs w:val="19"/>
                <w14:textOutline w14:w="3605" w14:cap="sq" w14:cmpd="sng">
                  <w14:solidFill>
                    <w14:srgbClr w14:val="000000"/>
                  </w14:solidFill>
                  <w14:prstDash w14:val="solid"/>
                  <w14:bevel/>
                </w14:textOutline>
              </w:rPr>
              <w:t>及</w:t>
            </w:r>
            <w:r>
              <w:rPr>
                <w:rFonts w:ascii="宋体" w:hAnsi="宋体" w:eastAsia="宋体" w:cs="宋体"/>
                <w:spacing w:val="8"/>
                <w:sz w:val="19"/>
                <w:szCs w:val="19"/>
                <w14:textOutline w14:w="3605" w14:cap="sq" w14:cmpd="sng">
                  <w14:solidFill>
                    <w14:srgbClr w14:val="000000"/>
                  </w14:solidFill>
                  <w14:prstDash w14:val="solid"/>
                  <w14:bevel/>
                </w14:textOutline>
              </w:rPr>
              <w:t>危害后果</w:t>
            </w:r>
            <w:r>
              <w:rPr>
                <w:rFonts w:ascii="宋体" w:hAnsi="宋体" w:eastAsia="宋体" w:cs="宋体"/>
                <w:sz w:val="19"/>
                <w:szCs w:val="19"/>
              </w:rPr>
              <w:t xml:space="preserve">  </w:t>
            </w:r>
            <w:r>
              <w:rPr>
                <w:rFonts w:ascii="宋体" w:hAnsi="宋体" w:eastAsia="宋体" w:cs="宋体"/>
                <w:b/>
                <w:bCs/>
                <w:sz w:val="19"/>
                <w:szCs w:val="19"/>
              </w:rPr>
              <w:tab/>
            </w:r>
            <w:r>
              <w:rPr>
                <w:rFonts w:ascii="宋体" w:hAnsi="宋体" w:eastAsia="宋体" w:cs="宋体"/>
                <w:spacing w:val="7"/>
                <w:sz w:val="19"/>
                <w:szCs w:val="19"/>
                <w14:textOutline w14:w="3605" w14:cap="sq" w14:cmpd="sng">
                  <w14:solidFill>
                    <w14:srgbClr w14:val="000000"/>
                  </w14:solidFill>
                  <w14:prstDash w14:val="solid"/>
                  <w14:bevel/>
                </w14:textOutline>
              </w:rPr>
              <w:t>(大气、地表</w:t>
            </w:r>
            <w:r>
              <w:rPr>
                <w:rFonts w:ascii="宋体" w:hAnsi="宋体" w:eastAsia="宋体" w:cs="宋体"/>
                <w:sz w:val="19"/>
                <w:szCs w:val="19"/>
              </w:rPr>
              <w:t xml:space="preserve"> </w:t>
            </w:r>
            <w:r>
              <w:rPr>
                <w:rFonts w:ascii="宋体" w:hAnsi="宋体" w:eastAsia="宋体" w:cs="宋体"/>
                <w:spacing w:val="-8"/>
                <w:sz w:val="19"/>
                <w:szCs w:val="19"/>
                <w14:textOutline w14:w="3605" w14:cap="sq" w14:cmpd="sng">
                  <w14:solidFill>
                    <w14:srgbClr w14:val="000000"/>
                  </w14:solidFill>
                  <w14:prstDash w14:val="solid"/>
                  <w14:bevel/>
                </w14:textOutline>
              </w:rPr>
              <w:t>水、地下水等)</w:t>
            </w:r>
          </w:p>
        </w:tc>
        <w:tc>
          <w:tcPr>
            <w:tcW w:w="7077" w:type="dxa"/>
            <w:gridSpan w:val="8"/>
            <w:tcBorders>
              <w:right w:val="nil"/>
            </w:tcBorders>
            <w:vAlign w:val="top"/>
          </w:tcPr>
          <w:p w14:paraId="79509179">
            <w:pPr>
              <w:spacing w:before="55" w:line="288" w:lineRule="auto"/>
              <w:ind w:left="27"/>
              <w:rPr>
                <w:rFonts w:ascii="宋体" w:hAnsi="宋体" w:eastAsia="宋体" w:cs="宋体"/>
                <w:sz w:val="20"/>
                <w:szCs w:val="20"/>
              </w:rPr>
            </w:pPr>
            <w:r>
              <w:rPr>
                <w:rFonts w:ascii="宋体" w:hAnsi="宋体" w:eastAsia="宋体" w:cs="宋体"/>
                <w:spacing w:val="12"/>
                <w:sz w:val="20"/>
                <w:szCs w:val="20"/>
              </w:rPr>
              <w:t>①大气环境：当原料库、成品库塑料发生着火会放出一定的热量，根据《</w:t>
            </w:r>
            <w:r>
              <w:rPr>
                <w:rFonts w:ascii="宋体" w:hAnsi="宋体" w:eastAsia="宋体" w:cs="宋体"/>
                <w:spacing w:val="6"/>
                <w:sz w:val="20"/>
                <w:szCs w:val="20"/>
              </w:rPr>
              <w:t>危</w:t>
            </w:r>
            <w:r>
              <w:rPr>
                <w:rFonts w:ascii="宋体" w:hAnsi="宋体" w:eastAsia="宋体" w:cs="宋体"/>
                <w:sz w:val="20"/>
                <w:szCs w:val="20"/>
              </w:rPr>
              <w:t xml:space="preserve"> </w:t>
            </w:r>
            <w:r>
              <w:rPr>
                <w:rFonts w:ascii="宋体" w:hAnsi="宋体" w:eastAsia="宋体" w:cs="宋体"/>
                <w:spacing w:val="4"/>
                <w:sz w:val="20"/>
                <w:szCs w:val="20"/>
              </w:rPr>
              <w:t>险评价方法及其应用》  (吴宗之、高进东、魏利军编著) 点源模型分析可知</w:t>
            </w:r>
            <w:r>
              <w:rPr>
                <w:rFonts w:ascii="宋体" w:hAnsi="宋体" w:eastAsia="宋体" w:cs="宋体"/>
                <w:spacing w:val="2"/>
                <w:sz w:val="20"/>
                <w:szCs w:val="20"/>
              </w:rPr>
              <w:t>，</w:t>
            </w:r>
            <w:r>
              <w:rPr>
                <w:rFonts w:ascii="宋体" w:hAnsi="宋体" w:eastAsia="宋体" w:cs="宋体"/>
                <w:sz w:val="20"/>
                <w:szCs w:val="20"/>
              </w:rPr>
              <w:t xml:space="preserve"> </w:t>
            </w:r>
            <w:r>
              <w:rPr>
                <w:rFonts w:ascii="宋体" w:hAnsi="宋体" w:eastAsia="宋体" w:cs="宋体"/>
                <w:spacing w:val="12"/>
                <w:sz w:val="20"/>
                <w:szCs w:val="20"/>
              </w:rPr>
              <w:t>火焰辐射出的能量为燃烧热的一部分，热辐射强度与燃烧速率成正比，与</w:t>
            </w:r>
            <w:r>
              <w:rPr>
                <w:rFonts w:ascii="宋体" w:hAnsi="宋体" w:eastAsia="宋体" w:cs="宋体"/>
                <w:spacing w:val="6"/>
                <w:sz w:val="20"/>
                <w:szCs w:val="20"/>
              </w:rPr>
              <w:t>接</w:t>
            </w:r>
            <w:r>
              <w:rPr>
                <w:rFonts w:ascii="宋体" w:hAnsi="宋体" w:eastAsia="宋体" w:cs="宋体"/>
                <w:sz w:val="20"/>
                <w:szCs w:val="20"/>
              </w:rPr>
              <w:t xml:space="preserve"> </w:t>
            </w:r>
            <w:r>
              <w:rPr>
                <w:rFonts w:ascii="宋体" w:hAnsi="宋体" w:eastAsia="宋体" w:cs="宋体"/>
                <w:spacing w:val="12"/>
                <w:sz w:val="20"/>
                <w:szCs w:val="20"/>
              </w:rPr>
              <w:t>收距离的平方反比。当火灾产生的热辐射强度足够大时，可使周围的物体</w:t>
            </w:r>
            <w:r>
              <w:rPr>
                <w:rFonts w:ascii="宋体" w:hAnsi="宋体" w:eastAsia="宋体" w:cs="宋体"/>
                <w:spacing w:val="6"/>
                <w:sz w:val="20"/>
                <w:szCs w:val="20"/>
              </w:rPr>
              <w:t>燃</w:t>
            </w:r>
            <w:r>
              <w:rPr>
                <w:rFonts w:ascii="宋体" w:hAnsi="宋体" w:eastAsia="宋体" w:cs="宋体"/>
                <w:sz w:val="20"/>
                <w:szCs w:val="20"/>
              </w:rPr>
              <w:t xml:space="preserve"> </w:t>
            </w:r>
            <w:r>
              <w:rPr>
                <w:rFonts w:ascii="宋体" w:hAnsi="宋体" w:eastAsia="宋体" w:cs="宋体"/>
                <w:spacing w:val="12"/>
                <w:sz w:val="20"/>
                <w:szCs w:val="20"/>
              </w:rPr>
              <w:t>烧或变形，更强烈的热辐射可能烧毁设备甚至造成人员伤亡等，热辐射的</w:t>
            </w:r>
            <w:r>
              <w:rPr>
                <w:rFonts w:ascii="宋体" w:hAnsi="宋体" w:eastAsia="宋体" w:cs="宋体"/>
                <w:spacing w:val="6"/>
                <w:sz w:val="20"/>
                <w:szCs w:val="20"/>
              </w:rPr>
              <w:t>不</w:t>
            </w:r>
            <w:r>
              <w:rPr>
                <w:rFonts w:ascii="宋体" w:hAnsi="宋体" w:eastAsia="宋体" w:cs="宋体"/>
                <w:sz w:val="20"/>
                <w:szCs w:val="20"/>
              </w:rPr>
              <w:t xml:space="preserve"> </w:t>
            </w:r>
            <w:r>
              <w:rPr>
                <w:rFonts w:ascii="宋体" w:hAnsi="宋体" w:eastAsia="宋体" w:cs="宋体"/>
                <w:spacing w:val="12"/>
                <w:sz w:val="20"/>
                <w:szCs w:val="20"/>
              </w:rPr>
              <w:t>同入射通量所造的损失如下表所示。火灾除以直接产生的热量破坏形式外</w:t>
            </w:r>
            <w:r>
              <w:rPr>
                <w:rFonts w:ascii="宋体" w:hAnsi="宋体" w:eastAsia="宋体" w:cs="宋体"/>
                <w:spacing w:val="6"/>
                <w:sz w:val="20"/>
                <w:szCs w:val="20"/>
              </w:rPr>
              <w:t>还</w:t>
            </w:r>
            <w:r>
              <w:rPr>
                <w:rFonts w:ascii="宋体" w:hAnsi="宋体" w:eastAsia="宋体" w:cs="宋体"/>
                <w:sz w:val="20"/>
                <w:szCs w:val="20"/>
              </w:rPr>
              <w:t xml:space="preserve"> </w:t>
            </w:r>
            <w:r>
              <w:rPr>
                <w:rFonts w:ascii="宋体" w:hAnsi="宋体" w:eastAsia="宋体" w:cs="宋体"/>
                <w:spacing w:val="10"/>
                <w:sz w:val="20"/>
                <w:szCs w:val="20"/>
              </w:rPr>
              <w:t>会产生</w:t>
            </w:r>
            <w:r>
              <w:rPr>
                <w:rFonts w:ascii="宋体" w:hAnsi="宋体" w:eastAsia="宋体" w:cs="宋体"/>
                <w:spacing w:val="9"/>
                <w:sz w:val="20"/>
                <w:szCs w:val="20"/>
              </w:rPr>
              <w:t>次</w:t>
            </w:r>
            <w:r>
              <w:rPr>
                <w:rFonts w:ascii="宋体" w:hAnsi="宋体" w:eastAsia="宋体" w:cs="宋体"/>
                <w:spacing w:val="5"/>
                <w:sz w:val="20"/>
                <w:szCs w:val="20"/>
              </w:rPr>
              <w:t xml:space="preserve">生危害，产生有害气体 </w:t>
            </w:r>
            <w:r>
              <w:rPr>
                <w:rFonts w:ascii="Times New Roman" w:hAnsi="Times New Roman" w:eastAsia="Times New Roman" w:cs="Times New Roman"/>
                <w:sz w:val="20"/>
                <w:szCs w:val="20"/>
              </w:rPr>
              <w:t>CO</w:t>
            </w:r>
            <w:r>
              <w:rPr>
                <w:rFonts w:ascii="Times New Roman" w:hAnsi="Times New Roman" w:eastAsia="Times New Roman" w:cs="Times New Roman"/>
                <w:spacing w:val="5"/>
                <w:sz w:val="20"/>
                <w:szCs w:val="20"/>
              </w:rPr>
              <w:t xml:space="preserve"> </w:t>
            </w:r>
            <w:r>
              <w:rPr>
                <w:rFonts w:ascii="宋体" w:hAnsi="宋体" w:eastAsia="宋体" w:cs="宋体"/>
                <w:spacing w:val="5"/>
                <w:sz w:val="20"/>
                <w:szCs w:val="20"/>
              </w:rPr>
              <w:t>、烟尘等，产生燃烧熔滴。</w:t>
            </w:r>
            <w:r>
              <w:rPr>
                <w:rFonts w:ascii="宋体" w:hAnsi="宋体" w:eastAsia="宋体" w:cs="宋体"/>
                <w:sz w:val="20"/>
                <w:szCs w:val="20"/>
              </w:rPr>
              <w:t xml:space="preserve">             </w:t>
            </w:r>
            <w:r>
              <w:rPr>
                <w:rFonts w:ascii="Times New Roman" w:hAnsi="Times New Roman" w:eastAsia="Times New Roman" w:cs="Times New Roman"/>
                <w:sz w:val="20"/>
                <w:szCs w:val="20"/>
              </w:rPr>
              <w:t>CO</w:t>
            </w:r>
            <w:r>
              <w:rPr>
                <w:rFonts w:ascii="Times New Roman" w:hAnsi="Times New Roman" w:eastAsia="Times New Roman" w:cs="Times New Roman"/>
                <w:spacing w:val="9"/>
                <w:sz w:val="20"/>
                <w:szCs w:val="20"/>
              </w:rPr>
              <w:t xml:space="preserve"> </w:t>
            </w:r>
            <w:r>
              <w:rPr>
                <w:rFonts w:ascii="宋体" w:hAnsi="宋体" w:eastAsia="宋体" w:cs="宋体"/>
                <w:spacing w:val="9"/>
                <w:sz w:val="20"/>
                <w:szCs w:val="20"/>
              </w:rPr>
              <w:t>的产生量与塑料的消耗量 (即燃烧速率) 、燃烧不完全值成正比。同时</w:t>
            </w:r>
            <w:r>
              <w:rPr>
                <w:rFonts w:ascii="宋体" w:hAnsi="宋体" w:eastAsia="宋体" w:cs="宋体"/>
                <w:spacing w:val="6"/>
                <w:sz w:val="20"/>
                <w:szCs w:val="20"/>
              </w:rPr>
              <w:t>，</w:t>
            </w:r>
            <w:r>
              <w:rPr>
                <w:rFonts w:ascii="宋体" w:hAnsi="宋体" w:eastAsia="宋体" w:cs="宋体"/>
                <w:sz w:val="20"/>
                <w:szCs w:val="20"/>
              </w:rPr>
              <w:t xml:space="preserve"> </w:t>
            </w:r>
            <w:r>
              <w:rPr>
                <w:rFonts w:ascii="宋体" w:hAnsi="宋体" w:eastAsia="宋体" w:cs="宋体"/>
                <w:spacing w:val="12"/>
                <w:sz w:val="20"/>
                <w:szCs w:val="20"/>
              </w:rPr>
              <w:t>燃烧形成的熔滴产生柏油一样的滴落物，会加速火势蔓延，对安全疏散及</w:t>
            </w:r>
            <w:r>
              <w:rPr>
                <w:rFonts w:ascii="宋体" w:hAnsi="宋体" w:eastAsia="宋体" w:cs="宋体"/>
                <w:spacing w:val="6"/>
                <w:sz w:val="20"/>
                <w:szCs w:val="20"/>
              </w:rPr>
              <w:t>灭</w:t>
            </w:r>
            <w:r>
              <w:rPr>
                <w:rFonts w:ascii="宋体" w:hAnsi="宋体" w:eastAsia="宋体" w:cs="宋体"/>
                <w:sz w:val="20"/>
                <w:szCs w:val="20"/>
              </w:rPr>
              <w:t xml:space="preserve"> </w:t>
            </w:r>
            <w:r>
              <w:rPr>
                <w:rFonts w:ascii="宋体" w:hAnsi="宋体" w:eastAsia="宋体" w:cs="宋体"/>
                <w:spacing w:val="6"/>
                <w:sz w:val="20"/>
                <w:szCs w:val="20"/>
              </w:rPr>
              <w:t>火</w:t>
            </w:r>
            <w:r>
              <w:rPr>
                <w:rFonts w:ascii="宋体" w:hAnsi="宋体" w:eastAsia="宋体" w:cs="宋体"/>
                <w:spacing w:val="3"/>
                <w:sz w:val="20"/>
                <w:szCs w:val="20"/>
              </w:rPr>
              <w:t xml:space="preserve">都有影响。经类比调查，当 </w:t>
            </w:r>
            <w:r>
              <w:rPr>
                <w:rFonts w:ascii="Times New Roman" w:hAnsi="Times New Roman" w:eastAsia="Times New Roman" w:cs="Times New Roman"/>
                <w:sz w:val="20"/>
                <w:szCs w:val="20"/>
              </w:rPr>
              <w:t>CO</w:t>
            </w:r>
            <w:r>
              <w:rPr>
                <w:rFonts w:ascii="Times New Roman" w:hAnsi="Times New Roman" w:eastAsia="Times New Roman" w:cs="Times New Roman"/>
                <w:spacing w:val="3"/>
                <w:sz w:val="20"/>
                <w:szCs w:val="20"/>
              </w:rPr>
              <w:t xml:space="preserve"> </w:t>
            </w:r>
            <w:r>
              <w:rPr>
                <w:rFonts w:ascii="宋体" w:hAnsi="宋体" w:eastAsia="宋体" w:cs="宋体"/>
                <w:spacing w:val="3"/>
                <w:sz w:val="20"/>
                <w:szCs w:val="20"/>
              </w:rPr>
              <w:t xml:space="preserve">的产生量为 </w:t>
            </w:r>
            <w:r>
              <w:rPr>
                <w:rFonts w:ascii="Times New Roman" w:hAnsi="Times New Roman" w:eastAsia="Times New Roman" w:cs="Times New Roman"/>
                <w:spacing w:val="3"/>
                <w:sz w:val="20"/>
                <w:szCs w:val="20"/>
              </w:rPr>
              <w:t>0.4456</w:t>
            </w:r>
            <w:r>
              <w:rPr>
                <w:rFonts w:ascii="Times New Roman" w:hAnsi="Times New Roman" w:eastAsia="Times New Roman" w:cs="Times New Roman"/>
                <w:sz w:val="20"/>
                <w:szCs w:val="20"/>
              </w:rPr>
              <w:t>kg</w:t>
            </w:r>
            <w:r>
              <w:rPr>
                <w:rFonts w:ascii="Times New Roman" w:hAnsi="Times New Roman" w:eastAsia="Times New Roman" w:cs="Times New Roman"/>
                <w:spacing w:val="3"/>
                <w:sz w:val="20"/>
                <w:szCs w:val="20"/>
              </w:rPr>
              <w:t>/</w:t>
            </w:r>
            <w:r>
              <w:rPr>
                <w:rFonts w:ascii="Times New Roman" w:hAnsi="Times New Roman" w:eastAsia="Times New Roman" w:cs="Times New Roman"/>
                <w:sz w:val="20"/>
                <w:szCs w:val="20"/>
              </w:rPr>
              <w:t>s</w:t>
            </w:r>
            <w:r>
              <w:rPr>
                <w:rFonts w:ascii="Times New Roman" w:hAnsi="Times New Roman" w:eastAsia="Times New Roman" w:cs="Times New Roman"/>
                <w:spacing w:val="3"/>
                <w:sz w:val="20"/>
                <w:szCs w:val="20"/>
              </w:rPr>
              <w:t xml:space="preserve"> </w:t>
            </w:r>
            <w:r>
              <w:rPr>
                <w:rFonts w:ascii="宋体" w:hAnsi="宋体" w:eastAsia="宋体" w:cs="宋体"/>
                <w:spacing w:val="3"/>
                <w:sz w:val="20"/>
                <w:szCs w:val="20"/>
              </w:rPr>
              <w:t>时，中毒距离</w:t>
            </w:r>
            <w:r>
              <w:rPr>
                <w:rFonts w:ascii="Times New Roman" w:hAnsi="Times New Roman" w:eastAsia="Times New Roman" w:cs="Times New Roman"/>
                <w:spacing w:val="3"/>
                <w:sz w:val="20"/>
                <w:szCs w:val="20"/>
              </w:rPr>
              <w:t>≤21</w:t>
            </w:r>
            <w:r>
              <w:rPr>
                <w:rFonts w:ascii="Times New Roman" w:hAnsi="Times New Roman" w:eastAsia="Times New Roman" w:cs="Times New Roman"/>
                <w:sz w:val="20"/>
                <w:szCs w:val="20"/>
              </w:rPr>
              <w:t>m</w:t>
            </w:r>
            <w:r>
              <w:rPr>
                <w:rFonts w:ascii="宋体" w:hAnsi="宋体" w:eastAsia="宋体" w:cs="宋体"/>
                <w:spacing w:val="3"/>
                <w:sz w:val="20"/>
                <w:szCs w:val="20"/>
              </w:rPr>
              <w:t>，</w:t>
            </w:r>
            <w:r>
              <w:rPr>
                <w:rFonts w:ascii="宋体" w:hAnsi="宋体" w:eastAsia="宋体" w:cs="宋体"/>
                <w:sz w:val="20"/>
                <w:szCs w:val="20"/>
              </w:rPr>
              <w:t xml:space="preserve"> </w:t>
            </w:r>
            <w:r>
              <w:rPr>
                <w:rFonts w:ascii="宋体" w:hAnsi="宋体" w:eastAsia="宋体" w:cs="宋体"/>
                <w:spacing w:val="8"/>
                <w:sz w:val="20"/>
                <w:szCs w:val="20"/>
              </w:rPr>
              <w:t>达标距离</w:t>
            </w:r>
            <w:r>
              <w:rPr>
                <w:rFonts w:ascii="Times New Roman" w:hAnsi="Times New Roman" w:eastAsia="Times New Roman" w:cs="Times New Roman"/>
                <w:spacing w:val="8"/>
                <w:sz w:val="20"/>
                <w:szCs w:val="20"/>
              </w:rPr>
              <w:t>&gt;</w:t>
            </w:r>
            <w:r>
              <w:rPr>
                <w:rFonts w:ascii="Times New Roman" w:hAnsi="Times New Roman" w:eastAsia="Times New Roman" w:cs="Times New Roman"/>
                <w:spacing w:val="7"/>
                <w:sz w:val="20"/>
                <w:szCs w:val="20"/>
              </w:rPr>
              <w:t>3</w:t>
            </w:r>
            <w:r>
              <w:rPr>
                <w:rFonts w:ascii="Times New Roman" w:hAnsi="Times New Roman" w:eastAsia="Times New Roman" w:cs="Times New Roman"/>
                <w:spacing w:val="4"/>
                <w:sz w:val="20"/>
                <w:szCs w:val="20"/>
              </w:rPr>
              <w:t>05</w:t>
            </w:r>
            <w:r>
              <w:rPr>
                <w:rFonts w:ascii="Times New Roman" w:hAnsi="Times New Roman" w:eastAsia="Times New Roman" w:cs="Times New Roman"/>
                <w:sz w:val="20"/>
                <w:szCs w:val="20"/>
              </w:rPr>
              <w:t>m</w:t>
            </w:r>
            <w:r>
              <w:rPr>
                <w:rFonts w:ascii="Times New Roman" w:hAnsi="Times New Roman" w:eastAsia="Times New Roman" w:cs="Times New Roman"/>
                <w:spacing w:val="4"/>
                <w:sz w:val="20"/>
                <w:szCs w:val="20"/>
              </w:rPr>
              <w:t xml:space="preserve"> </w:t>
            </w:r>
            <w:r>
              <w:rPr>
                <w:rFonts w:ascii="宋体" w:hAnsi="宋体" w:eastAsia="宋体" w:cs="宋体"/>
                <w:spacing w:val="4"/>
                <w:sz w:val="20"/>
                <w:szCs w:val="20"/>
              </w:rPr>
              <w:t>。其中中毒距离指当</w:t>
            </w:r>
            <w:r>
              <w:rPr>
                <w:rFonts w:ascii="Times New Roman" w:hAnsi="Times New Roman" w:eastAsia="Times New Roman" w:cs="Times New Roman"/>
                <w:sz w:val="20"/>
                <w:szCs w:val="20"/>
              </w:rPr>
              <w:t>CO</w:t>
            </w:r>
            <w:r>
              <w:rPr>
                <w:rFonts w:ascii="Times New Roman" w:hAnsi="Times New Roman" w:eastAsia="Times New Roman" w:cs="Times New Roman"/>
                <w:spacing w:val="4"/>
                <w:sz w:val="20"/>
                <w:szCs w:val="20"/>
              </w:rPr>
              <w:t xml:space="preserve"> </w:t>
            </w:r>
            <w:r>
              <w:rPr>
                <w:rFonts w:ascii="宋体" w:hAnsi="宋体" w:eastAsia="宋体" w:cs="宋体"/>
                <w:spacing w:val="4"/>
                <w:sz w:val="20"/>
                <w:szCs w:val="20"/>
              </w:rPr>
              <w:t xml:space="preserve">在空气中体积浓度达 </w:t>
            </w:r>
            <w:r>
              <w:rPr>
                <w:rFonts w:ascii="Times New Roman" w:hAnsi="Times New Roman" w:eastAsia="Times New Roman" w:cs="Times New Roman"/>
                <w:spacing w:val="4"/>
                <w:sz w:val="20"/>
                <w:szCs w:val="20"/>
              </w:rPr>
              <w:t xml:space="preserve">0.01% </w:t>
            </w:r>
            <w:r>
              <w:rPr>
                <w:rFonts w:ascii="宋体" w:hAnsi="宋体" w:eastAsia="宋体" w:cs="宋体"/>
                <w:spacing w:val="4"/>
                <w:sz w:val="20"/>
                <w:szCs w:val="20"/>
              </w:rPr>
              <w:t>，使人呼</w:t>
            </w:r>
            <w:r>
              <w:rPr>
                <w:rFonts w:ascii="宋体" w:hAnsi="宋体" w:eastAsia="宋体" w:cs="宋体"/>
                <w:sz w:val="20"/>
                <w:szCs w:val="20"/>
              </w:rPr>
              <w:t xml:space="preserve"> </w:t>
            </w:r>
            <w:r>
              <w:rPr>
                <w:rFonts w:ascii="宋体" w:hAnsi="宋体" w:eastAsia="宋体" w:cs="宋体"/>
                <w:spacing w:val="6"/>
                <w:sz w:val="20"/>
                <w:szCs w:val="20"/>
              </w:rPr>
              <w:t xml:space="preserve">吸 </w:t>
            </w:r>
            <w:r>
              <w:rPr>
                <w:rFonts w:ascii="Times New Roman" w:hAnsi="Times New Roman" w:eastAsia="Times New Roman" w:cs="Times New Roman"/>
                <w:spacing w:val="6"/>
                <w:sz w:val="20"/>
                <w:szCs w:val="20"/>
              </w:rPr>
              <w:t>1</w:t>
            </w:r>
            <w:r>
              <w:rPr>
                <w:rFonts w:ascii="Times New Roman" w:hAnsi="Times New Roman" w:eastAsia="Times New Roman" w:cs="Times New Roman"/>
                <w:sz w:val="20"/>
                <w:szCs w:val="20"/>
              </w:rPr>
              <w:t>h</w:t>
            </w:r>
            <w:r>
              <w:rPr>
                <w:rFonts w:ascii="Times New Roman" w:hAnsi="Times New Roman" w:eastAsia="Times New Roman" w:cs="Times New Roman"/>
                <w:spacing w:val="3"/>
                <w:sz w:val="20"/>
                <w:szCs w:val="20"/>
              </w:rPr>
              <w:t xml:space="preserve"> </w:t>
            </w:r>
            <w:r>
              <w:rPr>
                <w:rFonts w:ascii="宋体" w:hAnsi="宋体" w:eastAsia="宋体" w:cs="宋体"/>
                <w:spacing w:val="3"/>
                <w:sz w:val="20"/>
                <w:szCs w:val="20"/>
              </w:rPr>
              <w:t>引起头痛呕吐的影响范围；达标距离指当</w:t>
            </w:r>
            <w:r>
              <w:rPr>
                <w:rFonts w:ascii="Times New Roman" w:hAnsi="Times New Roman" w:eastAsia="Times New Roman" w:cs="Times New Roman"/>
                <w:sz w:val="20"/>
                <w:szCs w:val="20"/>
              </w:rPr>
              <w:t>CO</w:t>
            </w:r>
            <w:r>
              <w:rPr>
                <w:rFonts w:ascii="Times New Roman" w:hAnsi="Times New Roman" w:eastAsia="Times New Roman" w:cs="Times New Roman"/>
                <w:spacing w:val="3"/>
                <w:sz w:val="20"/>
                <w:szCs w:val="20"/>
              </w:rPr>
              <w:t xml:space="preserve"> </w:t>
            </w:r>
            <w:r>
              <w:rPr>
                <w:rFonts w:ascii="宋体" w:hAnsi="宋体" w:eastAsia="宋体" w:cs="宋体"/>
                <w:spacing w:val="3"/>
                <w:sz w:val="20"/>
                <w:szCs w:val="20"/>
              </w:rPr>
              <w:t>在空气中扩散浓度符合《居</w:t>
            </w:r>
            <w:r>
              <w:rPr>
                <w:rFonts w:ascii="宋体" w:hAnsi="宋体" w:eastAsia="宋体" w:cs="宋体"/>
                <w:sz w:val="20"/>
                <w:szCs w:val="20"/>
              </w:rPr>
              <w:t xml:space="preserve"> </w:t>
            </w:r>
            <w:r>
              <w:rPr>
                <w:rFonts w:ascii="宋体" w:hAnsi="宋体" w:eastAsia="宋体" w:cs="宋体"/>
                <w:spacing w:val="12"/>
                <w:sz w:val="20"/>
                <w:szCs w:val="20"/>
              </w:rPr>
              <w:t>民</w:t>
            </w:r>
            <w:r>
              <w:rPr>
                <w:rFonts w:ascii="宋体" w:hAnsi="宋体" w:eastAsia="宋体" w:cs="宋体"/>
                <w:spacing w:val="9"/>
                <w:sz w:val="20"/>
                <w:szCs w:val="20"/>
              </w:rPr>
              <w:t>区</w:t>
            </w:r>
            <w:r>
              <w:rPr>
                <w:rFonts w:ascii="宋体" w:hAnsi="宋体" w:eastAsia="宋体" w:cs="宋体"/>
                <w:spacing w:val="6"/>
                <w:sz w:val="20"/>
                <w:szCs w:val="20"/>
              </w:rPr>
              <w:t xml:space="preserve">大气中有害物质的最高允许浓度》中限值 </w:t>
            </w:r>
            <w:r>
              <w:rPr>
                <w:rFonts w:ascii="Times New Roman" w:hAnsi="Times New Roman" w:eastAsia="Times New Roman" w:cs="Times New Roman"/>
                <w:spacing w:val="6"/>
                <w:sz w:val="20"/>
                <w:szCs w:val="20"/>
              </w:rPr>
              <w:t>3.0</w:t>
            </w:r>
            <w:r>
              <w:rPr>
                <w:rFonts w:ascii="Times New Roman" w:hAnsi="Times New Roman" w:eastAsia="Times New Roman" w:cs="Times New Roman"/>
                <w:sz w:val="20"/>
                <w:szCs w:val="20"/>
              </w:rPr>
              <w:t>mg</w:t>
            </w:r>
            <w:r>
              <w:rPr>
                <w:rFonts w:ascii="Times New Roman" w:hAnsi="Times New Roman" w:eastAsia="Times New Roman" w:cs="Times New Roman"/>
                <w:spacing w:val="6"/>
                <w:sz w:val="20"/>
                <w:szCs w:val="20"/>
              </w:rPr>
              <w:t>/</w:t>
            </w:r>
            <w:r>
              <w:rPr>
                <w:rFonts w:ascii="Times New Roman" w:hAnsi="Times New Roman" w:eastAsia="Times New Roman" w:cs="Times New Roman"/>
                <w:sz w:val="20"/>
                <w:szCs w:val="20"/>
              </w:rPr>
              <w:t>m</w:t>
            </w:r>
            <w:r>
              <w:rPr>
                <w:rFonts w:ascii="Times New Roman" w:hAnsi="Times New Roman" w:eastAsia="Times New Roman" w:cs="Times New Roman"/>
                <w:spacing w:val="6"/>
                <w:sz w:val="20"/>
                <w:szCs w:val="20"/>
              </w:rPr>
              <w:t xml:space="preserve">3 </w:t>
            </w:r>
            <w:r>
              <w:rPr>
                <w:rFonts w:ascii="宋体" w:hAnsi="宋体" w:eastAsia="宋体" w:cs="宋体"/>
                <w:spacing w:val="6"/>
                <w:sz w:val="20"/>
                <w:szCs w:val="20"/>
              </w:rPr>
              <w:t>时的距离，一旦发生</w:t>
            </w:r>
            <w:r>
              <w:rPr>
                <w:rFonts w:ascii="宋体" w:hAnsi="宋体" w:eastAsia="宋体" w:cs="宋体"/>
                <w:sz w:val="20"/>
                <w:szCs w:val="20"/>
              </w:rPr>
              <w:t xml:space="preserve"> </w:t>
            </w:r>
            <w:r>
              <w:rPr>
                <w:rFonts w:ascii="宋体" w:hAnsi="宋体" w:eastAsia="宋体" w:cs="宋体"/>
                <w:spacing w:val="16"/>
                <w:sz w:val="20"/>
                <w:szCs w:val="20"/>
              </w:rPr>
              <w:t>火</w:t>
            </w:r>
            <w:r>
              <w:rPr>
                <w:rFonts w:ascii="宋体" w:hAnsi="宋体" w:eastAsia="宋体" w:cs="宋体"/>
                <w:spacing w:val="9"/>
                <w:sz w:val="20"/>
                <w:szCs w:val="20"/>
              </w:rPr>
              <w:t>灾</w:t>
            </w:r>
            <w:r>
              <w:rPr>
                <w:rFonts w:ascii="宋体" w:hAnsi="宋体" w:eastAsia="宋体" w:cs="宋体"/>
                <w:spacing w:val="8"/>
                <w:sz w:val="20"/>
                <w:szCs w:val="20"/>
              </w:rPr>
              <w:t>，对周边居民安全以及身体健康均会产生一定的影响。</w:t>
            </w:r>
          </w:p>
          <w:p w14:paraId="611CD135">
            <w:pPr>
              <w:spacing w:before="1" w:line="282" w:lineRule="auto"/>
              <w:ind w:left="27" w:hanging="1"/>
              <w:rPr>
                <w:rFonts w:ascii="宋体" w:hAnsi="宋体" w:eastAsia="宋体" w:cs="宋体"/>
                <w:sz w:val="20"/>
                <w:szCs w:val="20"/>
              </w:rPr>
            </w:pPr>
            <w:r>
              <w:rPr>
                <w:rFonts w:ascii="宋体" w:hAnsi="宋体" w:eastAsia="宋体" w:cs="宋体"/>
                <w:spacing w:val="9"/>
                <w:sz w:val="20"/>
                <w:szCs w:val="20"/>
              </w:rPr>
              <w:t>②</w:t>
            </w:r>
            <w:r>
              <w:rPr>
                <w:rFonts w:ascii="宋体" w:hAnsi="宋体" w:eastAsia="宋体" w:cs="宋体"/>
                <w:spacing w:val="7"/>
                <w:sz w:val="20"/>
                <w:szCs w:val="20"/>
              </w:rPr>
              <w:t>水环境：</w:t>
            </w:r>
            <w:r>
              <w:rPr>
                <w:rFonts w:ascii="Times New Roman" w:hAnsi="Times New Roman" w:eastAsia="Times New Roman" w:cs="Times New Roman"/>
                <w:sz w:val="20"/>
                <w:szCs w:val="20"/>
              </w:rPr>
              <w:t>a</w:t>
            </w:r>
            <w:r>
              <w:rPr>
                <w:rFonts w:ascii="Times New Roman" w:hAnsi="Times New Roman" w:eastAsia="Times New Roman" w:cs="Times New Roman"/>
                <w:spacing w:val="7"/>
                <w:sz w:val="20"/>
                <w:szCs w:val="20"/>
              </w:rPr>
              <w:t>.</w:t>
            </w:r>
            <w:r>
              <w:rPr>
                <w:rFonts w:ascii="宋体" w:hAnsi="宋体" w:eastAsia="宋体" w:cs="宋体"/>
                <w:spacing w:val="7"/>
                <w:sz w:val="20"/>
                <w:szCs w:val="20"/>
              </w:rPr>
              <w:t>生产废水：本项目可能由于一体化污水预处理设备或水泵等设备</w:t>
            </w:r>
            <w:r>
              <w:rPr>
                <w:rFonts w:ascii="宋体" w:hAnsi="宋体" w:eastAsia="宋体" w:cs="宋体"/>
                <w:sz w:val="20"/>
                <w:szCs w:val="20"/>
              </w:rPr>
              <w:t xml:space="preserve"> </w:t>
            </w:r>
            <w:r>
              <w:rPr>
                <w:rFonts w:ascii="宋体" w:hAnsi="宋体" w:eastAsia="宋体" w:cs="宋体"/>
                <w:spacing w:val="22"/>
                <w:sz w:val="20"/>
                <w:szCs w:val="20"/>
              </w:rPr>
              <w:t>故</w:t>
            </w:r>
            <w:r>
              <w:rPr>
                <w:rFonts w:ascii="宋体" w:hAnsi="宋体" w:eastAsia="宋体" w:cs="宋体"/>
                <w:spacing w:val="12"/>
                <w:sz w:val="20"/>
                <w:szCs w:val="20"/>
              </w:rPr>
              <w:t>障</w:t>
            </w:r>
            <w:r>
              <w:rPr>
                <w:rFonts w:ascii="宋体" w:hAnsi="宋体" w:eastAsia="宋体" w:cs="宋体"/>
                <w:spacing w:val="11"/>
                <w:sz w:val="20"/>
                <w:szCs w:val="20"/>
              </w:rPr>
              <w:t>，导致含有大量悬浮物的生产废水外溢，将会使废水中的污染物漫流出</w:t>
            </w:r>
            <w:r>
              <w:rPr>
                <w:rFonts w:ascii="宋体" w:hAnsi="宋体" w:eastAsia="宋体" w:cs="宋体"/>
                <w:sz w:val="20"/>
                <w:szCs w:val="20"/>
              </w:rPr>
              <w:t xml:space="preserve"> </w:t>
            </w:r>
            <w:r>
              <w:rPr>
                <w:rFonts w:ascii="宋体" w:hAnsi="宋体" w:eastAsia="宋体" w:cs="宋体"/>
                <w:spacing w:val="10"/>
                <w:sz w:val="20"/>
                <w:szCs w:val="20"/>
              </w:rPr>
              <w:t>厂区，</w:t>
            </w:r>
            <w:r>
              <w:rPr>
                <w:rFonts w:ascii="宋体" w:hAnsi="宋体" w:eastAsia="宋体" w:cs="宋体"/>
                <w:spacing w:val="6"/>
                <w:sz w:val="20"/>
                <w:szCs w:val="20"/>
              </w:rPr>
              <w:t>对</w:t>
            </w:r>
            <w:r>
              <w:rPr>
                <w:rFonts w:ascii="宋体" w:hAnsi="宋体" w:eastAsia="宋体" w:cs="宋体"/>
                <w:spacing w:val="5"/>
                <w:sz w:val="20"/>
                <w:szCs w:val="20"/>
              </w:rPr>
              <w:t xml:space="preserve">周围土壤及地表水体造成影响。该项目要求厂区内建设 </w:t>
            </w:r>
            <w:r>
              <w:rPr>
                <w:rFonts w:ascii="Times New Roman" w:hAnsi="Times New Roman" w:eastAsia="Times New Roman" w:cs="Times New Roman"/>
                <w:spacing w:val="5"/>
                <w:sz w:val="20"/>
                <w:szCs w:val="20"/>
              </w:rPr>
              <w:t xml:space="preserve">1 </w:t>
            </w:r>
            <w:r>
              <w:rPr>
                <w:rFonts w:ascii="宋体" w:hAnsi="宋体" w:eastAsia="宋体" w:cs="宋体"/>
                <w:spacing w:val="5"/>
                <w:sz w:val="20"/>
                <w:szCs w:val="20"/>
              </w:rPr>
              <w:t>座事故池。</w:t>
            </w:r>
            <w:r>
              <w:rPr>
                <w:rFonts w:ascii="宋体" w:hAnsi="宋体" w:eastAsia="宋体" w:cs="宋体"/>
                <w:sz w:val="20"/>
                <w:szCs w:val="20"/>
              </w:rPr>
              <w:t xml:space="preserve"> </w:t>
            </w:r>
            <w:r>
              <w:rPr>
                <w:rFonts w:ascii="宋体" w:hAnsi="宋体" w:eastAsia="宋体" w:cs="宋体"/>
                <w:spacing w:val="22"/>
                <w:sz w:val="20"/>
                <w:szCs w:val="20"/>
              </w:rPr>
              <w:t>若</w:t>
            </w:r>
            <w:r>
              <w:rPr>
                <w:rFonts w:ascii="宋体" w:hAnsi="宋体" w:eastAsia="宋体" w:cs="宋体"/>
                <w:spacing w:val="12"/>
                <w:sz w:val="20"/>
                <w:szCs w:val="20"/>
              </w:rPr>
              <w:t>本</w:t>
            </w:r>
            <w:r>
              <w:rPr>
                <w:rFonts w:ascii="宋体" w:hAnsi="宋体" w:eastAsia="宋体" w:cs="宋体"/>
                <w:spacing w:val="11"/>
                <w:sz w:val="20"/>
                <w:szCs w:val="20"/>
              </w:rPr>
              <w:t>项目加工车间设备出现事故，选矿废水可直接进入厂区内事故池，要求</w:t>
            </w:r>
            <w:r>
              <w:rPr>
                <w:rFonts w:ascii="宋体" w:hAnsi="宋体" w:eastAsia="宋体" w:cs="宋体"/>
                <w:sz w:val="20"/>
                <w:szCs w:val="20"/>
              </w:rPr>
              <w:t xml:space="preserve"> </w:t>
            </w:r>
            <w:r>
              <w:rPr>
                <w:rFonts w:ascii="宋体" w:hAnsi="宋体" w:eastAsia="宋体" w:cs="宋体"/>
                <w:spacing w:val="12"/>
                <w:sz w:val="20"/>
                <w:szCs w:val="20"/>
              </w:rPr>
              <w:t>事故池</w:t>
            </w:r>
            <w:r>
              <w:rPr>
                <w:rFonts w:ascii="宋体" w:hAnsi="宋体" w:eastAsia="宋体" w:cs="宋体"/>
                <w:spacing w:val="6"/>
                <w:sz w:val="20"/>
                <w:szCs w:val="20"/>
              </w:rPr>
              <w:t xml:space="preserve">可消纳 </w:t>
            </w:r>
            <w:r>
              <w:rPr>
                <w:rFonts w:ascii="Times New Roman" w:hAnsi="Times New Roman" w:eastAsia="Times New Roman" w:cs="Times New Roman"/>
                <w:spacing w:val="6"/>
                <w:sz w:val="20"/>
                <w:szCs w:val="20"/>
              </w:rPr>
              <w:t>2</w:t>
            </w:r>
            <w:r>
              <w:rPr>
                <w:rFonts w:ascii="Times New Roman" w:hAnsi="Times New Roman" w:eastAsia="Times New Roman" w:cs="Times New Roman"/>
                <w:sz w:val="20"/>
                <w:szCs w:val="20"/>
              </w:rPr>
              <w:t>h</w:t>
            </w:r>
            <w:r>
              <w:rPr>
                <w:rFonts w:ascii="Times New Roman" w:hAnsi="Times New Roman" w:eastAsia="Times New Roman" w:cs="Times New Roman"/>
                <w:spacing w:val="6"/>
                <w:sz w:val="20"/>
                <w:szCs w:val="20"/>
              </w:rPr>
              <w:t xml:space="preserve"> </w:t>
            </w:r>
            <w:r>
              <w:rPr>
                <w:rFonts w:ascii="宋体" w:hAnsi="宋体" w:eastAsia="宋体" w:cs="宋体"/>
                <w:spacing w:val="6"/>
                <w:sz w:val="20"/>
                <w:szCs w:val="20"/>
              </w:rPr>
              <w:t>的事故排水量。当生产恢复正常后，由潜污泵将池内水回用</w:t>
            </w:r>
          </w:p>
        </w:tc>
      </w:tr>
    </w:tbl>
    <w:p w14:paraId="0F22E0F9">
      <w:pPr>
        <w:rPr>
          <w:rFonts w:ascii="Arial"/>
          <w:sz w:val="21"/>
        </w:rPr>
      </w:pPr>
    </w:p>
    <w:p w14:paraId="24072141">
      <w:pPr>
        <w:sectPr>
          <w:headerReference r:id="rId309" w:type="default"/>
          <w:footerReference r:id="rId310" w:type="default"/>
          <w:pgSz w:w="11906" w:h="16839"/>
          <w:pgMar w:top="1132" w:right="1738" w:bottom="1182" w:left="1777" w:header="878" w:footer="1022" w:gutter="0"/>
          <w:cols w:space="720" w:num="1"/>
        </w:sectPr>
      </w:pPr>
    </w:p>
    <w:p w14:paraId="4D626FEF">
      <w:r>
        <w:pict>
          <v:rect id="_x0000_s1372" o:spid="_x0000_s1372" o:spt="1" style="position:absolute;left:0pt;margin-left:90pt;margin-top:57.35pt;height:0.75pt;width:415.3pt;mso-position-horizontal-relative:page;mso-position-vertical-relative:page;z-index:252067840;mso-width-relative:page;mso-height-relative:page;" fillcolor="#000000" filled="t" stroked="f" coordsize="21600,21600" o:allowincell="f">
            <v:path/>
            <v:fill on="t" focussize="0,0"/>
            <v:stroke on="f"/>
            <v:imagedata o:title=""/>
            <o:lock v:ext="edit"/>
          </v:rect>
        </w:pict>
      </w:r>
    </w:p>
    <w:p w14:paraId="2D43C725">
      <w:pPr>
        <w:spacing w:line="65" w:lineRule="exact"/>
      </w:pPr>
    </w:p>
    <w:tbl>
      <w:tblPr>
        <w:tblStyle w:val="4"/>
        <w:tblW w:w="838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13"/>
        <w:gridCol w:w="7076"/>
      </w:tblGrid>
      <w:tr w14:paraId="04EAEA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5" w:hRule="atLeast"/>
        </w:trPr>
        <w:tc>
          <w:tcPr>
            <w:tcW w:w="1313" w:type="dxa"/>
            <w:tcBorders>
              <w:left w:val="nil"/>
            </w:tcBorders>
            <w:vAlign w:val="top"/>
          </w:tcPr>
          <w:p w14:paraId="154451A2">
            <w:pPr>
              <w:rPr>
                <w:rFonts w:ascii="Arial"/>
                <w:sz w:val="21"/>
              </w:rPr>
            </w:pPr>
          </w:p>
        </w:tc>
        <w:tc>
          <w:tcPr>
            <w:tcW w:w="7076" w:type="dxa"/>
            <w:tcBorders>
              <w:right w:val="nil"/>
            </w:tcBorders>
            <w:vAlign w:val="top"/>
          </w:tcPr>
          <w:p w14:paraId="02021CD3">
            <w:pPr>
              <w:spacing w:before="56" w:line="268" w:lineRule="auto"/>
              <w:ind w:left="30" w:right="23" w:firstLine="1"/>
              <w:rPr>
                <w:rFonts w:ascii="宋体" w:hAnsi="宋体" w:eastAsia="宋体" w:cs="宋体"/>
                <w:sz w:val="20"/>
                <w:szCs w:val="20"/>
              </w:rPr>
            </w:pPr>
            <w:r>
              <w:rPr>
                <w:rFonts w:ascii="宋体" w:hAnsi="宋体" w:eastAsia="宋体" w:cs="宋体"/>
                <w:spacing w:val="24"/>
                <w:sz w:val="20"/>
                <w:szCs w:val="20"/>
              </w:rPr>
              <w:t>于</w:t>
            </w:r>
            <w:r>
              <w:rPr>
                <w:rFonts w:ascii="宋体" w:hAnsi="宋体" w:eastAsia="宋体" w:cs="宋体"/>
                <w:spacing w:val="22"/>
                <w:sz w:val="20"/>
                <w:szCs w:val="20"/>
              </w:rPr>
              <w:t>生</w:t>
            </w:r>
            <w:r>
              <w:rPr>
                <w:rFonts w:ascii="宋体" w:hAnsi="宋体" w:eastAsia="宋体" w:cs="宋体"/>
                <w:spacing w:val="12"/>
                <w:sz w:val="20"/>
                <w:szCs w:val="20"/>
              </w:rPr>
              <w:t>产，一般不会进入外环境。要求企业认真落实本评估报告书提出的各项</w:t>
            </w:r>
            <w:r>
              <w:rPr>
                <w:rFonts w:ascii="宋体" w:hAnsi="宋体" w:eastAsia="宋体" w:cs="宋体"/>
                <w:sz w:val="20"/>
                <w:szCs w:val="20"/>
              </w:rPr>
              <w:t xml:space="preserve"> </w:t>
            </w:r>
            <w:r>
              <w:rPr>
                <w:rFonts w:ascii="宋体" w:hAnsi="宋体" w:eastAsia="宋体" w:cs="宋体"/>
                <w:spacing w:val="24"/>
                <w:sz w:val="20"/>
                <w:szCs w:val="20"/>
              </w:rPr>
              <w:t>污</w:t>
            </w:r>
            <w:r>
              <w:rPr>
                <w:rFonts w:ascii="宋体" w:hAnsi="宋体" w:eastAsia="宋体" w:cs="宋体"/>
                <w:spacing w:val="23"/>
                <w:sz w:val="20"/>
                <w:szCs w:val="20"/>
              </w:rPr>
              <w:t>染</w:t>
            </w:r>
            <w:r>
              <w:rPr>
                <w:rFonts w:ascii="宋体" w:hAnsi="宋体" w:eastAsia="宋体" w:cs="宋体"/>
                <w:spacing w:val="12"/>
                <w:sz w:val="20"/>
                <w:szCs w:val="20"/>
              </w:rPr>
              <w:t>防治措施，规划管理，并做好定期管线检查及事故下的抢修工作，把风</w:t>
            </w:r>
            <w:r>
              <w:rPr>
                <w:rFonts w:ascii="宋体" w:hAnsi="宋体" w:eastAsia="宋体" w:cs="宋体"/>
                <w:sz w:val="20"/>
                <w:szCs w:val="20"/>
              </w:rPr>
              <w:t xml:space="preserve"> </w:t>
            </w:r>
            <w:r>
              <w:rPr>
                <w:rFonts w:ascii="宋体" w:hAnsi="宋体" w:eastAsia="宋体" w:cs="宋体"/>
                <w:spacing w:val="10"/>
                <w:sz w:val="20"/>
                <w:szCs w:val="20"/>
              </w:rPr>
              <w:t>险</w:t>
            </w:r>
            <w:r>
              <w:rPr>
                <w:rFonts w:ascii="宋体" w:hAnsi="宋体" w:eastAsia="宋体" w:cs="宋体"/>
                <w:spacing w:val="7"/>
                <w:sz w:val="20"/>
                <w:szCs w:val="20"/>
              </w:rPr>
              <w:t>影响降至最低。</w:t>
            </w:r>
          </w:p>
          <w:p w14:paraId="1B9A2E05">
            <w:pPr>
              <w:tabs>
                <w:tab w:val="left" w:pos="136"/>
              </w:tabs>
              <w:spacing w:before="25" w:line="284" w:lineRule="auto"/>
              <w:ind w:left="24" w:hanging="4"/>
              <w:rPr>
                <w:rFonts w:ascii="宋体" w:hAnsi="宋体" w:eastAsia="宋体" w:cs="宋体"/>
                <w:sz w:val="20"/>
                <w:szCs w:val="20"/>
              </w:rPr>
            </w:pPr>
            <w:r>
              <w:rPr>
                <w:rFonts w:ascii="Times New Roman" w:hAnsi="Times New Roman" w:eastAsia="Times New Roman" w:cs="Times New Roman"/>
                <w:sz w:val="20"/>
                <w:szCs w:val="20"/>
              </w:rPr>
              <w:t>b</w:t>
            </w:r>
            <w:r>
              <w:rPr>
                <w:rFonts w:ascii="Times New Roman" w:hAnsi="Times New Roman" w:eastAsia="Times New Roman" w:cs="Times New Roman"/>
                <w:spacing w:val="3"/>
                <w:sz w:val="20"/>
                <w:szCs w:val="20"/>
              </w:rPr>
              <w:t>.</w:t>
            </w:r>
            <w:r>
              <w:rPr>
                <w:rFonts w:ascii="宋体" w:hAnsi="宋体" w:eastAsia="宋体" w:cs="宋体"/>
                <w:spacing w:val="3"/>
                <w:sz w:val="20"/>
                <w:szCs w:val="20"/>
              </w:rPr>
              <w:t>消防废水：当原料库、成品库塑料发生着火时，灭火将产生大量的消防废水</w:t>
            </w:r>
            <w:r>
              <w:rPr>
                <w:rFonts w:ascii="宋体" w:hAnsi="宋体" w:eastAsia="宋体" w:cs="宋体"/>
                <w:spacing w:val="1"/>
                <w:sz w:val="20"/>
                <w:szCs w:val="20"/>
              </w:rPr>
              <w:t>。</w:t>
            </w:r>
            <w:r>
              <w:rPr>
                <w:rFonts w:ascii="宋体" w:hAnsi="宋体" w:eastAsia="宋体" w:cs="宋体"/>
                <w:sz w:val="20"/>
                <w:szCs w:val="20"/>
              </w:rPr>
              <w:t xml:space="preserve"> </w:t>
            </w:r>
            <w:r>
              <w:rPr>
                <w:rFonts w:ascii="宋体" w:hAnsi="宋体" w:eastAsia="宋体" w:cs="宋体"/>
                <w:spacing w:val="14"/>
                <w:sz w:val="20"/>
                <w:szCs w:val="20"/>
              </w:rPr>
              <w:t>在</w:t>
            </w:r>
            <w:r>
              <w:rPr>
                <w:rFonts w:ascii="宋体" w:hAnsi="宋体" w:eastAsia="宋体" w:cs="宋体"/>
                <w:spacing w:val="11"/>
                <w:sz w:val="20"/>
                <w:szCs w:val="20"/>
              </w:rPr>
              <w:t>风险发生时，须及时撤离周边居民。消防废水参考《建筑设计防火规范》</w:t>
            </w:r>
            <w:r>
              <w:rPr>
                <w:rFonts w:ascii="宋体" w:hAnsi="宋体" w:eastAsia="宋体" w:cs="宋体"/>
                <w:sz w:val="20"/>
                <w:szCs w:val="20"/>
              </w:rPr>
              <w:t xml:space="preserve"> </w:t>
            </w:r>
            <w:r>
              <w:rPr>
                <w:rFonts w:ascii="宋体" w:hAnsi="宋体" w:eastAsia="宋体" w:cs="宋体"/>
                <w:sz w:val="20"/>
                <w:szCs w:val="20"/>
              </w:rPr>
              <w:tab/>
            </w:r>
            <w:r>
              <w:rPr>
                <w:rFonts w:ascii="宋体" w:hAnsi="宋体" w:eastAsia="宋体" w:cs="宋体"/>
                <w:spacing w:val="18"/>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15"/>
                <w:sz w:val="20"/>
                <w:szCs w:val="20"/>
              </w:rPr>
              <w:t>50016-2006</w:t>
            </w:r>
            <w:r>
              <w:rPr>
                <w:rFonts w:ascii="宋体" w:hAnsi="宋体" w:eastAsia="宋体" w:cs="宋体"/>
                <w:spacing w:val="15"/>
                <w:sz w:val="20"/>
                <w:szCs w:val="20"/>
              </w:rPr>
              <w:t xml:space="preserve">) 木柴等可燃材料存储量在 </w:t>
            </w:r>
            <w:r>
              <w:rPr>
                <w:rFonts w:ascii="Times New Roman" w:hAnsi="Times New Roman" w:eastAsia="Times New Roman" w:cs="Times New Roman"/>
                <w:spacing w:val="15"/>
                <w:sz w:val="20"/>
                <w:szCs w:val="20"/>
              </w:rPr>
              <w:t>50</w:t>
            </w:r>
            <w:r>
              <w:rPr>
                <w:rFonts w:ascii="宋体" w:hAnsi="宋体" w:eastAsia="宋体" w:cs="宋体"/>
                <w:spacing w:val="15"/>
                <w:sz w:val="20"/>
                <w:szCs w:val="20"/>
              </w:rPr>
              <w:t>~</w:t>
            </w:r>
            <w:r>
              <w:rPr>
                <w:rFonts w:ascii="Times New Roman" w:hAnsi="Times New Roman" w:eastAsia="Times New Roman" w:cs="Times New Roman"/>
                <w:spacing w:val="15"/>
                <w:sz w:val="20"/>
                <w:szCs w:val="20"/>
              </w:rPr>
              <w:t>5000</w:t>
            </w:r>
            <w:r>
              <w:rPr>
                <w:rFonts w:ascii="Times New Roman" w:hAnsi="Times New Roman" w:eastAsia="Times New Roman" w:cs="Times New Roman"/>
                <w:sz w:val="20"/>
                <w:szCs w:val="20"/>
              </w:rPr>
              <w:t>m</w:t>
            </w:r>
            <w:r>
              <w:rPr>
                <w:rFonts w:ascii="Times New Roman" w:hAnsi="Times New Roman" w:eastAsia="Times New Roman" w:cs="Times New Roman"/>
                <w:spacing w:val="15"/>
                <w:sz w:val="20"/>
                <w:szCs w:val="20"/>
              </w:rPr>
              <w:t xml:space="preserve">3 </w:t>
            </w:r>
            <w:r>
              <w:rPr>
                <w:rFonts w:ascii="宋体" w:hAnsi="宋体" w:eastAsia="宋体" w:cs="宋体"/>
                <w:spacing w:val="15"/>
                <w:sz w:val="20"/>
                <w:szCs w:val="20"/>
              </w:rPr>
              <w:t>时消防用水量为</w:t>
            </w:r>
            <w:r>
              <w:rPr>
                <w:rFonts w:ascii="宋体" w:hAnsi="宋体" w:eastAsia="宋体" w:cs="宋体"/>
                <w:sz w:val="20"/>
                <w:szCs w:val="20"/>
              </w:rPr>
              <w:t xml:space="preserve"> </w:t>
            </w:r>
            <w:r>
              <w:rPr>
                <w:rFonts w:ascii="Times New Roman" w:hAnsi="Times New Roman" w:eastAsia="Times New Roman" w:cs="Times New Roman"/>
                <w:spacing w:val="8"/>
                <w:sz w:val="20"/>
                <w:szCs w:val="20"/>
              </w:rPr>
              <w:t>20</w:t>
            </w:r>
            <w:r>
              <w:rPr>
                <w:rFonts w:ascii="Times New Roman" w:hAnsi="Times New Roman" w:eastAsia="Times New Roman" w:cs="Times New Roman"/>
                <w:sz w:val="20"/>
                <w:szCs w:val="20"/>
              </w:rPr>
              <w:t>L</w:t>
            </w:r>
            <w:r>
              <w:rPr>
                <w:rFonts w:ascii="Times New Roman" w:hAnsi="Times New Roman" w:eastAsia="Times New Roman" w:cs="Times New Roman"/>
                <w:spacing w:val="8"/>
                <w:sz w:val="20"/>
                <w:szCs w:val="20"/>
              </w:rPr>
              <w:t>/</w:t>
            </w:r>
            <w:r>
              <w:rPr>
                <w:rFonts w:ascii="Times New Roman" w:hAnsi="Times New Roman" w:eastAsia="Times New Roman" w:cs="Times New Roman"/>
                <w:sz w:val="20"/>
                <w:szCs w:val="20"/>
              </w:rPr>
              <w:t>s</w:t>
            </w:r>
            <w:r>
              <w:rPr>
                <w:rFonts w:ascii="Times New Roman" w:hAnsi="Times New Roman" w:eastAsia="Times New Roman" w:cs="Times New Roman"/>
                <w:spacing w:val="8"/>
                <w:sz w:val="20"/>
                <w:szCs w:val="20"/>
              </w:rPr>
              <w:t xml:space="preserve"> </w:t>
            </w:r>
            <w:r>
              <w:rPr>
                <w:rFonts w:ascii="宋体" w:hAnsi="宋体" w:eastAsia="宋体" w:cs="宋体"/>
                <w:spacing w:val="8"/>
                <w:sz w:val="20"/>
                <w:szCs w:val="20"/>
              </w:rPr>
              <w:t>计，</w:t>
            </w:r>
            <w:r>
              <w:rPr>
                <w:rFonts w:ascii="宋体" w:hAnsi="宋体" w:eastAsia="宋体" w:cs="宋体"/>
                <w:spacing w:val="5"/>
                <w:sz w:val="20"/>
                <w:szCs w:val="20"/>
              </w:rPr>
              <w:t>以</w:t>
            </w:r>
            <w:r>
              <w:rPr>
                <w:rFonts w:ascii="宋体" w:hAnsi="宋体" w:eastAsia="宋体" w:cs="宋体"/>
                <w:spacing w:val="4"/>
                <w:sz w:val="20"/>
                <w:szCs w:val="20"/>
              </w:rPr>
              <w:t xml:space="preserve">丙类上厂房火灾持续时间 </w:t>
            </w:r>
            <w:r>
              <w:rPr>
                <w:rFonts w:ascii="Times New Roman" w:hAnsi="Times New Roman" w:eastAsia="Times New Roman" w:cs="Times New Roman"/>
                <w:spacing w:val="4"/>
                <w:sz w:val="20"/>
                <w:szCs w:val="20"/>
              </w:rPr>
              <w:t>2.0</w:t>
            </w:r>
            <w:r>
              <w:rPr>
                <w:rFonts w:ascii="Times New Roman" w:hAnsi="Times New Roman" w:eastAsia="Times New Roman" w:cs="Times New Roman"/>
                <w:sz w:val="20"/>
                <w:szCs w:val="20"/>
              </w:rPr>
              <w:t>h</w:t>
            </w:r>
            <w:r>
              <w:rPr>
                <w:rFonts w:ascii="Times New Roman" w:hAnsi="Times New Roman" w:eastAsia="Times New Roman" w:cs="Times New Roman"/>
                <w:spacing w:val="4"/>
                <w:sz w:val="20"/>
                <w:szCs w:val="20"/>
              </w:rPr>
              <w:t xml:space="preserve"> </w:t>
            </w:r>
            <w:r>
              <w:rPr>
                <w:rFonts w:ascii="宋体" w:hAnsi="宋体" w:eastAsia="宋体" w:cs="宋体"/>
                <w:spacing w:val="4"/>
                <w:sz w:val="20"/>
                <w:szCs w:val="20"/>
              </w:rPr>
              <w:t>计，不利情况下发生火灾时会产生</w:t>
            </w:r>
            <w:r>
              <w:rPr>
                <w:rFonts w:ascii="宋体" w:hAnsi="宋体" w:eastAsia="宋体" w:cs="宋体"/>
                <w:sz w:val="20"/>
                <w:szCs w:val="20"/>
              </w:rPr>
              <w:t xml:space="preserve"> </w:t>
            </w:r>
            <w:r>
              <w:rPr>
                <w:rFonts w:ascii="Times New Roman" w:hAnsi="Times New Roman" w:eastAsia="Times New Roman" w:cs="Times New Roman"/>
                <w:spacing w:val="8"/>
                <w:sz w:val="20"/>
                <w:szCs w:val="20"/>
              </w:rPr>
              <w:t>144</w:t>
            </w:r>
            <w:r>
              <w:rPr>
                <w:rFonts w:ascii="Times New Roman" w:hAnsi="Times New Roman" w:eastAsia="Times New Roman" w:cs="Times New Roman"/>
                <w:sz w:val="20"/>
                <w:szCs w:val="20"/>
              </w:rPr>
              <w:t>m</w:t>
            </w:r>
            <w:r>
              <w:rPr>
                <w:rFonts w:ascii="Times New Roman" w:hAnsi="Times New Roman" w:eastAsia="Times New Roman" w:cs="Times New Roman"/>
                <w:spacing w:val="8"/>
                <w:position w:val="6"/>
                <w:sz w:val="13"/>
                <w:szCs w:val="13"/>
              </w:rPr>
              <w:t xml:space="preserve">3 </w:t>
            </w:r>
            <w:r>
              <w:rPr>
                <w:rFonts w:ascii="宋体" w:hAnsi="宋体" w:eastAsia="宋体" w:cs="宋体"/>
                <w:spacing w:val="8"/>
                <w:sz w:val="20"/>
                <w:szCs w:val="20"/>
              </w:rPr>
              <w:t>的</w:t>
            </w:r>
            <w:r>
              <w:rPr>
                <w:rFonts w:ascii="宋体" w:hAnsi="宋体" w:eastAsia="宋体" w:cs="宋体"/>
                <w:spacing w:val="5"/>
                <w:sz w:val="20"/>
                <w:szCs w:val="20"/>
              </w:rPr>
              <w:t>消</w:t>
            </w:r>
            <w:r>
              <w:rPr>
                <w:rFonts w:ascii="宋体" w:hAnsi="宋体" w:eastAsia="宋体" w:cs="宋体"/>
                <w:spacing w:val="4"/>
                <w:sz w:val="20"/>
                <w:szCs w:val="20"/>
              </w:rPr>
              <w:t xml:space="preserve">防废水。消防废水成分复杂，要求单位建设 </w:t>
            </w:r>
            <w:r>
              <w:rPr>
                <w:rFonts w:ascii="Times New Roman" w:hAnsi="Times New Roman" w:eastAsia="Times New Roman" w:cs="Times New Roman"/>
                <w:spacing w:val="4"/>
                <w:sz w:val="20"/>
                <w:szCs w:val="20"/>
              </w:rPr>
              <w:t xml:space="preserve">1 </w:t>
            </w:r>
            <w:r>
              <w:rPr>
                <w:rFonts w:ascii="宋体" w:hAnsi="宋体" w:eastAsia="宋体" w:cs="宋体"/>
                <w:spacing w:val="4"/>
                <w:sz w:val="20"/>
                <w:szCs w:val="20"/>
              </w:rPr>
              <w:t>座事故池，对消防废</w:t>
            </w:r>
            <w:r>
              <w:rPr>
                <w:rFonts w:ascii="宋体" w:hAnsi="宋体" w:eastAsia="宋体" w:cs="宋体"/>
                <w:sz w:val="20"/>
                <w:szCs w:val="20"/>
              </w:rPr>
              <w:t xml:space="preserve"> </w:t>
            </w:r>
            <w:r>
              <w:rPr>
                <w:rFonts w:ascii="宋体" w:hAnsi="宋体" w:eastAsia="宋体" w:cs="宋体"/>
                <w:spacing w:val="8"/>
                <w:sz w:val="20"/>
                <w:szCs w:val="20"/>
              </w:rPr>
              <w:t>水进行有效收集，避免消防废水进入雨水管道污染附近水体。</w:t>
            </w:r>
          </w:p>
        </w:tc>
      </w:tr>
      <w:tr w14:paraId="6D985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7" w:hRule="atLeast"/>
        </w:trPr>
        <w:tc>
          <w:tcPr>
            <w:tcW w:w="1313" w:type="dxa"/>
            <w:tcBorders>
              <w:left w:val="nil"/>
            </w:tcBorders>
            <w:vAlign w:val="top"/>
          </w:tcPr>
          <w:p w14:paraId="7F520C0F">
            <w:pPr>
              <w:spacing w:line="254" w:lineRule="auto"/>
              <w:rPr>
                <w:rFonts w:ascii="Arial"/>
                <w:sz w:val="21"/>
              </w:rPr>
            </w:pPr>
          </w:p>
          <w:p w14:paraId="43F76EC0">
            <w:pPr>
              <w:spacing w:line="255" w:lineRule="auto"/>
              <w:rPr>
                <w:rFonts w:ascii="Arial"/>
                <w:sz w:val="21"/>
              </w:rPr>
            </w:pPr>
          </w:p>
          <w:p w14:paraId="78888520">
            <w:pPr>
              <w:spacing w:line="255" w:lineRule="auto"/>
              <w:rPr>
                <w:rFonts w:ascii="Arial"/>
                <w:sz w:val="21"/>
              </w:rPr>
            </w:pPr>
          </w:p>
          <w:p w14:paraId="7E5DA446">
            <w:pPr>
              <w:spacing w:before="65" w:line="301" w:lineRule="auto"/>
              <w:ind w:left="244" w:right="231"/>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风</w:t>
            </w:r>
            <w:r>
              <w:rPr>
                <w:rFonts w:ascii="宋体" w:hAnsi="宋体" w:eastAsia="宋体" w:cs="宋体"/>
                <w:spacing w:val="8"/>
                <w:sz w:val="20"/>
                <w:szCs w:val="20"/>
                <w14:textOutline w14:w="3795" w14:cap="sq" w14:cmpd="sng">
                  <w14:solidFill>
                    <w14:srgbClr w14:val="000000"/>
                  </w14:solidFill>
                  <w14:prstDash w14:val="solid"/>
                  <w14:bevel/>
                </w14:textOutline>
              </w:rPr>
              <w:t>险防范</w:t>
            </w:r>
            <w:r>
              <w:rPr>
                <w:rFonts w:ascii="宋体" w:hAnsi="宋体" w:eastAsia="宋体" w:cs="宋体"/>
                <w:sz w:val="20"/>
                <w:szCs w:val="20"/>
              </w:rPr>
              <w:t xml:space="preserve"> </w:t>
            </w:r>
            <w:r>
              <w:rPr>
                <w:rFonts w:ascii="宋体" w:hAnsi="宋体" w:eastAsia="宋体" w:cs="宋体"/>
                <w:spacing w:val="10"/>
                <w:sz w:val="20"/>
                <w:szCs w:val="20"/>
                <w14:textOutline w14:w="3795" w14:cap="sq" w14:cmpd="sng">
                  <w14:solidFill>
                    <w14:srgbClr w14:val="000000"/>
                  </w14:solidFill>
                  <w14:prstDash w14:val="solid"/>
                  <w14:bevel/>
                </w14:textOutline>
              </w:rPr>
              <w:t>措</w:t>
            </w:r>
            <w:r>
              <w:rPr>
                <w:rFonts w:ascii="宋体" w:hAnsi="宋体" w:eastAsia="宋体" w:cs="宋体"/>
                <w:spacing w:val="8"/>
                <w:sz w:val="20"/>
                <w:szCs w:val="20"/>
                <w14:textOutline w14:w="3795" w14:cap="sq" w14:cmpd="sng">
                  <w14:solidFill>
                    <w14:srgbClr w14:val="000000"/>
                  </w14:solidFill>
                  <w14:prstDash w14:val="solid"/>
                  <w14:bevel/>
                </w14:textOutline>
              </w:rPr>
              <w:t>施要求</w:t>
            </w:r>
          </w:p>
        </w:tc>
        <w:tc>
          <w:tcPr>
            <w:tcW w:w="7076" w:type="dxa"/>
            <w:tcBorders>
              <w:right w:val="nil"/>
            </w:tcBorders>
            <w:vAlign w:val="top"/>
          </w:tcPr>
          <w:p w14:paraId="410E819B">
            <w:pPr>
              <w:spacing w:before="53" w:line="258" w:lineRule="auto"/>
              <w:ind w:left="27" w:right="23"/>
              <w:rPr>
                <w:rFonts w:ascii="宋体" w:hAnsi="宋体" w:eastAsia="宋体" w:cs="宋体"/>
                <w:sz w:val="20"/>
                <w:szCs w:val="20"/>
              </w:rPr>
            </w:pPr>
            <w:r>
              <w:rPr>
                <w:rFonts w:ascii="宋体" w:hAnsi="宋体" w:eastAsia="宋体" w:cs="宋体"/>
                <w:spacing w:val="24"/>
                <w:sz w:val="20"/>
                <w:szCs w:val="20"/>
              </w:rPr>
              <w:t>①一</w:t>
            </w:r>
            <w:r>
              <w:rPr>
                <w:rFonts w:ascii="宋体" w:hAnsi="宋体" w:eastAsia="宋体" w:cs="宋体"/>
                <w:spacing w:val="14"/>
                <w:sz w:val="20"/>
                <w:szCs w:val="20"/>
              </w:rPr>
              <w:t>级</w:t>
            </w:r>
            <w:r>
              <w:rPr>
                <w:rFonts w:ascii="宋体" w:hAnsi="宋体" w:eastAsia="宋体" w:cs="宋体"/>
                <w:spacing w:val="12"/>
                <w:sz w:val="20"/>
                <w:szCs w:val="20"/>
              </w:rPr>
              <w:t>防控措施：利用沙袋进行围挡，用于收集事故污水，将污染物控制在</w:t>
            </w:r>
            <w:r>
              <w:rPr>
                <w:rFonts w:ascii="宋体" w:hAnsi="宋体" w:eastAsia="宋体" w:cs="宋体"/>
                <w:sz w:val="20"/>
                <w:szCs w:val="20"/>
              </w:rPr>
              <w:t xml:space="preserve"> </w:t>
            </w:r>
            <w:r>
              <w:rPr>
                <w:rFonts w:ascii="宋体" w:hAnsi="宋体" w:eastAsia="宋体" w:cs="宋体"/>
                <w:spacing w:val="13"/>
                <w:sz w:val="20"/>
                <w:szCs w:val="20"/>
              </w:rPr>
              <w:t>事</w:t>
            </w:r>
            <w:r>
              <w:rPr>
                <w:rFonts w:ascii="宋体" w:hAnsi="宋体" w:eastAsia="宋体" w:cs="宋体"/>
                <w:spacing w:val="7"/>
                <w:sz w:val="20"/>
                <w:szCs w:val="20"/>
              </w:rPr>
              <w:t>故发生的区域内。</w:t>
            </w:r>
          </w:p>
          <w:p w14:paraId="06C6537D">
            <w:pPr>
              <w:spacing w:before="64" w:line="268" w:lineRule="auto"/>
              <w:ind w:left="29" w:right="23" w:hanging="3"/>
              <w:rPr>
                <w:rFonts w:ascii="宋体" w:hAnsi="宋体" w:eastAsia="宋体" w:cs="宋体"/>
                <w:sz w:val="20"/>
                <w:szCs w:val="20"/>
              </w:rPr>
            </w:pPr>
            <w:r>
              <w:rPr>
                <w:rFonts w:ascii="宋体" w:hAnsi="宋体" w:eastAsia="宋体" w:cs="宋体"/>
                <w:spacing w:val="13"/>
                <w:sz w:val="20"/>
                <w:szCs w:val="20"/>
              </w:rPr>
              <w:t>②二级防控：该项目生产厂房、原料库、成品库均为封闭式库房，利用生</w:t>
            </w:r>
            <w:r>
              <w:rPr>
                <w:rFonts w:ascii="宋体" w:hAnsi="宋体" w:eastAsia="宋体" w:cs="宋体"/>
                <w:spacing w:val="7"/>
                <w:sz w:val="20"/>
                <w:szCs w:val="20"/>
              </w:rPr>
              <w:t>产</w:t>
            </w:r>
            <w:r>
              <w:rPr>
                <w:rFonts w:ascii="宋体" w:hAnsi="宋体" w:eastAsia="宋体" w:cs="宋体"/>
                <w:sz w:val="20"/>
                <w:szCs w:val="20"/>
              </w:rPr>
              <w:t xml:space="preserve"> </w:t>
            </w:r>
            <w:r>
              <w:rPr>
                <w:rFonts w:ascii="宋体" w:hAnsi="宋体" w:eastAsia="宋体" w:cs="宋体"/>
                <w:spacing w:val="24"/>
                <w:sz w:val="20"/>
                <w:szCs w:val="20"/>
              </w:rPr>
              <w:t>厂</w:t>
            </w:r>
            <w:r>
              <w:rPr>
                <w:rFonts w:ascii="宋体" w:hAnsi="宋体" w:eastAsia="宋体" w:cs="宋体"/>
                <w:spacing w:val="23"/>
                <w:sz w:val="20"/>
                <w:szCs w:val="20"/>
              </w:rPr>
              <w:t>房</w:t>
            </w:r>
            <w:r>
              <w:rPr>
                <w:rFonts w:ascii="宋体" w:hAnsi="宋体" w:eastAsia="宋体" w:cs="宋体"/>
                <w:spacing w:val="12"/>
                <w:sz w:val="20"/>
                <w:szCs w:val="20"/>
              </w:rPr>
              <w:t>、原料库、成品库围墙作为二级防控措施，并利用沙袋进行围挡，防止</w:t>
            </w:r>
            <w:r>
              <w:rPr>
                <w:rFonts w:ascii="宋体" w:hAnsi="宋体" w:eastAsia="宋体" w:cs="宋体"/>
                <w:sz w:val="20"/>
                <w:szCs w:val="20"/>
              </w:rPr>
              <w:t xml:space="preserve"> </w:t>
            </w:r>
            <w:r>
              <w:rPr>
                <w:rFonts w:ascii="宋体" w:hAnsi="宋体" w:eastAsia="宋体" w:cs="宋体"/>
                <w:spacing w:val="11"/>
                <w:sz w:val="20"/>
                <w:szCs w:val="20"/>
              </w:rPr>
              <w:t>污</w:t>
            </w:r>
            <w:r>
              <w:rPr>
                <w:rFonts w:ascii="宋体" w:hAnsi="宋体" w:eastAsia="宋体" w:cs="宋体"/>
                <w:spacing w:val="7"/>
                <w:sz w:val="20"/>
                <w:szCs w:val="20"/>
              </w:rPr>
              <w:t>水流出储存区域。</w:t>
            </w:r>
          </w:p>
          <w:p w14:paraId="09980B33">
            <w:pPr>
              <w:spacing w:before="65" w:line="258" w:lineRule="auto"/>
              <w:ind w:left="31" w:right="23" w:hanging="5"/>
              <w:rPr>
                <w:rFonts w:ascii="宋体" w:hAnsi="宋体" w:eastAsia="宋体" w:cs="宋体"/>
                <w:sz w:val="20"/>
                <w:szCs w:val="20"/>
              </w:rPr>
            </w:pPr>
            <w:r>
              <w:rPr>
                <w:rFonts w:ascii="宋体" w:hAnsi="宋体" w:eastAsia="宋体" w:cs="宋体"/>
                <w:spacing w:val="13"/>
                <w:sz w:val="20"/>
                <w:szCs w:val="20"/>
              </w:rPr>
              <w:t>③三级防控：利用厂区内设置的应急事故池作为三级防控措施，用于收集</w:t>
            </w:r>
            <w:r>
              <w:rPr>
                <w:rFonts w:ascii="宋体" w:hAnsi="宋体" w:eastAsia="宋体" w:cs="宋体"/>
                <w:spacing w:val="7"/>
                <w:sz w:val="20"/>
                <w:szCs w:val="20"/>
              </w:rPr>
              <w:t>事</w:t>
            </w:r>
            <w:r>
              <w:rPr>
                <w:rFonts w:ascii="宋体" w:hAnsi="宋体" w:eastAsia="宋体" w:cs="宋体"/>
                <w:sz w:val="20"/>
                <w:szCs w:val="20"/>
              </w:rPr>
              <w:t xml:space="preserve"> </w:t>
            </w:r>
            <w:r>
              <w:rPr>
                <w:rFonts w:ascii="宋体" w:hAnsi="宋体" w:eastAsia="宋体" w:cs="宋体"/>
                <w:spacing w:val="16"/>
                <w:sz w:val="20"/>
                <w:szCs w:val="20"/>
              </w:rPr>
              <w:t>故</w:t>
            </w:r>
            <w:r>
              <w:rPr>
                <w:rFonts w:ascii="宋体" w:hAnsi="宋体" w:eastAsia="宋体" w:cs="宋体"/>
                <w:spacing w:val="13"/>
                <w:sz w:val="20"/>
                <w:szCs w:val="20"/>
              </w:rPr>
              <w:t>污</w:t>
            </w:r>
            <w:r>
              <w:rPr>
                <w:rFonts w:ascii="宋体" w:hAnsi="宋体" w:eastAsia="宋体" w:cs="宋体"/>
                <w:spacing w:val="8"/>
                <w:sz w:val="20"/>
                <w:szCs w:val="20"/>
              </w:rPr>
              <w:t>水，防止污水流出厂界，造成污染。</w:t>
            </w:r>
          </w:p>
        </w:tc>
      </w:tr>
      <w:tr w14:paraId="5518B3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1" w:hRule="atLeast"/>
        </w:trPr>
        <w:tc>
          <w:tcPr>
            <w:tcW w:w="8389" w:type="dxa"/>
            <w:gridSpan w:val="2"/>
            <w:tcBorders>
              <w:left w:val="nil"/>
              <w:right w:val="nil"/>
            </w:tcBorders>
            <w:vAlign w:val="top"/>
          </w:tcPr>
          <w:p w14:paraId="2E02A462">
            <w:pPr>
              <w:spacing w:before="63" w:line="226" w:lineRule="auto"/>
              <w:ind w:left="32"/>
              <w:rPr>
                <w:rFonts w:ascii="宋体" w:hAnsi="宋体" w:eastAsia="宋体" w:cs="宋体"/>
                <w:sz w:val="20"/>
                <w:szCs w:val="20"/>
              </w:rPr>
            </w:pPr>
            <w:r>
              <w:rPr>
                <w:rFonts w:ascii="宋体" w:hAnsi="宋体" w:eastAsia="宋体" w:cs="宋体"/>
                <w:spacing w:val="11"/>
                <w:sz w:val="20"/>
                <w:szCs w:val="20"/>
              </w:rPr>
              <w:t>填</w:t>
            </w:r>
            <w:r>
              <w:rPr>
                <w:rFonts w:ascii="宋体" w:hAnsi="宋体" w:eastAsia="宋体" w:cs="宋体"/>
                <w:spacing w:val="8"/>
                <w:sz w:val="20"/>
                <w:szCs w:val="20"/>
              </w:rPr>
              <w:t>表说明 (列出项目相关信息及评价说明) ：</w:t>
            </w:r>
          </w:p>
          <w:p w14:paraId="5832A51C">
            <w:pPr>
              <w:spacing w:before="67" w:line="278" w:lineRule="auto"/>
              <w:ind w:left="32" w:right="21" w:firstLine="1"/>
              <w:rPr>
                <w:rFonts w:ascii="宋体" w:hAnsi="宋体" w:eastAsia="宋体" w:cs="宋体"/>
                <w:sz w:val="20"/>
                <w:szCs w:val="20"/>
              </w:rPr>
            </w:pPr>
            <w:r>
              <w:rPr>
                <w:rFonts w:ascii="宋体" w:hAnsi="宋体" w:eastAsia="宋体" w:cs="宋体"/>
                <w:spacing w:val="14"/>
                <w:sz w:val="20"/>
                <w:szCs w:val="20"/>
              </w:rPr>
              <w:t>该</w:t>
            </w:r>
            <w:r>
              <w:rPr>
                <w:rFonts w:ascii="宋体" w:hAnsi="宋体" w:eastAsia="宋体" w:cs="宋体"/>
                <w:spacing w:val="10"/>
                <w:sz w:val="20"/>
                <w:szCs w:val="20"/>
              </w:rPr>
              <w:t>项目环境风险潜势为</w:t>
            </w:r>
            <w:r>
              <w:rPr>
                <w:rFonts w:ascii="Times New Roman" w:hAnsi="Times New Roman" w:eastAsia="Times New Roman" w:cs="Times New Roman"/>
                <w:spacing w:val="10"/>
                <w:sz w:val="20"/>
                <w:szCs w:val="20"/>
              </w:rPr>
              <w:t xml:space="preserve">Ⅰ </w:t>
            </w:r>
            <w:r>
              <w:rPr>
                <w:rFonts w:ascii="宋体" w:hAnsi="宋体" w:eastAsia="宋体" w:cs="宋体"/>
                <w:spacing w:val="10"/>
                <w:sz w:val="20"/>
                <w:szCs w:val="20"/>
              </w:rPr>
              <w:t>，环境风险评价级别为简单分析，根据《建设项目环境风险评价技</w:t>
            </w:r>
            <w:r>
              <w:rPr>
                <w:rFonts w:ascii="宋体" w:hAnsi="宋体" w:eastAsia="宋体" w:cs="宋体"/>
                <w:sz w:val="20"/>
                <w:szCs w:val="20"/>
              </w:rPr>
              <w:t xml:space="preserve"> </w:t>
            </w:r>
            <w:r>
              <w:rPr>
                <w:rFonts w:ascii="宋体" w:hAnsi="宋体" w:eastAsia="宋体" w:cs="宋体"/>
                <w:spacing w:val="10"/>
                <w:sz w:val="20"/>
                <w:szCs w:val="20"/>
              </w:rPr>
              <w:t>术导则</w:t>
            </w:r>
            <w:r>
              <w:rPr>
                <w:rFonts w:ascii="宋体" w:hAnsi="宋体" w:eastAsia="宋体" w:cs="宋体"/>
                <w:spacing w:val="6"/>
                <w:sz w:val="20"/>
                <w:szCs w:val="20"/>
              </w:rPr>
              <w:t>》</w:t>
            </w:r>
            <w:r>
              <w:rPr>
                <w:rFonts w:ascii="宋体" w:hAnsi="宋体" w:eastAsia="宋体" w:cs="宋体"/>
                <w:spacing w:val="5"/>
                <w:sz w:val="20"/>
                <w:szCs w:val="20"/>
              </w:rPr>
              <w:t xml:space="preserve">  (</w:t>
            </w:r>
            <w:r>
              <w:rPr>
                <w:rFonts w:ascii="Times New Roman" w:hAnsi="Times New Roman" w:eastAsia="Times New Roman" w:cs="Times New Roman"/>
                <w:sz w:val="20"/>
                <w:szCs w:val="20"/>
              </w:rPr>
              <w:t>HJ</w:t>
            </w:r>
            <w:r>
              <w:rPr>
                <w:rFonts w:ascii="Times New Roman" w:hAnsi="Times New Roman" w:eastAsia="Times New Roman" w:cs="Times New Roman"/>
                <w:spacing w:val="5"/>
                <w:sz w:val="20"/>
                <w:szCs w:val="20"/>
              </w:rPr>
              <w:t>169-2018</w:t>
            </w:r>
            <w:r>
              <w:rPr>
                <w:rFonts w:ascii="宋体" w:hAnsi="宋体" w:eastAsia="宋体" w:cs="宋体"/>
                <w:spacing w:val="5"/>
                <w:sz w:val="20"/>
                <w:szCs w:val="20"/>
              </w:rPr>
              <w:t>) ，未明确简单分析级别评价范围，因此该项目大气环境风险评价范</w:t>
            </w:r>
            <w:r>
              <w:rPr>
                <w:rFonts w:ascii="宋体" w:hAnsi="宋体" w:eastAsia="宋体" w:cs="宋体"/>
                <w:sz w:val="20"/>
                <w:szCs w:val="20"/>
              </w:rPr>
              <w:t xml:space="preserve"> </w:t>
            </w:r>
            <w:r>
              <w:rPr>
                <w:rFonts w:ascii="宋体" w:hAnsi="宋体" w:eastAsia="宋体" w:cs="宋体"/>
                <w:spacing w:val="7"/>
                <w:sz w:val="20"/>
                <w:szCs w:val="20"/>
              </w:rPr>
              <w:t xml:space="preserve">围参照三级评价范围，即距建设项目边界 </w:t>
            </w:r>
            <w:r>
              <w:rPr>
                <w:rFonts w:ascii="Times New Roman" w:hAnsi="Times New Roman" w:eastAsia="Times New Roman" w:cs="Times New Roman"/>
                <w:spacing w:val="7"/>
                <w:sz w:val="20"/>
                <w:szCs w:val="20"/>
              </w:rPr>
              <w:t>3</w:t>
            </w:r>
            <w:r>
              <w:rPr>
                <w:rFonts w:ascii="Times New Roman" w:hAnsi="Times New Roman" w:eastAsia="Times New Roman" w:cs="Times New Roman"/>
                <w:sz w:val="20"/>
                <w:szCs w:val="20"/>
              </w:rPr>
              <w:t>km</w:t>
            </w:r>
            <w:r>
              <w:rPr>
                <w:rFonts w:ascii="Times New Roman" w:hAnsi="Times New Roman" w:eastAsia="Times New Roman" w:cs="Times New Roman"/>
                <w:spacing w:val="7"/>
                <w:sz w:val="20"/>
                <w:szCs w:val="20"/>
              </w:rPr>
              <w:t xml:space="preserve"> </w:t>
            </w:r>
            <w:r>
              <w:rPr>
                <w:rFonts w:ascii="宋体" w:hAnsi="宋体" w:eastAsia="宋体" w:cs="宋体"/>
                <w:spacing w:val="7"/>
                <w:sz w:val="20"/>
                <w:szCs w:val="20"/>
              </w:rPr>
              <w:t>的范围</w:t>
            </w:r>
            <w:r>
              <w:rPr>
                <w:rFonts w:ascii="宋体" w:hAnsi="宋体" w:eastAsia="宋体" w:cs="宋体"/>
                <w:spacing w:val="3"/>
                <w:sz w:val="20"/>
                <w:szCs w:val="20"/>
              </w:rPr>
              <w:t>。</w:t>
            </w:r>
          </w:p>
        </w:tc>
      </w:tr>
    </w:tbl>
    <w:p w14:paraId="591BF5CE">
      <w:pPr>
        <w:rPr>
          <w:rFonts w:ascii="Arial"/>
          <w:sz w:val="21"/>
        </w:rPr>
      </w:pPr>
    </w:p>
    <w:p w14:paraId="5323CCDD">
      <w:pPr>
        <w:sectPr>
          <w:headerReference r:id="rId311" w:type="default"/>
          <w:footerReference r:id="rId312" w:type="default"/>
          <w:pgSz w:w="11906" w:h="16839"/>
          <w:pgMar w:top="1132" w:right="1739" w:bottom="1182" w:left="1777" w:header="878" w:footer="1022" w:gutter="0"/>
          <w:cols w:space="720" w:num="1"/>
        </w:sectPr>
      </w:pPr>
    </w:p>
    <w:p w14:paraId="1B12AF4B">
      <w:pPr>
        <w:spacing w:line="423" w:lineRule="auto"/>
        <w:rPr>
          <w:rFonts w:ascii="Arial"/>
          <w:sz w:val="21"/>
        </w:rPr>
      </w:pPr>
      <w:r>
        <w:pict>
          <v:shape id="_x0000_s1373" o:spid="_x0000_s1373" style="position:absolute;left:0pt;margin-left:90pt;margin-top:57.35pt;height:0.75pt;width:415.3pt;mso-position-horizontal-relative:page;mso-position-vertical-relative:page;z-index:252068864;mso-width-relative:page;mso-height-relative:page;" fillcolor="#000000" filled="t" stroked="f" coordsize="8305,15" o:allowincell="f" path="m0,0l8305,0,8305,14,0,14,0,0xe">
            <v:path/>
            <v:fill on="t" focussize="0,0"/>
            <v:stroke on="f"/>
            <v:imagedata o:title=""/>
            <o:lock v:ext="edit"/>
          </v:shape>
        </w:pict>
      </w:r>
    </w:p>
    <w:p w14:paraId="4594111D">
      <w:pPr>
        <w:spacing w:before="113" w:line="225" w:lineRule="auto"/>
        <w:ind w:left="26"/>
        <w:outlineLvl w:val="0"/>
        <w:rPr>
          <w:rFonts w:ascii="宋体" w:hAnsi="宋体" w:eastAsia="宋体" w:cs="宋体"/>
          <w:sz w:val="35"/>
          <w:szCs w:val="35"/>
        </w:rPr>
      </w:pPr>
      <w:bookmarkStart w:id="36" w:name="_bookmark37"/>
      <w:bookmarkEnd w:id="36"/>
      <w:r>
        <w:rPr>
          <w:rFonts w:ascii="Times New Roman" w:hAnsi="Times New Roman" w:eastAsia="Times New Roman" w:cs="Times New Roman"/>
          <w:b/>
          <w:bCs/>
          <w:spacing w:val="13"/>
          <w:sz w:val="35"/>
          <w:szCs w:val="35"/>
        </w:rPr>
        <w:t>8</w:t>
      </w:r>
      <w:r>
        <w:rPr>
          <w:rFonts w:ascii="Times New Roman" w:hAnsi="Times New Roman" w:eastAsia="Times New Roman" w:cs="Times New Roman"/>
          <w:spacing w:val="8"/>
          <w:sz w:val="35"/>
          <w:szCs w:val="35"/>
        </w:rPr>
        <w:t xml:space="preserve">  </w:t>
      </w:r>
      <w:r>
        <w:rPr>
          <w:rFonts w:ascii="宋体" w:hAnsi="宋体" w:eastAsia="宋体" w:cs="宋体"/>
          <w:spacing w:val="8"/>
          <w:sz w:val="35"/>
          <w:szCs w:val="35"/>
          <w14:textOutline w14:w="6537" w14:cap="sq" w14:cmpd="sng">
            <w14:solidFill>
              <w14:srgbClr w14:val="000000"/>
            </w14:solidFill>
            <w14:prstDash w14:val="solid"/>
            <w14:bevel/>
          </w14:textOutline>
        </w:rPr>
        <w:t>环境影响经济损益分析</w:t>
      </w:r>
    </w:p>
    <w:p w14:paraId="797ADEF0">
      <w:pPr>
        <w:spacing w:before="244" w:line="223" w:lineRule="auto"/>
        <w:ind w:left="25"/>
        <w:outlineLvl w:val="1"/>
        <w:rPr>
          <w:rFonts w:ascii="宋体" w:hAnsi="宋体" w:eastAsia="宋体" w:cs="宋体"/>
          <w:sz w:val="31"/>
          <w:szCs w:val="31"/>
        </w:rPr>
      </w:pPr>
      <w:bookmarkStart w:id="37" w:name="_bookmark38"/>
      <w:bookmarkEnd w:id="37"/>
      <w:r>
        <w:rPr>
          <w:rFonts w:ascii="Times New Roman" w:hAnsi="Times New Roman" w:eastAsia="Times New Roman" w:cs="Times New Roman"/>
          <w:b/>
          <w:bCs/>
          <w:spacing w:val="9"/>
          <w:sz w:val="31"/>
          <w:szCs w:val="31"/>
        </w:rPr>
        <w:t>8</w:t>
      </w:r>
      <w:r>
        <w:rPr>
          <w:rFonts w:ascii="Times New Roman" w:hAnsi="Times New Roman" w:eastAsia="Times New Roman" w:cs="Times New Roman"/>
          <w:b/>
          <w:bCs/>
          <w:spacing w:val="5"/>
          <w:sz w:val="31"/>
          <w:szCs w:val="31"/>
        </w:rPr>
        <w:t>.1</w:t>
      </w:r>
      <w:r>
        <w:rPr>
          <w:rFonts w:ascii="Times New Roman" w:hAnsi="Times New Roman" w:eastAsia="Times New Roman" w:cs="Times New Roman"/>
          <w:spacing w:val="5"/>
          <w:sz w:val="31"/>
          <w:szCs w:val="31"/>
        </w:rPr>
        <w:t xml:space="preserve">  </w:t>
      </w:r>
      <w:r>
        <w:rPr>
          <w:rFonts w:ascii="宋体" w:hAnsi="宋体" w:eastAsia="宋体" w:cs="宋体"/>
          <w:spacing w:val="5"/>
          <w:sz w:val="31"/>
          <w:szCs w:val="31"/>
          <w14:textOutline w14:w="5793" w14:cap="sq" w14:cmpd="sng">
            <w14:solidFill>
              <w14:srgbClr w14:val="000000"/>
            </w14:solidFill>
            <w14:prstDash w14:val="solid"/>
            <w14:bevel/>
          </w14:textOutline>
        </w:rPr>
        <w:t>评价目的</w:t>
      </w:r>
    </w:p>
    <w:p w14:paraId="48E9FD1F">
      <w:pPr>
        <w:spacing w:line="255" w:lineRule="auto"/>
        <w:rPr>
          <w:rFonts w:ascii="Arial"/>
          <w:sz w:val="21"/>
        </w:rPr>
      </w:pPr>
    </w:p>
    <w:p w14:paraId="55DEC816">
      <w:pPr>
        <w:spacing w:before="75" w:line="387" w:lineRule="auto"/>
        <w:ind w:left="23" w:right="13" w:firstLine="482"/>
        <w:rPr>
          <w:rFonts w:ascii="宋体" w:hAnsi="宋体" w:eastAsia="宋体" w:cs="宋体"/>
          <w:sz w:val="23"/>
          <w:szCs w:val="23"/>
        </w:rPr>
      </w:pPr>
      <w:r>
        <w:rPr>
          <w:rFonts w:ascii="宋体" w:hAnsi="宋体" w:eastAsia="宋体" w:cs="宋体"/>
          <w:spacing w:val="12"/>
          <w:sz w:val="23"/>
          <w:szCs w:val="23"/>
        </w:rPr>
        <w:t>建设项目</w:t>
      </w:r>
      <w:r>
        <w:rPr>
          <w:rFonts w:ascii="宋体" w:hAnsi="宋体" w:eastAsia="宋体" w:cs="宋体"/>
          <w:spacing w:val="8"/>
          <w:sz w:val="23"/>
          <w:szCs w:val="23"/>
        </w:rPr>
        <w:t>环</w:t>
      </w:r>
      <w:r>
        <w:rPr>
          <w:rFonts w:ascii="宋体" w:hAnsi="宋体" w:eastAsia="宋体" w:cs="宋体"/>
          <w:spacing w:val="6"/>
          <w:sz w:val="23"/>
          <w:szCs w:val="23"/>
        </w:rPr>
        <w:t>境影响评价有两个基本目标：一是要揭示建设项目所引起的环境</w:t>
      </w:r>
      <w:r>
        <w:rPr>
          <w:rFonts w:ascii="宋体" w:hAnsi="宋体" w:eastAsia="宋体" w:cs="宋体"/>
          <w:sz w:val="23"/>
          <w:szCs w:val="23"/>
        </w:rPr>
        <w:t xml:space="preserve"> </w:t>
      </w:r>
      <w:r>
        <w:rPr>
          <w:rFonts w:ascii="宋体" w:hAnsi="宋体" w:eastAsia="宋体" w:cs="宋体"/>
          <w:spacing w:val="9"/>
          <w:sz w:val="23"/>
          <w:szCs w:val="23"/>
        </w:rPr>
        <w:t>影</w:t>
      </w:r>
      <w:r>
        <w:rPr>
          <w:rFonts w:ascii="宋体" w:hAnsi="宋体" w:eastAsia="宋体" w:cs="宋体"/>
          <w:spacing w:val="7"/>
          <w:sz w:val="23"/>
          <w:szCs w:val="23"/>
        </w:rPr>
        <w:t>响，协调与环境目标一致的问题；二是要科学地评价建设项目所产生的经济效</w:t>
      </w:r>
      <w:r>
        <w:rPr>
          <w:rFonts w:ascii="宋体" w:hAnsi="宋体" w:eastAsia="宋体" w:cs="宋体"/>
          <w:sz w:val="23"/>
          <w:szCs w:val="23"/>
        </w:rPr>
        <w:t xml:space="preserve"> </w:t>
      </w:r>
      <w:r>
        <w:rPr>
          <w:rFonts w:ascii="宋体" w:hAnsi="宋体" w:eastAsia="宋体" w:cs="宋体"/>
          <w:spacing w:val="9"/>
          <w:sz w:val="23"/>
          <w:szCs w:val="23"/>
        </w:rPr>
        <w:t>益</w:t>
      </w:r>
      <w:r>
        <w:rPr>
          <w:rFonts w:ascii="宋体" w:hAnsi="宋体" w:eastAsia="宋体" w:cs="宋体"/>
          <w:spacing w:val="7"/>
          <w:sz w:val="23"/>
          <w:szCs w:val="23"/>
        </w:rPr>
        <w:t>和社会效益。因此，在建设项目环境影响评价工作中，除首先应注意那些由于</w:t>
      </w:r>
      <w:r>
        <w:rPr>
          <w:rFonts w:ascii="宋体" w:hAnsi="宋体" w:eastAsia="宋体" w:cs="宋体"/>
          <w:sz w:val="23"/>
          <w:szCs w:val="23"/>
        </w:rPr>
        <w:t xml:space="preserve"> </w:t>
      </w:r>
      <w:r>
        <w:rPr>
          <w:rFonts w:ascii="宋体" w:hAnsi="宋体" w:eastAsia="宋体" w:cs="宋体"/>
          <w:spacing w:val="9"/>
          <w:sz w:val="23"/>
          <w:szCs w:val="23"/>
        </w:rPr>
        <w:t>污</w:t>
      </w:r>
      <w:r>
        <w:rPr>
          <w:rFonts w:ascii="宋体" w:hAnsi="宋体" w:eastAsia="宋体" w:cs="宋体"/>
          <w:spacing w:val="7"/>
          <w:sz w:val="23"/>
          <w:szCs w:val="23"/>
        </w:rPr>
        <w:t>染对生态环境造成的影响外，应同时开展社会经济效益分析，把提高社会经济</w:t>
      </w:r>
      <w:r>
        <w:rPr>
          <w:rFonts w:ascii="宋体" w:hAnsi="宋体" w:eastAsia="宋体" w:cs="宋体"/>
          <w:sz w:val="23"/>
          <w:szCs w:val="23"/>
        </w:rPr>
        <w:t xml:space="preserve"> </w:t>
      </w:r>
      <w:r>
        <w:rPr>
          <w:rFonts w:ascii="宋体" w:hAnsi="宋体" w:eastAsia="宋体" w:cs="宋体"/>
          <w:spacing w:val="9"/>
          <w:sz w:val="23"/>
          <w:szCs w:val="23"/>
        </w:rPr>
        <w:t>效</w:t>
      </w:r>
      <w:r>
        <w:rPr>
          <w:rFonts w:ascii="宋体" w:hAnsi="宋体" w:eastAsia="宋体" w:cs="宋体"/>
          <w:spacing w:val="7"/>
          <w:sz w:val="23"/>
          <w:szCs w:val="23"/>
        </w:rPr>
        <w:t>益作为分析研究问题的一个出发点，把环境资源作为一种经济实体对待，选择</w:t>
      </w:r>
      <w:r>
        <w:rPr>
          <w:rFonts w:ascii="宋体" w:hAnsi="宋体" w:eastAsia="宋体" w:cs="宋体"/>
          <w:sz w:val="23"/>
          <w:szCs w:val="23"/>
        </w:rPr>
        <w:t xml:space="preserve"> </w:t>
      </w:r>
      <w:r>
        <w:rPr>
          <w:rFonts w:ascii="宋体" w:hAnsi="宋体" w:eastAsia="宋体" w:cs="宋体"/>
          <w:spacing w:val="9"/>
          <w:sz w:val="23"/>
          <w:szCs w:val="23"/>
        </w:rPr>
        <w:t>合</w:t>
      </w:r>
      <w:r>
        <w:rPr>
          <w:rFonts w:ascii="宋体" w:hAnsi="宋体" w:eastAsia="宋体" w:cs="宋体"/>
          <w:spacing w:val="7"/>
          <w:sz w:val="23"/>
          <w:szCs w:val="23"/>
        </w:rPr>
        <w:t>理的开发和保护措施，一方面尽可能做到近期和远期有显著的经济效益，另一</w:t>
      </w:r>
      <w:r>
        <w:rPr>
          <w:rFonts w:ascii="宋体" w:hAnsi="宋体" w:eastAsia="宋体" w:cs="宋体"/>
          <w:sz w:val="23"/>
          <w:szCs w:val="23"/>
        </w:rPr>
        <w:t xml:space="preserve"> </w:t>
      </w:r>
      <w:r>
        <w:rPr>
          <w:rFonts w:ascii="宋体" w:hAnsi="宋体" w:eastAsia="宋体" w:cs="宋体"/>
          <w:spacing w:val="12"/>
          <w:sz w:val="23"/>
          <w:szCs w:val="23"/>
        </w:rPr>
        <w:t>方</w:t>
      </w:r>
      <w:r>
        <w:rPr>
          <w:rFonts w:ascii="宋体" w:hAnsi="宋体" w:eastAsia="宋体" w:cs="宋体"/>
          <w:spacing w:val="8"/>
          <w:sz w:val="23"/>
          <w:szCs w:val="23"/>
        </w:rPr>
        <w:t>面付出的环境代价要小。</w:t>
      </w:r>
    </w:p>
    <w:p w14:paraId="06636446">
      <w:pPr>
        <w:spacing w:before="140" w:line="389" w:lineRule="auto"/>
        <w:ind w:left="24" w:right="11" w:firstLine="484"/>
        <w:rPr>
          <w:rFonts w:ascii="宋体" w:hAnsi="宋体" w:eastAsia="宋体" w:cs="宋体"/>
          <w:sz w:val="23"/>
          <w:szCs w:val="23"/>
        </w:rPr>
      </w:pPr>
      <w:r>
        <w:rPr>
          <w:rFonts w:ascii="宋体" w:hAnsi="宋体" w:eastAsia="宋体" w:cs="宋体"/>
          <w:spacing w:val="12"/>
          <w:sz w:val="23"/>
          <w:szCs w:val="23"/>
        </w:rPr>
        <w:t>结合项目</w:t>
      </w:r>
      <w:r>
        <w:rPr>
          <w:rFonts w:ascii="宋体" w:hAnsi="宋体" w:eastAsia="宋体" w:cs="宋体"/>
          <w:spacing w:val="7"/>
          <w:sz w:val="23"/>
          <w:szCs w:val="23"/>
        </w:rPr>
        <w:t>的</w:t>
      </w:r>
      <w:r>
        <w:rPr>
          <w:rFonts w:ascii="宋体" w:hAnsi="宋体" w:eastAsia="宋体" w:cs="宋体"/>
          <w:spacing w:val="6"/>
          <w:sz w:val="23"/>
          <w:szCs w:val="23"/>
        </w:rPr>
        <w:t>实际情况，在发展经济的同时，应注意采用新工艺和新设备，体</w:t>
      </w:r>
      <w:r>
        <w:rPr>
          <w:rFonts w:ascii="宋体" w:hAnsi="宋体" w:eastAsia="宋体" w:cs="宋体"/>
          <w:sz w:val="23"/>
          <w:szCs w:val="23"/>
        </w:rPr>
        <w:t xml:space="preserve"> </w:t>
      </w:r>
      <w:r>
        <w:rPr>
          <w:rFonts w:ascii="宋体" w:hAnsi="宋体" w:eastAsia="宋体" w:cs="宋体"/>
          <w:spacing w:val="14"/>
          <w:sz w:val="23"/>
          <w:szCs w:val="23"/>
        </w:rPr>
        <w:t>现</w:t>
      </w:r>
      <w:r>
        <w:rPr>
          <w:rFonts w:ascii="Times New Roman" w:hAnsi="Times New Roman" w:eastAsia="Times New Roman" w:cs="Times New Roman"/>
          <w:spacing w:val="14"/>
          <w:sz w:val="23"/>
          <w:szCs w:val="23"/>
        </w:rPr>
        <w:t>“</w:t>
      </w:r>
      <w:r>
        <w:rPr>
          <w:rFonts w:ascii="宋体" w:hAnsi="宋体" w:eastAsia="宋体" w:cs="宋体"/>
          <w:spacing w:val="14"/>
          <w:sz w:val="23"/>
          <w:szCs w:val="23"/>
        </w:rPr>
        <w:t>以</w:t>
      </w:r>
      <w:r>
        <w:rPr>
          <w:rFonts w:ascii="宋体" w:hAnsi="宋体" w:eastAsia="宋体" w:cs="宋体"/>
          <w:spacing w:val="8"/>
          <w:sz w:val="23"/>
          <w:szCs w:val="23"/>
        </w:rPr>
        <w:t>新</w:t>
      </w:r>
      <w:r>
        <w:rPr>
          <w:rFonts w:ascii="宋体" w:hAnsi="宋体" w:eastAsia="宋体" w:cs="宋体"/>
          <w:spacing w:val="7"/>
          <w:sz w:val="23"/>
          <w:szCs w:val="23"/>
        </w:rPr>
        <w:t>带老</w:t>
      </w:r>
      <w:r>
        <w:rPr>
          <w:rFonts w:ascii="Times New Roman" w:hAnsi="Times New Roman" w:eastAsia="Times New Roman" w:cs="Times New Roman"/>
          <w:spacing w:val="7"/>
          <w:sz w:val="23"/>
          <w:szCs w:val="23"/>
        </w:rPr>
        <w:t>”</w:t>
      </w:r>
      <w:r>
        <w:rPr>
          <w:rFonts w:ascii="宋体" w:hAnsi="宋体" w:eastAsia="宋体" w:cs="宋体"/>
          <w:spacing w:val="7"/>
          <w:sz w:val="23"/>
          <w:szCs w:val="23"/>
        </w:rPr>
        <w:t>的污染治理原则，提高资源的利用率，减少浪费，结合建设单位的</w:t>
      </w:r>
      <w:r>
        <w:rPr>
          <w:rFonts w:ascii="宋体" w:hAnsi="宋体" w:eastAsia="宋体" w:cs="宋体"/>
          <w:sz w:val="23"/>
          <w:szCs w:val="23"/>
        </w:rPr>
        <w:t xml:space="preserve"> </w:t>
      </w:r>
      <w:r>
        <w:rPr>
          <w:rFonts w:ascii="宋体" w:hAnsi="宋体" w:eastAsia="宋体" w:cs="宋体"/>
          <w:spacing w:val="8"/>
          <w:sz w:val="23"/>
          <w:szCs w:val="23"/>
        </w:rPr>
        <w:t>情</w:t>
      </w:r>
      <w:r>
        <w:rPr>
          <w:rFonts w:ascii="宋体" w:hAnsi="宋体" w:eastAsia="宋体" w:cs="宋体"/>
          <w:spacing w:val="7"/>
          <w:sz w:val="23"/>
          <w:szCs w:val="23"/>
        </w:rPr>
        <w:t>况，采取切实可行的治理措施，有效地利用环境的自净能力，做到建设项目经</w:t>
      </w:r>
      <w:r>
        <w:rPr>
          <w:rFonts w:ascii="宋体" w:hAnsi="宋体" w:eastAsia="宋体" w:cs="宋体"/>
          <w:sz w:val="23"/>
          <w:szCs w:val="23"/>
        </w:rPr>
        <w:t xml:space="preserve"> </w:t>
      </w:r>
      <w:r>
        <w:rPr>
          <w:rFonts w:ascii="宋体" w:hAnsi="宋体" w:eastAsia="宋体" w:cs="宋体"/>
          <w:spacing w:val="9"/>
          <w:sz w:val="23"/>
          <w:szCs w:val="23"/>
        </w:rPr>
        <w:t>济效益、环境效益和社会效益的统一</w:t>
      </w:r>
      <w:r>
        <w:rPr>
          <w:rFonts w:ascii="宋体" w:hAnsi="宋体" w:eastAsia="宋体" w:cs="宋体"/>
          <w:spacing w:val="5"/>
          <w:sz w:val="23"/>
          <w:szCs w:val="23"/>
        </w:rPr>
        <w:t>。</w:t>
      </w:r>
    </w:p>
    <w:p w14:paraId="1687F201">
      <w:pPr>
        <w:spacing w:before="67" w:line="224" w:lineRule="auto"/>
        <w:ind w:left="25"/>
        <w:outlineLvl w:val="1"/>
        <w:rPr>
          <w:rFonts w:ascii="宋体" w:hAnsi="宋体" w:eastAsia="宋体" w:cs="宋体"/>
          <w:sz w:val="31"/>
          <w:szCs w:val="31"/>
        </w:rPr>
      </w:pPr>
      <w:bookmarkStart w:id="38" w:name="_bookmark39"/>
      <w:bookmarkEnd w:id="38"/>
      <w:r>
        <w:rPr>
          <w:rFonts w:ascii="Times New Roman" w:hAnsi="Times New Roman" w:eastAsia="Times New Roman" w:cs="Times New Roman"/>
          <w:b/>
          <w:bCs/>
          <w:spacing w:val="9"/>
          <w:sz w:val="31"/>
          <w:szCs w:val="31"/>
        </w:rPr>
        <w:t>8</w:t>
      </w:r>
      <w:r>
        <w:rPr>
          <w:rFonts w:ascii="Times New Roman" w:hAnsi="Times New Roman" w:eastAsia="Times New Roman" w:cs="Times New Roman"/>
          <w:b/>
          <w:bCs/>
          <w:spacing w:val="7"/>
          <w:sz w:val="31"/>
          <w:szCs w:val="31"/>
        </w:rPr>
        <w:t>.2</w:t>
      </w:r>
      <w:r>
        <w:rPr>
          <w:rFonts w:ascii="Times New Roman" w:hAnsi="Times New Roman" w:eastAsia="Times New Roman" w:cs="Times New Roman"/>
          <w:spacing w:val="7"/>
          <w:sz w:val="31"/>
          <w:szCs w:val="31"/>
        </w:rPr>
        <w:t xml:space="preserve">  </w:t>
      </w:r>
      <w:r>
        <w:rPr>
          <w:rFonts w:ascii="宋体" w:hAnsi="宋体" w:eastAsia="宋体" w:cs="宋体"/>
          <w:spacing w:val="7"/>
          <w:sz w:val="31"/>
          <w:szCs w:val="31"/>
          <w14:textOutline w14:w="5793" w14:cap="sq" w14:cmpd="sng">
            <w14:solidFill>
              <w14:srgbClr w14:val="000000"/>
            </w14:solidFill>
            <w14:prstDash w14:val="solid"/>
            <w14:bevel/>
          </w14:textOutline>
        </w:rPr>
        <w:t>项目社会效益情况</w:t>
      </w:r>
    </w:p>
    <w:p w14:paraId="09736B8C">
      <w:pPr>
        <w:spacing w:line="251" w:lineRule="auto"/>
        <w:rPr>
          <w:rFonts w:ascii="Arial"/>
          <w:sz w:val="21"/>
        </w:rPr>
      </w:pPr>
    </w:p>
    <w:p w14:paraId="6C336F73">
      <w:pPr>
        <w:spacing w:before="75" w:line="303" w:lineRule="exact"/>
        <w:ind w:left="522"/>
        <w:rPr>
          <w:rFonts w:ascii="宋体" w:hAnsi="宋体" w:eastAsia="宋体" w:cs="宋体"/>
          <w:sz w:val="23"/>
          <w:szCs w:val="23"/>
        </w:rPr>
      </w:pPr>
      <w:r>
        <w:rPr>
          <w:rFonts w:ascii="Times New Roman" w:hAnsi="Times New Roman" w:eastAsia="Times New Roman" w:cs="Times New Roman"/>
          <w:spacing w:val="8"/>
          <w:position w:val="1"/>
          <w:sz w:val="23"/>
          <w:szCs w:val="23"/>
        </w:rPr>
        <w:t>1</w:t>
      </w:r>
      <w:r>
        <w:rPr>
          <w:rFonts w:ascii="Times New Roman" w:hAnsi="Times New Roman" w:eastAsia="Times New Roman" w:cs="Times New Roman"/>
          <w:spacing w:val="7"/>
          <w:position w:val="1"/>
          <w:sz w:val="23"/>
          <w:szCs w:val="23"/>
        </w:rPr>
        <w:t xml:space="preserve"> </w:t>
      </w:r>
      <w:r>
        <w:rPr>
          <w:rFonts w:ascii="宋体" w:hAnsi="宋体" w:eastAsia="宋体" w:cs="宋体"/>
          <w:spacing w:val="4"/>
          <w:position w:val="1"/>
          <w:sz w:val="23"/>
          <w:szCs w:val="23"/>
        </w:rPr>
        <w:t>、对提高本地区经济发展水平的影响</w:t>
      </w:r>
    </w:p>
    <w:p w14:paraId="4420FE5B">
      <w:pPr>
        <w:spacing w:line="255" w:lineRule="auto"/>
        <w:rPr>
          <w:rFonts w:ascii="Arial"/>
          <w:sz w:val="21"/>
        </w:rPr>
      </w:pPr>
    </w:p>
    <w:p w14:paraId="21A231F8">
      <w:pPr>
        <w:spacing w:before="76" w:line="391" w:lineRule="auto"/>
        <w:ind w:left="24" w:right="13" w:firstLine="482"/>
        <w:rPr>
          <w:rFonts w:ascii="宋体" w:hAnsi="宋体" w:eastAsia="宋体" w:cs="宋体"/>
          <w:sz w:val="23"/>
          <w:szCs w:val="23"/>
        </w:rPr>
      </w:pPr>
      <w:r>
        <w:rPr>
          <w:rFonts w:ascii="宋体" w:hAnsi="宋体" w:eastAsia="宋体" w:cs="宋体"/>
          <w:spacing w:val="12"/>
          <w:sz w:val="23"/>
          <w:szCs w:val="23"/>
        </w:rPr>
        <w:t>该项目是</w:t>
      </w:r>
      <w:r>
        <w:rPr>
          <w:rFonts w:ascii="宋体" w:hAnsi="宋体" w:eastAsia="宋体" w:cs="宋体"/>
          <w:spacing w:val="7"/>
          <w:sz w:val="23"/>
          <w:szCs w:val="23"/>
        </w:rPr>
        <w:t>在</w:t>
      </w:r>
      <w:r>
        <w:rPr>
          <w:rFonts w:ascii="宋体" w:hAnsi="宋体" w:eastAsia="宋体" w:cs="宋体"/>
          <w:spacing w:val="6"/>
          <w:sz w:val="23"/>
          <w:szCs w:val="23"/>
        </w:rPr>
        <w:t>符合国家产业政策的情况下设立的，具有较高的技术含量，市场</w:t>
      </w:r>
      <w:r>
        <w:rPr>
          <w:rFonts w:ascii="宋体" w:hAnsi="宋体" w:eastAsia="宋体" w:cs="宋体"/>
          <w:sz w:val="23"/>
          <w:szCs w:val="23"/>
        </w:rPr>
        <w:t xml:space="preserve"> </w:t>
      </w:r>
      <w:r>
        <w:rPr>
          <w:rFonts w:ascii="宋体" w:hAnsi="宋体" w:eastAsia="宋体" w:cs="宋体"/>
          <w:spacing w:val="8"/>
          <w:sz w:val="23"/>
          <w:szCs w:val="23"/>
        </w:rPr>
        <w:t>前</w:t>
      </w:r>
      <w:r>
        <w:rPr>
          <w:rFonts w:ascii="宋体" w:hAnsi="宋体" w:eastAsia="宋体" w:cs="宋体"/>
          <w:spacing w:val="7"/>
          <w:sz w:val="23"/>
          <w:szCs w:val="23"/>
        </w:rPr>
        <w:t>景广阔。作为创新性产品，该项目的投产对促进本溪地方经济建设将发挥重要</w:t>
      </w:r>
      <w:r>
        <w:rPr>
          <w:rFonts w:ascii="宋体" w:hAnsi="宋体" w:eastAsia="宋体" w:cs="宋体"/>
          <w:sz w:val="23"/>
          <w:szCs w:val="23"/>
        </w:rPr>
        <w:t xml:space="preserve"> </w:t>
      </w:r>
      <w:r>
        <w:rPr>
          <w:rFonts w:ascii="宋体" w:hAnsi="宋体" w:eastAsia="宋体" w:cs="宋体"/>
          <w:spacing w:val="9"/>
          <w:sz w:val="23"/>
          <w:szCs w:val="23"/>
        </w:rPr>
        <w:t>作用，对本地区经济发展有积极地推动作用</w:t>
      </w:r>
      <w:r>
        <w:rPr>
          <w:rFonts w:ascii="宋体" w:hAnsi="宋体" w:eastAsia="宋体" w:cs="宋体"/>
          <w:spacing w:val="8"/>
          <w:sz w:val="23"/>
          <w:szCs w:val="23"/>
        </w:rPr>
        <w:t>。</w:t>
      </w:r>
    </w:p>
    <w:p w14:paraId="0A1125DB">
      <w:pPr>
        <w:spacing w:before="135" w:line="303" w:lineRule="exact"/>
        <w:ind w:left="499"/>
        <w:rPr>
          <w:rFonts w:ascii="宋体" w:hAnsi="宋体" w:eastAsia="宋体" w:cs="宋体"/>
          <w:sz w:val="23"/>
          <w:szCs w:val="23"/>
        </w:rPr>
      </w:pPr>
      <w:r>
        <w:rPr>
          <w:rFonts w:ascii="Times New Roman" w:hAnsi="Times New Roman" w:eastAsia="Times New Roman" w:cs="Times New Roman"/>
          <w:spacing w:val="2"/>
          <w:position w:val="1"/>
          <w:sz w:val="23"/>
          <w:szCs w:val="23"/>
        </w:rPr>
        <w:t xml:space="preserve">2 </w:t>
      </w:r>
      <w:r>
        <w:rPr>
          <w:rFonts w:ascii="宋体" w:hAnsi="宋体" w:eastAsia="宋体" w:cs="宋体"/>
          <w:spacing w:val="2"/>
          <w:position w:val="1"/>
          <w:sz w:val="23"/>
          <w:szCs w:val="23"/>
        </w:rPr>
        <w:t>、</w:t>
      </w:r>
      <w:r>
        <w:rPr>
          <w:rFonts w:ascii="宋体" w:hAnsi="宋体" w:eastAsia="宋体" w:cs="宋体"/>
          <w:spacing w:val="1"/>
          <w:position w:val="1"/>
          <w:sz w:val="23"/>
          <w:szCs w:val="23"/>
        </w:rPr>
        <w:t>就业效益分析</w:t>
      </w:r>
    </w:p>
    <w:p w14:paraId="21B39758">
      <w:pPr>
        <w:spacing w:line="258" w:lineRule="auto"/>
        <w:rPr>
          <w:rFonts w:ascii="Arial"/>
          <w:sz w:val="21"/>
        </w:rPr>
      </w:pPr>
    </w:p>
    <w:p w14:paraId="7029B7DA">
      <w:pPr>
        <w:spacing w:before="75" w:line="390" w:lineRule="auto"/>
        <w:ind w:left="29" w:right="13" w:firstLine="477"/>
        <w:rPr>
          <w:rFonts w:ascii="宋体" w:hAnsi="宋体" w:eastAsia="宋体" w:cs="宋体"/>
          <w:sz w:val="23"/>
          <w:szCs w:val="23"/>
        </w:rPr>
      </w:pPr>
      <w:r>
        <w:rPr>
          <w:rFonts w:ascii="宋体" w:hAnsi="宋体" w:eastAsia="宋体" w:cs="宋体"/>
          <w:spacing w:val="8"/>
          <w:sz w:val="23"/>
          <w:szCs w:val="23"/>
        </w:rPr>
        <w:t xml:space="preserve">该项目的建成将提供 </w:t>
      </w:r>
      <w:r>
        <w:rPr>
          <w:rFonts w:ascii="Times New Roman" w:hAnsi="Times New Roman" w:eastAsia="Times New Roman" w:cs="Times New Roman"/>
          <w:spacing w:val="8"/>
          <w:sz w:val="23"/>
          <w:szCs w:val="23"/>
        </w:rPr>
        <w:t xml:space="preserve">80 </w:t>
      </w:r>
      <w:r>
        <w:rPr>
          <w:rFonts w:ascii="宋体" w:hAnsi="宋体" w:eastAsia="宋体" w:cs="宋体"/>
          <w:spacing w:val="8"/>
          <w:sz w:val="23"/>
          <w:szCs w:val="23"/>
        </w:rPr>
        <w:t>个就业岗位，可以解决部分剩余劳动力就业问题。</w:t>
      </w:r>
      <w:r>
        <w:rPr>
          <w:rFonts w:ascii="宋体" w:hAnsi="宋体" w:eastAsia="宋体" w:cs="宋体"/>
          <w:sz w:val="23"/>
          <w:szCs w:val="23"/>
        </w:rPr>
        <w:t xml:space="preserve"> </w:t>
      </w:r>
      <w:r>
        <w:rPr>
          <w:rFonts w:ascii="宋体" w:hAnsi="宋体" w:eastAsia="宋体" w:cs="宋体"/>
          <w:spacing w:val="7"/>
          <w:sz w:val="23"/>
          <w:szCs w:val="23"/>
        </w:rPr>
        <w:t>同时，建成的塑料颗粒产品的生产和销售可以带动周过地区的配套产业发展，</w:t>
      </w:r>
      <w:r>
        <w:rPr>
          <w:rFonts w:ascii="宋体" w:hAnsi="宋体" w:eastAsia="宋体" w:cs="宋体"/>
          <w:spacing w:val="2"/>
          <w:sz w:val="23"/>
          <w:szCs w:val="23"/>
        </w:rPr>
        <w:t>提</w:t>
      </w:r>
      <w:r>
        <w:rPr>
          <w:rFonts w:ascii="宋体" w:hAnsi="宋体" w:eastAsia="宋体" w:cs="宋体"/>
          <w:sz w:val="23"/>
          <w:szCs w:val="23"/>
        </w:rPr>
        <w:t xml:space="preserve"> </w:t>
      </w:r>
      <w:r>
        <w:rPr>
          <w:rFonts w:ascii="宋体" w:hAnsi="宋体" w:eastAsia="宋体" w:cs="宋体"/>
          <w:spacing w:val="8"/>
          <w:sz w:val="23"/>
          <w:szCs w:val="23"/>
        </w:rPr>
        <w:t>高</w:t>
      </w:r>
      <w:r>
        <w:rPr>
          <w:rFonts w:ascii="宋体" w:hAnsi="宋体" w:eastAsia="宋体" w:cs="宋体"/>
          <w:spacing w:val="7"/>
          <w:sz w:val="23"/>
          <w:szCs w:val="23"/>
        </w:rPr>
        <w:t>当地的经济效益。</w:t>
      </w:r>
    </w:p>
    <w:p w14:paraId="7AC34160">
      <w:pPr>
        <w:spacing w:before="137" w:line="303" w:lineRule="exact"/>
        <w:ind w:left="503"/>
        <w:rPr>
          <w:rFonts w:ascii="宋体" w:hAnsi="宋体" w:eastAsia="宋体" w:cs="宋体"/>
          <w:sz w:val="23"/>
          <w:szCs w:val="23"/>
        </w:rPr>
      </w:pPr>
      <w:r>
        <w:rPr>
          <w:rFonts w:ascii="Times New Roman" w:hAnsi="Times New Roman" w:eastAsia="Times New Roman" w:cs="Times New Roman"/>
          <w:spacing w:val="1"/>
          <w:position w:val="1"/>
          <w:sz w:val="23"/>
          <w:szCs w:val="23"/>
        </w:rPr>
        <w:t xml:space="preserve">3 </w:t>
      </w:r>
      <w:r>
        <w:rPr>
          <w:rFonts w:ascii="宋体" w:hAnsi="宋体" w:eastAsia="宋体" w:cs="宋体"/>
          <w:spacing w:val="1"/>
          <w:position w:val="1"/>
          <w:sz w:val="23"/>
          <w:szCs w:val="23"/>
        </w:rPr>
        <w:t>、税收效益</w:t>
      </w:r>
      <w:r>
        <w:rPr>
          <w:rFonts w:ascii="宋体" w:hAnsi="宋体" w:eastAsia="宋体" w:cs="宋体"/>
          <w:position w:val="1"/>
          <w:sz w:val="23"/>
          <w:szCs w:val="23"/>
        </w:rPr>
        <w:t>分析</w:t>
      </w:r>
    </w:p>
    <w:p w14:paraId="354A5910">
      <w:pPr>
        <w:spacing w:line="257" w:lineRule="auto"/>
        <w:rPr>
          <w:rFonts w:ascii="Arial"/>
          <w:sz w:val="21"/>
        </w:rPr>
      </w:pPr>
    </w:p>
    <w:p w14:paraId="14ABCB0D">
      <w:pPr>
        <w:spacing w:before="75" w:line="227" w:lineRule="auto"/>
        <w:ind w:left="507"/>
        <w:rPr>
          <w:rFonts w:ascii="宋体" w:hAnsi="宋体" w:eastAsia="宋体" w:cs="宋体"/>
          <w:sz w:val="23"/>
          <w:szCs w:val="23"/>
        </w:rPr>
      </w:pPr>
      <w:r>
        <w:rPr>
          <w:rFonts w:ascii="宋体" w:hAnsi="宋体" w:eastAsia="宋体" w:cs="宋体"/>
          <w:spacing w:val="17"/>
          <w:sz w:val="23"/>
          <w:szCs w:val="23"/>
        </w:rPr>
        <w:t>该</w:t>
      </w:r>
      <w:r>
        <w:rPr>
          <w:rFonts w:ascii="宋体" w:hAnsi="宋体" w:eastAsia="宋体" w:cs="宋体"/>
          <w:spacing w:val="9"/>
          <w:sz w:val="23"/>
          <w:szCs w:val="23"/>
        </w:rPr>
        <w:t>项目的建设对增加地方财政收入、加快当地的建设发展具有正面影响。</w:t>
      </w:r>
    </w:p>
    <w:p w14:paraId="6E76FB87">
      <w:pPr>
        <w:sectPr>
          <w:headerReference r:id="rId313" w:type="default"/>
          <w:footerReference r:id="rId314" w:type="default"/>
          <w:pgSz w:w="11906" w:h="16839"/>
          <w:pgMar w:top="1132" w:right="1785" w:bottom="1182" w:left="1785" w:header="878" w:footer="1022" w:gutter="0"/>
          <w:cols w:space="720" w:num="1"/>
        </w:sectPr>
      </w:pPr>
    </w:p>
    <w:p w14:paraId="79E3609B">
      <w:pPr>
        <w:spacing w:line="316" w:lineRule="auto"/>
        <w:rPr>
          <w:rFonts w:ascii="Arial"/>
          <w:sz w:val="21"/>
        </w:rPr>
      </w:pPr>
      <w:r>
        <w:pict>
          <v:shape id="_x0000_s1374" o:spid="_x0000_s1374" style="position:absolute;left:0pt;margin-left:90pt;margin-top:57.35pt;height:0.75pt;width:415.3pt;mso-position-horizontal-relative:page;mso-position-vertical-relative:page;z-index:252069888;mso-width-relative:page;mso-height-relative:page;" fillcolor="#000000" filled="t" stroked="f" coordsize="8305,15" o:allowincell="f" path="m0,0l8305,0,8305,14,0,14,0,0xe">
            <v:path/>
            <v:fill on="t" focussize="0,0"/>
            <v:stroke on="f"/>
            <v:imagedata o:title=""/>
            <o:lock v:ext="edit"/>
          </v:shape>
        </w:pict>
      </w:r>
    </w:p>
    <w:p w14:paraId="5993226E">
      <w:pPr>
        <w:spacing w:before="100" w:line="225" w:lineRule="auto"/>
        <w:ind w:left="53"/>
        <w:outlineLvl w:val="1"/>
        <w:rPr>
          <w:rFonts w:ascii="宋体" w:hAnsi="宋体" w:eastAsia="宋体" w:cs="宋体"/>
          <w:sz w:val="31"/>
          <w:szCs w:val="31"/>
        </w:rPr>
      </w:pPr>
      <w:bookmarkStart w:id="39" w:name="_bookmark40"/>
      <w:bookmarkEnd w:id="39"/>
      <w:r>
        <w:rPr>
          <w:rFonts w:ascii="Times New Roman" w:hAnsi="Times New Roman" w:eastAsia="Times New Roman" w:cs="Times New Roman"/>
          <w:b/>
          <w:bCs/>
          <w:spacing w:val="9"/>
          <w:sz w:val="31"/>
          <w:szCs w:val="31"/>
        </w:rPr>
        <w:t>8</w:t>
      </w:r>
      <w:r>
        <w:rPr>
          <w:rFonts w:ascii="Times New Roman" w:hAnsi="Times New Roman" w:eastAsia="Times New Roman" w:cs="Times New Roman"/>
          <w:b/>
          <w:bCs/>
          <w:spacing w:val="7"/>
          <w:sz w:val="31"/>
          <w:szCs w:val="31"/>
        </w:rPr>
        <w:t>.3</w:t>
      </w:r>
      <w:r>
        <w:rPr>
          <w:rFonts w:ascii="Times New Roman" w:hAnsi="Times New Roman" w:eastAsia="Times New Roman" w:cs="Times New Roman"/>
          <w:spacing w:val="7"/>
          <w:sz w:val="31"/>
          <w:szCs w:val="31"/>
        </w:rPr>
        <w:t xml:space="preserve">  </w:t>
      </w:r>
      <w:r>
        <w:rPr>
          <w:rFonts w:ascii="宋体" w:hAnsi="宋体" w:eastAsia="宋体" w:cs="宋体"/>
          <w:spacing w:val="7"/>
          <w:sz w:val="31"/>
          <w:szCs w:val="31"/>
          <w14:textOutline w14:w="5793" w14:cap="sq" w14:cmpd="sng">
            <w14:solidFill>
              <w14:srgbClr w14:val="000000"/>
            </w14:solidFill>
            <w14:prstDash w14:val="solid"/>
            <w14:bevel/>
          </w14:textOutline>
        </w:rPr>
        <w:t>项目经济效益情况</w:t>
      </w:r>
    </w:p>
    <w:p w14:paraId="3B8A6094">
      <w:pPr>
        <w:spacing w:line="250" w:lineRule="auto"/>
        <w:rPr>
          <w:rFonts w:ascii="Arial"/>
          <w:sz w:val="21"/>
        </w:rPr>
      </w:pPr>
    </w:p>
    <w:p w14:paraId="18FAD131">
      <w:pPr>
        <w:tabs>
          <w:tab w:val="left" w:pos="177"/>
        </w:tabs>
        <w:spacing w:before="75" w:line="390" w:lineRule="auto"/>
        <w:ind w:left="54" w:firstLine="480"/>
        <w:rPr>
          <w:rFonts w:ascii="宋体" w:hAnsi="宋体" w:eastAsia="宋体" w:cs="宋体"/>
          <w:sz w:val="23"/>
          <w:szCs w:val="23"/>
        </w:rPr>
      </w:pPr>
      <w:r>
        <w:rPr>
          <w:rFonts w:ascii="宋体" w:hAnsi="宋体" w:eastAsia="宋体" w:cs="宋体"/>
          <w:spacing w:val="12"/>
          <w:sz w:val="23"/>
          <w:szCs w:val="23"/>
        </w:rPr>
        <w:t>项目经济</w:t>
      </w:r>
      <w:r>
        <w:rPr>
          <w:rFonts w:ascii="宋体" w:hAnsi="宋体" w:eastAsia="宋体" w:cs="宋体"/>
          <w:spacing w:val="7"/>
          <w:sz w:val="23"/>
          <w:szCs w:val="23"/>
        </w:rPr>
        <w:t>评</w:t>
      </w:r>
      <w:r>
        <w:rPr>
          <w:rFonts w:ascii="宋体" w:hAnsi="宋体" w:eastAsia="宋体" w:cs="宋体"/>
          <w:spacing w:val="6"/>
          <w:sz w:val="23"/>
          <w:szCs w:val="23"/>
        </w:rPr>
        <w:t>价执行国家计委和建设部发布的《建设项目经济评价方法和参数</w:t>
      </w:r>
      <w:r>
        <w:rPr>
          <w:rFonts w:ascii="宋体" w:hAnsi="宋体" w:eastAsia="宋体" w:cs="宋体"/>
          <w:sz w:val="23"/>
          <w:szCs w:val="23"/>
        </w:rPr>
        <w:t xml:space="preserve"> </w:t>
      </w:r>
      <w:r>
        <w:rPr>
          <w:rFonts w:ascii="宋体" w:hAnsi="宋体" w:eastAsia="宋体" w:cs="宋体"/>
          <w:sz w:val="23"/>
          <w:szCs w:val="23"/>
        </w:rPr>
        <w:tab/>
      </w:r>
      <w:r>
        <w:rPr>
          <w:rFonts w:ascii="宋体" w:hAnsi="宋体" w:eastAsia="宋体" w:cs="宋体"/>
          <w:spacing w:val="10"/>
          <w:sz w:val="23"/>
          <w:szCs w:val="23"/>
        </w:rPr>
        <w:t>(</w:t>
      </w:r>
      <w:r>
        <w:rPr>
          <w:rFonts w:ascii="宋体" w:hAnsi="宋体" w:eastAsia="宋体" w:cs="宋体"/>
          <w:spacing w:val="5"/>
          <w:sz w:val="23"/>
          <w:szCs w:val="23"/>
        </w:rPr>
        <w:t>第三版)》及国家现行的有关财务规定，项目投资利润率高于行业基本利润率，</w:t>
      </w:r>
      <w:r>
        <w:rPr>
          <w:rFonts w:ascii="宋体" w:hAnsi="宋体" w:eastAsia="宋体" w:cs="宋体"/>
          <w:sz w:val="23"/>
          <w:szCs w:val="23"/>
        </w:rPr>
        <w:t xml:space="preserve"> </w:t>
      </w:r>
      <w:r>
        <w:rPr>
          <w:rFonts w:ascii="宋体" w:hAnsi="宋体" w:eastAsia="宋体" w:cs="宋体"/>
          <w:spacing w:val="11"/>
          <w:sz w:val="23"/>
          <w:szCs w:val="23"/>
        </w:rPr>
        <w:t>投</w:t>
      </w:r>
      <w:r>
        <w:rPr>
          <w:rFonts w:ascii="宋体" w:hAnsi="宋体" w:eastAsia="宋体" w:cs="宋体"/>
          <w:spacing w:val="9"/>
          <w:sz w:val="23"/>
          <w:szCs w:val="23"/>
        </w:rPr>
        <w:t>资回收期较短，财务内部收益率较高，经济效益良好。</w:t>
      </w:r>
    </w:p>
    <w:p w14:paraId="23D9B19C">
      <w:pPr>
        <w:spacing w:before="38" w:line="225" w:lineRule="auto"/>
        <w:ind w:left="53"/>
        <w:outlineLvl w:val="1"/>
        <w:rPr>
          <w:rFonts w:ascii="宋体" w:hAnsi="宋体" w:eastAsia="宋体" w:cs="宋体"/>
          <w:sz w:val="31"/>
          <w:szCs w:val="31"/>
        </w:rPr>
      </w:pPr>
      <w:bookmarkStart w:id="40" w:name="_bookmark41"/>
      <w:bookmarkEnd w:id="40"/>
      <w:r>
        <w:rPr>
          <w:rFonts w:ascii="Times New Roman" w:hAnsi="Times New Roman" w:eastAsia="Times New Roman" w:cs="Times New Roman"/>
          <w:b/>
          <w:bCs/>
          <w:spacing w:val="9"/>
          <w:sz w:val="31"/>
          <w:szCs w:val="31"/>
        </w:rPr>
        <w:t>8</w:t>
      </w:r>
      <w:r>
        <w:rPr>
          <w:rFonts w:ascii="Times New Roman" w:hAnsi="Times New Roman" w:eastAsia="Times New Roman" w:cs="Times New Roman"/>
          <w:b/>
          <w:bCs/>
          <w:spacing w:val="7"/>
          <w:sz w:val="31"/>
          <w:szCs w:val="31"/>
        </w:rPr>
        <w:t>.4</w:t>
      </w:r>
      <w:r>
        <w:rPr>
          <w:rFonts w:ascii="Times New Roman" w:hAnsi="Times New Roman" w:eastAsia="Times New Roman" w:cs="Times New Roman"/>
          <w:spacing w:val="7"/>
          <w:sz w:val="31"/>
          <w:szCs w:val="31"/>
        </w:rPr>
        <w:t xml:space="preserve">  </w:t>
      </w:r>
      <w:r>
        <w:rPr>
          <w:rFonts w:ascii="宋体" w:hAnsi="宋体" w:eastAsia="宋体" w:cs="宋体"/>
          <w:spacing w:val="7"/>
          <w:sz w:val="31"/>
          <w:szCs w:val="31"/>
          <w14:textOutline w14:w="5793" w14:cap="sq" w14:cmpd="sng">
            <w14:solidFill>
              <w14:srgbClr w14:val="000000"/>
            </w14:solidFill>
            <w14:prstDash w14:val="solid"/>
            <w14:bevel/>
          </w14:textOutline>
        </w:rPr>
        <w:t>项目环境效益分析</w:t>
      </w:r>
    </w:p>
    <w:p w14:paraId="09FAD4B5">
      <w:pPr>
        <w:spacing w:before="243" w:line="224" w:lineRule="auto"/>
        <w:ind w:left="52"/>
        <w:outlineLvl w:val="2"/>
        <w:rPr>
          <w:rFonts w:ascii="宋体" w:hAnsi="宋体" w:eastAsia="宋体" w:cs="宋体"/>
          <w:sz w:val="29"/>
          <w:szCs w:val="29"/>
        </w:rPr>
      </w:pPr>
      <w:r>
        <w:rPr>
          <w:rFonts w:ascii="Times New Roman" w:hAnsi="Times New Roman" w:eastAsia="Times New Roman" w:cs="Times New Roman"/>
          <w:b/>
          <w:bCs/>
          <w:spacing w:val="8"/>
          <w:sz w:val="29"/>
          <w:szCs w:val="29"/>
        </w:rPr>
        <w:t>8.4.1</w:t>
      </w:r>
      <w:r>
        <w:rPr>
          <w:rFonts w:ascii="Times New Roman" w:hAnsi="Times New Roman" w:eastAsia="Times New Roman" w:cs="Times New Roman"/>
          <w:spacing w:val="8"/>
          <w:sz w:val="29"/>
          <w:szCs w:val="29"/>
        </w:rPr>
        <w:t xml:space="preserve"> </w:t>
      </w:r>
      <w:r>
        <w:rPr>
          <w:rFonts w:ascii="宋体" w:hAnsi="宋体" w:eastAsia="宋体" w:cs="宋体"/>
          <w:spacing w:val="8"/>
          <w:sz w:val="29"/>
          <w:szCs w:val="29"/>
          <w14:textOutline w14:w="5448" w14:cap="sq" w14:cmpd="sng">
            <w14:solidFill>
              <w14:srgbClr w14:val="000000"/>
            </w14:solidFill>
            <w14:prstDash w14:val="solid"/>
            <w14:bevel/>
          </w14:textOutline>
        </w:rPr>
        <w:t>污染防治设施的投资估</w:t>
      </w:r>
      <w:r>
        <w:rPr>
          <w:rFonts w:ascii="宋体" w:hAnsi="宋体" w:eastAsia="宋体" w:cs="宋体"/>
          <w:spacing w:val="5"/>
          <w:sz w:val="29"/>
          <w:szCs w:val="29"/>
          <w14:textOutline w14:w="5448" w14:cap="sq" w14:cmpd="sng">
            <w14:solidFill>
              <w14:srgbClr w14:val="000000"/>
            </w14:solidFill>
            <w14:prstDash w14:val="solid"/>
            <w14:bevel/>
          </w14:textOutline>
        </w:rPr>
        <w:t>算</w:t>
      </w:r>
    </w:p>
    <w:p w14:paraId="3C55043B">
      <w:pPr>
        <w:spacing w:before="261" w:line="395" w:lineRule="auto"/>
        <w:ind w:left="52" w:right="63" w:firstLine="482"/>
        <w:rPr>
          <w:rFonts w:ascii="宋体" w:hAnsi="宋体" w:eastAsia="宋体" w:cs="宋体"/>
          <w:sz w:val="23"/>
          <w:szCs w:val="23"/>
        </w:rPr>
      </w:pPr>
      <w:r>
        <w:rPr>
          <w:rFonts w:ascii="宋体" w:hAnsi="宋体" w:eastAsia="宋体" w:cs="宋体"/>
          <w:spacing w:val="-1"/>
          <w:sz w:val="23"/>
          <w:szCs w:val="23"/>
        </w:rPr>
        <w:t xml:space="preserve">项目总投资为 </w:t>
      </w:r>
      <w:r>
        <w:rPr>
          <w:rFonts w:ascii="Times New Roman" w:hAnsi="Times New Roman" w:eastAsia="Times New Roman" w:cs="Times New Roman"/>
          <w:spacing w:val="-1"/>
          <w:sz w:val="23"/>
          <w:szCs w:val="23"/>
        </w:rPr>
        <w:t xml:space="preserve">4300 </w:t>
      </w:r>
      <w:r>
        <w:rPr>
          <w:rFonts w:ascii="宋体" w:hAnsi="宋体" w:eastAsia="宋体" w:cs="宋体"/>
          <w:spacing w:val="-1"/>
          <w:sz w:val="23"/>
          <w:szCs w:val="23"/>
        </w:rPr>
        <w:t xml:space="preserve">万元，环保投资估算为 </w:t>
      </w:r>
      <w:r>
        <w:rPr>
          <w:rFonts w:ascii="Times New Roman" w:hAnsi="Times New Roman" w:eastAsia="Times New Roman" w:cs="Times New Roman"/>
          <w:spacing w:val="-1"/>
          <w:sz w:val="23"/>
          <w:szCs w:val="23"/>
        </w:rPr>
        <w:t>87.</w:t>
      </w:r>
      <w:r>
        <w:rPr>
          <w:rFonts w:ascii="Times New Roman" w:hAnsi="Times New Roman" w:eastAsia="Times New Roman" w:cs="Times New Roman"/>
          <w:sz w:val="23"/>
          <w:szCs w:val="23"/>
        </w:rPr>
        <w:t xml:space="preserve"> 1 </w:t>
      </w:r>
      <w:r>
        <w:rPr>
          <w:rFonts w:ascii="宋体" w:hAnsi="宋体" w:eastAsia="宋体" w:cs="宋体"/>
          <w:sz w:val="23"/>
          <w:szCs w:val="23"/>
        </w:rPr>
        <w:t xml:space="preserve">万元，占总投资的 </w:t>
      </w:r>
      <w:r>
        <w:rPr>
          <w:rFonts w:ascii="Times New Roman" w:hAnsi="Times New Roman" w:eastAsia="Times New Roman" w:cs="Times New Roman"/>
          <w:sz w:val="23"/>
          <w:szCs w:val="23"/>
        </w:rPr>
        <w:t>2.0%</w:t>
      </w:r>
      <w:r>
        <w:rPr>
          <w:rFonts w:ascii="宋体" w:hAnsi="宋体" w:eastAsia="宋体" w:cs="宋体"/>
          <w:sz w:val="23"/>
          <w:szCs w:val="23"/>
        </w:rPr>
        <w:t xml:space="preserve">。环 </w:t>
      </w:r>
      <w:r>
        <w:rPr>
          <w:rFonts w:ascii="宋体" w:hAnsi="宋体" w:eastAsia="宋体" w:cs="宋体"/>
          <w:spacing w:val="-4"/>
          <w:sz w:val="23"/>
          <w:szCs w:val="23"/>
        </w:rPr>
        <w:t>保</w:t>
      </w:r>
      <w:r>
        <w:rPr>
          <w:rFonts w:ascii="宋体" w:hAnsi="宋体" w:eastAsia="宋体" w:cs="宋体"/>
          <w:spacing w:val="-3"/>
          <w:sz w:val="23"/>
          <w:szCs w:val="23"/>
        </w:rPr>
        <w:t>投</w:t>
      </w:r>
      <w:r>
        <w:rPr>
          <w:rFonts w:ascii="宋体" w:hAnsi="宋体" w:eastAsia="宋体" w:cs="宋体"/>
          <w:spacing w:val="-2"/>
          <w:sz w:val="23"/>
          <w:szCs w:val="23"/>
        </w:rPr>
        <w:t xml:space="preserve">资估算详见表 </w:t>
      </w:r>
      <w:r>
        <w:rPr>
          <w:rFonts w:ascii="Times New Roman" w:hAnsi="Times New Roman" w:eastAsia="Times New Roman" w:cs="Times New Roman"/>
          <w:spacing w:val="-2"/>
          <w:sz w:val="23"/>
          <w:szCs w:val="23"/>
        </w:rPr>
        <w:t>8- 1</w:t>
      </w:r>
      <w:r>
        <w:rPr>
          <w:rFonts w:ascii="宋体" w:hAnsi="宋体" w:eastAsia="宋体" w:cs="宋体"/>
          <w:spacing w:val="-2"/>
          <w:sz w:val="23"/>
          <w:szCs w:val="23"/>
        </w:rPr>
        <w:t>。</w:t>
      </w:r>
    </w:p>
    <w:p w14:paraId="520E49BD">
      <w:pPr>
        <w:spacing w:before="169" w:line="228" w:lineRule="auto"/>
        <w:ind w:left="3330"/>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表</w:t>
      </w:r>
      <w:r>
        <w:rPr>
          <w:rFonts w:ascii="宋体" w:hAnsi="宋体" w:eastAsia="宋体" w:cs="宋体"/>
          <w:spacing w:val="5"/>
          <w:sz w:val="20"/>
          <w:szCs w:val="20"/>
        </w:rPr>
        <w:t xml:space="preserve"> </w:t>
      </w:r>
      <w:r>
        <w:rPr>
          <w:rFonts w:ascii="Times New Roman" w:hAnsi="Times New Roman" w:eastAsia="Times New Roman" w:cs="Times New Roman"/>
          <w:b/>
          <w:bCs/>
          <w:spacing w:val="3"/>
          <w:sz w:val="20"/>
          <w:szCs w:val="20"/>
        </w:rPr>
        <w:t>8-1</w:t>
      </w:r>
      <w:r>
        <w:rPr>
          <w:rFonts w:ascii="Times New Roman" w:hAnsi="Times New Roman" w:eastAsia="Times New Roman" w:cs="Times New Roman"/>
          <w:spacing w:val="3"/>
          <w:sz w:val="20"/>
          <w:szCs w:val="20"/>
        </w:rPr>
        <w:t xml:space="preserve">    </w:t>
      </w:r>
      <w:r>
        <w:rPr>
          <w:rFonts w:ascii="宋体" w:hAnsi="宋体" w:eastAsia="宋体" w:cs="宋体"/>
          <w:spacing w:val="3"/>
          <w:sz w:val="20"/>
          <w:szCs w:val="20"/>
          <w14:textOutline w14:w="3795" w14:cap="sq" w14:cmpd="sng">
            <w14:solidFill>
              <w14:srgbClr w14:val="000000"/>
            </w14:solidFill>
            <w14:prstDash w14:val="solid"/>
            <w14:bevel/>
          </w14:textOutline>
        </w:rPr>
        <w:t>环保投资明细表</w:t>
      </w:r>
    </w:p>
    <w:p w14:paraId="452704A6">
      <w:pPr>
        <w:spacing w:line="29" w:lineRule="exact"/>
      </w:pPr>
    </w:p>
    <w:tbl>
      <w:tblPr>
        <w:tblStyle w:val="4"/>
        <w:tblW w:w="839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2"/>
        <w:gridCol w:w="1596"/>
        <w:gridCol w:w="5321"/>
        <w:gridCol w:w="921"/>
      </w:tblGrid>
      <w:tr w14:paraId="6DB08F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552" w:type="dxa"/>
            <w:tcBorders>
              <w:left w:val="nil"/>
            </w:tcBorders>
            <w:vAlign w:val="top"/>
          </w:tcPr>
          <w:p w14:paraId="73EDC19D">
            <w:pPr>
              <w:spacing w:before="266" w:line="229" w:lineRule="auto"/>
              <w:ind w:left="73"/>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序号</w:t>
            </w:r>
          </w:p>
        </w:tc>
        <w:tc>
          <w:tcPr>
            <w:tcW w:w="1596" w:type="dxa"/>
            <w:vAlign w:val="top"/>
          </w:tcPr>
          <w:p w14:paraId="49182135">
            <w:pPr>
              <w:spacing w:before="267" w:line="228" w:lineRule="auto"/>
              <w:ind w:left="386"/>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投资项</w:t>
            </w:r>
            <w:r>
              <w:rPr>
                <w:rFonts w:ascii="宋体" w:hAnsi="宋体" w:eastAsia="宋体" w:cs="宋体"/>
                <w:spacing w:val="7"/>
                <w:sz w:val="20"/>
                <w:szCs w:val="20"/>
                <w14:textOutline w14:w="3795" w14:cap="sq" w14:cmpd="sng">
                  <w14:solidFill>
                    <w14:srgbClr w14:val="000000"/>
                  </w14:solidFill>
                  <w14:prstDash w14:val="solid"/>
                  <w14:bevel/>
                </w14:textOutline>
              </w:rPr>
              <w:t>目</w:t>
            </w:r>
          </w:p>
        </w:tc>
        <w:tc>
          <w:tcPr>
            <w:tcW w:w="5321" w:type="dxa"/>
            <w:vAlign w:val="top"/>
          </w:tcPr>
          <w:p w14:paraId="7CE3F1FC">
            <w:pPr>
              <w:spacing w:before="266" w:line="228" w:lineRule="auto"/>
              <w:ind w:left="2003"/>
              <w:rPr>
                <w:rFonts w:ascii="宋体" w:hAnsi="宋体" w:eastAsia="宋体" w:cs="宋体"/>
                <w:sz w:val="20"/>
                <w:szCs w:val="20"/>
              </w:rPr>
            </w:pPr>
            <w:r>
              <w:rPr>
                <w:rFonts w:ascii="宋体" w:hAnsi="宋体" w:eastAsia="宋体" w:cs="宋体"/>
                <w:spacing w:val="19"/>
                <w:sz w:val="20"/>
                <w:szCs w:val="20"/>
                <w14:textOutline w14:w="3795" w14:cap="sq" w14:cmpd="sng">
                  <w14:solidFill>
                    <w14:srgbClr w14:val="000000"/>
                  </w14:solidFill>
                  <w14:prstDash w14:val="solid"/>
                  <w14:bevel/>
                </w14:textOutline>
              </w:rPr>
              <w:t>治</w:t>
            </w:r>
            <w:r>
              <w:rPr>
                <w:rFonts w:ascii="宋体" w:hAnsi="宋体" w:eastAsia="宋体" w:cs="宋体"/>
                <w:spacing w:val="18"/>
                <w:sz w:val="20"/>
                <w:szCs w:val="20"/>
                <w14:textOutline w14:w="3795" w14:cap="sq" w14:cmpd="sng">
                  <w14:solidFill>
                    <w14:srgbClr w14:val="000000"/>
                  </w14:solidFill>
                  <w14:prstDash w14:val="solid"/>
                  <w14:bevel/>
                </w14:textOutline>
              </w:rPr>
              <w:t>理设施内容</w:t>
            </w:r>
          </w:p>
        </w:tc>
        <w:tc>
          <w:tcPr>
            <w:tcW w:w="921" w:type="dxa"/>
            <w:tcBorders>
              <w:right w:val="nil"/>
            </w:tcBorders>
            <w:vAlign w:val="top"/>
          </w:tcPr>
          <w:p w14:paraId="7B1871F1">
            <w:pPr>
              <w:spacing w:before="101" w:line="262" w:lineRule="auto"/>
              <w:ind w:left="186" w:right="39" w:hanging="139"/>
              <w:rPr>
                <w:rFonts w:ascii="Times New Roman" w:hAnsi="Times New Roman" w:eastAsia="Times New Roman" w:cs="Times New Roman"/>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投资估</w:t>
            </w:r>
            <w:r>
              <w:rPr>
                <w:rFonts w:ascii="宋体" w:hAnsi="宋体" w:eastAsia="宋体" w:cs="宋体"/>
                <w:spacing w:val="7"/>
                <w:sz w:val="20"/>
                <w:szCs w:val="20"/>
                <w14:textOutline w14:w="3795" w14:cap="sq" w14:cmpd="sng">
                  <w14:solidFill>
                    <w14:srgbClr w14:val="000000"/>
                  </w14:solidFill>
                  <w14:prstDash w14:val="solid"/>
                  <w14:bevel/>
                </w14:textOutline>
              </w:rPr>
              <w:t>算</w:t>
            </w:r>
            <w:r>
              <w:rPr>
                <w:rFonts w:ascii="宋体" w:hAnsi="宋体" w:eastAsia="宋体" w:cs="宋体"/>
                <w:sz w:val="20"/>
                <w:szCs w:val="20"/>
              </w:rPr>
              <w:t xml:space="preserve"> </w:t>
            </w:r>
            <w:r>
              <w:rPr>
                <w:rFonts w:ascii="Times New Roman" w:hAnsi="Times New Roman" w:eastAsia="Times New Roman" w:cs="Times New Roman"/>
                <w:b/>
                <w:bCs/>
                <w:spacing w:val="5"/>
                <w:sz w:val="20"/>
                <w:szCs w:val="20"/>
              </w:rPr>
              <w:t>(</w:t>
            </w:r>
            <w:r>
              <w:rPr>
                <w:rFonts w:ascii="宋体" w:hAnsi="宋体" w:eastAsia="宋体" w:cs="宋体"/>
                <w:spacing w:val="5"/>
                <w:sz w:val="20"/>
                <w:szCs w:val="20"/>
                <w14:textOutline w14:w="3795" w14:cap="sq" w14:cmpd="sng">
                  <w14:solidFill>
                    <w14:srgbClr w14:val="000000"/>
                  </w14:solidFill>
                  <w14:prstDash w14:val="solid"/>
                  <w14:bevel/>
                </w14:textOutline>
              </w:rPr>
              <w:t>万元</w:t>
            </w:r>
            <w:r>
              <w:rPr>
                <w:rFonts w:ascii="Times New Roman" w:hAnsi="Times New Roman" w:eastAsia="Times New Roman" w:cs="Times New Roman"/>
                <w:b/>
                <w:bCs/>
                <w:spacing w:val="5"/>
                <w:sz w:val="20"/>
                <w:szCs w:val="20"/>
              </w:rPr>
              <w:t>)</w:t>
            </w:r>
          </w:p>
        </w:tc>
      </w:tr>
      <w:tr w14:paraId="0E9A42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552" w:type="dxa"/>
            <w:tcBorders>
              <w:left w:val="nil"/>
            </w:tcBorders>
            <w:vAlign w:val="top"/>
          </w:tcPr>
          <w:p w14:paraId="01E1CC22">
            <w:pPr>
              <w:spacing w:before="130" w:line="195" w:lineRule="auto"/>
              <w:ind w:left="246"/>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596" w:type="dxa"/>
            <w:vAlign w:val="top"/>
          </w:tcPr>
          <w:p w14:paraId="1EE3ADA1">
            <w:pPr>
              <w:spacing w:before="66" w:line="228" w:lineRule="auto"/>
              <w:ind w:left="56"/>
              <w:rPr>
                <w:rFonts w:ascii="宋体" w:hAnsi="宋体" w:eastAsia="宋体" w:cs="宋体"/>
                <w:sz w:val="20"/>
                <w:szCs w:val="20"/>
              </w:rPr>
            </w:pPr>
            <w:r>
              <w:rPr>
                <w:rFonts w:ascii="宋体" w:hAnsi="宋体" w:eastAsia="宋体" w:cs="宋体"/>
                <w:spacing w:val="11"/>
                <w:sz w:val="20"/>
                <w:szCs w:val="20"/>
              </w:rPr>
              <w:t>施</w:t>
            </w:r>
            <w:r>
              <w:rPr>
                <w:rFonts w:ascii="宋体" w:hAnsi="宋体" w:eastAsia="宋体" w:cs="宋体"/>
                <w:spacing w:val="10"/>
                <w:sz w:val="20"/>
                <w:szCs w:val="20"/>
              </w:rPr>
              <w:t>工期噪声治理</w:t>
            </w:r>
          </w:p>
        </w:tc>
        <w:tc>
          <w:tcPr>
            <w:tcW w:w="5321" w:type="dxa"/>
            <w:vAlign w:val="top"/>
          </w:tcPr>
          <w:p w14:paraId="565872FC">
            <w:pPr>
              <w:spacing w:before="66" w:line="228" w:lineRule="auto"/>
              <w:ind w:left="1830"/>
              <w:rPr>
                <w:rFonts w:ascii="宋体" w:hAnsi="宋体" w:eastAsia="宋体" w:cs="宋体"/>
                <w:sz w:val="20"/>
                <w:szCs w:val="20"/>
              </w:rPr>
            </w:pPr>
            <w:r>
              <w:rPr>
                <w:rFonts w:ascii="宋体" w:hAnsi="宋体" w:eastAsia="宋体" w:cs="宋体"/>
                <w:spacing w:val="9"/>
                <w:sz w:val="20"/>
                <w:szCs w:val="20"/>
              </w:rPr>
              <w:t>消</w:t>
            </w:r>
            <w:r>
              <w:rPr>
                <w:rFonts w:ascii="宋体" w:hAnsi="宋体" w:eastAsia="宋体" w:cs="宋体"/>
                <w:spacing w:val="8"/>
                <w:sz w:val="20"/>
                <w:szCs w:val="20"/>
              </w:rPr>
              <w:t>声、隔声等措施</w:t>
            </w:r>
          </w:p>
        </w:tc>
        <w:tc>
          <w:tcPr>
            <w:tcW w:w="921" w:type="dxa"/>
            <w:tcBorders>
              <w:right w:val="nil"/>
            </w:tcBorders>
            <w:vAlign w:val="top"/>
          </w:tcPr>
          <w:p w14:paraId="2CA10FA7">
            <w:pPr>
              <w:spacing w:before="101" w:line="195" w:lineRule="auto"/>
              <w:ind w:left="430"/>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r>
      <w:tr w14:paraId="614D96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552" w:type="dxa"/>
            <w:tcBorders>
              <w:left w:val="nil"/>
            </w:tcBorders>
            <w:vAlign w:val="top"/>
          </w:tcPr>
          <w:p w14:paraId="377ABC94">
            <w:pPr>
              <w:spacing w:before="129" w:line="195" w:lineRule="auto"/>
              <w:ind w:left="226"/>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596" w:type="dxa"/>
            <w:vAlign w:val="top"/>
          </w:tcPr>
          <w:p w14:paraId="276C8D15">
            <w:pPr>
              <w:spacing w:before="66" w:line="228" w:lineRule="auto"/>
              <w:ind w:left="56"/>
              <w:rPr>
                <w:rFonts w:ascii="宋体" w:hAnsi="宋体" w:eastAsia="宋体" w:cs="宋体"/>
                <w:sz w:val="20"/>
                <w:szCs w:val="20"/>
              </w:rPr>
            </w:pPr>
            <w:r>
              <w:rPr>
                <w:rFonts w:ascii="宋体" w:hAnsi="宋体" w:eastAsia="宋体" w:cs="宋体"/>
                <w:spacing w:val="11"/>
                <w:sz w:val="20"/>
                <w:szCs w:val="20"/>
              </w:rPr>
              <w:t>施</w:t>
            </w:r>
            <w:r>
              <w:rPr>
                <w:rFonts w:ascii="宋体" w:hAnsi="宋体" w:eastAsia="宋体" w:cs="宋体"/>
                <w:spacing w:val="10"/>
                <w:sz w:val="20"/>
                <w:szCs w:val="20"/>
              </w:rPr>
              <w:t>工期废水治理</w:t>
            </w:r>
          </w:p>
        </w:tc>
        <w:tc>
          <w:tcPr>
            <w:tcW w:w="5321" w:type="dxa"/>
            <w:vAlign w:val="top"/>
          </w:tcPr>
          <w:p w14:paraId="7AE95447">
            <w:pPr>
              <w:spacing w:before="66" w:line="228" w:lineRule="auto"/>
              <w:ind w:left="1722"/>
              <w:rPr>
                <w:rFonts w:ascii="宋体" w:hAnsi="宋体" w:eastAsia="宋体" w:cs="宋体"/>
                <w:sz w:val="20"/>
                <w:szCs w:val="20"/>
              </w:rPr>
            </w:pPr>
            <w:r>
              <w:rPr>
                <w:rFonts w:ascii="宋体" w:hAnsi="宋体" w:eastAsia="宋体" w:cs="宋体"/>
                <w:spacing w:val="4"/>
                <w:sz w:val="20"/>
                <w:szCs w:val="20"/>
              </w:rPr>
              <w:t xml:space="preserve">建设 </w:t>
            </w:r>
            <w:r>
              <w:rPr>
                <w:rFonts w:ascii="Times New Roman" w:hAnsi="Times New Roman" w:eastAsia="Times New Roman" w:cs="Times New Roman"/>
                <w:spacing w:val="2"/>
                <w:sz w:val="20"/>
                <w:szCs w:val="20"/>
              </w:rPr>
              <w:t xml:space="preserve">1 </w:t>
            </w:r>
            <w:r>
              <w:rPr>
                <w:rFonts w:ascii="宋体" w:hAnsi="宋体" w:eastAsia="宋体" w:cs="宋体"/>
                <w:spacing w:val="2"/>
                <w:sz w:val="20"/>
                <w:szCs w:val="20"/>
              </w:rPr>
              <w:t>个临时沉淀池</w:t>
            </w:r>
          </w:p>
        </w:tc>
        <w:tc>
          <w:tcPr>
            <w:tcW w:w="921" w:type="dxa"/>
            <w:tcBorders>
              <w:right w:val="nil"/>
            </w:tcBorders>
            <w:vAlign w:val="top"/>
          </w:tcPr>
          <w:p w14:paraId="4EFB9AC7">
            <w:pPr>
              <w:spacing w:before="103" w:line="195" w:lineRule="auto"/>
              <w:ind w:left="430"/>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r>
      <w:tr w14:paraId="796611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552" w:type="dxa"/>
            <w:tcBorders>
              <w:left w:val="nil"/>
            </w:tcBorders>
            <w:vAlign w:val="top"/>
          </w:tcPr>
          <w:p w14:paraId="7FDAF17D">
            <w:pPr>
              <w:spacing w:before="129" w:line="195" w:lineRule="auto"/>
              <w:ind w:left="230"/>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596" w:type="dxa"/>
            <w:vAlign w:val="top"/>
          </w:tcPr>
          <w:p w14:paraId="48C61A2B">
            <w:pPr>
              <w:spacing w:before="67" w:line="228" w:lineRule="auto"/>
              <w:ind w:left="56"/>
              <w:rPr>
                <w:rFonts w:ascii="宋体" w:hAnsi="宋体" w:eastAsia="宋体" w:cs="宋体"/>
                <w:sz w:val="20"/>
                <w:szCs w:val="20"/>
              </w:rPr>
            </w:pPr>
            <w:r>
              <w:rPr>
                <w:rFonts w:ascii="宋体" w:hAnsi="宋体" w:eastAsia="宋体" w:cs="宋体"/>
                <w:spacing w:val="11"/>
                <w:sz w:val="20"/>
                <w:szCs w:val="20"/>
              </w:rPr>
              <w:t>施</w:t>
            </w:r>
            <w:r>
              <w:rPr>
                <w:rFonts w:ascii="宋体" w:hAnsi="宋体" w:eastAsia="宋体" w:cs="宋体"/>
                <w:spacing w:val="10"/>
                <w:sz w:val="20"/>
                <w:szCs w:val="20"/>
              </w:rPr>
              <w:t>工期废气治理</w:t>
            </w:r>
          </w:p>
        </w:tc>
        <w:tc>
          <w:tcPr>
            <w:tcW w:w="5321" w:type="dxa"/>
            <w:vAlign w:val="top"/>
          </w:tcPr>
          <w:p w14:paraId="19EC7450">
            <w:pPr>
              <w:spacing w:before="67" w:line="228" w:lineRule="auto"/>
              <w:ind w:left="1510"/>
              <w:rPr>
                <w:rFonts w:ascii="宋体" w:hAnsi="宋体" w:eastAsia="宋体" w:cs="宋体"/>
                <w:sz w:val="20"/>
                <w:szCs w:val="20"/>
              </w:rPr>
            </w:pPr>
            <w:r>
              <w:rPr>
                <w:rFonts w:ascii="宋体" w:hAnsi="宋体" w:eastAsia="宋体" w:cs="宋体"/>
                <w:spacing w:val="11"/>
                <w:sz w:val="20"/>
                <w:szCs w:val="20"/>
              </w:rPr>
              <w:t>道</w:t>
            </w:r>
            <w:r>
              <w:rPr>
                <w:rFonts w:ascii="宋体" w:hAnsi="宋体" w:eastAsia="宋体" w:cs="宋体"/>
                <w:spacing w:val="9"/>
                <w:sz w:val="20"/>
                <w:szCs w:val="20"/>
              </w:rPr>
              <w:t>路洒水、原材料堆喷淋</w:t>
            </w:r>
          </w:p>
        </w:tc>
        <w:tc>
          <w:tcPr>
            <w:tcW w:w="921" w:type="dxa"/>
            <w:tcBorders>
              <w:right w:val="nil"/>
            </w:tcBorders>
            <w:vAlign w:val="top"/>
          </w:tcPr>
          <w:p w14:paraId="66EEDCC6">
            <w:pPr>
              <w:spacing w:before="103" w:line="195" w:lineRule="auto"/>
              <w:ind w:left="430"/>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r>
      <w:tr w14:paraId="363ACC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552" w:type="dxa"/>
            <w:tcBorders>
              <w:left w:val="nil"/>
            </w:tcBorders>
            <w:vAlign w:val="top"/>
          </w:tcPr>
          <w:p w14:paraId="0E614474">
            <w:pPr>
              <w:spacing w:before="130" w:line="195" w:lineRule="auto"/>
              <w:ind w:left="22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596" w:type="dxa"/>
            <w:vAlign w:val="top"/>
          </w:tcPr>
          <w:p w14:paraId="0407F9E5">
            <w:pPr>
              <w:spacing w:before="68" w:line="228" w:lineRule="auto"/>
              <w:ind w:left="56"/>
              <w:rPr>
                <w:rFonts w:ascii="宋体" w:hAnsi="宋体" w:eastAsia="宋体" w:cs="宋体"/>
                <w:sz w:val="20"/>
                <w:szCs w:val="20"/>
              </w:rPr>
            </w:pPr>
            <w:r>
              <w:rPr>
                <w:rFonts w:ascii="宋体" w:hAnsi="宋体" w:eastAsia="宋体" w:cs="宋体"/>
                <w:spacing w:val="11"/>
                <w:sz w:val="20"/>
                <w:szCs w:val="20"/>
              </w:rPr>
              <w:t>施</w:t>
            </w:r>
            <w:r>
              <w:rPr>
                <w:rFonts w:ascii="宋体" w:hAnsi="宋体" w:eastAsia="宋体" w:cs="宋体"/>
                <w:spacing w:val="10"/>
                <w:sz w:val="20"/>
                <w:szCs w:val="20"/>
              </w:rPr>
              <w:t>工期固废治理</w:t>
            </w:r>
          </w:p>
        </w:tc>
        <w:tc>
          <w:tcPr>
            <w:tcW w:w="5321" w:type="dxa"/>
            <w:vAlign w:val="top"/>
          </w:tcPr>
          <w:p w14:paraId="5A5800D4">
            <w:pPr>
              <w:spacing w:before="67" w:line="228" w:lineRule="auto"/>
              <w:ind w:left="1974"/>
              <w:rPr>
                <w:rFonts w:ascii="宋体" w:hAnsi="宋体" w:eastAsia="宋体" w:cs="宋体"/>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5"/>
                <w:sz w:val="20"/>
                <w:szCs w:val="20"/>
              </w:rPr>
              <w:t xml:space="preserve"> </w:t>
            </w:r>
            <w:r>
              <w:rPr>
                <w:rFonts w:ascii="宋体" w:hAnsi="宋体" w:eastAsia="宋体" w:cs="宋体"/>
                <w:spacing w:val="5"/>
                <w:sz w:val="20"/>
                <w:szCs w:val="20"/>
              </w:rPr>
              <w:t>个垃圾收集箱</w:t>
            </w:r>
          </w:p>
        </w:tc>
        <w:tc>
          <w:tcPr>
            <w:tcW w:w="921" w:type="dxa"/>
            <w:tcBorders>
              <w:right w:val="nil"/>
            </w:tcBorders>
            <w:vAlign w:val="top"/>
          </w:tcPr>
          <w:p w14:paraId="5486E2F8">
            <w:pPr>
              <w:spacing w:before="104" w:line="195" w:lineRule="auto"/>
              <w:ind w:left="33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3"/>
                <w:sz w:val="20"/>
                <w:szCs w:val="20"/>
              </w:rPr>
              <w:t>.5</w:t>
            </w:r>
          </w:p>
        </w:tc>
      </w:tr>
      <w:tr w14:paraId="00133D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3" w:hRule="atLeast"/>
        </w:trPr>
        <w:tc>
          <w:tcPr>
            <w:tcW w:w="552" w:type="dxa"/>
            <w:tcBorders>
              <w:left w:val="nil"/>
            </w:tcBorders>
            <w:vAlign w:val="top"/>
          </w:tcPr>
          <w:p w14:paraId="68DC3022">
            <w:pPr>
              <w:spacing w:line="250" w:lineRule="auto"/>
              <w:rPr>
                <w:rFonts w:ascii="Arial"/>
                <w:sz w:val="21"/>
              </w:rPr>
            </w:pPr>
          </w:p>
          <w:p w14:paraId="0F4AA654">
            <w:pPr>
              <w:spacing w:line="250" w:lineRule="auto"/>
              <w:rPr>
                <w:rFonts w:ascii="Arial"/>
                <w:sz w:val="21"/>
              </w:rPr>
            </w:pPr>
          </w:p>
          <w:p w14:paraId="205FD31F">
            <w:pPr>
              <w:spacing w:line="250" w:lineRule="auto"/>
              <w:rPr>
                <w:rFonts w:ascii="Arial"/>
                <w:sz w:val="21"/>
              </w:rPr>
            </w:pPr>
          </w:p>
          <w:p w14:paraId="45CDA002">
            <w:pPr>
              <w:spacing w:line="251" w:lineRule="auto"/>
              <w:rPr>
                <w:rFonts w:ascii="Arial"/>
                <w:sz w:val="21"/>
              </w:rPr>
            </w:pPr>
          </w:p>
          <w:p w14:paraId="7E415A45">
            <w:pPr>
              <w:spacing w:line="251" w:lineRule="auto"/>
              <w:rPr>
                <w:rFonts w:ascii="Arial"/>
                <w:sz w:val="21"/>
              </w:rPr>
            </w:pPr>
          </w:p>
          <w:p w14:paraId="3CA7C268">
            <w:pPr>
              <w:spacing w:line="251" w:lineRule="auto"/>
              <w:rPr>
                <w:rFonts w:ascii="Arial"/>
                <w:sz w:val="21"/>
              </w:rPr>
            </w:pPr>
          </w:p>
          <w:p w14:paraId="3800F2D2">
            <w:pPr>
              <w:spacing w:line="251" w:lineRule="auto"/>
              <w:rPr>
                <w:rFonts w:ascii="Arial"/>
                <w:sz w:val="21"/>
              </w:rPr>
            </w:pPr>
          </w:p>
          <w:p w14:paraId="460C1746">
            <w:pPr>
              <w:spacing w:before="58" w:line="192" w:lineRule="auto"/>
              <w:ind w:left="232"/>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596" w:type="dxa"/>
            <w:vMerge w:val="restart"/>
            <w:tcBorders>
              <w:bottom w:val="nil"/>
            </w:tcBorders>
            <w:vAlign w:val="top"/>
          </w:tcPr>
          <w:p w14:paraId="6F482B00">
            <w:pPr>
              <w:spacing w:line="263" w:lineRule="auto"/>
              <w:rPr>
                <w:rFonts w:ascii="Arial"/>
                <w:sz w:val="21"/>
              </w:rPr>
            </w:pPr>
          </w:p>
          <w:p w14:paraId="7CF9294C">
            <w:pPr>
              <w:spacing w:line="264" w:lineRule="auto"/>
              <w:rPr>
                <w:rFonts w:ascii="Arial"/>
                <w:sz w:val="21"/>
              </w:rPr>
            </w:pPr>
          </w:p>
          <w:p w14:paraId="3BCE8FCA">
            <w:pPr>
              <w:spacing w:line="264" w:lineRule="auto"/>
              <w:rPr>
                <w:rFonts w:ascii="Arial"/>
                <w:sz w:val="21"/>
              </w:rPr>
            </w:pPr>
          </w:p>
          <w:p w14:paraId="2BBB7343">
            <w:pPr>
              <w:spacing w:line="264" w:lineRule="auto"/>
              <w:rPr>
                <w:rFonts w:ascii="Arial"/>
                <w:sz w:val="21"/>
              </w:rPr>
            </w:pPr>
          </w:p>
          <w:p w14:paraId="3D7E244D">
            <w:pPr>
              <w:spacing w:line="264" w:lineRule="auto"/>
              <w:rPr>
                <w:rFonts w:ascii="Arial"/>
                <w:sz w:val="21"/>
              </w:rPr>
            </w:pPr>
          </w:p>
          <w:p w14:paraId="4B844A4A">
            <w:pPr>
              <w:spacing w:line="264" w:lineRule="auto"/>
              <w:rPr>
                <w:rFonts w:ascii="Arial"/>
                <w:sz w:val="21"/>
              </w:rPr>
            </w:pPr>
          </w:p>
          <w:p w14:paraId="7021B546">
            <w:pPr>
              <w:spacing w:line="264" w:lineRule="auto"/>
              <w:rPr>
                <w:rFonts w:ascii="Arial"/>
                <w:sz w:val="21"/>
              </w:rPr>
            </w:pPr>
          </w:p>
          <w:p w14:paraId="785A8435">
            <w:pPr>
              <w:spacing w:line="264" w:lineRule="auto"/>
              <w:rPr>
                <w:rFonts w:ascii="Arial"/>
                <w:sz w:val="21"/>
              </w:rPr>
            </w:pPr>
          </w:p>
          <w:p w14:paraId="4727D724">
            <w:pPr>
              <w:spacing w:line="264" w:lineRule="auto"/>
              <w:rPr>
                <w:rFonts w:ascii="Arial"/>
                <w:sz w:val="21"/>
              </w:rPr>
            </w:pPr>
          </w:p>
          <w:p w14:paraId="7756B1A8">
            <w:pPr>
              <w:spacing w:line="264" w:lineRule="auto"/>
              <w:rPr>
                <w:rFonts w:ascii="Arial"/>
                <w:sz w:val="21"/>
              </w:rPr>
            </w:pPr>
          </w:p>
          <w:p w14:paraId="77C1C4AC">
            <w:pPr>
              <w:spacing w:before="65" w:line="228" w:lineRule="auto"/>
              <w:ind w:left="57"/>
              <w:rPr>
                <w:rFonts w:ascii="宋体" w:hAnsi="宋体" w:eastAsia="宋体" w:cs="宋体"/>
                <w:sz w:val="20"/>
                <w:szCs w:val="20"/>
              </w:rPr>
            </w:pPr>
            <w:r>
              <w:rPr>
                <w:rFonts w:ascii="宋体" w:hAnsi="宋体" w:eastAsia="宋体" w:cs="宋体"/>
                <w:spacing w:val="10"/>
                <w:sz w:val="20"/>
                <w:szCs w:val="20"/>
              </w:rPr>
              <w:t>运营期废气治理</w:t>
            </w:r>
          </w:p>
        </w:tc>
        <w:tc>
          <w:tcPr>
            <w:tcW w:w="5321" w:type="dxa"/>
            <w:vAlign w:val="top"/>
          </w:tcPr>
          <w:p w14:paraId="4BBD1849">
            <w:pPr>
              <w:tabs>
                <w:tab w:val="left" w:pos="138"/>
              </w:tabs>
              <w:spacing w:before="72" w:line="286" w:lineRule="auto"/>
              <w:ind w:left="28" w:right="5" w:firstLine="3"/>
              <w:rPr>
                <w:rFonts w:ascii="宋体" w:hAnsi="宋体" w:eastAsia="宋体" w:cs="宋体"/>
                <w:sz w:val="20"/>
                <w:szCs w:val="20"/>
              </w:rPr>
            </w:pPr>
            <w:r>
              <w:rPr>
                <w:rFonts w:ascii="宋体" w:hAnsi="宋体" w:eastAsia="宋体" w:cs="宋体"/>
                <w:spacing w:val="16"/>
                <w:sz w:val="20"/>
                <w:szCs w:val="20"/>
              </w:rPr>
              <w:t xml:space="preserve">该项目在每条生产线的热熔造粒工序均设置 </w:t>
            </w:r>
            <w:r>
              <w:rPr>
                <w:rFonts w:ascii="Times New Roman" w:hAnsi="Times New Roman" w:eastAsia="Times New Roman" w:cs="Times New Roman"/>
                <w:spacing w:val="16"/>
                <w:sz w:val="20"/>
                <w:szCs w:val="20"/>
              </w:rPr>
              <w:t xml:space="preserve">1 </w:t>
            </w:r>
            <w:r>
              <w:rPr>
                <w:rFonts w:ascii="宋体" w:hAnsi="宋体" w:eastAsia="宋体" w:cs="宋体"/>
                <w:spacing w:val="16"/>
                <w:sz w:val="20"/>
                <w:szCs w:val="20"/>
              </w:rPr>
              <w:t>个集气</w:t>
            </w:r>
            <w:r>
              <w:rPr>
                <w:rFonts w:ascii="宋体" w:hAnsi="宋体" w:eastAsia="宋体" w:cs="宋体"/>
                <w:spacing w:val="13"/>
                <w:sz w:val="20"/>
                <w:szCs w:val="20"/>
              </w:rPr>
              <w:t>罩</w:t>
            </w:r>
            <w:r>
              <w:rPr>
                <w:rFonts w:ascii="宋体" w:hAnsi="宋体" w:eastAsia="宋体" w:cs="宋体"/>
                <w:sz w:val="20"/>
                <w:szCs w:val="20"/>
              </w:rPr>
              <w:t xml:space="preserve"> </w:t>
            </w:r>
            <w:r>
              <w:rPr>
                <w:rFonts w:ascii="宋体" w:hAnsi="宋体" w:eastAsia="宋体" w:cs="宋体"/>
                <w:sz w:val="20"/>
                <w:szCs w:val="20"/>
              </w:rPr>
              <w:tab/>
            </w:r>
            <w:r>
              <w:rPr>
                <w:rFonts w:ascii="宋体" w:hAnsi="宋体" w:eastAsia="宋体" w:cs="宋体"/>
                <w:spacing w:val="13"/>
                <w:sz w:val="20"/>
                <w:szCs w:val="20"/>
              </w:rPr>
              <w:t>(</w:t>
            </w:r>
            <w:r>
              <w:rPr>
                <w:rFonts w:ascii="宋体" w:hAnsi="宋体" w:eastAsia="宋体" w:cs="宋体"/>
                <w:spacing w:val="10"/>
                <w:sz w:val="20"/>
                <w:szCs w:val="20"/>
              </w:rPr>
              <w:t xml:space="preserve">集气罩采用伞形罩，在设备约 </w:t>
            </w:r>
            <w:r>
              <w:rPr>
                <w:rFonts w:ascii="Times New Roman" w:hAnsi="Times New Roman" w:eastAsia="Times New Roman" w:cs="Times New Roman"/>
                <w:spacing w:val="10"/>
                <w:sz w:val="20"/>
                <w:szCs w:val="20"/>
              </w:rPr>
              <w:t>30</w:t>
            </w:r>
            <w:r>
              <w:rPr>
                <w:rFonts w:ascii="Times New Roman" w:hAnsi="Times New Roman" w:eastAsia="Times New Roman" w:cs="Times New Roman"/>
                <w:sz w:val="20"/>
                <w:szCs w:val="20"/>
              </w:rPr>
              <w:t>cm</w:t>
            </w:r>
            <w:r>
              <w:rPr>
                <w:rFonts w:ascii="Times New Roman" w:hAnsi="Times New Roman" w:eastAsia="Times New Roman" w:cs="Times New Roman"/>
                <w:spacing w:val="10"/>
                <w:sz w:val="20"/>
                <w:szCs w:val="20"/>
              </w:rPr>
              <w:t xml:space="preserve"> </w:t>
            </w:r>
            <w:r>
              <w:rPr>
                <w:rFonts w:ascii="宋体" w:hAnsi="宋体" w:eastAsia="宋体" w:cs="宋体"/>
                <w:spacing w:val="10"/>
                <w:sz w:val="20"/>
                <w:szCs w:val="20"/>
              </w:rPr>
              <w:t>的正上方，集气罩</w:t>
            </w:r>
            <w:r>
              <w:rPr>
                <w:rFonts w:ascii="宋体" w:hAnsi="宋体" w:eastAsia="宋体" w:cs="宋体"/>
                <w:sz w:val="20"/>
                <w:szCs w:val="20"/>
              </w:rPr>
              <w:t xml:space="preserve"> </w:t>
            </w:r>
            <w:r>
              <w:rPr>
                <w:rFonts w:ascii="宋体" w:hAnsi="宋体" w:eastAsia="宋体" w:cs="宋体"/>
                <w:spacing w:val="4"/>
                <w:sz w:val="20"/>
                <w:szCs w:val="20"/>
              </w:rPr>
              <w:t>集</w:t>
            </w:r>
            <w:r>
              <w:rPr>
                <w:rFonts w:ascii="宋体" w:hAnsi="宋体" w:eastAsia="宋体" w:cs="宋体"/>
                <w:spacing w:val="3"/>
                <w:sz w:val="20"/>
                <w:szCs w:val="20"/>
              </w:rPr>
              <w:t>气</w:t>
            </w:r>
            <w:r>
              <w:rPr>
                <w:rFonts w:ascii="宋体" w:hAnsi="宋体" w:eastAsia="宋体" w:cs="宋体"/>
                <w:spacing w:val="2"/>
                <w:sz w:val="20"/>
                <w:szCs w:val="20"/>
              </w:rPr>
              <w:t xml:space="preserve">效率为 </w:t>
            </w:r>
            <w:r>
              <w:rPr>
                <w:rFonts w:ascii="Times New Roman" w:hAnsi="Times New Roman" w:eastAsia="Times New Roman" w:cs="Times New Roman"/>
                <w:spacing w:val="2"/>
                <w:sz w:val="20"/>
                <w:szCs w:val="20"/>
              </w:rPr>
              <w:t>90%</w:t>
            </w:r>
            <w:r>
              <w:rPr>
                <w:rFonts w:ascii="宋体" w:hAnsi="宋体" w:eastAsia="宋体" w:cs="宋体"/>
                <w:spacing w:val="2"/>
                <w:sz w:val="20"/>
                <w:szCs w:val="20"/>
              </w:rPr>
              <w:t xml:space="preserve">) ，共计 </w:t>
            </w:r>
            <w:r>
              <w:rPr>
                <w:rFonts w:ascii="Times New Roman" w:hAnsi="Times New Roman" w:eastAsia="Times New Roman" w:cs="Times New Roman"/>
                <w:spacing w:val="2"/>
                <w:sz w:val="20"/>
                <w:szCs w:val="20"/>
              </w:rPr>
              <w:t xml:space="preserve">10 </w:t>
            </w:r>
            <w:r>
              <w:rPr>
                <w:rFonts w:ascii="宋体" w:hAnsi="宋体" w:eastAsia="宋体" w:cs="宋体"/>
                <w:spacing w:val="2"/>
                <w:sz w:val="20"/>
                <w:szCs w:val="20"/>
              </w:rPr>
              <w:t>个集气罩。与此同时，项目设</w:t>
            </w:r>
            <w:r>
              <w:rPr>
                <w:rFonts w:ascii="宋体" w:hAnsi="宋体" w:eastAsia="宋体" w:cs="宋体"/>
                <w:sz w:val="20"/>
                <w:szCs w:val="20"/>
              </w:rPr>
              <w:t xml:space="preserve"> </w:t>
            </w:r>
            <w:r>
              <w:rPr>
                <w:rFonts w:ascii="宋体" w:hAnsi="宋体" w:eastAsia="宋体" w:cs="宋体"/>
                <w:spacing w:val="8"/>
                <w:sz w:val="20"/>
                <w:szCs w:val="20"/>
              </w:rPr>
              <w:t xml:space="preserve">有 </w:t>
            </w:r>
            <w:r>
              <w:rPr>
                <w:rFonts w:ascii="Times New Roman" w:hAnsi="Times New Roman" w:eastAsia="Times New Roman" w:cs="Times New Roman"/>
                <w:spacing w:val="8"/>
                <w:sz w:val="20"/>
                <w:szCs w:val="20"/>
              </w:rPr>
              <w:t>2</w:t>
            </w:r>
            <w:r>
              <w:rPr>
                <w:rFonts w:ascii="Times New Roman" w:hAnsi="Times New Roman" w:eastAsia="Times New Roman" w:cs="Times New Roman"/>
                <w:spacing w:val="4"/>
                <w:sz w:val="20"/>
                <w:szCs w:val="20"/>
              </w:rPr>
              <w:t xml:space="preserve"> </w:t>
            </w:r>
            <w:r>
              <w:rPr>
                <w:rFonts w:ascii="宋体" w:hAnsi="宋体" w:eastAsia="宋体" w:cs="宋体"/>
                <w:spacing w:val="4"/>
                <w:sz w:val="20"/>
                <w:szCs w:val="20"/>
              </w:rPr>
              <w:t xml:space="preserve">台 </w:t>
            </w:r>
            <w:r>
              <w:rPr>
                <w:rFonts w:ascii="Times New Roman" w:hAnsi="Times New Roman" w:eastAsia="Times New Roman" w:cs="Times New Roman"/>
                <w:sz w:val="20"/>
                <w:szCs w:val="20"/>
              </w:rPr>
              <w:t>UV</w:t>
            </w:r>
            <w:r>
              <w:rPr>
                <w:rFonts w:ascii="Times New Roman" w:hAnsi="Times New Roman" w:eastAsia="Times New Roman" w:cs="Times New Roman"/>
                <w:spacing w:val="4"/>
                <w:sz w:val="20"/>
                <w:szCs w:val="20"/>
              </w:rPr>
              <w:t xml:space="preserve"> </w:t>
            </w:r>
            <w:r>
              <w:rPr>
                <w:rFonts w:ascii="宋体" w:hAnsi="宋体" w:eastAsia="宋体" w:cs="宋体"/>
                <w:spacing w:val="4"/>
                <w:sz w:val="20"/>
                <w:szCs w:val="20"/>
              </w:rPr>
              <w:t xml:space="preserve">光氧催化废气处理装置以及 </w:t>
            </w:r>
            <w:r>
              <w:rPr>
                <w:rFonts w:ascii="Times New Roman" w:hAnsi="Times New Roman" w:eastAsia="Times New Roman" w:cs="Times New Roman"/>
                <w:spacing w:val="4"/>
                <w:sz w:val="20"/>
                <w:szCs w:val="20"/>
              </w:rPr>
              <w:t xml:space="preserve">2 </w:t>
            </w:r>
            <w:r>
              <w:rPr>
                <w:rFonts w:ascii="宋体" w:hAnsi="宋体" w:eastAsia="宋体" w:cs="宋体"/>
                <w:spacing w:val="4"/>
                <w:sz w:val="20"/>
                <w:szCs w:val="20"/>
              </w:rPr>
              <w:t>台活性炭吸附装</w:t>
            </w:r>
          </w:p>
          <w:p w14:paraId="285AA300">
            <w:pPr>
              <w:spacing w:before="2" w:line="278" w:lineRule="auto"/>
              <w:ind w:left="26"/>
              <w:rPr>
                <w:rFonts w:ascii="宋体" w:hAnsi="宋体" w:eastAsia="宋体" w:cs="宋体"/>
                <w:sz w:val="20"/>
                <w:szCs w:val="20"/>
              </w:rPr>
            </w:pPr>
            <w:r>
              <w:rPr>
                <w:rFonts w:ascii="宋体" w:hAnsi="宋体" w:eastAsia="宋体" w:cs="宋体"/>
                <w:spacing w:val="-1"/>
                <w:sz w:val="20"/>
                <w:szCs w:val="20"/>
              </w:rPr>
              <w:t>置，</w:t>
            </w:r>
            <w:r>
              <w:rPr>
                <w:rFonts w:ascii="Times New Roman" w:hAnsi="Times New Roman" w:eastAsia="Times New Roman" w:cs="Times New Roman"/>
                <w:sz w:val="20"/>
                <w:szCs w:val="20"/>
              </w:rPr>
              <w:t xml:space="preserve">1 </w:t>
            </w:r>
            <w:r>
              <w:rPr>
                <w:rFonts w:ascii="宋体" w:hAnsi="宋体" w:eastAsia="宋体" w:cs="宋体"/>
                <w:sz w:val="20"/>
                <w:szCs w:val="20"/>
              </w:rPr>
              <w:t xml:space="preserve">台 </w:t>
            </w:r>
            <w:r>
              <w:rPr>
                <w:rFonts w:ascii="Times New Roman" w:hAnsi="Times New Roman" w:eastAsia="Times New Roman" w:cs="Times New Roman"/>
                <w:sz w:val="20"/>
                <w:szCs w:val="20"/>
              </w:rPr>
              <w:t xml:space="preserve">UV </w:t>
            </w:r>
            <w:r>
              <w:rPr>
                <w:rFonts w:ascii="宋体" w:hAnsi="宋体" w:eastAsia="宋体" w:cs="宋体"/>
                <w:sz w:val="20"/>
                <w:szCs w:val="20"/>
              </w:rPr>
              <w:t xml:space="preserve">光氧催化废气处理装置和 </w:t>
            </w:r>
            <w:r>
              <w:rPr>
                <w:rFonts w:ascii="Times New Roman" w:hAnsi="Times New Roman" w:eastAsia="Times New Roman" w:cs="Times New Roman"/>
                <w:sz w:val="20"/>
                <w:szCs w:val="20"/>
              </w:rPr>
              <w:t xml:space="preserve">1 </w:t>
            </w:r>
            <w:r>
              <w:rPr>
                <w:rFonts w:ascii="宋体" w:hAnsi="宋体" w:eastAsia="宋体" w:cs="宋体"/>
                <w:sz w:val="20"/>
                <w:szCs w:val="20"/>
              </w:rPr>
              <w:t xml:space="preserve">台活性炭吸附装置 </w:t>
            </w:r>
            <w:r>
              <w:rPr>
                <w:rFonts w:ascii="宋体" w:hAnsi="宋体" w:eastAsia="宋体" w:cs="宋体"/>
                <w:spacing w:val="-1"/>
                <w:sz w:val="20"/>
                <w:szCs w:val="20"/>
              </w:rPr>
              <w:t xml:space="preserve">组成 </w:t>
            </w:r>
            <w:r>
              <w:rPr>
                <w:rFonts w:ascii="Times New Roman" w:hAnsi="Times New Roman" w:eastAsia="Times New Roman" w:cs="Times New Roman"/>
                <w:spacing w:val="-1"/>
                <w:sz w:val="20"/>
                <w:szCs w:val="20"/>
              </w:rPr>
              <w:t xml:space="preserve">1 </w:t>
            </w:r>
            <w:r>
              <w:rPr>
                <w:rFonts w:ascii="宋体" w:hAnsi="宋体" w:eastAsia="宋体" w:cs="宋体"/>
                <w:spacing w:val="-1"/>
                <w:sz w:val="20"/>
                <w:szCs w:val="20"/>
              </w:rPr>
              <w:t>套废气治理装置</w:t>
            </w:r>
            <w:r>
              <w:rPr>
                <w:rFonts w:ascii="宋体" w:hAnsi="宋体" w:eastAsia="宋体" w:cs="宋体"/>
                <w:sz w:val="20"/>
                <w:szCs w:val="20"/>
              </w:rPr>
              <w:t xml:space="preserve">，则厂区内共计 </w:t>
            </w:r>
            <w:r>
              <w:rPr>
                <w:rFonts w:ascii="Times New Roman" w:hAnsi="Times New Roman" w:eastAsia="Times New Roman" w:cs="Times New Roman"/>
                <w:sz w:val="20"/>
                <w:szCs w:val="20"/>
              </w:rPr>
              <w:t xml:space="preserve">2 </w:t>
            </w:r>
            <w:r>
              <w:rPr>
                <w:rFonts w:ascii="宋体" w:hAnsi="宋体" w:eastAsia="宋体" w:cs="宋体"/>
                <w:sz w:val="20"/>
                <w:szCs w:val="20"/>
              </w:rPr>
              <w:t xml:space="preserve">套废气治理装置， </w:t>
            </w:r>
            <w:r>
              <w:rPr>
                <w:rFonts w:ascii="宋体" w:hAnsi="宋体" w:eastAsia="宋体" w:cs="宋体"/>
                <w:spacing w:val="7"/>
                <w:sz w:val="20"/>
                <w:szCs w:val="20"/>
              </w:rPr>
              <w:t xml:space="preserve">分别位于生产厂房东侧、西侧中部。该项目每 </w:t>
            </w:r>
            <w:r>
              <w:rPr>
                <w:rFonts w:ascii="Times New Roman" w:hAnsi="Times New Roman" w:eastAsia="Times New Roman" w:cs="Times New Roman"/>
                <w:spacing w:val="7"/>
                <w:sz w:val="20"/>
                <w:szCs w:val="20"/>
              </w:rPr>
              <w:t xml:space="preserve">5 </w:t>
            </w:r>
            <w:r>
              <w:rPr>
                <w:rFonts w:ascii="宋体" w:hAnsi="宋体" w:eastAsia="宋体" w:cs="宋体"/>
                <w:spacing w:val="7"/>
                <w:sz w:val="20"/>
                <w:szCs w:val="20"/>
              </w:rPr>
              <w:t>条生产</w:t>
            </w:r>
            <w:r>
              <w:rPr>
                <w:rFonts w:ascii="宋体" w:hAnsi="宋体" w:eastAsia="宋体" w:cs="宋体"/>
                <w:spacing w:val="2"/>
                <w:sz w:val="20"/>
                <w:szCs w:val="20"/>
              </w:rPr>
              <w:t>线</w:t>
            </w:r>
            <w:r>
              <w:rPr>
                <w:rFonts w:ascii="宋体" w:hAnsi="宋体" w:eastAsia="宋体" w:cs="宋体"/>
                <w:sz w:val="20"/>
                <w:szCs w:val="20"/>
              </w:rPr>
              <w:t xml:space="preserve"> </w:t>
            </w:r>
            <w:r>
              <w:rPr>
                <w:rFonts w:ascii="宋体" w:hAnsi="宋体" w:eastAsia="宋体" w:cs="宋体"/>
                <w:spacing w:val="7"/>
                <w:sz w:val="20"/>
                <w:szCs w:val="20"/>
              </w:rPr>
              <w:t xml:space="preserve">共用 </w:t>
            </w:r>
            <w:r>
              <w:rPr>
                <w:rFonts w:ascii="Times New Roman" w:hAnsi="Times New Roman" w:eastAsia="Times New Roman" w:cs="Times New Roman"/>
                <w:spacing w:val="7"/>
                <w:sz w:val="20"/>
                <w:szCs w:val="20"/>
              </w:rPr>
              <w:t xml:space="preserve">1 </w:t>
            </w:r>
            <w:r>
              <w:rPr>
                <w:rFonts w:ascii="宋体" w:hAnsi="宋体" w:eastAsia="宋体" w:cs="宋体"/>
                <w:spacing w:val="7"/>
                <w:sz w:val="20"/>
                <w:szCs w:val="20"/>
              </w:rPr>
              <w:t>套废气处理设施，集气罩收集后的有机废气经由</w:t>
            </w:r>
            <w:r>
              <w:rPr>
                <w:rFonts w:ascii="宋体" w:hAnsi="宋体" w:eastAsia="宋体" w:cs="宋体"/>
                <w:spacing w:val="2"/>
                <w:sz w:val="20"/>
                <w:szCs w:val="20"/>
              </w:rPr>
              <w:t>风</w:t>
            </w:r>
            <w:r>
              <w:rPr>
                <w:rFonts w:ascii="宋体" w:hAnsi="宋体" w:eastAsia="宋体" w:cs="宋体"/>
                <w:sz w:val="20"/>
                <w:szCs w:val="20"/>
              </w:rPr>
              <w:t xml:space="preserve"> </w:t>
            </w:r>
            <w:r>
              <w:rPr>
                <w:rFonts w:ascii="宋体" w:hAnsi="宋体" w:eastAsia="宋体" w:cs="宋体"/>
                <w:spacing w:val="11"/>
                <w:sz w:val="20"/>
                <w:szCs w:val="20"/>
              </w:rPr>
              <w:t xml:space="preserve">量为 </w:t>
            </w:r>
            <w:r>
              <w:rPr>
                <w:rFonts w:ascii="Times New Roman" w:hAnsi="Times New Roman" w:eastAsia="Times New Roman" w:cs="Times New Roman"/>
                <w:spacing w:val="11"/>
                <w:sz w:val="20"/>
                <w:szCs w:val="20"/>
              </w:rPr>
              <w:t>5000</w:t>
            </w:r>
            <w:r>
              <w:rPr>
                <w:rFonts w:ascii="Times New Roman" w:hAnsi="Times New Roman" w:eastAsia="Times New Roman" w:cs="Times New Roman"/>
                <w:sz w:val="20"/>
                <w:szCs w:val="20"/>
              </w:rPr>
              <w:t>m</w:t>
            </w:r>
            <w:r>
              <w:rPr>
                <w:rFonts w:ascii="Times New Roman" w:hAnsi="Times New Roman" w:eastAsia="Times New Roman" w:cs="Times New Roman"/>
                <w:spacing w:val="11"/>
                <w:position w:val="6"/>
                <w:sz w:val="13"/>
                <w:szCs w:val="13"/>
              </w:rPr>
              <w:t>3</w:t>
            </w:r>
            <w:r>
              <w:rPr>
                <w:rFonts w:ascii="Times New Roman" w:hAnsi="Times New Roman" w:eastAsia="Times New Roman" w:cs="Times New Roman"/>
                <w:spacing w:val="11"/>
                <w:sz w:val="20"/>
                <w:szCs w:val="20"/>
              </w:rPr>
              <w:t>/</w:t>
            </w:r>
            <w:r>
              <w:rPr>
                <w:rFonts w:ascii="Times New Roman" w:hAnsi="Times New Roman" w:eastAsia="Times New Roman" w:cs="Times New Roman"/>
                <w:sz w:val="20"/>
                <w:szCs w:val="20"/>
              </w:rPr>
              <w:t>h</w:t>
            </w:r>
            <w:r>
              <w:rPr>
                <w:rFonts w:ascii="Times New Roman" w:hAnsi="Times New Roman" w:eastAsia="Times New Roman" w:cs="Times New Roman"/>
                <w:spacing w:val="11"/>
                <w:sz w:val="20"/>
                <w:szCs w:val="20"/>
              </w:rPr>
              <w:t xml:space="preserve"> </w:t>
            </w:r>
            <w:r>
              <w:rPr>
                <w:rFonts w:ascii="宋体" w:hAnsi="宋体" w:eastAsia="宋体" w:cs="宋体"/>
                <w:spacing w:val="11"/>
                <w:sz w:val="20"/>
                <w:szCs w:val="20"/>
              </w:rPr>
              <w:t>的引风机抽入每个厂房内各自设置的废气</w:t>
            </w:r>
            <w:r>
              <w:rPr>
                <w:rFonts w:ascii="宋体" w:hAnsi="宋体" w:eastAsia="宋体" w:cs="宋体"/>
                <w:sz w:val="20"/>
                <w:szCs w:val="20"/>
              </w:rPr>
              <w:t xml:space="preserve"> </w:t>
            </w:r>
            <w:r>
              <w:rPr>
                <w:rFonts w:ascii="宋体" w:hAnsi="宋体" w:eastAsia="宋体" w:cs="宋体"/>
                <w:spacing w:val="6"/>
                <w:sz w:val="20"/>
                <w:szCs w:val="20"/>
              </w:rPr>
              <w:t>治</w:t>
            </w:r>
            <w:r>
              <w:rPr>
                <w:rFonts w:ascii="宋体" w:hAnsi="宋体" w:eastAsia="宋体" w:cs="宋体"/>
                <w:spacing w:val="4"/>
                <w:sz w:val="20"/>
                <w:szCs w:val="20"/>
              </w:rPr>
              <w:t>理</w:t>
            </w:r>
            <w:r>
              <w:rPr>
                <w:rFonts w:ascii="宋体" w:hAnsi="宋体" w:eastAsia="宋体" w:cs="宋体"/>
                <w:spacing w:val="3"/>
                <w:sz w:val="20"/>
                <w:szCs w:val="20"/>
              </w:rPr>
              <w:t xml:space="preserve">装置中，经过 </w:t>
            </w:r>
            <w:r>
              <w:rPr>
                <w:rFonts w:ascii="Times New Roman" w:hAnsi="Times New Roman" w:eastAsia="Times New Roman" w:cs="Times New Roman"/>
                <w:sz w:val="20"/>
                <w:szCs w:val="20"/>
              </w:rPr>
              <w:t>UV</w:t>
            </w:r>
            <w:r>
              <w:rPr>
                <w:rFonts w:ascii="Times New Roman" w:hAnsi="Times New Roman" w:eastAsia="Times New Roman" w:cs="Times New Roman"/>
                <w:spacing w:val="3"/>
                <w:sz w:val="20"/>
                <w:szCs w:val="20"/>
              </w:rPr>
              <w:t xml:space="preserve"> </w:t>
            </w:r>
            <w:r>
              <w:rPr>
                <w:rFonts w:ascii="宋体" w:hAnsi="宋体" w:eastAsia="宋体" w:cs="宋体"/>
                <w:spacing w:val="3"/>
                <w:sz w:val="20"/>
                <w:szCs w:val="20"/>
              </w:rPr>
              <w:t>光氧催化废气处理装置</w:t>
            </w:r>
            <w:r>
              <w:rPr>
                <w:rFonts w:ascii="Times New Roman" w:hAnsi="Times New Roman" w:eastAsia="Times New Roman" w:cs="Times New Roman"/>
                <w:spacing w:val="3"/>
                <w:sz w:val="20"/>
                <w:szCs w:val="20"/>
              </w:rPr>
              <w:t>+</w:t>
            </w:r>
            <w:r>
              <w:rPr>
                <w:rFonts w:ascii="宋体" w:hAnsi="宋体" w:eastAsia="宋体" w:cs="宋体"/>
                <w:spacing w:val="3"/>
                <w:sz w:val="20"/>
                <w:szCs w:val="20"/>
              </w:rPr>
              <w:t>活性炭吸附</w:t>
            </w:r>
            <w:r>
              <w:rPr>
                <w:rFonts w:ascii="宋体" w:hAnsi="宋体" w:eastAsia="宋体" w:cs="宋体"/>
                <w:sz w:val="20"/>
                <w:szCs w:val="20"/>
              </w:rPr>
              <w:t xml:space="preserve"> </w:t>
            </w:r>
            <w:r>
              <w:rPr>
                <w:rFonts w:ascii="宋体" w:hAnsi="宋体" w:eastAsia="宋体" w:cs="宋体"/>
                <w:spacing w:val="4"/>
                <w:sz w:val="20"/>
                <w:szCs w:val="20"/>
              </w:rPr>
              <w:t xml:space="preserve">装置处理后通过 </w:t>
            </w:r>
            <w:r>
              <w:rPr>
                <w:rFonts w:ascii="Times New Roman" w:hAnsi="Times New Roman" w:eastAsia="Times New Roman" w:cs="Times New Roman"/>
                <w:spacing w:val="4"/>
                <w:sz w:val="20"/>
                <w:szCs w:val="20"/>
              </w:rPr>
              <w:t>15</w:t>
            </w:r>
            <w:r>
              <w:rPr>
                <w:rFonts w:ascii="Times New Roman" w:hAnsi="Times New Roman" w:eastAsia="Times New Roman" w:cs="Times New Roman"/>
                <w:sz w:val="20"/>
                <w:szCs w:val="20"/>
              </w:rPr>
              <w:t>m</w:t>
            </w:r>
            <w:r>
              <w:rPr>
                <w:rFonts w:ascii="Times New Roman" w:hAnsi="Times New Roman" w:eastAsia="Times New Roman" w:cs="Times New Roman"/>
                <w:spacing w:val="2"/>
                <w:sz w:val="20"/>
                <w:szCs w:val="20"/>
              </w:rPr>
              <w:t xml:space="preserve"> </w:t>
            </w:r>
            <w:r>
              <w:rPr>
                <w:rFonts w:ascii="宋体" w:hAnsi="宋体" w:eastAsia="宋体" w:cs="宋体"/>
                <w:spacing w:val="2"/>
                <w:sz w:val="20"/>
                <w:szCs w:val="20"/>
              </w:rPr>
              <w:t xml:space="preserve">高排气筒有组织排放，共计 </w:t>
            </w:r>
            <w:r>
              <w:rPr>
                <w:rFonts w:ascii="Times New Roman" w:hAnsi="Times New Roman" w:eastAsia="Times New Roman" w:cs="Times New Roman"/>
                <w:spacing w:val="2"/>
                <w:sz w:val="20"/>
                <w:szCs w:val="20"/>
              </w:rPr>
              <w:t xml:space="preserve">2 </w:t>
            </w:r>
            <w:r>
              <w:rPr>
                <w:rFonts w:ascii="宋体" w:hAnsi="宋体" w:eastAsia="宋体" w:cs="宋体"/>
                <w:spacing w:val="2"/>
                <w:sz w:val="20"/>
                <w:szCs w:val="20"/>
              </w:rPr>
              <w:t>个排气</w:t>
            </w:r>
            <w:r>
              <w:rPr>
                <w:rFonts w:ascii="宋体" w:hAnsi="宋体" w:eastAsia="宋体" w:cs="宋体"/>
                <w:sz w:val="20"/>
                <w:szCs w:val="20"/>
              </w:rPr>
              <w:t xml:space="preserve"> </w:t>
            </w:r>
            <w:r>
              <w:rPr>
                <w:rFonts w:ascii="宋体" w:hAnsi="宋体" w:eastAsia="宋体" w:cs="宋体"/>
                <w:spacing w:val="10"/>
                <w:sz w:val="20"/>
                <w:szCs w:val="20"/>
              </w:rPr>
              <w:t xml:space="preserve">筒 </w:t>
            </w:r>
            <w:r>
              <w:rPr>
                <w:rFonts w:ascii="宋体" w:hAnsi="宋体" w:eastAsia="宋体" w:cs="宋体"/>
                <w:spacing w:val="7"/>
                <w:sz w:val="20"/>
                <w:szCs w:val="20"/>
              </w:rPr>
              <w:t>(</w:t>
            </w:r>
            <w:r>
              <w:rPr>
                <w:rFonts w:ascii="Times New Roman" w:hAnsi="Times New Roman" w:eastAsia="Times New Roman" w:cs="Times New Roman"/>
                <w:spacing w:val="5"/>
                <w:sz w:val="20"/>
                <w:szCs w:val="20"/>
              </w:rPr>
              <w:t>1#</w:t>
            </w:r>
            <w:r>
              <w:rPr>
                <w:rFonts w:ascii="宋体" w:hAnsi="宋体" w:eastAsia="宋体" w:cs="宋体"/>
                <w:spacing w:val="5"/>
                <w:sz w:val="20"/>
                <w:szCs w:val="20"/>
              </w:rPr>
              <w:t>排气筒、</w:t>
            </w:r>
            <w:r>
              <w:rPr>
                <w:rFonts w:ascii="Times New Roman" w:hAnsi="Times New Roman" w:eastAsia="Times New Roman" w:cs="Times New Roman"/>
                <w:spacing w:val="5"/>
                <w:sz w:val="20"/>
                <w:szCs w:val="20"/>
              </w:rPr>
              <w:t>2#</w:t>
            </w:r>
            <w:r>
              <w:rPr>
                <w:rFonts w:ascii="宋体" w:hAnsi="宋体" w:eastAsia="宋体" w:cs="宋体"/>
                <w:spacing w:val="5"/>
                <w:sz w:val="20"/>
                <w:szCs w:val="20"/>
              </w:rPr>
              <w:t>排气筒) 。</w:t>
            </w:r>
          </w:p>
        </w:tc>
        <w:tc>
          <w:tcPr>
            <w:tcW w:w="921" w:type="dxa"/>
            <w:tcBorders>
              <w:right w:val="nil"/>
            </w:tcBorders>
            <w:vAlign w:val="top"/>
          </w:tcPr>
          <w:p w14:paraId="6806C32F">
            <w:pPr>
              <w:spacing w:line="250" w:lineRule="auto"/>
              <w:rPr>
                <w:rFonts w:ascii="Arial"/>
                <w:sz w:val="21"/>
              </w:rPr>
            </w:pPr>
          </w:p>
          <w:p w14:paraId="63B3D32C">
            <w:pPr>
              <w:spacing w:line="250" w:lineRule="auto"/>
              <w:rPr>
                <w:rFonts w:ascii="Arial"/>
                <w:sz w:val="21"/>
              </w:rPr>
            </w:pPr>
          </w:p>
          <w:p w14:paraId="537C0517">
            <w:pPr>
              <w:spacing w:line="250" w:lineRule="auto"/>
              <w:rPr>
                <w:rFonts w:ascii="Arial"/>
                <w:sz w:val="21"/>
              </w:rPr>
            </w:pPr>
          </w:p>
          <w:p w14:paraId="6A1E4152">
            <w:pPr>
              <w:spacing w:line="250" w:lineRule="auto"/>
              <w:rPr>
                <w:rFonts w:ascii="Arial"/>
                <w:sz w:val="21"/>
              </w:rPr>
            </w:pPr>
          </w:p>
          <w:p w14:paraId="52F9AEDE">
            <w:pPr>
              <w:spacing w:line="250" w:lineRule="auto"/>
              <w:rPr>
                <w:rFonts w:ascii="Arial"/>
                <w:sz w:val="21"/>
              </w:rPr>
            </w:pPr>
          </w:p>
          <w:p w14:paraId="68BF371E">
            <w:pPr>
              <w:spacing w:line="250" w:lineRule="auto"/>
              <w:rPr>
                <w:rFonts w:ascii="Arial"/>
                <w:sz w:val="21"/>
              </w:rPr>
            </w:pPr>
          </w:p>
          <w:p w14:paraId="4AAA0F25">
            <w:pPr>
              <w:spacing w:line="251" w:lineRule="auto"/>
              <w:rPr>
                <w:rFonts w:ascii="Arial"/>
                <w:sz w:val="21"/>
              </w:rPr>
            </w:pPr>
          </w:p>
          <w:p w14:paraId="311F96D0">
            <w:pPr>
              <w:spacing w:before="58" w:line="195" w:lineRule="auto"/>
              <w:ind w:left="35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
                <w:sz w:val="20"/>
                <w:szCs w:val="20"/>
              </w:rPr>
              <w:t>5</w:t>
            </w:r>
          </w:p>
        </w:tc>
      </w:tr>
      <w:tr w14:paraId="212336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4" w:hRule="atLeast"/>
        </w:trPr>
        <w:tc>
          <w:tcPr>
            <w:tcW w:w="552" w:type="dxa"/>
            <w:tcBorders>
              <w:left w:val="nil"/>
            </w:tcBorders>
            <w:vAlign w:val="top"/>
          </w:tcPr>
          <w:p w14:paraId="647DFEFC">
            <w:pPr>
              <w:spacing w:line="276" w:lineRule="auto"/>
              <w:rPr>
                <w:rFonts w:ascii="Arial"/>
                <w:sz w:val="21"/>
              </w:rPr>
            </w:pPr>
          </w:p>
          <w:p w14:paraId="609C16F7">
            <w:pPr>
              <w:spacing w:line="277" w:lineRule="auto"/>
              <w:rPr>
                <w:rFonts w:ascii="Arial"/>
                <w:sz w:val="21"/>
              </w:rPr>
            </w:pPr>
          </w:p>
          <w:p w14:paraId="4C8228A7">
            <w:pPr>
              <w:spacing w:line="277" w:lineRule="auto"/>
              <w:rPr>
                <w:rFonts w:ascii="Arial"/>
                <w:sz w:val="21"/>
              </w:rPr>
            </w:pPr>
          </w:p>
          <w:p w14:paraId="4882A087">
            <w:pPr>
              <w:spacing w:before="57" w:line="195" w:lineRule="auto"/>
              <w:ind w:left="230"/>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596" w:type="dxa"/>
            <w:vMerge w:val="continue"/>
            <w:tcBorders>
              <w:top w:val="nil"/>
            </w:tcBorders>
            <w:vAlign w:val="top"/>
          </w:tcPr>
          <w:p w14:paraId="3BA83BB8">
            <w:pPr>
              <w:rPr>
                <w:rFonts w:ascii="Arial"/>
                <w:sz w:val="21"/>
              </w:rPr>
            </w:pPr>
          </w:p>
        </w:tc>
        <w:tc>
          <w:tcPr>
            <w:tcW w:w="5321" w:type="dxa"/>
            <w:vAlign w:val="top"/>
          </w:tcPr>
          <w:p w14:paraId="74AB57AB">
            <w:pPr>
              <w:tabs>
                <w:tab w:val="left" w:pos="138"/>
              </w:tabs>
              <w:spacing w:before="69" w:line="276" w:lineRule="auto"/>
              <w:ind w:left="24" w:right="15" w:firstLine="7"/>
              <w:rPr>
                <w:rFonts w:ascii="宋体" w:hAnsi="宋体" w:eastAsia="宋体" w:cs="宋体"/>
                <w:sz w:val="20"/>
                <w:szCs w:val="20"/>
              </w:rPr>
            </w:pPr>
            <w:r>
              <w:rPr>
                <w:rFonts w:ascii="宋体" w:hAnsi="宋体" w:eastAsia="宋体" w:cs="宋体"/>
                <w:spacing w:val="-16"/>
                <w:sz w:val="20"/>
                <w:szCs w:val="20"/>
              </w:rPr>
              <w:t xml:space="preserve">该 </w:t>
            </w:r>
            <w:r>
              <w:rPr>
                <w:rFonts w:ascii="宋体" w:hAnsi="宋体" w:eastAsia="宋体" w:cs="宋体"/>
                <w:spacing w:val="-11"/>
                <w:sz w:val="20"/>
                <w:szCs w:val="20"/>
              </w:rPr>
              <w:t>项</w:t>
            </w:r>
            <w:r>
              <w:rPr>
                <w:rFonts w:ascii="宋体" w:hAnsi="宋体" w:eastAsia="宋体" w:cs="宋体"/>
                <w:spacing w:val="-8"/>
                <w:sz w:val="20"/>
                <w:szCs w:val="20"/>
              </w:rPr>
              <w:t xml:space="preserve"> 目 洗 字 工 序 设 有 </w:t>
            </w:r>
            <w:r>
              <w:rPr>
                <w:rFonts w:ascii="Times New Roman" w:hAnsi="Times New Roman" w:eastAsia="Times New Roman" w:cs="Times New Roman"/>
                <w:spacing w:val="-8"/>
                <w:sz w:val="20"/>
                <w:szCs w:val="20"/>
              </w:rPr>
              <w:t xml:space="preserve">1  </w:t>
            </w:r>
            <w:r>
              <w:rPr>
                <w:rFonts w:ascii="宋体" w:hAnsi="宋体" w:eastAsia="宋体" w:cs="宋体"/>
                <w:spacing w:val="-8"/>
                <w:sz w:val="20"/>
                <w:szCs w:val="20"/>
              </w:rPr>
              <w:t xml:space="preserve">个 容 积 为 </w:t>
            </w:r>
            <w:r>
              <w:rPr>
                <w:rFonts w:ascii="Times New Roman" w:hAnsi="Times New Roman" w:eastAsia="Times New Roman" w:cs="Times New Roman"/>
                <w:spacing w:val="-8"/>
                <w:sz w:val="20"/>
                <w:szCs w:val="20"/>
              </w:rPr>
              <w:t>6m</w:t>
            </w:r>
            <w:r>
              <w:rPr>
                <w:rFonts w:ascii="Times New Roman" w:hAnsi="Times New Roman" w:eastAsia="Times New Roman" w:cs="Times New Roman"/>
                <w:spacing w:val="-8"/>
                <w:position w:val="6"/>
                <w:sz w:val="13"/>
                <w:szCs w:val="13"/>
              </w:rPr>
              <w:t xml:space="preserve">3   </w:t>
            </w:r>
            <w:r>
              <w:rPr>
                <w:rFonts w:ascii="宋体" w:hAnsi="宋体" w:eastAsia="宋体" w:cs="宋体"/>
                <w:spacing w:val="-8"/>
                <w:sz w:val="20"/>
                <w:szCs w:val="20"/>
              </w:rPr>
              <w:t>的 洗 字 槽</w:t>
            </w:r>
            <w:r>
              <w:rPr>
                <w:rFonts w:ascii="宋体" w:hAnsi="宋体" w:eastAsia="宋体" w:cs="宋体"/>
                <w:sz w:val="20"/>
                <w:szCs w:val="20"/>
              </w:rPr>
              <w:t xml:space="preserve"> </w:t>
            </w:r>
            <w:r>
              <w:rPr>
                <w:rFonts w:ascii="宋体" w:hAnsi="宋体" w:eastAsia="宋体" w:cs="宋体"/>
                <w:sz w:val="20"/>
                <w:szCs w:val="20"/>
              </w:rPr>
              <w:tab/>
            </w:r>
            <w:r>
              <w:rPr>
                <w:rFonts w:ascii="宋体" w:hAnsi="宋体" w:eastAsia="宋体" w:cs="宋体"/>
                <w:spacing w:val="2"/>
                <w:sz w:val="20"/>
                <w:szCs w:val="20"/>
              </w:rPr>
              <w:t>(</w:t>
            </w:r>
            <w:r>
              <w:rPr>
                <w:rFonts w:ascii="Times New Roman" w:hAnsi="Times New Roman" w:eastAsia="Times New Roman" w:cs="Times New Roman"/>
                <w:spacing w:val="2"/>
                <w:sz w:val="20"/>
                <w:szCs w:val="20"/>
              </w:rPr>
              <w:t>2.5</w:t>
            </w:r>
            <w:r>
              <w:rPr>
                <w:rFonts w:ascii="Times New Roman" w:hAnsi="Times New Roman" w:eastAsia="Times New Roman" w:cs="Times New Roman"/>
                <w:sz w:val="20"/>
                <w:szCs w:val="20"/>
              </w:rPr>
              <w:t>m</w:t>
            </w:r>
            <w:r>
              <w:rPr>
                <w:rFonts w:ascii="Times New Roman" w:hAnsi="Times New Roman" w:eastAsia="Times New Roman" w:cs="Times New Roman"/>
                <w:spacing w:val="2"/>
                <w:sz w:val="20"/>
                <w:szCs w:val="20"/>
              </w:rPr>
              <w:t>×1.2</w:t>
            </w:r>
            <w:r>
              <w:rPr>
                <w:rFonts w:ascii="Times New Roman" w:hAnsi="Times New Roman" w:eastAsia="Times New Roman" w:cs="Times New Roman"/>
                <w:sz w:val="20"/>
                <w:szCs w:val="20"/>
              </w:rPr>
              <w:t>m</w:t>
            </w:r>
            <w:r>
              <w:rPr>
                <w:rFonts w:ascii="Times New Roman" w:hAnsi="Times New Roman" w:eastAsia="Times New Roman" w:cs="Times New Roman"/>
                <w:spacing w:val="2"/>
                <w:sz w:val="20"/>
                <w:szCs w:val="20"/>
              </w:rPr>
              <w:t>×2</w:t>
            </w:r>
            <w:r>
              <w:rPr>
                <w:rFonts w:ascii="Times New Roman" w:hAnsi="Times New Roman" w:eastAsia="Times New Roman" w:cs="Times New Roman"/>
                <w:sz w:val="20"/>
                <w:szCs w:val="20"/>
              </w:rPr>
              <w:t>m</w:t>
            </w:r>
            <w:r>
              <w:rPr>
                <w:rFonts w:ascii="宋体" w:hAnsi="宋体" w:eastAsia="宋体" w:cs="宋体"/>
                <w:spacing w:val="2"/>
                <w:sz w:val="20"/>
                <w:szCs w:val="20"/>
              </w:rPr>
              <w:t xml:space="preserve">) ，配套设有 </w:t>
            </w:r>
            <w:r>
              <w:rPr>
                <w:rFonts w:ascii="Times New Roman" w:hAnsi="Times New Roman" w:eastAsia="Times New Roman" w:cs="Times New Roman"/>
                <w:spacing w:val="2"/>
                <w:sz w:val="20"/>
                <w:szCs w:val="20"/>
              </w:rPr>
              <w:t xml:space="preserve">1 </w:t>
            </w:r>
            <w:r>
              <w:rPr>
                <w:rFonts w:ascii="宋体" w:hAnsi="宋体" w:eastAsia="宋体" w:cs="宋体"/>
                <w:spacing w:val="2"/>
                <w:sz w:val="20"/>
                <w:szCs w:val="20"/>
              </w:rPr>
              <w:t xml:space="preserve">台 </w:t>
            </w:r>
            <w:r>
              <w:rPr>
                <w:rFonts w:ascii="Times New Roman" w:hAnsi="Times New Roman" w:eastAsia="Times New Roman" w:cs="Times New Roman"/>
                <w:spacing w:val="2"/>
                <w:sz w:val="20"/>
                <w:szCs w:val="20"/>
              </w:rPr>
              <w:t>2</w:t>
            </w:r>
            <w:r>
              <w:rPr>
                <w:rFonts w:ascii="Times New Roman" w:hAnsi="Times New Roman" w:eastAsia="Times New Roman" w:cs="Times New Roman"/>
                <w:sz w:val="20"/>
                <w:szCs w:val="20"/>
              </w:rPr>
              <w:t>t</w:t>
            </w:r>
            <w:r>
              <w:rPr>
                <w:rFonts w:ascii="Times New Roman" w:hAnsi="Times New Roman" w:eastAsia="Times New Roman" w:cs="Times New Roman"/>
                <w:spacing w:val="2"/>
                <w:sz w:val="20"/>
                <w:szCs w:val="20"/>
              </w:rPr>
              <w:t>/</w:t>
            </w:r>
            <w:r>
              <w:rPr>
                <w:rFonts w:ascii="Times New Roman" w:hAnsi="Times New Roman" w:eastAsia="Times New Roman" w:cs="Times New Roman"/>
                <w:sz w:val="20"/>
                <w:szCs w:val="20"/>
              </w:rPr>
              <w:t>h</w:t>
            </w:r>
            <w:r>
              <w:rPr>
                <w:rFonts w:ascii="Times New Roman" w:hAnsi="Times New Roman" w:eastAsia="Times New Roman" w:cs="Times New Roman"/>
                <w:spacing w:val="2"/>
                <w:sz w:val="20"/>
                <w:szCs w:val="20"/>
              </w:rPr>
              <w:t xml:space="preserve"> </w:t>
            </w:r>
            <w:r>
              <w:rPr>
                <w:rFonts w:ascii="宋体" w:hAnsi="宋体" w:eastAsia="宋体" w:cs="宋体"/>
                <w:spacing w:val="2"/>
                <w:sz w:val="20"/>
                <w:szCs w:val="20"/>
              </w:rPr>
              <w:t>的</w:t>
            </w:r>
            <w:r>
              <w:rPr>
                <w:rFonts w:ascii="宋体" w:hAnsi="宋体" w:eastAsia="宋体" w:cs="宋体"/>
                <w:spacing w:val="1"/>
                <w:sz w:val="20"/>
                <w:szCs w:val="20"/>
              </w:rPr>
              <w:t>热风炉，产生的</w:t>
            </w:r>
            <w:r>
              <w:rPr>
                <w:rFonts w:ascii="宋体" w:hAnsi="宋体" w:eastAsia="宋体" w:cs="宋体"/>
                <w:sz w:val="20"/>
                <w:szCs w:val="20"/>
              </w:rPr>
              <w:t xml:space="preserve"> </w:t>
            </w:r>
            <w:r>
              <w:rPr>
                <w:rFonts w:ascii="宋体" w:hAnsi="宋体" w:eastAsia="宋体" w:cs="宋体"/>
                <w:spacing w:val="8"/>
                <w:sz w:val="20"/>
                <w:szCs w:val="20"/>
              </w:rPr>
              <w:t>废</w:t>
            </w:r>
            <w:r>
              <w:rPr>
                <w:rFonts w:ascii="宋体" w:hAnsi="宋体" w:eastAsia="宋体" w:cs="宋体"/>
                <w:spacing w:val="4"/>
                <w:sz w:val="20"/>
                <w:szCs w:val="20"/>
              </w:rPr>
              <w:t xml:space="preserve">气经配套的布袋除尘器处理后，通过 </w:t>
            </w:r>
            <w:r>
              <w:rPr>
                <w:rFonts w:ascii="Times New Roman" w:hAnsi="Times New Roman" w:eastAsia="Times New Roman" w:cs="Times New Roman"/>
                <w:spacing w:val="4"/>
                <w:sz w:val="20"/>
                <w:szCs w:val="20"/>
              </w:rPr>
              <w:t xml:space="preserve">1 </w:t>
            </w:r>
            <w:r>
              <w:rPr>
                <w:rFonts w:ascii="宋体" w:hAnsi="宋体" w:eastAsia="宋体" w:cs="宋体"/>
                <w:spacing w:val="4"/>
                <w:sz w:val="20"/>
                <w:szCs w:val="20"/>
              </w:rPr>
              <w:t xml:space="preserve">个 </w:t>
            </w:r>
            <w:r>
              <w:rPr>
                <w:rFonts w:ascii="Times New Roman" w:hAnsi="Times New Roman" w:eastAsia="Times New Roman" w:cs="Times New Roman"/>
                <w:spacing w:val="4"/>
                <w:sz w:val="20"/>
                <w:szCs w:val="20"/>
              </w:rPr>
              <w:t>3#</w:t>
            </w:r>
            <w:r>
              <w:rPr>
                <w:rFonts w:ascii="宋体" w:hAnsi="宋体" w:eastAsia="宋体" w:cs="宋体"/>
                <w:spacing w:val="4"/>
                <w:sz w:val="20"/>
                <w:szCs w:val="20"/>
              </w:rPr>
              <w:t>排气筒进行</w:t>
            </w:r>
            <w:r>
              <w:rPr>
                <w:rFonts w:ascii="宋体" w:hAnsi="宋体" w:eastAsia="宋体" w:cs="宋体"/>
                <w:sz w:val="20"/>
                <w:szCs w:val="20"/>
              </w:rPr>
              <w:t xml:space="preserve"> </w:t>
            </w:r>
            <w:r>
              <w:rPr>
                <w:rFonts w:ascii="宋体" w:hAnsi="宋体" w:eastAsia="宋体" w:cs="宋体"/>
                <w:spacing w:val="23"/>
                <w:sz w:val="20"/>
                <w:szCs w:val="20"/>
              </w:rPr>
              <w:t>排</w:t>
            </w:r>
            <w:r>
              <w:rPr>
                <w:rFonts w:ascii="宋体" w:hAnsi="宋体" w:eastAsia="宋体" w:cs="宋体"/>
                <w:spacing w:val="15"/>
                <w:sz w:val="20"/>
                <w:szCs w:val="20"/>
              </w:rPr>
              <w:t xml:space="preserve">放，排气筒高度为 </w:t>
            </w:r>
            <w:r>
              <w:rPr>
                <w:rFonts w:ascii="Times New Roman" w:hAnsi="Times New Roman" w:eastAsia="Times New Roman" w:cs="Times New Roman"/>
                <w:spacing w:val="15"/>
                <w:sz w:val="20"/>
                <w:szCs w:val="20"/>
              </w:rPr>
              <w:t>30</w:t>
            </w:r>
            <w:r>
              <w:rPr>
                <w:rFonts w:ascii="Times New Roman" w:hAnsi="Times New Roman" w:eastAsia="Times New Roman" w:cs="Times New Roman"/>
                <w:sz w:val="20"/>
                <w:szCs w:val="20"/>
              </w:rPr>
              <w:t>m</w:t>
            </w:r>
            <w:r>
              <w:rPr>
                <w:rFonts w:ascii="Times New Roman" w:hAnsi="Times New Roman" w:eastAsia="Times New Roman" w:cs="Times New Roman"/>
                <w:spacing w:val="15"/>
                <w:sz w:val="20"/>
                <w:szCs w:val="20"/>
              </w:rPr>
              <w:t xml:space="preserve">  </w:t>
            </w:r>
            <w:r>
              <w:rPr>
                <w:rFonts w:ascii="宋体" w:hAnsi="宋体" w:eastAsia="宋体" w:cs="宋体"/>
                <w:spacing w:val="15"/>
                <w:sz w:val="20"/>
                <w:szCs w:val="20"/>
              </w:rPr>
              <w:t>(新建锅炉房的烟囱周围半径</w:t>
            </w:r>
            <w:r>
              <w:rPr>
                <w:rFonts w:ascii="宋体" w:hAnsi="宋体" w:eastAsia="宋体" w:cs="宋体"/>
                <w:sz w:val="20"/>
                <w:szCs w:val="20"/>
              </w:rPr>
              <w:t xml:space="preserve"> </w:t>
            </w:r>
            <w:r>
              <w:rPr>
                <w:rFonts w:ascii="Times New Roman" w:hAnsi="Times New Roman" w:eastAsia="Times New Roman" w:cs="Times New Roman"/>
                <w:spacing w:val="10"/>
                <w:sz w:val="20"/>
                <w:szCs w:val="20"/>
              </w:rPr>
              <w:t>200</w:t>
            </w:r>
            <w:r>
              <w:rPr>
                <w:rFonts w:ascii="Times New Roman" w:hAnsi="Times New Roman" w:eastAsia="Times New Roman" w:cs="Times New Roman"/>
                <w:sz w:val="20"/>
                <w:szCs w:val="20"/>
              </w:rPr>
              <w:t>m</w:t>
            </w:r>
            <w:r>
              <w:rPr>
                <w:rFonts w:ascii="Times New Roman" w:hAnsi="Times New Roman" w:eastAsia="Times New Roman" w:cs="Times New Roman"/>
                <w:spacing w:val="9"/>
                <w:sz w:val="20"/>
                <w:szCs w:val="20"/>
              </w:rPr>
              <w:t xml:space="preserve"> </w:t>
            </w:r>
            <w:r>
              <w:rPr>
                <w:rFonts w:ascii="宋体" w:hAnsi="宋体" w:eastAsia="宋体" w:cs="宋体"/>
                <w:spacing w:val="5"/>
                <w:sz w:val="20"/>
                <w:szCs w:val="20"/>
              </w:rPr>
              <w:t xml:space="preserve">距离内有建筑物时，其烟囱应高出最高建筑物 </w:t>
            </w:r>
            <w:r>
              <w:rPr>
                <w:rFonts w:ascii="Times New Roman" w:hAnsi="Times New Roman" w:eastAsia="Times New Roman" w:cs="Times New Roman"/>
                <w:spacing w:val="5"/>
                <w:sz w:val="20"/>
                <w:szCs w:val="20"/>
              </w:rPr>
              <w:t>3</w:t>
            </w:r>
            <w:r>
              <w:rPr>
                <w:rFonts w:ascii="Times New Roman" w:hAnsi="Times New Roman" w:eastAsia="Times New Roman" w:cs="Times New Roman"/>
                <w:sz w:val="20"/>
                <w:szCs w:val="20"/>
              </w:rPr>
              <w:t>m</w:t>
            </w:r>
            <w:r>
              <w:rPr>
                <w:rFonts w:ascii="Times New Roman" w:hAnsi="Times New Roman" w:eastAsia="Times New Roman" w:cs="Times New Roman"/>
                <w:spacing w:val="5"/>
                <w:sz w:val="20"/>
                <w:szCs w:val="20"/>
              </w:rPr>
              <w:t xml:space="preserve"> </w:t>
            </w:r>
            <w:r>
              <w:rPr>
                <w:rFonts w:ascii="宋体" w:hAnsi="宋体" w:eastAsia="宋体" w:cs="宋体"/>
                <w:spacing w:val="5"/>
                <w:sz w:val="20"/>
                <w:szCs w:val="20"/>
              </w:rPr>
              <w:t>以</w:t>
            </w:r>
            <w:r>
              <w:rPr>
                <w:rFonts w:ascii="宋体" w:hAnsi="宋体" w:eastAsia="宋体" w:cs="宋体"/>
                <w:sz w:val="20"/>
                <w:szCs w:val="20"/>
              </w:rPr>
              <w:t xml:space="preserve"> </w:t>
            </w:r>
            <w:r>
              <w:rPr>
                <w:rFonts w:ascii="宋体" w:hAnsi="宋体" w:eastAsia="宋体" w:cs="宋体"/>
                <w:spacing w:val="4"/>
                <w:sz w:val="20"/>
                <w:szCs w:val="20"/>
              </w:rPr>
              <w:t>上) 。</w:t>
            </w:r>
          </w:p>
        </w:tc>
        <w:tc>
          <w:tcPr>
            <w:tcW w:w="921" w:type="dxa"/>
            <w:tcBorders>
              <w:right w:val="nil"/>
            </w:tcBorders>
            <w:vAlign w:val="top"/>
          </w:tcPr>
          <w:p w14:paraId="360AB114">
            <w:pPr>
              <w:spacing w:line="277" w:lineRule="auto"/>
              <w:rPr>
                <w:rFonts w:ascii="Arial"/>
                <w:sz w:val="21"/>
              </w:rPr>
            </w:pPr>
          </w:p>
          <w:p w14:paraId="1AC81761">
            <w:pPr>
              <w:spacing w:line="278" w:lineRule="auto"/>
              <w:rPr>
                <w:rFonts w:ascii="Arial"/>
                <w:sz w:val="21"/>
              </w:rPr>
            </w:pPr>
          </w:p>
          <w:p w14:paraId="43AF19E8">
            <w:pPr>
              <w:spacing w:line="278" w:lineRule="auto"/>
              <w:rPr>
                <w:rFonts w:ascii="Arial"/>
                <w:sz w:val="21"/>
              </w:rPr>
            </w:pPr>
          </w:p>
          <w:p w14:paraId="7342EE2F">
            <w:pPr>
              <w:spacing w:before="57" w:line="192" w:lineRule="auto"/>
              <w:ind w:left="416"/>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r>
      <w:tr w14:paraId="3B4D25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552" w:type="dxa"/>
            <w:tcBorders>
              <w:left w:val="nil"/>
            </w:tcBorders>
            <w:vAlign w:val="top"/>
          </w:tcPr>
          <w:p w14:paraId="3CAF6EEE">
            <w:pPr>
              <w:spacing w:before="135" w:line="192" w:lineRule="auto"/>
              <w:ind w:left="229"/>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596" w:type="dxa"/>
            <w:vMerge w:val="restart"/>
            <w:tcBorders>
              <w:bottom w:val="nil"/>
            </w:tcBorders>
            <w:vAlign w:val="top"/>
          </w:tcPr>
          <w:p w14:paraId="6E228238">
            <w:pPr>
              <w:spacing w:line="249" w:lineRule="auto"/>
              <w:rPr>
                <w:rFonts w:ascii="Arial"/>
                <w:sz w:val="21"/>
              </w:rPr>
            </w:pPr>
          </w:p>
          <w:p w14:paraId="5793A1E9">
            <w:pPr>
              <w:spacing w:line="249" w:lineRule="auto"/>
              <w:rPr>
                <w:rFonts w:ascii="Arial"/>
                <w:sz w:val="21"/>
              </w:rPr>
            </w:pPr>
          </w:p>
          <w:p w14:paraId="320FF08B">
            <w:pPr>
              <w:spacing w:before="65" w:line="228" w:lineRule="auto"/>
              <w:ind w:left="57"/>
              <w:rPr>
                <w:rFonts w:ascii="宋体" w:hAnsi="宋体" w:eastAsia="宋体" w:cs="宋体"/>
                <w:sz w:val="20"/>
                <w:szCs w:val="20"/>
              </w:rPr>
            </w:pPr>
            <w:r>
              <w:rPr>
                <w:rFonts w:ascii="宋体" w:hAnsi="宋体" w:eastAsia="宋体" w:cs="宋体"/>
                <w:spacing w:val="10"/>
                <w:sz w:val="20"/>
                <w:szCs w:val="20"/>
              </w:rPr>
              <w:t>运营期废水治理</w:t>
            </w:r>
          </w:p>
        </w:tc>
        <w:tc>
          <w:tcPr>
            <w:tcW w:w="5321" w:type="dxa"/>
            <w:vAlign w:val="top"/>
          </w:tcPr>
          <w:p w14:paraId="7BEE64F1">
            <w:pPr>
              <w:spacing w:before="86" w:line="228" w:lineRule="auto"/>
              <w:ind w:left="890"/>
              <w:rPr>
                <w:rFonts w:ascii="宋体" w:hAnsi="宋体" w:eastAsia="宋体" w:cs="宋体"/>
                <w:sz w:val="20"/>
                <w:szCs w:val="20"/>
              </w:rPr>
            </w:pPr>
            <w:r>
              <w:rPr>
                <w:rFonts w:ascii="宋体" w:hAnsi="宋体" w:eastAsia="宋体" w:cs="宋体"/>
                <w:spacing w:val="-4"/>
                <w:sz w:val="20"/>
                <w:szCs w:val="20"/>
              </w:rPr>
              <w:t>员工</w:t>
            </w:r>
            <w:r>
              <w:rPr>
                <w:rFonts w:ascii="宋体" w:hAnsi="宋体" w:eastAsia="宋体" w:cs="宋体"/>
                <w:spacing w:val="-2"/>
                <w:sz w:val="20"/>
                <w:szCs w:val="20"/>
              </w:rPr>
              <w:t>使用防渗旱厕，定期清掏，不外排。</w:t>
            </w:r>
          </w:p>
        </w:tc>
        <w:tc>
          <w:tcPr>
            <w:tcW w:w="921" w:type="dxa"/>
            <w:tcBorders>
              <w:right w:val="nil"/>
            </w:tcBorders>
            <w:vAlign w:val="top"/>
          </w:tcPr>
          <w:p w14:paraId="61EEB5EE">
            <w:pPr>
              <w:spacing w:before="132" w:line="195" w:lineRule="auto"/>
              <w:ind w:left="430"/>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r>
      <w:tr w14:paraId="19241A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552" w:type="dxa"/>
            <w:tcBorders>
              <w:left w:val="nil"/>
            </w:tcBorders>
            <w:vAlign w:val="top"/>
          </w:tcPr>
          <w:p w14:paraId="491755FB">
            <w:pPr>
              <w:spacing w:line="368" w:lineRule="auto"/>
              <w:rPr>
                <w:rFonts w:ascii="Arial"/>
                <w:sz w:val="21"/>
              </w:rPr>
            </w:pPr>
          </w:p>
          <w:p w14:paraId="7859751A">
            <w:pPr>
              <w:spacing w:before="58" w:line="195" w:lineRule="auto"/>
              <w:ind w:left="234"/>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596" w:type="dxa"/>
            <w:vMerge w:val="continue"/>
            <w:tcBorders>
              <w:top w:val="nil"/>
            </w:tcBorders>
            <w:vAlign w:val="top"/>
          </w:tcPr>
          <w:p w14:paraId="2E8FA8B3">
            <w:pPr>
              <w:rPr>
                <w:rFonts w:ascii="Arial"/>
                <w:sz w:val="21"/>
              </w:rPr>
            </w:pPr>
          </w:p>
        </w:tc>
        <w:tc>
          <w:tcPr>
            <w:tcW w:w="5321" w:type="dxa"/>
            <w:vAlign w:val="top"/>
          </w:tcPr>
          <w:p w14:paraId="1AF5F340">
            <w:pPr>
              <w:spacing w:before="72" w:line="266" w:lineRule="auto"/>
              <w:ind w:left="29" w:firstLine="2"/>
              <w:rPr>
                <w:rFonts w:ascii="宋体" w:hAnsi="宋体" w:eastAsia="宋体" w:cs="宋体"/>
                <w:sz w:val="20"/>
                <w:szCs w:val="20"/>
              </w:rPr>
            </w:pPr>
            <w:r>
              <w:rPr>
                <w:rFonts w:ascii="宋体" w:hAnsi="宋体" w:eastAsia="宋体" w:cs="宋体"/>
                <w:spacing w:val="-8"/>
                <w:sz w:val="20"/>
                <w:szCs w:val="20"/>
              </w:rPr>
              <w:t>项</w:t>
            </w:r>
            <w:r>
              <w:rPr>
                <w:rFonts w:ascii="宋体" w:hAnsi="宋体" w:eastAsia="宋体" w:cs="宋体"/>
                <w:spacing w:val="-6"/>
                <w:sz w:val="20"/>
                <w:szCs w:val="20"/>
              </w:rPr>
              <w:t>目</w:t>
            </w:r>
            <w:r>
              <w:rPr>
                <w:rFonts w:ascii="宋体" w:hAnsi="宋体" w:eastAsia="宋体" w:cs="宋体"/>
                <w:spacing w:val="-4"/>
                <w:sz w:val="20"/>
                <w:szCs w:val="20"/>
              </w:rPr>
              <w:t xml:space="preserve">设有 </w:t>
            </w:r>
            <w:r>
              <w:rPr>
                <w:rFonts w:ascii="Times New Roman" w:hAnsi="Times New Roman" w:eastAsia="Times New Roman" w:cs="Times New Roman"/>
                <w:spacing w:val="-4"/>
                <w:sz w:val="20"/>
                <w:szCs w:val="20"/>
              </w:rPr>
              <w:t xml:space="preserve">1 </w:t>
            </w:r>
            <w:r>
              <w:rPr>
                <w:rFonts w:ascii="宋体" w:hAnsi="宋体" w:eastAsia="宋体" w:cs="宋体"/>
                <w:spacing w:val="-4"/>
                <w:sz w:val="20"/>
                <w:szCs w:val="20"/>
              </w:rPr>
              <w:t xml:space="preserve">座容积为 </w:t>
            </w:r>
            <w:r>
              <w:rPr>
                <w:rFonts w:ascii="Times New Roman" w:hAnsi="Times New Roman" w:eastAsia="Times New Roman" w:cs="Times New Roman"/>
                <w:spacing w:val="-4"/>
                <w:sz w:val="20"/>
                <w:szCs w:val="20"/>
              </w:rPr>
              <w:t>324m</w:t>
            </w:r>
            <w:r>
              <w:rPr>
                <w:rFonts w:ascii="Times New Roman" w:hAnsi="Times New Roman" w:eastAsia="Times New Roman" w:cs="Times New Roman"/>
                <w:spacing w:val="-4"/>
                <w:position w:val="6"/>
                <w:sz w:val="13"/>
                <w:szCs w:val="13"/>
              </w:rPr>
              <w:t xml:space="preserve">3 </w:t>
            </w:r>
            <w:r>
              <w:rPr>
                <w:rFonts w:ascii="宋体" w:hAnsi="宋体" w:eastAsia="宋体" w:cs="宋体"/>
                <w:spacing w:val="-4"/>
                <w:sz w:val="20"/>
                <w:szCs w:val="20"/>
              </w:rPr>
              <w:t>的三级沉淀池(</w:t>
            </w:r>
            <w:r>
              <w:rPr>
                <w:rFonts w:ascii="Times New Roman" w:hAnsi="Times New Roman" w:eastAsia="Times New Roman" w:cs="Times New Roman"/>
                <w:spacing w:val="-4"/>
                <w:sz w:val="20"/>
                <w:szCs w:val="20"/>
              </w:rPr>
              <w:t>12m×6m×4.5m</w:t>
            </w:r>
            <w:r>
              <w:rPr>
                <w:rFonts w:ascii="宋体" w:hAnsi="宋体" w:eastAsia="宋体" w:cs="宋体"/>
                <w:spacing w:val="-4"/>
                <w:sz w:val="20"/>
                <w:szCs w:val="20"/>
              </w:rPr>
              <w:t>) ，</w:t>
            </w:r>
            <w:r>
              <w:rPr>
                <w:rFonts w:ascii="宋体" w:hAnsi="宋体" w:eastAsia="宋体" w:cs="宋体"/>
                <w:sz w:val="20"/>
                <w:szCs w:val="20"/>
              </w:rPr>
              <w:t xml:space="preserve"> </w:t>
            </w:r>
            <w:r>
              <w:rPr>
                <w:rFonts w:ascii="宋体" w:hAnsi="宋体" w:eastAsia="宋体" w:cs="宋体"/>
                <w:spacing w:val="6"/>
                <w:sz w:val="20"/>
                <w:szCs w:val="20"/>
              </w:rPr>
              <w:t xml:space="preserve">同时配套设有 </w:t>
            </w:r>
            <w:r>
              <w:rPr>
                <w:rFonts w:ascii="Times New Roman" w:hAnsi="Times New Roman" w:eastAsia="Times New Roman" w:cs="Times New Roman"/>
                <w:spacing w:val="6"/>
                <w:sz w:val="20"/>
                <w:szCs w:val="20"/>
              </w:rPr>
              <w:t xml:space="preserve">1 </w:t>
            </w:r>
            <w:r>
              <w:rPr>
                <w:rFonts w:ascii="宋体" w:hAnsi="宋体" w:eastAsia="宋体" w:cs="宋体"/>
                <w:spacing w:val="6"/>
                <w:sz w:val="20"/>
                <w:szCs w:val="20"/>
              </w:rPr>
              <w:t>台一体化污水预处理设备，均位于生产</w:t>
            </w:r>
            <w:r>
              <w:rPr>
                <w:rFonts w:ascii="宋体" w:hAnsi="宋体" w:eastAsia="宋体" w:cs="宋体"/>
                <w:sz w:val="20"/>
                <w:szCs w:val="20"/>
              </w:rPr>
              <w:t xml:space="preserve">厂 </w:t>
            </w:r>
            <w:r>
              <w:rPr>
                <w:rFonts w:ascii="宋体" w:hAnsi="宋体" w:eastAsia="宋体" w:cs="宋体"/>
                <w:spacing w:val="14"/>
                <w:sz w:val="20"/>
                <w:szCs w:val="20"/>
              </w:rPr>
              <w:t>房</w:t>
            </w:r>
            <w:r>
              <w:rPr>
                <w:rFonts w:ascii="宋体" w:hAnsi="宋体" w:eastAsia="宋体" w:cs="宋体"/>
                <w:spacing w:val="8"/>
                <w:sz w:val="20"/>
                <w:szCs w:val="20"/>
              </w:rPr>
              <w:t>西南侧，产生的生产废水经一体化污水预处理设备处理</w:t>
            </w:r>
          </w:p>
        </w:tc>
        <w:tc>
          <w:tcPr>
            <w:tcW w:w="921" w:type="dxa"/>
            <w:tcBorders>
              <w:right w:val="nil"/>
            </w:tcBorders>
            <w:vAlign w:val="top"/>
          </w:tcPr>
          <w:p w14:paraId="09F8900E">
            <w:pPr>
              <w:spacing w:line="368" w:lineRule="auto"/>
              <w:rPr>
                <w:rFonts w:ascii="Arial"/>
                <w:sz w:val="21"/>
              </w:rPr>
            </w:pPr>
          </w:p>
          <w:p w14:paraId="403E4281">
            <w:pPr>
              <w:spacing w:before="58" w:line="195" w:lineRule="auto"/>
              <w:ind w:left="35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0</w:t>
            </w:r>
          </w:p>
        </w:tc>
      </w:tr>
    </w:tbl>
    <w:p w14:paraId="2F053946">
      <w:pPr>
        <w:rPr>
          <w:rFonts w:ascii="Arial"/>
          <w:sz w:val="21"/>
        </w:rPr>
      </w:pPr>
    </w:p>
    <w:p w14:paraId="14D4BBE1">
      <w:pPr>
        <w:sectPr>
          <w:headerReference r:id="rId315" w:type="default"/>
          <w:footerReference r:id="rId316" w:type="default"/>
          <w:pgSz w:w="11906" w:h="16839"/>
          <w:pgMar w:top="1132" w:right="1735" w:bottom="1182" w:left="1758" w:header="878" w:footer="1022" w:gutter="0"/>
          <w:cols w:space="720" w:num="1"/>
        </w:sectPr>
      </w:pPr>
    </w:p>
    <w:p w14:paraId="71627F2E">
      <w:r>
        <w:pict>
          <v:shape id="_x0000_s1375" o:spid="_x0000_s1375" style="position:absolute;left:0pt;margin-left:90pt;margin-top:57.35pt;height:0.75pt;width:415.3pt;mso-position-horizontal-relative:page;mso-position-vertical-relative:page;z-index:252070912;mso-width-relative:page;mso-height-relative:page;" fillcolor="#000000" filled="t" stroked="f" coordsize="8305,15" o:allowincell="f" path="m0,0l8305,0,8305,14,0,14,0,0xe">
            <v:path/>
            <v:fill on="t" focussize="0,0"/>
            <v:stroke on="f"/>
            <v:imagedata o:title=""/>
            <o:lock v:ext="edit"/>
          </v:shape>
        </w:pict>
      </w:r>
    </w:p>
    <w:p w14:paraId="597D3881">
      <w:pPr>
        <w:spacing w:line="65" w:lineRule="exact"/>
      </w:pPr>
    </w:p>
    <w:tbl>
      <w:tblPr>
        <w:tblStyle w:val="4"/>
        <w:tblW w:w="839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2"/>
        <w:gridCol w:w="1596"/>
        <w:gridCol w:w="5321"/>
        <w:gridCol w:w="921"/>
      </w:tblGrid>
      <w:tr w14:paraId="21F7A1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552" w:type="dxa"/>
            <w:tcBorders>
              <w:left w:val="nil"/>
            </w:tcBorders>
            <w:vAlign w:val="top"/>
          </w:tcPr>
          <w:p w14:paraId="6F17AC8C">
            <w:pPr>
              <w:rPr>
                <w:rFonts w:ascii="Arial"/>
                <w:sz w:val="21"/>
              </w:rPr>
            </w:pPr>
          </w:p>
        </w:tc>
        <w:tc>
          <w:tcPr>
            <w:tcW w:w="1596" w:type="dxa"/>
            <w:vAlign w:val="top"/>
          </w:tcPr>
          <w:p w14:paraId="0F426B8D">
            <w:pPr>
              <w:rPr>
                <w:rFonts w:ascii="Arial"/>
                <w:sz w:val="21"/>
              </w:rPr>
            </w:pPr>
          </w:p>
        </w:tc>
        <w:tc>
          <w:tcPr>
            <w:tcW w:w="5321" w:type="dxa"/>
            <w:vAlign w:val="top"/>
          </w:tcPr>
          <w:p w14:paraId="5DD9D142">
            <w:pPr>
              <w:spacing w:before="74" w:line="271" w:lineRule="auto"/>
              <w:ind w:left="27" w:right="8" w:firstLine="2"/>
              <w:rPr>
                <w:rFonts w:ascii="宋体" w:hAnsi="宋体" w:eastAsia="宋体" w:cs="宋体"/>
                <w:sz w:val="20"/>
                <w:szCs w:val="20"/>
              </w:rPr>
            </w:pPr>
            <w:r>
              <w:rPr>
                <w:rFonts w:ascii="宋体" w:hAnsi="宋体" w:eastAsia="宋体" w:cs="宋体"/>
                <w:spacing w:val="11"/>
                <w:sz w:val="20"/>
                <w:szCs w:val="20"/>
              </w:rPr>
              <w:t>后</w:t>
            </w:r>
            <w:r>
              <w:rPr>
                <w:rFonts w:ascii="宋体" w:hAnsi="宋体" w:eastAsia="宋体" w:cs="宋体"/>
                <w:spacing w:val="8"/>
                <w:sz w:val="20"/>
                <w:szCs w:val="20"/>
              </w:rPr>
              <w:t>排入三级沉淀池 (</w:t>
            </w:r>
            <w:r>
              <w:rPr>
                <w:rFonts w:ascii="Times New Roman" w:hAnsi="Times New Roman" w:eastAsia="Times New Roman" w:cs="Times New Roman"/>
                <w:spacing w:val="8"/>
                <w:sz w:val="20"/>
                <w:szCs w:val="20"/>
              </w:rPr>
              <w:t>12</w:t>
            </w:r>
            <w:r>
              <w:rPr>
                <w:rFonts w:ascii="Times New Roman" w:hAnsi="Times New Roman" w:eastAsia="Times New Roman" w:cs="Times New Roman"/>
                <w:sz w:val="20"/>
                <w:szCs w:val="20"/>
              </w:rPr>
              <w:t>m</w:t>
            </w:r>
            <w:r>
              <w:rPr>
                <w:rFonts w:ascii="Times New Roman" w:hAnsi="Times New Roman" w:eastAsia="Times New Roman" w:cs="Times New Roman"/>
                <w:spacing w:val="8"/>
                <w:sz w:val="20"/>
                <w:szCs w:val="20"/>
              </w:rPr>
              <w:t>×6</w:t>
            </w:r>
            <w:r>
              <w:rPr>
                <w:rFonts w:ascii="Times New Roman" w:hAnsi="Times New Roman" w:eastAsia="Times New Roman" w:cs="Times New Roman"/>
                <w:sz w:val="20"/>
                <w:szCs w:val="20"/>
              </w:rPr>
              <w:t>m</w:t>
            </w:r>
            <w:r>
              <w:rPr>
                <w:rFonts w:ascii="Times New Roman" w:hAnsi="Times New Roman" w:eastAsia="Times New Roman" w:cs="Times New Roman"/>
                <w:spacing w:val="8"/>
                <w:sz w:val="20"/>
                <w:szCs w:val="20"/>
              </w:rPr>
              <w:t>×4.5</w:t>
            </w:r>
            <w:r>
              <w:rPr>
                <w:rFonts w:ascii="Times New Roman" w:hAnsi="Times New Roman" w:eastAsia="Times New Roman" w:cs="Times New Roman"/>
                <w:sz w:val="20"/>
                <w:szCs w:val="20"/>
              </w:rPr>
              <w:t>m</w:t>
            </w:r>
            <w:r>
              <w:rPr>
                <w:rFonts w:ascii="宋体" w:hAnsi="宋体" w:eastAsia="宋体" w:cs="宋体"/>
                <w:spacing w:val="8"/>
                <w:sz w:val="20"/>
                <w:szCs w:val="20"/>
              </w:rPr>
              <w:t>) 沉淀处理，随后循环</w:t>
            </w:r>
            <w:r>
              <w:rPr>
                <w:rFonts w:ascii="宋体" w:hAnsi="宋体" w:eastAsia="宋体" w:cs="宋体"/>
                <w:sz w:val="20"/>
                <w:szCs w:val="20"/>
              </w:rPr>
              <w:t xml:space="preserve"> </w:t>
            </w:r>
            <w:r>
              <w:rPr>
                <w:rFonts w:ascii="宋体" w:hAnsi="宋体" w:eastAsia="宋体" w:cs="宋体"/>
                <w:spacing w:val="1"/>
                <w:sz w:val="20"/>
                <w:szCs w:val="20"/>
              </w:rPr>
              <w:t xml:space="preserve">使用。污水处理设施废水每月更换 </w:t>
            </w:r>
            <w:r>
              <w:rPr>
                <w:rFonts w:ascii="Times New Roman" w:hAnsi="Times New Roman" w:eastAsia="Times New Roman" w:cs="Times New Roman"/>
                <w:spacing w:val="1"/>
                <w:sz w:val="20"/>
                <w:szCs w:val="20"/>
              </w:rPr>
              <w:t xml:space="preserve">1 </w:t>
            </w:r>
            <w:r>
              <w:rPr>
                <w:rFonts w:ascii="宋体" w:hAnsi="宋体" w:eastAsia="宋体" w:cs="宋体"/>
                <w:sz w:val="20"/>
                <w:szCs w:val="20"/>
              </w:rPr>
              <w:t xml:space="preserve">次，则该项目全年更换 </w:t>
            </w:r>
            <w:r>
              <w:rPr>
                <w:rFonts w:ascii="宋体" w:hAnsi="宋体" w:eastAsia="宋体" w:cs="宋体"/>
                <w:spacing w:val="4"/>
                <w:sz w:val="20"/>
                <w:szCs w:val="20"/>
              </w:rPr>
              <w:t xml:space="preserve">废水量为 </w:t>
            </w:r>
            <w:r>
              <w:rPr>
                <w:rFonts w:ascii="Times New Roman" w:hAnsi="Times New Roman" w:eastAsia="Times New Roman" w:cs="Times New Roman"/>
                <w:spacing w:val="4"/>
                <w:sz w:val="20"/>
                <w:szCs w:val="20"/>
              </w:rPr>
              <w:t>15</w:t>
            </w:r>
            <w:r>
              <w:rPr>
                <w:rFonts w:ascii="Times New Roman" w:hAnsi="Times New Roman" w:eastAsia="Times New Roman" w:cs="Times New Roman"/>
                <w:spacing w:val="2"/>
                <w:sz w:val="20"/>
                <w:szCs w:val="20"/>
              </w:rPr>
              <w:t>23.52</w:t>
            </w:r>
            <w:r>
              <w:rPr>
                <w:rFonts w:ascii="Times New Roman" w:hAnsi="Times New Roman" w:eastAsia="Times New Roman" w:cs="Times New Roman"/>
                <w:sz w:val="20"/>
                <w:szCs w:val="20"/>
              </w:rPr>
              <w:t>m</w:t>
            </w:r>
            <w:r>
              <w:rPr>
                <w:rFonts w:ascii="Times New Roman" w:hAnsi="Times New Roman" w:eastAsia="Times New Roman" w:cs="Times New Roman"/>
                <w:spacing w:val="2"/>
                <w:position w:val="6"/>
                <w:sz w:val="13"/>
                <w:szCs w:val="13"/>
              </w:rPr>
              <w:t xml:space="preserve">3 </w:t>
            </w:r>
            <w:r>
              <w:rPr>
                <w:rFonts w:ascii="宋体" w:hAnsi="宋体" w:eastAsia="宋体" w:cs="宋体"/>
                <w:spacing w:val="2"/>
                <w:sz w:val="20"/>
                <w:szCs w:val="20"/>
              </w:rPr>
              <w:t>，更换过程产生的废水经吸污车运送至</w:t>
            </w:r>
            <w:r>
              <w:rPr>
                <w:rFonts w:ascii="宋体" w:hAnsi="宋体" w:eastAsia="宋体" w:cs="宋体"/>
                <w:sz w:val="20"/>
                <w:szCs w:val="20"/>
              </w:rPr>
              <w:t xml:space="preserve"> </w:t>
            </w:r>
            <w:r>
              <w:rPr>
                <w:rFonts w:ascii="宋体" w:hAnsi="宋体" w:eastAsia="宋体" w:cs="宋体"/>
                <w:spacing w:val="-2"/>
                <w:sz w:val="20"/>
                <w:szCs w:val="20"/>
              </w:rPr>
              <w:t>本溪市科态污水处理有限责任公司</w:t>
            </w:r>
            <w:r>
              <w:rPr>
                <w:rFonts w:ascii="宋体" w:hAnsi="宋体" w:eastAsia="宋体" w:cs="宋体"/>
                <w:spacing w:val="-1"/>
                <w:sz w:val="20"/>
                <w:szCs w:val="20"/>
              </w:rPr>
              <w:t>统一处理。</w:t>
            </w:r>
          </w:p>
        </w:tc>
        <w:tc>
          <w:tcPr>
            <w:tcW w:w="921" w:type="dxa"/>
            <w:tcBorders>
              <w:right w:val="nil"/>
            </w:tcBorders>
            <w:vAlign w:val="top"/>
          </w:tcPr>
          <w:p w14:paraId="63CEE705">
            <w:pPr>
              <w:rPr>
                <w:rFonts w:ascii="Arial"/>
                <w:sz w:val="21"/>
              </w:rPr>
            </w:pPr>
          </w:p>
        </w:tc>
      </w:tr>
      <w:tr w14:paraId="69DB2C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3" w:hRule="atLeast"/>
        </w:trPr>
        <w:tc>
          <w:tcPr>
            <w:tcW w:w="552" w:type="dxa"/>
            <w:tcBorders>
              <w:left w:val="nil"/>
            </w:tcBorders>
            <w:vAlign w:val="top"/>
          </w:tcPr>
          <w:p w14:paraId="7C921CC1">
            <w:pPr>
              <w:spacing w:line="305" w:lineRule="auto"/>
              <w:rPr>
                <w:rFonts w:ascii="Arial"/>
                <w:sz w:val="21"/>
              </w:rPr>
            </w:pPr>
          </w:p>
          <w:p w14:paraId="0E9287F0">
            <w:pPr>
              <w:spacing w:line="305" w:lineRule="auto"/>
              <w:rPr>
                <w:rFonts w:ascii="Arial"/>
                <w:sz w:val="21"/>
              </w:rPr>
            </w:pPr>
          </w:p>
          <w:p w14:paraId="636D760F">
            <w:pPr>
              <w:spacing w:line="306" w:lineRule="auto"/>
              <w:rPr>
                <w:rFonts w:ascii="Arial"/>
                <w:sz w:val="21"/>
              </w:rPr>
            </w:pPr>
          </w:p>
          <w:p w14:paraId="4FF4D3F4">
            <w:pPr>
              <w:spacing w:before="57" w:line="195" w:lineRule="auto"/>
              <w:ind w:left="230"/>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596" w:type="dxa"/>
            <w:vMerge w:val="restart"/>
            <w:tcBorders>
              <w:bottom w:val="nil"/>
            </w:tcBorders>
            <w:vAlign w:val="top"/>
          </w:tcPr>
          <w:p w14:paraId="56EE4B33">
            <w:pPr>
              <w:spacing w:line="259" w:lineRule="auto"/>
              <w:rPr>
                <w:rFonts w:ascii="Arial"/>
                <w:sz w:val="21"/>
              </w:rPr>
            </w:pPr>
          </w:p>
          <w:p w14:paraId="2AF80F3F">
            <w:pPr>
              <w:spacing w:line="260" w:lineRule="auto"/>
              <w:rPr>
                <w:rFonts w:ascii="Arial"/>
                <w:sz w:val="21"/>
              </w:rPr>
            </w:pPr>
          </w:p>
          <w:p w14:paraId="6201D638">
            <w:pPr>
              <w:spacing w:line="260" w:lineRule="auto"/>
              <w:rPr>
                <w:rFonts w:ascii="Arial"/>
                <w:sz w:val="21"/>
              </w:rPr>
            </w:pPr>
          </w:p>
          <w:p w14:paraId="30ECC35D">
            <w:pPr>
              <w:spacing w:line="260" w:lineRule="auto"/>
              <w:rPr>
                <w:rFonts w:ascii="Arial"/>
                <w:sz w:val="21"/>
              </w:rPr>
            </w:pPr>
          </w:p>
          <w:p w14:paraId="0772E35D">
            <w:pPr>
              <w:spacing w:line="260" w:lineRule="auto"/>
              <w:rPr>
                <w:rFonts w:ascii="Arial"/>
                <w:sz w:val="21"/>
              </w:rPr>
            </w:pPr>
          </w:p>
          <w:p w14:paraId="5E20AE2E">
            <w:pPr>
              <w:spacing w:line="260" w:lineRule="auto"/>
              <w:rPr>
                <w:rFonts w:ascii="Arial"/>
                <w:sz w:val="21"/>
              </w:rPr>
            </w:pPr>
          </w:p>
          <w:p w14:paraId="454A83A5">
            <w:pPr>
              <w:spacing w:before="65" w:line="339" w:lineRule="exact"/>
              <w:ind w:left="383"/>
              <w:rPr>
                <w:rFonts w:ascii="宋体" w:hAnsi="宋体" w:eastAsia="宋体" w:cs="宋体"/>
                <w:sz w:val="20"/>
                <w:szCs w:val="20"/>
              </w:rPr>
            </w:pPr>
            <w:r>
              <w:rPr>
                <w:rFonts w:ascii="宋体" w:hAnsi="宋体" w:eastAsia="宋体" w:cs="宋体"/>
                <w:spacing w:val="8"/>
                <w:position w:val="9"/>
                <w:sz w:val="20"/>
                <w:szCs w:val="20"/>
              </w:rPr>
              <w:t>运</w:t>
            </w:r>
            <w:r>
              <w:rPr>
                <w:rFonts w:ascii="宋体" w:hAnsi="宋体" w:eastAsia="宋体" w:cs="宋体"/>
                <w:spacing w:val="7"/>
                <w:position w:val="9"/>
                <w:sz w:val="20"/>
                <w:szCs w:val="20"/>
              </w:rPr>
              <w:t>营期地</w:t>
            </w:r>
          </w:p>
          <w:p w14:paraId="6A40DE52">
            <w:pPr>
              <w:spacing w:line="227" w:lineRule="auto"/>
              <w:ind w:left="378"/>
              <w:rPr>
                <w:rFonts w:ascii="宋体" w:hAnsi="宋体" w:eastAsia="宋体" w:cs="宋体"/>
                <w:sz w:val="20"/>
                <w:szCs w:val="20"/>
              </w:rPr>
            </w:pPr>
            <w:r>
              <w:rPr>
                <w:rFonts w:ascii="宋体" w:hAnsi="宋体" w:eastAsia="宋体" w:cs="宋体"/>
                <w:spacing w:val="11"/>
                <w:sz w:val="20"/>
                <w:szCs w:val="20"/>
              </w:rPr>
              <w:t>下</w:t>
            </w:r>
            <w:r>
              <w:rPr>
                <w:rFonts w:ascii="宋体" w:hAnsi="宋体" w:eastAsia="宋体" w:cs="宋体"/>
                <w:spacing w:val="8"/>
                <w:sz w:val="20"/>
                <w:szCs w:val="20"/>
              </w:rPr>
              <w:t>水治理</w:t>
            </w:r>
          </w:p>
        </w:tc>
        <w:tc>
          <w:tcPr>
            <w:tcW w:w="5321" w:type="dxa"/>
            <w:vAlign w:val="top"/>
          </w:tcPr>
          <w:p w14:paraId="6E0B6E7A">
            <w:pPr>
              <w:tabs>
                <w:tab w:val="left" w:pos="138"/>
              </w:tabs>
              <w:spacing w:before="96" w:line="299" w:lineRule="auto"/>
              <w:ind w:left="28" w:right="10" w:firstLine="3"/>
              <w:rPr>
                <w:rFonts w:ascii="宋体" w:hAnsi="宋体" w:eastAsia="宋体" w:cs="宋体"/>
                <w:sz w:val="20"/>
                <w:szCs w:val="20"/>
              </w:rPr>
            </w:pPr>
            <w:r>
              <w:rPr>
                <w:rFonts w:ascii="宋体" w:hAnsi="宋体" w:eastAsia="宋体" w:cs="宋体"/>
                <w:spacing w:val="3"/>
                <w:sz w:val="20"/>
                <w:szCs w:val="20"/>
              </w:rPr>
              <w:t>项目生产厂房、成品库、原料库、三级沉淀池、旱厕、</w:t>
            </w:r>
            <w:r>
              <w:rPr>
                <w:rFonts w:ascii="宋体" w:hAnsi="宋体" w:eastAsia="宋体" w:cs="宋体"/>
                <w:spacing w:val="1"/>
                <w:sz w:val="20"/>
                <w:szCs w:val="20"/>
              </w:rPr>
              <w:t>危</w:t>
            </w:r>
            <w:r>
              <w:rPr>
                <w:rFonts w:ascii="宋体" w:hAnsi="宋体" w:eastAsia="宋体" w:cs="宋体"/>
                <w:sz w:val="20"/>
                <w:szCs w:val="20"/>
              </w:rPr>
              <w:t xml:space="preserve">废 </w:t>
            </w:r>
            <w:r>
              <w:rPr>
                <w:rFonts w:ascii="宋体" w:hAnsi="宋体" w:eastAsia="宋体" w:cs="宋体"/>
                <w:spacing w:val="6"/>
                <w:sz w:val="20"/>
                <w:szCs w:val="20"/>
              </w:rPr>
              <w:t>暂存间底部铺设</w:t>
            </w:r>
            <w:r>
              <w:rPr>
                <w:rFonts w:ascii="宋体" w:hAnsi="宋体" w:eastAsia="宋体" w:cs="宋体"/>
                <w:spacing w:val="4"/>
                <w:sz w:val="20"/>
                <w:szCs w:val="20"/>
              </w:rPr>
              <w:t xml:space="preserve"> </w:t>
            </w:r>
            <w:r>
              <w:rPr>
                <w:rFonts w:ascii="Times New Roman" w:hAnsi="Times New Roman" w:eastAsia="Times New Roman" w:cs="Times New Roman"/>
                <w:spacing w:val="3"/>
                <w:sz w:val="20"/>
                <w:szCs w:val="20"/>
              </w:rPr>
              <w:t>300</w:t>
            </w:r>
            <w:r>
              <w:rPr>
                <w:rFonts w:ascii="Times New Roman" w:hAnsi="Times New Roman" w:eastAsia="Times New Roman" w:cs="Times New Roman"/>
                <w:sz w:val="20"/>
                <w:szCs w:val="20"/>
              </w:rPr>
              <w:t>mm</w:t>
            </w:r>
            <w:r>
              <w:rPr>
                <w:rFonts w:ascii="Times New Roman" w:hAnsi="Times New Roman" w:eastAsia="Times New Roman" w:cs="Times New Roman"/>
                <w:spacing w:val="3"/>
                <w:sz w:val="20"/>
                <w:szCs w:val="20"/>
              </w:rPr>
              <w:t xml:space="preserve"> </w:t>
            </w:r>
            <w:r>
              <w:rPr>
                <w:rFonts w:ascii="宋体" w:hAnsi="宋体" w:eastAsia="宋体" w:cs="宋体"/>
                <w:spacing w:val="3"/>
                <w:sz w:val="20"/>
                <w:szCs w:val="20"/>
              </w:rPr>
              <w:t>黏土层 (保护层，同时作为辅助防</w:t>
            </w:r>
            <w:r>
              <w:rPr>
                <w:rFonts w:ascii="宋体" w:hAnsi="宋体" w:eastAsia="宋体" w:cs="宋体"/>
                <w:sz w:val="20"/>
                <w:szCs w:val="20"/>
              </w:rPr>
              <w:t xml:space="preserve"> </w:t>
            </w:r>
            <w:r>
              <w:rPr>
                <w:rFonts w:ascii="宋体" w:hAnsi="宋体" w:eastAsia="宋体" w:cs="宋体"/>
                <w:spacing w:val="10"/>
                <w:sz w:val="20"/>
                <w:szCs w:val="20"/>
              </w:rPr>
              <w:t>渗层</w:t>
            </w:r>
            <w:r>
              <w:rPr>
                <w:rFonts w:ascii="宋体" w:hAnsi="宋体" w:eastAsia="宋体" w:cs="宋体"/>
                <w:spacing w:val="8"/>
                <w:sz w:val="20"/>
                <w:szCs w:val="20"/>
              </w:rPr>
              <w:t>)</w:t>
            </w:r>
            <w:r>
              <w:rPr>
                <w:rFonts w:ascii="宋体" w:hAnsi="宋体" w:eastAsia="宋体" w:cs="宋体"/>
                <w:spacing w:val="5"/>
                <w:sz w:val="20"/>
                <w:szCs w:val="20"/>
              </w:rPr>
              <w:t xml:space="preserve"> 压实平整，黏土层上铺设 </w:t>
            </w:r>
            <w:r>
              <w:rPr>
                <w:rFonts w:ascii="Times New Roman" w:hAnsi="Times New Roman" w:eastAsia="Times New Roman" w:cs="Times New Roman"/>
                <w:sz w:val="20"/>
                <w:szCs w:val="20"/>
              </w:rPr>
              <w:t>HDPE</w:t>
            </w:r>
            <w:r>
              <w:rPr>
                <w:rFonts w:ascii="Times New Roman" w:hAnsi="Times New Roman" w:eastAsia="Times New Roman" w:cs="Times New Roman"/>
                <w:spacing w:val="5"/>
                <w:sz w:val="20"/>
                <w:szCs w:val="20"/>
              </w:rPr>
              <w:t>-</w:t>
            </w:r>
            <w:r>
              <w:rPr>
                <w:rFonts w:ascii="Times New Roman" w:hAnsi="Times New Roman" w:eastAsia="Times New Roman" w:cs="Times New Roman"/>
                <w:sz w:val="20"/>
                <w:szCs w:val="20"/>
              </w:rPr>
              <w:t>GCL</w:t>
            </w:r>
            <w:r>
              <w:rPr>
                <w:rFonts w:ascii="Times New Roman" w:hAnsi="Times New Roman" w:eastAsia="Times New Roman" w:cs="Times New Roman"/>
                <w:spacing w:val="5"/>
                <w:sz w:val="20"/>
                <w:szCs w:val="20"/>
              </w:rPr>
              <w:t xml:space="preserve"> </w:t>
            </w:r>
            <w:r>
              <w:rPr>
                <w:rFonts w:ascii="宋体" w:hAnsi="宋体" w:eastAsia="宋体" w:cs="宋体"/>
                <w:spacing w:val="5"/>
                <w:sz w:val="20"/>
                <w:szCs w:val="20"/>
              </w:rPr>
              <w:t>复合防渗系统</w:t>
            </w:r>
            <w:r>
              <w:rPr>
                <w:rFonts w:ascii="宋体" w:hAnsi="宋体" w:eastAsia="宋体" w:cs="宋体"/>
                <w:sz w:val="20"/>
                <w:szCs w:val="20"/>
              </w:rPr>
              <w:t xml:space="preserve"> </w:t>
            </w:r>
            <w:r>
              <w:rPr>
                <w:rFonts w:ascii="宋体" w:hAnsi="宋体" w:eastAsia="宋体" w:cs="宋体"/>
                <w:sz w:val="20"/>
                <w:szCs w:val="20"/>
              </w:rPr>
              <w:tab/>
            </w:r>
            <w:r>
              <w:rPr>
                <w:rFonts w:ascii="宋体" w:hAnsi="宋体" w:eastAsia="宋体" w:cs="宋体"/>
                <w:spacing w:val="35"/>
                <w:sz w:val="20"/>
                <w:szCs w:val="20"/>
              </w:rPr>
              <w:t>(</w:t>
            </w:r>
            <w:r>
              <w:rPr>
                <w:rFonts w:ascii="Times New Roman" w:hAnsi="Times New Roman" w:eastAsia="Times New Roman" w:cs="Times New Roman"/>
                <w:spacing w:val="18"/>
                <w:sz w:val="20"/>
                <w:szCs w:val="20"/>
              </w:rPr>
              <w:t>2</w:t>
            </w:r>
            <w:r>
              <w:rPr>
                <w:rFonts w:ascii="Times New Roman" w:hAnsi="Times New Roman" w:eastAsia="Times New Roman" w:cs="Times New Roman"/>
                <w:sz w:val="20"/>
                <w:szCs w:val="20"/>
              </w:rPr>
              <w:t>mm</w:t>
            </w:r>
            <w:r>
              <w:rPr>
                <w:rFonts w:ascii="Times New Roman" w:hAnsi="Times New Roman" w:eastAsia="Times New Roman" w:cs="Times New Roman"/>
                <w:spacing w:val="18"/>
                <w:sz w:val="20"/>
                <w:szCs w:val="20"/>
              </w:rPr>
              <w:t xml:space="preserve"> </w:t>
            </w:r>
            <w:r>
              <w:rPr>
                <w:rFonts w:ascii="宋体" w:hAnsi="宋体" w:eastAsia="宋体" w:cs="宋体"/>
                <w:spacing w:val="18"/>
                <w:sz w:val="20"/>
                <w:szCs w:val="20"/>
              </w:rPr>
              <w:t>厚的高密度聚乙烯膜、</w:t>
            </w:r>
            <w:r>
              <w:rPr>
                <w:rFonts w:ascii="Times New Roman" w:hAnsi="Times New Roman" w:eastAsia="Times New Roman" w:cs="Times New Roman"/>
                <w:spacing w:val="18"/>
                <w:sz w:val="20"/>
                <w:szCs w:val="20"/>
              </w:rPr>
              <w:t>300</w:t>
            </w:r>
            <w:r>
              <w:rPr>
                <w:rFonts w:ascii="Times New Roman" w:hAnsi="Times New Roman" w:eastAsia="Times New Roman" w:cs="Times New Roman"/>
                <w:sz w:val="20"/>
                <w:szCs w:val="20"/>
              </w:rPr>
              <w:t>g</w:t>
            </w:r>
            <w:r>
              <w:rPr>
                <w:rFonts w:ascii="Times New Roman" w:hAnsi="Times New Roman" w:eastAsia="Times New Roman" w:cs="Times New Roman"/>
                <w:spacing w:val="18"/>
                <w:sz w:val="20"/>
                <w:szCs w:val="20"/>
              </w:rPr>
              <w:t>/</w:t>
            </w:r>
            <w:r>
              <w:rPr>
                <w:rFonts w:ascii="Times New Roman" w:hAnsi="Times New Roman" w:eastAsia="Times New Roman" w:cs="Times New Roman"/>
                <w:sz w:val="20"/>
                <w:szCs w:val="20"/>
              </w:rPr>
              <w:t>m</w:t>
            </w:r>
            <w:r>
              <w:rPr>
                <w:rFonts w:ascii="Times New Roman" w:hAnsi="Times New Roman" w:eastAsia="Times New Roman" w:cs="Times New Roman"/>
                <w:spacing w:val="18"/>
                <w:position w:val="6"/>
                <w:sz w:val="13"/>
                <w:szCs w:val="13"/>
              </w:rPr>
              <w:t xml:space="preserve">2 </w:t>
            </w:r>
            <w:r>
              <w:rPr>
                <w:rFonts w:ascii="宋体" w:hAnsi="宋体" w:eastAsia="宋体" w:cs="宋体"/>
                <w:spacing w:val="18"/>
                <w:sz w:val="20"/>
                <w:szCs w:val="20"/>
              </w:rPr>
              <w:t>土工织物膨润土</w:t>
            </w:r>
            <w:r>
              <w:rPr>
                <w:rFonts w:ascii="宋体" w:hAnsi="宋体" w:eastAsia="宋体" w:cs="宋体"/>
                <w:sz w:val="20"/>
                <w:szCs w:val="20"/>
              </w:rPr>
              <w:t xml:space="preserve"> </w:t>
            </w:r>
            <w:r>
              <w:rPr>
                <w:rFonts w:ascii="宋体" w:hAnsi="宋体" w:eastAsia="宋体" w:cs="宋体"/>
                <w:spacing w:val="6"/>
                <w:sz w:val="20"/>
                <w:szCs w:val="20"/>
              </w:rPr>
              <w:t>垫</w:t>
            </w:r>
            <w:r>
              <w:rPr>
                <w:rFonts w:ascii="宋体" w:hAnsi="宋体" w:eastAsia="宋体" w:cs="宋体"/>
                <w:spacing w:val="4"/>
                <w:sz w:val="20"/>
                <w:szCs w:val="20"/>
              </w:rPr>
              <w:t xml:space="preserve">) ，上部外加耐腐蚀混凝土 </w:t>
            </w:r>
            <w:r>
              <w:rPr>
                <w:rFonts w:ascii="Times New Roman" w:hAnsi="Times New Roman" w:eastAsia="Times New Roman" w:cs="Times New Roman"/>
                <w:spacing w:val="4"/>
                <w:sz w:val="20"/>
                <w:szCs w:val="20"/>
              </w:rPr>
              <w:t>15</w:t>
            </w:r>
            <w:r>
              <w:rPr>
                <w:rFonts w:ascii="Times New Roman" w:hAnsi="Times New Roman" w:eastAsia="Times New Roman" w:cs="Times New Roman"/>
                <w:sz w:val="20"/>
                <w:szCs w:val="20"/>
              </w:rPr>
              <w:t>cm</w:t>
            </w:r>
            <w:r>
              <w:rPr>
                <w:rFonts w:ascii="Times New Roman" w:hAnsi="Times New Roman" w:eastAsia="Times New Roman" w:cs="Times New Roman"/>
                <w:spacing w:val="4"/>
                <w:sz w:val="20"/>
                <w:szCs w:val="20"/>
              </w:rPr>
              <w:t xml:space="preserve">  </w:t>
            </w:r>
            <w:r>
              <w:rPr>
                <w:rFonts w:ascii="宋体" w:hAnsi="宋体" w:eastAsia="宋体" w:cs="宋体"/>
                <w:spacing w:val="4"/>
                <w:sz w:val="20"/>
                <w:szCs w:val="20"/>
              </w:rPr>
              <w:t>(保护层) 等防渗，侧</w:t>
            </w:r>
            <w:r>
              <w:rPr>
                <w:rFonts w:ascii="宋体" w:hAnsi="宋体" w:eastAsia="宋体" w:cs="宋体"/>
                <w:sz w:val="20"/>
                <w:szCs w:val="20"/>
              </w:rPr>
              <w:t xml:space="preserve"> </w:t>
            </w:r>
            <w:r>
              <w:rPr>
                <w:rFonts w:ascii="宋体" w:hAnsi="宋体" w:eastAsia="宋体" w:cs="宋体"/>
                <w:spacing w:val="6"/>
                <w:sz w:val="20"/>
                <w:szCs w:val="20"/>
              </w:rPr>
              <w:t>壁</w:t>
            </w:r>
            <w:r>
              <w:rPr>
                <w:rFonts w:ascii="宋体" w:hAnsi="宋体" w:eastAsia="宋体" w:cs="宋体"/>
                <w:spacing w:val="4"/>
                <w:sz w:val="20"/>
                <w:szCs w:val="20"/>
              </w:rPr>
              <w:t xml:space="preserve">均设防渗墙；总防渗面积 </w:t>
            </w:r>
            <w:r>
              <w:rPr>
                <w:rFonts w:ascii="Times New Roman" w:hAnsi="Times New Roman" w:eastAsia="Times New Roman" w:cs="Times New Roman"/>
                <w:spacing w:val="4"/>
                <w:sz w:val="20"/>
                <w:szCs w:val="20"/>
              </w:rPr>
              <w:t>1117</w:t>
            </w:r>
            <w:r>
              <w:rPr>
                <w:rFonts w:ascii="Times New Roman" w:hAnsi="Times New Roman" w:eastAsia="Times New Roman" w:cs="Times New Roman"/>
                <w:sz w:val="20"/>
                <w:szCs w:val="20"/>
              </w:rPr>
              <w:t>m</w:t>
            </w:r>
            <w:r>
              <w:rPr>
                <w:rFonts w:ascii="Times New Roman" w:hAnsi="Times New Roman" w:eastAsia="Times New Roman" w:cs="Times New Roman"/>
                <w:spacing w:val="4"/>
                <w:position w:val="6"/>
                <w:sz w:val="13"/>
                <w:szCs w:val="13"/>
              </w:rPr>
              <w:t>2</w:t>
            </w:r>
            <w:r>
              <w:rPr>
                <w:rFonts w:ascii="宋体" w:hAnsi="宋体" w:eastAsia="宋体" w:cs="宋体"/>
                <w:spacing w:val="4"/>
                <w:sz w:val="20"/>
                <w:szCs w:val="20"/>
              </w:rPr>
              <w:t>。</w:t>
            </w:r>
          </w:p>
        </w:tc>
        <w:tc>
          <w:tcPr>
            <w:tcW w:w="921" w:type="dxa"/>
            <w:tcBorders>
              <w:right w:val="nil"/>
            </w:tcBorders>
            <w:vAlign w:val="top"/>
          </w:tcPr>
          <w:p w14:paraId="60B9478D">
            <w:pPr>
              <w:spacing w:line="305" w:lineRule="auto"/>
              <w:rPr>
                <w:rFonts w:ascii="Arial"/>
                <w:sz w:val="21"/>
              </w:rPr>
            </w:pPr>
          </w:p>
          <w:p w14:paraId="3D582E4C">
            <w:pPr>
              <w:spacing w:line="305" w:lineRule="auto"/>
              <w:rPr>
                <w:rFonts w:ascii="Arial"/>
                <w:sz w:val="21"/>
              </w:rPr>
            </w:pPr>
          </w:p>
          <w:p w14:paraId="5E05DCD8">
            <w:pPr>
              <w:spacing w:line="306" w:lineRule="auto"/>
              <w:rPr>
                <w:rFonts w:ascii="Arial"/>
                <w:sz w:val="21"/>
              </w:rPr>
            </w:pPr>
          </w:p>
          <w:p w14:paraId="2E7FC2B6">
            <w:pPr>
              <w:spacing w:before="57" w:line="195" w:lineRule="auto"/>
              <w:ind w:left="33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w:t>
            </w:r>
            <w:r>
              <w:rPr>
                <w:rFonts w:ascii="Times New Roman" w:hAnsi="Times New Roman" w:eastAsia="Times New Roman" w:cs="Times New Roman"/>
                <w:spacing w:val="1"/>
                <w:sz w:val="20"/>
                <w:szCs w:val="20"/>
              </w:rPr>
              <w:t>0</w:t>
            </w:r>
          </w:p>
        </w:tc>
      </w:tr>
      <w:tr w14:paraId="5FC73B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4" w:hRule="atLeast"/>
        </w:trPr>
        <w:tc>
          <w:tcPr>
            <w:tcW w:w="552" w:type="dxa"/>
            <w:tcBorders>
              <w:left w:val="nil"/>
            </w:tcBorders>
            <w:vAlign w:val="top"/>
          </w:tcPr>
          <w:p w14:paraId="39C9E6C6">
            <w:pPr>
              <w:spacing w:line="411" w:lineRule="auto"/>
              <w:rPr>
                <w:rFonts w:ascii="Arial"/>
                <w:sz w:val="21"/>
              </w:rPr>
            </w:pPr>
          </w:p>
          <w:p w14:paraId="39761388">
            <w:pPr>
              <w:spacing w:before="58" w:line="195" w:lineRule="auto"/>
              <w:ind w:left="19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c>
          <w:tcPr>
            <w:tcW w:w="1596" w:type="dxa"/>
            <w:vMerge w:val="continue"/>
            <w:tcBorders>
              <w:top w:val="nil"/>
              <w:bottom w:val="nil"/>
            </w:tcBorders>
            <w:vAlign w:val="top"/>
          </w:tcPr>
          <w:p w14:paraId="36899922">
            <w:pPr>
              <w:rPr>
                <w:rFonts w:ascii="Arial"/>
                <w:sz w:val="21"/>
              </w:rPr>
            </w:pPr>
          </w:p>
        </w:tc>
        <w:tc>
          <w:tcPr>
            <w:tcW w:w="5321" w:type="dxa"/>
            <w:vAlign w:val="top"/>
          </w:tcPr>
          <w:p w14:paraId="700B5023">
            <w:pPr>
              <w:spacing w:before="56" w:line="297" w:lineRule="auto"/>
              <w:ind w:left="28" w:right="18" w:firstLine="4"/>
              <w:rPr>
                <w:rFonts w:ascii="宋体" w:hAnsi="宋体" w:eastAsia="宋体" w:cs="宋体"/>
                <w:sz w:val="20"/>
                <w:szCs w:val="20"/>
              </w:rPr>
            </w:pPr>
            <w:r>
              <w:rPr>
                <w:rFonts w:ascii="宋体" w:hAnsi="宋体" w:eastAsia="宋体" w:cs="宋体"/>
                <w:spacing w:val="18"/>
                <w:sz w:val="20"/>
                <w:szCs w:val="20"/>
              </w:rPr>
              <w:t>办</w:t>
            </w:r>
            <w:r>
              <w:rPr>
                <w:rFonts w:ascii="宋体" w:hAnsi="宋体" w:eastAsia="宋体" w:cs="宋体"/>
                <w:spacing w:val="17"/>
                <w:sz w:val="20"/>
                <w:szCs w:val="20"/>
              </w:rPr>
              <w:t>公</w:t>
            </w:r>
            <w:r>
              <w:rPr>
                <w:rFonts w:ascii="宋体" w:hAnsi="宋体" w:eastAsia="宋体" w:cs="宋体"/>
                <w:spacing w:val="9"/>
                <w:sz w:val="20"/>
                <w:szCs w:val="20"/>
              </w:rPr>
              <w:t>室、</w:t>
            </w:r>
            <w:r>
              <w:rPr>
                <w:rFonts w:ascii="Times New Roman" w:hAnsi="Times New Roman" w:eastAsia="Times New Roman" w:cs="Times New Roman"/>
                <w:spacing w:val="9"/>
                <w:sz w:val="20"/>
                <w:szCs w:val="20"/>
              </w:rPr>
              <w:t>1#</w:t>
            </w:r>
            <w:r>
              <w:rPr>
                <w:rFonts w:ascii="宋体" w:hAnsi="宋体" w:eastAsia="宋体" w:cs="宋体"/>
                <w:spacing w:val="9"/>
                <w:sz w:val="20"/>
                <w:szCs w:val="20"/>
              </w:rPr>
              <w:t>员工休息室、</w:t>
            </w:r>
            <w:r>
              <w:rPr>
                <w:rFonts w:ascii="Times New Roman" w:hAnsi="Times New Roman" w:eastAsia="Times New Roman" w:cs="Times New Roman"/>
                <w:spacing w:val="9"/>
                <w:sz w:val="20"/>
                <w:szCs w:val="20"/>
              </w:rPr>
              <w:t>2#</w:t>
            </w:r>
            <w:r>
              <w:rPr>
                <w:rFonts w:ascii="宋体" w:hAnsi="宋体" w:eastAsia="宋体" w:cs="宋体"/>
                <w:spacing w:val="9"/>
                <w:sz w:val="20"/>
                <w:szCs w:val="20"/>
              </w:rPr>
              <w:t>员工休息室、备品备件库底部</w:t>
            </w:r>
            <w:r>
              <w:rPr>
                <w:rFonts w:ascii="宋体" w:hAnsi="宋体" w:eastAsia="宋体" w:cs="宋体"/>
                <w:sz w:val="20"/>
                <w:szCs w:val="20"/>
              </w:rPr>
              <w:t xml:space="preserve"> </w:t>
            </w:r>
            <w:r>
              <w:rPr>
                <w:rFonts w:ascii="宋体" w:hAnsi="宋体" w:eastAsia="宋体" w:cs="宋体"/>
                <w:spacing w:val="8"/>
                <w:sz w:val="20"/>
                <w:szCs w:val="20"/>
              </w:rPr>
              <w:t>做基</w:t>
            </w:r>
            <w:r>
              <w:rPr>
                <w:rFonts w:ascii="宋体" w:hAnsi="宋体" w:eastAsia="宋体" w:cs="宋体"/>
                <w:spacing w:val="6"/>
                <w:sz w:val="20"/>
                <w:szCs w:val="20"/>
              </w:rPr>
              <w:t>础</w:t>
            </w:r>
            <w:r>
              <w:rPr>
                <w:rFonts w:ascii="宋体" w:hAnsi="宋体" w:eastAsia="宋体" w:cs="宋体"/>
                <w:spacing w:val="4"/>
                <w:sz w:val="20"/>
                <w:szCs w:val="20"/>
              </w:rPr>
              <w:t xml:space="preserve">防渗，铺设 </w:t>
            </w:r>
            <w:r>
              <w:rPr>
                <w:rFonts w:ascii="Times New Roman" w:hAnsi="Times New Roman" w:eastAsia="Times New Roman" w:cs="Times New Roman"/>
                <w:spacing w:val="4"/>
                <w:sz w:val="20"/>
                <w:szCs w:val="20"/>
              </w:rPr>
              <w:t>1</w:t>
            </w:r>
            <w:r>
              <w:rPr>
                <w:rFonts w:ascii="Times New Roman" w:hAnsi="Times New Roman" w:eastAsia="Times New Roman" w:cs="Times New Roman"/>
                <w:sz w:val="20"/>
                <w:szCs w:val="20"/>
              </w:rPr>
              <w:t>m</w:t>
            </w:r>
            <w:r>
              <w:rPr>
                <w:rFonts w:ascii="Times New Roman" w:hAnsi="Times New Roman" w:eastAsia="Times New Roman" w:cs="Times New Roman"/>
                <w:spacing w:val="4"/>
                <w:sz w:val="20"/>
                <w:szCs w:val="20"/>
              </w:rPr>
              <w:t xml:space="preserve"> </w:t>
            </w:r>
            <w:r>
              <w:rPr>
                <w:rFonts w:ascii="宋体" w:hAnsi="宋体" w:eastAsia="宋体" w:cs="宋体"/>
                <w:spacing w:val="4"/>
                <w:sz w:val="20"/>
                <w:szCs w:val="20"/>
              </w:rPr>
              <w:t xml:space="preserve">厚黏土层，再用耐腐蚀混凝土 </w:t>
            </w:r>
            <w:r>
              <w:rPr>
                <w:rFonts w:ascii="Times New Roman" w:hAnsi="Times New Roman" w:eastAsia="Times New Roman" w:cs="Times New Roman"/>
                <w:spacing w:val="4"/>
                <w:sz w:val="20"/>
                <w:szCs w:val="20"/>
              </w:rPr>
              <w:t>15</w:t>
            </w:r>
            <w:r>
              <w:rPr>
                <w:rFonts w:ascii="Times New Roman" w:hAnsi="Times New Roman" w:eastAsia="Times New Roman" w:cs="Times New Roman"/>
                <w:sz w:val="20"/>
                <w:szCs w:val="20"/>
              </w:rPr>
              <w:t xml:space="preserve">cm </w:t>
            </w:r>
            <w:r>
              <w:rPr>
                <w:rFonts w:ascii="宋体" w:hAnsi="宋体" w:eastAsia="宋体" w:cs="宋体"/>
                <w:spacing w:val="6"/>
                <w:sz w:val="20"/>
                <w:szCs w:val="20"/>
              </w:rPr>
              <w:t xml:space="preserve">浇铸，上部铺设耐腐蚀砖；总防渗面积 </w:t>
            </w:r>
            <w:r>
              <w:rPr>
                <w:rFonts w:ascii="Times New Roman" w:hAnsi="Times New Roman" w:eastAsia="Times New Roman" w:cs="Times New Roman"/>
                <w:spacing w:val="6"/>
                <w:sz w:val="20"/>
                <w:szCs w:val="20"/>
              </w:rPr>
              <w:t>600</w:t>
            </w:r>
            <w:r>
              <w:rPr>
                <w:rFonts w:ascii="Times New Roman" w:hAnsi="Times New Roman" w:eastAsia="Times New Roman" w:cs="Times New Roman"/>
                <w:sz w:val="20"/>
                <w:szCs w:val="20"/>
              </w:rPr>
              <w:t>m</w:t>
            </w:r>
            <w:r>
              <w:rPr>
                <w:rFonts w:ascii="Times New Roman" w:hAnsi="Times New Roman" w:eastAsia="Times New Roman" w:cs="Times New Roman"/>
                <w:spacing w:val="6"/>
                <w:position w:val="6"/>
                <w:sz w:val="13"/>
                <w:szCs w:val="13"/>
              </w:rPr>
              <w:t>2</w:t>
            </w:r>
            <w:r>
              <w:rPr>
                <w:rFonts w:ascii="宋体" w:hAnsi="宋体" w:eastAsia="宋体" w:cs="宋体"/>
                <w:spacing w:val="6"/>
                <w:sz w:val="20"/>
                <w:szCs w:val="20"/>
              </w:rPr>
              <w:t>。</w:t>
            </w:r>
          </w:p>
        </w:tc>
        <w:tc>
          <w:tcPr>
            <w:tcW w:w="921" w:type="dxa"/>
            <w:tcBorders>
              <w:right w:val="nil"/>
            </w:tcBorders>
            <w:vAlign w:val="top"/>
          </w:tcPr>
          <w:p w14:paraId="3DEA6A98">
            <w:pPr>
              <w:spacing w:line="411" w:lineRule="auto"/>
              <w:rPr>
                <w:rFonts w:ascii="Arial"/>
                <w:sz w:val="21"/>
              </w:rPr>
            </w:pPr>
          </w:p>
          <w:p w14:paraId="4F70BEE5">
            <w:pPr>
              <w:spacing w:before="58" w:line="198" w:lineRule="auto"/>
              <w:ind w:left="35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1.2</w:t>
            </w:r>
          </w:p>
        </w:tc>
      </w:tr>
      <w:tr w14:paraId="7781D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552" w:type="dxa"/>
            <w:tcBorders>
              <w:left w:val="nil"/>
            </w:tcBorders>
            <w:vAlign w:val="top"/>
          </w:tcPr>
          <w:p w14:paraId="14CBD16A">
            <w:pPr>
              <w:spacing w:line="243" w:lineRule="auto"/>
              <w:rPr>
                <w:rFonts w:ascii="Arial"/>
                <w:sz w:val="21"/>
              </w:rPr>
            </w:pPr>
          </w:p>
          <w:p w14:paraId="49166B31">
            <w:pPr>
              <w:spacing w:before="57" w:line="195" w:lineRule="auto"/>
              <w:ind w:left="198"/>
              <w:rPr>
                <w:rFonts w:ascii="Times New Roman" w:hAnsi="Times New Roman" w:eastAsia="Times New Roman" w:cs="Times New Roman"/>
                <w:sz w:val="20"/>
                <w:szCs w:val="20"/>
              </w:rPr>
            </w:pPr>
            <w:r>
              <w:rPr>
                <w:rFonts w:ascii="Times New Roman" w:hAnsi="Times New Roman" w:eastAsia="Times New Roman" w:cs="Times New Roman"/>
                <w:spacing w:val="-11"/>
                <w:sz w:val="20"/>
                <w:szCs w:val="20"/>
              </w:rPr>
              <w:t>1</w:t>
            </w:r>
            <w:r>
              <w:rPr>
                <w:rFonts w:ascii="Times New Roman" w:hAnsi="Times New Roman" w:eastAsia="Times New Roman" w:cs="Times New Roman"/>
                <w:spacing w:val="-9"/>
                <w:sz w:val="20"/>
                <w:szCs w:val="20"/>
              </w:rPr>
              <w:t>1</w:t>
            </w:r>
          </w:p>
        </w:tc>
        <w:tc>
          <w:tcPr>
            <w:tcW w:w="1596" w:type="dxa"/>
            <w:vMerge w:val="continue"/>
            <w:tcBorders>
              <w:top w:val="nil"/>
            </w:tcBorders>
            <w:vAlign w:val="top"/>
          </w:tcPr>
          <w:p w14:paraId="7C933FEB">
            <w:pPr>
              <w:rPr>
                <w:rFonts w:ascii="Arial"/>
                <w:sz w:val="21"/>
              </w:rPr>
            </w:pPr>
          </w:p>
        </w:tc>
        <w:tc>
          <w:tcPr>
            <w:tcW w:w="5321" w:type="dxa"/>
            <w:vAlign w:val="top"/>
          </w:tcPr>
          <w:p w14:paraId="017E2FF6">
            <w:pPr>
              <w:spacing w:before="96" w:line="271" w:lineRule="auto"/>
              <w:ind w:left="29" w:right="22" w:hanging="1"/>
              <w:rPr>
                <w:rFonts w:ascii="宋体" w:hAnsi="宋体" w:eastAsia="宋体" w:cs="宋体"/>
                <w:sz w:val="20"/>
                <w:szCs w:val="20"/>
              </w:rPr>
            </w:pPr>
            <w:r>
              <w:rPr>
                <w:rFonts w:ascii="宋体" w:hAnsi="宋体" w:eastAsia="宋体" w:cs="宋体"/>
                <w:spacing w:val="20"/>
                <w:sz w:val="20"/>
                <w:szCs w:val="20"/>
              </w:rPr>
              <w:t>全</w:t>
            </w:r>
            <w:r>
              <w:rPr>
                <w:rFonts w:ascii="宋体" w:hAnsi="宋体" w:eastAsia="宋体" w:cs="宋体"/>
                <w:spacing w:val="14"/>
                <w:sz w:val="20"/>
                <w:szCs w:val="20"/>
              </w:rPr>
              <w:t>场</w:t>
            </w:r>
            <w:r>
              <w:rPr>
                <w:rFonts w:ascii="宋体" w:hAnsi="宋体" w:eastAsia="宋体" w:cs="宋体"/>
                <w:spacing w:val="10"/>
                <w:sz w:val="20"/>
                <w:szCs w:val="20"/>
              </w:rPr>
              <w:t>区均需硬化防渗，采取混凝土地面，上涂耐磨环氧树</w:t>
            </w:r>
            <w:r>
              <w:rPr>
                <w:rFonts w:ascii="宋体" w:hAnsi="宋体" w:eastAsia="宋体" w:cs="宋体"/>
                <w:sz w:val="20"/>
                <w:szCs w:val="20"/>
              </w:rPr>
              <w:t xml:space="preserve"> </w:t>
            </w:r>
            <w:r>
              <w:rPr>
                <w:rFonts w:ascii="宋体" w:hAnsi="宋体" w:eastAsia="宋体" w:cs="宋体"/>
                <w:spacing w:val="8"/>
                <w:sz w:val="20"/>
                <w:szCs w:val="20"/>
              </w:rPr>
              <w:t>脂地</w:t>
            </w:r>
            <w:r>
              <w:rPr>
                <w:rFonts w:ascii="宋体" w:hAnsi="宋体" w:eastAsia="宋体" w:cs="宋体"/>
                <w:spacing w:val="6"/>
                <w:sz w:val="20"/>
                <w:szCs w:val="20"/>
              </w:rPr>
              <w:t>面</w:t>
            </w:r>
            <w:r>
              <w:rPr>
                <w:rFonts w:ascii="宋体" w:hAnsi="宋体" w:eastAsia="宋体" w:cs="宋体"/>
                <w:spacing w:val="4"/>
                <w:sz w:val="20"/>
                <w:szCs w:val="20"/>
              </w:rPr>
              <w:t xml:space="preserve">涂料；总防渗面积 </w:t>
            </w:r>
            <w:r>
              <w:rPr>
                <w:rFonts w:ascii="Times New Roman" w:hAnsi="Times New Roman" w:eastAsia="Times New Roman" w:cs="Times New Roman"/>
                <w:spacing w:val="4"/>
                <w:sz w:val="20"/>
                <w:szCs w:val="20"/>
              </w:rPr>
              <w:t>4338</w:t>
            </w:r>
            <w:r>
              <w:rPr>
                <w:rFonts w:ascii="Times New Roman" w:hAnsi="Times New Roman" w:eastAsia="Times New Roman" w:cs="Times New Roman"/>
                <w:sz w:val="20"/>
                <w:szCs w:val="20"/>
              </w:rPr>
              <w:t>m</w:t>
            </w:r>
            <w:r>
              <w:rPr>
                <w:rFonts w:ascii="Times New Roman" w:hAnsi="Times New Roman" w:eastAsia="Times New Roman" w:cs="Times New Roman"/>
                <w:spacing w:val="4"/>
                <w:position w:val="6"/>
                <w:sz w:val="13"/>
                <w:szCs w:val="13"/>
              </w:rPr>
              <w:t>2</w:t>
            </w:r>
            <w:r>
              <w:rPr>
                <w:rFonts w:ascii="宋体" w:hAnsi="宋体" w:eastAsia="宋体" w:cs="宋体"/>
                <w:spacing w:val="4"/>
                <w:sz w:val="20"/>
                <w:szCs w:val="20"/>
              </w:rPr>
              <w:t>。</w:t>
            </w:r>
          </w:p>
        </w:tc>
        <w:tc>
          <w:tcPr>
            <w:tcW w:w="921" w:type="dxa"/>
            <w:tcBorders>
              <w:right w:val="nil"/>
            </w:tcBorders>
            <w:vAlign w:val="top"/>
          </w:tcPr>
          <w:p w14:paraId="5BA3C2BC">
            <w:pPr>
              <w:spacing w:line="243" w:lineRule="auto"/>
              <w:rPr>
                <w:rFonts w:ascii="Arial"/>
                <w:sz w:val="21"/>
              </w:rPr>
            </w:pPr>
          </w:p>
          <w:p w14:paraId="387B29A9">
            <w:pPr>
              <w:spacing w:before="57" w:line="198" w:lineRule="auto"/>
              <w:ind w:left="330"/>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4</w:t>
            </w:r>
            <w:r>
              <w:rPr>
                <w:rFonts w:ascii="Times New Roman" w:hAnsi="Times New Roman" w:eastAsia="Times New Roman" w:cs="Times New Roman"/>
                <w:spacing w:val="4"/>
                <w:sz w:val="20"/>
                <w:szCs w:val="20"/>
              </w:rPr>
              <w:t>.3</w:t>
            </w:r>
          </w:p>
        </w:tc>
      </w:tr>
      <w:tr w14:paraId="07A40F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552" w:type="dxa"/>
            <w:tcBorders>
              <w:left w:val="nil"/>
            </w:tcBorders>
            <w:vAlign w:val="top"/>
          </w:tcPr>
          <w:p w14:paraId="3DE24C58">
            <w:pPr>
              <w:spacing w:before="134" w:line="195" w:lineRule="auto"/>
              <w:ind w:left="19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2</w:t>
            </w:r>
          </w:p>
        </w:tc>
        <w:tc>
          <w:tcPr>
            <w:tcW w:w="1596" w:type="dxa"/>
            <w:vAlign w:val="top"/>
          </w:tcPr>
          <w:p w14:paraId="45018C82">
            <w:pPr>
              <w:spacing w:before="98" w:line="228" w:lineRule="auto"/>
              <w:ind w:left="57"/>
              <w:rPr>
                <w:rFonts w:ascii="宋体" w:hAnsi="宋体" w:eastAsia="宋体" w:cs="宋体"/>
                <w:sz w:val="20"/>
                <w:szCs w:val="20"/>
              </w:rPr>
            </w:pPr>
            <w:r>
              <w:rPr>
                <w:rFonts w:ascii="宋体" w:hAnsi="宋体" w:eastAsia="宋体" w:cs="宋体"/>
                <w:spacing w:val="10"/>
                <w:sz w:val="20"/>
                <w:szCs w:val="20"/>
              </w:rPr>
              <w:t>运营期噪声治理</w:t>
            </w:r>
          </w:p>
        </w:tc>
        <w:tc>
          <w:tcPr>
            <w:tcW w:w="5321" w:type="dxa"/>
            <w:vAlign w:val="top"/>
          </w:tcPr>
          <w:p w14:paraId="5C55F6F7">
            <w:pPr>
              <w:spacing w:before="98" w:line="228" w:lineRule="auto"/>
              <w:ind w:left="569"/>
              <w:rPr>
                <w:rFonts w:ascii="宋体" w:hAnsi="宋体" w:eastAsia="宋体" w:cs="宋体"/>
                <w:sz w:val="20"/>
                <w:szCs w:val="20"/>
              </w:rPr>
            </w:pPr>
            <w:r>
              <w:rPr>
                <w:rFonts w:ascii="宋体" w:hAnsi="宋体" w:eastAsia="宋体" w:cs="宋体"/>
                <w:spacing w:val="15"/>
                <w:sz w:val="20"/>
                <w:szCs w:val="20"/>
              </w:rPr>
              <w:t>设</w:t>
            </w:r>
            <w:r>
              <w:rPr>
                <w:rFonts w:ascii="宋体" w:hAnsi="宋体" w:eastAsia="宋体" w:cs="宋体"/>
                <w:spacing w:val="9"/>
                <w:sz w:val="20"/>
                <w:szCs w:val="20"/>
              </w:rPr>
              <w:t>备基础减振、风机安装消声器、隔声材料等</w:t>
            </w:r>
          </w:p>
        </w:tc>
        <w:tc>
          <w:tcPr>
            <w:tcW w:w="921" w:type="dxa"/>
            <w:tcBorders>
              <w:right w:val="nil"/>
            </w:tcBorders>
            <w:vAlign w:val="top"/>
          </w:tcPr>
          <w:p w14:paraId="06469F0E">
            <w:pPr>
              <w:spacing w:before="133" w:line="198" w:lineRule="auto"/>
              <w:ind w:left="35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2"/>
                <w:sz w:val="20"/>
                <w:szCs w:val="20"/>
              </w:rPr>
              <w:t>.6</w:t>
            </w:r>
          </w:p>
        </w:tc>
      </w:tr>
      <w:tr w14:paraId="639C5E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552" w:type="dxa"/>
            <w:tcBorders>
              <w:left w:val="nil"/>
            </w:tcBorders>
            <w:vAlign w:val="top"/>
          </w:tcPr>
          <w:p w14:paraId="586046AE">
            <w:pPr>
              <w:spacing w:before="134" w:line="195" w:lineRule="auto"/>
              <w:ind w:left="19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3</w:t>
            </w:r>
          </w:p>
        </w:tc>
        <w:tc>
          <w:tcPr>
            <w:tcW w:w="1596" w:type="dxa"/>
            <w:vMerge w:val="restart"/>
            <w:tcBorders>
              <w:bottom w:val="nil"/>
            </w:tcBorders>
            <w:vAlign w:val="top"/>
          </w:tcPr>
          <w:p w14:paraId="19356AE8">
            <w:pPr>
              <w:spacing w:before="271" w:line="228" w:lineRule="auto"/>
              <w:ind w:left="57"/>
              <w:rPr>
                <w:rFonts w:ascii="宋体" w:hAnsi="宋体" w:eastAsia="宋体" w:cs="宋体"/>
                <w:sz w:val="20"/>
                <w:szCs w:val="20"/>
              </w:rPr>
            </w:pPr>
            <w:r>
              <w:rPr>
                <w:rFonts w:ascii="宋体" w:hAnsi="宋体" w:eastAsia="宋体" w:cs="宋体"/>
                <w:spacing w:val="10"/>
                <w:sz w:val="20"/>
                <w:szCs w:val="20"/>
              </w:rPr>
              <w:t>运营期固废治理</w:t>
            </w:r>
          </w:p>
        </w:tc>
        <w:tc>
          <w:tcPr>
            <w:tcW w:w="5321" w:type="dxa"/>
            <w:vAlign w:val="top"/>
          </w:tcPr>
          <w:p w14:paraId="34B403BA">
            <w:pPr>
              <w:spacing w:before="98" w:line="228" w:lineRule="auto"/>
              <w:ind w:left="1868"/>
              <w:rPr>
                <w:rFonts w:ascii="宋体" w:hAnsi="宋体" w:eastAsia="宋体" w:cs="宋体"/>
                <w:sz w:val="20"/>
                <w:szCs w:val="20"/>
              </w:rPr>
            </w:pPr>
            <w:r>
              <w:rPr>
                <w:rFonts w:ascii="Times New Roman" w:hAnsi="Times New Roman" w:eastAsia="Times New Roman" w:cs="Times New Roman"/>
                <w:spacing w:val="10"/>
                <w:sz w:val="20"/>
                <w:szCs w:val="20"/>
              </w:rPr>
              <w:t>1</w:t>
            </w:r>
            <w:r>
              <w:rPr>
                <w:rFonts w:ascii="Times New Roman" w:hAnsi="Times New Roman" w:eastAsia="Times New Roman" w:cs="Times New Roman"/>
                <w:spacing w:val="5"/>
                <w:sz w:val="20"/>
                <w:szCs w:val="20"/>
              </w:rPr>
              <w:t xml:space="preserve"> </w:t>
            </w:r>
            <w:r>
              <w:rPr>
                <w:rFonts w:ascii="宋体" w:hAnsi="宋体" w:eastAsia="宋体" w:cs="宋体"/>
                <w:spacing w:val="5"/>
                <w:sz w:val="20"/>
                <w:szCs w:val="20"/>
              </w:rPr>
              <w:t>个封闭式垃圾箱</w:t>
            </w:r>
          </w:p>
        </w:tc>
        <w:tc>
          <w:tcPr>
            <w:tcW w:w="921" w:type="dxa"/>
            <w:tcBorders>
              <w:right w:val="nil"/>
            </w:tcBorders>
            <w:vAlign w:val="top"/>
          </w:tcPr>
          <w:p w14:paraId="594FA02D">
            <w:pPr>
              <w:spacing w:before="134" w:line="195" w:lineRule="auto"/>
              <w:ind w:left="33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0</w:t>
            </w:r>
            <w:r>
              <w:rPr>
                <w:rFonts w:ascii="Times New Roman" w:hAnsi="Times New Roman" w:eastAsia="Times New Roman" w:cs="Times New Roman"/>
                <w:spacing w:val="7"/>
                <w:sz w:val="20"/>
                <w:szCs w:val="20"/>
              </w:rPr>
              <w:t>.1</w:t>
            </w:r>
          </w:p>
        </w:tc>
      </w:tr>
      <w:tr w14:paraId="0FC778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552" w:type="dxa"/>
            <w:tcBorders>
              <w:left w:val="nil"/>
            </w:tcBorders>
            <w:vAlign w:val="top"/>
          </w:tcPr>
          <w:p w14:paraId="0BAE2F36">
            <w:pPr>
              <w:spacing w:before="132" w:line="195" w:lineRule="auto"/>
              <w:ind w:left="19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4</w:t>
            </w:r>
          </w:p>
        </w:tc>
        <w:tc>
          <w:tcPr>
            <w:tcW w:w="1596" w:type="dxa"/>
            <w:vMerge w:val="continue"/>
            <w:tcBorders>
              <w:top w:val="nil"/>
            </w:tcBorders>
            <w:vAlign w:val="top"/>
          </w:tcPr>
          <w:p w14:paraId="477D28EC">
            <w:pPr>
              <w:rPr>
                <w:rFonts w:ascii="Arial"/>
                <w:sz w:val="21"/>
              </w:rPr>
            </w:pPr>
          </w:p>
        </w:tc>
        <w:tc>
          <w:tcPr>
            <w:tcW w:w="5321" w:type="dxa"/>
            <w:vAlign w:val="top"/>
          </w:tcPr>
          <w:p w14:paraId="6168F48A">
            <w:pPr>
              <w:spacing w:before="96" w:line="228" w:lineRule="auto"/>
              <w:ind w:left="1763"/>
              <w:rPr>
                <w:rFonts w:ascii="宋体" w:hAnsi="宋体" w:eastAsia="宋体" w:cs="宋体"/>
                <w:sz w:val="20"/>
                <w:szCs w:val="20"/>
              </w:rPr>
            </w:pPr>
            <w:r>
              <w:rPr>
                <w:rFonts w:ascii="Times New Roman" w:hAnsi="Times New Roman" w:eastAsia="Times New Roman" w:cs="Times New Roman"/>
                <w:spacing w:val="7"/>
                <w:sz w:val="20"/>
                <w:szCs w:val="20"/>
              </w:rPr>
              <w:t>1</w:t>
            </w:r>
            <w:r>
              <w:rPr>
                <w:rFonts w:ascii="Times New Roman" w:hAnsi="Times New Roman" w:eastAsia="Times New Roman" w:cs="Times New Roman"/>
                <w:spacing w:val="6"/>
                <w:sz w:val="20"/>
                <w:szCs w:val="20"/>
              </w:rPr>
              <w:t xml:space="preserve"> </w:t>
            </w:r>
            <w:r>
              <w:rPr>
                <w:rFonts w:ascii="宋体" w:hAnsi="宋体" w:eastAsia="宋体" w:cs="宋体"/>
                <w:spacing w:val="6"/>
                <w:sz w:val="20"/>
                <w:szCs w:val="20"/>
              </w:rPr>
              <w:t>座危险废物暂存间</w:t>
            </w:r>
          </w:p>
        </w:tc>
        <w:tc>
          <w:tcPr>
            <w:tcW w:w="921" w:type="dxa"/>
            <w:tcBorders>
              <w:right w:val="nil"/>
            </w:tcBorders>
            <w:vAlign w:val="top"/>
          </w:tcPr>
          <w:p w14:paraId="39F489D9">
            <w:pPr>
              <w:spacing w:before="132" w:line="195" w:lineRule="auto"/>
              <w:ind w:left="33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w:t>
            </w:r>
            <w:r>
              <w:rPr>
                <w:rFonts w:ascii="Times New Roman" w:hAnsi="Times New Roman" w:eastAsia="Times New Roman" w:cs="Times New Roman"/>
                <w:spacing w:val="1"/>
                <w:sz w:val="20"/>
                <w:szCs w:val="20"/>
              </w:rPr>
              <w:t>4</w:t>
            </w:r>
          </w:p>
        </w:tc>
      </w:tr>
      <w:tr w14:paraId="5A0780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552" w:type="dxa"/>
            <w:tcBorders>
              <w:left w:val="nil"/>
            </w:tcBorders>
            <w:vAlign w:val="top"/>
          </w:tcPr>
          <w:p w14:paraId="153C5E35">
            <w:pPr>
              <w:spacing w:before="132" w:line="195" w:lineRule="auto"/>
              <w:ind w:left="19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5</w:t>
            </w:r>
          </w:p>
        </w:tc>
        <w:tc>
          <w:tcPr>
            <w:tcW w:w="1596" w:type="dxa"/>
            <w:vAlign w:val="top"/>
          </w:tcPr>
          <w:p w14:paraId="367A45A9">
            <w:pPr>
              <w:spacing w:before="97" w:line="228" w:lineRule="auto"/>
              <w:ind w:left="384"/>
              <w:rPr>
                <w:rFonts w:ascii="宋体" w:hAnsi="宋体" w:eastAsia="宋体" w:cs="宋体"/>
                <w:sz w:val="20"/>
                <w:szCs w:val="20"/>
              </w:rPr>
            </w:pPr>
            <w:r>
              <w:rPr>
                <w:rFonts w:ascii="宋体" w:hAnsi="宋体" w:eastAsia="宋体" w:cs="宋体"/>
                <w:spacing w:val="7"/>
                <w:sz w:val="20"/>
                <w:szCs w:val="20"/>
              </w:rPr>
              <w:t>风险防控</w:t>
            </w:r>
          </w:p>
        </w:tc>
        <w:tc>
          <w:tcPr>
            <w:tcW w:w="5321" w:type="dxa"/>
            <w:vAlign w:val="top"/>
          </w:tcPr>
          <w:p w14:paraId="1D7236A4">
            <w:pPr>
              <w:spacing w:before="96" w:line="228" w:lineRule="auto"/>
              <w:ind w:left="773"/>
              <w:rPr>
                <w:rFonts w:ascii="宋体" w:hAnsi="宋体" w:eastAsia="宋体" w:cs="宋体"/>
                <w:sz w:val="20"/>
                <w:szCs w:val="20"/>
              </w:rPr>
            </w:pPr>
            <w:r>
              <w:rPr>
                <w:rFonts w:ascii="宋体" w:hAnsi="宋体" w:eastAsia="宋体" w:cs="宋体"/>
                <w:spacing w:val="6"/>
                <w:sz w:val="20"/>
                <w:szCs w:val="20"/>
              </w:rPr>
              <w:t>在</w:t>
            </w:r>
            <w:r>
              <w:rPr>
                <w:rFonts w:ascii="宋体" w:hAnsi="宋体" w:eastAsia="宋体" w:cs="宋体"/>
                <w:spacing w:val="3"/>
                <w:sz w:val="20"/>
                <w:szCs w:val="20"/>
              </w:rPr>
              <w:t xml:space="preserve">厂区北侧设置 </w:t>
            </w:r>
            <w:r>
              <w:rPr>
                <w:rFonts w:ascii="Times New Roman" w:hAnsi="Times New Roman" w:eastAsia="Times New Roman" w:cs="Times New Roman"/>
                <w:spacing w:val="3"/>
                <w:sz w:val="20"/>
                <w:szCs w:val="20"/>
              </w:rPr>
              <w:t xml:space="preserve">1 </w:t>
            </w:r>
            <w:r>
              <w:rPr>
                <w:rFonts w:ascii="宋体" w:hAnsi="宋体" w:eastAsia="宋体" w:cs="宋体"/>
                <w:spacing w:val="3"/>
                <w:sz w:val="20"/>
                <w:szCs w:val="20"/>
              </w:rPr>
              <w:t xml:space="preserve">座容积为 </w:t>
            </w:r>
            <w:r>
              <w:rPr>
                <w:rFonts w:ascii="Times New Roman" w:hAnsi="Times New Roman" w:eastAsia="Times New Roman" w:cs="Times New Roman"/>
                <w:spacing w:val="3"/>
                <w:sz w:val="20"/>
                <w:szCs w:val="20"/>
              </w:rPr>
              <w:t>160</w:t>
            </w:r>
            <w:r>
              <w:rPr>
                <w:rFonts w:ascii="Times New Roman" w:hAnsi="Times New Roman" w:eastAsia="Times New Roman" w:cs="Times New Roman"/>
                <w:sz w:val="20"/>
                <w:szCs w:val="20"/>
              </w:rPr>
              <w:t>m</w:t>
            </w:r>
            <w:r>
              <w:rPr>
                <w:rFonts w:ascii="Times New Roman" w:hAnsi="Times New Roman" w:eastAsia="Times New Roman" w:cs="Times New Roman"/>
                <w:spacing w:val="3"/>
                <w:position w:val="6"/>
                <w:sz w:val="13"/>
                <w:szCs w:val="13"/>
              </w:rPr>
              <w:t xml:space="preserve">3 </w:t>
            </w:r>
            <w:r>
              <w:rPr>
                <w:rFonts w:ascii="宋体" w:hAnsi="宋体" w:eastAsia="宋体" w:cs="宋体"/>
                <w:spacing w:val="3"/>
                <w:sz w:val="20"/>
                <w:szCs w:val="20"/>
              </w:rPr>
              <w:t>事故池</w:t>
            </w:r>
          </w:p>
        </w:tc>
        <w:tc>
          <w:tcPr>
            <w:tcW w:w="921" w:type="dxa"/>
            <w:tcBorders>
              <w:right w:val="nil"/>
            </w:tcBorders>
            <w:vAlign w:val="top"/>
          </w:tcPr>
          <w:p w14:paraId="05B9C4C8">
            <w:pPr>
              <w:spacing w:before="132" w:line="195" w:lineRule="auto"/>
              <w:ind w:left="37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7"/>
                <w:sz w:val="20"/>
                <w:szCs w:val="20"/>
              </w:rPr>
              <w:t>0</w:t>
            </w:r>
          </w:p>
        </w:tc>
      </w:tr>
      <w:tr w14:paraId="314251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552" w:type="dxa"/>
            <w:tcBorders>
              <w:left w:val="nil"/>
            </w:tcBorders>
            <w:vAlign w:val="top"/>
          </w:tcPr>
          <w:p w14:paraId="189CF5BC">
            <w:pPr>
              <w:spacing w:before="97" w:line="229" w:lineRule="auto"/>
              <w:ind w:left="74"/>
              <w:rPr>
                <w:rFonts w:ascii="宋体" w:hAnsi="宋体" w:eastAsia="宋体" w:cs="宋体"/>
                <w:sz w:val="20"/>
                <w:szCs w:val="20"/>
              </w:rPr>
            </w:pPr>
            <w:r>
              <w:rPr>
                <w:rFonts w:ascii="宋体" w:hAnsi="宋体" w:eastAsia="宋体" w:cs="宋体"/>
                <w:spacing w:val="4"/>
                <w:sz w:val="20"/>
                <w:szCs w:val="20"/>
              </w:rPr>
              <w:t>合计</w:t>
            </w:r>
          </w:p>
        </w:tc>
        <w:tc>
          <w:tcPr>
            <w:tcW w:w="6917" w:type="dxa"/>
            <w:gridSpan w:val="2"/>
            <w:vAlign w:val="top"/>
          </w:tcPr>
          <w:p w14:paraId="40706A86">
            <w:pPr>
              <w:rPr>
                <w:rFonts w:ascii="Arial"/>
                <w:sz w:val="21"/>
              </w:rPr>
            </w:pPr>
          </w:p>
        </w:tc>
        <w:tc>
          <w:tcPr>
            <w:tcW w:w="921" w:type="dxa"/>
            <w:tcBorders>
              <w:right w:val="nil"/>
            </w:tcBorders>
            <w:vAlign w:val="top"/>
          </w:tcPr>
          <w:p w14:paraId="63BEF5DD">
            <w:pPr>
              <w:spacing w:before="133" w:line="195" w:lineRule="auto"/>
              <w:ind w:left="287"/>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87. 1</w:t>
            </w:r>
          </w:p>
        </w:tc>
      </w:tr>
    </w:tbl>
    <w:p w14:paraId="35A32CFF">
      <w:pPr>
        <w:spacing w:before="284" w:line="226" w:lineRule="auto"/>
        <w:ind w:left="52"/>
        <w:outlineLvl w:val="2"/>
        <w:rPr>
          <w:rFonts w:ascii="宋体" w:hAnsi="宋体" w:eastAsia="宋体" w:cs="宋体"/>
          <w:sz w:val="29"/>
          <w:szCs w:val="29"/>
        </w:rPr>
      </w:pPr>
      <w:r>
        <w:rPr>
          <w:rFonts w:ascii="Times New Roman" w:hAnsi="Times New Roman" w:eastAsia="Times New Roman" w:cs="Times New Roman"/>
          <w:b/>
          <w:bCs/>
          <w:spacing w:val="14"/>
          <w:sz w:val="29"/>
          <w:szCs w:val="29"/>
        </w:rPr>
        <w:t>8</w:t>
      </w:r>
      <w:r>
        <w:rPr>
          <w:rFonts w:ascii="Times New Roman" w:hAnsi="Times New Roman" w:eastAsia="Times New Roman" w:cs="Times New Roman"/>
          <w:b/>
          <w:bCs/>
          <w:spacing w:val="9"/>
          <w:sz w:val="29"/>
          <w:szCs w:val="29"/>
        </w:rPr>
        <w:t>.</w:t>
      </w:r>
      <w:r>
        <w:rPr>
          <w:rFonts w:ascii="Times New Roman" w:hAnsi="Times New Roman" w:eastAsia="Times New Roman" w:cs="Times New Roman"/>
          <w:b/>
          <w:bCs/>
          <w:spacing w:val="7"/>
          <w:sz w:val="29"/>
          <w:szCs w:val="29"/>
        </w:rPr>
        <w:t>4.2</w:t>
      </w:r>
      <w:r>
        <w:rPr>
          <w:rFonts w:ascii="Times New Roman" w:hAnsi="Times New Roman" w:eastAsia="Times New Roman" w:cs="Times New Roman"/>
          <w:spacing w:val="7"/>
          <w:sz w:val="29"/>
          <w:szCs w:val="29"/>
        </w:rPr>
        <w:t xml:space="preserve">  </w:t>
      </w:r>
      <w:r>
        <w:rPr>
          <w:rFonts w:ascii="宋体" w:hAnsi="宋体" w:eastAsia="宋体" w:cs="宋体"/>
          <w:spacing w:val="7"/>
          <w:sz w:val="29"/>
          <w:szCs w:val="29"/>
          <w14:textOutline w14:w="5448" w14:cap="sq" w14:cmpd="sng">
            <w14:solidFill>
              <w14:srgbClr w14:val="000000"/>
            </w14:solidFill>
            <w14:prstDash w14:val="solid"/>
            <w14:bevel/>
          </w14:textOutline>
        </w:rPr>
        <w:t>环保措施的环境效益分析</w:t>
      </w:r>
    </w:p>
    <w:p w14:paraId="0B3A8F8D">
      <w:pPr>
        <w:spacing w:line="256" w:lineRule="auto"/>
        <w:rPr>
          <w:rFonts w:ascii="Arial"/>
          <w:sz w:val="21"/>
        </w:rPr>
      </w:pPr>
    </w:p>
    <w:p w14:paraId="1D33E1AD">
      <w:pPr>
        <w:spacing w:before="75" w:line="389" w:lineRule="auto"/>
        <w:ind w:left="49" w:firstLine="485"/>
        <w:rPr>
          <w:rFonts w:ascii="宋体" w:hAnsi="宋体" w:eastAsia="宋体" w:cs="宋体"/>
          <w:sz w:val="23"/>
          <w:szCs w:val="23"/>
        </w:rPr>
      </w:pPr>
      <w:r>
        <w:rPr>
          <w:rFonts w:ascii="宋体" w:hAnsi="宋体" w:eastAsia="宋体" w:cs="宋体"/>
          <w:spacing w:val="12"/>
          <w:sz w:val="23"/>
          <w:szCs w:val="23"/>
        </w:rPr>
        <w:t>项目采取</w:t>
      </w:r>
      <w:r>
        <w:rPr>
          <w:rFonts w:ascii="宋体" w:hAnsi="宋体" w:eastAsia="宋体" w:cs="宋体"/>
          <w:spacing w:val="7"/>
          <w:sz w:val="23"/>
          <w:szCs w:val="23"/>
        </w:rPr>
        <w:t>的</w:t>
      </w:r>
      <w:r>
        <w:rPr>
          <w:rFonts w:ascii="宋体" w:hAnsi="宋体" w:eastAsia="宋体" w:cs="宋体"/>
          <w:spacing w:val="6"/>
          <w:sz w:val="23"/>
          <w:szCs w:val="23"/>
        </w:rPr>
        <w:t>环境保护措施比较完善，噪声控制技术及废气、废水处理实用有</w:t>
      </w:r>
      <w:r>
        <w:rPr>
          <w:rFonts w:ascii="宋体" w:hAnsi="宋体" w:eastAsia="宋体" w:cs="宋体"/>
          <w:sz w:val="23"/>
          <w:szCs w:val="23"/>
        </w:rPr>
        <w:t xml:space="preserve"> </w:t>
      </w:r>
      <w:r>
        <w:rPr>
          <w:rFonts w:ascii="宋体" w:hAnsi="宋体" w:eastAsia="宋体" w:cs="宋体"/>
          <w:spacing w:val="4"/>
          <w:sz w:val="23"/>
          <w:szCs w:val="23"/>
        </w:rPr>
        <w:t>效且经济。</w:t>
      </w:r>
      <w:r>
        <w:rPr>
          <w:rFonts w:ascii="宋体" w:hAnsi="宋体" w:eastAsia="宋体" w:cs="宋体"/>
          <w:spacing w:val="2"/>
          <w:sz w:val="23"/>
          <w:szCs w:val="23"/>
        </w:rPr>
        <w:t>项目虽然能够保证废气达标排放，固废有序处置处理，厂界噪声达标，</w:t>
      </w:r>
      <w:r>
        <w:rPr>
          <w:rFonts w:ascii="宋体" w:hAnsi="宋体" w:eastAsia="宋体" w:cs="宋体"/>
          <w:sz w:val="23"/>
          <w:szCs w:val="23"/>
        </w:rPr>
        <w:t xml:space="preserve"> </w:t>
      </w:r>
      <w:r>
        <w:rPr>
          <w:rFonts w:ascii="宋体" w:hAnsi="宋体" w:eastAsia="宋体" w:cs="宋体"/>
          <w:spacing w:val="4"/>
          <w:sz w:val="23"/>
          <w:szCs w:val="23"/>
        </w:rPr>
        <w:t>但项目实施</w:t>
      </w:r>
      <w:r>
        <w:rPr>
          <w:rFonts w:ascii="宋体" w:hAnsi="宋体" w:eastAsia="宋体" w:cs="宋体"/>
          <w:spacing w:val="2"/>
          <w:sz w:val="23"/>
          <w:szCs w:val="23"/>
        </w:rPr>
        <w:t>的同时增大了环境的纳污负荷。经预测，项目对周围环境的影响较小，</w:t>
      </w:r>
      <w:r>
        <w:rPr>
          <w:rFonts w:ascii="宋体" w:hAnsi="宋体" w:eastAsia="宋体" w:cs="宋体"/>
          <w:sz w:val="23"/>
          <w:szCs w:val="23"/>
        </w:rPr>
        <w:t xml:space="preserve"> </w:t>
      </w:r>
      <w:r>
        <w:rPr>
          <w:rFonts w:ascii="宋体" w:hAnsi="宋体" w:eastAsia="宋体" w:cs="宋体"/>
          <w:spacing w:val="12"/>
          <w:sz w:val="23"/>
          <w:szCs w:val="23"/>
        </w:rPr>
        <w:t>因</w:t>
      </w:r>
      <w:r>
        <w:rPr>
          <w:rFonts w:ascii="宋体" w:hAnsi="宋体" w:eastAsia="宋体" w:cs="宋体"/>
          <w:spacing w:val="8"/>
          <w:sz w:val="23"/>
          <w:szCs w:val="23"/>
        </w:rPr>
        <w:t>此环境效益比较显著。</w:t>
      </w:r>
    </w:p>
    <w:p w14:paraId="772B7903">
      <w:pPr>
        <w:spacing w:before="69" w:line="225" w:lineRule="auto"/>
        <w:ind w:left="53"/>
        <w:outlineLvl w:val="1"/>
        <w:rPr>
          <w:rFonts w:ascii="宋体" w:hAnsi="宋体" w:eastAsia="宋体" w:cs="宋体"/>
          <w:sz w:val="31"/>
          <w:szCs w:val="31"/>
        </w:rPr>
      </w:pPr>
      <w:bookmarkStart w:id="41" w:name="_bookmark42"/>
      <w:bookmarkEnd w:id="41"/>
      <w:r>
        <w:rPr>
          <w:rFonts w:ascii="Times New Roman" w:hAnsi="Times New Roman" w:eastAsia="Times New Roman" w:cs="Times New Roman"/>
          <w:b/>
          <w:bCs/>
          <w:spacing w:val="14"/>
          <w:sz w:val="31"/>
          <w:szCs w:val="31"/>
        </w:rPr>
        <w:t>8</w:t>
      </w:r>
      <w:r>
        <w:rPr>
          <w:rFonts w:ascii="Times New Roman" w:hAnsi="Times New Roman" w:eastAsia="Times New Roman" w:cs="Times New Roman"/>
          <w:b/>
          <w:bCs/>
          <w:spacing w:val="11"/>
          <w:sz w:val="31"/>
          <w:szCs w:val="31"/>
        </w:rPr>
        <w:t>.</w:t>
      </w:r>
      <w:r>
        <w:rPr>
          <w:rFonts w:ascii="Times New Roman" w:hAnsi="Times New Roman" w:eastAsia="Times New Roman" w:cs="Times New Roman"/>
          <w:b/>
          <w:bCs/>
          <w:spacing w:val="7"/>
          <w:sz w:val="31"/>
          <w:szCs w:val="31"/>
        </w:rPr>
        <w:t>5</w:t>
      </w:r>
      <w:r>
        <w:rPr>
          <w:rFonts w:ascii="Times New Roman" w:hAnsi="Times New Roman" w:eastAsia="Times New Roman" w:cs="Times New Roman"/>
          <w:spacing w:val="7"/>
          <w:sz w:val="31"/>
          <w:szCs w:val="31"/>
        </w:rPr>
        <w:t xml:space="preserve">  </w:t>
      </w:r>
      <w:r>
        <w:rPr>
          <w:rFonts w:ascii="宋体" w:hAnsi="宋体" w:eastAsia="宋体" w:cs="宋体"/>
          <w:spacing w:val="7"/>
          <w:sz w:val="31"/>
          <w:szCs w:val="31"/>
          <w14:textOutline w14:w="5793" w14:cap="sq" w14:cmpd="sng">
            <w14:solidFill>
              <w14:srgbClr w14:val="000000"/>
            </w14:solidFill>
            <w14:prstDash w14:val="solid"/>
            <w14:bevel/>
          </w14:textOutline>
        </w:rPr>
        <w:t>环境经济损益分析结论</w:t>
      </w:r>
    </w:p>
    <w:p w14:paraId="06D4B72E">
      <w:pPr>
        <w:spacing w:line="250" w:lineRule="auto"/>
        <w:rPr>
          <w:rFonts w:ascii="Arial"/>
          <w:sz w:val="21"/>
        </w:rPr>
      </w:pPr>
    </w:p>
    <w:p w14:paraId="71A8F78E">
      <w:pPr>
        <w:spacing w:before="75" w:line="390" w:lineRule="auto"/>
        <w:ind w:left="71" w:right="61" w:firstLine="461"/>
        <w:rPr>
          <w:rFonts w:ascii="宋体" w:hAnsi="宋体" w:eastAsia="宋体" w:cs="宋体"/>
          <w:sz w:val="23"/>
          <w:szCs w:val="23"/>
        </w:rPr>
      </w:pPr>
      <w:r>
        <w:rPr>
          <w:rFonts w:ascii="宋体" w:hAnsi="宋体" w:eastAsia="宋体" w:cs="宋体"/>
          <w:spacing w:val="7"/>
          <w:sz w:val="23"/>
          <w:szCs w:val="23"/>
        </w:rPr>
        <w:t>本项目工艺技术先进成熟，规模适当，技术力量有保障，市场前景广阔，</w:t>
      </w:r>
      <w:r>
        <w:rPr>
          <w:rFonts w:ascii="宋体" w:hAnsi="宋体" w:eastAsia="宋体" w:cs="宋体"/>
          <w:spacing w:val="4"/>
          <w:sz w:val="23"/>
          <w:szCs w:val="23"/>
        </w:rPr>
        <w:t>项</w:t>
      </w:r>
      <w:r>
        <w:rPr>
          <w:rFonts w:ascii="宋体" w:hAnsi="宋体" w:eastAsia="宋体" w:cs="宋体"/>
          <w:sz w:val="23"/>
          <w:szCs w:val="23"/>
        </w:rPr>
        <w:t xml:space="preserve"> </w:t>
      </w:r>
      <w:r>
        <w:rPr>
          <w:rFonts w:ascii="宋体" w:hAnsi="宋体" w:eastAsia="宋体" w:cs="宋体"/>
          <w:spacing w:val="12"/>
          <w:sz w:val="23"/>
          <w:szCs w:val="23"/>
        </w:rPr>
        <w:t>目本</w:t>
      </w:r>
      <w:r>
        <w:rPr>
          <w:rFonts w:ascii="宋体" w:hAnsi="宋体" w:eastAsia="宋体" w:cs="宋体"/>
          <w:spacing w:val="11"/>
          <w:sz w:val="23"/>
          <w:szCs w:val="23"/>
        </w:rPr>
        <w:t>身</w:t>
      </w:r>
      <w:r>
        <w:rPr>
          <w:rFonts w:ascii="宋体" w:hAnsi="宋体" w:eastAsia="宋体" w:cs="宋体"/>
          <w:spacing w:val="6"/>
          <w:sz w:val="23"/>
          <w:szCs w:val="23"/>
        </w:rPr>
        <w:t>具有较强的盈利能力和抗风险能力，经济、社会效益显著，产品具有广阔</w:t>
      </w:r>
      <w:r>
        <w:rPr>
          <w:rFonts w:ascii="宋体" w:hAnsi="宋体" w:eastAsia="宋体" w:cs="宋体"/>
          <w:sz w:val="23"/>
          <w:szCs w:val="23"/>
        </w:rPr>
        <w:t xml:space="preserve"> </w:t>
      </w:r>
      <w:r>
        <w:rPr>
          <w:rFonts w:ascii="宋体" w:hAnsi="宋体" w:eastAsia="宋体" w:cs="宋体"/>
          <w:spacing w:val="5"/>
          <w:sz w:val="23"/>
          <w:szCs w:val="23"/>
        </w:rPr>
        <w:t>的</w:t>
      </w:r>
      <w:r>
        <w:rPr>
          <w:rFonts w:ascii="宋体" w:hAnsi="宋体" w:eastAsia="宋体" w:cs="宋体"/>
          <w:spacing w:val="3"/>
          <w:sz w:val="23"/>
          <w:szCs w:val="23"/>
        </w:rPr>
        <w:t>市场前景。</w:t>
      </w:r>
    </w:p>
    <w:p w14:paraId="7388A9A9">
      <w:pPr>
        <w:sectPr>
          <w:footerReference r:id="rId317" w:type="default"/>
          <w:pgSz w:w="11906" w:h="16839"/>
          <w:pgMar w:top="1132" w:right="1735" w:bottom="1182" w:left="1758" w:header="878" w:footer="1022" w:gutter="0"/>
          <w:cols w:space="720" w:num="1"/>
        </w:sectPr>
      </w:pPr>
    </w:p>
    <w:p w14:paraId="152C60EA">
      <w:pPr>
        <w:spacing w:line="421" w:lineRule="auto"/>
        <w:rPr>
          <w:rFonts w:ascii="Arial"/>
          <w:sz w:val="21"/>
        </w:rPr>
      </w:pPr>
      <w:r>
        <w:pict>
          <v:shape id="_x0000_s1376" o:spid="_x0000_s1376" style="position:absolute;left:0pt;margin-left:90pt;margin-top:57.35pt;height:0.75pt;width:415.3pt;mso-position-horizontal-relative:page;mso-position-vertical-relative:page;z-index:252071936;mso-width-relative:page;mso-height-relative:page;" fillcolor="#000000" filled="t" stroked="f" coordsize="8305,15" o:allowincell="f" path="m0,0l8305,0,8305,14,0,14,0,0xe">
            <v:path/>
            <v:fill on="t" focussize="0,0"/>
            <v:stroke on="f"/>
            <v:imagedata o:title=""/>
            <o:lock v:ext="edit"/>
          </v:shape>
        </w:pict>
      </w:r>
    </w:p>
    <w:p w14:paraId="3A5550E3">
      <w:pPr>
        <w:spacing w:before="114" w:line="225" w:lineRule="auto"/>
        <w:ind w:left="25"/>
        <w:outlineLvl w:val="0"/>
        <w:rPr>
          <w:rFonts w:ascii="宋体" w:hAnsi="宋体" w:eastAsia="宋体" w:cs="宋体"/>
          <w:sz w:val="35"/>
          <w:szCs w:val="35"/>
        </w:rPr>
      </w:pPr>
      <w:bookmarkStart w:id="42" w:name="_bookmark43"/>
      <w:bookmarkEnd w:id="42"/>
      <w:r>
        <w:rPr>
          <w:rFonts w:ascii="Times New Roman" w:hAnsi="Times New Roman" w:eastAsia="Times New Roman" w:cs="Times New Roman"/>
          <w:b/>
          <w:bCs/>
          <w:spacing w:val="12"/>
          <w:sz w:val="35"/>
          <w:szCs w:val="35"/>
        </w:rPr>
        <w:t>9</w:t>
      </w:r>
      <w:r>
        <w:rPr>
          <w:rFonts w:ascii="Times New Roman" w:hAnsi="Times New Roman" w:eastAsia="Times New Roman" w:cs="Times New Roman"/>
          <w:spacing w:val="8"/>
          <w:sz w:val="35"/>
          <w:szCs w:val="35"/>
        </w:rPr>
        <w:t xml:space="preserve">  </w:t>
      </w:r>
      <w:r>
        <w:rPr>
          <w:rFonts w:ascii="宋体" w:hAnsi="宋体" w:eastAsia="宋体" w:cs="宋体"/>
          <w:spacing w:val="8"/>
          <w:sz w:val="35"/>
          <w:szCs w:val="35"/>
          <w14:textOutline w14:w="6537" w14:cap="sq" w14:cmpd="sng">
            <w14:solidFill>
              <w14:srgbClr w14:val="000000"/>
            </w14:solidFill>
            <w14:prstDash w14:val="solid"/>
            <w14:bevel/>
          </w14:textOutline>
        </w:rPr>
        <w:t>环境管理与监测计划</w:t>
      </w:r>
    </w:p>
    <w:p w14:paraId="794CDE91">
      <w:pPr>
        <w:spacing w:before="244" w:line="225" w:lineRule="auto"/>
        <w:ind w:left="23"/>
        <w:outlineLvl w:val="1"/>
        <w:rPr>
          <w:rFonts w:ascii="宋体" w:hAnsi="宋体" w:eastAsia="宋体" w:cs="宋体"/>
          <w:sz w:val="31"/>
          <w:szCs w:val="31"/>
        </w:rPr>
      </w:pPr>
      <w:bookmarkStart w:id="43" w:name="_bookmark44"/>
      <w:bookmarkEnd w:id="43"/>
      <w:r>
        <w:rPr>
          <w:rFonts w:ascii="Times New Roman" w:hAnsi="Times New Roman" w:eastAsia="Times New Roman" w:cs="Times New Roman"/>
          <w:b/>
          <w:bCs/>
          <w:spacing w:val="10"/>
          <w:sz w:val="31"/>
          <w:szCs w:val="31"/>
        </w:rPr>
        <w:t>9</w:t>
      </w:r>
      <w:r>
        <w:rPr>
          <w:rFonts w:ascii="Times New Roman" w:hAnsi="Times New Roman" w:eastAsia="Times New Roman" w:cs="Times New Roman"/>
          <w:b/>
          <w:bCs/>
          <w:spacing w:val="5"/>
          <w:sz w:val="31"/>
          <w:szCs w:val="31"/>
        </w:rPr>
        <w:t>.1</w:t>
      </w:r>
      <w:r>
        <w:rPr>
          <w:rFonts w:ascii="Times New Roman" w:hAnsi="Times New Roman" w:eastAsia="Times New Roman" w:cs="Times New Roman"/>
          <w:spacing w:val="5"/>
          <w:sz w:val="31"/>
          <w:szCs w:val="31"/>
        </w:rPr>
        <w:t xml:space="preserve">  </w:t>
      </w:r>
      <w:r>
        <w:rPr>
          <w:rFonts w:ascii="宋体" w:hAnsi="宋体" w:eastAsia="宋体" w:cs="宋体"/>
          <w:spacing w:val="5"/>
          <w:sz w:val="31"/>
          <w:szCs w:val="31"/>
          <w14:textOutline w14:w="5793" w14:cap="sq" w14:cmpd="sng">
            <w14:solidFill>
              <w14:srgbClr w14:val="000000"/>
            </w14:solidFill>
            <w14:prstDash w14:val="solid"/>
            <w14:bevel/>
          </w14:textOutline>
        </w:rPr>
        <w:t>环境管理</w:t>
      </w:r>
    </w:p>
    <w:p w14:paraId="6730D542">
      <w:pPr>
        <w:spacing w:line="249" w:lineRule="auto"/>
        <w:rPr>
          <w:rFonts w:ascii="Arial"/>
          <w:sz w:val="21"/>
        </w:rPr>
      </w:pPr>
    </w:p>
    <w:p w14:paraId="25E81880">
      <w:pPr>
        <w:spacing w:before="75" w:line="391" w:lineRule="auto"/>
        <w:ind w:left="23" w:right="80" w:firstLine="480"/>
        <w:rPr>
          <w:rFonts w:ascii="宋体" w:hAnsi="宋体" w:eastAsia="宋体" w:cs="宋体"/>
          <w:sz w:val="23"/>
          <w:szCs w:val="23"/>
        </w:rPr>
      </w:pPr>
      <w:r>
        <w:rPr>
          <w:rFonts w:ascii="宋体" w:hAnsi="宋体" w:eastAsia="宋体" w:cs="宋体"/>
          <w:spacing w:val="7"/>
          <w:sz w:val="23"/>
          <w:szCs w:val="23"/>
        </w:rPr>
        <w:t>环境管理是以环境科学理论为基础，运用经济、法律、技术、行政、教育</w:t>
      </w:r>
      <w:r>
        <w:rPr>
          <w:rFonts w:ascii="宋体" w:hAnsi="宋体" w:eastAsia="宋体" w:cs="宋体"/>
          <w:spacing w:val="3"/>
          <w:sz w:val="23"/>
          <w:szCs w:val="23"/>
        </w:rPr>
        <w:t>等</w:t>
      </w:r>
      <w:r>
        <w:rPr>
          <w:rFonts w:ascii="宋体" w:hAnsi="宋体" w:eastAsia="宋体" w:cs="宋体"/>
          <w:sz w:val="23"/>
          <w:szCs w:val="23"/>
        </w:rPr>
        <w:t xml:space="preserve"> </w:t>
      </w:r>
      <w:r>
        <w:rPr>
          <w:rFonts w:ascii="宋体" w:hAnsi="宋体" w:eastAsia="宋体" w:cs="宋体"/>
          <w:spacing w:val="9"/>
          <w:sz w:val="23"/>
          <w:szCs w:val="23"/>
        </w:rPr>
        <w:t>手</w:t>
      </w:r>
      <w:r>
        <w:rPr>
          <w:rFonts w:ascii="宋体" w:hAnsi="宋体" w:eastAsia="宋体" w:cs="宋体"/>
          <w:spacing w:val="7"/>
          <w:sz w:val="23"/>
          <w:szCs w:val="23"/>
        </w:rPr>
        <w:t>段对经济、社会发展过程中施加给环境的污染和破坏影响进行调节控制，实现</w:t>
      </w:r>
      <w:r>
        <w:rPr>
          <w:rFonts w:ascii="宋体" w:hAnsi="宋体" w:eastAsia="宋体" w:cs="宋体"/>
          <w:sz w:val="23"/>
          <w:szCs w:val="23"/>
        </w:rPr>
        <w:t xml:space="preserve"> </w:t>
      </w:r>
      <w:r>
        <w:rPr>
          <w:rFonts w:ascii="宋体" w:hAnsi="宋体" w:eastAsia="宋体" w:cs="宋体"/>
          <w:spacing w:val="16"/>
          <w:sz w:val="23"/>
          <w:szCs w:val="23"/>
        </w:rPr>
        <w:t>经</w:t>
      </w:r>
      <w:r>
        <w:rPr>
          <w:rFonts w:ascii="宋体" w:hAnsi="宋体" w:eastAsia="宋体" w:cs="宋体"/>
          <w:spacing w:val="12"/>
          <w:sz w:val="23"/>
          <w:szCs w:val="23"/>
        </w:rPr>
        <w:t>济</w:t>
      </w:r>
      <w:r>
        <w:rPr>
          <w:rFonts w:ascii="宋体" w:hAnsi="宋体" w:eastAsia="宋体" w:cs="宋体"/>
          <w:spacing w:val="8"/>
          <w:sz w:val="23"/>
          <w:szCs w:val="23"/>
        </w:rPr>
        <w:t>、社会和环境效益的和谐统一。</w:t>
      </w:r>
    </w:p>
    <w:p w14:paraId="5A863A0F">
      <w:pPr>
        <w:spacing w:before="136" w:line="390" w:lineRule="auto"/>
        <w:ind w:left="28" w:right="80" w:firstLine="478"/>
        <w:rPr>
          <w:rFonts w:ascii="宋体" w:hAnsi="宋体" w:eastAsia="宋体" w:cs="宋体"/>
          <w:sz w:val="23"/>
          <w:szCs w:val="23"/>
        </w:rPr>
      </w:pPr>
      <w:r>
        <w:rPr>
          <w:rFonts w:ascii="宋体" w:hAnsi="宋体" w:eastAsia="宋体" w:cs="宋体"/>
          <w:spacing w:val="12"/>
          <w:sz w:val="23"/>
          <w:szCs w:val="23"/>
        </w:rPr>
        <w:t>为全面贯</w:t>
      </w:r>
      <w:r>
        <w:rPr>
          <w:rFonts w:ascii="宋体" w:hAnsi="宋体" w:eastAsia="宋体" w:cs="宋体"/>
          <w:spacing w:val="8"/>
          <w:sz w:val="23"/>
          <w:szCs w:val="23"/>
        </w:rPr>
        <w:t>彻</w:t>
      </w:r>
      <w:r>
        <w:rPr>
          <w:rFonts w:ascii="宋体" w:hAnsi="宋体" w:eastAsia="宋体" w:cs="宋体"/>
          <w:spacing w:val="6"/>
          <w:sz w:val="23"/>
          <w:szCs w:val="23"/>
        </w:rPr>
        <w:t>和落实国家及地方环保法律、法规，加强企业内部污染物排放监</w:t>
      </w:r>
      <w:r>
        <w:rPr>
          <w:rFonts w:ascii="宋体" w:hAnsi="宋体" w:eastAsia="宋体" w:cs="宋体"/>
          <w:sz w:val="23"/>
          <w:szCs w:val="23"/>
        </w:rPr>
        <w:t xml:space="preserve"> </w:t>
      </w:r>
      <w:r>
        <w:rPr>
          <w:rFonts w:ascii="宋体" w:hAnsi="宋体" w:eastAsia="宋体" w:cs="宋体"/>
          <w:spacing w:val="7"/>
          <w:sz w:val="23"/>
          <w:szCs w:val="23"/>
        </w:rPr>
        <w:t>督控制，项目将环境保护纳入企业管理和生产计划之中，企业内部必须建立相</w:t>
      </w:r>
      <w:r>
        <w:rPr>
          <w:rFonts w:ascii="宋体" w:hAnsi="宋体" w:eastAsia="宋体" w:cs="宋体"/>
          <w:spacing w:val="4"/>
          <w:sz w:val="23"/>
          <w:szCs w:val="23"/>
        </w:rPr>
        <w:t>应</w:t>
      </w:r>
      <w:r>
        <w:rPr>
          <w:rFonts w:ascii="宋体" w:hAnsi="宋体" w:eastAsia="宋体" w:cs="宋体"/>
          <w:sz w:val="23"/>
          <w:szCs w:val="23"/>
        </w:rPr>
        <w:t xml:space="preserve"> </w:t>
      </w:r>
      <w:r>
        <w:rPr>
          <w:rFonts w:ascii="宋体" w:hAnsi="宋体" w:eastAsia="宋体" w:cs="宋体"/>
          <w:spacing w:val="9"/>
          <w:sz w:val="23"/>
          <w:szCs w:val="23"/>
        </w:rPr>
        <w:t>的</w:t>
      </w:r>
      <w:r>
        <w:rPr>
          <w:rFonts w:ascii="宋体" w:hAnsi="宋体" w:eastAsia="宋体" w:cs="宋体"/>
          <w:spacing w:val="8"/>
          <w:sz w:val="23"/>
          <w:szCs w:val="23"/>
        </w:rPr>
        <w:t>环境管理机构及监控计划。</w:t>
      </w:r>
    </w:p>
    <w:p w14:paraId="3990E85A">
      <w:pPr>
        <w:spacing w:before="137" w:line="303" w:lineRule="exact"/>
        <w:ind w:left="522"/>
        <w:rPr>
          <w:rFonts w:ascii="宋体" w:hAnsi="宋体" w:eastAsia="宋体" w:cs="宋体"/>
          <w:sz w:val="23"/>
          <w:szCs w:val="23"/>
        </w:rPr>
      </w:pPr>
      <w:r>
        <w:rPr>
          <w:rFonts w:ascii="Times New Roman" w:hAnsi="Times New Roman" w:eastAsia="Times New Roman" w:cs="Times New Roman"/>
          <w:spacing w:val="-7"/>
          <w:position w:val="1"/>
          <w:sz w:val="23"/>
          <w:szCs w:val="23"/>
        </w:rPr>
        <w:t>1</w:t>
      </w:r>
      <w:r>
        <w:rPr>
          <w:rFonts w:ascii="Times New Roman" w:hAnsi="Times New Roman" w:eastAsia="Times New Roman" w:cs="Times New Roman"/>
          <w:spacing w:val="-4"/>
          <w:position w:val="1"/>
          <w:sz w:val="23"/>
          <w:szCs w:val="23"/>
        </w:rPr>
        <w:t xml:space="preserve"> </w:t>
      </w:r>
      <w:r>
        <w:rPr>
          <w:rFonts w:ascii="宋体" w:hAnsi="宋体" w:eastAsia="宋体" w:cs="宋体"/>
          <w:spacing w:val="-4"/>
          <w:position w:val="1"/>
          <w:sz w:val="23"/>
          <w:szCs w:val="23"/>
        </w:rPr>
        <w:t>、管理机构</w:t>
      </w:r>
    </w:p>
    <w:p w14:paraId="51E6A0A1">
      <w:pPr>
        <w:spacing w:line="258" w:lineRule="auto"/>
        <w:rPr>
          <w:rFonts w:ascii="Arial"/>
          <w:sz w:val="21"/>
        </w:rPr>
      </w:pPr>
    </w:p>
    <w:p w14:paraId="67469775">
      <w:pPr>
        <w:spacing w:before="75" w:line="411" w:lineRule="auto"/>
        <w:ind w:left="23" w:firstLine="483"/>
        <w:rPr>
          <w:rFonts w:ascii="宋体" w:hAnsi="宋体" w:eastAsia="宋体" w:cs="宋体"/>
          <w:sz w:val="23"/>
          <w:szCs w:val="23"/>
        </w:rPr>
      </w:pPr>
      <w:r>
        <w:rPr>
          <w:rFonts w:ascii="宋体" w:hAnsi="宋体" w:eastAsia="宋体" w:cs="宋体"/>
          <w:spacing w:val="4"/>
          <w:sz w:val="23"/>
          <w:szCs w:val="23"/>
        </w:rPr>
        <w:t>企业</w:t>
      </w:r>
      <w:r>
        <w:rPr>
          <w:rFonts w:ascii="宋体" w:hAnsi="宋体" w:eastAsia="宋体" w:cs="宋体"/>
          <w:spacing w:val="3"/>
          <w:sz w:val="23"/>
          <w:szCs w:val="23"/>
        </w:rPr>
        <w:t>环</w:t>
      </w:r>
      <w:r>
        <w:rPr>
          <w:rFonts w:ascii="宋体" w:hAnsi="宋体" w:eastAsia="宋体" w:cs="宋体"/>
          <w:spacing w:val="2"/>
          <w:sz w:val="23"/>
          <w:szCs w:val="23"/>
        </w:rPr>
        <w:t>境管理，就是以管理工程和环境科学的理论为基础，运用技术、经济、</w:t>
      </w:r>
      <w:r>
        <w:rPr>
          <w:rFonts w:ascii="宋体" w:hAnsi="宋体" w:eastAsia="宋体" w:cs="宋体"/>
          <w:sz w:val="23"/>
          <w:szCs w:val="23"/>
        </w:rPr>
        <w:t xml:space="preserve"> </w:t>
      </w:r>
      <w:r>
        <w:rPr>
          <w:rFonts w:ascii="宋体" w:hAnsi="宋体" w:eastAsia="宋体" w:cs="宋体"/>
          <w:spacing w:val="9"/>
          <w:sz w:val="23"/>
          <w:szCs w:val="23"/>
        </w:rPr>
        <w:t>法</w:t>
      </w:r>
      <w:r>
        <w:rPr>
          <w:rFonts w:ascii="宋体" w:hAnsi="宋体" w:eastAsia="宋体" w:cs="宋体"/>
          <w:spacing w:val="7"/>
          <w:sz w:val="23"/>
          <w:szCs w:val="23"/>
        </w:rPr>
        <w:t>律、行政和教育手段，对损害环境质量的生产经营活动加以限制，协调发展生</w:t>
      </w:r>
      <w:r>
        <w:rPr>
          <w:rFonts w:ascii="宋体" w:hAnsi="宋体" w:eastAsia="宋体" w:cs="宋体"/>
          <w:sz w:val="23"/>
          <w:szCs w:val="23"/>
        </w:rPr>
        <w:t xml:space="preserve"> </w:t>
      </w:r>
      <w:r>
        <w:rPr>
          <w:rFonts w:ascii="宋体" w:hAnsi="宋体" w:eastAsia="宋体" w:cs="宋体"/>
          <w:spacing w:val="9"/>
          <w:sz w:val="23"/>
          <w:szCs w:val="23"/>
        </w:rPr>
        <w:t>产</w:t>
      </w:r>
      <w:r>
        <w:rPr>
          <w:rFonts w:ascii="宋体" w:hAnsi="宋体" w:eastAsia="宋体" w:cs="宋体"/>
          <w:spacing w:val="7"/>
          <w:sz w:val="23"/>
          <w:szCs w:val="23"/>
        </w:rPr>
        <w:t>与保护环境的关系，使生产目标与环境目标统一起来，经济效益与环境效益统</w:t>
      </w:r>
      <w:r>
        <w:rPr>
          <w:rFonts w:ascii="宋体" w:hAnsi="宋体" w:eastAsia="宋体" w:cs="宋体"/>
          <w:sz w:val="23"/>
          <w:szCs w:val="23"/>
        </w:rPr>
        <w:t xml:space="preserve"> </w:t>
      </w:r>
      <w:r>
        <w:rPr>
          <w:rFonts w:ascii="宋体" w:hAnsi="宋体" w:eastAsia="宋体" w:cs="宋体"/>
          <w:spacing w:val="5"/>
          <w:sz w:val="23"/>
          <w:szCs w:val="23"/>
        </w:rPr>
        <w:t>一起来。</w:t>
      </w:r>
    </w:p>
    <w:p w14:paraId="7938D024">
      <w:pPr>
        <w:spacing w:before="26" w:line="393" w:lineRule="auto"/>
        <w:ind w:left="24" w:right="80" w:firstLine="479"/>
        <w:rPr>
          <w:rFonts w:ascii="宋体" w:hAnsi="宋体" w:eastAsia="宋体" w:cs="宋体"/>
          <w:sz w:val="23"/>
          <w:szCs w:val="23"/>
        </w:rPr>
      </w:pPr>
      <w:r>
        <w:rPr>
          <w:rFonts w:ascii="宋体" w:hAnsi="宋体" w:eastAsia="宋体" w:cs="宋体"/>
          <w:spacing w:val="7"/>
          <w:sz w:val="23"/>
          <w:szCs w:val="23"/>
        </w:rPr>
        <w:t>根据项目的污染特点，建设单位应有一名副经理负责环保工作，设立环境</w:t>
      </w:r>
      <w:r>
        <w:rPr>
          <w:rFonts w:ascii="宋体" w:hAnsi="宋体" w:eastAsia="宋体" w:cs="宋体"/>
          <w:spacing w:val="3"/>
          <w:sz w:val="23"/>
          <w:szCs w:val="23"/>
        </w:rPr>
        <w:t>保</w:t>
      </w:r>
      <w:r>
        <w:rPr>
          <w:rFonts w:ascii="宋体" w:hAnsi="宋体" w:eastAsia="宋体" w:cs="宋体"/>
          <w:sz w:val="23"/>
          <w:szCs w:val="23"/>
        </w:rPr>
        <w:t xml:space="preserve"> </w:t>
      </w:r>
      <w:r>
        <w:rPr>
          <w:rFonts w:ascii="宋体" w:hAnsi="宋体" w:eastAsia="宋体" w:cs="宋体"/>
          <w:spacing w:val="9"/>
          <w:sz w:val="23"/>
          <w:szCs w:val="23"/>
        </w:rPr>
        <w:t>护管理机构，配备专职环保管理人员两人</w:t>
      </w:r>
      <w:r>
        <w:rPr>
          <w:rFonts w:ascii="宋体" w:hAnsi="宋体" w:eastAsia="宋体" w:cs="宋体"/>
          <w:spacing w:val="7"/>
          <w:sz w:val="23"/>
          <w:szCs w:val="23"/>
        </w:rPr>
        <w:t>。</w:t>
      </w:r>
    </w:p>
    <w:p w14:paraId="343E92AB">
      <w:pPr>
        <w:spacing w:before="137" w:line="303" w:lineRule="exact"/>
        <w:ind w:left="499"/>
        <w:rPr>
          <w:rFonts w:ascii="宋体" w:hAnsi="宋体" w:eastAsia="宋体" w:cs="宋体"/>
          <w:sz w:val="23"/>
          <w:szCs w:val="23"/>
        </w:rPr>
      </w:pPr>
      <w:r>
        <w:rPr>
          <w:rFonts w:ascii="Times New Roman" w:hAnsi="Times New Roman" w:eastAsia="Times New Roman" w:cs="Times New Roman"/>
          <w:spacing w:val="6"/>
          <w:position w:val="1"/>
          <w:sz w:val="23"/>
          <w:szCs w:val="23"/>
        </w:rPr>
        <w:t xml:space="preserve">2 </w:t>
      </w:r>
      <w:r>
        <w:rPr>
          <w:rFonts w:ascii="宋体" w:hAnsi="宋体" w:eastAsia="宋体" w:cs="宋体"/>
          <w:spacing w:val="6"/>
          <w:position w:val="1"/>
          <w:sz w:val="23"/>
          <w:szCs w:val="23"/>
        </w:rPr>
        <w:t>、企业环境管理机构的基本职能与职</w:t>
      </w:r>
      <w:r>
        <w:rPr>
          <w:rFonts w:ascii="宋体" w:hAnsi="宋体" w:eastAsia="宋体" w:cs="宋体"/>
          <w:spacing w:val="4"/>
          <w:position w:val="1"/>
          <w:sz w:val="23"/>
          <w:szCs w:val="23"/>
        </w:rPr>
        <w:t>责</w:t>
      </w:r>
    </w:p>
    <w:p w14:paraId="46CA5289">
      <w:pPr>
        <w:spacing w:line="256" w:lineRule="auto"/>
        <w:rPr>
          <w:rFonts w:ascii="Arial"/>
          <w:sz w:val="21"/>
        </w:rPr>
      </w:pPr>
    </w:p>
    <w:p w14:paraId="0163FF8E">
      <w:pPr>
        <w:spacing w:before="75" w:line="227" w:lineRule="auto"/>
        <w:ind w:left="514"/>
        <w:rPr>
          <w:rFonts w:ascii="宋体" w:hAnsi="宋体" w:eastAsia="宋体" w:cs="宋体"/>
          <w:sz w:val="23"/>
          <w:szCs w:val="23"/>
        </w:rPr>
      </w:pPr>
      <w:r>
        <w:rPr>
          <w:rFonts w:ascii="宋体" w:hAnsi="宋体" w:eastAsia="宋体" w:cs="宋体"/>
          <w:spacing w:val="20"/>
          <w:sz w:val="23"/>
          <w:szCs w:val="23"/>
        </w:rPr>
        <w:t>(</w:t>
      </w:r>
      <w:r>
        <w:rPr>
          <w:rFonts w:ascii="Times New Roman" w:hAnsi="Times New Roman" w:eastAsia="Times New Roman" w:cs="Times New Roman"/>
          <w:spacing w:val="20"/>
          <w:sz w:val="23"/>
          <w:szCs w:val="23"/>
        </w:rPr>
        <w:t>1</w:t>
      </w:r>
      <w:r>
        <w:rPr>
          <w:rFonts w:ascii="宋体" w:hAnsi="宋体" w:eastAsia="宋体" w:cs="宋体"/>
          <w:spacing w:val="20"/>
          <w:sz w:val="23"/>
          <w:szCs w:val="23"/>
        </w:rPr>
        <w:t>) 基本职</w:t>
      </w:r>
      <w:r>
        <w:rPr>
          <w:rFonts w:ascii="宋体" w:hAnsi="宋体" w:eastAsia="宋体" w:cs="宋体"/>
          <w:spacing w:val="19"/>
          <w:sz w:val="23"/>
          <w:szCs w:val="23"/>
        </w:rPr>
        <w:t>能</w:t>
      </w:r>
    </w:p>
    <w:p w14:paraId="0413BBDD">
      <w:pPr>
        <w:spacing w:line="276" w:lineRule="auto"/>
        <w:rPr>
          <w:rFonts w:ascii="Arial"/>
          <w:sz w:val="21"/>
        </w:rPr>
      </w:pPr>
    </w:p>
    <w:p w14:paraId="384F43DE">
      <w:pPr>
        <w:spacing w:before="76" w:line="227" w:lineRule="auto"/>
        <w:ind w:left="507"/>
        <w:rPr>
          <w:rFonts w:ascii="宋体" w:hAnsi="宋体" w:eastAsia="宋体" w:cs="宋体"/>
          <w:sz w:val="23"/>
          <w:szCs w:val="23"/>
        </w:rPr>
      </w:pPr>
      <w:r>
        <w:rPr>
          <w:rFonts w:ascii="宋体" w:hAnsi="宋体" w:eastAsia="宋体" w:cs="宋体"/>
          <w:spacing w:val="14"/>
          <w:sz w:val="23"/>
          <w:szCs w:val="23"/>
        </w:rPr>
        <w:t>企业环</w:t>
      </w:r>
      <w:r>
        <w:rPr>
          <w:rFonts w:ascii="宋体" w:hAnsi="宋体" w:eastAsia="宋体" w:cs="宋体"/>
          <w:spacing w:val="11"/>
          <w:sz w:val="23"/>
          <w:szCs w:val="23"/>
        </w:rPr>
        <w:t>境</w:t>
      </w:r>
      <w:r>
        <w:rPr>
          <w:rFonts w:ascii="宋体" w:hAnsi="宋体" w:eastAsia="宋体" w:cs="宋体"/>
          <w:spacing w:val="7"/>
          <w:sz w:val="23"/>
          <w:szCs w:val="23"/>
        </w:rPr>
        <w:t>管理机构是企业管理工作的职能部门，其基本职能有以下三方面：</w:t>
      </w:r>
    </w:p>
    <w:p w14:paraId="2B01E004">
      <w:pPr>
        <w:spacing w:line="277" w:lineRule="auto"/>
        <w:rPr>
          <w:rFonts w:ascii="Arial"/>
          <w:sz w:val="21"/>
        </w:rPr>
      </w:pPr>
    </w:p>
    <w:p w14:paraId="37756072">
      <w:pPr>
        <w:spacing w:before="75" w:line="225" w:lineRule="auto"/>
        <w:ind w:left="502"/>
        <w:rPr>
          <w:rFonts w:ascii="宋体" w:hAnsi="宋体" w:eastAsia="宋体" w:cs="宋体"/>
          <w:sz w:val="23"/>
          <w:szCs w:val="23"/>
        </w:rPr>
      </w:pPr>
      <w:r>
        <w:rPr>
          <w:rFonts w:ascii="宋体" w:hAnsi="宋体" w:eastAsia="宋体" w:cs="宋体"/>
          <w:spacing w:val="8"/>
          <w:sz w:val="23"/>
          <w:szCs w:val="23"/>
        </w:rPr>
        <w:t xml:space="preserve">①组织编制环境计划 (包括规划) </w:t>
      </w:r>
      <w:r>
        <w:rPr>
          <w:rFonts w:ascii="宋体" w:hAnsi="宋体" w:eastAsia="宋体" w:cs="宋体"/>
          <w:spacing w:val="6"/>
          <w:sz w:val="23"/>
          <w:szCs w:val="23"/>
        </w:rPr>
        <w:t>；</w:t>
      </w:r>
    </w:p>
    <w:p w14:paraId="6C96A9DA">
      <w:pPr>
        <w:spacing w:line="279" w:lineRule="auto"/>
        <w:rPr>
          <w:rFonts w:ascii="Arial"/>
          <w:sz w:val="21"/>
        </w:rPr>
      </w:pPr>
    </w:p>
    <w:p w14:paraId="5629F32B">
      <w:pPr>
        <w:spacing w:before="75" w:line="225" w:lineRule="auto"/>
        <w:ind w:left="501"/>
        <w:rPr>
          <w:rFonts w:ascii="宋体" w:hAnsi="宋体" w:eastAsia="宋体" w:cs="宋体"/>
          <w:sz w:val="23"/>
          <w:szCs w:val="23"/>
        </w:rPr>
      </w:pPr>
      <w:r>
        <w:rPr>
          <w:rFonts w:ascii="宋体" w:hAnsi="宋体" w:eastAsia="宋体" w:cs="宋体"/>
          <w:spacing w:val="16"/>
          <w:sz w:val="23"/>
          <w:szCs w:val="23"/>
        </w:rPr>
        <w:t>②</w:t>
      </w:r>
      <w:r>
        <w:rPr>
          <w:rFonts w:ascii="宋体" w:hAnsi="宋体" w:eastAsia="宋体" w:cs="宋体"/>
          <w:spacing w:val="8"/>
          <w:sz w:val="23"/>
          <w:szCs w:val="23"/>
        </w:rPr>
        <w:t>组织环境保护工作的协调；</w:t>
      </w:r>
    </w:p>
    <w:p w14:paraId="4CE9330C">
      <w:pPr>
        <w:spacing w:line="279" w:lineRule="auto"/>
        <w:rPr>
          <w:rFonts w:ascii="Arial"/>
          <w:sz w:val="21"/>
        </w:rPr>
      </w:pPr>
    </w:p>
    <w:p w14:paraId="085D7E6E">
      <w:pPr>
        <w:spacing w:before="75" w:line="225" w:lineRule="auto"/>
        <w:ind w:left="501"/>
        <w:rPr>
          <w:rFonts w:ascii="宋体" w:hAnsi="宋体" w:eastAsia="宋体" w:cs="宋体"/>
          <w:sz w:val="23"/>
          <w:szCs w:val="23"/>
        </w:rPr>
      </w:pPr>
      <w:r>
        <w:rPr>
          <w:rFonts w:ascii="宋体" w:hAnsi="宋体" w:eastAsia="宋体" w:cs="宋体"/>
          <w:spacing w:val="10"/>
          <w:sz w:val="23"/>
          <w:szCs w:val="23"/>
        </w:rPr>
        <w:t>③</w:t>
      </w:r>
      <w:r>
        <w:rPr>
          <w:rFonts w:ascii="宋体" w:hAnsi="宋体" w:eastAsia="宋体" w:cs="宋体"/>
          <w:spacing w:val="8"/>
          <w:sz w:val="23"/>
          <w:szCs w:val="23"/>
        </w:rPr>
        <w:t>实施企业环境监督。</w:t>
      </w:r>
    </w:p>
    <w:p w14:paraId="12421446">
      <w:pPr>
        <w:spacing w:line="279" w:lineRule="auto"/>
        <w:rPr>
          <w:rFonts w:ascii="Arial"/>
          <w:sz w:val="21"/>
        </w:rPr>
      </w:pPr>
    </w:p>
    <w:p w14:paraId="17B58262">
      <w:pPr>
        <w:spacing w:before="74" w:line="228" w:lineRule="auto"/>
        <w:ind w:left="514"/>
        <w:rPr>
          <w:rFonts w:ascii="宋体" w:hAnsi="宋体" w:eastAsia="宋体" w:cs="宋体"/>
          <w:sz w:val="23"/>
          <w:szCs w:val="23"/>
        </w:rPr>
      </w:pPr>
      <w:r>
        <w:rPr>
          <w:rFonts w:ascii="宋体" w:hAnsi="宋体" w:eastAsia="宋体" w:cs="宋体"/>
          <w:spacing w:val="18"/>
          <w:sz w:val="23"/>
          <w:szCs w:val="23"/>
        </w:rPr>
        <w:t>(</w:t>
      </w:r>
      <w:r>
        <w:rPr>
          <w:rFonts w:ascii="Times New Roman" w:hAnsi="Times New Roman" w:eastAsia="Times New Roman" w:cs="Times New Roman"/>
          <w:spacing w:val="18"/>
          <w:sz w:val="23"/>
          <w:szCs w:val="23"/>
        </w:rPr>
        <w:t>2</w:t>
      </w:r>
      <w:r>
        <w:rPr>
          <w:rFonts w:ascii="宋体" w:hAnsi="宋体" w:eastAsia="宋体" w:cs="宋体"/>
          <w:spacing w:val="18"/>
          <w:sz w:val="23"/>
          <w:szCs w:val="23"/>
        </w:rPr>
        <w:t>) 主要工作职</w:t>
      </w:r>
      <w:r>
        <w:rPr>
          <w:rFonts w:ascii="宋体" w:hAnsi="宋体" w:eastAsia="宋体" w:cs="宋体"/>
          <w:spacing w:val="17"/>
          <w:sz w:val="23"/>
          <w:szCs w:val="23"/>
        </w:rPr>
        <w:t>责</w:t>
      </w:r>
    </w:p>
    <w:p w14:paraId="5524FEF4">
      <w:pPr>
        <w:spacing w:line="276" w:lineRule="auto"/>
        <w:rPr>
          <w:rFonts w:ascii="Arial"/>
          <w:sz w:val="21"/>
        </w:rPr>
      </w:pPr>
    </w:p>
    <w:p w14:paraId="5BDD8315">
      <w:pPr>
        <w:spacing w:before="76" w:line="393" w:lineRule="auto"/>
        <w:ind w:left="24" w:right="80" w:firstLine="478"/>
        <w:rPr>
          <w:rFonts w:ascii="宋体" w:hAnsi="宋体" w:eastAsia="宋体" w:cs="宋体"/>
          <w:sz w:val="23"/>
          <w:szCs w:val="23"/>
        </w:rPr>
      </w:pPr>
      <w:r>
        <w:rPr>
          <w:rFonts w:ascii="Times New Roman" w:hAnsi="Times New Roman" w:eastAsia="Times New Roman" w:cs="Times New Roman"/>
          <w:sz w:val="23"/>
          <w:szCs w:val="23"/>
        </w:rPr>
        <w:t>a</w:t>
      </w:r>
      <w:r>
        <w:rPr>
          <w:rFonts w:ascii="Times New Roman" w:hAnsi="Times New Roman" w:eastAsia="Times New Roman" w:cs="Times New Roman"/>
          <w:spacing w:val="10"/>
          <w:sz w:val="23"/>
          <w:szCs w:val="23"/>
        </w:rPr>
        <w:t xml:space="preserve"> </w:t>
      </w:r>
      <w:r>
        <w:rPr>
          <w:rFonts w:ascii="宋体" w:hAnsi="宋体" w:eastAsia="宋体" w:cs="宋体"/>
          <w:spacing w:val="9"/>
          <w:sz w:val="23"/>
          <w:szCs w:val="23"/>
        </w:rPr>
        <w:t>、督促、检查本企业执行国家环境保护方针、政策、法规及本企业环境保</w:t>
      </w:r>
      <w:r>
        <w:rPr>
          <w:rFonts w:ascii="宋体" w:hAnsi="宋体" w:eastAsia="宋体" w:cs="宋体"/>
          <w:sz w:val="23"/>
          <w:szCs w:val="23"/>
        </w:rPr>
        <w:t xml:space="preserve"> </w:t>
      </w:r>
      <w:r>
        <w:rPr>
          <w:rFonts w:ascii="宋体" w:hAnsi="宋体" w:eastAsia="宋体" w:cs="宋体"/>
          <w:spacing w:val="5"/>
          <w:sz w:val="23"/>
          <w:szCs w:val="23"/>
        </w:rPr>
        <w:t>护制度</w:t>
      </w:r>
      <w:r>
        <w:rPr>
          <w:rFonts w:ascii="宋体" w:hAnsi="宋体" w:eastAsia="宋体" w:cs="宋体"/>
          <w:spacing w:val="4"/>
          <w:sz w:val="23"/>
          <w:szCs w:val="23"/>
        </w:rPr>
        <w:t>；</w:t>
      </w:r>
    </w:p>
    <w:p w14:paraId="57D7E19F">
      <w:pPr>
        <w:sectPr>
          <w:headerReference r:id="rId318" w:type="default"/>
          <w:footerReference r:id="rId319" w:type="default"/>
          <w:pgSz w:w="11906" w:h="16839"/>
          <w:pgMar w:top="1132" w:right="1719" w:bottom="1182" w:left="1785" w:header="878" w:footer="1022" w:gutter="0"/>
          <w:cols w:space="720" w:num="1"/>
        </w:sectPr>
      </w:pPr>
    </w:p>
    <w:p w14:paraId="2FAA3A35">
      <w:pPr>
        <w:spacing w:line="365" w:lineRule="auto"/>
        <w:rPr>
          <w:rFonts w:ascii="Arial"/>
          <w:sz w:val="21"/>
        </w:rPr>
      </w:pPr>
      <w:r>
        <w:pict>
          <v:shape id="_x0000_s1377" o:spid="_x0000_s1377" style="position:absolute;left:0pt;margin-left:90pt;margin-top:57.35pt;height:0.75pt;width:415.3pt;mso-position-horizontal-relative:page;mso-position-vertical-relative:page;z-index:252072960;mso-width-relative:page;mso-height-relative:page;" fillcolor="#000000" filled="t" stroked="f" coordsize="8305,15" o:allowincell="f" path="m0,0l8305,0,8305,14,0,14,0,0xe">
            <v:path/>
            <v:fill on="t" focussize="0,0"/>
            <v:stroke on="f"/>
            <v:imagedata o:title=""/>
            <o:lock v:ext="edit"/>
          </v:shape>
        </w:pict>
      </w:r>
    </w:p>
    <w:p w14:paraId="0524C6E9">
      <w:pPr>
        <w:spacing w:before="75" w:line="396" w:lineRule="auto"/>
        <w:ind w:left="23" w:right="63" w:firstLine="470"/>
        <w:rPr>
          <w:rFonts w:ascii="宋体" w:hAnsi="宋体" w:eastAsia="宋体" w:cs="宋体"/>
          <w:sz w:val="23"/>
          <w:szCs w:val="23"/>
        </w:rPr>
      </w:pPr>
      <w:r>
        <w:rPr>
          <w:rFonts w:ascii="Times New Roman" w:hAnsi="Times New Roman" w:eastAsia="Times New Roman" w:cs="Times New Roman"/>
          <w:sz w:val="23"/>
          <w:szCs w:val="23"/>
        </w:rPr>
        <w:t>b</w:t>
      </w:r>
      <w:r>
        <w:rPr>
          <w:rFonts w:ascii="Times New Roman" w:hAnsi="Times New Roman" w:eastAsia="Times New Roman" w:cs="Times New Roman"/>
          <w:spacing w:val="9"/>
          <w:sz w:val="23"/>
          <w:szCs w:val="23"/>
        </w:rPr>
        <w:t xml:space="preserve"> </w:t>
      </w:r>
      <w:r>
        <w:rPr>
          <w:rFonts w:ascii="宋体" w:hAnsi="宋体" w:eastAsia="宋体" w:cs="宋体"/>
          <w:spacing w:val="9"/>
          <w:sz w:val="23"/>
          <w:szCs w:val="23"/>
        </w:rPr>
        <w:t>、拟定本企业环境管理办法，按照国家和地区的规定指定本企业污染物</w:t>
      </w:r>
      <w:r>
        <w:rPr>
          <w:rFonts w:ascii="宋体" w:hAnsi="宋体" w:eastAsia="宋体" w:cs="宋体"/>
          <w:spacing w:val="3"/>
          <w:sz w:val="23"/>
          <w:szCs w:val="23"/>
        </w:rPr>
        <w:t>排</w:t>
      </w:r>
      <w:r>
        <w:rPr>
          <w:rFonts w:ascii="宋体" w:hAnsi="宋体" w:eastAsia="宋体" w:cs="宋体"/>
          <w:sz w:val="23"/>
          <w:szCs w:val="23"/>
        </w:rPr>
        <w:t xml:space="preserve"> </w:t>
      </w:r>
      <w:r>
        <w:rPr>
          <w:rFonts w:ascii="宋体" w:hAnsi="宋体" w:eastAsia="宋体" w:cs="宋体"/>
          <w:spacing w:val="18"/>
          <w:sz w:val="23"/>
          <w:szCs w:val="23"/>
        </w:rPr>
        <w:t>放</w:t>
      </w:r>
      <w:r>
        <w:rPr>
          <w:rFonts w:ascii="宋体" w:hAnsi="宋体" w:eastAsia="宋体" w:cs="宋体"/>
          <w:spacing w:val="11"/>
          <w:sz w:val="23"/>
          <w:szCs w:val="23"/>
        </w:rPr>
        <w:t>指</w:t>
      </w:r>
      <w:r>
        <w:rPr>
          <w:rFonts w:ascii="宋体" w:hAnsi="宋体" w:eastAsia="宋体" w:cs="宋体"/>
          <w:spacing w:val="9"/>
          <w:sz w:val="23"/>
          <w:szCs w:val="23"/>
        </w:rPr>
        <w:t>标和污染综合防治的经济技术原则，做好企业升级环保考核工作；</w:t>
      </w:r>
    </w:p>
    <w:p w14:paraId="630FF30C">
      <w:pPr>
        <w:spacing w:before="172" w:line="303" w:lineRule="exact"/>
        <w:ind w:left="502"/>
        <w:rPr>
          <w:rFonts w:ascii="宋体" w:hAnsi="宋体" w:eastAsia="宋体" w:cs="宋体"/>
          <w:sz w:val="23"/>
          <w:szCs w:val="23"/>
        </w:rPr>
      </w:pPr>
      <w:r>
        <w:rPr>
          <w:rFonts w:ascii="Times New Roman" w:hAnsi="Times New Roman" w:eastAsia="Times New Roman" w:cs="Times New Roman"/>
          <w:position w:val="4"/>
          <w:sz w:val="23"/>
          <w:szCs w:val="23"/>
        </w:rPr>
        <w:t>c</w:t>
      </w:r>
      <w:r>
        <w:rPr>
          <w:rFonts w:ascii="Times New Roman" w:hAnsi="Times New Roman" w:eastAsia="Times New Roman" w:cs="Times New Roman"/>
          <w:spacing w:val="10"/>
          <w:position w:val="4"/>
          <w:sz w:val="23"/>
          <w:szCs w:val="23"/>
        </w:rPr>
        <w:t xml:space="preserve"> </w:t>
      </w:r>
      <w:r>
        <w:rPr>
          <w:rFonts w:ascii="宋体" w:hAnsi="宋体" w:eastAsia="宋体" w:cs="宋体"/>
          <w:spacing w:val="10"/>
          <w:position w:val="4"/>
          <w:sz w:val="23"/>
          <w:szCs w:val="23"/>
        </w:rPr>
        <w:t>、</w:t>
      </w:r>
      <w:r>
        <w:rPr>
          <w:rFonts w:ascii="宋体" w:hAnsi="宋体" w:eastAsia="宋体" w:cs="宋体"/>
          <w:spacing w:val="7"/>
          <w:position w:val="4"/>
          <w:sz w:val="23"/>
          <w:szCs w:val="23"/>
        </w:rPr>
        <w:t>负</w:t>
      </w:r>
      <w:r>
        <w:rPr>
          <w:rFonts w:ascii="宋体" w:hAnsi="宋体" w:eastAsia="宋体" w:cs="宋体"/>
          <w:spacing w:val="5"/>
          <w:position w:val="4"/>
          <w:sz w:val="23"/>
          <w:szCs w:val="23"/>
        </w:rPr>
        <w:t>责组织污染源调查，填写环保报表；</w:t>
      </w:r>
    </w:p>
    <w:p w14:paraId="69DF6979">
      <w:pPr>
        <w:spacing w:before="289" w:line="396" w:lineRule="auto"/>
        <w:ind w:left="29" w:right="119" w:firstLine="472"/>
        <w:rPr>
          <w:rFonts w:ascii="宋体" w:hAnsi="宋体" w:eastAsia="宋体" w:cs="宋体"/>
          <w:sz w:val="23"/>
          <w:szCs w:val="23"/>
        </w:rPr>
      </w:pPr>
      <w:r>
        <w:rPr>
          <w:rFonts w:ascii="Times New Roman" w:hAnsi="Times New Roman" w:eastAsia="Times New Roman" w:cs="Times New Roman"/>
          <w:sz w:val="23"/>
          <w:szCs w:val="23"/>
        </w:rPr>
        <w:t>d</w:t>
      </w:r>
      <w:r>
        <w:rPr>
          <w:rFonts w:ascii="Times New Roman" w:hAnsi="Times New Roman" w:eastAsia="Times New Roman" w:cs="Times New Roman"/>
          <w:spacing w:val="14"/>
          <w:sz w:val="23"/>
          <w:szCs w:val="23"/>
        </w:rPr>
        <w:t xml:space="preserve"> </w:t>
      </w:r>
      <w:r>
        <w:rPr>
          <w:rFonts w:ascii="宋体" w:hAnsi="宋体" w:eastAsia="宋体" w:cs="宋体"/>
          <w:spacing w:val="14"/>
          <w:sz w:val="23"/>
          <w:szCs w:val="23"/>
        </w:rPr>
        <w:t>、</w:t>
      </w:r>
      <w:r>
        <w:rPr>
          <w:rFonts w:ascii="宋体" w:hAnsi="宋体" w:eastAsia="宋体" w:cs="宋体"/>
          <w:spacing w:val="8"/>
          <w:sz w:val="23"/>
          <w:szCs w:val="23"/>
        </w:rPr>
        <w:t>组</w:t>
      </w:r>
      <w:r>
        <w:rPr>
          <w:rFonts w:ascii="宋体" w:hAnsi="宋体" w:eastAsia="宋体" w:cs="宋体"/>
          <w:spacing w:val="7"/>
          <w:sz w:val="23"/>
          <w:szCs w:val="23"/>
        </w:rPr>
        <w:t>织推动本企业在基本建设、技术改造中，贯彻执行</w:t>
      </w:r>
      <w:r>
        <w:rPr>
          <w:rFonts w:ascii="Times New Roman" w:hAnsi="Times New Roman" w:eastAsia="Times New Roman" w:cs="Times New Roman"/>
          <w:spacing w:val="7"/>
          <w:sz w:val="23"/>
          <w:szCs w:val="23"/>
        </w:rPr>
        <w:t>“</w:t>
      </w:r>
      <w:r>
        <w:rPr>
          <w:rFonts w:ascii="宋体" w:hAnsi="宋体" w:eastAsia="宋体" w:cs="宋体"/>
          <w:spacing w:val="7"/>
          <w:sz w:val="23"/>
          <w:szCs w:val="23"/>
        </w:rPr>
        <w:t>三同时</w:t>
      </w:r>
      <w:r>
        <w:rPr>
          <w:rFonts w:ascii="Times New Roman" w:hAnsi="Times New Roman" w:eastAsia="Times New Roman" w:cs="Times New Roman"/>
          <w:spacing w:val="7"/>
          <w:sz w:val="23"/>
          <w:szCs w:val="23"/>
        </w:rPr>
        <w:t>”</w:t>
      </w:r>
      <w:r>
        <w:rPr>
          <w:rFonts w:ascii="宋体" w:hAnsi="宋体" w:eastAsia="宋体" w:cs="宋体"/>
          <w:spacing w:val="7"/>
          <w:sz w:val="23"/>
          <w:szCs w:val="23"/>
        </w:rPr>
        <w:t>的规定，</w:t>
      </w:r>
      <w:r>
        <w:rPr>
          <w:rFonts w:ascii="宋体" w:hAnsi="宋体" w:eastAsia="宋体" w:cs="宋体"/>
          <w:sz w:val="23"/>
          <w:szCs w:val="23"/>
        </w:rPr>
        <w:t xml:space="preserve"> </w:t>
      </w:r>
      <w:r>
        <w:rPr>
          <w:rFonts w:ascii="宋体" w:hAnsi="宋体" w:eastAsia="宋体" w:cs="宋体"/>
          <w:spacing w:val="16"/>
          <w:sz w:val="23"/>
          <w:szCs w:val="23"/>
        </w:rPr>
        <w:t>并</w:t>
      </w:r>
      <w:r>
        <w:rPr>
          <w:rFonts w:ascii="宋体" w:hAnsi="宋体" w:eastAsia="宋体" w:cs="宋体"/>
          <w:spacing w:val="10"/>
          <w:sz w:val="23"/>
          <w:szCs w:val="23"/>
        </w:rPr>
        <w:t>参</w:t>
      </w:r>
      <w:r>
        <w:rPr>
          <w:rFonts w:ascii="宋体" w:hAnsi="宋体" w:eastAsia="宋体" w:cs="宋体"/>
          <w:spacing w:val="8"/>
          <w:sz w:val="23"/>
          <w:szCs w:val="23"/>
        </w:rPr>
        <w:t>加有关方案的审定及竣工验收工作；</w:t>
      </w:r>
    </w:p>
    <w:p w14:paraId="0791CBE7">
      <w:pPr>
        <w:spacing w:before="172" w:line="393" w:lineRule="auto"/>
        <w:ind w:left="24" w:right="61" w:firstLine="478"/>
        <w:rPr>
          <w:rFonts w:ascii="宋体" w:hAnsi="宋体" w:eastAsia="宋体" w:cs="宋体"/>
          <w:sz w:val="23"/>
          <w:szCs w:val="23"/>
        </w:rPr>
      </w:pPr>
      <w:r>
        <w:rPr>
          <w:rFonts w:ascii="Times New Roman" w:hAnsi="Times New Roman" w:eastAsia="Times New Roman" w:cs="Times New Roman"/>
          <w:sz w:val="23"/>
          <w:szCs w:val="23"/>
        </w:rPr>
        <w:t>e</w:t>
      </w:r>
      <w:r>
        <w:rPr>
          <w:rFonts w:ascii="Times New Roman" w:hAnsi="Times New Roman" w:eastAsia="Times New Roman" w:cs="Times New Roman"/>
          <w:spacing w:val="9"/>
          <w:sz w:val="23"/>
          <w:szCs w:val="23"/>
        </w:rPr>
        <w:t xml:space="preserve"> </w:t>
      </w:r>
      <w:r>
        <w:rPr>
          <w:rFonts w:ascii="宋体" w:hAnsi="宋体" w:eastAsia="宋体" w:cs="宋体"/>
          <w:spacing w:val="9"/>
          <w:sz w:val="23"/>
          <w:szCs w:val="23"/>
        </w:rPr>
        <w:t>、加强与主管环保部</w:t>
      </w:r>
      <w:r>
        <w:rPr>
          <w:rFonts w:hint="eastAsia" w:ascii="宋体" w:hAnsi="宋体" w:eastAsia="宋体" w:cs="宋体"/>
          <w:spacing w:val="9"/>
          <w:sz w:val="23"/>
          <w:szCs w:val="23"/>
          <w:lang w:eastAsia="zh-CN"/>
        </w:rPr>
        <w:t>门</w:t>
      </w:r>
      <w:r>
        <w:rPr>
          <w:rFonts w:ascii="宋体" w:hAnsi="宋体" w:eastAsia="宋体" w:cs="宋体"/>
          <w:spacing w:val="9"/>
          <w:sz w:val="23"/>
          <w:szCs w:val="23"/>
        </w:rPr>
        <w:t>的联系，会同有关单位做好环境预测，制定企业环</w:t>
      </w:r>
      <w:r>
        <w:rPr>
          <w:rFonts w:ascii="宋体" w:hAnsi="宋体" w:eastAsia="宋体" w:cs="宋体"/>
          <w:sz w:val="23"/>
          <w:szCs w:val="23"/>
        </w:rPr>
        <w:t xml:space="preserve"> </w:t>
      </w:r>
      <w:r>
        <w:rPr>
          <w:rFonts w:ascii="宋体" w:hAnsi="宋体" w:eastAsia="宋体" w:cs="宋体"/>
          <w:spacing w:val="9"/>
          <w:sz w:val="23"/>
          <w:szCs w:val="23"/>
        </w:rPr>
        <w:t>境保护长远规划和年度计划，并督促实施</w:t>
      </w:r>
      <w:r>
        <w:rPr>
          <w:rFonts w:ascii="宋体" w:hAnsi="宋体" w:eastAsia="宋体" w:cs="宋体"/>
          <w:spacing w:val="7"/>
          <w:sz w:val="23"/>
          <w:szCs w:val="23"/>
        </w:rPr>
        <w:t>；</w:t>
      </w:r>
    </w:p>
    <w:p w14:paraId="1E2F9436">
      <w:pPr>
        <w:spacing w:before="92" w:line="511" w:lineRule="auto"/>
        <w:ind w:left="501" w:right="1389" w:firstLine="2"/>
        <w:rPr>
          <w:rFonts w:ascii="宋体" w:hAnsi="宋体" w:eastAsia="宋体" w:cs="宋体"/>
          <w:sz w:val="23"/>
          <w:szCs w:val="23"/>
        </w:rPr>
      </w:pPr>
      <w:r>
        <w:rPr>
          <w:rFonts w:ascii="Times New Roman" w:hAnsi="Times New Roman" w:eastAsia="Times New Roman" w:cs="Times New Roman"/>
          <w:sz w:val="23"/>
          <w:szCs w:val="23"/>
        </w:rPr>
        <w:t>f</w:t>
      </w:r>
      <w:r>
        <w:rPr>
          <w:rFonts w:ascii="宋体" w:hAnsi="宋体" w:eastAsia="宋体" w:cs="宋体"/>
          <w:spacing w:val="14"/>
          <w:sz w:val="23"/>
          <w:szCs w:val="23"/>
        </w:rPr>
        <w:t>、</w:t>
      </w:r>
      <w:r>
        <w:rPr>
          <w:rFonts w:ascii="宋体" w:hAnsi="宋体" w:eastAsia="宋体" w:cs="宋体"/>
          <w:spacing w:val="13"/>
          <w:sz w:val="23"/>
          <w:szCs w:val="23"/>
        </w:rPr>
        <w:t>组</w:t>
      </w:r>
      <w:r>
        <w:rPr>
          <w:rFonts w:ascii="宋体" w:hAnsi="宋体" w:eastAsia="宋体" w:cs="宋体"/>
          <w:spacing w:val="7"/>
          <w:sz w:val="23"/>
          <w:szCs w:val="23"/>
        </w:rPr>
        <w:t>织有关部门和人员，检查企业环境质量状况及发展趋势；</w:t>
      </w:r>
      <w:r>
        <w:rPr>
          <w:rFonts w:ascii="宋体" w:hAnsi="宋体" w:eastAsia="宋体" w:cs="宋体"/>
          <w:sz w:val="23"/>
          <w:szCs w:val="23"/>
        </w:rPr>
        <w:t xml:space="preserve"> </w:t>
      </w:r>
      <w:r>
        <w:rPr>
          <w:rFonts w:ascii="Times New Roman" w:hAnsi="Times New Roman" w:eastAsia="Times New Roman" w:cs="Times New Roman"/>
          <w:sz w:val="23"/>
          <w:szCs w:val="23"/>
        </w:rPr>
        <w:t>g</w:t>
      </w:r>
      <w:r>
        <w:rPr>
          <w:rFonts w:ascii="Times New Roman" w:hAnsi="Times New Roman" w:eastAsia="Times New Roman" w:cs="Times New Roman"/>
          <w:spacing w:val="12"/>
          <w:sz w:val="23"/>
          <w:szCs w:val="23"/>
        </w:rPr>
        <w:t xml:space="preserve"> </w:t>
      </w:r>
      <w:r>
        <w:rPr>
          <w:rFonts w:ascii="宋体" w:hAnsi="宋体" w:eastAsia="宋体" w:cs="宋体"/>
          <w:spacing w:val="12"/>
          <w:sz w:val="23"/>
          <w:szCs w:val="23"/>
        </w:rPr>
        <w:t>、</w:t>
      </w:r>
      <w:r>
        <w:rPr>
          <w:rFonts w:ascii="宋体" w:hAnsi="宋体" w:eastAsia="宋体" w:cs="宋体"/>
          <w:spacing w:val="6"/>
          <w:sz w:val="23"/>
          <w:szCs w:val="23"/>
        </w:rPr>
        <w:t>监督全厂环境保护设施的运行与污染物的排放；</w:t>
      </w:r>
    </w:p>
    <w:p w14:paraId="57AA0FFA">
      <w:pPr>
        <w:spacing w:line="636" w:lineRule="exact"/>
        <w:ind w:left="495"/>
        <w:rPr>
          <w:rFonts w:ascii="宋体" w:hAnsi="宋体" w:eastAsia="宋体" w:cs="宋体"/>
          <w:sz w:val="23"/>
          <w:szCs w:val="23"/>
        </w:rPr>
      </w:pPr>
      <w:r>
        <w:rPr>
          <w:rFonts w:ascii="Times New Roman" w:hAnsi="Times New Roman" w:eastAsia="Times New Roman" w:cs="Times New Roman"/>
          <w:position w:val="27"/>
          <w:sz w:val="23"/>
          <w:szCs w:val="23"/>
        </w:rPr>
        <w:t>h</w:t>
      </w:r>
      <w:r>
        <w:rPr>
          <w:rFonts w:ascii="Times New Roman" w:hAnsi="Times New Roman" w:eastAsia="Times New Roman" w:cs="Times New Roman"/>
          <w:spacing w:val="12"/>
          <w:position w:val="27"/>
          <w:sz w:val="23"/>
          <w:szCs w:val="23"/>
        </w:rPr>
        <w:t xml:space="preserve"> </w:t>
      </w:r>
      <w:r>
        <w:rPr>
          <w:rFonts w:ascii="宋体" w:hAnsi="宋体" w:eastAsia="宋体" w:cs="宋体"/>
          <w:spacing w:val="12"/>
          <w:position w:val="27"/>
          <w:sz w:val="23"/>
          <w:szCs w:val="23"/>
        </w:rPr>
        <w:t>、</w:t>
      </w:r>
      <w:r>
        <w:rPr>
          <w:rFonts w:ascii="宋体" w:hAnsi="宋体" w:eastAsia="宋体" w:cs="宋体"/>
          <w:spacing w:val="8"/>
          <w:position w:val="27"/>
          <w:sz w:val="23"/>
          <w:szCs w:val="23"/>
        </w:rPr>
        <w:t>会</w:t>
      </w:r>
      <w:r>
        <w:rPr>
          <w:rFonts w:ascii="宋体" w:hAnsi="宋体" w:eastAsia="宋体" w:cs="宋体"/>
          <w:spacing w:val="6"/>
          <w:position w:val="27"/>
          <w:sz w:val="23"/>
          <w:szCs w:val="23"/>
        </w:rPr>
        <w:t>同有关单位组织和开展企业环境科研工作；</w:t>
      </w:r>
    </w:p>
    <w:p w14:paraId="0A373109">
      <w:pPr>
        <w:spacing w:line="323" w:lineRule="exact"/>
        <w:ind w:left="501"/>
        <w:rPr>
          <w:rFonts w:ascii="宋体" w:hAnsi="宋体" w:eastAsia="宋体" w:cs="宋体"/>
          <w:sz w:val="23"/>
          <w:szCs w:val="23"/>
        </w:rPr>
      </w:pPr>
      <w:r>
        <w:rPr>
          <w:rFonts w:ascii="Times New Roman" w:hAnsi="Times New Roman" w:eastAsia="Times New Roman" w:cs="Times New Roman"/>
          <w:position w:val="2"/>
          <w:sz w:val="23"/>
          <w:szCs w:val="23"/>
        </w:rPr>
        <w:t>i</w:t>
      </w:r>
      <w:r>
        <w:rPr>
          <w:rFonts w:ascii="Times New Roman" w:hAnsi="Times New Roman" w:eastAsia="Times New Roman" w:cs="Times New Roman"/>
          <w:spacing w:val="6"/>
          <w:position w:val="2"/>
          <w:sz w:val="23"/>
          <w:szCs w:val="23"/>
        </w:rPr>
        <w:t xml:space="preserve"> </w:t>
      </w:r>
      <w:r>
        <w:rPr>
          <w:rFonts w:ascii="宋体" w:hAnsi="宋体" w:eastAsia="宋体" w:cs="宋体"/>
          <w:spacing w:val="6"/>
          <w:position w:val="2"/>
          <w:sz w:val="23"/>
          <w:szCs w:val="23"/>
        </w:rPr>
        <w:t>、负责组织本企业污染事故的调查与处理</w:t>
      </w:r>
      <w:r>
        <w:rPr>
          <w:rFonts w:ascii="宋体" w:hAnsi="宋体" w:eastAsia="宋体" w:cs="宋体"/>
          <w:spacing w:val="2"/>
          <w:position w:val="2"/>
          <w:sz w:val="23"/>
          <w:szCs w:val="23"/>
        </w:rPr>
        <w:t>；</w:t>
      </w:r>
    </w:p>
    <w:p w14:paraId="06CA7AE6">
      <w:pPr>
        <w:spacing w:before="313" w:line="323" w:lineRule="exact"/>
        <w:ind w:left="475"/>
        <w:rPr>
          <w:rFonts w:ascii="宋体" w:hAnsi="宋体" w:eastAsia="宋体" w:cs="宋体"/>
          <w:sz w:val="23"/>
          <w:szCs w:val="23"/>
        </w:rPr>
      </w:pPr>
      <w:r>
        <w:rPr>
          <w:rFonts w:ascii="Times New Roman" w:hAnsi="Times New Roman" w:eastAsia="Times New Roman" w:cs="Times New Roman"/>
          <w:position w:val="4"/>
          <w:sz w:val="23"/>
          <w:szCs w:val="23"/>
        </w:rPr>
        <w:t>j</w:t>
      </w:r>
      <w:r>
        <w:rPr>
          <w:rFonts w:ascii="Times New Roman" w:hAnsi="Times New Roman" w:eastAsia="Times New Roman" w:cs="Times New Roman"/>
          <w:spacing w:val="14"/>
          <w:position w:val="4"/>
          <w:sz w:val="23"/>
          <w:szCs w:val="23"/>
        </w:rPr>
        <w:t xml:space="preserve"> </w:t>
      </w:r>
      <w:r>
        <w:rPr>
          <w:rFonts w:ascii="宋体" w:hAnsi="宋体" w:eastAsia="宋体" w:cs="宋体"/>
          <w:spacing w:val="7"/>
          <w:position w:val="4"/>
          <w:sz w:val="23"/>
          <w:szCs w:val="23"/>
        </w:rPr>
        <w:t>、做好企业环境统计工作，建立环境保护档案；</w:t>
      </w:r>
    </w:p>
    <w:p w14:paraId="7B69F90D">
      <w:pPr>
        <w:spacing w:before="312" w:line="396" w:lineRule="auto"/>
        <w:ind w:left="22" w:firstLine="473"/>
        <w:rPr>
          <w:rFonts w:ascii="宋体" w:hAnsi="宋体" w:eastAsia="宋体" w:cs="宋体"/>
          <w:sz w:val="23"/>
          <w:szCs w:val="23"/>
        </w:rPr>
      </w:pPr>
      <w:r>
        <w:rPr>
          <w:rFonts w:ascii="Times New Roman" w:hAnsi="Times New Roman" w:eastAsia="Times New Roman" w:cs="Times New Roman"/>
          <w:sz w:val="23"/>
          <w:szCs w:val="23"/>
        </w:rPr>
        <w:t>k</w:t>
      </w:r>
      <w:r>
        <w:rPr>
          <w:rFonts w:ascii="宋体" w:hAnsi="宋体" w:eastAsia="宋体" w:cs="宋体"/>
          <w:spacing w:val="10"/>
          <w:sz w:val="23"/>
          <w:szCs w:val="23"/>
        </w:rPr>
        <w:t>、会同</w:t>
      </w:r>
      <w:r>
        <w:rPr>
          <w:rFonts w:ascii="宋体" w:hAnsi="宋体" w:eastAsia="宋体" w:cs="宋体"/>
          <w:spacing w:val="5"/>
          <w:sz w:val="23"/>
          <w:szCs w:val="23"/>
        </w:rPr>
        <w:t>有关单位组织开展清洁生产活动，负责广泛开展环境宣传教育活动，</w:t>
      </w:r>
      <w:r>
        <w:rPr>
          <w:rFonts w:ascii="宋体" w:hAnsi="宋体" w:eastAsia="宋体" w:cs="宋体"/>
          <w:sz w:val="23"/>
          <w:szCs w:val="23"/>
        </w:rPr>
        <w:t xml:space="preserve"> </w:t>
      </w:r>
      <w:r>
        <w:rPr>
          <w:rFonts w:ascii="宋体" w:hAnsi="宋体" w:eastAsia="宋体" w:cs="宋体"/>
          <w:spacing w:val="13"/>
          <w:sz w:val="23"/>
          <w:szCs w:val="23"/>
        </w:rPr>
        <w:t>普</w:t>
      </w:r>
      <w:r>
        <w:rPr>
          <w:rFonts w:ascii="宋体" w:hAnsi="宋体" w:eastAsia="宋体" w:cs="宋体"/>
          <w:spacing w:val="9"/>
          <w:sz w:val="23"/>
          <w:szCs w:val="23"/>
        </w:rPr>
        <w:t>及环境科学知识，推动清洁生产活动的深度开展。</w:t>
      </w:r>
    </w:p>
    <w:p w14:paraId="5B0B497C">
      <w:pPr>
        <w:spacing w:before="174" w:line="303" w:lineRule="exact"/>
        <w:ind w:left="503"/>
        <w:rPr>
          <w:rFonts w:ascii="宋体" w:hAnsi="宋体" w:eastAsia="宋体" w:cs="宋体"/>
          <w:sz w:val="23"/>
          <w:szCs w:val="23"/>
        </w:rPr>
      </w:pPr>
      <w:r>
        <w:rPr>
          <w:rFonts w:ascii="Times New Roman" w:hAnsi="Times New Roman" w:eastAsia="Times New Roman" w:cs="Times New Roman"/>
          <w:spacing w:val="-2"/>
          <w:position w:val="1"/>
          <w:sz w:val="23"/>
          <w:szCs w:val="23"/>
        </w:rPr>
        <w:t xml:space="preserve">3 </w:t>
      </w:r>
      <w:r>
        <w:rPr>
          <w:rFonts w:ascii="宋体" w:hAnsi="宋体" w:eastAsia="宋体" w:cs="宋体"/>
          <w:spacing w:val="-2"/>
          <w:position w:val="1"/>
          <w:sz w:val="23"/>
          <w:szCs w:val="23"/>
        </w:rPr>
        <w:t>、企业管</w:t>
      </w:r>
      <w:r>
        <w:rPr>
          <w:rFonts w:ascii="宋体" w:hAnsi="宋体" w:eastAsia="宋体" w:cs="宋体"/>
          <w:spacing w:val="-1"/>
          <w:position w:val="1"/>
          <w:sz w:val="23"/>
          <w:szCs w:val="23"/>
        </w:rPr>
        <w:t>理</w:t>
      </w:r>
    </w:p>
    <w:p w14:paraId="27CAEEDA">
      <w:pPr>
        <w:spacing w:line="256" w:lineRule="auto"/>
        <w:rPr>
          <w:rFonts w:ascii="Arial"/>
          <w:sz w:val="21"/>
        </w:rPr>
      </w:pPr>
    </w:p>
    <w:p w14:paraId="5C34CC6A">
      <w:pPr>
        <w:spacing w:before="75" w:line="394" w:lineRule="auto"/>
        <w:ind w:left="26" w:right="63" w:firstLine="488"/>
        <w:rPr>
          <w:rFonts w:ascii="宋体" w:hAnsi="宋体" w:eastAsia="宋体" w:cs="宋体"/>
          <w:sz w:val="23"/>
          <w:szCs w:val="23"/>
        </w:rPr>
      </w:pPr>
      <w:r>
        <w:rPr>
          <w:rFonts w:ascii="宋体" w:hAnsi="宋体" w:eastAsia="宋体" w:cs="宋体"/>
          <w:spacing w:val="14"/>
          <w:sz w:val="23"/>
          <w:szCs w:val="23"/>
        </w:rPr>
        <w:t>(</w:t>
      </w:r>
      <w:r>
        <w:rPr>
          <w:rFonts w:ascii="Times New Roman" w:hAnsi="Times New Roman" w:eastAsia="Times New Roman" w:cs="Times New Roman"/>
          <w:spacing w:val="13"/>
          <w:sz w:val="23"/>
          <w:szCs w:val="23"/>
        </w:rPr>
        <w:t>1</w:t>
      </w:r>
      <w:r>
        <w:rPr>
          <w:rFonts w:ascii="宋体" w:hAnsi="宋体" w:eastAsia="宋体" w:cs="宋体"/>
          <w:spacing w:val="13"/>
          <w:sz w:val="23"/>
          <w:szCs w:val="23"/>
        </w:rPr>
        <w:t>) 确保各项环保设施的正常运转，负责日常维护，并制定事故的应急处</w:t>
      </w:r>
      <w:r>
        <w:rPr>
          <w:rFonts w:ascii="宋体" w:hAnsi="宋体" w:eastAsia="宋体" w:cs="宋体"/>
          <w:sz w:val="23"/>
          <w:szCs w:val="23"/>
        </w:rPr>
        <w:t xml:space="preserve"> </w:t>
      </w:r>
      <w:r>
        <w:rPr>
          <w:rFonts w:ascii="宋体" w:hAnsi="宋体" w:eastAsia="宋体" w:cs="宋体"/>
          <w:spacing w:val="5"/>
          <w:sz w:val="23"/>
          <w:szCs w:val="23"/>
        </w:rPr>
        <w:t>理</w:t>
      </w:r>
      <w:r>
        <w:rPr>
          <w:rFonts w:ascii="宋体" w:hAnsi="宋体" w:eastAsia="宋体" w:cs="宋体"/>
          <w:spacing w:val="4"/>
          <w:sz w:val="23"/>
          <w:szCs w:val="23"/>
        </w:rPr>
        <w:t>方法；</w:t>
      </w:r>
    </w:p>
    <w:p w14:paraId="37CBD188">
      <w:pPr>
        <w:spacing w:before="135" w:line="394" w:lineRule="auto"/>
        <w:ind w:left="23" w:right="63" w:firstLine="491"/>
        <w:rPr>
          <w:rFonts w:ascii="宋体" w:hAnsi="宋体" w:eastAsia="宋体" w:cs="宋体"/>
          <w:sz w:val="23"/>
          <w:szCs w:val="23"/>
        </w:rPr>
      </w:pPr>
      <w:r>
        <w:rPr>
          <w:rFonts w:ascii="宋体" w:hAnsi="宋体" w:eastAsia="宋体" w:cs="宋体"/>
          <w:spacing w:val="14"/>
          <w:sz w:val="23"/>
          <w:szCs w:val="23"/>
        </w:rPr>
        <w:t>(</w:t>
      </w:r>
      <w:r>
        <w:rPr>
          <w:rFonts w:ascii="Times New Roman" w:hAnsi="Times New Roman" w:eastAsia="Times New Roman" w:cs="Times New Roman"/>
          <w:spacing w:val="13"/>
          <w:sz w:val="23"/>
          <w:szCs w:val="23"/>
        </w:rPr>
        <w:t>2</w:t>
      </w:r>
      <w:r>
        <w:rPr>
          <w:rFonts w:ascii="宋体" w:hAnsi="宋体" w:eastAsia="宋体" w:cs="宋体"/>
          <w:spacing w:val="13"/>
          <w:sz w:val="23"/>
          <w:szCs w:val="23"/>
        </w:rPr>
        <w:t>) 加强生产原材料管理，提出清洁生产方案，降低了污染物的可能产生</w:t>
      </w:r>
      <w:r>
        <w:rPr>
          <w:rFonts w:ascii="宋体" w:hAnsi="宋体" w:eastAsia="宋体" w:cs="宋体"/>
          <w:sz w:val="23"/>
          <w:szCs w:val="23"/>
        </w:rPr>
        <w:t xml:space="preserve"> 量；</w:t>
      </w:r>
    </w:p>
    <w:p w14:paraId="6E967C4E">
      <w:pPr>
        <w:spacing w:before="134" w:line="227" w:lineRule="auto"/>
        <w:ind w:left="514"/>
        <w:rPr>
          <w:rFonts w:ascii="宋体" w:hAnsi="宋体" w:eastAsia="宋体" w:cs="宋体"/>
          <w:sz w:val="23"/>
          <w:szCs w:val="23"/>
        </w:rPr>
      </w:pPr>
      <w:r>
        <w:rPr>
          <w:rFonts w:ascii="宋体" w:hAnsi="宋体" w:eastAsia="宋体" w:cs="宋体"/>
          <w:spacing w:val="15"/>
          <w:sz w:val="23"/>
          <w:szCs w:val="23"/>
        </w:rPr>
        <w:t>(</w:t>
      </w:r>
      <w:r>
        <w:rPr>
          <w:rFonts w:ascii="Times New Roman" w:hAnsi="Times New Roman" w:eastAsia="Times New Roman" w:cs="Times New Roman"/>
          <w:spacing w:val="12"/>
          <w:sz w:val="23"/>
          <w:szCs w:val="23"/>
        </w:rPr>
        <w:t>3</w:t>
      </w:r>
      <w:r>
        <w:rPr>
          <w:rFonts w:ascii="宋体" w:hAnsi="宋体" w:eastAsia="宋体" w:cs="宋体"/>
          <w:spacing w:val="12"/>
          <w:sz w:val="23"/>
          <w:szCs w:val="23"/>
        </w:rPr>
        <w:t>) 加强对生产设备的管理和维护，杜绝跑、冒、滴、漏现象的发生；</w:t>
      </w:r>
    </w:p>
    <w:p w14:paraId="0C7A609A">
      <w:pPr>
        <w:spacing w:line="276" w:lineRule="auto"/>
        <w:rPr>
          <w:rFonts w:ascii="Arial"/>
          <w:sz w:val="21"/>
        </w:rPr>
      </w:pPr>
    </w:p>
    <w:p w14:paraId="69E393B1">
      <w:pPr>
        <w:spacing w:before="76" w:line="227" w:lineRule="auto"/>
        <w:ind w:left="514"/>
        <w:rPr>
          <w:rFonts w:ascii="宋体" w:hAnsi="宋体" w:eastAsia="宋体" w:cs="宋体"/>
          <w:sz w:val="23"/>
          <w:szCs w:val="23"/>
        </w:rPr>
      </w:pPr>
      <w:r>
        <w:rPr>
          <w:rFonts w:ascii="宋体" w:hAnsi="宋体" w:eastAsia="宋体" w:cs="宋体"/>
          <w:spacing w:val="14"/>
          <w:sz w:val="23"/>
          <w:szCs w:val="23"/>
        </w:rPr>
        <w:t>(</w:t>
      </w:r>
      <w:r>
        <w:rPr>
          <w:rFonts w:ascii="Times New Roman" w:hAnsi="Times New Roman" w:eastAsia="Times New Roman" w:cs="Times New Roman"/>
          <w:spacing w:val="14"/>
          <w:sz w:val="23"/>
          <w:szCs w:val="23"/>
        </w:rPr>
        <w:t>4</w:t>
      </w:r>
      <w:r>
        <w:rPr>
          <w:rFonts w:ascii="宋体" w:hAnsi="宋体" w:eastAsia="宋体" w:cs="宋体"/>
          <w:spacing w:val="14"/>
          <w:sz w:val="23"/>
          <w:szCs w:val="23"/>
        </w:rPr>
        <w:t>) 负责企业的日常环境监测工作</w:t>
      </w:r>
      <w:r>
        <w:rPr>
          <w:rFonts w:ascii="宋体" w:hAnsi="宋体" w:eastAsia="宋体" w:cs="宋体"/>
          <w:spacing w:val="11"/>
          <w:sz w:val="23"/>
          <w:szCs w:val="23"/>
        </w:rPr>
        <w:t>。</w:t>
      </w:r>
    </w:p>
    <w:p w14:paraId="20ACB705">
      <w:pPr>
        <w:spacing w:before="300" w:line="226" w:lineRule="auto"/>
        <w:ind w:left="23"/>
        <w:outlineLvl w:val="2"/>
        <w:rPr>
          <w:rFonts w:ascii="宋体" w:hAnsi="宋体" w:eastAsia="宋体" w:cs="宋体"/>
          <w:sz w:val="29"/>
          <w:szCs w:val="29"/>
        </w:rPr>
      </w:pPr>
      <w:r>
        <w:rPr>
          <w:rFonts w:ascii="Times New Roman" w:hAnsi="Times New Roman" w:eastAsia="Times New Roman" w:cs="Times New Roman"/>
          <w:b/>
          <w:bCs/>
          <w:spacing w:val="24"/>
          <w:sz w:val="29"/>
          <w:szCs w:val="29"/>
        </w:rPr>
        <w:t>9</w:t>
      </w:r>
      <w:r>
        <w:rPr>
          <w:rFonts w:ascii="Times New Roman" w:hAnsi="Times New Roman" w:eastAsia="Times New Roman" w:cs="Times New Roman"/>
          <w:b/>
          <w:bCs/>
          <w:spacing w:val="14"/>
          <w:sz w:val="29"/>
          <w:szCs w:val="29"/>
        </w:rPr>
        <w:t>.1.1</w:t>
      </w:r>
      <w:r>
        <w:rPr>
          <w:rFonts w:ascii="Times New Roman" w:hAnsi="Times New Roman" w:eastAsia="Times New Roman" w:cs="Times New Roman"/>
          <w:spacing w:val="14"/>
          <w:sz w:val="29"/>
          <w:szCs w:val="29"/>
        </w:rPr>
        <w:t xml:space="preserve">  </w:t>
      </w:r>
      <w:r>
        <w:rPr>
          <w:rFonts w:ascii="宋体" w:hAnsi="宋体" w:eastAsia="宋体" w:cs="宋体"/>
          <w:spacing w:val="14"/>
          <w:sz w:val="29"/>
          <w:szCs w:val="29"/>
          <w14:textOutline w14:w="5448" w14:cap="sq" w14:cmpd="sng">
            <w14:solidFill>
              <w14:srgbClr w14:val="000000"/>
            </w14:solidFill>
            <w14:prstDash w14:val="solid"/>
            <w14:bevel/>
          </w14:textOutline>
        </w:rPr>
        <w:t>运营期环境管理</w:t>
      </w:r>
    </w:p>
    <w:p w14:paraId="629A2AA3">
      <w:pPr>
        <w:spacing w:line="256" w:lineRule="auto"/>
        <w:rPr>
          <w:rFonts w:ascii="Arial"/>
          <w:sz w:val="21"/>
        </w:rPr>
      </w:pPr>
    </w:p>
    <w:p w14:paraId="42BD5B88">
      <w:pPr>
        <w:spacing w:before="75" w:line="227" w:lineRule="auto"/>
        <w:ind w:left="514"/>
        <w:rPr>
          <w:rFonts w:ascii="宋体" w:hAnsi="宋体" w:eastAsia="宋体" w:cs="宋体"/>
          <w:sz w:val="23"/>
          <w:szCs w:val="23"/>
        </w:rPr>
      </w:pPr>
      <w:r>
        <w:rPr>
          <w:rFonts w:ascii="宋体" w:hAnsi="宋体" w:eastAsia="宋体" w:cs="宋体"/>
          <w:spacing w:val="14"/>
          <w:sz w:val="23"/>
          <w:szCs w:val="23"/>
        </w:rPr>
        <w:t>(</w:t>
      </w:r>
      <w:r>
        <w:rPr>
          <w:rFonts w:ascii="Times New Roman" w:hAnsi="Times New Roman" w:eastAsia="Times New Roman" w:cs="Times New Roman"/>
          <w:spacing w:val="13"/>
          <w:sz w:val="23"/>
          <w:szCs w:val="23"/>
        </w:rPr>
        <w:t>1</w:t>
      </w:r>
      <w:r>
        <w:rPr>
          <w:rFonts w:ascii="宋体" w:hAnsi="宋体" w:eastAsia="宋体" w:cs="宋体"/>
          <w:spacing w:val="13"/>
          <w:sz w:val="23"/>
          <w:szCs w:val="23"/>
        </w:rPr>
        <w:t>) 环保管理机构对厂内环保统一管理，并对厂区的环境质量全面进行监</w:t>
      </w:r>
    </w:p>
    <w:p w14:paraId="097A2D0A">
      <w:pPr>
        <w:sectPr>
          <w:headerReference r:id="rId320" w:type="default"/>
          <w:footerReference r:id="rId321" w:type="default"/>
          <w:pgSz w:w="11906" w:h="16839"/>
          <w:pgMar w:top="1132" w:right="1738" w:bottom="1182" w:left="1785" w:header="878" w:footer="1022" w:gutter="0"/>
          <w:cols w:space="720" w:num="1"/>
        </w:sectPr>
      </w:pPr>
    </w:p>
    <w:p w14:paraId="00F0BB8D">
      <w:pPr>
        <w:spacing w:line="281" w:lineRule="auto"/>
        <w:rPr>
          <w:rFonts w:ascii="Arial"/>
          <w:sz w:val="21"/>
        </w:rPr>
      </w:pPr>
      <w:r>
        <w:pict>
          <v:shape id="_x0000_s1378" o:spid="_x0000_s1378" style="position:absolute;left:0pt;margin-left:90pt;margin-top:57.35pt;height:0.75pt;width:415.3pt;mso-position-horizontal-relative:page;mso-position-vertical-relative:page;z-index:252075008;mso-width-relative:page;mso-height-relative:page;" fillcolor="#000000" filled="t" stroked="f" coordsize="8305,15" o:allowincell="f" path="m0,0l8305,0,8305,14,0,14,0,0xe">
            <v:path/>
            <v:fill on="t" focussize="0,0"/>
            <v:stroke on="f"/>
            <v:imagedata o:title=""/>
            <o:lock v:ext="edit"/>
          </v:shape>
        </w:pict>
      </w:r>
    </w:p>
    <w:p w14:paraId="5DA2344D">
      <w:pPr>
        <w:spacing w:line="281" w:lineRule="auto"/>
        <w:rPr>
          <w:rFonts w:ascii="Arial"/>
          <w:sz w:val="21"/>
        </w:rPr>
      </w:pPr>
    </w:p>
    <w:p w14:paraId="190E5945">
      <w:pPr>
        <w:spacing w:before="75" w:line="118" w:lineRule="exact"/>
        <w:ind w:left="295"/>
        <w:rPr>
          <w:rFonts w:ascii="宋体" w:hAnsi="宋体" w:eastAsia="宋体" w:cs="宋体"/>
          <w:sz w:val="23"/>
          <w:szCs w:val="23"/>
        </w:rPr>
      </w:pPr>
      <w:r>
        <w:pict>
          <v:shape id="_x0000_s1379" o:spid="_x0000_s1379" o:spt="202" type="#_x0000_t202" style="position:absolute;left:0pt;margin-left:0.65pt;margin-top:-4.95pt;height:16.3pt;width:13.5pt;z-index:252073984;mso-width-relative:page;mso-height-relative:page;" filled="f" stroked="f" coordsize="21600,21600">
            <v:path/>
            <v:fill on="f" focussize="0,0"/>
            <v:stroke on="f"/>
            <v:imagedata o:title=""/>
            <o:lock v:ext="edit" aspectratio="f"/>
            <v:textbox inset="0mm,0mm,0mm,0mm">
              <w:txbxContent>
                <w:p w14:paraId="55953A06">
                  <w:pPr>
                    <w:spacing w:before="19" w:line="229" w:lineRule="auto"/>
                    <w:ind w:left="20"/>
                    <w:rPr>
                      <w:rFonts w:ascii="宋体" w:hAnsi="宋体" w:eastAsia="宋体" w:cs="宋体"/>
                      <w:sz w:val="23"/>
                      <w:szCs w:val="23"/>
                    </w:rPr>
                  </w:pPr>
                  <w:r>
                    <w:rPr>
                      <w:rFonts w:ascii="宋体" w:hAnsi="宋体" w:eastAsia="宋体" w:cs="宋体"/>
                      <w:sz w:val="23"/>
                      <w:szCs w:val="23"/>
                    </w:rPr>
                    <w:t>测</w:t>
                  </w:r>
                </w:p>
              </w:txbxContent>
            </v:textbox>
          </v:shape>
        </w:pict>
      </w:r>
      <w:r>
        <w:rPr>
          <w:rFonts w:ascii="宋体" w:hAnsi="宋体" w:eastAsia="宋体" w:cs="宋体"/>
          <w:position w:val="1"/>
          <w:sz w:val="23"/>
          <w:szCs w:val="23"/>
        </w:rPr>
        <w:t>。</w:t>
      </w:r>
    </w:p>
    <w:p w14:paraId="44A9BF93">
      <w:pPr>
        <w:spacing w:line="287" w:lineRule="auto"/>
        <w:rPr>
          <w:rFonts w:ascii="Arial"/>
          <w:sz w:val="21"/>
        </w:rPr>
      </w:pPr>
    </w:p>
    <w:p w14:paraId="74E7C8AA">
      <w:pPr>
        <w:spacing w:before="75" w:line="391" w:lineRule="auto"/>
        <w:ind w:left="36" w:right="22" w:firstLine="487"/>
        <w:rPr>
          <w:rFonts w:ascii="宋体" w:hAnsi="宋体" w:eastAsia="宋体" w:cs="宋体"/>
          <w:sz w:val="23"/>
          <w:szCs w:val="23"/>
        </w:rPr>
      </w:pPr>
      <w:r>
        <w:rPr>
          <w:rFonts w:ascii="宋体" w:hAnsi="宋体" w:eastAsia="宋体" w:cs="宋体"/>
          <w:spacing w:val="14"/>
          <w:sz w:val="23"/>
          <w:szCs w:val="23"/>
        </w:rPr>
        <w:t>(</w:t>
      </w:r>
      <w:r>
        <w:rPr>
          <w:rFonts w:ascii="Times New Roman" w:hAnsi="Times New Roman" w:eastAsia="Times New Roman" w:cs="Times New Roman"/>
          <w:spacing w:val="13"/>
          <w:sz w:val="23"/>
          <w:szCs w:val="23"/>
        </w:rPr>
        <w:t>2</w:t>
      </w:r>
      <w:r>
        <w:rPr>
          <w:rFonts w:ascii="宋体" w:hAnsi="宋体" w:eastAsia="宋体" w:cs="宋体"/>
          <w:spacing w:val="13"/>
          <w:sz w:val="23"/>
          <w:szCs w:val="23"/>
        </w:rPr>
        <w:t>) 环保管理机构应做好日常环保设施与生产主体设备的统一管理，加强</w:t>
      </w:r>
      <w:r>
        <w:rPr>
          <w:rFonts w:ascii="宋体" w:hAnsi="宋体" w:eastAsia="宋体" w:cs="宋体"/>
          <w:sz w:val="23"/>
          <w:szCs w:val="23"/>
        </w:rPr>
        <w:t xml:space="preserve"> </w:t>
      </w:r>
      <w:r>
        <w:rPr>
          <w:rFonts w:ascii="宋体" w:hAnsi="宋体" w:eastAsia="宋体" w:cs="宋体"/>
          <w:spacing w:val="7"/>
          <w:sz w:val="23"/>
          <w:szCs w:val="23"/>
        </w:rPr>
        <w:t>维护、定期检查，确保污染治理设施与主体设备正常运行。当治理设施发生故</w:t>
      </w:r>
      <w:r>
        <w:rPr>
          <w:rFonts w:ascii="宋体" w:hAnsi="宋体" w:eastAsia="宋体" w:cs="宋体"/>
          <w:spacing w:val="5"/>
          <w:sz w:val="23"/>
          <w:szCs w:val="23"/>
        </w:rPr>
        <w:t>障</w:t>
      </w:r>
      <w:r>
        <w:rPr>
          <w:rFonts w:ascii="宋体" w:hAnsi="宋体" w:eastAsia="宋体" w:cs="宋体"/>
          <w:sz w:val="23"/>
          <w:szCs w:val="23"/>
        </w:rPr>
        <w:t xml:space="preserve"> </w:t>
      </w:r>
      <w:r>
        <w:rPr>
          <w:rFonts w:ascii="宋体" w:hAnsi="宋体" w:eastAsia="宋体" w:cs="宋体"/>
          <w:spacing w:val="9"/>
          <w:sz w:val="23"/>
          <w:szCs w:val="23"/>
        </w:rPr>
        <w:t>时，应启动应急预案，防止污染事故的发生</w:t>
      </w:r>
      <w:r>
        <w:rPr>
          <w:rFonts w:ascii="宋体" w:hAnsi="宋体" w:eastAsia="宋体" w:cs="宋体"/>
          <w:spacing w:val="5"/>
          <w:sz w:val="23"/>
          <w:szCs w:val="23"/>
        </w:rPr>
        <w:t>。</w:t>
      </w:r>
    </w:p>
    <w:p w14:paraId="7DFA677E">
      <w:pPr>
        <w:spacing w:before="134" w:line="393" w:lineRule="auto"/>
        <w:ind w:left="30" w:right="83" w:firstLine="493"/>
        <w:rPr>
          <w:rFonts w:ascii="宋体" w:hAnsi="宋体" w:eastAsia="宋体" w:cs="宋体"/>
          <w:sz w:val="23"/>
          <w:szCs w:val="23"/>
        </w:rPr>
      </w:pPr>
      <w:r>
        <w:rPr>
          <w:rFonts w:ascii="宋体" w:hAnsi="宋体" w:eastAsia="宋体" w:cs="宋体"/>
          <w:spacing w:val="21"/>
          <w:sz w:val="23"/>
          <w:szCs w:val="23"/>
        </w:rPr>
        <w:t>(</w:t>
      </w:r>
      <w:r>
        <w:rPr>
          <w:rFonts w:ascii="Times New Roman" w:hAnsi="Times New Roman" w:eastAsia="Times New Roman" w:cs="Times New Roman"/>
          <w:spacing w:val="11"/>
          <w:sz w:val="23"/>
          <w:szCs w:val="23"/>
        </w:rPr>
        <w:t>3</w:t>
      </w:r>
      <w:r>
        <w:rPr>
          <w:rFonts w:ascii="宋体" w:hAnsi="宋体" w:eastAsia="宋体" w:cs="宋体"/>
          <w:spacing w:val="11"/>
          <w:sz w:val="23"/>
          <w:szCs w:val="23"/>
        </w:rPr>
        <w:t>) 定期对厂区的环保工作情况进行考核，制定考核与奖惩的具体办法，</w:t>
      </w:r>
      <w:r>
        <w:rPr>
          <w:rFonts w:ascii="宋体" w:hAnsi="宋体" w:eastAsia="宋体" w:cs="宋体"/>
          <w:sz w:val="23"/>
          <w:szCs w:val="23"/>
        </w:rPr>
        <w:t xml:space="preserve"> </w:t>
      </w:r>
      <w:r>
        <w:rPr>
          <w:rFonts w:ascii="宋体" w:hAnsi="宋体" w:eastAsia="宋体" w:cs="宋体"/>
          <w:spacing w:val="9"/>
          <w:sz w:val="23"/>
          <w:szCs w:val="23"/>
        </w:rPr>
        <w:t>将环保考核纳入生产考核的主要部分</w:t>
      </w:r>
      <w:r>
        <w:rPr>
          <w:rFonts w:ascii="宋体" w:hAnsi="宋体" w:eastAsia="宋体" w:cs="宋体"/>
          <w:spacing w:val="8"/>
          <w:sz w:val="23"/>
          <w:szCs w:val="23"/>
        </w:rPr>
        <w:t>。</w:t>
      </w:r>
    </w:p>
    <w:p w14:paraId="78AE14E8">
      <w:pPr>
        <w:spacing w:before="136" w:line="391" w:lineRule="auto"/>
        <w:ind w:left="32" w:right="22" w:firstLine="491"/>
        <w:rPr>
          <w:rFonts w:ascii="宋体" w:hAnsi="宋体" w:eastAsia="宋体" w:cs="宋体"/>
          <w:sz w:val="23"/>
          <w:szCs w:val="23"/>
        </w:rPr>
      </w:pPr>
      <w:r>
        <w:rPr>
          <w:rFonts w:ascii="宋体" w:hAnsi="宋体" w:eastAsia="宋体" w:cs="宋体"/>
          <w:spacing w:val="14"/>
          <w:sz w:val="23"/>
          <w:szCs w:val="23"/>
        </w:rPr>
        <w:t>(</w:t>
      </w:r>
      <w:r>
        <w:rPr>
          <w:rFonts w:ascii="Times New Roman" w:hAnsi="Times New Roman" w:eastAsia="Times New Roman" w:cs="Times New Roman"/>
          <w:spacing w:val="13"/>
          <w:sz w:val="23"/>
          <w:szCs w:val="23"/>
        </w:rPr>
        <w:t>4</w:t>
      </w:r>
      <w:r>
        <w:rPr>
          <w:rFonts w:ascii="宋体" w:hAnsi="宋体" w:eastAsia="宋体" w:cs="宋体"/>
          <w:spacing w:val="13"/>
          <w:sz w:val="23"/>
          <w:szCs w:val="23"/>
        </w:rPr>
        <w:t>) 对主要污染源进行定期监测，建立污染源档案。发现污染物非正常排</w:t>
      </w:r>
      <w:r>
        <w:rPr>
          <w:rFonts w:ascii="宋体" w:hAnsi="宋体" w:eastAsia="宋体" w:cs="宋体"/>
          <w:sz w:val="23"/>
          <w:szCs w:val="23"/>
        </w:rPr>
        <w:t xml:space="preserve"> </w:t>
      </w:r>
      <w:r>
        <w:rPr>
          <w:rFonts w:ascii="宋体" w:hAnsi="宋体" w:eastAsia="宋体" w:cs="宋体"/>
          <w:spacing w:val="9"/>
          <w:sz w:val="23"/>
          <w:szCs w:val="23"/>
        </w:rPr>
        <w:t>放</w:t>
      </w:r>
      <w:r>
        <w:rPr>
          <w:rFonts w:ascii="宋体" w:hAnsi="宋体" w:eastAsia="宋体" w:cs="宋体"/>
          <w:spacing w:val="7"/>
          <w:sz w:val="23"/>
          <w:szCs w:val="23"/>
        </w:rPr>
        <w:t>时应分析原因，并及时采取相应措施，以控制污染，使污染物满足达标排放要</w:t>
      </w:r>
      <w:r>
        <w:rPr>
          <w:rFonts w:ascii="宋体" w:hAnsi="宋体" w:eastAsia="宋体" w:cs="宋体"/>
          <w:sz w:val="23"/>
          <w:szCs w:val="23"/>
        </w:rPr>
        <w:t xml:space="preserve"> 求。</w:t>
      </w:r>
    </w:p>
    <w:p w14:paraId="0B8584C5">
      <w:pPr>
        <w:spacing w:before="91" w:line="323" w:lineRule="exact"/>
        <w:ind w:left="523"/>
        <w:rPr>
          <w:rFonts w:ascii="宋体" w:hAnsi="宋体" w:eastAsia="宋体" w:cs="宋体"/>
          <w:sz w:val="23"/>
          <w:szCs w:val="23"/>
        </w:rPr>
      </w:pPr>
      <w:r>
        <w:rPr>
          <w:rFonts w:ascii="宋体" w:hAnsi="宋体" w:eastAsia="宋体" w:cs="宋体"/>
          <w:spacing w:val="22"/>
          <w:position w:val="3"/>
          <w:sz w:val="23"/>
          <w:szCs w:val="23"/>
        </w:rPr>
        <w:t>(</w:t>
      </w:r>
      <w:r>
        <w:rPr>
          <w:rFonts w:ascii="Times New Roman" w:hAnsi="Times New Roman" w:eastAsia="Times New Roman" w:cs="Times New Roman"/>
          <w:spacing w:val="22"/>
          <w:position w:val="3"/>
          <w:sz w:val="23"/>
          <w:szCs w:val="23"/>
        </w:rPr>
        <w:t>5</w:t>
      </w:r>
      <w:r>
        <w:rPr>
          <w:rFonts w:ascii="Times New Roman" w:hAnsi="Times New Roman" w:eastAsia="Times New Roman" w:cs="Times New Roman"/>
          <w:spacing w:val="11"/>
          <w:position w:val="3"/>
          <w:sz w:val="23"/>
          <w:szCs w:val="23"/>
        </w:rPr>
        <w:t xml:space="preserve">)  </w:t>
      </w:r>
      <w:r>
        <w:rPr>
          <w:rFonts w:ascii="宋体" w:hAnsi="宋体" w:eastAsia="宋体" w:cs="宋体"/>
          <w:spacing w:val="11"/>
          <w:position w:val="3"/>
          <w:sz w:val="23"/>
          <w:szCs w:val="23"/>
        </w:rPr>
        <w:t>接受省市环保部门的检查、指导，参加有关会议及经验交流活动。</w:t>
      </w:r>
    </w:p>
    <w:p w14:paraId="4EB7129D">
      <w:pPr>
        <w:spacing w:before="304" w:line="226" w:lineRule="auto"/>
        <w:ind w:left="32"/>
        <w:outlineLvl w:val="2"/>
        <w:rPr>
          <w:rFonts w:ascii="宋体" w:hAnsi="宋体" w:eastAsia="宋体" w:cs="宋体"/>
          <w:sz w:val="29"/>
          <w:szCs w:val="29"/>
        </w:rPr>
      </w:pPr>
      <w:r>
        <w:rPr>
          <w:rFonts w:ascii="Times New Roman" w:hAnsi="Times New Roman" w:eastAsia="Times New Roman" w:cs="Times New Roman"/>
          <w:b/>
          <w:bCs/>
          <w:spacing w:val="14"/>
          <w:sz w:val="29"/>
          <w:szCs w:val="29"/>
        </w:rPr>
        <w:t>9.1.2</w:t>
      </w:r>
      <w:r>
        <w:rPr>
          <w:rFonts w:ascii="Times New Roman" w:hAnsi="Times New Roman" w:eastAsia="Times New Roman" w:cs="Times New Roman"/>
          <w:spacing w:val="14"/>
          <w:sz w:val="29"/>
          <w:szCs w:val="29"/>
        </w:rPr>
        <w:t xml:space="preserve">  </w:t>
      </w:r>
      <w:r>
        <w:rPr>
          <w:rFonts w:ascii="宋体" w:hAnsi="宋体" w:eastAsia="宋体" w:cs="宋体"/>
          <w:spacing w:val="14"/>
          <w:sz w:val="29"/>
          <w:szCs w:val="29"/>
          <w14:textOutline w14:w="5448" w14:cap="sq" w14:cmpd="sng">
            <w14:solidFill>
              <w14:srgbClr w14:val="000000"/>
            </w14:solidFill>
            <w14:prstDash w14:val="solid"/>
            <w14:bevel/>
          </w14:textOutline>
        </w:rPr>
        <w:t>环境管理目标</w:t>
      </w:r>
    </w:p>
    <w:p w14:paraId="579E68A7">
      <w:pPr>
        <w:spacing w:line="256" w:lineRule="auto"/>
        <w:rPr>
          <w:rFonts w:ascii="Arial"/>
          <w:sz w:val="21"/>
        </w:rPr>
      </w:pPr>
    </w:p>
    <w:p w14:paraId="6F64FC63">
      <w:pPr>
        <w:spacing w:before="75" w:line="226" w:lineRule="auto"/>
        <w:ind w:left="511"/>
        <w:rPr>
          <w:rFonts w:ascii="宋体" w:hAnsi="宋体" w:eastAsia="宋体" w:cs="宋体"/>
          <w:sz w:val="23"/>
          <w:szCs w:val="23"/>
        </w:rPr>
      </w:pPr>
      <w:r>
        <w:rPr>
          <w:rFonts w:ascii="宋体" w:hAnsi="宋体" w:eastAsia="宋体" w:cs="宋体"/>
          <w:spacing w:val="23"/>
          <w:sz w:val="23"/>
          <w:szCs w:val="23"/>
        </w:rPr>
        <w:t>评</w:t>
      </w:r>
      <w:r>
        <w:rPr>
          <w:rFonts w:ascii="宋体" w:hAnsi="宋体" w:eastAsia="宋体" w:cs="宋体"/>
          <w:spacing w:val="14"/>
          <w:sz w:val="23"/>
          <w:szCs w:val="23"/>
        </w:rPr>
        <w:t>价对项目所带来的各种环境问题及所排污染物分别提出了有效的防治措</w:t>
      </w:r>
    </w:p>
    <w:p w14:paraId="164DCDA2">
      <w:pPr>
        <w:spacing w:before="199" w:line="393" w:lineRule="auto"/>
        <w:ind w:left="34" w:right="22" w:hanging="3"/>
        <w:rPr>
          <w:rFonts w:ascii="宋体" w:hAnsi="宋体" w:eastAsia="宋体" w:cs="宋体"/>
          <w:sz w:val="23"/>
          <w:szCs w:val="23"/>
        </w:rPr>
      </w:pPr>
      <w:r>
        <w:rPr>
          <w:rFonts w:ascii="宋体" w:hAnsi="宋体" w:eastAsia="宋体" w:cs="宋体"/>
          <w:spacing w:val="9"/>
          <w:sz w:val="23"/>
          <w:szCs w:val="23"/>
        </w:rPr>
        <w:t>施</w:t>
      </w:r>
      <w:r>
        <w:rPr>
          <w:rFonts w:ascii="宋体" w:hAnsi="宋体" w:eastAsia="宋体" w:cs="宋体"/>
          <w:spacing w:val="7"/>
          <w:sz w:val="23"/>
          <w:szCs w:val="23"/>
        </w:rPr>
        <w:t>，建设单位应认真履行，落实并监督环境保护设施的运行情况并加强管理，定</w:t>
      </w:r>
      <w:r>
        <w:rPr>
          <w:rFonts w:ascii="宋体" w:hAnsi="宋体" w:eastAsia="宋体" w:cs="宋体"/>
          <w:sz w:val="23"/>
          <w:szCs w:val="23"/>
        </w:rPr>
        <w:t xml:space="preserve"> </w:t>
      </w:r>
      <w:r>
        <w:rPr>
          <w:rFonts w:ascii="宋体" w:hAnsi="宋体" w:eastAsia="宋体" w:cs="宋体"/>
          <w:spacing w:val="10"/>
          <w:sz w:val="23"/>
          <w:szCs w:val="23"/>
        </w:rPr>
        <w:t>期监</w:t>
      </w:r>
      <w:r>
        <w:rPr>
          <w:rFonts w:ascii="宋体" w:hAnsi="宋体" w:eastAsia="宋体" w:cs="宋体"/>
          <w:spacing w:val="7"/>
          <w:sz w:val="23"/>
          <w:szCs w:val="23"/>
        </w:rPr>
        <w:t>测</w:t>
      </w:r>
      <w:r>
        <w:rPr>
          <w:rFonts w:ascii="宋体" w:hAnsi="宋体" w:eastAsia="宋体" w:cs="宋体"/>
          <w:spacing w:val="5"/>
          <w:sz w:val="23"/>
          <w:szCs w:val="23"/>
        </w:rPr>
        <w:t xml:space="preserve">各污染物排放浓度以及达到预定的处理效果，具体管理目标见表 </w:t>
      </w:r>
      <w:r>
        <w:rPr>
          <w:rFonts w:ascii="Times New Roman" w:hAnsi="Times New Roman" w:eastAsia="Times New Roman" w:cs="Times New Roman"/>
          <w:spacing w:val="5"/>
          <w:sz w:val="23"/>
          <w:szCs w:val="23"/>
        </w:rPr>
        <w:t>9- 1</w:t>
      </w:r>
      <w:r>
        <w:rPr>
          <w:rFonts w:ascii="宋体" w:hAnsi="宋体" w:eastAsia="宋体" w:cs="宋体"/>
          <w:spacing w:val="5"/>
          <w:sz w:val="23"/>
          <w:szCs w:val="23"/>
        </w:rPr>
        <w:t>。</w:t>
      </w:r>
    </w:p>
    <w:p w14:paraId="68B1D6D9">
      <w:pPr>
        <w:spacing w:before="136" w:line="227" w:lineRule="auto"/>
        <w:ind w:left="2673"/>
        <w:rPr>
          <w:rFonts w:ascii="宋体" w:hAnsi="宋体" w:eastAsia="宋体" w:cs="宋体"/>
          <w:sz w:val="23"/>
          <w:szCs w:val="23"/>
        </w:rPr>
      </w:pPr>
      <w:r>
        <w:rPr>
          <w:rFonts w:ascii="宋体" w:hAnsi="宋体" w:eastAsia="宋体" w:cs="宋体"/>
          <w:spacing w:val="6"/>
          <w:sz w:val="23"/>
          <w:szCs w:val="23"/>
          <w14:textOutline w14:w="4358" w14:cap="sq" w14:cmpd="sng">
            <w14:solidFill>
              <w14:srgbClr w14:val="000000"/>
            </w14:solidFill>
            <w14:prstDash w14:val="solid"/>
            <w14:bevel/>
          </w14:textOutline>
        </w:rPr>
        <w:t>表</w:t>
      </w:r>
      <w:r>
        <w:rPr>
          <w:rFonts w:ascii="宋体" w:hAnsi="宋体" w:eastAsia="宋体" w:cs="宋体"/>
          <w:spacing w:val="5"/>
          <w:sz w:val="23"/>
          <w:szCs w:val="23"/>
        </w:rPr>
        <w:t xml:space="preserve"> </w:t>
      </w:r>
      <w:r>
        <w:rPr>
          <w:rFonts w:ascii="Times New Roman" w:hAnsi="Times New Roman" w:eastAsia="Times New Roman" w:cs="Times New Roman"/>
          <w:b/>
          <w:bCs/>
          <w:spacing w:val="3"/>
          <w:sz w:val="23"/>
          <w:szCs w:val="23"/>
        </w:rPr>
        <w:t>9-1</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14:textOutline w14:w="4358" w14:cap="sq" w14:cmpd="sng">
            <w14:solidFill>
              <w14:srgbClr w14:val="000000"/>
            </w14:solidFill>
            <w14:prstDash w14:val="solid"/>
            <w14:bevel/>
          </w14:textOutline>
        </w:rPr>
        <w:t>环保设施管理目标</w:t>
      </w:r>
    </w:p>
    <w:p w14:paraId="19312100">
      <w:pPr>
        <w:spacing w:line="18" w:lineRule="exact"/>
      </w:pPr>
    </w:p>
    <w:tbl>
      <w:tblPr>
        <w:tblStyle w:val="4"/>
        <w:tblW w:w="835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23"/>
        <w:gridCol w:w="1320"/>
        <w:gridCol w:w="1260"/>
        <w:gridCol w:w="3015"/>
        <w:gridCol w:w="2233"/>
      </w:tblGrid>
      <w:tr w14:paraId="29767A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523" w:type="dxa"/>
            <w:tcBorders>
              <w:left w:val="nil"/>
              <w:right w:val="single" w:color="000000" w:sz="4" w:space="0"/>
            </w:tcBorders>
            <w:vAlign w:val="top"/>
          </w:tcPr>
          <w:p w14:paraId="675FD873">
            <w:pPr>
              <w:spacing w:before="140" w:line="228" w:lineRule="auto"/>
              <w:ind w:left="59"/>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类别</w:t>
            </w:r>
          </w:p>
        </w:tc>
        <w:tc>
          <w:tcPr>
            <w:tcW w:w="1320" w:type="dxa"/>
            <w:tcBorders>
              <w:left w:val="single" w:color="000000" w:sz="4" w:space="0"/>
              <w:right w:val="single" w:color="000000" w:sz="4" w:space="0"/>
            </w:tcBorders>
            <w:vAlign w:val="top"/>
          </w:tcPr>
          <w:p w14:paraId="3EEF7118">
            <w:pPr>
              <w:spacing w:before="140" w:line="228" w:lineRule="auto"/>
              <w:ind w:left="349"/>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污染源</w:t>
            </w:r>
          </w:p>
        </w:tc>
        <w:tc>
          <w:tcPr>
            <w:tcW w:w="1260" w:type="dxa"/>
            <w:tcBorders>
              <w:left w:val="single" w:color="000000" w:sz="4" w:space="0"/>
              <w:right w:val="single" w:color="000000" w:sz="4" w:space="0"/>
            </w:tcBorders>
            <w:vAlign w:val="top"/>
          </w:tcPr>
          <w:p w14:paraId="5BE94E86">
            <w:pPr>
              <w:spacing w:before="140" w:line="228" w:lineRule="auto"/>
              <w:ind w:left="109"/>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主</w:t>
            </w:r>
            <w:r>
              <w:rPr>
                <w:rFonts w:ascii="宋体" w:hAnsi="宋体" w:eastAsia="宋体" w:cs="宋体"/>
                <w:spacing w:val="8"/>
                <w:sz w:val="20"/>
                <w:szCs w:val="20"/>
                <w14:textOutline w14:w="3795" w14:cap="sq" w14:cmpd="sng">
                  <w14:solidFill>
                    <w14:srgbClr w14:val="000000"/>
                  </w14:solidFill>
                  <w14:prstDash w14:val="solid"/>
                  <w14:bevel/>
                </w14:textOutline>
              </w:rPr>
              <w:t>要污染物</w:t>
            </w:r>
          </w:p>
        </w:tc>
        <w:tc>
          <w:tcPr>
            <w:tcW w:w="3015" w:type="dxa"/>
            <w:tcBorders>
              <w:left w:val="single" w:color="000000" w:sz="4" w:space="0"/>
              <w:right w:val="single" w:color="000000" w:sz="4" w:space="0"/>
            </w:tcBorders>
            <w:vAlign w:val="top"/>
          </w:tcPr>
          <w:p w14:paraId="2F9AFB19">
            <w:pPr>
              <w:spacing w:before="140" w:line="228" w:lineRule="auto"/>
              <w:ind w:left="1089"/>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环</w:t>
            </w:r>
            <w:r>
              <w:rPr>
                <w:rFonts w:ascii="宋体" w:hAnsi="宋体" w:eastAsia="宋体" w:cs="宋体"/>
                <w:spacing w:val="8"/>
                <w:sz w:val="20"/>
                <w:szCs w:val="20"/>
                <w14:textOutline w14:w="3795" w14:cap="sq" w14:cmpd="sng">
                  <w14:solidFill>
                    <w14:srgbClr w14:val="000000"/>
                  </w14:solidFill>
                  <w14:prstDash w14:val="solid"/>
                  <w14:bevel/>
                </w14:textOutline>
              </w:rPr>
              <w:t>保设施</w:t>
            </w:r>
          </w:p>
        </w:tc>
        <w:tc>
          <w:tcPr>
            <w:tcW w:w="2233" w:type="dxa"/>
            <w:tcBorders>
              <w:left w:val="single" w:color="000000" w:sz="4" w:space="0"/>
              <w:right w:val="nil"/>
            </w:tcBorders>
            <w:vAlign w:val="top"/>
          </w:tcPr>
          <w:p w14:paraId="0247ACF1">
            <w:pPr>
              <w:spacing w:before="140" w:line="228" w:lineRule="auto"/>
              <w:ind w:left="705"/>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管</w:t>
            </w:r>
            <w:r>
              <w:rPr>
                <w:rFonts w:ascii="宋体" w:hAnsi="宋体" w:eastAsia="宋体" w:cs="宋体"/>
                <w:spacing w:val="7"/>
                <w:sz w:val="20"/>
                <w:szCs w:val="20"/>
                <w14:textOutline w14:w="3795" w14:cap="sq" w14:cmpd="sng">
                  <w14:solidFill>
                    <w14:srgbClr w14:val="000000"/>
                  </w14:solidFill>
                  <w14:prstDash w14:val="solid"/>
                  <w14:bevel/>
                </w14:textOutline>
              </w:rPr>
              <w:t>理目标</w:t>
            </w:r>
          </w:p>
        </w:tc>
      </w:tr>
      <w:tr w14:paraId="103BD6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8" w:hRule="atLeast"/>
        </w:trPr>
        <w:tc>
          <w:tcPr>
            <w:tcW w:w="523" w:type="dxa"/>
            <w:vMerge w:val="restart"/>
            <w:tcBorders>
              <w:left w:val="nil"/>
              <w:bottom w:val="nil"/>
              <w:right w:val="single" w:color="000000" w:sz="4" w:space="0"/>
            </w:tcBorders>
            <w:vAlign w:val="top"/>
          </w:tcPr>
          <w:p w14:paraId="53479D89">
            <w:pPr>
              <w:spacing w:line="259" w:lineRule="auto"/>
              <w:rPr>
                <w:rFonts w:ascii="Arial"/>
                <w:sz w:val="21"/>
              </w:rPr>
            </w:pPr>
          </w:p>
          <w:p w14:paraId="5F295FE8">
            <w:pPr>
              <w:spacing w:line="259" w:lineRule="auto"/>
              <w:rPr>
                <w:rFonts w:ascii="Arial"/>
                <w:sz w:val="21"/>
              </w:rPr>
            </w:pPr>
          </w:p>
          <w:p w14:paraId="0334809A">
            <w:pPr>
              <w:spacing w:line="259" w:lineRule="auto"/>
              <w:rPr>
                <w:rFonts w:ascii="Arial"/>
                <w:sz w:val="21"/>
              </w:rPr>
            </w:pPr>
          </w:p>
          <w:p w14:paraId="568B9E27">
            <w:pPr>
              <w:spacing w:line="259" w:lineRule="auto"/>
              <w:rPr>
                <w:rFonts w:ascii="Arial"/>
                <w:sz w:val="21"/>
              </w:rPr>
            </w:pPr>
          </w:p>
          <w:p w14:paraId="6C3D4BC8">
            <w:pPr>
              <w:spacing w:line="259" w:lineRule="auto"/>
              <w:rPr>
                <w:rFonts w:ascii="Arial"/>
                <w:sz w:val="21"/>
              </w:rPr>
            </w:pPr>
          </w:p>
          <w:p w14:paraId="2F5A0BA4">
            <w:pPr>
              <w:spacing w:line="259" w:lineRule="auto"/>
              <w:rPr>
                <w:rFonts w:ascii="Arial"/>
                <w:sz w:val="21"/>
              </w:rPr>
            </w:pPr>
          </w:p>
          <w:p w14:paraId="36AF76D3">
            <w:pPr>
              <w:spacing w:line="259" w:lineRule="auto"/>
              <w:rPr>
                <w:rFonts w:ascii="Arial"/>
                <w:sz w:val="21"/>
              </w:rPr>
            </w:pPr>
          </w:p>
          <w:p w14:paraId="41F353AF">
            <w:pPr>
              <w:spacing w:line="259" w:lineRule="auto"/>
              <w:rPr>
                <w:rFonts w:ascii="Arial"/>
                <w:sz w:val="21"/>
              </w:rPr>
            </w:pPr>
          </w:p>
          <w:p w14:paraId="4C46CA9C">
            <w:pPr>
              <w:spacing w:line="260" w:lineRule="auto"/>
              <w:rPr>
                <w:rFonts w:ascii="Arial"/>
                <w:sz w:val="21"/>
              </w:rPr>
            </w:pPr>
          </w:p>
          <w:p w14:paraId="51A00D66">
            <w:pPr>
              <w:spacing w:before="65" w:line="228" w:lineRule="auto"/>
              <w:ind w:left="59"/>
              <w:rPr>
                <w:rFonts w:ascii="宋体" w:hAnsi="宋体" w:eastAsia="宋体" w:cs="宋体"/>
                <w:sz w:val="20"/>
                <w:szCs w:val="20"/>
              </w:rPr>
            </w:pPr>
            <w:r>
              <w:rPr>
                <w:rFonts w:ascii="宋体" w:hAnsi="宋体" w:eastAsia="宋体" w:cs="宋体"/>
                <w:spacing w:val="5"/>
                <w:sz w:val="20"/>
                <w:szCs w:val="20"/>
              </w:rPr>
              <w:t>废气</w:t>
            </w:r>
          </w:p>
        </w:tc>
        <w:tc>
          <w:tcPr>
            <w:tcW w:w="1320" w:type="dxa"/>
            <w:tcBorders>
              <w:left w:val="single" w:color="000000" w:sz="4" w:space="0"/>
              <w:right w:val="single" w:color="000000" w:sz="4" w:space="0"/>
            </w:tcBorders>
            <w:vAlign w:val="top"/>
          </w:tcPr>
          <w:p w14:paraId="7D3E1E24">
            <w:pPr>
              <w:spacing w:line="304" w:lineRule="auto"/>
              <w:rPr>
                <w:rFonts w:ascii="Arial"/>
                <w:sz w:val="21"/>
              </w:rPr>
            </w:pPr>
          </w:p>
          <w:p w14:paraId="1114D116">
            <w:pPr>
              <w:spacing w:line="305" w:lineRule="auto"/>
              <w:rPr>
                <w:rFonts w:ascii="Arial"/>
                <w:sz w:val="21"/>
              </w:rPr>
            </w:pPr>
          </w:p>
          <w:p w14:paraId="0E20A9CD">
            <w:pPr>
              <w:spacing w:before="65" w:line="228" w:lineRule="auto"/>
              <w:ind w:left="244"/>
              <w:rPr>
                <w:rFonts w:ascii="宋体" w:hAnsi="宋体" w:eastAsia="宋体" w:cs="宋体"/>
                <w:sz w:val="20"/>
                <w:szCs w:val="20"/>
              </w:rPr>
            </w:pPr>
            <w:r>
              <w:rPr>
                <w:rFonts w:ascii="宋体" w:hAnsi="宋体" w:eastAsia="宋体" w:cs="宋体"/>
                <w:spacing w:val="9"/>
                <w:sz w:val="20"/>
                <w:szCs w:val="20"/>
              </w:rPr>
              <w:t>分</w:t>
            </w:r>
            <w:r>
              <w:rPr>
                <w:rFonts w:ascii="宋体" w:hAnsi="宋体" w:eastAsia="宋体" w:cs="宋体"/>
                <w:spacing w:val="6"/>
                <w:sz w:val="20"/>
                <w:szCs w:val="20"/>
              </w:rPr>
              <w:t>拣工序</w:t>
            </w:r>
          </w:p>
        </w:tc>
        <w:tc>
          <w:tcPr>
            <w:tcW w:w="1260" w:type="dxa"/>
            <w:tcBorders>
              <w:left w:val="single" w:color="000000" w:sz="4" w:space="0"/>
              <w:right w:val="single" w:color="000000" w:sz="4" w:space="0"/>
            </w:tcBorders>
            <w:vAlign w:val="top"/>
          </w:tcPr>
          <w:p w14:paraId="7A92A2CA">
            <w:pPr>
              <w:spacing w:line="304" w:lineRule="auto"/>
              <w:rPr>
                <w:rFonts w:ascii="Arial"/>
                <w:sz w:val="21"/>
              </w:rPr>
            </w:pPr>
          </w:p>
          <w:p w14:paraId="172314DA">
            <w:pPr>
              <w:spacing w:line="305" w:lineRule="auto"/>
              <w:rPr>
                <w:rFonts w:ascii="Arial"/>
                <w:sz w:val="21"/>
              </w:rPr>
            </w:pPr>
          </w:p>
          <w:p w14:paraId="7FA11907">
            <w:pPr>
              <w:spacing w:before="65" w:line="228" w:lineRule="auto"/>
              <w:ind w:left="421"/>
              <w:rPr>
                <w:rFonts w:ascii="宋体" w:hAnsi="宋体" w:eastAsia="宋体" w:cs="宋体"/>
                <w:sz w:val="20"/>
                <w:szCs w:val="20"/>
              </w:rPr>
            </w:pPr>
            <w:r>
              <w:rPr>
                <w:rFonts w:ascii="宋体" w:hAnsi="宋体" w:eastAsia="宋体" w:cs="宋体"/>
                <w:spacing w:val="5"/>
                <w:sz w:val="20"/>
                <w:szCs w:val="20"/>
              </w:rPr>
              <w:t>粉尘</w:t>
            </w:r>
          </w:p>
        </w:tc>
        <w:tc>
          <w:tcPr>
            <w:tcW w:w="3015" w:type="dxa"/>
            <w:tcBorders>
              <w:left w:val="single" w:color="000000" w:sz="4" w:space="0"/>
              <w:right w:val="single" w:color="000000" w:sz="4" w:space="0"/>
            </w:tcBorders>
            <w:vAlign w:val="top"/>
          </w:tcPr>
          <w:p w14:paraId="3467C4BB">
            <w:pPr>
              <w:spacing w:line="304" w:lineRule="auto"/>
              <w:rPr>
                <w:rFonts w:ascii="Arial"/>
                <w:sz w:val="21"/>
              </w:rPr>
            </w:pPr>
          </w:p>
          <w:p w14:paraId="4E4FD13F">
            <w:pPr>
              <w:spacing w:line="305" w:lineRule="auto"/>
              <w:rPr>
                <w:rFonts w:ascii="Arial"/>
                <w:sz w:val="21"/>
              </w:rPr>
            </w:pPr>
          </w:p>
          <w:p w14:paraId="4D53079F">
            <w:pPr>
              <w:spacing w:before="65" w:line="228" w:lineRule="auto"/>
              <w:ind w:left="320"/>
              <w:rPr>
                <w:rFonts w:ascii="宋体" w:hAnsi="宋体" w:eastAsia="宋体" w:cs="宋体"/>
                <w:sz w:val="20"/>
                <w:szCs w:val="20"/>
              </w:rPr>
            </w:pPr>
            <w:r>
              <w:rPr>
                <w:rFonts w:ascii="宋体" w:hAnsi="宋体" w:eastAsia="宋体" w:cs="宋体"/>
                <w:spacing w:val="-2"/>
                <w:sz w:val="20"/>
                <w:szCs w:val="20"/>
              </w:rPr>
              <w:t>在生产厂房内无</w:t>
            </w:r>
            <w:r>
              <w:rPr>
                <w:rFonts w:ascii="宋体" w:hAnsi="宋体" w:eastAsia="宋体" w:cs="宋体"/>
                <w:spacing w:val="-1"/>
                <w:sz w:val="20"/>
                <w:szCs w:val="20"/>
              </w:rPr>
              <w:t>组织排放。</w:t>
            </w:r>
          </w:p>
        </w:tc>
        <w:tc>
          <w:tcPr>
            <w:tcW w:w="2233" w:type="dxa"/>
            <w:tcBorders>
              <w:left w:val="single" w:color="000000" w:sz="4" w:space="0"/>
              <w:right w:val="nil"/>
            </w:tcBorders>
            <w:vAlign w:val="top"/>
          </w:tcPr>
          <w:p w14:paraId="652050F7">
            <w:pPr>
              <w:spacing w:before="54" w:line="288" w:lineRule="auto"/>
              <w:ind w:left="594" w:right="69" w:hanging="520"/>
              <w:rPr>
                <w:rFonts w:ascii="宋体" w:hAnsi="宋体" w:eastAsia="宋体" w:cs="宋体"/>
                <w:sz w:val="20"/>
                <w:szCs w:val="20"/>
              </w:rPr>
            </w:pPr>
            <w:r>
              <w:rPr>
                <w:rFonts w:ascii="宋体" w:hAnsi="宋体" w:eastAsia="宋体" w:cs="宋体"/>
                <w:spacing w:val="12"/>
                <w:sz w:val="20"/>
                <w:szCs w:val="20"/>
              </w:rPr>
              <w:t>《</w:t>
            </w:r>
            <w:r>
              <w:rPr>
                <w:rFonts w:ascii="宋体" w:hAnsi="宋体" w:eastAsia="宋体" w:cs="宋体"/>
                <w:spacing w:val="8"/>
                <w:sz w:val="20"/>
                <w:szCs w:val="20"/>
              </w:rPr>
              <w:t>合成树脂工业污染物</w:t>
            </w:r>
            <w:r>
              <w:rPr>
                <w:rFonts w:ascii="宋体" w:hAnsi="宋体" w:eastAsia="宋体" w:cs="宋体"/>
                <w:sz w:val="20"/>
                <w:szCs w:val="20"/>
              </w:rPr>
              <w:t xml:space="preserve"> </w:t>
            </w:r>
            <w:r>
              <w:rPr>
                <w:rFonts w:ascii="宋体" w:hAnsi="宋体" w:eastAsia="宋体" w:cs="宋体"/>
                <w:spacing w:val="6"/>
                <w:sz w:val="20"/>
                <w:szCs w:val="20"/>
              </w:rPr>
              <w:t>排放标准</w:t>
            </w:r>
            <w:r>
              <w:rPr>
                <w:rFonts w:ascii="宋体" w:hAnsi="宋体" w:eastAsia="宋体" w:cs="宋体"/>
                <w:spacing w:val="5"/>
                <w:sz w:val="20"/>
                <w:szCs w:val="20"/>
              </w:rPr>
              <w:t>》</w:t>
            </w:r>
          </w:p>
          <w:p w14:paraId="05F19263">
            <w:pPr>
              <w:spacing w:line="229" w:lineRule="auto"/>
              <w:ind w:left="83"/>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8"/>
                <w:sz w:val="20"/>
                <w:szCs w:val="20"/>
              </w:rPr>
              <w:t>31572-2015</w:t>
            </w:r>
            <w:r>
              <w:rPr>
                <w:rFonts w:ascii="宋体" w:hAnsi="宋体" w:eastAsia="宋体" w:cs="宋体"/>
                <w:spacing w:val="8"/>
                <w:sz w:val="20"/>
                <w:szCs w:val="20"/>
              </w:rPr>
              <w:t xml:space="preserve">) 表 </w:t>
            </w:r>
            <w:r>
              <w:rPr>
                <w:rFonts w:ascii="Times New Roman" w:hAnsi="Times New Roman" w:eastAsia="Times New Roman" w:cs="Times New Roman"/>
                <w:spacing w:val="8"/>
                <w:sz w:val="20"/>
                <w:szCs w:val="20"/>
              </w:rPr>
              <w:t>9</w:t>
            </w:r>
          </w:p>
          <w:p w14:paraId="678A879E">
            <w:pPr>
              <w:spacing w:before="64" w:line="266" w:lineRule="auto"/>
              <w:ind w:left="318" w:right="172" w:hanging="124"/>
              <w:rPr>
                <w:rFonts w:ascii="宋体" w:hAnsi="宋体" w:eastAsia="宋体" w:cs="宋体"/>
                <w:sz w:val="20"/>
                <w:szCs w:val="20"/>
              </w:rPr>
            </w:pPr>
            <w:r>
              <w:rPr>
                <w:rFonts w:ascii="宋体" w:hAnsi="宋体" w:eastAsia="宋体" w:cs="宋体"/>
                <w:spacing w:val="7"/>
                <w:sz w:val="20"/>
                <w:szCs w:val="20"/>
              </w:rPr>
              <w:t>中</w:t>
            </w:r>
            <w:r>
              <w:rPr>
                <w:rFonts w:ascii="宋体" w:hAnsi="宋体" w:eastAsia="宋体" w:cs="宋体"/>
                <w:spacing w:val="6"/>
                <w:sz w:val="20"/>
                <w:szCs w:val="20"/>
              </w:rPr>
              <w:t>标准限值要求 (即</w:t>
            </w:r>
            <w:r>
              <w:rPr>
                <w:rFonts w:ascii="宋体" w:hAnsi="宋体" w:eastAsia="宋体" w:cs="宋体"/>
                <w:sz w:val="20"/>
                <w:szCs w:val="20"/>
              </w:rPr>
              <w:t xml:space="preserve"> </w:t>
            </w:r>
            <w:r>
              <w:rPr>
                <w:rFonts w:ascii="Times New Roman" w:hAnsi="Times New Roman" w:eastAsia="Times New Roman" w:cs="Times New Roman"/>
                <w:sz w:val="20"/>
                <w:szCs w:val="20"/>
              </w:rPr>
              <w:t>TSP</w:t>
            </w:r>
            <w:r>
              <w:rPr>
                <w:rFonts w:ascii="宋体" w:hAnsi="宋体" w:eastAsia="宋体" w:cs="宋体"/>
                <w:spacing w:val="8"/>
                <w:sz w:val="20"/>
                <w:szCs w:val="20"/>
              </w:rPr>
              <w:t>：</w:t>
            </w:r>
            <w:r>
              <w:rPr>
                <w:rFonts w:ascii="Times New Roman" w:hAnsi="Times New Roman" w:eastAsia="Times New Roman" w:cs="Times New Roman"/>
                <w:spacing w:val="7"/>
                <w:sz w:val="20"/>
                <w:szCs w:val="20"/>
              </w:rPr>
              <w:t>1.0</w:t>
            </w:r>
            <w:r>
              <w:rPr>
                <w:rFonts w:ascii="Times New Roman" w:hAnsi="Times New Roman" w:eastAsia="Times New Roman" w:cs="Times New Roman"/>
                <w:sz w:val="20"/>
                <w:szCs w:val="20"/>
              </w:rPr>
              <w:t>mg</w:t>
            </w:r>
            <w:r>
              <w:rPr>
                <w:rFonts w:ascii="Times New Roman" w:hAnsi="Times New Roman" w:eastAsia="Times New Roman" w:cs="Times New Roman"/>
                <w:spacing w:val="7"/>
                <w:sz w:val="20"/>
                <w:szCs w:val="20"/>
              </w:rPr>
              <w:t>/</w:t>
            </w:r>
            <w:r>
              <w:rPr>
                <w:rFonts w:ascii="Times New Roman" w:hAnsi="Times New Roman" w:eastAsia="Times New Roman" w:cs="Times New Roman"/>
                <w:sz w:val="20"/>
                <w:szCs w:val="20"/>
              </w:rPr>
              <w:t>m</w:t>
            </w:r>
            <w:r>
              <w:rPr>
                <w:rFonts w:ascii="Times New Roman" w:hAnsi="Times New Roman" w:eastAsia="Times New Roman" w:cs="Times New Roman"/>
                <w:spacing w:val="7"/>
                <w:position w:val="6"/>
                <w:sz w:val="13"/>
                <w:szCs w:val="13"/>
              </w:rPr>
              <w:t xml:space="preserve">3 </w:t>
            </w:r>
            <w:r>
              <w:rPr>
                <w:rFonts w:ascii="宋体" w:hAnsi="宋体" w:eastAsia="宋体" w:cs="宋体"/>
                <w:spacing w:val="7"/>
                <w:sz w:val="20"/>
                <w:szCs w:val="20"/>
              </w:rPr>
              <w:t>)</w:t>
            </w:r>
          </w:p>
        </w:tc>
      </w:tr>
      <w:tr w14:paraId="66836B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6" w:hRule="atLeast"/>
        </w:trPr>
        <w:tc>
          <w:tcPr>
            <w:tcW w:w="523" w:type="dxa"/>
            <w:vMerge w:val="continue"/>
            <w:tcBorders>
              <w:top w:val="nil"/>
              <w:left w:val="nil"/>
              <w:bottom w:val="nil"/>
              <w:right w:val="single" w:color="000000" w:sz="4" w:space="0"/>
            </w:tcBorders>
            <w:vAlign w:val="top"/>
          </w:tcPr>
          <w:p w14:paraId="2B61A408">
            <w:pPr>
              <w:rPr>
                <w:rFonts w:ascii="Arial"/>
                <w:sz w:val="21"/>
              </w:rPr>
            </w:pPr>
          </w:p>
        </w:tc>
        <w:tc>
          <w:tcPr>
            <w:tcW w:w="1320" w:type="dxa"/>
            <w:tcBorders>
              <w:left w:val="single" w:color="000000" w:sz="4" w:space="0"/>
              <w:right w:val="single" w:color="000000" w:sz="4" w:space="0"/>
            </w:tcBorders>
            <w:vAlign w:val="top"/>
          </w:tcPr>
          <w:p w14:paraId="79C9741C">
            <w:pPr>
              <w:spacing w:line="246" w:lineRule="auto"/>
              <w:rPr>
                <w:rFonts w:ascii="Arial"/>
                <w:sz w:val="21"/>
              </w:rPr>
            </w:pPr>
          </w:p>
          <w:p w14:paraId="5C36DDCA">
            <w:pPr>
              <w:spacing w:line="247" w:lineRule="auto"/>
              <w:rPr>
                <w:rFonts w:ascii="Arial"/>
                <w:sz w:val="21"/>
              </w:rPr>
            </w:pPr>
          </w:p>
          <w:p w14:paraId="09653E25">
            <w:pPr>
              <w:spacing w:line="247" w:lineRule="auto"/>
              <w:rPr>
                <w:rFonts w:ascii="Arial"/>
                <w:sz w:val="21"/>
              </w:rPr>
            </w:pPr>
          </w:p>
          <w:p w14:paraId="5E3578BD">
            <w:pPr>
              <w:spacing w:line="247" w:lineRule="auto"/>
              <w:rPr>
                <w:rFonts w:ascii="Arial"/>
                <w:sz w:val="21"/>
              </w:rPr>
            </w:pPr>
          </w:p>
          <w:p w14:paraId="2B7BF4B8">
            <w:pPr>
              <w:spacing w:line="247" w:lineRule="auto"/>
              <w:rPr>
                <w:rFonts w:ascii="Arial"/>
                <w:sz w:val="21"/>
              </w:rPr>
            </w:pPr>
          </w:p>
          <w:p w14:paraId="360B3099">
            <w:pPr>
              <w:spacing w:before="65" w:line="228" w:lineRule="auto"/>
              <w:ind w:left="143"/>
              <w:rPr>
                <w:rFonts w:ascii="宋体" w:hAnsi="宋体" w:eastAsia="宋体" w:cs="宋体"/>
                <w:sz w:val="20"/>
                <w:szCs w:val="20"/>
              </w:rPr>
            </w:pPr>
            <w:r>
              <w:rPr>
                <w:rFonts w:ascii="宋体" w:hAnsi="宋体" w:eastAsia="宋体" w:cs="宋体"/>
                <w:spacing w:val="7"/>
                <w:sz w:val="20"/>
                <w:szCs w:val="20"/>
              </w:rPr>
              <w:t>热熔、造</w:t>
            </w:r>
            <w:r>
              <w:rPr>
                <w:rFonts w:ascii="宋体" w:hAnsi="宋体" w:eastAsia="宋体" w:cs="宋体"/>
                <w:spacing w:val="6"/>
                <w:sz w:val="20"/>
                <w:szCs w:val="20"/>
              </w:rPr>
              <w:t>粒</w:t>
            </w:r>
          </w:p>
        </w:tc>
        <w:tc>
          <w:tcPr>
            <w:tcW w:w="1260" w:type="dxa"/>
            <w:tcBorders>
              <w:left w:val="single" w:color="000000" w:sz="4" w:space="0"/>
              <w:right w:val="single" w:color="000000" w:sz="4" w:space="0"/>
            </w:tcBorders>
            <w:vAlign w:val="top"/>
          </w:tcPr>
          <w:p w14:paraId="4A8E18B3">
            <w:pPr>
              <w:spacing w:line="246" w:lineRule="auto"/>
              <w:rPr>
                <w:rFonts w:ascii="Arial"/>
                <w:sz w:val="21"/>
              </w:rPr>
            </w:pPr>
          </w:p>
          <w:p w14:paraId="5D6A21B7">
            <w:pPr>
              <w:spacing w:line="247" w:lineRule="auto"/>
              <w:rPr>
                <w:rFonts w:ascii="Arial"/>
                <w:sz w:val="21"/>
              </w:rPr>
            </w:pPr>
          </w:p>
          <w:p w14:paraId="54931F44">
            <w:pPr>
              <w:spacing w:line="247" w:lineRule="auto"/>
              <w:rPr>
                <w:rFonts w:ascii="Arial"/>
                <w:sz w:val="21"/>
              </w:rPr>
            </w:pPr>
          </w:p>
          <w:p w14:paraId="481A02FC">
            <w:pPr>
              <w:spacing w:line="247" w:lineRule="auto"/>
              <w:rPr>
                <w:rFonts w:ascii="Arial"/>
                <w:sz w:val="21"/>
              </w:rPr>
            </w:pPr>
          </w:p>
          <w:p w14:paraId="0B5AD29E">
            <w:pPr>
              <w:spacing w:line="247" w:lineRule="auto"/>
              <w:rPr>
                <w:rFonts w:ascii="Arial"/>
                <w:sz w:val="21"/>
              </w:rPr>
            </w:pPr>
          </w:p>
          <w:p w14:paraId="4CF70AC3">
            <w:pPr>
              <w:spacing w:before="65" w:line="228" w:lineRule="auto"/>
              <w:ind w:left="111"/>
              <w:rPr>
                <w:rFonts w:ascii="宋体" w:hAnsi="宋体" w:eastAsia="宋体" w:cs="宋体"/>
                <w:sz w:val="20"/>
                <w:szCs w:val="20"/>
              </w:rPr>
            </w:pPr>
            <w:r>
              <w:rPr>
                <w:rFonts w:ascii="宋体" w:hAnsi="宋体" w:eastAsia="宋体" w:cs="宋体"/>
                <w:spacing w:val="9"/>
                <w:sz w:val="20"/>
                <w:szCs w:val="20"/>
              </w:rPr>
              <w:t>非</w:t>
            </w:r>
            <w:r>
              <w:rPr>
                <w:rFonts w:ascii="宋体" w:hAnsi="宋体" w:eastAsia="宋体" w:cs="宋体"/>
                <w:spacing w:val="7"/>
                <w:sz w:val="20"/>
                <w:szCs w:val="20"/>
              </w:rPr>
              <w:t>甲烷总烃</w:t>
            </w:r>
          </w:p>
        </w:tc>
        <w:tc>
          <w:tcPr>
            <w:tcW w:w="3015" w:type="dxa"/>
            <w:tcBorders>
              <w:left w:val="single" w:color="000000" w:sz="4" w:space="0"/>
              <w:right w:val="single" w:color="000000" w:sz="4" w:space="0"/>
            </w:tcBorders>
            <w:vAlign w:val="top"/>
          </w:tcPr>
          <w:p w14:paraId="75FC9557">
            <w:pPr>
              <w:spacing w:before="56" w:line="283" w:lineRule="auto"/>
              <w:ind w:left="25" w:right="17" w:firstLine="4"/>
              <w:rPr>
                <w:rFonts w:ascii="宋体" w:hAnsi="宋体" w:eastAsia="宋体" w:cs="宋体"/>
                <w:sz w:val="20"/>
                <w:szCs w:val="20"/>
              </w:rPr>
            </w:pPr>
            <w:r>
              <w:rPr>
                <w:rFonts w:ascii="宋体" w:hAnsi="宋体" w:eastAsia="宋体" w:cs="宋体"/>
                <w:spacing w:val="6"/>
                <w:sz w:val="20"/>
                <w:szCs w:val="20"/>
              </w:rPr>
              <w:t>该</w:t>
            </w:r>
            <w:r>
              <w:rPr>
                <w:rFonts w:ascii="宋体" w:hAnsi="宋体" w:eastAsia="宋体" w:cs="宋体"/>
                <w:spacing w:val="3"/>
                <w:sz w:val="20"/>
                <w:szCs w:val="20"/>
              </w:rPr>
              <w:t xml:space="preserve">项目每 </w:t>
            </w:r>
            <w:r>
              <w:rPr>
                <w:rFonts w:ascii="Times New Roman" w:hAnsi="Times New Roman" w:eastAsia="Times New Roman" w:cs="Times New Roman"/>
                <w:spacing w:val="3"/>
                <w:sz w:val="20"/>
                <w:szCs w:val="20"/>
              </w:rPr>
              <w:t xml:space="preserve">5 </w:t>
            </w:r>
            <w:r>
              <w:rPr>
                <w:rFonts w:ascii="宋体" w:hAnsi="宋体" w:eastAsia="宋体" w:cs="宋体"/>
                <w:spacing w:val="3"/>
                <w:sz w:val="20"/>
                <w:szCs w:val="20"/>
              </w:rPr>
              <w:t xml:space="preserve">条生产线共用 </w:t>
            </w:r>
            <w:r>
              <w:rPr>
                <w:rFonts w:ascii="Times New Roman" w:hAnsi="Times New Roman" w:eastAsia="Times New Roman" w:cs="Times New Roman"/>
                <w:spacing w:val="3"/>
                <w:sz w:val="20"/>
                <w:szCs w:val="20"/>
              </w:rPr>
              <w:t xml:space="preserve">1 </w:t>
            </w:r>
            <w:r>
              <w:rPr>
                <w:rFonts w:ascii="宋体" w:hAnsi="宋体" w:eastAsia="宋体" w:cs="宋体"/>
                <w:spacing w:val="3"/>
                <w:sz w:val="20"/>
                <w:szCs w:val="20"/>
              </w:rPr>
              <w:t>套废</w:t>
            </w:r>
            <w:r>
              <w:rPr>
                <w:rFonts w:ascii="宋体" w:hAnsi="宋体" w:eastAsia="宋体" w:cs="宋体"/>
                <w:sz w:val="20"/>
                <w:szCs w:val="20"/>
              </w:rPr>
              <w:t xml:space="preserve"> </w:t>
            </w:r>
            <w:r>
              <w:rPr>
                <w:rFonts w:ascii="宋体" w:hAnsi="宋体" w:eastAsia="宋体" w:cs="宋体"/>
                <w:spacing w:val="16"/>
                <w:sz w:val="20"/>
                <w:szCs w:val="20"/>
              </w:rPr>
              <w:t>气</w:t>
            </w:r>
            <w:r>
              <w:rPr>
                <w:rFonts w:ascii="宋体" w:hAnsi="宋体" w:eastAsia="宋体" w:cs="宋体"/>
                <w:spacing w:val="11"/>
                <w:sz w:val="20"/>
                <w:szCs w:val="20"/>
              </w:rPr>
              <w:t>处理设施，集气罩收集后的有</w:t>
            </w:r>
            <w:r>
              <w:rPr>
                <w:rFonts w:ascii="宋体" w:hAnsi="宋体" w:eastAsia="宋体" w:cs="宋体"/>
                <w:sz w:val="20"/>
                <w:szCs w:val="20"/>
              </w:rPr>
              <w:t xml:space="preserve"> </w:t>
            </w:r>
            <w:r>
              <w:rPr>
                <w:rFonts w:ascii="宋体" w:hAnsi="宋体" w:eastAsia="宋体" w:cs="宋体"/>
                <w:spacing w:val="8"/>
                <w:sz w:val="20"/>
                <w:szCs w:val="20"/>
              </w:rPr>
              <w:t>机废气经由风量为</w:t>
            </w:r>
            <w:r>
              <w:rPr>
                <w:rFonts w:ascii="Times New Roman" w:hAnsi="Times New Roman" w:eastAsia="Times New Roman" w:cs="Times New Roman"/>
                <w:spacing w:val="8"/>
                <w:sz w:val="20"/>
                <w:szCs w:val="20"/>
              </w:rPr>
              <w:t>5000</w:t>
            </w:r>
            <w:r>
              <w:rPr>
                <w:rFonts w:ascii="Times New Roman" w:hAnsi="Times New Roman" w:eastAsia="Times New Roman" w:cs="Times New Roman"/>
                <w:sz w:val="20"/>
                <w:szCs w:val="20"/>
              </w:rPr>
              <w:t>m</w:t>
            </w:r>
            <w:r>
              <w:rPr>
                <w:rFonts w:ascii="Times New Roman" w:hAnsi="Times New Roman" w:eastAsia="Times New Roman" w:cs="Times New Roman"/>
                <w:spacing w:val="8"/>
                <w:position w:val="6"/>
                <w:sz w:val="13"/>
                <w:szCs w:val="13"/>
              </w:rPr>
              <w:t>3</w:t>
            </w:r>
            <w:r>
              <w:rPr>
                <w:rFonts w:ascii="Times New Roman" w:hAnsi="Times New Roman" w:eastAsia="Times New Roman" w:cs="Times New Roman"/>
                <w:spacing w:val="8"/>
                <w:sz w:val="20"/>
                <w:szCs w:val="20"/>
              </w:rPr>
              <w:t>/</w:t>
            </w:r>
            <w:r>
              <w:rPr>
                <w:rFonts w:ascii="Times New Roman" w:hAnsi="Times New Roman" w:eastAsia="Times New Roman" w:cs="Times New Roman"/>
                <w:sz w:val="20"/>
                <w:szCs w:val="20"/>
              </w:rPr>
              <w:t>h</w:t>
            </w:r>
            <w:r>
              <w:rPr>
                <w:rFonts w:ascii="Times New Roman" w:hAnsi="Times New Roman" w:eastAsia="Times New Roman" w:cs="Times New Roman"/>
                <w:spacing w:val="8"/>
                <w:sz w:val="20"/>
                <w:szCs w:val="20"/>
              </w:rPr>
              <w:t xml:space="preserve"> </w:t>
            </w:r>
            <w:r>
              <w:rPr>
                <w:rFonts w:ascii="宋体" w:hAnsi="宋体" w:eastAsia="宋体" w:cs="宋体"/>
                <w:spacing w:val="8"/>
                <w:sz w:val="20"/>
                <w:szCs w:val="20"/>
              </w:rPr>
              <w:t>的</w:t>
            </w:r>
            <w:r>
              <w:rPr>
                <w:rFonts w:ascii="宋体" w:hAnsi="宋体" w:eastAsia="宋体" w:cs="宋体"/>
                <w:spacing w:val="7"/>
                <w:sz w:val="20"/>
                <w:szCs w:val="20"/>
              </w:rPr>
              <w:t>引</w:t>
            </w:r>
            <w:r>
              <w:rPr>
                <w:rFonts w:ascii="宋体" w:hAnsi="宋体" w:eastAsia="宋体" w:cs="宋体"/>
                <w:sz w:val="20"/>
                <w:szCs w:val="20"/>
              </w:rPr>
              <w:t xml:space="preserve"> </w:t>
            </w:r>
            <w:r>
              <w:rPr>
                <w:rFonts w:ascii="宋体" w:hAnsi="宋体" w:eastAsia="宋体" w:cs="宋体"/>
                <w:spacing w:val="16"/>
                <w:sz w:val="20"/>
                <w:szCs w:val="20"/>
              </w:rPr>
              <w:t>风</w:t>
            </w:r>
            <w:r>
              <w:rPr>
                <w:rFonts w:ascii="宋体" w:hAnsi="宋体" w:eastAsia="宋体" w:cs="宋体"/>
                <w:spacing w:val="11"/>
                <w:sz w:val="20"/>
                <w:szCs w:val="20"/>
              </w:rPr>
              <w:t>机抽入每个厂房内各自设置的</w:t>
            </w:r>
            <w:r>
              <w:rPr>
                <w:rFonts w:ascii="宋体" w:hAnsi="宋体" w:eastAsia="宋体" w:cs="宋体"/>
                <w:sz w:val="20"/>
                <w:szCs w:val="20"/>
              </w:rPr>
              <w:t xml:space="preserve"> </w:t>
            </w:r>
            <w:r>
              <w:rPr>
                <w:rFonts w:ascii="宋体" w:hAnsi="宋体" w:eastAsia="宋体" w:cs="宋体"/>
                <w:spacing w:val="16"/>
                <w:sz w:val="20"/>
                <w:szCs w:val="20"/>
              </w:rPr>
              <w:t>废</w:t>
            </w:r>
            <w:r>
              <w:rPr>
                <w:rFonts w:ascii="宋体" w:hAnsi="宋体" w:eastAsia="宋体" w:cs="宋体"/>
                <w:spacing w:val="10"/>
                <w:sz w:val="20"/>
                <w:szCs w:val="20"/>
              </w:rPr>
              <w:t>气</w:t>
            </w:r>
            <w:r>
              <w:rPr>
                <w:rFonts w:ascii="宋体" w:hAnsi="宋体" w:eastAsia="宋体" w:cs="宋体"/>
                <w:spacing w:val="8"/>
                <w:sz w:val="20"/>
                <w:szCs w:val="20"/>
              </w:rPr>
              <w:t xml:space="preserve">治理装置中，经过 </w:t>
            </w:r>
            <w:r>
              <w:rPr>
                <w:rFonts w:ascii="Times New Roman" w:hAnsi="Times New Roman" w:eastAsia="Times New Roman" w:cs="Times New Roman"/>
                <w:sz w:val="20"/>
                <w:szCs w:val="20"/>
              </w:rPr>
              <w:t>UV</w:t>
            </w:r>
            <w:r>
              <w:rPr>
                <w:rFonts w:ascii="Times New Roman" w:hAnsi="Times New Roman" w:eastAsia="Times New Roman" w:cs="Times New Roman"/>
                <w:spacing w:val="8"/>
                <w:sz w:val="20"/>
                <w:szCs w:val="20"/>
              </w:rPr>
              <w:t xml:space="preserve"> </w:t>
            </w:r>
            <w:r>
              <w:rPr>
                <w:rFonts w:ascii="宋体" w:hAnsi="宋体" w:eastAsia="宋体" w:cs="宋体"/>
                <w:spacing w:val="8"/>
                <w:sz w:val="20"/>
                <w:szCs w:val="20"/>
              </w:rPr>
              <w:t>光氧</w:t>
            </w:r>
            <w:r>
              <w:rPr>
                <w:rFonts w:ascii="宋体" w:hAnsi="宋体" w:eastAsia="宋体" w:cs="宋体"/>
                <w:sz w:val="20"/>
                <w:szCs w:val="20"/>
              </w:rPr>
              <w:t xml:space="preserve"> </w:t>
            </w:r>
            <w:r>
              <w:rPr>
                <w:rFonts w:ascii="宋体" w:hAnsi="宋体" w:eastAsia="宋体" w:cs="宋体"/>
                <w:spacing w:val="27"/>
                <w:sz w:val="20"/>
                <w:szCs w:val="20"/>
              </w:rPr>
              <w:t>催</w:t>
            </w:r>
            <w:r>
              <w:rPr>
                <w:rFonts w:ascii="宋体" w:hAnsi="宋体" w:eastAsia="宋体" w:cs="宋体"/>
                <w:spacing w:val="17"/>
                <w:sz w:val="20"/>
                <w:szCs w:val="20"/>
              </w:rPr>
              <w:t>化废气处理装置</w:t>
            </w:r>
            <w:r>
              <w:rPr>
                <w:rFonts w:ascii="Times New Roman" w:hAnsi="Times New Roman" w:eastAsia="Times New Roman" w:cs="Times New Roman"/>
                <w:spacing w:val="17"/>
                <w:sz w:val="20"/>
                <w:szCs w:val="20"/>
              </w:rPr>
              <w:t>+</w:t>
            </w:r>
            <w:r>
              <w:rPr>
                <w:rFonts w:ascii="宋体" w:hAnsi="宋体" w:eastAsia="宋体" w:cs="宋体"/>
                <w:spacing w:val="17"/>
                <w:sz w:val="20"/>
                <w:szCs w:val="20"/>
              </w:rPr>
              <w:t>活性炭吸附</w:t>
            </w:r>
            <w:r>
              <w:rPr>
                <w:rFonts w:ascii="宋体" w:hAnsi="宋体" w:eastAsia="宋体" w:cs="宋体"/>
                <w:sz w:val="20"/>
                <w:szCs w:val="20"/>
              </w:rPr>
              <w:t xml:space="preserve"> </w:t>
            </w:r>
            <w:r>
              <w:rPr>
                <w:rFonts w:ascii="宋体" w:hAnsi="宋体" w:eastAsia="宋体" w:cs="宋体"/>
                <w:spacing w:val="7"/>
                <w:sz w:val="20"/>
                <w:szCs w:val="20"/>
              </w:rPr>
              <w:t xml:space="preserve">装置处理后通过 </w:t>
            </w:r>
            <w:r>
              <w:rPr>
                <w:rFonts w:ascii="Times New Roman" w:hAnsi="Times New Roman" w:eastAsia="Times New Roman" w:cs="Times New Roman"/>
                <w:spacing w:val="7"/>
                <w:sz w:val="20"/>
                <w:szCs w:val="20"/>
              </w:rPr>
              <w:t>15</w:t>
            </w:r>
            <w:r>
              <w:rPr>
                <w:rFonts w:ascii="Times New Roman" w:hAnsi="Times New Roman" w:eastAsia="Times New Roman" w:cs="Times New Roman"/>
                <w:sz w:val="20"/>
                <w:szCs w:val="20"/>
              </w:rPr>
              <w:t>m</w:t>
            </w:r>
            <w:r>
              <w:rPr>
                <w:rFonts w:ascii="宋体" w:hAnsi="宋体" w:eastAsia="宋体" w:cs="宋体"/>
                <w:spacing w:val="7"/>
                <w:sz w:val="20"/>
                <w:szCs w:val="20"/>
              </w:rPr>
              <w:t>高排气筒</w:t>
            </w:r>
            <w:r>
              <w:rPr>
                <w:rFonts w:ascii="宋体" w:hAnsi="宋体" w:eastAsia="宋体" w:cs="宋体"/>
                <w:spacing w:val="5"/>
                <w:sz w:val="20"/>
                <w:szCs w:val="20"/>
              </w:rPr>
              <w:t>有</w:t>
            </w:r>
            <w:r>
              <w:rPr>
                <w:rFonts w:ascii="宋体" w:hAnsi="宋体" w:eastAsia="宋体" w:cs="宋体"/>
                <w:sz w:val="20"/>
                <w:szCs w:val="20"/>
              </w:rPr>
              <w:t xml:space="preserve"> </w:t>
            </w:r>
            <w:r>
              <w:rPr>
                <w:rFonts w:ascii="宋体" w:hAnsi="宋体" w:eastAsia="宋体" w:cs="宋体"/>
                <w:spacing w:val="8"/>
                <w:sz w:val="20"/>
                <w:szCs w:val="20"/>
              </w:rPr>
              <w:t>组</w:t>
            </w:r>
            <w:r>
              <w:rPr>
                <w:rFonts w:ascii="宋体" w:hAnsi="宋体" w:eastAsia="宋体" w:cs="宋体"/>
                <w:spacing w:val="6"/>
                <w:sz w:val="20"/>
                <w:szCs w:val="20"/>
              </w:rPr>
              <w:t xml:space="preserve">织排放，共计 </w:t>
            </w:r>
            <w:r>
              <w:rPr>
                <w:rFonts w:ascii="Times New Roman" w:hAnsi="Times New Roman" w:eastAsia="Times New Roman" w:cs="Times New Roman"/>
                <w:spacing w:val="6"/>
                <w:sz w:val="20"/>
                <w:szCs w:val="20"/>
              </w:rPr>
              <w:t xml:space="preserve">2 </w:t>
            </w:r>
            <w:r>
              <w:rPr>
                <w:rFonts w:ascii="宋体" w:hAnsi="宋体" w:eastAsia="宋体" w:cs="宋体"/>
                <w:spacing w:val="6"/>
                <w:sz w:val="20"/>
                <w:szCs w:val="20"/>
              </w:rPr>
              <w:t>个排气筒 (</w:t>
            </w:r>
            <w:r>
              <w:rPr>
                <w:rFonts w:ascii="Times New Roman" w:hAnsi="Times New Roman" w:eastAsia="Times New Roman" w:cs="Times New Roman"/>
                <w:spacing w:val="6"/>
                <w:sz w:val="20"/>
                <w:szCs w:val="20"/>
              </w:rPr>
              <w:t>1#</w:t>
            </w:r>
            <w:r>
              <w:rPr>
                <w:rFonts w:ascii="Times New Roman" w:hAnsi="Times New Roman" w:eastAsia="Times New Roman" w:cs="Times New Roman"/>
                <w:sz w:val="20"/>
                <w:szCs w:val="20"/>
              </w:rPr>
              <w:t xml:space="preserve"> </w:t>
            </w:r>
            <w:r>
              <w:rPr>
                <w:rFonts w:ascii="宋体" w:hAnsi="宋体" w:eastAsia="宋体" w:cs="宋体"/>
                <w:spacing w:val="7"/>
                <w:sz w:val="20"/>
                <w:szCs w:val="20"/>
              </w:rPr>
              <w:t>排气筒、</w:t>
            </w:r>
            <w:r>
              <w:rPr>
                <w:rFonts w:ascii="Times New Roman" w:hAnsi="Times New Roman" w:eastAsia="Times New Roman" w:cs="Times New Roman"/>
                <w:spacing w:val="7"/>
                <w:sz w:val="20"/>
                <w:szCs w:val="20"/>
              </w:rPr>
              <w:t>2#</w:t>
            </w:r>
            <w:r>
              <w:rPr>
                <w:rFonts w:ascii="宋体" w:hAnsi="宋体" w:eastAsia="宋体" w:cs="宋体"/>
                <w:spacing w:val="7"/>
                <w:sz w:val="20"/>
                <w:szCs w:val="20"/>
              </w:rPr>
              <w:t xml:space="preserve">排气筒) </w:t>
            </w:r>
            <w:r>
              <w:rPr>
                <w:rFonts w:ascii="宋体" w:hAnsi="宋体" w:eastAsia="宋体" w:cs="宋体"/>
                <w:spacing w:val="5"/>
                <w:sz w:val="20"/>
                <w:szCs w:val="20"/>
              </w:rPr>
              <w:t>。</w:t>
            </w:r>
          </w:p>
        </w:tc>
        <w:tc>
          <w:tcPr>
            <w:tcW w:w="2233" w:type="dxa"/>
            <w:tcBorders>
              <w:left w:val="single" w:color="000000" w:sz="4" w:space="0"/>
              <w:right w:val="nil"/>
            </w:tcBorders>
            <w:vAlign w:val="top"/>
          </w:tcPr>
          <w:p w14:paraId="3B353086">
            <w:pPr>
              <w:spacing w:line="306" w:lineRule="auto"/>
              <w:rPr>
                <w:rFonts w:ascii="Arial"/>
                <w:sz w:val="21"/>
              </w:rPr>
            </w:pPr>
          </w:p>
          <w:p w14:paraId="1E249225">
            <w:pPr>
              <w:spacing w:line="307" w:lineRule="auto"/>
              <w:rPr>
                <w:rFonts w:ascii="Arial"/>
                <w:sz w:val="21"/>
              </w:rPr>
            </w:pPr>
          </w:p>
          <w:p w14:paraId="1EE0E017">
            <w:pPr>
              <w:spacing w:before="65" w:line="228" w:lineRule="auto"/>
              <w:ind w:left="74"/>
              <w:rPr>
                <w:rFonts w:ascii="宋体" w:hAnsi="宋体" w:eastAsia="宋体" w:cs="宋体"/>
                <w:sz w:val="20"/>
                <w:szCs w:val="20"/>
              </w:rPr>
            </w:pPr>
            <w:r>
              <w:rPr>
                <w:rFonts w:ascii="宋体" w:hAnsi="宋体" w:eastAsia="宋体" w:cs="宋体"/>
                <w:spacing w:val="12"/>
                <w:sz w:val="20"/>
                <w:szCs w:val="20"/>
              </w:rPr>
              <w:t>《</w:t>
            </w:r>
            <w:r>
              <w:rPr>
                <w:rFonts w:ascii="宋体" w:hAnsi="宋体" w:eastAsia="宋体" w:cs="宋体"/>
                <w:spacing w:val="8"/>
                <w:sz w:val="20"/>
                <w:szCs w:val="20"/>
              </w:rPr>
              <w:t>合成树脂工业污染物</w:t>
            </w:r>
          </w:p>
          <w:p w14:paraId="55EC737E">
            <w:pPr>
              <w:spacing w:before="67" w:line="294" w:lineRule="auto"/>
              <w:ind w:left="83" w:right="68" w:firstLine="510"/>
              <w:rPr>
                <w:rFonts w:ascii="宋体" w:hAnsi="宋体" w:eastAsia="宋体" w:cs="宋体"/>
                <w:sz w:val="20"/>
                <w:szCs w:val="20"/>
              </w:rPr>
            </w:pPr>
            <w:r>
              <w:rPr>
                <w:rFonts w:ascii="宋体" w:hAnsi="宋体" w:eastAsia="宋体" w:cs="宋体"/>
                <w:spacing w:val="8"/>
                <w:sz w:val="20"/>
                <w:szCs w:val="20"/>
              </w:rPr>
              <w:t>排</w:t>
            </w:r>
            <w:r>
              <w:rPr>
                <w:rFonts w:ascii="宋体" w:hAnsi="宋体" w:eastAsia="宋体" w:cs="宋体"/>
                <w:spacing w:val="5"/>
                <w:sz w:val="20"/>
                <w:szCs w:val="20"/>
              </w:rPr>
              <w:t>放标准》</w:t>
            </w:r>
            <w:r>
              <w:rPr>
                <w:rFonts w:ascii="宋体" w:hAnsi="宋体" w:eastAsia="宋体" w:cs="宋体"/>
                <w:sz w:val="20"/>
                <w:szCs w:val="20"/>
              </w:rPr>
              <w:t xml:space="preserve">     </w:t>
            </w:r>
            <w:r>
              <w:rPr>
                <w:rFonts w:ascii="宋体" w:hAnsi="宋体" w:eastAsia="宋体" w:cs="宋体"/>
                <w:spacing w:val="11"/>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8"/>
                <w:sz w:val="20"/>
                <w:szCs w:val="20"/>
              </w:rPr>
              <w:t>31572-2015</w:t>
            </w:r>
            <w:r>
              <w:rPr>
                <w:rFonts w:ascii="宋体" w:hAnsi="宋体" w:eastAsia="宋体" w:cs="宋体"/>
                <w:spacing w:val="8"/>
                <w:sz w:val="20"/>
                <w:szCs w:val="20"/>
              </w:rPr>
              <w:t xml:space="preserve">) 表 </w:t>
            </w:r>
            <w:r>
              <w:rPr>
                <w:rFonts w:ascii="Times New Roman" w:hAnsi="Times New Roman" w:eastAsia="Times New Roman" w:cs="Times New Roman"/>
                <w:spacing w:val="8"/>
                <w:sz w:val="20"/>
                <w:szCs w:val="20"/>
              </w:rPr>
              <w:t>4</w:t>
            </w:r>
            <w:r>
              <w:rPr>
                <w:rFonts w:ascii="Times New Roman" w:hAnsi="Times New Roman" w:eastAsia="Times New Roman" w:cs="Times New Roman"/>
                <w:sz w:val="20"/>
                <w:szCs w:val="20"/>
              </w:rPr>
              <w:t xml:space="preserve"> </w:t>
            </w:r>
            <w:r>
              <w:rPr>
                <w:rFonts w:ascii="宋体" w:hAnsi="宋体" w:eastAsia="宋体" w:cs="宋体"/>
                <w:spacing w:val="18"/>
                <w:sz w:val="20"/>
                <w:szCs w:val="20"/>
              </w:rPr>
              <w:t>中</w:t>
            </w:r>
            <w:r>
              <w:rPr>
                <w:rFonts w:ascii="宋体" w:hAnsi="宋体" w:eastAsia="宋体" w:cs="宋体"/>
                <w:spacing w:val="17"/>
                <w:sz w:val="20"/>
                <w:szCs w:val="20"/>
              </w:rPr>
              <w:t>标准限值要求 (即</w:t>
            </w:r>
            <w:r>
              <w:rPr>
                <w:rFonts w:ascii="宋体" w:hAnsi="宋体" w:eastAsia="宋体" w:cs="宋体"/>
                <w:sz w:val="20"/>
                <w:szCs w:val="20"/>
              </w:rPr>
              <w:t xml:space="preserve"> </w:t>
            </w:r>
            <w:r>
              <w:rPr>
                <w:rFonts w:ascii="Times New Roman" w:hAnsi="Times New Roman" w:eastAsia="Times New Roman" w:cs="Times New Roman"/>
                <w:sz w:val="20"/>
                <w:szCs w:val="20"/>
              </w:rPr>
              <w:t>NMHC</w:t>
            </w:r>
            <w:r>
              <w:rPr>
                <w:rFonts w:ascii="宋体" w:hAnsi="宋体" w:eastAsia="宋体" w:cs="宋体"/>
                <w:spacing w:val="21"/>
                <w:sz w:val="20"/>
                <w:szCs w:val="20"/>
              </w:rPr>
              <w:t>：</w:t>
            </w:r>
            <w:r>
              <w:rPr>
                <w:rFonts w:ascii="Times New Roman" w:hAnsi="Times New Roman" w:eastAsia="Times New Roman" w:cs="Times New Roman"/>
                <w:spacing w:val="18"/>
                <w:sz w:val="20"/>
                <w:szCs w:val="20"/>
              </w:rPr>
              <w:t>100</w:t>
            </w:r>
            <w:r>
              <w:rPr>
                <w:rFonts w:ascii="Times New Roman" w:hAnsi="Times New Roman" w:eastAsia="Times New Roman" w:cs="Times New Roman"/>
                <w:sz w:val="20"/>
                <w:szCs w:val="20"/>
              </w:rPr>
              <w:t>mg</w:t>
            </w:r>
            <w:r>
              <w:rPr>
                <w:rFonts w:ascii="Times New Roman" w:hAnsi="Times New Roman" w:eastAsia="Times New Roman" w:cs="Times New Roman"/>
                <w:spacing w:val="18"/>
                <w:sz w:val="20"/>
                <w:szCs w:val="20"/>
              </w:rPr>
              <w:t>/</w:t>
            </w:r>
            <w:r>
              <w:rPr>
                <w:rFonts w:ascii="Times New Roman" w:hAnsi="Times New Roman" w:eastAsia="Times New Roman" w:cs="Times New Roman"/>
                <w:sz w:val="20"/>
                <w:szCs w:val="20"/>
              </w:rPr>
              <w:t>m</w:t>
            </w:r>
            <w:r>
              <w:rPr>
                <w:rFonts w:ascii="Times New Roman" w:hAnsi="Times New Roman" w:eastAsia="Times New Roman" w:cs="Times New Roman"/>
                <w:spacing w:val="18"/>
                <w:position w:val="6"/>
                <w:sz w:val="13"/>
                <w:szCs w:val="13"/>
              </w:rPr>
              <w:t xml:space="preserve">3 </w:t>
            </w:r>
            <w:r>
              <w:rPr>
                <w:rFonts w:ascii="宋体" w:hAnsi="宋体" w:eastAsia="宋体" w:cs="宋体"/>
                <w:spacing w:val="18"/>
                <w:sz w:val="20"/>
                <w:szCs w:val="20"/>
              </w:rPr>
              <w:t>)</w:t>
            </w:r>
          </w:p>
        </w:tc>
      </w:tr>
      <w:tr w14:paraId="0F6A47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523" w:type="dxa"/>
            <w:vMerge w:val="continue"/>
            <w:tcBorders>
              <w:top w:val="nil"/>
              <w:left w:val="nil"/>
              <w:right w:val="single" w:color="000000" w:sz="4" w:space="0"/>
            </w:tcBorders>
            <w:vAlign w:val="top"/>
          </w:tcPr>
          <w:p w14:paraId="216AFA66">
            <w:pPr>
              <w:rPr>
                <w:rFonts w:ascii="Arial"/>
                <w:sz w:val="21"/>
              </w:rPr>
            </w:pPr>
          </w:p>
        </w:tc>
        <w:tc>
          <w:tcPr>
            <w:tcW w:w="1320" w:type="dxa"/>
            <w:tcBorders>
              <w:left w:val="single" w:color="000000" w:sz="4" w:space="0"/>
              <w:right w:val="single" w:color="000000" w:sz="4" w:space="0"/>
            </w:tcBorders>
            <w:vAlign w:val="top"/>
          </w:tcPr>
          <w:p w14:paraId="77DF6106">
            <w:pPr>
              <w:spacing w:before="216" w:line="228" w:lineRule="auto"/>
              <w:ind w:left="352"/>
              <w:rPr>
                <w:rFonts w:ascii="宋体" w:hAnsi="宋体" w:eastAsia="宋体" w:cs="宋体"/>
                <w:sz w:val="20"/>
                <w:szCs w:val="20"/>
              </w:rPr>
            </w:pPr>
            <w:r>
              <w:rPr>
                <w:rFonts w:ascii="宋体" w:hAnsi="宋体" w:eastAsia="宋体" w:cs="宋体"/>
                <w:spacing w:val="6"/>
                <w:sz w:val="20"/>
                <w:szCs w:val="20"/>
              </w:rPr>
              <w:t>热</w:t>
            </w:r>
            <w:r>
              <w:rPr>
                <w:rFonts w:ascii="宋体" w:hAnsi="宋体" w:eastAsia="宋体" w:cs="宋体"/>
                <w:spacing w:val="5"/>
                <w:sz w:val="20"/>
                <w:szCs w:val="20"/>
              </w:rPr>
              <w:t>风炉</w:t>
            </w:r>
          </w:p>
        </w:tc>
        <w:tc>
          <w:tcPr>
            <w:tcW w:w="1260" w:type="dxa"/>
            <w:tcBorders>
              <w:left w:val="single" w:color="000000" w:sz="4" w:space="0"/>
              <w:right w:val="single" w:color="000000" w:sz="4" w:space="0"/>
            </w:tcBorders>
            <w:vAlign w:val="top"/>
          </w:tcPr>
          <w:p w14:paraId="3DA8C9E1">
            <w:pPr>
              <w:spacing w:before="95" w:line="248" w:lineRule="auto"/>
              <w:ind w:left="472" w:right="18" w:hanging="451"/>
              <w:rPr>
                <w:rFonts w:ascii="Times New Roman" w:hAnsi="Times New Roman" w:eastAsia="Times New Roman" w:cs="Times New Roman"/>
                <w:sz w:val="13"/>
                <w:szCs w:val="13"/>
              </w:rPr>
            </w:pPr>
            <w:r>
              <w:rPr>
                <w:rFonts w:ascii="Times New Roman" w:hAnsi="Times New Roman" w:eastAsia="Times New Roman" w:cs="Times New Roman"/>
                <w:spacing w:val="-3"/>
                <w:sz w:val="20"/>
                <w:szCs w:val="20"/>
              </w:rPr>
              <w:t>PM</w:t>
            </w:r>
            <w:r>
              <w:rPr>
                <w:rFonts w:ascii="Times New Roman" w:hAnsi="Times New Roman" w:eastAsia="Times New Roman" w:cs="Times New Roman"/>
                <w:spacing w:val="-4"/>
                <w:position w:val="-1"/>
                <w:sz w:val="13"/>
                <w:szCs w:val="13"/>
              </w:rPr>
              <w:t>1</w:t>
            </w:r>
            <w:r>
              <w:rPr>
                <w:rFonts w:ascii="Times New Roman" w:hAnsi="Times New Roman" w:eastAsia="Times New Roman" w:cs="Times New Roman"/>
                <w:spacing w:val="-3"/>
                <w:position w:val="-1"/>
                <w:sz w:val="13"/>
                <w:szCs w:val="13"/>
              </w:rPr>
              <w:t xml:space="preserve">0 </w:t>
            </w:r>
            <w:r>
              <w:rPr>
                <w:rFonts w:ascii="宋体" w:hAnsi="宋体" w:eastAsia="宋体" w:cs="宋体"/>
                <w:spacing w:val="-3"/>
                <w:sz w:val="20"/>
                <w:szCs w:val="20"/>
              </w:rPr>
              <w:t>、</w:t>
            </w:r>
            <w:r>
              <w:rPr>
                <w:rFonts w:ascii="Times New Roman" w:hAnsi="Times New Roman" w:eastAsia="Times New Roman" w:cs="Times New Roman"/>
                <w:spacing w:val="-3"/>
                <w:sz w:val="20"/>
                <w:szCs w:val="20"/>
              </w:rPr>
              <w:t>NOx</w:t>
            </w:r>
            <w:r>
              <w:rPr>
                <w:rFonts w:ascii="宋体" w:hAnsi="宋体" w:eastAsia="宋体" w:cs="宋体"/>
                <w:spacing w:val="-3"/>
                <w:sz w:val="20"/>
                <w:szCs w:val="20"/>
              </w:rPr>
              <w:t>、</w:t>
            </w:r>
            <w:r>
              <w:rPr>
                <w:rFonts w:ascii="宋体" w:hAnsi="宋体" w:eastAsia="宋体" w:cs="宋体"/>
                <w:sz w:val="20"/>
                <w:szCs w:val="20"/>
              </w:rPr>
              <w:t xml:space="preserve"> </w:t>
            </w:r>
            <w:r>
              <w:rPr>
                <w:rFonts w:ascii="Times New Roman" w:hAnsi="Times New Roman" w:eastAsia="Times New Roman" w:cs="Times New Roman"/>
                <w:spacing w:val="-1"/>
                <w:sz w:val="20"/>
                <w:szCs w:val="20"/>
              </w:rPr>
              <w:t>S</w:t>
            </w:r>
            <w:r>
              <w:rPr>
                <w:rFonts w:ascii="Times New Roman" w:hAnsi="Times New Roman" w:eastAsia="Times New Roman" w:cs="Times New Roman"/>
                <w:sz w:val="20"/>
                <w:szCs w:val="20"/>
              </w:rPr>
              <w:t>O</w:t>
            </w:r>
            <w:r>
              <w:rPr>
                <w:rFonts w:ascii="Times New Roman" w:hAnsi="Times New Roman" w:eastAsia="Times New Roman" w:cs="Times New Roman"/>
                <w:spacing w:val="-1"/>
                <w:position w:val="-1"/>
                <w:sz w:val="13"/>
                <w:szCs w:val="13"/>
              </w:rPr>
              <w:t>2</w:t>
            </w:r>
          </w:p>
        </w:tc>
        <w:tc>
          <w:tcPr>
            <w:tcW w:w="3015" w:type="dxa"/>
            <w:tcBorders>
              <w:left w:val="single" w:color="000000" w:sz="4" w:space="0"/>
              <w:right w:val="single" w:color="000000" w:sz="4" w:space="0"/>
            </w:tcBorders>
            <w:vAlign w:val="top"/>
          </w:tcPr>
          <w:p w14:paraId="00DD5053">
            <w:pPr>
              <w:spacing w:before="59" w:line="258" w:lineRule="auto"/>
              <w:ind w:left="27" w:firstLine="2"/>
              <w:rPr>
                <w:rFonts w:ascii="宋体" w:hAnsi="宋体" w:eastAsia="宋体" w:cs="宋体"/>
                <w:sz w:val="20"/>
                <w:szCs w:val="20"/>
              </w:rPr>
            </w:pPr>
            <w:r>
              <w:rPr>
                <w:rFonts w:ascii="宋体" w:hAnsi="宋体" w:eastAsia="宋体" w:cs="宋体"/>
                <w:spacing w:val="2"/>
                <w:sz w:val="20"/>
                <w:szCs w:val="20"/>
              </w:rPr>
              <w:t xml:space="preserve">该项目洗字工序设有 </w:t>
            </w:r>
            <w:r>
              <w:rPr>
                <w:rFonts w:ascii="Times New Roman" w:hAnsi="Times New Roman" w:eastAsia="Times New Roman" w:cs="Times New Roman"/>
                <w:spacing w:val="2"/>
                <w:sz w:val="20"/>
                <w:szCs w:val="20"/>
              </w:rPr>
              <w:t>1</w:t>
            </w:r>
            <w:r>
              <w:rPr>
                <w:rFonts w:ascii="Times New Roman" w:hAnsi="Times New Roman" w:eastAsia="Times New Roman" w:cs="Times New Roman"/>
                <w:spacing w:val="1"/>
                <w:sz w:val="20"/>
                <w:szCs w:val="20"/>
              </w:rPr>
              <w:t xml:space="preserve"> </w:t>
            </w:r>
            <w:r>
              <w:rPr>
                <w:rFonts w:ascii="宋体" w:hAnsi="宋体" w:eastAsia="宋体" w:cs="宋体"/>
                <w:spacing w:val="1"/>
                <w:sz w:val="20"/>
                <w:szCs w:val="20"/>
              </w:rPr>
              <w:t>个容积为</w:t>
            </w:r>
            <w:r>
              <w:rPr>
                <w:rFonts w:ascii="宋体" w:hAnsi="宋体" w:eastAsia="宋体" w:cs="宋体"/>
                <w:sz w:val="20"/>
                <w:szCs w:val="20"/>
              </w:rPr>
              <w:t xml:space="preserve"> </w:t>
            </w:r>
            <w:r>
              <w:rPr>
                <w:rFonts w:ascii="Times New Roman" w:hAnsi="Times New Roman" w:eastAsia="Times New Roman" w:cs="Times New Roman"/>
                <w:spacing w:val="-4"/>
                <w:sz w:val="20"/>
                <w:szCs w:val="20"/>
              </w:rPr>
              <w:t>6</w:t>
            </w:r>
            <w:r>
              <w:rPr>
                <w:rFonts w:ascii="Times New Roman" w:hAnsi="Times New Roman" w:eastAsia="Times New Roman" w:cs="Times New Roman"/>
                <w:spacing w:val="-2"/>
                <w:sz w:val="20"/>
                <w:szCs w:val="20"/>
              </w:rPr>
              <w:t>m</w:t>
            </w:r>
            <w:r>
              <w:rPr>
                <w:rFonts w:ascii="Times New Roman" w:hAnsi="Times New Roman" w:eastAsia="Times New Roman" w:cs="Times New Roman"/>
                <w:spacing w:val="-4"/>
                <w:position w:val="6"/>
                <w:sz w:val="13"/>
                <w:szCs w:val="13"/>
              </w:rPr>
              <w:t xml:space="preserve">3 </w:t>
            </w:r>
            <w:r>
              <w:rPr>
                <w:rFonts w:ascii="宋体" w:hAnsi="宋体" w:eastAsia="宋体" w:cs="宋体"/>
                <w:spacing w:val="-4"/>
                <w:sz w:val="20"/>
                <w:szCs w:val="20"/>
              </w:rPr>
              <w:t>的洗字槽 (</w:t>
            </w:r>
            <w:r>
              <w:rPr>
                <w:rFonts w:ascii="Times New Roman" w:hAnsi="Times New Roman" w:eastAsia="Times New Roman" w:cs="Times New Roman"/>
                <w:spacing w:val="-2"/>
                <w:sz w:val="20"/>
                <w:szCs w:val="20"/>
              </w:rPr>
              <w:t>2.5m×1.2m×2m</w:t>
            </w:r>
            <w:r>
              <w:rPr>
                <w:rFonts w:ascii="宋体" w:hAnsi="宋体" w:eastAsia="宋体" w:cs="宋体"/>
                <w:spacing w:val="-2"/>
                <w:sz w:val="20"/>
                <w:szCs w:val="20"/>
              </w:rPr>
              <w:t>) ，</w:t>
            </w:r>
          </w:p>
        </w:tc>
        <w:tc>
          <w:tcPr>
            <w:tcW w:w="2233" w:type="dxa"/>
            <w:tcBorders>
              <w:left w:val="single" w:color="000000" w:sz="4" w:space="0"/>
              <w:right w:val="nil"/>
            </w:tcBorders>
            <w:vAlign w:val="top"/>
          </w:tcPr>
          <w:p w14:paraId="11B2B0E6">
            <w:pPr>
              <w:spacing w:before="60" w:line="258" w:lineRule="auto"/>
              <w:ind w:left="28" w:firstLine="64"/>
              <w:rPr>
                <w:rFonts w:ascii="宋体" w:hAnsi="宋体" w:eastAsia="宋体" w:cs="宋体"/>
                <w:sz w:val="20"/>
                <w:szCs w:val="20"/>
              </w:rPr>
            </w:pPr>
            <w:r>
              <w:rPr>
                <w:rFonts w:ascii="宋体" w:hAnsi="宋体" w:eastAsia="宋体" w:cs="宋体"/>
                <w:spacing w:val="-2"/>
                <w:sz w:val="20"/>
                <w:szCs w:val="20"/>
              </w:rPr>
              <w:t>《锅</w:t>
            </w:r>
            <w:r>
              <w:rPr>
                <w:rFonts w:ascii="宋体" w:hAnsi="宋体" w:eastAsia="宋体" w:cs="宋体"/>
                <w:spacing w:val="-1"/>
                <w:sz w:val="20"/>
                <w:szCs w:val="20"/>
              </w:rPr>
              <w:t>炉大气污染物排放</w:t>
            </w:r>
            <w:r>
              <w:rPr>
                <w:rFonts w:ascii="宋体" w:hAnsi="宋体" w:eastAsia="宋体" w:cs="宋体"/>
                <w:sz w:val="20"/>
                <w:szCs w:val="20"/>
              </w:rPr>
              <w:t xml:space="preserve"> </w:t>
            </w:r>
            <w:r>
              <w:rPr>
                <w:rFonts w:ascii="宋体" w:hAnsi="宋体" w:eastAsia="宋体" w:cs="宋体"/>
                <w:spacing w:val="-14"/>
                <w:sz w:val="20"/>
                <w:szCs w:val="20"/>
              </w:rPr>
              <w:t>标</w:t>
            </w:r>
            <w:r>
              <w:rPr>
                <w:rFonts w:ascii="宋体" w:hAnsi="宋体" w:eastAsia="宋体" w:cs="宋体"/>
                <w:spacing w:val="-10"/>
                <w:sz w:val="20"/>
                <w:szCs w:val="20"/>
              </w:rPr>
              <w:t>准</w:t>
            </w:r>
            <w:r>
              <w:rPr>
                <w:rFonts w:ascii="宋体" w:hAnsi="宋体" w:eastAsia="宋体" w:cs="宋体"/>
                <w:spacing w:val="-7"/>
                <w:sz w:val="20"/>
                <w:szCs w:val="20"/>
              </w:rPr>
              <w:t>》  (</w:t>
            </w:r>
            <w:r>
              <w:rPr>
                <w:rFonts w:ascii="Times New Roman" w:hAnsi="Times New Roman" w:eastAsia="Times New Roman" w:cs="Times New Roman"/>
                <w:spacing w:val="-7"/>
                <w:sz w:val="20"/>
                <w:szCs w:val="20"/>
              </w:rPr>
              <w:t>GB13271-2014</w:t>
            </w:r>
            <w:r>
              <w:rPr>
                <w:rFonts w:ascii="宋体" w:hAnsi="宋体" w:eastAsia="宋体" w:cs="宋体"/>
                <w:spacing w:val="-7"/>
                <w:sz w:val="20"/>
                <w:szCs w:val="20"/>
              </w:rPr>
              <w:t>)</w:t>
            </w:r>
          </w:p>
        </w:tc>
      </w:tr>
    </w:tbl>
    <w:p w14:paraId="756CCC9A">
      <w:pPr>
        <w:rPr>
          <w:rFonts w:ascii="Arial"/>
          <w:sz w:val="21"/>
        </w:rPr>
      </w:pPr>
    </w:p>
    <w:p w14:paraId="1541A2CF">
      <w:pPr>
        <w:sectPr>
          <w:headerReference r:id="rId322" w:type="default"/>
          <w:footerReference r:id="rId323" w:type="default"/>
          <w:pgSz w:w="11906" w:h="16839"/>
          <w:pgMar w:top="1132" w:right="1777" w:bottom="1182" w:left="1777" w:header="878" w:footer="1022" w:gutter="0"/>
          <w:cols w:space="720" w:num="1"/>
        </w:sectPr>
      </w:pPr>
    </w:p>
    <w:p w14:paraId="5842CE9C">
      <w:r>
        <w:pict>
          <v:rect id="_x0000_s1380" o:spid="_x0000_s1380" o:spt="1" style="position:absolute;left:0pt;margin-left:90pt;margin-top:57.35pt;height:0.75pt;width:415.3pt;mso-position-horizontal-relative:page;mso-position-vertical-relative:page;z-index:252076032;mso-width-relative:page;mso-height-relative:page;" fillcolor="#000000" filled="t" stroked="f" coordsize="21600,21600" o:allowincell="f">
            <v:path/>
            <v:fill on="t" focussize="0,0"/>
            <v:stroke on="f"/>
            <v:imagedata o:title=""/>
            <o:lock v:ext="edit"/>
          </v:rect>
        </w:pict>
      </w:r>
    </w:p>
    <w:p w14:paraId="60C3FBBC">
      <w:pPr>
        <w:spacing w:line="65" w:lineRule="exact"/>
      </w:pPr>
    </w:p>
    <w:tbl>
      <w:tblPr>
        <w:tblStyle w:val="4"/>
        <w:tblW w:w="835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23"/>
        <w:gridCol w:w="1320"/>
        <w:gridCol w:w="1260"/>
        <w:gridCol w:w="3015"/>
        <w:gridCol w:w="2233"/>
      </w:tblGrid>
      <w:tr w14:paraId="6A5ED7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0" w:hRule="atLeast"/>
        </w:trPr>
        <w:tc>
          <w:tcPr>
            <w:tcW w:w="523" w:type="dxa"/>
            <w:tcBorders>
              <w:left w:val="nil"/>
              <w:right w:val="single" w:color="000000" w:sz="4" w:space="0"/>
            </w:tcBorders>
            <w:vAlign w:val="top"/>
          </w:tcPr>
          <w:p w14:paraId="5AA782EA">
            <w:pPr>
              <w:rPr>
                <w:rFonts w:ascii="Arial"/>
                <w:sz w:val="21"/>
              </w:rPr>
            </w:pPr>
          </w:p>
        </w:tc>
        <w:tc>
          <w:tcPr>
            <w:tcW w:w="1320" w:type="dxa"/>
            <w:tcBorders>
              <w:left w:val="single" w:color="000000" w:sz="4" w:space="0"/>
              <w:right w:val="single" w:color="000000" w:sz="4" w:space="0"/>
            </w:tcBorders>
            <w:vAlign w:val="top"/>
          </w:tcPr>
          <w:p w14:paraId="728DA9AC">
            <w:pPr>
              <w:rPr>
                <w:rFonts w:ascii="Arial"/>
                <w:sz w:val="21"/>
              </w:rPr>
            </w:pPr>
          </w:p>
        </w:tc>
        <w:tc>
          <w:tcPr>
            <w:tcW w:w="1260" w:type="dxa"/>
            <w:tcBorders>
              <w:left w:val="single" w:color="000000" w:sz="4" w:space="0"/>
              <w:right w:val="single" w:color="000000" w:sz="4" w:space="0"/>
            </w:tcBorders>
            <w:vAlign w:val="top"/>
          </w:tcPr>
          <w:p w14:paraId="6335D429">
            <w:pPr>
              <w:rPr>
                <w:rFonts w:ascii="Arial"/>
                <w:sz w:val="21"/>
              </w:rPr>
            </w:pPr>
          </w:p>
        </w:tc>
        <w:tc>
          <w:tcPr>
            <w:tcW w:w="3015" w:type="dxa"/>
            <w:tcBorders>
              <w:left w:val="single" w:color="000000" w:sz="4" w:space="0"/>
              <w:right w:val="single" w:color="000000" w:sz="4" w:space="0"/>
            </w:tcBorders>
            <w:vAlign w:val="top"/>
          </w:tcPr>
          <w:p w14:paraId="0313FE3D">
            <w:pPr>
              <w:spacing w:before="26" w:line="284" w:lineRule="auto"/>
              <w:ind w:left="26" w:right="17"/>
              <w:rPr>
                <w:rFonts w:ascii="宋体" w:hAnsi="宋体" w:eastAsia="宋体" w:cs="宋体"/>
                <w:sz w:val="20"/>
                <w:szCs w:val="20"/>
              </w:rPr>
            </w:pPr>
            <w:r>
              <w:rPr>
                <w:rFonts w:ascii="宋体" w:hAnsi="宋体" w:eastAsia="宋体" w:cs="宋体"/>
                <w:spacing w:val="4"/>
                <w:sz w:val="20"/>
                <w:szCs w:val="20"/>
              </w:rPr>
              <w:t xml:space="preserve">配套设有 </w:t>
            </w: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 xml:space="preserve"> </w:t>
            </w:r>
            <w:r>
              <w:rPr>
                <w:rFonts w:ascii="宋体" w:hAnsi="宋体" w:eastAsia="宋体" w:cs="宋体"/>
                <w:spacing w:val="2"/>
                <w:sz w:val="20"/>
                <w:szCs w:val="20"/>
              </w:rPr>
              <w:t xml:space="preserve">台 </w:t>
            </w:r>
            <w:r>
              <w:rPr>
                <w:rFonts w:ascii="Times New Roman" w:hAnsi="Times New Roman" w:eastAsia="Times New Roman" w:cs="Times New Roman"/>
                <w:spacing w:val="2"/>
                <w:sz w:val="20"/>
                <w:szCs w:val="20"/>
              </w:rPr>
              <w:t>2</w:t>
            </w:r>
            <w:r>
              <w:rPr>
                <w:rFonts w:ascii="Times New Roman" w:hAnsi="Times New Roman" w:eastAsia="Times New Roman" w:cs="Times New Roman"/>
                <w:sz w:val="20"/>
                <w:szCs w:val="20"/>
              </w:rPr>
              <w:t>t</w:t>
            </w:r>
            <w:r>
              <w:rPr>
                <w:rFonts w:ascii="Times New Roman" w:hAnsi="Times New Roman" w:eastAsia="Times New Roman" w:cs="Times New Roman"/>
                <w:spacing w:val="2"/>
                <w:sz w:val="20"/>
                <w:szCs w:val="20"/>
              </w:rPr>
              <w:t>/</w:t>
            </w:r>
            <w:r>
              <w:rPr>
                <w:rFonts w:ascii="Times New Roman" w:hAnsi="Times New Roman" w:eastAsia="Times New Roman" w:cs="Times New Roman"/>
                <w:sz w:val="20"/>
                <w:szCs w:val="20"/>
              </w:rPr>
              <w:t>h</w:t>
            </w:r>
            <w:r>
              <w:rPr>
                <w:rFonts w:ascii="Times New Roman" w:hAnsi="Times New Roman" w:eastAsia="Times New Roman" w:cs="Times New Roman"/>
                <w:spacing w:val="2"/>
                <w:sz w:val="20"/>
                <w:szCs w:val="20"/>
              </w:rPr>
              <w:t xml:space="preserve"> </w:t>
            </w:r>
            <w:r>
              <w:rPr>
                <w:rFonts w:ascii="宋体" w:hAnsi="宋体" w:eastAsia="宋体" w:cs="宋体"/>
                <w:spacing w:val="2"/>
                <w:sz w:val="20"/>
                <w:szCs w:val="20"/>
              </w:rPr>
              <w:t>的热风炉，产</w:t>
            </w:r>
            <w:r>
              <w:rPr>
                <w:rFonts w:ascii="宋体" w:hAnsi="宋体" w:eastAsia="宋体" w:cs="宋体"/>
                <w:sz w:val="20"/>
                <w:szCs w:val="20"/>
              </w:rPr>
              <w:t xml:space="preserve"> </w:t>
            </w:r>
            <w:r>
              <w:rPr>
                <w:rFonts w:ascii="宋体" w:hAnsi="宋体" w:eastAsia="宋体" w:cs="宋体"/>
                <w:spacing w:val="17"/>
                <w:sz w:val="20"/>
                <w:szCs w:val="20"/>
              </w:rPr>
              <w:t>生</w:t>
            </w:r>
            <w:r>
              <w:rPr>
                <w:rFonts w:ascii="宋体" w:hAnsi="宋体" w:eastAsia="宋体" w:cs="宋体"/>
                <w:spacing w:val="11"/>
                <w:sz w:val="20"/>
                <w:szCs w:val="20"/>
              </w:rPr>
              <w:t>的废气经配套的布袋除尘器处</w:t>
            </w:r>
            <w:r>
              <w:rPr>
                <w:rFonts w:ascii="宋体" w:hAnsi="宋体" w:eastAsia="宋体" w:cs="宋体"/>
                <w:sz w:val="20"/>
                <w:szCs w:val="20"/>
              </w:rPr>
              <w:t xml:space="preserve"> </w:t>
            </w:r>
            <w:r>
              <w:rPr>
                <w:rFonts w:ascii="宋体" w:hAnsi="宋体" w:eastAsia="宋体" w:cs="宋体"/>
                <w:spacing w:val="1"/>
                <w:sz w:val="20"/>
                <w:szCs w:val="20"/>
              </w:rPr>
              <w:t xml:space="preserve">理后，通过 </w:t>
            </w:r>
            <w:r>
              <w:rPr>
                <w:rFonts w:ascii="Times New Roman" w:hAnsi="Times New Roman" w:eastAsia="Times New Roman" w:cs="Times New Roman"/>
                <w:spacing w:val="1"/>
                <w:sz w:val="20"/>
                <w:szCs w:val="20"/>
              </w:rPr>
              <w:t xml:space="preserve">1 </w:t>
            </w:r>
            <w:r>
              <w:rPr>
                <w:rFonts w:ascii="宋体" w:hAnsi="宋体" w:eastAsia="宋体" w:cs="宋体"/>
                <w:spacing w:val="1"/>
                <w:sz w:val="20"/>
                <w:szCs w:val="20"/>
              </w:rPr>
              <w:t xml:space="preserve">个 </w:t>
            </w:r>
            <w:r>
              <w:rPr>
                <w:rFonts w:ascii="Times New Roman" w:hAnsi="Times New Roman" w:eastAsia="Times New Roman" w:cs="Times New Roman"/>
                <w:sz w:val="20"/>
                <w:szCs w:val="20"/>
              </w:rPr>
              <w:t>3#</w:t>
            </w:r>
            <w:r>
              <w:rPr>
                <w:rFonts w:ascii="宋体" w:hAnsi="宋体" w:eastAsia="宋体" w:cs="宋体"/>
                <w:sz w:val="20"/>
                <w:szCs w:val="20"/>
              </w:rPr>
              <w:t xml:space="preserve">排气筒进行排 </w:t>
            </w:r>
            <w:r>
              <w:rPr>
                <w:rFonts w:ascii="宋体" w:hAnsi="宋体" w:eastAsia="宋体" w:cs="宋体"/>
                <w:spacing w:val="6"/>
                <w:sz w:val="20"/>
                <w:szCs w:val="20"/>
              </w:rPr>
              <w:t xml:space="preserve">放，排气筒高度为 </w:t>
            </w:r>
            <w:r>
              <w:rPr>
                <w:rFonts w:ascii="Times New Roman" w:hAnsi="Times New Roman" w:eastAsia="Times New Roman" w:cs="Times New Roman"/>
                <w:spacing w:val="6"/>
                <w:sz w:val="20"/>
                <w:szCs w:val="20"/>
              </w:rPr>
              <w:t>30</w:t>
            </w:r>
            <w:r>
              <w:rPr>
                <w:rFonts w:ascii="Times New Roman" w:hAnsi="Times New Roman" w:eastAsia="Times New Roman" w:cs="Times New Roman"/>
                <w:sz w:val="20"/>
                <w:szCs w:val="20"/>
              </w:rPr>
              <w:t>m</w:t>
            </w:r>
            <w:r>
              <w:rPr>
                <w:rFonts w:ascii="Times New Roman" w:hAnsi="Times New Roman" w:eastAsia="Times New Roman" w:cs="Times New Roman"/>
                <w:spacing w:val="6"/>
                <w:sz w:val="20"/>
                <w:szCs w:val="20"/>
              </w:rPr>
              <w:t xml:space="preserve">  </w:t>
            </w:r>
            <w:r>
              <w:rPr>
                <w:rFonts w:ascii="宋体" w:hAnsi="宋体" w:eastAsia="宋体" w:cs="宋体"/>
                <w:spacing w:val="6"/>
                <w:sz w:val="20"/>
                <w:szCs w:val="20"/>
              </w:rPr>
              <w:t>(新建锅</w:t>
            </w:r>
            <w:r>
              <w:rPr>
                <w:rFonts w:ascii="宋体" w:hAnsi="宋体" w:eastAsia="宋体" w:cs="宋体"/>
                <w:sz w:val="20"/>
                <w:szCs w:val="20"/>
              </w:rPr>
              <w:t xml:space="preserve"> </w:t>
            </w:r>
            <w:r>
              <w:rPr>
                <w:rFonts w:ascii="宋体" w:hAnsi="宋体" w:eastAsia="宋体" w:cs="宋体"/>
                <w:spacing w:val="17"/>
                <w:sz w:val="20"/>
                <w:szCs w:val="20"/>
              </w:rPr>
              <w:t>炉</w:t>
            </w:r>
            <w:r>
              <w:rPr>
                <w:rFonts w:ascii="宋体" w:hAnsi="宋体" w:eastAsia="宋体" w:cs="宋体"/>
                <w:spacing w:val="9"/>
                <w:sz w:val="20"/>
                <w:szCs w:val="20"/>
              </w:rPr>
              <w:t xml:space="preserve">房的烟囱周围半径 </w:t>
            </w:r>
            <w:r>
              <w:rPr>
                <w:rFonts w:ascii="Times New Roman" w:hAnsi="Times New Roman" w:eastAsia="Times New Roman" w:cs="Times New Roman"/>
                <w:spacing w:val="9"/>
                <w:sz w:val="20"/>
                <w:szCs w:val="20"/>
              </w:rPr>
              <w:t>200</w:t>
            </w:r>
            <w:r>
              <w:rPr>
                <w:rFonts w:ascii="Times New Roman" w:hAnsi="Times New Roman" w:eastAsia="Times New Roman" w:cs="Times New Roman"/>
                <w:sz w:val="20"/>
                <w:szCs w:val="20"/>
              </w:rPr>
              <w:t>m</w:t>
            </w:r>
            <w:r>
              <w:rPr>
                <w:rFonts w:ascii="Times New Roman" w:hAnsi="Times New Roman" w:eastAsia="Times New Roman" w:cs="Times New Roman"/>
                <w:spacing w:val="9"/>
                <w:sz w:val="20"/>
                <w:szCs w:val="20"/>
              </w:rPr>
              <w:t xml:space="preserve"> </w:t>
            </w:r>
            <w:r>
              <w:rPr>
                <w:rFonts w:ascii="宋体" w:hAnsi="宋体" w:eastAsia="宋体" w:cs="宋体"/>
                <w:spacing w:val="9"/>
                <w:sz w:val="20"/>
                <w:szCs w:val="20"/>
              </w:rPr>
              <w:t>距离</w:t>
            </w:r>
            <w:r>
              <w:rPr>
                <w:rFonts w:ascii="宋体" w:hAnsi="宋体" w:eastAsia="宋体" w:cs="宋体"/>
                <w:sz w:val="20"/>
                <w:szCs w:val="20"/>
              </w:rPr>
              <w:t xml:space="preserve"> </w:t>
            </w:r>
            <w:r>
              <w:rPr>
                <w:rFonts w:ascii="宋体" w:hAnsi="宋体" w:eastAsia="宋体" w:cs="宋体"/>
                <w:spacing w:val="17"/>
                <w:sz w:val="20"/>
                <w:szCs w:val="20"/>
              </w:rPr>
              <w:t>内</w:t>
            </w:r>
            <w:r>
              <w:rPr>
                <w:rFonts w:ascii="宋体" w:hAnsi="宋体" w:eastAsia="宋体" w:cs="宋体"/>
                <w:spacing w:val="11"/>
                <w:sz w:val="20"/>
                <w:szCs w:val="20"/>
              </w:rPr>
              <w:t>有建筑物时，其烟囱应高出最</w:t>
            </w:r>
            <w:r>
              <w:rPr>
                <w:rFonts w:ascii="宋体" w:hAnsi="宋体" w:eastAsia="宋体" w:cs="宋体"/>
                <w:sz w:val="20"/>
                <w:szCs w:val="20"/>
              </w:rPr>
              <w:t xml:space="preserve"> </w:t>
            </w:r>
            <w:r>
              <w:rPr>
                <w:rFonts w:ascii="宋体" w:hAnsi="宋体" w:eastAsia="宋体" w:cs="宋体"/>
                <w:spacing w:val="4"/>
                <w:sz w:val="20"/>
                <w:szCs w:val="20"/>
              </w:rPr>
              <w:t>高建</w:t>
            </w:r>
            <w:r>
              <w:rPr>
                <w:rFonts w:ascii="宋体" w:hAnsi="宋体" w:eastAsia="宋体" w:cs="宋体"/>
                <w:spacing w:val="2"/>
                <w:sz w:val="20"/>
                <w:szCs w:val="20"/>
              </w:rPr>
              <w:t xml:space="preserve">筑物 </w:t>
            </w:r>
            <w:r>
              <w:rPr>
                <w:rFonts w:ascii="Times New Roman" w:hAnsi="Times New Roman" w:eastAsia="Times New Roman" w:cs="Times New Roman"/>
                <w:spacing w:val="2"/>
                <w:sz w:val="20"/>
                <w:szCs w:val="20"/>
              </w:rPr>
              <w:t>3</w:t>
            </w:r>
            <w:r>
              <w:rPr>
                <w:rFonts w:ascii="Times New Roman" w:hAnsi="Times New Roman" w:eastAsia="Times New Roman" w:cs="Times New Roman"/>
                <w:sz w:val="20"/>
                <w:szCs w:val="20"/>
              </w:rPr>
              <w:t>m</w:t>
            </w:r>
            <w:r>
              <w:rPr>
                <w:rFonts w:ascii="Times New Roman" w:hAnsi="Times New Roman" w:eastAsia="Times New Roman" w:cs="Times New Roman"/>
                <w:spacing w:val="2"/>
                <w:sz w:val="20"/>
                <w:szCs w:val="20"/>
              </w:rPr>
              <w:t xml:space="preserve"> </w:t>
            </w:r>
            <w:r>
              <w:rPr>
                <w:rFonts w:ascii="宋体" w:hAnsi="宋体" w:eastAsia="宋体" w:cs="宋体"/>
                <w:spacing w:val="2"/>
                <w:sz w:val="20"/>
                <w:szCs w:val="20"/>
              </w:rPr>
              <w:t>以上) 。</w:t>
            </w:r>
          </w:p>
        </w:tc>
        <w:tc>
          <w:tcPr>
            <w:tcW w:w="2233" w:type="dxa"/>
            <w:tcBorders>
              <w:left w:val="single" w:color="000000" w:sz="4" w:space="0"/>
              <w:right w:val="nil"/>
            </w:tcBorders>
            <w:vAlign w:val="top"/>
          </w:tcPr>
          <w:p w14:paraId="4E5832C6">
            <w:pPr>
              <w:spacing w:before="61" w:line="228" w:lineRule="auto"/>
              <w:ind w:left="399"/>
              <w:rPr>
                <w:rFonts w:ascii="宋体" w:hAnsi="宋体" w:eastAsia="宋体" w:cs="宋体"/>
                <w:sz w:val="20"/>
                <w:szCs w:val="20"/>
              </w:rPr>
            </w:pPr>
            <w:r>
              <w:rPr>
                <w:rFonts w:ascii="宋体" w:hAnsi="宋体" w:eastAsia="宋体" w:cs="宋体"/>
                <w:spacing w:val="-2"/>
                <w:sz w:val="20"/>
                <w:szCs w:val="20"/>
              </w:rPr>
              <w:t xml:space="preserve">表 </w:t>
            </w:r>
            <w:r>
              <w:rPr>
                <w:rFonts w:ascii="Times New Roman" w:hAnsi="Times New Roman" w:eastAsia="Times New Roman" w:cs="Times New Roman"/>
                <w:spacing w:val="-2"/>
                <w:sz w:val="20"/>
                <w:szCs w:val="20"/>
              </w:rPr>
              <w:t xml:space="preserve">3 </w:t>
            </w:r>
            <w:r>
              <w:rPr>
                <w:rFonts w:ascii="宋体" w:hAnsi="宋体" w:eastAsia="宋体" w:cs="宋体"/>
                <w:spacing w:val="-2"/>
                <w:sz w:val="20"/>
                <w:szCs w:val="20"/>
              </w:rPr>
              <w:t>中标</w:t>
            </w:r>
            <w:r>
              <w:rPr>
                <w:rFonts w:ascii="宋体" w:hAnsi="宋体" w:eastAsia="宋体" w:cs="宋体"/>
                <w:spacing w:val="-1"/>
                <w:sz w:val="20"/>
                <w:szCs w:val="20"/>
              </w:rPr>
              <w:t>准要求</w:t>
            </w:r>
          </w:p>
        </w:tc>
      </w:tr>
      <w:tr w14:paraId="308435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523" w:type="dxa"/>
            <w:vMerge w:val="restart"/>
            <w:tcBorders>
              <w:left w:val="nil"/>
              <w:bottom w:val="nil"/>
              <w:right w:val="single" w:color="000000" w:sz="4" w:space="0"/>
            </w:tcBorders>
            <w:vAlign w:val="top"/>
          </w:tcPr>
          <w:p w14:paraId="13BE2F38">
            <w:pPr>
              <w:spacing w:line="251" w:lineRule="auto"/>
              <w:rPr>
                <w:rFonts w:ascii="Arial"/>
                <w:sz w:val="21"/>
              </w:rPr>
            </w:pPr>
          </w:p>
          <w:p w14:paraId="0BFCEDBF">
            <w:pPr>
              <w:spacing w:line="251" w:lineRule="auto"/>
              <w:rPr>
                <w:rFonts w:ascii="Arial"/>
                <w:sz w:val="21"/>
              </w:rPr>
            </w:pPr>
          </w:p>
          <w:p w14:paraId="7A743CA6">
            <w:pPr>
              <w:spacing w:line="251" w:lineRule="auto"/>
              <w:rPr>
                <w:rFonts w:ascii="Arial"/>
                <w:sz w:val="21"/>
              </w:rPr>
            </w:pPr>
          </w:p>
          <w:p w14:paraId="4CBE00BF">
            <w:pPr>
              <w:spacing w:line="251" w:lineRule="auto"/>
              <w:rPr>
                <w:rFonts w:ascii="Arial"/>
                <w:sz w:val="21"/>
              </w:rPr>
            </w:pPr>
          </w:p>
          <w:p w14:paraId="4FE23C4B">
            <w:pPr>
              <w:spacing w:line="252" w:lineRule="auto"/>
              <w:rPr>
                <w:rFonts w:ascii="Arial"/>
                <w:sz w:val="21"/>
              </w:rPr>
            </w:pPr>
          </w:p>
          <w:p w14:paraId="306FD8AC">
            <w:pPr>
              <w:spacing w:line="252" w:lineRule="auto"/>
              <w:rPr>
                <w:rFonts w:ascii="Arial"/>
                <w:sz w:val="21"/>
              </w:rPr>
            </w:pPr>
          </w:p>
          <w:p w14:paraId="32886B45">
            <w:pPr>
              <w:spacing w:line="252" w:lineRule="auto"/>
              <w:rPr>
                <w:rFonts w:ascii="Arial"/>
                <w:sz w:val="21"/>
              </w:rPr>
            </w:pPr>
          </w:p>
          <w:p w14:paraId="04A31EDA">
            <w:pPr>
              <w:spacing w:line="252" w:lineRule="auto"/>
              <w:rPr>
                <w:rFonts w:ascii="Arial"/>
                <w:sz w:val="21"/>
              </w:rPr>
            </w:pPr>
          </w:p>
          <w:p w14:paraId="7E04CA7E">
            <w:pPr>
              <w:spacing w:before="65" w:line="228" w:lineRule="auto"/>
              <w:ind w:left="59"/>
              <w:rPr>
                <w:rFonts w:ascii="宋体" w:hAnsi="宋体" w:eastAsia="宋体" w:cs="宋体"/>
                <w:sz w:val="20"/>
                <w:szCs w:val="20"/>
              </w:rPr>
            </w:pPr>
            <w:r>
              <w:rPr>
                <w:rFonts w:ascii="宋体" w:hAnsi="宋体" w:eastAsia="宋体" w:cs="宋体"/>
                <w:spacing w:val="5"/>
                <w:sz w:val="20"/>
                <w:szCs w:val="20"/>
              </w:rPr>
              <w:t>废水</w:t>
            </w:r>
          </w:p>
        </w:tc>
        <w:tc>
          <w:tcPr>
            <w:tcW w:w="1320" w:type="dxa"/>
            <w:tcBorders>
              <w:left w:val="single" w:color="000000" w:sz="4" w:space="0"/>
              <w:right w:val="single" w:color="000000" w:sz="4" w:space="0"/>
            </w:tcBorders>
            <w:vAlign w:val="top"/>
          </w:tcPr>
          <w:p w14:paraId="03BE964B">
            <w:pPr>
              <w:spacing w:before="210" w:line="228" w:lineRule="auto"/>
              <w:ind w:left="352"/>
              <w:rPr>
                <w:rFonts w:ascii="宋体" w:hAnsi="宋体" w:eastAsia="宋体" w:cs="宋体"/>
                <w:sz w:val="20"/>
                <w:szCs w:val="20"/>
              </w:rPr>
            </w:pPr>
            <w:r>
              <w:rPr>
                <w:rFonts w:ascii="宋体" w:hAnsi="宋体" w:eastAsia="宋体" w:cs="宋体"/>
                <w:spacing w:val="6"/>
                <w:sz w:val="20"/>
                <w:szCs w:val="20"/>
              </w:rPr>
              <w:t>办</w:t>
            </w:r>
            <w:r>
              <w:rPr>
                <w:rFonts w:ascii="宋体" w:hAnsi="宋体" w:eastAsia="宋体" w:cs="宋体"/>
                <w:spacing w:val="5"/>
                <w:sz w:val="20"/>
                <w:szCs w:val="20"/>
              </w:rPr>
              <w:t>公室</w:t>
            </w:r>
          </w:p>
        </w:tc>
        <w:tc>
          <w:tcPr>
            <w:tcW w:w="1260" w:type="dxa"/>
            <w:tcBorders>
              <w:left w:val="single" w:color="000000" w:sz="4" w:space="0"/>
              <w:right w:val="single" w:color="000000" w:sz="4" w:space="0"/>
            </w:tcBorders>
            <w:vAlign w:val="top"/>
          </w:tcPr>
          <w:p w14:paraId="25BB0348">
            <w:pPr>
              <w:spacing w:before="90" w:line="241" w:lineRule="auto"/>
              <w:ind w:left="201" w:right="194" w:firstLine="2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CODc</w:t>
            </w:r>
            <w:r>
              <w:rPr>
                <w:rFonts w:ascii="Times New Roman" w:hAnsi="Times New Roman" w:eastAsia="Times New Roman" w:cs="Times New Roman"/>
                <w:sz w:val="20"/>
                <w:szCs w:val="20"/>
              </w:rPr>
              <w:t>r</w:t>
            </w:r>
            <w:r>
              <w:rPr>
                <w:rFonts w:ascii="Times New Roman" w:hAnsi="Times New Roman" w:eastAsia="Times New Roman" w:cs="Times New Roman"/>
                <w:spacing w:val="-1"/>
                <w:sz w:val="20"/>
                <w:szCs w:val="20"/>
              </w:rPr>
              <w:t xml:space="preserve"> </w:t>
            </w:r>
            <w:r>
              <w:rPr>
                <w:rFonts w:ascii="宋体" w:hAnsi="宋体" w:eastAsia="宋体" w:cs="宋体"/>
                <w:spacing w:val="-1"/>
                <w:sz w:val="20"/>
                <w:szCs w:val="20"/>
              </w:rPr>
              <w:t>、</w:t>
            </w:r>
            <w:r>
              <w:rPr>
                <w:rFonts w:ascii="宋体" w:hAnsi="宋体" w:eastAsia="宋体" w:cs="宋体"/>
                <w:sz w:val="20"/>
                <w:szCs w:val="20"/>
              </w:rPr>
              <w:t xml:space="preserve"> </w:t>
            </w:r>
            <w:r>
              <w:rPr>
                <w:rFonts w:ascii="宋体" w:hAnsi="宋体" w:eastAsia="宋体" w:cs="宋体"/>
                <w:spacing w:val="11"/>
                <w:sz w:val="20"/>
                <w:szCs w:val="20"/>
              </w:rPr>
              <w:t>氨</w:t>
            </w:r>
            <w:r>
              <w:rPr>
                <w:rFonts w:ascii="宋体" w:hAnsi="宋体" w:eastAsia="宋体" w:cs="宋体"/>
                <w:spacing w:val="10"/>
                <w:sz w:val="20"/>
                <w:szCs w:val="20"/>
              </w:rPr>
              <w:t>氮、</w:t>
            </w:r>
            <w:r>
              <w:rPr>
                <w:rFonts w:ascii="Times New Roman" w:hAnsi="Times New Roman" w:eastAsia="Times New Roman" w:cs="Times New Roman"/>
                <w:sz w:val="20"/>
                <w:szCs w:val="20"/>
              </w:rPr>
              <w:t>SS</w:t>
            </w:r>
          </w:p>
        </w:tc>
        <w:tc>
          <w:tcPr>
            <w:tcW w:w="3015" w:type="dxa"/>
            <w:tcBorders>
              <w:left w:val="single" w:color="000000" w:sz="4" w:space="0"/>
              <w:right w:val="single" w:color="000000" w:sz="4" w:space="0"/>
            </w:tcBorders>
            <w:vAlign w:val="top"/>
          </w:tcPr>
          <w:p w14:paraId="6BCC8240">
            <w:pPr>
              <w:spacing w:before="54" w:line="258" w:lineRule="auto"/>
              <w:ind w:left="27" w:right="8" w:firstLine="2"/>
              <w:rPr>
                <w:rFonts w:ascii="宋体" w:hAnsi="宋体" w:eastAsia="宋体" w:cs="宋体"/>
                <w:sz w:val="20"/>
                <w:szCs w:val="20"/>
              </w:rPr>
            </w:pPr>
            <w:r>
              <w:rPr>
                <w:rFonts w:ascii="宋体" w:hAnsi="宋体" w:eastAsia="宋体" w:cs="宋体"/>
                <w:spacing w:val="-4"/>
                <w:sz w:val="20"/>
                <w:szCs w:val="20"/>
              </w:rPr>
              <w:t>项</w:t>
            </w:r>
            <w:r>
              <w:rPr>
                <w:rFonts w:ascii="宋体" w:hAnsi="宋体" w:eastAsia="宋体" w:cs="宋体"/>
                <w:spacing w:val="-3"/>
                <w:sz w:val="20"/>
                <w:szCs w:val="20"/>
              </w:rPr>
              <w:t>目</w:t>
            </w:r>
            <w:r>
              <w:rPr>
                <w:rFonts w:ascii="宋体" w:hAnsi="宋体" w:eastAsia="宋体" w:cs="宋体"/>
                <w:spacing w:val="-2"/>
                <w:sz w:val="20"/>
                <w:szCs w:val="20"/>
              </w:rPr>
              <w:t>在厂区东南侧设有旱厕，员工</w:t>
            </w:r>
            <w:r>
              <w:rPr>
                <w:rFonts w:ascii="宋体" w:hAnsi="宋体" w:eastAsia="宋体" w:cs="宋体"/>
                <w:sz w:val="20"/>
                <w:szCs w:val="20"/>
              </w:rPr>
              <w:t xml:space="preserve"> </w:t>
            </w:r>
            <w:r>
              <w:rPr>
                <w:rFonts w:ascii="宋体" w:hAnsi="宋体" w:eastAsia="宋体" w:cs="宋体"/>
                <w:spacing w:val="-2"/>
                <w:sz w:val="20"/>
                <w:szCs w:val="20"/>
              </w:rPr>
              <w:t>使用防渗旱厕，定期</w:t>
            </w:r>
            <w:r>
              <w:rPr>
                <w:rFonts w:ascii="宋体" w:hAnsi="宋体" w:eastAsia="宋体" w:cs="宋体"/>
                <w:spacing w:val="-1"/>
                <w:sz w:val="20"/>
                <w:szCs w:val="20"/>
              </w:rPr>
              <w:t>清掏。</w:t>
            </w:r>
          </w:p>
        </w:tc>
        <w:tc>
          <w:tcPr>
            <w:tcW w:w="2233" w:type="dxa"/>
            <w:tcBorders>
              <w:left w:val="single" w:color="000000" w:sz="4" w:space="0"/>
              <w:right w:val="nil"/>
            </w:tcBorders>
            <w:vAlign w:val="top"/>
          </w:tcPr>
          <w:p w14:paraId="071F0C45">
            <w:pPr>
              <w:spacing w:before="211" w:line="228" w:lineRule="auto"/>
              <w:ind w:left="809"/>
              <w:rPr>
                <w:rFonts w:ascii="宋体" w:hAnsi="宋体" w:eastAsia="宋体" w:cs="宋体"/>
                <w:sz w:val="20"/>
                <w:szCs w:val="20"/>
              </w:rPr>
            </w:pPr>
            <w:r>
              <w:rPr>
                <w:rFonts w:ascii="宋体" w:hAnsi="宋体" w:eastAsia="宋体" w:cs="宋体"/>
                <w:spacing w:val="6"/>
                <w:sz w:val="20"/>
                <w:szCs w:val="20"/>
              </w:rPr>
              <w:t>不外</w:t>
            </w:r>
            <w:r>
              <w:rPr>
                <w:rFonts w:ascii="宋体" w:hAnsi="宋体" w:eastAsia="宋体" w:cs="宋体"/>
                <w:spacing w:val="5"/>
                <w:sz w:val="20"/>
                <w:szCs w:val="20"/>
              </w:rPr>
              <w:t>排</w:t>
            </w:r>
          </w:p>
        </w:tc>
      </w:tr>
      <w:tr w14:paraId="7CC4B0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4" w:hRule="atLeast"/>
        </w:trPr>
        <w:tc>
          <w:tcPr>
            <w:tcW w:w="523" w:type="dxa"/>
            <w:vMerge w:val="continue"/>
            <w:tcBorders>
              <w:top w:val="nil"/>
              <w:left w:val="nil"/>
              <w:right w:val="single" w:color="000000" w:sz="4" w:space="0"/>
            </w:tcBorders>
            <w:vAlign w:val="top"/>
          </w:tcPr>
          <w:p w14:paraId="3B7B8B6F">
            <w:pPr>
              <w:rPr>
                <w:rFonts w:ascii="Arial"/>
                <w:sz w:val="21"/>
              </w:rPr>
            </w:pPr>
          </w:p>
        </w:tc>
        <w:tc>
          <w:tcPr>
            <w:tcW w:w="1320" w:type="dxa"/>
            <w:tcBorders>
              <w:left w:val="single" w:color="000000" w:sz="4" w:space="0"/>
              <w:right w:val="single" w:color="000000" w:sz="4" w:space="0"/>
            </w:tcBorders>
            <w:vAlign w:val="top"/>
          </w:tcPr>
          <w:p w14:paraId="452E5474">
            <w:pPr>
              <w:spacing w:line="242" w:lineRule="auto"/>
              <w:rPr>
                <w:rFonts w:ascii="Arial"/>
                <w:sz w:val="21"/>
              </w:rPr>
            </w:pPr>
          </w:p>
          <w:p w14:paraId="05C13EE0">
            <w:pPr>
              <w:spacing w:line="242" w:lineRule="auto"/>
              <w:rPr>
                <w:rFonts w:ascii="Arial"/>
                <w:sz w:val="21"/>
              </w:rPr>
            </w:pPr>
          </w:p>
          <w:p w14:paraId="15622359">
            <w:pPr>
              <w:spacing w:line="242" w:lineRule="auto"/>
              <w:rPr>
                <w:rFonts w:ascii="Arial"/>
                <w:sz w:val="21"/>
              </w:rPr>
            </w:pPr>
          </w:p>
          <w:p w14:paraId="69F137EA">
            <w:pPr>
              <w:spacing w:line="242" w:lineRule="auto"/>
              <w:rPr>
                <w:rFonts w:ascii="Arial"/>
                <w:sz w:val="21"/>
              </w:rPr>
            </w:pPr>
          </w:p>
          <w:p w14:paraId="241EC410">
            <w:pPr>
              <w:spacing w:line="242" w:lineRule="auto"/>
              <w:rPr>
                <w:rFonts w:ascii="Arial"/>
                <w:sz w:val="21"/>
              </w:rPr>
            </w:pPr>
          </w:p>
          <w:p w14:paraId="442C88C2">
            <w:pPr>
              <w:spacing w:line="243" w:lineRule="auto"/>
              <w:rPr>
                <w:rFonts w:ascii="Arial"/>
                <w:sz w:val="21"/>
              </w:rPr>
            </w:pPr>
          </w:p>
          <w:p w14:paraId="60FCE051">
            <w:pPr>
              <w:spacing w:line="243" w:lineRule="auto"/>
              <w:rPr>
                <w:rFonts w:ascii="Arial"/>
                <w:sz w:val="21"/>
              </w:rPr>
            </w:pPr>
          </w:p>
          <w:p w14:paraId="7A1A7B78">
            <w:pPr>
              <w:spacing w:before="65" w:line="228" w:lineRule="auto"/>
              <w:ind w:left="244"/>
              <w:rPr>
                <w:rFonts w:ascii="宋体" w:hAnsi="宋体" w:eastAsia="宋体" w:cs="宋体"/>
                <w:sz w:val="20"/>
                <w:szCs w:val="20"/>
              </w:rPr>
            </w:pPr>
            <w:r>
              <w:rPr>
                <w:rFonts w:ascii="宋体" w:hAnsi="宋体" w:eastAsia="宋体" w:cs="宋体"/>
                <w:spacing w:val="7"/>
                <w:sz w:val="20"/>
                <w:szCs w:val="20"/>
              </w:rPr>
              <w:t>生产废</w:t>
            </w:r>
            <w:r>
              <w:rPr>
                <w:rFonts w:ascii="宋体" w:hAnsi="宋体" w:eastAsia="宋体" w:cs="宋体"/>
                <w:spacing w:val="6"/>
                <w:sz w:val="20"/>
                <w:szCs w:val="20"/>
              </w:rPr>
              <w:t>水</w:t>
            </w:r>
          </w:p>
        </w:tc>
        <w:tc>
          <w:tcPr>
            <w:tcW w:w="1260" w:type="dxa"/>
            <w:tcBorders>
              <w:left w:val="single" w:color="000000" w:sz="4" w:space="0"/>
              <w:right w:val="single" w:color="000000" w:sz="4" w:space="0"/>
            </w:tcBorders>
            <w:vAlign w:val="top"/>
          </w:tcPr>
          <w:p w14:paraId="77807B7B">
            <w:pPr>
              <w:spacing w:line="257" w:lineRule="auto"/>
              <w:rPr>
                <w:rFonts w:ascii="Arial"/>
                <w:sz w:val="21"/>
              </w:rPr>
            </w:pPr>
          </w:p>
          <w:p w14:paraId="50781D52">
            <w:pPr>
              <w:spacing w:line="257" w:lineRule="auto"/>
              <w:rPr>
                <w:rFonts w:ascii="Arial"/>
                <w:sz w:val="21"/>
              </w:rPr>
            </w:pPr>
          </w:p>
          <w:p w14:paraId="723DAC29">
            <w:pPr>
              <w:spacing w:line="257" w:lineRule="auto"/>
              <w:rPr>
                <w:rFonts w:ascii="Arial"/>
                <w:sz w:val="21"/>
              </w:rPr>
            </w:pPr>
          </w:p>
          <w:p w14:paraId="4023CC33">
            <w:pPr>
              <w:spacing w:line="257" w:lineRule="auto"/>
              <w:rPr>
                <w:rFonts w:ascii="Arial"/>
                <w:sz w:val="21"/>
              </w:rPr>
            </w:pPr>
          </w:p>
          <w:p w14:paraId="3ECF9E80">
            <w:pPr>
              <w:spacing w:line="257" w:lineRule="auto"/>
              <w:rPr>
                <w:rFonts w:ascii="Arial"/>
                <w:sz w:val="21"/>
              </w:rPr>
            </w:pPr>
          </w:p>
          <w:p w14:paraId="75A64113">
            <w:pPr>
              <w:spacing w:line="258" w:lineRule="auto"/>
              <w:rPr>
                <w:rFonts w:ascii="Arial"/>
                <w:sz w:val="21"/>
              </w:rPr>
            </w:pPr>
          </w:p>
          <w:p w14:paraId="5B7AD134">
            <w:pPr>
              <w:spacing w:before="65" w:line="301" w:lineRule="auto"/>
              <w:ind w:left="25" w:right="1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CODcr</w:t>
            </w:r>
            <w:r>
              <w:rPr>
                <w:rFonts w:ascii="Times New Roman" w:hAnsi="Times New Roman" w:eastAsia="Times New Roman" w:cs="Times New Roman"/>
                <w:spacing w:val="-4"/>
                <w:sz w:val="20"/>
                <w:szCs w:val="20"/>
              </w:rPr>
              <w:t xml:space="preserve"> </w:t>
            </w:r>
            <w:r>
              <w:rPr>
                <w:rFonts w:ascii="宋体" w:hAnsi="宋体" w:eastAsia="宋体" w:cs="宋体"/>
                <w:spacing w:val="-4"/>
                <w:sz w:val="20"/>
                <w:szCs w:val="20"/>
              </w:rPr>
              <w:t>、</w:t>
            </w:r>
            <w:r>
              <w:rPr>
                <w:rFonts w:ascii="宋体" w:hAnsi="宋体" w:eastAsia="宋体" w:cs="宋体"/>
                <w:spacing w:val="-3"/>
                <w:sz w:val="20"/>
                <w:szCs w:val="20"/>
              </w:rPr>
              <w:t>石</w:t>
            </w:r>
            <w:r>
              <w:rPr>
                <w:rFonts w:ascii="宋体" w:hAnsi="宋体" w:eastAsia="宋体" w:cs="宋体"/>
                <w:spacing w:val="-2"/>
                <w:sz w:val="20"/>
                <w:szCs w:val="20"/>
              </w:rPr>
              <w:t>油</w:t>
            </w:r>
            <w:r>
              <w:rPr>
                <w:rFonts w:ascii="宋体" w:hAnsi="宋体" w:eastAsia="宋体" w:cs="宋体"/>
                <w:sz w:val="20"/>
                <w:szCs w:val="20"/>
              </w:rPr>
              <w:t xml:space="preserve"> </w:t>
            </w:r>
            <w:r>
              <w:rPr>
                <w:rFonts w:ascii="宋体" w:hAnsi="宋体" w:eastAsia="宋体" w:cs="宋体"/>
                <w:spacing w:val="-4"/>
                <w:sz w:val="20"/>
                <w:szCs w:val="20"/>
              </w:rPr>
              <w:t>类、</w:t>
            </w:r>
            <w:r>
              <w:rPr>
                <w:rFonts w:ascii="宋体" w:hAnsi="宋体" w:eastAsia="宋体" w:cs="宋体"/>
                <w:spacing w:val="-2"/>
                <w:sz w:val="20"/>
                <w:szCs w:val="20"/>
              </w:rPr>
              <w:t>氨氮、</w:t>
            </w:r>
            <w:r>
              <w:rPr>
                <w:rFonts w:ascii="Times New Roman" w:hAnsi="Times New Roman" w:eastAsia="Times New Roman" w:cs="Times New Roman"/>
                <w:spacing w:val="-2"/>
                <w:sz w:val="20"/>
                <w:szCs w:val="20"/>
              </w:rPr>
              <w:t>SS</w:t>
            </w:r>
          </w:p>
        </w:tc>
        <w:tc>
          <w:tcPr>
            <w:tcW w:w="3015" w:type="dxa"/>
            <w:tcBorders>
              <w:left w:val="single" w:color="000000" w:sz="4" w:space="0"/>
              <w:right w:val="single" w:color="000000" w:sz="4" w:space="0"/>
            </w:tcBorders>
            <w:vAlign w:val="top"/>
          </w:tcPr>
          <w:p w14:paraId="7C099B6B">
            <w:pPr>
              <w:tabs>
                <w:tab w:val="left" w:pos="136"/>
              </w:tabs>
              <w:spacing w:before="58" w:line="283" w:lineRule="auto"/>
              <w:ind w:left="25" w:right="3" w:firstLine="4"/>
              <w:rPr>
                <w:rFonts w:ascii="宋体" w:hAnsi="宋体" w:eastAsia="宋体" w:cs="宋体"/>
                <w:sz w:val="20"/>
                <w:szCs w:val="20"/>
              </w:rPr>
            </w:pPr>
            <w:r>
              <w:rPr>
                <w:rFonts w:ascii="宋体" w:hAnsi="宋体" w:eastAsia="宋体" w:cs="宋体"/>
                <w:spacing w:val="-12"/>
                <w:sz w:val="20"/>
                <w:szCs w:val="20"/>
              </w:rPr>
              <w:t>项</w:t>
            </w:r>
            <w:r>
              <w:rPr>
                <w:rFonts w:ascii="宋体" w:hAnsi="宋体" w:eastAsia="宋体" w:cs="宋体"/>
                <w:spacing w:val="-8"/>
                <w:sz w:val="20"/>
                <w:szCs w:val="20"/>
              </w:rPr>
              <w:t>目</w:t>
            </w:r>
            <w:r>
              <w:rPr>
                <w:rFonts w:ascii="宋体" w:hAnsi="宋体" w:eastAsia="宋体" w:cs="宋体"/>
                <w:spacing w:val="-6"/>
                <w:sz w:val="20"/>
                <w:szCs w:val="20"/>
              </w:rPr>
              <w:t xml:space="preserve">设有 </w:t>
            </w:r>
            <w:r>
              <w:rPr>
                <w:rFonts w:ascii="Times New Roman" w:hAnsi="Times New Roman" w:eastAsia="Times New Roman" w:cs="Times New Roman"/>
                <w:spacing w:val="-6"/>
                <w:sz w:val="20"/>
                <w:szCs w:val="20"/>
              </w:rPr>
              <w:t xml:space="preserve">1 </w:t>
            </w:r>
            <w:r>
              <w:rPr>
                <w:rFonts w:ascii="宋体" w:hAnsi="宋体" w:eastAsia="宋体" w:cs="宋体"/>
                <w:spacing w:val="-6"/>
                <w:sz w:val="20"/>
                <w:szCs w:val="20"/>
              </w:rPr>
              <w:t xml:space="preserve">座容积为 </w:t>
            </w:r>
            <w:r>
              <w:rPr>
                <w:rFonts w:ascii="Times New Roman" w:hAnsi="Times New Roman" w:eastAsia="Times New Roman" w:cs="Times New Roman"/>
                <w:spacing w:val="-6"/>
                <w:sz w:val="20"/>
                <w:szCs w:val="20"/>
              </w:rPr>
              <w:t>324m</w:t>
            </w:r>
            <w:r>
              <w:rPr>
                <w:rFonts w:ascii="Times New Roman" w:hAnsi="Times New Roman" w:eastAsia="Times New Roman" w:cs="Times New Roman"/>
                <w:spacing w:val="-6"/>
                <w:position w:val="6"/>
                <w:sz w:val="13"/>
                <w:szCs w:val="13"/>
              </w:rPr>
              <w:t xml:space="preserve">3 </w:t>
            </w:r>
            <w:r>
              <w:rPr>
                <w:rFonts w:ascii="宋体" w:hAnsi="宋体" w:eastAsia="宋体" w:cs="宋体"/>
                <w:spacing w:val="-6"/>
                <w:sz w:val="20"/>
                <w:szCs w:val="20"/>
              </w:rPr>
              <w:t>的三级</w:t>
            </w:r>
            <w:r>
              <w:rPr>
                <w:rFonts w:ascii="宋体" w:hAnsi="宋体" w:eastAsia="宋体" w:cs="宋体"/>
                <w:sz w:val="20"/>
                <w:szCs w:val="20"/>
              </w:rPr>
              <w:t xml:space="preserve"> </w:t>
            </w:r>
            <w:r>
              <w:rPr>
                <w:rFonts w:ascii="宋体" w:hAnsi="宋体" w:eastAsia="宋体" w:cs="宋体"/>
                <w:spacing w:val="-4"/>
                <w:sz w:val="20"/>
                <w:szCs w:val="20"/>
              </w:rPr>
              <w:t>沉</w:t>
            </w:r>
            <w:r>
              <w:rPr>
                <w:rFonts w:ascii="宋体" w:hAnsi="宋体" w:eastAsia="宋体" w:cs="宋体"/>
                <w:spacing w:val="-3"/>
                <w:sz w:val="20"/>
                <w:szCs w:val="20"/>
              </w:rPr>
              <w:t>淀池 (</w:t>
            </w:r>
            <w:r>
              <w:rPr>
                <w:rFonts w:ascii="Times New Roman" w:hAnsi="Times New Roman" w:eastAsia="Times New Roman" w:cs="Times New Roman"/>
                <w:spacing w:val="-3"/>
                <w:sz w:val="20"/>
                <w:szCs w:val="20"/>
              </w:rPr>
              <w:t>12m×6m×4.5m</w:t>
            </w:r>
            <w:r>
              <w:rPr>
                <w:rFonts w:ascii="宋体" w:hAnsi="宋体" w:eastAsia="宋体" w:cs="宋体"/>
                <w:spacing w:val="-3"/>
                <w:sz w:val="20"/>
                <w:szCs w:val="20"/>
              </w:rPr>
              <w:t>) ，同时配</w:t>
            </w:r>
            <w:r>
              <w:rPr>
                <w:rFonts w:ascii="宋体" w:hAnsi="宋体" w:eastAsia="宋体" w:cs="宋体"/>
                <w:sz w:val="20"/>
                <w:szCs w:val="20"/>
              </w:rPr>
              <w:t xml:space="preserve"> </w:t>
            </w:r>
            <w:r>
              <w:rPr>
                <w:rFonts w:ascii="宋体" w:hAnsi="宋体" w:eastAsia="宋体" w:cs="宋体"/>
                <w:spacing w:val="14"/>
                <w:sz w:val="20"/>
                <w:szCs w:val="20"/>
              </w:rPr>
              <w:t>套</w:t>
            </w:r>
            <w:r>
              <w:rPr>
                <w:rFonts w:ascii="宋体" w:hAnsi="宋体" w:eastAsia="宋体" w:cs="宋体"/>
                <w:spacing w:val="11"/>
                <w:sz w:val="20"/>
                <w:szCs w:val="20"/>
              </w:rPr>
              <w:t>设</w:t>
            </w:r>
            <w:r>
              <w:rPr>
                <w:rFonts w:ascii="宋体" w:hAnsi="宋体" w:eastAsia="宋体" w:cs="宋体"/>
                <w:spacing w:val="7"/>
                <w:sz w:val="20"/>
                <w:szCs w:val="20"/>
              </w:rPr>
              <w:t xml:space="preserve">有 </w:t>
            </w:r>
            <w:r>
              <w:rPr>
                <w:rFonts w:ascii="Times New Roman" w:hAnsi="Times New Roman" w:eastAsia="Times New Roman" w:cs="Times New Roman"/>
                <w:spacing w:val="7"/>
                <w:sz w:val="20"/>
                <w:szCs w:val="20"/>
              </w:rPr>
              <w:t xml:space="preserve">1 </w:t>
            </w:r>
            <w:r>
              <w:rPr>
                <w:rFonts w:ascii="宋体" w:hAnsi="宋体" w:eastAsia="宋体" w:cs="宋体"/>
                <w:spacing w:val="7"/>
                <w:sz w:val="20"/>
                <w:szCs w:val="20"/>
              </w:rPr>
              <w:t>台一体化污水预处理设</w:t>
            </w:r>
            <w:r>
              <w:rPr>
                <w:rFonts w:ascii="宋体" w:hAnsi="宋体" w:eastAsia="宋体" w:cs="宋体"/>
                <w:sz w:val="20"/>
                <w:szCs w:val="20"/>
              </w:rPr>
              <w:t xml:space="preserve"> </w:t>
            </w:r>
            <w:r>
              <w:rPr>
                <w:rFonts w:ascii="宋体" w:hAnsi="宋体" w:eastAsia="宋体" w:cs="宋体"/>
                <w:spacing w:val="-2"/>
                <w:sz w:val="20"/>
                <w:szCs w:val="20"/>
              </w:rPr>
              <w:t>备，均位于生产厂房西南侧</w:t>
            </w:r>
            <w:r>
              <w:rPr>
                <w:rFonts w:ascii="宋体" w:hAnsi="宋体" w:eastAsia="宋体" w:cs="宋体"/>
                <w:spacing w:val="-1"/>
                <w:sz w:val="20"/>
                <w:szCs w:val="20"/>
              </w:rPr>
              <w:t>，产生</w:t>
            </w:r>
            <w:r>
              <w:rPr>
                <w:rFonts w:ascii="宋体" w:hAnsi="宋体" w:eastAsia="宋体" w:cs="宋体"/>
                <w:sz w:val="20"/>
                <w:szCs w:val="20"/>
              </w:rPr>
              <w:t xml:space="preserve"> </w:t>
            </w:r>
            <w:r>
              <w:rPr>
                <w:rFonts w:ascii="宋体" w:hAnsi="宋体" w:eastAsia="宋体" w:cs="宋体"/>
                <w:spacing w:val="15"/>
                <w:sz w:val="20"/>
                <w:szCs w:val="20"/>
              </w:rPr>
              <w:t>的</w:t>
            </w:r>
            <w:r>
              <w:rPr>
                <w:rFonts w:ascii="宋体" w:hAnsi="宋体" w:eastAsia="宋体" w:cs="宋体"/>
                <w:spacing w:val="12"/>
                <w:sz w:val="20"/>
                <w:szCs w:val="20"/>
              </w:rPr>
              <w:t>生产废水经一体化污水预处理</w:t>
            </w:r>
            <w:r>
              <w:rPr>
                <w:rFonts w:ascii="宋体" w:hAnsi="宋体" w:eastAsia="宋体" w:cs="宋体"/>
                <w:sz w:val="20"/>
                <w:szCs w:val="20"/>
              </w:rPr>
              <w:t xml:space="preserve"> </w:t>
            </w:r>
            <w:r>
              <w:rPr>
                <w:rFonts w:ascii="宋体" w:hAnsi="宋体" w:eastAsia="宋体" w:cs="宋体"/>
                <w:spacing w:val="-23"/>
                <w:sz w:val="20"/>
                <w:szCs w:val="20"/>
              </w:rPr>
              <w:t>设 备 处 理 后 排 入 三 级 沉 淀 池</w:t>
            </w:r>
            <w:r>
              <w:rPr>
                <w:rFonts w:ascii="宋体" w:hAnsi="宋体" w:eastAsia="宋体" w:cs="宋体"/>
                <w:sz w:val="20"/>
                <w:szCs w:val="20"/>
              </w:rPr>
              <w:t xml:space="preserve"> </w:t>
            </w:r>
            <w:r>
              <w:rPr>
                <w:rFonts w:ascii="宋体" w:hAnsi="宋体" w:eastAsia="宋体" w:cs="宋体"/>
                <w:sz w:val="20"/>
                <w:szCs w:val="20"/>
              </w:rPr>
              <w:tab/>
            </w:r>
            <w:r>
              <w:rPr>
                <w:rFonts w:ascii="宋体" w:hAnsi="宋体" w:eastAsia="宋体" w:cs="宋体"/>
                <w:spacing w:val="-6"/>
                <w:sz w:val="20"/>
                <w:szCs w:val="20"/>
              </w:rPr>
              <w:t>(</w:t>
            </w:r>
            <w:r>
              <w:rPr>
                <w:rFonts w:ascii="Times New Roman" w:hAnsi="Times New Roman" w:eastAsia="Times New Roman" w:cs="Times New Roman"/>
                <w:spacing w:val="-6"/>
                <w:sz w:val="20"/>
                <w:szCs w:val="20"/>
              </w:rPr>
              <w:t>12</w:t>
            </w:r>
            <w:r>
              <w:rPr>
                <w:rFonts w:ascii="Times New Roman" w:hAnsi="Times New Roman" w:eastAsia="Times New Roman" w:cs="Times New Roman"/>
                <w:spacing w:val="-3"/>
                <w:sz w:val="20"/>
                <w:szCs w:val="20"/>
              </w:rPr>
              <w:t>m</w:t>
            </w:r>
            <w:r>
              <w:rPr>
                <w:rFonts w:ascii="Times New Roman" w:hAnsi="Times New Roman" w:eastAsia="Times New Roman" w:cs="Times New Roman"/>
                <w:spacing w:val="-6"/>
                <w:sz w:val="20"/>
                <w:szCs w:val="20"/>
              </w:rPr>
              <w:t>×</w:t>
            </w:r>
            <w:r>
              <w:rPr>
                <w:rFonts w:ascii="Times New Roman" w:hAnsi="Times New Roman" w:eastAsia="Times New Roman" w:cs="Times New Roman"/>
                <w:spacing w:val="-5"/>
                <w:sz w:val="20"/>
                <w:szCs w:val="20"/>
              </w:rPr>
              <w:t>6</w:t>
            </w:r>
            <w:r>
              <w:rPr>
                <w:rFonts w:ascii="Times New Roman" w:hAnsi="Times New Roman" w:eastAsia="Times New Roman" w:cs="Times New Roman"/>
                <w:spacing w:val="-3"/>
                <w:sz w:val="20"/>
                <w:szCs w:val="20"/>
              </w:rPr>
              <w:t>m×4.5m</w:t>
            </w:r>
            <w:r>
              <w:rPr>
                <w:rFonts w:ascii="宋体" w:hAnsi="宋体" w:eastAsia="宋体" w:cs="宋体"/>
                <w:spacing w:val="-3"/>
                <w:sz w:val="20"/>
                <w:szCs w:val="20"/>
              </w:rPr>
              <w:t>) 沉淀处理，随后</w:t>
            </w:r>
            <w:r>
              <w:rPr>
                <w:rFonts w:ascii="宋体" w:hAnsi="宋体" w:eastAsia="宋体" w:cs="宋体"/>
                <w:sz w:val="20"/>
                <w:szCs w:val="20"/>
              </w:rPr>
              <w:t xml:space="preserve"> </w:t>
            </w:r>
            <w:r>
              <w:rPr>
                <w:rFonts w:ascii="宋体" w:hAnsi="宋体" w:eastAsia="宋体" w:cs="宋体"/>
                <w:spacing w:val="-2"/>
                <w:sz w:val="20"/>
                <w:szCs w:val="20"/>
              </w:rPr>
              <w:t>循环使用。污水处理设施废水每</w:t>
            </w:r>
            <w:r>
              <w:rPr>
                <w:rFonts w:ascii="宋体" w:hAnsi="宋体" w:eastAsia="宋体" w:cs="宋体"/>
                <w:spacing w:val="-1"/>
                <w:sz w:val="20"/>
                <w:szCs w:val="20"/>
              </w:rPr>
              <w:t>月</w:t>
            </w:r>
            <w:r>
              <w:rPr>
                <w:rFonts w:ascii="宋体" w:hAnsi="宋体" w:eastAsia="宋体" w:cs="宋体"/>
                <w:sz w:val="20"/>
                <w:szCs w:val="20"/>
              </w:rPr>
              <w:t xml:space="preserve"> </w:t>
            </w:r>
            <w:r>
              <w:rPr>
                <w:rFonts w:ascii="宋体" w:hAnsi="宋体" w:eastAsia="宋体" w:cs="宋体"/>
                <w:spacing w:val="-8"/>
                <w:sz w:val="20"/>
                <w:szCs w:val="20"/>
              </w:rPr>
              <w:t>更换</w:t>
            </w:r>
            <w:r>
              <w:rPr>
                <w:rFonts w:ascii="宋体" w:hAnsi="宋体" w:eastAsia="宋体" w:cs="宋体"/>
                <w:spacing w:val="-5"/>
                <w:sz w:val="20"/>
                <w:szCs w:val="20"/>
              </w:rPr>
              <w:t xml:space="preserve"> </w:t>
            </w:r>
            <w:r>
              <w:rPr>
                <w:rFonts w:ascii="Times New Roman" w:hAnsi="Times New Roman" w:eastAsia="Times New Roman" w:cs="Times New Roman"/>
                <w:spacing w:val="-4"/>
                <w:sz w:val="20"/>
                <w:szCs w:val="20"/>
              </w:rPr>
              <w:t xml:space="preserve">1 </w:t>
            </w:r>
            <w:r>
              <w:rPr>
                <w:rFonts w:ascii="宋体" w:hAnsi="宋体" w:eastAsia="宋体" w:cs="宋体"/>
                <w:spacing w:val="-4"/>
                <w:sz w:val="20"/>
                <w:szCs w:val="20"/>
              </w:rPr>
              <w:t>次，则该项目全年更换废水</w:t>
            </w:r>
            <w:r>
              <w:rPr>
                <w:rFonts w:ascii="宋体" w:hAnsi="宋体" w:eastAsia="宋体" w:cs="宋体"/>
                <w:sz w:val="20"/>
                <w:szCs w:val="20"/>
              </w:rPr>
              <w:t xml:space="preserve"> </w:t>
            </w:r>
            <w:r>
              <w:rPr>
                <w:rFonts w:ascii="宋体" w:hAnsi="宋体" w:eastAsia="宋体" w:cs="宋体"/>
                <w:spacing w:val="-2"/>
                <w:sz w:val="20"/>
                <w:szCs w:val="20"/>
              </w:rPr>
              <w:t xml:space="preserve">量为 </w:t>
            </w:r>
            <w:r>
              <w:rPr>
                <w:rFonts w:ascii="Times New Roman" w:hAnsi="Times New Roman" w:eastAsia="Times New Roman" w:cs="Times New Roman"/>
                <w:spacing w:val="-2"/>
                <w:sz w:val="20"/>
                <w:szCs w:val="20"/>
              </w:rPr>
              <w:t>1523.52</w:t>
            </w:r>
            <w:r>
              <w:rPr>
                <w:rFonts w:ascii="Times New Roman" w:hAnsi="Times New Roman" w:eastAsia="Times New Roman" w:cs="Times New Roman"/>
                <w:spacing w:val="-1"/>
                <w:sz w:val="20"/>
                <w:szCs w:val="20"/>
              </w:rPr>
              <w:t>m</w:t>
            </w:r>
            <w:r>
              <w:rPr>
                <w:rFonts w:ascii="Times New Roman" w:hAnsi="Times New Roman" w:eastAsia="Times New Roman" w:cs="Times New Roman"/>
                <w:spacing w:val="-2"/>
                <w:position w:val="6"/>
                <w:sz w:val="13"/>
                <w:szCs w:val="13"/>
              </w:rPr>
              <w:t>3</w:t>
            </w:r>
            <w:r>
              <w:rPr>
                <w:rFonts w:ascii="Times New Roman" w:hAnsi="Times New Roman" w:eastAsia="Times New Roman" w:cs="Times New Roman"/>
                <w:spacing w:val="-1"/>
                <w:position w:val="6"/>
                <w:sz w:val="13"/>
                <w:szCs w:val="13"/>
              </w:rPr>
              <w:t xml:space="preserve"> </w:t>
            </w:r>
            <w:r>
              <w:rPr>
                <w:rFonts w:ascii="宋体" w:hAnsi="宋体" w:eastAsia="宋体" w:cs="宋体"/>
                <w:spacing w:val="-1"/>
                <w:sz w:val="20"/>
                <w:szCs w:val="20"/>
              </w:rPr>
              <w:t>，更换过程产生的</w:t>
            </w:r>
            <w:r>
              <w:rPr>
                <w:rFonts w:ascii="宋体" w:hAnsi="宋体" w:eastAsia="宋体" w:cs="宋体"/>
                <w:sz w:val="20"/>
                <w:szCs w:val="20"/>
              </w:rPr>
              <w:t xml:space="preserve"> </w:t>
            </w:r>
            <w:r>
              <w:rPr>
                <w:rFonts w:ascii="宋体" w:hAnsi="宋体" w:eastAsia="宋体" w:cs="宋体"/>
                <w:spacing w:val="17"/>
                <w:sz w:val="20"/>
                <w:szCs w:val="20"/>
              </w:rPr>
              <w:t>废</w:t>
            </w:r>
            <w:r>
              <w:rPr>
                <w:rFonts w:ascii="宋体" w:hAnsi="宋体" w:eastAsia="宋体" w:cs="宋体"/>
                <w:spacing w:val="12"/>
                <w:sz w:val="20"/>
                <w:szCs w:val="20"/>
              </w:rPr>
              <w:t>水经吸污车运送至本溪市科态</w:t>
            </w:r>
            <w:r>
              <w:rPr>
                <w:rFonts w:ascii="宋体" w:hAnsi="宋体" w:eastAsia="宋体" w:cs="宋体"/>
                <w:sz w:val="20"/>
                <w:szCs w:val="20"/>
              </w:rPr>
              <w:t xml:space="preserve"> </w:t>
            </w:r>
            <w:r>
              <w:rPr>
                <w:rFonts w:ascii="宋体" w:hAnsi="宋体" w:eastAsia="宋体" w:cs="宋体"/>
                <w:spacing w:val="-2"/>
                <w:sz w:val="20"/>
                <w:szCs w:val="20"/>
              </w:rPr>
              <w:t>污水处理有限责任公司统</w:t>
            </w:r>
            <w:r>
              <w:rPr>
                <w:rFonts w:ascii="宋体" w:hAnsi="宋体" w:eastAsia="宋体" w:cs="宋体"/>
                <w:spacing w:val="-1"/>
                <w:sz w:val="20"/>
                <w:szCs w:val="20"/>
              </w:rPr>
              <w:t>一处理。</w:t>
            </w:r>
          </w:p>
        </w:tc>
        <w:tc>
          <w:tcPr>
            <w:tcW w:w="2233" w:type="dxa"/>
            <w:tcBorders>
              <w:left w:val="single" w:color="000000" w:sz="4" w:space="0"/>
              <w:right w:val="nil"/>
            </w:tcBorders>
            <w:vAlign w:val="top"/>
          </w:tcPr>
          <w:p w14:paraId="23C5754A">
            <w:pPr>
              <w:spacing w:line="256" w:lineRule="auto"/>
              <w:rPr>
                <w:rFonts w:ascii="Arial"/>
                <w:sz w:val="21"/>
              </w:rPr>
            </w:pPr>
          </w:p>
          <w:p w14:paraId="3FBAE69C">
            <w:pPr>
              <w:spacing w:line="256" w:lineRule="auto"/>
              <w:rPr>
                <w:rFonts w:ascii="Arial"/>
                <w:sz w:val="21"/>
              </w:rPr>
            </w:pPr>
          </w:p>
          <w:p w14:paraId="6244528F">
            <w:pPr>
              <w:spacing w:line="256" w:lineRule="auto"/>
              <w:rPr>
                <w:rFonts w:ascii="Arial"/>
                <w:sz w:val="21"/>
              </w:rPr>
            </w:pPr>
          </w:p>
          <w:p w14:paraId="4598C721">
            <w:pPr>
              <w:spacing w:before="65" w:line="264" w:lineRule="exact"/>
              <w:ind w:left="46"/>
              <w:rPr>
                <w:rFonts w:ascii="宋体" w:hAnsi="宋体" w:eastAsia="宋体" w:cs="宋体"/>
                <w:sz w:val="20"/>
                <w:szCs w:val="20"/>
              </w:rPr>
            </w:pPr>
            <w:r>
              <w:rPr>
                <w:rFonts w:ascii="Times New Roman" w:hAnsi="Times New Roman" w:eastAsia="Times New Roman" w:cs="Times New Roman"/>
                <w:position w:val="1"/>
                <w:sz w:val="20"/>
                <w:szCs w:val="20"/>
              </w:rPr>
              <w:t>COD</w:t>
            </w:r>
            <w:r>
              <w:rPr>
                <w:rFonts w:ascii="Times New Roman" w:hAnsi="Times New Roman" w:eastAsia="Times New Roman" w:cs="Times New Roman"/>
                <w:spacing w:val="-1"/>
                <w:position w:val="1"/>
                <w:sz w:val="20"/>
                <w:szCs w:val="20"/>
              </w:rPr>
              <w:t xml:space="preserve"> </w:t>
            </w:r>
            <w:r>
              <w:rPr>
                <w:rFonts w:ascii="宋体" w:hAnsi="宋体" w:eastAsia="宋体" w:cs="宋体"/>
                <w:spacing w:val="-1"/>
                <w:position w:val="1"/>
                <w:sz w:val="20"/>
                <w:szCs w:val="20"/>
              </w:rPr>
              <w:t>、</w:t>
            </w:r>
            <w:r>
              <w:rPr>
                <w:rFonts w:ascii="Times New Roman" w:hAnsi="Times New Roman" w:eastAsia="Times New Roman" w:cs="Times New Roman"/>
                <w:position w:val="1"/>
                <w:sz w:val="20"/>
                <w:szCs w:val="20"/>
              </w:rPr>
              <w:t>SS</w:t>
            </w:r>
            <w:r>
              <w:rPr>
                <w:rFonts w:ascii="Times New Roman" w:hAnsi="Times New Roman" w:eastAsia="Times New Roman" w:cs="Times New Roman"/>
                <w:spacing w:val="-1"/>
                <w:position w:val="1"/>
                <w:sz w:val="20"/>
                <w:szCs w:val="20"/>
              </w:rPr>
              <w:t xml:space="preserve"> </w:t>
            </w:r>
            <w:r>
              <w:rPr>
                <w:rFonts w:ascii="宋体" w:hAnsi="宋体" w:eastAsia="宋体" w:cs="宋体"/>
                <w:spacing w:val="-1"/>
                <w:position w:val="1"/>
                <w:sz w:val="20"/>
                <w:szCs w:val="20"/>
              </w:rPr>
              <w:t>、氨氮、石油</w:t>
            </w:r>
          </w:p>
          <w:p w14:paraId="17176C6B">
            <w:pPr>
              <w:spacing w:before="48" w:line="258" w:lineRule="auto"/>
              <w:ind w:left="488" w:right="67" w:hanging="420"/>
              <w:rPr>
                <w:rFonts w:ascii="宋体" w:hAnsi="宋体" w:eastAsia="宋体" w:cs="宋体"/>
                <w:sz w:val="20"/>
                <w:szCs w:val="20"/>
              </w:rPr>
            </w:pPr>
            <w:r>
              <w:rPr>
                <w:rFonts w:ascii="宋体" w:hAnsi="宋体" w:eastAsia="宋体" w:cs="宋体"/>
                <w:spacing w:val="11"/>
                <w:sz w:val="20"/>
                <w:szCs w:val="20"/>
              </w:rPr>
              <w:t>类</w:t>
            </w:r>
            <w:r>
              <w:rPr>
                <w:rFonts w:ascii="宋体" w:hAnsi="宋体" w:eastAsia="宋体" w:cs="宋体"/>
                <w:spacing w:val="9"/>
                <w:sz w:val="20"/>
                <w:szCs w:val="20"/>
              </w:rPr>
              <w:t>执行《辽宁省污水综</w:t>
            </w:r>
            <w:r>
              <w:rPr>
                <w:rFonts w:ascii="宋体" w:hAnsi="宋体" w:eastAsia="宋体" w:cs="宋体"/>
                <w:sz w:val="20"/>
                <w:szCs w:val="20"/>
              </w:rPr>
              <w:t xml:space="preserve"> </w:t>
            </w:r>
            <w:r>
              <w:rPr>
                <w:rFonts w:ascii="宋体" w:hAnsi="宋体" w:eastAsia="宋体" w:cs="宋体"/>
                <w:spacing w:val="9"/>
                <w:sz w:val="20"/>
                <w:szCs w:val="20"/>
              </w:rPr>
              <w:t>合</w:t>
            </w:r>
            <w:r>
              <w:rPr>
                <w:rFonts w:ascii="宋体" w:hAnsi="宋体" w:eastAsia="宋体" w:cs="宋体"/>
                <w:spacing w:val="6"/>
                <w:sz w:val="20"/>
                <w:szCs w:val="20"/>
              </w:rPr>
              <w:t>排放标准》</w:t>
            </w:r>
          </w:p>
          <w:p w14:paraId="63A74EA2">
            <w:pPr>
              <w:spacing w:before="26" w:line="288" w:lineRule="auto"/>
              <w:ind w:left="27" w:firstLine="79"/>
              <w:rPr>
                <w:rFonts w:ascii="宋体" w:hAnsi="宋体" w:eastAsia="宋体" w:cs="宋体"/>
                <w:sz w:val="20"/>
                <w:szCs w:val="20"/>
              </w:rPr>
            </w:pPr>
            <w:r>
              <w:rPr>
                <w:rFonts w:ascii="Times New Roman" w:hAnsi="Times New Roman" w:eastAsia="Times New Roman" w:cs="Times New Roman"/>
                <w:spacing w:val="1"/>
                <w:sz w:val="20"/>
                <w:szCs w:val="20"/>
              </w:rPr>
              <w:t>(</w:t>
            </w:r>
            <w:r>
              <w:rPr>
                <w:rFonts w:ascii="Times New Roman" w:hAnsi="Times New Roman" w:eastAsia="Times New Roman" w:cs="Times New Roman"/>
                <w:sz w:val="20"/>
                <w:szCs w:val="20"/>
              </w:rPr>
              <w:t>DB</w:t>
            </w:r>
            <w:r>
              <w:rPr>
                <w:rFonts w:ascii="Times New Roman" w:hAnsi="Times New Roman" w:eastAsia="Times New Roman" w:cs="Times New Roman"/>
                <w:spacing w:val="1"/>
                <w:sz w:val="20"/>
                <w:szCs w:val="20"/>
              </w:rPr>
              <w:t>21/ 16</w:t>
            </w:r>
            <w:r>
              <w:rPr>
                <w:rFonts w:ascii="Times New Roman" w:hAnsi="Times New Roman" w:eastAsia="Times New Roman" w:cs="Times New Roman"/>
                <w:sz w:val="20"/>
                <w:szCs w:val="20"/>
              </w:rPr>
              <w:t xml:space="preserve">27-2008)  </w:t>
            </w:r>
            <w:r>
              <w:rPr>
                <w:rFonts w:ascii="宋体" w:hAnsi="宋体" w:eastAsia="宋体" w:cs="宋体"/>
                <w:sz w:val="20"/>
                <w:szCs w:val="20"/>
              </w:rPr>
              <w:t xml:space="preserve">(即 </w:t>
            </w:r>
            <w:r>
              <w:rPr>
                <w:rFonts w:ascii="Times New Roman" w:hAnsi="Times New Roman" w:eastAsia="Times New Roman" w:cs="Times New Roman"/>
                <w:spacing w:val="-9"/>
                <w:sz w:val="20"/>
                <w:szCs w:val="20"/>
              </w:rPr>
              <w:t>COD</w:t>
            </w:r>
            <w:r>
              <w:rPr>
                <w:rFonts w:ascii="宋体" w:hAnsi="宋体" w:eastAsia="宋体" w:cs="宋体"/>
                <w:spacing w:val="-18"/>
                <w:sz w:val="20"/>
                <w:szCs w:val="20"/>
              </w:rPr>
              <w:t>：</w:t>
            </w:r>
            <w:r>
              <w:rPr>
                <w:rFonts w:ascii="Times New Roman" w:hAnsi="Times New Roman" w:eastAsia="Times New Roman" w:cs="Times New Roman"/>
                <w:spacing w:val="-12"/>
                <w:sz w:val="20"/>
                <w:szCs w:val="20"/>
              </w:rPr>
              <w:t>3</w:t>
            </w:r>
            <w:r>
              <w:rPr>
                <w:rFonts w:ascii="Times New Roman" w:hAnsi="Times New Roman" w:eastAsia="Times New Roman" w:cs="Times New Roman"/>
                <w:spacing w:val="-9"/>
                <w:sz w:val="20"/>
                <w:szCs w:val="20"/>
              </w:rPr>
              <w:t>00mg/L</w:t>
            </w:r>
            <w:r>
              <w:rPr>
                <w:rFonts w:ascii="宋体" w:hAnsi="宋体" w:eastAsia="宋体" w:cs="宋体"/>
                <w:spacing w:val="-9"/>
                <w:sz w:val="20"/>
                <w:szCs w:val="20"/>
              </w:rPr>
              <w:t>；石油类：</w:t>
            </w:r>
          </w:p>
          <w:p w14:paraId="451BF01A">
            <w:pPr>
              <w:spacing w:before="1" w:line="293" w:lineRule="auto"/>
              <w:ind w:left="305" w:hanging="281"/>
              <w:rPr>
                <w:rFonts w:ascii="宋体" w:hAnsi="宋体" w:eastAsia="宋体" w:cs="宋体"/>
                <w:sz w:val="20"/>
                <w:szCs w:val="20"/>
              </w:rPr>
            </w:pPr>
            <w:r>
              <w:rPr>
                <w:rFonts w:ascii="Times New Roman" w:hAnsi="Times New Roman" w:eastAsia="Times New Roman" w:cs="Times New Roman"/>
                <w:spacing w:val="-6"/>
                <w:sz w:val="20"/>
                <w:szCs w:val="20"/>
              </w:rPr>
              <w:t>20</w:t>
            </w:r>
            <w:r>
              <w:rPr>
                <w:rFonts w:ascii="Times New Roman" w:hAnsi="Times New Roman" w:eastAsia="Times New Roman" w:cs="Times New Roman"/>
                <w:spacing w:val="-3"/>
                <w:sz w:val="20"/>
                <w:szCs w:val="20"/>
              </w:rPr>
              <w:t>mg</w:t>
            </w:r>
            <w:r>
              <w:rPr>
                <w:rFonts w:ascii="Times New Roman" w:hAnsi="Times New Roman" w:eastAsia="Times New Roman" w:cs="Times New Roman"/>
                <w:spacing w:val="-6"/>
                <w:sz w:val="20"/>
                <w:szCs w:val="20"/>
              </w:rPr>
              <w:t>/</w:t>
            </w:r>
            <w:r>
              <w:rPr>
                <w:rFonts w:ascii="Times New Roman" w:hAnsi="Times New Roman" w:eastAsia="Times New Roman" w:cs="Times New Roman"/>
                <w:spacing w:val="-3"/>
                <w:sz w:val="20"/>
                <w:szCs w:val="20"/>
              </w:rPr>
              <w:t>L</w:t>
            </w:r>
            <w:r>
              <w:rPr>
                <w:rFonts w:ascii="宋体" w:hAnsi="宋体" w:eastAsia="宋体" w:cs="宋体"/>
                <w:spacing w:val="-6"/>
                <w:sz w:val="20"/>
                <w:szCs w:val="20"/>
              </w:rPr>
              <w:t>；</w:t>
            </w:r>
            <w:r>
              <w:rPr>
                <w:rFonts w:ascii="宋体" w:hAnsi="宋体" w:eastAsia="宋体" w:cs="宋体"/>
                <w:spacing w:val="-3"/>
                <w:sz w:val="20"/>
                <w:szCs w:val="20"/>
              </w:rPr>
              <w:t>氨氮：</w:t>
            </w:r>
            <w:r>
              <w:rPr>
                <w:rFonts w:ascii="Times New Roman" w:hAnsi="Times New Roman" w:eastAsia="Times New Roman" w:cs="Times New Roman"/>
                <w:spacing w:val="-3"/>
                <w:sz w:val="20"/>
                <w:szCs w:val="20"/>
              </w:rPr>
              <w:t>30mg/L</w:t>
            </w:r>
            <w:r>
              <w:rPr>
                <w:rFonts w:ascii="宋体" w:hAnsi="宋体" w:eastAsia="宋体" w:cs="宋体"/>
                <w:spacing w:val="-3"/>
                <w:sz w:val="20"/>
                <w:szCs w:val="20"/>
              </w:rPr>
              <w:t>；</w:t>
            </w:r>
            <w:r>
              <w:rPr>
                <w:rFonts w:ascii="宋体" w:hAnsi="宋体" w:eastAsia="宋体" w:cs="宋体"/>
                <w:sz w:val="20"/>
                <w:szCs w:val="20"/>
              </w:rPr>
              <w:t xml:space="preserve"> </w:t>
            </w:r>
            <w:r>
              <w:rPr>
                <w:rFonts w:ascii="Times New Roman" w:hAnsi="Times New Roman" w:eastAsia="Times New Roman" w:cs="Times New Roman"/>
                <w:sz w:val="20"/>
                <w:szCs w:val="20"/>
              </w:rPr>
              <w:t>SS</w:t>
            </w:r>
            <w:r>
              <w:rPr>
                <w:rFonts w:ascii="宋体" w:hAnsi="宋体" w:eastAsia="宋体" w:cs="宋体"/>
                <w:spacing w:val="6"/>
                <w:sz w:val="20"/>
                <w:szCs w:val="20"/>
              </w:rPr>
              <w:t>：</w:t>
            </w:r>
            <w:r>
              <w:rPr>
                <w:rFonts w:ascii="Times New Roman" w:hAnsi="Times New Roman" w:eastAsia="Times New Roman" w:cs="Times New Roman"/>
                <w:spacing w:val="4"/>
                <w:sz w:val="20"/>
                <w:szCs w:val="20"/>
              </w:rPr>
              <w:t>300</w:t>
            </w:r>
            <w:r>
              <w:rPr>
                <w:rFonts w:ascii="Times New Roman" w:hAnsi="Times New Roman" w:eastAsia="Times New Roman" w:cs="Times New Roman"/>
                <w:sz w:val="20"/>
                <w:szCs w:val="20"/>
              </w:rPr>
              <w:t>mg</w:t>
            </w:r>
            <w:r>
              <w:rPr>
                <w:rFonts w:ascii="Times New Roman" w:hAnsi="Times New Roman" w:eastAsia="Times New Roman" w:cs="Times New Roman"/>
                <w:spacing w:val="4"/>
                <w:sz w:val="20"/>
                <w:szCs w:val="20"/>
              </w:rPr>
              <w:t>/</w:t>
            </w:r>
            <w:r>
              <w:rPr>
                <w:rFonts w:ascii="Times New Roman" w:hAnsi="Times New Roman" w:eastAsia="Times New Roman" w:cs="Times New Roman"/>
                <w:sz w:val="20"/>
                <w:szCs w:val="20"/>
              </w:rPr>
              <w:t>L</w:t>
            </w:r>
            <w:r>
              <w:rPr>
                <w:rFonts w:ascii="宋体" w:hAnsi="宋体" w:eastAsia="宋体" w:cs="宋体"/>
                <w:spacing w:val="4"/>
                <w:sz w:val="20"/>
                <w:szCs w:val="20"/>
              </w:rPr>
              <w:t>) ；</w:t>
            </w:r>
          </w:p>
        </w:tc>
      </w:tr>
      <w:tr w14:paraId="27F2A0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9" w:hRule="atLeast"/>
        </w:trPr>
        <w:tc>
          <w:tcPr>
            <w:tcW w:w="523" w:type="dxa"/>
            <w:vMerge w:val="restart"/>
            <w:tcBorders>
              <w:left w:val="nil"/>
              <w:bottom w:val="nil"/>
              <w:right w:val="single" w:color="000000" w:sz="4" w:space="0"/>
            </w:tcBorders>
            <w:textDirection w:val="tbRlV"/>
            <w:vAlign w:val="top"/>
          </w:tcPr>
          <w:p w14:paraId="4A8E832D">
            <w:pPr>
              <w:spacing w:before="153" w:line="216" w:lineRule="auto"/>
              <w:ind w:left="2100"/>
              <w:rPr>
                <w:rFonts w:ascii="宋体" w:hAnsi="宋体" w:eastAsia="宋体" w:cs="宋体"/>
                <w:sz w:val="20"/>
                <w:szCs w:val="20"/>
              </w:rPr>
            </w:pPr>
            <w:r>
              <w:rPr>
                <w:rFonts w:ascii="宋体" w:hAnsi="宋体" w:eastAsia="宋体" w:cs="宋体"/>
                <w:spacing w:val="8"/>
                <w:sz w:val="20"/>
                <w:szCs w:val="20"/>
              </w:rPr>
              <w:t>地</w:t>
            </w:r>
            <w:r>
              <w:rPr>
                <w:rFonts w:ascii="宋体" w:hAnsi="宋体" w:eastAsia="宋体" w:cs="宋体"/>
                <w:spacing w:val="6"/>
                <w:sz w:val="20"/>
                <w:szCs w:val="20"/>
              </w:rPr>
              <w:t xml:space="preserve"> 下 水</w:t>
            </w:r>
          </w:p>
        </w:tc>
        <w:tc>
          <w:tcPr>
            <w:tcW w:w="1320" w:type="dxa"/>
            <w:tcBorders>
              <w:left w:val="single" w:color="000000" w:sz="4" w:space="0"/>
              <w:right w:val="single" w:color="000000" w:sz="4" w:space="0"/>
            </w:tcBorders>
            <w:vAlign w:val="top"/>
          </w:tcPr>
          <w:p w14:paraId="2A2A2C08">
            <w:pPr>
              <w:spacing w:line="256" w:lineRule="auto"/>
              <w:rPr>
                <w:rFonts w:ascii="Arial"/>
                <w:sz w:val="21"/>
              </w:rPr>
            </w:pPr>
          </w:p>
          <w:p w14:paraId="32FDEB04">
            <w:pPr>
              <w:spacing w:line="256" w:lineRule="auto"/>
              <w:rPr>
                <w:rFonts w:ascii="Arial"/>
                <w:sz w:val="21"/>
              </w:rPr>
            </w:pPr>
          </w:p>
          <w:p w14:paraId="0ADCFF24">
            <w:pPr>
              <w:spacing w:line="256" w:lineRule="auto"/>
              <w:rPr>
                <w:rFonts w:ascii="Arial"/>
                <w:sz w:val="21"/>
              </w:rPr>
            </w:pPr>
          </w:p>
          <w:p w14:paraId="004B5F53">
            <w:pPr>
              <w:spacing w:before="65" w:line="288" w:lineRule="auto"/>
              <w:ind w:left="43" w:firstLine="19"/>
              <w:rPr>
                <w:rFonts w:ascii="宋体" w:hAnsi="宋体" w:eastAsia="宋体" w:cs="宋体"/>
                <w:sz w:val="20"/>
                <w:szCs w:val="20"/>
              </w:rPr>
            </w:pPr>
            <w:r>
              <w:rPr>
                <w:rFonts w:ascii="宋体" w:hAnsi="宋体" w:eastAsia="宋体" w:cs="宋体"/>
                <w:spacing w:val="-11"/>
                <w:sz w:val="20"/>
                <w:szCs w:val="20"/>
              </w:rPr>
              <w:t>生</w:t>
            </w:r>
            <w:r>
              <w:rPr>
                <w:rFonts w:ascii="宋体" w:hAnsi="宋体" w:eastAsia="宋体" w:cs="宋体"/>
                <w:spacing w:val="-9"/>
                <w:sz w:val="20"/>
                <w:szCs w:val="20"/>
              </w:rPr>
              <w:t>产厂房、成</w:t>
            </w:r>
            <w:r>
              <w:rPr>
                <w:rFonts w:ascii="宋体" w:hAnsi="宋体" w:eastAsia="宋体" w:cs="宋体"/>
                <w:sz w:val="20"/>
                <w:szCs w:val="20"/>
              </w:rPr>
              <w:t xml:space="preserve"> </w:t>
            </w:r>
            <w:r>
              <w:rPr>
                <w:rFonts w:ascii="宋体" w:hAnsi="宋体" w:eastAsia="宋体" w:cs="宋体"/>
                <w:spacing w:val="-20"/>
                <w:sz w:val="20"/>
                <w:szCs w:val="20"/>
              </w:rPr>
              <w:t>品</w:t>
            </w:r>
            <w:r>
              <w:rPr>
                <w:rFonts w:ascii="宋体" w:hAnsi="宋体" w:eastAsia="宋体" w:cs="宋体"/>
                <w:spacing w:val="-19"/>
                <w:sz w:val="20"/>
                <w:szCs w:val="20"/>
              </w:rPr>
              <w:t>库、原料库、</w:t>
            </w:r>
            <w:r>
              <w:rPr>
                <w:rFonts w:ascii="宋体" w:hAnsi="宋体" w:eastAsia="宋体" w:cs="宋体"/>
                <w:sz w:val="20"/>
                <w:szCs w:val="20"/>
              </w:rPr>
              <w:t xml:space="preserve"> </w:t>
            </w:r>
            <w:r>
              <w:rPr>
                <w:rFonts w:ascii="宋体" w:hAnsi="宋体" w:eastAsia="宋体" w:cs="宋体"/>
                <w:spacing w:val="-6"/>
                <w:sz w:val="20"/>
                <w:szCs w:val="20"/>
              </w:rPr>
              <w:t>三</w:t>
            </w:r>
            <w:r>
              <w:rPr>
                <w:rFonts w:ascii="宋体" w:hAnsi="宋体" w:eastAsia="宋体" w:cs="宋体"/>
                <w:spacing w:val="-3"/>
                <w:sz w:val="20"/>
                <w:szCs w:val="20"/>
              </w:rPr>
              <w:t>级沉淀池、</w:t>
            </w:r>
            <w:r>
              <w:rPr>
                <w:rFonts w:ascii="宋体" w:hAnsi="宋体" w:eastAsia="宋体" w:cs="宋体"/>
                <w:sz w:val="20"/>
                <w:szCs w:val="20"/>
              </w:rPr>
              <w:t xml:space="preserve"> </w:t>
            </w:r>
            <w:r>
              <w:rPr>
                <w:rFonts w:ascii="宋体" w:hAnsi="宋体" w:eastAsia="宋体" w:cs="宋体"/>
                <w:spacing w:val="-6"/>
                <w:sz w:val="20"/>
                <w:szCs w:val="20"/>
              </w:rPr>
              <w:t>旱</w:t>
            </w:r>
            <w:r>
              <w:rPr>
                <w:rFonts w:ascii="宋体" w:hAnsi="宋体" w:eastAsia="宋体" w:cs="宋体"/>
                <w:spacing w:val="-3"/>
                <w:sz w:val="20"/>
                <w:szCs w:val="20"/>
              </w:rPr>
              <w:t>厕、危废暂</w:t>
            </w:r>
          </w:p>
          <w:p w14:paraId="102047E3">
            <w:pPr>
              <w:spacing w:line="227" w:lineRule="auto"/>
              <w:ind w:left="464"/>
              <w:rPr>
                <w:rFonts w:ascii="宋体" w:hAnsi="宋体" w:eastAsia="宋体" w:cs="宋体"/>
                <w:sz w:val="20"/>
                <w:szCs w:val="20"/>
              </w:rPr>
            </w:pPr>
            <w:r>
              <w:rPr>
                <w:rFonts w:ascii="宋体" w:hAnsi="宋体" w:eastAsia="宋体" w:cs="宋体"/>
                <w:spacing w:val="1"/>
                <w:sz w:val="20"/>
                <w:szCs w:val="20"/>
              </w:rPr>
              <w:t>存</w:t>
            </w:r>
            <w:r>
              <w:rPr>
                <w:rFonts w:ascii="宋体" w:hAnsi="宋体" w:eastAsia="宋体" w:cs="宋体"/>
                <w:sz w:val="20"/>
                <w:szCs w:val="20"/>
              </w:rPr>
              <w:t>间</w:t>
            </w:r>
          </w:p>
        </w:tc>
        <w:tc>
          <w:tcPr>
            <w:tcW w:w="1260" w:type="dxa"/>
            <w:vMerge w:val="restart"/>
            <w:tcBorders>
              <w:left w:val="single" w:color="000000" w:sz="4" w:space="0"/>
              <w:bottom w:val="nil"/>
              <w:right w:val="single" w:color="000000" w:sz="4" w:space="0"/>
            </w:tcBorders>
            <w:vAlign w:val="top"/>
          </w:tcPr>
          <w:p w14:paraId="3742BF33">
            <w:pPr>
              <w:spacing w:line="257" w:lineRule="auto"/>
              <w:rPr>
                <w:rFonts w:ascii="Arial"/>
                <w:sz w:val="21"/>
              </w:rPr>
            </w:pPr>
          </w:p>
          <w:p w14:paraId="3C0DDF07">
            <w:pPr>
              <w:spacing w:line="257" w:lineRule="auto"/>
              <w:rPr>
                <w:rFonts w:ascii="Arial"/>
                <w:sz w:val="21"/>
              </w:rPr>
            </w:pPr>
          </w:p>
          <w:p w14:paraId="395F0915">
            <w:pPr>
              <w:spacing w:line="257" w:lineRule="auto"/>
              <w:rPr>
                <w:rFonts w:ascii="Arial"/>
                <w:sz w:val="21"/>
              </w:rPr>
            </w:pPr>
          </w:p>
          <w:p w14:paraId="79625E98">
            <w:pPr>
              <w:spacing w:line="257" w:lineRule="auto"/>
              <w:rPr>
                <w:rFonts w:ascii="Arial"/>
                <w:sz w:val="21"/>
              </w:rPr>
            </w:pPr>
          </w:p>
          <w:p w14:paraId="292A5668">
            <w:pPr>
              <w:spacing w:line="257" w:lineRule="auto"/>
              <w:rPr>
                <w:rFonts w:ascii="Arial"/>
                <w:sz w:val="21"/>
              </w:rPr>
            </w:pPr>
          </w:p>
          <w:p w14:paraId="738AC3CC">
            <w:pPr>
              <w:spacing w:line="257" w:lineRule="auto"/>
              <w:rPr>
                <w:rFonts w:ascii="Arial"/>
                <w:sz w:val="21"/>
              </w:rPr>
            </w:pPr>
          </w:p>
          <w:p w14:paraId="20F07A59">
            <w:pPr>
              <w:spacing w:line="258" w:lineRule="auto"/>
              <w:rPr>
                <w:rFonts w:ascii="Arial"/>
                <w:sz w:val="21"/>
              </w:rPr>
            </w:pPr>
          </w:p>
          <w:p w14:paraId="373AC8A7">
            <w:pPr>
              <w:spacing w:line="258" w:lineRule="auto"/>
              <w:rPr>
                <w:rFonts w:ascii="Arial"/>
                <w:sz w:val="21"/>
              </w:rPr>
            </w:pPr>
          </w:p>
          <w:p w14:paraId="3430A2F8">
            <w:pPr>
              <w:spacing w:before="65" w:line="288" w:lineRule="auto"/>
              <w:ind w:left="95" w:right="124" w:firstLine="128"/>
              <w:rPr>
                <w:rFonts w:ascii="宋体" w:hAnsi="宋体" w:eastAsia="宋体" w:cs="宋体"/>
                <w:sz w:val="20"/>
                <w:szCs w:val="20"/>
              </w:rPr>
            </w:pPr>
            <w:r>
              <w:rPr>
                <w:rFonts w:ascii="Times New Roman" w:hAnsi="Times New Roman" w:eastAsia="Times New Roman" w:cs="Times New Roman"/>
                <w:spacing w:val="-1"/>
                <w:sz w:val="20"/>
                <w:szCs w:val="20"/>
              </w:rPr>
              <w:t>CODc</w:t>
            </w:r>
            <w:r>
              <w:rPr>
                <w:rFonts w:ascii="Times New Roman" w:hAnsi="Times New Roman" w:eastAsia="Times New Roman" w:cs="Times New Roman"/>
                <w:sz w:val="20"/>
                <w:szCs w:val="20"/>
              </w:rPr>
              <w:t>r</w:t>
            </w:r>
            <w:r>
              <w:rPr>
                <w:rFonts w:ascii="Times New Roman" w:hAnsi="Times New Roman" w:eastAsia="Times New Roman" w:cs="Times New Roman"/>
                <w:spacing w:val="-1"/>
                <w:sz w:val="20"/>
                <w:szCs w:val="20"/>
              </w:rPr>
              <w:t xml:space="preserve"> </w:t>
            </w:r>
            <w:r>
              <w:rPr>
                <w:rFonts w:ascii="宋体" w:hAnsi="宋体" w:eastAsia="宋体" w:cs="宋体"/>
                <w:spacing w:val="-1"/>
                <w:sz w:val="20"/>
                <w:szCs w:val="20"/>
              </w:rPr>
              <w:t>、</w:t>
            </w:r>
            <w:r>
              <w:rPr>
                <w:rFonts w:ascii="宋体" w:hAnsi="宋体" w:eastAsia="宋体" w:cs="宋体"/>
                <w:sz w:val="20"/>
                <w:szCs w:val="20"/>
              </w:rPr>
              <w:t xml:space="preserve"> </w:t>
            </w:r>
            <w:r>
              <w:rPr>
                <w:rFonts w:ascii="宋体" w:hAnsi="宋体" w:eastAsia="宋体" w:cs="宋体"/>
                <w:spacing w:val="2"/>
                <w:sz w:val="20"/>
                <w:szCs w:val="20"/>
              </w:rPr>
              <w:t>氨氮、</w:t>
            </w:r>
            <w:r>
              <w:rPr>
                <w:rFonts w:ascii="Times New Roman" w:hAnsi="Times New Roman" w:eastAsia="Times New Roman" w:cs="Times New Roman"/>
                <w:sz w:val="20"/>
                <w:szCs w:val="20"/>
              </w:rPr>
              <w:t>SS</w:t>
            </w:r>
            <w:r>
              <w:rPr>
                <w:rFonts w:ascii="宋体" w:hAnsi="宋体" w:eastAsia="宋体" w:cs="宋体"/>
                <w:spacing w:val="1"/>
                <w:sz w:val="20"/>
                <w:szCs w:val="20"/>
              </w:rPr>
              <w:t>、</w:t>
            </w:r>
          </w:p>
          <w:p w14:paraId="161155C0">
            <w:pPr>
              <w:spacing w:line="194" w:lineRule="auto"/>
              <w:ind w:left="408"/>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BOD</w:t>
            </w:r>
          </w:p>
        </w:tc>
        <w:tc>
          <w:tcPr>
            <w:tcW w:w="3015" w:type="dxa"/>
            <w:vMerge w:val="restart"/>
            <w:tcBorders>
              <w:left w:val="single" w:color="000000" w:sz="4" w:space="0"/>
              <w:bottom w:val="nil"/>
              <w:right w:val="single" w:color="000000" w:sz="4" w:space="0"/>
            </w:tcBorders>
            <w:vAlign w:val="top"/>
          </w:tcPr>
          <w:p w14:paraId="1F9A0F24">
            <w:pPr>
              <w:spacing w:line="252" w:lineRule="auto"/>
              <w:rPr>
                <w:rFonts w:ascii="Arial"/>
                <w:sz w:val="21"/>
              </w:rPr>
            </w:pPr>
          </w:p>
          <w:p w14:paraId="17120FA6">
            <w:pPr>
              <w:spacing w:line="253" w:lineRule="auto"/>
              <w:rPr>
                <w:rFonts w:ascii="Arial"/>
                <w:sz w:val="21"/>
              </w:rPr>
            </w:pPr>
          </w:p>
          <w:p w14:paraId="69C84FC0">
            <w:pPr>
              <w:spacing w:line="253" w:lineRule="auto"/>
              <w:rPr>
                <w:rFonts w:ascii="Arial"/>
                <w:sz w:val="21"/>
              </w:rPr>
            </w:pPr>
          </w:p>
          <w:p w14:paraId="1557CF7D">
            <w:pPr>
              <w:spacing w:line="253" w:lineRule="auto"/>
              <w:rPr>
                <w:rFonts w:ascii="Arial"/>
                <w:sz w:val="21"/>
              </w:rPr>
            </w:pPr>
          </w:p>
          <w:p w14:paraId="0F9FE80B">
            <w:pPr>
              <w:spacing w:line="253" w:lineRule="auto"/>
              <w:rPr>
                <w:rFonts w:ascii="Arial"/>
                <w:sz w:val="21"/>
              </w:rPr>
            </w:pPr>
          </w:p>
          <w:p w14:paraId="084AD5CE">
            <w:pPr>
              <w:spacing w:line="253" w:lineRule="auto"/>
              <w:rPr>
                <w:rFonts w:ascii="Arial"/>
                <w:sz w:val="21"/>
              </w:rPr>
            </w:pPr>
          </w:p>
          <w:p w14:paraId="50DFA665">
            <w:pPr>
              <w:spacing w:line="253" w:lineRule="auto"/>
              <w:rPr>
                <w:rFonts w:ascii="Arial"/>
                <w:sz w:val="21"/>
              </w:rPr>
            </w:pPr>
          </w:p>
          <w:p w14:paraId="0C3C4987">
            <w:pPr>
              <w:spacing w:line="253" w:lineRule="auto"/>
              <w:rPr>
                <w:rFonts w:ascii="Arial"/>
                <w:sz w:val="21"/>
              </w:rPr>
            </w:pPr>
          </w:p>
          <w:p w14:paraId="6DE7DCCA">
            <w:pPr>
              <w:spacing w:before="65" w:line="228" w:lineRule="auto"/>
              <w:ind w:left="39"/>
              <w:rPr>
                <w:rFonts w:ascii="宋体" w:hAnsi="宋体" w:eastAsia="宋体" w:cs="宋体"/>
                <w:sz w:val="20"/>
                <w:szCs w:val="20"/>
              </w:rPr>
            </w:pPr>
            <w:r>
              <w:rPr>
                <w:rFonts w:ascii="宋体" w:hAnsi="宋体" w:eastAsia="宋体" w:cs="宋体"/>
                <w:spacing w:val="5"/>
                <w:sz w:val="20"/>
                <w:szCs w:val="20"/>
              </w:rPr>
              <w:t xml:space="preserve">在厂区上游、下游各设置 </w:t>
            </w:r>
            <w:r>
              <w:rPr>
                <w:rFonts w:ascii="Times New Roman" w:hAnsi="Times New Roman" w:eastAsia="Times New Roman" w:cs="Times New Roman"/>
                <w:spacing w:val="5"/>
                <w:sz w:val="20"/>
                <w:szCs w:val="20"/>
              </w:rPr>
              <w:t xml:space="preserve">1 </w:t>
            </w:r>
            <w:r>
              <w:rPr>
                <w:rFonts w:ascii="宋体" w:hAnsi="宋体" w:eastAsia="宋体" w:cs="宋体"/>
                <w:spacing w:val="5"/>
                <w:sz w:val="20"/>
                <w:szCs w:val="20"/>
              </w:rPr>
              <w:t>眼地</w:t>
            </w:r>
          </w:p>
          <w:p w14:paraId="75087939">
            <w:pPr>
              <w:spacing w:before="64" w:line="228" w:lineRule="auto"/>
              <w:ind w:left="47"/>
              <w:rPr>
                <w:rFonts w:ascii="宋体" w:hAnsi="宋体" w:eastAsia="宋体" w:cs="宋体"/>
                <w:sz w:val="20"/>
                <w:szCs w:val="20"/>
              </w:rPr>
            </w:pPr>
            <w:r>
              <w:rPr>
                <w:rFonts w:ascii="宋体" w:hAnsi="宋体" w:eastAsia="宋体" w:cs="宋体"/>
                <w:spacing w:val="16"/>
                <w:sz w:val="20"/>
                <w:szCs w:val="20"/>
              </w:rPr>
              <w:t>下</w:t>
            </w:r>
            <w:r>
              <w:rPr>
                <w:rFonts w:ascii="宋体" w:hAnsi="宋体" w:eastAsia="宋体" w:cs="宋体"/>
                <w:spacing w:val="11"/>
                <w:sz w:val="20"/>
                <w:szCs w:val="20"/>
              </w:rPr>
              <w:t>水</w:t>
            </w:r>
            <w:r>
              <w:rPr>
                <w:rFonts w:ascii="宋体" w:hAnsi="宋体" w:eastAsia="宋体" w:cs="宋体"/>
                <w:spacing w:val="8"/>
                <w:sz w:val="20"/>
                <w:szCs w:val="20"/>
              </w:rPr>
              <w:t>跟踪监测井，定期对地下水</w:t>
            </w:r>
          </w:p>
          <w:p w14:paraId="5537551A">
            <w:pPr>
              <w:spacing w:before="65" w:line="228" w:lineRule="auto"/>
              <w:ind w:left="880"/>
              <w:rPr>
                <w:rFonts w:ascii="宋体" w:hAnsi="宋体" w:eastAsia="宋体" w:cs="宋体"/>
                <w:sz w:val="20"/>
                <w:szCs w:val="20"/>
              </w:rPr>
            </w:pPr>
            <w:r>
              <w:rPr>
                <w:rFonts w:ascii="宋体" w:hAnsi="宋体" w:eastAsia="宋体" w:cs="宋体"/>
                <w:spacing w:val="9"/>
                <w:sz w:val="20"/>
                <w:szCs w:val="20"/>
              </w:rPr>
              <w:t>环</w:t>
            </w:r>
            <w:r>
              <w:rPr>
                <w:rFonts w:ascii="宋体" w:hAnsi="宋体" w:eastAsia="宋体" w:cs="宋体"/>
                <w:spacing w:val="8"/>
                <w:sz w:val="20"/>
                <w:szCs w:val="20"/>
              </w:rPr>
              <w:t>境进行监测</w:t>
            </w:r>
          </w:p>
        </w:tc>
        <w:tc>
          <w:tcPr>
            <w:tcW w:w="2233" w:type="dxa"/>
            <w:tcBorders>
              <w:left w:val="single" w:color="000000" w:sz="4" w:space="0"/>
              <w:right w:val="nil"/>
            </w:tcBorders>
            <w:vAlign w:val="top"/>
          </w:tcPr>
          <w:p w14:paraId="53ADC014">
            <w:pPr>
              <w:tabs>
                <w:tab w:val="left" w:pos="135"/>
              </w:tabs>
              <w:spacing w:before="57" w:line="282" w:lineRule="auto"/>
              <w:ind w:left="24" w:right="6"/>
              <w:rPr>
                <w:rFonts w:ascii="宋体" w:hAnsi="宋体" w:eastAsia="宋体" w:cs="宋体"/>
                <w:sz w:val="20"/>
                <w:szCs w:val="20"/>
              </w:rPr>
            </w:pPr>
            <w:r>
              <w:rPr>
                <w:rFonts w:ascii="宋体" w:hAnsi="宋体" w:eastAsia="宋体" w:cs="宋体"/>
                <w:spacing w:val="4"/>
                <w:sz w:val="20"/>
                <w:szCs w:val="20"/>
              </w:rPr>
              <w:t>底部铺设</w:t>
            </w:r>
            <w:r>
              <w:rPr>
                <w:rFonts w:ascii="宋体" w:hAnsi="宋体" w:eastAsia="宋体" w:cs="宋体"/>
                <w:spacing w:val="2"/>
                <w:sz w:val="20"/>
                <w:szCs w:val="20"/>
              </w:rPr>
              <w:t xml:space="preserve"> </w:t>
            </w:r>
            <w:r>
              <w:rPr>
                <w:rFonts w:ascii="Times New Roman" w:hAnsi="Times New Roman" w:eastAsia="Times New Roman" w:cs="Times New Roman"/>
                <w:spacing w:val="2"/>
                <w:sz w:val="20"/>
                <w:szCs w:val="20"/>
              </w:rPr>
              <w:t>300</w:t>
            </w:r>
            <w:r>
              <w:rPr>
                <w:rFonts w:ascii="Times New Roman" w:hAnsi="Times New Roman" w:eastAsia="Times New Roman" w:cs="Times New Roman"/>
                <w:sz w:val="20"/>
                <w:szCs w:val="20"/>
              </w:rPr>
              <w:t>mm</w:t>
            </w:r>
            <w:r>
              <w:rPr>
                <w:rFonts w:ascii="Times New Roman" w:hAnsi="Times New Roman" w:eastAsia="Times New Roman" w:cs="Times New Roman"/>
                <w:spacing w:val="2"/>
                <w:sz w:val="20"/>
                <w:szCs w:val="20"/>
              </w:rPr>
              <w:t xml:space="preserve"> </w:t>
            </w:r>
            <w:r>
              <w:rPr>
                <w:rFonts w:ascii="宋体" w:hAnsi="宋体" w:eastAsia="宋体" w:cs="宋体"/>
                <w:spacing w:val="2"/>
                <w:sz w:val="20"/>
                <w:szCs w:val="20"/>
              </w:rPr>
              <w:t>黏土层</w:t>
            </w:r>
            <w:r>
              <w:rPr>
                <w:rFonts w:ascii="宋体" w:hAnsi="宋体" w:eastAsia="宋体" w:cs="宋体"/>
                <w:sz w:val="20"/>
                <w:szCs w:val="20"/>
              </w:rPr>
              <w:t xml:space="preserve"> </w:t>
            </w:r>
            <w:r>
              <w:rPr>
                <w:rFonts w:ascii="宋体" w:hAnsi="宋体" w:eastAsia="宋体" w:cs="宋体"/>
                <w:sz w:val="20"/>
                <w:szCs w:val="20"/>
              </w:rPr>
              <w:tab/>
            </w:r>
            <w:r>
              <w:rPr>
                <w:rFonts w:ascii="宋体" w:hAnsi="宋体" w:eastAsia="宋体" w:cs="宋体"/>
                <w:spacing w:val="-2"/>
                <w:sz w:val="20"/>
                <w:szCs w:val="20"/>
              </w:rPr>
              <w:t>(保护层，同时作</w:t>
            </w:r>
            <w:r>
              <w:rPr>
                <w:rFonts w:ascii="宋体" w:hAnsi="宋体" w:eastAsia="宋体" w:cs="宋体"/>
                <w:spacing w:val="-1"/>
                <w:sz w:val="20"/>
                <w:szCs w:val="20"/>
              </w:rPr>
              <w:t>为辅助</w:t>
            </w:r>
            <w:r>
              <w:rPr>
                <w:rFonts w:ascii="宋体" w:hAnsi="宋体" w:eastAsia="宋体" w:cs="宋体"/>
                <w:sz w:val="20"/>
                <w:szCs w:val="20"/>
              </w:rPr>
              <w:t xml:space="preserve"> </w:t>
            </w:r>
            <w:r>
              <w:rPr>
                <w:rFonts w:ascii="宋体" w:hAnsi="宋体" w:eastAsia="宋体" w:cs="宋体"/>
                <w:spacing w:val="-1"/>
                <w:sz w:val="20"/>
                <w:szCs w:val="20"/>
              </w:rPr>
              <w:t>防渗层) 压实平</w:t>
            </w:r>
            <w:r>
              <w:rPr>
                <w:rFonts w:ascii="宋体" w:hAnsi="宋体" w:eastAsia="宋体" w:cs="宋体"/>
                <w:sz w:val="20"/>
                <w:szCs w:val="20"/>
              </w:rPr>
              <w:t xml:space="preserve">整，黏土 </w:t>
            </w:r>
            <w:r>
              <w:rPr>
                <w:rFonts w:ascii="宋体" w:hAnsi="宋体" w:eastAsia="宋体" w:cs="宋体"/>
                <w:spacing w:val="9"/>
                <w:sz w:val="20"/>
                <w:szCs w:val="20"/>
              </w:rPr>
              <w:t>层</w:t>
            </w:r>
            <w:r>
              <w:rPr>
                <w:rFonts w:ascii="宋体" w:hAnsi="宋体" w:eastAsia="宋体" w:cs="宋体"/>
                <w:spacing w:val="7"/>
                <w:sz w:val="20"/>
                <w:szCs w:val="20"/>
              </w:rPr>
              <w:t xml:space="preserve">上铺设 </w:t>
            </w:r>
            <w:r>
              <w:rPr>
                <w:rFonts w:ascii="Times New Roman" w:hAnsi="Times New Roman" w:eastAsia="Times New Roman" w:cs="Times New Roman"/>
                <w:sz w:val="20"/>
                <w:szCs w:val="20"/>
              </w:rPr>
              <w:t>HDPE</w:t>
            </w:r>
            <w:r>
              <w:rPr>
                <w:rFonts w:ascii="Times New Roman" w:hAnsi="Times New Roman" w:eastAsia="Times New Roman" w:cs="Times New Roman"/>
                <w:spacing w:val="7"/>
                <w:sz w:val="20"/>
                <w:szCs w:val="20"/>
              </w:rPr>
              <w:t>-</w:t>
            </w:r>
            <w:r>
              <w:rPr>
                <w:rFonts w:ascii="Times New Roman" w:hAnsi="Times New Roman" w:eastAsia="Times New Roman" w:cs="Times New Roman"/>
                <w:sz w:val="20"/>
                <w:szCs w:val="20"/>
              </w:rPr>
              <w:t>GCL</w:t>
            </w:r>
            <w:r>
              <w:rPr>
                <w:rFonts w:ascii="Times New Roman" w:hAnsi="Times New Roman" w:eastAsia="Times New Roman" w:cs="Times New Roman"/>
                <w:spacing w:val="7"/>
                <w:sz w:val="20"/>
                <w:szCs w:val="20"/>
              </w:rPr>
              <w:t xml:space="preserve"> </w:t>
            </w:r>
            <w:r>
              <w:rPr>
                <w:rFonts w:ascii="宋体" w:hAnsi="宋体" w:eastAsia="宋体" w:cs="宋体"/>
                <w:spacing w:val="7"/>
                <w:sz w:val="20"/>
                <w:szCs w:val="20"/>
              </w:rPr>
              <w:t>复</w:t>
            </w:r>
            <w:r>
              <w:rPr>
                <w:rFonts w:ascii="宋体" w:hAnsi="宋体" w:eastAsia="宋体" w:cs="宋体"/>
                <w:sz w:val="20"/>
                <w:szCs w:val="20"/>
              </w:rPr>
              <w:t xml:space="preserve"> </w:t>
            </w:r>
            <w:r>
              <w:rPr>
                <w:rFonts w:ascii="宋体" w:hAnsi="宋体" w:eastAsia="宋体" w:cs="宋体"/>
                <w:spacing w:val="11"/>
                <w:sz w:val="20"/>
                <w:szCs w:val="20"/>
              </w:rPr>
              <w:t>合</w:t>
            </w:r>
            <w:r>
              <w:rPr>
                <w:rFonts w:ascii="宋体" w:hAnsi="宋体" w:eastAsia="宋体" w:cs="宋体"/>
                <w:spacing w:val="8"/>
                <w:sz w:val="20"/>
                <w:szCs w:val="20"/>
              </w:rPr>
              <w:t>防渗系统(</w:t>
            </w:r>
            <w:r>
              <w:rPr>
                <w:rFonts w:ascii="Times New Roman" w:hAnsi="Times New Roman" w:eastAsia="Times New Roman" w:cs="Times New Roman"/>
                <w:spacing w:val="8"/>
                <w:sz w:val="20"/>
                <w:szCs w:val="20"/>
              </w:rPr>
              <w:t>2</w:t>
            </w:r>
            <w:r>
              <w:rPr>
                <w:rFonts w:ascii="Times New Roman" w:hAnsi="Times New Roman" w:eastAsia="Times New Roman" w:cs="Times New Roman"/>
                <w:sz w:val="20"/>
                <w:szCs w:val="20"/>
              </w:rPr>
              <w:t>mm</w:t>
            </w:r>
            <w:r>
              <w:rPr>
                <w:rFonts w:ascii="宋体" w:hAnsi="宋体" w:eastAsia="宋体" w:cs="宋体"/>
                <w:spacing w:val="8"/>
                <w:sz w:val="20"/>
                <w:szCs w:val="20"/>
              </w:rPr>
              <w:t>厚的高</w:t>
            </w:r>
            <w:r>
              <w:rPr>
                <w:rFonts w:ascii="宋体" w:hAnsi="宋体" w:eastAsia="宋体" w:cs="宋体"/>
                <w:sz w:val="20"/>
                <w:szCs w:val="20"/>
              </w:rPr>
              <w:t xml:space="preserve"> </w:t>
            </w:r>
            <w:r>
              <w:rPr>
                <w:rFonts w:ascii="宋体" w:hAnsi="宋体" w:eastAsia="宋体" w:cs="宋体"/>
                <w:spacing w:val="13"/>
                <w:sz w:val="20"/>
                <w:szCs w:val="20"/>
              </w:rPr>
              <w:t>密</w:t>
            </w:r>
            <w:r>
              <w:rPr>
                <w:rFonts w:ascii="宋体" w:hAnsi="宋体" w:eastAsia="宋体" w:cs="宋体"/>
                <w:spacing w:val="9"/>
                <w:sz w:val="20"/>
                <w:szCs w:val="20"/>
              </w:rPr>
              <w:t>度聚乙烯膜、</w:t>
            </w:r>
            <w:r>
              <w:rPr>
                <w:rFonts w:ascii="Times New Roman" w:hAnsi="Times New Roman" w:eastAsia="Times New Roman" w:cs="Times New Roman"/>
                <w:spacing w:val="9"/>
                <w:sz w:val="20"/>
                <w:szCs w:val="20"/>
              </w:rPr>
              <w:t>300</w:t>
            </w:r>
            <w:r>
              <w:rPr>
                <w:rFonts w:ascii="Times New Roman" w:hAnsi="Times New Roman" w:eastAsia="Times New Roman" w:cs="Times New Roman"/>
                <w:sz w:val="20"/>
                <w:szCs w:val="20"/>
              </w:rPr>
              <w:t>g</w:t>
            </w:r>
            <w:r>
              <w:rPr>
                <w:rFonts w:ascii="Times New Roman" w:hAnsi="Times New Roman" w:eastAsia="Times New Roman" w:cs="Times New Roman"/>
                <w:spacing w:val="9"/>
                <w:sz w:val="20"/>
                <w:szCs w:val="20"/>
              </w:rPr>
              <w:t>/</w:t>
            </w:r>
            <w:r>
              <w:rPr>
                <w:rFonts w:ascii="Times New Roman" w:hAnsi="Times New Roman" w:eastAsia="Times New Roman" w:cs="Times New Roman"/>
                <w:sz w:val="20"/>
                <w:szCs w:val="20"/>
              </w:rPr>
              <w:t>m</w:t>
            </w:r>
            <w:r>
              <w:rPr>
                <w:rFonts w:ascii="Times New Roman" w:hAnsi="Times New Roman" w:eastAsia="Times New Roman" w:cs="Times New Roman"/>
                <w:spacing w:val="9"/>
                <w:position w:val="6"/>
                <w:sz w:val="13"/>
                <w:szCs w:val="13"/>
              </w:rPr>
              <w:t>2</w:t>
            </w:r>
            <w:r>
              <w:rPr>
                <w:rFonts w:ascii="Times New Roman" w:hAnsi="Times New Roman" w:eastAsia="Times New Roman" w:cs="Times New Roman"/>
                <w:position w:val="6"/>
                <w:sz w:val="13"/>
                <w:szCs w:val="13"/>
              </w:rPr>
              <w:t xml:space="preserve"> </w:t>
            </w:r>
            <w:r>
              <w:rPr>
                <w:rFonts w:ascii="宋体" w:hAnsi="宋体" w:eastAsia="宋体" w:cs="宋体"/>
                <w:spacing w:val="-1"/>
                <w:sz w:val="20"/>
                <w:szCs w:val="20"/>
              </w:rPr>
              <w:t>土工织物膨润土垫</w:t>
            </w:r>
            <w:r>
              <w:rPr>
                <w:rFonts w:ascii="宋体" w:hAnsi="宋体" w:eastAsia="宋体" w:cs="宋体"/>
                <w:sz w:val="20"/>
                <w:szCs w:val="20"/>
              </w:rPr>
              <w:t xml:space="preserve">) ，上 </w:t>
            </w:r>
            <w:r>
              <w:rPr>
                <w:rFonts w:ascii="宋体" w:hAnsi="宋体" w:eastAsia="宋体" w:cs="宋体"/>
                <w:spacing w:val="-24"/>
                <w:sz w:val="20"/>
                <w:szCs w:val="20"/>
              </w:rPr>
              <w:t>部 外 加 耐 腐 蚀 混 凝 土</w:t>
            </w:r>
            <w:r>
              <w:rPr>
                <w:rFonts w:ascii="宋体" w:hAnsi="宋体" w:eastAsia="宋体" w:cs="宋体"/>
                <w:sz w:val="20"/>
                <w:szCs w:val="20"/>
              </w:rPr>
              <w:t xml:space="preserve"> </w:t>
            </w:r>
            <w:r>
              <w:rPr>
                <w:rFonts w:ascii="Times New Roman" w:hAnsi="Times New Roman" w:eastAsia="Times New Roman" w:cs="Times New Roman"/>
                <w:spacing w:val="-3"/>
                <w:sz w:val="20"/>
                <w:szCs w:val="20"/>
              </w:rPr>
              <w:t xml:space="preserve">15cm  </w:t>
            </w:r>
            <w:r>
              <w:rPr>
                <w:rFonts w:ascii="宋体" w:hAnsi="宋体" w:eastAsia="宋体" w:cs="宋体"/>
                <w:spacing w:val="-3"/>
                <w:sz w:val="20"/>
                <w:szCs w:val="20"/>
              </w:rPr>
              <w:t>(保护层) 等防渗，</w:t>
            </w:r>
            <w:r>
              <w:rPr>
                <w:rFonts w:ascii="宋体" w:hAnsi="宋体" w:eastAsia="宋体" w:cs="宋体"/>
                <w:sz w:val="20"/>
                <w:szCs w:val="20"/>
              </w:rPr>
              <w:t xml:space="preserve"> </w:t>
            </w:r>
            <w:r>
              <w:rPr>
                <w:rFonts w:ascii="宋体" w:hAnsi="宋体" w:eastAsia="宋体" w:cs="宋体"/>
                <w:spacing w:val="-2"/>
                <w:sz w:val="20"/>
                <w:szCs w:val="20"/>
              </w:rPr>
              <w:t>侧壁</w:t>
            </w:r>
            <w:r>
              <w:rPr>
                <w:rFonts w:ascii="宋体" w:hAnsi="宋体" w:eastAsia="宋体" w:cs="宋体"/>
                <w:spacing w:val="-1"/>
                <w:sz w:val="20"/>
                <w:szCs w:val="20"/>
              </w:rPr>
              <w:t>均设防渗墙。</w:t>
            </w:r>
          </w:p>
        </w:tc>
      </w:tr>
      <w:tr w14:paraId="188E5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7" w:hRule="atLeast"/>
        </w:trPr>
        <w:tc>
          <w:tcPr>
            <w:tcW w:w="523" w:type="dxa"/>
            <w:vMerge w:val="continue"/>
            <w:tcBorders>
              <w:top w:val="nil"/>
              <w:left w:val="nil"/>
              <w:bottom w:val="nil"/>
              <w:right w:val="single" w:color="000000" w:sz="4" w:space="0"/>
            </w:tcBorders>
            <w:textDirection w:val="tbRlV"/>
            <w:vAlign w:val="top"/>
          </w:tcPr>
          <w:p w14:paraId="18171188">
            <w:pPr>
              <w:rPr>
                <w:rFonts w:ascii="Arial"/>
                <w:sz w:val="21"/>
              </w:rPr>
            </w:pPr>
          </w:p>
        </w:tc>
        <w:tc>
          <w:tcPr>
            <w:tcW w:w="1320" w:type="dxa"/>
            <w:tcBorders>
              <w:left w:val="single" w:color="000000" w:sz="4" w:space="0"/>
              <w:right w:val="single" w:color="000000" w:sz="4" w:space="0"/>
            </w:tcBorders>
            <w:vAlign w:val="top"/>
          </w:tcPr>
          <w:p w14:paraId="6A458CE2">
            <w:pPr>
              <w:spacing w:before="21" w:line="293" w:lineRule="auto"/>
              <w:ind w:left="36" w:right="25" w:firstLine="1"/>
              <w:rPr>
                <w:rFonts w:ascii="宋体" w:hAnsi="宋体" w:eastAsia="宋体" w:cs="宋体"/>
                <w:sz w:val="20"/>
                <w:szCs w:val="20"/>
              </w:rPr>
            </w:pPr>
            <w:r>
              <w:rPr>
                <w:rFonts w:ascii="宋体" w:hAnsi="宋体" w:eastAsia="宋体" w:cs="宋体"/>
                <w:spacing w:val="9"/>
                <w:sz w:val="20"/>
                <w:szCs w:val="20"/>
              </w:rPr>
              <w:t>办</w:t>
            </w:r>
            <w:r>
              <w:rPr>
                <w:rFonts w:ascii="宋体" w:hAnsi="宋体" w:eastAsia="宋体" w:cs="宋体"/>
                <w:spacing w:val="6"/>
                <w:sz w:val="20"/>
                <w:szCs w:val="20"/>
              </w:rPr>
              <w:t>公室、</w:t>
            </w:r>
            <w:r>
              <w:rPr>
                <w:rFonts w:ascii="Times New Roman" w:hAnsi="Times New Roman" w:eastAsia="Times New Roman" w:cs="Times New Roman"/>
                <w:spacing w:val="6"/>
                <w:sz w:val="20"/>
                <w:szCs w:val="20"/>
              </w:rPr>
              <w:t>1#</w:t>
            </w:r>
            <w:r>
              <w:rPr>
                <w:rFonts w:ascii="宋体" w:hAnsi="宋体" w:eastAsia="宋体" w:cs="宋体"/>
                <w:spacing w:val="6"/>
                <w:sz w:val="20"/>
                <w:szCs w:val="20"/>
              </w:rPr>
              <w:t>员</w:t>
            </w:r>
            <w:r>
              <w:rPr>
                <w:rFonts w:ascii="宋体" w:hAnsi="宋体" w:eastAsia="宋体" w:cs="宋体"/>
                <w:sz w:val="20"/>
                <w:szCs w:val="20"/>
              </w:rPr>
              <w:t xml:space="preserve"> </w:t>
            </w:r>
            <w:r>
              <w:rPr>
                <w:rFonts w:ascii="宋体" w:hAnsi="宋体" w:eastAsia="宋体" w:cs="宋体"/>
                <w:spacing w:val="7"/>
                <w:sz w:val="20"/>
                <w:szCs w:val="20"/>
              </w:rPr>
              <w:t>工休息室、</w:t>
            </w:r>
            <w:r>
              <w:rPr>
                <w:rFonts w:ascii="Times New Roman" w:hAnsi="Times New Roman" w:eastAsia="Times New Roman" w:cs="Times New Roman"/>
                <w:spacing w:val="7"/>
                <w:sz w:val="20"/>
                <w:szCs w:val="20"/>
              </w:rPr>
              <w:t>2</w:t>
            </w:r>
            <w:r>
              <w:rPr>
                <w:rFonts w:ascii="Times New Roman" w:hAnsi="Times New Roman" w:eastAsia="Times New Roman" w:cs="Times New Roman"/>
                <w:spacing w:val="6"/>
                <w:sz w:val="20"/>
                <w:szCs w:val="20"/>
              </w:rPr>
              <w:t>#</w:t>
            </w:r>
            <w:r>
              <w:rPr>
                <w:rFonts w:ascii="Times New Roman" w:hAnsi="Times New Roman" w:eastAsia="Times New Roman" w:cs="Times New Roman"/>
                <w:sz w:val="20"/>
                <w:szCs w:val="20"/>
              </w:rPr>
              <w:t xml:space="preserve"> </w:t>
            </w:r>
            <w:r>
              <w:rPr>
                <w:rFonts w:ascii="宋体" w:hAnsi="宋体" w:eastAsia="宋体" w:cs="宋体"/>
                <w:spacing w:val="8"/>
                <w:sz w:val="20"/>
                <w:szCs w:val="20"/>
              </w:rPr>
              <w:t>员</w:t>
            </w:r>
            <w:r>
              <w:rPr>
                <w:rFonts w:ascii="宋体" w:hAnsi="宋体" w:eastAsia="宋体" w:cs="宋体"/>
                <w:spacing w:val="6"/>
                <w:sz w:val="20"/>
                <w:szCs w:val="20"/>
              </w:rPr>
              <w:t>工休息室、</w:t>
            </w:r>
          </w:p>
          <w:p w14:paraId="4B79EA20">
            <w:pPr>
              <w:spacing w:before="20" w:line="228" w:lineRule="auto"/>
              <w:ind w:left="141"/>
              <w:rPr>
                <w:rFonts w:ascii="宋体" w:hAnsi="宋体" w:eastAsia="宋体" w:cs="宋体"/>
                <w:sz w:val="20"/>
                <w:szCs w:val="20"/>
              </w:rPr>
            </w:pPr>
            <w:r>
              <w:rPr>
                <w:rFonts w:ascii="宋体" w:hAnsi="宋体" w:eastAsia="宋体" w:cs="宋体"/>
                <w:spacing w:val="10"/>
                <w:sz w:val="20"/>
                <w:szCs w:val="20"/>
              </w:rPr>
              <w:t>备</w:t>
            </w:r>
            <w:r>
              <w:rPr>
                <w:rFonts w:ascii="宋体" w:hAnsi="宋体" w:eastAsia="宋体" w:cs="宋体"/>
                <w:spacing w:val="7"/>
                <w:sz w:val="20"/>
                <w:szCs w:val="20"/>
              </w:rPr>
              <w:t>品备件库</w:t>
            </w:r>
          </w:p>
        </w:tc>
        <w:tc>
          <w:tcPr>
            <w:tcW w:w="1260" w:type="dxa"/>
            <w:vMerge w:val="continue"/>
            <w:tcBorders>
              <w:top w:val="nil"/>
              <w:left w:val="single" w:color="000000" w:sz="4" w:space="0"/>
              <w:bottom w:val="nil"/>
              <w:right w:val="single" w:color="000000" w:sz="4" w:space="0"/>
            </w:tcBorders>
            <w:vAlign w:val="top"/>
          </w:tcPr>
          <w:p w14:paraId="2DCEBBB6">
            <w:pPr>
              <w:rPr>
                <w:rFonts w:ascii="Arial"/>
                <w:sz w:val="21"/>
              </w:rPr>
            </w:pPr>
          </w:p>
        </w:tc>
        <w:tc>
          <w:tcPr>
            <w:tcW w:w="3015" w:type="dxa"/>
            <w:vMerge w:val="continue"/>
            <w:tcBorders>
              <w:top w:val="nil"/>
              <w:left w:val="single" w:color="000000" w:sz="4" w:space="0"/>
              <w:bottom w:val="nil"/>
              <w:right w:val="single" w:color="000000" w:sz="4" w:space="0"/>
            </w:tcBorders>
            <w:vAlign w:val="top"/>
          </w:tcPr>
          <w:p w14:paraId="46E9742B">
            <w:pPr>
              <w:rPr>
                <w:rFonts w:ascii="Arial"/>
                <w:sz w:val="21"/>
              </w:rPr>
            </w:pPr>
          </w:p>
        </w:tc>
        <w:tc>
          <w:tcPr>
            <w:tcW w:w="2233" w:type="dxa"/>
            <w:tcBorders>
              <w:left w:val="single" w:color="000000" w:sz="4" w:space="0"/>
              <w:right w:val="nil"/>
            </w:tcBorders>
            <w:vAlign w:val="top"/>
          </w:tcPr>
          <w:p w14:paraId="35CDA809">
            <w:pPr>
              <w:spacing w:before="57" w:line="273" w:lineRule="auto"/>
              <w:ind w:left="24" w:right="9"/>
              <w:rPr>
                <w:rFonts w:ascii="宋体" w:hAnsi="宋体" w:eastAsia="宋体" w:cs="宋体"/>
                <w:sz w:val="20"/>
                <w:szCs w:val="20"/>
              </w:rPr>
            </w:pPr>
            <w:r>
              <w:rPr>
                <w:rFonts w:ascii="宋体" w:hAnsi="宋体" w:eastAsia="宋体" w:cs="宋体"/>
                <w:spacing w:val="-15"/>
                <w:sz w:val="20"/>
                <w:szCs w:val="20"/>
              </w:rPr>
              <w:t>底</w:t>
            </w:r>
            <w:r>
              <w:rPr>
                <w:rFonts w:ascii="宋体" w:hAnsi="宋体" w:eastAsia="宋体" w:cs="宋体"/>
                <w:spacing w:val="-13"/>
                <w:sz w:val="20"/>
                <w:szCs w:val="20"/>
              </w:rPr>
              <w:t xml:space="preserve">部做基础防渗，铺设 </w:t>
            </w:r>
            <w:r>
              <w:rPr>
                <w:rFonts w:ascii="Times New Roman" w:hAnsi="Times New Roman" w:eastAsia="Times New Roman" w:cs="Times New Roman"/>
                <w:spacing w:val="-13"/>
                <w:sz w:val="20"/>
                <w:szCs w:val="20"/>
              </w:rPr>
              <w:t>1m</w:t>
            </w:r>
            <w:r>
              <w:rPr>
                <w:rFonts w:ascii="Times New Roman" w:hAnsi="Times New Roman" w:eastAsia="Times New Roman" w:cs="Times New Roman"/>
                <w:sz w:val="20"/>
                <w:szCs w:val="20"/>
              </w:rPr>
              <w:t xml:space="preserve"> </w:t>
            </w:r>
            <w:r>
              <w:rPr>
                <w:rFonts w:ascii="宋体" w:hAnsi="宋体" w:eastAsia="宋体" w:cs="宋体"/>
                <w:spacing w:val="-1"/>
                <w:sz w:val="20"/>
                <w:szCs w:val="20"/>
              </w:rPr>
              <w:t>厚黏土层，再用耐腐</w:t>
            </w:r>
            <w:r>
              <w:rPr>
                <w:rFonts w:ascii="宋体" w:hAnsi="宋体" w:eastAsia="宋体" w:cs="宋体"/>
                <w:sz w:val="20"/>
                <w:szCs w:val="20"/>
              </w:rPr>
              <w:t xml:space="preserve">蚀混 </w:t>
            </w:r>
            <w:r>
              <w:rPr>
                <w:rFonts w:ascii="宋体" w:hAnsi="宋体" w:eastAsia="宋体" w:cs="宋体"/>
                <w:spacing w:val="-1"/>
                <w:sz w:val="20"/>
                <w:szCs w:val="20"/>
              </w:rPr>
              <w:t>凝</w:t>
            </w:r>
            <w:r>
              <w:rPr>
                <w:rFonts w:ascii="宋体" w:hAnsi="宋体" w:eastAsia="宋体" w:cs="宋体"/>
                <w:sz w:val="20"/>
                <w:szCs w:val="20"/>
              </w:rPr>
              <w:t xml:space="preserve">土 </w:t>
            </w:r>
            <w:r>
              <w:rPr>
                <w:rFonts w:ascii="Times New Roman" w:hAnsi="Times New Roman" w:eastAsia="Times New Roman" w:cs="Times New Roman"/>
                <w:sz w:val="20"/>
                <w:szCs w:val="20"/>
              </w:rPr>
              <w:t xml:space="preserve">15cm </w:t>
            </w:r>
            <w:r>
              <w:rPr>
                <w:rFonts w:ascii="宋体" w:hAnsi="宋体" w:eastAsia="宋体" w:cs="宋体"/>
                <w:sz w:val="20"/>
                <w:szCs w:val="20"/>
              </w:rPr>
              <w:t xml:space="preserve">浇铸，上部铺 </w:t>
            </w:r>
            <w:r>
              <w:rPr>
                <w:rFonts w:ascii="宋体" w:hAnsi="宋体" w:eastAsia="宋体" w:cs="宋体"/>
                <w:spacing w:val="-2"/>
                <w:sz w:val="20"/>
                <w:szCs w:val="20"/>
              </w:rPr>
              <w:t>设</w:t>
            </w:r>
            <w:r>
              <w:rPr>
                <w:rFonts w:ascii="宋体" w:hAnsi="宋体" w:eastAsia="宋体" w:cs="宋体"/>
                <w:spacing w:val="-1"/>
                <w:sz w:val="20"/>
                <w:szCs w:val="20"/>
              </w:rPr>
              <w:t>耐腐蚀砖。</w:t>
            </w:r>
          </w:p>
        </w:tc>
      </w:tr>
      <w:tr w14:paraId="3BB178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523" w:type="dxa"/>
            <w:vMerge w:val="continue"/>
            <w:tcBorders>
              <w:top w:val="nil"/>
              <w:left w:val="nil"/>
              <w:right w:val="single" w:color="000000" w:sz="4" w:space="0"/>
            </w:tcBorders>
            <w:textDirection w:val="tbRlV"/>
            <w:vAlign w:val="top"/>
          </w:tcPr>
          <w:p w14:paraId="4729C78D">
            <w:pPr>
              <w:rPr>
                <w:rFonts w:ascii="Arial"/>
                <w:sz w:val="21"/>
              </w:rPr>
            </w:pPr>
          </w:p>
        </w:tc>
        <w:tc>
          <w:tcPr>
            <w:tcW w:w="1320" w:type="dxa"/>
            <w:tcBorders>
              <w:left w:val="single" w:color="000000" w:sz="4" w:space="0"/>
              <w:right w:val="single" w:color="000000" w:sz="4" w:space="0"/>
            </w:tcBorders>
            <w:vAlign w:val="top"/>
          </w:tcPr>
          <w:p w14:paraId="076CC016">
            <w:pPr>
              <w:spacing w:before="59" w:line="258" w:lineRule="auto"/>
              <w:ind w:left="139" w:right="26" w:hanging="106"/>
              <w:rPr>
                <w:rFonts w:ascii="宋体" w:hAnsi="宋体" w:eastAsia="宋体" w:cs="宋体"/>
                <w:sz w:val="20"/>
                <w:szCs w:val="20"/>
              </w:rPr>
            </w:pPr>
            <w:r>
              <w:rPr>
                <w:rFonts w:ascii="宋体" w:hAnsi="宋体" w:eastAsia="宋体" w:cs="宋体"/>
                <w:spacing w:val="9"/>
                <w:sz w:val="20"/>
                <w:szCs w:val="20"/>
              </w:rPr>
              <w:t>全</w:t>
            </w:r>
            <w:r>
              <w:rPr>
                <w:rFonts w:ascii="宋体" w:hAnsi="宋体" w:eastAsia="宋体" w:cs="宋体"/>
                <w:spacing w:val="8"/>
                <w:sz w:val="20"/>
                <w:szCs w:val="20"/>
              </w:rPr>
              <w:t>厂区绿地外</w:t>
            </w:r>
            <w:r>
              <w:rPr>
                <w:rFonts w:ascii="宋体" w:hAnsi="宋体" w:eastAsia="宋体" w:cs="宋体"/>
                <w:sz w:val="20"/>
                <w:szCs w:val="20"/>
              </w:rPr>
              <w:t xml:space="preserve"> </w:t>
            </w:r>
            <w:r>
              <w:rPr>
                <w:rFonts w:ascii="宋体" w:hAnsi="宋体" w:eastAsia="宋体" w:cs="宋体"/>
                <w:spacing w:val="8"/>
                <w:sz w:val="20"/>
                <w:szCs w:val="20"/>
              </w:rPr>
              <w:t>其他构筑</w:t>
            </w:r>
            <w:r>
              <w:rPr>
                <w:rFonts w:ascii="宋体" w:hAnsi="宋体" w:eastAsia="宋体" w:cs="宋体"/>
                <w:spacing w:val="7"/>
                <w:sz w:val="20"/>
                <w:szCs w:val="20"/>
              </w:rPr>
              <w:t>物</w:t>
            </w:r>
          </w:p>
        </w:tc>
        <w:tc>
          <w:tcPr>
            <w:tcW w:w="1260" w:type="dxa"/>
            <w:vMerge w:val="continue"/>
            <w:tcBorders>
              <w:top w:val="nil"/>
              <w:left w:val="single" w:color="000000" w:sz="4" w:space="0"/>
              <w:right w:val="single" w:color="000000" w:sz="4" w:space="0"/>
            </w:tcBorders>
            <w:vAlign w:val="top"/>
          </w:tcPr>
          <w:p w14:paraId="2C8DEB62">
            <w:pPr>
              <w:rPr>
                <w:rFonts w:ascii="Arial"/>
                <w:sz w:val="21"/>
              </w:rPr>
            </w:pPr>
          </w:p>
        </w:tc>
        <w:tc>
          <w:tcPr>
            <w:tcW w:w="3015" w:type="dxa"/>
            <w:vMerge w:val="continue"/>
            <w:tcBorders>
              <w:top w:val="nil"/>
              <w:left w:val="single" w:color="000000" w:sz="4" w:space="0"/>
              <w:right w:val="single" w:color="000000" w:sz="4" w:space="0"/>
            </w:tcBorders>
            <w:vAlign w:val="top"/>
          </w:tcPr>
          <w:p w14:paraId="5487B985">
            <w:pPr>
              <w:rPr>
                <w:rFonts w:ascii="Arial"/>
                <w:sz w:val="21"/>
              </w:rPr>
            </w:pPr>
          </w:p>
        </w:tc>
        <w:tc>
          <w:tcPr>
            <w:tcW w:w="2233" w:type="dxa"/>
            <w:tcBorders>
              <w:left w:val="single" w:color="000000" w:sz="4" w:space="0"/>
              <w:right w:val="nil"/>
            </w:tcBorders>
            <w:vAlign w:val="top"/>
          </w:tcPr>
          <w:p w14:paraId="7E56CD3B">
            <w:pPr>
              <w:spacing w:before="59" w:line="257" w:lineRule="auto"/>
              <w:ind w:left="27" w:right="11" w:hanging="3"/>
              <w:rPr>
                <w:rFonts w:ascii="宋体" w:hAnsi="宋体" w:eastAsia="宋体" w:cs="宋体"/>
                <w:sz w:val="20"/>
                <w:szCs w:val="20"/>
              </w:rPr>
            </w:pPr>
            <w:r>
              <w:rPr>
                <w:rFonts w:ascii="宋体" w:hAnsi="宋体" w:eastAsia="宋体" w:cs="宋体"/>
                <w:spacing w:val="-1"/>
                <w:sz w:val="20"/>
                <w:szCs w:val="20"/>
              </w:rPr>
              <w:t>采取混凝土地面，上</w:t>
            </w:r>
            <w:r>
              <w:rPr>
                <w:rFonts w:ascii="宋体" w:hAnsi="宋体" w:eastAsia="宋体" w:cs="宋体"/>
                <w:sz w:val="20"/>
                <w:szCs w:val="20"/>
              </w:rPr>
              <w:t xml:space="preserve">涂耐 </w:t>
            </w:r>
            <w:r>
              <w:rPr>
                <w:rFonts w:ascii="宋体" w:hAnsi="宋体" w:eastAsia="宋体" w:cs="宋体"/>
                <w:spacing w:val="-2"/>
                <w:sz w:val="20"/>
                <w:szCs w:val="20"/>
              </w:rPr>
              <w:t>磨环氧树脂地面涂</w:t>
            </w:r>
            <w:r>
              <w:rPr>
                <w:rFonts w:ascii="宋体" w:hAnsi="宋体" w:eastAsia="宋体" w:cs="宋体"/>
                <w:spacing w:val="-1"/>
                <w:sz w:val="20"/>
                <w:szCs w:val="20"/>
              </w:rPr>
              <w:t>料。</w:t>
            </w:r>
          </w:p>
        </w:tc>
      </w:tr>
      <w:tr w14:paraId="7CF9BB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6" w:hRule="atLeast"/>
        </w:trPr>
        <w:tc>
          <w:tcPr>
            <w:tcW w:w="523" w:type="dxa"/>
            <w:tcBorders>
              <w:left w:val="nil"/>
              <w:right w:val="single" w:color="000000" w:sz="4" w:space="0"/>
            </w:tcBorders>
            <w:vAlign w:val="top"/>
          </w:tcPr>
          <w:p w14:paraId="1E46C0FE">
            <w:pPr>
              <w:spacing w:line="305" w:lineRule="auto"/>
              <w:rPr>
                <w:rFonts w:ascii="Arial"/>
                <w:sz w:val="21"/>
              </w:rPr>
            </w:pPr>
          </w:p>
          <w:p w14:paraId="3F145CB4">
            <w:pPr>
              <w:spacing w:before="65" w:line="228" w:lineRule="auto"/>
              <w:ind w:left="69"/>
              <w:rPr>
                <w:rFonts w:ascii="宋体" w:hAnsi="宋体" w:eastAsia="宋体" w:cs="宋体"/>
                <w:sz w:val="20"/>
                <w:szCs w:val="20"/>
              </w:rPr>
            </w:pPr>
            <w:r>
              <w:rPr>
                <w:rFonts w:ascii="宋体" w:hAnsi="宋体" w:eastAsia="宋体" w:cs="宋体"/>
                <w:spacing w:val="-1"/>
                <w:sz w:val="20"/>
                <w:szCs w:val="20"/>
              </w:rPr>
              <w:t>噪</w:t>
            </w:r>
            <w:r>
              <w:rPr>
                <w:rFonts w:ascii="宋体" w:hAnsi="宋体" w:eastAsia="宋体" w:cs="宋体"/>
                <w:sz w:val="20"/>
                <w:szCs w:val="20"/>
              </w:rPr>
              <w:t>声</w:t>
            </w:r>
          </w:p>
        </w:tc>
        <w:tc>
          <w:tcPr>
            <w:tcW w:w="1320" w:type="dxa"/>
            <w:tcBorders>
              <w:left w:val="single" w:color="000000" w:sz="4" w:space="0"/>
              <w:right w:val="single" w:color="000000" w:sz="4" w:space="0"/>
            </w:tcBorders>
            <w:vAlign w:val="top"/>
          </w:tcPr>
          <w:p w14:paraId="0B8C2994">
            <w:pPr>
              <w:spacing w:before="217" w:line="300" w:lineRule="auto"/>
              <w:ind w:left="25" w:firstLine="71"/>
              <w:rPr>
                <w:rFonts w:ascii="宋体" w:hAnsi="宋体" w:eastAsia="宋体" w:cs="宋体"/>
                <w:sz w:val="20"/>
                <w:szCs w:val="20"/>
              </w:rPr>
            </w:pPr>
            <w:r>
              <w:rPr>
                <w:rFonts w:ascii="宋体" w:hAnsi="宋体" w:eastAsia="宋体" w:cs="宋体"/>
                <w:spacing w:val="-10"/>
                <w:sz w:val="20"/>
                <w:szCs w:val="20"/>
              </w:rPr>
              <w:t>粉碎机、喂料</w:t>
            </w:r>
            <w:r>
              <w:rPr>
                <w:rFonts w:ascii="宋体" w:hAnsi="宋体" w:eastAsia="宋体" w:cs="宋体"/>
                <w:sz w:val="20"/>
                <w:szCs w:val="20"/>
              </w:rPr>
              <w:t xml:space="preserve"> </w:t>
            </w:r>
            <w:r>
              <w:rPr>
                <w:rFonts w:ascii="宋体" w:hAnsi="宋体" w:eastAsia="宋体" w:cs="宋体"/>
                <w:spacing w:val="-20"/>
                <w:sz w:val="20"/>
                <w:szCs w:val="20"/>
              </w:rPr>
              <w:t>机</w:t>
            </w:r>
            <w:r>
              <w:rPr>
                <w:rFonts w:ascii="宋体" w:hAnsi="宋体" w:eastAsia="宋体" w:cs="宋体"/>
                <w:spacing w:val="-16"/>
                <w:sz w:val="20"/>
                <w:szCs w:val="20"/>
              </w:rPr>
              <w:t>、循环水泵等</w:t>
            </w:r>
          </w:p>
        </w:tc>
        <w:tc>
          <w:tcPr>
            <w:tcW w:w="1260" w:type="dxa"/>
            <w:tcBorders>
              <w:left w:val="single" w:color="000000" w:sz="4" w:space="0"/>
              <w:right w:val="single" w:color="000000" w:sz="4" w:space="0"/>
            </w:tcBorders>
            <w:vAlign w:val="top"/>
          </w:tcPr>
          <w:p w14:paraId="51774310">
            <w:pPr>
              <w:spacing w:line="305" w:lineRule="auto"/>
              <w:rPr>
                <w:rFonts w:ascii="Arial"/>
                <w:sz w:val="21"/>
              </w:rPr>
            </w:pPr>
          </w:p>
          <w:p w14:paraId="2A58EA1A">
            <w:pPr>
              <w:spacing w:before="65" w:line="228" w:lineRule="auto"/>
              <w:ind w:left="432"/>
              <w:rPr>
                <w:rFonts w:ascii="宋体" w:hAnsi="宋体" w:eastAsia="宋体" w:cs="宋体"/>
                <w:sz w:val="20"/>
                <w:szCs w:val="20"/>
              </w:rPr>
            </w:pPr>
            <w:r>
              <w:rPr>
                <w:rFonts w:ascii="宋体" w:hAnsi="宋体" w:eastAsia="宋体" w:cs="宋体"/>
                <w:spacing w:val="-1"/>
                <w:sz w:val="20"/>
                <w:szCs w:val="20"/>
              </w:rPr>
              <w:t>噪</w:t>
            </w:r>
            <w:r>
              <w:rPr>
                <w:rFonts w:ascii="宋体" w:hAnsi="宋体" w:eastAsia="宋体" w:cs="宋体"/>
                <w:sz w:val="20"/>
                <w:szCs w:val="20"/>
              </w:rPr>
              <w:t>声</w:t>
            </w:r>
          </w:p>
        </w:tc>
        <w:tc>
          <w:tcPr>
            <w:tcW w:w="3015" w:type="dxa"/>
            <w:tcBorders>
              <w:left w:val="single" w:color="000000" w:sz="4" w:space="0"/>
              <w:right w:val="single" w:color="000000" w:sz="4" w:space="0"/>
            </w:tcBorders>
            <w:vAlign w:val="top"/>
          </w:tcPr>
          <w:p w14:paraId="1BB6896A">
            <w:pPr>
              <w:spacing w:line="305" w:lineRule="auto"/>
              <w:rPr>
                <w:rFonts w:ascii="Arial"/>
                <w:sz w:val="21"/>
              </w:rPr>
            </w:pPr>
          </w:p>
          <w:p w14:paraId="6C28E4E6">
            <w:pPr>
              <w:spacing w:before="65" w:line="228" w:lineRule="auto"/>
              <w:ind w:left="717"/>
              <w:rPr>
                <w:rFonts w:ascii="宋体" w:hAnsi="宋体" w:eastAsia="宋体" w:cs="宋体"/>
                <w:sz w:val="20"/>
                <w:szCs w:val="20"/>
              </w:rPr>
            </w:pPr>
            <w:r>
              <w:rPr>
                <w:rFonts w:ascii="宋体" w:hAnsi="宋体" w:eastAsia="宋体" w:cs="宋体"/>
                <w:spacing w:val="-2"/>
                <w:sz w:val="20"/>
                <w:szCs w:val="20"/>
              </w:rPr>
              <w:t>减振、降</w:t>
            </w:r>
            <w:r>
              <w:rPr>
                <w:rFonts w:ascii="宋体" w:hAnsi="宋体" w:eastAsia="宋体" w:cs="宋体"/>
                <w:spacing w:val="-1"/>
                <w:sz w:val="20"/>
                <w:szCs w:val="20"/>
              </w:rPr>
              <w:t>噪、隔声</w:t>
            </w:r>
          </w:p>
        </w:tc>
        <w:tc>
          <w:tcPr>
            <w:tcW w:w="2233" w:type="dxa"/>
            <w:tcBorders>
              <w:left w:val="single" w:color="000000" w:sz="4" w:space="0"/>
              <w:right w:val="nil"/>
            </w:tcBorders>
            <w:vAlign w:val="top"/>
          </w:tcPr>
          <w:p w14:paraId="1EBAEF87">
            <w:pPr>
              <w:spacing w:before="60" w:line="288" w:lineRule="auto"/>
              <w:ind w:left="624" w:right="16" w:hanging="589"/>
              <w:rPr>
                <w:rFonts w:ascii="宋体" w:hAnsi="宋体" w:eastAsia="宋体" w:cs="宋体"/>
                <w:sz w:val="20"/>
                <w:szCs w:val="20"/>
              </w:rPr>
            </w:pPr>
            <w:r>
              <w:rPr>
                <w:rFonts w:ascii="宋体" w:hAnsi="宋体" w:eastAsia="宋体" w:cs="宋体"/>
                <w:spacing w:val="-4"/>
                <w:sz w:val="20"/>
                <w:szCs w:val="20"/>
              </w:rPr>
              <w:t>《</w:t>
            </w:r>
            <w:r>
              <w:rPr>
                <w:rFonts w:ascii="宋体" w:hAnsi="宋体" w:eastAsia="宋体" w:cs="宋体"/>
                <w:spacing w:val="-3"/>
                <w:sz w:val="20"/>
                <w:szCs w:val="20"/>
              </w:rPr>
              <w:t>工</w:t>
            </w:r>
            <w:r>
              <w:rPr>
                <w:rFonts w:ascii="宋体" w:hAnsi="宋体" w:eastAsia="宋体" w:cs="宋体"/>
                <w:spacing w:val="-2"/>
                <w:sz w:val="20"/>
                <w:szCs w:val="20"/>
              </w:rPr>
              <w:t>业企业厂界环境噪声</w:t>
            </w:r>
            <w:r>
              <w:rPr>
                <w:rFonts w:ascii="宋体" w:hAnsi="宋体" w:eastAsia="宋体" w:cs="宋体"/>
                <w:sz w:val="20"/>
                <w:szCs w:val="20"/>
              </w:rPr>
              <w:t xml:space="preserve"> </w:t>
            </w:r>
            <w:r>
              <w:rPr>
                <w:rFonts w:ascii="宋体" w:hAnsi="宋体" w:eastAsia="宋体" w:cs="宋体"/>
                <w:spacing w:val="-2"/>
                <w:sz w:val="20"/>
                <w:szCs w:val="20"/>
              </w:rPr>
              <w:t>排放</w:t>
            </w:r>
            <w:r>
              <w:rPr>
                <w:rFonts w:ascii="宋体" w:hAnsi="宋体" w:eastAsia="宋体" w:cs="宋体"/>
                <w:spacing w:val="-1"/>
                <w:sz w:val="20"/>
                <w:szCs w:val="20"/>
              </w:rPr>
              <w:t>标准》</w:t>
            </w:r>
          </w:p>
          <w:p w14:paraId="5170E41D">
            <w:pPr>
              <w:spacing w:line="227" w:lineRule="auto"/>
              <w:ind w:left="141"/>
              <w:rPr>
                <w:rFonts w:ascii="宋体" w:hAnsi="宋体" w:eastAsia="宋体" w:cs="宋体"/>
                <w:sz w:val="20"/>
                <w:szCs w:val="20"/>
              </w:rPr>
            </w:pPr>
            <w:r>
              <w:rPr>
                <w:rFonts w:ascii="宋体" w:hAnsi="宋体" w:eastAsia="宋体" w:cs="宋体"/>
                <w:spacing w:val="5"/>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12348-2008</w:t>
            </w:r>
            <w:r>
              <w:rPr>
                <w:rFonts w:ascii="宋体" w:hAnsi="宋体" w:eastAsia="宋体" w:cs="宋体"/>
                <w:spacing w:val="5"/>
                <w:sz w:val="20"/>
                <w:szCs w:val="20"/>
              </w:rPr>
              <w:t xml:space="preserve">) </w:t>
            </w:r>
            <w:r>
              <w:rPr>
                <w:rFonts w:ascii="Times New Roman" w:hAnsi="Times New Roman" w:eastAsia="Times New Roman" w:cs="Times New Roman"/>
                <w:spacing w:val="5"/>
                <w:sz w:val="20"/>
                <w:szCs w:val="20"/>
              </w:rPr>
              <w:t xml:space="preserve">3 </w:t>
            </w:r>
            <w:r>
              <w:rPr>
                <w:rFonts w:ascii="宋体" w:hAnsi="宋体" w:eastAsia="宋体" w:cs="宋体"/>
                <w:spacing w:val="2"/>
                <w:sz w:val="20"/>
                <w:szCs w:val="20"/>
              </w:rPr>
              <w:t>类</w:t>
            </w:r>
          </w:p>
        </w:tc>
      </w:tr>
      <w:tr w14:paraId="14B3CE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523" w:type="dxa"/>
            <w:vMerge w:val="restart"/>
            <w:tcBorders>
              <w:left w:val="nil"/>
              <w:bottom w:val="nil"/>
              <w:right w:val="single" w:color="000000" w:sz="4" w:space="0"/>
            </w:tcBorders>
            <w:vAlign w:val="top"/>
          </w:tcPr>
          <w:p w14:paraId="05507E03">
            <w:pPr>
              <w:spacing w:line="467" w:lineRule="auto"/>
              <w:rPr>
                <w:rFonts w:ascii="Arial"/>
                <w:sz w:val="21"/>
              </w:rPr>
            </w:pPr>
          </w:p>
          <w:p w14:paraId="0C90CE92">
            <w:pPr>
              <w:spacing w:before="65" w:line="228" w:lineRule="auto"/>
              <w:ind w:left="77"/>
              <w:rPr>
                <w:rFonts w:ascii="宋体" w:hAnsi="宋体" w:eastAsia="宋体" w:cs="宋体"/>
                <w:sz w:val="20"/>
                <w:szCs w:val="20"/>
              </w:rPr>
            </w:pPr>
            <w:r>
              <w:rPr>
                <w:rFonts w:ascii="宋体" w:hAnsi="宋体" w:eastAsia="宋体" w:cs="宋体"/>
                <w:spacing w:val="-5"/>
                <w:sz w:val="20"/>
                <w:szCs w:val="20"/>
              </w:rPr>
              <w:t>固</w:t>
            </w:r>
            <w:r>
              <w:rPr>
                <w:rFonts w:ascii="宋体" w:hAnsi="宋体" w:eastAsia="宋体" w:cs="宋体"/>
                <w:spacing w:val="-4"/>
                <w:sz w:val="20"/>
                <w:szCs w:val="20"/>
              </w:rPr>
              <w:t>废</w:t>
            </w:r>
          </w:p>
        </w:tc>
        <w:tc>
          <w:tcPr>
            <w:tcW w:w="1320" w:type="dxa"/>
            <w:tcBorders>
              <w:left w:val="single" w:color="000000" w:sz="4" w:space="0"/>
              <w:right w:val="single" w:color="000000" w:sz="4" w:space="0"/>
            </w:tcBorders>
            <w:vAlign w:val="top"/>
          </w:tcPr>
          <w:p w14:paraId="66E4466B">
            <w:pPr>
              <w:spacing w:before="215" w:line="228" w:lineRule="auto"/>
              <w:ind w:left="352"/>
              <w:rPr>
                <w:rFonts w:ascii="宋体" w:hAnsi="宋体" w:eastAsia="宋体" w:cs="宋体"/>
                <w:sz w:val="20"/>
                <w:szCs w:val="20"/>
              </w:rPr>
            </w:pPr>
            <w:r>
              <w:rPr>
                <w:rFonts w:ascii="宋体" w:hAnsi="宋体" w:eastAsia="宋体" w:cs="宋体"/>
                <w:spacing w:val="6"/>
                <w:sz w:val="20"/>
                <w:szCs w:val="20"/>
              </w:rPr>
              <w:t>办</w:t>
            </w:r>
            <w:r>
              <w:rPr>
                <w:rFonts w:ascii="宋体" w:hAnsi="宋体" w:eastAsia="宋体" w:cs="宋体"/>
                <w:spacing w:val="5"/>
                <w:sz w:val="20"/>
                <w:szCs w:val="20"/>
              </w:rPr>
              <w:t>公室</w:t>
            </w:r>
          </w:p>
        </w:tc>
        <w:tc>
          <w:tcPr>
            <w:tcW w:w="1260" w:type="dxa"/>
            <w:tcBorders>
              <w:left w:val="single" w:color="000000" w:sz="4" w:space="0"/>
              <w:right w:val="single" w:color="000000" w:sz="4" w:space="0"/>
            </w:tcBorders>
            <w:vAlign w:val="top"/>
          </w:tcPr>
          <w:p w14:paraId="171F6FE5">
            <w:pPr>
              <w:spacing w:before="216" w:line="228" w:lineRule="auto"/>
              <w:ind w:left="215"/>
              <w:rPr>
                <w:rFonts w:ascii="宋体" w:hAnsi="宋体" w:eastAsia="宋体" w:cs="宋体"/>
                <w:sz w:val="20"/>
                <w:szCs w:val="20"/>
              </w:rPr>
            </w:pPr>
            <w:r>
              <w:rPr>
                <w:rFonts w:ascii="宋体" w:hAnsi="宋体" w:eastAsia="宋体" w:cs="宋体"/>
                <w:spacing w:val="7"/>
                <w:sz w:val="20"/>
                <w:szCs w:val="20"/>
              </w:rPr>
              <w:t>生活垃</w:t>
            </w:r>
            <w:r>
              <w:rPr>
                <w:rFonts w:ascii="宋体" w:hAnsi="宋体" w:eastAsia="宋体" w:cs="宋体"/>
                <w:spacing w:val="6"/>
                <w:sz w:val="20"/>
                <w:szCs w:val="20"/>
              </w:rPr>
              <w:t>圾</w:t>
            </w:r>
          </w:p>
        </w:tc>
        <w:tc>
          <w:tcPr>
            <w:tcW w:w="3015" w:type="dxa"/>
            <w:tcBorders>
              <w:left w:val="single" w:color="000000" w:sz="4" w:space="0"/>
              <w:right w:val="single" w:color="000000" w:sz="4" w:space="0"/>
            </w:tcBorders>
            <w:vAlign w:val="top"/>
          </w:tcPr>
          <w:p w14:paraId="70C03623">
            <w:pPr>
              <w:spacing w:before="215" w:line="228" w:lineRule="auto"/>
              <w:ind w:left="1089"/>
              <w:rPr>
                <w:rFonts w:ascii="宋体" w:hAnsi="宋体" w:eastAsia="宋体" w:cs="宋体"/>
                <w:sz w:val="20"/>
                <w:szCs w:val="20"/>
              </w:rPr>
            </w:pPr>
            <w:r>
              <w:rPr>
                <w:rFonts w:ascii="宋体" w:hAnsi="宋体" w:eastAsia="宋体" w:cs="宋体"/>
                <w:spacing w:val="8"/>
                <w:sz w:val="20"/>
                <w:szCs w:val="20"/>
              </w:rPr>
              <w:t>集</w:t>
            </w:r>
            <w:r>
              <w:rPr>
                <w:rFonts w:ascii="宋体" w:hAnsi="宋体" w:eastAsia="宋体" w:cs="宋体"/>
                <w:spacing w:val="7"/>
                <w:sz w:val="20"/>
                <w:szCs w:val="20"/>
              </w:rPr>
              <w:t>中收集</w:t>
            </w:r>
          </w:p>
        </w:tc>
        <w:tc>
          <w:tcPr>
            <w:tcW w:w="2233" w:type="dxa"/>
            <w:tcBorders>
              <w:left w:val="single" w:color="000000" w:sz="4" w:space="0"/>
              <w:right w:val="nil"/>
            </w:tcBorders>
            <w:vAlign w:val="top"/>
          </w:tcPr>
          <w:p w14:paraId="4C3F90EA">
            <w:pPr>
              <w:spacing w:before="58" w:line="259" w:lineRule="auto"/>
              <w:ind w:left="704" w:right="69" w:hanging="637"/>
              <w:rPr>
                <w:rFonts w:ascii="宋体" w:hAnsi="宋体" w:eastAsia="宋体" w:cs="宋体"/>
                <w:sz w:val="20"/>
                <w:szCs w:val="20"/>
              </w:rPr>
            </w:pPr>
            <w:r>
              <w:rPr>
                <w:rFonts w:ascii="宋体" w:hAnsi="宋体" w:eastAsia="宋体" w:cs="宋体"/>
                <w:spacing w:val="10"/>
                <w:sz w:val="20"/>
                <w:szCs w:val="20"/>
              </w:rPr>
              <w:t>送</w:t>
            </w:r>
            <w:r>
              <w:rPr>
                <w:rFonts w:ascii="宋体" w:hAnsi="宋体" w:eastAsia="宋体" w:cs="宋体"/>
                <w:spacing w:val="9"/>
                <w:sz w:val="20"/>
                <w:szCs w:val="20"/>
              </w:rPr>
              <w:t>至环卫部门指定地点</w:t>
            </w:r>
            <w:r>
              <w:rPr>
                <w:rFonts w:ascii="宋体" w:hAnsi="宋体" w:eastAsia="宋体" w:cs="宋体"/>
                <w:sz w:val="20"/>
                <w:szCs w:val="20"/>
              </w:rPr>
              <w:t xml:space="preserve"> </w:t>
            </w:r>
            <w:r>
              <w:rPr>
                <w:rFonts w:ascii="宋体" w:hAnsi="宋体" w:eastAsia="宋体" w:cs="宋体"/>
                <w:spacing w:val="6"/>
                <w:sz w:val="20"/>
                <w:szCs w:val="20"/>
              </w:rPr>
              <w:t>统一处理</w:t>
            </w:r>
          </w:p>
        </w:tc>
      </w:tr>
      <w:tr w14:paraId="413FC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523" w:type="dxa"/>
            <w:vMerge w:val="continue"/>
            <w:tcBorders>
              <w:top w:val="nil"/>
              <w:left w:val="nil"/>
              <w:right w:val="single" w:color="000000" w:sz="4" w:space="0"/>
            </w:tcBorders>
            <w:vAlign w:val="top"/>
          </w:tcPr>
          <w:p w14:paraId="1F3CD699">
            <w:pPr>
              <w:rPr>
                <w:rFonts w:ascii="Arial"/>
                <w:sz w:val="21"/>
              </w:rPr>
            </w:pPr>
          </w:p>
        </w:tc>
        <w:tc>
          <w:tcPr>
            <w:tcW w:w="1320" w:type="dxa"/>
            <w:tcBorders>
              <w:left w:val="single" w:color="000000" w:sz="4" w:space="0"/>
              <w:right w:val="single" w:color="000000" w:sz="4" w:space="0"/>
            </w:tcBorders>
            <w:vAlign w:val="top"/>
          </w:tcPr>
          <w:p w14:paraId="66DBE9E0">
            <w:pPr>
              <w:spacing w:before="214" w:line="228" w:lineRule="auto"/>
              <w:ind w:left="244"/>
              <w:rPr>
                <w:rFonts w:ascii="宋体" w:hAnsi="宋体" w:eastAsia="宋体" w:cs="宋体"/>
                <w:sz w:val="20"/>
                <w:szCs w:val="20"/>
              </w:rPr>
            </w:pPr>
            <w:r>
              <w:rPr>
                <w:rFonts w:ascii="宋体" w:hAnsi="宋体" w:eastAsia="宋体" w:cs="宋体"/>
                <w:spacing w:val="9"/>
                <w:sz w:val="20"/>
                <w:szCs w:val="20"/>
              </w:rPr>
              <w:t>分</w:t>
            </w:r>
            <w:r>
              <w:rPr>
                <w:rFonts w:ascii="宋体" w:hAnsi="宋体" w:eastAsia="宋体" w:cs="宋体"/>
                <w:spacing w:val="6"/>
                <w:sz w:val="20"/>
                <w:szCs w:val="20"/>
              </w:rPr>
              <w:t>拣工序</w:t>
            </w:r>
          </w:p>
        </w:tc>
        <w:tc>
          <w:tcPr>
            <w:tcW w:w="1260" w:type="dxa"/>
            <w:tcBorders>
              <w:left w:val="single" w:color="000000" w:sz="4" w:space="0"/>
              <w:right w:val="single" w:color="000000" w:sz="4" w:space="0"/>
            </w:tcBorders>
            <w:vAlign w:val="top"/>
          </w:tcPr>
          <w:p w14:paraId="7AE66CE5">
            <w:pPr>
              <w:spacing w:before="214" w:line="228" w:lineRule="auto"/>
              <w:ind w:left="424"/>
              <w:rPr>
                <w:rFonts w:ascii="宋体" w:hAnsi="宋体" w:eastAsia="宋体" w:cs="宋体"/>
                <w:sz w:val="20"/>
                <w:szCs w:val="20"/>
              </w:rPr>
            </w:pPr>
            <w:r>
              <w:rPr>
                <w:rFonts w:ascii="宋体" w:hAnsi="宋体" w:eastAsia="宋体" w:cs="宋体"/>
                <w:spacing w:val="4"/>
                <w:sz w:val="20"/>
                <w:szCs w:val="20"/>
              </w:rPr>
              <w:t>杂</w:t>
            </w:r>
            <w:r>
              <w:rPr>
                <w:rFonts w:ascii="宋体" w:hAnsi="宋体" w:eastAsia="宋体" w:cs="宋体"/>
                <w:spacing w:val="3"/>
                <w:sz w:val="20"/>
                <w:szCs w:val="20"/>
              </w:rPr>
              <w:t>质</w:t>
            </w:r>
          </w:p>
        </w:tc>
        <w:tc>
          <w:tcPr>
            <w:tcW w:w="3015" w:type="dxa"/>
            <w:tcBorders>
              <w:left w:val="single" w:color="000000" w:sz="4" w:space="0"/>
              <w:right w:val="single" w:color="000000" w:sz="4" w:space="0"/>
            </w:tcBorders>
            <w:vAlign w:val="top"/>
          </w:tcPr>
          <w:p w14:paraId="31EE036A">
            <w:pPr>
              <w:spacing w:before="214" w:line="228" w:lineRule="auto"/>
              <w:ind w:left="1089"/>
              <w:rPr>
                <w:rFonts w:ascii="宋体" w:hAnsi="宋体" w:eastAsia="宋体" w:cs="宋体"/>
                <w:sz w:val="20"/>
                <w:szCs w:val="20"/>
              </w:rPr>
            </w:pPr>
            <w:r>
              <w:rPr>
                <w:rFonts w:ascii="宋体" w:hAnsi="宋体" w:eastAsia="宋体" w:cs="宋体"/>
                <w:spacing w:val="8"/>
                <w:sz w:val="20"/>
                <w:szCs w:val="20"/>
              </w:rPr>
              <w:t>集</w:t>
            </w:r>
            <w:r>
              <w:rPr>
                <w:rFonts w:ascii="宋体" w:hAnsi="宋体" w:eastAsia="宋体" w:cs="宋体"/>
                <w:spacing w:val="7"/>
                <w:sz w:val="20"/>
                <w:szCs w:val="20"/>
              </w:rPr>
              <w:t>中收集</w:t>
            </w:r>
          </w:p>
        </w:tc>
        <w:tc>
          <w:tcPr>
            <w:tcW w:w="2233" w:type="dxa"/>
            <w:tcBorders>
              <w:left w:val="single" w:color="000000" w:sz="4" w:space="0"/>
              <w:right w:val="nil"/>
            </w:tcBorders>
            <w:vAlign w:val="top"/>
          </w:tcPr>
          <w:p w14:paraId="4BF07999">
            <w:pPr>
              <w:spacing w:before="58" w:line="259" w:lineRule="auto"/>
              <w:ind w:left="704" w:right="69" w:hanging="637"/>
              <w:rPr>
                <w:rFonts w:ascii="宋体" w:hAnsi="宋体" w:eastAsia="宋体" w:cs="宋体"/>
                <w:sz w:val="20"/>
                <w:szCs w:val="20"/>
              </w:rPr>
            </w:pPr>
            <w:r>
              <w:rPr>
                <w:rFonts w:ascii="宋体" w:hAnsi="宋体" w:eastAsia="宋体" w:cs="宋体"/>
                <w:spacing w:val="10"/>
                <w:sz w:val="20"/>
                <w:szCs w:val="20"/>
              </w:rPr>
              <w:t>送</w:t>
            </w:r>
            <w:r>
              <w:rPr>
                <w:rFonts w:ascii="宋体" w:hAnsi="宋体" w:eastAsia="宋体" w:cs="宋体"/>
                <w:spacing w:val="9"/>
                <w:sz w:val="20"/>
                <w:szCs w:val="20"/>
              </w:rPr>
              <w:t>至环卫部门指定地点</w:t>
            </w:r>
            <w:r>
              <w:rPr>
                <w:rFonts w:ascii="宋体" w:hAnsi="宋体" w:eastAsia="宋体" w:cs="宋体"/>
                <w:sz w:val="20"/>
                <w:szCs w:val="20"/>
              </w:rPr>
              <w:t xml:space="preserve"> </w:t>
            </w:r>
            <w:r>
              <w:rPr>
                <w:rFonts w:ascii="宋体" w:hAnsi="宋体" w:eastAsia="宋体" w:cs="宋体"/>
                <w:spacing w:val="6"/>
                <w:sz w:val="20"/>
                <w:szCs w:val="20"/>
              </w:rPr>
              <w:t>统一处理</w:t>
            </w:r>
          </w:p>
        </w:tc>
      </w:tr>
    </w:tbl>
    <w:p w14:paraId="570B5840">
      <w:pPr>
        <w:rPr>
          <w:rFonts w:ascii="Arial"/>
          <w:sz w:val="21"/>
        </w:rPr>
      </w:pPr>
    </w:p>
    <w:p w14:paraId="68B57B67">
      <w:pPr>
        <w:sectPr>
          <w:footerReference r:id="rId324" w:type="default"/>
          <w:pgSz w:w="11906" w:h="16839"/>
          <w:pgMar w:top="1132" w:right="1777" w:bottom="1182" w:left="1777" w:header="878" w:footer="1022" w:gutter="0"/>
          <w:cols w:space="720" w:num="1"/>
        </w:sectPr>
      </w:pPr>
    </w:p>
    <w:p w14:paraId="69EF7C68">
      <w:r>
        <w:pict>
          <v:rect id="_x0000_s1381" o:spid="_x0000_s1381" o:spt="1" style="position:absolute;left:0pt;margin-left:90pt;margin-top:57.35pt;height:0.75pt;width:415.3pt;mso-position-horizontal-relative:page;mso-position-vertical-relative:page;z-index:252077056;mso-width-relative:page;mso-height-relative:page;" fillcolor="#000000" filled="t" stroked="f" coordsize="21600,21600" o:allowincell="f">
            <v:path/>
            <v:fill on="t" focussize="0,0"/>
            <v:stroke on="f"/>
            <v:imagedata o:title=""/>
            <o:lock v:ext="edit"/>
          </v:rect>
        </w:pict>
      </w:r>
    </w:p>
    <w:p w14:paraId="0C6453D2">
      <w:pPr>
        <w:spacing w:line="65" w:lineRule="exact"/>
      </w:pPr>
    </w:p>
    <w:tbl>
      <w:tblPr>
        <w:tblStyle w:val="4"/>
        <w:tblW w:w="835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23"/>
        <w:gridCol w:w="1320"/>
        <w:gridCol w:w="1260"/>
        <w:gridCol w:w="3015"/>
        <w:gridCol w:w="2233"/>
      </w:tblGrid>
      <w:tr w14:paraId="12EB31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523" w:type="dxa"/>
            <w:vMerge w:val="restart"/>
            <w:tcBorders>
              <w:left w:val="nil"/>
              <w:bottom w:val="nil"/>
              <w:right w:val="single" w:color="000000" w:sz="4" w:space="0"/>
            </w:tcBorders>
            <w:vAlign w:val="top"/>
          </w:tcPr>
          <w:p w14:paraId="08D5B2E0">
            <w:pPr>
              <w:rPr>
                <w:rFonts w:ascii="Arial"/>
                <w:sz w:val="21"/>
              </w:rPr>
            </w:pPr>
          </w:p>
        </w:tc>
        <w:tc>
          <w:tcPr>
            <w:tcW w:w="1320" w:type="dxa"/>
            <w:tcBorders>
              <w:left w:val="single" w:color="000000" w:sz="4" w:space="0"/>
              <w:right w:val="single" w:color="000000" w:sz="4" w:space="0"/>
            </w:tcBorders>
            <w:vAlign w:val="top"/>
          </w:tcPr>
          <w:p w14:paraId="72F656EB">
            <w:pPr>
              <w:spacing w:before="231" w:line="228" w:lineRule="auto"/>
              <w:ind w:left="244"/>
              <w:rPr>
                <w:rFonts w:ascii="宋体" w:hAnsi="宋体" w:eastAsia="宋体" w:cs="宋体"/>
                <w:sz w:val="20"/>
                <w:szCs w:val="20"/>
              </w:rPr>
            </w:pPr>
            <w:r>
              <w:rPr>
                <w:rFonts w:ascii="宋体" w:hAnsi="宋体" w:eastAsia="宋体" w:cs="宋体"/>
                <w:spacing w:val="7"/>
                <w:sz w:val="20"/>
                <w:szCs w:val="20"/>
              </w:rPr>
              <w:t>污水处</w:t>
            </w:r>
            <w:r>
              <w:rPr>
                <w:rFonts w:ascii="宋体" w:hAnsi="宋体" w:eastAsia="宋体" w:cs="宋体"/>
                <w:spacing w:val="6"/>
                <w:sz w:val="20"/>
                <w:szCs w:val="20"/>
              </w:rPr>
              <w:t>理</w:t>
            </w:r>
          </w:p>
        </w:tc>
        <w:tc>
          <w:tcPr>
            <w:tcW w:w="1260" w:type="dxa"/>
            <w:tcBorders>
              <w:left w:val="single" w:color="000000" w:sz="4" w:space="0"/>
              <w:right w:val="single" w:color="000000" w:sz="4" w:space="0"/>
            </w:tcBorders>
            <w:vAlign w:val="top"/>
          </w:tcPr>
          <w:p w14:paraId="7C8F8A40">
            <w:pPr>
              <w:spacing w:before="231" w:line="230" w:lineRule="auto"/>
              <w:ind w:left="424"/>
              <w:rPr>
                <w:rFonts w:ascii="宋体" w:hAnsi="宋体" w:eastAsia="宋体" w:cs="宋体"/>
                <w:sz w:val="20"/>
                <w:szCs w:val="20"/>
              </w:rPr>
            </w:pPr>
            <w:r>
              <w:rPr>
                <w:rFonts w:ascii="宋体" w:hAnsi="宋体" w:eastAsia="宋体" w:cs="宋体"/>
                <w:spacing w:val="4"/>
                <w:sz w:val="20"/>
                <w:szCs w:val="20"/>
              </w:rPr>
              <w:t>污</w:t>
            </w:r>
            <w:r>
              <w:rPr>
                <w:rFonts w:ascii="宋体" w:hAnsi="宋体" w:eastAsia="宋体" w:cs="宋体"/>
                <w:spacing w:val="3"/>
                <w:sz w:val="20"/>
                <w:szCs w:val="20"/>
              </w:rPr>
              <w:t>泥</w:t>
            </w:r>
          </w:p>
        </w:tc>
        <w:tc>
          <w:tcPr>
            <w:tcW w:w="3015" w:type="dxa"/>
            <w:tcBorders>
              <w:left w:val="single" w:color="000000" w:sz="4" w:space="0"/>
              <w:right w:val="single" w:color="000000" w:sz="4" w:space="0"/>
            </w:tcBorders>
            <w:vAlign w:val="top"/>
          </w:tcPr>
          <w:p w14:paraId="2AEBA9E1">
            <w:pPr>
              <w:spacing w:before="231" w:line="228" w:lineRule="auto"/>
              <w:ind w:left="1089"/>
              <w:rPr>
                <w:rFonts w:ascii="宋体" w:hAnsi="宋体" w:eastAsia="宋体" w:cs="宋体"/>
                <w:sz w:val="20"/>
                <w:szCs w:val="20"/>
              </w:rPr>
            </w:pPr>
            <w:r>
              <w:rPr>
                <w:rFonts w:ascii="宋体" w:hAnsi="宋体" w:eastAsia="宋体" w:cs="宋体"/>
                <w:spacing w:val="8"/>
                <w:sz w:val="20"/>
                <w:szCs w:val="20"/>
              </w:rPr>
              <w:t>集</w:t>
            </w:r>
            <w:r>
              <w:rPr>
                <w:rFonts w:ascii="宋体" w:hAnsi="宋体" w:eastAsia="宋体" w:cs="宋体"/>
                <w:spacing w:val="7"/>
                <w:sz w:val="20"/>
                <w:szCs w:val="20"/>
              </w:rPr>
              <w:t>中收集</w:t>
            </w:r>
          </w:p>
        </w:tc>
        <w:tc>
          <w:tcPr>
            <w:tcW w:w="2233" w:type="dxa"/>
            <w:tcBorders>
              <w:left w:val="single" w:color="000000" w:sz="4" w:space="0"/>
              <w:right w:val="nil"/>
            </w:tcBorders>
            <w:vAlign w:val="top"/>
          </w:tcPr>
          <w:p w14:paraId="3CDED27A">
            <w:pPr>
              <w:spacing w:before="74" w:line="259" w:lineRule="auto"/>
              <w:ind w:left="704" w:right="69" w:hanging="637"/>
              <w:rPr>
                <w:rFonts w:ascii="宋体" w:hAnsi="宋体" w:eastAsia="宋体" w:cs="宋体"/>
                <w:sz w:val="20"/>
                <w:szCs w:val="20"/>
              </w:rPr>
            </w:pPr>
            <w:r>
              <w:rPr>
                <w:rFonts w:ascii="宋体" w:hAnsi="宋体" w:eastAsia="宋体" w:cs="宋体"/>
                <w:spacing w:val="10"/>
                <w:sz w:val="20"/>
                <w:szCs w:val="20"/>
              </w:rPr>
              <w:t>送</w:t>
            </w:r>
            <w:r>
              <w:rPr>
                <w:rFonts w:ascii="宋体" w:hAnsi="宋体" w:eastAsia="宋体" w:cs="宋体"/>
                <w:spacing w:val="9"/>
                <w:sz w:val="20"/>
                <w:szCs w:val="20"/>
              </w:rPr>
              <w:t>至环卫部门指定地点</w:t>
            </w:r>
            <w:r>
              <w:rPr>
                <w:rFonts w:ascii="宋体" w:hAnsi="宋体" w:eastAsia="宋体" w:cs="宋体"/>
                <w:sz w:val="20"/>
                <w:szCs w:val="20"/>
              </w:rPr>
              <w:t xml:space="preserve"> </w:t>
            </w:r>
            <w:r>
              <w:rPr>
                <w:rFonts w:ascii="宋体" w:hAnsi="宋体" w:eastAsia="宋体" w:cs="宋体"/>
                <w:spacing w:val="6"/>
                <w:sz w:val="20"/>
                <w:szCs w:val="20"/>
              </w:rPr>
              <w:t>统一处理</w:t>
            </w:r>
          </w:p>
        </w:tc>
      </w:tr>
      <w:tr w14:paraId="37FAFC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23" w:type="dxa"/>
            <w:vMerge w:val="continue"/>
            <w:tcBorders>
              <w:top w:val="nil"/>
              <w:left w:val="nil"/>
              <w:bottom w:val="nil"/>
              <w:right w:val="single" w:color="000000" w:sz="4" w:space="0"/>
            </w:tcBorders>
            <w:vAlign w:val="top"/>
          </w:tcPr>
          <w:p w14:paraId="5195B4DB">
            <w:pPr>
              <w:rPr>
                <w:rFonts w:ascii="Arial"/>
                <w:sz w:val="21"/>
              </w:rPr>
            </w:pPr>
          </w:p>
        </w:tc>
        <w:tc>
          <w:tcPr>
            <w:tcW w:w="1320" w:type="dxa"/>
            <w:tcBorders>
              <w:left w:val="single" w:color="000000" w:sz="4" w:space="0"/>
              <w:right w:val="single" w:color="000000" w:sz="4" w:space="0"/>
            </w:tcBorders>
            <w:vAlign w:val="top"/>
          </w:tcPr>
          <w:p w14:paraId="45C3E7AC">
            <w:pPr>
              <w:spacing w:before="56" w:line="229" w:lineRule="auto"/>
              <w:ind w:left="244"/>
              <w:rPr>
                <w:rFonts w:ascii="宋体" w:hAnsi="宋体" w:eastAsia="宋体" w:cs="宋体"/>
                <w:sz w:val="20"/>
                <w:szCs w:val="20"/>
              </w:rPr>
            </w:pPr>
            <w:r>
              <w:rPr>
                <w:rFonts w:ascii="宋体" w:hAnsi="宋体" w:eastAsia="宋体" w:cs="宋体"/>
                <w:spacing w:val="7"/>
                <w:sz w:val="20"/>
                <w:szCs w:val="20"/>
              </w:rPr>
              <w:t>拉丝工</w:t>
            </w:r>
            <w:r>
              <w:rPr>
                <w:rFonts w:ascii="宋体" w:hAnsi="宋体" w:eastAsia="宋体" w:cs="宋体"/>
                <w:spacing w:val="6"/>
                <w:sz w:val="20"/>
                <w:szCs w:val="20"/>
              </w:rPr>
              <w:t>序</w:t>
            </w:r>
          </w:p>
        </w:tc>
        <w:tc>
          <w:tcPr>
            <w:tcW w:w="1260" w:type="dxa"/>
            <w:tcBorders>
              <w:left w:val="single" w:color="000000" w:sz="4" w:space="0"/>
              <w:right w:val="single" w:color="000000" w:sz="4" w:space="0"/>
            </w:tcBorders>
            <w:vAlign w:val="top"/>
          </w:tcPr>
          <w:p w14:paraId="5B7F5399">
            <w:pPr>
              <w:spacing w:before="56" w:line="228" w:lineRule="auto"/>
              <w:ind w:left="318"/>
              <w:rPr>
                <w:rFonts w:ascii="宋体" w:hAnsi="宋体" w:eastAsia="宋体" w:cs="宋体"/>
                <w:sz w:val="20"/>
                <w:szCs w:val="20"/>
              </w:rPr>
            </w:pPr>
            <w:r>
              <w:rPr>
                <w:rFonts w:ascii="宋体" w:hAnsi="宋体" w:eastAsia="宋体" w:cs="宋体"/>
                <w:spacing w:val="7"/>
                <w:sz w:val="20"/>
                <w:szCs w:val="20"/>
              </w:rPr>
              <w:t>废滤网</w:t>
            </w:r>
          </w:p>
        </w:tc>
        <w:tc>
          <w:tcPr>
            <w:tcW w:w="3015" w:type="dxa"/>
            <w:tcBorders>
              <w:left w:val="single" w:color="000000" w:sz="4" w:space="0"/>
              <w:right w:val="single" w:color="000000" w:sz="4" w:space="0"/>
            </w:tcBorders>
            <w:vAlign w:val="top"/>
          </w:tcPr>
          <w:p w14:paraId="4D9E3637">
            <w:pPr>
              <w:spacing w:before="56" w:line="228" w:lineRule="auto"/>
              <w:ind w:left="1089"/>
              <w:rPr>
                <w:rFonts w:ascii="宋体" w:hAnsi="宋体" w:eastAsia="宋体" w:cs="宋体"/>
                <w:sz w:val="20"/>
                <w:szCs w:val="20"/>
              </w:rPr>
            </w:pPr>
            <w:r>
              <w:rPr>
                <w:rFonts w:ascii="宋体" w:hAnsi="宋体" w:eastAsia="宋体" w:cs="宋体"/>
                <w:spacing w:val="8"/>
                <w:sz w:val="20"/>
                <w:szCs w:val="20"/>
              </w:rPr>
              <w:t>集</w:t>
            </w:r>
            <w:r>
              <w:rPr>
                <w:rFonts w:ascii="宋体" w:hAnsi="宋体" w:eastAsia="宋体" w:cs="宋体"/>
                <w:spacing w:val="7"/>
                <w:sz w:val="20"/>
                <w:szCs w:val="20"/>
              </w:rPr>
              <w:t>中收集</w:t>
            </w:r>
          </w:p>
        </w:tc>
        <w:tc>
          <w:tcPr>
            <w:tcW w:w="2233" w:type="dxa"/>
            <w:tcBorders>
              <w:left w:val="single" w:color="000000" w:sz="4" w:space="0"/>
              <w:right w:val="nil"/>
            </w:tcBorders>
            <w:vAlign w:val="top"/>
          </w:tcPr>
          <w:p w14:paraId="3F0F6BDB">
            <w:pPr>
              <w:spacing w:before="56" w:line="228" w:lineRule="auto"/>
              <w:ind w:left="491"/>
              <w:rPr>
                <w:rFonts w:ascii="宋体" w:hAnsi="宋体" w:eastAsia="宋体" w:cs="宋体"/>
                <w:sz w:val="20"/>
                <w:szCs w:val="20"/>
              </w:rPr>
            </w:pPr>
            <w:r>
              <w:rPr>
                <w:rFonts w:ascii="宋体" w:hAnsi="宋体" w:eastAsia="宋体" w:cs="宋体"/>
                <w:spacing w:val="8"/>
                <w:sz w:val="20"/>
                <w:szCs w:val="20"/>
              </w:rPr>
              <w:t>厂家回收处</w:t>
            </w:r>
            <w:r>
              <w:rPr>
                <w:rFonts w:ascii="宋体" w:hAnsi="宋体" w:eastAsia="宋体" w:cs="宋体"/>
                <w:spacing w:val="7"/>
                <w:sz w:val="20"/>
                <w:szCs w:val="20"/>
              </w:rPr>
              <w:t>理</w:t>
            </w:r>
          </w:p>
        </w:tc>
      </w:tr>
      <w:tr w14:paraId="0820C8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23" w:type="dxa"/>
            <w:vMerge w:val="continue"/>
            <w:tcBorders>
              <w:top w:val="nil"/>
              <w:left w:val="nil"/>
              <w:bottom w:val="nil"/>
              <w:right w:val="single" w:color="000000" w:sz="4" w:space="0"/>
            </w:tcBorders>
            <w:vAlign w:val="top"/>
          </w:tcPr>
          <w:p w14:paraId="428AC623">
            <w:pPr>
              <w:rPr>
                <w:rFonts w:ascii="Arial"/>
                <w:sz w:val="21"/>
              </w:rPr>
            </w:pPr>
          </w:p>
        </w:tc>
        <w:tc>
          <w:tcPr>
            <w:tcW w:w="1320" w:type="dxa"/>
            <w:tcBorders>
              <w:left w:val="single" w:color="000000" w:sz="4" w:space="0"/>
              <w:right w:val="single" w:color="000000" w:sz="4" w:space="0"/>
            </w:tcBorders>
            <w:vAlign w:val="top"/>
          </w:tcPr>
          <w:p w14:paraId="6703C547">
            <w:pPr>
              <w:spacing w:before="57" w:line="228" w:lineRule="auto"/>
              <w:ind w:left="241"/>
              <w:rPr>
                <w:rFonts w:ascii="宋体" w:hAnsi="宋体" w:eastAsia="宋体" w:cs="宋体"/>
                <w:sz w:val="20"/>
                <w:szCs w:val="20"/>
              </w:rPr>
            </w:pPr>
            <w:r>
              <w:rPr>
                <w:rFonts w:ascii="宋体" w:hAnsi="宋体" w:eastAsia="宋体" w:cs="宋体"/>
                <w:spacing w:val="9"/>
                <w:sz w:val="20"/>
                <w:szCs w:val="20"/>
              </w:rPr>
              <w:t>废</w:t>
            </w:r>
            <w:r>
              <w:rPr>
                <w:rFonts w:ascii="宋体" w:hAnsi="宋体" w:eastAsia="宋体" w:cs="宋体"/>
                <w:spacing w:val="7"/>
                <w:sz w:val="20"/>
                <w:szCs w:val="20"/>
              </w:rPr>
              <w:t>气处理</w:t>
            </w:r>
          </w:p>
        </w:tc>
        <w:tc>
          <w:tcPr>
            <w:tcW w:w="1260" w:type="dxa"/>
            <w:tcBorders>
              <w:left w:val="single" w:color="000000" w:sz="4" w:space="0"/>
              <w:right w:val="single" w:color="000000" w:sz="4" w:space="0"/>
            </w:tcBorders>
            <w:vAlign w:val="top"/>
          </w:tcPr>
          <w:p w14:paraId="610A3F18">
            <w:pPr>
              <w:spacing w:before="57" w:line="228" w:lineRule="auto"/>
              <w:ind w:left="212"/>
              <w:rPr>
                <w:rFonts w:ascii="宋体" w:hAnsi="宋体" w:eastAsia="宋体" w:cs="宋体"/>
                <w:sz w:val="20"/>
                <w:szCs w:val="20"/>
              </w:rPr>
            </w:pPr>
            <w:r>
              <w:rPr>
                <w:rFonts w:ascii="宋体" w:hAnsi="宋体" w:eastAsia="宋体" w:cs="宋体"/>
                <w:spacing w:val="9"/>
                <w:sz w:val="20"/>
                <w:szCs w:val="20"/>
              </w:rPr>
              <w:t>废</w:t>
            </w:r>
            <w:r>
              <w:rPr>
                <w:rFonts w:ascii="宋体" w:hAnsi="宋体" w:eastAsia="宋体" w:cs="宋体"/>
                <w:spacing w:val="7"/>
                <w:sz w:val="20"/>
                <w:szCs w:val="20"/>
              </w:rPr>
              <w:t>活性炭</w:t>
            </w:r>
          </w:p>
        </w:tc>
        <w:tc>
          <w:tcPr>
            <w:tcW w:w="3015" w:type="dxa"/>
            <w:tcBorders>
              <w:left w:val="single" w:color="000000" w:sz="4" w:space="0"/>
              <w:right w:val="single" w:color="000000" w:sz="4" w:space="0"/>
            </w:tcBorders>
            <w:vAlign w:val="top"/>
          </w:tcPr>
          <w:p w14:paraId="4782F2F9">
            <w:pPr>
              <w:spacing w:before="56" w:line="228" w:lineRule="auto"/>
              <w:ind w:left="1089"/>
              <w:rPr>
                <w:rFonts w:ascii="宋体" w:hAnsi="宋体" w:eastAsia="宋体" w:cs="宋体"/>
                <w:sz w:val="20"/>
                <w:szCs w:val="20"/>
              </w:rPr>
            </w:pPr>
            <w:r>
              <w:rPr>
                <w:rFonts w:ascii="宋体" w:hAnsi="宋体" w:eastAsia="宋体" w:cs="宋体"/>
                <w:spacing w:val="8"/>
                <w:sz w:val="20"/>
                <w:szCs w:val="20"/>
              </w:rPr>
              <w:t>集</w:t>
            </w:r>
            <w:r>
              <w:rPr>
                <w:rFonts w:ascii="宋体" w:hAnsi="宋体" w:eastAsia="宋体" w:cs="宋体"/>
                <w:spacing w:val="7"/>
                <w:sz w:val="20"/>
                <w:szCs w:val="20"/>
              </w:rPr>
              <w:t>中收集</w:t>
            </w:r>
          </w:p>
        </w:tc>
        <w:tc>
          <w:tcPr>
            <w:tcW w:w="2233" w:type="dxa"/>
            <w:tcBorders>
              <w:left w:val="single" w:color="000000" w:sz="4" w:space="0"/>
              <w:right w:val="nil"/>
            </w:tcBorders>
            <w:vAlign w:val="top"/>
          </w:tcPr>
          <w:p w14:paraId="1C6E4F2B">
            <w:pPr>
              <w:spacing w:before="57" w:line="228" w:lineRule="auto"/>
              <w:ind w:left="178"/>
              <w:rPr>
                <w:rFonts w:ascii="宋体" w:hAnsi="宋体" w:eastAsia="宋体" w:cs="宋体"/>
                <w:sz w:val="20"/>
                <w:szCs w:val="20"/>
              </w:rPr>
            </w:pPr>
            <w:r>
              <w:rPr>
                <w:rFonts w:ascii="宋体" w:hAnsi="宋体" w:eastAsia="宋体" w:cs="宋体"/>
                <w:spacing w:val="12"/>
                <w:sz w:val="20"/>
                <w:szCs w:val="20"/>
              </w:rPr>
              <w:t>交</w:t>
            </w:r>
            <w:r>
              <w:rPr>
                <w:rFonts w:ascii="宋体" w:hAnsi="宋体" w:eastAsia="宋体" w:cs="宋体"/>
                <w:spacing w:val="8"/>
                <w:sz w:val="20"/>
                <w:szCs w:val="20"/>
              </w:rPr>
              <w:t>由有资质单位处理</w:t>
            </w:r>
          </w:p>
        </w:tc>
      </w:tr>
      <w:tr w14:paraId="52BB5E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23" w:type="dxa"/>
            <w:vMerge w:val="continue"/>
            <w:tcBorders>
              <w:top w:val="nil"/>
              <w:left w:val="nil"/>
              <w:bottom w:val="nil"/>
              <w:right w:val="single" w:color="000000" w:sz="4" w:space="0"/>
            </w:tcBorders>
            <w:vAlign w:val="top"/>
          </w:tcPr>
          <w:p w14:paraId="107BE1B5">
            <w:pPr>
              <w:rPr>
                <w:rFonts w:ascii="Arial"/>
                <w:sz w:val="21"/>
              </w:rPr>
            </w:pPr>
          </w:p>
        </w:tc>
        <w:tc>
          <w:tcPr>
            <w:tcW w:w="1320" w:type="dxa"/>
            <w:tcBorders>
              <w:left w:val="single" w:color="000000" w:sz="4" w:space="0"/>
              <w:right w:val="single" w:color="000000" w:sz="4" w:space="0"/>
            </w:tcBorders>
            <w:vAlign w:val="top"/>
          </w:tcPr>
          <w:p w14:paraId="061F0F5B">
            <w:pPr>
              <w:spacing w:before="57" w:line="228" w:lineRule="auto"/>
              <w:ind w:left="241"/>
              <w:rPr>
                <w:rFonts w:ascii="宋体" w:hAnsi="宋体" w:eastAsia="宋体" w:cs="宋体"/>
                <w:sz w:val="20"/>
                <w:szCs w:val="20"/>
              </w:rPr>
            </w:pPr>
            <w:r>
              <w:rPr>
                <w:rFonts w:ascii="宋体" w:hAnsi="宋体" w:eastAsia="宋体" w:cs="宋体"/>
                <w:spacing w:val="9"/>
                <w:sz w:val="20"/>
                <w:szCs w:val="20"/>
              </w:rPr>
              <w:t>废</w:t>
            </w:r>
            <w:r>
              <w:rPr>
                <w:rFonts w:ascii="宋体" w:hAnsi="宋体" w:eastAsia="宋体" w:cs="宋体"/>
                <w:spacing w:val="7"/>
                <w:sz w:val="20"/>
                <w:szCs w:val="20"/>
              </w:rPr>
              <w:t>气处理</w:t>
            </w:r>
          </w:p>
        </w:tc>
        <w:tc>
          <w:tcPr>
            <w:tcW w:w="1260" w:type="dxa"/>
            <w:tcBorders>
              <w:left w:val="single" w:color="000000" w:sz="4" w:space="0"/>
              <w:right w:val="single" w:color="000000" w:sz="4" w:space="0"/>
            </w:tcBorders>
            <w:vAlign w:val="top"/>
          </w:tcPr>
          <w:p w14:paraId="5FE57EF3">
            <w:pPr>
              <w:spacing w:before="56" w:line="228" w:lineRule="auto"/>
              <w:ind w:left="25"/>
              <w:rPr>
                <w:rFonts w:ascii="宋体" w:hAnsi="宋体" w:eastAsia="宋体" w:cs="宋体"/>
                <w:sz w:val="20"/>
                <w:szCs w:val="20"/>
              </w:rPr>
            </w:pPr>
            <w:r>
              <w:rPr>
                <w:rFonts w:ascii="宋体" w:hAnsi="宋体" w:eastAsia="宋体" w:cs="宋体"/>
                <w:spacing w:val="-5"/>
                <w:sz w:val="20"/>
                <w:szCs w:val="20"/>
              </w:rPr>
              <w:t>废</w:t>
            </w:r>
            <w:r>
              <w:rPr>
                <w:rFonts w:ascii="Times New Roman" w:hAnsi="Times New Roman" w:eastAsia="Times New Roman" w:cs="Times New Roman"/>
                <w:spacing w:val="-3"/>
                <w:sz w:val="20"/>
                <w:szCs w:val="20"/>
              </w:rPr>
              <w:t xml:space="preserve">uv </w:t>
            </w:r>
            <w:r>
              <w:rPr>
                <w:rFonts w:ascii="宋体" w:hAnsi="宋体" w:eastAsia="宋体" w:cs="宋体"/>
                <w:spacing w:val="-3"/>
                <w:sz w:val="20"/>
                <w:szCs w:val="20"/>
              </w:rPr>
              <w:t>光解灯管</w:t>
            </w:r>
          </w:p>
        </w:tc>
        <w:tc>
          <w:tcPr>
            <w:tcW w:w="3015" w:type="dxa"/>
            <w:tcBorders>
              <w:left w:val="single" w:color="000000" w:sz="4" w:space="0"/>
              <w:right w:val="single" w:color="000000" w:sz="4" w:space="0"/>
            </w:tcBorders>
            <w:vAlign w:val="top"/>
          </w:tcPr>
          <w:p w14:paraId="53CEED84">
            <w:pPr>
              <w:spacing w:before="56" w:line="228" w:lineRule="auto"/>
              <w:ind w:left="1089"/>
              <w:rPr>
                <w:rFonts w:ascii="宋体" w:hAnsi="宋体" w:eastAsia="宋体" w:cs="宋体"/>
                <w:sz w:val="20"/>
                <w:szCs w:val="20"/>
              </w:rPr>
            </w:pPr>
            <w:r>
              <w:rPr>
                <w:rFonts w:ascii="宋体" w:hAnsi="宋体" w:eastAsia="宋体" w:cs="宋体"/>
                <w:spacing w:val="8"/>
                <w:sz w:val="20"/>
                <w:szCs w:val="20"/>
              </w:rPr>
              <w:t>集</w:t>
            </w:r>
            <w:r>
              <w:rPr>
                <w:rFonts w:ascii="宋体" w:hAnsi="宋体" w:eastAsia="宋体" w:cs="宋体"/>
                <w:spacing w:val="7"/>
                <w:sz w:val="20"/>
                <w:szCs w:val="20"/>
              </w:rPr>
              <w:t>中收集</w:t>
            </w:r>
          </w:p>
        </w:tc>
        <w:tc>
          <w:tcPr>
            <w:tcW w:w="2233" w:type="dxa"/>
            <w:tcBorders>
              <w:left w:val="single" w:color="000000" w:sz="4" w:space="0"/>
              <w:right w:val="nil"/>
            </w:tcBorders>
            <w:vAlign w:val="top"/>
          </w:tcPr>
          <w:p w14:paraId="163FEF4B">
            <w:pPr>
              <w:spacing w:before="57" w:line="228" w:lineRule="auto"/>
              <w:ind w:left="178"/>
              <w:rPr>
                <w:rFonts w:ascii="宋体" w:hAnsi="宋体" w:eastAsia="宋体" w:cs="宋体"/>
                <w:sz w:val="20"/>
                <w:szCs w:val="20"/>
              </w:rPr>
            </w:pPr>
            <w:r>
              <w:rPr>
                <w:rFonts w:ascii="宋体" w:hAnsi="宋体" w:eastAsia="宋体" w:cs="宋体"/>
                <w:spacing w:val="12"/>
                <w:sz w:val="20"/>
                <w:szCs w:val="20"/>
              </w:rPr>
              <w:t>交</w:t>
            </w:r>
            <w:r>
              <w:rPr>
                <w:rFonts w:ascii="宋体" w:hAnsi="宋体" w:eastAsia="宋体" w:cs="宋体"/>
                <w:spacing w:val="8"/>
                <w:sz w:val="20"/>
                <w:szCs w:val="20"/>
              </w:rPr>
              <w:t>由有资质单位处理</w:t>
            </w:r>
          </w:p>
        </w:tc>
      </w:tr>
      <w:tr w14:paraId="7E690E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23" w:type="dxa"/>
            <w:vMerge w:val="continue"/>
            <w:tcBorders>
              <w:top w:val="nil"/>
              <w:left w:val="nil"/>
              <w:bottom w:val="nil"/>
              <w:right w:val="single" w:color="000000" w:sz="4" w:space="0"/>
            </w:tcBorders>
            <w:vAlign w:val="top"/>
          </w:tcPr>
          <w:p w14:paraId="3AC5594D">
            <w:pPr>
              <w:rPr>
                <w:rFonts w:ascii="Arial"/>
                <w:sz w:val="21"/>
              </w:rPr>
            </w:pPr>
          </w:p>
        </w:tc>
        <w:tc>
          <w:tcPr>
            <w:tcW w:w="1320" w:type="dxa"/>
            <w:tcBorders>
              <w:left w:val="single" w:color="000000" w:sz="4" w:space="0"/>
              <w:right w:val="single" w:color="000000" w:sz="4" w:space="0"/>
            </w:tcBorders>
            <w:vAlign w:val="top"/>
          </w:tcPr>
          <w:p w14:paraId="7E572C2D">
            <w:pPr>
              <w:spacing w:before="214" w:line="228" w:lineRule="auto"/>
              <w:ind w:left="352"/>
              <w:rPr>
                <w:rFonts w:ascii="宋体" w:hAnsi="宋体" w:eastAsia="宋体" w:cs="宋体"/>
                <w:sz w:val="20"/>
                <w:szCs w:val="20"/>
              </w:rPr>
            </w:pPr>
            <w:r>
              <w:rPr>
                <w:rFonts w:ascii="宋体" w:hAnsi="宋体" w:eastAsia="宋体" w:cs="宋体"/>
                <w:spacing w:val="6"/>
                <w:sz w:val="20"/>
                <w:szCs w:val="20"/>
              </w:rPr>
              <w:t>热</w:t>
            </w:r>
            <w:r>
              <w:rPr>
                <w:rFonts w:ascii="宋体" w:hAnsi="宋体" w:eastAsia="宋体" w:cs="宋体"/>
                <w:spacing w:val="5"/>
                <w:sz w:val="20"/>
                <w:szCs w:val="20"/>
              </w:rPr>
              <w:t>风炉</w:t>
            </w:r>
          </w:p>
        </w:tc>
        <w:tc>
          <w:tcPr>
            <w:tcW w:w="1260" w:type="dxa"/>
            <w:tcBorders>
              <w:left w:val="single" w:color="000000" w:sz="4" w:space="0"/>
              <w:right w:val="single" w:color="000000" w:sz="4" w:space="0"/>
            </w:tcBorders>
            <w:vAlign w:val="top"/>
          </w:tcPr>
          <w:p w14:paraId="2BF37DBD">
            <w:pPr>
              <w:spacing w:before="214" w:line="228" w:lineRule="auto"/>
              <w:ind w:left="424"/>
              <w:rPr>
                <w:rFonts w:ascii="宋体" w:hAnsi="宋体" w:eastAsia="宋体" w:cs="宋体"/>
                <w:sz w:val="20"/>
                <w:szCs w:val="20"/>
              </w:rPr>
            </w:pPr>
            <w:r>
              <w:rPr>
                <w:rFonts w:ascii="宋体" w:hAnsi="宋体" w:eastAsia="宋体" w:cs="宋体"/>
                <w:spacing w:val="4"/>
                <w:sz w:val="20"/>
                <w:szCs w:val="20"/>
              </w:rPr>
              <w:t>炉</w:t>
            </w:r>
            <w:r>
              <w:rPr>
                <w:rFonts w:ascii="宋体" w:hAnsi="宋体" w:eastAsia="宋体" w:cs="宋体"/>
                <w:spacing w:val="3"/>
                <w:sz w:val="20"/>
                <w:szCs w:val="20"/>
              </w:rPr>
              <w:t>渣</w:t>
            </w:r>
          </w:p>
        </w:tc>
        <w:tc>
          <w:tcPr>
            <w:tcW w:w="3015" w:type="dxa"/>
            <w:tcBorders>
              <w:left w:val="single" w:color="000000" w:sz="4" w:space="0"/>
              <w:right w:val="single" w:color="000000" w:sz="4" w:space="0"/>
            </w:tcBorders>
            <w:vAlign w:val="top"/>
          </w:tcPr>
          <w:p w14:paraId="73D6F8CB">
            <w:pPr>
              <w:spacing w:before="213" w:line="228" w:lineRule="auto"/>
              <w:ind w:left="1089"/>
              <w:rPr>
                <w:rFonts w:ascii="宋体" w:hAnsi="宋体" w:eastAsia="宋体" w:cs="宋体"/>
                <w:sz w:val="20"/>
                <w:szCs w:val="20"/>
              </w:rPr>
            </w:pPr>
            <w:r>
              <w:rPr>
                <w:rFonts w:ascii="宋体" w:hAnsi="宋体" w:eastAsia="宋体" w:cs="宋体"/>
                <w:spacing w:val="8"/>
                <w:sz w:val="20"/>
                <w:szCs w:val="20"/>
              </w:rPr>
              <w:t>集</w:t>
            </w:r>
            <w:r>
              <w:rPr>
                <w:rFonts w:ascii="宋体" w:hAnsi="宋体" w:eastAsia="宋体" w:cs="宋体"/>
                <w:spacing w:val="7"/>
                <w:sz w:val="20"/>
                <w:szCs w:val="20"/>
              </w:rPr>
              <w:t>中收集</w:t>
            </w:r>
          </w:p>
        </w:tc>
        <w:tc>
          <w:tcPr>
            <w:tcW w:w="2233" w:type="dxa"/>
            <w:tcBorders>
              <w:left w:val="single" w:color="000000" w:sz="4" w:space="0"/>
              <w:right w:val="nil"/>
            </w:tcBorders>
            <w:vAlign w:val="top"/>
          </w:tcPr>
          <w:p w14:paraId="27087106">
            <w:pPr>
              <w:spacing w:before="57" w:line="312" w:lineRule="exact"/>
              <w:ind w:left="493"/>
              <w:rPr>
                <w:rFonts w:ascii="宋体" w:hAnsi="宋体" w:eastAsia="宋体" w:cs="宋体"/>
                <w:sz w:val="20"/>
                <w:szCs w:val="20"/>
              </w:rPr>
            </w:pPr>
            <w:r>
              <w:rPr>
                <w:rFonts w:ascii="宋体" w:hAnsi="宋体" w:eastAsia="宋体" w:cs="宋体"/>
                <w:spacing w:val="8"/>
                <w:position w:val="7"/>
                <w:sz w:val="20"/>
                <w:szCs w:val="20"/>
              </w:rPr>
              <w:t>外卖给农肥</w:t>
            </w:r>
            <w:r>
              <w:rPr>
                <w:rFonts w:ascii="宋体" w:hAnsi="宋体" w:eastAsia="宋体" w:cs="宋体"/>
                <w:spacing w:val="7"/>
                <w:position w:val="7"/>
                <w:sz w:val="20"/>
                <w:szCs w:val="20"/>
              </w:rPr>
              <w:t>厂</w:t>
            </w:r>
          </w:p>
          <w:p w14:paraId="0E967446">
            <w:pPr>
              <w:spacing w:line="228" w:lineRule="auto"/>
              <w:ind w:left="487"/>
              <w:rPr>
                <w:rFonts w:ascii="宋体" w:hAnsi="宋体" w:eastAsia="宋体" w:cs="宋体"/>
                <w:sz w:val="20"/>
                <w:szCs w:val="20"/>
              </w:rPr>
            </w:pPr>
            <w:r>
              <w:rPr>
                <w:rFonts w:ascii="宋体" w:hAnsi="宋体" w:eastAsia="宋体" w:cs="宋体"/>
                <w:spacing w:val="11"/>
                <w:sz w:val="20"/>
                <w:szCs w:val="20"/>
              </w:rPr>
              <w:t>进</w:t>
            </w:r>
            <w:r>
              <w:rPr>
                <w:rFonts w:ascii="宋体" w:hAnsi="宋体" w:eastAsia="宋体" w:cs="宋体"/>
                <w:spacing w:val="8"/>
                <w:sz w:val="20"/>
                <w:szCs w:val="20"/>
              </w:rPr>
              <w:t>行综合利用</w:t>
            </w:r>
          </w:p>
        </w:tc>
      </w:tr>
      <w:tr w14:paraId="7D05FC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523" w:type="dxa"/>
            <w:vMerge w:val="continue"/>
            <w:tcBorders>
              <w:top w:val="nil"/>
              <w:left w:val="nil"/>
              <w:right w:val="single" w:color="000000" w:sz="4" w:space="0"/>
            </w:tcBorders>
            <w:vAlign w:val="top"/>
          </w:tcPr>
          <w:p w14:paraId="4CBBC930">
            <w:pPr>
              <w:rPr>
                <w:rFonts w:ascii="Arial"/>
                <w:sz w:val="21"/>
              </w:rPr>
            </w:pPr>
          </w:p>
        </w:tc>
        <w:tc>
          <w:tcPr>
            <w:tcW w:w="1320" w:type="dxa"/>
            <w:tcBorders>
              <w:left w:val="single" w:color="000000" w:sz="4" w:space="0"/>
              <w:right w:val="single" w:color="000000" w:sz="4" w:space="0"/>
            </w:tcBorders>
            <w:vAlign w:val="top"/>
          </w:tcPr>
          <w:p w14:paraId="73B3E2AC">
            <w:pPr>
              <w:spacing w:before="216" w:line="227" w:lineRule="auto"/>
              <w:ind w:left="139"/>
              <w:rPr>
                <w:rFonts w:ascii="宋体" w:hAnsi="宋体" w:eastAsia="宋体" w:cs="宋体"/>
                <w:sz w:val="20"/>
                <w:szCs w:val="20"/>
              </w:rPr>
            </w:pPr>
            <w:r>
              <w:rPr>
                <w:rFonts w:ascii="宋体" w:hAnsi="宋体" w:eastAsia="宋体" w:cs="宋体"/>
                <w:spacing w:val="8"/>
                <w:sz w:val="20"/>
                <w:szCs w:val="20"/>
              </w:rPr>
              <w:t>布袋除尘器</w:t>
            </w:r>
          </w:p>
        </w:tc>
        <w:tc>
          <w:tcPr>
            <w:tcW w:w="1260" w:type="dxa"/>
            <w:tcBorders>
              <w:left w:val="single" w:color="000000" w:sz="4" w:space="0"/>
              <w:right w:val="single" w:color="000000" w:sz="4" w:space="0"/>
            </w:tcBorders>
            <w:vAlign w:val="top"/>
          </w:tcPr>
          <w:p w14:paraId="36FE5FD0">
            <w:pPr>
              <w:spacing w:before="216" w:line="228" w:lineRule="auto"/>
              <w:ind w:left="421"/>
              <w:rPr>
                <w:rFonts w:ascii="宋体" w:hAnsi="宋体" w:eastAsia="宋体" w:cs="宋体"/>
                <w:sz w:val="20"/>
                <w:szCs w:val="20"/>
              </w:rPr>
            </w:pPr>
            <w:r>
              <w:rPr>
                <w:rFonts w:ascii="宋体" w:hAnsi="宋体" w:eastAsia="宋体" w:cs="宋体"/>
                <w:spacing w:val="5"/>
                <w:sz w:val="20"/>
                <w:szCs w:val="20"/>
              </w:rPr>
              <w:t>粉尘</w:t>
            </w:r>
          </w:p>
        </w:tc>
        <w:tc>
          <w:tcPr>
            <w:tcW w:w="3015" w:type="dxa"/>
            <w:tcBorders>
              <w:left w:val="single" w:color="000000" w:sz="4" w:space="0"/>
              <w:right w:val="single" w:color="000000" w:sz="4" w:space="0"/>
            </w:tcBorders>
            <w:vAlign w:val="top"/>
          </w:tcPr>
          <w:p w14:paraId="2F6DB703">
            <w:pPr>
              <w:spacing w:before="216" w:line="228" w:lineRule="auto"/>
              <w:ind w:left="1089"/>
              <w:rPr>
                <w:rFonts w:ascii="宋体" w:hAnsi="宋体" w:eastAsia="宋体" w:cs="宋体"/>
                <w:sz w:val="20"/>
                <w:szCs w:val="20"/>
              </w:rPr>
            </w:pPr>
            <w:r>
              <w:rPr>
                <w:rFonts w:ascii="宋体" w:hAnsi="宋体" w:eastAsia="宋体" w:cs="宋体"/>
                <w:spacing w:val="8"/>
                <w:sz w:val="20"/>
                <w:szCs w:val="20"/>
              </w:rPr>
              <w:t>集</w:t>
            </w:r>
            <w:r>
              <w:rPr>
                <w:rFonts w:ascii="宋体" w:hAnsi="宋体" w:eastAsia="宋体" w:cs="宋体"/>
                <w:spacing w:val="7"/>
                <w:sz w:val="20"/>
                <w:szCs w:val="20"/>
              </w:rPr>
              <w:t>中收集</w:t>
            </w:r>
          </w:p>
        </w:tc>
        <w:tc>
          <w:tcPr>
            <w:tcW w:w="2233" w:type="dxa"/>
            <w:tcBorders>
              <w:left w:val="single" w:color="000000" w:sz="4" w:space="0"/>
              <w:right w:val="nil"/>
            </w:tcBorders>
            <w:vAlign w:val="top"/>
          </w:tcPr>
          <w:p w14:paraId="187900D0">
            <w:pPr>
              <w:spacing w:before="60" w:line="312" w:lineRule="exact"/>
              <w:ind w:left="493"/>
              <w:rPr>
                <w:rFonts w:ascii="宋体" w:hAnsi="宋体" w:eastAsia="宋体" w:cs="宋体"/>
                <w:sz w:val="20"/>
                <w:szCs w:val="20"/>
              </w:rPr>
            </w:pPr>
            <w:r>
              <w:rPr>
                <w:rFonts w:ascii="宋体" w:hAnsi="宋体" w:eastAsia="宋体" w:cs="宋体"/>
                <w:spacing w:val="8"/>
                <w:position w:val="7"/>
                <w:sz w:val="20"/>
                <w:szCs w:val="20"/>
              </w:rPr>
              <w:t>外卖给农肥</w:t>
            </w:r>
            <w:r>
              <w:rPr>
                <w:rFonts w:ascii="宋体" w:hAnsi="宋体" w:eastAsia="宋体" w:cs="宋体"/>
                <w:spacing w:val="7"/>
                <w:position w:val="7"/>
                <w:sz w:val="20"/>
                <w:szCs w:val="20"/>
              </w:rPr>
              <w:t>厂</w:t>
            </w:r>
          </w:p>
          <w:p w14:paraId="447382AC">
            <w:pPr>
              <w:spacing w:line="228" w:lineRule="auto"/>
              <w:ind w:left="487"/>
              <w:rPr>
                <w:rFonts w:ascii="宋体" w:hAnsi="宋体" w:eastAsia="宋体" w:cs="宋体"/>
                <w:sz w:val="20"/>
                <w:szCs w:val="20"/>
              </w:rPr>
            </w:pPr>
            <w:r>
              <w:rPr>
                <w:rFonts w:ascii="宋体" w:hAnsi="宋体" w:eastAsia="宋体" w:cs="宋体"/>
                <w:spacing w:val="11"/>
                <w:sz w:val="20"/>
                <w:szCs w:val="20"/>
              </w:rPr>
              <w:t>进</w:t>
            </w:r>
            <w:r>
              <w:rPr>
                <w:rFonts w:ascii="宋体" w:hAnsi="宋体" w:eastAsia="宋体" w:cs="宋体"/>
                <w:spacing w:val="8"/>
                <w:sz w:val="20"/>
                <w:szCs w:val="20"/>
              </w:rPr>
              <w:t>行综合利用</w:t>
            </w:r>
          </w:p>
        </w:tc>
      </w:tr>
    </w:tbl>
    <w:p w14:paraId="78F403CB">
      <w:pPr>
        <w:spacing w:before="268" w:line="225" w:lineRule="auto"/>
        <w:ind w:left="32"/>
        <w:outlineLvl w:val="1"/>
        <w:rPr>
          <w:rFonts w:ascii="宋体" w:hAnsi="宋体" w:eastAsia="宋体" w:cs="宋体"/>
          <w:sz w:val="31"/>
          <w:szCs w:val="31"/>
        </w:rPr>
      </w:pPr>
      <w:bookmarkStart w:id="44" w:name="_bookmark45"/>
      <w:bookmarkEnd w:id="44"/>
      <w:r>
        <w:rPr>
          <w:rFonts w:ascii="Times New Roman" w:hAnsi="Times New Roman" w:eastAsia="Times New Roman" w:cs="Times New Roman"/>
          <w:b/>
          <w:bCs/>
          <w:spacing w:val="10"/>
          <w:sz w:val="31"/>
          <w:szCs w:val="31"/>
        </w:rPr>
        <w:t>9</w:t>
      </w:r>
      <w:r>
        <w:rPr>
          <w:rFonts w:ascii="Times New Roman" w:hAnsi="Times New Roman" w:eastAsia="Times New Roman" w:cs="Times New Roman"/>
          <w:b/>
          <w:bCs/>
          <w:spacing w:val="5"/>
          <w:sz w:val="31"/>
          <w:szCs w:val="31"/>
        </w:rPr>
        <w:t>.2</w:t>
      </w:r>
      <w:r>
        <w:rPr>
          <w:rFonts w:ascii="Times New Roman" w:hAnsi="Times New Roman" w:eastAsia="Times New Roman" w:cs="Times New Roman"/>
          <w:spacing w:val="5"/>
          <w:sz w:val="31"/>
          <w:szCs w:val="31"/>
        </w:rPr>
        <w:t xml:space="preserve">  </w:t>
      </w:r>
      <w:r>
        <w:rPr>
          <w:rFonts w:ascii="宋体" w:hAnsi="宋体" w:eastAsia="宋体" w:cs="宋体"/>
          <w:spacing w:val="5"/>
          <w:sz w:val="31"/>
          <w:szCs w:val="31"/>
          <w14:textOutline w14:w="5793" w14:cap="sq" w14:cmpd="sng">
            <w14:solidFill>
              <w14:srgbClr w14:val="000000"/>
            </w14:solidFill>
            <w14:prstDash w14:val="solid"/>
            <w14:bevel/>
          </w14:textOutline>
        </w:rPr>
        <w:t>环境监测</w:t>
      </w:r>
    </w:p>
    <w:p w14:paraId="5680C9C4">
      <w:pPr>
        <w:spacing w:line="251" w:lineRule="auto"/>
        <w:rPr>
          <w:rFonts w:ascii="Arial"/>
          <w:sz w:val="21"/>
        </w:rPr>
      </w:pPr>
    </w:p>
    <w:p w14:paraId="5F74CC58">
      <w:pPr>
        <w:spacing w:before="75" w:line="388" w:lineRule="auto"/>
        <w:ind w:left="33" w:right="47" w:firstLine="503"/>
        <w:rPr>
          <w:rFonts w:ascii="宋体" w:hAnsi="宋体" w:eastAsia="宋体" w:cs="宋体"/>
          <w:sz w:val="23"/>
          <w:szCs w:val="23"/>
        </w:rPr>
      </w:pPr>
      <w:r>
        <w:rPr>
          <w:rFonts w:ascii="宋体" w:hAnsi="宋体" w:eastAsia="宋体" w:cs="宋体"/>
          <w:spacing w:val="36"/>
          <w:sz w:val="23"/>
          <w:szCs w:val="23"/>
        </w:rPr>
        <w:t>环</w:t>
      </w:r>
      <w:r>
        <w:rPr>
          <w:rFonts w:ascii="宋体" w:hAnsi="宋体" w:eastAsia="宋体" w:cs="宋体"/>
          <w:spacing w:val="25"/>
          <w:sz w:val="23"/>
          <w:szCs w:val="23"/>
        </w:rPr>
        <w:t>境</w:t>
      </w:r>
      <w:r>
        <w:rPr>
          <w:rFonts w:ascii="宋体" w:hAnsi="宋体" w:eastAsia="宋体" w:cs="宋体"/>
          <w:spacing w:val="18"/>
          <w:sz w:val="23"/>
          <w:szCs w:val="23"/>
        </w:rPr>
        <w:t>监测是项目环境保护的</w:t>
      </w:r>
      <w:r>
        <w:rPr>
          <w:rFonts w:ascii="Times New Roman" w:hAnsi="Times New Roman" w:eastAsia="Times New Roman" w:cs="Times New Roman"/>
          <w:spacing w:val="18"/>
          <w:sz w:val="23"/>
          <w:szCs w:val="23"/>
        </w:rPr>
        <w:t>“</w:t>
      </w:r>
      <w:r>
        <w:rPr>
          <w:rFonts w:ascii="宋体" w:hAnsi="宋体" w:eastAsia="宋体" w:cs="宋体"/>
          <w:spacing w:val="18"/>
          <w:sz w:val="23"/>
          <w:szCs w:val="23"/>
        </w:rPr>
        <w:t>眼睛</w:t>
      </w:r>
      <w:r>
        <w:rPr>
          <w:rFonts w:ascii="Times New Roman" w:hAnsi="Times New Roman" w:eastAsia="Times New Roman" w:cs="Times New Roman"/>
          <w:spacing w:val="18"/>
          <w:sz w:val="23"/>
          <w:szCs w:val="23"/>
        </w:rPr>
        <w:t xml:space="preserve">” </w:t>
      </w:r>
      <w:r>
        <w:rPr>
          <w:rFonts w:ascii="宋体" w:hAnsi="宋体" w:eastAsia="宋体" w:cs="宋体"/>
          <w:spacing w:val="18"/>
          <w:sz w:val="23"/>
          <w:szCs w:val="23"/>
        </w:rPr>
        <w:t>，是基本的手段和信息基础，环境监</w:t>
      </w:r>
      <w:r>
        <w:rPr>
          <w:rFonts w:ascii="宋体" w:hAnsi="宋体" w:eastAsia="宋体" w:cs="宋体"/>
          <w:sz w:val="23"/>
          <w:szCs w:val="23"/>
        </w:rPr>
        <w:t xml:space="preserve"> </w:t>
      </w:r>
      <w:r>
        <w:rPr>
          <w:rFonts w:ascii="宋体" w:hAnsi="宋体" w:eastAsia="宋体" w:cs="宋体"/>
          <w:spacing w:val="22"/>
          <w:sz w:val="23"/>
          <w:szCs w:val="23"/>
        </w:rPr>
        <w:t>测</w:t>
      </w:r>
      <w:r>
        <w:rPr>
          <w:rFonts w:ascii="宋体" w:hAnsi="宋体" w:eastAsia="宋体" w:cs="宋体"/>
          <w:spacing w:val="21"/>
          <w:sz w:val="23"/>
          <w:szCs w:val="23"/>
        </w:rPr>
        <w:t>的特点是以样品的监测结果来推断总体环境质量。因此，必须把握好各个</w:t>
      </w:r>
      <w:r>
        <w:rPr>
          <w:rFonts w:ascii="宋体" w:hAnsi="宋体" w:eastAsia="宋体" w:cs="宋体"/>
          <w:sz w:val="23"/>
          <w:szCs w:val="23"/>
        </w:rPr>
        <w:t xml:space="preserve"> </w:t>
      </w:r>
      <w:r>
        <w:rPr>
          <w:rFonts w:ascii="宋体" w:hAnsi="宋体" w:eastAsia="宋体" w:cs="宋体"/>
          <w:spacing w:val="22"/>
          <w:sz w:val="23"/>
          <w:szCs w:val="23"/>
        </w:rPr>
        <w:t>技</w:t>
      </w:r>
      <w:r>
        <w:rPr>
          <w:rFonts w:ascii="宋体" w:hAnsi="宋体" w:eastAsia="宋体" w:cs="宋体"/>
          <w:spacing w:val="21"/>
          <w:sz w:val="23"/>
          <w:szCs w:val="23"/>
        </w:rPr>
        <w:t>术环节，包括确定环境监测的项目的范围，采样的位置和数量，采样的时</w:t>
      </w:r>
      <w:r>
        <w:rPr>
          <w:rFonts w:ascii="宋体" w:hAnsi="宋体" w:eastAsia="宋体" w:cs="宋体"/>
          <w:sz w:val="23"/>
          <w:szCs w:val="23"/>
        </w:rPr>
        <w:t xml:space="preserve"> </w:t>
      </w:r>
      <w:r>
        <w:rPr>
          <w:rFonts w:ascii="宋体" w:hAnsi="宋体" w:eastAsia="宋体" w:cs="宋体"/>
          <w:spacing w:val="22"/>
          <w:sz w:val="23"/>
          <w:szCs w:val="23"/>
        </w:rPr>
        <w:t>间</w:t>
      </w:r>
      <w:r>
        <w:rPr>
          <w:rFonts w:ascii="宋体" w:hAnsi="宋体" w:eastAsia="宋体" w:cs="宋体"/>
          <w:spacing w:val="21"/>
          <w:sz w:val="23"/>
          <w:szCs w:val="23"/>
        </w:rPr>
        <w:t>和方法，样品的分析和数据处理等及其质量保证工作。保证监测数据具有</w:t>
      </w:r>
      <w:r>
        <w:rPr>
          <w:rFonts w:ascii="宋体" w:hAnsi="宋体" w:eastAsia="宋体" w:cs="宋体"/>
          <w:sz w:val="23"/>
          <w:szCs w:val="23"/>
        </w:rPr>
        <w:t xml:space="preserve"> </w:t>
      </w:r>
      <w:r>
        <w:rPr>
          <w:rFonts w:ascii="宋体" w:hAnsi="宋体" w:eastAsia="宋体" w:cs="宋体"/>
          <w:spacing w:val="31"/>
          <w:sz w:val="23"/>
          <w:szCs w:val="23"/>
        </w:rPr>
        <w:t>完</w:t>
      </w:r>
      <w:r>
        <w:rPr>
          <w:rFonts w:ascii="宋体" w:hAnsi="宋体" w:eastAsia="宋体" w:cs="宋体"/>
          <w:spacing w:val="20"/>
          <w:sz w:val="23"/>
          <w:szCs w:val="23"/>
        </w:rPr>
        <w:t>整的质量特征，准确性、精密性、完整性、代表性和可比性。</w:t>
      </w:r>
    </w:p>
    <w:p w14:paraId="4A8A9F65">
      <w:pPr>
        <w:spacing w:before="85" w:line="226" w:lineRule="auto"/>
        <w:ind w:left="32"/>
        <w:outlineLvl w:val="2"/>
        <w:rPr>
          <w:rFonts w:ascii="宋体" w:hAnsi="宋体" w:eastAsia="宋体" w:cs="宋体"/>
          <w:sz w:val="29"/>
          <w:szCs w:val="29"/>
        </w:rPr>
      </w:pPr>
      <w:r>
        <w:rPr>
          <w:rFonts w:ascii="Times New Roman" w:hAnsi="Times New Roman" w:eastAsia="Times New Roman" w:cs="Times New Roman"/>
          <w:b/>
          <w:bCs/>
          <w:spacing w:val="18"/>
          <w:sz w:val="29"/>
          <w:szCs w:val="29"/>
        </w:rPr>
        <w:t>9</w:t>
      </w:r>
      <w:r>
        <w:rPr>
          <w:rFonts w:ascii="Times New Roman" w:hAnsi="Times New Roman" w:eastAsia="Times New Roman" w:cs="Times New Roman"/>
          <w:b/>
          <w:bCs/>
          <w:spacing w:val="15"/>
          <w:sz w:val="29"/>
          <w:szCs w:val="29"/>
        </w:rPr>
        <w:t>.2.1</w:t>
      </w:r>
      <w:r>
        <w:rPr>
          <w:rFonts w:ascii="Times New Roman" w:hAnsi="Times New Roman" w:eastAsia="Times New Roman" w:cs="Times New Roman"/>
          <w:spacing w:val="15"/>
          <w:sz w:val="29"/>
          <w:szCs w:val="29"/>
        </w:rPr>
        <w:t xml:space="preserve">  </w:t>
      </w:r>
      <w:r>
        <w:rPr>
          <w:rFonts w:ascii="宋体" w:hAnsi="宋体" w:eastAsia="宋体" w:cs="宋体"/>
          <w:spacing w:val="15"/>
          <w:sz w:val="29"/>
          <w:szCs w:val="29"/>
          <w14:textOutline w14:w="5448" w14:cap="sq" w14:cmpd="sng">
            <w14:solidFill>
              <w14:srgbClr w14:val="000000"/>
            </w14:solidFill>
            <w14:prstDash w14:val="solid"/>
            <w14:bevel/>
          </w14:textOutline>
        </w:rPr>
        <w:t>环境监测的必要性</w:t>
      </w:r>
    </w:p>
    <w:p w14:paraId="09DA155C">
      <w:pPr>
        <w:spacing w:line="257" w:lineRule="auto"/>
        <w:rPr>
          <w:rFonts w:ascii="Arial"/>
          <w:sz w:val="21"/>
        </w:rPr>
      </w:pPr>
    </w:p>
    <w:p w14:paraId="3905F048">
      <w:pPr>
        <w:spacing w:before="75" w:line="389" w:lineRule="auto"/>
        <w:ind w:left="32" w:right="47" w:firstLine="503"/>
        <w:rPr>
          <w:rFonts w:ascii="宋体" w:hAnsi="宋体" w:eastAsia="宋体" w:cs="宋体"/>
          <w:sz w:val="23"/>
          <w:szCs w:val="23"/>
        </w:rPr>
      </w:pPr>
      <w:r>
        <w:rPr>
          <w:rFonts w:ascii="宋体" w:hAnsi="宋体" w:eastAsia="宋体" w:cs="宋体"/>
          <w:spacing w:val="21"/>
          <w:sz w:val="23"/>
          <w:szCs w:val="23"/>
        </w:rPr>
        <w:t>环境监测既是项目执行管理的需要，也是环保部门了解项目执行情况、</w:t>
      </w:r>
      <w:r>
        <w:rPr>
          <w:rFonts w:ascii="宋体" w:hAnsi="宋体" w:eastAsia="宋体" w:cs="宋体"/>
          <w:sz w:val="23"/>
          <w:szCs w:val="23"/>
        </w:rPr>
        <w:t xml:space="preserve"> </w:t>
      </w:r>
      <w:r>
        <w:rPr>
          <w:rFonts w:ascii="宋体" w:hAnsi="宋体" w:eastAsia="宋体" w:cs="宋体"/>
          <w:spacing w:val="19"/>
          <w:sz w:val="23"/>
          <w:szCs w:val="23"/>
        </w:rPr>
        <w:t>研</w:t>
      </w:r>
      <w:r>
        <w:rPr>
          <w:rFonts w:ascii="宋体" w:hAnsi="宋体" w:eastAsia="宋体" w:cs="宋体"/>
          <w:spacing w:val="17"/>
          <w:sz w:val="23"/>
          <w:szCs w:val="23"/>
        </w:rPr>
        <w:t>究对策，实行宏观指导的依据 。通过现厂监测，能及时发现问题和了解运</w:t>
      </w:r>
      <w:r>
        <w:rPr>
          <w:rFonts w:ascii="宋体" w:hAnsi="宋体" w:eastAsia="宋体" w:cs="宋体"/>
          <w:sz w:val="23"/>
          <w:szCs w:val="23"/>
        </w:rPr>
        <w:t xml:space="preserve"> </w:t>
      </w:r>
      <w:r>
        <w:rPr>
          <w:rFonts w:ascii="宋体" w:hAnsi="宋体" w:eastAsia="宋体" w:cs="宋体"/>
          <w:spacing w:val="19"/>
          <w:sz w:val="23"/>
          <w:szCs w:val="23"/>
        </w:rPr>
        <w:t>行</w:t>
      </w:r>
      <w:r>
        <w:rPr>
          <w:rFonts w:ascii="宋体" w:hAnsi="宋体" w:eastAsia="宋体" w:cs="宋体"/>
          <w:spacing w:val="17"/>
          <w:sz w:val="23"/>
          <w:szCs w:val="23"/>
        </w:rPr>
        <w:t>数据是否理想，达到总结经验、解决问题、改善管理的目的， 以确保项目</w:t>
      </w:r>
      <w:r>
        <w:rPr>
          <w:rFonts w:ascii="宋体" w:hAnsi="宋体" w:eastAsia="宋体" w:cs="宋体"/>
          <w:sz w:val="23"/>
          <w:szCs w:val="23"/>
        </w:rPr>
        <w:t xml:space="preserve"> </w:t>
      </w:r>
      <w:r>
        <w:rPr>
          <w:rFonts w:ascii="宋体" w:hAnsi="宋体" w:eastAsia="宋体" w:cs="宋体"/>
          <w:spacing w:val="18"/>
          <w:sz w:val="23"/>
          <w:szCs w:val="23"/>
        </w:rPr>
        <w:t>顺</w:t>
      </w:r>
      <w:r>
        <w:rPr>
          <w:rFonts w:ascii="宋体" w:hAnsi="宋体" w:eastAsia="宋体" w:cs="宋体"/>
          <w:spacing w:val="17"/>
          <w:sz w:val="23"/>
          <w:szCs w:val="23"/>
        </w:rPr>
        <w:t>利实现预期目的。</w:t>
      </w:r>
    </w:p>
    <w:p w14:paraId="73112343">
      <w:pPr>
        <w:spacing w:before="84" w:line="225" w:lineRule="auto"/>
        <w:ind w:left="32"/>
        <w:outlineLvl w:val="2"/>
        <w:rPr>
          <w:rFonts w:ascii="宋体" w:hAnsi="宋体" w:eastAsia="宋体" w:cs="宋体"/>
          <w:sz w:val="29"/>
          <w:szCs w:val="29"/>
        </w:rPr>
      </w:pPr>
      <w:r>
        <w:rPr>
          <w:rFonts w:ascii="Times New Roman" w:hAnsi="Times New Roman" w:eastAsia="Times New Roman" w:cs="Times New Roman"/>
          <w:b/>
          <w:bCs/>
          <w:spacing w:val="18"/>
          <w:sz w:val="29"/>
          <w:szCs w:val="29"/>
        </w:rPr>
        <w:t>9</w:t>
      </w:r>
      <w:r>
        <w:rPr>
          <w:rFonts w:ascii="Times New Roman" w:hAnsi="Times New Roman" w:eastAsia="Times New Roman" w:cs="Times New Roman"/>
          <w:b/>
          <w:bCs/>
          <w:spacing w:val="15"/>
          <w:sz w:val="29"/>
          <w:szCs w:val="29"/>
        </w:rPr>
        <w:t>.2.2</w:t>
      </w:r>
      <w:r>
        <w:rPr>
          <w:rFonts w:ascii="Times New Roman" w:hAnsi="Times New Roman" w:eastAsia="Times New Roman" w:cs="Times New Roman"/>
          <w:spacing w:val="15"/>
          <w:sz w:val="29"/>
          <w:szCs w:val="29"/>
        </w:rPr>
        <w:t xml:space="preserve">  </w:t>
      </w:r>
      <w:r>
        <w:rPr>
          <w:rFonts w:ascii="宋体" w:hAnsi="宋体" w:eastAsia="宋体" w:cs="宋体"/>
          <w:spacing w:val="15"/>
          <w:sz w:val="29"/>
          <w:szCs w:val="29"/>
          <w14:textOutline w14:w="5448" w14:cap="sq" w14:cmpd="sng">
            <w14:solidFill>
              <w14:srgbClr w14:val="000000"/>
            </w14:solidFill>
            <w14:prstDash w14:val="solid"/>
            <w14:bevel/>
          </w14:textOutline>
        </w:rPr>
        <w:t>环境监测机构设置</w:t>
      </w:r>
    </w:p>
    <w:p w14:paraId="5EC258FF">
      <w:pPr>
        <w:spacing w:line="258" w:lineRule="auto"/>
        <w:rPr>
          <w:rFonts w:ascii="Arial"/>
          <w:sz w:val="21"/>
        </w:rPr>
      </w:pPr>
    </w:p>
    <w:p w14:paraId="46CBFEF0">
      <w:pPr>
        <w:spacing w:before="74" w:line="393" w:lineRule="auto"/>
        <w:ind w:left="32" w:right="47" w:firstLine="506"/>
        <w:rPr>
          <w:rFonts w:ascii="宋体" w:hAnsi="宋体" w:eastAsia="宋体" w:cs="宋体"/>
          <w:sz w:val="23"/>
          <w:szCs w:val="23"/>
        </w:rPr>
      </w:pPr>
      <w:r>
        <w:rPr>
          <w:rFonts w:ascii="宋体" w:hAnsi="宋体" w:eastAsia="宋体" w:cs="宋体"/>
          <w:spacing w:val="27"/>
          <w:sz w:val="23"/>
          <w:szCs w:val="23"/>
        </w:rPr>
        <w:t>为</w:t>
      </w:r>
      <w:r>
        <w:rPr>
          <w:rFonts w:ascii="宋体" w:hAnsi="宋体" w:eastAsia="宋体" w:cs="宋体"/>
          <w:spacing w:val="20"/>
          <w:sz w:val="23"/>
          <w:szCs w:val="23"/>
        </w:rPr>
        <w:t>了及时准确地了解项 目 的污染物排放情况和污染物治理设施的运行</w:t>
      </w:r>
      <w:r>
        <w:rPr>
          <w:rFonts w:ascii="宋体" w:hAnsi="宋体" w:eastAsia="宋体" w:cs="宋体"/>
          <w:sz w:val="23"/>
          <w:szCs w:val="23"/>
        </w:rPr>
        <w:t xml:space="preserve"> </w:t>
      </w:r>
      <w:r>
        <w:rPr>
          <w:rFonts w:ascii="宋体" w:hAnsi="宋体" w:eastAsia="宋体" w:cs="宋体"/>
          <w:spacing w:val="22"/>
          <w:sz w:val="23"/>
          <w:szCs w:val="23"/>
        </w:rPr>
        <w:t>状</w:t>
      </w:r>
      <w:r>
        <w:rPr>
          <w:rFonts w:ascii="宋体" w:hAnsi="宋体" w:eastAsia="宋体" w:cs="宋体"/>
          <w:spacing w:val="20"/>
          <w:sz w:val="23"/>
          <w:szCs w:val="23"/>
        </w:rPr>
        <w:t>况，企业应委托有资质的监测机构进行常规监测。</w:t>
      </w:r>
    </w:p>
    <w:p w14:paraId="1CCDDAE0">
      <w:pPr>
        <w:spacing w:before="86" w:line="226" w:lineRule="auto"/>
        <w:ind w:left="32"/>
        <w:outlineLvl w:val="2"/>
        <w:rPr>
          <w:rFonts w:ascii="宋体" w:hAnsi="宋体" w:eastAsia="宋体" w:cs="宋体"/>
          <w:sz w:val="29"/>
          <w:szCs w:val="29"/>
        </w:rPr>
      </w:pPr>
      <w:r>
        <w:rPr>
          <w:rFonts w:ascii="Times New Roman" w:hAnsi="Times New Roman" w:eastAsia="Times New Roman" w:cs="Times New Roman"/>
          <w:b/>
          <w:bCs/>
          <w:spacing w:val="23"/>
          <w:sz w:val="29"/>
          <w:szCs w:val="29"/>
        </w:rPr>
        <w:t>9</w:t>
      </w:r>
      <w:r>
        <w:rPr>
          <w:rFonts w:ascii="Times New Roman" w:hAnsi="Times New Roman" w:eastAsia="Times New Roman" w:cs="Times New Roman"/>
          <w:b/>
          <w:bCs/>
          <w:spacing w:val="14"/>
          <w:sz w:val="29"/>
          <w:szCs w:val="29"/>
        </w:rPr>
        <w:t>.2.3</w:t>
      </w:r>
      <w:r>
        <w:rPr>
          <w:rFonts w:ascii="Times New Roman" w:hAnsi="Times New Roman" w:eastAsia="Times New Roman" w:cs="Times New Roman"/>
          <w:spacing w:val="14"/>
          <w:sz w:val="29"/>
          <w:szCs w:val="29"/>
        </w:rPr>
        <w:t xml:space="preserve">  </w:t>
      </w:r>
      <w:r>
        <w:rPr>
          <w:rFonts w:ascii="宋体" w:hAnsi="宋体" w:eastAsia="宋体" w:cs="宋体"/>
          <w:spacing w:val="14"/>
          <w:sz w:val="29"/>
          <w:szCs w:val="29"/>
          <w14:textOutline w14:w="5448" w14:cap="sq" w14:cmpd="sng">
            <w14:solidFill>
              <w14:srgbClr w14:val="000000"/>
            </w14:solidFill>
            <w14:prstDash w14:val="solid"/>
            <w14:bevel/>
          </w14:textOutline>
        </w:rPr>
        <w:t>设立排放口</w:t>
      </w:r>
      <w:r>
        <w:rPr>
          <w:rFonts w:ascii="宋体" w:hAnsi="宋体" w:eastAsia="宋体" w:cs="宋体"/>
          <w:spacing w:val="14"/>
          <w:sz w:val="29"/>
          <w:szCs w:val="29"/>
        </w:rPr>
        <w:t xml:space="preserve"> </w:t>
      </w:r>
      <w:r>
        <w:rPr>
          <w:rFonts w:ascii="宋体" w:hAnsi="宋体" w:eastAsia="宋体" w:cs="宋体"/>
          <w:spacing w:val="14"/>
          <w:sz w:val="29"/>
          <w:szCs w:val="29"/>
          <w14:textOutline w14:w="5448" w14:cap="sq" w14:cmpd="sng">
            <w14:solidFill>
              <w14:srgbClr w14:val="000000"/>
            </w14:solidFill>
            <w14:prstDash w14:val="solid"/>
            <w14:bevel/>
          </w14:textOutline>
        </w:rPr>
        <w:t>(源)</w:t>
      </w:r>
      <w:r>
        <w:rPr>
          <w:rFonts w:ascii="宋体" w:hAnsi="宋体" w:eastAsia="宋体" w:cs="宋体"/>
          <w:spacing w:val="14"/>
          <w:sz w:val="29"/>
          <w:szCs w:val="29"/>
        </w:rPr>
        <w:t xml:space="preserve"> </w:t>
      </w:r>
      <w:r>
        <w:rPr>
          <w:rFonts w:ascii="宋体" w:hAnsi="宋体" w:eastAsia="宋体" w:cs="宋体"/>
          <w:spacing w:val="14"/>
          <w:sz w:val="29"/>
          <w:szCs w:val="29"/>
          <w14:textOutline w14:w="5448" w14:cap="sq" w14:cmpd="sng">
            <w14:solidFill>
              <w14:srgbClr w14:val="000000"/>
            </w14:solidFill>
            <w14:prstDash w14:val="solid"/>
            <w14:bevel/>
          </w14:textOutline>
        </w:rPr>
        <w:t>标识</w:t>
      </w:r>
    </w:p>
    <w:p w14:paraId="3FBB55EA">
      <w:pPr>
        <w:spacing w:line="258" w:lineRule="auto"/>
        <w:rPr>
          <w:rFonts w:ascii="Arial"/>
          <w:sz w:val="21"/>
        </w:rPr>
      </w:pPr>
    </w:p>
    <w:p w14:paraId="6A17420A">
      <w:pPr>
        <w:spacing w:before="75" w:line="388" w:lineRule="auto"/>
        <w:ind w:left="31" w:firstLine="484"/>
        <w:rPr>
          <w:rFonts w:ascii="宋体" w:hAnsi="宋体" w:eastAsia="宋体" w:cs="宋体"/>
          <w:sz w:val="23"/>
          <w:szCs w:val="23"/>
        </w:rPr>
      </w:pPr>
      <w:r>
        <w:rPr>
          <w:rFonts w:ascii="宋体" w:hAnsi="宋体" w:eastAsia="宋体" w:cs="宋体"/>
          <w:spacing w:val="12"/>
          <w:sz w:val="23"/>
          <w:szCs w:val="23"/>
        </w:rPr>
        <w:t>项目的各</w:t>
      </w:r>
      <w:r>
        <w:rPr>
          <w:rFonts w:ascii="宋体" w:hAnsi="宋体" w:eastAsia="宋体" w:cs="宋体"/>
          <w:spacing w:val="7"/>
          <w:sz w:val="23"/>
          <w:szCs w:val="23"/>
        </w:rPr>
        <w:t>排</w:t>
      </w:r>
      <w:r>
        <w:rPr>
          <w:rFonts w:ascii="宋体" w:hAnsi="宋体" w:eastAsia="宋体" w:cs="宋体"/>
          <w:spacing w:val="6"/>
          <w:sz w:val="23"/>
          <w:szCs w:val="23"/>
        </w:rPr>
        <w:t>污口按照环境管理要求，必须进行规范化建设，在项目的大气排</w:t>
      </w:r>
      <w:r>
        <w:rPr>
          <w:rFonts w:ascii="宋体" w:hAnsi="宋体" w:eastAsia="宋体" w:cs="宋体"/>
          <w:sz w:val="23"/>
          <w:szCs w:val="23"/>
        </w:rPr>
        <w:t xml:space="preserve"> </w:t>
      </w:r>
      <w:r>
        <w:rPr>
          <w:rFonts w:ascii="宋体" w:hAnsi="宋体" w:eastAsia="宋体" w:cs="宋体"/>
          <w:spacing w:val="9"/>
          <w:sz w:val="23"/>
          <w:szCs w:val="23"/>
        </w:rPr>
        <w:t>放</w:t>
      </w:r>
      <w:r>
        <w:rPr>
          <w:rFonts w:ascii="宋体" w:hAnsi="宋体" w:eastAsia="宋体" w:cs="宋体"/>
          <w:spacing w:val="7"/>
          <w:sz w:val="23"/>
          <w:szCs w:val="23"/>
        </w:rPr>
        <w:t>源、噪声排放源设立规范的环境保护图形标志，按照《环境保护图形标志</w:t>
      </w:r>
      <w:r>
        <w:rPr>
          <w:rFonts w:ascii="Times New Roman" w:hAnsi="Times New Roman" w:eastAsia="Times New Roman" w:cs="Times New Roman"/>
          <w:spacing w:val="7"/>
          <w:sz w:val="23"/>
          <w:szCs w:val="23"/>
        </w:rPr>
        <w:t>――</w:t>
      </w:r>
      <w:r>
        <w:rPr>
          <w:rFonts w:ascii="Times New Roman" w:hAnsi="Times New Roman" w:eastAsia="Times New Roman" w:cs="Times New Roman"/>
          <w:sz w:val="23"/>
          <w:szCs w:val="23"/>
        </w:rPr>
        <w:t xml:space="preserve"> </w:t>
      </w:r>
      <w:r>
        <w:rPr>
          <w:rFonts w:ascii="宋体" w:hAnsi="宋体" w:eastAsia="宋体" w:cs="宋体"/>
          <w:spacing w:val="-2"/>
          <w:sz w:val="23"/>
          <w:szCs w:val="23"/>
        </w:rPr>
        <w:t xml:space="preserve">排放口 (源) </w:t>
      </w:r>
      <w:r>
        <w:rPr>
          <w:rFonts w:ascii="宋体" w:hAnsi="宋体" w:eastAsia="宋体" w:cs="宋体"/>
          <w:spacing w:val="-1"/>
          <w:sz w:val="23"/>
          <w:szCs w:val="23"/>
        </w:rPr>
        <w:t>》  (</w:t>
      </w:r>
      <w:r>
        <w:rPr>
          <w:rFonts w:ascii="Times New Roman" w:hAnsi="Times New Roman" w:eastAsia="Times New Roman" w:cs="Times New Roman"/>
          <w:spacing w:val="-1"/>
          <w:sz w:val="23"/>
          <w:szCs w:val="23"/>
        </w:rPr>
        <w:t xml:space="preserve">GB15562. 1- 1995 </w:t>
      </w:r>
      <w:r>
        <w:rPr>
          <w:rFonts w:ascii="宋体" w:hAnsi="宋体" w:eastAsia="宋体" w:cs="宋体"/>
          <w:spacing w:val="-1"/>
          <w:sz w:val="23"/>
          <w:szCs w:val="23"/>
        </w:rPr>
        <w:t>、</w:t>
      </w:r>
      <w:r>
        <w:rPr>
          <w:rFonts w:ascii="Times New Roman" w:hAnsi="Times New Roman" w:eastAsia="Times New Roman" w:cs="Times New Roman"/>
          <w:spacing w:val="-1"/>
          <w:sz w:val="23"/>
          <w:szCs w:val="23"/>
        </w:rPr>
        <w:t xml:space="preserve">1996-07- 11 </w:t>
      </w:r>
      <w:r>
        <w:rPr>
          <w:rFonts w:ascii="宋体" w:hAnsi="宋体" w:eastAsia="宋体" w:cs="宋体"/>
          <w:spacing w:val="-1"/>
          <w:sz w:val="23"/>
          <w:szCs w:val="23"/>
        </w:rPr>
        <w:t>实施) 执行，以利于环境保护行</w:t>
      </w:r>
      <w:r>
        <w:rPr>
          <w:rFonts w:ascii="宋体" w:hAnsi="宋体" w:eastAsia="宋体" w:cs="宋体"/>
          <w:sz w:val="23"/>
          <w:szCs w:val="23"/>
        </w:rPr>
        <w:t xml:space="preserve"> </w:t>
      </w:r>
      <w:r>
        <w:rPr>
          <w:rFonts w:ascii="宋体" w:hAnsi="宋体" w:eastAsia="宋体" w:cs="宋体"/>
          <w:spacing w:val="11"/>
          <w:sz w:val="23"/>
          <w:szCs w:val="23"/>
        </w:rPr>
        <w:t>政</w:t>
      </w:r>
      <w:r>
        <w:rPr>
          <w:rFonts w:ascii="宋体" w:hAnsi="宋体" w:eastAsia="宋体" w:cs="宋体"/>
          <w:spacing w:val="8"/>
          <w:sz w:val="23"/>
          <w:szCs w:val="23"/>
        </w:rPr>
        <w:t>主管部门对各排放口的监督管理。标志牌制作由国家环境保护总局统一监制，</w:t>
      </w:r>
      <w:r>
        <w:rPr>
          <w:rFonts w:ascii="宋体" w:hAnsi="宋体" w:eastAsia="宋体" w:cs="宋体"/>
          <w:sz w:val="23"/>
          <w:szCs w:val="23"/>
        </w:rPr>
        <w:t xml:space="preserve"> </w:t>
      </w:r>
      <w:r>
        <w:rPr>
          <w:rFonts w:ascii="宋体" w:hAnsi="宋体" w:eastAsia="宋体" w:cs="宋体"/>
          <w:spacing w:val="8"/>
          <w:sz w:val="23"/>
          <w:szCs w:val="23"/>
        </w:rPr>
        <w:t>标志</w:t>
      </w:r>
      <w:r>
        <w:rPr>
          <w:rFonts w:ascii="宋体" w:hAnsi="宋体" w:eastAsia="宋体" w:cs="宋体"/>
          <w:spacing w:val="7"/>
          <w:sz w:val="23"/>
          <w:szCs w:val="23"/>
        </w:rPr>
        <w:t>牌</w:t>
      </w:r>
      <w:r>
        <w:rPr>
          <w:rFonts w:ascii="宋体" w:hAnsi="宋体" w:eastAsia="宋体" w:cs="宋体"/>
          <w:spacing w:val="4"/>
          <w:sz w:val="23"/>
          <w:szCs w:val="23"/>
        </w:rPr>
        <w:t xml:space="preserve">应设置在与之功能相应的醒目处，具体标识见图 </w:t>
      </w:r>
      <w:r>
        <w:rPr>
          <w:rFonts w:ascii="Times New Roman" w:hAnsi="Times New Roman" w:eastAsia="Times New Roman" w:cs="Times New Roman"/>
          <w:spacing w:val="4"/>
          <w:sz w:val="23"/>
          <w:szCs w:val="23"/>
        </w:rPr>
        <w:t>9- 1</w:t>
      </w:r>
      <w:r>
        <w:rPr>
          <w:rFonts w:ascii="宋体" w:hAnsi="宋体" w:eastAsia="宋体" w:cs="宋体"/>
          <w:spacing w:val="4"/>
          <w:sz w:val="23"/>
          <w:szCs w:val="23"/>
        </w:rPr>
        <w:t>。</w:t>
      </w:r>
    </w:p>
    <w:p w14:paraId="6289DB5D">
      <w:pPr>
        <w:sectPr>
          <w:headerReference r:id="rId325" w:type="default"/>
          <w:footerReference r:id="rId326" w:type="default"/>
          <w:pgSz w:w="11906" w:h="16839"/>
          <w:pgMar w:top="1132" w:right="1764" w:bottom="1182" w:left="1777" w:header="878" w:footer="1022" w:gutter="0"/>
          <w:cols w:space="720" w:num="1"/>
        </w:sectPr>
      </w:pPr>
    </w:p>
    <w:p w14:paraId="244A8F4A">
      <w:pPr>
        <w:spacing w:line="350" w:lineRule="auto"/>
        <w:rPr>
          <w:rFonts w:ascii="Arial"/>
          <w:sz w:val="21"/>
        </w:rPr>
      </w:pPr>
      <w:r>
        <w:pict>
          <v:shape id="_x0000_s1382" o:spid="_x0000_s1382" style="position:absolute;left:0pt;margin-left:90pt;margin-top:57.35pt;height:0.75pt;width:415.3pt;mso-position-horizontal-relative:page;mso-position-vertical-relative:page;z-index:252078080;mso-width-relative:page;mso-height-relative:page;" fillcolor="#000000" filled="t" stroked="f" coordsize="8305,15" o:allowincell="f" path="m0,0l8305,0,8305,14,0,14,0,0xe">
            <v:path/>
            <v:fill on="t" focussize="0,0"/>
            <v:stroke on="f"/>
            <v:imagedata o:title=""/>
            <o:lock v:ext="edit"/>
          </v:shape>
        </w:pict>
      </w:r>
    </w:p>
    <w:p w14:paraId="20A6CC09">
      <w:pPr>
        <w:spacing w:line="3343" w:lineRule="exact"/>
        <w:ind w:firstLine="1324"/>
        <w:textAlignment w:val="center"/>
      </w:pPr>
      <w:r>
        <w:drawing>
          <wp:inline distT="0" distB="0" distL="0" distR="0">
            <wp:extent cx="3609975" cy="2122805"/>
            <wp:effectExtent l="0" t="0" r="0" b="0"/>
            <wp:docPr id="249" name="IM 249"/>
            <wp:cNvGraphicFramePr/>
            <a:graphic xmlns:a="http://schemas.openxmlformats.org/drawingml/2006/main">
              <a:graphicData uri="http://schemas.openxmlformats.org/drawingml/2006/picture">
                <pic:pic xmlns:pic="http://schemas.openxmlformats.org/drawingml/2006/picture">
                  <pic:nvPicPr>
                    <pic:cNvPr id="249" name="IM 249"/>
                    <pic:cNvPicPr/>
                  </pic:nvPicPr>
                  <pic:blipFill>
                    <a:blip r:embed="rId602"/>
                    <a:stretch>
                      <a:fillRect/>
                    </a:stretch>
                  </pic:blipFill>
                  <pic:spPr>
                    <a:xfrm>
                      <a:off x="0" y="0"/>
                      <a:ext cx="3610355" cy="2122931"/>
                    </a:xfrm>
                    <a:prstGeom prst="rect">
                      <a:avLst/>
                    </a:prstGeom>
                  </pic:spPr>
                </pic:pic>
              </a:graphicData>
            </a:graphic>
          </wp:inline>
        </w:drawing>
      </w:r>
    </w:p>
    <w:p w14:paraId="47612727">
      <w:pPr>
        <w:spacing w:before="222" w:line="228" w:lineRule="auto"/>
        <w:ind w:left="2674"/>
        <w:rPr>
          <w:rFonts w:ascii="宋体" w:hAnsi="宋体" w:eastAsia="宋体" w:cs="宋体"/>
          <w:sz w:val="23"/>
          <w:szCs w:val="23"/>
        </w:rPr>
      </w:pPr>
      <w:r>
        <w:rPr>
          <w:rFonts w:ascii="宋体" w:hAnsi="宋体" w:eastAsia="宋体" w:cs="宋体"/>
          <w:spacing w:val="13"/>
          <w:sz w:val="23"/>
          <w:szCs w:val="23"/>
          <w14:textOutline w14:w="4358" w14:cap="sq" w14:cmpd="sng">
            <w14:solidFill>
              <w14:srgbClr w14:val="000000"/>
            </w14:solidFill>
            <w14:prstDash w14:val="solid"/>
            <w14:bevel/>
          </w14:textOutline>
        </w:rPr>
        <w:t>图</w:t>
      </w:r>
      <w:r>
        <w:rPr>
          <w:rFonts w:ascii="宋体" w:hAnsi="宋体" w:eastAsia="宋体" w:cs="宋体"/>
          <w:spacing w:val="11"/>
          <w:sz w:val="23"/>
          <w:szCs w:val="23"/>
        </w:rPr>
        <w:t xml:space="preserve"> </w:t>
      </w:r>
      <w:r>
        <w:rPr>
          <w:rFonts w:ascii="Times New Roman" w:hAnsi="Times New Roman" w:eastAsia="Times New Roman" w:cs="Times New Roman"/>
          <w:b/>
          <w:bCs/>
          <w:spacing w:val="11"/>
          <w:sz w:val="23"/>
          <w:szCs w:val="23"/>
        </w:rPr>
        <w:t>9-1</w:t>
      </w:r>
      <w:r>
        <w:rPr>
          <w:rFonts w:ascii="Times New Roman" w:hAnsi="Times New Roman" w:eastAsia="Times New Roman" w:cs="Times New Roman"/>
          <w:spacing w:val="11"/>
          <w:sz w:val="23"/>
          <w:szCs w:val="23"/>
        </w:rPr>
        <w:t xml:space="preserve">  </w:t>
      </w:r>
      <w:r>
        <w:rPr>
          <w:rFonts w:ascii="宋体" w:hAnsi="宋体" w:eastAsia="宋体" w:cs="宋体"/>
          <w:spacing w:val="11"/>
          <w:sz w:val="23"/>
          <w:szCs w:val="23"/>
          <w14:textOutline w14:w="4358" w14:cap="sq" w14:cmpd="sng">
            <w14:solidFill>
              <w14:srgbClr w14:val="000000"/>
            </w14:solidFill>
            <w14:prstDash w14:val="solid"/>
            <w14:bevel/>
          </w14:textOutline>
        </w:rPr>
        <w:t>环境保护图形标志图</w:t>
      </w:r>
    </w:p>
    <w:p w14:paraId="6DBC5A90">
      <w:pPr>
        <w:spacing w:before="300" w:line="226" w:lineRule="auto"/>
        <w:ind w:left="23"/>
        <w:outlineLvl w:val="2"/>
        <w:rPr>
          <w:rFonts w:ascii="宋体" w:hAnsi="宋体" w:eastAsia="宋体" w:cs="宋体"/>
          <w:sz w:val="29"/>
          <w:szCs w:val="29"/>
        </w:rPr>
      </w:pPr>
      <w:r>
        <w:rPr>
          <w:rFonts w:ascii="Times New Roman" w:hAnsi="Times New Roman" w:eastAsia="Times New Roman" w:cs="Times New Roman"/>
          <w:b/>
          <w:bCs/>
          <w:spacing w:val="7"/>
          <w:sz w:val="29"/>
          <w:szCs w:val="29"/>
        </w:rPr>
        <w:t>9</w:t>
      </w:r>
      <w:r>
        <w:rPr>
          <w:rFonts w:ascii="Times New Roman" w:hAnsi="Times New Roman" w:eastAsia="Times New Roman" w:cs="Times New Roman"/>
          <w:b/>
          <w:bCs/>
          <w:spacing w:val="6"/>
          <w:sz w:val="29"/>
          <w:szCs w:val="29"/>
        </w:rPr>
        <w:t>.2.4</w:t>
      </w:r>
      <w:r>
        <w:rPr>
          <w:rFonts w:ascii="Times New Roman" w:hAnsi="Times New Roman" w:eastAsia="Times New Roman" w:cs="Times New Roman"/>
          <w:spacing w:val="6"/>
          <w:sz w:val="29"/>
          <w:szCs w:val="29"/>
        </w:rPr>
        <w:t xml:space="preserve">  </w:t>
      </w:r>
      <w:r>
        <w:rPr>
          <w:rFonts w:ascii="宋体" w:hAnsi="宋体" w:eastAsia="宋体" w:cs="宋体"/>
          <w:spacing w:val="6"/>
          <w:sz w:val="29"/>
          <w:szCs w:val="29"/>
          <w14:textOutline w14:w="5448" w14:cap="sq" w14:cmpd="sng">
            <w14:solidFill>
              <w14:srgbClr w14:val="000000"/>
            </w14:solidFill>
            <w14:prstDash w14:val="solid"/>
            <w14:bevel/>
          </w14:textOutline>
        </w:rPr>
        <w:t>环境监测计划</w:t>
      </w:r>
    </w:p>
    <w:p w14:paraId="56F6717B">
      <w:pPr>
        <w:spacing w:line="256" w:lineRule="auto"/>
        <w:rPr>
          <w:rFonts w:ascii="Arial"/>
          <w:sz w:val="21"/>
        </w:rPr>
      </w:pPr>
    </w:p>
    <w:p w14:paraId="0E310F68">
      <w:pPr>
        <w:spacing w:before="75" w:line="389" w:lineRule="auto"/>
        <w:ind w:left="26" w:firstLine="477"/>
        <w:rPr>
          <w:rFonts w:ascii="宋体" w:hAnsi="宋体" w:eastAsia="宋体" w:cs="宋体"/>
          <w:sz w:val="23"/>
          <w:szCs w:val="23"/>
        </w:rPr>
      </w:pPr>
      <w:r>
        <w:rPr>
          <w:rFonts w:ascii="宋体" w:hAnsi="宋体" w:eastAsia="宋体" w:cs="宋体"/>
          <w:spacing w:val="7"/>
          <w:sz w:val="23"/>
          <w:szCs w:val="23"/>
        </w:rPr>
        <w:t>根据工程的生产规模，污染排放的实际情况及企业发展规划，由环保科负</w:t>
      </w:r>
      <w:r>
        <w:rPr>
          <w:rFonts w:ascii="宋体" w:hAnsi="宋体" w:eastAsia="宋体" w:cs="宋体"/>
          <w:spacing w:val="3"/>
          <w:sz w:val="23"/>
          <w:szCs w:val="23"/>
        </w:rPr>
        <w:t>责</w:t>
      </w:r>
      <w:r>
        <w:rPr>
          <w:rFonts w:ascii="宋体" w:hAnsi="宋体" w:eastAsia="宋体" w:cs="宋体"/>
          <w:sz w:val="23"/>
          <w:szCs w:val="23"/>
        </w:rPr>
        <w:t xml:space="preserve"> </w:t>
      </w:r>
      <w:r>
        <w:rPr>
          <w:rFonts w:ascii="宋体" w:hAnsi="宋体" w:eastAsia="宋体" w:cs="宋体"/>
          <w:spacing w:val="8"/>
          <w:sz w:val="23"/>
          <w:szCs w:val="23"/>
        </w:rPr>
        <w:t>企业污染源和环境质量监测管理。环境质量监测可委托有资质的监测机构完成</w:t>
      </w:r>
      <w:r>
        <w:rPr>
          <w:rFonts w:ascii="宋体" w:hAnsi="宋体" w:eastAsia="宋体" w:cs="宋体"/>
          <w:spacing w:val="7"/>
          <w:sz w:val="23"/>
          <w:szCs w:val="23"/>
        </w:rPr>
        <w:t>，</w:t>
      </w:r>
      <w:r>
        <w:rPr>
          <w:rFonts w:ascii="宋体" w:hAnsi="宋体" w:eastAsia="宋体" w:cs="宋体"/>
          <w:sz w:val="23"/>
          <w:szCs w:val="23"/>
        </w:rPr>
        <w:t xml:space="preserve"> </w:t>
      </w:r>
      <w:r>
        <w:rPr>
          <w:rFonts w:ascii="宋体" w:hAnsi="宋体" w:eastAsia="宋体" w:cs="宋体"/>
          <w:spacing w:val="7"/>
          <w:sz w:val="23"/>
          <w:szCs w:val="23"/>
        </w:rPr>
        <w:t>具体监测时间、频率、点位服从环保部门的规定和要求，环境监测以企业生产</w:t>
      </w:r>
      <w:r>
        <w:rPr>
          <w:rFonts w:ascii="宋体" w:hAnsi="宋体" w:eastAsia="宋体" w:cs="宋体"/>
          <w:spacing w:val="6"/>
          <w:sz w:val="23"/>
          <w:szCs w:val="23"/>
        </w:rPr>
        <w:t>特</w:t>
      </w:r>
      <w:r>
        <w:rPr>
          <w:rFonts w:ascii="宋体" w:hAnsi="宋体" w:eastAsia="宋体" w:cs="宋体"/>
          <w:sz w:val="23"/>
          <w:szCs w:val="23"/>
        </w:rPr>
        <w:t xml:space="preserve"> </w:t>
      </w:r>
      <w:r>
        <w:rPr>
          <w:rFonts w:ascii="宋体" w:hAnsi="宋体" w:eastAsia="宋体" w:cs="宋体"/>
          <w:spacing w:val="10"/>
          <w:sz w:val="23"/>
          <w:szCs w:val="23"/>
        </w:rPr>
        <w:t>征</w:t>
      </w:r>
      <w:r>
        <w:rPr>
          <w:rFonts w:ascii="宋体" w:hAnsi="宋体" w:eastAsia="宋体" w:cs="宋体"/>
          <w:spacing w:val="9"/>
          <w:sz w:val="23"/>
          <w:szCs w:val="23"/>
        </w:rPr>
        <w:t>、污染物影响特性及测试手段的可靠性来进行确定。</w:t>
      </w:r>
    </w:p>
    <w:p w14:paraId="749183D2">
      <w:pPr>
        <w:spacing w:before="101" w:line="220" w:lineRule="auto"/>
        <w:ind w:left="22"/>
        <w:rPr>
          <w:rFonts w:ascii="宋体" w:hAnsi="宋体" w:eastAsia="宋体" w:cs="宋体"/>
          <w:sz w:val="28"/>
          <w:szCs w:val="28"/>
        </w:rPr>
      </w:pPr>
      <w:r>
        <w:rPr>
          <w:rFonts w:ascii="Times New Roman" w:hAnsi="Times New Roman" w:eastAsia="Times New Roman" w:cs="Times New Roman"/>
          <w:b/>
          <w:bCs/>
          <w:spacing w:val="-1"/>
          <w:sz w:val="28"/>
          <w:szCs w:val="28"/>
        </w:rPr>
        <w:t>9.</w:t>
      </w:r>
      <w:r>
        <w:rPr>
          <w:rFonts w:ascii="Times New Roman" w:hAnsi="Times New Roman" w:eastAsia="Times New Roman" w:cs="Times New Roman"/>
          <w:b/>
          <w:bCs/>
          <w:sz w:val="28"/>
          <w:szCs w:val="28"/>
        </w:rPr>
        <w:t>2.4.1</w:t>
      </w:r>
      <w:r>
        <w:rPr>
          <w:rFonts w:ascii="Times New Roman" w:hAnsi="Times New Roman" w:eastAsia="Times New Roman" w:cs="Times New Roman"/>
          <w:sz w:val="28"/>
          <w:szCs w:val="28"/>
        </w:rPr>
        <w:t xml:space="preserve">  </w:t>
      </w:r>
      <w:r>
        <w:rPr>
          <w:rFonts w:ascii="宋体" w:hAnsi="宋体" w:eastAsia="宋体" w:cs="宋体"/>
          <w:sz w:val="28"/>
          <w:szCs w:val="28"/>
          <w14:textOutline w14:w="5103" w14:cap="sq" w14:cmpd="sng">
            <w14:solidFill>
              <w14:srgbClr w14:val="000000"/>
            </w14:solidFill>
            <w14:prstDash w14:val="solid"/>
            <w14:bevel/>
          </w14:textOutline>
        </w:rPr>
        <w:t>环境监测内容</w:t>
      </w:r>
    </w:p>
    <w:p w14:paraId="30D7F7D7">
      <w:pPr>
        <w:spacing w:before="294" w:line="323" w:lineRule="exact"/>
        <w:ind w:left="503"/>
        <w:rPr>
          <w:rFonts w:ascii="宋体" w:hAnsi="宋体" w:eastAsia="宋体" w:cs="宋体"/>
          <w:sz w:val="23"/>
          <w:szCs w:val="23"/>
        </w:rPr>
      </w:pPr>
      <w:r>
        <w:rPr>
          <w:rFonts w:ascii="Times New Roman" w:hAnsi="Times New Roman" w:eastAsia="Times New Roman" w:cs="Times New Roman"/>
          <w:spacing w:val="-2"/>
          <w:position w:val="3"/>
          <w:sz w:val="23"/>
          <w:szCs w:val="23"/>
        </w:rPr>
        <w:t>( 1</w:t>
      </w:r>
      <w:r>
        <w:rPr>
          <w:rFonts w:ascii="Times New Roman" w:hAnsi="Times New Roman" w:eastAsia="Times New Roman" w:cs="Times New Roman"/>
          <w:spacing w:val="-1"/>
          <w:position w:val="3"/>
          <w:sz w:val="23"/>
          <w:szCs w:val="23"/>
        </w:rPr>
        <w:t xml:space="preserve">)  </w:t>
      </w:r>
      <w:r>
        <w:rPr>
          <w:rFonts w:ascii="宋体" w:hAnsi="宋体" w:eastAsia="宋体" w:cs="宋体"/>
          <w:spacing w:val="-1"/>
          <w:position w:val="3"/>
          <w:sz w:val="23"/>
          <w:szCs w:val="23"/>
        </w:rPr>
        <w:t>监测项目</w:t>
      </w:r>
    </w:p>
    <w:p w14:paraId="2354788E">
      <w:pPr>
        <w:spacing w:line="279" w:lineRule="auto"/>
        <w:rPr>
          <w:rFonts w:ascii="Arial"/>
          <w:sz w:val="21"/>
        </w:rPr>
      </w:pPr>
    </w:p>
    <w:p w14:paraId="4E2EDF7E">
      <w:pPr>
        <w:spacing w:before="75" w:line="227" w:lineRule="auto"/>
        <w:ind w:left="480"/>
        <w:rPr>
          <w:rFonts w:ascii="宋体" w:hAnsi="宋体" w:eastAsia="宋体" w:cs="宋体"/>
          <w:sz w:val="23"/>
          <w:szCs w:val="23"/>
        </w:rPr>
      </w:pPr>
      <w:r>
        <w:rPr>
          <w:rFonts w:ascii="宋体" w:hAnsi="宋体" w:eastAsia="宋体" w:cs="宋体"/>
          <w:spacing w:val="-2"/>
          <w:sz w:val="23"/>
          <w:szCs w:val="23"/>
        </w:rPr>
        <w:t>重点监测企业各污染源和附近关心点、敏感点的污染物排放状况和污染动</w:t>
      </w:r>
      <w:r>
        <w:rPr>
          <w:rFonts w:ascii="宋体" w:hAnsi="宋体" w:eastAsia="宋体" w:cs="宋体"/>
          <w:spacing w:val="-1"/>
          <w:sz w:val="23"/>
          <w:szCs w:val="23"/>
        </w:rPr>
        <w:t>态</w:t>
      </w:r>
      <w:r>
        <w:rPr>
          <w:rFonts w:ascii="宋体" w:hAnsi="宋体" w:eastAsia="宋体" w:cs="宋体"/>
          <w:sz w:val="23"/>
          <w:szCs w:val="23"/>
        </w:rPr>
        <w:t>。</w:t>
      </w:r>
    </w:p>
    <w:p w14:paraId="034465EF">
      <w:pPr>
        <w:spacing w:before="311" w:line="323" w:lineRule="exact"/>
        <w:ind w:left="503"/>
        <w:rPr>
          <w:rFonts w:ascii="宋体" w:hAnsi="宋体" w:eastAsia="宋体" w:cs="宋体"/>
          <w:sz w:val="23"/>
          <w:szCs w:val="23"/>
        </w:rPr>
      </w:pPr>
      <w:r>
        <w:rPr>
          <w:rFonts w:ascii="Times New Roman" w:hAnsi="Times New Roman" w:eastAsia="Times New Roman" w:cs="Times New Roman"/>
          <w:spacing w:val="5"/>
          <w:position w:val="3"/>
          <w:sz w:val="23"/>
          <w:szCs w:val="23"/>
        </w:rPr>
        <w:t xml:space="preserve">(2)  </w:t>
      </w:r>
      <w:r>
        <w:rPr>
          <w:rFonts w:ascii="宋体" w:hAnsi="宋体" w:eastAsia="宋体" w:cs="宋体"/>
          <w:spacing w:val="5"/>
          <w:position w:val="3"/>
          <w:sz w:val="23"/>
          <w:szCs w:val="23"/>
        </w:rPr>
        <w:t>监测内容</w:t>
      </w:r>
    </w:p>
    <w:p w14:paraId="3B016B52">
      <w:pPr>
        <w:spacing w:line="280" w:lineRule="auto"/>
        <w:rPr>
          <w:rFonts w:ascii="Arial"/>
          <w:sz w:val="21"/>
        </w:rPr>
      </w:pPr>
    </w:p>
    <w:p w14:paraId="4BC4D89F">
      <w:pPr>
        <w:spacing w:before="74" w:line="228" w:lineRule="auto"/>
        <w:ind w:left="502"/>
        <w:rPr>
          <w:rFonts w:ascii="Times New Roman" w:hAnsi="Times New Roman" w:eastAsia="Times New Roman" w:cs="Times New Roman"/>
          <w:sz w:val="23"/>
          <w:szCs w:val="23"/>
        </w:rPr>
      </w:pPr>
      <w:r>
        <w:rPr>
          <w:rFonts w:ascii="宋体" w:hAnsi="宋体" w:eastAsia="宋体" w:cs="宋体"/>
          <w:spacing w:val="5"/>
          <w:sz w:val="23"/>
          <w:szCs w:val="23"/>
        </w:rPr>
        <w:t>废</w:t>
      </w:r>
      <w:r>
        <w:rPr>
          <w:rFonts w:ascii="宋体" w:hAnsi="宋体" w:eastAsia="宋体" w:cs="宋体"/>
          <w:spacing w:val="4"/>
          <w:sz w:val="23"/>
          <w:szCs w:val="23"/>
        </w:rPr>
        <w:t>气：颗粒物、</w:t>
      </w:r>
      <w:r>
        <w:rPr>
          <w:rFonts w:ascii="Times New Roman" w:hAnsi="Times New Roman" w:eastAsia="Times New Roman" w:cs="Times New Roman"/>
          <w:sz w:val="23"/>
          <w:szCs w:val="23"/>
        </w:rPr>
        <w:t>NMHC</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w:t>
      </w:r>
      <w:r>
        <w:rPr>
          <w:rFonts w:ascii="Times New Roman" w:hAnsi="Times New Roman" w:eastAsia="Times New Roman" w:cs="Times New Roman"/>
          <w:sz w:val="23"/>
          <w:szCs w:val="23"/>
        </w:rPr>
        <w:t>SO</w:t>
      </w:r>
      <w:r>
        <w:rPr>
          <w:rFonts w:ascii="Times New Roman" w:hAnsi="Times New Roman" w:eastAsia="Times New Roman" w:cs="Times New Roman"/>
          <w:spacing w:val="4"/>
          <w:position w:val="-1"/>
          <w:sz w:val="15"/>
          <w:szCs w:val="15"/>
        </w:rPr>
        <w:t xml:space="preserve">2 </w:t>
      </w:r>
      <w:r>
        <w:rPr>
          <w:rFonts w:ascii="宋体" w:hAnsi="宋体" w:eastAsia="宋体" w:cs="宋体"/>
          <w:spacing w:val="4"/>
          <w:sz w:val="23"/>
          <w:szCs w:val="23"/>
        </w:rPr>
        <w:t>、</w:t>
      </w:r>
      <w:r>
        <w:rPr>
          <w:rFonts w:ascii="Times New Roman" w:hAnsi="Times New Roman" w:eastAsia="Times New Roman" w:cs="Times New Roman"/>
          <w:sz w:val="23"/>
          <w:szCs w:val="23"/>
        </w:rPr>
        <w:t>NOx</w:t>
      </w:r>
    </w:p>
    <w:p w14:paraId="25119B4D">
      <w:pPr>
        <w:spacing w:before="196" w:line="480" w:lineRule="exact"/>
        <w:ind w:left="502"/>
        <w:rPr>
          <w:rFonts w:ascii="Times New Roman" w:hAnsi="Times New Roman" w:eastAsia="Times New Roman" w:cs="Times New Roman"/>
          <w:sz w:val="23"/>
          <w:szCs w:val="23"/>
        </w:rPr>
      </w:pPr>
      <w:r>
        <w:rPr>
          <w:rFonts w:ascii="宋体" w:hAnsi="宋体" w:eastAsia="宋体" w:cs="宋体"/>
          <w:spacing w:val="19"/>
          <w:position w:val="18"/>
          <w:sz w:val="23"/>
          <w:szCs w:val="23"/>
        </w:rPr>
        <w:t>废水：动植物油、</w:t>
      </w:r>
      <w:r>
        <w:rPr>
          <w:rFonts w:ascii="Times New Roman" w:hAnsi="Times New Roman" w:eastAsia="Times New Roman" w:cs="Times New Roman"/>
          <w:position w:val="18"/>
          <w:sz w:val="23"/>
          <w:szCs w:val="23"/>
        </w:rPr>
        <w:t>CODcr</w:t>
      </w:r>
      <w:r>
        <w:rPr>
          <w:rFonts w:ascii="Times New Roman" w:hAnsi="Times New Roman" w:eastAsia="Times New Roman" w:cs="Times New Roman"/>
          <w:spacing w:val="19"/>
          <w:position w:val="18"/>
          <w:sz w:val="23"/>
          <w:szCs w:val="23"/>
        </w:rPr>
        <w:t xml:space="preserve"> </w:t>
      </w:r>
      <w:r>
        <w:rPr>
          <w:rFonts w:ascii="宋体" w:hAnsi="宋体" w:eastAsia="宋体" w:cs="宋体"/>
          <w:spacing w:val="19"/>
          <w:position w:val="18"/>
          <w:sz w:val="23"/>
          <w:szCs w:val="23"/>
        </w:rPr>
        <w:t>、石油类、氨氮</w:t>
      </w:r>
      <w:r>
        <w:rPr>
          <w:rFonts w:ascii="宋体" w:hAnsi="宋体" w:eastAsia="宋体" w:cs="宋体"/>
          <w:spacing w:val="18"/>
          <w:position w:val="18"/>
          <w:sz w:val="23"/>
          <w:szCs w:val="23"/>
        </w:rPr>
        <w:t>、</w:t>
      </w:r>
      <w:r>
        <w:rPr>
          <w:rFonts w:ascii="Times New Roman" w:hAnsi="Times New Roman" w:eastAsia="Times New Roman" w:cs="Times New Roman"/>
          <w:position w:val="18"/>
          <w:sz w:val="23"/>
          <w:szCs w:val="23"/>
        </w:rPr>
        <w:t>SS</w:t>
      </w:r>
    </w:p>
    <w:p w14:paraId="28E05D58">
      <w:pPr>
        <w:spacing w:line="228" w:lineRule="auto"/>
        <w:ind w:left="514"/>
        <w:rPr>
          <w:rFonts w:ascii="宋体" w:hAnsi="宋体" w:eastAsia="宋体" w:cs="宋体"/>
          <w:sz w:val="23"/>
          <w:szCs w:val="23"/>
        </w:rPr>
      </w:pPr>
      <w:r>
        <w:rPr>
          <w:rFonts w:ascii="宋体" w:hAnsi="宋体" w:eastAsia="宋体" w:cs="宋体"/>
          <w:spacing w:val="13"/>
          <w:sz w:val="23"/>
          <w:szCs w:val="23"/>
        </w:rPr>
        <w:t>噪</w:t>
      </w:r>
      <w:r>
        <w:rPr>
          <w:rFonts w:ascii="宋体" w:hAnsi="宋体" w:eastAsia="宋体" w:cs="宋体"/>
          <w:spacing w:val="7"/>
          <w:sz w:val="23"/>
          <w:szCs w:val="23"/>
        </w:rPr>
        <w:t>声：厂界环境噪声</w:t>
      </w:r>
    </w:p>
    <w:p w14:paraId="2D9FDB3F">
      <w:pPr>
        <w:spacing w:before="196" w:line="221" w:lineRule="auto"/>
        <w:ind w:left="503"/>
        <w:rPr>
          <w:rFonts w:ascii="宋体" w:hAnsi="宋体" w:eastAsia="宋体" w:cs="宋体"/>
          <w:sz w:val="23"/>
          <w:szCs w:val="23"/>
        </w:rPr>
      </w:pPr>
      <w:r>
        <w:rPr>
          <w:rFonts w:ascii="宋体" w:hAnsi="宋体" w:eastAsia="宋体" w:cs="宋体"/>
          <w:spacing w:val="16"/>
          <w:sz w:val="23"/>
          <w:szCs w:val="23"/>
        </w:rPr>
        <w:t>地</w:t>
      </w:r>
      <w:r>
        <w:rPr>
          <w:rFonts w:ascii="宋体" w:hAnsi="宋体" w:eastAsia="宋体" w:cs="宋体"/>
          <w:spacing w:val="12"/>
          <w:sz w:val="23"/>
          <w:szCs w:val="23"/>
        </w:rPr>
        <w:t>下水：</w:t>
      </w:r>
      <w:r>
        <w:rPr>
          <w:rFonts w:ascii="Times New Roman" w:hAnsi="Times New Roman" w:eastAsia="Times New Roman" w:cs="Times New Roman"/>
          <w:sz w:val="23"/>
          <w:szCs w:val="23"/>
        </w:rPr>
        <w:t>pH</w:t>
      </w:r>
      <w:r>
        <w:rPr>
          <w:rFonts w:ascii="Times New Roman" w:hAnsi="Times New Roman" w:eastAsia="Times New Roman" w:cs="Times New Roman"/>
          <w:spacing w:val="12"/>
          <w:sz w:val="23"/>
          <w:szCs w:val="23"/>
        </w:rPr>
        <w:t xml:space="preserve"> </w:t>
      </w:r>
      <w:r>
        <w:rPr>
          <w:rFonts w:ascii="宋体" w:hAnsi="宋体" w:eastAsia="宋体" w:cs="宋体"/>
          <w:spacing w:val="12"/>
          <w:sz w:val="23"/>
          <w:szCs w:val="23"/>
        </w:rPr>
        <w:t>、</w:t>
      </w:r>
      <w:r>
        <w:rPr>
          <w:rFonts w:ascii="Times New Roman" w:hAnsi="Times New Roman" w:eastAsia="Times New Roman" w:cs="Times New Roman"/>
          <w:sz w:val="23"/>
          <w:szCs w:val="23"/>
        </w:rPr>
        <w:t>CODcr</w:t>
      </w:r>
      <w:r>
        <w:rPr>
          <w:rFonts w:ascii="Times New Roman" w:hAnsi="Times New Roman" w:eastAsia="Times New Roman" w:cs="Times New Roman"/>
          <w:spacing w:val="12"/>
          <w:sz w:val="23"/>
          <w:szCs w:val="23"/>
        </w:rPr>
        <w:t xml:space="preserve"> </w:t>
      </w:r>
      <w:r>
        <w:rPr>
          <w:rFonts w:ascii="宋体" w:hAnsi="宋体" w:eastAsia="宋体" w:cs="宋体"/>
          <w:spacing w:val="12"/>
          <w:sz w:val="23"/>
          <w:szCs w:val="23"/>
        </w:rPr>
        <w:t>、</w:t>
      </w:r>
      <w:r>
        <w:rPr>
          <w:rFonts w:ascii="Times New Roman" w:hAnsi="Times New Roman" w:eastAsia="Times New Roman" w:cs="Times New Roman"/>
          <w:sz w:val="23"/>
          <w:szCs w:val="23"/>
        </w:rPr>
        <w:t>BOD</w:t>
      </w:r>
      <w:r>
        <w:rPr>
          <w:rFonts w:ascii="Times New Roman" w:hAnsi="Times New Roman" w:eastAsia="Times New Roman" w:cs="Times New Roman"/>
          <w:spacing w:val="12"/>
          <w:position w:val="-1"/>
          <w:sz w:val="15"/>
          <w:szCs w:val="15"/>
        </w:rPr>
        <w:t xml:space="preserve">5 </w:t>
      </w:r>
      <w:r>
        <w:rPr>
          <w:rFonts w:ascii="宋体" w:hAnsi="宋体" w:eastAsia="宋体" w:cs="宋体"/>
          <w:spacing w:val="12"/>
          <w:sz w:val="23"/>
          <w:szCs w:val="23"/>
        </w:rPr>
        <w:t>、氨氮、</w:t>
      </w:r>
      <w:r>
        <w:rPr>
          <w:rFonts w:ascii="Times New Roman" w:hAnsi="Times New Roman" w:eastAsia="Times New Roman" w:cs="Times New Roman"/>
          <w:sz w:val="23"/>
          <w:szCs w:val="23"/>
        </w:rPr>
        <w:t>SS</w:t>
      </w:r>
      <w:r>
        <w:rPr>
          <w:rFonts w:ascii="Times New Roman" w:hAnsi="Times New Roman" w:eastAsia="Times New Roman" w:cs="Times New Roman"/>
          <w:spacing w:val="12"/>
          <w:sz w:val="23"/>
          <w:szCs w:val="23"/>
        </w:rPr>
        <w:t xml:space="preserve"> </w:t>
      </w:r>
      <w:r>
        <w:rPr>
          <w:rFonts w:ascii="宋体" w:hAnsi="宋体" w:eastAsia="宋体" w:cs="宋体"/>
          <w:spacing w:val="12"/>
          <w:sz w:val="23"/>
          <w:szCs w:val="23"/>
        </w:rPr>
        <w:t>、总磷和粪大肠菌群</w:t>
      </w:r>
    </w:p>
    <w:p w14:paraId="0095F733">
      <w:pPr>
        <w:spacing w:before="325" w:line="221" w:lineRule="auto"/>
        <w:ind w:left="22"/>
        <w:rPr>
          <w:rFonts w:ascii="宋体" w:hAnsi="宋体" w:eastAsia="宋体" w:cs="宋体"/>
          <w:sz w:val="28"/>
          <w:szCs w:val="28"/>
        </w:rPr>
      </w:pPr>
      <w:r>
        <w:rPr>
          <w:rFonts w:ascii="Times New Roman" w:hAnsi="Times New Roman" w:eastAsia="Times New Roman" w:cs="Times New Roman"/>
          <w:b/>
          <w:bCs/>
          <w:spacing w:val="-1"/>
          <w:sz w:val="28"/>
          <w:szCs w:val="28"/>
        </w:rPr>
        <w:t>9.</w:t>
      </w:r>
      <w:r>
        <w:rPr>
          <w:rFonts w:ascii="Times New Roman" w:hAnsi="Times New Roman" w:eastAsia="Times New Roman" w:cs="Times New Roman"/>
          <w:b/>
          <w:bCs/>
          <w:sz w:val="28"/>
          <w:szCs w:val="28"/>
        </w:rPr>
        <w:t>2.4.2</w:t>
      </w:r>
      <w:r>
        <w:rPr>
          <w:rFonts w:ascii="Times New Roman" w:hAnsi="Times New Roman" w:eastAsia="Times New Roman" w:cs="Times New Roman"/>
          <w:sz w:val="28"/>
          <w:szCs w:val="28"/>
        </w:rPr>
        <w:t xml:space="preserve">  </w:t>
      </w:r>
      <w:r>
        <w:rPr>
          <w:rFonts w:ascii="宋体" w:hAnsi="宋体" w:eastAsia="宋体" w:cs="宋体"/>
          <w:sz w:val="28"/>
          <w:szCs w:val="28"/>
          <w14:textOutline w14:w="5103" w14:cap="sq" w14:cmpd="sng">
            <w14:solidFill>
              <w14:srgbClr w14:val="000000"/>
            </w14:solidFill>
            <w14:prstDash w14:val="solid"/>
            <w14:bevel/>
          </w14:textOutline>
        </w:rPr>
        <w:t>环境监测计划</w:t>
      </w:r>
    </w:p>
    <w:p w14:paraId="4425FEB8">
      <w:pPr>
        <w:spacing w:line="259" w:lineRule="auto"/>
        <w:rPr>
          <w:rFonts w:ascii="Arial"/>
          <w:sz w:val="21"/>
        </w:rPr>
      </w:pPr>
    </w:p>
    <w:p w14:paraId="5C0BFE40">
      <w:pPr>
        <w:spacing w:before="76" w:line="394" w:lineRule="auto"/>
        <w:ind w:left="25" w:right="35" w:firstLine="479"/>
        <w:rPr>
          <w:rFonts w:ascii="宋体" w:hAnsi="宋体" w:eastAsia="宋体" w:cs="宋体"/>
          <w:sz w:val="23"/>
          <w:szCs w:val="23"/>
        </w:rPr>
      </w:pPr>
      <w:r>
        <w:rPr>
          <w:rFonts w:ascii="宋体" w:hAnsi="宋体" w:eastAsia="宋体" w:cs="宋体"/>
          <w:spacing w:val="7"/>
          <w:sz w:val="23"/>
          <w:szCs w:val="23"/>
        </w:rPr>
        <w:t>监测和分析方法按国家有关规定进行。根据项目特点和企业监测能力，可</w:t>
      </w:r>
      <w:r>
        <w:rPr>
          <w:rFonts w:ascii="宋体" w:hAnsi="宋体" w:eastAsia="宋体" w:cs="宋体"/>
          <w:spacing w:val="2"/>
          <w:sz w:val="23"/>
          <w:szCs w:val="23"/>
        </w:rPr>
        <w:t>采</w:t>
      </w:r>
      <w:r>
        <w:rPr>
          <w:rFonts w:ascii="宋体" w:hAnsi="宋体" w:eastAsia="宋体" w:cs="宋体"/>
          <w:sz w:val="23"/>
          <w:szCs w:val="23"/>
        </w:rPr>
        <w:t xml:space="preserve"> </w:t>
      </w:r>
      <w:r>
        <w:rPr>
          <w:rFonts w:ascii="宋体" w:hAnsi="宋体" w:eastAsia="宋体" w:cs="宋体"/>
          <w:spacing w:val="5"/>
          <w:sz w:val="23"/>
          <w:szCs w:val="23"/>
        </w:rPr>
        <w:t xml:space="preserve">用委托监测的方式，监测计划见表 </w:t>
      </w:r>
      <w:r>
        <w:rPr>
          <w:rFonts w:ascii="Times New Roman" w:hAnsi="Times New Roman" w:eastAsia="Times New Roman" w:cs="Times New Roman"/>
          <w:spacing w:val="5"/>
          <w:sz w:val="23"/>
          <w:szCs w:val="23"/>
        </w:rPr>
        <w:t>9-2</w:t>
      </w:r>
      <w:r>
        <w:rPr>
          <w:rFonts w:ascii="宋体" w:hAnsi="宋体" w:eastAsia="宋体" w:cs="宋体"/>
          <w:spacing w:val="1"/>
          <w:sz w:val="23"/>
          <w:szCs w:val="23"/>
        </w:rPr>
        <w:t>。</w:t>
      </w:r>
    </w:p>
    <w:p w14:paraId="0067A0B3">
      <w:pPr>
        <w:sectPr>
          <w:headerReference r:id="rId327" w:type="default"/>
          <w:footerReference r:id="rId328" w:type="default"/>
          <w:pgSz w:w="11906" w:h="16839"/>
          <w:pgMar w:top="1132" w:right="1764" w:bottom="1182" w:left="1785" w:header="878" w:footer="1022" w:gutter="0"/>
          <w:cols w:space="720" w:num="1"/>
        </w:sectPr>
      </w:pPr>
    </w:p>
    <w:p w14:paraId="66F9ACB2">
      <w:pPr>
        <w:spacing w:line="408" w:lineRule="auto"/>
        <w:rPr>
          <w:rFonts w:ascii="Arial"/>
          <w:sz w:val="21"/>
        </w:rPr>
      </w:pPr>
      <w:r>
        <w:pict>
          <v:rect id="_x0000_s1383" o:spid="_x0000_s1383" o:spt="1" style="position:absolute;left:0pt;margin-left:369.3pt;margin-top:763.1pt;height:0.5pt;width:136pt;mso-position-horizontal-relative:page;mso-position-vertical-relative:page;z-index:252080128;mso-width-relative:page;mso-height-relative:page;" fillcolor="#000000" filled="t" stroked="f" coordsize="21600,21600" o:allowincell="f">
            <v:path/>
            <v:fill on="t" focussize="0,0"/>
            <v:stroke on="f"/>
            <v:imagedata o:title=""/>
            <o:lock v:ext="edit"/>
          </v:rect>
        </w:pict>
      </w:r>
      <w:r>
        <w:pict>
          <v:shape id="_x0000_s1384" o:spid="_x0000_s1384" style="position:absolute;left:0pt;margin-left:90pt;margin-top:57.35pt;height:0.75pt;width:415.3pt;mso-position-horizontal-relative:page;mso-position-vertical-relative:page;z-index:252079104;mso-width-relative:page;mso-height-relative:page;" fillcolor="#000000" filled="t" stroked="f" coordsize="8305,15" o:allowincell="f" path="m0,0l8305,0,8305,14,0,14,0,0xe">
            <v:path/>
            <v:fill on="t" focussize="0,0"/>
            <v:stroke on="f"/>
            <v:imagedata o:title=""/>
            <o:lock v:ext="edit"/>
          </v:shape>
        </w:pict>
      </w:r>
    </w:p>
    <w:p w14:paraId="7B65FD0F">
      <w:pPr>
        <w:spacing w:before="75" w:line="228" w:lineRule="auto"/>
        <w:ind w:left="3118"/>
        <w:rPr>
          <w:rFonts w:ascii="宋体" w:hAnsi="宋体" w:eastAsia="宋体" w:cs="宋体"/>
          <w:sz w:val="23"/>
          <w:szCs w:val="23"/>
        </w:rPr>
      </w:pPr>
      <w:r>
        <w:rPr>
          <w:rFonts w:ascii="宋体" w:hAnsi="宋体" w:eastAsia="宋体" w:cs="宋体"/>
          <w:spacing w:val="4"/>
          <w:sz w:val="23"/>
          <w:szCs w:val="23"/>
          <w14:textOutline w14:w="4358" w14:cap="sq" w14:cmpd="sng">
            <w14:solidFill>
              <w14:srgbClr w14:val="000000"/>
            </w14:solidFill>
            <w14:prstDash w14:val="solid"/>
            <w14:bevel/>
          </w14:textOutline>
        </w:rPr>
        <w:t>表</w:t>
      </w:r>
      <w:r>
        <w:rPr>
          <w:rFonts w:ascii="宋体" w:hAnsi="宋体" w:eastAsia="宋体" w:cs="宋体"/>
          <w:spacing w:val="4"/>
          <w:sz w:val="23"/>
          <w:szCs w:val="23"/>
        </w:rPr>
        <w:t xml:space="preserve"> </w:t>
      </w:r>
      <w:r>
        <w:rPr>
          <w:rFonts w:ascii="Times New Roman" w:hAnsi="Times New Roman" w:eastAsia="Times New Roman" w:cs="Times New Roman"/>
          <w:b/>
          <w:bCs/>
          <w:spacing w:val="4"/>
          <w:sz w:val="23"/>
          <w:szCs w:val="23"/>
        </w:rPr>
        <w:t>9</w:t>
      </w:r>
      <w:r>
        <w:rPr>
          <w:rFonts w:ascii="Times New Roman" w:hAnsi="Times New Roman" w:eastAsia="Times New Roman" w:cs="Times New Roman"/>
          <w:b/>
          <w:bCs/>
          <w:spacing w:val="2"/>
          <w:sz w:val="23"/>
          <w:szCs w:val="23"/>
        </w:rPr>
        <w:t>-2</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14:textOutline w14:w="4358" w14:cap="sq" w14:cmpd="sng">
            <w14:solidFill>
              <w14:srgbClr w14:val="000000"/>
            </w14:solidFill>
            <w14:prstDash w14:val="solid"/>
            <w14:bevel/>
          </w14:textOutline>
        </w:rPr>
        <w:t>环境监测计划</w:t>
      </w:r>
    </w:p>
    <w:p w14:paraId="652753B3">
      <w:pPr>
        <w:spacing w:line="17" w:lineRule="exact"/>
      </w:pPr>
    </w:p>
    <w:tbl>
      <w:tblPr>
        <w:tblStyle w:val="4"/>
        <w:tblW w:w="852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8"/>
        <w:gridCol w:w="3910"/>
        <w:gridCol w:w="1597"/>
        <w:gridCol w:w="1114"/>
        <w:gridCol w:w="1142"/>
      </w:tblGrid>
      <w:tr w14:paraId="3E33FB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758" w:type="dxa"/>
            <w:tcBorders>
              <w:left w:val="nil"/>
              <w:right w:val="single" w:color="000000" w:sz="4" w:space="0"/>
            </w:tcBorders>
            <w:vAlign w:val="top"/>
          </w:tcPr>
          <w:p w14:paraId="27E3D6E7">
            <w:pPr>
              <w:spacing w:before="96" w:line="228" w:lineRule="auto"/>
              <w:ind w:left="164"/>
              <w:rPr>
                <w:rFonts w:ascii="宋体" w:hAnsi="宋体" w:eastAsia="宋体" w:cs="宋体"/>
                <w:sz w:val="20"/>
                <w:szCs w:val="20"/>
              </w:rPr>
            </w:pPr>
            <w:r>
              <w:rPr>
                <w:rFonts w:ascii="宋体" w:hAnsi="宋体" w:eastAsia="宋体" w:cs="宋体"/>
                <w:spacing w:val="12"/>
                <w:sz w:val="20"/>
                <w:szCs w:val="20"/>
                <w14:textOutline w14:w="3795" w14:cap="sq" w14:cmpd="sng">
                  <w14:solidFill>
                    <w14:srgbClr w14:val="000000"/>
                  </w14:solidFill>
                  <w14:prstDash w14:val="solid"/>
                  <w14:bevel/>
                </w14:textOutline>
              </w:rPr>
              <w:t>要</w:t>
            </w:r>
            <w:r>
              <w:rPr>
                <w:rFonts w:ascii="宋体" w:hAnsi="宋体" w:eastAsia="宋体" w:cs="宋体"/>
                <w:spacing w:val="11"/>
                <w:sz w:val="20"/>
                <w:szCs w:val="20"/>
                <w14:textOutline w14:w="3795" w14:cap="sq" w14:cmpd="sng">
                  <w14:solidFill>
                    <w14:srgbClr w14:val="000000"/>
                  </w14:solidFill>
                  <w14:prstDash w14:val="solid"/>
                  <w14:bevel/>
                </w14:textOutline>
              </w:rPr>
              <w:t>素</w:t>
            </w:r>
          </w:p>
        </w:tc>
        <w:tc>
          <w:tcPr>
            <w:tcW w:w="3910" w:type="dxa"/>
            <w:tcBorders>
              <w:left w:val="single" w:color="000000" w:sz="4" w:space="0"/>
              <w:right w:val="single" w:color="000000" w:sz="4" w:space="0"/>
            </w:tcBorders>
            <w:vAlign w:val="top"/>
          </w:tcPr>
          <w:p w14:paraId="42CC9D73">
            <w:pPr>
              <w:spacing w:before="97" w:line="228" w:lineRule="auto"/>
              <w:ind w:left="1513"/>
              <w:rPr>
                <w:rFonts w:ascii="宋体" w:hAnsi="宋体" w:eastAsia="宋体" w:cs="宋体"/>
                <w:sz w:val="20"/>
                <w:szCs w:val="20"/>
              </w:rPr>
            </w:pPr>
            <w:r>
              <w:rPr>
                <w:rFonts w:ascii="宋体" w:hAnsi="宋体" w:eastAsia="宋体" w:cs="宋体"/>
                <w:spacing w:val="18"/>
                <w:sz w:val="20"/>
                <w:szCs w:val="20"/>
                <w14:textOutline w14:w="3795" w14:cap="sq" w14:cmpd="sng">
                  <w14:solidFill>
                    <w14:srgbClr w14:val="000000"/>
                  </w14:solidFill>
                  <w14:prstDash w14:val="solid"/>
                  <w14:bevel/>
                </w14:textOutline>
              </w:rPr>
              <w:t>监</w:t>
            </w:r>
            <w:r>
              <w:rPr>
                <w:rFonts w:ascii="宋体" w:hAnsi="宋体" w:eastAsia="宋体" w:cs="宋体"/>
                <w:spacing w:val="17"/>
                <w:sz w:val="20"/>
                <w:szCs w:val="20"/>
                <w14:textOutline w14:w="3795" w14:cap="sq" w14:cmpd="sng">
                  <w14:solidFill>
                    <w14:srgbClr w14:val="000000"/>
                  </w14:solidFill>
                  <w14:prstDash w14:val="solid"/>
                  <w14:bevel/>
                </w14:textOutline>
              </w:rPr>
              <w:t>测项目</w:t>
            </w:r>
          </w:p>
        </w:tc>
        <w:tc>
          <w:tcPr>
            <w:tcW w:w="1597" w:type="dxa"/>
            <w:tcBorders>
              <w:left w:val="single" w:color="000000" w:sz="4" w:space="0"/>
              <w:right w:val="single" w:color="000000" w:sz="4" w:space="0"/>
            </w:tcBorders>
            <w:vAlign w:val="top"/>
          </w:tcPr>
          <w:p w14:paraId="32C939CC">
            <w:pPr>
              <w:spacing w:before="97" w:line="229" w:lineRule="auto"/>
              <w:ind w:left="469"/>
              <w:rPr>
                <w:rFonts w:ascii="宋体" w:hAnsi="宋体" w:eastAsia="宋体" w:cs="宋体"/>
                <w:sz w:val="20"/>
                <w:szCs w:val="20"/>
              </w:rPr>
            </w:pPr>
            <w:r>
              <w:rPr>
                <w:rFonts w:ascii="宋体" w:hAnsi="宋体" w:eastAsia="宋体" w:cs="宋体"/>
                <w:spacing w:val="16"/>
                <w:sz w:val="20"/>
                <w:szCs w:val="20"/>
                <w14:textOutline w14:w="3795" w14:cap="sq" w14:cmpd="sng">
                  <w14:solidFill>
                    <w14:srgbClr w14:val="000000"/>
                  </w14:solidFill>
                  <w14:prstDash w14:val="solid"/>
                  <w14:bevel/>
                </w14:textOutline>
              </w:rPr>
              <w:t>监</w:t>
            </w:r>
            <w:r>
              <w:rPr>
                <w:rFonts w:ascii="宋体" w:hAnsi="宋体" w:eastAsia="宋体" w:cs="宋体"/>
                <w:spacing w:val="15"/>
                <w:sz w:val="20"/>
                <w:szCs w:val="20"/>
                <w14:textOutline w14:w="3795" w14:cap="sq" w14:cmpd="sng">
                  <w14:solidFill>
                    <w14:srgbClr w14:val="000000"/>
                  </w14:solidFill>
                  <w14:prstDash w14:val="solid"/>
                  <w14:bevel/>
                </w14:textOutline>
              </w:rPr>
              <w:t>测点</w:t>
            </w:r>
          </w:p>
        </w:tc>
        <w:tc>
          <w:tcPr>
            <w:tcW w:w="1114" w:type="dxa"/>
            <w:tcBorders>
              <w:left w:val="single" w:color="000000" w:sz="4" w:space="0"/>
              <w:right w:val="single" w:color="000000" w:sz="4" w:space="0"/>
            </w:tcBorders>
            <w:vAlign w:val="top"/>
          </w:tcPr>
          <w:p w14:paraId="7652CEBA">
            <w:pPr>
              <w:spacing w:before="96" w:line="228" w:lineRule="auto"/>
              <w:ind w:left="118"/>
              <w:rPr>
                <w:rFonts w:ascii="宋体" w:hAnsi="宋体" w:eastAsia="宋体" w:cs="宋体"/>
                <w:sz w:val="20"/>
                <w:szCs w:val="20"/>
              </w:rPr>
            </w:pPr>
            <w:r>
              <w:rPr>
                <w:rFonts w:ascii="宋体" w:hAnsi="宋体" w:eastAsia="宋体" w:cs="宋体"/>
                <w:spacing w:val="18"/>
                <w:sz w:val="20"/>
                <w:szCs w:val="20"/>
                <w14:textOutline w14:w="3795" w14:cap="sq" w14:cmpd="sng">
                  <w14:solidFill>
                    <w14:srgbClr w14:val="000000"/>
                  </w14:solidFill>
                  <w14:prstDash w14:val="solid"/>
                  <w14:bevel/>
                </w14:textOutline>
              </w:rPr>
              <w:t>监</w:t>
            </w:r>
            <w:r>
              <w:rPr>
                <w:rFonts w:ascii="宋体" w:hAnsi="宋体" w:eastAsia="宋体" w:cs="宋体"/>
                <w:spacing w:val="17"/>
                <w:sz w:val="20"/>
                <w:szCs w:val="20"/>
                <w14:textOutline w14:w="3795" w14:cap="sq" w14:cmpd="sng">
                  <w14:solidFill>
                    <w14:srgbClr w14:val="000000"/>
                  </w14:solidFill>
                  <w14:prstDash w14:val="solid"/>
                  <w14:bevel/>
                </w14:textOutline>
              </w:rPr>
              <w:t>测频率</w:t>
            </w:r>
          </w:p>
        </w:tc>
        <w:tc>
          <w:tcPr>
            <w:tcW w:w="1142" w:type="dxa"/>
            <w:tcBorders>
              <w:left w:val="single" w:color="000000" w:sz="4" w:space="0"/>
              <w:right w:val="nil"/>
            </w:tcBorders>
            <w:vAlign w:val="top"/>
          </w:tcPr>
          <w:p w14:paraId="12C8B6F5">
            <w:pPr>
              <w:spacing w:before="97" w:line="229" w:lineRule="auto"/>
              <w:ind w:left="132"/>
              <w:rPr>
                <w:rFonts w:ascii="宋体" w:hAnsi="宋体" w:eastAsia="宋体" w:cs="宋体"/>
                <w:sz w:val="20"/>
                <w:szCs w:val="20"/>
              </w:rPr>
            </w:pPr>
            <w:r>
              <w:rPr>
                <w:rFonts w:ascii="宋体" w:hAnsi="宋体" w:eastAsia="宋体" w:cs="宋体"/>
                <w:spacing w:val="18"/>
                <w:sz w:val="20"/>
                <w:szCs w:val="20"/>
                <w14:textOutline w14:w="3795" w14:cap="sq" w14:cmpd="sng">
                  <w14:solidFill>
                    <w14:srgbClr w14:val="000000"/>
                  </w14:solidFill>
                  <w14:prstDash w14:val="solid"/>
                  <w14:bevel/>
                </w14:textOutline>
              </w:rPr>
              <w:t>监</w:t>
            </w:r>
            <w:r>
              <w:rPr>
                <w:rFonts w:ascii="宋体" w:hAnsi="宋体" w:eastAsia="宋体" w:cs="宋体"/>
                <w:spacing w:val="17"/>
                <w:sz w:val="20"/>
                <w:szCs w:val="20"/>
                <w14:textOutline w14:w="3795" w14:cap="sq" w14:cmpd="sng">
                  <w14:solidFill>
                    <w14:srgbClr w14:val="000000"/>
                  </w14:solidFill>
                  <w14:prstDash w14:val="solid"/>
                  <w14:bevel/>
                </w14:textOutline>
              </w:rPr>
              <w:t>测方式</w:t>
            </w:r>
          </w:p>
        </w:tc>
      </w:tr>
      <w:tr w14:paraId="0A9057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58" w:type="dxa"/>
            <w:vMerge w:val="restart"/>
            <w:tcBorders>
              <w:left w:val="nil"/>
              <w:bottom w:val="nil"/>
              <w:right w:val="single" w:color="000000" w:sz="4" w:space="0"/>
            </w:tcBorders>
            <w:vAlign w:val="top"/>
          </w:tcPr>
          <w:p w14:paraId="03C1C200">
            <w:pPr>
              <w:spacing w:line="470" w:lineRule="auto"/>
              <w:rPr>
                <w:rFonts w:ascii="Arial"/>
                <w:sz w:val="21"/>
              </w:rPr>
            </w:pPr>
          </w:p>
          <w:p w14:paraId="372DA58F">
            <w:pPr>
              <w:spacing w:before="65" w:line="228" w:lineRule="auto"/>
              <w:ind w:left="163"/>
              <w:rPr>
                <w:rFonts w:ascii="宋体" w:hAnsi="宋体" w:eastAsia="宋体" w:cs="宋体"/>
                <w:sz w:val="20"/>
                <w:szCs w:val="20"/>
              </w:rPr>
            </w:pPr>
            <w:r>
              <w:rPr>
                <w:rFonts w:ascii="宋体" w:hAnsi="宋体" w:eastAsia="宋体" w:cs="宋体"/>
                <w:spacing w:val="11"/>
                <w:sz w:val="20"/>
                <w:szCs w:val="20"/>
              </w:rPr>
              <w:t>废气</w:t>
            </w:r>
          </w:p>
        </w:tc>
        <w:tc>
          <w:tcPr>
            <w:tcW w:w="3910" w:type="dxa"/>
            <w:tcBorders>
              <w:left w:val="single" w:color="000000" w:sz="4" w:space="0"/>
              <w:right w:val="single" w:color="000000" w:sz="4" w:space="0"/>
            </w:tcBorders>
            <w:vAlign w:val="top"/>
          </w:tcPr>
          <w:p w14:paraId="5DF0EBC5">
            <w:pPr>
              <w:spacing w:before="245" w:line="195" w:lineRule="auto"/>
              <w:ind w:left="1634"/>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NMHC</w:t>
            </w:r>
          </w:p>
        </w:tc>
        <w:tc>
          <w:tcPr>
            <w:tcW w:w="1597" w:type="dxa"/>
            <w:tcBorders>
              <w:left w:val="single" w:color="000000" w:sz="4" w:space="0"/>
              <w:right w:val="single" w:color="000000" w:sz="4" w:space="0"/>
            </w:tcBorders>
            <w:vAlign w:val="top"/>
          </w:tcPr>
          <w:p w14:paraId="02B8F4D1">
            <w:pPr>
              <w:spacing w:before="15" w:line="312" w:lineRule="exact"/>
              <w:ind w:left="374"/>
              <w:rPr>
                <w:rFonts w:ascii="宋体" w:hAnsi="宋体" w:eastAsia="宋体" w:cs="宋体"/>
                <w:sz w:val="20"/>
                <w:szCs w:val="20"/>
              </w:rPr>
            </w:pPr>
            <w:r>
              <w:rPr>
                <w:rFonts w:ascii="Times New Roman" w:hAnsi="Times New Roman" w:eastAsia="Times New Roman" w:cs="Times New Roman"/>
                <w:spacing w:val="10"/>
                <w:position w:val="4"/>
                <w:sz w:val="20"/>
                <w:szCs w:val="20"/>
              </w:rPr>
              <w:t>1#</w:t>
            </w:r>
            <w:r>
              <w:rPr>
                <w:rFonts w:ascii="宋体" w:hAnsi="宋体" w:eastAsia="宋体" w:cs="宋体"/>
                <w:spacing w:val="10"/>
                <w:position w:val="4"/>
                <w:sz w:val="20"/>
                <w:szCs w:val="20"/>
              </w:rPr>
              <w:t>排气</w:t>
            </w:r>
            <w:r>
              <w:rPr>
                <w:rFonts w:ascii="宋体" w:hAnsi="宋体" w:eastAsia="宋体" w:cs="宋体"/>
                <w:spacing w:val="9"/>
                <w:position w:val="4"/>
                <w:sz w:val="20"/>
                <w:szCs w:val="20"/>
              </w:rPr>
              <w:t>筒</w:t>
            </w:r>
          </w:p>
          <w:p w14:paraId="17D63A8A">
            <w:pPr>
              <w:spacing w:line="281" w:lineRule="exact"/>
              <w:ind w:left="354"/>
              <w:rPr>
                <w:rFonts w:ascii="宋体" w:hAnsi="宋体" w:eastAsia="宋体" w:cs="宋体"/>
                <w:sz w:val="20"/>
                <w:szCs w:val="20"/>
              </w:rPr>
            </w:pPr>
            <w:r>
              <w:rPr>
                <w:rFonts w:ascii="Times New Roman" w:hAnsi="Times New Roman" w:eastAsia="Times New Roman" w:cs="Times New Roman"/>
                <w:spacing w:val="14"/>
                <w:position w:val="1"/>
                <w:sz w:val="20"/>
                <w:szCs w:val="20"/>
              </w:rPr>
              <w:t>2#</w:t>
            </w:r>
            <w:r>
              <w:rPr>
                <w:rFonts w:ascii="宋体" w:hAnsi="宋体" w:eastAsia="宋体" w:cs="宋体"/>
                <w:spacing w:val="14"/>
                <w:position w:val="1"/>
                <w:sz w:val="20"/>
                <w:szCs w:val="20"/>
              </w:rPr>
              <w:t>排气</w:t>
            </w:r>
            <w:r>
              <w:rPr>
                <w:rFonts w:ascii="宋体" w:hAnsi="宋体" w:eastAsia="宋体" w:cs="宋体"/>
                <w:spacing w:val="13"/>
                <w:position w:val="1"/>
                <w:sz w:val="20"/>
                <w:szCs w:val="20"/>
              </w:rPr>
              <w:t>筒</w:t>
            </w:r>
          </w:p>
        </w:tc>
        <w:tc>
          <w:tcPr>
            <w:tcW w:w="1114" w:type="dxa"/>
            <w:tcBorders>
              <w:left w:val="single" w:color="000000" w:sz="4" w:space="0"/>
              <w:right w:val="single" w:color="000000" w:sz="4" w:space="0"/>
            </w:tcBorders>
            <w:vAlign w:val="top"/>
          </w:tcPr>
          <w:p w14:paraId="46D0869C">
            <w:pPr>
              <w:spacing w:before="208" w:line="228" w:lineRule="auto"/>
              <w:ind w:left="144"/>
              <w:rPr>
                <w:rFonts w:ascii="宋体" w:hAnsi="宋体" w:eastAsia="宋体" w:cs="宋体"/>
                <w:sz w:val="20"/>
                <w:szCs w:val="20"/>
              </w:rPr>
            </w:pPr>
            <w:r>
              <w:rPr>
                <w:rFonts w:ascii="宋体" w:hAnsi="宋体" w:eastAsia="宋体" w:cs="宋体"/>
                <w:spacing w:val="-4"/>
                <w:sz w:val="20"/>
                <w:szCs w:val="20"/>
              </w:rPr>
              <w:t>半</w:t>
            </w:r>
            <w:r>
              <w:rPr>
                <w:rFonts w:ascii="宋体" w:hAnsi="宋体" w:eastAsia="宋体" w:cs="宋体"/>
                <w:spacing w:val="-3"/>
                <w:sz w:val="20"/>
                <w:szCs w:val="20"/>
              </w:rPr>
              <w:t xml:space="preserve">年 </w:t>
            </w:r>
            <w:r>
              <w:rPr>
                <w:rFonts w:ascii="Times New Roman" w:hAnsi="Times New Roman" w:eastAsia="Times New Roman" w:cs="Times New Roman"/>
                <w:spacing w:val="-3"/>
                <w:sz w:val="20"/>
                <w:szCs w:val="20"/>
              </w:rPr>
              <w:t xml:space="preserve">1 </w:t>
            </w:r>
            <w:r>
              <w:rPr>
                <w:rFonts w:ascii="宋体" w:hAnsi="宋体" w:eastAsia="宋体" w:cs="宋体"/>
                <w:spacing w:val="-3"/>
                <w:sz w:val="20"/>
                <w:szCs w:val="20"/>
              </w:rPr>
              <w:t>次</w:t>
            </w:r>
          </w:p>
        </w:tc>
        <w:tc>
          <w:tcPr>
            <w:tcW w:w="1142" w:type="dxa"/>
            <w:tcBorders>
              <w:left w:val="single" w:color="000000" w:sz="4" w:space="0"/>
              <w:right w:val="nil"/>
            </w:tcBorders>
            <w:vAlign w:val="top"/>
          </w:tcPr>
          <w:p w14:paraId="11F79887">
            <w:pPr>
              <w:spacing w:before="209" w:line="229" w:lineRule="auto"/>
              <w:ind w:left="130"/>
              <w:rPr>
                <w:rFonts w:ascii="宋体" w:hAnsi="宋体" w:eastAsia="宋体" w:cs="宋体"/>
                <w:sz w:val="20"/>
                <w:szCs w:val="20"/>
              </w:rPr>
            </w:pPr>
            <w:r>
              <w:rPr>
                <w:rFonts w:ascii="宋体" w:hAnsi="宋体" w:eastAsia="宋体" w:cs="宋体"/>
                <w:spacing w:val="18"/>
                <w:sz w:val="20"/>
                <w:szCs w:val="20"/>
              </w:rPr>
              <w:t>委</w:t>
            </w:r>
            <w:r>
              <w:rPr>
                <w:rFonts w:ascii="宋体" w:hAnsi="宋体" w:eastAsia="宋体" w:cs="宋体"/>
                <w:spacing w:val="16"/>
                <w:sz w:val="20"/>
                <w:szCs w:val="20"/>
              </w:rPr>
              <w:t>托监测</w:t>
            </w:r>
          </w:p>
        </w:tc>
      </w:tr>
      <w:tr w14:paraId="5ADA0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58" w:type="dxa"/>
            <w:vMerge w:val="continue"/>
            <w:tcBorders>
              <w:top w:val="nil"/>
              <w:left w:val="nil"/>
              <w:bottom w:val="nil"/>
              <w:right w:val="single" w:color="000000" w:sz="4" w:space="0"/>
            </w:tcBorders>
            <w:vAlign w:val="top"/>
          </w:tcPr>
          <w:p w14:paraId="3E9C48F8">
            <w:pPr>
              <w:rPr>
                <w:rFonts w:ascii="Arial"/>
                <w:sz w:val="21"/>
              </w:rPr>
            </w:pPr>
          </w:p>
        </w:tc>
        <w:tc>
          <w:tcPr>
            <w:tcW w:w="3910" w:type="dxa"/>
            <w:tcBorders>
              <w:left w:val="single" w:color="000000" w:sz="4" w:space="0"/>
              <w:right w:val="single" w:color="000000" w:sz="4" w:space="0"/>
            </w:tcBorders>
            <w:vAlign w:val="top"/>
          </w:tcPr>
          <w:p w14:paraId="729E61B8">
            <w:pPr>
              <w:spacing w:before="41" w:line="224" w:lineRule="auto"/>
              <w:ind w:left="932"/>
              <w:rPr>
                <w:rFonts w:ascii="Times New Roman" w:hAnsi="Times New Roman" w:eastAsia="Times New Roman" w:cs="Times New Roman"/>
                <w:sz w:val="23"/>
                <w:szCs w:val="23"/>
              </w:rPr>
            </w:pPr>
            <w:r>
              <w:rPr>
                <w:rFonts w:ascii="宋体" w:hAnsi="宋体" w:eastAsia="宋体" w:cs="宋体"/>
                <w:spacing w:val="7"/>
                <w:sz w:val="23"/>
                <w:szCs w:val="23"/>
              </w:rPr>
              <w:t>颗</w:t>
            </w:r>
            <w:r>
              <w:rPr>
                <w:rFonts w:ascii="宋体" w:hAnsi="宋体" w:eastAsia="宋体" w:cs="宋体"/>
                <w:spacing w:val="5"/>
                <w:sz w:val="23"/>
                <w:szCs w:val="23"/>
              </w:rPr>
              <w:t>粒物、</w:t>
            </w:r>
            <w:r>
              <w:rPr>
                <w:rFonts w:ascii="Times New Roman" w:hAnsi="Times New Roman" w:eastAsia="Times New Roman" w:cs="Times New Roman"/>
                <w:sz w:val="23"/>
                <w:szCs w:val="23"/>
              </w:rPr>
              <w:t>SO</w:t>
            </w:r>
            <w:r>
              <w:rPr>
                <w:rFonts w:ascii="Times New Roman" w:hAnsi="Times New Roman" w:eastAsia="Times New Roman" w:cs="Times New Roman"/>
                <w:spacing w:val="5"/>
                <w:position w:val="-1"/>
                <w:sz w:val="15"/>
                <w:szCs w:val="15"/>
              </w:rPr>
              <w:t xml:space="preserve">2 </w:t>
            </w:r>
            <w:r>
              <w:rPr>
                <w:rFonts w:ascii="宋体" w:hAnsi="宋体" w:eastAsia="宋体" w:cs="宋体"/>
                <w:spacing w:val="5"/>
                <w:sz w:val="23"/>
                <w:szCs w:val="23"/>
              </w:rPr>
              <w:t>、</w:t>
            </w:r>
            <w:r>
              <w:rPr>
                <w:rFonts w:ascii="Times New Roman" w:hAnsi="Times New Roman" w:eastAsia="Times New Roman" w:cs="Times New Roman"/>
                <w:sz w:val="23"/>
                <w:szCs w:val="23"/>
              </w:rPr>
              <w:t>NOx</w:t>
            </w:r>
          </w:p>
        </w:tc>
        <w:tc>
          <w:tcPr>
            <w:tcW w:w="1597" w:type="dxa"/>
            <w:tcBorders>
              <w:left w:val="single" w:color="000000" w:sz="4" w:space="0"/>
              <w:right w:val="single" w:color="000000" w:sz="4" w:space="0"/>
            </w:tcBorders>
            <w:vAlign w:val="top"/>
          </w:tcPr>
          <w:p w14:paraId="76F526B6">
            <w:pPr>
              <w:spacing w:before="18" w:line="281" w:lineRule="exact"/>
              <w:ind w:left="358"/>
              <w:rPr>
                <w:rFonts w:ascii="宋体" w:hAnsi="宋体" w:eastAsia="宋体" w:cs="宋体"/>
                <w:sz w:val="20"/>
                <w:szCs w:val="20"/>
              </w:rPr>
            </w:pPr>
            <w:r>
              <w:rPr>
                <w:rFonts w:ascii="Times New Roman" w:hAnsi="Times New Roman" w:eastAsia="Times New Roman" w:cs="Times New Roman"/>
                <w:spacing w:val="13"/>
                <w:position w:val="1"/>
                <w:sz w:val="20"/>
                <w:szCs w:val="20"/>
              </w:rPr>
              <w:t>3#</w:t>
            </w:r>
            <w:r>
              <w:rPr>
                <w:rFonts w:ascii="宋体" w:hAnsi="宋体" w:eastAsia="宋体" w:cs="宋体"/>
                <w:spacing w:val="13"/>
                <w:position w:val="1"/>
                <w:sz w:val="20"/>
                <w:szCs w:val="20"/>
              </w:rPr>
              <w:t>排气筒</w:t>
            </w:r>
          </w:p>
        </w:tc>
        <w:tc>
          <w:tcPr>
            <w:tcW w:w="1114" w:type="dxa"/>
            <w:tcBorders>
              <w:left w:val="single" w:color="000000" w:sz="4" w:space="0"/>
              <w:right w:val="single" w:color="000000" w:sz="4" w:space="0"/>
            </w:tcBorders>
            <w:vAlign w:val="top"/>
          </w:tcPr>
          <w:p w14:paraId="48936222">
            <w:pPr>
              <w:spacing w:before="55" w:line="228" w:lineRule="auto"/>
              <w:ind w:left="144"/>
              <w:rPr>
                <w:rFonts w:ascii="宋体" w:hAnsi="宋体" w:eastAsia="宋体" w:cs="宋体"/>
                <w:sz w:val="20"/>
                <w:szCs w:val="20"/>
              </w:rPr>
            </w:pPr>
            <w:r>
              <w:rPr>
                <w:rFonts w:ascii="宋体" w:hAnsi="宋体" w:eastAsia="宋体" w:cs="宋体"/>
                <w:spacing w:val="-4"/>
                <w:sz w:val="20"/>
                <w:szCs w:val="20"/>
              </w:rPr>
              <w:t>半</w:t>
            </w:r>
            <w:r>
              <w:rPr>
                <w:rFonts w:ascii="宋体" w:hAnsi="宋体" w:eastAsia="宋体" w:cs="宋体"/>
                <w:spacing w:val="-3"/>
                <w:sz w:val="20"/>
                <w:szCs w:val="20"/>
              </w:rPr>
              <w:t xml:space="preserve">年 </w:t>
            </w:r>
            <w:r>
              <w:rPr>
                <w:rFonts w:ascii="Times New Roman" w:hAnsi="Times New Roman" w:eastAsia="Times New Roman" w:cs="Times New Roman"/>
                <w:spacing w:val="-3"/>
                <w:sz w:val="20"/>
                <w:szCs w:val="20"/>
              </w:rPr>
              <w:t xml:space="preserve">1 </w:t>
            </w:r>
            <w:r>
              <w:rPr>
                <w:rFonts w:ascii="宋体" w:hAnsi="宋体" w:eastAsia="宋体" w:cs="宋体"/>
                <w:spacing w:val="-3"/>
                <w:sz w:val="20"/>
                <w:szCs w:val="20"/>
              </w:rPr>
              <w:t>次</w:t>
            </w:r>
          </w:p>
        </w:tc>
        <w:tc>
          <w:tcPr>
            <w:tcW w:w="1142" w:type="dxa"/>
            <w:tcBorders>
              <w:left w:val="single" w:color="000000" w:sz="4" w:space="0"/>
              <w:right w:val="nil"/>
            </w:tcBorders>
            <w:vAlign w:val="top"/>
          </w:tcPr>
          <w:p w14:paraId="59E8BC9B">
            <w:pPr>
              <w:spacing w:before="56" w:line="229" w:lineRule="auto"/>
              <w:ind w:left="130"/>
              <w:rPr>
                <w:rFonts w:ascii="宋体" w:hAnsi="宋体" w:eastAsia="宋体" w:cs="宋体"/>
                <w:sz w:val="20"/>
                <w:szCs w:val="20"/>
              </w:rPr>
            </w:pPr>
            <w:r>
              <w:rPr>
                <w:rFonts w:ascii="宋体" w:hAnsi="宋体" w:eastAsia="宋体" w:cs="宋体"/>
                <w:spacing w:val="18"/>
                <w:sz w:val="20"/>
                <w:szCs w:val="20"/>
              </w:rPr>
              <w:t>委</w:t>
            </w:r>
            <w:r>
              <w:rPr>
                <w:rFonts w:ascii="宋体" w:hAnsi="宋体" w:eastAsia="宋体" w:cs="宋体"/>
                <w:spacing w:val="16"/>
                <w:sz w:val="20"/>
                <w:szCs w:val="20"/>
              </w:rPr>
              <w:t>托监测</w:t>
            </w:r>
          </w:p>
        </w:tc>
      </w:tr>
      <w:tr w14:paraId="6BF364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58" w:type="dxa"/>
            <w:vMerge w:val="continue"/>
            <w:tcBorders>
              <w:top w:val="nil"/>
              <w:left w:val="nil"/>
              <w:right w:val="single" w:color="000000" w:sz="4" w:space="0"/>
            </w:tcBorders>
            <w:vAlign w:val="top"/>
          </w:tcPr>
          <w:p w14:paraId="6F202456">
            <w:pPr>
              <w:rPr>
                <w:rFonts w:ascii="Arial"/>
                <w:sz w:val="21"/>
              </w:rPr>
            </w:pPr>
          </w:p>
        </w:tc>
        <w:tc>
          <w:tcPr>
            <w:tcW w:w="3910" w:type="dxa"/>
            <w:tcBorders>
              <w:left w:val="single" w:color="000000" w:sz="4" w:space="0"/>
              <w:right w:val="single" w:color="000000" w:sz="4" w:space="0"/>
            </w:tcBorders>
            <w:vAlign w:val="top"/>
          </w:tcPr>
          <w:p w14:paraId="38915A41">
            <w:pPr>
              <w:spacing w:before="92" w:line="186" w:lineRule="auto"/>
              <w:ind w:left="1348"/>
              <w:rPr>
                <w:rFonts w:ascii="Times New Roman" w:hAnsi="Times New Roman" w:eastAsia="Times New Roman" w:cs="Times New Roman"/>
                <w:sz w:val="20"/>
                <w:szCs w:val="20"/>
              </w:rPr>
            </w:pPr>
            <w:r>
              <w:rPr>
                <w:rFonts w:ascii="Times New Roman" w:hAnsi="Times New Roman" w:eastAsia="Times New Roman" w:cs="Times New Roman"/>
                <w:sz w:val="20"/>
                <w:szCs w:val="20"/>
              </w:rPr>
              <w:t>NMHC</w:t>
            </w:r>
            <w:r>
              <w:rPr>
                <w:rFonts w:ascii="Times New Roman" w:hAnsi="Times New Roman" w:eastAsia="Times New Roman" w:cs="Times New Roman"/>
                <w:spacing w:val="3"/>
                <w:sz w:val="20"/>
                <w:szCs w:val="20"/>
              </w:rPr>
              <w:t xml:space="preserve"> </w:t>
            </w:r>
            <w:r>
              <w:rPr>
                <w:rFonts w:ascii="宋体" w:hAnsi="宋体" w:eastAsia="宋体" w:cs="宋体"/>
                <w:spacing w:val="3"/>
                <w:sz w:val="20"/>
                <w:szCs w:val="20"/>
              </w:rPr>
              <w:t>、</w:t>
            </w:r>
            <w:r>
              <w:rPr>
                <w:rFonts w:ascii="Times New Roman" w:hAnsi="Times New Roman" w:eastAsia="Times New Roman" w:cs="Times New Roman"/>
                <w:sz w:val="20"/>
                <w:szCs w:val="20"/>
              </w:rPr>
              <w:t>TSP</w:t>
            </w:r>
          </w:p>
        </w:tc>
        <w:tc>
          <w:tcPr>
            <w:tcW w:w="1597" w:type="dxa"/>
            <w:tcBorders>
              <w:left w:val="single" w:color="000000" w:sz="4" w:space="0"/>
              <w:right w:val="single" w:color="000000" w:sz="4" w:space="0"/>
            </w:tcBorders>
            <w:vAlign w:val="top"/>
          </w:tcPr>
          <w:p w14:paraId="1F1C5477">
            <w:pPr>
              <w:spacing w:before="56" w:line="228" w:lineRule="auto"/>
              <w:ind w:left="360"/>
              <w:rPr>
                <w:rFonts w:ascii="宋体" w:hAnsi="宋体" w:eastAsia="宋体" w:cs="宋体"/>
                <w:sz w:val="20"/>
                <w:szCs w:val="20"/>
              </w:rPr>
            </w:pPr>
            <w:r>
              <w:rPr>
                <w:rFonts w:ascii="宋体" w:hAnsi="宋体" w:eastAsia="宋体" w:cs="宋体"/>
                <w:spacing w:val="18"/>
                <w:sz w:val="20"/>
                <w:szCs w:val="20"/>
              </w:rPr>
              <w:t>厂</w:t>
            </w:r>
            <w:r>
              <w:rPr>
                <w:rFonts w:ascii="宋体" w:hAnsi="宋体" w:eastAsia="宋体" w:cs="宋体"/>
                <w:spacing w:val="15"/>
                <w:sz w:val="20"/>
                <w:szCs w:val="20"/>
              </w:rPr>
              <w:t>界四周</w:t>
            </w:r>
          </w:p>
        </w:tc>
        <w:tc>
          <w:tcPr>
            <w:tcW w:w="1114" w:type="dxa"/>
            <w:tcBorders>
              <w:left w:val="single" w:color="000000" w:sz="4" w:space="0"/>
              <w:right w:val="single" w:color="000000" w:sz="4" w:space="0"/>
            </w:tcBorders>
            <w:vAlign w:val="top"/>
          </w:tcPr>
          <w:p w14:paraId="5F2D42A1">
            <w:pPr>
              <w:spacing w:before="56" w:line="228" w:lineRule="auto"/>
              <w:ind w:left="141"/>
              <w:rPr>
                <w:rFonts w:ascii="宋体" w:hAnsi="宋体" w:eastAsia="宋体" w:cs="宋体"/>
                <w:sz w:val="20"/>
                <w:szCs w:val="20"/>
              </w:rPr>
            </w:pPr>
            <w:r>
              <w:rPr>
                <w:rFonts w:ascii="宋体" w:hAnsi="宋体" w:eastAsia="宋体" w:cs="宋体"/>
                <w:spacing w:val="-4"/>
                <w:sz w:val="20"/>
                <w:szCs w:val="20"/>
              </w:rPr>
              <w:t>每年</w:t>
            </w:r>
            <w:r>
              <w:rPr>
                <w:rFonts w:ascii="宋体" w:hAnsi="宋体" w:eastAsia="宋体" w:cs="宋体"/>
                <w:spacing w:val="-2"/>
                <w:sz w:val="20"/>
                <w:szCs w:val="20"/>
              </w:rPr>
              <w:t xml:space="preserve"> </w:t>
            </w:r>
            <w:r>
              <w:rPr>
                <w:rFonts w:ascii="Times New Roman" w:hAnsi="Times New Roman" w:eastAsia="Times New Roman" w:cs="Times New Roman"/>
                <w:spacing w:val="-2"/>
                <w:sz w:val="20"/>
                <w:szCs w:val="20"/>
              </w:rPr>
              <w:t xml:space="preserve">1 </w:t>
            </w:r>
            <w:r>
              <w:rPr>
                <w:rFonts w:ascii="宋体" w:hAnsi="宋体" w:eastAsia="宋体" w:cs="宋体"/>
                <w:spacing w:val="-2"/>
                <w:sz w:val="20"/>
                <w:szCs w:val="20"/>
              </w:rPr>
              <w:t>次</w:t>
            </w:r>
          </w:p>
        </w:tc>
        <w:tc>
          <w:tcPr>
            <w:tcW w:w="1142" w:type="dxa"/>
            <w:tcBorders>
              <w:left w:val="single" w:color="000000" w:sz="4" w:space="0"/>
              <w:right w:val="nil"/>
            </w:tcBorders>
            <w:vAlign w:val="top"/>
          </w:tcPr>
          <w:p w14:paraId="1657618C">
            <w:pPr>
              <w:spacing w:before="56" w:line="229" w:lineRule="auto"/>
              <w:ind w:left="130"/>
              <w:rPr>
                <w:rFonts w:ascii="宋体" w:hAnsi="宋体" w:eastAsia="宋体" w:cs="宋体"/>
                <w:sz w:val="20"/>
                <w:szCs w:val="20"/>
              </w:rPr>
            </w:pPr>
            <w:r>
              <w:rPr>
                <w:rFonts w:ascii="宋体" w:hAnsi="宋体" w:eastAsia="宋体" w:cs="宋体"/>
                <w:spacing w:val="18"/>
                <w:sz w:val="20"/>
                <w:szCs w:val="20"/>
              </w:rPr>
              <w:t>委</w:t>
            </w:r>
            <w:r>
              <w:rPr>
                <w:rFonts w:ascii="宋体" w:hAnsi="宋体" w:eastAsia="宋体" w:cs="宋体"/>
                <w:spacing w:val="16"/>
                <w:sz w:val="20"/>
                <w:szCs w:val="20"/>
              </w:rPr>
              <w:t>托监测</w:t>
            </w:r>
          </w:p>
        </w:tc>
      </w:tr>
      <w:tr w14:paraId="41F4BC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58" w:type="dxa"/>
            <w:tcBorders>
              <w:left w:val="nil"/>
              <w:right w:val="single" w:color="000000" w:sz="4" w:space="0"/>
            </w:tcBorders>
            <w:vAlign w:val="top"/>
          </w:tcPr>
          <w:p w14:paraId="30932517">
            <w:pPr>
              <w:spacing w:before="56" w:line="228" w:lineRule="auto"/>
              <w:ind w:left="163"/>
              <w:rPr>
                <w:rFonts w:ascii="宋体" w:hAnsi="宋体" w:eastAsia="宋体" w:cs="宋体"/>
                <w:sz w:val="20"/>
                <w:szCs w:val="20"/>
              </w:rPr>
            </w:pPr>
            <w:r>
              <w:rPr>
                <w:rFonts w:ascii="宋体" w:hAnsi="宋体" w:eastAsia="宋体" w:cs="宋体"/>
                <w:spacing w:val="11"/>
                <w:sz w:val="20"/>
                <w:szCs w:val="20"/>
              </w:rPr>
              <w:t>废水</w:t>
            </w:r>
          </w:p>
        </w:tc>
        <w:tc>
          <w:tcPr>
            <w:tcW w:w="3910" w:type="dxa"/>
            <w:tcBorders>
              <w:left w:val="single" w:color="000000" w:sz="4" w:space="0"/>
              <w:right w:val="single" w:color="000000" w:sz="4" w:space="0"/>
            </w:tcBorders>
            <w:vAlign w:val="top"/>
          </w:tcPr>
          <w:p w14:paraId="5EF7CF64">
            <w:pPr>
              <w:spacing w:before="56" w:line="228" w:lineRule="auto"/>
              <w:ind w:left="76"/>
              <w:rPr>
                <w:rFonts w:ascii="Times New Roman" w:hAnsi="Times New Roman" w:eastAsia="Times New Roman" w:cs="Times New Roman"/>
                <w:sz w:val="20"/>
                <w:szCs w:val="20"/>
              </w:rPr>
            </w:pPr>
            <w:r>
              <w:rPr>
                <w:rFonts w:ascii="宋体" w:hAnsi="宋体" w:eastAsia="宋体" w:cs="宋体"/>
                <w:spacing w:val="24"/>
                <w:sz w:val="20"/>
                <w:szCs w:val="20"/>
              </w:rPr>
              <w:t>动</w:t>
            </w:r>
            <w:r>
              <w:rPr>
                <w:rFonts w:ascii="宋体" w:hAnsi="宋体" w:eastAsia="宋体" w:cs="宋体"/>
                <w:spacing w:val="21"/>
                <w:sz w:val="20"/>
                <w:szCs w:val="20"/>
              </w:rPr>
              <w:t>植物油、</w:t>
            </w:r>
            <w:r>
              <w:rPr>
                <w:rFonts w:ascii="Times New Roman" w:hAnsi="Times New Roman" w:eastAsia="Times New Roman" w:cs="Times New Roman"/>
                <w:sz w:val="20"/>
                <w:szCs w:val="20"/>
              </w:rPr>
              <w:t>CODcr</w:t>
            </w:r>
            <w:r>
              <w:rPr>
                <w:rFonts w:ascii="Times New Roman" w:hAnsi="Times New Roman" w:eastAsia="Times New Roman" w:cs="Times New Roman"/>
                <w:spacing w:val="21"/>
                <w:sz w:val="20"/>
                <w:szCs w:val="20"/>
              </w:rPr>
              <w:t xml:space="preserve"> </w:t>
            </w:r>
            <w:r>
              <w:rPr>
                <w:rFonts w:ascii="宋体" w:hAnsi="宋体" w:eastAsia="宋体" w:cs="宋体"/>
                <w:spacing w:val="21"/>
                <w:sz w:val="20"/>
                <w:szCs w:val="20"/>
              </w:rPr>
              <w:t>、石油类、氨氮、</w:t>
            </w:r>
            <w:r>
              <w:rPr>
                <w:rFonts w:ascii="Times New Roman" w:hAnsi="Times New Roman" w:eastAsia="Times New Roman" w:cs="Times New Roman"/>
                <w:sz w:val="20"/>
                <w:szCs w:val="20"/>
              </w:rPr>
              <w:t>SS</w:t>
            </w:r>
          </w:p>
        </w:tc>
        <w:tc>
          <w:tcPr>
            <w:tcW w:w="1597" w:type="dxa"/>
            <w:tcBorders>
              <w:left w:val="single" w:color="000000" w:sz="4" w:space="0"/>
              <w:right w:val="single" w:color="000000" w:sz="4" w:space="0"/>
            </w:tcBorders>
            <w:vAlign w:val="top"/>
          </w:tcPr>
          <w:p w14:paraId="01A1B78C">
            <w:pPr>
              <w:spacing w:before="57" w:line="228" w:lineRule="auto"/>
              <w:ind w:left="250"/>
              <w:rPr>
                <w:rFonts w:ascii="宋体" w:hAnsi="宋体" w:eastAsia="宋体" w:cs="宋体"/>
                <w:sz w:val="20"/>
                <w:szCs w:val="20"/>
              </w:rPr>
            </w:pPr>
            <w:r>
              <w:rPr>
                <w:rFonts w:ascii="宋体" w:hAnsi="宋体" w:eastAsia="宋体" w:cs="宋体"/>
                <w:spacing w:val="18"/>
                <w:sz w:val="20"/>
                <w:szCs w:val="20"/>
              </w:rPr>
              <w:t>厂</w:t>
            </w:r>
            <w:r>
              <w:rPr>
                <w:rFonts w:ascii="宋体" w:hAnsi="宋体" w:eastAsia="宋体" w:cs="宋体"/>
                <w:spacing w:val="17"/>
                <w:sz w:val="20"/>
                <w:szCs w:val="20"/>
              </w:rPr>
              <w:t>区总排口</w:t>
            </w:r>
          </w:p>
        </w:tc>
        <w:tc>
          <w:tcPr>
            <w:tcW w:w="1114" w:type="dxa"/>
            <w:tcBorders>
              <w:left w:val="single" w:color="000000" w:sz="4" w:space="0"/>
              <w:right w:val="single" w:color="000000" w:sz="4" w:space="0"/>
            </w:tcBorders>
            <w:vAlign w:val="top"/>
          </w:tcPr>
          <w:p w14:paraId="2C9FE0B9">
            <w:pPr>
              <w:spacing w:before="56" w:line="228" w:lineRule="auto"/>
              <w:ind w:left="35"/>
              <w:rPr>
                <w:rFonts w:ascii="宋体" w:hAnsi="宋体" w:eastAsia="宋体" w:cs="宋体"/>
                <w:sz w:val="20"/>
                <w:szCs w:val="20"/>
              </w:rPr>
            </w:pPr>
            <w:r>
              <w:rPr>
                <w:rFonts w:ascii="宋体" w:hAnsi="宋体" w:eastAsia="宋体" w:cs="宋体"/>
                <w:spacing w:val="-1"/>
                <w:sz w:val="20"/>
                <w:szCs w:val="20"/>
              </w:rPr>
              <w:t xml:space="preserve">每季度 </w:t>
            </w:r>
            <w:r>
              <w:rPr>
                <w:rFonts w:ascii="Times New Roman" w:hAnsi="Times New Roman" w:eastAsia="Times New Roman" w:cs="Times New Roman"/>
                <w:spacing w:val="-1"/>
                <w:sz w:val="20"/>
                <w:szCs w:val="20"/>
              </w:rPr>
              <w:t>1</w:t>
            </w:r>
            <w:r>
              <w:rPr>
                <w:rFonts w:ascii="Times New Roman" w:hAnsi="Times New Roman" w:eastAsia="Times New Roman" w:cs="Times New Roman"/>
                <w:sz w:val="20"/>
                <w:szCs w:val="20"/>
              </w:rPr>
              <w:t xml:space="preserve"> </w:t>
            </w:r>
            <w:r>
              <w:rPr>
                <w:rFonts w:ascii="宋体" w:hAnsi="宋体" w:eastAsia="宋体" w:cs="宋体"/>
                <w:sz w:val="20"/>
                <w:szCs w:val="20"/>
              </w:rPr>
              <w:t>次</w:t>
            </w:r>
          </w:p>
        </w:tc>
        <w:tc>
          <w:tcPr>
            <w:tcW w:w="1142" w:type="dxa"/>
            <w:tcBorders>
              <w:left w:val="single" w:color="000000" w:sz="4" w:space="0"/>
              <w:right w:val="nil"/>
            </w:tcBorders>
            <w:vAlign w:val="top"/>
          </w:tcPr>
          <w:p w14:paraId="0541AB42">
            <w:pPr>
              <w:spacing w:before="56" w:line="229" w:lineRule="auto"/>
              <w:ind w:left="130"/>
              <w:rPr>
                <w:rFonts w:ascii="宋体" w:hAnsi="宋体" w:eastAsia="宋体" w:cs="宋体"/>
                <w:sz w:val="20"/>
                <w:szCs w:val="20"/>
              </w:rPr>
            </w:pPr>
            <w:r>
              <w:rPr>
                <w:rFonts w:ascii="宋体" w:hAnsi="宋体" w:eastAsia="宋体" w:cs="宋体"/>
                <w:spacing w:val="18"/>
                <w:sz w:val="20"/>
                <w:szCs w:val="20"/>
              </w:rPr>
              <w:t>委</w:t>
            </w:r>
            <w:r>
              <w:rPr>
                <w:rFonts w:ascii="宋体" w:hAnsi="宋体" w:eastAsia="宋体" w:cs="宋体"/>
                <w:spacing w:val="16"/>
                <w:sz w:val="20"/>
                <w:szCs w:val="20"/>
              </w:rPr>
              <w:t>托监测</w:t>
            </w:r>
          </w:p>
        </w:tc>
      </w:tr>
      <w:tr w14:paraId="1D89D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58" w:type="dxa"/>
            <w:tcBorders>
              <w:left w:val="nil"/>
              <w:right w:val="single" w:color="000000" w:sz="4" w:space="0"/>
            </w:tcBorders>
            <w:vAlign w:val="top"/>
          </w:tcPr>
          <w:p w14:paraId="26E6201F">
            <w:pPr>
              <w:spacing w:before="57" w:line="228" w:lineRule="auto"/>
              <w:ind w:left="173"/>
              <w:rPr>
                <w:rFonts w:ascii="宋体" w:hAnsi="宋体" w:eastAsia="宋体" w:cs="宋体"/>
                <w:sz w:val="20"/>
                <w:szCs w:val="20"/>
              </w:rPr>
            </w:pPr>
            <w:r>
              <w:rPr>
                <w:rFonts w:ascii="宋体" w:hAnsi="宋体" w:eastAsia="宋体" w:cs="宋体"/>
                <w:spacing w:val="6"/>
                <w:sz w:val="20"/>
                <w:szCs w:val="20"/>
              </w:rPr>
              <w:t>噪</w:t>
            </w:r>
            <w:r>
              <w:rPr>
                <w:rFonts w:ascii="宋体" w:hAnsi="宋体" w:eastAsia="宋体" w:cs="宋体"/>
                <w:spacing w:val="5"/>
                <w:sz w:val="20"/>
                <w:szCs w:val="20"/>
              </w:rPr>
              <w:t>声</w:t>
            </w:r>
          </w:p>
        </w:tc>
        <w:tc>
          <w:tcPr>
            <w:tcW w:w="3910" w:type="dxa"/>
            <w:tcBorders>
              <w:left w:val="single" w:color="000000" w:sz="4" w:space="0"/>
              <w:right w:val="single" w:color="000000" w:sz="4" w:space="0"/>
            </w:tcBorders>
            <w:vAlign w:val="top"/>
          </w:tcPr>
          <w:p w14:paraId="67A7B79B">
            <w:pPr>
              <w:spacing w:before="57" w:line="228" w:lineRule="auto"/>
              <w:ind w:left="1746"/>
              <w:rPr>
                <w:rFonts w:ascii="宋体" w:hAnsi="宋体" w:eastAsia="宋体" w:cs="宋体"/>
                <w:sz w:val="20"/>
                <w:szCs w:val="20"/>
              </w:rPr>
            </w:pPr>
            <w:r>
              <w:rPr>
                <w:rFonts w:ascii="宋体" w:hAnsi="宋体" w:eastAsia="宋体" w:cs="宋体"/>
                <w:spacing w:val="6"/>
                <w:sz w:val="20"/>
                <w:szCs w:val="20"/>
              </w:rPr>
              <w:t>噪</w:t>
            </w:r>
            <w:r>
              <w:rPr>
                <w:rFonts w:ascii="宋体" w:hAnsi="宋体" w:eastAsia="宋体" w:cs="宋体"/>
                <w:spacing w:val="5"/>
                <w:sz w:val="20"/>
                <w:szCs w:val="20"/>
              </w:rPr>
              <w:t>声</w:t>
            </w:r>
          </w:p>
        </w:tc>
        <w:tc>
          <w:tcPr>
            <w:tcW w:w="1597" w:type="dxa"/>
            <w:tcBorders>
              <w:left w:val="single" w:color="000000" w:sz="4" w:space="0"/>
              <w:right w:val="single" w:color="000000" w:sz="4" w:space="0"/>
            </w:tcBorders>
            <w:vAlign w:val="top"/>
          </w:tcPr>
          <w:p w14:paraId="6FE57197">
            <w:pPr>
              <w:spacing w:before="57" w:line="228" w:lineRule="auto"/>
              <w:ind w:left="581"/>
              <w:rPr>
                <w:rFonts w:ascii="宋体" w:hAnsi="宋体" w:eastAsia="宋体" w:cs="宋体"/>
                <w:sz w:val="20"/>
                <w:szCs w:val="20"/>
              </w:rPr>
            </w:pPr>
            <w:r>
              <w:rPr>
                <w:rFonts w:ascii="宋体" w:hAnsi="宋体" w:eastAsia="宋体" w:cs="宋体"/>
                <w:spacing w:val="10"/>
                <w:sz w:val="20"/>
                <w:szCs w:val="20"/>
              </w:rPr>
              <w:t>厂</w:t>
            </w:r>
            <w:r>
              <w:rPr>
                <w:rFonts w:ascii="宋体" w:hAnsi="宋体" w:eastAsia="宋体" w:cs="宋体"/>
                <w:spacing w:val="9"/>
                <w:sz w:val="20"/>
                <w:szCs w:val="20"/>
              </w:rPr>
              <w:t>界</w:t>
            </w:r>
          </w:p>
        </w:tc>
        <w:tc>
          <w:tcPr>
            <w:tcW w:w="1114" w:type="dxa"/>
            <w:tcBorders>
              <w:left w:val="single" w:color="000000" w:sz="4" w:space="0"/>
              <w:right w:val="single" w:color="000000" w:sz="4" w:space="0"/>
            </w:tcBorders>
            <w:vAlign w:val="top"/>
          </w:tcPr>
          <w:p w14:paraId="60B07C59">
            <w:pPr>
              <w:spacing w:before="56" w:line="228" w:lineRule="auto"/>
              <w:ind w:left="35"/>
              <w:rPr>
                <w:rFonts w:ascii="宋体" w:hAnsi="宋体" w:eastAsia="宋体" w:cs="宋体"/>
                <w:sz w:val="20"/>
                <w:szCs w:val="20"/>
              </w:rPr>
            </w:pPr>
            <w:r>
              <w:rPr>
                <w:rFonts w:ascii="宋体" w:hAnsi="宋体" w:eastAsia="宋体" w:cs="宋体"/>
                <w:spacing w:val="-1"/>
                <w:sz w:val="20"/>
                <w:szCs w:val="20"/>
              </w:rPr>
              <w:t xml:space="preserve">每季度 </w:t>
            </w:r>
            <w:r>
              <w:rPr>
                <w:rFonts w:ascii="Times New Roman" w:hAnsi="Times New Roman" w:eastAsia="Times New Roman" w:cs="Times New Roman"/>
                <w:spacing w:val="-1"/>
                <w:sz w:val="20"/>
                <w:szCs w:val="20"/>
              </w:rPr>
              <w:t>1</w:t>
            </w:r>
            <w:r>
              <w:rPr>
                <w:rFonts w:ascii="Times New Roman" w:hAnsi="Times New Roman" w:eastAsia="Times New Roman" w:cs="Times New Roman"/>
                <w:sz w:val="20"/>
                <w:szCs w:val="20"/>
              </w:rPr>
              <w:t xml:space="preserve"> </w:t>
            </w:r>
            <w:r>
              <w:rPr>
                <w:rFonts w:ascii="宋体" w:hAnsi="宋体" w:eastAsia="宋体" w:cs="宋体"/>
                <w:sz w:val="20"/>
                <w:szCs w:val="20"/>
              </w:rPr>
              <w:t>次</w:t>
            </w:r>
          </w:p>
        </w:tc>
        <w:tc>
          <w:tcPr>
            <w:tcW w:w="1142" w:type="dxa"/>
            <w:tcBorders>
              <w:left w:val="single" w:color="000000" w:sz="4" w:space="0"/>
              <w:right w:val="nil"/>
            </w:tcBorders>
            <w:vAlign w:val="top"/>
          </w:tcPr>
          <w:p w14:paraId="1DC874D6">
            <w:pPr>
              <w:spacing w:before="57" w:line="229" w:lineRule="auto"/>
              <w:ind w:left="130"/>
              <w:rPr>
                <w:rFonts w:ascii="宋体" w:hAnsi="宋体" w:eastAsia="宋体" w:cs="宋体"/>
                <w:sz w:val="20"/>
                <w:szCs w:val="20"/>
              </w:rPr>
            </w:pPr>
            <w:r>
              <w:rPr>
                <w:rFonts w:ascii="宋体" w:hAnsi="宋体" w:eastAsia="宋体" w:cs="宋体"/>
                <w:spacing w:val="18"/>
                <w:sz w:val="20"/>
                <w:szCs w:val="20"/>
              </w:rPr>
              <w:t>委</w:t>
            </w:r>
            <w:r>
              <w:rPr>
                <w:rFonts w:ascii="宋体" w:hAnsi="宋体" w:eastAsia="宋体" w:cs="宋体"/>
                <w:spacing w:val="16"/>
                <w:sz w:val="20"/>
                <w:szCs w:val="20"/>
              </w:rPr>
              <w:t>托监测</w:t>
            </w:r>
          </w:p>
        </w:tc>
      </w:tr>
      <w:tr w14:paraId="5A54E2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758" w:type="dxa"/>
            <w:tcBorders>
              <w:left w:val="nil"/>
              <w:right w:val="single" w:color="000000" w:sz="4" w:space="0"/>
            </w:tcBorders>
            <w:vAlign w:val="top"/>
          </w:tcPr>
          <w:p w14:paraId="7E7FEDA8">
            <w:pPr>
              <w:spacing w:before="215" w:line="228" w:lineRule="auto"/>
              <w:ind w:left="53"/>
              <w:rPr>
                <w:rFonts w:ascii="宋体" w:hAnsi="宋体" w:eastAsia="宋体" w:cs="宋体"/>
                <w:sz w:val="20"/>
                <w:szCs w:val="20"/>
              </w:rPr>
            </w:pPr>
            <w:r>
              <w:rPr>
                <w:rFonts w:ascii="宋体" w:hAnsi="宋体" w:eastAsia="宋体" w:cs="宋体"/>
                <w:spacing w:val="15"/>
                <w:sz w:val="20"/>
                <w:szCs w:val="20"/>
              </w:rPr>
              <w:t>地下</w:t>
            </w:r>
            <w:r>
              <w:rPr>
                <w:rFonts w:ascii="宋体" w:hAnsi="宋体" w:eastAsia="宋体" w:cs="宋体"/>
                <w:spacing w:val="14"/>
                <w:sz w:val="20"/>
                <w:szCs w:val="20"/>
              </w:rPr>
              <w:t>水</w:t>
            </w:r>
          </w:p>
        </w:tc>
        <w:tc>
          <w:tcPr>
            <w:tcW w:w="3910" w:type="dxa"/>
            <w:tcBorders>
              <w:left w:val="single" w:color="000000" w:sz="4" w:space="0"/>
              <w:right w:val="single" w:color="000000" w:sz="4" w:space="0"/>
            </w:tcBorders>
            <w:vAlign w:val="top"/>
          </w:tcPr>
          <w:p w14:paraId="0C633135">
            <w:pPr>
              <w:spacing w:before="59" w:line="258" w:lineRule="auto"/>
              <w:ind w:left="1404" w:right="26" w:hanging="1383"/>
              <w:rPr>
                <w:rFonts w:ascii="宋体" w:hAnsi="宋体" w:eastAsia="宋体" w:cs="宋体"/>
                <w:sz w:val="20"/>
                <w:szCs w:val="20"/>
              </w:rPr>
            </w:pPr>
            <w:r>
              <w:rPr>
                <w:rFonts w:ascii="Times New Roman" w:hAnsi="Times New Roman" w:eastAsia="Times New Roman" w:cs="Times New Roman"/>
                <w:sz w:val="20"/>
                <w:szCs w:val="20"/>
              </w:rPr>
              <w:t>pH</w:t>
            </w:r>
            <w:r>
              <w:rPr>
                <w:rFonts w:ascii="Times New Roman" w:hAnsi="Times New Roman" w:eastAsia="Times New Roman" w:cs="Times New Roman"/>
                <w:spacing w:val="12"/>
                <w:sz w:val="20"/>
                <w:szCs w:val="20"/>
              </w:rPr>
              <w:t xml:space="preserve"> </w:t>
            </w:r>
            <w:r>
              <w:rPr>
                <w:rFonts w:ascii="宋体" w:hAnsi="宋体" w:eastAsia="宋体" w:cs="宋体"/>
                <w:spacing w:val="9"/>
                <w:sz w:val="20"/>
                <w:szCs w:val="20"/>
              </w:rPr>
              <w:t>、</w:t>
            </w:r>
            <w:r>
              <w:rPr>
                <w:rFonts w:ascii="Times New Roman" w:hAnsi="Times New Roman" w:eastAsia="Times New Roman" w:cs="Times New Roman"/>
                <w:sz w:val="20"/>
                <w:szCs w:val="20"/>
              </w:rPr>
              <w:t>CODcr</w:t>
            </w:r>
            <w:r>
              <w:rPr>
                <w:rFonts w:ascii="Times New Roman" w:hAnsi="Times New Roman" w:eastAsia="Times New Roman" w:cs="Times New Roman"/>
                <w:spacing w:val="9"/>
                <w:sz w:val="20"/>
                <w:szCs w:val="20"/>
              </w:rPr>
              <w:t xml:space="preserve"> </w:t>
            </w:r>
            <w:r>
              <w:rPr>
                <w:rFonts w:ascii="宋体" w:hAnsi="宋体" w:eastAsia="宋体" w:cs="宋体"/>
                <w:spacing w:val="9"/>
                <w:sz w:val="20"/>
                <w:szCs w:val="20"/>
              </w:rPr>
              <w:t>、</w:t>
            </w:r>
            <w:r>
              <w:rPr>
                <w:rFonts w:ascii="Times New Roman" w:hAnsi="Times New Roman" w:eastAsia="Times New Roman" w:cs="Times New Roman"/>
                <w:sz w:val="20"/>
                <w:szCs w:val="20"/>
              </w:rPr>
              <w:t>BOD</w:t>
            </w:r>
            <w:r>
              <w:rPr>
                <w:rFonts w:ascii="Times New Roman" w:hAnsi="Times New Roman" w:eastAsia="Times New Roman" w:cs="Times New Roman"/>
                <w:spacing w:val="9"/>
                <w:position w:val="-1"/>
                <w:sz w:val="13"/>
                <w:szCs w:val="13"/>
              </w:rPr>
              <w:t xml:space="preserve">5 </w:t>
            </w:r>
            <w:r>
              <w:rPr>
                <w:rFonts w:ascii="宋体" w:hAnsi="宋体" w:eastAsia="宋体" w:cs="宋体"/>
                <w:spacing w:val="9"/>
                <w:sz w:val="20"/>
                <w:szCs w:val="20"/>
              </w:rPr>
              <w:t>、氨氮、</w:t>
            </w:r>
            <w:r>
              <w:rPr>
                <w:rFonts w:ascii="Times New Roman" w:hAnsi="Times New Roman" w:eastAsia="Times New Roman" w:cs="Times New Roman"/>
                <w:sz w:val="20"/>
                <w:szCs w:val="20"/>
              </w:rPr>
              <w:t>SS</w:t>
            </w:r>
            <w:r>
              <w:rPr>
                <w:rFonts w:ascii="Times New Roman" w:hAnsi="Times New Roman" w:eastAsia="Times New Roman" w:cs="Times New Roman"/>
                <w:spacing w:val="9"/>
                <w:sz w:val="20"/>
                <w:szCs w:val="20"/>
              </w:rPr>
              <w:t xml:space="preserve"> </w:t>
            </w:r>
            <w:r>
              <w:rPr>
                <w:rFonts w:ascii="宋体" w:hAnsi="宋体" w:eastAsia="宋体" w:cs="宋体"/>
                <w:spacing w:val="9"/>
                <w:sz w:val="20"/>
                <w:szCs w:val="20"/>
              </w:rPr>
              <w:t>、总磷和</w:t>
            </w:r>
            <w:r>
              <w:rPr>
                <w:rFonts w:ascii="宋体" w:hAnsi="宋体" w:eastAsia="宋体" w:cs="宋体"/>
                <w:sz w:val="20"/>
                <w:szCs w:val="20"/>
              </w:rPr>
              <w:t xml:space="preserve"> </w:t>
            </w:r>
            <w:r>
              <w:rPr>
                <w:rFonts w:ascii="宋体" w:hAnsi="宋体" w:eastAsia="宋体" w:cs="宋体"/>
                <w:spacing w:val="19"/>
                <w:sz w:val="20"/>
                <w:szCs w:val="20"/>
              </w:rPr>
              <w:t>粪</w:t>
            </w:r>
            <w:r>
              <w:rPr>
                <w:rFonts w:ascii="宋体" w:hAnsi="宋体" w:eastAsia="宋体" w:cs="宋体"/>
                <w:spacing w:val="17"/>
                <w:sz w:val="20"/>
                <w:szCs w:val="20"/>
              </w:rPr>
              <w:t>大肠菌群</w:t>
            </w:r>
          </w:p>
        </w:tc>
        <w:tc>
          <w:tcPr>
            <w:tcW w:w="1597" w:type="dxa"/>
            <w:tcBorders>
              <w:left w:val="single" w:color="000000" w:sz="4" w:space="0"/>
              <w:right w:val="single" w:color="000000" w:sz="4" w:space="0"/>
            </w:tcBorders>
            <w:vAlign w:val="top"/>
          </w:tcPr>
          <w:p w14:paraId="19B53A30">
            <w:pPr>
              <w:spacing w:before="60" w:line="258" w:lineRule="auto"/>
              <w:ind w:left="254" w:right="250" w:firstLine="24"/>
              <w:rPr>
                <w:rFonts w:ascii="宋体" w:hAnsi="宋体" w:eastAsia="宋体" w:cs="宋体"/>
                <w:sz w:val="20"/>
                <w:szCs w:val="20"/>
              </w:rPr>
            </w:pPr>
            <w:r>
              <w:rPr>
                <w:rFonts w:ascii="宋体" w:hAnsi="宋体" w:eastAsia="宋体" w:cs="宋体"/>
                <w:spacing w:val="12"/>
                <w:sz w:val="20"/>
                <w:szCs w:val="20"/>
              </w:rPr>
              <w:t>厂</w:t>
            </w:r>
            <w:r>
              <w:rPr>
                <w:rFonts w:ascii="宋体" w:hAnsi="宋体" w:eastAsia="宋体" w:cs="宋体"/>
                <w:spacing w:val="10"/>
                <w:sz w:val="20"/>
                <w:szCs w:val="20"/>
              </w:rPr>
              <w:t>区上游、</w:t>
            </w:r>
            <w:r>
              <w:rPr>
                <w:rFonts w:ascii="宋体" w:hAnsi="宋体" w:eastAsia="宋体" w:cs="宋体"/>
                <w:sz w:val="20"/>
                <w:szCs w:val="20"/>
              </w:rPr>
              <w:t xml:space="preserve"> </w:t>
            </w:r>
            <w:r>
              <w:rPr>
                <w:rFonts w:ascii="宋体" w:hAnsi="宋体" w:eastAsia="宋体" w:cs="宋体"/>
                <w:spacing w:val="18"/>
                <w:sz w:val="20"/>
                <w:szCs w:val="20"/>
              </w:rPr>
              <w:t>下</w:t>
            </w:r>
            <w:r>
              <w:rPr>
                <w:rFonts w:ascii="宋体" w:hAnsi="宋体" w:eastAsia="宋体" w:cs="宋体"/>
                <w:spacing w:val="16"/>
                <w:sz w:val="20"/>
                <w:szCs w:val="20"/>
              </w:rPr>
              <w:t>游监测井</w:t>
            </w:r>
          </w:p>
        </w:tc>
        <w:tc>
          <w:tcPr>
            <w:tcW w:w="1114" w:type="dxa"/>
            <w:tcBorders>
              <w:left w:val="single" w:color="000000" w:sz="4" w:space="0"/>
              <w:right w:val="single" w:color="000000" w:sz="4" w:space="0"/>
            </w:tcBorders>
            <w:vAlign w:val="top"/>
          </w:tcPr>
          <w:p w14:paraId="62022894">
            <w:pPr>
              <w:spacing w:before="215" w:line="228" w:lineRule="auto"/>
              <w:ind w:left="141"/>
              <w:rPr>
                <w:rFonts w:ascii="宋体" w:hAnsi="宋体" w:eastAsia="宋体" w:cs="宋体"/>
                <w:sz w:val="20"/>
                <w:szCs w:val="20"/>
              </w:rPr>
            </w:pPr>
            <w:r>
              <w:rPr>
                <w:rFonts w:ascii="宋体" w:hAnsi="宋体" w:eastAsia="宋体" w:cs="宋体"/>
                <w:spacing w:val="-4"/>
                <w:sz w:val="20"/>
                <w:szCs w:val="20"/>
              </w:rPr>
              <w:t>每年</w:t>
            </w:r>
            <w:r>
              <w:rPr>
                <w:rFonts w:ascii="宋体" w:hAnsi="宋体" w:eastAsia="宋体" w:cs="宋体"/>
                <w:spacing w:val="-2"/>
                <w:sz w:val="20"/>
                <w:szCs w:val="20"/>
              </w:rPr>
              <w:t xml:space="preserve"> </w:t>
            </w:r>
            <w:r>
              <w:rPr>
                <w:rFonts w:ascii="Times New Roman" w:hAnsi="Times New Roman" w:eastAsia="Times New Roman" w:cs="Times New Roman"/>
                <w:spacing w:val="-2"/>
                <w:sz w:val="20"/>
                <w:szCs w:val="20"/>
              </w:rPr>
              <w:t xml:space="preserve">1 </w:t>
            </w:r>
            <w:r>
              <w:rPr>
                <w:rFonts w:ascii="宋体" w:hAnsi="宋体" w:eastAsia="宋体" w:cs="宋体"/>
                <w:spacing w:val="-2"/>
                <w:sz w:val="20"/>
                <w:szCs w:val="20"/>
              </w:rPr>
              <w:t>次</w:t>
            </w:r>
          </w:p>
        </w:tc>
        <w:tc>
          <w:tcPr>
            <w:tcW w:w="1142" w:type="dxa"/>
            <w:tcBorders>
              <w:left w:val="single" w:color="000000" w:sz="4" w:space="0"/>
              <w:right w:val="nil"/>
            </w:tcBorders>
            <w:vAlign w:val="top"/>
          </w:tcPr>
          <w:p w14:paraId="10F5D4E3">
            <w:pPr>
              <w:spacing w:before="216" w:line="229" w:lineRule="auto"/>
              <w:ind w:left="130"/>
              <w:rPr>
                <w:rFonts w:ascii="宋体" w:hAnsi="宋体" w:eastAsia="宋体" w:cs="宋体"/>
                <w:sz w:val="20"/>
                <w:szCs w:val="20"/>
              </w:rPr>
            </w:pPr>
            <w:r>
              <w:rPr>
                <w:rFonts w:ascii="宋体" w:hAnsi="宋体" w:eastAsia="宋体" w:cs="宋体"/>
                <w:spacing w:val="18"/>
                <w:sz w:val="20"/>
                <w:szCs w:val="20"/>
              </w:rPr>
              <w:t>委</w:t>
            </w:r>
            <w:r>
              <w:rPr>
                <w:rFonts w:ascii="宋体" w:hAnsi="宋体" w:eastAsia="宋体" w:cs="宋体"/>
                <w:spacing w:val="16"/>
                <w:sz w:val="20"/>
                <w:szCs w:val="20"/>
              </w:rPr>
              <w:t>托监测</w:t>
            </w:r>
          </w:p>
        </w:tc>
      </w:tr>
    </w:tbl>
    <w:p w14:paraId="1F515BB3">
      <w:pPr>
        <w:spacing w:before="266" w:line="225" w:lineRule="auto"/>
        <w:ind w:left="117"/>
        <w:outlineLvl w:val="1"/>
        <w:rPr>
          <w:rFonts w:ascii="宋体" w:hAnsi="宋体" w:eastAsia="宋体" w:cs="宋体"/>
          <w:sz w:val="31"/>
          <w:szCs w:val="31"/>
        </w:rPr>
      </w:pPr>
      <w:bookmarkStart w:id="45" w:name="_bookmark46"/>
      <w:bookmarkEnd w:id="45"/>
      <w:r>
        <w:rPr>
          <w:rFonts w:ascii="Times New Roman" w:hAnsi="Times New Roman" w:eastAsia="Times New Roman" w:cs="Times New Roman"/>
          <w:b/>
          <w:bCs/>
          <w:spacing w:val="22"/>
          <w:sz w:val="31"/>
          <w:szCs w:val="31"/>
        </w:rPr>
        <w:t>9</w:t>
      </w:r>
      <w:r>
        <w:rPr>
          <w:rFonts w:ascii="Times New Roman" w:hAnsi="Times New Roman" w:eastAsia="Times New Roman" w:cs="Times New Roman"/>
          <w:b/>
          <w:bCs/>
          <w:spacing w:val="14"/>
          <w:sz w:val="31"/>
          <w:szCs w:val="31"/>
        </w:rPr>
        <w:t>.3</w:t>
      </w:r>
      <w:r>
        <w:rPr>
          <w:rFonts w:ascii="Times New Roman" w:hAnsi="Times New Roman" w:eastAsia="Times New Roman" w:cs="Times New Roman"/>
          <w:spacing w:val="14"/>
          <w:sz w:val="31"/>
          <w:szCs w:val="31"/>
        </w:rPr>
        <w:t xml:space="preserve">  </w:t>
      </w:r>
      <w:r>
        <w:rPr>
          <w:rFonts w:ascii="宋体" w:hAnsi="宋体" w:eastAsia="宋体" w:cs="宋体"/>
          <w:spacing w:val="14"/>
          <w:sz w:val="31"/>
          <w:szCs w:val="31"/>
          <w14:textOutline w14:w="5793" w14:cap="sq" w14:cmpd="sng">
            <w14:solidFill>
              <w14:srgbClr w14:val="000000"/>
            </w14:solidFill>
            <w14:prstDash w14:val="solid"/>
            <w14:bevel/>
          </w14:textOutline>
        </w:rPr>
        <w:t>环境保护验收</w:t>
      </w:r>
    </w:p>
    <w:p w14:paraId="18321634">
      <w:pPr>
        <w:spacing w:line="251" w:lineRule="auto"/>
        <w:rPr>
          <w:rFonts w:ascii="Arial"/>
          <w:sz w:val="21"/>
        </w:rPr>
      </w:pPr>
    </w:p>
    <w:p w14:paraId="5E993191">
      <w:pPr>
        <w:spacing w:before="74" w:line="389" w:lineRule="auto"/>
        <w:ind w:left="117" w:right="27" w:firstLine="483"/>
        <w:rPr>
          <w:rFonts w:ascii="宋体" w:hAnsi="宋体" w:eastAsia="宋体" w:cs="宋体"/>
          <w:sz w:val="23"/>
          <w:szCs w:val="23"/>
        </w:rPr>
      </w:pPr>
      <w:r>
        <w:rPr>
          <w:rFonts w:ascii="宋体" w:hAnsi="宋体" w:eastAsia="宋体" w:cs="宋体"/>
          <w:spacing w:val="4"/>
          <w:sz w:val="23"/>
          <w:szCs w:val="23"/>
        </w:rPr>
        <w:t>项目</w:t>
      </w:r>
      <w:r>
        <w:rPr>
          <w:rFonts w:ascii="宋体" w:hAnsi="宋体" w:eastAsia="宋体" w:cs="宋体"/>
          <w:spacing w:val="3"/>
          <w:sz w:val="23"/>
          <w:szCs w:val="23"/>
        </w:rPr>
        <w:t>中</w:t>
      </w:r>
      <w:r>
        <w:rPr>
          <w:rFonts w:ascii="宋体" w:hAnsi="宋体" w:eastAsia="宋体" w:cs="宋体"/>
          <w:spacing w:val="2"/>
          <w:sz w:val="23"/>
          <w:szCs w:val="23"/>
        </w:rPr>
        <w:t>的污染防治措施必须与主体工程同时设计、同时施工、同时投产使用。</w:t>
      </w:r>
      <w:r>
        <w:rPr>
          <w:rFonts w:ascii="宋体" w:hAnsi="宋体" w:eastAsia="宋体" w:cs="宋体"/>
          <w:sz w:val="23"/>
          <w:szCs w:val="23"/>
        </w:rPr>
        <w:t xml:space="preserve"> </w:t>
      </w:r>
      <w:r>
        <w:rPr>
          <w:rFonts w:ascii="宋体" w:hAnsi="宋体" w:eastAsia="宋体" w:cs="宋体"/>
          <w:spacing w:val="14"/>
          <w:sz w:val="23"/>
          <w:szCs w:val="23"/>
        </w:rPr>
        <w:t>防治污染的设施必须经原审批环境影响报告书的环境保护行政主管部门验收合</w:t>
      </w:r>
      <w:r>
        <w:rPr>
          <w:rFonts w:ascii="宋体" w:hAnsi="宋体" w:eastAsia="宋体" w:cs="宋体"/>
          <w:sz w:val="23"/>
          <w:szCs w:val="23"/>
        </w:rPr>
        <w:t xml:space="preserve"> </w:t>
      </w:r>
      <w:r>
        <w:rPr>
          <w:rFonts w:ascii="宋体" w:hAnsi="宋体" w:eastAsia="宋体" w:cs="宋体"/>
          <w:spacing w:val="9"/>
          <w:sz w:val="23"/>
          <w:szCs w:val="23"/>
        </w:rPr>
        <w:t>格</w:t>
      </w:r>
      <w:r>
        <w:rPr>
          <w:rFonts w:ascii="宋体" w:hAnsi="宋体" w:eastAsia="宋体" w:cs="宋体"/>
          <w:spacing w:val="7"/>
          <w:sz w:val="23"/>
          <w:szCs w:val="23"/>
        </w:rPr>
        <w:t>后，项目方可投入生产和使用。环境保护验收是环境影响评价制度的延伸。项</w:t>
      </w:r>
      <w:r>
        <w:rPr>
          <w:rFonts w:ascii="宋体" w:hAnsi="宋体" w:eastAsia="宋体" w:cs="宋体"/>
          <w:sz w:val="23"/>
          <w:szCs w:val="23"/>
        </w:rPr>
        <w:t xml:space="preserve"> </w:t>
      </w:r>
      <w:r>
        <w:rPr>
          <w:rFonts w:ascii="宋体" w:hAnsi="宋体" w:eastAsia="宋体" w:cs="宋体"/>
          <w:spacing w:val="4"/>
          <w:sz w:val="23"/>
          <w:szCs w:val="23"/>
        </w:rPr>
        <w:t xml:space="preserve">目环境保护验收内容详见表 </w:t>
      </w:r>
      <w:r>
        <w:rPr>
          <w:rFonts w:ascii="Times New Roman" w:hAnsi="Times New Roman" w:eastAsia="Times New Roman" w:cs="Times New Roman"/>
          <w:spacing w:val="4"/>
          <w:sz w:val="23"/>
          <w:szCs w:val="23"/>
        </w:rPr>
        <w:t>9-3</w:t>
      </w:r>
      <w:r>
        <w:rPr>
          <w:rFonts w:ascii="宋体" w:hAnsi="宋体" w:eastAsia="宋体" w:cs="宋体"/>
          <w:spacing w:val="4"/>
          <w:sz w:val="23"/>
          <w:szCs w:val="23"/>
        </w:rPr>
        <w:t>。</w:t>
      </w:r>
    </w:p>
    <w:p w14:paraId="29D8F659">
      <w:pPr>
        <w:spacing w:before="137" w:line="227" w:lineRule="auto"/>
        <w:ind w:left="2038"/>
        <w:rPr>
          <w:rFonts w:ascii="宋体" w:hAnsi="宋体" w:eastAsia="宋体" w:cs="宋体"/>
          <w:sz w:val="23"/>
          <w:szCs w:val="23"/>
        </w:rPr>
      </w:pPr>
      <w:r>
        <w:rPr>
          <w:rFonts w:ascii="宋体" w:hAnsi="宋体" w:eastAsia="宋体" w:cs="宋体"/>
          <w:spacing w:val="10"/>
          <w:sz w:val="23"/>
          <w:szCs w:val="23"/>
          <w14:textOutline w14:w="4358" w14:cap="sq" w14:cmpd="sng">
            <w14:solidFill>
              <w14:srgbClr w14:val="000000"/>
            </w14:solidFill>
            <w14:prstDash w14:val="solid"/>
            <w14:bevel/>
          </w14:textOutline>
        </w:rPr>
        <w:t>表</w:t>
      </w:r>
      <w:r>
        <w:rPr>
          <w:rFonts w:ascii="宋体" w:hAnsi="宋体" w:eastAsia="宋体" w:cs="宋体"/>
          <w:spacing w:val="10"/>
          <w:sz w:val="23"/>
          <w:szCs w:val="23"/>
        </w:rPr>
        <w:t xml:space="preserve"> </w:t>
      </w:r>
      <w:r>
        <w:rPr>
          <w:rFonts w:ascii="Times New Roman" w:hAnsi="Times New Roman" w:eastAsia="Times New Roman" w:cs="Times New Roman"/>
          <w:b/>
          <w:bCs/>
          <w:spacing w:val="8"/>
          <w:sz w:val="23"/>
          <w:szCs w:val="23"/>
        </w:rPr>
        <w:t>9</w:t>
      </w:r>
      <w:r>
        <w:rPr>
          <w:rFonts w:ascii="Times New Roman" w:hAnsi="Times New Roman" w:eastAsia="Times New Roman" w:cs="Times New Roman"/>
          <w:b/>
          <w:bCs/>
          <w:spacing w:val="5"/>
          <w:sz w:val="23"/>
          <w:szCs w:val="23"/>
        </w:rPr>
        <w:t>-3</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14:textOutline w14:w="4358" w14:cap="sq" w14:cmpd="sng">
            <w14:solidFill>
              <w14:srgbClr w14:val="000000"/>
            </w14:solidFill>
            <w14:prstDash w14:val="solid"/>
            <w14:bevel/>
          </w14:textOutline>
        </w:rPr>
        <w:t>建设项目竣工环境保护验收一览表</w:t>
      </w:r>
    </w:p>
    <w:p w14:paraId="7C8986CE">
      <w:pPr>
        <w:spacing w:line="19" w:lineRule="exact"/>
      </w:pPr>
    </w:p>
    <w:tbl>
      <w:tblPr>
        <w:tblStyle w:val="4"/>
        <w:tblW w:w="8306"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0"/>
        <w:gridCol w:w="510"/>
        <w:gridCol w:w="1170"/>
        <w:gridCol w:w="645"/>
        <w:gridCol w:w="2781"/>
        <w:gridCol w:w="594"/>
        <w:gridCol w:w="2126"/>
      </w:tblGrid>
      <w:tr w14:paraId="146AE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1" w:hRule="atLeast"/>
        </w:trPr>
        <w:tc>
          <w:tcPr>
            <w:tcW w:w="480" w:type="dxa"/>
            <w:tcBorders>
              <w:left w:val="nil"/>
              <w:right w:val="single" w:color="000000" w:sz="4" w:space="0"/>
            </w:tcBorders>
            <w:vAlign w:val="top"/>
          </w:tcPr>
          <w:p w14:paraId="38EE2D2B">
            <w:pPr>
              <w:spacing w:line="281" w:lineRule="auto"/>
              <w:rPr>
                <w:rFonts w:ascii="Arial"/>
                <w:sz w:val="21"/>
              </w:rPr>
            </w:pPr>
          </w:p>
          <w:p w14:paraId="1B8C55B9">
            <w:pPr>
              <w:spacing w:before="65" w:line="228" w:lineRule="auto"/>
              <w:ind w:left="34"/>
              <w:rPr>
                <w:rFonts w:ascii="宋体" w:hAnsi="宋体" w:eastAsia="宋体" w:cs="宋体"/>
                <w:sz w:val="20"/>
                <w:szCs w:val="20"/>
              </w:rPr>
            </w:pPr>
            <w:r>
              <w:rPr>
                <w:rFonts w:ascii="宋体" w:hAnsi="宋体" w:eastAsia="宋体" w:cs="宋体"/>
                <w:spacing w:val="5"/>
                <w:sz w:val="20"/>
                <w:szCs w:val="20"/>
                <w14:textOutline w14:w="3795" w14:cap="sq" w14:cmpd="sng">
                  <w14:solidFill>
                    <w14:srgbClr w14:val="000000"/>
                  </w14:solidFill>
                  <w14:prstDash w14:val="solid"/>
                  <w14:bevel/>
                </w14:textOutline>
              </w:rPr>
              <w:t>类</w:t>
            </w:r>
            <w:r>
              <w:rPr>
                <w:rFonts w:ascii="宋体" w:hAnsi="宋体" w:eastAsia="宋体" w:cs="宋体"/>
                <w:spacing w:val="4"/>
                <w:sz w:val="20"/>
                <w:szCs w:val="20"/>
                <w14:textOutline w14:w="3795" w14:cap="sq" w14:cmpd="sng">
                  <w14:solidFill>
                    <w14:srgbClr w14:val="000000"/>
                  </w14:solidFill>
                  <w14:prstDash w14:val="solid"/>
                  <w14:bevel/>
                </w14:textOutline>
              </w:rPr>
              <w:t>型</w:t>
            </w:r>
          </w:p>
        </w:tc>
        <w:tc>
          <w:tcPr>
            <w:tcW w:w="510" w:type="dxa"/>
            <w:tcBorders>
              <w:left w:val="single" w:color="000000" w:sz="4" w:space="0"/>
              <w:right w:val="single" w:color="000000" w:sz="4" w:space="0"/>
            </w:tcBorders>
            <w:vAlign w:val="top"/>
          </w:tcPr>
          <w:p w14:paraId="5C1131A4">
            <w:pPr>
              <w:spacing w:line="281" w:lineRule="auto"/>
              <w:rPr>
                <w:rFonts w:ascii="Arial"/>
                <w:sz w:val="21"/>
              </w:rPr>
            </w:pPr>
          </w:p>
          <w:p w14:paraId="36137950">
            <w:pPr>
              <w:spacing w:before="65" w:line="228" w:lineRule="auto"/>
              <w:ind w:left="48"/>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类别</w:t>
            </w:r>
          </w:p>
        </w:tc>
        <w:tc>
          <w:tcPr>
            <w:tcW w:w="1170" w:type="dxa"/>
            <w:tcBorders>
              <w:left w:val="single" w:color="000000" w:sz="4" w:space="0"/>
              <w:right w:val="single" w:color="000000" w:sz="4" w:space="0"/>
            </w:tcBorders>
            <w:vAlign w:val="top"/>
          </w:tcPr>
          <w:p w14:paraId="18FB39E9">
            <w:pPr>
              <w:spacing w:line="281" w:lineRule="auto"/>
              <w:rPr>
                <w:rFonts w:ascii="Arial"/>
                <w:sz w:val="21"/>
              </w:rPr>
            </w:pPr>
          </w:p>
          <w:p w14:paraId="5467FFC4">
            <w:pPr>
              <w:spacing w:before="65" w:line="228" w:lineRule="auto"/>
              <w:ind w:left="274"/>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污染源</w:t>
            </w:r>
          </w:p>
        </w:tc>
        <w:tc>
          <w:tcPr>
            <w:tcW w:w="645" w:type="dxa"/>
            <w:tcBorders>
              <w:left w:val="single" w:color="000000" w:sz="4" w:space="0"/>
              <w:right w:val="single" w:color="000000" w:sz="4" w:space="0"/>
            </w:tcBorders>
            <w:vAlign w:val="top"/>
          </w:tcPr>
          <w:p w14:paraId="1C6690BA">
            <w:pPr>
              <w:spacing w:before="209" w:line="274" w:lineRule="auto"/>
              <w:ind w:left="218" w:right="107" w:hanging="101"/>
              <w:rPr>
                <w:rFonts w:ascii="宋体" w:hAnsi="宋体" w:eastAsia="宋体" w:cs="宋体"/>
                <w:sz w:val="20"/>
                <w:szCs w:val="20"/>
              </w:rPr>
            </w:pPr>
            <w:r>
              <w:rPr>
                <w:rFonts w:ascii="宋体" w:hAnsi="宋体" w:eastAsia="宋体" w:cs="宋体"/>
                <w:spacing w:val="5"/>
                <w:sz w:val="20"/>
                <w:szCs w:val="20"/>
                <w14:textOutline w14:w="3795" w14:cap="sq" w14:cmpd="sng">
                  <w14:solidFill>
                    <w14:srgbClr w14:val="000000"/>
                  </w14:solidFill>
                  <w14:prstDash w14:val="solid"/>
                  <w14:bevel/>
                </w14:textOutline>
              </w:rPr>
              <w:t>污染</w:t>
            </w:r>
            <w:r>
              <w:rPr>
                <w:rFonts w:ascii="宋体" w:hAnsi="宋体" w:eastAsia="宋体" w:cs="宋体"/>
                <w:sz w:val="20"/>
                <w:szCs w:val="20"/>
              </w:rPr>
              <w:t xml:space="preserve"> </w:t>
            </w:r>
            <w:r>
              <w:rPr>
                <w:rFonts w:ascii="宋体" w:hAnsi="宋体" w:eastAsia="宋体" w:cs="宋体"/>
                <w:sz w:val="20"/>
                <w:szCs w:val="20"/>
                <w14:textOutline w14:w="3795" w14:cap="sq" w14:cmpd="sng">
                  <w14:solidFill>
                    <w14:srgbClr w14:val="000000"/>
                  </w14:solidFill>
                  <w14:prstDash w14:val="solid"/>
                  <w14:bevel/>
                </w14:textOutline>
              </w:rPr>
              <w:t>物</w:t>
            </w:r>
          </w:p>
        </w:tc>
        <w:tc>
          <w:tcPr>
            <w:tcW w:w="2781" w:type="dxa"/>
            <w:tcBorders>
              <w:left w:val="single" w:color="000000" w:sz="4" w:space="0"/>
              <w:right w:val="single" w:color="000000" w:sz="4" w:space="0"/>
            </w:tcBorders>
            <w:vAlign w:val="top"/>
          </w:tcPr>
          <w:p w14:paraId="59FF2747">
            <w:pPr>
              <w:spacing w:line="281" w:lineRule="auto"/>
              <w:rPr>
                <w:rFonts w:ascii="Arial"/>
                <w:sz w:val="21"/>
              </w:rPr>
            </w:pPr>
          </w:p>
          <w:p w14:paraId="0407ADB0">
            <w:pPr>
              <w:spacing w:before="65" w:line="228" w:lineRule="auto"/>
              <w:ind w:left="975"/>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建设内</w:t>
            </w:r>
            <w:r>
              <w:rPr>
                <w:rFonts w:ascii="宋体" w:hAnsi="宋体" w:eastAsia="宋体" w:cs="宋体"/>
                <w:spacing w:val="7"/>
                <w:sz w:val="20"/>
                <w:szCs w:val="20"/>
                <w14:textOutline w14:w="3795" w14:cap="sq" w14:cmpd="sng">
                  <w14:solidFill>
                    <w14:srgbClr w14:val="000000"/>
                  </w14:solidFill>
                  <w14:prstDash w14:val="solid"/>
                  <w14:bevel/>
                </w14:textOutline>
              </w:rPr>
              <w:t>容</w:t>
            </w:r>
          </w:p>
        </w:tc>
        <w:tc>
          <w:tcPr>
            <w:tcW w:w="594" w:type="dxa"/>
            <w:tcBorders>
              <w:left w:val="single" w:color="000000" w:sz="4" w:space="0"/>
              <w:right w:val="single" w:color="000000" w:sz="4" w:space="0"/>
            </w:tcBorders>
            <w:vAlign w:val="top"/>
          </w:tcPr>
          <w:p w14:paraId="36C9205D">
            <w:pPr>
              <w:spacing w:before="69" w:line="230" w:lineRule="auto"/>
              <w:ind w:left="90"/>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排污</w:t>
            </w:r>
          </w:p>
          <w:p w14:paraId="10886B4E">
            <w:pPr>
              <w:spacing w:before="29" w:line="228" w:lineRule="auto"/>
              <w:ind w:left="122"/>
              <w:rPr>
                <w:rFonts w:ascii="宋体" w:hAnsi="宋体" w:eastAsia="宋体" w:cs="宋体"/>
                <w:sz w:val="20"/>
                <w:szCs w:val="20"/>
              </w:rPr>
            </w:pPr>
            <w:r>
              <w:rPr>
                <w:rFonts w:ascii="宋体" w:hAnsi="宋体" w:eastAsia="宋体" w:cs="宋体"/>
                <w:spacing w:val="-10"/>
                <w:sz w:val="20"/>
                <w:szCs w:val="20"/>
                <w14:textOutline w14:w="3795" w14:cap="sq" w14:cmpd="sng">
                  <w14:solidFill>
                    <w14:srgbClr w14:val="000000"/>
                  </w14:solidFill>
                  <w14:prstDash w14:val="solid"/>
                  <w14:bevel/>
                </w14:textOutline>
              </w:rPr>
              <w:t>口信</w:t>
            </w:r>
          </w:p>
          <w:p w14:paraId="71515266">
            <w:pPr>
              <w:spacing w:before="34" w:line="223" w:lineRule="auto"/>
              <w:ind w:left="202"/>
              <w:rPr>
                <w:rFonts w:ascii="宋体" w:hAnsi="宋体" w:eastAsia="宋体" w:cs="宋体"/>
                <w:sz w:val="20"/>
                <w:szCs w:val="20"/>
              </w:rPr>
            </w:pPr>
            <w:r>
              <w:rPr>
                <w:rFonts w:ascii="宋体" w:hAnsi="宋体" w:eastAsia="宋体" w:cs="宋体"/>
                <w:sz w:val="20"/>
                <w:szCs w:val="20"/>
                <w14:textOutline w14:w="3795" w14:cap="sq" w14:cmpd="sng">
                  <w14:solidFill>
                    <w14:srgbClr w14:val="000000"/>
                  </w14:solidFill>
                  <w14:prstDash w14:val="solid"/>
                  <w14:bevel/>
                </w14:textOutline>
              </w:rPr>
              <w:t>息</w:t>
            </w:r>
          </w:p>
        </w:tc>
        <w:tc>
          <w:tcPr>
            <w:tcW w:w="2126" w:type="dxa"/>
            <w:tcBorders>
              <w:left w:val="single" w:color="000000" w:sz="4" w:space="0"/>
              <w:right w:val="nil"/>
            </w:tcBorders>
            <w:vAlign w:val="top"/>
          </w:tcPr>
          <w:p w14:paraId="013AEA93">
            <w:pPr>
              <w:spacing w:line="281" w:lineRule="auto"/>
              <w:rPr>
                <w:rFonts w:ascii="Arial"/>
                <w:sz w:val="21"/>
              </w:rPr>
            </w:pPr>
          </w:p>
          <w:p w14:paraId="0153C3A1">
            <w:pPr>
              <w:spacing w:before="65" w:line="228" w:lineRule="auto"/>
              <w:ind w:left="647"/>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验收标</w:t>
            </w:r>
            <w:r>
              <w:rPr>
                <w:rFonts w:ascii="宋体" w:hAnsi="宋体" w:eastAsia="宋体" w:cs="宋体"/>
                <w:spacing w:val="8"/>
                <w:sz w:val="20"/>
                <w:szCs w:val="20"/>
                <w14:textOutline w14:w="3795" w14:cap="sq" w14:cmpd="sng">
                  <w14:solidFill>
                    <w14:srgbClr w14:val="000000"/>
                  </w14:solidFill>
                  <w14:prstDash w14:val="solid"/>
                  <w14:bevel/>
                </w14:textOutline>
              </w:rPr>
              <w:t>准</w:t>
            </w:r>
          </w:p>
        </w:tc>
      </w:tr>
      <w:tr w14:paraId="5BC7C9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480" w:type="dxa"/>
            <w:vMerge w:val="restart"/>
            <w:tcBorders>
              <w:left w:val="nil"/>
              <w:bottom w:val="nil"/>
              <w:right w:val="single" w:color="000000" w:sz="4" w:space="0"/>
            </w:tcBorders>
            <w:vAlign w:val="top"/>
          </w:tcPr>
          <w:p w14:paraId="1C514DBD">
            <w:pPr>
              <w:rPr>
                <w:rFonts w:ascii="Arial"/>
                <w:sz w:val="21"/>
              </w:rPr>
            </w:pPr>
          </w:p>
          <w:p w14:paraId="628C2222">
            <w:pPr>
              <w:rPr>
                <w:rFonts w:ascii="Arial"/>
                <w:sz w:val="21"/>
              </w:rPr>
            </w:pPr>
          </w:p>
          <w:p w14:paraId="3B27147E">
            <w:pPr>
              <w:rPr>
                <w:rFonts w:ascii="Arial"/>
                <w:sz w:val="21"/>
              </w:rPr>
            </w:pPr>
          </w:p>
          <w:p w14:paraId="639C2F46">
            <w:pPr>
              <w:rPr>
                <w:rFonts w:ascii="Arial"/>
                <w:sz w:val="21"/>
              </w:rPr>
            </w:pPr>
          </w:p>
          <w:p w14:paraId="78E1BAA9">
            <w:pPr>
              <w:rPr>
                <w:rFonts w:ascii="Arial"/>
                <w:sz w:val="21"/>
              </w:rPr>
            </w:pPr>
          </w:p>
          <w:p w14:paraId="5C3F2425">
            <w:pPr>
              <w:rPr>
                <w:rFonts w:ascii="Arial"/>
                <w:sz w:val="21"/>
              </w:rPr>
            </w:pPr>
          </w:p>
          <w:p w14:paraId="5CF75E8E">
            <w:pPr>
              <w:rPr>
                <w:rFonts w:ascii="Arial"/>
                <w:sz w:val="21"/>
              </w:rPr>
            </w:pPr>
          </w:p>
          <w:p w14:paraId="02FB9A10">
            <w:pPr>
              <w:rPr>
                <w:rFonts w:ascii="Arial"/>
                <w:sz w:val="21"/>
              </w:rPr>
            </w:pPr>
          </w:p>
          <w:p w14:paraId="51348027">
            <w:pPr>
              <w:rPr>
                <w:rFonts w:ascii="Arial"/>
                <w:sz w:val="21"/>
              </w:rPr>
            </w:pPr>
          </w:p>
          <w:p w14:paraId="4345B2C5">
            <w:pPr>
              <w:rPr>
                <w:rFonts w:ascii="Arial"/>
                <w:sz w:val="21"/>
              </w:rPr>
            </w:pPr>
          </w:p>
          <w:p w14:paraId="0EA44F59">
            <w:pPr>
              <w:rPr>
                <w:rFonts w:ascii="Arial"/>
                <w:sz w:val="21"/>
              </w:rPr>
            </w:pPr>
          </w:p>
          <w:p w14:paraId="4CAAB731">
            <w:pPr>
              <w:spacing w:line="241" w:lineRule="auto"/>
              <w:rPr>
                <w:rFonts w:ascii="Arial"/>
                <w:sz w:val="21"/>
              </w:rPr>
            </w:pPr>
          </w:p>
          <w:p w14:paraId="59B964BC">
            <w:pPr>
              <w:spacing w:before="65" w:line="228" w:lineRule="auto"/>
              <w:ind w:left="33"/>
              <w:rPr>
                <w:rFonts w:ascii="宋体" w:hAnsi="宋体" w:eastAsia="宋体" w:cs="宋体"/>
                <w:sz w:val="20"/>
                <w:szCs w:val="20"/>
              </w:rPr>
            </w:pPr>
            <w:r>
              <w:rPr>
                <w:rFonts w:ascii="宋体" w:hAnsi="宋体" w:eastAsia="宋体" w:cs="宋体"/>
                <w:spacing w:val="5"/>
                <w:sz w:val="20"/>
                <w:szCs w:val="20"/>
              </w:rPr>
              <w:t>废气</w:t>
            </w:r>
          </w:p>
        </w:tc>
        <w:tc>
          <w:tcPr>
            <w:tcW w:w="510" w:type="dxa"/>
            <w:tcBorders>
              <w:left w:val="single" w:color="000000" w:sz="4" w:space="0"/>
              <w:right w:val="single" w:color="000000" w:sz="4" w:space="0"/>
            </w:tcBorders>
            <w:vAlign w:val="top"/>
          </w:tcPr>
          <w:p w14:paraId="242B5FBA">
            <w:pPr>
              <w:spacing w:line="400" w:lineRule="auto"/>
              <w:rPr>
                <w:rFonts w:ascii="Arial"/>
                <w:sz w:val="21"/>
              </w:rPr>
            </w:pPr>
          </w:p>
          <w:p w14:paraId="40000E17">
            <w:pPr>
              <w:spacing w:before="65" w:line="276" w:lineRule="auto"/>
              <w:ind w:left="52" w:right="41" w:hanging="5"/>
              <w:rPr>
                <w:rFonts w:ascii="宋体" w:hAnsi="宋体" w:eastAsia="宋体" w:cs="宋体"/>
                <w:sz w:val="20"/>
                <w:szCs w:val="20"/>
              </w:rPr>
            </w:pPr>
            <w:r>
              <w:rPr>
                <w:rFonts w:ascii="宋体" w:hAnsi="宋体" w:eastAsia="宋体" w:cs="宋体"/>
                <w:spacing w:val="5"/>
                <w:sz w:val="20"/>
                <w:szCs w:val="20"/>
              </w:rPr>
              <w:t>粉尘</w:t>
            </w:r>
            <w:r>
              <w:rPr>
                <w:rFonts w:ascii="宋体" w:hAnsi="宋体" w:eastAsia="宋体" w:cs="宋体"/>
                <w:sz w:val="20"/>
                <w:szCs w:val="20"/>
              </w:rPr>
              <w:t xml:space="preserve"> </w:t>
            </w:r>
            <w:r>
              <w:rPr>
                <w:rFonts w:ascii="宋体" w:hAnsi="宋体" w:eastAsia="宋体" w:cs="宋体"/>
                <w:spacing w:val="2"/>
                <w:sz w:val="20"/>
                <w:szCs w:val="20"/>
              </w:rPr>
              <w:t>治理</w:t>
            </w:r>
          </w:p>
        </w:tc>
        <w:tc>
          <w:tcPr>
            <w:tcW w:w="1170" w:type="dxa"/>
            <w:tcBorders>
              <w:left w:val="single" w:color="000000" w:sz="4" w:space="0"/>
              <w:right w:val="single" w:color="000000" w:sz="4" w:space="0"/>
            </w:tcBorders>
            <w:vAlign w:val="top"/>
          </w:tcPr>
          <w:p w14:paraId="3960A058">
            <w:pPr>
              <w:spacing w:line="269" w:lineRule="auto"/>
              <w:rPr>
                <w:rFonts w:ascii="Arial"/>
                <w:sz w:val="21"/>
              </w:rPr>
            </w:pPr>
          </w:p>
          <w:p w14:paraId="0512AE76">
            <w:pPr>
              <w:spacing w:line="269" w:lineRule="auto"/>
              <w:rPr>
                <w:rFonts w:ascii="Arial"/>
                <w:sz w:val="21"/>
              </w:rPr>
            </w:pPr>
          </w:p>
          <w:p w14:paraId="5E23B978">
            <w:pPr>
              <w:spacing w:before="65" w:line="228" w:lineRule="auto"/>
              <w:ind w:left="170"/>
              <w:rPr>
                <w:rFonts w:ascii="宋体" w:hAnsi="宋体" w:eastAsia="宋体" w:cs="宋体"/>
                <w:sz w:val="20"/>
                <w:szCs w:val="20"/>
              </w:rPr>
            </w:pPr>
            <w:r>
              <w:rPr>
                <w:rFonts w:ascii="宋体" w:hAnsi="宋体" w:eastAsia="宋体" w:cs="宋体"/>
                <w:spacing w:val="9"/>
                <w:sz w:val="20"/>
                <w:szCs w:val="20"/>
              </w:rPr>
              <w:t>分</w:t>
            </w:r>
            <w:r>
              <w:rPr>
                <w:rFonts w:ascii="宋体" w:hAnsi="宋体" w:eastAsia="宋体" w:cs="宋体"/>
                <w:spacing w:val="6"/>
                <w:sz w:val="20"/>
                <w:szCs w:val="20"/>
              </w:rPr>
              <w:t>拣工序</w:t>
            </w:r>
          </w:p>
        </w:tc>
        <w:tc>
          <w:tcPr>
            <w:tcW w:w="645" w:type="dxa"/>
            <w:tcBorders>
              <w:left w:val="single" w:color="000000" w:sz="4" w:space="0"/>
              <w:right w:val="single" w:color="000000" w:sz="4" w:space="0"/>
            </w:tcBorders>
            <w:vAlign w:val="top"/>
          </w:tcPr>
          <w:p w14:paraId="2B6DAA57">
            <w:pPr>
              <w:spacing w:line="269" w:lineRule="auto"/>
              <w:rPr>
                <w:rFonts w:ascii="Arial"/>
                <w:sz w:val="21"/>
              </w:rPr>
            </w:pPr>
          </w:p>
          <w:p w14:paraId="4C15969E">
            <w:pPr>
              <w:spacing w:line="269" w:lineRule="auto"/>
              <w:rPr>
                <w:rFonts w:ascii="Arial"/>
                <w:sz w:val="21"/>
              </w:rPr>
            </w:pPr>
          </w:p>
          <w:p w14:paraId="1C42C31A">
            <w:pPr>
              <w:spacing w:before="65" w:line="228" w:lineRule="auto"/>
              <w:ind w:left="115"/>
              <w:rPr>
                <w:rFonts w:ascii="宋体" w:hAnsi="宋体" w:eastAsia="宋体" w:cs="宋体"/>
                <w:sz w:val="20"/>
                <w:szCs w:val="20"/>
              </w:rPr>
            </w:pPr>
            <w:r>
              <w:rPr>
                <w:rFonts w:ascii="宋体" w:hAnsi="宋体" w:eastAsia="宋体" w:cs="宋体"/>
                <w:spacing w:val="5"/>
                <w:sz w:val="20"/>
                <w:szCs w:val="20"/>
              </w:rPr>
              <w:t>粉尘</w:t>
            </w:r>
          </w:p>
        </w:tc>
        <w:tc>
          <w:tcPr>
            <w:tcW w:w="2781" w:type="dxa"/>
            <w:tcBorders>
              <w:left w:val="single" w:color="000000" w:sz="4" w:space="0"/>
              <w:right w:val="single" w:color="000000" w:sz="4" w:space="0"/>
            </w:tcBorders>
            <w:vAlign w:val="top"/>
          </w:tcPr>
          <w:p w14:paraId="712EFC6A">
            <w:pPr>
              <w:spacing w:line="269" w:lineRule="auto"/>
              <w:rPr>
                <w:rFonts w:ascii="Arial"/>
                <w:sz w:val="21"/>
              </w:rPr>
            </w:pPr>
          </w:p>
          <w:p w14:paraId="4D567246">
            <w:pPr>
              <w:spacing w:line="269" w:lineRule="auto"/>
              <w:rPr>
                <w:rFonts w:ascii="Arial"/>
                <w:sz w:val="21"/>
              </w:rPr>
            </w:pPr>
          </w:p>
          <w:p w14:paraId="0650A550">
            <w:pPr>
              <w:spacing w:before="65" w:line="228" w:lineRule="auto"/>
              <w:ind w:left="302"/>
              <w:rPr>
                <w:rFonts w:ascii="宋体" w:hAnsi="宋体" w:eastAsia="宋体" w:cs="宋体"/>
                <w:sz w:val="20"/>
                <w:szCs w:val="20"/>
              </w:rPr>
            </w:pPr>
            <w:r>
              <w:rPr>
                <w:rFonts w:ascii="宋体" w:hAnsi="宋体" w:eastAsia="宋体" w:cs="宋体"/>
                <w:spacing w:val="-2"/>
                <w:sz w:val="20"/>
                <w:szCs w:val="20"/>
              </w:rPr>
              <w:t>在生产厂房内无</w:t>
            </w:r>
            <w:r>
              <w:rPr>
                <w:rFonts w:ascii="宋体" w:hAnsi="宋体" w:eastAsia="宋体" w:cs="宋体"/>
                <w:spacing w:val="-1"/>
                <w:sz w:val="20"/>
                <w:szCs w:val="20"/>
              </w:rPr>
              <w:t>组织排放</w:t>
            </w:r>
          </w:p>
        </w:tc>
        <w:tc>
          <w:tcPr>
            <w:tcW w:w="594" w:type="dxa"/>
            <w:tcBorders>
              <w:left w:val="single" w:color="000000" w:sz="4" w:space="0"/>
              <w:right w:val="single" w:color="000000" w:sz="4" w:space="0"/>
            </w:tcBorders>
            <w:vAlign w:val="top"/>
          </w:tcPr>
          <w:p w14:paraId="76BA2128">
            <w:pPr>
              <w:spacing w:line="269" w:lineRule="auto"/>
              <w:rPr>
                <w:rFonts w:ascii="Arial"/>
                <w:sz w:val="21"/>
              </w:rPr>
            </w:pPr>
          </w:p>
          <w:p w14:paraId="69B542C2">
            <w:pPr>
              <w:spacing w:line="270" w:lineRule="auto"/>
              <w:rPr>
                <w:rFonts w:ascii="Arial"/>
                <w:sz w:val="21"/>
              </w:rPr>
            </w:pPr>
          </w:p>
          <w:p w14:paraId="3EADDF23">
            <w:pPr>
              <w:spacing w:before="65" w:line="228" w:lineRule="auto"/>
              <w:ind w:left="93"/>
              <w:rPr>
                <w:rFonts w:ascii="宋体" w:hAnsi="宋体" w:eastAsia="宋体" w:cs="宋体"/>
                <w:sz w:val="20"/>
                <w:szCs w:val="20"/>
              </w:rPr>
            </w:pPr>
            <w:r>
              <w:rPr>
                <w:rFonts w:ascii="宋体" w:hAnsi="宋体" w:eastAsia="宋体" w:cs="宋体"/>
                <w:spacing w:val="4"/>
                <w:sz w:val="20"/>
                <w:szCs w:val="20"/>
              </w:rPr>
              <w:t>厂</w:t>
            </w:r>
            <w:r>
              <w:rPr>
                <w:rFonts w:ascii="宋体" w:hAnsi="宋体" w:eastAsia="宋体" w:cs="宋体"/>
                <w:spacing w:val="3"/>
                <w:sz w:val="20"/>
                <w:szCs w:val="20"/>
              </w:rPr>
              <w:t>界</w:t>
            </w:r>
          </w:p>
        </w:tc>
        <w:tc>
          <w:tcPr>
            <w:tcW w:w="2126" w:type="dxa"/>
            <w:tcBorders>
              <w:left w:val="single" w:color="000000" w:sz="4" w:space="0"/>
              <w:right w:val="nil"/>
            </w:tcBorders>
            <w:vAlign w:val="top"/>
          </w:tcPr>
          <w:p w14:paraId="14D53EA9">
            <w:pPr>
              <w:spacing w:before="48" w:line="258" w:lineRule="auto"/>
              <w:ind w:left="542" w:right="11" w:hanging="517"/>
              <w:rPr>
                <w:rFonts w:ascii="宋体" w:hAnsi="宋体" w:eastAsia="宋体" w:cs="宋体"/>
                <w:sz w:val="20"/>
                <w:szCs w:val="20"/>
              </w:rPr>
            </w:pPr>
            <w:r>
              <w:rPr>
                <w:rFonts w:ascii="宋体" w:hAnsi="宋体" w:eastAsia="宋体" w:cs="宋体"/>
                <w:spacing w:val="12"/>
                <w:sz w:val="20"/>
                <w:szCs w:val="20"/>
              </w:rPr>
              <w:t>《</w:t>
            </w:r>
            <w:r>
              <w:rPr>
                <w:rFonts w:ascii="宋体" w:hAnsi="宋体" w:eastAsia="宋体" w:cs="宋体"/>
                <w:spacing w:val="8"/>
                <w:sz w:val="20"/>
                <w:szCs w:val="20"/>
              </w:rPr>
              <w:t>合成树脂工业污染物</w:t>
            </w:r>
            <w:r>
              <w:rPr>
                <w:rFonts w:ascii="宋体" w:hAnsi="宋体" w:eastAsia="宋体" w:cs="宋体"/>
                <w:sz w:val="20"/>
                <w:szCs w:val="20"/>
              </w:rPr>
              <w:t xml:space="preserve"> </w:t>
            </w:r>
            <w:r>
              <w:rPr>
                <w:rFonts w:ascii="宋体" w:hAnsi="宋体" w:eastAsia="宋体" w:cs="宋体"/>
                <w:spacing w:val="6"/>
                <w:sz w:val="20"/>
                <w:szCs w:val="20"/>
              </w:rPr>
              <w:t>排放标准</w:t>
            </w:r>
            <w:r>
              <w:rPr>
                <w:rFonts w:ascii="宋体" w:hAnsi="宋体" w:eastAsia="宋体" w:cs="宋体"/>
                <w:spacing w:val="5"/>
                <w:sz w:val="20"/>
                <w:szCs w:val="20"/>
              </w:rPr>
              <w:t>》</w:t>
            </w:r>
          </w:p>
          <w:p w14:paraId="4F70FAD2">
            <w:pPr>
              <w:spacing w:line="229" w:lineRule="auto"/>
              <w:ind w:left="20"/>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8"/>
                <w:sz w:val="20"/>
                <w:szCs w:val="20"/>
              </w:rPr>
              <w:t>31572-2015</w:t>
            </w:r>
            <w:r>
              <w:rPr>
                <w:rFonts w:ascii="宋体" w:hAnsi="宋体" w:eastAsia="宋体" w:cs="宋体"/>
                <w:spacing w:val="8"/>
                <w:sz w:val="20"/>
                <w:szCs w:val="20"/>
              </w:rPr>
              <w:t xml:space="preserve">) 表 </w:t>
            </w:r>
            <w:r>
              <w:rPr>
                <w:rFonts w:ascii="Times New Roman" w:hAnsi="Times New Roman" w:eastAsia="Times New Roman" w:cs="Times New Roman"/>
                <w:spacing w:val="8"/>
                <w:sz w:val="20"/>
                <w:szCs w:val="20"/>
              </w:rPr>
              <w:t>9</w:t>
            </w:r>
          </w:p>
          <w:p w14:paraId="6C7D0EA3">
            <w:pPr>
              <w:spacing w:before="32"/>
              <w:ind w:left="266" w:right="116" w:hanging="124"/>
              <w:rPr>
                <w:rFonts w:ascii="宋体" w:hAnsi="宋体" w:eastAsia="宋体" w:cs="宋体"/>
                <w:sz w:val="20"/>
                <w:szCs w:val="20"/>
              </w:rPr>
            </w:pPr>
            <w:r>
              <w:rPr>
                <w:rFonts w:ascii="宋体" w:hAnsi="宋体" w:eastAsia="宋体" w:cs="宋体"/>
                <w:spacing w:val="7"/>
                <w:sz w:val="20"/>
                <w:szCs w:val="20"/>
              </w:rPr>
              <w:t>中</w:t>
            </w:r>
            <w:r>
              <w:rPr>
                <w:rFonts w:ascii="宋体" w:hAnsi="宋体" w:eastAsia="宋体" w:cs="宋体"/>
                <w:spacing w:val="6"/>
                <w:sz w:val="20"/>
                <w:szCs w:val="20"/>
              </w:rPr>
              <w:t>标准限值要求 (即</w:t>
            </w:r>
            <w:r>
              <w:rPr>
                <w:rFonts w:ascii="宋体" w:hAnsi="宋体" w:eastAsia="宋体" w:cs="宋体"/>
                <w:sz w:val="20"/>
                <w:szCs w:val="20"/>
              </w:rPr>
              <w:t xml:space="preserve"> </w:t>
            </w:r>
            <w:r>
              <w:rPr>
                <w:rFonts w:ascii="Times New Roman" w:hAnsi="Times New Roman" w:eastAsia="Times New Roman" w:cs="Times New Roman"/>
                <w:sz w:val="20"/>
                <w:szCs w:val="20"/>
              </w:rPr>
              <w:t>TSP</w:t>
            </w:r>
            <w:r>
              <w:rPr>
                <w:rFonts w:ascii="宋体" w:hAnsi="宋体" w:eastAsia="宋体" w:cs="宋体"/>
                <w:spacing w:val="8"/>
                <w:sz w:val="20"/>
                <w:szCs w:val="20"/>
              </w:rPr>
              <w:t>：</w:t>
            </w:r>
            <w:r>
              <w:rPr>
                <w:rFonts w:ascii="Times New Roman" w:hAnsi="Times New Roman" w:eastAsia="Times New Roman" w:cs="Times New Roman"/>
                <w:spacing w:val="7"/>
                <w:sz w:val="20"/>
                <w:szCs w:val="20"/>
              </w:rPr>
              <w:t>1 0</w:t>
            </w:r>
            <w:r>
              <w:rPr>
                <w:rFonts w:ascii="Times New Roman" w:hAnsi="Times New Roman" w:eastAsia="Times New Roman" w:cs="Times New Roman"/>
                <w:sz w:val="20"/>
                <w:szCs w:val="20"/>
              </w:rPr>
              <w:t>mg</w:t>
            </w:r>
            <w:r>
              <w:rPr>
                <w:rFonts w:ascii="Times New Roman" w:hAnsi="Times New Roman" w:eastAsia="Times New Roman" w:cs="Times New Roman"/>
                <w:spacing w:val="7"/>
                <w:sz w:val="20"/>
                <w:szCs w:val="20"/>
              </w:rPr>
              <w:t>/</w:t>
            </w:r>
            <w:r>
              <w:rPr>
                <w:rFonts w:ascii="Times New Roman" w:hAnsi="Times New Roman" w:eastAsia="Times New Roman" w:cs="Times New Roman"/>
                <w:sz w:val="20"/>
                <w:szCs w:val="20"/>
              </w:rPr>
              <w:t>m</w:t>
            </w:r>
            <w:r>
              <w:rPr>
                <w:rFonts w:ascii="Times New Roman" w:hAnsi="Times New Roman" w:eastAsia="Times New Roman" w:cs="Times New Roman"/>
                <w:spacing w:val="7"/>
                <w:position w:val="6"/>
                <w:sz w:val="13"/>
                <w:szCs w:val="13"/>
              </w:rPr>
              <w:t xml:space="preserve">3 </w:t>
            </w:r>
            <w:r>
              <w:rPr>
                <w:rFonts w:ascii="宋体" w:hAnsi="宋体" w:eastAsia="宋体" w:cs="宋体"/>
                <w:spacing w:val="7"/>
                <w:sz w:val="20"/>
                <w:szCs w:val="20"/>
              </w:rPr>
              <w:t>)</w:t>
            </w:r>
          </w:p>
        </w:tc>
      </w:tr>
      <w:tr w14:paraId="5E75C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6" w:hRule="atLeast"/>
        </w:trPr>
        <w:tc>
          <w:tcPr>
            <w:tcW w:w="480" w:type="dxa"/>
            <w:vMerge w:val="continue"/>
            <w:tcBorders>
              <w:top w:val="nil"/>
              <w:left w:val="nil"/>
              <w:bottom w:val="nil"/>
              <w:right w:val="single" w:color="000000" w:sz="4" w:space="0"/>
            </w:tcBorders>
            <w:vAlign w:val="top"/>
          </w:tcPr>
          <w:p w14:paraId="1BBBDD76">
            <w:pPr>
              <w:rPr>
                <w:rFonts w:ascii="Arial"/>
                <w:sz w:val="21"/>
              </w:rPr>
            </w:pPr>
          </w:p>
        </w:tc>
        <w:tc>
          <w:tcPr>
            <w:tcW w:w="510" w:type="dxa"/>
            <w:tcBorders>
              <w:left w:val="single" w:color="000000" w:sz="4" w:space="0"/>
              <w:right w:val="single" w:color="000000" w:sz="4" w:space="0"/>
            </w:tcBorders>
            <w:vAlign w:val="top"/>
          </w:tcPr>
          <w:p w14:paraId="16F45149">
            <w:pPr>
              <w:spacing w:line="275" w:lineRule="auto"/>
              <w:rPr>
                <w:rFonts w:ascii="Arial"/>
                <w:sz w:val="21"/>
              </w:rPr>
            </w:pPr>
          </w:p>
          <w:p w14:paraId="3C48D361">
            <w:pPr>
              <w:spacing w:line="275" w:lineRule="auto"/>
              <w:rPr>
                <w:rFonts w:ascii="Arial"/>
                <w:sz w:val="21"/>
              </w:rPr>
            </w:pPr>
          </w:p>
          <w:p w14:paraId="316A299A">
            <w:pPr>
              <w:spacing w:line="276" w:lineRule="auto"/>
              <w:rPr>
                <w:rFonts w:ascii="Arial"/>
                <w:sz w:val="21"/>
              </w:rPr>
            </w:pPr>
          </w:p>
          <w:p w14:paraId="7D1CDA8A">
            <w:pPr>
              <w:spacing w:line="276" w:lineRule="auto"/>
              <w:rPr>
                <w:rFonts w:ascii="Arial"/>
                <w:sz w:val="21"/>
              </w:rPr>
            </w:pPr>
          </w:p>
          <w:p w14:paraId="38862259">
            <w:pPr>
              <w:spacing w:before="65" w:line="276" w:lineRule="auto"/>
              <w:ind w:left="52" w:right="41" w:hanging="5"/>
              <w:rPr>
                <w:rFonts w:ascii="宋体" w:hAnsi="宋体" w:eastAsia="宋体" w:cs="宋体"/>
                <w:sz w:val="20"/>
                <w:szCs w:val="20"/>
              </w:rPr>
            </w:pPr>
            <w:r>
              <w:rPr>
                <w:rFonts w:ascii="宋体" w:hAnsi="宋体" w:eastAsia="宋体" w:cs="宋体"/>
                <w:spacing w:val="5"/>
                <w:sz w:val="20"/>
                <w:szCs w:val="20"/>
              </w:rPr>
              <w:t>废气</w:t>
            </w:r>
            <w:r>
              <w:rPr>
                <w:rFonts w:ascii="宋体" w:hAnsi="宋体" w:eastAsia="宋体" w:cs="宋体"/>
                <w:sz w:val="20"/>
                <w:szCs w:val="20"/>
              </w:rPr>
              <w:t xml:space="preserve"> </w:t>
            </w:r>
            <w:r>
              <w:rPr>
                <w:rFonts w:ascii="宋体" w:hAnsi="宋体" w:eastAsia="宋体" w:cs="宋体"/>
                <w:spacing w:val="2"/>
                <w:sz w:val="20"/>
                <w:szCs w:val="20"/>
              </w:rPr>
              <w:t>治理</w:t>
            </w:r>
          </w:p>
        </w:tc>
        <w:tc>
          <w:tcPr>
            <w:tcW w:w="1170" w:type="dxa"/>
            <w:tcBorders>
              <w:left w:val="single" w:color="000000" w:sz="4" w:space="0"/>
              <w:right w:val="single" w:color="000000" w:sz="4" w:space="0"/>
            </w:tcBorders>
            <w:vAlign w:val="top"/>
          </w:tcPr>
          <w:p w14:paraId="30F092C6">
            <w:pPr>
              <w:spacing w:line="248" w:lineRule="auto"/>
              <w:rPr>
                <w:rFonts w:ascii="Arial"/>
                <w:sz w:val="21"/>
              </w:rPr>
            </w:pPr>
          </w:p>
          <w:p w14:paraId="3D271706">
            <w:pPr>
              <w:spacing w:line="248" w:lineRule="auto"/>
              <w:rPr>
                <w:rFonts w:ascii="Arial"/>
                <w:sz w:val="21"/>
              </w:rPr>
            </w:pPr>
          </w:p>
          <w:p w14:paraId="6F27E8C0">
            <w:pPr>
              <w:spacing w:line="248" w:lineRule="auto"/>
              <w:rPr>
                <w:rFonts w:ascii="Arial"/>
                <w:sz w:val="21"/>
              </w:rPr>
            </w:pPr>
          </w:p>
          <w:p w14:paraId="06D7BC0C">
            <w:pPr>
              <w:spacing w:line="248" w:lineRule="auto"/>
              <w:rPr>
                <w:rFonts w:ascii="Arial"/>
                <w:sz w:val="21"/>
              </w:rPr>
            </w:pPr>
          </w:p>
          <w:p w14:paraId="54ACBF15">
            <w:pPr>
              <w:spacing w:line="249" w:lineRule="auto"/>
              <w:rPr>
                <w:rFonts w:ascii="Arial"/>
                <w:sz w:val="21"/>
              </w:rPr>
            </w:pPr>
          </w:p>
          <w:p w14:paraId="16555A94">
            <w:pPr>
              <w:spacing w:before="65" w:line="228" w:lineRule="auto"/>
              <w:ind w:left="171"/>
              <w:rPr>
                <w:rFonts w:ascii="宋体" w:hAnsi="宋体" w:eastAsia="宋体" w:cs="宋体"/>
                <w:sz w:val="20"/>
                <w:szCs w:val="20"/>
              </w:rPr>
            </w:pPr>
            <w:r>
              <w:rPr>
                <w:rFonts w:ascii="宋体" w:hAnsi="宋体" w:eastAsia="宋体" w:cs="宋体"/>
                <w:spacing w:val="7"/>
                <w:sz w:val="20"/>
                <w:szCs w:val="20"/>
              </w:rPr>
              <w:t>热</w:t>
            </w:r>
            <w:r>
              <w:rPr>
                <w:rFonts w:ascii="宋体" w:hAnsi="宋体" w:eastAsia="宋体" w:cs="宋体"/>
                <w:spacing w:val="6"/>
                <w:sz w:val="20"/>
                <w:szCs w:val="20"/>
              </w:rPr>
              <w:t>熔造粒</w:t>
            </w:r>
          </w:p>
        </w:tc>
        <w:tc>
          <w:tcPr>
            <w:tcW w:w="645" w:type="dxa"/>
            <w:tcBorders>
              <w:left w:val="single" w:color="000000" w:sz="4" w:space="0"/>
              <w:right w:val="single" w:color="000000" w:sz="4" w:space="0"/>
            </w:tcBorders>
            <w:vAlign w:val="top"/>
          </w:tcPr>
          <w:p w14:paraId="114A56A1">
            <w:pPr>
              <w:spacing w:line="275" w:lineRule="auto"/>
              <w:rPr>
                <w:rFonts w:ascii="Arial"/>
                <w:sz w:val="21"/>
              </w:rPr>
            </w:pPr>
          </w:p>
          <w:p w14:paraId="5487D801">
            <w:pPr>
              <w:spacing w:line="275" w:lineRule="auto"/>
              <w:rPr>
                <w:rFonts w:ascii="Arial"/>
                <w:sz w:val="21"/>
              </w:rPr>
            </w:pPr>
          </w:p>
          <w:p w14:paraId="7901C487">
            <w:pPr>
              <w:spacing w:line="276" w:lineRule="auto"/>
              <w:rPr>
                <w:rFonts w:ascii="Arial"/>
                <w:sz w:val="21"/>
              </w:rPr>
            </w:pPr>
          </w:p>
          <w:p w14:paraId="582FFA68">
            <w:pPr>
              <w:spacing w:line="276" w:lineRule="auto"/>
              <w:rPr>
                <w:rFonts w:ascii="Arial"/>
                <w:sz w:val="21"/>
              </w:rPr>
            </w:pPr>
          </w:p>
          <w:p w14:paraId="3545E5FC">
            <w:pPr>
              <w:spacing w:before="65" w:line="274" w:lineRule="auto"/>
              <w:ind w:left="120" w:right="3" w:hanging="107"/>
              <w:rPr>
                <w:rFonts w:ascii="宋体" w:hAnsi="宋体" w:eastAsia="宋体" w:cs="宋体"/>
                <w:sz w:val="20"/>
                <w:szCs w:val="20"/>
              </w:rPr>
            </w:pPr>
            <w:r>
              <w:rPr>
                <w:rFonts w:ascii="宋体" w:hAnsi="宋体" w:eastAsia="宋体" w:cs="宋体"/>
                <w:spacing w:val="6"/>
                <w:sz w:val="20"/>
                <w:szCs w:val="20"/>
              </w:rPr>
              <w:t>非甲</w:t>
            </w:r>
            <w:r>
              <w:rPr>
                <w:rFonts w:ascii="宋体" w:hAnsi="宋体" w:eastAsia="宋体" w:cs="宋体"/>
                <w:spacing w:val="5"/>
                <w:sz w:val="20"/>
                <w:szCs w:val="20"/>
              </w:rPr>
              <w:t>烷</w:t>
            </w:r>
            <w:r>
              <w:rPr>
                <w:rFonts w:ascii="宋体" w:hAnsi="宋体" w:eastAsia="宋体" w:cs="宋体"/>
                <w:sz w:val="20"/>
                <w:szCs w:val="20"/>
              </w:rPr>
              <w:t xml:space="preserve"> </w:t>
            </w:r>
            <w:r>
              <w:rPr>
                <w:rFonts w:ascii="宋体" w:hAnsi="宋体" w:eastAsia="宋体" w:cs="宋体"/>
                <w:spacing w:val="2"/>
                <w:sz w:val="20"/>
                <w:szCs w:val="20"/>
              </w:rPr>
              <w:t>总烃</w:t>
            </w:r>
          </w:p>
        </w:tc>
        <w:tc>
          <w:tcPr>
            <w:tcW w:w="2781" w:type="dxa"/>
            <w:tcBorders>
              <w:left w:val="single" w:color="000000" w:sz="4" w:space="0"/>
              <w:right w:val="single" w:color="000000" w:sz="4" w:space="0"/>
            </w:tcBorders>
            <w:vAlign w:val="top"/>
          </w:tcPr>
          <w:p w14:paraId="696743BD">
            <w:pPr>
              <w:spacing w:before="56" w:line="283" w:lineRule="auto"/>
              <w:ind w:left="9" w:firstLine="4"/>
              <w:rPr>
                <w:rFonts w:ascii="宋体" w:hAnsi="宋体" w:eastAsia="宋体" w:cs="宋体"/>
                <w:sz w:val="20"/>
                <w:szCs w:val="20"/>
              </w:rPr>
            </w:pPr>
            <w:r>
              <w:rPr>
                <w:rFonts w:ascii="宋体" w:hAnsi="宋体" w:eastAsia="宋体" w:cs="宋体"/>
                <w:spacing w:val="-8"/>
                <w:sz w:val="20"/>
                <w:szCs w:val="20"/>
              </w:rPr>
              <w:t xml:space="preserve">该项目每 </w:t>
            </w:r>
            <w:r>
              <w:rPr>
                <w:rFonts w:ascii="Times New Roman" w:hAnsi="Times New Roman" w:eastAsia="Times New Roman" w:cs="Times New Roman"/>
                <w:spacing w:val="-8"/>
                <w:sz w:val="20"/>
                <w:szCs w:val="20"/>
              </w:rPr>
              <w:t xml:space="preserve">5 </w:t>
            </w:r>
            <w:r>
              <w:rPr>
                <w:rFonts w:ascii="宋体" w:hAnsi="宋体" w:eastAsia="宋体" w:cs="宋体"/>
                <w:spacing w:val="-8"/>
                <w:sz w:val="20"/>
                <w:szCs w:val="20"/>
              </w:rPr>
              <w:t xml:space="preserve">条生产线共用 </w:t>
            </w:r>
            <w:r>
              <w:rPr>
                <w:rFonts w:ascii="Times New Roman" w:hAnsi="Times New Roman" w:eastAsia="Times New Roman" w:cs="Times New Roman"/>
                <w:spacing w:val="-8"/>
                <w:sz w:val="20"/>
                <w:szCs w:val="20"/>
              </w:rPr>
              <w:t xml:space="preserve">1 </w:t>
            </w:r>
            <w:r>
              <w:rPr>
                <w:rFonts w:ascii="宋体" w:hAnsi="宋体" w:eastAsia="宋体" w:cs="宋体"/>
                <w:spacing w:val="-8"/>
                <w:sz w:val="20"/>
                <w:szCs w:val="20"/>
              </w:rPr>
              <w:t>套废</w:t>
            </w:r>
            <w:r>
              <w:rPr>
                <w:rFonts w:ascii="宋体" w:hAnsi="宋体" w:eastAsia="宋体" w:cs="宋体"/>
                <w:sz w:val="20"/>
                <w:szCs w:val="20"/>
              </w:rPr>
              <w:t xml:space="preserve"> </w:t>
            </w:r>
            <w:r>
              <w:rPr>
                <w:rFonts w:ascii="宋体" w:hAnsi="宋体" w:eastAsia="宋体" w:cs="宋体"/>
                <w:spacing w:val="-3"/>
                <w:sz w:val="20"/>
                <w:szCs w:val="20"/>
              </w:rPr>
              <w:t>气处理设施，集气罩收集后的</w:t>
            </w:r>
            <w:r>
              <w:rPr>
                <w:rFonts w:ascii="宋体" w:hAnsi="宋体" w:eastAsia="宋体" w:cs="宋体"/>
                <w:spacing w:val="-2"/>
                <w:sz w:val="20"/>
                <w:szCs w:val="20"/>
              </w:rPr>
              <w:t>有</w:t>
            </w:r>
            <w:r>
              <w:rPr>
                <w:rFonts w:ascii="宋体" w:hAnsi="宋体" w:eastAsia="宋体" w:cs="宋体"/>
                <w:sz w:val="20"/>
                <w:szCs w:val="20"/>
              </w:rPr>
              <w:t xml:space="preserve"> </w:t>
            </w:r>
            <w:r>
              <w:rPr>
                <w:rFonts w:ascii="宋体" w:hAnsi="宋体" w:eastAsia="宋体" w:cs="宋体"/>
                <w:spacing w:val="2"/>
                <w:sz w:val="20"/>
                <w:szCs w:val="20"/>
              </w:rPr>
              <w:t xml:space="preserve">机废气经由风量为 </w:t>
            </w:r>
            <w:r>
              <w:rPr>
                <w:rFonts w:ascii="Times New Roman" w:hAnsi="Times New Roman" w:eastAsia="Times New Roman" w:cs="Times New Roman"/>
                <w:spacing w:val="2"/>
                <w:sz w:val="20"/>
                <w:szCs w:val="20"/>
              </w:rPr>
              <w:t>5000</w:t>
            </w:r>
            <w:r>
              <w:rPr>
                <w:rFonts w:ascii="Times New Roman" w:hAnsi="Times New Roman" w:eastAsia="Times New Roman" w:cs="Times New Roman"/>
                <w:sz w:val="20"/>
                <w:szCs w:val="20"/>
              </w:rPr>
              <w:t>m</w:t>
            </w:r>
            <w:r>
              <w:rPr>
                <w:rFonts w:ascii="Times New Roman" w:hAnsi="Times New Roman" w:eastAsia="Times New Roman" w:cs="Times New Roman"/>
                <w:spacing w:val="2"/>
                <w:position w:val="6"/>
                <w:sz w:val="13"/>
                <w:szCs w:val="13"/>
              </w:rPr>
              <w:t>3</w:t>
            </w:r>
            <w:r>
              <w:rPr>
                <w:rFonts w:ascii="Times New Roman" w:hAnsi="Times New Roman" w:eastAsia="Times New Roman" w:cs="Times New Roman"/>
                <w:spacing w:val="2"/>
                <w:sz w:val="20"/>
                <w:szCs w:val="20"/>
              </w:rPr>
              <w:t>/</w:t>
            </w:r>
            <w:r>
              <w:rPr>
                <w:rFonts w:ascii="Times New Roman" w:hAnsi="Times New Roman" w:eastAsia="Times New Roman" w:cs="Times New Roman"/>
                <w:sz w:val="20"/>
                <w:szCs w:val="20"/>
              </w:rPr>
              <w:t>h</w:t>
            </w:r>
            <w:r>
              <w:rPr>
                <w:rFonts w:ascii="Times New Roman" w:hAnsi="Times New Roman" w:eastAsia="Times New Roman" w:cs="Times New Roman"/>
                <w:spacing w:val="2"/>
                <w:sz w:val="20"/>
                <w:szCs w:val="20"/>
              </w:rPr>
              <w:t xml:space="preserve"> </w:t>
            </w:r>
            <w:r>
              <w:rPr>
                <w:rFonts w:ascii="宋体" w:hAnsi="宋体" w:eastAsia="宋体" w:cs="宋体"/>
                <w:spacing w:val="1"/>
                <w:sz w:val="20"/>
                <w:szCs w:val="20"/>
              </w:rPr>
              <w:t>的</w:t>
            </w:r>
            <w:r>
              <w:rPr>
                <w:rFonts w:ascii="宋体" w:hAnsi="宋体" w:eastAsia="宋体" w:cs="宋体"/>
                <w:sz w:val="20"/>
                <w:szCs w:val="20"/>
              </w:rPr>
              <w:t xml:space="preserve"> </w:t>
            </w:r>
            <w:r>
              <w:rPr>
                <w:rFonts w:ascii="宋体" w:hAnsi="宋体" w:eastAsia="宋体" w:cs="宋体"/>
                <w:spacing w:val="12"/>
                <w:sz w:val="20"/>
                <w:szCs w:val="20"/>
              </w:rPr>
              <w:t>引风机抽入每个厂房内各自设</w:t>
            </w:r>
            <w:r>
              <w:rPr>
                <w:rFonts w:ascii="宋体" w:hAnsi="宋体" w:eastAsia="宋体" w:cs="宋体"/>
                <w:sz w:val="20"/>
                <w:szCs w:val="20"/>
              </w:rPr>
              <w:t xml:space="preserve"> </w:t>
            </w:r>
            <w:r>
              <w:rPr>
                <w:rFonts w:ascii="宋体" w:hAnsi="宋体" w:eastAsia="宋体" w:cs="宋体"/>
                <w:spacing w:val="-4"/>
                <w:sz w:val="20"/>
                <w:szCs w:val="20"/>
              </w:rPr>
              <w:t>置</w:t>
            </w:r>
            <w:r>
              <w:rPr>
                <w:rFonts w:ascii="宋体" w:hAnsi="宋体" w:eastAsia="宋体" w:cs="宋体"/>
                <w:spacing w:val="-3"/>
                <w:sz w:val="20"/>
                <w:szCs w:val="20"/>
              </w:rPr>
              <w:t>的</w:t>
            </w:r>
            <w:r>
              <w:rPr>
                <w:rFonts w:ascii="宋体" w:hAnsi="宋体" w:eastAsia="宋体" w:cs="宋体"/>
                <w:spacing w:val="-2"/>
                <w:sz w:val="20"/>
                <w:szCs w:val="20"/>
              </w:rPr>
              <w:t xml:space="preserve">废气治理装置中，经过 </w:t>
            </w:r>
            <w:r>
              <w:rPr>
                <w:rFonts w:ascii="Times New Roman" w:hAnsi="Times New Roman" w:eastAsia="Times New Roman" w:cs="Times New Roman"/>
                <w:spacing w:val="-2"/>
                <w:sz w:val="20"/>
                <w:szCs w:val="20"/>
              </w:rPr>
              <w:t>UV</w:t>
            </w:r>
            <w:r>
              <w:rPr>
                <w:rFonts w:ascii="Times New Roman" w:hAnsi="Times New Roman" w:eastAsia="Times New Roman" w:cs="Times New Roman"/>
                <w:sz w:val="20"/>
                <w:szCs w:val="20"/>
              </w:rPr>
              <w:t xml:space="preserve"> </w:t>
            </w:r>
            <w:r>
              <w:rPr>
                <w:rFonts w:ascii="宋体" w:hAnsi="宋体" w:eastAsia="宋体" w:cs="宋体"/>
                <w:spacing w:val="6"/>
                <w:sz w:val="20"/>
                <w:szCs w:val="20"/>
              </w:rPr>
              <w:t>光</w:t>
            </w:r>
            <w:r>
              <w:rPr>
                <w:rFonts w:ascii="宋体" w:hAnsi="宋体" w:eastAsia="宋体" w:cs="宋体"/>
                <w:spacing w:val="4"/>
                <w:sz w:val="20"/>
                <w:szCs w:val="20"/>
              </w:rPr>
              <w:t>氧</w:t>
            </w:r>
            <w:r>
              <w:rPr>
                <w:rFonts w:ascii="宋体" w:hAnsi="宋体" w:eastAsia="宋体" w:cs="宋体"/>
                <w:spacing w:val="3"/>
                <w:sz w:val="20"/>
                <w:szCs w:val="20"/>
              </w:rPr>
              <w:t>催化废气处理装置</w:t>
            </w:r>
            <w:r>
              <w:rPr>
                <w:rFonts w:ascii="Times New Roman" w:hAnsi="Times New Roman" w:eastAsia="Times New Roman" w:cs="Times New Roman"/>
                <w:spacing w:val="3"/>
                <w:sz w:val="20"/>
                <w:szCs w:val="20"/>
              </w:rPr>
              <w:t>+</w:t>
            </w:r>
            <w:r>
              <w:rPr>
                <w:rFonts w:ascii="宋体" w:hAnsi="宋体" w:eastAsia="宋体" w:cs="宋体"/>
                <w:spacing w:val="3"/>
                <w:sz w:val="20"/>
                <w:szCs w:val="20"/>
              </w:rPr>
              <w:t>活性炭</w:t>
            </w:r>
            <w:r>
              <w:rPr>
                <w:rFonts w:ascii="宋体" w:hAnsi="宋体" w:eastAsia="宋体" w:cs="宋体"/>
                <w:sz w:val="20"/>
                <w:szCs w:val="20"/>
              </w:rPr>
              <w:t xml:space="preserve"> </w:t>
            </w:r>
            <w:r>
              <w:rPr>
                <w:rFonts w:ascii="宋体" w:hAnsi="宋体" w:eastAsia="宋体" w:cs="宋体"/>
                <w:spacing w:val="6"/>
                <w:sz w:val="20"/>
                <w:szCs w:val="20"/>
              </w:rPr>
              <w:t>吸附装</w:t>
            </w:r>
            <w:r>
              <w:rPr>
                <w:rFonts w:ascii="宋体" w:hAnsi="宋体" w:eastAsia="宋体" w:cs="宋体"/>
                <w:spacing w:val="5"/>
                <w:sz w:val="20"/>
                <w:szCs w:val="20"/>
              </w:rPr>
              <w:t>置</w:t>
            </w:r>
            <w:r>
              <w:rPr>
                <w:rFonts w:ascii="宋体" w:hAnsi="宋体" w:eastAsia="宋体" w:cs="宋体"/>
                <w:spacing w:val="3"/>
                <w:sz w:val="20"/>
                <w:szCs w:val="20"/>
              </w:rPr>
              <w:t xml:space="preserve">处理后通过 </w:t>
            </w:r>
            <w:r>
              <w:rPr>
                <w:rFonts w:ascii="Times New Roman" w:hAnsi="Times New Roman" w:eastAsia="Times New Roman" w:cs="Times New Roman"/>
                <w:spacing w:val="3"/>
                <w:sz w:val="20"/>
                <w:szCs w:val="20"/>
              </w:rPr>
              <w:t>15</w:t>
            </w:r>
            <w:r>
              <w:rPr>
                <w:rFonts w:ascii="Times New Roman" w:hAnsi="Times New Roman" w:eastAsia="Times New Roman" w:cs="Times New Roman"/>
                <w:sz w:val="20"/>
                <w:szCs w:val="20"/>
              </w:rPr>
              <w:t>m</w:t>
            </w:r>
            <w:r>
              <w:rPr>
                <w:rFonts w:ascii="Times New Roman" w:hAnsi="Times New Roman" w:eastAsia="Times New Roman" w:cs="Times New Roman"/>
                <w:spacing w:val="3"/>
                <w:sz w:val="20"/>
                <w:szCs w:val="20"/>
              </w:rPr>
              <w:t xml:space="preserve"> </w:t>
            </w:r>
            <w:r>
              <w:rPr>
                <w:rFonts w:ascii="宋体" w:hAnsi="宋体" w:eastAsia="宋体" w:cs="宋体"/>
                <w:spacing w:val="3"/>
                <w:sz w:val="20"/>
                <w:szCs w:val="20"/>
              </w:rPr>
              <w:t>高排</w:t>
            </w:r>
            <w:r>
              <w:rPr>
                <w:rFonts w:ascii="宋体" w:hAnsi="宋体" w:eastAsia="宋体" w:cs="宋体"/>
                <w:sz w:val="20"/>
                <w:szCs w:val="20"/>
              </w:rPr>
              <w:t xml:space="preserve"> </w:t>
            </w:r>
            <w:r>
              <w:rPr>
                <w:rFonts w:ascii="宋体" w:hAnsi="宋体" w:eastAsia="宋体" w:cs="宋体"/>
                <w:spacing w:val="-10"/>
                <w:sz w:val="20"/>
                <w:szCs w:val="20"/>
              </w:rPr>
              <w:t>气筒</w:t>
            </w:r>
            <w:r>
              <w:rPr>
                <w:rFonts w:ascii="宋体" w:hAnsi="宋体" w:eastAsia="宋体" w:cs="宋体"/>
                <w:spacing w:val="-6"/>
                <w:sz w:val="20"/>
                <w:szCs w:val="20"/>
              </w:rPr>
              <w:t>有</w:t>
            </w:r>
            <w:r>
              <w:rPr>
                <w:rFonts w:ascii="宋体" w:hAnsi="宋体" w:eastAsia="宋体" w:cs="宋体"/>
                <w:spacing w:val="-5"/>
                <w:sz w:val="20"/>
                <w:szCs w:val="20"/>
              </w:rPr>
              <w:t xml:space="preserve">组织排放，共计 </w:t>
            </w:r>
            <w:r>
              <w:rPr>
                <w:rFonts w:ascii="Times New Roman" w:hAnsi="Times New Roman" w:eastAsia="Times New Roman" w:cs="Times New Roman"/>
                <w:spacing w:val="-5"/>
                <w:sz w:val="20"/>
                <w:szCs w:val="20"/>
              </w:rPr>
              <w:t xml:space="preserve">2 </w:t>
            </w:r>
            <w:r>
              <w:rPr>
                <w:rFonts w:ascii="宋体" w:hAnsi="宋体" w:eastAsia="宋体" w:cs="宋体"/>
                <w:spacing w:val="-5"/>
                <w:sz w:val="20"/>
                <w:szCs w:val="20"/>
              </w:rPr>
              <w:t>个排气</w:t>
            </w:r>
            <w:r>
              <w:rPr>
                <w:rFonts w:ascii="宋体" w:hAnsi="宋体" w:eastAsia="宋体" w:cs="宋体"/>
                <w:sz w:val="20"/>
                <w:szCs w:val="20"/>
              </w:rPr>
              <w:t xml:space="preserve"> </w:t>
            </w:r>
            <w:r>
              <w:rPr>
                <w:rFonts w:ascii="宋体" w:hAnsi="宋体" w:eastAsia="宋体" w:cs="宋体"/>
                <w:spacing w:val="-4"/>
                <w:sz w:val="20"/>
                <w:szCs w:val="20"/>
              </w:rPr>
              <w:t xml:space="preserve">筒 </w:t>
            </w:r>
            <w:r>
              <w:rPr>
                <w:rFonts w:ascii="宋体" w:hAnsi="宋体" w:eastAsia="宋体" w:cs="宋体"/>
                <w:spacing w:val="-3"/>
                <w:sz w:val="20"/>
                <w:szCs w:val="20"/>
              </w:rPr>
              <w:t>(</w:t>
            </w:r>
            <w:r>
              <w:rPr>
                <w:rFonts w:ascii="Times New Roman" w:hAnsi="Times New Roman" w:eastAsia="Times New Roman" w:cs="Times New Roman"/>
                <w:spacing w:val="-2"/>
                <w:sz w:val="20"/>
                <w:szCs w:val="20"/>
              </w:rPr>
              <w:t>1#</w:t>
            </w:r>
            <w:r>
              <w:rPr>
                <w:rFonts w:ascii="宋体" w:hAnsi="宋体" w:eastAsia="宋体" w:cs="宋体"/>
                <w:spacing w:val="-2"/>
                <w:sz w:val="20"/>
                <w:szCs w:val="20"/>
              </w:rPr>
              <w:t>排气筒、</w:t>
            </w:r>
            <w:r>
              <w:rPr>
                <w:rFonts w:ascii="Times New Roman" w:hAnsi="Times New Roman" w:eastAsia="Times New Roman" w:cs="Times New Roman"/>
                <w:spacing w:val="-2"/>
                <w:sz w:val="20"/>
                <w:szCs w:val="20"/>
              </w:rPr>
              <w:t>2#</w:t>
            </w:r>
            <w:r>
              <w:rPr>
                <w:rFonts w:ascii="宋体" w:hAnsi="宋体" w:eastAsia="宋体" w:cs="宋体"/>
                <w:spacing w:val="-2"/>
                <w:sz w:val="20"/>
                <w:szCs w:val="20"/>
              </w:rPr>
              <w:t>排气筒) 。</w:t>
            </w:r>
          </w:p>
        </w:tc>
        <w:tc>
          <w:tcPr>
            <w:tcW w:w="594" w:type="dxa"/>
            <w:tcBorders>
              <w:left w:val="single" w:color="000000" w:sz="4" w:space="0"/>
              <w:right w:val="single" w:color="000000" w:sz="4" w:space="0"/>
            </w:tcBorders>
            <w:textDirection w:val="tbRlV"/>
            <w:vAlign w:val="top"/>
          </w:tcPr>
          <w:p w14:paraId="4FA321AE">
            <w:pPr>
              <w:spacing w:before="188" w:line="216" w:lineRule="auto"/>
              <w:ind w:left="1035"/>
              <w:rPr>
                <w:rFonts w:ascii="宋体" w:hAnsi="宋体" w:eastAsia="宋体" w:cs="宋体"/>
                <w:sz w:val="20"/>
                <w:szCs w:val="20"/>
              </w:rPr>
            </w:pPr>
            <w:r>
              <w:rPr>
                <w:rFonts w:ascii="宋体" w:hAnsi="宋体" w:eastAsia="宋体" w:cs="宋体"/>
                <w:spacing w:val="-9"/>
                <w:sz w:val="20"/>
                <w:szCs w:val="20"/>
              </w:rPr>
              <w:t>排</w:t>
            </w:r>
            <w:r>
              <w:rPr>
                <w:rFonts w:ascii="宋体" w:hAnsi="宋体" w:eastAsia="宋体" w:cs="宋体"/>
                <w:spacing w:val="-6"/>
                <w:sz w:val="20"/>
                <w:szCs w:val="20"/>
              </w:rPr>
              <w:t xml:space="preserve"> 气 筒</w:t>
            </w:r>
          </w:p>
        </w:tc>
        <w:tc>
          <w:tcPr>
            <w:tcW w:w="2126" w:type="dxa"/>
            <w:tcBorders>
              <w:left w:val="single" w:color="000000" w:sz="4" w:space="0"/>
              <w:right w:val="nil"/>
            </w:tcBorders>
            <w:vAlign w:val="top"/>
          </w:tcPr>
          <w:p w14:paraId="4DE06B34">
            <w:pPr>
              <w:spacing w:line="342" w:lineRule="auto"/>
              <w:rPr>
                <w:rFonts w:ascii="Arial"/>
                <w:sz w:val="21"/>
              </w:rPr>
            </w:pPr>
          </w:p>
          <w:p w14:paraId="348EB7A2">
            <w:pPr>
              <w:spacing w:line="342" w:lineRule="auto"/>
              <w:rPr>
                <w:rFonts w:ascii="Arial"/>
                <w:sz w:val="21"/>
              </w:rPr>
            </w:pPr>
          </w:p>
          <w:p w14:paraId="4D236893">
            <w:pPr>
              <w:spacing w:before="65" w:line="228" w:lineRule="auto"/>
              <w:ind w:left="25"/>
              <w:rPr>
                <w:rFonts w:ascii="宋体" w:hAnsi="宋体" w:eastAsia="宋体" w:cs="宋体"/>
                <w:sz w:val="20"/>
                <w:szCs w:val="20"/>
              </w:rPr>
            </w:pPr>
            <w:r>
              <w:rPr>
                <w:rFonts w:ascii="宋体" w:hAnsi="宋体" w:eastAsia="宋体" w:cs="宋体"/>
                <w:spacing w:val="12"/>
                <w:sz w:val="20"/>
                <w:szCs w:val="20"/>
              </w:rPr>
              <w:t>《</w:t>
            </w:r>
            <w:r>
              <w:rPr>
                <w:rFonts w:ascii="宋体" w:hAnsi="宋体" w:eastAsia="宋体" w:cs="宋体"/>
                <w:spacing w:val="8"/>
                <w:sz w:val="20"/>
                <w:szCs w:val="20"/>
              </w:rPr>
              <w:t>合成树脂工业污染物</w:t>
            </w:r>
          </w:p>
          <w:p w14:paraId="3E04E4F2">
            <w:pPr>
              <w:spacing w:before="32" w:line="266" w:lineRule="auto"/>
              <w:ind w:left="20" w:right="24" w:firstLine="522"/>
              <w:rPr>
                <w:rFonts w:ascii="宋体" w:hAnsi="宋体" w:eastAsia="宋体" w:cs="宋体"/>
                <w:sz w:val="20"/>
                <w:szCs w:val="20"/>
              </w:rPr>
            </w:pPr>
            <w:r>
              <w:rPr>
                <w:rFonts w:ascii="宋体" w:hAnsi="宋体" w:eastAsia="宋体" w:cs="宋体"/>
                <w:spacing w:val="8"/>
                <w:sz w:val="20"/>
                <w:szCs w:val="20"/>
              </w:rPr>
              <w:t>排</w:t>
            </w:r>
            <w:r>
              <w:rPr>
                <w:rFonts w:ascii="宋体" w:hAnsi="宋体" w:eastAsia="宋体" w:cs="宋体"/>
                <w:spacing w:val="5"/>
                <w:sz w:val="20"/>
                <w:szCs w:val="20"/>
              </w:rPr>
              <w:t>放标准》</w:t>
            </w:r>
            <w:r>
              <w:rPr>
                <w:rFonts w:ascii="宋体" w:hAnsi="宋体" w:eastAsia="宋体" w:cs="宋体"/>
                <w:sz w:val="20"/>
                <w:szCs w:val="20"/>
              </w:rPr>
              <w:t xml:space="preserve">     </w:t>
            </w:r>
            <w:r>
              <w:rPr>
                <w:rFonts w:ascii="宋体" w:hAnsi="宋体" w:eastAsia="宋体" w:cs="宋体"/>
                <w:spacing w:val="11"/>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8"/>
                <w:sz w:val="20"/>
                <w:szCs w:val="20"/>
              </w:rPr>
              <w:t>31572-2015</w:t>
            </w:r>
            <w:r>
              <w:rPr>
                <w:rFonts w:ascii="宋体" w:hAnsi="宋体" w:eastAsia="宋体" w:cs="宋体"/>
                <w:spacing w:val="8"/>
                <w:sz w:val="20"/>
                <w:szCs w:val="20"/>
              </w:rPr>
              <w:t xml:space="preserve">) 表 </w:t>
            </w:r>
            <w:r>
              <w:rPr>
                <w:rFonts w:ascii="Times New Roman" w:hAnsi="Times New Roman" w:eastAsia="Times New Roman" w:cs="Times New Roman"/>
                <w:spacing w:val="8"/>
                <w:sz w:val="20"/>
                <w:szCs w:val="20"/>
              </w:rPr>
              <w:t>4</w:t>
            </w:r>
            <w:r>
              <w:rPr>
                <w:rFonts w:ascii="Times New Roman" w:hAnsi="Times New Roman" w:eastAsia="Times New Roman" w:cs="Times New Roman"/>
                <w:sz w:val="20"/>
                <w:szCs w:val="20"/>
              </w:rPr>
              <w:t xml:space="preserve"> </w:t>
            </w:r>
            <w:r>
              <w:rPr>
                <w:rFonts w:ascii="宋体" w:hAnsi="宋体" w:eastAsia="宋体" w:cs="宋体"/>
                <w:spacing w:val="21"/>
                <w:sz w:val="20"/>
                <w:szCs w:val="20"/>
              </w:rPr>
              <w:t>中</w:t>
            </w:r>
            <w:r>
              <w:rPr>
                <w:rFonts w:ascii="宋体" w:hAnsi="宋体" w:eastAsia="宋体" w:cs="宋体"/>
                <w:spacing w:val="18"/>
                <w:sz w:val="20"/>
                <w:szCs w:val="20"/>
              </w:rPr>
              <w:t>标准限值要求 (即</w:t>
            </w:r>
            <w:r>
              <w:rPr>
                <w:rFonts w:ascii="宋体" w:hAnsi="宋体" w:eastAsia="宋体" w:cs="宋体"/>
                <w:sz w:val="20"/>
                <w:szCs w:val="20"/>
              </w:rPr>
              <w:t xml:space="preserve"> </w:t>
            </w:r>
            <w:r>
              <w:rPr>
                <w:rFonts w:ascii="Times New Roman" w:hAnsi="Times New Roman" w:eastAsia="Times New Roman" w:cs="Times New Roman"/>
                <w:sz w:val="20"/>
                <w:szCs w:val="20"/>
              </w:rPr>
              <w:t>NMHC</w:t>
            </w:r>
            <w:r>
              <w:rPr>
                <w:rFonts w:ascii="宋体" w:hAnsi="宋体" w:eastAsia="宋体" w:cs="宋体"/>
                <w:spacing w:val="20"/>
                <w:sz w:val="20"/>
                <w:szCs w:val="20"/>
              </w:rPr>
              <w:t>：</w:t>
            </w:r>
            <w:r>
              <w:rPr>
                <w:rFonts w:ascii="Times New Roman" w:hAnsi="Times New Roman" w:eastAsia="Times New Roman" w:cs="Times New Roman"/>
                <w:spacing w:val="20"/>
                <w:sz w:val="20"/>
                <w:szCs w:val="20"/>
              </w:rPr>
              <w:t>100</w:t>
            </w:r>
            <w:r>
              <w:rPr>
                <w:rFonts w:ascii="Times New Roman" w:hAnsi="Times New Roman" w:eastAsia="Times New Roman" w:cs="Times New Roman"/>
                <w:sz w:val="20"/>
                <w:szCs w:val="20"/>
              </w:rPr>
              <w:t>mg</w:t>
            </w:r>
            <w:r>
              <w:rPr>
                <w:rFonts w:ascii="Times New Roman" w:hAnsi="Times New Roman" w:eastAsia="Times New Roman" w:cs="Times New Roman"/>
                <w:spacing w:val="20"/>
                <w:sz w:val="20"/>
                <w:szCs w:val="20"/>
              </w:rPr>
              <w:t>/</w:t>
            </w:r>
            <w:r>
              <w:rPr>
                <w:rFonts w:ascii="Times New Roman" w:hAnsi="Times New Roman" w:eastAsia="Times New Roman" w:cs="Times New Roman"/>
                <w:sz w:val="20"/>
                <w:szCs w:val="20"/>
              </w:rPr>
              <w:t>m</w:t>
            </w:r>
            <w:r>
              <w:rPr>
                <w:rFonts w:ascii="Times New Roman" w:hAnsi="Times New Roman" w:eastAsia="Times New Roman" w:cs="Times New Roman"/>
                <w:spacing w:val="20"/>
                <w:position w:val="6"/>
                <w:sz w:val="13"/>
                <w:szCs w:val="13"/>
              </w:rPr>
              <w:t xml:space="preserve">3 </w:t>
            </w:r>
            <w:r>
              <w:rPr>
                <w:rFonts w:ascii="宋体" w:hAnsi="宋体" w:eastAsia="宋体" w:cs="宋体"/>
                <w:spacing w:val="19"/>
                <w:sz w:val="20"/>
                <w:szCs w:val="20"/>
              </w:rPr>
              <w:t>)</w:t>
            </w:r>
          </w:p>
        </w:tc>
      </w:tr>
      <w:tr w14:paraId="21E53B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1" w:hRule="atLeast"/>
        </w:trPr>
        <w:tc>
          <w:tcPr>
            <w:tcW w:w="480" w:type="dxa"/>
            <w:vMerge w:val="continue"/>
            <w:tcBorders>
              <w:top w:val="nil"/>
              <w:left w:val="nil"/>
              <w:right w:val="single" w:color="000000" w:sz="4" w:space="0"/>
            </w:tcBorders>
            <w:vAlign w:val="top"/>
          </w:tcPr>
          <w:p w14:paraId="0553488C">
            <w:pPr>
              <w:rPr>
                <w:rFonts w:ascii="Arial"/>
                <w:sz w:val="21"/>
              </w:rPr>
            </w:pPr>
          </w:p>
        </w:tc>
        <w:tc>
          <w:tcPr>
            <w:tcW w:w="510" w:type="dxa"/>
            <w:tcBorders>
              <w:left w:val="single" w:color="000000" w:sz="4" w:space="0"/>
              <w:right w:val="single" w:color="000000" w:sz="4" w:space="0"/>
            </w:tcBorders>
            <w:vAlign w:val="top"/>
          </w:tcPr>
          <w:p w14:paraId="23FCC1BD">
            <w:pPr>
              <w:spacing w:line="319" w:lineRule="auto"/>
              <w:rPr>
                <w:rFonts w:ascii="Arial"/>
                <w:sz w:val="21"/>
              </w:rPr>
            </w:pPr>
          </w:p>
          <w:p w14:paraId="4D6D98EF">
            <w:pPr>
              <w:spacing w:line="319" w:lineRule="auto"/>
              <w:rPr>
                <w:rFonts w:ascii="Arial"/>
                <w:sz w:val="21"/>
              </w:rPr>
            </w:pPr>
          </w:p>
          <w:p w14:paraId="0A95DA08">
            <w:pPr>
              <w:spacing w:before="65" w:line="276" w:lineRule="auto"/>
              <w:ind w:left="52" w:right="41" w:hanging="5"/>
              <w:rPr>
                <w:rFonts w:ascii="宋体" w:hAnsi="宋体" w:eastAsia="宋体" w:cs="宋体"/>
                <w:sz w:val="20"/>
                <w:szCs w:val="20"/>
              </w:rPr>
            </w:pPr>
            <w:r>
              <w:rPr>
                <w:rFonts w:ascii="宋体" w:hAnsi="宋体" w:eastAsia="宋体" w:cs="宋体"/>
                <w:spacing w:val="5"/>
                <w:sz w:val="20"/>
                <w:szCs w:val="20"/>
              </w:rPr>
              <w:t>废气</w:t>
            </w:r>
            <w:r>
              <w:rPr>
                <w:rFonts w:ascii="宋体" w:hAnsi="宋体" w:eastAsia="宋体" w:cs="宋体"/>
                <w:sz w:val="20"/>
                <w:szCs w:val="20"/>
              </w:rPr>
              <w:t xml:space="preserve"> </w:t>
            </w:r>
            <w:r>
              <w:rPr>
                <w:rFonts w:ascii="宋体" w:hAnsi="宋体" w:eastAsia="宋体" w:cs="宋体"/>
                <w:spacing w:val="2"/>
                <w:sz w:val="20"/>
                <w:szCs w:val="20"/>
              </w:rPr>
              <w:t>治理</w:t>
            </w:r>
          </w:p>
        </w:tc>
        <w:tc>
          <w:tcPr>
            <w:tcW w:w="1170" w:type="dxa"/>
            <w:tcBorders>
              <w:left w:val="single" w:color="000000" w:sz="4" w:space="0"/>
              <w:right w:val="single" w:color="000000" w:sz="4" w:space="0"/>
            </w:tcBorders>
            <w:vAlign w:val="top"/>
          </w:tcPr>
          <w:p w14:paraId="6616DF11">
            <w:pPr>
              <w:spacing w:line="256" w:lineRule="auto"/>
              <w:rPr>
                <w:rFonts w:ascii="Arial"/>
                <w:sz w:val="21"/>
              </w:rPr>
            </w:pPr>
          </w:p>
          <w:p w14:paraId="1D9CE262">
            <w:pPr>
              <w:spacing w:line="257" w:lineRule="auto"/>
              <w:rPr>
                <w:rFonts w:ascii="Arial"/>
                <w:sz w:val="21"/>
              </w:rPr>
            </w:pPr>
          </w:p>
          <w:p w14:paraId="39F2CDE0">
            <w:pPr>
              <w:spacing w:line="257" w:lineRule="auto"/>
              <w:rPr>
                <w:rFonts w:ascii="Arial"/>
                <w:sz w:val="21"/>
              </w:rPr>
            </w:pPr>
          </w:p>
          <w:p w14:paraId="5D860858">
            <w:pPr>
              <w:spacing w:before="65" w:line="228" w:lineRule="auto"/>
              <w:ind w:left="277"/>
              <w:rPr>
                <w:rFonts w:ascii="宋体" w:hAnsi="宋体" w:eastAsia="宋体" w:cs="宋体"/>
                <w:sz w:val="20"/>
                <w:szCs w:val="20"/>
              </w:rPr>
            </w:pPr>
            <w:r>
              <w:rPr>
                <w:rFonts w:ascii="宋体" w:hAnsi="宋体" w:eastAsia="宋体" w:cs="宋体"/>
                <w:spacing w:val="6"/>
                <w:sz w:val="20"/>
                <w:szCs w:val="20"/>
              </w:rPr>
              <w:t>热</w:t>
            </w:r>
            <w:r>
              <w:rPr>
                <w:rFonts w:ascii="宋体" w:hAnsi="宋体" w:eastAsia="宋体" w:cs="宋体"/>
                <w:spacing w:val="5"/>
                <w:sz w:val="20"/>
                <w:szCs w:val="20"/>
              </w:rPr>
              <w:t>风炉</w:t>
            </w:r>
          </w:p>
        </w:tc>
        <w:tc>
          <w:tcPr>
            <w:tcW w:w="645" w:type="dxa"/>
            <w:tcBorders>
              <w:left w:val="single" w:color="000000" w:sz="4" w:space="0"/>
              <w:right w:val="single" w:color="000000" w:sz="4" w:space="0"/>
            </w:tcBorders>
            <w:vAlign w:val="top"/>
          </w:tcPr>
          <w:p w14:paraId="02038FA6">
            <w:pPr>
              <w:spacing w:line="249" w:lineRule="auto"/>
              <w:rPr>
                <w:rFonts w:ascii="Arial"/>
                <w:sz w:val="21"/>
              </w:rPr>
            </w:pPr>
          </w:p>
          <w:p w14:paraId="31FBC34F">
            <w:pPr>
              <w:spacing w:line="250" w:lineRule="auto"/>
              <w:rPr>
                <w:rFonts w:ascii="Arial"/>
                <w:sz w:val="21"/>
              </w:rPr>
            </w:pPr>
          </w:p>
          <w:p w14:paraId="0EEA33A4">
            <w:pPr>
              <w:spacing w:before="65" w:line="306" w:lineRule="auto"/>
              <w:ind w:left="10" w:right="26" w:hanging="5"/>
              <w:jc w:val="right"/>
              <w:rPr>
                <w:rFonts w:ascii="Times New Roman" w:hAnsi="Times New Roman" w:eastAsia="Times New Roman" w:cs="Times New Roman"/>
                <w:sz w:val="13"/>
                <w:szCs w:val="13"/>
              </w:rPr>
            </w:pPr>
            <w:r>
              <w:rPr>
                <w:rFonts w:ascii="Times New Roman" w:hAnsi="Times New Roman" w:eastAsia="Times New Roman" w:cs="Times New Roman"/>
                <w:spacing w:val="-3"/>
                <w:sz w:val="20"/>
                <w:szCs w:val="20"/>
              </w:rPr>
              <w:t>PM</w:t>
            </w:r>
            <w:r>
              <w:rPr>
                <w:rFonts w:ascii="Times New Roman" w:hAnsi="Times New Roman" w:eastAsia="Times New Roman" w:cs="Times New Roman"/>
                <w:spacing w:val="-5"/>
                <w:position w:val="-1"/>
                <w:sz w:val="13"/>
                <w:szCs w:val="13"/>
              </w:rPr>
              <w:t>1</w:t>
            </w:r>
            <w:r>
              <w:rPr>
                <w:rFonts w:ascii="Times New Roman" w:hAnsi="Times New Roman" w:eastAsia="Times New Roman" w:cs="Times New Roman"/>
                <w:spacing w:val="-3"/>
                <w:position w:val="-1"/>
                <w:sz w:val="13"/>
                <w:szCs w:val="13"/>
              </w:rPr>
              <w:t>0</w:t>
            </w:r>
            <w:r>
              <w:rPr>
                <w:rFonts w:ascii="宋体" w:hAnsi="宋体" w:eastAsia="宋体" w:cs="宋体"/>
                <w:spacing w:val="-3"/>
                <w:sz w:val="20"/>
                <w:szCs w:val="20"/>
              </w:rPr>
              <w:t>、</w:t>
            </w:r>
            <w:r>
              <w:rPr>
                <w:rFonts w:ascii="宋体" w:hAnsi="宋体" w:eastAsia="宋体" w:cs="宋体"/>
                <w:sz w:val="20"/>
                <w:szCs w:val="20"/>
              </w:rPr>
              <w:t xml:space="preserve"> </w:t>
            </w:r>
            <w:r>
              <w:rPr>
                <w:rFonts w:ascii="Times New Roman" w:hAnsi="Times New Roman" w:eastAsia="Times New Roman" w:cs="Times New Roman"/>
                <w:sz w:val="20"/>
                <w:szCs w:val="20"/>
              </w:rPr>
              <w:t>NOx</w:t>
            </w:r>
            <w:r>
              <w:rPr>
                <w:rFonts w:ascii="宋体" w:hAnsi="宋体" w:eastAsia="宋体" w:cs="宋体"/>
                <w:spacing w:val="7"/>
                <w:sz w:val="20"/>
                <w:szCs w:val="20"/>
              </w:rPr>
              <w:t>、</w:t>
            </w:r>
            <w:r>
              <w:rPr>
                <w:rFonts w:ascii="宋体" w:hAnsi="宋体" w:eastAsia="宋体" w:cs="宋体"/>
                <w:sz w:val="20"/>
                <w:szCs w:val="20"/>
              </w:rPr>
              <w:t xml:space="preserve"> </w:t>
            </w:r>
            <w:r>
              <w:rPr>
                <w:rFonts w:ascii="Times New Roman" w:hAnsi="Times New Roman" w:eastAsia="Times New Roman" w:cs="Times New Roman"/>
                <w:spacing w:val="-1"/>
                <w:sz w:val="20"/>
                <w:szCs w:val="20"/>
              </w:rPr>
              <w:t>S</w:t>
            </w:r>
            <w:r>
              <w:rPr>
                <w:rFonts w:ascii="Times New Roman" w:hAnsi="Times New Roman" w:eastAsia="Times New Roman" w:cs="Times New Roman"/>
                <w:sz w:val="20"/>
                <w:szCs w:val="20"/>
              </w:rPr>
              <w:t>O</w:t>
            </w:r>
            <w:r>
              <w:rPr>
                <w:rFonts w:ascii="Times New Roman" w:hAnsi="Times New Roman" w:eastAsia="Times New Roman" w:cs="Times New Roman"/>
                <w:spacing w:val="-1"/>
                <w:position w:val="-1"/>
                <w:sz w:val="13"/>
                <w:szCs w:val="13"/>
              </w:rPr>
              <w:t>2</w:t>
            </w:r>
          </w:p>
        </w:tc>
        <w:tc>
          <w:tcPr>
            <w:tcW w:w="2781" w:type="dxa"/>
            <w:tcBorders>
              <w:left w:val="single" w:color="000000" w:sz="4" w:space="0"/>
              <w:right w:val="single" w:color="000000" w:sz="4" w:space="0"/>
            </w:tcBorders>
            <w:vAlign w:val="top"/>
          </w:tcPr>
          <w:p w14:paraId="17E31D4A">
            <w:pPr>
              <w:spacing w:before="61" w:line="283" w:lineRule="auto"/>
              <w:ind w:left="10" w:firstLine="3"/>
              <w:rPr>
                <w:rFonts w:ascii="宋体" w:hAnsi="宋体" w:eastAsia="宋体" w:cs="宋体"/>
                <w:sz w:val="20"/>
                <w:szCs w:val="20"/>
              </w:rPr>
            </w:pPr>
            <w:r>
              <w:rPr>
                <w:rFonts w:ascii="宋体" w:hAnsi="宋体" w:eastAsia="宋体" w:cs="宋体"/>
                <w:spacing w:val="-12"/>
                <w:sz w:val="20"/>
                <w:szCs w:val="20"/>
              </w:rPr>
              <w:t xml:space="preserve">该项目洗字工序设有 </w:t>
            </w:r>
            <w:r>
              <w:rPr>
                <w:rFonts w:ascii="Times New Roman" w:hAnsi="Times New Roman" w:eastAsia="Times New Roman" w:cs="Times New Roman"/>
                <w:spacing w:val="-12"/>
                <w:sz w:val="20"/>
                <w:szCs w:val="20"/>
              </w:rPr>
              <w:t xml:space="preserve">1 </w:t>
            </w:r>
            <w:r>
              <w:rPr>
                <w:rFonts w:ascii="宋体" w:hAnsi="宋体" w:eastAsia="宋体" w:cs="宋体"/>
                <w:spacing w:val="-12"/>
                <w:sz w:val="20"/>
                <w:szCs w:val="20"/>
              </w:rPr>
              <w:t>个容积为</w:t>
            </w:r>
            <w:r>
              <w:rPr>
                <w:rFonts w:ascii="宋体" w:hAnsi="宋体" w:eastAsia="宋体" w:cs="宋体"/>
                <w:sz w:val="20"/>
                <w:szCs w:val="20"/>
              </w:rPr>
              <w:t xml:space="preserve"> </w:t>
            </w:r>
            <w:r>
              <w:rPr>
                <w:rFonts w:ascii="Times New Roman" w:hAnsi="Times New Roman" w:eastAsia="Times New Roman" w:cs="Times New Roman"/>
                <w:spacing w:val="-22"/>
                <w:sz w:val="20"/>
                <w:szCs w:val="20"/>
              </w:rPr>
              <w:t>6</w:t>
            </w:r>
            <w:r>
              <w:rPr>
                <w:rFonts w:ascii="Times New Roman" w:hAnsi="Times New Roman" w:eastAsia="Times New Roman" w:cs="Times New Roman"/>
                <w:spacing w:val="-11"/>
                <w:sz w:val="20"/>
                <w:szCs w:val="20"/>
              </w:rPr>
              <w:t>m</w:t>
            </w:r>
            <w:r>
              <w:rPr>
                <w:rFonts w:ascii="Times New Roman" w:hAnsi="Times New Roman" w:eastAsia="Times New Roman" w:cs="Times New Roman"/>
                <w:spacing w:val="-11"/>
                <w:position w:val="6"/>
                <w:sz w:val="13"/>
                <w:szCs w:val="13"/>
              </w:rPr>
              <w:t xml:space="preserve">3 </w:t>
            </w:r>
            <w:r>
              <w:rPr>
                <w:rFonts w:ascii="宋体" w:hAnsi="宋体" w:eastAsia="宋体" w:cs="宋体"/>
                <w:spacing w:val="-11"/>
                <w:sz w:val="20"/>
                <w:szCs w:val="20"/>
              </w:rPr>
              <w:t>的洗字槽 (</w:t>
            </w:r>
            <w:r>
              <w:rPr>
                <w:rFonts w:ascii="Times New Roman" w:hAnsi="Times New Roman" w:eastAsia="Times New Roman" w:cs="Times New Roman"/>
                <w:spacing w:val="-11"/>
                <w:sz w:val="20"/>
                <w:szCs w:val="20"/>
              </w:rPr>
              <w:t>2.5m×1.2m×2m</w:t>
            </w:r>
            <w:r>
              <w:rPr>
                <w:rFonts w:ascii="宋体" w:hAnsi="宋体" w:eastAsia="宋体" w:cs="宋体"/>
                <w:spacing w:val="-11"/>
                <w:sz w:val="20"/>
                <w:szCs w:val="20"/>
              </w:rPr>
              <w:t>) ，</w:t>
            </w:r>
            <w:r>
              <w:rPr>
                <w:rFonts w:ascii="宋体" w:hAnsi="宋体" w:eastAsia="宋体" w:cs="宋体"/>
                <w:sz w:val="20"/>
                <w:szCs w:val="20"/>
              </w:rPr>
              <w:t xml:space="preserve"> </w:t>
            </w:r>
            <w:r>
              <w:rPr>
                <w:rFonts w:ascii="宋体" w:hAnsi="宋体" w:eastAsia="宋体" w:cs="宋体"/>
                <w:spacing w:val="-20"/>
                <w:sz w:val="20"/>
                <w:szCs w:val="20"/>
              </w:rPr>
              <w:t>配</w:t>
            </w:r>
            <w:r>
              <w:rPr>
                <w:rFonts w:ascii="宋体" w:hAnsi="宋体" w:eastAsia="宋体" w:cs="宋体"/>
                <w:spacing w:val="-12"/>
                <w:sz w:val="20"/>
                <w:szCs w:val="20"/>
              </w:rPr>
              <w:t xml:space="preserve">套设有 </w:t>
            </w:r>
            <w:r>
              <w:rPr>
                <w:rFonts w:ascii="Times New Roman" w:hAnsi="Times New Roman" w:eastAsia="Times New Roman" w:cs="Times New Roman"/>
                <w:spacing w:val="-12"/>
                <w:sz w:val="20"/>
                <w:szCs w:val="20"/>
              </w:rPr>
              <w:t xml:space="preserve">1 </w:t>
            </w:r>
            <w:r>
              <w:rPr>
                <w:rFonts w:ascii="宋体" w:hAnsi="宋体" w:eastAsia="宋体" w:cs="宋体"/>
                <w:spacing w:val="-12"/>
                <w:sz w:val="20"/>
                <w:szCs w:val="20"/>
              </w:rPr>
              <w:t xml:space="preserve">台 </w:t>
            </w:r>
            <w:r>
              <w:rPr>
                <w:rFonts w:ascii="Times New Roman" w:hAnsi="Times New Roman" w:eastAsia="Times New Roman" w:cs="Times New Roman"/>
                <w:spacing w:val="-12"/>
                <w:sz w:val="20"/>
                <w:szCs w:val="20"/>
              </w:rPr>
              <w:t xml:space="preserve">2t/h </w:t>
            </w:r>
            <w:r>
              <w:rPr>
                <w:rFonts w:ascii="宋体" w:hAnsi="宋体" w:eastAsia="宋体" w:cs="宋体"/>
                <w:spacing w:val="-12"/>
                <w:sz w:val="20"/>
                <w:szCs w:val="20"/>
              </w:rPr>
              <w:t>的热风炉，产</w:t>
            </w:r>
            <w:r>
              <w:rPr>
                <w:rFonts w:ascii="宋体" w:hAnsi="宋体" w:eastAsia="宋体" w:cs="宋体"/>
                <w:sz w:val="20"/>
                <w:szCs w:val="20"/>
              </w:rPr>
              <w:t xml:space="preserve"> </w:t>
            </w:r>
            <w:r>
              <w:rPr>
                <w:rFonts w:ascii="宋体" w:hAnsi="宋体" w:eastAsia="宋体" w:cs="宋体"/>
                <w:spacing w:val="8"/>
                <w:sz w:val="20"/>
                <w:szCs w:val="20"/>
              </w:rPr>
              <w:t>生的</w:t>
            </w:r>
            <w:r>
              <w:rPr>
                <w:rFonts w:ascii="宋体" w:hAnsi="宋体" w:eastAsia="宋体" w:cs="宋体"/>
                <w:spacing w:val="5"/>
                <w:sz w:val="20"/>
                <w:szCs w:val="20"/>
              </w:rPr>
              <w:t>废</w:t>
            </w:r>
            <w:r>
              <w:rPr>
                <w:rFonts w:ascii="宋体" w:hAnsi="宋体" w:eastAsia="宋体" w:cs="宋体"/>
                <w:spacing w:val="4"/>
                <w:sz w:val="20"/>
                <w:szCs w:val="20"/>
              </w:rPr>
              <w:t>气经配套的布袋除尘器</w:t>
            </w:r>
            <w:r>
              <w:rPr>
                <w:rFonts w:ascii="宋体" w:hAnsi="宋体" w:eastAsia="宋体" w:cs="宋体"/>
                <w:sz w:val="20"/>
                <w:szCs w:val="20"/>
              </w:rPr>
              <w:t xml:space="preserve"> </w:t>
            </w:r>
            <w:r>
              <w:rPr>
                <w:rFonts w:ascii="宋体" w:hAnsi="宋体" w:eastAsia="宋体" w:cs="宋体"/>
                <w:spacing w:val="-17"/>
                <w:sz w:val="20"/>
                <w:szCs w:val="20"/>
              </w:rPr>
              <w:t>处</w:t>
            </w:r>
            <w:r>
              <w:rPr>
                <w:rFonts w:ascii="宋体" w:hAnsi="宋体" w:eastAsia="宋体" w:cs="宋体"/>
                <w:spacing w:val="-16"/>
                <w:sz w:val="20"/>
                <w:szCs w:val="20"/>
              </w:rPr>
              <w:t xml:space="preserve">理后，通过 </w:t>
            </w:r>
            <w:r>
              <w:rPr>
                <w:rFonts w:ascii="Times New Roman" w:hAnsi="Times New Roman" w:eastAsia="Times New Roman" w:cs="Times New Roman"/>
                <w:spacing w:val="-16"/>
                <w:sz w:val="20"/>
                <w:szCs w:val="20"/>
              </w:rPr>
              <w:t xml:space="preserve">1 </w:t>
            </w:r>
            <w:r>
              <w:rPr>
                <w:rFonts w:ascii="宋体" w:hAnsi="宋体" w:eastAsia="宋体" w:cs="宋体"/>
                <w:spacing w:val="-16"/>
                <w:sz w:val="20"/>
                <w:szCs w:val="20"/>
              </w:rPr>
              <w:t xml:space="preserve">个 </w:t>
            </w:r>
            <w:r>
              <w:rPr>
                <w:rFonts w:ascii="Times New Roman" w:hAnsi="Times New Roman" w:eastAsia="Times New Roman" w:cs="Times New Roman"/>
                <w:spacing w:val="-16"/>
                <w:sz w:val="20"/>
                <w:szCs w:val="20"/>
              </w:rPr>
              <w:t>3#</w:t>
            </w:r>
            <w:r>
              <w:rPr>
                <w:rFonts w:ascii="宋体" w:hAnsi="宋体" w:eastAsia="宋体" w:cs="宋体"/>
                <w:spacing w:val="-16"/>
                <w:sz w:val="20"/>
                <w:szCs w:val="20"/>
              </w:rPr>
              <w:t>排气筒进行</w:t>
            </w:r>
            <w:r>
              <w:rPr>
                <w:rFonts w:ascii="宋体" w:hAnsi="宋体" w:eastAsia="宋体" w:cs="宋体"/>
                <w:sz w:val="20"/>
                <w:szCs w:val="20"/>
              </w:rPr>
              <w:t xml:space="preserve"> </w:t>
            </w:r>
            <w:r>
              <w:rPr>
                <w:rFonts w:ascii="宋体" w:hAnsi="宋体" w:eastAsia="宋体" w:cs="宋体"/>
                <w:spacing w:val="-14"/>
                <w:sz w:val="20"/>
                <w:szCs w:val="20"/>
              </w:rPr>
              <w:t>排</w:t>
            </w:r>
            <w:r>
              <w:rPr>
                <w:rFonts w:ascii="宋体" w:hAnsi="宋体" w:eastAsia="宋体" w:cs="宋体"/>
                <w:spacing w:val="-10"/>
                <w:sz w:val="20"/>
                <w:szCs w:val="20"/>
              </w:rPr>
              <w:t xml:space="preserve">放，排气筒高度为 </w:t>
            </w:r>
            <w:r>
              <w:rPr>
                <w:rFonts w:ascii="Times New Roman" w:hAnsi="Times New Roman" w:eastAsia="Times New Roman" w:cs="Times New Roman"/>
                <w:spacing w:val="-10"/>
                <w:sz w:val="20"/>
                <w:szCs w:val="20"/>
              </w:rPr>
              <w:t xml:space="preserve">30m  </w:t>
            </w:r>
            <w:r>
              <w:rPr>
                <w:rFonts w:ascii="宋体" w:hAnsi="宋体" w:eastAsia="宋体" w:cs="宋体"/>
                <w:spacing w:val="-10"/>
                <w:sz w:val="20"/>
                <w:szCs w:val="20"/>
              </w:rPr>
              <w:t>(新建</w:t>
            </w:r>
          </w:p>
        </w:tc>
        <w:tc>
          <w:tcPr>
            <w:tcW w:w="594" w:type="dxa"/>
            <w:tcBorders>
              <w:left w:val="single" w:color="000000" w:sz="4" w:space="0"/>
              <w:bottom w:val="nil"/>
              <w:right w:val="single" w:color="000000" w:sz="4" w:space="0"/>
            </w:tcBorders>
            <w:textDirection w:val="tbRlV"/>
            <w:vAlign w:val="top"/>
          </w:tcPr>
          <w:p w14:paraId="38B60534">
            <w:pPr>
              <w:spacing w:before="188" w:line="216" w:lineRule="auto"/>
              <w:ind w:left="568"/>
              <w:rPr>
                <w:rFonts w:ascii="宋体" w:hAnsi="宋体" w:eastAsia="宋体" w:cs="宋体"/>
                <w:sz w:val="20"/>
                <w:szCs w:val="20"/>
              </w:rPr>
            </w:pPr>
            <w:r>
              <w:rPr>
                <w:rFonts w:ascii="宋体" w:hAnsi="宋体" w:eastAsia="宋体" w:cs="宋体"/>
                <w:spacing w:val="-9"/>
                <w:sz w:val="20"/>
                <w:szCs w:val="20"/>
              </w:rPr>
              <w:t>排</w:t>
            </w:r>
            <w:r>
              <w:rPr>
                <w:rFonts w:ascii="宋体" w:hAnsi="宋体" w:eastAsia="宋体" w:cs="宋体"/>
                <w:spacing w:val="-6"/>
                <w:sz w:val="20"/>
                <w:szCs w:val="20"/>
              </w:rPr>
              <w:t xml:space="preserve"> 气 筒</w:t>
            </w:r>
          </w:p>
        </w:tc>
        <w:tc>
          <w:tcPr>
            <w:tcW w:w="2126" w:type="dxa"/>
            <w:tcBorders>
              <w:left w:val="single" w:color="000000" w:sz="4" w:space="0"/>
              <w:bottom w:val="nil"/>
              <w:right w:val="nil"/>
            </w:tcBorders>
            <w:vAlign w:val="top"/>
          </w:tcPr>
          <w:p w14:paraId="00AEDA4F">
            <w:pPr>
              <w:spacing w:line="250" w:lineRule="auto"/>
              <w:rPr>
                <w:rFonts w:ascii="Arial"/>
                <w:sz w:val="21"/>
              </w:rPr>
            </w:pPr>
          </w:p>
          <w:p w14:paraId="396FDA76">
            <w:pPr>
              <w:spacing w:line="250" w:lineRule="auto"/>
              <w:rPr>
                <w:rFonts w:ascii="Arial"/>
                <w:sz w:val="21"/>
              </w:rPr>
            </w:pPr>
          </w:p>
          <w:p w14:paraId="60A3D4D0">
            <w:pPr>
              <w:spacing w:before="65" w:line="258" w:lineRule="auto"/>
              <w:ind w:left="11" w:firstLine="31"/>
              <w:rPr>
                <w:rFonts w:ascii="宋体" w:hAnsi="宋体" w:eastAsia="宋体" w:cs="宋体"/>
                <w:sz w:val="20"/>
                <w:szCs w:val="20"/>
              </w:rPr>
            </w:pPr>
            <w:r>
              <w:rPr>
                <w:rFonts w:ascii="宋体" w:hAnsi="宋体" w:eastAsia="宋体" w:cs="宋体"/>
                <w:spacing w:val="-6"/>
                <w:sz w:val="20"/>
                <w:szCs w:val="20"/>
              </w:rPr>
              <w:t>《</w:t>
            </w:r>
            <w:r>
              <w:rPr>
                <w:rFonts w:ascii="宋体" w:hAnsi="宋体" w:eastAsia="宋体" w:cs="宋体"/>
                <w:spacing w:val="-4"/>
                <w:sz w:val="20"/>
                <w:szCs w:val="20"/>
              </w:rPr>
              <w:t>锅</w:t>
            </w:r>
            <w:r>
              <w:rPr>
                <w:rFonts w:ascii="宋体" w:hAnsi="宋体" w:eastAsia="宋体" w:cs="宋体"/>
                <w:spacing w:val="-3"/>
                <w:sz w:val="20"/>
                <w:szCs w:val="20"/>
              </w:rPr>
              <w:t>炉大气污染物排放</w:t>
            </w:r>
            <w:r>
              <w:rPr>
                <w:rFonts w:ascii="宋体" w:hAnsi="宋体" w:eastAsia="宋体" w:cs="宋体"/>
                <w:sz w:val="20"/>
                <w:szCs w:val="20"/>
              </w:rPr>
              <w:t xml:space="preserve"> </w:t>
            </w:r>
            <w:r>
              <w:rPr>
                <w:rFonts w:ascii="宋体" w:hAnsi="宋体" w:eastAsia="宋体" w:cs="宋体"/>
                <w:spacing w:val="-2"/>
                <w:sz w:val="20"/>
                <w:szCs w:val="20"/>
              </w:rPr>
              <w:t>标准》(</w:t>
            </w:r>
            <w:r>
              <w:rPr>
                <w:rFonts w:ascii="Times New Roman" w:hAnsi="Times New Roman" w:eastAsia="Times New Roman" w:cs="Times New Roman"/>
                <w:spacing w:val="-1"/>
                <w:sz w:val="20"/>
                <w:szCs w:val="20"/>
              </w:rPr>
              <w:t>G</w:t>
            </w:r>
            <w:r>
              <w:rPr>
                <w:rFonts w:ascii="Times New Roman" w:hAnsi="Times New Roman" w:eastAsia="Times New Roman" w:cs="Times New Roman"/>
                <w:sz w:val="20"/>
                <w:szCs w:val="20"/>
              </w:rPr>
              <w:t>B</w:t>
            </w:r>
            <w:r>
              <w:rPr>
                <w:rFonts w:ascii="Times New Roman" w:hAnsi="Times New Roman" w:eastAsia="Times New Roman" w:cs="Times New Roman"/>
                <w:spacing w:val="-2"/>
                <w:sz w:val="20"/>
                <w:szCs w:val="20"/>
              </w:rPr>
              <w:t>13271-2014</w:t>
            </w:r>
            <w:r>
              <w:rPr>
                <w:rFonts w:ascii="宋体" w:hAnsi="宋体" w:eastAsia="宋体" w:cs="宋体"/>
                <w:spacing w:val="-2"/>
                <w:sz w:val="20"/>
                <w:szCs w:val="20"/>
              </w:rPr>
              <w:t>)</w:t>
            </w:r>
          </w:p>
          <w:p w14:paraId="4B757E5E">
            <w:pPr>
              <w:spacing w:line="228" w:lineRule="auto"/>
              <w:ind w:left="347"/>
              <w:rPr>
                <w:rFonts w:ascii="宋体" w:hAnsi="宋体" w:eastAsia="宋体" w:cs="宋体"/>
                <w:sz w:val="20"/>
                <w:szCs w:val="20"/>
              </w:rPr>
            </w:pPr>
            <w:r>
              <w:rPr>
                <w:rFonts w:ascii="宋体" w:hAnsi="宋体" w:eastAsia="宋体" w:cs="宋体"/>
                <w:spacing w:val="-2"/>
                <w:sz w:val="20"/>
                <w:szCs w:val="20"/>
              </w:rPr>
              <w:t xml:space="preserve">表 </w:t>
            </w:r>
            <w:r>
              <w:rPr>
                <w:rFonts w:ascii="Times New Roman" w:hAnsi="Times New Roman" w:eastAsia="Times New Roman" w:cs="Times New Roman"/>
                <w:spacing w:val="-2"/>
                <w:sz w:val="20"/>
                <w:szCs w:val="20"/>
              </w:rPr>
              <w:t xml:space="preserve">3 </w:t>
            </w:r>
            <w:r>
              <w:rPr>
                <w:rFonts w:ascii="宋体" w:hAnsi="宋体" w:eastAsia="宋体" w:cs="宋体"/>
                <w:spacing w:val="-1"/>
                <w:sz w:val="20"/>
                <w:szCs w:val="20"/>
              </w:rPr>
              <w:t>中标准要求</w:t>
            </w:r>
          </w:p>
        </w:tc>
      </w:tr>
    </w:tbl>
    <w:p w14:paraId="1C093FCC">
      <w:pPr>
        <w:rPr>
          <w:rFonts w:ascii="Arial"/>
          <w:sz w:val="21"/>
        </w:rPr>
      </w:pPr>
    </w:p>
    <w:p w14:paraId="2CD61C05">
      <w:pPr>
        <w:sectPr>
          <w:headerReference r:id="rId329" w:type="default"/>
          <w:footerReference r:id="rId330" w:type="default"/>
          <w:pgSz w:w="11906" w:h="16839"/>
          <w:pgMar w:top="1132" w:right="1691" w:bottom="1182" w:left="1691" w:header="878" w:footer="1022" w:gutter="0"/>
          <w:cols w:space="720" w:num="1"/>
        </w:sectPr>
      </w:pPr>
    </w:p>
    <w:p w14:paraId="7D41D000">
      <w:r>
        <w:pict>
          <v:rect id="_x0000_s1385" o:spid="_x0000_s1385" o:spt="1" style="position:absolute;left:0pt;margin-left:90pt;margin-top:57.35pt;height:0.75pt;width:415.3pt;mso-position-horizontal-relative:page;mso-position-vertical-relative:page;z-index:252081152;mso-width-relative:page;mso-height-relative:page;" fillcolor="#000000" filled="t" stroked="f" coordsize="21600,21600" o:allowincell="f">
            <v:path/>
            <v:fill on="t" focussize="0,0"/>
            <v:stroke on="f"/>
            <v:imagedata o:title=""/>
            <o:lock v:ext="edit"/>
          </v:rect>
        </w:pict>
      </w:r>
    </w:p>
    <w:p w14:paraId="77C01CC1">
      <w:pPr>
        <w:spacing w:line="65" w:lineRule="exact"/>
      </w:pPr>
    </w:p>
    <w:tbl>
      <w:tblPr>
        <w:tblStyle w:val="4"/>
        <w:tblW w:w="8320"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0"/>
        <w:gridCol w:w="510"/>
        <w:gridCol w:w="1170"/>
        <w:gridCol w:w="645"/>
        <w:gridCol w:w="2780"/>
        <w:gridCol w:w="594"/>
        <w:gridCol w:w="2141"/>
      </w:tblGrid>
      <w:tr w14:paraId="7A65F1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3" w:hRule="atLeast"/>
        </w:trPr>
        <w:tc>
          <w:tcPr>
            <w:tcW w:w="480" w:type="dxa"/>
            <w:tcBorders>
              <w:left w:val="nil"/>
              <w:right w:val="single" w:color="000000" w:sz="4" w:space="0"/>
            </w:tcBorders>
            <w:vAlign w:val="top"/>
          </w:tcPr>
          <w:p w14:paraId="5ECD1E06">
            <w:pPr>
              <w:rPr>
                <w:rFonts w:ascii="Arial"/>
                <w:sz w:val="21"/>
              </w:rPr>
            </w:pPr>
          </w:p>
        </w:tc>
        <w:tc>
          <w:tcPr>
            <w:tcW w:w="510" w:type="dxa"/>
            <w:tcBorders>
              <w:left w:val="single" w:color="000000" w:sz="4" w:space="0"/>
              <w:right w:val="single" w:color="000000" w:sz="4" w:space="0"/>
            </w:tcBorders>
            <w:vAlign w:val="top"/>
          </w:tcPr>
          <w:p w14:paraId="12190FCB">
            <w:pPr>
              <w:rPr>
                <w:rFonts w:ascii="Arial"/>
                <w:sz w:val="21"/>
              </w:rPr>
            </w:pPr>
          </w:p>
        </w:tc>
        <w:tc>
          <w:tcPr>
            <w:tcW w:w="1170" w:type="dxa"/>
            <w:tcBorders>
              <w:left w:val="single" w:color="000000" w:sz="4" w:space="0"/>
              <w:right w:val="single" w:color="000000" w:sz="4" w:space="0"/>
            </w:tcBorders>
            <w:vAlign w:val="top"/>
          </w:tcPr>
          <w:p w14:paraId="0C001F51">
            <w:pPr>
              <w:rPr>
                <w:rFonts w:ascii="Arial"/>
                <w:sz w:val="21"/>
              </w:rPr>
            </w:pPr>
          </w:p>
        </w:tc>
        <w:tc>
          <w:tcPr>
            <w:tcW w:w="645" w:type="dxa"/>
            <w:tcBorders>
              <w:left w:val="single" w:color="000000" w:sz="4" w:space="0"/>
              <w:right w:val="single" w:color="000000" w:sz="4" w:space="0"/>
            </w:tcBorders>
            <w:vAlign w:val="top"/>
          </w:tcPr>
          <w:p w14:paraId="4326F0C2">
            <w:pPr>
              <w:rPr>
                <w:rFonts w:ascii="Arial"/>
                <w:sz w:val="21"/>
              </w:rPr>
            </w:pPr>
          </w:p>
        </w:tc>
        <w:tc>
          <w:tcPr>
            <w:tcW w:w="2780" w:type="dxa"/>
            <w:tcBorders>
              <w:left w:val="single" w:color="000000" w:sz="4" w:space="0"/>
              <w:right w:val="single" w:color="000000" w:sz="4" w:space="0"/>
            </w:tcBorders>
            <w:vAlign w:val="top"/>
          </w:tcPr>
          <w:p w14:paraId="6FD27150">
            <w:pPr>
              <w:spacing w:before="60" w:line="268" w:lineRule="auto"/>
              <w:ind w:left="12" w:hanging="2"/>
              <w:rPr>
                <w:rFonts w:ascii="宋体" w:hAnsi="宋体" w:eastAsia="宋体" w:cs="宋体"/>
                <w:sz w:val="20"/>
                <w:szCs w:val="20"/>
              </w:rPr>
            </w:pPr>
            <w:r>
              <w:rPr>
                <w:rFonts w:ascii="宋体" w:hAnsi="宋体" w:eastAsia="宋体" w:cs="宋体"/>
                <w:spacing w:val="1"/>
                <w:sz w:val="20"/>
                <w:szCs w:val="20"/>
              </w:rPr>
              <w:t>锅炉房</w:t>
            </w:r>
            <w:r>
              <w:rPr>
                <w:rFonts w:ascii="宋体" w:hAnsi="宋体" w:eastAsia="宋体" w:cs="宋体"/>
                <w:sz w:val="20"/>
                <w:szCs w:val="20"/>
              </w:rPr>
              <w:t xml:space="preserve">的烟囱周围半径 </w:t>
            </w:r>
            <w:r>
              <w:rPr>
                <w:rFonts w:ascii="Times New Roman" w:hAnsi="Times New Roman" w:eastAsia="Times New Roman" w:cs="Times New Roman"/>
                <w:sz w:val="20"/>
                <w:szCs w:val="20"/>
              </w:rPr>
              <w:t>200m</w:t>
            </w:r>
            <w:r>
              <w:rPr>
                <w:rFonts w:ascii="宋体" w:hAnsi="宋体" w:eastAsia="宋体" w:cs="宋体"/>
                <w:sz w:val="20"/>
                <w:szCs w:val="20"/>
              </w:rPr>
              <w:t xml:space="preserve">距 </w:t>
            </w:r>
            <w:r>
              <w:rPr>
                <w:rFonts w:ascii="宋体" w:hAnsi="宋体" w:eastAsia="宋体" w:cs="宋体"/>
                <w:spacing w:val="-5"/>
                <w:sz w:val="20"/>
                <w:szCs w:val="20"/>
              </w:rPr>
              <w:t>离</w:t>
            </w:r>
            <w:r>
              <w:rPr>
                <w:rFonts w:ascii="宋体" w:hAnsi="宋体" w:eastAsia="宋体" w:cs="宋体"/>
                <w:spacing w:val="-3"/>
                <w:sz w:val="20"/>
                <w:szCs w:val="20"/>
              </w:rPr>
              <w:t>内有建筑物时，其烟囱应高出</w:t>
            </w:r>
            <w:r>
              <w:rPr>
                <w:rFonts w:ascii="宋体" w:hAnsi="宋体" w:eastAsia="宋体" w:cs="宋体"/>
                <w:sz w:val="20"/>
                <w:szCs w:val="20"/>
              </w:rPr>
              <w:t xml:space="preserve"> </w:t>
            </w:r>
            <w:r>
              <w:rPr>
                <w:rFonts w:ascii="宋体" w:hAnsi="宋体" w:eastAsia="宋体" w:cs="宋体"/>
                <w:spacing w:val="-8"/>
                <w:sz w:val="20"/>
                <w:szCs w:val="20"/>
              </w:rPr>
              <w:t>最</w:t>
            </w:r>
            <w:r>
              <w:rPr>
                <w:rFonts w:ascii="宋体" w:hAnsi="宋体" w:eastAsia="宋体" w:cs="宋体"/>
                <w:spacing w:val="-6"/>
                <w:sz w:val="20"/>
                <w:szCs w:val="20"/>
              </w:rPr>
              <w:t xml:space="preserve">高建筑物 </w:t>
            </w:r>
            <w:r>
              <w:rPr>
                <w:rFonts w:ascii="Times New Roman" w:hAnsi="Times New Roman" w:eastAsia="Times New Roman" w:cs="Times New Roman"/>
                <w:spacing w:val="-6"/>
                <w:sz w:val="20"/>
                <w:szCs w:val="20"/>
              </w:rPr>
              <w:t xml:space="preserve">3m </w:t>
            </w:r>
            <w:r>
              <w:rPr>
                <w:rFonts w:ascii="宋体" w:hAnsi="宋体" w:eastAsia="宋体" w:cs="宋体"/>
                <w:spacing w:val="-6"/>
                <w:sz w:val="20"/>
                <w:szCs w:val="20"/>
              </w:rPr>
              <w:t>以上) 。</w:t>
            </w:r>
          </w:p>
        </w:tc>
        <w:tc>
          <w:tcPr>
            <w:tcW w:w="594" w:type="dxa"/>
            <w:tcBorders>
              <w:left w:val="single" w:color="000000" w:sz="4" w:space="0"/>
              <w:right w:val="single" w:color="000000" w:sz="4" w:space="0"/>
            </w:tcBorders>
            <w:vAlign w:val="top"/>
          </w:tcPr>
          <w:p w14:paraId="784FBF45">
            <w:pPr>
              <w:rPr>
                <w:rFonts w:ascii="Arial"/>
                <w:sz w:val="21"/>
              </w:rPr>
            </w:pPr>
          </w:p>
        </w:tc>
        <w:tc>
          <w:tcPr>
            <w:tcW w:w="2141" w:type="dxa"/>
            <w:tcBorders>
              <w:left w:val="single" w:color="000000" w:sz="4" w:space="0"/>
              <w:right w:val="nil"/>
            </w:tcBorders>
            <w:vAlign w:val="top"/>
          </w:tcPr>
          <w:p w14:paraId="7A98B5F3">
            <w:pPr>
              <w:rPr>
                <w:rFonts w:ascii="Arial"/>
                <w:sz w:val="21"/>
              </w:rPr>
            </w:pPr>
          </w:p>
        </w:tc>
      </w:tr>
      <w:tr w14:paraId="60BE1B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trPr>
        <w:tc>
          <w:tcPr>
            <w:tcW w:w="480" w:type="dxa"/>
            <w:vMerge w:val="restart"/>
            <w:tcBorders>
              <w:left w:val="nil"/>
              <w:bottom w:val="nil"/>
              <w:right w:val="single" w:color="000000" w:sz="4" w:space="0"/>
            </w:tcBorders>
            <w:vAlign w:val="top"/>
          </w:tcPr>
          <w:p w14:paraId="4B06202F">
            <w:pPr>
              <w:spacing w:line="246" w:lineRule="auto"/>
              <w:rPr>
                <w:rFonts w:ascii="Arial"/>
                <w:sz w:val="21"/>
              </w:rPr>
            </w:pPr>
          </w:p>
          <w:p w14:paraId="79A88592">
            <w:pPr>
              <w:spacing w:line="246" w:lineRule="auto"/>
              <w:rPr>
                <w:rFonts w:ascii="Arial"/>
                <w:sz w:val="21"/>
              </w:rPr>
            </w:pPr>
          </w:p>
          <w:p w14:paraId="6A4D5927">
            <w:pPr>
              <w:spacing w:line="246" w:lineRule="auto"/>
              <w:rPr>
                <w:rFonts w:ascii="Arial"/>
                <w:sz w:val="21"/>
              </w:rPr>
            </w:pPr>
          </w:p>
          <w:p w14:paraId="761EB732">
            <w:pPr>
              <w:spacing w:line="246" w:lineRule="auto"/>
              <w:rPr>
                <w:rFonts w:ascii="Arial"/>
                <w:sz w:val="21"/>
              </w:rPr>
            </w:pPr>
          </w:p>
          <w:p w14:paraId="0CBABD1F">
            <w:pPr>
              <w:spacing w:line="246" w:lineRule="auto"/>
              <w:rPr>
                <w:rFonts w:ascii="Arial"/>
                <w:sz w:val="21"/>
              </w:rPr>
            </w:pPr>
          </w:p>
          <w:p w14:paraId="52732792">
            <w:pPr>
              <w:spacing w:line="246" w:lineRule="auto"/>
              <w:rPr>
                <w:rFonts w:ascii="Arial"/>
                <w:sz w:val="21"/>
              </w:rPr>
            </w:pPr>
          </w:p>
          <w:p w14:paraId="0E4D856E">
            <w:pPr>
              <w:spacing w:line="246" w:lineRule="auto"/>
              <w:rPr>
                <w:rFonts w:ascii="Arial"/>
                <w:sz w:val="21"/>
              </w:rPr>
            </w:pPr>
          </w:p>
          <w:p w14:paraId="5157E3D5">
            <w:pPr>
              <w:spacing w:line="246" w:lineRule="auto"/>
              <w:rPr>
                <w:rFonts w:ascii="Arial"/>
                <w:sz w:val="21"/>
              </w:rPr>
            </w:pPr>
          </w:p>
          <w:p w14:paraId="71E0787B">
            <w:pPr>
              <w:spacing w:line="247" w:lineRule="auto"/>
              <w:rPr>
                <w:rFonts w:ascii="Arial"/>
                <w:sz w:val="21"/>
              </w:rPr>
            </w:pPr>
          </w:p>
          <w:p w14:paraId="60A08E07">
            <w:pPr>
              <w:spacing w:line="247" w:lineRule="auto"/>
              <w:rPr>
                <w:rFonts w:ascii="Arial"/>
                <w:sz w:val="21"/>
              </w:rPr>
            </w:pPr>
          </w:p>
          <w:p w14:paraId="3EAA1483">
            <w:pPr>
              <w:spacing w:line="247" w:lineRule="auto"/>
              <w:rPr>
                <w:rFonts w:ascii="Arial"/>
                <w:sz w:val="21"/>
              </w:rPr>
            </w:pPr>
          </w:p>
          <w:p w14:paraId="7A9FD373">
            <w:pPr>
              <w:spacing w:line="247" w:lineRule="auto"/>
              <w:rPr>
                <w:rFonts w:ascii="Arial"/>
                <w:sz w:val="21"/>
              </w:rPr>
            </w:pPr>
          </w:p>
          <w:p w14:paraId="5FBF0575">
            <w:pPr>
              <w:spacing w:line="247" w:lineRule="auto"/>
              <w:rPr>
                <w:rFonts w:ascii="Arial"/>
                <w:sz w:val="21"/>
              </w:rPr>
            </w:pPr>
          </w:p>
          <w:p w14:paraId="2C866F87">
            <w:pPr>
              <w:spacing w:line="247" w:lineRule="auto"/>
              <w:rPr>
                <w:rFonts w:ascii="Arial"/>
                <w:sz w:val="21"/>
              </w:rPr>
            </w:pPr>
          </w:p>
          <w:p w14:paraId="7E2911DF">
            <w:pPr>
              <w:spacing w:line="247" w:lineRule="auto"/>
              <w:rPr>
                <w:rFonts w:ascii="Arial"/>
                <w:sz w:val="21"/>
              </w:rPr>
            </w:pPr>
          </w:p>
          <w:p w14:paraId="56D38632">
            <w:pPr>
              <w:spacing w:line="247" w:lineRule="auto"/>
              <w:rPr>
                <w:rFonts w:ascii="Arial"/>
                <w:sz w:val="21"/>
              </w:rPr>
            </w:pPr>
          </w:p>
          <w:p w14:paraId="03497FC5">
            <w:pPr>
              <w:spacing w:line="247" w:lineRule="auto"/>
              <w:rPr>
                <w:rFonts w:ascii="Arial"/>
                <w:sz w:val="21"/>
              </w:rPr>
            </w:pPr>
          </w:p>
          <w:p w14:paraId="776BD328">
            <w:pPr>
              <w:spacing w:before="65" w:line="228" w:lineRule="auto"/>
              <w:ind w:left="33"/>
              <w:rPr>
                <w:rFonts w:ascii="宋体" w:hAnsi="宋体" w:eastAsia="宋体" w:cs="宋体"/>
                <w:sz w:val="20"/>
                <w:szCs w:val="20"/>
              </w:rPr>
            </w:pPr>
            <w:r>
              <w:rPr>
                <w:rFonts w:ascii="宋体" w:hAnsi="宋体" w:eastAsia="宋体" w:cs="宋体"/>
                <w:spacing w:val="5"/>
                <w:sz w:val="20"/>
                <w:szCs w:val="20"/>
              </w:rPr>
              <w:t>废水</w:t>
            </w:r>
          </w:p>
        </w:tc>
        <w:tc>
          <w:tcPr>
            <w:tcW w:w="510" w:type="dxa"/>
            <w:tcBorders>
              <w:left w:val="single" w:color="000000" w:sz="4" w:space="0"/>
              <w:right w:val="single" w:color="000000" w:sz="4" w:space="0"/>
            </w:tcBorders>
            <w:vAlign w:val="top"/>
          </w:tcPr>
          <w:p w14:paraId="20428E5C">
            <w:pPr>
              <w:spacing w:before="188" w:line="271" w:lineRule="auto"/>
              <w:ind w:left="50" w:right="41"/>
              <w:rPr>
                <w:rFonts w:ascii="宋体" w:hAnsi="宋体" w:eastAsia="宋体" w:cs="宋体"/>
                <w:sz w:val="20"/>
                <w:szCs w:val="20"/>
              </w:rPr>
            </w:pPr>
            <w:r>
              <w:rPr>
                <w:rFonts w:ascii="宋体" w:hAnsi="宋体" w:eastAsia="宋体" w:cs="宋体"/>
                <w:spacing w:val="4"/>
                <w:sz w:val="20"/>
                <w:szCs w:val="20"/>
              </w:rPr>
              <w:t>生</w:t>
            </w:r>
            <w:r>
              <w:rPr>
                <w:rFonts w:ascii="宋体" w:hAnsi="宋体" w:eastAsia="宋体" w:cs="宋体"/>
                <w:spacing w:val="3"/>
                <w:sz w:val="20"/>
                <w:szCs w:val="20"/>
              </w:rPr>
              <w:t>活</w:t>
            </w:r>
            <w:r>
              <w:rPr>
                <w:rFonts w:ascii="宋体" w:hAnsi="宋体" w:eastAsia="宋体" w:cs="宋体"/>
                <w:sz w:val="20"/>
                <w:szCs w:val="20"/>
              </w:rPr>
              <w:t xml:space="preserve"> </w:t>
            </w:r>
            <w:r>
              <w:rPr>
                <w:rFonts w:ascii="宋体" w:hAnsi="宋体" w:eastAsia="宋体" w:cs="宋体"/>
                <w:spacing w:val="4"/>
                <w:sz w:val="20"/>
                <w:szCs w:val="20"/>
              </w:rPr>
              <w:t>污</w:t>
            </w:r>
            <w:r>
              <w:rPr>
                <w:rFonts w:ascii="宋体" w:hAnsi="宋体" w:eastAsia="宋体" w:cs="宋体"/>
                <w:spacing w:val="3"/>
                <w:sz w:val="20"/>
                <w:szCs w:val="20"/>
              </w:rPr>
              <w:t>水</w:t>
            </w:r>
          </w:p>
        </w:tc>
        <w:tc>
          <w:tcPr>
            <w:tcW w:w="1170" w:type="dxa"/>
            <w:tcBorders>
              <w:left w:val="single" w:color="000000" w:sz="4" w:space="0"/>
              <w:right w:val="single" w:color="000000" w:sz="4" w:space="0"/>
            </w:tcBorders>
            <w:vAlign w:val="top"/>
          </w:tcPr>
          <w:p w14:paraId="69D59570">
            <w:pPr>
              <w:spacing w:line="260" w:lineRule="auto"/>
              <w:rPr>
                <w:rFonts w:ascii="Arial"/>
                <w:sz w:val="21"/>
              </w:rPr>
            </w:pPr>
          </w:p>
          <w:p w14:paraId="37DC5DEE">
            <w:pPr>
              <w:spacing w:before="65" w:line="228" w:lineRule="auto"/>
              <w:ind w:left="277"/>
              <w:rPr>
                <w:rFonts w:ascii="宋体" w:hAnsi="宋体" w:eastAsia="宋体" w:cs="宋体"/>
                <w:sz w:val="20"/>
                <w:szCs w:val="20"/>
              </w:rPr>
            </w:pPr>
            <w:r>
              <w:rPr>
                <w:rFonts w:ascii="宋体" w:hAnsi="宋体" w:eastAsia="宋体" w:cs="宋体"/>
                <w:spacing w:val="6"/>
                <w:sz w:val="20"/>
                <w:szCs w:val="20"/>
              </w:rPr>
              <w:t>办</w:t>
            </w:r>
            <w:r>
              <w:rPr>
                <w:rFonts w:ascii="宋体" w:hAnsi="宋体" w:eastAsia="宋体" w:cs="宋体"/>
                <w:spacing w:val="5"/>
                <w:sz w:val="20"/>
                <w:szCs w:val="20"/>
              </w:rPr>
              <w:t>公室</w:t>
            </w:r>
          </w:p>
        </w:tc>
        <w:tc>
          <w:tcPr>
            <w:tcW w:w="645" w:type="dxa"/>
            <w:tcBorders>
              <w:left w:val="single" w:color="000000" w:sz="4" w:space="0"/>
              <w:right w:val="single" w:color="000000" w:sz="4" w:space="0"/>
            </w:tcBorders>
            <w:vAlign w:val="top"/>
          </w:tcPr>
          <w:p w14:paraId="2142CF58">
            <w:pPr>
              <w:spacing w:before="82" w:line="195" w:lineRule="auto"/>
              <w:ind w:left="2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CODcr</w:t>
            </w:r>
          </w:p>
          <w:p w14:paraId="59E1FC84">
            <w:pPr>
              <w:spacing w:before="58" w:line="227" w:lineRule="auto"/>
              <w:ind w:left="115"/>
              <w:rPr>
                <w:rFonts w:ascii="宋体" w:hAnsi="宋体" w:eastAsia="宋体" w:cs="宋体"/>
                <w:sz w:val="20"/>
                <w:szCs w:val="20"/>
              </w:rPr>
            </w:pPr>
            <w:r>
              <w:rPr>
                <w:rFonts w:ascii="宋体" w:hAnsi="宋体" w:eastAsia="宋体" w:cs="宋体"/>
                <w:spacing w:val="5"/>
                <w:sz w:val="20"/>
                <w:szCs w:val="20"/>
              </w:rPr>
              <w:t>氨</w:t>
            </w:r>
            <w:r>
              <w:rPr>
                <w:rFonts w:ascii="宋体" w:hAnsi="宋体" w:eastAsia="宋体" w:cs="宋体"/>
                <w:spacing w:val="4"/>
                <w:sz w:val="20"/>
                <w:szCs w:val="20"/>
              </w:rPr>
              <w:t>氮</w:t>
            </w:r>
          </w:p>
          <w:p w14:paraId="359A489D">
            <w:pPr>
              <w:spacing w:before="70" w:line="195" w:lineRule="auto"/>
              <w:ind w:left="21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S</w:t>
            </w:r>
            <w:r>
              <w:rPr>
                <w:rFonts w:ascii="Times New Roman" w:hAnsi="Times New Roman" w:eastAsia="Times New Roman" w:cs="Times New Roman"/>
                <w:spacing w:val="-2"/>
                <w:sz w:val="20"/>
                <w:szCs w:val="20"/>
              </w:rPr>
              <w:t>S</w:t>
            </w:r>
          </w:p>
        </w:tc>
        <w:tc>
          <w:tcPr>
            <w:tcW w:w="2780" w:type="dxa"/>
            <w:tcBorders>
              <w:left w:val="single" w:color="000000" w:sz="4" w:space="0"/>
              <w:right w:val="single" w:color="000000" w:sz="4" w:space="0"/>
            </w:tcBorders>
            <w:vAlign w:val="top"/>
          </w:tcPr>
          <w:p w14:paraId="2ABA1307">
            <w:pPr>
              <w:spacing w:before="191" w:line="256" w:lineRule="auto"/>
              <w:ind w:left="13"/>
              <w:rPr>
                <w:rFonts w:ascii="宋体" w:hAnsi="宋体" w:eastAsia="宋体" w:cs="宋体"/>
                <w:sz w:val="20"/>
                <w:szCs w:val="20"/>
              </w:rPr>
            </w:pPr>
            <w:r>
              <w:rPr>
                <w:rFonts w:ascii="宋体" w:hAnsi="宋体" w:eastAsia="宋体" w:cs="宋体"/>
                <w:spacing w:val="-6"/>
                <w:sz w:val="20"/>
                <w:szCs w:val="20"/>
              </w:rPr>
              <w:t>项</w:t>
            </w:r>
            <w:r>
              <w:rPr>
                <w:rFonts w:ascii="宋体" w:hAnsi="宋体" w:eastAsia="宋体" w:cs="宋体"/>
                <w:spacing w:val="-3"/>
                <w:sz w:val="20"/>
                <w:szCs w:val="20"/>
              </w:rPr>
              <w:t>目在厂区东南侧设有旱厕，员</w:t>
            </w:r>
            <w:r>
              <w:rPr>
                <w:rFonts w:ascii="宋体" w:hAnsi="宋体" w:eastAsia="宋体" w:cs="宋体"/>
                <w:sz w:val="20"/>
                <w:szCs w:val="20"/>
              </w:rPr>
              <w:t xml:space="preserve"> </w:t>
            </w:r>
            <w:r>
              <w:rPr>
                <w:rFonts w:ascii="宋体" w:hAnsi="宋体" w:eastAsia="宋体" w:cs="宋体"/>
                <w:spacing w:val="-4"/>
                <w:sz w:val="20"/>
                <w:szCs w:val="20"/>
              </w:rPr>
              <w:t>工使用防</w:t>
            </w:r>
            <w:r>
              <w:rPr>
                <w:rFonts w:ascii="宋体" w:hAnsi="宋体" w:eastAsia="宋体" w:cs="宋体"/>
                <w:spacing w:val="-2"/>
                <w:sz w:val="20"/>
                <w:szCs w:val="20"/>
              </w:rPr>
              <w:t>渗旱厕，定期清掏。</w:t>
            </w:r>
          </w:p>
        </w:tc>
        <w:tc>
          <w:tcPr>
            <w:tcW w:w="594" w:type="dxa"/>
            <w:tcBorders>
              <w:left w:val="single" w:color="000000" w:sz="4" w:space="0"/>
              <w:right w:val="single" w:color="000000" w:sz="4" w:space="0"/>
            </w:tcBorders>
            <w:vAlign w:val="top"/>
          </w:tcPr>
          <w:p w14:paraId="16D4B836">
            <w:pPr>
              <w:spacing w:before="289" w:line="281" w:lineRule="exact"/>
              <w:ind w:left="26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2141" w:type="dxa"/>
            <w:tcBorders>
              <w:left w:val="single" w:color="000000" w:sz="4" w:space="0"/>
              <w:right w:val="nil"/>
            </w:tcBorders>
            <w:vAlign w:val="top"/>
          </w:tcPr>
          <w:p w14:paraId="6858AE6C">
            <w:pPr>
              <w:spacing w:line="261" w:lineRule="auto"/>
              <w:rPr>
                <w:rFonts w:ascii="Arial"/>
                <w:sz w:val="21"/>
              </w:rPr>
            </w:pPr>
          </w:p>
          <w:p w14:paraId="4614CA6A">
            <w:pPr>
              <w:spacing w:before="65" w:line="228" w:lineRule="auto"/>
              <w:ind w:left="758"/>
              <w:rPr>
                <w:rFonts w:ascii="宋体" w:hAnsi="宋体" w:eastAsia="宋体" w:cs="宋体"/>
                <w:sz w:val="20"/>
                <w:szCs w:val="20"/>
              </w:rPr>
            </w:pPr>
            <w:r>
              <w:rPr>
                <w:rFonts w:ascii="宋体" w:hAnsi="宋体" w:eastAsia="宋体" w:cs="宋体"/>
                <w:spacing w:val="6"/>
                <w:sz w:val="20"/>
                <w:szCs w:val="20"/>
              </w:rPr>
              <w:t>不外</w:t>
            </w:r>
            <w:r>
              <w:rPr>
                <w:rFonts w:ascii="宋体" w:hAnsi="宋体" w:eastAsia="宋体" w:cs="宋体"/>
                <w:spacing w:val="5"/>
                <w:sz w:val="20"/>
                <w:szCs w:val="20"/>
              </w:rPr>
              <w:t>排</w:t>
            </w:r>
          </w:p>
        </w:tc>
      </w:tr>
      <w:tr w14:paraId="04424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9" w:hRule="atLeast"/>
        </w:trPr>
        <w:tc>
          <w:tcPr>
            <w:tcW w:w="480" w:type="dxa"/>
            <w:vMerge w:val="continue"/>
            <w:tcBorders>
              <w:top w:val="nil"/>
              <w:left w:val="nil"/>
              <w:bottom w:val="nil"/>
              <w:right w:val="single" w:color="000000" w:sz="4" w:space="0"/>
            </w:tcBorders>
            <w:vAlign w:val="top"/>
          </w:tcPr>
          <w:p w14:paraId="5EDDFF71">
            <w:pPr>
              <w:rPr>
                <w:rFonts w:ascii="Arial"/>
                <w:sz w:val="21"/>
              </w:rPr>
            </w:pPr>
          </w:p>
        </w:tc>
        <w:tc>
          <w:tcPr>
            <w:tcW w:w="510" w:type="dxa"/>
            <w:tcBorders>
              <w:left w:val="single" w:color="000000" w:sz="4" w:space="0"/>
              <w:right w:val="single" w:color="000000" w:sz="4" w:space="0"/>
            </w:tcBorders>
            <w:vAlign w:val="top"/>
          </w:tcPr>
          <w:p w14:paraId="4B82C119">
            <w:pPr>
              <w:spacing w:line="277" w:lineRule="auto"/>
              <w:rPr>
                <w:rFonts w:ascii="Arial"/>
                <w:sz w:val="21"/>
              </w:rPr>
            </w:pPr>
          </w:p>
          <w:p w14:paraId="0472C4C2">
            <w:pPr>
              <w:spacing w:line="277" w:lineRule="auto"/>
              <w:rPr>
                <w:rFonts w:ascii="Arial"/>
                <w:sz w:val="21"/>
              </w:rPr>
            </w:pPr>
          </w:p>
          <w:p w14:paraId="28B139EB">
            <w:pPr>
              <w:spacing w:line="277" w:lineRule="auto"/>
              <w:rPr>
                <w:rFonts w:ascii="Arial"/>
                <w:sz w:val="21"/>
              </w:rPr>
            </w:pPr>
          </w:p>
          <w:p w14:paraId="5564A712">
            <w:pPr>
              <w:spacing w:line="277" w:lineRule="auto"/>
              <w:rPr>
                <w:rFonts w:ascii="Arial"/>
                <w:sz w:val="21"/>
              </w:rPr>
            </w:pPr>
          </w:p>
          <w:p w14:paraId="46E70AFA">
            <w:pPr>
              <w:spacing w:line="278" w:lineRule="auto"/>
              <w:rPr>
                <w:rFonts w:ascii="Arial"/>
                <w:sz w:val="21"/>
              </w:rPr>
            </w:pPr>
          </w:p>
          <w:p w14:paraId="5D822AD0">
            <w:pPr>
              <w:spacing w:before="65" w:line="273" w:lineRule="auto"/>
              <w:ind w:left="47" w:right="41" w:firstLine="2"/>
              <w:rPr>
                <w:rFonts w:ascii="宋体" w:hAnsi="宋体" w:eastAsia="宋体" w:cs="宋体"/>
                <w:sz w:val="20"/>
                <w:szCs w:val="20"/>
              </w:rPr>
            </w:pPr>
            <w:r>
              <w:rPr>
                <w:rFonts w:ascii="宋体" w:hAnsi="宋体" w:eastAsia="宋体" w:cs="宋体"/>
                <w:spacing w:val="4"/>
                <w:sz w:val="20"/>
                <w:szCs w:val="20"/>
              </w:rPr>
              <w:t>生</w:t>
            </w:r>
            <w:r>
              <w:rPr>
                <w:rFonts w:ascii="宋体" w:hAnsi="宋体" w:eastAsia="宋体" w:cs="宋体"/>
                <w:spacing w:val="3"/>
                <w:sz w:val="20"/>
                <w:szCs w:val="20"/>
              </w:rPr>
              <w:t>产</w:t>
            </w:r>
            <w:r>
              <w:rPr>
                <w:rFonts w:ascii="宋体" w:hAnsi="宋体" w:eastAsia="宋体" w:cs="宋体"/>
                <w:sz w:val="20"/>
                <w:szCs w:val="20"/>
              </w:rPr>
              <w:t xml:space="preserve"> </w:t>
            </w:r>
            <w:r>
              <w:rPr>
                <w:rFonts w:ascii="宋体" w:hAnsi="宋体" w:eastAsia="宋体" w:cs="宋体"/>
                <w:spacing w:val="5"/>
                <w:sz w:val="20"/>
                <w:szCs w:val="20"/>
              </w:rPr>
              <w:t>废水</w:t>
            </w:r>
          </w:p>
        </w:tc>
        <w:tc>
          <w:tcPr>
            <w:tcW w:w="1170" w:type="dxa"/>
            <w:tcBorders>
              <w:left w:val="single" w:color="000000" w:sz="4" w:space="0"/>
              <w:right w:val="single" w:color="000000" w:sz="4" w:space="0"/>
            </w:tcBorders>
            <w:vAlign w:val="top"/>
          </w:tcPr>
          <w:p w14:paraId="3DBDEE47">
            <w:pPr>
              <w:spacing w:line="253" w:lineRule="auto"/>
              <w:rPr>
                <w:rFonts w:ascii="Arial"/>
                <w:sz w:val="21"/>
              </w:rPr>
            </w:pPr>
          </w:p>
          <w:p w14:paraId="79FEEC3C">
            <w:pPr>
              <w:spacing w:line="254" w:lineRule="auto"/>
              <w:rPr>
                <w:rFonts w:ascii="Arial"/>
                <w:sz w:val="21"/>
              </w:rPr>
            </w:pPr>
          </w:p>
          <w:p w14:paraId="57C1DA77">
            <w:pPr>
              <w:spacing w:line="254" w:lineRule="auto"/>
              <w:rPr>
                <w:rFonts w:ascii="Arial"/>
                <w:sz w:val="21"/>
              </w:rPr>
            </w:pPr>
          </w:p>
          <w:p w14:paraId="4F27DD3F">
            <w:pPr>
              <w:spacing w:line="254" w:lineRule="auto"/>
              <w:rPr>
                <w:rFonts w:ascii="Arial"/>
                <w:sz w:val="21"/>
              </w:rPr>
            </w:pPr>
          </w:p>
          <w:p w14:paraId="23FCE0C3">
            <w:pPr>
              <w:spacing w:line="254" w:lineRule="auto"/>
              <w:rPr>
                <w:rFonts w:ascii="Arial"/>
                <w:sz w:val="21"/>
              </w:rPr>
            </w:pPr>
          </w:p>
          <w:p w14:paraId="75EE545F">
            <w:pPr>
              <w:spacing w:line="254" w:lineRule="auto"/>
              <w:rPr>
                <w:rFonts w:ascii="Arial"/>
                <w:sz w:val="21"/>
              </w:rPr>
            </w:pPr>
          </w:p>
          <w:p w14:paraId="7FDA6DFB">
            <w:pPr>
              <w:spacing w:before="65" w:line="228" w:lineRule="auto"/>
              <w:ind w:left="169"/>
              <w:rPr>
                <w:rFonts w:ascii="宋体" w:hAnsi="宋体" w:eastAsia="宋体" w:cs="宋体"/>
                <w:sz w:val="20"/>
                <w:szCs w:val="20"/>
              </w:rPr>
            </w:pPr>
            <w:r>
              <w:rPr>
                <w:rFonts w:ascii="宋体" w:hAnsi="宋体" w:eastAsia="宋体" w:cs="宋体"/>
                <w:spacing w:val="7"/>
                <w:sz w:val="20"/>
                <w:szCs w:val="20"/>
              </w:rPr>
              <w:t>生产废</w:t>
            </w:r>
            <w:r>
              <w:rPr>
                <w:rFonts w:ascii="宋体" w:hAnsi="宋体" w:eastAsia="宋体" w:cs="宋体"/>
                <w:spacing w:val="6"/>
                <w:sz w:val="20"/>
                <w:szCs w:val="20"/>
              </w:rPr>
              <w:t>水</w:t>
            </w:r>
          </w:p>
        </w:tc>
        <w:tc>
          <w:tcPr>
            <w:tcW w:w="645" w:type="dxa"/>
            <w:tcBorders>
              <w:left w:val="single" w:color="000000" w:sz="4" w:space="0"/>
              <w:right w:val="single" w:color="000000" w:sz="4" w:space="0"/>
            </w:tcBorders>
            <w:vAlign w:val="top"/>
          </w:tcPr>
          <w:p w14:paraId="08C2C7C6">
            <w:pPr>
              <w:spacing w:line="286" w:lineRule="auto"/>
              <w:rPr>
                <w:rFonts w:ascii="Arial"/>
                <w:sz w:val="21"/>
              </w:rPr>
            </w:pPr>
          </w:p>
          <w:p w14:paraId="2EF335B8">
            <w:pPr>
              <w:spacing w:line="287" w:lineRule="auto"/>
              <w:rPr>
                <w:rFonts w:ascii="Arial"/>
                <w:sz w:val="21"/>
              </w:rPr>
            </w:pPr>
          </w:p>
          <w:p w14:paraId="3CCD6BDF">
            <w:pPr>
              <w:spacing w:line="287" w:lineRule="auto"/>
              <w:rPr>
                <w:rFonts w:ascii="Arial"/>
                <w:sz w:val="21"/>
              </w:rPr>
            </w:pPr>
          </w:p>
          <w:p w14:paraId="38BBCB42">
            <w:pPr>
              <w:spacing w:line="287" w:lineRule="auto"/>
              <w:rPr>
                <w:rFonts w:ascii="Arial"/>
                <w:sz w:val="21"/>
              </w:rPr>
            </w:pPr>
          </w:p>
          <w:p w14:paraId="634F1FA0">
            <w:pPr>
              <w:spacing w:before="58" w:line="267" w:lineRule="auto"/>
              <w:ind w:left="8" w:right="3" w:firstLine="1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CODcr</w:t>
            </w:r>
            <w:r>
              <w:rPr>
                <w:rFonts w:ascii="Times New Roman" w:hAnsi="Times New Roman" w:eastAsia="Times New Roman" w:cs="Times New Roman"/>
                <w:sz w:val="20"/>
                <w:szCs w:val="20"/>
              </w:rPr>
              <w:t xml:space="preserve"> </w:t>
            </w:r>
            <w:r>
              <w:rPr>
                <w:rFonts w:ascii="宋体" w:hAnsi="宋体" w:eastAsia="宋体" w:cs="宋体"/>
                <w:spacing w:val="8"/>
                <w:sz w:val="20"/>
                <w:szCs w:val="20"/>
              </w:rPr>
              <w:t>、</w:t>
            </w:r>
            <w:r>
              <w:rPr>
                <w:rFonts w:ascii="宋体" w:hAnsi="宋体" w:eastAsia="宋体" w:cs="宋体"/>
                <w:spacing w:val="6"/>
                <w:sz w:val="20"/>
                <w:szCs w:val="20"/>
              </w:rPr>
              <w:t>石油</w:t>
            </w:r>
            <w:r>
              <w:rPr>
                <w:rFonts w:ascii="宋体" w:hAnsi="宋体" w:eastAsia="宋体" w:cs="宋体"/>
                <w:sz w:val="20"/>
                <w:szCs w:val="20"/>
              </w:rPr>
              <w:t xml:space="preserve"> </w:t>
            </w:r>
            <w:r>
              <w:rPr>
                <w:rFonts w:ascii="宋体" w:hAnsi="宋体" w:eastAsia="宋体" w:cs="宋体"/>
                <w:spacing w:val="8"/>
                <w:sz w:val="20"/>
                <w:szCs w:val="20"/>
              </w:rPr>
              <w:t>类</w:t>
            </w:r>
            <w:r>
              <w:rPr>
                <w:rFonts w:ascii="宋体" w:hAnsi="宋体" w:eastAsia="宋体" w:cs="宋体"/>
                <w:spacing w:val="7"/>
                <w:sz w:val="20"/>
                <w:szCs w:val="20"/>
              </w:rPr>
              <w:t>、氨</w:t>
            </w:r>
            <w:r>
              <w:rPr>
                <w:rFonts w:ascii="宋体" w:hAnsi="宋体" w:eastAsia="宋体" w:cs="宋体"/>
                <w:sz w:val="20"/>
                <w:szCs w:val="20"/>
              </w:rPr>
              <w:t xml:space="preserve"> 氮、</w:t>
            </w:r>
            <w:r>
              <w:rPr>
                <w:rFonts w:ascii="Times New Roman" w:hAnsi="Times New Roman" w:eastAsia="Times New Roman" w:cs="Times New Roman"/>
                <w:sz w:val="20"/>
                <w:szCs w:val="20"/>
              </w:rPr>
              <w:t>SS</w:t>
            </w:r>
          </w:p>
        </w:tc>
        <w:tc>
          <w:tcPr>
            <w:tcW w:w="2780" w:type="dxa"/>
            <w:tcBorders>
              <w:left w:val="single" w:color="000000" w:sz="4" w:space="0"/>
              <w:right w:val="single" w:color="000000" w:sz="4" w:space="0"/>
            </w:tcBorders>
            <w:vAlign w:val="top"/>
          </w:tcPr>
          <w:p w14:paraId="306D3E3E">
            <w:pPr>
              <w:spacing w:before="37" w:line="238" w:lineRule="auto"/>
              <w:ind w:left="9" w:firstLine="4"/>
              <w:rPr>
                <w:rFonts w:ascii="宋体" w:hAnsi="宋体" w:eastAsia="宋体" w:cs="宋体"/>
                <w:sz w:val="20"/>
                <w:szCs w:val="20"/>
              </w:rPr>
            </w:pPr>
            <w:r>
              <w:rPr>
                <w:rFonts w:ascii="宋体" w:hAnsi="宋体" w:eastAsia="宋体" w:cs="宋体"/>
                <w:spacing w:val="-14"/>
                <w:sz w:val="20"/>
                <w:szCs w:val="20"/>
              </w:rPr>
              <w:t>项</w:t>
            </w:r>
            <w:r>
              <w:rPr>
                <w:rFonts w:ascii="宋体" w:hAnsi="宋体" w:eastAsia="宋体" w:cs="宋体"/>
                <w:spacing w:val="-13"/>
                <w:sz w:val="20"/>
                <w:szCs w:val="20"/>
              </w:rPr>
              <w:t>目</w:t>
            </w:r>
            <w:r>
              <w:rPr>
                <w:rFonts w:ascii="宋体" w:hAnsi="宋体" w:eastAsia="宋体" w:cs="宋体"/>
                <w:spacing w:val="-7"/>
                <w:sz w:val="20"/>
                <w:szCs w:val="20"/>
              </w:rPr>
              <w:t xml:space="preserve">设有 </w:t>
            </w:r>
            <w:r>
              <w:rPr>
                <w:rFonts w:ascii="Times New Roman" w:hAnsi="Times New Roman" w:eastAsia="Times New Roman" w:cs="Times New Roman"/>
                <w:spacing w:val="-7"/>
                <w:sz w:val="20"/>
                <w:szCs w:val="20"/>
              </w:rPr>
              <w:t xml:space="preserve">1 </w:t>
            </w:r>
            <w:r>
              <w:rPr>
                <w:rFonts w:ascii="宋体" w:hAnsi="宋体" w:eastAsia="宋体" w:cs="宋体"/>
                <w:spacing w:val="-7"/>
                <w:sz w:val="20"/>
                <w:szCs w:val="20"/>
              </w:rPr>
              <w:t xml:space="preserve">座容积为 </w:t>
            </w:r>
            <w:r>
              <w:rPr>
                <w:rFonts w:ascii="Times New Roman" w:hAnsi="Times New Roman" w:eastAsia="Times New Roman" w:cs="Times New Roman"/>
                <w:spacing w:val="-7"/>
                <w:sz w:val="20"/>
                <w:szCs w:val="20"/>
              </w:rPr>
              <w:t>324m</w:t>
            </w:r>
            <w:r>
              <w:rPr>
                <w:rFonts w:ascii="Times New Roman" w:hAnsi="Times New Roman" w:eastAsia="Times New Roman" w:cs="Times New Roman"/>
                <w:spacing w:val="-7"/>
                <w:position w:val="6"/>
                <w:sz w:val="13"/>
                <w:szCs w:val="13"/>
              </w:rPr>
              <w:t xml:space="preserve">3 </w:t>
            </w:r>
            <w:r>
              <w:rPr>
                <w:rFonts w:ascii="宋体" w:hAnsi="宋体" w:eastAsia="宋体" w:cs="宋体"/>
                <w:spacing w:val="-7"/>
                <w:sz w:val="20"/>
                <w:szCs w:val="20"/>
              </w:rPr>
              <w:t>的三</w:t>
            </w:r>
            <w:r>
              <w:rPr>
                <w:rFonts w:ascii="宋体" w:hAnsi="宋体" w:eastAsia="宋体" w:cs="宋体"/>
                <w:sz w:val="20"/>
                <w:szCs w:val="20"/>
              </w:rPr>
              <w:t xml:space="preserve"> </w:t>
            </w:r>
            <w:r>
              <w:rPr>
                <w:rFonts w:ascii="宋体" w:hAnsi="宋体" w:eastAsia="宋体" w:cs="宋体"/>
                <w:spacing w:val="-4"/>
                <w:sz w:val="20"/>
                <w:szCs w:val="20"/>
              </w:rPr>
              <w:t>级沉淀池 (</w:t>
            </w:r>
            <w:r>
              <w:rPr>
                <w:rFonts w:ascii="Times New Roman" w:hAnsi="Times New Roman" w:eastAsia="Times New Roman" w:cs="Times New Roman"/>
                <w:spacing w:val="-4"/>
                <w:sz w:val="20"/>
                <w:szCs w:val="20"/>
              </w:rPr>
              <w:t>12m×6m×4.5</w:t>
            </w:r>
            <w:r>
              <w:rPr>
                <w:rFonts w:ascii="Times New Roman" w:hAnsi="Times New Roman" w:eastAsia="Times New Roman" w:cs="Times New Roman"/>
                <w:spacing w:val="-2"/>
                <w:sz w:val="20"/>
                <w:szCs w:val="20"/>
              </w:rPr>
              <w:t>m</w:t>
            </w:r>
            <w:r>
              <w:rPr>
                <w:rFonts w:ascii="宋体" w:hAnsi="宋体" w:eastAsia="宋体" w:cs="宋体"/>
                <w:spacing w:val="-4"/>
                <w:sz w:val="20"/>
                <w:szCs w:val="20"/>
              </w:rPr>
              <w:t>) ，同</w:t>
            </w:r>
            <w:r>
              <w:rPr>
                <w:rFonts w:ascii="宋体" w:hAnsi="宋体" w:eastAsia="宋体" w:cs="宋体"/>
                <w:sz w:val="20"/>
                <w:szCs w:val="20"/>
              </w:rPr>
              <w:t xml:space="preserve"> </w:t>
            </w:r>
            <w:r>
              <w:rPr>
                <w:rFonts w:ascii="宋体" w:hAnsi="宋体" w:eastAsia="宋体" w:cs="宋体"/>
                <w:spacing w:val="-6"/>
                <w:sz w:val="20"/>
                <w:szCs w:val="20"/>
              </w:rPr>
              <w:t xml:space="preserve">时配套设有 </w:t>
            </w:r>
            <w:r>
              <w:rPr>
                <w:rFonts w:ascii="Times New Roman" w:hAnsi="Times New Roman" w:eastAsia="Times New Roman" w:cs="Times New Roman"/>
                <w:spacing w:val="-6"/>
                <w:sz w:val="20"/>
                <w:szCs w:val="20"/>
              </w:rPr>
              <w:t xml:space="preserve">1 </w:t>
            </w:r>
            <w:r>
              <w:rPr>
                <w:rFonts w:ascii="宋体" w:hAnsi="宋体" w:eastAsia="宋体" w:cs="宋体"/>
                <w:spacing w:val="-6"/>
                <w:sz w:val="20"/>
                <w:szCs w:val="20"/>
              </w:rPr>
              <w:t>台一体化污水预</w:t>
            </w:r>
            <w:r>
              <w:rPr>
                <w:rFonts w:ascii="宋体" w:hAnsi="宋体" w:eastAsia="宋体" w:cs="宋体"/>
                <w:spacing w:val="-5"/>
                <w:sz w:val="20"/>
                <w:szCs w:val="20"/>
              </w:rPr>
              <w:t>处</w:t>
            </w:r>
            <w:r>
              <w:rPr>
                <w:rFonts w:ascii="宋体" w:hAnsi="宋体" w:eastAsia="宋体" w:cs="宋体"/>
                <w:sz w:val="20"/>
                <w:szCs w:val="20"/>
              </w:rPr>
              <w:t xml:space="preserve"> </w:t>
            </w:r>
            <w:r>
              <w:rPr>
                <w:rFonts w:ascii="宋体" w:hAnsi="宋体" w:eastAsia="宋体" w:cs="宋体"/>
                <w:spacing w:val="12"/>
                <w:sz w:val="20"/>
                <w:szCs w:val="20"/>
              </w:rPr>
              <w:t>理设备，均位于生产厂房西</w:t>
            </w:r>
            <w:r>
              <w:rPr>
                <w:rFonts w:ascii="宋体" w:hAnsi="宋体" w:eastAsia="宋体" w:cs="宋体"/>
                <w:spacing w:val="9"/>
                <w:sz w:val="20"/>
                <w:szCs w:val="20"/>
              </w:rPr>
              <w:t>南</w:t>
            </w:r>
            <w:r>
              <w:rPr>
                <w:rFonts w:ascii="宋体" w:hAnsi="宋体" w:eastAsia="宋体" w:cs="宋体"/>
                <w:sz w:val="20"/>
                <w:szCs w:val="20"/>
              </w:rPr>
              <w:t xml:space="preserve"> </w:t>
            </w:r>
            <w:r>
              <w:rPr>
                <w:rFonts w:ascii="宋体" w:hAnsi="宋体" w:eastAsia="宋体" w:cs="宋体"/>
                <w:spacing w:val="-6"/>
                <w:sz w:val="20"/>
                <w:szCs w:val="20"/>
              </w:rPr>
              <w:t>侧</w:t>
            </w:r>
            <w:r>
              <w:rPr>
                <w:rFonts w:ascii="宋体" w:hAnsi="宋体" w:eastAsia="宋体" w:cs="宋体"/>
                <w:spacing w:val="-3"/>
                <w:sz w:val="20"/>
                <w:szCs w:val="20"/>
              </w:rPr>
              <w:t>，产生的生产废水经一体化污</w:t>
            </w:r>
            <w:r>
              <w:rPr>
                <w:rFonts w:ascii="宋体" w:hAnsi="宋体" w:eastAsia="宋体" w:cs="宋体"/>
                <w:sz w:val="20"/>
                <w:szCs w:val="20"/>
              </w:rPr>
              <w:t xml:space="preserve"> </w:t>
            </w:r>
            <w:r>
              <w:rPr>
                <w:rFonts w:ascii="宋体" w:hAnsi="宋体" w:eastAsia="宋体" w:cs="宋体"/>
                <w:spacing w:val="12"/>
                <w:sz w:val="20"/>
                <w:szCs w:val="20"/>
              </w:rPr>
              <w:t>水预处理设备处理后排入三</w:t>
            </w:r>
            <w:r>
              <w:rPr>
                <w:rFonts w:ascii="宋体" w:hAnsi="宋体" w:eastAsia="宋体" w:cs="宋体"/>
                <w:spacing w:val="9"/>
                <w:sz w:val="20"/>
                <w:szCs w:val="20"/>
              </w:rPr>
              <w:t>级</w:t>
            </w:r>
            <w:r>
              <w:rPr>
                <w:rFonts w:ascii="宋体" w:hAnsi="宋体" w:eastAsia="宋体" w:cs="宋体"/>
                <w:sz w:val="20"/>
                <w:szCs w:val="20"/>
              </w:rPr>
              <w:t xml:space="preserve"> </w:t>
            </w:r>
            <w:r>
              <w:rPr>
                <w:rFonts w:ascii="宋体" w:hAnsi="宋体" w:eastAsia="宋体" w:cs="宋体"/>
                <w:spacing w:val="-4"/>
                <w:sz w:val="20"/>
                <w:szCs w:val="20"/>
              </w:rPr>
              <w:t>沉淀池 (</w:t>
            </w:r>
            <w:r>
              <w:rPr>
                <w:rFonts w:ascii="Times New Roman" w:hAnsi="Times New Roman" w:eastAsia="Times New Roman" w:cs="Times New Roman"/>
                <w:spacing w:val="-4"/>
                <w:sz w:val="20"/>
                <w:szCs w:val="20"/>
              </w:rPr>
              <w:t>12m×6m×4.5m</w:t>
            </w:r>
            <w:r>
              <w:rPr>
                <w:rFonts w:ascii="宋体" w:hAnsi="宋体" w:eastAsia="宋体" w:cs="宋体"/>
                <w:spacing w:val="-4"/>
                <w:sz w:val="20"/>
                <w:szCs w:val="20"/>
              </w:rPr>
              <w:t>) 沉淀处</w:t>
            </w:r>
            <w:r>
              <w:rPr>
                <w:rFonts w:ascii="宋体" w:hAnsi="宋体" w:eastAsia="宋体" w:cs="宋体"/>
                <w:sz w:val="20"/>
                <w:szCs w:val="20"/>
              </w:rPr>
              <w:t xml:space="preserve"> </w:t>
            </w:r>
            <w:r>
              <w:rPr>
                <w:rFonts w:ascii="宋体" w:hAnsi="宋体" w:eastAsia="宋体" w:cs="宋体"/>
                <w:spacing w:val="-6"/>
                <w:sz w:val="20"/>
                <w:szCs w:val="20"/>
              </w:rPr>
              <w:t>理</w:t>
            </w:r>
            <w:r>
              <w:rPr>
                <w:rFonts w:ascii="宋体" w:hAnsi="宋体" w:eastAsia="宋体" w:cs="宋体"/>
                <w:spacing w:val="-3"/>
                <w:sz w:val="20"/>
                <w:szCs w:val="20"/>
              </w:rPr>
              <w:t>，随后循环使用。污水处理设</w:t>
            </w:r>
            <w:r>
              <w:rPr>
                <w:rFonts w:ascii="宋体" w:hAnsi="宋体" w:eastAsia="宋体" w:cs="宋体"/>
                <w:sz w:val="20"/>
                <w:szCs w:val="20"/>
              </w:rPr>
              <w:t xml:space="preserve"> </w:t>
            </w:r>
            <w:r>
              <w:rPr>
                <w:rFonts w:ascii="宋体" w:hAnsi="宋体" w:eastAsia="宋体" w:cs="宋体"/>
                <w:spacing w:val="-10"/>
                <w:sz w:val="20"/>
                <w:szCs w:val="20"/>
              </w:rPr>
              <w:t>施废</w:t>
            </w:r>
            <w:r>
              <w:rPr>
                <w:rFonts w:ascii="宋体" w:hAnsi="宋体" w:eastAsia="宋体" w:cs="宋体"/>
                <w:spacing w:val="-7"/>
                <w:sz w:val="20"/>
                <w:szCs w:val="20"/>
              </w:rPr>
              <w:t>水</w:t>
            </w:r>
            <w:r>
              <w:rPr>
                <w:rFonts w:ascii="宋体" w:hAnsi="宋体" w:eastAsia="宋体" w:cs="宋体"/>
                <w:spacing w:val="-5"/>
                <w:sz w:val="20"/>
                <w:szCs w:val="20"/>
              </w:rPr>
              <w:t xml:space="preserve">每月更换 </w:t>
            </w:r>
            <w:r>
              <w:rPr>
                <w:rFonts w:ascii="Times New Roman" w:hAnsi="Times New Roman" w:eastAsia="Times New Roman" w:cs="Times New Roman"/>
                <w:spacing w:val="-5"/>
                <w:sz w:val="20"/>
                <w:szCs w:val="20"/>
              </w:rPr>
              <w:t xml:space="preserve">1 </w:t>
            </w:r>
            <w:r>
              <w:rPr>
                <w:rFonts w:ascii="宋体" w:hAnsi="宋体" w:eastAsia="宋体" w:cs="宋体"/>
                <w:spacing w:val="-5"/>
                <w:sz w:val="20"/>
                <w:szCs w:val="20"/>
              </w:rPr>
              <w:t>次，则该项目</w:t>
            </w:r>
            <w:r>
              <w:rPr>
                <w:rFonts w:ascii="宋体" w:hAnsi="宋体" w:eastAsia="宋体" w:cs="宋体"/>
                <w:sz w:val="20"/>
                <w:szCs w:val="20"/>
              </w:rPr>
              <w:t xml:space="preserve"> </w:t>
            </w:r>
            <w:r>
              <w:rPr>
                <w:rFonts w:ascii="宋体" w:hAnsi="宋体" w:eastAsia="宋体" w:cs="宋体"/>
                <w:spacing w:val="-4"/>
                <w:sz w:val="20"/>
                <w:szCs w:val="20"/>
              </w:rPr>
              <w:t>全</w:t>
            </w:r>
            <w:r>
              <w:rPr>
                <w:rFonts w:ascii="宋体" w:hAnsi="宋体" w:eastAsia="宋体" w:cs="宋体"/>
                <w:spacing w:val="-3"/>
                <w:sz w:val="20"/>
                <w:szCs w:val="20"/>
              </w:rPr>
              <w:t>年</w:t>
            </w:r>
            <w:r>
              <w:rPr>
                <w:rFonts w:ascii="宋体" w:hAnsi="宋体" w:eastAsia="宋体" w:cs="宋体"/>
                <w:spacing w:val="-2"/>
                <w:sz w:val="20"/>
                <w:szCs w:val="20"/>
              </w:rPr>
              <w:t xml:space="preserve">更换废水量为 </w:t>
            </w:r>
            <w:r>
              <w:rPr>
                <w:rFonts w:ascii="Times New Roman" w:hAnsi="Times New Roman" w:eastAsia="Times New Roman" w:cs="Times New Roman"/>
                <w:spacing w:val="-2"/>
                <w:sz w:val="20"/>
                <w:szCs w:val="20"/>
              </w:rPr>
              <w:t>1523.52m</w:t>
            </w:r>
            <w:r>
              <w:rPr>
                <w:rFonts w:ascii="Times New Roman" w:hAnsi="Times New Roman" w:eastAsia="Times New Roman" w:cs="Times New Roman"/>
                <w:spacing w:val="-2"/>
                <w:position w:val="6"/>
                <w:sz w:val="13"/>
                <w:szCs w:val="13"/>
              </w:rPr>
              <w:t xml:space="preserve">3 </w:t>
            </w:r>
            <w:r>
              <w:rPr>
                <w:rFonts w:ascii="宋体" w:hAnsi="宋体" w:eastAsia="宋体" w:cs="宋体"/>
                <w:spacing w:val="-2"/>
                <w:sz w:val="20"/>
                <w:szCs w:val="20"/>
              </w:rPr>
              <w:t>，</w:t>
            </w:r>
            <w:r>
              <w:rPr>
                <w:rFonts w:ascii="宋体" w:hAnsi="宋体" w:eastAsia="宋体" w:cs="宋体"/>
                <w:sz w:val="20"/>
                <w:szCs w:val="20"/>
              </w:rPr>
              <w:t xml:space="preserve"> </w:t>
            </w:r>
            <w:r>
              <w:rPr>
                <w:rFonts w:ascii="宋体" w:hAnsi="宋体" w:eastAsia="宋体" w:cs="宋体"/>
                <w:spacing w:val="12"/>
                <w:sz w:val="20"/>
                <w:szCs w:val="20"/>
              </w:rPr>
              <w:t>更换过程产生的废水经吸污</w:t>
            </w:r>
            <w:r>
              <w:rPr>
                <w:rFonts w:ascii="宋体" w:hAnsi="宋体" w:eastAsia="宋体" w:cs="宋体"/>
                <w:spacing w:val="11"/>
                <w:sz w:val="20"/>
                <w:szCs w:val="20"/>
              </w:rPr>
              <w:t>车</w:t>
            </w:r>
            <w:r>
              <w:rPr>
                <w:rFonts w:ascii="宋体" w:hAnsi="宋体" w:eastAsia="宋体" w:cs="宋体"/>
                <w:sz w:val="20"/>
                <w:szCs w:val="20"/>
              </w:rPr>
              <w:t xml:space="preserve"> </w:t>
            </w:r>
            <w:r>
              <w:rPr>
                <w:rFonts w:ascii="宋体" w:hAnsi="宋体" w:eastAsia="宋体" w:cs="宋体"/>
                <w:spacing w:val="12"/>
                <w:sz w:val="20"/>
                <w:szCs w:val="20"/>
              </w:rPr>
              <w:t>运送至本溪市科态污水处理</w:t>
            </w:r>
            <w:r>
              <w:rPr>
                <w:rFonts w:ascii="宋体" w:hAnsi="宋体" w:eastAsia="宋体" w:cs="宋体"/>
                <w:spacing w:val="11"/>
                <w:sz w:val="20"/>
                <w:szCs w:val="20"/>
              </w:rPr>
              <w:t>有</w:t>
            </w:r>
            <w:r>
              <w:rPr>
                <w:rFonts w:ascii="宋体" w:hAnsi="宋体" w:eastAsia="宋体" w:cs="宋体"/>
                <w:sz w:val="20"/>
                <w:szCs w:val="20"/>
              </w:rPr>
              <w:t xml:space="preserve"> </w:t>
            </w:r>
            <w:r>
              <w:rPr>
                <w:rFonts w:ascii="宋体" w:hAnsi="宋体" w:eastAsia="宋体" w:cs="宋体"/>
                <w:spacing w:val="-4"/>
                <w:sz w:val="20"/>
                <w:szCs w:val="20"/>
              </w:rPr>
              <w:t>限</w:t>
            </w:r>
            <w:r>
              <w:rPr>
                <w:rFonts w:ascii="宋体" w:hAnsi="宋体" w:eastAsia="宋体" w:cs="宋体"/>
                <w:spacing w:val="-3"/>
                <w:sz w:val="20"/>
                <w:szCs w:val="20"/>
              </w:rPr>
              <w:t>责</w:t>
            </w:r>
            <w:r>
              <w:rPr>
                <w:rFonts w:ascii="宋体" w:hAnsi="宋体" w:eastAsia="宋体" w:cs="宋体"/>
                <w:spacing w:val="-2"/>
                <w:sz w:val="20"/>
                <w:szCs w:val="20"/>
              </w:rPr>
              <w:t>任公司统一处理。</w:t>
            </w:r>
          </w:p>
        </w:tc>
        <w:tc>
          <w:tcPr>
            <w:tcW w:w="594" w:type="dxa"/>
            <w:tcBorders>
              <w:left w:val="single" w:color="000000" w:sz="4" w:space="0"/>
              <w:right w:val="single" w:color="000000" w:sz="4" w:space="0"/>
            </w:tcBorders>
            <w:vAlign w:val="top"/>
          </w:tcPr>
          <w:p w14:paraId="47F8F87D">
            <w:pPr>
              <w:spacing w:line="249" w:lineRule="auto"/>
              <w:rPr>
                <w:rFonts w:ascii="Arial"/>
                <w:sz w:val="21"/>
              </w:rPr>
            </w:pPr>
          </w:p>
          <w:p w14:paraId="357BD2FB">
            <w:pPr>
              <w:spacing w:line="249" w:lineRule="auto"/>
              <w:rPr>
                <w:rFonts w:ascii="Arial"/>
                <w:sz w:val="21"/>
              </w:rPr>
            </w:pPr>
          </w:p>
          <w:p w14:paraId="347A2EE5">
            <w:pPr>
              <w:spacing w:line="249" w:lineRule="auto"/>
              <w:rPr>
                <w:rFonts w:ascii="Arial"/>
                <w:sz w:val="21"/>
              </w:rPr>
            </w:pPr>
          </w:p>
          <w:p w14:paraId="353EA0EB">
            <w:pPr>
              <w:spacing w:line="250" w:lineRule="auto"/>
              <w:rPr>
                <w:rFonts w:ascii="Arial"/>
                <w:sz w:val="21"/>
              </w:rPr>
            </w:pPr>
          </w:p>
          <w:p w14:paraId="3227C261">
            <w:pPr>
              <w:spacing w:line="250" w:lineRule="auto"/>
              <w:rPr>
                <w:rFonts w:ascii="Arial"/>
                <w:sz w:val="21"/>
              </w:rPr>
            </w:pPr>
          </w:p>
          <w:p w14:paraId="3CC2AD5A">
            <w:pPr>
              <w:spacing w:before="65" w:line="228" w:lineRule="auto"/>
              <w:ind w:left="94"/>
              <w:rPr>
                <w:rFonts w:ascii="宋体" w:hAnsi="宋体" w:eastAsia="宋体" w:cs="宋体"/>
                <w:sz w:val="20"/>
                <w:szCs w:val="20"/>
              </w:rPr>
            </w:pPr>
            <w:r>
              <w:rPr>
                <w:rFonts w:ascii="宋体" w:hAnsi="宋体" w:eastAsia="宋体" w:cs="宋体"/>
                <w:spacing w:val="4"/>
                <w:sz w:val="20"/>
                <w:szCs w:val="20"/>
              </w:rPr>
              <w:t>厂</w:t>
            </w:r>
            <w:r>
              <w:rPr>
                <w:rFonts w:ascii="宋体" w:hAnsi="宋体" w:eastAsia="宋体" w:cs="宋体"/>
                <w:spacing w:val="3"/>
                <w:sz w:val="20"/>
                <w:szCs w:val="20"/>
              </w:rPr>
              <w:t>区</w:t>
            </w:r>
          </w:p>
          <w:p w14:paraId="191A85D8">
            <w:pPr>
              <w:spacing w:before="30" w:line="230" w:lineRule="auto"/>
              <w:ind w:left="97"/>
              <w:rPr>
                <w:rFonts w:ascii="宋体" w:hAnsi="宋体" w:eastAsia="宋体" w:cs="宋体"/>
                <w:sz w:val="20"/>
                <w:szCs w:val="20"/>
              </w:rPr>
            </w:pPr>
            <w:r>
              <w:rPr>
                <w:rFonts w:ascii="宋体" w:hAnsi="宋体" w:eastAsia="宋体" w:cs="宋体"/>
                <w:spacing w:val="2"/>
                <w:sz w:val="20"/>
                <w:szCs w:val="20"/>
              </w:rPr>
              <w:t>总排</w:t>
            </w:r>
          </w:p>
          <w:p w14:paraId="55511DA9">
            <w:pPr>
              <w:spacing w:before="31" w:line="266" w:lineRule="exact"/>
              <w:ind w:left="226"/>
              <w:rPr>
                <w:rFonts w:ascii="宋体" w:hAnsi="宋体" w:eastAsia="宋体" w:cs="宋体"/>
                <w:sz w:val="20"/>
                <w:szCs w:val="20"/>
              </w:rPr>
            </w:pPr>
            <w:r>
              <w:rPr>
                <w:rFonts w:ascii="宋体" w:hAnsi="宋体" w:eastAsia="宋体" w:cs="宋体"/>
                <w:position w:val="1"/>
                <w:sz w:val="20"/>
                <w:szCs w:val="20"/>
              </w:rPr>
              <w:t>口</w:t>
            </w:r>
          </w:p>
        </w:tc>
        <w:tc>
          <w:tcPr>
            <w:tcW w:w="2141" w:type="dxa"/>
            <w:tcBorders>
              <w:left w:val="single" w:color="000000" w:sz="4" w:space="0"/>
              <w:right w:val="nil"/>
            </w:tcBorders>
            <w:vAlign w:val="top"/>
          </w:tcPr>
          <w:p w14:paraId="275D9FD3">
            <w:pPr>
              <w:spacing w:line="344" w:lineRule="auto"/>
              <w:rPr>
                <w:rFonts w:ascii="Arial"/>
                <w:sz w:val="21"/>
              </w:rPr>
            </w:pPr>
          </w:p>
          <w:p w14:paraId="30B05AFB">
            <w:pPr>
              <w:spacing w:line="345" w:lineRule="auto"/>
              <w:rPr>
                <w:rFonts w:ascii="Arial"/>
                <w:sz w:val="21"/>
              </w:rPr>
            </w:pPr>
          </w:p>
          <w:p w14:paraId="4246DC46">
            <w:pPr>
              <w:spacing w:before="65" w:line="259" w:lineRule="auto"/>
              <w:ind w:left="20" w:right="15" w:hanging="7"/>
              <w:rPr>
                <w:rFonts w:ascii="宋体" w:hAnsi="宋体" w:eastAsia="宋体" w:cs="宋体"/>
                <w:sz w:val="20"/>
                <w:szCs w:val="20"/>
              </w:rPr>
            </w:pPr>
            <w:r>
              <w:rPr>
                <w:rFonts w:ascii="Times New Roman" w:hAnsi="Times New Roman" w:eastAsia="Times New Roman" w:cs="Times New Roman"/>
                <w:spacing w:val="-2"/>
                <w:sz w:val="20"/>
                <w:szCs w:val="20"/>
              </w:rPr>
              <w:t>COD</w:t>
            </w:r>
            <w:r>
              <w:rPr>
                <w:rFonts w:ascii="Times New Roman" w:hAnsi="Times New Roman" w:eastAsia="Times New Roman" w:cs="Times New Roman"/>
                <w:spacing w:val="-4"/>
                <w:sz w:val="20"/>
                <w:szCs w:val="20"/>
              </w:rPr>
              <w:t xml:space="preserve"> </w:t>
            </w:r>
            <w:r>
              <w:rPr>
                <w:rFonts w:ascii="宋体" w:hAnsi="宋体" w:eastAsia="宋体" w:cs="宋体"/>
                <w:spacing w:val="-4"/>
                <w:sz w:val="20"/>
                <w:szCs w:val="20"/>
              </w:rPr>
              <w:t>、</w:t>
            </w:r>
            <w:r>
              <w:rPr>
                <w:rFonts w:ascii="Times New Roman" w:hAnsi="Times New Roman" w:eastAsia="Times New Roman" w:cs="Times New Roman"/>
                <w:spacing w:val="-2"/>
                <w:sz w:val="20"/>
                <w:szCs w:val="20"/>
              </w:rPr>
              <w:t>SS</w:t>
            </w:r>
            <w:r>
              <w:rPr>
                <w:rFonts w:ascii="Times New Roman" w:hAnsi="Times New Roman" w:eastAsia="Times New Roman" w:cs="Times New Roman"/>
                <w:spacing w:val="-4"/>
                <w:sz w:val="20"/>
                <w:szCs w:val="20"/>
              </w:rPr>
              <w:t xml:space="preserve"> </w:t>
            </w:r>
            <w:r>
              <w:rPr>
                <w:rFonts w:ascii="宋体" w:hAnsi="宋体" w:eastAsia="宋体" w:cs="宋体"/>
                <w:spacing w:val="-4"/>
                <w:sz w:val="20"/>
                <w:szCs w:val="20"/>
              </w:rPr>
              <w:t>、氨</w:t>
            </w:r>
            <w:r>
              <w:rPr>
                <w:rFonts w:ascii="宋体" w:hAnsi="宋体" w:eastAsia="宋体" w:cs="宋体"/>
                <w:spacing w:val="-2"/>
                <w:sz w:val="20"/>
                <w:szCs w:val="20"/>
              </w:rPr>
              <w:t>氮、石油</w:t>
            </w:r>
            <w:r>
              <w:rPr>
                <w:rFonts w:ascii="宋体" w:hAnsi="宋体" w:eastAsia="宋体" w:cs="宋体"/>
                <w:sz w:val="20"/>
                <w:szCs w:val="20"/>
              </w:rPr>
              <w:t xml:space="preserve"> </w:t>
            </w:r>
            <w:r>
              <w:rPr>
                <w:rFonts w:ascii="宋体" w:hAnsi="宋体" w:eastAsia="宋体" w:cs="宋体"/>
                <w:spacing w:val="9"/>
                <w:sz w:val="20"/>
                <w:szCs w:val="20"/>
              </w:rPr>
              <w:t>类执行《辽宁省污水</w:t>
            </w:r>
            <w:r>
              <w:rPr>
                <w:rFonts w:ascii="宋体" w:hAnsi="宋体" w:eastAsia="宋体" w:cs="宋体"/>
                <w:spacing w:val="8"/>
                <w:sz w:val="20"/>
                <w:szCs w:val="20"/>
              </w:rPr>
              <w:t>综</w:t>
            </w:r>
          </w:p>
          <w:p w14:paraId="2DEF8D62">
            <w:pPr>
              <w:spacing w:before="3" w:line="246" w:lineRule="auto"/>
              <w:ind w:left="44" w:right="47" w:firstLine="397"/>
              <w:rPr>
                <w:rFonts w:ascii="宋体" w:hAnsi="宋体" w:eastAsia="宋体" w:cs="宋体"/>
                <w:sz w:val="20"/>
                <w:szCs w:val="20"/>
              </w:rPr>
            </w:pPr>
            <w:r>
              <w:rPr>
                <w:rFonts w:ascii="宋体" w:hAnsi="宋体" w:eastAsia="宋体" w:cs="宋体"/>
                <w:spacing w:val="6"/>
                <w:sz w:val="20"/>
                <w:szCs w:val="20"/>
              </w:rPr>
              <w:t>合排放标准》</w:t>
            </w:r>
            <w:r>
              <w:rPr>
                <w:rFonts w:ascii="宋体" w:hAnsi="宋体" w:eastAsia="宋体" w:cs="宋体"/>
                <w:sz w:val="20"/>
                <w:szCs w:val="20"/>
              </w:rPr>
              <w:t xml:space="preserve">    </w:t>
            </w:r>
            <w:r>
              <w:rPr>
                <w:rFonts w:ascii="Times New Roman" w:hAnsi="Times New Roman" w:eastAsia="Times New Roman" w:cs="Times New Roman"/>
                <w:spacing w:val="4"/>
                <w:sz w:val="20"/>
                <w:szCs w:val="20"/>
              </w:rPr>
              <w:t>(</w:t>
            </w:r>
            <w:r>
              <w:rPr>
                <w:rFonts w:ascii="Times New Roman" w:hAnsi="Times New Roman" w:eastAsia="Times New Roman" w:cs="Times New Roman"/>
                <w:sz w:val="20"/>
                <w:szCs w:val="20"/>
              </w:rPr>
              <w:t>DB</w:t>
            </w:r>
            <w:r>
              <w:rPr>
                <w:rFonts w:ascii="Times New Roman" w:hAnsi="Times New Roman" w:eastAsia="Times New Roman" w:cs="Times New Roman"/>
                <w:spacing w:val="4"/>
                <w:sz w:val="20"/>
                <w:szCs w:val="20"/>
              </w:rPr>
              <w:t xml:space="preserve">21/ </w:t>
            </w:r>
            <w:r>
              <w:rPr>
                <w:rFonts w:ascii="Times New Roman" w:hAnsi="Times New Roman" w:eastAsia="Times New Roman" w:cs="Times New Roman"/>
                <w:spacing w:val="3"/>
                <w:sz w:val="20"/>
                <w:szCs w:val="20"/>
              </w:rPr>
              <w:t>1</w:t>
            </w:r>
            <w:r>
              <w:rPr>
                <w:rFonts w:ascii="Times New Roman" w:hAnsi="Times New Roman" w:eastAsia="Times New Roman" w:cs="Times New Roman"/>
                <w:spacing w:val="2"/>
                <w:sz w:val="20"/>
                <w:szCs w:val="20"/>
              </w:rPr>
              <w:t xml:space="preserve">627-2008)  </w:t>
            </w:r>
            <w:r>
              <w:rPr>
                <w:rFonts w:ascii="宋体" w:hAnsi="宋体" w:eastAsia="宋体" w:cs="宋体"/>
                <w:spacing w:val="2"/>
                <w:sz w:val="20"/>
                <w:szCs w:val="20"/>
              </w:rPr>
              <w:t>(即</w:t>
            </w:r>
            <w:r>
              <w:rPr>
                <w:rFonts w:ascii="宋体" w:hAnsi="宋体" w:eastAsia="宋体" w:cs="宋体"/>
                <w:sz w:val="20"/>
                <w:szCs w:val="20"/>
              </w:rPr>
              <w:t xml:space="preserve"> </w:t>
            </w:r>
            <w:r>
              <w:rPr>
                <w:rFonts w:ascii="Times New Roman" w:hAnsi="Times New Roman" w:eastAsia="Times New Roman" w:cs="Times New Roman"/>
                <w:sz w:val="20"/>
                <w:szCs w:val="20"/>
              </w:rPr>
              <w:t>COD</w:t>
            </w:r>
            <w:r>
              <w:rPr>
                <w:rFonts w:ascii="宋体" w:hAnsi="宋体" w:eastAsia="宋体" w:cs="宋体"/>
                <w:spacing w:val="12"/>
                <w:sz w:val="20"/>
                <w:szCs w:val="20"/>
              </w:rPr>
              <w:t>：</w:t>
            </w:r>
            <w:r>
              <w:rPr>
                <w:rFonts w:ascii="Times New Roman" w:hAnsi="Times New Roman" w:eastAsia="Times New Roman" w:cs="Times New Roman"/>
                <w:spacing w:val="11"/>
                <w:sz w:val="20"/>
                <w:szCs w:val="20"/>
              </w:rPr>
              <w:t>300</w:t>
            </w:r>
            <w:r>
              <w:rPr>
                <w:rFonts w:ascii="Times New Roman" w:hAnsi="Times New Roman" w:eastAsia="Times New Roman" w:cs="Times New Roman"/>
                <w:sz w:val="20"/>
                <w:szCs w:val="20"/>
              </w:rPr>
              <w:t>mg</w:t>
            </w:r>
            <w:r>
              <w:rPr>
                <w:rFonts w:ascii="Times New Roman" w:hAnsi="Times New Roman" w:eastAsia="Times New Roman" w:cs="Times New Roman"/>
                <w:spacing w:val="11"/>
                <w:sz w:val="20"/>
                <w:szCs w:val="20"/>
              </w:rPr>
              <w:t>/</w:t>
            </w:r>
            <w:r>
              <w:rPr>
                <w:rFonts w:ascii="Times New Roman" w:hAnsi="Times New Roman" w:eastAsia="Times New Roman" w:cs="Times New Roman"/>
                <w:sz w:val="20"/>
                <w:szCs w:val="20"/>
              </w:rPr>
              <w:t>L</w:t>
            </w:r>
            <w:r>
              <w:rPr>
                <w:rFonts w:ascii="宋体" w:hAnsi="宋体" w:eastAsia="宋体" w:cs="宋体"/>
                <w:spacing w:val="11"/>
                <w:sz w:val="20"/>
                <w:szCs w:val="20"/>
              </w:rPr>
              <w:t>；石油</w:t>
            </w:r>
          </w:p>
          <w:p w14:paraId="0A9BC309">
            <w:pPr>
              <w:spacing w:line="265" w:lineRule="auto"/>
              <w:ind w:left="14" w:firstLine="90"/>
              <w:rPr>
                <w:rFonts w:ascii="宋体" w:hAnsi="宋体" w:eastAsia="宋体" w:cs="宋体"/>
                <w:sz w:val="20"/>
                <w:szCs w:val="20"/>
              </w:rPr>
            </w:pPr>
            <w:r>
              <w:rPr>
                <w:rFonts w:ascii="宋体" w:hAnsi="宋体" w:eastAsia="宋体" w:cs="宋体"/>
                <w:spacing w:val="2"/>
                <w:sz w:val="20"/>
                <w:szCs w:val="20"/>
              </w:rPr>
              <w:t>类：</w:t>
            </w:r>
            <w:r>
              <w:rPr>
                <w:rFonts w:ascii="Times New Roman" w:hAnsi="Times New Roman" w:eastAsia="Times New Roman" w:cs="Times New Roman"/>
                <w:spacing w:val="2"/>
                <w:sz w:val="20"/>
                <w:szCs w:val="20"/>
              </w:rPr>
              <w:t>20</w:t>
            </w:r>
            <w:r>
              <w:rPr>
                <w:rFonts w:ascii="Times New Roman" w:hAnsi="Times New Roman" w:eastAsia="Times New Roman" w:cs="Times New Roman"/>
                <w:sz w:val="20"/>
                <w:szCs w:val="20"/>
              </w:rPr>
              <w:t>mg</w:t>
            </w:r>
            <w:r>
              <w:rPr>
                <w:rFonts w:ascii="Times New Roman" w:hAnsi="Times New Roman" w:eastAsia="Times New Roman" w:cs="Times New Roman"/>
                <w:spacing w:val="2"/>
                <w:sz w:val="20"/>
                <w:szCs w:val="20"/>
              </w:rPr>
              <w:t>/</w:t>
            </w:r>
            <w:r>
              <w:rPr>
                <w:rFonts w:ascii="Times New Roman" w:hAnsi="Times New Roman" w:eastAsia="Times New Roman" w:cs="Times New Roman"/>
                <w:sz w:val="20"/>
                <w:szCs w:val="20"/>
              </w:rPr>
              <w:t>L</w:t>
            </w:r>
            <w:r>
              <w:rPr>
                <w:rFonts w:ascii="宋体" w:hAnsi="宋体" w:eastAsia="宋体" w:cs="宋体"/>
                <w:spacing w:val="1"/>
                <w:sz w:val="20"/>
                <w:szCs w:val="20"/>
              </w:rPr>
              <w:t>；氨氮：</w:t>
            </w:r>
            <w:r>
              <w:rPr>
                <w:rFonts w:ascii="宋体" w:hAnsi="宋体" w:eastAsia="宋体" w:cs="宋体"/>
                <w:sz w:val="20"/>
                <w:szCs w:val="20"/>
              </w:rPr>
              <w:t xml:space="preserve">  </w:t>
            </w:r>
            <w:r>
              <w:rPr>
                <w:rFonts w:ascii="Times New Roman" w:hAnsi="Times New Roman" w:eastAsia="Times New Roman" w:cs="Times New Roman"/>
                <w:spacing w:val="-6"/>
                <w:sz w:val="20"/>
                <w:szCs w:val="20"/>
              </w:rPr>
              <w:t>30</w:t>
            </w:r>
            <w:r>
              <w:rPr>
                <w:rFonts w:ascii="Times New Roman" w:hAnsi="Times New Roman" w:eastAsia="Times New Roman" w:cs="Times New Roman"/>
                <w:spacing w:val="-3"/>
                <w:sz w:val="20"/>
                <w:szCs w:val="20"/>
              </w:rPr>
              <w:t>mg</w:t>
            </w:r>
            <w:r>
              <w:rPr>
                <w:rFonts w:ascii="Times New Roman" w:hAnsi="Times New Roman" w:eastAsia="Times New Roman" w:cs="Times New Roman"/>
                <w:spacing w:val="-6"/>
                <w:sz w:val="20"/>
                <w:szCs w:val="20"/>
              </w:rPr>
              <w:t>/</w:t>
            </w:r>
            <w:r>
              <w:rPr>
                <w:rFonts w:ascii="Times New Roman" w:hAnsi="Times New Roman" w:eastAsia="Times New Roman" w:cs="Times New Roman"/>
                <w:spacing w:val="-3"/>
                <w:sz w:val="20"/>
                <w:szCs w:val="20"/>
              </w:rPr>
              <w:t>L</w:t>
            </w:r>
            <w:r>
              <w:rPr>
                <w:rFonts w:ascii="宋体" w:hAnsi="宋体" w:eastAsia="宋体" w:cs="宋体"/>
                <w:spacing w:val="-4"/>
                <w:sz w:val="20"/>
                <w:szCs w:val="20"/>
              </w:rPr>
              <w:t>；</w:t>
            </w:r>
            <w:r>
              <w:rPr>
                <w:rFonts w:ascii="Times New Roman" w:hAnsi="Times New Roman" w:eastAsia="Times New Roman" w:cs="Times New Roman"/>
                <w:spacing w:val="-3"/>
                <w:sz w:val="20"/>
                <w:szCs w:val="20"/>
              </w:rPr>
              <w:t>SS</w:t>
            </w:r>
            <w:r>
              <w:rPr>
                <w:rFonts w:ascii="宋体" w:hAnsi="宋体" w:eastAsia="宋体" w:cs="宋体"/>
                <w:spacing w:val="-3"/>
                <w:sz w:val="20"/>
                <w:szCs w:val="20"/>
              </w:rPr>
              <w:t>：</w:t>
            </w:r>
            <w:r>
              <w:rPr>
                <w:rFonts w:ascii="Times New Roman" w:hAnsi="Times New Roman" w:eastAsia="Times New Roman" w:cs="Times New Roman"/>
                <w:spacing w:val="-3"/>
                <w:sz w:val="20"/>
                <w:szCs w:val="20"/>
              </w:rPr>
              <w:t>300mg/L</w:t>
            </w:r>
            <w:r>
              <w:rPr>
                <w:rFonts w:ascii="宋体" w:hAnsi="宋体" w:eastAsia="宋体" w:cs="宋体"/>
                <w:spacing w:val="-3"/>
                <w:sz w:val="20"/>
                <w:szCs w:val="20"/>
              </w:rPr>
              <w:t>)</w:t>
            </w:r>
          </w:p>
        </w:tc>
      </w:tr>
      <w:tr w14:paraId="11919E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8" w:hRule="atLeast"/>
        </w:trPr>
        <w:tc>
          <w:tcPr>
            <w:tcW w:w="480" w:type="dxa"/>
            <w:vMerge w:val="continue"/>
            <w:tcBorders>
              <w:top w:val="nil"/>
              <w:left w:val="nil"/>
              <w:bottom w:val="nil"/>
              <w:right w:val="single" w:color="000000" w:sz="4" w:space="0"/>
            </w:tcBorders>
            <w:vAlign w:val="top"/>
          </w:tcPr>
          <w:p w14:paraId="013BF133">
            <w:pPr>
              <w:rPr>
                <w:rFonts w:ascii="Arial"/>
                <w:sz w:val="21"/>
              </w:rPr>
            </w:pPr>
          </w:p>
        </w:tc>
        <w:tc>
          <w:tcPr>
            <w:tcW w:w="510" w:type="dxa"/>
            <w:vMerge w:val="restart"/>
            <w:tcBorders>
              <w:left w:val="single" w:color="000000" w:sz="4" w:space="0"/>
              <w:bottom w:val="nil"/>
              <w:right w:val="single" w:color="000000" w:sz="4" w:space="0"/>
            </w:tcBorders>
            <w:textDirection w:val="tbRlV"/>
            <w:vAlign w:val="top"/>
          </w:tcPr>
          <w:p w14:paraId="7DA40204">
            <w:pPr>
              <w:spacing w:before="146" w:line="216" w:lineRule="auto"/>
              <w:ind w:left="1881"/>
              <w:rPr>
                <w:rFonts w:ascii="宋体" w:hAnsi="宋体" w:eastAsia="宋体" w:cs="宋体"/>
                <w:sz w:val="20"/>
                <w:szCs w:val="20"/>
              </w:rPr>
            </w:pPr>
            <w:r>
              <w:rPr>
                <w:rFonts w:ascii="宋体" w:hAnsi="宋体" w:eastAsia="宋体" w:cs="宋体"/>
                <w:spacing w:val="-9"/>
                <w:sz w:val="20"/>
                <w:szCs w:val="20"/>
              </w:rPr>
              <w:t>地</w:t>
            </w:r>
            <w:r>
              <w:rPr>
                <w:rFonts w:ascii="宋体" w:hAnsi="宋体" w:eastAsia="宋体" w:cs="宋体"/>
                <w:spacing w:val="-6"/>
                <w:sz w:val="20"/>
                <w:szCs w:val="20"/>
              </w:rPr>
              <w:t xml:space="preserve"> 下 水</w:t>
            </w:r>
          </w:p>
        </w:tc>
        <w:tc>
          <w:tcPr>
            <w:tcW w:w="1170" w:type="dxa"/>
            <w:tcBorders>
              <w:left w:val="single" w:color="000000" w:sz="4" w:space="0"/>
              <w:right w:val="single" w:color="000000" w:sz="4" w:space="0"/>
            </w:tcBorders>
            <w:vAlign w:val="top"/>
          </w:tcPr>
          <w:p w14:paraId="3D046ED3">
            <w:pPr>
              <w:spacing w:line="254" w:lineRule="auto"/>
              <w:rPr>
                <w:rFonts w:ascii="Arial"/>
                <w:sz w:val="21"/>
              </w:rPr>
            </w:pPr>
          </w:p>
          <w:p w14:paraId="415C6791">
            <w:pPr>
              <w:spacing w:line="255" w:lineRule="auto"/>
              <w:rPr>
                <w:rFonts w:ascii="Arial"/>
                <w:sz w:val="21"/>
              </w:rPr>
            </w:pPr>
          </w:p>
          <w:p w14:paraId="2B2F908D">
            <w:pPr>
              <w:spacing w:before="65" w:line="228" w:lineRule="auto"/>
              <w:ind w:left="10"/>
              <w:rPr>
                <w:rFonts w:ascii="宋体" w:hAnsi="宋体" w:eastAsia="宋体" w:cs="宋体"/>
                <w:sz w:val="20"/>
                <w:szCs w:val="20"/>
              </w:rPr>
            </w:pPr>
            <w:r>
              <w:rPr>
                <w:rFonts w:ascii="宋体" w:hAnsi="宋体" w:eastAsia="宋体" w:cs="宋体"/>
                <w:spacing w:val="-13"/>
                <w:sz w:val="20"/>
                <w:szCs w:val="20"/>
              </w:rPr>
              <w:t>生</w:t>
            </w:r>
            <w:r>
              <w:rPr>
                <w:rFonts w:ascii="宋体" w:hAnsi="宋体" w:eastAsia="宋体" w:cs="宋体"/>
                <w:spacing w:val="-8"/>
                <w:sz w:val="20"/>
                <w:szCs w:val="20"/>
              </w:rPr>
              <w:t>产厂房、成</w:t>
            </w:r>
          </w:p>
          <w:p w14:paraId="1AC730ED">
            <w:pPr>
              <w:spacing w:before="64" w:line="228" w:lineRule="auto"/>
              <w:ind w:left="79"/>
              <w:rPr>
                <w:rFonts w:ascii="宋体" w:hAnsi="宋体" w:eastAsia="宋体" w:cs="宋体"/>
                <w:sz w:val="20"/>
                <w:szCs w:val="20"/>
              </w:rPr>
            </w:pPr>
            <w:r>
              <w:rPr>
                <w:rFonts w:ascii="宋体" w:hAnsi="宋体" w:eastAsia="宋体" w:cs="宋体"/>
                <w:spacing w:val="7"/>
                <w:sz w:val="20"/>
                <w:szCs w:val="20"/>
              </w:rPr>
              <w:t>品</w:t>
            </w:r>
            <w:r>
              <w:rPr>
                <w:rFonts w:ascii="宋体" w:hAnsi="宋体" w:eastAsia="宋体" w:cs="宋体"/>
                <w:spacing w:val="4"/>
                <w:sz w:val="20"/>
                <w:szCs w:val="20"/>
              </w:rPr>
              <w:t>库、原料</w:t>
            </w:r>
          </w:p>
          <w:p w14:paraId="37C95229">
            <w:pPr>
              <w:spacing w:before="65" w:line="228" w:lineRule="auto"/>
              <w:ind w:left="9"/>
              <w:rPr>
                <w:rFonts w:ascii="宋体" w:hAnsi="宋体" w:eastAsia="宋体" w:cs="宋体"/>
                <w:sz w:val="20"/>
                <w:szCs w:val="20"/>
              </w:rPr>
            </w:pPr>
            <w:r>
              <w:rPr>
                <w:rFonts w:ascii="宋体" w:hAnsi="宋体" w:eastAsia="宋体" w:cs="宋体"/>
                <w:spacing w:val="-10"/>
                <w:sz w:val="20"/>
                <w:szCs w:val="20"/>
              </w:rPr>
              <w:t>库</w:t>
            </w:r>
            <w:r>
              <w:rPr>
                <w:rFonts w:ascii="宋体" w:hAnsi="宋体" w:eastAsia="宋体" w:cs="宋体"/>
                <w:spacing w:val="-8"/>
                <w:sz w:val="20"/>
                <w:szCs w:val="20"/>
              </w:rPr>
              <w:t>、三级沉淀</w:t>
            </w:r>
          </w:p>
          <w:p w14:paraId="0B9951F1">
            <w:pPr>
              <w:spacing w:before="65" w:line="237" w:lineRule="auto"/>
              <w:ind w:left="9"/>
              <w:rPr>
                <w:rFonts w:ascii="宋体" w:hAnsi="宋体" w:eastAsia="宋体" w:cs="宋体"/>
                <w:sz w:val="20"/>
                <w:szCs w:val="20"/>
              </w:rPr>
            </w:pPr>
            <w:r>
              <w:rPr>
                <w:rFonts w:ascii="宋体" w:hAnsi="宋体" w:eastAsia="宋体" w:cs="宋体"/>
                <w:spacing w:val="-10"/>
                <w:sz w:val="20"/>
                <w:szCs w:val="20"/>
              </w:rPr>
              <w:t>池</w:t>
            </w:r>
            <w:r>
              <w:rPr>
                <w:rFonts w:ascii="宋体" w:hAnsi="宋体" w:eastAsia="宋体" w:cs="宋体"/>
                <w:spacing w:val="-8"/>
                <w:sz w:val="20"/>
                <w:szCs w:val="20"/>
              </w:rPr>
              <w:t>、旱厕、危</w:t>
            </w:r>
          </w:p>
          <w:p w14:paraId="19A0CE88">
            <w:pPr>
              <w:spacing w:before="54" w:line="228" w:lineRule="auto"/>
              <w:ind w:left="190"/>
              <w:rPr>
                <w:rFonts w:ascii="宋体" w:hAnsi="宋体" w:eastAsia="宋体" w:cs="宋体"/>
                <w:sz w:val="20"/>
                <w:szCs w:val="20"/>
              </w:rPr>
            </w:pPr>
            <w:r>
              <w:rPr>
                <w:rFonts w:ascii="宋体" w:hAnsi="宋体" w:eastAsia="宋体" w:cs="宋体"/>
                <w:spacing w:val="-1"/>
                <w:sz w:val="20"/>
                <w:szCs w:val="20"/>
              </w:rPr>
              <w:t>废暂存</w:t>
            </w:r>
            <w:r>
              <w:rPr>
                <w:rFonts w:ascii="宋体" w:hAnsi="宋体" w:eastAsia="宋体" w:cs="宋体"/>
                <w:sz w:val="20"/>
                <w:szCs w:val="20"/>
              </w:rPr>
              <w:t>间</w:t>
            </w:r>
          </w:p>
        </w:tc>
        <w:tc>
          <w:tcPr>
            <w:tcW w:w="645" w:type="dxa"/>
            <w:vMerge w:val="restart"/>
            <w:tcBorders>
              <w:left w:val="single" w:color="000000" w:sz="4" w:space="0"/>
              <w:bottom w:val="nil"/>
              <w:right w:val="single" w:color="000000" w:sz="4" w:space="0"/>
            </w:tcBorders>
            <w:vAlign w:val="top"/>
          </w:tcPr>
          <w:p w14:paraId="0830D019">
            <w:pPr>
              <w:spacing w:line="244" w:lineRule="auto"/>
              <w:rPr>
                <w:rFonts w:ascii="Arial"/>
                <w:sz w:val="21"/>
              </w:rPr>
            </w:pPr>
          </w:p>
          <w:p w14:paraId="22B5D0BF">
            <w:pPr>
              <w:spacing w:line="244" w:lineRule="auto"/>
              <w:rPr>
                <w:rFonts w:ascii="Arial"/>
                <w:sz w:val="21"/>
              </w:rPr>
            </w:pPr>
          </w:p>
          <w:p w14:paraId="32BD1307">
            <w:pPr>
              <w:spacing w:line="244" w:lineRule="auto"/>
              <w:rPr>
                <w:rFonts w:ascii="Arial"/>
                <w:sz w:val="21"/>
              </w:rPr>
            </w:pPr>
          </w:p>
          <w:p w14:paraId="45E791E1">
            <w:pPr>
              <w:spacing w:line="244" w:lineRule="auto"/>
              <w:rPr>
                <w:rFonts w:ascii="Arial"/>
                <w:sz w:val="21"/>
              </w:rPr>
            </w:pPr>
          </w:p>
          <w:p w14:paraId="7C7D54F3">
            <w:pPr>
              <w:spacing w:line="244" w:lineRule="auto"/>
              <w:rPr>
                <w:rFonts w:ascii="Arial"/>
                <w:sz w:val="21"/>
              </w:rPr>
            </w:pPr>
          </w:p>
          <w:p w14:paraId="2014C2C5">
            <w:pPr>
              <w:spacing w:line="244" w:lineRule="auto"/>
              <w:rPr>
                <w:rFonts w:ascii="Arial"/>
                <w:sz w:val="21"/>
              </w:rPr>
            </w:pPr>
          </w:p>
          <w:p w14:paraId="400A25E7">
            <w:pPr>
              <w:spacing w:line="245" w:lineRule="auto"/>
              <w:rPr>
                <w:rFonts w:ascii="Arial"/>
                <w:sz w:val="21"/>
              </w:rPr>
            </w:pPr>
          </w:p>
          <w:p w14:paraId="423EC35B">
            <w:pPr>
              <w:spacing w:before="58" w:line="195" w:lineRule="auto"/>
              <w:ind w:left="2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CODcr</w:t>
            </w:r>
          </w:p>
          <w:p w14:paraId="59063F4F">
            <w:pPr>
              <w:spacing w:before="55" w:line="227" w:lineRule="auto"/>
              <w:ind w:left="115"/>
              <w:rPr>
                <w:rFonts w:ascii="宋体" w:hAnsi="宋体" w:eastAsia="宋体" w:cs="宋体"/>
                <w:sz w:val="20"/>
                <w:szCs w:val="20"/>
              </w:rPr>
            </w:pPr>
            <w:r>
              <w:rPr>
                <w:rFonts w:ascii="宋体" w:hAnsi="宋体" w:eastAsia="宋体" w:cs="宋体"/>
                <w:spacing w:val="5"/>
                <w:sz w:val="20"/>
                <w:szCs w:val="20"/>
              </w:rPr>
              <w:t>氨</w:t>
            </w:r>
            <w:r>
              <w:rPr>
                <w:rFonts w:ascii="宋体" w:hAnsi="宋体" w:eastAsia="宋体" w:cs="宋体"/>
                <w:spacing w:val="4"/>
                <w:sz w:val="20"/>
                <w:szCs w:val="20"/>
              </w:rPr>
              <w:t>氮</w:t>
            </w:r>
          </w:p>
          <w:p w14:paraId="6D27C3AC">
            <w:pPr>
              <w:spacing w:before="70" w:line="195" w:lineRule="auto"/>
              <w:ind w:left="21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S</w:t>
            </w:r>
            <w:r>
              <w:rPr>
                <w:rFonts w:ascii="Times New Roman" w:hAnsi="Times New Roman" w:eastAsia="Times New Roman" w:cs="Times New Roman"/>
                <w:spacing w:val="-2"/>
                <w:sz w:val="20"/>
                <w:szCs w:val="20"/>
              </w:rPr>
              <w:t>S</w:t>
            </w:r>
          </w:p>
          <w:p w14:paraId="31361E7B">
            <w:pPr>
              <w:spacing w:before="93" w:line="195" w:lineRule="auto"/>
              <w:ind w:left="9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BOD</w:t>
            </w:r>
          </w:p>
        </w:tc>
        <w:tc>
          <w:tcPr>
            <w:tcW w:w="2780" w:type="dxa"/>
            <w:vMerge w:val="restart"/>
            <w:tcBorders>
              <w:left w:val="single" w:color="000000" w:sz="4" w:space="0"/>
              <w:bottom w:val="nil"/>
              <w:right w:val="single" w:color="000000" w:sz="4" w:space="0"/>
            </w:tcBorders>
            <w:vAlign w:val="top"/>
          </w:tcPr>
          <w:p w14:paraId="550ABCF7">
            <w:pPr>
              <w:spacing w:line="257" w:lineRule="auto"/>
              <w:rPr>
                <w:rFonts w:ascii="Arial"/>
                <w:sz w:val="21"/>
              </w:rPr>
            </w:pPr>
          </w:p>
          <w:p w14:paraId="407C4C40">
            <w:pPr>
              <w:spacing w:line="258" w:lineRule="auto"/>
              <w:rPr>
                <w:rFonts w:ascii="Arial"/>
                <w:sz w:val="21"/>
              </w:rPr>
            </w:pPr>
          </w:p>
          <w:p w14:paraId="278FE897">
            <w:pPr>
              <w:spacing w:line="258" w:lineRule="auto"/>
              <w:rPr>
                <w:rFonts w:ascii="Arial"/>
                <w:sz w:val="21"/>
              </w:rPr>
            </w:pPr>
          </w:p>
          <w:p w14:paraId="2EFB6A98">
            <w:pPr>
              <w:spacing w:line="258" w:lineRule="auto"/>
              <w:rPr>
                <w:rFonts w:ascii="Arial"/>
                <w:sz w:val="21"/>
              </w:rPr>
            </w:pPr>
          </w:p>
          <w:p w14:paraId="63A06AEB">
            <w:pPr>
              <w:spacing w:line="258" w:lineRule="auto"/>
              <w:rPr>
                <w:rFonts w:ascii="Arial"/>
                <w:sz w:val="21"/>
              </w:rPr>
            </w:pPr>
          </w:p>
          <w:p w14:paraId="25657F51">
            <w:pPr>
              <w:spacing w:line="258" w:lineRule="auto"/>
              <w:rPr>
                <w:rFonts w:ascii="Arial"/>
                <w:sz w:val="21"/>
              </w:rPr>
            </w:pPr>
          </w:p>
          <w:p w14:paraId="70D697DD">
            <w:pPr>
              <w:spacing w:line="258" w:lineRule="auto"/>
              <w:rPr>
                <w:rFonts w:ascii="Arial"/>
                <w:sz w:val="21"/>
              </w:rPr>
            </w:pPr>
          </w:p>
          <w:p w14:paraId="7C41D086">
            <w:pPr>
              <w:spacing w:before="65" w:line="228" w:lineRule="auto"/>
              <w:ind w:left="29"/>
              <w:rPr>
                <w:rFonts w:ascii="宋体" w:hAnsi="宋体" w:eastAsia="宋体" w:cs="宋体"/>
                <w:sz w:val="20"/>
                <w:szCs w:val="20"/>
              </w:rPr>
            </w:pPr>
            <w:r>
              <w:rPr>
                <w:rFonts w:ascii="宋体" w:hAnsi="宋体" w:eastAsia="宋体" w:cs="宋体"/>
                <w:spacing w:val="10"/>
                <w:sz w:val="20"/>
                <w:szCs w:val="20"/>
              </w:rPr>
              <w:t>在</w:t>
            </w:r>
            <w:r>
              <w:rPr>
                <w:rFonts w:ascii="宋体" w:hAnsi="宋体" w:eastAsia="宋体" w:cs="宋体"/>
                <w:spacing w:val="9"/>
                <w:sz w:val="20"/>
                <w:szCs w:val="20"/>
              </w:rPr>
              <w:t>厂</w:t>
            </w:r>
            <w:r>
              <w:rPr>
                <w:rFonts w:ascii="宋体" w:hAnsi="宋体" w:eastAsia="宋体" w:cs="宋体"/>
                <w:spacing w:val="5"/>
                <w:sz w:val="20"/>
                <w:szCs w:val="20"/>
              </w:rPr>
              <w:t xml:space="preserve">区上游、下游各设置 </w:t>
            </w:r>
            <w:r>
              <w:rPr>
                <w:rFonts w:ascii="Times New Roman" w:hAnsi="Times New Roman" w:eastAsia="Times New Roman" w:cs="Times New Roman"/>
                <w:spacing w:val="5"/>
                <w:sz w:val="20"/>
                <w:szCs w:val="20"/>
              </w:rPr>
              <w:t xml:space="preserve">1 </w:t>
            </w:r>
            <w:r>
              <w:rPr>
                <w:rFonts w:ascii="宋体" w:hAnsi="宋体" w:eastAsia="宋体" w:cs="宋体"/>
                <w:spacing w:val="5"/>
                <w:sz w:val="20"/>
                <w:szCs w:val="20"/>
              </w:rPr>
              <w:t>眼</w:t>
            </w:r>
          </w:p>
          <w:p w14:paraId="21D84252">
            <w:pPr>
              <w:spacing w:before="32" w:line="228" w:lineRule="auto"/>
              <w:ind w:left="27"/>
              <w:rPr>
                <w:rFonts w:ascii="宋体" w:hAnsi="宋体" w:eastAsia="宋体" w:cs="宋体"/>
                <w:sz w:val="20"/>
                <w:szCs w:val="20"/>
              </w:rPr>
            </w:pPr>
            <w:r>
              <w:rPr>
                <w:rFonts w:ascii="宋体" w:hAnsi="宋体" w:eastAsia="宋体" w:cs="宋体"/>
                <w:spacing w:val="12"/>
                <w:sz w:val="20"/>
                <w:szCs w:val="20"/>
              </w:rPr>
              <w:t>地</w:t>
            </w:r>
            <w:r>
              <w:rPr>
                <w:rFonts w:ascii="宋体" w:hAnsi="宋体" w:eastAsia="宋体" w:cs="宋体"/>
                <w:spacing w:val="9"/>
                <w:sz w:val="20"/>
                <w:szCs w:val="20"/>
              </w:rPr>
              <w:t>下水跟踪监测井，定期对地</w:t>
            </w:r>
          </w:p>
          <w:p w14:paraId="7B0C84B5">
            <w:pPr>
              <w:spacing w:before="31" w:line="228" w:lineRule="auto"/>
              <w:ind w:left="559"/>
              <w:rPr>
                <w:rFonts w:ascii="宋体" w:hAnsi="宋体" w:eastAsia="宋体" w:cs="宋体"/>
                <w:sz w:val="20"/>
                <w:szCs w:val="20"/>
              </w:rPr>
            </w:pPr>
            <w:r>
              <w:rPr>
                <w:rFonts w:ascii="宋体" w:hAnsi="宋体" w:eastAsia="宋体" w:cs="宋体"/>
                <w:spacing w:val="8"/>
                <w:sz w:val="20"/>
                <w:szCs w:val="20"/>
              </w:rPr>
              <w:t>下水环境进行监</w:t>
            </w:r>
            <w:r>
              <w:rPr>
                <w:rFonts w:ascii="宋体" w:hAnsi="宋体" w:eastAsia="宋体" w:cs="宋体"/>
                <w:spacing w:val="7"/>
                <w:sz w:val="20"/>
                <w:szCs w:val="20"/>
              </w:rPr>
              <w:t>测</w:t>
            </w:r>
          </w:p>
        </w:tc>
        <w:tc>
          <w:tcPr>
            <w:tcW w:w="594" w:type="dxa"/>
            <w:vMerge w:val="restart"/>
            <w:tcBorders>
              <w:left w:val="single" w:color="000000" w:sz="4" w:space="0"/>
              <w:bottom w:val="nil"/>
              <w:right w:val="single" w:color="000000" w:sz="4" w:space="0"/>
            </w:tcBorders>
            <w:vAlign w:val="top"/>
          </w:tcPr>
          <w:p w14:paraId="21836C36">
            <w:pPr>
              <w:spacing w:line="256" w:lineRule="auto"/>
              <w:rPr>
                <w:rFonts w:ascii="Arial"/>
                <w:sz w:val="21"/>
              </w:rPr>
            </w:pPr>
          </w:p>
          <w:p w14:paraId="2191EFDE">
            <w:pPr>
              <w:spacing w:line="256" w:lineRule="auto"/>
              <w:rPr>
                <w:rFonts w:ascii="Arial"/>
                <w:sz w:val="21"/>
              </w:rPr>
            </w:pPr>
          </w:p>
          <w:p w14:paraId="03050957">
            <w:pPr>
              <w:spacing w:line="257" w:lineRule="auto"/>
              <w:rPr>
                <w:rFonts w:ascii="Arial"/>
                <w:sz w:val="21"/>
              </w:rPr>
            </w:pPr>
          </w:p>
          <w:p w14:paraId="530E00CD">
            <w:pPr>
              <w:spacing w:line="257" w:lineRule="auto"/>
              <w:rPr>
                <w:rFonts w:ascii="Arial"/>
                <w:sz w:val="21"/>
              </w:rPr>
            </w:pPr>
          </w:p>
          <w:p w14:paraId="64B5B85B">
            <w:pPr>
              <w:spacing w:line="257" w:lineRule="auto"/>
              <w:rPr>
                <w:rFonts w:ascii="Arial"/>
                <w:sz w:val="21"/>
              </w:rPr>
            </w:pPr>
          </w:p>
          <w:p w14:paraId="149C51BD">
            <w:pPr>
              <w:spacing w:line="257" w:lineRule="auto"/>
              <w:rPr>
                <w:rFonts w:ascii="Arial"/>
                <w:sz w:val="21"/>
              </w:rPr>
            </w:pPr>
          </w:p>
          <w:p w14:paraId="014B6698">
            <w:pPr>
              <w:spacing w:line="257" w:lineRule="auto"/>
              <w:rPr>
                <w:rFonts w:ascii="Arial"/>
                <w:sz w:val="21"/>
              </w:rPr>
            </w:pPr>
          </w:p>
          <w:p w14:paraId="4F4E59C6">
            <w:pPr>
              <w:spacing w:line="257" w:lineRule="auto"/>
              <w:rPr>
                <w:rFonts w:ascii="Arial"/>
                <w:sz w:val="21"/>
              </w:rPr>
            </w:pPr>
          </w:p>
          <w:p w14:paraId="2235D176">
            <w:pPr>
              <w:spacing w:before="57" w:line="281" w:lineRule="exact"/>
              <w:ind w:left="26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2141" w:type="dxa"/>
            <w:tcBorders>
              <w:left w:val="single" w:color="000000" w:sz="4" w:space="0"/>
              <w:right w:val="nil"/>
            </w:tcBorders>
            <w:vAlign w:val="top"/>
          </w:tcPr>
          <w:p w14:paraId="28C65891">
            <w:pPr>
              <w:tabs>
                <w:tab w:val="left" w:pos="120"/>
              </w:tabs>
              <w:spacing w:before="40" w:line="237" w:lineRule="auto"/>
              <w:ind w:left="10"/>
              <w:rPr>
                <w:rFonts w:ascii="宋体" w:hAnsi="宋体" w:eastAsia="宋体" w:cs="宋体"/>
                <w:sz w:val="20"/>
                <w:szCs w:val="20"/>
              </w:rPr>
            </w:pPr>
            <w:r>
              <w:rPr>
                <w:rFonts w:ascii="宋体" w:hAnsi="宋体" w:eastAsia="宋体" w:cs="宋体"/>
                <w:spacing w:val="-1"/>
                <w:sz w:val="20"/>
                <w:szCs w:val="20"/>
              </w:rPr>
              <w:t xml:space="preserve">底部铺设 </w:t>
            </w:r>
            <w:r>
              <w:rPr>
                <w:rFonts w:ascii="Times New Roman" w:hAnsi="Times New Roman" w:eastAsia="Times New Roman" w:cs="Times New Roman"/>
                <w:spacing w:val="-1"/>
                <w:sz w:val="20"/>
                <w:szCs w:val="20"/>
              </w:rPr>
              <w:t>300</w:t>
            </w:r>
            <w:r>
              <w:rPr>
                <w:rFonts w:ascii="Times New Roman" w:hAnsi="Times New Roman" w:eastAsia="Times New Roman" w:cs="Times New Roman"/>
                <w:sz w:val="20"/>
                <w:szCs w:val="20"/>
              </w:rPr>
              <w:t>mm</w:t>
            </w:r>
            <w:r>
              <w:rPr>
                <w:rFonts w:ascii="宋体" w:hAnsi="宋体" w:eastAsia="宋体" w:cs="宋体"/>
                <w:spacing w:val="-1"/>
                <w:sz w:val="20"/>
                <w:szCs w:val="20"/>
              </w:rPr>
              <w:t>黏</w:t>
            </w:r>
            <w:r>
              <w:rPr>
                <w:rFonts w:ascii="宋体" w:hAnsi="宋体" w:eastAsia="宋体" w:cs="宋体"/>
                <w:sz w:val="20"/>
                <w:szCs w:val="20"/>
              </w:rPr>
              <w:t xml:space="preserve">土层 </w:t>
            </w:r>
            <w:r>
              <w:rPr>
                <w:rFonts w:ascii="宋体" w:hAnsi="宋体" w:eastAsia="宋体" w:cs="宋体"/>
                <w:sz w:val="20"/>
                <w:szCs w:val="20"/>
              </w:rPr>
              <w:tab/>
            </w:r>
            <w:r>
              <w:rPr>
                <w:rFonts w:ascii="宋体" w:hAnsi="宋体" w:eastAsia="宋体" w:cs="宋体"/>
                <w:spacing w:val="-10"/>
                <w:sz w:val="20"/>
                <w:szCs w:val="20"/>
              </w:rPr>
              <w:t>(保护层，同时作为辅</w:t>
            </w:r>
            <w:r>
              <w:rPr>
                <w:rFonts w:ascii="宋体" w:hAnsi="宋体" w:eastAsia="宋体" w:cs="宋体"/>
                <w:spacing w:val="-9"/>
                <w:sz w:val="20"/>
                <w:szCs w:val="20"/>
              </w:rPr>
              <w:t>助</w:t>
            </w:r>
            <w:r>
              <w:rPr>
                <w:rFonts w:ascii="宋体" w:hAnsi="宋体" w:eastAsia="宋体" w:cs="宋体"/>
                <w:sz w:val="20"/>
                <w:szCs w:val="20"/>
              </w:rPr>
              <w:t xml:space="preserve"> </w:t>
            </w:r>
            <w:r>
              <w:rPr>
                <w:rFonts w:ascii="宋体" w:hAnsi="宋体" w:eastAsia="宋体" w:cs="宋体"/>
                <w:spacing w:val="-10"/>
                <w:sz w:val="20"/>
                <w:szCs w:val="20"/>
              </w:rPr>
              <w:t>防</w:t>
            </w:r>
            <w:r>
              <w:rPr>
                <w:rFonts w:ascii="宋体" w:hAnsi="宋体" w:eastAsia="宋体" w:cs="宋体"/>
                <w:spacing w:val="-8"/>
                <w:sz w:val="20"/>
                <w:szCs w:val="20"/>
              </w:rPr>
              <w:t>渗层) 压实平整，黏土</w:t>
            </w:r>
            <w:r>
              <w:rPr>
                <w:rFonts w:ascii="宋体" w:hAnsi="宋体" w:eastAsia="宋体" w:cs="宋体"/>
                <w:sz w:val="20"/>
                <w:szCs w:val="20"/>
              </w:rPr>
              <w:t xml:space="preserve"> </w:t>
            </w:r>
            <w:r>
              <w:rPr>
                <w:rFonts w:ascii="宋体" w:hAnsi="宋体" w:eastAsia="宋体" w:cs="宋体"/>
                <w:spacing w:val="-4"/>
                <w:sz w:val="20"/>
                <w:szCs w:val="20"/>
              </w:rPr>
              <w:t>层上</w:t>
            </w:r>
            <w:r>
              <w:rPr>
                <w:rFonts w:ascii="宋体" w:hAnsi="宋体" w:eastAsia="宋体" w:cs="宋体"/>
                <w:spacing w:val="-2"/>
                <w:sz w:val="20"/>
                <w:szCs w:val="20"/>
              </w:rPr>
              <w:t xml:space="preserve">铺设 </w:t>
            </w:r>
            <w:r>
              <w:rPr>
                <w:rFonts w:ascii="Times New Roman" w:hAnsi="Times New Roman" w:eastAsia="Times New Roman" w:cs="Times New Roman"/>
                <w:spacing w:val="-2"/>
                <w:sz w:val="20"/>
                <w:szCs w:val="20"/>
              </w:rPr>
              <w:t xml:space="preserve">HDPE-GCL </w:t>
            </w:r>
            <w:r>
              <w:rPr>
                <w:rFonts w:ascii="宋体" w:hAnsi="宋体" w:eastAsia="宋体" w:cs="宋体"/>
                <w:spacing w:val="-2"/>
                <w:sz w:val="20"/>
                <w:szCs w:val="20"/>
              </w:rPr>
              <w:t>复</w:t>
            </w:r>
            <w:r>
              <w:rPr>
                <w:rFonts w:ascii="宋体" w:hAnsi="宋体" w:eastAsia="宋体" w:cs="宋体"/>
                <w:sz w:val="20"/>
                <w:szCs w:val="20"/>
              </w:rPr>
              <w:t xml:space="preserve"> </w:t>
            </w:r>
            <w:r>
              <w:rPr>
                <w:rFonts w:ascii="宋体" w:hAnsi="宋体" w:eastAsia="宋体" w:cs="宋体"/>
                <w:spacing w:val="6"/>
                <w:sz w:val="20"/>
                <w:szCs w:val="20"/>
              </w:rPr>
              <w:t>合防</w:t>
            </w:r>
            <w:r>
              <w:rPr>
                <w:rFonts w:ascii="宋体" w:hAnsi="宋体" w:eastAsia="宋体" w:cs="宋体"/>
                <w:spacing w:val="3"/>
                <w:sz w:val="20"/>
                <w:szCs w:val="20"/>
              </w:rPr>
              <w:t>渗系统 (</w:t>
            </w:r>
            <w:r>
              <w:rPr>
                <w:rFonts w:ascii="Times New Roman" w:hAnsi="Times New Roman" w:eastAsia="Times New Roman" w:cs="Times New Roman"/>
                <w:spacing w:val="3"/>
                <w:sz w:val="20"/>
                <w:szCs w:val="20"/>
              </w:rPr>
              <w:t>2</w:t>
            </w:r>
            <w:r>
              <w:rPr>
                <w:rFonts w:ascii="Times New Roman" w:hAnsi="Times New Roman" w:eastAsia="Times New Roman" w:cs="Times New Roman"/>
                <w:sz w:val="20"/>
                <w:szCs w:val="20"/>
              </w:rPr>
              <w:t>mm</w:t>
            </w:r>
            <w:r>
              <w:rPr>
                <w:rFonts w:ascii="Times New Roman" w:hAnsi="Times New Roman" w:eastAsia="Times New Roman" w:cs="Times New Roman"/>
                <w:spacing w:val="3"/>
                <w:sz w:val="20"/>
                <w:szCs w:val="20"/>
              </w:rPr>
              <w:t xml:space="preserve"> </w:t>
            </w:r>
            <w:r>
              <w:rPr>
                <w:rFonts w:ascii="宋体" w:hAnsi="宋体" w:eastAsia="宋体" w:cs="宋体"/>
                <w:spacing w:val="3"/>
                <w:sz w:val="20"/>
                <w:szCs w:val="20"/>
              </w:rPr>
              <w:t>厚的</w:t>
            </w:r>
            <w:r>
              <w:rPr>
                <w:rFonts w:ascii="宋体" w:hAnsi="宋体" w:eastAsia="宋体" w:cs="宋体"/>
                <w:sz w:val="20"/>
                <w:szCs w:val="20"/>
              </w:rPr>
              <w:t xml:space="preserve"> </w:t>
            </w:r>
            <w:r>
              <w:rPr>
                <w:rFonts w:ascii="宋体" w:hAnsi="宋体" w:eastAsia="宋体" w:cs="宋体"/>
                <w:spacing w:val="-16"/>
                <w:sz w:val="20"/>
                <w:szCs w:val="20"/>
              </w:rPr>
              <w:t>高</w:t>
            </w:r>
            <w:r>
              <w:rPr>
                <w:rFonts w:ascii="宋体" w:hAnsi="宋体" w:eastAsia="宋体" w:cs="宋体"/>
                <w:spacing w:val="-12"/>
                <w:sz w:val="20"/>
                <w:szCs w:val="20"/>
              </w:rPr>
              <w:t xml:space="preserve"> 密 度 聚 乙 烯 膜 、</w:t>
            </w:r>
            <w:r>
              <w:rPr>
                <w:rFonts w:ascii="宋体" w:hAnsi="宋体" w:eastAsia="宋体" w:cs="宋体"/>
                <w:sz w:val="20"/>
                <w:szCs w:val="20"/>
              </w:rPr>
              <w:t xml:space="preserve"> </w:t>
            </w:r>
            <w:r>
              <w:rPr>
                <w:rFonts w:ascii="Times New Roman" w:hAnsi="Times New Roman" w:eastAsia="Times New Roman" w:cs="Times New Roman"/>
                <w:spacing w:val="-1"/>
                <w:sz w:val="20"/>
                <w:szCs w:val="20"/>
              </w:rPr>
              <w:t>300</w:t>
            </w:r>
            <w:r>
              <w:rPr>
                <w:rFonts w:ascii="Times New Roman" w:hAnsi="Times New Roman" w:eastAsia="Times New Roman" w:cs="Times New Roman"/>
                <w:sz w:val="20"/>
                <w:szCs w:val="20"/>
              </w:rPr>
              <w:t>g</w:t>
            </w:r>
            <w:r>
              <w:rPr>
                <w:rFonts w:ascii="Times New Roman" w:hAnsi="Times New Roman" w:eastAsia="Times New Roman" w:cs="Times New Roman"/>
                <w:spacing w:val="-1"/>
                <w:sz w:val="20"/>
                <w:szCs w:val="20"/>
              </w:rPr>
              <w:t>/</w:t>
            </w:r>
            <w:r>
              <w:rPr>
                <w:rFonts w:ascii="Times New Roman" w:hAnsi="Times New Roman" w:eastAsia="Times New Roman" w:cs="Times New Roman"/>
                <w:sz w:val="20"/>
                <w:szCs w:val="20"/>
              </w:rPr>
              <w:t>m</w:t>
            </w:r>
            <w:r>
              <w:rPr>
                <w:rFonts w:ascii="Times New Roman" w:hAnsi="Times New Roman" w:eastAsia="Times New Roman" w:cs="Times New Roman"/>
                <w:spacing w:val="-1"/>
                <w:position w:val="6"/>
                <w:sz w:val="13"/>
                <w:szCs w:val="13"/>
              </w:rPr>
              <w:t xml:space="preserve">2 </w:t>
            </w:r>
            <w:r>
              <w:rPr>
                <w:rFonts w:ascii="宋体" w:hAnsi="宋体" w:eastAsia="宋体" w:cs="宋体"/>
                <w:spacing w:val="-1"/>
                <w:sz w:val="20"/>
                <w:szCs w:val="20"/>
              </w:rPr>
              <w:t>土工织</w:t>
            </w:r>
            <w:r>
              <w:rPr>
                <w:rFonts w:ascii="宋体" w:hAnsi="宋体" w:eastAsia="宋体" w:cs="宋体"/>
                <w:sz w:val="20"/>
                <w:szCs w:val="20"/>
              </w:rPr>
              <w:t xml:space="preserve">物膨润土 </w:t>
            </w:r>
            <w:r>
              <w:rPr>
                <w:rFonts w:ascii="宋体" w:hAnsi="宋体" w:eastAsia="宋体" w:cs="宋体"/>
                <w:spacing w:val="-10"/>
                <w:sz w:val="20"/>
                <w:szCs w:val="20"/>
              </w:rPr>
              <w:t>垫</w:t>
            </w:r>
            <w:r>
              <w:rPr>
                <w:rFonts w:ascii="宋体" w:hAnsi="宋体" w:eastAsia="宋体" w:cs="宋体"/>
                <w:spacing w:val="-8"/>
                <w:sz w:val="20"/>
                <w:szCs w:val="20"/>
              </w:rPr>
              <w:t>) ，上部外加耐腐蚀混</w:t>
            </w:r>
            <w:r>
              <w:rPr>
                <w:rFonts w:ascii="宋体" w:hAnsi="宋体" w:eastAsia="宋体" w:cs="宋体"/>
                <w:sz w:val="20"/>
                <w:szCs w:val="20"/>
              </w:rPr>
              <w:t xml:space="preserve"> </w:t>
            </w:r>
            <w:r>
              <w:rPr>
                <w:rFonts w:ascii="宋体" w:hAnsi="宋体" w:eastAsia="宋体" w:cs="宋体"/>
                <w:spacing w:val="-4"/>
                <w:sz w:val="20"/>
                <w:szCs w:val="20"/>
              </w:rPr>
              <w:t xml:space="preserve">凝土 </w:t>
            </w:r>
            <w:r>
              <w:rPr>
                <w:rFonts w:ascii="Times New Roman" w:hAnsi="Times New Roman" w:eastAsia="Times New Roman" w:cs="Times New Roman"/>
                <w:spacing w:val="-4"/>
                <w:sz w:val="20"/>
                <w:szCs w:val="20"/>
              </w:rPr>
              <w:t>15</w:t>
            </w:r>
            <w:r>
              <w:rPr>
                <w:rFonts w:ascii="Times New Roman" w:hAnsi="Times New Roman" w:eastAsia="Times New Roman" w:cs="Times New Roman"/>
                <w:spacing w:val="-2"/>
                <w:sz w:val="20"/>
                <w:szCs w:val="20"/>
              </w:rPr>
              <w:t xml:space="preserve">cm  </w:t>
            </w:r>
            <w:r>
              <w:rPr>
                <w:rFonts w:ascii="宋体" w:hAnsi="宋体" w:eastAsia="宋体" w:cs="宋体"/>
                <w:spacing w:val="-2"/>
                <w:sz w:val="20"/>
                <w:szCs w:val="20"/>
              </w:rPr>
              <w:t>(保护层) 等</w:t>
            </w:r>
            <w:r>
              <w:rPr>
                <w:rFonts w:ascii="宋体" w:hAnsi="宋体" w:eastAsia="宋体" w:cs="宋体"/>
                <w:sz w:val="20"/>
                <w:szCs w:val="20"/>
              </w:rPr>
              <w:t xml:space="preserve"> </w:t>
            </w:r>
            <w:r>
              <w:rPr>
                <w:rFonts w:ascii="宋体" w:hAnsi="宋体" w:eastAsia="宋体" w:cs="宋体"/>
                <w:spacing w:val="-12"/>
                <w:sz w:val="20"/>
                <w:szCs w:val="20"/>
              </w:rPr>
              <w:t>防</w:t>
            </w:r>
            <w:r>
              <w:rPr>
                <w:rFonts w:ascii="宋体" w:hAnsi="宋体" w:eastAsia="宋体" w:cs="宋体"/>
                <w:spacing w:val="-9"/>
                <w:sz w:val="20"/>
                <w:szCs w:val="20"/>
              </w:rPr>
              <w:t>渗</w:t>
            </w:r>
            <w:r>
              <w:rPr>
                <w:rFonts w:ascii="宋体" w:hAnsi="宋体" w:eastAsia="宋体" w:cs="宋体"/>
                <w:spacing w:val="-6"/>
                <w:sz w:val="20"/>
                <w:szCs w:val="20"/>
              </w:rPr>
              <w:t>，侧壁均设防渗墙。</w:t>
            </w:r>
          </w:p>
        </w:tc>
      </w:tr>
      <w:tr w14:paraId="55BE00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7" w:hRule="atLeast"/>
        </w:trPr>
        <w:tc>
          <w:tcPr>
            <w:tcW w:w="480" w:type="dxa"/>
            <w:vMerge w:val="continue"/>
            <w:tcBorders>
              <w:top w:val="nil"/>
              <w:left w:val="nil"/>
              <w:bottom w:val="nil"/>
              <w:right w:val="single" w:color="000000" w:sz="4" w:space="0"/>
            </w:tcBorders>
            <w:vAlign w:val="top"/>
          </w:tcPr>
          <w:p w14:paraId="0BB7A448">
            <w:pPr>
              <w:rPr>
                <w:rFonts w:ascii="Arial"/>
                <w:sz w:val="21"/>
              </w:rPr>
            </w:pPr>
          </w:p>
        </w:tc>
        <w:tc>
          <w:tcPr>
            <w:tcW w:w="510" w:type="dxa"/>
            <w:vMerge w:val="continue"/>
            <w:tcBorders>
              <w:top w:val="nil"/>
              <w:left w:val="single" w:color="000000" w:sz="4" w:space="0"/>
              <w:bottom w:val="nil"/>
              <w:right w:val="single" w:color="000000" w:sz="4" w:space="0"/>
            </w:tcBorders>
            <w:textDirection w:val="tbRlV"/>
            <w:vAlign w:val="top"/>
          </w:tcPr>
          <w:p w14:paraId="1A5008FC">
            <w:pPr>
              <w:rPr>
                <w:rFonts w:ascii="Arial"/>
                <w:sz w:val="21"/>
              </w:rPr>
            </w:pPr>
          </w:p>
        </w:tc>
        <w:tc>
          <w:tcPr>
            <w:tcW w:w="1170" w:type="dxa"/>
            <w:tcBorders>
              <w:left w:val="single" w:color="000000" w:sz="4" w:space="0"/>
              <w:right w:val="single" w:color="000000" w:sz="4" w:space="0"/>
            </w:tcBorders>
            <w:vAlign w:val="top"/>
          </w:tcPr>
          <w:p w14:paraId="090ACB49">
            <w:pPr>
              <w:spacing w:before="23" w:line="293" w:lineRule="auto"/>
              <w:ind w:left="11" w:firstLine="1"/>
              <w:rPr>
                <w:rFonts w:ascii="宋体" w:hAnsi="宋体" w:eastAsia="宋体" w:cs="宋体"/>
                <w:sz w:val="20"/>
                <w:szCs w:val="20"/>
              </w:rPr>
            </w:pPr>
            <w:r>
              <w:rPr>
                <w:rFonts w:ascii="宋体" w:hAnsi="宋体" w:eastAsia="宋体" w:cs="宋体"/>
                <w:spacing w:val="-12"/>
                <w:sz w:val="20"/>
                <w:szCs w:val="20"/>
              </w:rPr>
              <w:t>办</w:t>
            </w:r>
            <w:r>
              <w:rPr>
                <w:rFonts w:ascii="宋体" w:hAnsi="宋体" w:eastAsia="宋体" w:cs="宋体"/>
                <w:spacing w:val="-7"/>
                <w:sz w:val="20"/>
                <w:szCs w:val="20"/>
              </w:rPr>
              <w:t>公室、</w:t>
            </w:r>
            <w:r>
              <w:rPr>
                <w:rFonts w:ascii="Times New Roman" w:hAnsi="Times New Roman" w:eastAsia="Times New Roman" w:cs="Times New Roman"/>
                <w:spacing w:val="-7"/>
                <w:sz w:val="20"/>
                <w:szCs w:val="20"/>
              </w:rPr>
              <w:t>1#</w:t>
            </w:r>
            <w:r>
              <w:rPr>
                <w:rFonts w:ascii="宋体" w:hAnsi="宋体" w:eastAsia="宋体" w:cs="宋体"/>
                <w:spacing w:val="-7"/>
                <w:sz w:val="20"/>
                <w:szCs w:val="20"/>
              </w:rPr>
              <w:t>员</w:t>
            </w:r>
            <w:r>
              <w:rPr>
                <w:rFonts w:ascii="宋体" w:hAnsi="宋体" w:eastAsia="宋体" w:cs="宋体"/>
                <w:sz w:val="20"/>
                <w:szCs w:val="20"/>
              </w:rPr>
              <w:t xml:space="preserve"> </w:t>
            </w:r>
            <w:r>
              <w:rPr>
                <w:rFonts w:ascii="宋体" w:hAnsi="宋体" w:eastAsia="宋体" w:cs="宋体"/>
                <w:spacing w:val="-8"/>
                <w:sz w:val="20"/>
                <w:szCs w:val="20"/>
              </w:rPr>
              <w:t>工休息室、</w:t>
            </w:r>
            <w:r>
              <w:rPr>
                <w:rFonts w:ascii="Times New Roman" w:hAnsi="Times New Roman" w:eastAsia="Times New Roman" w:cs="Times New Roman"/>
                <w:spacing w:val="-8"/>
                <w:sz w:val="20"/>
                <w:szCs w:val="20"/>
              </w:rPr>
              <w:t>2#</w:t>
            </w:r>
            <w:r>
              <w:rPr>
                <w:rFonts w:ascii="Times New Roman" w:hAnsi="Times New Roman" w:eastAsia="Times New Roman" w:cs="Times New Roman"/>
                <w:sz w:val="20"/>
                <w:szCs w:val="20"/>
              </w:rPr>
              <w:t xml:space="preserve"> </w:t>
            </w:r>
            <w:r>
              <w:rPr>
                <w:rFonts w:ascii="宋体" w:hAnsi="宋体" w:eastAsia="宋体" w:cs="宋体"/>
                <w:spacing w:val="-10"/>
                <w:sz w:val="20"/>
                <w:szCs w:val="20"/>
              </w:rPr>
              <w:t>员</w:t>
            </w:r>
            <w:r>
              <w:rPr>
                <w:rFonts w:ascii="宋体" w:hAnsi="宋体" w:eastAsia="宋体" w:cs="宋体"/>
                <w:spacing w:val="-9"/>
                <w:sz w:val="20"/>
                <w:szCs w:val="20"/>
              </w:rPr>
              <w:t>工休息室、</w:t>
            </w:r>
          </w:p>
          <w:p w14:paraId="3783273D">
            <w:pPr>
              <w:spacing w:before="20" w:line="228" w:lineRule="auto"/>
              <w:ind w:left="95"/>
              <w:rPr>
                <w:rFonts w:ascii="宋体" w:hAnsi="宋体" w:eastAsia="宋体" w:cs="宋体"/>
                <w:sz w:val="20"/>
                <w:szCs w:val="20"/>
              </w:rPr>
            </w:pPr>
            <w:r>
              <w:rPr>
                <w:rFonts w:ascii="宋体" w:hAnsi="宋体" w:eastAsia="宋体" w:cs="宋体"/>
                <w:spacing w:val="-2"/>
                <w:sz w:val="20"/>
                <w:szCs w:val="20"/>
              </w:rPr>
              <w:t>备品备件</w:t>
            </w:r>
            <w:r>
              <w:rPr>
                <w:rFonts w:ascii="宋体" w:hAnsi="宋体" w:eastAsia="宋体" w:cs="宋体"/>
                <w:spacing w:val="-1"/>
                <w:sz w:val="20"/>
                <w:szCs w:val="20"/>
              </w:rPr>
              <w:t>库</w:t>
            </w:r>
          </w:p>
        </w:tc>
        <w:tc>
          <w:tcPr>
            <w:tcW w:w="645" w:type="dxa"/>
            <w:vMerge w:val="continue"/>
            <w:tcBorders>
              <w:top w:val="nil"/>
              <w:left w:val="single" w:color="000000" w:sz="4" w:space="0"/>
              <w:bottom w:val="nil"/>
              <w:right w:val="single" w:color="000000" w:sz="4" w:space="0"/>
            </w:tcBorders>
            <w:vAlign w:val="top"/>
          </w:tcPr>
          <w:p w14:paraId="019C5E9E">
            <w:pPr>
              <w:rPr>
                <w:rFonts w:ascii="Arial"/>
                <w:sz w:val="21"/>
              </w:rPr>
            </w:pPr>
          </w:p>
        </w:tc>
        <w:tc>
          <w:tcPr>
            <w:tcW w:w="2780" w:type="dxa"/>
            <w:vMerge w:val="continue"/>
            <w:tcBorders>
              <w:top w:val="nil"/>
              <w:left w:val="single" w:color="000000" w:sz="4" w:space="0"/>
              <w:bottom w:val="nil"/>
              <w:right w:val="single" w:color="000000" w:sz="4" w:space="0"/>
            </w:tcBorders>
            <w:vAlign w:val="top"/>
          </w:tcPr>
          <w:p w14:paraId="7A79183F">
            <w:pPr>
              <w:rPr>
                <w:rFonts w:ascii="Arial"/>
                <w:sz w:val="21"/>
              </w:rPr>
            </w:pPr>
          </w:p>
        </w:tc>
        <w:tc>
          <w:tcPr>
            <w:tcW w:w="594" w:type="dxa"/>
            <w:vMerge w:val="continue"/>
            <w:tcBorders>
              <w:top w:val="nil"/>
              <w:left w:val="single" w:color="000000" w:sz="4" w:space="0"/>
              <w:bottom w:val="nil"/>
              <w:right w:val="single" w:color="000000" w:sz="4" w:space="0"/>
            </w:tcBorders>
            <w:vAlign w:val="top"/>
          </w:tcPr>
          <w:p w14:paraId="67CF62DB">
            <w:pPr>
              <w:rPr>
                <w:rFonts w:ascii="Arial"/>
                <w:sz w:val="21"/>
              </w:rPr>
            </w:pPr>
          </w:p>
        </w:tc>
        <w:tc>
          <w:tcPr>
            <w:tcW w:w="2141" w:type="dxa"/>
            <w:tcBorders>
              <w:left w:val="single" w:color="000000" w:sz="4" w:space="0"/>
              <w:right w:val="nil"/>
            </w:tcBorders>
            <w:vAlign w:val="top"/>
          </w:tcPr>
          <w:p w14:paraId="29C9EFF9">
            <w:pPr>
              <w:spacing w:before="117" w:line="263" w:lineRule="auto"/>
              <w:ind w:left="10" w:right="13"/>
              <w:rPr>
                <w:rFonts w:ascii="宋体" w:hAnsi="宋体" w:eastAsia="宋体" w:cs="宋体"/>
                <w:sz w:val="20"/>
                <w:szCs w:val="20"/>
              </w:rPr>
            </w:pPr>
            <w:r>
              <w:rPr>
                <w:rFonts w:ascii="宋体" w:hAnsi="宋体" w:eastAsia="宋体" w:cs="宋体"/>
                <w:spacing w:val="9"/>
                <w:sz w:val="20"/>
                <w:szCs w:val="20"/>
              </w:rPr>
              <w:t>底部做基础防渗，铺设</w:t>
            </w:r>
            <w:r>
              <w:rPr>
                <w:rFonts w:ascii="宋体" w:hAnsi="宋体" w:eastAsia="宋体" w:cs="宋体"/>
                <w:sz w:val="20"/>
                <w:szCs w:val="20"/>
              </w:rPr>
              <w:t xml:space="preserve"> </w:t>
            </w:r>
            <w:r>
              <w:rPr>
                <w:rFonts w:ascii="Times New Roman" w:hAnsi="Times New Roman" w:eastAsia="Times New Roman" w:cs="Times New Roman"/>
                <w:spacing w:val="1"/>
                <w:sz w:val="20"/>
                <w:szCs w:val="20"/>
              </w:rPr>
              <w:t>1</w:t>
            </w:r>
            <w:r>
              <w:rPr>
                <w:rFonts w:ascii="Times New Roman" w:hAnsi="Times New Roman" w:eastAsia="Times New Roman" w:cs="Times New Roman"/>
                <w:sz w:val="20"/>
                <w:szCs w:val="20"/>
              </w:rPr>
              <w:t>m</w:t>
            </w:r>
            <w:r>
              <w:rPr>
                <w:rFonts w:ascii="Times New Roman" w:hAnsi="Times New Roman" w:eastAsia="Times New Roman" w:cs="Times New Roman"/>
                <w:spacing w:val="1"/>
                <w:sz w:val="20"/>
                <w:szCs w:val="20"/>
              </w:rPr>
              <w:t xml:space="preserve"> </w:t>
            </w:r>
            <w:r>
              <w:rPr>
                <w:rFonts w:ascii="宋体" w:hAnsi="宋体" w:eastAsia="宋体" w:cs="宋体"/>
                <w:spacing w:val="1"/>
                <w:sz w:val="20"/>
                <w:szCs w:val="20"/>
              </w:rPr>
              <w:t>厚黏土层</w:t>
            </w:r>
            <w:r>
              <w:rPr>
                <w:rFonts w:ascii="宋体" w:hAnsi="宋体" w:eastAsia="宋体" w:cs="宋体"/>
                <w:sz w:val="20"/>
                <w:szCs w:val="20"/>
              </w:rPr>
              <w:t xml:space="preserve">，再用耐腐 </w:t>
            </w:r>
            <w:r>
              <w:rPr>
                <w:rFonts w:ascii="宋体" w:hAnsi="宋体" w:eastAsia="宋体" w:cs="宋体"/>
                <w:spacing w:val="17"/>
                <w:sz w:val="20"/>
                <w:szCs w:val="20"/>
              </w:rPr>
              <w:t>蚀</w:t>
            </w:r>
            <w:r>
              <w:rPr>
                <w:rFonts w:ascii="宋体" w:hAnsi="宋体" w:eastAsia="宋体" w:cs="宋体"/>
                <w:spacing w:val="10"/>
                <w:sz w:val="20"/>
                <w:szCs w:val="20"/>
              </w:rPr>
              <w:t xml:space="preserve">混凝土 </w:t>
            </w:r>
            <w:r>
              <w:rPr>
                <w:rFonts w:ascii="Times New Roman" w:hAnsi="Times New Roman" w:eastAsia="Times New Roman" w:cs="Times New Roman"/>
                <w:spacing w:val="10"/>
                <w:sz w:val="20"/>
                <w:szCs w:val="20"/>
              </w:rPr>
              <w:t>15</w:t>
            </w:r>
            <w:r>
              <w:rPr>
                <w:rFonts w:ascii="Times New Roman" w:hAnsi="Times New Roman" w:eastAsia="Times New Roman" w:cs="Times New Roman"/>
                <w:sz w:val="20"/>
                <w:szCs w:val="20"/>
              </w:rPr>
              <w:t>cm</w:t>
            </w:r>
            <w:r>
              <w:rPr>
                <w:rFonts w:ascii="Times New Roman" w:hAnsi="Times New Roman" w:eastAsia="Times New Roman" w:cs="Times New Roman"/>
                <w:spacing w:val="10"/>
                <w:sz w:val="20"/>
                <w:szCs w:val="20"/>
              </w:rPr>
              <w:t xml:space="preserve"> </w:t>
            </w:r>
            <w:r>
              <w:rPr>
                <w:rFonts w:ascii="宋体" w:hAnsi="宋体" w:eastAsia="宋体" w:cs="宋体"/>
                <w:spacing w:val="10"/>
                <w:sz w:val="20"/>
                <w:szCs w:val="20"/>
              </w:rPr>
              <w:t>浇铸，</w:t>
            </w:r>
            <w:r>
              <w:rPr>
                <w:rFonts w:ascii="宋体" w:hAnsi="宋体" w:eastAsia="宋体" w:cs="宋体"/>
                <w:sz w:val="20"/>
                <w:szCs w:val="20"/>
              </w:rPr>
              <w:t xml:space="preserve"> </w:t>
            </w:r>
            <w:r>
              <w:rPr>
                <w:rFonts w:ascii="宋体" w:hAnsi="宋体" w:eastAsia="宋体" w:cs="宋体"/>
                <w:spacing w:val="8"/>
                <w:sz w:val="20"/>
                <w:szCs w:val="20"/>
              </w:rPr>
              <w:t>上部铺设耐腐蚀砖</w:t>
            </w:r>
            <w:r>
              <w:rPr>
                <w:rFonts w:ascii="宋体" w:hAnsi="宋体" w:eastAsia="宋体" w:cs="宋体"/>
                <w:spacing w:val="6"/>
                <w:sz w:val="20"/>
                <w:szCs w:val="20"/>
              </w:rPr>
              <w:t>。</w:t>
            </w:r>
          </w:p>
        </w:tc>
      </w:tr>
      <w:tr w14:paraId="1BCF68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480" w:type="dxa"/>
            <w:vMerge w:val="continue"/>
            <w:tcBorders>
              <w:top w:val="nil"/>
              <w:left w:val="nil"/>
              <w:right w:val="single" w:color="000000" w:sz="4" w:space="0"/>
            </w:tcBorders>
            <w:vAlign w:val="top"/>
          </w:tcPr>
          <w:p w14:paraId="36EFFD90">
            <w:pPr>
              <w:rPr>
                <w:rFonts w:ascii="Arial"/>
                <w:sz w:val="21"/>
              </w:rPr>
            </w:pPr>
          </w:p>
        </w:tc>
        <w:tc>
          <w:tcPr>
            <w:tcW w:w="510" w:type="dxa"/>
            <w:vMerge w:val="continue"/>
            <w:tcBorders>
              <w:top w:val="nil"/>
              <w:left w:val="single" w:color="000000" w:sz="4" w:space="0"/>
              <w:right w:val="single" w:color="000000" w:sz="4" w:space="0"/>
            </w:tcBorders>
            <w:textDirection w:val="tbRlV"/>
            <w:vAlign w:val="top"/>
          </w:tcPr>
          <w:p w14:paraId="3BE913B1">
            <w:pPr>
              <w:rPr>
                <w:rFonts w:ascii="Arial"/>
                <w:sz w:val="21"/>
              </w:rPr>
            </w:pPr>
          </w:p>
        </w:tc>
        <w:tc>
          <w:tcPr>
            <w:tcW w:w="1170" w:type="dxa"/>
            <w:tcBorders>
              <w:left w:val="single" w:color="000000" w:sz="4" w:space="0"/>
              <w:right w:val="single" w:color="000000" w:sz="4" w:space="0"/>
            </w:tcBorders>
            <w:vAlign w:val="top"/>
          </w:tcPr>
          <w:p w14:paraId="57EBA51D">
            <w:pPr>
              <w:spacing w:before="60" w:line="258" w:lineRule="auto"/>
              <w:ind w:left="117" w:hanging="94"/>
              <w:rPr>
                <w:rFonts w:ascii="宋体" w:hAnsi="宋体" w:eastAsia="宋体" w:cs="宋体"/>
                <w:sz w:val="20"/>
                <w:szCs w:val="20"/>
              </w:rPr>
            </w:pPr>
            <w:r>
              <w:rPr>
                <w:rFonts w:ascii="宋体" w:hAnsi="宋体" w:eastAsia="宋体" w:cs="宋体"/>
                <w:spacing w:val="-14"/>
                <w:sz w:val="20"/>
                <w:szCs w:val="20"/>
              </w:rPr>
              <w:t>全</w:t>
            </w:r>
            <w:r>
              <w:rPr>
                <w:rFonts w:ascii="宋体" w:hAnsi="宋体" w:eastAsia="宋体" w:cs="宋体"/>
                <w:spacing w:val="-10"/>
                <w:sz w:val="20"/>
                <w:szCs w:val="20"/>
              </w:rPr>
              <w:t>厂区绿地外</w:t>
            </w:r>
            <w:r>
              <w:rPr>
                <w:rFonts w:ascii="宋体" w:hAnsi="宋体" w:eastAsia="宋体" w:cs="宋体"/>
                <w:sz w:val="20"/>
                <w:szCs w:val="20"/>
              </w:rPr>
              <w:t xml:space="preserve"> </w:t>
            </w:r>
            <w:r>
              <w:rPr>
                <w:rFonts w:ascii="宋体" w:hAnsi="宋体" w:eastAsia="宋体" w:cs="宋体"/>
                <w:spacing w:val="-8"/>
                <w:sz w:val="20"/>
                <w:szCs w:val="20"/>
              </w:rPr>
              <w:t>其他构筑物</w:t>
            </w:r>
          </w:p>
        </w:tc>
        <w:tc>
          <w:tcPr>
            <w:tcW w:w="645" w:type="dxa"/>
            <w:vMerge w:val="continue"/>
            <w:tcBorders>
              <w:top w:val="nil"/>
              <w:left w:val="single" w:color="000000" w:sz="4" w:space="0"/>
              <w:right w:val="single" w:color="000000" w:sz="4" w:space="0"/>
            </w:tcBorders>
            <w:vAlign w:val="top"/>
          </w:tcPr>
          <w:p w14:paraId="1A38FEC2">
            <w:pPr>
              <w:rPr>
                <w:rFonts w:ascii="Arial"/>
                <w:sz w:val="21"/>
              </w:rPr>
            </w:pPr>
          </w:p>
        </w:tc>
        <w:tc>
          <w:tcPr>
            <w:tcW w:w="2780" w:type="dxa"/>
            <w:vMerge w:val="continue"/>
            <w:tcBorders>
              <w:top w:val="nil"/>
              <w:left w:val="single" w:color="000000" w:sz="4" w:space="0"/>
              <w:right w:val="single" w:color="000000" w:sz="4" w:space="0"/>
            </w:tcBorders>
            <w:vAlign w:val="top"/>
          </w:tcPr>
          <w:p w14:paraId="2A112891">
            <w:pPr>
              <w:rPr>
                <w:rFonts w:ascii="Arial"/>
                <w:sz w:val="21"/>
              </w:rPr>
            </w:pPr>
          </w:p>
        </w:tc>
        <w:tc>
          <w:tcPr>
            <w:tcW w:w="594" w:type="dxa"/>
            <w:vMerge w:val="continue"/>
            <w:tcBorders>
              <w:top w:val="nil"/>
              <w:left w:val="single" w:color="000000" w:sz="4" w:space="0"/>
              <w:right w:val="single" w:color="000000" w:sz="4" w:space="0"/>
            </w:tcBorders>
            <w:vAlign w:val="top"/>
          </w:tcPr>
          <w:p w14:paraId="4043ACE6">
            <w:pPr>
              <w:rPr>
                <w:rFonts w:ascii="Arial"/>
                <w:sz w:val="21"/>
              </w:rPr>
            </w:pPr>
          </w:p>
        </w:tc>
        <w:tc>
          <w:tcPr>
            <w:tcW w:w="2141" w:type="dxa"/>
            <w:tcBorders>
              <w:left w:val="single" w:color="000000" w:sz="4" w:space="0"/>
              <w:right w:val="nil"/>
            </w:tcBorders>
            <w:vAlign w:val="top"/>
          </w:tcPr>
          <w:p w14:paraId="2CD2E8E1">
            <w:pPr>
              <w:spacing w:before="84" w:line="243" w:lineRule="auto"/>
              <w:ind w:left="13" w:right="3" w:hanging="3"/>
              <w:rPr>
                <w:rFonts w:ascii="宋体" w:hAnsi="宋体" w:eastAsia="宋体" w:cs="宋体"/>
                <w:sz w:val="20"/>
                <w:szCs w:val="20"/>
              </w:rPr>
            </w:pPr>
            <w:r>
              <w:rPr>
                <w:rFonts w:ascii="宋体" w:hAnsi="宋体" w:eastAsia="宋体" w:cs="宋体"/>
                <w:spacing w:val="-9"/>
                <w:sz w:val="20"/>
                <w:szCs w:val="20"/>
              </w:rPr>
              <w:t>采</w:t>
            </w:r>
            <w:r>
              <w:rPr>
                <w:rFonts w:ascii="宋体" w:hAnsi="宋体" w:eastAsia="宋体" w:cs="宋体"/>
                <w:spacing w:val="-7"/>
                <w:sz w:val="20"/>
                <w:szCs w:val="20"/>
              </w:rPr>
              <w:t>取混凝土地面，上涂耐</w:t>
            </w:r>
            <w:r>
              <w:rPr>
                <w:rFonts w:ascii="宋体" w:hAnsi="宋体" w:eastAsia="宋体" w:cs="宋体"/>
                <w:sz w:val="20"/>
                <w:szCs w:val="20"/>
              </w:rPr>
              <w:t xml:space="preserve"> </w:t>
            </w:r>
            <w:r>
              <w:rPr>
                <w:rFonts w:ascii="宋体" w:hAnsi="宋体" w:eastAsia="宋体" w:cs="宋体"/>
                <w:spacing w:val="-2"/>
                <w:sz w:val="20"/>
                <w:szCs w:val="20"/>
              </w:rPr>
              <w:t>磨环氧树脂地面涂</w:t>
            </w:r>
            <w:r>
              <w:rPr>
                <w:rFonts w:ascii="宋体" w:hAnsi="宋体" w:eastAsia="宋体" w:cs="宋体"/>
                <w:spacing w:val="-1"/>
                <w:sz w:val="20"/>
                <w:szCs w:val="20"/>
              </w:rPr>
              <w:t>料。</w:t>
            </w:r>
          </w:p>
        </w:tc>
      </w:tr>
      <w:tr w14:paraId="35B073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480" w:type="dxa"/>
            <w:tcBorders>
              <w:left w:val="nil"/>
              <w:right w:val="single" w:color="000000" w:sz="4" w:space="0"/>
            </w:tcBorders>
            <w:vAlign w:val="top"/>
          </w:tcPr>
          <w:p w14:paraId="5043E10F">
            <w:pPr>
              <w:spacing w:line="266" w:lineRule="auto"/>
              <w:rPr>
                <w:rFonts w:ascii="Arial"/>
                <w:sz w:val="21"/>
              </w:rPr>
            </w:pPr>
          </w:p>
          <w:p w14:paraId="6903D34B">
            <w:pPr>
              <w:spacing w:before="65" w:line="228" w:lineRule="auto"/>
              <w:ind w:left="44"/>
              <w:rPr>
                <w:rFonts w:ascii="宋体" w:hAnsi="宋体" w:eastAsia="宋体" w:cs="宋体"/>
                <w:sz w:val="20"/>
                <w:szCs w:val="20"/>
              </w:rPr>
            </w:pPr>
            <w:r>
              <w:rPr>
                <w:rFonts w:ascii="宋体" w:hAnsi="宋体" w:eastAsia="宋体" w:cs="宋体"/>
                <w:spacing w:val="-1"/>
                <w:sz w:val="20"/>
                <w:szCs w:val="20"/>
              </w:rPr>
              <w:t>噪</w:t>
            </w:r>
            <w:r>
              <w:rPr>
                <w:rFonts w:ascii="宋体" w:hAnsi="宋体" w:eastAsia="宋体" w:cs="宋体"/>
                <w:sz w:val="20"/>
                <w:szCs w:val="20"/>
              </w:rPr>
              <w:t>声</w:t>
            </w:r>
          </w:p>
        </w:tc>
        <w:tc>
          <w:tcPr>
            <w:tcW w:w="510" w:type="dxa"/>
            <w:tcBorders>
              <w:left w:val="single" w:color="000000" w:sz="4" w:space="0"/>
              <w:right w:val="single" w:color="000000" w:sz="4" w:space="0"/>
            </w:tcBorders>
            <w:vAlign w:val="top"/>
          </w:tcPr>
          <w:p w14:paraId="0414EF43">
            <w:pPr>
              <w:spacing w:before="192" w:line="272" w:lineRule="auto"/>
              <w:ind w:left="47" w:right="41" w:firstLine="10"/>
              <w:rPr>
                <w:rFonts w:ascii="宋体" w:hAnsi="宋体" w:eastAsia="宋体" w:cs="宋体"/>
                <w:sz w:val="20"/>
                <w:szCs w:val="20"/>
              </w:rPr>
            </w:pPr>
            <w:r>
              <w:rPr>
                <w:rFonts w:ascii="宋体" w:hAnsi="宋体" w:eastAsia="宋体" w:cs="宋体"/>
                <w:spacing w:val="-1"/>
                <w:sz w:val="20"/>
                <w:szCs w:val="20"/>
              </w:rPr>
              <w:t>噪</w:t>
            </w:r>
            <w:r>
              <w:rPr>
                <w:rFonts w:ascii="宋体" w:hAnsi="宋体" w:eastAsia="宋体" w:cs="宋体"/>
                <w:sz w:val="20"/>
                <w:szCs w:val="20"/>
              </w:rPr>
              <w:t xml:space="preserve">声 </w:t>
            </w:r>
            <w:r>
              <w:rPr>
                <w:rFonts w:ascii="宋体" w:hAnsi="宋体" w:eastAsia="宋体" w:cs="宋体"/>
                <w:spacing w:val="5"/>
                <w:sz w:val="20"/>
                <w:szCs w:val="20"/>
              </w:rPr>
              <w:t>控制</w:t>
            </w:r>
          </w:p>
        </w:tc>
        <w:tc>
          <w:tcPr>
            <w:tcW w:w="1170" w:type="dxa"/>
            <w:tcBorders>
              <w:left w:val="single" w:color="000000" w:sz="4" w:space="0"/>
              <w:right w:val="single" w:color="000000" w:sz="4" w:space="0"/>
            </w:tcBorders>
            <w:vAlign w:val="top"/>
          </w:tcPr>
          <w:p w14:paraId="7CA4C788">
            <w:pPr>
              <w:spacing w:before="51" w:line="227" w:lineRule="auto"/>
              <w:ind w:left="8"/>
              <w:rPr>
                <w:rFonts w:ascii="宋体" w:hAnsi="宋体" w:eastAsia="宋体" w:cs="宋体"/>
                <w:sz w:val="20"/>
                <w:szCs w:val="20"/>
              </w:rPr>
            </w:pPr>
            <w:r>
              <w:rPr>
                <w:rFonts w:ascii="宋体" w:hAnsi="宋体" w:eastAsia="宋体" w:cs="宋体"/>
                <w:spacing w:val="-13"/>
                <w:sz w:val="20"/>
                <w:szCs w:val="20"/>
              </w:rPr>
              <w:t>粉</w:t>
            </w:r>
            <w:r>
              <w:rPr>
                <w:rFonts w:ascii="宋体" w:hAnsi="宋体" w:eastAsia="宋体" w:cs="宋体"/>
                <w:spacing w:val="-8"/>
                <w:sz w:val="20"/>
                <w:szCs w:val="20"/>
              </w:rPr>
              <w:t>碎机、喂料</w:t>
            </w:r>
          </w:p>
          <w:p w14:paraId="5A20BFE0">
            <w:pPr>
              <w:spacing w:before="34" w:line="227" w:lineRule="auto"/>
              <w:ind w:left="8"/>
              <w:rPr>
                <w:rFonts w:ascii="宋体" w:hAnsi="宋体" w:eastAsia="宋体" w:cs="宋体"/>
                <w:sz w:val="20"/>
                <w:szCs w:val="20"/>
              </w:rPr>
            </w:pPr>
            <w:r>
              <w:rPr>
                <w:rFonts w:ascii="宋体" w:hAnsi="宋体" w:eastAsia="宋体" w:cs="宋体"/>
                <w:spacing w:val="-13"/>
                <w:sz w:val="20"/>
                <w:szCs w:val="20"/>
              </w:rPr>
              <w:t>机</w:t>
            </w:r>
            <w:r>
              <w:rPr>
                <w:rFonts w:ascii="宋体" w:hAnsi="宋体" w:eastAsia="宋体" w:cs="宋体"/>
                <w:spacing w:val="-8"/>
                <w:sz w:val="20"/>
                <w:szCs w:val="20"/>
              </w:rPr>
              <w:t>、循环水泵</w:t>
            </w:r>
          </w:p>
          <w:p w14:paraId="0298F233">
            <w:pPr>
              <w:spacing w:before="34" w:line="219" w:lineRule="auto"/>
              <w:ind w:left="483"/>
              <w:rPr>
                <w:rFonts w:ascii="宋体" w:hAnsi="宋体" w:eastAsia="宋体" w:cs="宋体"/>
                <w:sz w:val="20"/>
                <w:szCs w:val="20"/>
              </w:rPr>
            </w:pPr>
            <w:r>
              <w:rPr>
                <w:rFonts w:ascii="宋体" w:hAnsi="宋体" w:eastAsia="宋体" w:cs="宋体"/>
                <w:sz w:val="20"/>
                <w:szCs w:val="20"/>
              </w:rPr>
              <w:t>等</w:t>
            </w:r>
          </w:p>
        </w:tc>
        <w:tc>
          <w:tcPr>
            <w:tcW w:w="645" w:type="dxa"/>
            <w:tcBorders>
              <w:left w:val="single" w:color="000000" w:sz="4" w:space="0"/>
              <w:right w:val="single" w:color="000000" w:sz="4" w:space="0"/>
            </w:tcBorders>
            <w:vAlign w:val="top"/>
          </w:tcPr>
          <w:p w14:paraId="76BF865E">
            <w:pPr>
              <w:spacing w:line="266" w:lineRule="auto"/>
              <w:rPr>
                <w:rFonts w:ascii="Arial"/>
                <w:sz w:val="21"/>
              </w:rPr>
            </w:pPr>
          </w:p>
          <w:p w14:paraId="3B786ED0">
            <w:pPr>
              <w:spacing w:before="65" w:line="228" w:lineRule="auto"/>
              <w:ind w:left="125"/>
              <w:rPr>
                <w:rFonts w:ascii="宋体" w:hAnsi="宋体" w:eastAsia="宋体" w:cs="宋体"/>
                <w:sz w:val="20"/>
                <w:szCs w:val="20"/>
              </w:rPr>
            </w:pPr>
            <w:r>
              <w:rPr>
                <w:rFonts w:ascii="宋体" w:hAnsi="宋体" w:eastAsia="宋体" w:cs="宋体"/>
                <w:spacing w:val="-1"/>
                <w:sz w:val="20"/>
                <w:szCs w:val="20"/>
              </w:rPr>
              <w:t>噪</w:t>
            </w:r>
            <w:r>
              <w:rPr>
                <w:rFonts w:ascii="宋体" w:hAnsi="宋体" w:eastAsia="宋体" w:cs="宋体"/>
                <w:sz w:val="20"/>
                <w:szCs w:val="20"/>
              </w:rPr>
              <w:t>声</w:t>
            </w:r>
          </w:p>
        </w:tc>
        <w:tc>
          <w:tcPr>
            <w:tcW w:w="2780" w:type="dxa"/>
            <w:tcBorders>
              <w:left w:val="single" w:color="000000" w:sz="4" w:space="0"/>
              <w:right w:val="single" w:color="000000" w:sz="4" w:space="0"/>
            </w:tcBorders>
            <w:vAlign w:val="top"/>
          </w:tcPr>
          <w:p w14:paraId="4A5E66D2">
            <w:pPr>
              <w:spacing w:line="266" w:lineRule="auto"/>
              <w:rPr>
                <w:rFonts w:ascii="Arial"/>
                <w:sz w:val="21"/>
              </w:rPr>
            </w:pPr>
          </w:p>
          <w:p w14:paraId="745A22DD">
            <w:pPr>
              <w:spacing w:before="65" w:line="228" w:lineRule="auto"/>
              <w:ind w:left="553"/>
              <w:rPr>
                <w:rFonts w:ascii="宋体" w:hAnsi="宋体" w:eastAsia="宋体" w:cs="宋体"/>
                <w:sz w:val="20"/>
                <w:szCs w:val="20"/>
              </w:rPr>
            </w:pPr>
            <w:r>
              <w:rPr>
                <w:rFonts w:ascii="宋体" w:hAnsi="宋体" w:eastAsia="宋体" w:cs="宋体"/>
                <w:spacing w:val="13"/>
                <w:sz w:val="20"/>
                <w:szCs w:val="20"/>
              </w:rPr>
              <w:t>减</w:t>
            </w:r>
            <w:r>
              <w:rPr>
                <w:rFonts w:ascii="宋体" w:hAnsi="宋体" w:eastAsia="宋体" w:cs="宋体"/>
                <w:spacing w:val="8"/>
                <w:sz w:val="20"/>
                <w:szCs w:val="20"/>
              </w:rPr>
              <w:t>振、降噪、隔声</w:t>
            </w:r>
          </w:p>
        </w:tc>
        <w:tc>
          <w:tcPr>
            <w:tcW w:w="594" w:type="dxa"/>
            <w:tcBorders>
              <w:left w:val="single" w:color="000000" w:sz="4" w:space="0"/>
              <w:right w:val="single" w:color="000000" w:sz="4" w:space="0"/>
            </w:tcBorders>
            <w:vAlign w:val="top"/>
          </w:tcPr>
          <w:p w14:paraId="30189DAF">
            <w:pPr>
              <w:spacing w:line="266" w:lineRule="auto"/>
              <w:rPr>
                <w:rFonts w:ascii="Arial"/>
                <w:sz w:val="21"/>
              </w:rPr>
            </w:pPr>
          </w:p>
          <w:p w14:paraId="72C3C327">
            <w:pPr>
              <w:spacing w:before="65" w:line="228" w:lineRule="auto"/>
              <w:ind w:left="94"/>
              <w:rPr>
                <w:rFonts w:ascii="宋体" w:hAnsi="宋体" w:eastAsia="宋体" w:cs="宋体"/>
                <w:sz w:val="20"/>
                <w:szCs w:val="20"/>
              </w:rPr>
            </w:pPr>
            <w:r>
              <w:rPr>
                <w:rFonts w:ascii="宋体" w:hAnsi="宋体" w:eastAsia="宋体" w:cs="宋体"/>
                <w:spacing w:val="4"/>
                <w:sz w:val="20"/>
                <w:szCs w:val="20"/>
              </w:rPr>
              <w:t>厂</w:t>
            </w:r>
            <w:r>
              <w:rPr>
                <w:rFonts w:ascii="宋体" w:hAnsi="宋体" w:eastAsia="宋体" w:cs="宋体"/>
                <w:spacing w:val="3"/>
                <w:sz w:val="20"/>
                <w:szCs w:val="20"/>
              </w:rPr>
              <w:t>界</w:t>
            </w:r>
          </w:p>
        </w:tc>
        <w:tc>
          <w:tcPr>
            <w:tcW w:w="2141" w:type="dxa"/>
            <w:tcBorders>
              <w:left w:val="single" w:color="000000" w:sz="4" w:space="0"/>
              <w:right w:val="nil"/>
            </w:tcBorders>
            <w:vAlign w:val="top"/>
          </w:tcPr>
          <w:p w14:paraId="6A78CC1C">
            <w:pPr>
              <w:spacing w:before="52" w:line="259" w:lineRule="auto"/>
              <w:ind w:left="480" w:right="25" w:hanging="454"/>
              <w:rPr>
                <w:rFonts w:ascii="宋体" w:hAnsi="宋体" w:eastAsia="宋体" w:cs="宋体"/>
                <w:sz w:val="20"/>
                <w:szCs w:val="20"/>
              </w:rPr>
            </w:pPr>
            <w:r>
              <w:rPr>
                <w:rFonts w:ascii="宋体" w:hAnsi="宋体" w:eastAsia="宋体" w:cs="宋体"/>
                <w:spacing w:val="12"/>
                <w:sz w:val="20"/>
                <w:szCs w:val="20"/>
              </w:rPr>
              <w:t>《</w:t>
            </w:r>
            <w:r>
              <w:rPr>
                <w:rFonts w:ascii="宋体" w:hAnsi="宋体" w:eastAsia="宋体" w:cs="宋体"/>
                <w:spacing w:val="8"/>
                <w:sz w:val="20"/>
                <w:szCs w:val="20"/>
              </w:rPr>
              <w:t>工业企业厂界环境噪</w:t>
            </w:r>
            <w:r>
              <w:rPr>
                <w:rFonts w:ascii="宋体" w:hAnsi="宋体" w:eastAsia="宋体" w:cs="宋体"/>
                <w:sz w:val="20"/>
                <w:szCs w:val="20"/>
              </w:rPr>
              <w:t xml:space="preserve"> </w:t>
            </w:r>
            <w:r>
              <w:rPr>
                <w:rFonts w:ascii="宋体" w:hAnsi="宋体" w:eastAsia="宋体" w:cs="宋体"/>
                <w:spacing w:val="-2"/>
                <w:sz w:val="20"/>
                <w:szCs w:val="20"/>
              </w:rPr>
              <w:t>声排放标准》</w:t>
            </w:r>
          </w:p>
          <w:p w14:paraId="64377930">
            <w:pPr>
              <w:spacing w:line="218" w:lineRule="auto"/>
              <w:ind w:left="93"/>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8"/>
                <w:sz w:val="20"/>
                <w:szCs w:val="20"/>
              </w:rPr>
              <w:t>1</w:t>
            </w:r>
            <w:r>
              <w:rPr>
                <w:rFonts w:ascii="Times New Roman" w:hAnsi="Times New Roman" w:eastAsia="Times New Roman" w:cs="Times New Roman"/>
                <w:spacing w:val="6"/>
                <w:sz w:val="20"/>
                <w:szCs w:val="20"/>
              </w:rPr>
              <w:t>2</w:t>
            </w:r>
            <w:r>
              <w:rPr>
                <w:rFonts w:ascii="Times New Roman" w:hAnsi="Times New Roman" w:eastAsia="Times New Roman" w:cs="Times New Roman"/>
                <w:spacing w:val="4"/>
                <w:sz w:val="20"/>
                <w:szCs w:val="20"/>
              </w:rPr>
              <w:t>348-2008</w:t>
            </w:r>
            <w:r>
              <w:rPr>
                <w:rFonts w:ascii="宋体" w:hAnsi="宋体" w:eastAsia="宋体" w:cs="宋体"/>
                <w:spacing w:val="4"/>
                <w:sz w:val="20"/>
                <w:szCs w:val="20"/>
              </w:rPr>
              <w:t xml:space="preserve">) </w:t>
            </w:r>
            <w:r>
              <w:rPr>
                <w:rFonts w:ascii="Times New Roman" w:hAnsi="Times New Roman" w:eastAsia="Times New Roman" w:cs="Times New Roman"/>
                <w:spacing w:val="4"/>
                <w:sz w:val="20"/>
                <w:szCs w:val="20"/>
              </w:rPr>
              <w:t xml:space="preserve">3 </w:t>
            </w:r>
            <w:r>
              <w:rPr>
                <w:rFonts w:ascii="宋体" w:hAnsi="宋体" w:eastAsia="宋体" w:cs="宋体"/>
                <w:spacing w:val="4"/>
                <w:sz w:val="20"/>
                <w:szCs w:val="20"/>
              </w:rPr>
              <w:t>类</w:t>
            </w:r>
          </w:p>
        </w:tc>
      </w:tr>
      <w:tr w14:paraId="791897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480" w:type="dxa"/>
            <w:vMerge w:val="restart"/>
            <w:tcBorders>
              <w:left w:val="nil"/>
              <w:bottom w:val="nil"/>
              <w:right w:val="single" w:color="000000" w:sz="4" w:space="0"/>
            </w:tcBorders>
            <w:vAlign w:val="top"/>
          </w:tcPr>
          <w:p w14:paraId="592A31C0">
            <w:pPr>
              <w:spacing w:line="243" w:lineRule="auto"/>
              <w:rPr>
                <w:rFonts w:ascii="Arial"/>
                <w:sz w:val="21"/>
              </w:rPr>
            </w:pPr>
          </w:p>
          <w:p w14:paraId="227E0849">
            <w:pPr>
              <w:spacing w:line="244" w:lineRule="auto"/>
              <w:rPr>
                <w:rFonts w:ascii="Arial"/>
                <w:sz w:val="21"/>
              </w:rPr>
            </w:pPr>
          </w:p>
          <w:p w14:paraId="5775CCAA">
            <w:pPr>
              <w:spacing w:line="244" w:lineRule="auto"/>
              <w:rPr>
                <w:rFonts w:ascii="Arial"/>
                <w:sz w:val="21"/>
              </w:rPr>
            </w:pPr>
          </w:p>
          <w:p w14:paraId="4CF1B517">
            <w:pPr>
              <w:spacing w:line="244" w:lineRule="auto"/>
              <w:rPr>
                <w:rFonts w:ascii="Arial"/>
                <w:sz w:val="21"/>
              </w:rPr>
            </w:pPr>
          </w:p>
          <w:p w14:paraId="5F35BA48">
            <w:pPr>
              <w:spacing w:line="244" w:lineRule="auto"/>
              <w:rPr>
                <w:rFonts w:ascii="Arial"/>
                <w:sz w:val="21"/>
              </w:rPr>
            </w:pPr>
          </w:p>
          <w:p w14:paraId="35AC51AA">
            <w:pPr>
              <w:spacing w:line="244" w:lineRule="auto"/>
              <w:rPr>
                <w:rFonts w:ascii="Arial"/>
                <w:sz w:val="21"/>
              </w:rPr>
            </w:pPr>
          </w:p>
          <w:p w14:paraId="19E34968">
            <w:pPr>
              <w:spacing w:before="65" w:line="228" w:lineRule="auto"/>
              <w:ind w:left="52"/>
              <w:rPr>
                <w:rFonts w:ascii="宋体" w:hAnsi="宋体" w:eastAsia="宋体" w:cs="宋体"/>
                <w:sz w:val="20"/>
                <w:szCs w:val="20"/>
              </w:rPr>
            </w:pPr>
            <w:r>
              <w:rPr>
                <w:rFonts w:ascii="宋体" w:hAnsi="宋体" w:eastAsia="宋体" w:cs="宋体"/>
                <w:spacing w:val="-5"/>
                <w:sz w:val="20"/>
                <w:szCs w:val="20"/>
              </w:rPr>
              <w:t>固</w:t>
            </w:r>
            <w:r>
              <w:rPr>
                <w:rFonts w:ascii="宋体" w:hAnsi="宋体" w:eastAsia="宋体" w:cs="宋体"/>
                <w:spacing w:val="-4"/>
                <w:sz w:val="20"/>
                <w:szCs w:val="20"/>
              </w:rPr>
              <w:t>废</w:t>
            </w:r>
          </w:p>
        </w:tc>
        <w:tc>
          <w:tcPr>
            <w:tcW w:w="510" w:type="dxa"/>
            <w:tcBorders>
              <w:left w:val="single" w:color="000000" w:sz="4" w:space="0"/>
              <w:right w:val="single" w:color="000000" w:sz="4" w:space="0"/>
            </w:tcBorders>
            <w:vAlign w:val="top"/>
          </w:tcPr>
          <w:p w14:paraId="3AE584FB">
            <w:pPr>
              <w:spacing w:before="54" w:line="238" w:lineRule="auto"/>
              <w:ind w:left="51" w:right="41" w:hanging="1"/>
              <w:rPr>
                <w:rFonts w:ascii="宋体" w:hAnsi="宋体" w:eastAsia="宋体" w:cs="宋体"/>
                <w:sz w:val="20"/>
                <w:szCs w:val="20"/>
              </w:rPr>
            </w:pPr>
            <w:r>
              <w:rPr>
                <w:rFonts w:ascii="宋体" w:hAnsi="宋体" w:eastAsia="宋体" w:cs="宋体"/>
                <w:spacing w:val="4"/>
                <w:sz w:val="20"/>
                <w:szCs w:val="20"/>
              </w:rPr>
              <w:t>生</w:t>
            </w:r>
            <w:r>
              <w:rPr>
                <w:rFonts w:ascii="宋体" w:hAnsi="宋体" w:eastAsia="宋体" w:cs="宋体"/>
                <w:spacing w:val="3"/>
                <w:sz w:val="20"/>
                <w:szCs w:val="20"/>
              </w:rPr>
              <w:t>活</w:t>
            </w:r>
            <w:r>
              <w:rPr>
                <w:rFonts w:ascii="宋体" w:hAnsi="宋体" w:eastAsia="宋体" w:cs="宋体"/>
                <w:sz w:val="20"/>
                <w:szCs w:val="20"/>
              </w:rPr>
              <w:t xml:space="preserve"> </w:t>
            </w:r>
            <w:r>
              <w:rPr>
                <w:rFonts w:ascii="宋体" w:hAnsi="宋体" w:eastAsia="宋体" w:cs="宋体"/>
                <w:spacing w:val="3"/>
                <w:sz w:val="20"/>
                <w:szCs w:val="20"/>
              </w:rPr>
              <w:t>设施</w:t>
            </w:r>
          </w:p>
        </w:tc>
        <w:tc>
          <w:tcPr>
            <w:tcW w:w="1170" w:type="dxa"/>
            <w:tcBorders>
              <w:left w:val="single" w:color="000000" w:sz="4" w:space="0"/>
              <w:right w:val="single" w:color="000000" w:sz="4" w:space="0"/>
            </w:tcBorders>
            <w:vAlign w:val="top"/>
          </w:tcPr>
          <w:p w14:paraId="4295BC3C">
            <w:pPr>
              <w:spacing w:before="192" w:line="228" w:lineRule="auto"/>
              <w:ind w:left="277"/>
              <w:rPr>
                <w:rFonts w:ascii="宋体" w:hAnsi="宋体" w:eastAsia="宋体" w:cs="宋体"/>
                <w:sz w:val="20"/>
                <w:szCs w:val="20"/>
              </w:rPr>
            </w:pPr>
            <w:r>
              <w:rPr>
                <w:rFonts w:ascii="宋体" w:hAnsi="宋体" w:eastAsia="宋体" w:cs="宋体"/>
                <w:spacing w:val="6"/>
                <w:sz w:val="20"/>
                <w:szCs w:val="20"/>
              </w:rPr>
              <w:t>办</w:t>
            </w:r>
            <w:r>
              <w:rPr>
                <w:rFonts w:ascii="宋体" w:hAnsi="宋体" w:eastAsia="宋体" w:cs="宋体"/>
                <w:spacing w:val="5"/>
                <w:sz w:val="20"/>
                <w:szCs w:val="20"/>
              </w:rPr>
              <w:t>公室</w:t>
            </w:r>
          </w:p>
        </w:tc>
        <w:tc>
          <w:tcPr>
            <w:tcW w:w="645" w:type="dxa"/>
            <w:tcBorders>
              <w:left w:val="single" w:color="000000" w:sz="4" w:space="0"/>
              <w:right w:val="single" w:color="000000" w:sz="4" w:space="0"/>
            </w:tcBorders>
            <w:vAlign w:val="top"/>
          </w:tcPr>
          <w:p w14:paraId="12837E75">
            <w:pPr>
              <w:spacing w:before="54" w:line="238" w:lineRule="auto"/>
              <w:ind w:left="117" w:right="109"/>
              <w:rPr>
                <w:rFonts w:ascii="宋体" w:hAnsi="宋体" w:eastAsia="宋体" w:cs="宋体"/>
                <w:sz w:val="20"/>
                <w:szCs w:val="20"/>
              </w:rPr>
            </w:pPr>
            <w:r>
              <w:rPr>
                <w:rFonts w:ascii="宋体" w:hAnsi="宋体" w:eastAsia="宋体" w:cs="宋体"/>
                <w:spacing w:val="4"/>
                <w:sz w:val="20"/>
                <w:szCs w:val="20"/>
              </w:rPr>
              <w:t>生</w:t>
            </w:r>
            <w:r>
              <w:rPr>
                <w:rFonts w:ascii="宋体" w:hAnsi="宋体" w:eastAsia="宋体" w:cs="宋体"/>
                <w:spacing w:val="3"/>
                <w:sz w:val="20"/>
                <w:szCs w:val="20"/>
              </w:rPr>
              <w:t>活</w:t>
            </w:r>
            <w:r>
              <w:rPr>
                <w:rFonts w:ascii="宋体" w:hAnsi="宋体" w:eastAsia="宋体" w:cs="宋体"/>
                <w:sz w:val="20"/>
                <w:szCs w:val="20"/>
              </w:rPr>
              <w:t xml:space="preserve"> </w:t>
            </w:r>
            <w:r>
              <w:rPr>
                <w:rFonts w:ascii="宋体" w:hAnsi="宋体" w:eastAsia="宋体" w:cs="宋体"/>
                <w:spacing w:val="4"/>
                <w:sz w:val="20"/>
                <w:szCs w:val="20"/>
              </w:rPr>
              <w:t>垃</w:t>
            </w:r>
            <w:r>
              <w:rPr>
                <w:rFonts w:ascii="宋体" w:hAnsi="宋体" w:eastAsia="宋体" w:cs="宋体"/>
                <w:spacing w:val="3"/>
                <w:sz w:val="20"/>
                <w:szCs w:val="20"/>
              </w:rPr>
              <w:t>圾</w:t>
            </w:r>
          </w:p>
        </w:tc>
        <w:tc>
          <w:tcPr>
            <w:tcW w:w="2780" w:type="dxa"/>
            <w:tcBorders>
              <w:left w:val="single" w:color="000000" w:sz="4" w:space="0"/>
              <w:right w:val="single" w:color="000000" w:sz="4" w:space="0"/>
            </w:tcBorders>
            <w:vAlign w:val="top"/>
          </w:tcPr>
          <w:p w14:paraId="1FFEC671">
            <w:pPr>
              <w:spacing w:before="192" w:line="228" w:lineRule="auto"/>
              <w:ind w:left="553"/>
              <w:rPr>
                <w:rFonts w:ascii="宋体" w:hAnsi="宋体" w:eastAsia="宋体" w:cs="宋体"/>
                <w:sz w:val="20"/>
                <w:szCs w:val="20"/>
              </w:rPr>
            </w:pPr>
            <w:r>
              <w:rPr>
                <w:rFonts w:ascii="宋体" w:hAnsi="宋体" w:eastAsia="宋体" w:cs="宋体"/>
                <w:spacing w:val="13"/>
                <w:sz w:val="20"/>
                <w:szCs w:val="20"/>
              </w:rPr>
              <w:t>环</w:t>
            </w:r>
            <w:r>
              <w:rPr>
                <w:rFonts w:ascii="宋体" w:hAnsi="宋体" w:eastAsia="宋体" w:cs="宋体"/>
                <w:spacing w:val="8"/>
                <w:sz w:val="20"/>
                <w:szCs w:val="20"/>
              </w:rPr>
              <w:t>卫部门统一处理</w:t>
            </w:r>
          </w:p>
        </w:tc>
        <w:tc>
          <w:tcPr>
            <w:tcW w:w="594" w:type="dxa"/>
            <w:tcBorders>
              <w:left w:val="single" w:color="000000" w:sz="4" w:space="0"/>
              <w:right w:val="single" w:color="000000" w:sz="4" w:space="0"/>
            </w:tcBorders>
            <w:vAlign w:val="top"/>
          </w:tcPr>
          <w:p w14:paraId="79542D8D">
            <w:pPr>
              <w:spacing w:before="155" w:line="281" w:lineRule="exact"/>
              <w:ind w:left="26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2141" w:type="dxa"/>
            <w:vMerge w:val="restart"/>
            <w:tcBorders>
              <w:left w:val="single" w:color="000000" w:sz="4" w:space="0"/>
              <w:bottom w:val="nil"/>
              <w:right w:val="nil"/>
            </w:tcBorders>
            <w:vAlign w:val="top"/>
          </w:tcPr>
          <w:p w14:paraId="2894539B">
            <w:pPr>
              <w:spacing w:line="243" w:lineRule="auto"/>
              <w:rPr>
                <w:rFonts w:ascii="Arial"/>
                <w:sz w:val="21"/>
              </w:rPr>
            </w:pPr>
          </w:p>
          <w:p w14:paraId="46B7173D">
            <w:pPr>
              <w:spacing w:line="243" w:lineRule="auto"/>
              <w:rPr>
                <w:rFonts w:ascii="Arial"/>
                <w:sz w:val="21"/>
              </w:rPr>
            </w:pPr>
          </w:p>
          <w:p w14:paraId="631D3C46">
            <w:pPr>
              <w:spacing w:line="244" w:lineRule="auto"/>
              <w:rPr>
                <w:rFonts w:ascii="Arial"/>
                <w:sz w:val="21"/>
              </w:rPr>
            </w:pPr>
          </w:p>
          <w:p w14:paraId="08317100">
            <w:pPr>
              <w:spacing w:line="244" w:lineRule="auto"/>
              <w:rPr>
                <w:rFonts w:ascii="Arial"/>
                <w:sz w:val="21"/>
              </w:rPr>
            </w:pPr>
          </w:p>
          <w:p w14:paraId="72919864">
            <w:pPr>
              <w:spacing w:line="244" w:lineRule="auto"/>
              <w:rPr>
                <w:rFonts w:ascii="Arial"/>
                <w:sz w:val="21"/>
              </w:rPr>
            </w:pPr>
          </w:p>
          <w:p w14:paraId="51C52BA7">
            <w:pPr>
              <w:spacing w:line="244" w:lineRule="auto"/>
              <w:rPr>
                <w:rFonts w:ascii="Arial"/>
                <w:sz w:val="21"/>
              </w:rPr>
            </w:pPr>
          </w:p>
          <w:p w14:paraId="12B5997C">
            <w:pPr>
              <w:spacing w:before="65" w:line="231" w:lineRule="auto"/>
              <w:ind w:left="650"/>
              <w:rPr>
                <w:rFonts w:ascii="宋体" w:hAnsi="宋体" w:eastAsia="宋体" w:cs="宋体"/>
                <w:sz w:val="20"/>
                <w:szCs w:val="20"/>
              </w:rPr>
            </w:pPr>
            <w:r>
              <w:rPr>
                <w:rFonts w:ascii="宋体" w:hAnsi="宋体" w:eastAsia="宋体" w:cs="宋体"/>
                <w:spacing w:val="7"/>
                <w:sz w:val="20"/>
                <w:szCs w:val="20"/>
              </w:rPr>
              <w:t>合理处置</w:t>
            </w:r>
          </w:p>
        </w:tc>
      </w:tr>
      <w:tr w14:paraId="39796A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480" w:type="dxa"/>
            <w:vMerge w:val="continue"/>
            <w:tcBorders>
              <w:top w:val="nil"/>
              <w:left w:val="nil"/>
              <w:bottom w:val="nil"/>
              <w:right w:val="single" w:color="000000" w:sz="4" w:space="0"/>
            </w:tcBorders>
            <w:vAlign w:val="top"/>
          </w:tcPr>
          <w:p w14:paraId="1C0EC504">
            <w:pPr>
              <w:rPr>
                <w:rFonts w:ascii="Arial"/>
                <w:sz w:val="21"/>
              </w:rPr>
            </w:pPr>
          </w:p>
        </w:tc>
        <w:tc>
          <w:tcPr>
            <w:tcW w:w="510" w:type="dxa"/>
            <w:vMerge w:val="restart"/>
            <w:tcBorders>
              <w:left w:val="single" w:color="000000" w:sz="4" w:space="0"/>
              <w:bottom w:val="nil"/>
              <w:right w:val="single" w:color="000000" w:sz="4" w:space="0"/>
            </w:tcBorders>
            <w:vAlign w:val="top"/>
          </w:tcPr>
          <w:p w14:paraId="420177D6">
            <w:pPr>
              <w:spacing w:line="259" w:lineRule="auto"/>
              <w:rPr>
                <w:rFonts w:ascii="Arial"/>
                <w:sz w:val="21"/>
              </w:rPr>
            </w:pPr>
          </w:p>
          <w:p w14:paraId="142CD32B">
            <w:pPr>
              <w:spacing w:line="259" w:lineRule="auto"/>
              <w:rPr>
                <w:rFonts w:ascii="Arial"/>
                <w:sz w:val="21"/>
              </w:rPr>
            </w:pPr>
          </w:p>
          <w:p w14:paraId="6610BB1F">
            <w:pPr>
              <w:spacing w:line="260" w:lineRule="auto"/>
              <w:rPr>
                <w:rFonts w:ascii="Arial"/>
                <w:sz w:val="21"/>
              </w:rPr>
            </w:pPr>
          </w:p>
          <w:p w14:paraId="2C74A55F">
            <w:pPr>
              <w:spacing w:line="260" w:lineRule="auto"/>
              <w:rPr>
                <w:rFonts w:ascii="Arial"/>
                <w:sz w:val="21"/>
              </w:rPr>
            </w:pPr>
          </w:p>
          <w:p w14:paraId="7A1F44A4">
            <w:pPr>
              <w:spacing w:before="65" w:line="274" w:lineRule="auto"/>
              <w:ind w:left="166" w:right="41" w:hanging="116"/>
              <w:rPr>
                <w:rFonts w:ascii="宋体" w:hAnsi="宋体" w:eastAsia="宋体" w:cs="宋体"/>
                <w:sz w:val="20"/>
                <w:szCs w:val="20"/>
              </w:rPr>
            </w:pPr>
            <w:r>
              <w:rPr>
                <w:rFonts w:ascii="宋体" w:hAnsi="宋体" w:eastAsia="宋体" w:cs="宋体"/>
                <w:spacing w:val="4"/>
                <w:sz w:val="20"/>
                <w:szCs w:val="20"/>
              </w:rPr>
              <w:t>生</w:t>
            </w:r>
            <w:r>
              <w:rPr>
                <w:rFonts w:ascii="宋体" w:hAnsi="宋体" w:eastAsia="宋体" w:cs="宋体"/>
                <w:spacing w:val="3"/>
                <w:sz w:val="20"/>
                <w:szCs w:val="20"/>
              </w:rPr>
              <w:t>产</w:t>
            </w:r>
            <w:r>
              <w:rPr>
                <w:rFonts w:ascii="宋体" w:hAnsi="宋体" w:eastAsia="宋体" w:cs="宋体"/>
                <w:sz w:val="20"/>
                <w:szCs w:val="20"/>
              </w:rPr>
              <w:t xml:space="preserve"> 区</w:t>
            </w:r>
          </w:p>
        </w:tc>
        <w:tc>
          <w:tcPr>
            <w:tcW w:w="1170" w:type="dxa"/>
            <w:tcBorders>
              <w:left w:val="single" w:color="000000" w:sz="4" w:space="0"/>
              <w:right w:val="single" w:color="000000" w:sz="4" w:space="0"/>
            </w:tcBorders>
            <w:vAlign w:val="top"/>
          </w:tcPr>
          <w:p w14:paraId="0341D109">
            <w:pPr>
              <w:spacing w:before="51" w:line="220" w:lineRule="auto"/>
              <w:ind w:left="170"/>
              <w:rPr>
                <w:rFonts w:ascii="宋体" w:hAnsi="宋体" w:eastAsia="宋体" w:cs="宋体"/>
                <w:sz w:val="20"/>
                <w:szCs w:val="20"/>
              </w:rPr>
            </w:pPr>
            <w:r>
              <w:rPr>
                <w:rFonts w:ascii="宋体" w:hAnsi="宋体" w:eastAsia="宋体" w:cs="宋体"/>
                <w:spacing w:val="9"/>
                <w:sz w:val="20"/>
                <w:szCs w:val="20"/>
              </w:rPr>
              <w:t>分</w:t>
            </w:r>
            <w:r>
              <w:rPr>
                <w:rFonts w:ascii="宋体" w:hAnsi="宋体" w:eastAsia="宋体" w:cs="宋体"/>
                <w:spacing w:val="6"/>
                <w:sz w:val="20"/>
                <w:szCs w:val="20"/>
              </w:rPr>
              <w:t>拣工序</w:t>
            </w:r>
          </w:p>
        </w:tc>
        <w:tc>
          <w:tcPr>
            <w:tcW w:w="645" w:type="dxa"/>
            <w:tcBorders>
              <w:left w:val="single" w:color="000000" w:sz="4" w:space="0"/>
              <w:right w:val="single" w:color="000000" w:sz="4" w:space="0"/>
            </w:tcBorders>
            <w:vAlign w:val="top"/>
          </w:tcPr>
          <w:p w14:paraId="66AA9A6E">
            <w:pPr>
              <w:spacing w:before="51" w:line="220" w:lineRule="auto"/>
              <w:ind w:left="117"/>
              <w:rPr>
                <w:rFonts w:ascii="宋体" w:hAnsi="宋体" w:eastAsia="宋体" w:cs="宋体"/>
                <w:sz w:val="20"/>
                <w:szCs w:val="20"/>
              </w:rPr>
            </w:pPr>
            <w:r>
              <w:rPr>
                <w:rFonts w:ascii="宋体" w:hAnsi="宋体" w:eastAsia="宋体" w:cs="宋体"/>
                <w:spacing w:val="4"/>
                <w:sz w:val="20"/>
                <w:szCs w:val="20"/>
              </w:rPr>
              <w:t>杂</w:t>
            </w:r>
            <w:r>
              <w:rPr>
                <w:rFonts w:ascii="宋体" w:hAnsi="宋体" w:eastAsia="宋体" w:cs="宋体"/>
                <w:spacing w:val="3"/>
                <w:sz w:val="20"/>
                <w:szCs w:val="20"/>
              </w:rPr>
              <w:t>质</w:t>
            </w:r>
          </w:p>
        </w:tc>
        <w:tc>
          <w:tcPr>
            <w:tcW w:w="2780" w:type="dxa"/>
            <w:tcBorders>
              <w:left w:val="single" w:color="000000" w:sz="4" w:space="0"/>
              <w:right w:val="single" w:color="000000" w:sz="4" w:space="0"/>
            </w:tcBorders>
            <w:vAlign w:val="top"/>
          </w:tcPr>
          <w:p w14:paraId="39F1481D">
            <w:pPr>
              <w:spacing w:before="51" w:line="220" w:lineRule="auto"/>
              <w:ind w:left="553"/>
              <w:rPr>
                <w:rFonts w:ascii="宋体" w:hAnsi="宋体" w:eastAsia="宋体" w:cs="宋体"/>
                <w:sz w:val="20"/>
                <w:szCs w:val="20"/>
              </w:rPr>
            </w:pPr>
            <w:r>
              <w:rPr>
                <w:rFonts w:ascii="宋体" w:hAnsi="宋体" w:eastAsia="宋体" w:cs="宋体"/>
                <w:spacing w:val="13"/>
                <w:sz w:val="20"/>
                <w:szCs w:val="20"/>
              </w:rPr>
              <w:t>环</w:t>
            </w:r>
            <w:r>
              <w:rPr>
                <w:rFonts w:ascii="宋体" w:hAnsi="宋体" w:eastAsia="宋体" w:cs="宋体"/>
                <w:spacing w:val="8"/>
                <w:sz w:val="20"/>
                <w:szCs w:val="20"/>
              </w:rPr>
              <w:t>卫部门统一处理</w:t>
            </w:r>
          </w:p>
        </w:tc>
        <w:tc>
          <w:tcPr>
            <w:tcW w:w="594" w:type="dxa"/>
            <w:tcBorders>
              <w:left w:val="single" w:color="000000" w:sz="4" w:space="0"/>
              <w:right w:val="single" w:color="000000" w:sz="4" w:space="0"/>
            </w:tcBorders>
            <w:vAlign w:val="top"/>
          </w:tcPr>
          <w:p w14:paraId="3182832D">
            <w:pPr>
              <w:spacing w:before="14" w:line="276" w:lineRule="exact"/>
              <w:ind w:left="263"/>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2141" w:type="dxa"/>
            <w:vMerge w:val="continue"/>
            <w:tcBorders>
              <w:top w:val="nil"/>
              <w:left w:val="single" w:color="000000" w:sz="4" w:space="0"/>
              <w:bottom w:val="nil"/>
              <w:right w:val="nil"/>
            </w:tcBorders>
            <w:vAlign w:val="top"/>
          </w:tcPr>
          <w:p w14:paraId="61DFB575">
            <w:pPr>
              <w:rPr>
                <w:rFonts w:ascii="Arial"/>
                <w:sz w:val="21"/>
              </w:rPr>
            </w:pPr>
          </w:p>
        </w:tc>
      </w:tr>
      <w:tr w14:paraId="081900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480" w:type="dxa"/>
            <w:vMerge w:val="continue"/>
            <w:tcBorders>
              <w:top w:val="nil"/>
              <w:left w:val="nil"/>
              <w:bottom w:val="nil"/>
              <w:right w:val="single" w:color="000000" w:sz="4" w:space="0"/>
            </w:tcBorders>
            <w:vAlign w:val="top"/>
          </w:tcPr>
          <w:p w14:paraId="70DCBCB9">
            <w:pPr>
              <w:rPr>
                <w:rFonts w:ascii="Arial"/>
                <w:sz w:val="21"/>
              </w:rPr>
            </w:pPr>
          </w:p>
        </w:tc>
        <w:tc>
          <w:tcPr>
            <w:tcW w:w="510" w:type="dxa"/>
            <w:vMerge w:val="continue"/>
            <w:tcBorders>
              <w:top w:val="nil"/>
              <w:left w:val="single" w:color="000000" w:sz="4" w:space="0"/>
              <w:bottom w:val="nil"/>
              <w:right w:val="single" w:color="000000" w:sz="4" w:space="0"/>
            </w:tcBorders>
            <w:vAlign w:val="top"/>
          </w:tcPr>
          <w:p w14:paraId="5A54B10B">
            <w:pPr>
              <w:rPr>
                <w:rFonts w:ascii="Arial"/>
                <w:sz w:val="21"/>
              </w:rPr>
            </w:pPr>
          </w:p>
        </w:tc>
        <w:tc>
          <w:tcPr>
            <w:tcW w:w="1170" w:type="dxa"/>
            <w:tcBorders>
              <w:left w:val="single" w:color="000000" w:sz="4" w:space="0"/>
              <w:right w:val="single" w:color="000000" w:sz="4" w:space="0"/>
            </w:tcBorders>
            <w:vAlign w:val="top"/>
          </w:tcPr>
          <w:p w14:paraId="4E02FEBD">
            <w:pPr>
              <w:spacing w:before="52" w:line="219" w:lineRule="auto"/>
              <w:ind w:left="169"/>
              <w:rPr>
                <w:rFonts w:ascii="宋体" w:hAnsi="宋体" w:eastAsia="宋体" w:cs="宋体"/>
                <w:sz w:val="20"/>
                <w:szCs w:val="20"/>
              </w:rPr>
            </w:pPr>
            <w:r>
              <w:rPr>
                <w:rFonts w:ascii="宋体" w:hAnsi="宋体" w:eastAsia="宋体" w:cs="宋体"/>
                <w:spacing w:val="7"/>
                <w:sz w:val="20"/>
                <w:szCs w:val="20"/>
              </w:rPr>
              <w:t>污水处</w:t>
            </w:r>
            <w:r>
              <w:rPr>
                <w:rFonts w:ascii="宋体" w:hAnsi="宋体" w:eastAsia="宋体" w:cs="宋体"/>
                <w:spacing w:val="6"/>
                <w:sz w:val="20"/>
                <w:szCs w:val="20"/>
              </w:rPr>
              <w:t>理</w:t>
            </w:r>
          </w:p>
        </w:tc>
        <w:tc>
          <w:tcPr>
            <w:tcW w:w="645" w:type="dxa"/>
            <w:tcBorders>
              <w:left w:val="single" w:color="000000" w:sz="4" w:space="0"/>
              <w:right w:val="single" w:color="000000" w:sz="4" w:space="0"/>
            </w:tcBorders>
            <w:vAlign w:val="top"/>
          </w:tcPr>
          <w:p w14:paraId="4D88BB68">
            <w:pPr>
              <w:spacing w:before="52" w:line="219" w:lineRule="auto"/>
              <w:ind w:left="117"/>
              <w:rPr>
                <w:rFonts w:ascii="宋体" w:hAnsi="宋体" w:eastAsia="宋体" w:cs="宋体"/>
                <w:sz w:val="20"/>
                <w:szCs w:val="20"/>
              </w:rPr>
            </w:pPr>
            <w:r>
              <w:rPr>
                <w:rFonts w:ascii="宋体" w:hAnsi="宋体" w:eastAsia="宋体" w:cs="宋体"/>
                <w:spacing w:val="4"/>
                <w:sz w:val="20"/>
                <w:szCs w:val="20"/>
              </w:rPr>
              <w:t>污</w:t>
            </w:r>
            <w:r>
              <w:rPr>
                <w:rFonts w:ascii="宋体" w:hAnsi="宋体" w:eastAsia="宋体" w:cs="宋体"/>
                <w:spacing w:val="3"/>
                <w:sz w:val="20"/>
                <w:szCs w:val="20"/>
              </w:rPr>
              <w:t>泥</w:t>
            </w:r>
          </w:p>
        </w:tc>
        <w:tc>
          <w:tcPr>
            <w:tcW w:w="2780" w:type="dxa"/>
            <w:tcBorders>
              <w:left w:val="single" w:color="000000" w:sz="4" w:space="0"/>
              <w:right w:val="single" w:color="000000" w:sz="4" w:space="0"/>
            </w:tcBorders>
            <w:vAlign w:val="top"/>
          </w:tcPr>
          <w:p w14:paraId="29FBE679">
            <w:pPr>
              <w:spacing w:before="52" w:line="219" w:lineRule="auto"/>
              <w:ind w:left="553"/>
              <w:rPr>
                <w:rFonts w:ascii="宋体" w:hAnsi="宋体" w:eastAsia="宋体" w:cs="宋体"/>
                <w:sz w:val="20"/>
                <w:szCs w:val="20"/>
              </w:rPr>
            </w:pPr>
            <w:r>
              <w:rPr>
                <w:rFonts w:ascii="宋体" w:hAnsi="宋体" w:eastAsia="宋体" w:cs="宋体"/>
                <w:spacing w:val="13"/>
                <w:sz w:val="20"/>
                <w:szCs w:val="20"/>
              </w:rPr>
              <w:t>环</w:t>
            </w:r>
            <w:r>
              <w:rPr>
                <w:rFonts w:ascii="宋体" w:hAnsi="宋体" w:eastAsia="宋体" w:cs="宋体"/>
                <w:spacing w:val="8"/>
                <w:sz w:val="20"/>
                <w:szCs w:val="20"/>
              </w:rPr>
              <w:t>卫部门统一处理</w:t>
            </w:r>
          </w:p>
        </w:tc>
        <w:tc>
          <w:tcPr>
            <w:tcW w:w="594" w:type="dxa"/>
            <w:tcBorders>
              <w:left w:val="single" w:color="000000" w:sz="4" w:space="0"/>
              <w:right w:val="single" w:color="000000" w:sz="4" w:space="0"/>
            </w:tcBorders>
            <w:vAlign w:val="top"/>
          </w:tcPr>
          <w:p w14:paraId="385160DD">
            <w:pPr>
              <w:spacing w:before="14" w:line="276" w:lineRule="exact"/>
              <w:ind w:left="263"/>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2141" w:type="dxa"/>
            <w:vMerge w:val="continue"/>
            <w:tcBorders>
              <w:top w:val="nil"/>
              <w:left w:val="single" w:color="000000" w:sz="4" w:space="0"/>
              <w:bottom w:val="nil"/>
              <w:right w:val="nil"/>
            </w:tcBorders>
            <w:vAlign w:val="top"/>
          </w:tcPr>
          <w:p w14:paraId="1C9F294B">
            <w:pPr>
              <w:rPr>
                <w:rFonts w:ascii="Arial"/>
                <w:sz w:val="21"/>
              </w:rPr>
            </w:pPr>
          </w:p>
        </w:tc>
      </w:tr>
      <w:tr w14:paraId="7AEDA1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480" w:type="dxa"/>
            <w:vMerge w:val="continue"/>
            <w:tcBorders>
              <w:top w:val="nil"/>
              <w:left w:val="nil"/>
              <w:bottom w:val="nil"/>
              <w:right w:val="single" w:color="000000" w:sz="4" w:space="0"/>
            </w:tcBorders>
            <w:vAlign w:val="top"/>
          </w:tcPr>
          <w:p w14:paraId="414B4892">
            <w:pPr>
              <w:rPr>
                <w:rFonts w:ascii="Arial"/>
                <w:sz w:val="21"/>
              </w:rPr>
            </w:pPr>
          </w:p>
        </w:tc>
        <w:tc>
          <w:tcPr>
            <w:tcW w:w="510" w:type="dxa"/>
            <w:vMerge w:val="continue"/>
            <w:tcBorders>
              <w:top w:val="nil"/>
              <w:left w:val="single" w:color="000000" w:sz="4" w:space="0"/>
              <w:bottom w:val="nil"/>
              <w:right w:val="single" w:color="000000" w:sz="4" w:space="0"/>
            </w:tcBorders>
            <w:vAlign w:val="top"/>
          </w:tcPr>
          <w:p w14:paraId="7FBDD547">
            <w:pPr>
              <w:rPr>
                <w:rFonts w:ascii="Arial"/>
                <w:sz w:val="21"/>
              </w:rPr>
            </w:pPr>
          </w:p>
        </w:tc>
        <w:tc>
          <w:tcPr>
            <w:tcW w:w="1170" w:type="dxa"/>
            <w:tcBorders>
              <w:left w:val="single" w:color="000000" w:sz="4" w:space="0"/>
              <w:right w:val="single" w:color="000000" w:sz="4" w:space="0"/>
            </w:tcBorders>
            <w:vAlign w:val="top"/>
          </w:tcPr>
          <w:p w14:paraId="4B888062">
            <w:pPr>
              <w:spacing w:before="52" w:line="219" w:lineRule="auto"/>
              <w:ind w:left="169"/>
              <w:rPr>
                <w:rFonts w:ascii="宋体" w:hAnsi="宋体" w:eastAsia="宋体" w:cs="宋体"/>
                <w:sz w:val="20"/>
                <w:szCs w:val="20"/>
              </w:rPr>
            </w:pPr>
            <w:r>
              <w:rPr>
                <w:rFonts w:ascii="宋体" w:hAnsi="宋体" w:eastAsia="宋体" w:cs="宋体"/>
                <w:spacing w:val="7"/>
                <w:sz w:val="20"/>
                <w:szCs w:val="20"/>
              </w:rPr>
              <w:t>拉丝工</w:t>
            </w:r>
            <w:r>
              <w:rPr>
                <w:rFonts w:ascii="宋体" w:hAnsi="宋体" w:eastAsia="宋体" w:cs="宋体"/>
                <w:spacing w:val="6"/>
                <w:sz w:val="20"/>
                <w:szCs w:val="20"/>
              </w:rPr>
              <w:t>序</w:t>
            </w:r>
          </w:p>
        </w:tc>
        <w:tc>
          <w:tcPr>
            <w:tcW w:w="645" w:type="dxa"/>
            <w:tcBorders>
              <w:left w:val="single" w:color="000000" w:sz="4" w:space="0"/>
              <w:right w:val="single" w:color="000000" w:sz="4" w:space="0"/>
            </w:tcBorders>
            <w:vAlign w:val="top"/>
          </w:tcPr>
          <w:p w14:paraId="14CDB753">
            <w:pPr>
              <w:spacing w:before="52" w:line="219" w:lineRule="auto"/>
              <w:ind w:left="9"/>
              <w:rPr>
                <w:rFonts w:ascii="宋体" w:hAnsi="宋体" w:eastAsia="宋体" w:cs="宋体"/>
                <w:sz w:val="20"/>
                <w:szCs w:val="20"/>
              </w:rPr>
            </w:pPr>
            <w:r>
              <w:rPr>
                <w:rFonts w:ascii="宋体" w:hAnsi="宋体" w:eastAsia="宋体" w:cs="宋体"/>
                <w:spacing w:val="7"/>
                <w:sz w:val="20"/>
                <w:szCs w:val="20"/>
              </w:rPr>
              <w:t>废滤网</w:t>
            </w:r>
          </w:p>
        </w:tc>
        <w:tc>
          <w:tcPr>
            <w:tcW w:w="2780" w:type="dxa"/>
            <w:tcBorders>
              <w:left w:val="single" w:color="000000" w:sz="4" w:space="0"/>
              <w:right w:val="single" w:color="000000" w:sz="4" w:space="0"/>
            </w:tcBorders>
            <w:vAlign w:val="top"/>
          </w:tcPr>
          <w:p w14:paraId="3FECA226">
            <w:pPr>
              <w:spacing w:before="52" w:line="219" w:lineRule="auto"/>
              <w:ind w:left="473"/>
              <w:rPr>
                <w:rFonts w:ascii="宋体" w:hAnsi="宋体" w:eastAsia="宋体" w:cs="宋体"/>
                <w:sz w:val="20"/>
                <w:szCs w:val="20"/>
              </w:rPr>
            </w:pPr>
            <w:r>
              <w:rPr>
                <w:rFonts w:ascii="宋体" w:hAnsi="宋体" w:eastAsia="宋体" w:cs="宋体"/>
                <w:spacing w:val="7"/>
                <w:sz w:val="20"/>
                <w:szCs w:val="20"/>
              </w:rPr>
              <w:t>由</w:t>
            </w:r>
            <w:r>
              <w:rPr>
                <w:rFonts w:ascii="宋体" w:hAnsi="宋体" w:eastAsia="宋体" w:cs="宋体"/>
                <w:spacing w:val="6"/>
                <w:sz w:val="20"/>
                <w:szCs w:val="20"/>
              </w:rPr>
              <w:t>厂家定期回收处理</w:t>
            </w:r>
          </w:p>
        </w:tc>
        <w:tc>
          <w:tcPr>
            <w:tcW w:w="594" w:type="dxa"/>
            <w:tcBorders>
              <w:left w:val="single" w:color="000000" w:sz="4" w:space="0"/>
              <w:right w:val="single" w:color="000000" w:sz="4" w:space="0"/>
            </w:tcBorders>
            <w:vAlign w:val="top"/>
          </w:tcPr>
          <w:p w14:paraId="1DFD671D">
            <w:pPr>
              <w:spacing w:before="14" w:line="276" w:lineRule="exact"/>
              <w:ind w:left="263"/>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2141" w:type="dxa"/>
            <w:vMerge w:val="continue"/>
            <w:tcBorders>
              <w:top w:val="nil"/>
              <w:left w:val="single" w:color="000000" w:sz="4" w:space="0"/>
              <w:bottom w:val="nil"/>
              <w:right w:val="nil"/>
            </w:tcBorders>
            <w:vAlign w:val="top"/>
          </w:tcPr>
          <w:p w14:paraId="1AB65082">
            <w:pPr>
              <w:rPr>
                <w:rFonts w:ascii="Arial"/>
                <w:sz w:val="21"/>
              </w:rPr>
            </w:pPr>
          </w:p>
        </w:tc>
      </w:tr>
      <w:tr w14:paraId="3E433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480" w:type="dxa"/>
            <w:vMerge w:val="continue"/>
            <w:tcBorders>
              <w:top w:val="nil"/>
              <w:left w:val="nil"/>
              <w:bottom w:val="nil"/>
              <w:right w:val="single" w:color="000000" w:sz="4" w:space="0"/>
            </w:tcBorders>
            <w:vAlign w:val="top"/>
          </w:tcPr>
          <w:p w14:paraId="775C8162">
            <w:pPr>
              <w:rPr>
                <w:rFonts w:ascii="Arial"/>
                <w:sz w:val="21"/>
              </w:rPr>
            </w:pPr>
          </w:p>
        </w:tc>
        <w:tc>
          <w:tcPr>
            <w:tcW w:w="510" w:type="dxa"/>
            <w:vMerge w:val="continue"/>
            <w:tcBorders>
              <w:top w:val="nil"/>
              <w:left w:val="single" w:color="000000" w:sz="4" w:space="0"/>
              <w:bottom w:val="nil"/>
              <w:right w:val="single" w:color="000000" w:sz="4" w:space="0"/>
            </w:tcBorders>
            <w:vAlign w:val="top"/>
          </w:tcPr>
          <w:p w14:paraId="773AFB06">
            <w:pPr>
              <w:rPr>
                <w:rFonts w:ascii="Arial"/>
                <w:sz w:val="21"/>
              </w:rPr>
            </w:pPr>
          </w:p>
        </w:tc>
        <w:tc>
          <w:tcPr>
            <w:tcW w:w="1170" w:type="dxa"/>
            <w:tcBorders>
              <w:left w:val="single" w:color="000000" w:sz="4" w:space="0"/>
              <w:right w:val="single" w:color="000000" w:sz="4" w:space="0"/>
            </w:tcBorders>
            <w:vAlign w:val="top"/>
          </w:tcPr>
          <w:p w14:paraId="652C1BCE">
            <w:pPr>
              <w:spacing w:before="192" w:line="228" w:lineRule="auto"/>
              <w:ind w:left="166"/>
              <w:rPr>
                <w:rFonts w:ascii="宋体" w:hAnsi="宋体" w:eastAsia="宋体" w:cs="宋体"/>
                <w:sz w:val="20"/>
                <w:szCs w:val="20"/>
              </w:rPr>
            </w:pPr>
            <w:r>
              <w:rPr>
                <w:rFonts w:ascii="宋体" w:hAnsi="宋体" w:eastAsia="宋体" w:cs="宋体"/>
                <w:spacing w:val="9"/>
                <w:sz w:val="20"/>
                <w:szCs w:val="20"/>
              </w:rPr>
              <w:t>废</w:t>
            </w:r>
            <w:r>
              <w:rPr>
                <w:rFonts w:ascii="宋体" w:hAnsi="宋体" w:eastAsia="宋体" w:cs="宋体"/>
                <w:spacing w:val="7"/>
                <w:sz w:val="20"/>
                <w:szCs w:val="20"/>
              </w:rPr>
              <w:t>气处理</w:t>
            </w:r>
          </w:p>
        </w:tc>
        <w:tc>
          <w:tcPr>
            <w:tcW w:w="645" w:type="dxa"/>
            <w:tcBorders>
              <w:left w:val="single" w:color="000000" w:sz="4" w:space="0"/>
              <w:right w:val="single" w:color="000000" w:sz="4" w:space="0"/>
            </w:tcBorders>
            <w:vAlign w:val="top"/>
          </w:tcPr>
          <w:p w14:paraId="0B2E57FA">
            <w:pPr>
              <w:spacing w:before="52" w:line="239" w:lineRule="auto"/>
              <w:ind w:left="118" w:right="109" w:hanging="3"/>
              <w:rPr>
                <w:rFonts w:ascii="宋体" w:hAnsi="宋体" w:eastAsia="宋体" w:cs="宋体"/>
                <w:sz w:val="20"/>
                <w:szCs w:val="20"/>
              </w:rPr>
            </w:pPr>
            <w:r>
              <w:rPr>
                <w:rFonts w:ascii="宋体" w:hAnsi="宋体" w:eastAsia="宋体" w:cs="宋体"/>
                <w:spacing w:val="5"/>
                <w:sz w:val="20"/>
                <w:szCs w:val="20"/>
              </w:rPr>
              <w:t>废活</w:t>
            </w:r>
            <w:r>
              <w:rPr>
                <w:rFonts w:ascii="宋体" w:hAnsi="宋体" w:eastAsia="宋体" w:cs="宋体"/>
                <w:sz w:val="20"/>
                <w:szCs w:val="20"/>
              </w:rPr>
              <w:t xml:space="preserve"> </w:t>
            </w:r>
            <w:r>
              <w:rPr>
                <w:rFonts w:ascii="宋体" w:hAnsi="宋体" w:eastAsia="宋体" w:cs="宋体"/>
                <w:spacing w:val="4"/>
                <w:sz w:val="20"/>
                <w:szCs w:val="20"/>
              </w:rPr>
              <w:t>性</w:t>
            </w:r>
            <w:r>
              <w:rPr>
                <w:rFonts w:ascii="宋体" w:hAnsi="宋体" w:eastAsia="宋体" w:cs="宋体"/>
                <w:spacing w:val="3"/>
                <w:sz w:val="20"/>
                <w:szCs w:val="20"/>
              </w:rPr>
              <w:t>炭</w:t>
            </w:r>
          </w:p>
        </w:tc>
        <w:tc>
          <w:tcPr>
            <w:tcW w:w="2780" w:type="dxa"/>
            <w:tcBorders>
              <w:left w:val="single" w:color="000000" w:sz="4" w:space="0"/>
              <w:right w:val="single" w:color="000000" w:sz="4" w:space="0"/>
            </w:tcBorders>
            <w:vAlign w:val="top"/>
          </w:tcPr>
          <w:p w14:paraId="64EE6670">
            <w:pPr>
              <w:spacing w:before="192" w:line="228" w:lineRule="auto"/>
              <w:ind w:left="451"/>
              <w:rPr>
                <w:rFonts w:ascii="宋体" w:hAnsi="宋体" w:eastAsia="宋体" w:cs="宋体"/>
                <w:sz w:val="20"/>
                <w:szCs w:val="20"/>
              </w:rPr>
            </w:pPr>
            <w:r>
              <w:rPr>
                <w:rFonts w:ascii="宋体" w:hAnsi="宋体" w:eastAsia="宋体" w:cs="宋体"/>
                <w:spacing w:val="12"/>
                <w:sz w:val="20"/>
                <w:szCs w:val="20"/>
              </w:rPr>
              <w:t>交</w:t>
            </w:r>
            <w:r>
              <w:rPr>
                <w:rFonts w:ascii="宋体" w:hAnsi="宋体" w:eastAsia="宋体" w:cs="宋体"/>
                <w:spacing w:val="8"/>
                <w:sz w:val="20"/>
                <w:szCs w:val="20"/>
              </w:rPr>
              <w:t>由有资质单位处理</w:t>
            </w:r>
          </w:p>
        </w:tc>
        <w:tc>
          <w:tcPr>
            <w:tcW w:w="594" w:type="dxa"/>
            <w:tcBorders>
              <w:left w:val="single" w:color="000000" w:sz="4" w:space="0"/>
              <w:right w:val="single" w:color="000000" w:sz="4" w:space="0"/>
            </w:tcBorders>
            <w:vAlign w:val="top"/>
          </w:tcPr>
          <w:p w14:paraId="421B9AD1">
            <w:pPr>
              <w:spacing w:before="154" w:line="281" w:lineRule="exact"/>
              <w:ind w:left="26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2141" w:type="dxa"/>
            <w:vMerge w:val="continue"/>
            <w:tcBorders>
              <w:top w:val="nil"/>
              <w:left w:val="single" w:color="000000" w:sz="4" w:space="0"/>
              <w:bottom w:val="nil"/>
              <w:right w:val="nil"/>
            </w:tcBorders>
            <w:vAlign w:val="top"/>
          </w:tcPr>
          <w:p w14:paraId="499355F6">
            <w:pPr>
              <w:rPr>
                <w:rFonts w:ascii="Arial"/>
                <w:sz w:val="21"/>
              </w:rPr>
            </w:pPr>
          </w:p>
        </w:tc>
      </w:tr>
      <w:tr w14:paraId="21677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480" w:type="dxa"/>
            <w:vMerge w:val="continue"/>
            <w:tcBorders>
              <w:top w:val="nil"/>
              <w:left w:val="nil"/>
              <w:bottom w:val="nil"/>
              <w:right w:val="single" w:color="000000" w:sz="4" w:space="0"/>
            </w:tcBorders>
            <w:vAlign w:val="top"/>
          </w:tcPr>
          <w:p w14:paraId="5815A931">
            <w:pPr>
              <w:rPr>
                <w:rFonts w:ascii="Arial"/>
                <w:sz w:val="21"/>
              </w:rPr>
            </w:pPr>
          </w:p>
        </w:tc>
        <w:tc>
          <w:tcPr>
            <w:tcW w:w="510" w:type="dxa"/>
            <w:vMerge w:val="continue"/>
            <w:tcBorders>
              <w:top w:val="nil"/>
              <w:left w:val="single" w:color="000000" w:sz="4" w:space="0"/>
              <w:bottom w:val="nil"/>
              <w:right w:val="single" w:color="000000" w:sz="4" w:space="0"/>
            </w:tcBorders>
            <w:vAlign w:val="top"/>
          </w:tcPr>
          <w:p w14:paraId="5064E1A5">
            <w:pPr>
              <w:rPr>
                <w:rFonts w:ascii="Arial"/>
                <w:sz w:val="21"/>
              </w:rPr>
            </w:pPr>
          </w:p>
        </w:tc>
        <w:tc>
          <w:tcPr>
            <w:tcW w:w="1170" w:type="dxa"/>
            <w:tcBorders>
              <w:left w:val="single" w:color="000000" w:sz="4" w:space="0"/>
              <w:right w:val="single" w:color="000000" w:sz="4" w:space="0"/>
            </w:tcBorders>
            <w:vAlign w:val="top"/>
          </w:tcPr>
          <w:p w14:paraId="24B8FFB2">
            <w:pPr>
              <w:spacing w:before="193" w:line="228" w:lineRule="auto"/>
              <w:ind w:left="166"/>
              <w:rPr>
                <w:rFonts w:ascii="宋体" w:hAnsi="宋体" w:eastAsia="宋体" w:cs="宋体"/>
                <w:sz w:val="20"/>
                <w:szCs w:val="20"/>
              </w:rPr>
            </w:pPr>
            <w:r>
              <w:rPr>
                <w:rFonts w:ascii="宋体" w:hAnsi="宋体" w:eastAsia="宋体" w:cs="宋体"/>
                <w:spacing w:val="9"/>
                <w:sz w:val="20"/>
                <w:szCs w:val="20"/>
              </w:rPr>
              <w:t>废</w:t>
            </w:r>
            <w:r>
              <w:rPr>
                <w:rFonts w:ascii="宋体" w:hAnsi="宋体" w:eastAsia="宋体" w:cs="宋体"/>
                <w:spacing w:val="7"/>
                <w:sz w:val="20"/>
                <w:szCs w:val="20"/>
              </w:rPr>
              <w:t>气处理</w:t>
            </w:r>
          </w:p>
        </w:tc>
        <w:tc>
          <w:tcPr>
            <w:tcW w:w="645" w:type="dxa"/>
            <w:tcBorders>
              <w:left w:val="single" w:color="000000" w:sz="4" w:space="0"/>
              <w:right w:val="single" w:color="000000" w:sz="4" w:space="0"/>
            </w:tcBorders>
            <w:vAlign w:val="top"/>
          </w:tcPr>
          <w:p w14:paraId="4EAEE549">
            <w:pPr>
              <w:spacing w:before="52" w:line="239" w:lineRule="auto"/>
              <w:ind w:left="41" w:hanging="32"/>
              <w:rPr>
                <w:rFonts w:ascii="宋体" w:hAnsi="宋体" w:eastAsia="宋体" w:cs="宋体"/>
                <w:sz w:val="20"/>
                <w:szCs w:val="20"/>
              </w:rPr>
            </w:pPr>
            <w:r>
              <w:rPr>
                <w:rFonts w:ascii="宋体" w:hAnsi="宋体" w:eastAsia="宋体" w:cs="宋体"/>
                <w:spacing w:val="-5"/>
                <w:sz w:val="20"/>
                <w:szCs w:val="20"/>
              </w:rPr>
              <w:t>废</w:t>
            </w:r>
            <w:r>
              <w:rPr>
                <w:rFonts w:ascii="Times New Roman" w:hAnsi="Times New Roman" w:eastAsia="Times New Roman" w:cs="Times New Roman"/>
                <w:spacing w:val="-5"/>
                <w:sz w:val="20"/>
                <w:szCs w:val="20"/>
              </w:rPr>
              <w:t xml:space="preserve">uv </w:t>
            </w:r>
            <w:r>
              <w:rPr>
                <w:rFonts w:ascii="宋体" w:hAnsi="宋体" w:eastAsia="宋体" w:cs="宋体"/>
                <w:spacing w:val="-5"/>
                <w:sz w:val="20"/>
                <w:szCs w:val="20"/>
              </w:rPr>
              <w:t>光</w:t>
            </w:r>
            <w:r>
              <w:rPr>
                <w:rFonts w:ascii="宋体" w:hAnsi="宋体" w:eastAsia="宋体" w:cs="宋体"/>
                <w:sz w:val="20"/>
                <w:szCs w:val="20"/>
              </w:rPr>
              <w:t xml:space="preserve"> </w:t>
            </w:r>
            <w:r>
              <w:rPr>
                <w:rFonts w:ascii="宋体" w:hAnsi="宋体" w:eastAsia="宋体" w:cs="宋体"/>
                <w:spacing w:val="-8"/>
                <w:sz w:val="20"/>
                <w:szCs w:val="20"/>
              </w:rPr>
              <w:t>解</w:t>
            </w:r>
            <w:r>
              <w:rPr>
                <w:rFonts w:ascii="宋体" w:hAnsi="宋体" w:eastAsia="宋体" w:cs="宋体"/>
                <w:spacing w:val="-7"/>
                <w:sz w:val="20"/>
                <w:szCs w:val="20"/>
              </w:rPr>
              <w:t>灯管</w:t>
            </w:r>
          </w:p>
        </w:tc>
        <w:tc>
          <w:tcPr>
            <w:tcW w:w="2780" w:type="dxa"/>
            <w:tcBorders>
              <w:left w:val="single" w:color="000000" w:sz="4" w:space="0"/>
              <w:right w:val="single" w:color="000000" w:sz="4" w:space="0"/>
            </w:tcBorders>
            <w:vAlign w:val="top"/>
          </w:tcPr>
          <w:p w14:paraId="00620A91">
            <w:pPr>
              <w:spacing w:before="193" w:line="228" w:lineRule="auto"/>
              <w:ind w:left="451"/>
              <w:rPr>
                <w:rFonts w:ascii="宋体" w:hAnsi="宋体" w:eastAsia="宋体" w:cs="宋体"/>
                <w:sz w:val="20"/>
                <w:szCs w:val="20"/>
              </w:rPr>
            </w:pPr>
            <w:r>
              <w:rPr>
                <w:rFonts w:ascii="宋体" w:hAnsi="宋体" w:eastAsia="宋体" w:cs="宋体"/>
                <w:spacing w:val="12"/>
                <w:sz w:val="20"/>
                <w:szCs w:val="20"/>
              </w:rPr>
              <w:t>交</w:t>
            </w:r>
            <w:r>
              <w:rPr>
                <w:rFonts w:ascii="宋体" w:hAnsi="宋体" w:eastAsia="宋体" w:cs="宋体"/>
                <w:spacing w:val="8"/>
                <w:sz w:val="20"/>
                <w:szCs w:val="20"/>
              </w:rPr>
              <w:t>由有资质单位处理</w:t>
            </w:r>
          </w:p>
        </w:tc>
        <w:tc>
          <w:tcPr>
            <w:tcW w:w="594" w:type="dxa"/>
            <w:tcBorders>
              <w:left w:val="single" w:color="000000" w:sz="4" w:space="0"/>
              <w:right w:val="single" w:color="000000" w:sz="4" w:space="0"/>
            </w:tcBorders>
            <w:vAlign w:val="top"/>
          </w:tcPr>
          <w:p w14:paraId="678E2279">
            <w:pPr>
              <w:spacing w:before="155" w:line="281" w:lineRule="exact"/>
              <w:ind w:left="26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2141" w:type="dxa"/>
            <w:vMerge w:val="continue"/>
            <w:tcBorders>
              <w:top w:val="nil"/>
              <w:left w:val="single" w:color="000000" w:sz="4" w:space="0"/>
              <w:bottom w:val="nil"/>
              <w:right w:val="nil"/>
            </w:tcBorders>
            <w:vAlign w:val="top"/>
          </w:tcPr>
          <w:p w14:paraId="18FD8935">
            <w:pPr>
              <w:rPr>
                <w:rFonts w:ascii="Arial"/>
                <w:sz w:val="21"/>
              </w:rPr>
            </w:pPr>
          </w:p>
        </w:tc>
      </w:tr>
      <w:tr w14:paraId="6282A2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80" w:type="dxa"/>
            <w:vMerge w:val="continue"/>
            <w:tcBorders>
              <w:top w:val="nil"/>
              <w:left w:val="nil"/>
              <w:bottom w:val="nil"/>
              <w:right w:val="single" w:color="000000" w:sz="4" w:space="0"/>
            </w:tcBorders>
            <w:vAlign w:val="top"/>
          </w:tcPr>
          <w:p w14:paraId="283FFC44">
            <w:pPr>
              <w:rPr>
                <w:rFonts w:ascii="Arial"/>
                <w:sz w:val="21"/>
              </w:rPr>
            </w:pPr>
          </w:p>
        </w:tc>
        <w:tc>
          <w:tcPr>
            <w:tcW w:w="510" w:type="dxa"/>
            <w:vMerge w:val="continue"/>
            <w:tcBorders>
              <w:top w:val="nil"/>
              <w:left w:val="single" w:color="000000" w:sz="4" w:space="0"/>
              <w:bottom w:val="nil"/>
              <w:right w:val="single" w:color="000000" w:sz="4" w:space="0"/>
            </w:tcBorders>
            <w:vAlign w:val="top"/>
          </w:tcPr>
          <w:p w14:paraId="4807C302">
            <w:pPr>
              <w:rPr>
                <w:rFonts w:ascii="Arial"/>
                <w:sz w:val="21"/>
              </w:rPr>
            </w:pPr>
          </w:p>
        </w:tc>
        <w:tc>
          <w:tcPr>
            <w:tcW w:w="1170" w:type="dxa"/>
            <w:tcBorders>
              <w:left w:val="single" w:color="000000" w:sz="4" w:space="0"/>
              <w:right w:val="single" w:color="000000" w:sz="4" w:space="0"/>
            </w:tcBorders>
            <w:vAlign w:val="top"/>
          </w:tcPr>
          <w:p w14:paraId="3A282043">
            <w:pPr>
              <w:spacing w:before="59" w:line="228" w:lineRule="auto"/>
              <w:ind w:left="277"/>
              <w:rPr>
                <w:rFonts w:ascii="宋体" w:hAnsi="宋体" w:eastAsia="宋体" w:cs="宋体"/>
                <w:sz w:val="20"/>
                <w:szCs w:val="20"/>
              </w:rPr>
            </w:pPr>
            <w:r>
              <w:rPr>
                <w:rFonts w:ascii="宋体" w:hAnsi="宋体" w:eastAsia="宋体" w:cs="宋体"/>
                <w:spacing w:val="6"/>
                <w:sz w:val="20"/>
                <w:szCs w:val="20"/>
              </w:rPr>
              <w:t>热</w:t>
            </w:r>
            <w:r>
              <w:rPr>
                <w:rFonts w:ascii="宋体" w:hAnsi="宋体" w:eastAsia="宋体" w:cs="宋体"/>
                <w:spacing w:val="5"/>
                <w:sz w:val="20"/>
                <w:szCs w:val="20"/>
              </w:rPr>
              <w:t>风炉</w:t>
            </w:r>
          </w:p>
        </w:tc>
        <w:tc>
          <w:tcPr>
            <w:tcW w:w="645" w:type="dxa"/>
            <w:tcBorders>
              <w:left w:val="single" w:color="000000" w:sz="4" w:space="0"/>
              <w:right w:val="single" w:color="000000" w:sz="4" w:space="0"/>
            </w:tcBorders>
            <w:vAlign w:val="top"/>
          </w:tcPr>
          <w:p w14:paraId="65E29063">
            <w:pPr>
              <w:spacing w:before="59" w:line="228" w:lineRule="auto"/>
              <w:ind w:left="118"/>
              <w:rPr>
                <w:rFonts w:ascii="宋体" w:hAnsi="宋体" w:eastAsia="宋体" w:cs="宋体"/>
                <w:sz w:val="20"/>
                <w:szCs w:val="20"/>
              </w:rPr>
            </w:pPr>
            <w:r>
              <w:rPr>
                <w:rFonts w:ascii="宋体" w:hAnsi="宋体" w:eastAsia="宋体" w:cs="宋体"/>
                <w:spacing w:val="4"/>
                <w:sz w:val="20"/>
                <w:szCs w:val="20"/>
              </w:rPr>
              <w:t>炉</w:t>
            </w:r>
            <w:r>
              <w:rPr>
                <w:rFonts w:ascii="宋体" w:hAnsi="宋体" w:eastAsia="宋体" w:cs="宋体"/>
                <w:spacing w:val="3"/>
                <w:sz w:val="20"/>
                <w:szCs w:val="20"/>
              </w:rPr>
              <w:t>渣</w:t>
            </w:r>
          </w:p>
        </w:tc>
        <w:tc>
          <w:tcPr>
            <w:tcW w:w="2780" w:type="dxa"/>
            <w:tcBorders>
              <w:left w:val="single" w:color="000000" w:sz="4" w:space="0"/>
              <w:right w:val="single" w:color="000000" w:sz="4" w:space="0"/>
            </w:tcBorders>
            <w:vAlign w:val="top"/>
          </w:tcPr>
          <w:p w14:paraId="487EA406">
            <w:pPr>
              <w:spacing w:before="59" w:line="227" w:lineRule="auto"/>
              <w:ind w:left="137"/>
              <w:rPr>
                <w:rFonts w:ascii="宋体" w:hAnsi="宋体" w:eastAsia="宋体" w:cs="宋体"/>
                <w:sz w:val="20"/>
                <w:szCs w:val="20"/>
              </w:rPr>
            </w:pPr>
            <w:r>
              <w:rPr>
                <w:rFonts w:ascii="宋体" w:hAnsi="宋体" w:eastAsia="宋体" w:cs="宋体"/>
                <w:spacing w:val="16"/>
                <w:sz w:val="20"/>
                <w:szCs w:val="20"/>
              </w:rPr>
              <w:t>外</w:t>
            </w:r>
            <w:r>
              <w:rPr>
                <w:rFonts w:ascii="宋体" w:hAnsi="宋体" w:eastAsia="宋体" w:cs="宋体"/>
                <w:spacing w:val="9"/>
                <w:sz w:val="20"/>
                <w:szCs w:val="20"/>
              </w:rPr>
              <w:t>卖</w:t>
            </w:r>
            <w:r>
              <w:rPr>
                <w:rFonts w:ascii="宋体" w:hAnsi="宋体" w:eastAsia="宋体" w:cs="宋体"/>
                <w:spacing w:val="8"/>
                <w:sz w:val="20"/>
                <w:szCs w:val="20"/>
              </w:rPr>
              <w:t>给农肥厂进行综合利用</w:t>
            </w:r>
          </w:p>
        </w:tc>
        <w:tc>
          <w:tcPr>
            <w:tcW w:w="594" w:type="dxa"/>
            <w:tcBorders>
              <w:left w:val="single" w:color="000000" w:sz="4" w:space="0"/>
              <w:right w:val="single" w:color="000000" w:sz="4" w:space="0"/>
            </w:tcBorders>
            <w:vAlign w:val="top"/>
          </w:tcPr>
          <w:p w14:paraId="19F7B381">
            <w:pPr>
              <w:spacing w:before="31" w:line="281" w:lineRule="exact"/>
              <w:ind w:left="26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2141" w:type="dxa"/>
            <w:vMerge w:val="continue"/>
            <w:tcBorders>
              <w:top w:val="nil"/>
              <w:left w:val="single" w:color="000000" w:sz="4" w:space="0"/>
              <w:bottom w:val="nil"/>
              <w:right w:val="nil"/>
            </w:tcBorders>
            <w:vAlign w:val="top"/>
          </w:tcPr>
          <w:p w14:paraId="12B6A9A6">
            <w:pPr>
              <w:rPr>
                <w:rFonts w:ascii="Arial"/>
                <w:sz w:val="21"/>
              </w:rPr>
            </w:pPr>
          </w:p>
        </w:tc>
      </w:tr>
      <w:tr w14:paraId="14433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80" w:type="dxa"/>
            <w:vMerge w:val="continue"/>
            <w:tcBorders>
              <w:top w:val="nil"/>
              <w:left w:val="nil"/>
              <w:right w:val="single" w:color="000000" w:sz="4" w:space="0"/>
            </w:tcBorders>
            <w:vAlign w:val="top"/>
          </w:tcPr>
          <w:p w14:paraId="71AA62D5">
            <w:pPr>
              <w:rPr>
                <w:rFonts w:ascii="Arial"/>
                <w:sz w:val="21"/>
              </w:rPr>
            </w:pPr>
          </w:p>
        </w:tc>
        <w:tc>
          <w:tcPr>
            <w:tcW w:w="510" w:type="dxa"/>
            <w:vMerge w:val="continue"/>
            <w:tcBorders>
              <w:top w:val="nil"/>
              <w:left w:val="single" w:color="000000" w:sz="4" w:space="0"/>
              <w:right w:val="single" w:color="000000" w:sz="4" w:space="0"/>
            </w:tcBorders>
            <w:vAlign w:val="top"/>
          </w:tcPr>
          <w:p w14:paraId="47FDA15D">
            <w:pPr>
              <w:rPr>
                <w:rFonts w:ascii="Arial"/>
                <w:sz w:val="21"/>
              </w:rPr>
            </w:pPr>
          </w:p>
        </w:tc>
        <w:tc>
          <w:tcPr>
            <w:tcW w:w="1170" w:type="dxa"/>
            <w:tcBorders>
              <w:left w:val="single" w:color="000000" w:sz="4" w:space="0"/>
              <w:right w:val="single" w:color="000000" w:sz="4" w:space="0"/>
            </w:tcBorders>
            <w:vAlign w:val="top"/>
          </w:tcPr>
          <w:p w14:paraId="5F3382C0">
            <w:pPr>
              <w:spacing w:before="58" w:line="227" w:lineRule="auto"/>
              <w:ind w:left="61"/>
              <w:rPr>
                <w:rFonts w:ascii="宋体" w:hAnsi="宋体" w:eastAsia="宋体" w:cs="宋体"/>
                <w:sz w:val="20"/>
                <w:szCs w:val="20"/>
              </w:rPr>
            </w:pPr>
            <w:r>
              <w:rPr>
                <w:rFonts w:ascii="宋体" w:hAnsi="宋体" w:eastAsia="宋体" w:cs="宋体"/>
                <w:spacing w:val="8"/>
                <w:sz w:val="20"/>
                <w:szCs w:val="20"/>
              </w:rPr>
              <w:t>布袋除尘器</w:t>
            </w:r>
          </w:p>
        </w:tc>
        <w:tc>
          <w:tcPr>
            <w:tcW w:w="645" w:type="dxa"/>
            <w:tcBorders>
              <w:left w:val="single" w:color="000000" w:sz="4" w:space="0"/>
              <w:right w:val="single" w:color="000000" w:sz="4" w:space="0"/>
            </w:tcBorders>
            <w:vAlign w:val="top"/>
          </w:tcPr>
          <w:p w14:paraId="036E8F81">
            <w:pPr>
              <w:spacing w:before="58" w:line="228" w:lineRule="auto"/>
              <w:ind w:left="115"/>
              <w:rPr>
                <w:rFonts w:ascii="宋体" w:hAnsi="宋体" w:eastAsia="宋体" w:cs="宋体"/>
                <w:sz w:val="20"/>
                <w:szCs w:val="20"/>
              </w:rPr>
            </w:pPr>
            <w:r>
              <w:rPr>
                <w:rFonts w:ascii="宋体" w:hAnsi="宋体" w:eastAsia="宋体" w:cs="宋体"/>
                <w:spacing w:val="5"/>
                <w:sz w:val="20"/>
                <w:szCs w:val="20"/>
              </w:rPr>
              <w:t>粉尘</w:t>
            </w:r>
          </w:p>
        </w:tc>
        <w:tc>
          <w:tcPr>
            <w:tcW w:w="2780" w:type="dxa"/>
            <w:tcBorders>
              <w:left w:val="single" w:color="000000" w:sz="4" w:space="0"/>
              <w:right w:val="single" w:color="000000" w:sz="4" w:space="0"/>
            </w:tcBorders>
            <w:vAlign w:val="top"/>
          </w:tcPr>
          <w:p w14:paraId="5F73C5E9">
            <w:pPr>
              <w:spacing w:before="58" w:line="227" w:lineRule="auto"/>
              <w:ind w:left="137"/>
              <w:rPr>
                <w:rFonts w:ascii="宋体" w:hAnsi="宋体" w:eastAsia="宋体" w:cs="宋体"/>
                <w:sz w:val="20"/>
                <w:szCs w:val="20"/>
              </w:rPr>
            </w:pPr>
            <w:r>
              <w:rPr>
                <w:rFonts w:ascii="宋体" w:hAnsi="宋体" w:eastAsia="宋体" w:cs="宋体"/>
                <w:spacing w:val="16"/>
                <w:sz w:val="20"/>
                <w:szCs w:val="20"/>
              </w:rPr>
              <w:t>外</w:t>
            </w:r>
            <w:r>
              <w:rPr>
                <w:rFonts w:ascii="宋体" w:hAnsi="宋体" w:eastAsia="宋体" w:cs="宋体"/>
                <w:spacing w:val="9"/>
                <w:sz w:val="20"/>
                <w:szCs w:val="20"/>
              </w:rPr>
              <w:t>卖</w:t>
            </w:r>
            <w:r>
              <w:rPr>
                <w:rFonts w:ascii="宋体" w:hAnsi="宋体" w:eastAsia="宋体" w:cs="宋体"/>
                <w:spacing w:val="8"/>
                <w:sz w:val="20"/>
                <w:szCs w:val="20"/>
              </w:rPr>
              <w:t>给农肥厂进行综合利用</w:t>
            </w:r>
          </w:p>
        </w:tc>
        <w:tc>
          <w:tcPr>
            <w:tcW w:w="594" w:type="dxa"/>
            <w:tcBorders>
              <w:left w:val="single" w:color="000000" w:sz="4" w:space="0"/>
              <w:right w:val="single" w:color="000000" w:sz="4" w:space="0"/>
            </w:tcBorders>
            <w:vAlign w:val="top"/>
          </w:tcPr>
          <w:p w14:paraId="296B44F6">
            <w:pPr>
              <w:spacing w:before="30" w:line="281" w:lineRule="exact"/>
              <w:ind w:left="26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2141" w:type="dxa"/>
            <w:vMerge w:val="continue"/>
            <w:tcBorders>
              <w:top w:val="nil"/>
              <w:left w:val="single" w:color="000000" w:sz="4" w:space="0"/>
              <w:right w:val="nil"/>
            </w:tcBorders>
            <w:vAlign w:val="top"/>
          </w:tcPr>
          <w:p w14:paraId="59F538D6">
            <w:pPr>
              <w:rPr>
                <w:rFonts w:ascii="Arial"/>
                <w:sz w:val="21"/>
              </w:rPr>
            </w:pPr>
          </w:p>
        </w:tc>
      </w:tr>
    </w:tbl>
    <w:p w14:paraId="2FC5AE61">
      <w:pPr>
        <w:rPr>
          <w:rFonts w:ascii="Arial"/>
          <w:sz w:val="21"/>
        </w:rPr>
      </w:pPr>
    </w:p>
    <w:p w14:paraId="0801DD48">
      <w:pPr>
        <w:sectPr>
          <w:headerReference r:id="rId331" w:type="default"/>
          <w:footerReference r:id="rId332" w:type="default"/>
          <w:pgSz w:w="11906" w:h="16839"/>
          <w:pgMar w:top="1132" w:right="1784" w:bottom="1182" w:left="1785" w:header="878" w:footer="1022" w:gutter="0"/>
          <w:cols w:space="720" w:num="1"/>
        </w:sectPr>
      </w:pPr>
    </w:p>
    <w:p w14:paraId="391F5AAA">
      <w:pPr>
        <w:spacing w:line="267" w:lineRule="auto"/>
        <w:rPr>
          <w:rFonts w:ascii="Arial"/>
          <w:sz w:val="21"/>
        </w:rPr>
      </w:pPr>
      <w:r>
        <w:pict>
          <v:shape id="_x0000_s1386" o:spid="_x0000_s1386" style="position:absolute;left:0pt;margin-left:90pt;margin-top:57.35pt;height:0.75pt;width:415.3pt;mso-position-horizontal-relative:page;mso-position-vertical-relative:page;z-index:252082176;mso-width-relative:page;mso-height-relative:page;" fillcolor="#000000" filled="t" stroked="f" coordsize="8305,15" o:allowincell="f" path="m0,0l8305,0,8305,14,0,14,0,0xe">
            <v:path/>
            <v:fill on="t" focussize="0,0"/>
            <v:stroke on="f"/>
            <v:imagedata o:title=""/>
            <o:lock v:ext="edit"/>
          </v:shape>
        </w:pict>
      </w:r>
    </w:p>
    <w:p w14:paraId="529F75D3">
      <w:pPr>
        <w:spacing w:before="114" w:line="223" w:lineRule="auto"/>
        <w:ind w:left="66"/>
        <w:outlineLvl w:val="0"/>
        <w:rPr>
          <w:rFonts w:ascii="宋体" w:hAnsi="宋体" w:eastAsia="宋体" w:cs="宋体"/>
          <w:sz w:val="35"/>
          <w:szCs w:val="35"/>
        </w:rPr>
      </w:pPr>
      <w:bookmarkStart w:id="46" w:name="_bookmark47"/>
      <w:bookmarkEnd w:id="46"/>
      <w:r>
        <w:rPr>
          <w:rFonts w:ascii="Times New Roman" w:hAnsi="Times New Roman" w:eastAsia="Times New Roman" w:cs="Times New Roman"/>
          <w:b/>
          <w:bCs/>
          <w:spacing w:val="14"/>
          <w:sz w:val="35"/>
          <w:szCs w:val="35"/>
        </w:rPr>
        <w:t>1</w:t>
      </w:r>
      <w:r>
        <w:rPr>
          <w:rFonts w:ascii="Times New Roman" w:hAnsi="Times New Roman" w:eastAsia="Times New Roman" w:cs="Times New Roman"/>
          <w:b/>
          <w:bCs/>
          <w:spacing w:val="10"/>
          <w:sz w:val="35"/>
          <w:szCs w:val="35"/>
        </w:rPr>
        <w:t>0</w:t>
      </w:r>
      <w:r>
        <w:rPr>
          <w:rFonts w:ascii="Times New Roman" w:hAnsi="Times New Roman" w:eastAsia="Times New Roman" w:cs="Times New Roman"/>
          <w:spacing w:val="7"/>
          <w:sz w:val="35"/>
          <w:szCs w:val="35"/>
        </w:rPr>
        <w:t xml:space="preserve">  </w:t>
      </w:r>
      <w:r>
        <w:rPr>
          <w:rFonts w:ascii="宋体" w:hAnsi="宋体" w:eastAsia="宋体" w:cs="宋体"/>
          <w:spacing w:val="7"/>
          <w:sz w:val="35"/>
          <w:szCs w:val="35"/>
          <w14:textOutline w14:w="6537" w14:cap="sq" w14:cmpd="sng">
            <w14:solidFill>
              <w14:srgbClr w14:val="000000"/>
            </w14:solidFill>
            <w14:prstDash w14:val="solid"/>
            <w14:bevel/>
          </w14:textOutline>
        </w:rPr>
        <w:t>环境影响评价结论与建议</w:t>
      </w:r>
    </w:p>
    <w:p w14:paraId="0F84B637">
      <w:pPr>
        <w:spacing w:before="248" w:line="226" w:lineRule="auto"/>
        <w:ind w:left="64"/>
        <w:outlineLvl w:val="1"/>
        <w:rPr>
          <w:rFonts w:ascii="宋体" w:hAnsi="宋体" w:eastAsia="宋体" w:cs="宋体"/>
          <w:sz w:val="31"/>
          <w:szCs w:val="31"/>
        </w:rPr>
      </w:pPr>
      <w:bookmarkStart w:id="47" w:name="_bookmark48"/>
      <w:bookmarkEnd w:id="47"/>
      <w:r>
        <w:rPr>
          <w:rFonts w:ascii="Times New Roman" w:hAnsi="Times New Roman" w:eastAsia="Times New Roman" w:cs="Times New Roman"/>
          <w:b/>
          <w:bCs/>
          <w:spacing w:val="4"/>
          <w:sz w:val="31"/>
          <w:szCs w:val="31"/>
        </w:rPr>
        <w:t>10.</w:t>
      </w:r>
      <w:r>
        <w:rPr>
          <w:rFonts w:ascii="Times New Roman" w:hAnsi="Times New Roman" w:eastAsia="Times New Roman" w:cs="Times New Roman"/>
          <w:b/>
          <w:bCs/>
          <w:spacing w:val="2"/>
          <w:sz w:val="31"/>
          <w:szCs w:val="31"/>
        </w:rPr>
        <w:t>1</w:t>
      </w:r>
      <w:r>
        <w:rPr>
          <w:rFonts w:ascii="Times New Roman" w:hAnsi="Times New Roman" w:eastAsia="Times New Roman" w:cs="Times New Roman"/>
          <w:spacing w:val="2"/>
          <w:sz w:val="31"/>
          <w:szCs w:val="31"/>
        </w:rPr>
        <w:t xml:space="preserve">  </w:t>
      </w:r>
      <w:r>
        <w:rPr>
          <w:rFonts w:ascii="宋体" w:hAnsi="宋体" w:eastAsia="宋体" w:cs="宋体"/>
          <w:spacing w:val="2"/>
          <w:sz w:val="31"/>
          <w:szCs w:val="31"/>
          <w14:textOutline w14:w="5793" w14:cap="sq" w14:cmpd="sng">
            <w14:solidFill>
              <w14:srgbClr w14:val="000000"/>
            </w14:solidFill>
            <w14:prstDash w14:val="solid"/>
            <w14:bevel/>
          </w14:textOutline>
        </w:rPr>
        <w:t>结论</w:t>
      </w:r>
    </w:p>
    <w:p w14:paraId="360FEE05">
      <w:pPr>
        <w:spacing w:before="272" w:line="226" w:lineRule="auto"/>
        <w:ind w:left="62"/>
        <w:outlineLvl w:val="1"/>
        <w:rPr>
          <w:rFonts w:ascii="宋体" w:hAnsi="宋体" w:eastAsia="宋体" w:cs="宋体"/>
          <w:sz w:val="29"/>
          <w:szCs w:val="29"/>
        </w:rPr>
      </w:pPr>
      <w:r>
        <w:rPr>
          <w:rFonts w:ascii="Times New Roman" w:hAnsi="Times New Roman" w:eastAsia="Times New Roman" w:cs="Times New Roman"/>
          <w:b/>
          <w:bCs/>
          <w:spacing w:val="8"/>
          <w:sz w:val="29"/>
          <w:szCs w:val="29"/>
        </w:rPr>
        <w:t>1</w:t>
      </w:r>
      <w:r>
        <w:rPr>
          <w:rFonts w:ascii="Times New Roman" w:hAnsi="Times New Roman" w:eastAsia="Times New Roman" w:cs="Times New Roman"/>
          <w:b/>
          <w:bCs/>
          <w:spacing w:val="4"/>
          <w:sz w:val="29"/>
          <w:szCs w:val="29"/>
        </w:rPr>
        <w:t>0.1.1</w:t>
      </w:r>
      <w:r>
        <w:rPr>
          <w:rFonts w:ascii="Times New Roman" w:hAnsi="Times New Roman" w:eastAsia="Times New Roman" w:cs="Times New Roman"/>
          <w:spacing w:val="4"/>
          <w:sz w:val="29"/>
          <w:szCs w:val="29"/>
        </w:rPr>
        <w:t xml:space="preserve">  </w:t>
      </w:r>
      <w:r>
        <w:rPr>
          <w:rFonts w:ascii="宋体" w:hAnsi="宋体" w:eastAsia="宋体" w:cs="宋体"/>
          <w:spacing w:val="4"/>
          <w:sz w:val="29"/>
          <w:szCs w:val="29"/>
          <w14:textOutline w14:w="5448" w14:cap="sq" w14:cmpd="sng">
            <w14:solidFill>
              <w14:srgbClr w14:val="000000"/>
            </w14:solidFill>
            <w14:prstDash w14:val="solid"/>
            <w14:bevel/>
          </w14:textOutline>
        </w:rPr>
        <w:t>项目概况</w:t>
      </w:r>
    </w:p>
    <w:p w14:paraId="06A48762">
      <w:pPr>
        <w:spacing w:line="258" w:lineRule="auto"/>
        <w:rPr>
          <w:rFonts w:ascii="Arial"/>
          <w:sz w:val="21"/>
        </w:rPr>
      </w:pPr>
    </w:p>
    <w:p w14:paraId="57B835EE">
      <w:pPr>
        <w:spacing w:before="75" w:line="386" w:lineRule="auto"/>
        <w:ind w:left="48" w:firstLine="485"/>
        <w:rPr>
          <w:rFonts w:ascii="宋体" w:hAnsi="宋体" w:eastAsia="宋体" w:cs="宋体"/>
          <w:sz w:val="23"/>
          <w:szCs w:val="23"/>
        </w:rPr>
      </w:pPr>
      <w:r>
        <w:rPr>
          <w:rFonts w:ascii="宋体" w:hAnsi="宋体" w:eastAsia="宋体" w:cs="宋体"/>
          <w:spacing w:val="19"/>
          <w:sz w:val="23"/>
          <w:szCs w:val="23"/>
        </w:rPr>
        <w:t>本</w:t>
      </w:r>
      <w:r>
        <w:rPr>
          <w:rFonts w:ascii="宋体" w:hAnsi="宋体" w:eastAsia="宋体" w:cs="宋体"/>
          <w:spacing w:val="14"/>
          <w:sz w:val="23"/>
          <w:szCs w:val="23"/>
        </w:rPr>
        <w:t>溪弘福塑业有限公司新建项目拟建于辽宁省本溪市溪湖区火连寨镇火连</w:t>
      </w:r>
      <w:r>
        <w:rPr>
          <w:rFonts w:ascii="宋体" w:hAnsi="宋体" w:eastAsia="宋体" w:cs="宋体"/>
          <w:sz w:val="23"/>
          <w:szCs w:val="23"/>
        </w:rPr>
        <w:t xml:space="preserve"> </w:t>
      </w:r>
      <w:r>
        <w:rPr>
          <w:rFonts w:ascii="宋体" w:hAnsi="宋体" w:eastAsia="宋体" w:cs="宋体"/>
          <w:spacing w:val="4"/>
          <w:sz w:val="23"/>
          <w:szCs w:val="23"/>
        </w:rPr>
        <w:t>寨村，地理位置坐</w:t>
      </w:r>
      <w:r>
        <w:rPr>
          <w:rFonts w:ascii="宋体" w:hAnsi="宋体" w:eastAsia="宋体" w:cs="宋体"/>
          <w:spacing w:val="2"/>
          <w:sz w:val="23"/>
          <w:szCs w:val="23"/>
        </w:rPr>
        <w:t xml:space="preserve">标为 </w:t>
      </w:r>
      <w:r>
        <w:rPr>
          <w:rFonts w:ascii="Times New Roman" w:hAnsi="Times New Roman" w:eastAsia="Times New Roman" w:cs="Times New Roman"/>
          <w:sz w:val="23"/>
          <w:szCs w:val="23"/>
        </w:rPr>
        <w:t>N</w:t>
      </w:r>
      <w:r>
        <w:rPr>
          <w:rFonts w:ascii="Times New Roman" w:hAnsi="Times New Roman" w:eastAsia="Times New Roman" w:cs="Times New Roman"/>
          <w:spacing w:val="2"/>
          <w:sz w:val="23"/>
          <w:szCs w:val="23"/>
        </w:rPr>
        <w:t>41°21′55.05927″</w:t>
      </w:r>
      <w:r>
        <w:rPr>
          <w:rFonts w:ascii="Times New Roman" w:hAnsi="Times New Roman" w:eastAsia="Times New Roman" w:cs="Times New Roman"/>
          <w:sz w:val="23"/>
          <w:szCs w:val="23"/>
        </w:rPr>
        <w:t>E</w:t>
      </w:r>
      <w:r>
        <w:rPr>
          <w:rFonts w:ascii="Times New Roman" w:hAnsi="Times New Roman" w:eastAsia="Times New Roman" w:cs="Times New Roman"/>
          <w:spacing w:val="2"/>
          <w:sz w:val="23"/>
          <w:szCs w:val="23"/>
        </w:rPr>
        <w:t xml:space="preserve">123°42′32.05640″ </w:t>
      </w:r>
      <w:r>
        <w:rPr>
          <w:rFonts w:ascii="宋体" w:hAnsi="宋体" w:eastAsia="宋体" w:cs="宋体"/>
          <w:spacing w:val="2"/>
          <w:sz w:val="23"/>
          <w:szCs w:val="23"/>
        </w:rPr>
        <w:t xml:space="preserve">，总投资 </w:t>
      </w:r>
      <w:r>
        <w:rPr>
          <w:rFonts w:ascii="Times New Roman" w:hAnsi="Times New Roman" w:eastAsia="Times New Roman" w:cs="Times New Roman"/>
          <w:spacing w:val="2"/>
          <w:sz w:val="23"/>
          <w:szCs w:val="23"/>
        </w:rPr>
        <w:t xml:space="preserve">4300 </w:t>
      </w:r>
      <w:r>
        <w:rPr>
          <w:rFonts w:ascii="宋体" w:hAnsi="宋体" w:eastAsia="宋体" w:cs="宋体"/>
          <w:spacing w:val="2"/>
          <w:sz w:val="23"/>
          <w:szCs w:val="23"/>
        </w:rPr>
        <w:t>万元。</w:t>
      </w:r>
      <w:r>
        <w:rPr>
          <w:rFonts w:ascii="宋体" w:hAnsi="宋体" w:eastAsia="宋体" w:cs="宋体"/>
          <w:sz w:val="23"/>
          <w:szCs w:val="23"/>
        </w:rPr>
        <w:t xml:space="preserve"> </w:t>
      </w:r>
      <w:r>
        <w:rPr>
          <w:rFonts w:ascii="宋体" w:hAnsi="宋体" w:eastAsia="宋体" w:cs="宋体"/>
          <w:spacing w:val="12"/>
          <w:sz w:val="23"/>
          <w:szCs w:val="23"/>
        </w:rPr>
        <w:t>该</w:t>
      </w:r>
      <w:r>
        <w:rPr>
          <w:rFonts w:ascii="宋体" w:hAnsi="宋体" w:eastAsia="宋体" w:cs="宋体"/>
          <w:spacing w:val="8"/>
          <w:sz w:val="23"/>
          <w:szCs w:val="23"/>
        </w:rPr>
        <w:t xml:space="preserve">项目地块原为辽宁公路水泥厂劳动服务公司，该地块从 </w:t>
      </w:r>
      <w:r>
        <w:rPr>
          <w:rFonts w:ascii="Times New Roman" w:hAnsi="Times New Roman" w:eastAsia="Times New Roman" w:cs="Times New Roman"/>
          <w:spacing w:val="8"/>
          <w:sz w:val="23"/>
          <w:szCs w:val="23"/>
        </w:rPr>
        <w:t xml:space="preserve">2000 </w:t>
      </w:r>
      <w:r>
        <w:rPr>
          <w:rFonts w:ascii="宋体" w:hAnsi="宋体" w:eastAsia="宋体" w:cs="宋体"/>
          <w:spacing w:val="8"/>
          <w:sz w:val="23"/>
          <w:szCs w:val="23"/>
        </w:rPr>
        <w:t>年闲置至今，总</w:t>
      </w:r>
      <w:r>
        <w:rPr>
          <w:rFonts w:ascii="宋体" w:hAnsi="宋体" w:eastAsia="宋体" w:cs="宋体"/>
          <w:sz w:val="23"/>
          <w:szCs w:val="23"/>
        </w:rPr>
        <w:t xml:space="preserve"> </w:t>
      </w:r>
      <w:r>
        <w:rPr>
          <w:rFonts w:ascii="宋体" w:hAnsi="宋体" w:eastAsia="宋体" w:cs="宋体"/>
          <w:spacing w:val="8"/>
          <w:sz w:val="23"/>
          <w:szCs w:val="23"/>
        </w:rPr>
        <w:t xml:space="preserve">占地面积为 </w:t>
      </w:r>
      <w:r>
        <w:rPr>
          <w:rFonts w:ascii="Times New Roman" w:hAnsi="Times New Roman" w:eastAsia="Times New Roman" w:cs="Times New Roman"/>
          <w:spacing w:val="8"/>
          <w:sz w:val="23"/>
          <w:szCs w:val="23"/>
        </w:rPr>
        <w:t>7000</w:t>
      </w:r>
      <w:r>
        <w:rPr>
          <w:rFonts w:ascii="Times New Roman" w:hAnsi="Times New Roman" w:eastAsia="Times New Roman" w:cs="Times New Roman"/>
          <w:sz w:val="23"/>
          <w:szCs w:val="23"/>
        </w:rPr>
        <w:t>m</w:t>
      </w:r>
      <w:r>
        <w:rPr>
          <w:rFonts w:ascii="Times New Roman" w:hAnsi="Times New Roman" w:eastAsia="Times New Roman" w:cs="Times New Roman"/>
          <w:spacing w:val="8"/>
          <w:position w:val="8"/>
          <w:sz w:val="15"/>
          <w:szCs w:val="15"/>
        </w:rPr>
        <w:t xml:space="preserve">2 </w:t>
      </w:r>
      <w:r>
        <w:rPr>
          <w:rFonts w:ascii="宋体" w:hAnsi="宋体" w:eastAsia="宋体" w:cs="宋体"/>
          <w:spacing w:val="8"/>
          <w:sz w:val="23"/>
          <w:szCs w:val="23"/>
        </w:rPr>
        <w:t>。该项目利用厂区内原有闲置辅助用房作为办公用房及成品</w:t>
      </w:r>
      <w:r>
        <w:rPr>
          <w:rFonts w:ascii="宋体" w:hAnsi="宋体" w:eastAsia="宋体" w:cs="宋体"/>
          <w:sz w:val="23"/>
          <w:szCs w:val="23"/>
        </w:rPr>
        <w:t xml:space="preserve"> </w:t>
      </w:r>
      <w:r>
        <w:rPr>
          <w:rFonts w:ascii="宋体" w:hAnsi="宋体" w:eastAsia="宋体" w:cs="宋体"/>
          <w:spacing w:val="11"/>
          <w:sz w:val="23"/>
          <w:szCs w:val="23"/>
        </w:rPr>
        <w:t>库</w:t>
      </w:r>
      <w:r>
        <w:rPr>
          <w:rFonts w:ascii="宋体" w:hAnsi="宋体" w:eastAsia="宋体" w:cs="宋体"/>
          <w:spacing w:val="8"/>
          <w:sz w:val="23"/>
          <w:szCs w:val="23"/>
        </w:rPr>
        <w:t xml:space="preserve">，并将原有生产厂房扩大作为该项目生产用房，总建筑面积为 </w:t>
      </w:r>
      <w:r>
        <w:rPr>
          <w:rFonts w:ascii="Times New Roman" w:hAnsi="Times New Roman" w:eastAsia="Times New Roman" w:cs="Times New Roman"/>
          <w:spacing w:val="8"/>
          <w:sz w:val="23"/>
          <w:szCs w:val="23"/>
        </w:rPr>
        <w:t>1600</w:t>
      </w:r>
      <w:r>
        <w:rPr>
          <w:rFonts w:ascii="Times New Roman" w:hAnsi="Times New Roman" w:eastAsia="Times New Roman" w:cs="Times New Roman"/>
          <w:sz w:val="23"/>
          <w:szCs w:val="23"/>
        </w:rPr>
        <w:t>m</w:t>
      </w:r>
      <w:r>
        <w:rPr>
          <w:rFonts w:ascii="Times New Roman" w:hAnsi="Times New Roman" w:eastAsia="Times New Roman" w:cs="Times New Roman"/>
          <w:spacing w:val="8"/>
          <w:position w:val="8"/>
          <w:sz w:val="15"/>
          <w:szCs w:val="15"/>
        </w:rPr>
        <w:t xml:space="preserve">2 </w:t>
      </w:r>
      <w:r>
        <w:rPr>
          <w:rFonts w:ascii="宋体" w:hAnsi="宋体" w:eastAsia="宋体" w:cs="宋体"/>
          <w:spacing w:val="8"/>
          <w:sz w:val="23"/>
          <w:szCs w:val="23"/>
        </w:rPr>
        <w:t>，主要</w:t>
      </w:r>
      <w:r>
        <w:rPr>
          <w:rFonts w:ascii="宋体" w:hAnsi="宋体" w:eastAsia="宋体" w:cs="宋体"/>
          <w:sz w:val="23"/>
          <w:szCs w:val="23"/>
        </w:rPr>
        <w:t xml:space="preserve"> </w:t>
      </w:r>
      <w:r>
        <w:rPr>
          <w:rFonts w:ascii="宋体" w:hAnsi="宋体" w:eastAsia="宋体" w:cs="宋体"/>
          <w:spacing w:val="-2"/>
          <w:sz w:val="23"/>
          <w:szCs w:val="23"/>
        </w:rPr>
        <w:t xml:space="preserve">建筑物为：生产厂房 </w:t>
      </w:r>
      <w:r>
        <w:rPr>
          <w:rFonts w:ascii="Times New Roman" w:hAnsi="Times New Roman" w:eastAsia="Times New Roman" w:cs="Times New Roman"/>
          <w:spacing w:val="-2"/>
          <w:sz w:val="23"/>
          <w:szCs w:val="23"/>
        </w:rPr>
        <w:t>1</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 xml:space="preserve">栋，建筑面积为 </w:t>
      </w:r>
      <w:r>
        <w:rPr>
          <w:rFonts w:ascii="Times New Roman" w:hAnsi="Times New Roman" w:eastAsia="Times New Roman" w:cs="Times New Roman"/>
          <w:spacing w:val="-1"/>
          <w:sz w:val="23"/>
          <w:szCs w:val="23"/>
        </w:rPr>
        <w:t>600m</w:t>
      </w:r>
      <w:r>
        <w:rPr>
          <w:rFonts w:ascii="Times New Roman" w:hAnsi="Times New Roman" w:eastAsia="Times New Roman" w:cs="Times New Roman"/>
          <w:spacing w:val="-1"/>
          <w:position w:val="8"/>
          <w:sz w:val="15"/>
          <w:szCs w:val="15"/>
        </w:rPr>
        <w:t>2</w:t>
      </w:r>
      <w:r>
        <w:rPr>
          <w:rFonts w:ascii="宋体" w:hAnsi="宋体" w:eastAsia="宋体" w:cs="宋体"/>
          <w:spacing w:val="-1"/>
          <w:sz w:val="23"/>
          <w:szCs w:val="23"/>
        </w:rPr>
        <w:t xml:space="preserve">；成品库 </w:t>
      </w:r>
      <w:r>
        <w:rPr>
          <w:rFonts w:ascii="Times New Roman" w:hAnsi="Times New Roman" w:eastAsia="Times New Roman" w:cs="Times New Roman"/>
          <w:spacing w:val="-1"/>
          <w:sz w:val="23"/>
          <w:szCs w:val="23"/>
        </w:rPr>
        <w:t xml:space="preserve">1 </w:t>
      </w:r>
      <w:r>
        <w:rPr>
          <w:rFonts w:ascii="宋体" w:hAnsi="宋体" w:eastAsia="宋体" w:cs="宋体"/>
          <w:spacing w:val="-1"/>
          <w:sz w:val="23"/>
          <w:szCs w:val="23"/>
        </w:rPr>
        <w:t xml:space="preserve">栋，建筑面积为 </w:t>
      </w:r>
      <w:r>
        <w:rPr>
          <w:rFonts w:ascii="Times New Roman" w:hAnsi="Times New Roman" w:eastAsia="Times New Roman" w:cs="Times New Roman"/>
          <w:spacing w:val="-1"/>
          <w:sz w:val="23"/>
          <w:szCs w:val="23"/>
        </w:rPr>
        <w:t>200m</w:t>
      </w:r>
      <w:r>
        <w:rPr>
          <w:rFonts w:ascii="Times New Roman" w:hAnsi="Times New Roman" w:eastAsia="Times New Roman" w:cs="Times New Roman"/>
          <w:spacing w:val="-1"/>
          <w:position w:val="8"/>
          <w:sz w:val="15"/>
          <w:szCs w:val="15"/>
        </w:rPr>
        <w:t>2</w:t>
      </w:r>
      <w:r>
        <w:rPr>
          <w:rFonts w:ascii="宋体" w:hAnsi="宋体" w:eastAsia="宋体" w:cs="宋体"/>
          <w:spacing w:val="-1"/>
          <w:sz w:val="23"/>
          <w:szCs w:val="23"/>
        </w:rPr>
        <w:t>；</w:t>
      </w:r>
      <w:r>
        <w:rPr>
          <w:rFonts w:ascii="宋体" w:hAnsi="宋体" w:eastAsia="宋体" w:cs="宋体"/>
          <w:sz w:val="23"/>
          <w:szCs w:val="23"/>
        </w:rPr>
        <w:t xml:space="preserve"> </w:t>
      </w:r>
      <w:r>
        <w:rPr>
          <w:rFonts w:ascii="宋体" w:hAnsi="宋体" w:eastAsia="宋体" w:cs="宋体"/>
          <w:spacing w:val="1"/>
          <w:sz w:val="23"/>
          <w:szCs w:val="23"/>
        </w:rPr>
        <w:t xml:space="preserve">原料库 </w:t>
      </w:r>
      <w:r>
        <w:rPr>
          <w:rFonts w:ascii="Times New Roman" w:hAnsi="Times New Roman" w:eastAsia="Times New Roman" w:cs="Times New Roman"/>
          <w:spacing w:val="1"/>
          <w:sz w:val="23"/>
          <w:szCs w:val="23"/>
        </w:rPr>
        <w:t xml:space="preserve">1 </w:t>
      </w:r>
      <w:r>
        <w:rPr>
          <w:rFonts w:ascii="宋体" w:hAnsi="宋体" w:eastAsia="宋体" w:cs="宋体"/>
          <w:spacing w:val="1"/>
          <w:sz w:val="23"/>
          <w:szCs w:val="23"/>
        </w:rPr>
        <w:t xml:space="preserve">栋，建筑面积为 </w:t>
      </w:r>
      <w:r>
        <w:rPr>
          <w:rFonts w:ascii="Times New Roman" w:hAnsi="Times New Roman" w:eastAsia="Times New Roman" w:cs="Times New Roman"/>
          <w:spacing w:val="1"/>
          <w:sz w:val="23"/>
          <w:szCs w:val="23"/>
        </w:rPr>
        <w:t>2</w:t>
      </w:r>
      <w:r>
        <w:rPr>
          <w:rFonts w:ascii="Times New Roman" w:hAnsi="Times New Roman" w:eastAsia="Times New Roman" w:cs="Times New Roman"/>
          <w:sz w:val="23"/>
          <w:szCs w:val="23"/>
        </w:rPr>
        <w:t>00m</w:t>
      </w:r>
      <w:r>
        <w:rPr>
          <w:rFonts w:ascii="Times New Roman" w:hAnsi="Times New Roman" w:eastAsia="Times New Roman" w:cs="Times New Roman"/>
          <w:position w:val="8"/>
          <w:sz w:val="15"/>
          <w:szCs w:val="15"/>
        </w:rPr>
        <w:t xml:space="preserve">2 </w:t>
      </w:r>
      <w:r>
        <w:rPr>
          <w:rFonts w:ascii="宋体" w:hAnsi="宋体" w:eastAsia="宋体" w:cs="宋体"/>
          <w:sz w:val="23"/>
          <w:szCs w:val="23"/>
        </w:rPr>
        <w:t xml:space="preserve">；办公室 </w:t>
      </w:r>
      <w:r>
        <w:rPr>
          <w:rFonts w:ascii="Times New Roman" w:hAnsi="Times New Roman" w:eastAsia="Times New Roman" w:cs="Times New Roman"/>
          <w:sz w:val="23"/>
          <w:szCs w:val="23"/>
        </w:rPr>
        <w:t xml:space="preserve">1 </w:t>
      </w:r>
      <w:r>
        <w:rPr>
          <w:rFonts w:ascii="宋体" w:hAnsi="宋体" w:eastAsia="宋体" w:cs="宋体"/>
          <w:sz w:val="23"/>
          <w:szCs w:val="23"/>
        </w:rPr>
        <w:t xml:space="preserve">栋，建筑面积为 </w:t>
      </w:r>
      <w:r>
        <w:rPr>
          <w:rFonts w:ascii="Times New Roman" w:hAnsi="Times New Roman" w:eastAsia="Times New Roman" w:cs="Times New Roman"/>
          <w:sz w:val="23"/>
          <w:szCs w:val="23"/>
        </w:rPr>
        <w:t>245m</w:t>
      </w:r>
      <w:r>
        <w:rPr>
          <w:rFonts w:ascii="Times New Roman" w:hAnsi="Times New Roman" w:eastAsia="Times New Roman" w:cs="Times New Roman"/>
          <w:position w:val="8"/>
          <w:sz w:val="15"/>
          <w:szCs w:val="15"/>
        </w:rPr>
        <w:t xml:space="preserve">2 </w:t>
      </w:r>
      <w:r>
        <w:rPr>
          <w:rFonts w:ascii="宋体" w:hAnsi="宋体" w:eastAsia="宋体" w:cs="宋体"/>
          <w:sz w:val="23"/>
          <w:szCs w:val="23"/>
        </w:rPr>
        <w:t xml:space="preserve">；员工休息室 </w:t>
      </w:r>
      <w:r>
        <w:rPr>
          <w:rFonts w:ascii="Times New Roman" w:hAnsi="Times New Roman" w:eastAsia="Times New Roman" w:cs="Times New Roman"/>
          <w:spacing w:val="4"/>
          <w:sz w:val="23"/>
          <w:szCs w:val="23"/>
        </w:rPr>
        <w:t xml:space="preserve">2 </w:t>
      </w:r>
      <w:r>
        <w:rPr>
          <w:rFonts w:ascii="宋体" w:hAnsi="宋体" w:eastAsia="宋体" w:cs="宋体"/>
          <w:spacing w:val="4"/>
          <w:sz w:val="23"/>
          <w:szCs w:val="23"/>
        </w:rPr>
        <w:t xml:space="preserve">栋，其中 </w:t>
      </w:r>
      <w:r>
        <w:rPr>
          <w:rFonts w:ascii="Times New Roman" w:hAnsi="Times New Roman" w:eastAsia="Times New Roman" w:cs="Times New Roman"/>
          <w:spacing w:val="4"/>
          <w:sz w:val="23"/>
          <w:szCs w:val="23"/>
        </w:rPr>
        <w:t>1#</w:t>
      </w:r>
      <w:r>
        <w:rPr>
          <w:rFonts w:ascii="宋体" w:hAnsi="宋体" w:eastAsia="宋体" w:cs="宋体"/>
          <w:spacing w:val="4"/>
          <w:sz w:val="23"/>
          <w:szCs w:val="23"/>
        </w:rPr>
        <w:t>员工休</w:t>
      </w:r>
      <w:r>
        <w:rPr>
          <w:rFonts w:ascii="宋体" w:hAnsi="宋体" w:eastAsia="宋体" w:cs="宋体"/>
          <w:spacing w:val="3"/>
          <w:sz w:val="23"/>
          <w:szCs w:val="23"/>
        </w:rPr>
        <w:t>息</w:t>
      </w:r>
      <w:r>
        <w:rPr>
          <w:rFonts w:ascii="宋体" w:hAnsi="宋体" w:eastAsia="宋体" w:cs="宋体"/>
          <w:spacing w:val="2"/>
          <w:sz w:val="23"/>
          <w:szCs w:val="23"/>
        </w:rPr>
        <w:t xml:space="preserve">室建筑面积为 </w:t>
      </w:r>
      <w:r>
        <w:rPr>
          <w:rFonts w:ascii="Times New Roman" w:hAnsi="Times New Roman" w:eastAsia="Times New Roman" w:cs="Times New Roman"/>
          <w:spacing w:val="2"/>
          <w:sz w:val="23"/>
          <w:szCs w:val="23"/>
        </w:rPr>
        <w:t>150</w:t>
      </w:r>
      <w:r>
        <w:rPr>
          <w:rFonts w:ascii="Times New Roman" w:hAnsi="Times New Roman" w:eastAsia="Times New Roman" w:cs="Times New Roman"/>
          <w:sz w:val="23"/>
          <w:szCs w:val="23"/>
        </w:rPr>
        <w:t>m</w:t>
      </w:r>
      <w:r>
        <w:rPr>
          <w:rFonts w:ascii="Times New Roman" w:hAnsi="Times New Roman" w:eastAsia="Times New Roman" w:cs="Times New Roman"/>
          <w:spacing w:val="2"/>
          <w:position w:val="8"/>
          <w:sz w:val="15"/>
          <w:szCs w:val="15"/>
        </w:rPr>
        <w:t xml:space="preserve">2 </w:t>
      </w:r>
      <w:r>
        <w:rPr>
          <w:rFonts w:ascii="宋体" w:hAnsi="宋体" w:eastAsia="宋体" w:cs="宋体"/>
          <w:spacing w:val="2"/>
          <w:sz w:val="23"/>
          <w:szCs w:val="23"/>
        </w:rPr>
        <w:t>，</w:t>
      </w:r>
      <w:r>
        <w:rPr>
          <w:rFonts w:ascii="Times New Roman" w:hAnsi="Times New Roman" w:eastAsia="Times New Roman" w:cs="Times New Roman"/>
          <w:spacing w:val="2"/>
          <w:sz w:val="23"/>
          <w:szCs w:val="23"/>
        </w:rPr>
        <w:t>2#</w:t>
      </w:r>
      <w:r>
        <w:rPr>
          <w:rFonts w:ascii="宋体" w:hAnsi="宋体" w:eastAsia="宋体" w:cs="宋体"/>
          <w:spacing w:val="2"/>
          <w:sz w:val="23"/>
          <w:szCs w:val="23"/>
        </w:rPr>
        <w:t xml:space="preserve">员工休息室建筑面积为 </w:t>
      </w:r>
      <w:r>
        <w:rPr>
          <w:rFonts w:ascii="Times New Roman" w:hAnsi="Times New Roman" w:eastAsia="Times New Roman" w:cs="Times New Roman"/>
          <w:spacing w:val="2"/>
          <w:sz w:val="23"/>
          <w:szCs w:val="23"/>
        </w:rPr>
        <w:t>175</w:t>
      </w:r>
      <w:r>
        <w:rPr>
          <w:rFonts w:ascii="Times New Roman" w:hAnsi="Times New Roman" w:eastAsia="Times New Roman" w:cs="Times New Roman"/>
          <w:sz w:val="23"/>
          <w:szCs w:val="23"/>
        </w:rPr>
        <w:t>m</w:t>
      </w:r>
      <w:r>
        <w:rPr>
          <w:rFonts w:ascii="Times New Roman" w:hAnsi="Times New Roman" w:eastAsia="Times New Roman" w:cs="Times New Roman"/>
          <w:spacing w:val="2"/>
          <w:position w:val="8"/>
          <w:sz w:val="15"/>
          <w:szCs w:val="15"/>
        </w:rPr>
        <w:t xml:space="preserve">2 </w:t>
      </w:r>
      <w:r>
        <w:rPr>
          <w:rFonts w:ascii="宋体" w:hAnsi="宋体" w:eastAsia="宋体" w:cs="宋体"/>
          <w:spacing w:val="2"/>
          <w:sz w:val="23"/>
          <w:szCs w:val="23"/>
        </w:rPr>
        <w:t>；</w:t>
      </w:r>
      <w:r>
        <w:rPr>
          <w:rFonts w:ascii="宋体" w:hAnsi="宋体" w:eastAsia="宋体" w:cs="宋体"/>
          <w:sz w:val="23"/>
          <w:szCs w:val="23"/>
        </w:rPr>
        <w:t xml:space="preserve"> </w:t>
      </w:r>
      <w:r>
        <w:rPr>
          <w:rFonts w:ascii="宋体" w:hAnsi="宋体" w:eastAsia="宋体" w:cs="宋体"/>
          <w:spacing w:val="8"/>
          <w:sz w:val="23"/>
          <w:szCs w:val="23"/>
        </w:rPr>
        <w:t xml:space="preserve">备品备件库 </w:t>
      </w:r>
      <w:r>
        <w:rPr>
          <w:rFonts w:ascii="Times New Roman" w:hAnsi="Times New Roman" w:eastAsia="Times New Roman" w:cs="Times New Roman"/>
          <w:spacing w:val="5"/>
          <w:sz w:val="23"/>
          <w:szCs w:val="23"/>
        </w:rPr>
        <w:t>1</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 xml:space="preserve">栋，建筑面积为 </w:t>
      </w:r>
      <w:r>
        <w:rPr>
          <w:rFonts w:ascii="Times New Roman" w:hAnsi="Times New Roman" w:eastAsia="Times New Roman" w:cs="Times New Roman"/>
          <w:spacing w:val="4"/>
          <w:sz w:val="23"/>
          <w:szCs w:val="23"/>
        </w:rPr>
        <w:t>30</w:t>
      </w:r>
      <w:r>
        <w:rPr>
          <w:rFonts w:ascii="Times New Roman" w:hAnsi="Times New Roman" w:eastAsia="Times New Roman" w:cs="Times New Roman"/>
          <w:sz w:val="23"/>
          <w:szCs w:val="23"/>
        </w:rPr>
        <w:t>m</w:t>
      </w:r>
      <w:r>
        <w:rPr>
          <w:rFonts w:ascii="Times New Roman" w:hAnsi="Times New Roman" w:eastAsia="Times New Roman" w:cs="Times New Roman"/>
          <w:spacing w:val="4"/>
          <w:position w:val="8"/>
          <w:sz w:val="15"/>
          <w:szCs w:val="15"/>
        </w:rPr>
        <w:t xml:space="preserve">2 </w:t>
      </w:r>
      <w:r>
        <w:rPr>
          <w:rFonts w:ascii="宋体" w:hAnsi="宋体" w:eastAsia="宋体" w:cs="宋体"/>
          <w:spacing w:val="4"/>
          <w:sz w:val="23"/>
          <w:szCs w:val="23"/>
        </w:rPr>
        <w:t xml:space="preserve">；主要构筑物包括 </w:t>
      </w:r>
      <w:r>
        <w:rPr>
          <w:rFonts w:ascii="Times New Roman" w:hAnsi="Times New Roman" w:eastAsia="Times New Roman" w:cs="Times New Roman"/>
          <w:spacing w:val="4"/>
          <w:sz w:val="23"/>
          <w:szCs w:val="23"/>
        </w:rPr>
        <w:t xml:space="preserve">1 </w:t>
      </w:r>
      <w:r>
        <w:rPr>
          <w:rFonts w:ascii="宋体" w:hAnsi="宋体" w:eastAsia="宋体" w:cs="宋体"/>
          <w:spacing w:val="4"/>
          <w:sz w:val="23"/>
          <w:szCs w:val="23"/>
        </w:rPr>
        <w:t>个用于处理该项目生产</w:t>
      </w:r>
      <w:r>
        <w:rPr>
          <w:rFonts w:ascii="宋体" w:hAnsi="宋体" w:eastAsia="宋体" w:cs="宋体"/>
          <w:sz w:val="23"/>
          <w:szCs w:val="23"/>
        </w:rPr>
        <w:t xml:space="preserve"> </w:t>
      </w:r>
      <w:r>
        <w:rPr>
          <w:rFonts w:ascii="宋体" w:hAnsi="宋体" w:eastAsia="宋体" w:cs="宋体"/>
          <w:spacing w:val="18"/>
          <w:sz w:val="23"/>
          <w:szCs w:val="23"/>
        </w:rPr>
        <w:t>废</w:t>
      </w:r>
      <w:r>
        <w:rPr>
          <w:rFonts w:ascii="宋体" w:hAnsi="宋体" w:eastAsia="宋体" w:cs="宋体"/>
          <w:spacing w:val="17"/>
          <w:sz w:val="23"/>
          <w:szCs w:val="23"/>
        </w:rPr>
        <w:t>水</w:t>
      </w:r>
      <w:r>
        <w:rPr>
          <w:rFonts w:ascii="宋体" w:hAnsi="宋体" w:eastAsia="宋体" w:cs="宋体"/>
          <w:spacing w:val="9"/>
          <w:sz w:val="23"/>
          <w:szCs w:val="23"/>
        </w:rPr>
        <w:t>的三级沉淀池 (</w:t>
      </w:r>
      <w:r>
        <w:rPr>
          <w:rFonts w:ascii="Times New Roman" w:hAnsi="Times New Roman" w:eastAsia="Times New Roman" w:cs="Times New Roman"/>
          <w:spacing w:val="9"/>
          <w:sz w:val="23"/>
          <w:szCs w:val="23"/>
        </w:rPr>
        <w:t>12</w:t>
      </w:r>
      <w:r>
        <w:rPr>
          <w:rFonts w:ascii="Times New Roman" w:hAnsi="Times New Roman" w:eastAsia="Times New Roman" w:cs="Times New Roman"/>
          <w:sz w:val="23"/>
          <w:szCs w:val="23"/>
        </w:rPr>
        <w:t>m</w:t>
      </w:r>
      <w:r>
        <w:rPr>
          <w:rFonts w:ascii="Times New Roman" w:hAnsi="Times New Roman" w:eastAsia="Times New Roman" w:cs="Times New Roman"/>
          <w:spacing w:val="9"/>
          <w:sz w:val="23"/>
          <w:szCs w:val="23"/>
        </w:rPr>
        <w:t>×6</w:t>
      </w:r>
      <w:r>
        <w:rPr>
          <w:rFonts w:ascii="Times New Roman" w:hAnsi="Times New Roman" w:eastAsia="Times New Roman" w:cs="Times New Roman"/>
          <w:sz w:val="23"/>
          <w:szCs w:val="23"/>
        </w:rPr>
        <w:t>m</w:t>
      </w:r>
      <w:r>
        <w:rPr>
          <w:rFonts w:ascii="Times New Roman" w:hAnsi="Times New Roman" w:eastAsia="Times New Roman" w:cs="Times New Roman"/>
          <w:spacing w:val="9"/>
          <w:sz w:val="23"/>
          <w:szCs w:val="23"/>
        </w:rPr>
        <w:t>×4.5</w:t>
      </w:r>
      <w:r>
        <w:rPr>
          <w:rFonts w:ascii="Times New Roman" w:hAnsi="Times New Roman" w:eastAsia="Times New Roman" w:cs="Times New Roman"/>
          <w:sz w:val="23"/>
          <w:szCs w:val="23"/>
        </w:rPr>
        <w:t>m</w:t>
      </w:r>
      <w:r>
        <w:rPr>
          <w:rFonts w:ascii="宋体" w:hAnsi="宋体" w:eastAsia="宋体" w:cs="宋体"/>
          <w:spacing w:val="9"/>
          <w:sz w:val="23"/>
          <w:szCs w:val="23"/>
        </w:rPr>
        <w:t xml:space="preserve">) ，同时配套设有 </w:t>
      </w:r>
      <w:r>
        <w:rPr>
          <w:rFonts w:ascii="Times New Roman" w:hAnsi="Times New Roman" w:eastAsia="Times New Roman" w:cs="Times New Roman"/>
          <w:spacing w:val="9"/>
          <w:sz w:val="23"/>
          <w:szCs w:val="23"/>
        </w:rPr>
        <w:t xml:space="preserve">1 </w:t>
      </w:r>
      <w:r>
        <w:rPr>
          <w:rFonts w:ascii="宋体" w:hAnsi="宋体" w:eastAsia="宋体" w:cs="宋体"/>
          <w:spacing w:val="9"/>
          <w:sz w:val="23"/>
          <w:szCs w:val="23"/>
        </w:rPr>
        <w:t>台一体化污水预处理设</w:t>
      </w:r>
      <w:r>
        <w:rPr>
          <w:rFonts w:ascii="宋体" w:hAnsi="宋体" w:eastAsia="宋体" w:cs="宋体"/>
          <w:sz w:val="23"/>
          <w:szCs w:val="23"/>
        </w:rPr>
        <w:t xml:space="preserve"> </w:t>
      </w:r>
      <w:r>
        <w:rPr>
          <w:rFonts w:ascii="宋体" w:hAnsi="宋体" w:eastAsia="宋体" w:cs="宋体"/>
          <w:spacing w:val="9"/>
          <w:sz w:val="23"/>
          <w:szCs w:val="23"/>
        </w:rPr>
        <w:t xml:space="preserve">备。该项目主要建设废旧塑料加工生产线 </w:t>
      </w:r>
      <w:r>
        <w:rPr>
          <w:rFonts w:ascii="Times New Roman" w:hAnsi="Times New Roman" w:eastAsia="Times New Roman" w:cs="Times New Roman"/>
          <w:spacing w:val="9"/>
          <w:sz w:val="23"/>
          <w:szCs w:val="23"/>
        </w:rPr>
        <w:t xml:space="preserve">10 </w:t>
      </w:r>
      <w:r>
        <w:rPr>
          <w:rFonts w:ascii="宋体" w:hAnsi="宋体" w:eastAsia="宋体" w:cs="宋体"/>
          <w:spacing w:val="9"/>
          <w:sz w:val="23"/>
          <w:szCs w:val="23"/>
        </w:rPr>
        <w:t>条，用于生产废旧塑料再生颗粒</w:t>
      </w:r>
      <w:r>
        <w:rPr>
          <w:rFonts w:ascii="宋体" w:hAnsi="宋体" w:eastAsia="宋体" w:cs="宋体"/>
          <w:spacing w:val="7"/>
          <w:sz w:val="23"/>
          <w:szCs w:val="23"/>
        </w:rPr>
        <w:t>。</w:t>
      </w:r>
      <w:r>
        <w:rPr>
          <w:rFonts w:ascii="宋体" w:hAnsi="宋体" w:eastAsia="宋体" w:cs="宋体"/>
          <w:sz w:val="23"/>
          <w:szCs w:val="23"/>
        </w:rPr>
        <w:t xml:space="preserve"> </w:t>
      </w:r>
      <w:r>
        <w:rPr>
          <w:rFonts w:ascii="宋体" w:hAnsi="宋体" w:eastAsia="宋体" w:cs="宋体"/>
          <w:spacing w:val="6"/>
          <w:sz w:val="23"/>
          <w:szCs w:val="23"/>
        </w:rPr>
        <w:t xml:space="preserve">该项目建成后预计年产废旧塑料再生颗粒 </w:t>
      </w:r>
      <w:r>
        <w:rPr>
          <w:rFonts w:ascii="Times New Roman" w:hAnsi="Times New Roman" w:eastAsia="Times New Roman" w:cs="Times New Roman"/>
          <w:spacing w:val="6"/>
          <w:sz w:val="23"/>
          <w:szCs w:val="23"/>
        </w:rPr>
        <w:t xml:space="preserve">50000 </w:t>
      </w:r>
      <w:r>
        <w:rPr>
          <w:rFonts w:ascii="宋体" w:hAnsi="宋体" w:eastAsia="宋体" w:cs="宋体"/>
          <w:spacing w:val="6"/>
          <w:sz w:val="23"/>
          <w:szCs w:val="23"/>
        </w:rPr>
        <w:t>吨</w:t>
      </w:r>
      <w:r>
        <w:rPr>
          <w:rFonts w:ascii="宋体" w:hAnsi="宋体" w:eastAsia="宋体" w:cs="宋体"/>
          <w:spacing w:val="1"/>
          <w:sz w:val="23"/>
          <w:szCs w:val="23"/>
        </w:rPr>
        <w:t>。</w:t>
      </w:r>
    </w:p>
    <w:p w14:paraId="7C18AA2E">
      <w:pPr>
        <w:spacing w:before="91" w:line="226" w:lineRule="auto"/>
        <w:ind w:left="62"/>
        <w:outlineLvl w:val="1"/>
        <w:rPr>
          <w:rFonts w:ascii="宋体" w:hAnsi="宋体" w:eastAsia="宋体" w:cs="宋体"/>
          <w:sz w:val="29"/>
          <w:szCs w:val="29"/>
        </w:rPr>
      </w:pPr>
      <w:r>
        <w:rPr>
          <w:rFonts w:ascii="Times New Roman" w:hAnsi="Times New Roman" w:eastAsia="Times New Roman" w:cs="Times New Roman"/>
          <w:b/>
          <w:bCs/>
          <w:spacing w:val="12"/>
          <w:sz w:val="29"/>
          <w:szCs w:val="29"/>
        </w:rPr>
        <w:t>1</w:t>
      </w:r>
      <w:r>
        <w:rPr>
          <w:rFonts w:ascii="Times New Roman" w:hAnsi="Times New Roman" w:eastAsia="Times New Roman" w:cs="Times New Roman"/>
          <w:b/>
          <w:bCs/>
          <w:spacing w:val="7"/>
          <w:sz w:val="29"/>
          <w:szCs w:val="29"/>
        </w:rPr>
        <w:t>0</w:t>
      </w:r>
      <w:r>
        <w:rPr>
          <w:rFonts w:ascii="Times New Roman" w:hAnsi="Times New Roman" w:eastAsia="Times New Roman" w:cs="Times New Roman"/>
          <w:b/>
          <w:bCs/>
          <w:spacing w:val="6"/>
          <w:sz w:val="29"/>
          <w:szCs w:val="29"/>
        </w:rPr>
        <w:t>.1.2</w:t>
      </w:r>
      <w:r>
        <w:rPr>
          <w:rFonts w:ascii="Times New Roman" w:hAnsi="Times New Roman" w:eastAsia="Times New Roman" w:cs="Times New Roman"/>
          <w:spacing w:val="6"/>
          <w:sz w:val="29"/>
          <w:szCs w:val="29"/>
        </w:rPr>
        <w:t xml:space="preserve">  </w:t>
      </w:r>
      <w:r>
        <w:rPr>
          <w:rFonts w:ascii="宋体" w:hAnsi="宋体" w:eastAsia="宋体" w:cs="宋体"/>
          <w:spacing w:val="6"/>
          <w:sz w:val="29"/>
          <w:szCs w:val="29"/>
          <w14:textOutline w14:w="5448" w14:cap="sq" w14:cmpd="sng">
            <w14:solidFill>
              <w14:srgbClr w14:val="000000"/>
            </w14:solidFill>
            <w14:prstDash w14:val="solid"/>
            <w14:bevel/>
          </w14:textOutline>
        </w:rPr>
        <w:t>产业政策符合性结论</w:t>
      </w:r>
    </w:p>
    <w:p w14:paraId="476671D9">
      <w:pPr>
        <w:spacing w:line="249" w:lineRule="auto"/>
        <w:rPr>
          <w:rFonts w:ascii="Arial"/>
          <w:sz w:val="21"/>
        </w:rPr>
      </w:pPr>
    </w:p>
    <w:p w14:paraId="55792D37">
      <w:pPr>
        <w:spacing w:before="75" w:line="386" w:lineRule="auto"/>
        <w:ind w:left="53" w:right="82" w:firstLine="479"/>
        <w:rPr>
          <w:rFonts w:ascii="宋体" w:hAnsi="宋体" w:eastAsia="宋体" w:cs="宋体"/>
          <w:sz w:val="23"/>
          <w:szCs w:val="23"/>
        </w:rPr>
      </w:pPr>
      <w:r>
        <w:rPr>
          <w:rFonts w:ascii="宋体" w:hAnsi="宋体" w:eastAsia="宋体" w:cs="宋体"/>
          <w:spacing w:val="10"/>
          <w:sz w:val="23"/>
          <w:szCs w:val="23"/>
        </w:rPr>
        <w:t>根据《</w:t>
      </w:r>
      <w:r>
        <w:rPr>
          <w:rFonts w:ascii="宋体" w:hAnsi="宋体" w:eastAsia="宋体" w:cs="宋体"/>
          <w:spacing w:val="7"/>
          <w:sz w:val="23"/>
          <w:szCs w:val="23"/>
        </w:rPr>
        <w:t>产</w:t>
      </w:r>
      <w:r>
        <w:rPr>
          <w:rFonts w:ascii="宋体" w:hAnsi="宋体" w:eastAsia="宋体" w:cs="宋体"/>
          <w:spacing w:val="5"/>
          <w:sz w:val="23"/>
          <w:szCs w:val="23"/>
        </w:rPr>
        <w:t>业结构调整指导目录 (</w:t>
      </w:r>
      <w:r>
        <w:rPr>
          <w:rFonts w:ascii="Times New Roman" w:hAnsi="Times New Roman" w:eastAsia="Times New Roman" w:cs="Times New Roman"/>
          <w:spacing w:val="5"/>
          <w:sz w:val="23"/>
          <w:szCs w:val="23"/>
        </w:rPr>
        <w:t xml:space="preserve">2011 </w:t>
      </w:r>
      <w:r>
        <w:rPr>
          <w:rFonts w:ascii="宋体" w:hAnsi="宋体" w:eastAsia="宋体" w:cs="宋体"/>
          <w:spacing w:val="5"/>
          <w:sz w:val="23"/>
          <w:szCs w:val="23"/>
        </w:rPr>
        <w:t>年本，</w:t>
      </w:r>
      <w:r>
        <w:rPr>
          <w:rFonts w:ascii="Times New Roman" w:hAnsi="Times New Roman" w:eastAsia="Times New Roman" w:cs="Times New Roman"/>
          <w:spacing w:val="5"/>
          <w:sz w:val="23"/>
          <w:szCs w:val="23"/>
        </w:rPr>
        <w:t xml:space="preserve">2016 </w:t>
      </w:r>
      <w:r>
        <w:rPr>
          <w:rFonts w:ascii="宋体" w:hAnsi="宋体" w:eastAsia="宋体" w:cs="宋体"/>
          <w:spacing w:val="5"/>
          <w:sz w:val="23"/>
          <w:szCs w:val="23"/>
        </w:rPr>
        <w:t>年修订) 》  (中华人民共</w:t>
      </w:r>
      <w:r>
        <w:rPr>
          <w:rFonts w:ascii="宋体" w:hAnsi="宋体" w:eastAsia="宋体" w:cs="宋体"/>
          <w:sz w:val="23"/>
          <w:szCs w:val="23"/>
        </w:rPr>
        <w:t xml:space="preserve"> </w:t>
      </w:r>
      <w:r>
        <w:rPr>
          <w:rFonts w:ascii="宋体" w:hAnsi="宋体" w:eastAsia="宋体" w:cs="宋体"/>
          <w:spacing w:val="10"/>
          <w:sz w:val="23"/>
          <w:szCs w:val="23"/>
        </w:rPr>
        <w:t>和国国</w:t>
      </w:r>
      <w:r>
        <w:rPr>
          <w:rFonts w:ascii="宋体" w:hAnsi="宋体" w:eastAsia="宋体" w:cs="宋体"/>
          <w:spacing w:val="8"/>
          <w:sz w:val="23"/>
          <w:szCs w:val="23"/>
        </w:rPr>
        <w:t>家</w:t>
      </w:r>
      <w:r>
        <w:rPr>
          <w:rFonts w:ascii="宋体" w:hAnsi="宋体" w:eastAsia="宋体" w:cs="宋体"/>
          <w:spacing w:val="5"/>
          <w:sz w:val="23"/>
          <w:szCs w:val="23"/>
        </w:rPr>
        <w:t xml:space="preserve">发展和改革委员会第 </w:t>
      </w:r>
      <w:r>
        <w:rPr>
          <w:rFonts w:ascii="Times New Roman" w:hAnsi="Times New Roman" w:eastAsia="Times New Roman" w:cs="Times New Roman"/>
          <w:spacing w:val="5"/>
          <w:sz w:val="23"/>
          <w:szCs w:val="23"/>
        </w:rPr>
        <w:t xml:space="preserve">36 </w:t>
      </w:r>
      <w:r>
        <w:rPr>
          <w:rFonts w:ascii="宋体" w:hAnsi="宋体" w:eastAsia="宋体" w:cs="宋体"/>
          <w:spacing w:val="5"/>
          <w:sz w:val="23"/>
          <w:szCs w:val="23"/>
        </w:rPr>
        <w:t>号令，</w:t>
      </w:r>
      <w:r>
        <w:rPr>
          <w:rFonts w:ascii="Times New Roman" w:hAnsi="Times New Roman" w:eastAsia="Times New Roman" w:cs="Times New Roman"/>
          <w:spacing w:val="5"/>
          <w:sz w:val="23"/>
          <w:szCs w:val="23"/>
        </w:rPr>
        <w:t xml:space="preserve">2016 </w:t>
      </w:r>
      <w:r>
        <w:rPr>
          <w:rFonts w:ascii="宋体" w:hAnsi="宋体" w:eastAsia="宋体" w:cs="宋体"/>
          <w:spacing w:val="5"/>
          <w:sz w:val="23"/>
          <w:szCs w:val="23"/>
        </w:rPr>
        <w:t xml:space="preserve">年 </w:t>
      </w:r>
      <w:r>
        <w:rPr>
          <w:rFonts w:ascii="Times New Roman" w:hAnsi="Times New Roman" w:eastAsia="Times New Roman" w:cs="Times New Roman"/>
          <w:spacing w:val="5"/>
          <w:sz w:val="23"/>
          <w:szCs w:val="23"/>
        </w:rPr>
        <w:t xml:space="preserve">3 </w:t>
      </w:r>
      <w:r>
        <w:rPr>
          <w:rFonts w:ascii="宋体" w:hAnsi="宋体" w:eastAsia="宋体" w:cs="宋体"/>
          <w:spacing w:val="5"/>
          <w:sz w:val="23"/>
          <w:szCs w:val="23"/>
        </w:rPr>
        <w:t xml:space="preserve">月 </w:t>
      </w:r>
      <w:r>
        <w:rPr>
          <w:rFonts w:ascii="Times New Roman" w:hAnsi="Times New Roman" w:eastAsia="Times New Roman" w:cs="Times New Roman"/>
          <w:spacing w:val="5"/>
          <w:sz w:val="23"/>
          <w:szCs w:val="23"/>
        </w:rPr>
        <w:t xml:space="preserve">25 </w:t>
      </w:r>
      <w:r>
        <w:rPr>
          <w:rFonts w:ascii="宋体" w:hAnsi="宋体" w:eastAsia="宋体" w:cs="宋体"/>
          <w:spacing w:val="5"/>
          <w:sz w:val="23"/>
          <w:szCs w:val="23"/>
        </w:rPr>
        <w:t>日) 中相关内容，该项</w:t>
      </w:r>
      <w:r>
        <w:rPr>
          <w:rFonts w:ascii="宋体" w:hAnsi="宋体" w:eastAsia="宋体" w:cs="宋体"/>
          <w:sz w:val="23"/>
          <w:szCs w:val="23"/>
        </w:rPr>
        <w:t xml:space="preserve"> </w:t>
      </w:r>
      <w:r>
        <w:rPr>
          <w:rFonts w:ascii="宋体" w:hAnsi="宋体" w:eastAsia="宋体" w:cs="宋体"/>
          <w:spacing w:val="9"/>
          <w:sz w:val="23"/>
          <w:szCs w:val="23"/>
        </w:rPr>
        <w:t>目属于</w:t>
      </w:r>
      <w:r>
        <w:rPr>
          <w:rFonts w:ascii="Times New Roman" w:hAnsi="Times New Roman" w:eastAsia="Times New Roman" w:cs="Times New Roman"/>
          <w:spacing w:val="9"/>
          <w:sz w:val="23"/>
          <w:szCs w:val="23"/>
        </w:rPr>
        <w:t>“</w:t>
      </w:r>
      <w:r>
        <w:rPr>
          <w:rFonts w:ascii="宋体" w:hAnsi="宋体" w:eastAsia="宋体" w:cs="宋体"/>
          <w:spacing w:val="9"/>
          <w:sz w:val="23"/>
          <w:szCs w:val="23"/>
        </w:rPr>
        <w:t>三十八、环境保护与资源节约综合利用产业</w:t>
      </w:r>
      <w:r>
        <w:rPr>
          <w:rFonts w:ascii="Times New Roman" w:hAnsi="Times New Roman" w:eastAsia="Times New Roman" w:cs="Times New Roman"/>
          <w:spacing w:val="9"/>
          <w:sz w:val="23"/>
          <w:szCs w:val="23"/>
        </w:rPr>
        <w:t>”</w:t>
      </w:r>
      <w:r>
        <w:rPr>
          <w:rFonts w:ascii="宋体" w:hAnsi="宋体" w:eastAsia="宋体" w:cs="宋体"/>
          <w:spacing w:val="9"/>
          <w:sz w:val="23"/>
          <w:szCs w:val="23"/>
        </w:rPr>
        <w:t>中的</w:t>
      </w:r>
      <w:r>
        <w:rPr>
          <w:rFonts w:ascii="Times New Roman" w:hAnsi="Times New Roman" w:eastAsia="Times New Roman" w:cs="Times New Roman"/>
          <w:spacing w:val="9"/>
          <w:sz w:val="23"/>
          <w:szCs w:val="23"/>
        </w:rPr>
        <w:t xml:space="preserve">“29 </w:t>
      </w:r>
      <w:r>
        <w:rPr>
          <w:rFonts w:ascii="宋体" w:hAnsi="宋体" w:eastAsia="宋体" w:cs="宋体"/>
          <w:spacing w:val="9"/>
          <w:sz w:val="23"/>
          <w:szCs w:val="23"/>
        </w:rPr>
        <w:t>、废旧电器电子产</w:t>
      </w:r>
      <w:r>
        <w:rPr>
          <w:rFonts w:ascii="宋体" w:hAnsi="宋体" w:eastAsia="宋体" w:cs="宋体"/>
          <w:sz w:val="23"/>
          <w:szCs w:val="23"/>
        </w:rPr>
        <w:t xml:space="preserve"> </w:t>
      </w:r>
      <w:r>
        <w:rPr>
          <w:rFonts w:ascii="宋体" w:hAnsi="宋体" w:eastAsia="宋体" w:cs="宋体"/>
          <w:spacing w:val="10"/>
          <w:sz w:val="23"/>
          <w:szCs w:val="23"/>
        </w:rPr>
        <w:t>品</w:t>
      </w:r>
      <w:r>
        <w:rPr>
          <w:rFonts w:ascii="宋体" w:hAnsi="宋体" w:eastAsia="宋体" w:cs="宋体"/>
          <w:spacing w:val="7"/>
          <w:sz w:val="23"/>
          <w:szCs w:val="23"/>
        </w:rPr>
        <w:t>、废印刷电路板、废旧电池、废旧船舶、废旧农机、废塑料、废橡胶、废弃油</w:t>
      </w:r>
      <w:r>
        <w:rPr>
          <w:rFonts w:ascii="宋体" w:hAnsi="宋体" w:eastAsia="宋体" w:cs="宋体"/>
          <w:sz w:val="23"/>
          <w:szCs w:val="23"/>
        </w:rPr>
        <w:t xml:space="preserve"> </w:t>
      </w:r>
      <w:r>
        <w:rPr>
          <w:rFonts w:ascii="宋体" w:hAnsi="宋体" w:eastAsia="宋体" w:cs="宋体"/>
          <w:spacing w:val="15"/>
          <w:sz w:val="23"/>
          <w:szCs w:val="23"/>
        </w:rPr>
        <w:t>脂</w:t>
      </w:r>
      <w:r>
        <w:rPr>
          <w:rFonts w:ascii="宋体" w:hAnsi="宋体" w:eastAsia="宋体" w:cs="宋体"/>
          <w:spacing w:val="9"/>
          <w:sz w:val="23"/>
          <w:szCs w:val="23"/>
        </w:rPr>
        <w:t>等再生资源循环利用</w:t>
      </w:r>
      <w:r>
        <w:rPr>
          <w:rFonts w:ascii="Times New Roman" w:hAnsi="Times New Roman" w:eastAsia="Times New Roman" w:cs="Times New Roman"/>
          <w:spacing w:val="9"/>
          <w:sz w:val="23"/>
          <w:szCs w:val="23"/>
        </w:rPr>
        <w:t>”</w:t>
      </w:r>
      <w:r>
        <w:rPr>
          <w:rFonts w:ascii="宋体" w:hAnsi="宋体" w:eastAsia="宋体" w:cs="宋体"/>
          <w:spacing w:val="9"/>
          <w:sz w:val="23"/>
          <w:szCs w:val="23"/>
        </w:rPr>
        <w:t>项目，为鼓励类项目，符合国家的相关产业政策。</w:t>
      </w:r>
    </w:p>
    <w:p w14:paraId="40FB679E">
      <w:pPr>
        <w:spacing w:before="134" w:line="388" w:lineRule="auto"/>
        <w:ind w:right="4" w:firstLine="532"/>
        <w:rPr>
          <w:rFonts w:ascii="宋体" w:hAnsi="宋体" w:eastAsia="宋体" w:cs="宋体"/>
          <w:sz w:val="23"/>
          <w:szCs w:val="23"/>
        </w:rPr>
      </w:pPr>
      <w:r>
        <w:rPr>
          <w:rFonts w:ascii="宋体" w:hAnsi="宋体" w:eastAsia="宋体" w:cs="宋体"/>
          <w:spacing w:val="8"/>
          <w:sz w:val="23"/>
          <w:szCs w:val="23"/>
        </w:rPr>
        <w:t>根</w:t>
      </w:r>
      <w:r>
        <w:rPr>
          <w:rFonts w:ascii="宋体" w:hAnsi="宋体" w:eastAsia="宋体" w:cs="宋体"/>
          <w:spacing w:val="7"/>
          <w:sz w:val="23"/>
          <w:szCs w:val="23"/>
        </w:rPr>
        <w:t>据</w:t>
      </w:r>
      <w:r>
        <w:rPr>
          <w:rFonts w:ascii="宋体" w:hAnsi="宋体" w:eastAsia="宋体" w:cs="宋体"/>
          <w:spacing w:val="4"/>
          <w:sz w:val="23"/>
          <w:szCs w:val="23"/>
        </w:rPr>
        <w:t>《辽宁省产业发展指导目录 (</w:t>
      </w:r>
      <w:r>
        <w:rPr>
          <w:rFonts w:ascii="Times New Roman" w:hAnsi="Times New Roman" w:eastAsia="Times New Roman" w:cs="Times New Roman"/>
          <w:spacing w:val="4"/>
          <w:sz w:val="23"/>
          <w:szCs w:val="23"/>
        </w:rPr>
        <w:t xml:space="preserve">2008 </w:t>
      </w:r>
      <w:r>
        <w:rPr>
          <w:rFonts w:ascii="宋体" w:hAnsi="宋体" w:eastAsia="宋体" w:cs="宋体"/>
          <w:spacing w:val="4"/>
          <w:sz w:val="23"/>
          <w:szCs w:val="23"/>
        </w:rPr>
        <w:t>年本) 》 (辽宁省经济委员会，</w:t>
      </w:r>
      <w:r>
        <w:rPr>
          <w:rFonts w:ascii="Times New Roman" w:hAnsi="Times New Roman" w:eastAsia="Times New Roman" w:cs="Times New Roman"/>
          <w:spacing w:val="4"/>
          <w:sz w:val="23"/>
          <w:szCs w:val="23"/>
        </w:rPr>
        <w:t>2008</w:t>
      </w:r>
      <w:r>
        <w:rPr>
          <w:rFonts w:ascii="Times New Roman" w:hAnsi="Times New Roman" w:eastAsia="Times New Roman" w:cs="Times New Roman"/>
          <w:sz w:val="23"/>
          <w:szCs w:val="23"/>
        </w:rPr>
        <w:t xml:space="preserve"> </w:t>
      </w:r>
      <w:r>
        <w:rPr>
          <w:rFonts w:ascii="宋体" w:hAnsi="宋体" w:eastAsia="宋体" w:cs="宋体"/>
          <w:spacing w:val="8"/>
          <w:sz w:val="23"/>
          <w:szCs w:val="23"/>
        </w:rPr>
        <w:t xml:space="preserve">年 </w:t>
      </w:r>
      <w:r>
        <w:rPr>
          <w:rFonts w:ascii="Times New Roman" w:hAnsi="Times New Roman" w:eastAsia="Times New Roman" w:cs="Times New Roman"/>
          <w:spacing w:val="8"/>
          <w:sz w:val="23"/>
          <w:szCs w:val="23"/>
        </w:rPr>
        <w:t>1</w:t>
      </w:r>
      <w:r>
        <w:rPr>
          <w:rFonts w:ascii="Times New Roman" w:hAnsi="Times New Roman" w:eastAsia="Times New Roman" w:cs="Times New Roman"/>
          <w:spacing w:val="4"/>
          <w:sz w:val="23"/>
          <w:szCs w:val="23"/>
        </w:rPr>
        <w:t xml:space="preserve">2 </w:t>
      </w:r>
      <w:r>
        <w:rPr>
          <w:rFonts w:ascii="宋体" w:hAnsi="宋体" w:eastAsia="宋体" w:cs="宋体"/>
          <w:spacing w:val="4"/>
          <w:sz w:val="23"/>
          <w:szCs w:val="23"/>
        </w:rPr>
        <w:t xml:space="preserve">月 </w:t>
      </w:r>
      <w:r>
        <w:rPr>
          <w:rFonts w:ascii="Times New Roman" w:hAnsi="Times New Roman" w:eastAsia="Times New Roman" w:cs="Times New Roman"/>
          <w:spacing w:val="4"/>
          <w:sz w:val="23"/>
          <w:szCs w:val="23"/>
        </w:rPr>
        <w:t xml:space="preserve">18 </w:t>
      </w:r>
      <w:r>
        <w:rPr>
          <w:rFonts w:ascii="宋体" w:hAnsi="宋体" w:eastAsia="宋体" w:cs="宋体"/>
          <w:spacing w:val="4"/>
          <w:sz w:val="23"/>
          <w:szCs w:val="23"/>
        </w:rPr>
        <w:t>日) ，该项目属于</w:t>
      </w:r>
      <w:r>
        <w:rPr>
          <w:rFonts w:ascii="Times New Roman" w:hAnsi="Times New Roman" w:eastAsia="Times New Roman" w:cs="Times New Roman"/>
          <w:spacing w:val="4"/>
          <w:sz w:val="23"/>
          <w:szCs w:val="23"/>
        </w:rPr>
        <w:t>“</w:t>
      </w:r>
      <w:r>
        <w:rPr>
          <w:rFonts w:ascii="宋体" w:hAnsi="宋体" w:eastAsia="宋体" w:cs="宋体"/>
          <w:spacing w:val="4"/>
          <w:sz w:val="23"/>
          <w:szCs w:val="23"/>
        </w:rPr>
        <w:t>第十二类环境保护与资源节约综合利用</w:t>
      </w:r>
      <w:r>
        <w:rPr>
          <w:rFonts w:ascii="Times New Roman" w:hAnsi="Times New Roman" w:eastAsia="Times New Roman" w:cs="Times New Roman"/>
          <w:spacing w:val="4"/>
          <w:sz w:val="23"/>
          <w:szCs w:val="23"/>
        </w:rPr>
        <w:t>”</w:t>
      </w:r>
      <w:r>
        <w:rPr>
          <w:rFonts w:ascii="宋体" w:hAnsi="宋体" w:eastAsia="宋体" w:cs="宋体"/>
          <w:spacing w:val="4"/>
          <w:sz w:val="23"/>
          <w:szCs w:val="23"/>
        </w:rPr>
        <w:t>中的</w:t>
      </w:r>
      <w:r>
        <w:rPr>
          <w:rFonts w:ascii="Times New Roman" w:hAnsi="Times New Roman" w:eastAsia="Times New Roman" w:cs="Times New Roman"/>
          <w:spacing w:val="4"/>
          <w:sz w:val="23"/>
          <w:szCs w:val="23"/>
        </w:rPr>
        <w:t>“32</w:t>
      </w:r>
      <w:r>
        <w:rPr>
          <w:rFonts w:ascii="宋体" w:hAnsi="宋体" w:eastAsia="宋体" w:cs="宋体"/>
          <w:spacing w:val="4"/>
          <w:sz w:val="23"/>
          <w:szCs w:val="23"/>
        </w:rPr>
        <w:t>、</w:t>
      </w:r>
      <w:r>
        <w:rPr>
          <w:rFonts w:ascii="宋体" w:hAnsi="宋体" w:eastAsia="宋体" w:cs="宋体"/>
          <w:sz w:val="23"/>
          <w:szCs w:val="23"/>
        </w:rPr>
        <w:t xml:space="preserve"> </w:t>
      </w:r>
      <w:r>
        <w:rPr>
          <w:rFonts w:ascii="Times New Roman" w:hAnsi="Times New Roman" w:eastAsia="Times New Roman" w:cs="Times New Roman"/>
          <w:spacing w:val="20"/>
          <w:sz w:val="23"/>
          <w:szCs w:val="23"/>
        </w:rPr>
        <w:t>“</w:t>
      </w:r>
      <w:r>
        <w:rPr>
          <w:rFonts w:ascii="宋体" w:hAnsi="宋体" w:eastAsia="宋体" w:cs="宋体"/>
          <w:spacing w:val="16"/>
          <w:sz w:val="23"/>
          <w:szCs w:val="23"/>
        </w:rPr>
        <w:t>三</w:t>
      </w:r>
      <w:r>
        <w:rPr>
          <w:rFonts w:ascii="宋体" w:hAnsi="宋体" w:eastAsia="宋体" w:cs="宋体"/>
          <w:spacing w:val="10"/>
          <w:sz w:val="23"/>
          <w:szCs w:val="23"/>
        </w:rPr>
        <w:t>废</w:t>
      </w:r>
      <w:r>
        <w:rPr>
          <w:rFonts w:ascii="Times New Roman" w:hAnsi="Times New Roman" w:eastAsia="Times New Roman" w:cs="Times New Roman"/>
          <w:spacing w:val="10"/>
          <w:sz w:val="23"/>
          <w:szCs w:val="23"/>
        </w:rPr>
        <w:t>”</w:t>
      </w:r>
      <w:r>
        <w:rPr>
          <w:rFonts w:ascii="宋体" w:hAnsi="宋体" w:eastAsia="宋体" w:cs="宋体"/>
          <w:spacing w:val="10"/>
          <w:sz w:val="23"/>
          <w:szCs w:val="23"/>
        </w:rPr>
        <w:t>综合利用及治理工程</w:t>
      </w:r>
      <w:r>
        <w:rPr>
          <w:rFonts w:ascii="Times New Roman" w:hAnsi="Times New Roman" w:eastAsia="Times New Roman" w:cs="Times New Roman"/>
          <w:spacing w:val="10"/>
          <w:sz w:val="23"/>
          <w:szCs w:val="23"/>
        </w:rPr>
        <w:t>”</w:t>
      </w:r>
      <w:r>
        <w:rPr>
          <w:rFonts w:ascii="宋体" w:hAnsi="宋体" w:eastAsia="宋体" w:cs="宋体"/>
          <w:spacing w:val="10"/>
          <w:sz w:val="23"/>
          <w:szCs w:val="23"/>
        </w:rPr>
        <w:t>项目，为鼓励类项目，符合辽宁省产业政策。</w:t>
      </w:r>
    </w:p>
    <w:p w14:paraId="603737D3">
      <w:pPr>
        <w:spacing w:before="138" w:line="393" w:lineRule="auto"/>
        <w:ind w:left="50" w:right="85" w:firstLine="482"/>
        <w:rPr>
          <w:rFonts w:ascii="宋体" w:hAnsi="宋体" w:eastAsia="宋体" w:cs="宋体"/>
          <w:sz w:val="23"/>
          <w:szCs w:val="23"/>
        </w:rPr>
      </w:pPr>
      <w:r>
        <w:rPr>
          <w:rFonts w:ascii="宋体" w:hAnsi="宋体" w:eastAsia="宋体" w:cs="宋体"/>
          <w:spacing w:val="13"/>
          <w:sz w:val="23"/>
          <w:szCs w:val="23"/>
        </w:rPr>
        <w:t>本</w:t>
      </w:r>
      <w:r>
        <w:rPr>
          <w:rFonts w:ascii="宋体" w:hAnsi="宋体" w:eastAsia="宋体" w:cs="宋体"/>
          <w:spacing w:val="11"/>
          <w:sz w:val="23"/>
          <w:szCs w:val="23"/>
        </w:rPr>
        <w:t>溪市溪湖区发展和改革局以溪发改备【</w:t>
      </w:r>
      <w:r>
        <w:rPr>
          <w:rFonts w:ascii="Times New Roman" w:hAnsi="Times New Roman" w:eastAsia="Times New Roman" w:cs="Times New Roman"/>
          <w:spacing w:val="11"/>
          <w:sz w:val="23"/>
          <w:szCs w:val="23"/>
        </w:rPr>
        <w:t>2019</w:t>
      </w:r>
      <w:r>
        <w:rPr>
          <w:rFonts w:ascii="宋体" w:hAnsi="宋体" w:eastAsia="宋体" w:cs="宋体"/>
          <w:spacing w:val="11"/>
          <w:sz w:val="23"/>
          <w:szCs w:val="23"/>
        </w:rPr>
        <w:t>】</w:t>
      </w:r>
      <w:r>
        <w:rPr>
          <w:rFonts w:ascii="Times New Roman" w:hAnsi="Times New Roman" w:eastAsia="Times New Roman" w:cs="Times New Roman"/>
          <w:spacing w:val="11"/>
          <w:sz w:val="23"/>
          <w:szCs w:val="23"/>
        </w:rPr>
        <w:t xml:space="preserve">42 </w:t>
      </w:r>
      <w:r>
        <w:rPr>
          <w:rFonts w:ascii="宋体" w:hAnsi="宋体" w:eastAsia="宋体" w:cs="宋体"/>
          <w:spacing w:val="11"/>
          <w:sz w:val="23"/>
          <w:szCs w:val="23"/>
        </w:rPr>
        <w:t>号文件对该项目的建设</w:t>
      </w:r>
      <w:r>
        <w:rPr>
          <w:rFonts w:ascii="宋体" w:hAnsi="宋体" w:eastAsia="宋体" w:cs="宋体"/>
          <w:sz w:val="23"/>
          <w:szCs w:val="23"/>
        </w:rPr>
        <w:t xml:space="preserve"> </w:t>
      </w:r>
      <w:r>
        <w:rPr>
          <w:rFonts w:ascii="宋体" w:hAnsi="宋体" w:eastAsia="宋体" w:cs="宋体"/>
          <w:spacing w:val="8"/>
          <w:sz w:val="23"/>
          <w:szCs w:val="23"/>
        </w:rPr>
        <w:t>进</w:t>
      </w:r>
      <w:r>
        <w:rPr>
          <w:rFonts w:ascii="宋体" w:hAnsi="宋体" w:eastAsia="宋体" w:cs="宋体"/>
          <w:spacing w:val="7"/>
          <w:sz w:val="23"/>
          <w:szCs w:val="23"/>
        </w:rPr>
        <w:t>行</w:t>
      </w:r>
      <w:r>
        <w:rPr>
          <w:rFonts w:ascii="宋体" w:hAnsi="宋体" w:eastAsia="宋体" w:cs="宋体"/>
          <w:spacing w:val="4"/>
          <w:sz w:val="23"/>
          <w:szCs w:val="23"/>
        </w:rPr>
        <w:t xml:space="preserve">了备案确认 (文件见附件 </w:t>
      </w:r>
      <w:r>
        <w:rPr>
          <w:rFonts w:ascii="Times New Roman" w:hAnsi="Times New Roman" w:eastAsia="Times New Roman" w:cs="Times New Roman"/>
          <w:spacing w:val="4"/>
          <w:sz w:val="23"/>
          <w:szCs w:val="23"/>
        </w:rPr>
        <w:t>4</w:t>
      </w:r>
      <w:r>
        <w:rPr>
          <w:rFonts w:ascii="宋体" w:hAnsi="宋体" w:eastAsia="宋体" w:cs="宋体"/>
          <w:spacing w:val="4"/>
          <w:sz w:val="23"/>
          <w:szCs w:val="23"/>
        </w:rPr>
        <w:t>) 。</w:t>
      </w:r>
    </w:p>
    <w:p w14:paraId="4222ADA1">
      <w:pPr>
        <w:sectPr>
          <w:headerReference r:id="rId333" w:type="default"/>
          <w:footerReference r:id="rId334" w:type="default"/>
          <w:pgSz w:w="11906" w:h="16839"/>
          <w:pgMar w:top="1132" w:right="1714" w:bottom="1182" w:left="1756" w:header="878" w:footer="1022" w:gutter="0"/>
          <w:cols w:space="720" w:num="1"/>
        </w:sectPr>
      </w:pPr>
    </w:p>
    <w:p w14:paraId="683FE219">
      <w:pPr>
        <w:spacing w:line="338" w:lineRule="auto"/>
        <w:rPr>
          <w:rFonts w:ascii="Arial"/>
          <w:sz w:val="21"/>
        </w:rPr>
      </w:pPr>
      <w:r>
        <w:pict>
          <v:shape id="_x0000_s1387" o:spid="_x0000_s1387" style="position:absolute;left:0pt;margin-left:90pt;margin-top:57.35pt;height:0.75pt;width:415.3pt;mso-position-horizontal-relative:page;mso-position-vertical-relative:page;z-index:252083200;mso-width-relative:page;mso-height-relative:page;" fillcolor="#000000" filled="t" stroked="f" coordsize="8305,15" o:allowincell="f" path="m0,0l8305,0,8305,14,0,14,0,0xe">
            <v:path/>
            <v:fill on="t" focussize="0,0"/>
            <v:stroke on="f"/>
            <v:imagedata o:title=""/>
            <o:lock v:ext="edit"/>
          </v:shape>
        </w:pict>
      </w:r>
    </w:p>
    <w:p w14:paraId="7F10F419">
      <w:pPr>
        <w:spacing w:before="94" w:line="225" w:lineRule="auto"/>
        <w:ind w:left="33"/>
        <w:outlineLvl w:val="2"/>
        <w:rPr>
          <w:rFonts w:ascii="宋体" w:hAnsi="宋体" w:eastAsia="宋体" w:cs="宋体"/>
          <w:sz w:val="29"/>
          <w:szCs w:val="29"/>
        </w:rPr>
      </w:pPr>
      <w:r>
        <w:rPr>
          <w:rFonts w:ascii="Times New Roman" w:hAnsi="Times New Roman" w:eastAsia="Times New Roman" w:cs="Times New Roman"/>
          <w:b/>
          <w:bCs/>
          <w:spacing w:val="7"/>
          <w:sz w:val="29"/>
          <w:szCs w:val="29"/>
        </w:rPr>
        <w:t>1</w:t>
      </w:r>
      <w:r>
        <w:rPr>
          <w:rFonts w:ascii="Times New Roman" w:hAnsi="Times New Roman" w:eastAsia="Times New Roman" w:cs="Times New Roman"/>
          <w:b/>
          <w:bCs/>
          <w:spacing w:val="6"/>
          <w:sz w:val="29"/>
          <w:szCs w:val="29"/>
        </w:rPr>
        <w:t>0.1.3</w:t>
      </w:r>
      <w:r>
        <w:rPr>
          <w:rFonts w:ascii="Times New Roman" w:hAnsi="Times New Roman" w:eastAsia="Times New Roman" w:cs="Times New Roman"/>
          <w:spacing w:val="6"/>
          <w:sz w:val="29"/>
          <w:szCs w:val="29"/>
        </w:rPr>
        <w:t xml:space="preserve">  </w:t>
      </w:r>
      <w:r>
        <w:rPr>
          <w:rFonts w:ascii="宋体" w:hAnsi="宋体" w:eastAsia="宋体" w:cs="宋体"/>
          <w:spacing w:val="6"/>
          <w:sz w:val="29"/>
          <w:szCs w:val="29"/>
          <w14:textOutline w14:w="5448" w14:cap="sq" w14:cmpd="sng">
            <w14:solidFill>
              <w14:srgbClr w14:val="000000"/>
            </w14:solidFill>
            <w14:prstDash w14:val="solid"/>
            <w14:bevel/>
          </w14:textOutline>
        </w:rPr>
        <w:t>公众参与采纳情况</w:t>
      </w:r>
    </w:p>
    <w:p w14:paraId="7E2D9EF6">
      <w:pPr>
        <w:spacing w:line="258" w:lineRule="auto"/>
        <w:rPr>
          <w:rFonts w:ascii="Arial"/>
          <w:sz w:val="21"/>
        </w:rPr>
      </w:pPr>
    </w:p>
    <w:p w14:paraId="2D383C45">
      <w:pPr>
        <w:spacing w:before="75" w:line="391" w:lineRule="auto"/>
        <w:ind w:left="25" w:right="105" w:firstLine="478"/>
        <w:rPr>
          <w:rFonts w:ascii="宋体" w:hAnsi="宋体" w:eastAsia="宋体" w:cs="宋体"/>
          <w:sz w:val="23"/>
          <w:szCs w:val="23"/>
        </w:rPr>
      </w:pPr>
      <w:r>
        <w:rPr>
          <w:rFonts w:ascii="宋体" w:hAnsi="宋体" w:eastAsia="宋体" w:cs="宋体"/>
          <w:spacing w:val="7"/>
          <w:sz w:val="23"/>
          <w:szCs w:val="23"/>
        </w:rPr>
        <w:t>通过企业进行的环评公示及公众参与问卷调查整理分析可以看出，项目地</w:t>
      </w:r>
      <w:r>
        <w:rPr>
          <w:rFonts w:ascii="宋体" w:hAnsi="宋体" w:eastAsia="宋体" w:cs="宋体"/>
          <w:spacing w:val="3"/>
          <w:sz w:val="23"/>
          <w:szCs w:val="23"/>
        </w:rPr>
        <w:t>区</w:t>
      </w:r>
      <w:r>
        <w:rPr>
          <w:rFonts w:ascii="宋体" w:hAnsi="宋体" w:eastAsia="宋体" w:cs="宋体"/>
          <w:sz w:val="23"/>
          <w:szCs w:val="23"/>
        </w:rPr>
        <w:t xml:space="preserve"> </w:t>
      </w:r>
      <w:r>
        <w:rPr>
          <w:rFonts w:ascii="宋体" w:hAnsi="宋体" w:eastAsia="宋体" w:cs="宋体"/>
          <w:spacing w:val="7"/>
          <w:sz w:val="23"/>
          <w:szCs w:val="23"/>
        </w:rPr>
        <w:t>公众对项目的总体意见是大力支持的，他们认为该项目建设可以推动当地经济发</w:t>
      </w:r>
      <w:r>
        <w:rPr>
          <w:rFonts w:ascii="宋体" w:hAnsi="宋体" w:eastAsia="宋体" w:cs="宋体"/>
          <w:sz w:val="23"/>
          <w:szCs w:val="23"/>
        </w:rPr>
        <w:t xml:space="preserve"> </w:t>
      </w:r>
      <w:r>
        <w:rPr>
          <w:rFonts w:ascii="宋体" w:hAnsi="宋体" w:eastAsia="宋体" w:cs="宋体"/>
          <w:spacing w:val="12"/>
          <w:sz w:val="23"/>
          <w:szCs w:val="23"/>
        </w:rPr>
        <w:t>展</w:t>
      </w:r>
      <w:r>
        <w:rPr>
          <w:rFonts w:ascii="宋体" w:hAnsi="宋体" w:eastAsia="宋体" w:cs="宋体"/>
          <w:spacing w:val="7"/>
          <w:sz w:val="23"/>
          <w:szCs w:val="23"/>
        </w:rPr>
        <w:t>，提供就业机会。</w:t>
      </w:r>
    </w:p>
    <w:p w14:paraId="1C05F4BF">
      <w:pPr>
        <w:spacing w:before="134" w:line="227" w:lineRule="auto"/>
        <w:ind w:left="506"/>
        <w:rPr>
          <w:rFonts w:ascii="宋体" w:hAnsi="宋体" w:eastAsia="宋体" w:cs="宋体"/>
          <w:sz w:val="23"/>
          <w:szCs w:val="23"/>
        </w:rPr>
      </w:pPr>
      <w:r>
        <w:rPr>
          <w:rFonts w:ascii="宋体" w:hAnsi="宋体" w:eastAsia="宋体" w:cs="宋体"/>
          <w:spacing w:val="9"/>
          <w:sz w:val="23"/>
          <w:szCs w:val="23"/>
        </w:rPr>
        <w:t>从总体上看，公众对该项目的建设是持肯定意见的。</w:t>
      </w:r>
    </w:p>
    <w:p w14:paraId="147B71D8">
      <w:pPr>
        <w:spacing w:before="301" w:line="226" w:lineRule="auto"/>
        <w:ind w:left="33"/>
        <w:outlineLvl w:val="2"/>
        <w:rPr>
          <w:rFonts w:ascii="宋体" w:hAnsi="宋体" w:eastAsia="宋体" w:cs="宋体"/>
          <w:sz w:val="29"/>
          <w:szCs w:val="29"/>
        </w:rPr>
      </w:pPr>
      <w:r>
        <w:rPr>
          <w:rFonts w:ascii="Times New Roman" w:hAnsi="Times New Roman" w:eastAsia="Times New Roman" w:cs="Times New Roman"/>
          <w:b/>
          <w:bCs/>
          <w:spacing w:val="12"/>
          <w:sz w:val="29"/>
          <w:szCs w:val="29"/>
        </w:rPr>
        <w:t>1</w:t>
      </w:r>
      <w:r>
        <w:rPr>
          <w:rFonts w:ascii="Times New Roman" w:hAnsi="Times New Roman" w:eastAsia="Times New Roman" w:cs="Times New Roman"/>
          <w:b/>
          <w:bCs/>
          <w:spacing w:val="7"/>
          <w:sz w:val="29"/>
          <w:szCs w:val="29"/>
        </w:rPr>
        <w:t>0</w:t>
      </w:r>
      <w:r>
        <w:rPr>
          <w:rFonts w:ascii="Times New Roman" w:hAnsi="Times New Roman" w:eastAsia="Times New Roman" w:cs="Times New Roman"/>
          <w:b/>
          <w:bCs/>
          <w:spacing w:val="6"/>
          <w:sz w:val="29"/>
          <w:szCs w:val="29"/>
        </w:rPr>
        <w:t>.1.4</w:t>
      </w:r>
      <w:r>
        <w:rPr>
          <w:rFonts w:ascii="Times New Roman" w:hAnsi="Times New Roman" w:eastAsia="Times New Roman" w:cs="Times New Roman"/>
          <w:spacing w:val="6"/>
          <w:sz w:val="29"/>
          <w:szCs w:val="29"/>
        </w:rPr>
        <w:t xml:space="preserve">  </w:t>
      </w:r>
      <w:r>
        <w:rPr>
          <w:rFonts w:ascii="宋体" w:hAnsi="宋体" w:eastAsia="宋体" w:cs="宋体"/>
          <w:spacing w:val="6"/>
          <w:sz w:val="29"/>
          <w:szCs w:val="29"/>
          <w14:textOutline w14:w="5448" w14:cap="sq" w14:cmpd="sng">
            <w14:solidFill>
              <w14:srgbClr w14:val="000000"/>
            </w14:solidFill>
            <w14:prstDash w14:val="solid"/>
            <w14:bevel/>
          </w14:textOutline>
        </w:rPr>
        <w:t>厂址选择合理性结论</w:t>
      </w:r>
    </w:p>
    <w:p w14:paraId="14A4DF7B">
      <w:pPr>
        <w:spacing w:line="256" w:lineRule="auto"/>
        <w:rPr>
          <w:rFonts w:ascii="Arial"/>
          <w:sz w:val="21"/>
        </w:rPr>
      </w:pPr>
    </w:p>
    <w:p w14:paraId="3DB810A9">
      <w:pPr>
        <w:spacing w:before="75" w:line="390" w:lineRule="auto"/>
        <w:ind w:left="24" w:right="105" w:firstLine="482"/>
        <w:rPr>
          <w:rFonts w:ascii="宋体" w:hAnsi="宋体" w:eastAsia="宋体" w:cs="宋体"/>
          <w:sz w:val="23"/>
          <w:szCs w:val="23"/>
        </w:rPr>
      </w:pPr>
      <w:r>
        <w:rPr>
          <w:rFonts w:ascii="宋体" w:hAnsi="宋体" w:eastAsia="宋体" w:cs="宋体"/>
          <w:spacing w:val="12"/>
          <w:sz w:val="23"/>
          <w:szCs w:val="23"/>
        </w:rPr>
        <w:t>该项目选</w:t>
      </w:r>
      <w:r>
        <w:rPr>
          <w:rFonts w:ascii="宋体" w:hAnsi="宋体" w:eastAsia="宋体" w:cs="宋体"/>
          <w:spacing w:val="7"/>
          <w:sz w:val="23"/>
          <w:szCs w:val="23"/>
        </w:rPr>
        <w:t>址</w:t>
      </w:r>
      <w:r>
        <w:rPr>
          <w:rFonts w:ascii="宋体" w:hAnsi="宋体" w:eastAsia="宋体" w:cs="宋体"/>
          <w:spacing w:val="6"/>
          <w:sz w:val="23"/>
          <w:szCs w:val="23"/>
        </w:rPr>
        <w:t>用地不涉及自然保护区、风景名胜区、饮用水源保护区和其他需</w:t>
      </w:r>
      <w:r>
        <w:rPr>
          <w:rFonts w:ascii="宋体" w:hAnsi="宋体" w:eastAsia="宋体" w:cs="宋体"/>
          <w:sz w:val="23"/>
          <w:szCs w:val="23"/>
        </w:rPr>
        <w:t xml:space="preserve"> </w:t>
      </w:r>
      <w:r>
        <w:rPr>
          <w:rFonts w:ascii="宋体" w:hAnsi="宋体" w:eastAsia="宋体" w:cs="宋体"/>
          <w:spacing w:val="7"/>
          <w:sz w:val="23"/>
          <w:szCs w:val="23"/>
        </w:rPr>
        <w:t>要特殊保护的区域。根据本溪市溪湖区火连寨镇火连寨村村委会出具的证明 (</w:t>
      </w:r>
      <w:r>
        <w:rPr>
          <w:rFonts w:ascii="宋体" w:hAnsi="宋体" w:eastAsia="宋体" w:cs="宋体"/>
          <w:spacing w:val="1"/>
          <w:sz w:val="23"/>
          <w:szCs w:val="23"/>
        </w:rPr>
        <w:t>见</w:t>
      </w:r>
      <w:r>
        <w:rPr>
          <w:rFonts w:ascii="宋体" w:hAnsi="宋体" w:eastAsia="宋体" w:cs="宋体"/>
          <w:sz w:val="23"/>
          <w:szCs w:val="23"/>
        </w:rPr>
        <w:t xml:space="preserve"> </w:t>
      </w:r>
      <w:r>
        <w:rPr>
          <w:rFonts w:ascii="宋体" w:hAnsi="宋体" w:eastAsia="宋体" w:cs="宋体"/>
          <w:spacing w:val="11"/>
          <w:sz w:val="23"/>
          <w:szCs w:val="23"/>
        </w:rPr>
        <w:t>附件</w:t>
      </w:r>
      <w:r>
        <w:rPr>
          <w:rFonts w:ascii="Times New Roman" w:hAnsi="Times New Roman" w:eastAsia="Times New Roman" w:cs="Times New Roman"/>
          <w:spacing w:val="11"/>
          <w:sz w:val="23"/>
          <w:szCs w:val="23"/>
        </w:rPr>
        <w:t>6</w:t>
      </w:r>
      <w:r>
        <w:rPr>
          <w:rFonts w:ascii="宋体" w:hAnsi="宋体" w:eastAsia="宋体" w:cs="宋体"/>
          <w:spacing w:val="11"/>
          <w:sz w:val="23"/>
          <w:szCs w:val="23"/>
        </w:rPr>
        <w:t>) ，该地块现用地性质属于工业用地，符合当地规划要求</w:t>
      </w:r>
      <w:r>
        <w:rPr>
          <w:rFonts w:ascii="宋体" w:hAnsi="宋体" w:eastAsia="宋体" w:cs="宋体"/>
          <w:spacing w:val="5"/>
          <w:sz w:val="23"/>
          <w:szCs w:val="23"/>
        </w:rPr>
        <w:t>。</w:t>
      </w:r>
    </w:p>
    <w:p w14:paraId="469AB645">
      <w:pPr>
        <w:spacing w:before="136" w:line="391" w:lineRule="auto"/>
        <w:ind w:left="27" w:right="51" w:firstLine="480"/>
        <w:rPr>
          <w:rFonts w:ascii="宋体" w:hAnsi="宋体" w:eastAsia="宋体" w:cs="宋体"/>
          <w:sz w:val="23"/>
          <w:szCs w:val="23"/>
        </w:rPr>
      </w:pPr>
      <w:r>
        <w:rPr>
          <w:rFonts w:ascii="宋体" w:hAnsi="宋体" w:eastAsia="宋体" w:cs="宋体"/>
          <w:spacing w:val="16"/>
          <w:sz w:val="23"/>
          <w:szCs w:val="23"/>
        </w:rPr>
        <w:t>项</w:t>
      </w:r>
      <w:r>
        <w:rPr>
          <w:rFonts w:ascii="宋体" w:hAnsi="宋体" w:eastAsia="宋体" w:cs="宋体"/>
          <w:spacing w:val="13"/>
          <w:sz w:val="23"/>
          <w:szCs w:val="23"/>
        </w:rPr>
        <w:t>目</w:t>
      </w:r>
      <w:r>
        <w:rPr>
          <w:rFonts w:ascii="宋体" w:hAnsi="宋体" w:eastAsia="宋体" w:cs="宋体"/>
          <w:spacing w:val="8"/>
          <w:sz w:val="23"/>
          <w:szCs w:val="23"/>
        </w:rPr>
        <w:t>选址综合考虑了场地地形、地势、水源、当地气候条件、原材料供应、</w:t>
      </w:r>
      <w:r>
        <w:rPr>
          <w:rFonts w:ascii="宋体" w:hAnsi="宋体" w:eastAsia="宋体" w:cs="宋体"/>
          <w:sz w:val="23"/>
          <w:szCs w:val="23"/>
        </w:rPr>
        <w:t xml:space="preserve"> </w:t>
      </w:r>
      <w:r>
        <w:rPr>
          <w:rFonts w:ascii="宋体" w:hAnsi="宋体" w:eastAsia="宋体" w:cs="宋体"/>
          <w:spacing w:val="7"/>
          <w:sz w:val="23"/>
          <w:szCs w:val="23"/>
        </w:rPr>
        <w:t>交通运输及与周围居民点的距离，满足卫生防护距离要求，通过以上分析，拟</w:t>
      </w:r>
      <w:r>
        <w:rPr>
          <w:rFonts w:ascii="宋体" w:hAnsi="宋体" w:eastAsia="宋体" w:cs="宋体"/>
          <w:spacing w:val="5"/>
          <w:sz w:val="23"/>
          <w:szCs w:val="23"/>
        </w:rPr>
        <w:t>建</w:t>
      </w:r>
      <w:r>
        <w:rPr>
          <w:rFonts w:ascii="宋体" w:hAnsi="宋体" w:eastAsia="宋体" w:cs="宋体"/>
          <w:sz w:val="23"/>
          <w:szCs w:val="23"/>
        </w:rPr>
        <w:t xml:space="preserve"> </w:t>
      </w:r>
      <w:r>
        <w:rPr>
          <w:rFonts w:ascii="宋体" w:hAnsi="宋体" w:eastAsia="宋体" w:cs="宋体"/>
          <w:spacing w:val="10"/>
          <w:sz w:val="23"/>
          <w:szCs w:val="23"/>
        </w:rPr>
        <w:t>项</w:t>
      </w:r>
      <w:r>
        <w:rPr>
          <w:rFonts w:ascii="宋体" w:hAnsi="宋体" w:eastAsia="宋体" w:cs="宋体"/>
          <w:spacing w:val="7"/>
          <w:sz w:val="23"/>
          <w:szCs w:val="23"/>
        </w:rPr>
        <w:t>目选址是合理的。</w:t>
      </w:r>
    </w:p>
    <w:p w14:paraId="748DA47B">
      <w:pPr>
        <w:spacing w:before="85" w:line="224" w:lineRule="auto"/>
        <w:ind w:left="33"/>
        <w:outlineLvl w:val="2"/>
        <w:rPr>
          <w:rFonts w:ascii="宋体" w:hAnsi="宋体" w:eastAsia="宋体" w:cs="宋体"/>
          <w:sz w:val="29"/>
          <w:szCs w:val="29"/>
        </w:rPr>
      </w:pPr>
      <w:r>
        <w:rPr>
          <w:rFonts w:ascii="Times New Roman" w:hAnsi="Times New Roman" w:eastAsia="Times New Roman" w:cs="Times New Roman"/>
          <w:b/>
          <w:bCs/>
          <w:spacing w:val="12"/>
          <w:sz w:val="29"/>
          <w:szCs w:val="29"/>
        </w:rPr>
        <w:t>1</w:t>
      </w:r>
      <w:r>
        <w:rPr>
          <w:rFonts w:ascii="Times New Roman" w:hAnsi="Times New Roman" w:eastAsia="Times New Roman" w:cs="Times New Roman"/>
          <w:b/>
          <w:bCs/>
          <w:spacing w:val="11"/>
          <w:sz w:val="29"/>
          <w:szCs w:val="29"/>
        </w:rPr>
        <w:t>0</w:t>
      </w:r>
      <w:r>
        <w:rPr>
          <w:rFonts w:ascii="Times New Roman" w:hAnsi="Times New Roman" w:eastAsia="Times New Roman" w:cs="Times New Roman"/>
          <w:b/>
          <w:bCs/>
          <w:spacing w:val="6"/>
          <w:sz w:val="29"/>
          <w:szCs w:val="29"/>
        </w:rPr>
        <w:t>.1.5</w:t>
      </w:r>
      <w:r>
        <w:rPr>
          <w:rFonts w:ascii="Times New Roman" w:hAnsi="Times New Roman" w:eastAsia="Times New Roman" w:cs="Times New Roman"/>
          <w:spacing w:val="6"/>
          <w:sz w:val="29"/>
          <w:szCs w:val="29"/>
        </w:rPr>
        <w:t xml:space="preserve">  </w:t>
      </w:r>
      <w:r>
        <w:rPr>
          <w:rFonts w:ascii="宋体" w:hAnsi="宋体" w:eastAsia="宋体" w:cs="宋体"/>
          <w:spacing w:val="6"/>
          <w:sz w:val="29"/>
          <w:szCs w:val="29"/>
          <w14:textOutline w14:w="5448" w14:cap="sq" w14:cmpd="sng">
            <w14:solidFill>
              <w14:srgbClr w14:val="000000"/>
            </w14:solidFill>
            <w14:prstDash w14:val="solid"/>
            <w14:bevel/>
          </w14:textOutline>
        </w:rPr>
        <w:t>环境质量现状评价结论</w:t>
      </w:r>
    </w:p>
    <w:p w14:paraId="102B7B62">
      <w:pPr>
        <w:spacing w:before="299" w:line="219" w:lineRule="auto"/>
        <w:ind w:left="32"/>
        <w:rPr>
          <w:rFonts w:ascii="宋体" w:hAnsi="宋体" w:eastAsia="宋体" w:cs="宋体"/>
          <w:sz w:val="28"/>
          <w:szCs w:val="28"/>
        </w:rPr>
      </w:pPr>
      <w:r>
        <w:rPr>
          <w:rFonts w:ascii="Times New Roman" w:hAnsi="Times New Roman" w:eastAsia="Times New Roman" w:cs="Times New Roman"/>
          <w:b/>
          <w:bCs/>
          <w:spacing w:val="-1"/>
          <w:sz w:val="28"/>
          <w:szCs w:val="28"/>
        </w:rPr>
        <w:t>10.1.5.1</w:t>
      </w:r>
      <w:r>
        <w:rPr>
          <w:rFonts w:ascii="Times New Roman" w:hAnsi="Times New Roman" w:eastAsia="Times New Roman" w:cs="Times New Roman"/>
          <w:spacing w:val="-1"/>
          <w:sz w:val="28"/>
          <w:szCs w:val="28"/>
        </w:rPr>
        <w:t xml:space="preserve">  </w:t>
      </w:r>
      <w:r>
        <w:rPr>
          <w:rFonts w:ascii="宋体" w:hAnsi="宋体" w:eastAsia="宋体" w:cs="宋体"/>
          <w:sz w:val="28"/>
          <w:szCs w:val="28"/>
          <w14:textOutline w14:w="5103" w14:cap="sq" w14:cmpd="sng">
            <w14:solidFill>
              <w14:srgbClr w14:val="000000"/>
            </w14:solidFill>
            <w14:prstDash w14:val="solid"/>
            <w14:bevel/>
          </w14:textOutline>
        </w:rPr>
        <w:t>环境空气现状评价结论</w:t>
      </w:r>
    </w:p>
    <w:p w14:paraId="717A6E3C">
      <w:pPr>
        <w:spacing w:line="264" w:lineRule="auto"/>
        <w:rPr>
          <w:rFonts w:ascii="Arial"/>
          <w:sz w:val="21"/>
        </w:rPr>
      </w:pPr>
    </w:p>
    <w:p w14:paraId="342760CD">
      <w:pPr>
        <w:spacing w:before="75" w:line="388" w:lineRule="auto"/>
        <w:ind w:left="18" w:right="23" w:firstLine="486"/>
        <w:rPr>
          <w:rFonts w:ascii="宋体" w:hAnsi="宋体" w:eastAsia="宋体" w:cs="宋体"/>
          <w:sz w:val="23"/>
          <w:szCs w:val="23"/>
        </w:rPr>
      </w:pPr>
      <w:r>
        <w:rPr>
          <w:rFonts w:ascii="宋体" w:hAnsi="宋体" w:eastAsia="宋体" w:cs="宋体"/>
          <w:spacing w:val="10"/>
          <w:sz w:val="23"/>
          <w:szCs w:val="23"/>
        </w:rPr>
        <w:t>本次评价</w:t>
      </w:r>
      <w:r>
        <w:rPr>
          <w:rFonts w:ascii="宋体" w:hAnsi="宋体" w:eastAsia="宋体" w:cs="宋体"/>
          <w:spacing w:val="6"/>
          <w:sz w:val="23"/>
          <w:szCs w:val="23"/>
        </w:rPr>
        <w:t>优</w:t>
      </w:r>
      <w:r>
        <w:rPr>
          <w:rFonts w:ascii="宋体" w:hAnsi="宋体" w:eastAsia="宋体" w:cs="宋体"/>
          <w:spacing w:val="5"/>
          <w:sz w:val="23"/>
          <w:szCs w:val="23"/>
        </w:rPr>
        <w:t>先采用《本溪市环境质量简报 (</w:t>
      </w:r>
      <w:r>
        <w:rPr>
          <w:rFonts w:ascii="Times New Roman" w:hAnsi="Times New Roman" w:eastAsia="Times New Roman" w:cs="Times New Roman"/>
          <w:spacing w:val="5"/>
          <w:sz w:val="23"/>
          <w:szCs w:val="23"/>
        </w:rPr>
        <w:t xml:space="preserve">2018 </w:t>
      </w:r>
      <w:r>
        <w:rPr>
          <w:rFonts w:ascii="宋体" w:hAnsi="宋体" w:eastAsia="宋体" w:cs="宋体"/>
          <w:spacing w:val="5"/>
          <w:sz w:val="23"/>
          <w:szCs w:val="23"/>
        </w:rPr>
        <w:t xml:space="preserve">年) 》中 </w:t>
      </w:r>
      <w:r>
        <w:rPr>
          <w:rFonts w:ascii="Times New Roman" w:hAnsi="Times New Roman" w:eastAsia="Times New Roman" w:cs="Times New Roman"/>
          <w:spacing w:val="5"/>
          <w:sz w:val="23"/>
          <w:szCs w:val="23"/>
        </w:rPr>
        <w:t xml:space="preserve">2018 </w:t>
      </w:r>
      <w:r>
        <w:rPr>
          <w:rFonts w:ascii="宋体" w:hAnsi="宋体" w:eastAsia="宋体" w:cs="宋体"/>
          <w:spacing w:val="5"/>
          <w:sz w:val="23"/>
          <w:szCs w:val="23"/>
        </w:rPr>
        <w:t>年本溪市环</w:t>
      </w:r>
      <w:r>
        <w:rPr>
          <w:rFonts w:ascii="宋体" w:hAnsi="宋体" w:eastAsia="宋体" w:cs="宋体"/>
          <w:sz w:val="23"/>
          <w:szCs w:val="23"/>
        </w:rPr>
        <w:t xml:space="preserve"> </w:t>
      </w:r>
      <w:r>
        <w:rPr>
          <w:rFonts w:ascii="宋体" w:hAnsi="宋体" w:eastAsia="宋体" w:cs="宋体"/>
          <w:spacing w:val="3"/>
          <w:sz w:val="23"/>
          <w:szCs w:val="23"/>
        </w:rPr>
        <w:t xml:space="preserve">境质量的相关数据进行评价，监测项目为 </w:t>
      </w:r>
      <w:r>
        <w:rPr>
          <w:rFonts w:ascii="Times New Roman" w:hAnsi="Times New Roman" w:eastAsia="Times New Roman" w:cs="Times New Roman"/>
          <w:sz w:val="23"/>
          <w:szCs w:val="23"/>
        </w:rPr>
        <w:t>SO</w:t>
      </w:r>
      <w:r>
        <w:rPr>
          <w:rFonts w:ascii="Times New Roman" w:hAnsi="Times New Roman" w:eastAsia="Times New Roman" w:cs="Times New Roman"/>
          <w:spacing w:val="3"/>
          <w:position w:val="-1"/>
          <w:sz w:val="15"/>
          <w:szCs w:val="15"/>
        </w:rPr>
        <w:t xml:space="preserve">2 </w:t>
      </w:r>
      <w:r>
        <w:rPr>
          <w:rFonts w:ascii="宋体" w:hAnsi="宋体" w:eastAsia="宋体" w:cs="宋体"/>
          <w:spacing w:val="3"/>
          <w:sz w:val="23"/>
          <w:szCs w:val="23"/>
        </w:rPr>
        <w:t>、</w:t>
      </w:r>
      <w:r>
        <w:rPr>
          <w:rFonts w:ascii="Times New Roman" w:hAnsi="Times New Roman" w:eastAsia="Times New Roman" w:cs="Times New Roman"/>
          <w:sz w:val="23"/>
          <w:szCs w:val="23"/>
        </w:rPr>
        <w:t>NO</w:t>
      </w:r>
      <w:r>
        <w:rPr>
          <w:rFonts w:ascii="Times New Roman" w:hAnsi="Times New Roman" w:eastAsia="Times New Roman" w:cs="Times New Roman"/>
          <w:spacing w:val="3"/>
          <w:position w:val="-1"/>
          <w:sz w:val="15"/>
          <w:szCs w:val="15"/>
        </w:rPr>
        <w:t xml:space="preserve">2 </w:t>
      </w:r>
      <w:r>
        <w:rPr>
          <w:rFonts w:ascii="宋体" w:hAnsi="宋体" w:eastAsia="宋体" w:cs="宋体"/>
          <w:spacing w:val="3"/>
          <w:sz w:val="23"/>
          <w:szCs w:val="23"/>
        </w:rPr>
        <w:t>、</w:t>
      </w:r>
      <w:r>
        <w:rPr>
          <w:rFonts w:ascii="Times New Roman" w:hAnsi="Times New Roman" w:eastAsia="Times New Roman" w:cs="Times New Roman"/>
          <w:sz w:val="23"/>
          <w:szCs w:val="23"/>
        </w:rPr>
        <w:t>PM</w:t>
      </w:r>
      <w:r>
        <w:rPr>
          <w:rFonts w:ascii="Times New Roman" w:hAnsi="Times New Roman" w:eastAsia="Times New Roman" w:cs="Times New Roman"/>
          <w:spacing w:val="3"/>
          <w:position w:val="-1"/>
          <w:sz w:val="15"/>
          <w:szCs w:val="15"/>
        </w:rPr>
        <w:t xml:space="preserve">10 </w:t>
      </w:r>
      <w:r>
        <w:rPr>
          <w:rFonts w:ascii="宋体" w:hAnsi="宋体" w:eastAsia="宋体" w:cs="宋体"/>
          <w:spacing w:val="3"/>
          <w:sz w:val="23"/>
          <w:szCs w:val="23"/>
        </w:rPr>
        <w:t>、</w:t>
      </w:r>
      <w:r>
        <w:rPr>
          <w:rFonts w:ascii="Times New Roman" w:hAnsi="Times New Roman" w:eastAsia="Times New Roman" w:cs="Times New Roman"/>
          <w:sz w:val="23"/>
          <w:szCs w:val="23"/>
        </w:rPr>
        <w:t>PM</w:t>
      </w:r>
      <w:r>
        <w:rPr>
          <w:rFonts w:ascii="Times New Roman" w:hAnsi="Times New Roman" w:eastAsia="Times New Roman" w:cs="Times New Roman"/>
          <w:spacing w:val="3"/>
          <w:position w:val="-1"/>
          <w:sz w:val="15"/>
          <w:szCs w:val="15"/>
        </w:rPr>
        <w:t xml:space="preserve">2.5 </w:t>
      </w:r>
      <w:r>
        <w:rPr>
          <w:rFonts w:ascii="宋体" w:hAnsi="宋体" w:eastAsia="宋体" w:cs="宋体"/>
          <w:spacing w:val="3"/>
          <w:sz w:val="23"/>
          <w:szCs w:val="23"/>
        </w:rPr>
        <w:t>、</w:t>
      </w:r>
      <w:r>
        <w:rPr>
          <w:rFonts w:ascii="Times New Roman" w:hAnsi="Times New Roman" w:eastAsia="Times New Roman" w:cs="Times New Roman"/>
          <w:sz w:val="23"/>
          <w:szCs w:val="23"/>
        </w:rPr>
        <w:t>CO</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w:t>
      </w:r>
      <w:r>
        <w:rPr>
          <w:rFonts w:ascii="Times New Roman" w:hAnsi="Times New Roman" w:eastAsia="Times New Roman" w:cs="Times New Roman"/>
          <w:sz w:val="23"/>
          <w:szCs w:val="23"/>
        </w:rPr>
        <w:t>O</w:t>
      </w:r>
      <w:r>
        <w:rPr>
          <w:rFonts w:ascii="Times New Roman" w:hAnsi="Times New Roman" w:eastAsia="Times New Roman" w:cs="Times New Roman"/>
          <w:spacing w:val="1"/>
          <w:position w:val="-1"/>
          <w:sz w:val="15"/>
          <w:szCs w:val="15"/>
        </w:rPr>
        <w:t>3</w:t>
      </w:r>
      <w:r>
        <w:rPr>
          <w:rFonts w:ascii="Times New Roman" w:hAnsi="Times New Roman" w:eastAsia="Times New Roman" w:cs="Times New Roman"/>
          <w:position w:val="-1"/>
          <w:sz w:val="15"/>
          <w:szCs w:val="15"/>
        </w:rPr>
        <w:t xml:space="preserve"> </w:t>
      </w:r>
      <w:r>
        <w:rPr>
          <w:rFonts w:ascii="宋体" w:hAnsi="宋体" w:eastAsia="宋体" w:cs="宋体"/>
          <w:sz w:val="23"/>
          <w:szCs w:val="23"/>
        </w:rPr>
        <w:t xml:space="preserve">， </w:t>
      </w:r>
      <w:r>
        <w:rPr>
          <w:rFonts w:ascii="宋体" w:hAnsi="宋体" w:eastAsia="宋体" w:cs="宋体"/>
          <w:spacing w:val="4"/>
          <w:sz w:val="23"/>
          <w:szCs w:val="23"/>
        </w:rPr>
        <w:t>采</w:t>
      </w:r>
      <w:r>
        <w:rPr>
          <w:rFonts w:ascii="宋体" w:hAnsi="宋体" w:eastAsia="宋体" w:cs="宋体"/>
          <w:spacing w:val="2"/>
          <w:sz w:val="23"/>
          <w:szCs w:val="23"/>
        </w:rPr>
        <w:t>用《环境空气质量标准》 (</w:t>
      </w:r>
      <w:r>
        <w:rPr>
          <w:rFonts w:ascii="Times New Roman" w:hAnsi="Times New Roman" w:eastAsia="Times New Roman" w:cs="Times New Roman"/>
          <w:sz w:val="23"/>
          <w:szCs w:val="23"/>
        </w:rPr>
        <w:t>GB</w:t>
      </w:r>
      <w:r>
        <w:rPr>
          <w:rFonts w:ascii="Times New Roman" w:hAnsi="Times New Roman" w:eastAsia="Times New Roman" w:cs="Times New Roman"/>
          <w:spacing w:val="2"/>
          <w:sz w:val="23"/>
          <w:szCs w:val="23"/>
        </w:rPr>
        <w:t>3095-2012</w:t>
      </w:r>
      <w:r>
        <w:rPr>
          <w:rFonts w:ascii="宋体" w:hAnsi="宋体" w:eastAsia="宋体" w:cs="宋体"/>
          <w:spacing w:val="2"/>
          <w:sz w:val="23"/>
          <w:szCs w:val="23"/>
        </w:rPr>
        <w:t>) 二级标准评价。统计结果可知，</w:t>
      </w:r>
      <w:r>
        <w:rPr>
          <w:rFonts w:ascii="Times New Roman" w:hAnsi="Times New Roman" w:eastAsia="Times New Roman" w:cs="Times New Roman"/>
          <w:spacing w:val="2"/>
          <w:sz w:val="23"/>
          <w:szCs w:val="23"/>
        </w:rPr>
        <w:t>2018</w:t>
      </w:r>
      <w:r>
        <w:rPr>
          <w:rFonts w:ascii="Times New Roman" w:hAnsi="Times New Roman" w:eastAsia="Times New Roman" w:cs="Times New Roman"/>
          <w:sz w:val="23"/>
          <w:szCs w:val="23"/>
        </w:rPr>
        <w:t xml:space="preserve"> </w:t>
      </w:r>
      <w:r>
        <w:rPr>
          <w:rFonts w:ascii="宋体" w:hAnsi="宋体" w:eastAsia="宋体" w:cs="宋体"/>
          <w:spacing w:val="7"/>
          <w:sz w:val="23"/>
          <w:szCs w:val="23"/>
        </w:rPr>
        <w:t>年</w:t>
      </w:r>
      <w:r>
        <w:rPr>
          <w:rFonts w:ascii="宋体" w:hAnsi="宋体" w:eastAsia="宋体" w:cs="宋体"/>
          <w:spacing w:val="5"/>
          <w:sz w:val="23"/>
          <w:szCs w:val="23"/>
        </w:rPr>
        <w:t>本溪市城区环境空气质量达</w:t>
      </w:r>
      <w:r>
        <w:rPr>
          <w:rFonts w:ascii="Times New Roman" w:hAnsi="Times New Roman" w:eastAsia="Times New Roman" w:cs="Times New Roman"/>
          <w:spacing w:val="5"/>
          <w:sz w:val="23"/>
          <w:szCs w:val="23"/>
        </w:rPr>
        <w:t>Ⅱ</w:t>
      </w:r>
      <w:r>
        <w:rPr>
          <w:rFonts w:ascii="宋体" w:hAnsi="宋体" w:eastAsia="宋体" w:cs="宋体"/>
          <w:spacing w:val="5"/>
          <w:sz w:val="23"/>
          <w:szCs w:val="23"/>
        </w:rPr>
        <w:t xml:space="preserve">级 (良) 以上天数为 </w:t>
      </w:r>
      <w:r>
        <w:rPr>
          <w:rFonts w:ascii="Times New Roman" w:hAnsi="Times New Roman" w:eastAsia="Times New Roman" w:cs="Times New Roman"/>
          <w:spacing w:val="5"/>
          <w:sz w:val="23"/>
          <w:szCs w:val="23"/>
        </w:rPr>
        <w:t xml:space="preserve">331 </w:t>
      </w:r>
      <w:r>
        <w:rPr>
          <w:rFonts w:ascii="宋体" w:hAnsi="宋体" w:eastAsia="宋体" w:cs="宋体"/>
          <w:spacing w:val="5"/>
          <w:sz w:val="23"/>
          <w:szCs w:val="23"/>
        </w:rPr>
        <w:t xml:space="preserve">天，达标率为 </w:t>
      </w:r>
      <w:r>
        <w:rPr>
          <w:rFonts w:ascii="Times New Roman" w:hAnsi="Times New Roman" w:eastAsia="Times New Roman" w:cs="Times New Roman"/>
          <w:spacing w:val="5"/>
          <w:sz w:val="23"/>
          <w:szCs w:val="23"/>
        </w:rPr>
        <w:t xml:space="preserve">90.7% </w:t>
      </w:r>
      <w:r>
        <w:rPr>
          <w:rFonts w:ascii="宋体" w:hAnsi="宋体" w:eastAsia="宋体" w:cs="宋体"/>
          <w:spacing w:val="5"/>
          <w:sz w:val="23"/>
          <w:szCs w:val="23"/>
        </w:rPr>
        <w:t>。</w:t>
      </w:r>
      <w:r>
        <w:rPr>
          <w:rFonts w:ascii="宋体" w:hAnsi="宋体" w:eastAsia="宋体" w:cs="宋体"/>
          <w:sz w:val="23"/>
          <w:szCs w:val="23"/>
        </w:rPr>
        <w:t xml:space="preserve"> </w:t>
      </w:r>
      <w:r>
        <w:rPr>
          <w:rFonts w:ascii="宋体" w:hAnsi="宋体" w:eastAsia="宋体" w:cs="宋体"/>
          <w:spacing w:val="-1"/>
          <w:sz w:val="23"/>
          <w:szCs w:val="23"/>
        </w:rPr>
        <w:t xml:space="preserve">自然降尘平均浓度为 </w:t>
      </w:r>
      <w:r>
        <w:rPr>
          <w:rFonts w:ascii="Times New Roman" w:hAnsi="Times New Roman" w:eastAsia="Times New Roman" w:cs="Times New Roman"/>
          <w:spacing w:val="-1"/>
          <w:sz w:val="23"/>
          <w:szCs w:val="23"/>
        </w:rPr>
        <w:t xml:space="preserve">10.3 </w:t>
      </w:r>
      <w:r>
        <w:rPr>
          <w:rFonts w:ascii="宋体" w:hAnsi="宋体" w:eastAsia="宋体" w:cs="宋体"/>
          <w:spacing w:val="-1"/>
          <w:sz w:val="23"/>
          <w:szCs w:val="23"/>
        </w:rPr>
        <w:t>吨</w:t>
      </w:r>
      <w:r>
        <w:rPr>
          <w:rFonts w:ascii="Times New Roman" w:hAnsi="Times New Roman" w:eastAsia="Times New Roman" w:cs="Times New Roman"/>
          <w:spacing w:val="-1"/>
          <w:sz w:val="23"/>
          <w:szCs w:val="23"/>
        </w:rPr>
        <w:t>/</w:t>
      </w:r>
      <w:r>
        <w:rPr>
          <w:rFonts w:ascii="宋体" w:hAnsi="宋体" w:eastAsia="宋体" w:cs="宋体"/>
          <w:spacing w:val="-1"/>
          <w:sz w:val="23"/>
          <w:szCs w:val="23"/>
        </w:rPr>
        <w:t>平方公里</w:t>
      </w:r>
      <w:r>
        <w:rPr>
          <w:rFonts w:ascii="Times New Roman" w:hAnsi="Times New Roman" w:eastAsia="Times New Roman" w:cs="Times New Roman"/>
          <w:spacing w:val="-1"/>
          <w:sz w:val="23"/>
          <w:szCs w:val="23"/>
        </w:rPr>
        <w:t xml:space="preserve">· </w:t>
      </w:r>
      <w:r>
        <w:rPr>
          <w:rFonts w:ascii="宋体" w:hAnsi="宋体" w:eastAsia="宋体" w:cs="宋体"/>
          <w:sz w:val="23"/>
          <w:szCs w:val="23"/>
        </w:rPr>
        <w:t>月，</w:t>
      </w:r>
      <w:r>
        <w:rPr>
          <w:rFonts w:ascii="Times New Roman" w:hAnsi="Times New Roman" w:eastAsia="Times New Roman" w:cs="Times New Roman"/>
          <w:sz w:val="23"/>
          <w:szCs w:val="23"/>
        </w:rPr>
        <w:t xml:space="preserve">6 </w:t>
      </w:r>
      <w:r>
        <w:rPr>
          <w:rFonts w:ascii="宋体" w:hAnsi="宋体" w:eastAsia="宋体" w:cs="宋体"/>
          <w:sz w:val="23"/>
          <w:szCs w:val="23"/>
        </w:rPr>
        <w:t>项污染物年均浓度全部达标，</w:t>
      </w:r>
      <w:r>
        <w:rPr>
          <w:rFonts w:ascii="Times New Roman" w:hAnsi="Times New Roman" w:eastAsia="Times New Roman" w:cs="Times New Roman"/>
          <w:sz w:val="23"/>
          <w:szCs w:val="23"/>
        </w:rPr>
        <w:t>PM10</w:t>
      </w:r>
      <w:r>
        <w:rPr>
          <w:rFonts w:ascii="宋体" w:hAnsi="宋体" w:eastAsia="宋体" w:cs="宋体"/>
          <w:sz w:val="23"/>
          <w:szCs w:val="23"/>
        </w:rPr>
        <w:t xml:space="preserve">、 </w:t>
      </w:r>
      <w:r>
        <w:rPr>
          <w:rFonts w:ascii="Times New Roman" w:hAnsi="Times New Roman" w:eastAsia="Times New Roman" w:cs="Times New Roman"/>
          <w:sz w:val="23"/>
          <w:szCs w:val="23"/>
        </w:rPr>
        <w:t>PM</w:t>
      </w:r>
      <w:r>
        <w:rPr>
          <w:rFonts w:ascii="Times New Roman" w:hAnsi="Times New Roman" w:eastAsia="Times New Roman" w:cs="Times New Roman"/>
          <w:spacing w:val="14"/>
          <w:sz w:val="23"/>
          <w:szCs w:val="23"/>
        </w:rPr>
        <w:t>2.</w:t>
      </w:r>
      <w:r>
        <w:rPr>
          <w:rFonts w:ascii="Times New Roman" w:hAnsi="Times New Roman" w:eastAsia="Times New Roman" w:cs="Times New Roman"/>
          <w:spacing w:val="9"/>
          <w:sz w:val="23"/>
          <w:szCs w:val="23"/>
        </w:rPr>
        <w:t>5</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 xml:space="preserve">年均浓度分别为 </w:t>
      </w:r>
      <w:r>
        <w:rPr>
          <w:rFonts w:ascii="Times New Roman" w:hAnsi="Times New Roman" w:eastAsia="Times New Roman" w:cs="Times New Roman"/>
          <w:spacing w:val="7"/>
          <w:sz w:val="23"/>
          <w:szCs w:val="23"/>
        </w:rPr>
        <w:t xml:space="preserve">65 </w:t>
      </w:r>
      <w:r>
        <w:rPr>
          <w:rFonts w:ascii="宋体" w:hAnsi="宋体" w:eastAsia="宋体" w:cs="宋体"/>
          <w:spacing w:val="7"/>
          <w:sz w:val="23"/>
          <w:szCs w:val="23"/>
        </w:rPr>
        <w:t>微克</w:t>
      </w:r>
      <w:r>
        <w:rPr>
          <w:rFonts w:ascii="Times New Roman" w:hAnsi="Times New Roman" w:eastAsia="Times New Roman" w:cs="Times New Roman"/>
          <w:spacing w:val="7"/>
          <w:sz w:val="23"/>
          <w:szCs w:val="23"/>
        </w:rPr>
        <w:t>/</w:t>
      </w:r>
      <w:r>
        <w:rPr>
          <w:rFonts w:ascii="宋体" w:hAnsi="宋体" w:eastAsia="宋体" w:cs="宋体"/>
          <w:spacing w:val="7"/>
          <w:sz w:val="23"/>
          <w:szCs w:val="23"/>
        </w:rPr>
        <w:t>立方米和</w:t>
      </w:r>
      <w:r>
        <w:rPr>
          <w:rFonts w:ascii="Times New Roman" w:hAnsi="Times New Roman" w:eastAsia="Times New Roman" w:cs="Times New Roman"/>
          <w:spacing w:val="7"/>
          <w:sz w:val="23"/>
          <w:szCs w:val="23"/>
        </w:rPr>
        <w:t xml:space="preserve">34 </w:t>
      </w:r>
      <w:r>
        <w:rPr>
          <w:rFonts w:ascii="宋体" w:hAnsi="宋体" w:eastAsia="宋体" w:cs="宋体"/>
          <w:spacing w:val="7"/>
          <w:sz w:val="23"/>
          <w:szCs w:val="23"/>
        </w:rPr>
        <w:t>微克</w:t>
      </w:r>
      <w:r>
        <w:rPr>
          <w:rFonts w:ascii="Times New Roman" w:hAnsi="Times New Roman" w:eastAsia="Times New Roman" w:cs="Times New Roman"/>
          <w:spacing w:val="7"/>
          <w:sz w:val="23"/>
          <w:szCs w:val="23"/>
        </w:rPr>
        <w:t>/</w:t>
      </w:r>
      <w:r>
        <w:rPr>
          <w:rFonts w:ascii="宋体" w:hAnsi="宋体" w:eastAsia="宋体" w:cs="宋体"/>
          <w:spacing w:val="7"/>
          <w:sz w:val="23"/>
          <w:szCs w:val="23"/>
        </w:rPr>
        <w:t>立方米。</w:t>
      </w:r>
    </w:p>
    <w:p w14:paraId="695CAD05">
      <w:pPr>
        <w:spacing w:before="116" w:line="376" w:lineRule="auto"/>
        <w:ind w:left="24" w:firstLine="582"/>
        <w:rPr>
          <w:rFonts w:ascii="宋体" w:hAnsi="宋体" w:eastAsia="宋体" w:cs="宋体"/>
          <w:sz w:val="23"/>
          <w:szCs w:val="23"/>
        </w:rPr>
      </w:pPr>
      <w:r>
        <w:rPr>
          <w:rFonts w:ascii="宋体" w:hAnsi="宋体" w:eastAsia="宋体" w:cs="宋体"/>
          <w:spacing w:val="13"/>
          <w:sz w:val="23"/>
          <w:szCs w:val="23"/>
        </w:rPr>
        <w:t>根</w:t>
      </w:r>
      <w:r>
        <w:rPr>
          <w:rFonts w:ascii="宋体" w:hAnsi="宋体" w:eastAsia="宋体" w:cs="宋体"/>
          <w:spacing w:val="8"/>
          <w:sz w:val="23"/>
          <w:szCs w:val="23"/>
        </w:rPr>
        <w:t>据《环境影响评价技术导则</w:t>
      </w:r>
      <w:r>
        <w:rPr>
          <w:rFonts w:ascii="Times New Roman" w:hAnsi="Times New Roman" w:eastAsia="Times New Roman" w:cs="Times New Roman"/>
          <w:spacing w:val="8"/>
          <w:sz w:val="23"/>
          <w:szCs w:val="23"/>
        </w:rPr>
        <w:t>—</w:t>
      </w:r>
      <w:r>
        <w:rPr>
          <w:rFonts w:ascii="宋体" w:hAnsi="宋体" w:eastAsia="宋体" w:cs="宋体"/>
          <w:spacing w:val="8"/>
          <w:sz w:val="23"/>
          <w:szCs w:val="23"/>
        </w:rPr>
        <w:t>大气环境》  (</w:t>
      </w:r>
      <w:r>
        <w:rPr>
          <w:rFonts w:ascii="Times New Roman" w:hAnsi="Times New Roman" w:eastAsia="Times New Roman" w:cs="Times New Roman"/>
          <w:sz w:val="23"/>
          <w:szCs w:val="23"/>
        </w:rPr>
        <w:t>HJ</w:t>
      </w:r>
      <w:r>
        <w:rPr>
          <w:rFonts w:ascii="Times New Roman" w:hAnsi="Times New Roman" w:eastAsia="Times New Roman" w:cs="Times New Roman"/>
          <w:spacing w:val="8"/>
          <w:sz w:val="23"/>
          <w:szCs w:val="23"/>
        </w:rPr>
        <w:t>2.2-2018</w:t>
      </w:r>
      <w:r>
        <w:rPr>
          <w:rFonts w:ascii="宋体" w:hAnsi="宋体" w:eastAsia="宋体" w:cs="宋体"/>
          <w:spacing w:val="8"/>
          <w:sz w:val="23"/>
          <w:szCs w:val="23"/>
        </w:rPr>
        <w:t>) 要求，六项基</w:t>
      </w:r>
      <w:r>
        <w:rPr>
          <w:rFonts w:ascii="宋体" w:hAnsi="宋体" w:eastAsia="宋体" w:cs="宋体"/>
          <w:sz w:val="23"/>
          <w:szCs w:val="23"/>
        </w:rPr>
        <w:t xml:space="preserve"> </w:t>
      </w:r>
      <w:r>
        <w:rPr>
          <w:rFonts w:ascii="宋体" w:hAnsi="宋体" w:eastAsia="宋体" w:cs="宋体"/>
          <w:spacing w:val="14"/>
          <w:sz w:val="23"/>
          <w:szCs w:val="23"/>
        </w:rPr>
        <w:t>本污</w:t>
      </w:r>
      <w:r>
        <w:rPr>
          <w:rFonts w:ascii="宋体" w:hAnsi="宋体" w:eastAsia="宋体" w:cs="宋体"/>
          <w:spacing w:val="7"/>
          <w:sz w:val="23"/>
          <w:szCs w:val="23"/>
        </w:rPr>
        <w:t>染物全部达标为区域环境质量达标，从《本溪市环境质量简报 (</w:t>
      </w:r>
      <w:r>
        <w:rPr>
          <w:rFonts w:ascii="Times New Roman" w:hAnsi="Times New Roman" w:eastAsia="Times New Roman" w:cs="Times New Roman"/>
          <w:spacing w:val="7"/>
          <w:sz w:val="23"/>
          <w:szCs w:val="23"/>
        </w:rPr>
        <w:t xml:space="preserve">2018 </w:t>
      </w:r>
      <w:r>
        <w:rPr>
          <w:rFonts w:ascii="宋体" w:hAnsi="宋体" w:eastAsia="宋体" w:cs="宋体"/>
          <w:spacing w:val="7"/>
          <w:sz w:val="23"/>
          <w:szCs w:val="23"/>
        </w:rPr>
        <w:t>年) 》</w:t>
      </w:r>
      <w:r>
        <w:rPr>
          <w:rFonts w:ascii="宋体" w:hAnsi="宋体" w:eastAsia="宋体" w:cs="宋体"/>
          <w:sz w:val="23"/>
          <w:szCs w:val="23"/>
        </w:rPr>
        <w:t xml:space="preserve"> </w:t>
      </w:r>
      <w:r>
        <w:rPr>
          <w:rFonts w:ascii="宋体" w:hAnsi="宋体" w:eastAsia="宋体" w:cs="宋体"/>
          <w:spacing w:val="9"/>
          <w:sz w:val="23"/>
          <w:szCs w:val="23"/>
        </w:rPr>
        <w:t>结论可以看出该项目所在区域为达标区</w:t>
      </w:r>
      <w:r>
        <w:rPr>
          <w:rFonts w:ascii="宋体" w:hAnsi="宋体" w:eastAsia="宋体" w:cs="宋体"/>
          <w:spacing w:val="6"/>
          <w:sz w:val="23"/>
          <w:szCs w:val="23"/>
        </w:rPr>
        <w:t>。</w:t>
      </w:r>
    </w:p>
    <w:p w14:paraId="50781F46">
      <w:pPr>
        <w:spacing w:before="134" w:line="378" w:lineRule="auto"/>
        <w:ind w:left="41" w:right="41" w:firstLine="564"/>
        <w:rPr>
          <w:rFonts w:ascii="宋体" w:hAnsi="宋体" w:eastAsia="宋体" w:cs="宋体"/>
          <w:sz w:val="23"/>
          <w:szCs w:val="23"/>
        </w:rPr>
      </w:pPr>
      <w:r>
        <w:rPr>
          <w:rFonts w:ascii="宋体" w:hAnsi="宋体" w:eastAsia="宋体" w:cs="宋体"/>
          <w:spacing w:val="8"/>
          <w:sz w:val="23"/>
          <w:szCs w:val="23"/>
        </w:rPr>
        <w:t>评</w:t>
      </w:r>
      <w:r>
        <w:rPr>
          <w:rFonts w:ascii="宋体" w:hAnsi="宋体" w:eastAsia="宋体" w:cs="宋体"/>
          <w:spacing w:val="7"/>
          <w:sz w:val="23"/>
          <w:szCs w:val="23"/>
        </w:rPr>
        <w:t>价</w:t>
      </w:r>
      <w:r>
        <w:rPr>
          <w:rFonts w:ascii="宋体" w:hAnsi="宋体" w:eastAsia="宋体" w:cs="宋体"/>
          <w:spacing w:val="4"/>
          <w:sz w:val="23"/>
          <w:szCs w:val="23"/>
        </w:rPr>
        <w:t>区监测结果表明：各监测点位</w:t>
      </w:r>
      <w:r>
        <w:rPr>
          <w:rFonts w:ascii="Times New Roman" w:hAnsi="Times New Roman" w:eastAsia="Times New Roman" w:cs="Times New Roman"/>
          <w:sz w:val="23"/>
          <w:szCs w:val="23"/>
        </w:rPr>
        <w:t>NMHC</w:t>
      </w:r>
      <w:r>
        <w:rPr>
          <w:rFonts w:ascii="Times New Roman" w:hAnsi="Times New Roman" w:eastAsia="Times New Roman" w:cs="Times New Roman"/>
          <w:spacing w:val="4"/>
          <w:sz w:val="23"/>
          <w:szCs w:val="23"/>
        </w:rPr>
        <w:t xml:space="preserve"> </w:t>
      </w:r>
      <w:r>
        <w:rPr>
          <w:rFonts w:ascii="宋体" w:hAnsi="宋体" w:eastAsia="宋体" w:cs="宋体"/>
          <w:spacing w:val="4"/>
          <w:sz w:val="23"/>
          <w:szCs w:val="23"/>
        </w:rPr>
        <w:t>日均值监测结果均满足标准要求，</w:t>
      </w:r>
      <w:r>
        <w:rPr>
          <w:rFonts w:ascii="宋体" w:hAnsi="宋体" w:eastAsia="宋体" w:cs="宋体"/>
          <w:sz w:val="23"/>
          <w:szCs w:val="23"/>
        </w:rPr>
        <w:t xml:space="preserve"> </w:t>
      </w:r>
      <w:r>
        <w:rPr>
          <w:rFonts w:ascii="宋体" w:hAnsi="宋体" w:eastAsia="宋体" w:cs="宋体"/>
          <w:spacing w:val="8"/>
          <w:sz w:val="23"/>
          <w:szCs w:val="23"/>
        </w:rPr>
        <w:t>区</w:t>
      </w:r>
      <w:r>
        <w:rPr>
          <w:rFonts w:ascii="宋体" w:hAnsi="宋体" w:eastAsia="宋体" w:cs="宋体"/>
          <w:spacing w:val="7"/>
          <w:sz w:val="23"/>
          <w:szCs w:val="23"/>
        </w:rPr>
        <w:t>域环境空气质量状况良好。</w:t>
      </w:r>
    </w:p>
    <w:p w14:paraId="49BD9E9B">
      <w:pPr>
        <w:sectPr>
          <w:headerReference r:id="rId335" w:type="default"/>
          <w:footerReference r:id="rId336" w:type="default"/>
          <w:pgSz w:w="11906" w:h="16839"/>
          <w:pgMar w:top="1132" w:right="1693" w:bottom="1182" w:left="1785" w:header="878" w:footer="1022" w:gutter="0"/>
          <w:cols w:space="720" w:num="1"/>
        </w:sectPr>
      </w:pPr>
    </w:p>
    <w:p w14:paraId="73EDF46A">
      <w:pPr>
        <w:spacing w:line="356" w:lineRule="auto"/>
        <w:rPr>
          <w:rFonts w:ascii="Arial"/>
          <w:sz w:val="21"/>
        </w:rPr>
      </w:pPr>
      <w:r>
        <w:pict>
          <v:shape id="_x0000_s1388" o:spid="_x0000_s1388" style="position:absolute;left:0pt;margin-left:90pt;margin-top:57.35pt;height:0.75pt;width:415.3pt;mso-position-horizontal-relative:page;mso-position-vertical-relative:page;z-index:252084224;mso-width-relative:page;mso-height-relative:page;" fillcolor="#000000" filled="t" stroked="f" coordsize="8305,15" o:allowincell="f" path="m0,0l8305,0,8305,14,0,14,0,0xe">
            <v:path/>
            <v:fill on="t" focussize="0,0"/>
            <v:stroke on="f"/>
            <v:imagedata o:title=""/>
            <o:lock v:ext="edit"/>
          </v:shape>
        </w:pict>
      </w:r>
    </w:p>
    <w:p w14:paraId="2EF9C46D">
      <w:pPr>
        <w:spacing w:before="91" w:line="219" w:lineRule="auto"/>
        <w:ind w:left="32"/>
        <w:rPr>
          <w:rFonts w:ascii="宋体" w:hAnsi="宋体" w:eastAsia="宋体" w:cs="宋体"/>
          <w:sz w:val="28"/>
          <w:szCs w:val="28"/>
        </w:rPr>
      </w:pPr>
      <w:r>
        <w:rPr>
          <w:rFonts w:ascii="Times New Roman" w:hAnsi="Times New Roman" w:eastAsia="Times New Roman" w:cs="Times New Roman"/>
          <w:b/>
          <w:bCs/>
          <w:spacing w:val="-1"/>
          <w:sz w:val="28"/>
          <w:szCs w:val="28"/>
        </w:rPr>
        <w:t>10.1.5.2</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 xml:space="preserve"> </w:t>
      </w:r>
      <w:r>
        <w:rPr>
          <w:rFonts w:ascii="宋体" w:hAnsi="宋体" w:eastAsia="宋体" w:cs="宋体"/>
          <w:sz w:val="28"/>
          <w:szCs w:val="28"/>
          <w14:textOutline w14:w="5103" w14:cap="sq" w14:cmpd="sng">
            <w14:solidFill>
              <w14:srgbClr w14:val="000000"/>
            </w14:solidFill>
            <w14:prstDash w14:val="solid"/>
            <w14:bevel/>
          </w14:textOutline>
        </w:rPr>
        <w:t>地下水环境现状评价结论</w:t>
      </w:r>
    </w:p>
    <w:p w14:paraId="3FDEA97C">
      <w:pPr>
        <w:spacing w:line="264" w:lineRule="auto"/>
        <w:rPr>
          <w:rFonts w:ascii="Arial"/>
          <w:sz w:val="21"/>
        </w:rPr>
      </w:pPr>
    </w:p>
    <w:p w14:paraId="44D3EA53">
      <w:pPr>
        <w:spacing w:before="75" w:line="387" w:lineRule="auto"/>
        <w:ind w:left="22" w:firstLine="481"/>
        <w:rPr>
          <w:rFonts w:ascii="宋体" w:hAnsi="宋体" w:eastAsia="宋体" w:cs="宋体"/>
          <w:sz w:val="23"/>
          <w:szCs w:val="23"/>
        </w:rPr>
      </w:pPr>
      <w:r>
        <w:rPr>
          <w:rFonts w:ascii="宋体" w:hAnsi="宋体" w:eastAsia="宋体" w:cs="宋体"/>
          <w:spacing w:val="7"/>
          <w:sz w:val="23"/>
          <w:szCs w:val="23"/>
        </w:rPr>
        <w:t>监测结果表明，评价区域内地下水化学类型多为碳酸氢钙型，地下水中阴</w:t>
      </w:r>
      <w:r>
        <w:rPr>
          <w:rFonts w:ascii="宋体" w:hAnsi="宋体" w:eastAsia="宋体" w:cs="宋体"/>
          <w:spacing w:val="2"/>
          <w:sz w:val="23"/>
          <w:szCs w:val="23"/>
        </w:rPr>
        <w:t>离</w:t>
      </w:r>
      <w:r>
        <w:rPr>
          <w:rFonts w:ascii="宋体" w:hAnsi="宋体" w:eastAsia="宋体" w:cs="宋体"/>
          <w:sz w:val="23"/>
          <w:szCs w:val="23"/>
        </w:rPr>
        <w:t xml:space="preserve"> </w:t>
      </w:r>
      <w:r>
        <w:rPr>
          <w:rFonts w:ascii="宋体" w:hAnsi="宋体" w:eastAsia="宋体" w:cs="宋体"/>
          <w:spacing w:val="9"/>
          <w:sz w:val="23"/>
          <w:szCs w:val="23"/>
        </w:rPr>
        <w:t>子</w:t>
      </w:r>
      <w:r>
        <w:rPr>
          <w:rFonts w:ascii="宋体" w:hAnsi="宋体" w:eastAsia="宋体" w:cs="宋体"/>
          <w:spacing w:val="7"/>
          <w:sz w:val="23"/>
          <w:szCs w:val="23"/>
        </w:rPr>
        <w:t>以碳酸氢根为主；阳离子以钙离子为主。由上表可知，评价区域内各点位地下</w:t>
      </w:r>
      <w:r>
        <w:rPr>
          <w:rFonts w:ascii="宋体" w:hAnsi="宋体" w:eastAsia="宋体" w:cs="宋体"/>
          <w:sz w:val="23"/>
          <w:szCs w:val="23"/>
        </w:rPr>
        <w:t xml:space="preserve"> </w:t>
      </w:r>
      <w:r>
        <w:rPr>
          <w:rFonts w:ascii="宋体" w:hAnsi="宋体" w:eastAsia="宋体" w:cs="宋体"/>
          <w:spacing w:val="9"/>
          <w:sz w:val="23"/>
          <w:szCs w:val="23"/>
        </w:rPr>
        <w:t>水</w:t>
      </w:r>
      <w:r>
        <w:rPr>
          <w:rFonts w:ascii="宋体" w:hAnsi="宋体" w:eastAsia="宋体" w:cs="宋体"/>
          <w:spacing w:val="7"/>
          <w:sz w:val="23"/>
          <w:szCs w:val="23"/>
        </w:rPr>
        <w:t>各项因子中，建设项目所在地的氨氮、硝酸盐因子；榆树底的硝酸盐因子；火</w:t>
      </w:r>
      <w:r>
        <w:rPr>
          <w:rFonts w:ascii="宋体" w:hAnsi="宋体" w:eastAsia="宋体" w:cs="宋体"/>
          <w:sz w:val="23"/>
          <w:szCs w:val="23"/>
        </w:rPr>
        <w:t xml:space="preserve"> </w:t>
      </w:r>
      <w:r>
        <w:rPr>
          <w:rFonts w:ascii="宋体" w:hAnsi="宋体" w:eastAsia="宋体" w:cs="宋体"/>
          <w:spacing w:val="10"/>
          <w:sz w:val="23"/>
          <w:szCs w:val="23"/>
        </w:rPr>
        <w:t>连</w:t>
      </w:r>
      <w:r>
        <w:rPr>
          <w:rFonts w:ascii="宋体" w:hAnsi="宋体" w:eastAsia="宋体" w:cs="宋体"/>
          <w:spacing w:val="5"/>
          <w:sz w:val="23"/>
          <w:szCs w:val="23"/>
        </w:rPr>
        <w:t xml:space="preserve">寨村的总硬度、氨氮、硝酸盐因子标准指数值均大于 </w:t>
      </w:r>
      <w:r>
        <w:rPr>
          <w:rFonts w:ascii="Times New Roman" w:hAnsi="Times New Roman" w:eastAsia="Times New Roman" w:cs="Times New Roman"/>
          <w:spacing w:val="5"/>
          <w:sz w:val="23"/>
          <w:szCs w:val="23"/>
        </w:rPr>
        <w:t xml:space="preserve">1 </w:t>
      </w:r>
      <w:r>
        <w:rPr>
          <w:rFonts w:ascii="宋体" w:hAnsi="宋体" w:eastAsia="宋体" w:cs="宋体"/>
          <w:spacing w:val="5"/>
          <w:sz w:val="23"/>
          <w:szCs w:val="23"/>
        </w:rPr>
        <w:t>，其中建设项目所在地</w:t>
      </w:r>
      <w:r>
        <w:rPr>
          <w:rFonts w:ascii="宋体" w:hAnsi="宋体" w:eastAsia="宋体" w:cs="宋体"/>
          <w:sz w:val="23"/>
          <w:szCs w:val="23"/>
        </w:rPr>
        <w:t xml:space="preserve"> </w:t>
      </w:r>
      <w:r>
        <w:rPr>
          <w:rFonts w:ascii="宋体" w:hAnsi="宋体" w:eastAsia="宋体" w:cs="宋体"/>
          <w:spacing w:val="8"/>
          <w:sz w:val="23"/>
          <w:szCs w:val="23"/>
        </w:rPr>
        <w:t>的氨氮、硝酸盐</w:t>
      </w:r>
      <w:r>
        <w:rPr>
          <w:rFonts w:ascii="宋体" w:hAnsi="宋体" w:eastAsia="宋体" w:cs="宋体"/>
          <w:spacing w:val="6"/>
          <w:sz w:val="23"/>
          <w:szCs w:val="23"/>
        </w:rPr>
        <w:t>因</w:t>
      </w:r>
      <w:r>
        <w:rPr>
          <w:rFonts w:ascii="宋体" w:hAnsi="宋体" w:eastAsia="宋体" w:cs="宋体"/>
          <w:spacing w:val="4"/>
          <w:sz w:val="23"/>
          <w:szCs w:val="23"/>
        </w:rPr>
        <w:t xml:space="preserve">子最大超标倍数分别为 </w:t>
      </w:r>
      <w:r>
        <w:rPr>
          <w:rFonts w:ascii="Times New Roman" w:hAnsi="Times New Roman" w:eastAsia="Times New Roman" w:cs="Times New Roman"/>
          <w:spacing w:val="4"/>
          <w:sz w:val="23"/>
          <w:szCs w:val="23"/>
        </w:rPr>
        <w:t>068</w:t>
      </w:r>
      <w:r>
        <w:rPr>
          <w:rFonts w:ascii="宋体" w:hAnsi="宋体" w:eastAsia="宋体" w:cs="宋体"/>
          <w:spacing w:val="4"/>
          <w:sz w:val="23"/>
          <w:szCs w:val="23"/>
        </w:rPr>
        <w:t>、</w:t>
      </w:r>
      <w:r>
        <w:rPr>
          <w:rFonts w:ascii="Times New Roman" w:hAnsi="Times New Roman" w:eastAsia="Times New Roman" w:cs="Times New Roman"/>
          <w:spacing w:val="4"/>
          <w:sz w:val="23"/>
          <w:szCs w:val="23"/>
        </w:rPr>
        <w:t>0.002</w:t>
      </w:r>
      <w:r>
        <w:rPr>
          <w:rFonts w:ascii="宋体" w:hAnsi="宋体" w:eastAsia="宋体" w:cs="宋体"/>
          <w:spacing w:val="4"/>
          <w:sz w:val="23"/>
          <w:szCs w:val="23"/>
        </w:rPr>
        <w:t>；榆树底的硝酸盐因子最大</w:t>
      </w:r>
      <w:r>
        <w:rPr>
          <w:rFonts w:ascii="宋体" w:hAnsi="宋体" w:eastAsia="宋体" w:cs="宋体"/>
          <w:sz w:val="23"/>
          <w:szCs w:val="23"/>
        </w:rPr>
        <w:t xml:space="preserve"> </w:t>
      </w:r>
      <w:r>
        <w:rPr>
          <w:rFonts w:ascii="宋体" w:hAnsi="宋体" w:eastAsia="宋体" w:cs="宋体"/>
          <w:spacing w:val="5"/>
          <w:sz w:val="23"/>
          <w:szCs w:val="23"/>
        </w:rPr>
        <w:t xml:space="preserve">超标倍数分别为 </w:t>
      </w:r>
      <w:r>
        <w:rPr>
          <w:rFonts w:ascii="Times New Roman" w:hAnsi="Times New Roman" w:eastAsia="Times New Roman" w:cs="Times New Roman"/>
          <w:spacing w:val="5"/>
          <w:sz w:val="23"/>
          <w:szCs w:val="23"/>
        </w:rPr>
        <w:t>0.22</w:t>
      </w:r>
      <w:r>
        <w:rPr>
          <w:rFonts w:ascii="宋体" w:hAnsi="宋体" w:eastAsia="宋体" w:cs="宋体"/>
          <w:spacing w:val="5"/>
          <w:sz w:val="23"/>
          <w:szCs w:val="23"/>
        </w:rPr>
        <w:t>；火连寨村的总硬度、氨氮、硝酸盐因子最大超标倍数分别</w:t>
      </w:r>
      <w:r>
        <w:rPr>
          <w:rFonts w:ascii="宋体" w:hAnsi="宋体" w:eastAsia="宋体" w:cs="宋体"/>
          <w:sz w:val="23"/>
          <w:szCs w:val="23"/>
        </w:rPr>
        <w:t xml:space="preserve"> </w:t>
      </w:r>
      <w:r>
        <w:rPr>
          <w:rFonts w:ascii="宋体" w:hAnsi="宋体" w:eastAsia="宋体" w:cs="宋体"/>
          <w:spacing w:val="1"/>
          <w:sz w:val="23"/>
          <w:szCs w:val="23"/>
        </w:rPr>
        <w:t xml:space="preserve">为 </w:t>
      </w:r>
      <w:r>
        <w:rPr>
          <w:rFonts w:ascii="Times New Roman" w:hAnsi="Times New Roman" w:eastAsia="Times New Roman" w:cs="Times New Roman"/>
          <w:spacing w:val="1"/>
          <w:sz w:val="23"/>
          <w:szCs w:val="23"/>
        </w:rPr>
        <w:t>0.5</w:t>
      </w:r>
      <w:r>
        <w:rPr>
          <w:rFonts w:ascii="宋体" w:hAnsi="宋体" w:eastAsia="宋体" w:cs="宋体"/>
          <w:spacing w:val="1"/>
          <w:sz w:val="23"/>
          <w:szCs w:val="23"/>
        </w:rPr>
        <w:t>、</w:t>
      </w:r>
      <w:r>
        <w:rPr>
          <w:rFonts w:ascii="Times New Roman" w:hAnsi="Times New Roman" w:eastAsia="Times New Roman" w:cs="Times New Roman"/>
          <w:spacing w:val="1"/>
          <w:sz w:val="23"/>
          <w:szCs w:val="23"/>
        </w:rPr>
        <w:t>0.03</w:t>
      </w:r>
      <w:r>
        <w:rPr>
          <w:rFonts w:ascii="宋体" w:hAnsi="宋体" w:eastAsia="宋体" w:cs="宋体"/>
          <w:spacing w:val="1"/>
          <w:sz w:val="23"/>
          <w:szCs w:val="23"/>
        </w:rPr>
        <w:t>、</w:t>
      </w:r>
      <w:r>
        <w:rPr>
          <w:rFonts w:ascii="Times New Roman" w:hAnsi="Times New Roman" w:eastAsia="Times New Roman" w:cs="Times New Roman"/>
          <w:spacing w:val="1"/>
          <w:sz w:val="23"/>
          <w:szCs w:val="23"/>
        </w:rPr>
        <w:t>2.08</w:t>
      </w:r>
      <w:r>
        <w:rPr>
          <w:rFonts w:ascii="宋体" w:hAnsi="宋体" w:eastAsia="宋体" w:cs="宋体"/>
          <w:spacing w:val="1"/>
          <w:sz w:val="23"/>
          <w:szCs w:val="23"/>
        </w:rPr>
        <w:t>，分析以上超</w:t>
      </w:r>
      <w:r>
        <w:rPr>
          <w:rFonts w:ascii="宋体" w:hAnsi="宋体" w:eastAsia="宋体" w:cs="宋体"/>
          <w:sz w:val="23"/>
          <w:szCs w:val="23"/>
        </w:rPr>
        <w:t xml:space="preserve">标原因，总硬度超标是由于当地地质条件造成的， </w:t>
      </w:r>
      <w:r>
        <w:rPr>
          <w:rFonts w:ascii="宋体" w:hAnsi="宋体" w:eastAsia="宋体" w:cs="宋体"/>
          <w:spacing w:val="11"/>
          <w:sz w:val="23"/>
          <w:szCs w:val="23"/>
        </w:rPr>
        <w:t>氨</w:t>
      </w:r>
      <w:r>
        <w:rPr>
          <w:rFonts w:ascii="宋体" w:hAnsi="宋体" w:eastAsia="宋体" w:cs="宋体"/>
          <w:spacing w:val="9"/>
          <w:sz w:val="23"/>
          <w:szCs w:val="23"/>
        </w:rPr>
        <w:t>氮、硝酸盐超标是当地居民污水散排造成的。</w:t>
      </w:r>
    </w:p>
    <w:p w14:paraId="29692E73">
      <w:pPr>
        <w:spacing w:before="137" w:line="383" w:lineRule="auto"/>
        <w:ind w:left="24" w:right="61" w:firstLine="481"/>
        <w:rPr>
          <w:rFonts w:ascii="宋体" w:hAnsi="宋体" w:eastAsia="宋体" w:cs="宋体"/>
          <w:sz w:val="23"/>
          <w:szCs w:val="23"/>
        </w:rPr>
      </w:pPr>
      <w:r>
        <w:rPr>
          <w:rFonts w:ascii="宋体" w:hAnsi="宋体" w:eastAsia="宋体" w:cs="宋体"/>
          <w:spacing w:val="8"/>
          <w:sz w:val="23"/>
          <w:szCs w:val="23"/>
        </w:rPr>
        <w:t>各点位地下水</w:t>
      </w:r>
      <w:r>
        <w:rPr>
          <w:rFonts w:ascii="宋体" w:hAnsi="宋体" w:eastAsia="宋体" w:cs="宋体"/>
          <w:spacing w:val="6"/>
          <w:sz w:val="23"/>
          <w:szCs w:val="23"/>
        </w:rPr>
        <w:t>中</w:t>
      </w:r>
      <w:r>
        <w:rPr>
          <w:rFonts w:ascii="宋体" w:hAnsi="宋体" w:eastAsia="宋体" w:cs="宋体"/>
          <w:spacing w:val="4"/>
          <w:sz w:val="23"/>
          <w:szCs w:val="23"/>
        </w:rPr>
        <w:t xml:space="preserve">其他各项因子标准指数值均小于 </w:t>
      </w:r>
      <w:r>
        <w:rPr>
          <w:rFonts w:ascii="Times New Roman" w:hAnsi="Times New Roman" w:eastAsia="Times New Roman" w:cs="Times New Roman"/>
          <w:spacing w:val="4"/>
          <w:sz w:val="23"/>
          <w:szCs w:val="23"/>
        </w:rPr>
        <w:t xml:space="preserve">1 </w:t>
      </w:r>
      <w:r>
        <w:rPr>
          <w:rFonts w:ascii="宋体" w:hAnsi="宋体" w:eastAsia="宋体" w:cs="宋体"/>
          <w:spacing w:val="4"/>
          <w:sz w:val="23"/>
          <w:szCs w:val="23"/>
        </w:rPr>
        <w:t>，能够满足《地下水质量</w:t>
      </w:r>
      <w:r>
        <w:rPr>
          <w:rFonts w:ascii="宋体" w:hAnsi="宋体" w:eastAsia="宋体" w:cs="宋体"/>
          <w:sz w:val="23"/>
          <w:szCs w:val="23"/>
        </w:rPr>
        <w:t xml:space="preserve"> </w:t>
      </w:r>
      <w:r>
        <w:rPr>
          <w:rFonts w:ascii="宋体" w:hAnsi="宋体" w:eastAsia="宋体" w:cs="宋体"/>
          <w:spacing w:val="7"/>
          <w:sz w:val="23"/>
          <w:szCs w:val="23"/>
        </w:rPr>
        <w:t>标准》</w:t>
      </w:r>
      <w:r>
        <w:rPr>
          <w:rFonts w:ascii="Times New Roman" w:hAnsi="Times New Roman" w:eastAsia="Times New Roman" w:cs="Times New Roman"/>
          <w:spacing w:val="7"/>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7"/>
          <w:sz w:val="23"/>
          <w:szCs w:val="23"/>
        </w:rPr>
        <w:t>/</w:t>
      </w:r>
      <w:r>
        <w:rPr>
          <w:rFonts w:ascii="Times New Roman" w:hAnsi="Times New Roman" w:eastAsia="Times New Roman" w:cs="Times New Roman"/>
          <w:sz w:val="23"/>
          <w:szCs w:val="23"/>
        </w:rPr>
        <w:t>T</w:t>
      </w:r>
      <w:r>
        <w:rPr>
          <w:rFonts w:ascii="Times New Roman" w:hAnsi="Times New Roman" w:eastAsia="Times New Roman" w:cs="Times New Roman"/>
          <w:spacing w:val="7"/>
          <w:sz w:val="23"/>
          <w:szCs w:val="23"/>
        </w:rPr>
        <w:t>14848-2017)</w:t>
      </w:r>
      <w:r>
        <w:rPr>
          <w:rFonts w:ascii="宋体" w:hAnsi="宋体" w:eastAsia="宋体" w:cs="宋体"/>
          <w:spacing w:val="7"/>
          <w:sz w:val="23"/>
          <w:szCs w:val="23"/>
        </w:rPr>
        <w:t>中</w:t>
      </w:r>
      <w:r>
        <w:rPr>
          <w:rFonts w:ascii="Times New Roman" w:hAnsi="Times New Roman" w:eastAsia="Times New Roman" w:cs="Times New Roman"/>
          <w:spacing w:val="7"/>
          <w:sz w:val="23"/>
          <w:szCs w:val="23"/>
        </w:rPr>
        <w:t>Ⅲ</w:t>
      </w:r>
      <w:r>
        <w:rPr>
          <w:rFonts w:ascii="宋体" w:hAnsi="宋体" w:eastAsia="宋体" w:cs="宋体"/>
          <w:spacing w:val="7"/>
          <w:sz w:val="23"/>
          <w:szCs w:val="23"/>
        </w:rPr>
        <w:t>类水质量标准。</w:t>
      </w:r>
    </w:p>
    <w:p w14:paraId="6A1140A3">
      <w:pPr>
        <w:spacing w:before="125" w:line="219" w:lineRule="auto"/>
        <w:ind w:left="32"/>
        <w:rPr>
          <w:rFonts w:ascii="宋体" w:hAnsi="宋体" w:eastAsia="宋体" w:cs="宋体"/>
          <w:sz w:val="28"/>
          <w:szCs w:val="28"/>
        </w:rPr>
      </w:pPr>
      <w:r>
        <w:rPr>
          <w:rFonts w:ascii="Times New Roman" w:hAnsi="Times New Roman" w:eastAsia="Times New Roman" w:cs="Times New Roman"/>
          <w:b/>
          <w:bCs/>
          <w:spacing w:val="-1"/>
          <w:sz w:val="28"/>
          <w:szCs w:val="28"/>
        </w:rPr>
        <w:t>10.1.5.3</w:t>
      </w:r>
      <w:r>
        <w:rPr>
          <w:rFonts w:ascii="Times New Roman" w:hAnsi="Times New Roman" w:eastAsia="Times New Roman" w:cs="Times New Roman"/>
          <w:spacing w:val="-1"/>
          <w:sz w:val="28"/>
          <w:szCs w:val="28"/>
        </w:rPr>
        <w:t xml:space="preserve">  </w:t>
      </w:r>
      <w:r>
        <w:rPr>
          <w:rFonts w:ascii="宋体" w:hAnsi="宋体" w:eastAsia="宋体" w:cs="宋体"/>
          <w:sz w:val="28"/>
          <w:szCs w:val="28"/>
          <w14:textOutline w14:w="5103" w14:cap="sq" w14:cmpd="sng">
            <w14:solidFill>
              <w14:srgbClr w14:val="000000"/>
            </w14:solidFill>
            <w14:prstDash w14:val="solid"/>
            <w14:bevel/>
          </w14:textOutline>
        </w:rPr>
        <w:t>声环境现状评价结论</w:t>
      </w:r>
    </w:p>
    <w:p w14:paraId="64290EDB">
      <w:pPr>
        <w:spacing w:line="262" w:lineRule="auto"/>
        <w:rPr>
          <w:rFonts w:ascii="Arial"/>
          <w:sz w:val="21"/>
        </w:rPr>
      </w:pPr>
    </w:p>
    <w:p w14:paraId="2DD0ECCB">
      <w:pPr>
        <w:spacing w:before="76" w:line="393" w:lineRule="auto"/>
        <w:ind w:left="24" w:right="61" w:firstLine="480"/>
        <w:rPr>
          <w:rFonts w:ascii="宋体" w:hAnsi="宋体" w:eastAsia="宋体" w:cs="宋体"/>
          <w:sz w:val="23"/>
          <w:szCs w:val="23"/>
        </w:rPr>
      </w:pPr>
      <w:r>
        <w:rPr>
          <w:rFonts w:ascii="宋体" w:hAnsi="宋体" w:eastAsia="宋体" w:cs="宋体"/>
          <w:spacing w:val="5"/>
          <w:sz w:val="23"/>
          <w:szCs w:val="23"/>
        </w:rPr>
        <w:t xml:space="preserve">监测数据表明：厂区所处声环境现状监测值均优于 </w:t>
      </w:r>
      <w:r>
        <w:rPr>
          <w:rFonts w:ascii="Times New Roman" w:hAnsi="Times New Roman" w:eastAsia="Times New Roman" w:cs="Times New Roman"/>
          <w:spacing w:val="5"/>
          <w:sz w:val="23"/>
          <w:szCs w:val="23"/>
        </w:rPr>
        <w:t xml:space="preserve">3 </w:t>
      </w:r>
      <w:r>
        <w:rPr>
          <w:rFonts w:ascii="宋体" w:hAnsi="宋体" w:eastAsia="宋体" w:cs="宋体"/>
          <w:spacing w:val="5"/>
          <w:sz w:val="23"/>
          <w:szCs w:val="23"/>
        </w:rPr>
        <w:t>类标准要求，表明</w:t>
      </w:r>
      <w:r>
        <w:rPr>
          <w:rFonts w:ascii="宋体" w:hAnsi="宋体" w:eastAsia="宋体" w:cs="宋体"/>
          <w:spacing w:val="3"/>
          <w:sz w:val="23"/>
          <w:szCs w:val="23"/>
        </w:rPr>
        <w:t>该</w:t>
      </w:r>
      <w:r>
        <w:rPr>
          <w:rFonts w:ascii="宋体" w:hAnsi="宋体" w:eastAsia="宋体" w:cs="宋体"/>
          <w:sz w:val="23"/>
          <w:szCs w:val="23"/>
        </w:rPr>
        <w:t xml:space="preserve">区 </w:t>
      </w:r>
      <w:r>
        <w:rPr>
          <w:rFonts w:ascii="宋体" w:hAnsi="宋体" w:eastAsia="宋体" w:cs="宋体"/>
          <w:spacing w:val="8"/>
          <w:sz w:val="23"/>
          <w:szCs w:val="23"/>
        </w:rPr>
        <w:t>域声环境本底值较好</w:t>
      </w:r>
      <w:r>
        <w:rPr>
          <w:rFonts w:ascii="宋体" w:hAnsi="宋体" w:eastAsia="宋体" w:cs="宋体"/>
          <w:spacing w:val="7"/>
          <w:sz w:val="23"/>
          <w:szCs w:val="23"/>
        </w:rPr>
        <w:t>。</w:t>
      </w:r>
    </w:p>
    <w:p w14:paraId="4E03A789">
      <w:pPr>
        <w:spacing w:before="101" w:line="219" w:lineRule="auto"/>
        <w:ind w:left="32"/>
        <w:rPr>
          <w:rFonts w:ascii="宋体" w:hAnsi="宋体" w:eastAsia="宋体" w:cs="宋体"/>
          <w:sz w:val="28"/>
          <w:szCs w:val="28"/>
        </w:rPr>
      </w:pPr>
      <w:r>
        <w:rPr>
          <w:rFonts w:ascii="Times New Roman" w:hAnsi="Times New Roman" w:eastAsia="Times New Roman" w:cs="Times New Roman"/>
          <w:b/>
          <w:bCs/>
          <w:spacing w:val="-1"/>
          <w:sz w:val="28"/>
          <w:szCs w:val="28"/>
        </w:rPr>
        <w:t>10.1.5</w:t>
      </w:r>
      <w:r>
        <w:rPr>
          <w:rFonts w:ascii="Times New Roman" w:hAnsi="Times New Roman" w:eastAsia="Times New Roman" w:cs="Times New Roman"/>
          <w:b/>
          <w:bCs/>
          <w:sz w:val="28"/>
          <w:szCs w:val="28"/>
        </w:rPr>
        <w:t>.4</w:t>
      </w:r>
      <w:r>
        <w:rPr>
          <w:rFonts w:ascii="Times New Roman" w:hAnsi="Times New Roman" w:eastAsia="Times New Roman" w:cs="Times New Roman"/>
          <w:sz w:val="28"/>
          <w:szCs w:val="28"/>
        </w:rPr>
        <w:t xml:space="preserve">  </w:t>
      </w:r>
      <w:r>
        <w:rPr>
          <w:rFonts w:ascii="宋体" w:hAnsi="宋体" w:eastAsia="宋体" w:cs="宋体"/>
          <w:sz w:val="28"/>
          <w:szCs w:val="28"/>
          <w14:textOutline w14:w="5103" w14:cap="sq" w14:cmpd="sng">
            <w14:solidFill>
              <w14:srgbClr w14:val="000000"/>
            </w14:solidFill>
            <w14:prstDash w14:val="solid"/>
            <w14:bevel/>
          </w14:textOutline>
        </w:rPr>
        <w:t>壤环境质量现状评价结论</w:t>
      </w:r>
    </w:p>
    <w:p w14:paraId="04143F48">
      <w:pPr>
        <w:spacing w:line="264" w:lineRule="auto"/>
        <w:rPr>
          <w:rFonts w:ascii="Arial"/>
          <w:sz w:val="21"/>
        </w:rPr>
      </w:pPr>
    </w:p>
    <w:p w14:paraId="2BB81BBF">
      <w:pPr>
        <w:spacing w:before="75" w:line="389" w:lineRule="auto"/>
        <w:ind w:left="23" w:right="26" w:firstLine="480"/>
        <w:rPr>
          <w:rFonts w:ascii="宋体" w:hAnsi="宋体" w:eastAsia="宋体" w:cs="宋体"/>
          <w:sz w:val="20"/>
          <w:szCs w:val="20"/>
        </w:rPr>
      </w:pPr>
      <w:r>
        <w:rPr>
          <w:rFonts w:ascii="宋体" w:hAnsi="宋体" w:eastAsia="宋体" w:cs="宋体"/>
          <w:spacing w:val="8"/>
          <w:sz w:val="23"/>
          <w:szCs w:val="23"/>
        </w:rPr>
        <w:t>监测数据表明：建设项目占地范围内土壤酸化、碱化强度为无酸化或碱化</w:t>
      </w:r>
      <w:r>
        <w:rPr>
          <w:rFonts w:ascii="宋体" w:hAnsi="宋体" w:eastAsia="宋体" w:cs="宋体"/>
          <w:spacing w:val="5"/>
          <w:sz w:val="23"/>
          <w:szCs w:val="23"/>
        </w:rPr>
        <w:t>，</w:t>
      </w:r>
      <w:r>
        <w:rPr>
          <w:rFonts w:ascii="宋体" w:hAnsi="宋体" w:eastAsia="宋体" w:cs="宋体"/>
          <w:sz w:val="23"/>
          <w:szCs w:val="23"/>
        </w:rPr>
        <w:t xml:space="preserve"> </w:t>
      </w:r>
      <w:r>
        <w:rPr>
          <w:rFonts w:ascii="宋体" w:hAnsi="宋体" w:eastAsia="宋体" w:cs="宋体"/>
          <w:spacing w:val="12"/>
          <w:sz w:val="23"/>
          <w:szCs w:val="23"/>
        </w:rPr>
        <w:t>盐化</w:t>
      </w:r>
      <w:r>
        <w:rPr>
          <w:rFonts w:ascii="宋体" w:hAnsi="宋体" w:eastAsia="宋体" w:cs="宋体"/>
          <w:spacing w:val="11"/>
          <w:sz w:val="23"/>
          <w:szCs w:val="23"/>
        </w:rPr>
        <w:t>等</w:t>
      </w:r>
      <w:r>
        <w:rPr>
          <w:rFonts w:ascii="宋体" w:hAnsi="宋体" w:eastAsia="宋体" w:cs="宋体"/>
          <w:spacing w:val="6"/>
          <w:sz w:val="23"/>
          <w:szCs w:val="23"/>
        </w:rPr>
        <w:t>级为中度盐化，</w:t>
      </w:r>
      <w:r>
        <w:rPr>
          <w:rFonts w:ascii="宋体" w:hAnsi="宋体" w:eastAsia="宋体" w:cs="宋体"/>
          <w:spacing w:val="6"/>
          <w:sz w:val="20"/>
          <w:szCs w:val="20"/>
        </w:rPr>
        <w:t xml:space="preserve">监测点位的土壤各项因子标准指数值均小于 </w:t>
      </w:r>
      <w:r>
        <w:rPr>
          <w:rFonts w:ascii="Times New Roman" w:hAnsi="Times New Roman" w:eastAsia="Times New Roman" w:cs="Times New Roman"/>
          <w:spacing w:val="6"/>
          <w:sz w:val="20"/>
          <w:szCs w:val="20"/>
        </w:rPr>
        <w:t xml:space="preserve">1 </w:t>
      </w:r>
      <w:r>
        <w:rPr>
          <w:rFonts w:ascii="宋体" w:hAnsi="宋体" w:eastAsia="宋体" w:cs="宋体"/>
          <w:spacing w:val="6"/>
          <w:sz w:val="20"/>
          <w:szCs w:val="20"/>
        </w:rPr>
        <w:t>，能够满足</w:t>
      </w:r>
      <w:r>
        <w:rPr>
          <w:rFonts w:ascii="宋体" w:hAnsi="宋体" w:eastAsia="宋体" w:cs="宋体"/>
          <w:spacing w:val="6"/>
          <w:sz w:val="23"/>
          <w:szCs w:val="23"/>
        </w:rPr>
        <w:t>《土壤</w:t>
      </w:r>
      <w:r>
        <w:rPr>
          <w:rFonts w:ascii="宋体" w:hAnsi="宋体" w:eastAsia="宋体" w:cs="宋体"/>
          <w:sz w:val="23"/>
          <w:szCs w:val="23"/>
        </w:rPr>
        <w:t xml:space="preserve"> </w:t>
      </w:r>
      <w:r>
        <w:rPr>
          <w:rFonts w:ascii="宋体" w:hAnsi="宋体" w:eastAsia="宋体" w:cs="宋体"/>
          <w:spacing w:val="8"/>
          <w:sz w:val="23"/>
          <w:szCs w:val="23"/>
        </w:rPr>
        <w:t xml:space="preserve">环境质量 </w:t>
      </w:r>
      <w:r>
        <w:rPr>
          <w:rFonts w:ascii="宋体" w:hAnsi="宋体" w:eastAsia="宋体" w:cs="宋体"/>
          <w:spacing w:val="6"/>
          <w:sz w:val="23"/>
          <w:szCs w:val="23"/>
        </w:rPr>
        <w:t>建</w:t>
      </w:r>
      <w:r>
        <w:rPr>
          <w:rFonts w:ascii="宋体" w:hAnsi="宋体" w:eastAsia="宋体" w:cs="宋体"/>
          <w:spacing w:val="4"/>
          <w:sz w:val="23"/>
          <w:szCs w:val="23"/>
        </w:rPr>
        <w:t>设用地土壤污染风险管控标准 (试行) 》  (</w:t>
      </w:r>
      <w:r>
        <w:rPr>
          <w:rFonts w:ascii="Times New Roman" w:hAnsi="Times New Roman" w:eastAsia="Times New Roman" w:cs="Times New Roman"/>
          <w:sz w:val="23"/>
          <w:szCs w:val="23"/>
        </w:rPr>
        <w:t>GB</w:t>
      </w:r>
      <w:r>
        <w:rPr>
          <w:rFonts w:ascii="Times New Roman" w:hAnsi="Times New Roman" w:eastAsia="Times New Roman" w:cs="Times New Roman"/>
          <w:spacing w:val="4"/>
          <w:sz w:val="23"/>
          <w:szCs w:val="23"/>
        </w:rPr>
        <w:t>36600-2018</w:t>
      </w:r>
      <w:r>
        <w:rPr>
          <w:rFonts w:ascii="宋体" w:hAnsi="宋体" w:eastAsia="宋体" w:cs="宋体"/>
          <w:spacing w:val="4"/>
          <w:sz w:val="23"/>
          <w:szCs w:val="23"/>
        </w:rPr>
        <w:t>) 中筛选</w:t>
      </w:r>
      <w:r>
        <w:rPr>
          <w:rFonts w:ascii="宋体" w:hAnsi="宋体" w:eastAsia="宋体" w:cs="宋体"/>
          <w:sz w:val="23"/>
          <w:szCs w:val="23"/>
        </w:rPr>
        <w:t xml:space="preserve"> </w:t>
      </w:r>
      <w:r>
        <w:rPr>
          <w:rFonts w:ascii="宋体" w:hAnsi="宋体" w:eastAsia="宋体" w:cs="宋体"/>
          <w:spacing w:val="10"/>
          <w:sz w:val="23"/>
          <w:szCs w:val="23"/>
        </w:rPr>
        <w:t>值</w:t>
      </w:r>
      <w:r>
        <w:rPr>
          <w:rFonts w:ascii="宋体" w:hAnsi="宋体" w:eastAsia="宋体" w:cs="宋体"/>
          <w:spacing w:val="9"/>
          <w:sz w:val="23"/>
          <w:szCs w:val="23"/>
        </w:rPr>
        <w:t>第二类标准</w:t>
      </w:r>
      <w:r>
        <w:rPr>
          <w:rFonts w:ascii="宋体" w:hAnsi="宋体" w:eastAsia="宋体" w:cs="宋体"/>
          <w:spacing w:val="9"/>
          <w:sz w:val="20"/>
          <w:szCs w:val="20"/>
        </w:rPr>
        <w:t>；说明评价区域内土壤环境质量较好。</w:t>
      </w:r>
    </w:p>
    <w:p w14:paraId="4B8337BD">
      <w:pPr>
        <w:spacing w:before="86" w:line="226" w:lineRule="auto"/>
        <w:ind w:left="33"/>
        <w:outlineLvl w:val="2"/>
        <w:rPr>
          <w:rFonts w:ascii="宋体" w:hAnsi="宋体" w:eastAsia="宋体" w:cs="宋体"/>
          <w:sz w:val="29"/>
          <w:szCs w:val="29"/>
        </w:rPr>
      </w:pPr>
      <w:r>
        <w:rPr>
          <w:rFonts w:ascii="Times New Roman" w:hAnsi="Times New Roman" w:eastAsia="Times New Roman" w:cs="Times New Roman"/>
          <w:b/>
          <w:bCs/>
          <w:spacing w:val="7"/>
          <w:sz w:val="29"/>
          <w:szCs w:val="29"/>
        </w:rPr>
        <w:t>1</w:t>
      </w:r>
      <w:r>
        <w:rPr>
          <w:rFonts w:ascii="Times New Roman" w:hAnsi="Times New Roman" w:eastAsia="Times New Roman" w:cs="Times New Roman"/>
          <w:b/>
          <w:bCs/>
          <w:spacing w:val="6"/>
          <w:sz w:val="29"/>
          <w:szCs w:val="29"/>
        </w:rPr>
        <w:t>0.1.6</w:t>
      </w:r>
      <w:r>
        <w:rPr>
          <w:rFonts w:ascii="Times New Roman" w:hAnsi="Times New Roman" w:eastAsia="Times New Roman" w:cs="Times New Roman"/>
          <w:spacing w:val="6"/>
          <w:sz w:val="29"/>
          <w:szCs w:val="29"/>
        </w:rPr>
        <w:t xml:space="preserve">  </w:t>
      </w:r>
      <w:r>
        <w:rPr>
          <w:rFonts w:ascii="宋体" w:hAnsi="宋体" w:eastAsia="宋体" w:cs="宋体"/>
          <w:spacing w:val="6"/>
          <w:sz w:val="29"/>
          <w:szCs w:val="29"/>
          <w14:textOutline w14:w="5448" w14:cap="sq" w14:cmpd="sng">
            <w14:solidFill>
              <w14:srgbClr w14:val="000000"/>
            </w14:solidFill>
            <w14:prstDash w14:val="solid"/>
            <w14:bevel/>
          </w14:textOutline>
        </w:rPr>
        <w:t>污染防治措施结论</w:t>
      </w:r>
    </w:p>
    <w:p w14:paraId="2EC8F96E">
      <w:pPr>
        <w:spacing w:before="296" w:line="221" w:lineRule="auto"/>
        <w:ind w:left="32"/>
        <w:rPr>
          <w:rFonts w:ascii="宋体" w:hAnsi="宋体" w:eastAsia="宋体" w:cs="宋体"/>
          <w:sz w:val="28"/>
          <w:szCs w:val="28"/>
        </w:rPr>
      </w:pPr>
      <w:r>
        <w:rPr>
          <w:rFonts w:ascii="Times New Roman" w:hAnsi="Times New Roman" w:eastAsia="Times New Roman" w:cs="Times New Roman"/>
          <w:b/>
          <w:bCs/>
          <w:spacing w:val="-2"/>
          <w:sz w:val="28"/>
          <w:szCs w:val="28"/>
        </w:rPr>
        <w:t>10.1.6</w:t>
      </w:r>
      <w:r>
        <w:rPr>
          <w:rFonts w:ascii="Times New Roman" w:hAnsi="Times New Roman" w:eastAsia="Times New Roman" w:cs="Times New Roman"/>
          <w:b/>
          <w:bCs/>
          <w:spacing w:val="-1"/>
          <w:sz w:val="28"/>
          <w:szCs w:val="28"/>
        </w:rPr>
        <w:t>.1</w:t>
      </w:r>
      <w:r>
        <w:rPr>
          <w:rFonts w:ascii="Times New Roman" w:hAnsi="Times New Roman" w:eastAsia="Times New Roman" w:cs="Times New Roman"/>
          <w:spacing w:val="-1"/>
          <w:sz w:val="28"/>
          <w:szCs w:val="28"/>
        </w:rPr>
        <w:t xml:space="preserve">  </w:t>
      </w:r>
      <w:r>
        <w:rPr>
          <w:rFonts w:ascii="宋体" w:hAnsi="宋体" w:eastAsia="宋体" w:cs="宋体"/>
          <w:spacing w:val="-1"/>
          <w:sz w:val="28"/>
          <w:szCs w:val="28"/>
          <w14:textOutline w14:w="5103" w14:cap="sq" w14:cmpd="sng">
            <w14:solidFill>
              <w14:srgbClr w14:val="000000"/>
            </w14:solidFill>
            <w14:prstDash w14:val="solid"/>
            <w14:bevel/>
          </w14:textOutline>
        </w:rPr>
        <w:t>废气</w:t>
      </w:r>
    </w:p>
    <w:p w14:paraId="5589F7A8">
      <w:pPr>
        <w:spacing w:line="260" w:lineRule="auto"/>
        <w:rPr>
          <w:rFonts w:ascii="Arial"/>
          <w:sz w:val="21"/>
        </w:rPr>
      </w:pPr>
    </w:p>
    <w:p w14:paraId="75218CE9">
      <w:pPr>
        <w:spacing w:before="75" w:line="228" w:lineRule="auto"/>
        <w:ind w:left="502"/>
        <w:rPr>
          <w:rFonts w:ascii="宋体" w:hAnsi="宋体" w:eastAsia="宋体" w:cs="宋体"/>
          <w:sz w:val="23"/>
          <w:szCs w:val="23"/>
        </w:rPr>
      </w:pPr>
      <w:r>
        <w:rPr>
          <w:rFonts w:ascii="宋体" w:hAnsi="宋体" w:eastAsia="宋体" w:cs="宋体"/>
          <w:spacing w:val="18"/>
          <w:sz w:val="23"/>
          <w:szCs w:val="23"/>
        </w:rPr>
        <w:t>施</w:t>
      </w:r>
      <w:r>
        <w:rPr>
          <w:rFonts w:ascii="宋体" w:hAnsi="宋体" w:eastAsia="宋体" w:cs="宋体"/>
          <w:spacing w:val="11"/>
          <w:sz w:val="23"/>
          <w:szCs w:val="23"/>
        </w:rPr>
        <w:t>工</w:t>
      </w:r>
      <w:r>
        <w:rPr>
          <w:rFonts w:ascii="宋体" w:hAnsi="宋体" w:eastAsia="宋体" w:cs="宋体"/>
          <w:spacing w:val="9"/>
          <w:sz w:val="23"/>
          <w:szCs w:val="23"/>
        </w:rPr>
        <w:t>期：采取加强管理、厂界设置围挡、洒水等措施减少扬尘排放；</w:t>
      </w:r>
    </w:p>
    <w:p w14:paraId="6B42F4FB">
      <w:pPr>
        <w:spacing w:line="274" w:lineRule="auto"/>
        <w:rPr>
          <w:rFonts w:ascii="Arial"/>
          <w:sz w:val="21"/>
        </w:rPr>
      </w:pPr>
    </w:p>
    <w:p w14:paraId="5AFAD4D4">
      <w:pPr>
        <w:spacing w:before="75" w:line="391" w:lineRule="auto"/>
        <w:ind w:left="22" w:right="61" w:firstLine="480"/>
        <w:rPr>
          <w:rFonts w:ascii="宋体" w:hAnsi="宋体" w:eastAsia="宋体" w:cs="宋体"/>
          <w:sz w:val="23"/>
          <w:szCs w:val="23"/>
        </w:rPr>
      </w:pPr>
      <w:r>
        <w:rPr>
          <w:rFonts w:ascii="宋体" w:hAnsi="宋体" w:eastAsia="宋体" w:cs="宋体"/>
          <w:spacing w:val="7"/>
          <w:sz w:val="23"/>
          <w:szCs w:val="23"/>
        </w:rPr>
        <w:t>运营期：①该项目项目无组织废气主要是生产过程中未被集气罩收集到而</w:t>
      </w:r>
      <w:r>
        <w:rPr>
          <w:rFonts w:ascii="宋体" w:hAnsi="宋体" w:eastAsia="宋体" w:cs="宋体"/>
          <w:spacing w:val="3"/>
          <w:sz w:val="23"/>
          <w:szCs w:val="23"/>
        </w:rPr>
        <w:t>逸</w:t>
      </w:r>
      <w:r>
        <w:rPr>
          <w:rFonts w:ascii="宋体" w:hAnsi="宋体" w:eastAsia="宋体" w:cs="宋体"/>
          <w:sz w:val="23"/>
          <w:szCs w:val="23"/>
        </w:rPr>
        <w:t xml:space="preserve"> </w:t>
      </w:r>
      <w:r>
        <w:rPr>
          <w:rFonts w:ascii="宋体" w:hAnsi="宋体" w:eastAsia="宋体" w:cs="宋体"/>
          <w:spacing w:val="9"/>
          <w:sz w:val="23"/>
          <w:szCs w:val="23"/>
        </w:rPr>
        <w:t>散</w:t>
      </w:r>
      <w:r>
        <w:rPr>
          <w:rFonts w:ascii="宋体" w:hAnsi="宋体" w:eastAsia="宋体" w:cs="宋体"/>
          <w:spacing w:val="7"/>
          <w:sz w:val="23"/>
          <w:szCs w:val="23"/>
        </w:rPr>
        <w:t>到空气中的有机废气和颗粒物，废气以无组织的形式扩散到周围大气中。对于</w:t>
      </w:r>
      <w:r>
        <w:rPr>
          <w:rFonts w:ascii="宋体" w:hAnsi="宋体" w:eastAsia="宋体" w:cs="宋体"/>
          <w:sz w:val="23"/>
          <w:szCs w:val="23"/>
        </w:rPr>
        <w:t xml:space="preserve"> </w:t>
      </w:r>
      <w:r>
        <w:rPr>
          <w:rFonts w:ascii="宋体" w:hAnsi="宋体" w:eastAsia="宋体" w:cs="宋体"/>
          <w:spacing w:val="9"/>
          <w:sz w:val="23"/>
          <w:szCs w:val="23"/>
        </w:rPr>
        <w:t>无</w:t>
      </w:r>
      <w:r>
        <w:rPr>
          <w:rFonts w:ascii="宋体" w:hAnsi="宋体" w:eastAsia="宋体" w:cs="宋体"/>
          <w:spacing w:val="7"/>
          <w:sz w:val="23"/>
          <w:szCs w:val="23"/>
        </w:rPr>
        <w:t>组织废气，要求加强车间通风，所有操作严格按照既定的规程进行，以减少无</w:t>
      </w:r>
    </w:p>
    <w:p w14:paraId="177F4D09">
      <w:pPr>
        <w:sectPr>
          <w:headerReference r:id="rId337" w:type="default"/>
          <w:footerReference r:id="rId338" w:type="default"/>
          <w:pgSz w:w="11906" w:h="16839"/>
          <w:pgMar w:top="1132" w:right="1738" w:bottom="1182" w:left="1785" w:header="878" w:footer="1022" w:gutter="0"/>
          <w:cols w:space="720" w:num="1"/>
        </w:sectPr>
      </w:pPr>
    </w:p>
    <w:p w14:paraId="5BCE03E7">
      <w:pPr>
        <w:spacing w:line="406" w:lineRule="auto"/>
        <w:rPr>
          <w:rFonts w:ascii="Arial"/>
          <w:sz w:val="21"/>
        </w:rPr>
      </w:pPr>
      <w:r>
        <w:pict>
          <v:shape id="_x0000_s1389" o:spid="_x0000_s1389" style="position:absolute;left:0pt;margin-left:90pt;margin-top:57.35pt;height:0.75pt;width:415.3pt;mso-position-horizontal-relative:page;mso-position-vertical-relative:page;z-index:252085248;mso-width-relative:page;mso-height-relative:page;" fillcolor="#000000" filled="t" stroked="f" coordsize="8305,15" o:allowincell="f" path="m0,0l8305,0,8305,14,0,14,0,0xe">
            <v:path/>
            <v:fill on="t" focussize="0,0"/>
            <v:stroke on="f"/>
            <v:imagedata o:title=""/>
            <o:lock v:ext="edit"/>
          </v:shape>
        </w:pict>
      </w:r>
    </w:p>
    <w:p w14:paraId="6B23EC82">
      <w:pPr>
        <w:spacing w:before="75" w:line="385" w:lineRule="auto"/>
        <w:ind w:left="15" w:firstLine="11"/>
        <w:rPr>
          <w:rFonts w:ascii="宋体" w:hAnsi="宋体" w:eastAsia="宋体" w:cs="宋体"/>
          <w:sz w:val="23"/>
          <w:szCs w:val="23"/>
        </w:rPr>
      </w:pPr>
      <w:r>
        <w:rPr>
          <w:rFonts w:ascii="宋体" w:hAnsi="宋体" w:eastAsia="宋体" w:cs="宋体"/>
          <w:spacing w:val="7"/>
          <w:sz w:val="23"/>
          <w:szCs w:val="23"/>
        </w:rPr>
        <w:t>组织废气排放；②该项目使用的原料均为无毒、无害物质，建设单位在每条生</w:t>
      </w:r>
      <w:r>
        <w:rPr>
          <w:rFonts w:ascii="宋体" w:hAnsi="宋体" w:eastAsia="宋体" w:cs="宋体"/>
          <w:spacing w:val="6"/>
          <w:sz w:val="23"/>
          <w:szCs w:val="23"/>
        </w:rPr>
        <w:t>产</w:t>
      </w:r>
      <w:r>
        <w:rPr>
          <w:rFonts w:ascii="宋体" w:hAnsi="宋体" w:eastAsia="宋体" w:cs="宋体"/>
          <w:sz w:val="23"/>
          <w:szCs w:val="23"/>
        </w:rPr>
        <w:t xml:space="preserve"> </w:t>
      </w:r>
      <w:r>
        <w:rPr>
          <w:rFonts w:ascii="宋体" w:hAnsi="宋体" w:eastAsia="宋体" w:cs="宋体"/>
          <w:spacing w:val="10"/>
          <w:sz w:val="23"/>
          <w:szCs w:val="23"/>
        </w:rPr>
        <w:t>线</w:t>
      </w:r>
      <w:r>
        <w:rPr>
          <w:rFonts w:ascii="宋体" w:hAnsi="宋体" w:eastAsia="宋体" w:cs="宋体"/>
          <w:spacing w:val="9"/>
          <w:sz w:val="23"/>
          <w:szCs w:val="23"/>
        </w:rPr>
        <w:t>的</w:t>
      </w:r>
      <w:r>
        <w:rPr>
          <w:rFonts w:ascii="宋体" w:hAnsi="宋体" w:eastAsia="宋体" w:cs="宋体"/>
          <w:spacing w:val="5"/>
          <w:sz w:val="23"/>
          <w:szCs w:val="23"/>
        </w:rPr>
        <w:t xml:space="preserve">热熔造粒工序均设置 </w:t>
      </w:r>
      <w:r>
        <w:rPr>
          <w:rFonts w:ascii="Times New Roman" w:hAnsi="Times New Roman" w:eastAsia="Times New Roman" w:cs="Times New Roman"/>
          <w:spacing w:val="5"/>
          <w:sz w:val="23"/>
          <w:szCs w:val="23"/>
        </w:rPr>
        <w:t xml:space="preserve">1 </w:t>
      </w:r>
      <w:r>
        <w:rPr>
          <w:rFonts w:ascii="宋体" w:hAnsi="宋体" w:eastAsia="宋体" w:cs="宋体"/>
          <w:spacing w:val="5"/>
          <w:sz w:val="23"/>
          <w:szCs w:val="23"/>
        </w:rPr>
        <w:t xml:space="preserve">个集气罩 (集气罩采用伞形罩，在设备约 </w:t>
      </w:r>
      <w:r>
        <w:rPr>
          <w:rFonts w:ascii="Times New Roman" w:hAnsi="Times New Roman" w:eastAsia="Times New Roman" w:cs="Times New Roman"/>
          <w:spacing w:val="5"/>
          <w:sz w:val="23"/>
          <w:szCs w:val="23"/>
        </w:rPr>
        <w:t>30</w:t>
      </w:r>
      <w:r>
        <w:rPr>
          <w:rFonts w:ascii="Times New Roman" w:hAnsi="Times New Roman" w:eastAsia="Times New Roman" w:cs="Times New Roman"/>
          <w:sz w:val="23"/>
          <w:szCs w:val="23"/>
        </w:rPr>
        <w:t>cm</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rPr>
        <w:t>的正</w:t>
      </w:r>
      <w:r>
        <w:rPr>
          <w:rFonts w:ascii="宋体" w:hAnsi="宋体" w:eastAsia="宋体" w:cs="宋体"/>
          <w:sz w:val="23"/>
          <w:szCs w:val="23"/>
        </w:rPr>
        <w:t xml:space="preserve"> </w:t>
      </w:r>
      <w:r>
        <w:rPr>
          <w:rFonts w:ascii="宋体" w:hAnsi="宋体" w:eastAsia="宋体" w:cs="宋体"/>
          <w:spacing w:val="3"/>
          <w:sz w:val="23"/>
          <w:szCs w:val="23"/>
        </w:rPr>
        <w:t xml:space="preserve">上方，集气罩集气效率为 </w:t>
      </w:r>
      <w:r>
        <w:rPr>
          <w:rFonts w:ascii="Times New Roman" w:hAnsi="Times New Roman" w:eastAsia="Times New Roman" w:cs="Times New Roman"/>
          <w:spacing w:val="3"/>
          <w:sz w:val="23"/>
          <w:szCs w:val="23"/>
        </w:rPr>
        <w:t>90%</w:t>
      </w:r>
      <w:r>
        <w:rPr>
          <w:rFonts w:ascii="宋体" w:hAnsi="宋体" w:eastAsia="宋体" w:cs="宋体"/>
          <w:spacing w:val="3"/>
          <w:sz w:val="23"/>
          <w:szCs w:val="23"/>
        </w:rPr>
        <w:t xml:space="preserve">) ，共计 </w:t>
      </w:r>
      <w:r>
        <w:rPr>
          <w:rFonts w:ascii="Times New Roman" w:hAnsi="Times New Roman" w:eastAsia="Times New Roman" w:cs="Times New Roman"/>
          <w:spacing w:val="3"/>
          <w:sz w:val="23"/>
          <w:szCs w:val="23"/>
        </w:rPr>
        <w:t xml:space="preserve">10 </w:t>
      </w:r>
      <w:r>
        <w:rPr>
          <w:rFonts w:ascii="宋体" w:hAnsi="宋体" w:eastAsia="宋体" w:cs="宋体"/>
          <w:spacing w:val="3"/>
          <w:sz w:val="23"/>
          <w:szCs w:val="23"/>
        </w:rPr>
        <w:t xml:space="preserve">个集气罩。与此同时，项目设有 </w:t>
      </w:r>
      <w:r>
        <w:rPr>
          <w:rFonts w:ascii="Times New Roman" w:hAnsi="Times New Roman" w:eastAsia="Times New Roman" w:cs="Times New Roman"/>
          <w:spacing w:val="3"/>
          <w:sz w:val="23"/>
          <w:szCs w:val="23"/>
        </w:rPr>
        <w:t>2</w:t>
      </w:r>
      <w:r>
        <w:rPr>
          <w:rFonts w:ascii="Times New Roman" w:hAnsi="Times New Roman" w:eastAsia="Times New Roman" w:cs="Times New Roman"/>
          <w:spacing w:val="1"/>
          <w:sz w:val="23"/>
          <w:szCs w:val="23"/>
        </w:rPr>
        <w:t xml:space="preserve"> </w:t>
      </w:r>
      <w:r>
        <w:rPr>
          <w:rFonts w:ascii="宋体" w:hAnsi="宋体" w:eastAsia="宋体" w:cs="宋体"/>
          <w:sz w:val="23"/>
          <w:szCs w:val="23"/>
        </w:rPr>
        <w:t xml:space="preserve">台 </w:t>
      </w:r>
      <w:r>
        <w:rPr>
          <w:rFonts w:ascii="Times New Roman" w:hAnsi="Times New Roman" w:eastAsia="Times New Roman" w:cs="Times New Roman"/>
          <w:sz w:val="23"/>
          <w:szCs w:val="23"/>
        </w:rPr>
        <w:t>UV</w:t>
      </w:r>
      <w:r>
        <w:rPr>
          <w:rFonts w:ascii="Times New Roman" w:hAnsi="Times New Roman" w:eastAsia="Times New Roman" w:cs="Times New Roman"/>
          <w:spacing w:val="14"/>
          <w:sz w:val="23"/>
          <w:szCs w:val="23"/>
        </w:rPr>
        <w:t xml:space="preserve"> </w:t>
      </w:r>
      <w:r>
        <w:rPr>
          <w:rFonts w:ascii="宋体" w:hAnsi="宋体" w:eastAsia="宋体" w:cs="宋体"/>
          <w:spacing w:val="14"/>
          <w:sz w:val="23"/>
          <w:szCs w:val="23"/>
        </w:rPr>
        <w:t>光氧</w:t>
      </w:r>
      <w:r>
        <w:rPr>
          <w:rFonts w:ascii="宋体" w:hAnsi="宋体" w:eastAsia="宋体" w:cs="宋体"/>
          <w:spacing w:val="7"/>
          <w:sz w:val="23"/>
          <w:szCs w:val="23"/>
        </w:rPr>
        <w:t xml:space="preserve">催化废气处理装置以及 </w:t>
      </w:r>
      <w:r>
        <w:rPr>
          <w:rFonts w:ascii="Times New Roman" w:hAnsi="Times New Roman" w:eastAsia="Times New Roman" w:cs="Times New Roman"/>
          <w:spacing w:val="7"/>
          <w:sz w:val="23"/>
          <w:szCs w:val="23"/>
        </w:rPr>
        <w:t xml:space="preserve">2 </w:t>
      </w:r>
      <w:r>
        <w:rPr>
          <w:rFonts w:ascii="宋体" w:hAnsi="宋体" w:eastAsia="宋体" w:cs="宋体"/>
          <w:spacing w:val="7"/>
          <w:sz w:val="23"/>
          <w:szCs w:val="23"/>
        </w:rPr>
        <w:t>台活性炭吸附装置，</w:t>
      </w:r>
      <w:r>
        <w:rPr>
          <w:rFonts w:ascii="Times New Roman" w:hAnsi="Times New Roman" w:eastAsia="Times New Roman" w:cs="Times New Roman"/>
          <w:spacing w:val="7"/>
          <w:sz w:val="23"/>
          <w:szCs w:val="23"/>
        </w:rPr>
        <w:t xml:space="preserve">1 </w:t>
      </w:r>
      <w:r>
        <w:rPr>
          <w:rFonts w:ascii="宋体" w:hAnsi="宋体" w:eastAsia="宋体" w:cs="宋体"/>
          <w:spacing w:val="7"/>
          <w:sz w:val="23"/>
          <w:szCs w:val="23"/>
        </w:rPr>
        <w:t xml:space="preserve">台 </w:t>
      </w:r>
      <w:r>
        <w:rPr>
          <w:rFonts w:ascii="Times New Roman" w:hAnsi="Times New Roman" w:eastAsia="Times New Roman" w:cs="Times New Roman"/>
          <w:sz w:val="23"/>
          <w:szCs w:val="23"/>
        </w:rPr>
        <w:t>UV</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光氧催化废气处</w:t>
      </w:r>
      <w:r>
        <w:rPr>
          <w:rFonts w:ascii="宋体" w:hAnsi="宋体" w:eastAsia="宋体" w:cs="宋体"/>
          <w:sz w:val="23"/>
          <w:szCs w:val="23"/>
        </w:rPr>
        <w:t xml:space="preserve"> </w:t>
      </w:r>
      <w:r>
        <w:rPr>
          <w:rFonts w:ascii="宋体" w:hAnsi="宋体" w:eastAsia="宋体" w:cs="宋体"/>
          <w:spacing w:val="2"/>
          <w:sz w:val="23"/>
          <w:szCs w:val="23"/>
        </w:rPr>
        <w:t xml:space="preserve">理装置和 </w:t>
      </w:r>
      <w:r>
        <w:rPr>
          <w:rFonts w:ascii="Times New Roman" w:hAnsi="Times New Roman" w:eastAsia="Times New Roman" w:cs="Times New Roman"/>
          <w:spacing w:val="2"/>
          <w:sz w:val="23"/>
          <w:szCs w:val="23"/>
        </w:rPr>
        <w:t xml:space="preserve">1 </w:t>
      </w:r>
      <w:r>
        <w:rPr>
          <w:rFonts w:ascii="宋体" w:hAnsi="宋体" w:eastAsia="宋体" w:cs="宋体"/>
          <w:spacing w:val="2"/>
          <w:sz w:val="23"/>
          <w:szCs w:val="23"/>
        </w:rPr>
        <w:t xml:space="preserve">台活性炭吸附装置组成 </w:t>
      </w:r>
      <w:r>
        <w:rPr>
          <w:rFonts w:ascii="Times New Roman" w:hAnsi="Times New Roman" w:eastAsia="Times New Roman" w:cs="Times New Roman"/>
          <w:spacing w:val="2"/>
          <w:sz w:val="23"/>
          <w:szCs w:val="23"/>
        </w:rPr>
        <w:t xml:space="preserve">1 </w:t>
      </w:r>
      <w:r>
        <w:rPr>
          <w:rFonts w:ascii="宋体" w:hAnsi="宋体" w:eastAsia="宋体" w:cs="宋体"/>
          <w:spacing w:val="2"/>
          <w:sz w:val="23"/>
          <w:szCs w:val="23"/>
        </w:rPr>
        <w:t xml:space="preserve">套废气治理装置，则厂区内共计 </w:t>
      </w:r>
      <w:r>
        <w:rPr>
          <w:rFonts w:ascii="Times New Roman" w:hAnsi="Times New Roman" w:eastAsia="Times New Roman" w:cs="Times New Roman"/>
          <w:spacing w:val="2"/>
          <w:sz w:val="23"/>
          <w:szCs w:val="23"/>
        </w:rPr>
        <w:t xml:space="preserve">2 </w:t>
      </w:r>
      <w:r>
        <w:rPr>
          <w:rFonts w:ascii="宋体" w:hAnsi="宋体" w:eastAsia="宋体" w:cs="宋体"/>
          <w:spacing w:val="2"/>
          <w:sz w:val="23"/>
          <w:szCs w:val="23"/>
        </w:rPr>
        <w:t>套废气治</w:t>
      </w:r>
      <w:r>
        <w:rPr>
          <w:rFonts w:ascii="宋体" w:hAnsi="宋体" w:eastAsia="宋体" w:cs="宋体"/>
          <w:sz w:val="23"/>
          <w:szCs w:val="23"/>
        </w:rPr>
        <w:t xml:space="preserve"> </w:t>
      </w:r>
      <w:r>
        <w:rPr>
          <w:rFonts w:ascii="宋体" w:hAnsi="宋体" w:eastAsia="宋体" w:cs="宋体"/>
          <w:spacing w:val="6"/>
          <w:sz w:val="23"/>
          <w:szCs w:val="23"/>
        </w:rPr>
        <w:t>理装置，分别位</w:t>
      </w:r>
      <w:r>
        <w:rPr>
          <w:rFonts w:ascii="宋体" w:hAnsi="宋体" w:eastAsia="宋体" w:cs="宋体"/>
          <w:spacing w:val="5"/>
          <w:sz w:val="23"/>
          <w:szCs w:val="23"/>
        </w:rPr>
        <w:t>于</w:t>
      </w:r>
      <w:r>
        <w:rPr>
          <w:rFonts w:ascii="宋体" w:hAnsi="宋体" w:eastAsia="宋体" w:cs="宋体"/>
          <w:spacing w:val="3"/>
          <w:sz w:val="23"/>
          <w:szCs w:val="23"/>
        </w:rPr>
        <w:t xml:space="preserve">生产厂房东侧、西侧中部。该项目每 </w:t>
      </w:r>
      <w:r>
        <w:rPr>
          <w:rFonts w:ascii="Times New Roman" w:hAnsi="Times New Roman" w:eastAsia="Times New Roman" w:cs="Times New Roman"/>
          <w:spacing w:val="3"/>
          <w:sz w:val="23"/>
          <w:szCs w:val="23"/>
        </w:rPr>
        <w:t xml:space="preserve">5 </w:t>
      </w:r>
      <w:r>
        <w:rPr>
          <w:rFonts w:ascii="宋体" w:hAnsi="宋体" w:eastAsia="宋体" w:cs="宋体"/>
          <w:spacing w:val="3"/>
          <w:sz w:val="23"/>
          <w:szCs w:val="23"/>
        </w:rPr>
        <w:t xml:space="preserve">条生产线共用 </w:t>
      </w:r>
      <w:r>
        <w:rPr>
          <w:rFonts w:ascii="Times New Roman" w:hAnsi="Times New Roman" w:eastAsia="Times New Roman" w:cs="Times New Roman"/>
          <w:spacing w:val="3"/>
          <w:sz w:val="23"/>
          <w:szCs w:val="23"/>
        </w:rPr>
        <w:t xml:space="preserve">1 </w:t>
      </w:r>
      <w:r>
        <w:rPr>
          <w:rFonts w:ascii="宋体" w:hAnsi="宋体" w:eastAsia="宋体" w:cs="宋体"/>
          <w:spacing w:val="3"/>
          <w:sz w:val="23"/>
          <w:szCs w:val="23"/>
        </w:rPr>
        <w:t>套废气</w:t>
      </w:r>
      <w:r>
        <w:rPr>
          <w:rFonts w:ascii="宋体" w:hAnsi="宋体" w:eastAsia="宋体" w:cs="宋体"/>
          <w:sz w:val="23"/>
          <w:szCs w:val="23"/>
        </w:rPr>
        <w:t xml:space="preserve"> </w:t>
      </w:r>
      <w:r>
        <w:rPr>
          <w:rFonts w:ascii="宋体" w:hAnsi="宋体" w:eastAsia="宋体" w:cs="宋体"/>
          <w:spacing w:val="9"/>
          <w:sz w:val="23"/>
          <w:szCs w:val="23"/>
        </w:rPr>
        <w:t xml:space="preserve">处理设施，集气罩收集后的有机废气经由风量为 </w:t>
      </w:r>
      <w:r>
        <w:rPr>
          <w:rFonts w:ascii="Times New Roman" w:hAnsi="Times New Roman" w:eastAsia="Times New Roman" w:cs="Times New Roman"/>
          <w:spacing w:val="9"/>
          <w:sz w:val="23"/>
          <w:szCs w:val="23"/>
        </w:rPr>
        <w:t>5000</w:t>
      </w:r>
      <w:r>
        <w:rPr>
          <w:rFonts w:ascii="Times New Roman" w:hAnsi="Times New Roman" w:eastAsia="Times New Roman" w:cs="Times New Roman"/>
          <w:sz w:val="23"/>
          <w:szCs w:val="23"/>
        </w:rPr>
        <w:t>m</w:t>
      </w:r>
      <w:r>
        <w:rPr>
          <w:rFonts w:ascii="Times New Roman" w:hAnsi="Times New Roman" w:eastAsia="Times New Roman" w:cs="Times New Roman"/>
          <w:spacing w:val="9"/>
          <w:position w:val="8"/>
          <w:sz w:val="15"/>
          <w:szCs w:val="15"/>
        </w:rPr>
        <w:t>3</w:t>
      </w:r>
      <w:r>
        <w:rPr>
          <w:rFonts w:ascii="Times New Roman" w:hAnsi="Times New Roman" w:eastAsia="Times New Roman" w:cs="Times New Roman"/>
          <w:spacing w:val="9"/>
          <w:sz w:val="23"/>
          <w:szCs w:val="23"/>
        </w:rPr>
        <w:t>/</w:t>
      </w:r>
      <w:r>
        <w:rPr>
          <w:rFonts w:ascii="Times New Roman" w:hAnsi="Times New Roman" w:eastAsia="Times New Roman" w:cs="Times New Roman"/>
          <w:sz w:val="23"/>
          <w:szCs w:val="23"/>
        </w:rPr>
        <w:t>h</w:t>
      </w:r>
      <w:r>
        <w:rPr>
          <w:rFonts w:ascii="Times New Roman" w:hAnsi="Times New Roman" w:eastAsia="Times New Roman" w:cs="Times New Roman"/>
          <w:spacing w:val="9"/>
          <w:sz w:val="23"/>
          <w:szCs w:val="23"/>
        </w:rPr>
        <w:t xml:space="preserve"> </w:t>
      </w:r>
      <w:r>
        <w:rPr>
          <w:rFonts w:ascii="宋体" w:hAnsi="宋体" w:eastAsia="宋体" w:cs="宋体"/>
          <w:spacing w:val="9"/>
          <w:sz w:val="23"/>
          <w:szCs w:val="23"/>
        </w:rPr>
        <w:t>的引风机抽入每个厂</w:t>
      </w:r>
      <w:r>
        <w:rPr>
          <w:rFonts w:ascii="宋体" w:hAnsi="宋体" w:eastAsia="宋体" w:cs="宋体"/>
          <w:sz w:val="23"/>
          <w:szCs w:val="23"/>
        </w:rPr>
        <w:t xml:space="preserve"> </w:t>
      </w:r>
      <w:r>
        <w:rPr>
          <w:rFonts w:ascii="宋体" w:hAnsi="宋体" w:eastAsia="宋体" w:cs="宋体"/>
          <w:spacing w:val="9"/>
          <w:sz w:val="23"/>
          <w:szCs w:val="23"/>
        </w:rPr>
        <w:t xml:space="preserve">房内各自设置的废气治理装置中，经过 </w:t>
      </w:r>
      <w:r>
        <w:rPr>
          <w:rFonts w:ascii="Times New Roman" w:hAnsi="Times New Roman" w:eastAsia="Times New Roman" w:cs="Times New Roman"/>
          <w:sz w:val="23"/>
          <w:szCs w:val="23"/>
        </w:rPr>
        <w:t>UV</w:t>
      </w:r>
      <w:r>
        <w:rPr>
          <w:rFonts w:ascii="Times New Roman" w:hAnsi="Times New Roman" w:eastAsia="Times New Roman" w:cs="Times New Roman"/>
          <w:spacing w:val="9"/>
          <w:sz w:val="23"/>
          <w:szCs w:val="23"/>
        </w:rPr>
        <w:t xml:space="preserve"> </w:t>
      </w:r>
      <w:r>
        <w:rPr>
          <w:rFonts w:ascii="宋体" w:hAnsi="宋体" w:eastAsia="宋体" w:cs="宋体"/>
          <w:spacing w:val="9"/>
          <w:sz w:val="23"/>
          <w:szCs w:val="23"/>
        </w:rPr>
        <w:t>光氧催化废气处理装置</w:t>
      </w:r>
      <w:r>
        <w:rPr>
          <w:rFonts w:ascii="Times New Roman" w:hAnsi="Times New Roman" w:eastAsia="Times New Roman" w:cs="Times New Roman"/>
          <w:spacing w:val="9"/>
          <w:sz w:val="23"/>
          <w:szCs w:val="23"/>
        </w:rPr>
        <w:t>+</w:t>
      </w:r>
      <w:r>
        <w:rPr>
          <w:rFonts w:ascii="宋体" w:hAnsi="宋体" w:eastAsia="宋体" w:cs="宋体"/>
          <w:spacing w:val="9"/>
          <w:sz w:val="23"/>
          <w:szCs w:val="23"/>
        </w:rPr>
        <w:t>活性炭吸</w:t>
      </w:r>
      <w:r>
        <w:rPr>
          <w:rFonts w:ascii="宋体" w:hAnsi="宋体" w:eastAsia="宋体" w:cs="宋体"/>
          <w:spacing w:val="4"/>
          <w:sz w:val="23"/>
          <w:szCs w:val="23"/>
        </w:rPr>
        <w:t>附</w:t>
      </w:r>
      <w:r>
        <w:rPr>
          <w:rFonts w:ascii="宋体" w:hAnsi="宋体" w:eastAsia="宋体" w:cs="宋体"/>
          <w:sz w:val="23"/>
          <w:szCs w:val="23"/>
        </w:rPr>
        <w:t xml:space="preserve"> </w:t>
      </w:r>
      <w:r>
        <w:rPr>
          <w:rFonts w:ascii="宋体" w:hAnsi="宋体" w:eastAsia="宋体" w:cs="宋体"/>
          <w:spacing w:val="14"/>
          <w:sz w:val="23"/>
          <w:szCs w:val="23"/>
        </w:rPr>
        <w:t>装置</w:t>
      </w:r>
      <w:r>
        <w:rPr>
          <w:rFonts w:ascii="宋体" w:hAnsi="宋体" w:eastAsia="宋体" w:cs="宋体"/>
          <w:spacing w:val="12"/>
          <w:sz w:val="23"/>
          <w:szCs w:val="23"/>
        </w:rPr>
        <w:t>处</w:t>
      </w:r>
      <w:r>
        <w:rPr>
          <w:rFonts w:ascii="宋体" w:hAnsi="宋体" w:eastAsia="宋体" w:cs="宋体"/>
          <w:spacing w:val="7"/>
          <w:sz w:val="23"/>
          <w:szCs w:val="23"/>
        </w:rPr>
        <w:t xml:space="preserve">理后通过 </w:t>
      </w:r>
      <w:r>
        <w:rPr>
          <w:rFonts w:ascii="Times New Roman" w:hAnsi="Times New Roman" w:eastAsia="Times New Roman" w:cs="Times New Roman"/>
          <w:spacing w:val="7"/>
          <w:sz w:val="23"/>
          <w:szCs w:val="23"/>
        </w:rPr>
        <w:t>15</w:t>
      </w:r>
      <w:r>
        <w:rPr>
          <w:rFonts w:ascii="Times New Roman" w:hAnsi="Times New Roman" w:eastAsia="Times New Roman" w:cs="Times New Roman"/>
          <w:sz w:val="23"/>
          <w:szCs w:val="23"/>
        </w:rPr>
        <w:t>m</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 xml:space="preserve">高排气筒有组织排放，共计 </w:t>
      </w:r>
      <w:r>
        <w:rPr>
          <w:rFonts w:ascii="Times New Roman" w:hAnsi="Times New Roman" w:eastAsia="Times New Roman" w:cs="Times New Roman"/>
          <w:spacing w:val="7"/>
          <w:sz w:val="23"/>
          <w:szCs w:val="23"/>
        </w:rPr>
        <w:t xml:space="preserve">2 </w:t>
      </w:r>
      <w:r>
        <w:rPr>
          <w:rFonts w:ascii="宋体" w:hAnsi="宋体" w:eastAsia="宋体" w:cs="宋体"/>
          <w:spacing w:val="7"/>
          <w:sz w:val="23"/>
          <w:szCs w:val="23"/>
        </w:rPr>
        <w:t>个排气筒 (</w:t>
      </w:r>
      <w:r>
        <w:rPr>
          <w:rFonts w:ascii="Times New Roman" w:hAnsi="Times New Roman" w:eastAsia="Times New Roman" w:cs="Times New Roman"/>
          <w:spacing w:val="7"/>
          <w:sz w:val="23"/>
          <w:szCs w:val="23"/>
        </w:rPr>
        <w:t>1#</w:t>
      </w:r>
      <w:r>
        <w:rPr>
          <w:rFonts w:ascii="宋体" w:hAnsi="宋体" w:eastAsia="宋体" w:cs="宋体"/>
          <w:spacing w:val="7"/>
          <w:sz w:val="23"/>
          <w:szCs w:val="23"/>
        </w:rPr>
        <w:t>排气筒、</w:t>
      </w:r>
      <w:r>
        <w:rPr>
          <w:rFonts w:ascii="Times New Roman" w:hAnsi="Times New Roman" w:eastAsia="Times New Roman" w:cs="Times New Roman"/>
          <w:spacing w:val="7"/>
          <w:sz w:val="23"/>
          <w:szCs w:val="23"/>
        </w:rPr>
        <w:t>2#</w:t>
      </w:r>
      <w:r>
        <w:rPr>
          <w:rFonts w:ascii="宋体" w:hAnsi="宋体" w:eastAsia="宋体" w:cs="宋体"/>
          <w:spacing w:val="7"/>
          <w:sz w:val="23"/>
          <w:szCs w:val="23"/>
        </w:rPr>
        <w:t>排</w:t>
      </w:r>
      <w:r>
        <w:rPr>
          <w:rFonts w:ascii="宋体" w:hAnsi="宋体" w:eastAsia="宋体" w:cs="宋体"/>
          <w:sz w:val="23"/>
          <w:szCs w:val="23"/>
        </w:rPr>
        <w:t xml:space="preserve"> </w:t>
      </w:r>
      <w:r>
        <w:rPr>
          <w:rFonts w:ascii="宋体" w:hAnsi="宋体" w:eastAsia="宋体" w:cs="宋体"/>
          <w:spacing w:val="17"/>
          <w:sz w:val="23"/>
          <w:szCs w:val="23"/>
        </w:rPr>
        <w:t>气</w:t>
      </w:r>
      <w:r>
        <w:rPr>
          <w:rFonts w:ascii="宋体" w:hAnsi="宋体" w:eastAsia="宋体" w:cs="宋体"/>
          <w:spacing w:val="12"/>
          <w:sz w:val="23"/>
          <w:szCs w:val="23"/>
        </w:rPr>
        <w:t>筒) 。</w:t>
      </w:r>
      <w:r>
        <w:rPr>
          <w:rFonts w:ascii="Times New Roman" w:hAnsi="Times New Roman" w:eastAsia="Times New Roman" w:cs="Times New Roman"/>
          <w:sz w:val="23"/>
          <w:szCs w:val="23"/>
        </w:rPr>
        <w:t>UV</w:t>
      </w:r>
      <w:r>
        <w:rPr>
          <w:rFonts w:ascii="Times New Roman" w:hAnsi="Times New Roman" w:eastAsia="Times New Roman" w:cs="Times New Roman"/>
          <w:spacing w:val="12"/>
          <w:sz w:val="23"/>
          <w:szCs w:val="23"/>
        </w:rPr>
        <w:t xml:space="preserve"> </w:t>
      </w:r>
      <w:r>
        <w:rPr>
          <w:rFonts w:ascii="宋体" w:hAnsi="宋体" w:eastAsia="宋体" w:cs="宋体"/>
          <w:spacing w:val="12"/>
          <w:sz w:val="23"/>
          <w:szCs w:val="23"/>
        </w:rPr>
        <w:t>光氧催化废气处理装置</w:t>
      </w:r>
      <w:r>
        <w:rPr>
          <w:rFonts w:ascii="Times New Roman" w:hAnsi="Times New Roman" w:eastAsia="Times New Roman" w:cs="Times New Roman"/>
          <w:spacing w:val="12"/>
          <w:sz w:val="23"/>
          <w:szCs w:val="23"/>
        </w:rPr>
        <w:t>+</w:t>
      </w:r>
      <w:r>
        <w:rPr>
          <w:rFonts w:ascii="宋体" w:hAnsi="宋体" w:eastAsia="宋体" w:cs="宋体"/>
          <w:spacing w:val="12"/>
          <w:sz w:val="23"/>
          <w:szCs w:val="23"/>
        </w:rPr>
        <w:t>活性炭吸附装置对非甲烷总烃的处理效率</w:t>
      </w:r>
      <w:r>
        <w:rPr>
          <w:rFonts w:ascii="宋体" w:hAnsi="宋体" w:eastAsia="宋体" w:cs="宋体"/>
          <w:sz w:val="23"/>
          <w:szCs w:val="23"/>
        </w:rPr>
        <w:t xml:space="preserve"> </w:t>
      </w:r>
      <w:r>
        <w:rPr>
          <w:rFonts w:ascii="宋体" w:hAnsi="宋体" w:eastAsia="宋体" w:cs="宋体"/>
          <w:spacing w:val="5"/>
          <w:sz w:val="23"/>
          <w:szCs w:val="23"/>
        </w:rPr>
        <w:t xml:space="preserve">为 </w:t>
      </w:r>
      <w:r>
        <w:rPr>
          <w:rFonts w:ascii="Times New Roman" w:hAnsi="Times New Roman" w:eastAsia="Times New Roman" w:cs="Times New Roman"/>
          <w:spacing w:val="5"/>
          <w:sz w:val="23"/>
          <w:szCs w:val="23"/>
        </w:rPr>
        <w:t>85%</w:t>
      </w:r>
      <w:r>
        <w:rPr>
          <w:rFonts w:ascii="宋体" w:hAnsi="宋体" w:eastAsia="宋体" w:cs="宋体"/>
          <w:spacing w:val="5"/>
          <w:sz w:val="23"/>
          <w:szCs w:val="23"/>
        </w:rPr>
        <w:t>。废气处理后，颗粒物和非甲烷总烃排放浓度均满足《合成树脂工业</w:t>
      </w:r>
      <w:r>
        <w:rPr>
          <w:rFonts w:ascii="宋体" w:hAnsi="宋体" w:eastAsia="宋体" w:cs="宋体"/>
          <w:spacing w:val="3"/>
          <w:sz w:val="23"/>
          <w:szCs w:val="23"/>
        </w:rPr>
        <w:t>污</w:t>
      </w:r>
      <w:r>
        <w:rPr>
          <w:rFonts w:ascii="宋体" w:hAnsi="宋体" w:eastAsia="宋体" w:cs="宋体"/>
          <w:sz w:val="23"/>
          <w:szCs w:val="23"/>
        </w:rPr>
        <w:t xml:space="preserve">染 </w:t>
      </w:r>
      <w:r>
        <w:rPr>
          <w:rFonts w:ascii="宋体" w:hAnsi="宋体" w:eastAsia="宋体" w:cs="宋体"/>
          <w:spacing w:val="6"/>
          <w:sz w:val="23"/>
          <w:szCs w:val="23"/>
        </w:rPr>
        <w:t>物排放标准》  (</w:t>
      </w:r>
      <w:r>
        <w:rPr>
          <w:rFonts w:ascii="Times New Roman" w:hAnsi="Times New Roman" w:eastAsia="Times New Roman" w:cs="Times New Roman"/>
          <w:sz w:val="23"/>
          <w:szCs w:val="23"/>
        </w:rPr>
        <w:t>GB</w:t>
      </w:r>
      <w:r>
        <w:rPr>
          <w:rFonts w:ascii="Times New Roman" w:hAnsi="Times New Roman" w:eastAsia="Times New Roman" w:cs="Times New Roman"/>
          <w:spacing w:val="6"/>
          <w:sz w:val="23"/>
          <w:szCs w:val="23"/>
        </w:rPr>
        <w:t>31572-2015</w:t>
      </w:r>
      <w:r>
        <w:rPr>
          <w:rFonts w:ascii="宋体" w:hAnsi="宋体" w:eastAsia="宋体" w:cs="宋体"/>
          <w:spacing w:val="6"/>
          <w:sz w:val="23"/>
          <w:szCs w:val="23"/>
        </w:rPr>
        <w:t xml:space="preserve">) 相关标准的要求。③该项目新建的 </w:t>
      </w:r>
      <w:r>
        <w:rPr>
          <w:rFonts w:ascii="Times New Roman" w:hAnsi="Times New Roman" w:eastAsia="Times New Roman" w:cs="Times New Roman"/>
          <w:spacing w:val="6"/>
          <w:sz w:val="23"/>
          <w:szCs w:val="23"/>
        </w:rPr>
        <w:t>2</w:t>
      </w:r>
      <w:r>
        <w:rPr>
          <w:rFonts w:ascii="Times New Roman" w:hAnsi="Times New Roman" w:eastAsia="Times New Roman" w:cs="Times New Roman"/>
          <w:sz w:val="23"/>
          <w:szCs w:val="23"/>
        </w:rPr>
        <w:t>t</w:t>
      </w:r>
      <w:r>
        <w:rPr>
          <w:rFonts w:ascii="Times New Roman" w:hAnsi="Times New Roman" w:eastAsia="Times New Roman" w:cs="Times New Roman"/>
          <w:spacing w:val="6"/>
          <w:sz w:val="23"/>
          <w:szCs w:val="23"/>
        </w:rPr>
        <w:t>/</w:t>
      </w:r>
      <w:r>
        <w:rPr>
          <w:rFonts w:ascii="Times New Roman" w:hAnsi="Times New Roman" w:eastAsia="Times New Roman" w:cs="Times New Roman"/>
          <w:sz w:val="23"/>
          <w:szCs w:val="23"/>
        </w:rPr>
        <w:t>h</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的</w:t>
      </w:r>
      <w:r>
        <w:rPr>
          <w:rFonts w:ascii="宋体" w:hAnsi="宋体" w:eastAsia="宋体" w:cs="宋体"/>
          <w:spacing w:val="5"/>
          <w:sz w:val="23"/>
          <w:szCs w:val="23"/>
        </w:rPr>
        <w:t>热</w:t>
      </w:r>
      <w:r>
        <w:rPr>
          <w:rFonts w:ascii="宋体" w:hAnsi="宋体" w:eastAsia="宋体" w:cs="宋体"/>
          <w:sz w:val="23"/>
          <w:szCs w:val="23"/>
        </w:rPr>
        <w:t xml:space="preserve">风 </w:t>
      </w:r>
      <w:r>
        <w:rPr>
          <w:rFonts w:ascii="宋体" w:hAnsi="宋体" w:eastAsia="宋体" w:cs="宋体"/>
          <w:spacing w:val="15"/>
          <w:sz w:val="23"/>
          <w:szCs w:val="23"/>
        </w:rPr>
        <w:t>炉</w:t>
      </w:r>
      <w:r>
        <w:rPr>
          <w:rFonts w:ascii="宋体" w:hAnsi="宋体" w:eastAsia="宋体" w:cs="宋体"/>
          <w:spacing w:val="9"/>
          <w:sz w:val="23"/>
          <w:szCs w:val="23"/>
        </w:rPr>
        <w:t xml:space="preserve">配备布袋除尘器，除尘效率大于 </w:t>
      </w:r>
      <w:r>
        <w:rPr>
          <w:rFonts w:ascii="Times New Roman" w:hAnsi="Times New Roman" w:eastAsia="Times New Roman" w:cs="Times New Roman"/>
          <w:spacing w:val="9"/>
          <w:sz w:val="23"/>
          <w:szCs w:val="23"/>
        </w:rPr>
        <w:t xml:space="preserve">99% </w:t>
      </w:r>
      <w:r>
        <w:rPr>
          <w:rFonts w:ascii="宋体" w:hAnsi="宋体" w:eastAsia="宋体" w:cs="宋体"/>
          <w:spacing w:val="9"/>
          <w:sz w:val="23"/>
          <w:szCs w:val="23"/>
        </w:rPr>
        <w:t>，热风炉产生的废气通过布袋除尘器处</w:t>
      </w:r>
      <w:r>
        <w:rPr>
          <w:rFonts w:ascii="宋体" w:hAnsi="宋体" w:eastAsia="宋体" w:cs="宋体"/>
          <w:sz w:val="23"/>
          <w:szCs w:val="23"/>
        </w:rPr>
        <w:t xml:space="preserve"> </w:t>
      </w:r>
      <w:r>
        <w:rPr>
          <w:rFonts w:ascii="宋体" w:hAnsi="宋体" w:eastAsia="宋体" w:cs="宋体"/>
          <w:spacing w:val="14"/>
          <w:sz w:val="23"/>
          <w:szCs w:val="23"/>
        </w:rPr>
        <w:t>理</w:t>
      </w:r>
      <w:r>
        <w:rPr>
          <w:rFonts w:ascii="宋体" w:hAnsi="宋体" w:eastAsia="宋体" w:cs="宋体"/>
          <w:spacing w:val="11"/>
          <w:sz w:val="23"/>
          <w:szCs w:val="23"/>
        </w:rPr>
        <w:t xml:space="preserve">后通过 </w:t>
      </w:r>
      <w:r>
        <w:rPr>
          <w:rFonts w:ascii="Times New Roman" w:hAnsi="Times New Roman" w:eastAsia="Times New Roman" w:cs="Times New Roman"/>
          <w:spacing w:val="11"/>
          <w:sz w:val="23"/>
          <w:szCs w:val="23"/>
        </w:rPr>
        <w:t xml:space="preserve">1 </w:t>
      </w:r>
      <w:r>
        <w:rPr>
          <w:rFonts w:ascii="宋体" w:hAnsi="宋体" w:eastAsia="宋体" w:cs="宋体"/>
          <w:spacing w:val="11"/>
          <w:sz w:val="23"/>
          <w:szCs w:val="23"/>
        </w:rPr>
        <w:t xml:space="preserve">个排气筒进行排放，设计排气筒高度为 </w:t>
      </w:r>
      <w:r>
        <w:rPr>
          <w:rFonts w:ascii="Times New Roman" w:hAnsi="Times New Roman" w:eastAsia="Times New Roman" w:cs="Times New Roman"/>
          <w:spacing w:val="11"/>
          <w:sz w:val="23"/>
          <w:szCs w:val="23"/>
        </w:rPr>
        <w:t>30</w:t>
      </w:r>
      <w:r>
        <w:rPr>
          <w:rFonts w:ascii="Times New Roman" w:hAnsi="Times New Roman" w:eastAsia="Times New Roman" w:cs="Times New Roman"/>
          <w:sz w:val="23"/>
          <w:szCs w:val="23"/>
        </w:rPr>
        <w:t>m</w:t>
      </w:r>
      <w:r>
        <w:rPr>
          <w:rFonts w:ascii="Times New Roman" w:hAnsi="Times New Roman" w:eastAsia="Times New Roman" w:cs="Times New Roman"/>
          <w:spacing w:val="11"/>
          <w:sz w:val="23"/>
          <w:szCs w:val="23"/>
        </w:rPr>
        <w:t xml:space="preserve"> </w:t>
      </w:r>
      <w:r>
        <w:rPr>
          <w:rFonts w:ascii="宋体" w:hAnsi="宋体" w:eastAsia="宋体" w:cs="宋体"/>
          <w:spacing w:val="11"/>
          <w:sz w:val="23"/>
          <w:szCs w:val="23"/>
        </w:rPr>
        <w:t>(新建锅炉房的烟囱周</w:t>
      </w:r>
      <w:r>
        <w:rPr>
          <w:rFonts w:ascii="宋体" w:hAnsi="宋体" w:eastAsia="宋体" w:cs="宋体"/>
          <w:sz w:val="23"/>
          <w:szCs w:val="23"/>
        </w:rPr>
        <w:t xml:space="preserve"> </w:t>
      </w:r>
      <w:r>
        <w:rPr>
          <w:rFonts w:ascii="宋体" w:hAnsi="宋体" w:eastAsia="宋体" w:cs="宋体"/>
          <w:spacing w:val="8"/>
          <w:sz w:val="23"/>
          <w:szCs w:val="23"/>
        </w:rPr>
        <w:t xml:space="preserve">围半径 </w:t>
      </w:r>
      <w:r>
        <w:rPr>
          <w:rFonts w:ascii="Times New Roman" w:hAnsi="Times New Roman" w:eastAsia="Times New Roman" w:cs="Times New Roman"/>
          <w:spacing w:val="8"/>
          <w:sz w:val="23"/>
          <w:szCs w:val="23"/>
        </w:rPr>
        <w:t>200</w:t>
      </w:r>
      <w:r>
        <w:rPr>
          <w:rFonts w:ascii="Times New Roman" w:hAnsi="Times New Roman" w:eastAsia="Times New Roman" w:cs="Times New Roman"/>
          <w:sz w:val="23"/>
          <w:szCs w:val="23"/>
        </w:rPr>
        <w:t>m</w:t>
      </w:r>
      <w:r>
        <w:rPr>
          <w:rFonts w:ascii="宋体" w:hAnsi="宋体" w:eastAsia="宋体" w:cs="宋体"/>
          <w:spacing w:val="8"/>
          <w:sz w:val="23"/>
          <w:szCs w:val="23"/>
        </w:rPr>
        <w:t xml:space="preserve">距离内有建筑物时，其烟囱应高出最高建筑物 </w:t>
      </w:r>
      <w:r>
        <w:rPr>
          <w:rFonts w:ascii="Times New Roman" w:hAnsi="Times New Roman" w:eastAsia="Times New Roman" w:cs="Times New Roman"/>
          <w:spacing w:val="8"/>
          <w:sz w:val="23"/>
          <w:szCs w:val="23"/>
        </w:rPr>
        <w:t>3</w:t>
      </w:r>
      <w:r>
        <w:rPr>
          <w:rFonts w:ascii="Times New Roman" w:hAnsi="Times New Roman" w:eastAsia="Times New Roman" w:cs="Times New Roman"/>
          <w:sz w:val="23"/>
          <w:szCs w:val="23"/>
        </w:rPr>
        <w:t>m</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以上) 。废气</w:t>
      </w:r>
      <w:r>
        <w:rPr>
          <w:rFonts w:ascii="宋体" w:hAnsi="宋体" w:eastAsia="宋体" w:cs="宋体"/>
          <w:spacing w:val="3"/>
          <w:sz w:val="23"/>
          <w:szCs w:val="23"/>
        </w:rPr>
        <w:t>处</w:t>
      </w:r>
      <w:r>
        <w:rPr>
          <w:rFonts w:ascii="宋体" w:hAnsi="宋体" w:eastAsia="宋体" w:cs="宋体"/>
          <w:sz w:val="23"/>
          <w:szCs w:val="23"/>
        </w:rPr>
        <w:t xml:space="preserve"> </w:t>
      </w:r>
      <w:r>
        <w:rPr>
          <w:rFonts w:ascii="宋体" w:hAnsi="宋体" w:eastAsia="宋体" w:cs="宋体"/>
          <w:spacing w:val="15"/>
          <w:sz w:val="23"/>
          <w:szCs w:val="23"/>
        </w:rPr>
        <w:t>理</w:t>
      </w:r>
      <w:r>
        <w:rPr>
          <w:rFonts w:ascii="宋体" w:hAnsi="宋体" w:eastAsia="宋体" w:cs="宋体"/>
          <w:spacing w:val="11"/>
          <w:sz w:val="23"/>
          <w:szCs w:val="23"/>
        </w:rPr>
        <w:t>后，主要污染物烟尘、</w:t>
      </w:r>
      <w:r>
        <w:rPr>
          <w:rFonts w:ascii="Times New Roman" w:hAnsi="Times New Roman" w:eastAsia="Times New Roman" w:cs="Times New Roman"/>
          <w:sz w:val="23"/>
          <w:szCs w:val="23"/>
        </w:rPr>
        <w:t>NOx</w:t>
      </w:r>
      <w:r>
        <w:rPr>
          <w:rFonts w:ascii="Times New Roman" w:hAnsi="Times New Roman" w:eastAsia="Times New Roman" w:cs="Times New Roman"/>
          <w:spacing w:val="11"/>
          <w:sz w:val="23"/>
          <w:szCs w:val="23"/>
        </w:rPr>
        <w:t xml:space="preserve"> </w:t>
      </w:r>
      <w:r>
        <w:rPr>
          <w:rFonts w:ascii="宋体" w:hAnsi="宋体" w:eastAsia="宋体" w:cs="宋体"/>
          <w:spacing w:val="11"/>
          <w:sz w:val="23"/>
          <w:szCs w:val="23"/>
        </w:rPr>
        <w:t xml:space="preserve">和 </w:t>
      </w:r>
      <w:r>
        <w:rPr>
          <w:rFonts w:ascii="Times New Roman" w:hAnsi="Times New Roman" w:eastAsia="Times New Roman" w:cs="Times New Roman"/>
          <w:sz w:val="23"/>
          <w:szCs w:val="23"/>
        </w:rPr>
        <w:t>SO</w:t>
      </w:r>
      <w:r>
        <w:rPr>
          <w:rFonts w:ascii="Times New Roman" w:hAnsi="Times New Roman" w:eastAsia="Times New Roman" w:cs="Times New Roman"/>
          <w:spacing w:val="11"/>
          <w:position w:val="-1"/>
          <w:sz w:val="15"/>
          <w:szCs w:val="15"/>
        </w:rPr>
        <w:t xml:space="preserve">2 </w:t>
      </w:r>
      <w:r>
        <w:rPr>
          <w:rFonts w:ascii="宋体" w:hAnsi="宋体" w:eastAsia="宋体" w:cs="宋体"/>
          <w:spacing w:val="11"/>
          <w:sz w:val="23"/>
          <w:szCs w:val="23"/>
        </w:rPr>
        <w:t>排放浓度可以达到《锅炉大气污染物排放</w:t>
      </w:r>
      <w:r>
        <w:rPr>
          <w:rFonts w:ascii="宋体" w:hAnsi="宋体" w:eastAsia="宋体" w:cs="宋体"/>
          <w:sz w:val="23"/>
          <w:szCs w:val="23"/>
        </w:rPr>
        <w:t xml:space="preserve"> </w:t>
      </w:r>
      <w:r>
        <w:rPr>
          <w:rFonts w:ascii="宋体" w:hAnsi="宋体" w:eastAsia="宋体" w:cs="宋体"/>
          <w:spacing w:val="1"/>
          <w:sz w:val="23"/>
          <w:szCs w:val="23"/>
        </w:rPr>
        <w:t>标准》(</w:t>
      </w:r>
      <w:r>
        <w:rPr>
          <w:rFonts w:ascii="Times New Roman" w:hAnsi="Times New Roman" w:eastAsia="Times New Roman" w:cs="Times New Roman"/>
          <w:sz w:val="23"/>
          <w:szCs w:val="23"/>
        </w:rPr>
        <w:t>GB</w:t>
      </w:r>
      <w:r>
        <w:rPr>
          <w:rFonts w:ascii="Times New Roman" w:hAnsi="Times New Roman" w:eastAsia="Times New Roman" w:cs="Times New Roman"/>
          <w:spacing w:val="1"/>
          <w:sz w:val="23"/>
          <w:szCs w:val="23"/>
        </w:rPr>
        <w:t>13271-2014</w:t>
      </w:r>
      <w:r>
        <w:rPr>
          <w:rFonts w:ascii="宋体" w:hAnsi="宋体" w:eastAsia="宋体" w:cs="宋体"/>
          <w:spacing w:val="1"/>
          <w:sz w:val="23"/>
          <w:szCs w:val="23"/>
        </w:rPr>
        <w:t xml:space="preserve">) 表 </w:t>
      </w:r>
      <w:r>
        <w:rPr>
          <w:rFonts w:ascii="Times New Roman" w:hAnsi="Times New Roman" w:eastAsia="Times New Roman" w:cs="Times New Roman"/>
          <w:spacing w:val="1"/>
          <w:sz w:val="23"/>
          <w:szCs w:val="23"/>
        </w:rPr>
        <w:t xml:space="preserve">3 </w:t>
      </w:r>
      <w:r>
        <w:rPr>
          <w:rFonts w:ascii="宋体" w:hAnsi="宋体" w:eastAsia="宋体" w:cs="宋体"/>
          <w:spacing w:val="1"/>
          <w:sz w:val="23"/>
          <w:szCs w:val="23"/>
        </w:rPr>
        <w:t>标准要求(颗粒物：</w:t>
      </w:r>
      <w:r>
        <w:rPr>
          <w:rFonts w:ascii="Times New Roman" w:hAnsi="Times New Roman" w:eastAsia="Times New Roman" w:cs="Times New Roman"/>
          <w:spacing w:val="1"/>
          <w:sz w:val="23"/>
          <w:szCs w:val="23"/>
        </w:rPr>
        <w:t>30</w:t>
      </w:r>
      <w:r>
        <w:rPr>
          <w:rFonts w:ascii="Times New Roman" w:hAnsi="Times New Roman" w:eastAsia="Times New Roman" w:cs="Times New Roman"/>
          <w:sz w:val="23"/>
          <w:szCs w:val="23"/>
        </w:rPr>
        <w:t>mg/m</w:t>
      </w:r>
      <w:r>
        <w:rPr>
          <w:rFonts w:ascii="Times New Roman" w:hAnsi="Times New Roman" w:eastAsia="Times New Roman" w:cs="Times New Roman"/>
          <w:position w:val="8"/>
          <w:sz w:val="15"/>
          <w:szCs w:val="15"/>
        </w:rPr>
        <w:t>3</w:t>
      </w:r>
      <w:r>
        <w:rPr>
          <w:rFonts w:ascii="宋体" w:hAnsi="宋体" w:eastAsia="宋体" w:cs="宋体"/>
          <w:sz w:val="23"/>
          <w:szCs w:val="23"/>
        </w:rPr>
        <w:t>，氮氧化物：</w:t>
      </w:r>
      <w:r>
        <w:rPr>
          <w:rFonts w:ascii="Times New Roman" w:hAnsi="Times New Roman" w:eastAsia="Times New Roman" w:cs="Times New Roman"/>
          <w:sz w:val="23"/>
          <w:szCs w:val="23"/>
        </w:rPr>
        <w:t>200mg/m</w:t>
      </w:r>
      <w:r>
        <w:rPr>
          <w:rFonts w:ascii="Times New Roman" w:hAnsi="Times New Roman" w:eastAsia="Times New Roman" w:cs="Times New Roman"/>
          <w:position w:val="8"/>
          <w:sz w:val="15"/>
          <w:szCs w:val="15"/>
        </w:rPr>
        <w:t>3</w:t>
      </w:r>
      <w:r>
        <w:rPr>
          <w:rFonts w:ascii="宋体" w:hAnsi="宋体" w:eastAsia="宋体" w:cs="宋体"/>
          <w:sz w:val="23"/>
          <w:szCs w:val="23"/>
        </w:rPr>
        <w:t xml:space="preserve">， </w:t>
      </w:r>
      <w:r>
        <w:rPr>
          <w:rFonts w:ascii="Times New Roman" w:hAnsi="Times New Roman" w:eastAsia="Times New Roman" w:cs="Times New Roman"/>
          <w:sz w:val="23"/>
          <w:szCs w:val="23"/>
        </w:rPr>
        <w:t>SO</w:t>
      </w:r>
      <w:r>
        <w:rPr>
          <w:rFonts w:ascii="Times New Roman" w:hAnsi="Times New Roman" w:eastAsia="Times New Roman" w:cs="Times New Roman"/>
          <w:spacing w:val="-1"/>
          <w:position w:val="-1"/>
          <w:sz w:val="15"/>
          <w:szCs w:val="15"/>
        </w:rPr>
        <w:t>2</w:t>
      </w:r>
      <w:r>
        <w:rPr>
          <w:rFonts w:ascii="Times New Roman" w:hAnsi="Times New Roman" w:eastAsia="Times New Roman" w:cs="Times New Roman"/>
          <w:position w:val="-1"/>
          <w:sz w:val="15"/>
          <w:szCs w:val="15"/>
        </w:rPr>
        <w:t xml:space="preserve"> </w:t>
      </w:r>
      <w:r>
        <w:rPr>
          <w:rFonts w:ascii="宋体" w:hAnsi="宋体" w:eastAsia="宋体" w:cs="宋体"/>
          <w:sz w:val="23"/>
          <w:szCs w:val="23"/>
        </w:rPr>
        <w:t>：</w:t>
      </w:r>
      <w:r>
        <w:rPr>
          <w:rFonts w:ascii="Times New Roman" w:hAnsi="Times New Roman" w:eastAsia="Times New Roman" w:cs="Times New Roman"/>
          <w:sz w:val="23"/>
          <w:szCs w:val="23"/>
        </w:rPr>
        <w:t>200mg/m</w:t>
      </w:r>
      <w:r>
        <w:rPr>
          <w:rFonts w:ascii="Times New Roman" w:hAnsi="Times New Roman" w:eastAsia="Times New Roman" w:cs="Times New Roman"/>
          <w:position w:val="7"/>
          <w:sz w:val="15"/>
          <w:szCs w:val="15"/>
        </w:rPr>
        <w:t xml:space="preserve">3 </w:t>
      </w:r>
      <w:r>
        <w:rPr>
          <w:rFonts w:ascii="宋体" w:hAnsi="宋体" w:eastAsia="宋体" w:cs="宋体"/>
          <w:sz w:val="23"/>
          <w:szCs w:val="23"/>
        </w:rPr>
        <w:t>) 。</w:t>
      </w:r>
    </w:p>
    <w:p w14:paraId="073FA3B5">
      <w:pPr>
        <w:spacing w:before="129" w:line="220" w:lineRule="auto"/>
        <w:ind w:left="32"/>
        <w:rPr>
          <w:rFonts w:ascii="宋体" w:hAnsi="宋体" w:eastAsia="宋体" w:cs="宋体"/>
          <w:sz w:val="28"/>
          <w:szCs w:val="28"/>
        </w:rPr>
      </w:pPr>
      <w:r>
        <w:rPr>
          <w:rFonts w:ascii="Times New Roman" w:hAnsi="Times New Roman" w:eastAsia="Times New Roman" w:cs="Times New Roman"/>
          <w:b/>
          <w:bCs/>
          <w:spacing w:val="-2"/>
          <w:sz w:val="28"/>
          <w:szCs w:val="28"/>
        </w:rPr>
        <w:t>10.1.6</w:t>
      </w:r>
      <w:r>
        <w:rPr>
          <w:rFonts w:ascii="Times New Roman" w:hAnsi="Times New Roman" w:eastAsia="Times New Roman" w:cs="Times New Roman"/>
          <w:b/>
          <w:bCs/>
          <w:spacing w:val="-1"/>
          <w:sz w:val="28"/>
          <w:szCs w:val="28"/>
        </w:rPr>
        <w:t>.2</w:t>
      </w:r>
      <w:r>
        <w:rPr>
          <w:rFonts w:ascii="Times New Roman" w:hAnsi="Times New Roman" w:eastAsia="Times New Roman" w:cs="Times New Roman"/>
          <w:spacing w:val="-1"/>
          <w:sz w:val="28"/>
          <w:szCs w:val="28"/>
        </w:rPr>
        <w:t xml:space="preserve">  </w:t>
      </w:r>
      <w:r>
        <w:rPr>
          <w:rFonts w:ascii="宋体" w:hAnsi="宋体" w:eastAsia="宋体" w:cs="宋体"/>
          <w:spacing w:val="-1"/>
          <w:sz w:val="28"/>
          <w:szCs w:val="28"/>
          <w14:textOutline w14:w="5103" w14:cap="sq" w14:cmpd="sng">
            <w14:solidFill>
              <w14:srgbClr w14:val="000000"/>
            </w14:solidFill>
            <w14:prstDash w14:val="solid"/>
            <w14:bevel/>
          </w14:textOutline>
        </w:rPr>
        <w:t>废水</w:t>
      </w:r>
    </w:p>
    <w:p w14:paraId="7A33E8EF">
      <w:pPr>
        <w:spacing w:line="261" w:lineRule="auto"/>
        <w:rPr>
          <w:rFonts w:ascii="Arial"/>
          <w:sz w:val="21"/>
        </w:rPr>
      </w:pPr>
    </w:p>
    <w:p w14:paraId="650863F8">
      <w:pPr>
        <w:spacing w:before="75" w:line="228" w:lineRule="auto"/>
        <w:ind w:left="502"/>
        <w:rPr>
          <w:rFonts w:ascii="宋体" w:hAnsi="宋体" w:eastAsia="宋体" w:cs="宋体"/>
          <w:sz w:val="23"/>
          <w:szCs w:val="23"/>
        </w:rPr>
      </w:pPr>
      <w:r>
        <w:rPr>
          <w:rFonts w:ascii="宋体" w:hAnsi="宋体" w:eastAsia="宋体" w:cs="宋体"/>
          <w:spacing w:val="18"/>
          <w:sz w:val="23"/>
          <w:szCs w:val="23"/>
        </w:rPr>
        <w:t>施</w:t>
      </w:r>
      <w:r>
        <w:rPr>
          <w:rFonts w:ascii="宋体" w:hAnsi="宋体" w:eastAsia="宋体" w:cs="宋体"/>
          <w:spacing w:val="11"/>
          <w:sz w:val="23"/>
          <w:szCs w:val="23"/>
        </w:rPr>
        <w:t>工</w:t>
      </w:r>
      <w:r>
        <w:rPr>
          <w:rFonts w:ascii="宋体" w:hAnsi="宋体" w:eastAsia="宋体" w:cs="宋体"/>
          <w:spacing w:val="9"/>
          <w:sz w:val="23"/>
          <w:szCs w:val="23"/>
        </w:rPr>
        <w:t>期：生活污水排入临时旱厕，定期清掏；施工废水沉淀后回用；</w:t>
      </w:r>
    </w:p>
    <w:p w14:paraId="7D7009CB">
      <w:pPr>
        <w:spacing w:line="273" w:lineRule="auto"/>
        <w:rPr>
          <w:rFonts w:ascii="Arial"/>
          <w:sz w:val="21"/>
        </w:rPr>
      </w:pPr>
    </w:p>
    <w:p w14:paraId="33D76C22">
      <w:pPr>
        <w:spacing w:before="75" w:line="390" w:lineRule="auto"/>
        <w:ind w:left="23" w:right="73" w:firstLine="480"/>
        <w:rPr>
          <w:rFonts w:ascii="宋体" w:hAnsi="宋体" w:eastAsia="宋体" w:cs="宋体"/>
          <w:sz w:val="23"/>
          <w:szCs w:val="23"/>
        </w:rPr>
      </w:pPr>
      <w:r>
        <w:rPr>
          <w:rFonts w:ascii="宋体" w:hAnsi="宋体" w:eastAsia="宋体" w:cs="宋体"/>
          <w:spacing w:val="7"/>
          <w:sz w:val="23"/>
          <w:szCs w:val="23"/>
        </w:rPr>
        <w:t>运营期：该项目排水主要包括生活污水以及生产废水，其中生产废水主要</w:t>
      </w:r>
      <w:r>
        <w:rPr>
          <w:rFonts w:ascii="宋体" w:hAnsi="宋体" w:eastAsia="宋体" w:cs="宋体"/>
          <w:sz w:val="23"/>
          <w:szCs w:val="23"/>
        </w:rPr>
        <w:t xml:space="preserve">包 </w:t>
      </w:r>
      <w:r>
        <w:rPr>
          <w:rFonts w:ascii="宋体" w:hAnsi="宋体" w:eastAsia="宋体" w:cs="宋体"/>
          <w:spacing w:val="9"/>
          <w:sz w:val="23"/>
          <w:szCs w:val="23"/>
        </w:rPr>
        <w:t>括</w:t>
      </w:r>
      <w:r>
        <w:rPr>
          <w:rFonts w:ascii="宋体" w:hAnsi="宋体" w:eastAsia="宋体" w:cs="宋体"/>
          <w:spacing w:val="7"/>
          <w:sz w:val="23"/>
          <w:szCs w:val="23"/>
        </w:rPr>
        <w:t>破碎工序产生的废水，原料初洗工序、洗字工序、二次清洗工序产生的清洗废</w:t>
      </w:r>
      <w:r>
        <w:rPr>
          <w:rFonts w:ascii="宋体" w:hAnsi="宋体" w:eastAsia="宋体" w:cs="宋体"/>
          <w:sz w:val="23"/>
          <w:szCs w:val="23"/>
        </w:rPr>
        <w:t xml:space="preserve"> </w:t>
      </w:r>
      <w:r>
        <w:rPr>
          <w:rFonts w:ascii="宋体" w:hAnsi="宋体" w:eastAsia="宋体" w:cs="宋体"/>
          <w:spacing w:val="14"/>
          <w:sz w:val="23"/>
          <w:szCs w:val="23"/>
        </w:rPr>
        <w:t>水</w:t>
      </w:r>
      <w:r>
        <w:rPr>
          <w:rFonts w:ascii="宋体" w:hAnsi="宋体" w:eastAsia="宋体" w:cs="宋体"/>
          <w:spacing w:val="7"/>
          <w:sz w:val="23"/>
          <w:szCs w:val="23"/>
        </w:rPr>
        <w:t xml:space="preserve">、脱水工序产生的废水以及循环冷却废水，总排水量为 </w:t>
      </w:r>
      <w:r>
        <w:rPr>
          <w:rFonts w:ascii="Times New Roman" w:hAnsi="Times New Roman" w:eastAsia="Times New Roman" w:cs="Times New Roman"/>
          <w:spacing w:val="7"/>
          <w:sz w:val="23"/>
          <w:szCs w:val="23"/>
        </w:rPr>
        <w:t>2483.52</w:t>
      </w:r>
      <w:r>
        <w:rPr>
          <w:rFonts w:ascii="Times New Roman" w:hAnsi="Times New Roman" w:eastAsia="Times New Roman" w:cs="Times New Roman"/>
          <w:sz w:val="23"/>
          <w:szCs w:val="23"/>
        </w:rPr>
        <w:t>m</w:t>
      </w:r>
      <w:r>
        <w:rPr>
          <w:rFonts w:ascii="Times New Roman" w:hAnsi="Times New Roman" w:eastAsia="Times New Roman" w:cs="Times New Roman"/>
          <w:spacing w:val="7"/>
          <w:position w:val="8"/>
          <w:sz w:val="15"/>
          <w:szCs w:val="15"/>
        </w:rPr>
        <w:t>3</w:t>
      </w:r>
      <w:r>
        <w:rPr>
          <w:rFonts w:ascii="Times New Roman" w:hAnsi="Times New Roman" w:eastAsia="Times New Roman" w:cs="Times New Roman"/>
          <w:spacing w:val="7"/>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。其中，</w:t>
      </w:r>
      <w:r>
        <w:rPr>
          <w:rFonts w:ascii="宋体" w:hAnsi="宋体" w:eastAsia="宋体" w:cs="宋体"/>
          <w:sz w:val="23"/>
          <w:szCs w:val="23"/>
        </w:rPr>
        <w:t xml:space="preserve"> </w:t>
      </w:r>
      <w:r>
        <w:rPr>
          <w:rFonts w:ascii="宋体" w:hAnsi="宋体" w:eastAsia="宋体" w:cs="宋体"/>
          <w:spacing w:val="4"/>
          <w:sz w:val="23"/>
          <w:szCs w:val="23"/>
        </w:rPr>
        <w:t>生活</w:t>
      </w:r>
      <w:r>
        <w:rPr>
          <w:rFonts w:ascii="宋体" w:hAnsi="宋体" w:eastAsia="宋体" w:cs="宋体"/>
          <w:spacing w:val="3"/>
          <w:sz w:val="23"/>
          <w:szCs w:val="23"/>
        </w:rPr>
        <w:t>污</w:t>
      </w:r>
      <w:r>
        <w:rPr>
          <w:rFonts w:ascii="宋体" w:hAnsi="宋体" w:eastAsia="宋体" w:cs="宋体"/>
          <w:spacing w:val="2"/>
          <w:sz w:val="23"/>
          <w:szCs w:val="23"/>
        </w:rPr>
        <w:t xml:space="preserve">水排放量为 </w:t>
      </w:r>
      <w:r>
        <w:rPr>
          <w:rFonts w:ascii="Times New Roman" w:hAnsi="Times New Roman" w:eastAsia="Times New Roman" w:cs="Times New Roman"/>
          <w:spacing w:val="2"/>
          <w:sz w:val="23"/>
          <w:szCs w:val="23"/>
        </w:rPr>
        <w:t>960</w:t>
      </w:r>
      <w:r>
        <w:rPr>
          <w:rFonts w:ascii="Times New Roman" w:hAnsi="Times New Roman" w:eastAsia="Times New Roman" w:cs="Times New Roman"/>
          <w:sz w:val="23"/>
          <w:szCs w:val="23"/>
        </w:rPr>
        <w:t>m</w:t>
      </w:r>
      <w:r>
        <w:rPr>
          <w:rFonts w:ascii="Times New Roman" w:hAnsi="Times New Roman" w:eastAsia="Times New Roman" w:cs="Times New Roman"/>
          <w:spacing w:val="2"/>
          <w:position w:val="8"/>
          <w:sz w:val="15"/>
          <w:szCs w:val="15"/>
        </w:rPr>
        <w:t>3</w:t>
      </w:r>
      <w:r>
        <w:rPr>
          <w:rFonts w:ascii="Times New Roman" w:hAnsi="Times New Roman" w:eastAsia="Times New Roman" w:cs="Times New Roman"/>
          <w:spacing w:val="2"/>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2"/>
          <w:sz w:val="23"/>
          <w:szCs w:val="23"/>
        </w:rPr>
        <w:t xml:space="preserve"> </w:t>
      </w:r>
      <w:r>
        <w:rPr>
          <w:rFonts w:ascii="宋体" w:hAnsi="宋体" w:eastAsia="宋体" w:cs="宋体"/>
          <w:spacing w:val="2"/>
          <w:sz w:val="23"/>
          <w:szCs w:val="23"/>
        </w:rPr>
        <w:t xml:space="preserve">；生产废水排放量为 </w:t>
      </w:r>
      <w:r>
        <w:rPr>
          <w:rFonts w:ascii="Times New Roman" w:hAnsi="Times New Roman" w:eastAsia="Times New Roman" w:cs="Times New Roman"/>
          <w:spacing w:val="2"/>
          <w:sz w:val="23"/>
          <w:szCs w:val="23"/>
        </w:rPr>
        <w:t>1523.52</w:t>
      </w:r>
      <w:r>
        <w:rPr>
          <w:rFonts w:ascii="Times New Roman" w:hAnsi="Times New Roman" w:eastAsia="Times New Roman" w:cs="Times New Roman"/>
          <w:sz w:val="23"/>
          <w:szCs w:val="23"/>
        </w:rPr>
        <w:t>m</w:t>
      </w:r>
      <w:r>
        <w:rPr>
          <w:rFonts w:ascii="Times New Roman" w:hAnsi="Times New Roman" w:eastAsia="Times New Roman" w:cs="Times New Roman"/>
          <w:spacing w:val="2"/>
          <w:position w:val="8"/>
          <w:sz w:val="15"/>
          <w:szCs w:val="15"/>
        </w:rPr>
        <w:t>3</w:t>
      </w:r>
      <w:r>
        <w:rPr>
          <w:rFonts w:ascii="Times New Roman" w:hAnsi="Times New Roman" w:eastAsia="Times New Roman" w:cs="Times New Roman"/>
          <w:spacing w:val="2"/>
          <w:sz w:val="23"/>
          <w:szCs w:val="23"/>
        </w:rPr>
        <w:t>/</w:t>
      </w:r>
      <w:r>
        <w:rPr>
          <w:rFonts w:ascii="Times New Roman" w:hAnsi="Times New Roman" w:eastAsia="Times New Roman" w:cs="Times New Roman"/>
          <w:sz w:val="23"/>
          <w:szCs w:val="23"/>
        </w:rPr>
        <w:t>a</w:t>
      </w:r>
      <w:r>
        <w:rPr>
          <w:rFonts w:ascii="宋体" w:hAnsi="宋体" w:eastAsia="宋体" w:cs="宋体"/>
          <w:spacing w:val="2"/>
          <w:sz w:val="23"/>
          <w:szCs w:val="23"/>
        </w:rPr>
        <w:t>。</w:t>
      </w:r>
    </w:p>
    <w:p w14:paraId="344A6FC7">
      <w:pPr>
        <w:spacing w:before="136" w:line="390" w:lineRule="auto"/>
        <w:ind w:left="27" w:right="7" w:firstLine="480"/>
        <w:rPr>
          <w:rFonts w:ascii="宋体" w:hAnsi="宋体" w:eastAsia="宋体" w:cs="宋体"/>
          <w:sz w:val="23"/>
          <w:szCs w:val="23"/>
        </w:rPr>
      </w:pPr>
      <w:r>
        <w:rPr>
          <w:rFonts w:ascii="宋体" w:hAnsi="宋体" w:eastAsia="宋体" w:cs="宋体"/>
          <w:spacing w:val="23"/>
          <w:sz w:val="23"/>
          <w:szCs w:val="23"/>
        </w:rPr>
        <w:t>该</w:t>
      </w:r>
      <w:r>
        <w:rPr>
          <w:rFonts w:ascii="宋体" w:hAnsi="宋体" w:eastAsia="宋体" w:cs="宋体"/>
          <w:spacing w:val="16"/>
          <w:sz w:val="23"/>
          <w:szCs w:val="23"/>
        </w:rPr>
        <w:t>项目在厂区东南侧设有旱厕，员工使用防渗旱厕，定期清掏，不外排；</w:t>
      </w:r>
      <w:r>
        <w:rPr>
          <w:rFonts w:ascii="宋体" w:hAnsi="宋体" w:eastAsia="宋体" w:cs="宋体"/>
          <w:sz w:val="23"/>
          <w:szCs w:val="23"/>
        </w:rPr>
        <w:t xml:space="preserve"> </w:t>
      </w:r>
      <w:r>
        <w:rPr>
          <w:rFonts w:ascii="宋体" w:hAnsi="宋体" w:eastAsia="宋体" w:cs="宋体"/>
          <w:spacing w:val="1"/>
          <w:sz w:val="23"/>
          <w:szCs w:val="23"/>
        </w:rPr>
        <w:t xml:space="preserve">项目设有 </w:t>
      </w:r>
      <w:r>
        <w:rPr>
          <w:rFonts w:ascii="Times New Roman" w:hAnsi="Times New Roman" w:eastAsia="Times New Roman" w:cs="Times New Roman"/>
          <w:spacing w:val="1"/>
          <w:sz w:val="23"/>
          <w:szCs w:val="23"/>
        </w:rPr>
        <w:t xml:space="preserve">1 </w:t>
      </w:r>
      <w:r>
        <w:rPr>
          <w:rFonts w:ascii="宋体" w:hAnsi="宋体" w:eastAsia="宋体" w:cs="宋体"/>
          <w:spacing w:val="1"/>
          <w:sz w:val="23"/>
          <w:szCs w:val="23"/>
        </w:rPr>
        <w:t xml:space="preserve">座容积为 </w:t>
      </w:r>
      <w:r>
        <w:rPr>
          <w:rFonts w:ascii="Times New Roman" w:hAnsi="Times New Roman" w:eastAsia="Times New Roman" w:cs="Times New Roman"/>
          <w:spacing w:val="1"/>
          <w:sz w:val="23"/>
          <w:szCs w:val="23"/>
        </w:rPr>
        <w:t>324</w:t>
      </w:r>
      <w:r>
        <w:rPr>
          <w:rFonts w:ascii="Times New Roman" w:hAnsi="Times New Roman" w:eastAsia="Times New Roman" w:cs="Times New Roman"/>
          <w:sz w:val="23"/>
          <w:szCs w:val="23"/>
        </w:rPr>
        <w:t>m</w:t>
      </w:r>
      <w:r>
        <w:rPr>
          <w:rFonts w:ascii="Times New Roman" w:hAnsi="Times New Roman" w:eastAsia="Times New Roman" w:cs="Times New Roman"/>
          <w:spacing w:val="1"/>
          <w:position w:val="8"/>
          <w:sz w:val="15"/>
          <w:szCs w:val="15"/>
        </w:rPr>
        <w:t xml:space="preserve">3 </w:t>
      </w:r>
      <w:r>
        <w:rPr>
          <w:rFonts w:ascii="宋体" w:hAnsi="宋体" w:eastAsia="宋体" w:cs="宋体"/>
          <w:spacing w:val="1"/>
          <w:sz w:val="23"/>
          <w:szCs w:val="23"/>
        </w:rPr>
        <w:t>的三级</w:t>
      </w:r>
      <w:r>
        <w:rPr>
          <w:rFonts w:ascii="宋体" w:hAnsi="宋体" w:eastAsia="宋体" w:cs="宋体"/>
          <w:sz w:val="23"/>
          <w:szCs w:val="23"/>
        </w:rPr>
        <w:t>沉淀池 (</w:t>
      </w:r>
      <w:r>
        <w:rPr>
          <w:rFonts w:ascii="Times New Roman" w:hAnsi="Times New Roman" w:eastAsia="Times New Roman" w:cs="Times New Roman"/>
          <w:sz w:val="23"/>
          <w:szCs w:val="23"/>
        </w:rPr>
        <w:t>12m×6m×4.5m</w:t>
      </w:r>
      <w:r>
        <w:rPr>
          <w:rFonts w:ascii="宋体" w:hAnsi="宋体" w:eastAsia="宋体" w:cs="宋体"/>
          <w:sz w:val="23"/>
          <w:szCs w:val="23"/>
        </w:rPr>
        <w:t xml:space="preserve">) ，同时配套设有 </w:t>
      </w:r>
      <w:r>
        <w:rPr>
          <w:rFonts w:ascii="Times New Roman" w:hAnsi="Times New Roman" w:eastAsia="Times New Roman" w:cs="Times New Roman"/>
          <w:sz w:val="23"/>
          <w:szCs w:val="23"/>
        </w:rPr>
        <w:t xml:space="preserve">1 </w:t>
      </w:r>
      <w:r>
        <w:rPr>
          <w:rFonts w:ascii="宋体" w:hAnsi="宋体" w:eastAsia="宋体" w:cs="宋体"/>
          <w:sz w:val="23"/>
          <w:szCs w:val="23"/>
        </w:rPr>
        <w:t xml:space="preserve">台 </w:t>
      </w:r>
      <w:r>
        <w:rPr>
          <w:rFonts w:ascii="宋体" w:hAnsi="宋体" w:eastAsia="宋体" w:cs="宋体"/>
          <w:spacing w:val="7"/>
          <w:sz w:val="23"/>
          <w:szCs w:val="23"/>
        </w:rPr>
        <w:t>一体化污水预处理设备，均位于生产厂房西南侧，产生的生产废水经一体化污</w:t>
      </w:r>
      <w:r>
        <w:rPr>
          <w:rFonts w:ascii="宋体" w:hAnsi="宋体" w:eastAsia="宋体" w:cs="宋体"/>
          <w:spacing w:val="5"/>
          <w:sz w:val="23"/>
          <w:szCs w:val="23"/>
        </w:rPr>
        <w:t>水</w:t>
      </w:r>
    </w:p>
    <w:p w14:paraId="507B15C0">
      <w:pPr>
        <w:sectPr>
          <w:headerReference r:id="rId339" w:type="default"/>
          <w:footerReference r:id="rId340" w:type="default"/>
          <w:pgSz w:w="11906" w:h="16839"/>
          <w:pgMar w:top="1132" w:right="1726" w:bottom="1182" w:left="1785" w:header="878" w:footer="1022" w:gutter="0"/>
          <w:cols w:space="720" w:num="1"/>
        </w:sectPr>
      </w:pPr>
    </w:p>
    <w:p w14:paraId="05A55CE9">
      <w:pPr>
        <w:spacing w:line="407" w:lineRule="auto"/>
        <w:rPr>
          <w:rFonts w:ascii="Arial"/>
          <w:sz w:val="21"/>
        </w:rPr>
      </w:pPr>
      <w:r>
        <w:pict>
          <v:shape id="_x0000_s1390" o:spid="_x0000_s1390" style="position:absolute;left:0pt;margin-left:90pt;margin-top:57.35pt;height:0.75pt;width:415.3pt;mso-position-horizontal-relative:page;mso-position-vertical-relative:page;z-index:252086272;mso-width-relative:page;mso-height-relative:page;" fillcolor="#000000" filled="t" stroked="f" coordsize="8305,15" o:allowincell="f" path="m0,0l8305,0,8305,14,0,14,0,0xe">
            <v:path/>
            <v:fill on="t" focussize="0,0"/>
            <v:stroke on="f"/>
            <v:imagedata o:title=""/>
            <o:lock v:ext="edit"/>
          </v:shape>
        </w:pict>
      </w:r>
    </w:p>
    <w:p w14:paraId="4E588886">
      <w:pPr>
        <w:spacing w:before="75" w:line="386" w:lineRule="auto"/>
        <w:ind w:left="22" w:right="1" w:firstLine="2"/>
        <w:rPr>
          <w:rFonts w:ascii="宋体" w:hAnsi="宋体" w:eastAsia="宋体" w:cs="宋体"/>
          <w:sz w:val="23"/>
          <w:szCs w:val="23"/>
        </w:rPr>
      </w:pPr>
      <w:r>
        <w:rPr>
          <w:rFonts w:ascii="宋体" w:hAnsi="宋体" w:eastAsia="宋体" w:cs="宋体"/>
          <w:spacing w:val="10"/>
          <w:sz w:val="23"/>
          <w:szCs w:val="23"/>
        </w:rPr>
        <w:t>预处</w:t>
      </w:r>
      <w:r>
        <w:rPr>
          <w:rFonts w:ascii="宋体" w:hAnsi="宋体" w:eastAsia="宋体" w:cs="宋体"/>
          <w:spacing w:val="8"/>
          <w:sz w:val="23"/>
          <w:szCs w:val="23"/>
        </w:rPr>
        <w:t>理</w:t>
      </w:r>
      <w:r>
        <w:rPr>
          <w:rFonts w:ascii="宋体" w:hAnsi="宋体" w:eastAsia="宋体" w:cs="宋体"/>
          <w:spacing w:val="5"/>
          <w:sz w:val="23"/>
          <w:szCs w:val="23"/>
        </w:rPr>
        <w:t>设备处理后排入三级沉淀池 (</w:t>
      </w:r>
      <w:r>
        <w:rPr>
          <w:rFonts w:ascii="Times New Roman" w:hAnsi="Times New Roman" w:eastAsia="Times New Roman" w:cs="Times New Roman"/>
          <w:spacing w:val="5"/>
          <w:sz w:val="23"/>
          <w:szCs w:val="23"/>
        </w:rPr>
        <w:t>12</w:t>
      </w:r>
      <w:r>
        <w:rPr>
          <w:rFonts w:ascii="Times New Roman" w:hAnsi="Times New Roman" w:eastAsia="Times New Roman" w:cs="Times New Roman"/>
          <w:sz w:val="23"/>
          <w:szCs w:val="23"/>
        </w:rPr>
        <w:t>m</w:t>
      </w:r>
      <w:r>
        <w:rPr>
          <w:rFonts w:ascii="Times New Roman" w:hAnsi="Times New Roman" w:eastAsia="Times New Roman" w:cs="Times New Roman"/>
          <w:spacing w:val="5"/>
          <w:sz w:val="23"/>
          <w:szCs w:val="23"/>
        </w:rPr>
        <w:t>×6</w:t>
      </w:r>
      <w:r>
        <w:rPr>
          <w:rFonts w:ascii="Times New Roman" w:hAnsi="Times New Roman" w:eastAsia="Times New Roman" w:cs="Times New Roman"/>
          <w:sz w:val="23"/>
          <w:szCs w:val="23"/>
        </w:rPr>
        <w:t>m</w:t>
      </w:r>
      <w:r>
        <w:rPr>
          <w:rFonts w:ascii="Times New Roman" w:hAnsi="Times New Roman" w:eastAsia="Times New Roman" w:cs="Times New Roman"/>
          <w:spacing w:val="5"/>
          <w:sz w:val="23"/>
          <w:szCs w:val="23"/>
        </w:rPr>
        <w:t>×4.5</w:t>
      </w:r>
      <w:r>
        <w:rPr>
          <w:rFonts w:ascii="Times New Roman" w:hAnsi="Times New Roman" w:eastAsia="Times New Roman" w:cs="Times New Roman"/>
          <w:sz w:val="23"/>
          <w:szCs w:val="23"/>
        </w:rPr>
        <w:t>m</w:t>
      </w:r>
      <w:r>
        <w:rPr>
          <w:rFonts w:ascii="宋体" w:hAnsi="宋体" w:eastAsia="宋体" w:cs="宋体"/>
          <w:spacing w:val="5"/>
          <w:sz w:val="23"/>
          <w:szCs w:val="23"/>
        </w:rPr>
        <w:t>) 沉淀处理，随后循环使用。</w:t>
      </w:r>
      <w:r>
        <w:rPr>
          <w:rFonts w:ascii="宋体" w:hAnsi="宋体" w:eastAsia="宋体" w:cs="宋体"/>
          <w:sz w:val="23"/>
          <w:szCs w:val="23"/>
        </w:rPr>
        <w:t xml:space="preserve"> </w:t>
      </w:r>
      <w:r>
        <w:rPr>
          <w:rFonts w:ascii="宋体" w:hAnsi="宋体" w:eastAsia="宋体" w:cs="宋体"/>
          <w:spacing w:val="1"/>
          <w:sz w:val="23"/>
          <w:szCs w:val="23"/>
        </w:rPr>
        <w:t>污水处理设施</w:t>
      </w:r>
      <w:r>
        <w:rPr>
          <w:rFonts w:ascii="宋体" w:hAnsi="宋体" w:eastAsia="宋体" w:cs="宋体"/>
          <w:sz w:val="23"/>
          <w:szCs w:val="23"/>
        </w:rPr>
        <w:t xml:space="preserve">废水每月更换 </w:t>
      </w:r>
      <w:r>
        <w:rPr>
          <w:rFonts w:ascii="Times New Roman" w:hAnsi="Times New Roman" w:eastAsia="Times New Roman" w:cs="Times New Roman"/>
          <w:sz w:val="23"/>
          <w:szCs w:val="23"/>
        </w:rPr>
        <w:t xml:space="preserve">1 </w:t>
      </w:r>
      <w:r>
        <w:rPr>
          <w:rFonts w:ascii="宋体" w:hAnsi="宋体" w:eastAsia="宋体" w:cs="宋体"/>
          <w:sz w:val="23"/>
          <w:szCs w:val="23"/>
        </w:rPr>
        <w:t xml:space="preserve">次，则该项目全年更换废水量为 </w:t>
      </w:r>
      <w:r>
        <w:rPr>
          <w:rFonts w:ascii="Times New Roman" w:hAnsi="Times New Roman" w:eastAsia="Times New Roman" w:cs="Times New Roman"/>
          <w:sz w:val="23"/>
          <w:szCs w:val="23"/>
        </w:rPr>
        <w:t>1523.52m</w:t>
      </w:r>
      <w:r>
        <w:rPr>
          <w:rFonts w:ascii="Times New Roman" w:hAnsi="Times New Roman" w:eastAsia="Times New Roman" w:cs="Times New Roman"/>
          <w:position w:val="8"/>
          <w:sz w:val="15"/>
          <w:szCs w:val="15"/>
        </w:rPr>
        <w:t>3</w:t>
      </w:r>
      <w:r>
        <w:rPr>
          <w:rFonts w:ascii="宋体" w:hAnsi="宋体" w:eastAsia="宋体" w:cs="宋体"/>
          <w:sz w:val="23"/>
          <w:szCs w:val="23"/>
        </w:rPr>
        <w:t xml:space="preserve">，更换过 </w:t>
      </w:r>
      <w:r>
        <w:rPr>
          <w:rFonts w:ascii="宋体" w:hAnsi="宋体" w:eastAsia="宋体" w:cs="宋体"/>
          <w:spacing w:val="-4"/>
          <w:sz w:val="23"/>
          <w:szCs w:val="23"/>
        </w:rPr>
        <w:t>程产生的废水经吸污车运送</w:t>
      </w:r>
      <w:r>
        <w:rPr>
          <w:rFonts w:ascii="宋体" w:hAnsi="宋体" w:eastAsia="宋体" w:cs="宋体"/>
          <w:spacing w:val="-2"/>
          <w:sz w:val="23"/>
          <w:szCs w:val="23"/>
        </w:rPr>
        <w:t>至本溪市科态污水处理有限责任公司统一处理。 由工程</w:t>
      </w:r>
      <w:r>
        <w:rPr>
          <w:rFonts w:ascii="宋体" w:hAnsi="宋体" w:eastAsia="宋体" w:cs="宋体"/>
          <w:sz w:val="23"/>
          <w:szCs w:val="23"/>
        </w:rPr>
        <w:t xml:space="preserve"> </w:t>
      </w:r>
      <w:r>
        <w:rPr>
          <w:rFonts w:ascii="宋体" w:hAnsi="宋体" w:eastAsia="宋体" w:cs="宋体"/>
          <w:spacing w:val="6"/>
          <w:sz w:val="23"/>
          <w:szCs w:val="23"/>
        </w:rPr>
        <w:t xml:space="preserve">分析章节可知，该部分更换的生产废水主要污染物为 </w:t>
      </w:r>
      <w:r>
        <w:rPr>
          <w:rFonts w:ascii="Times New Roman" w:hAnsi="Times New Roman" w:eastAsia="Times New Roman" w:cs="Times New Roman"/>
          <w:sz w:val="23"/>
          <w:szCs w:val="23"/>
        </w:rPr>
        <w:t>COD</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w:t>
      </w:r>
      <w:r>
        <w:rPr>
          <w:rFonts w:ascii="Times New Roman" w:hAnsi="Times New Roman" w:eastAsia="Times New Roman" w:cs="Times New Roman"/>
          <w:sz w:val="23"/>
          <w:szCs w:val="23"/>
        </w:rPr>
        <w:t>SS</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、石油类，能</w:t>
      </w:r>
      <w:r>
        <w:rPr>
          <w:rFonts w:ascii="宋体" w:hAnsi="宋体" w:eastAsia="宋体" w:cs="宋体"/>
          <w:sz w:val="23"/>
          <w:szCs w:val="23"/>
        </w:rPr>
        <w:t xml:space="preserve">够 </w:t>
      </w:r>
      <w:r>
        <w:rPr>
          <w:rFonts w:ascii="宋体" w:hAnsi="宋体" w:eastAsia="宋体" w:cs="宋体"/>
          <w:spacing w:val="8"/>
          <w:sz w:val="23"/>
          <w:szCs w:val="23"/>
        </w:rPr>
        <w:t>达到《辽宁</w:t>
      </w:r>
      <w:r>
        <w:rPr>
          <w:rFonts w:ascii="宋体" w:hAnsi="宋体" w:eastAsia="宋体" w:cs="宋体"/>
          <w:spacing w:val="7"/>
          <w:sz w:val="23"/>
          <w:szCs w:val="23"/>
        </w:rPr>
        <w:t>省</w:t>
      </w:r>
      <w:r>
        <w:rPr>
          <w:rFonts w:ascii="宋体" w:hAnsi="宋体" w:eastAsia="宋体" w:cs="宋体"/>
          <w:spacing w:val="4"/>
          <w:sz w:val="23"/>
          <w:szCs w:val="23"/>
        </w:rPr>
        <w:t>污水综合排放标准》 (</w:t>
      </w:r>
      <w:r>
        <w:rPr>
          <w:rFonts w:ascii="Times New Roman" w:hAnsi="Times New Roman" w:eastAsia="Times New Roman" w:cs="Times New Roman"/>
          <w:sz w:val="23"/>
          <w:szCs w:val="23"/>
        </w:rPr>
        <w:t>DB</w:t>
      </w:r>
      <w:r>
        <w:rPr>
          <w:rFonts w:ascii="Times New Roman" w:hAnsi="Times New Roman" w:eastAsia="Times New Roman" w:cs="Times New Roman"/>
          <w:spacing w:val="4"/>
          <w:sz w:val="23"/>
          <w:szCs w:val="23"/>
        </w:rPr>
        <w:t>21/ 1627-2008</w:t>
      </w:r>
      <w:r>
        <w:rPr>
          <w:rFonts w:ascii="宋体" w:hAnsi="宋体" w:eastAsia="宋体" w:cs="宋体"/>
          <w:spacing w:val="4"/>
          <w:sz w:val="23"/>
          <w:szCs w:val="23"/>
        </w:rPr>
        <w:t>) 中排入污水处理厂的水污</w:t>
      </w:r>
      <w:r>
        <w:rPr>
          <w:rFonts w:ascii="宋体" w:hAnsi="宋体" w:eastAsia="宋体" w:cs="宋体"/>
          <w:sz w:val="23"/>
          <w:szCs w:val="23"/>
        </w:rPr>
        <w:t xml:space="preserve"> </w:t>
      </w:r>
      <w:r>
        <w:rPr>
          <w:rFonts w:ascii="宋体" w:hAnsi="宋体" w:eastAsia="宋体" w:cs="宋体"/>
          <w:spacing w:val="18"/>
          <w:sz w:val="23"/>
          <w:szCs w:val="23"/>
        </w:rPr>
        <w:t>染</w:t>
      </w:r>
      <w:r>
        <w:rPr>
          <w:rFonts w:ascii="宋体" w:hAnsi="宋体" w:eastAsia="宋体" w:cs="宋体"/>
          <w:spacing w:val="11"/>
          <w:sz w:val="23"/>
          <w:szCs w:val="23"/>
        </w:rPr>
        <w:t>物</w:t>
      </w:r>
      <w:r>
        <w:rPr>
          <w:rFonts w:ascii="宋体" w:hAnsi="宋体" w:eastAsia="宋体" w:cs="宋体"/>
          <w:spacing w:val="9"/>
          <w:sz w:val="23"/>
          <w:szCs w:val="23"/>
        </w:rPr>
        <w:t>最高允许排放浓度限制要求，对当地地表水环境质量影响不大。</w:t>
      </w:r>
    </w:p>
    <w:p w14:paraId="5A745EFB">
      <w:pPr>
        <w:spacing w:before="115" w:line="221" w:lineRule="auto"/>
        <w:ind w:left="32"/>
        <w:rPr>
          <w:rFonts w:ascii="宋体" w:hAnsi="宋体" w:eastAsia="宋体" w:cs="宋体"/>
          <w:sz w:val="28"/>
          <w:szCs w:val="28"/>
        </w:rPr>
      </w:pPr>
      <w:r>
        <w:rPr>
          <w:rFonts w:ascii="Times New Roman" w:hAnsi="Times New Roman" w:eastAsia="Times New Roman" w:cs="Times New Roman"/>
          <w:b/>
          <w:bCs/>
          <w:spacing w:val="-2"/>
          <w:sz w:val="28"/>
          <w:szCs w:val="28"/>
        </w:rPr>
        <w:t>10.1.6</w:t>
      </w:r>
      <w:r>
        <w:rPr>
          <w:rFonts w:ascii="Times New Roman" w:hAnsi="Times New Roman" w:eastAsia="Times New Roman" w:cs="Times New Roman"/>
          <w:b/>
          <w:bCs/>
          <w:spacing w:val="-1"/>
          <w:sz w:val="28"/>
          <w:szCs w:val="28"/>
        </w:rPr>
        <w:t>.3</w:t>
      </w:r>
      <w:r>
        <w:rPr>
          <w:rFonts w:ascii="Times New Roman" w:hAnsi="Times New Roman" w:eastAsia="Times New Roman" w:cs="Times New Roman"/>
          <w:spacing w:val="-1"/>
          <w:sz w:val="28"/>
          <w:szCs w:val="28"/>
        </w:rPr>
        <w:t xml:space="preserve">  </w:t>
      </w:r>
      <w:r>
        <w:rPr>
          <w:rFonts w:ascii="宋体" w:hAnsi="宋体" w:eastAsia="宋体" w:cs="宋体"/>
          <w:spacing w:val="-1"/>
          <w:sz w:val="28"/>
          <w:szCs w:val="28"/>
          <w14:textOutline w14:w="5103" w14:cap="sq" w14:cmpd="sng">
            <w14:solidFill>
              <w14:srgbClr w14:val="000000"/>
            </w14:solidFill>
            <w14:prstDash w14:val="solid"/>
            <w14:bevel/>
          </w14:textOutline>
        </w:rPr>
        <w:t>噪声</w:t>
      </w:r>
    </w:p>
    <w:p w14:paraId="05E206E7">
      <w:pPr>
        <w:spacing w:line="260" w:lineRule="auto"/>
        <w:rPr>
          <w:rFonts w:ascii="Arial"/>
          <w:sz w:val="21"/>
        </w:rPr>
      </w:pPr>
    </w:p>
    <w:p w14:paraId="700204FE">
      <w:pPr>
        <w:spacing w:before="74" w:line="228" w:lineRule="auto"/>
        <w:ind w:left="502"/>
        <w:rPr>
          <w:rFonts w:ascii="宋体" w:hAnsi="宋体" w:eastAsia="宋体" w:cs="宋体"/>
          <w:sz w:val="23"/>
          <w:szCs w:val="23"/>
        </w:rPr>
      </w:pPr>
      <w:r>
        <w:rPr>
          <w:rFonts w:ascii="宋体" w:hAnsi="宋体" w:eastAsia="宋体" w:cs="宋体"/>
          <w:spacing w:val="12"/>
          <w:sz w:val="23"/>
          <w:szCs w:val="23"/>
        </w:rPr>
        <w:t>施</w:t>
      </w:r>
      <w:r>
        <w:rPr>
          <w:rFonts w:ascii="宋体" w:hAnsi="宋体" w:eastAsia="宋体" w:cs="宋体"/>
          <w:spacing w:val="9"/>
          <w:sz w:val="23"/>
          <w:szCs w:val="23"/>
        </w:rPr>
        <w:t>工期：加强管理，夜间禁止施工，远离居民区；</w:t>
      </w:r>
    </w:p>
    <w:p w14:paraId="444203D7">
      <w:pPr>
        <w:spacing w:line="275" w:lineRule="auto"/>
        <w:rPr>
          <w:rFonts w:ascii="Arial"/>
          <w:sz w:val="21"/>
        </w:rPr>
      </w:pPr>
    </w:p>
    <w:p w14:paraId="4472F3BB">
      <w:pPr>
        <w:spacing w:before="75" w:line="228" w:lineRule="auto"/>
        <w:ind w:left="503"/>
        <w:rPr>
          <w:rFonts w:ascii="宋体" w:hAnsi="宋体" w:eastAsia="宋体" w:cs="宋体"/>
          <w:sz w:val="23"/>
          <w:szCs w:val="23"/>
        </w:rPr>
      </w:pPr>
      <w:r>
        <w:rPr>
          <w:rFonts w:ascii="宋体" w:hAnsi="宋体" w:eastAsia="宋体" w:cs="宋体"/>
          <w:spacing w:val="17"/>
          <w:sz w:val="23"/>
          <w:szCs w:val="23"/>
        </w:rPr>
        <w:t>运</w:t>
      </w:r>
      <w:r>
        <w:rPr>
          <w:rFonts w:ascii="宋体" w:hAnsi="宋体" w:eastAsia="宋体" w:cs="宋体"/>
          <w:spacing w:val="9"/>
          <w:sz w:val="23"/>
          <w:szCs w:val="23"/>
        </w:rPr>
        <w:t>营期：合理布局，首选低噪声设备，减振、隔声，厂界达标。</w:t>
      </w:r>
    </w:p>
    <w:p w14:paraId="66AA2AFB">
      <w:pPr>
        <w:spacing w:before="316" w:line="221" w:lineRule="auto"/>
        <w:ind w:left="32"/>
        <w:rPr>
          <w:rFonts w:ascii="宋体" w:hAnsi="宋体" w:eastAsia="宋体" w:cs="宋体"/>
          <w:sz w:val="28"/>
          <w:szCs w:val="28"/>
        </w:rPr>
      </w:pPr>
      <w:r>
        <w:rPr>
          <w:rFonts w:ascii="Times New Roman" w:hAnsi="Times New Roman" w:eastAsia="Times New Roman" w:cs="Times New Roman"/>
          <w:b/>
          <w:bCs/>
          <w:spacing w:val="-2"/>
          <w:sz w:val="28"/>
          <w:szCs w:val="28"/>
        </w:rPr>
        <w:t>10.</w:t>
      </w:r>
      <w:r>
        <w:rPr>
          <w:rFonts w:ascii="Times New Roman" w:hAnsi="Times New Roman" w:eastAsia="Times New Roman" w:cs="Times New Roman"/>
          <w:b/>
          <w:bCs/>
          <w:spacing w:val="-1"/>
          <w:sz w:val="28"/>
          <w:szCs w:val="28"/>
        </w:rPr>
        <w:t>1.6.4</w:t>
      </w:r>
      <w:r>
        <w:rPr>
          <w:rFonts w:ascii="Times New Roman" w:hAnsi="Times New Roman" w:eastAsia="Times New Roman" w:cs="Times New Roman"/>
          <w:spacing w:val="-1"/>
          <w:sz w:val="28"/>
          <w:szCs w:val="28"/>
        </w:rPr>
        <w:t xml:space="preserve">  </w:t>
      </w:r>
      <w:r>
        <w:rPr>
          <w:rFonts w:ascii="宋体" w:hAnsi="宋体" w:eastAsia="宋体" w:cs="宋体"/>
          <w:spacing w:val="-1"/>
          <w:sz w:val="28"/>
          <w:szCs w:val="28"/>
          <w14:textOutline w14:w="5103" w14:cap="sq" w14:cmpd="sng">
            <w14:solidFill>
              <w14:srgbClr w14:val="000000"/>
            </w14:solidFill>
            <w14:prstDash w14:val="solid"/>
            <w14:bevel/>
          </w14:textOutline>
        </w:rPr>
        <w:t>固体废物</w:t>
      </w:r>
    </w:p>
    <w:p w14:paraId="0089B8FF">
      <w:pPr>
        <w:spacing w:line="260" w:lineRule="auto"/>
        <w:rPr>
          <w:rFonts w:ascii="Arial"/>
          <w:sz w:val="21"/>
        </w:rPr>
      </w:pPr>
    </w:p>
    <w:p w14:paraId="1459BB2F">
      <w:pPr>
        <w:spacing w:before="75" w:line="228" w:lineRule="auto"/>
        <w:ind w:left="502"/>
        <w:rPr>
          <w:rFonts w:ascii="宋体" w:hAnsi="宋体" w:eastAsia="宋体" w:cs="宋体"/>
          <w:sz w:val="23"/>
          <w:szCs w:val="23"/>
        </w:rPr>
      </w:pPr>
      <w:r>
        <w:rPr>
          <w:rFonts w:ascii="宋体" w:hAnsi="宋体" w:eastAsia="宋体" w:cs="宋体"/>
          <w:spacing w:val="18"/>
          <w:sz w:val="23"/>
          <w:szCs w:val="23"/>
        </w:rPr>
        <w:t>施</w:t>
      </w:r>
      <w:r>
        <w:rPr>
          <w:rFonts w:ascii="宋体" w:hAnsi="宋体" w:eastAsia="宋体" w:cs="宋体"/>
          <w:spacing w:val="12"/>
          <w:sz w:val="23"/>
          <w:szCs w:val="23"/>
        </w:rPr>
        <w:t>工</w:t>
      </w:r>
      <w:r>
        <w:rPr>
          <w:rFonts w:ascii="宋体" w:hAnsi="宋体" w:eastAsia="宋体" w:cs="宋体"/>
          <w:spacing w:val="9"/>
          <w:sz w:val="23"/>
          <w:szCs w:val="23"/>
        </w:rPr>
        <w:t>期：废弃砂石运往政府指定地点堆存，生活垃圾运往垃圾填埋场；</w:t>
      </w:r>
    </w:p>
    <w:p w14:paraId="34D54297">
      <w:pPr>
        <w:spacing w:line="270" w:lineRule="auto"/>
        <w:rPr>
          <w:rFonts w:ascii="Arial"/>
          <w:sz w:val="21"/>
        </w:rPr>
      </w:pPr>
    </w:p>
    <w:p w14:paraId="2A96D97D">
      <w:pPr>
        <w:spacing w:before="75" w:line="387" w:lineRule="auto"/>
        <w:ind w:left="22" w:right="4" w:firstLine="480"/>
        <w:rPr>
          <w:rFonts w:ascii="宋体" w:hAnsi="宋体" w:eastAsia="宋体" w:cs="宋体"/>
          <w:sz w:val="23"/>
          <w:szCs w:val="23"/>
        </w:rPr>
      </w:pPr>
      <w:r>
        <w:rPr>
          <w:rFonts w:ascii="宋体" w:hAnsi="宋体" w:eastAsia="宋体" w:cs="宋体"/>
          <w:spacing w:val="7"/>
          <w:sz w:val="23"/>
          <w:szCs w:val="23"/>
        </w:rPr>
        <w:t>运营期：该项目在厂区内设置集中收集垃圾箱，员工生活垃圾收集到指定</w:t>
      </w:r>
      <w:r>
        <w:rPr>
          <w:rFonts w:ascii="宋体" w:hAnsi="宋体" w:eastAsia="宋体" w:cs="宋体"/>
          <w:spacing w:val="3"/>
          <w:sz w:val="23"/>
          <w:szCs w:val="23"/>
        </w:rPr>
        <w:t>垃</w:t>
      </w:r>
      <w:r>
        <w:rPr>
          <w:rFonts w:ascii="宋体" w:hAnsi="宋体" w:eastAsia="宋体" w:cs="宋体"/>
          <w:sz w:val="23"/>
          <w:szCs w:val="23"/>
        </w:rPr>
        <w:t xml:space="preserve"> </w:t>
      </w:r>
      <w:r>
        <w:rPr>
          <w:rFonts w:ascii="宋体" w:hAnsi="宋体" w:eastAsia="宋体" w:cs="宋体"/>
          <w:spacing w:val="9"/>
          <w:sz w:val="23"/>
          <w:szCs w:val="23"/>
        </w:rPr>
        <w:t>圾</w:t>
      </w:r>
      <w:r>
        <w:rPr>
          <w:rFonts w:ascii="宋体" w:hAnsi="宋体" w:eastAsia="宋体" w:cs="宋体"/>
          <w:spacing w:val="7"/>
          <w:sz w:val="23"/>
          <w:szCs w:val="23"/>
        </w:rPr>
        <w:t>箱内，随后运送至环卫部门指定地点统一处理；产生的杂质集中收集后，与生</w:t>
      </w:r>
      <w:r>
        <w:rPr>
          <w:rFonts w:ascii="宋体" w:hAnsi="宋体" w:eastAsia="宋体" w:cs="宋体"/>
          <w:sz w:val="23"/>
          <w:szCs w:val="23"/>
        </w:rPr>
        <w:t xml:space="preserve"> </w:t>
      </w:r>
      <w:r>
        <w:rPr>
          <w:rFonts w:ascii="宋体" w:hAnsi="宋体" w:eastAsia="宋体" w:cs="宋体"/>
          <w:spacing w:val="9"/>
          <w:sz w:val="23"/>
          <w:szCs w:val="23"/>
        </w:rPr>
        <w:t>活</w:t>
      </w:r>
      <w:r>
        <w:rPr>
          <w:rFonts w:ascii="宋体" w:hAnsi="宋体" w:eastAsia="宋体" w:cs="宋体"/>
          <w:spacing w:val="7"/>
          <w:sz w:val="23"/>
          <w:szCs w:val="23"/>
        </w:rPr>
        <w:t>垃圾统一运送至环卫部门指定地点统一处理；生产废水处理过程中产生的污泥</w:t>
      </w:r>
      <w:r>
        <w:rPr>
          <w:rFonts w:ascii="宋体" w:hAnsi="宋体" w:eastAsia="宋体" w:cs="宋体"/>
          <w:sz w:val="23"/>
          <w:szCs w:val="23"/>
        </w:rPr>
        <w:t xml:space="preserve"> </w:t>
      </w:r>
      <w:r>
        <w:rPr>
          <w:rFonts w:ascii="宋体" w:hAnsi="宋体" w:eastAsia="宋体" w:cs="宋体"/>
          <w:spacing w:val="26"/>
          <w:sz w:val="23"/>
          <w:szCs w:val="23"/>
        </w:rPr>
        <w:t>经</w:t>
      </w:r>
      <w:r>
        <w:rPr>
          <w:rFonts w:ascii="宋体" w:hAnsi="宋体" w:eastAsia="宋体" w:cs="宋体"/>
          <w:spacing w:val="23"/>
          <w:sz w:val="23"/>
          <w:szCs w:val="23"/>
        </w:rPr>
        <w:t>压</w:t>
      </w:r>
      <w:r>
        <w:rPr>
          <w:rFonts w:ascii="宋体" w:hAnsi="宋体" w:eastAsia="宋体" w:cs="宋体"/>
          <w:spacing w:val="13"/>
          <w:sz w:val="23"/>
          <w:szCs w:val="23"/>
        </w:rPr>
        <w:t>滤后可与生活垃圾一起运送至环卫部门指定地点统一处理；热风炉燃烧生</w:t>
      </w:r>
      <w:r>
        <w:rPr>
          <w:rFonts w:ascii="宋体" w:hAnsi="宋体" w:eastAsia="宋体" w:cs="宋体"/>
          <w:sz w:val="23"/>
          <w:szCs w:val="23"/>
        </w:rPr>
        <w:t xml:space="preserve"> </w:t>
      </w:r>
      <w:r>
        <w:rPr>
          <w:rFonts w:ascii="宋体" w:hAnsi="宋体" w:eastAsia="宋体" w:cs="宋体"/>
          <w:spacing w:val="35"/>
          <w:sz w:val="23"/>
          <w:szCs w:val="23"/>
        </w:rPr>
        <w:t>物</w:t>
      </w:r>
      <w:r>
        <w:rPr>
          <w:rFonts w:ascii="宋体" w:hAnsi="宋体" w:eastAsia="宋体" w:cs="宋体"/>
          <w:spacing w:val="21"/>
          <w:sz w:val="23"/>
          <w:szCs w:val="23"/>
        </w:rPr>
        <w:t>质产生的炉渣及及除尘器收集的粉尘定期外卖给农肥厂进行综合利用；产</w:t>
      </w:r>
      <w:r>
        <w:rPr>
          <w:rFonts w:ascii="宋体" w:hAnsi="宋体" w:eastAsia="宋体" w:cs="宋体"/>
          <w:sz w:val="23"/>
          <w:szCs w:val="23"/>
        </w:rPr>
        <w:t xml:space="preserve"> </w:t>
      </w:r>
      <w:r>
        <w:rPr>
          <w:rFonts w:ascii="宋体" w:hAnsi="宋体" w:eastAsia="宋体" w:cs="宋体"/>
          <w:spacing w:val="12"/>
          <w:sz w:val="23"/>
          <w:szCs w:val="23"/>
        </w:rPr>
        <w:t>生的</w:t>
      </w:r>
      <w:r>
        <w:rPr>
          <w:rFonts w:ascii="宋体" w:hAnsi="宋体" w:eastAsia="宋体" w:cs="宋体"/>
          <w:spacing w:val="10"/>
          <w:sz w:val="23"/>
          <w:szCs w:val="23"/>
        </w:rPr>
        <w:t>废</w:t>
      </w:r>
      <w:r>
        <w:rPr>
          <w:rFonts w:ascii="宋体" w:hAnsi="宋体" w:eastAsia="宋体" w:cs="宋体"/>
          <w:spacing w:val="6"/>
          <w:sz w:val="23"/>
          <w:szCs w:val="23"/>
        </w:rPr>
        <w:t>滤网均由厂家定期回收；产生的废活性炭属于</w:t>
      </w:r>
      <w:r>
        <w:rPr>
          <w:rFonts w:ascii="Times New Roman" w:hAnsi="Times New Roman" w:eastAsia="Times New Roman" w:cs="Times New Roman"/>
          <w:spacing w:val="6"/>
          <w:sz w:val="23"/>
          <w:szCs w:val="23"/>
        </w:rPr>
        <w:t>“</w:t>
      </w:r>
      <w:r>
        <w:rPr>
          <w:rFonts w:ascii="Times New Roman" w:hAnsi="Times New Roman" w:eastAsia="Times New Roman" w:cs="Times New Roman"/>
          <w:sz w:val="23"/>
          <w:szCs w:val="23"/>
        </w:rPr>
        <w:t>HW</w:t>
      </w:r>
      <w:r>
        <w:rPr>
          <w:rFonts w:ascii="Times New Roman" w:hAnsi="Times New Roman" w:eastAsia="Times New Roman" w:cs="Times New Roman"/>
          <w:spacing w:val="6"/>
          <w:sz w:val="23"/>
          <w:szCs w:val="23"/>
        </w:rPr>
        <w:t xml:space="preserve">49  </w:t>
      </w:r>
      <w:r>
        <w:rPr>
          <w:rFonts w:ascii="宋体" w:hAnsi="宋体" w:eastAsia="宋体" w:cs="宋体"/>
          <w:spacing w:val="6"/>
          <w:sz w:val="23"/>
          <w:szCs w:val="23"/>
        </w:rPr>
        <w:t>其他废物</w:t>
      </w:r>
      <w:r>
        <w:rPr>
          <w:rFonts w:ascii="Times New Roman" w:hAnsi="Times New Roman" w:eastAsia="Times New Roman" w:cs="Times New Roman"/>
          <w:spacing w:val="6"/>
          <w:sz w:val="23"/>
          <w:szCs w:val="23"/>
        </w:rPr>
        <w:t>”</w:t>
      </w:r>
      <w:r>
        <w:rPr>
          <w:rFonts w:ascii="宋体" w:hAnsi="宋体" w:eastAsia="宋体" w:cs="宋体"/>
          <w:spacing w:val="6"/>
          <w:sz w:val="23"/>
          <w:szCs w:val="23"/>
        </w:rPr>
        <w:t>，废物代</w:t>
      </w:r>
      <w:r>
        <w:rPr>
          <w:rFonts w:ascii="宋体" w:hAnsi="宋体" w:eastAsia="宋体" w:cs="宋体"/>
          <w:sz w:val="23"/>
          <w:szCs w:val="23"/>
        </w:rPr>
        <w:t xml:space="preserve"> </w:t>
      </w:r>
      <w:r>
        <w:rPr>
          <w:rFonts w:ascii="宋体" w:hAnsi="宋体" w:eastAsia="宋体" w:cs="宋体"/>
          <w:spacing w:val="7"/>
          <w:sz w:val="23"/>
          <w:szCs w:val="23"/>
        </w:rPr>
        <w:t xml:space="preserve">码为 </w:t>
      </w:r>
      <w:r>
        <w:rPr>
          <w:rFonts w:ascii="Times New Roman" w:hAnsi="Times New Roman" w:eastAsia="Times New Roman" w:cs="Times New Roman"/>
          <w:spacing w:val="7"/>
          <w:sz w:val="23"/>
          <w:szCs w:val="23"/>
        </w:rPr>
        <w:t xml:space="preserve">900-041-49 </w:t>
      </w:r>
      <w:r>
        <w:rPr>
          <w:rFonts w:ascii="宋体" w:hAnsi="宋体" w:eastAsia="宋体" w:cs="宋体"/>
          <w:spacing w:val="7"/>
          <w:sz w:val="23"/>
          <w:szCs w:val="23"/>
        </w:rPr>
        <w:t>，即</w:t>
      </w:r>
      <w:r>
        <w:rPr>
          <w:rFonts w:ascii="Times New Roman" w:hAnsi="Times New Roman" w:eastAsia="Times New Roman" w:cs="Times New Roman"/>
          <w:spacing w:val="7"/>
          <w:sz w:val="23"/>
          <w:szCs w:val="23"/>
        </w:rPr>
        <w:t>“</w:t>
      </w:r>
      <w:r>
        <w:rPr>
          <w:rFonts w:ascii="宋体" w:hAnsi="宋体" w:eastAsia="宋体" w:cs="宋体"/>
          <w:spacing w:val="7"/>
          <w:sz w:val="23"/>
          <w:szCs w:val="23"/>
        </w:rPr>
        <w:t>含有或沾染毒性、感染性危险废物的废弃包装物、容器</w:t>
      </w:r>
      <w:r>
        <w:rPr>
          <w:rFonts w:ascii="宋体" w:hAnsi="宋体" w:eastAsia="宋体" w:cs="宋体"/>
          <w:spacing w:val="2"/>
          <w:sz w:val="23"/>
          <w:szCs w:val="23"/>
        </w:rPr>
        <w:t>、</w:t>
      </w:r>
      <w:r>
        <w:rPr>
          <w:rFonts w:ascii="宋体" w:hAnsi="宋体" w:eastAsia="宋体" w:cs="宋体"/>
          <w:sz w:val="23"/>
          <w:szCs w:val="23"/>
        </w:rPr>
        <w:t xml:space="preserve"> </w:t>
      </w:r>
      <w:r>
        <w:rPr>
          <w:rFonts w:ascii="宋体" w:hAnsi="宋体" w:eastAsia="宋体" w:cs="宋体"/>
          <w:spacing w:val="3"/>
          <w:sz w:val="23"/>
          <w:szCs w:val="23"/>
        </w:rPr>
        <w:t>过滤吸附介质</w:t>
      </w:r>
      <w:r>
        <w:rPr>
          <w:rFonts w:ascii="Times New Roman" w:hAnsi="Times New Roman" w:eastAsia="Times New Roman" w:cs="Times New Roman"/>
          <w:spacing w:val="3"/>
          <w:sz w:val="23"/>
          <w:szCs w:val="23"/>
        </w:rPr>
        <w:t>”</w:t>
      </w:r>
      <w:r>
        <w:rPr>
          <w:rFonts w:ascii="宋体" w:hAnsi="宋体" w:eastAsia="宋体" w:cs="宋体"/>
          <w:spacing w:val="3"/>
          <w:sz w:val="23"/>
          <w:szCs w:val="23"/>
        </w:rPr>
        <w:t>，危险特性为</w:t>
      </w:r>
      <w:r>
        <w:rPr>
          <w:rFonts w:ascii="Times New Roman" w:hAnsi="Times New Roman" w:eastAsia="Times New Roman" w:cs="Times New Roman"/>
          <w:spacing w:val="3"/>
          <w:sz w:val="23"/>
          <w:szCs w:val="23"/>
        </w:rPr>
        <w:t>“</w:t>
      </w:r>
      <w:r>
        <w:rPr>
          <w:rFonts w:ascii="Times New Roman" w:hAnsi="Times New Roman" w:eastAsia="Times New Roman" w:cs="Times New Roman"/>
          <w:sz w:val="23"/>
          <w:szCs w:val="23"/>
        </w:rPr>
        <w:t>T</w:t>
      </w:r>
      <w:r>
        <w:rPr>
          <w:rFonts w:ascii="宋体" w:hAnsi="宋体" w:eastAsia="宋体" w:cs="宋体"/>
          <w:spacing w:val="3"/>
          <w:sz w:val="23"/>
          <w:szCs w:val="23"/>
        </w:rPr>
        <w:t>(毒性)，</w:t>
      </w:r>
      <w:r>
        <w:rPr>
          <w:rFonts w:ascii="Times New Roman" w:hAnsi="Times New Roman" w:eastAsia="Times New Roman" w:cs="Times New Roman"/>
          <w:sz w:val="23"/>
          <w:szCs w:val="23"/>
        </w:rPr>
        <w:t>In</w:t>
      </w:r>
      <w:r>
        <w:rPr>
          <w:rFonts w:ascii="宋体" w:hAnsi="宋体" w:eastAsia="宋体" w:cs="宋体"/>
          <w:spacing w:val="3"/>
          <w:sz w:val="23"/>
          <w:szCs w:val="23"/>
        </w:rPr>
        <w:t>(感染性)</w:t>
      </w:r>
      <w:r>
        <w:rPr>
          <w:rFonts w:ascii="Times New Roman" w:hAnsi="Times New Roman" w:eastAsia="Times New Roman" w:cs="Times New Roman"/>
          <w:spacing w:val="3"/>
          <w:sz w:val="23"/>
          <w:szCs w:val="23"/>
        </w:rPr>
        <w:t>”</w:t>
      </w:r>
      <w:r>
        <w:rPr>
          <w:rFonts w:ascii="宋体" w:hAnsi="宋体" w:eastAsia="宋体" w:cs="宋体"/>
          <w:spacing w:val="3"/>
          <w:sz w:val="23"/>
          <w:szCs w:val="23"/>
        </w:rPr>
        <w:t xml:space="preserve">，废 </w:t>
      </w:r>
      <w:r>
        <w:rPr>
          <w:rFonts w:ascii="Times New Roman" w:hAnsi="Times New Roman" w:eastAsia="Times New Roman" w:cs="Times New Roman"/>
          <w:sz w:val="23"/>
          <w:szCs w:val="23"/>
        </w:rPr>
        <w:t>uv</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光解灯管属于</w:t>
      </w:r>
      <w:r>
        <w:rPr>
          <w:rFonts w:ascii="Times New Roman" w:hAnsi="Times New Roman" w:eastAsia="Times New Roman" w:cs="Times New Roman"/>
          <w:spacing w:val="3"/>
          <w:sz w:val="23"/>
          <w:szCs w:val="23"/>
        </w:rPr>
        <w:t>“</w:t>
      </w:r>
      <w:r>
        <w:rPr>
          <w:rFonts w:ascii="Times New Roman" w:hAnsi="Times New Roman" w:eastAsia="Times New Roman" w:cs="Times New Roman"/>
          <w:sz w:val="23"/>
          <w:szCs w:val="23"/>
        </w:rPr>
        <w:t>HW</w:t>
      </w:r>
      <w:r>
        <w:rPr>
          <w:rFonts w:ascii="Times New Roman" w:hAnsi="Times New Roman" w:eastAsia="Times New Roman" w:cs="Times New Roman"/>
          <w:spacing w:val="3"/>
          <w:sz w:val="23"/>
          <w:szCs w:val="23"/>
        </w:rPr>
        <w:t>2</w:t>
      </w:r>
      <w:r>
        <w:rPr>
          <w:rFonts w:ascii="Times New Roman" w:hAnsi="Times New Roman" w:eastAsia="Times New Roman" w:cs="Times New Roman"/>
          <w:sz w:val="23"/>
          <w:szCs w:val="23"/>
        </w:rPr>
        <w:t xml:space="preserve">9 </w:t>
      </w:r>
      <w:r>
        <w:rPr>
          <w:rFonts w:ascii="宋体" w:hAnsi="宋体" w:eastAsia="宋体" w:cs="宋体"/>
          <w:spacing w:val="3"/>
          <w:sz w:val="23"/>
          <w:szCs w:val="23"/>
        </w:rPr>
        <w:t>含汞废物</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 xml:space="preserve">，废物代码为 </w:t>
      </w:r>
      <w:r>
        <w:rPr>
          <w:rFonts w:ascii="Times New Roman" w:hAnsi="Times New Roman" w:eastAsia="Times New Roman" w:cs="Times New Roman"/>
          <w:spacing w:val="3"/>
          <w:sz w:val="23"/>
          <w:szCs w:val="23"/>
        </w:rPr>
        <w:t xml:space="preserve">900-023-29 </w:t>
      </w:r>
      <w:r>
        <w:rPr>
          <w:rFonts w:ascii="宋体" w:hAnsi="宋体" w:eastAsia="宋体" w:cs="宋体"/>
          <w:spacing w:val="3"/>
          <w:sz w:val="23"/>
          <w:szCs w:val="23"/>
        </w:rPr>
        <w:t>，即</w:t>
      </w:r>
      <w:r>
        <w:rPr>
          <w:rFonts w:ascii="Times New Roman" w:hAnsi="Times New Roman" w:eastAsia="Times New Roman" w:cs="Times New Roman"/>
          <w:spacing w:val="3"/>
          <w:sz w:val="23"/>
          <w:szCs w:val="23"/>
        </w:rPr>
        <w:t>“</w:t>
      </w:r>
      <w:r>
        <w:rPr>
          <w:rFonts w:ascii="宋体" w:hAnsi="宋体" w:eastAsia="宋体" w:cs="宋体"/>
          <w:spacing w:val="3"/>
          <w:sz w:val="23"/>
          <w:szCs w:val="23"/>
        </w:rPr>
        <w:t>生产、销售及使用过程中产生的</w:t>
      </w:r>
      <w:r>
        <w:rPr>
          <w:rFonts w:ascii="宋体" w:hAnsi="宋体" w:eastAsia="宋体" w:cs="宋体"/>
          <w:spacing w:val="2"/>
          <w:sz w:val="23"/>
          <w:szCs w:val="23"/>
        </w:rPr>
        <w:t>废</w:t>
      </w:r>
      <w:r>
        <w:rPr>
          <w:rFonts w:ascii="宋体" w:hAnsi="宋体" w:eastAsia="宋体" w:cs="宋体"/>
          <w:sz w:val="23"/>
          <w:szCs w:val="23"/>
        </w:rPr>
        <w:t xml:space="preserve">含汞 </w:t>
      </w:r>
      <w:r>
        <w:rPr>
          <w:rFonts w:ascii="宋体" w:hAnsi="宋体" w:eastAsia="宋体" w:cs="宋体"/>
          <w:spacing w:val="6"/>
          <w:sz w:val="23"/>
          <w:szCs w:val="23"/>
        </w:rPr>
        <w:t>荧光灯管及其他废含</w:t>
      </w:r>
      <w:r>
        <w:rPr>
          <w:rFonts w:ascii="宋体" w:hAnsi="宋体" w:eastAsia="宋体" w:cs="宋体"/>
          <w:spacing w:val="4"/>
          <w:sz w:val="23"/>
          <w:szCs w:val="23"/>
        </w:rPr>
        <w:t>汞</w:t>
      </w:r>
      <w:r>
        <w:rPr>
          <w:rFonts w:ascii="宋体" w:hAnsi="宋体" w:eastAsia="宋体" w:cs="宋体"/>
          <w:spacing w:val="3"/>
          <w:sz w:val="23"/>
          <w:szCs w:val="23"/>
        </w:rPr>
        <w:t>电光源</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，危险特性为</w:t>
      </w:r>
      <w:r>
        <w:rPr>
          <w:rFonts w:ascii="Times New Roman" w:hAnsi="Times New Roman" w:eastAsia="Times New Roman" w:cs="Times New Roman"/>
          <w:spacing w:val="3"/>
          <w:sz w:val="23"/>
          <w:szCs w:val="23"/>
        </w:rPr>
        <w:t>“</w:t>
      </w:r>
      <w:r>
        <w:rPr>
          <w:rFonts w:ascii="Times New Roman" w:hAnsi="Times New Roman" w:eastAsia="Times New Roman" w:cs="Times New Roman"/>
          <w:sz w:val="23"/>
          <w:szCs w:val="23"/>
        </w:rPr>
        <w:t>T</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 xml:space="preserve">(毒性) </w:t>
      </w:r>
      <w:r>
        <w:rPr>
          <w:rFonts w:ascii="Times New Roman" w:hAnsi="Times New Roman" w:eastAsia="Times New Roman" w:cs="Times New Roman"/>
          <w:spacing w:val="3"/>
          <w:sz w:val="23"/>
          <w:szCs w:val="23"/>
        </w:rPr>
        <w:t xml:space="preserve">” </w:t>
      </w:r>
      <w:r>
        <w:rPr>
          <w:rFonts w:ascii="宋体" w:hAnsi="宋体" w:eastAsia="宋体" w:cs="宋体"/>
          <w:spacing w:val="3"/>
          <w:sz w:val="23"/>
          <w:szCs w:val="23"/>
        </w:rPr>
        <w:t>，建设单位应将废活性</w:t>
      </w:r>
      <w:r>
        <w:rPr>
          <w:rFonts w:ascii="宋体" w:hAnsi="宋体" w:eastAsia="宋体" w:cs="宋体"/>
          <w:sz w:val="23"/>
          <w:szCs w:val="23"/>
        </w:rPr>
        <w:t xml:space="preserve"> </w:t>
      </w:r>
      <w:r>
        <w:rPr>
          <w:rFonts w:ascii="宋体" w:hAnsi="宋体" w:eastAsia="宋体" w:cs="宋体"/>
          <w:spacing w:val="16"/>
          <w:sz w:val="23"/>
          <w:szCs w:val="23"/>
        </w:rPr>
        <w:t>炭、</w:t>
      </w:r>
      <w:r>
        <w:rPr>
          <w:rFonts w:ascii="宋体" w:hAnsi="宋体" w:eastAsia="宋体" w:cs="宋体"/>
          <w:spacing w:val="15"/>
          <w:sz w:val="23"/>
          <w:szCs w:val="23"/>
        </w:rPr>
        <w:t>废</w:t>
      </w:r>
      <w:r>
        <w:rPr>
          <w:rFonts w:ascii="宋体" w:hAnsi="宋体" w:eastAsia="宋体" w:cs="宋体"/>
          <w:spacing w:val="8"/>
          <w:sz w:val="23"/>
          <w:szCs w:val="23"/>
        </w:rPr>
        <w:t xml:space="preserve"> </w:t>
      </w:r>
      <w:r>
        <w:rPr>
          <w:rFonts w:ascii="Times New Roman" w:hAnsi="Times New Roman" w:eastAsia="Times New Roman" w:cs="Times New Roman"/>
          <w:sz w:val="23"/>
          <w:szCs w:val="23"/>
        </w:rPr>
        <w:t>uv</w:t>
      </w:r>
      <w:r>
        <w:rPr>
          <w:rFonts w:ascii="Times New Roman" w:hAnsi="Times New Roman" w:eastAsia="Times New Roman" w:cs="Times New Roman"/>
          <w:spacing w:val="8"/>
          <w:sz w:val="23"/>
          <w:szCs w:val="23"/>
        </w:rPr>
        <w:t xml:space="preserve"> </w:t>
      </w:r>
      <w:r>
        <w:rPr>
          <w:rFonts w:ascii="宋体" w:hAnsi="宋体" w:eastAsia="宋体" w:cs="宋体"/>
          <w:spacing w:val="8"/>
          <w:sz w:val="23"/>
          <w:szCs w:val="23"/>
        </w:rPr>
        <w:t>光解灯管集中收集后存放在固定容器中单独存放，积攒到一定数量后</w:t>
      </w:r>
      <w:r>
        <w:rPr>
          <w:rFonts w:ascii="宋体" w:hAnsi="宋体" w:eastAsia="宋体" w:cs="宋体"/>
          <w:sz w:val="23"/>
          <w:szCs w:val="23"/>
        </w:rPr>
        <w:t xml:space="preserve"> </w:t>
      </w:r>
      <w:r>
        <w:rPr>
          <w:rFonts w:ascii="宋体" w:hAnsi="宋体" w:eastAsia="宋体" w:cs="宋体"/>
          <w:spacing w:val="17"/>
          <w:sz w:val="23"/>
          <w:szCs w:val="23"/>
        </w:rPr>
        <w:t>交</w:t>
      </w:r>
      <w:r>
        <w:rPr>
          <w:rFonts w:ascii="宋体" w:hAnsi="宋体" w:eastAsia="宋体" w:cs="宋体"/>
          <w:spacing w:val="9"/>
          <w:sz w:val="23"/>
          <w:szCs w:val="23"/>
        </w:rPr>
        <w:t>由有资质单位处理，禁止作为一般固体废物随意丢弃排放。</w:t>
      </w:r>
    </w:p>
    <w:p w14:paraId="43D8576F">
      <w:pPr>
        <w:spacing w:before="138" w:line="390" w:lineRule="auto"/>
        <w:ind w:left="24" w:right="13" w:firstLine="481"/>
        <w:rPr>
          <w:rFonts w:ascii="宋体" w:hAnsi="宋体" w:eastAsia="宋体" w:cs="宋体"/>
          <w:sz w:val="23"/>
          <w:szCs w:val="23"/>
        </w:rPr>
      </w:pPr>
      <w:r>
        <w:rPr>
          <w:rFonts w:ascii="宋体" w:hAnsi="宋体" w:eastAsia="宋体" w:cs="宋体"/>
          <w:spacing w:val="12"/>
          <w:sz w:val="23"/>
          <w:szCs w:val="23"/>
        </w:rPr>
        <w:t>综合分析</w:t>
      </w:r>
      <w:r>
        <w:rPr>
          <w:rFonts w:ascii="宋体" w:hAnsi="宋体" w:eastAsia="宋体" w:cs="宋体"/>
          <w:spacing w:val="8"/>
          <w:sz w:val="23"/>
          <w:szCs w:val="23"/>
        </w:rPr>
        <w:t>，</w:t>
      </w:r>
      <w:r>
        <w:rPr>
          <w:rFonts w:ascii="宋体" w:hAnsi="宋体" w:eastAsia="宋体" w:cs="宋体"/>
          <w:spacing w:val="6"/>
          <w:sz w:val="23"/>
          <w:szCs w:val="23"/>
        </w:rPr>
        <w:t>项目所采取的各项污染防治措施从技术经济角度分析均具有可行</w:t>
      </w:r>
      <w:r>
        <w:rPr>
          <w:rFonts w:ascii="宋体" w:hAnsi="宋体" w:eastAsia="宋体" w:cs="宋体"/>
          <w:sz w:val="23"/>
          <w:szCs w:val="23"/>
        </w:rPr>
        <w:t xml:space="preserve"> </w:t>
      </w:r>
      <w:r>
        <w:rPr>
          <w:rFonts w:ascii="宋体" w:hAnsi="宋体" w:eastAsia="宋体" w:cs="宋体"/>
          <w:spacing w:val="8"/>
          <w:sz w:val="23"/>
          <w:szCs w:val="23"/>
        </w:rPr>
        <w:t>性</w:t>
      </w:r>
      <w:r>
        <w:rPr>
          <w:rFonts w:ascii="宋体" w:hAnsi="宋体" w:eastAsia="宋体" w:cs="宋体"/>
          <w:spacing w:val="7"/>
          <w:sz w:val="23"/>
          <w:szCs w:val="23"/>
        </w:rPr>
        <w:t>，且在项目建设方认真落实报告所述各项污染防治措施后，可使区域环境质量</w:t>
      </w:r>
      <w:r>
        <w:rPr>
          <w:rFonts w:ascii="宋体" w:hAnsi="宋体" w:eastAsia="宋体" w:cs="宋体"/>
          <w:sz w:val="23"/>
          <w:szCs w:val="23"/>
        </w:rPr>
        <w:t xml:space="preserve"> </w:t>
      </w:r>
      <w:r>
        <w:rPr>
          <w:rFonts w:ascii="宋体" w:hAnsi="宋体" w:eastAsia="宋体" w:cs="宋体"/>
          <w:spacing w:val="7"/>
          <w:sz w:val="23"/>
          <w:szCs w:val="23"/>
        </w:rPr>
        <w:t>得到明显改善。</w:t>
      </w:r>
    </w:p>
    <w:p w14:paraId="24835C31">
      <w:pPr>
        <w:sectPr>
          <w:headerReference r:id="rId341" w:type="default"/>
          <w:footerReference r:id="rId342" w:type="default"/>
          <w:pgSz w:w="11906" w:h="16839"/>
          <w:pgMar w:top="1132" w:right="1785" w:bottom="1182" w:left="1785" w:header="878" w:footer="1022" w:gutter="0"/>
          <w:cols w:space="720" w:num="1"/>
        </w:sectPr>
      </w:pPr>
    </w:p>
    <w:p w14:paraId="1D8B60B9">
      <w:pPr>
        <w:spacing w:line="338" w:lineRule="auto"/>
        <w:rPr>
          <w:rFonts w:ascii="Arial"/>
          <w:sz w:val="21"/>
        </w:rPr>
      </w:pPr>
      <w:r>
        <w:pict>
          <v:shape id="_x0000_s1391" o:spid="_x0000_s1391" style="position:absolute;left:0pt;margin-left:90pt;margin-top:57.35pt;height:0.75pt;width:415.3pt;mso-position-horizontal-relative:page;mso-position-vertical-relative:page;z-index:252087296;mso-width-relative:page;mso-height-relative:page;" fillcolor="#000000" filled="t" stroked="f" coordsize="8305,15" o:allowincell="f" path="m0,0l8305,0,8305,14,0,14,0,0xe">
            <v:path/>
            <v:fill on="t" focussize="0,0"/>
            <v:stroke on="f"/>
            <v:imagedata o:title=""/>
            <o:lock v:ext="edit"/>
          </v:shape>
        </w:pict>
      </w:r>
    </w:p>
    <w:p w14:paraId="0EB0F975">
      <w:pPr>
        <w:spacing w:before="95" w:line="226" w:lineRule="auto"/>
        <w:ind w:left="33"/>
        <w:outlineLvl w:val="2"/>
        <w:rPr>
          <w:rFonts w:ascii="宋体" w:hAnsi="宋体" w:eastAsia="宋体" w:cs="宋体"/>
          <w:sz w:val="29"/>
          <w:szCs w:val="29"/>
        </w:rPr>
      </w:pPr>
      <w:r>
        <w:rPr>
          <w:rFonts w:ascii="Times New Roman" w:hAnsi="Times New Roman" w:eastAsia="Times New Roman" w:cs="Times New Roman"/>
          <w:b/>
          <w:bCs/>
          <w:spacing w:val="9"/>
          <w:sz w:val="29"/>
          <w:szCs w:val="29"/>
        </w:rPr>
        <w:t>1</w:t>
      </w:r>
      <w:r>
        <w:rPr>
          <w:rFonts w:ascii="Times New Roman" w:hAnsi="Times New Roman" w:eastAsia="Times New Roman" w:cs="Times New Roman"/>
          <w:b/>
          <w:bCs/>
          <w:spacing w:val="5"/>
          <w:sz w:val="29"/>
          <w:szCs w:val="29"/>
        </w:rPr>
        <w:t>0.1.7</w:t>
      </w:r>
      <w:r>
        <w:rPr>
          <w:rFonts w:ascii="Times New Roman" w:hAnsi="Times New Roman" w:eastAsia="Times New Roman" w:cs="Times New Roman"/>
          <w:spacing w:val="5"/>
          <w:sz w:val="29"/>
          <w:szCs w:val="29"/>
        </w:rPr>
        <w:t xml:space="preserve">  </w:t>
      </w:r>
      <w:r>
        <w:rPr>
          <w:rFonts w:ascii="宋体" w:hAnsi="宋体" w:eastAsia="宋体" w:cs="宋体"/>
          <w:spacing w:val="5"/>
          <w:sz w:val="29"/>
          <w:szCs w:val="29"/>
          <w14:textOutline w14:w="5448" w14:cap="sq" w14:cmpd="sng">
            <w14:solidFill>
              <w14:srgbClr w14:val="000000"/>
            </w14:solidFill>
            <w14:prstDash w14:val="solid"/>
            <w14:bevel/>
          </w14:textOutline>
        </w:rPr>
        <w:t>总量控制指标</w:t>
      </w:r>
    </w:p>
    <w:p w14:paraId="587FBB1B">
      <w:pPr>
        <w:spacing w:line="255" w:lineRule="auto"/>
        <w:rPr>
          <w:rFonts w:ascii="Arial"/>
          <w:sz w:val="21"/>
        </w:rPr>
      </w:pPr>
    </w:p>
    <w:p w14:paraId="1E27F53F">
      <w:pPr>
        <w:spacing w:before="75" w:line="228" w:lineRule="auto"/>
        <w:ind w:left="506"/>
        <w:rPr>
          <w:rFonts w:ascii="宋体" w:hAnsi="宋体" w:eastAsia="宋体" w:cs="宋体"/>
          <w:sz w:val="23"/>
          <w:szCs w:val="23"/>
        </w:rPr>
      </w:pPr>
      <w:r>
        <w:rPr>
          <w:rFonts w:ascii="宋体" w:hAnsi="宋体" w:eastAsia="宋体" w:cs="宋体"/>
          <w:spacing w:val="9"/>
          <w:sz w:val="23"/>
          <w:szCs w:val="23"/>
        </w:rPr>
        <w:t>建</w:t>
      </w:r>
      <w:r>
        <w:rPr>
          <w:rFonts w:ascii="宋体" w:hAnsi="宋体" w:eastAsia="宋体" w:cs="宋体"/>
          <w:spacing w:val="8"/>
          <w:sz w:val="23"/>
          <w:szCs w:val="23"/>
        </w:rPr>
        <w:t>议项目总量控制指标为：</w:t>
      </w:r>
    </w:p>
    <w:p w14:paraId="7CBE90E1">
      <w:pPr>
        <w:spacing w:before="307" w:line="398" w:lineRule="auto"/>
        <w:ind w:left="17" w:right="56" w:firstLine="486"/>
        <w:rPr>
          <w:rFonts w:ascii="宋体" w:hAnsi="宋体" w:eastAsia="宋体" w:cs="宋体"/>
          <w:sz w:val="23"/>
          <w:szCs w:val="23"/>
        </w:rPr>
      </w:pPr>
      <w:r>
        <w:rPr>
          <w:rFonts w:ascii="宋体" w:hAnsi="宋体" w:eastAsia="宋体" w:cs="宋体"/>
          <w:spacing w:val="1"/>
          <w:sz w:val="23"/>
          <w:szCs w:val="23"/>
        </w:rPr>
        <w:t>烟粉尘：</w:t>
      </w:r>
      <w:r>
        <w:rPr>
          <w:rFonts w:ascii="Times New Roman" w:hAnsi="Times New Roman" w:eastAsia="Times New Roman" w:cs="Times New Roman"/>
          <w:spacing w:val="1"/>
          <w:sz w:val="23"/>
          <w:szCs w:val="23"/>
        </w:rPr>
        <w:t>1.023</w:t>
      </w:r>
      <w:r>
        <w:rPr>
          <w:rFonts w:ascii="Times New Roman" w:hAnsi="Times New Roman" w:eastAsia="Times New Roman" w:cs="Times New Roman"/>
          <w:sz w:val="23"/>
          <w:szCs w:val="23"/>
        </w:rPr>
        <w:t>t</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、二氧化硫：</w:t>
      </w:r>
      <w:r>
        <w:rPr>
          <w:rFonts w:ascii="Times New Roman" w:hAnsi="Times New Roman" w:eastAsia="Times New Roman" w:cs="Times New Roman"/>
          <w:spacing w:val="1"/>
          <w:sz w:val="23"/>
          <w:szCs w:val="23"/>
        </w:rPr>
        <w:t>1. 14</w:t>
      </w:r>
      <w:r>
        <w:rPr>
          <w:rFonts w:ascii="Times New Roman" w:hAnsi="Times New Roman" w:eastAsia="Times New Roman" w:cs="Times New Roman"/>
          <w:sz w:val="23"/>
          <w:szCs w:val="23"/>
        </w:rPr>
        <w:t>t</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、氮氧化物：</w:t>
      </w:r>
      <w:r>
        <w:rPr>
          <w:rFonts w:ascii="Times New Roman" w:hAnsi="Times New Roman" w:eastAsia="Times New Roman" w:cs="Times New Roman"/>
          <w:spacing w:val="1"/>
          <w:sz w:val="23"/>
          <w:szCs w:val="23"/>
        </w:rPr>
        <w:t>0.</w:t>
      </w:r>
      <w:r>
        <w:rPr>
          <w:rFonts w:ascii="Times New Roman" w:hAnsi="Times New Roman" w:eastAsia="Times New Roman" w:cs="Times New Roman"/>
          <w:sz w:val="23"/>
          <w:szCs w:val="23"/>
        </w:rPr>
        <w:t xml:space="preserve">69t/a </w:t>
      </w:r>
      <w:r>
        <w:rPr>
          <w:rFonts w:ascii="宋体" w:hAnsi="宋体" w:eastAsia="宋体" w:cs="宋体"/>
          <w:sz w:val="23"/>
          <w:szCs w:val="23"/>
        </w:rPr>
        <w:t xml:space="preserve">、挥发性有机物： </w:t>
      </w:r>
      <w:r>
        <w:rPr>
          <w:rFonts w:ascii="Times New Roman" w:hAnsi="Times New Roman" w:eastAsia="Times New Roman" w:cs="Times New Roman"/>
          <w:spacing w:val="1"/>
          <w:sz w:val="23"/>
          <w:szCs w:val="23"/>
        </w:rPr>
        <w:t>4.2</w:t>
      </w:r>
      <w:r>
        <w:rPr>
          <w:rFonts w:ascii="Times New Roman" w:hAnsi="Times New Roman" w:eastAsia="Times New Roman" w:cs="Times New Roman"/>
          <w:sz w:val="23"/>
          <w:szCs w:val="23"/>
        </w:rPr>
        <w:t>t</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、化学需氧量：</w:t>
      </w:r>
      <w:r>
        <w:rPr>
          <w:rFonts w:ascii="Times New Roman" w:hAnsi="Times New Roman" w:eastAsia="Times New Roman" w:cs="Times New Roman"/>
          <w:spacing w:val="1"/>
          <w:sz w:val="23"/>
          <w:szCs w:val="23"/>
        </w:rPr>
        <w:t>0.08</w:t>
      </w:r>
      <w:r>
        <w:rPr>
          <w:rFonts w:ascii="Times New Roman" w:hAnsi="Times New Roman" w:eastAsia="Times New Roman" w:cs="Times New Roman"/>
          <w:sz w:val="23"/>
          <w:szCs w:val="23"/>
        </w:rPr>
        <w:t>t</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a</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w:t>
      </w:r>
      <w:r>
        <w:rPr>
          <w:rFonts w:ascii="Times New Roman" w:hAnsi="Times New Roman" w:eastAsia="Times New Roman" w:cs="Times New Roman"/>
          <w:sz w:val="23"/>
          <w:szCs w:val="23"/>
        </w:rPr>
        <w:t>NH</w:t>
      </w:r>
      <w:r>
        <w:rPr>
          <w:rFonts w:ascii="Times New Roman" w:hAnsi="Times New Roman" w:eastAsia="Times New Roman" w:cs="Times New Roman"/>
          <w:spacing w:val="1"/>
          <w:position w:val="-1"/>
          <w:sz w:val="15"/>
          <w:szCs w:val="15"/>
        </w:rPr>
        <w:t>3</w:t>
      </w:r>
      <w:r>
        <w:rPr>
          <w:rFonts w:ascii="Times New Roman" w:hAnsi="Times New Roman" w:eastAsia="Times New Roman" w:cs="Times New Roman"/>
          <w:spacing w:val="1"/>
          <w:sz w:val="23"/>
          <w:szCs w:val="23"/>
        </w:rPr>
        <w:t>-</w:t>
      </w:r>
      <w:r>
        <w:rPr>
          <w:rFonts w:ascii="Times New Roman" w:hAnsi="Times New Roman" w:eastAsia="Times New Roman" w:cs="Times New Roman"/>
          <w:sz w:val="23"/>
          <w:szCs w:val="23"/>
        </w:rPr>
        <w:t>N</w:t>
      </w:r>
      <w:r>
        <w:rPr>
          <w:rFonts w:ascii="Times New Roman" w:hAnsi="Times New Roman" w:eastAsia="Times New Roman" w:cs="Times New Roman"/>
          <w:spacing w:val="1"/>
          <w:sz w:val="23"/>
          <w:szCs w:val="23"/>
        </w:rPr>
        <w:t xml:space="preserve"> </w:t>
      </w:r>
      <w:r>
        <w:rPr>
          <w:rFonts w:ascii="宋体" w:hAnsi="宋体" w:eastAsia="宋体" w:cs="宋体"/>
          <w:spacing w:val="1"/>
          <w:sz w:val="23"/>
          <w:szCs w:val="23"/>
        </w:rPr>
        <w:t>：</w:t>
      </w:r>
      <w:r>
        <w:rPr>
          <w:rFonts w:ascii="Times New Roman" w:hAnsi="Times New Roman" w:eastAsia="Times New Roman" w:cs="Times New Roman"/>
          <w:spacing w:val="1"/>
          <w:sz w:val="23"/>
          <w:szCs w:val="23"/>
        </w:rPr>
        <w:t>0</w:t>
      </w:r>
      <w:r>
        <w:rPr>
          <w:rFonts w:ascii="Times New Roman" w:hAnsi="Times New Roman" w:eastAsia="Times New Roman" w:cs="Times New Roman"/>
          <w:sz w:val="23"/>
          <w:szCs w:val="23"/>
        </w:rPr>
        <w:t>.008t/a</w:t>
      </w:r>
      <w:r>
        <w:rPr>
          <w:rFonts w:ascii="宋体" w:hAnsi="宋体" w:eastAsia="宋体" w:cs="宋体"/>
          <w:sz w:val="23"/>
          <w:szCs w:val="23"/>
        </w:rPr>
        <w:t>。</w:t>
      </w:r>
    </w:p>
    <w:p w14:paraId="74118FAE">
      <w:pPr>
        <w:spacing w:before="170" w:line="389" w:lineRule="auto"/>
        <w:ind w:left="22" w:right="35" w:firstLine="481"/>
        <w:rPr>
          <w:rFonts w:ascii="宋体" w:hAnsi="宋体" w:eastAsia="宋体" w:cs="宋体"/>
          <w:sz w:val="23"/>
          <w:szCs w:val="23"/>
        </w:rPr>
      </w:pPr>
      <w:r>
        <w:rPr>
          <w:rFonts w:ascii="宋体" w:hAnsi="宋体" w:eastAsia="宋体" w:cs="宋体"/>
          <w:spacing w:val="7"/>
          <w:sz w:val="23"/>
          <w:szCs w:val="23"/>
        </w:rPr>
        <w:t>其中，烟粉尘、二氧化硫、氮氧化物、挥发性有机物总量控制指标由本溪</w:t>
      </w:r>
      <w:r>
        <w:rPr>
          <w:rFonts w:ascii="宋体" w:hAnsi="宋体" w:eastAsia="宋体" w:cs="宋体"/>
          <w:spacing w:val="2"/>
          <w:sz w:val="23"/>
          <w:szCs w:val="23"/>
        </w:rPr>
        <w:t>弘</w:t>
      </w:r>
      <w:r>
        <w:rPr>
          <w:rFonts w:ascii="宋体" w:hAnsi="宋体" w:eastAsia="宋体" w:cs="宋体"/>
          <w:sz w:val="23"/>
          <w:szCs w:val="23"/>
        </w:rPr>
        <w:t xml:space="preserve"> </w:t>
      </w:r>
      <w:r>
        <w:rPr>
          <w:rFonts w:ascii="宋体" w:hAnsi="宋体" w:eastAsia="宋体" w:cs="宋体"/>
          <w:spacing w:val="9"/>
          <w:sz w:val="23"/>
          <w:szCs w:val="23"/>
        </w:rPr>
        <w:t>福</w:t>
      </w:r>
      <w:r>
        <w:rPr>
          <w:rFonts w:ascii="宋体" w:hAnsi="宋体" w:eastAsia="宋体" w:cs="宋体"/>
          <w:spacing w:val="7"/>
          <w:sz w:val="23"/>
          <w:szCs w:val="23"/>
        </w:rPr>
        <w:t>塑业有限公司按照上述指标向当地环保管理部门申请污染物总量控制指标；化</w:t>
      </w:r>
      <w:r>
        <w:rPr>
          <w:rFonts w:ascii="宋体" w:hAnsi="宋体" w:eastAsia="宋体" w:cs="宋体"/>
          <w:sz w:val="23"/>
          <w:szCs w:val="23"/>
        </w:rPr>
        <w:t xml:space="preserve"> </w:t>
      </w:r>
      <w:r>
        <w:rPr>
          <w:rFonts w:ascii="宋体" w:hAnsi="宋体" w:eastAsia="宋体" w:cs="宋体"/>
          <w:spacing w:val="7"/>
          <w:sz w:val="23"/>
          <w:szCs w:val="23"/>
        </w:rPr>
        <w:t>学需氧量、氨氮总量控制指标计入本溪市科态污水处理有限责任公司污染物总量</w:t>
      </w:r>
      <w:r>
        <w:rPr>
          <w:rFonts w:ascii="宋体" w:hAnsi="宋体" w:eastAsia="宋体" w:cs="宋体"/>
          <w:sz w:val="23"/>
          <w:szCs w:val="23"/>
        </w:rPr>
        <w:t xml:space="preserve"> </w:t>
      </w:r>
      <w:r>
        <w:rPr>
          <w:rFonts w:ascii="宋体" w:hAnsi="宋体" w:eastAsia="宋体" w:cs="宋体"/>
          <w:spacing w:val="15"/>
          <w:sz w:val="23"/>
          <w:szCs w:val="23"/>
        </w:rPr>
        <w:t>控</w:t>
      </w:r>
      <w:r>
        <w:rPr>
          <w:rFonts w:ascii="宋体" w:hAnsi="宋体" w:eastAsia="宋体" w:cs="宋体"/>
          <w:spacing w:val="9"/>
          <w:sz w:val="23"/>
          <w:szCs w:val="23"/>
        </w:rPr>
        <w:t>制指标中，最终总量控制指标以环保局下达指标为准。</w:t>
      </w:r>
    </w:p>
    <w:p w14:paraId="17E48E98">
      <w:pPr>
        <w:spacing w:before="84" w:line="226" w:lineRule="auto"/>
        <w:ind w:left="33"/>
        <w:outlineLvl w:val="2"/>
        <w:rPr>
          <w:rFonts w:ascii="宋体" w:hAnsi="宋体" w:eastAsia="宋体" w:cs="宋体"/>
          <w:sz w:val="29"/>
          <w:szCs w:val="29"/>
        </w:rPr>
      </w:pPr>
      <w:r>
        <w:rPr>
          <w:rFonts w:ascii="Times New Roman" w:hAnsi="Times New Roman" w:eastAsia="Times New Roman" w:cs="Times New Roman"/>
          <w:b/>
          <w:bCs/>
          <w:spacing w:val="9"/>
          <w:sz w:val="29"/>
          <w:szCs w:val="29"/>
        </w:rPr>
        <w:t>1</w:t>
      </w:r>
      <w:r>
        <w:rPr>
          <w:rFonts w:ascii="Times New Roman" w:hAnsi="Times New Roman" w:eastAsia="Times New Roman" w:cs="Times New Roman"/>
          <w:b/>
          <w:bCs/>
          <w:spacing w:val="5"/>
          <w:sz w:val="29"/>
          <w:szCs w:val="29"/>
        </w:rPr>
        <w:t>0.1.8</w:t>
      </w:r>
      <w:r>
        <w:rPr>
          <w:rFonts w:ascii="Times New Roman" w:hAnsi="Times New Roman" w:eastAsia="Times New Roman" w:cs="Times New Roman"/>
          <w:spacing w:val="5"/>
          <w:sz w:val="29"/>
          <w:szCs w:val="29"/>
        </w:rPr>
        <w:t xml:space="preserve">  </w:t>
      </w:r>
      <w:r>
        <w:rPr>
          <w:rFonts w:ascii="宋体" w:hAnsi="宋体" w:eastAsia="宋体" w:cs="宋体"/>
          <w:spacing w:val="5"/>
          <w:sz w:val="29"/>
          <w:szCs w:val="29"/>
          <w14:textOutline w14:w="5448" w14:cap="sq" w14:cmpd="sng">
            <w14:solidFill>
              <w14:srgbClr w14:val="000000"/>
            </w14:solidFill>
            <w14:prstDash w14:val="solid"/>
            <w14:bevel/>
          </w14:textOutline>
        </w:rPr>
        <w:t>环境风险分析</w:t>
      </w:r>
    </w:p>
    <w:p w14:paraId="54054F91">
      <w:pPr>
        <w:spacing w:line="255" w:lineRule="auto"/>
        <w:rPr>
          <w:rFonts w:ascii="Arial"/>
          <w:sz w:val="21"/>
        </w:rPr>
      </w:pPr>
    </w:p>
    <w:p w14:paraId="31E98415">
      <w:pPr>
        <w:spacing w:before="75" w:line="388" w:lineRule="auto"/>
        <w:ind w:left="22" w:firstLine="481"/>
        <w:rPr>
          <w:rFonts w:ascii="宋体" w:hAnsi="宋体" w:eastAsia="宋体" w:cs="宋体"/>
          <w:sz w:val="23"/>
          <w:szCs w:val="23"/>
        </w:rPr>
      </w:pPr>
      <w:r>
        <w:rPr>
          <w:rFonts w:ascii="宋体" w:hAnsi="宋体" w:eastAsia="宋体" w:cs="宋体"/>
          <w:spacing w:val="8"/>
          <w:sz w:val="23"/>
          <w:szCs w:val="23"/>
        </w:rPr>
        <w:t>本工程具有潜在的事故风险，但风险概率较小。为了防范事故和减少危害</w:t>
      </w:r>
      <w:r>
        <w:rPr>
          <w:rFonts w:ascii="宋体" w:hAnsi="宋体" w:eastAsia="宋体" w:cs="宋体"/>
          <w:spacing w:val="5"/>
          <w:sz w:val="23"/>
          <w:szCs w:val="23"/>
        </w:rPr>
        <w:t>，</w:t>
      </w:r>
      <w:r>
        <w:rPr>
          <w:rFonts w:ascii="宋体" w:hAnsi="宋体" w:eastAsia="宋体" w:cs="宋体"/>
          <w:sz w:val="23"/>
          <w:szCs w:val="23"/>
        </w:rPr>
        <w:t xml:space="preserve"> </w:t>
      </w:r>
      <w:r>
        <w:rPr>
          <w:rFonts w:ascii="宋体" w:hAnsi="宋体" w:eastAsia="宋体" w:cs="宋体"/>
          <w:spacing w:val="9"/>
          <w:sz w:val="23"/>
          <w:szCs w:val="23"/>
        </w:rPr>
        <w:t>企</w:t>
      </w:r>
      <w:r>
        <w:rPr>
          <w:rFonts w:ascii="宋体" w:hAnsi="宋体" w:eastAsia="宋体" w:cs="宋体"/>
          <w:spacing w:val="7"/>
          <w:sz w:val="23"/>
          <w:szCs w:val="23"/>
        </w:rPr>
        <w:t>业应制定事故应急预案。当出现事故时，要采取紧急的工程应急措施，如必要</w:t>
      </w:r>
      <w:r>
        <w:rPr>
          <w:rFonts w:ascii="宋体" w:hAnsi="宋体" w:eastAsia="宋体" w:cs="宋体"/>
          <w:sz w:val="23"/>
          <w:szCs w:val="23"/>
        </w:rPr>
        <w:t xml:space="preserve"> </w:t>
      </w:r>
      <w:r>
        <w:rPr>
          <w:rFonts w:ascii="宋体" w:hAnsi="宋体" w:eastAsia="宋体" w:cs="宋体"/>
          <w:spacing w:val="9"/>
          <w:sz w:val="23"/>
          <w:szCs w:val="23"/>
        </w:rPr>
        <w:t>时</w:t>
      </w:r>
      <w:r>
        <w:rPr>
          <w:rFonts w:ascii="宋体" w:hAnsi="宋体" w:eastAsia="宋体" w:cs="宋体"/>
          <w:spacing w:val="7"/>
          <w:sz w:val="23"/>
          <w:szCs w:val="23"/>
        </w:rPr>
        <w:t>，采取社会应急措施，以控制事故和减少对环境造成的危害；加强对全体员工</w:t>
      </w:r>
      <w:r>
        <w:rPr>
          <w:rFonts w:ascii="宋体" w:hAnsi="宋体" w:eastAsia="宋体" w:cs="宋体"/>
          <w:sz w:val="23"/>
          <w:szCs w:val="23"/>
        </w:rPr>
        <w:t xml:space="preserve"> </w:t>
      </w:r>
      <w:r>
        <w:rPr>
          <w:rFonts w:ascii="宋体" w:hAnsi="宋体" w:eastAsia="宋体" w:cs="宋体"/>
          <w:spacing w:val="9"/>
          <w:sz w:val="23"/>
          <w:szCs w:val="23"/>
        </w:rPr>
        <w:t>防</w:t>
      </w:r>
      <w:r>
        <w:rPr>
          <w:rFonts w:ascii="宋体" w:hAnsi="宋体" w:eastAsia="宋体" w:cs="宋体"/>
          <w:spacing w:val="7"/>
          <w:sz w:val="23"/>
          <w:szCs w:val="23"/>
        </w:rPr>
        <w:t>范事故风险能力的培训，制定应急预案并加强演练，可降低风险发生的几率和</w:t>
      </w:r>
      <w:r>
        <w:rPr>
          <w:rFonts w:ascii="宋体" w:hAnsi="宋体" w:eastAsia="宋体" w:cs="宋体"/>
          <w:sz w:val="23"/>
          <w:szCs w:val="23"/>
        </w:rPr>
        <w:t xml:space="preserve"> </w:t>
      </w:r>
      <w:r>
        <w:rPr>
          <w:rFonts w:ascii="宋体" w:hAnsi="宋体" w:eastAsia="宋体" w:cs="宋体"/>
          <w:spacing w:val="9"/>
          <w:sz w:val="23"/>
          <w:szCs w:val="23"/>
        </w:rPr>
        <w:t>造</w:t>
      </w:r>
      <w:r>
        <w:rPr>
          <w:rFonts w:ascii="宋体" w:hAnsi="宋体" w:eastAsia="宋体" w:cs="宋体"/>
          <w:spacing w:val="7"/>
          <w:sz w:val="23"/>
          <w:szCs w:val="23"/>
        </w:rPr>
        <w:t>成的影响。本项目风险处于可接受水平，风险管理措施有效、可靠，从风险角</w:t>
      </w:r>
      <w:r>
        <w:rPr>
          <w:rFonts w:ascii="宋体" w:hAnsi="宋体" w:eastAsia="宋体" w:cs="宋体"/>
          <w:sz w:val="23"/>
          <w:szCs w:val="23"/>
        </w:rPr>
        <w:t xml:space="preserve"> </w:t>
      </w:r>
      <w:r>
        <w:rPr>
          <w:rFonts w:ascii="宋体" w:hAnsi="宋体" w:eastAsia="宋体" w:cs="宋体"/>
          <w:spacing w:val="12"/>
          <w:sz w:val="23"/>
          <w:szCs w:val="23"/>
        </w:rPr>
        <w:t>度</w:t>
      </w:r>
      <w:r>
        <w:rPr>
          <w:rFonts w:ascii="宋体" w:hAnsi="宋体" w:eastAsia="宋体" w:cs="宋体"/>
          <w:spacing w:val="7"/>
          <w:sz w:val="23"/>
          <w:szCs w:val="23"/>
        </w:rPr>
        <w:t>而言是可行的。</w:t>
      </w:r>
    </w:p>
    <w:p w14:paraId="5EC02944">
      <w:pPr>
        <w:spacing w:before="84" w:line="227" w:lineRule="auto"/>
        <w:ind w:left="33"/>
        <w:outlineLvl w:val="2"/>
        <w:rPr>
          <w:rFonts w:ascii="宋体" w:hAnsi="宋体" w:eastAsia="宋体" w:cs="宋体"/>
          <w:sz w:val="29"/>
          <w:szCs w:val="29"/>
        </w:rPr>
      </w:pPr>
      <w:r>
        <w:rPr>
          <w:rFonts w:ascii="Times New Roman" w:hAnsi="Times New Roman" w:eastAsia="Times New Roman" w:cs="Times New Roman"/>
          <w:b/>
          <w:bCs/>
          <w:spacing w:val="4"/>
          <w:sz w:val="29"/>
          <w:szCs w:val="29"/>
        </w:rPr>
        <w:t>10.1.9</w:t>
      </w:r>
      <w:r>
        <w:rPr>
          <w:rFonts w:ascii="Times New Roman" w:hAnsi="Times New Roman" w:eastAsia="Times New Roman" w:cs="Times New Roman"/>
          <w:spacing w:val="4"/>
          <w:sz w:val="29"/>
          <w:szCs w:val="29"/>
        </w:rPr>
        <w:t xml:space="preserve">  </w:t>
      </w:r>
      <w:r>
        <w:rPr>
          <w:rFonts w:ascii="宋体" w:hAnsi="宋体" w:eastAsia="宋体" w:cs="宋体"/>
          <w:spacing w:val="4"/>
          <w:sz w:val="29"/>
          <w:szCs w:val="29"/>
          <w14:textOutline w14:w="5448" w14:cap="sq" w14:cmpd="sng">
            <w14:solidFill>
              <w14:srgbClr w14:val="000000"/>
            </w14:solidFill>
            <w14:prstDash w14:val="solid"/>
            <w14:bevel/>
          </w14:textOutline>
        </w:rPr>
        <w:t>总结</w:t>
      </w:r>
      <w:r>
        <w:rPr>
          <w:rFonts w:ascii="宋体" w:hAnsi="宋体" w:eastAsia="宋体" w:cs="宋体"/>
          <w:spacing w:val="2"/>
          <w:sz w:val="29"/>
          <w:szCs w:val="29"/>
          <w14:textOutline w14:w="5448" w14:cap="sq" w14:cmpd="sng">
            <w14:solidFill>
              <w14:srgbClr w14:val="000000"/>
            </w14:solidFill>
            <w14:prstDash w14:val="solid"/>
            <w14:bevel/>
          </w14:textOutline>
        </w:rPr>
        <w:t>论</w:t>
      </w:r>
    </w:p>
    <w:p w14:paraId="5FF2B290">
      <w:pPr>
        <w:spacing w:line="254" w:lineRule="auto"/>
        <w:rPr>
          <w:rFonts w:ascii="Arial"/>
          <w:sz w:val="21"/>
        </w:rPr>
      </w:pPr>
    </w:p>
    <w:p w14:paraId="6976BE92">
      <w:pPr>
        <w:spacing w:before="76" w:line="389" w:lineRule="auto"/>
        <w:ind w:left="23" w:right="35" w:firstLine="483"/>
        <w:rPr>
          <w:rFonts w:ascii="宋体" w:hAnsi="宋体" w:eastAsia="宋体" w:cs="宋体"/>
          <w:sz w:val="23"/>
          <w:szCs w:val="23"/>
        </w:rPr>
      </w:pPr>
      <w:r>
        <w:rPr>
          <w:rFonts w:ascii="宋体" w:hAnsi="宋体" w:eastAsia="宋体" w:cs="宋体"/>
          <w:spacing w:val="14"/>
          <w:sz w:val="23"/>
          <w:szCs w:val="23"/>
        </w:rPr>
        <w:t>该</w:t>
      </w:r>
      <w:r>
        <w:rPr>
          <w:rFonts w:ascii="宋体" w:hAnsi="宋体" w:eastAsia="宋体" w:cs="宋体"/>
          <w:spacing w:val="11"/>
          <w:sz w:val="23"/>
          <w:szCs w:val="23"/>
        </w:rPr>
        <w:t>项</w:t>
      </w:r>
      <w:r>
        <w:rPr>
          <w:rFonts w:ascii="宋体" w:hAnsi="宋体" w:eastAsia="宋体" w:cs="宋体"/>
          <w:spacing w:val="7"/>
          <w:sz w:val="23"/>
          <w:szCs w:val="23"/>
        </w:rPr>
        <w:t>目在认真落实</w:t>
      </w:r>
      <w:r>
        <w:rPr>
          <w:rFonts w:ascii="Times New Roman" w:hAnsi="Times New Roman" w:eastAsia="Times New Roman" w:cs="Times New Roman"/>
          <w:spacing w:val="7"/>
          <w:sz w:val="23"/>
          <w:szCs w:val="23"/>
        </w:rPr>
        <w:t>“</w:t>
      </w:r>
      <w:r>
        <w:rPr>
          <w:rFonts w:ascii="宋体" w:hAnsi="宋体" w:eastAsia="宋体" w:cs="宋体"/>
          <w:spacing w:val="7"/>
          <w:sz w:val="23"/>
          <w:szCs w:val="23"/>
        </w:rPr>
        <w:t>三同时</w:t>
      </w:r>
      <w:r>
        <w:rPr>
          <w:rFonts w:ascii="Times New Roman" w:hAnsi="Times New Roman" w:eastAsia="Times New Roman" w:cs="Times New Roman"/>
          <w:spacing w:val="7"/>
          <w:sz w:val="23"/>
          <w:szCs w:val="23"/>
        </w:rPr>
        <w:t>”</w:t>
      </w:r>
      <w:r>
        <w:rPr>
          <w:rFonts w:ascii="宋体" w:hAnsi="宋体" w:eastAsia="宋体" w:cs="宋体"/>
          <w:spacing w:val="7"/>
          <w:sz w:val="23"/>
          <w:szCs w:val="23"/>
        </w:rPr>
        <w:t>的前提下，运营过程中只要认真贯彻执行国家的</w:t>
      </w:r>
      <w:r>
        <w:rPr>
          <w:rFonts w:ascii="宋体" w:hAnsi="宋体" w:eastAsia="宋体" w:cs="宋体"/>
          <w:sz w:val="23"/>
          <w:szCs w:val="23"/>
        </w:rPr>
        <w:t xml:space="preserve"> </w:t>
      </w:r>
      <w:r>
        <w:rPr>
          <w:rFonts w:ascii="宋体" w:hAnsi="宋体" w:eastAsia="宋体" w:cs="宋体"/>
          <w:spacing w:val="9"/>
          <w:sz w:val="23"/>
          <w:szCs w:val="23"/>
        </w:rPr>
        <w:t>环</w:t>
      </w:r>
      <w:r>
        <w:rPr>
          <w:rFonts w:ascii="宋体" w:hAnsi="宋体" w:eastAsia="宋体" w:cs="宋体"/>
          <w:spacing w:val="7"/>
          <w:sz w:val="23"/>
          <w:szCs w:val="23"/>
        </w:rPr>
        <w:t>保法律、法规，切实落实本次环评提出的各项环保措施，对污染源采取各项治</w:t>
      </w:r>
      <w:r>
        <w:rPr>
          <w:rFonts w:ascii="宋体" w:hAnsi="宋体" w:eastAsia="宋体" w:cs="宋体"/>
          <w:sz w:val="23"/>
          <w:szCs w:val="23"/>
        </w:rPr>
        <w:t xml:space="preserve"> </w:t>
      </w:r>
      <w:r>
        <w:rPr>
          <w:rFonts w:ascii="宋体" w:hAnsi="宋体" w:eastAsia="宋体" w:cs="宋体"/>
          <w:spacing w:val="9"/>
          <w:sz w:val="23"/>
          <w:szCs w:val="23"/>
        </w:rPr>
        <w:t>理</w:t>
      </w:r>
      <w:r>
        <w:rPr>
          <w:rFonts w:ascii="宋体" w:hAnsi="宋体" w:eastAsia="宋体" w:cs="宋体"/>
          <w:spacing w:val="7"/>
          <w:sz w:val="23"/>
          <w:szCs w:val="23"/>
        </w:rPr>
        <w:t>措施后废气、噪声可达标排放，固体废物合理处置，对周围环境影响较小。从</w:t>
      </w:r>
      <w:r>
        <w:rPr>
          <w:rFonts w:ascii="宋体" w:hAnsi="宋体" w:eastAsia="宋体" w:cs="宋体"/>
          <w:sz w:val="23"/>
          <w:szCs w:val="23"/>
        </w:rPr>
        <w:t xml:space="preserve"> </w:t>
      </w:r>
      <w:r>
        <w:rPr>
          <w:rFonts w:ascii="宋体" w:hAnsi="宋体" w:eastAsia="宋体" w:cs="宋体"/>
          <w:spacing w:val="9"/>
          <w:sz w:val="23"/>
          <w:szCs w:val="23"/>
        </w:rPr>
        <w:t>环保角度出发，本项目的建设是可行的</w:t>
      </w:r>
      <w:r>
        <w:rPr>
          <w:rFonts w:ascii="宋体" w:hAnsi="宋体" w:eastAsia="宋体" w:cs="宋体"/>
          <w:spacing w:val="7"/>
          <w:sz w:val="23"/>
          <w:szCs w:val="23"/>
        </w:rPr>
        <w:t>。</w:t>
      </w:r>
    </w:p>
    <w:p w14:paraId="40133EFB">
      <w:pPr>
        <w:spacing w:before="70" w:line="225" w:lineRule="auto"/>
        <w:ind w:left="35"/>
        <w:outlineLvl w:val="1"/>
        <w:rPr>
          <w:rFonts w:ascii="宋体" w:hAnsi="宋体" w:eastAsia="宋体" w:cs="宋体"/>
          <w:sz w:val="31"/>
          <w:szCs w:val="31"/>
        </w:rPr>
      </w:pPr>
      <w:bookmarkStart w:id="48" w:name="_bookmark49"/>
      <w:bookmarkEnd w:id="48"/>
      <w:r>
        <w:rPr>
          <w:rFonts w:ascii="Times New Roman" w:hAnsi="Times New Roman" w:eastAsia="Times New Roman" w:cs="Times New Roman"/>
          <w:b/>
          <w:bCs/>
          <w:spacing w:val="4"/>
          <w:sz w:val="31"/>
          <w:szCs w:val="31"/>
        </w:rPr>
        <w:t>10.</w:t>
      </w:r>
      <w:r>
        <w:rPr>
          <w:rFonts w:ascii="Times New Roman" w:hAnsi="Times New Roman" w:eastAsia="Times New Roman" w:cs="Times New Roman"/>
          <w:b/>
          <w:bCs/>
          <w:spacing w:val="2"/>
          <w:sz w:val="31"/>
          <w:szCs w:val="31"/>
        </w:rPr>
        <w:t>2</w:t>
      </w:r>
      <w:r>
        <w:rPr>
          <w:rFonts w:ascii="Times New Roman" w:hAnsi="Times New Roman" w:eastAsia="Times New Roman" w:cs="Times New Roman"/>
          <w:spacing w:val="2"/>
          <w:sz w:val="31"/>
          <w:szCs w:val="31"/>
        </w:rPr>
        <w:t xml:space="preserve">  </w:t>
      </w:r>
      <w:r>
        <w:rPr>
          <w:rFonts w:ascii="宋体" w:hAnsi="宋体" w:eastAsia="宋体" w:cs="宋体"/>
          <w:spacing w:val="2"/>
          <w:sz w:val="31"/>
          <w:szCs w:val="31"/>
          <w14:textOutline w14:w="5793" w14:cap="sq" w14:cmpd="sng">
            <w14:solidFill>
              <w14:srgbClr w14:val="000000"/>
            </w14:solidFill>
            <w14:prstDash w14:val="solid"/>
            <w14:bevel/>
          </w14:textOutline>
        </w:rPr>
        <w:t>建议</w:t>
      </w:r>
    </w:p>
    <w:p w14:paraId="6F1CEDE5">
      <w:pPr>
        <w:spacing w:line="248" w:lineRule="auto"/>
        <w:rPr>
          <w:rFonts w:ascii="Arial"/>
          <w:sz w:val="21"/>
        </w:rPr>
      </w:pPr>
    </w:p>
    <w:p w14:paraId="23793FE9">
      <w:pPr>
        <w:spacing w:before="75" w:line="391" w:lineRule="auto"/>
        <w:ind w:left="22" w:right="35" w:firstLine="492"/>
        <w:rPr>
          <w:rFonts w:ascii="宋体" w:hAnsi="宋体" w:eastAsia="宋体" w:cs="宋体"/>
          <w:sz w:val="23"/>
          <w:szCs w:val="23"/>
        </w:rPr>
      </w:pPr>
      <w:r>
        <w:rPr>
          <w:rFonts w:ascii="宋体" w:hAnsi="宋体" w:eastAsia="宋体" w:cs="宋体"/>
          <w:spacing w:val="14"/>
          <w:sz w:val="23"/>
          <w:szCs w:val="23"/>
        </w:rPr>
        <w:t>(</w:t>
      </w:r>
      <w:r>
        <w:rPr>
          <w:rFonts w:ascii="Times New Roman" w:hAnsi="Times New Roman" w:eastAsia="Times New Roman" w:cs="Times New Roman"/>
          <w:spacing w:val="13"/>
          <w:sz w:val="23"/>
          <w:szCs w:val="23"/>
        </w:rPr>
        <w:t>1</w:t>
      </w:r>
      <w:r>
        <w:rPr>
          <w:rFonts w:ascii="宋体" w:hAnsi="宋体" w:eastAsia="宋体" w:cs="宋体"/>
          <w:spacing w:val="13"/>
          <w:sz w:val="23"/>
          <w:szCs w:val="23"/>
        </w:rPr>
        <w:t>) 在厂区的管理机构中设立兼职环保人员，负责对整个厂区的环保监督</w:t>
      </w:r>
      <w:r>
        <w:rPr>
          <w:rFonts w:ascii="宋体" w:hAnsi="宋体" w:eastAsia="宋体" w:cs="宋体"/>
          <w:sz w:val="23"/>
          <w:szCs w:val="23"/>
        </w:rPr>
        <w:t xml:space="preserve"> </w:t>
      </w:r>
      <w:r>
        <w:rPr>
          <w:rFonts w:ascii="宋体" w:hAnsi="宋体" w:eastAsia="宋体" w:cs="宋体"/>
          <w:spacing w:val="9"/>
          <w:sz w:val="23"/>
          <w:szCs w:val="23"/>
        </w:rPr>
        <w:t>与</w:t>
      </w:r>
      <w:r>
        <w:rPr>
          <w:rFonts w:ascii="宋体" w:hAnsi="宋体" w:eastAsia="宋体" w:cs="宋体"/>
          <w:spacing w:val="7"/>
          <w:sz w:val="23"/>
          <w:szCs w:val="23"/>
        </w:rPr>
        <w:t>管理工作。健全环保制度，落实环保岗位责任制，环保设施的保养、维修应制</w:t>
      </w:r>
      <w:r>
        <w:rPr>
          <w:rFonts w:ascii="宋体" w:hAnsi="宋体" w:eastAsia="宋体" w:cs="宋体"/>
          <w:sz w:val="23"/>
          <w:szCs w:val="23"/>
        </w:rPr>
        <w:t xml:space="preserve"> </w:t>
      </w:r>
      <w:r>
        <w:rPr>
          <w:rFonts w:ascii="宋体" w:hAnsi="宋体" w:eastAsia="宋体" w:cs="宋体"/>
          <w:spacing w:val="15"/>
          <w:sz w:val="23"/>
          <w:szCs w:val="23"/>
        </w:rPr>
        <w:t>度</w:t>
      </w:r>
      <w:r>
        <w:rPr>
          <w:rFonts w:ascii="宋体" w:hAnsi="宋体" w:eastAsia="宋体" w:cs="宋体"/>
          <w:spacing w:val="8"/>
          <w:sz w:val="23"/>
          <w:szCs w:val="23"/>
        </w:rPr>
        <w:t>化，保证设备的正常运转。</w:t>
      </w:r>
    </w:p>
    <w:p w14:paraId="3B8911DE">
      <w:pPr>
        <w:spacing w:before="135" w:line="228" w:lineRule="auto"/>
        <w:ind w:left="514"/>
        <w:rPr>
          <w:rFonts w:ascii="宋体" w:hAnsi="宋体" w:eastAsia="宋体" w:cs="宋体"/>
          <w:sz w:val="23"/>
          <w:szCs w:val="23"/>
        </w:rPr>
      </w:pPr>
      <w:r>
        <w:rPr>
          <w:rFonts w:ascii="宋体" w:hAnsi="宋体" w:eastAsia="宋体" w:cs="宋体"/>
          <w:spacing w:val="21"/>
          <w:sz w:val="23"/>
          <w:szCs w:val="23"/>
        </w:rPr>
        <w:t>(</w:t>
      </w:r>
      <w:r>
        <w:rPr>
          <w:rFonts w:ascii="Times New Roman" w:hAnsi="Times New Roman" w:eastAsia="Times New Roman" w:cs="Times New Roman"/>
          <w:spacing w:val="12"/>
          <w:sz w:val="23"/>
          <w:szCs w:val="23"/>
        </w:rPr>
        <w:t>2</w:t>
      </w:r>
      <w:r>
        <w:rPr>
          <w:rFonts w:ascii="宋体" w:hAnsi="宋体" w:eastAsia="宋体" w:cs="宋体"/>
          <w:spacing w:val="12"/>
          <w:sz w:val="23"/>
          <w:szCs w:val="23"/>
        </w:rPr>
        <w:t>) 厂区及厂界加强绿化，以降低噪声，净化空气，美化环境。</w:t>
      </w:r>
    </w:p>
    <w:p w14:paraId="286D21BE">
      <w:pPr>
        <w:sectPr>
          <w:headerReference r:id="rId343" w:type="default"/>
          <w:footerReference r:id="rId344" w:type="default"/>
          <w:pgSz w:w="11906" w:h="16839"/>
          <w:pgMar w:top="1132" w:right="1764" w:bottom="1182" w:left="1785" w:header="878" w:footer="1022" w:gutter="0"/>
          <w:cols w:space="720" w:num="1"/>
        </w:sectPr>
      </w:pPr>
    </w:p>
    <w:p w14:paraId="40B8FAD7">
      <w:pPr>
        <w:spacing w:line="422" w:lineRule="auto"/>
        <w:rPr>
          <w:rFonts w:ascii="Arial"/>
          <w:sz w:val="21"/>
        </w:rPr>
      </w:pPr>
      <w:r>
        <w:pict>
          <v:shape id="_x0000_s1392" o:spid="_x0000_s1392" style="position:absolute;left:0pt;margin-left:90pt;margin-top:57.35pt;height:0.75pt;width:415.3pt;mso-position-horizontal-relative:page;mso-position-vertical-relative:page;z-index:252088320;mso-width-relative:page;mso-height-relative:page;" fillcolor="#000000" filled="t" stroked="f" coordsize="8305,15" o:allowincell="f" path="m0,0l8305,0,8305,14,0,14,0,0xe">
            <v:path/>
            <v:fill on="t" focussize="0,0"/>
            <v:stroke on="f"/>
            <v:imagedata o:title=""/>
            <o:lock v:ext="edit"/>
          </v:shape>
        </w:pict>
      </w:r>
    </w:p>
    <w:p w14:paraId="154480D8">
      <w:pPr>
        <w:spacing w:before="114" w:line="224" w:lineRule="auto"/>
        <w:ind w:left="37"/>
        <w:outlineLvl w:val="0"/>
        <w:rPr>
          <w:rFonts w:ascii="宋体" w:hAnsi="宋体" w:eastAsia="宋体" w:cs="宋体"/>
          <w:sz w:val="35"/>
          <w:szCs w:val="35"/>
        </w:rPr>
      </w:pPr>
      <w:bookmarkStart w:id="49" w:name="_bookmark50"/>
      <w:bookmarkEnd w:id="49"/>
      <w:r>
        <w:rPr>
          <w:rFonts w:ascii="Times New Roman" w:hAnsi="Times New Roman" w:eastAsia="Times New Roman" w:cs="Times New Roman"/>
          <w:b/>
          <w:bCs/>
          <w:spacing w:val="2"/>
          <w:sz w:val="35"/>
          <w:szCs w:val="35"/>
        </w:rPr>
        <w:t>11</w:t>
      </w:r>
      <w:r>
        <w:rPr>
          <w:rFonts w:ascii="Times New Roman" w:hAnsi="Times New Roman" w:eastAsia="Times New Roman" w:cs="Times New Roman"/>
          <w:spacing w:val="2"/>
          <w:sz w:val="35"/>
          <w:szCs w:val="35"/>
        </w:rPr>
        <w:t xml:space="preserve"> </w:t>
      </w:r>
      <w:r>
        <w:rPr>
          <w:rFonts w:ascii="宋体" w:hAnsi="宋体" w:eastAsia="宋体" w:cs="宋体"/>
          <w:spacing w:val="2"/>
          <w:sz w:val="35"/>
          <w:szCs w:val="35"/>
          <w14:textOutline w14:w="6537" w14:cap="sq" w14:cmpd="sng">
            <w14:solidFill>
              <w14:srgbClr w14:val="000000"/>
            </w14:solidFill>
            <w14:prstDash w14:val="solid"/>
            <w14:bevel/>
          </w14:textOutline>
        </w:rPr>
        <w:t>附</w:t>
      </w:r>
      <w:r>
        <w:rPr>
          <w:rFonts w:ascii="宋体" w:hAnsi="宋体" w:eastAsia="宋体" w:cs="宋体"/>
          <w:spacing w:val="1"/>
          <w:sz w:val="35"/>
          <w:szCs w:val="35"/>
          <w14:textOutline w14:w="6537" w14:cap="sq" w14:cmpd="sng">
            <w14:solidFill>
              <w14:srgbClr w14:val="000000"/>
            </w14:solidFill>
            <w14:prstDash w14:val="solid"/>
            <w14:bevel/>
          </w14:textOutline>
        </w:rPr>
        <w:t>件</w:t>
      </w:r>
    </w:p>
    <w:p w14:paraId="001C9513">
      <w:pPr>
        <w:spacing w:before="314" w:line="303" w:lineRule="exact"/>
        <w:ind w:left="42"/>
        <w:rPr>
          <w:rFonts w:ascii="宋体" w:hAnsi="宋体" w:eastAsia="宋体" w:cs="宋体"/>
          <w:sz w:val="23"/>
          <w:szCs w:val="23"/>
        </w:rPr>
      </w:pPr>
      <w:r>
        <w:rPr>
          <w:rFonts w:ascii="Times New Roman" w:hAnsi="Times New Roman" w:eastAsia="Times New Roman" w:cs="Times New Roman"/>
          <w:spacing w:val="8"/>
          <w:position w:val="1"/>
          <w:sz w:val="23"/>
          <w:szCs w:val="23"/>
        </w:rPr>
        <w:t>1</w:t>
      </w:r>
      <w:r>
        <w:rPr>
          <w:rFonts w:ascii="Times New Roman" w:hAnsi="Times New Roman" w:eastAsia="Times New Roman" w:cs="Times New Roman"/>
          <w:spacing w:val="7"/>
          <w:position w:val="1"/>
          <w:sz w:val="23"/>
          <w:szCs w:val="23"/>
        </w:rPr>
        <w:t xml:space="preserve"> </w:t>
      </w:r>
      <w:r>
        <w:rPr>
          <w:rFonts w:ascii="宋体" w:hAnsi="宋体" w:eastAsia="宋体" w:cs="宋体"/>
          <w:spacing w:val="4"/>
          <w:position w:val="1"/>
          <w:sz w:val="23"/>
          <w:szCs w:val="23"/>
        </w:rPr>
        <w:t>、建设项目大气环境影响评价自查表</w:t>
      </w:r>
    </w:p>
    <w:p w14:paraId="71994943">
      <w:pPr>
        <w:spacing w:line="256" w:lineRule="auto"/>
        <w:rPr>
          <w:rFonts w:ascii="Arial"/>
          <w:sz w:val="21"/>
        </w:rPr>
      </w:pPr>
    </w:p>
    <w:p w14:paraId="14C9E8A8">
      <w:pPr>
        <w:spacing w:before="75" w:line="303" w:lineRule="exact"/>
        <w:ind w:left="19"/>
        <w:rPr>
          <w:rFonts w:ascii="宋体" w:hAnsi="宋体" w:eastAsia="宋体" w:cs="宋体"/>
          <w:sz w:val="23"/>
          <w:szCs w:val="23"/>
        </w:rPr>
      </w:pPr>
      <w:r>
        <w:rPr>
          <w:rFonts w:ascii="Times New Roman" w:hAnsi="Times New Roman" w:eastAsia="Times New Roman" w:cs="Times New Roman"/>
          <w:spacing w:val="2"/>
          <w:position w:val="1"/>
          <w:sz w:val="23"/>
          <w:szCs w:val="23"/>
        </w:rPr>
        <w:t xml:space="preserve">2 </w:t>
      </w:r>
      <w:r>
        <w:rPr>
          <w:rFonts w:ascii="宋体" w:hAnsi="宋体" w:eastAsia="宋体" w:cs="宋体"/>
          <w:spacing w:val="2"/>
          <w:position w:val="1"/>
          <w:sz w:val="23"/>
          <w:szCs w:val="23"/>
        </w:rPr>
        <w:t>、</w:t>
      </w:r>
      <w:r>
        <w:rPr>
          <w:rFonts w:ascii="宋体" w:hAnsi="宋体" w:eastAsia="宋体" w:cs="宋体"/>
          <w:spacing w:val="1"/>
          <w:position w:val="1"/>
          <w:sz w:val="23"/>
          <w:szCs w:val="23"/>
        </w:rPr>
        <w:t>土地使用证明</w:t>
      </w:r>
    </w:p>
    <w:p w14:paraId="6FCB9C22">
      <w:pPr>
        <w:spacing w:line="256" w:lineRule="auto"/>
        <w:rPr>
          <w:rFonts w:ascii="Arial"/>
          <w:sz w:val="21"/>
        </w:rPr>
      </w:pPr>
    </w:p>
    <w:p w14:paraId="3EA36B86">
      <w:pPr>
        <w:spacing w:before="75" w:line="303" w:lineRule="exact"/>
        <w:ind w:left="23"/>
        <w:rPr>
          <w:rFonts w:ascii="宋体" w:hAnsi="宋体" w:eastAsia="宋体" w:cs="宋体"/>
          <w:sz w:val="23"/>
          <w:szCs w:val="23"/>
        </w:rPr>
      </w:pPr>
      <w:r>
        <w:rPr>
          <w:rFonts w:ascii="Times New Roman" w:hAnsi="Times New Roman" w:eastAsia="Times New Roman" w:cs="Times New Roman"/>
          <w:spacing w:val="-6"/>
          <w:position w:val="1"/>
          <w:sz w:val="23"/>
          <w:szCs w:val="23"/>
        </w:rPr>
        <w:t>3</w:t>
      </w:r>
      <w:r>
        <w:rPr>
          <w:rFonts w:ascii="Times New Roman" w:hAnsi="Times New Roman" w:eastAsia="Times New Roman" w:cs="Times New Roman"/>
          <w:spacing w:val="-5"/>
          <w:position w:val="1"/>
          <w:sz w:val="23"/>
          <w:szCs w:val="23"/>
        </w:rPr>
        <w:t xml:space="preserve"> </w:t>
      </w:r>
      <w:r>
        <w:rPr>
          <w:rFonts w:ascii="宋体" w:hAnsi="宋体" w:eastAsia="宋体" w:cs="宋体"/>
          <w:spacing w:val="-3"/>
          <w:position w:val="1"/>
          <w:sz w:val="23"/>
          <w:szCs w:val="23"/>
        </w:rPr>
        <w:t>、委托书</w:t>
      </w:r>
    </w:p>
    <w:p w14:paraId="199BA3B9">
      <w:pPr>
        <w:spacing w:line="256" w:lineRule="auto"/>
        <w:rPr>
          <w:rFonts w:ascii="Arial"/>
          <w:sz w:val="21"/>
        </w:rPr>
      </w:pPr>
    </w:p>
    <w:p w14:paraId="4398A3D3">
      <w:pPr>
        <w:spacing w:before="75" w:line="303" w:lineRule="exact"/>
        <w:ind w:left="17"/>
        <w:rPr>
          <w:rFonts w:ascii="宋体" w:hAnsi="宋体" w:eastAsia="宋体" w:cs="宋体"/>
          <w:sz w:val="23"/>
          <w:szCs w:val="23"/>
        </w:rPr>
      </w:pPr>
      <w:r>
        <w:rPr>
          <w:rFonts w:ascii="Times New Roman" w:hAnsi="Times New Roman" w:eastAsia="Times New Roman" w:cs="Times New Roman"/>
          <w:spacing w:val="-1"/>
          <w:position w:val="1"/>
          <w:sz w:val="23"/>
          <w:szCs w:val="23"/>
        </w:rPr>
        <w:t xml:space="preserve">4 </w:t>
      </w:r>
      <w:r>
        <w:rPr>
          <w:rFonts w:ascii="宋体" w:hAnsi="宋体" w:eastAsia="宋体" w:cs="宋体"/>
          <w:spacing w:val="-1"/>
          <w:position w:val="1"/>
          <w:sz w:val="23"/>
          <w:szCs w:val="23"/>
        </w:rPr>
        <w:t>、备案文件</w:t>
      </w:r>
    </w:p>
    <w:p w14:paraId="00800C75">
      <w:pPr>
        <w:spacing w:line="256" w:lineRule="auto"/>
        <w:rPr>
          <w:rFonts w:ascii="Arial"/>
          <w:sz w:val="21"/>
        </w:rPr>
      </w:pPr>
    </w:p>
    <w:p w14:paraId="19E95CDA">
      <w:pPr>
        <w:spacing w:before="75" w:line="303" w:lineRule="exact"/>
        <w:ind w:left="25"/>
        <w:rPr>
          <w:rFonts w:ascii="宋体" w:hAnsi="宋体" w:eastAsia="宋体" w:cs="宋体"/>
          <w:sz w:val="23"/>
          <w:szCs w:val="23"/>
        </w:rPr>
      </w:pPr>
      <w:r>
        <w:rPr>
          <w:rFonts w:ascii="Times New Roman" w:hAnsi="Times New Roman" w:eastAsia="Times New Roman" w:cs="Times New Roman"/>
          <w:spacing w:val="-3"/>
          <w:position w:val="2"/>
          <w:sz w:val="23"/>
          <w:szCs w:val="23"/>
        </w:rPr>
        <w:t>5</w:t>
      </w:r>
      <w:r>
        <w:rPr>
          <w:rFonts w:ascii="Times New Roman" w:hAnsi="Times New Roman" w:eastAsia="Times New Roman" w:cs="Times New Roman"/>
          <w:spacing w:val="-2"/>
          <w:position w:val="2"/>
          <w:sz w:val="23"/>
          <w:szCs w:val="23"/>
        </w:rPr>
        <w:t xml:space="preserve"> </w:t>
      </w:r>
      <w:r>
        <w:rPr>
          <w:rFonts w:ascii="宋体" w:hAnsi="宋体" w:eastAsia="宋体" w:cs="宋体"/>
          <w:spacing w:val="-2"/>
          <w:position w:val="2"/>
          <w:sz w:val="23"/>
          <w:szCs w:val="23"/>
        </w:rPr>
        <w:t>、营业执照</w:t>
      </w:r>
    </w:p>
    <w:p w14:paraId="4F133DC1">
      <w:pPr>
        <w:spacing w:line="256" w:lineRule="auto"/>
        <w:rPr>
          <w:rFonts w:ascii="Arial"/>
          <w:sz w:val="21"/>
        </w:rPr>
      </w:pPr>
    </w:p>
    <w:p w14:paraId="22466AC2">
      <w:pPr>
        <w:spacing w:before="75" w:line="303" w:lineRule="exact"/>
        <w:ind w:left="24"/>
        <w:rPr>
          <w:rFonts w:ascii="宋体" w:hAnsi="宋体" w:eastAsia="宋体" w:cs="宋体"/>
          <w:sz w:val="23"/>
          <w:szCs w:val="23"/>
        </w:rPr>
      </w:pPr>
      <w:r>
        <w:rPr>
          <w:rFonts w:ascii="Times New Roman" w:hAnsi="Times New Roman" w:eastAsia="Times New Roman" w:cs="Times New Roman"/>
          <w:spacing w:val="-2"/>
          <w:position w:val="1"/>
          <w:sz w:val="23"/>
          <w:szCs w:val="23"/>
        </w:rPr>
        <w:t xml:space="preserve">6 </w:t>
      </w:r>
      <w:r>
        <w:rPr>
          <w:rFonts w:ascii="宋体" w:hAnsi="宋体" w:eastAsia="宋体" w:cs="宋体"/>
          <w:spacing w:val="-2"/>
          <w:position w:val="1"/>
          <w:sz w:val="23"/>
          <w:szCs w:val="23"/>
        </w:rPr>
        <w:t>、选址证</w:t>
      </w:r>
      <w:r>
        <w:rPr>
          <w:rFonts w:ascii="宋体" w:hAnsi="宋体" w:eastAsia="宋体" w:cs="宋体"/>
          <w:spacing w:val="-1"/>
          <w:position w:val="1"/>
          <w:sz w:val="23"/>
          <w:szCs w:val="23"/>
        </w:rPr>
        <w:t>明</w:t>
      </w:r>
    </w:p>
    <w:p w14:paraId="6DE557BD">
      <w:pPr>
        <w:spacing w:line="256" w:lineRule="auto"/>
        <w:rPr>
          <w:rFonts w:ascii="Arial"/>
          <w:sz w:val="21"/>
        </w:rPr>
      </w:pPr>
    </w:p>
    <w:p w14:paraId="3CF9911C">
      <w:pPr>
        <w:spacing w:before="76" w:line="303" w:lineRule="exact"/>
        <w:ind w:left="22"/>
        <w:rPr>
          <w:rFonts w:ascii="宋体" w:hAnsi="宋体" w:eastAsia="宋体" w:cs="宋体"/>
          <w:sz w:val="23"/>
          <w:szCs w:val="23"/>
        </w:rPr>
      </w:pPr>
      <w:r>
        <w:rPr>
          <w:rFonts w:ascii="Times New Roman" w:hAnsi="Times New Roman" w:eastAsia="Times New Roman" w:cs="Times New Roman"/>
          <w:spacing w:val="1"/>
          <w:position w:val="2"/>
          <w:sz w:val="23"/>
          <w:szCs w:val="23"/>
        </w:rPr>
        <w:t xml:space="preserve">7 </w:t>
      </w:r>
      <w:r>
        <w:rPr>
          <w:rFonts w:ascii="宋体" w:hAnsi="宋体" w:eastAsia="宋体" w:cs="宋体"/>
          <w:spacing w:val="1"/>
          <w:position w:val="2"/>
          <w:sz w:val="23"/>
          <w:szCs w:val="23"/>
        </w:rPr>
        <w:t>、原料购买协</w:t>
      </w:r>
      <w:r>
        <w:rPr>
          <w:rFonts w:ascii="宋体" w:hAnsi="宋体" w:eastAsia="宋体" w:cs="宋体"/>
          <w:position w:val="2"/>
          <w:sz w:val="23"/>
          <w:szCs w:val="23"/>
        </w:rPr>
        <w:t>议</w:t>
      </w:r>
    </w:p>
    <w:p w14:paraId="0322101D">
      <w:pPr>
        <w:spacing w:line="256" w:lineRule="auto"/>
        <w:rPr>
          <w:rFonts w:ascii="Arial"/>
          <w:sz w:val="21"/>
        </w:rPr>
      </w:pPr>
    </w:p>
    <w:p w14:paraId="10F4A884">
      <w:pPr>
        <w:spacing w:before="75" w:line="303" w:lineRule="exact"/>
        <w:ind w:left="28"/>
        <w:rPr>
          <w:rFonts w:ascii="宋体" w:hAnsi="宋体" w:eastAsia="宋体" w:cs="宋体"/>
          <w:sz w:val="23"/>
          <w:szCs w:val="23"/>
        </w:rPr>
      </w:pPr>
      <w:r>
        <w:rPr>
          <w:rFonts w:ascii="Times New Roman" w:hAnsi="Times New Roman" w:eastAsia="Times New Roman" w:cs="Times New Roman"/>
          <w:spacing w:val="-4"/>
          <w:position w:val="1"/>
          <w:sz w:val="23"/>
          <w:szCs w:val="23"/>
        </w:rPr>
        <w:t xml:space="preserve">8 </w:t>
      </w:r>
      <w:r>
        <w:rPr>
          <w:rFonts w:ascii="宋体" w:hAnsi="宋体" w:eastAsia="宋体" w:cs="宋体"/>
          <w:spacing w:val="-2"/>
          <w:position w:val="1"/>
          <w:sz w:val="23"/>
          <w:szCs w:val="23"/>
        </w:rPr>
        <w:t>、监测报告</w:t>
      </w:r>
    </w:p>
    <w:p w14:paraId="328E32A7">
      <w:pPr>
        <w:sectPr>
          <w:headerReference r:id="rId345" w:type="default"/>
          <w:footerReference r:id="rId346" w:type="default"/>
          <w:pgSz w:w="11906" w:h="16839"/>
          <w:pgMar w:top="1132" w:right="1785" w:bottom="1182" w:left="1785" w:header="878" w:footer="1022" w:gutter="0"/>
          <w:cols w:space="720" w:num="1"/>
        </w:sectPr>
      </w:pPr>
    </w:p>
    <w:p w14:paraId="1B48A9E7">
      <w:pPr>
        <w:spacing w:line="261" w:lineRule="auto"/>
        <w:rPr>
          <w:rFonts w:ascii="Arial"/>
          <w:sz w:val="21"/>
        </w:rPr>
      </w:pPr>
    </w:p>
    <w:p w14:paraId="36FC8BC6">
      <w:pPr>
        <w:spacing w:line="261" w:lineRule="auto"/>
        <w:rPr>
          <w:rFonts w:ascii="Arial"/>
          <w:sz w:val="21"/>
        </w:rPr>
      </w:pPr>
    </w:p>
    <w:p w14:paraId="08C32A5B">
      <w:pPr>
        <w:spacing w:line="261" w:lineRule="auto"/>
        <w:rPr>
          <w:rFonts w:ascii="Arial"/>
          <w:sz w:val="21"/>
        </w:rPr>
      </w:pPr>
    </w:p>
    <w:p w14:paraId="5DB49083">
      <w:pPr>
        <w:spacing w:line="261" w:lineRule="auto"/>
        <w:rPr>
          <w:rFonts w:ascii="Arial"/>
          <w:sz w:val="21"/>
        </w:rPr>
      </w:pPr>
    </w:p>
    <w:p w14:paraId="35EAD501">
      <w:pPr>
        <w:spacing w:line="261" w:lineRule="auto"/>
        <w:rPr>
          <w:rFonts w:ascii="Arial"/>
          <w:sz w:val="21"/>
        </w:rPr>
      </w:pPr>
    </w:p>
    <w:p w14:paraId="7DBE3F45">
      <w:pPr>
        <w:spacing w:before="75" w:line="221" w:lineRule="auto"/>
        <w:ind w:left="3056"/>
        <w:rPr>
          <w:rFonts w:ascii="宋体" w:hAnsi="宋体" w:eastAsia="宋体" w:cs="宋体"/>
          <w:sz w:val="23"/>
          <w:szCs w:val="23"/>
        </w:rPr>
      </w:pPr>
      <w:r>
        <w:rPr>
          <w:rFonts w:ascii="宋体" w:hAnsi="宋体" w:eastAsia="宋体" w:cs="宋体"/>
          <w:spacing w:val="8"/>
          <w:sz w:val="23"/>
          <w:szCs w:val="23"/>
          <w14:textOutline w14:w="4358" w14:cap="sq" w14:cmpd="sng">
            <w14:solidFill>
              <w14:srgbClr w14:val="000000"/>
            </w14:solidFill>
            <w14:prstDash w14:val="solid"/>
            <w14:bevel/>
          </w14:textOutline>
        </w:rPr>
        <w:t>附</w:t>
      </w:r>
      <w:r>
        <w:rPr>
          <w:rFonts w:ascii="宋体" w:hAnsi="宋体" w:eastAsia="宋体" w:cs="宋体"/>
          <w:spacing w:val="5"/>
          <w:sz w:val="23"/>
          <w:szCs w:val="23"/>
          <w14:textOutline w14:w="4358" w14:cap="sq" w14:cmpd="sng">
            <w14:solidFill>
              <w14:srgbClr w14:val="000000"/>
            </w14:solidFill>
            <w14:prstDash w14:val="solid"/>
            <w14:bevel/>
          </w14:textOutline>
        </w:rPr>
        <w:t>件</w:t>
      </w:r>
      <w:r>
        <w:rPr>
          <w:rFonts w:ascii="宋体" w:hAnsi="宋体" w:eastAsia="宋体" w:cs="宋体"/>
          <w:spacing w:val="5"/>
          <w:sz w:val="23"/>
          <w:szCs w:val="23"/>
        </w:rPr>
        <w:t xml:space="preserve"> </w:t>
      </w:r>
      <w:r>
        <w:rPr>
          <w:rFonts w:ascii="Times New Roman" w:hAnsi="Times New Roman" w:eastAsia="Times New Roman" w:cs="Times New Roman"/>
          <w:b/>
          <w:bCs/>
          <w:spacing w:val="5"/>
          <w:sz w:val="23"/>
          <w:szCs w:val="23"/>
        </w:rPr>
        <w:t>1</w:t>
      </w:r>
      <w:r>
        <w:rPr>
          <w:rFonts w:ascii="Times New Roman" w:hAnsi="Times New Roman" w:eastAsia="Times New Roman" w:cs="Times New Roman"/>
          <w:spacing w:val="5"/>
          <w:sz w:val="23"/>
          <w:szCs w:val="23"/>
        </w:rPr>
        <w:t xml:space="preserve">  </w:t>
      </w:r>
      <w:r>
        <w:rPr>
          <w:rFonts w:ascii="宋体" w:hAnsi="宋体" w:eastAsia="宋体" w:cs="宋体"/>
          <w:spacing w:val="5"/>
          <w:sz w:val="23"/>
          <w:szCs w:val="23"/>
          <w14:textOutline w14:w="4358" w14:cap="sq" w14:cmpd="sng">
            <w14:solidFill>
              <w14:srgbClr w14:val="000000"/>
            </w14:solidFill>
            <w14:prstDash w14:val="solid"/>
            <w14:bevel/>
          </w14:textOutline>
        </w:rPr>
        <w:t>建设项目大气环境影响评价自查表</w:t>
      </w:r>
    </w:p>
    <w:tbl>
      <w:tblPr>
        <w:tblStyle w:val="4"/>
        <w:tblW w:w="104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4"/>
        <w:gridCol w:w="1792"/>
        <w:gridCol w:w="943"/>
        <w:gridCol w:w="199"/>
        <w:gridCol w:w="429"/>
        <w:gridCol w:w="319"/>
        <w:gridCol w:w="174"/>
        <w:gridCol w:w="455"/>
        <w:gridCol w:w="877"/>
        <w:gridCol w:w="384"/>
        <w:gridCol w:w="873"/>
        <w:gridCol w:w="386"/>
        <w:gridCol w:w="727"/>
        <w:gridCol w:w="1071"/>
        <w:gridCol w:w="738"/>
      </w:tblGrid>
      <w:tr w14:paraId="3F9F13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2836" w:type="dxa"/>
            <w:gridSpan w:val="2"/>
            <w:tcBorders>
              <w:left w:val="single" w:color="000000" w:sz="10" w:space="0"/>
            </w:tcBorders>
            <w:vAlign w:val="top"/>
          </w:tcPr>
          <w:p w14:paraId="210C015E">
            <w:pPr>
              <w:spacing w:before="75" w:line="228" w:lineRule="auto"/>
              <w:ind w:left="993"/>
              <w:rPr>
                <w:rFonts w:ascii="宋体" w:hAnsi="宋体" w:eastAsia="宋体" w:cs="宋体"/>
                <w:sz w:val="20"/>
                <w:szCs w:val="20"/>
              </w:rPr>
            </w:pPr>
            <w:r>
              <w:rPr>
                <w:rFonts w:ascii="宋体" w:hAnsi="宋体" w:eastAsia="宋体" w:cs="宋体"/>
                <w:spacing w:val="9"/>
                <w:sz w:val="20"/>
                <w:szCs w:val="20"/>
              </w:rPr>
              <w:t>工</w:t>
            </w:r>
            <w:r>
              <w:rPr>
                <w:rFonts w:ascii="宋体" w:hAnsi="宋体" w:eastAsia="宋体" w:cs="宋体"/>
                <w:spacing w:val="6"/>
                <w:sz w:val="20"/>
                <w:szCs w:val="20"/>
              </w:rPr>
              <w:t>作内容</w:t>
            </w:r>
          </w:p>
        </w:tc>
        <w:tc>
          <w:tcPr>
            <w:tcW w:w="7575" w:type="dxa"/>
            <w:gridSpan w:val="13"/>
            <w:tcBorders>
              <w:right w:val="single" w:color="000000" w:sz="10" w:space="0"/>
            </w:tcBorders>
            <w:vAlign w:val="top"/>
          </w:tcPr>
          <w:p w14:paraId="70BB137E">
            <w:pPr>
              <w:spacing w:before="76" w:line="228" w:lineRule="auto"/>
              <w:ind w:left="3404"/>
              <w:rPr>
                <w:rFonts w:ascii="宋体" w:hAnsi="宋体" w:eastAsia="宋体" w:cs="宋体"/>
                <w:sz w:val="20"/>
                <w:szCs w:val="20"/>
              </w:rPr>
            </w:pPr>
            <w:r>
              <w:rPr>
                <w:rFonts w:ascii="宋体" w:hAnsi="宋体" w:eastAsia="宋体" w:cs="宋体"/>
                <w:spacing w:val="-2"/>
                <w:sz w:val="20"/>
                <w:szCs w:val="20"/>
              </w:rPr>
              <w:t>自</w:t>
            </w:r>
            <w:r>
              <w:rPr>
                <w:rFonts w:ascii="宋体" w:hAnsi="宋体" w:eastAsia="宋体" w:cs="宋体"/>
                <w:spacing w:val="-1"/>
                <w:sz w:val="20"/>
                <w:szCs w:val="20"/>
              </w:rPr>
              <w:t>查项目</w:t>
            </w:r>
          </w:p>
        </w:tc>
      </w:tr>
      <w:tr w14:paraId="29769D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44" w:type="dxa"/>
            <w:vMerge w:val="restart"/>
            <w:tcBorders>
              <w:left w:val="single" w:color="000000" w:sz="10" w:space="0"/>
              <w:bottom w:val="nil"/>
            </w:tcBorders>
            <w:vAlign w:val="top"/>
          </w:tcPr>
          <w:p w14:paraId="0037D7FA">
            <w:pPr>
              <w:spacing w:before="58" w:line="258" w:lineRule="auto"/>
              <w:ind w:left="202" w:right="106" w:hanging="110"/>
              <w:rPr>
                <w:rFonts w:ascii="宋体" w:hAnsi="宋体" w:eastAsia="宋体" w:cs="宋体"/>
                <w:sz w:val="20"/>
                <w:szCs w:val="20"/>
              </w:rPr>
            </w:pPr>
            <w:r>
              <w:rPr>
                <w:rFonts w:ascii="宋体" w:hAnsi="宋体" w:eastAsia="宋体" w:cs="宋体"/>
                <w:spacing w:val="9"/>
                <w:sz w:val="20"/>
                <w:szCs w:val="20"/>
              </w:rPr>
              <w:t>评</w:t>
            </w:r>
            <w:r>
              <w:rPr>
                <w:rFonts w:ascii="宋体" w:hAnsi="宋体" w:eastAsia="宋体" w:cs="宋体"/>
                <w:spacing w:val="7"/>
                <w:sz w:val="20"/>
                <w:szCs w:val="20"/>
              </w:rPr>
              <w:t>价等级</w:t>
            </w:r>
            <w:r>
              <w:rPr>
                <w:rFonts w:ascii="宋体" w:hAnsi="宋体" w:eastAsia="宋体" w:cs="宋体"/>
                <w:sz w:val="20"/>
                <w:szCs w:val="20"/>
              </w:rPr>
              <w:t xml:space="preserve"> </w:t>
            </w:r>
            <w:r>
              <w:rPr>
                <w:rFonts w:ascii="宋体" w:hAnsi="宋体" w:eastAsia="宋体" w:cs="宋体"/>
                <w:spacing w:val="6"/>
                <w:sz w:val="20"/>
                <w:szCs w:val="20"/>
              </w:rPr>
              <w:t>与</w:t>
            </w:r>
            <w:r>
              <w:rPr>
                <w:rFonts w:ascii="宋体" w:hAnsi="宋体" w:eastAsia="宋体" w:cs="宋体"/>
                <w:spacing w:val="5"/>
                <w:sz w:val="20"/>
                <w:szCs w:val="20"/>
              </w:rPr>
              <w:t>范围</w:t>
            </w:r>
          </w:p>
        </w:tc>
        <w:tc>
          <w:tcPr>
            <w:tcW w:w="1792" w:type="dxa"/>
            <w:vAlign w:val="top"/>
          </w:tcPr>
          <w:p w14:paraId="5A0C5987">
            <w:pPr>
              <w:spacing w:before="51" w:line="226" w:lineRule="auto"/>
              <w:ind w:left="472"/>
              <w:rPr>
                <w:rFonts w:ascii="宋体" w:hAnsi="宋体" w:eastAsia="宋体" w:cs="宋体"/>
                <w:sz w:val="20"/>
                <w:szCs w:val="20"/>
              </w:rPr>
            </w:pPr>
            <w:r>
              <w:rPr>
                <w:rFonts w:ascii="宋体" w:hAnsi="宋体" w:eastAsia="宋体" w:cs="宋体"/>
                <w:spacing w:val="9"/>
                <w:sz w:val="20"/>
                <w:szCs w:val="20"/>
              </w:rPr>
              <w:t>评</w:t>
            </w:r>
            <w:r>
              <w:rPr>
                <w:rFonts w:ascii="宋体" w:hAnsi="宋体" w:eastAsia="宋体" w:cs="宋体"/>
                <w:spacing w:val="7"/>
                <w:sz w:val="20"/>
                <w:szCs w:val="20"/>
              </w:rPr>
              <w:t>价等级</w:t>
            </w:r>
          </w:p>
        </w:tc>
        <w:tc>
          <w:tcPr>
            <w:tcW w:w="2519" w:type="dxa"/>
            <w:gridSpan w:val="6"/>
            <w:vAlign w:val="top"/>
          </w:tcPr>
          <w:p w14:paraId="0C6EC1EE">
            <w:pPr>
              <w:spacing w:before="51" w:line="265" w:lineRule="exact"/>
              <w:ind w:left="993"/>
              <w:rPr>
                <w:rFonts w:ascii="Times New Roman" w:hAnsi="Times New Roman" w:eastAsia="Times New Roman" w:cs="Times New Roman"/>
                <w:sz w:val="20"/>
                <w:szCs w:val="20"/>
              </w:rPr>
            </w:pPr>
            <w:r>
              <w:rPr>
                <w:rFonts w:ascii="宋体" w:hAnsi="宋体" w:eastAsia="宋体" w:cs="宋体"/>
                <w:spacing w:val="9"/>
                <w:position w:val="3"/>
                <w:sz w:val="20"/>
                <w:szCs w:val="20"/>
              </w:rPr>
              <w:t>一</w:t>
            </w:r>
            <w:r>
              <w:rPr>
                <w:rFonts w:ascii="宋体" w:hAnsi="宋体" w:eastAsia="宋体" w:cs="宋体"/>
                <w:spacing w:val="7"/>
                <w:position w:val="3"/>
                <w:sz w:val="20"/>
                <w:szCs w:val="20"/>
              </w:rPr>
              <w:t>级</w:t>
            </w:r>
            <w:r>
              <w:rPr>
                <w:rFonts w:ascii="Times New Roman" w:hAnsi="Times New Roman" w:eastAsia="Times New Roman" w:cs="Times New Roman"/>
                <w:spacing w:val="7"/>
                <w:position w:val="3"/>
                <w:sz w:val="20"/>
                <w:szCs w:val="20"/>
              </w:rPr>
              <w:t>□</w:t>
            </w:r>
          </w:p>
        </w:tc>
        <w:tc>
          <w:tcPr>
            <w:tcW w:w="2520" w:type="dxa"/>
            <w:gridSpan w:val="4"/>
            <w:vAlign w:val="top"/>
          </w:tcPr>
          <w:p w14:paraId="7A514F61">
            <w:pPr>
              <w:spacing w:before="51" w:line="186" w:lineRule="auto"/>
              <w:ind w:left="967"/>
              <w:rPr>
                <w:rFonts w:ascii="微软雅黑" w:hAnsi="微软雅黑" w:eastAsia="微软雅黑" w:cs="微软雅黑"/>
                <w:sz w:val="20"/>
                <w:szCs w:val="20"/>
              </w:rPr>
            </w:pPr>
            <w:r>
              <w:rPr>
                <w:rFonts w:ascii="宋体" w:hAnsi="宋体" w:eastAsia="宋体" w:cs="宋体"/>
                <w:spacing w:val="2"/>
                <w:sz w:val="20"/>
                <w:szCs w:val="20"/>
              </w:rPr>
              <w:t>二级</w:t>
            </w:r>
            <w:r>
              <w:rPr>
                <w:rFonts w:ascii="微软雅黑" w:hAnsi="微软雅黑" w:eastAsia="微软雅黑" w:cs="微软雅黑"/>
                <w:spacing w:val="2"/>
                <w:sz w:val="20"/>
                <w:szCs w:val="20"/>
              </w:rPr>
              <w:t>团</w:t>
            </w:r>
          </w:p>
        </w:tc>
        <w:tc>
          <w:tcPr>
            <w:tcW w:w="2536" w:type="dxa"/>
            <w:gridSpan w:val="3"/>
            <w:tcBorders>
              <w:right w:val="single" w:color="000000" w:sz="10" w:space="0"/>
            </w:tcBorders>
            <w:vAlign w:val="top"/>
          </w:tcPr>
          <w:p w14:paraId="532E1937">
            <w:pPr>
              <w:spacing w:before="51" w:line="230" w:lineRule="auto"/>
              <w:ind w:left="1002"/>
              <w:rPr>
                <w:rFonts w:ascii="Times New Roman" w:hAnsi="Times New Roman" w:eastAsia="Times New Roman" w:cs="Times New Roman"/>
                <w:sz w:val="20"/>
                <w:szCs w:val="20"/>
              </w:rPr>
            </w:pPr>
            <w:r>
              <w:rPr>
                <w:rFonts w:ascii="宋体" w:hAnsi="宋体" w:eastAsia="宋体" w:cs="宋体"/>
                <w:spacing w:val="7"/>
                <w:sz w:val="20"/>
                <w:szCs w:val="20"/>
              </w:rPr>
              <w:t>三</w:t>
            </w:r>
            <w:r>
              <w:rPr>
                <w:rFonts w:ascii="宋体" w:hAnsi="宋体" w:eastAsia="宋体" w:cs="宋体"/>
                <w:spacing w:val="5"/>
                <w:sz w:val="20"/>
                <w:szCs w:val="20"/>
              </w:rPr>
              <w:t>级</w:t>
            </w:r>
            <w:r>
              <w:rPr>
                <w:rFonts w:ascii="Times New Roman" w:hAnsi="Times New Roman" w:eastAsia="Times New Roman" w:cs="Times New Roman"/>
                <w:spacing w:val="5"/>
                <w:sz w:val="20"/>
                <w:szCs w:val="20"/>
              </w:rPr>
              <w:t>□</w:t>
            </w:r>
          </w:p>
        </w:tc>
      </w:tr>
      <w:tr w14:paraId="41500C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44" w:type="dxa"/>
            <w:vMerge w:val="continue"/>
            <w:tcBorders>
              <w:top w:val="nil"/>
              <w:left w:val="single" w:color="000000" w:sz="10" w:space="0"/>
            </w:tcBorders>
            <w:vAlign w:val="top"/>
          </w:tcPr>
          <w:p w14:paraId="22B6F9DC">
            <w:pPr>
              <w:rPr>
                <w:rFonts w:ascii="Arial"/>
                <w:sz w:val="21"/>
              </w:rPr>
            </w:pPr>
          </w:p>
        </w:tc>
        <w:tc>
          <w:tcPr>
            <w:tcW w:w="1792" w:type="dxa"/>
            <w:vAlign w:val="top"/>
          </w:tcPr>
          <w:p w14:paraId="4BF13AA8">
            <w:pPr>
              <w:spacing w:before="53" w:line="226" w:lineRule="auto"/>
              <w:ind w:left="472"/>
              <w:rPr>
                <w:rFonts w:ascii="宋体" w:hAnsi="宋体" w:eastAsia="宋体" w:cs="宋体"/>
                <w:sz w:val="20"/>
                <w:szCs w:val="20"/>
              </w:rPr>
            </w:pPr>
            <w:r>
              <w:rPr>
                <w:rFonts w:ascii="宋体" w:hAnsi="宋体" w:eastAsia="宋体" w:cs="宋体"/>
                <w:spacing w:val="9"/>
                <w:sz w:val="20"/>
                <w:szCs w:val="20"/>
              </w:rPr>
              <w:t>评</w:t>
            </w:r>
            <w:r>
              <w:rPr>
                <w:rFonts w:ascii="宋体" w:hAnsi="宋体" w:eastAsia="宋体" w:cs="宋体"/>
                <w:spacing w:val="7"/>
                <w:sz w:val="20"/>
                <w:szCs w:val="20"/>
              </w:rPr>
              <w:t>价范围</w:t>
            </w:r>
          </w:p>
        </w:tc>
        <w:tc>
          <w:tcPr>
            <w:tcW w:w="2519" w:type="dxa"/>
            <w:gridSpan w:val="6"/>
            <w:vAlign w:val="top"/>
          </w:tcPr>
          <w:p w14:paraId="6C1F5467">
            <w:pPr>
              <w:spacing w:before="15" w:line="281" w:lineRule="exact"/>
              <w:ind w:left="691"/>
              <w:rPr>
                <w:rFonts w:ascii="Times New Roman" w:hAnsi="Times New Roman" w:eastAsia="Times New Roman" w:cs="Times New Roman"/>
                <w:sz w:val="20"/>
                <w:szCs w:val="20"/>
              </w:rPr>
            </w:pPr>
            <w:r>
              <w:rPr>
                <w:rFonts w:ascii="宋体" w:hAnsi="宋体" w:eastAsia="宋体" w:cs="宋体"/>
                <w:spacing w:val="9"/>
                <w:position w:val="1"/>
                <w:sz w:val="20"/>
                <w:szCs w:val="20"/>
              </w:rPr>
              <w:t>边</w:t>
            </w:r>
            <w:r>
              <w:rPr>
                <w:rFonts w:ascii="宋体" w:hAnsi="宋体" w:eastAsia="宋体" w:cs="宋体"/>
                <w:spacing w:val="7"/>
                <w:position w:val="1"/>
                <w:sz w:val="20"/>
                <w:szCs w:val="20"/>
              </w:rPr>
              <w:t>长</w:t>
            </w:r>
            <w:r>
              <w:rPr>
                <w:rFonts w:ascii="Times New Roman" w:hAnsi="Times New Roman" w:eastAsia="Times New Roman" w:cs="Times New Roman"/>
                <w:spacing w:val="7"/>
                <w:position w:val="1"/>
                <w:sz w:val="20"/>
                <w:szCs w:val="20"/>
              </w:rPr>
              <w:t>=50</w:t>
            </w:r>
            <w:r>
              <w:rPr>
                <w:rFonts w:ascii="Times New Roman" w:hAnsi="Times New Roman" w:eastAsia="Times New Roman" w:cs="Times New Roman"/>
                <w:position w:val="1"/>
                <w:sz w:val="20"/>
                <w:szCs w:val="20"/>
              </w:rPr>
              <w:t>km</w:t>
            </w:r>
            <w:r>
              <w:rPr>
                <w:rFonts w:ascii="Times New Roman" w:hAnsi="Times New Roman" w:eastAsia="Times New Roman" w:cs="Times New Roman"/>
                <w:spacing w:val="7"/>
                <w:position w:val="1"/>
                <w:sz w:val="20"/>
                <w:szCs w:val="20"/>
              </w:rPr>
              <w:t>□</w:t>
            </w:r>
          </w:p>
        </w:tc>
        <w:tc>
          <w:tcPr>
            <w:tcW w:w="2520" w:type="dxa"/>
            <w:gridSpan w:val="4"/>
            <w:vAlign w:val="top"/>
          </w:tcPr>
          <w:p w14:paraId="0737D863">
            <w:pPr>
              <w:spacing w:before="15" w:line="211" w:lineRule="auto"/>
              <w:ind w:left="591"/>
              <w:rPr>
                <w:rFonts w:ascii="微软雅黑" w:hAnsi="微软雅黑" w:eastAsia="微软雅黑" w:cs="微软雅黑"/>
                <w:sz w:val="20"/>
                <w:szCs w:val="20"/>
              </w:rPr>
            </w:pPr>
            <w:r>
              <w:rPr>
                <w:rFonts w:ascii="宋体" w:hAnsi="宋体" w:eastAsia="宋体" w:cs="宋体"/>
                <w:spacing w:val="-5"/>
                <w:sz w:val="20"/>
                <w:szCs w:val="20"/>
              </w:rPr>
              <w:t>边</w:t>
            </w:r>
            <w:r>
              <w:rPr>
                <w:rFonts w:ascii="宋体" w:hAnsi="宋体" w:eastAsia="宋体" w:cs="宋体"/>
                <w:spacing w:val="-3"/>
                <w:sz w:val="20"/>
                <w:szCs w:val="20"/>
              </w:rPr>
              <w:t xml:space="preserve">长 </w:t>
            </w:r>
            <w:r>
              <w:rPr>
                <w:rFonts w:ascii="Times New Roman" w:hAnsi="Times New Roman" w:eastAsia="Times New Roman" w:cs="Times New Roman"/>
                <w:spacing w:val="-3"/>
                <w:sz w:val="20"/>
                <w:szCs w:val="20"/>
              </w:rPr>
              <w:t xml:space="preserve">5~50km </w:t>
            </w:r>
            <w:r>
              <w:rPr>
                <w:rFonts w:ascii="微软雅黑" w:hAnsi="微软雅黑" w:eastAsia="微软雅黑" w:cs="微软雅黑"/>
                <w:spacing w:val="-3"/>
                <w:sz w:val="20"/>
                <w:szCs w:val="20"/>
              </w:rPr>
              <w:t>团</w:t>
            </w:r>
          </w:p>
        </w:tc>
        <w:tc>
          <w:tcPr>
            <w:tcW w:w="2536" w:type="dxa"/>
            <w:gridSpan w:val="3"/>
            <w:tcBorders>
              <w:right w:val="single" w:color="000000" w:sz="10" w:space="0"/>
            </w:tcBorders>
            <w:vAlign w:val="top"/>
          </w:tcPr>
          <w:p w14:paraId="0DBE3F16">
            <w:pPr>
              <w:spacing w:before="15" w:line="281" w:lineRule="exact"/>
              <w:ind w:left="725"/>
              <w:rPr>
                <w:sz w:val="20"/>
                <w:szCs w:val="20"/>
              </w:rPr>
            </w:pPr>
            <w:r>
              <w:rPr>
                <w:rFonts w:ascii="宋体" w:hAnsi="宋体" w:eastAsia="宋体" w:cs="宋体"/>
                <w:spacing w:val="1"/>
                <w:position w:val="1"/>
                <w:sz w:val="20"/>
                <w:szCs w:val="20"/>
              </w:rPr>
              <w:t>边长</w:t>
            </w:r>
            <w:r>
              <w:rPr>
                <w:rFonts w:ascii="Times New Roman" w:hAnsi="Times New Roman" w:eastAsia="Times New Roman" w:cs="Times New Roman"/>
                <w:spacing w:val="1"/>
                <w:position w:val="1"/>
                <w:sz w:val="20"/>
                <w:szCs w:val="20"/>
              </w:rPr>
              <w:t>=</w:t>
            </w:r>
            <w:r>
              <w:rPr>
                <w:rFonts w:ascii="Times New Roman" w:hAnsi="Times New Roman" w:eastAsia="Times New Roman" w:cs="Times New Roman"/>
                <w:position w:val="1"/>
                <w:sz w:val="20"/>
                <w:szCs w:val="20"/>
              </w:rPr>
              <w:t xml:space="preserve">5km </w:t>
            </w:r>
            <w:r>
              <w:rPr>
                <w:position w:val="-3"/>
                <w:sz w:val="20"/>
                <w:szCs w:val="20"/>
              </w:rPr>
              <w:drawing>
                <wp:inline distT="0" distB="0" distL="0" distR="0">
                  <wp:extent cx="95885" cy="139700"/>
                  <wp:effectExtent l="0" t="0" r="0" b="0"/>
                  <wp:docPr id="250" name="IM 250"/>
                  <wp:cNvGraphicFramePr/>
                  <a:graphic xmlns:a="http://schemas.openxmlformats.org/drawingml/2006/main">
                    <a:graphicData uri="http://schemas.openxmlformats.org/drawingml/2006/picture">
                      <pic:pic xmlns:pic="http://schemas.openxmlformats.org/drawingml/2006/picture">
                        <pic:nvPicPr>
                          <pic:cNvPr id="250" name="IM 250"/>
                          <pic:cNvPicPr/>
                        </pic:nvPicPr>
                        <pic:blipFill>
                          <a:blip r:embed="rId535"/>
                          <a:stretch>
                            <a:fillRect/>
                          </a:stretch>
                        </pic:blipFill>
                        <pic:spPr>
                          <a:xfrm>
                            <a:off x="0" y="0"/>
                            <a:ext cx="95953" cy="139748"/>
                          </a:xfrm>
                          <a:prstGeom prst="rect">
                            <a:avLst/>
                          </a:prstGeom>
                        </pic:spPr>
                      </pic:pic>
                    </a:graphicData>
                  </a:graphic>
                </wp:inline>
              </w:drawing>
            </w:r>
          </w:p>
        </w:tc>
      </w:tr>
      <w:tr w14:paraId="4DECA5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44" w:type="dxa"/>
            <w:vMerge w:val="restart"/>
            <w:tcBorders>
              <w:left w:val="single" w:color="000000" w:sz="10" w:space="0"/>
              <w:bottom w:val="nil"/>
            </w:tcBorders>
            <w:vAlign w:val="top"/>
          </w:tcPr>
          <w:p w14:paraId="114FFF00">
            <w:pPr>
              <w:spacing w:line="302" w:lineRule="auto"/>
              <w:rPr>
                <w:rFonts w:ascii="Arial"/>
                <w:sz w:val="21"/>
              </w:rPr>
            </w:pPr>
          </w:p>
          <w:p w14:paraId="0B92D0BC">
            <w:pPr>
              <w:spacing w:before="65" w:line="226" w:lineRule="auto"/>
              <w:ind w:left="92"/>
              <w:rPr>
                <w:rFonts w:ascii="宋体" w:hAnsi="宋体" w:eastAsia="宋体" w:cs="宋体"/>
                <w:sz w:val="20"/>
                <w:szCs w:val="20"/>
              </w:rPr>
            </w:pPr>
            <w:r>
              <w:rPr>
                <w:rFonts w:ascii="宋体" w:hAnsi="宋体" w:eastAsia="宋体" w:cs="宋体"/>
                <w:spacing w:val="9"/>
                <w:sz w:val="20"/>
                <w:szCs w:val="20"/>
              </w:rPr>
              <w:t>评</w:t>
            </w:r>
            <w:r>
              <w:rPr>
                <w:rFonts w:ascii="宋体" w:hAnsi="宋体" w:eastAsia="宋体" w:cs="宋体"/>
                <w:spacing w:val="7"/>
                <w:sz w:val="20"/>
                <w:szCs w:val="20"/>
              </w:rPr>
              <w:t>价因子</w:t>
            </w:r>
          </w:p>
        </w:tc>
        <w:tc>
          <w:tcPr>
            <w:tcW w:w="1792" w:type="dxa"/>
            <w:vAlign w:val="top"/>
          </w:tcPr>
          <w:p w14:paraId="401A1409">
            <w:pPr>
              <w:spacing w:before="15" w:line="281" w:lineRule="exact"/>
              <w:ind w:left="153"/>
              <w:rPr>
                <w:rFonts w:ascii="宋体" w:hAnsi="宋体" w:eastAsia="宋体" w:cs="宋体"/>
                <w:sz w:val="20"/>
                <w:szCs w:val="20"/>
              </w:rPr>
            </w:pPr>
            <w:r>
              <w:rPr>
                <w:rFonts w:ascii="Times New Roman" w:hAnsi="Times New Roman" w:eastAsia="Times New Roman" w:cs="Times New Roman"/>
                <w:position w:val="1"/>
                <w:sz w:val="20"/>
                <w:szCs w:val="20"/>
              </w:rPr>
              <w:t>SO</w:t>
            </w:r>
            <w:r>
              <w:rPr>
                <w:rFonts w:ascii="Times New Roman" w:hAnsi="Times New Roman" w:eastAsia="Times New Roman" w:cs="Times New Roman"/>
                <w:spacing w:val="12"/>
                <w:sz w:val="13"/>
                <w:szCs w:val="13"/>
              </w:rPr>
              <w:t>2</w:t>
            </w:r>
            <w:r>
              <w:rPr>
                <w:rFonts w:ascii="Times New Roman" w:hAnsi="Times New Roman" w:eastAsia="Times New Roman" w:cs="Times New Roman"/>
                <w:spacing w:val="9"/>
                <w:position w:val="1"/>
                <w:sz w:val="20"/>
                <w:szCs w:val="20"/>
              </w:rPr>
              <w:t>+</w:t>
            </w:r>
            <w:r>
              <w:rPr>
                <w:rFonts w:ascii="Times New Roman" w:hAnsi="Times New Roman" w:eastAsia="Times New Roman" w:cs="Times New Roman"/>
                <w:position w:val="1"/>
                <w:sz w:val="20"/>
                <w:szCs w:val="20"/>
              </w:rPr>
              <w:t>NO</w:t>
            </w:r>
            <w:r>
              <w:rPr>
                <w:rFonts w:ascii="Times New Roman" w:hAnsi="Times New Roman" w:eastAsia="Times New Roman" w:cs="Times New Roman"/>
                <w:sz w:val="13"/>
                <w:szCs w:val="13"/>
              </w:rPr>
              <w:t>x</w:t>
            </w:r>
            <w:r>
              <w:rPr>
                <w:rFonts w:ascii="Times New Roman" w:hAnsi="Times New Roman" w:eastAsia="Times New Roman" w:cs="Times New Roman"/>
                <w:spacing w:val="9"/>
                <w:sz w:val="13"/>
                <w:szCs w:val="13"/>
              </w:rPr>
              <w:t xml:space="preserve"> </w:t>
            </w:r>
            <w:r>
              <w:rPr>
                <w:rFonts w:ascii="宋体" w:hAnsi="宋体" w:eastAsia="宋体" w:cs="宋体"/>
                <w:spacing w:val="9"/>
                <w:position w:val="1"/>
                <w:sz w:val="20"/>
                <w:szCs w:val="20"/>
              </w:rPr>
              <w:t>排放量</w:t>
            </w:r>
          </w:p>
        </w:tc>
        <w:tc>
          <w:tcPr>
            <w:tcW w:w="2519" w:type="dxa"/>
            <w:gridSpan w:val="6"/>
            <w:vAlign w:val="top"/>
          </w:tcPr>
          <w:p w14:paraId="14164ED9">
            <w:pPr>
              <w:spacing w:before="15" w:line="281" w:lineRule="exact"/>
              <w:ind w:left="820"/>
              <w:rPr>
                <w:rFonts w:ascii="Times New Roman" w:hAnsi="Times New Roman" w:eastAsia="Times New Roman" w:cs="Times New Roman"/>
                <w:sz w:val="20"/>
                <w:szCs w:val="20"/>
              </w:rPr>
            </w:pPr>
            <w:r>
              <w:rPr>
                <w:rFonts w:ascii="Times New Roman" w:hAnsi="Times New Roman" w:eastAsia="Times New Roman" w:cs="Times New Roman"/>
                <w:spacing w:val="9"/>
                <w:position w:val="2"/>
                <w:sz w:val="20"/>
                <w:szCs w:val="20"/>
              </w:rPr>
              <w:t>≥</w:t>
            </w:r>
            <w:r>
              <w:rPr>
                <w:rFonts w:ascii="Times New Roman" w:hAnsi="Times New Roman" w:eastAsia="Times New Roman" w:cs="Times New Roman"/>
                <w:spacing w:val="5"/>
                <w:position w:val="2"/>
                <w:sz w:val="20"/>
                <w:szCs w:val="20"/>
              </w:rPr>
              <w:t>2000</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5"/>
                <w:position w:val="2"/>
                <w:sz w:val="20"/>
                <w:szCs w:val="20"/>
              </w:rPr>
              <w:t>/</w:t>
            </w:r>
            <w:r>
              <w:rPr>
                <w:rFonts w:ascii="Times New Roman" w:hAnsi="Times New Roman" w:eastAsia="Times New Roman" w:cs="Times New Roman"/>
                <w:position w:val="2"/>
                <w:sz w:val="20"/>
                <w:szCs w:val="20"/>
              </w:rPr>
              <w:t>a</w:t>
            </w:r>
            <w:r>
              <w:rPr>
                <w:rFonts w:ascii="Times New Roman" w:hAnsi="Times New Roman" w:eastAsia="Times New Roman" w:cs="Times New Roman"/>
                <w:spacing w:val="5"/>
                <w:position w:val="2"/>
                <w:sz w:val="20"/>
                <w:szCs w:val="20"/>
              </w:rPr>
              <w:t>□</w:t>
            </w:r>
          </w:p>
        </w:tc>
        <w:tc>
          <w:tcPr>
            <w:tcW w:w="2520" w:type="dxa"/>
            <w:gridSpan w:val="4"/>
            <w:vAlign w:val="top"/>
          </w:tcPr>
          <w:p w14:paraId="04200C68">
            <w:pPr>
              <w:spacing w:before="15" w:line="281" w:lineRule="exact"/>
              <w:ind w:left="678"/>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5</w:t>
            </w:r>
            <w:r>
              <w:rPr>
                <w:rFonts w:ascii="Times New Roman" w:hAnsi="Times New Roman" w:eastAsia="Times New Roman" w:cs="Times New Roman"/>
                <w:spacing w:val="5"/>
                <w:position w:val="2"/>
                <w:sz w:val="20"/>
                <w:szCs w:val="20"/>
              </w:rPr>
              <w:t>0</w:t>
            </w:r>
            <w:r>
              <w:rPr>
                <w:rFonts w:ascii="Times New Roman" w:hAnsi="Times New Roman" w:eastAsia="Times New Roman" w:cs="Times New Roman"/>
                <w:spacing w:val="4"/>
                <w:position w:val="2"/>
                <w:sz w:val="20"/>
                <w:szCs w:val="20"/>
              </w:rPr>
              <w:t>0~2000</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position w:val="2"/>
                <w:sz w:val="20"/>
                <w:szCs w:val="20"/>
              </w:rPr>
              <w:t>a</w:t>
            </w:r>
            <w:r>
              <w:rPr>
                <w:rFonts w:ascii="Times New Roman" w:hAnsi="Times New Roman" w:eastAsia="Times New Roman" w:cs="Times New Roman"/>
                <w:spacing w:val="4"/>
                <w:position w:val="2"/>
                <w:sz w:val="20"/>
                <w:szCs w:val="20"/>
              </w:rPr>
              <w:t>□</w:t>
            </w:r>
          </w:p>
        </w:tc>
        <w:tc>
          <w:tcPr>
            <w:tcW w:w="2536" w:type="dxa"/>
            <w:gridSpan w:val="3"/>
            <w:tcBorders>
              <w:right w:val="single" w:color="000000" w:sz="10" w:space="0"/>
            </w:tcBorders>
            <w:vAlign w:val="top"/>
          </w:tcPr>
          <w:p w14:paraId="4750AA3E">
            <w:pPr>
              <w:spacing w:before="15" w:line="211" w:lineRule="auto"/>
              <w:ind w:left="831"/>
              <w:rPr>
                <w:rFonts w:ascii="微软雅黑" w:hAnsi="微软雅黑" w:eastAsia="微软雅黑" w:cs="微软雅黑"/>
                <w:sz w:val="20"/>
                <w:szCs w:val="20"/>
              </w:rPr>
            </w:pPr>
            <w:r>
              <w:rPr>
                <w:rFonts w:ascii="宋体" w:hAnsi="宋体" w:eastAsia="宋体" w:cs="宋体"/>
                <w:spacing w:val="8"/>
                <w:sz w:val="20"/>
                <w:szCs w:val="20"/>
              </w:rPr>
              <w:t>＜</w:t>
            </w:r>
            <w:r>
              <w:rPr>
                <w:rFonts w:ascii="Times New Roman" w:hAnsi="Times New Roman" w:eastAsia="Times New Roman" w:cs="Times New Roman"/>
                <w:spacing w:val="4"/>
                <w:sz w:val="20"/>
                <w:szCs w:val="20"/>
              </w:rPr>
              <w:t>500</w:t>
            </w:r>
            <w:r>
              <w:rPr>
                <w:rFonts w:ascii="Times New Roman" w:hAnsi="Times New Roman" w:eastAsia="Times New Roman" w:cs="Times New Roman"/>
                <w:sz w:val="20"/>
                <w:szCs w:val="20"/>
              </w:rPr>
              <w:t>t</w:t>
            </w:r>
            <w:r>
              <w:rPr>
                <w:rFonts w:ascii="Times New Roman" w:hAnsi="Times New Roman" w:eastAsia="Times New Roman" w:cs="Times New Roman"/>
                <w:spacing w:val="4"/>
                <w:sz w:val="20"/>
                <w:szCs w:val="20"/>
              </w:rPr>
              <w:t>/</w:t>
            </w:r>
            <w:r>
              <w:rPr>
                <w:rFonts w:ascii="Times New Roman" w:hAnsi="Times New Roman" w:eastAsia="Times New Roman" w:cs="Times New Roman"/>
                <w:sz w:val="20"/>
                <w:szCs w:val="20"/>
              </w:rPr>
              <w:t>a</w:t>
            </w:r>
            <w:r>
              <w:rPr>
                <w:rFonts w:ascii="微软雅黑" w:hAnsi="微软雅黑" w:eastAsia="微软雅黑" w:cs="微软雅黑"/>
                <w:spacing w:val="4"/>
                <w:sz w:val="20"/>
                <w:szCs w:val="20"/>
              </w:rPr>
              <w:t>团</w:t>
            </w:r>
          </w:p>
        </w:tc>
      </w:tr>
      <w:tr w14:paraId="5B36D7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44" w:type="dxa"/>
            <w:vMerge w:val="continue"/>
            <w:tcBorders>
              <w:top w:val="nil"/>
              <w:left w:val="single" w:color="000000" w:sz="10" w:space="0"/>
            </w:tcBorders>
            <w:vAlign w:val="top"/>
          </w:tcPr>
          <w:p w14:paraId="78B85E1F">
            <w:pPr>
              <w:rPr>
                <w:rFonts w:ascii="Arial"/>
                <w:sz w:val="21"/>
              </w:rPr>
            </w:pPr>
          </w:p>
        </w:tc>
        <w:tc>
          <w:tcPr>
            <w:tcW w:w="1792" w:type="dxa"/>
            <w:vAlign w:val="top"/>
          </w:tcPr>
          <w:p w14:paraId="3659C2EC">
            <w:pPr>
              <w:spacing w:before="208" w:line="226" w:lineRule="auto"/>
              <w:ind w:left="472"/>
              <w:rPr>
                <w:rFonts w:ascii="宋体" w:hAnsi="宋体" w:eastAsia="宋体" w:cs="宋体"/>
                <w:sz w:val="20"/>
                <w:szCs w:val="20"/>
              </w:rPr>
            </w:pPr>
            <w:r>
              <w:rPr>
                <w:rFonts w:ascii="宋体" w:hAnsi="宋体" w:eastAsia="宋体" w:cs="宋体"/>
                <w:spacing w:val="9"/>
                <w:sz w:val="20"/>
                <w:szCs w:val="20"/>
              </w:rPr>
              <w:t>评</w:t>
            </w:r>
            <w:r>
              <w:rPr>
                <w:rFonts w:ascii="宋体" w:hAnsi="宋体" w:eastAsia="宋体" w:cs="宋体"/>
                <w:spacing w:val="7"/>
                <w:sz w:val="20"/>
                <w:szCs w:val="20"/>
              </w:rPr>
              <w:t>价因子</w:t>
            </w:r>
          </w:p>
        </w:tc>
        <w:tc>
          <w:tcPr>
            <w:tcW w:w="3780" w:type="dxa"/>
            <w:gridSpan w:val="8"/>
            <w:vAlign w:val="top"/>
          </w:tcPr>
          <w:p w14:paraId="7BB51D7A">
            <w:pPr>
              <w:spacing w:before="52" w:line="227" w:lineRule="auto"/>
              <w:ind w:left="358"/>
              <w:rPr>
                <w:rFonts w:ascii="宋体" w:hAnsi="宋体" w:eastAsia="宋体" w:cs="宋体"/>
                <w:sz w:val="20"/>
                <w:szCs w:val="20"/>
              </w:rPr>
            </w:pPr>
            <w:r>
              <w:rPr>
                <w:rFonts w:ascii="宋体" w:hAnsi="宋体" w:eastAsia="宋体" w:cs="宋体"/>
                <w:spacing w:val="4"/>
                <w:sz w:val="20"/>
                <w:szCs w:val="20"/>
              </w:rPr>
              <w:t>基本污染物 (</w:t>
            </w:r>
            <w:r>
              <w:rPr>
                <w:rFonts w:ascii="Times New Roman" w:hAnsi="Times New Roman" w:eastAsia="Times New Roman" w:cs="Times New Roman"/>
                <w:sz w:val="20"/>
                <w:szCs w:val="20"/>
              </w:rPr>
              <w:t>PM</w:t>
            </w:r>
            <w:r>
              <w:rPr>
                <w:rFonts w:ascii="Times New Roman" w:hAnsi="Times New Roman" w:eastAsia="Times New Roman" w:cs="Times New Roman"/>
                <w:spacing w:val="4"/>
                <w:position w:val="-1"/>
                <w:sz w:val="13"/>
                <w:szCs w:val="13"/>
              </w:rPr>
              <w:t xml:space="preserve">10 </w:t>
            </w:r>
            <w:r>
              <w:rPr>
                <w:rFonts w:ascii="宋体" w:hAnsi="宋体" w:eastAsia="宋体" w:cs="宋体"/>
                <w:spacing w:val="4"/>
                <w:sz w:val="20"/>
                <w:szCs w:val="20"/>
              </w:rPr>
              <w:t>、</w:t>
            </w:r>
            <w:r>
              <w:rPr>
                <w:rFonts w:ascii="Times New Roman" w:hAnsi="Times New Roman" w:eastAsia="Times New Roman" w:cs="Times New Roman"/>
                <w:sz w:val="20"/>
                <w:szCs w:val="20"/>
              </w:rPr>
              <w:t>SO</w:t>
            </w:r>
            <w:r>
              <w:rPr>
                <w:rFonts w:ascii="Times New Roman" w:hAnsi="Times New Roman" w:eastAsia="Times New Roman" w:cs="Times New Roman"/>
                <w:spacing w:val="4"/>
                <w:position w:val="-1"/>
                <w:sz w:val="13"/>
                <w:szCs w:val="13"/>
              </w:rPr>
              <w:t xml:space="preserve">2 </w:t>
            </w:r>
            <w:r>
              <w:rPr>
                <w:rFonts w:ascii="宋体" w:hAnsi="宋体" w:eastAsia="宋体" w:cs="宋体"/>
                <w:spacing w:val="4"/>
                <w:sz w:val="20"/>
                <w:szCs w:val="20"/>
              </w:rPr>
              <w:t>、</w:t>
            </w:r>
            <w:r>
              <w:rPr>
                <w:rFonts w:ascii="Times New Roman" w:hAnsi="Times New Roman" w:eastAsia="Times New Roman" w:cs="Times New Roman"/>
                <w:sz w:val="20"/>
                <w:szCs w:val="20"/>
              </w:rPr>
              <w:t>NOx</w:t>
            </w:r>
            <w:r>
              <w:rPr>
                <w:rFonts w:ascii="宋体" w:hAnsi="宋体" w:eastAsia="宋体" w:cs="宋体"/>
                <w:spacing w:val="4"/>
                <w:sz w:val="20"/>
                <w:szCs w:val="20"/>
              </w:rPr>
              <w:t>)</w:t>
            </w:r>
          </w:p>
          <w:p w14:paraId="23C5656D">
            <w:pPr>
              <w:spacing w:before="66" w:line="228" w:lineRule="auto"/>
              <w:ind w:left="560"/>
              <w:rPr>
                <w:rFonts w:ascii="宋体" w:hAnsi="宋体" w:eastAsia="宋体" w:cs="宋体"/>
                <w:sz w:val="20"/>
                <w:szCs w:val="20"/>
              </w:rPr>
            </w:pPr>
            <w:r>
              <w:rPr>
                <w:rFonts w:ascii="宋体" w:hAnsi="宋体" w:eastAsia="宋体" w:cs="宋体"/>
                <w:spacing w:val="10"/>
                <w:sz w:val="20"/>
                <w:szCs w:val="20"/>
              </w:rPr>
              <w:t>其</w:t>
            </w:r>
            <w:r>
              <w:rPr>
                <w:rFonts w:ascii="宋体" w:hAnsi="宋体" w:eastAsia="宋体" w:cs="宋体"/>
                <w:spacing w:val="6"/>
                <w:sz w:val="20"/>
                <w:szCs w:val="20"/>
              </w:rPr>
              <w:t>他</w:t>
            </w:r>
            <w:r>
              <w:rPr>
                <w:rFonts w:ascii="宋体" w:hAnsi="宋体" w:eastAsia="宋体" w:cs="宋体"/>
                <w:spacing w:val="5"/>
                <w:sz w:val="20"/>
                <w:szCs w:val="20"/>
              </w:rPr>
              <w:t>污染物 (</w:t>
            </w:r>
            <w:r>
              <w:rPr>
                <w:rFonts w:ascii="Times New Roman" w:hAnsi="Times New Roman" w:eastAsia="Times New Roman" w:cs="Times New Roman"/>
                <w:sz w:val="20"/>
                <w:szCs w:val="20"/>
              </w:rPr>
              <w:t>TSP</w:t>
            </w:r>
            <w:r>
              <w:rPr>
                <w:rFonts w:ascii="Times New Roman" w:hAnsi="Times New Roman" w:eastAsia="Times New Roman" w:cs="Times New Roman"/>
                <w:spacing w:val="5"/>
                <w:sz w:val="20"/>
                <w:szCs w:val="20"/>
              </w:rPr>
              <w:t xml:space="preserve"> </w:t>
            </w:r>
            <w:r>
              <w:rPr>
                <w:rFonts w:ascii="宋体" w:hAnsi="宋体" w:eastAsia="宋体" w:cs="宋体"/>
                <w:spacing w:val="5"/>
                <w:sz w:val="20"/>
                <w:szCs w:val="20"/>
              </w:rPr>
              <w:t>、</w:t>
            </w:r>
            <w:r>
              <w:rPr>
                <w:rFonts w:ascii="Times New Roman" w:hAnsi="Times New Roman" w:eastAsia="Times New Roman" w:cs="Times New Roman"/>
                <w:sz w:val="20"/>
                <w:szCs w:val="20"/>
              </w:rPr>
              <w:t>NMHC</w:t>
            </w:r>
            <w:r>
              <w:rPr>
                <w:rFonts w:ascii="宋体" w:hAnsi="宋体" w:eastAsia="宋体" w:cs="宋体"/>
                <w:spacing w:val="5"/>
                <w:sz w:val="20"/>
                <w:szCs w:val="20"/>
              </w:rPr>
              <w:t>)</w:t>
            </w:r>
          </w:p>
        </w:tc>
        <w:tc>
          <w:tcPr>
            <w:tcW w:w="3795" w:type="dxa"/>
            <w:gridSpan w:val="5"/>
            <w:tcBorders>
              <w:right w:val="single" w:color="000000" w:sz="10" w:space="0"/>
            </w:tcBorders>
            <w:vAlign w:val="top"/>
          </w:tcPr>
          <w:p w14:paraId="2A7A6003">
            <w:pPr>
              <w:spacing w:before="52" w:line="312" w:lineRule="exact"/>
              <w:ind w:left="1114"/>
              <w:rPr>
                <w:rFonts w:ascii="Times New Roman" w:hAnsi="Times New Roman" w:eastAsia="Times New Roman" w:cs="Times New Roman"/>
                <w:sz w:val="20"/>
                <w:szCs w:val="20"/>
              </w:rPr>
            </w:pPr>
            <w:r>
              <w:rPr>
                <w:rFonts w:ascii="宋体" w:hAnsi="宋体" w:eastAsia="宋体" w:cs="宋体"/>
                <w:spacing w:val="2"/>
                <w:position w:val="7"/>
                <w:sz w:val="20"/>
                <w:szCs w:val="20"/>
              </w:rPr>
              <w:t xml:space="preserve">包括二次 </w:t>
            </w:r>
            <w:r>
              <w:rPr>
                <w:rFonts w:ascii="Times New Roman" w:hAnsi="Times New Roman" w:eastAsia="Times New Roman" w:cs="Times New Roman"/>
                <w:position w:val="7"/>
                <w:sz w:val="20"/>
                <w:szCs w:val="20"/>
              </w:rPr>
              <w:t>PM</w:t>
            </w:r>
            <w:r>
              <w:rPr>
                <w:rFonts w:ascii="Times New Roman" w:hAnsi="Times New Roman" w:eastAsia="Times New Roman" w:cs="Times New Roman"/>
                <w:spacing w:val="2"/>
                <w:position w:val="7"/>
                <w:sz w:val="20"/>
                <w:szCs w:val="20"/>
              </w:rPr>
              <w:t>2</w:t>
            </w:r>
            <w:r>
              <w:rPr>
                <w:rFonts w:ascii="Times New Roman" w:hAnsi="Times New Roman" w:eastAsia="Times New Roman" w:cs="Times New Roman"/>
                <w:spacing w:val="1"/>
                <w:position w:val="7"/>
                <w:sz w:val="20"/>
                <w:szCs w:val="20"/>
              </w:rPr>
              <w:t>.5□</w:t>
            </w:r>
          </w:p>
          <w:p w14:paraId="084948B9">
            <w:pPr>
              <w:spacing w:line="185" w:lineRule="auto"/>
              <w:ind w:left="981"/>
              <w:rPr>
                <w:rFonts w:ascii="微软雅黑" w:hAnsi="微软雅黑" w:eastAsia="微软雅黑" w:cs="微软雅黑"/>
                <w:sz w:val="20"/>
                <w:szCs w:val="20"/>
              </w:rPr>
            </w:pPr>
            <w:r>
              <w:rPr>
                <w:rFonts w:ascii="宋体" w:hAnsi="宋体" w:eastAsia="宋体" w:cs="宋体"/>
                <w:spacing w:val="2"/>
                <w:sz w:val="20"/>
                <w:szCs w:val="20"/>
              </w:rPr>
              <w:t xml:space="preserve">不包括二次 </w:t>
            </w:r>
            <w:r>
              <w:rPr>
                <w:rFonts w:ascii="Times New Roman" w:hAnsi="Times New Roman" w:eastAsia="Times New Roman" w:cs="Times New Roman"/>
                <w:sz w:val="20"/>
                <w:szCs w:val="20"/>
              </w:rPr>
              <w:t>PM</w:t>
            </w:r>
            <w:r>
              <w:rPr>
                <w:rFonts w:ascii="Times New Roman" w:hAnsi="Times New Roman" w:eastAsia="Times New Roman" w:cs="Times New Roman"/>
                <w:spacing w:val="1"/>
                <w:sz w:val="20"/>
                <w:szCs w:val="20"/>
              </w:rPr>
              <w:t>2.5</w:t>
            </w:r>
            <w:r>
              <w:rPr>
                <w:rFonts w:ascii="微软雅黑" w:hAnsi="微软雅黑" w:eastAsia="微软雅黑" w:cs="微软雅黑"/>
                <w:spacing w:val="1"/>
                <w:sz w:val="20"/>
                <w:szCs w:val="20"/>
              </w:rPr>
              <w:t>团</w:t>
            </w:r>
          </w:p>
        </w:tc>
      </w:tr>
      <w:tr w14:paraId="11D2CE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44" w:type="dxa"/>
            <w:tcBorders>
              <w:left w:val="single" w:color="000000" w:sz="10" w:space="0"/>
            </w:tcBorders>
            <w:vAlign w:val="top"/>
          </w:tcPr>
          <w:p w14:paraId="43F8D722">
            <w:pPr>
              <w:spacing w:before="52" w:line="226" w:lineRule="auto"/>
              <w:ind w:left="92"/>
              <w:rPr>
                <w:rFonts w:ascii="宋体" w:hAnsi="宋体" w:eastAsia="宋体" w:cs="宋体"/>
                <w:sz w:val="20"/>
                <w:szCs w:val="20"/>
              </w:rPr>
            </w:pPr>
            <w:r>
              <w:rPr>
                <w:rFonts w:ascii="宋体" w:hAnsi="宋体" w:eastAsia="宋体" w:cs="宋体"/>
                <w:spacing w:val="9"/>
                <w:sz w:val="20"/>
                <w:szCs w:val="20"/>
              </w:rPr>
              <w:t>评</w:t>
            </w:r>
            <w:r>
              <w:rPr>
                <w:rFonts w:ascii="宋体" w:hAnsi="宋体" w:eastAsia="宋体" w:cs="宋体"/>
                <w:spacing w:val="7"/>
                <w:sz w:val="20"/>
                <w:szCs w:val="20"/>
              </w:rPr>
              <w:t>价标准</w:t>
            </w:r>
          </w:p>
        </w:tc>
        <w:tc>
          <w:tcPr>
            <w:tcW w:w="1792" w:type="dxa"/>
            <w:vAlign w:val="top"/>
          </w:tcPr>
          <w:p w14:paraId="0064EE03">
            <w:pPr>
              <w:spacing w:before="52" w:line="226" w:lineRule="auto"/>
              <w:ind w:left="472"/>
              <w:rPr>
                <w:rFonts w:ascii="宋体" w:hAnsi="宋体" w:eastAsia="宋体" w:cs="宋体"/>
                <w:sz w:val="20"/>
                <w:szCs w:val="20"/>
              </w:rPr>
            </w:pPr>
            <w:r>
              <w:rPr>
                <w:rFonts w:ascii="宋体" w:hAnsi="宋体" w:eastAsia="宋体" w:cs="宋体"/>
                <w:spacing w:val="9"/>
                <w:sz w:val="20"/>
                <w:szCs w:val="20"/>
              </w:rPr>
              <w:t>评</w:t>
            </w:r>
            <w:r>
              <w:rPr>
                <w:rFonts w:ascii="宋体" w:hAnsi="宋体" w:eastAsia="宋体" w:cs="宋体"/>
                <w:spacing w:val="7"/>
                <w:sz w:val="20"/>
                <w:szCs w:val="20"/>
              </w:rPr>
              <w:t>价标准</w:t>
            </w:r>
          </w:p>
        </w:tc>
        <w:tc>
          <w:tcPr>
            <w:tcW w:w="1890" w:type="dxa"/>
            <w:gridSpan w:val="4"/>
            <w:vAlign w:val="top"/>
          </w:tcPr>
          <w:p w14:paraId="753FF1E0">
            <w:pPr>
              <w:spacing w:before="52" w:line="185" w:lineRule="auto"/>
              <w:ind w:left="453"/>
              <w:rPr>
                <w:rFonts w:ascii="微软雅黑" w:hAnsi="微软雅黑" w:eastAsia="微软雅黑" w:cs="微软雅黑"/>
                <w:sz w:val="20"/>
                <w:szCs w:val="20"/>
              </w:rPr>
            </w:pPr>
            <w:r>
              <w:rPr>
                <w:rFonts w:ascii="宋体" w:hAnsi="宋体" w:eastAsia="宋体" w:cs="宋体"/>
                <w:spacing w:val="2"/>
                <w:sz w:val="20"/>
                <w:szCs w:val="20"/>
              </w:rPr>
              <w:t>国家标准</w:t>
            </w:r>
            <w:r>
              <w:rPr>
                <w:rFonts w:ascii="微软雅黑" w:hAnsi="微软雅黑" w:eastAsia="微软雅黑" w:cs="微软雅黑"/>
                <w:spacing w:val="1"/>
                <w:sz w:val="20"/>
                <w:szCs w:val="20"/>
              </w:rPr>
              <w:t>团</w:t>
            </w:r>
          </w:p>
        </w:tc>
        <w:tc>
          <w:tcPr>
            <w:tcW w:w="1890" w:type="dxa"/>
            <w:gridSpan w:val="4"/>
            <w:vAlign w:val="top"/>
          </w:tcPr>
          <w:p w14:paraId="268140FC">
            <w:pPr>
              <w:spacing w:before="52" w:line="223" w:lineRule="auto"/>
              <w:ind w:left="438"/>
              <w:rPr>
                <w:sz w:val="20"/>
                <w:szCs w:val="20"/>
              </w:rPr>
            </w:pPr>
            <w:r>
              <w:rPr>
                <w:rFonts w:ascii="宋体" w:hAnsi="宋体" w:eastAsia="宋体" w:cs="宋体"/>
                <w:spacing w:val="8"/>
                <w:sz w:val="20"/>
                <w:szCs w:val="20"/>
              </w:rPr>
              <w:t>地</w:t>
            </w:r>
            <w:r>
              <w:rPr>
                <w:rFonts w:ascii="宋体" w:hAnsi="宋体" w:eastAsia="宋体" w:cs="宋体"/>
                <w:spacing w:val="7"/>
                <w:sz w:val="20"/>
                <w:szCs w:val="20"/>
              </w:rPr>
              <w:t>方标准</w:t>
            </w:r>
            <w:r>
              <w:rPr>
                <w:position w:val="-4"/>
                <w:sz w:val="20"/>
                <w:szCs w:val="20"/>
              </w:rPr>
              <w:drawing>
                <wp:inline distT="0" distB="0" distL="0" distR="0">
                  <wp:extent cx="107950" cy="139700"/>
                  <wp:effectExtent l="0" t="0" r="0" b="0"/>
                  <wp:docPr id="251" name="IM 251"/>
                  <wp:cNvGraphicFramePr/>
                  <a:graphic xmlns:a="http://schemas.openxmlformats.org/drawingml/2006/main">
                    <a:graphicData uri="http://schemas.openxmlformats.org/drawingml/2006/picture">
                      <pic:pic xmlns:pic="http://schemas.openxmlformats.org/drawingml/2006/picture">
                        <pic:nvPicPr>
                          <pic:cNvPr id="251" name="IM 251"/>
                          <pic:cNvPicPr/>
                        </pic:nvPicPr>
                        <pic:blipFill>
                          <a:blip r:embed="rId603"/>
                          <a:stretch>
                            <a:fillRect/>
                          </a:stretch>
                        </pic:blipFill>
                        <pic:spPr>
                          <a:xfrm>
                            <a:off x="0" y="0"/>
                            <a:ext cx="108509" cy="139748"/>
                          </a:xfrm>
                          <a:prstGeom prst="rect">
                            <a:avLst/>
                          </a:prstGeom>
                        </pic:spPr>
                      </pic:pic>
                    </a:graphicData>
                  </a:graphic>
                </wp:inline>
              </w:drawing>
            </w:r>
          </w:p>
        </w:tc>
        <w:tc>
          <w:tcPr>
            <w:tcW w:w="1986" w:type="dxa"/>
            <w:gridSpan w:val="3"/>
            <w:vAlign w:val="top"/>
          </w:tcPr>
          <w:p w14:paraId="00A1173F">
            <w:pPr>
              <w:spacing w:before="52" w:line="223" w:lineRule="auto"/>
              <w:ind w:left="614"/>
              <w:rPr>
                <w:sz w:val="20"/>
                <w:szCs w:val="20"/>
              </w:rPr>
            </w:pPr>
            <w:r>
              <w:rPr>
                <w:rFonts w:ascii="宋体" w:hAnsi="宋体" w:eastAsia="宋体" w:cs="宋体"/>
                <w:spacing w:val="27"/>
                <w:sz w:val="20"/>
                <w:szCs w:val="20"/>
              </w:rPr>
              <w:t>附录</w:t>
            </w:r>
            <w:r>
              <w:rPr>
                <w:rFonts w:ascii="Times New Roman" w:hAnsi="Times New Roman" w:eastAsia="Times New Roman" w:cs="Times New Roman"/>
                <w:sz w:val="20"/>
                <w:szCs w:val="20"/>
              </w:rPr>
              <w:t>D</w:t>
            </w:r>
            <w:r>
              <w:rPr>
                <w:position w:val="-4"/>
                <w:sz w:val="20"/>
                <w:szCs w:val="20"/>
              </w:rPr>
              <w:drawing>
                <wp:inline distT="0" distB="0" distL="0" distR="0">
                  <wp:extent cx="106680" cy="139700"/>
                  <wp:effectExtent l="0" t="0" r="0" b="0"/>
                  <wp:docPr id="252" name="IM 252"/>
                  <wp:cNvGraphicFramePr/>
                  <a:graphic xmlns:a="http://schemas.openxmlformats.org/drawingml/2006/main">
                    <a:graphicData uri="http://schemas.openxmlformats.org/drawingml/2006/picture">
                      <pic:pic xmlns:pic="http://schemas.openxmlformats.org/drawingml/2006/picture">
                        <pic:nvPicPr>
                          <pic:cNvPr id="252" name="IM 252"/>
                          <pic:cNvPicPr/>
                        </pic:nvPicPr>
                        <pic:blipFill>
                          <a:blip r:embed="rId540"/>
                          <a:stretch>
                            <a:fillRect/>
                          </a:stretch>
                        </pic:blipFill>
                        <pic:spPr>
                          <a:xfrm>
                            <a:off x="0" y="0"/>
                            <a:ext cx="107292" cy="139748"/>
                          </a:xfrm>
                          <a:prstGeom prst="rect">
                            <a:avLst/>
                          </a:prstGeom>
                        </pic:spPr>
                      </pic:pic>
                    </a:graphicData>
                  </a:graphic>
                </wp:inline>
              </w:drawing>
            </w:r>
          </w:p>
        </w:tc>
        <w:tc>
          <w:tcPr>
            <w:tcW w:w="1809" w:type="dxa"/>
            <w:gridSpan w:val="2"/>
            <w:tcBorders>
              <w:right w:val="single" w:color="000000" w:sz="10" w:space="0"/>
            </w:tcBorders>
            <w:vAlign w:val="top"/>
          </w:tcPr>
          <w:p w14:paraId="69CA270A">
            <w:pPr>
              <w:spacing w:before="52" w:line="228" w:lineRule="auto"/>
              <w:ind w:left="430"/>
              <w:rPr>
                <w:rFonts w:ascii="Times New Roman" w:hAnsi="Times New Roman" w:eastAsia="Times New Roman" w:cs="Times New Roman"/>
                <w:sz w:val="20"/>
                <w:szCs w:val="20"/>
              </w:rPr>
            </w:pPr>
            <w:r>
              <w:rPr>
                <w:rFonts w:ascii="宋体" w:hAnsi="宋体" w:eastAsia="宋体" w:cs="宋体"/>
                <w:spacing w:val="8"/>
                <w:sz w:val="20"/>
                <w:szCs w:val="20"/>
              </w:rPr>
              <w:t>其</w:t>
            </w:r>
            <w:r>
              <w:rPr>
                <w:rFonts w:ascii="宋体" w:hAnsi="宋体" w:eastAsia="宋体" w:cs="宋体"/>
                <w:spacing w:val="7"/>
                <w:sz w:val="20"/>
                <w:szCs w:val="20"/>
              </w:rPr>
              <w:t>他标准</w:t>
            </w:r>
            <w:r>
              <w:rPr>
                <w:rFonts w:ascii="Times New Roman" w:hAnsi="Times New Roman" w:eastAsia="Times New Roman" w:cs="Times New Roman"/>
                <w:spacing w:val="7"/>
                <w:sz w:val="20"/>
                <w:szCs w:val="20"/>
              </w:rPr>
              <w:t>□</w:t>
            </w:r>
          </w:p>
        </w:tc>
      </w:tr>
      <w:tr w14:paraId="7827D1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44" w:type="dxa"/>
            <w:vMerge w:val="restart"/>
            <w:tcBorders>
              <w:left w:val="single" w:color="000000" w:sz="10" w:space="0"/>
              <w:bottom w:val="nil"/>
            </w:tcBorders>
            <w:vAlign w:val="top"/>
          </w:tcPr>
          <w:p w14:paraId="1DF979CE">
            <w:pPr>
              <w:spacing w:line="311" w:lineRule="auto"/>
              <w:rPr>
                <w:rFonts w:ascii="Arial"/>
                <w:sz w:val="21"/>
              </w:rPr>
            </w:pPr>
          </w:p>
          <w:p w14:paraId="0DD6A3DA">
            <w:pPr>
              <w:spacing w:line="312" w:lineRule="auto"/>
              <w:rPr>
                <w:rFonts w:ascii="Arial"/>
                <w:sz w:val="21"/>
              </w:rPr>
            </w:pPr>
          </w:p>
          <w:p w14:paraId="3005668E">
            <w:pPr>
              <w:spacing w:before="65" w:line="226" w:lineRule="auto"/>
              <w:ind w:left="95"/>
              <w:rPr>
                <w:rFonts w:ascii="宋体" w:hAnsi="宋体" w:eastAsia="宋体" w:cs="宋体"/>
                <w:sz w:val="20"/>
                <w:szCs w:val="20"/>
              </w:rPr>
            </w:pPr>
            <w:r>
              <w:rPr>
                <w:rFonts w:ascii="宋体" w:hAnsi="宋体" w:eastAsia="宋体" w:cs="宋体"/>
                <w:spacing w:val="7"/>
                <w:sz w:val="20"/>
                <w:szCs w:val="20"/>
              </w:rPr>
              <w:t>现状评</w:t>
            </w:r>
            <w:r>
              <w:rPr>
                <w:rFonts w:ascii="宋体" w:hAnsi="宋体" w:eastAsia="宋体" w:cs="宋体"/>
                <w:spacing w:val="6"/>
                <w:sz w:val="20"/>
                <w:szCs w:val="20"/>
              </w:rPr>
              <w:t>价</w:t>
            </w:r>
          </w:p>
        </w:tc>
        <w:tc>
          <w:tcPr>
            <w:tcW w:w="1792" w:type="dxa"/>
            <w:vAlign w:val="top"/>
          </w:tcPr>
          <w:p w14:paraId="5EB2F855">
            <w:pPr>
              <w:spacing w:before="52" w:line="228" w:lineRule="auto"/>
              <w:ind w:left="367"/>
              <w:rPr>
                <w:rFonts w:ascii="宋体" w:hAnsi="宋体" w:eastAsia="宋体" w:cs="宋体"/>
                <w:sz w:val="20"/>
                <w:szCs w:val="20"/>
              </w:rPr>
            </w:pPr>
            <w:r>
              <w:rPr>
                <w:rFonts w:ascii="宋体" w:hAnsi="宋体" w:eastAsia="宋体" w:cs="宋体"/>
                <w:spacing w:val="8"/>
                <w:sz w:val="20"/>
                <w:szCs w:val="20"/>
              </w:rPr>
              <w:t>环境功能区</w:t>
            </w:r>
          </w:p>
        </w:tc>
        <w:tc>
          <w:tcPr>
            <w:tcW w:w="2519" w:type="dxa"/>
            <w:gridSpan w:val="6"/>
            <w:vAlign w:val="top"/>
          </w:tcPr>
          <w:p w14:paraId="5FA4C88D">
            <w:pPr>
              <w:spacing w:before="51" w:line="228" w:lineRule="auto"/>
              <w:ind w:left="887"/>
              <w:rPr>
                <w:rFonts w:ascii="Times New Roman" w:hAnsi="Times New Roman" w:eastAsia="Times New Roman" w:cs="Times New Roman"/>
                <w:sz w:val="20"/>
                <w:szCs w:val="20"/>
              </w:rPr>
            </w:pPr>
            <w:r>
              <w:rPr>
                <w:rFonts w:ascii="宋体" w:hAnsi="宋体" w:eastAsia="宋体" w:cs="宋体"/>
                <w:spacing w:val="7"/>
                <w:sz w:val="20"/>
                <w:szCs w:val="20"/>
              </w:rPr>
              <w:t>一</w:t>
            </w:r>
            <w:r>
              <w:rPr>
                <w:rFonts w:ascii="宋体" w:hAnsi="宋体" w:eastAsia="宋体" w:cs="宋体"/>
                <w:spacing w:val="6"/>
                <w:sz w:val="20"/>
                <w:szCs w:val="20"/>
              </w:rPr>
              <w:t>类区</w:t>
            </w:r>
            <w:r>
              <w:rPr>
                <w:rFonts w:ascii="Times New Roman" w:hAnsi="Times New Roman" w:eastAsia="Times New Roman" w:cs="Times New Roman"/>
                <w:spacing w:val="6"/>
                <w:sz w:val="20"/>
                <w:szCs w:val="20"/>
              </w:rPr>
              <w:t>□</w:t>
            </w:r>
          </w:p>
        </w:tc>
        <w:tc>
          <w:tcPr>
            <w:tcW w:w="2520" w:type="dxa"/>
            <w:gridSpan w:val="4"/>
            <w:vAlign w:val="top"/>
          </w:tcPr>
          <w:p w14:paraId="691CE172">
            <w:pPr>
              <w:spacing w:before="51" w:line="186" w:lineRule="auto"/>
              <w:ind w:left="864"/>
              <w:rPr>
                <w:rFonts w:ascii="微软雅黑" w:hAnsi="微软雅黑" w:eastAsia="微软雅黑" w:cs="微软雅黑"/>
                <w:sz w:val="20"/>
                <w:szCs w:val="20"/>
              </w:rPr>
            </w:pPr>
            <w:r>
              <w:rPr>
                <w:rFonts w:ascii="宋体" w:hAnsi="宋体" w:eastAsia="宋体" w:cs="宋体"/>
                <w:spacing w:val="5"/>
                <w:sz w:val="20"/>
                <w:szCs w:val="20"/>
              </w:rPr>
              <w:t>二</w:t>
            </w:r>
            <w:r>
              <w:rPr>
                <w:rFonts w:ascii="宋体" w:hAnsi="宋体" w:eastAsia="宋体" w:cs="宋体"/>
                <w:spacing w:val="4"/>
                <w:sz w:val="20"/>
                <w:szCs w:val="20"/>
              </w:rPr>
              <w:t>类区</w:t>
            </w:r>
            <w:r>
              <w:rPr>
                <w:rFonts w:ascii="微软雅黑" w:hAnsi="微软雅黑" w:eastAsia="微软雅黑" w:cs="微软雅黑"/>
                <w:spacing w:val="4"/>
                <w:sz w:val="20"/>
                <w:szCs w:val="20"/>
              </w:rPr>
              <w:t>团</w:t>
            </w:r>
          </w:p>
        </w:tc>
        <w:tc>
          <w:tcPr>
            <w:tcW w:w="2536" w:type="dxa"/>
            <w:gridSpan w:val="3"/>
            <w:tcBorders>
              <w:right w:val="single" w:color="000000" w:sz="10" w:space="0"/>
            </w:tcBorders>
            <w:vAlign w:val="top"/>
          </w:tcPr>
          <w:p w14:paraId="0B0C79C7">
            <w:pPr>
              <w:spacing w:before="51" w:line="228" w:lineRule="auto"/>
              <w:ind w:left="482"/>
              <w:rPr>
                <w:rFonts w:ascii="Times New Roman" w:hAnsi="Times New Roman" w:eastAsia="Times New Roman" w:cs="Times New Roman"/>
                <w:sz w:val="20"/>
                <w:szCs w:val="20"/>
              </w:rPr>
            </w:pPr>
            <w:r>
              <w:rPr>
                <w:rFonts w:ascii="宋体" w:hAnsi="宋体" w:eastAsia="宋体" w:cs="宋体"/>
                <w:spacing w:val="8"/>
                <w:sz w:val="20"/>
                <w:szCs w:val="20"/>
              </w:rPr>
              <w:t>一类区和二类区</w:t>
            </w:r>
            <w:r>
              <w:rPr>
                <w:rFonts w:ascii="Times New Roman" w:hAnsi="Times New Roman" w:eastAsia="Times New Roman" w:cs="Times New Roman"/>
                <w:spacing w:val="6"/>
                <w:sz w:val="20"/>
                <w:szCs w:val="20"/>
              </w:rPr>
              <w:t>□</w:t>
            </w:r>
          </w:p>
        </w:tc>
      </w:tr>
      <w:tr w14:paraId="1C65C9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44" w:type="dxa"/>
            <w:vMerge w:val="continue"/>
            <w:tcBorders>
              <w:top w:val="nil"/>
              <w:left w:val="single" w:color="000000" w:sz="10" w:space="0"/>
              <w:bottom w:val="nil"/>
            </w:tcBorders>
            <w:vAlign w:val="top"/>
          </w:tcPr>
          <w:p w14:paraId="3D586F37">
            <w:pPr>
              <w:rPr>
                <w:rFonts w:ascii="Arial"/>
                <w:sz w:val="21"/>
              </w:rPr>
            </w:pPr>
          </w:p>
        </w:tc>
        <w:tc>
          <w:tcPr>
            <w:tcW w:w="1792" w:type="dxa"/>
            <w:vAlign w:val="top"/>
          </w:tcPr>
          <w:p w14:paraId="4AF0F513">
            <w:pPr>
              <w:spacing w:before="51" w:line="226" w:lineRule="auto"/>
              <w:ind w:left="366"/>
              <w:rPr>
                <w:rFonts w:ascii="宋体" w:hAnsi="宋体" w:eastAsia="宋体" w:cs="宋体"/>
                <w:sz w:val="20"/>
                <w:szCs w:val="20"/>
              </w:rPr>
            </w:pPr>
            <w:r>
              <w:rPr>
                <w:rFonts w:ascii="宋体" w:hAnsi="宋体" w:eastAsia="宋体" w:cs="宋体"/>
                <w:spacing w:val="9"/>
                <w:sz w:val="20"/>
                <w:szCs w:val="20"/>
              </w:rPr>
              <w:t>评</w:t>
            </w:r>
            <w:r>
              <w:rPr>
                <w:rFonts w:ascii="宋体" w:hAnsi="宋体" w:eastAsia="宋体" w:cs="宋体"/>
                <w:spacing w:val="8"/>
                <w:sz w:val="20"/>
                <w:szCs w:val="20"/>
              </w:rPr>
              <w:t>价基准年</w:t>
            </w:r>
          </w:p>
        </w:tc>
        <w:tc>
          <w:tcPr>
            <w:tcW w:w="7575" w:type="dxa"/>
            <w:gridSpan w:val="13"/>
            <w:tcBorders>
              <w:right w:val="single" w:color="000000" w:sz="10" w:space="0"/>
            </w:tcBorders>
            <w:vAlign w:val="top"/>
          </w:tcPr>
          <w:p w14:paraId="22630B93">
            <w:pPr>
              <w:spacing w:before="50" w:line="228" w:lineRule="auto"/>
              <w:ind w:left="3275"/>
              <w:rPr>
                <w:rFonts w:ascii="宋体" w:hAnsi="宋体" w:eastAsia="宋体" w:cs="宋体"/>
                <w:sz w:val="20"/>
                <w:szCs w:val="20"/>
              </w:rPr>
            </w:pPr>
            <w:r>
              <w:rPr>
                <w:rFonts w:ascii="宋体" w:hAnsi="宋体" w:eastAsia="宋体" w:cs="宋体"/>
                <w:spacing w:val="16"/>
                <w:sz w:val="20"/>
                <w:szCs w:val="20"/>
              </w:rPr>
              <w:t>(</w:t>
            </w:r>
            <w:r>
              <w:rPr>
                <w:rFonts w:ascii="Times New Roman" w:hAnsi="Times New Roman" w:eastAsia="Times New Roman" w:cs="Times New Roman"/>
                <w:spacing w:val="16"/>
                <w:sz w:val="20"/>
                <w:szCs w:val="20"/>
              </w:rPr>
              <w:t>2018</w:t>
            </w:r>
            <w:r>
              <w:rPr>
                <w:rFonts w:ascii="宋体" w:hAnsi="宋体" w:eastAsia="宋体" w:cs="宋体"/>
                <w:spacing w:val="16"/>
                <w:sz w:val="20"/>
                <w:szCs w:val="20"/>
              </w:rPr>
              <w:t>) 年</w:t>
            </w:r>
          </w:p>
        </w:tc>
      </w:tr>
      <w:tr w14:paraId="066654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44" w:type="dxa"/>
            <w:vMerge w:val="continue"/>
            <w:tcBorders>
              <w:top w:val="nil"/>
              <w:left w:val="single" w:color="000000" w:sz="10" w:space="0"/>
              <w:bottom w:val="nil"/>
            </w:tcBorders>
            <w:vAlign w:val="top"/>
          </w:tcPr>
          <w:p w14:paraId="5BEDC4B9">
            <w:pPr>
              <w:rPr>
                <w:rFonts w:ascii="Arial"/>
                <w:sz w:val="21"/>
              </w:rPr>
            </w:pPr>
          </w:p>
        </w:tc>
        <w:tc>
          <w:tcPr>
            <w:tcW w:w="1792" w:type="dxa"/>
            <w:vAlign w:val="top"/>
          </w:tcPr>
          <w:p w14:paraId="154022E6">
            <w:pPr>
              <w:spacing w:before="52" w:line="258" w:lineRule="auto"/>
              <w:ind w:left="264" w:right="64" w:hanging="212"/>
              <w:rPr>
                <w:rFonts w:ascii="宋体" w:hAnsi="宋体" w:eastAsia="宋体" w:cs="宋体"/>
                <w:sz w:val="20"/>
                <w:szCs w:val="20"/>
              </w:rPr>
            </w:pPr>
            <w:r>
              <w:rPr>
                <w:rFonts w:ascii="宋体" w:hAnsi="宋体" w:eastAsia="宋体" w:cs="宋体"/>
                <w:spacing w:val="13"/>
                <w:sz w:val="20"/>
                <w:szCs w:val="20"/>
              </w:rPr>
              <w:t>环</w:t>
            </w:r>
            <w:r>
              <w:rPr>
                <w:rFonts w:ascii="宋体" w:hAnsi="宋体" w:eastAsia="宋体" w:cs="宋体"/>
                <w:spacing w:val="8"/>
                <w:sz w:val="20"/>
                <w:szCs w:val="20"/>
              </w:rPr>
              <w:t>境空气质量现状</w:t>
            </w:r>
            <w:r>
              <w:rPr>
                <w:rFonts w:ascii="宋体" w:hAnsi="宋体" w:eastAsia="宋体" w:cs="宋体"/>
                <w:sz w:val="20"/>
                <w:szCs w:val="20"/>
              </w:rPr>
              <w:t xml:space="preserve"> </w:t>
            </w:r>
            <w:r>
              <w:rPr>
                <w:rFonts w:ascii="宋体" w:hAnsi="宋体" w:eastAsia="宋体" w:cs="宋体"/>
                <w:spacing w:val="8"/>
                <w:sz w:val="20"/>
                <w:szCs w:val="20"/>
              </w:rPr>
              <w:t>调查数据来</w:t>
            </w:r>
            <w:r>
              <w:rPr>
                <w:rFonts w:ascii="宋体" w:hAnsi="宋体" w:eastAsia="宋体" w:cs="宋体"/>
                <w:spacing w:val="7"/>
                <w:sz w:val="20"/>
                <w:szCs w:val="20"/>
              </w:rPr>
              <w:t>源</w:t>
            </w:r>
          </w:p>
        </w:tc>
        <w:tc>
          <w:tcPr>
            <w:tcW w:w="2519" w:type="dxa"/>
            <w:gridSpan w:val="6"/>
            <w:vAlign w:val="top"/>
          </w:tcPr>
          <w:p w14:paraId="0087F0BC">
            <w:pPr>
              <w:spacing w:before="209" w:line="192" w:lineRule="auto"/>
              <w:ind w:left="328"/>
              <w:rPr>
                <w:rFonts w:ascii="微软雅黑" w:hAnsi="微软雅黑" w:eastAsia="微软雅黑" w:cs="微软雅黑"/>
                <w:sz w:val="20"/>
                <w:szCs w:val="20"/>
              </w:rPr>
            </w:pPr>
            <w:r>
              <w:rPr>
                <w:rFonts w:ascii="宋体" w:hAnsi="宋体" w:eastAsia="宋体" w:cs="宋体"/>
                <w:spacing w:val="12"/>
                <w:sz w:val="20"/>
                <w:szCs w:val="20"/>
              </w:rPr>
              <w:t>长</w:t>
            </w:r>
            <w:r>
              <w:rPr>
                <w:rFonts w:ascii="宋体" w:hAnsi="宋体" w:eastAsia="宋体" w:cs="宋体"/>
                <w:spacing w:val="7"/>
                <w:sz w:val="20"/>
                <w:szCs w:val="20"/>
              </w:rPr>
              <w:t>期例行监测数据</w:t>
            </w:r>
            <w:r>
              <w:rPr>
                <w:rFonts w:ascii="微软雅黑" w:hAnsi="微软雅黑" w:eastAsia="微软雅黑" w:cs="微软雅黑"/>
                <w:spacing w:val="7"/>
                <w:sz w:val="20"/>
                <w:szCs w:val="20"/>
              </w:rPr>
              <w:t>团</w:t>
            </w:r>
          </w:p>
        </w:tc>
        <w:tc>
          <w:tcPr>
            <w:tcW w:w="2520" w:type="dxa"/>
            <w:gridSpan w:val="4"/>
            <w:vAlign w:val="top"/>
          </w:tcPr>
          <w:p w14:paraId="04B88773">
            <w:pPr>
              <w:spacing w:before="209" w:line="221" w:lineRule="auto"/>
              <w:ind w:left="231"/>
              <w:rPr>
                <w:sz w:val="20"/>
                <w:szCs w:val="20"/>
              </w:rPr>
            </w:pPr>
            <w:r>
              <w:rPr>
                <w:rFonts w:ascii="宋体" w:hAnsi="宋体" w:eastAsia="宋体" w:cs="宋体"/>
                <w:spacing w:val="15"/>
                <w:sz w:val="20"/>
                <w:szCs w:val="20"/>
              </w:rPr>
              <w:t>主</w:t>
            </w:r>
            <w:r>
              <w:rPr>
                <w:rFonts w:ascii="宋体" w:hAnsi="宋体" w:eastAsia="宋体" w:cs="宋体"/>
                <w:spacing w:val="8"/>
                <w:sz w:val="20"/>
                <w:szCs w:val="20"/>
              </w:rPr>
              <w:t>管部门发布的数据</w:t>
            </w:r>
            <w:r>
              <w:rPr>
                <w:position w:val="-4"/>
                <w:sz w:val="20"/>
                <w:szCs w:val="20"/>
              </w:rPr>
              <w:drawing>
                <wp:inline distT="0" distB="0" distL="0" distR="0">
                  <wp:extent cx="107950" cy="139700"/>
                  <wp:effectExtent l="0" t="0" r="0" b="0"/>
                  <wp:docPr id="253" name="IM 253"/>
                  <wp:cNvGraphicFramePr/>
                  <a:graphic xmlns:a="http://schemas.openxmlformats.org/drawingml/2006/main">
                    <a:graphicData uri="http://schemas.openxmlformats.org/drawingml/2006/picture">
                      <pic:pic xmlns:pic="http://schemas.openxmlformats.org/drawingml/2006/picture">
                        <pic:nvPicPr>
                          <pic:cNvPr id="253" name="IM 253"/>
                          <pic:cNvPicPr/>
                        </pic:nvPicPr>
                        <pic:blipFill>
                          <a:blip r:embed="rId536"/>
                          <a:stretch>
                            <a:fillRect/>
                          </a:stretch>
                        </pic:blipFill>
                        <pic:spPr>
                          <a:xfrm>
                            <a:off x="0" y="0"/>
                            <a:ext cx="108536" cy="139748"/>
                          </a:xfrm>
                          <a:prstGeom prst="rect">
                            <a:avLst/>
                          </a:prstGeom>
                        </pic:spPr>
                      </pic:pic>
                    </a:graphicData>
                  </a:graphic>
                </wp:inline>
              </w:drawing>
            </w:r>
          </w:p>
        </w:tc>
        <w:tc>
          <w:tcPr>
            <w:tcW w:w="2536" w:type="dxa"/>
            <w:gridSpan w:val="3"/>
            <w:tcBorders>
              <w:right w:val="single" w:color="000000" w:sz="10" w:space="0"/>
            </w:tcBorders>
            <w:vAlign w:val="top"/>
          </w:tcPr>
          <w:p w14:paraId="5D22769A">
            <w:pPr>
              <w:spacing w:before="209" w:line="192" w:lineRule="auto"/>
              <w:ind w:left="553"/>
              <w:rPr>
                <w:rFonts w:ascii="微软雅黑" w:hAnsi="微软雅黑" w:eastAsia="微软雅黑" w:cs="微软雅黑"/>
                <w:sz w:val="20"/>
                <w:szCs w:val="20"/>
              </w:rPr>
            </w:pPr>
            <w:r>
              <w:rPr>
                <w:rFonts w:ascii="宋体" w:hAnsi="宋体" w:eastAsia="宋体" w:cs="宋体"/>
                <w:spacing w:val="7"/>
                <w:sz w:val="20"/>
                <w:szCs w:val="20"/>
              </w:rPr>
              <w:t>现状补充监测</w:t>
            </w:r>
            <w:r>
              <w:rPr>
                <w:rFonts w:ascii="微软雅黑" w:hAnsi="微软雅黑" w:eastAsia="微软雅黑" w:cs="微软雅黑"/>
                <w:spacing w:val="5"/>
                <w:sz w:val="20"/>
                <w:szCs w:val="20"/>
              </w:rPr>
              <w:t>团</w:t>
            </w:r>
          </w:p>
        </w:tc>
      </w:tr>
      <w:tr w14:paraId="718796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44" w:type="dxa"/>
            <w:vMerge w:val="continue"/>
            <w:tcBorders>
              <w:top w:val="nil"/>
              <w:left w:val="single" w:color="000000" w:sz="10" w:space="0"/>
            </w:tcBorders>
            <w:vAlign w:val="top"/>
          </w:tcPr>
          <w:p w14:paraId="1499DECB">
            <w:pPr>
              <w:rPr>
                <w:rFonts w:ascii="Arial"/>
                <w:sz w:val="21"/>
              </w:rPr>
            </w:pPr>
          </w:p>
        </w:tc>
        <w:tc>
          <w:tcPr>
            <w:tcW w:w="1792" w:type="dxa"/>
            <w:vAlign w:val="top"/>
          </w:tcPr>
          <w:p w14:paraId="2835E6F6">
            <w:pPr>
              <w:spacing w:before="53" w:line="226" w:lineRule="auto"/>
              <w:ind w:left="474"/>
              <w:rPr>
                <w:rFonts w:ascii="宋体" w:hAnsi="宋体" w:eastAsia="宋体" w:cs="宋体"/>
                <w:sz w:val="20"/>
                <w:szCs w:val="20"/>
              </w:rPr>
            </w:pPr>
            <w:r>
              <w:rPr>
                <w:rFonts w:ascii="宋体" w:hAnsi="宋体" w:eastAsia="宋体" w:cs="宋体"/>
                <w:spacing w:val="7"/>
                <w:sz w:val="20"/>
                <w:szCs w:val="20"/>
              </w:rPr>
              <w:t>现状评</w:t>
            </w:r>
            <w:r>
              <w:rPr>
                <w:rFonts w:ascii="宋体" w:hAnsi="宋体" w:eastAsia="宋体" w:cs="宋体"/>
                <w:spacing w:val="6"/>
                <w:sz w:val="20"/>
                <w:szCs w:val="20"/>
              </w:rPr>
              <w:t>价</w:t>
            </w:r>
          </w:p>
        </w:tc>
        <w:tc>
          <w:tcPr>
            <w:tcW w:w="3780" w:type="dxa"/>
            <w:gridSpan w:val="8"/>
            <w:vAlign w:val="top"/>
          </w:tcPr>
          <w:p w14:paraId="4A6DEC31">
            <w:pPr>
              <w:spacing w:before="52" w:line="185" w:lineRule="auto"/>
              <w:ind w:left="1485"/>
              <w:rPr>
                <w:rFonts w:ascii="微软雅黑" w:hAnsi="微软雅黑" w:eastAsia="微软雅黑" w:cs="微软雅黑"/>
                <w:sz w:val="20"/>
                <w:szCs w:val="20"/>
              </w:rPr>
            </w:pPr>
            <w:r>
              <w:rPr>
                <w:rFonts w:ascii="宋体" w:hAnsi="宋体" w:eastAsia="宋体" w:cs="宋体"/>
                <w:spacing w:val="6"/>
                <w:sz w:val="20"/>
                <w:szCs w:val="20"/>
              </w:rPr>
              <w:t>达</w:t>
            </w:r>
            <w:r>
              <w:rPr>
                <w:rFonts w:ascii="宋体" w:hAnsi="宋体" w:eastAsia="宋体" w:cs="宋体"/>
                <w:spacing w:val="5"/>
                <w:sz w:val="20"/>
                <w:szCs w:val="20"/>
              </w:rPr>
              <w:t>标区</w:t>
            </w:r>
            <w:r>
              <w:rPr>
                <w:rFonts w:ascii="微软雅黑" w:hAnsi="微软雅黑" w:eastAsia="微软雅黑" w:cs="微软雅黑"/>
                <w:spacing w:val="5"/>
                <w:sz w:val="20"/>
                <w:szCs w:val="20"/>
              </w:rPr>
              <w:t>团</w:t>
            </w:r>
          </w:p>
        </w:tc>
        <w:tc>
          <w:tcPr>
            <w:tcW w:w="3795" w:type="dxa"/>
            <w:gridSpan w:val="5"/>
            <w:tcBorders>
              <w:right w:val="single" w:color="000000" w:sz="10" w:space="0"/>
            </w:tcBorders>
            <w:vAlign w:val="top"/>
          </w:tcPr>
          <w:p w14:paraId="5DECB3D9">
            <w:pPr>
              <w:spacing w:before="52" w:line="221" w:lineRule="auto"/>
              <w:ind w:left="1393"/>
              <w:rPr>
                <w:sz w:val="20"/>
                <w:szCs w:val="20"/>
              </w:rPr>
            </w:pPr>
            <w:r>
              <w:rPr>
                <w:rFonts w:ascii="宋体" w:hAnsi="宋体" w:eastAsia="宋体" w:cs="宋体"/>
                <w:spacing w:val="8"/>
                <w:sz w:val="20"/>
                <w:szCs w:val="20"/>
              </w:rPr>
              <w:t>不</w:t>
            </w:r>
            <w:r>
              <w:rPr>
                <w:rFonts w:ascii="宋体" w:hAnsi="宋体" w:eastAsia="宋体" w:cs="宋体"/>
                <w:spacing w:val="6"/>
                <w:sz w:val="20"/>
                <w:szCs w:val="20"/>
              </w:rPr>
              <w:t>达标区</w:t>
            </w:r>
            <w:r>
              <w:rPr>
                <w:position w:val="-4"/>
                <w:sz w:val="20"/>
                <w:szCs w:val="20"/>
              </w:rPr>
              <w:drawing>
                <wp:inline distT="0" distB="0" distL="0" distR="0">
                  <wp:extent cx="107950" cy="139700"/>
                  <wp:effectExtent l="0" t="0" r="0" b="0"/>
                  <wp:docPr id="254" name="IM 254"/>
                  <wp:cNvGraphicFramePr/>
                  <a:graphic xmlns:a="http://schemas.openxmlformats.org/drawingml/2006/main">
                    <a:graphicData uri="http://schemas.openxmlformats.org/drawingml/2006/picture">
                      <pic:pic xmlns:pic="http://schemas.openxmlformats.org/drawingml/2006/picture">
                        <pic:nvPicPr>
                          <pic:cNvPr id="254" name="IM 254"/>
                          <pic:cNvPicPr/>
                        </pic:nvPicPr>
                        <pic:blipFill>
                          <a:blip r:embed="rId535"/>
                          <a:stretch>
                            <a:fillRect/>
                          </a:stretch>
                        </pic:blipFill>
                        <pic:spPr>
                          <a:xfrm>
                            <a:off x="0" y="0"/>
                            <a:ext cx="108509" cy="139748"/>
                          </a:xfrm>
                          <a:prstGeom prst="rect">
                            <a:avLst/>
                          </a:prstGeom>
                        </pic:spPr>
                      </pic:pic>
                    </a:graphicData>
                  </a:graphic>
                </wp:inline>
              </w:drawing>
            </w:r>
          </w:p>
        </w:tc>
      </w:tr>
      <w:tr w14:paraId="514395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044" w:type="dxa"/>
            <w:tcBorders>
              <w:left w:val="single" w:color="000000" w:sz="10" w:space="0"/>
            </w:tcBorders>
            <w:vAlign w:val="top"/>
          </w:tcPr>
          <w:p w14:paraId="188E4F69">
            <w:pPr>
              <w:spacing w:before="208" w:line="312" w:lineRule="exact"/>
              <w:ind w:left="200"/>
              <w:rPr>
                <w:rFonts w:ascii="宋体" w:hAnsi="宋体" w:eastAsia="宋体" w:cs="宋体"/>
                <w:sz w:val="20"/>
                <w:szCs w:val="20"/>
              </w:rPr>
            </w:pPr>
            <w:r>
              <w:rPr>
                <w:rFonts w:ascii="宋体" w:hAnsi="宋体" w:eastAsia="宋体" w:cs="宋体"/>
                <w:spacing w:val="7"/>
                <w:position w:val="7"/>
                <w:sz w:val="20"/>
                <w:szCs w:val="20"/>
              </w:rPr>
              <w:t>污</w:t>
            </w:r>
            <w:r>
              <w:rPr>
                <w:rFonts w:ascii="宋体" w:hAnsi="宋体" w:eastAsia="宋体" w:cs="宋体"/>
                <w:spacing w:val="6"/>
                <w:position w:val="7"/>
                <w:sz w:val="20"/>
                <w:szCs w:val="20"/>
              </w:rPr>
              <w:t>染源</w:t>
            </w:r>
          </w:p>
          <w:p w14:paraId="52B25F93">
            <w:pPr>
              <w:spacing w:line="229" w:lineRule="auto"/>
              <w:ind w:left="306"/>
              <w:rPr>
                <w:rFonts w:ascii="宋体" w:hAnsi="宋体" w:eastAsia="宋体" w:cs="宋体"/>
                <w:sz w:val="20"/>
                <w:szCs w:val="20"/>
              </w:rPr>
            </w:pPr>
            <w:r>
              <w:rPr>
                <w:rFonts w:ascii="宋体" w:hAnsi="宋体" w:eastAsia="宋体" w:cs="宋体"/>
                <w:spacing w:val="4"/>
                <w:sz w:val="20"/>
                <w:szCs w:val="20"/>
              </w:rPr>
              <w:t>调</w:t>
            </w:r>
            <w:r>
              <w:rPr>
                <w:rFonts w:ascii="宋体" w:hAnsi="宋体" w:eastAsia="宋体" w:cs="宋体"/>
                <w:spacing w:val="3"/>
                <w:sz w:val="20"/>
                <w:szCs w:val="20"/>
              </w:rPr>
              <w:t>查</w:t>
            </w:r>
          </w:p>
        </w:tc>
        <w:tc>
          <w:tcPr>
            <w:tcW w:w="1792" w:type="dxa"/>
            <w:vAlign w:val="top"/>
          </w:tcPr>
          <w:p w14:paraId="1C3467C5">
            <w:pPr>
              <w:spacing w:line="297" w:lineRule="auto"/>
              <w:rPr>
                <w:rFonts w:ascii="Arial"/>
                <w:sz w:val="21"/>
              </w:rPr>
            </w:pPr>
          </w:p>
          <w:p w14:paraId="0A1A96E1">
            <w:pPr>
              <w:spacing w:before="65" w:line="228" w:lineRule="auto"/>
              <w:ind w:left="474"/>
              <w:rPr>
                <w:rFonts w:ascii="宋体" w:hAnsi="宋体" w:eastAsia="宋体" w:cs="宋体"/>
                <w:sz w:val="20"/>
                <w:szCs w:val="20"/>
              </w:rPr>
            </w:pPr>
            <w:r>
              <w:rPr>
                <w:rFonts w:ascii="宋体" w:hAnsi="宋体" w:eastAsia="宋体" w:cs="宋体"/>
                <w:spacing w:val="7"/>
                <w:sz w:val="20"/>
                <w:szCs w:val="20"/>
              </w:rPr>
              <w:t>调查内</w:t>
            </w:r>
            <w:r>
              <w:rPr>
                <w:rFonts w:ascii="宋体" w:hAnsi="宋体" w:eastAsia="宋体" w:cs="宋体"/>
                <w:spacing w:val="6"/>
                <w:sz w:val="20"/>
                <w:szCs w:val="20"/>
              </w:rPr>
              <w:t>容</w:t>
            </w:r>
          </w:p>
        </w:tc>
        <w:tc>
          <w:tcPr>
            <w:tcW w:w="2064" w:type="dxa"/>
            <w:gridSpan w:val="5"/>
            <w:vAlign w:val="top"/>
          </w:tcPr>
          <w:p w14:paraId="648ADD25">
            <w:pPr>
              <w:spacing w:before="53" w:line="242" w:lineRule="auto"/>
              <w:ind w:left="23" w:right="137"/>
              <w:rPr>
                <w:rFonts w:ascii="Times New Roman" w:hAnsi="Times New Roman" w:eastAsia="Times New Roman" w:cs="Times New Roman"/>
                <w:sz w:val="20"/>
                <w:szCs w:val="20"/>
              </w:rPr>
            </w:pPr>
            <w:r>
              <w:rPr>
                <w:rFonts w:ascii="宋体" w:hAnsi="宋体" w:eastAsia="宋体" w:cs="宋体"/>
                <w:spacing w:val="-7"/>
                <w:sz w:val="20"/>
                <w:szCs w:val="20"/>
              </w:rPr>
              <w:t>本</w:t>
            </w:r>
            <w:r>
              <w:rPr>
                <w:rFonts w:ascii="宋体" w:hAnsi="宋体" w:eastAsia="宋体" w:cs="宋体"/>
                <w:spacing w:val="-4"/>
                <w:sz w:val="20"/>
                <w:szCs w:val="20"/>
              </w:rPr>
              <w:t>项目正常排放源</w:t>
            </w:r>
            <w:r>
              <w:rPr>
                <w:rFonts w:ascii="微软雅黑" w:hAnsi="微软雅黑" w:eastAsia="微软雅黑" w:cs="微软雅黑"/>
                <w:spacing w:val="-4"/>
                <w:sz w:val="20"/>
                <w:szCs w:val="20"/>
              </w:rPr>
              <w:t>团</w:t>
            </w:r>
            <w:r>
              <w:rPr>
                <w:rFonts w:ascii="微软雅黑" w:hAnsi="微软雅黑" w:eastAsia="微软雅黑" w:cs="微软雅黑"/>
                <w:sz w:val="20"/>
                <w:szCs w:val="20"/>
              </w:rPr>
              <w:t xml:space="preserve">  </w:t>
            </w:r>
            <w:r>
              <w:rPr>
                <w:rFonts w:ascii="宋体" w:hAnsi="宋体" w:eastAsia="宋体" w:cs="宋体"/>
                <w:spacing w:val="-4"/>
                <w:sz w:val="20"/>
                <w:szCs w:val="20"/>
              </w:rPr>
              <w:t>本</w:t>
            </w:r>
            <w:r>
              <w:rPr>
                <w:rFonts w:ascii="宋体" w:hAnsi="宋体" w:eastAsia="宋体" w:cs="宋体"/>
                <w:spacing w:val="-3"/>
                <w:sz w:val="20"/>
                <w:szCs w:val="20"/>
              </w:rPr>
              <w:t>项</w:t>
            </w:r>
            <w:r>
              <w:rPr>
                <w:rFonts w:ascii="宋体" w:hAnsi="宋体" w:eastAsia="宋体" w:cs="宋体"/>
                <w:spacing w:val="-2"/>
                <w:sz w:val="20"/>
                <w:szCs w:val="20"/>
              </w:rPr>
              <w:t>目非正常排放源</w:t>
            </w:r>
            <w:r>
              <w:rPr>
                <w:rFonts w:ascii="Times New Roman" w:hAnsi="Times New Roman" w:eastAsia="Times New Roman" w:cs="Times New Roman"/>
                <w:spacing w:val="-2"/>
                <w:sz w:val="20"/>
                <w:szCs w:val="20"/>
              </w:rPr>
              <w:t>□</w:t>
            </w:r>
            <w:r>
              <w:rPr>
                <w:rFonts w:ascii="Times New Roman" w:hAnsi="Times New Roman" w:eastAsia="Times New Roman" w:cs="Times New Roman"/>
                <w:sz w:val="20"/>
                <w:szCs w:val="20"/>
              </w:rPr>
              <w:t xml:space="preserve"> </w:t>
            </w:r>
            <w:r>
              <w:rPr>
                <w:rFonts w:ascii="宋体" w:hAnsi="宋体" w:eastAsia="宋体" w:cs="宋体"/>
                <w:spacing w:val="-2"/>
                <w:sz w:val="20"/>
                <w:szCs w:val="20"/>
              </w:rPr>
              <w:t>现有污</w:t>
            </w:r>
            <w:r>
              <w:rPr>
                <w:rFonts w:ascii="宋体" w:hAnsi="宋体" w:eastAsia="宋体" w:cs="宋体"/>
                <w:spacing w:val="-1"/>
                <w:sz w:val="20"/>
                <w:szCs w:val="20"/>
              </w:rPr>
              <w:t>染源</w:t>
            </w:r>
            <w:r>
              <w:rPr>
                <w:rFonts w:ascii="Times New Roman" w:hAnsi="Times New Roman" w:eastAsia="Times New Roman" w:cs="Times New Roman"/>
                <w:spacing w:val="-1"/>
                <w:sz w:val="20"/>
                <w:szCs w:val="20"/>
              </w:rPr>
              <w:t>□</w:t>
            </w:r>
          </w:p>
        </w:tc>
        <w:tc>
          <w:tcPr>
            <w:tcW w:w="1716" w:type="dxa"/>
            <w:gridSpan w:val="3"/>
            <w:vAlign w:val="top"/>
          </w:tcPr>
          <w:p w14:paraId="2D8826E7">
            <w:pPr>
              <w:spacing w:line="297" w:lineRule="auto"/>
              <w:rPr>
                <w:rFonts w:ascii="Arial"/>
                <w:sz w:val="21"/>
              </w:rPr>
            </w:pPr>
          </w:p>
          <w:p w14:paraId="416847BF">
            <w:pPr>
              <w:spacing w:before="65" w:line="223" w:lineRule="auto"/>
              <w:ind w:left="36"/>
              <w:rPr>
                <w:sz w:val="20"/>
                <w:szCs w:val="20"/>
              </w:rPr>
            </w:pPr>
            <w:r>
              <w:rPr>
                <w:rFonts w:ascii="宋体" w:hAnsi="宋体" w:eastAsia="宋体" w:cs="宋体"/>
                <w:spacing w:val="12"/>
                <w:sz w:val="20"/>
                <w:szCs w:val="20"/>
              </w:rPr>
              <w:t>拟</w:t>
            </w:r>
            <w:r>
              <w:rPr>
                <w:rFonts w:ascii="宋体" w:hAnsi="宋体" w:eastAsia="宋体" w:cs="宋体"/>
                <w:spacing w:val="8"/>
                <w:sz w:val="20"/>
                <w:szCs w:val="20"/>
              </w:rPr>
              <w:t>替代的污染源</w:t>
            </w:r>
            <w:r>
              <w:rPr>
                <w:position w:val="-4"/>
                <w:sz w:val="20"/>
                <w:szCs w:val="20"/>
              </w:rPr>
              <w:drawing>
                <wp:inline distT="0" distB="0" distL="0" distR="0">
                  <wp:extent cx="106680" cy="139700"/>
                  <wp:effectExtent l="0" t="0" r="0" b="0"/>
                  <wp:docPr id="255" name="IM 255"/>
                  <wp:cNvGraphicFramePr/>
                  <a:graphic xmlns:a="http://schemas.openxmlformats.org/drawingml/2006/main">
                    <a:graphicData uri="http://schemas.openxmlformats.org/drawingml/2006/picture">
                      <pic:pic xmlns:pic="http://schemas.openxmlformats.org/drawingml/2006/picture">
                        <pic:nvPicPr>
                          <pic:cNvPr id="255" name="IM 255"/>
                          <pic:cNvPicPr/>
                        </pic:nvPicPr>
                        <pic:blipFill>
                          <a:blip r:embed="rId540"/>
                          <a:stretch>
                            <a:fillRect/>
                          </a:stretch>
                        </pic:blipFill>
                        <pic:spPr>
                          <a:xfrm>
                            <a:off x="0" y="0"/>
                            <a:ext cx="106989" cy="139748"/>
                          </a:xfrm>
                          <a:prstGeom prst="rect">
                            <a:avLst/>
                          </a:prstGeom>
                        </pic:spPr>
                      </pic:pic>
                    </a:graphicData>
                  </a:graphic>
                </wp:inline>
              </w:drawing>
            </w:r>
          </w:p>
        </w:tc>
        <w:tc>
          <w:tcPr>
            <w:tcW w:w="1986" w:type="dxa"/>
            <w:gridSpan w:val="3"/>
            <w:vAlign w:val="top"/>
          </w:tcPr>
          <w:p w14:paraId="57058E06">
            <w:pPr>
              <w:spacing w:before="209" w:line="298" w:lineRule="auto"/>
              <w:ind w:left="597" w:right="41" w:hanging="538"/>
              <w:rPr>
                <w:sz w:val="20"/>
                <w:szCs w:val="20"/>
              </w:rPr>
            </w:pPr>
            <w:r>
              <w:rPr>
                <w:rFonts w:ascii="宋体" w:hAnsi="宋体" w:eastAsia="宋体" w:cs="宋体"/>
                <w:spacing w:val="9"/>
                <w:sz w:val="20"/>
                <w:szCs w:val="20"/>
              </w:rPr>
              <w:t>其他在建、拟建项</w:t>
            </w:r>
            <w:r>
              <w:rPr>
                <w:rFonts w:ascii="宋体" w:hAnsi="宋体" w:eastAsia="宋体" w:cs="宋体"/>
                <w:spacing w:val="7"/>
                <w:sz w:val="20"/>
                <w:szCs w:val="20"/>
              </w:rPr>
              <w:t>目</w:t>
            </w:r>
            <w:r>
              <w:rPr>
                <w:rFonts w:ascii="宋体" w:hAnsi="宋体" w:eastAsia="宋体" w:cs="宋体"/>
                <w:sz w:val="20"/>
                <w:szCs w:val="20"/>
              </w:rPr>
              <w:t xml:space="preserve"> </w:t>
            </w:r>
            <w:r>
              <w:rPr>
                <w:rFonts w:ascii="宋体" w:hAnsi="宋体" w:eastAsia="宋体" w:cs="宋体"/>
                <w:spacing w:val="7"/>
                <w:sz w:val="20"/>
                <w:szCs w:val="20"/>
              </w:rPr>
              <w:t>污</w:t>
            </w:r>
            <w:r>
              <w:rPr>
                <w:rFonts w:ascii="宋体" w:hAnsi="宋体" w:eastAsia="宋体" w:cs="宋体"/>
                <w:spacing w:val="6"/>
                <w:sz w:val="20"/>
                <w:szCs w:val="20"/>
              </w:rPr>
              <w:t>染源</w:t>
            </w:r>
            <w:r>
              <w:rPr>
                <w:position w:val="-4"/>
                <w:sz w:val="20"/>
                <w:szCs w:val="20"/>
              </w:rPr>
              <w:drawing>
                <wp:inline distT="0" distB="0" distL="0" distR="0">
                  <wp:extent cx="107950" cy="139700"/>
                  <wp:effectExtent l="0" t="0" r="0" b="0"/>
                  <wp:docPr id="256" name="IM 256"/>
                  <wp:cNvGraphicFramePr/>
                  <a:graphic xmlns:a="http://schemas.openxmlformats.org/drawingml/2006/main">
                    <a:graphicData uri="http://schemas.openxmlformats.org/drawingml/2006/picture">
                      <pic:pic xmlns:pic="http://schemas.openxmlformats.org/drawingml/2006/picture">
                        <pic:nvPicPr>
                          <pic:cNvPr id="256" name="IM 256"/>
                          <pic:cNvPicPr/>
                        </pic:nvPicPr>
                        <pic:blipFill>
                          <a:blip r:embed="rId537"/>
                          <a:stretch>
                            <a:fillRect/>
                          </a:stretch>
                        </pic:blipFill>
                        <pic:spPr>
                          <a:xfrm>
                            <a:off x="0" y="0"/>
                            <a:ext cx="108507" cy="139748"/>
                          </a:xfrm>
                          <a:prstGeom prst="rect">
                            <a:avLst/>
                          </a:prstGeom>
                        </pic:spPr>
                      </pic:pic>
                    </a:graphicData>
                  </a:graphic>
                </wp:inline>
              </w:drawing>
            </w:r>
          </w:p>
        </w:tc>
        <w:tc>
          <w:tcPr>
            <w:tcW w:w="1809" w:type="dxa"/>
            <w:gridSpan w:val="2"/>
            <w:tcBorders>
              <w:right w:val="single" w:color="000000" w:sz="10" w:space="0"/>
            </w:tcBorders>
            <w:vAlign w:val="top"/>
          </w:tcPr>
          <w:p w14:paraId="75952222">
            <w:pPr>
              <w:spacing w:line="297" w:lineRule="auto"/>
              <w:rPr>
                <w:rFonts w:ascii="Arial"/>
                <w:sz w:val="21"/>
              </w:rPr>
            </w:pPr>
          </w:p>
          <w:p w14:paraId="291628BC">
            <w:pPr>
              <w:spacing w:before="65" w:line="223" w:lineRule="auto"/>
              <w:ind w:left="310"/>
              <w:rPr>
                <w:sz w:val="20"/>
                <w:szCs w:val="20"/>
              </w:rPr>
            </w:pPr>
            <w:r>
              <w:rPr>
                <w:rFonts w:ascii="宋体" w:hAnsi="宋体" w:eastAsia="宋体" w:cs="宋体"/>
                <w:spacing w:val="5"/>
                <w:sz w:val="20"/>
                <w:szCs w:val="20"/>
              </w:rPr>
              <w:t>区域污染源</w:t>
            </w:r>
            <w:r>
              <w:rPr>
                <w:position w:val="-4"/>
                <w:sz w:val="20"/>
                <w:szCs w:val="20"/>
              </w:rPr>
              <w:drawing>
                <wp:inline distT="0" distB="0" distL="0" distR="0">
                  <wp:extent cx="107950" cy="139700"/>
                  <wp:effectExtent l="0" t="0" r="0" b="0"/>
                  <wp:docPr id="257" name="IM 257"/>
                  <wp:cNvGraphicFramePr/>
                  <a:graphic xmlns:a="http://schemas.openxmlformats.org/drawingml/2006/main">
                    <a:graphicData uri="http://schemas.openxmlformats.org/drawingml/2006/picture">
                      <pic:pic xmlns:pic="http://schemas.openxmlformats.org/drawingml/2006/picture">
                        <pic:nvPicPr>
                          <pic:cNvPr id="257" name="IM 257"/>
                          <pic:cNvPicPr/>
                        </pic:nvPicPr>
                        <pic:blipFill>
                          <a:blip r:embed="rId540"/>
                          <a:stretch>
                            <a:fillRect/>
                          </a:stretch>
                        </pic:blipFill>
                        <pic:spPr>
                          <a:xfrm>
                            <a:off x="0" y="0"/>
                            <a:ext cx="108530" cy="139748"/>
                          </a:xfrm>
                          <a:prstGeom prst="rect">
                            <a:avLst/>
                          </a:prstGeom>
                        </pic:spPr>
                      </pic:pic>
                    </a:graphicData>
                  </a:graphic>
                </wp:inline>
              </w:drawing>
            </w:r>
          </w:p>
        </w:tc>
      </w:tr>
      <w:tr w14:paraId="5C8BF8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44" w:type="dxa"/>
            <w:vMerge w:val="restart"/>
            <w:tcBorders>
              <w:left w:val="single" w:color="000000" w:sz="10" w:space="0"/>
              <w:bottom w:val="nil"/>
            </w:tcBorders>
            <w:vAlign w:val="top"/>
          </w:tcPr>
          <w:p w14:paraId="669DFE65">
            <w:pPr>
              <w:spacing w:line="269" w:lineRule="auto"/>
              <w:rPr>
                <w:rFonts w:ascii="Arial"/>
                <w:sz w:val="21"/>
              </w:rPr>
            </w:pPr>
          </w:p>
          <w:p w14:paraId="5EEDE61F">
            <w:pPr>
              <w:spacing w:line="270" w:lineRule="auto"/>
              <w:rPr>
                <w:rFonts w:ascii="Arial"/>
                <w:sz w:val="21"/>
              </w:rPr>
            </w:pPr>
          </w:p>
          <w:p w14:paraId="58820DD3">
            <w:pPr>
              <w:spacing w:line="270" w:lineRule="auto"/>
              <w:rPr>
                <w:rFonts w:ascii="Arial"/>
                <w:sz w:val="21"/>
              </w:rPr>
            </w:pPr>
          </w:p>
          <w:p w14:paraId="01AEAA37">
            <w:pPr>
              <w:spacing w:line="270" w:lineRule="auto"/>
              <w:rPr>
                <w:rFonts w:ascii="Arial"/>
                <w:sz w:val="21"/>
              </w:rPr>
            </w:pPr>
          </w:p>
          <w:p w14:paraId="40416A29">
            <w:pPr>
              <w:spacing w:line="270" w:lineRule="auto"/>
              <w:rPr>
                <w:rFonts w:ascii="Arial"/>
                <w:sz w:val="21"/>
              </w:rPr>
            </w:pPr>
          </w:p>
          <w:p w14:paraId="4B1E140C">
            <w:pPr>
              <w:spacing w:line="270" w:lineRule="auto"/>
              <w:rPr>
                <w:rFonts w:ascii="Arial"/>
                <w:sz w:val="21"/>
              </w:rPr>
            </w:pPr>
          </w:p>
          <w:p w14:paraId="27217CC5">
            <w:pPr>
              <w:spacing w:line="270" w:lineRule="auto"/>
              <w:rPr>
                <w:rFonts w:ascii="Arial"/>
                <w:sz w:val="21"/>
              </w:rPr>
            </w:pPr>
          </w:p>
          <w:p w14:paraId="72B3CAF2">
            <w:pPr>
              <w:spacing w:before="65" w:line="228" w:lineRule="auto"/>
              <w:ind w:left="95"/>
              <w:rPr>
                <w:rFonts w:ascii="宋体" w:hAnsi="宋体" w:eastAsia="宋体" w:cs="宋体"/>
                <w:sz w:val="20"/>
                <w:szCs w:val="20"/>
              </w:rPr>
            </w:pPr>
            <w:r>
              <w:rPr>
                <w:rFonts w:ascii="宋体" w:hAnsi="宋体" w:eastAsia="宋体" w:cs="宋体"/>
                <w:spacing w:val="9"/>
                <w:sz w:val="20"/>
                <w:szCs w:val="20"/>
              </w:rPr>
              <w:t>大</w:t>
            </w:r>
            <w:r>
              <w:rPr>
                <w:rFonts w:ascii="宋体" w:hAnsi="宋体" w:eastAsia="宋体" w:cs="宋体"/>
                <w:spacing w:val="6"/>
                <w:sz w:val="20"/>
                <w:szCs w:val="20"/>
              </w:rPr>
              <w:t>气环境</w:t>
            </w:r>
          </w:p>
          <w:p w14:paraId="0FC2C82B">
            <w:pPr>
              <w:spacing w:before="64" w:line="228" w:lineRule="auto"/>
              <w:ind w:left="93"/>
              <w:rPr>
                <w:rFonts w:ascii="宋体" w:hAnsi="宋体" w:eastAsia="宋体" w:cs="宋体"/>
                <w:sz w:val="20"/>
                <w:szCs w:val="20"/>
              </w:rPr>
            </w:pPr>
            <w:r>
              <w:rPr>
                <w:rFonts w:ascii="宋体" w:hAnsi="宋体" w:eastAsia="宋体" w:cs="宋体"/>
                <w:spacing w:val="8"/>
                <w:sz w:val="20"/>
                <w:szCs w:val="20"/>
              </w:rPr>
              <w:t>影</w:t>
            </w:r>
            <w:r>
              <w:rPr>
                <w:rFonts w:ascii="宋体" w:hAnsi="宋体" w:eastAsia="宋体" w:cs="宋体"/>
                <w:spacing w:val="7"/>
                <w:sz w:val="20"/>
                <w:szCs w:val="20"/>
              </w:rPr>
              <w:t>响预测</w:t>
            </w:r>
          </w:p>
          <w:p w14:paraId="794899F1">
            <w:pPr>
              <w:spacing w:before="64" w:line="226" w:lineRule="auto"/>
              <w:ind w:left="203"/>
              <w:rPr>
                <w:rFonts w:ascii="宋体" w:hAnsi="宋体" w:eastAsia="宋体" w:cs="宋体"/>
                <w:sz w:val="20"/>
                <w:szCs w:val="20"/>
              </w:rPr>
            </w:pPr>
            <w:r>
              <w:rPr>
                <w:rFonts w:ascii="宋体" w:hAnsi="宋体" w:eastAsia="宋体" w:cs="宋体"/>
                <w:spacing w:val="6"/>
                <w:sz w:val="20"/>
                <w:szCs w:val="20"/>
              </w:rPr>
              <w:t>与</w:t>
            </w:r>
            <w:r>
              <w:rPr>
                <w:rFonts w:ascii="宋体" w:hAnsi="宋体" w:eastAsia="宋体" w:cs="宋体"/>
                <w:spacing w:val="5"/>
                <w:sz w:val="20"/>
                <w:szCs w:val="20"/>
              </w:rPr>
              <w:t>评价</w:t>
            </w:r>
          </w:p>
        </w:tc>
        <w:tc>
          <w:tcPr>
            <w:tcW w:w="1792" w:type="dxa"/>
            <w:vAlign w:val="top"/>
          </w:tcPr>
          <w:p w14:paraId="0071B7A1">
            <w:pPr>
              <w:spacing w:before="52" w:line="228" w:lineRule="auto"/>
              <w:ind w:left="474"/>
              <w:rPr>
                <w:rFonts w:ascii="宋体" w:hAnsi="宋体" w:eastAsia="宋体" w:cs="宋体"/>
                <w:sz w:val="20"/>
                <w:szCs w:val="20"/>
              </w:rPr>
            </w:pPr>
            <w:r>
              <w:rPr>
                <w:rFonts w:ascii="宋体" w:hAnsi="宋体" w:eastAsia="宋体" w:cs="宋体"/>
                <w:spacing w:val="7"/>
                <w:sz w:val="20"/>
                <w:szCs w:val="20"/>
              </w:rPr>
              <w:t>预测模</w:t>
            </w:r>
            <w:r>
              <w:rPr>
                <w:rFonts w:ascii="宋体" w:hAnsi="宋体" w:eastAsia="宋体" w:cs="宋体"/>
                <w:spacing w:val="6"/>
                <w:sz w:val="20"/>
                <w:szCs w:val="20"/>
              </w:rPr>
              <w:t>型</w:t>
            </w:r>
          </w:p>
        </w:tc>
        <w:tc>
          <w:tcPr>
            <w:tcW w:w="1142" w:type="dxa"/>
            <w:gridSpan w:val="2"/>
            <w:vAlign w:val="top"/>
          </w:tcPr>
          <w:p w14:paraId="0B9F13AD">
            <w:pPr>
              <w:spacing w:before="56" w:line="233" w:lineRule="auto"/>
              <w:ind w:left="18"/>
              <w:rPr>
                <w:sz w:val="20"/>
                <w:szCs w:val="20"/>
              </w:rPr>
            </w:pPr>
            <w:r>
              <w:rPr>
                <w:rFonts w:ascii="Times New Roman" w:hAnsi="Times New Roman" w:eastAsia="Times New Roman" w:cs="Times New Roman"/>
                <w:spacing w:val="8"/>
                <w:sz w:val="20"/>
                <w:szCs w:val="20"/>
              </w:rPr>
              <w:t>A</w:t>
            </w:r>
            <w:r>
              <w:rPr>
                <w:rFonts w:ascii="Times New Roman" w:hAnsi="Times New Roman" w:eastAsia="Times New Roman" w:cs="Times New Roman"/>
                <w:spacing w:val="6"/>
                <w:sz w:val="20"/>
                <w:szCs w:val="20"/>
              </w:rPr>
              <w:t>ERMOD</w:t>
            </w:r>
            <w:r>
              <w:rPr>
                <w:position w:val="-4"/>
                <w:sz w:val="20"/>
                <w:szCs w:val="20"/>
              </w:rPr>
              <w:drawing>
                <wp:inline distT="0" distB="0" distL="0" distR="0">
                  <wp:extent cx="108585" cy="139700"/>
                  <wp:effectExtent l="0" t="0" r="0" b="0"/>
                  <wp:docPr id="258" name="IM 258"/>
                  <wp:cNvGraphicFramePr/>
                  <a:graphic xmlns:a="http://schemas.openxmlformats.org/drawingml/2006/main">
                    <a:graphicData uri="http://schemas.openxmlformats.org/drawingml/2006/picture">
                      <pic:pic xmlns:pic="http://schemas.openxmlformats.org/drawingml/2006/picture">
                        <pic:nvPicPr>
                          <pic:cNvPr id="258" name="IM 258"/>
                          <pic:cNvPicPr/>
                        </pic:nvPicPr>
                        <pic:blipFill>
                          <a:blip r:embed="rId604"/>
                          <a:stretch>
                            <a:fillRect/>
                          </a:stretch>
                        </pic:blipFill>
                        <pic:spPr>
                          <a:xfrm>
                            <a:off x="0" y="0"/>
                            <a:ext cx="108854" cy="139748"/>
                          </a:xfrm>
                          <a:prstGeom prst="rect">
                            <a:avLst/>
                          </a:prstGeom>
                        </pic:spPr>
                      </pic:pic>
                    </a:graphicData>
                  </a:graphic>
                </wp:inline>
              </w:drawing>
            </w:r>
          </w:p>
        </w:tc>
        <w:tc>
          <w:tcPr>
            <w:tcW w:w="922" w:type="dxa"/>
            <w:gridSpan w:val="3"/>
            <w:vAlign w:val="top"/>
          </w:tcPr>
          <w:p w14:paraId="6548DF92">
            <w:pPr>
              <w:spacing w:before="88" w:line="195" w:lineRule="auto"/>
              <w:ind w:left="93"/>
              <w:rPr>
                <w:rFonts w:ascii="Times New Roman" w:hAnsi="Times New Roman" w:eastAsia="Times New Roman" w:cs="Times New Roman"/>
                <w:sz w:val="20"/>
                <w:szCs w:val="20"/>
              </w:rPr>
            </w:pPr>
            <w:r>
              <w:rPr>
                <w:rFonts w:ascii="Times New Roman" w:hAnsi="Times New Roman" w:eastAsia="Times New Roman" w:cs="Times New Roman"/>
                <w:sz w:val="20"/>
                <w:szCs w:val="20"/>
              </w:rPr>
              <w:t>ADMS</w:t>
            </w:r>
            <w:r>
              <w:rPr>
                <w:rFonts w:ascii="Times New Roman" w:hAnsi="Times New Roman" w:eastAsia="Times New Roman" w:cs="Times New Roman"/>
                <w:spacing w:val="30"/>
                <w:sz w:val="20"/>
                <w:szCs w:val="20"/>
              </w:rPr>
              <w:t>□</w:t>
            </w:r>
          </w:p>
        </w:tc>
        <w:tc>
          <w:tcPr>
            <w:tcW w:w="1332" w:type="dxa"/>
            <w:gridSpan w:val="2"/>
            <w:vAlign w:val="top"/>
          </w:tcPr>
          <w:p w14:paraId="2797A58B">
            <w:pPr>
              <w:spacing w:before="89" w:line="195" w:lineRule="auto"/>
              <w:ind w:left="4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AUSTAL2000□</w:t>
            </w:r>
          </w:p>
        </w:tc>
        <w:tc>
          <w:tcPr>
            <w:tcW w:w="1257" w:type="dxa"/>
            <w:gridSpan w:val="2"/>
            <w:vAlign w:val="top"/>
          </w:tcPr>
          <w:p w14:paraId="32CB5B3D">
            <w:pPr>
              <w:spacing w:before="15" w:line="281" w:lineRule="exact"/>
              <w:ind w:left="57"/>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EDMS</w:t>
            </w:r>
            <w:r>
              <w:rPr>
                <w:rFonts w:ascii="Times New Roman" w:hAnsi="Times New Roman" w:eastAsia="Times New Roman" w:cs="Times New Roman"/>
                <w:spacing w:val="-9"/>
                <w:position w:val="2"/>
                <w:sz w:val="20"/>
                <w:szCs w:val="20"/>
              </w:rPr>
              <w:t>/</w:t>
            </w:r>
            <w:r>
              <w:rPr>
                <w:rFonts w:ascii="Times New Roman" w:hAnsi="Times New Roman" w:eastAsia="Times New Roman" w:cs="Times New Roman"/>
                <w:spacing w:val="-8"/>
                <w:position w:val="2"/>
                <w:sz w:val="20"/>
                <w:szCs w:val="20"/>
              </w:rPr>
              <w:t>AEDT□</w:t>
            </w:r>
          </w:p>
        </w:tc>
        <w:tc>
          <w:tcPr>
            <w:tcW w:w="1113" w:type="dxa"/>
            <w:gridSpan w:val="2"/>
            <w:vAlign w:val="top"/>
          </w:tcPr>
          <w:p w14:paraId="02ACAD8E">
            <w:pPr>
              <w:spacing w:before="89" w:line="195" w:lineRule="auto"/>
              <w:ind w:left="8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CALPUFF</w:t>
            </w:r>
            <w:r>
              <w:rPr>
                <w:rFonts w:ascii="Times New Roman" w:hAnsi="Times New Roman" w:eastAsia="Times New Roman" w:cs="Times New Roman"/>
                <w:spacing w:val="-5"/>
                <w:sz w:val="20"/>
                <w:szCs w:val="20"/>
              </w:rPr>
              <w:t>□</w:t>
            </w:r>
          </w:p>
        </w:tc>
        <w:tc>
          <w:tcPr>
            <w:tcW w:w="1071" w:type="dxa"/>
            <w:vAlign w:val="top"/>
          </w:tcPr>
          <w:p w14:paraId="060191A6">
            <w:pPr>
              <w:spacing w:before="52" w:line="228" w:lineRule="auto"/>
              <w:ind w:left="85"/>
              <w:rPr>
                <w:rFonts w:ascii="Times New Roman" w:hAnsi="Times New Roman" w:eastAsia="Times New Roman" w:cs="Times New Roman"/>
                <w:sz w:val="20"/>
                <w:szCs w:val="20"/>
              </w:rPr>
            </w:pPr>
            <w:r>
              <w:rPr>
                <w:rFonts w:ascii="宋体" w:hAnsi="宋体" w:eastAsia="宋体" w:cs="宋体"/>
                <w:spacing w:val="4"/>
                <w:sz w:val="20"/>
                <w:szCs w:val="20"/>
              </w:rPr>
              <w:t>网格模型</w:t>
            </w:r>
            <w:r>
              <w:rPr>
                <w:rFonts w:ascii="Times New Roman" w:hAnsi="Times New Roman" w:eastAsia="Times New Roman" w:cs="Times New Roman"/>
                <w:spacing w:val="4"/>
                <w:sz w:val="20"/>
                <w:szCs w:val="20"/>
              </w:rPr>
              <w:t>□</w:t>
            </w:r>
          </w:p>
        </w:tc>
        <w:tc>
          <w:tcPr>
            <w:tcW w:w="738" w:type="dxa"/>
            <w:tcBorders>
              <w:right w:val="single" w:color="000000" w:sz="10" w:space="0"/>
            </w:tcBorders>
            <w:vAlign w:val="top"/>
          </w:tcPr>
          <w:p w14:paraId="5AC139D7">
            <w:pPr>
              <w:spacing w:before="53" w:line="228" w:lineRule="auto"/>
              <w:ind w:left="107"/>
              <w:rPr>
                <w:rFonts w:ascii="Times New Roman" w:hAnsi="Times New Roman" w:eastAsia="Times New Roman" w:cs="Times New Roman"/>
                <w:sz w:val="20"/>
                <w:szCs w:val="20"/>
              </w:rPr>
            </w:pPr>
            <w:r>
              <w:rPr>
                <w:rFonts w:ascii="宋体" w:hAnsi="宋体" w:eastAsia="宋体" w:cs="宋体"/>
                <w:spacing w:val="6"/>
                <w:sz w:val="20"/>
                <w:szCs w:val="20"/>
              </w:rPr>
              <w:t>其</w:t>
            </w:r>
            <w:r>
              <w:rPr>
                <w:rFonts w:ascii="宋体" w:hAnsi="宋体" w:eastAsia="宋体" w:cs="宋体"/>
                <w:spacing w:val="5"/>
                <w:sz w:val="20"/>
                <w:szCs w:val="20"/>
              </w:rPr>
              <w:t>他</w:t>
            </w:r>
            <w:r>
              <w:rPr>
                <w:rFonts w:ascii="Times New Roman" w:hAnsi="Times New Roman" w:eastAsia="Times New Roman" w:cs="Times New Roman"/>
                <w:spacing w:val="5"/>
                <w:sz w:val="20"/>
                <w:szCs w:val="20"/>
              </w:rPr>
              <w:t>□</w:t>
            </w:r>
          </w:p>
        </w:tc>
      </w:tr>
      <w:tr w14:paraId="7C044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44" w:type="dxa"/>
            <w:vMerge w:val="continue"/>
            <w:tcBorders>
              <w:top w:val="nil"/>
              <w:left w:val="single" w:color="000000" w:sz="10" w:space="0"/>
              <w:bottom w:val="nil"/>
            </w:tcBorders>
            <w:vAlign w:val="top"/>
          </w:tcPr>
          <w:p w14:paraId="2D947490">
            <w:pPr>
              <w:rPr>
                <w:rFonts w:ascii="Arial"/>
                <w:sz w:val="21"/>
              </w:rPr>
            </w:pPr>
          </w:p>
        </w:tc>
        <w:tc>
          <w:tcPr>
            <w:tcW w:w="1792" w:type="dxa"/>
            <w:vAlign w:val="top"/>
          </w:tcPr>
          <w:p w14:paraId="3585C185">
            <w:pPr>
              <w:spacing w:before="53" w:line="228" w:lineRule="auto"/>
              <w:ind w:left="474"/>
              <w:rPr>
                <w:rFonts w:ascii="宋体" w:hAnsi="宋体" w:eastAsia="宋体" w:cs="宋体"/>
                <w:sz w:val="20"/>
                <w:szCs w:val="20"/>
              </w:rPr>
            </w:pPr>
            <w:r>
              <w:rPr>
                <w:rFonts w:ascii="宋体" w:hAnsi="宋体" w:eastAsia="宋体" w:cs="宋体"/>
                <w:spacing w:val="7"/>
                <w:sz w:val="20"/>
                <w:szCs w:val="20"/>
              </w:rPr>
              <w:t>预测范</w:t>
            </w:r>
            <w:r>
              <w:rPr>
                <w:rFonts w:ascii="宋体" w:hAnsi="宋体" w:eastAsia="宋体" w:cs="宋体"/>
                <w:spacing w:val="6"/>
                <w:sz w:val="20"/>
                <w:szCs w:val="20"/>
              </w:rPr>
              <w:t>围</w:t>
            </w:r>
          </w:p>
        </w:tc>
        <w:tc>
          <w:tcPr>
            <w:tcW w:w="2519" w:type="dxa"/>
            <w:gridSpan w:val="6"/>
            <w:vAlign w:val="top"/>
          </w:tcPr>
          <w:p w14:paraId="2D2BB790">
            <w:pPr>
              <w:spacing w:before="15" w:line="281" w:lineRule="exact"/>
              <w:ind w:left="691"/>
              <w:rPr>
                <w:rFonts w:ascii="Times New Roman" w:hAnsi="Times New Roman" w:eastAsia="Times New Roman" w:cs="Times New Roman"/>
                <w:sz w:val="20"/>
                <w:szCs w:val="20"/>
              </w:rPr>
            </w:pPr>
            <w:r>
              <w:rPr>
                <w:rFonts w:ascii="宋体" w:hAnsi="宋体" w:eastAsia="宋体" w:cs="宋体"/>
                <w:spacing w:val="10"/>
                <w:position w:val="1"/>
                <w:sz w:val="20"/>
                <w:szCs w:val="20"/>
              </w:rPr>
              <w:t>边</w:t>
            </w:r>
            <w:r>
              <w:rPr>
                <w:rFonts w:ascii="宋体" w:hAnsi="宋体" w:eastAsia="宋体" w:cs="宋体"/>
                <w:spacing w:val="7"/>
                <w:position w:val="1"/>
                <w:sz w:val="20"/>
                <w:szCs w:val="20"/>
              </w:rPr>
              <w:t>长</w:t>
            </w:r>
            <w:r>
              <w:rPr>
                <w:rFonts w:ascii="Times New Roman" w:hAnsi="Times New Roman" w:eastAsia="Times New Roman" w:cs="Times New Roman"/>
                <w:spacing w:val="7"/>
                <w:position w:val="1"/>
                <w:sz w:val="20"/>
                <w:szCs w:val="20"/>
              </w:rPr>
              <w:t>≥50</w:t>
            </w:r>
            <w:r>
              <w:rPr>
                <w:rFonts w:ascii="Times New Roman" w:hAnsi="Times New Roman" w:eastAsia="Times New Roman" w:cs="Times New Roman"/>
                <w:position w:val="1"/>
                <w:sz w:val="20"/>
                <w:szCs w:val="20"/>
              </w:rPr>
              <w:t>km</w:t>
            </w:r>
            <w:r>
              <w:rPr>
                <w:rFonts w:ascii="Times New Roman" w:hAnsi="Times New Roman" w:eastAsia="Times New Roman" w:cs="Times New Roman"/>
                <w:spacing w:val="7"/>
                <w:position w:val="1"/>
                <w:sz w:val="20"/>
                <w:szCs w:val="20"/>
              </w:rPr>
              <w:t>□</w:t>
            </w:r>
          </w:p>
        </w:tc>
        <w:tc>
          <w:tcPr>
            <w:tcW w:w="2520" w:type="dxa"/>
            <w:gridSpan w:val="4"/>
            <w:vAlign w:val="top"/>
          </w:tcPr>
          <w:p w14:paraId="08409616">
            <w:pPr>
              <w:spacing w:before="15" w:line="281" w:lineRule="exact"/>
              <w:ind w:left="622"/>
              <w:rPr>
                <w:rFonts w:ascii="Times New Roman" w:hAnsi="Times New Roman" w:eastAsia="Times New Roman" w:cs="Times New Roman"/>
                <w:sz w:val="20"/>
                <w:szCs w:val="20"/>
              </w:rPr>
            </w:pPr>
            <w:r>
              <w:rPr>
                <w:rFonts w:ascii="宋体" w:hAnsi="宋体" w:eastAsia="宋体" w:cs="宋体"/>
                <w:spacing w:val="1"/>
                <w:position w:val="1"/>
                <w:sz w:val="20"/>
                <w:szCs w:val="20"/>
              </w:rPr>
              <w:t xml:space="preserve">边长 </w:t>
            </w:r>
            <w:r>
              <w:rPr>
                <w:rFonts w:ascii="Times New Roman" w:hAnsi="Times New Roman" w:eastAsia="Times New Roman" w:cs="Times New Roman"/>
                <w:position w:val="1"/>
                <w:sz w:val="20"/>
                <w:szCs w:val="20"/>
              </w:rPr>
              <w:t>5~50km□</w:t>
            </w:r>
          </w:p>
        </w:tc>
        <w:tc>
          <w:tcPr>
            <w:tcW w:w="2536" w:type="dxa"/>
            <w:gridSpan w:val="3"/>
            <w:tcBorders>
              <w:right w:val="single" w:color="000000" w:sz="10" w:space="0"/>
            </w:tcBorders>
            <w:vAlign w:val="top"/>
          </w:tcPr>
          <w:p w14:paraId="0D21D9D0">
            <w:pPr>
              <w:spacing w:before="15" w:line="281" w:lineRule="exact"/>
              <w:ind w:left="725"/>
              <w:rPr>
                <w:sz w:val="20"/>
                <w:szCs w:val="20"/>
              </w:rPr>
            </w:pPr>
            <w:r>
              <w:rPr>
                <w:rFonts w:ascii="宋体" w:hAnsi="宋体" w:eastAsia="宋体" w:cs="宋体"/>
                <w:spacing w:val="1"/>
                <w:position w:val="1"/>
                <w:sz w:val="20"/>
                <w:szCs w:val="20"/>
              </w:rPr>
              <w:t>边长</w:t>
            </w:r>
            <w:r>
              <w:rPr>
                <w:rFonts w:ascii="Times New Roman" w:hAnsi="Times New Roman" w:eastAsia="Times New Roman" w:cs="Times New Roman"/>
                <w:spacing w:val="1"/>
                <w:position w:val="1"/>
                <w:sz w:val="20"/>
                <w:szCs w:val="20"/>
              </w:rPr>
              <w:t>=</w:t>
            </w:r>
            <w:r>
              <w:rPr>
                <w:rFonts w:ascii="Times New Roman" w:hAnsi="Times New Roman" w:eastAsia="Times New Roman" w:cs="Times New Roman"/>
                <w:position w:val="1"/>
                <w:sz w:val="20"/>
                <w:szCs w:val="20"/>
              </w:rPr>
              <w:t xml:space="preserve">5km </w:t>
            </w:r>
            <w:r>
              <w:rPr>
                <w:position w:val="-3"/>
                <w:sz w:val="20"/>
                <w:szCs w:val="20"/>
              </w:rPr>
              <w:drawing>
                <wp:inline distT="0" distB="0" distL="0" distR="0">
                  <wp:extent cx="95885" cy="139700"/>
                  <wp:effectExtent l="0" t="0" r="0" b="0"/>
                  <wp:docPr id="259" name="IM 259"/>
                  <wp:cNvGraphicFramePr/>
                  <a:graphic xmlns:a="http://schemas.openxmlformats.org/drawingml/2006/main">
                    <a:graphicData uri="http://schemas.openxmlformats.org/drawingml/2006/picture">
                      <pic:pic xmlns:pic="http://schemas.openxmlformats.org/drawingml/2006/picture">
                        <pic:nvPicPr>
                          <pic:cNvPr id="259" name="IM 259"/>
                          <pic:cNvPicPr/>
                        </pic:nvPicPr>
                        <pic:blipFill>
                          <a:blip r:embed="rId535"/>
                          <a:stretch>
                            <a:fillRect/>
                          </a:stretch>
                        </pic:blipFill>
                        <pic:spPr>
                          <a:xfrm>
                            <a:off x="0" y="0"/>
                            <a:ext cx="95953" cy="139748"/>
                          </a:xfrm>
                          <a:prstGeom prst="rect">
                            <a:avLst/>
                          </a:prstGeom>
                        </pic:spPr>
                      </pic:pic>
                    </a:graphicData>
                  </a:graphic>
                </wp:inline>
              </w:drawing>
            </w:r>
          </w:p>
        </w:tc>
      </w:tr>
      <w:tr w14:paraId="0195FC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44" w:type="dxa"/>
            <w:vMerge w:val="continue"/>
            <w:tcBorders>
              <w:top w:val="nil"/>
              <w:left w:val="single" w:color="000000" w:sz="10" w:space="0"/>
              <w:bottom w:val="nil"/>
            </w:tcBorders>
            <w:vAlign w:val="top"/>
          </w:tcPr>
          <w:p w14:paraId="366FF7FF">
            <w:pPr>
              <w:rPr>
                <w:rFonts w:ascii="Arial"/>
                <w:sz w:val="21"/>
              </w:rPr>
            </w:pPr>
          </w:p>
        </w:tc>
        <w:tc>
          <w:tcPr>
            <w:tcW w:w="1792" w:type="dxa"/>
            <w:vAlign w:val="top"/>
          </w:tcPr>
          <w:p w14:paraId="5DBB6D8E">
            <w:pPr>
              <w:spacing w:before="208" w:line="228" w:lineRule="auto"/>
              <w:ind w:left="474"/>
              <w:rPr>
                <w:rFonts w:ascii="宋体" w:hAnsi="宋体" w:eastAsia="宋体" w:cs="宋体"/>
                <w:sz w:val="20"/>
                <w:szCs w:val="20"/>
              </w:rPr>
            </w:pPr>
            <w:r>
              <w:rPr>
                <w:rFonts w:ascii="宋体" w:hAnsi="宋体" w:eastAsia="宋体" w:cs="宋体"/>
                <w:spacing w:val="7"/>
                <w:sz w:val="20"/>
                <w:szCs w:val="20"/>
              </w:rPr>
              <w:t>预测因</w:t>
            </w:r>
            <w:r>
              <w:rPr>
                <w:rFonts w:ascii="宋体" w:hAnsi="宋体" w:eastAsia="宋体" w:cs="宋体"/>
                <w:spacing w:val="6"/>
                <w:sz w:val="20"/>
                <w:szCs w:val="20"/>
              </w:rPr>
              <w:t>子</w:t>
            </w:r>
          </w:p>
        </w:tc>
        <w:tc>
          <w:tcPr>
            <w:tcW w:w="3780" w:type="dxa"/>
            <w:gridSpan w:val="8"/>
            <w:vAlign w:val="top"/>
          </w:tcPr>
          <w:p w14:paraId="6B21EBF6">
            <w:pPr>
              <w:spacing w:before="208" w:line="228" w:lineRule="auto"/>
              <w:ind w:left="1161"/>
              <w:rPr>
                <w:rFonts w:ascii="宋体" w:hAnsi="宋体" w:eastAsia="宋体" w:cs="宋体"/>
                <w:sz w:val="20"/>
                <w:szCs w:val="20"/>
              </w:rPr>
            </w:pPr>
            <w:r>
              <w:rPr>
                <w:rFonts w:ascii="宋体" w:hAnsi="宋体" w:eastAsia="宋体" w:cs="宋体"/>
                <w:spacing w:val="9"/>
                <w:sz w:val="20"/>
                <w:szCs w:val="20"/>
              </w:rPr>
              <w:t xml:space="preserve">预测因子 (  </w:t>
            </w:r>
            <w:r>
              <w:rPr>
                <w:rFonts w:ascii="宋体" w:hAnsi="宋体" w:eastAsia="宋体" w:cs="宋体"/>
                <w:spacing w:val="8"/>
                <w:sz w:val="20"/>
                <w:szCs w:val="20"/>
              </w:rPr>
              <w:t>)</w:t>
            </w:r>
          </w:p>
        </w:tc>
        <w:tc>
          <w:tcPr>
            <w:tcW w:w="3795" w:type="dxa"/>
            <w:gridSpan w:val="5"/>
            <w:tcBorders>
              <w:right w:val="single" w:color="000000" w:sz="10" w:space="0"/>
            </w:tcBorders>
            <w:vAlign w:val="top"/>
          </w:tcPr>
          <w:p w14:paraId="79E1C0E2">
            <w:pPr>
              <w:spacing w:before="52" w:line="312" w:lineRule="exact"/>
              <w:ind w:left="1114"/>
              <w:rPr>
                <w:rFonts w:ascii="Times New Roman" w:hAnsi="Times New Roman" w:eastAsia="Times New Roman" w:cs="Times New Roman"/>
                <w:sz w:val="20"/>
                <w:szCs w:val="20"/>
              </w:rPr>
            </w:pPr>
            <w:r>
              <w:rPr>
                <w:rFonts w:ascii="宋体" w:hAnsi="宋体" w:eastAsia="宋体" w:cs="宋体"/>
                <w:spacing w:val="2"/>
                <w:position w:val="7"/>
                <w:sz w:val="20"/>
                <w:szCs w:val="20"/>
              </w:rPr>
              <w:t xml:space="preserve">包括二次 </w:t>
            </w:r>
            <w:r>
              <w:rPr>
                <w:rFonts w:ascii="Times New Roman" w:hAnsi="Times New Roman" w:eastAsia="Times New Roman" w:cs="Times New Roman"/>
                <w:position w:val="7"/>
                <w:sz w:val="20"/>
                <w:szCs w:val="20"/>
              </w:rPr>
              <w:t>PM</w:t>
            </w:r>
            <w:r>
              <w:rPr>
                <w:rFonts w:ascii="Times New Roman" w:hAnsi="Times New Roman" w:eastAsia="Times New Roman" w:cs="Times New Roman"/>
                <w:spacing w:val="2"/>
                <w:position w:val="7"/>
                <w:sz w:val="20"/>
                <w:szCs w:val="20"/>
              </w:rPr>
              <w:t>2</w:t>
            </w:r>
            <w:r>
              <w:rPr>
                <w:rFonts w:ascii="Times New Roman" w:hAnsi="Times New Roman" w:eastAsia="Times New Roman" w:cs="Times New Roman"/>
                <w:spacing w:val="1"/>
                <w:position w:val="7"/>
                <w:sz w:val="20"/>
                <w:szCs w:val="20"/>
              </w:rPr>
              <w:t>.5□</w:t>
            </w:r>
          </w:p>
          <w:p w14:paraId="0CAC79A0">
            <w:pPr>
              <w:spacing w:before="1" w:line="222" w:lineRule="auto"/>
              <w:ind w:left="981"/>
              <w:rPr>
                <w:sz w:val="20"/>
                <w:szCs w:val="20"/>
              </w:rPr>
            </w:pPr>
            <w:r>
              <w:rPr>
                <w:rFonts w:ascii="宋体" w:hAnsi="宋体" w:eastAsia="宋体" w:cs="宋体"/>
                <w:spacing w:val="2"/>
                <w:sz w:val="20"/>
                <w:szCs w:val="20"/>
              </w:rPr>
              <w:t xml:space="preserve">不包括二次 </w:t>
            </w:r>
            <w:r>
              <w:rPr>
                <w:rFonts w:ascii="Times New Roman" w:hAnsi="Times New Roman" w:eastAsia="Times New Roman" w:cs="Times New Roman"/>
                <w:sz w:val="20"/>
                <w:szCs w:val="20"/>
              </w:rPr>
              <w:t>PM</w:t>
            </w:r>
            <w:r>
              <w:rPr>
                <w:rFonts w:ascii="Times New Roman" w:hAnsi="Times New Roman" w:eastAsia="Times New Roman" w:cs="Times New Roman"/>
                <w:spacing w:val="2"/>
                <w:sz w:val="20"/>
                <w:szCs w:val="20"/>
              </w:rPr>
              <w:t>2.</w:t>
            </w:r>
            <w:r>
              <w:rPr>
                <w:rFonts w:ascii="Times New Roman" w:hAnsi="Times New Roman" w:eastAsia="Times New Roman" w:cs="Times New Roman"/>
                <w:sz w:val="20"/>
                <w:szCs w:val="20"/>
              </w:rPr>
              <w:t>5</w:t>
            </w:r>
            <w:r>
              <w:rPr>
                <w:position w:val="-4"/>
                <w:sz w:val="20"/>
                <w:szCs w:val="20"/>
              </w:rPr>
              <w:drawing>
                <wp:inline distT="0" distB="0" distL="0" distR="0">
                  <wp:extent cx="107315" cy="139700"/>
                  <wp:effectExtent l="0" t="0" r="0" b="0"/>
                  <wp:docPr id="260" name="IM 260"/>
                  <wp:cNvGraphicFramePr/>
                  <a:graphic xmlns:a="http://schemas.openxmlformats.org/drawingml/2006/main">
                    <a:graphicData uri="http://schemas.openxmlformats.org/drawingml/2006/picture">
                      <pic:pic xmlns:pic="http://schemas.openxmlformats.org/drawingml/2006/picture">
                        <pic:nvPicPr>
                          <pic:cNvPr id="260" name="IM 260"/>
                          <pic:cNvPicPr/>
                        </pic:nvPicPr>
                        <pic:blipFill>
                          <a:blip r:embed="rId536"/>
                          <a:stretch>
                            <a:fillRect/>
                          </a:stretch>
                        </pic:blipFill>
                        <pic:spPr>
                          <a:xfrm>
                            <a:off x="0" y="0"/>
                            <a:ext cx="107807" cy="139748"/>
                          </a:xfrm>
                          <a:prstGeom prst="rect">
                            <a:avLst/>
                          </a:prstGeom>
                        </pic:spPr>
                      </pic:pic>
                    </a:graphicData>
                  </a:graphic>
                </wp:inline>
              </w:drawing>
            </w:r>
          </w:p>
        </w:tc>
      </w:tr>
      <w:tr w14:paraId="3C0008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44" w:type="dxa"/>
            <w:vMerge w:val="continue"/>
            <w:tcBorders>
              <w:top w:val="nil"/>
              <w:left w:val="single" w:color="000000" w:sz="10" w:space="0"/>
              <w:bottom w:val="nil"/>
            </w:tcBorders>
            <w:vAlign w:val="top"/>
          </w:tcPr>
          <w:p w14:paraId="08E21087">
            <w:pPr>
              <w:rPr>
                <w:rFonts w:ascii="Arial"/>
                <w:sz w:val="21"/>
              </w:rPr>
            </w:pPr>
          </w:p>
        </w:tc>
        <w:tc>
          <w:tcPr>
            <w:tcW w:w="1792" w:type="dxa"/>
            <w:vAlign w:val="top"/>
          </w:tcPr>
          <w:p w14:paraId="3497ACFF">
            <w:pPr>
              <w:spacing w:before="54" w:line="258" w:lineRule="auto"/>
              <w:ind w:left="580" w:right="64" w:hanging="523"/>
              <w:rPr>
                <w:rFonts w:ascii="宋体" w:hAnsi="宋体" w:eastAsia="宋体" w:cs="宋体"/>
                <w:sz w:val="20"/>
                <w:szCs w:val="20"/>
              </w:rPr>
            </w:pPr>
            <w:r>
              <w:rPr>
                <w:rFonts w:ascii="宋体" w:hAnsi="宋体" w:eastAsia="宋体" w:cs="宋体"/>
                <w:spacing w:val="9"/>
                <w:sz w:val="20"/>
                <w:szCs w:val="20"/>
              </w:rPr>
              <w:t>正</w:t>
            </w:r>
            <w:r>
              <w:rPr>
                <w:rFonts w:ascii="宋体" w:hAnsi="宋体" w:eastAsia="宋体" w:cs="宋体"/>
                <w:spacing w:val="8"/>
                <w:sz w:val="20"/>
                <w:szCs w:val="20"/>
              </w:rPr>
              <w:t>常排放短期浓度</w:t>
            </w:r>
            <w:r>
              <w:rPr>
                <w:rFonts w:ascii="宋体" w:hAnsi="宋体" w:eastAsia="宋体" w:cs="宋体"/>
                <w:sz w:val="20"/>
                <w:szCs w:val="20"/>
              </w:rPr>
              <w:t xml:space="preserve"> </w:t>
            </w:r>
            <w:r>
              <w:rPr>
                <w:rFonts w:ascii="宋体" w:hAnsi="宋体" w:eastAsia="宋体" w:cs="宋体"/>
                <w:spacing w:val="6"/>
                <w:sz w:val="20"/>
                <w:szCs w:val="20"/>
              </w:rPr>
              <w:t>贡献值</w:t>
            </w:r>
          </w:p>
        </w:tc>
        <w:tc>
          <w:tcPr>
            <w:tcW w:w="3780" w:type="dxa"/>
            <w:gridSpan w:val="8"/>
            <w:vAlign w:val="top"/>
          </w:tcPr>
          <w:p w14:paraId="10EFC00E">
            <w:pPr>
              <w:spacing w:before="173" w:line="281" w:lineRule="exact"/>
              <w:ind w:left="720"/>
              <w:rPr>
                <w:sz w:val="20"/>
                <w:szCs w:val="20"/>
              </w:rPr>
            </w:pPr>
            <w:r>
              <w:rPr>
                <w:rFonts w:ascii="Times New Roman" w:hAnsi="Times New Roman" w:eastAsia="Times New Roman" w:cs="Times New Roman"/>
                <w:sz w:val="20"/>
                <w:szCs w:val="20"/>
              </w:rPr>
              <w:t>C</w:t>
            </w:r>
            <w:r>
              <w:rPr>
                <w:rFonts w:ascii="Times New Roman" w:hAnsi="Times New Roman" w:eastAsia="Times New Roman" w:cs="Times New Roman"/>
                <w:spacing w:val="12"/>
                <w:sz w:val="20"/>
                <w:szCs w:val="20"/>
              </w:rPr>
              <w:t xml:space="preserve"> </w:t>
            </w:r>
            <w:r>
              <w:rPr>
                <w:rFonts w:ascii="宋体" w:hAnsi="宋体" w:eastAsia="宋体" w:cs="宋体"/>
                <w:spacing w:val="9"/>
                <w:position w:val="-2"/>
                <w:sz w:val="10"/>
                <w:szCs w:val="10"/>
              </w:rPr>
              <w:t>本</w:t>
            </w:r>
            <w:r>
              <w:rPr>
                <w:rFonts w:ascii="宋体" w:hAnsi="宋体" w:eastAsia="宋体" w:cs="宋体"/>
                <w:spacing w:val="6"/>
                <w:position w:val="-2"/>
                <w:sz w:val="10"/>
                <w:szCs w:val="10"/>
              </w:rPr>
              <w:t>项目</w:t>
            </w:r>
            <w:r>
              <w:rPr>
                <w:rFonts w:ascii="宋体" w:hAnsi="宋体" w:eastAsia="宋体" w:cs="宋体"/>
                <w:spacing w:val="6"/>
                <w:sz w:val="20"/>
                <w:szCs w:val="20"/>
              </w:rPr>
              <w:t>最大占标率</w:t>
            </w:r>
            <w:r>
              <w:rPr>
                <w:rFonts w:ascii="Times New Roman" w:hAnsi="Times New Roman" w:eastAsia="Times New Roman" w:cs="Times New Roman"/>
                <w:spacing w:val="6"/>
                <w:sz w:val="20"/>
                <w:szCs w:val="20"/>
              </w:rPr>
              <w:t>≤100%</w:t>
            </w:r>
            <w:r>
              <w:rPr>
                <w:position w:val="-3"/>
                <w:sz w:val="20"/>
                <w:szCs w:val="20"/>
              </w:rPr>
              <w:drawing>
                <wp:inline distT="0" distB="0" distL="0" distR="0">
                  <wp:extent cx="107315" cy="139700"/>
                  <wp:effectExtent l="0" t="0" r="0" b="0"/>
                  <wp:docPr id="261" name="IM 261"/>
                  <wp:cNvGraphicFramePr/>
                  <a:graphic xmlns:a="http://schemas.openxmlformats.org/drawingml/2006/main">
                    <a:graphicData uri="http://schemas.openxmlformats.org/drawingml/2006/picture">
                      <pic:pic xmlns:pic="http://schemas.openxmlformats.org/drawingml/2006/picture">
                        <pic:nvPicPr>
                          <pic:cNvPr id="261" name="IM 261"/>
                          <pic:cNvPicPr/>
                        </pic:nvPicPr>
                        <pic:blipFill>
                          <a:blip r:embed="rId535"/>
                          <a:stretch>
                            <a:fillRect/>
                          </a:stretch>
                        </pic:blipFill>
                        <pic:spPr>
                          <a:xfrm>
                            <a:off x="0" y="0"/>
                            <a:ext cx="107812" cy="139748"/>
                          </a:xfrm>
                          <a:prstGeom prst="rect">
                            <a:avLst/>
                          </a:prstGeom>
                        </pic:spPr>
                      </pic:pic>
                    </a:graphicData>
                  </a:graphic>
                </wp:inline>
              </w:drawing>
            </w:r>
          </w:p>
        </w:tc>
        <w:tc>
          <w:tcPr>
            <w:tcW w:w="3795" w:type="dxa"/>
            <w:gridSpan w:val="5"/>
            <w:tcBorders>
              <w:right w:val="single" w:color="000000" w:sz="10" w:space="0"/>
            </w:tcBorders>
            <w:vAlign w:val="top"/>
          </w:tcPr>
          <w:p w14:paraId="040D6C83">
            <w:pPr>
              <w:spacing w:before="173" w:line="281" w:lineRule="exact"/>
              <w:ind w:left="713"/>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C</w:t>
            </w:r>
            <w:r>
              <w:rPr>
                <w:rFonts w:ascii="Times New Roman" w:hAnsi="Times New Roman" w:eastAsia="Times New Roman" w:cs="Times New Roman"/>
                <w:spacing w:val="4"/>
                <w:position w:val="2"/>
                <w:sz w:val="20"/>
                <w:szCs w:val="20"/>
              </w:rPr>
              <w:t xml:space="preserve"> </w:t>
            </w:r>
            <w:r>
              <w:rPr>
                <w:rFonts w:ascii="宋体" w:hAnsi="宋体" w:eastAsia="宋体" w:cs="宋体"/>
                <w:spacing w:val="4"/>
                <w:sz w:val="10"/>
                <w:szCs w:val="10"/>
              </w:rPr>
              <w:t>本项目</w:t>
            </w:r>
            <w:r>
              <w:rPr>
                <w:rFonts w:ascii="宋体" w:hAnsi="宋体" w:eastAsia="宋体" w:cs="宋体"/>
                <w:spacing w:val="4"/>
                <w:position w:val="2"/>
                <w:sz w:val="20"/>
                <w:szCs w:val="20"/>
              </w:rPr>
              <w:t>最大占标率＞</w:t>
            </w:r>
            <w:r>
              <w:rPr>
                <w:rFonts w:ascii="Times New Roman" w:hAnsi="Times New Roman" w:eastAsia="Times New Roman" w:cs="Times New Roman"/>
                <w:spacing w:val="4"/>
                <w:position w:val="2"/>
                <w:sz w:val="20"/>
                <w:szCs w:val="20"/>
              </w:rPr>
              <w:t xml:space="preserve">100% </w:t>
            </w:r>
            <w:r>
              <w:rPr>
                <w:rFonts w:ascii="Times New Roman" w:hAnsi="Times New Roman" w:eastAsia="Times New Roman" w:cs="Times New Roman"/>
                <w:spacing w:val="3"/>
                <w:position w:val="2"/>
                <w:sz w:val="20"/>
                <w:szCs w:val="20"/>
              </w:rPr>
              <w:t>□</w:t>
            </w:r>
          </w:p>
        </w:tc>
      </w:tr>
      <w:tr w14:paraId="6E6C07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44" w:type="dxa"/>
            <w:vMerge w:val="continue"/>
            <w:tcBorders>
              <w:top w:val="nil"/>
              <w:left w:val="single" w:color="000000" w:sz="10" w:space="0"/>
              <w:bottom w:val="nil"/>
            </w:tcBorders>
            <w:vAlign w:val="top"/>
          </w:tcPr>
          <w:p w14:paraId="645E9F02">
            <w:pPr>
              <w:rPr>
                <w:rFonts w:ascii="Arial"/>
                <w:sz w:val="21"/>
              </w:rPr>
            </w:pPr>
          </w:p>
        </w:tc>
        <w:tc>
          <w:tcPr>
            <w:tcW w:w="1792" w:type="dxa"/>
            <w:vMerge w:val="restart"/>
            <w:tcBorders>
              <w:bottom w:val="nil"/>
            </w:tcBorders>
            <w:vAlign w:val="top"/>
          </w:tcPr>
          <w:p w14:paraId="3D1BE5B3">
            <w:pPr>
              <w:spacing w:before="60" w:line="258" w:lineRule="auto"/>
              <w:ind w:left="580" w:right="64" w:hanging="523"/>
              <w:rPr>
                <w:rFonts w:ascii="宋体" w:hAnsi="宋体" w:eastAsia="宋体" w:cs="宋体"/>
                <w:sz w:val="20"/>
                <w:szCs w:val="20"/>
              </w:rPr>
            </w:pPr>
            <w:r>
              <w:rPr>
                <w:rFonts w:ascii="宋体" w:hAnsi="宋体" w:eastAsia="宋体" w:cs="宋体"/>
                <w:spacing w:val="9"/>
                <w:sz w:val="20"/>
                <w:szCs w:val="20"/>
              </w:rPr>
              <w:t>正</w:t>
            </w:r>
            <w:r>
              <w:rPr>
                <w:rFonts w:ascii="宋体" w:hAnsi="宋体" w:eastAsia="宋体" w:cs="宋体"/>
                <w:spacing w:val="8"/>
                <w:sz w:val="20"/>
                <w:szCs w:val="20"/>
              </w:rPr>
              <w:t>常排放年均浓度</w:t>
            </w:r>
            <w:r>
              <w:rPr>
                <w:rFonts w:ascii="宋体" w:hAnsi="宋体" w:eastAsia="宋体" w:cs="宋体"/>
                <w:sz w:val="20"/>
                <w:szCs w:val="20"/>
              </w:rPr>
              <w:t xml:space="preserve"> </w:t>
            </w:r>
            <w:r>
              <w:rPr>
                <w:rFonts w:ascii="宋体" w:hAnsi="宋体" w:eastAsia="宋体" w:cs="宋体"/>
                <w:spacing w:val="6"/>
                <w:sz w:val="20"/>
                <w:szCs w:val="20"/>
              </w:rPr>
              <w:t>贡献值</w:t>
            </w:r>
          </w:p>
        </w:tc>
        <w:tc>
          <w:tcPr>
            <w:tcW w:w="943" w:type="dxa"/>
            <w:vAlign w:val="top"/>
          </w:tcPr>
          <w:p w14:paraId="173BC554">
            <w:pPr>
              <w:spacing w:before="55" w:line="228" w:lineRule="auto"/>
              <w:ind w:left="160"/>
              <w:rPr>
                <w:rFonts w:ascii="宋体" w:hAnsi="宋体" w:eastAsia="宋体" w:cs="宋体"/>
                <w:sz w:val="20"/>
                <w:szCs w:val="20"/>
              </w:rPr>
            </w:pPr>
            <w:r>
              <w:rPr>
                <w:rFonts w:ascii="宋体" w:hAnsi="宋体" w:eastAsia="宋体" w:cs="宋体"/>
                <w:spacing w:val="6"/>
                <w:sz w:val="20"/>
                <w:szCs w:val="20"/>
              </w:rPr>
              <w:t>一类</w:t>
            </w:r>
            <w:r>
              <w:rPr>
                <w:rFonts w:ascii="宋体" w:hAnsi="宋体" w:eastAsia="宋体" w:cs="宋体"/>
                <w:spacing w:val="5"/>
                <w:sz w:val="20"/>
                <w:szCs w:val="20"/>
              </w:rPr>
              <w:t>区</w:t>
            </w:r>
          </w:p>
        </w:tc>
        <w:tc>
          <w:tcPr>
            <w:tcW w:w="2837" w:type="dxa"/>
            <w:gridSpan w:val="7"/>
            <w:vAlign w:val="top"/>
          </w:tcPr>
          <w:p w14:paraId="6EDC8D69">
            <w:pPr>
              <w:spacing w:before="18" w:line="281" w:lineRule="exact"/>
              <w:ind w:left="331"/>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C</w:t>
            </w:r>
            <w:r>
              <w:rPr>
                <w:rFonts w:ascii="Times New Roman" w:hAnsi="Times New Roman" w:eastAsia="Times New Roman" w:cs="Times New Roman"/>
                <w:spacing w:val="6"/>
                <w:position w:val="2"/>
                <w:sz w:val="20"/>
                <w:szCs w:val="20"/>
              </w:rPr>
              <w:t xml:space="preserve"> </w:t>
            </w:r>
            <w:r>
              <w:rPr>
                <w:rFonts w:ascii="宋体" w:hAnsi="宋体" w:eastAsia="宋体" w:cs="宋体"/>
                <w:spacing w:val="6"/>
                <w:sz w:val="10"/>
                <w:szCs w:val="10"/>
              </w:rPr>
              <w:t>本项</w:t>
            </w:r>
            <w:r>
              <w:rPr>
                <w:rFonts w:ascii="宋体" w:hAnsi="宋体" w:eastAsia="宋体" w:cs="宋体"/>
                <w:spacing w:val="3"/>
                <w:sz w:val="10"/>
                <w:szCs w:val="10"/>
              </w:rPr>
              <w:t>目</w:t>
            </w:r>
            <w:r>
              <w:rPr>
                <w:rFonts w:ascii="宋体" w:hAnsi="宋体" w:eastAsia="宋体" w:cs="宋体"/>
                <w:spacing w:val="3"/>
                <w:position w:val="2"/>
                <w:sz w:val="20"/>
                <w:szCs w:val="20"/>
              </w:rPr>
              <w:t>最大占标率</w:t>
            </w:r>
            <w:r>
              <w:rPr>
                <w:rFonts w:ascii="Times New Roman" w:hAnsi="Times New Roman" w:eastAsia="Times New Roman" w:cs="Times New Roman"/>
                <w:spacing w:val="3"/>
                <w:position w:val="2"/>
                <w:sz w:val="20"/>
                <w:szCs w:val="20"/>
              </w:rPr>
              <w:t>≤10% □</w:t>
            </w:r>
          </w:p>
        </w:tc>
        <w:tc>
          <w:tcPr>
            <w:tcW w:w="3795" w:type="dxa"/>
            <w:gridSpan w:val="5"/>
            <w:tcBorders>
              <w:right w:val="single" w:color="000000" w:sz="10" w:space="0"/>
            </w:tcBorders>
            <w:vAlign w:val="top"/>
          </w:tcPr>
          <w:p w14:paraId="6F7E5CC8">
            <w:pPr>
              <w:spacing w:before="18" w:line="281" w:lineRule="exact"/>
              <w:ind w:left="765"/>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C</w:t>
            </w:r>
            <w:r>
              <w:rPr>
                <w:rFonts w:ascii="Times New Roman" w:hAnsi="Times New Roman" w:eastAsia="Times New Roman" w:cs="Times New Roman"/>
                <w:spacing w:val="4"/>
                <w:position w:val="2"/>
                <w:sz w:val="20"/>
                <w:szCs w:val="20"/>
              </w:rPr>
              <w:t xml:space="preserve"> </w:t>
            </w:r>
            <w:r>
              <w:rPr>
                <w:rFonts w:ascii="宋体" w:hAnsi="宋体" w:eastAsia="宋体" w:cs="宋体"/>
                <w:spacing w:val="4"/>
                <w:sz w:val="10"/>
                <w:szCs w:val="10"/>
              </w:rPr>
              <w:t>本项目</w:t>
            </w:r>
            <w:r>
              <w:rPr>
                <w:rFonts w:ascii="宋体" w:hAnsi="宋体" w:eastAsia="宋体" w:cs="宋体"/>
                <w:spacing w:val="4"/>
                <w:position w:val="2"/>
                <w:sz w:val="20"/>
                <w:szCs w:val="20"/>
              </w:rPr>
              <w:t>最大占标率＞</w:t>
            </w:r>
            <w:r>
              <w:rPr>
                <w:rFonts w:ascii="Times New Roman" w:hAnsi="Times New Roman" w:eastAsia="Times New Roman" w:cs="Times New Roman"/>
                <w:spacing w:val="4"/>
                <w:position w:val="2"/>
                <w:sz w:val="20"/>
                <w:szCs w:val="20"/>
              </w:rPr>
              <w:t xml:space="preserve">10% </w:t>
            </w:r>
            <w:r>
              <w:rPr>
                <w:rFonts w:ascii="Times New Roman" w:hAnsi="Times New Roman" w:eastAsia="Times New Roman" w:cs="Times New Roman"/>
                <w:spacing w:val="1"/>
                <w:position w:val="2"/>
                <w:sz w:val="20"/>
                <w:szCs w:val="20"/>
              </w:rPr>
              <w:t>□</w:t>
            </w:r>
          </w:p>
        </w:tc>
      </w:tr>
      <w:tr w14:paraId="582F98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44" w:type="dxa"/>
            <w:vMerge w:val="continue"/>
            <w:tcBorders>
              <w:top w:val="nil"/>
              <w:left w:val="single" w:color="000000" w:sz="10" w:space="0"/>
              <w:bottom w:val="nil"/>
            </w:tcBorders>
            <w:vAlign w:val="top"/>
          </w:tcPr>
          <w:p w14:paraId="281590A4">
            <w:pPr>
              <w:rPr>
                <w:rFonts w:ascii="Arial"/>
                <w:sz w:val="21"/>
              </w:rPr>
            </w:pPr>
          </w:p>
        </w:tc>
        <w:tc>
          <w:tcPr>
            <w:tcW w:w="1792" w:type="dxa"/>
            <w:vMerge w:val="continue"/>
            <w:tcBorders>
              <w:top w:val="nil"/>
            </w:tcBorders>
            <w:vAlign w:val="top"/>
          </w:tcPr>
          <w:p w14:paraId="29CD2CD9">
            <w:pPr>
              <w:rPr>
                <w:rFonts w:ascii="Arial"/>
                <w:sz w:val="21"/>
              </w:rPr>
            </w:pPr>
          </w:p>
        </w:tc>
        <w:tc>
          <w:tcPr>
            <w:tcW w:w="943" w:type="dxa"/>
            <w:vAlign w:val="top"/>
          </w:tcPr>
          <w:p w14:paraId="672CB3C0">
            <w:pPr>
              <w:spacing w:before="55" w:line="228" w:lineRule="auto"/>
              <w:ind w:left="160"/>
              <w:rPr>
                <w:rFonts w:ascii="宋体" w:hAnsi="宋体" w:eastAsia="宋体" w:cs="宋体"/>
                <w:sz w:val="20"/>
                <w:szCs w:val="20"/>
              </w:rPr>
            </w:pPr>
            <w:r>
              <w:rPr>
                <w:rFonts w:ascii="宋体" w:hAnsi="宋体" w:eastAsia="宋体" w:cs="宋体"/>
                <w:spacing w:val="6"/>
                <w:sz w:val="20"/>
                <w:szCs w:val="20"/>
              </w:rPr>
              <w:t>二类</w:t>
            </w:r>
            <w:r>
              <w:rPr>
                <w:rFonts w:ascii="宋体" w:hAnsi="宋体" w:eastAsia="宋体" w:cs="宋体"/>
                <w:spacing w:val="5"/>
                <w:sz w:val="20"/>
                <w:szCs w:val="20"/>
              </w:rPr>
              <w:t>区</w:t>
            </w:r>
          </w:p>
        </w:tc>
        <w:tc>
          <w:tcPr>
            <w:tcW w:w="2837" w:type="dxa"/>
            <w:gridSpan w:val="7"/>
            <w:vAlign w:val="top"/>
          </w:tcPr>
          <w:p w14:paraId="72BF86CD">
            <w:pPr>
              <w:spacing w:before="17" w:line="281" w:lineRule="exact"/>
              <w:ind w:left="302"/>
              <w:rPr>
                <w:sz w:val="20"/>
                <w:szCs w:val="20"/>
              </w:rPr>
            </w:pPr>
            <w:r>
              <w:rPr>
                <w:rFonts w:ascii="Times New Roman" w:hAnsi="Times New Roman" w:eastAsia="Times New Roman" w:cs="Times New Roman"/>
                <w:position w:val="1"/>
                <w:sz w:val="20"/>
                <w:szCs w:val="20"/>
              </w:rPr>
              <w:t>C</w:t>
            </w:r>
            <w:r>
              <w:rPr>
                <w:rFonts w:ascii="Times New Roman" w:hAnsi="Times New Roman" w:eastAsia="Times New Roman" w:cs="Times New Roman"/>
                <w:spacing w:val="12"/>
                <w:position w:val="1"/>
                <w:sz w:val="20"/>
                <w:szCs w:val="20"/>
              </w:rPr>
              <w:t xml:space="preserve"> </w:t>
            </w:r>
            <w:r>
              <w:rPr>
                <w:rFonts w:ascii="宋体" w:hAnsi="宋体" w:eastAsia="宋体" w:cs="宋体"/>
                <w:spacing w:val="10"/>
                <w:position w:val="-1"/>
                <w:sz w:val="10"/>
                <w:szCs w:val="10"/>
              </w:rPr>
              <w:t>本</w:t>
            </w:r>
            <w:r>
              <w:rPr>
                <w:rFonts w:ascii="宋体" w:hAnsi="宋体" w:eastAsia="宋体" w:cs="宋体"/>
                <w:spacing w:val="6"/>
                <w:position w:val="-1"/>
                <w:sz w:val="10"/>
                <w:szCs w:val="10"/>
              </w:rPr>
              <w:t>项目</w:t>
            </w:r>
            <w:r>
              <w:rPr>
                <w:rFonts w:ascii="宋体" w:hAnsi="宋体" w:eastAsia="宋体" w:cs="宋体"/>
                <w:spacing w:val="6"/>
                <w:position w:val="1"/>
                <w:sz w:val="20"/>
                <w:szCs w:val="20"/>
              </w:rPr>
              <w:t>最大占标率</w:t>
            </w:r>
            <w:r>
              <w:rPr>
                <w:rFonts w:ascii="Times New Roman" w:hAnsi="Times New Roman" w:eastAsia="Times New Roman" w:cs="Times New Roman"/>
                <w:spacing w:val="6"/>
                <w:position w:val="1"/>
                <w:sz w:val="20"/>
                <w:szCs w:val="20"/>
              </w:rPr>
              <w:t>≤30%</w:t>
            </w:r>
            <w:r>
              <w:rPr>
                <w:position w:val="-3"/>
                <w:sz w:val="20"/>
                <w:szCs w:val="20"/>
              </w:rPr>
              <w:drawing>
                <wp:inline distT="0" distB="0" distL="0" distR="0">
                  <wp:extent cx="107315" cy="139700"/>
                  <wp:effectExtent l="0" t="0" r="0" b="0"/>
                  <wp:docPr id="262" name="IM 262"/>
                  <wp:cNvGraphicFramePr/>
                  <a:graphic xmlns:a="http://schemas.openxmlformats.org/drawingml/2006/main">
                    <a:graphicData uri="http://schemas.openxmlformats.org/drawingml/2006/picture">
                      <pic:pic xmlns:pic="http://schemas.openxmlformats.org/drawingml/2006/picture">
                        <pic:nvPicPr>
                          <pic:cNvPr id="262" name="IM 262"/>
                          <pic:cNvPicPr/>
                        </pic:nvPicPr>
                        <pic:blipFill>
                          <a:blip r:embed="rId540"/>
                          <a:stretch>
                            <a:fillRect/>
                          </a:stretch>
                        </pic:blipFill>
                        <pic:spPr>
                          <a:xfrm>
                            <a:off x="0" y="0"/>
                            <a:ext cx="107808" cy="139748"/>
                          </a:xfrm>
                          <a:prstGeom prst="rect">
                            <a:avLst/>
                          </a:prstGeom>
                        </pic:spPr>
                      </pic:pic>
                    </a:graphicData>
                  </a:graphic>
                </wp:inline>
              </w:drawing>
            </w:r>
          </w:p>
        </w:tc>
        <w:tc>
          <w:tcPr>
            <w:tcW w:w="3795" w:type="dxa"/>
            <w:gridSpan w:val="5"/>
            <w:tcBorders>
              <w:right w:val="single" w:color="000000" w:sz="10" w:space="0"/>
            </w:tcBorders>
            <w:vAlign w:val="top"/>
          </w:tcPr>
          <w:p w14:paraId="550EEB53">
            <w:pPr>
              <w:spacing w:before="17" w:line="281" w:lineRule="exact"/>
              <w:ind w:left="765"/>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C</w:t>
            </w:r>
            <w:r>
              <w:rPr>
                <w:rFonts w:ascii="Times New Roman" w:hAnsi="Times New Roman" w:eastAsia="Times New Roman" w:cs="Times New Roman"/>
                <w:spacing w:val="4"/>
                <w:position w:val="2"/>
                <w:sz w:val="20"/>
                <w:szCs w:val="20"/>
              </w:rPr>
              <w:t xml:space="preserve"> </w:t>
            </w:r>
            <w:r>
              <w:rPr>
                <w:rFonts w:ascii="宋体" w:hAnsi="宋体" w:eastAsia="宋体" w:cs="宋体"/>
                <w:spacing w:val="4"/>
                <w:sz w:val="10"/>
                <w:szCs w:val="10"/>
              </w:rPr>
              <w:t>本项目</w:t>
            </w:r>
            <w:r>
              <w:rPr>
                <w:rFonts w:ascii="宋体" w:hAnsi="宋体" w:eastAsia="宋体" w:cs="宋体"/>
                <w:spacing w:val="4"/>
                <w:position w:val="2"/>
                <w:sz w:val="20"/>
                <w:szCs w:val="20"/>
              </w:rPr>
              <w:t>最大占标率＞</w:t>
            </w:r>
            <w:r>
              <w:rPr>
                <w:rFonts w:ascii="Times New Roman" w:hAnsi="Times New Roman" w:eastAsia="Times New Roman" w:cs="Times New Roman"/>
                <w:spacing w:val="4"/>
                <w:position w:val="2"/>
                <w:sz w:val="20"/>
                <w:szCs w:val="20"/>
              </w:rPr>
              <w:t xml:space="preserve">30% </w:t>
            </w:r>
            <w:r>
              <w:rPr>
                <w:rFonts w:ascii="Times New Roman" w:hAnsi="Times New Roman" w:eastAsia="Times New Roman" w:cs="Times New Roman"/>
                <w:spacing w:val="1"/>
                <w:position w:val="2"/>
                <w:sz w:val="20"/>
                <w:szCs w:val="20"/>
              </w:rPr>
              <w:t>□</w:t>
            </w:r>
          </w:p>
        </w:tc>
      </w:tr>
      <w:tr w14:paraId="0C6CCE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44" w:type="dxa"/>
            <w:vMerge w:val="continue"/>
            <w:tcBorders>
              <w:top w:val="nil"/>
              <w:left w:val="single" w:color="000000" w:sz="10" w:space="0"/>
              <w:bottom w:val="nil"/>
            </w:tcBorders>
            <w:vAlign w:val="top"/>
          </w:tcPr>
          <w:p w14:paraId="294A289F">
            <w:pPr>
              <w:rPr>
                <w:rFonts w:ascii="Arial"/>
                <w:sz w:val="21"/>
              </w:rPr>
            </w:pPr>
          </w:p>
        </w:tc>
        <w:tc>
          <w:tcPr>
            <w:tcW w:w="1792" w:type="dxa"/>
            <w:vAlign w:val="top"/>
          </w:tcPr>
          <w:p w14:paraId="66C09DA4">
            <w:pPr>
              <w:spacing w:before="17" w:line="275" w:lineRule="auto"/>
              <w:ind w:left="580" w:right="28" w:hanging="558"/>
              <w:rPr>
                <w:rFonts w:ascii="宋体" w:hAnsi="宋体" w:eastAsia="宋体" w:cs="宋体"/>
                <w:sz w:val="20"/>
                <w:szCs w:val="20"/>
              </w:rPr>
            </w:pPr>
            <w:r>
              <w:rPr>
                <w:rFonts w:ascii="宋体" w:hAnsi="宋体" w:eastAsia="宋体" w:cs="宋体"/>
                <w:spacing w:val="-2"/>
                <w:sz w:val="20"/>
                <w:szCs w:val="20"/>
              </w:rPr>
              <w:t>非正常排</w:t>
            </w:r>
            <w:r>
              <w:rPr>
                <w:rFonts w:ascii="宋体" w:hAnsi="宋体" w:eastAsia="宋体" w:cs="宋体"/>
                <w:spacing w:val="-1"/>
                <w:sz w:val="20"/>
                <w:szCs w:val="20"/>
              </w:rPr>
              <w:t xml:space="preserve">放 </w:t>
            </w:r>
            <w:r>
              <w:rPr>
                <w:rFonts w:ascii="Times New Roman" w:hAnsi="Times New Roman" w:eastAsia="Times New Roman" w:cs="Times New Roman"/>
                <w:spacing w:val="-1"/>
                <w:sz w:val="20"/>
                <w:szCs w:val="20"/>
              </w:rPr>
              <w:t xml:space="preserve">1h </w:t>
            </w:r>
            <w:r>
              <w:rPr>
                <w:rFonts w:ascii="宋体" w:hAnsi="宋体" w:eastAsia="宋体" w:cs="宋体"/>
                <w:spacing w:val="-1"/>
                <w:sz w:val="20"/>
                <w:szCs w:val="20"/>
              </w:rPr>
              <w:t>浓度</w:t>
            </w:r>
            <w:r>
              <w:rPr>
                <w:rFonts w:ascii="宋体" w:hAnsi="宋体" w:eastAsia="宋体" w:cs="宋体"/>
                <w:sz w:val="20"/>
                <w:szCs w:val="20"/>
              </w:rPr>
              <w:t xml:space="preserve"> </w:t>
            </w:r>
            <w:r>
              <w:rPr>
                <w:rFonts w:ascii="宋体" w:hAnsi="宋体" w:eastAsia="宋体" w:cs="宋体"/>
                <w:spacing w:val="6"/>
                <w:sz w:val="20"/>
                <w:szCs w:val="20"/>
              </w:rPr>
              <w:t>贡献值</w:t>
            </w:r>
          </w:p>
        </w:tc>
        <w:tc>
          <w:tcPr>
            <w:tcW w:w="1571" w:type="dxa"/>
            <w:gridSpan w:val="3"/>
            <w:vAlign w:val="top"/>
          </w:tcPr>
          <w:p w14:paraId="0941FED8">
            <w:pPr>
              <w:spacing w:before="54" w:line="265" w:lineRule="auto"/>
              <w:ind w:left="533" w:right="53" w:hanging="479"/>
              <w:rPr>
                <w:rFonts w:ascii="Times New Roman" w:hAnsi="Times New Roman" w:eastAsia="Times New Roman" w:cs="Times New Roman"/>
                <w:sz w:val="20"/>
                <w:szCs w:val="20"/>
              </w:rPr>
            </w:pPr>
            <w:r>
              <w:rPr>
                <w:rFonts w:ascii="宋体" w:hAnsi="宋体" w:eastAsia="宋体" w:cs="宋体"/>
                <w:spacing w:val="9"/>
                <w:sz w:val="20"/>
                <w:szCs w:val="20"/>
              </w:rPr>
              <w:t>非</w:t>
            </w:r>
            <w:r>
              <w:rPr>
                <w:rFonts w:ascii="宋体" w:hAnsi="宋体" w:eastAsia="宋体" w:cs="宋体"/>
                <w:spacing w:val="8"/>
                <w:sz w:val="20"/>
                <w:szCs w:val="20"/>
              </w:rPr>
              <w:t>正常持续时长</w:t>
            </w:r>
            <w:r>
              <w:rPr>
                <w:rFonts w:ascii="宋体" w:hAnsi="宋体" w:eastAsia="宋体" w:cs="宋体"/>
                <w:sz w:val="20"/>
                <w:szCs w:val="20"/>
              </w:rPr>
              <w:t xml:space="preserve"> </w:t>
            </w:r>
            <w:r>
              <w:rPr>
                <w:rFonts w:ascii="宋体" w:hAnsi="宋体" w:eastAsia="宋体" w:cs="宋体"/>
                <w:spacing w:val="36"/>
                <w:sz w:val="20"/>
                <w:szCs w:val="20"/>
              </w:rPr>
              <w:t>(</w:t>
            </w:r>
            <w:r>
              <w:rPr>
                <w:rFonts w:ascii="宋体" w:hAnsi="宋体" w:eastAsia="宋体" w:cs="宋体"/>
                <w:spacing w:val="35"/>
                <w:sz w:val="20"/>
                <w:szCs w:val="20"/>
              </w:rPr>
              <w:t xml:space="preserve">) </w:t>
            </w:r>
            <w:r>
              <w:rPr>
                <w:rFonts w:ascii="Times New Roman" w:hAnsi="Times New Roman" w:eastAsia="Times New Roman" w:cs="Times New Roman"/>
                <w:sz w:val="20"/>
                <w:szCs w:val="20"/>
              </w:rPr>
              <w:t>h</w:t>
            </w:r>
          </w:p>
        </w:tc>
        <w:tc>
          <w:tcPr>
            <w:tcW w:w="2209" w:type="dxa"/>
            <w:gridSpan w:val="5"/>
            <w:vAlign w:val="top"/>
          </w:tcPr>
          <w:p w14:paraId="2F3F0FE1">
            <w:pPr>
              <w:spacing w:before="173" w:line="281" w:lineRule="exact"/>
              <w:ind w:left="200"/>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c</w:t>
            </w:r>
            <w:r>
              <w:rPr>
                <w:rFonts w:ascii="Times New Roman" w:hAnsi="Times New Roman" w:eastAsia="Times New Roman" w:cs="Times New Roman"/>
                <w:spacing w:val="-1"/>
                <w:position w:val="2"/>
                <w:sz w:val="20"/>
                <w:szCs w:val="20"/>
              </w:rPr>
              <w:t xml:space="preserve"> </w:t>
            </w:r>
            <w:r>
              <w:rPr>
                <w:rFonts w:ascii="宋体" w:hAnsi="宋体" w:eastAsia="宋体" w:cs="宋体"/>
                <w:spacing w:val="-1"/>
                <w:sz w:val="10"/>
                <w:szCs w:val="10"/>
              </w:rPr>
              <w:t xml:space="preserve">非正常 </w:t>
            </w:r>
            <w:r>
              <w:rPr>
                <w:rFonts w:ascii="宋体" w:hAnsi="宋体" w:eastAsia="宋体" w:cs="宋体"/>
                <w:spacing w:val="-1"/>
                <w:position w:val="2"/>
                <w:sz w:val="20"/>
                <w:szCs w:val="20"/>
              </w:rPr>
              <w:t>占标率</w:t>
            </w:r>
            <w:r>
              <w:rPr>
                <w:rFonts w:ascii="Times New Roman" w:hAnsi="Times New Roman" w:eastAsia="Times New Roman" w:cs="Times New Roman"/>
                <w:spacing w:val="-1"/>
                <w:position w:val="2"/>
                <w:sz w:val="20"/>
                <w:szCs w:val="20"/>
              </w:rPr>
              <w:t xml:space="preserve">≤100% </w:t>
            </w:r>
            <w:r>
              <w:rPr>
                <w:rFonts w:ascii="Times New Roman" w:hAnsi="Times New Roman" w:eastAsia="Times New Roman" w:cs="Times New Roman"/>
                <w:position w:val="2"/>
                <w:sz w:val="20"/>
                <w:szCs w:val="20"/>
              </w:rPr>
              <w:t>□</w:t>
            </w:r>
          </w:p>
        </w:tc>
        <w:tc>
          <w:tcPr>
            <w:tcW w:w="3795" w:type="dxa"/>
            <w:gridSpan w:val="5"/>
            <w:tcBorders>
              <w:right w:val="single" w:color="000000" w:sz="10" w:space="0"/>
            </w:tcBorders>
            <w:vAlign w:val="top"/>
          </w:tcPr>
          <w:p w14:paraId="417C2A50">
            <w:pPr>
              <w:spacing w:before="173" w:line="281" w:lineRule="exact"/>
              <w:ind w:left="945"/>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c</w:t>
            </w:r>
            <w:r>
              <w:rPr>
                <w:rFonts w:ascii="Times New Roman" w:hAnsi="Times New Roman" w:eastAsia="Times New Roman" w:cs="Times New Roman"/>
                <w:spacing w:val="-1"/>
                <w:position w:val="2"/>
                <w:sz w:val="20"/>
                <w:szCs w:val="20"/>
              </w:rPr>
              <w:t xml:space="preserve"> </w:t>
            </w:r>
            <w:r>
              <w:rPr>
                <w:rFonts w:ascii="宋体" w:hAnsi="宋体" w:eastAsia="宋体" w:cs="宋体"/>
                <w:spacing w:val="-1"/>
                <w:sz w:val="10"/>
                <w:szCs w:val="10"/>
              </w:rPr>
              <w:t xml:space="preserve">非正常 </w:t>
            </w:r>
            <w:r>
              <w:rPr>
                <w:rFonts w:ascii="宋体" w:hAnsi="宋体" w:eastAsia="宋体" w:cs="宋体"/>
                <w:spacing w:val="-1"/>
                <w:position w:val="2"/>
                <w:sz w:val="20"/>
                <w:szCs w:val="20"/>
              </w:rPr>
              <w:t>占标率</w:t>
            </w:r>
            <w:r>
              <w:rPr>
                <w:rFonts w:ascii="宋体" w:hAnsi="宋体" w:eastAsia="宋体" w:cs="宋体"/>
                <w:position w:val="2"/>
                <w:sz w:val="20"/>
                <w:szCs w:val="20"/>
              </w:rPr>
              <w:t>＞</w:t>
            </w:r>
            <w:r>
              <w:rPr>
                <w:rFonts w:ascii="Times New Roman" w:hAnsi="Times New Roman" w:eastAsia="Times New Roman" w:cs="Times New Roman"/>
                <w:position w:val="2"/>
                <w:sz w:val="20"/>
                <w:szCs w:val="20"/>
              </w:rPr>
              <w:t>100% □</w:t>
            </w:r>
          </w:p>
        </w:tc>
      </w:tr>
      <w:tr w14:paraId="1E2ABD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044" w:type="dxa"/>
            <w:vMerge w:val="continue"/>
            <w:tcBorders>
              <w:top w:val="nil"/>
              <w:left w:val="single" w:color="000000" w:sz="10" w:space="0"/>
              <w:bottom w:val="nil"/>
            </w:tcBorders>
            <w:vAlign w:val="top"/>
          </w:tcPr>
          <w:p w14:paraId="57ECACE1">
            <w:pPr>
              <w:rPr>
                <w:rFonts w:ascii="Arial"/>
                <w:sz w:val="21"/>
              </w:rPr>
            </w:pPr>
          </w:p>
        </w:tc>
        <w:tc>
          <w:tcPr>
            <w:tcW w:w="1792" w:type="dxa"/>
            <w:vAlign w:val="top"/>
          </w:tcPr>
          <w:p w14:paraId="6A5A4C6C">
            <w:pPr>
              <w:spacing w:before="54" w:line="228" w:lineRule="auto"/>
              <w:ind w:left="53"/>
              <w:rPr>
                <w:rFonts w:ascii="宋体" w:hAnsi="宋体" w:eastAsia="宋体" w:cs="宋体"/>
                <w:sz w:val="20"/>
                <w:szCs w:val="20"/>
              </w:rPr>
            </w:pPr>
            <w:r>
              <w:rPr>
                <w:rFonts w:ascii="宋体" w:hAnsi="宋体" w:eastAsia="宋体" w:cs="宋体"/>
                <w:spacing w:val="12"/>
                <w:sz w:val="20"/>
                <w:szCs w:val="20"/>
              </w:rPr>
              <w:t>保</w:t>
            </w:r>
            <w:r>
              <w:rPr>
                <w:rFonts w:ascii="宋体" w:hAnsi="宋体" w:eastAsia="宋体" w:cs="宋体"/>
                <w:spacing w:val="8"/>
                <w:sz w:val="20"/>
                <w:szCs w:val="20"/>
              </w:rPr>
              <w:t>证率日平均浓度</w:t>
            </w:r>
          </w:p>
          <w:p w14:paraId="5FAAC9F4">
            <w:pPr>
              <w:spacing w:before="64" w:line="228" w:lineRule="auto"/>
              <w:ind w:left="53"/>
              <w:rPr>
                <w:rFonts w:ascii="宋体" w:hAnsi="宋体" w:eastAsia="宋体" w:cs="宋体"/>
                <w:sz w:val="20"/>
                <w:szCs w:val="20"/>
              </w:rPr>
            </w:pPr>
            <w:r>
              <w:rPr>
                <w:rFonts w:ascii="宋体" w:hAnsi="宋体" w:eastAsia="宋体" w:cs="宋体"/>
                <w:spacing w:val="12"/>
                <w:sz w:val="20"/>
                <w:szCs w:val="20"/>
              </w:rPr>
              <w:t>和</w:t>
            </w:r>
            <w:r>
              <w:rPr>
                <w:rFonts w:ascii="宋体" w:hAnsi="宋体" w:eastAsia="宋体" w:cs="宋体"/>
                <w:spacing w:val="8"/>
                <w:sz w:val="20"/>
                <w:szCs w:val="20"/>
              </w:rPr>
              <w:t>年平均浓度叠加</w:t>
            </w:r>
          </w:p>
          <w:p w14:paraId="1DB54D28">
            <w:pPr>
              <w:spacing w:before="65" w:line="228" w:lineRule="auto"/>
              <w:ind w:left="787"/>
              <w:rPr>
                <w:rFonts w:ascii="宋体" w:hAnsi="宋体" w:eastAsia="宋体" w:cs="宋体"/>
                <w:sz w:val="20"/>
                <w:szCs w:val="20"/>
              </w:rPr>
            </w:pPr>
            <w:r>
              <w:rPr>
                <w:rFonts w:ascii="宋体" w:hAnsi="宋体" w:eastAsia="宋体" w:cs="宋体"/>
                <w:sz w:val="20"/>
                <w:szCs w:val="20"/>
              </w:rPr>
              <w:t>值</w:t>
            </w:r>
          </w:p>
        </w:tc>
        <w:tc>
          <w:tcPr>
            <w:tcW w:w="3780" w:type="dxa"/>
            <w:gridSpan w:val="8"/>
            <w:vAlign w:val="top"/>
          </w:tcPr>
          <w:p w14:paraId="66C58082">
            <w:pPr>
              <w:spacing w:line="300" w:lineRule="auto"/>
              <w:rPr>
                <w:rFonts w:ascii="Arial"/>
                <w:sz w:val="21"/>
              </w:rPr>
            </w:pPr>
          </w:p>
          <w:p w14:paraId="0E4B57EC">
            <w:pPr>
              <w:spacing w:before="65" w:line="234" w:lineRule="auto"/>
              <w:ind w:left="1389"/>
              <w:rPr>
                <w:sz w:val="20"/>
                <w:szCs w:val="20"/>
              </w:rPr>
            </w:pPr>
            <w:r>
              <w:rPr>
                <w:rFonts w:ascii="Times New Roman" w:hAnsi="Times New Roman" w:eastAsia="Times New Roman" w:cs="Times New Roman"/>
                <w:sz w:val="20"/>
                <w:szCs w:val="20"/>
              </w:rPr>
              <w:t>C</w:t>
            </w:r>
            <w:r>
              <w:rPr>
                <w:rFonts w:ascii="Times New Roman" w:hAnsi="Times New Roman" w:eastAsia="Times New Roman" w:cs="Times New Roman"/>
                <w:spacing w:val="7"/>
                <w:sz w:val="20"/>
                <w:szCs w:val="20"/>
              </w:rPr>
              <w:t xml:space="preserve"> </w:t>
            </w:r>
            <w:r>
              <w:rPr>
                <w:rFonts w:ascii="宋体" w:hAnsi="宋体" w:eastAsia="宋体" w:cs="宋体"/>
                <w:spacing w:val="5"/>
                <w:position w:val="-2"/>
                <w:sz w:val="10"/>
                <w:szCs w:val="10"/>
              </w:rPr>
              <w:t>叠加</w:t>
            </w:r>
            <w:r>
              <w:rPr>
                <w:rFonts w:ascii="宋体" w:hAnsi="宋体" w:eastAsia="宋体" w:cs="宋体"/>
                <w:spacing w:val="5"/>
                <w:sz w:val="20"/>
                <w:szCs w:val="20"/>
              </w:rPr>
              <w:t>达标</w:t>
            </w:r>
            <w:r>
              <w:rPr>
                <w:position w:val="-3"/>
                <w:sz w:val="20"/>
                <w:szCs w:val="20"/>
              </w:rPr>
              <w:drawing>
                <wp:inline distT="0" distB="0" distL="0" distR="0">
                  <wp:extent cx="107950" cy="139700"/>
                  <wp:effectExtent l="0" t="0" r="0" b="0"/>
                  <wp:docPr id="263" name="IM 263"/>
                  <wp:cNvGraphicFramePr/>
                  <a:graphic xmlns:a="http://schemas.openxmlformats.org/drawingml/2006/main">
                    <a:graphicData uri="http://schemas.openxmlformats.org/drawingml/2006/picture">
                      <pic:pic xmlns:pic="http://schemas.openxmlformats.org/drawingml/2006/picture">
                        <pic:nvPicPr>
                          <pic:cNvPr id="263" name="IM 263"/>
                          <pic:cNvPicPr/>
                        </pic:nvPicPr>
                        <pic:blipFill>
                          <a:blip r:embed="rId536"/>
                          <a:stretch>
                            <a:fillRect/>
                          </a:stretch>
                        </pic:blipFill>
                        <pic:spPr>
                          <a:xfrm>
                            <a:off x="0" y="0"/>
                            <a:ext cx="108499" cy="139748"/>
                          </a:xfrm>
                          <a:prstGeom prst="rect">
                            <a:avLst/>
                          </a:prstGeom>
                        </pic:spPr>
                      </pic:pic>
                    </a:graphicData>
                  </a:graphic>
                </wp:inline>
              </w:drawing>
            </w:r>
          </w:p>
        </w:tc>
        <w:tc>
          <w:tcPr>
            <w:tcW w:w="3795" w:type="dxa"/>
            <w:gridSpan w:val="5"/>
            <w:tcBorders>
              <w:right w:val="single" w:color="000000" w:sz="10" w:space="0"/>
            </w:tcBorders>
            <w:vAlign w:val="top"/>
          </w:tcPr>
          <w:p w14:paraId="14CCC2DD">
            <w:pPr>
              <w:spacing w:line="299" w:lineRule="auto"/>
              <w:rPr>
                <w:rFonts w:ascii="Arial"/>
                <w:sz w:val="21"/>
              </w:rPr>
            </w:pPr>
          </w:p>
          <w:p w14:paraId="6016597C">
            <w:pPr>
              <w:spacing w:before="65" w:line="236" w:lineRule="auto"/>
              <w:ind w:left="1325"/>
              <w:rPr>
                <w:rFonts w:ascii="Times New Roman" w:hAnsi="Times New Roman" w:eastAsia="Times New Roman" w:cs="Times New Roman"/>
                <w:sz w:val="20"/>
                <w:szCs w:val="20"/>
              </w:rPr>
            </w:pPr>
            <w:r>
              <w:rPr>
                <w:rFonts w:ascii="Times New Roman" w:hAnsi="Times New Roman" w:eastAsia="Times New Roman" w:cs="Times New Roman"/>
                <w:sz w:val="20"/>
                <w:szCs w:val="20"/>
              </w:rPr>
              <w:t>C</w:t>
            </w:r>
            <w:r>
              <w:rPr>
                <w:rFonts w:ascii="Times New Roman" w:hAnsi="Times New Roman" w:eastAsia="Times New Roman" w:cs="Times New Roman"/>
                <w:spacing w:val="10"/>
                <w:sz w:val="20"/>
                <w:szCs w:val="20"/>
              </w:rPr>
              <w:t xml:space="preserve"> </w:t>
            </w:r>
            <w:r>
              <w:rPr>
                <w:rFonts w:ascii="宋体" w:hAnsi="宋体" w:eastAsia="宋体" w:cs="宋体"/>
                <w:spacing w:val="6"/>
                <w:position w:val="-2"/>
                <w:sz w:val="10"/>
                <w:szCs w:val="10"/>
              </w:rPr>
              <w:t>叠加</w:t>
            </w:r>
            <w:r>
              <w:rPr>
                <w:rFonts w:ascii="宋体" w:hAnsi="宋体" w:eastAsia="宋体" w:cs="宋体"/>
                <w:spacing w:val="6"/>
                <w:sz w:val="20"/>
                <w:szCs w:val="20"/>
              </w:rPr>
              <w:t>不达标</w:t>
            </w:r>
            <w:r>
              <w:rPr>
                <w:rFonts w:ascii="Times New Roman" w:hAnsi="Times New Roman" w:eastAsia="Times New Roman" w:cs="Times New Roman"/>
                <w:spacing w:val="6"/>
                <w:sz w:val="20"/>
                <w:szCs w:val="20"/>
              </w:rPr>
              <w:t>□</w:t>
            </w:r>
          </w:p>
        </w:tc>
      </w:tr>
      <w:tr w14:paraId="5143BD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44" w:type="dxa"/>
            <w:vMerge w:val="continue"/>
            <w:tcBorders>
              <w:top w:val="nil"/>
              <w:left w:val="single" w:color="000000" w:sz="10" w:space="0"/>
            </w:tcBorders>
            <w:vAlign w:val="top"/>
          </w:tcPr>
          <w:p w14:paraId="20813F37">
            <w:pPr>
              <w:rPr>
                <w:rFonts w:ascii="Arial"/>
                <w:sz w:val="21"/>
              </w:rPr>
            </w:pPr>
          </w:p>
        </w:tc>
        <w:tc>
          <w:tcPr>
            <w:tcW w:w="1792" w:type="dxa"/>
            <w:vAlign w:val="top"/>
          </w:tcPr>
          <w:p w14:paraId="4077CEF9">
            <w:pPr>
              <w:spacing w:before="55" w:line="258" w:lineRule="auto"/>
              <w:ind w:left="366" w:right="64" w:hanging="298"/>
              <w:rPr>
                <w:rFonts w:ascii="宋体" w:hAnsi="宋体" w:eastAsia="宋体" w:cs="宋体"/>
                <w:sz w:val="20"/>
                <w:szCs w:val="20"/>
              </w:rPr>
            </w:pPr>
            <w:r>
              <w:rPr>
                <w:rFonts w:ascii="宋体" w:hAnsi="宋体" w:eastAsia="宋体" w:cs="宋体"/>
                <w:spacing w:val="12"/>
                <w:sz w:val="20"/>
                <w:szCs w:val="20"/>
              </w:rPr>
              <w:t>区</w:t>
            </w:r>
            <w:r>
              <w:rPr>
                <w:rFonts w:ascii="宋体" w:hAnsi="宋体" w:eastAsia="宋体" w:cs="宋体"/>
                <w:spacing w:val="6"/>
                <w:sz w:val="20"/>
                <w:szCs w:val="20"/>
              </w:rPr>
              <w:t>域环境质量的整</w:t>
            </w:r>
            <w:r>
              <w:rPr>
                <w:rFonts w:ascii="宋体" w:hAnsi="宋体" w:eastAsia="宋体" w:cs="宋体"/>
                <w:sz w:val="20"/>
                <w:szCs w:val="20"/>
              </w:rPr>
              <w:t xml:space="preserve"> </w:t>
            </w:r>
            <w:r>
              <w:rPr>
                <w:rFonts w:ascii="宋体" w:hAnsi="宋体" w:eastAsia="宋体" w:cs="宋体"/>
                <w:spacing w:val="8"/>
                <w:sz w:val="20"/>
                <w:szCs w:val="20"/>
              </w:rPr>
              <w:t>体变化情况</w:t>
            </w:r>
          </w:p>
        </w:tc>
        <w:tc>
          <w:tcPr>
            <w:tcW w:w="3780" w:type="dxa"/>
            <w:gridSpan w:val="8"/>
            <w:vAlign w:val="top"/>
          </w:tcPr>
          <w:p w14:paraId="1B211999">
            <w:pPr>
              <w:spacing w:before="173" w:line="347" w:lineRule="exact"/>
              <w:ind w:left="1458"/>
              <w:rPr>
                <w:rFonts w:ascii="微软雅黑" w:hAnsi="微软雅黑" w:eastAsia="微软雅黑" w:cs="微软雅黑"/>
                <w:sz w:val="20"/>
                <w:szCs w:val="20"/>
              </w:rPr>
            </w:pPr>
            <w:r>
              <w:rPr>
                <w:rFonts w:ascii="Times New Roman" w:hAnsi="Times New Roman" w:eastAsia="Times New Roman" w:cs="Times New Roman"/>
                <w:position w:val="4"/>
                <w:sz w:val="20"/>
                <w:szCs w:val="20"/>
              </w:rPr>
              <w:t>k</w:t>
            </w:r>
            <w:r>
              <w:rPr>
                <w:rFonts w:ascii="Times New Roman" w:hAnsi="Times New Roman" w:eastAsia="Times New Roman" w:cs="Times New Roman"/>
                <w:spacing w:val="8"/>
                <w:position w:val="4"/>
                <w:sz w:val="20"/>
                <w:szCs w:val="20"/>
              </w:rPr>
              <w:t>≤-20%</w:t>
            </w:r>
            <w:r>
              <w:rPr>
                <w:rFonts w:ascii="微软雅黑" w:hAnsi="微软雅黑" w:eastAsia="微软雅黑" w:cs="微软雅黑"/>
                <w:spacing w:val="7"/>
                <w:position w:val="4"/>
                <w:sz w:val="20"/>
                <w:szCs w:val="20"/>
              </w:rPr>
              <w:t>团</w:t>
            </w:r>
          </w:p>
        </w:tc>
        <w:tc>
          <w:tcPr>
            <w:tcW w:w="3795" w:type="dxa"/>
            <w:gridSpan w:val="5"/>
            <w:tcBorders>
              <w:right w:val="single" w:color="000000" w:sz="10" w:space="0"/>
            </w:tcBorders>
            <w:vAlign w:val="top"/>
          </w:tcPr>
          <w:p w14:paraId="222EE4AC">
            <w:pPr>
              <w:spacing w:before="173" w:line="281" w:lineRule="exact"/>
              <w:ind w:left="1451"/>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k</w:t>
            </w:r>
            <w:r>
              <w:rPr>
                <w:rFonts w:ascii="宋体" w:hAnsi="宋体" w:eastAsia="宋体" w:cs="宋体"/>
                <w:spacing w:val="-1"/>
                <w:position w:val="2"/>
                <w:sz w:val="20"/>
                <w:szCs w:val="20"/>
              </w:rPr>
              <w:t>＞</w:t>
            </w:r>
            <w:r>
              <w:rPr>
                <w:rFonts w:ascii="Times New Roman" w:hAnsi="Times New Roman" w:eastAsia="Times New Roman" w:cs="Times New Roman"/>
                <w:spacing w:val="-1"/>
                <w:position w:val="2"/>
                <w:sz w:val="20"/>
                <w:szCs w:val="20"/>
              </w:rPr>
              <w:t>-2</w:t>
            </w:r>
            <w:r>
              <w:rPr>
                <w:rFonts w:ascii="Times New Roman" w:hAnsi="Times New Roman" w:eastAsia="Times New Roman" w:cs="Times New Roman"/>
                <w:position w:val="2"/>
                <w:sz w:val="20"/>
                <w:szCs w:val="20"/>
              </w:rPr>
              <w:t>0% □</w:t>
            </w:r>
          </w:p>
        </w:tc>
      </w:tr>
      <w:tr w14:paraId="54E61A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44" w:type="dxa"/>
            <w:vMerge w:val="restart"/>
            <w:tcBorders>
              <w:left w:val="single" w:color="000000" w:sz="10" w:space="0"/>
              <w:bottom w:val="nil"/>
            </w:tcBorders>
            <w:vAlign w:val="top"/>
          </w:tcPr>
          <w:p w14:paraId="462521C9">
            <w:pPr>
              <w:spacing w:line="308" w:lineRule="auto"/>
              <w:rPr>
                <w:rFonts w:ascii="Arial"/>
                <w:sz w:val="21"/>
              </w:rPr>
            </w:pPr>
          </w:p>
          <w:p w14:paraId="006CB76E">
            <w:pPr>
              <w:spacing w:before="65" w:line="301" w:lineRule="auto"/>
              <w:ind w:left="304" w:right="106" w:hanging="211"/>
              <w:rPr>
                <w:rFonts w:ascii="宋体" w:hAnsi="宋体" w:eastAsia="宋体" w:cs="宋体"/>
                <w:sz w:val="20"/>
                <w:szCs w:val="20"/>
              </w:rPr>
            </w:pPr>
            <w:r>
              <w:rPr>
                <w:rFonts w:ascii="宋体" w:hAnsi="宋体" w:eastAsia="宋体" w:cs="宋体"/>
                <w:spacing w:val="8"/>
                <w:sz w:val="20"/>
                <w:szCs w:val="20"/>
              </w:rPr>
              <w:t>环</w:t>
            </w:r>
            <w:r>
              <w:rPr>
                <w:rFonts w:ascii="宋体" w:hAnsi="宋体" w:eastAsia="宋体" w:cs="宋体"/>
                <w:spacing w:val="7"/>
                <w:sz w:val="20"/>
                <w:szCs w:val="20"/>
              </w:rPr>
              <w:t>境监测</w:t>
            </w:r>
            <w:r>
              <w:rPr>
                <w:rFonts w:ascii="宋体" w:hAnsi="宋体" w:eastAsia="宋体" w:cs="宋体"/>
                <w:sz w:val="20"/>
                <w:szCs w:val="20"/>
              </w:rPr>
              <w:t xml:space="preserve"> </w:t>
            </w:r>
            <w:r>
              <w:rPr>
                <w:rFonts w:ascii="宋体" w:hAnsi="宋体" w:eastAsia="宋体" w:cs="宋体"/>
                <w:spacing w:val="5"/>
                <w:sz w:val="20"/>
                <w:szCs w:val="20"/>
              </w:rPr>
              <w:t>计</w:t>
            </w:r>
            <w:r>
              <w:rPr>
                <w:rFonts w:ascii="宋体" w:hAnsi="宋体" w:eastAsia="宋体" w:cs="宋体"/>
                <w:spacing w:val="4"/>
                <w:sz w:val="20"/>
                <w:szCs w:val="20"/>
              </w:rPr>
              <w:t>划</w:t>
            </w:r>
          </w:p>
        </w:tc>
        <w:tc>
          <w:tcPr>
            <w:tcW w:w="1792" w:type="dxa"/>
            <w:vAlign w:val="top"/>
          </w:tcPr>
          <w:p w14:paraId="27DA7A26">
            <w:pPr>
              <w:spacing w:before="213" w:line="228" w:lineRule="auto"/>
              <w:ind w:left="369"/>
              <w:rPr>
                <w:rFonts w:ascii="宋体" w:hAnsi="宋体" w:eastAsia="宋体" w:cs="宋体"/>
                <w:sz w:val="20"/>
                <w:szCs w:val="20"/>
              </w:rPr>
            </w:pPr>
            <w:r>
              <w:rPr>
                <w:rFonts w:ascii="宋体" w:hAnsi="宋体" w:eastAsia="宋体" w:cs="宋体"/>
                <w:spacing w:val="8"/>
                <w:sz w:val="20"/>
                <w:szCs w:val="20"/>
              </w:rPr>
              <w:t>污染源监</w:t>
            </w:r>
            <w:r>
              <w:rPr>
                <w:rFonts w:ascii="宋体" w:hAnsi="宋体" w:eastAsia="宋体" w:cs="宋体"/>
                <w:spacing w:val="7"/>
                <w:sz w:val="20"/>
                <w:szCs w:val="20"/>
              </w:rPr>
              <w:t>测</w:t>
            </w:r>
          </w:p>
        </w:tc>
        <w:tc>
          <w:tcPr>
            <w:tcW w:w="2519" w:type="dxa"/>
            <w:gridSpan w:val="6"/>
            <w:vAlign w:val="top"/>
          </w:tcPr>
          <w:p w14:paraId="48C6E648">
            <w:pPr>
              <w:spacing w:before="57" w:line="259" w:lineRule="auto"/>
              <w:ind w:left="393" w:hanging="368"/>
              <w:rPr>
                <w:rFonts w:ascii="宋体" w:hAnsi="宋体" w:eastAsia="宋体" w:cs="宋体"/>
                <w:sz w:val="20"/>
                <w:szCs w:val="20"/>
              </w:rPr>
            </w:pPr>
            <w:r>
              <w:rPr>
                <w:rFonts w:ascii="宋体" w:hAnsi="宋体" w:eastAsia="宋体" w:cs="宋体"/>
                <w:spacing w:val="-2"/>
                <w:sz w:val="20"/>
                <w:szCs w:val="20"/>
              </w:rPr>
              <w:t>监测因子：(</w:t>
            </w:r>
            <w:r>
              <w:rPr>
                <w:rFonts w:ascii="Times New Roman" w:hAnsi="Times New Roman" w:eastAsia="Times New Roman" w:cs="Times New Roman"/>
                <w:spacing w:val="-2"/>
                <w:sz w:val="20"/>
                <w:szCs w:val="20"/>
              </w:rPr>
              <w:t>NMHC</w:t>
            </w:r>
            <w:r>
              <w:rPr>
                <w:rFonts w:ascii="宋体" w:hAnsi="宋体" w:eastAsia="宋体" w:cs="宋体"/>
                <w:spacing w:val="-2"/>
                <w:sz w:val="20"/>
                <w:szCs w:val="20"/>
              </w:rPr>
              <w:t>、</w:t>
            </w:r>
            <w:r>
              <w:rPr>
                <w:rFonts w:ascii="Times New Roman" w:hAnsi="Times New Roman" w:eastAsia="Times New Roman" w:cs="Times New Roman"/>
                <w:spacing w:val="-2"/>
                <w:sz w:val="20"/>
                <w:szCs w:val="20"/>
              </w:rPr>
              <w:t>P</w:t>
            </w:r>
            <w:r>
              <w:rPr>
                <w:rFonts w:ascii="Times New Roman" w:hAnsi="Times New Roman" w:eastAsia="Times New Roman" w:cs="Times New Roman"/>
                <w:spacing w:val="-1"/>
                <w:sz w:val="20"/>
                <w:szCs w:val="20"/>
              </w:rPr>
              <w:t>M</w:t>
            </w:r>
            <w:r>
              <w:rPr>
                <w:rFonts w:ascii="Times New Roman" w:hAnsi="Times New Roman" w:eastAsia="Times New Roman" w:cs="Times New Roman"/>
                <w:spacing w:val="-2"/>
                <w:position w:val="-1"/>
                <w:sz w:val="13"/>
                <w:szCs w:val="13"/>
              </w:rPr>
              <w:t>10</w:t>
            </w:r>
            <w:r>
              <w:rPr>
                <w:rFonts w:ascii="宋体" w:hAnsi="宋体" w:eastAsia="宋体" w:cs="宋体"/>
                <w:spacing w:val="-2"/>
                <w:sz w:val="20"/>
                <w:szCs w:val="20"/>
              </w:rPr>
              <w:t>、</w:t>
            </w:r>
            <w:r>
              <w:rPr>
                <w:rFonts w:ascii="宋体" w:hAnsi="宋体" w:eastAsia="宋体" w:cs="宋体"/>
                <w:sz w:val="20"/>
                <w:szCs w:val="20"/>
              </w:rPr>
              <w:t xml:space="preserve"> </w:t>
            </w:r>
            <w:r>
              <w:rPr>
                <w:rFonts w:ascii="Times New Roman" w:hAnsi="Times New Roman" w:eastAsia="Times New Roman" w:cs="Times New Roman"/>
                <w:spacing w:val="-4"/>
                <w:sz w:val="20"/>
                <w:szCs w:val="20"/>
              </w:rPr>
              <w:t>SO</w:t>
            </w:r>
            <w:r>
              <w:rPr>
                <w:rFonts w:ascii="Times New Roman" w:hAnsi="Times New Roman" w:eastAsia="Times New Roman" w:cs="Times New Roman"/>
                <w:spacing w:val="-6"/>
                <w:position w:val="-1"/>
                <w:sz w:val="13"/>
                <w:szCs w:val="13"/>
              </w:rPr>
              <w:t>2</w:t>
            </w:r>
            <w:r>
              <w:rPr>
                <w:rFonts w:ascii="Times New Roman" w:hAnsi="Times New Roman" w:eastAsia="Times New Roman" w:cs="Times New Roman"/>
                <w:spacing w:val="-4"/>
                <w:position w:val="-1"/>
                <w:sz w:val="13"/>
                <w:szCs w:val="13"/>
              </w:rPr>
              <w:t xml:space="preserve"> </w:t>
            </w:r>
            <w:r>
              <w:rPr>
                <w:rFonts w:ascii="宋体" w:hAnsi="宋体" w:eastAsia="宋体" w:cs="宋体"/>
                <w:spacing w:val="-4"/>
                <w:sz w:val="20"/>
                <w:szCs w:val="20"/>
              </w:rPr>
              <w:t>、</w:t>
            </w:r>
            <w:r>
              <w:rPr>
                <w:rFonts w:ascii="Times New Roman" w:hAnsi="Times New Roman" w:eastAsia="Times New Roman" w:cs="Times New Roman"/>
                <w:spacing w:val="-4"/>
                <w:sz w:val="20"/>
                <w:szCs w:val="20"/>
              </w:rPr>
              <w:t xml:space="preserve">NOx </w:t>
            </w:r>
            <w:r>
              <w:rPr>
                <w:rFonts w:ascii="宋体" w:hAnsi="宋体" w:eastAsia="宋体" w:cs="宋体"/>
                <w:spacing w:val="-4"/>
                <w:sz w:val="20"/>
                <w:szCs w:val="20"/>
              </w:rPr>
              <w:t>、</w:t>
            </w:r>
            <w:r>
              <w:rPr>
                <w:rFonts w:ascii="Times New Roman" w:hAnsi="Times New Roman" w:eastAsia="Times New Roman" w:cs="Times New Roman"/>
                <w:spacing w:val="-4"/>
                <w:sz w:val="20"/>
                <w:szCs w:val="20"/>
              </w:rPr>
              <w:t>TSP</w:t>
            </w:r>
            <w:r>
              <w:rPr>
                <w:rFonts w:ascii="宋体" w:hAnsi="宋体" w:eastAsia="宋体" w:cs="宋体"/>
                <w:spacing w:val="-4"/>
                <w:sz w:val="20"/>
                <w:szCs w:val="20"/>
              </w:rPr>
              <w:t>)</w:t>
            </w:r>
          </w:p>
        </w:tc>
        <w:tc>
          <w:tcPr>
            <w:tcW w:w="2520" w:type="dxa"/>
            <w:gridSpan w:val="4"/>
            <w:vAlign w:val="top"/>
          </w:tcPr>
          <w:p w14:paraId="4D316220">
            <w:pPr>
              <w:spacing w:before="56" w:line="200" w:lineRule="auto"/>
              <w:ind w:left="441" w:right="426"/>
              <w:rPr>
                <w:rFonts w:ascii="微软雅黑" w:hAnsi="微软雅黑" w:eastAsia="微软雅黑" w:cs="微软雅黑"/>
                <w:sz w:val="20"/>
                <w:szCs w:val="20"/>
              </w:rPr>
            </w:pPr>
            <w:r>
              <w:rPr>
                <w:rFonts w:ascii="宋体" w:hAnsi="宋体" w:eastAsia="宋体" w:cs="宋体"/>
                <w:spacing w:val="10"/>
                <w:sz w:val="20"/>
                <w:szCs w:val="20"/>
              </w:rPr>
              <w:t>有</w:t>
            </w:r>
            <w:r>
              <w:rPr>
                <w:rFonts w:ascii="宋体" w:hAnsi="宋体" w:eastAsia="宋体" w:cs="宋体"/>
                <w:spacing w:val="6"/>
                <w:sz w:val="20"/>
                <w:szCs w:val="20"/>
              </w:rPr>
              <w:t>组</w:t>
            </w:r>
            <w:r>
              <w:rPr>
                <w:rFonts w:ascii="宋体" w:hAnsi="宋体" w:eastAsia="宋体" w:cs="宋体"/>
                <w:spacing w:val="5"/>
                <w:sz w:val="20"/>
                <w:szCs w:val="20"/>
              </w:rPr>
              <w:t>织废气监测</w:t>
            </w:r>
            <w:r>
              <w:rPr>
                <w:rFonts w:ascii="微软雅黑" w:hAnsi="微软雅黑" w:eastAsia="微软雅黑" w:cs="微软雅黑"/>
                <w:spacing w:val="5"/>
                <w:sz w:val="20"/>
                <w:szCs w:val="20"/>
              </w:rPr>
              <w:t>团</w:t>
            </w:r>
            <w:r>
              <w:rPr>
                <w:rFonts w:ascii="微软雅黑" w:hAnsi="微软雅黑" w:eastAsia="微软雅黑" w:cs="微软雅黑"/>
                <w:sz w:val="20"/>
                <w:szCs w:val="20"/>
              </w:rPr>
              <w:t xml:space="preserve"> </w:t>
            </w:r>
            <w:r>
              <w:rPr>
                <w:rFonts w:ascii="宋体" w:hAnsi="宋体" w:eastAsia="宋体" w:cs="宋体"/>
                <w:spacing w:val="10"/>
                <w:sz w:val="20"/>
                <w:szCs w:val="20"/>
              </w:rPr>
              <w:t>无</w:t>
            </w:r>
            <w:r>
              <w:rPr>
                <w:rFonts w:ascii="宋体" w:hAnsi="宋体" w:eastAsia="宋体" w:cs="宋体"/>
                <w:spacing w:val="5"/>
                <w:sz w:val="20"/>
                <w:szCs w:val="20"/>
              </w:rPr>
              <w:t>组织废气监测</w:t>
            </w:r>
            <w:r>
              <w:rPr>
                <w:rFonts w:ascii="微软雅黑" w:hAnsi="微软雅黑" w:eastAsia="微软雅黑" w:cs="微软雅黑"/>
                <w:spacing w:val="5"/>
                <w:sz w:val="20"/>
                <w:szCs w:val="20"/>
              </w:rPr>
              <w:t>团</w:t>
            </w:r>
          </w:p>
        </w:tc>
        <w:tc>
          <w:tcPr>
            <w:tcW w:w="2536" w:type="dxa"/>
            <w:gridSpan w:val="3"/>
            <w:tcBorders>
              <w:right w:val="single" w:color="000000" w:sz="10" w:space="0"/>
            </w:tcBorders>
            <w:vAlign w:val="top"/>
          </w:tcPr>
          <w:p w14:paraId="240BD71F">
            <w:pPr>
              <w:spacing w:before="213" w:line="228" w:lineRule="auto"/>
              <w:ind w:left="901"/>
              <w:rPr>
                <w:rFonts w:ascii="Times New Roman" w:hAnsi="Times New Roman" w:eastAsia="Times New Roman" w:cs="Times New Roman"/>
                <w:sz w:val="20"/>
                <w:szCs w:val="20"/>
              </w:rPr>
            </w:pPr>
            <w:r>
              <w:rPr>
                <w:rFonts w:ascii="宋体" w:hAnsi="宋体" w:eastAsia="宋体" w:cs="宋体"/>
                <w:spacing w:val="6"/>
                <w:sz w:val="20"/>
                <w:szCs w:val="20"/>
              </w:rPr>
              <w:t>无监测</w:t>
            </w:r>
            <w:r>
              <w:rPr>
                <w:rFonts w:ascii="Times New Roman" w:hAnsi="Times New Roman" w:eastAsia="Times New Roman" w:cs="Times New Roman"/>
                <w:spacing w:val="6"/>
                <w:sz w:val="20"/>
                <w:szCs w:val="20"/>
              </w:rPr>
              <w:t>□</w:t>
            </w:r>
          </w:p>
        </w:tc>
      </w:tr>
      <w:tr w14:paraId="13FABF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44" w:type="dxa"/>
            <w:vMerge w:val="continue"/>
            <w:tcBorders>
              <w:top w:val="nil"/>
              <w:left w:val="single" w:color="000000" w:sz="10" w:space="0"/>
            </w:tcBorders>
            <w:vAlign w:val="top"/>
          </w:tcPr>
          <w:p w14:paraId="44C8A56E">
            <w:pPr>
              <w:rPr>
                <w:rFonts w:ascii="Arial"/>
                <w:sz w:val="21"/>
              </w:rPr>
            </w:pPr>
          </w:p>
        </w:tc>
        <w:tc>
          <w:tcPr>
            <w:tcW w:w="1792" w:type="dxa"/>
            <w:vAlign w:val="top"/>
          </w:tcPr>
          <w:p w14:paraId="3B2DB3CB">
            <w:pPr>
              <w:spacing w:before="214" w:line="228" w:lineRule="auto"/>
              <w:ind w:left="264"/>
              <w:rPr>
                <w:rFonts w:ascii="宋体" w:hAnsi="宋体" w:eastAsia="宋体" w:cs="宋体"/>
                <w:sz w:val="20"/>
                <w:szCs w:val="20"/>
              </w:rPr>
            </w:pPr>
            <w:r>
              <w:rPr>
                <w:rFonts w:ascii="宋体" w:hAnsi="宋体" w:eastAsia="宋体" w:cs="宋体"/>
                <w:spacing w:val="9"/>
                <w:sz w:val="20"/>
                <w:szCs w:val="20"/>
              </w:rPr>
              <w:t>环</w:t>
            </w:r>
            <w:r>
              <w:rPr>
                <w:rFonts w:ascii="宋体" w:hAnsi="宋体" w:eastAsia="宋体" w:cs="宋体"/>
                <w:spacing w:val="8"/>
                <w:sz w:val="20"/>
                <w:szCs w:val="20"/>
              </w:rPr>
              <w:t>境质量监测</w:t>
            </w:r>
          </w:p>
        </w:tc>
        <w:tc>
          <w:tcPr>
            <w:tcW w:w="2519" w:type="dxa"/>
            <w:gridSpan w:val="6"/>
            <w:vAlign w:val="top"/>
          </w:tcPr>
          <w:p w14:paraId="52969DA4">
            <w:pPr>
              <w:spacing w:before="58" w:line="259" w:lineRule="auto"/>
              <w:ind w:left="393" w:hanging="368"/>
              <w:rPr>
                <w:rFonts w:ascii="宋体" w:hAnsi="宋体" w:eastAsia="宋体" w:cs="宋体"/>
                <w:sz w:val="20"/>
                <w:szCs w:val="20"/>
              </w:rPr>
            </w:pPr>
            <w:r>
              <w:rPr>
                <w:rFonts w:ascii="宋体" w:hAnsi="宋体" w:eastAsia="宋体" w:cs="宋体"/>
                <w:spacing w:val="-2"/>
                <w:sz w:val="20"/>
                <w:szCs w:val="20"/>
              </w:rPr>
              <w:t>监测因子：(</w:t>
            </w:r>
            <w:r>
              <w:rPr>
                <w:rFonts w:ascii="Times New Roman" w:hAnsi="Times New Roman" w:eastAsia="Times New Roman" w:cs="Times New Roman"/>
                <w:spacing w:val="-2"/>
                <w:sz w:val="20"/>
                <w:szCs w:val="20"/>
              </w:rPr>
              <w:t>NMHC</w:t>
            </w:r>
            <w:r>
              <w:rPr>
                <w:rFonts w:ascii="宋体" w:hAnsi="宋体" w:eastAsia="宋体" w:cs="宋体"/>
                <w:spacing w:val="-2"/>
                <w:sz w:val="20"/>
                <w:szCs w:val="20"/>
              </w:rPr>
              <w:t>、</w:t>
            </w:r>
            <w:r>
              <w:rPr>
                <w:rFonts w:ascii="Times New Roman" w:hAnsi="Times New Roman" w:eastAsia="Times New Roman" w:cs="Times New Roman"/>
                <w:spacing w:val="-2"/>
                <w:sz w:val="20"/>
                <w:szCs w:val="20"/>
              </w:rPr>
              <w:t>P</w:t>
            </w:r>
            <w:r>
              <w:rPr>
                <w:rFonts w:ascii="Times New Roman" w:hAnsi="Times New Roman" w:eastAsia="Times New Roman" w:cs="Times New Roman"/>
                <w:spacing w:val="-1"/>
                <w:sz w:val="20"/>
                <w:szCs w:val="20"/>
              </w:rPr>
              <w:t>M</w:t>
            </w:r>
            <w:r>
              <w:rPr>
                <w:rFonts w:ascii="Times New Roman" w:hAnsi="Times New Roman" w:eastAsia="Times New Roman" w:cs="Times New Roman"/>
                <w:spacing w:val="-2"/>
                <w:position w:val="-1"/>
                <w:sz w:val="13"/>
                <w:szCs w:val="13"/>
              </w:rPr>
              <w:t>10</w:t>
            </w:r>
            <w:r>
              <w:rPr>
                <w:rFonts w:ascii="宋体" w:hAnsi="宋体" w:eastAsia="宋体" w:cs="宋体"/>
                <w:spacing w:val="-2"/>
                <w:sz w:val="20"/>
                <w:szCs w:val="20"/>
              </w:rPr>
              <w:t>、</w:t>
            </w:r>
            <w:r>
              <w:rPr>
                <w:rFonts w:ascii="宋体" w:hAnsi="宋体" w:eastAsia="宋体" w:cs="宋体"/>
                <w:sz w:val="20"/>
                <w:szCs w:val="20"/>
              </w:rPr>
              <w:t xml:space="preserve"> </w:t>
            </w:r>
            <w:r>
              <w:rPr>
                <w:rFonts w:ascii="Times New Roman" w:hAnsi="Times New Roman" w:eastAsia="Times New Roman" w:cs="Times New Roman"/>
                <w:spacing w:val="-4"/>
                <w:sz w:val="20"/>
                <w:szCs w:val="20"/>
              </w:rPr>
              <w:t>SO</w:t>
            </w:r>
            <w:r>
              <w:rPr>
                <w:rFonts w:ascii="Times New Roman" w:hAnsi="Times New Roman" w:eastAsia="Times New Roman" w:cs="Times New Roman"/>
                <w:spacing w:val="-6"/>
                <w:position w:val="-1"/>
                <w:sz w:val="13"/>
                <w:szCs w:val="13"/>
              </w:rPr>
              <w:t>2</w:t>
            </w:r>
            <w:r>
              <w:rPr>
                <w:rFonts w:ascii="Times New Roman" w:hAnsi="Times New Roman" w:eastAsia="Times New Roman" w:cs="Times New Roman"/>
                <w:spacing w:val="-4"/>
                <w:position w:val="-1"/>
                <w:sz w:val="13"/>
                <w:szCs w:val="13"/>
              </w:rPr>
              <w:t xml:space="preserve"> </w:t>
            </w:r>
            <w:r>
              <w:rPr>
                <w:rFonts w:ascii="宋体" w:hAnsi="宋体" w:eastAsia="宋体" w:cs="宋体"/>
                <w:spacing w:val="-4"/>
                <w:sz w:val="20"/>
                <w:szCs w:val="20"/>
              </w:rPr>
              <w:t>、</w:t>
            </w:r>
            <w:r>
              <w:rPr>
                <w:rFonts w:ascii="Times New Roman" w:hAnsi="Times New Roman" w:eastAsia="Times New Roman" w:cs="Times New Roman"/>
                <w:spacing w:val="-4"/>
                <w:sz w:val="20"/>
                <w:szCs w:val="20"/>
              </w:rPr>
              <w:t xml:space="preserve">NOx </w:t>
            </w:r>
            <w:r>
              <w:rPr>
                <w:rFonts w:ascii="宋体" w:hAnsi="宋体" w:eastAsia="宋体" w:cs="宋体"/>
                <w:spacing w:val="-4"/>
                <w:sz w:val="20"/>
                <w:szCs w:val="20"/>
              </w:rPr>
              <w:t>、</w:t>
            </w:r>
            <w:r>
              <w:rPr>
                <w:rFonts w:ascii="Times New Roman" w:hAnsi="Times New Roman" w:eastAsia="Times New Roman" w:cs="Times New Roman"/>
                <w:spacing w:val="-4"/>
                <w:sz w:val="20"/>
                <w:szCs w:val="20"/>
              </w:rPr>
              <w:t>TSP</w:t>
            </w:r>
            <w:r>
              <w:rPr>
                <w:rFonts w:ascii="宋体" w:hAnsi="宋体" w:eastAsia="宋体" w:cs="宋体"/>
                <w:spacing w:val="-4"/>
                <w:sz w:val="20"/>
                <w:szCs w:val="20"/>
              </w:rPr>
              <w:t>)</w:t>
            </w:r>
          </w:p>
        </w:tc>
        <w:tc>
          <w:tcPr>
            <w:tcW w:w="2520" w:type="dxa"/>
            <w:gridSpan w:val="4"/>
            <w:vAlign w:val="top"/>
          </w:tcPr>
          <w:p w14:paraId="55AB9B58">
            <w:pPr>
              <w:spacing w:before="213" w:line="228" w:lineRule="auto"/>
              <w:ind w:left="350"/>
              <w:rPr>
                <w:rFonts w:ascii="宋体" w:hAnsi="宋体" w:eastAsia="宋体" w:cs="宋体"/>
                <w:sz w:val="20"/>
                <w:szCs w:val="20"/>
              </w:rPr>
            </w:pPr>
            <w:r>
              <w:rPr>
                <w:rFonts w:ascii="宋体" w:hAnsi="宋体" w:eastAsia="宋体" w:cs="宋体"/>
                <w:spacing w:val="8"/>
                <w:sz w:val="20"/>
                <w:szCs w:val="20"/>
              </w:rPr>
              <w:t>监</w:t>
            </w:r>
            <w:r>
              <w:rPr>
                <w:rFonts w:ascii="宋体" w:hAnsi="宋体" w:eastAsia="宋体" w:cs="宋体"/>
                <w:spacing w:val="6"/>
                <w:sz w:val="20"/>
                <w:szCs w:val="20"/>
              </w:rPr>
              <w:t>测点位数 (</w:t>
            </w:r>
            <w:r>
              <w:rPr>
                <w:rFonts w:ascii="Times New Roman" w:hAnsi="Times New Roman" w:eastAsia="Times New Roman" w:cs="Times New Roman"/>
                <w:spacing w:val="6"/>
                <w:sz w:val="20"/>
                <w:szCs w:val="20"/>
              </w:rPr>
              <w:t xml:space="preserve">2 </w:t>
            </w:r>
            <w:r>
              <w:rPr>
                <w:rFonts w:ascii="宋体" w:hAnsi="宋体" w:eastAsia="宋体" w:cs="宋体"/>
                <w:spacing w:val="6"/>
                <w:sz w:val="20"/>
                <w:szCs w:val="20"/>
              </w:rPr>
              <w:t>个)</w:t>
            </w:r>
          </w:p>
        </w:tc>
        <w:tc>
          <w:tcPr>
            <w:tcW w:w="2536" w:type="dxa"/>
            <w:gridSpan w:val="3"/>
            <w:tcBorders>
              <w:right w:val="single" w:color="000000" w:sz="10" w:space="0"/>
            </w:tcBorders>
            <w:vAlign w:val="top"/>
          </w:tcPr>
          <w:p w14:paraId="3017E80B">
            <w:pPr>
              <w:spacing w:before="213" w:line="221" w:lineRule="auto"/>
              <w:ind w:left="870"/>
              <w:rPr>
                <w:sz w:val="20"/>
                <w:szCs w:val="20"/>
              </w:rPr>
            </w:pPr>
            <w:r>
              <w:rPr>
                <w:rFonts w:ascii="宋体" w:hAnsi="宋体" w:eastAsia="宋体" w:cs="宋体"/>
                <w:spacing w:val="7"/>
                <w:sz w:val="20"/>
                <w:szCs w:val="20"/>
              </w:rPr>
              <w:t>无</w:t>
            </w:r>
            <w:r>
              <w:rPr>
                <w:rFonts w:ascii="宋体" w:hAnsi="宋体" w:eastAsia="宋体" w:cs="宋体"/>
                <w:spacing w:val="6"/>
                <w:sz w:val="20"/>
                <w:szCs w:val="20"/>
              </w:rPr>
              <w:t>监测</w:t>
            </w:r>
            <w:r>
              <w:rPr>
                <w:position w:val="-4"/>
                <w:sz w:val="20"/>
                <w:szCs w:val="20"/>
              </w:rPr>
              <w:drawing>
                <wp:inline distT="0" distB="0" distL="0" distR="0">
                  <wp:extent cx="106680" cy="139700"/>
                  <wp:effectExtent l="0" t="0" r="0" b="0"/>
                  <wp:docPr id="264" name="IM 264"/>
                  <wp:cNvGraphicFramePr/>
                  <a:graphic xmlns:a="http://schemas.openxmlformats.org/drawingml/2006/main">
                    <a:graphicData uri="http://schemas.openxmlformats.org/drawingml/2006/picture">
                      <pic:pic xmlns:pic="http://schemas.openxmlformats.org/drawingml/2006/picture">
                        <pic:nvPicPr>
                          <pic:cNvPr id="264" name="IM 264"/>
                          <pic:cNvPicPr/>
                        </pic:nvPicPr>
                        <pic:blipFill>
                          <a:blip r:embed="rId535"/>
                          <a:stretch>
                            <a:fillRect/>
                          </a:stretch>
                        </pic:blipFill>
                        <pic:spPr>
                          <a:xfrm>
                            <a:off x="0" y="0"/>
                            <a:ext cx="106983" cy="139749"/>
                          </a:xfrm>
                          <a:prstGeom prst="rect">
                            <a:avLst/>
                          </a:prstGeom>
                        </pic:spPr>
                      </pic:pic>
                    </a:graphicData>
                  </a:graphic>
                </wp:inline>
              </w:drawing>
            </w:r>
          </w:p>
        </w:tc>
      </w:tr>
      <w:tr w14:paraId="25DE62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44" w:type="dxa"/>
            <w:vMerge w:val="restart"/>
            <w:tcBorders>
              <w:left w:val="single" w:color="000000" w:sz="10" w:space="0"/>
              <w:bottom w:val="nil"/>
            </w:tcBorders>
            <w:vAlign w:val="top"/>
          </w:tcPr>
          <w:p w14:paraId="2CE6C562">
            <w:pPr>
              <w:spacing w:line="312" w:lineRule="auto"/>
              <w:rPr>
                <w:rFonts w:ascii="Arial"/>
                <w:sz w:val="21"/>
              </w:rPr>
            </w:pPr>
          </w:p>
          <w:p w14:paraId="6AB1362E">
            <w:pPr>
              <w:spacing w:before="65" w:line="226" w:lineRule="auto"/>
              <w:ind w:left="92"/>
              <w:rPr>
                <w:rFonts w:ascii="宋体" w:hAnsi="宋体" w:eastAsia="宋体" w:cs="宋体"/>
                <w:sz w:val="20"/>
                <w:szCs w:val="20"/>
              </w:rPr>
            </w:pPr>
            <w:r>
              <w:rPr>
                <w:rFonts w:ascii="宋体" w:hAnsi="宋体" w:eastAsia="宋体" w:cs="宋体"/>
                <w:spacing w:val="9"/>
                <w:sz w:val="20"/>
                <w:szCs w:val="20"/>
              </w:rPr>
              <w:t>评</w:t>
            </w:r>
            <w:r>
              <w:rPr>
                <w:rFonts w:ascii="宋体" w:hAnsi="宋体" w:eastAsia="宋体" w:cs="宋体"/>
                <w:spacing w:val="7"/>
                <w:sz w:val="20"/>
                <w:szCs w:val="20"/>
              </w:rPr>
              <w:t>价结论</w:t>
            </w:r>
          </w:p>
        </w:tc>
        <w:tc>
          <w:tcPr>
            <w:tcW w:w="1792" w:type="dxa"/>
            <w:vAlign w:val="top"/>
          </w:tcPr>
          <w:p w14:paraId="577C67B3">
            <w:pPr>
              <w:spacing w:before="57" w:line="228" w:lineRule="auto"/>
              <w:ind w:left="472"/>
              <w:rPr>
                <w:rFonts w:ascii="宋体" w:hAnsi="宋体" w:eastAsia="宋体" w:cs="宋体"/>
                <w:sz w:val="20"/>
                <w:szCs w:val="20"/>
              </w:rPr>
            </w:pPr>
            <w:r>
              <w:rPr>
                <w:rFonts w:ascii="宋体" w:hAnsi="宋体" w:eastAsia="宋体" w:cs="宋体"/>
                <w:spacing w:val="8"/>
                <w:sz w:val="20"/>
                <w:szCs w:val="20"/>
              </w:rPr>
              <w:t>环</w:t>
            </w:r>
            <w:r>
              <w:rPr>
                <w:rFonts w:ascii="宋体" w:hAnsi="宋体" w:eastAsia="宋体" w:cs="宋体"/>
                <w:spacing w:val="7"/>
                <w:sz w:val="20"/>
                <w:szCs w:val="20"/>
              </w:rPr>
              <w:t>境影响</w:t>
            </w:r>
          </w:p>
        </w:tc>
        <w:tc>
          <w:tcPr>
            <w:tcW w:w="7575" w:type="dxa"/>
            <w:gridSpan w:val="13"/>
            <w:tcBorders>
              <w:right w:val="single" w:color="000000" w:sz="10" w:space="0"/>
            </w:tcBorders>
            <w:vAlign w:val="top"/>
          </w:tcPr>
          <w:p w14:paraId="4F499E5D">
            <w:pPr>
              <w:spacing w:before="56" w:line="182" w:lineRule="auto"/>
              <w:ind w:left="2426"/>
              <w:rPr>
                <w:rFonts w:ascii="Times New Roman" w:hAnsi="Times New Roman" w:eastAsia="Times New Roman" w:cs="Times New Roman"/>
                <w:sz w:val="20"/>
                <w:szCs w:val="20"/>
              </w:rPr>
            </w:pPr>
            <w:r>
              <w:rPr>
                <w:rFonts w:ascii="宋体" w:hAnsi="宋体" w:eastAsia="宋体" w:cs="宋体"/>
                <w:spacing w:val="6"/>
                <w:sz w:val="20"/>
                <w:szCs w:val="20"/>
              </w:rPr>
              <w:t>可</w:t>
            </w:r>
            <w:r>
              <w:rPr>
                <w:rFonts w:ascii="宋体" w:hAnsi="宋体" w:eastAsia="宋体" w:cs="宋体"/>
                <w:spacing w:val="4"/>
                <w:sz w:val="20"/>
                <w:szCs w:val="20"/>
              </w:rPr>
              <w:t>以</w:t>
            </w:r>
            <w:r>
              <w:rPr>
                <w:rFonts w:ascii="宋体" w:hAnsi="宋体" w:eastAsia="宋体" w:cs="宋体"/>
                <w:spacing w:val="3"/>
                <w:sz w:val="20"/>
                <w:szCs w:val="20"/>
              </w:rPr>
              <w:t>接受</w:t>
            </w:r>
            <w:r>
              <w:rPr>
                <w:rFonts w:ascii="微软雅黑" w:hAnsi="微软雅黑" w:eastAsia="微软雅黑" w:cs="微软雅黑"/>
                <w:spacing w:val="3"/>
                <w:sz w:val="20"/>
                <w:szCs w:val="20"/>
              </w:rPr>
              <w:t xml:space="preserve">团         </w:t>
            </w:r>
            <w:r>
              <w:rPr>
                <w:rFonts w:ascii="宋体" w:hAnsi="宋体" w:eastAsia="宋体" w:cs="宋体"/>
                <w:spacing w:val="3"/>
                <w:sz w:val="20"/>
                <w:szCs w:val="20"/>
              </w:rPr>
              <w:t>不可以接受</w:t>
            </w:r>
            <w:r>
              <w:rPr>
                <w:rFonts w:ascii="Times New Roman" w:hAnsi="Times New Roman" w:eastAsia="Times New Roman" w:cs="Times New Roman"/>
                <w:spacing w:val="3"/>
                <w:sz w:val="20"/>
                <w:szCs w:val="20"/>
              </w:rPr>
              <w:t>□</w:t>
            </w:r>
          </w:p>
        </w:tc>
      </w:tr>
      <w:tr w14:paraId="69445E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44" w:type="dxa"/>
            <w:vMerge w:val="continue"/>
            <w:tcBorders>
              <w:top w:val="nil"/>
              <w:left w:val="single" w:color="000000" w:sz="10" w:space="0"/>
              <w:bottom w:val="nil"/>
            </w:tcBorders>
            <w:vAlign w:val="top"/>
          </w:tcPr>
          <w:p w14:paraId="38D7D375">
            <w:pPr>
              <w:rPr>
                <w:rFonts w:ascii="Arial"/>
                <w:sz w:val="21"/>
              </w:rPr>
            </w:pPr>
          </w:p>
        </w:tc>
        <w:tc>
          <w:tcPr>
            <w:tcW w:w="1792" w:type="dxa"/>
            <w:vAlign w:val="top"/>
          </w:tcPr>
          <w:p w14:paraId="24287321">
            <w:pPr>
              <w:spacing w:before="57" w:line="228" w:lineRule="auto"/>
              <w:ind w:left="55"/>
              <w:rPr>
                <w:rFonts w:ascii="宋体" w:hAnsi="宋体" w:eastAsia="宋体" w:cs="宋体"/>
                <w:sz w:val="20"/>
                <w:szCs w:val="20"/>
              </w:rPr>
            </w:pPr>
            <w:r>
              <w:rPr>
                <w:rFonts w:ascii="宋体" w:hAnsi="宋体" w:eastAsia="宋体" w:cs="宋体"/>
                <w:spacing w:val="11"/>
                <w:sz w:val="20"/>
                <w:szCs w:val="20"/>
              </w:rPr>
              <w:t>大</w:t>
            </w:r>
            <w:r>
              <w:rPr>
                <w:rFonts w:ascii="宋体" w:hAnsi="宋体" w:eastAsia="宋体" w:cs="宋体"/>
                <w:spacing w:val="8"/>
                <w:sz w:val="20"/>
                <w:szCs w:val="20"/>
              </w:rPr>
              <w:t>气环境防护距离</w:t>
            </w:r>
          </w:p>
        </w:tc>
        <w:tc>
          <w:tcPr>
            <w:tcW w:w="7575" w:type="dxa"/>
            <w:gridSpan w:val="13"/>
            <w:tcBorders>
              <w:right w:val="single" w:color="000000" w:sz="10" w:space="0"/>
            </w:tcBorders>
            <w:vAlign w:val="top"/>
          </w:tcPr>
          <w:p w14:paraId="74212F64">
            <w:pPr>
              <w:spacing w:before="19" w:line="281" w:lineRule="exact"/>
              <w:ind w:left="2702"/>
              <w:rPr>
                <w:rFonts w:ascii="Times New Roman" w:hAnsi="Times New Roman" w:eastAsia="Times New Roman" w:cs="Times New Roman"/>
                <w:sz w:val="20"/>
                <w:szCs w:val="20"/>
              </w:rPr>
            </w:pPr>
            <w:r>
              <w:rPr>
                <w:rFonts w:ascii="宋体" w:hAnsi="宋体" w:eastAsia="宋体" w:cs="宋体"/>
                <w:spacing w:val="10"/>
                <w:position w:val="1"/>
                <w:sz w:val="20"/>
                <w:szCs w:val="20"/>
              </w:rPr>
              <w:t>距</w:t>
            </w:r>
            <w:r>
              <w:rPr>
                <w:rFonts w:ascii="宋体" w:hAnsi="宋体" w:eastAsia="宋体" w:cs="宋体"/>
                <w:spacing w:val="6"/>
                <w:position w:val="1"/>
                <w:sz w:val="20"/>
                <w:szCs w:val="20"/>
              </w:rPr>
              <w:t xml:space="preserve"> (</w:t>
            </w:r>
            <w:r>
              <w:rPr>
                <w:rFonts w:ascii="Times New Roman" w:hAnsi="Times New Roman" w:eastAsia="Times New Roman" w:cs="Times New Roman"/>
                <w:spacing w:val="6"/>
                <w:position w:val="1"/>
                <w:sz w:val="20"/>
                <w:szCs w:val="20"/>
              </w:rPr>
              <w:t>/</w:t>
            </w:r>
            <w:r>
              <w:rPr>
                <w:rFonts w:ascii="宋体" w:hAnsi="宋体" w:eastAsia="宋体" w:cs="宋体"/>
                <w:spacing w:val="6"/>
                <w:position w:val="1"/>
                <w:sz w:val="20"/>
                <w:szCs w:val="20"/>
              </w:rPr>
              <w:t>) 厂界最远 (</w:t>
            </w:r>
            <w:r>
              <w:rPr>
                <w:rFonts w:ascii="Times New Roman" w:hAnsi="Times New Roman" w:eastAsia="Times New Roman" w:cs="Times New Roman"/>
                <w:spacing w:val="6"/>
                <w:position w:val="1"/>
                <w:sz w:val="20"/>
                <w:szCs w:val="20"/>
              </w:rPr>
              <w:t>/</w:t>
            </w:r>
            <w:r>
              <w:rPr>
                <w:rFonts w:ascii="宋体" w:hAnsi="宋体" w:eastAsia="宋体" w:cs="宋体"/>
                <w:spacing w:val="6"/>
                <w:position w:val="1"/>
                <w:sz w:val="20"/>
                <w:szCs w:val="20"/>
              </w:rPr>
              <w:t xml:space="preserve">) </w:t>
            </w:r>
            <w:r>
              <w:rPr>
                <w:rFonts w:ascii="Times New Roman" w:hAnsi="Times New Roman" w:eastAsia="Times New Roman" w:cs="Times New Roman"/>
                <w:position w:val="1"/>
                <w:sz w:val="20"/>
                <w:szCs w:val="20"/>
              </w:rPr>
              <w:t>m</w:t>
            </w:r>
          </w:p>
        </w:tc>
      </w:tr>
      <w:tr w14:paraId="0AB7F5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44" w:type="dxa"/>
            <w:vMerge w:val="continue"/>
            <w:tcBorders>
              <w:top w:val="nil"/>
              <w:left w:val="single" w:color="000000" w:sz="10" w:space="0"/>
            </w:tcBorders>
            <w:vAlign w:val="top"/>
          </w:tcPr>
          <w:p w14:paraId="7FC2E1BC">
            <w:pPr>
              <w:rPr>
                <w:rFonts w:ascii="Arial"/>
                <w:sz w:val="21"/>
              </w:rPr>
            </w:pPr>
          </w:p>
        </w:tc>
        <w:tc>
          <w:tcPr>
            <w:tcW w:w="1792" w:type="dxa"/>
            <w:vAlign w:val="top"/>
          </w:tcPr>
          <w:p w14:paraId="756F2DE0">
            <w:pPr>
              <w:spacing w:before="56" w:line="228" w:lineRule="auto"/>
              <w:ind w:left="160"/>
              <w:rPr>
                <w:rFonts w:ascii="宋体" w:hAnsi="宋体" w:eastAsia="宋体" w:cs="宋体"/>
                <w:sz w:val="20"/>
                <w:szCs w:val="20"/>
              </w:rPr>
            </w:pPr>
            <w:r>
              <w:rPr>
                <w:rFonts w:ascii="宋体" w:hAnsi="宋体" w:eastAsia="宋体" w:cs="宋体"/>
                <w:spacing w:val="11"/>
                <w:sz w:val="20"/>
                <w:szCs w:val="20"/>
              </w:rPr>
              <w:t>污</w:t>
            </w:r>
            <w:r>
              <w:rPr>
                <w:rFonts w:ascii="宋体" w:hAnsi="宋体" w:eastAsia="宋体" w:cs="宋体"/>
                <w:spacing w:val="8"/>
                <w:sz w:val="20"/>
                <w:szCs w:val="20"/>
              </w:rPr>
              <w:t>染源年排放量</w:t>
            </w:r>
          </w:p>
        </w:tc>
        <w:tc>
          <w:tcPr>
            <w:tcW w:w="1890" w:type="dxa"/>
            <w:gridSpan w:val="4"/>
            <w:vAlign w:val="top"/>
          </w:tcPr>
          <w:p w14:paraId="478125FB">
            <w:pPr>
              <w:spacing w:before="19" w:line="281" w:lineRule="exact"/>
              <w:ind w:left="181"/>
              <w:rPr>
                <w:rFonts w:ascii="Times New Roman" w:hAnsi="Times New Roman" w:eastAsia="Times New Roman" w:cs="Times New Roman"/>
                <w:sz w:val="20"/>
                <w:szCs w:val="20"/>
              </w:rPr>
            </w:pPr>
            <w:r>
              <w:rPr>
                <w:rFonts w:ascii="Times New Roman" w:hAnsi="Times New Roman" w:eastAsia="Times New Roman" w:cs="Times New Roman"/>
                <w:spacing w:val="-7"/>
                <w:position w:val="1"/>
                <w:sz w:val="20"/>
                <w:szCs w:val="20"/>
              </w:rPr>
              <w:t>SO</w:t>
            </w:r>
            <w:r>
              <w:rPr>
                <w:rFonts w:ascii="Times New Roman" w:hAnsi="Times New Roman" w:eastAsia="Times New Roman" w:cs="Times New Roman"/>
                <w:spacing w:val="-7"/>
                <w:sz w:val="13"/>
                <w:szCs w:val="13"/>
              </w:rPr>
              <w:t xml:space="preserve">2 </w:t>
            </w:r>
            <w:r>
              <w:rPr>
                <w:rFonts w:ascii="宋体" w:hAnsi="宋体" w:eastAsia="宋体" w:cs="宋体"/>
                <w:spacing w:val="-7"/>
                <w:position w:val="1"/>
                <w:sz w:val="20"/>
                <w:szCs w:val="20"/>
              </w:rPr>
              <w:t>：  (</w:t>
            </w:r>
            <w:r>
              <w:rPr>
                <w:rFonts w:ascii="Times New Roman" w:hAnsi="Times New Roman" w:eastAsia="Times New Roman" w:cs="Times New Roman"/>
                <w:spacing w:val="-7"/>
                <w:position w:val="1"/>
                <w:sz w:val="20"/>
                <w:szCs w:val="20"/>
              </w:rPr>
              <w:t>1. 14</w:t>
            </w:r>
            <w:r>
              <w:rPr>
                <w:rFonts w:ascii="宋体" w:hAnsi="宋体" w:eastAsia="宋体" w:cs="宋体"/>
                <w:spacing w:val="-7"/>
                <w:position w:val="1"/>
                <w:sz w:val="20"/>
                <w:szCs w:val="20"/>
              </w:rPr>
              <w:t xml:space="preserve">) </w:t>
            </w:r>
            <w:r>
              <w:rPr>
                <w:rFonts w:ascii="Times New Roman" w:hAnsi="Times New Roman" w:eastAsia="Times New Roman" w:cs="Times New Roman"/>
                <w:spacing w:val="-7"/>
                <w:position w:val="1"/>
                <w:sz w:val="20"/>
                <w:szCs w:val="20"/>
              </w:rPr>
              <w:t>t/</w:t>
            </w:r>
            <w:r>
              <w:rPr>
                <w:rFonts w:ascii="Times New Roman" w:hAnsi="Times New Roman" w:eastAsia="Times New Roman" w:cs="Times New Roman"/>
                <w:spacing w:val="-6"/>
                <w:position w:val="1"/>
                <w:sz w:val="20"/>
                <w:szCs w:val="20"/>
              </w:rPr>
              <w:t>a</w:t>
            </w:r>
          </w:p>
        </w:tc>
        <w:tc>
          <w:tcPr>
            <w:tcW w:w="1890" w:type="dxa"/>
            <w:gridSpan w:val="4"/>
            <w:vAlign w:val="top"/>
          </w:tcPr>
          <w:p w14:paraId="2BC0BABB">
            <w:pPr>
              <w:spacing w:before="19" w:line="281" w:lineRule="exact"/>
              <w:ind w:left="152"/>
              <w:rPr>
                <w:rFonts w:ascii="Times New Roman" w:hAnsi="Times New Roman" w:eastAsia="Times New Roman" w:cs="Times New Roman"/>
                <w:sz w:val="20"/>
                <w:szCs w:val="20"/>
              </w:rPr>
            </w:pPr>
            <w:r>
              <w:rPr>
                <w:rFonts w:ascii="Times New Roman" w:hAnsi="Times New Roman" w:eastAsia="Times New Roman" w:cs="Times New Roman"/>
                <w:spacing w:val="-3"/>
                <w:position w:val="1"/>
                <w:sz w:val="20"/>
                <w:szCs w:val="20"/>
              </w:rPr>
              <w:t>NO</w:t>
            </w:r>
            <w:r>
              <w:rPr>
                <w:rFonts w:ascii="Times New Roman" w:hAnsi="Times New Roman" w:eastAsia="Times New Roman" w:cs="Times New Roman"/>
                <w:spacing w:val="-3"/>
                <w:sz w:val="13"/>
                <w:szCs w:val="13"/>
              </w:rPr>
              <w:t>x</w:t>
            </w:r>
            <w:r>
              <w:rPr>
                <w:rFonts w:ascii="Times New Roman" w:hAnsi="Times New Roman" w:eastAsia="Times New Roman" w:cs="Times New Roman"/>
                <w:spacing w:val="-6"/>
                <w:sz w:val="13"/>
                <w:szCs w:val="13"/>
              </w:rPr>
              <w:t xml:space="preserve"> </w:t>
            </w:r>
            <w:r>
              <w:rPr>
                <w:rFonts w:ascii="宋体" w:hAnsi="宋体" w:eastAsia="宋体" w:cs="宋体"/>
                <w:spacing w:val="-6"/>
                <w:position w:val="1"/>
                <w:sz w:val="20"/>
                <w:szCs w:val="20"/>
              </w:rPr>
              <w:t>：</w:t>
            </w:r>
            <w:r>
              <w:rPr>
                <w:rFonts w:ascii="宋体" w:hAnsi="宋体" w:eastAsia="宋体" w:cs="宋体"/>
                <w:spacing w:val="-4"/>
                <w:position w:val="1"/>
                <w:sz w:val="20"/>
                <w:szCs w:val="20"/>
              </w:rPr>
              <w:t xml:space="preserve"> </w:t>
            </w:r>
            <w:r>
              <w:rPr>
                <w:rFonts w:ascii="宋体" w:hAnsi="宋体" w:eastAsia="宋体" w:cs="宋体"/>
                <w:spacing w:val="-3"/>
                <w:position w:val="1"/>
                <w:sz w:val="20"/>
                <w:szCs w:val="20"/>
              </w:rPr>
              <w:t xml:space="preserve"> (</w:t>
            </w:r>
            <w:r>
              <w:rPr>
                <w:rFonts w:ascii="Times New Roman" w:hAnsi="Times New Roman" w:eastAsia="Times New Roman" w:cs="Times New Roman"/>
                <w:spacing w:val="-3"/>
                <w:position w:val="1"/>
                <w:sz w:val="20"/>
                <w:szCs w:val="20"/>
              </w:rPr>
              <w:t>0.69</w:t>
            </w:r>
            <w:r>
              <w:rPr>
                <w:rFonts w:ascii="宋体" w:hAnsi="宋体" w:eastAsia="宋体" w:cs="宋体"/>
                <w:spacing w:val="-3"/>
                <w:position w:val="1"/>
                <w:sz w:val="20"/>
                <w:szCs w:val="20"/>
              </w:rPr>
              <w:t xml:space="preserve">) </w:t>
            </w:r>
            <w:r>
              <w:rPr>
                <w:rFonts w:ascii="Times New Roman" w:hAnsi="Times New Roman" w:eastAsia="Times New Roman" w:cs="Times New Roman"/>
                <w:spacing w:val="-3"/>
                <w:position w:val="1"/>
                <w:sz w:val="20"/>
                <w:szCs w:val="20"/>
              </w:rPr>
              <w:t>t/a</w:t>
            </w:r>
          </w:p>
        </w:tc>
        <w:tc>
          <w:tcPr>
            <w:tcW w:w="1986" w:type="dxa"/>
            <w:gridSpan w:val="3"/>
            <w:vAlign w:val="top"/>
          </w:tcPr>
          <w:p w14:paraId="0A026B5D">
            <w:pPr>
              <w:spacing w:before="19" w:line="281" w:lineRule="exact"/>
              <w:ind w:left="33"/>
              <w:rPr>
                <w:rFonts w:ascii="Times New Roman" w:hAnsi="Times New Roman" w:eastAsia="Times New Roman" w:cs="Times New Roman"/>
                <w:sz w:val="20"/>
                <w:szCs w:val="20"/>
              </w:rPr>
            </w:pPr>
            <w:r>
              <w:rPr>
                <w:rFonts w:ascii="宋体" w:hAnsi="宋体" w:eastAsia="宋体" w:cs="宋体"/>
                <w:spacing w:val="-1"/>
                <w:position w:val="1"/>
                <w:sz w:val="20"/>
                <w:szCs w:val="20"/>
              </w:rPr>
              <w:t>颗粒物：  (</w:t>
            </w:r>
            <w:r>
              <w:rPr>
                <w:rFonts w:ascii="Times New Roman" w:hAnsi="Times New Roman" w:eastAsia="Times New Roman" w:cs="Times New Roman"/>
                <w:spacing w:val="-1"/>
                <w:position w:val="1"/>
                <w:sz w:val="20"/>
                <w:szCs w:val="20"/>
              </w:rPr>
              <w:t>1.023</w:t>
            </w:r>
            <w:r>
              <w:rPr>
                <w:rFonts w:ascii="宋体" w:hAnsi="宋体" w:eastAsia="宋体" w:cs="宋体"/>
                <w:spacing w:val="-1"/>
                <w:position w:val="1"/>
                <w:sz w:val="20"/>
                <w:szCs w:val="20"/>
              </w:rPr>
              <w:t xml:space="preserve">) </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1"/>
                <w:position w:val="1"/>
                <w:sz w:val="20"/>
                <w:szCs w:val="20"/>
              </w:rPr>
              <w:t>/</w:t>
            </w:r>
            <w:r>
              <w:rPr>
                <w:rFonts w:ascii="Times New Roman" w:hAnsi="Times New Roman" w:eastAsia="Times New Roman" w:cs="Times New Roman"/>
                <w:position w:val="1"/>
                <w:sz w:val="20"/>
                <w:szCs w:val="20"/>
              </w:rPr>
              <w:t>a</w:t>
            </w:r>
          </w:p>
        </w:tc>
        <w:tc>
          <w:tcPr>
            <w:tcW w:w="1809" w:type="dxa"/>
            <w:gridSpan w:val="2"/>
            <w:tcBorders>
              <w:right w:val="single" w:color="000000" w:sz="10" w:space="0"/>
            </w:tcBorders>
            <w:vAlign w:val="top"/>
          </w:tcPr>
          <w:p w14:paraId="472A7984">
            <w:pPr>
              <w:spacing w:before="19" w:line="281" w:lineRule="exact"/>
              <w:ind w:left="94"/>
              <w:rPr>
                <w:rFonts w:ascii="Times New Roman" w:hAnsi="Times New Roman" w:eastAsia="Times New Roman" w:cs="Times New Roman"/>
                <w:sz w:val="20"/>
                <w:szCs w:val="20"/>
              </w:rPr>
            </w:pPr>
            <w:r>
              <w:rPr>
                <w:rFonts w:ascii="Times New Roman" w:hAnsi="Times New Roman" w:eastAsia="Times New Roman" w:cs="Times New Roman"/>
                <w:spacing w:val="-1"/>
                <w:position w:val="1"/>
                <w:sz w:val="20"/>
                <w:szCs w:val="20"/>
              </w:rPr>
              <w:t>VOCs</w:t>
            </w:r>
            <w:r>
              <w:rPr>
                <w:rFonts w:ascii="宋体" w:hAnsi="宋体" w:eastAsia="宋体" w:cs="宋体"/>
                <w:spacing w:val="-2"/>
                <w:position w:val="1"/>
                <w:sz w:val="20"/>
                <w:szCs w:val="20"/>
              </w:rPr>
              <w:t>：  (</w:t>
            </w:r>
            <w:r>
              <w:rPr>
                <w:rFonts w:ascii="Times New Roman" w:hAnsi="Times New Roman" w:eastAsia="Times New Roman" w:cs="Times New Roman"/>
                <w:spacing w:val="-2"/>
                <w:position w:val="1"/>
                <w:sz w:val="20"/>
                <w:szCs w:val="20"/>
              </w:rPr>
              <w:t>4.2</w:t>
            </w:r>
            <w:r>
              <w:rPr>
                <w:rFonts w:ascii="宋体" w:hAnsi="宋体" w:eastAsia="宋体" w:cs="宋体"/>
                <w:spacing w:val="-2"/>
                <w:position w:val="1"/>
                <w:sz w:val="20"/>
                <w:szCs w:val="20"/>
              </w:rPr>
              <w:t xml:space="preserve">) </w:t>
            </w:r>
            <w:r>
              <w:rPr>
                <w:rFonts w:ascii="Times New Roman" w:hAnsi="Times New Roman" w:eastAsia="Times New Roman" w:cs="Times New Roman"/>
                <w:spacing w:val="-1"/>
                <w:position w:val="1"/>
                <w:sz w:val="20"/>
                <w:szCs w:val="20"/>
              </w:rPr>
              <w:t>t</w:t>
            </w:r>
            <w:r>
              <w:rPr>
                <w:rFonts w:ascii="Times New Roman" w:hAnsi="Times New Roman" w:eastAsia="Times New Roman" w:cs="Times New Roman"/>
                <w:spacing w:val="-2"/>
                <w:position w:val="1"/>
                <w:sz w:val="20"/>
                <w:szCs w:val="20"/>
              </w:rPr>
              <w:t>/</w:t>
            </w:r>
            <w:r>
              <w:rPr>
                <w:rFonts w:ascii="Times New Roman" w:hAnsi="Times New Roman" w:eastAsia="Times New Roman" w:cs="Times New Roman"/>
                <w:spacing w:val="-1"/>
                <w:position w:val="1"/>
                <w:sz w:val="20"/>
                <w:szCs w:val="20"/>
              </w:rPr>
              <w:t>a</w:t>
            </w:r>
          </w:p>
        </w:tc>
      </w:tr>
      <w:tr w14:paraId="6EF99C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10411" w:type="dxa"/>
            <w:gridSpan w:val="15"/>
            <w:tcBorders>
              <w:left w:val="single" w:color="000000" w:sz="10" w:space="0"/>
              <w:right w:val="single" w:color="000000" w:sz="10" w:space="0"/>
            </w:tcBorders>
            <w:vAlign w:val="top"/>
          </w:tcPr>
          <w:p w14:paraId="175CB1DD">
            <w:pPr>
              <w:spacing w:before="18" w:line="281" w:lineRule="exact"/>
              <w:ind w:left="21"/>
              <w:rPr>
                <w:rFonts w:ascii="宋体" w:hAnsi="宋体" w:eastAsia="宋体" w:cs="宋体"/>
                <w:sz w:val="20"/>
                <w:szCs w:val="20"/>
              </w:rPr>
            </w:pPr>
            <w:r>
              <w:rPr>
                <w:rFonts w:ascii="宋体" w:hAnsi="宋体" w:eastAsia="宋体" w:cs="宋体"/>
                <w:spacing w:val="7"/>
                <w:sz w:val="20"/>
                <w:szCs w:val="20"/>
              </w:rPr>
              <w:t>注：</w:t>
            </w:r>
            <w:r>
              <w:rPr>
                <w:rFonts w:ascii="Times New Roman" w:hAnsi="Times New Roman" w:eastAsia="Times New Roman" w:cs="Times New Roman"/>
                <w:spacing w:val="7"/>
                <w:sz w:val="20"/>
                <w:szCs w:val="20"/>
              </w:rPr>
              <w:t>“□”</w:t>
            </w:r>
            <w:r>
              <w:rPr>
                <w:rFonts w:ascii="宋体" w:hAnsi="宋体" w:eastAsia="宋体" w:cs="宋体"/>
                <w:spacing w:val="7"/>
                <w:sz w:val="20"/>
                <w:szCs w:val="20"/>
              </w:rPr>
              <w:t>为勾选项，填</w:t>
            </w:r>
            <w:r>
              <w:rPr>
                <w:rFonts w:ascii="Times New Roman" w:hAnsi="Times New Roman" w:eastAsia="Times New Roman" w:cs="Times New Roman"/>
                <w:spacing w:val="7"/>
                <w:sz w:val="20"/>
                <w:szCs w:val="20"/>
              </w:rPr>
              <w:t>“√”</w:t>
            </w:r>
            <w:r>
              <w:rPr>
                <w:rFonts w:ascii="宋体" w:hAnsi="宋体" w:eastAsia="宋体" w:cs="宋体"/>
                <w:spacing w:val="7"/>
                <w:sz w:val="20"/>
                <w:szCs w:val="20"/>
              </w:rPr>
              <w:t>；</w:t>
            </w:r>
            <w:r>
              <w:rPr>
                <w:rFonts w:ascii="Times New Roman" w:hAnsi="Times New Roman" w:eastAsia="Times New Roman" w:cs="Times New Roman"/>
                <w:spacing w:val="7"/>
                <w:sz w:val="20"/>
                <w:szCs w:val="20"/>
              </w:rPr>
              <w:t xml:space="preserve">“  </w:t>
            </w:r>
            <w:r>
              <w:rPr>
                <w:rFonts w:ascii="宋体" w:hAnsi="宋体" w:eastAsia="宋体" w:cs="宋体"/>
                <w:spacing w:val="7"/>
                <w:sz w:val="20"/>
                <w:szCs w:val="20"/>
              </w:rPr>
              <w:t xml:space="preserve">() </w:t>
            </w:r>
            <w:r>
              <w:rPr>
                <w:rFonts w:ascii="Times New Roman" w:hAnsi="Times New Roman" w:eastAsia="Times New Roman" w:cs="Times New Roman"/>
                <w:spacing w:val="7"/>
                <w:sz w:val="20"/>
                <w:szCs w:val="20"/>
              </w:rPr>
              <w:t>”</w:t>
            </w:r>
            <w:r>
              <w:rPr>
                <w:rFonts w:ascii="宋体" w:hAnsi="宋体" w:eastAsia="宋体" w:cs="宋体"/>
                <w:spacing w:val="7"/>
                <w:sz w:val="20"/>
                <w:szCs w:val="20"/>
              </w:rPr>
              <w:t>为内容填写项</w:t>
            </w:r>
          </w:p>
        </w:tc>
      </w:tr>
    </w:tbl>
    <w:p w14:paraId="0DF40CB9">
      <w:pPr>
        <w:rPr>
          <w:rFonts w:ascii="Arial"/>
          <w:sz w:val="21"/>
        </w:rPr>
      </w:pPr>
    </w:p>
    <w:p w14:paraId="5BF1F5F7">
      <w:pPr>
        <w:sectPr>
          <w:headerReference r:id="rId347" w:type="default"/>
          <w:footerReference r:id="rId348" w:type="default"/>
          <w:pgSz w:w="11906" w:h="16839"/>
          <w:pgMar w:top="400" w:right="734" w:bottom="1182" w:left="734" w:header="0" w:footer="1022" w:gutter="0"/>
          <w:cols w:space="720" w:num="1"/>
        </w:sectPr>
      </w:pPr>
    </w:p>
    <w:p w14:paraId="490A1F22">
      <w:pPr>
        <w:spacing w:line="265" w:lineRule="auto"/>
        <w:rPr>
          <w:rFonts w:ascii="Arial"/>
          <w:sz w:val="21"/>
        </w:rPr>
      </w:pPr>
    </w:p>
    <w:p w14:paraId="19B8199B">
      <w:pPr>
        <w:spacing w:line="265" w:lineRule="auto"/>
        <w:rPr>
          <w:rFonts w:ascii="Arial"/>
          <w:sz w:val="21"/>
        </w:rPr>
      </w:pPr>
    </w:p>
    <w:p w14:paraId="0CC467F7">
      <w:pPr>
        <w:spacing w:line="266" w:lineRule="auto"/>
        <w:rPr>
          <w:rFonts w:ascii="Arial"/>
          <w:sz w:val="21"/>
        </w:rPr>
      </w:pPr>
    </w:p>
    <w:p w14:paraId="5FB6F60F">
      <w:pPr>
        <w:spacing w:line="266" w:lineRule="auto"/>
        <w:rPr>
          <w:rFonts w:ascii="Arial"/>
          <w:sz w:val="21"/>
        </w:rPr>
      </w:pPr>
    </w:p>
    <w:p w14:paraId="54087505">
      <w:pPr>
        <w:spacing w:line="11486" w:lineRule="exact"/>
        <w:ind w:firstLine="14"/>
        <w:textAlignment w:val="center"/>
      </w:pPr>
      <w:r>
        <w:drawing>
          <wp:inline distT="0" distB="0" distL="0" distR="0">
            <wp:extent cx="5273040" cy="7293610"/>
            <wp:effectExtent l="0" t="0" r="0" b="0"/>
            <wp:docPr id="265" name="IM 265"/>
            <wp:cNvGraphicFramePr/>
            <a:graphic xmlns:a="http://schemas.openxmlformats.org/drawingml/2006/main">
              <a:graphicData uri="http://schemas.openxmlformats.org/drawingml/2006/picture">
                <pic:pic xmlns:pic="http://schemas.openxmlformats.org/drawingml/2006/picture">
                  <pic:nvPicPr>
                    <pic:cNvPr id="265" name="IM 265"/>
                    <pic:cNvPicPr/>
                  </pic:nvPicPr>
                  <pic:blipFill>
                    <a:blip r:embed="rId605"/>
                    <a:stretch>
                      <a:fillRect/>
                    </a:stretch>
                  </pic:blipFill>
                  <pic:spPr>
                    <a:xfrm>
                      <a:off x="0" y="0"/>
                      <a:ext cx="5273040" cy="7293864"/>
                    </a:xfrm>
                    <a:prstGeom prst="rect">
                      <a:avLst/>
                    </a:prstGeom>
                  </pic:spPr>
                </pic:pic>
              </a:graphicData>
            </a:graphic>
          </wp:inline>
        </w:drawing>
      </w:r>
    </w:p>
    <w:p w14:paraId="12BB1FA4">
      <w:pPr>
        <w:sectPr>
          <w:footerReference r:id="rId349" w:type="default"/>
          <w:pgSz w:w="11906" w:h="16839"/>
          <w:pgMar w:top="400" w:right="1785" w:bottom="1182" w:left="1785" w:header="0" w:footer="1022" w:gutter="0"/>
          <w:cols w:space="720" w:num="1"/>
        </w:sectPr>
      </w:pPr>
    </w:p>
    <w:p w14:paraId="169E4F84">
      <w:pPr>
        <w:spacing w:line="267" w:lineRule="auto"/>
        <w:rPr>
          <w:rFonts w:ascii="Arial"/>
          <w:sz w:val="21"/>
        </w:rPr>
      </w:pPr>
    </w:p>
    <w:p w14:paraId="6B3F3B2A">
      <w:pPr>
        <w:spacing w:line="267" w:lineRule="auto"/>
        <w:rPr>
          <w:rFonts w:ascii="Arial"/>
          <w:sz w:val="21"/>
        </w:rPr>
      </w:pPr>
    </w:p>
    <w:p w14:paraId="154172A0">
      <w:pPr>
        <w:spacing w:line="267" w:lineRule="auto"/>
        <w:rPr>
          <w:rFonts w:ascii="Arial"/>
          <w:sz w:val="21"/>
        </w:rPr>
      </w:pPr>
    </w:p>
    <w:p w14:paraId="2DDC80E2">
      <w:pPr>
        <w:spacing w:line="268" w:lineRule="auto"/>
        <w:rPr>
          <w:rFonts w:ascii="Arial"/>
          <w:sz w:val="21"/>
        </w:rPr>
      </w:pPr>
    </w:p>
    <w:p w14:paraId="409B0ED2">
      <w:pPr>
        <w:spacing w:before="169" w:line="223" w:lineRule="auto"/>
        <w:ind w:left="3148"/>
        <w:rPr>
          <w:rFonts w:ascii="黑体" w:hAnsi="黑体" w:eastAsia="黑体" w:cs="黑体"/>
          <w:sz w:val="52"/>
          <w:szCs w:val="52"/>
        </w:rPr>
      </w:pPr>
      <w:r>
        <w:rPr>
          <w:rFonts w:ascii="黑体" w:hAnsi="黑体" w:eastAsia="黑体" w:cs="黑体"/>
          <w:spacing w:val="3"/>
          <w:sz w:val="52"/>
          <w:szCs w:val="52"/>
          <w14:textOutline w14:w="9461" w14:cap="sq" w14:cmpd="sng">
            <w14:solidFill>
              <w14:srgbClr w14:val="000000"/>
            </w14:solidFill>
            <w14:prstDash w14:val="solid"/>
            <w14:bevel/>
          </w14:textOutline>
        </w:rPr>
        <w:t>委</w:t>
      </w:r>
      <w:r>
        <w:rPr>
          <w:rFonts w:ascii="黑体" w:hAnsi="黑体" w:eastAsia="黑体" w:cs="黑体"/>
          <w:spacing w:val="3"/>
          <w:sz w:val="52"/>
          <w:szCs w:val="52"/>
        </w:rPr>
        <w:t xml:space="preserve"> </w:t>
      </w:r>
      <w:r>
        <w:rPr>
          <w:rFonts w:ascii="黑体" w:hAnsi="黑体" w:eastAsia="黑体" w:cs="黑体"/>
          <w:spacing w:val="3"/>
          <w:sz w:val="52"/>
          <w:szCs w:val="52"/>
          <w14:textOutline w14:w="9461" w14:cap="sq" w14:cmpd="sng">
            <w14:solidFill>
              <w14:srgbClr w14:val="000000"/>
            </w14:solidFill>
            <w14:prstDash w14:val="solid"/>
            <w14:bevel/>
          </w14:textOutline>
        </w:rPr>
        <w:t>托</w:t>
      </w:r>
      <w:r>
        <w:rPr>
          <w:rFonts w:ascii="黑体" w:hAnsi="黑体" w:eastAsia="黑体" w:cs="黑体"/>
          <w:spacing w:val="3"/>
          <w:sz w:val="52"/>
          <w:szCs w:val="52"/>
        </w:rPr>
        <w:t xml:space="preserve"> </w:t>
      </w:r>
      <w:r>
        <w:rPr>
          <w:rFonts w:ascii="黑体" w:hAnsi="黑体" w:eastAsia="黑体" w:cs="黑体"/>
          <w:spacing w:val="2"/>
          <w:sz w:val="52"/>
          <w:szCs w:val="52"/>
          <w14:textOutline w14:w="9461" w14:cap="sq" w14:cmpd="sng">
            <w14:solidFill>
              <w14:srgbClr w14:val="000000"/>
            </w14:solidFill>
            <w14:prstDash w14:val="solid"/>
            <w14:bevel/>
          </w14:textOutline>
        </w:rPr>
        <w:t>书</w:t>
      </w:r>
    </w:p>
    <w:p w14:paraId="3A30EEE3">
      <w:pPr>
        <w:spacing w:line="299" w:lineRule="auto"/>
        <w:rPr>
          <w:rFonts w:ascii="Arial"/>
          <w:sz w:val="21"/>
        </w:rPr>
      </w:pPr>
    </w:p>
    <w:p w14:paraId="1382134B">
      <w:pPr>
        <w:spacing w:line="299" w:lineRule="auto"/>
        <w:rPr>
          <w:rFonts w:ascii="Arial"/>
          <w:sz w:val="21"/>
        </w:rPr>
      </w:pPr>
    </w:p>
    <w:p w14:paraId="60D48176">
      <w:pPr>
        <w:spacing w:before="101" w:line="224" w:lineRule="auto"/>
        <w:ind w:left="25"/>
        <w:rPr>
          <w:rFonts w:ascii="宋体" w:hAnsi="宋体" w:eastAsia="宋体" w:cs="宋体"/>
          <w:sz w:val="31"/>
          <w:szCs w:val="31"/>
        </w:rPr>
      </w:pPr>
      <w:r>
        <w:rPr>
          <w:rFonts w:ascii="宋体" w:hAnsi="宋体" w:eastAsia="宋体" w:cs="宋体"/>
          <w:spacing w:val="14"/>
          <w:sz w:val="31"/>
          <w:szCs w:val="31"/>
        </w:rPr>
        <w:t>甘</w:t>
      </w:r>
      <w:r>
        <w:rPr>
          <w:rFonts w:ascii="宋体" w:hAnsi="宋体" w:eastAsia="宋体" w:cs="宋体"/>
          <w:spacing w:val="8"/>
          <w:sz w:val="31"/>
          <w:szCs w:val="31"/>
        </w:rPr>
        <w:t>肃宜洁环境工程科技有限公司：</w:t>
      </w:r>
    </w:p>
    <w:p w14:paraId="66B03CCA">
      <w:pPr>
        <w:spacing w:line="344" w:lineRule="auto"/>
        <w:rPr>
          <w:rFonts w:ascii="Arial"/>
          <w:sz w:val="21"/>
        </w:rPr>
      </w:pPr>
    </w:p>
    <w:p w14:paraId="7AF1C71F">
      <w:pPr>
        <w:spacing w:line="345" w:lineRule="auto"/>
        <w:rPr>
          <w:rFonts w:ascii="Arial"/>
          <w:sz w:val="21"/>
        </w:rPr>
      </w:pPr>
    </w:p>
    <w:p w14:paraId="6F37F6B2">
      <w:pPr>
        <w:spacing w:before="100" w:line="375" w:lineRule="auto"/>
        <w:ind w:left="27" w:right="13" w:firstLine="639"/>
        <w:rPr>
          <w:rFonts w:ascii="宋体" w:hAnsi="宋体" w:eastAsia="宋体" w:cs="宋体"/>
          <w:sz w:val="31"/>
          <w:szCs w:val="31"/>
        </w:rPr>
      </w:pPr>
      <w:r>
        <w:rPr>
          <w:rFonts w:ascii="宋体" w:hAnsi="宋体" w:eastAsia="宋体" w:cs="宋体"/>
          <w:spacing w:val="5"/>
          <w:sz w:val="31"/>
          <w:szCs w:val="31"/>
        </w:rPr>
        <w:t xml:space="preserve">根据中华人民共和国国务院令第 </w:t>
      </w:r>
      <w:r>
        <w:rPr>
          <w:rFonts w:ascii="Times New Roman" w:hAnsi="Times New Roman" w:eastAsia="Times New Roman" w:cs="Times New Roman"/>
          <w:spacing w:val="5"/>
          <w:sz w:val="31"/>
          <w:szCs w:val="31"/>
        </w:rPr>
        <w:t xml:space="preserve">682 </w:t>
      </w:r>
      <w:r>
        <w:rPr>
          <w:rFonts w:ascii="宋体" w:hAnsi="宋体" w:eastAsia="宋体" w:cs="宋体"/>
          <w:spacing w:val="5"/>
          <w:sz w:val="31"/>
          <w:szCs w:val="31"/>
        </w:rPr>
        <w:t>号《建设项目环境</w:t>
      </w:r>
      <w:r>
        <w:rPr>
          <w:rFonts w:ascii="宋体" w:hAnsi="宋体" w:eastAsia="宋体" w:cs="宋体"/>
          <w:sz w:val="31"/>
          <w:szCs w:val="31"/>
        </w:rPr>
        <w:t xml:space="preserve"> </w:t>
      </w:r>
      <w:r>
        <w:rPr>
          <w:rFonts w:ascii="宋体" w:hAnsi="宋体" w:eastAsia="宋体" w:cs="宋体"/>
          <w:spacing w:val="9"/>
          <w:sz w:val="31"/>
          <w:szCs w:val="31"/>
        </w:rPr>
        <w:t>保护管理条例》的规定，我单位《本溪弘福塑业有限公司</w:t>
      </w:r>
      <w:r>
        <w:rPr>
          <w:rFonts w:ascii="宋体" w:hAnsi="宋体" w:eastAsia="宋体" w:cs="宋体"/>
          <w:spacing w:val="4"/>
          <w:sz w:val="31"/>
          <w:szCs w:val="31"/>
        </w:rPr>
        <w:t>新</w:t>
      </w:r>
      <w:r>
        <w:rPr>
          <w:rFonts w:ascii="宋体" w:hAnsi="宋体" w:eastAsia="宋体" w:cs="宋体"/>
          <w:sz w:val="31"/>
          <w:szCs w:val="31"/>
        </w:rPr>
        <w:t xml:space="preserve"> </w:t>
      </w:r>
      <w:r>
        <w:rPr>
          <w:rFonts w:ascii="宋体" w:hAnsi="宋体" w:eastAsia="宋体" w:cs="宋体"/>
          <w:spacing w:val="9"/>
          <w:sz w:val="31"/>
          <w:szCs w:val="31"/>
        </w:rPr>
        <w:t>建项目》需要进行环境影响评价，特委托贵公司进行该项</w:t>
      </w:r>
      <w:r>
        <w:rPr>
          <w:rFonts w:ascii="宋体" w:hAnsi="宋体" w:eastAsia="宋体" w:cs="宋体"/>
          <w:spacing w:val="4"/>
          <w:sz w:val="31"/>
          <w:szCs w:val="31"/>
        </w:rPr>
        <w:t>目</w:t>
      </w:r>
      <w:r>
        <w:rPr>
          <w:rFonts w:ascii="宋体" w:hAnsi="宋体" w:eastAsia="宋体" w:cs="宋体"/>
          <w:sz w:val="31"/>
          <w:szCs w:val="31"/>
        </w:rPr>
        <w:t xml:space="preserve"> </w:t>
      </w:r>
      <w:r>
        <w:rPr>
          <w:rFonts w:ascii="宋体" w:hAnsi="宋体" w:eastAsia="宋体" w:cs="宋体"/>
          <w:spacing w:val="14"/>
          <w:sz w:val="31"/>
          <w:szCs w:val="31"/>
        </w:rPr>
        <w:t>的环</w:t>
      </w:r>
      <w:r>
        <w:rPr>
          <w:rFonts w:ascii="宋体" w:hAnsi="宋体" w:eastAsia="宋体" w:cs="宋体"/>
          <w:spacing w:val="9"/>
          <w:sz w:val="31"/>
          <w:szCs w:val="31"/>
        </w:rPr>
        <w:t>境</w:t>
      </w:r>
      <w:r>
        <w:rPr>
          <w:rFonts w:ascii="宋体" w:hAnsi="宋体" w:eastAsia="宋体" w:cs="宋体"/>
          <w:spacing w:val="7"/>
          <w:sz w:val="31"/>
          <w:szCs w:val="31"/>
        </w:rPr>
        <w:t>影响评价工作，望接受委托后，尽早开展工作为盼！</w:t>
      </w:r>
    </w:p>
    <w:p w14:paraId="610CAA51">
      <w:pPr>
        <w:spacing w:line="425" w:lineRule="auto"/>
        <w:rPr>
          <w:rFonts w:ascii="Arial"/>
          <w:sz w:val="21"/>
        </w:rPr>
      </w:pPr>
    </w:p>
    <w:p w14:paraId="51358023">
      <w:pPr>
        <w:spacing w:before="100" w:line="225" w:lineRule="auto"/>
        <w:ind w:left="2588"/>
        <w:rPr>
          <w:rFonts w:ascii="宋体" w:hAnsi="宋体" w:eastAsia="宋体" w:cs="宋体"/>
          <w:sz w:val="31"/>
          <w:szCs w:val="31"/>
        </w:rPr>
      </w:pPr>
      <w:r>
        <w:rPr>
          <w:rFonts w:ascii="宋体" w:hAnsi="宋体" w:eastAsia="宋体" w:cs="宋体"/>
          <w:spacing w:val="2"/>
          <w:sz w:val="31"/>
          <w:szCs w:val="31"/>
        </w:rPr>
        <w:t>此致</w:t>
      </w:r>
    </w:p>
    <w:p w14:paraId="5471A59C">
      <w:pPr>
        <w:spacing w:before="244" w:line="225" w:lineRule="auto"/>
        <w:ind w:left="26"/>
        <w:rPr>
          <w:rFonts w:ascii="宋体" w:hAnsi="宋体" w:eastAsia="宋体" w:cs="宋体"/>
          <w:sz w:val="31"/>
          <w:szCs w:val="31"/>
        </w:rPr>
      </w:pPr>
      <w:r>
        <w:rPr>
          <w:rFonts w:ascii="宋体" w:hAnsi="宋体" w:eastAsia="宋体" w:cs="宋体"/>
          <w:spacing w:val="3"/>
          <w:sz w:val="31"/>
          <w:szCs w:val="31"/>
        </w:rPr>
        <w:t>敬</w:t>
      </w:r>
      <w:r>
        <w:rPr>
          <w:rFonts w:ascii="宋体" w:hAnsi="宋体" w:eastAsia="宋体" w:cs="宋体"/>
          <w:spacing w:val="2"/>
          <w:sz w:val="31"/>
          <w:szCs w:val="31"/>
        </w:rPr>
        <w:t>礼</w:t>
      </w:r>
    </w:p>
    <w:p w14:paraId="5167F1FB">
      <w:pPr>
        <w:spacing w:line="243" w:lineRule="auto"/>
        <w:rPr>
          <w:rFonts w:ascii="Arial"/>
          <w:sz w:val="21"/>
        </w:rPr>
      </w:pPr>
    </w:p>
    <w:p w14:paraId="78C024B1">
      <w:pPr>
        <w:spacing w:line="244" w:lineRule="auto"/>
        <w:rPr>
          <w:rFonts w:ascii="Arial"/>
          <w:sz w:val="21"/>
        </w:rPr>
      </w:pPr>
    </w:p>
    <w:p w14:paraId="24B19C04">
      <w:pPr>
        <w:spacing w:line="244" w:lineRule="auto"/>
        <w:rPr>
          <w:rFonts w:ascii="Arial"/>
          <w:sz w:val="21"/>
        </w:rPr>
      </w:pPr>
    </w:p>
    <w:p w14:paraId="397058CF">
      <w:pPr>
        <w:spacing w:line="244" w:lineRule="auto"/>
        <w:rPr>
          <w:rFonts w:ascii="Arial"/>
          <w:sz w:val="21"/>
        </w:rPr>
      </w:pPr>
    </w:p>
    <w:p w14:paraId="0956B5CD">
      <w:pPr>
        <w:spacing w:line="244" w:lineRule="auto"/>
        <w:rPr>
          <w:rFonts w:ascii="Arial"/>
          <w:sz w:val="21"/>
        </w:rPr>
      </w:pPr>
    </w:p>
    <w:p w14:paraId="3D49EA15">
      <w:pPr>
        <w:spacing w:line="244" w:lineRule="auto"/>
        <w:rPr>
          <w:rFonts w:ascii="Arial"/>
          <w:sz w:val="21"/>
        </w:rPr>
      </w:pPr>
    </w:p>
    <w:p w14:paraId="088FE133">
      <w:pPr>
        <w:spacing w:line="244" w:lineRule="auto"/>
        <w:rPr>
          <w:rFonts w:ascii="Arial"/>
          <w:sz w:val="21"/>
        </w:rPr>
      </w:pPr>
    </w:p>
    <w:p w14:paraId="598E86E6">
      <w:pPr>
        <w:spacing w:line="244" w:lineRule="auto"/>
        <w:rPr>
          <w:rFonts w:ascii="Arial"/>
          <w:sz w:val="21"/>
        </w:rPr>
      </w:pPr>
    </w:p>
    <w:p w14:paraId="3B228AFE">
      <w:pPr>
        <w:spacing w:line="244" w:lineRule="auto"/>
        <w:rPr>
          <w:rFonts w:ascii="Arial"/>
          <w:sz w:val="21"/>
        </w:rPr>
      </w:pPr>
    </w:p>
    <w:p w14:paraId="082C1F2D">
      <w:pPr>
        <w:spacing w:line="244" w:lineRule="auto"/>
        <w:rPr>
          <w:rFonts w:ascii="Arial"/>
          <w:sz w:val="21"/>
        </w:rPr>
      </w:pPr>
    </w:p>
    <w:p w14:paraId="7B3CA3D0">
      <w:pPr>
        <w:spacing w:line="244" w:lineRule="auto"/>
        <w:rPr>
          <w:rFonts w:ascii="Arial"/>
          <w:sz w:val="21"/>
        </w:rPr>
      </w:pPr>
    </w:p>
    <w:p w14:paraId="6C182809">
      <w:pPr>
        <w:spacing w:before="102" w:line="323" w:lineRule="auto"/>
        <w:ind w:left="5139" w:right="167" w:hanging="1761"/>
        <w:rPr>
          <w:rFonts w:ascii="宋体" w:hAnsi="宋体" w:eastAsia="宋体" w:cs="宋体"/>
          <w:sz w:val="31"/>
          <w:szCs w:val="31"/>
        </w:rPr>
      </w:pPr>
      <w:r>
        <w:rPr>
          <w:rFonts w:ascii="宋体" w:hAnsi="宋体" w:eastAsia="宋体" w:cs="宋体"/>
          <w:spacing w:val="12"/>
          <w:sz w:val="31"/>
          <w:szCs w:val="31"/>
        </w:rPr>
        <w:t>委</w:t>
      </w:r>
      <w:r>
        <w:rPr>
          <w:rFonts w:ascii="宋体" w:hAnsi="宋体" w:eastAsia="宋体" w:cs="宋体"/>
          <w:spacing w:val="9"/>
          <w:sz w:val="31"/>
          <w:szCs w:val="31"/>
        </w:rPr>
        <w:t>托单位：本溪弘福塑业有限公司</w:t>
      </w:r>
      <w:r>
        <w:rPr>
          <w:rFonts w:ascii="宋体" w:hAnsi="宋体" w:eastAsia="宋体" w:cs="宋体"/>
          <w:sz w:val="31"/>
          <w:szCs w:val="31"/>
        </w:rPr>
        <w:t xml:space="preserve"> </w:t>
      </w:r>
      <w:r>
        <w:rPr>
          <w:rFonts w:ascii="Times New Roman" w:hAnsi="Times New Roman" w:eastAsia="Times New Roman" w:cs="Times New Roman"/>
          <w:spacing w:val="-2"/>
          <w:sz w:val="31"/>
          <w:szCs w:val="31"/>
        </w:rPr>
        <w:t xml:space="preserve">2019 </w:t>
      </w:r>
      <w:r>
        <w:rPr>
          <w:rFonts w:ascii="宋体" w:hAnsi="宋体" w:eastAsia="宋体" w:cs="宋体"/>
          <w:spacing w:val="-2"/>
          <w:sz w:val="31"/>
          <w:szCs w:val="31"/>
        </w:rPr>
        <w:t xml:space="preserve">年 </w:t>
      </w:r>
      <w:r>
        <w:rPr>
          <w:rFonts w:ascii="Times New Roman" w:hAnsi="Times New Roman" w:eastAsia="Times New Roman" w:cs="Times New Roman"/>
          <w:spacing w:val="-2"/>
          <w:sz w:val="31"/>
          <w:szCs w:val="31"/>
        </w:rPr>
        <w:t xml:space="preserve">6 </w:t>
      </w:r>
      <w:r>
        <w:rPr>
          <w:rFonts w:ascii="宋体" w:hAnsi="宋体" w:eastAsia="宋体" w:cs="宋体"/>
          <w:spacing w:val="-2"/>
          <w:sz w:val="31"/>
          <w:szCs w:val="31"/>
        </w:rPr>
        <w:t xml:space="preserve">月 </w:t>
      </w:r>
      <w:r>
        <w:rPr>
          <w:rFonts w:ascii="Times New Roman" w:hAnsi="Times New Roman" w:eastAsia="Times New Roman" w:cs="Times New Roman"/>
          <w:spacing w:val="-2"/>
          <w:sz w:val="31"/>
          <w:szCs w:val="31"/>
        </w:rPr>
        <w:t>2</w:t>
      </w:r>
      <w:r>
        <w:rPr>
          <w:rFonts w:ascii="Times New Roman" w:hAnsi="Times New Roman" w:eastAsia="Times New Roman" w:cs="Times New Roman"/>
          <w:spacing w:val="-1"/>
          <w:sz w:val="31"/>
          <w:szCs w:val="31"/>
        </w:rPr>
        <w:t xml:space="preserve">4 </w:t>
      </w:r>
      <w:r>
        <w:rPr>
          <w:rFonts w:ascii="宋体" w:hAnsi="宋体" w:eastAsia="宋体" w:cs="宋体"/>
          <w:spacing w:val="-1"/>
          <w:sz w:val="31"/>
          <w:szCs w:val="31"/>
        </w:rPr>
        <w:t>日</w:t>
      </w:r>
    </w:p>
    <w:p w14:paraId="771D963D">
      <w:pPr>
        <w:sectPr>
          <w:footerReference r:id="rId350" w:type="default"/>
          <w:pgSz w:w="11906" w:h="16839"/>
          <w:pgMar w:top="400" w:right="1785" w:bottom="1156" w:left="1785" w:header="0" w:footer="996" w:gutter="0"/>
          <w:cols w:space="720" w:num="1"/>
        </w:sectPr>
      </w:pPr>
    </w:p>
    <w:p w14:paraId="62BC37CC">
      <w:pPr>
        <w:spacing w:line="273" w:lineRule="auto"/>
        <w:rPr>
          <w:rFonts w:ascii="Arial"/>
          <w:sz w:val="21"/>
        </w:rPr>
      </w:pPr>
    </w:p>
    <w:p w14:paraId="6DAF6F07">
      <w:pPr>
        <w:spacing w:line="273" w:lineRule="auto"/>
        <w:rPr>
          <w:rFonts w:ascii="Arial"/>
          <w:sz w:val="21"/>
        </w:rPr>
      </w:pPr>
    </w:p>
    <w:p w14:paraId="58BC21DE">
      <w:pPr>
        <w:spacing w:line="273" w:lineRule="auto"/>
        <w:rPr>
          <w:rFonts w:ascii="Arial"/>
          <w:sz w:val="21"/>
        </w:rPr>
      </w:pPr>
    </w:p>
    <w:p w14:paraId="39429643">
      <w:pPr>
        <w:spacing w:line="274" w:lineRule="auto"/>
        <w:rPr>
          <w:rFonts w:ascii="Arial"/>
          <w:sz w:val="21"/>
        </w:rPr>
      </w:pPr>
    </w:p>
    <w:p w14:paraId="258F5669">
      <w:pPr>
        <w:spacing w:line="11733" w:lineRule="exact"/>
        <w:ind w:firstLine="14"/>
        <w:textAlignment w:val="center"/>
      </w:pPr>
      <w:r>
        <w:drawing>
          <wp:inline distT="0" distB="0" distL="0" distR="0">
            <wp:extent cx="5271135" cy="7450455"/>
            <wp:effectExtent l="0" t="0" r="0" b="0"/>
            <wp:docPr id="266" name="IM 266"/>
            <wp:cNvGraphicFramePr/>
            <a:graphic xmlns:a="http://schemas.openxmlformats.org/drawingml/2006/main">
              <a:graphicData uri="http://schemas.openxmlformats.org/drawingml/2006/picture">
                <pic:pic xmlns:pic="http://schemas.openxmlformats.org/drawingml/2006/picture">
                  <pic:nvPicPr>
                    <pic:cNvPr id="266" name="IM 266"/>
                    <pic:cNvPicPr/>
                  </pic:nvPicPr>
                  <pic:blipFill>
                    <a:blip r:embed="rId606"/>
                    <a:stretch>
                      <a:fillRect/>
                    </a:stretch>
                  </pic:blipFill>
                  <pic:spPr>
                    <a:xfrm>
                      <a:off x="0" y="0"/>
                      <a:ext cx="5271515" cy="7450835"/>
                    </a:xfrm>
                    <a:prstGeom prst="rect">
                      <a:avLst/>
                    </a:prstGeom>
                  </pic:spPr>
                </pic:pic>
              </a:graphicData>
            </a:graphic>
          </wp:inline>
        </w:drawing>
      </w:r>
    </w:p>
    <w:p w14:paraId="1CADC5B4">
      <w:pPr>
        <w:sectPr>
          <w:footerReference r:id="rId351" w:type="default"/>
          <w:pgSz w:w="11906" w:h="16839"/>
          <w:pgMar w:top="400" w:right="1785" w:bottom="1156" w:left="1785" w:header="0" w:footer="996" w:gutter="0"/>
          <w:cols w:space="720" w:num="1"/>
        </w:sectPr>
      </w:pPr>
    </w:p>
    <w:p w14:paraId="4C027175">
      <w:pPr>
        <w:spacing w:line="292" w:lineRule="auto"/>
        <w:rPr>
          <w:rFonts w:ascii="Arial"/>
          <w:sz w:val="21"/>
        </w:rPr>
      </w:pPr>
    </w:p>
    <w:p w14:paraId="1B9A3390">
      <w:pPr>
        <w:spacing w:line="292" w:lineRule="auto"/>
        <w:rPr>
          <w:rFonts w:ascii="Arial"/>
          <w:sz w:val="21"/>
        </w:rPr>
      </w:pPr>
    </w:p>
    <w:p w14:paraId="388F037A">
      <w:pPr>
        <w:spacing w:line="292" w:lineRule="auto"/>
        <w:rPr>
          <w:rFonts w:ascii="Arial"/>
          <w:sz w:val="21"/>
        </w:rPr>
      </w:pPr>
    </w:p>
    <w:p w14:paraId="3A6569E5">
      <w:pPr>
        <w:spacing w:line="292" w:lineRule="auto"/>
        <w:rPr>
          <w:rFonts w:ascii="Arial"/>
          <w:sz w:val="21"/>
        </w:rPr>
      </w:pPr>
    </w:p>
    <w:p w14:paraId="3587EE68">
      <w:pPr>
        <w:spacing w:line="12523" w:lineRule="exact"/>
        <w:ind w:firstLine="14"/>
        <w:textAlignment w:val="center"/>
      </w:pPr>
      <w:r>
        <w:drawing>
          <wp:inline distT="0" distB="0" distL="0" distR="0">
            <wp:extent cx="5626100" cy="7952105"/>
            <wp:effectExtent l="0" t="0" r="0" b="0"/>
            <wp:docPr id="267" name="IM 267"/>
            <wp:cNvGraphicFramePr/>
            <a:graphic xmlns:a="http://schemas.openxmlformats.org/drawingml/2006/main">
              <a:graphicData uri="http://schemas.openxmlformats.org/drawingml/2006/picture">
                <pic:pic xmlns:pic="http://schemas.openxmlformats.org/drawingml/2006/picture">
                  <pic:nvPicPr>
                    <pic:cNvPr id="267" name="IM 267"/>
                    <pic:cNvPicPr/>
                  </pic:nvPicPr>
                  <pic:blipFill>
                    <a:blip r:embed="rId607"/>
                    <a:stretch>
                      <a:fillRect/>
                    </a:stretch>
                  </pic:blipFill>
                  <pic:spPr>
                    <a:xfrm>
                      <a:off x="0" y="0"/>
                      <a:ext cx="5626608" cy="7952231"/>
                    </a:xfrm>
                    <a:prstGeom prst="rect">
                      <a:avLst/>
                    </a:prstGeom>
                  </pic:spPr>
                </pic:pic>
              </a:graphicData>
            </a:graphic>
          </wp:inline>
        </w:drawing>
      </w:r>
    </w:p>
    <w:p w14:paraId="5A6B3146">
      <w:pPr>
        <w:sectPr>
          <w:footerReference r:id="rId352" w:type="default"/>
          <w:pgSz w:w="11906" w:h="16839"/>
          <w:pgMar w:top="400" w:right="1245" w:bottom="1156" w:left="1785" w:header="0" w:footer="996" w:gutter="0"/>
          <w:cols w:space="720" w:num="1"/>
        </w:sectPr>
      </w:pPr>
    </w:p>
    <w:p w14:paraId="53ED9FAA">
      <w:pPr>
        <w:spacing w:line="276" w:lineRule="auto"/>
        <w:rPr>
          <w:rFonts w:ascii="Arial"/>
          <w:sz w:val="21"/>
        </w:rPr>
      </w:pPr>
    </w:p>
    <w:p w14:paraId="09BC2459">
      <w:pPr>
        <w:spacing w:line="276" w:lineRule="auto"/>
        <w:rPr>
          <w:rFonts w:ascii="Arial"/>
          <w:sz w:val="21"/>
        </w:rPr>
      </w:pPr>
    </w:p>
    <w:p w14:paraId="7D5DB83E">
      <w:pPr>
        <w:spacing w:line="276" w:lineRule="auto"/>
        <w:rPr>
          <w:rFonts w:ascii="Arial"/>
          <w:sz w:val="21"/>
        </w:rPr>
      </w:pPr>
    </w:p>
    <w:p w14:paraId="73B1B5DC">
      <w:pPr>
        <w:spacing w:line="277" w:lineRule="auto"/>
        <w:rPr>
          <w:rFonts w:ascii="Arial"/>
          <w:sz w:val="21"/>
        </w:rPr>
      </w:pPr>
    </w:p>
    <w:p w14:paraId="10D9BDD3">
      <w:pPr>
        <w:spacing w:line="12336" w:lineRule="exact"/>
        <w:ind w:firstLine="14"/>
        <w:textAlignment w:val="center"/>
      </w:pPr>
      <w:r>
        <w:drawing>
          <wp:inline distT="0" distB="0" distL="0" distR="0">
            <wp:extent cx="5217795" cy="7832725"/>
            <wp:effectExtent l="0" t="0" r="0" b="0"/>
            <wp:docPr id="268" name="IM 268"/>
            <wp:cNvGraphicFramePr/>
            <a:graphic xmlns:a="http://schemas.openxmlformats.org/drawingml/2006/main">
              <a:graphicData uri="http://schemas.openxmlformats.org/drawingml/2006/picture">
                <pic:pic xmlns:pic="http://schemas.openxmlformats.org/drawingml/2006/picture">
                  <pic:nvPicPr>
                    <pic:cNvPr id="268" name="IM 268"/>
                    <pic:cNvPicPr/>
                  </pic:nvPicPr>
                  <pic:blipFill>
                    <a:blip r:embed="rId608"/>
                    <a:stretch>
                      <a:fillRect/>
                    </a:stretch>
                  </pic:blipFill>
                  <pic:spPr>
                    <a:xfrm>
                      <a:off x="0" y="0"/>
                      <a:ext cx="5218175" cy="7833359"/>
                    </a:xfrm>
                    <a:prstGeom prst="rect">
                      <a:avLst/>
                    </a:prstGeom>
                  </pic:spPr>
                </pic:pic>
              </a:graphicData>
            </a:graphic>
          </wp:inline>
        </w:drawing>
      </w:r>
    </w:p>
    <w:p w14:paraId="6A3FC6D1">
      <w:pPr>
        <w:sectPr>
          <w:footerReference r:id="rId353" w:type="default"/>
          <w:pgSz w:w="11906" w:h="16839"/>
          <w:pgMar w:top="400" w:right="1785" w:bottom="1156" w:left="1785" w:header="0" w:footer="996" w:gutter="0"/>
          <w:cols w:space="720" w:num="1"/>
        </w:sectPr>
      </w:pPr>
    </w:p>
    <w:p w14:paraId="124F6B53">
      <w:pPr>
        <w:spacing w:line="273" w:lineRule="auto"/>
        <w:rPr>
          <w:rFonts w:ascii="Arial"/>
          <w:sz w:val="21"/>
        </w:rPr>
      </w:pPr>
    </w:p>
    <w:p w14:paraId="64CEAF05">
      <w:pPr>
        <w:spacing w:line="273" w:lineRule="auto"/>
        <w:rPr>
          <w:rFonts w:ascii="Arial"/>
          <w:sz w:val="21"/>
        </w:rPr>
      </w:pPr>
    </w:p>
    <w:p w14:paraId="7335C770">
      <w:pPr>
        <w:spacing w:line="273" w:lineRule="auto"/>
        <w:rPr>
          <w:rFonts w:ascii="Arial"/>
          <w:sz w:val="21"/>
        </w:rPr>
      </w:pPr>
    </w:p>
    <w:p w14:paraId="7BB0F6F3">
      <w:pPr>
        <w:spacing w:line="274" w:lineRule="auto"/>
        <w:rPr>
          <w:rFonts w:ascii="Arial"/>
          <w:sz w:val="21"/>
        </w:rPr>
      </w:pPr>
    </w:p>
    <w:p w14:paraId="308E9E38">
      <w:pPr>
        <w:spacing w:line="11733" w:lineRule="exact"/>
        <w:ind w:firstLine="14"/>
        <w:textAlignment w:val="center"/>
      </w:pPr>
      <w:r>
        <w:drawing>
          <wp:inline distT="0" distB="0" distL="0" distR="0">
            <wp:extent cx="5271135" cy="7450455"/>
            <wp:effectExtent l="0" t="0" r="0" b="0"/>
            <wp:docPr id="269" name="IM 269"/>
            <wp:cNvGraphicFramePr/>
            <a:graphic xmlns:a="http://schemas.openxmlformats.org/drawingml/2006/main">
              <a:graphicData uri="http://schemas.openxmlformats.org/drawingml/2006/picture">
                <pic:pic xmlns:pic="http://schemas.openxmlformats.org/drawingml/2006/picture">
                  <pic:nvPicPr>
                    <pic:cNvPr id="269" name="IM 269"/>
                    <pic:cNvPicPr/>
                  </pic:nvPicPr>
                  <pic:blipFill>
                    <a:blip r:embed="rId609"/>
                    <a:stretch>
                      <a:fillRect/>
                    </a:stretch>
                  </pic:blipFill>
                  <pic:spPr>
                    <a:xfrm>
                      <a:off x="0" y="0"/>
                      <a:ext cx="5271515" cy="7450835"/>
                    </a:xfrm>
                    <a:prstGeom prst="rect">
                      <a:avLst/>
                    </a:prstGeom>
                  </pic:spPr>
                </pic:pic>
              </a:graphicData>
            </a:graphic>
          </wp:inline>
        </w:drawing>
      </w:r>
    </w:p>
    <w:p w14:paraId="1887ED8E">
      <w:pPr>
        <w:sectPr>
          <w:footerReference r:id="rId354" w:type="default"/>
          <w:pgSz w:w="11906" w:h="16839"/>
          <w:pgMar w:top="400" w:right="1785" w:bottom="1156" w:left="1785" w:header="0" w:footer="996" w:gutter="0"/>
          <w:cols w:space="720" w:num="1"/>
        </w:sectPr>
      </w:pPr>
    </w:p>
    <w:p w14:paraId="4E07DC05">
      <w:pPr>
        <w:spacing w:line="273" w:lineRule="auto"/>
        <w:rPr>
          <w:rFonts w:ascii="Arial"/>
          <w:sz w:val="21"/>
        </w:rPr>
      </w:pPr>
    </w:p>
    <w:p w14:paraId="1BB2C289">
      <w:pPr>
        <w:spacing w:line="273" w:lineRule="auto"/>
        <w:rPr>
          <w:rFonts w:ascii="Arial"/>
          <w:sz w:val="21"/>
        </w:rPr>
      </w:pPr>
    </w:p>
    <w:p w14:paraId="721A6597">
      <w:pPr>
        <w:spacing w:line="273" w:lineRule="auto"/>
        <w:rPr>
          <w:rFonts w:ascii="Arial"/>
          <w:sz w:val="21"/>
        </w:rPr>
      </w:pPr>
    </w:p>
    <w:p w14:paraId="1F40E1E7">
      <w:pPr>
        <w:spacing w:line="274" w:lineRule="auto"/>
        <w:rPr>
          <w:rFonts w:ascii="Arial"/>
          <w:sz w:val="21"/>
        </w:rPr>
      </w:pPr>
    </w:p>
    <w:p w14:paraId="052CB917">
      <w:pPr>
        <w:spacing w:line="11733" w:lineRule="exact"/>
        <w:ind w:firstLine="14"/>
        <w:textAlignment w:val="center"/>
      </w:pPr>
      <w:r>
        <w:drawing>
          <wp:inline distT="0" distB="0" distL="0" distR="0">
            <wp:extent cx="5271135" cy="7450455"/>
            <wp:effectExtent l="0" t="0" r="0" b="0"/>
            <wp:docPr id="270" name="IM 270"/>
            <wp:cNvGraphicFramePr/>
            <a:graphic xmlns:a="http://schemas.openxmlformats.org/drawingml/2006/main">
              <a:graphicData uri="http://schemas.openxmlformats.org/drawingml/2006/picture">
                <pic:pic xmlns:pic="http://schemas.openxmlformats.org/drawingml/2006/picture">
                  <pic:nvPicPr>
                    <pic:cNvPr id="270" name="IM 270"/>
                    <pic:cNvPicPr/>
                  </pic:nvPicPr>
                  <pic:blipFill>
                    <a:blip r:embed="rId610"/>
                    <a:stretch>
                      <a:fillRect/>
                    </a:stretch>
                  </pic:blipFill>
                  <pic:spPr>
                    <a:xfrm>
                      <a:off x="0" y="0"/>
                      <a:ext cx="5271515" cy="7450835"/>
                    </a:xfrm>
                    <a:prstGeom prst="rect">
                      <a:avLst/>
                    </a:prstGeom>
                  </pic:spPr>
                </pic:pic>
              </a:graphicData>
            </a:graphic>
          </wp:inline>
        </w:drawing>
      </w:r>
    </w:p>
    <w:p w14:paraId="5D9393DE">
      <w:pPr>
        <w:sectPr>
          <w:footerReference r:id="rId355" w:type="default"/>
          <w:pgSz w:w="11906" w:h="16839"/>
          <w:pgMar w:top="400" w:right="1785" w:bottom="1156" w:left="1785" w:header="0" w:footer="996" w:gutter="0"/>
          <w:cols w:space="720" w:num="1"/>
        </w:sectPr>
      </w:pPr>
    </w:p>
    <w:p w14:paraId="7EB21557">
      <w:pPr>
        <w:spacing w:line="273" w:lineRule="auto"/>
        <w:rPr>
          <w:rFonts w:ascii="Arial"/>
          <w:sz w:val="21"/>
        </w:rPr>
      </w:pPr>
    </w:p>
    <w:p w14:paraId="6EEF2B00">
      <w:pPr>
        <w:spacing w:line="273" w:lineRule="auto"/>
        <w:rPr>
          <w:rFonts w:ascii="Arial"/>
          <w:sz w:val="21"/>
        </w:rPr>
      </w:pPr>
    </w:p>
    <w:p w14:paraId="453DA17E">
      <w:pPr>
        <w:spacing w:line="273" w:lineRule="auto"/>
        <w:rPr>
          <w:rFonts w:ascii="Arial"/>
          <w:sz w:val="21"/>
        </w:rPr>
      </w:pPr>
    </w:p>
    <w:p w14:paraId="6C59C250">
      <w:pPr>
        <w:spacing w:line="274" w:lineRule="auto"/>
        <w:rPr>
          <w:rFonts w:ascii="Arial"/>
          <w:sz w:val="21"/>
        </w:rPr>
      </w:pPr>
    </w:p>
    <w:p w14:paraId="655563EE">
      <w:pPr>
        <w:spacing w:line="11733" w:lineRule="exact"/>
        <w:ind w:firstLine="14"/>
        <w:textAlignment w:val="center"/>
      </w:pPr>
      <w:r>
        <w:drawing>
          <wp:inline distT="0" distB="0" distL="0" distR="0">
            <wp:extent cx="5271135" cy="7450455"/>
            <wp:effectExtent l="0" t="0" r="0" b="0"/>
            <wp:docPr id="271" name="IM 271"/>
            <wp:cNvGraphicFramePr/>
            <a:graphic xmlns:a="http://schemas.openxmlformats.org/drawingml/2006/main">
              <a:graphicData uri="http://schemas.openxmlformats.org/drawingml/2006/picture">
                <pic:pic xmlns:pic="http://schemas.openxmlformats.org/drawingml/2006/picture">
                  <pic:nvPicPr>
                    <pic:cNvPr id="271" name="IM 271"/>
                    <pic:cNvPicPr/>
                  </pic:nvPicPr>
                  <pic:blipFill>
                    <a:blip r:embed="rId611"/>
                    <a:stretch>
                      <a:fillRect/>
                    </a:stretch>
                  </pic:blipFill>
                  <pic:spPr>
                    <a:xfrm>
                      <a:off x="0" y="0"/>
                      <a:ext cx="5271515" cy="7450835"/>
                    </a:xfrm>
                    <a:prstGeom prst="rect">
                      <a:avLst/>
                    </a:prstGeom>
                  </pic:spPr>
                </pic:pic>
              </a:graphicData>
            </a:graphic>
          </wp:inline>
        </w:drawing>
      </w:r>
    </w:p>
    <w:p w14:paraId="788E94C9">
      <w:pPr>
        <w:sectPr>
          <w:footerReference r:id="rId356" w:type="default"/>
          <w:pgSz w:w="11906" w:h="16839"/>
          <w:pgMar w:top="400" w:right="1785" w:bottom="1156" w:left="1785" w:header="0" w:footer="996" w:gutter="0"/>
          <w:cols w:space="720" w:num="1"/>
        </w:sectPr>
      </w:pPr>
    </w:p>
    <w:p w14:paraId="1BFF1675">
      <w:pPr>
        <w:spacing w:line="273" w:lineRule="auto"/>
        <w:rPr>
          <w:rFonts w:ascii="Arial"/>
          <w:sz w:val="21"/>
        </w:rPr>
      </w:pPr>
    </w:p>
    <w:p w14:paraId="3ACBD269">
      <w:pPr>
        <w:spacing w:line="273" w:lineRule="auto"/>
        <w:rPr>
          <w:rFonts w:ascii="Arial"/>
          <w:sz w:val="21"/>
        </w:rPr>
      </w:pPr>
    </w:p>
    <w:p w14:paraId="75A75319">
      <w:pPr>
        <w:spacing w:line="273" w:lineRule="auto"/>
        <w:rPr>
          <w:rFonts w:ascii="Arial"/>
          <w:sz w:val="21"/>
        </w:rPr>
      </w:pPr>
    </w:p>
    <w:p w14:paraId="33E216C7">
      <w:pPr>
        <w:spacing w:line="274" w:lineRule="auto"/>
        <w:rPr>
          <w:rFonts w:ascii="Arial"/>
          <w:sz w:val="21"/>
        </w:rPr>
      </w:pPr>
    </w:p>
    <w:p w14:paraId="4D23B29F">
      <w:pPr>
        <w:spacing w:line="11733" w:lineRule="exact"/>
        <w:ind w:firstLine="14"/>
        <w:textAlignment w:val="center"/>
      </w:pPr>
      <w:r>
        <w:drawing>
          <wp:inline distT="0" distB="0" distL="0" distR="0">
            <wp:extent cx="5271135" cy="7450455"/>
            <wp:effectExtent l="0" t="0" r="0" b="0"/>
            <wp:docPr id="272" name="IM 272"/>
            <wp:cNvGraphicFramePr/>
            <a:graphic xmlns:a="http://schemas.openxmlformats.org/drawingml/2006/main">
              <a:graphicData uri="http://schemas.openxmlformats.org/drawingml/2006/picture">
                <pic:pic xmlns:pic="http://schemas.openxmlformats.org/drawingml/2006/picture">
                  <pic:nvPicPr>
                    <pic:cNvPr id="272" name="IM 272"/>
                    <pic:cNvPicPr/>
                  </pic:nvPicPr>
                  <pic:blipFill>
                    <a:blip r:embed="rId612"/>
                    <a:stretch>
                      <a:fillRect/>
                    </a:stretch>
                  </pic:blipFill>
                  <pic:spPr>
                    <a:xfrm>
                      <a:off x="0" y="0"/>
                      <a:ext cx="5271515" cy="7450835"/>
                    </a:xfrm>
                    <a:prstGeom prst="rect">
                      <a:avLst/>
                    </a:prstGeom>
                  </pic:spPr>
                </pic:pic>
              </a:graphicData>
            </a:graphic>
          </wp:inline>
        </w:drawing>
      </w:r>
    </w:p>
    <w:p w14:paraId="1D08420E">
      <w:pPr>
        <w:sectPr>
          <w:footerReference r:id="rId357" w:type="default"/>
          <w:pgSz w:w="11906" w:h="16839"/>
          <w:pgMar w:top="400" w:right="1785" w:bottom="1156" w:left="1785" w:header="0" w:footer="996" w:gutter="0"/>
          <w:cols w:space="720" w:num="1"/>
        </w:sectPr>
      </w:pPr>
    </w:p>
    <w:p w14:paraId="0C12CBA1">
      <w:pPr>
        <w:spacing w:line="273" w:lineRule="auto"/>
        <w:rPr>
          <w:rFonts w:ascii="Arial"/>
          <w:sz w:val="21"/>
        </w:rPr>
      </w:pPr>
    </w:p>
    <w:p w14:paraId="565ED6DD">
      <w:pPr>
        <w:spacing w:line="273" w:lineRule="auto"/>
        <w:rPr>
          <w:rFonts w:ascii="Arial"/>
          <w:sz w:val="21"/>
        </w:rPr>
      </w:pPr>
    </w:p>
    <w:p w14:paraId="08C51394">
      <w:pPr>
        <w:spacing w:line="273" w:lineRule="auto"/>
        <w:rPr>
          <w:rFonts w:ascii="Arial"/>
          <w:sz w:val="21"/>
        </w:rPr>
      </w:pPr>
    </w:p>
    <w:p w14:paraId="68B01DA1">
      <w:pPr>
        <w:spacing w:line="274" w:lineRule="auto"/>
        <w:rPr>
          <w:rFonts w:ascii="Arial"/>
          <w:sz w:val="21"/>
        </w:rPr>
      </w:pPr>
    </w:p>
    <w:p w14:paraId="15818183">
      <w:pPr>
        <w:spacing w:line="11733" w:lineRule="exact"/>
        <w:ind w:firstLine="14"/>
        <w:textAlignment w:val="center"/>
      </w:pPr>
      <w:r>
        <w:drawing>
          <wp:inline distT="0" distB="0" distL="0" distR="0">
            <wp:extent cx="5271135" cy="7450455"/>
            <wp:effectExtent l="0" t="0" r="0" b="0"/>
            <wp:docPr id="273" name="IM 273"/>
            <wp:cNvGraphicFramePr/>
            <a:graphic xmlns:a="http://schemas.openxmlformats.org/drawingml/2006/main">
              <a:graphicData uri="http://schemas.openxmlformats.org/drawingml/2006/picture">
                <pic:pic xmlns:pic="http://schemas.openxmlformats.org/drawingml/2006/picture">
                  <pic:nvPicPr>
                    <pic:cNvPr id="273" name="IM 273"/>
                    <pic:cNvPicPr/>
                  </pic:nvPicPr>
                  <pic:blipFill>
                    <a:blip r:embed="rId613"/>
                    <a:stretch>
                      <a:fillRect/>
                    </a:stretch>
                  </pic:blipFill>
                  <pic:spPr>
                    <a:xfrm>
                      <a:off x="0" y="0"/>
                      <a:ext cx="5271515" cy="7450835"/>
                    </a:xfrm>
                    <a:prstGeom prst="rect">
                      <a:avLst/>
                    </a:prstGeom>
                  </pic:spPr>
                </pic:pic>
              </a:graphicData>
            </a:graphic>
          </wp:inline>
        </w:drawing>
      </w:r>
    </w:p>
    <w:p w14:paraId="172D73B3">
      <w:pPr>
        <w:sectPr>
          <w:footerReference r:id="rId358" w:type="default"/>
          <w:pgSz w:w="11906" w:h="16839"/>
          <w:pgMar w:top="400" w:right="1785" w:bottom="1156" w:left="1785" w:header="0" w:footer="996" w:gutter="0"/>
          <w:cols w:space="720" w:num="1"/>
        </w:sectPr>
      </w:pPr>
    </w:p>
    <w:p w14:paraId="7A1A1BA7">
      <w:pPr>
        <w:spacing w:line="273" w:lineRule="auto"/>
        <w:rPr>
          <w:rFonts w:ascii="Arial"/>
          <w:sz w:val="21"/>
        </w:rPr>
      </w:pPr>
    </w:p>
    <w:p w14:paraId="282D43B0">
      <w:pPr>
        <w:spacing w:line="273" w:lineRule="auto"/>
        <w:rPr>
          <w:rFonts w:ascii="Arial"/>
          <w:sz w:val="21"/>
        </w:rPr>
      </w:pPr>
    </w:p>
    <w:p w14:paraId="4FDF274B">
      <w:pPr>
        <w:spacing w:line="273" w:lineRule="auto"/>
        <w:rPr>
          <w:rFonts w:ascii="Arial"/>
          <w:sz w:val="21"/>
        </w:rPr>
      </w:pPr>
    </w:p>
    <w:p w14:paraId="2151C6EA">
      <w:pPr>
        <w:spacing w:line="274" w:lineRule="auto"/>
        <w:rPr>
          <w:rFonts w:ascii="Arial"/>
          <w:sz w:val="21"/>
        </w:rPr>
      </w:pPr>
    </w:p>
    <w:p w14:paraId="6C0D1C2B">
      <w:pPr>
        <w:spacing w:line="11733" w:lineRule="exact"/>
        <w:ind w:firstLine="14"/>
        <w:textAlignment w:val="center"/>
      </w:pPr>
      <w:r>
        <w:drawing>
          <wp:inline distT="0" distB="0" distL="0" distR="0">
            <wp:extent cx="5271135" cy="7450455"/>
            <wp:effectExtent l="0" t="0" r="0" b="0"/>
            <wp:docPr id="274" name="IM 274"/>
            <wp:cNvGraphicFramePr/>
            <a:graphic xmlns:a="http://schemas.openxmlformats.org/drawingml/2006/main">
              <a:graphicData uri="http://schemas.openxmlformats.org/drawingml/2006/picture">
                <pic:pic xmlns:pic="http://schemas.openxmlformats.org/drawingml/2006/picture">
                  <pic:nvPicPr>
                    <pic:cNvPr id="274" name="IM 274"/>
                    <pic:cNvPicPr/>
                  </pic:nvPicPr>
                  <pic:blipFill>
                    <a:blip r:embed="rId614"/>
                    <a:stretch>
                      <a:fillRect/>
                    </a:stretch>
                  </pic:blipFill>
                  <pic:spPr>
                    <a:xfrm>
                      <a:off x="0" y="0"/>
                      <a:ext cx="5271515" cy="7450835"/>
                    </a:xfrm>
                    <a:prstGeom prst="rect">
                      <a:avLst/>
                    </a:prstGeom>
                  </pic:spPr>
                </pic:pic>
              </a:graphicData>
            </a:graphic>
          </wp:inline>
        </w:drawing>
      </w:r>
    </w:p>
    <w:p w14:paraId="235F27F3">
      <w:pPr>
        <w:sectPr>
          <w:footerReference r:id="rId359" w:type="default"/>
          <w:pgSz w:w="11906" w:h="16839"/>
          <w:pgMar w:top="400" w:right="1785" w:bottom="1156" w:left="1785" w:header="0" w:footer="996" w:gutter="0"/>
          <w:cols w:space="720" w:num="1"/>
        </w:sectPr>
      </w:pPr>
    </w:p>
    <w:p w14:paraId="1D77619F">
      <w:pPr>
        <w:spacing w:line="273" w:lineRule="auto"/>
        <w:rPr>
          <w:rFonts w:ascii="Arial"/>
          <w:sz w:val="21"/>
        </w:rPr>
      </w:pPr>
    </w:p>
    <w:p w14:paraId="7B265CCE">
      <w:pPr>
        <w:spacing w:line="273" w:lineRule="auto"/>
        <w:rPr>
          <w:rFonts w:ascii="Arial"/>
          <w:sz w:val="21"/>
        </w:rPr>
      </w:pPr>
    </w:p>
    <w:p w14:paraId="5D754700">
      <w:pPr>
        <w:spacing w:line="273" w:lineRule="auto"/>
        <w:rPr>
          <w:rFonts w:ascii="Arial"/>
          <w:sz w:val="21"/>
        </w:rPr>
      </w:pPr>
    </w:p>
    <w:p w14:paraId="45DE3CD2">
      <w:pPr>
        <w:spacing w:line="274" w:lineRule="auto"/>
        <w:rPr>
          <w:rFonts w:ascii="Arial"/>
          <w:sz w:val="21"/>
        </w:rPr>
      </w:pPr>
    </w:p>
    <w:p w14:paraId="78E6A45D">
      <w:pPr>
        <w:spacing w:line="11733" w:lineRule="exact"/>
        <w:ind w:firstLine="14"/>
        <w:textAlignment w:val="center"/>
      </w:pPr>
      <w:r>
        <w:drawing>
          <wp:inline distT="0" distB="0" distL="0" distR="0">
            <wp:extent cx="5271135" cy="7450455"/>
            <wp:effectExtent l="0" t="0" r="0" b="0"/>
            <wp:docPr id="275" name="IM 275"/>
            <wp:cNvGraphicFramePr/>
            <a:graphic xmlns:a="http://schemas.openxmlformats.org/drawingml/2006/main">
              <a:graphicData uri="http://schemas.openxmlformats.org/drawingml/2006/picture">
                <pic:pic xmlns:pic="http://schemas.openxmlformats.org/drawingml/2006/picture">
                  <pic:nvPicPr>
                    <pic:cNvPr id="275" name="IM 275"/>
                    <pic:cNvPicPr/>
                  </pic:nvPicPr>
                  <pic:blipFill>
                    <a:blip r:embed="rId615"/>
                    <a:stretch>
                      <a:fillRect/>
                    </a:stretch>
                  </pic:blipFill>
                  <pic:spPr>
                    <a:xfrm>
                      <a:off x="0" y="0"/>
                      <a:ext cx="5271515" cy="7450835"/>
                    </a:xfrm>
                    <a:prstGeom prst="rect">
                      <a:avLst/>
                    </a:prstGeom>
                  </pic:spPr>
                </pic:pic>
              </a:graphicData>
            </a:graphic>
          </wp:inline>
        </w:drawing>
      </w:r>
    </w:p>
    <w:p w14:paraId="01F49642">
      <w:pPr>
        <w:sectPr>
          <w:footerReference r:id="rId360" w:type="default"/>
          <w:pgSz w:w="11906" w:h="16839"/>
          <w:pgMar w:top="400" w:right="1785" w:bottom="1156" w:left="1785" w:header="0" w:footer="996" w:gutter="0"/>
          <w:cols w:space="720" w:num="1"/>
        </w:sectPr>
      </w:pPr>
    </w:p>
    <w:p w14:paraId="13D642F4">
      <w:pPr>
        <w:spacing w:line="273" w:lineRule="auto"/>
        <w:rPr>
          <w:rFonts w:ascii="Arial"/>
          <w:sz w:val="21"/>
        </w:rPr>
      </w:pPr>
    </w:p>
    <w:p w14:paraId="4AAA524D">
      <w:pPr>
        <w:spacing w:line="273" w:lineRule="auto"/>
        <w:rPr>
          <w:rFonts w:ascii="Arial"/>
          <w:sz w:val="21"/>
        </w:rPr>
      </w:pPr>
    </w:p>
    <w:p w14:paraId="7E6FBD60">
      <w:pPr>
        <w:spacing w:line="273" w:lineRule="auto"/>
        <w:rPr>
          <w:rFonts w:ascii="Arial"/>
          <w:sz w:val="21"/>
        </w:rPr>
      </w:pPr>
    </w:p>
    <w:p w14:paraId="099DC5E7">
      <w:pPr>
        <w:spacing w:line="274" w:lineRule="auto"/>
        <w:rPr>
          <w:rFonts w:ascii="Arial"/>
          <w:sz w:val="21"/>
        </w:rPr>
      </w:pPr>
    </w:p>
    <w:p w14:paraId="37FEC4FC">
      <w:pPr>
        <w:spacing w:line="11733" w:lineRule="exact"/>
        <w:ind w:firstLine="14"/>
        <w:textAlignment w:val="center"/>
      </w:pPr>
      <w:r>
        <w:drawing>
          <wp:inline distT="0" distB="0" distL="0" distR="0">
            <wp:extent cx="5271135" cy="7450455"/>
            <wp:effectExtent l="0" t="0" r="0" b="0"/>
            <wp:docPr id="276" name="IM 276"/>
            <wp:cNvGraphicFramePr/>
            <a:graphic xmlns:a="http://schemas.openxmlformats.org/drawingml/2006/main">
              <a:graphicData uri="http://schemas.openxmlformats.org/drawingml/2006/picture">
                <pic:pic xmlns:pic="http://schemas.openxmlformats.org/drawingml/2006/picture">
                  <pic:nvPicPr>
                    <pic:cNvPr id="276" name="IM 276"/>
                    <pic:cNvPicPr/>
                  </pic:nvPicPr>
                  <pic:blipFill>
                    <a:blip r:embed="rId616"/>
                    <a:stretch>
                      <a:fillRect/>
                    </a:stretch>
                  </pic:blipFill>
                  <pic:spPr>
                    <a:xfrm>
                      <a:off x="0" y="0"/>
                      <a:ext cx="5271515" cy="7450835"/>
                    </a:xfrm>
                    <a:prstGeom prst="rect">
                      <a:avLst/>
                    </a:prstGeom>
                  </pic:spPr>
                </pic:pic>
              </a:graphicData>
            </a:graphic>
          </wp:inline>
        </w:drawing>
      </w:r>
    </w:p>
    <w:p w14:paraId="13A7348A">
      <w:pPr>
        <w:sectPr>
          <w:footerReference r:id="rId361" w:type="default"/>
          <w:pgSz w:w="11906" w:h="16839"/>
          <w:pgMar w:top="400" w:right="1785" w:bottom="1156" w:left="1785" w:header="0" w:footer="996" w:gutter="0"/>
          <w:cols w:space="720" w:num="1"/>
        </w:sectPr>
      </w:pPr>
    </w:p>
    <w:p w14:paraId="537EF7FB">
      <w:pPr>
        <w:spacing w:line="273" w:lineRule="auto"/>
        <w:rPr>
          <w:rFonts w:ascii="Arial"/>
          <w:sz w:val="21"/>
        </w:rPr>
      </w:pPr>
    </w:p>
    <w:p w14:paraId="56173014">
      <w:pPr>
        <w:spacing w:line="273" w:lineRule="auto"/>
        <w:rPr>
          <w:rFonts w:ascii="Arial"/>
          <w:sz w:val="21"/>
        </w:rPr>
      </w:pPr>
    </w:p>
    <w:p w14:paraId="7A2761F1">
      <w:pPr>
        <w:spacing w:line="273" w:lineRule="auto"/>
        <w:rPr>
          <w:rFonts w:ascii="Arial"/>
          <w:sz w:val="21"/>
        </w:rPr>
      </w:pPr>
    </w:p>
    <w:p w14:paraId="45D3FF8E">
      <w:pPr>
        <w:spacing w:line="274" w:lineRule="auto"/>
        <w:rPr>
          <w:rFonts w:ascii="Arial"/>
          <w:sz w:val="21"/>
        </w:rPr>
      </w:pPr>
    </w:p>
    <w:p w14:paraId="088D5FBF">
      <w:pPr>
        <w:spacing w:line="11733" w:lineRule="exact"/>
        <w:ind w:firstLine="14"/>
        <w:textAlignment w:val="center"/>
      </w:pPr>
      <w:r>
        <w:drawing>
          <wp:inline distT="0" distB="0" distL="0" distR="0">
            <wp:extent cx="5271135" cy="7450455"/>
            <wp:effectExtent l="0" t="0" r="0" b="0"/>
            <wp:docPr id="277" name="IM 277"/>
            <wp:cNvGraphicFramePr/>
            <a:graphic xmlns:a="http://schemas.openxmlformats.org/drawingml/2006/main">
              <a:graphicData uri="http://schemas.openxmlformats.org/drawingml/2006/picture">
                <pic:pic xmlns:pic="http://schemas.openxmlformats.org/drawingml/2006/picture">
                  <pic:nvPicPr>
                    <pic:cNvPr id="277" name="IM 277"/>
                    <pic:cNvPicPr/>
                  </pic:nvPicPr>
                  <pic:blipFill>
                    <a:blip r:embed="rId617"/>
                    <a:stretch>
                      <a:fillRect/>
                    </a:stretch>
                  </pic:blipFill>
                  <pic:spPr>
                    <a:xfrm>
                      <a:off x="0" y="0"/>
                      <a:ext cx="5271515" cy="7450835"/>
                    </a:xfrm>
                    <a:prstGeom prst="rect">
                      <a:avLst/>
                    </a:prstGeom>
                  </pic:spPr>
                </pic:pic>
              </a:graphicData>
            </a:graphic>
          </wp:inline>
        </w:drawing>
      </w:r>
    </w:p>
    <w:p w14:paraId="0C44E20A">
      <w:pPr>
        <w:sectPr>
          <w:footerReference r:id="rId362" w:type="default"/>
          <w:pgSz w:w="11906" w:h="16839"/>
          <w:pgMar w:top="400" w:right="1785" w:bottom="1156" w:left="1785" w:header="0" w:footer="996" w:gutter="0"/>
          <w:cols w:space="720" w:num="1"/>
        </w:sectPr>
      </w:pPr>
    </w:p>
    <w:p w14:paraId="3EEE3C79">
      <w:pPr>
        <w:spacing w:line="273" w:lineRule="auto"/>
        <w:rPr>
          <w:rFonts w:ascii="Arial"/>
          <w:sz w:val="21"/>
        </w:rPr>
      </w:pPr>
    </w:p>
    <w:p w14:paraId="051D2BB0">
      <w:pPr>
        <w:spacing w:line="273" w:lineRule="auto"/>
        <w:rPr>
          <w:rFonts w:ascii="Arial"/>
          <w:sz w:val="21"/>
        </w:rPr>
      </w:pPr>
    </w:p>
    <w:p w14:paraId="22D23FC7">
      <w:pPr>
        <w:spacing w:line="273" w:lineRule="auto"/>
        <w:rPr>
          <w:rFonts w:ascii="Arial"/>
          <w:sz w:val="21"/>
        </w:rPr>
      </w:pPr>
    </w:p>
    <w:p w14:paraId="6BB16367">
      <w:pPr>
        <w:spacing w:line="274" w:lineRule="auto"/>
        <w:rPr>
          <w:rFonts w:ascii="Arial"/>
          <w:sz w:val="21"/>
        </w:rPr>
      </w:pPr>
    </w:p>
    <w:p w14:paraId="4D14C3A4">
      <w:pPr>
        <w:spacing w:line="11733" w:lineRule="exact"/>
        <w:ind w:firstLine="14"/>
        <w:textAlignment w:val="center"/>
      </w:pPr>
      <w:r>
        <w:drawing>
          <wp:inline distT="0" distB="0" distL="0" distR="0">
            <wp:extent cx="5271135" cy="7450455"/>
            <wp:effectExtent l="0" t="0" r="0" b="0"/>
            <wp:docPr id="278" name="IM 278"/>
            <wp:cNvGraphicFramePr/>
            <a:graphic xmlns:a="http://schemas.openxmlformats.org/drawingml/2006/main">
              <a:graphicData uri="http://schemas.openxmlformats.org/drawingml/2006/picture">
                <pic:pic xmlns:pic="http://schemas.openxmlformats.org/drawingml/2006/picture">
                  <pic:nvPicPr>
                    <pic:cNvPr id="278" name="IM 278"/>
                    <pic:cNvPicPr/>
                  </pic:nvPicPr>
                  <pic:blipFill>
                    <a:blip r:embed="rId618"/>
                    <a:stretch>
                      <a:fillRect/>
                    </a:stretch>
                  </pic:blipFill>
                  <pic:spPr>
                    <a:xfrm>
                      <a:off x="0" y="0"/>
                      <a:ext cx="5271515" cy="7450835"/>
                    </a:xfrm>
                    <a:prstGeom prst="rect">
                      <a:avLst/>
                    </a:prstGeom>
                  </pic:spPr>
                </pic:pic>
              </a:graphicData>
            </a:graphic>
          </wp:inline>
        </w:drawing>
      </w:r>
    </w:p>
    <w:p w14:paraId="4AB812E5">
      <w:pPr>
        <w:sectPr>
          <w:footerReference r:id="rId363" w:type="default"/>
          <w:pgSz w:w="11906" w:h="16839"/>
          <w:pgMar w:top="400" w:right="1785" w:bottom="1156" w:left="1785" w:header="0" w:footer="996" w:gutter="0"/>
          <w:cols w:space="720" w:num="1"/>
        </w:sectPr>
      </w:pPr>
    </w:p>
    <w:p w14:paraId="11CF7E2A">
      <w:pPr>
        <w:spacing w:line="273" w:lineRule="auto"/>
        <w:rPr>
          <w:rFonts w:ascii="Arial"/>
          <w:sz w:val="21"/>
        </w:rPr>
      </w:pPr>
    </w:p>
    <w:p w14:paraId="1464BA3E">
      <w:pPr>
        <w:spacing w:line="273" w:lineRule="auto"/>
        <w:rPr>
          <w:rFonts w:ascii="Arial"/>
          <w:sz w:val="21"/>
        </w:rPr>
      </w:pPr>
    </w:p>
    <w:p w14:paraId="0EBB507F">
      <w:pPr>
        <w:spacing w:line="273" w:lineRule="auto"/>
        <w:rPr>
          <w:rFonts w:ascii="Arial"/>
          <w:sz w:val="21"/>
        </w:rPr>
      </w:pPr>
    </w:p>
    <w:p w14:paraId="705F1F6E">
      <w:pPr>
        <w:spacing w:line="274" w:lineRule="auto"/>
        <w:rPr>
          <w:rFonts w:ascii="Arial"/>
          <w:sz w:val="21"/>
        </w:rPr>
      </w:pPr>
    </w:p>
    <w:p w14:paraId="6457A372">
      <w:pPr>
        <w:spacing w:line="11733" w:lineRule="exact"/>
        <w:ind w:firstLine="14"/>
        <w:textAlignment w:val="center"/>
      </w:pPr>
      <w:r>
        <w:drawing>
          <wp:inline distT="0" distB="0" distL="0" distR="0">
            <wp:extent cx="5271135" cy="7450455"/>
            <wp:effectExtent l="0" t="0" r="0" b="0"/>
            <wp:docPr id="279" name="IM 279"/>
            <wp:cNvGraphicFramePr/>
            <a:graphic xmlns:a="http://schemas.openxmlformats.org/drawingml/2006/main">
              <a:graphicData uri="http://schemas.openxmlformats.org/drawingml/2006/picture">
                <pic:pic xmlns:pic="http://schemas.openxmlformats.org/drawingml/2006/picture">
                  <pic:nvPicPr>
                    <pic:cNvPr id="279" name="IM 279"/>
                    <pic:cNvPicPr/>
                  </pic:nvPicPr>
                  <pic:blipFill>
                    <a:blip r:embed="rId619"/>
                    <a:stretch>
                      <a:fillRect/>
                    </a:stretch>
                  </pic:blipFill>
                  <pic:spPr>
                    <a:xfrm>
                      <a:off x="0" y="0"/>
                      <a:ext cx="5271515" cy="7450835"/>
                    </a:xfrm>
                    <a:prstGeom prst="rect">
                      <a:avLst/>
                    </a:prstGeom>
                  </pic:spPr>
                </pic:pic>
              </a:graphicData>
            </a:graphic>
          </wp:inline>
        </w:drawing>
      </w:r>
    </w:p>
    <w:p w14:paraId="2E040EBF">
      <w:pPr>
        <w:sectPr>
          <w:footerReference r:id="rId364" w:type="default"/>
          <w:pgSz w:w="11906" w:h="16839"/>
          <w:pgMar w:top="400" w:right="1785" w:bottom="1156" w:left="1785" w:header="0" w:footer="996" w:gutter="0"/>
          <w:cols w:space="720" w:num="1"/>
        </w:sectPr>
      </w:pPr>
    </w:p>
    <w:p w14:paraId="27702B0C">
      <w:pPr>
        <w:spacing w:line="273" w:lineRule="auto"/>
        <w:rPr>
          <w:rFonts w:ascii="Arial"/>
          <w:sz w:val="21"/>
        </w:rPr>
      </w:pPr>
    </w:p>
    <w:p w14:paraId="719A026D">
      <w:pPr>
        <w:spacing w:line="273" w:lineRule="auto"/>
        <w:rPr>
          <w:rFonts w:ascii="Arial"/>
          <w:sz w:val="21"/>
        </w:rPr>
      </w:pPr>
    </w:p>
    <w:p w14:paraId="22F40400">
      <w:pPr>
        <w:spacing w:line="273" w:lineRule="auto"/>
        <w:rPr>
          <w:rFonts w:ascii="Arial"/>
          <w:sz w:val="21"/>
        </w:rPr>
      </w:pPr>
    </w:p>
    <w:p w14:paraId="541D4700">
      <w:pPr>
        <w:spacing w:line="274" w:lineRule="auto"/>
        <w:rPr>
          <w:rFonts w:ascii="Arial"/>
          <w:sz w:val="21"/>
        </w:rPr>
      </w:pPr>
    </w:p>
    <w:p w14:paraId="475878E8">
      <w:pPr>
        <w:spacing w:line="11733" w:lineRule="exact"/>
        <w:ind w:firstLine="14"/>
        <w:textAlignment w:val="center"/>
      </w:pPr>
      <w:r>
        <w:drawing>
          <wp:inline distT="0" distB="0" distL="0" distR="0">
            <wp:extent cx="5271135" cy="7450455"/>
            <wp:effectExtent l="0" t="0" r="0" b="0"/>
            <wp:docPr id="280" name="IM 280"/>
            <wp:cNvGraphicFramePr/>
            <a:graphic xmlns:a="http://schemas.openxmlformats.org/drawingml/2006/main">
              <a:graphicData uri="http://schemas.openxmlformats.org/drawingml/2006/picture">
                <pic:pic xmlns:pic="http://schemas.openxmlformats.org/drawingml/2006/picture">
                  <pic:nvPicPr>
                    <pic:cNvPr id="280" name="IM 280"/>
                    <pic:cNvPicPr/>
                  </pic:nvPicPr>
                  <pic:blipFill>
                    <a:blip r:embed="rId620"/>
                    <a:stretch>
                      <a:fillRect/>
                    </a:stretch>
                  </pic:blipFill>
                  <pic:spPr>
                    <a:xfrm>
                      <a:off x="0" y="0"/>
                      <a:ext cx="5271515" cy="7450835"/>
                    </a:xfrm>
                    <a:prstGeom prst="rect">
                      <a:avLst/>
                    </a:prstGeom>
                  </pic:spPr>
                </pic:pic>
              </a:graphicData>
            </a:graphic>
          </wp:inline>
        </w:drawing>
      </w:r>
    </w:p>
    <w:p w14:paraId="4B223D0F">
      <w:pPr>
        <w:sectPr>
          <w:footerReference r:id="rId365" w:type="default"/>
          <w:pgSz w:w="11906" w:h="16839"/>
          <w:pgMar w:top="400" w:right="1785" w:bottom="1156" w:left="1785" w:header="0" w:footer="996" w:gutter="0"/>
          <w:cols w:space="720" w:num="1"/>
        </w:sectPr>
      </w:pPr>
    </w:p>
    <w:p w14:paraId="6EFC514B">
      <w:pPr>
        <w:spacing w:line="273" w:lineRule="auto"/>
        <w:rPr>
          <w:rFonts w:ascii="Arial"/>
          <w:sz w:val="21"/>
        </w:rPr>
      </w:pPr>
    </w:p>
    <w:p w14:paraId="5CF51792">
      <w:pPr>
        <w:spacing w:line="273" w:lineRule="auto"/>
        <w:rPr>
          <w:rFonts w:ascii="Arial"/>
          <w:sz w:val="21"/>
        </w:rPr>
      </w:pPr>
    </w:p>
    <w:p w14:paraId="1266DF5A">
      <w:pPr>
        <w:spacing w:line="273" w:lineRule="auto"/>
        <w:rPr>
          <w:rFonts w:ascii="Arial"/>
          <w:sz w:val="21"/>
        </w:rPr>
      </w:pPr>
    </w:p>
    <w:p w14:paraId="3634FDC8">
      <w:pPr>
        <w:spacing w:line="274" w:lineRule="auto"/>
        <w:rPr>
          <w:rFonts w:ascii="Arial"/>
          <w:sz w:val="21"/>
        </w:rPr>
      </w:pPr>
    </w:p>
    <w:p w14:paraId="14A3FF4F">
      <w:pPr>
        <w:spacing w:line="11733" w:lineRule="exact"/>
        <w:ind w:firstLine="14"/>
        <w:textAlignment w:val="center"/>
      </w:pPr>
      <w:r>
        <w:drawing>
          <wp:inline distT="0" distB="0" distL="0" distR="0">
            <wp:extent cx="5271135" cy="7450455"/>
            <wp:effectExtent l="0" t="0" r="0" b="0"/>
            <wp:docPr id="281" name="IM 281"/>
            <wp:cNvGraphicFramePr/>
            <a:graphic xmlns:a="http://schemas.openxmlformats.org/drawingml/2006/main">
              <a:graphicData uri="http://schemas.openxmlformats.org/drawingml/2006/picture">
                <pic:pic xmlns:pic="http://schemas.openxmlformats.org/drawingml/2006/picture">
                  <pic:nvPicPr>
                    <pic:cNvPr id="281" name="IM 281"/>
                    <pic:cNvPicPr/>
                  </pic:nvPicPr>
                  <pic:blipFill>
                    <a:blip r:embed="rId621"/>
                    <a:stretch>
                      <a:fillRect/>
                    </a:stretch>
                  </pic:blipFill>
                  <pic:spPr>
                    <a:xfrm>
                      <a:off x="0" y="0"/>
                      <a:ext cx="5271515" cy="7450835"/>
                    </a:xfrm>
                    <a:prstGeom prst="rect">
                      <a:avLst/>
                    </a:prstGeom>
                  </pic:spPr>
                </pic:pic>
              </a:graphicData>
            </a:graphic>
          </wp:inline>
        </w:drawing>
      </w:r>
    </w:p>
    <w:p w14:paraId="440B0922">
      <w:pPr>
        <w:sectPr>
          <w:footerReference r:id="rId366" w:type="default"/>
          <w:pgSz w:w="11906" w:h="16839"/>
          <w:pgMar w:top="400" w:right="1785" w:bottom="1156" w:left="1785" w:header="0" w:footer="996" w:gutter="0"/>
          <w:cols w:space="720" w:num="1"/>
        </w:sectPr>
      </w:pPr>
    </w:p>
    <w:p w14:paraId="3CF92BB7">
      <w:pPr>
        <w:spacing w:line="273" w:lineRule="auto"/>
        <w:rPr>
          <w:rFonts w:ascii="Arial"/>
          <w:sz w:val="21"/>
        </w:rPr>
      </w:pPr>
    </w:p>
    <w:p w14:paraId="7E90BA33">
      <w:pPr>
        <w:spacing w:line="273" w:lineRule="auto"/>
        <w:rPr>
          <w:rFonts w:ascii="Arial"/>
          <w:sz w:val="21"/>
        </w:rPr>
      </w:pPr>
    </w:p>
    <w:p w14:paraId="622D1D92">
      <w:pPr>
        <w:spacing w:line="273" w:lineRule="auto"/>
        <w:rPr>
          <w:rFonts w:ascii="Arial"/>
          <w:sz w:val="21"/>
        </w:rPr>
      </w:pPr>
    </w:p>
    <w:p w14:paraId="0127F9F6">
      <w:pPr>
        <w:spacing w:line="274" w:lineRule="auto"/>
        <w:rPr>
          <w:rFonts w:ascii="Arial"/>
          <w:sz w:val="21"/>
        </w:rPr>
      </w:pPr>
    </w:p>
    <w:p w14:paraId="2F5BC76B">
      <w:pPr>
        <w:spacing w:line="11733" w:lineRule="exact"/>
        <w:ind w:firstLine="14"/>
        <w:textAlignment w:val="center"/>
      </w:pPr>
      <w:r>
        <w:drawing>
          <wp:inline distT="0" distB="0" distL="0" distR="0">
            <wp:extent cx="5271135" cy="7450455"/>
            <wp:effectExtent l="0" t="0" r="0" b="0"/>
            <wp:docPr id="282" name="IM 282"/>
            <wp:cNvGraphicFramePr/>
            <a:graphic xmlns:a="http://schemas.openxmlformats.org/drawingml/2006/main">
              <a:graphicData uri="http://schemas.openxmlformats.org/drawingml/2006/picture">
                <pic:pic xmlns:pic="http://schemas.openxmlformats.org/drawingml/2006/picture">
                  <pic:nvPicPr>
                    <pic:cNvPr id="282" name="IM 282"/>
                    <pic:cNvPicPr/>
                  </pic:nvPicPr>
                  <pic:blipFill>
                    <a:blip r:embed="rId622"/>
                    <a:stretch>
                      <a:fillRect/>
                    </a:stretch>
                  </pic:blipFill>
                  <pic:spPr>
                    <a:xfrm>
                      <a:off x="0" y="0"/>
                      <a:ext cx="5271515" cy="7450835"/>
                    </a:xfrm>
                    <a:prstGeom prst="rect">
                      <a:avLst/>
                    </a:prstGeom>
                  </pic:spPr>
                </pic:pic>
              </a:graphicData>
            </a:graphic>
          </wp:inline>
        </w:drawing>
      </w:r>
    </w:p>
    <w:p w14:paraId="50BC9C4A">
      <w:pPr>
        <w:sectPr>
          <w:footerReference r:id="rId367" w:type="default"/>
          <w:pgSz w:w="11906" w:h="16839"/>
          <w:pgMar w:top="400" w:right="1785" w:bottom="1156" w:left="1785" w:header="0" w:footer="996" w:gutter="0"/>
          <w:cols w:space="720" w:num="1"/>
        </w:sectPr>
      </w:pPr>
    </w:p>
    <w:p w14:paraId="2927D5FF">
      <w:pPr>
        <w:spacing w:line="273" w:lineRule="auto"/>
        <w:rPr>
          <w:rFonts w:ascii="Arial"/>
          <w:sz w:val="21"/>
        </w:rPr>
      </w:pPr>
    </w:p>
    <w:p w14:paraId="339AB9C6">
      <w:pPr>
        <w:spacing w:line="273" w:lineRule="auto"/>
        <w:rPr>
          <w:rFonts w:ascii="Arial"/>
          <w:sz w:val="21"/>
        </w:rPr>
      </w:pPr>
    </w:p>
    <w:p w14:paraId="60231186">
      <w:pPr>
        <w:spacing w:line="273" w:lineRule="auto"/>
        <w:rPr>
          <w:rFonts w:ascii="Arial"/>
          <w:sz w:val="21"/>
        </w:rPr>
      </w:pPr>
    </w:p>
    <w:p w14:paraId="119D3874">
      <w:pPr>
        <w:spacing w:line="274" w:lineRule="auto"/>
        <w:rPr>
          <w:rFonts w:ascii="Arial"/>
          <w:sz w:val="21"/>
        </w:rPr>
      </w:pPr>
    </w:p>
    <w:p w14:paraId="75856644">
      <w:pPr>
        <w:spacing w:line="11733" w:lineRule="exact"/>
        <w:ind w:firstLine="14"/>
        <w:textAlignment w:val="center"/>
      </w:pPr>
      <w:r>
        <w:drawing>
          <wp:inline distT="0" distB="0" distL="0" distR="0">
            <wp:extent cx="5271135" cy="7450455"/>
            <wp:effectExtent l="0" t="0" r="0" b="0"/>
            <wp:docPr id="283" name="IM 283"/>
            <wp:cNvGraphicFramePr/>
            <a:graphic xmlns:a="http://schemas.openxmlformats.org/drawingml/2006/main">
              <a:graphicData uri="http://schemas.openxmlformats.org/drawingml/2006/picture">
                <pic:pic xmlns:pic="http://schemas.openxmlformats.org/drawingml/2006/picture">
                  <pic:nvPicPr>
                    <pic:cNvPr id="283" name="IM 283"/>
                    <pic:cNvPicPr/>
                  </pic:nvPicPr>
                  <pic:blipFill>
                    <a:blip r:embed="rId623"/>
                    <a:stretch>
                      <a:fillRect/>
                    </a:stretch>
                  </pic:blipFill>
                  <pic:spPr>
                    <a:xfrm>
                      <a:off x="0" y="0"/>
                      <a:ext cx="5271515" cy="7450835"/>
                    </a:xfrm>
                    <a:prstGeom prst="rect">
                      <a:avLst/>
                    </a:prstGeom>
                  </pic:spPr>
                </pic:pic>
              </a:graphicData>
            </a:graphic>
          </wp:inline>
        </w:drawing>
      </w:r>
    </w:p>
    <w:p w14:paraId="3B7DE763">
      <w:pPr>
        <w:sectPr>
          <w:footerReference r:id="rId368" w:type="default"/>
          <w:pgSz w:w="11906" w:h="16839"/>
          <w:pgMar w:top="400" w:right="1785" w:bottom="1156" w:left="1785" w:header="0" w:footer="996" w:gutter="0"/>
          <w:cols w:space="720" w:num="1"/>
        </w:sectPr>
      </w:pPr>
    </w:p>
    <w:p w14:paraId="3FD39B80">
      <w:pPr>
        <w:spacing w:line="273" w:lineRule="auto"/>
        <w:rPr>
          <w:rFonts w:ascii="Arial"/>
          <w:sz w:val="21"/>
        </w:rPr>
      </w:pPr>
    </w:p>
    <w:p w14:paraId="0F405C83">
      <w:pPr>
        <w:spacing w:line="273" w:lineRule="auto"/>
        <w:rPr>
          <w:rFonts w:ascii="Arial"/>
          <w:sz w:val="21"/>
        </w:rPr>
      </w:pPr>
    </w:p>
    <w:p w14:paraId="648E0127">
      <w:pPr>
        <w:spacing w:line="273" w:lineRule="auto"/>
        <w:rPr>
          <w:rFonts w:ascii="Arial"/>
          <w:sz w:val="21"/>
        </w:rPr>
      </w:pPr>
    </w:p>
    <w:p w14:paraId="03531E6C">
      <w:pPr>
        <w:spacing w:line="274" w:lineRule="auto"/>
        <w:rPr>
          <w:rFonts w:ascii="Arial"/>
          <w:sz w:val="21"/>
        </w:rPr>
      </w:pPr>
    </w:p>
    <w:p w14:paraId="53218EDF">
      <w:pPr>
        <w:spacing w:line="11733" w:lineRule="exact"/>
        <w:ind w:firstLine="14"/>
        <w:textAlignment w:val="center"/>
      </w:pPr>
      <w:r>
        <w:drawing>
          <wp:inline distT="0" distB="0" distL="0" distR="0">
            <wp:extent cx="5271135" cy="7450455"/>
            <wp:effectExtent l="0" t="0" r="0" b="0"/>
            <wp:docPr id="284" name="IM 284"/>
            <wp:cNvGraphicFramePr/>
            <a:graphic xmlns:a="http://schemas.openxmlformats.org/drawingml/2006/main">
              <a:graphicData uri="http://schemas.openxmlformats.org/drawingml/2006/picture">
                <pic:pic xmlns:pic="http://schemas.openxmlformats.org/drawingml/2006/picture">
                  <pic:nvPicPr>
                    <pic:cNvPr id="284" name="IM 284"/>
                    <pic:cNvPicPr/>
                  </pic:nvPicPr>
                  <pic:blipFill>
                    <a:blip r:embed="rId624"/>
                    <a:stretch>
                      <a:fillRect/>
                    </a:stretch>
                  </pic:blipFill>
                  <pic:spPr>
                    <a:xfrm>
                      <a:off x="0" y="0"/>
                      <a:ext cx="5271515" cy="7450835"/>
                    </a:xfrm>
                    <a:prstGeom prst="rect">
                      <a:avLst/>
                    </a:prstGeom>
                  </pic:spPr>
                </pic:pic>
              </a:graphicData>
            </a:graphic>
          </wp:inline>
        </w:drawing>
      </w:r>
    </w:p>
    <w:p w14:paraId="27102C3C">
      <w:pPr>
        <w:sectPr>
          <w:footerReference r:id="rId369" w:type="default"/>
          <w:pgSz w:w="11906" w:h="16839"/>
          <w:pgMar w:top="400" w:right="1785" w:bottom="1156" w:left="1785" w:header="0" w:footer="996" w:gutter="0"/>
          <w:cols w:space="720" w:num="1"/>
        </w:sectPr>
      </w:pPr>
    </w:p>
    <w:p w14:paraId="594CB58F">
      <w:pPr>
        <w:spacing w:line="273" w:lineRule="auto"/>
        <w:rPr>
          <w:rFonts w:ascii="Arial"/>
          <w:sz w:val="21"/>
        </w:rPr>
      </w:pPr>
    </w:p>
    <w:p w14:paraId="13E46103">
      <w:pPr>
        <w:spacing w:line="273" w:lineRule="auto"/>
        <w:rPr>
          <w:rFonts w:ascii="Arial"/>
          <w:sz w:val="21"/>
        </w:rPr>
      </w:pPr>
    </w:p>
    <w:p w14:paraId="6B353C2C">
      <w:pPr>
        <w:spacing w:line="273" w:lineRule="auto"/>
        <w:rPr>
          <w:rFonts w:ascii="Arial"/>
          <w:sz w:val="21"/>
        </w:rPr>
      </w:pPr>
    </w:p>
    <w:p w14:paraId="0997B1D1">
      <w:pPr>
        <w:spacing w:line="274" w:lineRule="auto"/>
        <w:rPr>
          <w:rFonts w:ascii="Arial"/>
          <w:sz w:val="21"/>
        </w:rPr>
      </w:pPr>
    </w:p>
    <w:p w14:paraId="004EDEAD">
      <w:pPr>
        <w:spacing w:line="11733" w:lineRule="exact"/>
        <w:ind w:firstLine="14"/>
        <w:textAlignment w:val="center"/>
      </w:pPr>
      <w:r>
        <w:drawing>
          <wp:inline distT="0" distB="0" distL="0" distR="0">
            <wp:extent cx="5271135" cy="7450455"/>
            <wp:effectExtent l="0" t="0" r="0" b="0"/>
            <wp:docPr id="285" name="IM 285"/>
            <wp:cNvGraphicFramePr/>
            <a:graphic xmlns:a="http://schemas.openxmlformats.org/drawingml/2006/main">
              <a:graphicData uri="http://schemas.openxmlformats.org/drawingml/2006/picture">
                <pic:pic xmlns:pic="http://schemas.openxmlformats.org/drawingml/2006/picture">
                  <pic:nvPicPr>
                    <pic:cNvPr id="285" name="IM 285"/>
                    <pic:cNvPicPr/>
                  </pic:nvPicPr>
                  <pic:blipFill>
                    <a:blip r:embed="rId625"/>
                    <a:stretch>
                      <a:fillRect/>
                    </a:stretch>
                  </pic:blipFill>
                  <pic:spPr>
                    <a:xfrm>
                      <a:off x="0" y="0"/>
                      <a:ext cx="5271515" cy="7450835"/>
                    </a:xfrm>
                    <a:prstGeom prst="rect">
                      <a:avLst/>
                    </a:prstGeom>
                  </pic:spPr>
                </pic:pic>
              </a:graphicData>
            </a:graphic>
          </wp:inline>
        </w:drawing>
      </w:r>
    </w:p>
    <w:p w14:paraId="443257E3">
      <w:pPr>
        <w:sectPr>
          <w:footerReference r:id="rId370" w:type="default"/>
          <w:pgSz w:w="11906" w:h="16839"/>
          <w:pgMar w:top="400" w:right="1785" w:bottom="1156" w:left="1785" w:header="0" w:footer="996" w:gutter="0"/>
          <w:cols w:space="720" w:num="1"/>
        </w:sectPr>
      </w:pPr>
    </w:p>
    <w:p w14:paraId="60854547">
      <w:pPr>
        <w:spacing w:line="273" w:lineRule="auto"/>
        <w:rPr>
          <w:rFonts w:ascii="Arial"/>
          <w:sz w:val="21"/>
        </w:rPr>
      </w:pPr>
    </w:p>
    <w:p w14:paraId="67E2E0EA">
      <w:pPr>
        <w:spacing w:line="273" w:lineRule="auto"/>
        <w:rPr>
          <w:rFonts w:ascii="Arial"/>
          <w:sz w:val="21"/>
        </w:rPr>
      </w:pPr>
    </w:p>
    <w:p w14:paraId="1C6619E5">
      <w:pPr>
        <w:spacing w:line="273" w:lineRule="auto"/>
        <w:rPr>
          <w:rFonts w:ascii="Arial"/>
          <w:sz w:val="21"/>
        </w:rPr>
      </w:pPr>
    </w:p>
    <w:p w14:paraId="4AB64FF1">
      <w:pPr>
        <w:spacing w:line="274" w:lineRule="auto"/>
        <w:rPr>
          <w:rFonts w:ascii="Arial"/>
          <w:sz w:val="21"/>
        </w:rPr>
      </w:pPr>
    </w:p>
    <w:p w14:paraId="31FD640D">
      <w:pPr>
        <w:spacing w:line="11733" w:lineRule="exact"/>
        <w:ind w:firstLine="14"/>
        <w:textAlignment w:val="center"/>
      </w:pPr>
      <w:r>
        <w:drawing>
          <wp:inline distT="0" distB="0" distL="0" distR="0">
            <wp:extent cx="5271135" cy="7450455"/>
            <wp:effectExtent l="0" t="0" r="0" b="0"/>
            <wp:docPr id="286" name="IM 286"/>
            <wp:cNvGraphicFramePr/>
            <a:graphic xmlns:a="http://schemas.openxmlformats.org/drawingml/2006/main">
              <a:graphicData uri="http://schemas.openxmlformats.org/drawingml/2006/picture">
                <pic:pic xmlns:pic="http://schemas.openxmlformats.org/drawingml/2006/picture">
                  <pic:nvPicPr>
                    <pic:cNvPr id="286" name="IM 286"/>
                    <pic:cNvPicPr/>
                  </pic:nvPicPr>
                  <pic:blipFill>
                    <a:blip r:embed="rId626"/>
                    <a:stretch>
                      <a:fillRect/>
                    </a:stretch>
                  </pic:blipFill>
                  <pic:spPr>
                    <a:xfrm>
                      <a:off x="0" y="0"/>
                      <a:ext cx="5271515" cy="7450835"/>
                    </a:xfrm>
                    <a:prstGeom prst="rect">
                      <a:avLst/>
                    </a:prstGeom>
                  </pic:spPr>
                </pic:pic>
              </a:graphicData>
            </a:graphic>
          </wp:inline>
        </w:drawing>
      </w:r>
    </w:p>
    <w:p w14:paraId="72BE43F6">
      <w:pPr>
        <w:sectPr>
          <w:footerReference r:id="rId371" w:type="default"/>
          <w:pgSz w:w="11906" w:h="16839"/>
          <w:pgMar w:top="400" w:right="1785" w:bottom="1156" w:left="1785" w:header="0" w:footer="996" w:gutter="0"/>
          <w:cols w:space="720" w:num="1"/>
        </w:sectPr>
      </w:pPr>
    </w:p>
    <w:p w14:paraId="38A72EB9">
      <w:pPr>
        <w:spacing w:line="273" w:lineRule="auto"/>
        <w:rPr>
          <w:rFonts w:ascii="Arial"/>
          <w:sz w:val="21"/>
        </w:rPr>
      </w:pPr>
    </w:p>
    <w:p w14:paraId="7BE45009">
      <w:pPr>
        <w:spacing w:line="273" w:lineRule="auto"/>
        <w:rPr>
          <w:rFonts w:ascii="Arial"/>
          <w:sz w:val="21"/>
        </w:rPr>
      </w:pPr>
    </w:p>
    <w:p w14:paraId="747E1054">
      <w:pPr>
        <w:spacing w:line="273" w:lineRule="auto"/>
        <w:rPr>
          <w:rFonts w:ascii="Arial"/>
          <w:sz w:val="21"/>
        </w:rPr>
      </w:pPr>
    </w:p>
    <w:p w14:paraId="28CC9FAD">
      <w:pPr>
        <w:spacing w:line="274" w:lineRule="auto"/>
        <w:rPr>
          <w:rFonts w:ascii="Arial"/>
          <w:sz w:val="21"/>
        </w:rPr>
      </w:pPr>
    </w:p>
    <w:p w14:paraId="4AE6F24B">
      <w:pPr>
        <w:spacing w:line="11733" w:lineRule="exact"/>
        <w:ind w:firstLine="14"/>
        <w:textAlignment w:val="center"/>
      </w:pPr>
      <w:r>
        <w:drawing>
          <wp:inline distT="0" distB="0" distL="0" distR="0">
            <wp:extent cx="5271135" cy="7450455"/>
            <wp:effectExtent l="0" t="0" r="0" b="0"/>
            <wp:docPr id="287" name="IM 287"/>
            <wp:cNvGraphicFramePr/>
            <a:graphic xmlns:a="http://schemas.openxmlformats.org/drawingml/2006/main">
              <a:graphicData uri="http://schemas.openxmlformats.org/drawingml/2006/picture">
                <pic:pic xmlns:pic="http://schemas.openxmlformats.org/drawingml/2006/picture">
                  <pic:nvPicPr>
                    <pic:cNvPr id="287" name="IM 287"/>
                    <pic:cNvPicPr/>
                  </pic:nvPicPr>
                  <pic:blipFill>
                    <a:blip r:embed="rId627"/>
                    <a:stretch>
                      <a:fillRect/>
                    </a:stretch>
                  </pic:blipFill>
                  <pic:spPr>
                    <a:xfrm>
                      <a:off x="0" y="0"/>
                      <a:ext cx="5271515" cy="7450835"/>
                    </a:xfrm>
                    <a:prstGeom prst="rect">
                      <a:avLst/>
                    </a:prstGeom>
                  </pic:spPr>
                </pic:pic>
              </a:graphicData>
            </a:graphic>
          </wp:inline>
        </w:drawing>
      </w:r>
    </w:p>
    <w:p w14:paraId="19AD6258">
      <w:pPr>
        <w:sectPr>
          <w:footerReference r:id="rId372" w:type="default"/>
          <w:pgSz w:w="11906" w:h="16839"/>
          <w:pgMar w:top="400" w:right="1785" w:bottom="1156" w:left="1785" w:header="0" w:footer="996" w:gutter="0"/>
          <w:cols w:space="720" w:num="1"/>
        </w:sectPr>
      </w:pPr>
    </w:p>
    <w:p w14:paraId="412B9A89">
      <w:pPr>
        <w:spacing w:line="273" w:lineRule="auto"/>
        <w:rPr>
          <w:rFonts w:ascii="Arial"/>
          <w:sz w:val="21"/>
        </w:rPr>
      </w:pPr>
    </w:p>
    <w:p w14:paraId="325AEF2D">
      <w:pPr>
        <w:spacing w:line="273" w:lineRule="auto"/>
        <w:rPr>
          <w:rFonts w:ascii="Arial"/>
          <w:sz w:val="21"/>
        </w:rPr>
      </w:pPr>
    </w:p>
    <w:p w14:paraId="564D197D">
      <w:pPr>
        <w:spacing w:line="273" w:lineRule="auto"/>
        <w:rPr>
          <w:rFonts w:ascii="Arial"/>
          <w:sz w:val="21"/>
        </w:rPr>
      </w:pPr>
    </w:p>
    <w:p w14:paraId="67A7EEE7">
      <w:pPr>
        <w:spacing w:line="274" w:lineRule="auto"/>
        <w:rPr>
          <w:rFonts w:ascii="Arial"/>
          <w:sz w:val="21"/>
        </w:rPr>
      </w:pPr>
    </w:p>
    <w:p w14:paraId="60A35373">
      <w:pPr>
        <w:spacing w:line="11733" w:lineRule="exact"/>
        <w:ind w:firstLine="14"/>
        <w:textAlignment w:val="center"/>
      </w:pPr>
      <w:r>
        <w:drawing>
          <wp:inline distT="0" distB="0" distL="0" distR="0">
            <wp:extent cx="5271135" cy="7450455"/>
            <wp:effectExtent l="0" t="0" r="0" b="0"/>
            <wp:docPr id="288" name="IM 288"/>
            <wp:cNvGraphicFramePr/>
            <a:graphic xmlns:a="http://schemas.openxmlformats.org/drawingml/2006/main">
              <a:graphicData uri="http://schemas.openxmlformats.org/drawingml/2006/picture">
                <pic:pic xmlns:pic="http://schemas.openxmlformats.org/drawingml/2006/picture">
                  <pic:nvPicPr>
                    <pic:cNvPr id="288" name="IM 288"/>
                    <pic:cNvPicPr/>
                  </pic:nvPicPr>
                  <pic:blipFill>
                    <a:blip r:embed="rId628"/>
                    <a:stretch>
                      <a:fillRect/>
                    </a:stretch>
                  </pic:blipFill>
                  <pic:spPr>
                    <a:xfrm>
                      <a:off x="0" y="0"/>
                      <a:ext cx="5271515" cy="7450835"/>
                    </a:xfrm>
                    <a:prstGeom prst="rect">
                      <a:avLst/>
                    </a:prstGeom>
                  </pic:spPr>
                </pic:pic>
              </a:graphicData>
            </a:graphic>
          </wp:inline>
        </w:drawing>
      </w:r>
    </w:p>
    <w:p w14:paraId="11515E12">
      <w:pPr>
        <w:sectPr>
          <w:footerReference r:id="rId373" w:type="default"/>
          <w:pgSz w:w="11906" w:h="16839"/>
          <w:pgMar w:top="400" w:right="1785" w:bottom="1156" w:left="1785" w:header="0" w:footer="996" w:gutter="0"/>
          <w:cols w:space="720" w:num="1"/>
        </w:sectPr>
      </w:pPr>
    </w:p>
    <w:p w14:paraId="3076EB6C">
      <w:pPr>
        <w:spacing w:line="273" w:lineRule="auto"/>
        <w:rPr>
          <w:rFonts w:ascii="Arial"/>
          <w:sz w:val="21"/>
        </w:rPr>
      </w:pPr>
    </w:p>
    <w:p w14:paraId="5130AED6">
      <w:pPr>
        <w:spacing w:line="273" w:lineRule="auto"/>
        <w:rPr>
          <w:rFonts w:ascii="Arial"/>
          <w:sz w:val="21"/>
        </w:rPr>
      </w:pPr>
    </w:p>
    <w:p w14:paraId="7BFA5233">
      <w:pPr>
        <w:spacing w:line="273" w:lineRule="auto"/>
        <w:rPr>
          <w:rFonts w:ascii="Arial"/>
          <w:sz w:val="21"/>
        </w:rPr>
      </w:pPr>
    </w:p>
    <w:p w14:paraId="7D101E8B">
      <w:pPr>
        <w:spacing w:line="274" w:lineRule="auto"/>
        <w:rPr>
          <w:rFonts w:ascii="Arial"/>
          <w:sz w:val="21"/>
        </w:rPr>
      </w:pPr>
    </w:p>
    <w:p w14:paraId="1F7598E5">
      <w:pPr>
        <w:spacing w:line="11733" w:lineRule="exact"/>
        <w:ind w:firstLine="14"/>
        <w:textAlignment w:val="center"/>
      </w:pPr>
      <w:r>
        <w:drawing>
          <wp:inline distT="0" distB="0" distL="0" distR="0">
            <wp:extent cx="5271135" cy="7450455"/>
            <wp:effectExtent l="0" t="0" r="0" b="0"/>
            <wp:docPr id="289" name="IM 289"/>
            <wp:cNvGraphicFramePr/>
            <a:graphic xmlns:a="http://schemas.openxmlformats.org/drawingml/2006/main">
              <a:graphicData uri="http://schemas.openxmlformats.org/drawingml/2006/picture">
                <pic:pic xmlns:pic="http://schemas.openxmlformats.org/drawingml/2006/picture">
                  <pic:nvPicPr>
                    <pic:cNvPr id="289" name="IM 289"/>
                    <pic:cNvPicPr/>
                  </pic:nvPicPr>
                  <pic:blipFill>
                    <a:blip r:embed="rId629"/>
                    <a:stretch>
                      <a:fillRect/>
                    </a:stretch>
                  </pic:blipFill>
                  <pic:spPr>
                    <a:xfrm>
                      <a:off x="0" y="0"/>
                      <a:ext cx="5271515" cy="7450835"/>
                    </a:xfrm>
                    <a:prstGeom prst="rect">
                      <a:avLst/>
                    </a:prstGeom>
                  </pic:spPr>
                </pic:pic>
              </a:graphicData>
            </a:graphic>
          </wp:inline>
        </w:drawing>
      </w:r>
    </w:p>
    <w:p w14:paraId="14E3E944">
      <w:pPr>
        <w:sectPr>
          <w:footerReference r:id="rId374" w:type="default"/>
          <w:pgSz w:w="11906" w:h="16839"/>
          <w:pgMar w:top="400" w:right="1785" w:bottom="1156" w:left="1785" w:header="0" w:footer="996" w:gutter="0"/>
          <w:cols w:space="720" w:num="1"/>
        </w:sectPr>
      </w:pPr>
    </w:p>
    <w:p w14:paraId="644E6BC0">
      <w:pPr>
        <w:spacing w:line="273" w:lineRule="auto"/>
        <w:rPr>
          <w:rFonts w:ascii="Arial"/>
          <w:sz w:val="21"/>
        </w:rPr>
      </w:pPr>
    </w:p>
    <w:p w14:paraId="6F6B2C96">
      <w:pPr>
        <w:spacing w:line="273" w:lineRule="auto"/>
        <w:rPr>
          <w:rFonts w:ascii="Arial"/>
          <w:sz w:val="21"/>
        </w:rPr>
      </w:pPr>
    </w:p>
    <w:p w14:paraId="192A7806">
      <w:pPr>
        <w:spacing w:line="273" w:lineRule="auto"/>
        <w:rPr>
          <w:rFonts w:ascii="Arial"/>
          <w:sz w:val="21"/>
        </w:rPr>
      </w:pPr>
    </w:p>
    <w:p w14:paraId="7B733FB7">
      <w:pPr>
        <w:spacing w:line="274" w:lineRule="auto"/>
        <w:rPr>
          <w:rFonts w:ascii="Arial"/>
          <w:sz w:val="21"/>
        </w:rPr>
      </w:pPr>
    </w:p>
    <w:p w14:paraId="07BD1A23">
      <w:pPr>
        <w:spacing w:line="11733" w:lineRule="exact"/>
        <w:ind w:firstLine="14"/>
        <w:textAlignment w:val="center"/>
      </w:pPr>
      <w:r>
        <w:drawing>
          <wp:inline distT="0" distB="0" distL="0" distR="0">
            <wp:extent cx="5271135" cy="7450455"/>
            <wp:effectExtent l="0" t="0" r="0" b="0"/>
            <wp:docPr id="290" name="IM 290"/>
            <wp:cNvGraphicFramePr/>
            <a:graphic xmlns:a="http://schemas.openxmlformats.org/drawingml/2006/main">
              <a:graphicData uri="http://schemas.openxmlformats.org/drawingml/2006/picture">
                <pic:pic xmlns:pic="http://schemas.openxmlformats.org/drawingml/2006/picture">
                  <pic:nvPicPr>
                    <pic:cNvPr id="290" name="IM 290"/>
                    <pic:cNvPicPr/>
                  </pic:nvPicPr>
                  <pic:blipFill>
                    <a:blip r:embed="rId630"/>
                    <a:stretch>
                      <a:fillRect/>
                    </a:stretch>
                  </pic:blipFill>
                  <pic:spPr>
                    <a:xfrm>
                      <a:off x="0" y="0"/>
                      <a:ext cx="5271515" cy="7450835"/>
                    </a:xfrm>
                    <a:prstGeom prst="rect">
                      <a:avLst/>
                    </a:prstGeom>
                  </pic:spPr>
                </pic:pic>
              </a:graphicData>
            </a:graphic>
          </wp:inline>
        </w:drawing>
      </w:r>
    </w:p>
    <w:p w14:paraId="2B19043B">
      <w:pPr>
        <w:sectPr>
          <w:footerReference r:id="rId375" w:type="default"/>
          <w:pgSz w:w="11906" w:h="16839"/>
          <w:pgMar w:top="400" w:right="1785" w:bottom="1156" w:left="1785" w:header="0" w:footer="996" w:gutter="0"/>
          <w:cols w:space="720" w:num="1"/>
        </w:sectPr>
      </w:pPr>
    </w:p>
    <w:p w14:paraId="18F24C2C">
      <w:pPr>
        <w:spacing w:line="273" w:lineRule="auto"/>
        <w:rPr>
          <w:rFonts w:ascii="Arial"/>
          <w:sz w:val="21"/>
        </w:rPr>
      </w:pPr>
    </w:p>
    <w:p w14:paraId="6CAEE4C0">
      <w:pPr>
        <w:spacing w:line="273" w:lineRule="auto"/>
        <w:rPr>
          <w:rFonts w:ascii="Arial"/>
          <w:sz w:val="21"/>
        </w:rPr>
      </w:pPr>
    </w:p>
    <w:p w14:paraId="071EB089">
      <w:pPr>
        <w:spacing w:line="273" w:lineRule="auto"/>
        <w:rPr>
          <w:rFonts w:ascii="Arial"/>
          <w:sz w:val="21"/>
        </w:rPr>
      </w:pPr>
    </w:p>
    <w:p w14:paraId="7E6AE9DB">
      <w:pPr>
        <w:spacing w:line="274" w:lineRule="auto"/>
        <w:rPr>
          <w:rFonts w:ascii="Arial"/>
          <w:sz w:val="21"/>
        </w:rPr>
      </w:pPr>
    </w:p>
    <w:p w14:paraId="07C74F9B">
      <w:pPr>
        <w:spacing w:line="11733" w:lineRule="exact"/>
        <w:ind w:firstLine="14"/>
        <w:textAlignment w:val="center"/>
      </w:pPr>
      <w:r>
        <w:drawing>
          <wp:inline distT="0" distB="0" distL="0" distR="0">
            <wp:extent cx="5271135" cy="7450455"/>
            <wp:effectExtent l="0" t="0" r="0" b="0"/>
            <wp:docPr id="291" name="IM 291"/>
            <wp:cNvGraphicFramePr/>
            <a:graphic xmlns:a="http://schemas.openxmlformats.org/drawingml/2006/main">
              <a:graphicData uri="http://schemas.openxmlformats.org/drawingml/2006/picture">
                <pic:pic xmlns:pic="http://schemas.openxmlformats.org/drawingml/2006/picture">
                  <pic:nvPicPr>
                    <pic:cNvPr id="291" name="IM 291"/>
                    <pic:cNvPicPr/>
                  </pic:nvPicPr>
                  <pic:blipFill>
                    <a:blip r:embed="rId631"/>
                    <a:stretch>
                      <a:fillRect/>
                    </a:stretch>
                  </pic:blipFill>
                  <pic:spPr>
                    <a:xfrm>
                      <a:off x="0" y="0"/>
                      <a:ext cx="5271515" cy="7450835"/>
                    </a:xfrm>
                    <a:prstGeom prst="rect">
                      <a:avLst/>
                    </a:prstGeom>
                  </pic:spPr>
                </pic:pic>
              </a:graphicData>
            </a:graphic>
          </wp:inline>
        </w:drawing>
      </w:r>
    </w:p>
    <w:p w14:paraId="0625A162">
      <w:pPr>
        <w:sectPr>
          <w:footerReference r:id="rId376" w:type="default"/>
          <w:pgSz w:w="11906" w:h="16839"/>
          <w:pgMar w:top="400" w:right="1785" w:bottom="1156" w:left="1785" w:header="0" w:footer="996" w:gutter="0"/>
          <w:cols w:space="720" w:num="1"/>
        </w:sectPr>
      </w:pPr>
    </w:p>
    <w:p w14:paraId="10E0B1AC">
      <w:pPr>
        <w:spacing w:line="273" w:lineRule="auto"/>
        <w:rPr>
          <w:rFonts w:ascii="Arial"/>
          <w:sz w:val="21"/>
        </w:rPr>
      </w:pPr>
    </w:p>
    <w:p w14:paraId="237DA1F5">
      <w:pPr>
        <w:spacing w:line="273" w:lineRule="auto"/>
        <w:rPr>
          <w:rFonts w:ascii="Arial"/>
          <w:sz w:val="21"/>
        </w:rPr>
      </w:pPr>
    </w:p>
    <w:p w14:paraId="46AB10D9">
      <w:pPr>
        <w:spacing w:line="273" w:lineRule="auto"/>
        <w:rPr>
          <w:rFonts w:ascii="Arial"/>
          <w:sz w:val="21"/>
        </w:rPr>
      </w:pPr>
    </w:p>
    <w:p w14:paraId="3F42C847">
      <w:pPr>
        <w:spacing w:line="274" w:lineRule="auto"/>
        <w:rPr>
          <w:rFonts w:ascii="Arial"/>
          <w:sz w:val="21"/>
        </w:rPr>
      </w:pPr>
    </w:p>
    <w:p w14:paraId="3504C6EF">
      <w:pPr>
        <w:spacing w:line="11733" w:lineRule="exact"/>
        <w:ind w:firstLine="14"/>
        <w:textAlignment w:val="center"/>
      </w:pPr>
      <w:r>
        <w:drawing>
          <wp:inline distT="0" distB="0" distL="0" distR="0">
            <wp:extent cx="5271135" cy="7450455"/>
            <wp:effectExtent l="0" t="0" r="0" b="0"/>
            <wp:docPr id="292" name="IM 292"/>
            <wp:cNvGraphicFramePr/>
            <a:graphic xmlns:a="http://schemas.openxmlformats.org/drawingml/2006/main">
              <a:graphicData uri="http://schemas.openxmlformats.org/drawingml/2006/picture">
                <pic:pic xmlns:pic="http://schemas.openxmlformats.org/drawingml/2006/picture">
                  <pic:nvPicPr>
                    <pic:cNvPr id="292" name="IM 292"/>
                    <pic:cNvPicPr/>
                  </pic:nvPicPr>
                  <pic:blipFill>
                    <a:blip r:embed="rId632"/>
                    <a:stretch>
                      <a:fillRect/>
                    </a:stretch>
                  </pic:blipFill>
                  <pic:spPr>
                    <a:xfrm>
                      <a:off x="0" y="0"/>
                      <a:ext cx="5271515" cy="7450835"/>
                    </a:xfrm>
                    <a:prstGeom prst="rect">
                      <a:avLst/>
                    </a:prstGeom>
                  </pic:spPr>
                </pic:pic>
              </a:graphicData>
            </a:graphic>
          </wp:inline>
        </w:drawing>
      </w:r>
    </w:p>
    <w:p w14:paraId="23A0DAF4">
      <w:pPr>
        <w:sectPr>
          <w:footerReference r:id="rId377" w:type="default"/>
          <w:pgSz w:w="11906" w:h="16839"/>
          <w:pgMar w:top="400" w:right="1785" w:bottom="1156" w:left="1785" w:header="0" w:footer="996" w:gutter="0"/>
          <w:cols w:space="720" w:num="1"/>
        </w:sectPr>
      </w:pPr>
    </w:p>
    <w:p w14:paraId="4C70D9FF">
      <w:pPr>
        <w:spacing w:line="261" w:lineRule="auto"/>
        <w:rPr>
          <w:rFonts w:ascii="Arial"/>
          <w:sz w:val="21"/>
        </w:rPr>
      </w:pPr>
    </w:p>
    <w:p w14:paraId="67DC2F1B">
      <w:pPr>
        <w:spacing w:line="261" w:lineRule="auto"/>
        <w:rPr>
          <w:rFonts w:ascii="Arial"/>
          <w:sz w:val="21"/>
        </w:rPr>
      </w:pPr>
    </w:p>
    <w:p w14:paraId="12AA6CCD">
      <w:pPr>
        <w:spacing w:line="261" w:lineRule="auto"/>
        <w:rPr>
          <w:rFonts w:ascii="Arial"/>
          <w:sz w:val="21"/>
        </w:rPr>
      </w:pPr>
    </w:p>
    <w:p w14:paraId="7AE8AD3B">
      <w:pPr>
        <w:spacing w:line="261" w:lineRule="auto"/>
        <w:rPr>
          <w:rFonts w:ascii="Arial"/>
          <w:sz w:val="21"/>
        </w:rPr>
      </w:pPr>
    </w:p>
    <w:p w14:paraId="3AF8397B">
      <w:pPr>
        <w:spacing w:line="13390" w:lineRule="exact"/>
        <w:ind w:firstLine="14"/>
        <w:textAlignment w:val="center"/>
      </w:pPr>
      <w:r>
        <w:drawing>
          <wp:inline distT="0" distB="0" distL="0" distR="0">
            <wp:extent cx="5601970" cy="8502015"/>
            <wp:effectExtent l="0" t="0" r="0" b="0"/>
            <wp:docPr id="293" name="IM 293"/>
            <wp:cNvGraphicFramePr/>
            <a:graphic xmlns:a="http://schemas.openxmlformats.org/drawingml/2006/main">
              <a:graphicData uri="http://schemas.openxmlformats.org/drawingml/2006/picture">
                <pic:pic xmlns:pic="http://schemas.openxmlformats.org/drawingml/2006/picture">
                  <pic:nvPicPr>
                    <pic:cNvPr id="293" name="IM 293"/>
                    <pic:cNvPicPr/>
                  </pic:nvPicPr>
                  <pic:blipFill>
                    <a:blip r:embed="rId633"/>
                    <a:stretch>
                      <a:fillRect/>
                    </a:stretch>
                  </pic:blipFill>
                  <pic:spPr>
                    <a:xfrm>
                      <a:off x="0" y="0"/>
                      <a:ext cx="5602223" cy="8502396"/>
                    </a:xfrm>
                    <a:prstGeom prst="rect">
                      <a:avLst/>
                    </a:prstGeom>
                  </pic:spPr>
                </pic:pic>
              </a:graphicData>
            </a:graphic>
          </wp:inline>
        </w:drawing>
      </w:r>
    </w:p>
    <w:p w14:paraId="647C0F93">
      <w:pPr>
        <w:sectPr>
          <w:footerReference r:id="rId378" w:type="default"/>
          <w:pgSz w:w="11906" w:h="16839"/>
          <w:pgMar w:top="400" w:right="1283" w:bottom="1156" w:left="1785" w:header="0" w:footer="996" w:gutter="0"/>
          <w:cols w:space="720" w:num="1"/>
        </w:sectPr>
      </w:pPr>
    </w:p>
    <w:p w14:paraId="7DD00B84">
      <w:pPr>
        <w:spacing w:line="250" w:lineRule="auto"/>
        <w:rPr>
          <w:rFonts w:ascii="Arial"/>
          <w:sz w:val="21"/>
        </w:rPr>
      </w:pPr>
    </w:p>
    <w:p w14:paraId="3FFDDB2A">
      <w:pPr>
        <w:spacing w:line="250" w:lineRule="auto"/>
        <w:rPr>
          <w:rFonts w:ascii="Arial"/>
          <w:sz w:val="21"/>
        </w:rPr>
      </w:pPr>
    </w:p>
    <w:p w14:paraId="2D6465D8">
      <w:pPr>
        <w:spacing w:line="250" w:lineRule="auto"/>
        <w:rPr>
          <w:rFonts w:ascii="Arial"/>
          <w:sz w:val="21"/>
        </w:rPr>
      </w:pPr>
    </w:p>
    <w:p w14:paraId="0F97A1AF">
      <w:pPr>
        <w:spacing w:line="251" w:lineRule="auto"/>
        <w:rPr>
          <w:rFonts w:ascii="Arial"/>
          <w:sz w:val="21"/>
        </w:rPr>
      </w:pPr>
    </w:p>
    <w:p w14:paraId="19862C0E">
      <w:pPr>
        <w:spacing w:before="95" w:line="215" w:lineRule="auto"/>
        <w:ind w:left="849"/>
        <w:outlineLvl w:val="0"/>
        <w:rPr>
          <w:rFonts w:ascii="宋体" w:hAnsi="宋体" w:eastAsia="宋体" w:cs="宋体"/>
          <w:sz w:val="29"/>
          <w:szCs w:val="29"/>
        </w:rPr>
      </w:pPr>
      <w:r>
        <w:rPr>
          <w:rFonts w:ascii="宋体" w:hAnsi="宋体" w:eastAsia="宋体" w:cs="宋体"/>
          <w:spacing w:val="20"/>
          <w:sz w:val="29"/>
          <w:szCs w:val="29"/>
          <w14:textOutline w14:w="5448" w14:cap="sq" w14:cmpd="sng">
            <w14:solidFill>
              <w14:srgbClr w14:val="000000"/>
            </w14:solidFill>
            <w14:prstDash w14:val="solid"/>
            <w14:bevel/>
          </w14:textOutline>
        </w:rPr>
        <w:t>《</w:t>
      </w:r>
      <w:r>
        <w:rPr>
          <w:rFonts w:ascii="宋体" w:hAnsi="宋体" w:eastAsia="宋体" w:cs="宋体"/>
          <w:spacing w:val="13"/>
          <w:sz w:val="29"/>
          <w:szCs w:val="29"/>
          <w14:textOutline w14:w="5448" w14:cap="sq" w14:cmpd="sng">
            <w14:solidFill>
              <w14:srgbClr w14:val="000000"/>
            </w14:solidFill>
            <w14:prstDash w14:val="solid"/>
            <w14:bevel/>
          </w14:textOutline>
        </w:rPr>
        <w:t>本</w:t>
      </w:r>
      <w:r>
        <w:rPr>
          <w:rFonts w:ascii="宋体" w:hAnsi="宋体" w:eastAsia="宋体" w:cs="宋体"/>
          <w:spacing w:val="10"/>
          <w:sz w:val="29"/>
          <w:szCs w:val="29"/>
          <w14:textOutline w14:w="5448" w14:cap="sq" w14:cmpd="sng">
            <w14:solidFill>
              <w14:srgbClr w14:val="000000"/>
            </w14:solidFill>
            <w14:prstDash w14:val="solid"/>
            <w14:bevel/>
          </w14:textOutline>
        </w:rPr>
        <w:t>溪弘福塑业有限公司新建项目环境影响报告书》修改说明</w:t>
      </w:r>
    </w:p>
    <w:tbl>
      <w:tblPr>
        <w:tblStyle w:val="4"/>
        <w:tblW w:w="979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4155"/>
        <w:gridCol w:w="4952"/>
      </w:tblGrid>
      <w:tr w14:paraId="0C02C6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685" w:type="dxa"/>
            <w:tcBorders>
              <w:left w:val="nil"/>
              <w:right w:val="single" w:color="000000" w:sz="4" w:space="0"/>
            </w:tcBorders>
            <w:vAlign w:val="top"/>
          </w:tcPr>
          <w:p w14:paraId="71480B1C">
            <w:pPr>
              <w:spacing w:before="123" w:line="229" w:lineRule="auto"/>
              <w:ind w:left="122"/>
              <w:rPr>
                <w:rFonts w:ascii="宋体" w:hAnsi="宋体" w:eastAsia="宋体" w:cs="宋体"/>
                <w:sz w:val="23"/>
                <w:szCs w:val="23"/>
              </w:rPr>
            </w:pPr>
            <w:r>
              <w:rPr>
                <w:rFonts w:ascii="宋体" w:hAnsi="宋体" w:eastAsia="宋体" w:cs="宋体"/>
                <w:spacing w:val="1"/>
                <w:sz w:val="23"/>
                <w:szCs w:val="23"/>
                <w14:textOutline w14:w="4358" w14:cap="sq" w14:cmpd="sng">
                  <w14:solidFill>
                    <w14:srgbClr w14:val="000000"/>
                  </w14:solidFill>
                  <w14:prstDash w14:val="solid"/>
                  <w14:bevel/>
                </w14:textOutline>
              </w:rPr>
              <w:t>序</w:t>
            </w:r>
            <w:r>
              <w:rPr>
                <w:rFonts w:ascii="宋体" w:hAnsi="宋体" w:eastAsia="宋体" w:cs="宋体"/>
                <w:sz w:val="23"/>
                <w:szCs w:val="23"/>
                <w14:textOutline w14:w="4358" w14:cap="sq" w14:cmpd="sng">
                  <w14:solidFill>
                    <w14:srgbClr w14:val="000000"/>
                  </w14:solidFill>
                  <w14:prstDash w14:val="solid"/>
                  <w14:bevel/>
                </w14:textOutline>
              </w:rPr>
              <w:t>号</w:t>
            </w:r>
          </w:p>
        </w:tc>
        <w:tc>
          <w:tcPr>
            <w:tcW w:w="4155" w:type="dxa"/>
            <w:tcBorders>
              <w:left w:val="single" w:color="000000" w:sz="4" w:space="0"/>
              <w:right w:val="single" w:color="000000" w:sz="4" w:space="0"/>
            </w:tcBorders>
            <w:vAlign w:val="top"/>
          </w:tcPr>
          <w:p w14:paraId="3F82ADE6">
            <w:pPr>
              <w:spacing w:before="124" w:line="227" w:lineRule="auto"/>
              <w:ind w:left="1397"/>
              <w:rPr>
                <w:rFonts w:ascii="宋体" w:hAnsi="宋体" w:eastAsia="宋体" w:cs="宋体"/>
                <w:sz w:val="23"/>
                <w:szCs w:val="23"/>
              </w:rPr>
            </w:pPr>
            <w:r>
              <w:rPr>
                <w:rFonts w:ascii="宋体" w:hAnsi="宋体" w:eastAsia="宋体" w:cs="宋体"/>
                <w:spacing w:val="-1"/>
                <w:sz w:val="23"/>
                <w:szCs w:val="23"/>
                <w14:textOutline w14:w="4358" w14:cap="sq" w14:cmpd="sng">
                  <w14:solidFill>
                    <w14:srgbClr w14:val="000000"/>
                  </w14:solidFill>
                  <w14:prstDash w14:val="solid"/>
                  <w14:bevel/>
                </w14:textOutline>
              </w:rPr>
              <w:t>专家评审</w:t>
            </w:r>
            <w:r>
              <w:rPr>
                <w:rFonts w:ascii="宋体" w:hAnsi="宋体" w:eastAsia="宋体" w:cs="宋体"/>
                <w:sz w:val="23"/>
                <w:szCs w:val="23"/>
                <w14:textOutline w14:w="4358" w14:cap="sq" w14:cmpd="sng">
                  <w14:solidFill>
                    <w14:srgbClr w14:val="000000"/>
                  </w14:solidFill>
                  <w14:prstDash w14:val="solid"/>
                  <w14:bevel/>
                </w14:textOutline>
              </w:rPr>
              <w:t>意见</w:t>
            </w:r>
          </w:p>
        </w:tc>
        <w:tc>
          <w:tcPr>
            <w:tcW w:w="4952" w:type="dxa"/>
            <w:tcBorders>
              <w:left w:val="single" w:color="000000" w:sz="4" w:space="0"/>
              <w:right w:val="nil"/>
            </w:tcBorders>
            <w:vAlign w:val="top"/>
          </w:tcPr>
          <w:p w14:paraId="01699500">
            <w:pPr>
              <w:spacing w:before="124" w:line="227" w:lineRule="auto"/>
              <w:ind w:left="2024"/>
              <w:rPr>
                <w:rFonts w:ascii="宋体" w:hAnsi="宋体" w:eastAsia="宋体" w:cs="宋体"/>
                <w:sz w:val="23"/>
                <w:szCs w:val="23"/>
              </w:rPr>
            </w:pPr>
            <w:r>
              <w:rPr>
                <w:rFonts w:ascii="宋体" w:hAnsi="宋体" w:eastAsia="宋体" w:cs="宋体"/>
                <w:spacing w:val="-1"/>
                <w:sz w:val="23"/>
                <w:szCs w:val="23"/>
                <w14:textOutline w14:w="4358" w14:cap="sq" w14:cmpd="sng">
                  <w14:solidFill>
                    <w14:srgbClr w14:val="000000"/>
                  </w14:solidFill>
                  <w14:prstDash w14:val="solid"/>
                  <w14:bevel/>
                </w14:textOutline>
              </w:rPr>
              <w:t>修</w:t>
            </w:r>
            <w:r>
              <w:rPr>
                <w:rFonts w:ascii="宋体" w:hAnsi="宋体" w:eastAsia="宋体" w:cs="宋体"/>
                <w:sz w:val="23"/>
                <w:szCs w:val="23"/>
                <w14:textOutline w14:w="4358" w14:cap="sq" w14:cmpd="sng">
                  <w14:solidFill>
                    <w14:srgbClr w14:val="000000"/>
                  </w14:solidFill>
                  <w14:prstDash w14:val="solid"/>
                  <w14:bevel/>
                </w14:textOutline>
              </w:rPr>
              <w:t>改说明</w:t>
            </w:r>
          </w:p>
        </w:tc>
      </w:tr>
      <w:tr w14:paraId="4B94BB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7" w:hRule="atLeast"/>
        </w:trPr>
        <w:tc>
          <w:tcPr>
            <w:tcW w:w="685" w:type="dxa"/>
            <w:tcBorders>
              <w:left w:val="nil"/>
              <w:right w:val="single" w:color="000000" w:sz="4" w:space="0"/>
            </w:tcBorders>
            <w:vAlign w:val="top"/>
          </w:tcPr>
          <w:p w14:paraId="4E424C74">
            <w:pPr>
              <w:spacing w:line="277" w:lineRule="auto"/>
              <w:rPr>
                <w:rFonts w:ascii="Arial"/>
                <w:sz w:val="21"/>
              </w:rPr>
            </w:pPr>
          </w:p>
          <w:p w14:paraId="4594547C">
            <w:pPr>
              <w:spacing w:line="277" w:lineRule="auto"/>
              <w:rPr>
                <w:rFonts w:ascii="Arial"/>
                <w:sz w:val="21"/>
              </w:rPr>
            </w:pPr>
          </w:p>
          <w:p w14:paraId="2658C051">
            <w:pPr>
              <w:spacing w:line="277" w:lineRule="auto"/>
              <w:rPr>
                <w:rFonts w:ascii="Arial"/>
                <w:sz w:val="21"/>
              </w:rPr>
            </w:pPr>
          </w:p>
          <w:p w14:paraId="1CDC7F3A">
            <w:pPr>
              <w:spacing w:before="66" w:line="195" w:lineRule="auto"/>
              <w:ind w:left="300"/>
              <w:rPr>
                <w:rFonts w:ascii="Times New Roman" w:hAnsi="Times New Roman" w:eastAsia="Times New Roman" w:cs="Times New Roman"/>
                <w:sz w:val="23"/>
                <w:szCs w:val="23"/>
              </w:rPr>
            </w:pPr>
            <w:r>
              <w:rPr>
                <w:rFonts w:ascii="Times New Roman" w:hAnsi="Times New Roman" w:eastAsia="Times New Roman" w:cs="Times New Roman"/>
                <w:b/>
                <w:bCs/>
                <w:sz w:val="23"/>
                <w:szCs w:val="23"/>
              </w:rPr>
              <w:t>1</w:t>
            </w:r>
          </w:p>
        </w:tc>
        <w:tc>
          <w:tcPr>
            <w:tcW w:w="4155" w:type="dxa"/>
            <w:tcBorders>
              <w:left w:val="single" w:color="000000" w:sz="4" w:space="0"/>
              <w:right w:val="single" w:color="000000" w:sz="4" w:space="0"/>
            </w:tcBorders>
            <w:vAlign w:val="top"/>
          </w:tcPr>
          <w:p w14:paraId="282A90C0">
            <w:pPr>
              <w:spacing w:before="294" w:line="311" w:lineRule="auto"/>
              <w:ind w:left="26" w:right="7"/>
              <w:rPr>
                <w:rFonts w:ascii="宋体" w:hAnsi="宋体" w:eastAsia="宋体" w:cs="宋体"/>
                <w:sz w:val="23"/>
                <w:szCs w:val="23"/>
              </w:rPr>
            </w:pPr>
            <w:r>
              <w:rPr>
                <w:rFonts w:ascii="宋体" w:hAnsi="宋体" w:eastAsia="宋体" w:cs="宋体"/>
                <w:spacing w:val="-2"/>
                <w:sz w:val="23"/>
                <w:szCs w:val="23"/>
              </w:rPr>
              <w:t>补充立项文件。明确项目</w:t>
            </w:r>
            <w:r>
              <w:rPr>
                <w:rFonts w:ascii="宋体" w:hAnsi="宋体" w:eastAsia="宋体" w:cs="宋体"/>
                <w:spacing w:val="-1"/>
                <w:sz w:val="23"/>
                <w:szCs w:val="23"/>
              </w:rPr>
              <w:t>用地性质，说明</w:t>
            </w:r>
            <w:r>
              <w:rPr>
                <w:rFonts w:ascii="宋体" w:hAnsi="宋体" w:eastAsia="宋体" w:cs="宋体"/>
                <w:sz w:val="23"/>
                <w:szCs w:val="23"/>
              </w:rPr>
              <w:t xml:space="preserve"> </w:t>
            </w:r>
            <w:r>
              <w:rPr>
                <w:rFonts w:ascii="宋体" w:hAnsi="宋体" w:eastAsia="宋体" w:cs="宋体"/>
                <w:spacing w:val="-2"/>
                <w:sz w:val="23"/>
                <w:szCs w:val="23"/>
              </w:rPr>
              <w:t>与项目所在区域的相关规划</w:t>
            </w:r>
            <w:r>
              <w:rPr>
                <w:rFonts w:ascii="宋体" w:hAnsi="宋体" w:eastAsia="宋体" w:cs="宋体"/>
                <w:spacing w:val="-1"/>
                <w:sz w:val="23"/>
                <w:szCs w:val="23"/>
              </w:rPr>
              <w:t>相符性。说明</w:t>
            </w:r>
            <w:r>
              <w:rPr>
                <w:rFonts w:ascii="宋体" w:hAnsi="宋体" w:eastAsia="宋体" w:cs="宋体"/>
                <w:sz w:val="23"/>
                <w:szCs w:val="23"/>
              </w:rPr>
              <w:t xml:space="preserve"> </w:t>
            </w:r>
            <w:r>
              <w:rPr>
                <w:rFonts w:ascii="宋体" w:hAnsi="宋体" w:eastAsia="宋体" w:cs="宋体"/>
                <w:spacing w:val="-2"/>
                <w:sz w:val="23"/>
                <w:szCs w:val="23"/>
              </w:rPr>
              <w:t>项目与辽宁省蓝天工程三年</w:t>
            </w:r>
            <w:r>
              <w:rPr>
                <w:rFonts w:ascii="宋体" w:hAnsi="宋体" w:eastAsia="宋体" w:cs="宋体"/>
                <w:spacing w:val="-1"/>
                <w:sz w:val="23"/>
                <w:szCs w:val="23"/>
              </w:rPr>
              <w:t>行动计划的符</w:t>
            </w:r>
            <w:r>
              <w:rPr>
                <w:rFonts w:ascii="宋体" w:hAnsi="宋体" w:eastAsia="宋体" w:cs="宋体"/>
                <w:sz w:val="23"/>
                <w:szCs w:val="23"/>
              </w:rPr>
              <w:t xml:space="preserve"> </w:t>
            </w:r>
            <w:r>
              <w:rPr>
                <w:rFonts w:ascii="宋体" w:hAnsi="宋体" w:eastAsia="宋体" w:cs="宋体"/>
                <w:spacing w:val="-1"/>
                <w:sz w:val="23"/>
                <w:szCs w:val="23"/>
              </w:rPr>
              <w:t>合性。</w:t>
            </w:r>
          </w:p>
        </w:tc>
        <w:tc>
          <w:tcPr>
            <w:tcW w:w="4952" w:type="dxa"/>
            <w:tcBorders>
              <w:left w:val="single" w:color="000000" w:sz="4" w:space="0"/>
              <w:right w:val="nil"/>
            </w:tcBorders>
            <w:vAlign w:val="top"/>
          </w:tcPr>
          <w:p w14:paraId="29894878">
            <w:pPr>
              <w:spacing w:before="100" w:line="227" w:lineRule="auto"/>
              <w:ind w:left="46"/>
              <w:rPr>
                <w:rFonts w:ascii="宋体" w:hAnsi="宋体" w:eastAsia="宋体" w:cs="宋体"/>
                <w:sz w:val="23"/>
                <w:szCs w:val="23"/>
              </w:rPr>
            </w:pPr>
            <w:r>
              <w:rPr>
                <w:rFonts w:ascii="宋体" w:hAnsi="宋体" w:eastAsia="宋体" w:cs="宋体"/>
                <w:spacing w:val="-6"/>
                <w:sz w:val="23"/>
                <w:szCs w:val="23"/>
              </w:rPr>
              <w:t>附</w:t>
            </w:r>
            <w:r>
              <w:rPr>
                <w:rFonts w:ascii="宋体" w:hAnsi="宋体" w:eastAsia="宋体" w:cs="宋体"/>
                <w:spacing w:val="-5"/>
                <w:sz w:val="23"/>
                <w:szCs w:val="23"/>
              </w:rPr>
              <w:t>件</w:t>
            </w:r>
            <w:r>
              <w:rPr>
                <w:rFonts w:ascii="宋体" w:hAnsi="宋体" w:eastAsia="宋体" w:cs="宋体"/>
                <w:spacing w:val="-3"/>
                <w:sz w:val="23"/>
                <w:szCs w:val="23"/>
              </w:rPr>
              <w:t xml:space="preserve"> </w:t>
            </w:r>
            <w:r>
              <w:rPr>
                <w:rFonts w:ascii="Times New Roman" w:hAnsi="Times New Roman" w:eastAsia="Times New Roman" w:cs="Times New Roman"/>
                <w:spacing w:val="-3"/>
                <w:sz w:val="23"/>
                <w:szCs w:val="23"/>
              </w:rPr>
              <w:t xml:space="preserve">4 </w:t>
            </w:r>
            <w:r>
              <w:rPr>
                <w:rFonts w:ascii="宋体" w:hAnsi="宋体" w:eastAsia="宋体" w:cs="宋体"/>
                <w:spacing w:val="-3"/>
                <w:sz w:val="23"/>
                <w:szCs w:val="23"/>
              </w:rPr>
              <w:t>补充了立项文件；</w:t>
            </w:r>
          </w:p>
          <w:p w14:paraId="7BFE0500">
            <w:pPr>
              <w:spacing w:before="100" w:line="304" w:lineRule="auto"/>
              <w:ind w:left="46" w:right="13" w:hanging="24"/>
              <w:rPr>
                <w:rFonts w:ascii="宋体" w:hAnsi="宋体" w:eastAsia="宋体" w:cs="宋体"/>
                <w:sz w:val="23"/>
                <w:szCs w:val="23"/>
              </w:rPr>
            </w:pPr>
            <w:r>
              <w:rPr>
                <w:rFonts w:ascii="Times New Roman" w:hAnsi="Times New Roman" w:eastAsia="Times New Roman" w:cs="Times New Roman"/>
                <w:sz w:val="23"/>
                <w:szCs w:val="23"/>
              </w:rPr>
              <w:t>P</w:t>
            </w:r>
            <w:r>
              <w:rPr>
                <w:rFonts w:ascii="Times New Roman" w:hAnsi="Times New Roman" w:eastAsia="Times New Roman" w:cs="Times New Roman"/>
                <w:spacing w:val="3"/>
                <w:sz w:val="23"/>
                <w:szCs w:val="23"/>
              </w:rPr>
              <w:t xml:space="preserve">13  </w:t>
            </w:r>
            <w:r>
              <w:rPr>
                <w:rFonts w:ascii="宋体" w:hAnsi="宋体" w:eastAsia="宋体" w:cs="宋体"/>
                <w:spacing w:val="3"/>
                <w:sz w:val="23"/>
                <w:szCs w:val="23"/>
              </w:rPr>
              <w:t>明确了项目用地性质，说明与项目所在区</w:t>
            </w:r>
            <w:r>
              <w:rPr>
                <w:rFonts w:ascii="宋体" w:hAnsi="宋体" w:eastAsia="宋体" w:cs="宋体"/>
                <w:spacing w:val="2"/>
                <w:sz w:val="23"/>
                <w:szCs w:val="23"/>
              </w:rPr>
              <w:t>域</w:t>
            </w:r>
            <w:r>
              <w:rPr>
                <w:rFonts w:ascii="宋体" w:hAnsi="宋体" w:eastAsia="宋体" w:cs="宋体"/>
                <w:sz w:val="23"/>
                <w:szCs w:val="23"/>
              </w:rPr>
              <w:t xml:space="preserve"> </w:t>
            </w:r>
            <w:r>
              <w:rPr>
                <w:rFonts w:ascii="宋体" w:hAnsi="宋体" w:eastAsia="宋体" w:cs="宋体"/>
                <w:spacing w:val="-6"/>
                <w:sz w:val="23"/>
                <w:szCs w:val="23"/>
              </w:rPr>
              <w:t>的相</w:t>
            </w:r>
            <w:r>
              <w:rPr>
                <w:rFonts w:ascii="宋体" w:hAnsi="宋体" w:eastAsia="宋体" w:cs="宋体"/>
                <w:spacing w:val="-4"/>
                <w:sz w:val="23"/>
                <w:szCs w:val="23"/>
              </w:rPr>
              <w:t>关</w:t>
            </w:r>
            <w:r>
              <w:rPr>
                <w:rFonts w:ascii="宋体" w:hAnsi="宋体" w:eastAsia="宋体" w:cs="宋体"/>
                <w:spacing w:val="-3"/>
                <w:sz w:val="23"/>
                <w:szCs w:val="23"/>
              </w:rPr>
              <w:t>规划相符性；</w:t>
            </w:r>
          </w:p>
          <w:p w14:paraId="0B993039">
            <w:pPr>
              <w:spacing w:before="2" w:line="266" w:lineRule="auto"/>
              <w:ind w:left="27" w:right="10" w:hanging="5"/>
              <w:rPr>
                <w:rFonts w:ascii="宋体" w:hAnsi="宋体" w:eastAsia="宋体" w:cs="宋体"/>
                <w:sz w:val="23"/>
                <w:szCs w:val="23"/>
              </w:rPr>
            </w:pPr>
            <w:r>
              <w:rPr>
                <w:rFonts w:ascii="Times New Roman" w:hAnsi="Times New Roman" w:eastAsia="Times New Roman" w:cs="Times New Roman"/>
                <w:sz w:val="23"/>
                <w:szCs w:val="23"/>
              </w:rPr>
              <w:t>P</w:t>
            </w:r>
            <w:r>
              <w:rPr>
                <w:rFonts w:ascii="Times New Roman" w:hAnsi="Times New Roman" w:eastAsia="Times New Roman" w:cs="Times New Roman"/>
                <w:spacing w:val="4"/>
                <w:sz w:val="23"/>
                <w:szCs w:val="23"/>
              </w:rPr>
              <w:t>14-</w:t>
            </w:r>
            <w:r>
              <w:rPr>
                <w:rFonts w:ascii="Times New Roman" w:hAnsi="Times New Roman" w:eastAsia="Times New Roman" w:cs="Times New Roman"/>
                <w:sz w:val="23"/>
                <w:szCs w:val="23"/>
              </w:rPr>
              <w:t>P</w:t>
            </w:r>
            <w:r>
              <w:rPr>
                <w:rFonts w:ascii="Times New Roman" w:hAnsi="Times New Roman" w:eastAsia="Times New Roman" w:cs="Times New Roman"/>
                <w:spacing w:val="4"/>
                <w:sz w:val="23"/>
                <w:szCs w:val="23"/>
              </w:rPr>
              <w:t xml:space="preserve">16  </w:t>
            </w:r>
            <w:r>
              <w:rPr>
                <w:rFonts w:ascii="宋体" w:hAnsi="宋体" w:eastAsia="宋体" w:cs="宋体"/>
                <w:spacing w:val="4"/>
                <w:sz w:val="23"/>
                <w:szCs w:val="23"/>
              </w:rPr>
              <w:t>说明了项目与辽宁省蓝天工程三年行</w:t>
            </w:r>
            <w:r>
              <w:rPr>
                <w:rFonts w:ascii="宋体" w:hAnsi="宋体" w:eastAsia="宋体" w:cs="宋体"/>
                <w:spacing w:val="3"/>
                <w:sz w:val="23"/>
                <w:szCs w:val="23"/>
              </w:rPr>
              <w:t>动</w:t>
            </w:r>
            <w:r>
              <w:rPr>
                <w:rFonts w:ascii="宋体" w:hAnsi="宋体" w:eastAsia="宋体" w:cs="宋体"/>
                <w:sz w:val="23"/>
                <w:szCs w:val="23"/>
              </w:rPr>
              <w:t xml:space="preserve"> </w:t>
            </w:r>
            <w:r>
              <w:rPr>
                <w:rFonts w:ascii="宋体" w:hAnsi="宋体" w:eastAsia="宋体" w:cs="宋体"/>
                <w:spacing w:val="-2"/>
                <w:sz w:val="23"/>
                <w:szCs w:val="23"/>
              </w:rPr>
              <w:t>计划的</w:t>
            </w:r>
            <w:r>
              <w:rPr>
                <w:rFonts w:ascii="宋体" w:hAnsi="宋体" w:eastAsia="宋体" w:cs="宋体"/>
                <w:spacing w:val="-1"/>
                <w:sz w:val="23"/>
                <w:szCs w:val="23"/>
              </w:rPr>
              <w:t>符合性。</w:t>
            </w:r>
          </w:p>
        </w:tc>
      </w:tr>
      <w:tr w14:paraId="11371D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685" w:type="dxa"/>
            <w:tcBorders>
              <w:left w:val="nil"/>
              <w:right w:val="single" w:color="000000" w:sz="4" w:space="0"/>
            </w:tcBorders>
            <w:vAlign w:val="top"/>
          </w:tcPr>
          <w:p w14:paraId="1B41E856">
            <w:pPr>
              <w:spacing w:line="450" w:lineRule="auto"/>
              <w:rPr>
                <w:rFonts w:ascii="Arial"/>
                <w:sz w:val="21"/>
              </w:rPr>
            </w:pPr>
          </w:p>
          <w:p w14:paraId="0363B90A">
            <w:pPr>
              <w:spacing w:before="66" w:line="195" w:lineRule="auto"/>
              <w:ind w:left="290"/>
              <w:rPr>
                <w:rFonts w:ascii="Times New Roman" w:hAnsi="Times New Roman" w:eastAsia="Times New Roman" w:cs="Times New Roman"/>
                <w:sz w:val="23"/>
                <w:szCs w:val="23"/>
              </w:rPr>
            </w:pPr>
            <w:r>
              <w:rPr>
                <w:rFonts w:ascii="Times New Roman" w:hAnsi="Times New Roman" w:eastAsia="Times New Roman" w:cs="Times New Roman"/>
                <w:b/>
                <w:bCs/>
                <w:sz w:val="23"/>
                <w:szCs w:val="23"/>
              </w:rPr>
              <w:t>2</w:t>
            </w:r>
          </w:p>
        </w:tc>
        <w:tc>
          <w:tcPr>
            <w:tcW w:w="4155" w:type="dxa"/>
            <w:tcBorders>
              <w:left w:val="single" w:color="000000" w:sz="4" w:space="0"/>
              <w:right w:val="single" w:color="000000" w:sz="4" w:space="0"/>
            </w:tcBorders>
            <w:vAlign w:val="top"/>
          </w:tcPr>
          <w:p w14:paraId="75E1AB5E">
            <w:pPr>
              <w:spacing w:before="100" w:line="279" w:lineRule="auto"/>
              <w:ind w:left="28" w:right="7"/>
              <w:rPr>
                <w:rFonts w:ascii="宋体" w:hAnsi="宋体" w:eastAsia="宋体" w:cs="宋体"/>
                <w:sz w:val="23"/>
                <w:szCs w:val="23"/>
              </w:rPr>
            </w:pPr>
            <w:r>
              <w:rPr>
                <w:rFonts w:ascii="宋体" w:hAnsi="宋体" w:eastAsia="宋体" w:cs="宋体"/>
                <w:spacing w:val="-2"/>
                <w:sz w:val="23"/>
                <w:szCs w:val="23"/>
              </w:rPr>
              <w:t>核实项目评价标准，补充挥发性</w:t>
            </w:r>
            <w:r>
              <w:rPr>
                <w:rFonts w:ascii="宋体" w:hAnsi="宋体" w:eastAsia="宋体" w:cs="宋体"/>
                <w:spacing w:val="-1"/>
                <w:sz w:val="23"/>
                <w:szCs w:val="23"/>
              </w:rPr>
              <w:t>有机物无</w:t>
            </w:r>
            <w:r>
              <w:rPr>
                <w:rFonts w:ascii="宋体" w:hAnsi="宋体" w:eastAsia="宋体" w:cs="宋体"/>
                <w:sz w:val="23"/>
                <w:szCs w:val="23"/>
              </w:rPr>
              <w:t xml:space="preserve"> </w:t>
            </w:r>
            <w:r>
              <w:rPr>
                <w:rFonts w:ascii="宋体" w:hAnsi="宋体" w:eastAsia="宋体" w:cs="宋体"/>
                <w:spacing w:val="-2"/>
                <w:sz w:val="23"/>
                <w:szCs w:val="23"/>
              </w:rPr>
              <w:t>组织排放标准。生物质锅炉应</w:t>
            </w:r>
            <w:r>
              <w:rPr>
                <w:rFonts w:ascii="宋体" w:hAnsi="宋体" w:eastAsia="宋体" w:cs="宋体"/>
                <w:spacing w:val="-1"/>
                <w:sz w:val="23"/>
                <w:szCs w:val="23"/>
              </w:rPr>
              <w:t>执行相应标</w:t>
            </w:r>
            <w:r>
              <w:rPr>
                <w:rFonts w:ascii="宋体" w:hAnsi="宋体" w:eastAsia="宋体" w:cs="宋体"/>
                <w:sz w:val="23"/>
                <w:szCs w:val="23"/>
              </w:rPr>
              <w:t xml:space="preserve"> </w:t>
            </w:r>
            <w:r>
              <w:rPr>
                <w:rFonts w:ascii="宋体" w:hAnsi="宋体" w:eastAsia="宋体" w:cs="宋体"/>
                <w:spacing w:val="-2"/>
                <w:sz w:val="23"/>
                <w:szCs w:val="23"/>
              </w:rPr>
              <w:t>准中的排放限</w:t>
            </w:r>
            <w:r>
              <w:rPr>
                <w:rFonts w:ascii="宋体" w:hAnsi="宋体" w:eastAsia="宋体" w:cs="宋体"/>
                <w:spacing w:val="-1"/>
                <w:sz w:val="23"/>
                <w:szCs w:val="23"/>
              </w:rPr>
              <w:t>值。</w:t>
            </w:r>
          </w:p>
        </w:tc>
        <w:tc>
          <w:tcPr>
            <w:tcW w:w="4952" w:type="dxa"/>
            <w:tcBorders>
              <w:left w:val="single" w:color="000000" w:sz="4" w:space="0"/>
              <w:right w:val="nil"/>
            </w:tcBorders>
            <w:vAlign w:val="top"/>
          </w:tcPr>
          <w:p w14:paraId="6094ECBF">
            <w:pPr>
              <w:spacing w:before="100" w:line="279" w:lineRule="auto"/>
              <w:ind w:left="28" w:right="10" w:firstLine="2"/>
              <w:rPr>
                <w:rFonts w:ascii="宋体" w:hAnsi="宋体" w:eastAsia="宋体" w:cs="宋体"/>
                <w:sz w:val="23"/>
                <w:szCs w:val="23"/>
              </w:rPr>
            </w:pPr>
            <w:r>
              <w:rPr>
                <w:rFonts w:ascii="宋体" w:hAnsi="宋体" w:eastAsia="宋体" w:cs="宋体"/>
                <w:spacing w:val="-6"/>
                <w:sz w:val="23"/>
                <w:szCs w:val="23"/>
              </w:rPr>
              <w:t>核实</w:t>
            </w:r>
            <w:r>
              <w:rPr>
                <w:rFonts w:ascii="宋体" w:hAnsi="宋体" w:eastAsia="宋体" w:cs="宋体"/>
                <w:spacing w:val="-4"/>
                <w:sz w:val="23"/>
                <w:szCs w:val="23"/>
              </w:rPr>
              <w:t>了</w:t>
            </w:r>
            <w:r>
              <w:rPr>
                <w:rFonts w:ascii="宋体" w:hAnsi="宋体" w:eastAsia="宋体" w:cs="宋体"/>
                <w:spacing w:val="-3"/>
                <w:sz w:val="23"/>
                <w:szCs w:val="23"/>
              </w:rPr>
              <w:t>项目评价标准，</w:t>
            </w:r>
            <w:r>
              <w:rPr>
                <w:rFonts w:ascii="Times New Roman" w:hAnsi="Times New Roman" w:eastAsia="Times New Roman" w:cs="Times New Roman"/>
                <w:spacing w:val="-3"/>
                <w:sz w:val="23"/>
                <w:szCs w:val="23"/>
              </w:rPr>
              <w:t xml:space="preserve">P28-P29 </w:t>
            </w:r>
            <w:r>
              <w:rPr>
                <w:rFonts w:ascii="宋体" w:hAnsi="宋体" w:eastAsia="宋体" w:cs="宋体"/>
                <w:spacing w:val="-3"/>
                <w:sz w:val="23"/>
                <w:szCs w:val="23"/>
              </w:rPr>
              <w:t>补充了挥发性有机</w:t>
            </w:r>
            <w:r>
              <w:rPr>
                <w:rFonts w:ascii="宋体" w:hAnsi="宋体" w:eastAsia="宋体" w:cs="宋体"/>
                <w:sz w:val="23"/>
                <w:szCs w:val="23"/>
              </w:rPr>
              <w:t xml:space="preserve"> </w:t>
            </w:r>
            <w:r>
              <w:rPr>
                <w:rFonts w:ascii="宋体" w:hAnsi="宋体" w:eastAsia="宋体" w:cs="宋体"/>
                <w:spacing w:val="-7"/>
                <w:sz w:val="23"/>
                <w:szCs w:val="23"/>
              </w:rPr>
              <w:t>物无组织排放标准，生物质锅炉应执行了相应标</w:t>
            </w:r>
            <w:r>
              <w:rPr>
                <w:rFonts w:ascii="宋体" w:hAnsi="宋体" w:eastAsia="宋体" w:cs="宋体"/>
                <w:spacing w:val="-5"/>
                <w:sz w:val="23"/>
                <w:szCs w:val="23"/>
              </w:rPr>
              <w:t>准</w:t>
            </w:r>
            <w:r>
              <w:rPr>
                <w:rFonts w:ascii="宋体" w:hAnsi="宋体" w:eastAsia="宋体" w:cs="宋体"/>
                <w:sz w:val="23"/>
                <w:szCs w:val="23"/>
              </w:rPr>
              <w:t xml:space="preserve"> </w:t>
            </w:r>
            <w:r>
              <w:rPr>
                <w:rFonts w:ascii="宋体" w:hAnsi="宋体" w:eastAsia="宋体" w:cs="宋体"/>
                <w:spacing w:val="-2"/>
                <w:sz w:val="23"/>
                <w:szCs w:val="23"/>
              </w:rPr>
              <w:t>中的排</w:t>
            </w:r>
            <w:r>
              <w:rPr>
                <w:rFonts w:ascii="宋体" w:hAnsi="宋体" w:eastAsia="宋体" w:cs="宋体"/>
                <w:spacing w:val="-1"/>
                <w:sz w:val="23"/>
                <w:szCs w:val="23"/>
              </w:rPr>
              <w:t>放限值。</w:t>
            </w:r>
          </w:p>
        </w:tc>
      </w:tr>
      <w:tr w14:paraId="5DB487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685" w:type="dxa"/>
            <w:tcBorders>
              <w:left w:val="nil"/>
              <w:right w:val="single" w:color="000000" w:sz="4" w:space="0"/>
            </w:tcBorders>
            <w:vAlign w:val="top"/>
          </w:tcPr>
          <w:p w14:paraId="62FBF283">
            <w:pPr>
              <w:spacing w:line="263" w:lineRule="auto"/>
              <w:rPr>
                <w:rFonts w:ascii="Arial"/>
                <w:sz w:val="21"/>
              </w:rPr>
            </w:pPr>
          </w:p>
          <w:p w14:paraId="2031C4B9">
            <w:pPr>
              <w:spacing w:before="66" w:line="194" w:lineRule="auto"/>
              <w:ind w:left="288"/>
              <w:rPr>
                <w:rFonts w:ascii="Times New Roman" w:hAnsi="Times New Roman" w:eastAsia="Times New Roman" w:cs="Times New Roman"/>
                <w:sz w:val="23"/>
                <w:szCs w:val="23"/>
              </w:rPr>
            </w:pPr>
            <w:r>
              <w:rPr>
                <w:rFonts w:ascii="Times New Roman" w:hAnsi="Times New Roman" w:eastAsia="Times New Roman" w:cs="Times New Roman"/>
                <w:b/>
                <w:bCs/>
                <w:spacing w:val="1"/>
                <w:sz w:val="23"/>
                <w:szCs w:val="23"/>
              </w:rPr>
              <w:t>3</w:t>
            </w:r>
          </w:p>
        </w:tc>
        <w:tc>
          <w:tcPr>
            <w:tcW w:w="4155" w:type="dxa"/>
            <w:tcBorders>
              <w:left w:val="single" w:color="000000" w:sz="4" w:space="0"/>
              <w:right w:val="single" w:color="000000" w:sz="4" w:space="0"/>
            </w:tcBorders>
            <w:vAlign w:val="top"/>
          </w:tcPr>
          <w:p w14:paraId="452E1BE9">
            <w:pPr>
              <w:spacing w:before="99" w:line="267" w:lineRule="auto"/>
              <w:ind w:left="26" w:right="7" w:firstLine="1"/>
              <w:rPr>
                <w:rFonts w:ascii="宋体" w:hAnsi="宋体" w:eastAsia="宋体" w:cs="宋体"/>
                <w:sz w:val="23"/>
                <w:szCs w:val="23"/>
              </w:rPr>
            </w:pPr>
            <w:r>
              <w:rPr>
                <w:rFonts w:ascii="宋体" w:hAnsi="宋体" w:eastAsia="宋体" w:cs="宋体"/>
                <w:spacing w:val="-2"/>
                <w:sz w:val="23"/>
                <w:szCs w:val="23"/>
              </w:rPr>
              <w:t>完善项目组成表，明确原料来</w:t>
            </w:r>
            <w:r>
              <w:rPr>
                <w:rFonts w:ascii="宋体" w:hAnsi="宋体" w:eastAsia="宋体" w:cs="宋体"/>
                <w:spacing w:val="-1"/>
                <w:sz w:val="23"/>
                <w:szCs w:val="23"/>
              </w:rPr>
              <w:t>源，原辅材</w:t>
            </w:r>
            <w:r>
              <w:rPr>
                <w:rFonts w:ascii="宋体" w:hAnsi="宋体" w:eastAsia="宋体" w:cs="宋体"/>
                <w:sz w:val="23"/>
                <w:szCs w:val="23"/>
              </w:rPr>
              <w:t xml:space="preserve"> </w:t>
            </w:r>
            <w:r>
              <w:rPr>
                <w:rFonts w:ascii="宋体" w:hAnsi="宋体" w:eastAsia="宋体" w:cs="宋体"/>
                <w:spacing w:val="-2"/>
                <w:sz w:val="23"/>
                <w:szCs w:val="23"/>
              </w:rPr>
              <w:t>料暂存方式及</w:t>
            </w:r>
            <w:r>
              <w:rPr>
                <w:rFonts w:ascii="宋体" w:hAnsi="宋体" w:eastAsia="宋体" w:cs="宋体"/>
                <w:spacing w:val="-1"/>
                <w:sz w:val="23"/>
                <w:szCs w:val="23"/>
              </w:rPr>
              <w:t>储存量。</w:t>
            </w:r>
          </w:p>
        </w:tc>
        <w:tc>
          <w:tcPr>
            <w:tcW w:w="4952" w:type="dxa"/>
            <w:tcBorders>
              <w:left w:val="single" w:color="000000" w:sz="4" w:space="0"/>
              <w:right w:val="nil"/>
            </w:tcBorders>
            <w:vAlign w:val="top"/>
          </w:tcPr>
          <w:p w14:paraId="3D362621">
            <w:pPr>
              <w:spacing w:before="101" w:line="266" w:lineRule="auto"/>
              <w:ind w:left="29" w:right="8" w:hanging="7"/>
              <w:rPr>
                <w:rFonts w:ascii="宋体" w:hAnsi="宋体" w:eastAsia="宋体" w:cs="宋体"/>
                <w:sz w:val="23"/>
                <w:szCs w:val="23"/>
              </w:rPr>
            </w:pPr>
            <w:r>
              <w:rPr>
                <w:rFonts w:ascii="Times New Roman" w:hAnsi="Times New Roman" w:eastAsia="Times New Roman" w:cs="Times New Roman"/>
                <w:spacing w:val="-3"/>
                <w:sz w:val="23"/>
                <w:szCs w:val="23"/>
              </w:rPr>
              <w:t>P42-</w:t>
            </w:r>
            <w:r>
              <w:rPr>
                <w:rFonts w:ascii="Times New Roman" w:hAnsi="Times New Roman" w:eastAsia="Times New Roman" w:cs="Times New Roman"/>
                <w:sz w:val="23"/>
                <w:szCs w:val="23"/>
              </w:rPr>
              <w:t>P</w:t>
            </w:r>
            <w:r>
              <w:rPr>
                <w:rFonts w:ascii="Times New Roman" w:hAnsi="Times New Roman" w:eastAsia="Times New Roman" w:cs="Times New Roman"/>
                <w:spacing w:val="-3"/>
                <w:sz w:val="23"/>
                <w:szCs w:val="23"/>
              </w:rPr>
              <w:t xml:space="preserve">44 </w:t>
            </w:r>
            <w:r>
              <w:rPr>
                <w:rFonts w:ascii="宋体" w:hAnsi="宋体" w:eastAsia="宋体" w:cs="宋体"/>
                <w:spacing w:val="-3"/>
                <w:sz w:val="23"/>
                <w:szCs w:val="23"/>
              </w:rPr>
              <w:t>完善了项目组成表，明确了原料来源、原</w:t>
            </w:r>
            <w:r>
              <w:rPr>
                <w:rFonts w:ascii="宋体" w:hAnsi="宋体" w:eastAsia="宋体" w:cs="宋体"/>
                <w:sz w:val="23"/>
                <w:szCs w:val="23"/>
              </w:rPr>
              <w:t xml:space="preserve"> </w:t>
            </w:r>
            <w:r>
              <w:rPr>
                <w:rFonts w:ascii="宋体" w:hAnsi="宋体" w:eastAsia="宋体" w:cs="宋体"/>
                <w:spacing w:val="-2"/>
                <w:sz w:val="23"/>
                <w:szCs w:val="23"/>
              </w:rPr>
              <w:t>辅材料暂存方式及储存</w:t>
            </w:r>
            <w:r>
              <w:rPr>
                <w:rFonts w:ascii="宋体" w:hAnsi="宋体" w:eastAsia="宋体" w:cs="宋体"/>
                <w:spacing w:val="-1"/>
                <w:sz w:val="23"/>
                <w:szCs w:val="23"/>
              </w:rPr>
              <w:t>量。</w:t>
            </w:r>
          </w:p>
        </w:tc>
      </w:tr>
      <w:tr w14:paraId="4EC86C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4" w:hRule="atLeast"/>
        </w:trPr>
        <w:tc>
          <w:tcPr>
            <w:tcW w:w="685" w:type="dxa"/>
            <w:tcBorders>
              <w:left w:val="nil"/>
              <w:right w:val="single" w:color="000000" w:sz="4" w:space="0"/>
            </w:tcBorders>
            <w:vAlign w:val="top"/>
          </w:tcPr>
          <w:p w14:paraId="08B7E124">
            <w:pPr>
              <w:spacing w:line="241" w:lineRule="auto"/>
              <w:rPr>
                <w:rFonts w:ascii="Arial"/>
                <w:sz w:val="21"/>
              </w:rPr>
            </w:pPr>
          </w:p>
          <w:p w14:paraId="29F906FB">
            <w:pPr>
              <w:spacing w:line="241" w:lineRule="auto"/>
              <w:rPr>
                <w:rFonts w:ascii="Arial"/>
                <w:sz w:val="21"/>
              </w:rPr>
            </w:pPr>
          </w:p>
          <w:p w14:paraId="371E59AC">
            <w:pPr>
              <w:spacing w:line="241" w:lineRule="auto"/>
              <w:rPr>
                <w:rFonts w:ascii="Arial"/>
                <w:sz w:val="21"/>
              </w:rPr>
            </w:pPr>
          </w:p>
          <w:p w14:paraId="3D5BD4AD">
            <w:pPr>
              <w:spacing w:line="242" w:lineRule="auto"/>
              <w:rPr>
                <w:rFonts w:ascii="Arial"/>
                <w:sz w:val="21"/>
              </w:rPr>
            </w:pPr>
          </w:p>
          <w:p w14:paraId="451ADD2D">
            <w:pPr>
              <w:spacing w:line="242" w:lineRule="auto"/>
              <w:rPr>
                <w:rFonts w:ascii="Arial"/>
                <w:sz w:val="21"/>
              </w:rPr>
            </w:pPr>
          </w:p>
          <w:p w14:paraId="724672EC">
            <w:pPr>
              <w:spacing w:before="66" w:line="195" w:lineRule="auto"/>
              <w:ind w:left="290"/>
              <w:rPr>
                <w:rFonts w:ascii="Times New Roman" w:hAnsi="Times New Roman" w:eastAsia="Times New Roman" w:cs="Times New Roman"/>
                <w:sz w:val="23"/>
                <w:szCs w:val="23"/>
              </w:rPr>
            </w:pPr>
            <w:r>
              <w:rPr>
                <w:rFonts w:ascii="Times New Roman" w:hAnsi="Times New Roman" w:eastAsia="Times New Roman" w:cs="Times New Roman"/>
                <w:b/>
                <w:bCs/>
                <w:sz w:val="23"/>
                <w:szCs w:val="23"/>
              </w:rPr>
              <w:t>4</w:t>
            </w:r>
          </w:p>
        </w:tc>
        <w:tc>
          <w:tcPr>
            <w:tcW w:w="4155" w:type="dxa"/>
            <w:tcBorders>
              <w:left w:val="single" w:color="000000" w:sz="4" w:space="0"/>
              <w:right w:val="single" w:color="000000" w:sz="4" w:space="0"/>
            </w:tcBorders>
            <w:vAlign w:val="top"/>
          </w:tcPr>
          <w:p w14:paraId="6965CD01">
            <w:pPr>
              <w:spacing w:before="290" w:line="309" w:lineRule="auto"/>
              <w:ind w:left="26" w:right="7" w:firstLine="2"/>
              <w:rPr>
                <w:rFonts w:ascii="宋体" w:hAnsi="宋体" w:eastAsia="宋体" w:cs="宋体"/>
                <w:sz w:val="23"/>
                <w:szCs w:val="23"/>
              </w:rPr>
            </w:pPr>
            <w:r>
              <w:rPr>
                <w:rFonts w:ascii="宋体" w:hAnsi="宋体" w:eastAsia="宋体" w:cs="宋体"/>
                <w:spacing w:val="-2"/>
                <w:sz w:val="23"/>
                <w:szCs w:val="23"/>
              </w:rPr>
              <w:t>核实项目工艺流程，细化工艺流</w:t>
            </w:r>
            <w:r>
              <w:rPr>
                <w:rFonts w:ascii="宋体" w:hAnsi="宋体" w:eastAsia="宋体" w:cs="宋体"/>
                <w:spacing w:val="-1"/>
                <w:sz w:val="23"/>
                <w:szCs w:val="23"/>
              </w:rPr>
              <w:t>程及排污</w:t>
            </w:r>
            <w:r>
              <w:rPr>
                <w:rFonts w:ascii="宋体" w:hAnsi="宋体" w:eastAsia="宋体" w:cs="宋体"/>
                <w:sz w:val="23"/>
                <w:szCs w:val="23"/>
              </w:rPr>
              <w:t xml:space="preserve"> </w:t>
            </w:r>
            <w:r>
              <w:rPr>
                <w:rFonts w:ascii="宋体" w:hAnsi="宋体" w:eastAsia="宋体" w:cs="宋体"/>
                <w:spacing w:val="-2"/>
                <w:sz w:val="23"/>
                <w:szCs w:val="23"/>
              </w:rPr>
              <w:t>节点图，说明各排污节点</w:t>
            </w:r>
            <w:r>
              <w:rPr>
                <w:rFonts w:ascii="宋体" w:hAnsi="宋体" w:eastAsia="宋体" w:cs="宋体"/>
                <w:spacing w:val="-1"/>
                <w:sz w:val="23"/>
                <w:szCs w:val="23"/>
              </w:rPr>
              <w:t>废气、废水产生</w:t>
            </w:r>
            <w:r>
              <w:rPr>
                <w:rFonts w:ascii="宋体" w:hAnsi="宋体" w:eastAsia="宋体" w:cs="宋体"/>
                <w:sz w:val="23"/>
                <w:szCs w:val="23"/>
              </w:rPr>
              <w:t xml:space="preserve"> </w:t>
            </w:r>
            <w:r>
              <w:rPr>
                <w:rFonts w:ascii="宋体" w:hAnsi="宋体" w:eastAsia="宋体" w:cs="宋体"/>
                <w:spacing w:val="-2"/>
                <w:sz w:val="23"/>
                <w:szCs w:val="23"/>
              </w:rPr>
              <w:t>情况，给出各节点废水产</w:t>
            </w:r>
            <w:r>
              <w:rPr>
                <w:rFonts w:ascii="宋体" w:hAnsi="宋体" w:eastAsia="宋体" w:cs="宋体"/>
                <w:spacing w:val="-1"/>
                <w:sz w:val="23"/>
                <w:szCs w:val="23"/>
              </w:rPr>
              <w:t>生量及污染物产</w:t>
            </w:r>
            <w:r>
              <w:rPr>
                <w:rFonts w:ascii="宋体" w:hAnsi="宋体" w:eastAsia="宋体" w:cs="宋体"/>
                <w:sz w:val="23"/>
                <w:szCs w:val="23"/>
              </w:rPr>
              <w:t xml:space="preserve"> </w:t>
            </w:r>
            <w:r>
              <w:rPr>
                <w:rFonts w:ascii="宋体" w:hAnsi="宋体" w:eastAsia="宋体" w:cs="宋体"/>
                <w:spacing w:val="-2"/>
                <w:sz w:val="23"/>
                <w:szCs w:val="23"/>
              </w:rPr>
              <w:t>生浓度。结合排污许可要</w:t>
            </w:r>
            <w:r>
              <w:rPr>
                <w:rFonts w:ascii="宋体" w:hAnsi="宋体" w:eastAsia="宋体" w:cs="宋体"/>
                <w:spacing w:val="-1"/>
                <w:sz w:val="23"/>
                <w:szCs w:val="23"/>
              </w:rPr>
              <w:t>求，核实项目污</w:t>
            </w:r>
            <w:r>
              <w:rPr>
                <w:rFonts w:ascii="宋体" w:hAnsi="宋体" w:eastAsia="宋体" w:cs="宋体"/>
                <w:sz w:val="23"/>
                <w:szCs w:val="23"/>
              </w:rPr>
              <w:t xml:space="preserve"> </w:t>
            </w:r>
            <w:r>
              <w:rPr>
                <w:rFonts w:ascii="宋体" w:hAnsi="宋体" w:eastAsia="宋体" w:cs="宋体"/>
                <w:spacing w:val="-2"/>
                <w:sz w:val="23"/>
                <w:szCs w:val="23"/>
              </w:rPr>
              <w:t>染物排放情况。并进行达</w:t>
            </w:r>
            <w:r>
              <w:rPr>
                <w:rFonts w:ascii="宋体" w:hAnsi="宋体" w:eastAsia="宋体" w:cs="宋体"/>
                <w:spacing w:val="-1"/>
                <w:sz w:val="23"/>
                <w:szCs w:val="23"/>
              </w:rPr>
              <w:t>标分析，明确排</w:t>
            </w:r>
            <w:r>
              <w:rPr>
                <w:rFonts w:ascii="宋体" w:hAnsi="宋体" w:eastAsia="宋体" w:cs="宋体"/>
                <w:sz w:val="23"/>
                <w:szCs w:val="23"/>
              </w:rPr>
              <w:t xml:space="preserve"> </w:t>
            </w:r>
            <w:r>
              <w:rPr>
                <w:rFonts w:ascii="宋体" w:hAnsi="宋体" w:eastAsia="宋体" w:cs="宋体"/>
                <w:spacing w:val="-2"/>
                <w:sz w:val="23"/>
                <w:szCs w:val="23"/>
              </w:rPr>
              <w:t>气筒个数及排气筒排放废气的执</w:t>
            </w:r>
            <w:r>
              <w:rPr>
                <w:rFonts w:ascii="宋体" w:hAnsi="宋体" w:eastAsia="宋体" w:cs="宋体"/>
                <w:spacing w:val="-1"/>
                <w:sz w:val="23"/>
                <w:szCs w:val="23"/>
              </w:rPr>
              <w:t>行标准。</w:t>
            </w:r>
          </w:p>
        </w:tc>
        <w:tc>
          <w:tcPr>
            <w:tcW w:w="4952" w:type="dxa"/>
            <w:tcBorders>
              <w:left w:val="single" w:color="000000" w:sz="4" w:space="0"/>
              <w:right w:val="nil"/>
            </w:tcBorders>
            <w:vAlign w:val="top"/>
          </w:tcPr>
          <w:p w14:paraId="608030A2">
            <w:pPr>
              <w:spacing w:before="101" w:line="305" w:lineRule="auto"/>
              <w:ind w:left="27" w:right="10" w:hanging="5"/>
              <w:rPr>
                <w:rFonts w:ascii="宋体" w:hAnsi="宋体" w:eastAsia="宋体" w:cs="宋体"/>
                <w:sz w:val="23"/>
                <w:szCs w:val="23"/>
              </w:rPr>
            </w:pPr>
            <w:r>
              <w:rPr>
                <w:rFonts w:ascii="Times New Roman" w:hAnsi="Times New Roman" w:eastAsia="Times New Roman" w:cs="Times New Roman"/>
                <w:spacing w:val="-3"/>
                <w:sz w:val="23"/>
                <w:szCs w:val="23"/>
              </w:rPr>
              <w:t>P55-</w:t>
            </w:r>
            <w:r>
              <w:rPr>
                <w:rFonts w:ascii="Times New Roman" w:hAnsi="Times New Roman" w:eastAsia="Times New Roman" w:cs="Times New Roman"/>
                <w:spacing w:val="-2"/>
                <w:sz w:val="23"/>
                <w:szCs w:val="23"/>
              </w:rPr>
              <w:t>P</w:t>
            </w:r>
            <w:r>
              <w:rPr>
                <w:rFonts w:ascii="Times New Roman" w:hAnsi="Times New Roman" w:eastAsia="Times New Roman" w:cs="Times New Roman"/>
                <w:spacing w:val="-3"/>
                <w:sz w:val="23"/>
                <w:szCs w:val="23"/>
              </w:rPr>
              <w:t xml:space="preserve">58 </w:t>
            </w:r>
            <w:r>
              <w:rPr>
                <w:rFonts w:ascii="宋体" w:hAnsi="宋体" w:eastAsia="宋体" w:cs="宋体"/>
                <w:spacing w:val="-3"/>
                <w:sz w:val="23"/>
                <w:szCs w:val="23"/>
              </w:rPr>
              <w:t>核实了项目工艺流程，细化了工艺流程及</w:t>
            </w:r>
            <w:r>
              <w:rPr>
                <w:rFonts w:ascii="宋体" w:hAnsi="宋体" w:eastAsia="宋体" w:cs="宋体"/>
                <w:sz w:val="23"/>
                <w:szCs w:val="23"/>
              </w:rPr>
              <w:t xml:space="preserve"> </w:t>
            </w:r>
            <w:r>
              <w:rPr>
                <w:rFonts w:ascii="宋体" w:hAnsi="宋体" w:eastAsia="宋体" w:cs="宋体"/>
                <w:spacing w:val="-2"/>
                <w:sz w:val="23"/>
                <w:szCs w:val="23"/>
              </w:rPr>
              <w:t>排污</w:t>
            </w:r>
            <w:r>
              <w:rPr>
                <w:rFonts w:ascii="宋体" w:hAnsi="宋体" w:eastAsia="宋体" w:cs="宋体"/>
                <w:spacing w:val="-1"/>
                <w:sz w:val="23"/>
                <w:szCs w:val="23"/>
              </w:rPr>
              <w:t>节点图；</w:t>
            </w:r>
          </w:p>
          <w:p w14:paraId="551B5E92">
            <w:pPr>
              <w:spacing w:before="2" w:line="289" w:lineRule="auto"/>
              <w:ind w:left="25" w:right="10" w:hanging="3"/>
              <w:rPr>
                <w:rFonts w:ascii="宋体" w:hAnsi="宋体" w:eastAsia="宋体" w:cs="宋体"/>
                <w:sz w:val="23"/>
                <w:szCs w:val="23"/>
              </w:rPr>
            </w:pPr>
            <w:r>
              <w:rPr>
                <w:rFonts w:ascii="Times New Roman" w:hAnsi="Times New Roman" w:eastAsia="Times New Roman" w:cs="Times New Roman"/>
                <w:spacing w:val="-3"/>
                <w:sz w:val="23"/>
                <w:szCs w:val="23"/>
              </w:rPr>
              <w:t>P60-</w:t>
            </w:r>
            <w:r>
              <w:rPr>
                <w:rFonts w:ascii="Times New Roman" w:hAnsi="Times New Roman" w:eastAsia="Times New Roman" w:cs="Times New Roman"/>
                <w:spacing w:val="-2"/>
                <w:sz w:val="23"/>
                <w:szCs w:val="23"/>
              </w:rPr>
              <w:t>P</w:t>
            </w:r>
            <w:r>
              <w:rPr>
                <w:rFonts w:ascii="Times New Roman" w:hAnsi="Times New Roman" w:eastAsia="Times New Roman" w:cs="Times New Roman"/>
                <w:spacing w:val="-3"/>
                <w:sz w:val="23"/>
                <w:szCs w:val="23"/>
              </w:rPr>
              <w:t xml:space="preserve">68 </w:t>
            </w:r>
            <w:r>
              <w:rPr>
                <w:rFonts w:ascii="宋体" w:hAnsi="宋体" w:eastAsia="宋体" w:cs="宋体"/>
                <w:spacing w:val="-3"/>
                <w:sz w:val="23"/>
                <w:szCs w:val="23"/>
              </w:rPr>
              <w:t>说明了各排污节点废气、废水产生情况，</w:t>
            </w:r>
            <w:r>
              <w:rPr>
                <w:rFonts w:ascii="宋体" w:hAnsi="宋体" w:eastAsia="宋体" w:cs="宋体"/>
                <w:sz w:val="23"/>
                <w:szCs w:val="23"/>
              </w:rPr>
              <w:t xml:space="preserve"> </w:t>
            </w:r>
            <w:r>
              <w:rPr>
                <w:rFonts w:ascii="宋体" w:hAnsi="宋体" w:eastAsia="宋体" w:cs="宋体"/>
                <w:spacing w:val="-7"/>
                <w:sz w:val="23"/>
                <w:szCs w:val="23"/>
              </w:rPr>
              <w:t>给出了各节点废水产生量及污染物产生浓度。结</w:t>
            </w:r>
            <w:r>
              <w:rPr>
                <w:rFonts w:ascii="宋体" w:hAnsi="宋体" w:eastAsia="宋体" w:cs="宋体"/>
                <w:spacing w:val="-3"/>
                <w:sz w:val="23"/>
                <w:szCs w:val="23"/>
              </w:rPr>
              <w:t>合</w:t>
            </w:r>
            <w:r>
              <w:rPr>
                <w:rFonts w:ascii="宋体" w:hAnsi="宋体" w:eastAsia="宋体" w:cs="宋体"/>
                <w:sz w:val="23"/>
                <w:szCs w:val="23"/>
              </w:rPr>
              <w:t xml:space="preserve"> </w:t>
            </w:r>
            <w:r>
              <w:rPr>
                <w:rFonts w:ascii="宋体" w:hAnsi="宋体" w:eastAsia="宋体" w:cs="宋体"/>
                <w:spacing w:val="-7"/>
                <w:sz w:val="23"/>
                <w:szCs w:val="23"/>
              </w:rPr>
              <w:t>了排污许可要求，核实了项目污染物排放情况。</w:t>
            </w:r>
            <w:r>
              <w:rPr>
                <w:rFonts w:ascii="宋体" w:hAnsi="宋体" w:eastAsia="宋体" w:cs="宋体"/>
                <w:spacing w:val="-3"/>
                <w:sz w:val="23"/>
                <w:szCs w:val="23"/>
              </w:rPr>
              <w:t>并</w:t>
            </w:r>
            <w:r>
              <w:rPr>
                <w:rFonts w:ascii="宋体" w:hAnsi="宋体" w:eastAsia="宋体" w:cs="宋体"/>
                <w:sz w:val="23"/>
                <w:szCs w:val="23"/>
              </w:rPr>
              <w:t xml:space="preserve"> </w:t>
            </w:r>
            <w:r>
              <w:rPr>
                <w:rFonts w:ascii="宋体" w:hAnsi="宋体" w:eastAsia="宋体" w:cs="宋体"/>
                <w:spacing w:val="-7"/>
                <w:sz w:val="23"/>
                <w:szCs w:val="23"/>
              </w:rPr>
              <w:t>进行了达标分析，明确了排气筒个数及排气筒排</w:t>
            </w:r>
            <w:r>
              <w:rPr>
                <w:rFonts w:ascii="宋体" w:hAnsi="宋体" w:eastAsia="宋体" w:cs="宋体"/>
                <w:spacing w:val="-3"/>
                <w:sz w:val="23"/>
                <w:szCs w:val="23"/>
              </w:rPr>
              <w:t>放</w:t>
            </w:r>
            <w:r>
              <w:rPr>
                <w:rFonts w:ascii="宋体" w:hAnsi="宋体" w:eastAsia="宋体" w:cs="宋体"/>
                <w:sz w:val="23"/>
                <w:szCs w:val="23"/>
              </w:rPr>
              <w:t xml:space="preserve"> </w:t>
            </w:r>
            <w:r>
              <w:rPr>
                <w:rFonts w:ascii="宋体" w:hAnsi="宋体" w:eastAsia="宋体" w:cs="宋体"/>
                <w:spacing w:val="-2"/>
                <w:sz w:val="23"/>
                <w:szCs w:val="23"/>
              </w:rPr>
              <w:t>废气</w:t>
            </w:r>
            <w:r>
              <w:rPr>
                <w:rFonts w:ascii="宋体" w:hAnsi="宋体" w:eastAsia="宋体" w:cs="宋体"/>
                <w:spacing w:val="-1"/>
                <w:sz w:val="23"/>
                <w:szCs w:val="23"/>
              </w:rPr>
              <w:t>的执行标准。</w:t>
            </w:r>
          </w:p>
        </w:tc>
      </w:tr>
      <w:tr w14:paraId="57C6F8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4" w:hRule="atLeast"/>
        </w:trPr>
        <w:tc>
          <w:tcPr>
            <w:tcW w:w="685" w:type="dxa"/>
            <w:tcBorders>
              <w:left w:val="nil"/>
              <w:right w:val="single" w:color="000000" w:sz="4" w:space="0"/>
            </w:tcBorders>
            <w:vAlign w:val="top"/>
          </w:tcPr>
          <w:p w14:paraId="66D6A6D3">
            <w:pPr>
              <w:spacing w:line="323" w:lineRule="auto"/>
              <w:rPr>
                <w:rFonts w:ascii="Arial"/>
                <w:sz w:val="21"/>
              </w:rPr>
            </w:pPr>
          </w:p>
          <w:p w14:paraId="75B6326A">
            <w:pPr>
              <w:spacing w:line="323" w:lineRule="auto"/>
              <w:rPr>
                <w:rFonts w:ascii="Arial"/>
                <w:sz w:val="21"/>
              </w:rPr>
            </w:pPr>
          </w:p>
          <w:p w14:paraId="3AC59871">
            <w:pPr>
              <w:spacing w:before="66" w:line="191" w:lineRule="auto"/>
              <w:ind w:left="292"/>
              <w:rPr>
                <w:rFonts w:ascii="Times New Roman" w:hAnsi="Times New Roman" w:eastAsia="Times New Roman" w:cs="Times New Roman"/>
                <w:sz w:val="23"/>
                <w:szCs w:val="23"/>
              </w:rPr>
            </w:pPr>
            <w:r>
              <w:rPr>
                <w:rFonts w:ascii="Times New Roman" w:hAnsi="Times New Roman" w:eastAsia="Times New Roman" w:cs="Times New Roman"/>
                <w:b/>
                <w:bCs/>
                <w:sz w:val="23"/>
                <w:szCs w:val="23"/>
              </w:rPr>
              <w:t>5</w:t>
            </w:r>
          </w:p>
        </w:tc>
        <w:tc>
          <w:tcPr>
            <w:tcW w:w="4155" w:type="dxa"/>
            <w:tcBorders>
              <w:left w:val="single" w:color="000000" w:sz="4" w:space="0"/>
              <w:right w:val="single" w:color="000000" w:sz="4" w:space="0"/>
            </w:tcBorders>
            <w:vAlign w:val="top"/>
          </w:tcPr>
          <w:p w14:paraId="5C372120">
            <w:pPr>
              <w:spacing w:before="103" w:line="285" w:lineRule="auto"/>
              <w:ind w:left="26" w:right="7" w:firstLine="3"/>
              <w:rPr>
                <w:rFonts w:ascii="宋体" w:hAnsi="宋体" w:eastAsia="宋体" w:cs="宋体"/>
                <w:sz w:val="23"/>
                <w:szCs w:val="23"/>
              </w:rPr>
            </w:pPr>
            <w:r>
              <w:rPr>
                <w:rFonts w:ascii="宋体" w:hAnsi="宋体" w:eastAsia="宋体" w:cs="宋体"/>
                <w:spacing w:val="-2"/>
                <w:sz w:val="23"/>
                <w:szCs w:val="23"/>
              </w:rPr>
              <w:t>项目设置废水处置设施，废水处理后</w:t>
            </w:r>
            <w:r>
              <w:rPr>
                <w:rFonts w:ascii="宋体" w:hAnsi="宋体" w:eastAsia="宋体" w:cs="宋体"/>
                <w:spacing w:val="-1"/>
                <w:sz w:val="23"/>
                <w:szCs w:val="23"/>
              </w:rPr>
              <w:t>应</w:t>
            </w:r>
            <w:r>
              <w:rPr>
                <w:rFonts w:ascii="宋体" w:hAnsi="宋体" w:eastAsia="宋体" w:cs="宋体"/>
                <w:sz w:val="23"/>
                <w:szCs w:val="23"/>
              </w:rPr>
              <w:t xml:space="preserve">回 </w:t>
            </w:r>
            <w:r>
              <w:rPr>
                <w:rFonts w:ascii="宋体" w:hAnsi="宋体" w:eastAsia="宋体" w:cs="宋体"/>
                <w:spacing w:val="-2"/>
                <w:sz w:val="23"/>
                <w:szCs w:val="23"/>
              </w:rPr>
              <w:t>用。补充废水处理工艺流</w:t>
            </w:r>
            <w:r>
              <w:rPr>
                <w:rFonts w:ascii="宋体" w:hAnsi="宋体" w:eastAsia="宋体" w:cs="宋体"/>
                <w:spacing w:val="-1"/>
                <w:sz w:val="23"/>
                <w:szCs w:val="23"/>
              </w:rPr>
              <w:t>程，明确废水排</w:t>
            </w:r>
            <w:r>
              <w:rPr>
                <w:rFonts w:ascii="宋体" w:hAnsi="宋体" w:eastAsia="宋体" w:cs="宋体"/>
                <w:sz w:val="23"/>
                <w:szCs w:val="23"/>
              </w:rPr>
              <w:t xml:space="preserve"> </w:t>
            </w:r>
            <w:r>
              <w:rPr>
                <w:rFonts w:ascii="宋体" w:hAnsi="宋体" w:eastAsia="宋体" w:cs="宋体"/>
                <w:spacing w:val="-2"/>
                <w:sz w:val="23"/>
                <w:szCs w:val="23"/>
              </w:rPr>
              <w:t>放去向及排放执行标准。</w:t>
            </w:r>
            <w:r>
              <w:rPr>
                <w:rFonts w:ascii="宋体" w:hAnsi="宋体" w:eastAsia="宋体" w:cs="宋体"/>
                <w:spacing w:val="-1"/>
                <w:sz w:val="23"/>
                <w:szCs w:val="23"/>
              </w:rPr>
              <w:t>进一步分析依托</w:t>
            </w:r>
            <w:r>
              <w:rPr>
                <w:rFonts w:ascii="宋体" w:hAnsi="宋体" w:eastAsia="宋体" w:cs="宋体"/>
                <w:sz w:val="23"/>
                <w:szCs w:val="23"/>
              </w:rPr>
              <w:t xml:space="preserve"> </w:t>
            </w:r>
            <w:r>
              <w:rPr>
                <w:rFonts w:ascii="宋体" w:hAnsi="宋体" w:eastAsia="宋体" w:cs="宋体"/>
                <w:spacing w:val="-2"/>
                <w:sz w:val="23"/>
                <w:szCs w:val="23"/>
              </w:rPr>
              <w:t>污水处理厂的</w:t>
            </w:r>
            <w:r>
              <w:rPr>
                <w:rFonts w:ascii="宋体" w:hAnsi="宋体" w:eastAsia="宋体" w:cs="宋体"/>
                <w:spacing w:val="-1"/>
                <w:sz w:val="23"/>
                <w:szCs w:val="23"/>
              </w:rPr>
              <w:t>可行性。</w:t>
            </w:r>
          </w:p>
        </w:tc>
        <w:tc>
          <w:tcPr>
            <w:tcW w:w="4952" w:type="dxa"/>
            <w:tcBorders>
              <w:left w:val="single" w:color="000000" w:sz="4" w:space="0"/>
              <w:right w:val="nil"/>
            </w:tcBorders>
            <w:vAlign w:val="top"/>
          </w:tcPr>
          <w:p w14:paraId="758E85DF">
            <w:pPr>
              <w:spacing w:before="293" w:line="313" w:lineRule="auto"/>
              <w:ind w:left="27" w:right="8" w:hanging="5"/>
              <w:rPr>
                <w:rFonts w:ascii="宋体" w:hAnsi="宋体" w:eastAsia="宋体" w:cs="宋体"/>
                <w:sz w:val="23"/>
                <w:szCs w:val="23"/>
              </w:rPr>
            </w:pPr>
            <w:r>
              <w:rPr>
                <w:rFonts w:ascii="Times New Roman" w:hAnsi="Times New Roman" w:eastAsia="Times New Roman" w:cs="Times New Roman"/>
                <w:spacing w:val="-2"/>
                <w:sz w:val="23"/>
                <w:szCs w:val="23"/>
              </w:rPr>
              <w:t>P</w:t>
            </w:r>
            <w:r>
              <w:rPr>
                <w:rFonts w:ascii="Times New Roman" w:hAnsi="Times New Roman" w:eastAsia="Times New Roman" w:cs="Times New Roman"/>
                <w:spacing w:val="-4"/>
                <w:sz w:val="23"/>
                <w:szCs w:val="23"/>
              </w:rPr>
              <w:t>113-</w:t>
            </w:r>
            <w:r>
              <w:rPr>
                <w:rFonts w:ascii="Times New Roman" w:hAnsi="Times New Roman" w:eastAsia="Times New Roman" w:cs="Times New Roman"/>
                <w:spacing w:val="-2"/>
                <w:sz w:val="23"/>
                <w:szCs w:val="23"/>
              </w:rPr>
              <w:t>P</w:t>
            </w:r>
            <w:r>
              <w:rPr>
                <w:rFonts w:ascii="Times New Roman" w:hAnsi="Times New Roman" w:eastAsia="Times New Roman" w:cs="Times New Roman"/>
                <w:spacing w:val="-4"/>
                <w:sz w:val="23"/>
                <w:szCs w:val="23"/>
              </w:rPr>
              <w:t xml:space="preserve">114 </w:t>
            </w:r>
            <w:r>
              <w:rPr>
                <w:rFonts w:ascii="宋体" w:hAnsi="宋体" w:eastAsia="宋体" w:cs="宋体"/>
                <w:spacing w:val="-4"/>
                <w:sz w:val="23"/>
                <w:szCs w:val="23"/>
              </w:rPr>
              <w:t>补充</w:t>
            </w:r>
            <w:r>
              <w:rPr>
                <w:rFonts w:ascii="宋体" w:hAnsi="宋体" w:eastAsia="宋体" w:cs="宋体"/>
                <w:spacing w:val="-3"/>
                <w:sz w:val="23"/>
                <w:szCs w:val="23"/>
              </w:rPr>
              <w:t>了</w:t>
            </w:r>
            <w:r>
              <w:rPr>
                <w:rFonts w:ascii="宋体" w:hAnsi="宋体" w:eastAsia="宋体" w:cs="宋体"/>
                <w:spacing w:val="-2"/>
                <w:sz w:val="23"/>
                <w:szCs w:val="23"/>
              </w:rPr>
              <w:t>废水处理工艺流程，明确了废水</w:t>
            </w:r>
            <w:r>
              <w:rPr>
                <w:rFonts w:ascii="宋体" w:hAnsi="宋体" w:eastAsia="宋体" w:cs="宋体"/>
                <w:sz w:val="23"/>
                <w:szCs w:val="23"/>
              </w:rPr>
              <w:t xml:space="preserve"> </w:t>
            </w:r>
            <w:r>
              <w:rPr>
                <w:rFonts w:ascii="宋体" w:hAnsi="宋体" w:eastAsia="宋体" w:cs="宋体"/>
                <w:spacing w:val="-7"/>
                <w:sz w:val="23"/>
                <w:szCs w:val="23"/>
              </w:rPr>
              <w:t>排放去向及排放执行标准。进一步分析了依托污</w:t>
            </w:r>
            <w:r>
              <w:rPr>
                <w:rFonts w:ascii="宋体" w:hAnsi="宋体" w:eastAsia="宋体" w:cs="宋体"/>
                <w:spacing w:val="-5"/>
                <w:sz w:val="23"/>
                <w:szCs w:val="23"/>
              </w:rPr>
              <w:t>水</w:t>
            </w:r>
            <w:r>
              <w:rPr>
                <w:rFonts w:ascii="宋体" w:hAnsi="宋体" w:eastAsia="宋体" w:cs="宋体"/>
                <w:sz w:val="23"/>
                <w:szCs w:val="23"/>
              </w:rPr>
              <w:t xml:space="preserve"> </w:t>
            </w:r>
            <w:r>
              <w:rPr>
                <w:rFonts w:ascii="宋体" w:hAnsi="宋体" w:eastAsia="宋体" w:cs="宋体"/>
                <w:spacing w:val="-2"/>
                <w:sz w:val="23"/>
                <w:szCs w:val="23"/>
              </w:rPr>
              <w:t>处理厂的</w:t>
            </w:r>
            <w:r>
              <w:rPr>
                <w:rFonts w:ascii="宋体" w:hAnsi="宋体" w:eastAsia="宋体" w:cs="宋体"/>
                <w:spacing w:val="-1"/>
                <w:sz w:val="23"/>
                <w:szCs w:val="23"/>
              </w:rPr>
              <w:t>可行性。</w:t>
            </w:r>
          </w:p>
        </w:tc>
      </w:tr>
      <w:tr w14:paraId="46135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685" w:type="dxa"/>
            <w:tcBorders>
              <w:left w:val="nil"/>
              <w:right w:val="single" w:color="000000" w:sz="4" w:space="0"/>
            </w:tcBorders>
            <w:vAlign w:val="top"/>
          </w:tcPr>
          <w:p w14:paraId="1F82E4AE">
            <w:pPr>
              <w:spacing w:line="453" w:lineRule="auto"/>
              <w:rPr>
                <w:rFonts w:ascii="Arial"/>
                <w:sz w:val="21"/>
              </w:rPr>
            </w:pPr>
          </w:p>
          <w:p w14:paraId="3F88A6D2">
            <w:pPr>
              <w:spacing w:before="66" w:line="195" w:lineRule="auto"/>
              <w:ind w:left="293"/>
              <w:rPr>
                <w:rFonts w:ascii="Times New Roman" w:hAnsi="Times New Roman" w:eastAsia="Times New Roman" w:cs="Times New Roman"/>
                <w:sz w:val="23"/>
                <w:szCs w:val="23"/>
              </w:rPr>
            </w:pPr>
            <w:r>
              <w:rPr>
                <w:rFonts w:ascii="Times New Roman" w:hAnsi="Times New Roman" w:eastAsia="Times New Roman" w:cs="Times New Roman"/>
                <w:b/>
                <w:bCs/>
                <w:sz w:val="23"/>
                <w:szCs w:val="23"/>
              </w:rPr>
              <w:t>6</w:t>
            </w:r>
          </w:p>
        </w:tc>
        <w:tc>
          <w:tcPr>
            <w:tcW w:w="4155" w:type="dxa"/>
            <w:tcBorders>
              <w:left w:val="single" w:color="000000" w:sz="4" w:space="0"/>
              <w:right w:val="single" w:color="000000" w:sz="4" w:space="0"/>
            </w:tcBorders>
            <w:vAlign w:val="top"/>
          </w:tcPr>
          <w:p w14:paraId="28F0666A">
            <w:pPr>
              <w:spacing w:before="101" w:line="279" w:lineRule="auto"/>
              <w:ind w:left="27" w:right="7" w:hanging="3"/>
              <w:rPr>
                <w:rFonts w:ascii="宋体" w:hAnsi="宋体" w:eastAsia="宋体" w:cs="宋体"/>
                <w:sz w:val="23"/>
                <w:szCs w:val="23"/>
              </w:rPr>
            </w:pPr>
            <w:r>
              <w:rPr>
                <w:rFonts w:ascii="宋体" w:hAnsi="宋体" w:eastAsia="宋体" w:cs="宋体"/>
                <w:spacing w:val="-2"/>
                <w:sz w:val="23"/>
                <w:szCs w:val="23"/>
              </w:rPr>
              <w:t>进一步论证废气处理</w:t>
            </w:r>
            <w:r>
              <w:rPr>
                <w:rFonts w:ascii="宋体" w:hAnsi="宋体" w:eastAsia="宋体" w:cs="宋体"/>
                <w:spacing w:val="-1"/>
                <w:sz w:val="23"/>
                <w:szCs w:val="23"/>
              </w:rPr>
              <w:t>措施的可行性。核实</w:t>
            </w:r>
            <w:r>
              <w:rPr>
                <w:rFonts w:ascii="宋体" w:hAnsi="宋体" w:eastAsia="宋体" w:cs="宋体"/>
                <w:sz w:val="23"/>
                <w:szCs w:val="23"/>
              </w:rPr>
              <w:t xml:space="preserve"> </w:t>
            </w:r>
            <w:r>
              <w:rPr>
                <w:rFonts w:ascii="宋体" w:hAnsi="宋体" w:eastAsia="宋体" w:cs="宋体"/>
                <w:spacing w:val="-2"/>
                <w:sz w:val="23"/>
                <w:szCs w:val="23"/>
              </w:rPr>
              <w:t>无组织排放源强，计算卫生防</w:t>
            </w:r>
            <w:r>
              <w:rPr>
                <w:rFonts w:ascii="宋体" w:hAnsi="宋体" w:eastAsia="宋体" w:cs="宋体"/>
                <w:spacing w:val="-1"/>
                <w:sz w:val="23"/>
                <w:szCs w:val="23"/>
              </w:rPr>
              <w:t>护距离，给</w:t>
            </w:r>
            <w:r>
              <w:rPr>
                <w:rFonts w:ascii="宋体" w:hAnsi="宋体" w:eastAsia="宋体" w:cs="宋体"/>
                <w:sz w:val="23"/>
                <w:szCs w:val="23"/>
              </w:rPr>
              <w:t xml:space="preserve"> </w:t>
            </w:r>
            <w:r>
              <w:rPr>
                <w:rFonts w:ascii="宋体" w:hAnsi="宋体" w:eastAsia="宋体" w:cs="宋体"/>
                <w:spacing w:val="-2"/>
                <w:sz w:val="23"/>
                <w:szCs w:val="23"/>
              </w:rPr>
              <w:t>出包络线</w:t>
            </w:r>
            <w:r>
              <w:rPr>
                <w:rFonts w:ascii="宋体" w:hAnsi="宋体" w:eastAsia="宋体" w:cs="宋体"/>
                <w:spacing w:val="-1"/>
                <w:sz w:val="23"/>
                <w:szCs w:val="23"/>
              </w:rPr>
              <w:t>图。</w:t>
            </w:r>
          </w:p>
        </w:tc>
        <w:tc>
          <w:tcPr>
            <w:tcW w:w="4952" w:type="dxa"/>
            <w:tcBorders>
              <w:left w:val="single" w:color="000000" w:sz="4" w:space="0"/>
              <w:right w:val="nil"/>
            </w:tcBorders>
            <w:vAlign w:val="top"/>
          </w:tcPr>
          <w:p w14:paraId="16BA5402">
            <w:pPr>
              <w:spacing w:before="101" w:line="279" w:lineRule="auto"/>
              <w:ind w:left="30" w:hanging="8"/>
              <w:rPr>
                <w:rFonts w:ascii="宋体" w:hAnsi="宋体" w:eastAsia="宋体" w:cs="宋体"/>
                <w:sz w:val="23"/>
                <w:szCs w:val="23"/>
              </w:rPr>
            </w:pPr>
            <w:r>
              <w:rPr>
                <w:rFonts w:ascii="Times New Roman" w:hAnsi="Times New Roman" w:eastAsia="Times New Roman" w:cs="Times New Roman"/>
                <w:spacing w:val="-2"/>
                <w:sz w:val="23"/>
                <w:szCs w:val="23"/>
              </w:rPr>
              <w:t>P</w:t>
            </w:r>
            <w:r>
              <w:rPr>
                <w:rFonts w:ascii="Times New Roman" w:hAnsi="Times New Roman" w:eastAsia="Times New Roman" w:cs="Times New Roman"/>
                <w:spacing w:val="-4"/>
                <w:sz w:val="23"/>
                <w:szCs w:val="23"/>
              </w:rPr>
              <w:t>105-</w:t>
            </w:r>
            <w:r>
              <w:rPr>
                <w:rFonts w:ascii="Times New Roman" w:hAnsi="Times New Roman" w:eastAsia="Times New Roman" w:cs="Times New Roman"/>
                <w:spacing w:val="-2"/>
                <w:sz w:val="23"/>
                <w:szCs w:val="23"/>
              </w:rPr>
              <w:t>P</w:t>
            </w:r>
            <w:r>
              <w:rPr>
                <w:rFonts w:ascii="Times New Roman" w:hAnsi="Times New Roman" w:eastAsia="Times New Roman" w:cs="Times New Roman"/>
                <w:spacing w:val="-4"/>
                <w:sz w:val="23"/>
                <w:szCs w:val="23"/>
              </w:rPr>
              <w:t>11</w:t>
            </w:r>
            <w:r>
              <w:rPr>
                <w:rFonts w:ascii="Times New Roman" w:hAnsi="Times New Roman" w:eastAsia="Times New Roman" w:cs="Times New Roman"/>
                <w:spacing w:val="-2"/>
                <w:sz w:val="23"/>
                <w:szCs w:val="23"/>
              </w:rPr>
              <w:t xml:space="preserve">2 </w:t>
            </w:r>
            <w:r>
              <w:rPr>
                <w:rFonts w:ascii="宋体" w:hAnsi="宋体" w:eastAsia="宋体" w:cs="宋体"/>
                <w:spacing w:val="-2"/>
                <w:sz w:val="23"/>
                <w:szCs w:val="23"/>
              </w:rPr>
              <w:t>进一步论证了废气处理措施的可行性。</w:t>
            </w:r>
            <w:r>
              <w:rPr>
                <w:rFonts w:ascii="宋体" w:hAnsi="宋体" w:eastAsia="宋体" w:cs="宋体"/>
                <w:sz w:val="23"/>
                <w:szCs w:val="23"/>
              </w:rPr>
              <w:t xml:space="preserve"> </w:t>
            </w:r>
            <w:r>
              <w:rPr>
                <w:rFonts w:ascii="宋体" w:hAnsi="宋体" w:eastAsia="宋体" w:cs="宋体"/>
                <w:spacing w:val="-16"/>
                <w:sz w:val="23"/>
                <w:szCs w:val="23"/>
              </w:rPr>
              <w:t>核</w:t>
            </w:r>
            <w:r>
              <w:rPr>
                <w:rFonts w:ascii="宋体" w:hAnsi="宋体" w:eastAsia="宋体" w:cs="宋体"/>
                <w:spacing w:val="-10"/>
                <w:sz w:val="23"/>
                <w:szCs w:val="23"/>
              </w:rPr>
              <w:t>实</w:t>
            </w:r>
            <w:r>
              <w:rPr>
                <w:rFonts w:ascii="宋体" w:hAnsi="宋体" w:eastAsia="宋体" w:cs="宋体"/>
                <w:spacing w:val="-8"/>
                <w:sz w:val="23"/>
                <w:szCs w:val="23"/>
              </w:rPr>
              <w:t>了无组织排放源强，计算了卫生防护距离，给</w:t>
            </w:r>
            <w:r>
              <w:rPr>
                <w:rFonts w:ascii="宋体" w:hAnsi="宋体" w:eastAsia="宋体" w:cs="宋体"/>
                <w:sz w:val="23"/>
                <w:szCs w:val="23"/>
              </w:rPr>
              <w:t xml:space="preserve"> </w:t>
            </w:r>
            <w:r>
              <w:rPr>
                <w:rFonts w:ascii="宋体" w:hAnsi="宋体" w:eastAsia="宋体" w:cs="宋体"/>
                <w:spacing w:val="-3"/>
                <w:sz w:val="23"/>
                <w:szCs w:val="23"/>
              </w:rPr>
              <w:t>出了包络线图。</w:t>
            </w:r>
          </w:p>
        </w:tc>
      </w:tr>
      <w:tr w14:paraId="44A8DF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685" w:type="dxa"/>
            <w:tcBorders>
              <w:left w:val="nil"/>
              <w:right w:val="single" w:color="000000" w:sz="4" w:space="0"/>
            </w:tcBorders>
            <w:vAlign w:val="top"/>
          </w:tcPr>
          <w:p w14:paraId="678559A9">
            <w:pPr>
              <w:spacing w:line="270" w:lineRule="auto"/>
              <w:rPr>
                <w:rFonts w:ascii="Arial"/>
                <w:sz w:val="21"/>
              </w:rPr>
            </w:pPr>
          </w:p>
          <w:p w14:paraId="7B3E6610">
            <w:pPr>
              <w:spacing w:before="66" w:line="191" w:lineRule="auto"/>
              <w:ind w:left="292"/>
              <w:rPr>
                <w:rFonts w:ascii="Times New Roman" w:hAnsi="Times New Roman" w:eastAsia="Times New Roman" w:cs="Times New Roman"/>
                <w:sz w:val="23"/>
                <w:szCs w:val="23"/>
              </w:rPr>
            </w:pPr>
            <w:r>
              <w:rPr>
                <w:rFonts w:ascii="Times New Roman" w:hAnsi="Times New Roman" w:eastAsia="Times New Roman" w:cs="Times New Roman"/>
                <w:b/>
                <w:bCs/>
                <w:sz w:val="23"/>
                <w:szCs w:val="23"/>
              </w:rPr>
              <w:t>7</w:t>
            </w:r>
          </w:p>
        </w:tc>
        <w:tc>
          <w:tcPr>
            <w:tcW w:w="4155" w:type="dxa"/>
            <w:tcBorders>
              <w:left w:val="single" w:color="000000" w:sz="4" w:space="0"/>
              <w:right w:val="single" w:color="000000" w:sz="4" w:space="0"/>
            </w:tcBorders>
            <w:vAlign w:val="top"/>
          </w:tcPr>
          <w:p w14:paraId="1BC83F72">
            <w:pPr>
              <w:spacing w:before="102" w:line="266" w:lineRule="auto"/>
              <w:ind w:left="26" w:right="7"/>
              <w:rPr>
                <w:rFonts w:ascii="宋体" w:hAnsi="宋体" w:eastAsia="宋体" w:cs="宋体"/>
                <w:sz w:val="23"/>
                <w:szCs w:val="23"/>
              </w:rPr>
            </w:pPr>
            <w:r>
              <w:rPr>
                <w:rFonts w:ascii="宋体" w:hAnsi="宋体" w:eastAsia="宋体" w:cs="宋体"/>
                <w:spacing w:val="-2"/>
                <w:sz w:val="23"/>
                <w:szCs w:val="23"/>
              </w:rPr>
              <w:t>补充土壤环境本底值检测</w:t>
            </w:r>
            <w:r>
              <w:rPr>
                <w:rFonts w:ascii="宋体" w:hAnsi="宋体" w:eastAsia="宋体" w:cs="宋体"/>
                <w:spacing w:val="-1"/>
                <w:sz w:val="23"/>
                <w:szCs w:val="23"/>
              </w:rPr>
              <w:t>数据及土壤环境</w:t>
            </w:r>
            <w:r>
              <w:rPr>
                <w:rFonts w:ascii="宋体" w:hAnsi="宋体" w:eastAsia="宋体" w:cs="宋体"/>
                <w:sz w:val="23"/>
                <w:szCs w:val="23"/>
              </w:rPr>
              <w:t xml:space="preserve"> </w:t>
            </w:r>
            <w:r>
              <w:rPr>
                <w:rFonts w:ascii="宋体" w:hAnsi="宋体" w:eastAsia="宋体" w:cs="宋体"/>
                <w:spacing w:val="-2"/>
                <w:sz w:val="23"/>
                <w:szCs w:val="23"/>
              </w:rPr>
              <w:t>影</w:t>
            </w:r>
            <w:r>
              <w:rPr>
                <w:rFonts w:ascii="宋体" w:hAnsi="宋体" w:eastAsia="宋体" w:cs="宋体"/>
                <w:spacing w:val="-1"/>
                <w:sz w:val="23"/>
                <w:szCs w:val="23"/>
              </w:rPr>
              <w:t>响分析。</w:t>
            </w:r>
          </w:p>
        </w:tc>
        <w:tc>
          <w:tcPr>
            <w:tcW w:w="4952" w:type="dxa"/>
            <w:tcBorders>
              <w:left w:val="single" w:color="000000" w:sz="4" w:space="0"/>
              <w:right w:val="nil"/>
            </w:tcBorders>
            <w:vAlign w:val="top"/>
          </w:tcPr>
          <w:p w14:paraId="450CCF7D">
            <w:pPr>
              <w:spacing w:before="102" w:line="266" w:lineRule="auto"/>
              <w:ind w:left="22"/>
              <w:rPr>
                <w:rFonts w:ascii="宋体" w:hAnsi="宋体" w:eastAsia="宋体" w:cs="宋体"/>
                <w:sz w:val="23"/>
                <w:szCs w:val="23"/>
              </w:rPr>
            </w:pPr>
            <w:r>
              <w:rPr>
                <w:rFonts w:ascii="Times New Roman" w:hAnsi="Times New Roman" w:eastAsia="Times New Roman" w:cs="Times New Roman"/>
                <w:spacing w:val="-1"/>
                <w:sz w:val="23"/>
                <w:szCs w:val="23"/>
              </w:rPr>
              <w:t>P</w:t>
            </w:r>
            <w:r>
              <w:rPr>
                <w:rFonts w:ascii="Times New Roman" w:hAnsi="Times New Roman" w:eastAsia="Times New Roman" w:cs="Times New Roman"/>
                <w:spacing w:val="-2"/>
                <w:sz w:val="23"/>
                <w:szCs w:val="23"/>
              </w:rPr>
              <w:t>89-</w:t>
            </w:r>
            <w:r>
              <w:rPr>
                <w:rFonts w:ascii="Times New Roman" w:hAnsi="Times New Roman" w:eastAsia="Times New Roman" w:cs="Times New Roman"/>
                <w:spacing w:val="-1"/>
                <w:sz w:val="23"/>
                <w:szCs w:val="23"/>
              </w:rPr>
              <w:t>P</w:t>
            </w:r>
            <w:r>
              <w:rPr>
                <w:rFonts w:ascii="Times New Roman" w:hAnsi="Times New Roman" w:eastAsia="Times New Roman" w:cs="Times New Roman"/>
                <w:spacing w:val="-2"/>
                <w:sz w:val="23"/>
                <w:szCs w:val="23"/>
              </w:rPr>
              <w:t xml:space="preserve">98 </w:t>
            </w:r>
            <w:r>
              <w:rPr>
                <w:rFonts w:ascii="宋体" w:hAnsi="宋体" w:eastAsia="宋体" w:cs="宋体"/>
                <w:spacing w:val="-2"/>
                <w:sz w:val="23"/>
                <w:szCs w:val="23"/>
              </w:rPr>
              <w:t>补充</w:t>
            </w:r>
            <w:r>
              <w:rPr>
                <w:rFonts w:ascii="宋体" w:hAnsi="宋体" w:eastAsia="宋体" w:cs="宋体"/>
                <w:spacing w:val="-1"/>
                <w:sz w:val="23"/>
                <w:szCs w:val="23"/>
              </w:rPr>
              <w:t>了土壤环境本底值检测数据；</w:t>
            </w:r>
            <w:r>
              <w:rPr>
                <w:rFonts w:ascii="宋体" w:hAnsi="宋体" w:eastAsia="宋体" w:cs="宋体"/>
                <w:sz w:val="23"/>
                <w:szCs w:val="23"/>
              </w:rPr>
              <w:t xml:space="preserve">      </w:t>
            </w:r>
            <w:r>
              <w:rPr>
                <w:rFonts w:ascii="Times New Roman" w:hAnsi="Times New Roman" w:eastAsia="Times New Roman" w:cs="Times New Roman"/>
                <w:spacing w:val="-5"/>
                <w:sz w:val="23"/>
                <w:szCs w:val="23"/>
              </w:rPr>
              <w:t>P</w:t>
            </w:r>
            <w:r>
              <w:rPr>
                <w:rFonts w:ascii="Times New Roman" w:hAnsi="Times New Roman" w:eastAsia="Times New Roman" w:cs="Times New Roman"/>
                <w:spacing w:val="-10"/>
                <w:sz w:val="23"/>
                <w:szCs w:val="23"/>
              </w:rPr>
              <w:t>1</w:t>
            </w:r>
            <w:r>
              <w:rPr>
                <w:rFonts w:ascii="Times New Roman" w:hAnsi="Times New Roman" w:eastAsia="Times New Roman" w:cs="Times New Roman"/>
                <w:spacing w:val="-9"/>
                <w:sz w:val="23"/>
                <w:szCs w:val="23"/>
              </w:rPr>
              <w:t>2</w:t>
            </w:r>
            <w:r>
              <w:rPr>
                <w:rFonts w:ascii="Times New Roman" w:hAnsi="Times New Roman" w:eastAsia="Times New Roman" w:cs="Times New Roman"/>
                <w:spacing w:val="-5"/>
                <w:sz w:val="23"/>
                <w:szCs w:val="23"/>
              </w:rPr>
              <w:t>7-P131</w:t>
            </w:r>
            <w:r>
              <w:rPr>
                <w:rFonts w:ascii="宋体" w:hAnsi="宋体" w:eastAsia="宋体" w:cs="宋体"/>
                <w:spacing w:val="-5"/>
                <w:sz w:val="23"/>
                <w:szCs w:val="23"/>
              </w:rPr>
              <w:t>、</w:t>
            </w:r>
            <w:r>
              <w:rPr>
                <w:rFonts w:ascii="Times New Roman" w:hAnsi="Times New Roman" w:eastAsia="Times New Roman" w:cs="Times New Roman"/>
                <w:spacing w:val="-5"/>
                <w:sz w:val="23"/>
                <w:szCs w:val="23"/>
              </w:rPr>
              <w:t xml:space="preserve">P147-P148 </w:t>
            </w:r>
            <w:r>
              <w:rPr>
                <w:rFonts w:ascii="宋体" w:hAnsi="宋体" w:eastAsia="宋体" w:cs="宋体"/>
                <w:spacing w:val="-5"/>
                <w:sz w:val="23"/>
                <w:szCs w:val="23"/>
              </w:rPr>
              <w:t>补充了土壤环境影响分析。</w:t>
            </w:r>
          </w:p>
        </w:tc>
      </w:tr>
      <w:tr w14:paraId="46949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685" w:type="dxa"/>
            <w:tcBorders>
              <w:left w:val="nil"/>
              <w:right w:val="single" w:color="000000" w:sz="4" w:space="0"/>
            </w:tcBorders>
            <w:vAlign w:val="top"/>
          </w:tcPr>
          <w:p w14:paraId="54B46090">
            <w:pPr>
              <w:spacing w:line="267" w:lineRule="auto"/>
              <w:rPr>
                <w:rFonts w:ascii="Arial"/>
                <w:sz w:val="21"/>
              </w:rPr>
            </w:pPr>
          </w:p>
          <w:p w14:paraId="6D0C6CED">
            <w:pPr>
              <w:spacing w:before="66" w:line="194" w:lineRule="auto"/>
              <w:ind w:left="293"/>
              <w:rPr>
                <w:rFonts w:ascii="Times New Roman" w:hAnsi="Times New Roman" w:eastAsia="Times New Roman" w:cs="Times New Roman"/>
                <w:sz w:val="23"/>
                <w:szCs w:val="23"/>
              </w:rPr>
            </w:pPr>
            <w:r>
              <w:rPr>
                <w:rFonts w:ascii="Times New Roman" w:hAnsi="Times New Roman" w:eastAsia="Times New Roman" w:cs="Times New Roman"/>
                <w:b/>
                <w:bCs/>
                <w:sz w:val="23"/>
                <w:szCs w:val="23"/>
              </w:rPr>
              <w:t>8</w:t>
            </w:r>
          </w:p>
        </w:tc>
        <w:tc>
          <w:tcPr>
            <w:tcW w:w="4155" w:type="dxa"/>
            <w:tcBorders>
              <w:left w:val="single" w:color="000000" w:sz="4" w:space="0"/>
              <w:right w:val="single" w:color="000000" w:sz="4" w:space="0"/>
            </w:tcBorders>
            <w:vAlign w:val="top"/>
          </w:tcPr>
          <w:p w14:paraId="367B0EEE">
            <w:pPr>
              <w:spacing w:before="102" w:line="266" w:lineRule="auto"/>
              <w:ind w:left="28"/>
              <w:rPr>
                <w:rFonts w:ascii="宋体" w:hAnsi="宋体" w:eastAsia="宋体" w:cs="宋体"/>
                <w:sz w:val="23"/>
                <w:szCs w:val="23"/>
              </w:rPr>
            </w:pPr>
            <w:r>
              <w:rPr>
                <w:rFonts w:ascii="宋体" w:hAnsi="宋体" w:eastAsia="宋体" w:cs="宋体"/>
                <w:spacing w:val="-9"/>
                <w:sz w:val="23"/>
                <w:szCs w:val="23"/>
              </w:rPr>
              <w:t xml:space="preserve">按照 </w:t>
            </w:r>
            <w:r>
              <w:rPr>
                <w:rFonts w:ascii="Times New Roman" w:hAnsi="Times New Roman" w:eastAsia="Times New Roman" w:cs="Times New Roman"/>
                <w:spacing w:val="-9"/>
                <w:sz w:val="23"/>
                <w:szCs w:val="23"/>
              </w:rPr>
              <w:t xml:space="preserve">2018 </w:t>
            </w:r>
            <w:r>
              <w:rPr>
                <w:rFonts w:ascii="宋体" w:hAnsi="宋体" w:eastAsia="宋体" w:cs="宋体"/>
                <w:spacing w:val="-9"/>
                <w:sz w:val="23"/>
                <w:szCs w:val="23"/>
              </w:rPr>
              <w:t>风险导则，完善风险评价内容</w:t>
            </w:r>
            <w:r>
              <w:rPr>
                <w:rFonts w:ascii="宋体" w:hAnsi="宋体" w:eastAsia="宋体" w:cs="宋体"/>
                <w:spacing w:val="-7"/>
                <w:sz w:val="23"/>
                <w:szCs w:val="23"/>
              </w:rPr>
              <w:t>，</w:t>
            </w:r>
            <w:r>
              <w:rPr>
                <w:rFonts w:ascii="宋体" w:hAnsi="宋体" w:eastAsia="宋体" w:cs="宋体"/>
                <w:sz w:val="23"/>
                <w:szCs w:val="23"/>
              </w:rPr>
              <w:t xml:space="preserve"> </w:t>
            </w:r>
            <w:r>
              <w:rPr>
                <w:rFonts w:ascii="宋体" w:hAnsi="宋体" w:eastAsia="宋体" w:cs="宋体"/>
                <w:spacing w:val="-6"/>
                <w:sz w:val="23"/>
                <w:szCs w:val="23"/>
              </w:rPr>
              <w:t>完</w:t>
            </w:r>
            <w:r>
              <w:rPr>
                <w:rFonts w:ascii="宋体" w:hAnsi="宋体" w:eastAsia="宋体" w:cs="宋体"/>
                <w:spacing w:val="-4"/>
                <w:sz w:val="23"/>
                <w:szCs w:val="23"/>
              </w:rPr>
              <w:t>善事故废水防控措施等相关内容。</w:t>
            </w:r>
          </w:p>
        </w:tc>
        <w:tc>
          <w:tcPr>
            <w:tcW w:w="4952" w:type="dxa"/>
            <w:tcBorders>
              <w:left w:val="single" w:color="000000" w:sz="4" w:space="0"/>
              <w:right w:val="nil"/>
            </w:tcBorders>
            <w:vAlign w:val="top"/>
          </w:tcPr>
          <w:p w14:paraId="7B926C38">
            <w:pPr>
              <w:spacing w:before="102" w:line="266" w:lineRule="auto"/>
              <w:ind w:left="56" w:right="10" w:hanging="34"/>
              <w:rPr>
                <w:rFonts w:ascii="宋体" w:hAnsi="宋体" w:eastAsia="宋体" w:cs="宋体"/>
                <w:sz w:val="23"/>
                <w:szCs w:val="23"/>
              </w:rPr>
            </w:pPr>
            <w:r>
              <w:rPr>
                <w:rFonts w:ascii="Times New Roman" w:hAnsi="Times New Roman" w:eastAsia="Times New Roman" w:cs="Times New Roman"/>
                <w:sz w:val="23"/>
                <w:szCs w:val="23"/>
              </w:rPr>
              <w:t>P</w:t>
            </w:r>
            <w:r>
              <w:rPr>
                <w:rFonts w:ascii="Times New Roman" w:hAnsi="Times New Roman" w:eastAsia="Times New Roman" w:cs="Times New Roman"/>
                <w:spacing w:val="-1"/>
                <w:sz w:val="23"/>
                <w:szCs w:val="23"/>
              </w:rPr>
              <w:t>149-</w:t>
            </w:r>
            <w:r>
              <w:rPr>
                <w:rFonts w:ascii="Times New Roman" w:hAnsi="Times New Roman" w:eastAsia="Times New Roman" w:cs="Times New Roman"/>
                <w:sz w:val="23"/>
                <w:szCs w:val="23"/>
              </w:rPr>
              <w:t>P</w:t>
            </w:r>
            <w:r>
              <w:rPr>
                <w:rFonts w:ascii="Times New Roman" w:hAnsi="Times New Roman" w:eastAsia="Times New Roman" w:cs="Times New Roman"/>
                <w:spacing w:val="-1"/>
                <w:sz w:val="23"/>
                <w:szCs w:val="23"/>
              </w:rPr>
              <w:t xml:space="preserve">160 </w:t>
            </w:r>
            <w:r>
              <w:rPr>
                <w:rFonts w:ascii="宋体" w:hAnsi="宋体" w:eastAsia="宋体" w:cs="宋体"/>
                <w:spacing w:val="-1"/>
                <w:sz w:val="23"/>
                <w:szCs w:val="23"/>
              </w:rPr>
              <w:t xml:space="preserve">按照 </w:t>
            </w:r>
            <w:r>
              <w:rPr>
                <w:rFonts w:ascii="Times New Roman" w:hAnsi="Times New Roman" w:eastAsia="Times New Roman" w:cs="Times New Roman"/>
                <w:spacing w:val="-1"/>
                <w:sz w:val="23"/>
                <w:szCs w:val="23"/>
              </w:rPr>
              <w:t xml:space="preserve">2018 </w:t>
            </w:r>
            <w:r>
              <w:rPr>
                <w:rFonts w:ascii="宋体" w:hAnsi="宋体" w:eastAsia="宋体" w:cs="宋体"/>
                <w:spacing w:val="-1"/>
                <w:sz w:val="23"/>
                <w:szCs w:val="23"/>
              </w:rPr>
              <w:t>风险导</w:t>
            </w:r>
            <w:r>
              <w:rPr>
                <w:rFonts w:ascii="宋体" w:hAnsi="宋体" w:eastAsia="宋体" w:cs="宋体"/>
                <w:sz w:val="23"/>
                <w:szCs w:val="23"/>
              </w:rPr>
              <w:t xml:space="preserve">则，完善了风险评价 </w:t>
            </w:r>
            <w:r>
              <w:rPr>
                <w:rFonts w:ascii="宋体" w:hAnsi="宋体" w:eastAsia="宋体" w:cs="宋体"/>
                <w:spacing w:val="-6"/>
                <w:sz w:val="23"/>
                <w:szCs w:val="23"/>
              </w:rPr>
              <w:t>内</w:t>
            </w:r>
            <w:r>
              <w:rPr>
                <w:rFonts w:ascii="宋体" w:hAnsi="宋体" w:eastAsia="宋体" w:cs="宋体"/>
                <w:spacing w:val="-5"/>
                <w:sz w:val="23"/>
                <w:szCs w:val="23"/>
              </w:rPr>
              <w:t>容</w:t>
            </w:r>
            <w:r>
              <w:rPr>
                <w:rFonts w:ascii="宋体" w:hAnsi="宋体" w:eastAsia="宋体" w:cs="宋体"/>
                <w:spacing w:val="-3"/>
                <w:sz w:val="23"/>
                <w:szCs w:val="23"/>
              </w:rPr>
              <w:t>，完善了事故废水防控措施等相关内容。</w:t>
            </w:r>
          </w:p>
        </w:tc>
      </w:tr>
      <w:tr w14:paraId="27D4B3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4" w:hRule="atLeast"/>
        </w:trPr>
        <w:tc>
          <w:tcPr>
            <w:tcW w:w="685" w:type="dxa"/>
            <w:tcBorders>
              <w:left w:val="nil"/>
              <w:right w:val="single" w:color="000000" w:sz="4" w:space="0"/>
            </w:tcBorders>
            <w:vAlign w:val="top"/>
          </w:tcPr>
          <w:p w14:paraId="030CA8B4">
            <w:pPr>
              <w:spacing w:line="321" w:lineRule="auto"/>
              <w:rPr>
                <w:rFonts w:ascii="Arial"/>
                <w:sz w:val="21"/>
              </w:rPr>
            </w:pPr>
          </w:p>
          <w:p w14:paraId="75482BB0">
            <w:pPr>
              <w:spacing w:line="322" w:lineRule="auto"/>
              <w:rPr>
                <w:rFonts w:ascii="Arial"/>
                <w:sz w:val="21"/>
              </w:rPr>
            </w:pPr>
          </w:p>
          <w:p w14:paraId="4FB2DCD0">
            <w:pPr>
              <w:spacing w:before="66" w:line="195" w:lineRule="auto"/>
              <w:ind w:left="292"/>
              <w:rPr>
                <w:rFonts w:ascii="Times New Roman" w:hAnsi="Times New Roman" w:eastAsia="Times New Roman" w:cs="Times New Roman"/>
                <w:sz w:val="23"/>
                <w:szCs w:val="23"/>
              </w:rPr>
            </w:pPr>
            <w:r>
              <w:rPr>
                <w:rFonts w:ascii="Times New Roman" w:hAnsi="Times New Roman" w:eastAsia="Times New Roman" w:cs="Times New Roman"/>
                <w:b/>
                <w:bCs/>
                <w:sz w:val="23"/>
                <w:szCs w:val="23"/>
              </w:rPr>
              <w:t>9</w:t>
            </w:r>
          </w:p>
        </w:tc>
        <w:tc>
          <w:tcPr>
            <w:tcW w:w="4155" w:type="dxa"/>
            <w:tcBorders>
              <w:left w:val="single" w:color="000000" w:sz="4" w:space="0"/>
              <w:right w:val="single" w:color="000000" w:sz="4" w:space="0"/>
            </w:tcBorders>
            <w:vAlign w:val="top"/>
          </w:tcPr>
          <w:p w14:paraId="0A32E4F0">
            <w:pPr>
              <w:spacing w:before="103" w:line="285" w:lineRule="auto"/>
              <w:ind w:left="29" w:right="7"/>
              <w:rPr>
                <w:rFonts w:ascii="宋体" w:hAnsi="宋体" w:eastAsia="宋体" w:cs="宋体"/>
                <w:sz w:val="23"/>
                <w:szCs w:val="23"/>
              </w:rPr>
            </w:pPr>
            <w:r>
              <w:rPr>
                <w:rFonts w:ascii="宋体" w:hAnsi="宋体" w:eastAsia="宋体" w:cs="宋体"/>
                <w:spacing w:val="-2"/>
                <w:sz w:val="23"/>
                <w:szCs w:val="23"/>
              </w:rPr>
              <w:t>核实固废种类，给出危险废物类</w:t>
            </w:r>
            <w:r>
              <w:rPr>
                <w:rFonts w:ascii="宋体" w:hAnsi="宋体" w:eastAsia="宋体" w:cs="宋体"/>
                <w:spacing w:val="-1"/>
                <w:sz w:val="23"/>
                <w:szCs w:val="23"/>
              </w:rPr>
              <w:t>别，明确</w:t>
            </w:r>
            <w:r>
              <w:rPr>
                <w:rFonts w:ascii="宋体" w:hAnsi="宋体" w:eastAsia="宋体" w:cs="宋体"/>
                <w:sz w:val="23"/>
                <w:szCs w:val="23"/>
              </w:rPr>
              <w:t xml:space="preserve"> </w:t>
            </w:r>
            <w:r>
              <w:rPr>
                <w:rFonts w:ascii="宋体" w:hAnsi="宋体" w:eastAsia="宋体" w:cs="宋体"/>
                <w:spacing w:val="-2"/>
                <w:sz w:val="23"/>
                <w:szCs w:val="23"/>
              </w:rPr>
              <w:t>处置去向。补充危废暂存间建设情况</w:t>
            </w:r>
            <w:r>
              <w:rPr>
                <w:rFonts w:ascii="宋体" w:hAnsi="宋体" w:eastAsia="宋体" w:cs="宋体"/>
                <w:spacing w:val="-1"/>
                <w:sz w:val="23"/>
                <w:szCs w:val="23"/>
              </w:rPr>
              <w:t>及</w:t>
            </w:r>
            <w:r>
              <w:rPr>
                <w:rFonts w:ascii="宋体" w:hAnsi="宋体" w:eastAsia="宋体" w:cs="宋体"/>
                <w:sz w:val="23"/>
                <w:szCs w:val="23"/>
              </w:rPr>
              <w:t xml:space="preserve">相 </w:t>
            </w:r>
            <w:r>
              <w:rPr>
                <w:rFonts w:ascii="宋体" w:hAnsi="宋体" w:eastAsia="宋体" w:cs="宋体"/>
                <w:spacing w:val="-2"/>
                <w:sz w:val="23"/>
                <w:szCs w:val="23"/>
              </w:rPr>
              <w:t>关评价内容。并进一步完善地下水污</w:t>
            </w:r>
            <w:r>
              <w:rPr>
                <w:rFonts w:ascii="宋体" w:hAnsi="宋体" w:eastAsia="宋体" w:cs="宋体"/>
                <w:spacing w:val="-1"/>
                <w:sz w:val="23"/>
                <w:szCs w:val="23"/>
              </w:rPr>
              <w:t>染</w:t>
            </w:r>
            <w:r>
              <w:rPr>
                <w:rFonts w:ascii="宋体" w:hAnsi="宋体" w:eastAsia="宋体" w:cs="宋体"/>
                <w:sz w:val="23"/>
                <w:szCs w:val="23"/>
              </w:rPr>
              <w:t xml:space="preserve">防 </w:t>
            </w:r>
            <w:r>
              <w:rPr>
                <w:rFonts w:ascii="宋体" w:hAnsi="宋体" w:eastAsia="宋体" w:cs="宋体"/>
                <w:spacing w:val="-2"/>
                <w:sz w:val="23"/>
                <w:szCs w:val="23"/>
              </w:rPr>
              <w:t>治措施。</w:t>
            </w:r>
          </w:p>
        </w:tc>
        <w:tc>
          <w:tcPr>
            <w:tcW w:w="4952" w:type="dxa"/>
            <w:tcBorders>
              <w:left w:val="single" w:color="000000" w:sz="4" w:space="0"/>
              <w:right w:val="nil"/>
            </w:tcBorders>
            <w:vAlign w:val="top"/>
          </w:tcPr>
          <w:p w14:paraId="2A414ED0">
            <w:pPr>
              <w:spacing w:before="103" w:line="305" w:lineRule="auto"/>
              <w:ind w:left="31" w:hanging="9"/>
              <w:rPr>
                <w:rFonts w:ascii="宋体" w:hAnsi="宋体" w:eastAsia="宋体" w:cs="宋体"/>
                <w:sz w:val="23"/>
                <w:szCs w:val="23"/>
              </w:rPr>
            </w:pPr>
            <w:r>
              <w:rPr>
                <w:rFonts w:ascii="Times New Roman" w:hAnsi="Times New Roman" w:eastAsia="Times New Roman" w:cs="Times New Roman"/>
                <w:spacing w:val="-2"/>
                <w:sz w:val="23"/>
                <w:szCs w:val="23"/>
              </w:rPr>
              <w:t>P</w:t>
            </w:r>
            <w:r>
              <w:rPr>
                <w:rFonts w:ascii="Times New Roman" w:hAnsi="Times New Roman" w:eastAsia="Times New Roman" w:cs="Times New Roman"/>
                <w:spacing w:val="-4"/>
                <w:sz w:val="23"/>
                <w:szCs w:val="23"/>
              </w:rPr>
              <w:t>69-</w:t>
            </w:r>
            <w:r>
              <w:rPr>
                <w:rFonts w:ascii="Times New Roman" w:hAnsi="Times New Roman" w:eastAsia="Times New Roman" w:cs="Times New Roman"/>
                <w:spacing w:val="-2"/>
                <w:sz w:val="23"/>
                <w:szCs w:val="23"/>
              </w:rPr>
              <w:t>P</w:t>
            </w:r>
            <w:r>
              <w:rPr>
                <w:rFonts w:ascii="Times New Roman" w:hAnsi="Times New Roman" w:eastAsia="Times New Roman" w:cs="Times New Roman"/>
                <w:spacing w:val="-4"/>
                <w:sz w:val="23"/>
                <w:szCs w:val="23"/>
              </w:rPr>
              <w:t xml:space="preserve">72 </w:t>
            </w:r>
            <w:r>
              <w:rPr>
                <w:rFonts w:ascii="宋体" w:hAnsi="宋体" w:eastAsia="宋体" w:cs="宋体"/>
                <w:spacing w:val="-4"/>
                <w:sz w:val="23"/>
                <w:szCs w:val="23"/>
              </w:rPr>
              <w:t>核</w:t>
            </w:r>
            <w:r>
              <w:rPr>
                <w:rFonts w:ascii="宋体" w:hAnsi="宋体" w:eastAsia="宋体" w:cs="宋体"/>
                <w:spacing w:val="-2"/>
                <w:sz w:val="23"/>
                <w:szCs w:val="23"/>
              </w:rPr>
              <w:t>实了固废种类，给出了危险废物类别，</w:t>
            </w:r>
            <w:r>
              <w:rPr>
                <w:rFonts w:ascii="宋体" w:hAnsi="宋体" w:eastAsia="宋体" w:cs="宋体"/>
                <w:sz w:val="23"/>
                <w:szCs w:val="23"/>
              </w:rPr>
              <w:t xml:space="preserve"> </w:t>
            </w:r>
            <w:r>
              <w:rPr>
                <w:rFonts w:ascii="宋体" w:hAnsi="宋体" w:eastAsia="宋体" w:cs="宋体"/>
                <w:spacing w:val="-10"/>
                <w:sz w:val="23"/>
                <w:szCs w:val="23"/>
              </w:rPr>
              <w:t>明</w:t>
            </w:r>
            <w:r>
              <w:rPr>
                <w:rFonts w:ascii="宋体" w:hAnsi="宋体" w:eastAsia="宋体" w:cs="宋体"/>
                <w:spacing w:val="-8"/>
                <w:sz w:val="23"/>
                <w:szCs w:val="23"/>
              </w:rPr>
              <w:t>确了处置去向。补充了危废暂存间建设情况及相</w:t>
            </w:r>
            <w:r>
              <w:rPr>
                <w:rFonts w:ascii="宋体" w:hAnsi="宋体" w:eastAsia="宋体" w:cs="宋体"/>
                <w:sz w:val="23"/>
                <w:szCs w:val="23"/>
              </w:rPr>
              <w:t xml:space="preserve"> </w:t>
            </w:r>
            <w:r>
              <w:rPr>
                <w:rFonts w:ascii="宋体" w:hAnsi="宋体" w:eastAsia="宋体" w:cs="宋体"/>
                <w:spacing w:val="-4"/>
                <w:sz w:val="23"/>
                <w:szCs w:val="23"/>
              </w:rPr>
              <w:t>关评</w:t>
            </w:r>
            <w:r>
              <w:rPr>
                <w:rFonts w:ascii="宋体" w:hAnsi="宋体" w:eastAsia="宋体" w:cs="宋体"/>
                <w:spacing w:val="-3"/>
                <w:sz w:val="23"/>
                <w:szCs w:val="23"/>
              </w:rPr>
              <w:t>价</w:t>
            </w:r>
            <w:r>
              <w:rPr>
                <w:rFonts w:ascii="宋体" w:hAnsi="宋体" w:eastAsia="宋体" w:cs="宋体"/>
                <w:spacing w:val="-2"/>
                <w:sz w:val="23"/>
                <w:szCs w:val="23"/>
              </w:rPr>
              <w:t>内容。</w:t>
            </w:r>
          </w:p>
          <w:p w14:paraId="28E565A0">
            <w:pPr>
              <w:spacing w:line="225" w:lineRule="auto"/>
              <w:ind w:left="22"/>
              <w:rPr>
                <w:rFonts w:ascii="宋体" w:hAnsi="宋体" w:eastAsia="宋体" w:cs="宋体"/>
                <w:sz w:val="23"/>
                <w:szCs w:val="23"/>
              </w:rPr>
            </w:pPr>
            <w:r>
              <w:rPr>
                <w:rFonts w:ascii="Times New Roman" w:hAnsi="Times New Roman" w:eastAsia="Times New Roman" w:cs="Times New Roman"/>
                <w:sz w:val="23"/>
                <w:szCs w:val="23"/>
              </w:rPr>
              <w:t>P</w:t>
            </w:r>
            <w:r>
              <w:rPr>
                <w:rFonts w:ascii="Times New Roman" w:hAnsi="Times New Roman" w:eastAsia="Times New Roman" w:cs="Times New Roman"/>
                <w:spacing w:val="1"/>
                <w:sz w:val="23"/>
                <w:szCs w:val="23"/>
              </w:rPr>
              <w:t>141-</w:t>
            </w:r>
            <w:r>
              <w:rPr>
                <w:rFonts w:ascii="Times New Roman" w:hAnsi="Times New Roman" w:eastAsia="Times New Roman" w:cs="Times New Roman"/>
                <w:sz w:val="23"/>
                <w:szCs w:val="23"/>
              </w:rPr>
              <w:t>P</w:t>
            </w:r>
            <w:r>
              <w:rPr>
                <w:rFonts w:ascii="Times New Roman" w:hAnsi="Times New Roman" w:eastAsia="Times New Roman" w:cs="Times New Roman"/>
                <w:spacing w:val="1"/>
                <w:sz w:val="23"/>
                <w:szCs w:val="23"/>
              </w:rPr>
              <w:t xml:space="preserve">142 </w:t>
            </w:r>
            <w:r>
              <w:rPr>
                <w:rFonts w:ascii="宋体" w:hAnsi="宋体" w:eastAsia="宋体" w:cs="宋体"/>
                <w:spacing w:val="1"/>
                <w:sz w:val="23"/>
                <w:szCs w:val="23"/>
              </w:rPr>
              <w:t>进一步完善了地下</w:t>
            </w:r>
            <w:r>
              <w:rPr>
                <w:rFonts w:ascii="宋体" w:hAnsi="宋体" w:eastAsia="宋体" w:cs="宋体"/>
                <w:sz w:val="23"/>
                <w:szCs w:val="23"/>
              </w:rPr>
              <w:t>水污染防治措施。</w:t>
            </w:r>
          </w:p>
        </w:tc>
      </w:tr>
      <w:tr w14:paraId="0E7952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685" w:type="dxa"/>
            <w:tcBorders>
              <w:left w:val="nil"/>
              <w:right w:val="single" w:color="000000" w:sz="4" w:space="0"/>
            </w:tcBorders>
            <w:vAlign w:val="top"/>
          </w:tcPr>
          <w:p w14:paraId="65793742">
            <w:pPr>
              <w:spacing w:before="144" w:line="195" w:lineRule="auto"/>
              <w:ind w:left="242"/>
              <w:rPr>
                <w:rFonts w:ascii="Times New Roman" w:hAnsi="Times New Roman" w:eastAsia="Times New Roman" w:cs="Times New Roman"/>
                <w:sz w:val="23"/>
                <w:szCs w:val="23"/>
              </w:rPr>
            </w:pPr>
            <w:r>
              <w:rPr>
                <w:rFonts w:ascii="Times New Roman" w:hAnsi="Times New Roman" w:eastAsia="Times New Roman" w:cs="Times New Roman"/>
                <w:b/>
                <w:bCs/>
                <w:spacing w:val="-5"/>
                <w:sz w:val="23"/>
                <w:szCs w:val="23"/>
              </w:rPr>
              <w:t>1</w:t>
            </w:r>
            <w:r>
              <w:rPr>
                <w:rFonts w:ascii="Times New Roman" w:hAnsi="Times New Roman" w:eastAsia="Times New Roman" w:cs="Times New Roman"/>
                <w:b/>
                <w:bCs/>
                <w:spacing w:val="-4"/>
                <w:sz w:val="23"/>
                <w:szCs w:val="23"/>
              </w:rPr>
              <w:t>0</w:t>
            </w:r>
          </w:p>
        </w:tc>
        <w:tc>
          <w:tcPr>
            <w:tcW w:w="4155" w:type="dxa"/>
            <w:tcBorders>
              <w:left w:val="single" w:color="000000" w:sz="4" w:space="0"/>
              <w:right w:val="single" w:color="000000" w:sz="4" w:space="0"/>
            </w:tcBorders>
            <w:vAlign w:val="top"/>
          </w:tcPr>
          <w:p w14:paraId="410ECB09">
            <w:pPr>
              <w:spacing w:before="105" w:line="226" w:lineRule="auto"/>
              <w:ind w:left="28"/>
              <w:rPr>
                <w:rFonts w:ascii="宋体" w:hAnsi="宋体" w:eastAsia="宋体" w:cs="宋体"/>
                <w:sz w:val="23"/>
                <w:szCs w:val="23"/>
              </w:rPr>
            </w:pPr>
            <w:r>
              <w:rPr>
                <w:rFonts w:ascii="宋体" w:hAnsi="宋体" w:eastAsia="宋体" w:cs="宋体"/>
                <w:spacing w:val="-2"/>
                <w:sz w:val="23"/>
                <w:szCs w:val="23"/>
              </w:rPr>
              <w:t>完善报告中的图</w:t>
            </w:r>
            <w:r>
              <w:rPr>
                <w:rFonts w:ascii="宋体" w:hAnsi="宋体" w:eastAsia="宋体" w:cs="宋体"/>
                <w:spacing w:val="-1"/>
                <w:sz w:val="23"/>
                <w:szCs w:val="23"/>
              </w:rPr>
              <w:t>件。</w:t>
            </w:r>
          </w:p>
        </w:tc>
        <w:tc>
          <w:tcPr>
            <w:tcW w:w="4952" w:type="dxa"/>
            <w:tcBorders>
              <w:left w:val="single" w:color="000000" w:sz="4" w:space="0"/>
              <w:right w:val="nil"/>
            </w:tcBorders>
            <w:vAlign w:val="top"/>
          </w:tcPr>
          <w:p w14:paraId="39895F82">
            <w:pPr>
              <w:spacing w:before="105" w:line="226" w:lineRule="auto"/>
              <w:ind w:left="30"/>
              <w:rPr>
                <w:rFonts w:ascii="宋体" w:hAnsi="宋体" w:eastAsia="宋体" w:cs="宋体"/>
                <w:sz w:val="23"/>
                <w:szCs w:val="23"/>
              </w:rPr>
            </w:pPr>
            <w:r>
              <w:rPr>
                <w:rFonts w:ascii="宋体" w:hAnsi="宋体" w:eastAsia="宋体" w:cs="宋体"/>
                <w:spacing w:val="-2"/>
                <w:sz w:val="23"/>
                <w:szCs w:val="23"/>
              </w:rPr>
              <w:t>完善了报告中的图</w:t>
            </w:r>
            <w:r>
              <w:rPr>
                <w:rFonts w:ascii="宋体" w:hAnsi="宋体" w:eastAsia="宋体" w:cs="宋体"/>
                <w:spacing w:val="-1"/>
                <w:sz w:val="23"/>
                <w:szCs w:val="23"/>
              </w:rPr>
              <w:t>件。</w:t>
            </w:r>
          </w:p>
        </w:tc>
      </w:tr>
    </w:tbl>
    <w:p w14:paraId="6CA11A37">
      <w:pPr>
        <w:rPr>
          <w:rFonts w:ascii="Arial"/>
          <w:sz w:val="21"/>
        </w:rPr>
      </w:pPr>
    </w:p>
    <w:sectPr>
      <w:footerReference r:id="rId379" w:type="default"/>
      <w:pgSz w:w="11906" w:h="16839"/>
      <w:pgMar w:top="400" w:right="1056" w:bottom="1156" w:left="1056" w:header="0" w:footer="996"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S UI Gothic">
    <w:panose1 w:val="020B0600070205080204"/>
    <w:charset w:val="80"/>
    <w:family w:val="auto"/>
    <w:pitch w:val="default"/>
    <w:sig w:usb0="E00002FF" w:usb1="6AC7FDFB" w:usb2="00000012" w:usb3="00000000" w:csb0="4002009F" w:csb1="DFD70000"/>
  </w:font>
  <w:font w:name="Malgun Gothic">
    <w:panose1 w:val="020B0503020000020004"/>
    <w:charset w:val="81"/>
    <w:family w:val="auto"/>
    <w:pitch w:val="default"/>
    <w:sig w:usb0="900002AF" w:usb1="01D77CFB" w:usb2="00000012" w:usb3="00000000" w:csb0="0008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0B415">
    <w:pPr>
      <w:spacing w:line="193" w:lineRule="auto"/>
      <w:ind w:left="4141"/>
      <w:rPr>
        <w:rFonts w:ascii="Times New Roman" w:hAnsi="Times New Roman" w:eastAsia="Times New Roman" w:cs="Times New Roman"/>
        <w:sz w:val="17"/>
        <w:szCs w:val="17"/>
      </w:rPr>
    </w:pPr>
    <w:r>
      <w:rPr>
        <w:rFonts w:ascii="Times New Roman" w:hAnsi="Times New Roman" w:eastAsia="Times New Roman" w:cs="Times New Roman"/>
        <w:sz w:val="17"/>
        <w:szCs w:val="17"/>
      </w:rPr>
      <w:t>I</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4DD22">
    <w:pPr>
      <w:spacing w:line="196" w:lineRule="auto"/>
      <w:ind w:left="4170"/>
      <w:rPr>
        <w:rFonts w:ascii="Times New Roman" w:hAnsi="Times New Roman" w:eastAsia="Times New Roman" w:cs="Times New Roman"/>
        <w:sz w:val="17"/>
        <w:szCs w:val="17"/>
      </w:rPr>
    </w:pPr>
    <w:r>
      <w:rPr>
        <w:rFonts w:ascii="Times New Roman" w:hAnsi="Times New Roman" w:eastAsia="Times New Roman" w:cs="Times New Roman"/>
        <w:sz w:val="17"/>
        <w:szCs w:val="17"/>
      </w:rPr>
      <w:t>8</w: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D4AE9">
    <w:pPr>
      <w:spacing w:line="196" w:lineRule="auto"/>
      <w:ind w:left="4093"/>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9</w:t>
    </w:r>
    <w:r>
      <w:rPr>
        <w:rFonts w:ascii="Times New Roman" w:hAnsi="Times New Roman" w:eastAsia="Times New Roman" w:cs="Times New Roman"/>
        <w:spacing w:val="1"/>
        <w:sz w:val="17"/>
        <w:szCs w:val="17"/>
      </w:rPr>
      <w:t>8</w: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D0AE2">
    <w:pPr>
      <w:spacing w:line="196" w:lineRule="auto"/>
      <w:ind w:left="6909"/>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9</w:t>
    </w:r>
    <w:r>
      <w:rPr>
        <w:rFonts w:ascii="Times New Roman" w:hAnsi="Times New Roman" w:eastAsia="Times New Roman" w:cs="Times New Roman"/>
        <w:spacing w:val="1"/>
        <w:sz w:val="17"/>
        <w:szCs w:val="17"/>
      </w:rPr>
      <w:t>9</w: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08C62">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00</w: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4453C">
    <w:pPr>
      <w:spacing w:line="196" w:lineRule="auto"/>
      <w:ind w:left="4146"/>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01</w: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3EE3B">
    <w:pPr>
      <w:spacing w:line="196" w:lineRule="auto"/>
      <w:ind w:left="4146"/>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02</w: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3AAEB">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03</w: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06805">
    <w:pPr>
      <w:spacing w:line="196" w:lineRule="auto"/>
      <w:ind w:left="4146"/>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04</w: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E91C9">
    <w:pPr>
      <w:spacing w:line="196" w:lineRule="auto"/>
      <w:ind w:left="4146"/>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05</w: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59D21">
    <w:pPr>
      <w:spacing w:line="196" w:lineRule="auto"/>
      <w:ind w:left="4066"/>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06</w: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39AD2">
    <w:pPr>
      <w:spacing w:line="196" w:lineRule="auto"/>
      <w:ind w:left="4106"/>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07</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E008A3">
    <w:pPr>
      <w:spacing w:line="196" w:lineRule="auto"/>
      <w:ind w:left="4130"/>
      <w:rPr>
        <w:rFonts w:ascii="Times New Roman" w:hAnsi="Times New Roman" w:eastAsia="Times New Roman" w:cs="Times New Roman"/>
        <w:sz w:val="17"/>
        <w:szCs w:val="17"/>
      </w:rPr>
    </w:pPr>
    <w:r>
      <w:rPr>
        <w:rFonts w:ascii="Times New Roman" w:hAnsi="Times New Roman" w:eastAsia="Times New Roman" w:cs="Times New Roman"/>
        <w:sz w:val="17"/>
        <w:szCs w:val="17"/>
      </w:rPr>
      <w:t>9</w: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170C0">
    <w:pPr>
      <w:spacing w:line="196" w:lineRule="auto"/>
      <w:ind w:left="4145"/>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08</w: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32DCF">
    <w:pPr>
      <w:spacing w:line="196" w:lineRule="auto"/>
      <w:ind w:left="4146"/>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09</w: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BC4BA">
    <w:pPr>
      <w:spacing w:line="196" w:lineRule="auto"/>
      <w:ind w:left="4156"/>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w:t>
    </w:r>
    <w:r>
      <w:rPr>
        <w:rFonts w:ascii="Times New Roman" w:hAnsi="Times New Roman" w:eastAsia="Times New Roman" w:cs="Times New Roman"/>
        <w:spacing w:val="-3"/>
        <w:sz w:val="17"/>
        <w:szCs w:val="17"/>
      </w:rPr>
      <w:t>10</w: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FBD00">
    <w:pPr>
      <w:spacing w:line="196" w:lineRule="auto"/>
      <w:ind w:left="4059"/>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111</w: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CDF40">
    <w:pPr>
      <w:spacing w:line="196" w:lineRule="auto"/>
      <w:ind w:left="6942"/>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w:t>
    </w:r>
    <w:r>
      <w:rPr>
        <w:rFonts w:ascii="Times New Roman" w:hAnsi="Times New Roman" w:eastAsia="Times New Roman" w:cs="Times New Roman"/>
        <w:spacing w:val="-3"/>
        <w:sz w:val="17"/>
        <w:szCs w:val="17"/>
      </w:rPr>
      <w:t>12</w: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4141E">
    <w:pPr>
      <w:spacing w:line="196" w:lineRule="auto"/>
      <w:ind w:left="4064"/>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w:t>
    </w:r>
    <w:r>
      <w:rPr>
        <w:rFonts w:ascii="Times New Roman" w:hAnsi="Times New Roman" w:eastAsia="Times New Roman" w:cs="Times New Roman"/>
        <w:spacing w:val="-3"/>
        <w:sz w:val="17"/>
        <w:szCs w:val="17"/>
      </w:rPr>
      <w:t>13</w: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EDB09">
    <w:pPr>
      <w:spacing w:line="196" w:lineRule="auto"/>
      <w:ind w:left="4064"/>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w:t>
    </w:r>
    <w:r>
      <w:rPr>
        <w:rFonts w:ascii="Times New Roman" w:hAnsi="Times New Roman" w:eastAsia="Times New Roman" w:cs="Times New Roman"/>
        <w:spacing w:val="-3"/>
        <w:sz w:val="17"/>
        <w:szCs w:val="17"/>
      </w:rPr>
      <w:t>14</w: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2CB18">
    <w:pPr>
      <w:spacing w:line="196" w:lineRule="auto"/>
      <w:ind w:left="4055"/>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w:t>
    </w:r>
    <w:r>
      <w:rPr>
        <w:rFonts w:ascii="Times New Roman" w:hAnsi="Times New Roman" w:eastAsia="Times New Roman" w:cs="Times New Roman"/>
        <w:spacing w:val="-3"/>
        <w:sz w:val="17"/>
        <w:szCs w:val="17"/>
      </w:rPr>
      <w:t>15</w: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78EE6">
    <w:pPr>
      <w:spacing w:line="196" w:lineRule="auto"/>
      <w:ind w:left="4055"/>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w:t>
    </w:r>
    <w:r>
      <w:rPr>
        <w:rFonts w:ascii="Times New Roman" w:hAnsi="Times New Roman" w:eastAsia="Times New Roman" w:cs="Times New Roman"/>
        <w:spacing w:val="-3"/>
        <w:sz w:val="17"/>
        <w:szCs w:val="17"/>
      </w:rPr>
      <w:t>16</w: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03F42">
    <w:pPr>
      <w:spacing w:line="196" w:lineRule="auto"/>
      <w:ind w:left="4152"/>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w:t>
    </w:r>
    <w:r>
      <w:rPr>
        <w:rFonts w:ascii="Times New Roman" w:hAnsi="Times New Roman" w:eastAsia="Times New Roman" w:cs="Times New Roman"/>
        <w:spacing w:val="-3"/>
        <w:sz w:val="17"/>
        <w:szCs w:val="17"/>
      </w:rPr>
      <w:t>17</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5BC7B">
    <w:pPr>
      <w:spacing w:line="196" w:lineRule="auto"/>
      <w:ind w:left="4098"/>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10</w: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44F8B">
    <w:pPr>
      <w:spacing w:line="196" w:lineRule="auto"/>
      <w:ind w:left="6868"/>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w:t>
    </w:r>
    <w:r>
      <w:rPr>
        <w:rFonts w:ascii="Times New Roman" w:hAnsi="Times New Roman" w:eastAsia="Times New Roman" w:cs="Times New Roman"/>
        <w:spacing w:val="-3"/>
        <w:sz w:val="17"/>
        <w:szCs w:val="17"/>
      </w:rPr>
      <w:t>18</w: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86A96">
    <w:pPr>
      <w:spacing w:line="196" w:lineRule="auto"/>
      <w:ind w:left="4149"/>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w:t>
    </w:r>
    <w:r>
      <w:rPr>
        <w:rFonts w:ascii="Times New Roman" w:hAnsi="Times New Roman" w:eastAsia="Times New Roman" w:cs="Times New Roman"/>
        <w:spacing w:val="-3"/>
        <w:sz w:val="17"/>
        <w:szCs w:val="17"/>
      </w:rPr>
      <w:t>19</w: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95CE5">
    <w:pPr>
      <w:spacing w:line="196" w:lineRule="auto"/>
      <w:ind w:left="4146"/>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20</w: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88E0A">
    <w:pPr>
      <w:spacing w:line="196" w:lineRule="auto"/>
      <w:ind w:left="4338"/>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21</w: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EB0B0">
    <w:pPr>
      <w:spacing w:line="196" w:lineRule="auto"/>
      <w:ind w:left="4146"/>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22</w: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44350">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23</w: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F47F7">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24</w: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FF6B5">
    <w:pPr>
      <w:spacing w:line="196" w:lineRule="auto"/>
      <w:ind w:left="4146"/>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25</w: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E7656">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26</w: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CF8B6">
    <w:pPr>
      <w:spacing w:line="196" w:lineRule="auto"/>
      <w:ind w:left="4153"/>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27</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4D910">
    <w:pPr>
      <w:spacing w:line="196" w:lineRule="auto"/>
      <w:ind w:left="4100"/>
      <w:rPr>
        <w:rFonts w:ascii="Times New Roman" w:hAnsi="Times New Roman" w:eastAsia="Times New Roman" w:cs="Times New Roman"/>
        <w:sz w:val="17"/>
        <w:szCs w:val="17"/>
      </w:rPr>
    </w:pPr>
    <w:r>
      <w:rPr>
        <w:rFonts w:ascii="Times New Roman" w:hAnsi="Times New Roman" w:eastAsia="Times New Roman" w:cs="Times New Roman"/>
        <w:spacing w:val="-8"/>
        <w:sz w:val="17"/>
        <w:szCs w:val="17"/>
      </w:rPr>
      <w:t>1</w:t>
    </w:r>
    <w:r>
      <w:rPr>
        <w:rFonts w:ascii="Times New Roman" w:hAnsi="Times New Roman" w:eastAsia="Times New Roman" w:cs="Times New Roman"/>
        <w:spacing w:val="-7"/>
        <w:sz w:val="17"/>
        <w:szCs w:val="17"/>
      </w:rPr>
      <w:t>1</w: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267CB">
    <w:pPr>
      <w:spacing w:line="196" w:lineRule="auto"/>
      <w:ind w:left="4146"/>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28</w: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D0ABD">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29</w: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02D21">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30</w: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F63BA">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31</w: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68B1B">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32</w: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33FB3">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33</w: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E27FF">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34</w: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E3A93">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35</w: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27CA0">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36</w: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DEC00">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37</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7B502">
    <w:pPr>
      <w:spacing w:line="196" w:lineRule="auto"/>
      <w:ind w:left="4098"/>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12</w: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2AADE">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38</w: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892B7">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39</w: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2A0D0">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40</w: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B8B01">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41</w: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4E9B4">
    <w:pPr>
      <w:spacing w:line="196" w:lineRule="auto"/>
      <w:ind w:left="4061"/>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42</w: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1DE5B">
    <w:pPr>
      <w:spacing w:line="196" w:lineRule="auto"/>
      <w:ind w:left="4066"/>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43</w:t>
    </w: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6A1E4">
    <w:pPr>
      <w:spacing w:line="196" w:lineRule="auto"/>
      <w:ind w:left="6865"/>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44</w:t>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24A08">
    <w:pPr>
      <w:spacing w:line="196" w:lineRule="auto"/>
      <w:ind w:left="6865"/>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45</w:t>
    </w: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E34AF">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46</w:t>
    </w: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563FD">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47</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3F9B5">
    <w:pPr>
      <w:spacing w:line="196" w:lineRule="auto"/>
      <w:ind w:left="4098"/>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13</w:t>
    </w: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7A5A9">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48</w:t>
    </w: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8F06D">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49</w:t>
    </w: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7B7E2">
    <w:pPr>
      <w:spacing w:line="196" w:lineRule="auto"/>
      <w:ind w:left="4080"/>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50</w:t>
    </w:r>
  </w:p>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CB0BE">
    <w:pPr>
      <w:spacing w:line="196" w:lineRule="auto"/>
      <w:ind w:left="4080"/>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51</w:t>
    </w:r>
  </w:p>
</w:ftr>
</file>

<file path=word/footer1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4AE19">
    <w:pPr>
      <w:spacing w:line="196" w:lineRule="auto"/>
      <w:ind w:left="4146"/>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52</w:t>
    </w:r>
  </w:p>
</w:ftr>
</file>

<file path=word/footer1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7E1F1">
    <w:pPr>
      <w:spacing w:line="196" w:lineRule="auto"/>
      <w:ind w:left="4146"/>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53</w:t>
    </w:r>
  </w:p>
</w:ftr>
</file>

<file path=word/footer1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D3EF3">
    <w:pPr>
      <w:spacing w:line="196" w:lineRule="auto"/>
      <w:ind w:left="4146"/>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54</w:t>
    </w:r>
  </w:p>
</w:ftr>
</file>

<file path=word/footer1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61360">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55</w:t>
    </w:r>
  </w:p>
</w:ftr>
</file>

<file path=word/footer1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E537C">
    <w:pPr>
      <w:spacing w:line="196" w:lineRule="auto"/>
      <w:ind w:left="10324"/>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56</w:t>
    </w:r>
  </w:p>
</w:ftr>
</file>

<file path=word/footer1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DA349">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57</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D473E">
    <w:pPr>
      <w:spacing w:line="196" w:lineRule="auto"/>
      <w:ind w:left="4098"/>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14</w:t>
    </w:r>
  </w:p>
</w:ftr>
</file>

<file path=word/footer1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8A33E">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58</w:t>
    </w:r>
  </w:p>
</w:ftr>
</file>

<file path=word/footer1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69E09">
    <w:pPr>
      <w:spacing w:line="196" w:lineRule="auto"/>
      <w:ind w:left="4061"/>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59</w:t>
    </w:r>
  </w:p>
</w:ftr>
</file>

<file path=word/footer1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656F0">
    <w:pPr>
      <w:spacing w:line="196" w:lineRule="auto"/>
      <w:ind w:left="4061"/>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60</w:t>
    </w:r>
  </w:p>
</w:ftr>
</file>

<file path=word/footer1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22786">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61</w:t>
    </w:r>
  </w:p>
</w:ftr>
</file>

<file path=word/footer1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5A6D3">
    <w:pPr>
      <w:spacing w:line="196" w:lineRule="auto"/>
      <w:ind w:left="4080"/>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62</w:t>
    </w:r>
  </w:p>
</w:ftr>
</file>

<file path=word/footer1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FE989">
    <w:pPr>
      <w:spacing w:line="196" w:lineRule="auto"/>
      <w:ind w:left="4080"/>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63</w:t>
    </w:r>
  </w:p>
</w:ftr>
</file>

<file path=word/footer1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E66C0">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64</w:t>
    </w:r>
  </w:p>
</w:ftr>
</file>

<file path=word/footer1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AB98A">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65</w:t>
    </w:r>
  </w:p>
</w:ftr>
</file>

<file path=word/footer1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4BA01">
    <w:pPr>
      <w:spacing w:line="196" w:lineRule="auto"/>
      <w:ind w:left="4061"/>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66</w:t>
    </w:r>
  </w:p>
</w:ftr>
</file>

<file path=word/footer1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45C5C">
    <w:pPr>
      <w:spacing w:line="196" w:lineRule="auto"/>
      <w:ind w:left="4061"/>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67</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92E82">
    <w:pPr>
      <w:spacing w:line="196" w:lineRule="auto"/>
      <w:ind w:left="4107"/>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15</w:t>
    </w:r>
  </w:p>
</w:ftr>
</file>

<file path=word/footer1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12688">
    <w:pPr>
      <w:spacing w:line="196" w:lineRule="auto"/>
      <w:ind w:left="4061"/>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68</w:t>
    </w:r>
  </w:p>
</w:ftr>
</file>

<file path=word/footer1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440CF">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69</w:t>
    </w:r>
  </w:p>
</w:ftr>
</file>

<file path=word/footer1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395FA">
    <w:pPr>
      <w:spacing w:line="196" w:lineRule="auto"/>
      <w:ind w:left="4146"/>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70</w:t>
    </w:r>
  </w:p>
</w:ftr>
</file>

<file path=word/footer1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A22D2">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71</w:t>
    </w:r>
  </w:p>
</w:ftr>
</file>

<file path=word/footer1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8DBB2">
    <w:pPr>
      <w:spacing w:line="196" w:lineRule="auto"/>
      <w:ind w:left="4081"/>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72</w:t>
    </w:r>
  </w:p>
</w:ftr>
</file>

<file path=word/footer1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FF058">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73</w:t>
    </w:r>
  </w:p>
</w:ftr>
</file>

<file path=word/footer1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BFDEE">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74</w:t>
    </w:r>
  </w:p>
</w:ftr>
</file>

<file path=word/footer1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8457D">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75</w:t>
    </w:r>
  </w:p>
</w:ftr>
</file>

<file path=word/footer1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D71F2">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76</w:t>
    </w:r>
  </w:p>
</w:ftr>
</file>

<file path=word/footer1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2347E">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77</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2F529">
    <w:pPr>
      <w:spacing w:line="196" w:lineRule="auto"/>
      <w:ind w:left="4098"/>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16</w:t>
    </w:r>
  </w:p>
</w:ftr>
</file>

<file path=word/footer1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D2984">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78</w:t>
    </w:r>
  </w:p>
</w:ftr>
</file>

<file path=word/footer1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EF7F2">
    <w:pPr>
      <w:spacing w:line="196" w:lineRule="auto"/>
      <w:ind w:left="5104"/>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79</w:t>
    </w:r>
  </w:p>
</w:ftr>
</file>

<file path=word/footer1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389FE">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80</w:t>
    </w:r>
  </w:p>
</w:ftr>
</file>

<file path=word/footer1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577EE">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81</w:t>
    </w:r>
  </w:p>
</w:ftr>
</file>

<file path=word/footer1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8506D">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82</w:t>
    </w:r>
  </w:p>
</w:ftr>
</file>

<file path=word/footer1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F035C">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83</w:t>
    </w:r>
  </w:p>
</w:ftr>
</file>

<file path=word/footer1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C3013">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84</w:t>
    </w:r>
  </w:p>
</w:ftr>
</file>

<file path=word/footer1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4FEFA">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85</w:t>
    </w:r>
  </w:p>
</w:ftr>
</file>

<file path=word/footer1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C6F11">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86</w:t>
    </w:r>
  </w:p>
</w:ftr>
</file>

<file path=word/footer1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55D7F">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87</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78C91">
    <w:pPr>
      <w:spacing w:line="196" w:lineRule="auto"/>
      <w:ind w:left="6946"/>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17</w:t>
    </w:r>
  </w:p>
</w:ftr>
</file>

<file path=word/footer1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259DC">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88</w:t>
    </w:r>
  </w:p>
</w:ftr>
</file>

<file path=word/footer1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45C47">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89</w:t>
    </w:r>
  </w:p>
</w:ftr>
</file>

<file path=word/footer1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A7D5B">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90</w:t>
    </w:r>
  </w:p>
</w:ftr>
</file>

<file path=word/footer1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6EB20">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91</w:t>
    </w:r>
  </w:p>
</w:ftr>
</file>

<file path=word/footer1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EC0B5">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92</w:t>
    </w:r>
  </w:p>
</w:ftr>
</file>

<file path=word/footer1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E97D4">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93</w:t>
    </w:r>
  </w:p>
</w:ftr>
</file>

<file path=word/footer1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8A9BF">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94</w:t>
    </w:r>
  </w:p>
</w:ftr>
</file>

<file path=word/footer1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718AE">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95</w:t>
    </w:r>
  </w:p>
</w:ftr>
</file>

<file path=word/footer1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AC29A">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96</w:t>
    </w:r>
  </w:p>
</w:ftr>
</file>

<file path=word/footer1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207A5">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97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7F4D5">
    <w:pPr>
      <w:spacing w:line="193" w:lineRule="auto"/>
      <w:ind w:left="4110"/>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II</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E5D85">
    <w:pPr>
      <w:spacing w:line="196" w:lineRule="auto"/>
      <w:ind w:left="4098"/>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18</w:t>
    </w:r>
  </w:p>
</w:ftr>
</file>

<file path=word/footer2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101D4">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98</w:t>
    </w:r>
  </w:p>
</w:ftr>
</file>

<file path=word/footer2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DCBBB">
    <w:pPr>
      <w:spacing w:line="196" w:lineRule="auto"/>
      <w:ind w:left="405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w:t>
    </w:r>
    <w:r>
      <w:rPr>
        <w:rFonts w:ascii="Times New Roman" w:hAnsi="Times New Roman" w:eastAsia="Times New Roman" w:cs="Times New Roman"/>
        <w:spacing w:val="-2"/>
        <w:sz w:val="17"/>
        <w:szCs w:val="17"/>
      </w:rPr>
      <w:t>99</w:t>
    </w:r>
  </w:p>
</w:ftr>
</file>

<file path=word/footer2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F2679">
    <w:pPr>
      <w:spacing w:line="196" w:lineRule="auto"/>
      <w:ind w:left="4035"/>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2</w:t>
    </w:r>
    <w:r>
      <w:rPr>
        <w:rFonts w:ascii="Times New Roman" w:hAnsi="Times New Roman" w:eastAsia="Times New Roman" w:cs="Times New Roman"/>
        <w:spacing w:val="3"/>
        <w:sz w:val="17"/>
        <w:szCs w:val="17"/>
      </w:rPr>
      <w:t>00</w:t>
    </w:r>
  </w:p>
</w:ftr>
</file>

<file path=word/footer2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E0A21">
    <w:pPr>
      <w:spacing w:line="196" w:lineRule="auto"/>
      <w:ind w:left="4035"/>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2</w:t>
    </w:r>
    <w:r>
      <w:rPr>
        <w:rFonts w:ascii="Times New Roman" w:hAnsi="Times New Roman" w:eastAsia="Times New Roman" w:cs="Times New Roman"/>
        <w:spacing w:val="3"/>
        <w:sz w:val="17"/>
        <w:szCs w:val="17"/>
      </w:rPr>
      <w:t>01</w:t>
    </w:r>
  </w:p>
</w:ftr>
</file>

<file path=word/footer2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3B89A">
    <w:pPr>
      <w:spacing w:line="196" w:lineRule="auto"/>
      <w:ind w:left="4035"/>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2</w:t>
    </w:r>
    <w:r>
      <w:rPr>
        <w:rFonts w:ascii="Times New Roman" w:hAnsi="Times New Roman" w:eastAsia="Times New Roman" w:cs="Times New Roman"/>
        <w:spacing w:val="3"/>
        <w:sz w:val="17"/>
        <w:szCs w:val="17"/>
      </w:rPr>
      <w:t>02</w:t>
    </w:r>
  </w:p>
</w:ftr>
</file>

<file path=word/footer2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45419">
    <w:pPr>
      <w:spacing w:line="196" w:lineRule="auto"/>
      <w:ind w:left="4035"/>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2</w:t>
    </w:r>
    <w:r>
      <w:rPr>
        <w:rFonts w:ascii="Times New Roman" w:hAnsi="Times New Roman" w:eastAsia="Times New Roman" w:cs="Times New Roman"/>
        <w:spacing w:val="3"/>
        <w:sz w:val="17"/>
        <w:szCs w:val="17"/>
      </w:rPr>
      <w:t>03</w:t>
    </w:r>
  </w:p>
</w:ftr>
</file>

<file path=word/footer2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BBFDA">
    <w:pPr>
      <w:spacing w:line="196" w:lineRule="auto"/>
      <w:ind w:left="4035"/>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2</w:t>
    </w:r>
    <w:r>
      <w:rPr>
        <w:rFonts w:ascii="Times New Roman" w:hAnsi="Times New Roman" w:eastAsia="Times New Roman" w:cs="Times New Roman"/>
        <w:spacing w:val="3"/>
        <w:sz w:val="17"/>
        <w:szCs w:val="17"/>
      </w:rPr>
      <w:t>04</w:t>
    </w:r>
  </w:p>
</w:ftr>
</file>

<file path=word/footer2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F6CCE">
    <w:pPr>
      <w:spacing w:line="196" w:lineRule="auto"/>
      <w:ind w:left="4035"/>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2</w:t>
    </w:r>
    <w:r>
      <w:rPr>
        <w:rFonts w:ascii="Times New Roman" w:hAnsi="Times New Roman" w:eastAsia="Times New Roman" w:cs="Times New Roman"/>
        <w:spacing w:val="3"/>
        <w:sz w:val="17"/>
        <w:szCs w:val="17"/>
      </w:rPr>
      <w:t>05</w:t>
    </w:r>
  </w:p>
</w:ftr>
</file>

<file path=word/footer2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E287D">
    <w:pPr>
      <w:spacing w:line="196" w:lineRule="auto"/>
      <w:ind w:left="4035"/>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2</w:t>
    </w:r>
    <w:r>
      <w:rPr>
        <w:rFonts w:ascii="Times New Roman" w:hAnsi="Times New Roman" w:eastAsia="Times New Roman" w:cs="Times New Roman"/>
        <w:spacing w:val="3"/>
        <w:sz w:val="17"/>
        <w:szCs w:val="17"/>
      </w:rPr>
      <w:t>06</w:t>
    </w:r>
  </w:p>
</w:ftr>
</file>

<file path=word/footer2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D9B81">
    <w:pPr>
      <w:spacing w:line="196" w:lineRule="auto"/>
      <w:ind w:left="4035"/>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2</w:t>
    </w:r>
    <w:r>
      <w:rPr>
        <w:rFonts w:ascii="Times New Roman" w:hAnsi="Times New Roman" w:eastAsia="Times New Roman" w:cs="Times New Roman"/>
        <w:spacing w:val="3"/>
        <w:sz w:val="17"/>
        <w:szCs w:val="17"/>
      </w:rPr>
      <w:t>07</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3DD1B">
    <w:pPr>
      <w:spacing w:line="196" w:lineRule="auto"/>
      <w:ind w:left="4098"/>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19</w:t>
    </w:r>
  </w:p>
</w:ftr>
</file>

<file path=word/footer2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67DF2">
    <w:pPr>
      <w:spacing w:line="196" w:lineRule="auto"/>
      <w:ind w:left="4035"/>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2</w:t>
    </w:r>
    <w:r>
      <w:rPr>
        <w:rFonts w:ascii="Times New Roman" w:hAnsi="Times New Roman" w:eastAsia="Times New Roman" w:cs="Times New Roman"/>
        <w:spacing w:val="3"/>
        <w:sz w:val="17"/>
        <w:szCs w:val="17"/>
      </w:rPr>
      <w:t>08</w:t>
    </w:r>
  </w:p>
</w:ftr>
</file>

<file path=word/footer2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A6F20">
    <w:pPr>
      <w:spacing w:line="196" w:lineRule="auto"/>
      <w:ind w:left="4035"/>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2</w:t>
    </w:r>
    <w:r>
      <w:rPr>
        <w:rFonts w:ascii="Times New Roman" w:hAnsi="Times New Roman" w:eastAsia="Times New Roman" w:cs="Times New Roman"/>
        <w:spacing w:val="3"/>
        <w:sz w:val="17"/>
        <w:szCs w:val="17"/>
      </w:rPr>
      <w:t>09</w:t>
    </w:r>
  </w:p>
</w:ftr>
</file>

<file path=word/footer2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9BA03">
    <w:pPr>
      <w:spacing w:line="196" w:lineRule="auto"/>
      <w:ind w:left="4764"/>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2</w:t>
    </w:r>
    <w:r>
      <w:rPr>
        <w:rFonts w:ascii="Times New Roman" w:hAnsi="Times New Roman" w:eastAsia="Times New Roman" w:cs="Times New Roman"/>
        <w:spacing w:val="3"/>
        <w:sz w:val="17"/>
        <w:szCs w:val="17"/>
      </w:rPr>
      <w:t>10</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9F7A6">
    <w:pPr>
      <w:spacing w:line="196" w:lineRule="auto"/>
      <w:ind w:left="4081"/>
      <w:rPr>
        <w:rFonts w:ascii="Times New Roman" w:hAnsi="Times New Roman" w:eastAsia="Times New Roman" w:cs="Times New Roman"/>
        <w:sz w:val="17"/>
        <w:szCs w:val="17"/>
      </w:rPr>
    </w:pPr>
    <w:r>
      <w:rPr>
        <w:rFonts w:ascii="Times New Roman" w:hAnsi="Times New Roman" w:eastAsia="Times New Roman" w:cs="Times New Roman"/>
        <w:spacing w:val="4"/>
        <w:sz w:val="17"/>
        <w:szCs w:val="17"/>
      </w:rPr>
      <w:t>2</w:t>
    </w:r>
    <w:r>
      <w:rPr>
        <w:rFonts w:ascii="Times New Roman" w:hAnsi="Times New Roman" w:eastAsia="Times New Roman" w:cs="Times New Roman"/>
        <w:spacing w:val="3"/>
        <w:sz w:val="17"/>
        <w:szCs w:val="17"/>
      </w:rPr>
      <w:t>0</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AA0CD">
    <w:pPr>
      <w:spacing w:line="196" w:lineRule="auto"/>
      <w:ind w:left="4081"/>
      <w:rPr>
        <w:rFonts w:ascii="Times New Roman" w:hAnsi="Times New Roman" w:eastAsia="Times New Roman" w:cs="Times New Roman"/>
        <w:sz w:val="17"/>
        <w:szCs w:val="17"/>
      </w:rPr>
    </w:pPr>
    <w:r>
      <w:rPr>
        <w:rFonts w:ascii="Times New Roman" w:hAnsi="Times New Roman" w:eastAsia="Times New Roman" w:cs="Times New Roman"/>
        <w:spacing w:val="4"/>
        <w:sz w:val="17"/>
        <w:szCs w:val="17"/>
      </w:rPr>
      <w:t>2</w:t>
    </w:r>
    <w:r>
      <w:rPr>
        <w:rFonts w:ascii="Times New Roman" w:hAnsi="Times New Roman" w:eastAsia="Times New Roman" w:cs="Times New Roman"/>
        <w:spacing w:val="3"/>
        <w:sz w:val="17"/>
        <w:szCs w:val="17"/>
      </w:rPr>
      <w:t>1</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F9D0F">
    <w:pPr>
      <w:spacing w:line="196" w:lineRule="auto"/>
      <w:ind w:left="4081"/>
      <w:rPr>
        <w:rFonts w:ascii="Times New Roman" w:hAnsi="Times New Roman" w:eastAsia="Times New Roman" w:cs="Times New Roman"/>
        <w:sz w:val="17"/>
        <w:szCs w:val="17"/>
      </w:rPr>
    </w:pPr>
    <w:r>
      <w:rPr>
        <w:rFonts w:ascii="Times New Roman" w:hAnsi="Times New Roman" w:eastAsia="Times New Roman" w:cs="Times New Roman"/>
        <w:spacing w:val="4"/>
        <w:sz w:val="17"/>
        <w:szCs w:val="17"/>
      </w:rPr>
      <w:t>2</w:t>
    </w:r>
    <w:r>
      <w:rPr>
        <w:rFonts w:ascii="Times New Roman" w:hAnsi="Times New Roman" w:eastAsia="Times New Roman" w:cs="Times New Roman"/>
        <w:spacing w:val="3"/>
        <w:sz w:val="17"/>
        <w:szCs w:val="17"/>
      </w:rPr>
      <w:t>2</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4D035">
    <w:pPr>
      <w:spacing w:line="196" w:lineRule="auto"/>
      <w:ind w:left="4081"/>
      <w:rPr>
        <w:rFonts w:ascii="Times New Roman" w:hAnsi="Times New Roman" w:eastAsia="Times New Roman" w:cs="Times New Roman"/>
        <w:sz w:val="17"/>
        <w:szCs w:val="17"/>
      </w:rPr>
    </w:pPr>
    <w:r>
      <w:rPr>
        <w:rFonts w:ascii="Times New Roman" w:hAnsi="Times New Roman" w:eastAsia="Times New Roman" w:cs="Times New Roman"/>
        <w:spacing w:val="4"/>
        <w:sz w:val="17"/>
        <w:szCs w:val="17"/>
      </w:rPr>
      <w:t>2</w:t>
    </w:r>
    <w:r>
      <w:rPr>
        <w:rFonts w:ascii="Times New Roman" w:hAnsi="Times New Roman" w:eastAsia="Times New Roman" w:cs="Times New Roman"/>
        <w:spacing w:val="3"/>
        <w:sz w:val="17"/>
        <w:szCs w:val="17"/>
      </w:rPr>
      <w:t>3</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99AA1">
    <w:pPr>
      <w:spacing w:line="196" w:lineRule="auto"/>
      <w:ind w:left="4089"/>
      <w:rPr>
        <w:rFonts w:ascii="Times New Roman" w:hAnsi="Times New Roman" w:eastAsia="Times New Roman" w:cs="Times New Roman"/>
        <w:sz w:val="17"/>
        <w:szCs w:val="17"/>
      </w:rPr>
    </w:pPr>
    <w:r>
      <w:rPr>
        <w:rFonts w:ascii="Times New Roman" w:hAnsi="Times New Roman" w:eastAsia="Times New Roman" w:cs="Times New Roman"/>
        <w:spacing w:val="4"/>
        <w:sz w:val="17"/>
        <w:szCs w:val="17"/>
      </w:rPr>
      <w:t>2</w:t>
    </w:r>
    <w:r>
      <w:rPr>
        <w:rFonts w:ascii="Times New Roman" w:hAnsi="Times New Roman" w:eastAsia="Times New Roman" w:cs="Times New Roman"/>
        <w:spacing w:val="3"/>
        <w:sz w:val="17"/>
        <w:szCs w:val="17"/>
      </w:rPr>
      <w:t>4</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C0C4C">
    <w:pPr>
      <w:spacing w:line="196" w:lineRule="auto"/>
      <w:ind w:left="4117"/>
      <w:rPr>
        <w:rFonts w:ascii="Times New Roman" w:hAnsi="Times New Roman" w:eastAsia="Times New Roman" w:cs="Times New Roman"/>
        <w:sz w:val="17"/>
        <w:szCs w:val="17"/>
      </w:rPr>
    </w:pPr>
    <w:r>
      <w:rPr>
        <w:rFonts w:ascii="Times New Roman" w:hAnsi="Times New Roman" w:eastAsia="Times New Roman" w:cs="Times New Roman"/>
        <w:spacing w:val="4"/>
        <w:sz w:val="17"/>
        <w:szCs w:val="17"/>
      </w:rPr>
      <w:t>2</w:t>
    </w:r>
    <w:r>
      <w:rPr>
        <w:rFonts w:ascii="Times New Roman" w:hAnsi="Times New Roman" w:eastAsia="Times New Roman" w:cs="Times New Roman"/>
        <w:spacing w:val="3"/>
        <w:sz w:val="17"/>
        <w:szCs w:val="17"/>
      </w:rPr>
      <w:t>5</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F619D">
    <w:pPr>
      <w:spacing w:line="196" w:lineRule="auto"/>
      <w:ind w:left="4179"/>
      <w:rPr>
        <w:rFonts w:ascii="Times New Roman" w:hAnsi="Times New Roman" w:eastAsia="Times New Roman" w:cs="Times New Roman"/>
        <w:sz w:val="17"/>
        <w:szCs w:val="17"/>
      </w:rPr>
    </w:pPr>
    <w:r>
      <w:rPr>
        <w:rFonts w:ascii="Times New Roman" w:hAnsi="Times New Roman" w:eastAsia="Times New Roman" w:cs="Times New Roman"/>
        <w:spacing w:val="4"/>
        <w:sz w:val="17"/>
        <w:szCs w:val="17"/>
      </w:rPr>
      <w:t>2</w:t>
    </w:r>
    <w:r>
      <w:rPr>
        <w:rFonts w:ascii="Times New Roman" w:hAnsi="Times New Roman" w:eastAsia="Times New Roman" w:cs="Times New Roman"/>
        <w:spacing w:val="3"/>
        <w:sz w:val="17"/>
        <w:szCs w:val="17"/>
      </w:rPr>
      <w:t>6</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BD34B">
    <w:pPr>
      <w:spacing w:line="196" w:lineRule="auto"/>
      <w:ind w:left="4174"/>
      <w:rPr>
        <w:rFonts w:ascii="Times New Roman" w:hAnsi="Times New Roman" w:eastAsia="Times New Roman" w:cs="Times New Roman"/>
        <w:sz w:val="17"/>
        <w:szCs w:val="17"/>
      </w:rPr>
    </w:pPr>
    <w:r>
      <w:rPr>
        <w:rFonts w:ascii="Times New Roman" w:hAnsi="Times New Roman" w:eastAsia="Times New Roman" w:cs="Times New Roman"/>
        <w:spacing w:val="4"/>
        <w:sz w:val="17"/>
        <w:szCs w:val="17"/>
      </w:rPr>
      <w:t>2</w:t>
    </w:r>
    <w:r>
      <w:rPr>
        <w:rFonts w:ascii="Times New Roman" w:hAnsi="Times New Roman" w:eastAsia="Times New Roman" w:cs="Times New Roman"/>
        <w:spacing w:val="3"/>
        <w:sz w:val="17"/>
        <w:szCs w:val="17"/>
      </w:rPr>
      <w:t>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1AA43">
    <w:pPr>
      <w:spacing w:line="196" w:lineRule="auto"/>
      <w:ind w:left="4143"/>
      <w:rPr>
        <w:rFonts w:ascii="Times New Roman" w:hAnsi="Times New Roman" w:eastAsia="Times New Roman" w:cs="Times New Roman"/>
        <w:sz w:val="17"/>
        <w:szCs w:val="17"/>
      </w:rPr>
    </w:pPr>
    <w:r>
      <w:rPr>
        <w:rFonts w:ascii="Times New Roman" w:hAnsi="Times New Roman" w:eastAsia="Times New Roman" w:cs="Times New Roman"/>
        <w:sz w:val="17"/>
        <w:szCs w:val="17"/>
      </w:rPr>
      <w:t>1</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A8957">
    <w:pPr>
      <w:spacing w:line="196" w:lineRule="auto"/>
      <w:ind w:left="4174"/>
      <w:rPr>
        <w:rFonts w:ascii="Times New Roman" w:hAnsi="Times New Roman" w:eastAsia="Times New Roman" w:cs="Times New Roman"/>
        <w:sz w:val="17"/>
        <w:szCs w:val="17"/>
      </w:rPr>
    </w:pPr>
    <w:r>
      <w:rPr>
        <w:rFonts w:ascii="Times New Roman" w:hAnsi="Times New Roman" w:eastAsia="Times New Roman" w:cs="Times New Roman"/>
        <w:spacing w:val="4"/>
        <w:sz w:val="17"/>
        <w:szCs w:val="17"/>
      </w:rPr>
      <w:t>2</w:t>
    </w:r>
    <w:r>
      <w:rPr>
        <w:rFonts w:ascii="Times New Roman" w:hAnsi="Times New Roman" w:eastAsia="Times New Roman" w:cs="Times New Roman"/>
        <w:spacing w:val="3"/>
        <w:sz w:val="17"/>
        <w:szCs w:val="17"/>
      </w:rPr>
      <w:t>8</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23FAC">
    <w:pPr>
      <w:spacing w:line="196" w:lineRule="auto"/>
      <w:ind w:left="4174"/>
      <w:rPr>
        <w:rFonts w:ascii="Times New Roman" w:hAnsi="Times New Roman" w:eastAsia="Times New Roman" w:cs="Times New Roman"/>
        <w:sz w:val="17"/>
        <w:szCs w:val="17"/>
      </w:rPr>
    </w:pPr>
    <w:r>
      <w:rPr>
        <w:rFonts w:ascii="Times New Roman" w:hAnsi="Times New Roman" w:eastAsia="Times New Roman" w:cs="Times New Roman"/>
        <w:spacing w:val="4"/>
        <w:sz w:val="17"/>
        <w:szCs w:val="17"/>
      </w:rPr>
      <w:t>2</w:t>
    </w:r>
    <w:r>
      <w:rPr>
        <w:rFonts w:ascii="Times New Roman" w:hAnsi="Times New Roman" w:eastAsia="Times New Roman" w:cs="Times New Roman"/>
        <w:spacing w:val="3"/>
        <w:sz w:val="17"/>
        <w:szCs w:val="17"/>
      </w:rPr>
      <w:t>9</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B4FA0">
    <w:pPr>
      <w:spacing w:line="196" w:lineRule="auto"/>
      <w:ind w:left="4178"/>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3</w:t>
    </w:r>
    <w:r>
      <w:rPr>
        <w:rFonts w:ascii="Times New Roman" w:hAnsi="Times New Roman" w:eastAsia="Times New Roman" w:cs="Times New Roman"/>
        <w:spacing w:val="1"/>
        <w:sz w:val="17"/>
        <w:szCs w:val="17"/>
      </w:rPr>
      <w:t>0</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E9ED9">
    <w:pPr>
      <w:spacing w:line="196" w:lineRule="auto"/>
      <w:ind w:left="4178"/>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3</w:t>
    </w:r>
    <w:r>
      <w:rPr>
        <w:rFonts w:ascii="Times New Roman" w:hAnsi="Times New Roman" w:eastAsia="Times New Roman" w:cs="Times New Roman"/>
        <w:spacing w:val="1"/>
        <w:sz w:val="17"/>
        <w:szCs w:val="17"/>
      </w:rPr>
      <w:t>1</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1436A">
    <w:pPr>
      <w:spacing w:line="196" w:lineRule="auto"/>
      <w:ind w:left="4178"/>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3</w:t>
    </w:r>
    <w:r>
      <w:rPr>
        <w:rFonts w:ascii="Times New Roman" w:hAnsi="Times New Roman" w:eastAsia="Times New Roman" w:cs="Times New Roman"/>
        <w:spacing w:val="1"/>
        <w:sz w:val="17"/>
        <w:szCs w:val="17"/>
      </w:rPr>
      <w:t>2</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B8D49">
    <w:pPr>
      <w:spacing w:line="196" w:lineRule="auto"/>
      <w:ind w:left="4178"/>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3</w:t>
    </w:r>
    <w:r>
      <w:rPr>
        <w:rFonts w:ascii="Times New Roman" w:hAnsi="Times New Roman" w:eastAsia="Times New Roman" w:cs="Times New Roman"/>
        <w:spacing w:val="1"/>
        <w:sz w:val="17"/>
        <w:szCs w:val="17"/>
      </w:rPr>
      <w:t>3</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438A5">
    <w:pPr>
      <w:spacing w:line="196" w:lineRule="auto"/>
      <w:ind w:left="4178"/>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3</w:t>
    </w:r>
    <w:r>
      <w:rPr>
        <w:rFonts w:ascii="Times New Roman" w:hAnsi="Times New Roman" w:eastAsia="Times New Roman" w:cs="Times New Roman"/>
        <w:spacing w:val="1"/>
        <w:sz w:val="17"/>
        <w:szCs w:val="17"/>
      </w:rPr>
      <w:t>4</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25198">
    <w:pPr>
      <w:spacing w:line="196" w:lineRule="auto"/>
      <w:ind w:left="4185"/>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3</w:t>
    </w:r>
    <w:r>
      <w:rPr>
        <w:rFonts w:ascii="Times New Roman" w:hAnsi="Times New Roman" w:eastAsia="Times New Roman" w:cs="Times New Roman"/>
        <w:spacing w:val="1"/>
        <w:sz w:val="17"/>
        <w:szCs w:val="17"/>
      </w:rPr>
      <w:t>5</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F2A3D">
    <w:pPr>
      <w:spacing w:line="196" w:lineRule="auto"/>
      <w:ind w:left="4112"/>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3</w:t>
    </w:r>
    <w:r>
      <w:rPr>
        <w:rFonts w:ascii="Times New Roman" w:hAnsi="Times New Roman" w:eastAsia="Times New Roman" w:cs="Times New Roman"/>
        <w:spacing w:val="1"/>
        <w:sz w:val="17"/>
        <w:szCs w:val="17"/>
      </w:rPr>
      <w:t>6</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D3153">
    <w:pPr>
      <w:spacing w:line="196" w:lineRule="auto"/>
      <w:ind w:left="4084"/>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3</w:t>
    </w:r>
    <w:r>
      <w:rPr>
        <w:rFonts w:ascii="Times New Roman" w:hAnsi="Times New Roman" w:eastAsia="Times New Roman" w:cs="Times New Roman"/>
        <w:spacing w:val="1"/>
        <w:sz w:val="17"/>
        <w:szCs w:val="17"/>
      </w:rPr>
      <w:t>7</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3303C">
    <w:pPr>
      <w:spacing w:line="196" w:lineRule="auto"/>
      <w:ind w:left="4126"/>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2</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65F06">
    <w:pPr>
      <w:spacing w:line="196" w:lineRule="auto"/>
      <w:ind w:left="4178"/>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3</w:t>
    </w:r>
    <w:r>
      <w:rPr>
        <w:rFonts w:ascii="Times New Roman" w:hAnsi="Times New Roman" w:eastAsia="Times New Roman" w:cs="Times New Roman"/>
        <w:spacing w:val="1"/>
        <w:sz w:val="17"/>
        <w:szCs w:val="17"/>
      </w:rPr>
      <w:t>8</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62700">
    <w:pPr>
      <w:spacing w:line="196" w:lineRule="auto"/>
      <w:ind w:left="4112"/>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3</w:t>
    </w:r>
    <w:r>
      <w:rPr>
        <w:rFonts w:ascii="Times New Roman" w:hAnsi="Times New Roman" w:eastAsia="Times New Roman" w:cs="Times New Roman"/>
        <w:spacing w:val="1"/>
        <w:sz w:val="17"/>
        <w:szCs w:val="17"/>
      </w:rPr>
      <w:t>9</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A2EAB">
    <w:pPr>
      <w:spacing w:line="196" w:lineRule="auto"/>
      <w:ind w:left="10351"/>
      <w:rPr>
        <w:rFonts w:ascii="Times New Roman" w:hAnsi="Times New Roman" w:eastAsia="Times New Roman" w:cs="Times New Roman"/>
        <w:sz w:val="17"/>
        <w:szCs w:val="17"/>
      </w:rPr>
    </w:pPr>
    <w:r>
      <w:rPr>
        <w:rFonts w:ascii="Times New Roman" w:hAnsi="Times New Roman" w:eastAsia="Times New Roman" w:cs="Times New Roman"/>
        <w:spacing w:val="4"/>
        <w:sz w:val="17"/>
        <w:szCs w:val="17"/>
      </w:rPr>
      <w:t>40</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EAE6F">
    <w:pPr>
      <w:spacing w:line="196" w:lineRule="auto"/>
      <w:ind w:left="4080"/>
      <w:rPr>
        <w:rFonts w:ascii="Times New Roman" w:hAnsi="Times New Roman" w:eastAsia="Times New Roman" w:cs="Times New Roman"/>
        <w:sz w:val="17"/>
        <w:szCs w:val="17"/>
      </w:rPr>
    </w:pPr>
    <w:r>
      <w:rPr>
        <w:rFonts w:ascii="Times New Roman" w:hAnsi="Times New Roman" w:eastAsia="Times New Roman" w:cs="Times New Roman"/>
        <w:spacing w:val="4"/>
        <w:sz w:val="17"/>
        <w:szCs w:val="17"/>
      </w:rPr>
      <w:t>41</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1D292">
    <w:pPr>
      <w:spacing w:line="196" w:lineRule="auto"/>
      <w:ind w:left="4174"/>
      <w:rPr>
        <w:rFonts w:ascii="Times New Roman" w:hAnsi="Times New Roman" w:eastAsia="Times New Roman" w:cs="Times New Roman"/>
        <w:sz w:val="17"/>
        <w:szCs w:val="17"/>
      </w:rPr>
    </w:pPr>
    <w:r>
      <w:rPr>
        <w:rFonts w:ascii="Times New Roman" w:hAnsi="Times New Roman" w:eastAsia="Times New Roman" w:cs="Times New Roman"/>
        <w:spacing w:val="4"/>
        <w:sz w:val="17"/>
        <w:szCs w:val="17"/>
      </w:rPr>
      <w:t>42</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0298E">
    <w:pPr>
      <w:spacing w:line="196" w:lineRule="auto"/>
      <w:ind w:left="4106"/>
      <w:rPr>
        <w:rFonts w:ascii="Times New Roman" w:hAnsi="Times New Roman" w:eastAsia="Times New Roman" w:cs="Times New Roman"/>
        <w:sz w:val="17"/>
        <w:szCs w:val="17"/>
      </w:rPr>
    </w:pPr>
    <w:r>
      <w:rPr>
        <w:rFonts w:ascii="Times New Roman" w:hAnsi="Times New Roman" w:eastAsia="Times New Roman" w:cs="Times New Roman"/>
        <w:spacing w:val="4"/>
        <w:sz w:val="17"/>
        <w:szCs w:val="17"/>
      </w:rPr>
      <w:t>43</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66FA0">
    <w:pPr>
      <w:spacing w:line="196" w:lineRule="auto"/>
      <w:ind w:left="4106"/>
      <w:rPr>
        <w:rFonts w:ascii="Times New Roman" w:hAnsi="Times New Roman" w:eastAsia="Times New Roman" w:cs="Times New Roman"/>
        <w:sz w:val="17"/>
        <w:szCs w:val="17"/>
      </w:rPr>
    </w:pPr>
    <w:r>
      <w:rPr>
        <w:rFonts w:ascii="Times New Roman" w:hAnsi="Times New Roman" w:eastAsia="Times New Roman" w:cs="Times New Roman"/>
        <w:spacing w:val="4"/>
        <w:sz w:val="17"/>
        <w:szCs w:val="17"/>
      </w:rPr>
      <w:t>44</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8B004">
    <w:pPr>
      <w:spacing w:line="196" w:lineRule="auto"/>
      <w:ind w:left="4174"/>
      <w:rPr>
        <w:rFonts w:ascii="Times New Roman" w:hAnsi="Times New Roman" w:eastAsia="Times New Roman" w:cs="Times New Roman"/>
        <w:sz w:val="17"/>
        <w:szCs w:val="17"/>
      </w:rPr>
    </w:pPr>
    <w:r>
      <w:rPr>
        <w:rFonts w:ascii="Times New Roman" w:hAnsi="Times New Roman" w:eastAsia="Times New Roman" w:cs="Times New Roman"/>
        <w:spacing w:val="4"/>
        <w:sz w:val="17"/>
        <w:szCs w:val="17"/>
      </w:rPr>
      <w:t>45</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136D5">
    <w:pPr>
      <w:spacing w:line="196" w:lineRule="auto"/>
      <w:ind w:left="4174"/>
      <w:rPr>
        <w:rFonts w:ascii="Times New Roman" w:hAnsi="Times New Roman" w:eastAsia="Times New Roman" w:cs="Times New Roman"/>
        <w:sz w:val="17"/>
        <w:szCs w:val="17"/>
      </w:rPr>
    </w:pPr>
    <w:r>
      <w:rPr>
        <w:rFonts w:ascii="Times New Roman" w:hAnsi="Times New Roman" w:eastAsia="Times New Roman" w:cs="Times New Roman"/>
        <w:spacing w:val="4"/>
        <w:sz w:val="17"/>
        <w:szCs w:val="17"/>
      </w:rPr>
      <w:t>46</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3FF03">
    <w:pPr>
      <w:spacing w:line="196" w:lineRule="auto"/>
      <w:ind w:left="4174"/>
      <w:rPr>
        <w:rFonts w:ascii="Times New Roman" w:hAnsi="Times New Roman" w:eastAsia="Times New Roman" w:cs="Times New Roman"/>
        <w:sz w:val="17"/>
        <w:szCs w:val="17"/>
      </w:rPr>
    </w:pPr>
    <w:r>
      <w:rPr>
        <w:rFonts w:ascii="Times New Roman" w:hAnsi="Times New Roman" w:eastAsia="Times New Roman" w:cs="Times New Roman"/>
        <w:spacing w:val="4"/>
        <w:sz w:val="17"/>
        <w:szCs w:val="17"/>
      </w:rPr>
      <w:t>47</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D43E2">
    <w:pPr>
      <w:spacing w:line="196" w:lineRule="auto"/>
      <w:ind w:left="4130"/>
      <w:rPr>
        <w:rFonts w:ascii="Times New Roman" w:hAnsi="Times New Roman" w:eastAsia="Times New Roman" w:cs="Times New Roman"/>
        <w:sz w:val="17"/>
        <w:szCs w:val="17"/>
      </w:rPr>
    </w:pPr>
    <w:r>
      <w:rPr>
        <w:rFonts w:ascii="Times New Roman" w:hAnsi="Times New Roman" w:eastAsia="Times New Roman" w:cs="Times New Roman"/>
        <w:sz w:val="17"/>
        <w:szCs w:val="17"/>
      </w:rPr>
      <w:t>3</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2F98C">
    <w:pPr>
      <w:spacing w:line="196" w:lineRule="auto"/>
      <w:ind w:left="6890"/>
      <w:rPr>
        <w:rFonts w:ascii="Times New Roman" w:hAnsi="Times New Roman" w:eastAsia="Times New Roman" w:cs="Times New Roman"/>
        <w:sz w:val="17"/>
        <w:szCs w:val="17"/>
      </w:rPr>
    </w:pPr>
    <w:r>
      <w:rPr>
        <w:rFonts w:ascii="Times New Roman" w:hAnsi="Times New Roman" w:eastAsia="Times New Roman" w:cs="Times New Roman"/>
        <w:spacing w:val="4"/>
        <w:sz w:val="17"/>
        <w:szCs w:val="17"/>
      </w:rPr>
      <w:t>48</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D2067">
    <w:pPr>
      <w:spacing w:line="196" w:lineRule="auto"/>
      <w:ind w:left="4174"/>
      <w:rPr>
        <w:rFonts w:ascii="Times New Roman" w:hAnsi="Times New Roman" w:eastAsia="Times New Roman" w:cs="Times New Roman"/>
        <w:sz w:val="17"/>
        <w:szCs w:val="17"/>
      </w:rPr>
    </w:pPr>
    <w:r>
      <w:rPr>
        <w:rFonts w:ascii="Times New Roman" w:hAnsi="Times New Roman" w:eastAsia="Times New Roman" w:cs="Times New Roman"/>
        <w:spacing w:val="4"/>
        <w:sz w:val="17"/>
        <w:szCs w:val="17"/>
      </w:rPr>
      <w:t>49</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7EC1E">
    <w:pPr>
      <w:spacing w:line="196" w:lineRule="auto"/>
      <w:ind w:left="4085"/>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50</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D50C4">
    <w:pPr>
      <w:spacing w:line="196" w:lineRule="auto"/>
      <w:ind w:left="4085"/>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51</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F13D9">
    <w:pPr>
      <w:spacing w:line="196" w:lineRule="auto"/>
      <w:ind w:left="4179"/>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52</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1F1D4">
    <w:pPr>
      <w:spacing w:line="196" w:lineRule="auto"/>
      <w:ind w:left="4085"/>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53</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F56DA">
    <w:pPr>
      <w:spacing w:line="196" w:lineRule="auto"/>
      <w:ind w:left="4179"/>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54</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BBF52">
    <w:pPr>
      <w:spacing w:line="193" w:lineRule="auto"/>
      <w:ind w:left="4085"/>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55</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DFC36">
    <w:pPr>
      <w:spacing w:line="196" w:lineRule="auto"/>
      <w:ind w:left="4085"/>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56</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0EA97">
    <w:pPr>
      <w:spacing w:line="193" w:lineRule="auto"/>
      <w:ind w:left="4085"/>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57</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31E5F">
    <w:pPr>
      <w:spacing w:line="196" w:lineRule="auto"/>
      <w:ind w:left="4154"/>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4</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B85F1">
    <w:pPr>
      <w:spacing w:line="196" w:lineRule="auto"/>
      <w:ind w:left="4085"/>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58</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FC505">
    <w:pPr>
      <w:spacing w:line="196" w:lineRule="auto"/>
      <w:ind w:left="4179"/>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59</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D34CC">
    <w:pPr>
      <w:spacing w:line="196" w:lineRule="auto"/>
      <w:ind w:left="4178"/>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6</w:t>
    </w:r>
    <w:r>
      <w:rPr>
        <w:rFonts w:ascii="Times New Roman" w:hAnsi="Times New Roman" w:eastAsia="Times New Roman" w:cs="Times New Roman"/>
        <w:spacing w:val="1"/>
        <w:sz w:val="17"/>
        <w:szCs w:val="17"/>
      </w:rPr>
      <w:t>0</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B66EB">
    <w:pPr>
      <w:spacing w:line="196" w:lineRule="auto"/>
      <w:ind w:left="4085"/>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6</w:t>
    </w:r>
    <w:r>
      <w:rPr>
        <w:rFonts w:ascii="Times New Roman" w:hAnsi="Times New Roman" w:eastAsia="Times New Roman" w:cs="Times New Roman"/>
        <w:spacing w:val="1"/>
        <w:sz w:val="17"/>
        <w:szCs w:val="17"/>
      </w:rPr>
      <w:t>1</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2C7A6">
    <w:pPr>
      <w:spacing w:line="196" w:lineRule="auto"/>
      <w:ind w:left="4085"/>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6</w:t>
    </w:r>
    <w:r>
      <w:rPr>
        <w:rFonts w:ascii="Times New Roman" w:hAnsi="Times New Roman" w:eastAsia="Times New Roman" w:cs="Times New Roman"/>
        <w:spacing w:val="1"/>
        <w:sz w:val="17"/>
        <w:szCs w:val="17"/>
      </w:rPr>
      <w:t>2</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C240C">
    <w:pPr>
      <w:spacing w:line="196" w:lineRule="auto"/>
      <w:ind w:left="4085"/>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6</w:t>
    </w:r>
    <w:r>
      <w:rPr>
        <w:rFonts w:ascii="Times New Roman" w:hAnsi="Times New Roman" w:eastAsia="Times New Roman" w:cs="Times New Roman"/>
        <w:spacing w:val="1"/>
        <w:sz w:val="17"/>
        <w:szCs w:val="17"/>
      </w:rPr>
      <w:t>3</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60095">
    <w:pPr>
      <w:spacing w:line="196" w:lineRule="auto"/>
      <w:ind w:left="4178"/>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6</w:t>
    </w:r>
    <w:r>
      <w:rPr>
        <w:rFonts w:ascii="Times New Roman" w:hAnsi="Times New Roman" w:eastAsia="Times New Roman" w:cs="Times New Roman"/>
        <w:spacing w:val="1"/>
        <w:sz w:val="17"/>
        <w:szCs w:val="17"/>
      </w:rPr>
      <w:t>4</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60313">
    <w:pPr>
      <w:spacing w:line="196" w:lineRule="auto"/>
      <w:ind w:left="4085"/>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6</w:t>
    </w:r>
    <w:r>
      <w:rPr>
        <w:rFonts w:ascii="Times New Roman" w:hAnsi="Times New Roman" w:eastAsia="Times New Roman" w:cs="Times New Roman"/>
        <w:spacing w:val="1"/>
        <w:sz w:val="17"/>
        <w:szCs w:val="17"/>
      </w:rPr>
      <w:t>5</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C51D9">
    <w:pPr>
      <w:spacing w:line="196" w:lineRule="auto"/>
      <w:ind w:left="4085"/>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6</w:t>
    </w:r>
    <w:r>
      <w:rPr>
        <w:rFonts w:ascii="Times New Roman" w:hAnsi="Times New Roman" w:eastAsia="Times New Roman" w:cs="Times New Roman"/>
        <w:spacing w:val="1"/>
        <w:sz w:val="17"/>
        <w:szCs w:val="17"/>
      </w:rPr>
      <w:t>6</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94D0D">
    <w:pPr>
      <w:spacing w:line="196" w:lineRule="auto"/>
      <w:ind w:left="4085"/>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6</w:t>
    </w:r>
    <w:r>
      <w:rPr>
        <w:rFonts w:ascii="Times New Roman" w:hAnsi="Times New Roman" w:eastAsia="Times New Roman" w:cs="Times New Roman"/>
        <w:spacing w:val="1"/>
        <w:sz w:val="17"/>
        <w:szCs w:val="17"/>
      </w:rPr>
      <w:t>7</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D1860">
    <w:pPr>
      <w:spacing w:line="193" w:lineRule="auto"/>
      <w:ind w:left="4225"/>
      <w:rPr>
        <w:rFonts w:ascii="Times New Roman" w:hAnsi="Times New Roman" w:eastAsia="Times New Roman" w:cs="Times New Roman"/>
        <w:sz w:val="17"/>
        <w:szCs w:val="17"/>
      </w:rPr>
    </w:pPr>
    <w:r>
      <w:rPr>
        <w:rFonts w:ascii="Times New Roman" w:hAnsi="Times New Roman" w:eastAsia="Times New Roman" w:cs="Times New Roman"/>
        <w:sz w:val="17"/>
        <w:szCs w:val="17"/>
      </w:rPr>
      <w:t>5</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1971A">
    <w:pPr>
      <w:spacing w:line="196" w:lineRule="auto"/>
      <w:ind w:left="4178"/>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6</w:t>
    </w:r>
    <w:r>
      <w:rPr>
        <w:rFonts w:ascii="Times New Roman" w:hAnsi="Times New Roman" w:eastAsia="Times New Roman" w:cs="Times New Roman"/>
        <w:spacing w:val="1"/>
        <w:sz w:val="17"/>
        <w:szCs w:val="17"/>
      </w:rPr>
      <w:t>8</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9EA21">
    <w:pPr>
      <w:spacing w:line="196" w:lineRule="auto"/>
      <w:ind w:left="4183"/>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6</w:t>
    </w:r>
    <w:r>
      <w:rPr>
        <w:rFonts w:ascii="Times New Roman" w:hAnsi="Times New Roman" w:eastAsia="Times New Roman" w:cs="Times New Roman"/>
        <w:spacing w:val="1"/>
        <w:sz w:val="17"/>
        <w:szCs w:val="17"/>
      </w:rPr>
      <w:t>9</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1E96B">
    <w:pPr>
      <w:spacing w:line="196" w:lineRule="auto"/>
      <w:ind w:left="4083"/>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70</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BA25B">
    <w:pPr>
      <w:spacing w:line="196" w:lineRule="auto"/>
      <w:ind w:left="4177"/>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71</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33146">
    <w:pPr>
      <w:spacing w:line="196" w:lineRule="auto"/>
      <w:ind w:left="4177"/>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72</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6EADA">
    <w:pPr>
      <w:spacing w:line="196" w:lineRule="auto"/>
      <w:ind w:left="4083"/>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73</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9262F">
    <w:pPr>
      <w:spacing w:line="196" w:lineRule="auto"/>
      <w:ind w:left="4083"/>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74</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9AA93">
    <w:pPr>
      <w:spacing w:line="193" w:lineRule="auto"/>
      <w:ind w:left="4083"/>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75</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77AE1">
    <w:pPr>
      <w:spacing w:line="196" w:lineRule="auto"/>
      <w:ind w:left="4083"/>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76</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34F8">
    <w:pPr>
      <w:spacing w:line="193" w:lineRule="auto"/>
      <w:ind w:left="4083"/>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77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5AB90">
    <w:pPr>
      <w:spacing w:line="196" w:lineRule="auto"/>
      <w:ind w:left="4224"/>
      <w:rPr>
        <w:rFonts w:ascii="Times New Roman" w:hAnsi="Times New Roman" w:eastAsia="Times New Roman" w:cs="Times New Roman"/>
        <w:sz w:val="17"/>
        <w:szCs w:val="17"/>
      </w:rPr>
    </w:pPr>
    <w:r>
      <w:rPr>
        <w:rFonts w:ascii="Times New Roman" w:hAnsi="Times New Roman" w:eastAsia="Times New Roman" w:cs="Times New Roman"/>
        <w:sz w:val="17"/>
        <w:szCs w:val="17"/>
      </w:rPr>
      <w:t>6</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FB6B5">
    <w:pPr>
      <w:spacing w:line="196" w:lineRule="auto"/>
      <w:ind w:left="4092"/>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78</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74BD8">
    <w:pPr>
      <w:spacing w:line="196" w:lineRule="auto"/>
      <w:ind w:left="4092"/>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79</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B2FBEE">
    <w:pPr>
      <w:spacing w:line="196" w:lineRule="auto"/>
      <w:ind w:left="4182"/>
      <w:rPr>
        <w:rFonts w:ascii="Times New Roman" w:hAnsi="Times New Roman" w:eastAsia="Times New Roman" w:cs="Times New Roman"/>
        <w:sz w:val="17"/>
        <w:szCs w:val="17"/>
      </w:rPr>
    </w:pPr>
    <w:r>
      <w:rPr>
        <w:rFonts w:ascii="Times New Roman" w:hAnsi="Times New Roman" w:eastAsia="Times New Roman" w:cs="Times New Roman"/>
        <w:sz w:val="17"/>
        <w:szCs w:val="17"/>
      </w:rPr>
      <w:t>80</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C6454">
    <w:pPr>
      <w:spacing w:line="196" w:lineRule="auto"/>
      <w:ind w:left="4097"/>
      <w:rPr>
        <w:rFonts w:ascii="Times New Roman" w:hAnsi="Times New Roman" w:eastAsia="Times New Roman" w:cs="Times New Roman"/>
        <w:sz w:val="17"/>
        <w:szCs w:val="17"/>
      </w:rPr>
    </w:pPr>
    <w:r>
      <w:rPr>
        <w:rFonts w:ascii="Times New Roman" w:hAnsi="Times New Roman" w:eastAsia="Times New Roman" w:cs="Times New Roman"/>
        <w:sz w:val="17"/>
        <w:szCs w:val="17"/>
      </w:rPr>
      <w:t>81</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C10B2">
    <w:pPr>
      <w:spacing w:line="196" w:lineRule="auto"/>
      <w:ind w:left="4182"/>
      <w:rPr>
        <w:rFonts w:ascii="Times New Roman" w:hAnsi="Times New Roman" w:eastAsia="Times New Roman" w:cs="Times New Roman"/>
        <w:sz w:val="17"/>
        <w:szCs w:val="17"/>
      </w:rPr>
    </w:pPr>
    <w:r>
      <w:rPr>
        <w:rFonts w:ascii="Times New Roman" w:hAnsi="Times New Roman" w:eastAsia="Times New Roman" w:cs="Times New Roman"/>
        <w:sz w:val="17"/>
        <w:szCs w:val="17"/>
      </w:rPr>
      <w:t>82</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BA81B">
    <w:pPr>
      <w:spacing w:line="196" w:lineRule="auto"/>
      <w:ind w:left="4182"/>
      <w:rPr>
        <w:rFonts w:ascii="Times New Roman" w:hAnsi="Times New Roman" w:eastAsia="Times New Roman" w:cs="Times New Roman"/>
        <w:sz w:val="17"/>
        <w:szCs w:val="17"/>
      </w:rPr>
    </w:pPr>
    <w:r>
      <w:rPr>
        <w:rFonts w:ascii="Times New Roman" w:hAnsi="Times New Roman" w:eastAsia="Times New Roman" w:cs="Times New Roman"/>
        <w:sz w:val="17"/>
        <w:szCs w:val="17"/>
      </w:rPr>
      <w:t>83</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D4D36">
    <w:pPr>
      <w:spacing w:line="196" w:lineRule="auto"/>
      <w:ind w:left="4182"/>
      <w:rPr>
        <w:rFonts w:ascii="Times New Roman" w:hAnsi="Times New Roman" w:eastAsia="Times New Roman" w:cs="Times New Roman"/>
        <w:sz w:val="17"/>
        <w:szCs w:val="17"/>
      </w:rPr>
    </w:pPr>
    <w:r>
      <w:rPr>
        <w:rFonts w:ascii="Times New Roman" w:hAnsi="Times New Roman" w:eastAsia="Times New Roman" w:cs="Times New Roman"/>
        <w:sz w:val="17"/>
        <w:szCs w:val="17"/>
      </w:rPr>
      <w:t>84</w: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FCD5C">
    <w:pPr>
      <w:spacing w:line="196" w:lineRule="auto"/>
      <w:ind w:left="4182"/>
      <w:rPr>
        <w:rFonts w:ascii="Times New Roman" w:hAnsi="Times New Roman" w:eastAsia="Times New Roman" w:cs="Times New Roman"/>
        <w:sz w:val="17"/>
        <w:szCs w:val="17"/>
      </w:rPr>
    </w:pPr>
    <w:r>
      <w:rPr>
        <w:rFonts w:ascii="Times New Roman" w:hAnsi="Times New Roman" w:eastAsia="Times New Roman" w:cs="Times New Roman"/>
        <w:sz w:val="17"/>
        <w:szCs w:val="17"/>
      </w:rPr>
      <w:t>85</w: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E822F">
    <w:pPr>
      <w:spacing w:line="196" w:lineRule="auto"/>
      <w:ind w:left="4097"/>
      <w:rPr>
        <w:rFonts w:ascii="Times New Roman" w:hAnsi="Times New Roman" w:eastAsia="Times New Roman" w:cs="Times New Roman"/>
        <w:sz w:val="17"/>
        <w:szCs w:val="17"/>
      </w:rPr>
    </w:pPr>
    <w:r>
      <w:rPr>
        <w:rFonts w:ascii="Times New Roman" w:hAnsi="Times New Roman" w:eastAsia="Times New Roman" w:cs="Times New Roman"/>
        <w:sz w:val="17"/>
        <w:szCs w:val="17"/>
      </w:rPr>
      <w:t>86</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32F2C">
    <w:pPr>
      <w:spacing w:line="196" w:lineRule="auto"/>
      <w:ind w:left="4097"/>
      <w:rPr>
        <w:rFonts w:ascii="Times New Roman" w:hAnsi="Times New Roman" w:eastAsia="Times New Roman" w:cs="Times New Roman"/>
        <w:sz w:val="17"/>
        <w:szCs w:val="17"/>
      </w:rPr>
    </w:pPr>
    <w:r>
      <w:rPr>
        <w:rFonts w:ascii="Times New Roman" w:hAnsi="Times New Roman" w:eastAsia="Times New Roman" w:cs="Times New Roman"/>
        <w:sz w:val="17"/>
        <w:szCs w:val="17"/>
      </w:rPr>
      <w:t>87</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88946">
    <w:pPr>
      <w:spacing w:line="193" w:lineRule="auto"/>
      <w:ind w:left="4138"/>
      <w:rPr>
        <w:rFonts w:ascii="Times New Roman" w:hAnsi="Times New Roman" w:eastAsia="Times New Roman" w:cs="Times New Roman"/>
        <w:sz w:val="17"/>
        <w:szCs w:val="17"/>
      </w:rPr>
    </w:pPr>
    <w:r>
      <w:rPr>
        <w:rFonts w:ascii="Times New Roman" w:hAnsi="Times New Roman" w:eastAsia="Times New Roman" w:cs="Times New Roman"/>
        <w:sz w:val="17"/>
        <w:szCs w:val="17"/>
      </w:rPr>
      <w:t>7</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266E3">
    <w:pPr>
      <w:spacing w:line="196" w:lineRule="auto"/>
      <w:ind w:left="4097"/>
      <w:rPr>
        <w:rFonts w:ascii="Times New Roman" w:hAnsi="Times New Roman" w:eastAsia="Times New Roman" w:cs="Times New Roman"/>
        <w:sz w:val="17"/>
        <w:szCs w:val="17"/>
      </w:rPr>
    </w:pPr>
    <w:r>
      <w:rPr>
        <w:rFonts w:ascii="Times New Roman" w:hAnsi="Times New Roman" w:eastAsia="Times New Roman" w:cs="Times New Roman"/>
        <w:sz w:val="17"/>
        <w:szCs w:val="17"/>
      </w:rPr>
      <w:t>88</w: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33812">
    <w:pPr>
      <w:spacing w:line="196" w:lineRule="auto"/>
      <w:ind w:left="4182"/>
      <w:rPr>
        <w:rFonts w:ascii="Times New Roman" w:hAnsi="Times New Roman" w:eastAsia="Times New Roman" w:cs="Times New Roman"/>
        <w:sz w:val="17"/>
        <w:szCs w:val="17"/>
      </w:rPr>
    </w:pPr>
    <w:r>
      <w:rPr>
        <w:rFonts w:ascii="Times New Roman" w:hAnsi="Times New Roman" w:eastAsia="Times New Roman" w:cs="Times New Roman"/>
        <w:sz w:val="17"/>
        <w:szCs w:val="17"/>
      </w:rPr>
      <w:t>89</w: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C4F75">
    <w:pPr>
      <w:spacing w:line="196" w:lineRule="auto"/>
      <w:ind w:left="4178"/>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9</w:t>
    </w:r>
    <w:r>
      <w:rPr>
        <w:rFonts w:ascii="Times New Roman" w:hAnsi="Times New Roman" w:eastAsia="Times New Roman" w:cs="Times New Roman"/>
        <w:spacing w:val="1"/>
        <w:sz w:val="17"/>
        <w:szCs w:val="17"/>
      </w:rPr>
      <w:t>0</w: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1D5BE">
    <w:pPr>
      <w:spacing w:line="196" w:lineRule="auto"/>
      <w:ind w:left="4093"/>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9</w:t>
    </w:r>
    <w:r>
      <w:rPr>
        <w:rFonts w:ascii="Times New Roman" w:hAnsi="Times New Roman" w:eastAsia="Times New Roman" w:cs="Times New Roman"/>
        <w:spacing w:val="1"/>
        <w:sz w:val="17"/>
        <w:szCs w:val="17"/>
      </w:rPr>
      <w:t>1</w: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48B49">
    <w:pPr>
      <w:spacing w:line="196" w:lineRule="auto"/>
      <w:ind w:left="4093"/>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9</w:t>
    </w:r>
    <w:r>
      <w:rPr>
        <w:rFonts w:ascii="Times New Roman" w:hAnsi="Times New Roman" w:eastAsia="Times New Roman" w:cs="Times New Roman"/>
        <w:spacing w:val="1"/>
        <w:sz w:val="17"/>
        <w:szCs w:val="17"/>
      </w:rPr>
      <w:t>2</w: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A3AF7">
    <w:pPr>
      <w:spacing w:line="196" w:lineRule="auto"/>
      <w:ind w:left="4093"/>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9</w:t>
    </w:r>
    <w:r>
      <w:rPr>
        <w:rFonts w:ascii="Times New Roman" w:hAnsi="Times New Roman" w:eastAsia="Times New Roman" w:cs="Times New Roman"/>
        <w:spacing w:val="1"/>
        <w:sz w:val="17"/>
        <w:szCs w:val="17"/>
      </w:rPr>
      <w:t>3</w: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0332C">
    <w:pPr>
      <w:spacing w:line="196" w:lineRule="auto"/>
      <w:ind w:left="4178"/>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9</w:t>
    </w:r>
    <w:r>
      <w:rPr>
        <w:rFonts w:ascii="Times New Roman" w:hAnsi="Times New Roman" w:eastAsia="Times New Roman" w:cs="Times New Roman"/>
        <w:spacing w:val="1"/>
        <w:sz w:val="17"/>
        <w:szCs w:val="17"/>
      </w:rPr>
      <w:t>4</w: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195DF">
    <w:pPr>
      <w:spacing w:line="196" w:lineRule="auto"/>
      <w:ind w:left="4093"/>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9</w:t>
    </w:r>
    <w:r>
      <w:rPr>
        <w:rFonts w:ascii="Times New Roman" w:hAnsi="Times New Roman" w:eastAsia="Times New Roman" w:cs="Times New Roman"/>
        <w:spacing w:val="1"/>
        <w:sz w:val="17"/>
        <w:szCs w:val="17"/>
      </w:rPr>
      <w:t>5</w: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E3424">
    <w:pPr>
      <w:spacing w:line="196" w:lineRule="auto"/>
      <w:ind w:left="4093"/>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9</w:t>
    </w:r>
    <w:r>
      <w:rPr>
        <w:rFonts w:ascii="Times New Roman" w:hAnsi="Times New Roman" w:eastAsia="Times New Roman" w:cs="Times New Roman"/>
        <w:spacing w:val="1"/>
        <w:sz w:val="17"/>
        <w:szCs w:val="17"/>
      </w:rPr>
      <w:t>6</w: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B416D">
    <w:pPr>
      <w:spacing w:line="196" w:lineRule="auto"/>
      <w:ind w:left="4093"/>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9</w:t>
    </w:r>
    <w:r>
      <w:rPr>
        <w:rFonts w:ascii="Times New Roman" w:hAnsi="Times New Roman" w:eastAsia="Times New Roman" w:cs="Times New Roman"/>
        <w:spacing w:val="1"/>
        <w:sz w:val="17"/>
        <w:szCs w:val="17"/>
      </w:rPr>
      <w:t>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441E9">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33913E66">
    <w:pPr>
      <w:spacing w:before="14" w:line="29" w:lineRule="exact"/>
      <w:ind w:firstLine="14"/>
      <w:textAlignment w:val="center"/>
    </w:pPr>
    <w:r>
      <w:pict>
        <v:shape id="_x0000_s2049" o:spid="_x0000_s2049" style="height:1.45pt;width:415.3pt;" fillcolor="#000000" filled="t" stroked="f" coordsize="8305,29" path="m0,0l8305,0,8305,28,0,28,0,0xe">
          <v:path/>
          <v:fill on="t" focussize="0,0"/>
          <v:stroke on="f"/>
          <v:imagedata o:title=""/>
          <o:lock v:ext="edit"/>
          <w10:wrap type="none"/>
          <w10:anchorlock/>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9F61D">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5919F269">
    <w:pPr>
      <w:spacing w:before="14" w:line="29" w:lineRule="exact"/>
      <w:ind w:firstLine="14"/>
      <w:textAlignment w:val="center"/>
    </w:pPr>
    <w:r>
      <w:pict>
        <v:shape id="_x0000_s2058" o:spid="_x0000_s2058" style="height:1.45pt;width:415.3pt;" fillcolor="#000000" filled="t" stroked="f" coordsize="8305,29" path="m0,0l8305,0,8305,28,0,28,0,0xe">
          <v:path/>
          <v:fill on="t" focussize="0,0"/>
          <v:stroke on="f"/>
          <v:imagedata o:title=""/>
          <o:lock v:ext="edit"/>
          <w10:wrap type="none"/>
          <w10:anchorlock/>
        </v:shape>
      </w:pict>
    </w: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74C88">
    <w:pPr>
      <w:spacing w:line="228" w:lineRule="auto"/>
      <w:ind w:left="23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5A17E8BA">
    <w:pPr>
      <w:spacing w:before="14" w:line="29" w:lineRule="exact"/>
      <w:ind w:firstLine="115"/>
      <w:textAlignment w:val="center"/>
    </w:pPr>
    <w:r>
      <w:pict>
        <v:shape id="_x0000_s2147" o:spid="_x0000_s2147" style="height:1.45pt;width:415.3pt;" fillcolor="#000000" filled="t" stroked="f" coordsize="8305,29" path="m0,0l8305,0,8305,28,0,28,0,0xe">
          <v:path/>
          <v:fill on="t" focussize="0,0"/>
          <v:stroke on="f"/>
          <v:imagedata o:title=""/>
          <o:lock v:ext="edit"/>
          <w10:wrap type="none"/>
          <w10:anchorlock/>
        </v:shape>
      </w:pict>
    </w: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37FCD">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2B8F9C62">
    <w:pPr>
      <w:spacing w:before="14" w:line="29" w:lineRule="exact"/>
      <w:ind w:firstLine="14"/>
      <w:textAlignment w:val="center"/>
    </w:pPr>
    <w:r>
      <w:pict>
        <v:shape id="_x0000_s2148" o:spid="_x0000_s2148" style="height:1.45pt;width:415.3pt;" fillcolor="#000000" filled="t" stroked="f" coordsize="8305,29" path="m0,0l8305,0,8305,28,0,28,0,0xe">
          <v:path/>
          <v:fill on="t" focussize="0,0"/>
          <v:stroke on="f"/>
          <v:imagedata o:title=""/>
          <o:lock v:ext="edit"/>
          <w10:wrap type="none"/>
          <w10:anchorlock/>
        </v:shape>
      </w:pict>
    </w: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23EEF">
    <w:pPr>
      <w:spacing w:line="228" w:lineRule="auto"/>
      <w:ind w:left="5170"/>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52AA4D2D">
    <w:pPr>
      <w:spacing w:before="14" w:line="29" w:lineRule="exact"/>
      <w:ind w:firstLine="74"/>
      <w:textAlignment w:val="center"/>
    </w:pPr>
    <w:r>
      <w:pict>
        <v:shape id="_x0000_s2149" o:spid="_x0000_s2149" style="height:1.45pt;width:697.95pt;" fillcolor="#000000" filled="t" stroked="f" coordsize="13959,29" path="m0,0l13958,0,13958,28,0,28,0,0xe">
          <v:path/>
          <v:fill on="t" focussize="0,0"/>
          <v:stroke on="f"/>
          <v:imagedata o:title=""/>
          <o:lock v:ext="edit"/>
          <w10:wrap type="none"/>
          <w10:anchorlock/>
        </v:shape>
      </w:pict>
    </w: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11B54">
    <w:pPr>
      <w:spacing w:line="228" w:lineRule="auto"/>
      <w:ind w:left="2293"/>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2A7B830C">
    <w:pPr>
      <w:spacing w:before="14" w:line="29" w:lineRule="exact"/>
      <w:ind w:firstLine="22"/>
      <w:textAlignment w:val="center"/>
    </w:pPr>
    <w:r>
      <w:pict>
        <v:shape id="_x0000_s2150" o:spid="_x0000_s2150" style="height:1.45pt;width:415.3pt;" fillcolor="#000000" filled="t" stroked="f" coordsize="8305,29" path="m0,0l8305,0,8305,28,0,28,0,0xe">
          <v:path/>
          <v:fill on="t" focussize="0,0"/>
          <v:stroke on="f"/>
          <v:imagedata o:title=""/>
          <o:lock v:ext="edit"/>
          <w10:wrap type="none"/>
          <w10:anchorlock/>
        </v:shape>
      </w:pict>
    </w: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85E68">
    <w:pPr>
      <w:spacing w:line="228" w:lineRule="auto"/>
      <w:ind w:left="2293"/>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5961731E">
    <w:pPr>
      <w:spacing w:before="14" w:line="29" w:lineRule="exact"/>
      <w:ind w:firstLine="22"/>
      <w:textAlignment w:val="center"/>
    </w:pPr>
    <w:r>
      <w:pict>
        <v:shape id="_x0000_s2151" o:spid="_x0000_s2151" style="height:1.45pt;width:415.3pt;" fillcolor="#000000" filled="t" stroked="f" coordsize="8305,29" path="m0,0l8305,0,8305,28,0,28,0,0xe">
          <v:path/>
          <v:fill on="t" focussize="0,0"/>
          <v:stroke on="f"/>
          <v:imagedata o:title=""/>
          <o:lock v:ext="edit"/>
          <w10:wrap type="none"/>
          <w10:anchorlock/>
        </v:shape>
      </w:pict>
    </w: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6832A">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2F176B5C">
    <w:pPr>
      <w:spacing w:before="14" w:line="29" w:lineRule="exact"/>
      <w:ind w:firstLine="14"/>
      <w:textAlignment w:val="center"/>
    </w:pPr>
    <w:r>
      <w:pict>
        <v:shape id="_x0000_s2152" o:spid="_x0000_s2152" style="height:1.45pt;width:415.3pt;" fillcolor="#000000" filled="t" stroked="f" coordsize="8305,29" path="m0,0l8305,0,8305,28,0,28,0,0xe">
          <v:path/>
          <v:fill on="t" focussize="0,0"/>
          <v:stroke on="f"/>
          <v:imagedata o:title=""/>
          <o:lock v:ext="edit"/>
          <w10:wrap type="none"/>
          <w10:anchorlock/>
        </v:shape>
      </w:pict>
    </w: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623B9">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72F9D299">
    <w:pPr>
      <w:spacing w:before="14" w:line="29" w:lineRule="exact"/>
      <w:ind w:firstLine="14"/>
      <w:textAlignment w:val="center"/>
    </w:pPr>
    <w:r>
      <w:pict>
        <v:shape id="_x0000_s2153" o:spid="_x0000_s2153" style="height:1.45pt;width:415.3pt;" fillcolor="#000000" filled="t" stroked="f" coordsize="8305,29" path="m0,0l8305,0,8305,28,0,28,0,0xe">
          <v:path/>
          <v:fill on="t" focussize="0,0"/>
          <v:stroke on="f"/>
          <v:imagedata o:title=""/>
          <o:lock v:ext="edit"/>
          <w10:wrap type="none"/>
          <w10:anchorlock/>
        </v:shape>
      </w:pict>
    </w: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9D6E9">
    <w:pPr>
      <w:spacing w:line="228" w:lineRule="auto"/>
      <w:ind w:left="2381"/>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07C844A9">
    <w:pPr>
      <w:spacing w:before="14" w:line="29" w:lineRule="exact"/>
      <w:ind w:firstLine="110"/>
      <w:textAlignment w:val="center"/>
    </w:pPr>
    <w:r>
      <w:pict>
        <v:shape id="_x0000_s2154" o:spid="_x0000_s2154" style="height:1.45pt;width:415.3pt;" fillcolor="#000000" filled="t" stroked="f" coordsize="8305,29" path="m0,0l8305,0,8305,28,0,28,0,0xe">
          <v:path/>
          <v:fill on="t" focussize="0,0"/>
          <v:stroke on="f"/>
          <v:imagedata o:title=""/>
          <o:lock v:ext="edit"/>
          <w10:wrap type="none"/>
          <w10:anchorlock/>
        </v:shape>
      </w:pict>
    </w: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27923">
    <w:pPr>
      <w:spacing w:line="228" w:lineRule="auto"/>
      <w:ind w:left="509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45CD53D0">
    <w:pPr>
      <w:spacing w:before="14" w:line="29" w:lineRule="exact"/>
      <w:textAlignment w:val="center"/>
    </w:pPr>
    <w:r>
      <w:pict>
        <v:shape id="_x0000_s2155" o:spid="_x0000_s2155" style="height:1.45pt;width:697.95pt;" fillcolor="#000000" filled="t" stroked="f" coordsize="13959,29" path="m0,0l13958,0,13958,28,0,28,0,0xe">
          <v:path/>
          <v:fill on="t" focussize="0,0"/>
          <v:stroke on="f"/>
          <v:imagedata o:title=""/>
          <o:lock v:ext="edit"/>
          <w10:wrap type="none"/>
          <w10:anchorlock/>
        </v:shape>
      </w:pict>
    </w: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C2544">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2C5753F5">
    <w:pPr>
      <w:spacing w:before="14" w:line="29" w:lineRule="exact"/>
      <w:ind w:firstLine="108"/>
      <w:textAlignment w:val="center"/>
    </w:pPr>
    <w:r>
      <w:pict>
        <v:shape id="_x0000_s2156" o:spid="_x0000_s2156" style="height:1.45pt;width:415.3pt;" fillcolor="#000000" filled="t" stroked="f" coordsize="8305,29" path="m0,0l8305,0,8305,28,0,28,0,0xe">
          <v:path/>
          <v:fill on="t" focussize="0,0"/>
          <v:stroke on="f"/>
          <v:imagedata o:title=""/>
          <o:lock v:ext="edit"/>
          <w10:wrap type="none"/>
          <w10:anchorlock/>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4E922">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4FA4BCAD">
    <w:pPr>
      <w:spacing w:before="14" w:line="29" w:lineRule="exact"/>
      <w:ind w:firstLine="14"/>
      <w:textAlignment w:val="center"/>
    </w:pPr>
    <w:r>
      <w:pict>
        <v:shape id="_x0000_s2059" o:spid="_x0000_s2059" style="height:1.45pt;width:415.3pt;" fillcolor="#000000" filled="t" stroked="f" coordsize="8305,29" path="m0,0l8305,0,8305,28,0,28,0,0xe">
          <v:path/>
          <v:fill on="t" focussize="0,0"/>
          <v:stroke on="f"/>
          <v:imagedata o:title=""/>
          <o:lock v:ext="edit"/>
          <w10:wrap type="none"/>
          <w10:anchorlock/>
        </v:shape>
      </w:pict>
    </w: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7FEA5">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470DC7FB">
    <w:pPr>
      <w:spacing w:before="14" w:line="29" w:lineRule="exact"/>
      <w:ind w:firstLine="108"/>
      <w:textAlignment w:val="center"/>
    </w:pPr>
    <w:r>
      <w:pict>
        <v:shape id="_x0000_s2157" o:spid="_x0000_s2157" style="height:1.45pt;width:415.3pt;" fillcolor="#000000" filled="t" stroked="f" coordsize="8305,29" path="m0,0l8305,0,8305,28,0,28,0,0xe">
          <v:path/>
          <v:fill on="t" focussize="0,0"/>
          <v:stroke on="f"/>
          <v:imagedata o:title=""/>
          <o:lock v:ext="edit"/>
          <w10:wrap type="none"/>
          <w10:anchorlock/>
        </v:shape>
      </w:pict>
    </w: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2C1EC">
    <w:pPr>
      <w:spacing w:line="228" w:lineRule="auto"/>
      <w:ind w:left="2570"/>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4C93899B">
    <w:pPr>
      <w:spacing w:before="14" w:line="29" w:lineRule="exact"/>
      <w:ind w:firstLine="300"/>
      <w:textAlignment w:val="center"/>
    </w:pPr>
    <w:r>
      <w:pict>
        <v:shape id="_x0000_s2158" o:spid="_x0000_s2158" style="height:1.45pt;width:415.3pt;" fillcolor="#000000" filled="t" stroked="f" coordsize="8305,29" path="m0,0l8305,0,8305,28,0,28,0,0xe">
          <v:path/>
          <v:fill on="t" focussize="0,0"/>
          <v:stroke on="f"/>
          <v:imagedata o:title=""/>
          <o:lock v:ext="edit"/>
          <w10:wrap type="none"/>
          <w10:anchorlock/>
        </v:shape>
      </w:pict>
    </w: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1F6D3">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62BBAC7E">
    <w:pPr>
      <w:spacing w:before="14" w:line="29" w:lineRule="exact"/>
      <w:ind w:firstLine="108"/>
      <w:textAlignment w:val="center"/>
    </w:pPr>
    <w:r>
      <w:pict>
        <v:shape id="_x0000_s2159" o:spid="_x0000_s2159" style="height:1.45pt;width:415.3pt;" fillcolor="#000000" filled="t" stroked="f" coordsize="8305,29" path="m0,0l8305,0,8305,28,0,28,0,0xe">
          <v:path/>
          <v:fill on="t" focussize="0,0"/>
          <v:stroke on="f"/>
          <v:imagedata o:title=""/>
          <o:lock v:ext="edit"/>
          <w10:wrap type="none"/>
          <w10:anchorlock/>
        </v:shape>
      </w:pict>
    </w: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EB541">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0BF17A64">
    <w:pPr>
      <w:spacing w:before="14" w:line="29" w:lineRule="exact"/>
      <w:ind w:firstLine="14"/>
      <w:textAlignment w:val="center"/>
    </w:pPr>
    <w:r>
      <w:pict>
        <v:shape id="_x0000_s2160" o:spid="_x0000_s2160" style="height:1.45pt;width:415.3pt;" fillcolor="#000000" filled="t" stroked="f" coordsize="8305,29" path="m0,0l8305,0,8305,28,0,28,0,0xe">
          <v:path/>
          <v:fill on="t" focussize="0,0"/>
          <v:stroke on="f"/>
          <v:imagedata o:title=""/>
          <o:lock v:ext="edit"/>
          <w10:wrap type="none"/>
          <w10:anchorlock/>
        </v:shape>
      </w:pict>
    </w: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E1DF5">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15B06DA1">
    <w:pPr>
      <w:spacing w:before="14" w:line="29" w:lineRule="exact"/>
      <w:ind w:firstLine="108"/>
      <w:textAlignment w:val="center"/>
    </w:pPr>
    <w:r>
      <w:pict>
        <v:shape id="_x0000_s2161" o:spid="_x0000_s2161" style="height:1.45pt;width:415.3pt;" fillcolor="#000000" filled="t" stroked="f" coordsize="8305,29" path="m0,0l8305,0,8305,28,0,28,0,0xe">
          <v:path/>
          <v:fill on="t" focussize="0,0"/>
          <v:stroke on="f"/>
          <v:imagedata o:title=""/>
          <o:lock v:ext="edit"/>
          <w10:wrap type="none"/>
          <w10:anchorlock/>
        </v:shape>
      </w:pict>
    </w: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383E0">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33492223">
    <w:pPr>
      <w:spacing w:before="14" w:line="29" w:lineRule="exact"/>
      <w:ind w:firstLine="14"/>
      <w:textAlignment w:val="center"/>
    </w:pPr>
    <w:r>
      <w:pict>
        <v:shape id="_x0000_s2162" o:spid="_x0000_s2162" style="height:1.45pt;width:415.3pt;" fillcolor="#000000" filled="t" stroked="f" coordsize="8305,29" path="m0,0l8305,0,8305,28,0,28,0,0xe">
          <v:path/>
          <v:fill on="t" focussize="0,0"/>
          <v:stroke on="f"/>
          <v:imagedata o:title=""/>
          <o:lock v:ext="edit"/>
          <w10:wrap type="none"/>
          <w10:anchorlock/>
        </v:shape>
      </w:pict>
    </w: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5713E">
    <w:pPr>
      <w:spacing w:line="228" w:lineRule="auto"/>
      <w:ind w:left="2386"/>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210E2B33">
    <w:pPr>
      <w:spacing w:before="14" w:line="29" w:lineRule="exact"/>
      <w:ind w:firstLine="115"/>
      <w:textAlignment w:val="center"/>
    </w:pPr>
    <w:r>
      <w:pict>
        <v:shape id="_x0000_s2163" o:spid="_x0000_s2163" style="height:1.45pt;width:415.3pt;" fillcolor="#000000" filled="t" stroked="f" coordsize="8305,29" path="m0,0l8305,0,8305,28,0,28,0,0xe">
          <v:path/>
          <v:fill on="t" focussize="0,0"/>
          <v:stroke on="f"/>
          <v:imagedata o:title=""/>
          <o:lock v:ext="edit"/>
          <w10:wrap type="none"/>
          <w10:anchorlock/>
        </v:shape>
      </w:pict>
    </w:r>
  </w:p>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D6172">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566F4F2A">
    <w:pPr>
      <w:spacing w:before="14" w:line="29" w:lineRule="exact"/>
      <w:ind w:firstLine="108"/>
      <w:textAlignment w:val="center"/>
    </w:pPr>
    <w:r>
      <w:pict>
        <v:shape id="_x0000_s2164" o:spid="_x0000_s2164" style="height:1.45pt;width:415.3pt;" fillcolor="#000000" filled="t" stroked="f" coordsize="8305,29" path="m0,0l8305,0,8305,28,0,28,0,0xe">
          <v:path/>
          <v:fill on="t" focussize="0,0"/>
          <v:stroke on="f"/>
          <v:imagedata o:title=""/>
          <o:lock v:ext="edit"/>
          <w10:wrap type="none"/>
          <w10:anchorlock/>
        </v:shape>
      </w:pict>
    </w:r>
  </w:p>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80D2A">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0F3E60DE">
    <w:pPr>
      <w:spacing w:before="14" w:line="29" w:lineRule="exact"/>
      <w:ind w:firstLine="14"/>
      <w:textAlignment w:val="center"/>
    </w:pPr>
    <w:r>
      <w:pict>
        <v:shape id="_x0000_s2165" o:spid="_x0000_s2165" style="height:1.45pt;width:415.3pt;" fillcolor="#000000" filled="t" stroked="f" coordsize="8305,29" path="m0,0l8305,0,8305,28,0,28,0,0xe">
          <v:path/>
          <v:fill on="t" focussize="0,0"/>
          <v:stroke on="f"/>
          <v:imagedata o:title=""/>
          <o:lock v:ext="edit"/>
          <w10:wrap type="none"/>
          <w10:anchorlock/>
        </v:shape>
      </w:pict>
    </w:r>
  </w:p>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7557B">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1076F812">
    <w:pPr>
      <w:spacing w:before="14" w:line="29" w:lineRule="exact"/>
      <w:ind w:firstLine="14"/>
      <w:textAlignment w:val="center"/>
    </w:pPr>
    <w:r>
      <w:pict>
        <v:shape id="_x0000_s2166" o:spid="_x0000_s2166" style="height:1.45pt;width:415.3pt;" fillcolor="#000000" filled="t" stroked="f" coordsize="8305,29" path="m0,0l8305,0,8305,28,0,28,0,0xe">
          <v:path/>
          <v:fill on="t" focussize="0,0"/>
          <v:stroke on="f"/>
          <v:imagedata o:title=""/>
          <o:lock v:ext="edit"/>
          <w10:wrap type="none"/>
          <w10:anchorlock/>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8B428">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2A21027D">
    <w:pPr>
      <w:spacing w:before="14" w:line="29" w:lineRule="exact"/>
      <w:ind w:firstLine="14"/>
      <w:textAlignment w:val="center"/>
    </w:pPr>
    <w:r>
      <w:pict>
        <v:shape id="_x0000_s2060" o:spid="_x0000_s2060" style="height:1.45pt;width:415.3pt;" fillcolor="#000000" filled="t" stroked="f" coordsize="8305,29" path="m0,0l8305,0,8305,28,0,28,0,0xe">
          <v:path/>
          <v:fill on="t" focussize="0,0"/>
          <v:stroke on="f"/>
          <v:imagedata o:title=""/>
          <o:lock v:ext="edit"/>
          <w10:wrap type="none"/>
          <w10:anchorlock/>
        </v:shape>
      </w:pict>
    </w:r>
  </w:p>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F96E6">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4C88F585">
    <w:pPr>
      <w:spacing w:before="14" w:line="29" w:lineRule="exact"/>
      <w:ind w:firstLine="14"/>
      <w:textAlignment w:val="center"/>
    </w:pPr>
    <w:r>
      <w:pict>
        <v:shape id="_x0000_s2167" o:spid="_x0000_s2167" style="height:1.45pt;width:415.3pt;" fillcolor="#000000" filled="t" stroked="f" coordsize="8305,29" path="m0,0l8305,0,8305,28,0,28,0,0xe">
          <v:path/>
          <v:fill on="t" focussize="0,0"/>
          <v:stroke on="f"/>
          <v:imagedata o:title=""/>
          <o:lock v:ext="edit"/>
          <w10:wrap type="none"/>
          <w10:anchorlock/>
        </v:shape>
      </w:pict>
    </w:r>
  </w:p>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B47AB">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598EC3C5">
    <w:pPr>
      <w:spacing w:before="14" w:line="29" w:lineRule="exact"/>
      <w:ind w:firstLine="14"/>
      <w:textAlignment w:val="center"/>
    </w:pPr>
    <w:r>
      <w:pict>
        <v:shape id="_x0000_s2168" o:spid="_x0000_s2168" style="height:1.45pt;width:415.3pt;" fillcolor="#000000" filled="t" stroked="f" coordsize="8305,29" path="m0,0l8305,0,8305,28,0,28,0,0xe">
          <v:path/>
          <v:fill on="t" focussize="0,0"/>
          <v:stroke on="f"/>
          <v:imagedata o:title=""/>
          <o:lock v:ext="edit"/>
          <w10:wrap type="none"/>
          <w10:anchorlock/>
        </v:shape>
      </w:pict>
    </w:r>
  </w:p>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E6A55">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23C48133">
    <w:pPr>
      <w:spacing w:before="14" w:line="29" w:lineRule="exact"/>
      <w:ind w:firstLine="14"/>
      <w:textAlignment w:val="center"/>
    </w:pPr>
    <w:r>
      <w:pict>
        <v:shape id="_x0000_s2169" o:spid="_x0000_s2169" style="height:1.45pt;width:415.3pt;" fillcolor="#000000" filled="t" stroked="f" coordsize="8305,29" path="m0,0l8305,0,8305,28,0,28,0,0xe">
          <v:path/>
          <v:fill on="t" focussize="0,0"/>
          <v:stroke on="f"/>
          <v:imagedata o:title=""/>
          <o:lock v:ext="edit"/>
          <w10:wrap type="none"/>
          <w10:anchorlock/>
        </v:shape>
      </w:pict>
    </w:r>
  </w:p>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2CECB">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7001455C">
    <w:pPr>
      <w:spacing w:before="14" w:line="29" w:lineRule="exact"/>
      <w:ind w:firstLine="14"/>
      <w:textAlignment w:val="center"/>
    </w:pPr>
    <w:r>
      <w:pict>
        <v:shape id="_x0000_s2170" o:spid="_x0000_s2170" style="height:1.45pt;width:415.3pt;" fillcolor="#000000" filled="t" stroked="f" coordsize="8305,29" path="m0,0l8305,0,8305,28,0,28,0,0xe">
          <v:path/>
          <v:fill on="t" focussize="0,0"/>
          <v:stroke on="f"/>
          <v:imagedata o:title=""/>
          <o:lock v:ext="edit"/>
          <w10:wrap type="none"/>
          <w10:anchorlock/>
        </v:shape>
      </w:pict>
    </w:r>
  </w:p>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A157D">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01EE794F">
    <w:pPr>
      <w:spacing w:before="14" w:line="29" w:lineRule="exact"/>
      <w:ind w:firstLine="14"/>
      <w:textAlignment w:val="center"/>
    </w:pPr>
    <w:r>
      <w:pict>
        <v:shape id="_x0000_s2171" o:spid="_x0000_s2171" style="height:1.45pt;width:415.3pt;" fillcolor="#000000" filled="t" stroked="f" coordsize="8305,29" path="m0,0l8305,0,8305,28,0,28,0,0xe">
          <v:path/>
          <v:fill on="t" focussize="0,0"/>
          <v:stroke on="f"/>
          <v:imagedata o:title=""/>
          <o:lock v:ext="edit"/>
          <w10:wrap type="none"/>
          <w10:anchorlock/>
        </v:shape>
      </w:pict>
    </w:r>
  </w:p>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69F56">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443EB3F6">
    <w:pPr>
      <w:spacing w:before="14" w:line="29" w:lineRule="exact"/>
      <w:ind w:firstLine="14"/>
      <w:textAlignment w:val="center"/>
    </w:pPr>
    <w:r>
      <w:pict>
        <v:shape id="_x0000_s2172" o:spid="_x0000_s2172" style="height:1.45pt;width:415.3pt;" fillcolor="#000000" filled="t" stroked="f" coordsize="8305,29" path="m0,0l8305,0,8305,28,0,28,0,0xe">
          <v:path/>
          <v:fill on="t" focussize="0,0"/>
          <v:stroke on="f"/>
          <v:imagedata o:title=""/>
          <o:lock v:ext="edit"/>
          <w10:wrap type="none"/>
          <w10:anchorlock/>
        </v:shape>
      </w:pict>
    </w:r>
  </w:p>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7983D">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5704C1B6">
    <w:pPr>
      <w:spacing w:before="14" w:line="29" w:lineRule="exact"/>
      <w:ind w:firstLine="14"/>
      <w:textAlignment w:val="center"/>
    </w:pPr>
    <w:r>
      <w:pict>
        <v:shape id="_x0000_s2173" o:spid="_x0000_s2173" style="height:1.45pt;width:415.3pt;" fillcolor="#000000" filled="t" stroked="f" coordsize="8305,29" path="m0,0l8305,0,8305,28,0,28,0,0xe">
          <v:path/>
          <v:fill on="t" focussize="0,0"/>
          <v:stroke on="f"/>
          <v:imagedata o:title=""/>
          <o:lock v:ext="edit"/>
          <w10:wrap type="none"/>
          <w10:anchorlock/>
        </v:shape>
      </w:pict>
    </w:r>
  </w:p>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70786">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34E709B0">
    <w:pPr>
      <w:spacing w:before="14" w:line="29" w:lineRule="exact"/>
      <w:ind w:firstLine="14"/>
      <w:textAlignment w:val="center"/>
    </w:pPr>
    <w:r>
      <w:pict>
        <v:shape id="_x0000_s2174" o:spid="_x0000_s2174" style="height:1.45pt;width:415.3pt;" fillcolor="#000000" filled="t" stroked="f" coordsize="8305,29" path="m0,0l8305,0,8305,28,0,28,0,0xe">
          <v:path/>
          <v:fill on="t" focussize="0,0"/>
          <v:stroke on="f"/>
          <v:imagedata o:title=""/>
          <o:lock v:ext="edit"/>
          <w10:wrap type="none"/>
          <w10:anchorlock/>
        </v:shape>
      </w:pict>
    </w:r>
  </w:p>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E94B2">
    <w:pPr>
      <w:spacing w:line="228" w:lineRule="auto"/>
      <w:ind w:left="2293"/>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4F2AF9AC">
    <w:pPr>
      <w:spacing w:before="14" w:line="29" w:lineRule="exact"/>
      <w:ind w:firstLine="22"/>
      <w:textAlignment w:val="center"/>
    </w:pPr>
    <w:r>
      <w:pict>
        <v:shape id="_x0000_s2175" o:spid="_x0000_s2175" style="height:1.45pt;width:415.3pt;" fillcolor="#000000" filled="t" stroked="f" coordsize="8305,29" path="m0,0l8305,0,8305,28,0,28,0,0xe">
          <v:path/>
          <v:fill on="t" focussize="0,0"/>
          <v:stroke on="f"/>
          <v:imagedata o:title=""/>
          <o:lock v:ext="edit"/>
          <w10:wrap type="none"/>
          <w10:anchorlock/>
        </v:shape>
      </w:pict>
    </w:r>
  </w:p>
</w:hdr>
</file>

<file path=word/header1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0BD3E">
    <w:pPr>
      <w:spacing w:line="228" w:lineRule="auto"/>
      <w:ind w:left="229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653AF9C7">
    <w:pPr>
      <w:spacing w:before="14" w:line="29" w:lineRule="exact"/>
      <w:ind w:firstLine="28"/>
      <w:textAlignment w:val="center"/>
    </w:pPr>
    <w:r>
      <w:pict>
        <v:shape id="_x0000_s2176" o:spid="_x0000_s2176" style="height:1.45pt;width:415.3pt;" fillcolor="#000000" filled="t" stroked="f" coordsize="8305,29" path="m0,0l8305,0,8305,28,0,28,0,0xe">
          <v:path/>
          <v:fill on="t" focussize="0,0"/>
          <v:stroke on="f"/>
          <v:imagedata o:title=""/>
          <o:lock v:ext="edit"/>
          <w10:wrap type="none"/>
          <w10:anchorlock/>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5D29B">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04B77297">
    <w:pPr>
      <w:spacing w:before="14" w:line="29" w:lineRule="exact"/>
      <w:ind w:firstLine="14"/>
      <w:textAlignment w:val="center"/>
    </w:pPr>
    <w:r>
      <w:pict>
        <v:shape id="_x0000_s2061" o:spid="_x0000_s2061" style="height:1.45pt;width:415.3pt;" fillcolor="#000000" filled="t" stroked="f" coordsize="8305,29" path="m0,0l8305,0,8305,28,0,28,0,0xe">
          <v:path/>
          <v:fill on="t" focussize="0,0"/>
          <v:stroke on="f"/>
          <v:imagedata o:title=""/>
          <o:lock v:ext="edit"/>
          <w10:wrap type="none"/>
          <w10:anchorlock/>
        </v:shape>
      </w:pict>
    </w:r>
  </w:p>
</w:hdr>
</file>

<file path=word/header1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5F92C">
    <w:pPr>
      <w:spacing w:line="228" w:lineRule="auto"/>
      <w:ind w:left="509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5E0CD25F">
    <w:pPr>
      <w:spacing w:before="14" w:line="29" w:lineRule="exact"/>
      <w:textAlignment w:val="center"/>
    </w:pPr>
    <w:r>
      <w:pict>
        <v:shape id="_x0000_s2177" o:spid="_x0000_s2177" style="height:1.45pt;width:697.95pt;" fillcolor="#000000" filled="t" stroked="f" coordsize="13959,29" path="m0,0l13958,0,13958,28,0,28,0,0xe">
          <v:path/>
          <v:fill on="t" focussize="0,0"/>
          <v:stroke on="f"/>
          <v:imagedata o:title=""/>
          <o:lock v:ext="edit"/>
          <w10:wrap type="none"/>
          <w10:anchorlock/>
        </v:shape>
      </w:pict>
    </w:r>
  </w:p>
</w:hdr>
</file>

<file path=word/header1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7C6FA">
    <w:pPr>
      <w:spacing w:line="228" w:lineRule="auto"/>
      <w:ind w:left="509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1107F618">
    <w:pPr>
      <w:spacing w:before="14" w:line="29" w:lineRule="exact"/>
      <w:textAlignment w:val="center"/>
    </w:pPr>
    <w:r>
      <w:pict>
        <v:shape id="_x0000_s2178" o:spid="_x0000_s2178" style="height:1.45pt;width:697.95pt;" fillcolor="#000000" filled="t" stroked="f" coordsize="13959,29" path="m0,0l13958,0,13958,28,0,28,0,0xe">
          <v:path/>
          <v:fill on="t" focussize="0,0"/>
          <v:stroke on="f"/>
          <v:imagedata o:title=""/>
          <o:lock v:ext="edit"/>
          <w10:wrap type="none"/>
          <w10:anchorlock/>
        </v:shape>
      </w:pict>
    </w:r>
  </w:p>
</w:hdr>
</file>

<file path=word/header1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F919E">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471B15C6">
    <w:pPr>
      <w:spacing w:before="14" w:line="29" w:lineRule="exact"/>
      <w:ind w:firstLine="14"/>
      <w:textAlignment w:val="center"/>
    </w:pPr>
    <w:r>
      <w:pict>
        <v:shape id="_x0000_s2179" o:spid="_x0000_s2179" style="height:1.45pt;width:415.3pt;" fillcolor="#000000" filled="t" stroked="f" coordsize="8305,29" path="m0,0l8305,0,8305,28,0,28,0,0xe">
          <v:path/>
          <v:fill on="t" focussize="0,0"/>
          <v:stroke on="f"/>
          <v:imagedata o:title=""/>
          <o:lock v:ext="edit"/>
          <w10:wrap type="none"/>
          <w10:anchorlock/>
        </v:shape>
      </w:pict>
    </w:r>
  </w:p>
</w:hdr>
</file>

<file path=word/header1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83C8F">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5A3494C2">
    <w:pPr>
      <w:spacing w:before="14" w:line="29" w:lineRule="exact"/>
      <w:ind w:firstLine="14"/>
      <w:textAlignment w:val="center"/>
    </w:pPr>
    <w:r>
      <w:pict>
        <v:shape id="_x0000_s2180" o:spid="_x0000_s2180" style="height:1.45pt;width:415.3pt;" fillcolor="#000000" filled="t" stroked="f" coordsize="8305,29" path="m0,0l8305,0,8305,28,0,28,0,0xe">
          <v:path/>
          <v:fill on="t" focussize="0,0"/>
          <v:stroke on="f"/>
          <v:imagedata o:title=""/>
          <o:lock v:ext="edit"/>
          <w10:wrap type="none"/>
          <w10:anchorlock/>
        </v:shape>
      </w:pict>
    </w:r>
  </w:p>
</w:hdr>
</file>

<file path=word/header1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00C70">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387BE57E">
    <w:pPr>
      <w:spacing w:before="14" w:line="29" w:lineRule="exact"/>
      <w:ind w:firstLine="14"/>
      <w:textAlignment w:val="center"/>
    </w:pPr>
    <w:r>
      <w:pict>
        <v:shape id="_x0000_s2181" o:spid="_x0000_s2181" style="height:1.45pt;width:415.3pt;" fillcolor="#000000" filled="t" stroked="f" coordsize="8305,29" path="m0,0l8305,0,8305,28,0,28,0,0xe">
          <v:path/>
          <v:fill on="t" focussize="0,0"/>
          <v:stroke on="f"/>
          <v:imagedata o:title=""/>
          <o:lock v:ext="edit"/>
          <w10:wrap type="none"/>
          <w10:anchorlock/>
        </v:shape>
      </w:pict>
    </w:r>
  </w:p>
</w:hdr>
</file>

<file path=word/header1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E3467">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1E4F7AF9">
    <w:pPr>
      <w:spacing w:before="14" w:line="29" w:lineRule="exact"/>
      <w:ind w:firstLine="14"/>
      <w:textAlignment w:val="center"/>
    </w:pPr>
    <w:r>
      <w:pict>
        <v:shape id="_x0000_s2182" o:spid="_x0000_s2182" style="height:1.45pt;width:415.3pt;" fillcolor="#000000" filled="t" stroked="f" coordsize="8305,29" path="m0,0l8305,0,8305,28,0,28,0,0xe">
          <v:path/>
          <v:fill on="t" focussize="0,0"/>
          <v:stroke on="f"/>
          <v:imagedata o:title=""/>
          <o:lock v:ext="edit"/>
          <w10:wrap type="none"/>
          <w10:anchorlock/>
        </v:shape>
      </w:pict>
    </w:r>
  </w:p>
</w:hdr>
</file>

<file path=word/header1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1CFDE">
    <w:pPr>
      <w:spacing w:line="228" w:lineRule="auto"/>
      <w:ind w:left="2312"/>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063E9374">
    <w:pPr>
      <w:spacing w:before="14" w:line="29" w:lineRule="exact"/>
      <w:ind w:firstLine="41"/>
      <w:textAlignment w:val="center"/>
    </w:pPr>
    <w:r>
      <w:pict>
        <v:shape id="_x0000_s2183" o:spid="_x0000_s2183" style="height:1.45pt;width:415.3pt;" fillcolor="#000000" filled="t" stroked="f" coordsize="8305,29" path="m0,0l8305,0,8305,28,0,28,0,0xe">
          <v:path/>
          <v:fill on="t" focussize="0,0"/>
          <v:stroke on="f"/>
          <v:imagedata o:title=""/>
          <o:lock v:ext="edit"/>
          <w10:wrap type="none"/>
          <w10:anchorlock/>
        </v:shape>
      </w:pict>
    </w:r>
  </w:p>
</w:hdr>
</file>

<file path=word/header1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84B42">
    <w:pPr>
      <w:spacing w:line="228" w:lineRule="auto"/>
      <w:ind w:left="2312"/>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243E271C">
    <w:pPr>
      <w:spacing w:before="14" w:line="29" w:lineRule="exact"/>
      <w:ind w:firstLine="41"/>
      <w:textAlignment w:val="center"/>
    </w:pPr>
    <w:r>
      <w:pict>
        <v:shape id="_x0000_s2184" o:spid="_x0000_s2184" style="height:1.45pt;width:415.3pt;" fillcolor="#000000" filled="t" stroked="f" coordsize="8305,29" path="m0,0l8305,0,8305,28,0,28,0,0xe">
          <v:path/>
          <v:fill on="t" focussize="0,0"/>
          <v:stroke on="f"/>
          <v:imagedata o:title=""/>
          <o:lock v:ext="edit"/>
          <w10:wrap type="none"/>
          <w10:anchorlock/>
        </v:shape>
      </w:pict>
    </w:r>
  </w:p>
</w:hdr>
</file>

<file path=word/header1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2CF9F">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32EBA687">
    <w:pPr>
      <w:spacing w:before="14" w:line="29" w:lineRule="exact"/>
      <w:ind w:firstLine="108"/>
      <w:textAlignment w:val="center"/>
    </w:pPr>
    <w:r>
      <w:pict>
        <v:shape id="_x0000_s2185" o:spid="_x0000_s2185" style="height:1.45pt;width:415.3pt;" fillcolor="#000000" filled="t" stroked="f" coordsize="8305,29" path="m0,0l8305,0,8305,28,0,28,0,0xe">
          <v:path/>
          <v:fill on="t" focussize="0,0"/>
          <v:stroke on="f"/>
          <v:imagedata o:title=""/>
          <o:lock v:ext="edit"/>
          <w10:wrap type="none"/>
          <w10:anchorlock/>
        </v:shape>
      </w:pict>
    </w:r>
  </w:p>
</w:hdr>
</file>

<file path=word/header1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AEE78">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1AD00007">
    <w:pPr>
      <w:spacing w:before="14" w:line="29" w:lineRule="exact"/>
      <w:ind w:firstLine="108"/>
      <w:textAlignment w:val="center"/>
    </w:pPr>
    <w:r>
      <w:pict>
        <v:shape id="_x0000_s2186" o:spid="_x0000_s2186" style="height:1.45pt;width:415.3pt;" fillcolor="#000000" filled="t" stroked="f" coordsize="8305,29" path="m0,0l8305,0,8305,28,0,28,0,0xe">
          <v:path/>
          <v:fill on="t" focussize="0,0"/>
          <v:stroke on="f"/>
          <v:imagedata o:title=""/>
          <o:lock v:ext="edit"/>
          <w10:wrap type="none"/>
          <w10:anchorlock/>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C4ABB">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3B60942D">
    <w:pPr>
      <w:spacing w:before="14" w:line="29" w:lineRule="exact"/>
      <w:ind w:firstLine="14"/>
      <w:textAlignment w:val="center"/>
    </w:pPr>
    <w:r>
      <w:pict>
        <v:shape id="_x0000_s2062" o:spid="_x0000_s2062" style="height:1.45pt;width:415.3pt;" fillcolor="#000000" filled="t" stroked="f" coordsize="8305,29" path="m0,0l8305,0,8305,28,0,28,0,0xe">
          <v:path/>
          <v:fill on="t" focussize="0,0"/>
          <v:stroke on="f"/>
          <v:imagedata o:title=""/>
          <o:lock v:ext="edit"/>
          <w10:wrap type="none"/>
          <w10:anchorlock/>
        </v:shape>
      </w:pict>
    </w:r>
  </w:p>
</w:hdr>
</file>

<file path=word/header1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D1860">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392104A6">
    <w:pPr>
      <w:spacing w:before="14" w:line="29" w:lineRule="exact"/>
      <w:ind w:firstLine="108"/>
      <w:textAlignment w:val="center"/>
    </w:pPr>
    <w:r>
      <w:pict>
        <v:shape id="_x0000_s2187" o:spid="_x0000_s2187" style="height:1.45pt;width:415.3pt;" fillcolor="#000000" filled="t" stroked="f" coordsize="8305,29" path="m0,0l8305,0,8305,28,0,28,0,0xe">
          <v:path/>
          <v:fill on="t" focussize="0,0"/>
          <v:stroke on="f"/>
          <v:imagedata o:title=""/>
          <o:lock v:ext="edit"/>
          <w10:wrap type="none"/>
          <w10:anchorlock/>
        </v:shape>
      </w:pict>
    </w:r>
  </w:p>
</w:hdr>
</file>

<file path=word/header1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6E05C">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53520D3A">
    <w:pPr>
      <w:spacing w:before="14" w:line="29" w:lineRule="exact"/>
      <w:ind w:firstLine="14"/>
      <w:textAlignment w:val="center"/>
    </w:pPr>
    <w:r>
      <w:pict>
        <v:shape id="_x0000_s2188" o:spid="_x0000_s2188" style="height:1.45pt;width:415.3pt;" fillcolor="#000000" filled="t" stroked="f" coordsize="8305,29" path="m0,0l8305,0,8305,28,0,28,0,0xe">
          <v:path/>
          <v:fill on="t" focussize="0,0"/>
          <v:stroke on="f"/>
          <v:imagedata o:title=""/>
          <o:lock v:ext="edit"/>
          <w10:wrap type="none"/>
          <w10:anchorlock/>
        </v:shape>
      </w:pict>
    </w:r>
  </w:p>
</w:hdr>
</file>

<file path=word/header1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E02EF">
    <w:pPr>
      <w:spacing w:line="228" w:lineRule="auto"/>
      <w:ind w:left="8556"/>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6DBEC72F">
    <w:pPr>
      <w:spacing w:before="14" w:line="29" w:lineRule="exact"/>
      <w:textAlignment w:val="center"/>
    </w:pPr>
    <w:r>
      <w:pict>
        <v:shape id="_x0000_s2189" o:spid="_x0000_s2189" style="height:1.45pt;width:1043.9pt;" fillcolor="#000000" filled="t" stroked="f" coordsize="20878,29" path="m0,0l20877,0,20877,28,0,28,0,0xe">
          <v:path/>
          <v:fill on="t" focussize="0,0"/>
          <v:stroke on="f"/>
          <v:imagedata o:title=""/>
          <o:lock v:ext="edit"/>
          <w10:wrap type="none"/>
          <w10:anchorlock/>
        </v:shape>
      </w:pict>
    </w:r>
  </w:p>
</w:hdr>
</file>

<file path=word/header1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5B2E6">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7AE657B2">
    <w:pPr>
      <w:spacing w:before="14" w:line="29" w:lineRule="exact"/>
      <w:ind w:firstLine="14"/>
      <w:textAlignment w:val="center"/>
    </w:pPr>
    <w:r>
      <w:pict>
        <v:shape id="_x0000_s2190" o:spid="_x0000_s2190" style="height:1.45pt;width:415.3pt;" fillcolor="#000000" filled="t" stroked="f" coordsize="8305,29" path="m0,0l8305,0,8305,28,0,28,0,0xe">
          <v:path/>
          <v:fill on="t" focussize="0,0"/>
          <v:stroke on="f"/>
          <v:imagedata o:title=""/>
          <o:lock v:ext="edit"/>
          <w10:wrap type="none"/>
          <w10:anchorlock/>
        </v:shape>
      </w:pict>
    </w:r>
  </w:p>
</w:hdr>
</file>

<file path=word/header1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7E7CE">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2AE7FDA3">
    <w:pPr>
      <w:spacing w:before="14" w:line="29" w:lineRule="exact"/>
      <w:ind w:firstLine="14"/>
      <w:textAlignment w:val="center"/>
    </w:pPr>
    <w:r>
      <w:pict>
        <v:shape id="_x0000_s2191" o:spid="_x0000_s2191" style="height:1.45pt;width:415.3pt;" fillcolor="#000000" filled="t" stroked="f" coordsize="8305,29" path="m0,0l8305,0,8305,28,0,28,0,0xe">
          <v:path/>
          <v:fill on="t" focussize="0,0"/>
          <v:stroke on="f"/>
          <v:imagedata o:title=""/>
          <o:lock v:ext="edit"/>
          <w10:wrap type="none"/>
          <w10:anchorlock/>
        </v:shape>
      </w:pict>
    </w:r>
  </w:p>
</w:hdr>
</file>

<file path=word/header1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6C047">
    <w:pPr>
      <w:spacing w:line="228" w:lineRule="auto"/>
      <w:ind w:left="2293"/>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07685773">
    <w:pPr>
      <w:spacing w:before="14" w:line="29" w:lineRule="exact"/>
      <w:ind w:firstLine="22"/>
      <w:textAlignment w:val="center"/>
    </w:pPr>
    <w:r>
      <w:pict>
        <v:shape id="_x0000_s2192" o:spid="_x0000_s2192" style="height:1.45pt;width:415.3pt;" fillcolor="#000000" filled="t" stroked="f" coordsize="8305,29" path="m0,0l8305,0,8305,28,0,28,0,0xe">
          <v:path/>
          <v:fill on="t" focussize="0,0"/>
          <v:stroke on="f"/>
          <v:imagedata o:title=""/>
          <o:lock v:ext="edit"/>
          <w10:wrap type="none"/>
          <w10:anchorlock/>
        </v:shape>
      </w:pict>
    </w:r>
  </w:p>
</w:hdr>
</file>

<file path=word/header1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01FFD">
    <w:pPr>
      <w:spacing w:line="228" w:lineRule="auto"/>
      <w:ind w:left="2293"/>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6A5A7EE9">
    <w:pPr>
      <w:spacing w:before="14" w:line="29" w:lineRule="exact"/>
      <w:ind w:firstLine="22"/>
      <w:textAlignment w:val="center"/>
    </w:pPr>
    <w:r>
      <w:pict>
        <v:shape id="_x0000_s2193" o:spid="_x0000_s2193" style="height:1.45pt;width:415.3pt;" fillcolor="#000000" filled="t" stroked="f" coordsize="8305,29" path="m0,0l8305,0,8305,28,0,28,0,0xe">
          <v:path/>
          <v:fill on="t" focussize="0,0"/>
          <v:stroke on="f"/>
          <v:imagedata o:title=""/>
          <o:lock v:ext="edit"/>
          <w10:wrap type="none"/>
          <w10:anchorlock/>
        </v:shape>
      </w:pict>
    </w:r>
  </w:p>
</w:hdr>
</file>

<file path=word/header1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8A157">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36C87E32">
    <w:pPr>
      <w:spacing w:before="14" w:line="29" w:lineRule="exact"/>
      <w:ind w:firstLine="14"/>
      <w:textAlignment w:val="center"/>
    </w:pPr>
    <w:r>
      <w:pict>
        <v:shape id="_x0000_s2194" o:spid="_x0000_s2194" style="height:1.45pt;width:415.3pt;" fillcolor="#000000" filled="t" stroked="f" coordsize="8305,29" path="m0,0l8305,0,8305,28,0,28,0,0xe">
          <v:path/>
          <v:fill on="t" focussize="0,0"/>
          <v:stroke on="f"/>
          <v:imagedata o:title=""/>
          <o:lock v:ext="edit"/>
          <w10:wrap type="none"/>
          <w10:anchorlock/>
        </v:shape>
      </w:pict>
    </w:r>
  </w:p>
</w:hdr>
</file>

<file path=word/header1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8A36F">
    <w:pPr>
      <w:spacing w:line="228" w:lineRule="auto"/>
      <w:ind w:left="2312"/>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770A77D7">
    <w:pPr>
      <w:spacing w:before="14" w:line="29" w:lineRule="exact"/>
      <w:ind w:firstLine="41"/>
      <w:textAlignment w:val="center"/>
    </w:pPr>
    <w:r>
      <w:pict>
        <v:shape id="_x0000_s2195" o:spid="_x0000_s2195" style="height:1.45pt;width:415.3pt;" fillcolor="#000000" filled="t" stroked="f" coordsize="8305,29" path="m0,0l8305,0,8305,28,0,28,0,0xe">
          <v:path/>
          <v:fill on="t" focussize="0,0"/>
          <v:stroke on="f"/>
          <v:imagedata o:title=""/>
          <o:lock v:ext="edit"/>
          <w10:wrap type="none"/>
          <w10:anchorlock/>
        </v:shape>
      </w:pict>
    </w:r>
  </w:p>
</w:hdr>
</file>

<file path=word/header1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7E85D">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056FF002">
    <w:pPr>
      <w:spacing w:before="14" w:line="29" w:lineRule="exact"/>
      <w:ind w:firstLine="14"/>
      <w:textAlignment w:val="center"/>
    </w:pPr>
    <w:r>
      <w:pict>
        <v:shape id="_x0000_s2196" o:spid="_x0000_s2196" style="height:1.45pt;width:415.3pt;" fillcolor="#000000" filled="t" stroked="f" coordsize="8305,29" path="m0,0l8305,0,8305,28,0,28,0,0xe">
          <v:path/>
          <v:fill on="t" focussize="0,0"/>
          <v:stroke on="f"/>
          <v:imagedata o:title=""/>
          <o:lock v:ext="edit"/>
          <w10:wrap type="none"/>
          <w10:anchorlock/>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A2034">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0FDE2AE3">
    <w:pPr>
      <w:spacing w:before="14" w:line="29" w:lineRule="exact"/>
      <w:ind w:firstLine="14"/>
      <w:textAlignment w:val="center"/>
    </w:pPr>
    <w:r>
      <w:pict>
        <v:shape id="_x0000_s2063" o:spid="_x0000_s2063" style="height:1.45pt;width:415.3pt;" fillcolor="#000000" filled="t" stroked="f" coordsize="8305,29" path="m0,0l8305,0,8305,28,0,28,0,0xe">
          <v:path/>
          <v:fill on="t" focussize="0,0"/>
          <v:stroke on="f"/>
          <v:imagedata o:title=""/>
          <o:lock v:ext="edit"/>
          <w10:wrap type="none"/>
          <w10:anchorlock/>
        </v:shape>
      </w:pict>
    </w:r>
  </w:p>
</w:hdr>
</file>

<file path=word/header1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377B5">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2ABE398A">
    <w:pPr>
      <w:spacing w:before="14" w:line="29" w:lineRule="exact"/>
      <w:ind w:firstLine="14"/>
      <w:textAlignment w:val="center"/>
    </w:pPr>
    <w:r>
      <w:pict>
        <v:shape id="_x0000_s2197" o:spid="_x0000_s2197" style="height:1.45pt;width:415.3pt;" fillcolor="#000000" filled="t" stroked="f" coordsize="8305,29" path="m0,0l8305,0,8305,28,0,28,0,0xe">
          <v:path/>
          <v:fill on="t" focussize="0,0"/>
          <v:stroke on="f"/>
          <v:imagedata o:title=""/>
          <o:lock v:ext="edit"/>
          <w10:wrap type="none"/>
          <w10:anchorlock/>
        </v:shape>
      </w:pict>
    </w:r>
  </w:p>
</w:hdr>
</file>

<file path=word/header1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A3416">
    <w:pPr>
      <w:spacing w:line="228" w:lineRule="auto"/>
      <w:ind w:left="2293"/>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6137FCB5">
    <w:pPr>
      <w:spacing w:before="14" w:line="29" w:lineRule="exact"/>
      <w:ind w:firstLine="22"/>
      <w:textAlignment w:val="center"/>
    </w:pPr>
    <w:r>
      <w:pict>
        <v:shape id="_x0000_s2198" o:spid="_x0000_s2198" style="height:1.45pt;width:415.3pt;" fillcolor="#000000" filled="t" stroked="f" coordsize="8305,29" path="m0,0l8305,0,8305,28,0,28,0,0xe">
          <v:path/>
          <v:fill on="t" focussize="0,0"/>
          <v:stroke on="f"/>
          <v:imagedata o:title=""/>
          <o:lock v:ext="edit"/>
          <w10:wrap type="none"/>
          <w10:anchorlock/>
        </v:shape>
      </w:pict>
    </w:r>
  </w:p>
</w:hdr>
</file>

<file path=word/header1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9862A">
    <w:pPr>
      <w:spacing w:line="228" w:lineRule="auto"/>
      <w:ind w:left="2293"/>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31689878">
    <w:pPr>
      <w:spacing w:before="14" w:line="29" w:lineRule="exact"/>
      <w:ind w:firstLine="22"/>
      <w:textAlignment w:val="center"/>
    </w:pPr>
    <w:r>
      <w:pict>
        <v:shape id="_x0000_s2199" o:spid="_x0000_s2199" style="height:1.45pt;width:415.3pt;" fillcolor="#000000" filled="t" stroked="f" coordsize="8305,29" path="m0,0l8305,0,8305,28,0,28,0,0xe">
          <v:path/>
          <v:fill on="t" focussize="0,0"/>
          <v:stroke on="f"/>
          <v:imagedata o:title=""/>
          <o:lock v:ext="edit"/>
          <w10:wrap type="none"/>
          <w10:anchorlock/>
        </v:shape>
      </w:pict>
    </w:r>
  </w:p>
</w:hdr>
</file>

<file path=word/header1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9A102">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7C30322E">
    <w:pPr>
      <w:spacing w:before="14" w:line="29" w:lineRule="exact"/>
      <w:ind w:firstLine="14"/>
      <w:textAlignment w:val="center"/>
    </w:pPr>
    <w:r>
      <w:pict>
        <v:shape id="_x0000_s2200" o:spid="_x0000_s2200" style="height:1.45pt;width:415.3pt;" fillcolor="#000000" filled="t" stroked="f" coordsize="8305,29" path="m0,0l8305,0,8305,28,0,28,0,0xe">
          <v:path/>
          <v:fill on="t" focussize="0,0"/>
          <v:stroke on="f"/>
          <v:imagedata o:title=""/>
          <o:lock v:ext="edit"/>
          <w10:wrap type="none"/>
          <w10:anchorlock/>
        </v:shape>
      </w:pict>
    </w:r>
  </w:p>
</w:hdr>
</file>

<file path=word/header1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BF87B">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1779776C">
    <w:pPr>
      <w:spacing w:before="14" w:line="29" w:lineRule="exact"/>
      <w:ind w:firstLine="108"/>
      <w:textAlignment w:val="center"/>
    </w:pPr>
    <w:r>
      <w:pict>
        <v:shape id="_x0000_s2201" o:spid="_x0000_s2201" style="height:1.45pt;width:415.3pt;" fillcolor="#000000" filled="t" stroked="f" coordsize="8305,29" path="m0,0l8305,0,8305,28,0,28,0,0xe">
          <v:path/>
          <v:fill on="t" focussize="0,0"/>
          <v:stroke on="f"/>
          <v:imagedata o:title=""/>
          <o:lock v:ext="edit"/>
          <w10:wrap type="none"/>
          <w10:anchorlock/>
        </v:shape>
      </w:pict>
    </w:r>
  </w:p>
</w:hdr>
</file>

<file path=word/header1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4D0B1">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4722FAF0">
    <w:pPr>
      <w:spacing w:before="14" w:line="29" w:lineRule="exact"/>
      <w:ind w:firstLine="14"/>
      <w:textAlignment w:val="center"/>
    </w:pPr>
    <w:r>
      <w:pict>
        <v:shape id="_x0000_s2202" o:spid="_x0000_s2202" style="height:1.45pt;width:415.3pt;" fillcolor="#000000" filled="t" stroked="f" coordsize="8305,29" path="m0,0l8305,0,8305,28,0,28,0,0xe">
          <v:path/>
          <v:fill on="t" focussize="0,0"/>
          <v:stroke on="f"/>
          <v:imagedata o:title=""/>
          <o:lock v:ext="edit"/>
          <w10:wrap type="none"/>
          <w10:anchorlock/>
        </v:shape>
      </w:pict>
    </w:r>
  </w:p>
</w:hdr>
</file>

<file path=word/header1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0FC4F">
    <w:pPr>
      <w:spacing w:line="228" w:lineRule="auto"/>
      <w:ind w:left="2314"/>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6A60F26E">
    <w:pPr>
      <w:spacing w:before="14" w:line="29" w:lineRule="exact"/>
      <w:ind w:firstLine="43"/>
      <w:textAlignment w:val="center"/>
    </w:pPr>
    <w:r>
      <w:pict>
        <v:shape id="_x0000_s2203" o:spid="_x0000_s2203" style="height:1.45pt;width:415.3pt;" fillcolor="#000000" filled="t" stroked="f" coordsize="8305,29" path="m0,0l8305,0,8305,28,0,28,0,0xe">
          <v:path/>
          <v:fill on="t" focussize="0,0"/>
          <v:stroke on="f"/>
          <v:imagedata o:title=""/>
          <o:lock v:ext="edit"/>
          <w10:wrap type="none"/>
          <w10:anchorlock/>
        </v:shape>
      </w:pict>
    </w:r>
  </w:p>
</w:hdr>
</file>

<file path=word/header1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73A48">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2B41A75D">
    <w:pPr>
      <w:spacing w:before="14" w:line="29" w:lineRule="exact"/>
      <w:ind w:firstLine="14"/>
      <w:textAlignment w:val="center"/>
    </w:pPr>
    <w:r>
      <w:pict>
        <v:shape id="_x0000_s2204" o:spid="_x0000_s2204" style="height:1.45pt;width:415.3pt;" fillcolor="#000000" filled="t" stroked="f" coordsize="8305,29" path="m0,0l8305,0,8305,28,0,28,0,0xe">
          <v:path/>
          <v:fill on="t" focussize="0,0"/>
          <v:stroke on="f"/>
          <v:imagedata o:title=""/>
          <o:lock v:ext="edit"/>
          <w10:wrap type="none"/>
          <w10:anchorlock/>
        </v:shape>
      </w:pict>
    </w:r>
  </w:p>
</w:hdr>
</file>

<file path=word/header1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914BB">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2EA3865D">
    <w:pPr>
      <w:spacing w:before="14" w:line="29" w:lineRule="exact"/>
      <w:ind w:firstLine="14"/>
      <w:textAlignment w:val="center"/>
    </w:pPr>
    <w:r>
      <w:pict>
        <v:shape id="_x0000_s2205" o:spid="_x0000_s2205" style="height:1.45pt;width:415.3pt;" fillcolor="#000000" filled="t" stroked="f" coordsize="8305,29" path="m0,0l8305,0,8305,28,0,28,0,0xe">
          <v:path/>
          <v:fill on="t" focussize="0,0"/>
          <v:stroke on="f"/>
          <v:imagedata o:title=""/>
          <o:lock v:ext="edit"/>
          <w10:wrap type="none"/>
          <w10:anchorlock/>
        </v:shape>
      </w:pict>
    </w:r>
  </w:p>
</w:hdr>
</file>

<file path=word/header1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E8FCF">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0E9898C4">
    <w:pPr>
      <w:spacing w:before="14" w:line="29" w:lineRule="exact"/>
      <w:ind w:firstLine="14"/>
      <w:textAlignment w:val="center"/>
    </w:pPr>
    <w:r>
      <w:pict>
        <v:shape id="_x0000_s2206" o:spid="_x0000_s2206" style="height:1.45pt;width:415.3pt;" fillcolor="#000000" filled="t" stroked="f" coordsize="8305,29" path="m0,0l8305,0,8305,28,0,28,0,0xe">
          <v:path/>
          <v:fill on="t" focussize="0,0"/>
          <v:stroke on="f"/>
          <v:imagedata o:title=""/>
          <o:lock v:ext="edit"/>
          <w10:wrap type="none"/>
          <w10:anchorlock/>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8E7B4">
    <w:pPr>
      <w:spacing w:line="228" w:lineRule="auto"/>
      <w:ind w:left="2293"/>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1D691D3E">
    <w:pPr>
      <w:spacing w:before="14" w:line="29" w:lineRule="exact"/>
      <w:ind w:firstLine="22"/>
      <w:textAlignment w:val="center"/>
    </w:pPr>
    <w:r>
      <w:pict>
        <v:shape id="_x0000_s2064" o:spid="_x0000_s2064" style="height:1.45pt;width:415.3pt;" fillcolor="#000000" filled="t" stroked="f" coordsize="8305,29" path="m0,0l8305,0,8305,28,0,28,0,0xe">
          <v:path/>
          <v:fill on="t" focussize="0,0"/>
          <v:stroke on="f"/>
          <v:imagedata o:title=""/>
          <o:lock v:ext="edit"/>
          <w10:wrap type="none"/>
          <w10:anchorlock/>
        </v:shape>
      </w:pict>
    </w:r>
  </w:p>
</w:hdr>
</file>

<file path=word/header1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53C4B">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423E2D7B">
    <w:pPr>
      <w:spacing w:before="14" w:line="29" w:lineRule="exact"/>
      <w:ind w:firstLine="14"/>
      <w:textAlignment w:val="center"/>
    </w:pPr>
    <w:r>
      <w:pict>
        <v:shape id="_x0000_s2207" o:spid="_x0000_s2207" style="height:1.45pt;width:415.3pt;" fillcolor="#000000" filled="t" stroked="f" coordsize="8305,29" path="m0,0l8305,0,8305,28,0,28,0,0xe">
          <v:path/>
          <v:fill on="t" focussize="0,0"/>
          <v:stroke on="f"/>
          <v:imagedata o:title=""/>
          <o:lock v:ext="edit"/>
          <w10:wrap type="none"/>
          <w10:anchorlock/>
        </v:shape>
      </w:pict>
    </w:r>
  </w:p>
</w:hdr>
</file>

<file path=word/header1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EBB8E">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061AF38A">
    <w:pPr>
      <w:spacing w:before="14" w:line="29" w:lineRule="exact"/>
      <w:ind w:firstLine="14"/>
      <w:textAlignment w:val="center"/>
    </w:pPr>
    <w:r>
      <w:pict>
        <v:shape id="_x0000_s2208" o:spid="_x0000_s2208" style="height:1.45pt;width:415.3pt;" fillcolor="#000000" filled="t" stroked="f" coordsize="8305,29" path="m0,0l8305,0,8305,28,0,28,0,0xe">
          <v:path/>
          <v:fill on="t" focussize="0,0"/>
          <v:stroke on="f"/>
          <v:imagedata o:title=""/>
          <o:lock v:ext="edit"/>
          <w10:wrap type="none"/>
          <w10:anchorlock/>
        </v:shape>
      </w:pict>
    </w:r>
  </w:p>
</w:hdr>
</file>

<file path=word/header1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014E3">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7BA6734B">
    <w:pPr>
      <w:spacing w:before="14" w:line="29" w:lineRule="exact"/>
      <w:ind w:firstLine="14"/>
      <w:textAlignment w:val="center"/>
    </w:pPr>
    <w:r>
      <w:pict>
        <v:shape id="_x0000_s2209" o:spid="_x0000_s2209" style="height:1.45pt;width:415.3pt;" fillcolor="#000000" filled="t" stroked="f" coordsize="8305,29" path="m0,0l8305,0,8305,28,0,28,0,0xe">
          <v:path/>
          <v:fill on="t" focussize="0,0"/>
          <v:stroke on="f"/>
          <v:imagedata o:title=""/>
          <o:lock v:ext="edit"/>
          <w10:wrap type="none"/>
          <w10:anchorlock/>
        </v:shape>
      </w:pict>
    </w:r>
  </w:p>
</w:hdr>
</file>

<file path=word/header1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1A08F">
    <w:pPr>
      <w:spacing w:line="14" w:lineRule="auto"/>
      <w:rPr>
        <w:rFonts w:ascii="Arial"/>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0B20A">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35DBF641">
    <w:pPr>
      <w:spacing w:before="14" w:line="29" w:lineRule="exact"/>
      <w:ind w:firstLine="14"/>
      <w:textAlignment w:val="center"/>
    </w:pPr>
    <w:r>
      <w:pict>
        <v:shape id="_x0000_s2065" o:spid="_x0000_s2065" style="height:1.45pt;width:415.3pt;" fillcolor="#000000" filled="t" stroked="f" coordsize="8305,29" path="m0,0l8305,0,8305,28,0,28,0,0xe">
          <v:path/>
          <v:fill on="t" focussize="0,0"/>
          <v:stroke on="f"/>
          <v:imagedata o:title=""/>
          <o:lock v:ext="edit"/>
          <w10:wrap type="none"/>
          <w10:anchorlock/>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E59D2">
    <w:pPr>
      <w:spacing w:line="228" w:lineRule="auto"/>
      <w:ind w:left="5132"/>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63DB2FD7">
    <w:pPr>
      <w:spacing w:before="14" w:line="29" w:lineRule="exact"/>
      <w:ind w:firstLine="36"/>
      <w:textAlignment w:val="center"/>
    </w:pPr>
    <w:r>
      <w:pict>
        <v:shape id="_x0000_s2066" o:spid="_x0000_s2066" style="height:1.45pt;width:697.95pt;" fillcolor="#000000" filled="t" stroked="f" coordsize="13959,29" path="m0,0l13958,0,13958,28,0,28,0,0xe">
          <v:path/>
          <v:fill on="t" focussize="0,0"/>
          <v:stroke on="f"/>
          <v:imagedata o:title=""/>
          <o:lock v:ext="edit"/>
          <w10:wrap type="none"/>
          <w10:anchorlock/>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B0E4C">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5A59DBA3">
    <w:pPr>
      <w:spacing w:before="14" w:line="29" w:lineRule="exact"/>
      <w:ind w:firstLine="14"/>
      <w:textAlignment w:val="center"/>
    </w:pPr>
    <w:r>
      <w:pict>
        <v:shape id="_x0000_s2067" o:spid="_x0000_s2067" style="height:1.45pt;width:415.3pt;" fillcolor="#000000" filled="t" stroked="f" coordsize="8305,29" path="m0,0l8305,0,8305,28,0,28,0,0xe">
          <v:path/>
          <v:fill on="t" focussize="0,0"/>
          <v:stroke on="f"/>
          <v:imagedata o:title=""/>
          <o:lock v:ext="edit"/>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C00FF">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62B259F9">
    <w:pPr>
      <w:spacing w:before="14" w:line="29" w:lineRule="exact"/>
      <w:ind w:firstLine="14"/>
      <w:textAlignment w:val="center"/>
    </w:pPr>
    <w:r>
      <w:pict>
        <v:shape id="_x0000_s2050" o:spid="_x0000_s2050" style="height:1.45pt;width:415.3pt;" fillcolor="#000000" filled="t" stroked="f" coordsize="8305,29" path="m0,0l8305,0,8305,28,0,28,0,0xe">
          <v:path/>
          <v:fill on="t" focussize="0,0"/>
          <v:stroke on="f"/>
          <v:imagedata o:title=""/>
          <o:lock v:ext="edit"/>
          <w10:wrap type="none"/>
          <w10:anchorlock/>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473E3">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04CBC05B">
    <w:pPr>
      <w:spacing w:before="14" w:line="29" w:lineRule="exact"/>
      <w:ind w:firstLine="14"/>
      <w:textAlignment w:val="center"/>
    </w:pPr>
    <w:r>
      <w:pict>
        <v:shape id="_x0000_s2068" o:spid="_x0000_s2068" style="height:1.45pt;width:415.3pt;" fillcolor="#000000" filled="t" stroked="f" coordsize="8305,29" path="m0,0l8305,0,8305,28,0,28,0,0xe">
          <v:path/>
          <v:fill on="t" focussize="0,0"/>
          <v:stroke on="f"/>
          <v:imagedata o:title=""/>
          <o:lock v:ext="edit"/>
          <w10:wrap type="none"/>
          <w10:anchorlock/>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00603">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1BF58056">
    <w:pPr>
      <w:spacing w:before="14" w:line="29" w:lineRule="exact"/>
      <w:ind w:firstLine="14"/>
      <w:textAlignment w:val="center"/>
    </w:pPr>
    <w:r>
      <w:pict>
        <v:shape id="_x0000_s2069" o:spid="_x0000_s2069" style="height:1.45pt;width:415.3pt;" fillcolor="#000000" filled="t" stroked="f" coordsize="8305,29" path="m0,0l8305,0,8305,28,0,28,0,0xe">
          <v:path/>
          <v:fill on="t" focussize="0,0"/>
          <v:stroke on="f"/>
          <v:imagedata o:title=""/>
          <o:lock v:ext="edit"/>
          <w10:wrap type="none"/>
          <w10:anchorlock/>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F701D">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08B64EE6">
    <w:pPr>
      <w:spacing w:before="14" w:line="29" w:lineRule="exact"/>
      <w:ind w:firstLine="14"/>
      <w:textAlignment w:val="center"/>
    </w:pPr>
    <w:r>
      <w:pict>
        <v:shape id="_x0000_s2070" o:spid="_x0000_s2070" style="height:1.45pt;width:415.3pt;" fillcolor="#000000" filled="t" stroked="f" coordsize="8305,29" path="m0,0l8305,0,8305,28,0,28,0,0xe">
          <v:path/>
          <v:fill on="t" focussize="0,0"/>
          <v:stroke on="f"/>
          <v:imagedata o:title=""/>
          <o:lock v:ext="edit"/>
          <w10:wrap type="none"/>
          <w10:anchorlock/>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C108F">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59171DC3">
    <w:pPr>
      <w:spacing w:before="14" w:line="29" w:lineRule="exact"/>
      <w:ind w:firstLine="14"/>
      <w:textAlignment w:val="center"/>
    </w:pPr>
    <w:r>
      <w:pict>
        <v:shape id="_x0000_s2071" o:spid="_x0000_s2071" style="height:1.45pt;width:415.3pt;" fillcolor="#000000" filled="t" stroked="f" coordsize="8305,29" path="m0,0l8305,0,8305,28,0,28,0,0xe">
          <v:path/>
          <v:fill on="t" focussize="0,0"/>
          <v:stroke on="f"/>
          <v:imagedata o:title=""/>
          <o:lock v:ext="edit"/>
          <w10:wrap type="none"/>
          <w10:anchorlock/>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DA00C">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305AEADC">
    <w:pPr>
      <w:spacing w:before="14" w:line="29" w:lineRule="exact"/>
      <w:ind w:firstLine="14"/>
      <w:textAlignment w:val="center"/>
    </w:pPr>
    <w:r>
      <w:pict>
        <v:shape id="_x0000_s2072" o:spid="_x0000_s2072" style="height:1.45pt;width:415.3pt;" fillcolor="#000000" filled="t" stroked="f" coordsize="8305,29" path="m0,0l8305,0,8305,28,0,28,0,0xe">
          <v:path/>
          <v:fill on="t" focussize="0,0"/>
          <v:stroke on="f"/>
          <v:imagedata o:title=""/>
          <o:lock v:ext="edit"/>
          <w10:wrap type="none"/>
          <w10:anchorlock/>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2CDFC">
    <w:pPr>
      <w:spacing w:line="228" w:lineRule="auto"/>
      <w:ind w:left="2293"/>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50D6129D">
    <w:pPr>
      <w:spacing w:before="14" w:line="29" w:lineRule="exact"/>
      <w:ind w:firstLine="22"/>
      <w:textAlignment w:val="center"/>
    </w:pPr>
    <w:r>
      <w:pict>
        <v:shape id="_x0000_s2073" o:spid="_x0000_s2073" style="height:1.45pt;width:415.3pt;" fillcolor="#000000" filled="t" stroked="f" coordsize="8305,29" path="m0,0l8305,0,8305,28,0,28,0,0xe">
          <v:path/>
          <v:fill on="t" focussize="0,0"/>
          <v:stroke on="f"/>
          <v:imagedata o:title=""/>
          <o:lock v:ext="edit"/>
          <w10:wrap type="none"/>
          <w10:anchorlock/>
        </v:shape>
      </w:pic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CC411">
    <w:pPr>
      <w:spacing w:line="228" w:lineRule="auto"/>
      <w:ind w:left="2321"/>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729F3D64">
    <w:pPr>
      <w:spacing w:before="14" w:line="29" w:lineRule="exact"/>
      <w:ind w:firstLine="50"/>
      <w:textAlignment w:val="center"/>
    </w:pPr>
    <w:r>
      <w:pict>
        <v:shape id="_x0000_s2074" o:spid="_x0000_s2074" style="height:1.45pt;width:415.3pt;" fillcolor="#000000" filled="t" stroked="f" coordsize="8305,29" path="m0,0l8305,0,8305,28,0,28,0,0xe">
          <v:path/>
          <v:fill on="t" focussize="0,0"/>
          <v:stroke on="f"/>
          <v:imagedata o:title=""/>
          <o:lock v:ext="edit"/>
          <w10:wrap type="none"/>
          <w10:anchorlock/>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C334C">
    <w:pPr>
      <w:spacing w:line="228" w:lineRule="auto"/>
      <w:ind w:left="2383"/>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0887F2C5">
    <w:pPr>
      <w:spacing w:before="14" w:line="29" w:lineRule="exact"/>
      <w:ind w:firstLine="112"/>
      <w:textAlignment w:val="center"/>
    </w:pPr>
    <w:r>
      <w:pict>
        <v:shape id="_x0000_s2075" o:spid="_x0000_s2075" style="height:1.45pt;width:415.3pt;" fillcolor="#000000" filled="t" stroked="f" coordsize="8305,29" path="m0,0l8305,0,8305,28,0,28,0,0xe">
          <v:path/>
          <v:fill on="t" focussize="0,0"/>
          <v:stroke on="f"/>
          <v:imagedata o:title=""/>
          <o:lock v:ext="edit"/>
          <w10:wrap type="none"/>
          <w10:anchorlock/>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55CF6">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7260EF2C">
    <w:pPr>
      <w:spacing w:before="14" w:line="29" w:lineRule="exact"/>
      <w:ind w:firstLine="108"/>
      <w:textAlignment w:val="center"/>
    </w:pPr>
    <w:r>
      <w:pict>
        <v:shape id="_x0000_s2076" o:spid="_x0000_s2076" style="height:1.45pt;width:415.3pt;" fillcolor="#000000" filled="t" stroked="f" coordsize="8305,29" path="m0,0l8305,0,8305,28,0,28,0,0xe">
          <v:path/>
          <v:fill on="t" focussize="0,0"/>
          <v:stroke on="f"/>
          <v:imagedata o:title=""/>
          <o:lock v:ext="edit"/>
          <w10:wrap type="none"/>
          <w10:anchorlock/>
        </v:shape>
      </w:pic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D465C">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63388AB5">
    <w:pPr>
      <w:spacing w:before="14" w:line="29" w:lineRule="exact"/>
      <w:ind w:firstLine="108"/>
      <w:textAlignment w:val="center"/>
    </w:pPr>
    <w:r>
      <w:pict>
        <v:shape id="_x0000_s2077" o:spid="_x0000_s2077" style="height:1.45pt;width:415.3pt;" fillcolor="#000000" filled="t" stroked="f" coordsize="8305,29" path="m0,0l8305,0,8305,28,0,28,0,0xe">
          <v:path/>
          <v:fill on="t" focussize="0,0"/>
          <v:stroke on="f"/>
          <v:imagedata o:title=""/>
          <o:lock v:ext="edit"/>
          <w10:wrap type="none"/>
          <w10:anchorlock/>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0BC7F">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7C0206D4">
    <w:pPr>
      <w:spacing w:before="14" w:line="29" w:lineRule="exact"/>
      <w:ind w:firstLine="14"/>
      <w:textAlignment w:val="center"/>
    </w:pPr>
    <w:r>
      <w:pict>
        <v:shape id="_x0000_s2051" o:spid="_x0000_s2051" style="height:1.45pt;width:415.3pt;" fillcolor="#000000" filled="t" stroked="f" coordsize="8305,29" path="m0,0l8305,0,8305,28,0,28,0,0xe">
          <v:path/>
          <v:fill on="t" focussize="0,0"/>
          <v:stroke on="f"/>
          <v:imagedata o:title=""/>
          <o:lock v:ext="edit"/>
          <w10:wrap type="none"/>
          <w10:anchorlock/>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92C9E">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0E053352">
    <w:pPr>
      <w:spacing w:before="14" w:line="29" w:lineRule="exact"/>
      <w:ind w:firstLine="108"/>
      <w:textAlignment w:val="center"/>
    </w:pPr>
    <w:r>
      <w:pict>
        <v:shape id="_x0000_s2078" o:spid="_x0000_s2078" style="height:1.45pt;width:415.3pt;" fillcolor="#000000" filled="t" stroked="f" coordsize="8305,29" path="m0,0l8305,0,8305,28,0,28,0,0xe">
          <v:path/>
          <v:fill on="t" focussize="0,0"/>
          <v:stroke on="f"/>
          <v:imagedata o:title=""/>
          <o:lock v:ext="edit"/>
          <w10:wrap type="none"/>
          <w10:anchorlock/>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647DE">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61005A40">
    <w:pPr>
      <w:spacing w:before="14" w:line="29" w:lineRule="exact"/>
      <w:ind w:firstLine="108"/>
      <w:textAlignment w:val="center"/>
    </w:pPr>
    <w:r>
      <w:pict>
        <v:shape id="_x0000_s2079" o:spid="_x0000_s2079" style="height:1.45pt;width:415.3pt;" fillcolor="#000000" filled="t" stroked="f" coordsize="8305,29" path="m0,0l8305,0,8305,28,0,28,0,0xe">
          <v:path/>
          <v:fill on="t" focussize="0,0"/>
          <v:stroke on="f"/>
          <v:imagedata o:title=""/>
          <o:lock v:ext="edit"/>
          <w10:wrap type="none"/>
          <w10:anchorlock/>
        </v:shape>
      </w:pic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10094">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67030131">
    <w:pPr>
      <w:spacing w:before="14" w:line="29" w:lineRule="exact"/>
      <w:ind w:firstLine="108"/>
      <w:textAlignment w:val="center"/>
    </w:pPr>
    <w:r>
      <w:pict>
        <v:shape id="_x0000_s2080" o:spid="_x0000_s2080" style="height:1.45pt;width:415.3pt;" fillcolor="#000000" filled="t" stroked="f" coordsize="8305,29" path="m0,0l8305,0,8305,28,0,28,0,0xe">
          <v:path/>
          <v:fill on="t" focussize="0,0"/>
          <v:stroke on="f"/>
          <v:imagedata o:title=""/>
          <o:lock v:ext="edit"/>
          <w10:wrap type="none"/>
          <w10:anchorlock/>
        </v:shape>
      </w:pic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66E79">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017F0EC6">
    <w:pPr>
      <w:spacing w:before="14" w:line="29" w:lineRule="exact"/>
      <w:ind w:firstLine="108"/>
      <w:textAlignment w:val="center"/>
    </w:pPr>
    <w:r>
      <w:pict>
        <v:shape id="_x0000_s2081" o:spid="_x0000_s2081" style="height:1.45pt;width:415.3pt;" fillcolor="#000000" filled="t" stroked="f" coordsize="8305,29" path="m0,0l8305,0,8305,28,0,28,0,0xe">
          <v:path/>
          <v:fill on="t" focussize="0,0"/>
          <v:stroke on="f"/>
          <v:imagedata o:title=""/>
          <o:lock v:ext="edit"/>
          <w10:wrap type="none"/>
          <w10:anchorlock/>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89DF8">
    <w:pPr>
      <w:spacing w:line="228" w:lineRule="auto"/>
      <w:ind w:left="2386"/>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1CD17165">
    <w:pPr>
      <w:spacing w:before="14" w:line="29" w:lineRule="exact"/>
      <w:ind w:firstLine="115"/>
      <w:textAlignment w:val="center"/>
    </w:pPr>
    <w:r>
      <w:pict>
        <v:shape id="_x0000_s2082" o:spid="_x0000_s2082" style="height:1.45pt;width:415.3pt;" fillcolor="#000000" filled="t" stroked="f" coordsize="8305,29" path="m0,0l8305,0,8305,28,0,28,0,0xe">
          <v:path/>
          <v:fill on="t" focussize="0,0"/>
          <v:stroke on="f"/>
          <v:imagedata o:title=""/>
          <o:lock v:ext="edit"/>
          <w10:wrap type="none"/>
          <w10:anchorlock/>
        </v:shape>
      </w:pic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84726">
    <w:pPr>
      <w:spacing w:line="228" w:lineRule="auto"/>
      <w:ind w:left="2312"/>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44E45752">
    <w:pPr>
      <w:spacing w:before="14" w:line="29" w:lineRule="exact"/>
      <w:ind w:firstLine="41"/>
      <w:textAlignment w:val="center"/>
    </w:pPr>
    <w:r>
      <w:pict>
        <v:shape id="_x0000_s2083" o:spid="_x0000_s2083" style="height:1.45pt;width:415.3pt;" fillcolor="#000000" filled="t" stroked="f" coordsize="8305,29" path="m0,0l8305,0,8305,28,0,28,0,0xe">
          <v:path/>
          <v:fill on="t" focussize="0,0"/>
          <v:stroke on="f"/>
          <v:imagedata o:title=""/>
          <o:lock v:ext="edit"/>
          <w10:wrap type="none"/>
          <w10:anchorlock/>
        </v:shape>
      </w:pic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CCFE0">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33FBBE41">
    <w:pPr>
      <w:spacing w:before="14" w:line="29" w:lineRule="exact"/>
      <w:ind w:firstLine="14"/>
      <w:textAlignment w:val="center"/>
    </w:pPr>
    <w:r>
      <w:pict>
        <v:shape id="_x0000_s2084" o:spid="_x0000_s2084" style="height:1.45pt;width:415.3pt;" fillcolor="#000000" filled="t" stroked="f" coordsize="8305,29" path="m0,0l8305,0,8305,28,0,28,0,0xe">
          <v:path/>
          <v:fill on="t" focussize="0,0"/>
          <v:stroke on="f"/>
          <v:imagedata o:title=""/>
          <o:lock v:ext="edit"/>
          <w10:wrap type="none"/>
          <w10:anchorlock/>
        </v:shape>
      </w:pic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0F316">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2205F82F">
    <w:pPr>
      <w:spacing w:before="14" w:line="29" w:lineRule="exact"/>
      <w:ind w:firstLine="108"/>
      <w:textAlignment w:val="center"/>
    </w:pPr>
    <w:r>
      <w:pict>
        <v:shape id="_x0000_s2085" o:spid="_x0000_s2085" style="height:1.45pt;width:415.3pt;" fillcolor="#000000" filled="t" stroked="f" coordsize="8305,29" path="m0,0l8305,0,8305,28,0,28,0,0xe">
          <v:path/>
          <v:fill on="t" focussize="0,0"/>
          <v:stroke on="f"/>
          <v:imagedata o:title=""/>
          <o:lock v:ext="edit"/>
          <w10:wrap type="none"/>
          <w10:anchorlock/>
        </v:shape>
      </w:pic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CD09E">
    <w:pPr>
      <w:spacing w:line="228" w:lineRule="auto"/>
      <w:ind w:left="2312"/>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645A250B">
    <w:pPr>
      <w:spacing w:before="14" w:line="29" w:lineRule="exact"/>
      <w:ind w:firstLine="41"/>
      <w:textAlignment w:val="center"/>
    </w:pPr>
    <w:r>
      <w:pict>
        <v:shape id="_x0000_s2086" o:spid="_x0000_s2086" style="height:1.45pt;width:415.3pt;" fillcolor="#000000" filled="t" stroked="f" coordsize="8305,29" path="m0,0l8305,0,8305,28,0,28,0,0xe">
          <v:path/>
          <v:fill on="t" focussize="0,0"/>
          <v:stroke on="f"/>
          <v:imagedata o:title=""/>
          <o:lock v:ext="edit"/>
          <w10:wrap type="none"/>
          <w10:anchorlock/>
        </v:shape>
      </w:pic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33516">
    <w:pPr>
      <w:spacing w:line="228" w:lineRule="auto"/>
      <w:ind w:left="8556"/>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1C62432A">
    <w:pPr>
      <w:spacing w:before="14" w:line="29" w:lineRule="exact"/>
      <w:textAlignment w:val="center"/>
    </w:pPr>
    <w:r>
      <w:pict>
        <v:shape id="_x0000_s2087" o:spid="_x0000_s2087" style="height:1.45pt;width:1043.9pt;" fillcolor="#000000" filled="t" stroked="f" coordsize="20878,29" path="m0,0l20877,0,20877,28,0,28,0,0xe">
          <v:path/>
          <v:fill on="t" focussize="0,0"/>
          <v:stroke on="f"/>
          <v:imagedata o:title=""/>
          <o:lock v:ext="edit"/>
          <w10:wrap type="none"/>
          <w10:anchorlock/>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472F8">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10E68AA5">
    <w:pPr>
      <w:spacing w:before="14" w:line="29" w:lineRule="exact"/>
      <w:ind w:firstLine="14"/>
      <w:textAlignment w:val="center"/>
    </w:pPr>
    <w:r>
      <w:pict>
        <v:shape id="_x0000_s2052" o:spid="_x0000_s2052" style="height:1.45pt;width:415.3pt;" fillcolor="#000000" filled="t" stroked="f" coordsize="8305,29" path="m0,0l8305,0,8305,28,0,28,0,0xe">
          <v:path/>
          <v:fill on="t" focussize="0,0"/>
          <v:stroke on="f"/>
          <v:imagedata o:title=""/>
          <o:lock v:ext="edit"/>
          <w10:wrap type="none"/>
          <w10:anchorlock/>
        </v:shape>
      </w:pic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DDCCC">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70C91625">
    <w:pPr>
      <w:spacing w:before="14" w:line="29" w:lineRule="exact"/>
      <w:ind w:firstLine="14"/>
      <w:textAlignment w:val="center"/>
    </w:pPr>
    <w:r>
      <w:pict>
        <v:shape id="_x0000_s2088" o:spid="_x0000_s2088" style="height:1.45pt;width:415.3pt;" fillcolor="#000000" filled="t" stroked="f" coordsize="8305,29" path="m0,0l8305,0,8305,28,0,28,0,0xe">
          <v:path/>
          <v:fill on="t" focussize="0,0"/>
          <v:stroke on="f"/>
          <v:imagedata o:title=""/>
          <o:lock v:ext="edit"/>
          <w10:wrap type="none"/>
          <w10:anchorlock/>
        </v:shape>
      </w:pic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C502B">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0E737C96">
    <w:pPr>
      <w:spacing w:before="14" w:line="29" w:lineRule="exact"/>
      <w:ind w:firstLine="108"/>
      <w:textAlignment w:val="center"/>
    </w:pPr>
    <w:r>
      <w:pict>
        <v:shape id="_x0000_s2089" o:spid="_x0000_s2089" style="height:1.45pt;width:415.3pt;" fillcolor="#000000" filled="t" stroked="f" coordsize="8305,29" path="m0,0l8305,0,8305,28,0,28,0,0xe">
          <v:path/>
          <v:fill on="t" focussize="0,0"/>
          <v:stroke on="f"/>
          <v:imagedata o:title=""/>
          <o:lock v:ext="edit"/>
          <w10:wrap type="none"/>
          <w10:anchorlock/>
        </v:shape>
      </w:pic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8B6C1">
    <w:pPr>
      <w:spacing w:line="228" w:lineRule="auto"/>
      <w:ind w:left="2310"/>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6B20FB5B">
    <w:pPr>
      <w:spacing w:before="14" w:line="29" w:lineRule="exact"/>
      <w:ind w:firstLine="40"/>
      <w:textAlignment w:val="center"/>
    </w:pPr>
    <w:r>
      <w:pict>
        <v:shape id="_x0000_s2090" o:spid="_x0000_s2090" style="height:1.45pt;width:415.3pt;" fillcolor="#000000" filled="t" stroked="f" coordsize="8305,29" path="m0,0l8305,0,8305,28,0,28,0,0xe">
          <v:path/>
          <v:fill on="t" focussize="0,0"/>
          <v:stroke on="f"/>
          <v:imagedata o:title=""/>
          <o:lock v:ext="edit"/>
          <w10:wrap type="none"/>
          <w10:anchorlock/>
        </v:shape>
      </w:pic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A1834">
    <w:pPr>
      <w:spacing w:line="228" w:lineRule="auto"/>
      <w:ind w:left="2310"/>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5037A504">
    <w:pPr>
      <w:spacing w:before="14" w:line="29" w:lineRule="exact"/>
      <w:ind w:firstLine="40"/>
      <w:textAlignment w:val="center"/>
    </w:pPr>
    <w:r>
      <w:pict>
        <v:shape id="_x0000_s2091" o:spid="_x0000_s2091" style="height:1.45pt;width:415.3pt;" fillcolor="#000000" filled="t" stroked="f" coordsize="8305,29" path="m0,0l8305,0,8305,28,0,28,0,0xe">
          <v:path/>
          <v:fill on="t" focussize="0,0"/>
          <v:stroke on="f"/>
          <v:imagedata o:title=""/>
          <o:lock v:ext="edit"/>
          <w10:wrap type="none"/>
          <w10:anchorlock/>
        </v:shape>
      </w:pic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8D12C">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0F5A7D76">
    <w:pPr>
      <w:spacing w:before="14" w:line="29" w:lineRule="exact"/>
      <w:ind w:firstLine="108"/>
      <w:textAlignment w:val="center"/>
    </w:pPr>
    <w:r>
      <w:pict>
        <v:shape id="_x0000_s2092" o:spid="_x0000_s2092" style="height:1.45pt;width:415.3pt;" fillcolor="#000000" filled="t" stroked="f" coordsize="8305,29" path="m0,0l8305,0,8305,28,0,28,0,0xe">
          <v:path/>
          <v:fill on="t" focussize="0,0"/>
          <v:stroke on="f"/>
          <v:imagedata o:title=""/>
          <o:lock v:ext="edit"/>
          <w10:wrap type="none"/>
          <w10:anchorlock/>
        </v:shape>
      </w:pic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C9155">
    <w:pPr>
      <w:spacing w:line="228" w:lineRule="auto"/>
      <w:ind w:left="509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699E327C">
    <w:pPr>
      <w:spacing w:before="14" w:line="29" w:lineRule="exact"/>
      <w:textAlignment w:val="center"/>
    </w:pPr>
    <w:r>
      <w:pict>
        <v:shape id="_x0000_s2093" o:spid="_x0000_s2093" style="height:1.45pt;width:697.95pt;" fillcolor="#000000" filled="t" stroked="f" coordsize="13959,29" path="m0,0l13958,0,13958,28,0,28,0,0xe">
          <v:path/>
          <v:fill on="t" focussize="0,0"/>
          <v:stroke on="f"/>
          <v:imagedata o:title=""/>
          <o:lock v:ext="edit"/>
          <w10:wrap type="none"/>
          <w10:anchorlock/>
        </v:shape>
      </w:pic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63F7D">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03194B60">
    <w:pPr>
      <w:spacing w:before="14" w:line="29" w:lineRule="exact"/>
      <w:ind w:firstLine="108"/>
      <w:textAlignment w:val="center"/>
    </w:pPr>
    <w:r>
      <w:pict>
        <v:shape id="_x0000_s2094" o:spid="_x0000_s2094" style="height:1.45pt;width:415.3pt;" fillcolor="#000000" filled="t" stroked="f" coordsize="8305,29" path="m0,0l8305,0,8305,28,0,28,0,0xe">
          <v:path/>
          <v:fill on="t" focussize="0,0"/>
          <v:stroke on="f"/>
          <v:imagedata o:title=""/>
          <o:lock v:ext="edit"/>
          <w10:wrap type="none"/>
          <w10:anchorlock/>
        </v:shape>
      </w:pic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24799">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5A30B6F8">
    <w:pPr>
      <w:spacing w:before="14" w:line="29" w:lineRule="exact"/>
      <w:ind w:firstLine="14"/>
      <w:textAlignment w:val="center"/>
    </w:pPr>
    <w:r>
      <w:pict>
        <v:shape id="_x0000_s2095" o:spid="_x0000_s2095" style="height:1.45pt;width:415.3pt;" fillcolor="#000000" filled="t" stroked="f" coordsize="8305,29" path="m0,0l8305,0,8305,28,0,28,0,0xe">
          <v:path/>
          <v:fill on="t" focussize="0,0"/>
          <v:stroke on="f"/>
          <v:imagedata o:title=""/>
          <o:lock v:ext="edit"/>
          <w10:wrap type="none"/>
          <w10:anchorlock/>
        </v:shape>
      </w:pic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05437">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7D6DA781">
    <w:pPr>
      <w:spacing w:before="14" w:line="29" w:lineRule="exact"/>
      <w:ind w:firstLine="14"/>
      <w:textAlignment w:val="center"/>
    </w:pPr>
    <w:r>
      <w:pict>
        <v:shape id="_x0000_s2096" o:spid="_x0000_s2096" style="height:1.45pt;width:415.3pt;" fillcolor="#000000" filled="t" stroked="f" coordsize="8305,29" path="m0,0l8305,0,8305,28,0,28,0,0xe">
          <v:path/>
          <v:fill on="t" focussize="0,0"/>
          <v:stroke on="f"/>
          <v:imagedata o:title=""/>
          <o:lock v:ext="edit"/>
          <w10:wrap type="none"/>
          <w10:anchorlock/>
        </v:shape>
      </w:pic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AB7BB">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73CB9B15">
    <w:pPr>
      <w:spacing w:before="14" w:line="29" w:lineRule="exact"/>
      <w:ind w:firstLine="108"/>
      <w:textAlignment w:val="center"/>
    </w:pPr>
    <w:r>
      <w:pict>
        <v:shape id="_x0000_s2097" o:spid="_x0000_s2097" style="height:1.45pt;width:415.3pt;" fillcolor="#000000" filled="t" stroked="f" coordsize="8305,29" path="m0,0l8305,0,8305,28,0,28,0,0xe">
          <v:path/>
          <v:fill on="t" focussize="0,0"/>
          <v:stroke on="f"/>
          <v:imagedata o:title=""/>
          <o:lock v:ext="edit"/>
          <w10:wrap type="none"/>
          <w10:anchorlock/>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4D35D">
    <w:pPr>
      <w:spacing w:line="228" w:lineRule="auto"/>
      <w:ind w:left="2314"/>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76E1E8E8">
    <w:pPr>
      <w:spacing w:before="14" w:line="29" w:lineRule="exact"/>
      <w:ind w:firstLine="43"/>
      <w:textAlignment w:val="center"/>
    </w:pPr>
    <w:r>
      <w:pict>
        <v:shape id="_x0000_s2053" o:spid="_x0000_s2053" style="height:1.45pt;width:415.3pt;" fillcolor="#000000" filled="t" stroked="f" coordsize="8305,29" path="m0,0l8305,0,8305,28,0,28,0,0xe">
          <v:path/>
          <v:fill on="t" focussize="0,0"/>
          <v:stroke on="f"/>
          <v:imagedata o:title=""/>
          <o:lock v:ext="edit"/>
          <w10:wrap type="none"/>
          <w10:anchorlock/>
        </v:shape>
      </w:pic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4D749">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1638211E">
    <w:pPr>
      <w:spacing w:before="14" w:line="29" w:lineRule="exact"/>
      <w:ind w:firstLine="14"/>
      <w:textAlignment w:val="center"/>
    </w:pPr>
    <w:r>
      <w:pict>
        <v:shape id="_x0000_s2098" o:spid="_x0000_s2098" style="height:1.45pt;width:415.3pt;" fillcolor="#000000" filled="t" stroked="f" coordsize="8305,29" path="m0,0l8305,0,8305,28,0,28,0,0xe">
          <v:path/>
          <v:fill on="t" focussize="0,0"/>
          <v:stroke on="f"/>
          <v:imagedata o:title=""/>
          <o:lock v:ext="edit"/>
          <w10:wrap type="none"/>
          <w10:anchorlock/>
        </v:shape>
      </w:pic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94C6A">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2D775942">
    <w:pPr>
      <w:spacing w:before="14" w:line="29" w:lineRule="exact"/>
      <w:ind w:firstLine="108"/>
      <w:textAlignment w:val="center"/>
    </w:pPr>
    <w:r>
      <w:pict>
        <v:shape id="_x0000_s2099" o:spid="_x0000_s2099" style="height:1.45pt;width:415.3pt;" fillcolor="#000000" filled="t" stroked="f" coordsize="8305,29" path="m0,0l8305,0,8305,28,0,28,0,0xe">
          <v:path/>
          <v:fill on="t" focussize="0,0"/>
          <v:stroke on="f"/>
          <v:imagedata o:title=""/>
          <o:lock v:ext="edit"/>
          <w10:wrap type="none"/>
          <w10:anchorlock/>
        </v:shape>
      </w:pic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7522D">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5101048D">
    <w:pPr>
      <w:spacing w:before="14" w:line="29" w:lineRule="exact"/>
      <w:ind w:firstLine="14"/>
      <w:textAlignment w:val="center"/>
    </w:pPr>
    <w:r>
      <w:pict>
        <v:shape id="_x0000_s2100" o:spid="_x0000_s2100" style="height:1.45pt;width:415.3pt;" fillcolor="#000000" filled="t" stroked="f" coordsize="8305,29" path="m0,0l8305,0,8305,28,0,28,0,0xe">
          <v:path/>
          <v:fill on="t" focussize="0,0"/>
          <v:stroke on="f"/>
          <v:imagedata o:title=""/>
          <o:lock v:ext="edit"/>
          <w10:wrap type="none"/>
          <w10:anchorlock/>
        </v:shape>
      </w:pic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4820B">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0D263B88">
    <w:pPr>
      <w:spacing w:before="14" w:line="29" w:lineRule="exact"/>
      <w:ind w:firstLine="14"/>
      <w:textAlignment w:val="center"/>
    </w:pPr>
    <w:r>
      <w:pict>
        <v:shape id="_x0000_s2101" o:spid="_x0000_s2101" style="height:1.45pt;width:415.3pt;" fillcolor="#000000" filled="t" stroked="f" coordsize="8305,29" path="m0,0l8305,0,8305,28,0,28,0,0xe">
          <v:path/>
          <v:fill on="t" focussize="0,0"/>
          <v:stroke on="f"/>
          <v:imagedata o:title=""/>
          <o:lock v:ext="edit"/>
          <w10:wrap type="none"/>
          <w10:anchorlock/>
        </v:shape>
      </w:pic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58330">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0037E9F2">
    <w:pPr>
      <w:spacing w:before="14" w:line="29" w:lineRule="exact"/>
      <w:ind w:firstLine="14"/>
      <w:textAlignment w:val="center"/>
    </w:pPr>
    <w:r>
      <w:pict>
        <v:shape id="_x0000_s2102" o:spid="_x0000_s2102" style="height:1.45pt;width:415.3pt;" fillcolor="#000000" filled="t" stroked="f" coordsize="8305,29" path="m0,0l8305,0,8305,28,0,28,0,0xe">
          <v:path/>
          <v:fill on="t" focussize="0,0"/>
          <v:stroke on="f"/>
          <v:imagedata o:title=""/>
          <o:lock v:ext="edit"/>
          <w10:wrap type="none"/>
          <w10:anchorlock/>
        </v:shape>
      </w:pic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30F80">
    <w:pPr>
      <w:spacing w:line="14" w:lineRule="auto"/>
      <w:rPr>
        <w:rFonts w:ascii="Arial"/>
        <w:sz w:val="2"/>
      </w:rPr>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1E6A0">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242EBB82">
    <w:pPr>
      <w:spacing w:before="14" w:line="29" w:lineRule="exact"/>
      <w:ind w:firstLine="108"/>
      <w:textAlignment w:val="center"/>
    </w:pPr>
    <w:r>
      <w:pict>
        <v:shape id="_x0000_s2103" o:spid="_x0000_s2103" style="height:1.45pt;width:415.3pt;" fillcolor="#000000" filled="t" stroked="f" coordsize="8305,29" path="m0,0l8305,0,8305,28,0,28,0,0xe">
          <v:path/>
          <v:fill on="t" focussize="0,0"/>
          <v:stroke on="f"/>
          <v:imagedata o:title=""/>
          <o:lock v:ext="edit"/>
          <w10:wrap type="none"/>
          <w10:anchorlock/>
        </v:shape>
      </w:pic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EC58D">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29BB090C">
    <w:pPr>
      <w:spacing w:before="14" w:line="29" w:lineRule="exact"/>
      <w:ind w:firstLine="14"/>
      <w:textAlignment w:val="center"/>
    </w:pPr>
    <w:r>
      <w:pict>
        <v:shape id="_x0000_s2104" o:spid="_x0000_s2104" style="height:1.45pt;width:415.3pt;" fillcolor="#000000" filled="t" stroked="f" coordsize="8305,29" path="m0,0l8305,0,8305,28,0,28,0,0xe">
          <v:path/>
          <v:fill on="t" focussize="0,0"/>
          <v:stroke on="f"/>
          <v:imagedata o:title=""/>
          <o:lock v:ext="edit"/>
          <w10:wrap type="none"/>
          <w10:anchorlock/>
        </v:shape>
      </w:pic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CAFEF">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2A4BF26C">
    <w:pPr>
      <w:spacing w:before="14" w:line="29" w:lineRule="exact"/>
      <w:ind w:firstLine="14"/>
      <w:textAlignment w:val="center"/>
    </w:pPr>
    <w:r>
      <w:pict>
        <v:shape id="_x0000_s2105" o:spid="_x0000_s2105" style="height:1.45pt;width:415.3pt;" fillcolor="#000000" filled="t" stroked="f" coordsize="8305,29" path="m0,0l8305,0,8305,28,0,28,0,0xe">
          <v:path/>
          <v:fill on="t" focussize="0,0"/>
          <v:stroke on="f"/>
          <v:imagedata o:title=""/>
          <o:lock v:ext="edit"/>
          <w10:wrap type="none"/>
          <w10:anchorlock/>
        </v:shape>
      </w:pic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627B5">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05DA9820">
    <w:pPr>
      <w:spacing w:before="14" w:line="29" w:lineRule="exact"/>
      <w:ind w:firstLine="14"/>
      <w:textAlignment w:val="center"/>
    </w:pPr>
    <w:r>
      <w:pict>
        <v:shape id="_x0000_s2106" o:spid="_x0000_s2106" style="height:1.45pt;width:415.3pt;" fillcolor="#000000" filled="t" stroked="f" coordsize="8305,29" path="m0,0l8305,0,8305,28,0,28,0,0xe">
          <v:path/>
          <v:fill on="t" focussize="0,0"/>
          <v:stroke on="f"/>
          <v:imagedata o:title=""/>
          <o:lock v:ext="edit"/>
          <w10:wrap type="none"/>
          <w10:anchorlock/>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D1D80">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4977F9D6">
    <w:pPr>
      <w:spacing w:before="14" w:line="29" w:lineRule="exact"/>
      <w:ind w:firstLine="108"/>
      <w:textAlignment w:val="center"/>
    </w:pPr>
    <w:r>
      <w:pict>
        <v:shape id="_x0000_s2054" o:spid="_x0000_s2054" style="height:1.45pt;width:415.3pt;" fillcolor="#000000" filled="t" stroked="f" coordsize="8305,29" path="m0,0l8305,0,8305,28,0,28,0,0xe">
          <v:path/>
          <v:fill on="t" focussize="0,0"/>
          <v:stroke on="f"/>
          <v:imagedata o:title=""/>
          <o:lock v:ext="edit"/>
          <w10:wrap type="none"/>
          <w10:anchorlock/>
        </v:shape>
      </w:pic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A1A4A">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6664973D">
    <w:pPr>
      <w:spacing w:before="14" w:line="29" w:lineRule="exact"/>
      <w:ind w:firstLine="108"/>
      <w:textAlignment w:val="center"/>
    </w:pPr>
    <w:r>
      <w:pict>
        <v:shape id="_x0000_s2107" o:spid="_x0000_s2107" style="height:1.45pt;width:415.3pt;" fillcolor="#000000" filled="t" stroked="f" coordsize="8305,29" path="m0,0l8305,0,8305,28,0,28,0,0xe">
          <v:path/>
          <v:fill on="t" focussize="0,0"/>
          <v:stroke on="f"/>
          <v:imagedata o:title=""/>
          <o:lock v:ext="edit"/>
          <w10:wrap type="none"/>
          <w10:anchorlock/>
        </v:shape>
      </w:pic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54EEF">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719FAE61">
    <w:pPr>
      <w:spacing w:before="14" w:line="29" w:lineRule="exact"/>
      <w:ind w:firstLine="15"/>
      <w:textAlignment w:val="center"/>
    </w:pPr>
    <w:r>
      <w:pict>
        <v:shape id="_x0000_s2108" o:spid="_x0000_s2108" style="height:1.45pt;width:415.3pt;" fillcolor="#000000" filled="t" stroked="f" coordsize="8305,29" path="m0,0l8305,0,8305,28,0,28,0,0xe">
          <v:path/>
          <v:fill on="t" focussize="0,0"/>
          <v:stroke on="f"/>
          <v:imagedata o:title=""/>
          <o:lock v:ext="edit"/>
          <w10:wrap type="none"/>
          <w10:anchorlock/>
        </v:shape>
      </w:pic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42DA5">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5C1BF684">
    <w:pPr>
      <w:spacing w:before="14" w:line="29" w:lineRule="exact"/>
      <w:ind w:firstLine="14"/>
      <w:textAlignment w:val="center"/>
    </w:pPr>
    <w:r>
      <w:pict>
        <v:shape id="_x0000_s2109" o:spid="_x0000_s2109" style="height:1.45pt;width:415.3pt;" fillcolor="#000000" filled="t" stroked="f" coordsize="8305,29" path="m0,0l8305,0,8305,28,0,28,0,0xe">
          <v:path/>
          <v:fill on="t" focussize="0,0"/>
          <v:stroke on="f"/>
          <v:imagedata o:title=""/>
          <o:lock v:ext="edit"/>
          <w10:wrap type="none"/>
          <w10:anchorlock/>
        </v:shape>
      </w:pic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7753F">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18111DE0">
    <w:pPr>
      <w:spacing w:before="14" w:line="29" w:lineRule="exact"/>
      <w:ind w:firstLine="14"/>
      <w:textAlignment w:val="center"/>
    </w:pPr>
    <w:r>
      <w:pict>
        <v:shape id="_x0000_s2110" o:spid="_x0000_s2110" style="height:1.45pt;width:415.3pt;" fillcolor="#000000" filled="t" stroked="f" coordsize="8305,29" path="m0,0l8305,0,8305,28,0,28,0,0xe">
          <v:path/>
          <v:fill on="t" focussize="0,0"/>
          <v:stroke on="f"/>
          <v:imagedata o:title=""/>
          <o:lock v:ext="edit"/>
          <w10:wrap type="none"/>
          <w10:anchorlock/>
        </v:shape>
      </w:pic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CBC1C">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056C2F36">
    <w:pPr>
      <w:spacing w:before="14" w:line="29" w:lineRule="exact"/>
      <w:ind w:firstLine="108"/>
      <w:textAlignment w:val="center"/>
    </w:pPr>
    <w:r>
      <w:pict>
        <v:shape id="_x0000_s2111" o:spid="_x0000_s2111" style="height:1.45pt;width:415.3pt;" fillcolor="#000000" filled="t" stroked="f" coordsize="8305,29" path="m0,0l8305,0,8305,28,0,28,0,0xe">
          <v:path/>
          <v:fill on="t" focussize="0,0"/>
          <v:stroke on="f"/>
          <v:imagedata o:title=""/>
          <o:lock v:ext="edit"/>
          <w10:wrap type="none"/>
          <w10:anchorlock/>
        </v:shape>
      </w:pic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593E9">
    <w:pPr>
      <w:spacing w:line="228" w:lineRule="auto"/>
      <w:ind w:left="2383"/>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3766F4C8">
    <w:pPr>
      <w:spacing w:before="14" w:line="29" w:lineRule="exact"/>
      <w:ind w:firstLine="113"/>
      <w:textAlignment w:val="center"/>
    </w:pPr>
    <w:r>
      <w:pict>
        <v:shape id="_x0000_s2112" o:spid="_x0000_s2112" style="height:1.45pt;width:415.3pt;" fillcolor="#000000" filled="t" stroked="f" coordsize="8305,29" path="m0,0l8305,0,8305,28,0,28,0,0xe">
          <v:path/>
          <v:fill on="t" focussize="0,0"/>
          <v:stroke on="f"/>
          <v:imagedata o:title=""/>
          <o:lock v:ext="edit"/>
          <w10:wrap type="none"/>
          <w10:anchorlock/>
        </v:shape>
      </w:pic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19F0E">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54AB780E">
    <w:pPr>
      <w:spacing w:before="14" w:line="29" w:lineRule="exact"/>
      <w:ind w:firstLine="14"/>
      <w:textAlignment w:val="center"/>
    </w:pPr>
    <w:r>
      <w:pict>
        <v:shape id="_x0000_s2113" o:spid="_x0000_s2113" style="height:1.45pt;width:415.3pt;" fillcolor="#000000" filled="t" stroked="f" coordsize="8305,29" path="m0,0l8305,0,8305,28,0,28,0,0xe">
          <v:path/>
          <v:fill on="t" focussize="0,0"/>
          <v:stroke on="f"/>
          <v:imagedata o:title=""/>
          <o:lock v:ext="edit"/>
          <w10:wrap type="none"/>
          <w10:anchorlock/>
        </v:shape>
      </w:pic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280AC">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482226CA">
    <w:pPr>
      <w:spacing w:before="14" w:line="29" w:lineRule="exact"/>
      <w:ind w:firstLine="108"/>
      <w:textAlignment w:val="center"/>
    </w:pPr>
    <w:r>
      <w:pict>
        <v:shape id="_x0000_s2114" o:spid="_x0000_s2114" style="height:1.45pt;width:415.3pt;" fillcolor="#000000" filled="t" stroked="f" coordsize="8305,29" path="m0,0l8305,0,8305,28,0,28,0,0xe">
          <v:path/>
          <v:fill on="t" focussize="0,0"/>
          <v:stroke on="f"/>
          <v:imagedata o:title=""/>
          <o:lock v:ext="edit"/>
          <w10:wrap type="none"/>
          <w10:anchorlock/>
        </v:shape>
      </w:pic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2124C">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4806732D">
    <w:pPr>
      <w:spacing w:before="14" w:line="29" w:lineRule="exact"/>
      <w:ind w:firstLine="14"/>
      <w:textAlignment w:val="center"/>
    </w:pPr>
    <w:r>
      <w:pict>
        <v:shape id="_x0000_s2115" o:spid="_x0000_s2115" style="height:1.45pt;width:415.3pt;" fillcolor="#000000" filled="t" stroked="f" coordsize="8305,29" path="m0,0l8305,0,8305,28,0,28,0,0xe">
          <v:path/>
          <v:fill on="t" focussize="0,0"/>
          <v:stroke on="f"/>
          <v:imagedata o:title=""/>
          <o:lock v:ext="edit"/>
          <w10:wrap type="none"/>
          <w10:anchorlock/>
        </v:shape>
      </w:pic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88E3A">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4E8CFAD3">
    <w:pPr>
      <w:spacing w:before="14" w:line="29" w:lineRule="exact"/>
      <w:ind w:firstLine="14"/>
      <w:textAlignment w:val="center"/>
    </w:pPr>
    <w:r>
      <w:pict>
        <v:shape id="_x0000_s2116" o:spid="_x0000_s2116" style="height:1.45pt;width:415.3pt;" fillcolor="#000000" filled="t" stroked="f" coordsize="8305,29" path="m0,0l8305,0,8305,28,0,28,0,0xe">
          <v:path/>
          <v:fill on="t" focussize="0,0"/>
          <v:stroke on="f"/>
          <v:imagedata o:title=""/>
          <o:lock v:ext="edit"/>
          <w10:wrap type="none"/>
          <w10:anchorlock/>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F467A">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3458BEDB">
    <w:pPr>
      <w:spacing w:before="14" w:line="29" w:lineRule="exact"/>
      <w:ind w:firstLine="108"/>
      <w:textAlignment w:val="center"/>
    </w:pPr>
    <w:r>
      <w:pict>
        <v:shape id="_x0000_s2055" o:spid="_x0000_s2055" style="height:1.45pt;width:415.3pt;" fillcolor="#000000" filled="t" stroked="f" coordsize="8305,29" path="m0,0l8305,0,8305,28,0,28,0,0xe">
          <v:path/>
          <v:fill on="t" focussize="0,0"/>
          <v:stroke on="f"/>
          <v:imagedata o:title=""/>
          <o:lock v:ext="edit"/>
          <w10:wrap type="none"/>
          <w10:anchorlock/>
        </v:shape>
      </w:pic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0CBD3">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5CC5DC5E">
    <w:pPr>
      <w:spacing w:before="14" w:line="29" w:lineRule="exact"/>
      <w:ind w:firstLine="14"/>
      <w:textAlignment w:val="center"/>
    </w:pPr>
    <w:r>
      <w:pict>
        <v:shape id="_x0000_s2117" o:spid="_x0000_s2117" style="height:1.45pt;width:415.3pt;" fillcolor="#000000" filled="t" stroked="f" coordsize="8305,29" path="m0,0l8305,0,8305,28,0,28,0,0xe">
          <v:path/>
          <v:fill on="t" focussize="0,0"/>
          <v:stroke on="f"/>
          <v:imagedata o:title=""/>
          <o:lock v:ext="edit"/>
          <w10:wrap type="none"/>
          <w10:anchorlock/>
        </v:shape>
      </w:pic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4FB7B">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5DF74325">
    <w:pPr>
      <w:spacing w:before="14" w:line="29" w:lineRule="exact"/>
      <w:ind w:firstLine="14"/>
      <w:textAlignment w:val="center"/>
    </w:pPr>
    <w:r>
      <w:pict>
        <v:shape id="_x0000_s2118" o:spid="_x0000_s2118" style="height:1.45pt;width:415.3pt;" fillcolor="#000000" filled="t" stroked="f" coordsize="8305,29" path="m0,0l8305,0,8305,28,0,28,0,0xe">
          <v:path/>
          <v:fill on="t" focussize="0,0"/>
          <v:stroke on="f"/>
          <v:imagedata o:title=""/>
          <o:lock v:ext="edit"/>
          <w10:wrap type="none"/>
          <w10:anchorlock/>
        </v:shape>
      </w:pic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BEC4C">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2125A6C5">
    <w:pPr>
      <w:spacing w:before="14" w:line="29" w:lineRule="exact"/>
      <w:ind w:firstLine="14"/>
      <w:textAlignment w:val="center"/>
    </w:pPr>
    <w:r>
      <w:pict>
        <v:shape id="_x0000_s2119" o:spid="_x0000_s2119" style="height:1.45pt;width:415.3pt;" fillcolor="#000000" filled="t" stroked="f" coordsize="8305,29" path="m0,0l8305,0,8305,28,0,28,0,0xe">
          <v:path/>
          <v:fill on="t" focussize="0,0"/>
          <v:stroke on="f"/>
          <v:imagedata o:title=""/>
          <o:lock v:ext="edit"/>
          <w10:wrap type="none"/>
          <w10:anchorlock/>
        </v:shape>
      </w:pic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67111">
    <w:pPr>
      <w:spacing w:line="228" w:lineRule="auto"/>
      <w:ind w:left="2293"/>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3D8BA434">
    <w:pPr>
      <w:spacing w:before="14" w:line="29" w:lineRule="exact"/>
      <w:ind w:firstLine="22"/>
      <w:textAlignment w:val="center"/>
    </w:pPr>
    <w:r>
      <w:pict>
        <v:shape id="_x0000_s2120" o:spid="_x0000_s2120" style="height:1.45pt;width:415.3pt;" fillcolor="#000000" filled="t" stroked="f" coordsize="8305,29" path="m0,0l8305,0,8305,28,0,28,0,0xe">
          <v:path/>
          <v:fill on="t" focussize="0,0"/>
          <v:stroke on="f"/>
          <v:imagedata o:title=""/>
          <o:lock v:ext="edit"/>
          <w10:wrap type="none"/>
          <w10:anchorlock/>
        </v:shape>
      </w:pic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C3984">
    <w:pPr>
      <w:spacing w:line="228" w:lineRule="auto"/>
      <w:ind w:left="2293"/>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53AC3F54">
    <w:pPr>
      <w:spacing w:before="14" w:line="29" w:lineRule="exact"/>
      <w:ind w:firstLine="22"/>
      <w:textAlignment w:val="center"/>
    </w:pPr>
    <w:r>
      <w:pict>
        <v:shape id="_x0000_s2121" o:spid="_x0000_s2121" style="height:1.45pt;width:415.3pt;" fillcolor="#000000" filled="t" stroked="f" coordsize="8305,29" path="m0,0l8305,0,8305,28,0,28,0,0xe">
          <v:path/>
          <v:fill on="t" focussize="0,0"/>
          <v:stroke on="f"/>
          <v:imagedata o:title=""/>
          <o:lock v:ext="edit"/>
          <w10:wrap type="none"/>
          <w10:anchorlock/>
        </v:shape>
      </w:pict>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498A6">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745624BA">
    <w:pPr>
      <w:spacing w:before="14" w:line="29" w:lineRule="exact"/>
      <w:ind w:firstLine="108"/>
      <w:textAlignment w:val="center"/>
    </w:pPr>
    <w:r>
      <w:pict>
        <v:shape id="_x0000_s2122" o:spid="_x0000_s2122" style="height:1.45pt;width:415.3pt;" fillcolor="#000000" filled="t" stroked="f" coordsize="8305,29" path="m0,0l8305,0,8305,28,0,28,0,0xe">
          <v:path/>
          <v:fill on="t" focussize="0,0"/>
          <v:stroke on="f"/>
          <v:imagedata o:title=""/>
          <o:lock v:ext="edit"/>
          <w10:wrap type="none"/>
          <w10:anchorlock/>
        </v:shape>
      </w:pict>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3D7CA">
    <w:pPr>
      <w:spacing w:line="228" w:lineRule="auto"/>
      <w:ind w:left="2293"/>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4FB3B585">
    <w:pPr>
      <w:spacing w:before="14" w:line="29" w:lineRule="exact"/>
      <w:ind w:firstLine="22"/>
      <w:textAlignment w:val="center"/>
    </w:pPr>
    <w:r>
      <w:pict>
        <v:shape id="_x0000_s2123" o:spid="_x0000_s2123" style="height:1.45pt;width:415.3pt;" fillcolor="#000000" filled="t" stroked="f" coordsize="8305,29" path="m0,0l8305,0,8305,28,0,28,0,0xe">
          <v:path/>
          <v:fill on="t" focussize="0,0"/>
          <v:stroke on="f"/>
          <v:imagedata o:title=""/>
          <o:lock v:ext="edit"/>
          <w10:wrap type="none"/>
          <w10:anchorlock/>
        </v:shape>
      </w:pict>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F85E7">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2263704C">
    <w:pPr>
      <w:spacing w:before="14" w:line="29" w:lineRule="exact"/>
      <w:ind w:firstLine="108"/>
      <w:textAlignment w:val="center"/>
    </w:pPr>
    <w:r>
      <w:pict>
        <v:shape id="_x0000_s2124" o:spid="_x0000_s2124" style="height:1.45pt;width:415.3pt;" fillcolor="#000000" filled="t" stroked="f" coordsize="8305,29" path="m0,0l8305,0,8305,28,0,28,0,0xe">
          <v:path/>
          <v:fill on="t" focussize="0,0"/>
          <v:stroke on="f"/>
          <v:imagedata o:title=""/>
          <o:lock v:ext="edit"/>
          <w10:wrap type="none"/>
          <w10:anchorlock/>
        </v:shape>
      </w:pict>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9B45F">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22EE8B6F">
    <w:pPr>
      <w:spacing w:before="14" w:line="29" w:lineRule="exact"/>
      <w:ind w:firstLine="108"/>
      <w:textAlignment w:val="center"/>
    </w:pPr>
    <w:r>
      <w:pict>
        <v:shape id="_x0000_s2125" o:spid="_x0000_s2125" style="height:1.45pt;width:415.3pt;" fillcolor="#000000" filled="t" stroked="f" coordsize="8305,29" path="m0,0l8305,0,8305,28,0,28,0,0xe">
          <v:path/>
          <v:fill on="t" focussize="0,0"/>
          <v:stroke on="f"/>
          <v:imagedata o:title=""/>
          <o:lock v:ext="edit"/>
          <w10:wrap type="none"/>
          <w10:anchorlock/>
        </v:shape>
      </w:pict>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F0322">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66D4AE9C">
    <w:pPr>
      <w:spacing w:before="14" w:line="29" w:lineRule="exact"/>
      <w:ind w:firstLine="108"/>
      <w:textAlignment w:val="center"/>
    </w:pPr>
    <w:r>
      <w:pict>
        <v:shape id="_x0000_s2126" o:spid="_x0000_s2126" style="height:1.45pt;width:415.3pt;" fillcolor="#000000" filled="t" stroked="f" coordsize="8305,29" path="m0,0l8305,0,8305,28,0,28,0,0xe">
          <v:path/>
          <v:fill on="t" focussize="0,0"/>
          <v:stroke on="f"/>
          <v:imagedata o:title=""/>
          <o:lock v:ext="edit"/>
          <w10:wrap type="none"/>
          <w10:anchorlock/>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2C500">
    <w:pPr>
      <w:spacing w:line="228" w:lineRule="auto"/>
      <w:ind w:left="2293"/>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321B0A39">
    <w:pPr>
      <w:spacing w:before="14" w:line="29" w:lineRule="exact"/>
      <w:ind w:firstLine="22"/>
      <w:textAlignment w:val="center"/>
    </w:pPr>
    <w:r>
      <w:pict>
        <v:shape id="_x0000_s2056" o:spid="_x0000_s2056" style="height:1.45pt;width:415.3pt;" fillcolor="#000000" filled="t" stroked="f" coordsize="8305,29" path="m0,0l8305,0,8305,28,0,28,0,0xe">
          <v:path/>
          <v:fill on="t" focussize="0,0"/>
          <v:stroke on="f"/>
          <v:imagedata o:title=""/>
          <o:lock v:ext="edit"/>
          <w10:wrap type="none"/>
          <w10:anchorlock/>
        </v:shape>
      </w:pict>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65784">
    <w:pPr>
      <w:spacing w:line="228" w:lineRule="auto"/>
      <w:ind w:left="2293"/>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4D4F45EA">
    <w:pPr>
      <w:spacing w:before="14" w:line="29" w:lineRule="exact"/>
      <w:ind w:firstLine="22"/>
      <w:textAlignment w:val="center"/>
    </w:pPr>
    <w:r>
      <w:pict>
        <v:shape id="_x0000_s2127" o:spid="_x0000_s2127" style="height:1.45pt;width:415.3pt;" fillcolor="#000000" filled="t" stroked="f" coordsize="8305,29" path="m0,0l8305,0,8305,28,0,28,0,0xe">
          <v:path/>
          <v:fill on="t" focussize="0,0"/>
          <v:stroke on="f"/>
          <v:imagedata o:title=""/>
          <o:lock v:ext="edit"/>
          <w10:wrap type="none"/>
          <w10:anchorlock/>
        </v:shape>
      </w:pict>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AEF4A">
    <w:pPr>
      <w:spacing w:line="228" w:lineRule="auto"/>
      <w:ind w:left="2293"/>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518B23BF">
    <w:pPr>
      <w:spacing w:before="14" w:line="29" w:lineRule="exact"/>
      <w:ind w:firstLine="22"/>
      <w:textAlignment w:val="center"/>
    </w:pPr>
    <w:r>
      <w:pict>
        <v:shape id="_x0000_s2128" o:spid="_x0000_s2128" style="height:1.45pt;width:415.3pt;" fillcolor="#000000" filled="t" stroked="f" coordsize="8305,29" path="m0,0l8305,0,8305,28,0,28,0,0xe">
          <v:path/>
          <v:fill on="t" focussize="0,0"/>
          <v:stroke on="f"/>
          <v:imagedata o:title=""/>
          <o:lock v:ext="edit"/>
          <w10:wrap type="none"/>
          <w10:anchorlock/>
        </v:shape>
      </w:pict>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6A614">
    <w:pPr>
      <w:spacing w:line="228" w:lineRule="auto"/>
      <w:ind w:left="2293"/>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642F6E57">
    <w:pPr>
      <w:spacing w:before="14" w:line="29" w:lineRule="exact"/>
      <w:ind w:firstLine="22"/>
      <w:textAlignment w:val="center"/>
    </w:pPr>
    <w:r>
      <w:pict>
        <v:shape id="_x0000_s2129" o:spid="_x0000_s2129" style="height:1.45pt;width:415.3pt;" fillcolor="#000000" filled="t" stroked="f" coordsize="8305,29" path="m0,0l8305,0,8305,28,0,28,0,0xe">
          <v:path/>
          <v:fill on="t" focussize="0,0"/>
          <v:stroke on="f"/>
          <v:imagedata o:title=""/>
          <o:lock v:ext="edit"/>
          <w10:wrap type="none"/>
          <w10:anchorlock/>
        </v:shape>
      </w:pict>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607E9">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65F5098F">
    <w:pPr>
      <w:spacing w:before="14" w:line="29" w:lineRule="exact"/>
      <w:ind w:firstLine="108"/>
      <w:textAlignment w:val="center"/>
    </w:pPr>
    <w:r>
      <w:pict>
        <v:shape id="_x0000_s2130" o:spid="_x0000_s2130" style="height:1.45pt;width:415.3pt;" fillcolor="#000000" filled="t" stroked="f" coordsize="8305,29" path="m0,0l8305,0,8305,28,0,28,0,0xe">
          <v:path/>
          <v:fill on="t" focussize="0,0"/>
          <v:stroke on="f"/>
          <v:imagedata o:title=""/>
          <o:lock v:ext="edit"/>
          <w10:wrap type="none"/>
          <w10:anchorlock/>
        </v:shape>
      </w:pict>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1E432">
    <w:pPr>
      <w:spacing w:line="228" w:lineRule="auto"/>
      <w:ind w:left="2293"/>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2C870AD7">
    <w:pPr>
      <w:spacing w:before="14" w:line="29" w:lineRule="exact"/>
      <w:ind w:firstLine="23"/>
      <w:textAlignment w:val="center"/>
    </w:pPr>
    <w:r>
      <w:pict>
        <v:shape id="_x0000_s2131" o:spid="_x0000_s2131" style="height:1.45pt;width:415.3pt;" fillcolor="#000000" filled="t" stroked="f" coordsize="8305,29" path="m0,0l8305,0,8305,28,0,28,0,0xe">
          <v:path/>
          <v:fill on="t" focussize="0,0"/>
          <v:stroke on="f"/>
          <v:imagedata o:title=""/>
          <o:lock v:ext="edit"/>
          <w10:wrap type="none"/>
          <w10:anchorlock/>
        </v:shape>
      </w:pict>
    </w: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0C747">
    <w:pPr>
      <w:spacing w:line="228" w:lineRule="auto"/>
      <w:ind w:left="2293"/>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2B6AAAD3">
    <w:pPr>
      <w:spacing w:before="14" w:line="29" w:lineRule="exact"/>
      <w:ind w:firstLine="22"/>
      <w:textAlignment w:val="center"/>
    </w:pPr>
    <w:r>
      <w:pict>
        <v:shape id="_x0000_s2132" o:spid="_x0000_s2132" style="height:1.45pt;width:415.3pt;" fillcolor="#000000" filled="t" stroked="f" coordsize="8305,29" path="m0,0l8305,0,8305,28,0,28,0,0xe">
          <v:path/>
          <v:fill on="t" focussize="0,0"/>
          <v:stroke on="f"/>
          <v:imagedata o:title=""/>
          <o:lock v:ext="edit"/>
          <w10:wrap type="none"/>
          <w10:anchorlock/>
        </v:shape>
      </w:pict>
    </w: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C0A53">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6BE530C5">
    <w:pPr>
      <w:spacing w:before="14" w:line="29" w:lineRule="exact"/>
      <w:ind w:firstLine="108"/>
      <w:textAlignment w:val="center"/>
    </w:pPr>
    <w:r>
      <w:pict>
        <v:shape id="_x0000_s2133" o:spid="_x0000_s2133" style="height:1.45pt;width:415.3pt;" fillcolor="#000000" filled="t" stroked="f" coordsize="8305,29" path="m0,0l8305,0,8305,28,0,28,0,0xe">
          <v:path/>
          <v:fill on="t" focussize="0,0"/>
          <v:stroke on="f"/>
          <v:imagedata o:title=""/>
          <o:lock v:ext="edit"/>
          <w10:wrap type="none"/>
          <w10:anchorlock/>
        </v:shape>
      </w:pict>
    </w: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6770F">
    <w:pPr>
      <w:spacing w:line="228" w:lineRule="auto"/>
      <w:ind w:left="2293"/>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6EB135C7">
    <w:pPr>
      <w:spacing w:before="14" w:line="29" w:lineRule="exact"/>
      <w:ind w:firstLine="23"/>
      <w:textAlignment w:val="center"/>
    </w:pPr>
    <w:r>
      <w:pict>
        <v:shape id="_x0000_s2134" o:spid="_x0000_s2134" style="height:1.45pt;width:415.3pt;" fillcolor="#000000" filled="t" stroked="f" coordsize="8305,29" path="m0,0l8305,0,8305,28,0,28,0,0xe">
          <v:path/>
          <v:fill on="t" focussize="0,0"/>
          <v:stroke on="f"/>
          <v:imagedata o:title=""/>
          <o:lock v:ext="edit"/>
          <w10:wrap type="none"/>
          <w10:anchorlock/>
        </v:shape>
      </w:pict>
    </w: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13809">
    <w:pPr>
      <w:spacing w:line="228" w:lineRule="auto"/>
      <w:ind w:left="2293"/>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16DCD2DA">
    <w:pPr>
      <w:spacing w:before="14" w:line="29" w:lineRule="exact"/>
      <w:ind w:firstLine="22"/>
      <w:textAlignment w:val="center"/>
    </w:pPr>
    <w:r>
      <w:pict>
        <v:shape id="_x0000_s2135" o:spid="_x0000_s2135" style="height:1.45pt;width:415.3pt;" fillcolor="#000000" filled="t" stroked="f" coordsize="8305,29" path="m0,0l8305,0,8305,28,0,28,0,0xe">
          <v:path/>
          <v:fill on="t" focussize="0,0"/>
          <v:stroke on="f"/>
          <v:imagedata o:title=""/>
          <o:lock v:ext="edit"/>
          <w10:wrap type="none"/>
          <w10:anchorlock/>
        </v:shape>
      </w:pict>
    </w: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5B3C3">
    <w:pPr>
      <w:spacing w:line="228" w:lineRule="auto"/>
      <w:ind w:left="2293"/>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6F91931A">
    <w:pPr>
      <w:spacing w:before="14" w:line="29" w:lineRule="exact"/>
      <w:ind w:firstLine="22"/>
      <w:textAlignment w:val="center"/>
    </w:pPr>
    <w:r>
      <w:pict>
        <v:shape id="_x0000_s2136" o:spid="_x0000_s2136" style="height:1.45pt;width:415.3pt;" fillcolor="#000000" filled="t" stroked="f" coordsize="8305,29" path="m0,0l8305,0,8305,28,0,28,0,0xe">
          <v:path/>
          <v:fill on="t" focussize="0,0"/>
          <v:stroke on="f"/>
          <v:imagedata o:title=""/>
          <o:lock v:ext="edit"/>
          <w10:wrap type="none"/>
          <w10:anchorlock/>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A2752">
    <w:pPr>
      <w:spacing w:line="228" w:lineRule="auto"/>
      <w:ind w:left="2321"/>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464C477B">
    <w:pPr>
      <w:spacing w:before="14" w:line="29" w:lineRule="exact"/>
      <w:ind w:firstLine="50"/>
      <w:textAlignment w:val="center"/>
    </w:pPr>
    <w:r>
      <w:pict>
        <v:shape id="_x0000_s2057" o:spid="_x0000_s2057" style="height:1.45pt;width:415.3pt;" fillcolor="#000000" filled="t" stroked="f" coordsize="8305,29" path="m0,0l8305,0,8305,28,0,28,0,0xe">
          <v:path/>
          <v:fill on="t" focussize="0,0"/>
          <v:stroke on="f"/>
          <v:imagedata o:title=""/>
          <o:lock v:ext="edit"/>
          <w10:wrap type="none"/>
          <w10:anchorlock/>
        </v:shape>
      </w:pict>
    </w: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311EE">
    <w:pPr>
      <w:spacing w:line="228" w:lineRule="auto"/>
      <w:ind w:left="5110"/>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4E72E078">
    <w:pPr>
      <w:spacing w:before="14" w:line="29" w:lineRule="exact"/>
      <w:ind w:firstLine="14"/>
      <w:textAlignment w:val="center"/>
    </w:pPr>
    <w:r>
      <w:pict>
        <v:shape id="_x0000_s2137" o:spid="_x0000_s2137" style="height:1.45pt;width:697.95pt;" fillcolor="#000000" filled="t" stroked="f" coordsize="13959,29" path="m0,0l13958,0,13958,28,0,28,0,0xe">
          <v:path/>
          <v:fill on="t" focussize="0,0"/>
          <v:stroke on="f"/>
          <v:imagedata o:title=""/>
          <o:lock v:ext="edit"/>
          <w10:wrap type="none"/>
          <w10:anchorlock/>
        </v:shape>
      </w:pict>
    </w: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2920A">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7592DDAD">
    <w:pPr>
      <w:spacing w:before="14" w:line="29" w:lineRule="exact"/>
      <w:ind w:firstLine="14"/>
      <w:textAlignment w:val="center"/>
    </w:pPr>
    <w:r>
      <w:pict>
        <v:shape id="_x0000_s2138" o:spid="_x0000_s2138" style="height:1.45pt;width:415.3pt;" fillcolor="#000000" filled="t" stroked="f" coordsize="8305,29" path="m0,0l8305,0,8305,28,0,28,0,0xe">
          <v:path/>
          <v:fill on="t" focussize="0,0"/>
          <v:stroke on="f"/>
          <v:imagedata o:title=""/>
          <o:lock v:ext="edit"/>
          <w10:wrap type="none"/>
          <w10:anchorlock/>
        </v:shape>
      </w:pict>
    </w: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E4F4F">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0596FAB6">
    <w:pPr>
      <w:spacing w:before="14" w:line="29" w:lineRule="exact"/>
      <w:ind w:firstLine="108"/>
      <w:textAlignment w:val="center"/>
    </w:pPr>
    <w:r>
      <w:pict>
        <v:shape id="_x0000_s2139" o:spid="_x0000_s2139" style="height:1.45pt;width:415.3pt;" fillcolor="#000000" filled="t" stroked="f" coordsize="8305,29" path="m0,0l8305,0,8305,28,0,28,0,0xe">
          <v:path/>
          <v:fill on="t" focussize="0,0"/>
          <v:stroke on="f"/>
          <v:imagedata o:title=""/>
          <o:lock v:ext="edit"/>
          <w10:wrap type="none"/>
          <w10:anchorlock/>
        </v:shape>
      </w:pict>
    </w: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FD48F">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71A4CDF1">
    <w:pPr>
      <w:spacing w:before="14" w:line="29" w:lineRule="exact"/>
      <w:ind w:firstLine="108"/>
      <w:textAlignment w:val="center"/>
    </w:pPr>
    <w:r>
      <w:pict>
        <v:shape id="_x0000_s2140" o:spid="_x0000_s2140" style="height:1.45pt;width:415.3pt;" fillcolor="#000000" filled="t" stroked="f" coordsize="8305,29" path="m0,0l8305,0,8305,28,0,28,0,0xe">
          <v:path/>
          <v:fill on="t" focussize="0,0"/>
          <v:stroke on="f"/>
          <v:imagedata o:title=""/>
          <o:lock v:ext="edit"/>
          <w10:wrap type="none"/>
          <w10:anchorlock/>
        </v:shape>
      </w:pict>
    </w: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1AB39">
    <w:pPr>
      <w:spacing w:line="228" w:lineRule="auto"/>
      <w:ind w:left="2285"/>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0549D650">
    <w:pPr>
      <w:spacing w:before="14" w:line="29" w:lineRule="exact"/>
      <w:ind w:firstLine="14"/>
      <w:textAlignment w:val="center"/>
    </w:pPr>
    <w:r>
      <w:pict>
        <v:shape id="_x0000_s2141" o:spid="_x0000_s2141" style="height:1.45pt;width:415.3pt;" fillcolor="#000000" filled="t" stroked="f" coordsize="8305,29" path="m0,0l8305,0,8305,28,0,28,0,0xe">
          <v:path/>
          <v:fill on="t" focussize="0,0"/>
          <v:stroke on="f"/>
          <v:imagedata o:title=""/>
          <o:lock v:ext="edit"/>
          <w10:wrap type="none"/>
          <w10:anchorlock/>
        </v:shape>
      </w:pict>
    </w: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046EB">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6BAC4DDF">
    <w:pPr>
      <w:spacing w:before="14" w:line="29" w:lineRule="exact"/>
      <w:ind w:firstLine="108"/>
      <w:textAlignment w:val="center"/>
    </w:pPr>
    <w:r>
      <w:pict>
        <v:shape id="_x0000_s2142" o:spid="_x0000_s2142" style="height:1.45pt;width:415.3pt;" fillcolor="#000000" filled="t" stroked="f" coordsize="8305,29" path="m0,0l8305,0,8305,28,0,28,0,0xe">
          <v:path/>
          <v:fill on="t" focussize="0,0"/>
          <v:stroke on="f"/>
          <v:imagedata o:title=""/>
          <o:lock v:ext="edit"/>
          <w10:wrap type="none"/>
          <w10:anchorlock/>
        </v:shape>
      </w:pict>
    </w: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02DEB">
    <w:pPr>
      <w:spacing w:line="228" w:lineRule="auto"/>
      <w:ind w:left="229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2C607174">
    <w:pPr>
      <w:spacing w:before="14" w:line="29" w:lineRule="exact"/>
      <w:ind w:firstLine="28"/>
      <w:textAlignment w:val="center"/>
    </w:pPr>
    <w:r>
      <w:pict>
        <v:shape id="_x0000_s2143" o:spid="_x0000_s2143" style="height:1.45pt;width:415.3pt;" fillcolor="#000000" filled="t" stroked="f" coordsize="8305,29" path="m0,0l8305,0,8305,28,0,28,0,0xe">
          <v:path/>
          <v:fill on="t" focussize="0,0"/>
          <v:stroke on="f"/>
          <v:imagedata o:title=""/>
          <o:lock v:ext="edit"/>
          <w10:wrap type="none"/>
          <w10:anchorlock/>
        </v:shape>
      </w:pict>
    </w: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DCB91">
    <w:pPr>
      <w:spacing w:line="228" w:lineRule="auto"/>
      <w:ind w:left="233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73D6DA73">
    <w:pPr>
      <w:spacing w:before="14" w:line="29" w:lineRule="exact"/>
      <w:ind w:firstLine="68"/>
      <w:textAlignment w:val="center"/>
    </w:pPr>
    <w:r>
      <w:pict>
        <v:shape id="_x0000_s2144" o:spid="_x0000_s2144" style="height:1.45pt;width:415.3pt;" fillcolor="#000000" filled="t" stroked="f" coordsize="8305,29" path="m0,0l8305,0,8305,28,0,28,0,0xe">
          <v:path/>
          <v:fill on="t" focussize="0,0"/>
          <v:stroke on="f"/>
          <v:imagedata o:title=""/>
          <o:lock v:ext="edit"/>
          <w10:wrap type="none"/>
          <w10:anchorlock/>
        </v:shape>
      </w:pict>
    </w: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104E7">
    <w:pPr>
      <w:spacing w:line="228" w:lineRule="auto"/>
      <w:ind w:left="2377"/>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396C26D2">
    <w:pPr>
      <w:spacing w:before="14" w:line="29" w:lineRule="exact"/>
      <w:ind w:firstLine="106"/>
      <w:textAlignment w:val="center"/>
    </w:pPr>
    <w:r>
      <w:pict>
        <v:shape id="_x0000_s2145" o:spid="_x0000_s2145" style="height:1.45pt;width:415.3pt;" fillcolor="#000000" filled="t" stroked="f" coordsize="8305,29" path="m0,0l8305,0,8305,28,0,28,0,0xe">
          <v:path/>
          <v:fill on="t" focussize="0,0"/>
          <v:stroke on="f"/>
          <v:imagedata o:title=""/>
          <o:lock v:ext="edit"/>
          <w10:wrap type="none"/>
          <w10:anchorlock/>
        </v:shape>
      </w:pict>
    </w: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39351">
    <w:pPr>
      <w:spacing w:line="228" w:lineRule="auto"/>
      <w:ind w:left="2378"/>
      <w:rPr>
        <w:rFonts w:ascii="宋体" w:hAnsi="宋体" w:eastAsia="宋体" w:cs="宋体"/>
        <w:sz w:val="17"/>
        <w:szCs w:val="17"/>
      </w:rPr>
    </w:pPr>
    <w:r>
      <w:rPr>
        <w:rFonts w:ascii="宋体" w:hAnsi="宋体" w:eastAsia="宋体" w:cs="宋体"/>
        <w:spacing w:val="18"/>
        <w:sz w:val="17"/>
        <w:szCs w:val="17"/>
      </w:rPr>
      <w:t>本</w:t>
    </w:r>
    <w:r>
      <w:rPr>
        <w:rFonts w:ascii="宋体" w:hAnsi="宋体" w:eastAsia="宋体" w:cs="宋体"/>
        <w:spacing w:val="13"/>
        <w:sz w:val="17"/>
        <w:szCs w:val="17"/>
      </w:rPr>
      <w:t>溪</w:t>
    </w:r>
    <w:r>
      <w:rPr>
        <w:rFonts w:ascii="宋体" w:hAnsi="宋体" w:eastAsia="宋体" w:cs="宋体"/>
        <w:spacing w:val="9"/>
        <w:sz w:val="17"/>
        <w:szCs w:val="17"/>
      </w:rPr>
      <w:t>弘福塑业有限公司新建项目环境影响报告书</w:t>
    </w:r>
  </w:p>
  <w:p w14:paraId="0D432965">
    <w:pPr>
      <w:spacing w:before="14" w:line="29" w:lineRule="exact"/>
      <w:ind w:firstLine="108"/>
      <w:textAlignment w:val="center"/>
    </w:pPr>
    <w:r>
      <w:pict>
        <v:shape id="_x0000_s2146" o:spid="_x0000_s2146" style="height:1.45pt;width:415.3pt;" fillcolor="#000000" filled="t" stroked="f" coordsize="8305,29" path="m0,0l8305,0,8305,28,0,28,0,0xe">
          <v:path/>
          <v:fill on="t" focussize="0,0"/>
          <v:stroke on="f"/>
          <v:imagedata o:title=""/>
          <o:lock v:ext="edit"/>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4"/>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Yzc1ZGVhNGRiMzU5N2I2YjZlOTMxYWQxNDAyMTlhNGIifQ=="/>
  </w:docVars>
  <w:rsids>
    <w:rsidRoot w:val="00000000"/>
    <w:rsid w:val="4B6B2643"/>
    <w:rsid w:val="54BE7478"/>
    <w:rsid w:val="68431DEA"/>
    <w:rsid w:val="6BC40BFC"/>
    <w:rsid w:val="742D1A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9" Type="http://schemas.openxmlformats.org/officeDocument/2006/relationships/footer" Target="footer50.xml"/><Relationship Id="rId98" Type="http://schemas.openxmlformats.org/officeDocument/2006/relationships/header" Target="header45.xml"/><Relationship Id="rId97" Type="http://schemas.openxmlformats.org/officeDocument/2006/relationships/footer" Target="footer49.xml"/><Relationship Id="rId96" Type="http://schemas.openxmlformats.org/officeDocument/2006/relationships/footer" Target="footer48.xml"/><Relationship Id="rId95" Type="http://schemas.openxmlformats.org/officeDocument/2006/relationships/footer" Target="footer47.xml"/><Relationship Id="rId94" Type="http://schemas.openxmlformats.org/officeDocument/2006/relationships/header" Target="header44.xml"/><Relationship Id="rId93" Type="http://schemas.openxmlformats.org/officeDocument/2006/relationships/footer" Target="footer46.xml"/><Relationship Id="rId92" Type="http://schemas.openxmlformats.org/officeDocument/2006/relationships/header" Target="header43.xml"/><Relationship Id="rId91" Type="http://schemas.openxmlformats.org/officeDocument/2006/relationships/footer" Target="footer45.xml"/><Relationship Id="rId90" Type="http://schemas.openxmlformats.org/officeDocument/2006/relationships/header" Target="header42.xml"/><Relationship Id="rId9" Type="http://schemas.openxmlformats.org/officeDocument/2006/relationships/footer" Target="footer3.xml"/><Relationship Id="rId89" Type="http://schemas.openxmlformats.org/officeDocument/2006/relationships/footer" Target="footer44.xml"/><Relationship Id="rId88" Type="http://schemas.openxmlformats.org/officeDocument/2006/relationships/header" Target="header41.xml"/><Relationship Id="rId87" Type="http://schemas.openxmlformats.org/officeDocument/2006/relationships/footer" Target="footer43.xml"/><Relationship Id="rId86" Type="http://schemas.openxmlformats.org/officeDocument/2006/relationships/header" Target="header40.xml"/><Relationship Id="rId85" Type="http://schemas.openxmlformats.org/officeDocument/2006/relationships/footer" Target="footer42.xml"/><Relationship Id="rId84" Type="http://schemas.openxmlformats.org/officeDocument/2006/relationships/header" Target="header39.xml"/><Relationship Id="rId83" Type="http://schemas.openxmlformats.org/officeDocument/2006/relationships/footer" Target="footer41.xml"/><Relationship Id="rId82" Type="http://schemas.openxmlformats.org/officeDocument/2006/relationships/header" Target="header38.xml"/><Relationship Id="rId81" Type="http://schemas.openxmlformats.org/officeDocument/2006/relationships/footer" Target="footer40.xml"/><Relationship Id="rId80" Type="http://schemas.openxmlformats.org/officeDocument/2006/relationships/header" Target="header37.xml"/><Relationship Id="rId8" Type="http://schemas.openxmlformats.org/officeDocument/2006/relationships/header" Target="header2.xml"/><Relationship Id="rId79" Type="http://schemas.openxmlformats.org/officeDocument/2006/relationships/footer" Target="footer39.xml"/><Relationship Id="rId78" Type="http://schemas.openxmlformats.org/officeDocument/2006/relationships/header" Target="header36.xml"/><Relationship Id="rId77" Type="http://schemas.openxmlformats.org/officeDocument/2006/relationships/footer" Target="footer38.xml"/><Relationship Id="rId76" Type="http://schemas.openxmlformats.org/officeDocument/2006/relationships/header" Target="header35.xml"/><Relationship Id="rId75" Type="http://schemas.openxmlformats.org/officeDocument/2006/relationships/footer" Target="footer37.xml"/><Relationship Id="rId74" Type="http://schemas.openxmlformats.org/officeDocument/2006/relationships/header" Target="header34.xml"/><Relationship Id="rId73" Type="http://schemas.openxmlformats.org/officeDocument/2006/relationships/footer" Target="footer36.xml"/><Relationship Id="rId72" Type="http://schemas.openxmlformats.org/officeDocument/2006/relationships/header" Target="header33.xml"/><Relationship Id="rId71" Type="http://schemas.openxmlformats.org/officeDocument/2006/relationships/footer" Target="footer35.xml"/><Relationship Id="rId70" Type="http://schemas.openxmlformats.org/officeDocument/2006/relationships/footer" Target="footer34.xml"/><Relationship Id="rId7" Type="http://schemas.openxmlformats.org/officeDocument/2006/relationships/footer" Target="footer2.xml"/><Relationship Id="rId69" Type="http://schemas.openxmlformats.org/officeDocument/2006/relationships/header" Target="header32.xml"/><Relationship Id="rId68" Type="http://schemas.openxmlformats.org/officeDocument/2006/relationships/footer" Target="footer33.xml"/><Relationship Id="rId67" Type="http://schemas.openxmlformats.org/officeDocument/2006/relationships/header" Target="header31.xml"/><Relationship Id="rId66" Type="http://schemas.openxmlformats.org/officeDocument/2006/relationships/footer" Target="footer32.xml"/><Relationship Id="rId65" Type="http://schemas.openxmlformats.org/officeDocument/2006/relationships/footer" Target="footer31.xml"/><Relationship Id="rId64" Type="http://schemas.openxmlformats.org/officeDocument/2006/relationships/header" Target="header30.xml"/><Relationship Id="rId635" Type="http://schemas.openxmlformats.org/officeDocument/2006/relationships/fontTable" Target="fontTable.xml"/><Relationship Id="rId634" Type="http://schemas.openxmlformats.org/officeDocument/2006/relationships/customXml" Target="../customXml/item1.xml"/><Relationship Id="rId633" Type="http://schemas.openxmlformats.org/officeDocument/2006/relationships/image" Target="media/image253.png"/><Relationship Id="rId632" Type="http://schemas.openxmlformats.org/officeDocument/2006/relationships/image" Target="media/image252.jpeg"/><Relationship Id="rId631" Type="http://schemas.openxmlformats.org/officeDocument/2006/relationships/image" Target="media/image251.jpeg"/><Relationship Id="rId630" Type="http://schemas.openxmlformats.org/officeDocument/2006/relationships/image" Target="media/image250.jpeg"/><Relationship Id="rId63" Type="http://schemas.openxmlformats.org/officeDocument/2006/relationships/footer" Target="footer30.xml"/><Relationship Id="rId629" Type="http://schemas.openxmlformats.org/officeDocument/2006/relationships/image" Target="media/image249.jpeg"/><Relationship Id="rId628" Type="http://schemas.openxmlformats.org/officeDocument/2006/relationships/image" Target="media/image248.jpeg"/><Relationship Id="rId627" Type="http://schemas.openxmlformats.org/officeDocument/2006/relationships/image" Target="media/image247.jpeg"/><Relationship Id="rId626" Type="http://schemas.openxmlformats.org/officeDocument/2006/relationships/image" Target="media/image246.jpeg"/><Relationship Id="rId625" Type="http://schemas.openxmlformats.org/officeDocument/2006/relationships/image" Target="media/image245.jpeg"/><Relationship Id="rId624" Type="http://schemas.openxmlformats.org/officeDocument/2006/relationships/image" Target="media/image244.jpeg"/><Relationship Id="rId623" Type="http://schemas.openxmlformats.org/officeDocument/2006/relationships/image" Target="media/image243.jpeg"/><Relationship Id="rId622" Type="http://schemas.openxmlformats.org/officeDocument/2006/relationships/image" Target="media/image242.jpeg"/><Relationship Id="rId621" Type="http://schemas.openxmlformats.org/officeDocument/2006/relationships/image" Target="media/image241.jpeg"/><Relationship Id="rId620" Type="http://schemas.openxmlformats.org/officeDocument/2006/relationships/image" Target="media/image240.jpeg"/><Relationship Id="rId62" Type="http://schemas.openxmlformats.org/officeDocument/2006/relationships/header" Target="header29.xml"/><Relationship Id="rId619" Type="http://schemas.openxmlformats.org/officeDocument/2006/relationships/image" Target="media/image239.jpeg"/><Relationship Id="rId618" Type="http://schemas.openxmlformats.org/officeDocument/2006/relationships/image" Target="media/image238.jpeg"/><Relationship Id="rId617" Type="http://schemas.openxmlformats.org/officeDocument/2006/relationships/image" Target="media/image237.jpeg"/><Relationship Id="rId616" Type="http://schemas.openxmlformats.org/officeDocument/2006/relationships/image" Target="media/image236.jpeg"/><Relationship Id="rId615" Type="http://schemas.openxmlformats.org/officeDocument/2006/relationships/image" Target="media/image235.jpeg"/><Relationship Id="rId614" Type="http://schemas.openxmlformats.org/officeDocument/2006/relationships/image" Target="media/image234.jpeg"/><Relationship Id="rId613" Type="http://schemas.openxmlformats.org/officeDocument/2006/relationships/image" Target="media/image233.jpeg"/><Relationship Id="rId612" Type="http://schemas.openxmlformats.org/officeDocument/2006/relationships/image" Target="media/image232.jpeg"/><Relationship Id="rId611" Type="http://schemas.openxmlformats.org/officeDocument/2006/relationships/image" Target="media/image231.jpeg"/><Relationship Id="rId610" Type="http://schemas.openxmlformats.org/officeDocument/2006/relationships/image" Target="media/image230.jpeg"/><Relationship Id="rId61" Type="http://schemas.openxmlformats.org/officeDocument/2006/relationships/footer" Target="footer29.xml"/><Relationship Id="rId609" Type="http://schemas.openxmlformats.org/officeDocument/2006/relationships/image" Target="media/image229.jpeg"/><Relationship Id="rId608" Type="http://schemas.openxmlformats.org/officeDocument/2006/relationships/image" Target="media/image228.jpeg"/><Relationship Id="rId607" Type="http://schemas.openxmlformats.org/officeDocument/2006/relationships/image" Target="media/image227.jpeg"/><Relationship Id="rId606" Type="http://schemas.openxmlformats.org/officeDocument/2006/relationships/image" Target="media/image226.jpeg"/><Relationship Id="rId605" Type="http://schemas.openxmlformats.org/officeDocument/2006/relationships/image" Target="media/image225.jpeg"/><Relationship Id="rId604" Type="http://schemas.openxmlformats.org/officeDocument/2006/relationships/image" Target="media/image224.png"/><Relationship Id="rId603" Type="http://schemas.openxmlformats.org/officeDocument/2006/relationships/image" Target="media/image223.png"/><Relationship Id="rId602" Type="http://schemas.openxmlformats.org/officeDocument/2006/relationships/image" Target="media/image222.jpeg"/><Relationship Id="rId601" Type="http://schemas.openxmlformats.org/officeDocument/2006/relationships/image" Target="media/image221.png"/><Relationship Id="rId600" Type="http://schemas.openxmlformats.org/officeDocument/2006/relationships/image" Target="media/image220.jpeg"/><Relationship Id="rId60" Type="http://schemas.openxmlformats.org/officeDocument/2006/relationships/header" Target="header28.xml"/><Relationship Id="rId6" Type="http://schemas.openxmlformats.org/officeDocument/2006/relationships/footer" Target="footer1.xml"/><Relationship Id="rId599" Type="http://schemas.openxmlformats.org/officeDocument/2006/relationships/image" Target="media/image219.png"/><Relationship Id="rId598" Type="http://schemas.openxmlformats.org/officeDocument/2006/relationships/image" Target="media/image218.jpeg"/><Relationship Id="rId597" Type="http://schemas.openxmlformats.org/officeDocument/2006/relationships/image" Target="media/image217.png"/><Relationship Id="rId596" Type="http://schemas.openxmlformats.org/officeDocument/2006/relationships/image" Target="media/image216.png"/><Relationship Id="rId595" Type="http://schemas.openxmlformats.org/officeDocument/2006/relationships/image" Target="media/image215.png"/><Relationship Id="rId594" Type="http://schemas.openxmlformats.org/officeDocument/2006/relationships/image" Target="media/image214.png"/><Relationship Id="rId593" Type="http://schemas.openxmlformats.org/officeDocument/2006/relationships/image" Target="media/image213.png"/><Relationship Id="rId592" Type="http://schemas.openxmlformats.org/officeDocument/2006/relationships/image" Target="media/image212.jpeg"/><Relationship Id="rId591" Type="http://schemas.openxmlformats.org/officeDocument/2006/relationships/image" Target="media/image211.jpeg"/><Relationship Id="rId590" Type="http://schemas.openxmlformats.org/officeDocument/2006/relationships/image" Target="media/image210.png"/><Relationship Id="rId59" Type="http://schemas.openxmlformats.org/officeDocument/2006/relationships/footer" Target="footer28.xml"/><Relationship Id="rId589" Type="http://schemas.openxmlformats.org/officeDocument/2006/relationships/image" Target="media/image209.png"/><Relationship Id="rId588" Type="http://schemas.openxmlformats.org/officeDocument/2006/relationships/image" Target="media/image208.png"/><Relationship Id="rId587" Type="http://schemas.openxmlformats.org/officeDocument/2006/relationships/image" Target="media/image207.png"/><Relationship Id="rId586" Type="http://schemas.openxmlformats.org/officeDocument/2006/relationships/image" Target="media/image206.png"/><Relationship Id="rId585" Type="http://schemas.openxmlformats.org/officeDocument/2006/relationships/image" Target="media/image205.png"/><Relationship Id="rId584" Type="http://schemas.openxmlformats.org/officeDocument/2006/relationships/image" Target="media/image204.png"/><Relationship Id="rId583" Type="http://schemas.openxmlformats.org/officeDocument/2006/relationships/image" Target="media/image203.png"/><Relationship Id="rId582" Type="http://schemas.openxmlformats.org/officeDocument/2006/relationships/image" Target="media/image202.png"/><Relationship Id="rId581" Type="http://schemas.openxmlformats.org/officeDocument/2006/relationships/image" Target="media/image201.png"/><Relationship Id="rId580" Type="http://schemas.openxmlformats.org/officeDocument/2006/relationships/image" Target="media/image200.png"/><Relationship Id="rId58" Type="http://schemas.openxmlformats.org/officeDocument/2006/relationships/header" Target="header27.xml"/><Relationship Id="rId579" Type="http://schemas.openxmlformats.org/officeDocument/2006/relationships/image" Target="media/image199.png"/><Relationship Id="rId578" Type="http://schemas.openxmlformats.org/officeDocument/2006/relationships/image" Target="media/image198.png"/><Relationship Id="rId577" Type="http://schemas.openxmlformats.org/officeDocument/2006/relationships/image" Target="media/image197.png"/><Relationship Id="rId576" Type="http://schemas.openxmlformats.org/officeDocument/2006/relationships/image" Target="media/image196.png"/><Relationship Id="rId575" Type="http://schemas.openxmlformats.org/officeDocument/2006/relationships/image" Target="media/image195.png"/><Relationship Id="rId574" Type="http://schemas.openxmlformats.org/officeDocument/2006/relationships/image" Target="media/image194.png"/><Relationship Id="rId573" Type="http://schemas.openxmlformats.org/officeDocument/2006/relationships/image" Target="media/image193.png"/><Relationship Id="rId572" Type="http://schemas.openxmlformats.org/officeDocument/2006/relationships/image" Target="media/image192.png"/><Relationship Id="rId571" Type="http://schemas.openxmlformats.org/officeDocument/2006/relationships/image" Target="media/image191.png"/><Relationship Id="rId570" Type="http://schemas.openxmlformats.org/officeDocument/2006/relationships/image" Target="media/image190.png"/><Relationship Id="rId57" Type="http://schemas.openxmlformats.org/officeDocument/2006/relationships/footer" Target="footer27.xml"/><Relationship Id="rId569" Type="http://schemas.openxmlformats.org/officeDocument/2006/relationships/image" Target="media/image189.png"/><Relationship Id="rId568" Type="http://schemas.openxmlformats.org/officeDocument/2006/relationships/image" Target="media/image188.png"/><Relationship Id="rId567" Type="http://schemas.openxmlformats.org/officeDocument/2006/relationships/image" Target="media/image187.png"/><Relationship Id="rId566" Type="http://schemas.openxmlformats.org/officeDocument/2006/relationships/image" Target="media/image186.png"/><Relationship Id="rId565" Type="http://schemas.openxmlformats.org/officeDocument/2006/relationships/image" Target="media/image185.png"/><Relationship Id="rId564" Type="http://schemas.openxmlformats.org/officeDocument/2006/relationships/image" Target="media/image184.png"/><Relationship Id="rId563" Type="http://schemas.openxmlformats.org/officeDocument/2006/relationships/image" Target="media/image183.png"/><Relationship Id="rId562" Type="http://schemas.openxmlformats.org/officeDocument/2006/relationships/image" Target="media/image182.png"/><Relationship Id="rId561" Type="http://schemas.openxmlformats.org/officeDocument/2006/relationships/image" Target="media/image181.png"/><Relationship Id="rId560" Type="http://schemas.openxmlformats.org/officeDocument/2006/relationships/image" Target="media/image180.png"/><Relationship Id="rId56" Type="http://schemas.openxmlformats.org/officeDocument/2006/relationships/header" Target="header26.xml"/><Relationship Id="rId559" Type="http://schemas.openxmlformats.org/officeDocument/2006/relationships/image" Target="media/image179.png"/><Relationship Id="rId558" Type="http://schemas.openxmlformats.org/officeDocument/2006/relationships/image" Target="media/image178.png"/><Relationship Id="rId557" Type="http://schemas.openxmlformats.org/officeDocument/2006/relationships/image" Target="media/image177.png"/><Relationship Id="rId556" Type="http://schemas.openxmlformats.org/officeDocument/2006/relationships/image" Target="media/image176.png"/><Relationship Id="rId555" Type="http://schemas.openxmlformats.org/officeDocument/2006/relationships/image" Target="media/image175.png"/><Relationship Id="rId554" Type="http://schemas.openxmlformats.org/officeDocument/2006/relationships/image" Target="media/image174.png"/><Relationship Id="rId553" Type="http://schemas.openxmlformats.org/officeDocument/2006/relationships/image" Target="media/image173.png"/><Relationship Id="rId552" Type="http://schemas.openxmlformats.org/officeDocument/2006/relationships/image" Target="media/image172.png"/><Relationship Id="rId551" Type="http://schemas.openxmlformats.org/officeDocument/2006/relationships/image" Target="media/image171.png"/><Relationship Id="rId550" Type="http://schemas.openxmlformats.org/officeDocument/2006/relationships/image" Target="media/image170.png"/><Relationship Id="rId55" Type="http://schemas.openxmlformats.org/officeDocument/2006/relationships/footer" Target="footer26.xml"/><Relationship Id="rId549" Type="http://schemas.openxmlformats.org/officeDocument/2006/relationships/image" Target="media/image169.png"/><Relationship Id="rId548" Type="http://schemas.openxmlformats.org/officeDocument/2006/relationships/image" Target="media/image168.png"/><Relationship Id="rId547" Type="http://schemas.openxmlformats.org/officeDocument/2006/relationships/image" Target="media/image167.png"/><Relationship Id="rId546" Type="http://schemas.openxmlformats.org/officeDocument/2006/relationships/image" Target="media/image166.png"/><Relationship Id="rId545" Type="http://schemas.openxmlformats.org/officeDocument/2006/relationships/image" Target="media/image165.png"/><Relationship Id="rId544" Type="http://schemas.openxmlformats.org/officeDocument/2006/relationships/image" Target="media/image164.png"/><Relationship Id="rId543" Type="http://schemas.openxmlformats.org/officeDocument/2006/relationships/image" Target="media/image163.png"/><Relationship Id="rId542" Type="http://schemas.openxmlformats.org/officeDocument/2006/relationships/image" Target="media/image162.png"/><Relationship Id="rId541" Type="http://schemas.openxmlformats.org/officeDocument/2006/relationships/image" Target="media/image161.png"/><Relationship Id="rId540" Type="http://schemas.openxmlformats.org/officeDocument/2006/relationships/image" Target="media/image160.png"/><Relationship Id="rId54" Type="http://schemas.openxmlformats.org/officeDocument/2006/relationships/header" Target="header25.xml"/><Relationship Id="rId539" Type="http://schemas.openxmlformats.org/officeDocument/2006/relationships/image" Target="media/image159.png"/><Relationship Id="rId538" Type="http://schemas.openxmlformats.org/officeDocument/2006/relationships/image" Target="media/image158.png"/><Relationship Id="rId537" Type="http://schemas.openxmlformats.org/officeDocument/2006/relationships/image" Target="media/image157.png"/><Relationship Id="rId536" Type="http://schemas.openxmlformats.org/officeDocument/2006/relationships/image" Target="media/image156.png"/><Relationship Id="rId535" Type="http://schemas.openxmlformats.org/officeDocument/2006/relationships/image" Target="media/image155.png"/><Relationship Id="rId534" Type="http://schemas.openxmlformats.org/officeDocument/2006/relationships/image" Target="media/image154.png"/><Relationship Id="rId533" Type="http://schemas.openxmlformats.org/officeDocument/2006/relationships/image" Target="media/image153.png"/><Relationship Id="rId532" Type="http://schemas.openxmlformats.org/officeDocument/2006/relationships/image" Target="media/image152.png"/><Relationship Id="rId531" Type="http://schemas.openxmlformats.org/officeDocument/2006/relationships/image" Target="media/image151.png"/><Relationship Id="rId530" Type="http://schemas.openxmlformats.org/officeDocument/2006/relationships/image" Target="media/image150.png"/><Relationship Id="rId53" Type="http://schemas.openxmlformats.org/officeDocument/2006/relationships/footer" Target="footer25.xml"/><Relationship Id="rId529" Type="http://schemas.openxmlformats.org/officeDocument/2006/relationships/image" Target="media/image149.png"/><Relationship Id="rId528" Type="http://schemas.openxmlformats.org/officeDocument/2006/relationships/image" Target="media/image148.png"/><Relationship Id="rId527" Type="http://schemas.openxmlformats.org/officeDocument/2006/relationships/image" Target="media/image147.png"/><Relationship Id="rId526" Type="http://schemas.openxmlformats.org/officeDocument/2006/relationships/image" Target="media/image146.png"/><Relationship Id="rId525" Type="http://schemas.openxmlformats.org/officeDocument/2006/relationships/image" Target="media/image145.png"/><Relationship Id="rId524" Type="http://schemas.openxmlformats.org/officeDocument/2006/relationships/image" Target="media/image144.png"/><Relationship Id="rId523" Type="http://schemas.openxmlformats.org/officeDocument/2006/relationships/image" Target="media/image143.jpeg"/><Relationship Id="rId522" Type="http://schemas.openxmlformats.org/officeDocument/2006/relationships/image" Target="media/image142.jpeg"/><Relationship Id="rId521" Type="http://schemas.openxmlformats.org/officeDocument/2006/relationships/image" Target="media/image141.jpeg"/><Relationship Id="rId520" Type="http://schemas.openxmlformats.org/officeDocument/2006/relationships/image" Target="media/image140.png"/><Relationship Id="rId52" Type="http://schemas.openxmlformats.org/officeDocument/2006/relationships/header" Target="header24.xml"/><Relationship Id="rId519" Type="http://schemas.openxmlformats.org/officeDocument/2006/relationships/image" Target="media/image139.jpeg"/><Relationship Id="rId518" Type="http://schemas.openxmlformats.org/officeDocument/2006/relationships/image" Target="media/image138.jpeg"/><Relationship Id="rId517" Type="http://schemas.openxmlformats.org/officeDocument/2006/relationships/image" Target="media/image137.png"/><Relationship Id="rId516" Type="http://schemas.openxmlformats.org/officeDocument/2006/relationships/image" Target="media/image136.png"/><Relationship Id="rId515" Type="http://schemas.openxmlformats.org/officeDocument/2006/relationships/image" Target="media/image135.png"/><Relationship Id="rId514" Type="http://schemas.openxmlformats.org/officeDocument/2006/relationships/image" Target="media/image134.png"/><Relationship Id="rId513" Type="http://schemas.openxmlformats.org/officeDocument/2006/relationships/image" Target="media/image133.jpeg"/><Relationship Id="rId512" Type="http://schemas.openxmlformats.org/officeDocument/2006/relationships/image" Target="media/image132.jpeg"/><Relationship Id="rId511" Type="http://schemas.openxmlformats.org/officeDocument/2006/relationships/image" Target="media/image131.jpeg"/><Relationship Id="rId510" Type="http://schemas.openxmlformats.org/officeDocument/2006/relationships/image" Target="media/image130.png"/><Relationship Id="rId51" Type="http://schemas.openxmlformats.org/officeDocument/2006/relationships/footer" Target="footer24.xml"/><Relationship Id="rId509" Type="http://schemas.openxmlformats.org/officeDocument/2006/relationships/image" Target="media/image129.png"/><Relationship Id="rId508" Type="http://schemas.openxmlformats.org/officeDocument/2006/relationships/image" Target="media/image128.jpeg"/><Relationship Id="rId507" Type="http://schemas.openxmlformats.org/officeDocument/2006/relationships/image" Target="media/image127.png"/><Relationship Id="rId506" Type="http://schemas.openxmlformats.org/officeDocument/2006/relationships/image" Target="media/image126.png"/><Relationship Id="rId505" Type="http://schemas.openxmlformats.org/officeDocument/2006/relationships/image" Target="media/image125.png"/><Relationship Id="rId504" Type="http://schemas.openxmlformats.org/officeDocument/2006/relationships/image" Target="media/image124.png"/><Relationship Id="rId503" Type="http://schemas.openxmlformats.org/officeDocument/2006/relationships/image" Target="media/image123.png"/><Relationship Id="rId502" Type="http://schemas.openxmlformats.org/officeDocument/2006/relationships/image" Target="media/image122.jpeg"/><Relationship Id="rId501" Type="http://schemas.openxmlformats.org/officeDocument/2006/relationships/image" Target="media/image121.png"/><Relationship Id="rId500" Type="http://schemas.openxmlformats.org/officeDocument/2006/relationships/image" Target="media/image120.png"/><Relationship Id="rId50" Type="http://schemas.openxmlformats.org/officeDocument/2006/relationships/header" Target="header23.xml"/><Relationship Id="rId5" Type="http://schemas.openxmlformats.org/officeDocument/2006/relationships/header" Target="header1.xml"/><Relationship Id="rId499" Type="http://schemas.openxmlformats.org/officeDocument/2006/relationships/image" Target="media/image119.png"/><Relationship Id="rId498" Type="http://schemas.openxmlformats.org/officeDocument/2006/relationships/image" Target="media/image118.jpeg"/><Relationship Id="rId497" Type="http://schemas.openxmlformats.org/officeDocument/2006/relationships/image" Target="media/image117.png"/><Relationship Id="rId496" Type="http://schemas.openxmlformats.org/officeDocument/2006/relationships/image" Target="media/image116.png"/><Relationship Id="rId495" Type="http://schemas.openxmlformats.org/officeDocument/2006/relationships/image" Target="media/image115.png"/><Relationship Id="rId494" Type="http://schemas.openxmlformats.org/officeDocument/2006/relationships/image" Target="media/image114.jpeg"/><Relationship Id="rId493" Type="http://schemas.openxmlformats.org/officeDocument/2006/relationships/image" Target="media/image113.png"/><Relationship Id="rId492" Type="http://schemas.openxmlformats.org/officeDocument/2006/relationships/image" Target="media/image112.png"/><Relationship Id="rId491" Type="http://schemas.openxmlformats.org/officeDocument/2006/relationships/image" Target="media/image111.png"/><Relationship Id="rId490" Type="http://schemas.openxmlformats.org/officeDocument/2006/relationships/image" Target="media/image110.png"/><Relationship Id="rId49" Type="http://schemas.openxmlformats.org/officeDocument/2006/relationships/footer" Target="footer23.xml"/><Relationship Id="rId489" Type="http://schemas.openxmlformats.org/officeDocument/2006/relationships/image" Target="media/image109.png"/><Relationship Id="rId488" Type="http://schemas.openxmlformats.org/officeDocument/2006/relationships/image" Target="media/image108.png"/><Relationship Id="rId487" Type="http://schemas.openxmlformats.org/officeDocument/2006/relationships/image" Target="media/image107.png"/><Relationship Id="rId486" Type="http://schemas.openxmlformats.org/officeDocument/2006/relationships/image" Target="media/image106.png"/><Relationship Id="rId485" Type="http://schemas.openxmlformats.org/officeDocument/2006/relationships/image" Target="media/image105.png"/><Relationship Id="rId484" Type="http://schemas.openxmlformats.org/officeDocument/2006/relationships/image" Target="media/image104.png"/><Relationship Id="rId483" Type="http://schemas.openxmlformats.org/officeDocument/2006/relationships/image" Target="media/image103.png"/><Relationship Id="rId482" Type="http://schemas.openxmlformats.org/officeDocument/2006/relationships/image" Target="media/image102.png"/><Relationship Id="rId481" Type="http://schemas.openxmlformats.org/officeDocument/2006/relationships/image" Target="media/image101.png"/><Relationship Id="rId480" Type="http://schemas.openxmlformats.org/officeDocument/2006/relationships/image" Target="media/image100.png"/><Relationship Id="rId48" Type="http://schemas.openxmlformats.org/officeDocument/2006/relationships/header" Target="header22.xml"/><Relationship Id="rId479" Type="http://schemas.openxmlformats.org/officeDocument/2006/relationships/image" Target="media/image99.png"/><Relationship Id="rId478" Type="http://schemas.openxmlformats.org/officeDocument/2006/relationships/image" Target="media/image98.png"/><Relationship Id="rId477" Type="http://schemas.openxmlformats.org/officeDocument/2006/relationships/image" Target="media/image97.png"/><Relationship Id="rId476" Type="http://schemas.openxmlformats.org/officeDocument/2006/relationships/image" Target="media/image96.png"/><Relationship Id="rId475" Type="http://schemas.openxmlformats.org/officeDocument/2006/relationships/image" Target="media/image95.png"/><Relationship Id="rId474" Type="http://schemas.openxmlformats.org/officeDocument/2006/relationships/image" Target="media/image94.png"/><Relationship Id="rId473" Type="http://schemas.openxmlformats.org/officeDocument/2006/relationships/image" Target="media/image93.png"/><Relationship Id="rId472" Type="http://schemas.openxmlformats.org/officeDocument/2006/relationships/image" Target="media/image92.png"/><Relationship Id="rId471" Type="http://schemas.openxmlformats.org/officeDocument/2006/relationships/image" Target="media/image91.png"/><Relationship Id="rId470" Type="http://schemas.openxmlformats.org/officeDocument/2006/relationships/image" Target="media/image90.png"/><Relationship Id="rId47" Type="http://schemas.openxmlformats.org/officeDocument/2006/relationships/footer" Target="footer22.xml"/><Relationship Id="rId469" Type="http://schemas.openxmlformats.org/officeDocument/2006/relationships/image" Target="media/image89.png"/><Relationship Id="rId468" Type="http://schemas.openxmlformats.org/officeDocument/2006/relationships/image" Target="media/image88.png"/><Relationship Id="rId467" Type="http://schemas.openxmlformats.org/officeDocument/2006/relationships/image" Target="media/image87.png"/><Relationship Id="rId466" Type="http://schemas.openxmlformats.org/officeDocument/2006/relationships/image" Target="media/image86.png"/><Relationship Id="rId465" Type="http://schemas.openxmlformats.org/officeDocument/2006/relationships/image" Target="media/image85.png"/><Relationship Id="rId464" Type="http://schemas.openxmlformats.org/officeDocument/2006/relationships/image" Target="media/image84.png"/><Relationship Id="rId463" Type="http://schemas.openxmlformats.org/officeDocument/2006/relationships/image" Target="media/image83.png"/><Relationship Id="rId462" Type="http://schemas.openxmlformats.org/officeDocument/2006/relationships/image" Target="media/image82.png"/><Relationship Id="rId461" Type="http://schemas.openxmlformats.org/officeDocument/2006/relationships/image" Target="media/image81.png"/><Relationship Id="rId460" Type="http://schemas.openxmlformats.org/officeDocument/2006/relationships/image" Target="media/image80.png"/><Relationship Id="rId46" Type="http://schemas.openxmlformats.org/officeDocument/2006/relationships/header" Target="header21.xml"/><Relationship Id="rId459" Type="http://schemas.openxmlformats.org/officeDocument/2006/relationships/image" Target="media/image79.png"/><Relationship Id="rId458" Type="http://schemas.openxmlformats.org/officeDocument/2006/relationships/image" Target="media/image78.png"/><Relationship Id="rId457" Type="http://schemas.openxmlformats.org/officeDocument/2006/relationships/image" Target="media/image77.png"/><Relationship Id="rId456" Type="http://schemas.openxmlformats.org/officeDocument/2006/relationships/image" Target="media/image76.png"/><Relationship Id="rId455" Type="http://schemas.openxmlformats.org/officeDocument/2006/relationships/image" Target="media/image75.png"/><Relationship Id="rId454" Type="http://schemas.openxmlformats.org/officeDocument/2006/relationships/image" Target="media/image74.png"/><Relationship Id="rId453" Type="http://schemas.openxmlformats.org/officeDocument/2006/relationships/image" Target="media/image73.png"/><Relationship Id="rId452" Type="http://schemas.openxmlformats.org/officeDocument/2006/relationships/image" Target="media/image72.png"/><Relationship Id="rId451" Type="http://schemas.openxmlformats.org/officeDocument/2006/relationships/image" Target="media/image71.png"/><Relationship Id="rId450" Type="http://schemas.openxmlformats.org/officeDocument/2006/relationships/image" Target="media/image70.png"/><Relationship Id="rId45" Type="http://schemas.openxmlformats.org/officeDocument/2006/relationships/footer" Target="footer21.xml"/><Relationship Id="rId449" Type="http://schemas.openxmlformats.org/officeDocument/2006/relationships/image" Target="media/image69.png"/><Relationship Id="rId448" Type="http://schemas.openxmlformats.org/officeDocument/2006/relationships/image" Target="media/image68.png"/><Relationship Id="rId447" Type="http://schemas.openxmlformats.org/officeDocument/2006/relationships/image" Target="media/image67.png"/><Relationship Id="rId446" Type="http://schemas.openxmlformats.org/officeDocument/2006/relationships/image" Target="media/image66.png"/><Relationship Id="rId445" Type="http://schemas.openxmlformats.org/officeDocument/2006/relationships/image" Target="media/image65.png"/><Relationship Id="rId444" Type="http://schemas.openxmlformats.org/officeDocument/2006/relationships/image" Target="media/image64.png"/><Relationship Id="rId443" Type="http://schemas.openxmlformats.org/officeDocument/2006/relationships/image" Target="media/image63.png"/><Relationship Id="rId442" Type="http://schemas.openxmlformats.org/officeDocument/2006/relationships/image" Target="media/image62.png"/><Relationship Id="rId441" Type="http://schemas.openxmlformats.org/officeDocument/2006/relationships/image" Target="media/image61.png"/><Relationship Id="rId440" Type="http://schemas.openxmlformats.org/officeDocument/2006/relationships/image" Target="media/image60.png"/><Relationship Id="rId44" Type="http://schemas.openxmlformats.org/officeDocument/2006/relationships/header" Target="header20.xml"/><Relationship Id="rId439" Type="http://schemas.openxmlformats.org/officeDocument/2006/relationships/image" Target="media/image59.png"/><Relationship Id="rId438" Type="http://schemas.openxmlformats.org/officeDocument/2006/relationships/image" Target="media/image58.png"/><Relationship Id="rId437" Type="http://schemas.openxmlformats.org/officeDocument/2006/relationships/image" Target="media/image57.png"/><Relationship Id="rId436" Type="http://schemas.openxmlformats.org/officeDocument/2006/relationships/image" Target="media/image56.png"/><Relationship Id="rId435" Type="http://schemas.openxmlformats.org/officeDocument/2006/relationships/image" Target="media/image55.png"/><Relationship Id="rId434" Type="http://schemas.openxmlformats.org/officeDocument/2006/relationships/image" Target="media/image54.png"/><Relationship Id="rId433" Type="http://schemas.openxmlformats.org/officeDocument/2006/relationships/image" Target="media/image53.jpeg"/><Relationship Id="rId432" Type="http://schemas.openxmlformats.org/officeDocument/2006/relationships/image" Target="media/image52.png"/><Relationship Id="rId431" Type="http://schemas.openxmlformats.org/officeDocument/2006/relationships/image" Target="media/image51.png"/><Relationship Id="rId430" Type="http://schemas.openxmlformats.org/officeDocument/2006/relationships/image" Target="media/image50.jpeg"/><Relationship Id="rId43" Type="http://schemas.openxmlformats.org/officeDocument/2006/relationships/footer" Target="footer20.xml"/><Relationship Id="rId429" Type="http://schemas.openxmlformats.org/officeDocument/2006/relationships/image" Target="media/image49.jpeg"/><Relationship Id="rId428" Type="http://schemas.openxmlformats.org/officeDocument/2006/relationships/image" Target="media/image48.png"/><Relationship Id="rId427" Type="http://schemas.openxmlformats.org/officeDocument/2006/relationships/image" Target="media/image47.png"/><Relationship Id="rId426" Type="http://schemas.openxmlformats.org/officeDocument/2006/relationships/image" Target="media/image46.png"/><Relationship Id="rId425" Type="http://schemas.openxmlformats.org/officeDocument/2006/relationships/image" Target="media/image45.png"/><Relationship Id="rId424" Type="http://schemas.openxmlformats.org/officeDocument/2006/relationships/image" Target="media/image44.png"/><Relationship Id="rId423" Type="http://schemas.openxmlformats.org/officeDocument/2006/relationships/image" Target="media/image43.png"/><Relationship Id="rId422" Type="http://schemas.openxmlformats.org/officeDocument/2006/relationships/image" Target="media/image42.png"/><Relationship Id="rId421" Type="http://schemas.openxmlformats.org/officeDocument/2006/relationships/image" Target="media/image41.png"/><Relationship Id="rId420" Type="http://schemas.openxmlformats.org/officeDocument/2006/relationships/image" Target="media/image40.png"/><Relationship Id="rId42" Type="http://schemas.openxmlformats.org/officeDocument/2006/relationships/header" Target="header19.xml"/><Relationship Id="rId419" Type="http://schemas.openxmlformats.org/officeDocument/2006/relationships/image" Target="media/image39.jpeg"/><Relationship Id="rId418" Type="http://schemas.openxmlformats.org/officeDocument/2006/relationships/image" Target="media/image38.png"/><Relationship Id="rId417" Type="http://schemas.openxmlformats.org/officeDocument/2006/relationships/image" Target="media/image37.png"/><Relationship Id="rId416" Type="http://schemas.openxmlformats.org/officeDocument/2006/relationships/image" Target="media/image36.png"/><Relationship Id="rId415" Type="http://schemas.openxmlformats.org/officeDocument/2006/relationships/image" Target="media/image35.jpeg"/><Relationship Id="rId414" Type="http://schemas.openxmlformats.org/officeDocument/2006/relationships/image" Target="media/image34.png"/><Relationship Id="rId413" Type="http://schemas.openxmlformats.org/officeDocument/2006/relationships/image" Target="media/image33.png"/><Relationship Id="rId412" Type="http://schemas.openxmlformats.org/officeDocument/2006/relationships/image" Target="media/image32.png"/><Relationship Id="rId411" Type="http://schemas.openxmlformats.org/officeDocument/2006/relationships/image" Target="media/image31.png"/><Relationship Id="rId410" Type="http://schemas.openxmlformats.org/officeDocument/2006/relationships/image" Target="media/image30.jpeg"/><Relationship Id="rId41" Type="http://schemas.openxmlformats.org/officeDocument/2006/relationships/footer" Target="footer19.xml"/><Relationship Id="rId409" Type="http://schemas.openxmlformats.org/officeDocument/2006/relationships/image" Target="media/image29.png"/><Relationship Id="rId408" Type="http://schemas.openxmlformats.org/officeDocument/2006/relationships/image" Target="media/image28.png"/><Relationship Id="rId407" Type="http://schemas.openxmlformats.org/officeDocument/2006/relationships/image" Target="media/image27.png"/><Relationship Id="rId406" Type="http://schemas.openxmlformats.org/officeDocument/2006/relationships/image" Target="media/image26.png"/><Relationship Id="rId405" Type="http://schemas.openxmlformats.org/officeDocument/2006/relationships/image" Target="media/image25.png"/><Relationship Id="rId404" Type="http://schemas.openxmlformats.org/officeDocument/2006/relationships/image" Target="media/image24.png"/><Relationship Id="rId403" Type="http://schemas.openxmlformats.org/officeDocument/2006/relationships/image" Target="media/image23.png"/><Relationship Id="rId402" Type="http://schemas.openxmlformats.org/officeDocument/2006/relationships/image" Target="media/image22.png"/><Relationship Id="rId401" Type="http://schemas.openxmlformats.org/officeDocument/2006/relationships/image" Target="media/image21.png"/><Relationship Id="rId400" Type="http://schemas.openxmlformats.org/officeDocument/2006/relationships/image" Target="media/image20.png"/><Relationship Id="rId40" Type="http://schemas.openxmlformats.org/officeDocument/2006/relationships/header" Target="header18.xml"/><Relationship Id="rId4" Type="http://schemas.openxmlformats.org/officeDocument/2006/relationships/endnotes" Target="endnotes.xml"/><Relationship Id="rId399" Type="http://schemas.openxmlformats.org/officeDocument/2006/relationships/image" Target="media/image19.png"/><Relationship Id="rId398" Type="http://schemas.openxmlformats.org/officeDocument/2006/relationships/image" Target="media/image18.png"/><Relationship Id="rId397" Type="http://schemas.openxmlformats.org/officeDocument/2006/relationships/image" Target="media/image17.png"/><Relationship Id="rId396" Type="http://schemas.openxmlformats.org/officeDocument/2006/relationships/image" Target="media/image16.png"/><Relationship Id="rId395" Type="http://schemas.openxmlformats.org/officeDocument/2006/relationships/image" Target="media/image15.png"/><Relationship Id="rId394" Type="http://schemas.openxmlformats.org/officeDocument/2006/relationships/image" Target="media/image14.png"/><Relationship Id="rId393" Type="http://schemas.openxmlformats.org/officeDocument/2006/relationships/image" Target="media/image13.png"/><Relationship Id="rId392" Type="http://schemas.openxmlformats.org/officeDocument/2006/relationships/image" Target="media/image12.png"/><Relationship Id="rId391" Type="http://schemas.openxmlformats.org/officeDocument/2006/relationships/image" Target="media/image11.png"/><Relationship Id="rId390" Type="http://schemas.openxmlformats.org/officeDocument/2006/relationships/image" Target="media/image10.png"/><Relationship Id="rId39" Type="http://schemas.openxmlformats.org/officeDocument/2006/relationships/footer" Target="footer18.xml"/><Relationship Id="rId389" Type="http://schemas.openxmlformats.org/officeDocument/2006/relationships/image" Target="media/image9.png"/><Relationship Id="rId388" Type="http://schemas.openxmlformats.org/officeDocument/2006/relationships/image" Target="media/image8.png"/><Relationship Id="rId387" Type="http://schemas.openxmlformats.org/officeDocument/2006/relationships/image" Target="media/image7.png"/><Relationship Id="rId386" Type="http://schemas.openxmlformats.org/officeDocument/2006/relationships/image" Target="media/image6.png"/><Relationship Id="rId385" Type="http://schemas.openxmlformats.org/officeDocument/2006/relationships/image" Target="media/image5.png"/><Relationship Id="rId384" Type="http://schemas.openxmlformats.org/officeDocument/2006/relationships/image" Target="media/image4.png"/><Relationship Id="rId383" Type="http://schemas.openxmlformats.org/officeDocument/2006/relationships/image" Target="media/image3.png"/><Relationship Id="rId382" Type="http://schemas.openxmlformats.org/officeDocument/2006/relationships/image" Target="media/image2.png"/><Relationship Id="rId381" Type="http://schemas.openxmlformats.org/officeDocument/2006/relationships/image" Target="media/image1.png"/><Relationship Id="rId380" Type="http://schemas.openxmlformats.org/officeDocument/2006/relationships/theme" Target="theme/theme1.xml"/><Relationship Id="rId38" Type="http://schemas.openxmlformats.org/officeDocument/2006/relationships/header" Target="header17.xml"/><Relationship Id="rId379" Type="http://schemas.openxmlformats.org/officeDocument/2006/relationships/footer" Target="footer212.xml"/><Relationship Id="rId378" Type="http://schemas.openxmlformats.org/officeDocument/2006/relationships/footer" Target="footer211.xml"/><Relationship Id="rId377" Type="http://schemas.openxmlformats.org/officeDocument/2006/relationships/footer" Target="footer210.xml"/><Relationship Id="rId376" Type="http://schemas.openxmlformats.org/officeDocument/2006/relationships/footer" Target="footer209.xml"/><Relationship Id="rId375" Type="http://schemas.openxmlformats.org/officeDocument/2006/relationships/footer" Target="footer208.xml"/><Relationship Id="rId374" Type="http://schemas.openxmlformats.org/officeDocument/2006/relationships/footer" Target="footer207.xml"/><Relationship Id="rId373" Type="http://schemas.openxmlformats.org/officeDocument/2006/relationships/footer" Target="footer206.xml"/><Relationship Id="rId372" Type="http://schemas.openxmlformats.org/officeDocument/2006/relationships/footer" Target="footer205.xml"/><Relationship Id="rId371" Type="http://schemas.openxmlformats.org/officeDocument/2006/relationships/footer" Target="footer204.xml"/><Relationship Id="rId370" Type="http://schemas.openxmlformats.org/officeDocument/2006/relationships/footer" Target="footer203.xml"/><Relationship Id="rId37" Type="http://schemas.openxmlformats.org/officeDocument/2006/relationships/footer" Target="footer17.xml"/><Relationship Id="rId369" Type="http://schemas.openxmlformats.org/officeDocument/2006/relationships/footer" Target="footer202.xml"/><Relationship Id="rId368" Type="http://schemas.openxmlformats.org/officeDocument/2006/relationships/footer" Target="footer201.xml"/><Relationship Id="rId367" Type="http://schemas.openxmlformats.org/officeDocument/2006/relationships/footer" Target="footer200.xml"/><Relationship Id="rId366" Type="http://schemas.openxmlformats.org/officeDocument/2006/relationships/footer" Target="footer199.xml"/><Relationship Id="rId365" Type="http://schemas.openxmlformats.org/officeDocument/2006/relationships/footer" Target="footer198.xml"/><Relationship Id="rId364" Type="http://schemas.openxmlformats.org/officeDocument/2006/relationships/footer" Target="footer197.xml"/><Relationship Id="rId363" Type="http://schemas.openxmlformats.org/officeDocument/2006/relationships/footer" Target="footer196.xml"/><Relationship Id="rId362" Type="http://schemas.openxmlformats.org/officeDocument/2006/relationships/footer" Target="footer195.xml"/><Relationship Id="rId361" Type="http://schemas.openxmlformats.org/officeDocument/2006/relationships/footer" Target="footer194.xml"/><Relationship Id="rId360" Type="http://schemas.openxmlformats.org/officeDocument/2006/relationships/footer" Target="footer193.xml"/><Relationship Id="rId36" Type="http://schemas.openxmlformats.org/officeDocument/2006/relationships/header" Target="header16.xml"/><Relationship Id="rId359" Type="http://schemas.openxmlformats.org/officeDocument/2006/relationships/footer" Target="footer192.xml"/><Relationship Id="rId358" Type="http://schemas.openxmlformats.org/officeDocument/2006/relationships/footer" Target="footer191.xml"/><Relationship Id="rId357" Type="http://schemas.openxmlformats.org/officeDocument/2006/relationships/footer" Target="footer190.xml"/><Relationship Id="rId356" Type="http://schemas.openxmlformats.org/officeDocument/2006/relationships/footer" Target="footer189.xml"/><Relationship Id="rId355" Type="http://schemas.openxmlformats.org/officeDocument/2006/relationships/footer" Target="footer188.xml"/><Relationship Id="rId354" Type="http://schemas.openxmlformats.org/officeDocument/2006/relationships/footer" Target="footer187.xml"/><Relationship Id="rId353" Type="http://schemas.openxmlformats.org/officeDocument/2006/relationships/footer" Target="footer186.xml"/><Relationship Id="rId352" Type="http://schemas.openxmlformats.org/officeDocument/2006/relationships/footer" Target="footer185.xml"/><Relationship Id="rId351" Type="http://schemas.openxmlformats.org/officeDocument/2006/relationships/footer" Target="footer184.xml"/><Relationship Id="rId350" Type="http://schemas.openxmlformats.org/officeDocument/2006/relationships/footer" Target="footer183.xml"/><Relationship Id="rId35" Type="http://schemas.openxmlformats.org/officeDocument/2006/relationships/footer" Target="footer16.xml"/><Relationship Id="rId349" Type="http://schemas.openxmlformats.org/officeDocument/2006/relationships/footer" Target="footer182.xml"/><Relationship Id="rId348" Type="http://schemas.openxmlformats.org/officeDocument/2006/relationships/footer" Target="footer181.xml"/><Relationship Id="rId347" Type="http://schemas.openxmlformats.org/officeDocument/2006/relationships/header" Target="header163.xml"/><Relationship Id="rId346" Type="http://schemas.openxmlformats.org/officeDocument/2006/relationships/footer" Target="footer180.xml"/><Relationship Id="rId345" Type="http://schemas.openxmlformats.org/officeDocument/2006/relationships/header" Target="header162.xml"/><Relationship Id="rId344" Type="http://schemas.openxmlformats.org/officeDocument/2006/relationships/footer" Target="footer179.xml"/><Relationship Id="rId343" Type="http://schemas.openxmlformats.org/officeDocument/2006/relationships/header" Target="header161.xml"/><Relationship Id="rId342" Type="http://schemas.openxmlformats.org/officeDocument/2006/relationships/footer" Target="footer178.xml"/><Relationship Id="rId341" Type="http://schemas.openxmlformats.org/officeDocument/2006/relationships/header" Target="header160.xml"/><Relationship Id="rId340" Type="http://schemas.openxmlformats.org/officeDocument/2006/relationships/footer" Target="footer177.xml"/><Relationship Id="rId34" Type="http://schemas.openxmlformats.org/officeDocument/2006/relationships/header" Target="header15.xml"/><Relationship Id="rId339" Type="http://schemas.openxmlformats.org/officeDocument/2006/relationships/header" Target="header159.xml"/><Relationship Id="rId338" Type="http://schemas.openxmlformats.org/officeDocument/2006/relationships/footer" Target="footer176.xml"/><Relationship Id="rId337" Type="http://schemas.openxmlformats.org/officeDocument/2006/relationships/header" Target="header158.xml"/><Relationship Id="rId336" Type="http://schemas.openxmlformats.org/officeDocument/2006/relationships/footer" Target="footer175.xml"/><Relationship Id="rId335" Type="http://schemas.openxmlformats.org/officeDocument/2006/relationships/header" Target="header157.xml"/><Relationship Id="rId334" Type="http://schemas.openxmlformats.org/officeDocument/2006/relationships/footer" Target="footer174.xml"/><Relationship Id="rId333" Type="http://schemas.openxmlformats.org/officeDocument/2006/relationships/header" Target="header156.xml"/><Relationship Id="rId332" Type="http://schemas.openxmlformats.org/officeDocument/2006/relationships/footer" Target="footer173.xml"/><Relationship Id="rId331" Type="http://schemas.openxmlformats.org/officeDocument/2006/relationships/header" Target="header155.xml"/><Relationship Id="rId330" Type="http://schemas.openxmlformats.org/officeDocument/2006/relationships/footer" Target="footer172.xml"/><Relationship Id="rId33" Type="http://schemas.openxmlformats.org/officeDocument/2006/relationships/footer" Target="footer15.xml"/><Relationship Id="rId329" Type="http://schemas.openxmlformats.org/officeDocument/2006/relationships/header" Target="header154.xml"/><Relationship Id="rId328" Type="http://schemas.openxmlformats.org/officeDocument/2006/relationships/footer" Target="footer171.xml"/><Relationship Id="rId327" Type="http://schemas.openxmlformats.org/officeDocument/2006/relationships/header" Target="header153.xml"/><Relationship Id="rId326" Type="http://schemas.openxmlformats.org/officeDocument/2006/relationships/footer" Target="footer170.xml"/><Relationship Id="rId325" Type="http://schemas.openxmlformats.org/officeDocument/2006/relationships/header" Target="header152.xml"/><Relationship Id="rId324" Type="http://schemas.openxmlformats.org/officeDocument/2006/relationships/footer" Target="footer169.xml"/><Relationship Id="rId323" Type="http://schemas.openxmlformats.org/officeDocument/2006/relationships/footer" Target="footer168.xml"/><Relationship Id="rId322" Type="http://schemas.openxmlformats.org/officeDocument/2006/relationships/header" Target="header151.xml"/><Relationship Id="rId321" Type="http://schemas.openxmlformats.org/officeDocument/2006/relationships/footer" Target="footer167.xml"/><Relationship Id="rId320" Type="http://schemas.openxmlformats.org/officeDocument/2006/relationships/header" Target="header150.xml"/><Relationship Id="rId32" Type="http://schemas.openxmlformats.org/officeDocument/2006/relationships/header" Target="header14.xml"/><Relationship Id="rId319" Type="http://schemas.openxmlformats.org/officeDocument/2006/relationships/footer" Target="footer166.xml"/><Relationship Id="rId318" Type="http://schemas.openxmlformats.org/officeDocument/2006/relationships/header" Target="header149.xml"/><Relationship Id="rId317" Type="http://schemas.openxmlformats.org/officeDocument/2006/relationships/footer" Target="footer165.xml"/><Relationship Id="rId316" Type="http://schemas.openxmlformats.org/officeDocument/2006/relationships/footer" Target="footer164.xml"/><Relationship Id="rId315" Type="http://schemas.openxmlformats.org/officeDocument/2006/relationships/header" Target="header148.xml"/><Relationship Id="rId314" Type="http://schemas.openxmlformats.org/officeDocument/2006/relationships/footer" Target="footer163.xml"/><Relationship Id="rId313" Type="http://schemas.openxmlformats.org/officeDocument/2006/relationships/header" Target="header147.xml"/><Relationship Id="rId312" Type="http://schemas.openxmlformats.org/officeDocument/2006/relationships/footer" Target="footer162.xml"/><Relationship Id="rId311" Type="http://schemas.openxmlformats.org/officeDocument/2006/relationships/header" Target="header146.xml"/><Relationship Id="rId310" Type="http://schemas.openxmlformats.org/officeDocument/2006/relationships/footer" Target="footer161.xml"/><Relationship Id="rId31" Type="http://schemas.openxmlformats.org/officeDocument/2006/relationships/footer" Target="footer14.xml"/><Relationship Id="rId309" Type="http://schemas.openxmlformats.org/officeDocument/2006/relationships/header" Target="header145.xml"/><Relationship Id="rId308" Type="http://schemas.openxmlformats.org/officeDocument/2006/relationships/footer" Target="footer160.xml"/><Relationship Id="rId307" Type="http://schemas.openxmlformats.org/officeDocument/2006/relationships/header" Target="header144.xml"/><Relationship Id="rId306" Type="http://schemas.openxmlformats.org/officeDocument/2006/relationships/footer" Target="footer159.xml"/><Relationship Id="rId305" Type="http://schemas.openxmlformats.org/officeDocument/2006/relationships/header" Target="header143.xml"/><Relationship Id="rId304" Type="http://schemas.openxmlformats.org/officeDocument/2006/relationships/footer" Target="footer158.xml"/><Relationship Id="rId303" Type="http://schemas.openxmlformats.org/officeDocument/2006/relationships/header" Target="header142.xml"/><Relationship Id="rId302" Type="http://schemas.openxmlformats.org/officeDocument/2006/relationships/footer" Target="footer157.xml"/><Relationship Id="rId301" Type="http://schemas.openxmlformats.org/officeDocument/2006/relationships/header" Target="header141.xml"/><Relationship Id="rId300" Type="http://schemas.openxmlformats.org/officeDocument/2006/relationships/footer" Target="footer156.xml"/><Relationship Id="rId30" Type="http://schemas.openxmlformats.org/officeDocument/2006/relationships/header" Target="header13.xml"/><Relationship Id="rId3" Type="http://schemas.openxmlformats.org/officeDocument/2006/relationships/footnotes" Target="footnotes.xml"/><Relationship Id="rId299" Type="http://schemas.openxmlformats.org/officeDocument/2006/relationships/header" Target="header140.xml"/><Relationship Id="rId298" Type="http://schemas.openxmlformats.org/officeDocument/2006/relationships/footer" Target="footer155.xml"/><Relationship Id="rId297" Type="http://schemas.openxmlformats.org/officeDocument/2006/relationships/header" Target="header139.xml"/><Relationship Id="rId296" Type="http://schemas.openxmlformats.org/officeDocument/2006/relationships/footer" Target="footer154.xml"/><Relationship Id="rId295" Type="http://schemas.openxmlformats.org/officeDocument/2006/relationships/header" Target="header138.xml"/><Relationship Id="rId294" Type="http://schemas.openxmlformats.org/officeDocument/2006/relationships/footer" Target="footer153.xml"/><Relationship Id="rId293" Type="http://schemas.openxmlformats.org/officeDocument/2006/relationships/header" Target="header137.xml"/><Relationship Id="rId292" Type="http://schemas.openxmlformats.org/officeDocument/2006/relationships/footer" Target="footer152.xml"/><Relationship Id="rId291" Type="http://schemas.openxmlformats.org/officeDocument/2006/relationships/header" Target="header136.xml"/><Relationship Id="rId290" Type="http://schemas.openxmlformats.org/officeDocument/2006/relationships/footer" Target="footer151.xml"/><Relationship Id="rId29" Type="http://schemas.openxmlformats.org/officeDocument/2006/relationships/footer" Target="footer13.xml"/><Relationship Id="rId289" Type="http://schemas.openxmlformats.org/officeDocument/2006/relationships/header" Target="header135.xml"/><Relationship Id="rId288" Type="http://schemas.openxmlformats.org/officeDocument/2006/relationships/footer" Target="footer150.xml"/><Relationship Id="rId287" Type="http://schemas.openxmlformats.org/officeDocument/2006/relationships/header" Target="header134.xml"/><Relationship Id="rId286" Type="http://schemas.openxmlformats.org/officeDocument/2006/relationships/footer" Target="footer149.xml"/><Relationship Id="rId285" Type="http://schemas.openxmlformats.org/officeDocument/2006/relationships/header" Target="header133.xml"/><Relationship Id="rId284" Type="http://schemas.openxmlformats.org/officeDocument/2006/relationships/footer" Target="footer148.xml"/><Relationship Id="rId283" Type="http://schemas.openxmlformats.org/officeDocument/2006/relationships/header" Target="header132.xml"/><Relationship Id="rId282" Type="http://schemas.openxmlformats.org/officeDocument/2006/relationships/footer" Target="footer147.xml"/><Relationship Id="rId281" Type="http://schemas.openxmlformats.org/officeDocument/2006/relationships/header" Target="header131.xml"/><Relationship Id="rId280" Type="http://schemas.openxmlformats.org/officeDocument/2006/relationships/footer" Target="footer146.xml"/><Relationship Id="rId28" Type="http://schemas.openxmlformats.org/officeDocument/2006/relationships/header" Target="header12.xml"/><Relationship Id="rId279" Type="http://schemas.openxmlformats.org/officeDocument/2006/relationships/header" Target="header130.xml"/><Relationship Id="rId278" Type="http://schemas.openxmlformats.org/officeDocument/2006/relationships/footer" Target="footer145.xml"/><Relationship Id="rId277" Type="http://schemas.openxmlformats.org/officeDocument/2006/relationships/header" Target="header129.xml"/><Relationship Id="rId276" Type="http://schemas.openxmlformats.org/officeDocument/2006/relationships/footer" Target="footer144.xml"/><Relationship Id="rId275" Type="http://schemas.openxmlformats.org/officeDocument/2006/relationships/header" Target="header128.xml"/><Relationship Id="rId274" Type="http://schemas.openxmlformats.org/officeDocument/2006/relationships/footer" Target="footer143.xml"/><Relationship Id="rId273" Type="http://schemas.openxmlformats.org/officeDocument/2006/relationships/header" Target="header127.xml"/><Relationship Id="rId272" Type="http://schemas.openxmlformats.org/officeDocument/2006/relationships/footer" Target="footer142.xml"/><Relationship Id="rId271" Type="http://schemas.openxmlformats.org/officeDocument/2006/relationships/header" Target="header126.xml"/><Relationship Id="rId270" Type="http://schemas.openxmlformats.org/officeDocument/2006/relationships/footer" Target="footer141.xml"/><Relationship Id="rId27" Type="http://schemas.openxmlformats.org/officeDocument/2006/relationships/footer" Target="footer12.xml"/><Relationship Id="rId269" Type="http://schemas.openxmlformats.org/officeDocument/2006/relationships/header" Target="header125.xml"/><Relationship Id="rId268" Type="http://schemas.openxmlformats.org/officeDocument/2006/relationships/footer" Target="footer140.xml"/><Relationship Id="rId267" Type="http://schemas.openxmlformats.org/officeDocument/2006/relationships/footer" Target="footer139.xml"/><Relationship Id="rId266" Type="http://schemas.openxmlformats.org/officeDocument/2006/relationships/footer" Target="footer138.xml"/><Relationship Id="rId265" Type="http://schemas.openxmlformats.org/officeDocument/2006/relationships/header" Target="header124.xml"/><Relationship Id="rId264" Type="http://schemas.openxmlformats.org/officeDocument/2006/relationships/footer" Target="footer137.xml"/><Relationship Id="rId263" Type="http://schemas.openxmlformats.org/officeDocument/2006/relationships/header" Target="header123.xml"/><Relationship Id="rId262" Type="http://schemas.openxmlformats.org/officeDocument/2006/relationships/footer" Target="footer136.xml"/><Relationship Id="rId261" Type="http://schemas.openxmlformats.org/officeDocument/2006/relationships/header" Target="header122.xml"/><Relationship Id="rId260" Type="http://schemas.openxmlformats.org/officeDocument/2006/relationships/footer" Target="footer135.xml"/><Relationship Id="rId26" Type="http://schemas.openxmlformats.org/officeDocument/2006/relationships/header" Target="header11.xml"/><Relationship Id="rId259" Type="http://schemas.openxmlformats.org/officeDocument/2006/relationships/header" Target="header121.xml"/><Relationship Id="rId258" Type="http://schemas.openxmlformats.org/officeDocument/2006/relationships/footer" Target="footer134.xml"/><Relationship Id="rId257" Type="http://schemas.openxmlformats.org/officeDocument/2006/relationships/header" Target="header120.xml"/><Relationship Id="rId256" Type="http://schemas.openxmlformats.org/officeDocument/2006/relationships/footer" Target="footer133.xml"/><Relationship Id="rId255" Type="http://schemas.openxmlformats.org/officeDocument/2006/relationships/footer" Target="footer132.xml"/><Relationship Id="rId254" Type="http://schemas.openxmlformats.org/officeDocument/2006/relationships/header" Target="header119.xml"/><Relationship Id="rId253" Type="http://schemas.openxmlformats.org/officeDocument/2006/relationships/footer" Target="footer131.xml"/><Relationship Id="rId252" Type="http://schemas.openxmlformats.org/officeDocument/2006/relationships/header" Target="header118.xml"/><Relationship Id="rId251" Type="http://schemas.openxmlformats.org/officeDocument/2006/relationships/footer" Target="footer130.xml"/><Relationship Id="rId250" Type="http://schemas.openxmlformats.org/officeDocument/2006/relationships/header" Target="header117.xml"/><Relationship Id="rId25" Type="http://schemas.openxmlformats.org/officeDocument/2006/relationships/footer" Target="footer11.xml"/><Relationship Id="rId249" Type="http://schemas.openxmlformats.org/officeDocument/2006/relationships/footer" Target="footer129.xml"/><Relationship Id="rId248" Type="http://schemas.openxmlformats.org/officeDocument/2006/relationships/header" Target="header116.xml"/><Relationship Id="rId247" Type="http://schemas.openxmlformats.org/officeDocument/2006/relationships/footer" Target="footer128.xml"/><Relationship Id="rId246" Type="http://schemas.openxmlformats.org/officeDocument/2006/relationships/header" Target="header115.xml"/><Relationship Id="rId245" Type="http://schemas.openxmlformats.org/officeDocument/2006/relationships/footer" Target="footer127.xml"/><Relationship Id="rId244" Type="http://schemas.openxmlformats.org/officeDocument/2006/relationships/header" Target="header114.xml"/><Relationship Id="rId243" Type="http://schemas.openxmlformats.org/officeDocument/2006/relationships/footer" Target="footer126.xml"/><Relationship Id="rId242" Type="http://schemas.openxmlformats.org/officeDocument/2006/relationships/footer" Target="footer125.xml"/><Relationship Id="rId241" Type="http://schemas.openxmlformats.org/officeDocument/2006/relationships/header" Target="header113.xml"/><Relationship Id="rId240" Type="http://schemas.openxmlformats.org/officeDocument/2006/relationships/footer" Target="footer124.xml"/><Relationship Id="rId24" Type="http://schemas.openxmlformats.org/officeDocument/2006/relationships/header" Target="header10.xml"/><Relationship Id="rId239" Type="http://schemas.openxmlformats.org/officeDocument/2006/relationships/header" Target="header112.xml"/><Relationship Id="rId238" Type="http://schemas.openxmlformats.org/officeDocument/2006/relationships/footer" Target="footer123.xml"/><Relationship Id="rId237" Type="http://schemas.openxmlformats.org/officeDocument/2006/relationships/header" Target="header111.xml"/><Relationship Id="rId236" Type="http://schemas.openxmlformats.org/officeDocument/2006/relationships/footer" Target="footer122.xml"/><Relationship Id="rId235" Type="http://schemas.openxmlformats.org/officeDocument/2006/relationships/header" Target="header110.xml"/><Relationship Id="rId234" Type="http://schemas.openxmlformats.org/officeDocument/2006/relationships/footer" Target="footer121.xml"/><Relationship Id="rId233" Type="http://schemas.openxmlformats.org/officeDocument/2006/relationships/header" Target="header109.xml"/><Relationship Id="rId232" Type="http://schemas.openxmlformats.org/officeDocument/2006/relationships/footer" Target="footer120.xml"/><Relationship Id="rId231" Type="http://schemas.openxmlformats.org/officeDocument/2006/relationships/header" Target="header108.xml"/><Relationship Id="rId230" Type="http://schemas.openxmlformats.org/officeDocument/2006/relationships/footer" Target="footer119.xml"/><Relationship Id="rId23" Type="http://schemas.openxmlformats.org/officeDocument/2006/relationships/footer" Target="footer10.xml"/><Relationship Id="rId229" Type="http://schemas.openxmlformats.org/officeDocument/2006/relationships/header" Target="header107.xml"/><Relationship Id="rId228" Type="http://schemas.openxmlformats.org/officeDocument/2006/relationships/footer" Target="footer118.xml"/><Relationship Id="rId227" Type="http://schemas.openxmlformats.org/officeDocument/2006/relationships/header" Target="header106.xml"/><Relationship Id="rId226" Type="http://schemas.openxmlformats.org/officeDocument/2006/relationships/footer" Target="footer117.xml"/><Relationship Id="rId225" Type="http://schemas.openxmlformats.org/officeDocument/2006/relationships/header" Target="header105.xml"/><Relationship Id="rId224" Type="http://schemas.openxmlformats.org/officeDocument/2006/relationships/footer" Target="footer116.xml"/><Relationship Id="rId223" Type="http://schemas.openxmlformats.org/officeDocument/2006/relationships/header" Target="header104.xml"/><Relationship Id="rId222" Type="http://schemas.openxmlformats.org/officeDocument/2006/relationships/footer" Target="footer115.xml"/><Relationship Id="rId221" Type="http://schemas.openxmlformats.org/officeDocument/2006/relationships/header" Target="header103.xml"/><Relationship Id="rId220" Type="http://schemas.openxmlformats.org/officeDocument/2006/relationships/footer" Target="footer114.xml"/><Relationship Id="rId22" Type="http://schemas.openxmlformats.org/officeDocument/2006/relationships/header" Target="header9.xml"/><Relationship Id="rId219" Type="http://schemas.openxmlformats.org/officeDocument/2006/relationships/header" Target="header102.xml"/><Relationship Id="rId218" Type="http://schemas.openxmlformats.org/officeDocument/2006/relationships/footer" Target="footer113.xml"/><Relationship Id="rId217" Type="http://schemas.openxmlformats.org/officeDocument/2006/relationships/header" Target="header101.xml"/><Relationship Id="rId216" Type="http://schemas.openxmlformats.org/officeDocument/2006/relationships/footer" Target="footer112.xml"/><Relationship Id="rId215" Type="http://schemas.openxmlformats.org/officeDocument/2006/relationships/header" Target="header100.xml"/><Relationship Id="rId214" Type="http://schemas.openxmlformats.org/officeDocument/2006/relationships/footer" Target="footer111.xml"/><Relationship Id="rId213" Type="http://schemas.openxmlformats.org/officeDocument/2006/relationships/header" Target="header99.xml"/><Relationship Id="rId212" Type="http://schemas.openxmlformats.org/officeDocument/2006/relationships/footer" Target="footer110.xml"/><Relationship Id="rId211" Type="http://schemas.openxmlformats.org/officeDocument/2006/relationships/header" Target="header98.xml"/><Relationship Id="rId210" Type="http://schemas.openxmlformats.org/officeDocument/2006/relationships/footer" Target="footer109.xml"/><Relationship Id="rId21" Type="http://schemas.openxmlformats.org/officeDocument/2006/relationships/footer" Target="footer9.xml"/><Relationship Id="rId209" Type="http://schemas.openxmlformats.org/officeDocument/2006/relationships/header" Target="header97.xml"/><Relationship Id="rId208" Type="http://schemas.openxmlformats.org/officeDocument/2006/relationships/footer" Target="footer108.xml"/><Relationship Id="rId207" Type="http://schemas.openxmlformats.org/officeDocument/2006/relationships/header" Target="header96.xml"/><Relationship Id="rId206" Type="http://schemas.openxmlformats.org/officeDocument/2006/relationships/footer" Target="footer107.xml"/><Relationship Id="rId205" Type="http://schemas.openxmlformats.org/officeDocument/2006/relationships/footer" Target="footer106.xml"/><Relationship Id="rId204" Type="http://schemas.openxmlformats.org/officeDocument/2006/relationships/header" Target="header95.xml"/><Relationship Id="rId203" Type="http://schemas.openxmlformats.org/officeDocument/2006/relationships/footer" Target="footer105.xml"/><Relationship Id="rId202" Type="http://schemas.openxmlformats.org/officeDocument/2006/relationships/header" Target="header94.xml"/><Relationship Id="rId201" Type="http://schemas.openxmlformats.org/officeDocument/2006/relationships/footer" Target="footer104.xml"/><Relationship Id="rId200" Type="http://schemas.openxmlformats.org/officeDocument/2006/relationships/header" Target="header93.xml"/><Relationship Id="rId20" Type="http://schemas.openxmlformats.org/officeDocument/2006/relationships/header" Target="header8.xml"/><Relationship Id="rId2" Type="http://schemas.openxmlformats.org/officeDocument/2006/relationships/settings" Target="settings.xml"/><Relationship Id="rId199" Type="http://schemas.openxmlformats.org/officeDocument/2006/relationships/footer" Target="footer103.xml"/><Relationship Id="rId198" Type="http://schemas.openxmlformats.org/officeDocument/2006/relationships/header" Target="header92.xml"/><Relationship Id="rId197" Type="http://schemas.openxmlformats.org/officeDocument/2006/relationships/footer" Target="footer102.xml"/><Relationship Id="rId196" Type="http://schemas.openxmlformats.org/officeDocument/2006/relationships/header" Target="header91.xml"/><Relationship Id="rId195" Type="http://schemas.openxmlformats.org/officeDocument/2006/relationships/footer" Target="footer101.xml"/><Relationship Id="rId194" Type="http://schemas.openxmlformats.org/officeDocument/2006/relationships/header" Target="header90.xml"/><Relationship Id="rId193" Type="http://schemas.openxmlformats.org/officeDocument/2006/relationships/footer" Target="footer100.xml"/><Relationship Id="rId192" Type="http://schemas.openxmlformats.org/officeDocument/2006/relationships/header" Target="header89.xml"/><Relationship Id="rId191" Type="http://schemas.openxmlformats.org/officeDocument/2006/relationships/footer" Target="footer99.xml"/><Relationship Id="rId190" Type="http://schemas.openxmlformats.org/officeDocument/2006/relationships/footer" Target="footer98.xml"/><Relationship Id="rId19" Type="http://schemas.openxmlformats.org/officeDocument/2006/relationships/footer" Target="footer8.xml"/><Relationship Id="rId189" Type="http://schemas.openxmlformats.org/officeDocument/2006/relationships/header" Target="header88.xml"/><Relationship Id="rId188" Type="http://schemas.openxmlformats.org/officeDocument/2006/relationships/footer" Target="footer97.xml"/><Relationship Id="rId187" Type="http://schemas.openxmlformats.org/officeDocument/2006/relationships/header" Target="header87.xml"/><Relationship Id="rId186" Type="http://schemas.openxmlformats.org/officeDocument/2006/relationships/footer" Target="footer96.xml"/><Relationship Id="rId185" Type="http://schemas.openxmlformats.org/officeDocument/2006/relationships/header" Target="header86.xml"/><Relationship Id="rId184" Type="http://schemas.openxmlformats.org/officeDocument/2006/relationships/footer" Target="footer95.xml"/><Relationship Id="rId183" Type="http://schemas.openxmlformats.org/officeDocument/2006/relationships/footer" Target="footer94.xml"/><Relationship Id="rId182" Type="http://schemas.openxmlformats.org/officeDocument/2006/relationships/header" Target="header85.xml"/><Relationship Id="rId181" Type="http://schemas.openxmlformats.org/officeDocument/2006/relationships/footer" Target="footer93.xml"/><Relationship Id="rId180" Type="http://schemas.openxmlformats.org/officeDocument/2006/relationships/header" Target="header84.xml"/><Relationship Id="rId18" Type="http://schemas.openxmlformats.org/officeDocument/2006/relationships/header" Target="header7.xml"/><Relationship Id="rId179" Type="http://schemas.openxmlformats.org/officeDocument/2006/relationships/footer" Target="footer92.xml"/><Relationship Id="rId178" Type="http://schemas.openxmlformats.org/officeDocument/2006/relationships/footer" Target="footer91.xml"/><Relationship Id="rId177" Type="http://schemas.openxmlformats.org/officeDocument/2006/relationships/header" Target="header83.xml"/><Relationship Id="rId176" Type="http://schemas.openxmlformats.org/officeDocument/2006/relationships/footer" Target="footer90.xml"/><Relationship Id="rId175" Type="http://schemas.openxmlformats.org/officeDocument/2006/relationships/header" Target="header82.xml"/><Relationship Id="rId174" Type="http://schemas.openxmlformats.org/officeDocument/2006/relationships/footer" Target="footer89.xml"/><Relationship Id="rId173" Type="http://schemas.openxmlformats.org/officeDocument/2006/relationships/header" Target="header81.xml"/><Relationship Id="rId172" Type="http://schemas.openxmlformats.org/officeDocument/2006/relationships/footer" Target="footer88.xml"/><Relationship Id="rId171" Type="http://schemas.openxmlformats.org/officeDocument/2006/relationships/header" Target="header80.xml"/><Relationship Id="rId170" Type="http://schemas.openxmlformats.org/officeDocument/2006/relationships/footer" Target="footer87.xml"/><Relationship Id="rId17" Type="http://schemas.openxmlformats.org/officeDocument/2006/relationships/footer" Target="footer7.xml"/><Relationship Id="rId169" Type="http://schemas.openxmlformats.org/officeDocument/2006/relationships/header" Target="header79.xml"/><Relationship Id="rId168" Type="http://schemas.openxmlformats.org/officeDocument/2006/relationships/footer" Target="footer86.xml"/><Relationship Id="rId167" Type="http://schemas.openxmlformats.org/officeDocument/2006/relationships/header" Target="header78.xml"/><Relationship Id="rId166" Type="http://schemas.openxmlformats.org/officeDocument/2006/relationships/footer" Target="footer85.xml"/><Relationship Id="rId165" Type="http://schemas.openxmlformats.org/officeDocument/2006/relationships/footer" Target="footer84.xml"/><Relationship Id="rId164" Type="http://schemas.openxmlformats.org/officeDocument/2006/relationships/header" Target="header77.xml"/><Relationship Id="rId163" Type="http://schemas.openxmlformats.org/officeDocument/2006/relationships/footer" Target="footer83.xml"/><Relationship Id="rId162" Type="http://schemas.openxmlformats.org/officeDocument/2006/relationships/header" Target="header76.xml"/><Relationship Id="rId161" Type="http://schemas.openxmlformats.org/officeDocument/2006/relationships/footer" Target="footer82.xml"/><Relationship Id="rId160" Type="http://schemas.openxmlformats.org/officeDocument/2006/relationships/header" Target="header75.xml"/><Relationship Id="rId16" Type="http://schemas.openxmlformats.org/officeDocument/2006/relationships/header" Target="header6.xml"/><Relationship Id="rId159" Type="http://schemas.openxmlformats.org/officeDocument/2006/relationships/footer" Target="footer81.xml"/><Relationship Id="rId158" Type="http://schemas.openxmlformats.org/officeDocument/2006/relationships/header" Target="header74.xml"/><Relationship Id="rId157" Type="http://schemas.openxmlformats.org/officeDocument/2006/relationships/footer" Target="footer80.xml"/><Relationship Id="rId156" Type="http://schemas.openxmlformats.org/officeDocument/2006/relationships/header" Target="header73.xml"/><Relationship Id="rId155" Type="http://schemas.openxmlformats.org/officeDocument/2006/relationships/footer" Target="footer79.xml"/><Relationship Id="rId154" Type="http://schemas.openxmlformats.org/officeDocument/2006/relationships/header" Target="header72.xml"/><Relationship Id="rId153" Type="http://schemas.openxmlformats.org/officeDocument/2006/relationships/footer" Target="footer78.xml"/><Relationship Id="rId152" Type="http://schemas.openxmlformats.org/officeDocument/2006/relationships/header" Target="header71.xml"/><Relationship Id="rId151" Type="http://schemas.openxmlformats.org/officeDocument/2006/relationships/footer" Target="footer77.xml"/><Relationship Id="rId150" Type="http://schemas.openxmlformats.org/officeDocument/2006/relationships/header" Target="header70.xml"/><Relationship Id="rId15" Type="http://schemas.openxmlformats.org/officeDocument/2006/relationships/footer" Target="footer6.xml"/><Relationship Id="rId149" Type="http://schemas.openxmlformats.org/officeDocument/2006/relationships/footer" Target="footer76.xml"/><Relationship Id="rId148" Type="http://schemas.openxmlformats.org/officeDocument/2006/relationships/header" Target="header69.xml"/><Relationship Id="rId147" Type="http://schemas.openxmlformats.org/officeDocument/2006/relationships/footer" Target="footer75.xml"/><Relationship Id="rId146" Type="http://schemas.openxmlformats.org/officeDocument/2006/relationships/header" Target="header68.xml"/><Relationship Id="rId145" Type="http://schemas.openxmlformats.org/officeDocument/2006/relationships/footer" Target="footer74.xml"/><Relationship Id="rId144" Type="http://schemas.openxmlformats.org/officeDocument/2006/relationships/footer" Target="footer73.xml"/><Relationship Id="rId143" Type="http://schemas.openxmlformats.org/officeDocument/2006/relationships/header" Target="header67.xml"/><Relationship Id="rId142" Type="http://schemas.openxmlformats.org/officeDocument/2006/relationships/footer" Target="footer72.xml"/><Relationship Id="rId141" Type="http://schemas.openxmlformats.org/officeDocument/2006/relationships/header" Target="header66.xml"/><Relationship Id="rId140" Type="http://schemas.openxmlformats.org/officeDocument/2006/relationships/footer" Target="footer71.xml"/><Relationship Id="rId14" Type="http://schemas.openxmlformats.org/officeDocument/2006/relationships/header" Target="header5.xml"/><Relationship Id="rId139" Type="http://schemas.openxmlformats.org/officeDocument/2006/relationships/header" Target="header65.xml"/><Relationship Id="rId138" Type="http://schemas.openxmlformats.org/officeDocument/2006/relationships/footer" Target="footer70.xml"/><Relationship Id="rId137" Type="http://schemas.openxmlformats.org/officeDocument/2006/relationships/header" Target="header64.xml"/><Relationship Id="rId136" Type="http://schemas.openxmlformats.org/officeDocument/2006/relationships/footer" Target="footer69.xml"/><Relationship Id="rId135" Type="http://schemas.openxmlformats.org/officeDocument/2006/relationships/header" Target="header63.xml"/><Relationship Id="rId134" Type="http://schemas.openxmlformats.org/officeDocument/2006/relationships/footer" Target="footer68.xml"/><Relationship Id="rId133" Type="http://schemas.openxmlformats.org/officeDocument/2006/relationships/header" Target="header62.xml"/><Relationship Id="rId132" Type="http://schemas.openxmlformats.org/officeDocument/2006/relationships/footer" Target="footer67.xml"/><Relationship Id="rId131" Type="http://schemas.openxmlformats.org/officeDocument/2006/relationships/header" Target="header61.xml"/><Relationship Id="rId130" Type="http://schemas.openxmlformats.org/officeDocument/2006/relationships/footer" Target="footer66.xml"/><Relationship Id="rId13" Type="http://schemas.openxmlformats.org/officeDocument/2006/relationships/footer" Target="footer5.xml"/><Relationship Id="rId129" Type="http://schemas.openxmlformats.org/officeDocument/2006/relationships/header" Target="header60.xml"/><Relationship Id="rId128" Type="http://schemas.openxmlformats.org/officeDocument/2006/relationships/footer" Target="footer65.xml"/><Relationship Id="rId127" Type="http://schemas.openxmlformats.org/officeDocument/2006/relationships/header" Target="header59.xml"/><Relationship Id="rId126" Type="http://schemas.openxmlformats.org/officeDocument/2006/relationships/footer" Target="footer64.xml"/><Relationship Id="rId125" Type="http://schemas.openxmlformats.org/officeDocument/2006/relationships/header" Target="header58.xml"/><Relationship Id="rId124" Type="http://schemas.openxmlformats.org/officeDocument/2006/relationships/footer" Target="footer63.xml"/><Relationship Id="rId123" Type="http://schemas.openxmlformats.org/officeDocument/2006/relationships/header" Target="header57.xml"/><Relationship Id="rId122" Type="http://schemas.openxmlformats.org/officeDocument/2006/relationships/footer" Target="footer62.xml"/><Relationship Id="rId121" Type="http://schemas.openxmlformats.org/officeDocument/2006/relationships/footer" Target="footer61.xml"/><Relationship Id="rId120" Type="http://schemas.openxmlformats.org/officeDocument/2006/relationships/header" Target="header56.xml"/><Relationship Id="rId12" Type="http://schemas.openxmlformats.org/officeDocument/2006/relationships/header" Target="header4.xml"/><Relationship Id="rId119" Type="http://schemas.openxmlformats.org/officeDocument/2006/relationships/footer" Target="footer60.xml"/><Relationship Id="rId118" Type="http://schemas.openxmlformats.org/officeDocument/2006/relationships/header" Target="header55.xml"/><Relationship Id="rId117" Type="http://schemas.openxmlformats.org/officeDocument/2006/relationships/footer" Target="footer59.xml"/><Relationship Id="rId116" Type="http://schemas.openxmlformats.org/officeDocument/2006/relationships/header" Target="header54.xml"/><Relationship Id="rId115" Type="http://schemas.openxmlformats.org/officeDocument/2006/relationships/footer" Target="footer58.xml"/><Relationship Id="rId114" Type="http://schemas.openxmlformats.org/officeDocument/2006/relationships/header" Target="header53.xml"/><Relationship Id="rId113" Type="http://schemas.openxmlformats.org/officeDocument/2006/relationships/footer" Target="footer57.xml"/><Relationship Id="rId112" Type="http://schemas.openxmlformats.org/officeDocument/2006/relationships/header" Target="header52.xml"/><Relationship Id="rId111" Type="http://schemas.openxmlformats.org/officeDocument/2006/relationships/footer" Target="footer56.xml"/><Relationship Id="rId110" Type="http://schemas.openxmlformats.org/officeDocument/2006/relationships/header" Target="header51.xml"/><Relationship Id="rId11" Type="http://schemas.openxmlformats.org/officeDocument/2006/relationships/footer" Target="footer4.xml"/><Relationship Id="rId109" Type="http://schemas.openxmlformats.org/officeDocument/2006/relationships/footer" Target="footer55.xml"/><Relationship Id="rId108" Type="http://schemas.openxmlformats.org/officeDocument/2006/relationships/header" Target="header50.xml"/><Relationship Id="rId107" Type="http://schemas.openxmlformats.org/officeDocument/2006/relationships/footer" Target="footer54.xml"/><Relationship Id="rId106" Type="http://schemas.openxmlformats.org/officeDocument/2006/relationships/header" Target="header49.xml"/><Relationship Id="rId105" Type="http://schemas.openxmlformats.org/officeDocument/2006/relationships/footer" Target="footer53.xml"/><Relationship Id="rId104" Type="http://schemas.openxmlformats.org/officeDocument/2006/relationships/header" Target="header48.xml"/><Relationship Id="rId103" Type="http://schemas.openxmlformats.org/officeDocument/2006/relationships/footer" Target="footer52.xml"/><Relationship Id="rId102" Type="http://schemas.openxmlformats.org/officeDocument/2006/relationships/header" Target="header47.xml"/><Relationship Id="rId101" Type="http://schemas.openxmlformats.org/officeDocument/2006/relationships/footer" Target="footer51.xml"/><Relationship Id="rId100" Type="http://schemas.openxmlformats.org/officeDocument/2006/relationships/header" Target="header4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101"/>
    <customShpInfo spid="_x0000_s2102"/>
    <customShpInfo spid="_x0000_s2103"/>
    <customShpInfo spid="_x0000_s2104"/>
    <customShpInfo spid="_x0000_s2105"/>
    <customShpInfo spid="_x0000_s2106"/>
    <customShpInfo spid="_x0000_s2107"/>
    <customShpInfo spid="_x0000_s2108"/>
    <customShpInfo spid="_x0000_s2109"/>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Info spid="_x0000_s2120"/>
    <customShpInfo spid="_x0000_s2121"/>
    <customShpInfo spid="_x0000_s2122"/>
    <customShpInfo spid="_x0000_s2123"/>
    <customShpInfo spid="_x0000_s2124"/>
    <customShpInfo spid="_x0000_s2125"/>
    <customShpInfo spid="_x0000_s2126"/>
    <customShpInfo spid="_x0000_s2127"/>
    <customShpInfo spid="_x0000_s2128"/>
    <customShpInfo spid="_x0000_s2129"/>
    <customShpInfo spid="_x0000_s2130"/>
    <customShpInfo spid="_x0000_s2131"/>
    <customShpInfo spid="_x0000_s2132"/>
    <customShpInfo spid="_x0000_s2133"/>
    <customShpInfo spid="_x0000_s2134"/>
    <customShpInfo spid="_x0000_s2135"/>
    <customShpInfo spid="_x0000_s2136"/>
    <customShpInfo spid="_x0000_s2137"/>
    <customShpInfo spid="_x0000_s2138"/>
    <customShpInfo spid="_x0000_s2139"/>
    <customShpInfo spid="_x0000_s2140"/>
    <customShpInfo spid="_x0000_s2141"/>
    <customShpInfo spid="_x0000_s2142"/>
    <customShpInfo spid="_x0000_s2143"/>
    <customShpInfo spid="_x0000_s2144"/>
    <customShpInfo spid="_x0000_s2145"/>
    <customShpInfo spid="_x0000_s2146"/>
    <customShpInfo spid="_x0000_s2147"/>
    <customShpInfo spid="_x0000_s2148"/>
    <customShpInfo spid="_x0000_s2149"/>
    <customShpInfo spid="_x0000_s2150"/>
    <customShpInfo spid="_x0000_s2151"/>
    <customShpInfo spid="_x0000_s2152"/>
    <customShpInfo spid="_x0000_s2153"/>
    <customShpInfo spid="_x0000_s2154"/>
    <customShpInfo spid="_x0000_s2155"/>
    <customShpInfo spid="_x0000_s2156"/>
    <customShpInfo spid="_x0000_s2157"/>
    <customShpInfo spid="_x0000_s2158"/>
    <customShpInfo spid="_x0000_s2159"/>
    <customShpInfo spid="_x0000_s2160"/>
    <customShpInfo spid="_x0000_s2161"/>
    <customShpInfo spid="_x0000_s2162"/>
    <customShpInfo spid="_x0000_s2163"/>
    <customShpInfo spid="_x0000_s2164"/>
    <customShpInfo spid="_x0000_s2165"/>
    <customShpInfo spid="_x0000_s2166"/>
    <customShpInfo spid="_x0000_s2167"/>
    <customShpInfo spid="_x0000_s2168"/>
    <customShpInfo spid="_x0000_s2169"/>
    <customShpInfo spid="_x0000_s2170"/>
    <customShpInfo spid="_x0000_s2171"/>
    <customShpInfo spid="_x0000_s2172"/>
    <customShpInfo spid="_x0000_s2173"/>
    <customShpInfo spid="_x0000_s2174"/>
    <customShpInfo spid="_x0000_s2175"/>
    <customShpInfo spid="_x0000_s2176"/>
    <customShpInfo spid="_x0000_s2177"/>
    <customShpInfo spid="_x0000_s2178"/>
    <customShpInfo spid="_x0000_s2179"/>
    <customShpInfo spid="_x0000_s2180"/>
    <customShpInfo spid="_x0000_s2181"/>
    <customShpInfo spid="_x0000_s2182"/>
    <customShpInfo spid="_x0000_s2183"/>
    <customShpInfo spid="_x0000_s2184"/>
    <customShpInfo spid="_x0000_s2185"/>
    <customShpInfo spid="_x0000_s2186"/>
    <customShpInfo spid="_x0000_s2187"/>
    <customShpInfo spid="_x0000_s2188"/>
    <customShpInfo spid="_x0000_s2189"/>
    <customShpInfo spid="_x0000_s2190"/>
    <customShpInfo spid="_x0000_s2191"/>
    <customShpInfo spid="_x0000_s2192"/>
    <customShpInfo spid="_x0000_s2193"/>
    <customShpInfo spid="_x0000_s2194"/>
    <customShpInfo spid="_x0000_s2195"/>
    <customShpInfo spid="_x0000_s2196"/>
    <customShpInfo spid="_x0000_s2197"/>
    <customShpInfo spid="_x0000_s2198"/>
    <customShpInfo spid="_x0000_s2199"/>
    <customShpInfo spid="_x0000_s2200"/>
    <customShpInfo spid="_x0000_s2201"/>
    <customShpInfo spid="_x0000_s2202"/>
    <customShpInfo spid="_x0000_s2203"/>
    <customShpInfo spid="_x0000_s2204"/>
    <customShpInfo spid="_x0000_s2205"/>
    <customShpInfo spid="_x0000_s2206"/>
    <customShpInfo spid="_x0000_s2207"/>
    <customShpInfo spid="_x0000_s2208"/>
    <customShpInfo spid="_x0000_s2209"/>
    <customShpInfo spid="_x0000_s1026" textRotate="1"/>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50"/>
    <customShpInfo spid="_x0000_s1051"/>
    <customShpInfo spid="_x0000_s1049"/>
    <customShpInfo spid="_x0000_s1053"/>
    <customShpInfo spid="_x0000_s1054"/>
    <customShpInfo spid="_x0000_s1052"/>
    <customShpInfo spid="_x0000_s1055"/>
    <customShpInfo spid="_x0000_s1057"/>
    <customShpInfo spid="_x0000_s1058"/>
    <customShpInfo spid="_x0000_s1056"/>
    <customShpInfo spid="_x0000_s1060"/>
    <customShpInfo spid="_x0000_s1061"/>
    <customShpInfo spid="_x0000_s1059"/>
    <customShpInfo spid="_x0000_s1062"/>
    <customShpInfo spid="_x0000_s1063"/>
    <customShpInfo spid="_x0000_s1064"/>
    <customShpInfo spid="_x0000_s1065"/>
    <customShpInfo spid="_x0000_s1066"/>
    <customShpInfo spid="_x0000_s1067"/>
    <customShpInfo spid="_x0000_s1069"/>
    <customShpInfo spid="_x0000_s1070"/>
    <customShpInfo spid="_x0000_s1071"/>
    <customShpInfo spid="_x0000_s1068"/>
    <customShpInfo spid="_x0000_s1072"/>
    <customShpInfo spid="_x0000_s1073"/>
    <customShpInfo spid="_x0000_s1075"/>
    <customShpInfo spid="_x0000_s1076"/>
    <customShpInfo spid="_x0000_s1074"/>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10"/>
    <customShpInfo spid="_x0000_s1111"/>
    <customShpInfo spid="_x0000_s1109"/>
    <customShpInfo spid="_x0000_s1113"/>
    <customShpInfo spid="_x0000_s1114"/>
    <customShpInfo spid="_x0000_s1112"/>
    <customShpInfo spid="_x0000_s1116"/>
    <customShpInfo spid="_x0000_s1117"/>
    <customShpInfo spid="_x0000_s1115"/>
    <customShpInfo spid="_x0000_s1119"/>
    <customShpInfo spid="_x0000_s1120"/>
    <customShpInfo spid="_x0000_s1118"/>
    <customShpInfo spid="_x0000_s1121"/>
    <customShpInfo spid="_x0000_s1123"/>
    <customShpInfo spid="_x0000_s1124"/>
    <customShpInfo spid="_x0000_s1122"/>
    <customShpInfo spid="_x0000_s1126"/>
    <customShpInfo spid="_x0000_s1127"/>
    <customShpInfo spid="_x0000_s1125"/>
    <customShpInfo spid="_x0000_s1128"/>
    <customShpInfo spid="_x0000_s1130"/>
    <customShpInfo spid="_x0000_s1131"/>
    <customShpInfo spid="_x0000_s1129"/>
    <customShpInfo spid="_x0000_s1132"/>
    <customShpInfo spid="_x0000_s1133"/>
    <customShpInfo spid="_x0000_s1134"/>
    <customShpInfo spid="_x0000_s1135"/>
    <customShpInfo spid="_x0000_s1136"/>
    <customShpInfo spid="_x0000_s1137"/>
    <customShpInfo spid="_x0000_s1138"/>
    <customShpInfo spid="_x0000_s1139"/>
    <customShpInfo spid="_x0000_s1141"/>
    <customShpInfo spid="_x0000_s1142"/>
    <customShpInfo spid="_x0000_s1143"/>
    <customShpInfo spid="_x0000_s1140"/>
    <customShpInfo spid="_x0000_s1144"/>
    <customShpInfo spid="_x0000_s1145"/>
    <customShpInfo spid="_x0000_s1146"/>
    <customShpInfo spid="_x0000_s1147"/>
    <customShpInfo spid="_x0000_s1148"/>
    <customShpInfo spid="_x0000_s1149"/>
    <customShpInfo spid="_x0000_s1150"/>
    <customShpInfo spid="_x0000_s1151"/>
    <customShpInfo spid="_x0000_s1152"/>
    <customShpInfo spid="_x0000_s1153"/>
    <customShpInfo spid="_x0000_s1154"/>
    <customShpInfo spid="_x0000_s1155"/>
    <customShpInfo spid="_x0000_s1156"/>
    <customShpInfo spid="_x0000_s1157"/>
    <customShpInfo spid="_x0000_s1159"/>
    <customShpInfo spid="_x0000_s1160"/>
    <customShpInfo spid="_x0000_s1161"/>
    <customShpInfo spid="_x0000_s1162"/>
    <customShpInfo spid="_x0000_s1163"/>
    <customShpInfo spid="_x0000_s1158"/>
    <customShpInfo spid="_x0000_s1165"/>
    <customShpInfo spid="_x0000_s1166"/>
    <customShpInfo spid="_x0000_s1167"/>
    <customShpInfo spid="_x0000_s1168"/>
    <customShpInfo spid="_x0000_s1169"/>
    <customShpInfo spid="_x0000_s1164"/>
    <customShpInfo spid="_x0000_s1170"/>
    <customShpInfo spid="_x0000_s1171"/>
    <customShpInfo spid="_x0000_s1172"/>
    <customShpInfo spid="_x0000_s1173"/>
    <customShpInfo spid="_x0000_s1174"/>
    <customShpInfo spid="_x0000_s1175"/>
    <customShpInfo spid="_x0000_s1176"/>
    <customShpInfo spid="_x0000_s1177"/>
    <customShpInfo spid="_x0000_s1178"/>
    <customShpInfo spid="_x0000_s1179"/>
    <customShpInfo spid="_x0000_s1180"/>
    <customShpInfo spid="_x0000_s1181"/>
    <customShpInfo spid="_x0000_s1182"/>
    <customShpInfo spid="_x0000_s1183"/>
    <customShpInfo spid="_x0000_s1185"/>
    <customShpInfo spid="_x0000_s1186"/>
    <customShpInfo spid="_x0000_s1184"/>
    <customShpInfo spid="_x0000_s1187"/>
    <customShpInfo spid="_x0000_s1188"/>
    <customShpInfo spid="_x0000_s1189"/>
    <customShpInfo spid="_x0000_s1190"/>
    <customShpInfo spid="_x0000_s1191"/>
    <customShpInfo spid="_x0000_s1192"/>
    <customShpInfo spid="_x0000_s1193"/>
    <customShpInfo spid="_x0000_s1194"/>
    <customShpInfo spid="_x0000_s1195"/>
    <customShpInfo spid="_x0000_s1197"/>
    <customShpInfo spid="_x0000_s1198"/>
    <customShpInfo spid="_x0000_s1196"/>
    <customShpInfo spid="_x0000_s1199"/>
    <customShpInfo spid="_x0000_s1200"/>
    <customShpInfo spid="_x0000_s1201"/>
    <customShpInfo spid="_x0000_s1202"/>
    <customShpInfo spid="_x0000_s1203"/>
    <customShpInfo spid="_x0000_s1204"/>
    <customShpInfo spid="_x0000_s1205"/>
    <customShpInfo spid="_x0000_s1206"/>
    <customShpInfo spid="_x0000_s1207"/>
    <customShpInfo spid="_x0000_s1208"/>
    <customShpInfo spid="_x0000_s1209"/>
    <customShpInfo spid="_x0000_s1210"/>
    <customShpInfo spid="_x0000_s1211"/>
    <customShpInfo spid="_x0000_s1212"/>
    <customShpInfo spid="_x0000_s1213"/>
    <customShpInfo spid="_x0000_s1214"/>
    <customShpInfo spid="_x0000_s1215"/>
    <customShpInfo spid="_x0000_s1216"/>
    <customShpInfo spid="_x0000_s1217"/>
    <customShpInfo spid="_x0000_s1218"/>
    <customShpInfo spid="_x0000_s1219"/>
    <customShpInfo spid="_x0000_s1220"/>
    <customShpInfo spid="_x0000_s1221"/>
    <customShpInfo spid="_x0000_s1222"/>
    <customShpInfo spid="_x0000_s1223"/>
    <customShpInfo spid="_x0000_s1224"/>
    <customShpInfo spid="_x0000_s1225"/>
    <customShpInfo spid="_x0000_s1226"/>
    <customShpInfo spid="_x0000_s1227"/>
    <customShpInfo spid="_x0000_s1228"/>
    <customShpInfo spid="_x0000_s1229"/>
    <customShpInfo spid="_x0000_s1230"/>
    <customShpInfo spid="_x0000_s1231"/>
    <customShpInfo spid="_x0000_s1232"/>
    <customShpInfo spid="_x0000_s1233"/>
    <customShpInfo spid="_x0000_s1234"/>
    <customShpInfo spid="_x0000_s1235"/>
    <customShpInfo spid="_x0000_s1236"/>
    <customShpInfo spid="_x0000_s1237"/>
    <customShpInfo spid="_x0000_s1238"/>
    <customShpInfo spid="_x0000_s1239"/>
    <customShpInfo spid="_x0000_s1240"/>
    <customShpInfo spid="_x0000_s1241"/>
    <customShpInfo spid="_x0000_s1242"/>
    <customShpInfo spid="_x0000_s1243"/>
    <customShpInfo spid="_x0000_s1244"/>
    <customShpInfo spid="_x0000_s1245"/>
    <customShpInfo spid="_x0000_s1246"/>
    <customShpInfo spid="_x0000_s1247"/>
    <customShpInfo spid="_x0000_s1248"/>
    <customShpInfo spid="_x0000_s1249"/>
    <customShpInfo spid="_x0000_s1250"/>
    <customShpInfo spid="_x0000_s1251"/>
    <customShpInfo spid="_x0000_s1252"/>
    <customShpInfo spid="_x0000_s1253"/>
    <customShpInfo spid="_x0000_s1254"/>
    <customShpInfo spid="_x0000_s1255"/>
    <customShpInfo spid="_x0000_s1256"/>
    <customShpInfo spid="_x0000_s1257"/>
    <customShpInfo spid="_x0000_s1258"/>
    <customShpInfo spid="_x0000_s1259"/>
    <customShpInfo spid="_x0000_s1260"/>
    <customShpInfo spid="_x0000_s1261"/>
    <customShpInfo spid="_x0000_s1262"/>
    <customShpInfo spid="_x0000_s1263"/>
    <customShpInfo spid="_x0000_s1265"/>
    <customShpInfo spid="_x0000_s1266"/>
    <customShpInfo spid="_x0000_s1267"/>
    <customShpInfo spid="_x0000_s1268"/>
    <customShpInfo spid="_x0000_s1269"/>
    <customShpInfo spid="_x0000_s1270"/>
    <customShpInfo spid="_x0000_s1264"/>
    <customShpInfo spid="_x0000_s1271"/>
    <customShpInfo spid="_x0000_s1272"/>
    <customShpInfo spid="_x0000_s1273"/>
    <customShpInfo spid="_x0000_s1274"/>
    <customShpInfo spid="_x0000_s1275"/>
    <customShpInfo spid="_x0000_s1276"/>
    <customShpInfo spid="_x0000_s1278"/>
    <customShpInfo spid="_x0000_s1279"/>
    <customShpInfo spid="_x0000_s1277"/>
    <customShpInfo spid="_x0000_s1280"/>
    <customShpInfo spid="_x0000_s1281"/>
    <customShpInfo spid="_x0000_s1282"/>
    <customShpInfo spid="_x0000_s1283"/>
    <customShpInfo spid="_x0000_s1284"/>
    <customShpInfo spid="_x0000_s1285"/>
    <customShpInfo spid="_x0000_s1286"/>
    <customShpInfo spid="_x0000_s1287"/>
    <customShpInfo spid="_x0000_s1288"/>
    <customShpInfo spid="_x0000_s1289"/>
    <customShpInfo spid="_x0000_s1290"/>
    <customShpInfo spid="_x0000_s1291"/>
    <customShpInfo spid="_x0000_s1292"/>
    <customShpInfo spid="_x0000_s1293"/>
    <customShpInfo spid="_x0000_s1294"/>
    <customShpInfo spid="_x0000_s1295"/>
    <customShpInfo spid="_x0000_s1296"/>
    <customShpInfo spid="_x0000_s1297"/>
    <customShpInfo spid="_x0000_s1298"/>
    <customShpInfo spid="_x0000_s1299"/>
    <customShpInfo spid="_x0000_s1300"/>
    <customShpInfo spid="_x0000_s1301"/>
    <customShpInfo spid="_x0000_s1302"/>
    <customShpInfo spid="_x0000_s1303"/>
    <customShpInfo spid="_x0000_s1304"/>
    <customShpInfo spid="_x0000_s1306"/>
    <customShpInfo spid="_x0000_s1307"/>
    <customShpInfo spid="_x0000_s1305"/>
    <customShpInfo spid="_x0000_s1309"/>
    <customShpInfo spid="_x0000_s1310"/>
    <customShpInfo spid="_x0000_s1308"/>
    <customShpInfo spid="_x0000_s1312"/>
    <customShpInfo spid="_x0000_s1313"/>
    <customShpInfo spid="_x0000_s1311"/>
    <customShpInfo spid="_x0000_s1314"/>
    <customShpInfo spid="_x0000_s1315"/>
    <customShpInfo spid="_x0000_s1316"/>
    <customShpInfo spid="_x0000_s1317"/>
    <customShpInfo spid="_x0000_s1318"/>
    <customShpInfo spid="_x0000_s1319"/>
    <customShpInfo spid="_x0000_s1320"/>
    <customShpInfo spid="_x0000_s1321"/>
    <customShpInfo spid="_x0000_s1322"/>
    <customShpInfo spid="_x0000_s1323"/>
    <customShpInfo spid="_x0000_s1324"/>
    <customShpInfo spid="_x0000_s1325"/>
    <customShpInfo spid="_x0000_s1326"/>
    <customShpInfo spid="_x0000_s1327"/>
    <customShpInfo spid="_x0000_s1328"/>
    <customShpInfo spid="_x0000_s1329"/>
    <customShpInfo spid="_x0000_s1330"/>
    <customShpInfo spid="_x0000_s1331"/>
    <customShpInfo spid="_x0000_s1333"/>
    <customShpInfo spid="_x0000_s1334"/>
    <customShpInfo spid="_x0000_s1335"/>
    <customShpInfo spid="_x0000_s1332"/>
    <customShpInfo spid="_x0000_s1337"/>
    <customShpInfo spid="_x0000_s1338"/>
    <customShpInfo spid="_x0000_s1336"/>
    <customShpInfo spid="_x0000_s1340"/>
    <customShpInfo spid="_x0000_s1341"/>
    <customShpInfo spid="_x0000_s1339"/>
    <customShpInfo spid="_x0000_s1343"/>
    <customShpInfo spid="_x0000_s1344"/>
    <customShpInfo spid="_x0000_s1345"/>
    <customShpInfo spid="_x0000_s1342"/>
    <customShpInfo spid="_x0000_s1346"/>
    <customShpInfo spid="_x0000_s1347"/>
    <customShpInfo spid="_x0000_s1348"/>
    <customShpInfo spid="_x0000_s1350"/>
    <customShpInfo spid="_x0000_s1351"/>
    <customShpInfo spid="_x0000_s1349"/>
    <customShpInfo spid="_x0000_s1352"/>
    <customShpInfo spid="_x0000_s1353"/>
    <customShpInfo spid="_x0000_s1354"/>
    <customShpInfo spid="_x0000_s1355"/>
    <customShpInfo spid="_x0000_s1356"/>
    <customShpInfo spid="_x0000_s1357"/>
    <customShpInfo spid="_x0000_s1358"/>
    <customShpInfo spid="_x0000_s1359"/>
    <customShpInfo spid="_x0000_s1360"/>
    <customShpInfo spid="_x0000_s1361"/>
    <customShpInfo spid="_x0000_s1362"/>
    <customShpInfo spid="_x0000_s1363"/>
    <customShpInfo spid="_x0000_s1364"/>
    <customShpInfo spid="_x0000_s1365"/>
    <customShpInfo spid="_x0000_s1366"/>
    <customShpInfo spid="_x0000_s1367"/>
    <customShpInfo spid="_x0000_s1368"/>
    <customShpInfo spid="_x0000_s1369"/>
    <customShpInfo spid="_x0000_s1370"/>
    <customShpInfo spid="_x0000_s1371"/>
    <customShpInfo spid="_x0000_s1372"/>
    <customShpInfo spid="_x0000_s1373"/>
    <customShpInfo spid="_x0000_s1374"/>
    <customShpInfo spid="_x0000_s1375"/>
    <customShpInfo spid="_x0000_s1376"/>
    <customShpInfo spid="_x0000_s1377"/>
    <customShpInfo spid="_x0000_s1378"/>
    <customShpInfo spid="_x0000_s1379"/>
    <customShpInfo spid="_x0000_s1380"/>
    <customShpInfo spid="_x0000_s1381"/>
    <customShpInfo spid="_x0000_s1382"/>
    <customShpInfo spid="_x0000_s1383"/>
    <customShpInfo spid="_x0000_s1384"/>
    <customShpInfo spid="_x0000_s1385"/>
    <customShpInfo spid="_x0000_s1386"/>
    <customShpInfo spid="_x0000_s1387"/>
    <customShpInfo spid="_x0000_s1388"/>
    <customShpInfo spid="_x0000_s1389"/>
    <customShpInfo spid="_x0000_s1390"/>
    <customShpInfo spid="_x0000_s1391"/>
    <customShpInfo spid="_x0000_s139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212</Pages>
  <Words>12775</Words>
  <Characters>13807</Characters>
  <TotalTime>3</TotalTime>
  <ScaleCrop>false</ScaleCrop>
  <LinksUpToDate>false</LinksUpToDate>
  <CharactersWithSpaces>15137</CharactersWithSpaces>
  <Application>WPS Office_12.1.0.19302_F1E327BC-269C-435d-A152-05C5408002CA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2019-08-26T10:00:00Z</dcterms:created>
  <dc:creator>微软用户</dc:creator>
  <cp:lastModifiedBy>樹</cp:lastModifiedBy>
  <dcterms:modified xsi:type="dcterms:W3CDTF">2024-12-12T07:58:02Z</dcterms:modified>
  <dc:title>辽宁丰达食品有限公司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2023-04-21T10:37:10Z</vt:filetime>
  </property>
  <property fmtid="{D5CDD505-2E9C-101B-9397-08002B2CF9AE}" pid="4" name="KSOProductBuildVer">
    <vt:lpwstr>2052-12.1.0.19302</vt:lpwstr>
  </property>
  <property fmtid="{D5CDD505-2E9C-101B-9397-08002B2CF9AE}" pid="5" name="ICV">
    <vt:lpwstr>541FE860B3F748BD90E70017297F861F_13</vt:lpwstr>
  </property>
</Properties>
</file>